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642D1" w14:textId="77777777" w:rsidR="00122893" w:rsidRPr="00122893" w:rsidRDefault="00122893" w:rsidP="00122893">
      <w:pPr>
        <w:widowControl w:val="0"/>
        <w:tabs>
          <w:tab w:val="right" w:pos="8647"/>
        </w:tabs>
        <w:contextualSpacing/>
        <w:jc w:val="center"/>
        <w:rPr>
          <w:rFonts w:ascii="Arial" w:hAnsi="Arial" w:cs="Arial"/>
          <w:b/>
          <w:color w:val="000000" w:themeColor="text1"/>
          <w:sz w:val="2"/>
          <w:lang w:val="en-GB"/>
        </w:rPr>
      </w:pPr>
      <w:r>
        <w:rPr>
          <w:noProof/>
          <w:color w:val="1F497D"/>
          <w:sz w:val="16"/>
          <w:szCs w:val="16"/>
        </w:rPr>
        <w:drawing>
          <wp:inline distT="0" distB="0" distL="0" distR="0" wp14:anchorId="0B4931AC" wp14:editId="276F2ED1">
            <wp:extent cx="1400175" cy="1123950"/>
            <wp:effectExtent l="0" t="0" r="9525" b="0"/>
            <wp:docPr id="1" name="Picture 1"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1214.FDB52C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0175" cy="1123950"/>
                    </a:xfrm>
                    <a:prstGeom prst="rect">
                      <a:avLst/>
                    </a:prstGeom>
                    <a:noFill/>
                    <a:ln>
                      <a:noFill/>
                    </a:ln>
                  </pic:spPr>
                </pic:pic>
              </a:graphicData>
            </a:graphic>
          </wp:inline>
        </w:drawing>
      </w:r>
    </w:p>
    <w:p w14:paraId="5866C030" w14:textId="00A85BD4" w:rsidR="009A7B21" w:rsidRPr="00825DA7" w:rsidRDefault="009A7B21" w:rsidP="00122893">
      <w:pPr>
        <w:widowControl w:val="0"/>
        <w:tabs>
          <w:tab w:val="right" w:pos="8647"/>
        </w:tabs>
        <w:contextualSpacing/>
        <w:jc w:val="center"/>
        <w:rPr>
          <w:rFonts w:ascii="Arial" w:hAnsi="Arial" w:cs="Arial"/>
          <w:b/>
          <w:color w:val="000000" w:themeColor="text1"/>
          <w:lang w:val="en-GB"/>
        </w:rPr>
      </w:pPr>
      <w:r w:rsidRPr="00825DA7">
        <w:rPr>
          <w:rFonts w:ascii="Arial" w:hAnsi="Arial" w:cs="Arial"/>
          <w:b/>
          <w:color w:val="000000" w:themeColor="text1"/>
          <w:lang w:val="en-GB"/>
        </w:rPr>
        <w:t xml:space="preserve">IN THE </w:t>
      </w:r>
      <w:r w:rsidR="000E155F">
        <w:rPr>
          <w:rFonts w:ascii="Arial" w:hAnsi="Arial" w:cs="Arial"/>
          <w:b/>
          <w:color w:val="000000" w:themeColor="text1"/>
          <w:lang w:val="en-GB"/>
        </w:rPr>
        <w:t>HIGH</w:t>
      </w:r>
      <w:r w:rsidRPr="00825DA7">
        <w:rPr>
          <w:rFonts w:ascii="Arial" w:hAnsi="Arial" w:cs="Arial"/>
          <w:b/>
          <w:color w:val="000000" w:themeColor="text1"/>
          <w:lang w:val="en-GB"/>
        </w:rPr>
        <w:t xml:space="preserve"> COURT OF SOUTH AFRICA</w:t>
      </w:r>
    </w:p>
    <w:p w14:paraId="78E7D4CA" w14:textId="2468A51F" w:rsidR="009A7B21" w:rsidRPr="00825DA7" w:rsidRDefault="000E155F" w:rsidP="00122893">
      <w:pPr>
        <w:widowControl w:val="0"/>
        <w:tabs>
          <w:tab w:val="right" w:pos="8647"/>
        </w:tabs>
        <w:contextualSpacing/>
        <w:jc w:val="center"/>
        <w:rPr>
          <w:rFonts w:ascii="Arial" w:hAnsi="Arial" w:cs="Arial"/>
          <w:b/>
          <w:color w:val="000000" w:themeColor="text1"/>
          <w:lang w:val="en-GB"/>
        </w:rPr>
      </w:pPr>
      <w:r>
        <w:rPr>
          <w:rFonts w:ascii="Arial" w:hAnsi="Arial" w:cs="Arial"/>
          <w:b/>
          <w:color w:val="000000" w:themeColor="text1"/>
          <w:lang w:val="en-GB"/>
        </w:rPr>
        <w:t xml:space="preserve">WESTERN CAPE DIVISION, </w:t>
      </w:r>
      <w:r w:rsidR="009A7B21" w:rsidRPr="00825DA7">
        <w:rPr>
          <w:rFonts w:ascii="Arial" w:hAnsi="Arial" w:cs="Arial"/>
          <w:b/>
          <w:color w:val="000000" w:themeColor="text1"/>
          <w:lang w:val="en-GB"/>
        </w:rPr>
        <w:t>CAPE TOWN</w:t>
      </w:r>
    </w:p>
    <w:p w14:paraId="30111EAD" w14:textId="5D935068" w:rsidR="00D81F8C" w:rsidRPr="00D57E3F" w:rsidRDefault="00D81F8C" w:rsidP="000E155F">
      <w:pPr>
        <w:widowControl w:val="0"/>
        <w:tabs>
          <w:tab w:val="right" w:pos="8364"/>
        </w:tabs>
        <w:spacing w:line="360" w:lineRule="auto"/>
        <w:jc w:val="right"/>
        <w:rPr>
          <w:rFonts w:ascii="Arial" w:hAnsi="Arial" w:cs="Arial"/>
        </w:rPr>
      </w:pPr>
      <w:r w:rsidRPr="003913F1">
        <w:rPr>
          <w:rFonts w:ascii="Arial" w:hAnsi="Arial" w:cs="Arial"/>
          <w:spacing w:val="-3"/>
        </w:rPr>
        <w:tab/>
      </w:r>
    </w:p>
    <w:p w14:paraId="747747E5" w14:textId="77777777" w:rsidR="00274B51" w:rsidRPr="00F748AD" w:rsidRDefault="00274B51" w:rsidP="00F748AD">
      <w:pPr>
        <w:widowControl w:val="0"/>
        <w:tabs>
          <w:tab w:val="right" w:pos="8364"/>
        </w:tabs>
        <w:spacing w:line="360" w:lineRule="auto"/>
        <w:contextualSpacing/>
        <w:jc w:val="both"/>
        <w:rPr>
          <w:rFonts w:ascii="Arial" w:hAnsi="Arial" w:cs="Arial"/>
          <w:b/>
          <w:spacing w:val="-3"/>
        </w:rPr>
      </w:pPr>
      <w:r w:rsidRPr="00210D0B">
        <w:rPr>
          <w:rFonts w:ascii="Arial" w:hAnsi="Arial" w:cs="Arial"/>
          <w:spacing w:val="-3"/>
        </w:rPr>
        <w:tab/>
      </w:r>
      <w:r w:rsidRPr="00F748AD">
        <w:rPr>
          <w:rFonts w:ascii="Arial" w:hAnsi="Arial" w:cs="Arial"/>
          <w:spacing w:val="-3"/>
        </w:rPr>
        <w:t>Case number:</w:t>
      </w:r>
      <w:r w:rsidRPr="00F748AD">
        <w:rPr>
          <w:rFonts w:ascii="Arial" w:hAnsi="Arial" w:cs="Arial"/>
          <w:bCs/>
          <w:spacing w:val="-3"/>
        </w:rPr>
        <w:t xml:space="preserve"> 9845/2022</w:t>
      </w:r>
    </w:p>
    <w:p w14:paraId="1F0E0BD6" w14:textId="77777777" w:rsidR="00274B51" w:rsidRPr="00F748AD" w:rsidRDefault="00274B51" w:rsidP="00F748AD">
      <w:pPr>
        <w:widowControl w:val="0"/>
        <w:tabs>
          <w:tab w:val="left" w:pos="-1440"/>
          <w:tab w:val="left" w:pos="-720"/>
          <w:tab w:val="left" w:pos="0"/>
          <w:tab w:val="left" w:pos="874"/>
          <w:tab w:val="left" w:pos="1815"/>
          <w:tab w:val="left" w:pos="2756"/>
          <w:tab w:val="left" w:pos="3696"/>
          <w:tab w:val="left" w:pos="4637"/>
          <w:tab w:val="left" w:pos="5645"/>
          <w:tab w:val="left" w:pos="6480"/>
        </w:tabs>
        <w:spacing w:line="360" w:lineRule="auto"/>
        <w:contextualSpacing/>
        <w:jc w:val="both"/>
        <w:rPr>
          <w:rFonts w:ascii="Arial" w:hAnsi="Arial" w:cs="Arial"/>
          <w:spacing w:val="-3"/>
        </w:rPr>
      </w:pPr>
    </w:p>
    <w:p w14:paraId="78E8DD17" w14:textId="77777777" w:rsidR="00274B51" w:rsidRPr="00F748AD" w:rsidRDefault="00274B51" w:rsidP="00F748AD">
      <w:pPr>
        <w:widowControl w:val="0"/>
        <w:tabs>
          <w:tab w:val="left" w:pos="-1440"/>
          <w:tab w:val="left" w:pos="-720"/>
          <w:tab w:val="left" w:pos="0"/>
          <w:tab w:val="left" w:pos="874"/>
          <w:tab w:val="left" w:pos="1815"/>
          <w:tab w:val="left" w:pos="2756"/>
          <w:tab w:val="left" w:pos="3696"/>
          <w:tab w:val="left" w:pos="4637"/>
          <w:tab w:val="left" w:pos="5645"/>
          <w:tab w:val="left" w:pos="6480"/>
        </w:tabs>
        <w:spacing w:line="360" w:lineRule="auto"/>
        <w:contextualSpacing/>
        <w:jc w:val="both"/>
        <w:rPr>
          <w:rFonts w:ascii="Arial" w:hAnsi="Arial" w:cs="Arial"/>
          <w:spacing w:val="-3"/>
        </w:rPr>
      </w:pPr>
      <w:r w:rsidRPr="00F748AD">
        <w:rPr>
          <w:rFonts w:ascii="Arial" w:hAnsi="Arial" w:cs="Arial"/>
          <w:spacing w:val="-3"/>
        </w:rPr>
        <w:t>In the matter between:</w:t>
      </w:r>
    </w:p>
    <w:p w14:paraId="1876BF15" w14:textId="77777777" w:rsidR="00274B51" w:rsidRPr="00F748AD" w:rsidRDefault="00274B51" w:rsidP="00F748AD">
      <w:pPr>
        <w:widowControl w:val="0"/>
        <w:tabs>
          <w:tab w:val="left" w:pos="-1440"/>
          <w:tab w:val="left" w:pos="-720"/>
          <w:tab w:val="left" w:pos="0"/>
          <w:tab w:val="left" w:pos="874"/>
          <w:tab w:val="left" w:pos="1815"/>
          <w:tab w:val="left" w:pos="2756"/>
          <w:tab w:val="left" w:pos="3696"/>
          <w:tab w:val="left" w:pos="4637"/>
          <w:tab w:val="left" w:pos="5645"/>
          <w:tab w:val="left" w:pos="6480"/>
        </w:tabs>
        <w:spacing w:line="360" w:lineRule="auto"/>
        <w:contextualSpacing/>
        <w:jc w:val="both"/>
        <w:rPr>
          <w:rFonts w:ascii="Arial" w:hAnsi="Arial" w:cs="Arial"/>
          <w:spacing w:val="-3"/>
          <w:lang w:val="en-GB"/>
        </w:rPr>
      </w:pPr>
      <w:r w:rsidRPr="00F748AD">
        <w:rPr>
          <w:rFonts w:ascii="Arial" w:hAnsi="Arial" w:cs="Arial"/>
          <w:b/>
          <w:bCs/>
          <w:spacing w:val="-3"/>
        </w:rPr>
        <w:t>INGENUITY PROPERTY INVESTMENTS (PTY) LTD</w:t>
      </w:r>
      <w:r w:rsidRPr="00F748AD">
        <w:rPr>
          <w:rFonts w:ascii="Arial" w:hAnsi="Arial" w:cs="Arial"/>
          <w:b/>
          <w:bCs/>
          <w:spacing w:val="-3"/>
        </w:rPr>
        <w:tab/>
      </w:r>
      <w:r w:rsidRPr="00F748AD">
        <w:rPr>
          <w:rFonts w:ascii="Arial" w:hAnsi="Arial" w:cs="Arial"/>
          <w:b/>
          <w:bCs/>
          <w:spacing w:val="-3"/>
        </w:rPr>
        <w:tab/>
      </w:r>
      <w:r w:rsidRPr="00F748AD">
        <w:rPr>
          <w:rFonts w:ascii="Arial" w:hAnsi="Arial" w:cs="Arial"/>
          <w:b/>
          <w:bCs/>
          <w:spacing w:val="-3"/>
        </w:rPr>
        <w:tab/>
        <w:t xml:space="preserve">       </w:t>
      </w:r>
      <w:r w:rsidRPr="00F748AD">
        <w:rPr>
          <w:rFonts w:ascii="Arial" w:hAnsi="Arial" w:cs="Arial"/>
          <w:spacing w:val="-3"/>
        </w:rPr>
        <w:t>Plaintiff</w:t>
      </w:r>
    </w:p>
    <w:p w14:paraId="1E8D48B2" w14:textId="77777777" w:rsidR="00274B51" w:rsidRPr="00F748AD" w:rsidRDefault="00274B51" w:rsidP="00F748AD">
      <w:pPr>
        <w:widowControl w:val="0"/>
        <w:tabs>
          <w:tab w:val="right" w:pos="8364"/>
        </w:tabs>
        <w:spacing w:line="360" w:lineRule="auto"/>
        <w:contextualSpacing/>
        <w:jc w:val="both"/>
        <w:rPr>
          <w:rFonts w:ascii="Arial" w:hAnsi="Arial" w:cs="Arial"/>
          <w:spacing w:val="-3"/>
        </w:rPr>
      </w:pPr>
    </w:p>
    <w:p w14:paraId="2D2A93C1" w14:textId="77777777" w:rsidR="00274B51" w:rsidRPr="00F748AD" w:rsidRDefault="00274B51" w:rsidP="00F748AD">
      <w:pPr>
        <w:widowControl w:val="0"/>
        <w:tabs>
          <w:tab w:val="right" w:pos="8364"/>
        </w:tabs>
        <w:spacing w:line="360" w:lineRule="auto"/>
        <w:contextualSpacing/>
        <w:jc w:val="both"/>
        <w:rPr>
          <w:rFonts w:ascii="Arial" w:hAnsi="Arial" w:cs="Arial"/>
          <w:spacing w:val="-3"/>
        </w:rPr>
      </w:pPr>
      <w:r w:rsidRPr="00F748AD">
        <w:rPr>
          <w:rFonts w:ascii="Arial" w:hAnsi="Arial" w:cs="Arial"/>
          <w:spacing w:val="-3"/>
        </w:rPr>
        <w:t>and</w:t>
      </w:r>
    </w:p>
    <w:p w14:paraId="55732AB4" w14:textId="77777777" w:rsidR="00274B51" w:rsidRPr="00F748AD" w:rsidRDefault="00274B51" w:rsidP="00F748AD">
      <w:pPr>
        <w:widowControl w:val="0"/>
        <w:tabs>
          <w:tab w:val="right" w:pos="8656"/>
        </w:tabs>
        <w:spacing w:line="360" w:lineRule="auto"/>
        <w:contextualSpacing/>
        <w:jc w:val="both"/>
        <w:rPr>
          <w:rFonts w:ascii="Arial" w:hAnsi="Arial" w:cs="Arial"/>
          <w:spacing w:val="-3"/>
        </w:rPr>
      </w:pPr>
    </w:p>
    <w:p w14:paraId="3E3A2231" w14:textId="77777777" w:rsidR="00274B51" w:rsidRPr="00F748AD" w:rsidRDefault="00274B51" w:rsidP="00F748AD">
      <w:pPr>
        <w:widowControl w:val="0"/>
        <w:tabs>
          <w:tab w:val="right" w:pos="8364"/>
        </w:tabs>
        <w:spacing w:line="360" w:lineRule="auto"/>
        <w:contextualSpacing/>
        <w:jc w:val="both"/>
        <w:rPr>
          <w:rFonts w:ascii="Arial" w:hAnsi="Arial" w:cs="Arial"/>
          <w:spacing w:val="-3"/>
        </w:rPr>
      </w:pPr>
      <w:r w:rsidRPr="00F748AD">
        <w:rPr>
          <w:rFonts w:ascii="Arial" w:hAnsi="Arial" w:cs="Arial"/>
          <w:b/>
          <w:bCs/>
          <w:spacing w:val="-3"/>
        </w:rPr>
        <w:t>IGNITE FITNESS (PTY) LTD</w:t>
      </w:r>
      <w:r w:rsidRPr="00F748AD">
        <w:rPr>
          <w:rFonts w:ascii="Arial" w:hAnsi="Arial" w:cs="Arial"/>
          <w:spacing w:val="-3"/>
        </w:rPr>
        <w:tab/>
        <w:t>Defendant</w:t>
      </w:r>
    </w:p>
    <w:p w14:paraId="573E93BB" w14:textId="77777777" w:rsidR="00274B51" w:rsidRPr="00F748AD" w:rsidRDefault="00274B51" w:rsidP="00F748AD">
      <w:pPr>
        <w:widowControl w:val="0"/>
        <w:pBdr>
          <w:bottom w:val="single" w:sz="6" w:space="0" w:color="auto"/>
        </w:pBdr>
        <w:spacing w:line="360" w:lineRule="auto"/>
        <w:contextualSpacing/>
        <w:rPr>
          <w:rFonts w:ascii="Arial" w:hAnsi="Arial" w:cs="Arial"/>
        </w:rPr>
      </w:pPr>
    </w:p>
    <w:p w14:paraId="16B65649" w14:textId="77777777" w:rsidR="00274B51" w:rsidRPr="00F748AD" w:rsidRDefault="00274B51" w:rsidP="00F748AD">
      <w:pPr>
        <w:widowControl w:val="0"/>
        <w:pBdr>
          <w:bottom w:val="single" w:sz="6" w:space="1" w:color="auto"/>
        </w:pBdr>
        <w:tabs>
          <w:tab w:val="right" w:pos="8931"/>
        </w:tabs>
        <w:spacing w:line="360" w:lineRule="auto"/>
        <w:contextualSpacing/>
        <w:jc w:val="center"/>
        <w:rPr>
          <w:rFonts w:ascii="Arial" w:hAnsi="Arial" w:cs="Arial"/>
          <w:b/>
        </w:rPr>
      </w:pPr>
    </w:p>
    <w:p w14:paraId="6C18F0D4" w14:textId="418BF37D" w:rsidR="00274B51" w:rsidRPr="00F748AD" w:rsidRDefault="00274B51" w:rsidP="00F748AD">
      <w:pPr>
        <w:widowControl w:val="0"/>
        <w:pBdr>
          <w:bottom w:val="single" w:sz="6" w:space="1" w:color="auto"/>
        </w:pBdr>
        <w:tabs>
          <w:tab w:val="right" w:pos="8931"/>
        </w:tabs>
        <w:spacing w:line="360" w:lineRule="auto"/>
        <w:contextualSpacing/>
        <w:jc w:val="center"/>
        <w:rPr>
          <w:rFonts w:ascii="Arial" w:hAnsi="Arial" w:cs="Arial"/>
          <w:b/>
        </w:rPr>
      </w:pPr>
      <w:r w:rsidRPr="00F748AD">
        <w:rPr>
          <w:rFonts w:ascii="Arial" w:hAnsi="Arial" w:cs="Arial"/>
          <w:b/>
        </w:rPr>
        <w:t xml:space="preserve">JUDGMENT </w:t>
      </w:r>
      <w:r w:rsidR="00450D59">
        <w:rPr>
          <w:rFonts w:ascii="Arial" w:hAnsi="Arial" w:cs="Arial"/>
          <w:b/>
        </w:rPr>
        <w:t>ON APPLICATION FOR LEAVE TO APPEAL</w:t>
      </w:r>
      <w:r w:rsidR="00082221">
        <w:rPr>
          <w:rFonts w:ascii="Arial" w:hAnsi="Arial" w:cs="Arial"/>
          <w:b/>
        </w:rPr>
        <w:t>,</w:t>
      </w:r>
      <w:r w:rsidR="00450D59">
        <w:rPr>
          <w:rFonts w:ascii="Arial" w:hAnsi="Arial" w:cs="Arial"/>
          <w:b/>
        </w:rPr>
        <w:t xml:space="preserve"> 15</w:t>
      </w:r>
      <w:r w:rsidRPr="00F748AD">
        <w:rPr>
          <w:rFonts w:ascii="Arial" w:hAnsi="Arial" w:cs="Arial"/>
          <w:b/>
        </w:rPr>
        <w:t xml:space="preserve"> </w:t>
      </w:r>
      <w:r w:rsidR="00450D59">
        <w:rPr>
          <w:rFonts w:ascii="Arial" w:hAnsi="Arial" w:cs="Arial"/>
          <w:b/>
        </w:rPr>
        <w:t>AUGUST</w:t>
      </w:r>
      <w:r w:rsidRPr="00F748AD">
        <w:rPr>
          <w:rFonts w:ascii="Arial" w:hAnsi="Arial" w:cs="Arial"/>
          <w:b/>
        </w:rPr>
        <w:t xml:space="preserve"> 2023</w:t>
      </w:r>
    </w:p>
    <w:p w14:paraId="13DBEBB4" w14:textId="6E3AA4CE" w:rsidR="00274B51" w:rsidRPr="00450D59" w:rsidRDefault="00450D59" w:rsidP="00F748AD">
      <w:pPr>
        <w:widowControl w:val="0"/>
        <w:pBdr>
          <w:bottom w:val="single" w:sz="6" w:space="1" w:color="auto"/>
        </w:pBdr>
        <w:tabs>
          <w:tab w:val="right" w:pos="8931"/>
        </w:tabs>
        <w:spacing w:line="360" w:lineRule="auto"/>
        <w:contextualSpacing/>
        <w:jc w:val="center"/>
        <w:rPr>
          <w:rFonts w:ascii="Arial" w:hAnsi="Arial" w:cs="Arial"/>
          <w:b/>
          <w:bCs/>
        </w:rPr>
      </w:pPr>
      <w:r w:rsidRPr="00450D59">
        <w:rPr>
          <w:rFonts w:ascii="Arial" w:hAnsi="Arial" w:cs="Arial"/>
          <w:b/>
          <w:bCs/>
        </w:rPr>
        <w:t>(delivered electronically via email)</w:t>
      </w:r>
    </w:p>
    <w:p w14:paraId="76EE2770" w14:textId="77777777" w:rsidR="00274B51" w:rsidRPr="00A703A4" w:rsidRDefault="00274B51" w:rsidP="00A703A4">
      <w:pPr>
        <w:widowControl w:val="0"/>
        <w:spacing w:line="360" w:lineRule="auto"/>
        <w:contextualSpacing/>
        <w:jc w:val="both"/>
        <w:rPr>
          <w:rFonts w:ascii="Arial" w:hAnsi="Arial" w:cs="Arial"/>
        </w:rPr>
      </w:pPr>
    </w:p>
    <w:p w14:paraId="296BE5BB" w14:textId="77777777" w:rsidR="00274B51" w:rsidRPr="00A703A4" w:rsidRDefault="00274B51" w:rsidP="00A703A4">
      <w:pPr>
        <w:widowControl w:val="0"/>
        <w:spacing w:line="360" w:lineRule="auto"/>
        <w:contextualSpacing/>
        <w:jc w:val="both"/>
        <w:rPr>
          <w:rFonts w:ascii="Arial" w:hAnsi="Arial" w:cs="Arial"/>
          <w:b/>
          <w:spacing w:val="-3"/>
          <w:u w:val="single"/>
        </w:rPr>
      </w:pPr>
      <w:r w:rsidRPr="00A703A4">
        <w:rPr>
          <w:rFonts w:ascii="Arial" w:hAnsi="Arial" w:cs="Arial"/>
          <w:b/>
          <w:spacing w:val="-3"/>
          <w:u w:val="single"/>
        </w:rPr>
        <w:t>VAN ZYL AJ:</w:t>
      </w:r>
    </w:p>
    <w:p w14:paraId="2B58FC18" w14:textId="77777777" w:rsidR="00274B51" w:rsidRPr="00A703A4" w:rsidRDefault="00274B51" w:rsidP="00A703A4">
      <w:pPr>
        <w:widowControl w:val="0"/>
        <w:spacing w:line="360" w:lineRule="auto"/>
        <w:contextualSpacing/>
        <w:jc w:val="both"/>
        <w:rPr>
          <w:rFonts w:ascii="Arial" w:hAnsi="Arial" w:cs="Arial"/>
          <w:b/>
          <w:spacing w:val="-3"/>
        </w:rPr>
      </w:pPr>
    </w:p>
    <w:p w14:paraId="0FCBF14C" w14:textId="77777777" w:rsidR="00274B51" w:rsidRPr="00A703A4" w:rsidRDefault="00274B51" w:rsidP="00A703A4">
      <w:pPr>
        <w:widowControl w:val="0"/>
        <w:tabs>
          <w:tab w:val="left" w:pos="-1440"/>
          <w:tab w:val="left" w:pos="-720"/>
          <w:tab w:val="left" w:pos="0"/>
          <w:tab w:val="left" w:pos="720"/>
          <w:tab w:val="left" w:pos="1815"/>
          <w:tab w:val="left" w:pos="2756"/>
          <w:tab w:val="left" w:pos="3696"/>
          <w:tab w:val="left" w:pos="4637"/>
          <w:tab w:val="left" w:pos="5645"/>
          <w:tab w:val="left" w:pos="6480"/>
        </w:tabs>
        <w:spacing w:line="360" w:lineRule="auto"/>
        <w:contextualSpacing/>
        <w:jc w:val="both"/>
        <w:rPr>
          <w:rFonts w:ascii="Arial" w:hAnsi="Arial" w:cs="Arial"/>
          <w:b/>
          <w:bCs/>
          <w:spacing w:val="-3"/>
          <w:u w:val="single"/>
        </w:rPr>
      </w:pPr>
      <w:r w:rsidRPr="00A703A4">
        <w:rPr>
          <w:rFonts w:ascii="Arial" w:hAnsi="Arial" w:cs="Arial"/>
          <w:b/>
          <w:bCs/>
          <w:spacing w:val="-3"/>
          <w:u w:val="single"/>
        </w:rPr>
        <w:t>Introduction</w:t>
      </w:r>
    </w:p>
    <w:p w14:paraId="1DF4BC84" w14:textId="77777777" w:rsidR="00274B51" w:rsidRPr="00A703A4" w:rsidRDefault="00274B51" w:rsidP="00A703A4">
      <w:pPr>
        <w:widowControl w:val="0"/>
        <w:spacing w:line="360" w:lineRule="auto"/>
        <w:contextualSpacing/>
        <w:jc w:val="both"/>
        <w:rPr>
          <w:rFonts w:ascii="Arial" w:hAnsi="Arial" w:cs="Arial"/>
        </w:rPr>
      </w:pPr>
    </w:p>
    <w:p w14:paraId="4692E1E2" w14:textId="01108BDC" w:rsidR="00450D59" w:rsidRPr="009B6CB6" w:rsidRDefault="009B6CB6" w:rsidP="009B6CB6">
      <w:pPr>
        <w:widowControl w:val="0"/>
        <w:tabs>
          <w:tab w:val="left" w:pos="720"/>
        </w:tabs>
        <w:spacing w:line="360" w:lineRule="auto"/>
        <w:ind w:left="720" w:hanging="720"/>
        <w:jc w:val="both"/>
        <w:rPr>
          <w:rFonts w:ascii="Arial" w:hAnsi="Arial" w:cs="Arial"/>
          <w:b/>
          <w:bCs/>
          <w:u w:val="single"/>
          <w:lang w:val="en-GB"/>
        </w:rPr>
      </w:pPr>
      <w:bookmarkStart w:id="0" w:name="_GoBack"/>
      <w:bookmarkEnd w:id="0"/>
      <w:r w:rsidRPr="00A703A4">
        <w:rPr>
          <w:rFonts w:ascii="Arial" w:hAnsi="Arial" w:cs="Arial"/>
          <w:lang w:val="en-GB"/>
        </w:rPr>
        <w:t>1.</w:t>
      </w:r>
      <w:r w:rsidRPr="00A703A4">
        <w:rPr>
          <w:rFonts w:ascii="Arial" w:hAnsi="Arial" w:cs="Arial"/>
          <w:lang w:val="en-GB"/>
        </w:rPr>
        <w:tab/>
      </w:r>
      <w:r w:rsidR="00450D59" w:rsidRPr="009B6CB6">
        <w:rPr>
          <w:rFonts w:ascii="Arial" w:hAnsi="Arial" w:cs="Arial"/>
          <w:lang w:val="en-GB"/>
        </w:rPr>
        <w:t>On 29 May 2023, this Court dismissed the defendant’s application to set aside the plaintiff’s application for summary judgment as an irregular step pursuant to an application in terms of Rule 30.  The defendant applies for leave to appeal against that order.</w:t>
      </w:r>
    </w:p>
    <w:p w14:paraId="24D3FB6E" w14:textId="77777777" w:rsidR="00450D59" w:rsidRPr="00A703A4" w:rsidRDefault="00450D59" w:rsidP="00A703A4">
      <w:pPr>
        <w:pStyle w:val="ListParagraph"/>
        <w:widowControl w:val="0"/>
        <w:spacing w:line="360" w:lineRule="auto"/>
        <w:jc w:val="both"/>
        <w:rPr>
          <w:rFonts w:ascii="Arial" w:hAnsi="Arial" w:cs="Arial"/>
          <w:b/>
          <w:bCs/>
          <w:u w:val="single"/>
          <w:lang w:val="en-GB"/>
        </w:rPr>
      </w:pPr>
    </w:p>
    <w:p w14:paraId="3C9DCE8F" w14:textId="20BBBC97" w:rsidR="00450D59" w:rsidRPr="009B6CB6" w:rsidRDefault="009B6CB6" w:rsidP="009B6CB6">
      <w:pPr>
        <w:widowControl w:val="0"/>
        <w:tabs>
          <w:tab w:val="left" w:pos="720"/>
        </w:tabs>
        <w:spacing w:line="360" w:lineRule="auto"/>
        <w:ind w:left="720" w:hanging="720"/>
        <w:jc w:val="both"/>
        <w:rPr>
          <w:rFonts w:ascii="Arial" w:hAnsi="Arial" w:cs="Arial"/>
          <w:lang w:val="en-GB"/>
        </w:rPr>
      </w:pPr>
      <w:r w:rsidRPr="00A703A4">
        <w:rPr>
          <w:rFonts w:ascii="Arial" w:hAnsi="Arial" w:cs="Arial"/>
          <w:lang w:val="en-GB"/>
        </w:rPr>
        <w:t>2.</w:t>
      </w:r>
      <w:r w:rsidRPr="00A703A4">
        <w:rPr>
          <w:rFonts w:ascii="Arial" w:hAnsi="Arial" w:cs="Arial"/>
          <w:lang w:val="en-GB"/>
        </w:rPr>
        <w:tab/>
      </w:r>
      <w:r w:rsidR="00450D59" w:rsidRPr="009B6CB6">
        <w:rPr>
          <w:rFonts w:ascii="Arial" w:hAnsi="Arial" w:cs="Arial"/>
          <w:lang w:val="en-GB"/>
        </w:rPr>
        <w:t xml:space="preserve">The reasons for the order are set out comprehensively in the main judgment.  I shall </w:t>
      </w:r>
      <w:proofErr w:type="gramStart"/>
      <w:r w:rsidR="00450D59" w:rsidRPr="009B6CB6">
        <w:rPr>
          <w:rFonts w:ascii="Arial" w:hAnsi="Arial" w:cs="Arial"/>
          <w:lang w:val="en-GB"/>
        </w:rPr>
        <w:t>not</w:t>
      </w:r>
      <w:proofErr w:type="gramEnd"/>
      <w:r w:rsidR="00450D59" w:rsidRPr="009B6CB6">
        <w:rPr>
          <w:rFonts w:ascii="Arial" w:hAnsi="Arial" w:cs="Arial"/>
          <w:lang w:val="en-GB"/>
        </w:rPr>
        <w:t xml:space="preserve"> repeat them.  In the application for leave to appeal, the defendant suggests that one </w:t>
      </w:r>
      <w:r w:rsidR="00A94575" w:rsidRPr="009B6CB6">
        <w:rPr>
          <w:rFonts w:ascii="Arial" w:hAnsi="Arial" w:cs="Arial"/>
          <w:lang w:val="en-GB"/>
        </w:rPr>
        <w:t>must</w:t>
      </w:r>
      <w:r w:rsidR="00450D59" w:rsidRPr="009B6CB6">
        <w:rPr>
          <w:rFonts w:ascii="Arial" w:hAnsi="Arial" w:cs="Arial"/>
          <w:lang w:val="en-GB"/>
        </w:rPr>
        <w:t xml:space="preserve"> think away the fact that the findings </w:t>
      </w:r>
      <w:r w:rsidR="00A94575" w:rsidRPr="009B6CB6">
        <w:rPr>
          <w:rFonts w:ascii="Arial" w:hAnsi="Arial" w:cs="Arial"/>
          <w:lang w:val="en-GB"/>
        </w:rPr>
        <w:t>the Court</w:t>
      </w:r>
      <w:r w:rsidR="00450D59" w:rsidRPr="009B6CB6">
        <w:rPr>
          <w:rFonts w:ascii="Arial" w:hAnsi="Arial" w:cs="Arial"/>
          <w:lang w:val="en-GB"/>
        </w:rPr>
        <w:t xml:space="preserve"> made as regards the interpretation of Rule 32 were made in the context of the Rule 30 application, and that </w:t>
      </w:r>
      <w:r w:rsidR="00A94575" w:rsidRPr="009B6CB6">
        <w:rPr>
          <w:rFonts w:ascii="Arial" w:hAnsi="Arial" w:cs="Arial"/>
          <w:lang w:val="en-GB"/>
        </w:rPr>
        <w:t>it</w:t>
      </w:r>
      <w:r w:rsidR="00450D59" w:rsidRPr="009B6CB6">
        <w:rPr>
          <w:rFonts w:ascii="Arial" w:hAnsi="Arial" w:cs="Arial"/>
          <w:lang w:val="en-GB"/>
        </w:rPr>
        <w:t xml:space="preserve"> found against the defendant</w:t>
      </w:r>
      <w:r w:rsidR="00450D59" w:rsidRPr="009B6CB6">
        <w:rPr>
          <w:rFonts w:ascii="Arial" w:hAnsi="Arial" w:cs="Arial"/>
          <w:i/>
          <w:iCs/>
          <w:lang w:val="en-GB"/>
        </w:rPr>
        <w:t xml:space="preserve"> inter alia</w:t>
      </w:r>
      <w:r w:rsidR="00450D59" w:rsidRPr="009B6CB6">
        <w:rPr>
          <w:rFonts w:ascii="Arial" w:hAnsi="Arial" w:cs="Arial"/>
          <w:lang w:val="en-GB"/>
        </w:rPr>
        <w:t xml:space="preserve"> on the basis that </w:t>
      </w:r>
      <w:r w:rsidR="00A94575" w:rsidRPr="009B6CB6">
        <w:rPr>
          <w:rFonts w:ascii="Arial" w:hAnsi="Arial" w:cs="Arial"/>
          <w:lang w:val="en-GB"/>
        </w:rPr>
        <w:t>it</w:t>
      </w:r>
      <w:r w:rsidR="00450D59" w:rsidRPr="009B6CB6">
        <w:rPr>
          <w:rFonts w:ascii="Arial" w:hAnsi="Arial" w:cs="Arial"/>
          <w:lang w:val="en-GB"/>
        </w:rPr>
        <w:t xml:space="preserve"> could not find that the </w:t>
      </w:r>
      <w:r w:rsidR="00450D59" w:rsidRPr="009B6CB6">
        <w:rPr>
          <w:rFonts w:ascii="Arial" w:hAnsi="Arial" w:cs="Arial"/>
          <w:lang w:val="en-GB"/>
        </w:rPr>
        <w:lastRenderedPageBreak/>
        <w:t xml:space="preserve">defendant had been prejudiced specifically as required by Rule 30.  The defendant’s focus is therefore </w:t>
      </w:r>
      <w:r w:rsidR="00D37C2C" w:rsidRPr="009B6CB6">
        <w:rPr>
          <w:rFonts w:ascii="Arial" w:hAnsi="Arial" w:cs="Arial"/>
          <w:lang w:val="en-GB"/>
        </w:rPr>
        <w:t xml:space="preserve">solely </w:t>
      </w:r>
      <w:r w:rsidR="00450D59" w:rsidRPr="009B6CB6">
        <w:rPr>
          <w:rFonts w:ascii="Arial" w:hAnsi="Arial" w:cs="Arial"/>
          <w:lang w:val="en-GB"/>
        </w:rPr>
        <w:t>on the issue of interpretation.</w:t>
      </w:r>
      <w:r w:rsidR="00D37C2C" w:rsidRPr="009B6CB6">
        <w:rPr>
          <w:rFonts w:ascii="Arial" w:hAnsi="Arial" w:cs="Arial"/>
          <w:lang w:val="en-GB"/>
        </w:rPr>
        <w:t xml:space="preserve">  </w:t>
      </w:r>
      <w:r w:rsidR="00A94575" w:rsidRPr="009B6CB6">
        <w:rPr>
          <w:rFonts w:ascii="Arial" w:hAnsi="Arial" w:cs="Arial"/>
          <w:lang w:val="en-GB"/>
        </w:rPr>
        <w:t xml:space="preserve">As indicated below, </w:t>
      </w:r>
      <w:r w:rsidR="00D37C2C" w:rsidRPr="009B6CB6">
        <w:rPr>
          <w:rFonts w:ascii="Arial" w:hAnsi="Arial" w:cs="Arial"/>
          <w:lang w:val="en-GB"/>
        </w:rPr>
        <w:t xml:space="preserve">I do not agree with this approach, because the context in which the dispute was </w:t>
      </w:r>
      <w:r w:rsidR="00867DB6" w:rsidRPr="009B6CB6">
        <w:rPr>
          <w:rFonts w:ascii="Arial" w:hAnsi="Arial" w:cs="Arial"/>
          <w:lang w:val="en-GB"/>
        </w:rPr>
        <w:t>determined remains an important consideration</w:t>
      </w:r>
      <w:r w:rsidR="00D37C2C" w:rsidRPr="009B6CB6">
        <w:rPr>
          <w:rFonts w:ascii="Arial" w:hAnsi="Arial" w:cs="Arial"/>
          <w:lang w:val="en-GB"/>
        </w:rPr>
        <w:t>.</w:t>
      </w:r>
    </w:p>
    <w:p w14:paraId="30C5EADE" w14:textId="77777777" w:rsidR="00450D59" w:rsidRPr="00A703A4" w:rsidRDefault="00450D59" w:rsidP="00A703A4">
      <w:pPr>
        <w:pStyle w:val="ListParagraph"/>
        <w:widowControl w:val="0"/>
        <w:spacing w:line="360" w:lineRule="auto"/>
        <w:jc w:val="both"/>
        <w:rPr>
          <w:rFonts w:ascii="Arial" w:hAnsi="Arial" w:cs="Arial"/>
          <w:lang w:val="en-GB"/>
        </w:rPr>
      </w:pPr>
    </w:p>
    <w:p w14:paraId="40EA19D4" w14:textId="48005575" w:rsidR="00450D59" w:rsidRPr="009B6CB6" w:rsidRDefault="009B6CB6" w:rsidP="009B6CB6">
      <w:pPr>
        <w:widowControl w:val="0"/>
        <w:tabs>
          <w:tab w:val="left" w:pos="720"/>
        </w:tabs>
        <w:spacing w:line="360" w:lineRule="auto"/>
        <w:ind w:left="720" w:hanging="720"/>
        <w:jc w:val="both"/>
        <w:rPr>
          <w:rFonts w:ascii="Arial" w:hAnsi="Arial" w:cs="Arial"/>
          <w:lang w:val="en-GB"/>
        </w:rPr>
      </w:pPr>
      <w:r w:rsidRPr="00A703A4">
        <w:rPr>
          <w:rFonts w:ascii="Arial" w:hAnsi="Arial" w:cs="Arial"/>
          <w:lang w:val="en-GB"/>
        </w:rPr>
        <w:t>3.</w:t>
      </w:r>
      <w:r w:rsidRPr="00A703A4">
        <w:rPr>
          <w:rFonts w:ascii="Arial" w:hAnsi="Arial" w:cs="Arial"/>
          <w:lang w:val="en-GB"/>
        </w:rPr>
        <w:tab/>
      </w:r>
      <w:r w:rsidR="00450D59" w:rsidRPr="009B6CB6">
        <w:rPr>
          <w:rFonts w:ascii="Arial" w:hAnsi="Arial" w:cs="Arial"/>
          <w:lang w:val="en-GB"/>
        </w:rPr>
        <w:t>The plai</w:t>
      </w:r>
      <w:r w:rsidR="00D37C2C" w:rsidRPr="009B6CB6">
        <w:rPr>
          <w:rFonts w:ascii="Arial" w:hAnsi="Arial" w:cs="Arial"/>
          <w:lang w:val="en-GB"/>
        </w:rPr>
        <w:t>ntiff</w:t>
      </w:r>
      <w:r w:rsidR="00450D59" w:rsidRPr="009B6CB6">
        <w:rPr>
          <w:rFonts w:ascii="Arial" w:hAnsi="Arial" w:cs="Arial"/>
          <w:lang w:val="en-GB"/>
        </w:rPr>
        <w:t xml:space="preserve"> oppose</w:t>
      </w:r>
      <w:r w:rsidR="00D37C2C" w:rsidRPr="009B6CB6">
        <w:rPr>
          <w:rFonts w:ascii="Arial" w:hAnsi="Arial" w:cs="Arial"/>
          <w:lang w:val="en-GB"/>
        </w:rPr>
        <w:t>s</w:t>
      </w:r>
      <w:r w:rsidR="00450D59" w:rsidRPr="009B6CB6">
        <w:rPr>
          <w:rFonts w:ascii="Arial" w:hAnsi="Arial" w:cs="Arial"/>
          <w:lang w:val="en-GB"/>
        </w:rPr>
        <w:t xml:space="preserve"> the application for leave to appeal on the basis that the appeal would not have a reasonable prospect of success (</w:t>
      </w:r>
      <w:r w:rsidR="00867DB6" w:rsidRPr="009B6CB6">
        <w:rPr>
          <w:rFonts w:ascii="Arial" w:hAnsi="Arial" w:cs="Arial"/>
          <w:lang w:val="en-GB"/>
        </w:rPr>
        <w:t>as contemplated in</w:t>
      </w:r>
      <w:r w:rsidR="00450D59" w:rsidRPr="009B6CB6">
        <w:rPr>
          <w:rFonts w:ascii="Arial" w:hAnsi="Arial" w:cs="Arial"/>
          <w:lang w:val="en-GB"/>
        </w:rPr>
        <w:t xml:space="preserve"> section </w:t>
      </w:r>
      <w:r w:rsidR="00262C18" w:rsidRPr="009B6CB6">
        <w:rPr>
          <w:rFonts w:ascii="Arial" w:hAnsi="Arial" w:cs="Arial"/>
          <w:lang w:val="en-GB"/>
        </w:rPr>
        <w:t>17(1</w:t>
      </w:r>
      <w:proofErr w:type="gramStart"/>
      <w:r w:rsidR="00262C18" w:rsidRPr="009B6CB6">
        <w:rPr>
          <w:rFonts w:ascii="Arial" w:hAnsi="Arial" w:cs="Arial"/>
          <w:lang w:val="en-GB"/>
        </w:rPr>
        <w:t>)(</w:t>
      </w:r>
      <w:proofErr w:type="gramEnd"/>
      <w:r w:rsidR="00262C18" w:rsidRPr="009B6CB6">
        <w:rPr>
          <w:rFonts w:ascii="Arial" w:hAnsi="Arial" w:cs="Arial"/>
          <w:lang w:val="en-GB"/>
        </w:rPr>
        <w:t>a)(</w:t>
      </w:r>
      <w:proofErr w:type="spellStart"/>
      <w:r w:rsidR="00262C18" w:rsidRPr="009B6CB6">
        <w:rPr>
          <w:rFonts w:ascii="Arial" w:hAnsi="Arial" w:cs="Arial"/>
          <w:lang w:val="en-GB"/>
        </w:rPr>
        <w:t>i</w:t>
      </w:r>
      <w:proofErr w:type="spellEnd"/>
      <w:r w:rsidR="00262C18" w:rsidRPr="009B6CB6">
        <w:rPr>
          <w:rFonts w:ascii="Arial" w:hAnsi="Arial" w:cs="Arial"/>
          <w:lang w:val="en-GB"/>
        </w:rPr>
        <w:t>) of the Superior Courts Act 10 of 2013),</w:t>
      </w:r>
      <w:r w:rsidR="00262C18" w:rsidRPr="00A703A4">
        <w:rPr>
          <w:rStyle w:val="FootnoteReference"/>
          <w:rFonts w:ascii="Arial" w:hAnsi="Arial" w:cs="Arial"/>
          <w:lang w:val="en-GB"/>
        </w:rPr>
        <w:footnoteReference w:id="1"/>
      </w:r>
      <w:r w:rsidR="00262C18" w:rsidRPr="009B6CB6">
        <w:rPr>
          <w:rFonts w:ascii="Arial" w:hAnsi="Arial" w:cs="Arial"/>
          <w:lang w:val="en-GB"/>
        </w:rPr>
        <w:t xml:space="preserve"> </w:t>
      </w:r>
      <w:r w:rsidR="00201BDF" w:rsidRPr="009B6CB6">
        <w:rPr>
          <w:rFonts w:ascii="Arial" w:hAnsi="Arial" w:cs="Arial"/>
          <w:lang w:val="en-GB"/>
        </w:rPr>
        <w:t>and</w:t>
      </w:r>
      <w:r w:rsidR="00262C18" w:rsidRPr="009B6CB6">
        <w:rPr>
          <w:rFonts w:ascii="Arial" w:hAnsi="Arial" w:cs="Arial"/>
          <w:lang w:val="en-GB"/>
        </w:rPr>
        <w:t xml:space="preserve"> that there is no other compelling reason why the appeal should be heard (in terms of section 19(7)(2)(a)(ii) of the Superior Courts Act).</w:t>
      </w:r>
    </w:p>
    <w:p w14:paraId="74C7112F" w14:textId="77777777" w:rsidR="00262C18" w:rsidRPr="00A703A4" w:rsidRDefault="00262C18" w:rsidP="00A703A4">
      <w:pPr>
        <w:pStyle w:val="ListParagraph"/>
        <w:widowControl w:val="0"/>
        <w:spacing w:line="360" w:lineRule="auto"/>
        <w:jc w:val="both"/>
        <w:rPr>
          <w:rFonts w:ascii="Arial" w:hAnsi="Arial" w:cs="Arial"/>
          <w:lang w:val="en-GB"/>
        </w:rPr>
      </w:pPr>
    </w:p>
    <w:p w14:paraId="62D9EFB5" w14:textId="5A1EAC4F" w:rsidR="00262C18" w:rsidRPr="009B6CB6" w:rsidRDefault="009B6CB6" w:rsidP="009B6CB6">
      <w:pPr>
        <w:widowControl w:val="0"/>
        <w:tabs>
          <w:tab w:val="left" w:pos="720"/>
        </w:tabs>
        <w:spacing w:line="360" w:lineRule="auto"/>
        <w:ind w:left="720" w:hanging="720"/>
        <w:jc w:val="both"/>
        <w:rPr>
          <w:rFonts w:ascii="Arial" w:hAnsi="Arial" w:cs="Arial"/>
          <w:lang w:val="en-GB"/>
        </w:rPr>
      </w:pPr>
      <w:r w:rsidRPr="00A703A4">
        <w:rPr>
          <w:rFonts w:ascii="Arial" w:hAnsi="Arial" w:cs="Arial"/>
          <w:lang w:val="en-GB"/>
        </w:rPr>
        <w:t>4.</w:t>
      </w:r>
      <w:r w:rsidRPr="00A703A4">
        <w:rPr>
          <w:rFonts w:ascii="Arial" w:hAnsi="Arial" w:cs="Arial"/>
          <w:lang w:val="en-GB"/>
        </w:rPr>
        <w:tab/>
      </w:r>
      <w:r w:rsidR="00262C18" w:rsidRPr="009B6CB6">
        <w:rPr>
          <w:rFonts w:ascii="Arial" w:hAnsi="Arial" w:cs="Arial"/>
          <w:lang w:val="en-GB"/>
        </w:rPr>
        <w:t xml:space="preserve">Both parties </w:t>
      </w:r>
      <w:r w:rsidR="00D37C2C" w:rsidRPr="009B6CB6">
        <w:rPr>
          <w:rFonts w:ascii="Arial" w:hAnsi="Arial" w:cs="Arial"/>
          <w:lang w:val="en-GB"/>
        </w:rPr>
        <w:t xml:space="preserve">have </w:t>
      </w:r>
      <w:r w:rsidR="00262C18" w:rsidRPr="009B6CB6">
        <w:rPr>
          <w:rFonts w:ascii="Arial" w:hAnsi="Arial" w:cs="Arial"/>
          <w:lang w:val="en-GB"/>
        </w:rPr>
        <w:t xml:space="preserve">provided the Court with helpful </w:t>
      </w:r>
      <w:r w:rsidR="00867DB6" w:rsidRPr="009B6CB6">
        <w:rPr>
          <w:rFonts w:ascii="Arial" w:hAnsi="Arial" w:cs="Arial"/>
          <w:lang w:val="en-GB"/>
        </w:rPr>
        <w:t xml:space="preserve">written and oral </w:t>
      </w:r>
      <w:r w:rsidR="00262C18" w:rsidRPr="009B6CB6">
        <w:rPr>
          <w:rFonts w:ascii="Arial" w:hAnsi="Arial" w:cs="Arial"/>
          <w:lang w:val="en-GB"/>
        </w:rPr>
        <w:t xml:space="preserve">submissions, for which I am grateful.  I have considered </w:t>
      </w:r>
      <w:r w:rsidR="00867DB6" w:rsidRPr="009B6CB6">
        <w:rPr>
          <w:rFonts w:ascii="Arial" w:hAnsi="Arial" w:cs="Arial"/>
          <w:lang w:val="en-GB"/>
        </w:rPr>
        <w:t xml:space="preserve">all of </w:t>
      </w:r>
      <w:r w:rsidR="00262C18" w:rsidRPr="009B6CB6">
        <w:rPr>
          <w:rFonts w:ascii="Arial" w:hAnsi="Arial" w:cs="Arial"/>
          <w:lang w:val="en-GB"/>
        </w:rPr>
        <w:t>the</w:t>
      </w:r>
      <w:r w:rsidR="00867DB6" w:rsidRPr="009B6CB6">
        <w:rPr>
          <w:rFonts w:ascii="Arial" w:hAnsi="Arial" w:cs="Arial"/>
          <w:lang w:val="en-GB"/>
        </w:rPr>
        <w:t xml:space="preserve"> submissions</w:t>
      </w:r>
      <w:r w:rsidR="00262C18" w:rsidRPr="009B6CB6">
        <w:rPr>
          <w:rFonts w:ascii="Arial" w:hAnsi="Arial" w:cs="Arial"/>
          <w:lang w:val="en-GB"/>
        </w:rPr>
        <w:t xml:space="preserve"> and, again, do not intend to traverse them in detail.</w:t>
      </w:r>
    </w:p>
    <w:p w14:paraId="0EAC133B" w14:textId="77777777" w:rsidR="00262C18" w:rsidRPr="00A703A4" w:rsidRDefault="00262C18" w:rsidP="00A703A4">
      <w:pPr>
        <w:widowControl w:val="0"/>
        <w:spacing w:line="360" w:lineRule="auto"/>
        <w:contextualSpacing/>
        <w:jc w:val="both"/>
        <w:rPr>
          <w:rFonts w:ascii="Arial" w:hAnsi="Arial" w:cs="Arial"/>
          <w:lang w:val="en-GB"/>
        </w:rPr>
      </w:pPr>
    </w:p>
    <w:p w14:paraId="12A6377D" w14:textId="18CF6884" w:rsidR="00201BDF" w:rsidRPr="00A703A4" w:rsidRDefault="00201BDF" w:rsidP="00A703A4">
      <w:pPr>
        <w:widowControl w:val="0"/>
        <w:spacing w:line="360" w:lineRule="auto"/>
        <w:contextualSpacing/>
        <w:jc w:val="both"/>
        <w:rPr>
          <w:rFonts w:ascii="Arial" w:hAnsi="Arial" w:cs="Arial"/>
          <w:b/>
          <w:bCs/>
          <w:u w:val="single"/>
          <w:lang w:val="en-GB"/>
        </w:rPr>
      </w:pPr>
      <w:r w:rsidRPr="00A703A4">
        <w:rPr>
          <w:rFonts w:ascii="Arial" w:hAnsi="Arial" w:cs="Arial"/>
          <w:b/>
          <w:bCs/>
          <w:u w:val="single"/>
          <w:lang w:val="en-GB"/>
        </w:rPr>
        <w:t>The interpretation of Rule 32 in the present matter</w:t>
      </w:r>
    </w:p>
    <w:p w14:paraId="07A7917F" w14:textId="77777777" w:rsidR="00201BDF" w:rsidRPr="00A703A4" w:rsidRDefault="00201BDF" w:rsidP="00A703A4">
      <w:pPr>
        <w:widowControl w:val="0"/>
        <w:spacing w:line="360" w:lineRule="auto"/>
        <w:contextualSpacing/>
        <w:jc w:val="both"/>
        <w:rPr>
          <w:rFonts w:ascii="Arial" w:hAnsi="Arial" w:cs="Arial"/>
          <w:lang w:val="en-GB"/>
        </w:rPr>
      </w:pPr>
    </w:p>
    <w:p w14:paraId="456A271C" w14:textId="4942C01A" w:rsidR="00D37C2C" w:rsidRPr="009B6CB6" w:rsidRDefault="009B6CB6" w:rsidP="009B6CB6">
      <w:pPr>
        <w:widowControl w:val="0"/>
        <w:tabs>
          <w:tab w:val="left" w:pos="720"/>
        </w:tabs>
        <w:spacing w:line="360" w:lineRule="auto"/>
        <w:ind w:left="720" w:hanging="720"/>
        <w:jc w:val="both"/>
        <w:rPr>
          <w:rFonts w:ascii="Arial" w:hAnsi="Arial" w:cs="Arial"/>
          <w:lang w:val="en-GB"/>
        </w:rPr>
      </w:pPr>
      <w:r w:rsidRPr="00A703A4">
        <w:rPr>
          <w:rFonts w:ascii="Arial" w:hAnsi="Arial" w:cs="Arial"/>
          <w:lang w:val="en-GB"/>
        </w:rPr>
        <w:t>5.</w:t>
      </w:r>
      <w:r w:rsidRPr="00A703A4">
        <w:rPr>
          <w:rFonts w:ascii="Arial" w:hAnsi="Arial" w:cs="Arial"/>
          <w:lang w:val="en-GB"/>
        </w:rPr>
        <w:tab/>
      </w:r>
      <w:r w:rsidR="00201BDF" w:rsidRPr="009B6CB6">
        <w:rPr>
          <w:rFonts w:ascii="Arial" w:hAnsi="Arial" w:cs="Arial"/>
          <w:lang w:val="en-GB"/>
        </w:rPr>
        <w:t>As regards the merits of the case in</w:t>
      </w:r>
      <w:r w:rsidR="00867DB6" w:rsidRPr="009B6CB6">
        <w:rPr>
          <w:rFonts w:ascii="Arial" w:hAnsi="Arial" w:cs="Arial"/>
          <w:lang w:val="en-GB"/>
        </w:rPr>
        <w:t xml:space="preserve"> relation to the</w:t>
      </w:r>
      <w:r w:rsidR="00201BDF" w:rsidRPr="009B6CB6">
        <w:rPr>
          <w:rFonts w:ascii="Arial" w:hAnsi="Arial" w:cs="Arial"/>
          <w:lang w:val="en-GB"/>
        </w:rPr>
        <w:t xml:space="preserve"> interpretation of Rule 32, </w:t>
      </w:r>
      <w:r w:rsidR="00262C18" w:rsidRPr="009B6CB6">
        <w:rPr>
          <w:rFonts w:ascii="Arial" w:hAnsi="Arial" w:cs="Arial"/>
          <w:lang w:val="en-GB"/>
        </w:rPr>
        <w:t xml:space="preserve">I agree with the plaintiff that </w:t>
      </w:r>
      <w:r w:rsidR="00096E59" w:rsidRPr="009B6CB6">
        <w:rPr>
          <w:rFonts w:ascii="Arial" w:hAnsi="Arial" w:cs="Arial"/>
          <w:lang w:val="en-GB"/>
        </w:rPr>
        <w:t xml:space="preserve">all of the defendant’s arguments </w:t>
      </w:r>
      <w:r w:rsidR="00A94575" w:rsidRPr="009B6CB6">
        <w:rPr>
          <w:rFonts w:ascii="Arial" w:hAnsi="Arial" w:cs="Arial"/>
          <w:lang w:val="en-GB"/>
        </w:rPr>
        <w:t>were</w:t>
      </w:r>
      <w:r w:rsidR="00096E59" w:rsidRPr="009B6CB6">
        <w:rPr>
          <w:rFonts w:ascii="Arial" w:hAnsi="Arial" w:cs="Arial"/>
          <w:lang w:val="en-GB"/>
        </w:rPr>
        <w:t xml:space="preserve"> considered</w:t>
      </w:r>
      <w:r w:rsidR="00D37C2C" w:rsidRPr="009B6CB6">
        <w:rPr>
          <w:rFonts w:ascii="Arial" w:hAnsi="Arial" w:cs="Arial"/>
          <w:lang w:val="en-GB"/>
        </w:rPr>
        <w:t xml:space="preserve"> in the course of the main judgment.  I have not read, or heard, anything in the defendant’s submissions </w:t>
      </w:r>
      <w:r w:rsidR="00867DB6" w:rsidRPr="009B6CB6">
        <w:rPr>
          <w:rFonts w:ascii="Arial" w:hAnsi="Arial" w:cs="Arial"/>
          <w:lang w:val="en-GB"/>
        </w:rPr>
        <w:t>during argument</w:t>
      </w:r>
      <w:r w:rsidR="00A94575" w:rsidRPr="009B6CB6">
        <w:rPr>
          <w:rFonts w:ascii="Arial" w:hAnsi="Arial" w:cs="Arial"/>
          <w:lang w:val="en-GB"/>
        </w:rPr>
        <w:t xml:space="preserve"> of the application for leave to appeal </w:t>
      </w:r>
      <w:r w:rsidR="00D37C2C" w:rsidRPr="009B6CB6">
        <w:rPr>
          <w:rFonts w:ascii="Arial" w:hAnsi="Arial" w:cs="Arial"/>
          <w:lang w:val="en-GB"/>
        </w:rPr>
        <w:t xml:space="preserve">that I think </w:t>
      </w:r>
      <w:r w:rsidR="00867DB6" w:rsidRPr="009B6CB6">
        <w:rPr>
          <w:rFonts w:ascii="Arial" w:hAnsi="Arial" w:cs="Arial"/>
          <w:lang w:val="en-GB"/>
        </w:rPr>
        <w:t xml:space="preserve">would persuade another </w:t>
      </w:r>
      <w:r w:rsidR="00D37C2C" w:rsidRPr="009B6CB6">
        <w:rPr>
          <w:rFonts w:ascii="Arial" w:hAnsi="Arial" w:cs="Arial"/>
          <w:lang w:val="en-GB"/>
        </w:rPr>
        <w:t xml:space="preserve">Court </w:t>
      </w:r>
      <w:r w:rsidR="00867DB6" w:rsidRPr="009B6CB6">
        <w:rPr>
          <w:rFonts w:ascii="Arial" w:hAnsi="Arial" w:cs="Arial"/>
          <w:lang w:val="en-GB"/>
        </w:rPr>
        <w:t>to come to a different conclusion</w:t>
      </w:r>
      <w:r w:rsidR="00D37C2C" w:rsidRPr="009B6CB6">
        <w:rPr>
          <w:rFonts w:ascii="Arial" w:hAnsi="Arial" w:cs="Arial"/>
          <w:lang w:val="en-GB"/>
        </w:rPr>
        <w:t>.</w:t>
      </w:r>
    </w:p>
    <w:p w14:paraId="6FE822BC" w14:textId="77777777" w:rsidR="00D37C2C" w:rsidRPr="00A703A4" w:rsidRDefault="00D37C2C" w:rsidP="00A703A4">
      <w:pPr>
        <w:pStyle w:val="ListParagraph"/>
        <w:widowControl w:val="0"/>
        <w:spacing w:line="360" w:lineRule="auto"/>
        <w:jc w:val="both"/>
        <w:rPr>
          <w:rFonts w:ascii="Arial" w:hAnsi="Arial" w:cs="Arial"/>
          <w:lang w:val="en-GB"/>
        </w:rPr>
      </w:pPr>
    </w:p>
    <w:p w14:paraId="1DBBA2F2" w14:textId="652C0E57" w:rsidR="00D37C2C" w:rsidRPr="009B6CB6" w:rsidRDefault="009B6CB6" w:rsidP="009B6CB6">
      <w:pPr>
        <w:widowControl w:val="0"/>
        <w:tabs>
          <w:tab w:val="left" w:pos="720"/>
        </w:tabs>
        <w:spacing w:line="360" w:lineRule="auto"/>
        <w:ind w:left="720" w:hanging="720"/>
        <w:jc w:val="both"/>
        <w:rPr>
          <w:rFonts w:ascii="Arial" w:hAnsi="Arial" w:cs="Arial"/>
          <w:lang w:val="en-GB"/>
        </w:rPr>
      </w:pPr>
      <w:r w:rsidRPr="00A703A4">
        <w:rPr>
          <w:rFonts w:ascii="Arial" w:hAnsi="Arial" w:cs="Arial"/>
          <w:lang w:val="en-GB"/>
        </w:rPr>
        <w:t>6.</w:t>
      </w:r>
      <w:r w:rsidRPr="00A703A4">
        <w:rPr>
          <w:rFonts w:ascii="Arial" w:hAnsi="Arial" w:cs="Arial"/>
          <w:lang w:val="en-GB"/>
        </w:rPr>
        <w:tab/>
      </w:r>
      <w:r w:rsidR="00FA1A13" w:rsidRPr="009B6CB6">
        <w:rPr>
          <w:rFonts w:ascii="Arial" w:hAnsi="Arial" w:cs="Arial"/>
          <w:lang w:val="en-GB"/>
        </w:rPr>
        <w:t xml:space="preserve">One of the </w:t>
      </w:r>
      <w:r w:rsidR="00734542" w:rsidRPr="009B6CB6">
        <w:rPr>
          <w:rFonts w:ascii="Arial" w:hAnsi="Arial" w:cs="Arial"/>
          <w:lang w:val="en-GB"/>
        </w:rPr>
        <w:t>reasons why the Rule 30 context cannot be ignored</w:t>
      </w:r>
      <w:r w:rsidR="00FA1A13" w:rsidRPr="009B6CB6">
        <w:rPr>
          <w:rFonts w:ascii="Arial" w:hAnsi="Arial" w:cs="Arial"/>
          <w:lang w:val="en-GB"/>
        </w:rPr>
        <w:t xml:space="preserve"> is that</w:t>
      </w:r>
      <w:r w:rsidR="00D37C2C" w:rsidRPr="009B6CB6">
        <w:rPr>
          <w:rFonts w:ascii="Arial" w:hAnsi="Arial" w:cs="Arial"/>
        </w:rPr>
        <w:t xml:space="preserve"> this case does not concern matters of public policy. It concerns a matter of procedural law, namely whether the delivery of an application for summary judgment simultaneously</w:t>
      </w:r>
      <w:r w:rsidR="00D37C2C" w:rsidRPr="009B6CB6">
        <w:rPr>
          <w:rFonts w:ascii="Arial" w:hAnsi="Arial" w:cs="Arial"/>
          <w:spacing w:val="-11"/>
        </w:rPr>
        <w:t xml:space="preserve"> </w:t>
      </w:r>
      <w:r w:rsidR="00D37C2C" w:rsidRPr="009B6CB6">
        <w:rPr>
          <w:rFonts w:ascii="Arial" w:hAnsi="Arial" w:cs="Arial"/>
        </w:rPr>
        <w:t>with</w:t>
      </w:r>
      <w:r w:rsidR="00D37C2C" w:rsidRPr="009B6CB6">
        <w:rPr>
          <w:rFonts w:ascii="Arial" w:hAnsi="Arial" w:cs="Arial"/>
          <w:spacing w:val="-11"/>
        </w:rPr>
        <w:t xml:space="preserve"> </w:t>
      </w:r>
      <w:r w:rsidR="00D37C2C" w:rsidRPr="009B6CB6">
        <w:rPr>
          <w:rFonts w:ascii="Arial" w:hAnsi="Arial" w:cs="Arial"/>
        </w:rPr>
        <w:t>a</w:t>
      </w:r>
      <w:r w:rsidR="00D37C2C" w:rsidRPr="009B6CB6">
        <w:rPr>
          <w:rFonts w:ascii="Arial" w:hAnsi="Arial" w:cs="Arial"/>
          <w:spacing w:val="-12"/>
        </w:rPr>
        <w:t xml:space="preserve"> </w:t>
      </w:r>
      <w:r w:rsidR="00D37C2C" w:rsidRPr="009B6CB6">
        <w:rPr>
          <w:rFonts w:ascii="Arial" w:hAnsi="Arial" w:cs="Arial"/>
        </w:rPr>
        <w:t>replication</w:t>
      </w:r>
      <w:r w:rsidR="00D37C2C" w:rsidRPr="009B6CB6">
        <w:rPr>
          <w:rFonts w:ascii="Arial" w:hAnsi="Arial" w:cs="Arial"/>
          <w:spacing w:val="-11"/>
        </w:rPr>
        <w:t xml:space="preserve"> </w:t>
      </w:r>
      <w:r w:rsidR="00D37C2C" w:rsidRPr="009B6CB6">
        <w:rPr>
          <w:rFonts w:ascii="Arial" w:hAnsi="Arial" w:cs="Arial"/>
        </w:rPr>
        <w:t>to</w:t>
      </w:r>
      <w:r w:rsidR="00D37C2C" w:rsidRPr="009B6CB6">
        <w:rPr>
          <w:rFonts w:ascii="Arial" w:hAnsi="Arial" w:cs="Arial"/>
          <w:spacing w:val="-11"/>
        </w:rPr>
        <w:t xml:space="preserve"> </w:t>
      </w:r>
      <w:r w:rsidR="00D37C2C" w:rsidRPr="009B6CB6">
        <w:rPr>
          <w:rFonts w:ascii="Arial" w:hAnsi="Arial" w:cs="Arial"/>
        </w:rPr>
        <w:t>a</w:t>
      </w:r>
      <w:r w:rsidR="00D37C2C" w:rsidRPr="009B6CB6">
        <w:rPr>
          <w:rFonts w:ascii="Arial" w:hAnsi="Arial" w:cs="Arial"/>
          <w:spacing w:val="-12"/>
        </w:rPr>
        <w:t xml:space="preserve"> </w:t>
      </w:r>
      <w:r w:rsidR="00D37C2C" w:rsidRPr="009B6CB6">
        <w:rPr>
          <w:rFonts w:ascii="Arial" w:hAnsi="Arial" w:cs="Arial"/>
        </w:rPr>
        <w:t>plea</w:t>
      </w:r>
      <w:r w:rsidR="00D37C2C" w:rsidRPr="009B6CB6">
        <w:rPr>
          <w:rFonts w:ascii="Arial" w:hAnsi="Arial" w:cs="Arial"/>
          <w:spacing w:val="-9"/>
        </w:rPr>
        <w:t xml:space="preserve"> </w:t>
      </w:r>
      <w:r w:rsidR="00D37C2C" w:rsidRPr="009B6CB6">
        <w:rPr>
          <w:rFonts w:ascii="Arial" w:hAnsi="Arial" w:cs="Arial"/>
        </w:rPr>
        <w:t>renders</w:t>
      </w:r>
      <w:r w:rsidR="00D37C2C" w:rsidRPr="009B6CB6">
        <w:rPr>
          <w:rFonts w:ascii="Arial" w:hAnsi="Arial" w:cs="Arial"/>
          <w:spacing w:val="-12"/>
        </w:rPr>
        <w:t xml:space="preserve"> </w:t>
      </w:r>
      <w:r w:rsidR="00D37C2C" w:rsidRPr="009B6CB6">
        <w:rPr>
          <w:rFonts w:ascii="Arial" w:hAnsi="Arial" w:cs="Arial"/>
        </w:rPr>
        <w:t>the</w:t>
      </w:r>
      <w:r w:rsidR="00D37C2C" w:rsidRPr="009B6CB6">
        <w:rPr>
          <w:rFonts w:ascii="Arial" w:hAnsi="Arial" w:cs="Arial"/>
          <w:spacing w:val="-12"/>
        </w:rPr>
        <w:t xml:space="preserve"> </w:t>
      </w:r>
      <w:r w:rsidR="00D37C2C" w:rsidRPr="009B6CB6">
        <w:rPr>
          <w:rFonts w:ascii="Arial" w:hAnsi="Arial" w:cs="Arial"/>
        </w:rPr>
        <w:t>application</w:t>
      </w:r>
      <w:r w:rsidR="00D37C2C" w:rsidRPr="009B6CB6">
        <w:rPr>
          <w:rFonts w:ascii="Arial" w:hAnsi="Arial" w:cs="Arial"/>
          <w:spacing w:val="-11"/>
        </w:rPr>
        <w:t xml:space="preserve"> </w:t>
      </w:r>
      <w:r w:rsidR="00D37C2C" w:rsidRPr="009B6CB6">
        <w:rPr>
          <w:rFonts w:ascii="Arial" w:hAnsi="Arial" w:cs="Arial"/>
        </w:rPr>
        <w:t>for</w:t>
      </w:r>
      <w:r w:rsidR="00D37C2C" w:rsidRPr="009B6CB6">
        <w:rPr>
          <w:rFonts w:ascii="Arial" w:hAnsi="Arial" w:cs="Arial"/>
          <w:spacing w:val="-12"/>
        </w:rPr>
        <w:t xml:space="preserve"> </w:t>
      </w:r>
      <w:r w:rsidR="00D37C2C" w:rsidRPr="009B6CB6">
        <w:rPr>
          <w:rFonts w:ascii="Arial" w:hAnsi="Arial" w:cs="Arial"/>
        </w:rPr>
        <w:t>summary</w:t>
      </w:r>
      <w:r w:rsidR="00D37C2C" w:rsidRPr="009B6CB6">
        <w:rPr>
          <w:rFonts w:ascii="Arial" w:hAnsi="Arial" w:cs="Arial"/>
          <w:spacing w:val="-12"/>
        </w:rPr>
        <w:t xml:space="preserve"> </w:t>
      </w:r>
      <w:r w:rsidR="00D37C2C" w:rsidRPr="009B6CB6">
        <w:rPr>
          <w:rFonts w:ascii="Arial" w:hAnsi="Arial" w:cs="Arial"/>
        </w:rPr>
        <w:t>judgment an irregular step as contemplated in Rule</w:t>
      </w:r>
      <w:r w:rsidR="00D37C2C" w:rsidRPr="009B6CB6">
        <w:rPr>
          <w:rFonts w:ascii="Arial" w:hAnsi="Arial" w:cs="Arial"/>
          <w:spacing w:val="-2"/>
        </w:rPr>
        <w:t xml:space="preserve"> </w:t>
      </w:r>
      <w:r w:rsidR="00D37C2C" w:rsidRPr="009B6CB6">
        <w:rPr>
          <w:rFonts w:ascii="Arial" w:hAnsi="Arial" w:cs="Arial"/>
        </w:rPr>
        <w:t>30.  The</w:t>
      </w:r>
      <w:r w:rsidR="00D37C2C" w:rsidRPr="009B6CB6">
        <w:rPr>
          <w:rFonts w:ascii="Arial" w:hAnsi="Arial" w:cs="Arial"/>
          <w:spacing w:val="-16"/>
        </w:rPr>
        <w:t xml:space="preserve"> </w:t>
      </w:r>
      <w:r w:rsidR="00D37C2C" w:rsidRPr="009B6CB6">
        <w:rPr>
          <w:rFonts w:ascii="Arial" w:hAnsi="Arial" w:cs="Arial"/>
        </w:rPr>
        <w:t>purpose</w:t>
      </w:r>
      <w:r w:rsidR="00D37C2C" w:rsidRPr="009B6CB6">
        <w:rPr>
          <w:rFonts w:ascii="Arial" w:hAnsi="Arial" w:cs="Arial"/>
          <w:spacing w:val="-16"/>
        </w:rPr>
        <w:t xml:space="preserve"> </w:t>
      </w:r>
      <w:r w:rsidR="00D37C2C" w:rsidRPr="009B6CB6">
        <w:rPr>
          <w:rFonts w:ascii="Arial" w:hAnsi="Arial" w:cs="Arial"/>
        </w:rPr>
        <w:t>of</w:t>
      </w:r>
      <w:r w:rsidR="00D37C2C" w:rsidRPr="009B6CB6">
        <w:rPr>
          <w:rFonts w:ascii="Arial" w:hAnsi="Arial" w:cs="Arial"/>
          <w:spacing w:val="-13"/>
        </w:rPr>
        <w:t xml:space="preserve"> </w:t>
      </w:r>
      <w:r w:rsidR="00D37C2C" w:rsidRPr="009B6CB6">
        <w:rPr>
          <w:rFonts w:ascii="Arial" w:hAnsi="Arial" w:cs="Arial"/>
        </w:rPr>
        <w:t>Rule</w:t>
      </w:r>
      <w:r w:rsidR="00D37C2C" w:rsidRPr="009B6CB6">
        <w:rPr>
          <w:rFonts w:ascii="Arial" w:hAnsi="Arial" w:cs="Arial"/>
          <w:spacing w:val="-15"/>
        </w:rPr>
        <w:t xml:space="preserve"> </w:t>
      </w:r>
      <w:r w:rsidR="00D37C2C" w:rsidRPr="009B6CB6">
        <w:rPr>
          <w:rFonts w:ascii="Arial" w:hAnsi="Arial" w:cs="Arial"/>
        </w:rPr>
        <w:t>30</w:t>
      </w:r>
      <w:r w:rsidR="00D37C2C" w:rsidRPr="009B6CB6">
        <w:rPr>
          <w:rFonts w:ascii="Arial" w:hAnsi="Arial" w:cs="Arial"/>
          <w:spacing w:val="-13"/>
        </w:rPr>
        <w:t xml:space="preserve"> </w:t>
      </w:r>
      <w:r w:rsidR="00D37C2C" w:rsidRPr="009B6CB6">
        <w:rPr>
          <w:rFonts w:ascii="Arial" w:hAnsi="Arial" w:cs="Arial"/>
        </w:rPr>
        <w:t>is</w:t>
      </w:r>
      <w:r w:rsidR="00D37C2C" w:rsidRPr="009B6CB6">
        <w:rPr>
          <w:rFonts w:ascii="Arial" w:hAnsi="Arial" w:cs="Arial"/>
          <w:spacing w:val="-14"/>
        </w:rPr>
        <w:t xml:space="preserve"> </w:t>
      </w:r>
      <w:r w:rsidR="00D37C2C" w:rsidRPr="009B6CB6">
        <w:rPr>
          <w:rFonts w:ascii="Arial" w:hAnsi="Arial" w:cs="Arial"/>
        </w:rPr>
        <w:t>to</w:t>
      </w:r>
      <w:r w:rsidR="00D37C2C" w:rsidRPr="009B6CB6">
        <w:rPr>
          <w:rFonts w:ascii="Arial" w:hAnsi="Arial" w:cs="Arial"/>
          <w:spacing w:val="-14"/>
        </w:rPr>
        <w:t xml:space="preserve"> </w:t>
      </w:r>
      <w:r w:rsidR="00D37C2C" w:rsidRPr="009B6CB6">
        <w:rPr>
          <w:rFonts w:ascii="Arial" w:hAnsi="Arial" w:cs="Arial"/>
        </w:rPr>
        <w:t>remove</w:t>
      </w:r>
      <w:r w:rsidR="00D37C2C" w:rsidRPr="009B6CB6">
        <w:rPr>
          <w:rFonts w:ascii="Arial" w:hAnsi="Arial" w:cs="Arial"/>
          <w:spacing w:val="-16"/>
        </w:rPr>
        <w:t xml:space="preserve"> </w:t>
      </w:r>
      <w:r w:rsidR="00D37C2C" w:rsidRPr="009B6CB6">
        <w:rPr>
          <w:rFonts w:ascii="Arial" w:hAnsi="Arial" w:cs="Arial"/>
        </w:rPr>
        <w:t>steps</w:t>
      </w:r>
      <w:r w:rsidR="00D37C2C" w:rsidRPr="009B6CB6">
        <w:rPr>
          <w:rFonts w:ascii="Arial" w:hAnsi="Arial" w:cs="Arial"/>
          <w:spacing w:val="-13"/>
        </w:rPr>
        <w:t xml:space="preserve"> </w:t>
      </w:r>
      <w:r w:rsidR="00D37C2C" w:rsidRPr="009B6CB6">
        <w:rPr>
          <w:rFonts w:ascii="Arial" w:hAnsi="Arial" w:cs="Arial"/>
        </w:rPr>
        <w:t>in</w:t>
      </w:r>
      <w:r w:rsidR="00D37C2C" w:rsidRPr="009B6CB6">
        <w:rPr>
          <w:rFonts w:ascii="Arial" w:hAnsi="Arial" w:cs="Arial"/>
          <w:spacing w:val="-14"/>
        </w:rPr>
        <w:t xml:space="preserve"> </w:t>
      </w:r>
      <w:r w:rsidR="00D37C2C" w:rsidRPr="009B6CB6">
        <w:rPr>
          <w:rFonts w:ascii="Arial" w:hAnsi="Arial" w:cs="Arial"/>
        </w:rPr>
        <w:t>proceedings</w:t>
      </w:r>
      <w:r w:rsidR="00D37C2C" w:rsidRPr="009B6CB6">
        <w:rPr>
          <w:rFonts w:ascii="Arial" w:hAnsi="Arial" w:cs="Arial"/>
          <w:spacing w:val="-14"/>
        </w:rPr>
        <w:t xml:space="preserve"> </w:t>
      </w:r>
      <w:r w:rsidR="00D37C2C" w:rsidRPr="009B6CB6">
        <w:rPr>
          <w:rFonts w:ascii="Arial" w:hAnsi="Arial" w:cs="Arial"/>
        </w:rPr>
        <w:t>that</w:t>
      </w:r>
      <w:r w:rsidR="00D37C2C" w:rsidRPr="009B6CB6">
        <w:rPr>
          <w:rFonts w:ascii="Arial" w:hAnsi="Arial" w:cs="Arial"/>
          <w:spacing w:val="-15"/>
        </w:rPr>
        <w:t xml:space="preserve"> </w:t>
      </w:r>
      <w:r w:rsidR="00D37C2C" w:rsidRPr="009B6CB6">
        <w:rPr>
          <w:rFonts w:ascii="Arial" w:hAnsi="Arial" w:cs="Arial"/>
        </w:rPr>
        <w:t>prevent</w:t>
      </w:r>
      <w:r w:rsidR="00D37C2C" w:rsidRPr="009B6CB6">
        <w:rPr>
          <w:rFonts w:ascii="Arial" w:hAnsi="Arial" w:cs="Arial"/>
          <w:spacing w:val="-14"/>
        </w:rPr>
        <w:t xml:space="preserve"> </w:t>
      </w:r>
      <w:r w:rsidR="00D37C2C" w:rsidRPr="009B6CB6">
        <w:rPr>
          <w:rFonts w:ascii="Arial" w:hAnsi="Arial" w:cs="Arial"/>
        </w:rPr>
        <w:t>a</w:t>
      </w:r>
      <w:r w:rsidR="00D37C2C" w:rsidRPr="009B6CB6">
        <w:rPr>
          <w:rFonts w:ascii="Arial" w:hAnsi="Arial" w:cs="Arial"/>
          <w:spacing w:val="-14"/>
        </w:rPr>
        <w:t xml:space="preserve"> </w:t>
      </w:r>
      <w:r w:rsidR="00D37C2C" w:rsidRPr="009B6CB6">
        <w:rPr>
          <w:rFonts w:ascii="Arial" w:hAnsi="Arial" w:cs="Arial"/>
        </w:rPr>
        <w:t>proper</w:t>
      </w:r>
      <w:r w:rsidR="00D37C2C" w:rsidRPr="009B6CB6">
        <w:rPr>
          <w:rFonts w:ascii="Arial" w:hAnsi="Arial" w:cs="Arial"/>
          <w:spacing w:val="-16"/>
        </w:rPr>
        <w:t xml:space="preserve"> </w:t>
      </w:r>
      <w:r w:rsidR="00D37C2C" w:rsidRPr="009B6CB6">
        <w:rPr>
          <w:rFonts w:ascii="Arial" w:hAnsi="Arial" w:cs="Arial"/>
        </w:rPr>
        <w:t>ventilation of</w:t>
      </w:r>
      <w:r w:rsidR="00D37C2C" w:rsidRPr="009B6CB6">
        <w:rPr>
          <w:rFonts w:ascii="Arial" w:hAnsi="Arial" w:cs="Arial"/>
          <w:spacing w:val="-13"/>
        </w:rPr>
        <w:t xml:space="preserve"> </w:t>
      </w:r>
      <w:r w:rsidR="00D37C2C" w:rsidRPr="009B6CB6">
        <w:rPr>
          <w:rFonts w:ascii="Arial" w:hAnsi="Arial" w:cs="Arial"/>
        </w:rPr>
        <w:t>the</w:t>
      </w:r>
      <w:r w:rsidR="00D37C2C" w:rsidRPr="009B6CB6">
        <w:rPr>
          <w:rFonts w:ascii="Arial" w:hAnsi="Arial" w:cs="Arial"/>
          <w:spacing w:val="-13"/>
        </w:rPr>
        <w:t xml:space="preserve"> </w:t>
      </w:r>
      <w:r w:rsidR="00D37C2C" w:rsidRPr="009B6CB6">
        <w:rPr>
          <w:rFonts w:ascii="Arial" w:hAnsi="Arial" w:cs="Arial"/>
        </w:rPr>
        <w:t>dispute,</w:t>
      </w:r>
      <w:r w:rsidR="00D37C2C" w:rsidRPr="009B6CB6">
        <w:rPr>
          <w:rFonts w:ascii="Arial" w:hAnsi="Arial" w:cs="Arial"/>
          <w:spacing w:val="-13"/>
        </w:rPr>
        <w:t xml:space="preserve"> </w:t>
      </w:r>
      <w:r w:rsidR="00734542" w:rsidRPr="009B6CB6">
        <w:rPr>
          <w:rFonts w:ascii="Arial" w:hAnsi="Arial" w:cs="Arial"/>
          <w:spacing w:val="-13"/>
        </w:rPr>
        <w:t xml:space="preserve">thus </w:t>
      </w:r>
      <w:r w:rsidR="00D37C2C" w:rsidRPr="009B6CB6">
        <w:rPr>
          <w:rFonts w:ascii="Arial" w:hAnsi="Arial" w:cs="Arial"/>
        </w:rPr>
        <w:t>undermining</w:t>
      </w:r>
      <w:r w:rsidR="00D37C2C" w:rsidRPr="009B6CB6">
        <w:rPr>
          <w:rFonts w:ascii="Arial" w:hAnsi="Arial" w:cs="Arial"/>
          <w:spacing w:val="-12"/>
        </w:rPr>
        <w:t xml:space="preserve"> </w:t>
      </w:r>
      <w:r w:rsidR="00D37C2C" w:rsidRPr="009B6CB6">
        <w:rPr>
          <w:rFonts w:ascii="Arial" w:hAnsi="Arial" w:cs="Arial"/>
        </w:rPr>
        <w:t>the</w:t>
      </w:r>
      <w:r w:rsidR="00D37C2C" w:rsidRPr="009B6CB6">
        <w:rPr>
          <w:rFonts w:ascii="Arial" w:hAnsi="Arial" w:cs="Arial"/>
          <w:spacing w:val="-13"/>
        </w:rPr>
        <w:t xml:space="preserve"> </w:t>
      </w:r>
      <w:r w:rsidR="00D37C2C" w:rsidRPr="009B6CB6">
        <w:rPr>
          <w:rFonts w:ascii="Arial" w:hAnsi="Arial" w:cs="Arial"/>
        </w:rPr>
        <w:t>right</w:t>
      </w:r>
      <w:r w:rsidR="00D37C2C" w:rsidRPr="009B6CB6">
        <w:rPr>
          <w:rFonts w:ascii="Arial" w:hAnsi="Arial" w:cs="Arial"/>
          <w:spacing w:val="-12"/>
        </w:rPr>
        <w:t xml:space="preserve"> </w:t>
      </w:r>
      <w:r w:rsidR="00D37C2C" w:rsidRPr="009B6CB6">
        <w:rPr>
          <w:rFonts w:ascii="Arial" w:hAnsi="Arial" w:cs="Arial"/>
        </w:rPr>
        <w:t>to</w:t>
      </w:r>
      <w:r w:rsidR="00D37C2C" w:rsidRPr="009B6CB6">
        <w:rPr>
          <w:rFonts w:ascii="Arial" w:hAnsi="Arial" w:cs="Arial"/>
          <w:spacing w:val="-14"/>
        </w:rPr>
        <w:t xml:space="preserve"> </w:t>
      </w:r>
      <w:r w:rsidR="00734542" w:rsidRPr="009B6CB6">
        <w:rPr>
          <w:rFonts w:ascii="Arial" w:hAnsi="Arial" w:cs="Arial"/>
          <w:spacing w:val="-14"/>
        </w:rPr>
        <w:t xml:space="preserve">the </w:t>
      </w:r>
      <w:r w:rsidR="00D37C2C" w:rsidRPr="009B6CB6">
        <w:rPr>
          <w:rFonts w:ascii="Arial" w:hAnsi="Arial" w:cs="Arial"/>
        </w:rPr>
        <w:t>proper</w:t>
      </w:r>
      <w:r w:rsidR="00D37C2C" w:rsidRPr="009B6CB6">
        <w:rPr>
          <w:rFonts w:ascii="Arial" w:hAnsi="Arial" w:cs="Arial"/>
          <w:spacing w:val="-13"/>
        </w:rPr>
        <w:t xml:space="preserve"> </w:t>
      </w:r>
      <w:r w:rsidR="00D37C2C" w:rsidRPr="009B6CB6">
        <w:rPr>
          <w:rFonts w:ascii="Arial" w:hAnsi="Arial" w:cs="Arial"/>
        </w:rPr>
        <w:t>administration</w:t>
      </w:r>
      <w:r w:rsidR="00D37C2C" w:rsidRPr="009B6CB6">
        <w:rPr>
          <w:rFonts w:ascii="Arial" w:hAnsi="Arial" w:cs="Arial"/>
          <w:spacing w:val="-12"/>
        </w:rPr>
        <w:t xml:space="preserve"> </w:t>
      </w:r>
      <w:r w:rsidR="00D37C2C" w:rsidRPr="009B6CB6">
        <w:rPr>
          <w:rFonts w:ascii="Arial" w:hAnsi="Arial" w:cs="Arial"/>
        </w:rPr>
        <w:t>of</w:t>
      </w:r>
      <w:r w:rsidR="00D37C2C" w:rsidRPr="009B6CB6">
        <w:rPr>
          <w:rFonts w:ascii="Arial" w:hAnsi="Arial" w:cs="Arial"/>
          <w:spacing w:val="-13"/>
        </w:rPr>
        <w:t xml:space="preserve"> </w:t>
      </w:r>
      <w:r w:rsidR="00D37C2C" w:rsidRPr="009B6CB6">
        <w:rPr>
          <w:rFonts w:ascii="Arial" w:hAnsi="Arial" w:cs="Arial"/>
        </w:rPr>
        <w:t>justice,</w:t>
      </w:r>
      <w:r w:rsidR="00D37C2C" w:rsidRPr="009B6CB6">
        <w:rPr>
          <w:rFonts w:ascii="Arial" w:hAnsi="Arial" w:cs="Arial"/>
          <w:spacing w:val="-12"/>
        </w:rPr>
        <w:t xml:space="preserve"> </w:t>
      </w:r>
      <w:r w:rsidR="00734542" w:rsidRPr="009B6CB6">
        <w:rPr>
          <w:rFonts w:ascii="Arial" w:hAnsi="Arial" w:cs="Arial"/>
          <w:spacing w:val="-12"/>
        </w:rPr>
        <w:t xml:space="preserve">and </w:t>
      </w:r>
      <w:r w:rsidR="00D37C2C" w:rsidRPr="009B6CB6">
        <w:rPr>
          <w:rFonts w:ascii="Arial" w:hAnsi="Arial" w:cs="Arial"/>
        </w:rPr>
        <w:t>resulting in unnecessary delays and increased</w:t>
      </w:r>
      <w:r w:rsidR="00D37C2C" w:rsidRPr="009B6CB6">
        <w:rPr>
          <w:rFonts w:ascii="Arial" w:hAnsi="Arial" w:cs="Arial"/>
          <w:spacing w:val="-5"/>
        </w:rPr>
        <w:t xml:space="preserve"> </w:t>
      </w:r>
      <w:r w:rsidR="00D37C2C" w:rsidRPr="009B6CB6">
        <w:rPr>
          <w:rFonts w:ascii="Arial" w:hAnsi="Arial" w:cs="Arial"/>
        </w:rPr>
        <w:t>costs.</w:t>
      </w:r>
      <w:r w:rsidR="00D37C2C" w:rsidRPr="00A703A4">
        <w:rPr>
          <w:rStyle w:val="FootnoteReference"/>
          <w:rFonts w:ascii="Arial" w:hAnsi="Arial" w:cs="Arial"/>
        </w:rPr>
        <w:footnoteReference w:id="2"/>
      </w:r>
    </w:p>
    <w:p w14:paraId="7F885365" w14:textId="77777777" w:rsidR="00D37C2C" w:rsidRPr="00A703A4" w:rsidRDefault="00D37C2C" w:rsidP="00A703A4">
      <w:pPr>
        <w:pStyle w:val="ListParagraph"/>
        <w:widowControl w:val="0"/>
        <w:spacing w:line="360" w:lineRule="auto"/>
        <w:jc w:val="both"/>
        <w:rPr>
          <w:rFonts w:ascii="Arial" w:hAnsi="Arial" w:cs="Arial"/>
          <w:lang w:val="en-GB"/>
        </w:rPr>
      </w:pPr>
    </w:p>
    <w:p w14:paraId="15B95056" w14:textId="3C1F0D33" w:rsidR="00D37C2C" w:rsidRPr="009B6CB6" w:rsidRDefault="009B6CB6" w:rsidP="009B6CB6">
      <w:pPr>
        <w:widowControl w:val="0"/>
        <w:tabs>
          <w:tab w:val="left" w:pos="720"/>
        </w:tabs>
        <w:spacing w:line="360" w:lineRule="auto"/>
        <w:ind w:left="720" w:hanging="720"/>
        <w:jc w:val="both"/>
        <w:rPr>
          <w:rFonts w:ascii="Arial" w:hAnsi="Arial" w:cs="Arial"/>
          <w:lang w:val="en-GB"/>
        </w:rPr>
      </w:pPr>
      <w:r w:rsidRPr="00A703A4">
        <w:rPr>
          <w:rFonts w:ascii="Arial" w:hAnsi="Arial" w:cs="Arial"/>
          <w:lang w:val="en-GB"/>
        </w:rPr>
        <w:lastRenderedPageBreak/>
        <w:t>7.</w:t>
      </w:r>
      <w:r w:rsidRPr="00A703A4">
        <w:rPr>
          <w:rFonts w:ascii="Arial" w:hAnsi="Arial" w:cs="Arial"/>
          <w:lang w:val="en-GB"/>
        </w:rPr>
        <w:tab/>
      </w:r>
      <w:r w:rsidR="00D37C2C" w:rsidRPr="009B6CB6">
        <w:rPr>
          <w:rFonts w:ascii="Arial" w:hAnsi="Arial" w:cs="Arial"/>
        </w:rPr>
        <w:t>In</w:t>
      </w:r>
      <w:r w:rsidR="00D37C2C" w:rsidRPr="009B6CB6">
        <w:rPr>
          <w:rFonts w:ascii="Arial" w:hAnsi="Arial" w:cs="Arial"/>
          <w:spacing w:val="-9"/>
        </w:rPr>
        <w:t xml:space="preserve"> </w:t>
      </w:r>
      <w:r w:rsidR="00734542" w:rsidRPr="009B6CB6">
        <w:rPr>
          <w:rFonts w:ascii="Arial" w:hAnsi="Arial" w:cs="Arial"/>
        </w:rPr>
        <w:t>deciding</w:t>
      </w:r>
      <w:r w:rsidR="00D37C2C" w:rsidRPr="009B6CB6">
        <w:rPr>
          <w:rFonts w:ascii="Arial" w:hAnsi="Arial" w:cs="Arial"/>
          <w:spacing w:val="-9"/>
        </w:rPr>
        <w:t xml:space="preserve"> </w:t>
      </w:r>
      <w:r w:rsidR="00D37C2C" w:rsidRPr="009B6CB6">
        <w:rPr>
          <w:rFonts w:ascii="Arial" w:hAnsi="Arial" w:cs="Arial"/>
        </w:rPr>
        <w:t>whether</w:t>
      </w:r>
      <w:r w:rsidR="00D37C2C" w:rsidRPr="009B6CB6">
        <w:rPr>
          <w:rFonts w:ascii="Arial" w:hAnsi="Arial" w:cs="Arial"/>
          <w:spacing w:val="-10"/>
        </w:rPr>
        <w:t xml:space="preserve"> </w:t>
      </w:r>
      <w:r w:rsidR="00D37C2C" w:rsidRPr="009B6CB6">
        <w:rPr>
          <w:rFonts w:ascii="Arial" w:hAnsi="Arial" w:cs="Arial"/>
        </w:rPr>
        <w:t>a</w:t>
      </w:r>
      <w:r w:rsidR="00D37C2C" w:rsidRPr="009B6CB6">
        <w:rPr>
          <w:rFonts w:ascii="Arial" w:hAnsi="Arial" w:cs="Arial"/>
          <w:spacing w:val="-10"/>
        </w:rPr>
        <w:t xml:space="preserve"> </w:t>
      </w:r>
      <w:r w:rsidR="00D37C2C" w:rsidRPr="009B6CB6">
        <w:rPr>
          <w:rFonts w:ascii="Arial" w:hAnsi="Arial" w:cs="Arial"/>
        </w:rPr>
        <w:t>procedural</w:t>
      </w:r>
      <w:r w:rsidR="00D37C2C" w:rsidRPr="009B6CB6">
        <w:rPr>
          <w:rFonts w:ascii="Arial" w:hAnsi="Arial" w:cs="Arial"/>
          <w:spacing w:val="-8"/>
        </w:rPr>
        <w:t xml:space="preserve"> </w:t>
      </w:r>
      <w:r w:rsidR="00D37C2C" w:rsidRPr="009B6CB6">
        <w:rPr>
          <w:rFonts w:ascii="Arial" w:hAnsi="Arial" w:cs="Arial"/>
        </w:rPr>
        <w:t>step</w:t>
      </w:r>
      <w:r w:rsidR="00D37C2C" w:rsidRPr="009B6CB6">
        <w:rPr>
          <w:rFonts w:ascii="Arial" w:hAnsi="Arial" w:cs="Arial"/>
          <w:spacing w:val="-7"/>
        </w:rPr>
        <w:t xml:space="preserve"> </w:t>
      </w:r>
      <w:r w:rsidR="00D37C2C" w:rsidRPr="009B6CB6">
        <w:rPr>
          <w:rFonts w:ascii="Arial" w:hAnsi="Arial" w:cs="Arial"/>
        </w:rPr>
        <w:t>constitutes</w:t>
      </w:r>
      <w:r w:rsidR="00D37C2C" w:rsidRPr="009B6CB6">
        <w:rPr>
          <w:rFonts w:ascii="Arial" w:hAnsi="Arial" w:cs="Arial"/>
          <w:spacing w:val="-9"/>
        </w:rPr>
        <w:t xml:space="preserve"> </w:t>
      </w:r>
      <w:r w:rsidR="00D37C2C" w:rsidRPr="009B6CB6">
        <w:rPr>
          <w:rFonts w:ascii="Arial" w:hAnsi="Arial" w:cs="Arial"/>
        </w:rPr>
        <w:t>an</w:t>
      </w:r>
      <w:r w:rsidR="00D37C2C" w:rsidRPr="009B6CB6">
        <w:rPr>
          <w:rFonts w:ascii="Arial" w:hAnsi="Arial" w:cs="Arial"/>
          <w:spacing w:val="-9"/>
        </w:rPr>
        <w:t xml:space="preserve"> </w:t>
      </w:r>
      <w:r w:rsidR="00D37C2C" w:rsidRPr="009B6CB6">
        <w:rPr>
          <w:rFonts w:ascii="Arial" w:hAnsi="Arial" w:cs="Arial"/>
        </w:rPr>
        <w:t>irregular</w:t>
      </w:r>
      <w:r w:rsidR="00D37C2C" w:rsidRPr="009B6CB6">
        <w:rPr>
          <w:rFonts w:ascii="Arial" w:hAnsi="Arial" w:cs="Arial"/>
          <w:spacing w:val="-10"/>
        </w:rPr>
        <w:t xml:space="preserve"> </w:t>
      </w:r>
      <w:r w:rsidR="00D37C2C" w:rsidRPr="009B6CB6">
        <w:rPr>
          <w:rFonts w:ascii="Arial" w:hAnsi="Arial" w:cs="Arial"/>
        </w:rPr>
        <w:t>step,</w:t>
      </w:r>
      <w:r w:rsidR="00D37C2C" w:rsidRPr="009B6CB6">
        <w:rPr>
          <w:rFonts w:ascii="Arial" w:hAnsi="Arial" w:cs="Arial"/>
          <w:spacing w:val="-9"/>
        </w:rPr>
        <w:t xml:space="preserve"> </w:t>
      </w:r>
      <w:r w:rsidR="00D37C2C" w:rsidRPr="009B6CB6">
        <w:rPr>
          <w:rFonts w:ascii="Arial" w:hAnsi="Arial" w:cs="Arial"/>
        </w:rPr>
        <w:t>the</w:t>
      </w:r>
      <w:r w:rsidR="00D37C2C" w:rsidRPr="009B6CB6">
        <w:rPr>
          <w:rFonts w:ascii="Arial" w:hAnsi="Arial" w:cs="Arial"/>
          <w:spacing w:val="-9"/>
        </w:rPr>
        <w:t xml:space="preserve"> </w:t>
      </w:r>
      <w:r w:rsidR="00D37C2C" w:rsidRPr="009B6CB6">
        <w:rPr>
          <w:rFonts w:ascii="Arial" w:hAnsi="Arial" w:cs="Arial"/>
        </w:rPr>
        <w:t>Court exercises</w:t>
      </w:r>
      <w:r w:rsidR="00D37C2C" w:rsidRPr="009B6CB6">
        <w:rPr>
          <w:rFonts w:ascii="Arial" w:hAnsi="Arial" w:cs="Arial"/>
          <w:spacing w:val="-6"/>
        </w:rPr>
        <w:t xml:space="preserve"> </w:t>
      </w:r>
      <w:r w:rsidR="00D37C2C" w:rsidRPr="009B6CB6">
        <w:rPr>
          <w:rFonts w:ascii="Arial" w:hAnsi="Arial" w:cs="Arial"/>
        </w:rPr>
        <w:t>a</w:t>
      </w:r>
      <w:r w:rsidR="00D37C2C" w:rsidRPr="009B6CB6">
        <w:rPr>
          <w:rFonts w:ascii="Arial" w:hAnsi="Arial" w:cs="Arial"/>
          <w:spacing w:val="-7"/>
        </w:rPr>
        <w:t xml:space="preserve"> </w:t>
      </w:r>
      <w:r w:rsidR="00D37C2C" w:rsidRPr="009B6CB6">
        <w:rPr>
          <w:rFonts w:ascii="Arial" w:hAnsi="Arial" w:cs="Arial"/>
        </w:rPr>
        <w:t>broad</w:t>
      </w:r>
      <w:r w:rsidR="00D37C2C" w:rsidRPr="009B6CB6">
        <w:rPr>
          <w:rFonts w:ascii="Arial" w:hAnsi="Arial" w:cs="Arial"/>
          <w:spacing w:val="-6"/>
        </w:rPr>
        <w:t xml:space="preserve"> </w:t>
      </w:r>
      <w:r w:rsidR="00D37C2C" w:rsidRPr="009B6CB6">
        <w:rPr>
          <w:rFonts w:ascii="Arial" w:hAnsi="Arial" w:cs="Arial"/>
        </w:rPr>
        <w:t>discretion</w:t>
      </w:r>
      <w:r w:rsidR="00734542" w:rsidRPr="009B6CB6">
        <w:rPr>
          <w:rFonts w:ascii="Arial" w:hAnsi="Arial" w:cs="Arial"/>
        </w:rPr>
        <w:t xml:space="preserve">. </w:t>
      </w:r>
      <w:r w:rsidR="00D37C2C" w:rsidRPr="009B6CB6">
        <w:rPr>
          <w:rFonts w:ascii="Arial" w:hAnsi="Arial" w:cs="Arial"/>
          <w:spacing w:val="-6"/>
        </w:rPr>
        <w:t xml:space="preserve"> </w:t>
      </w:r>
      <w:r w:rsidR="00734542" w:rsidRPr="009B6CB6">
        <w:rPr>
          <w:rFonts w:ascii="Arial" w:hAnsi="Arial" w:cs="Arial"/>
        </w:rPr>
        <w:t>T</w:t>
      </w:r>
      <w:r w:rsidR="00D37C2C" w:rsidRPr="009B6CB6">
        <w:rPr>
          <w:rFonts w:ascii="Arial" w:hAnsi="Arial" w:cs="Arial"/>
        </w:rPr>
        <w:t>he</w:t>
      </w:r>
      <w:r w:rsidR="00D37C2C" w:rsidRPr="009B6CB6">
        <w:rPr>
          <w:rFonts w:ascii="Arial" w:hAnsi="Arial" w:cs="Arial"/>
          <w:spacing w:val="-7"/>
        </w:rPr>
        <w:t xml:space="preserve"> </w:t>
      </w:r>
      <w:r w:rsidR="00D37C2C" w:rsidRPr="009B6CB6">
        <w:rPr>
          <w:rFonts w:ascii="Arial" w:hAnsi="Arial" w:cs="Arial"/>
        </w:rPr>
        <w:t>Court</w:t>
      </w:r>
      <w:r w:rsidR="00D37C2C" w:rsidRPr="009B6CB6">
        <w:rPr>
          <w:rFonts w:ascii="Arial" w:hAnsi="Arial" w:cs="Arial"/>
          <w:spacing w:val="-7"/>
        </w:rPr>
        <w:t xml:space="preserve"> </w:t>
      </w:r>
      <w:r w:rsidR="00D37C2C" w:rsidRPr="009B6CB6">
        <w:rPr>
          <w:rFonts w:ascii="Arial" w:hAnsi="Arial" w:cs="Arial"/>
        </w:rPr>
        <w:t>may</w:t>
      </w:r>
      <w:r w:rsidR="00D37C2C" w:rsidRPr="009B6CB6">
        <w:rPr>
          <w:rFonts w:ascii="Arial" w:hAnsi="Arial" w:cs="Arial"/>
          <w:spacing w:val="-7"/>
        </w:rPr>
        <w:t xml:space="preserve"> </w:t>
      </w:r>
      <w:r w:rsidR="00D37C2C" w:rsidRPr="009B6CB6">
        <w:rPr>
          <w:rFonts w:ascii="Arial" w:hAnsi="Arial" w:cs="Arial"/>
        </w:rPr>
        <w:t>overlook</w:t>
      </w:r>
      <w:r w:rsidR="00D37C2C" w:rsidRPr="009B6CB6">
        <w:rPr>
          <w:rFonts w:ascii="Arial" w:hAnsi="Arial" w:cs="Arial"/>
          <w:spacing w:val="-7"/>
        </w:rPr>
        <w:t xml:space="preserve"> </w:t>
      </w:r>
      <w:r w:rsidR="00D37C2C" w:rsidRPr="009B6CB6">
        <w:rPr>
          <w:rFonts w:ascii="Arial" w:hAnsi="Arial" w:cs="Arial"/>
        </w:rPr>
        <w:t>any</w:t>
      </w:r>
      <w:r w:rsidR="00D37C2C" w:rsidRPr="009B6CB6">
        <w:rPr>
          <w:rFonts w:ascii="Arial" w:hAnsi="Arial" w:cs="Arial"/>
          <w:spacing w:val="-6"/>
        </w:rPr>
        <w:t xml:space="preserve"> </w:t>
      </w:r>
      <w:r w:rsidR="00D37C2C" w:rsidRPr="009B6CB6">
        <w:rPr>
          <w:rFonts w:ascii="Arial" w:hAnsi="Arial" w:cs="Arial"/>
        </w:rPr>
        <w:t>alleged</w:t>
      </w:r>
      <w:r w:rsidR="00D37C2C" w:rsidRPr="009B6CB6">
        <w:rPr>
          <w:rFonts w:ascii="Arial" w:hAnsi="Arial" w:cs="Arial"/>
          <w:spacing w:val="-6"/>
        </w:rPr>
        <w:t xml:space="preserve"> </w:t>
      </w:r>
      <w:r w:rsidR="00D37C2C" w:rsidRPr="009B6CB6">
        <w:rPr>
          <w:rFonts w:ascii="Arial" w:hAnsi="Arial" w:cs="Arial"/>
        </w:rPr>
        <w:t>irregularity</w:t>
      </w:r>
      <w:r w:rsidR="00D37C2C" w:rsidRPr="009B6CB6">
        <w:rPr>
          <w:rFonts w:ascii="Arial" w:hAnsi="Arial" w:cs="Arial"/>
          <w:spacing w:val="-6"/>
        </w:rPr>
        <w:t xml:space="preserve"> </w:t>
      </w:r>
      <w:r w:rsidR="00D37C2C" w:rsidRPr="009B6CB6">
        <w:rPr>
          <w:rFonts w:ascii="Arial" w:hAnsi="Arial" w:cs="Arial"/>
        </w:rPr>
        <w:t>which</w:t>
      </w:r>
      <w:r w:rsidR="00D37C2C" w:rsidRPr="009B6CB6">
        <w:rPr>
          <w:rFonts w:ascii="Arial" w:hAnsi="Arial" w:cs="Arial"/>
          <w:spacing w:val="-6"/>
        </w:rPr>
        <w:t xml:space="preserve"> </w:t>
      </w:r>
      <w:r w:rsidR="00D37C2C" w:rsidRPr="009B6CB6">
        <w:rPr>
          <w:rFonts w:ascii="Arial" w:hAnsi="Arial" w:cs="Arial"/>
        </w:rPr>
        <w:t>does not cause any substantial prejudice to the other party. This discretion must be exercised judicially, bearing in mind that the yardstick for the Court’s discretion is the interests of justice.</w:t>
      </w:r>
      <w:r w:rsidR="00D37C2C" w:rsidRPr="00A703A4">
        <w:rPr>
          <w:rStyle w:val="FootnoteReference"/>
          <w:rFonts w:ascii="Arial" w:hAnsi="Arial" w:cs="Arial"/>
        </w:rPr>
        <w:footnoteReference w:id="3"/>
      </w:r>
      <w:r w:rsidR="00D37C2C" w:rsidRPr="009B6CB6">
        <w:rPr>
          <w:rFonts w:ascii="Arial" w:hAnsi="Arial" w:cs="Arial"/>
          <w:position w:val="7"/>
        </w:rPr>
        <w:t xml:space="preserve">  </w:t>
      </w:r>
      <w:r w:rsidR="00D37C2C" w:rsidRPr="009B6CB6">
        <w:rPr>
          <w:rFonts w:ascii="Arial" w:hAnsi="Arial" w:cs="Arial"/>
        </w:rPr>
        <w:t>When</w:t>
      </w:r>
      <w:r w:rsidR="00D37C2C" w:rsidRPr="009B6CB6">
        <w:rPr>
          <w:rFonts w:ascii="Arial" w:hAnsi="Arial" w:cs="Arial"/>
          <w:spacing w:val="-16"/>
        </w:rPr>
        <w:t xml:space="preserve"> </w:t>
      </w:r>
      <w:r w:rsidR="00D37C2C" w:rsidRPr="009B6CB6">
        <w:rPr>
          <w:rFonts w:ascii="Arial" w:hAnsi="Arial" w:cs="Arial"/>
        </w:rPr>
        <w:t>a</w:t>
      </w:r>
      <w:r w:rsidR="00D37C2C" w:rsidRPr="009B6CB6">
        <w:rPr>
          <w:rFonts w:ascii="Arial" w:hAnsi="Arial" w:cs="Arial"/>
          <w:spacing w:val="-17"/>
        </w:rPr>
        <w:t xml:space="preserve"> </w:t>
      </w:r>
      <w:r w:rsidR="00D37C2C" w:rsidRPr="009B6CB6">
        <w:rPr>
          <w:rFonts w:ascii="Arial" w:hAnsi="Arial" w:cs="Arial"/>
        </w:rPr>
        <w:t>Court</w:t>
      </w:r>
      <w:r w:rsidR="00D37C2C" w:rsidRPr="009B6CB6">
        <w:rPr>
          <w:rFonts w:ascii="Arial" w:hAnsi="Arial" w:cs="Arial"/>
          <w:spacing w:val="-16"/>
        </w:rPr>
        <w:t xml:space="preserve"> </w:t>
      </w:r>
      <w:r w:rsidR="00D37C2C" w:rsidRPr="009B6CB6">
        <w:rPr>
          <w:rFonts w:ascii="Arial" w:hAnsi="Arial" w:cs="Arial"/>
          <w:i/>
        </w:rPr>
        <w:t>a</w:t>
      </w:r>
      <w:r w:rsidR="00D37C2C" w:rsidRPr="009B6CB6">
        <w:rPr>
          <w:rFonts w:ascii="Arial" w:hAnsi="Arial" w:cs="Arial"/>
          <w:i/>
          <w:spacing w:val="-16"/>
        </w:rPr>
        <w:t xml:space="preserve"> </w:t>
      </w:r>
      <w:r w:rsidR="00D37C2C" w:rsidRPr="009B6CB6">
        <w:rPr>
          <w:rFonts w:ascii="Arial" w:hAnsi="Arial" w:cs="Arial"/>
          <w:i/>
        </w:rPr>
        <w:t>quo</w:t>
      </w:r>
      <w:r w:rsidR="00D37C2C" w:rsidRPr="009B6CB6">
        <w:rPr>
          <w:rFonts w:ascii="Arial" w:hAnsi="Arial" w:cs="Arial"/>
          <w:i/>
          <w:spacing w:val="-15"/>
        </w:rPr>
        <w:t xml:space="preserve"> </w:t>
      </w:r>
      <w:r w:rsidR="00D37C2C" w:rsidRPr="009B6CB6">
        <w:rPr>
          <w:rFonts w:ascii="Arial" w:hAnsi="Arial" w:cs="Arial"/>
        </w:rPr>
        <w:t>gives</w:t>
      </w:r>
      <w:r w:rsidR="00D37C2C" w:rsidRPr="009B6CB6">
        <w:rPr>
          <w:rFonts w:ascii="Arial" w:hAnsi="Arial" w:cs="Arial"/>
          <w:spacing w:val="-14"/>
        </w:rPr>
        <w:t xml:space="preserve"> </w:t>
      </w:r>
      <w:r w:rsidR="00D37C2C" w:rsidRPr="009B6CB6">
        <w:rPr>
          <w:rFonts w:ascii="Arial" w:hAnsi="Arial" w:cs="Arial"/>
        </w:rPr>
        <w:t>a</w:t>
      </w:r>
      <w:r w:rsidR="00D37C2C" w:rsidRPr="009B6CB6">
        <w:rPr>
          <w:rFonts w:ascii="Arial" w:hAnsi="Arial" w:cs="Arial"/>
          <w:spacing w:val="-17"/>
        </w:rPr>
        <w:t xml:space="preserve"> </w:t>
      </w:r>
      <w:r w:rsidR="00D37C2C" w:rsidRPr="009B6CB6">
        <w:rPr>
          <w:rFonts w:ascii="Arial" w:hAnsi="Arial" w:cs="Arial"/>
        </w:rPr>
        <w:t>decision</w:t>
      </w:r>
      <w:r w:rsidR="00D37C2C" w:rsidRPr="009B6CB6">
        <w:rPr>
          <w:rFonts w:ascii="Arial" w:hAnsi="Arial" w:cs="Arial"/>
          <w:spacing w:val="-16"/>
        </w:rPr>
        <w:t xml:space="preserve"> </w:t>
      </w:r>
      <w:r w:rsidR="00D37C2C" w:rsidRPr="009B6CB6">
        <w:rPr>
          <w:rFonts w:ascii="Arial" w:hAnsi="Arial" w:cs="Arial"/>
        </w:rPr>
        <w:t>on</w:t>
      </w:r>
      <w:r w:rsidR="00D37C2C" w:rsidRPr="009B6CB6">
        <w:rPr>
          <w:rFonts w:ascii="Arial" w:hAnsi="Arial" w:cs="Arial"/>
          <w:spacing w:val="-16"/>
        </w:rPr>
        <w:t xml:space="preserve"> </w:t>
      </w:r>
      <w:r w:rsidR="00D37C2C" w:rsidRPr="009B6CB6">
        <w:rPr>
          <w:rFonts w:ascii="Arial" w:hAnsi="Arial" w:cs="Arial"/>
        </w:rPr>
        <w:t>a</w:t>
      </w:r>
      <w:r w:rsidR="00D37C2C" w:rsidRPr="009B6CB6">
        <w:rPr>
          <w:rFonts w:ascii="Arial" w:hAnsi="Arial" w:cs="Arial"/>
          <w:spacing w:val="-17"/>
        </w:rPr>
        <w:t xml:space="preserve"> </w:t>
      </w:r>
      <w:r w:rsidR="00D37C2C" w:rsidRPr="009B6CB6">
        <w:rPr>
          <w:rFonts w:ascii="Arial" w:hAnsi="Arial" w:cs="Arial"/>
        </w:rPr>
        <w:t>matter</w:t>
      </w:r>
      <w:r w:rsidR="00D37C2C" w:rsidRPr="009B6CB6">
        <w:rPr>
          <w:rFonts w:ascii="Arial" w:hAnsi="Arial" w:cs="Arial"/>
          <w:spacing w:val="-17"/>
        </w:rPr>
        <w:t xml:space="preserve"> </w:t>
      </w:r>
      <w:r w:rsidR="00D37C2C" w:rsidRPr="009B6CB6">
        <w:rPr>
          <w:rFonts w:ascii="Arial" w:hAnsi="Arial" w:cs="Arial"/>
        </w:rPr>
        <w:t>in</w:t>
      </w:r>
      <w:r w:rsidR="00D37C2C" w:rsidRPr="009B6CB6">
        <w:rPr>
          <w:rFonts w:ascii="Arial" w:hAnsi="Arial" w:cs="Arial"/>
          <w:spacing w:val="-13"/>
        </w:rPr>
        <w:t xml:space="preserve"> </w:t>
      </w:r>
      <w:r w:rsidR="00D37C2C" w:rsidRPr="009B6CB6">
        <w:rPr>
          <w:rFonts w:ascii="Arial" w:hAnsi="Arial" w:cs="Arial"/>
        </w:rPr>
        <w:t>which</w:t>
      </w:r>
      <w:r w:rsidR="00D37C2C" w:rsidRPr="009B6CB6">
        <w:rPr>
          <w:rFonts w:ascii="Arial" w:hAnsi="Arial" w:cs="Arial"/>
          <w:spacing w:val="-16"/>
        </w:rPr>
        <w:t xml:space="preserve"> </w:t>
      </w:r>
      <w:r w:rsidR="00D37C2C" w:rsidRPr="009B6CB6">
        <w:rPr>
          <w:rFonts w:ascii="Arial" w:hAnsi="Arial" w:cs="Arial"/>
        </w:rPr>
        <w:t>the</w:t>
      </w:r>
      <w:r w:rsidR="00D37C2C" w:rsidRPr="009B6CB6">
        <w:rPr>
          <w:rFonts w:ascii="Arial" w:hAnsi="Arial" w:cs="Arial"/>
          <w:spacing w:val="-16"/>
        </w:rPr>
        <w:t xml:space="preserve"> </w:t>
      </w:r>
      <w:r w:rsidR="00D37C2C" w:rsidRPr="009B6CB6">
        <w:rPr>
          <w:rFonts w:ascii="Arial" w:hAnsi="Arial" w:cs="Arial"/>
        </w:rPr>
        <w:t>Court</w:t>
      </w:r>
      <w:r w:rsidR="00D37C2C" w:rsidRPr="009B6CB6">
        <w:rPr>
          <w:rFonts w:ascii="Arial" w:hAnsi="Arial" w:cs="Arial"/>
          <w:spacing w:val="-16"/>
        </w:rPr>
        <w:t xml:space="preserve"> </w:t>
      </w:r>
      <w:r w:rsidR="00D37C2C" w:rsidRPr="009B6CB6">
        <w:rPr>
          <w:rFonts w:ascii="Arial" w:hAnsi="Arial" w:cs="Arial"/>
        </w:rPr>
        <w:t>exercises</w:t>
      </w:r>
      <w:r w:rsidR="00D37C2C" w:rsidRPr="009B6CB6">
        <w:rPr>
          <w:rFonts w:ascii="Arial" w:hAnsi="Arial" w:cs="Arial"/>
          <w:spacing w:val="-13"/>
        </w:rPr>
        <w:t xml:space="preserve"> </w:t>
      </w:r>
      <w:r w:rsidR="00D37C2C" w:rsidRPr="009B6CB6">
        <w:rPr>
          <w:rFonts w:ascii="Arial" w:hAnsi="Arial" w:cs="Arial"/>
        </w:rPr>
        <w:t>a</w:t>
      </w:r>
      <w:r w:rsidR="00D37C2C" w:rsidRPr="009B6CB6">
        <w:rPr>
          <w:rFonts w:ascii="Arial" w:hAnsi="Arial" w:cs="Arial"/>
          <w:spacing w:val="-17"/>
        </w:rPr>
        <w:t xml:space="preserve"> </w:t>
      </w:r>
      <w:r w:rsidR="00D37C2C" w:rsidRPr="009B6CB6">
        <w:rPr>
          <w:rFonts w:ascii="Arial" w:hAnsi="Arial" w:cs="Arial"/>
        </w:rPr>
        <w:t>discretion, a court of appeal will interfere only if a judicial discretion was not exercised. This will be the case</w:t>
      </w:r>
      <w:r w:rsidR="00D37C2C" w:rsidRPr="009B6CB6">
        <w:rPr>
          <w:rFonts w:ascii="Arial" w:hAnsi="Arial" w:cs="Arial"/>
          <w:spacing w:val="-5"/>
        </w:rPr>
        <w:t xml:space="preserve"> </w:t>
      </w:r>
      <w:r w:rsidR="00D37C2C" w:rsidRPr="009B6CB6">
        <w:rPr>
          <w:rFonts w:ascii="Arial" w:hAnsi="Arial" w:cs="Arial"/>
        </w:rPr>
        <w:t>if</w:t>
      </w:r>
      <w:r w:rsidR="00734542" w:rsidRPr="009B6CB6">
        <w:rPr>
          <w:rFonts w:ascii="Arial" w:hAnsi="Arial" w:cs="Arial"/>
        </w:rPr>
        <w:t xml:space="preserve"> (1) </w:t>
      </w:r>
      <w:r w:rsidR="00D37C2C" w:rsidRPr="009B6CB6">
        <w:rPr>
          <w:rFonts w:ascii="Arial" w:hAnsi="Arial" w:cs="Arial"/>
        </w:rPr>
        <w:t>the Court did not bring its unbiased judgment to bear on the question or failed to act for substantial</w:t>
      </w:r>
      <w:r w:rsidR="00D37C2C" w:rsidRPr="009B6CB6">
        <w:rPr>
          <w:rFonts w:ascii="Arial" w:hAnsi="Arial" w:cs="Arial"/>
          <w:spacing w:val="-4"/>
        </w:rPr>
        <w:t xml:space="preserve"> </w:t>
      </w:r>
      <w:r w:rsidR="00D37C2C" w:rsidRPr="009B6CB6">
        <w:rPr>
          <w:rFonts w:ascii="Arial" w:hAnsi="Arial" w:cs="Arial"/>
        </w:rPr>
        <w:t>reasons;</w:t>
      </w:r>
      <w:r w:rsidR="00734542" w:rsidRPr="009B6CB6">
        <w:rPr>
          <w:rFonts w:ascii="Arial" w:hAnsi="Arial" w:cs="Arial"/>
        </w:rPr>
        <w:t xml:space="preserve"> (2) </w:t>
      </w:r>
      <w:r w:rsidR="00D37C2C" w:rsidRPr="009B6CB6">
        <w:rPr>
          <w:rFonts w:ascii="Arial" w:hAnsi="Arial" w:cs="Arial"/>
        </w:rPr>
        <w:t>the discretion was exercised capriciously or upon a wrong</w:t>
      </w:r>
      <w:r w:rsidR="00D37C2C" w:rsidRPr="009B6CB6">
        <w:rPr>
          <w:rFonts w:ascii="Arial" w:hAnsi="Arial" w:cs="Arial"/>
          <w:spacing w:val="-11"/>
        </w:rPr>
        <w:t xml:space="preserve"> </w:t>
      </w:r>
      <w:r w:rsidR="00D37C2C" w:rsidRPr="009B6CB6">
        <w:rPr>
          <w:rFonts w:ascii="Arial" w:hAnsi="Arial" w:cs="Arial"/>
        </w:rPr>
        <w:t>principle;</w:t>
      </w:r>
      <w:r w:rsidR="00734542" w:rsidRPr="009B6CB6">
        <w:rPr>
          <w:rFonts w:ascii="Arial" w:hAnsi="Arial" w:cs="Arial"/>
        </w:rPr>
        <w:t xml:space="preserve"> </w:t>
      </w:r>
      <w:r w:rsidR="00D37C2C" w:rsidRPr="009B6CB6">
        <w:rPr>
          <w:rFonts w:ascii="Arial" w:hAnsi="Arial" w:cs="Arial"/>
        </w:rPr>
        <w:t>the decision is vitiated by misdirection or irregularity, or is one to which no Court could reasonably have</w:t>
      </w:r>
      <w:r w:rsidR="00D37C2C" w:rsidRPr="009B6CB6">
        <w:rPr>
          <w:rFonts w:ascii="Arial" w:hAnsi="Arial" w:cs="Arial"/>
          <w:spacing w:val="-5"/>
        </w:rPr>
        <w:t xml:space="preserve"> </w:t>
      </w:r>
      <w:r w:rsidR="00D37C2C" w:rsidRPr="009B6CB6">
        <w:rPr>
          <w:rFonts w:ascii="Arial" w:hAnsi="Arial" w:cs="Arial"/>
        </w:rPr>
        <w:t>come.</w:t>
      </w:r>
      <w:r w:rsidR="00A703A4" w:rsidRPr="009B6CB6">
        <w:rPr>
          <w:rStyle w:val="FootnoteReference"/>
          <w:rFonts w:ascii="Arial" w:hAnsi="Arial" w:cs="Arial"/>
        </w:rPr>
        <w:t xml:space="preserve"> </w:t>
      </w:r>
      <w:r w:rsidR="00A703A4" w:rsidRPr="00A703A4">
        <w:rPr>
          <w:rStyle w:val="FootnoteReference"/>
          <w:rFonts w:ascii="Arial" w:hAnsi="Arial" w:cs="Arial"/>
        </w:rPr>
        <w:footnoteReference w:id="4"/>
      </w:r>
    </w:p>
    <w:p w14:paraId="50FE1ED1" w14:textId="77777777" w:rsidR="00A94575" w:rsidRPr="00A703A4" w:rsidRDefault="00A94575" w:rsidP="00A703A4">
      <w:pPr>
        <w:pStyle w:val="ListParagraph"/>
        <w:widowControl w:val="0"/>
        <w:tabs>
          <w:tab w:val="left" w:pos="687"/>
        </w:tabs>
        <w:autoSpaceDE w:val="0"/>
        <w:autoSpaceDN w:val="0"/>
        <w:spacing w:line="360" w:lineRule="auto"/>
        <w:ind w:right="117"/>
        <w:jc w:val="both"/>
        <w:rPr>
          <w:rFonts w:ascii="Arial" w:hAnsi="Arial" w:cs="Arial"/>
        </w:rPr>
      </w:pPr>
    </w:p>
    <w:p w14:paraId="1102C114" w14:textId="0EC01554" w:rsidR="00A94575" w:rsidRPr="009B6CB6" w:rsidRDefault="009B6CB6" w:rsidP="009B6CB6">
      <w:pPr>
        <w:widowControl w:val="0"/>
        <w:tabs>
          <w:tab w:val="left" w:pos="687"/>
          <w:tab w:val="left" w:pos="720"/>
        </w:tabs>
        <w:autoSpaceDE w:val="0"/>
        <w:autoSpaceDN w:val="0"/>
        <w:spacing w:line="360" w:lineRule="auto"/>
        <w:ind w:left="720" w:right="117" w:hanging="720"/>
        <w:jc w:val="both"/>
        <w:rPr>
          <w:rFonts w:ascii="Arial" w:hAnsi="Arial" w:cs="Arial"/>
        </w:rPr>
      </w:pPr>
      <w:r w:rsidRPr="00A703A4">
        <w:rPr>
          <w:rFonts w:ascii="Arial" w:hAnsi="Arial" w:cs="Arial"/>
        </w:rPr>
        <w:t>8.</w:t>
      </w:r>
      <w:r w:rsidRPr="00A703A4">
        <w:rPr>
          <w:rFonts w:ascii="Arial" w:hAnsi="Arial" w:cs="Arial"/>
        </w:rPr>
        <w:tab/>
      </w:r>
      <w:r w:rsidR="00A94575" w:rsidRPr="009B6CB6">
        <w:rPr>
          <w:rFonts w:ascii="Arial" w:hAnsi="Arial" w:cs="Arial"/>
        </w:rPr>
        <w:t>The defendant submits</w:t>
      </w:r>
      <w:r w:rsidR="00082221" w:rsidRPr="009B6CB6">
        <w:rPr>
          <w:rFonts w:ascii="Arial" w:hAnsi="Arial" w:cs="Arial"/>
        </w:rPr>
        <w:t>, firstly,</w:t>
      </w:r>
      <w:r w:rsidR="00A94575" w:rsidRPr="009B6CB6">
        <w:rPr>
          <w:rFonts w:ascii="Arial" w:hAnsi="Arial" w:cs="Arial"/>
        </w:rPr>
        <w:t xml:space="preserve"> that this Court erred</w:t>
      </w:r>
      <w:r w:rsidR="00A94575" w:rsidRPr="009B6CB6">
        <w:rPr>
          <w:rFonts w:ascii="Arial" w:hAnsi="Arial" w:cs="Arial"/>
          <w:spacing w:val="-9"/>
        </w:rPr>
        <w:t xml:space="preserve"> </w:t>
      </w:r>
      <w:r w:rsidR="00A94575" w:rsidRPr="009B6CB6">
        <w:rPr>
          <w:rFonts w:ascii="Arial" w:hAnsi="Arial" w:cs="Arial"/>
        </w:rPr>
        <w:t>in</w:t>
      </w:r>
      <w:r w:rsidR="00A94575" w:rsidRPr="009B6CB6">
        <w:rPr>
          <w:rFonts w:ascii="Arial" w:hAnsi="Arial" w:cs="Arial"/>
          <w:spacing w:val="-11"/>
        </w:rPr>
        <w:t xml:space="preserve"> </w:t>
      </w:r>
      <w:r w:rsidR="00A94575" w:rsidRPr="009B6CB6">
        <w:rPr>
          <w:rFonts w:ascii="Arial" w:hAnsi="Arial" w:cs="Arial"/>
        </w:rPr>
        <w:t>finding</w:t>
      </w:r>
      <w:r w:rsidR="00A94575" w:rsidRPr="009B6CB6">
        <w:rPr>
          <w:rFonts w:ascii="Arial" w:hAnsi="Arial" w:cs="Arial"/>
          <w:spacing w:val="-11"/>
        </w:rPr>
        <w:t xml:space="preserve"> </w:t>
      </w:r>
      <w:r w:rsidR="00A94575" w:rsidRPr="009B6CB6">
        <w:rPr>
          <w:rFonts w:ascii="Arial" w:hAnsi="Arial" w:cs="Arial"/>
        </w:rPr>
        <w:t>that</w:t>
      </w:r>
      <w:r w:rsidR="00A94575" w:rsidRPr="009B6CB6">
        <w:rPr>
          <w:rFonts w:ascii="Arial" w:hAnsi="Arial" w:cs="Arial"/>
          <w:spacing w:val="-10"/>
        </w:rPr>
        <w:t xml:space="preserve"> </w:t>
      </w:r>
      <w:r w:rsidR="00A94575" w:rsidRPr="009B6CB6">
        <w:rPr>
          <w:rFonts w:ascii="Arial" w:hAnsi="Arial" w:cs="Arial"/>
        </w:rPr>
        <w:t>the</w:t>
      </w:r>
      <w:r w:rsidR="00A94575" w:rsidRPr="009B6CB6">
        <w:rPr>
          <w:rFonts w:ascii="Arial" w:hAnsi="Arial" w:cs="Arial"/>
          <w:spacing w:val="-12"/>
        </w:rPr>
        <w:t xml:space="preserve"> </w:t>
      </w:r>
      <w:r w:rsidR="00A94575" w:rsidRPr="009B6CB6">
        <w:rPr>
          <w:rFonts w:ascii="Arial" w:hAnsi="Arial" w:cs="Arial"/>
        </w:rPr>
        <w:t>wording</w:t>
      </w:r>
      <w:r w:rsidR="00A94575" w:rsidRPr="009B6CB6">
        <w:rPr>
          <w:rFonts w:ascii="Arial" w:hAnsi="Arial" w:cs="Arial"/>
          <w:spacing w:val="-11"/>
        </w:rPr>
        <w:t xml:space="preserve"> </w:t>
      </w:r>
      <w:r w:rsidR="00A94575" w:rsidRPr="009B6CB6">
        <w:rPr>
          <w:rFonts w:ascii="Arial" w:hAnsi="Arial" w:cs="Arial"/>
        </w:rPr>
        <w:t>of</w:t>
      </w:r>
      <w:r w:rsidR="00A94575" w:rsidRPr="009B6CB6">
        <w:rPr>
          <w:rFonts w:ascii="Arial" w:hAnsi="Arial" w:cs="Arial"/>
          <w:spacing w:val="-12"/>
        </w:rPr>
        <w:t xml:space="preserve"> </w:t>
      </w:r>
      <w:r w:rsidR="00A94575" w:rsidRPr="009B6CB6">
        <w:rPr>
          <w:rFonts w:ascii="Arial" w:hAnsi="Arial" w:cs="Arial"/>
        </w:rPr>
        <w:t>Rule</w:t>
      </w:r>
      <w:r w:rsidR="00A94575" w:rsidRPr="009B6CB6">
        <w:rPr>
          <w:rFonts w:ascii="Arial" w:hAnsi="Arial" w:cs="Arial"/>
          <w:spacing w:val="-1"/>
        </w:rPr>
        <w:t xml:space="preserve"> </w:t>
      </w:r>
      <w:r w:rsidR="00A94575" w:rsidRPr="009B6CB6">
        <w:rPr>
          <w:rFonts w:ascii="Arial" w:hAnsi="Arial" w:cs="Arial"/>
        </w:rPr>
        <w:t>32</w:t>
      </w:r>
      <w:r w:rsidR="00A94575" w:rsidRPr="009B6CB6">
        <w:rPr>
          <w:rFonts w:ascii="Arial" w:hAnsi="Arial" w:cs="Arial"/>
          <w:spacing w:val="-9"/>
        </w:rPr>
        <w:t xml:space="preserve"> </w:t>
      </w:r>
      <w:r w:rsidR="00A94575" w:rsidRPr="009B6CB6">
        <w:rPr>
          <w:rFonts w:ascii="Arial" w:hAnsi="Arial" w:cs="Arial"/>
        </w:rPr>
        <w:t>does</w:t>
      </w:r>
      <w:r w:rsidR="00A94575" w:rsidRPr="009B6CB6">
        <w:rPr>
          <w:rFonts w:ascii="Arial" w:hAnsi="Arial" w:cs="Arial"/>
          <w:spacing w:val="-11"/>
        </w:rPr>
        <w:t xml:space="preserve"> </w:t>
      </w:r>
      <w:r w:rsidR="00A94575" w:rsidRPr="009B6CB6">
        <w:rPr>
          <w:rFonts w:ascii="Arial" w:hAnsi="Arial" w:cs="Arial"/>
        </w:rPr>
        <w:t>not</w:t>
      </w:r>
      <w:r w:rsidR="00A94575" w:rsidRPr="009B6CB6">
        <w:rPr>
          <w:rFonts w:ascii="Arial" w:hAnsi="Arial" w:cs="Arial"/>
          <w:spacing w:val="-11"/>
        </w:rPr>
        <w:t xml:space="preserve"> </w:t>
      </w:r>
      <w:r w:rsidR="00A94575" w:rsidRPr="009B6CB6">
        <w:rPr>
          <w:rFonts w:ascii="Arial" w:hAnsi="Arial" w:cs="Arial"/>
        </w:rPr>
        <w:t>preclude</w:t>
      </w:r>
      <w:r w:rsidR="00A94575" w:rsidRPr="009B6CB6">
        <w:rPr>
          <w:rFonts w:ascii="Arial" w:hAnsi="Arial" w:cs="Arial"/>
          <w:spacing w:val="-9"/>
        </w:rPr>
        <w:t xml:space="preserve"> </w:t>
      </w:r>
      <w:r w:rsidR="00A94575" w:rsidRPr="009B6CB6">
        <w:rPr>
          <w:rFonts w:ascii="Arial" w:hAnsi="Arial" w:cs="Arial"/>
        </w:rPr>
        <w:t>a</w:t>
      </w:r>
      <w:r w:rsidR="00A94575" w:rsidRPr="009B6CB6">
        <w:rPr>
          <w:rFonts w:ascii="Arial" w:hAnsi="Arial" w:cs="Arial"/>
          <w:spacing w:val="-12"/>
        </w:rPr>
        <w:t xml:space="preserve"> </w:t>
      </w:r>
      <w:r w:rsidR="00A94575" w:rsidRPr="009B6CB6">
        <w:rPr>
          <w:rFonts w:ascii="Arial" w:hAnsi="Arial" w:cs="Arial"/>
        </w:rPr>
        <w:t>plaintiff</w:t>
      </w:r>
      <w:r w:rsidR="00A94575" w:rsidRPr="009B6CB6">
        <w:rPr>
          <w:rFonts w:ascii="Arial" w:hAnsi="Arial" w:cs="Arial"/>
          <w:spacing w:val="-10"/>
        </w:rPr>
        <w:t xml:space="preserve"> </w:t>
      </w:r>
      <w:r w:rsidR="00A94575" w:rsidRPr="009B6CB6">
        <w:rPr>
          <w:rFonts w:ascii="Arial" w:hAnsi="Arial" w:cs="Arial"/>
        </w:rPr>
        <w:t>from</w:t>
      </w:r>
      <w:r w:rsidR="00A94575" w:rsidRPr="009B6CB6">
        <w:rPr>
          <w:rFonts w:ascii="Arial" w:hAnsi="Arial" w:cs="Arial"/>
          <w:spacing w:val="-11"/>
        </w:rPr>
        <w:t xml:space="preserve"> </w:t>
      </w:r>
      <w:r w:rsidR="00A94575" w:rsidRPr="009B6CB6">
        <w:rPr>
          <w:rFonts w:ascii="Arial" w:hAnsi="Arial" w:cs="Arial"/>
        </w:rPr>
        <w:t>making application for summary judgment at the same time as the delivery of its replication</w:t>
      </w:r>
      <w:r w:rsidR="00A94575" w:rsidRPr="009B6CB6">
        <w:rPr>
          <w:rFonts w:ascii="Arial" w:hAnsi="Arial" w:cs="Arial"/>
          <w:spacing w:val="-10"/>
        </w:rPr>
        <w:t xml:space="preserve"> </w:t>
      </w:r>
      <w:r w:rsidR="00A94575" w:rsidRPr="009B6CB6">
        <w:rPr>
          <w:rFonts w:ascii="Arial" w:hAnsi="Arial" w:cs="Arial"/>
        </w:rPr>
        <w:t>and that the plaintiff may incorporate by reference into its application for summary judgment the allegations made in its replication.  The</w:t>
      </w:r>
      <w:r w:rsidR="00A94575" w:rsidRPr="009B6CB6">
        <w:rPr>
          <w:rFonts w:ascii="Arial" w:hAnsi="Arial" w:cs="Arial"/>
          <w:spacing w:val="-12"/>
        </w:rPr>
        <w:t xml:space="preserve"> </w:t>
      </w:r>
      <w:r w:rsidR="00A94575" w:rsidRPr="009B6CB6">
        <w:rPr>
          <w:rFonts w:ascii="Arial" w:hAnsi="Arial" w:cs="Arial"/>
        </w:rPr>
        <w:t>defendant</w:t>
      </w:r>
      <w:r w:rsidR="00A94575" w:rsidRPr="009B6CB6">
        <w:rPr>
          <w:rFonts w:ascii="Arial" w:hAnsi="Arial" w:cs="Arial"/>
          <w:spacing w:val="-10"/>
        </w:rPr>
        <w:t xml:space="preserve"> </w:t>
      </w:r>
      <w:r w:rsidR="00A94575" w:rsidRPr="009B6CB6">
        <w:rPr>
          <w:rFonts w:ascii="Arial" w:hAnsi="Arial" w:cs="Arial"/>
        </w:rPr>
        <w:t>contends</w:t>
      </w:r>
      <w:r w:rsidR="00A94575" w:rsidRPr="009B6CB6">
        <w:rPr>
          <w:rFonts w:ascii="Arial" w:hAnsi="Arial" w:cs="Arial"/>
          <w:spacing w:val="-11"/>
        </w:rPr>
        <w:t xml:space="preserve"> </w:t>
      </w:r>
      <w:r w:rsidR="00A94575" w:rsidRPr="009B6CB6">
        <w:rPr>
          <w:rFonts w:ascii="Arial" w:hAnsi="Arial" w:cs="Arial"/>
        </w:rPr>
        <w:t>that,</w:t>
      </w:r>
      <w:r w:rsidR="00A94575" w:rsidRPr="009B6CB6">
        <w:rPr>
          <w:rFonts w:ascii="Arial" w:hAnsi="Arial" w:cs="Arial"/>
          <w:spacing w:val="-11"/>
        </w:rPr>
        <w:t xml:space="preserve"> </w:t>
      </w:r>
      <w:r w:rsidR="00A94575" w:rsidRPr="009B6CB6">
        <w:rPr>
          <w:rFonts w:ascii="Arial" w:hAnsi="Arial" w:cs="Arial"/>
        </w:rPr>
        <w:t>in</w:t>
      </w:r>
      <w:r w:rsidR="00082221" w:rsidRPr="009B6CB6">
        <w:rPr>
          <w:rFonts w:ascii="Arial" w:hAnsi="Arial" w:cs="Arial"/>
        </w:rPr>
        <w:t>herent in those</w:t>
      </w:r>
      <w:r w:rsidR="00A94575" w:rsidRPr="009B6CB6">
        <w:rPr>
          <w:rFonts w:ascii="Arial" w:hAnsi="Arial" w:cs="Arial"/>
          <w:spacing w:val="-11"/>
        </w:rPr>
        <w:t xml:space="preserve"> </w:t>
      </w:r>
      <w:r w:rsidR="00A94575" w:rsidRPr="009B6CB6">
        <w:rPr>
          <w:rFonts w:ascii="Arial" w:hAnsi="Arial" w:cs="Arial"/>
        </w:rPr>
        <w:t>finding</w:t>
      </w:r>
      <w:r w:rsidR="00082221" w:rsidRPr="009B6CB6">
        <w:rPr>
          <w:rFonts w:ascii="Arial" w:hAnsi="Arial" w:cs="Arial"/>
        </w:rPr>
        <w:t xml:space="preserve">s, is the fact that the Court had </w:t>
      </w:r>
      <w:r w:rsidR="00A94575" w:rsidRPr="009B6CB6">
        <w:rPr>
          <w:rFonts w:ascii="Arial" w:hAnsi="Arial" w:cs="Arial"/>
        </w:rPr>
        <w:t>by</w:t>
      </w:r>
      <w:r w:rsidR="00A94575" w:rsidRPr="009B6CB6">
        <w:rPr>
          <w:rFonts w:ascii="Arial" w:hAnsi="Arial" w:cs="Arial"/>
          <w:spacing w:val="-11"/>
        </w:rPr>
        <w:t xml:space="preserve"> </w:t>
      </w:r>
      <w:r w:rsidR="00A94575" w:rsidRPr="009B6CB6">
        <w:rPr>
          <w:rFonts w:ascii="Arial" w:hAnsi="Arial" w:cs="Arial"/>
        </w:rPr>
        <w:t>necessary implication read certain words into Rule 32(2</w:t>
      </w:r>
      <w:proofErr w:type="gramStart"/>
      <w:r w:rsidR="00A94575" w:rsidRPr="009B6CB6">
        <w:rPr>
          <w:rFonts w:ascii="Arial" w:hAnsi="Arial" w:cs="Arial"/>
        </w:rPr>
        <w:t>)(</w:t>
      </w:r>
      <w:proofErr w:type="gramEnd"/>
      <w:r w:rsidR="00A94575" w:rsidRPr="009B6CB6">
        <w:rPr>
          <w:rFonts w:ascii="Arial" w:hAnsi="Arial" w:cs="Arial"/>
        </w:rPr>
        <w:t>a) and (4).</w:t>
      </w:r>
      <w:r w:rsidR="00A94575" w:rsidRPr="009B6CB6">
        <w:rPr>
          <w:rFonts w:ascii="Arial" w:hAnsi="Arial" w:cs="Arial"/>
          <w:position w:val="7"/>
        </w:rPr>
        <w:t xml:space="preserve">  </w:t>
      </w:r>
      <w:r w:rsidR="00A94575" w:rsidRPr="009B6CB6">
        <w:rPr>
          <w:rFonts w:ascii="Arial" w:hAnsi="Arial" w:cs="Arial"/>
        </w:rPr>
        <w:t>The “</w:t>
      </w:r>
      <w:r w:rsidR="00A94575" w:rsidRPr="009B6CB6">
        <w:rPr>
          <w:rFonts w:ascii="Arial" w:hAnsi="Arial" w:cs="Arial"/>
          <w:i/>
          <w:iCs/>
        </w:rPr>
        <w:t>reading in</w:t>
      </w:r>
      <w:r w:rsidR="00A94575" w:rsidRPr="009B6CB6">
        <w:rPr>
          <w:rFonts w:ascii="Arial" w:hAnsi="Arial" w:cs="Arial"/>
        </w:rPr>
        <w:t xml:space="preserve">” is </w:t>
      </w:r>
      <w:r w:rsidR="00A94575" w:rsidRPr="009B6CB6">
        <w:rPr>
          <w:rFonts w:ascii="Arial" w:hAnsi="Arial" w:cs="Arial"/>
          <w:i/>
        </w:rPr>
        <w:t xml:space="preserve">“expressly prohibited” </w:t>
      </w:r>
      <w:r w:rsidR="00A94575" w:rsidRPr="009B6CB6">
        <w:rPr>
          <w:rFonts w:ascii="Arial" w:hAnsi="Arial" w:cs="Arial"/>
        </w:rPr>
        <w:t xml:space="preserve">and </w:t>
      </w:r>
      <w:r w:rsidR="00A94575" w:rsidRPr="009B6CB6">
        <w:rPr>
          <w:rFonts w:ascii="Arial" w:hAnsi="Arial" w:cs="Arial"/>
          <w:i/>
        </w:rPr>
        <w:t xml:space="preserve">“precluded as a matter of law” </w:t>
      </w:r>
      <w:r w:rsidR="00A94575" w:rsidRPr="009B6CB6">
        <w:rPr>
          <w:rFonts w:ascii="Arial" w:hAnsi="Arial" w:cs="Arial"/>
        </w:rPr>
        <w:t>when regard</w:t>
      </w:r>
      <w:r w:rsidR="00A94575" w:rsidRPr="009B6CB6">
        <w:rPr>
          <w:rFonts w:ascii="Arial" w:hAnsi="Arial" w:cs="Arial"/>
          <w:spacing w:val="-23"/>
        </w:rPr>
        <w:t xml:space="preserve"> </w:t>
      </w:r>
      <w:r w:rsidR="00A94575" w:rsidRPr="009B6CB6">
        <w:rPr>
          <w:rFonts w:ascii="Arial" w:hAnsi="Arial" w:cs="Arial"/>
        </w:rPr>
        <w:t>is had</w:t>
      </w:r>
      <w:r w:rsidR="00A94575" w:rsidRPr="009B6CB6">
        <w:rPr>
          <w:rFonts w:ascii="Arial" w:hAnsi="Arial" w:cs="Arial"/>
          <w:spacing w:val="-5"/>
        </w:rPr>
        <w:t xml:space="preserve"> </w:t>
      </w:r>
      <w:r w:rsidR="00A94575" w:rsidRPr="009B6CB6">
        <w:rPr>
          <w:rFonts w:ascii="Arial" w:hAnsi="Arial" w:cs="Arial"/>
        </w:rPr>
        <w:t>to</w:t>
      </w:r>
      <w:r w:rsidR="00A94575" w:rsidRPr="009B6CB6">
        <w:rPr>
          <w:rFonts w:ascii="Arial" w:hAnsi="Arial" w:cs="Arial"/>
          <w:spacing w:val="-4"/>
        </w:rPr>
        <w:t xml:space="preserve"> </w:t>
      </w:r>
      <w:r w:rsidR="00A94575" w:rsidRPr="009B6CB6">
        <w:rPr>
          <w:rFonts w:ascii="Arial" w:hAnsi="Arial" w:cs="Arial"/>
        </w:rPr>
        <w:t>the</w:t>
      </w:r>
      <w:r w:rsidR="00A94575" w:rsidRPr="009B6CB6">
        <w:rPr>
          <w:rFonts w:ascii="Arial" w:hAnsi="Arial" w:cs="Arial"/>
          <w:spacing w:val="-5"/>
        </w:rPr>
        <w:t xml:space="preserve"> </w:t>
      </w:r>
      <w:r w:rsidR="00A94575" w:rsidRPr="009B6CB6">
        <w:rPr>
          <w:rFonts w:ascii="Arial" w:hAnsi="Arial" w:cs="Arial"/>
        </w:rPr>
        <w:t>wording</w:t>
      </w:r>
      <w:r w:rsidR="00A94575" w:rsidRPr="009B6CB6">
        <w:rPr>
          <w:rFonts w:ascii="Arial" w:hAnsi="Arial" w:cs="Arial"/>
          <w:spacing w:val="-4"/>
        </w:rPr>
        <w:t xml:space="preserve"> </w:t>
      </w:r>
      <w:r w:rsidR="00A94575" w:rsidRPr="009B6CB6">
        <w:rPr>
          <w:rFonts w:ascii="Arial" w:hAnsi="Arial" w:cs="Arial"/>
        </w:rPr>
        <w:t>of</w:t>
      </w:r>
      <w:r w:rsidR="00A94575" w:rsidRPr="009B6CB6">
        <w:rPr>
          <w:rFonts w:ascii="Arial" w:hAnsi="Arial" w:cs="Arial"/>
          <w:spacing w:val="-5"/>
        </w:rPr>
        <w:t xml:space="preserve"> </w:t>
      </w:r>
      <w:r w:rsidR="00A94575" w:rsidRPr="009B6CB6">
        <w:rPr>
          <w:rFonts w:ascii="Arial" w:hAnsi="Arial" w:cs="Arial"/>
        </w:rPr>
        <w:t>Rule</w:t>
      </w:r>
      <w:r w:rsidR="00A94575" w:rsidRPr="009B6CB6">
        <w:rPr>
          <w:rFonts w:ascii="Arial" w:hAnsi="Arial" w:cs="Arial"/>
          <w:spacing w:val="-6"/>
        </w:rPr>
        <w:t xml:space="preserve"> </w:t>
      </w:r>
      <w:r w:rsidR="00A94575" w:rsidRPr="009B6CB6">
        <w:rPr>
          <w:rFonts w:ascii="Arial" w:hAnsi="Arial" w:cs="Arial"/>
        </w:rPr>
        <w:t>32(2</w:t>
      </w:r>
      <w:proofErr w:type="gramStart"/>
      <w:r w:rsidR="00A94575" w:rsidRPr="009B6CB6">
        <w:rPr>
          <w:rFonts w:ascii="Arial" w:hAnsi="Arial" w:cs="Arial"/>
        </w:rPr>
        <w:t>)(</w:t>
      </w:r>
      <w:proofErr w:type="gramEnd"/>
      <w:r w:rsidR="00A94575" w:rsidRPr="009B6CB6">
        <w:rPr>
          <w:rFonts w:ascii="Arial" w:hAnsi="Arial" w:cs="Arial"/>
        </w:rPr>
        <w:t>a)</w:t>
      </w:r>
      <w:r w:rsidR="00A94575" w:rsidRPr="009B6CB6">
        <w:rPr>
          <w:rFonts w:ascii="Arial" w:hAnsi="Arial" w:cs="Arial"/>
          <w:spacing w:val="-6"/>
        </w:rPr>
        <w:t xml:space="preserve"> </w:t>
      </w:r>
      <w:r w:rsidR="00A94575" w:rsidRPr="009B6CB6">
        <w:rPr>
          <w:rFonts w:ascii="Arial" w:hAnsi="Arial" w:cs="Arial"/>
        </w:rPr>
        <w:t>and</w:t>
      </w:r>
      <w:r w:rsidR="00A94575" w:rsidRPr="009B6CB6">
        <w:rPr>
          <w:rFonts w:ascii="Arial" w:hAnsi="Arial" w:cs="Arial"/>
          <w:spacing w:val="-5"/>
        </w:rPr>
        <w:t xml:space="preserve"> </w:t>
      </w:r>
      <w:r w:rsidR="00A94575" w:rsidRPr="009B6CB6">
        <w:rPr>
          <w:rFonts w:ascii="Arial" w:hAnsi="Arial" w:cs="Arial"/>
        </w:rPr>
        <w:t>(4)</w:t>
      </w:r>
      <w:r w:rsidR="00082221" w:rsidRPr="009B6CB6">
        <w:rPr>
          <w:rFonts w:ascii="Arial" w:hAnsi="Arial" w:cs="Arial"/>
        </w:rPr>
        <w:t>.  E</w:t>
      </w:r>
      <w:r w:rsidR="00A94575" w:rsidRPr="009B6CB6">
        <w:rPr>
          <w:rFonts w:ascii="Arial" w:hAnsi="Arial" w:cs="Arial"/>
        </w:rPr>
        <w:t>ffect</w:t>
      </w:r>
      <w:r w:rsidR="00A94575" w:rsidRPr="009B6CB6">
        <w:rPr>
          <w:rFonts w:ascii="Arial" w:hAnsi="Arial" w:cs="Arial"/>
          <w:spacing w:val="-4"/>
        </w:rPr>
        <w:t xml:space="preserve"> </w:t>
      </w:r>
      <w:r w:rsidR="00A94575" w:rsidRPr="009B6CB6">
        <w:rPr>
          <w:rFonts w:ascii="Arial" w:hAnsi="Arial" w:cs="Arial"/>
        </w:rPr>
        <w:t>has</w:t>
      </w:r>
      <w:r w:rsidR="00A94575" w:rsidRPr="009B6CB6">
        <w:rPr>
          <w:rFonts w:ascii="Arial" w:hAnsi="Arial" w:cs="Arial"/>
          <w:spacing w:val="-5"/>
        </w:rPr>
        <w:t xml:space="preserve"> </w:t>
      </w:r>
      <w:r w:rsidR="00082221" w:rsidRPr="009B6CB6">
        <w:rPr>
          <w:rFonts w:ascii="Arial" w:hAnsi="Arial" w:cs="Arial"/>
          <w:spacing w:val="-5"/>
        </w:rPr>
        <w:t xml:space="preserve">to </w:t>
      </w:r>
      <w:r w:rsidR="00A94575" w:rsidRPr="009B6CB6">
        <w:rPr>
          <w:rFonts w:ascii="Arial" w:hAnsi="Arial" w:cs="Arial"/>
        </w:rPr>
        <w:t>be</w:t>
      </w:r>
      <w:r w:rsidR="00A94575" w:rsidRPr="009B6CB6">
        <w:rPr>
          <w:rFonts w:ascii="Arial" w:hAnsi="Arial" w:cs="Arial"/>
          <w:spacing w:val="-5"/>
        </w:rPr>
        <w:t xml:space="preserve"> </w:t>
      </w:r>
      <w:r w:rsidR="00A94575" w:rsidRPr="009B6CB6">
        <w:rPr>
          <w:rFonts w:ascii="Arial" w:hAnsi="Arial" w:cs="Arial"/>
        </w:rPr>
        <w:t>given</w:t>
      </w:r>
      <w:r w:rsidR="00A94575" w:rsidRPr="009B6CB6">
        <w:rPr>
          <w:rFonts w:ascii="Arial" w:hAnsi="Arial" w:cs="Arial"/>
          <w:spacing w:val="-5"/>
        </w:rPr>
        <w:t xml:space="preserve"> </w:t>
      </w:r>
      <w:r w:rsidR="00A94575" w:rsidRPr="009B6CB6">
        <w:rPr>
          <w:rFonts w:ascii="Arial" w:hAnsi="Arial" w:cs="Arial"/>
        </w:rPr>
        <w:t>to</w:t>
      </w:r>
      <w:r w:rsidR="00A94575" w:rsidRPr="009B6CB6">
        <w:rPr>
          <w:rFonts w:ascii="Arial" w:hAnsi="Arial" w:cs="Arial"/>
          <w:spacing w:val="-4"/>
        </w:rPr>
        <w:t xml:space="preserve"> </w:t>
      </w:r>
      <w:r w:rsidR="00082221" w:rsidRPr="009B6CB6">
        <w:rPr>
          <w:rFonts w:ascii="Arial" w:hAnsi="Arial" w:cs="Arial"/>
        </w:rPr>
        <w:t>R</w:t>
      </w:r>
      <w:r w:rsidR="00A94575" w:rsidRPr="009B6CB6">
        <w:rPr>
          <w:rFonts w:ascii="Arial" w:hAnsi="Arial" w:cs="Arial"/>
        </w:rPr>
        <w:t>ule</w:t>
      </w:r>
      <w:r w:rsidR="00A94575" w:rsidRPr="009B6CB6">
        <w:rPr>
          <w:rFonts w:ascii="Arial" w:hAnsi="Arial" w:cs="Arial"/>
          <w:spacing w:val="-6"/>
        </w:rPr>
        <w:t xml:space="preserve"> </w:t>
      </w:r>
      <w:r w:rsidR="00A94575" w:rsidRPr="009B6CB6">
        <w:rPr>
          <w:rFonts w:ascii="Arial" w:hAnsi="Arial" w:cs="Arial"/>
        </w:rPr>
        <w:t>32</w:t>
      </w:r>
      <w:r w:rsidR="00A94575" w:rsidRPr="009B6CB6">
        <w:rPr>
          <w:rFonts w:ascii="Arial" w:hAnsi="Arial" w:cs="Arial"/>
          <w:spacing w:val="-5"/>
        </w:rPr>
        <w:t xml:space="preserve"> </w:t>
      </w:r>
      <w:r w:rsidR="00A94575" w:rsidRPr="009B6CB6">
        <w:rPr>
          <w:rFonts w:ascii="Arial" w:hAnsi="Arial" w:cs="Arial"/>
        </w:rPr>
        <w:t>as</w:t>
      </w:r>
      <w:r w:rsidR="00A94575" w:rsidRPr="009B6CB6">
        <w:rPr>
          <w:rFonts w:ascii="Arial" w:hAnsi="Arial" w:cs="Arial"/>
          <w:spacing w:val="-5"/>
        </w:rPr>
        <w:t xml:space="preserve"> </w:t>
      </w:r>
      <w:r w:rsidR="00A94575" w:rsidRPr="009B6CB6">
        <w:rPr>
          <w:rFonts w:ascii="Arial" w:hAnsi="Arial" w:cs="Arial"/>
        </w:rPr>
        <w:t>it stands.</w:t>
      </w:r>
    </w:p>
    <w:p w14:paraId="31B5DD01" w14:textId="77777777" w:rsidR="00A94575" w:rsidRPr="00A703A4" w:rsidRDefault="00A94575" w:rsidP="00A703A4">
      <w:pPr>
        <w:pStyle w:val="BodyText"/>
        <w:spacing w:line="360" w:lineRule="auto"/>
        <w:contextualSpacing/>
        <w:rPr>
          <w:rFonts w:cs="Arial"/>
          <w:sz w:val="24"/>
          <w:szCs w:val="24"/>
        </w:rPr>
      </w:pPr>
    </w:p>
    <w:p w14:paraId="184D4321" w14:textId="64C3B582" w:rsidR="00A94575" w:rsidRPr="009B6CB6" w:rsidRDefault="009B6CB6" w:rsidP="009B6CB6">
      <w:pPr>
        <w:widowControl w:val="0"/>
        <w:tabs>
          <w:tab w:val="left" w:pos="687"/>
          <w:tab w:val="left" w:pos="720"/>
        </w:tabs>
        <w:autoSpaceDE w:val="0"/>
        <w:autoSpaceDN w:val="0"/>
        <w:spacing w:line="360" w:lineRule="auto"/>
        <w:ind w:left="720" w:right="117" w:hanging="720"/>
        <w:jc w:val="both"/>
        <w:rPr>
          <w:rFonts w:ascii="Arial" w:hAnsi="Arial" w:cs="Arial"/>
          <w:i/>
        </w:rPr>
      </w:pPr>
      <w:r w:rsidRPr="00A703A4">
        <w:rPr>
          <w:rFonts w:ascii="Arial" w:hAnsi="Arial" w:cs="Arial"/>
        </w:rPr>
        <w:t>9.</w:t>
      </w:r>
      <w:r w:rsidRPr="00A703A4">
        <w:rPr>
          <w:rFonts w:ascii="Arial" w:hAnsi="Arial" w:cs="Arial"/>
        </w:rPr>
        <w:tab/>
      </w:r>
      <w:r w:rsidR="00082221" w:rsidRPr="009B6CB6">
        <w:rPr>
          <w:rFonts w:ascii="Arial" w:hAnsi="Arial" w:cs="Arial"/>
        </w:rPr>
        <w:t xml:space="preserve">As explained </w:t>
      </w:r>
      <w:r w:rsidR="00867DB6" w:rsidRPr="009B6CB6">
        <w:rPr>
          <w:rFonts w:ascii="Arial" w:hAnsi="Arial" w:cs="Arial"/>
        </w:rPr>
        <w:t xml:space="preserve">extensively </w:t>
      </w:r>
      <w:r w:rsidR="00082221" w:rsidRPr="009B6CB6">
        <w:rPr>
          <w:rFonts w:ascii="Arial" w:hAnsi="Arial" w:cs="Arial"/>
        </w:rPr>
        <w:t xml:space="preserve">in the main judgment, however, </w:t>
      </w:r>
      <w:r w:rsidR="00A94575" w:rsidRPr="009B6CB6">
        <w:rPr>
          <w:rFonts w:ascii="Arial" w:hAnsi="Arial" w:cs="Arial"/>
        </w:rPr>
        <w:t>Rule</w:t>
      </w:r>
      <w:r w:rsidR="00FA1A13" w:rsidRPr="009B6CB6">
        <w:rPr>
          <w:rFonts w:ascii="Arial" w:hAnsi="Arial" w:cs="Arial"/>
        </w:rPr>
        <w:t>s</w:t>
      </w:r>
      <w:r w:rsidR="00A94575" w:rsidRPr="009B6CB6">
        <w:rPr>
          <w:rFonts w:ascii="Arial" w:hAnsi="Arial" w:cs="Arial"/>
        </w:rPr>
        <w:t xml:space="preserve"> 32(2</w:t>
      </w:r>
      <w:proofErr w:type="gramStart"/>
      <w:r w:rsidR="00A94575" w:rsidRPr="009B6CB6">
        <w:rPr>
          <w:rFonts w:ascii="Arial" w:hAnsi="Arial" w:cs="Arial"/>
        </w:rPr>
        <w:t>)(</w:t>
      </w:r>
      <w:proofErr w:type="gramEnd"/>
      <w:r w:rsidR="00A94575" w:rsidRPr="009B6CB6">
        <w:rPr>
          <w:rFonts w:ascii="Arial" w:hAnsi="Arial" w:cs="Arial"/>
        </w:rPr>
        <w:t xml:space="preserve">a) and </w:t>
      </w:r>
      <w:r w:rsidR="00FA1A13" w:rsidRPr="009B6CB6">
        <w:rPr>
          <w:rFonts w:ascii="Arial" w:hAnsi="Arial" w:cs="Arial"/>
        </w:rPr>
        <w:t>32</w:t>
      </w:r>
      <w:r w:rsidR="00A94575" w:rsidRPr="009B6CB6">
        <w:rPr>
          <w:rFonts w:ascii="Arial" w:hAnsi="Arial" w:cs="Arial"/>
        </w:rPr>
        <w:t>(4) do not include any express limitation exclud</w:t>
      </w:r>
      <w:r w:rsidR="00FA1A13" w:rsidRPr="009B6CB6">
        <w:rPr>
          <w:rFonts w:ascii="Arial" w:hAnsi="Arial" w:cs="Arial"/>
        </w:rPr>
        <w:t>ing</w:t>
      </w:r>
      <w:r w:rsidR="00A94575" w:rsidRPr="009B6CB6">
        <w:rPr>
          <w:rFonts w:ascii="Arial" w:hAnsi="Arial" w:cs="Arial"/>
        </w:rPr>
        <w:t xml:space="preserve"> the delivery of a replication simultaneously with an application for summary judgment. The limitation advocated for by the defendant can</w:t>
      </w:r>
      <w:r w:rsidR="00082221" w:rsidRPr="009B6CB6">
        <w:rPr>
          <w:rFonts w:ascii="Arial" w:hAnsi="Arial" w:cs="Arial"/>
        </w:rPr>
        <w:t xml:space="preserve">, ironically, </w:t>
      </w:r>
      <w:r w:rsidR="00A94575" w:rsidRPr="009B6CB6">
        <w:rPr>
          <w:rFonts w:ascii="Arial" w:hAnsi="Arial" w:cs="Arial"/>
        </w:rPr>
        <w:t xml:space="preserve">only exist if the words </w:t>
      </w:r>
      <w:r w:rsidR="00A94575" w:rsidRPr="009B6CB6">
        <w:rPr>
          <w:rFonts w:ascii="Arial" w:hAnsi="Arial" w:cs="Arial"/>
          <w:i/>
        </w:rPr>
        <w:t>“only if the plaintiff has not taken a further step in</w:t>
      </w:r>
      <w:r w:rsidR="00A94575" w:rsidRPr="009B6CB6">
        <w:rPr>
          <w:rFonts w:ascii="Arial" w:hAnsi="Arial" w:cs="Arial"/>
          <w:i/>
          <w:spacing w:val="-11"/>
        </w:rPr>
        <w:t xml:space="preserve"> </w:t>
      </w:r>
      <w:r w:rsidR="00A94575" w:rsidRPr="009B6CB6">
        <w:rPr>
          <w:rFonts w:ascii="Arial" w:hAnsi="Arial" w:cs="Arial"/>
          <w:i/>
        </w:rPr>
        <w:t>the cause”</w:t>
      </w:r>
      <w:r w:rsidR="00A94575" w:rsidRPr="009B6CB6">
        <w:rPr>
          <w:rFonts w:ascii="Arial" w:hAnsi="Arial" w:cs="Arial"/>
        </w:rPr>
        <w:t>, or “</w:t>
      </w:r>
      <w:r w:rsidR="00A94575" w:rsidRPr="009B6CB6">
        <w:rPr>
          <w:rFonts w:ascii="Arial" w:hAnsi="Arial" w:cs="Arial"/>
          <w:i/>
        </w:rPr>
        <w:t>without</w:t>
      </w:r>
      <w:r w:rsidR="00082221" w:rsidRPr="009B6CB6">
        <w:rPr>
          <w:rFonts w:ascii="Arial" w:hAnsi="Arial" w:cs="Arial"/>
          <w:i/>
        </w:rPr>
        <w:t xml:space="preserve"> </w:t>
      </w:r>
      <w:r w:rsidR="00A94575" w:rsidRPr="009B6CB6">
        <w:rPr>
          <w:rFonts w:ascii="Arial" w:hAnsi="Arial" w:cs="Arial"/>
          <w:i/>
        </w:rPr>
        <w:t>taking any other step in the cause</w:t>
      </w:r>
      <w:r w:rsidR="00A94575" w:rsidRPr="009B6CB6">
        <w:rPr>
          <w:rFonts w:ascii="Arial" w:hAnsi="Arial" w:cs="Arial"/>
        </w:rPr>
        <w:t>” are read into Rule 32(2</w:t>
      </w:r>
      <w:proofErr w:type="gramStart"/>
      <w:r w:rsidR="00A94575" w:rsidRPr="009B6CB6">
        <w:rPr>
          <w:rFonts w:ascii="Arial" w:hAnsi="Arial" w:cs="Arial"/>
        </w:rPr>
        <w:t>)(</w:t>
      </w:r>
      <w:proofErr w:type="gramEnd"/>
      <w:r w:rsidR="00A94575" w:rsidRPr="009B6CB6">
        <w:rPr>
          <w:rFonts w:ascii="Arial" w:hAnsi="Arial" w:cs="Arial"/>
        </w:rPr>
        <w:t xml:space="preserve">a) after the words </w:t>
      </w:r>
      <w:r w:rsidR="00A94575" w:rsidRPr="009B6CB6">
        <w:rPr>
          <w:rFonts w:ascii="Arial" w:hAnsi="Arial" w:cs="Arial"/>
          <w:i/>
        </w:rPr>
        <w:t>“apply to</w:t>
      </w:r>
      <w:r w:rsidR="00082221" w:rsidRPr="009B6CB6">
        <w:rPr>
          <w:rFonts w:ascii="Arial" w:hAnsi="Arial" w:cs="Arial"/>
          <w:i/>
        </w:rPr>
        <w:t xml:space="preserve"> </w:t>
      </w:r>
      <w:r w:rsidR="00A94575" w:rsidRPr="009B6CB6">
        <w:rPr>
          <w:rFonts w:ascii="Arial" w:hAnsi="Arial" w:cs="Arial"/>
          <w:i/>
        </w:rPr>
        <w:t xml:space="preserve">court for summary judgment” </w:t>
      </w:r>
      <w:r w:rsidR="00A94575" w:rsidRPr="009B6CB6">
        <w:rPr>
          <w:rFonts w:ascii="Arial" w:hAnsi="Arial" w:cs="Arial"/>
        </w:rPr>
        <w:t xml:space="preserve">and before the words </w:t>
      </w:r>
      <w:r w:rsidR="00A94575" w:rsidRPr="009B6CB6">
        <w:rPr>
          <w:rFonts w:ascii="Arial" w:hAnsi="Arial" w:cs="Arial"/>
          <w:i/>
        </w:rPr>
        <w:t>“on each of such claims in the summons as is only”</w:t>
      </w:r>
      <w:r w:rsidR="00A94575" w:rsidRPr="009B6CB6">
        <w:rPr>
          <w:rFonts w:ascii="Arial" w:hAnsi="Arial" w:cs="Arial"/>
        </w:rPr>
        <w:t>. The defendant, therefore, complains about the very thing it seeks the Court to do</w:t>
      </w:r>
      <w:r w:rsidR="00082221" w:rsidRPr="009B6CB6">
        <w:rPr>
          <w:rFonts w:ascii="Arial" w:hAnsi="Arial" w:cs="Arial"/>
        </w:rPr>
        <w:t>, namely to</w:t>
      </w:r>
      <w:r w:rsidR="00A94575" w:rsidRPr="009B6CB6">
        <w:rPr>
          <w:rFonts w:ascii="Arial" w:hAnsi="Arial" w:cs="Arial"/>
        </w:rPr>
        <w:t xml:space="preserve"> read into Rule 32 that further procedural steps are prohibited.</w:t>
      </w:r>
    </w:p>
    <w:p w14:paraId="67151257" w14:textId="77777777" w:rsidR="00A94575" w:rsidRPr="00A703A4" w:rsidRDefault="00A94575" w:rsidP="00A703A4">
      <w:pPr>
        <w:pStyle w:val="BodyText"/>
        <w:spacing w:line="360" w:lineRule="auto"/>
        <w:contextualSpacing/>
        <w:rPr>
          <w:rFonts w:cs="Arial"/>
          <w:sz w:val="24"/>
          <w:szCs w:val="24"/>
        </w:rPr>
      </w:pPr>
    </w:p>
    <w:p w14:paraId="7E7D96C7" w14:textId="0B53969E" w:rsidR="00A94575" w:rsidRPr="009B6CB6" w:rsidRDefault="009B6CB6" w:rsidP="009B6CB6">
      <w:pPr>
        <w:widowControl w:val="0"/>
        <w:tabs>
          <w:tab w:val="left" w:pos="687"/>
          <w:tab w:val="left" w:pos="720"/>
        </w:tabs>
        <w:autoSpaceDE w:val="0"/>
        <w:autoSpaceDN w:val="0"/>
        <w:spacing w:line="360" w:lineRule="auto"/>
        <w:ind w:left="720" w:right="119" w:hanging="720"/>
        <w:jc w:val="both"/>
        <w:rPr>
          <w:rFonts w:ascii="Arial" w:hAnsi="Arial" w:cs="Arial"/>
        </w:rPr>
      </w:pPr>
      <w:r w:rsidRPr="00A703A4">
        <w:rPr>
          <w:rFonts w:ascii="Arial" w:hAnsi="Arial" w:cs="Arial"/>
        </w:rPr>
        <w:lastRenderedPageBreak/>
        <w:t>10.</w:t>
      </w:r>
      <w:r w:rsidRPr="00A703A4">
        <w:rPr>
          <w:rFonts w:ascii="Arial" w:hAnsi="Arial" w:cs="Arial"/>
        </w:rPr>
        <w:tab/>
      </w:r>
      <w:r w:rsidR="00A94575" w:rsidRPr="009B6CB6">
        <w:rPr>
          <w:rFonts w:ascii="Arial" w:hAnsi="Arial" w:cs="Arial"/>
        </w:rPr>
        <w:t>The defendant asserts</w:t>
      </w:r>
      <w:r w:rsidR="00082221" w:rsidRPr="009B6CB6">
        <w:rPr>
          <w:rFonts w:ascii="Arial" w:hAnsi="Arial" w:cs="Arial"/>
        </w:rPr>
        <w:t>, secondly,</w:t>
      </w:r>
      <w:r w:rsidR="00A94575" w:rsidRPr="009B6CB6">
        <w:rPr>
          <w:rFonts w:ascii="Arial" w:hAnsi="Arial" w:cs="Arial"/>
        </w:rPr>
        <w:t xml:space="preserve"> that the findings </w:t>
      </w:r>
      <w:r w:rsidR="00082221" w:rsidRPr="009B6CB6">
        <w:rPr>
          <w:rFonts w:ascii="Arial" w:hAnsi="Arial" w:cs="Arial"/>
        </w:rPr>
        <w:t>that the</w:t>
      </w:r>
      <w:r w:rsidR="00082221" w:rsidRPr="009B6CB6">
        <w:rPr>
          <w:rFonts w:ascii="Arial" w:hAnsi="Arial" w:cs="Arial"/>
          <w:spacing w:val="-12"/>
        </w:rPr>
        <w:t xml:space="preserve"> </w:t>
      </w:r>
      <w:r w:rsidR="00082221" w:rsidRPr="009B6CB6">
        <w:rPr>
          <w:rFonts w:ascii="Arial" w:hAnsi="Arial" w:cs="Arial"/>
        </w:rPr>
        <w:t>wording</w:t>
      </w:r>
      <w:r w:rsidR="00082221" w:rsidRPr="009B6CB6">
        <w:rPr>
          <w:rFonts w:ascii="Arial" w:hAnsi="Arial" w:cs="Arial"/>
          <w:spacing w:val="-11"/>
        </w:rPr>
        <w:t xml:space="preserve"> </w:t>
      </w:r>
      <w:r w:rsidR="00082221" w:rsidRPr="009B6CB6">
        <w:rPr>
          <w:rFonts w:ascii="Arial" w:hAnsi="Arial" w:cs="Arial"/>
        </w:rPr>
        <w:t>of</w:t>
      </w:r>
      <w:r w:rsidR="00082221" w:rsidRPr="009B6CB6">
        <w:rPr>
          <w:rFonts w:ascii="Arial" w:hAnsi="Arial" w:cs="Arial"/>
          <w:spacing w:val="-12"/>
        </w:rPr>
        <w:t xml:space="preserve"> </w:t>
      </w:r>
      <w:r w:rsidR="00082221" w:rsidRPr="009B6CB6">
        <w:rPr>
          <w:rFonts w:ascii="Arial" w:hAnsi="Arial" w:cs="Arial"/>
        </w:rPr>
        <w:t>Rule</w:t>
      </w:r>
      <w:r w:rsidR="00082221" w:rsidRPr="009B6CB6">
        <w:rPr>
          <w:rFonts w:ascii="Arial" w:hAnsi="Arial" w:cs="Arial"/>
          <w:spacing w:val="-1"/>
        </w:rPr>
        <w:t xml:space="preserve"> </w:t>
      </w:r>
      <w:r w:rsidR="00082221" w:rsidRPr="009B6CB6">
        <w:rPr>
          <w:rFonts w:ascii="Arial" w:hAnsi="Arial" w:cs="Arial"/>
        </w:rPr>
        <w:t>32</w:t>
      </w:r>
      <w:r w:rsidR="00082221" w:rsidRPr="009B6CB6">
        <w:rPr>
          <w:rFonts w:ascii="Arial" w:hAnsi="Arial" w:cs="Arial"/>
          <w:spacing w:val="-9"/>
        </w:rPr>
        <w:t xml:space="preserve"> </w:t>
      </w:r>
      <w:r w:rsidR="00082221" w:rsidRPr="009B6CB6">
        <w:rPr>
          <w:rFonts w:ascii="Arial" w:hAnsi="Arial" w:cs="Arial"/>
        </w:rPr>
        <w:t>does</w:t>
      </w:r>
      <w:r w:rsidR="00082221" w:rsidRPr="009B6CB6">
        <w:rPr>
          <w:rFonts w:ascii="Arial" w:hAnsi="Arial" w:cs="Arial"/>
          <w:spacing w:val="-11"/>
        </w:rPr>
        <w:t xml:space="preserve"> </w:t>
      </w:r>
      <w:r w:rsidR="00082221" w:rsidRPr="009B6CB6">
        <w:rPr>
          <w:rFonts w:ascii="Arial" w:hAnsi="Arial" w:cs="Arial"/>
        </w:rPr>
        <w:t>not</w:t>
      </w:r>
      <w:r w:rsidR="00082221" w:rsidRPr="009B6CB6">
        <w:rPr>
          <w:rFonts w:ascii="Arial" w:hAnsi="Arial" w:cs="Arial"/>
          <w:spacing w:val="-11"/>
        </w:rPr>
        <w:t xml:space="preserve"> </w:t>
      </w:r>
      <w:r w:rsidR="00082221" w:rsidRPr="009B6CB6">
        <w:rPr>
          <w:rFonts w:ascii="Arial" w:hAnsi="Arial" w:cs="Arial"/>
        </w:rPr>
        <w:t>preclude</w:t>
      </w:r>
      <w:r w:rsidR="00082221" w:rsidRPr="009B6CB6">
        <w:rPr>
          <w:rFonts w:ascii="Arial" w:hAnsi="Arial" w:cs="Arial"/>
          <w:spacing w:val="-9"/>
        </w:rPr>
        <w:t xml:space="preserve"> </w:t>
      </w:r>
      <w:r w:rsidR="00082221" w:rsidRPr="009B6CB6">
        <w:rPr>
          <w:rFonts w:ascii="Arial" w:hAnsi="Arial" w:cs="Arial"/>
        </w:rPr>
        <w:t>a</w:t>
      </w:r>
      <w:r w:rsidR="00082221" w:rsidRPr="009B6CB6">
        <w:rPr>
          <w:rFonts w:ascii="Arial" w:hAnsi="Arial" w:cs="Arial"/>
          <w:spacing w:val="-12"/>
        </w:rPr>
        <w:t xml:space="preserve"> </w:t>
      </w:r>
      <w:r w:rsidR="00082221" w:rsidRPr="009B6CB6">
        <w:rPr>
          <w:rFonts w:ascii="Arial" w:hAnsi="Arial" w:cs="Arial"/>
        </w:rPr>
        <w:t>plaintiff</w:t>
      </w:r>
      <w:r w:rsidR="00082221" w:rsidRPr="009B6CB6">
        <w:rPr>
          <w:rFonts w:ascii="Arial" w:hAnsi="Arial" w:cs="Arial"/>
          <w:spacing w:val="-10"/>
        </w:rPr>
        <w:t xml:space="preserve"> </w:t>
      </w:r>
      <w:r w:rsidR="00082221" w:rsidRPr="009B6CB6">
        <w:rPr>
          <w:rFonts w:ascii="Arial" w:hAnsi="Arial" w:cs="Arial"/>
        </w:rPr>
        <w:t>from</w:t>
      </w:r>
      <w:r w:rsidR="00082221" w:rsidRPr="009B6CB6">
        <w:rPr>
          <w:rFonts w:ascii="Arial" w:hAnsi="Arial" w:cs="Arial"/>
          <w:spacing w:val="-11"/>
        </w:rPr>
        <w:t xml:space="preserve"> </w:t>
      </w:r>
      <w:r w:rsidR="00082221" w:rsidRPr="009B6CB6">
        <w:rPr>
          <w:rFonts w:ascii="Arial" w:hAnsi="Arial" w:cs="Arial"/>
        </w:rPr>
        <w:t>making application for summary judgment at the same time as the delivery of its replication,</w:t>
      </w:r>
      <w:r w:rsidR="00082221" w:rsidRPr="009B6CB6">
        <w:rPr>
          <w:rFonts w:ascii="Arial" w:hAnsi="Arial" w:cs="Arial"/>
          <w:spacing w:val="-10"/>
        </w:rPr>
        <w:t xml:space="preserve"> </w:t>
      </w:r>
      <w:r w:rsidR="00082221" w:rsidRPr="009B6CB6">
        <w:rPr>
          <w:rFonts w:ascii="Arial" w:hAnsi="Arial" w:cs="Arial"/>
        </w:rPr>
        <w:t xml:space="preserve">and that the plaintiff may incorporate by reference into its application for summary judgment the allegations made in its replication, </w:t>
      </w:r>
      <w:r w:rsidR="00A94575" w:rsidRPr="009B6CB6">
        <w:rPr>
          <w:rFonts w:ascii="Arial" w:hAnsi="Arial" w:cs="Arial"/>
        </w:rPr>
        <w:t xml:space="preserve">resulted in the Court vesting the summary judgment court with jurisdiction to determine the plaintiff’s application for summary judgment in circumstances where, </w:t>
      </w:r>
      <w:r w:rsidR="00082221" w:rsidRPr="009B6CB6">
        <w:rPr>
          <w:rFonts w:ascii="Arial" w:hAnsi="Arial" w:cs="Arial"/>
        </w:rPr>
        <w:t>given</w:t>
      </w:r>
      <w:r w:rsidR="00A94575" w:rsidRPr="009B6CB6">
        <w:rPr>
          <w:rFonts w:ascii="Arial" w:hAnsi="Arial" w:cs="Arial"/>
        </w:rPr>
        <w:t xml:space="preserve"> the defendant’s interpretation</w:t>
      </w:r>
      <w:r w:rsidR="00A94575" w:rsidRPr="009B6CB6">
        <w:rPr>
          <w:rFonts w:ascii="Arial" w:hAnsi="Arial" w:cs="Arial"/>
          <w:spacing w:val="25"/>
        </w:rPr>
        <w:t xml:space="preserve"> </w:t>
      </w:r>
      <w:r w:rsidR="00A94575" w:rsidRPr="009B6CB6">
        <w:rPr>
          <w:rFonts w:ascii="Arial" w:hAnsi="Arial" w:cs="Arial"/>
        </w:rPr>
        <w:t>of</w:t>
      </w:r>
      <w:r w:rsidR="00A94575" w:rsidRPr="009B6CB6">
        <w:rPr>
          <w:rFonts w:ascii="Arial" w:hAnsi="Arial" w:cs="Arial"/>
          <w:spacing w:val="25"/>
        </w:rPr>
        <w:t xml:space="preserve"> </w:t>
      </w:r>
      <w:r w:rsidR="00082221" w:rsidRPr="009B6CB6">
        <w:rPr>
          <w:rFonts w:ascii="Arial" w:hAnsi="Arial" w:cs="Arial"/>
        </w:rPr>
        <w:t>R</w:t>
      </w:r>
      <w:r w:rsidR="00A94575" w:rsidRPr="009B6CB6">
        <w:rPr>
          <w:rFonts w:ascii="Arial" w:hAnsi="Arial" w:cs="Arial"/>
        </w:rPr>
        <w:t>ule</w:t>
      </w:r>
      <w:r w:rsidR="00A94575" w:rsidRPr="009B6CB6">
        <w:rPr>
          <w:rFonts w:ascii="Arial" w:hAnsi="Arial" w:cs="Arial"/>
          <w:spacing w:val="25"/>
        </w:rPr>
        <w:t xml:space="preserve"> </w:t>
      </w:r>
      <w:r w:rsidR="00A94575" w:rsidRPr="009B6CB6">
        <w:rPr>
          <w:rFonts w:ascii="Arial" w:hAnsi="Arial" w:cs="Arial"/>
        </w:rPr>
        <w:t>32,</w:t>
      </w:r>
      <w:r w:rsidR="00A94575" w:rsidRPr="009B6CB6">
        <w:rPr>
          <w:rFonts w:ascii="Arial" w:hAnsi="Arial" w:cs="Arial"/>
          <w:spacing w:val="26"/>
        </w:rPr>
        <w:t xml:space="preserve"> </w:t>
      </w:r>
      <w:r w:rsidR="00A94575" w:rsidRPr="009B6CB6">
        <w:rPr>
          <w:rFonts w:ascii="Arial" w:hAnsi="Arial" w:cs="Arial"/>
        </w:rPr>
        <w:t>the</w:t>
      </w:r>
      <w:r w:rsidR="00A94575" w:rsidRPr="009B6CB6">
        <w:rPr>
          <w:rFonts w:ascii="Arial" w:hAnsi="Arial" w:cs="Arial"/>
          <w:spacing w:val="23"/>
        </w:rPr>
        <w:t xml:space="preserve"> </w:t>
      </w:r>
      <w:r w:rsidR="00A94575" w:rsidRPr="009B6CB6">
        <w:rPr>
          <w:rFonts w:ascii="Arial" w:hAnsi="Arial" w:cs="Arial"/>
        </w:rPr>
        <w:t>summary</w:t>
      </w:r>
      <w:r w:rsidR="00A94575" w:rsidRPr="009B6CB6">
        <w:rPr>
          <w:rFonts w:ascii="Arial" w:hAnsi="Arial" w:cs="Arial"/>
          <w:spacing w:val="23"/>
        </w:rPr>
        <w:t xml:space="preserve"> </w:t>
      </w:r>
      <w:r w:rsidR="00A94575" w:rsidRPr="009B6CB6">
        <w:rPr>
          <w:rFonts w:ascii="Arial" w:hAnsi="Arial" w:cs="Arial"/>
        </w:rPr>
        <w:t>judgment</w:t>
      </w:r>
      <w:r w:rsidR="00A94575" w:rsidRPr="009B6CB6">
        <w:rPr>
          <w:rFonts w:ascii="Arial" w:hAnsi="Arial" w:cs="Arial"/>
          <w:spacing w:val="30"/>
        </w:rPr>
        <w:t xml:space="preserve"> </w:t>
      </w:r>
      <w:r w:rsidR="00A94575" w:rsidRPr="009B6CB6">
        <w:rPr>
          <w:rFonts w:ascii="Arial" w:hAnsi="Arial" w:cs="Arial"/>
        </w:rPr>
        <w:t>court</w:t>
      </w:r>
      <w:r w:rsidR="00A94575" w:rsidRPr="009B6CB6">
        <w:rPr>
          <w:rFonts w:ascii="Arial" w:hAnsi="Arial" w:cs="Arial"/>
          <w:spacing w:val="25"/>
        </w:rPr>
        <w:t xml:space="preserve"> </w:t>
      </w:r>
      <w:r w:rsidR="00A94575" w:rsidRPr="009B6CB6">
        <w:rPr>
          <w:rFonts w:ascii="Arial" w:hAnsi="Arial" w:cs="Arial"/>
        </w:rPr>
        <w:t>enjoys</w:t>
      </w:r>
      <w:r w:rsidR="00A94575" w:rsidRPr="009B6CB6">
        <w:rPr>
          <w:rFonts w:ascii="Arial" w:hAnsi="Arial" w:cs="Arial"/>
          <w:spacing w:val="25"/>
        </w:rPr>
        <w:t xml:space="preserve"> </w:t>
      </w:r>
      <w:r w:rsidR="00A94575" w:rsidRPr="009B6CB6">
        <w:rPr>
          <w:rFonts w:ascii="Arial" w:hAnsi="Arial" w:cs="Arial"/>
        </w:rPr>
        <w:t>no</w:t>
      </w:r>
      <w:r w:rsidR="00A94575" w:rsidRPr="009B6CB6">
        <w:rPr>
          <w:rFonts w:ascii="Arial" w:hAnsi="Arial" w:cs="Arial"/>
          <w:spacing w:val="28"/>
        </w:rPr>
        <w:t xml:space="preserve"> </w:t>
      </w:r>
      <w:r w:rsidR="00A94575" w:rsidRPr="009B6CB6">
        <w:rPr>
          <w:rFonts w:ascii="Arial" w:hAnsi="Arial" w:cs="Arial"/>
        </w:rPr>
        <w:t>such</w:t>
      </w:r>
      <w:r w:rsidR="00A94575" w:rsidRPr="009B6CB6">
        <w:rPr>
          <w:rFonts w:ascii="Arial" w:hAnsi="Arial" w:cs="Arial"/>
          <w:spacing w:val="25"/>
        </w:rPr>
        <w:t xml:space="preserve"> </w:t>
      </w:r>
      <w:r w:rsidR="00A94575" w:rsidRPr="009B6CB6">
        <w:rPr>
          <w:rFonts w:ascii="Arial" w:hAnsi="Arial" w:cs="Arial"/>
        </w:rPr>
        <w:t>jurisdiction.</w:t>
      </w:r>
      <w:r w:rsidR="00A94575" w:rsidRPr="009B6CB6">
        <w:rPr>
          <w:rFonts w:ascii="Arial" w:hAnsi="Arial" w:cs="Arial"/>
          <w:spacing w:val="25"/>
        </w:rPr>
        <w:t xml:space="preserve"> </w:t>
      </w:r>
      <w:r w:rsidR="00A94575" w:rsidRPr="009B6CB6">
        <w:rPr>
          <w:rFonts w:ascii="Arial" w:hAnsi="Arial" w:cs="Arial"/>
        </w:rPr>
        <w:t>In</w:t>
      </w:r>
      <w:r w:rsidR="00082221" w:rsidRPr="009B6CB6">
        <w:rPr>
          <w:rFonts w:ascii="Arial" w:hAnsi="Arial" w:cs="Arial"/>
        </w:rPr>
        <w:t xml:space="preserve"> </w:t>
      </w:r>
      <w:r w:rsidR="00A94575" w:rsidRPr="009B6CB6">
        <w:rPr>
          <w:rFonts w:ascii="Arial" w:hAnsi="Arial" w:cs="Arial"/>
        </w:rPr>
        <w:t xml:space="preserve">clothing the summary judgment court with </w:t>
      </w:r>
      <w:r w:rsidR="00082221" w:rsidRPr="009B6CB6">
        <w:rPr>
          <w:rFonts w:ascii="Arial" w:hAnsi="Arial" w:cs="Arial"/>
        </w:rPr>
        <w:t xml:space="preserve">such </w:t>
      </w:r>
      <w:r w:rsidR="00A94575" w:rsidRPr="009B6CB6">
        <w:rPr>
          <w:rFonts w:ascii="Arial" w:hAnsi="Arial" w:cs="Arial"/>
        </w:rPr>
        <w:t xml:space="preserve">jurisdiction, the </w:t>
      </w:r>
      <w:r w:rsidR="00BA6A09" w:rsidRPr="009B6CB6">
        <w:rPr>
          <w:rFonts w:ascii="Arial" w:hAnsi="Arial" w:cs="Arial"/>
        </w:rPr>
        <w:t xml:space="preserve">main </w:t>
      </w:r>
      <w:r w:rsidR="00A94575" w:rsidRPr="009B6CB6">
        <w:rPr>
          <w:rFonts w:ascii="Arial" w:hAnsi="Arial" w:cs="Arial"/>
        </w:rPr>
        <w:t>judgment constitutes a “</w:t>
      </w:r>
      <w:r w:rsidR="00A94575" w:rsidRPr="009B6CB6">
        <w:rPr>
          <w:rFonts w:ascii="Arial" w:hAnsi="Arial" w:cs="Arial"/>
          <w:i/>
          <w:iCs/>
        </w:rPr>
        <w:t>misdirection of law</w:t>
      </w:r>
      <w:r w:rsidR="00A94575" w:rsidRPr="009B6CB6">
        <w:rPr>
          <w:rFonts w:ascii="Arial" w:hAnsi="Arial" w:cs="Arial"/>
        </w:rPr>
        <w:t>”</w:t>
      </w:r>
      <w:r w:rsidR="00BA6A09" w:rsidRPr="009B6CB6">
        <w:rPr>
          <w:rFonts w:ascii="Arial" w:hAnsi="Arial" w:cs="Arial"/>
        </w:rPr>
        <w:t>.</w:t>
      </w:r>
    </w:p>
    <w:p w14:paraId="330E3A2B" w14:textId="77777777" w:rsidR="00A94575" w:rsidRPr="00A703A4" w:rsidRDefault="00A94575" w:rsidP="00A703A4">
      <w:pPr>
        <w:pStyle w:val="BodyText"/>
        <w:spacing w:line="360" w:lineRule="auto"/>
        <w:contextualSpacing/>
        <w:rPr>
          <w:rFonts w:cs="Arial"/>
          <w:sz w:val="24"/>
          <w:szCs w:val="24"/>
        </w:rPr>
      </w:pPr>
    </w:p>
    <w:p w14:paraId="43DA506C" w14:textId="0303AEFC" w:rsidR="00A94575" w:rsidRPr="009B6CB6" w:rsidRDefault="009B6CB6" w:rsidP="009B6CB6">
      <w:pPr>
        <w:widowControl w:val="0"/>
        <w:tabs>
          <w:tab w:val="left" w:pos="687"/>
          <w:tab w:val="left" w:pos="720"/>
        </w:tabs>
        <w:autoSpaceDE w:val="0"/>
        <w:autoSpaceDN w:val="0"/>
        <w:spacing w:line="360" w:lineRule="auto"/>
        <w:ind w:left="720" w:right="115" w:hanging="720"/>
        <w:jc w:val="both"/>
        <w:rPr>
          <w:rFonts w:ascii="Arial" w:hAnsi="Arial" w:cs="Arial"/>
        </w:rPr>
      </w:pPr>
      <w:r w:rsidRPr="00A703A4">
        <w:rPr>
          <w:rFonts w:ascii="Arial" w:hAnsi="Arial" w:cs="Arial"/>
        </w:rPr>
        <w:t>11.</w:t>
      </w:r>
      <w:r w:rsidRPr="00A703A4">
        <w:rPr>
          <w:rFonts w:ascii="Arial" w:hAnsi="Arial" w:cs="Arial"/>
        </w:rPr>
        <w:tab/>
      </w:r>
      <w:r w:rsidR="00A94575" w:rsidRPr="009B6CB6">
        <w:rPr>
          <w:rFonts w:ascii="Arial" w:hAnsi="Arial" w:cs="Arial"/>
        </w:rPr>
        <w:t>For</w:t>
      </w:r>
      <w:r w:rsidR="00A94575" w:rsidRPr="009B6CB6">
        <w:rPr>
          <w:rFonts w:ascii="Arial" w:hAnsi="Arial" w:cs="Arial"/>
          <w:spacing w:val="-7"/>
        </w:rPr>
        <w:t xml:space="preserve"> </w:t>
      </w:r>
      <w:r w:rsidR="00A94575" w:rsidRPr="009B6CB6">
        <w:rPr>
          <w:rFonts w:ascii="Arial" w:hAnsi="Arial" w:cs="Arial"/>
        </w:rPr>
        <w:t>the</w:t>
      </w:r>
      <w:r w:rsidR="00A94575" w:rsidRPr="009B6CB6">
        <w:rPr>
          <w:rFonts w:ascii="Arial" w:hAnsi="Arial" w:cs="Arial"/>
          <w:spacing w:val="-5"/>
        </w:rPr>
        <w:t xml:space="preserve"> </w:t>
      </w:r>
      <w:r w:rsidR="00A94575" w:rsidRPr="009B6CB6">
        <w:rPr>
          <w:rFonts w:ascii="Arial" w:hAnsi="Arial" w:cs="Arial"/>
        </w:rPr>
        <w:t>reasons</w:t>
      </w:r>
      <w:r w:rsidR="00A94575" w:rsidRPr="009B6CB6">
        <w:rPr>
          <w:rFonts w:ascii="Arial" w:hAnsi="Arial" w:cs="Arial"/>
          <w:spacing w:val="-6"/>
        </w:rPr>
        <w:t xml:space="preserve"> </w:t>
      </w:r>
      <w:r w:rsidR="00867DB6" w:rsidRPr="009B6CB6">
        <w:rPr>
          <w:rFonts w:ascii="Arial" w:hAnsi="Arial" w:cs="Arial"/>
        </w:rPr>
        <w:t>set out in the main judgment</w:t>
      </w:r>
      <w:r w:rsidR="00A94575" w:rsidRPr="009B6CB6">
        <w:rPr>
          <w:rFonts w:ascii="Arial" w:hAnsi="Arial" w:cs="Arial"/>
        </w:rPr>
        <w:t>,</w:t>
      </w:r>
      <w:r w:rsidR="00A94575" w:rsidRPr="009B6CB6">
        <w:rPr>
          <w:rFonts w:ascii="Arial" w:hAnsi="Arial" w:cs="Arial"/>
          <w:spacing w:val="-6"/>
        </w:rPr>
        <w:t xml:space="preserve"> </w:t>
      </w:r>
      <w:r w:rsidR="00A94575" w:rsidRPr="009B6CB6">
        <w:rPr>
          <w:rFonts w:ascii="Arial" w:hAnsi="Arial" w:cs="Arial"/>
        </w:rPr>
        <w:t>there</w:t>
      </w:r>
      <w:r w:rsidR="00A94575" w:rsidRPr="009B6CB6">
        <w:rPr>
          <w:rFonts w:ascii="Arial" w:hAnsi="Arial" w:cs="Arial"/>
          <w:spacing w:val="-7"/>
        </w:rPr>
        <w:t xml:space="preserve"> </w:t>
      </w:r>
      <w:r w:rsidR="00A94575" w:rsidRPr="009B6CB6">
        <w:rPr>
          <w:rFonts w:ascii="Arial" w:hAnsi="Arial" w:cs="Arial"/>
        </w:rPr>
        <w:t>is</w:t>
      </w:r>
      <w:r w:rsidR="00A94575" w:rsidRPr="009B6CB6">
        <w:rPr>
          <w:rFonts w:ascii="Arial" w:hAnsi="Arial" w:cs="Arial"/>
          <w:spacing w:val="-6"/>
        </w:rPr>
        <w:t xml:space="preserve"> </w:t>
      </w:r>
      <w:r w:rsidR="00A94575" w:rsidRPr="009B6CB6">
        <w:rPr>
          <w:rFonts w:ascii="Arial" w:hAnsi="Arial" w:cs="Arial"/>
        </w:rPr>
        <w:t>nothing</w:t>
      </w:r>
      <w:r w:rsidR="00A94575" w:rsidRPr="009B6CB6">
        <w:rPr>
          <w:rFonts w:ascii="Arial" w:hAnsi="Arial" w:cs="Arial"/>
          <w:spacing w:val="-6"/>
        </w:rPr>
        <w:t xml:space="preserve"> </w:t>
      </w:r>
      <w:r w:rsidR="00A94575" w:rsidRPr="009B6CB6">
        <w:rPr>
          <w:rFonts w:ascii="Arial" w:hAnsi="Arial" w:cs="Arial"/>
        </w:rPr>
        <w:t>in</w:t>
      </w:r>
      <w:r w:rsidR="00A94575" w:rsidRPr="009B6CB6">
        <w:rPr>
          <w:rFonts w:ascii="Arial" w:hAnsi="Arial" w:cs="Arial"/>
          <w:spacing w:val="-5"/>
        </w:rPr>
        <w:t xml:space="preserve"> </w:t>
      </w:r>
      <w:r w:rsidR="00A94575" w:rsidRPr="009B6CB6">
        <w:rPr>
          <w:rFonts w:ascii="Arial" w:hAnsi="Arial" w:cs="Arial"/>
        </w:rPr>
        <w:t>Rule</w:t>
      </w:r>
      <w:r w:rsidR="00A94575" w:rsidRPr="009B6CB6">
        <w:rPr>
          <w:rFonts w:ascii="Arial" w:hAnsi="Arial" w:cs="Arial"/>
          <w:spacing w:val="-6"/>
        </w:rPr>
        <w:t xml:space="preserve"> </w:t>
      </w:r>
      <w:r w:rsidR="00A94575" w:rsidRPr="009B6CB6">
        <w:rPr>
          <w:rFonts w:ascii="Arial" w:hAnsi="Arial" w:cs="Arial"/>
        </w:rPr>
        <w:t>32</w:t>
      </w:r>
      <w:r w:rsidR="00A94575" w:rsidRPr="009B6CB6">
        <w:rPr>
          <w:rFonts w:ascii="Arial" w:hAnsi="Arial" w:cs="Arial"/>
          <w:spacing w:val="-6"/>
        </w:rPr>
        <w:t xml:space="preserve"> </w:t>
      </w:r>
      <w:r w:rsidR="00A94575" w:rsidRPr="009B6CB6">
        <w:rPr>
          <w:rFonts w:ascii="Arial" w:hAnsi="Arial" w:cs="Arial"/>
        </w:rPr>
        <w:t>that</w:t>
      </w:r>
      <w:r w:rsidR="00A94575" w:rsidRPr="009B6CB6">
        <w:rPr>
          <w:rFonts w:ascii="Arial" w:hAnsi="Arial" w:cs="Arial"/>
          <w:spacing w:val="-6"/>
        </w:rPr>
        <w:t xml:space="preserve"> </w:t>
      </w:r>
      <w:r w:rsidR="00A94575" w:rsidRPr="009B6CB6">
        <w:rPr>
          <w:rFonts w:ascii="Arial" w:hAnsi="Arial" w:cs="Arial"/>
        </w:rPr>
        <w:t>precludes</w:t>
      </w:r>
      <w:r w:rsidR="00A94575" w:rsidRPr="009B6CB6">
        <w:rPr>
          <w:rFonts w:ascii="Arial" w:hAnsi="Arial" w:cs="Arial"/>
          <w:spacing w:val="-6"/>
        </w:rPr>
        <w:t xml:space="preserve"> </w:t>
      </w:r>
      <w:r w:rsidR="00A94575" w:rsidRPr="009B6CB6">
        <w:rPr>
          <w:rFonts w:ascii="Arial" w:hAnsi="Arial" w:cs="Arial"/>
        </w:rPr>
        <w:t>the</w:t>
      </w:r>
      <w:r w:rsidR="00A94575" w:rsidRPr="009B6CB6">
        <w:rPr>
          <w:rFonts w:ascii="Arial" w:hAnsi="Arial" w:cs="Arial"/>
          <w:spacing w:val="-4"/>
        </w:rPr>
        <w:t xml:space="preserve"> </w:t>
      </w:r>
      <w:r w:rsidR="00A94575" w:rsidRPr="009B6CB6">
        <w:rPr>
          <w:rFonts w:ascii="Arial" w:hAnsi="Arial" w:cs="Arial"/>
        </w:rPr>
        <w:t>plaintiff</w:t>
      </w:r>
      <w:r w:rsidR="00A94575" w:rsidRPr="009B6CB6">
        <w:rPr>
          <w:rFonts w:ascii="Arial" w:hAnsi="Arial" w:cs="Arial"/>
          <w:spacing w:val="-8"/>
        </w:rPr>
        <w:t xml:space="preserve"> </w:t>
      </w:r>
      <w:r w:rsidR="00A94575" w:rsidRPr="009B6CB6">
        <w:rPr>
          <w:rFonts w:ascii="Arial" w:hAnsi="Arial" w:cs="Arial"/>
        </w:rPr>
        <w:t xml:space="preserve">from </w:t>
      </w:r>
      <w:r w:rsidR="00867DB6" w:rsidRPr="009B6CB6">
        <w:rPr>
          <w:rFonts w:ascii="Arial" w:hAnsi="Arial" w:cs="Arial"/>
        </w:rPr>
        <w:t>delivering</w:t>
      </w:r>
      <w:r w:rsidR="00A94575" w:rsidRPr="009B6CB6">
        <w:rPr>
          <w:rFonts w:ascii="Arial" w:hAnsi="Arial" w:cs="Arial"/>
        </w:rPr>
        <w:t xml:space="preserve"> a replication. </w:t>
      </w:r>
      <w:r w:rsidR="00867DB6" w:rsidRPr="009B6CB6">
        <w:rPr>
          <w:rFonts w:ascii="Arial" w:hAnsi="Arial" w:cs="Arial"/>
        </w:rPr>
        <w:t>T</w:t>
      </w:r>
      <w:r w:rsidR="00A94575" w:rsidRPr="009B6CB6">
        <w:rPr>
          <w:rFonts w:ascii="Arial" w:hAnsi="Arial" w:cs="Arial"/>
        </w:rPr>
        <w:t>he allegations in the replication can</w:t>
      </w:r>
      <w:r w:rsidR="00867DB6" w:rsidRPr="009B6CB6">
        <w:rPr>
          <w:rFonts w:ascii="Arial" w:hAnsi="Arial" w:cs="Arial"/>
        </w:rPr>
        <w:t xml:space="preserve"> obviously </w:t>
      </w:r>
      <w:r w:rsidR="00A94575" w:rsidRPr="009B6CB6">
        <w:rPr>
          <w:rFonts w:ascii="Arial" w:hAnsi="Arial" w:cs="Arial"/>
        </w:rPr>
        <w:t>not be different from the allegations contained in the Rule 32(2</w:t>
      </w:r>
      <w:proofErr w:type="gramStart"/>
      <w:r w:rsidR="00A94575" w:rsidRPr="009B6CB6">
        <w:rPr>
          <w:rFonts w:ascii="Arial" w:hAnsi="Arial" w:cs="Arial"/>
        </w:rPr>
        <w:t>)(</w:t>
      </w:r>
      <w:proofErr w:type="gramEnd"/>
      <w:r w:rsidR="00A94575" w:rsidRPr="009B6CB6">
        <w:rPr>
          <w:rFonts w:ascii="Arial" w:hAnsi="Arial" w:cs="Arial"/>
        </w:rPr>
        <w:t>a)</w:t>
      </w:r>
      <w:r w:rsidR="00867DB6" w:rsidRPr="009B6CB6">
        <w:rPr>
          <w:rFonts w:ascii="Arial" w:hAnsi="Arial" w:cs="Arial"/>
        </w:rPr>
        <w:t xml:space="preserve"> </w:t>
      </w:r>
      <w:r w:rsidR="00A94575" w:rsidRPr="009B6CB6">
        <w:rPr>
          <w:rFonts w:ascii="Arial" w:hAnsi="Arial" w:cs="Arial"/>
        </w:rPr>
        <w:t>affidavit. The reasons advanced in the Rule 32(2)(a)</w:t>
      </w:r>
      <w:r w:rsidR="00867DB6" w:rsidRPr="009B6CB6">
        <w:rPr>
          <w:rFonts w:ascii="Arial" w:hAnsi="Arial" w:cs="Arial"/>
        </w:rPr>
        <w:t xml:space="preserve"> </w:t>
      </w:r>
      <w:r w:rsidR="00A94575" w:rsidRPr="009B6CB6">
        <w:rPr>
          <w:rFonts w:ascii="Arial" w:hAnsi="Arial" w:cs="Arial"/>
        </w:rPr>
        <w:t xml:space="preserve">affidavit why the </w:t>
      </w:r>
      <w:proofErr w:type="spellStart"/>
      <w:r w:rsidR="00A94575" w:rsidRPr="009B6CB6">
        <w:rPr>
          <w:rFonts w:ascii="Arial" w:hAnsi="Arial" w:cs="Arial"/>
        </w:rPr>
        <w:t>defences</w:t>
      </w:r>
      <w:proofErr w:type="spellEnd"/>
      <w:r w:rsidR="00A94575" w:rsidRPr="009B6CB6">
        <w:rPr>
          <w:rFonts w:ascii="Arial" w:hAnsi="Arial" w:cs="Arial"/>
        </w:rPr>
        <w:t xml:space="preserve"> in the plea do not disclose triable issues will be no more than an elaboration of the allegations pleaded in the replication (in addition to </w:t>
      </w:r>
      <w:r w:rsidR="00867DB6" w:rsidRPr="009B6CB6">
        <w:rPr>
          <w:rFonts w:ascii="Arial" w:hAnsi="Arial" w:cs="Arial"/>
        </w:rPr>
        <w:t>any</w:t>
      </w:r>
      <w:r w:rsidR="00A94575" w:rsidRPr="009B6CB6">
        <w:rPr>
          <w:rFonts w:ascii="Arial" w:hAnsi="Arial" w:cs="Arial"/>
        </w:rPr>
        <w:t xml:space="preserve"> other reasons advanced in the affidavit that may not have been</w:t>
      </w:r>
      <w:r w:rsidR="00A94575" w:rsidRPr="009B6CB6">
        <w:rPr>
          <w:rFonts w:ascii="Arial" w:hAnsi="Arial" w:cs="Arial"/>
          <w:spacing w:val="-10"/>
        </w:rPr>
        <w:t xml:space="preserve"> </w:t>
      </w:r>
      <w:r w:rsidR="00A94575" w:rsidRPr="009B6CB6">
        <w:rPr>
          <w:rFonts w:ascii="Arial" w:hAnsi="Arial" w:cs="Arial"/>
        </w:rPr>
        <w:t>pertinently</w:t>
      </w:r>
      <w:r w:rsidR="00A94575" w:rsidRPr="009B6CB6">
        <w:rPr>
          <w:rFonts w:ascii="Arial" w:hAnsi="Arial" w:cs="Arial"/>
          <w:spacing w:val="-9"/>
        </w:rPr>
        <w:t xml:space="preserve"> </w:t>
      </w:r>
      <w:r w:rsidR="00A94575" w:rsidRPr="009B6CB6">
        <w:rPr>
          <w:rFonts w:ascii="Arial" w:hAnsi="Arial" w:cs="Arial"/>
        </w:rPr>
        <w:t>raised</w:t>
      </w:r>
      <w:r w:rsidR="00A94575" w:rsidRPr="009B6CB6">
        <w:rPr>
          <w:rFonts w:ascii="Arial" w:hAnsi="Arial" w:cs="Arial"/>
          <w:spacing w:val="-10"/>
        </w:rPr>
        <w:t xml:space="preserve"> </w:t>
      </w:r>
      <w:r w:rsidR="00A94575" w:rsidRPr="009B6CB6">
        <w:rPr>
          <w:rFonts w:ascii="Arial" w:hAnsi="Arial" w:cs="Arial"/>
        </w:rPr>
        <w:t>in</w:t>
      </w:r>
      <w:r w:rsidR="00A94575" w:rsidRPr="009B6CB6">
        <w:rPr>
          <w:rFonts w:ascii="Arial" w:hAnsi="Arial" w:cs="Arial"/>
          <w:spacing w:val="-7"/>
        </w:rPr>
        <w:t xml:space="preserve"> </w:t>
      </w:r>
      <w:r w:rsidR="00A94575" w:rsidRPr="009B6CB6">
        <w:rPr>
          <w:rFonts w:ascii="Arial" w:hAnsi="Arial" w:cs="Arial"/>
        </w:rPr>
        <w:t>the</w:t>
      </w:r>
      <w:r w:rsidR="00A94575" w:rsidRPr="009B6CB6">
        <w:rPr>
          <w:rFonts w:ascii="Arial" w:hAnsi="Arial" w:cs="Arial"/>
          <w:spacing w:val="-10"/>
        </w:rPr>
        <w:t xml:space="preserve"> </w:t>
      </w:r>
      <w:r w:rsidR="00A94575" w:rsidRPr="009B6CB6">
        <w:rPr>
          <w:rFonts w:ascii="Arial" w:hAnsi="Arial" w:cs="Arial"/>
        </w:rPr>
        <w:t>replication).</w:t>
      </w:r>
      <w:r w:rsidR="00A94575" w:rsidRPr="009B6CB6">
        <w:rPr>
          <w:rFonts w:ascii="Arial" w:hAnsi="Arial" w:cs="Arial"/>
          <w:spacing w:val="-9"/>
        </w:rPr>
        <w:t xml:space="preserve"> </w:t>
      </w:r>
      <w:r w:rsidR="00A94575" w:rsidRPr="009B6CB6">
        <w:rPr>
          <w:rFonts w:ascii="Arial" w:hAnsi="Arial" w:cs="Arial"/>
        </w:rPr>
        <w:t>The</w:t>
      </w:r>
      <w:r w:rsidR="00A94575" w:rsidRPr="009B6CB6">
        <w:rPr>
          <w:rFonts w:ascii="Arial" w:hAnsi="Arial" w:cs="Arial"/>
          <w:spacing w:val="-11"/>
        </w:rPr>
        <w:t xml:space="preserve"> </w:t>
      </w:r>
      <w:r w:rsidR="00A94575" w:rsidRPr="009B6CB6">
        <w:rPr>
          <w:rFonts w:ascii="Arial" w:hAnsi="Arial" w:cs="Arial"/>
        </w:rPr>
        <w:t>summary</w:t>
      </w:r>
      <w:r w:rsidR="00A94575" w:rsidRPr="009B6CB6">
        <w:rPr>
          <w:rFonts w:ascii="Arial" w:hAnsi="Arial" w:cs="Arial"/>
          <w:spacing w:val="-10"/>
        </w:rPr>
        <w:t xml:space="preserve"> </w:t>
      </w:r>
      <w:r w:rsidR="00A94575" w:rsidRPr="009B6CB6">
        <w:rPr>
          <w:rFonts w:ascii="Arial" w:hAnsi="Arial" w:cs="Arial"/>
        </w:rPr>
        <w:t>judgment</w:t>
      </w:r>
      <w:r w:rsidR="00A94575" w:rsidRPr="009B6CB6">
        <w:rPr>
          <w:rFonts w:ascii="Arial" w:hAnsi="Arial" w:cs="Arial"/>
          <w:spacing w:val="-9"/>
        </w:rPr>
        <w:t xml:space="preserve"> </w:t>
      </w:r>
      <w:r w:rsidR="00A94575" w:rsidRPr="009B6CB6">
        <w:rPr>
          <w:rFonts w:ascii="Arial" w:hAnsi="Arial" w:cs="Arial"/>
        </w:rPr>
        <w:t>court</w:t>
      </w:r>
      <w:r w:rsidR="00A94575" w:rsidRPr="009B6CB6">
        <w:rPr>
          <w:rFonts w:ascii="Arial" w:hAnsi="Arial" w:cs="Arial"/>
          <w:spacing w:val="-10"/>
        </w:rPr>
        <w:t xml:space="preserve"> </w:t>
      </w:r>
      <w:r w:rsidR="00A94575" w:rsidRPr="009B6CB6">
        <w:rPr>
          <w:rFonts w:ascii="Arial" w:hAnsi="Arial" w:cs="Arial"/>
        </w:rPr>
        <w:t>will</w:t>
      </w:r>
      <w:r w:rsidR="00A94575" w:rsidRPr="009B6CB6">
        <w:rPr>
          <w:rFonts w:ascii="Arial" w:hAnsi="Arial" w:cs="Arial"/>
          <w:spacing w:val="-9"/>
        </w:rPr>
        <w:t xml:space="preserve"> </w:t>
      </w:r>
      <w:r w:rsidR="00A94575" w:rsidRPr="009B6CB6">
        <w:rPr>
          <w:rFonts w:ascii="Arial" w:hAnsi="Arial" w:cs="Arial"/>
        </w:rPr>
        <w:t>accordingly not be called upon to consider facts or evidence not already contained in the Rule 32(2</w:t>
      </w:r>
      <w:proofErr w:type="gramStart"/>
      <w:r w:rsidR="00A94575" w:rsidRPr="009B6CB6">
        <w:rPr>
          <w:rFonts w:ascii="Arial" w:hAnsi="Arial" w:cs="Arial"/>
        </w:rPr>
        <w:t>)(</w:t>
      </w:r>
      <w:proofErr w:type="gramEnd"/>
      <w:r w:rsidR="00A94575" w:rsidRPr="009B6CB6">
        <w:rPr>
          <w:rFonts w:ascii="Arial" w:hAnsi="Arial" w:cs="Arial"/>
        </w:rPr>
        <w:t>a)</w:t>
      </w:r>
      <w:r w:rsidR="00867DB6" w:rsidRPr="009B6CB6">
        <w:rPr>
          <w:rFonts w:ascii="Arial" w:hAnsi="Arial" w:cs="Arial"/>
        </w:rPr>
        <w:t xml:space="preserve"> </w:t>
      </w:r>
      <w:r w:rsidR="00A94575" w:rsidRPr="009B6CB6">
        <w:rPr>
          <w:rFonts w:ascii="Arial" w:hAnsi="Arial" w:cs="Arial"/>
        </w:rPr>
        <w:t xml:space="preserve">affidavit. The scope of the </w:t>
      </w:r>
      <w:r w:rsidR="00867DB6" w:rsidRPr="009B6CB6">
        <w:rPr>
          <w:rFonts w:ascii="Arial" w:hAnsi="Arial" w:cs="Arial"/>
        </w:rPr>
        <w:t xml:space="preserve">jurisdiction of the </w:t>
      </w:r>
      <w:r w:rsidR="00A94575" w:rsidRPr="009B6CB6">
        <w:rPr>
          <w:rFonts w:ascii="Arial" w:hAnsi="Arial" w:cs="Arial"/>
        </w:rPr>
        <w:t>summary judgment court will therefore not be widened.</w:t>
      </w:r>
    </w:p>
    <w:p w14:paraId="294C200B" w14:textId="77777777" w:rsidR="00A94575" w:rsidRPr="00A703A4" w:rsidRDefault="00A94575" w:rsidP="00A703A4">
      <w:pPr>
        <w:pStyle w:val="BodyText"/>
        <w:spacing w:line="360" w:lineRule="auto"/>
        <w:contextualSpacing/>
        <w:rPr>
          <w:rFonts w:cs="Arial"/>
          <w:sz w:val="24"/>
          <w:szCs w:val="24"/>
        </w:rPr>
      </w:pPr>
    </w:p>
    <w:p w14:paraId="6876138B" w14:textId="43F84DAA" w:rsidR="00A94575" w:rsidRPr="009B6CB6" w:rsidRDefault="009B6CB6" w:rsidP="009B6CB6">
      <w:pPr>
        <w:widowControl w:val="0"/>
        <w:tabs>
          <w:tab w:val="left" w:pos="687"/>
          <w:tab w:val="left" w:pos="720"/>
        </w:tabs>
        <w:autoSpaceDE w:val="0"/>
        <w:autoSpaceDN w:val="0"/>
        <w:spacing w:line="360" w:lineRule="auto"/>
        <w:ind w:left="720" w:right="117" w:hanging="720"/>
        <w:jc w:val="both"/>
        <w:rPr>
          <w:rFonts w:ascii="Arial" w:hAnsi="Arial" w:cs="Arial"/>
        </w:rPr>
      </w:pPr>
      <w:r w:rsidRPr="00A703A4">
        <w:rPr>
          <w:rFonts w:ascii="Arial" w:hAnsi="Arial" w:cs="Arial"/>
        </w:rPr>
        <w:t>12.</w:t>
      </w:r>
      <w:r w:rsidRPr="00A703A4">
        <w:rPr>
          <w:rFonts w:ascii="Arial" w:hAnsi="Arial" w:cs="Arial"/>
        </w:rPr>
        <w:tab/>
      </w:r>
      <w:r w:rsidR="00A94575" w:rsidRPr="009B6CB6">
        <w:rPr>
          <w:rFonts w:ascii="Arial" w:hAnsi="Arial" w:cs="Arial"/>
        </w:rPr>
        <w:t>Jurisdiction is, in any event, an issue of substantive law.</w:t>
      </w:r>
      <w:r w:rsidR="00FA1A13" w:rsidRPr="00A703A4">
        <w:rPr>
          <w:rStyle w:val="FootnoteReference"/>
          <w:rFonts w:ascii="Arial" w:hAnsi="Arial" w:cs="Arial"/>
        </w:rPr>
        <w:footnoteReference w:id="5"/>
      </w:r>
      <w:r w:rsidR="00FA1A13" w:rsidRPr="009B6CB6">
        <w:rPr>
          <w:rFonts w:ascii="Arial" w:hAnsi="Arial" w:cs="Arial"/>
          <w:position w:val="7"/>
        </w:rPr>
        <w:t xml:space="preserve"> </w:t>
      </w:r>
      <w:r w:rsidR="00A94575" w:rsidRPr="009B6CB6">
        <w:rPr>
          <w:rFonts w:ascii="Arial" w:hAnsi="Arial" w:cs="Arial"/>
          <w:position w:val="7"/>
        </w:rPr>
        <w:t xml:space="preserve"> </w:t>
      </w:r>
      <w:r w:rsidR="00A94575" w:rsidRPr="009B6CB6">
        <w:rPr>
          <w:rFonts w:ascii="Arial" w:hAnsi="Arial" w:cs="Arial"/>
        </w:rPr>
        <w:t xml:space="preserve">The </w:t>
      </w:r>
      <w:r w:rsidR="00FA1A13" w:rsidRPr="009B6CB6">
        <w:rPr>
          <w:rFonts w:ascii="Arial" w:hAnsi="Arial" w:cs="Arial"/>
        </w:rPr>
        <w:t xml:space="preserve">Uniform </w:t>
      </w:r>
      <w:r w:rsidR="00A94575" w:rsidRPr="009B6CB6">
        <w:rPr>
          <w:rFonts w:ascii="Arial" w:hAnsi="Arial" w:cs="Arial"/>
        </w:rPr>
        <w:t>Rules regulate matters of procedure</w:t>
      </w:r>
      <w:r w:rsidR="00A703A4" w:rsidRPr="009B6CB6">
        <w:rPr>
          <w:rFonts w:ascii="Arial" w:hAnsi="Arial" w:cs="Arial"/>
        </w:rPr>
        <w:t>, and</w:t>
      </w:r>
      <w:r w:rsidR="00A94575" w:rsidRPr="009B6CB6">
        <w:rPr>
          <w:rFonts w:ascii="Arial" w:hAnsi="Arial" w:cs="Arial"/>
        </w:rPr>
        <w:t xml:space="preserve"> cannot make or alter substantive law.</w:t>
      </w:r>
      <w:r w:rsidR="00FA1A13" w:rsidRPr="00A703A4">
        <w:rPr>
          <w:rStyle w:val="FootnoteReference"/>
          <w:rFonts w:ascii="Arial" w:hAnsi="Arial" w:cs="Arial"/>
        </w:rPr>
        <w:footnoteReference w:id="6"/>
      </w:r>
      <w:r w:rsidR="00A94575" w:rsidRPr="009B6CB6">
        <w:rPr>
          <w:rFonts w:ascii="Arial" w:hAnsi="Arial" w:cs="Arial"/>
          <w:position w:val="7"/>
        </w:rPr>
        <w:t xml:space="preserve"> </w:t>
      </w:r>
      <w:r w:rsidR="00A94575" w:rsidRPr="009B6CB6">
        <w:rPr>
          <w:rFonts w:ascii="Arial" w:hAnsi="Arial" w:cs="Arial"/>
        </w:rPr>
        <w:t xml:space="preserve">The </w:t>
      </w:r>
      <w:r w:rsidR="00FA1A13" w:rsidRPr="009B6CB6">
        <w:rPr>
          <w:rFonts w:ascii="Arial" w:hAnsi="Arial" w:cs="Arial"/>
        </w:rPr>
        <w:t>delivery</w:t>
      </w:r>
      <w:r w:rsidR="00A94575" w:rsidRPr="009B6CB6">
        <w:rPr>
          <w:rFonts w:ascii="Arial" w:hAnsi="Arial" w:cs="Arial"/>
        </w:rPr>
        <w:t xml:space="preserve"> of a replication simultaneously with an application for summary judgment cannot divest the summary judgment court of jurisdiction to hear the application for summary judgment</w:t>
      </w:r>
      <w:r w:rsidR="00FA1A13" w:rsidRPr="009B6CB6">
        <w:rPr>
          <w:rFonts w:ascii="Arial" w:hAnsi="Arial" w:cs="Arial"/>
        </w:rPr>
        <w:t>,</w:t>
      </w:r>
      <w:r w:rsidR="00A94575" w:rsidRPr="009B6CB6">
        <w:rPr>
          <w:rFonts w:ascii="Arial" w:hAnsi="Arial" w:cs="Arial"/>
        </w:rPr>
        <w:t xml:space="preserve"> especially </w:t>
      </w:r>
      <w:r w:rsidR="00FA1A13" w:rsidRPr="009B6CB6">
        <w:rPr>
          <w:rFonts w:ascii="Arial" w:hAnsi="Arial" w:cs="Arial"/>
        </w:rPr>
        <w:t>given</w:t>
      </w:r>
      <w:r w:rsidR="00A94575" w:rsidRPr="009B6CB6">
        <w:rPr>
          <w:rFonts w:ascii="Arial" w:hAnsi="Arial" w:cs="Arial"/>
        </w:rPr>
        <w:t xml:space="preserve"> that there </w:t>
      </w:r>
      <w:r w:rsidR="00BA6A09" w:rsidRPr="009B6CB6">
        <w:rPr>
          <w:rFonts w:ascii="Arial" w:hAnsi="Arial" w:cs="Arial"/>
        </w:rPr>
        <w:t>is</w:t>
      </w:r>
      <w:r w:rsidR="00A94575" w:rsidRPr="009B6CB6">
        <w:rPr>
          <w:rFonts w:ascii="Arial" w:hAnsi="Arial" w:cs="Arial"/>
        </w:rPr>
        <w:t xml:space="preserve"> no express prohibition in Rule 32 as regards the plaintiff taking further procedural</w:t>
      </w:r>
      <w:r w:rsidR="00A94575" w:rsidRPr="009B6CB6">
        <w:rPr>
          <w:rFonts w:ascii="Arial" w:hAnsi="Arial" w:cs="Arial"/>
          <w:spacing w:val="-10"/>
        </w:rPr>
        <w:t xml:space="preserve"> </w:t>
      </w:r>
      <w:r w:rsidR="00A94575" w:rsidRPr="009B6CB6">
        <w:rPr>
          <w:rFonts w:ascii="Arial" w:hAnsi="Arial" w:cs="Arial"/>
        </w:rPr>
        <w:t>steps.</w:t>
      </w:r>
    </w:p>
    <w:p w14:paraId="6AA96864" w14:textId="77777777" w:rsidR="00417B6C" w:rsidRPr="00A703A4" w:rsidRDefault="00417B6C" w:rsidP="00A703A4">
      <w:pPr>
        <w:pStyle w:val="ListParagraph"/>
        <w:widowControl w:val="0"/>
        <w:tabs>
          <w:tab w:val="left" w:pos="687"/>
        </w:tabs>
        <w:autoSpaceDE w:val="0"/>
        <w:autoSpaceDN w:val="0"/>
        <w:spacing w:line="360" w:lineRule="auto"/>
        <w:ind w:right="117"/>
        <w:jc w:val="both"/>
        <w:rPr>
          <w:rFonts w:ascii="Arial" w:hAnsi="Arial" w:cs="Arial"/>
        </w:rPr>
      </w:pPr>
    </w:p>
    <w:p w14:paraId="479E038C" w14:textId="1AFC8907" w:rsidR="00417B6C" w:rsidRPr="009B6CB6" w:rsidRDefault="009B6CB6" w:rsidP="009B6CB6">
      <w:pPr>
        <w:widowControl w:val="0"/>
        <w:tabs>
          <w:tab w:val="left" w:pos="687"/>
          <w:tab w:val="left" w:pos="720"/>
        </w:tabs>
        <w:autoSpaceDE w:val="0"/>
        <w:autoSpaceDN w:val="0"/>
        <w:spacing w:line="360" w:lineRule="auto"/>
        <w:ind w:left="720" w:right="117" w:hanging="720"/>
        <w:jc w:val="both"/>
        <w:rPr>
          <w:rFonts w:ascii="Arial" w:hAnsi="Arial" w:cs="Arial"/>
        </w:rPr>
      </w:pPr>
      <w:r w:rsidRPr="00A703A4">
        <w:rPr>
          <w:rFonts w:ascii="Arial" w:hAnsi="Arial" w:cs="Arial"/>
        </w:rPr>
        <w:t>13.</w:t>
      </w:r>
      <w:r w:rsidRPr="00A703A4">
        <w:rPr>
          <w:rFonts w:ascii="Arial" w:hAnsi="Arial" w:cs="Arial"/>
        </w:rPr>
        <w:tab/>
      </w:r>
      <w:r w:rsidR="00FA1A13" w:rsidRPr="009B6CB6">
        <w:rPr>
          <w:rFonts w:ascii="Arial" w:hAnsi="Arial" w:cs="Arial"/>
        </w:rPr>
        <w:t>The defendant contends, thirdly, that the Court erred in placing reliance on the Task Team’s recommendations in interpr</w:t>
      </w:r>
      <w:r w:rsidR="00417B6C" w:rsidRPr="009B6CB6">
        <w:rPr>
          <w:rFonts w:ascii="Arial" w:hAnsi="Arial" w:cs="Arial"/>
        </w:rPr>
        <w:t>eting Rules 32 and 25.  What the Court did was, however, and as pointed out by the plaintiff’s counsel, by no means unprecedented.</w:t>
      </w:r>
    </w:p>
    <w:p w14:paraId="1C9E4C6D" w14:textId="77777777" w:rsidR="00417B6C" w:rsidRPr="00A703A4" w:rsidRDefault="00417B6C" w:rsidP="00A703A4">
      <w:pPr>
        <w:pStyle w:val="ListParagraph"/>
        <w:widowControl w:val="0"/>
        <w:tabs>
          <w:tab w:val="left" w:pos="687"/>
        </w:tabs>
        <w:autoSpaceDE w:val="0"/>
        <w:autoSpaceDN w:val="0"/>
        <w:spacing w:line="360" w:lineRule="auto"/>
        <w:ind w:right="117"/>
        <w:jc w:val="both"/>
        <w:rPr>
          <w:rFonts w:ascii="Arial" w:hAnsi="Arial" w:cs="Arial"/>
        </w:rPr>
      </w:pPr>
    </w:p>
    <w:p w14:paraId="029FE0A2" w14:textId="0974F2DE" w:rsidR="00417B6C" w:rsidRPr="009B6CB6" w:rsidRDefault="009B6CB6" w:rsidP="009B6CB6">
      <w:pPr>
        <w:widowControl w:val="0"/>
        <w:tabs>
          <w:tab w:val="left" w:pos="687"/>
          <w:tab w:val="left" w:pos="720"/>
        </w:tabs>
        <w:autoSpaceDE w:val="0"/>
        <w:autoSpaceDN w:val="0"/>
        <w:spacing w:line="360" w:lineRule="auto"/>
        <w:ind w:left="720" w:right="117" w:hanging="720"/>
        <w:jc w:val="both"/>
        <w:rPr>
          <w:rFonts w:ascii="Arial" w:hAnsi="Arial" w:cs="Arial"/>
        </w:rPr>
      </w:pPr>
      <w:r w:rsidRPr="00A703A4">
        <w:rPr>
          <w:rFonts w:ascii="Arial" w:hAnsi="Arial" w:cs="Arial"/>
        </w:rPr>
        <w:t>14.</w:t>
      </w:r>
      <w:r w:rsidRPr="00A703A4">
        <w:rPr>
          <w:rFonts w:ascii="Arial" w:hAnsi="Arial" w:cs="Arial"/>
        </w:rPr>
        <w:tab/>
      </w:r>
      <w:r w:rsidR="00417B6C" w:rsidRPr="009B6CB6">
        <w:rPr>
          <w:rFonts w:ascii="Arial" w:hAnsi="Arial" w:cs="Arial"/>
        </w:rPr>
        <w:t>In</w:t>
      </w:r>
      <w:r w:rsidR="00417B6C" w:rsidRPr="009B6CB6">
        <w:rPr>
          <w:rFonts w:ascii="Arial" w:hAnsi="Arial" w:cs="Arial"/>
          <w:spacing w:val="-7"/>
        </w:rPr>
        <w:t xml:space="preserve"> </w:t>
      </w:r>
      <w:r w:rsidR="00417B6C" w:rsidRPr="009B6CB6">
        <w:rPr>
          <w:rFonts w:ascii="Arial" w:hAnsi="Arial" w:cs="Arial"/>
        </w:rPr>
        <w:t>the</w:t>
      </w:r>
      <w:r w:rsidR="00417B6C" w:rsidRPr="009B6CB6">
        <w:rPr>
          <w:rFonts w:ascii="Arial" w:hAnsi="Arial" w:cs="Arial"/>
          <w:spacing w:val="-9"/>
        </w:rPr>
        <w:t xml:space="preserve"> </w:t>
      </w:r>
      <w:r w:rsidR="00417B6C" w:rsidRPr="009B6CB6">
        <w:rPr>
          <w:rFonts w:ascii="Arial" w:hAnsi="Arial" w:cs="Arial"/>
        </w:rPr>
        <w:t>first</w:t>
      </w:r>
      <w:r w:rsidR="00417B6C" w:rsidRPr="009B6CB6">
        <w:rPr>
          <w:rFonts w:ascii="Arial" w:hAnsi="Arial" w:cs="Arial"/>
          <w:spacing w:val="-9"/>
        </w:rPr>
        <w:t xml:space="preserve"> </w:t>
      </w:r>
      <w:r w:rsidR="00417B6C" w:rsidRPr="009B6CB6">
        <w:rPr>
          <w:rFonts w:ascii="Arial" w:hAnsi="Arial" w:cs="Arial"/>
        </w:rPr>
        <w:t>reported</w:t>
      </w:r>
      <w:r w:rsidR="00417B6C" w:rsidRPr="009B6CB6">
        <w:rPr>
          <w:rFonts w:ascii="Arial" w:hAnsi="Arial" w:cs="Arial"/>
          <w:spacing w:val="-9"/>
        </w:rPr>
        <w:t xml:space="preserve"> </w:t>
      </w:r>
      <w:r w:rsidR="00417B6C" w:rsidRPr="009B6CB6">
        <w:rPr>
          <w:rFonts w:ascii="Arial" w:hAnsi="Arial" w:cs="Arial"/>
        </w:rPr>
        <w:t>judgment</w:t>
      </w:r>
      <w:r w:rsidR="00417B6C" w:rsidRPr="009B6CB6">
        <w:rPr>
          <w:rFonts w:ascii="Arial" w:hAnsi="Arial" w:cs="Arial"/>
          <w:spacing w:val="-9"/>
        </w:rPr>
        <w:t xml:space="preserve"> </w:t>
      </w:r>
      <w:r w:rsidR="00417B6C" w:rsidRPr="009B6CB6">
        <w:rPr>
          <w:rFonts w:ascii="Arial" w:hAnsi="Arial" w:cs="Arial"/>
        </w:rPr>
        <w:t>delivered</w:t>
      </w:r>
      <w:r w:rsidR="00417B6C" w:rsidRPr="009B6CB6">
        <w:rPr>
          <w:rFonts w:ascii="Arial" w:hAnsi="Arial" w:cs="Arial"/>
          <w:spacing w:val="-7"/>
        </w:rPr>
        <w:t xml:space="preserve"> </w:t>
      </w:r>
      <w:r w:rsidR="00417B6C" w:rsidRPr="009B6CB6">
        <w:rPr>
          <w:rFonts w:ascii="Arial" w:hAnsi="Arial" w:cs="Arial"/>
        </w:rPr>
        <w:t>after</w:t>
      </w:r>
      <w:r w:rsidR="00417B6C" w:rsidRPr="009B6CB6">
        <w:rPr>
          <w:rFonts w:ascii="Arial" w:hAnsi="Arial" w:cs="Arial"/>
          <w:spacing w:val="-7"/>
        </w:rPr>
        <w:t xml:space="preserve"> </w:t>
      </w:r>
      <w:r w:rsidR="00417B6C" w:rsidRPr="009B6CB6">
        <w:rPr>
          <w:rFonts w:ascii="Arial" w:hAnsi="Arial" w:cs="Arial"/>
        </w:rPr>
        <w:t>the</w:t>
      </w:r>
      <w:r w:rsidR="00417B6C" w:rsidRPr="009B6CB6">
        <w:rPr>
          <w:rFonts w:ascii="Arial" w:hAnsi="Arial" w:cs="Arial"/>
          <w:spacing w:val="-9"/>
        </w:rPr>
        <w:t xml:space="preserve"> </w:t>
      </w:r>
      <w:r w:rsidR="00417B6C" w:rsidRPr="009B6CB6">
        <w:rPr>
          <w:rFonts w:ascii="Arial" w:hAnsi="Arial" w:cs="Arial"/>
        </w:rPr>
        <w:t>amendment</w:t>
      </w:r>
      <w:r w:rsidR="00417B6C" w:rsidRPr="009B6CB6">
        <w:rPr>
          <w:rFonts w:ascii="Arial" w:hAnsi="Arial" w:cs="Arial"/>
          <w:spacing w:val="-5"/>
        </w:rPr>
        <w:t xml:space="preserve"> </w:t>
      </w:r>
      <w:r w:rsidR="00417B6C" w:rsidRPr="009B6CB6">
        <w:rPr>
          <w:rFonts w:ascii="Arial" w:hAnsi="Arial" w:cs="Arial"/>
        </w:rPr>
        <w:t>of</w:t>
      </w:r>
      <w:r w:rsidR="00417B6C" w:rsidRPr="009B6CB6">
        <w:rPr>
          <w:rFonts w:ascii="Arial" w:hAnsi="Arial" w:cs="Arial"/>
          <w:spacing w:val="-9"/>
        </w:rPr>
        <w:t xml:space="preserve"> </w:t>
      </w:r>
      <w:r w:rsidR="00417B6C" w:rsidRPr="009B6CB6">
        <w:rPr>
          <w:rFonts w:ascii="Arial" w:hAnsi="Arial" w:cs="Arial"/>
        </w:rPr>
        <w:t>Rule</w:t>
      </w:r>
      <w:r w:rsidR="00417B6C" w:rsidRPr="009B6CB6">
        <w:rPr>
          <w:rFonts w:ascii="Arial" w:hAnsi="Arial" w:cs="Arial"/>
          <w:spacing w:val="-9"/>
        </w:rPr>
        <w:t xml:space="preserve"> </w:t>
      </w:r>
      <w:r w:rsidR="00417B6C" w:rsidRPr="009B6CB6">
        <w:rPr>
          <w:rFonts w:ascii="Arial" w:hAnsi="Arial" w:cs="Arial"/>
        </w:rPr>
        <w:t>32,</w:t>
      </w:r>
      <w:r w:rsidR="00417B6C" w:rsidRPr="009B6CB6">
        <w:rPr>
          <w:rFonts w:ascii="Arial" w:hAnsi="Arial" w:cs="Arial"/>
          <w:spacing w:val="-8"/>
        </w:rPr>
        <w:t xml:space="preserve"> </w:t>
      </w:r>
      <w:r w:rsidR="00417B6C" w:rsidRPr="009B6CB6">
        <w:rPr>
          <w:rFonts w:ascii="Arial" w:hAnsi="Arial" w:cs="Arial"/>
        </w:rPr>
        <w:t xml:space="preserve">the Gauteng High Court in </w:t>
      </w:r>
      <w:r w:rsidR="00417B6C" w:rsidRPr="009B6CB6">
        <w:rPr>
          <w:rFonts w:ascii="Arial" w:hAnsi="Arial" w:cs="Arial"/>
          <w:i/>
          <w:iCs/>
        </w:rPr>
        <w:t xml:space="preserve">First Rand Bank Ltd v </w:t>
      </w:r>
      <w:r w:rsidR="00417B6C" w:rsidRPr="009B6CB6">
        <w:rPr>
          <w:rFonts w:ascii="Arial" w:hAnsi="Arial" w:cs="Arial"/>
          <w:i/>
        </w:rPr>
        <w:t>Shabangu</w:t>
      </w:r>
      <w:r w:rsidR="00417B6C" w:rsidRPr="00A703A4">
        <w:rPr>
          <w:rStyle w:val="FootnoteReference"/>
          <w:rFonts w:ascii="Arial" w:hAnsi="Arial" w:cs="Arial"/>
          <w:i/>
        </w:rPr>
        <w:footnoteReference w:id="7"/>
      </w:r>
      <w:r w:rsidR="00417B6C" w:rsidRPr="009B6CB6">
        <w:rPr>
          <w:rFonts w:ascii="Arial" w:hAnsi="Arial" w:cs="Arial"/>
          <w:i/>
        </w:rPr>
        <w:t xml:space="preserve"> </w:t>
      </w:r>
      <w:r w:rsidR="00417B6C" w:rsidRPr="009B6CB6">
        <w:rPr>
          <w:rFonts w:ascii="Arial" w:hAnsi="Arial" w:cs="Arial"/>
        </w:rPr>
        <w:t>relied on the Task Team’s report in determining whether the amendments to Rule 32 applied retrospectively. The Court regarded the concerns raised by the Rules Committee and the reasons underlying</w:t>
      </w:r>
      <w:r w:rsidR="00417B6C" w:rsidRPr="009B6CB6">
        <w:rPr>
          <w:rFonts w:ascii="Arial" w:hAnsi="Arial" w:cs="Arial"/>
          <w:spacing w:val="-6"/>
        </w:rPr>
        <w:t xml:space="preserve"> </w:t>
      </w:r>
      <w:r w:rsidR="00417B6C" w:rsidRPr="009B6CB6">
        <w:rPr>
          <w:rFonts w:ascii="Arial" w:hAnsi="Arial" w:cs="Arial"/>
        </w:rPr>
        <w:t>the</w:t>
      </w:r>
      <w:r w:rsidR="00417B6C" w:rsidRPr="009B6CB6">
        <w:rPr>
          <w:rFonts w:ascii="Arial" w:hAnsi="Arial" w:cs="Arial"/>
          <w:spacing w:val="-4"/>
        </w:rPr>
        <w:t xml:space="preserve"> </w:t>
      </w:r>
      <w:r w:rsidR="00417B6C" w:rsidRPr="009B6CB6">
        <w:rPr>
          <w:rFonts w:ascii="Arial" w:hAnsi="Arial" w:cs="Arial"/>
        </w:rPr>
        <w:t>amendment</w:t>
      </w:r>
      <w:r w:rsidR="00417B6C" w:rsidRPr="009B6CB6">
        <w:rPr>
          <w:rFonts w:ascii="Arial" w:hAnsi="Arial" w:cs="Arial"/>
          <w:spacing w:val="-6"/>
        </w:rPr>
        <w:t xml:space="preserve"> </w:t>
      </w:r>
      <w:r w:rsidR="00417B6C" w:rsidRPr="009B6CB6">
        <w:rPr>
          <w:rFonts w:ascii="Arial" w:hAnsi="Arial" w:cs="Arial"/>
        </w:rPr>
        <w:t>as</w:t>
      </w:r>
      <w:r w:rsidR="00417B6C" w:rsidRPr="009B6CB6">
        <w:rPr>
          <w:rFonts w:ascii="Arial" w:hAnsi="Arial" w:cs="Arial"/>
          <w:spacing w:val="-6"/>
        </w:rPr>
        <w:t xml:space="preserve"> </w:t>
      </w:r>
      <w:r w:rsidR="00417B6C" w:rsidRPr="009B6CB6">
        <w:rPr>
          <w:rFonts w:ascii="Arial" w:hAnsi="Arial" w:cs="Arial"/>
        </w:rPr>
        <w:t>recorded</w:t>
      </w:r>
      <w:r w:rsidR="00417B6C" w:rsidRPr="009B6CB6">
        <w:rPr>
          <w:rFonts w:ascii="Arial" w:hAnsi="Arial" w:cs="Arial"/>
          <w:spacing w:val="-6"/>
        </w:rPr>
        <w:t xml:space="preserve"> </w:t>
      </w:r>
      <w:r w:rsidR="00417B6C" w:rsidRPr="009B6CB6">
        <w:rPr>
          <w:rFonts w:ascii="Arial" w:hAnsi="Arial" w:cs="Arial"/>
        </w:rPr>
        <w:t>in</w:t>
      </w:r>
      <w:r w:rsidR="00417B6C" w:rsidRPr="009B6CB6">
        <w:rPr>
          <w:rFonts w:ascii="Arial" w:hAnsi="Arial" w:cs="Arial"/>
          <w:spacing w:val="-6"/>
        </w:rPr>
        <w:t xml:space="preserve"> </w:t>
      </w:r>
      <w:r w:rsidR="00417B6C" w:rsidRPr="009B6CB6">
        <w:rPr>
          <w:rFonts w:ascii="Arial" w:hAnsi="Arial" w:cs="Arial"/>
        </w:rPr>
        <w:t>the</w:t>
      </w:r>
      <w:r w:rsidR="00417B6C" w:rsidRPr="009B6CB6">
        <w:rPr>
          <w:rFonts w:ascii="Arial" w:hAnsi="Arial" w:cs="Arial"/>
          <w:spacing w:val="-5"/>
        </w:rPr>
        <w:t xml:space="preserve"> </w:t>
      </w:r>
      <w:r w:rsidR="00417B6C" w:rsidRPr="009B6CB6">
        <w:rPr>
          <w:rFonts w:ascii="Arial" w:hAnsi="Arial" w:cs="Arial"/>
        </w:rPr>
        <w:t>Task</w:t>
      </w:r>
      <w:r w:rsidR="00417B6C" w:rsidRPr="009B6CB6">
        <w:rPr>
          <w:rFonts w:ascii="Arial" w:hAnsi="Arial" w:cs="Arial"/>
          <w:spacing w:val="-4"/>
        </w:rPr>
        <w:t xml:space="preserve"> </w:t>
      </w:r>
      <w:r w:rsidR="00417B6C" w:rsidRPr="009B6CB6">
        <w:rPr>
          <w:rFonts w:ascii="Arial" w:hAnsi="Arial" w:cs="Arial"/>
        </w:rPr>
        <w:t>Team’s</w:t>
      </w:r>
      <w:r w:rsidR="00417B6C" w:rsidRPr="009B6CB6">
        <w:rPr>
          <w:rFonts w:ascii="Arial" w:hAnsi="Arial" w:cs="Arial"/>
          <w:spacing w:val="-3"/>
        </w:rPr>
        <w:t xml:space="preserve"> </w:t>
      </w:r>
      <w:r w:rsidR="00417B6C" w:rsidRPr="009B6CB6">
        <w:rPr>
          <w:rFonts w:ascii="Arial" w:hAnsi="Arial" w:cs="Arial"/>
        </w:rPr>
        <w:t>report,</w:t>
      </w:r>
      <w:r w:rsidR="00417B6C" w:rsidRPr="009B6CB6">
        <w:rPr>
          <w:rFonts w:ascii="Arial" w:hAnsi="Arial" w:cs="Arial"/>
          <w:spacing w:val="-4"/>
        </w:rPr>
        <w:t xml:space="preserve"> </w:t>
      </w:r>
      <w:r w:rsidR="00417B6C" w:rsidRPr="009B6CB6">
        <w:rPr>
          <w:rFonts w:ascii="Arial" w:hAnsi="Arial" w:cs="Arial"/>
        </w:rPr>
        <w:t>which</w:t>
      </w:r>
      <w:r w:rsidR="00417B6C" w:rsidRPr="009B6CB6">
        <w:rPr>
          <w:rFonts w:ascii="Arial" w:hAnsi="Arial" w:cs="Arial"/>
          <w:spacing w:val="-4"/>
        </w:rPr>
        <w:t xml:space="preserve"> </w:t>
      </w:r>
      <w:r w:rsidR="00417B6C" w:rsidRPr="009B6CB6">
        <w:rPr>
          <w:rFonts w:ascii="Arial" w:hAnsi="Arial" w:cs="Arial"/>
        </w:rPr>
        <w:t>formed the basis for amending Rule 32, as</w:t>
      </w:r>
      <w:r w:rsidR="00417B6C" w:rsidRPr="009B6CB6">
        <w:rPr>
          <w:rFonts w:ascii="Arial" w:hAnsi="Arial" w:cs="Arial"/>
          <w:spacing w:val="-6"/>
        </w:rPr>
        <w:t xml:space="preserve"> </w:t>
      </w:r>
      <w:r w:rsidR="00417B6C" w:rsidRPr="009B6CB6">
        <w:rPr>
          <w:rFonts w:ascii="Arial" w:hAnsi="Arial" w:cs="Arial"/>
          <w:i/>
        </w:rPr>
        <w:t>“unassailable”</w:t>
      </w:r>
      <w:r w:rsidR="00417B6C" w:rsidRPr="009B6CB6">
        <w:rPr>
          <w:rFonts w:ascii="Arial" w:hAnsi="Arial" w:cs="Arial"/>
        </w:rPr>
        <w:t>.</w:t>
      </w:r>
    </w:p>
    <w:p w14:paraId="2D62B07E" w14:textId="77777777" w:rsidR="00417B6C" w:rsidRPr="00A703A4" w:rsidRDefault="00417B6C" w:rsidP="00A703A4">
      <w:pPr>
        <w:pStyle w:val="ListParagraph"/>
        <w:widowControl w:val="0"/>
        <w:tabs>
          <w:tab w:val="left" w:pos="687"/>
        </w:tabs>
        <w:autoSpaceDE w:val="0"/>
        <w:autoSpaceDN w:val="0"/>
        <w:spacing w:line="360" w:lineRule="auto"/>
        <w:ind w:right="117"/>
        <w:jc w:val="both"/>
        <w:rPr>
          <w:rFonts w:ascii="Arial" w:hAnsi="Arial" w:cs="Arial"/>
        </w:rPr>
      </w:pPr>
    </w:p>
    <w:p w14:paraId="66C0ACF2" w14:textId="03AE85D8" w:rsidR="00417B6C" w:rsidRPr="009B6CB6" w:rsidRDefault="009B6CB6" w:rsidP="009B6CB6">
      <w:pPr>
        <w:widowControl w:val="0"/>
        <w:tabs>
          <w:tab w:val="left" w:pos="687"/>
          <w:tab w:val="left" w:pos="720"/>
        </w:tabs>
        <w:autoSpaceDE w:val="0"/>
        <w:autoSpaceDN w:val="0"/>
        <w:spacing w:line="360" w:lineRule="auto"/>
        <w:ind w:left="720" w:right="117" w:hanging="720"/>
        <w:jc w:val="both"/>
        <w:rPr>
          <w:rFonts w:ascii="Arial" w:hAnsi="Arial" w:cs="Arial"/>
        </w:rPr>
      </w:pPr>
      <w:r w:rsidRPr="00A703A4">
        <w:rPr>
          <w:rFonts w:ascii="Arial" w:hAnsi="Arial" w:cs="Arial"/>
        </w:rPr>
        <w:t>15.</w:t>
      </w:r>
      <w:r w:rsidRPr="00A703A4">
        <w:rPr>
          <w:rFonts w:ascii="Arial" w:hAnsi="Arial" w:cs="Arial"/>
        </w:rPr>
        <w:tab/>
      </w:r>
      <w:r w:rsidR="00417B6C" w:rsidRPr="009B6CB6">
        <w:rPr>
          <w:rFonts w:ascii="Arial" w:hAnsi="Arial" w:cs="Arial"/>
        </w:rPr>
        <w:t xml:space="preserve">The Gauteng High Court in </w:t>
      </w:r>
      <w:r w:rsidR="00417B6C" w:rsidRPr="009B6CB6">
        <w:rPr>
          <w:rFonts w:ascii="Arial" w:hAnsi="Arial" w:cs="Arial"/>
          <w:i/>
        </w:rPr>
        <w:t>Bragan Chemicals (Pty) Ltd v Devland Cash and Carry (Pty) Ltd</w:t>
      </w:r>
      <w:r w:rsidR="00FD3C73" w:rsidRPr="00A703A4">
        <w:rPr>
          <w:rStyle w:val="FootnoteReference"/>
          <w:rFonts w:ascii="Arial" w:hAnsi="Arial" w:cs="Arial"/>
          <w:i/>
        </w:rPr>
        <w:footnoteReference w:id="8"/>
      </w:r>
      <w:r w:rsidR="00417B6C" w:rsidRPr="009B6CB6">
        <w:rPr>
          <w:rFonts w:ascii="Arial" w:hAnsi="Arial" w:cs="Arial"/>
          <w:i/>
        </w:rPr>
        <w:t xml:space="preserve"> </w:t>
      </w:r>
      <w:r w:rsidR="00417B6C" w:rsidRPr="009B6CB6">
        <w:rPr>
          <w:rFonts w:ascii="Arial" w:hAnsi="Arial" w:cs="Arial"/>
        </w:rPr>
        <w:t>referred with approval to these passages in</w:t>
      </w:r>
      <w:r w:rsidR="00417B6C" w:rsidRPr="009B6CB6">
        <w:rPr>
          <w:rFonts w:ascii="Arial" w:hAnsi="Arial" w:cs="Arial"/>
          <w:spacing w:val="-1"/>
        </w:rPr>
        <w:t xml:space="preserve"> </w:t>
      </w:r>
      <w:r w:rsidR="00417B6C" w:rsidRPr="009B6CB6">
        <w:rPr>
          <w:rFonts w:ascii="Arial" w:hAnsi="Arial" w:cs="Arial"/>
          <w:i/>
        </w:rPr>
        <w:t>Shabangu</w:t>
      </w:r>
      <w:r w:rsidR="00417B6C" w:rsidRPr="009B6CB6">
        <w:rPr>
          <w:rFonts w:ascii="Arial" w:hAnsi="Arial" w:cs="Arial"/>
        </w:rPr>
        <w:t>.</w:t>
      </w:r>
    </w:p>
    <w:p w14:paraId="0A97647D" w14:textId="77777777" w:rsidR="00417B6C" w:rsidRPr="00A703A4" w:rsidRDefault="00417B6C" w:rsidP="00A703A4">
      <w:pPr>
        <w:pStyle w:val="ListParagraph"/>
        <w:widowControl w:val="0"/>
        <w:tabs>
          <w:tab w:val="left" w:pos="687"/>
        </w:tabs>
        <w:autoSpaceDE w:val="0"/>
        <w:autoSpaceDN w:val="0"/>
        <w:spacing w:line="360" w:lineRule="auto"/>
        <w:ind w:right="117"/>
        <w:jc w:val="both"/>
        <w:rPr>
          <w:rFonts w:ascii="Arial" w:hAnsi="Arial" w:cs="Arial"/>
        </w:rPr>
      </w:pPr>
    </w:p>
    <w:p w14:paraId="21FF267B" w14:textId="5FB92111" w:rsidR="00417B6C" w:rsidRPr="009B6CB6" w:rsidRDefault="009B6CB6" w:rsidP="009B6CB6">
      <w:pPr>
        <w:widowControl w:val="0"/>
        <w:tabs>
          <w:tab w:val="left" w:pos="687"/>
          <w:tab w:val="left" w:pos="720"/>
        </w:tabs>
        <w:autoSpaceDE w:val="0"/>
        <w:autoSpaceDN w:val="0"/>
        <w:spacing w:line="360" w:lineRule="auto"/>
        <w:ind w:left="720" w:right="117" w:hanging="720"/>
        <w:jc w:val="both"/>
        <w:rPr>
          <w:rFonts w:ascii="Arial" w:hAnsi="Arial" w:cs="Arial"/>
        </w:rPr>
      </w:pPr>
      <w:r w:rsidRPr="00A703A4">
        <w:rPr>
          <w:rFonts w:ascii="Arial" w:hAnsi="Arial" w:cs="Arial"/>
        </w:rPr>
        <w:t>16.</w:t>
      </w:r>
      <w:r w:rsidRPr="00A703A4">
        <w:rPr>
          <w:rFonts w:ascii="Arial" w:hAnsi="Arial" w:cs="Arial"/>
        </w:rPr>
        <w:tab/>
      </w:r>
      <w:r w:rsidR="00417B6C" w:rsidRPr="009B6CB6">
        <w:rPr>
          <w:rFonts w:ascii="Arial" w:hAnsi="Arial" w:cs="Arial"/>
        </w:rPr>
        <w:t>In</w:t>
      </w:r>
      <w:r w:rsidR="00417B6C" w:rsidRPr="009B6CB6">
        <w:rPr>
          <w:rFonts w:ascii="Arial" w:hAnsi="Arial" w:cs="Arial"/>
          <w:spacing w:val="-7"/>
        </w:rPr>
        <w:t xml:space="preserve"> </w:t>
      </w:r>
      <w:proofErr w:type="spellStart"/>
      <w:r w:rsidR="00417B6C" w:rsidRPr="009B6CB6">
        <w:rPr>
          <w:rFonts w:ascii="Arial" w:hAnsi="Arial" w:cs="Arial"/>
          <w:i/>
        </w:rPr>
        <w:t>Tumileng</w:t>
      </w:r>
      <w:proofErr w:type="spellEnd"/>
      <w:r w:rsidR="00417B6C" w:rsidRPr="009B6CB6">
        <w:rPr>
          <w:rFonts w:ascii="Arial" w:hAnsi="Arial" w:cs="Arial"/>
          <w:i/>
          <w:spacing w:val="-8"/>
        </w:rPr>
        <w:t xml:space="preserve"> </w:t>
      </w:r>
      <w:r w:rsidR="00417B6C" w:rsidRPr="009B6CB6">
        <w:rPr>
          <w:rFonts w:ascii="Arial" w:hAnsi="Arial" w:cs="Arial"/>
          <w:i/>
        </w:rPr>
        <w:t>Trading</w:t>
      </w:r>
      <w:r w:rsidR="00401700" w:rsidRPr="009B6CB6">
        <w:rPr>
          <w:rFonts w:ascii="Arial" w:hAnsi="Arial" w:cs="Arial"/>
          <w:i/>
        </w:rPr>
        <w:t xml:space="preserve"> CC </w:t>
      </w:r>
      <w:r w:rsidR="00401700" w:rsidRPr="009B6CB6">
        <w:rPr>
          <w:rFonts w:ascii="Arial" w:hAnsi="Arial" w:cs="Arial"/>
          <w:i/>
          <w:iCs/>
        </w:rPr>
        <w:t>v National Security and Fire (Pty) Ltd; E and D Security Systems CC v National Security and Fire (Pty) Ltd</w:t>
      </w:r>
      <w:r w:rsidR="00417B6C" w:rsidRPr="009B6CB6">
        <w:rPr>
          <w:rFonts w:ascii="Arial" w:hAnsi="Arial" w:cs="Arial"/>
        </w:rPr>
        <w:t>,</w:t>
      </w:r>
      <w:r w:rsidR="00401700" w:rsidRPr="00A703A4">
        <w:rPr>
          <w:rStyle w:val="FootnoteReference"/>
          <w:rFonts w:ascii="Arial" w:hAnsi="Arial" w:cs="Arial"/>
        </w:rPr>
        <w:footnoteReference w:id="9"/>
      </w:r>
      <w:r w:rsidR="00417B6C" w:rsidRPr="009B6CB6">
        <w:rPr>
          <w:rFonts w:ascii="Arial" w:hAnsi="Arial" w:cs="Arial"/>
          <w:spacing w:val="-7"/>
        </w:rPr>
        <w:t xml:space="preserve"> </w:t>
      </w:r>
      <w:r w:rsidR="00417B6C" w:rsidRPr="009B6CB6">
        <w:rPr>
          <w:rFonts w:ascii="Arial" w:hAnsi="Arial" w:cs="Arial"/>
        </w:rPr>
        <w:t>the</w:t>
      </w:r>
      <w:r w:rsidR="00417B6C" w:rsidRPr="009B6CB6">
        <w:rPr>
          <w:rFonts w:ascii="Arial" w:hAnsi="Arial" w:cs="Arial"/>
          <w:spacing w:val="-10"/>
        </w:rPr>
        <w:t xml:space="preserve"> </w:t>
      </w:r>
      <w:r w:rsidR="00417B6C" w:rsidRPr="009B6CB6">
        <w:rPr>
          <w:rFonts w:ascii="Arial" w:hAnsi="Arial" w:cs="Arial"/>
        </w:rPr>
        <w:t>first</w:t>
      </w:r>
      <w:r w:rsidR="00417B6C" w:rsidRPr="009B6CB6">
        <w:rPr>
          <w:rFonts w:ascii="Arial" w:hAnsi="Arial" w:cs="Arial"/>
          <w:spacing w:val="-7"/>
        </w:rPr>
        <w:t xml:space="preserve"> </w:t>
      </w:r>
      <w:r w:rsidR="00417B6C" w:rsidRPr="009B6CB6">
        <w:rPr>
          <w:rFonts w:ascii="Arial" w:hAnsi="Arial" w:cs="Arial"/>
        </w:rPr>
        <w:t>reported</w:t>
      </w:r>
      <w:r w:rsidR="00417B6C" w:rsidRPr="009B6CB6">
        <w:rPr>
          <w:rFonts w:ascii="Arial" w:hAnsi="Arial" w:cs="Arial"/>
          <w:spacing w:val="-7"/>
        </w:rPr>
        <w:t xml:space="preserve"> </w:t>
      </w:r>
      <w:r w:rsidR="00417B6C" w:rsidRPr="009B6CB6">
        <w:rPr>
          <w:rFonts w:ascii="Arial" w:hAnsi="Arial" w:cs="Arial"/>
        </w:rPr>
        <w:t>judgment</w:t>
      </w:r>
      <w:r w:rsidR="00417B6C" w:rsidRPr="009B6CB6">
        <w:rPr>
          <w:rFonts w:ascii="Arial" w:hAnsi="Arial" w:cs="Arial"/>
          <w:spacing w:val="-7"/>
        </w:rPr>
        <w:t xml:space="preserve"> </w:t>
      </w:r>
      <w:r w:rsidR="00417B6C" w:rsidRPr="009B6CB6">
        <w:rPr>
          <w:rFonts w:ascii="Arial" w:hAnsi="Arial" w:cs="Arial"/>
        </w:rPr>
        <w:t>of</w:t>
      </w:r>
      <w:r w:rsidR="00417B6C" w:rsidRPr="009B6CB6">
        <w:rPr>
          <w:rFonts w:ascii="Arial" w:hAnsi="Arial" w:cs="Arial"/>
          <w:spacing w:val="-8"/>
        </w:rPr>
        <w:t xml:space="preserve"> </w:t>
      </w:r>
      <w:r w:rsidR="00417B6C" w:rsidRPr="009B6CB6">
        <w:rPr>
          <w:rFonts w:ascii="Arial" w:hAnsi="Arial" w:cs="Arial"/>
        </w:rPr>
        <w:t>this</w:t>
      </w:r>
      <w:r w:rsidR="00417B6C" w:rsidRPr="009B6CB6">
        <w:rPr>
          <w:rFonts w:ascii="Arial" w:hAnsi="Arial" w:cs="Arial"/>
          <w:spacing w:val="-10"/>
        </w:rPr>
        <w:t xml:space="preserve"> </w:t>
      </w:r>
      <w:r w:rsidR="00417B6C" w:rsidRPr="009B6CB6">
        <w:rPr>
          <w:rFonts w:ascii="Arial" w:hAnsi="Arial" w:cs="Arial"/>
        </w:rPr>
        <w:t>Court on the amended summary judgment procedure,</w:t>
      </w:r>
      <w:r w:rsidR="00417B6C" w:rsidRPr="009B6CB6">
        <w:rPr>
          <w:rFonts w:ascii="Arial" w:hAnsi="Arial" w:cs="Arial"/>
          <w:spacing w:val="-8"/>
        </w:rPr>
        <w:t xml:space="preserve"> </w:t>
      </w:r>
      <w:r w:rsidR="00417B6C" w:rsidRPr="009B6CB6">
        <w:rPr>
          <w:rFonts w:ascii="Arial" w:hAnsi="Arial" w:cs="Arial"/>
        </w:rPr>
        <w:t>the</w:t>
      </w:r>
      <w:r w:rsidR="00417B6C" w:rsidRPr="009B6CB6">
        <w:rPr>
          <w:rFonts w:ascii="Arial" w:hAnsi="Arial" w:cs="Arial"/>
          <w:spacing w:val="-8"/>
        </w:rPr>
        <w:t xml:space="preserve"> </w:t>
      </w:r>
      <w:r w:rsidR="00417B6C" w:rsidRPr="009B6CB6">
        <w:rPr>
          <w:rFonts w:ascii="Arial" w:hAnsi="Arial" w:cs="Arial"/>
        </w:rPr>
        <w:t>Task</w:t>
      </w:r>
      <w:r w:rsidR="00417B6C" w:rsidRPr="009B6CB6">
        <w:rPr>
          <w:rFonts w:ascii="Arial" w:hAnsi="Arial" w:cs="Arial"/>
          <w:spacing w:val="-7"/>
        </w:rPr>
        <w:t xml:space="preserve"> </w:t>
      </w:r>
      <w:r w:rsidR="00417B6C" w:rsidRPr="009B6CB6">
        <w:rPr>
          <w:rFonts w:ascii="Arial" w:hAnsi="Arial" w:cs="Arial"/>
        </w:rPr>
        <w:t>Team’s memorandum was extensively cons</w:t>
      </w:r>
      <w:r w:rsidR="003339EE" w:rsidRPr="009B6CB6">
        <w:rPr>
          <w:rFonts w:ascii="Arial" w:hAnsi="Arial" w:cs="Arial"/>
        </w:rPr>
        <w:t>idered</w:t>
      </w:r>
      <w:r w:rsidR="00417B6C" w:rsidRPr="009B6CB6">
        <w:rPr>
          <w:rFonts w:ascii="Arial" w:hAnsi="Arial" w:cs="Arial"/>
        </w:rPr>
        <w:t xml:space="preserve"> to determine the purpose of the amendments to Rule 32</w:t>
      </w:r>
      <w:r w:rsidR="003339EE" w:rsidRPr="009B6CB6">
        <w:rPr>
          <w:rFonts w:ascii="Arial" w:hAnsi="Arial" w:cs="Arial"/>
        </w:rPr>
        <w:t>, and to determine</w:t>
      </w:r>
      <w:r w:rsidR="00417B6C" w:rsidRPr="009B6CB6">
        <w:rPr>
          <w:rFonts w:ascii="Arial" w:hAnsi="Arial" w:cs="Arial"/>
          <w:spacing w:val="-13"/>
        </w:rPr>
        <w:t xml:space="preserve"> </w:t>
      </w:r>
      <w:r w:rsidR="00417B6C" w:rsidRPr="009B6CB6">
        <w:rPr>
          <w:rFonts w:ascii="Arial" w:hAnsi="Arial" w:cs="Arial"/>
        </w:rPr>
        <w:t>what</w:t>
      </w:r>
      <w:r w:rsidR="00417B6C" w:rsidRPr="009B6CB6">
        <w:rPr>
          <w:rFonts w:ascii="Arial" w:hAnsi="Arial" w:cs="Arial"/>
          <w:spacing w:val="-13"/>
        </w:rPr>
        <w:t xml:space="preserve"> </w:t>
      </w:r>
      <w:r w:rsidR="00417B6C" w:rsidRPr="009B6CB6">
        <w:rPr>
          <w:rFonts w:ascii="Arial" w:hAnsi="Arial" w:cs="Arial"/>
        </w:rPr>
        <w:t>should</w:t>
      </w:r>
      <w:r w:rsidR="00417B6C" w:rsidRPr="009B6CB6">
        <w:rPr>
          <w:rFonts w:ascii="Arial" w:hAnsi="Arial" w:cs="Arial"/>
          <w:spacing w:val="-13"/>
        </w:rPr>
        <w:t xml:space="preserve"> </w:t>
      </w:r>
      <w:r w:rsidR="00417B6C" w:rsidRPr="009B6CB6">
        <w:rPr>
          <w:rFonts w:ascii="Arial" w:hAnsi="Arial" w:cs="Arial"/>
        </w:rPr>
        <w:t>be</w:t>
      </w:r>
      <w:r w:rsidR="00417B6C" w:rsidRPr="009B6CB6">
        <w:rPr>
          <w:rFonts w:ascii="Arial" w:hAnsi="Arial" w:cs="Arial"/>
          <w:spacing w:val="-12"/>
        </w:rPr>
        <w:t xml:space="preserve"> </w:t>
      </w:r>
      <w:r w:rsidR="00417B6C" w:rsidRPr="009B6CB6">
        <w:rPr>
          <w:rFonts w:ascii="Arial" w:hAnsi="Arial" w:cs="Arial"/>
        </w:rPr>
        <w:t>contained</w:t>
      </w:r>
      <w:r w:rsidR="00417B6C" w:rsidRPr="009B6CB6">
        <w:rPr>
          <w:rFonts w:ascii="Arial" w:hAnsi="Arial" w:cs="Arial"/>
          <w:spacing w:val="-14"/>
        </w:rPr>
        <w:t xml:space="preserve"> </w:t>
      </w:r>
      <w:r w:rsidR="00417B6C" w:rsidRPr="009B6CB6">
        <w:rPr>
          <w:rFonts w:ascii="Arial" w:hAnsi="Arial" w:cs="Arial"/>
        </w:rPr>
        <w:t>in</w:t>
      </w:r>
      <w:r w:rsidR="00417B6C" w:rsidRPr="009B6CB6">
        <w:rPr>
          <w:rFonts w:ascii="Arial" w:hAnsi="Arial" w:cs="Arial"/>
          <w:spacing w:val="-13"/>
        </w:rPr>
        <w:t xml:space="preserve"> </w:t>
      </w:r>
      <w:r w:rsidR="00417B6C" w:rsidRPr="009B6CB6">
        <w:rPr>
          <w:rFonts w:ascii="Arial" w:hAnsi="Arial" w:cs="Arial"/>
        </w:rPr>
        <w:t>an</w:t>
      </w:r>
      <w:r w:rsidR="00417B6C" w:rsidRPr="009B6CB6">
        <w:rPr>
          <w:rFonts w:ascii="Arial" w:hAnsi="Arial" w:cs="Arial"/>
          <w:spacing w:val="-10"/>
        </w:rPr>
        <w:t xml:space="preserve"> </w:t>
      </w:r>
      <w:r w:rsidR="00417B6C" w:rsidRPr="009B6CB6">
        <w:rPr>
          <w:rFonts w:ascii="Arial" w:hAnsi="Arial" w:cs="Arial"/>
        </w:rPr>
        <w:t>affidavit</w:t>
      </w:r>
      <w:r w:rsidR="00417B6C" w:rsidRPr="009B6CB6">
        <w:rPr>
          <w:rFonts w:ascii="Arial" w:hAnsi="Arial" w:cs="Arial"/>
          <w:spacing w:val="-13"/>
        </w:rPr>
        <w:t xml:space="preserve"> </w:t>
      </w:r>
      <w:r w:rsidR="00417B6C" w:rsidRPr="009B6CB6">
        <w:rPr>
          <w:rFonts w:ascii="Arial" w:hAnsi="Arial" w:cs="Arial"/>
        </w:rPr>
        <w:t>in</w:t>
      </w:r>
      <w:r w:rsidR="00417B6C" w:rsidRPr="009B6CB6">
        <w:rPr>
          <w:rFonts w:ascii="Arial" w:hAnsi="Arial" w:cs="Arial"/>
          <w:spacing w:val="-13"/>
        </w:rPr>
        <w:t xml:space="preserve"> </w:t>
      </w:r>
      <w:r w:rsidR="00417B6C" w:rsidRPr="009B6CB6">
        <w:rPr>
          <w:rFonts w:ascii="Arial" w:hAnsi="Arial" w:cs="Arial"/>
        </w:rPr>
        <w:t>support of summary judgment under the amended</w:t>
      </w:r>
      <w:r w:rsidR="00417B6C" w:rsidRPr="009B6CB6">
        <w:rPr>
          <w:rFonts w:ascii="Arial" w:hAnsi="Arial" w:cs="Arial"/>
          <w:spacing w:val="-8"/>
        </w:rPr>
        <w:t xml:space="preserve"> </w:t>
      </w:r>
      <w:r w:rsidR="00417B6C" w:rsidRPr="009B6CB6">
        <w:rPr>
          <w:rFonts w:ascii="Arial" w:hAnsi="Arial" w:cs="Arial"/>
        </w:rPr>
        <w:t>Rule.</w:t>
      </w:r>
    </w:p>
    <w:p w14:paraId="37331B71" w14:textId="77777777" w:rsidR="00417B6C" w:rsidRPr="00A703A4" w:rsidRDefault="00417B6C" w:rsidP="00A703A4">
      <w:pPr>
        <w:pStyle w:val="ListParagraph"/>
        <w:widowControl w:val="0"/>
        <w:tabs>
          <w:tab w:val="left" w:pos="687"/>
        </w:tabs>
        <w:autoSpaceDE w:val="0"/>
        <w:autoSpaceDN w:val="0"/>
        <w:spacing w:line="360" w:lineRule="auto"/>
        <w:ind w:right="117"/>
        <w:jc w:val="both"/>
        <w:rPr>
          <w:rFonts w:ascii="Arial" w:hAnsi="Arial" w:cs="Arial"/>
        </w:rPr>
      </w:pPr>
    </w:p>
    <w:p w14:paraId="2B653419" w14:textId="162A594F" w:rsidR="00417B6C" w:rsidRPr="009B6CB6" w:rsidRDefault="009B6CB6" w:rsidP="009B6CB6">
      <w:pPr>
        <w:widowControl w:val="0"/>
        <w:tabs>
          <w:tab w:val="left" w:pos="687"/>
          <w:tab w:val="left" w:pos="720"/>
        </w:tabs>
        <w:autoSpaceDE w:val="0"/>
        <w:autoSpaceDN w:val="0"/>
        <w:spacing w:line="360" w:lineRule="auto"/>
        <w:ind w:left="720" w:right="117" w:hanging="720"/>
        <w:jc w:val="both"/>
        <w:rPr>
          <w:rFonts w:ascii="Arial" w:hAnsi="Arial" w:cs="Arial"/>
        </w:rPr>
      </w:pPr>
      <w:r w:rsidRPr="00A703A4">
        <w:rPr>
          <w:rFonts w:ascii="Arial" w:hAnsi="Arial" w:cs="Arial"/>
        </w:rPr>
        <w:t>17.</w:t>
      </w:r>
      <w:r w:rsidRPr="00A703A4">
        <w:rPr>
          <w:rFonts w:ascii="Arial" w:hAnsi="Arial" w:cs="Arial"/>
        </w:rPr>
        <w:tab/>
      </w:r>
      <w:r w:rsidR="00A94575" w:rsidRPr="009B6CB6">
        <w:rPr>
          <w:rFonts w:ascii="Arial" w:hAnsi="Arial" w:cs="Arial"/>
        </w:rPr>
        <w:t xml:space="preserve">Reliance was </w:t>
      </w:r>
      <w:r w:rsidR="00401700" w:rsidRPr="009B6CB6">
        <w:rPr>
          <w:rFonts w:ascii="Arial" w:hAnsi="Arial" w:cs="Arial"/>
        </w:rPr>
        <w:t xml:space="preserve">also </w:t>
      </w:r>
      <w:r w:rsidR="00A94575" w:rsidRPr="009B6CB6">
        <w:rPr>
          <w:rFonts w:ascii="Arial" w:hAnsi="Arial" w:cs="Arial"/>
        </w:rPr>
        <w:t xml:space="preserve">placed on the Task Team’s report by this Court in </w:t>
      </w:r>
      <w:proofErr w:type="spellStart"/>
      <w:r w:rsidR="00A94575" w:rsidRPr="009B6CB6">
        <w:rPr>
          <w:rFonts w:ascii="Arial" w:hAnsi="Arial" w:cs="Arial"/>
          <w:i/>
        </w:rPr>
        <w:t>Belrex</w:t>
      </w:r>
      <w:proofErr w:type="spellEnd"/>
      <w:r w:rsidR="00D74519" w:rsidRPr="009B6CB6">
        <w:rPr>
          <w:rFonts w:ascii="Arial" w:hAnsi="Arial" w:cs="Arial"/>
          <w:i/>
        </w:rPr>
        <w:t xml:space="preserve"> 95 CC v Barclay</w:t>
      </w:r>
      <w:r w:rsidR="004E5237" w:rsidRPr="00A703A4">
        <w:rPr>
          <w:rStyle w:val="FootnoteReference"/>
          <w:rFonts w:ascii="Arial" w:hAnsi="Arial" w:cs="Arial"/>
          <w:iCs/>
        </w:rPr>
        <w:footnoteReference w:id="10"/>
      </w:r>
      <w:r w:rsidR="00D74519" w:rsidRPr="009B6CB6">
        <w:rPr>
          <w:rFonts w:ascii="Arial" w:hAnsi="Arial" w:cs="Arial"/>
          <w:iCs/>
        </w:rPr>
        <w:t xml:space="preserve"> with reference to</w:t>
      </w:r>
      <w:r w:rsidR="00A94575" w:rsidRPr="009B6CB6">
        <w:rPr>
          <w:rFonts w:ascii="Arial" w:hAnsi="Arial" w:cs="Arial"/>
        </w:rPr>
        <w:t xml:space="preserve"> the </w:t>
      </w:r>
      <w:r w:rsidR="00A94575" w:rsidRPr="009B6CB6">
        <w:rPr>
          <w:rFonts w:ascii="Arial" w:hAnsi="Arial" w:cs="Arial"/>
          <w:i/>
        </w:rPr>
        <w:t>lacuna</w:t>
      </w:r>
      <w:r w:rsidR="00A94575" w:rsidRPr="009B6CB6">
        <w:rPr>
          <w:rFonts w:ascii="Arial" w:hAnsi="Arial" w:cs="Arial"/>
          <w:iCs/>
        </w:rPr>
        <w:t xml:space="preserve"> </w:t>
      </w:r>
      <w:r w:rsidR="00D74519" w:rsidRPr="009B6CB6">
        <w:rPr>
          <w:rFonts w:ascii="Arial" w:hAnsi="Arial" w:cs="Arial"/>
          <w:iCs/>
        </w:rPr>
        <w:t xml:space="preserve">that exists in relation to </w:t>
      </w:r>
      <w:r w:rsidR="00A94575" w:rsidRPr="009B6CB6">
        <w:rPr>
          <w:rFonts w:ascii="Arial" w:hAnsi="Arial" w:cs="Arial"/>
        </w:rPr>
        <w:t xml:space="preserve">the </w:t>
      </w:r>
      <w:r w:rsidR="00D74519" w:rsidRPr="009B6CB6">
        <w:rPr>
          <w:rFonts w:ascii="Arial" w:hAnsi="Arial" w:cs="Arial"/>
        </w:rPr>
        <w:t xml:space="preserve">way in which </w:t>
      </w:r>
      <w:r w:rsidR="00A94575" w:rsidRPr="009B6CB6">
        <w:rPr>
          <w:rFonts w:ascii="Arial" w:hAnsi="Arial" w:cs="Arial"/>
        </w:rPr>
        <w:t>amendments to a plea in terms of Rule 28 should be dealt with at summary judgment</w:t>
      </w:r>
      <w:r w:rsidR="00A94575" w:rsidRPr="009B6CB6">
        <w:rPr>
          <w:rFonts w:ascii="Arial" w:hAnsi="Arial" w:cs="Arial"/>
          <w:spacing w:val="-8"/>
        </w:rPr>
        <w:t xml:space="preserve"> </w:t>
      </w:r>
      <w:r w:rsidR="00A94575" w:rsidRPr="009B6CB6">
        <w:rPr>
          <w:rFonts w:ascii="Arial" w:hAnsi="Arial" w:cs="Arial"/>
        </w:rPr>
        <w:t>stage.</w:t>
      </w:r>
    </w:p>
    <w:p w14:paraId="17DF7615" w14:textId="77777777" w:rsidR="00417B6C" w:rsidRPr="00A703A4" w:rsidRDefault="00417B6C" w:rsidP="00A703A4">
      <w:pPr>
        <w:pStyle w:val="ListParagraph"/>
        <w:widowControl w:val="0"/>
        <w:tabs>
          <w:tab w:val="left" w:pos="687"/>
        </w:tabs>
        <w:autoSpaceDE w:val="0"/>
        <w:autoSpaceDN w:val="0"/>
        <w:spacing w:line="360" w:lineRule="auto"/>
        <w:ind w:right="117"/>
        <w:jc w:val="both"/>
        <w:rPr>
          <w:rFonts w:ascii="Arial" w:hAnsi="Arial" w:cs="Arial"/>
        </w:rPr>
      </w:pPr>
    </w:p>
    <w:p w14:paraId="3FDB113C" w14:textId="7141CBE2" w:rsidR="00A94575" w:rsidRPr="009B6CB6" w:rsidRDefault="009B6CB6" w:rsidP="009B6CB6">
      <w:pPr>
        <w:widowControl w:val="0"/>
        <w:tabs>
          <w:tab w:val="left" w:pos="687"/>
          <w:tab w:val="left" w:pos="720"/>
        </w:tabs>
        <w:autoSpaceDE w:val="0"/>
        <w:autoSpaceDN w:val="0"/>
        <w:spacing w:line="360" w:lineRule="auto"/>
        <w:ind w:left="720" w:right="117" w:hanging="720"/>
        <w:jc w:val="both"/>
        <w:rPr>
          <w:rFonts w:ascii="Arial" w:hAnsi="Arial" w:cs="Arial"/>
        </w:rPr>
      </w:pPr>
      <w:r w:rsidRPr="00A703A4">
        <w:rPr>
          <w:rFonts w:ascii="Arial" w:hAnsi="Arial" w:cs="Arial"/>
        </w:rPr>
        <w:t>18.</w:t>
      </w:r>
      <w:r w:rsidRPr="00A703A4">
        <w:rPr>
          <w:rFonts w:ascii="Arial" w:hAnsi="Arial" w:cs="Arial"/>
        </w:rPr>
        <w:tab/>
      </w:r>
      <w:r w:rsidR="00A94575" w:rsidRPr="009B6CB6">
        <w:rPr>
          <w:rFonts w:ascii="Arial" w:hAnsi="Arial" w:cs="Arial"/>
        </w:rPr>
        <w:t xml:space="preserve">In </w:t>
      </w:r>
      <w:r w:rsidR="00417B6C" w:rsidRPr="009B6CB6">
        <w:rPr>
          <w:rFonts w:ascii="Arial" w:hAnsi="Arial" w:cs="Arial"/>
          <w:i/>
        </w:rPr>
        <w:t>City Square Trading 522 (Pty) Ltd v Gunzenhauser Attorneys (Pty) Ltd</w:t>
      </w:r>
      <w:r w:rsidR="00417B6C" w:rsidRPr="00A703A4">
        <w:rPr>
          <w:rStyle w:val="FootnoteReference"/>
          <w:rFonts w:ascii="Arial" w:hAnsi="Arial" w:cs="Arial"/>
          <w:i/>
        </w:rPr>
        <w:footnoteReference w:id="11"/>
      </w:r>
      <w:r w:rsidR="00A94575" w:rsidRPr="009B6CB6">
        <w:rPr>
          <w:rFonts w:ascii="Arial" w:hAnsi="Arial" w:cs="Arial"/>
          <w:position w:val="7"/>
        </w:rPr>
        <w:t xml:space="preserve"> </w:t>
      </w:r>
      <w:r w:rsidR="00A94575" w:rsidRPr="009B6CB6">
        <w:rPr>
          <w:rFonts w:ascii="Arial" w:hAnsi="Arial" w:cs="Arial"/>
        </w:rPr>
        <w:t xml:space="preserve">the Gauteng High Court also undertook an evaluation of the Task Team’s memorandum to arrive at its conclusions regarding the interplay between Rules 28 and 32, concluding that it was </w:t>
      </w:r>
      <w:r w:rsidR="00A94575" w:rsidRPr="009B6CB6">
        <w:rPr>
          <w:rFonts w:ascii="Arial" w:hAnsi="Arial" w:cs="Arial"/>
          <w:i/>
        </w:rPr>
        <w:t xml:space="preserve">“clear from the memorandum that the main purpose of the amendment to rule 32 was to avoid the formulaic approach of the old rule to the affidavit supporting a summary judgment application and to allow for proper </w:t>
      </w:r>
      <w:r w:rsidR="00A94575" w:rsidRPr="009B6CB6">
        <w:rPr>
          <w:rFonts w:ascii="Arial" w:hAnsi="Arial" w:cs="Arial"/>
          <w:i/>
        </w:rPr>
        <w:lastRenderedPageBreak/>
        <w:t>engagement by the parties with the pleadings”</w:t>
      </w:r>
      <w:r w:rsidR="00A94575" w:rsidRPr="009B6CB6">
        <w:rPr>
          <w:rFonts w:ascii="Arial" w:hAnsi="Arial" w:cs="Arial"/>
        </w:rPr>
        <w:t>.</w:t>
      </w:r>
      <w:r w:rsidR="00A94575" w:rsidRPr="009B6CB6">
        <w:rPr>
          <w:rFonts w:ascii="Arial" w:hAnsi="Arial" w:cs="Arial"/>
          <w:position w:val="7"/>
        </w:rPr>
        <w:t xml:space="preserve"> </w:t>
      </w:r>
    </w:p>
    <w:p w14:paraId="52310A1B" w14:textId="77777777" w:rsidR="00A94575" w:rsidRPr="00A703A4" w:rsidRDefault="00A94575" w:rsidP="00A703A4">
      <w:pPr>
        <w:pStyle w:val="BodyText"/>
        <w:spacing w:line="360" w:lineRule="auto"/>
        <w:contextualSpacing/>
        <w:rPr>
          <w:rFonts w:cs="Arial"/>
          <w:sz w:val="24"/>
          <w:szCs w:val="24"/>
        </w:rPr>
      </w:pPr>
    </w:p>
    <w:p w14:paraId="0DF81EC9" w14:textId="0BFE5306" w:rsidR="00BA6A09" w:rsidRPr="009B6CB6" w:rsidRDefault="009B6CB6" w:rsidP="009B6CB6">
      <w:pPr>
        <w:widowControl w:val="0"/>
        <w:tabs>
          <w:tab w:val="left" w:pos="687"/>
          <w:tab w:val="left" w:pos="720"/>
        </w:tabs>
        <w:autoSpaceDE w:val="0"/>
        <w:autoSpaceDN w:val="0"/>
        <w:spacing w:line="360" w:lineRule="auto"/>
        <w:ind w:left="720" w:right="114" w:hanging="720"/>
        <w:jc w:val="both"/>
        <w:rPr>
          <w:rFonts w:ascii="Arial" w:hAnsi="Arial" w:cs="Arial"/>
        </w:rPr>
      </w:pPr>
      <w:r w:rsidRPr="00A703A4">
        <w:rPr>
          <w:rFonts w:ascii="Arial" w:hAnsi="Arial" w:cs="Arial"/>
        </w:rPr>
        <w:t>19.</w:t>
      </w:r>
      <w:r w:rsidRPr="00A703A4">
        <w:rPr>
          <w:rFonts w:ascii="Arial" w:hAnsi="Arial" w:cs="Arial"/>
        </w:rPr>
        <w:tab/>
      </w:r>
      <w:r w:rsidR="00A94575" w:rsidRPr="009B6CB6">
        <w:rPr>
          <w:rFonts w:ascii="Arial" w:hAnsi="Arial" w:cs="Arial"/>
        </w:rPr>
        <w:t xml:space="preserve">Given the doctrine of precedent, </w:t>
      </w:r>
      <w:r w:rsidR="00417B6C" w:rsidRPr="009B6CB6">
        <w:rPr>
          <w:rFonts w:ascii="Arial" w:hAnsi="Arial" w:cs="Arial"/>
        </w:rPr>
        <w:t>this Court’s consideration of the Task Team’s recommendations</w:t>
      </w:r>
      <w:r w:rsidR="004E5237" w:rsidRPr="009B6CB6">
        <w:rPr>
          <w:rFonts w:ascii="Arial" w:hAnsi="Arial" w:cs="Arial"/>
        </w:rPr>
        <w:t xml:space="preserve"> </w:t>
      </w:r>
      <w:r w:rsidR="00417B6C" w:rsidRPr="009B6CB6">
        <w:rPr>
          <w:rFonts w:ascii="Arial" w:hAnsi="Arial" w:cs="Arial"/>
        </w:rPr>
        <w:t>did not c</w:t>
      </w:r>
      <w:r w:rsidR="004E5237" w:rsidRPr="009B6CB6">
        <w:rPr>
          <w:rFonts w:ascii="Arial" w:hAnsi="Arial" w:cs="Arial"/>
        </w:rPr>
        <w:t>o</w:t>
      </w:r>
      <w:r w:rsidR="00417B6C" w:rsidRPr="009B6CB6">
        <w:rPr>
          <w:rFonts w:ascii="Arial" w:hAnsi="Arial" w:cs="Arial"/>
        </w:rPr>
        <w:t>ns</w:t>
      </w:r>
      <w:r w:rsidR="004E5237" w:rsidRPr="009B6CB6">
        <w:rPr>
          <w:rFonts w:ascii="Arial" w:hAnsi="Arial" w:cs="Arial"/>
        </w:rPr>
        <w:t>t</w:t>
      </w:r>
      <w:r w:rsidR="00417B6C" w:rsidRPr="009B6CB6">
        <w:rPr>
          <w:rFonts w:ascii="Arial" w:hAnsi="Arial" w:cs="Arial"/>
        </w:rPr>
        <w:t>itute a misdirection.</w:t>
      </w:r>
    </w:p>
    <w:p w14:paraId="5F0E97F1" w14:textId="77777777" w:rsidR="00BA6A09" w:rsidRPr="00A703A4" w:rsidRDefault="00BA6A09" w:rsidP="00A703A4">
      <w:pPr>
        <w:pStyle w:val="ListParagraph"/>
        <w:widowControl w:val="0"/>
        <w:tabs>
          <w:tab w:val="left" w:pos="687"/>
        </w:tabs>
        <w:autoSpaceDE w:val="0"/>
        <w:autoSpaceDN w:val="0"/>
        <w:spacing w:line="360" w:lineRule="auto"/>
        <w:ind w:right="114"/>
        <w:jc w:val="both"/>
        <w:rPr>
          <w:rFonts w:ascii="Arial" w:hAnsi="Arial" w:cs="Arial"/>
        </w:rPr>
      </w:pPr>
    </w:p>
    <w:p w14:paraId="197FFC15" w14:textId="235FA0A0" w:rsidR="00A94575" w:rsidRPr="009B6CB6" w:rsidRDefault="009B6CB6" w:rsidP="009B6CB6">
      <w:pPr>
        <w:widowControl w:val="0"/>
        <w:tabs>
          <w:tab w:val="left" w:pos="687"/>
          <w:tab w:val="left" w:pos="720"/>
        </w:tabs>
        <w:autoSpaceDE w:val="0"/>
        <w:autoSpaceDN w:val="0"/>
        <w:spacing w:line="360" w:lineRule="auto"/>
        <w:ind w:left="720" w:right="114" w:hanging="720"/>
        <w:jc w:val="both"/>
        <w:rPr>
          <w:rFonts w:ascii="Arial" w:hAnsi="Arial" w:cs="Arial"/>
        </w:rPr>
      </w:pPr>
      <w:r w:rsidRPr="00A703A4">
        <w:rPr>
          <w:rFonts w:ascii="Arial" w:hAnsi="Arial" w:cs="Arial"/>
        </w:rPr>
        <w:t>20.</w:t>
      </w:r>
      <w:r w:rsidRPr="00A703A4">
        <w:rPr>
          <w:rFonts w:ascii="Arial" w:hAnsi="Arial" w:cs="Arial"/>
        </w:rPr>
        <w:tab/>
      </w:r>
      <w:r w:rsidR="00BA6A09" w:rsidRPr="009B6CB6">
        <w:rPr>
          <w:rFonts w:ascii="Arial" w:hAnsi="Arial" w:cs="Arial"/>
        </w:rPr>
        <w:t>The defendant argues</w:t>
      </w:r>
      <w:r w:rsidR="00803873" w:rsidRPr="009B6CB6">
        <w:rPr>
          <w:rFonts w:ascii="Arial" w:hAnsi="Arial" w:cs="Arial"/>
        </w:rPr>
        <w:t>,</w:t>
      </w:r>
      <w:r w:rsidR="00BA6A09" w:rsidRPr="009B6CB6">
        <w:rPr>
          <w:rFonts w:ascii="Arial" w:hAnsi="Arial" w:cs="Arial"/>
        </w:rPr>
        <w:t xml:space="preserve"> fourthly, that the delivery of a replication is an indication of the waiver of the plaintiff’s right to apply for summary judgment.  Its reliance is based upon </w:t>
      </w:r>
      <w:r w:rsidR="00BA6A09" w:rsidRPr="009B6CB6">
        <w:rPr>
          <w:rFonts w:ascii="Arial" w:hAnsi="Arial" w:cs="Arial"/>
          <w:i/>
          <w:iCs/>
        </w:rPr>
        <w:t xml:space="preserve">Arum Transport </w:t>
      </w:r>
      <w:r w:rsidR="00803873" w:rsidRPr="009B6CB6">
        <w:rPr>
          <w:rFonts w:ascii="Arial" w:hAnsi="Arial" w:cs="Arial"/>
          <w:i/>
          <w:iCs/>
        </w:rPr>
        <w:t xml:space="preserve">CC v </w:t>
      </w:r>
      <w:proofErr w:type="spellStart"/>
      <w:r w:rsidR="00803873" w:rsidRPr="009B6CB6">
        <w:rPr>
          <w:rFonts w:ascii="Arial" w:hAnsi="Arial" w:cs="Arial"/>
          <w:i/>
          <w:iCs/>
        </w:rPr>
        <w:t>Mkhwenkwe</w:t>
      </w:r>
      <w:proofErr w:type="spellEnd"/>
      <w:r w:rsidR="00803873" w:rsidRPr="009B6CB6">
        <w:rPr>
          <w:rFonts w:ascii="Arial" w:hAnsi="Arial" w:cs="Arial"/>
          <w:i/>
          <w:iCs/>
        </w:rPr>
        <w:t xml:space="preserve"> Construction CC</w:t>
      </w:r>
      <w:r w:rsidR="00BA6A09" w:rsidRPr="009B6CB6">
        <w:rPr>
          <w:rFonts w:ascii="Arial" w:hAnsi="Arial" w:cs="Arial"/>
        </w:rPr>
        <w:t>.</w:t>
      </w:r>
      <w:r w:rsidR="00803873" w:rsidRPr="00A703A4">
        <w:rPr>
          <w:rStyle w:val="FootnoteReference"/>
          <w:rFonts w:ascii="Arial" w:hAnsi="Arial" w:cs="Arial"/>
        </w:rPr>
        <w:footnoteReference w:id="12"/>
      </w:r>
      <w:r w:rsidR="00BA6A09" w:rsidRPr="009B6CB6">
        <w:rPr>
          <w:rFonts w:ascii="Arial" w:hAnsi="Arial" w:cs="Arial"/>
        </w:rPr>
        <w:t xml:space="preserve">  The issue has been dealt with in detail in the main judgment</w:t>
      </w:r>
      <w:r w:rsidR="00A703A4" w:rsidRPr="009B6CB6">
        <w:rPr>
          <w:rFonts w:ascii="Arial" w:hAnsi="Arial" w:cs="Arial"/>
        </w:rPr>
        <w:t>. T</w:t>
      </w:r>
      <w:r w:rsidR="00BA6A09" w:rsidRPr="009B6CB6">
        <w:rPr>
          <w:rFonts w:ascii="Arial" w:hAnsi="Arial" w:cs="Arial"/>
        </w:rPr>
        <w:t xml:space="preserve">here is </w:t>
      </w:r>
      <w:r w:rsidR="00803873" w:rsidRPr="009B6CB6">
        <w:rPr>
          <w:rFonts w:ascii="Arial" w:hAnsi="Arial" w:cs="Arial"/>
        </w:rPr>
        <w:t>direct</w:t>
      </w:r>
      <w:r w:rsidR="00BA6A09" w:rsidRPr="009B6CB6">
        <w:rPr>
          <w:rFonts w:ascii="Arial" w:hAnsi="Arial" w:cs="Arial"/>
        </w:rPr>
        <w:t xml:space="preserve"> precedent in this Court for the conclusion that the simultaneous delivery of a replication does not justify an inference of waiver.  </w:t>
      </w:r>
      <w:r w:rsidR="00BA6A09" w:rsidRPr="009B6CB6">
        <w:rPr>
          <w:rFonts w:ascii="Arial" w:hAnsi="Arial" w:cs="Arial"/>
          <w:i/>
          <w:iCs/>
        </w:rPr>
        <w:t>Arum Transport</w:t>
      </w:r>
      <w:r w:rsidR="00BA6A09" w:rsidRPr="009B6CB6">
        <w:rPr>
          <w:rFonts w:ascii="Arial" w:hAnsi="Arial" w:cs="Arial"/>
        </w:rPr>
        <w:t xml:space="preserve"> is, moreover, distinguishable on the facts.</w:t>
      </w:r>
    </w:p>
    <w:p w14:paraId="5DF67284" w14:textId="77777777" w:rsidR="00A94575" w:rsidRPr="00A703A4" w:rsidRDefault="00A94575" w:rsidP="00A703A4">
      <w:pPr>
        <w:pStyle w:val="BodyText"/>
        <w:spacing w:line="360" w:lineRule="auto"/>
        <w:contextualSpacing/>
        <w:rPr>
          <w:rFonts w:cs="Arial"/>
          <w:sz w:val="24"/>
          <w:szCs w:val="24"/>
        </w:rPr>
      </w:pPr>
    </w:p>
    <w:p w14:paraId="74CFB6DA" w14:textId="69945638" w:rsidR="00A94575" w:rsidRPr="009B6CB6" w:rsidRDefault="009B6CB6" w:rsidP="009B6CB6">
      <w:pPr>
        <w:widowControl w:val="0"/>
        <w:tabs>
          <w:tab w:val="left" w:pos="687"/>
          <w:tab w:val="left" w:pos="720"/>
        </w:tabs>
        <w:autoSpaceDE w:val="0"/>
        <w:autoSpaceDN w:val="0"/>
        <w:spacing w:line="360" w:lineRule="auto"/>
        <w:ind w:left="720" w:right="114" w:hanging="720"/>
        <w:jc w:val="both"/>
        <w:rPr>
          <w:rFonts w:ascii="Arial" w:hAnsi="Arial" w:cs="Arial"/>
        </w:rPr>
      </w:pPr>
      <w:r w:rsidRPr="00A703A4">
        <w:rPr>
          <w:rFonts w:ascii="Arial" w:hAnsi="Arial" w:cs="Arial"/>
        </w:rPr>
        <w:t>21.</w:t>
      </w:r>
      <w:r w:rsidRPr="00A703A4">
        <w:rPr>
          <w:rFonts w:ascii="Arial" w:hAnsi="Arial" w:cs="Arial"/>
        </w:rPr>
        <w:tab/>
      </w:r>
      <w:r w:rsidR="00A94575" w:rsidRPr="009B6CB6">
        <w:rPr>
          <w:rFonts w:ascii="Arial" w:hAnsi="Arial" w:cs="Arial"/>
        </w:rPr>
        <w:t>I</w:t>
      </w:r>
      <w:r w:rsidR="00803873" w:rsidRPr="009B6CB6">
        <w:rPr>
          <w:rFonts w:ascii="Arial" w:hAnsi="Arial" w:cs="Arial"/>
        </w:rPr>
        <w:t xml:space="preserve"> agree with the plaintiff that</w:t>
      </w:r>
      <w:r w:rsidR="00A94575" w:rsidRPr="009B6CB6">
        <w:rPr>
          <w:rFonts w:ascii="Arial" w:hAnsi="Arial" w:cs="Arial"/>
        </w:rPr>
        <w:t xml:space="preserve"> it can</w:t>
      </w:r>
      <w:r w:rsidR="00D52A31" w:rsidRPr="009B6CB6">
        <w:rPr>
          <w:rFonts w:ascii="Arial" w:hAnsi="Arial" w:cs="Arial"/>
        </w:rPr>
        <w:t xml:space="preserve"> in any event </w:t>
      </w:r>
      <w:r w:rsidR="00A94575" w:rsidRPr="009B6CB6">
        <w:rPr>
          <w:rFonts w:ascii="Arial" w:hAnsi="Arial" w:cs="Arial"/>
        </w:rPr>
        <w:t xml:space="preserve">not be said that </w:t>
      </w:r>
      <w:r w:rsidR="00803873" w:rsidRPr="009B6CB6">
        <w:rPr>
          <w:rFonts w:ascii="Arial" w:hAnsi="Arial" w:cs="Arial"/>
        </w:rPr>
        <w:t>the</w:t>
      </w:r>
      <w:r w:rsidR="00A94575" w:rsidRPr="009B6CB6">
        <w:rPr>
          <w:rFonts w:ascii="Arial" w:hAnsi="Arial" w:cs="Arial"/>
        </w:rPr>
        <w:t xml:space="preserve"> simultaneous </w:t>
      </w:r>
      <w:r w:rsidR="00803873" w:rsidRPr="009B6CB6">
        <w:rPr>
          <w:rFonts w:ascii="Arial" w:hAnsi="Arial" w:cs="Arial"/>
        </w:rPr>
        <w:t>delivery</w:t>
      </w:r>
      <w:r w:rsidR="00A94575" w:rsidRPr="009B6CB6">
        <w:rPr>
          <w:rFonts w:ascii="Arial" w:hAnsi="Arial" w:cs="Arial"/>
        </w:rPr>
        <w:t xml:space="preserve"> of a replication together with an application for summary judgment connotes an intention to abandon the right it has to apply for summary judgment.  This is because</w:t>
      </w:r>
      <w:r w:rsidR="00803873" w:rsidRPr="009B6CB6">
        <w:rPr>
          <w:rFonts w:ascii="Arial" w:hAnsi="Arial" w:cs="Arial"/>
        </w:rPr>
        <w:t xml:space="preserve"> </w:t>
      </w:r>
      <w:r w:rsidR="00A94575" w:rsidRPr="009B6CB6">
        <w:rPr>
          <w:rFonts w:ascii="Arial" w:hAnsi="Arial" w:cs="Arial"/>
          <w:i/>
        </w:rPr>
        <w:t>“there</w:t>
      </w:r>
      <w:r w:rsidR="00A94575" w:rsidRPr="009B6CB6">
        <w:rPr>
          <w:rFonts w:ascii="Arial" w:hAnsi="Arial" w:cs="Arial"/>
          <w:i/>
          <w:spacing w:val="-14"/>
        </w:rPr>
        <w:t xml:space="preserve"> </w:t>
      </w:r>
      <w:r w:rsidR="00A94575" w:rsidRPr="009B6CB6">
        <w:rPr>
          <w:rFonts w:ascii="Arial" w:hAnsi="Arial" w:cs="Arial"/>
          <w:i/>
        </w:rPr>
        <w:t>is</w:t>
      </w:r>
      <w:r w:rsidR="00A94575" w:rsidRPr="009B6CB6">
        <w:rPr>
          <w:rFonts w:ascii="Arial" w:hAnsi="Arial" w:cs="Arial"/>
          <w:i/>
          <w:spacing w:val="-15"/>
        </w:rPr>
        <w:t xml:space="preserve"> </w:t>
      </w:r>
      <w:r w:rsidR="00A94575" w:rsidRPr="009B6CB6">
        <w:rPr>
          <w:rFonts w:ascii="Arial" w:hAnsi="Arial" w:cs="Arial"/>
          <w:i/>
        </w:rPr>
        <w:t>nothing</w:t>
      </w:r>
      <w:r w:rsidR="00A94575" w:rsidRPr="009B6CB6">
        <w:rPr>
          <w:rFonts w:ascii="Arial" w:hAnsi="Arial" w:cs="Arial"/>
          <w:i/>
          <w:spacing w:val="-15"/>
        </w:rPr>
        <w:t xml:space="preserve"> </w:t>
      </w:r>
      <w:r w:rsidR="00A94575" w:rsidRPr="009B6CB6">
        <w:rPr>
          <w:rFonts w:ascii="Arial" w:hAnsi="Arial" w:cs="Arial"/>
          <w:i/>
        </w:rPr>
        <w:t>whatsoever</w:t>
      </w:r>
      <w:r w:rsidR="00A94575" w:rsidRPr="009B6CB6">
        <w:rPr>
          <w:rFonts w:ascii="Arial" w:hAnsi="Arial" w:cs="Arial"/>
          <w:i/>
          <w:spacing w:val="-15"/>
        </w:rPr>
        <w:t xml:space="preserve"> </w:t>
      </w:r>
      <w:r w:rsidR="00A94575" w:rsidRPr="009B6CB6">
        <w:rPr>
          <w:rFonts w:ascii="Arial" w:hAnsi="Arial" w:cs="Arial"/>
          <w:i/>
        </w:rPr>
        <w:t>inconsistent</w:t>
      </w:r>
      <w:r w:rsidR="00A94575" w:rsidRPr="009B6CB6">
        <w:rPr>
          <w:rFonts w:ascii="Arial" w:hAnsi="Arial" w:cs="Arial"/>
          <w:i/>
          <w:spacing w:val="-17"/>
        </w:rPr>
        <w:t xml:space="preserve"> </w:t>
      </w:r>
      <w:r w:rsidR="00A94575" w:rsidRPr="009B6CB6">
        <w:rPr>
          <w:rFonts w:ascii="Arial" w:hAnsi="Arial" w:cs="Arial"/>
          <w:i/>
        </w:rPr>
        <w:t>between</w:t>
      </w:r>
      <w:r w:rsidR="00A94575" w:rsidRPr="009B6CB6">
        <w:rPr>
          <w:rFonts w:ascii="Arial" w:hAnsi="Arial" w:cs="Arial"/>
          <w:i/>
          <w:spacing w:val="-15"/>
        </w:rPr>
        <w:t xml:space="preserve"> </w:t>
      </w:r>
      <w:r w:rsidR="00A94575" w:rsidRPr="009B6CB6">
        <w:rPr>
          <w:rFonts w:ascii="Arial" w:hAnsi="Arial" w:cs="Arial"/>
          <w:i/>
        </w:rPr>
        <w:t>a</w:t>
      </w:r>
      <w:r w:rsidR="00A94575" w:rsidRPr="009B6CB6">
        <w:rPr>
          <w:rFonts w:ascii="Arial" w:hAnsi="Arial" w:cs="Arial"/>
          <w:i/>
          <w:spacing w:val="-15"/>
        </w:rPr>
        <w:t xml:space="preserve"> </w:t>
      </w:r>
      <w:proofErr w:type="gramStart"/>
      <w:r w:rsidR="00A94575" w:rsidRPr="009B6CB6">
        <w:rPr>
          <w:rFonts w:ascii="Arial" w:hAnsi="Arial" w:cs="Arial"/>
          <w:i/>
        </w:rPr>
        <w:t>plaintiff's</w:t>
      </w:r>
      <w:proofErr w:type="gramEnd"/>
      <w:r w:rsidR="00A94575" w:rsidRPr="009B6CB6">
        <w:rPr>
          <w:rFonts w:ascii="Arial" w:hAnsi="Arial" w:cs="Arial"/>
          <w:i/>
          <w:spacing w:val="-15"/>
        </w:rPr>
        <w:t xml:space="preserve"> </w:t>
      </w:r>
      <w:r w:rsidR="00A94575" w:rsidRPr="009B6CB6">
        <w:rPr>
          <w:rFonts w:ascii="Arial" w:hAnsi="Arial" w:cs="Arial"/>
          <w:i/>
        </w:rPr>
        <w:t>applying</w:t>
      </w:r>
      <w:r w:rsidR="00A94575" w:rsidRPr="009B6CB6">
        <w:rPr>
          <w:rFonts w:ascii="Arial" w:hAnsi="Arial" w:cs="Arial"/>
          <w:i/>
          <w:spacing w:val="-15"/>
        </w:rPr>
        <w:t xml:space="preserve"> </w:t>
      </w:r>
      <w:r w:rsidR="00A94575" w:rsidRPr="009B6CB6">
        <w:rPr>
          <w:rFonts w:ascii="Arial" w:hAnsi="Arial" w:cs="Arial"/>
          <w:i/>
        </w:rPr>
        <w:t>for</w:t>
      </w:r>
      <w:r w:rsidR="00A94575" w:rsidRPr="009B6CB6">
        <w:rPr>
          <w:rFonts w:ascii="Arial" w:hAnsi="Arial" w:cs="Arial"/>
          <w:i/>
          <w:spacing w:val="-15"/>
        </w:rPr>
        <w:t xml:space="preserve"> </w:t>
      </w:r>
      <w:r w:rsidR="00A94575" w:rsidRPr="009B6CB6">
        <w:rPr>
          <w:rFonts w:ascii="Arial" w:hAnsi="Arial" w:cs="Arial"/>
          <w:i/>
        </w:rPr>
        <w:t xml:space="preserve">summary judgment on the one hand and on the other hand, and in case his application might prove to be unsuccessful, expediting the closure of pleadings in the main action itself… I cannot conceive of such conduct being inconsistent with an intention to </w:t>
      </w:r>
      <w:proofErr w:type="spellStart"/>
      <w:r w:rsidR="00A94575" w:rsidRPr="009B6CB6">
        <w:rPr>
          <w:rFonts w:ascii="Arial" w:hAnsi="Arial" w:cs="Arial"/>
          <w:i/>
        </w:rPr>
        <w:t>endeavour</w:t>
      </w:r>
      <w:proofErr w:type="spellEnd"/>
      <w:r w:rsidR="00A94575" w:rsidRPr="009B6CB6">
        <w:rPr>
          <w:rFonts w:ascii="Arial" w:hAnsi="Arial" w:cs="Arial"/>
          <w:i/>
          <w:spacing w:val="-10"/>
        </w:rPr>
        <w:t xml:space="preserve"> </w:t>
      </w:r>
      <w:r w:rsidR="00A94575" w:rsidRPr="009B6CB6">
        <w:rPr>
          <w:rFonts w:ascii="Arial" w:hAnsi="Arial" w:cs="Arial"/>
          <w:i/>
        </w:rPr>
        <w:t>to</w:t>
      </w:r>
      <w:r w:rsidR="00A94575" w:rsidRPr="009B6CB6">
        <w:rPr>
          <w:rFonts w:ascii="Arial" w:hAnsi="Arial" w:cs="Arial"/>
          <w:i/>
          <w:spacing w:val="-11"/>
        </w:rPr>
        <w:t xml:space="preserve"> </w:t>
      </w:r>
      <w:r w:rsidR="00A94575" w:rsidRPr="009B6CB6">
        <w:rPr>
          <w:rFonts w:ascii="Arial" w:hAnsi="Arial" w:cs="Arial"/>
          <w:i/>
        </w:rPr>
        <w:t>bring</w:t>
      </w:r>
      <w:r w:rsidR="00A94575" w:rsidRPr="009B6CB6">
        <w:rPr>
          <w:rFonts w:ascii="Arial" w:hAnsi="Arial" w:cs="Arial"/>
          <w:i/>
          <w:spacing w:val="-11"/>
        </w:rPr>
        <w:t xml:space="preserve"> </w:t>
      </w:r>
      <w:r w:rsidR="00A94575" w:rsidRPr="009B6CB6">
        <w:rPr>
          <w:rFonts w:ascii="Arial" w:hAnsi="Arial" w:cs="Arial"/>
          <w:i/>
        </w:rPr>
        <w:t>the</w:t>
      </w:r>
      <w:r w:rsidR="00A94575" w:rsidRPr="009B6CB6">
        <w:rPr>
          <w:rFonts w:ascii="Arial" w:hAnsi="Arial" w:cs="Arial"/>
          <w:i/>
          <w:spacing w:val="-11"/>
        </w:rPr>
        <w:t xml:space="preserve"> </w:t>
      </w:r>
      <w:r w:rsidR="00A94575" w:rsidRPr="009B6CB6">
        <w:rPr>
          <w:rFonts w:ascii="Arial" w:hAnsi="Arial" w:cs="Arial"/>
          <w:i/>
        </w:rPr>
        <w:t>proceedings</w:t>
      </w:r>
      <w:r w:rsidR="00A94575" w:rsidRPr="009B6CB6">
        <w:rPr>
          <w:rFonts w:ascii="Arial" w:hAnsi="Arial" w:cs="Arial"/>
          <w:i/>
          <w:spacing w:val="-10"/>
        </w:rPr>
        <w:t xml:space="preserve"> </w:t>
      </w:r>
      <w:r w:rsidR="00A94575" w:rsidRPr="009B6CB6">
        <w:rPr>
          <w:rFonts w:ascii="Arial" w:hAnsi="Arial" w:cs="Arial"/>
          <w:i/>
        </w:rPr>
        <w:t>to</w:t>
      </w:r>
      <w:r w:rsidR="00A94575" w:rsidRPr="009B6CB6">
        <w:rPr>
          <w:rFonts w:ascii="Arial" w:hAnsi="Arial" w:cs="Arial"/>
          <w:i/>
          <w:spacing w:val="-10"/>
        </w:rPr>
        <w:t xml:space="preserve"> </w:t>
      </w:r>
      <w:r w:rsidR="00A94575" w:rsidRPr="009B6CB6">
        <w:rPr>
          <w:rFonts w:ascii="Arial" w:hAnsi="Arial" w:cs="Arial"/>
          <w:i/>
        </w:rPr>
        <w:t>an</w:t>
      </w:r>
      <w:r w:rsidR="00A94575" w:rsidRPr="009B6CB6">
        <w:rPr>
          <w:rFonts w:ascii="Arial" w:hAnsi="Arial" w:cs="Arial"/>
          <w:i/>
          <w:spacing w:val="-10"/>
        </w:rPr>
        <w:t xml:space="preserve"> </w:t>
      </w:r>
      <w:r w:rsidR="00A94575" w:rsidRPr="009B6CB6">
        <w:rPr>
          <w:rFonts w:ascii="Arial" w:hAnsi="Arial" w:cs="Arial"/>
          <w:i/>
        </w:rPr>
        <w:t>expeditious</w:t>
      </w:r>
      <w:r w:rsidR="00A94575" w:rsidRPr="009B6CB6">
        <w:rPr>
          <w:rFonts w:ascii="Arial" w:hAnsi="Arial" w:cs="Arial"/>
          <w:i/>
          <w:spacing w:val="-11"/>
        </w:rPr>
        <w:t xml:space="preserve"> </w:t>
      </w:r>
      <w:r w:rsidR="00A94575" w:rsidRPr="009B6CB6">
        <w:rPr>
          <w:rFonts w:ascii="Arial" w:hAnsi="Arial" w:cs="Arial"/>
          <w:i/>
        </w:rPr>
        <w:t>end</w:t>
      </w:r>
      <w:r w:rsidR="00A94575" w:rsidRPr="009B6CB6">
        <w:rPr>
          <w:rFonts w:ascii="Arial" w:hAnsi="Arial" w:cs="Arial"/>
          <w:i/>
          <w:spacing w:val="-10"/>
        </w:rPr>
        <w:t xml:space="preserve"> </w:t>
      </w:r>
      <w:r w:rsidR="00A94575" w:rsidRPr="009B6CB6">
        <w:rPr>
          <w:rFonts w:ascii="Arial" w:hAnsi="Arial" w:cs="Arial"/>
          <w:i/>
        </w:rPr>
        <w:t>by</w:t>
      </w:r>
      <w:r w:rsidR="00A94575" w:rsidRPr="009B6CB6">
        <w:rPr>
          <w:rFonts w:ascii="Arial" w:hAnsi="Arial" w:cs="Arial"/>
          <w:i/>
          <w:spacing w:val="-9"/>
        </w:rPr>
        <w:t xml:space="preserve"> </w:t>
      </w:r>
      <w:r w:rsidR="00A94575" w:rsidRPr="009B6CB6">
        <w:rPr>
          <w:rFonts w:ascii="Arial" w:hAnsi="Arial" w:cs="Arial"/>
          <w:i/>
        </w:rPr>
        <w:t>making</w:t>
      </w:r>
      <w:r w:rsidR="00A94575" w:rsidRPr="009B6CB6">
        <w:rPr>
          <w:rFonts w:ascii="Arial" w:hAnsi="Arial" w:cs="Arial"/>
          <w:i/>
          <w:spacing w:val="-10"/>
        </w:rPr>
        <w:t xml:space="preserve"> </w:t>
      </w:r>
      <w:r w:rsidR="00A94575" w:rsidRPr="009B6CB6">
        <w:rPr>
          <w:rFonts w:ascii="Arial" w:hAnsi="Arial" w:cs="Arial"/>
          <w:i/>
        </w:rPr>
        <w:t>use</w:t>
      </w:r>
      <w:r w:rsidR="00A94575" w:rsidRPr="009B6CB6">
        <w:rPr>
          <w:rFonts w:ascii="Arial" w:hAnsi="Arial" w:cs="Arial"/>
          <w:i/>
          <w:spacing w:val="-9"/>
        </w:rPr>
        <w:t xml:space="preserve"> </w:t>
      </w:r>
      <w:r w:rsidR="00A94575" w:rsidRPr="009B6CB6">
        <w:rPr>
          <w:rFonts w:ascii="Arial" w:hAnsi="Arial" w:cs="Arial"/>
          <w:i/>
        </w:rPr>
        <w:t>of</w:t>
      </w:r>
      <w:r w:rsidR="00A94575" w:rsidRPr="009B6CB6">
        <w:rPr>
          <w:rFonts w:ascii="Arial" w:hAnsi="Arial" w:cs="Arial"/>
          <w:i/>
          <w:spacing w:val="-9"/>
        </w:rPr>
        <w:t xml:space="preserve"> </w:t>
      </w:r>
      <w:r w:rsidR="00A94575" w:rsidRPr="009B6CB6">
        <w:rPr>
          <w:rFonts w:ascii="Arial" w:hAnsi="Arial" w:cs="Arial"/>
          <w:i/>
        </w:rPr>
        <w:t>summary judgment</w:t>
      </w:r>
      <w:r w:rsidR="00A94575" w:rsidRPr="009B6CB6">
        <w:rPr>
          <w:rFonts w:ascii="Arial" w:hAnsi="Arial" w:cs="Arial"/>
          <w:i/>
          <w:spacing w:val="-4"/>
        </w:rPr>
        <w:t xml:space="preserve"> </w:t>
      </w:r>
      <w:r w:rsidR="00A94575" w:rsidRPr="009B6CB6">
        <w:rPr>
          <w:rFonts w:ascii="Arial" w:hAnsi="Arial" w:cs="Arial"/>
          <w:i/>
        </w:rPr>
        <w:t>proceedings.”</w:t>
      </w:r>
      <w:r w:rsidR="00803873" w:rsidRPr="00A703A4">
        <w:rPr>
          <w:rStyle w:val="FootnoteReference"/>
          <w:rFonts w:ascii="Arial" w:hAnsi="Arial" w:cs="Arial"/>
          <w:i/>
        </w:rPr>
        <w:footnoteReference w:id="13"/>
      </w:r>
    </w:p>
    <w:p w14:paraId="5FA6D037" w14:textId="77777777" w:rsidR="00A94575" w:rsidRPr="00A703A4" w:rsidRDefault="00A94575" w:rsidP="00A703A4">
      <w:pPr>
        <w:pStyle w:val="BodyText"/>
        <w:spacing w:line="360" w:lineRule="auto"/>
        <w:contextualSpacing/>
        <w:rPr>
          <w:rFonts w:cs="Arial"/>
          <w:sz w:val="24"/>
          <w:szCs w:val="24"/>
        </w:rPr>
      </w:pPr>
    </w:p>
    <w:p w14:paraId="402DB5F2" w14:textId="12DFDF4B" w:rsidR="00A94575" w:rsidRPr="009B6CB6" w:rsidRDefault="009B6CB6" w:rsidP="009B6CB6">
      <w:pPr>
        <w:widowControl w:val="0"/>
        <w:tabs>
          <w:tab w:val="left" w:pos="720"/>
        </w:tabs>
        <w:spacing w:line="360" w:lineRule="auto"/>
        <w:ind w:left="720" w:hanging="720"/>
        <w:jc w:val="both"/>
        <w:rPr>
          <w:rFonts w:ascii="Arial" w:hAnsi="Arial" w:cs="Arial"/>
          <w:lang w:val="en-GB"/>
        </w:rPr>
      </w:pPr>
      <w:r w:rsidRPr="00A703A4">
        <w:rPr>
          <w:rFonts w:ascii="Arial" w:hAnsi="Arial" w:cs="Arial"/>
          <w:lang w:val="en-GB"/>
        </w:rPr>
        <w:t>22.</w:t>
      </w:r>
      <w:r w:rsidRPr="00A703A4">
        <w:rPr>
          <w:rFonts w:ascii="Arial" w:hAnsi="Arial" w:cs="Arial"/>
          <w:lang w:val="en-GB"/>
        </w:rPr>
        <w:tab/>
      </w:r>
      <w:r w:rsidR="00BA6A09" w:rsidRPr="009B6CB6">
        <w:rPr>
          <w:rFonts w:ascii="Arial" w:hAnsi="Arial" w:cs="Arial"/>
        </w:rPr>
        <w:t>I</w:t>
      </w:r>
      <w:r w:rsidR="00A94575" w:rsidRPr="009B6CB6">
        <w:rPr>
          <w:rFonts w:ascii="Arial" w:hAnsi="Arial" w:cs="Arial"/>
        </w:rPr>
        <w:t xml:space="preserve"> </w:t>
      </w:r>
      <w:r w:rsidR="00A703A4" w:rsidRPr="009B6CB6">
        <w:rPr>
          <w:rFonts w:ascii="Arial" w:hAnsi="Arial" w:cs="Arial"/>
        </w:rPr>
        <w:t xml:space="preserve">accordingly </w:t>
      </w:r>
      <w:r w:rsidR="00A94575" w:rsidRPr="009B6CB6">
        <w:rPr>
          <w:rFonts w:ascii="Arial" w:hAnsi="Arial" w:cs="Arial"/>
        </w:rPr>
        <w:t xml:space="preserve">do not consider there </w:t>
      </w:r>
      <w:r w:rsidR="00BA6A09" w:rsidRPr="009B6CB6">
        <w:rPr>
          <w:rFonts w:ascii="Arial" w:hAnsi="Arial" w:cs="Arial"/>
        </w:rPr>
        <w:t>to be</w:t>
      </w:r>
      <w:r w:rsidR="00A94575" w:rsidRPr="009B6CB6">
        <w:rPr>
          <w:rFonts w:ascii="Arial" w:hAnsi="Arial" w:cs="Arial"/>
        </w:rPr>
        <w:t xml:space="preserve"> </w:t>
      </w:r>
      <w:r w:rsidR="00B37AB3" w:rsidRPr="009B6CB6">
        <w:rPr>
          <w:rFonts w:ascii="Arial" w:hAnsi="Arial" w:cs="Arial"/>
        </w:rPr>
        <w:t xml:space="preserve">any </w:t>
      </w:r>
      <w:r w:rsidR="00A94575" w:rsidRPr="009B6CB6">
        <w:rPr>
          <w:rFonts w:ascii="Arial" w:hAnsi="Arial" w:cs="Arial"/>
        </w:rPr>
        <w:t>misdirection in the main judgment</w:t>
      </w:r>
      <w:r w:rsidR="00803873" w:rsidRPr="009B6CB6">
        <w:rPr>
          <w:rFonts w:ascii="Arial" w:hAnsi="Arial" w:cs="Arial"/>
        </w:rPr>
        <w:t xml:space="preserve"> as regards the issues raised by the defendant</w:t>
      </w:r>
      <w:r w:rsidR="00A94575" w:rsidRPr="009B6CB6">
        <w:rPr>
          <w:rFonts w:ascii="Arial" w:hAnsi="Arial" w:cs="Arial"/>
        </w:rPr>
        <w:t>.</w:t>
      </w:r>
    </w:p>
    <w:p w14:paraId="5D643472" w14:textId="77777777" w:rsidR="00201BDF" w:rsidRPr="00A703A4" w:rsidRDefault="00201BDF" w:rsidP="00A703A4">
      <w:pPr>
        <w:widowControl w:val="0"/>
        <w:spacing w:line="360" w:lineRule="auto"/>
        <w:contextualSpacing/>
        <w:jc w:val="both"/>
        <w:rPr>
          <w:rFonts w:ascii="Arial" w:hAnsi="Arial" w:cs="Arial"/>
          <w:lang w:val="en-GB"/>
        </w:rPr>
      </w:pPr>
    </w:p>
    <w:p w14:paraId="3A1919DF" w14:textId="3E625503" w:rsidR="00201BDF" w:rsidRPr="00A703A4" w:rsidRDefault="00201BDF" w:rsidP="00A703A4">
      <w:pPr>
        <w:widowControl w:val="0"/>
        <w:spacing w:line="360" w:lineRule="auto"/>
        <w:contextualSpacing/>
        <w:jc w:val="both"/>
        <w:rPr>
          <w:rFonts w:ascii="Arial" w:hAnsi="Arial" w:cs="Arial"/>
          <w:b/>
          <w:bCs/>
          <w:u w:val="single"/>
          <w:lang w:val="en-GB"/>
        </w:rPr>
      </w:pPr>
      <w:r w:rsidRPr="00A703A4">
        <w:rPr>
          <w:rFonts w:ascii="Arial" w:hAnsi="Arial" w:cs="Arial"/>
          <w:b/>
          <w:bCs/>
          <w:u w:val="single"/>
          <w:lang w:val="en-GB"/>
        </w:rPr>
        <w:t>Are there conflicting judgments that require the intervention of a court of appeal?</w:t>
      </w:r>
    </w:p>
    <w:p w14:paraId="5DEEA6B1" w14:textId="77777777" w:rsidR="00201BDF" w:rsidRPr="00A703A4" w:rsidRDefault="00201BDF" w:rsidP="00A703A4">
      <w:pPr>
        <w:pStyle w:val="ListParagraph"/>
        <w:widowControl w:val="0"/>
        <w:spacing w:line="360" w:lineRule="auto"/>
        <w:jc w:val="both"/>
        <w:rPr>
          <w:rFonts w:ascii="Arial" w:hAnsi="Arial" w:cs="Arial"/>
          <w:b/>
          <w:bCs/>
          <w:u w:val="single"/>
          <w:lang w:val="en-GB"/>
        </w:rPr>
      </w:pPr>
    </w:p>
    <w:p w14:paraId="7E4491B5" w14:textId="472AE384" w:rsidR="00201BDF" w:rsidRPr="009B6CB6" w:rsidRDefault="009B6CB6" w:rsidP="009B6CB6">
      <w:pPr>
        <w:widowControl w:val="0"/>
        <w:tabs>
          <w:tab w:val="left" w:pos="720"/>
        </w:tabs>
        <w:spacing w:line="360" w:lineRule="auto"/>
        <w:ind w:left="720" w:hanging="720"/>
        <w:jc w:val="both"/>
        <w:rPr>
          <w:rFonts w:ascii="Arial" w:hAnsi="Arial" w:cs="Arial"/>
          <w:lang w:val="en-GB"/>
        </w:rPr>
      </w:pPr>
      <w:r w:rsidRPr="00A703A4">
        <w:rPr>
          <w:rFonts w:ascii="Arial" w:hAnsi="Arial" w:cs="Arial"/>
          <w:lang w:val="en-GB"/>
        </w:rPr>
        <w:t>23.</w:t>
      </w:r>
      <w:r w:rsidRPr="00A703A4">
        <w:rPr>
          <w:rFonts w:ascii="Arial" w:hAnsi="Arial" w:cs="Arial"/>
          <w:lang w:val="en-GB"/>
        </w:rPr>
        <w:tab/>
      </w:r>
      <w:r w:rsidR="00201BDF" w:rsidRPr="009B6CB6">
        <w:rPr>
          <w:rFonts w:ascii="Arial" w:hAnsi="Arial" w:cs="Arial"/>
          <w:lang w:val="en-GB"/>
        </w:rPr>
        <w:t xml:space="preserve">In this context </w:t>
      </w:r>
      <w:r w:rsidR="00803873" w:rsidRPr="009B6CB6">
        <w:rPr>
          <w:rFonts w:ascii="Arial" w:hAnsi="Arial" w:cs="Arial"/>
          <w:lang w:val="en-GB"/>
        </w:rPr>
        <w:t xml:space="preserve">too </w:t>
      </w:r>
      <w:r w:rsidR="00201BDF" w:rsidRPr="009B6CB6">
        <w:rPr>
          <w:rFonts w:ascii="Arial" w:hAnsi="Arial" w:cs="Arial"/>
          <w:lang w:val="en-GB"/>
        </w:rPr>
        <w:t xml:space="preserve">I </w:t>
      </w:r>
      <w:r w:rsidR="00DE3D4C" w:rsidRPr="009B6CB6">
        <w:rPr>
          <w:rFonts w:ascii="Arial" w:hAnsi="Arial" w:cs="Arial"/>
          <w:lang w:val="en-GB"/>
        </w:rPr>
        <w:t>am</w:t>
      </w:r>
      <w:r w:rsidR="00201BDF" w:rsidRPr="009B6CB6">
        <w:rPr>
          <w:rFonts w:ascii="Arial" w:hAnsi="Arial" w:cs="Arial"/>
          <w:lang w:val="en-GB"/>
        </w:rPr>
        <w:t xml:space="preserve"> unable to agree with the defendant that the issue of interpretation </w:t>
      </w:r>
      <w:r w:rsidR="00A703A4" w:rsidRPr="009B6CB6">
        <w:rPr>
          <w:rFonts w:ascii="Arial" w:hAnsi="Arial" w:cs="Arial"/>
          <w:lang w:val="en-GB"/>
        </w:rPr>
        <w:t>must</w:t>
      </w:r>
      <w:r w:rsidR="00201BDF" w:rsidRPr="009B6CB6">
        <w:rPr>
          <w:rFonts w:ascii="Arial" w:hAnsi="Arial" w:cs="Arial"/>
          <w:lang w:val="en-GB"/>
        </w:rPr>
        <w:t xml:space="preserve"> be (or c</w:t>
      </w:r>
      <w:r w:rsidR="00A703A4" w:rsidRPr="009B6CB6">
        <w:rPr>
          <w:rFonts w:ascii="Arial" w:hAnsi="Arial" w:cs="Arial"/>
          <w:lang w:val="en-GB"/>
        </w:rPr>
        <w:t>an</w:t>
      </w:r>
      <w:r w:rsidR="00201BDF" w:rsidRPr="009B6CB6">
        <w:rPr>
          <w:rFonts w:ascii="Arial" w:hAnsi="Arial" w:cs="Arial"/>
          <w:lang w:val="en-GB"/>
        </w:rPr>
        <w:t xml:space="preserve"> be) divorced from the context in which </w:t>
      </w:r>
      <w:r w:rsidR="00DE3D4C" w:rsidRPr="009B6CB6">
        <w:rPr>
          <w:rFonts w:ascii="Arial" w:hAnsi="Arial" w:cs="Arial"/>
          <w:lang w:val="en-GB"/>
        </w:rPr>
        <w:t>such</w:t>
      </w:r>
      <w:r w:rsidR="00201BDF" w:rsidRPr="009B6CB6">
        <w:rPr>
          <w:rFonts w:ascii="Arial" w:hAnsi="Arial" w:cs="Arial"/>
          <w:lang w:val="en-GB"/>
        </w:rPr>
        <w:t xml:space="preserve"> </w:t>
      </w:r>
      <w:r w:rsidR="00DE3D4C" w:rsidRPr="009B6CB6">
        <w:rPr>
          <w:rFonts w:ascii="Arial" w:hAnsi="Arial" w:cs="Arial"/>
          <w:lang w:val="en-GB"/>
        </w:rPr>
        <w:t>issue</w:t>
      </w:r>
      <w:r w:rsidR="00201BDF" w:rsidRPr="009B6CB6">
        <w:rPr>
          <w:rFonts w:ascii="Arial" w:hAnsi="Arial" w:cs="Arial"/>
          <w:lang w:val="en-GB"/>
        </w:rPr>
        <w:t xml:space="preserve"> arose.</w:t>
      </w:r>
    </w:p>
    <w:p w14:paraId="3DC8E73B" w14:textId="77777777" w:rsidR="003339EE" w:rsidRPr="00A703A4" w:rsidRDefault="003339EE" w:rsidP="00A703A4">
      <w:pPr>
        <w:pStyle w:val="ListParagraph"/>
        <w:widowControl w:val="0"/>
        <w:spacing w:line="360" w:lineRule="auto"/>
        <w:jc w:val="both"/>
        <w:rPr>
          <w:rFonts w:ascii="Arial" w:hAnsi="Arial" w:cs="Arial"/>
          <w:lang w:val="en-GB"/>
        </w:rPr>
      </w:pPr>
    </w:p>
    <w:p w14:paraId="5BC4200D" w14:textId="3490AC33" w:rsidR="003339EE" w:rsidRPr="009B6CB6" w:rsidRDefault="009B6CB6" w:rsidP="009B6CB6">
      <w:pPr>
        <w:widowControl w:val="0"/>
        <w:tabs>
          <w:tab w:val="left" w:pos="720"/>
        </w:tabs>
        <w:spacing w:line="360" w:lineRule="auto"/>
        <w:ind w:left="720" w:hanging="720"/>
        <w:jc w:val="both"/>
        <w:rPr>
          <w:rFonts w:ascii="Arial" w:hAnsi="Arial" w:cs="Arial"/>
          <w:lang w:val="en-GB"/>
        </w:rPr>
      </w:pPr>
      <w:r w:rsidRPr="00A703A4">
        <w:rPr>
          <w:rFonts w:ascii="Arial" w:hAnsi="Arial" w:cs="Arial"/>
          <w:lang w:val="en-GB"/>
        </w:rPr>
        <w:t>24.</w:t>
      </w:r>
      <w:r w:rsidRPr="00A703A4">
        <w:rPr>
          <w:rFonts w:ascii="Arial" w:hAnsi="Arial" w:cs="Arial"/>
          <w:lang w:val="en-GB"/>
        </w:rPr>
        <w:tab/>
      </w:r>
      <w:r w:rsidR="003339EE" w:rsidRPr="009B6CB6">
        <w:rPr>
          <w:rFonts w:ascii="Arial" w:hAnsi="Arial" w:cs="Arial"/>
          <w:lang w:val="en-GB"/>
        </w:rPr>
        <w:t xml:space="preserve">The defendant argues that there is a conflict between the judgments in </w:t>
      </w:r>
      <w:r w:rsidR="003339EE" w:rsidRPr="009B6CB6">
        <w:rPr>
          <w:rFonts w:ascii="Arial" w:hAnsi="Arial" w:cs="Arial"/>
          <w:i/>
          <w:iCs/>
          <w:lang w:val="en-GB"/>
        </w:rPr>
        <w:t xml:space="preserve">Arum </w:t>
      </w:r>
      <w:r w:rsidR="003339EE" w:rsidRPr="009B6CB6">
        <w:rPr>
          <w:rFonts w:ascii="Arial" w:hAnsi="Arial" w:cs="Arial"/>
          <w:i/>
          <w:iCs/>
          <w:lang w:val="en-GB"/>
        </w:rPr>
        <w:lastRenderedPageBreak/>
        <w:t>Transport</w:t>
      </w:r>
      <w:r w:rsidR="003339EE" w:rsidRPr="009B6CB6">
        <w:rPr>
          <w:rFonts w:ascii="Arial" w:hAnsi="Arial" w:cs="Arial"/>
          <w:lang w:val="en-GB"/>
        </w:rPr>
        <w:t xml:space="preserve">, </w:t>
      </w:r>
      <w:r w:rsidR="003339EE" w:rsidRPr="009B6CB6">
        <w:rPr>
          <w:rFonts w:ascii="Arial" w:hAnsi="Arial" w:cs="Arial"/>
          <w:i/>
          <w:iCs/>
          <w:lang w:val="en-GB"/>
        </w:rPr>
        <w:t>Quattro Citrus (Pty) Ltd v F &amp; E Distributors (Pty) Ltd t/a Cape Crops</w:t>
      </w:r>
      <w:r w:rsidR="003339EE" w:rsidRPr="009B6CB6">
        <w:rPr>
          <w:rFonts w:ascii="Arial" w:hAnsi="Arial" w:cs="Arial"/>
          <w:lang w:val="en-GB"/>
        </w:rPr>
        <w:t>,</w:t>
      </w:r>
      <w:r w:rsidR="003339EE" w:rsidRPr="00A703A4">
        <w:rPr>
          <w:rStyle w:val="FootnoteReference"/>
          <w:rFonts w:ascii="Arial" w:hAnsi="Arial" w:cs="Arial"/>
          <w:lang w:val="en-GB"/>
        </w:rPr>
        <w:footnoteReference w:id="14"/>
      </w:r>
      <w:r w:rsidR="003339EE" w:rsidRPr="009B6CB6">
        <w:rPr>
          <w:rFonts w:ascii="Arial" w:hAnsi="Arial" w:cs="Arial"/>
          <w:lang w:val="en-GB"/>
        </w:rPr>
        <w:t xml:space="preserve"> and this Court’s main judgment.  This conflict needs to be resolved </w:t>
      </w:r>
      <w:r w:rsidR="00A703A4" w:rsidRPr="009B6CB6">
        <w:rPr>
          <w:rFonts w:ascii="Arial" w:hAnsi="Arial" w:cs="Arial"/>
          <w:lang w:val="en-GB"/>
        </w:rPr>
        <w:t xml:space="preserve">on appeal </w:t>
      </w:r>
      <w:r w:rsidR="003339EE" w:rsidRPr="009B6CB6">
        <w:rPr>
          <w:rFonts w:ascii="Arial" w:hAnsi="Arial" w:cs="Arial"/>
          <w:lang w:val="en-GB"/>
        </w:rPr>
        <w:t>as it involves a question of law that will impact on the practice and procedure underlying all actions in the High Court.</w:t>
      </w:r>
    </w:p>
    <w:p w14:paraId="445F44AF" w14:textId="77777777" w:rsidR="003339EE" w:rsidRPr="00A703A4" w:rsidRDefault="003339EE" w:rsidP="00A703A4">
      <w:pPr>
        <w:pStyle w:val="ListParagraph"/>
        <w:widowControl w:val="0"/>
        <w:tabs>
          <w:tab w:val="left" w:pos="687"/>
        </w:tabs>
        <w:autoSpaceDE w:val="0"/>
        <w:autoSpaceDN w:val="0"/>
        <w:spacing w:line="360" w:lineRule="auto"/>
        <w:ind w:right="116"/>
        <w:contextualSpacing w:val="0"/>
        <w:jc w:val="both"/>
        <w:rPr>
          <w:rFonts w:ascii="Arial" w:hAnsi="Arial" w:cs="Arial"/>
        </w:rPr>
      </w:pPr>
    </w:p>
    <w:p w14:paraId="06AC2B80" w14:textId="4A961C7E" w:rsidR="003339EE" w:rsidRPr="009B6CB6" w:rsidRDefault="009B6CB6" w:rsidP="009B6CB6">
      <w:pPr>
        <w:widowControl w:val="0"/>
        <w:tabs>
          <w:tab w:val="left" w:pos="687"/>
          <w:tab w:val="left" w:pos="720"/>
        </w:tabs>
        <w:autoSpaceDE w:val="0"/>
        <w:autoSpaceDN w:val="0"/>
        <w:spacing w:line="360" w:lineRule="auto"/>
        <w:ind w:left="720" w:right="116" w:hanging="720"/>
        <w:jc w:val="both"/>
        <w:rPr>
          <w:rFonts w:ascii="Arial" w:hAnsi="Arial" w:cs="Arial"/>
          <w:iCs/>
        </w:rPr>
      </w:pPr>
      <w:r w:rsidRPr="00A703A4">
        <w:rPr>
          <w:rFonts w:ascii="Arial" w:hAnsi="Arial" w:cs="Arial"/>
        </w:rPr>
        <w:t>25.</w:t>
      </w:r>
      <w:r w:rsidRPr="00A703A4">
        <w:rPr>
          <w:rFonts w:ascii="Arial" w:hAnsi="Arial" w:cs="Arial"/>
        </w:rPr>
        <w:tab/>
      </w:r>
      <w:r w:rsidR="003339EE" w:rsidRPr="009B6CB6">
        <w:rPr>
          <w:rFonts w:ascii="Arial" w:hAnsi="Arial" w:cs="Arial"/>
        </w:rPr>
        <w:t>As the plaintiff point</w:t>
      </w:r>
      <w:r w:rsidR="008D2B64" w:rsidRPr="009B6CB6">
        <w:rPr>
          <w:rFonts w:ascii="Arial" w:hAnsi="Arial" w:cs="Arial"/>
        </w:rPr>
        <w:t>s</w:t>
      </w:r>
      <w:r w:rsidR="003339EE" w:rsidRPr="009B6CB6">
        <w:rPr>
          <w:rFonts w:ascii="Arial" w:hAnsi="Arial" w:cs="Arial"/>
        </w:rPr>
        <w:t xml:space="preserve"> out, </w:t>
      </w:r>
      <w:r w:rsidR="00A703A4" w:rsidRPr="009B6CB6">
        <w:rPr>
          <w:rFonts w:ascii="Arial" w:hAnsi="Arial" w:cs="Arial"/>
        </w:rPr>
        <w:t xml:space="preserve">however, </w:t>
      </w:r>
      <w:r w:rsidR="003339EE" w:rsidRPr="009B6CB6">
        <w:rPr>
          <w:rFonts w:ascii="Arial" w:hAnsi="Arial" w:cs="Arial"/>
        </w:rPr>
        <w:t>the</w:t>
      </w:r>
      <w:r w:rsidR="003339EE" w:rsidRPr="009B6CB6">
        <w:rPr>
          <w:rFonts w:ascii="Arial" w:hAnsi="Arial" w:cs="Arial"/>
          <w:spacing w:val="-12"/>
        </w:rPr>
        <w:t xml:space="preserve"> </w:t>
      </w:r>
      <w:r w:rsidR="003339EE" w:rsidRPr="009B6CB6">
        <w:rPr>
          <w:rFonts w:ascii="Arial" w:hAnsi="Arial" w:cs="Arial"/>
        </w:rPr>
        <w:t>mere</w:t>
      </w:r>
      <w:r w:rsidR="003339EE" w:rsidRPr="009B6CB6">
        <w:rPr>
          <w:rFonts w:ascii="Arial" w:hAnsi="Arial" w:cs="Arial"/>
          <w:spacing w:val="-10"/>
        </w:rPr>
        <w:t xml:space="preserve"> </w:t>
      </w:r>
      <w:r w:rsidR="003339EE" w:rsidRPr="009B6CB6">
        <w:rPr>
          <w:rFonts w:ascii="Arial" w:hAnsi="Arial" w:cs="Arial"/>
        </w:rPr>
        <w:t>existence</w:t>
      </w:r>
      <w:r w:rsidR="003339EE" w:rsidRPr="009B6CB6">
        <w:rPr>
          <w:rFonts w:ascii="Arial" w:hAnsi="Arial" w:cs="Arial"/>
          <w:spacing w:val="-12"/>
        </w:rPr>
        <w:t xml:space="preserve"> </w:t>
      </w:r>
      <w:r w:rsidR="003339EE" w:rsidRPr="009B6CB6">
        <w:rPr>
          <w:rFonts w:ascii="Arial" w:hAnsi="Arial" w:cs="Arial"/>
        </w:rPr>
        <w:t>of</w:t>
      </w:r>
      <w:r w:rsidR="003339EE" w:rsidRPr="009B6CB6">
        <w:rPr>
          <w:rFonts w:ascii="Arial" w:hAnsi="Arial" w:cs="Arial"/>
          <w:spacing w:val="-9"/>
        </w:rPr>
        <w:t xml:space="preserve"> </w:t>
      </w:r>
      <w:r w:rsidR="003339EE" w:rsidRPr="009B6CB6">
        <w:rPr>
          <w:rFonts w:ascii="Arial" w:hAnsi="Arial" w:cs="Arial"/>
        </w:rPr>
        <w:t>conflicting</w:t>
      </w:r>
      <w:r w:rsidR="003339EE" w:rsidRPr="009B6CB6">
        <w:rPr>
          <w:rFonts w:ascii="Arial" w:hAnsi="Arial" w:cs="Arial"/>
          <w:spacing w:val="-11"/>
        </w:rPr>
        <w:t xml:space="preserve"> </w:t>
      </w:r>
      <w:r w:rsidR="003339EE" w:rsidRPr="009B6CB6">
        <w:rPr>
          <w:rFonts w:ascii="Arial" w:hAnsi="Arial" w:cs="Arial"/>
        </w:rPr>
        <w:t>judgments</w:t>
      </w:r>
      <w:r w:rsidR="003339EE" w:rsidRPr="009B6CB6">
        <w:rPr>
          <w:rFonts w:ascii="Arial" w:hAnsi="Arial" w:cs="Arial"/>
          <w:spacing w:val="-10"/>
        </w:rPr>
        <w:t xml:space="preserve"> </w:t>
      </w:r>
      <w:r w:rsidR="003339EE" w:rsidRPr="009B6CB6">
        <w:rPr>
          <w:rFonts w:ascii="Arial" w:hAnsi="Arial" w:cs="Arial"/>
        </w:rPr>
        <w:t>is</w:t>
      </w:r>
      <w:r w:rsidR="003339EE" w:rsidRPr="009B6CB6">
        <w:rPr>
          <w:rFonts w:ascii="Arial" w:hAnsi="Arial" w:cs="Arial"/>
          <w:spacing w:val="-11"/>
        </w:rPr>
        <w:t xml:space="preserve"> </w:t>
      </w:r>
      <w:r w:rsidR="003339EE" w:rsidRPr="009B6CB6">
        <w:rPr>
          <w:rFonts w:ascii="Arial" w:hAnsi="Arial" w:cs="Arial"/>
        </w:rPr>
        <w:t>not</w:t>
      </w:r>
      <w:r w:rsidR="003339EE" w:rsidRPr="009B6CB6">
        <w:rPr>
          <w:rFonts w:ascii="Arial" w:hAnsi="Arial" w:cs="Arial"/>
          <w:spacing w:val="-11"/>
        </w:rPr>
        <w:t xml:space="preserve"> </w:t>
      </w:r>
      <w:r w:rsidR="003339EE" w:rsidRPr="009B6CB6">
        <w:rPr>
          <w:rFonts w:ascii="Arial" w:hAnsi="Arial" w:cs="Arial"/>
        </w:rPr>
        <w:t>sufficient</w:t>
      </w:r>
      <w:r w:rsidR="003339EE" w:rsidRPr="009B6CB6">
        <w:rPr>
          <w:rFonts w:ascii="Arial" w:hAnsi="Arial" w:cs="Arial"/>
          <w:spacing w:val="-11"/>
        </w:rPr>
        <w:t xml:space="preserve"> </w:t>
      </w:r>
      <w:r w:rsidR="003339EE" w:rsidRPr="009B6CB6">
        <w:rPr>
          <w:rFonts w:ascii="Arial" w:hAnsi="Arial" w:cs="Arial"/>
        </w:rPr>
        <w:t>for</w:t>
      </w:r>
      <w:r w:rsidR="003339EE" w:rsidRPr="009B6CB6">
        <w:rPr>
          <w:rFonts w:ascii="Arial" w:hAnsi="Arial" w:cs="Arial"/>
          <w:spacing w:val="-13"/>
        </w:rPr>
        <w:t xml:space="preserve"> </w:t>
      </w:r>
      <w:r w:rsidR="003339EE" w:rsidRPr="009B6CB6">
        <w:rPr>
          <w:rFonts w:ascii="Arial" w:hAnsi="Arial" w:cs="Arial"/>
        </w:rPr>
        <w:t xml:space="preserve">leave to appeal to be granted. Where, as here, the conflicting judgments are distinguishable </w:t>
      </w:r>
      <w:r w:rsidR="00A703A4" w:rsidRPr="009B6CB6">
        <w:rPr>
          <w:rFonts w:ascii="Arial" w:hAnsi="Arial" w:cs="Arial"/>
        </w:rPr>
        <w:t xml:space="preserve">from </w:t>
      </w:r>
      <w:r w:rsidR="003339EE" w:rsidRPr="009B6CB6">
        <w:rPr>
          <w:rFonts w:ascii="Arial" w:hAnsi="Arial" w:cs="Arial"/>
        </w:rPr>
        <w:t>or</w:t>
      </w:r>
      <w:r w:rsidR="003339EE" w:rsidRPr="009B6CB6">
        <w:rPr>
          <w:rFonts w:ascii="Arial" w:hAnsi="Arial" w:cs="Arial"/>
          <w:spacing w:val="-17"/>
        </w:rPr>
        <w:t xml:space="preserve"> </w:t>
      </w:r>
      <w:r w:rsidR="003339EE" w:rsidRPr="009B6CB6">
        <w:rPr>
          <w:rFonts w:ascii="Arial" w:hAnsi="Arial" w:cs="Arial"/>
        </w:rPr>
        <w:t>in</w:t>
      </w:r>
      <w:r w:rsidR="003339EE" w:rsidRPr="009B6CB6">
        <w:rPr>
          <w:rFonts w:ascii="Arial" w:hAnsi="Arial" w:cs="Arial"/>
          <w:spacing w:val="-15"/>
        </w:rPr>
        <w:t xml:space="preserve"> </w:t>
      </w:r>
      <w:r w:rsidR="003339EE" w:rsidRPr="009B6CB6">
        <w:rPr>
          <w:rFonts w:ascii="Arial" w:hAnsi="Arial" w:cs="Arial"/>
        </w:rPr>
        <w:t>conflict</w:t>
      </w:r>
      <w:r w:rsidR="003339EE" w:rsidRPr="009B6CB6">
        <w:rPr>
          <w:rFonts w:ascii="Arial" w:hAnsi="Arial" w:cs="Arial"/>
          <w:spacing w:val="-15"/>
        </w:rPr>
        <w:t xml:space="preserve"> </w:t>
      </w:r>
      <w:r w:rsidR="003339EE" w:rsidRPr="009B6CB6">
        <w:rPr>
          <w:rFonts w:ascii="Arial" w:hAnsi="Arial" w:cs="Arial"/>
        </w:rPr>
        <w:t>with</w:t>
      </w:r>
      <w:r w:rsidR="003339EE" w:rsidRPr="009B6CB6">
        <w:rPr>
          <w:rFonts w:ascii="Arial" w:hAnsi="Arial" w:cs="Arial"/>
          <w:spacing w:val="-15"/>
        </w:rPr>
        <w:t xml:space="preserve"> </w:t>
      </w:r>
      <w:r w:rsidR="003339EE" w:rsidRPr="009B6CB6">
        <w:rPr>
          <w:rFonts w:ascii="Arial" w:hAnsi="Arial" w:cs="Arial"/>
        </w:rPr>
        <w:t>authority</w:t>
      </w:r>
      <w:r w:rsidR="003339EE" w:rsidRPr="009B6CB6">
        <w:rPr>
          <w:rFonts w:ascii="Arial" w:hAnsi="Arial" w:cs="Arial"/>
          <w:spacing w:val="-16"/>
        </w:rPr>
        <w:t xml:space="preserve"> </w:t>
      </w:r>
      <w:r w:rsidR="003339EE" w:rsidRPr="009B6CB6">
        <w:rPr>
          <w:rFonts w:ascii="Arial" w:hAnsi="Arial" w:cs="Arial"/>
        </w:rPr>
        <w:t>binding</w:t>
      </w:r>
      <w:r w:rsidR="003339EE" w:rsidRPr="009B6CB6">
        <w:rPr>
          <w:rFonts w:ascii="Arial" w:hAnsi="Arial" w:cs="Arial"/>
          <w:spacing w:val="-16"/>
        </w:rPr>
        <w:t xml:space="preserve"> on </w:t>
      </w:r>
      <w:r w:rsidR="003339EE" w:rsidRPr="009B6CB6">
        <w:rPr>
          <w:rFonts w:ascii="Arial" w:hAnsi="Arial" w:cs="Arial"/>
        </w:rPr>
        <w:t>this</w:t>
      </w:r>
      <w:r w:rsidR="003339EE" w:rsidRPr="009B6CB6">
        <w:rPr>
          <w:rFonts w:ascii="Arial" w:hAnsi="Arial" w:cs="Arial"/>
          <w:spacing w:val="-16"/>
        </w:rPr>
        <w:t xml:space="preserve"> </w:t>
      </w:r>
      <w:r w:rsidR="003339EE" w:rsidRPr="009B6CB6">
        <w:rPr>
          <w:rFonts w:ascii="Arial" w:hAnsi="Arial" w:cs="Arial"/>
        </w:rPr>
        <w:t>Court, leave</w:t>
      </w:r>
      <w:r w:rsidR="003339EE" w:rsidRPr="009B6CB6">
        <w:rPr>
          <w:rFonts w:ascii="Arial" w:hAnsi="Arial" w:cs="Arial"/>
          <w:spacing w:val="-17"/>
        </w:rPr>
        <w:t xml:space="preserve"> </w:t>
      </w:r>
      <w:r w:rsidR="003339EE" w:rsidRPr="009B6CB6">
        <w:rPr>
          <w:rFonts w:ascii="Arial" w:hAnsi="Arial" w:cs="Arial"/>
        </w:rPr>
        <w:t>to</w:t>
      </w:r>
      <w:r w:rsidR="003339EE" w:rsidRPr="009B6CB6">
        <w:rPr>
          <w:rFonts w:ascii="Arial" w:hAnsi="Arial" w:cs="Arial"/>
          <w:spacing w:val="-15"/>
        </w:rPr>
        <w:t xml:space="preserve"> </w:t>
      </w:r>
      <w:r w:rsidR="003339EE" w:rsidRPr="009B6CB6">
        <w:rPr>
          <w:rFonts w:ascii="Arial" w:hAnsi="Arial" w:cs="Arial"/>
        </w:rPr>
        <w:t>appeal</w:t>
      </w:r>
      <w:r w:rsidR="003339EE" w:rsidRPr="009B6CB6">
        <w:rPr>
          <w:rFonts w:ascii="Arial" w:hAnsi="Arial" w:cs="Arial"/>
          <w:spacing w:val="-15"/>
        </w:rPr>
        <w:t xml:space="preserve"> </w:t>
      </w:r>
      <w:r w:rsidR="003339EE" w:rsidRPr="009B6CB6">
        <w:rPr>
          <w:rFonts w:ascii="Arial" w:hAnsi="Arial" w:cs="Arial"/>
        </w:rPr>
        <w:t>should</w:t>
      </w:r>
      <w:r w:rsidR="003339EE" w:rsidRPr="009B6CB6">
        <w:rPr>
          <w:rFonts w:ascii="Arial" w:hAnsi="Arial" w:cs="Arial"/>
          <w:spacing w:val="-15"/>
        </w:rPr>
        <w:t xml:space="preserve"> </w:t>
      </w:r>
      <w:r w:rsidR="003339EE" w:rsidRPr="009B6CB6">
        <w:rPr>
          <w:rFonts w:ascii="Arial" w:hAnsi="Arial" w:cs="Arial"/>
        </w:rPr>
        <w:t>not</w:t>
      </w:r>
      <w:r w:rsidR="003339EE" w:rsidRPr="009B6CB6">
        <w:rPr>
          <w:rFonts w:ascii="Arial" w:hAnsi="Arial" w:cs="Arial"/>
          <w:spacing w:val="-15"/>
        </w:rPr>
        <w:t xml:space="preserve"> </w:t>
      </w:r>
      <w:r w:rsidR="003339EE" w:rsidRPr="009B6CB6">
        <w:rPr>
          <w:rFonts w:ascii="Arial" w:hAnsi="Arial" w:cs="Arial"/>
        </w:rPr>
        <w:t>be</w:t>
      </w:r>
      <w:r w:rsidR="003339EE" w:rsidRPr="009B6CB6">
        <w:rPr>
          <w:rFonts w:ascii="Arial" w:hAnsi="Arial" w:cs="Arial"/>
          <w:spacing w:val="-17"/>
        </w:rPr>
        <w:t xml:space="preserve"> </w:t>
      </w:r>
      <w:r w:rsidR="003339EE" w:rsidRPr="009B6CB6">
        <w:rPr>
          <w:rFonts w:ascii="Arial" w:hAnsi="Arial" w:cs="Arial"/>
        </w:rPr>
        <w:t>granted unless some other compelling reason exists.</w:t>
      </w:r>
      <w:r w:rsidR="003339EE" w:rsidRPr="00A703A4">
        <w:rPr>
          <w:rStyle w:val="FootnoteReference"/>
          <w:rFonts w:ascii="Arial" w:hAnsi="Arial" w:cs="Arial"/>
        </w:rPr>
        <w:footnoteReference w:id="15"/>
      </w:r>
      <w:r w:rsidR="003339EE" w:rsidRPr="009B6CB6">
        <w:rPr>
          <w:rFonts w:ascii="Arial" w:hAnsi="Arial" w:cs="Arial"/>
          <w:position w:val="7"/>
        </w:rPr>
        <w:t xml:space="preserve">  </w:t>
      </w:r>
      <w:r w:rsidR="003339EE" w:rsidRPr="009B6CB6">
        <w:rPr>
          <w:rFonts w:ascii="Arial" w:hAnsi="Arial" w:cs="Arial"/>
        </w:rPr>
        <w:t>Even if an issue determined by the Court is an issue of public importance, it does not follow that leave to appeal must be granted.</w:t>
      </w:r>
      <w:r w:rsidR="008D2B64" w:rsidRPr="00A703A4">
        <w:rPr>
          <w:rStyle w:val="FootnoteReference"/>
          <w:rFonts w:ascii="Arial" w:hAnsi="Arial" w:cs="Arial"/>
        </w:rPr>
        <w:footnoteReference w:id="16"/>
      </w:r>
    </w:p>
    <w:p w14:paraId="23AD917B" w14:textId="77777777" w:rsidR="00A703A4" w:rsidRPr="00A703A4" w:rsidRDefault="00A703A4" w:rsidP="00A703A4">
      <w:pPr>
        <w:pStyle w:val="ListParagraph"/>
        <w:widowControl w:val="0"/>
        <w:tabs>
          <w:tab w:val="left" w:pos="687"/>
        </w:tabs>
        <w:autoSpaceDE w:val="0"/>
        <w:autoSpaceDN w:val="0"/>
        <w:spacing w:line="360" w:lineRule="auto"/>
        <w:ind w:right="116"/>
        <w:contextualSpacing w:val="0"/>
        <w:jc w:val="both"/>
        <w:rPr>
          <w:rFonts w:ascii="Arial" w:hAnsi="Arial" w:cs="Arial"/>
        </w:rPr>
      </w:pPr>
    </w:p>
    <w:p w14:paraId="3AF7B762" w14:textId="0988F7A3" w:rsidR="003339EE" w:rsidRPr="009B6CB6" w:rsidRDefault="009B6CB6" w:rsidP="009B6CB6">
      <w:pPr>
        <w:widowControl w:val="0"/>
        <w:tabs>
          <w:tab w:val="left" w:pos="687"/>
          <w:tab w:val="left" w:pos="720"/>
        </w:tabs>
        <w:autoSpaceDE w:val="0"/>
        <w:autoSpaceDN w:val="0"/>
        <w:spacing w:line="360" w:lineRule="auto"/>
        <w:ind w:left="720" w:right="116" w:hanging="720"/>
        <w:jc w:val="both"/>
        <w:rPr>
          <w:rFonts w:ascii="Arial" w:hAnsi="Arial" w:cs="Arial"/>
        </w:rPr>
      </w:pPr>
      <w:r w:rsidRPr="00A703A4">
        <w:rPr>
          <w:rFonts w:ascii="Arial" w:hAnsi="Arial" w:cs="Arial"/>
        </w:rPr>
        <w:t>26.</w:t>
      </w:r>
      <w:r w:rsidRPr="00A703A4">
        <w:rPr>
          <w:rFonts w:ascii="Arial" w:hAnsi="Arial" w:cs="Arial"/>
        </w:rPr>
        <w:tab/>
      </w:r>
      <w:r w:rsidR="003339EE" w:rsidRPr="009B6CB6">
        <w:rPr>
          <w:rFonts w:ascii="Arial" w:hAnsi="Arial" w:cs="Arial"/>
          <w:iCs/>
        </w:rPr>
        <w:t>I have set out in the main ju</w:t>
      </w:r>
      <w:r w:rsidR="008D2B64" w:rsidRPr="009B6CB6">
        <w:rPr>
          <w:rFonts w:ascii="Arial" w:hAnsi="Arial" w:cs="Arial"/>
          <w:iCs/>
        </w:rPr>
        <w:t>d</w:t>
      </w:r>
      <w:r w:rsidR="003339EE" w:rsidRPr="009B6CB6">
        <w:rPr>
          <w:rFonts w:ascii="Arial" w:hAnsi="Arial" w:cs="Arial"/>
          <w:iCs/>
        </w:rPr>
        <w:t>gment wh</w:t>
      </w:r>
      <w:r w:rsidR="00957D4C" w:rsidRPr="009B6CB6">
        <w:rPr>
          <w:rFonts w:ascii="Arial" w:hAnsi="Arial" w:cs="Arial"/>
          <w:iCs/>
        </w:rPr>
        <w:t>y</w:t>
      </w:r>
      <w:r w:rsidR="003339EE" w:rsidRPr="009B6CB6">
        <w:rPr>
          <w:rFonts w:ascii="Arial" w:hAnsi="Arial" w:cs="Arial"/>
          <w:iCs/>
        </w:rPr>
        <w:t xml:space="preserve"> </w:t>
      </w:r>
      <w:r w:rsidR="003339EE" w:rsidRPr="009B6CB6">
        <w:rPr>
          <w:rFonts w:ascii="Arial" w:hAnsi="Arial" w:cs="Arial"/>
          <w:i/>
        </w:rPr>
        <w:t>Arum</w:t>
      </w:r>
      <w:r w:rsidR="003339EE" w:rsidRPr="009B6CB6">
        <w:rPr>
          <w:rFonts w:ascii="Arial" w:hAnsi="Arial" w:cs="Arial"/>
          <w:i/>
          <w:spacing w:val="-9"/>
        </w:rPr>
        <w:t xml:space="preserve"> </w:t>
      </w:r>
      <w:r w:rsidR="003339EE" w:rsidRPr="009B6CB6">
        <w:rPr>
          <w:rFonts w:ascii="Arial" w:hAnsi="Arial" w:cs="Arial"/>
          <w:i/>
        </w:rPr>
        <w:t>Transport</w:t>
      </w:r>
      <w:r w:rsidR="003339EE" w:rsidRPr="009B6CB6">
        <w:rPr>
          <w:rFonts w:ascii="Arial" w:hAnsi="Arial" w:cs="Arial"/>
          <w:i/>
          <w:spacing w:val="-7"/>
        </w:rPr>
        <w:t xml:space="preserve"> </w:t>
      </w:r>
      <w:r w:rsidR="003339EE" w:rsidRPr="009B6CB6">
        <w:rPr>
          <w:rFonts w:ascii="Arial" w:hAnsi="Arial" w:cs="Arial"/>
        </w:rPr>
        <w:t>is</w:t>
      </w:r>
      <w:r w:rsidR="008D2B64" w:rsidRPr="009B6CB6">
        <w:rPr>
          <w:rFonts w:ascii="Arial" w:hAnsi="Arial" w:cs="Arial"/>
        </w:rPr>
        <w:t xml:space="preserve"> </w:t>
      </w:r>
      <w:r w:rsidR="003339EE" w:rsidRPr="009B6CB6">
        <w:rPr>
          <w:rFonts w:ascii="Arial" w:hAnsi="Arial" w:cs="Arial"/>
        </w:rPr>
        <w:t>distinguishable</w:t>
      </w:r>
      <w:r w:rsidR="003339EE" w:rsidRPr="009B6CB6">
        <w:rPr>
          <w:rFonts w:ascii="Arial" w:hAnsi="Arial" w:cs="Arial"/>
          <w:spacing w:val="-9"/>
        </w:rPr>
        <w:t xml:space="preserve"> </w:t>
      </w:r>
      <w:r w:rsidR="003339EE" w:rsidRPr="009B6CB6">
        <w:rPr>
          <w:rFonts w:ascii="Arial" w:hAnsi="Arial" w:cs="Arial"/>
        </w:rPr>
        <w:t>from</w:t>
      </w:r>
      <w:r w:rsidR="003339EE" w:rsidRPr="009B6CB6">
        <w:rPr>
          <w:rFonts w:ascii="Arial" w:hAnsi="Arial" w:cs="Arial"/>
          <w:spacing w:val="-8"/>
        </w:rPr>
        <w:t xml:space="preserve"> </w:t>
      </w:r>
      <w:r w:rsidR="003339EE" w:rsidRPr="009B6CB6">
        <w:rPr>
          <w:rFonts w:ascii="Arial" w:hAnsi="Arial" w:cs="Arial"/>
          <w:i/>
        </w:rPr>
        <w:t>Quattro</w:t>
      </w:r>
      <w:r w:rsidR="003339EE" w:rsidRPr="009B6CB6">
        <w:rPr>
          <w:rFonts w:ascii="Arial" w:hAnsi="Arial" w:cs="Arial"/>
          <w:i/>
          <w:spacing w:val="-9"/>
        </w:rPr>
        <w:t xml:space="preserve"> </w:t>
      </w:r>
      <w:r w:rsidR="003339EE" w:rsidRPr="009B6CB6">
        <w:rPr>
          <w:rFonts w:ascii="Arial" w:hAnsi="Arial" w:cs="Arial"/>
          <w:i/>
        </w:rPr>
        <w:t>Citrus</w:t>
      </w:r>
      <w:r w:rsidR="003339EE" w:rsidRPr="009B6CB6">
        <w:rPr>
          <w:rFonts w:ascii="Arial" w:hAnsi="Arial" w:cs="Arial"/>
          <w:i/>
          <w:spacing w:val="-4"/>
        </w:rPr>
        <w:t xml:space="preserve"> </w:t>
      </w:r>
      <w:r w:rsidR="003339EE" w:rsidRPr="009B6CB6">
        <w:rPr>
          <w:rFonts w:ascii="Arial" w:hAnsi="Arial" w:cs="Arial"/>
        </w:rPr>
        <w:t>and</w:t>
      </w:r>
      <w:r w:rsidR="003339EE" w:rsidRPr="009B6CB6">
        <w:rPr>
          <w:rFonts w:ascii="Arial" w:hAnsi="Arial" w:cs="Arial"/>
          <w:spacing w:val="-9"/>
        </w:rPr>
        <w:t xml:space="preserve"> </w:t>
      </w:r>
      <w:r w:rsidR="003339EE" w:rsidRPr="009B6CB6">
        <w:rPr>
          <w:rFonts w:ascii="Arial" w:hAnsi="Arial" w:cs="Arial"/>
        </w:rPr>
        <w:t>from</w:t>
      </w:r>
      <w:r w:rsidR="003339EE" w:rsidRPr="009B6CB6">
        <w:rPr>
          <w:rFonts w:ascii="Arial" w:hAnsi="Arial" w:cs="Arial"/>
          <w:spacing w:val="-6"/>
        </w:rPr>
        <w:t xml:space="preserve"> </w:t>
      </w:r>
      <w:r w:rsidR="003339EE" w:rsidRPr="009B6CB6">
        <w:rPr>
          <w:rFonts w:ascii="Arial" w:hAnsi="Arial" w:cs="Arial"/>
        </w:rPr>
        <w:t>the present case.</w:t>
      </w:r>
      <w:r w:rsidR="008D2B64" w:rsidRPr="009B6CB6">
        <w:rPr>
          <w:rFonts w:ascii="Arial" w:hAnsi="Arial" w:cs="Arial"/>
        </w:rPr>
        <w:t xml:space="preserve">  </w:t>
      </w:r>
      <w:r w:rsidR="00957D4C" w:rsidRPr="009B6CB6">
        <w:rPr>
          <w:rFonts w:ascii="Arial" w:hAnsi="Arial" w:cs="Arial"/>
        </w:rPr>
        <w:t xml:space="preserve">Of note is the fact that </w:t>
      </w:r>
      <w:r w:rsidR="00957D4C" w:rsidRPr="009B6CB6">
        <w:rPr>
          <w:rFonts w:ascii="Arial" w:hAnsi="Arial" w:cs="Arial"/>
          <w:i/>
          <w:iCs/>
        </w:rPr>
        <w:t>Arum Transport</w:t>
      </w:r>
      <w:r w:rsidR="00957D4C" w:rsidRPr="009B6CB6">
        <w:rPr>
          <w:rFonts w:ascii="Arial" w:hAnsi="Arial" w:cs="Arial"/>
        </w:rPr>
        <w:t xml:space="preserve"> was not decided pursuant to an application in terms of Rule 30.  </w:t>
      </w:r>
      <w:r w:rsidR="008D2B64" w:rsidRPr="009B6CB6">
        <w:rPr>
          <w:rFonts w:ascii="Arial" w:hAnsi="Arial" w:cs="Arial"/>
        </w:rPr>
        <w:t xml:space="preserve">I have also discussed the fact that the </w:t>
      </w:r>
      <w:r w:rsidR="008C19B0" w:rsidRPr="009B6CB6">
        <w:rPr>
          <w:rFonts w:ascii="Arial" w:hAnsi="Arial" w:cs="Arial"/>
        </w:rPr>
        <w:t xml:space="preserve">Court in </w:t>
      </w:r>
      <w:r w:rsidR="008C19B0" w:rsidRPr="009B6CB6">
        <w:rPr>
          <w:rFonts w:ascii="Arial" w:hAnsi="Arial" w:cs="Arial"/>
          <w:i/>
          <w:iCs/>
        </w:rPr>
        <w:t>Arum Transport</w:t>
      </w:r>
      <w:r w:rsidR="008C19B0" w:rsidRPr="009B6CB6">
        <w:rPr>
          <w:rFonts w:ascii="Arial" w:hAnsi="Arial" w:cs="Arial"/>
        </w:rPr>
        <w:t xml:space="preserve"> relied on case law that were not </w:t>
      </w:r>
      <w:r w:rsidR="003339EE" w:rsidRPr="009B6CB6">
        <w:rPr>
          <w:rFonts w:ascii="Arial" w:hAnsi="Arial" w:cs="Arial"/>
        </w:rPr>
        <w:t>decisions of the Supreme Court of Appeal or of this Court</w:t>
      </w:r>
      <w:r w:rsidR="008C19B0" w:rsidRPr="009B6CB6">
        <w:rPr>
          <w:rFonts w:ascii="Arial" w:hAnsi="Arial" w:cs="Arial"/>
        </w:rPr>
        <w:t>.  All of those cases, except</w:t>
      </w:r>
      <w:r w:rsidR="003339EE" w:rsidRPr="009B6CB6">
        <w:rPr>
          <w:rFonts w:ascii="Arial" w:hAnsi="Arial" w:cs="Arial"/>
        </w:rPr>
        <w:t xml:space="preserve"> </w:t>
      </w:r>
      <w:r w:rsidR="00957D4C" w:rsidRPr="009B6CB6">
        <w:rPr>
          <w:rFonts w:ascii="Arial" w:hAnsi="Arial" w:cs="Arial"/>
          <w:i/>
          <w:iCs/>
        </w:rPr>
        <w:t xml:space="preserve">The Standard Bank of South Africa Ltd v </w:t>
      </w:r>
      <w:proofErr w:type="spellStart"/>
      <w:r w:rsidR="003339EE" w:rsidRPr="009B6CB6">
        <w:rPr>
          <w:rFonts w:ascii="Arial" w:hAnsi="Arial" w:cs="Arial"/>
          <w:i/>
        </w:rPr>
        <w:t>Trumpie</w:t>
      </w:r>
      <w:proofErr w:type="spellEnd"/>
      <w:r w:rsidR="003339EE" w:rsidRPr="009B6CB6">
        <w:rPr>
          <w:rFonts w:ascii="Arial" w:hAnsi="Arial" w:cs="Arial"/>
        </w:rPr>
        <w:t>,</w:t>
      </w:r>
      <w:r w:rsidR="00957D4C" w:rsidRPr="00A703A4">
        <w:rPr>
          <w:rStyle w:val="FootnoteReference"/>
          <w:rFonts w:ascii="Arial" w:hAnsi="Arial" w:cs="Arial"/>
        </w:rPr>
        <w:footnoteReference w:id="17"/>
      </w:r>
      <w:r w:rsidR="003339EE" w:rsidRPr="009B6CB6">
        <w:rPr>
          <w:rFonts w:ascii="Arial" w:hAnsi="Arial" w:cs="Arial"/>
        </w:rPr>
        <w:t xml:space="preserve"> deal with applications for summary judgment in terms of Rule 32 prior to</w:t>
      </w:r>
      <w:r w:rsidR="003339EE" w:rsidRPr="009B6CB6">
        <w:rPr>
          <w:rFonts w:ascii="Arial" w:hAnsi="Arial" w:cs="Arial"/>
          <w:spacing w:val="30"/>
        </w:rPr>
        <w:t xml:space="preserve"> </w:t>
      </w:r>
      <w:r w:rsidR="003339EE" w:rsidRPr="009B6CB6">
        <w:rPr>
          <w:rFonts w:ascii="Arial" w:hAnsi="Arial" w:cs="Arial"/>
        </w:rPr>
        <w:t>its</w:t>
      </w:r>
      <w:r w:rsidR="008C19B0" w:rsidRPr="009B6CB6">
        <w:rPr>
          <w:rFonts w:ascii="Arial" w:hAnsi="Arial" w:cs="Arial"/>
        </w:rPr>
        <w:t xml:space="preserve"> </w:t>
      </w:r>
      <w:r w:rsidR="003339EE" w:rsidRPr="009B6CB6">
        <w:rPr>
          <w:rFonts w:ascii="Arial" w:hAnsi="Arial" w:cs="Arial"/>
        </w:rPr>
        <w:t>amendment.</w:t>
      </w:r>
      <w:r w:rsidR="00F31C0C" w:rsidRPr="009B6CB6">
        <w:rPr>
          <w:rFonts w:ascii="Arial" w:hAnsi="Arial" w:cs="Arial"/>
        </w:rPr>
        <w:t xml:space="preserve"> </w:t>
      </w:r>
      <w:r w:rsidR="00957D4C" w:rsidRPr="009B6CB6">
        <w:rPr>
          <w:rFonts w:ascii="Arial" w:hAnsi="Arial" w:cs="Arial"/>
        </w:rPr>
        <w:t xml:space="preserve"> </w:t>
      </w:r>
      <w:r w:rsidR="00F31C0C" w:rsidRPr="009B6CB6">
        <w:rPr>
          <w:rFonts w:ascii="Arial" w:hAnsi="Arial" w:cs="Arial"/>
          <w:i/>
          <w:iCs/>
        </w:rPr>
        <w:t>Arum Transport</w:t>
      </w:r>
      <w:r w:rsidR="00F31C0C" w:rsidRPr="009B6CB6">
        <w:rPr>
          <w:rFonts w:ascii="Arial" w:hAnsi="Arial" w:cs="Arial"/>
        </w:rPr>
        <w:t xml:space="preserve"> is moreover in conflict with decisions of this Court</w:t>
      </w:r>
      <w:r w:rsidR="00F31C0C" w:rsidRPr="00A703A4">
        <w:rPr>
          <w:rStyle w:val="FootnoteReference"/>
          <w:rFonts w:ascii="Arial" w:hAnsi="Arial" w:cs="Arial"/>
        </w:rPr>
        <w:footnoteReference w:id="18"/>
      </w:r>
      <w:r w:rsidR="00F31C0C" w:rsidRPr="009B6CB6">
        <w:rPr>
          <w:rFonts w:ascii="Arial" w:hAnsi="Arial" w:cs="Arial"/>
        </w:rPr>
        <w:t xml:space="preserve"> that found that the taking of a further procedural step would not preclude a plaintiff from applying for summary judgment.</w:t>
      </w:r>
    </w:p>
    <w:p w14:paraId="64A3F9C7" w14:textId="77777777" w:rsidR="003339EE" w:rsidRPr="00A703A4" w:rsidRDefault="003339EE" w:rsidP="00A703A4">
      <w:pPr>
        <w:pStyle w:val="BodyText"/>
        <w:spacing w:line="360" w:lineRule="auto"/>
        <w:rPr>
          <w:rFonts w:cs="Arial"/>
          <w:sz w:val="24"/>
          <w:szCs w:val="24"/>
        </w:rPr>
      </w:pPr>
    </w:p>
    <w:p w14:paraId="01B2299A" w14:textId="146A0AC1" w:rsidR="003339EE" w:rsidRPr="009B6CB6" w:rsidRDefault="009B6CB6" w:rsidP="009B6CB6">
      <w:pPr>
        <w:widowControl w:val="0"/>
        <w:tabs>
          <w:tab w:val="left" w:pos="687"/>
          <w:tab w:val="left" w:pos="720"/>
        </w:tabs>
        <w:autoSpaceDE w:val="0"/>
        <w:autoSpaceDN w:val="0"/>
        <w:spacing w:line="360" w:lineRule="auto"/>
        <w:ind w:left="720" w:right="113" w:hanging="720"/>
        <w:jc w:val="both"/>
        <w:rPr>
          <w:rFonts w:ascii="Arial" w:hAnsi="Arial" w:cs="Arial"/>
        </w:rPr>
      </w:pPr>
      <w:r w:rsidRPr="00A703A4">
        <w:rPr>
          <w:rFonts w:ascii="Arial" w:hAnsi="Arial" w:cs="Arial"/>
        </w:rPr>
        <w:t>27.</w:t>
      </w:r>
      <w:r w:rsidRPr="00A703A4">
        <w:rPr>
          <w:rFonts w:ascii="Arial" w:hAnsi="Arial" w:cs="Arial"/>
        </w:rPr>
        <w:tab/>
      </w:r>
      <w:r w:rsidR="003339EE" w:rsidRPr="009B6CB6">
        <w:rPr>
          <w:rFonts w:ascii="Arial" w:hAnsi="Arial" w:cs="Arial"/>
        </w:rPr>
        <w:t>For</w:t>
      </w:r>
      <w:r w:rsidR="003339EE" w:rsidRPr="009B6CB6">
        <w:rPr>
          <w:rFonts w:ascii="Arial" w:hAnsi="Arial" w:cs="Arial"/>
          <w:spacing w:val="-9"/>
        </w:rPr>
        <w:t xml:space="preserve"> </w:t>
      </w:r>
      <w:r w:rsidR="003339EE" w:rsidRPr="009B6CB6">
        <w:rPr>
          <w:rFonts w:ascii="Arial" w:hAnsi="Arial" w:cs="Arial"/>
        </w:rPr>
        <w:t>these</w:t>
      </w:r>
      <w:r w:rsidR="003339EE" w:rsidRPr="009B6CB6">
        <w:rPr>
          <w:rFonts w:ascii="Arial" w:hAnsi="Arial" w:cs="Arial"/>
          <w:spacing w:val="-10"/>
        </w:rPr>
        <w:t xml:space="preserve"> </w:t>
      </w:r>
      <w:r w:rsidR="003339EE" w:rsidRPr="009B6CB6">
        <w:rPr>
          <w:rFonts w:ascii="Arial" w:hAnsi="Arial" w:cs="Arial"/>
        </w:rPr>
        <w:t>reasons,</w:t>
      </w:r>
      <w:r w:rsidR="003339EE" w:rsidRPr="009B6CB6">
        <w:rPr>
          <w:rFonts w:ascii="Arial" w:hAnsi="Arial" w:cs="Arial"/>
          <w:spacing w:val="-8"/>
        </w:rPr>
        <w:t xml:space="preserve"> </w:t>
      </w:r>
      <w:r w:rsidR="00957D4C" w:rsidRPr="009B6CB6">
        <w:rPr>
          <w:rFonts w:ascii="Arial" w:hAnsi="Arial" w:cs="Arial"/>
          <w:spacing w:val="-8"/>
        </w:rPr>
        <w:t xml:space="preserve">read with what is set out in the main judgment, </w:t>
      </w:r>
      <w:r w:rsidR="003339EE" w:rsidRPr="009B6CB6">
        <w:rPr>
          <w:rFonts w:ascii="Arial" w:hAnsi="Arial" w:cs="Arial"/>
        </w:rPr>
        <w:t>the</w:t>
      </w:r>
      <w:r w:rsidR="003339EE" w:rsidRPr="009B6CB6">
        <w:rPr>
          <w:rFonts w:ascii="Arial" w:hAnsi="Arial" w:cs="Arial"/>
          <w:spacing w:val="-9"/>
        </w:rPr>
        <w:t xml:space="preserve"> </w:t>
      </w:r>
      <w:r w:rsidR="003339EE" w:rsidRPr="009B6CB6">
        <w:rPr>
          <w:rFonts w:ascii="Arial" w:hAnsi="Arial" w:cs="Arial"/>
        </w:rPr>
        <w:t>existence</w:t>
      </w:r>
      <w:r w:rsidR="003339EE" w:rsidRPr="009B6CB6">
        <w:rPr>
          <w:rFonts w:ascii="Arial" w:hAnsi="Arial" w:cs="Arial"/>
          <w:spacing w:val="-10"/>
        </w:rPr>
        <w:t xml:space="preserve"> </w:t>
      </w:r>
      <w:r w:rsidR="003339EE" w:rsidRPr="009B6CB6">
        <w:rPr>
          <w:rFonts w:ascii="Arial" w:hAnsi="Arial" w:cs="Arial"/>
        </w:rPr>
        <w:t>of</w:t>
      </w:r>
      <w:r w:rsidR="003339EE" w:rsidRPr="009B6CB6">
        <w:rPr>
          <w:rFonts w:ascii="Arial" w:hAnsi="Arial" w:cs="Arial"/>
          <w:spacing w:val="-8"/>
        </w:rPr>
        <w:t xml:space="preserve"> </w:t>
      </w:r>
      <w:r w:rsidR="00A703A4" w:rsidRPr="009B6CB6">
        <w:rPr>
          <w:rFonts w:ascii="Arial" w:hAnsi="Arial" w:cs="Arial"/>
        </w:rPr>
        <w:t>a</w:t>
      </w:r>
      <w:r w:rsidR="003339EE" w:rsidRPr="009B6CB6">
        <w:rPr>
          <w:rFonts w:ascii="Arial" w:hAnsi="Arial" w:cs="Arial"/>
          <w:spacing w:val="-9"/>
        </w:rPr>
        <w:t xml:space="preserve"> </w:t>
      </w:r>
      <w:r w:rsidR="003339EE" w:rsidRPr="009B6CB6">
        <w:rPr>
          <w:rFonts w:ascii="Arial" w:hAnsi="Arial" w:cs="Arial"/>
        </w:rPr>
        <w:t>conflict</w:t>
      </w:r>
      <w:r w:rsidR="003339EE" w:rsidRPr="009B6CB6">
        <w:rPr>
          <w:rFonts w:ascii="Arial" w:hAnsi="Arial" w:cs="Arial"/>
          <w:spacing w:val="-8"/>
        </w:rPr>
        <w:t xml:space="preserve"> </w:t>
      </w:r>
      <w:r w:rsidR="003339EE" w:rsidRPr="009B6CB6">
        <w:rPr>
          <w:rFonts w:ascii="Arial" w:hAnsi="Arial" w:cs="Arial"/>
        </w:rPr>
        <w:t>between</w:t>
      </w:r>
      <w:r w:rsidR="003339EE" w:rsidRPr="009B6CB6">
        <w:rPr>
          <w:rFonts w:ascii="Arial" w:hAnsi="Arial" w:cs="Arial"/>
          <w:spacing w:val="-8"/>
        </w:rPr>
        <w:t xml:space="preserve"> </w:t>
      </w:r>
      <w:r w:rsidR="003339EE" w:rsidRPr="009B6CB6">
        <w:rPr>
          <w:rFonts w:ascii="Arial" w:hAnsi="Arial" w:cs="Arial"/>
          <w:i/>
        </w:rPr>
        <w:t>Arum</w:t>
      </w:r>
      <w:r w:rsidR="003339EE" w:rsidRPr="009B6CB6">
        <w:rPr>
          <w:rFonts w:ascii="Arial" w:hAnsi="Arial" w:cs="Arial"/>
          <w:i/>
          <w:spacing w:val="-9"/>
        </w:rPr>
        <w:t xml:space="preserve"> </w:t>
      </w:r>
      <w:r w:rsidR="00A703A4" w:rsidRPr="009B6CB6">
        <w:rPr>
          <w:rFonts w:ascii="Arial" w:hAnsi="Arial" w:cs="Arial"/>
          <w:i/>
        </w:rPr>
        <w:t>T</w:t>
      </w:r>
      <w:r w:rsidR="003339EE" w:rsidRPr="009B6CB6">
        <w:rPr>
          <w:rFonts w:ascii="Arial" w:hAnsi="Arial" w:cs="Arial"/>
          <w:i/>
        </w:rPr>
        <w:t>ransport</w:t>
      </w:r>
      <w:r w:rsidR="003339EE" w:rsidRPr="009B6CB6">
        <w:rPr>
          <w:rFonts w:ascii="Arial" w:hAnsi="Arial" w:cs="Arial"/>
        </w:rPr>
        <w:t>,</w:t>
      </w:r>
      <w:r w:rsidR="003339EE" w:rsidRPr="009B6CB6">
        <w:rPr>
          <w:rFonts w:ascii="Arial" w:hAnsi="Arial" w:cs="Arial"/>
          <w:spacing w:val="-9"/>
        </w:rPr>
        <w:t xml:space="preserve"> </w:t>
      </w:r>
      <w:r w:rsidR="003339EE" w:rsidRPr="009B6CB6">
        <w:rPr>
          <w:rFonts w:ascii="Arial" w:hAnsi="Arial" w:cs="Arial"/>
          <w:i/>
        </w:rPr>
        <w:t>Quattro Citrus</w:t>
      </w:r>
      <w:r w:rsidR="003339EE" w:rsidRPr="009B6CB6">
        <w:rPr>
          <w:rFonts w:ascii="Arial" w:hAnsi="Arial" w:cs="Arial"/>
          <w:i/>
          <w:spacing w:val="-12"/>
        </w:rPr>
        <w:t xml:space="preserve"> </w:t>
      </w:r>
      <w:r w:rsidR="003339EE" w:rsidRPr="009B6CB6">
        <w:rPr>
          <w:rFonts w:ascii="Arial" w:hAnsi="Arial" w:cs="Arial"/>
        </w:rPr>
        <w:t>and</w:t>
      </w:r>
      <w:r w:rsidR="003339EE" w:rsidRPr="009B6CB6">
        <w:rPr>
          <w:rFonts w:ascii="Arial" w:hAnsi="Arial" w:cs="Arial"/>
          <w:spacing w:val="-13"/>
        </w:rPr>
        <w:t xml:space="preserve"> </w:t>
      </w:r>
      <w:r w:rsidR="003339EE" w:rsidRPr="009B6CB6">
        <w:rPr>
          <w:rFonts w:ascii="Arial" w:hAnsi="Arial" w:cs="Arial"/>
        </w:rPr>
        <w:t>the</w:t>
      </w:r>
      <w:r w:rsidR="003339EE" w:rsidRPr="009B6CB6">
        <w:rPr>
          <w:rFonts w:ascii="Arial" w:hAnsi="Arial" w:cs="Arial"/>
          <w:spacing w:val="-14"/>
        </w:rPr>
        <w:t xml:space="preserve"> </w:t>
      </w:r>
      <w:r w:rsidR="003339EE" w:rsidRPr="009B6CB6">
        <w:rPr>
          <w:rFonts w:ascii="Arial" w:hAnsi="Arial" w:cs="Arial"/>
        </w:rPr>
        <w:t>present</w:t>
      </w:r>
      <w:r w:rsidR="003339EE" w:rsidRPr="009B6CB6">
        <w:rPr>
          <w:rFonts w:ascii="Arial" w:hAnsi="Arial" w:cs="Arial"/>
          <w:spacing w:val="-12"/>
        </w:rPr>
        <w:t xml:space="preserve"> </w:t>
      </w:r>
      <w:r w:rsidR="003339EE" w:rsidRPr="009B6CB6">
        <w:rPr>
          <w:rFonts w:ascii="Arial" w:hAnsi="Arial" w:cs="Arial"/>
        </w:rPr>
        <w:t>matter</w:t>
      </w:r>
      <w:r w:rsidR="00A703A4" w:rsidRPr="009B6CB6">
        <w:rPr>
          <w:rFonts w:ascii="Arial" w:hAnsi="Arial" w:cs="Arial"/>
        </w:rPr>
        <w:t>,</w:t>
      </w:r>
      <w:r w:rsidR="003339EE" w:rsidRPr="009B6CB6">
        <w:rPr>
          <w:rFonts w:ascii="Arial" w:hAnsi="Arial" w:cs="Arial"/>
          <w:spacing w:val="-13"/>
        </w:rPr>
        <w:t xml:space="preserve"> </w:t>
      </w:r>
      <w:r w:rsidR="003339EE" w:rsidRPr="009B6CB6">
        <w:rPr>
          <w:rFonts w:ascii="Arial" w:hAnsi="Arial" w:cs="Arial"/>
        </w:rPr>
        <w:t>and</w:t>
      </w:r>
      <w:r w:rsidR="003339EE" w:rsidRPr="009B6CB6">
        <w:rPr>
          <w:rFonts w:ascii="Arial" w:hAnsi="Arial" w:cs="Arial"/>
          <w:spacing w:val="-11"/>
        </w:rPr>
        <w:t xml:space="preserve"> </w:t>
      </w:r>
      <w:r w:rsidR="003339EE" w:rsidRPr="009B6CB6">
        <w:rPr>
          <w:rFonts w:ascii="Arial" w:hAnsi="Arial" w:cs="Arial"/>
        </w:rPr>
        <w:t>a</w:t>
      </w:r>
      <w:r w:rsidR="003339EE" w:rsidRPr="009B6CB6">
        <w:rPr>
          <w:rFonts w:ascii="Arial" w:hAnsi="Arial" w:cs="Arial"/>
          <w:spacing w:val="-14"/>
        </w:rPr>
        <w:t xml:space="preserve"> </w:t>
      </w:r>
      <w:r w:rsidR="003339EE" w:rsidRPr="009B6CB6">
        <w:rPr>
          <w:rFonts w:ascii="Arial" w:hAnsi="Arial" w:cs="Arial"/>
        </w:rPr>
        <w:t>difference</w:t>
      </w:r>
      <w:r w:rsidR="003339EE" w:rsidRPr="009B6CB6">
        <w:rPr>
          <w:rFonts w:ascii="Arial" w:hAnsi="Arial" w:cs="Arial"/>
          <w:spacing w:val="-14"/>
        </w:rPr>
        <w:t xml:space="preserve"> </w:t>
      </w:r>
      <w:r w:rsidR="003339EE" w:rsidRPr="009B6CB6">
        <w:rPr>
          <w:rFonts w:ascii="Arial" w:hAnsi="Arial" w:cs="Arial"/>
        </w:rPr>
        <w:t>in</w:t>
      </w:r>
      <w:r w:rsidR="003339EE" w:rsidRPr="009B6CB6">
        <w:rPr>
          <w:rFonts w:ascii="Arial" w:hAnsi="Arial" w:cs="Arial"/>
          <w:spacing w:val="-13"/>
        </w:rPr>
        <w:t xml:space="preserve"> </w:t>
      </w:r>
      <w:r w:rsidR="003339EE" w:rsidRPr="009B6CB6">
        <w:rPr>
          <w:rFonts w:ascii="Arial" w:hAnsi="Arial" w:cs="Arial"/>
        </w:rPr>
        <w:t>practice</w:t>
      </w:r>
      <w:r w:rsidR="003339EE" w:rsidRPr="009B6CB6">
        <w:rPr>
          <w:rFonts w:ascii="Arial" w:hAnsi="Arial" w:cs="Arial"/>
          <w:spacing w:val="-14"/>
        </w:rPr>
        <w:t xml:space="preserve"> </w:t>
      </w:r>
      <w:r w:rsidR="003339EE" w:rsidRPr="009B6CB6">
        <w:rPr>
          <w:rFonts w:ascii="Arial" w:hAnsi="Arial" w:cs="Arial"/>
        </w:rPr>
        <w:t>between</w:t>
      </w:r>
      <w:r w:rsidR="003339EE" w:rsidRPr="009B6CB6">
        <w:rPr>
          <w:rFonts w:ascii="Arial" w:hAnsi="Arial" w:cs="Arial"/>
          <w:spacing w:val="-13"/>
        </w:rPr>
        <w:t xml:space="preserve"> </w:t>
      </w:r>
      <w:r w:rsidR="003339EE" w:rsidRPr="009B6CB6">
        <w:rPr>
          <w:rFonts w:ascii="Arial" w:hAnsi="Arial" w:cs="Arial"/>
        </w:rPr>
        <w:t>this</w:t>
      </w:r>
      <w:r w:rsidR="003339EE" w:rsidRPr="009B6CB6">
        <w:rPr>
          <w:rFonts w:ascii="Arial" w:hAnsi="Arial" w:cs="Arial"/>
          <w:spacing w:val="-13"/>
        </w:rPr>
        <w:t xml:space="preserve"> </w:t>
      </w:r>
      <w:r w:rsidR="003339EE" w:rsidRPr="009B6CB6">
        <w:rPr>
          <w:rFonts w:ascii="Arial" w:hAnsi="Arial" w:cs="Arial"/>
        </w:rPr>
        <w:t>Court</w:t>
      </w:r>
      <w:r w:rsidR="003339EE" w:rsidRPr="009B6CB6">
        <w:rPr>
          <w:rFonts w:ascii="Arial" w:hAnsi="Arial" w:cs="Arial"/>
          <w:spacing w:val="-11"/>
        </w:rPr>
        <w:t xml:space="preserve"> </w:t>
      </w:r>
      <w:r w:rsidR="003339EE" w:rsidRPr="009B6CB6">
        <w:rPr>
          <w:rFonts w:ascii="Arial" w:hAnsi="Arial" w:cs="Arial"/>
        </w:rPr>
        <w:t>and</w:t>
      </w:r>
      <w:r w:rsidR="003339EE" w:rsidRPr="009B6CB6">
        <w:rPr>
          <w:rFonts w:ascii="Arial" w:hAnsi="Arial" w:cs="Arial"/>
          <w:spacing w:val="-13"/>
        </w:rPr>
        <w:t xml:space="preserve"> </w:t>
      </w:r>
      <w:r w:rsidR="003339EE" w:rsidRPr="009B6CB6">
        <w:rPr>
          <w:rFonts w:ascii="Arial" w:hAnsi="Arial" w:cs="Arial"/>
        </w:rPr>
        <w:t>the</w:t>
      </w:r>
      <w:r w:rsidR="003339EE" w:rsidRPr="009B6CB6">
        <w:rPr>
          <w:rFonts w:ascii="Arial" w:hAnsi="Arial" w:cs="Arial"/>
          <w:spacing w:val="-14"/>
        </w:rPr>
        <w:t xml:space="preserve"> </w:t>
      </w:r>
      <w:r w:rsidR="003339EE" w:rsidRPr="009B6CB6">
        <w:rPr>
          <w:rFonts w:ascii="Arial" w:hAnsi="Arial" w:cs="Arial"/>
        </w:rPr>
        <w:t xml:space="preserve">High Court in Kwa-Zulu Natal </w:t>
      </w:r>
      <w:r w:rsidR="00A703A4" w:rsidRPr="009B6CB6">
        <w:rPr>
          <w:rFonts w:ascii="Arial" w:hAnsi="Arial" w:cs="Arial"/>
        </w:rPr>
        <w:t>is</w:t>
      </w:r>
      <w:r w:rsidR="003339EE" w:rsidRPr="009B6CB6">
        <w:rPr>
          <w:rFonts w:ascii="Arial" w:hAnsi="Arial" w:cs="Arial"/>
        </w:rPr>
        <w:t xml:space="preserve"> more apparent than real</w:t>
      </w:r>
      <w:r w:rsidR="00957D4C" w:rsidRPr="009B6CB6">
        <w:rPr>
          <w:rFonts w:ascii="Arial" w:hAnsi="Arial" w:cs="Arial"/>
        </w:rPr>
        <w:t xml:space="preserve">.  It is </w:t>
      </w:r>
      <w:r w:rsidR="003339EE" w:rsidRPr="009B6CB6">
        <w:rPr>
          <w:rFonts w:ascii="Arial" w:hAnsi="Arial" w:cs="Arial"/>
        </w:rPr>
        <w:t xml:space="preserve">not sufficiently compelling overcome the test for </w:t>
      </w:r>
      <w:r w:rsidR="00A703A4" w:rsidRPr="009B6CB6">
        <w:rPr>
          <w:rFonts w:ascii="Arial" w:hAnsi="Arial" w:cs="Arial"/>
        </w:rPr>
        <w:t xml:space="preserve">the </w:t>
      </w:r>
      <w:r w:rsidR="003339EE" w:rsidRPr="009B6CB6">
        <w:rPr>
          <w:rFonts w:ascii="Arial" w:hAnsi="Arial" w:cs="Arial"/>
        </w:rPr>
        <w:t>granting leave to</w:t>
      </w:r>
      <w:r w:rsidR="003339EE" w:rsidRPr="009B6CB6">
        <w:rPr>
          <w:rFonts w:ascii="Arial" w:hAnsi="Arial" w:cs="Arial"/>
          <w:spacing w:val="-10"/>
        </w:rPr>
        <w:t xml:space="preserve"> </w:t>
      </w:r>
      <w:r w:rsidR="003339EE" w:rsidRPr="009B6CB6">
        <w:rPr>
          <w:rFonts w:ascii="Arial" w:hAnsi="Arial" w:cs="Arial"/>
        </w:rPr>
        <w:t>appeal.</w:t>
      </w:r>
    </w:p>
    <w:p w14:paraId="290E172D" w14:textId="77777777" w:rsidR="003339EE" w:rsidRPr="00A703A4" w:rsidRDefault="003339EE" w:rsidP="00A703A4">
      <w:pPr>
        <w:widowControl w:val="0"/>
        <w:spacing w:line="360" w:lineRule="auto"/>
        <w:jc w:val="both"/>
        <w:rPr>
          <w:rFonts w:ascii="Arial" w:hAnsi="Arial" w:cs="Arial"/>
          <w:lang w:val="en-GB"/>
        </w:rPr>
      </w:pPr>
    </w:p>
    <w:p w14:paraId="27779EBB" w14:textId="77777777" w:rsidR="00274B51" w:rsidRPr="00A703A4" w:rsidRDefault="00274B51" w:rsidP="00A703A4">
      <w:pPr>
        <w:pStyle w:val="ListParagraph"/>
        <w:widowControl w:val="0"/>
        <w:spacing w:line="360" w:lineRule="auto"/>
        <w:ind w:left="0"/>
        <w:jc w:val="both"/>
        <w:rPr>
          <w:rFonts w:ascii="Arial" w:hAnsi="Arial" w:cs="Arial"/>
          <w:b/>
          <w:bCs/>
          <w:u w:val="single"/>
          <w:lang w:val="en-GB"/>
        </w:rPr>
      </w:pPr>
      <w:r w:rsidRPr="00A703A4">
        <w:rPr>
          <w:rFonts w:ascii="Arial" w:hAnsi="Arial" w:cs="Arial"/>
          <w:b/>
          <w:bCs/>
          <w:u w:val="single"/>
          <w:lang w:val="en-GB"/>
        </w:rPr>
        <w:t>Conclusion</w:t>
      </w:r>
    </w:p>
    <w:p w14:paraId="3311439A" w14:textId="77777777" w:rsidR="00274B51" w:rsidRPr="00A703A4" w:rsidRDefault="00274B51" w:rsidP="00A703A4">
      <w:pPr>
        <w:pStyle w:val="ListParagraph"/>
        <w:widowControl w:val="0"/>
        <w:spacing w:line="360" w:lineRule="auto"/>
        <w:ind w:left="0"/>
        <w:jc w:val="both"/>
        <w:rPr>
          <w:rFonts w:ascii="Arial" w:hAnsi="Arial" w:cs="Arial"/>
          <w:lang w:val="en-GB"/>
        </w:rPr>
      </w:pPr>
    </w:p>
    <w:p w14:paraId="385B325A" w14:textId="4413695B" w:rsidR="00274B51" w:rsidRPr="009B6CB6" w:rsidRDefault="009B6CB6" w:rsidP="009B6CB6">
      <w:pPr>
        <w:widowControl w:val="0"/>
        <w:tabs>
          <w:tab w:val="left" w:pos="720"/>
        </w:tabs>
        <w:spacing w:line="360" w:lineRule="auto"/>
        <w:ind w:left="720" w:hanging="720"/>
        <w:jc w:val="both"/>
        <w:rPr>
          <w:rFonts w:ascii="Arial" w:hAnsi="Arial" w:cs="Arial"/>
          <w:lang w:val="en-GB"/>
        </w:rPr>
      </w:pPr>
      <w:r w:rsidRPr="00A703A4">
        <w:rPr>
          <w:rFonts w:ascii="Arial" w:hAnsi="Arial" w:cs="Arial"/>
          <w:lang w:val="en-GB"/>
        </w:rPr>
        <w:t>28.</w:t>
      </w:r>
      <w:r w:rsidRPr="00A703A4">
        <w:rPr>
          <w:rFonts w:ascii="Arial" w:hAnsi="Arial" w:cs="Arial"/>
          <w:lang w:val="en-GB"/>
        </w:rPr>
        <w:tab/>
      </w:r>
      <w:r w:rsidR="00274B51" w:rsidRPr="009B6CB6">
        <w:rPr>
          <w:rFonts w:ascii="Arial" w:hAnsi="Arial" w:cs="Arial"/>
        </w:rPr>
        <w:t xml:space="preserve">In all of these circumstances, </w:t>
      </w:r>
      <w:r w:rsidR="00262C18" w:rsidRPr="009B6CB6">
        <w:rPr>
          <w:rFonts w:ascii="Arial" w:hAnsi="Arial" w:cs="Arial"/>
        </w:rPr>
        <w:t xml:space="preserve">I am not </w:t>
      </w:r>
      <w:r w:rsidR="00201BDF" w:rsidRPr="009B6CB6">
        <w:rPr>
          <w:rFonts w:ascii="Arial" w:hAnsi="Arial" w:cs="Arial"/>
        </w:rPr>
        <w:t>persuaded</w:t>
      </w:r>
      <w:r w:rsidR="00262C18" w:rsidRPr="009B6CB6">
        <w:rPr>
          <w:rFonts w:ascii="Arial" w:hAnsi="Arial" w:cs="Arial"/>
        </w:rPr>
        <w:t xml:space="preserve"> that another Court would</w:t>
      </w:r>
      <w:r w:rsidR="00201BDF" w:rsidRPr="009B6CB6">
        <w:rPr>
          <w:rFonts w:ascii="Arial" w:hAnsi="Arial" w:cs="Arial"/>
        </w:rPr>
        <w:t xml:space="preserve"> reasonably</w:t>
      </w:r>
      <w:r w:rsidR="00262C18" w:rsidRPr="009B6CB6">
        <w:rPr>
          <w:rFonts w:ascii="Arial" w:hAnsi="Arial" w:cs="Arial"/>
        </w:rPr>
        <w:t xml:space="preserve"> come to a different conclusion, or that there are some other compelling reason why the appeal should be heard.</w:t>
      </w:r>
    </w:p>
    <w:p w14:paraId="1DA78482" w14:textId="77777777" w:rsidR="00274B51" w:rsidRPr="00A703A4" w:rsidRDefault="00274B51" w:rsidP="00A703A4">
      <w:pPr>
        <w:pStyle w:val="ListParagraph"/>
        <w:widowControl w:val="0"/>
        <w:spacing w:line="360" w:lineRule="auto"/>
        <w:jc w:val="both"/>
        <w:rPr>
          <w:rFonts w:ascii="Arial" w:hAnsi="Arial" w:cs="Arial"/>
          <w:lang w:val="en-GB"/>
        </w:rPr>
      </w:pPr>
    </w:p>
    <w:p w14:paraId="3E933296" w14:textId="77777777" w:rsidR="00274B51" w:rsidRPr="00A703A4" w:rsidRDefault="00274B51" w:rsidP="00A703A4">
      <w:pPr>
        <w:pStyle w:val="ListParagraph"/>
        <w:widowControl w:val="0"/>
        <w:spacing w:line="360" w:lineRule="auto"/>
        <w:ind w:left="0"/>
        <w:jc w:val="both"/>
        <w:rPr>
          <w:rFonts w:ascii="Arial" w:hAnsi="Arial" w:cs="Arial"/>
          <w:b/>
          <w:bCs/>
          <w:u w:val="single"/>
          <w:lang w:val="en-GB"/>
        </w:rPr>
      </w:pPr>
      <w:r w:rsidRPr="00A703A4">
        <w:rPr>
          <w:rFonts w:ascii="Arial" w:hAnsi="Arial" w:cs="Arial"/>
          <w:b/>
          <w:bCs/>
          <w:u w:val="single"/>
          <w:lang w:val="en-GB"/>
        </w:rPr>
        <w:t>Costs</w:t>
      </w:r>
    </w:p>
    <w:p w14:paraId="300889A6" w14:textId="77777777" w:rsidR="00274B51" w:rsidRPr="00A703A4" w:rsidRDefault="00274B51" w:rsidP="00A703A4">
      <w:pPr>
        <w:pStyle w:val="ListParagraph"/>
        <w:widowControl w:val="0"/>
        <w:spacing w:line="360" w:lineRule="auto"/>
        <w:ind w:left="0"/>
        <w:jc w:val="both"/>
        <w:rPr>
          <w:rFonts w:ascii="Arial" w:hAnsi="Arial" w:cs="Arial"/>
          <w:lang w:val="en-GB"/>
        </w:rPr>
      </w:pPr>
    </w:p>
    <w:p w14:paraId="47B7F41A" w14:textId="335AB402" w:rsidR="00274B51" w:rsidRPr="009B6CB6" w:rsidRDefault="009B6CB6" w:rsidP="009B6CB6">
      <w:pPr>
        <w:widowControl w:val="0"/>
        <w:tabs>
          <w:tab w:val="left" w:pos="720"/>
        </w:tabs>
        <w:spacing w:line="360" w:lineRule="auto"/>
        <w:ind w:left="720" w:hanging="720"/>
        <w:jc w:val="both"/>
        <w:rPr>
          <w:rFonts w:ascii="Arial" w:hAnsi="Arial" w:cs="Arial"/>
          <w:b/>
          <w:bCs/>
          <w:u w:val="single"/>
        </w:rPr>
      </w:pPr>
      <w:r w:rsidRPr="00A703A4">
        <w:rPr>
          <w:rFonts w:ascii="Arial" w:hAnsi="Arial" w:cs="Arial"/>
        </w:rPr>
        <w:t>29.</w:t>
      </w:r>
      <w:r w:rsidRPr="00A703A4">
        <w:rPr>
          <w:rFonts w:ascii="Arial" w:hAnsi="Arial" w:cs="Arial"/>
        </w:rPr>
        <w:tab/>
      </w:r>
      <w:r w:rsidR="00274B51" w:rsidRPr="009B6CB6">
        <w:rPr>
          <w:rFonts w:ascii="Arial" w:hAnsi="Arial" w:cs="Arial"/>
          <w:lang w:val="en-GB"/>
        </w:rPr>
        <w:t xml:space="preserve">There is no reason to depart from </w:t>
      </w:r>
      <w:r w:rsidR="00262C18" w:rsidRPr="009B6CB6">
        <w:rPr>
          <w:rFonts w:ascii="Arial" w:hAnsi="Arial" w:cs="Arial"/>
          <w:lang w:val="en-GB"/>
        </w:rPr>
        <w:t xml:space="preserve">the general </w:t>
      </w:r>
      <w:r w:rsidR="00F9343C" w:rsidRPr="009B6CB6">
        <w:rPr>
          <w:rFonts w:ascii="Arial" w:hAnsi="Arial" w:cs="Arial"/>
          <w:lang w:val="en-GB"/>
        </w:rPr>
        <w:t>approach</w:t>
      </w:r>
      <w:r w:rsidR="00274B51" w:rsidRPr="009B6CB6">
        <w:rPr>
          <w:rFonts w:ascii="Arial" w:hAnsi="Arial" w:cs="Arial"/>
          <w:lang w:val="en-GB"/>
        </w:rPr>
        <w:t xml:space="preserve"> </w:t>
      </w:r>
      <w:r w:rsidR="00262C18" w:rsidRPr="009B6CB6">
        <w:rPr>
          <w:rFonts w:ascii="Arial" w:hAnsi="Arial" w:cs="Arial"/>
          <w:lang w:val="en-GB"/>
        </w:rPr>
        <w:t xml:space="preserve">as to costs </w:t>
      </w:r>
      <w:r w:rsidR="00274B51" w:rsidRPr="009B6CB6">
        <w:rPr>
          <w:rFonts w:ascii="Arial" w:hAnsi="Arial" w:cs="Arial"/>
          <w:lang w:val="en-GB"/>
        </w:rPr>
        <w:t xml:space="preserve">in the present matter.  </w:t>
      </w:r>
      <w:r w:rsidR="00262C18" w:rsidRPr="009B6CB6">
        <w:rPr>
          <w:rFonts w:ascii="Arial" w:hAnsi="Arial" w:cs="Arial"/>
          <w:lang w:val="en-GB"/>
        </w:rPr>
        <w:t>The plaintiff has been represented by two counsel throughout this matter and it is not unreasonable that both counsel should have been involved in the preparation for and handling of the application for leave to appeal.</w:t>
      </w:r>
    </w:p>
    <w:p w14:paraId="1B4CD1B1" w14:textId="77777777" w:rsidR="00262C18" w:rsidRPr="00A703A4" w:rsidRDefault="00262C18" w:rsidP="00A703A4">
      <w:pPr>
        <w:pStyle w:val="ListParagraph"/>
        <w:widowControl w:val="0"/>
        <w:spacing w:line="360" w:lineRule="auto"/>
        <w:ind w:left="0"/>
        <w:jc w:val="both"/>
        <w:rPr>
          <w:rFonts w:ascii="Arial" w:hAnsi="Arial" w:cs="Arial"/>
          <w:b/>
          <w:bCs/>
          <w:u w:val="single"/>
        </w:rPr>
      </w:pPr>
    </w:p>
    <w:p w14:paraId="771C69E0" w14:textId="22791CA6" w:rsidR="00274B51" w:rsidRPr="00A703A4" w:rsidRDefault="00274B51" w:rsidP="00A703A4">
      <w:pPr>
        <w:pStyle w:val="ListParagraph"/>
        <w:widowControl w:val="0"/>
        <w:spacing w:line="360" w:lineRule="auto"/>
        <w:ind w:left="0"/>
        <w:jc w:val="both"/>
        <w:rPr>
          <w:rFonts w:ascii="Arial" w:hAnsi="Arial" w:cs="Arial"/>
          <w:b/>
          <w:bCs/>
          <w:u w:val="single"/>
        </w:rPr>
      </w:pPr>
      <w:r w:rsidRPr="00A703A4">
        <w:rPr>
          <w:rFonts w:ascii="Arial" w:hAnsi="Arial" w:cs="Arial"/>
          <w:b/>
          <w:bCs/>
          <w:u w:val="single"/>
        </w:rPr>
        <w:t>Order</w:t>
      </w:r>
    </w:p>
    <w:p w14:paraId="1816ADD0" w14:textId="77777777" w:rsidR="00274B51" w:rsidRPr="00A703A4" w:rsidRDefault="00274B51" w:rsidP="00A703A4">
      <w:pPr>
        <w:pStyle w:val="ListParagraph"/>
        <w:widowControl w:val="0"/>
        <w:spacing w:line="360" w:lineRule="auto"/>
        <w:jc w:val="both"/>
        <w:rPr>
          <w:rFonts w:ascii="Arial" w:hAnsi="Arial" w:cs="Arial"/>
          <w:b/>
          <w:bCs/>
          <w:u w:val="single"/>
        </w:rPr>
      </w:pPr>
    </w:p>
    <w:p w14:paraId="3916CCB8" w14:textId="1E9DD7DA" w:rsidR="00274B51" w:rsidRPr="009B6CB6" w:rsidRDefault="009B6CB6" w:rsidP="009B6CB6">
      <w:pPr>
        <w:widowControl w:val="0"/>
        <w:tabs>
          <w:tab w:val="left" w:pos="720"/>
        </w:tabs>
        <w:spacing w:line="360" w:lineRule="auto"/>
        <w:ind w:left="720" w:hanging="720"/>
        <w:jc w:val="both"/>
        <w:rPr>
          <w:rFonts w:ascii="Arial" w:hAnsi="Arial" w:cs="Arial"/>
          <w:b/>
          <w:bCs/>
          <w:u w:val="single"/>
        </w:rPr>
      </w:pPr>
      <w:r w:rsidRPr="00A703A4">
        <w:rPr>
          <w:rFonts w:ascii="Arial" w:hAnsi="Arial" w:cs="Arial"/>
        </w:rPr>
        <w:t>30.</w:t>
      </w:r>
      <w:r w:rsidRPr="00A703A4">
        <w:rPr>
          <w:rFonts w:ascii="Arial" w:hAnsi="Arial" w:cs="Arial"/>
        </w:rPr>
        <w:tab/>
      </w:r>
      <w:r w:rsidR="00274B51" w:rsidRPr="009B6CB6">
        <w:rPr>
          <w:rFonts w:ascii="Arial" w:hAnsi="Arial" w:cs="Arial"/>
        </w:rPr>
        <w:t xml:space="preserve">In the premises, </w:t>
      </w:r>
      <w:r w:rsidR="00262C18" w:rsidRPr="009B6CB6">
        <w:rPr>
          <w:rFonts w:ascii="Arial" w:hAnsi="Arial" w:cs="Arial"/>
        </w:rPr>
        <w:t>the application for leave to appeal is refused, with costs, including the costs of two counsel.</w:t>
      </w:r>
    </w:p>
    <w:p w14:paraId="4011BF46" w14:textId="77777777" w:rsidR="00262C18" w:rsidRDefault="00262C18" w:rsidP="00F748AD">
      <w:pPr>
        <w:pStyle w:val="ListParagraph"/>
        <w:widowControl w:val="0"/>
        <w:spacing w:line="360" w:lineRule="auto"/>
        <w:ind w:left="4320" w:firstLine="720"/>
        <w:jc w:val="both"/>
        <w:rPr>
          <w:rFonts w:ascii="Arial" w:hAnsi="Arial" w:cs="Arial"/>
          <w:b/>
          <w:bCs/>
        </w:rPr>
      </w:pPr>
    </w:p>
    <w:p w14:paraId="541CE757" w14:textId="77777777" w:rsidR="00262C18" w:rsidRDefault="00262C18" w:rsidP="00F748AD">
      <w:pPr>
        <w:pStyle w:val="ListParagraph"/>
        <w:widowControl w:val="0"/>
        <w:spacing w:line="360" w:lineRule="auto"/>
        <w:ind w:left="4320" w:firstLine="720"/>
        <w:jc w:val="both"/>
        <w:rPr>
          <w:rFonts w:ascii="Arial" w:hAnsi="Arial" w:cs="Arial"/>
          <w:b/>
          <w:bCs/>
        </w:rPr>
      </w:pPr>
    </w:p>
    <w:p w14:paraId="04BBC55E" w14:textId="2466F198" w:rsidR="00262C18" w:rsidRPr="00262C18" w:rsidRDefault="00262C18" w:rsidP="00F748AD">
      <w:pPr>
        <w:pStyle w:val="ListParagraph"/>
        <w:widowControl w:val="0"/>
        <w:spacing w:line="360" w:lineRule="auto"/>
        <w:ind w:left="4320" w:firstLine="720"/>
        <w:jc w:val="both"/>
        <w:rPr>
          <w:rFonts w:ascii="Arial" w:hAnsi="Arial" w:cs="Arial"/>
        </w:rPr>
      </w:pPr>
      <w:r w:rsidRPr="00262C18">
        <w:rPr>
          <w:rFonts w:ascii="Arial" w:hAnsi="Arial" w:cs="Arial"/>
        </w:rPr>
        <w:t>___________________________</w:t>
      </w:r>
    </w:p>
    <w:p w14:paraId="7EFDA325" w14:textId="73E3C9A5" w:rsidR="00D81F8C" w:rsidRPr="00F748AD" w:rsidRDefault="00D81F8C" w:rsidP="00F748AD">
      <w:pPr>
        <w:pStyle w:val="ListParagraph"/>
        <w:widowControl w:val="0"/>
        <w:spacing w:line="360" w:lineRule="auto"/>
        <w:ind w:left="4320" w:firstLine="720"/>
        <w:jc w:val="both"/>
        <w:rPr>
          <w:rFonts w:ascii="Arial" w:hAnsi="Arial" w:cs="Arial"/>
          <w:b/>
          <w:bCs/>
        </w:rPr>
      </w:pPr>
      <w:r w:rsidRPr="00F748AD">
        <w:rPr>
          <w:rFonts w:ascii="Arial" w:hAnsi="Arial" w:cs="Arial"/>
          <w:b/>
          <w:bCs/>
        </w:rPr>
        <w:t>P. S. VAN ZYL</w:t>
      </w:r>
    </w:p>
    <w:p w14:paraId="6368C869" w14:textId="77777777" w:rsidR="00D81F8C" w:rsidRPr="00F748AD" w:rsidRDefault="00D81F8C" w:rsidP="00F748AD">
      <w:pPr>
        <w:pStyle w:val="ListParagraph"/>
        <w:widowControl w:val="0"/>
        <w:spacing w:line="360" w:lineRule="auto"/>
        <w:ind w:left="4320" w:firstLine="720"/>
        <w:jc w:val="both"/>
        <w:rPr>
          <w:rFonts w:ascii="Arial" w:hAnsi="Arial" w:cs="Arial"/>
          <w:b/>
          <w:bCs/>
        </w:rPr>
      </w:pPr>
      <w:r w:rsidRPr="00F748AD">
        <w:rPr>
          <w:rFonts w:ascii="Arial" w:hAnsi="Arial" w:cs="Arial"/>
          <w:b/>
          <w:bCs/>
        </w:rPr>
        <w:t>Acting judge of the High Court</w:t>
      </w:r>
    </w:p>
    <w:p w14:paraId="45DD5BA8" w14:textId="77777777" w:rsidR="00D81F8C" w:rsidRPr="00F748AD" w:rsidRDefault="00D81F8C" w:rsidP="00F748AD">
      <w:pPr>
        <w:pStyle w:val="ListParagraph"/>
        <w:widowControl w:val="0"/>
        <w:spacing w:line="360" w:lineRule="auto"/>
        <w:jc w:val="both"/>
        <w:rPr>
          <w:rFonts w:ascii="Arial" w:hAnsi="Arial" w:cs="Arial"/>
        </w:rPr>
      </w:pPr>
    </w:p>
    <w:p w14:paraId="04218AE6" w14:textId="77777777" w:rsidR="00274B51" w:rsidRPr="00F748AD" w:rsidRDefault="00274B51" w:rsidP="00F748AD">
      <w:pPr>
        <w:pStyle w:val="ListParagraph"/>
        <w:widowControl w:val="0"/>
        <w:spacing w:line="360" w:lineRule="auto"/>
        <w:jc w:val="both"/>
        <w:rPr>
          <w:rFonts w:ascii="Arial" w:hAnsi="Arial" w:cs="Arial"/>
        </w:rPr>
      </w:pPr>
      <w:r w:rsidRPr="00F748AD">
        <w:rPr>
          <w:rFonts w:ascii="Arial" w:hAnsi="Arial" w:cs="Arial"/>
          <w:b/>
          <w:bCs/>
          <w:u w:val="single"/>
        </w:rPr>
        <w:t>Appearances</w:t>
      </w:r>
      <w:r w:rsidRPr="00F748AD">
        <w:rPr>
          <w:rFonts w:ascii="Arial" w:hAnsi="Arial" w:cs="Arial"/>
        </w:rPr>
        <w:t>:</w:t>
      </w:r>
    </w:p>
    <w:p w14:paraId="15DA4265" w14:textId="77777777" w:rsidR="00274B51" w:rsidRPr="00F748AD" w:rsidRDefault="00274B51" w:rsidP="00F748AD">
      <w:pPr>
        <w:pStyle w:val="ListParagraph"/>
        <w:widowControl w:val="0"/>
        <w:spacing w:line="360" w:lineRule="auto"/>
        <w:jc w:val="both"/>
        <w:rPr>
          <w:rFonts w:ascii="Arial" w:hAnsi="Arial" w:cs="Arial"/>
        </w:rPr>
      </w:pPr>
    </w:p>
    <w:p w14:paraId="07B5C9CF" w14:textId="4A0DF7D0" w:rsidR="00262C18" w:rsidRDefault="00274B51" w:rsidP="00F748AD">
      <w:pPr>
        <w:pStyle w:val="ListParagraph"/>
        <w:widowControl w:val="0"/>
        <w:spacing w:line="360" w:lineRule="auto"/>
        <w:ind w:left="4320" w:hanging="3600"/>
        <w:jc w:val="both"/>
        <w:rPr>
          <w:rFonts w:ascii="Arial" w:hAnsi="Arial" w:cs="Arial"/>
          <w:b/>
          <w:bCs/>
          <w:u w:val="single"/>
        </w:rPr>
      </w:pPr>
      <w:r w:rsidRPr="00F748AD">
        <w:rPr>
          <w:rFonts w:ascii="Arial" w:hAnsi="Arial" w:cs="Arial"/>
          <w:b/>
          <w:bCs/>
          <w:u w:val="single"/>
        </w:rPr>
        <w:t>For the defendant</w:t>
      </w:r>
      <w:r w:rsidR="00262C18">
        <w:rPr>
          <w:rFonts w:ascii="Arial" w:hAnsi="Arial" w:cs="Arial"/>
          <w:b/>
          <w:bCs/>
          <w:u w:val="single"/>
        </w:rPr>
        <w:t xml:space="preserve"> (applicant in application for leave to appeal):</w:t>
      </w:r>
    </w:p>
    <w:p w14:paraId="58E2800A" w14:textId="4D545A7C" w:rsidR="00274B51" w:rsidRPr="00F748AD" w:rsidRDefault="00262C18" w:rsidP="00F748AD">
      <w:pPr>
        <w:pStyle w:val="ListParagraph"/>
        <w:widowControl w:val="0"/>
        <w:spacing w:line="360" w:lineRule="auto"/>
        <w:ind w:left="4320" w:hanging="3600"/>
        <w:jc w:val="both"/>
        <w:rPr>
          <w:rFonts w:ascii="Arial" w:hAnsi="Arial" w:cs="Arial"/>
        </w:rPr>
      </w:pPr>
      <w:proofErr w:type="spellStart"/>
      <w:r>
        <w:rPr>
          <w:rFonts w:ascii="Arial" w:hAnsi="Arial" w:cs="Arial"/>
        </w:rPr>
        <w:t>Mr</w:t>
      </w:r>
      <w:proofErr w:type="spellEnd"/>
      <w:r>
        <w:rPr>
          <w:rFonts w:ascii="Arial" w:hAnsi="Arial" w:cs="Arial"/>
        </w:rPr>
        <w:t xml:space="preserve"> </w:t>
      </w:r>
      <w:r w:rsidR="00274B51" w:rsidRPr="00F748AD">
        <w:rPr>
          <w:rFonts w:ascii="Arial" w:hAnsi="Arial" w:cs="Arial"/>
        </w:rPr>
        <w:t>R. J. Howie, instructed by M A Hurwitz Attorneys</w:t>
      </w:r>
    </w:p>
    <w:p w14:paraId="0C8C7999" w14:textId="77777777" w:rsidR="00274B51" w:rsidRDefault="00274B51" w:rsidP="00F748AD">
      <w:pPr>
        <w:pStyle w:val="ListParagraph"/>
        <w:widowControl w:val="0"/>
        <w:spacing w:line="360" w:lineRule="auto"/>
        <w:jc w:val="both"/>
        <w:rPr>
          <w:rFonts w:ascii="Arial" w:hAnsi="Arial" w:cs="Arial"/>
        </w:rPr>
      </w:pPr>
    </w:p>
    <w:p w14:paraId="03BE1EE6" w14:textId="6DC5C26A" w:rsidR="00262C18" w:rsidRDefault="00262C18" w:rsidP="00262C18">
      <w:pPr>
        <w:pStyle w:val="ListParagraph"/>
        <w:widowControl w:val="0"/>
        <w:spacing w:line="360" w:lineRule="auto"/>
        <w:ind w:left="4320" w:hanging="3600"/>
        <w:jc w:val="both"/>
        <w:rPr>
          <w:rFonts w:ascii="Arial" w:hAnsi="Arial" w:cs="Arial"/>
          <w:b/>
          <w:bCs/>
          <w:u w:val="single"/>
        </w:rPr>
      </w:pPr>
      <w:r w:rsidRPr="00F748AD">
        <w:rPr>
          <w:rFonts w:ascii="Arial" w:hAnsi="Arial" w:cs="Arial"/>
          <w:b/>
          <w:bCs/>
          <w:u w:val="single"/>
        </w:rPr>
        <w:t>For the plaintiff</w:t>
      </w:r>
      <w:r>
        <w:rPr>
          <w:rFonts w:ascii="Arial" w:hAnsi="Arial" w:cs="Arial"/>
          <w:b/>
          <w:bCs/>
          <w:u w:val="single"/>
        </w:rPr>
        <w:t xml:space="preserve"> (respondent in the application for leave to appeal</w:t>
      </w:r>
      <w:r w:rsidR="00BA0C7B">
        <w:rPr>
          <w:rFonts w:ascii="Arial" w:hAnsi="Arial" w:cs="Arial"/>
          <w:b/>
          <w:bCs/>
          <w:u w:val="single"/>
        </w:rPr>
        <w:t>)</w:t>
      </w:r>
      <w:r w:rsidRPr="00F748AD">
        <w:rPr>
          <w:rFonts w:ascii="Arial" w:hAnsi="Arial" w:cs="Arial"/>
          <w:b/>
          <w:bCs/>
          <w:u w:val="single"/>
        </w:rPr>
        <w:t>:</w:t>
      </w:r>
    </w:p>
    <w:p w14:paraId="1681B977" w14:textId="0D8F54A1" w:rsidR="00262C18" w:rsidRPr="00F748AD" w:rsidRDefault="00262C18" w:rsidP="00262C18">
      <w:pPr>
        <w:pStyle w:val="ListParagraph"/>
        <w:widowControl w:val="0"/>
        <w:spacing w:line="360" w:lineRule="auto"/>
        <w:jc w:val="both"/>
        <w:rPr>
          <w:rFonts w:ascii="Arial" w:hAnsi="Arial" w:cs="Arial"/>
        </w:rPr>
      </w:pPr>
      <w:proofErr w:type="spellStart"/>
      <w:r>
        <w:rPr>
          <w:rFonts w:ascii="Arial" w:hAnsi="Arial" w:cs="Arial"/>
        </w:rPr>
        <w:t>Mr</w:t>
      </w:r>
      <w:proofErr w:type="spellEnd"/>
      <w:r>
        <w:rPr>
          <w:rFonts w:ascii="Arial" w:hAnsi="Arial" w:cs="Arial"/>
        </w:rPr>
        <w:t xml:space="preserve"> </w:t>
      </w:r>
      <w:r w:rsidRPr="00F748AD">
        <w:rPr>
          <w:rFonts w:ascii="Arial" w:hAnsi="Arial" w:cs="Arial"/>
        </w:rPr>
        <w:t xml:space="preserve">J. Muller SC (with him </w:t>
      </w:r>
      <w:proofErr w:type="spellStart"/>
      <w:r>
        <w:rPr>
          <w:rFonts w:ascii="Arial" w:hAnsi="Arial" w:cs="Arial"/>
        </w:rPr>
        <w:t>Ms</w:t>
      </w:r>
      <w:proofErr w:type="spellEnd"/>
      <w:r>
        <w:rPr>
          <w:rFonts w:ascii="Arial" w:hAnsi="Arial" w:cs="Arial"/>
        </w:rPr>
        <w:t xml:space="preserve"> </w:t>
      </w:r>
      <w:r w:rsidRPr="00F748AD">
        <w:rPr>
          <w:rFonts w:ascii="Arial" w:hAnsi="Arial" w:cs="Arial"/>
        </w:rPr>
        <w:t xml:space="preserve">H. </w:t>
      </w:r>
      <w:proofErr w:type="spellStart"/>
      <w:r w:rsidRPr="00F748AD">
        <w:rPr>
          <w:rFonts w:ascii="Arial" w:hAnsi="Arial" w:cs="Arial"/>
        </w:rPr>
        <w:t>Beviss-Challinor</w:t>
      </w:r>
      <w:proofErr w:type="spellEnd"/>
      <w:r w:rsidRPr="00F748AD">
        <w:rPr>
          <w:rFonts w:ascii="Arial" w:hAnsi="Arial" w:cs="Arial"/>
        </w:rPr>
        <w:t xml:space="preserve">), instructed by </w:t>
      </w:r>
      <w:proofErr w:type="spellStart"/>
      <w:r w:rsidRPr="00F748AD">
        <w:rPr>
          <w:rFonts w:ascii="Arial" w:hAnsi="Arial" w:cs="Arial"/>
        </w:rPr>
        <w:t>Bernadt</w:t>
      </w:r>
      <w:proofErr w:type="spellEnd"/>
      <w:r w:rsidRPr="00F748AD">
        <w:rPr>
          <w:rFonts w:ascii="Arial" w:hAnsi="Arial" w:cs="Arial"/>
        </w:rPr>
        <w:t xml:space="preserve"> </w:t>
      </w:r>
      <w:proofErr w:type="spellStart"/>
      <w:r w:rsidRPr="00F748AD">
        <w:rPr>
          <w:rFonts w:ascii="Arial" w:hAnsi="Arial" w:cs="Arial"/>
        </w:rPr>
        <w:t>Vukic</w:t>
      </w:r>
      <w:proofErr w:type="spellEnd"/>
      <w:r w:rsidRPr="00F748AD">
        <w:rPr>
          <w:rFonts w:ascii="Arial" w:hAnsi="Arial" w:cs="Arial"/>
        </w:rPr>
        <w:t xml:space="preserve"> Potash &amp; Getz</w:t>
      </w:r>
    </w:p>
    <w:p w14:paraId="63E9AC3E" w14:textId="77777777" w:rsidR="00262C18" w:rsidRPr="00F748AD" w:rsidRDefault="00262C18" w:rsidP="00F748AD">
      <w:pPr>
        <w:pStyle w:val="ListParagraph"/>
        <w:widowControl w:val="0"/>
        <w:spacing w:line="360" w:lineRule="auto"/>
        <w:jc w:val="both"/>
        <w:rPr>
          <w:rFonts w:ascii="Arial" w:hAnsi="Arial" w:cs="Arial"/>
        </w:rPr>
      </w:pPr>
    </w:p>
    <w:sectPr w:rsidR="00262C18" w:rsidRPr="00F748AD" w:rsidSect="003D60B8">
      <w:headerReference w:type="default" r:id="rId10"/>
      <w:headerReference w:type="firs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015A" w14:textId="77777777" w:rsidR="00046181" w:rsidRDefault="00046181" w:rsidP="003015FA">
      <w:r>
        <w:separator/>
      </w:r>
    </w:p>
  </w:endnote>
  <w:endnote w:type="continuationSeparator" w:id="0">
    <w:p w14:paraId="5D80C6FB" w14:textId="77777777" w:rsidR="00046181" w:rsidRDefault="00046181" w:rsidP="0030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C4BE3" w14:textId="77777777" w:rsidR="00046181" w:rsidRDefault="00046181" w:rsidP="003015FA">
      <w:r>
        <w:separator/>
      </w:r>
    </w:p>
  </w:footnote>
  <w:footnote w:type="continuationSeparator" w:id="0">
    <w:p w14:paraId="48E3F328" w14:textId="77777777" w:rsidR="00046181" w:rsidRDefault="00046181" w:rsidP="003015FA">
      <w:r>
        <w:continuationSeparator/>
      </w:r>
    </w:p>
  </w:footnote>
  <w:footnote w:id="1">
    <w:p w14:paraId="350A7E86" w14:textId="05C7A5D0" w:rsidR="00262C18" w:rsidRPr="00BA6A09" w:rsidRDefault="00262C18" w:rsidP="00BA6A09">
      <w:pPr>
        <w:pStyle w:val="FootnoteText"/>
        <w:jc w:val="both"/>
        <w:rPr>
          <w:rFonts w:ascii="Arial" w:hAnsi="Arial" w:cs="Arial"/>
          <w:sz w:val="22"/>
          <w:szCs w:val="22"/>
        </w:rPr>
      </w:pPr>
      <w:r w:rsidRPr="00BA6A09">
        <w:rPr>
          <w:rStyle w:val="FootnoteReference"/>
          <w:rFonts w:ascii="Arial" w:hAnsi="Arial" w:cs="Arial"/>
          <w:sz w:val="22"/>
          <w:szCs w:val="22"/>
        </w:rPr>
        <w:footnoteRef/>
      </w:r>
      <w:r w:rsidRPr="00BA6A09">
        <w:rPr>
          <w:rFonts w:ascii="Arial" w:hAnsi="Arial" w:cs="Arial"/>
          <w:sz w:val="22"/>
          <w:szCs w:val="22"/>
        </w:rPr>
        <w:t xml:space="preserve"> </w:t>
      </w:r>
      <w:r w:rsidRPr="00BA6A09">
        <w:rPr>
          <w:rFonts w:ascii="Arial" w:hAnsi="Arial" w:cs="Arial"/>
          <w:sz w:val="22"/>
          <w:szCs w:val="22"/>
        </w:rPr>
        <w:tab/>
        <w:t xml:space="preserve">As discussed in </w:t>
      </w:r>
      <w:r w:rsidRPr="00BA6A09">
        <w:rPr>
          <w:rFonts w:ascii="Arial" w:hAnsi="Arial" w:cs="Arial"/>
          <w:i/>
          <w:iCs/>
          <w:sz w:val="22"/>
          <w:szCs w:val="22"/>
        </w:rPr>
        <w:t>S v Smith</w:t>
      </w:r>
      <w:r w:rsidRPr="00BA6A09">
        <w:rPr>
          <w:rFonts w:ascii="Arial" w:hAnsi="Arial" w:cs="Arial"/>
          <w:sz w:val="22"/>
          <w:szCs w:val="22"/>
        </w:rPr>
        <w:t xml:space="preserve"> 2012 (1) SACR 569 (SCA) at para [7].</w:t>
      </w:r>
    </w:p>
  </w:footnote>
  <w:footnote w:id="2">
    <w:p w14:paraId="7B580AAA" w14:textId="6F555998" w:rsidR="00D37C2C" w:rsidRPr="00A703A4" w:rsidRDefault="00D37C2C" w:rsidP="00A703A4">
      <w:pPr>
        <w:pStyle w:val="FootnoteText"/>
        <w:ind w:left="720" w:hanging="720"/>
        <w:jc w:val="both"/>
        <w:rPr>
          <w:rFonts w:ascii="Arial" w:hAnsi="Arial" w:cs="Arial"/>
          <w:sz w:val="22"/>
          <w:szCs w:val="22"/>
        </w:rPr>
      </w:pPr>
      <w:r w:rsidRPr="00BA6A09">
        <w:rPr>
          <w:rStyle w:val="FootnoteReference"/>
          <w:rFonts w:ascii="Arial" w:hAnsi="Arial" w:cs="Arial"/>
          <w:sz w:val="22"/>
          <w:szCs w:val="22"/>
        </w:rPr>
        <w:footnoteRef/>
      </w:r>
      <w:r w:rsidRPr="00BA6A09">
        <w:rPr>
          <w:rFonts w:ascii="Arial" w:hAnsi="Arial" w:cs="Arial"/>
          <w:sz w:val="22"/>
          <w:szCs w:val="22"/>
        </w:rPr>
        <w:t xml:space="preserve"> </w:t>
      </w:r>
      <w:r w:rsidRPr="00BA6A09">
        <w:rPr>
          <w:rFonts w:ascii="Arial" w:hAnsi="Arial" w:cs="Arial"/>
          <w:sz w:val="22"/>
          <w:szCs w:val="22"/>
        </w:rPr>
        <w:tab/>
      </w:r>
      <w:r w:rsidRPr="00A703A4">
        <w:rPr>
          <w:rFonts w:ascii="Arial" w:hAnsi="Arial" w:cs="Arial"/>
          <w:i/>
          <w:sz w:val="22"/>
          <w:szCs w:val="22"/>
        </w:rPr>
        <w:t xml:space="preserve">SASOL South Africa t/a SASOL Chemicals v Gavin J Penkin </w:t>
      </w:r>
      <w:r w:rsidRPr="00A703A4">
        <w:rPr>
          <w:rFonts w:ascii="Arial" w:hAnsi="Arial" w:cs="Arial"/>
          <w:sz w:val="22"/>
          <w:szCs w:val="22"/>
        </w:rPr>
        <w:t xml:space="preserve"> [2023]</w:t>
      </w:r>
      <w:r w:rsidRPr="00A703A4">
        <w:rPr>
          <w:rFonts w:ascii="Arial" w:hAnsi="Arial" w:cs="Arial"/>
          <w:spacing w:val="22"/>
          <w:sz w:val="22"/>
          <w:szCs w:val="22"/>
        </w:rPr>
        <w:t xml:space="preserve"> </w:t>
      </w:r>
      <w:r w:rsidRPr="00A703A4">
        <w:rPr>
          <w:rFonts w:ascii="Arial" w:hAnsi="Arial" w:cs="Arial"/>
          <w:sz w:val="22"/>
          <w:szCs w:val="22"/>
        </w:rPr>
        <w:t>ZAGPJHC 329</w:t>
      </w:r>
      <w:r w:rsidRPr="00A703A4">
        <w:rPr>
          <w:rFonts w:ascii="Arial" w:hAnsi="Arial" w:cs="Arial"/>
          <w:w w:val="99"/>
          <w:sz w:val="22"/>
          <w:szCs w:val="22"/>
        </w:rPr>
        <w:t xml:space="preserve"> </w:t>
      </w:r>
      <w:r w:rsidRPr="00A703A4">
        <w:rPr>
          <w:rFonts w:ascii="Arial" w:hAnsi="Arial" w:cs="Arial"/>
          <w:sz w:val="22"/>
          <w:szCs w:val="22"/>
        </w:rPr>
        <w:t>(14 April 2023) at para</w:t>
      </w:r>
      <w:r w:rsidRPr="00A703A4">
        <w:rPr>
          <w:rFonts w:ascii="Arial" w:hAnsi="Arial" w:cs="Arial"/>
          <w:spacing w:val="-11"/>
          <w:sz w:val="22"/>
          <w:szCs w:val="22"/>
        </w:rPr>
        <w:t xml:space="preserve"> [</w:t>
      </w:r>
      <w:r w:rsidRPr="00A703A4">
        <w:rPr>
          <w:rFonts w:ascii="Arial" w:hAnsi="Arial" w:cs="Arial"/>
          <w:sz w:val="22"/>
          <w:szCs w:val="22"/>
        </w:rPr>
        <w:t>46].</w:t>
      </w:r>
    </w:p>
  </w:footnote>
  <w:footnote w:id="3">
    <w:p w14:paraId="127D84F8" w14:textId="18EE388C" w:rsidR="00D37C2C" w:rsidRPr="00A703A4" w:rsidRDefault="00D37C2C" w:rsidP="00A703A4">
      <w:pPr>
        <w:pStyle w:val="FootnoteText"/>
        <w:jc w:val="both"/>
        <w:rPr>
          <w:rFonts w:ascii="Arial" w:hAnsi="Arial" w:cs="Arial"/>
          <w:sz w:val="22"/>
          <w:szCs w:val="22"/>
        </w:rPr>
      </w:pPr>
      <w:r w:rsidRPr="00A703A4">
        <w:rPr>
          <w:rStyle w:val="FootnoteReference"/>
          <w:rFonts w:ascii="Arial" w:hAnsi="Arial" w:cs="Arial"/>
          <w:sz w:val="22"/>
          <w:szCs w:val="22"/>
        </w:rPr>
        <w:footnoteRef/>
      </w:r>
      <w:r w:rsidRPr="00A703A4">
        <w:rPr>
          <w:rFonts w:ascii="Arial" w:hAnsi="Arial" w:cs="Arial"/>
          <w:sz w:val="22"/>
          <w:szCs w:val="22"/>
        </w:rPr>
        <w:t xml:space="preserve"> </w:t>
      </w:r>
      <w:r w:rsidRPr="00A703A4">
        <w:rPr>
          <w:rFonts w:ascii="Arial" w:hAnsi="Arial" w:cs="Arial"/>
          <w:sz w:val="22"/>
          <w:szCs w:val="22"/>
        </w:rPr>
        <w:tab/>
      </w:r>
      <w:r w:rsidR="00734542" w:rsidRPr="00A703A4">
        <w:rPr>
          <w:rFonts w:ascii="Arial" w:hAnsi="Arial" w:cs="Arial"/>
          <w:i/>
          <w:sz w:val="22"/>
          <w:szCs w:val="22"/>
        </w:rPr>
        <w:t xml:space="preserve">SASOL supra </w:t>
      </w:r>
      <w:r w:rsidR="00734542" w:rsidRPr="00A703A4">
        <w:rPr>
          <w:rFonts w:ascii="Arial" w:hAnsi="Arial" w:cs="Arial"/>
          <w:sz w:val="22"/>
          <w:szCs w:val="22"/>
        </w:rPr>
        <w:t>at paras 4, [11]-[12], [14], and [17]-[31].</w:t>
      </w:r>
    </w:p>
  </w:footnote>
  <w:footnote w:id="4">
    <w:p w14:paraId="42C3FFD2" w14:textId="77777777" w:rsidR="00A703A4" w:rsidRPr="00A703A4" w:rsidRDefault="00A703A4" w:rsidP="00A703A4">
      <w:pPr>
        <w:pStyle w:val="FootnoteText"/>
        <w:ind w:left="720" w:hanging="720"/>
        <w:jc w:val="both"/>
        <w:rPr>
          <w:rFonts w:ascii="Arial" w:hAnsi="Arial" w:cs="Arial"/>
          <w:sz w:val="22"/>
          <w:szCs w:val="22"/>
        </w:rPr>
      </w:pPr>
      <w:r w:rsidRPr="00A703A4">
        <w:rPr>
          <w:rStyle w:val="FootnoteReference"/>
          <w:rFonts w:ascii="Arial" w:hAnsi="Arial" w:cs="Arial"/>
          <w:sz w:val="22"/>
          <w:szCs w:val="22"/>
        </w:rPr>
        <w:footnoteRef/>
      </w:r>
      <w:r w:rsidRPr="00A703A4">
        <w:rPr>
          <w:rFonts w:ascii="Arial" w:hAnsi="Arial" w:cs="Arial"/>
          <w:sz w:val="22"/>
          <w:szCs w:val="22"/>
        </w:rPr>
        <w:t xml:space="preserve"> </w:t>
      </w:r>
      <w:r w:rsidRPr="00A703A4">
        <w:rPr>
          <w:rFonts w:ascii="Arial" w:hAnsi="Arial" w:cs="Arial"/>
          <w:sz w:val="22"/>
          <w:szCs w:val="22"/>
        </w:rPr>
        <w:tab/>
        <w:t xml:space="preserve">See, for example, </w:t>
      </w:r>
      <w:r w:rsidRPr="00A703A4">
        <w:rPr>
          <w:rFonts w:ascii="Arial" w:hAnsi="Arial" w:cs="Arial"/>
          <w:i/>
          <w:sz w:val="22"/>
          <w:szCs w:val="22"/>
        </w:rPr>
        <w:t xml:space="preserve">Ex parte </w:t>
      </w:r>
      <w:proofErr w:type="spellStart"/>
      <w:r w:rsidRPr="00A703A4">
        <w:rPr>
          <w:rFonts w:ascii="Arial" w:hAnsi="Arial" w:cs="Arial"/>
          <w:i/>
          <w:sz w:val="22"/>
          <w:szCs w:val="22"/>
        </w:rPr>
        <w:t>Neethling</w:t>
      </w:r>
      <w:proofErr w:type="spellEnd"/>
      <w:r w:rsidRPr="00A703A4">
        <w:rPr>
          <w:rFonts w:ascii="Arial" w:hAnsi="Arial" w:cs="Arial"/>
          <w:i/>
          <w:sz w:val="22"/>
          <w:szCs w:val="22"/>
        </w:rPr>
        <w:t xml:space="preserve"> </w:t>
      </w:r>
      <w:hyperlink r:id="rId1" w:history="1">
        <w:r w:rsidRPr="00A703A4">
          <w:rPr>
            <w:rStyle w:val="Hyperlink"/>
            <w:rFonts w:ascii="Arial" w:hAnsi="Arial" w:cs="Arial"/>
            <w:color w:val="auto"/>
            <w:sz w:val="22"/>
            <w:szCs w:val="22"/>
            <w:u w:val="none"/>
          </w:rPr>
          <w:t xml:space="preserve">1951 (4) SA 331 (A) </w:t>
        </w:r>
      </w:hyperlink>
      <w:r w:rsidRPr="00A703A4">
        <w:rPr>
          <w:rFonts w:ascii="Arial" w:hAnsi="Arial" w:cs="Arial"/>
          <w:sz w:val="22"/>
          <w:szCs w:val="22"/>
        </w:rPr>
        <w:t>at</w:t>
      </w:r>
      <w:r w:rsidRPr="00A703A4">
        <w:rPr>
          <w:rFonts w:ascii="Arial" w:hAnsi="Arial" w:cs="Arial"/>
          <w:spacing w:val="-36"/>
          <w:sz w:val="22"/>
          <w:szCs w:val="22"/>
        </w:rPr>
        <w:t xml:space="preserve"> </w:t>
      </w:r>
      <w:r w:rsidRPr="00A703A4">
        <w:rPr>
          <w:rFonts w:ascii="Arial" w:hAnsi="Arial" w:cs="Arial"/>
          <w:sz w:val="22"/>
          <w:szCs w:val="22"/>
        </w:rPr>
        <w:t>335A-E;</w:t>
      </w:r>
      <w:r w:rsidRPr="00A703A4">
        <w:rPr>
          <w:rFonts w:ascii="Arial" w:hAnsi="Arial" w:cs="Arial"/>
          <w:i/>
          <w:sz w:val="22"/>
          <w:szCs w:val="22"/>
        </w:rPr>
        <w:t xml:space="preserve"> S v Kearney </w:t>
      </w:r>
      <w:hyperlink r:id="rId2" w:history="1">
        <w:r w:rsidRPr="00A703A4">
          <w:rPr>
            <w:rStyle w:val="Hyperlink"/>
            <w:rFonts w:ascii="Arial" w:hAnsi="Arial" w:cs="Arial"/>
            <w:color w:val="auto"/>
            <w:sz w:val="22"/>
            <w:szCs w:val="22"/>
            <w:u w:val="none"/>
          </w:rPr>
          <w:t xml:space="preserve">1964 (2) SA 495 </w:t>
        </w:r>
      </w:hyperlink>
      <w:r w:rsidRPr="00A703A4">
        <w:rPr>
          <w:rFonts w:ascii="Arial" w:hAnsi="Arial" w:cs="Arial"/>
          <w:sz w:val="22"/>
          <w:szCs w:val="22"/>
        </w:rPr>
        <w:t>(A) at 504B-C.</w:t>
      </w:r>
    </w:p>
  </w:footnote>
  <w:footnote w:id="5">
    <w:p w14:paraId="13569583" w14:textId="56942720" w:rsidR="00FA1A13" w:rsidRPr="00A703A4" w:rsidRDefault="00FA1A13" w:rsidP="00A703A4">
      <w:pPr>
        <w:pStyle w:val="FootnoteText"/>
        <w:ind w:left="720" w:hanging="720"/>
        <w:jc w:val="both"/>
        <w:rPr>
          <w:rFonts w:ascii="Arial" w:hAnsi="Arial" w:cs="Arial"/>
          <w:sz w:val="22"/>
          <w:szCs w:val="22"/>
        </w:rPr>
      </w:pPr>
      <w:r w:rsidRPr="00A703A4">
        <w:rPr>
          <w:rStyle w:val="FootnoteReference"/>
          <w:rFonts w:ascii="Arial" w:hAnsi="Arial" w:cs="Arial"/>
          <w:sz w:val="22"/>
          <w:szCs w:val="22"/>
        </w:rPr>
        <w:footnoteRef/>
      </w:r>
      <w:r w:rsidRPr="00A703A4">
        <w:rPr>
          <w:rFonts w:ascii="Arial" w:hAnsi="Arial" w:cs="Arial"/>
          <w:sz w:val="22"/>
          <w:szCs w:val="22"/>
        </w:rPr>
        <w:t xml:space="preserve"> </w:t>
      </w:r>
      <w:r w:rsidRPr="00A703A4">
        <w:rPr>
          <w:rFonts w:ascii="Arial" w:hAnsi="Arial" w:cs="Arial"/>
          <w:sz w:val="22"/>
          <w:szCs w:val="22"/>
        </w:rPr>
        <w:tab/>
        <w:t>Section 21 of the Superior Courts Act; and see section 10(2) of the Interpretation Act 33 of 1957.</w:t>
      </w:r>
    </w:p>
  </w:footnote>
  <w:footnote w:id="6">
    <w:p w14:paraId="03554550" w14:textId="41416CFA" w:rsidR="00FA1A13" w:rsidRPr="00A703A4" w:rsidRDefault="00FA1A13" w:rsidP="00A703A4">
      <w:pPr>
        <w:pStyle w:val="FootnoteText"/>
        <w:jc w:val="both"/>
        <w:rPr>
          <w:rFonts w:ascii="Arial" w:hAnsi="Arial" w:cs="Arial"/>
          <w:sz w:val="22"/>
          <w:szCs w:val="22"/>
        </w:rPr>
      </w:pPr>
      <w:r w:rsidRPr="00A703A4">
        <w:rPr>
          <w:rStyle w:val="FootnoteReference"/>
          <w:rFonts w:ascii="Arial" w:hAnsi="Arial" w:cs="Arial"/>
          <w:sz w:val="22"/>
          <w:szCs w:val="22"/>
        </w:rPr>
        <w:footnoteRef/>
      </w:r>
      <w:r w:rsidRPr="00A703A4">
        <w:rPr>
          <w:rFonts w:ascii="Arial" w:hAnsi="Arial" w:cs="Arial"/>
          <w:sz w:val="22"/>
          <w:szCs w:val="22"/>
        </w:rPr>
        <w:t xml:space="preserve"> </w:t>
      </w:r>
      <w:r w:rsidRPr="00A703A4">
        <w:rPr>
          <w:rFonts w:ascii="Arial" w:hAnsi="Arial" w:cs="Arial"/>
          <w:sz w:val="22"/>
          <w:szCs w:val="22"/>
        </w:rPr>
        <w:tab/>
      </w:r>
      <w:r w:rsidRPr="00A703A4">
        <w:rPr>
          <w:rFonts w:ascii="Arial" w:hAnsi="Arial" w:cs="Arial"/>
          <w:i/>
          <w:sz w:val="22"/>
          <w:szCs w:val="22"/>
        </w:rPr>
        <w:t xml:space="preserve">ABSA Bank Ltd v </w:t>
      </w:r>
      <w:proofErr w:type="spellStart"/>
      <w:r w:rsidRPr="00A703A4">
        <w:rPr>
          <w:rFonts w:ascii="Arial" w:hAnsi="Arial" w:cs="Arial"/>
          <w:i/>
          <w:sz w:val="22"/>
          <w:szCs w:val="22"/>
        </w:rPr>
        <w:t>Zalvest</w:t>
      </w:r>
      <w:proofErr w:type="spellEnd"/>
      <w:r w:rsidRPr="00A703A4">
        <w:rPr>
          <w:rFonts w:ascii="Arial" w:hAnsi="Arial" w:cs="Arial"/>
          <w:i/>
          <w:sz w:val="22"/>
          <w:szCs w:val="22"/>
        </w:rPr>
        <w:t xml:space="preserve"> Twenty (Pty) Ltd </w:t>
      </w:r>
      <w:r w:rsidRPr="00A703A4">
        <w:rPr>
          <w:rFonts w:ascii="Arial" w:hAnsi="Arial" w:cs="Arial"/>
          <w:sz w:val="22"/>
          <w:szCs w:val="22"/>
        </w:rPr>
        <w:t>2014 (2) SA 119 (WCC) at para [11].</w:t>
      </w:r>
    </w:p>
  </w:footnote>
  <w:footnote w:id="7">
    <w:p w14:paraId="69BB1E0B" w14:textId="5CD4B53F" w:rsidR="00417B6C" w:rsidRPr="00A703A4" w:rsidRDefault="00417B6C" w:rsidP="00A703A4">
      <w:pPr>
        <w:pStyle w:val="FootnoteText"/>
        <w:contextualSpacing/>
        <w:jc w:val="both"/>
        <w:rPr>
          <w:rFonts w:ascii="Arial" w:hAnsi="Arial" w:cs="Arial"/>
          <w:sz w:val="22"/>
          <w:szCs w:val="22"/>
        </w:rPr>
      </w:pPr>
      <w:r w:rsidRPr="00A703A4">
        <w:rPr>
          <w:rStyle w:val="FootnoteReference"/>
          <w:rFonts w:ascii="Arial" w:hAnsi="Arial" w:cs="Arial"/>
          <w:sz w:val="22"/>
          <w:szCs w:val="22"/>
        </w:rPr>
        <w:footnoteRef/>
      </w:r>
      <w:r w:rsidRPr="00A703A4">
        <w:rPr>
          <w:rFonts w:ascii="Arial" w:hAnsi="Arial" w:cs="Arial"/>
          <w:sz w:val="22"/>
          <w:szCs w:val="22"/>
        </w:rPr>
        <w:t xml:space="preserve"> </w:t>
      </w:r>
      <w:r w:rsidRPr="00A703A4">
        <w:rPr>
          <w:rFonts w:ascii="Arial" w:hAnsi="Arial" w:cs="Arial"/>
          <w:sz w:val="22"/>
          <w:szCs w:val="22"/>
        </w:rPr>
        <w:tab/>
        <w:t>2020 (1) SA 155 (GJ) at para [31].</w:t>
      </w:r>
    </w:p>
  </w:footnote>
  <w:footnote w:id="8">
    <w:p w14:paraId="346E3D46" w14:textId="1DD0EDCE" w:rsidR="00FD3C73" w:rsidRPr="00A703A4" w:rsidRDefault="00FD3C73" w:rsidP="00A703A4">
      <w:pPr>
        <w:pStyle w:val="Heading2"/>
        <w:shd w:val="clear" w:color="auto" w:fill="FFFFFF"/>
        <w:tabs>
          <w:tab w:val="clear" w:pos="1418"/>
          <w:tab w:val="left" w:pos="720"/>
        </w:tabs>
        <w:spacing w:before="0" w:after="0" w:line="240" w:lineRule="auto"/>
        <w:ind w:left="720" w:hanging="720"/>
        <w:contextualSpacing/>
        <w:rPr>
          <w:rFonts w:ascii="Arial" w:hAnsi="Arial" w:cs="Arial"/>
          <w:sz w:val="22"/>
          <w:szCs w:val="22"/>
        </w:rPr>
      </w:pPr>
      <w:r w:rsidRPr="00A703A4">
        <w:rPr>
          <w:rStyle w:val="FootnoteReference"/>
          <w:rFonts w:ascii="Arial" w:hAnsi="Arial" w:cs="Arial"/>
          <w:sz w:val="22"/>
          <w:szCs w:val="22"/>
        </w:rPr>
        <w:footnoteRef/>
      </w:r>
      <w:r w:rsidRPr="00A703A4">
        <w:rPr>
          <w:rFonts w:ascii="Arial" w:hAnsi="Arial" w:cs="Arial"/>
          <w:sz w:val="22"/>
          <w:szCs w:val="22"/>
        </w:rPr>
        <w:t xml:space="preserve"> </w:t>
      </w:r>
      <w:r w:rsidRPr="00A703A4">
        <w:rPr>
          <w:rFonts w:ascii="Arial" w:hAnsi="Arial" w:cs="Arial"/>
          <w:sz w:val="22"/>
          <w:szCs w:val="22"/>
        </w:rPr>
        <w:tab/>
      </w:r>
      <w:r w:rsidR="00401700" w:rsidRPr="00A703A4">
        <w:rPr>
          <w:rFonts w:ascii="Arial" w:hAnsi="Arial" w:cs="Arial"/>
          <w:sz w:val="22"/>
          <w:szCs w:val="22"/>
        </w:rPr>
        <w:t>[2020] ZAGPPHC 397 (5 August 2020)</w:t>
      </w:r>
      <w:r w:rsidR="00B37AB3" w:rsidRPr="00A703A4">
        <w:rPr>
          <w:rFonts w:ascii="Arial" w:hAnsi="Arial" w:cs="Arial"/>
          <w:sz w:val="22"/>
          <w:szCs w:val="22"/>
        </w:rPr>
        <w:t xml:space="preserve"> at paras [13]-[14]</w:t>
      </w:r>
      <w:r w:rsidR="00401700" w:rsidRPr="00A703A4">
        <w:rPr>
          <w:rFonts w:ascii="Arial" w:hAnsi="Arial" w:cs="Arial"/>
          <w:sz w:val="22"/>
          <w:szCs w:val="22"/>
        </w:rPr>
        <w:t>.</w:t>
      </w:r>
    </w:p>
  </w:footnote>
  <w:footnote w:id="9">
    <w:p w14:paraId="722DAD06" w14:textId="526543EC" w:rsidR="00401700" w:rsidRPr="00A703A4" w:rsidRDefault="00401700" w:rsidP="00A703A4">
      <w:pPr>
        <w:pStyle w:val="Heading2"/>
        <w:shd w:val="clear" w:color="auto" w:fill="FFFFFF"/>
        <w:spacing w:before="0" w:after="0" w:line="240" w:lineRule="auto"/>
        <w:ind w:left="720" w:hanging="720"/>
        <w:contextualSpacing/>
        <w:rPr>
          <w:rFonts w:ascii="Arial" w:hAnsi="Arial" w:cs="Arial"/>
          <w:sz w:val="22"/>
          <w:szCs w:val="22"/>
        </w:rPr>
      </w:pPr>
      <w:r w:rsidRPr="00A703A4">
        <w:rPr>
          <w:rStyle w:val="FootnoteReference"/>
          <w:rFonts w:ascii="Arial" w:hAnsi="Arial" w:cs="Arial"/>
          <w:sz w:val="22"/>
          <w:szCs w:val="22"/>
        </w:rPr>
        <w:footnoteRef/>
      </w:r>
      <w:r w:rsidRPr="00A703A4">
        <w:rPr>
          <w:rFonts w:ascii="Arial" w:hAnsi="Arial" w:cs="Arial"/>
          <w:sz w:val="22"/>
          <w:szCs w:val="22"/>
        </w:rPr>
        <w:t xml:space="preserve"> </w:t>
      </w:r>
      <w:r w:rsidRPr="00A703A4">
        <w:rPr>
          <w:rFonts w:ascii="Arial" w:hAnsi="Arial" w:cs="Arial"/>
          <w:sz w:val="22"/>
          <w:szCs w:val="22"/>
        </w:rPr>
        <w:tab/>
        <w:t>2020 (6) SA 624 (WCC) at paras [6] and [8].</w:t>
      </w:r>
    </w:p>
  </w:footnote>
  <w:footnote w:id="10">
    <w:p w14:paraId="589FDD01" w14:textId="638FCC4A" w:rsidR="004E5237" w:rsidRPr="00A703A4" w:rsidRDefault="004E5237" w:rsidP="00A703A4">
      <w:pPr>
        <w:pStyle w:val="FootnoteText"/>
        <w:jc w:val="both"/>
        <w:rPr>
          <w:rFonts w:ascii="Arial" w:hAnsi="Arial" w:cs="Arial"/>
          <w:sz w:val="22"/>
          <w:szCs w:val="22"/>
        </w:rPr>
      </w:pPr>
      <w:r w:rsidRPr="00A703A4">
        <w:rPr>
          <w:rStyle w:val="FootnoteReference"/>
          <w:rFonts w:ascii="Arial" w:hAnsi="Arial" w:cs="Arial"/>
          <w:sz w:val="22"/>
          <w:szCs w:val="22"/>
        </w:rPr>
        <w:footnoteRef/>
      </w:r>
      <w:r w:rsidRPr="00A703A4">
        <w:rPr>
          <w:rFonts w:ascii="Arial" w:hAnsi="Arial" w:cs="Arial"/>
          <w:sz w:val="22"/>
          <w:szCs w:val="22"/>
        </w:rPr>
        <w:t xml:space="preserve"> </w:t>
      </w:r>
      <w:r w:rsidRPr="00A703A4">
        <w:rPr>
          <w:rFonts w:ascii="Arial" w:hAnsi="Arial" w:cs="Arial"/>
          <w:sz w:val="22"/>
          <w:szCs w:val="22"/>
        </w:rPr>
        <w:tab/>
      </w:r>
      <w:r w:rsidR="00D74519" w:rsidRPr="00A703A4">
        <w:rPr>
          <w:rFonts w:ascii="Arial" w:hAnsi="Arial" w:cs="Arial"/>
          <w:sz w:val="22"/>
          <w:szCs w:val="22"/>
        </w:rPr>
        <w:t>2021 (3) SA 178 (WCC) a</w:t>
      </w:r>
      <w:r w:rsidRPr="00A703A4">
        <w:rPr>
          <w:rFonts w:ascii="Arial" w:hAnsi="Arial" w:cs="Arial"/>
          <w:sz w:val="22"/>
          <w:szCs w:val="22"/>
        </w:rPr>
        <w:t>t para [31].</w:t>
      </w:r>
    </w:p>
  </w:footnote>
  <w:footnote w:id="11">
    <w:p w14:paraId="5F82EFB5" w14:textId="7DF3725E" w:rsidR="00417B6C" w:rsidRPr="00A703A4" w:rsidRDefault="00417B6C" w:rsidP="00A703A4">
      <w:pPr>
        <w:pStyle w:val="FootnoteText"/>
        <w:jc w:val="both"/>
        <w:rPr>
          <w:rFonts w:ascii="Arial" w:hAnsi="Arial" w:cs="Arial"/>
          <w:sz w:val="22"/>
          <w:szCs w:val="22"/>
        </w:rPr>
      </w:pPr>
      <w:r w:rsidRPr="00A703A4">
        <w:rPr>
          <w:rStyle w:val="FootnoteReference"/>
          <w:rFonts w:ascii="Arial" w:hAnsi="Arial" w:cs="Arial"/>
          <w:sz w:val="22"/>
          <w:szCs w:val="22"/>
        </w:rPr>
        <w:footnoteRef/>
      </w:r>
      <w:r w:rsidRPr="00A703A4">
        <w:rPr>
          <w:rFonts w:ascii="Arial" w:hAnsi="Arial" w:cs="Arial"/>
          <w:sz w:val="22"/>
          <w:szCs w:val="22"/>
        </w:rPr>
        <w:t xml:space="preserve"> </w:t>
      </w:r>
      <w:r w:rsidRPr="00A703A4">
        <w:rPr>
          <w:rFonts w:ascii="Arial" w:hAnsi="Arial" w:cs="Arial"/>
          <w:sz w:val="22"/>
          <w:szCs w:val="22"/>
        </w:rPr>
        <w:tab/>
        <w:t>2022 (3) SA 458 (GJ) at paras [22]-[28].</w:t>
      </w:r>
    </w:p>
  </w:footnote>
  <w:footnote w:id="12">
    <w:p w14:paraId="7FCBCB61" w14:textId="0F0EF569" w:rsidR="00803873" w:rsidRPr="00A703A4" w:rsidRDefault="00803873" w:rsidP="00A703A4">
      <w:pPr>
        <w:pStyle w:val="FootnoteText"/>
        <w:contextualSpacing/>
        <w:jc w:val="both"/>
        <w:rPr>
          <w:rFonts w:ascii="Arial" w:hAnsi="Arial" w:cs="Arial"/>
          <w:sz w:val="22"/>
          <w:szCs w:val="22"/>
        </w:rPr>
      </w:pPr>
      <w:r w:rsidRPr="00A703A4">
        <w:rPr>
          <w:rStyle w:val="FootnoteReference"/>
          <w:rFonts w:ascii="Arial" w:hAnsi="Arial" w:cs="Arial"/>
          <w:sz w:val="22"/>
          <w:szCs w:val="22"/>
        </w:rPr>
        <w:footnoteRef/>
      </w:r>
      <w:r w:rsidRPr="00A703A4">
        <w:rPr>
          <w:rFonts w:ascii="Arial" w:hAnsi="Arial" w:cs="Arial"/>
          <w:sz w:val="22"/>
          <w:szCs w:val="22"/>
        </w:rPr>
        <w:t xml:space="preserve"> </w:t>
      </w:r>
      <w:r w:rsidRPr="00A703A4">
        <w:rPr>
          <w:rFonts w:ascii="Arial" w:hAnsi="Arial" w:cs="Arial"/>
          <w:sz w:val="22"/>
          <w:szCs w:val="22"/>
        </w:rPr>
        <w:tab/>
        <w:t>2022 (2) SA 503 (KZP).</w:t>
      </w:r>
    </w:p>
  </w:footnote>
  <w:footnote w:id="13">
    <w:p w14:paraId="0BAB13F4" w14:textId="220D6237" w:rsidR="00803873" w:rsidRPr="00A703A4" w:rsidRDefault="00803873" w:rsidP="00A703A4">
      <w:pPr>
        <w:pStyle w:val="FootnoteText"/>
        <w:contextualSpacing/>
        <w:jc w:val="both"/>
        <w:rPr>
          <w:rFonts w:ascii="Arial" w:hAnsi="Arial" w:cs="Arial"/>
          <w:sz w:val="22"/>
          <w:szCs w:val="22"/>
        </w:rPr>
      </w:pPr>
      <w:r w:rsidRPr="00A703A4">
        <w:rPr>
          <w:rStyle w:val="FootnoteReference"/>
          <w:rFonts w:ascii="Arial" w:hAnsi="Arial" w:cs="Arial"/>
          <w:sz w:val="22"/>
          <w:szCs w:val="22"/>
        </w:rPr>
        <w:footnoteRef/>
      </w:r>
      <w:r w:rsidRPr="00A703A4">
        <w:rPr>
          <w:rFonts w:ascii="Arial" w:hAnsi="Arial" w:cs="Arial"/>
          <w:sz w:val="22"/>
          <w:szCs w:val="22"/>
        </w:rPr>
        <w:t xml:space="preserve"> </w:t>
      </w:r>
      <w:r w:rsidRPr="00A703A4">
        <w:rPr>
          <w:rFonts w:ascii="Arial" w:hAnsi="Arial" w:cs="Arial"/>
          <w:sz w:val="22"/>
          <w:szCs w:val="22"/>
        </w:rPr>
        <w:tab/>
      </w:r>
      <w:r w:rsidRPr="00A703A4">
        <w:rPr>
          <w:rFonts w:ascii="Arial" w:hAnsi="Arial" w:cs="Arial"/>
          <w:i/>
          <w:iCs/>
          <w:sz w:val="22"/>
          <w:szCs w:val="22"/>
        </w:rPr>
        <w:t>Paul v Peter</w:t>
      </w:r>
      <w:r w:rsidRPr="00A703A4">
        <w:rPr>
          <w:rFonts w:ascii="Arial" w:hAnsi="Arial" w:cs="Arial"/>
          <w:sz w:val="22"/>
          <w:szCs w:val="22"/>
        </w:rPr>
        <w:t xml:space="preserve"> 1985 </w:t>
      </w:r>
      <w:r w:rsidR="00DE3D4C" w:rsidRPr="00A703A4">
        <w:rPr>
          <w:rFonts w:ascii="Arial" w:hAnsi="Arial" w:cs="Arial"/>
          <w:sz w:val="22"/>
          <w:szCs w:val="22"/>
        </w:rPr>
        <w:t>(4) SA 227 (N) at 230E-G.</w:t>
      </w:r>
    </w:p>
  </w:footnote>
  <w:footnote w:id="14">
    <w:p w14:paraId="6B5BDABC" w14:textId="3D25FE1A" w:rsidR="003339EE" w:rsidRPr="00A703A4" w:rsidRDefault="003339EE" w:rsidP="00A703A4">
      <w:pPr>
        <w:pStyle w:val="FootnoteText"/>
        <w:tabs>
          <w:tab w:val="left" w:pos="720"/>
        </w:tabs>
        <w:contextualSpacing/>
        <w:jc w:val="both"/>
        <w:rPr>
          <w:rFonts w:ascii="Arial" w:hAnsi="Arial" w:cs="Arial"/>
          <w:sz w:val="22"/>
          <w:szCs w:val="22"/>
        </w:rPr>
      </w:pPr>
      <w:r w:rsidRPr="00A703A4">
        <w:rPr>
          <w:rStyle w:val="FootnoteReference"/>
          <w:rFonts w:ascii="Arial" w:hAnsi="Arial" w:cs="Arial"/>
          <w:sz w:val="22"/>
          <w:szCs w:val="22"/>
        </w:rPr>
        <w:footnoteRef/>
      </w:r>
      <w:r w:rsidRPr="00A703A4">
        <w:rPr>
          <w:rFonts w:ascii="Arial" w:hAnsi="Arial" w:cs="Arial"/>
          <w:sz w:val="22"/>
          <w:szCs w:val="22"/>
        </w:rPr>
        <w:t xml:space="preserve"> </w:t>
      </w:r>
      <w:r w:rsidRPr="00A703A4">
        <w:rPr>
          <w:rFonts w:ascii="Arial" w:hAnsi="Arial" w:cs="Arial"/>
          <w:sz w:val="22"/>
          <w:szCs w:val="22"/>
        </w:rPr>
        <w:tab/>
        <w:t>[2021] JOL 49833 (WCC).</w:t>
      </w:r>
    </w:p>
  </w:footnote>
  <w:footnote w:id="15">
    <w:p w14:paraId="370C7718" w14:textId="1A10EE9F" w:rsidR="003339EE" w:rsidRPr="00A703A4" w:rsidRDefault="003339EE" w:rsidP="00A703A4">
      <w:pPr>
        <w:pStyle w:val="Heading2"/>
        <w:shd w:val="clear" w:color="auto" w:fill="FFFFFF"/>
        <w:tabs>
          <w:tab w:val="clear" w:pos="1418"/>
          <w:tab w:val="left" w:pos="720"/>
        </w:tabs>
        <w:spacing w:before="0" w:after="0" w:line="240" w:lineRule="auto"/>
        <w:ind w:left="720" w:hanging="720"/>
        <w:contextualSpacing/>
        <w:rPr>
          <w:rFonts w:ascii="Arial" w:hAnsi="Arial" w:cs="Arial"/>
          <w:color w:val="64473A"/>
          <w:sz w:val="22"/>
          <w:szCs w:val="22"/>
        </w:rPr>
      </w:pPr>
      <w:r w:rsidRPr="00A703A4">
        <w:rPr>
          <w:rStyle w:val="FootnoteReference"/>
          <w:rFonts w:ascii="Arial" w:hAnsi="Arial" w:cs="Arial"/>
          <w:sz w:val="22"/>
          <w:szCs w:val="22"/>
        </w:rPr>
        <w:footnoteRef/>
      </w:r>
      <w:r w:rsidRPr="00A703A4">
        <w:rPr>
          <w:rFonts w:ascii="Arial" w:hAnsi="Arial" w:cs="Arial"/>
          <w:sz w:val="22"/>
          <w:szCs w:val="22"/>
        </w:rPr>
        <w:t xml:space="preserve"> </w:t>
      </w:r>
      <w:r w:rsidRPr="00A703A4">
        <w:rPr>
          <w:rFonts w:ascii="Arial" w:hAnsi="Arial" w:cs="Arial"/>
          <w:sz w:val="22"/>
          <w:szCs w:val="22"/>
        </w:rPr>
        <w:tab/>
      </w:r>
      <w:proofErr w:type="spellStart"/>
      <w:r w:rsidRPr="00A703A4">
        <w:rPr>
          <w:rFonts w:ascii="Arial" w:hAnsi="Arial" w:cs="Arial"/>
          <w:i/>
          <w:sz w:val="22"/>
          <w:szCs w:val="22"/>
        </w:rPr>
        <w:t>Muhanelwa</w:t>
      </w:r>
      <w:proofErr w:type="spellEnd"/>
      <w:r w:rsidRPr="00A703A4">
        <w:rPr>
          <w:rFonts w:ascii="Arial" w:hAnsi="Arial" w:cs="Arial"/>
          <w:i/>
          <w:sz w:val="22"/>
          <w:szCs w:val="22"/>
        </w:rPr>
        <w:t xml:space="preserve"> v </w:t>
      </w:r>
      <w:proofErr w:type="spellStart"/>
      <w:r w:rsidRPr="00A703A4">
        <w:rPr>
          <w:rFonts w:ascii="Arial" w:hAnsi="Arial" w:cs="Arial"/>
          <w:i/>
          <w:sz w:val="22"/>
          <w:szCs w:val="22"/>
        </w:rPr>
        <w:t>Gcingca</w:t>
      </w:r>
      <w:proofErr w:type="spellEnd"/>
      <w:r w:rsidRPr="00A703A4">
        <w:rPr>
          <w:rFonts w:ascii="Arial" w:hAnsi="Arial" w:cs="Arial"/>
          <w:i/>
          <w:sz w:val="22"/>
          <w:szCs w:val="22"/>
        </w:rPr>
        <w:t xml:space="preserve"> </w:t>
      </w:r>
      <w:r w:rsidR="008D2B64" w:rsidRPr="00A703A4">
        <w:rPr>
          <w:rFonts w:ascii="Arial" w:hAnsi="Arial" w:cs="Arial"/>
          <w:sz w:val="22"/>
          <w:szCs w:val="22"/>
        </w:rPr>
        <w:t xml:space="preserve">[2018] ZAGPJHC 718 (27 February 2018) </w:t>
      </w:r>
      <w:r w:rsidRPr="00A703A4">
        <w:rPr>
          <w:rFonts w:ascii="Arial" w:hAnsi="Arial" w:cs="Arial"/>
          <w:sz w:val="22"/>
          <w:szCs w:val="22"/>
        </w:rPr>
        <w:t>at para</w:t>
      </w:r>
      <w:r w:rsidR="008D2B64" w:rsidRPr="00A703A4">
        <w:rPr>
          <w:rFonts w:ascii="Arial" w:hAnsi="Arial" w:cs="Arial"/>
          <w:sz w:val="22"/>
          <w:szCs w:val="22"/>
        </w:rPr>
        <w:t xml:space="preserve"> </w:t>
      </w:r>
      <w:r w:rsidRPr="00A703A4">
        <w:rPr>
          <w:rFonts w:ascii="Arial" w:hAnsi="Arial" w:cs="Arial"/>
          <w:sz w:val="22"/>
          <w:szCs w:val="22"/>
        </w:rPr>
        <w:t>[16]</w:t>
      </w:r>
      <w:r w:rsidR="008D2B64" w:rsidRPr="00A703A4">
        <w:rPr>
          <w:rFonts w:ascii="Arial" w:hAnsi="Arial" w:cs="Arial"/>
          <w:sz w:val="22"/>
          <w:szCs w:val="22"/>
        </w:rPr>
        <w:t xml:space="preserve"> (a subsequent application for leave to appeal to the Constitutional Court was dismissed ([2019] ZACC 21 (17 May 2019)).</w:t>
      </w:r>
    </w:p>
  </w:footnote>
  <w:footnote w:id="16">
    <w:p w14:paraId="325BF8DC" w14:textId="1B0FFEDA" w:rsidR="008D2B64" w:rsidRPr="00A703A4" w:rsidRDefault="008D2B64" w:rsidP="00A703A4">
      <w:pPr>
        <w:pStyle w:val="FootnoteText"/>
        <w:ind w:left="720" w:hanging="720"/>
        <w:jc w:val="both"/>
        <w:rPr>
          <w:rFonts w:ascii="Arial" w:hAnsi="Arial" w:cs="Arial"/>
          <w:sz w:val="22"/>
          <w:szCs w:val="22"/>
        </w:rPr>
      </w:pPr>
      <w:r w:rsidRPr="00A703A4">
        <w:rPr>
          <w:rStyle w:val="FootnoteReference"/>
          <w:rFonts w:ascii="Arial" w:hAnsi="Arial" w:cs="Arial"/>
          <w:sz w:val="22"/>
          <w:szCs w:val="22"/>
        </w:rPr>
        <w:footnoteRef/>
      </w:r>
      <w:r w:rsidRPr="00A703A4">
        <w:rPr>
          <w:rFonts w:ascii="Arial" w:hAnsi="Arial" w:cs="Arial"/>
          <w:sz w:val="22"/>
          <w:szCs w:val="22"/>
        </w:rPr>
        <w:t xml:space="preserve"> </w:t>
      </w:r>
      <w:r w:rsidRPr="00A703A4">
        <w:rPr>
          <w:rFonts w:ascii="Arial" w:hAnsi="Arial" w:cs="Arial"/>
          <w:sz w:val="22"/>
          <w:szCs w:val="22"/>
        </w:rPr>
        <w:tab/>
      </w:r>
      <w:r w:rsidRPr="00A703A4">
        <w:rPr>
          <w:rFonts w:ascii="Arial" w:hAnsi="Arial" w:cs="Arial"/>
          <w:i/>
          <w:sz w:val="22"/>
          <w:szCs w:val="22"/>
        </w:rPr>
        <w:t xml:space="preserve">Minister of Justice and Constitutional Development v Southern African Litigation Centre </w:t>
      </w:r>
      <w:r w:rsidRPr="00A703A4">
        <w:rPr>
          <w:rFonts w:ascii="Arial" w:hAnsi="Arial" w:cs="Arial"/>
          <w:sz w:val="22"/>
          <w:szCs w:val="22"/>
        </w:rPr>
        <w:t>2016 (3) SA 317 (SCA) at para [24].</w:t>
      </w:r>
    </w:p>
  </w:footnote>
  <w:footnote w:id="17">
    <w:p w14:paraId="634FA242" w14:textId="403B4320" w:rsidR="00957D4C" w:rsidRPr="00A703A4" w:rsidRDefault="00957D4C" w:rsidP="00A703A4">
      <w:pPr>
        <w:pStyle w:val="FootnoteText"/>
        <w:jc w:val="both"/>
        <w:rPr>
          <w:rFonts w:ascii="Arial" w:hAnsi="Arial" w:cs="Arial"/>
          <w:sz w:val="22"/>
          <w:szCs w:val="22"/>
        </w:rPr>
      </w:pPr>
      <w:r w:rsidRPr="00A703A4">
        <w:rPr>
          <w:rStyle w:val="FootnoteReference"/>
          <w:rFonts w:ascii="Arial" w:hAnsi="Arial" w:cs="Arial"/>
          <w:sz w:val="22"/>
          <w:szCs w:val="22"/>
        </w:rPr>
        <w:footnoteRef/>
      </w:r>
      <w:r w:rsidRPr="00A703A4">
        <w:rPr>
          <w:rFonts w:ascii="Arial" w:hAnsi="Arial" w:cs="Arial"/>
          <w:sz w:val="22"/>
          <w:szCs w:val="22"/>
        </w:rPr>
        <w:t xml:space="preserve"> </w:t>
      </w:r>
      <w:r w:rsidRPr="00A703A4">
        <w:rPr>
          <w:rFonts w:ascii="Arial" w:hAnsi="Arial" w:cs="Arial"/>
          <w:sz w:val="22"/>
          <w:szCs w:val="22"/>
        </w:rPr>
        <w:tab/>
        <w:t>[2021] ZAGPPHC 247 (11 May 2021).</w:t>
      </w:r>
    </w:p>
  </w:footnote>
  <w:footnote w:id="18">
    <w:p w14:paraId="2F4046B3" w14:textId="6E82F032" w:rsidR="00F31C0C" w:rsidRDefault="00F31C0C" w:rsidP="00A703A4">
      <w:pPr>
        <w:pStyle w:val="FootnoteText"/>
        <w:ind w:left="720" w:hanging="720"/>
        <w:jc w:val="both"/>
      </w:pPr>
      <w:r w:rsidRPr="00A703A4">
        <w:rPr>
          <w:rStyle w:val="FootnoteReference"/>
          <w:rFonts w:ascii="Arial" w:hAnsi="Arial" w:cs="Arial"/>
          <w:sz w:val="22"/>
          <w:szCs w:val="22"/>
        </w:rPr>
        <w:footnoteRef/>
      </w:r>
      <w:r w:rsidRPr="00A703A4">
        <w:rPr>
          <w:rFonts w:ascii="Arial" w:hAnsi="Arial" w:cs="Arial"/>
          <w:sz w:val="22"/>
          <w:szCs w:val="22"/>
        </w:rPr>
        <w:t xml:space="preserve"> </w:t>
      </w:r>
      <w:r w:rsidRPr="00A703A4">
        <w:rPr>
          <w:rFonts w:ascii="Arial" w:hAnsi="Arial" w:cs="Arial"/>
          <w:sz w:val="22"/>
          <w:szCs w:val="22"/>
        </w:rPr>
        <w:tab/>
      </w:r>
      <w:r w:rsidRPr="00A703A4">
        <w:rPr>
          <w:rFonts w:ascii="Arial" w:hAnsi="Arial" w:cs="Arial"/>
          <w:i/>
          <w:iCs/>
          <w:sz w:val="22"/>
          <w:szCs w:val="22"/>
        </w:rPr>
        <w:t xml:space="preserve">BW </w:t>
      </w:r>
      <w:proofErr w:type="spellStart"/>
      <w:r w:rsidRPr="00A703A4">
        <w:rPr>
          <w:rFonts w:ascii="Arial" w:hAnsi="Arial" w:cs="Arial"/>
          <w:i/>
          <w:iCs/>
          <w:sz w:val="22"/>
          <w:szCs w:val="22"/>
        </w:rPr>
        <w:t>Kuttle</w:t>
      </w:r>
      <w:proofErr w:type="spellEnd"/>
      <w:r w:rsidRPr="00A703A4">
        <w:rPr>
          <w:rFonts w:ascii="Arial" w:hAnsi="Arial" w:cs="Arial"/>
          <w:i/>
          <w:iCs/>
          <w:sz w:val="22"/>
          <w:szCs w:val="22"/>
        </w:rPr>
        <w:t xml:space="preserve"> &amp; Association </w:t>
      </w:r>
      <w:proofErr w:type="spellStart"/>
      <w:r w:rsidRPr="00A703A4">
        <w:rPr>
          <w:rFonts w:ascii="Arial" w:hAnsi="Arial" w:cs="Arial"/>
          <w:i/>
          <w:iCs/>
          <w:sz w:val="22"/>
          <w:szCs w:val="22"/>
        </w:rPr>
        <w:t>Inc</w:t>
      </w:r>
      <w:proofErr w:type="spellEnd"/>
      <w:r w:rsidRPr="00A703A4">
        <w:rPr>
          <w:rFonts w:ascii="Arial" w:hAnsi="Arial" w:cs="Arial"/>
          <w:i/>
          <w:iCs/>
          <w:sz w:val="22"/>
          <w:szCs w:val="22"/>
        </w:rPr>
        <w:t xml:space="preserve"> v O’Connell Manthe &amp; Partners Inc</w:t>
      </w:r>
      <w:r w:rsidRPr="00A703A4">
        <w:rPr>
          <w:rFonts w:ascii="Arial" w:hAnsi="Arial" w:cs="Arial"/>
          <w:sz w:val="22"/>
          <w:szCs w:val="22"/>
        </w:rPr>
        <w:t xml:space="preserve"> 1984 (2) SA 665 (C); </w:t>
      </w:r>
      <w:r w:rsidRPr="00A703A4">
        <w:rPr>
          <w:rFonts w:ascii="Arial" w:hAnsi="Arial" w:cs="Arial"/>
          <w:i/>
          <w:iCs/>
          <w:sz w:val="22"/>
          <w:szCs w:val="22"/>
        </w:rPr>
        <w:t xml:space="preserve">Vesta Estate Agency v </w:t>
      </w:r>
      <w:proofErr w:type="spellStart"/>
      <w:r w:rsidRPr="00A703A4">
        <w:rPr>
          <w:rFonts w:ascii="Arial" w:hAnsi="Arial" w:cs="Arial"/>
          <w:i/>
          <w:iCs/>
          <w:sz w:val="22"/>
          <w:szCs w:val="22"/>
        </w:rPr>
        <w:t>Schlom</w:t>
      </w:r>
      <w:proofErr w:type="spellEnd"/>
      <w:r w:rsidRPr="00A703A4">
        <w:rPr>
          <w:rFonts w:ascii="Arial" w:hAnsi="Arial" w:cs="Arial"/>
          <w:sz w:val="22"/>
          <w:szCs w:val="22"/>
        </w:rPr>
        <w:t xml:space="preserve"> 1991 (1) SA 593 (C), </w:t>
      </w:r>
      <w:r w:rsidRPr="00A703A4">
        <w:rPr>
          <w:rFonts w:ascii="Arial" w:hAnsi="Arial" w:cs="Arial"/>
          <w:i/>
          <w:iCs/>
          <w:sz w:val="22"/>
          <w:szCs w:val="22"/>
        </w:rPr>
        <w:t>Quattro Citrus supra</w:t>
      </w:r>
      <w:r w:rsidRPr="00A703A4">
        <w:rPr>
          <w:rFonts w:ascii="Arial" w:hAnsi="Arial" w:cs="Arial"/>
          <w:sz w:val="22"/>
          <w:szCs w:val="22"/>
        </w:rPr>
        <w:t xml:space="preserve">, and </w:t>
      </w:r>
      <w:proofErr w:type="spellStart"/>
      <w:r w:rsidRPr="00A703A4">
        <w:rPr>
          <w:rFonts w:ascii="Arial" w:hAnsi="Arial" w:cs="Arial"/>
          <w:i/>
          <w:iCs/>
          <w:sz w:val="22"/>
          <w:szCs w:val="22"/>
        </w:rPr>
        <w:t>Belrex</w:t>
      </w:r>
      <w:proofErr w:type="spellEnd"/>
      <w:r w:rsidRPr="00A703A4">
        <w:rPr>
          <w:rFonts w:ascii="Arial" w:hAnsi="Arial" w:cs="Arial"/>
          <w:i/>
          <w:iCs/>
          <w:sz w:val="22"/>
          <w:szCs w:val="22"/>
        </w:rPr>
        <w:t xml:space="preserve"> supra</w:t>
      </w:r>
      <w:r w:rsidRPr="00A703A4">
        <w:rPr>
          <w:rFonts w:ascii="Arial" w:hAnsi="Arial" w:cs="Arial"/>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20885445"/>
      <w:docPartObj>
        <w:docPartGallery w:val="Page Numbers (Top of Page)"/>
        <w:docPartUnique/>
      </w:docPartObj>
    </w:sdtPr>
    <w:sdtEndPr>
      <w:rPr>
        <w:rFonts w:ascii="Arial" w:hAnsi="Arial"/>
        <w:noProof/>
      </w:rPr>
    </w:sdtEndPr>
    <w:sdtContent>
      <w:p w14:paraId="5CA81E98" w14:textId="2412C938" w:rsidR="00B36482" w:rsidRPr="00463977" w:rsidRDefault="00B36482">
        <w:pPr>
          <w:pStyle w:val="Header"/>
          <w:jc w:val="center"/>
          <w:rPr>
            <w:rFonts w:ascii="Arial" w:hAnsi="Arial"/>
            <w:sz w:val="22"/>
            <w:szCs w:val="22"/>
          </w:rPr>
        </w:pPr>
        <w:r w:rsidRPr="00463977">
          <w:rPr>
            <w:rFonts w:ascii="Arial" w:hAnsi="Arial"/>
            <w:sz w:val="22"/>
            <w:szCs w:val="22"/>
          </w:rPr>
          <w:fldChar w:fldCharType="begin"/>
        </w:r>
        <w:r w:rsidRPr="00463977">
          <w:rPr>
            <w:rFonts w:ascii="Arial" w:hAnsi="Arial"/>
            <w:sz w:val="22"/>
            <w:szCs w:val="22"/>
          </w:rPr>
          <w:instrText xml:space="preserve"> PAGE   \* MERGEFORMAT </w:instrText>
        </w:r>
        <w:r w:rsidRPr="00463977">
          <w:rPr>
            <w:rFonts w:ascii="Arial" w:hAnsi="Arial"/>
            <w:sz w:val="22"/>
            <w:szCs w:val="22"/>
          </w:rPr>
          <w:fldChar w:fldCharType="separate"/>
        </w:r>
        <w:r w:rsidR="009B6CB6">
          <w:rPr>
            <w:rFonts w:ascii="Arial" w:hAnsi="Arial"/>
            <w:noProof/>
            <w:sz w:val="22"/>
            <w:szCs w:val="22"/>
          </w:rPr>
          <w:t>8</w:t>
        </w:r>
        <w:r w:rsidRPr="00463977">
          <w:rPr>
            <w:rFonts w:ascii="Arial" w:hAnsi="Arial"/>
            <w:noProof/>
            <w:sz w:val="22"/>
            <w:szCs w:val="22"/>
          </w:rPr>
          <w:fldChar w:fldCharType="end"/>
        </w:r>
      </w:p>
    </w:sdtContent>
  </w:sdt>
  <w:p w14:paraId="38AA81E3" w14:textId="77777777" w:rsidR="00B36482" w:rsidRPr="00463977" w:rsidRDefault="00B36482">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D96B" w14:textId="60874E3A" w:rsidR="00FA73E8" w:rsidRDefault="00FA73E8" w:rsidP="00304FDE">
    <w:pPr>
      <w:pStyle w:val="Header"/>
      <w:jc w:val="center"/>
      <w:rPr>
        <w:rFonts w:ascii="Arial" w:hAnsi="Arial" w:cs="Arial"/>
        <w:b/>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hybridMultilevel"/>
    <w:tmpl w:val="7EC6FE82"/>
    <w:lvl w:ilvl="0" w:tplc="704231AA">
      <w:start w:val="1"/>
      <w:numFmt w:val="decimal"/>
      <w:pStyle w:val="JUDGMENTNUMBERED"/>
      <w:lvlText w:val="[%1]"/>
      <w:lvlJc w:val="left"/>
      <w:pPr>
        <w:ind w:left="1040" w:hanging="360"/>
      </w:pPr>
      <w:rPr>
        <w:rFonts w:ascii="Times New Roman" w:hAnsi="Times New Roman" w:cs="Times New Roman" w:hint="default"/>
        <w:caps w:val="0"/>
        <w:strike w:val="0"/>
        <w:dstrike w:val="0"/>
        <w:vanish w:val="0"/>
        <w:sz w:val="26"/>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FC62D1A"/>
    <w:multiLevelType w:val="multilevel"/>
    <w:tmpl w:val="41582662"/>
    <w:lvl w:ilvl="0">
      <w:start w:val="1"/>
      <w:numFmt w:val="decimal"/>
      <w:lvlText w:val="%1."/>
      <w:lvlJc w:val="left"/>
      <w:pPr>
        <w:ind w:left="686" w:hanging="567"/>
      </w:pPr>
      <w:rPr>
        <w:rFonts w:ascii="Times New Roman" w:eastAsia="Times New Roman" w:hAnsi="Times New Roman" w:cs="Times New Roman" w:hint="default"/>
        <w:spacing w:val="-2"/>
        <w:w w:val="99"/>
        <w:sz w:val="24"/>
        <w:szCs w:val="24"/>
      </w:rPr>
    </w:lvl>
    <w:lvl w:ilvl="1">
      <w:start w:val="1"/>
      <w:numFmt w:val="decimal"/>
      <w:lvlText w:val="%1.%2."/>
      <w:lvlJc w:val="left"/>
      <w:pPr>
        <w:ind w:left="1538" w:hanging="852"/>
      </w:pPr>
      <w:rPr>
        <w:rFonts w:ascii="Times New Roman" w:eastAsia="Times New Roman" w:hAnsi="Times New Roman" w:cs="Times New Roman" w:hint="default"/>
        <w:spacing w:val="-2"/>
        <w:w w:val="99"/>
        <w:sz w:val="24"/>
        <w:szCs w:val="24"/>
      </w:rPr>
    </w:lvl>
    <w:lvl w:ilvl="2">
      <w:numFmt w:val="bullet"/>
      <w:lvlText w:val="•"/>
      <w:lvlJc w:val="left"/>
      <w:pPr>
        <w:ind w:left="2398" w:hanging="852"/>
      </w:pPr>
    </w:lvl>
    <w:lvl w:ilvl="3">
      <w:numFmt w:val="bullet"/>
      <w:lvlText w:val="•"/>
      <w:lvlJc w:val="left"/>
      <w:pPr>
        <w:ind w:left="3256" w:hanging="852"/>
      </w:pPr>
    </w:lvl>
    <w:lvl w:ilvl="4">
      <w:numFmt w:val="bullet"/>
      <w:lvlText w:val="•"/>
      <w:lvlJc w:val="left"/>
      <w:pPr>
        <w:ind w:left="4115" w:hanging="852"/>
      </w:pPr>
    </w:lvl>
    <w:lvl w:ilvl="5">
      <w:numFmt w:val="bullet"/>
      <w:lvlText w:val="•"/>
      <w:lvlJc w:val="left"/>
      <w:pPr>
        <w:ind w:left="4973" w:hanging="852"/>
      </w:pPr>
    </w:lvl>
    <w:lvl w:ilvl="6">
      <w:numFmt w:val="bullet"/>
      <w:lvlText w:val="•"/>
      <w:lvlJc w:val="left"/>
      <w:pPr>
        <w:ind w:left="5832" w:hanging="852"/>
      </w:pPr>
    </w:lvl>
    <w:lvl w:ilvl="7">
      <w:numFmt w:val="bullet"/>
      <w:lvlText w:val="•"/>
      <w:lvlJc w:val="left"/>
      <w:pPr>
        <w:ind w:left="6690" w:hanging="852"/>
      </w:pPr>
    </w:lvl>
    <w:lvl w:ilvl="8">
      <w:numFmt w:val="bullet"/>
      <w:lvlText w:val="•"/>
      <w:lvlJc w:val="left"/>
      <w:pPr>
        <w:ind w:left="7549" w:hanging="852"/>
      </w:pPr>
    </w:lvl>
  </w:abstractNum>
  <w:abstractNum w:abstractNumId="2">
    <w:nsid w:val="45EE0188"/>
    <w:multiLevelType w:val="hybridMultilevel"/>
    <w:tmpl w:val="C76E67B0"/>
    <w:lvl w:ilvl="0" w:tplc="277065FC">
      <w:start w:val="2"/>
      <w:numFmt w:val="decimal"/>
      <w:lvlText w:val="(%1)"/>
      <w:lvlJc w:val="left"/>
      <w:pPr>
        <w:ind w:left="1242" w:hanging="558"/>
      </w:pPr>
      <w:rPr>
        <w:rFonts w:ascii="Times New Roman" w:eastAsia="Times New Roman" w:hAnsi="Times New Roman" w:cs="Times New Roman" w:hint="default"/>
        <w:i/>
        <w:color w:val="232323"/>
        <w:w w:val="107"/>
        <w:sz w:val="21"/>
        <w:szCs w:val="21"/>
      </w:rPr>
    </w:lvl>
    <w:lvl w:ilvl="1" w:tplc="137E488C">
      <w:start w:val="1"/>
      <w:numFmt w:val="lowerLetter"/>
      <w:lvlText w:val="(%2)"/>
      <w:lvlJc w:val="left"/>
      <w:pPr>
        <w:ind w:left="2048" w:hanging="813"/>
      </w:pPr>
      <w:rPr>
        <w:i/>
        <w:spacing w:val="-5"/>
        <w:w w:val="102"/>
      </w:rPr>
    </w:lvl>
    <w:lvl w:ilvl="2" w:tplc="B6CEAEE6">
      <w:numFmt w:val="bullet"/>
      <w:lvlText w:val="•"/>
      <w:lvlJc w:val="left"/>
      <w:pPr>
        <w:ind w:left="2809" w:hanging="813"/>
      </w:pPr>
    </w:lvl>
    <w:lvl w:ilvl="3" w:tplc="33B6254E">
      <w:numFmt w:val="bullet"/>
      <w:lvlText w:val="•"/>
      <w:lvlJc w:val="left"/>
      <w:pPr>
        <w:ind w:left="3578" w:hanging="813"/>
      </w:pPr>
    </w:lvl>
    <w:lvl w:ilvl="4" w:tplc="668EB270">
      <w:numFmt w:val="bullet"/>
      <w:lvlText w:val="•"/>
      <w:lvlJc w:val="left"/>
      <w:pPr>
        <w:ind w:left="4348" w:hanging="813"/>
      </w:pPr>
    </w:lvl>
    <w:lvl w:ilvl="5" w:tplc="0DAE47DA">
      <w:numFmt w:val="bullet"/>
      <w:lvlText w:val="•"/>
      <w:lvlJc w:val="left"/>
      <w:pPr>
        <w:ind w:left="5117" w:hanging="813"/>
      </w:pPr>
    </w:lvl>
    <w:lvl w:ilvl="6" w:tplc="DFB01582">
      <w:numFmt w:val="bullet"/>
      <w:lvlText w:val="•"/>
      <w:lvlJc w:val="left"/>
      <w:pPr>
        <w:ind w:left="5886" w:hanging="813"/>
      </w:pPr>
    </w:lvl>
    <w:lvl w:ilvl="7" w:tplc="59489A3E">
      <w:numFmt w:val="bullet"/>
      <w:lvlText w:val="•"/>
      <w:lvlJc w:val="left"/>
      <w:pPr>
        <w:ind w:left="6656" w:hanging="813"/>
      </w:pPr>
    </w:lvl>
    <w:lvl w:ilvl="8" w:tplc="DFF2027E">
      <w:numFmt w:val="bullet"/>
      <w:lvlText w:val="•"/>
      <w:lvlJc w:val="left"/>
      <w:pPr>
        <w:ind w:left="7425" w:hanging="813"/>
      </w:pPr>
    </w:lvl>
  </w:abstractNum>
  <w:abstractNum w:abstractNumId="3">
    <w:nsid w:val="5AC91868"/>
    <w:multiLevelType w:val="multilevel"/>
    <w:tmpl w:val="9B7C6F9E"/>
    <w:lvl w:ilvl="0">
      <w:start w:val="1"/>
      <w:numFmt w:val="decimal"/>
      <w:lvlText w:val="%1."/>
      <w:lvlJc w:val="left"/>
      <w:pPr>
        <w:tabs>
          <w:tab w:val="num" w:pos="720"/>
        </w:tabs>
        <w:ind w:left="720" w:hanging="720"/>
      </w:pPr>
      <w:rPr>
        <w:b w:val="0"/>
        <w:bCs w:val="0"/>
        <w:i w:val="0"/>
        <w:iCs w:val="0"/>
      </w:rPr>
    </w:lvl>
    <w:lvl w:ilvl="1">
      <w:start w:val="1"/>
      <w:numFmt w:val="decimal"/>
      <w:isLgl/>
      <w:lvlText w:val="%1.%2"/>
      <w:lvlJc w:val="left"/>
      <w:pPr>
        <w:tabs>
          <w:tab w:val="num" w:pos="1713"/>
        </w:tabs>
        <w:ind w:left="1713" w:hanging="720"/>
      </w:pPr>
      <w:rPr>
        <w:b w:val="0"/>
        <w:bCs w:val="0"/>
        <w:i w:val="0"/>
        <w:iCs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4">
    <w:nsid w:val="6FC369D5"/>
    <w:multiLevelType w:val="multilevel"/>
    <w:tmpl w:val="B32AFD56"/>
    <w:lvl w:ilvl="0">
      <w:start w:val="1"/>
      <w:numFmt w:val="decimal"/>
      <w:pStyle w:val="Style1"/>
      <w:lvlText w:val="%1."/>
      <w:lvlJc w:val="left"/>
      <w:pPr>
        <w:tabs>
          <w:tab w:val="num" w:pos="567"/>
        </w:tabs>
        <w:ind w:left="567" w:hanging="567"/>
      </w:pPr>
      <w:rPr>
        <w:rFonts w:hint="default"/>
        <w:b w:val="0"/>
      </w:rPr>
    </w:lvl>
    <w:lvl w:ilvl="1">
      <w:start w:val="1"/>
      <w:numFmt w:val="decimal"/>
      <w:pStyle w:val="Style2"/>
      <w:lvlText w:val="%1.%2."/>
      <w:lvlJc w:val="left"/>
      <w:pPr>
        <w:tabs>
          <w:tab w:val="num" w:pos="1134"/>
        </w:tabs>
        <w:ind w:left="1134" w:hanging="567"/>
      </w:pPr>
      <w:rPr>
        <w:rFonts w:hint="default"/>
      </w:rPr>
    </w:lvl>
    <w:lvl w:ilvl="2">
      <w:start w:val="1"/>
      <w:numFmt w:val="decimal"/>
      <w:pStyle w:val="Style3"/>
      <w:lvlText w:val="%1.%2.%3."/>
      <w:lvlJc w:val="left"/>
      <w:pPr>
        <w:tabs>
          <w:tab w:val="num" w:pos="1854"/>
        </w:tabs>
        <w:ind w:left="170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0776041"/>
    <w:multiLevelType w:val="multilevel"/>
    <w:tmpl w:val="9B7C6F9E"/>
    <w:styleLink w:val="CurrentList1"/>
    <w:lvl w:ilvl="0">
      <w:start w:val="1"/>
      <w:numFmt w:val="decimal"/>
      <w:lvlText w:val="%1."/>
      <w:lvlJc w:val="left"/>
      <w:pPr>
        <w:tabs>
          <w:tab w:val="num" w:pos="720"/>
        </w:tabs>
        <w:ind w:left="720" w:hanging="720"/>
      </w:pPr>
      <w:rPr>
        <w:b w:val="0"/>
        <w:bCs w:val="0"/>
        <w:i w:val="0"/>
        <w:iCs w:val="0"/>
      </w:rPr>
    </w:lvl>
    <w:lvl w:ilvl="1">
      <w:start w:val="1"/>
      <w:numFmt w:val="decimal"/>
      <w:isLgl/>
      <w:lvlText w:val="%1.%2"/>
      <w:lvlJc w:val="left"/>
      <w:pPr>
        <w:tabs>
          <w:tab w:val="num" w:pos="1713"/>
        </w:tabs>
        <w:ind w:left="1713" w:hanging="720"/>
      </w:pPr>
      <w:rPr>
        <w:b w:val="0"/>
        <w:bCs w:val="0"/>
        <w:i w:val="0"/>
        <w:iCs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6">
    <w:nsid w:val="7B58361C"/>
    <w:multiLevelType w:val="hybridMultilevel"/>
    <w:tmpl w:val="172C662E"/>
    <w:lvl w:ilvl="0" w:tplc="6B588E8C">
      <w:start w:val="1"/>
      <w:numFmt w:val="lowerLetter"/>
      <w:lvlText w:val="(%1)"/>
      <w:lvlJc w:val="left"/>
      <w:pPr>
        <w:ind w:left="2024" w:hanging="810"/>
      </w:pPr>
      <w:rPr>
        <w:i/>
        <w:w w:val="102"/>
      </w:rPr>
    </w:lvl>
    <w:lvl w:ilvl="1" w:tplc="F7948AE4">
      <w:numFmt w:val="bullet"/>
      <w:lvlText w:val="•"/>
      <w:lvlJc w:val="left"/>
      <w:pPr>
        <w:ind w:left="2714" w:hanging="810"/>
      </w:pPr>
    </w:lvl>
    <w:lvl w:ilvl="2" w:tplc="E7B8314A">
      <w:numFmt w:val="bullet"/>
      <w:lvlText w:val="•"/>
      <w:lvlJc w:val="left"/>
      <w:pPr>
        <w:ind w:left="3408" w:hanging="810"/>
      </w:pPr>
    </w:lvl>
    <w:lvl w:ilvl="3" w:tplc="2B720F18">
      <w:numFmt w:val="bullet"/>
      <w:lvlText w:val="•"/>
      <w:lvlJc w:val="left"/>
      <w:pPr>
        <w:ind w:left="4103" w:hanging="810"/>
      </w:pPr>
    </w:lvl>
    <w:lvl w:ilvl="4" w:tplc="506EFF5C">
      <w:numFmt w:val="bullet"/>
      <w:lvlText w:val="•"/>
      <w:lvlJc w:val="left"/>
      <w:pPr>
        <w:ind w:left="4797" w:hanging="810"/>
      </w:pPr>
    </w:lvl>
    <w:lvl w:ilvl="5" w:tplc="0BD41D62">
      <w:numFmt w:val="bullet"/>
      <w:lvlText w:val="•"/>
      <w:lvlJc w:val="left"/>
      <w:pPr>
        <w:ind w:left="5492" w:hanging="810"/>
      </w:pPr>
    </w:lvl>
    <w:lvl w:ilvl="6" w:tplc="9EF24A3E">
      <w:numFmt w:val="bullet"/>
      <w:lvlText w:val="•"/>
      <w:lvlJc w:val="left"/>
      <w:pPr>
        <w:ind w:left="6186" w:hanging="810"/>
      </w:pPr>
    </w:lvl>
    <w:lvl w:ilvl="7" w:tplc="A2123BA4">
      <w:numFmt w:val="bullet"/>
      <w:lvlText w:val="•"/>
      <w:lvlJc w:val="left"/>
      <w:pPr>
        <w:ind w:left="6880" w:hanging="810"/>
      </w:pPr>
    </w:lvl>
    <w:lvl w:ilvl="8" w:tplc="5BCE78E0">
      <w:numFmt w:val="bullet"/>
      <w:lvlText w:val="•"/>
      <w:lvlJc w:val="left"/>
      <w:pPr>
        <w:ind w:left="7575" w:hanging="810"/>
      </w:pPr>
    </w:lvl>
  </w:abstractNum>
  <w:num w:numId="1">
    <w:abstractNumId w:val="3"/>
  </w:num>
  <w:num w:numId="2">
    <w:abstractNumId w:val="0"/>
  </w:num>
  <w:num w:numId="3">
    <w:abstractNumId w:val="5"/>
  </w:num>
  <w:num w:numId="4">
    <w:abstractNumId w:val="4"/>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69"/>
    <w:rsid w:val="0000037C"/>
    <w:rsid w:val="0000243F"/>
    <w:rsid w:val="0000255E"/>
    <w:rsid w:val="000027E3"/>
    <w:rsid w:val="00002CC8"/>
    <w:rsid w:val="0000771D"/>
    <w:rsid w:val="00007A60"/>
    <w:rsid w:val="000118D9"/>
    <w:rsid w:val="00013482"/>
    <w:rsid w:val="00013CF6"/>
    <w:rsid w:val="00014FE3"/>
    <w:rsid w:val="00016B4A"/>
    <w:rsid w:val="0002280B"/>
    <w:rsid w:val="00023B13"/>
    <w:rsid w:val="00025B1B"/>
    <w:rsid w:val="00025BAC"/>
    <w:rsid w:val="00032231"/>
    <w:rsid w:val="00033574"/>
    <w:rsid w:val="000342F7"/>
    <w:rsid w:val="00046181"/>
    <w:rsid w:val="00053084"/>
    <w:rsid w:val="0005500D"/>
    <w:rsid w:val="0005737E"/>
    <w:rsid w:val="00057998"/>
    <w:rsid w:val="00062EDC"/>
    <w:rsid w:val="000701E8"/>
    <w:rsid w:val="000712B1"/>
    <w:rsid w:val="000722D0"/>
    <w:rsid w:val="00073EE7"/>
    <w:rsid w:val="00076445"/>
    <w:rsid w:val="00077C8B"/>
    <w:rsid w:val="000809E8"/>
    <w:rsid w:val="00082221"/>
    <w:rsid w:val="00087B14"/>
    <w:rsid w:val="00090569"/>
    <w:rsid w:val="000925F7"/>
    <w:rsid w:val="00093E6C"/>
    <w:rsid w:val="00096240"/>
    <w:rsid w:val="00096E59"/>
    <w:rsid w:val="00097508"/>
    <w:rsid w:val="000A0521"/>
    <w:rsid w:val="000A2A69"/>
    <w:rsid w:val="000A35D2"/>
    <w:rsid w:val="000A4666"/>
    <w:rsid w:val="000A569D"/>
    <w:rsid w:val="000A7779"/>
    <w:rsid w:val="000B1C75"/>
    <w:rsid w:val="000B3FFD"/>
    <w:rsid w:val="000B4591"/>
    <w:rsid w:val="000B5928"/>
    <w:rsid w:val="000B6F38"/>
    <w:rsid w:val="000B709B"/>
    <w:rsid w:val="000C041C"/>
    <w:rsid w:val="000C3D91"/>
    <w:rsid w:val="000C4947"/>
    <w:rsid w:val="000C50A9"/>
    <w:rsid w:val="000C510B"/>
    <w:rsid w:val="000C560E"/>
    <w:rsid w:val="000C5D18"/>
    <w:rsid w:val="000D1898"/>
    <w:rsid w:val="000D1E6F"/>
    <w:rsid w:val="000D2629"/>
    <w:rsid w:val="000D2E41"/>
    <w:rsid w:val="000D2FEE"/>
    <w:rsid w:val="000D3265"/>
    <w:rsid w:val="000D7F4E"/>
    <w:rsid w:val="000E155F"/>
    <w:rsid w:val="000E3F70"/>
    <w:rsid w:val="000E7623"/>
    <w:rsid w:val="000E76EC"/>
    <w:rsid w:val="000E7841"/>
    <w:rsid w:val="000F037C"/>
    <w:rsid w:val="000F07EF"/>
    <w:rsid w:val="000F0AB4"/>
    <w:rsid w:val="000F6729"/>
    <w:rsid w:val="000F7B0E"/>
    <w:rsid w:val="000F7B7F"/>
    <w:rsid w:val="00101CC6"/>
    <w:rsid w:val="00104E82"/>
    <w:rsid w:val="00105321"/>
    <w:rsid w:val="00110516"/>
    <w:rsid w:val="00115080"/>
    <w:rsid w:val="0011563A"/>
    <w:rsid w:val="00115C70"/>
    <w:rsid w:val="00116587"/>
    <w:rsid w:val="001173AF"/>
    <w:rsid w:val="0012218B"/>
    <w:rsid w:val="00122893"/>
    <w:rsid w:val="0012532A"/>
    <w:rsid w:val="001255C3"/>
    <w:rsid w:val="0012754F"/>
    <w:rsid w:val="00130897"/>
    <w:rsid w:val="00133A46"/>
    <w:rsid w:val="00134240"/>
    <w:rsid w:val="001345D7"/>
    <w:rsid w:val="0013718D"/>
    <w:rsid w:val="001376C5"/>
    <w:rsid w:val="0014136F"/>
    <w:rsid w:val="00142DE5"/>
    <w:rsid w:val="00143008"/>
    <w:rsid w:val="0014548B"/>
    <w:rsid w:val="001459D5"/>
    <w:rsid w:val="00145FC0"/>
    <w:rsid w:val="001460FB"/>
    <w:rsid w:val="00147186"/>
    <w:rsid w:val="0014761A"/>
    <w:rsid w:val="00153197"/>
    <w:rsid w:val="00153FE4"/>
    <w:rsid w:val="001579C0"/>
    <w:rsid w:val="00160C07"/>
    <w:rsid w:val="001645AF"/>
    <w:rsid w:val="00166B6B"/>
    <w:rsid w:val="001716C9"/>
    <w:rsid w:val="00172359"/>
    <w:rsid w:val="0017318B"/>
    <w:rsid w:val="001742D1"/>
    <w:rsid w:val="001757C2"/>
    <w:rsid w:val="001772F0"/>
    <w:rsid w:val="001779E1"/>
    <w:rsid w:val="00177A5C"/>
    <w:rsid w:val="0018074A"/>
    <w:rsid w:val="00185306"/>
    <w:rsid w:val="00185B77"/>
    <w:rsid w:val="001866CC"/>
    <w:rsid w:val="001874F4"/>
    <w:rsid w:val="00193223"/>
    <w:rsid w:val="00194688"/>
    <w:rsid w:val="00196818"/>
    <w:rsid w:val="001A0344"/>
    <w:rsid w:val="001A14A8"/>
    <w:rsid w:val="001A1A42"/>
    <w:rsid w:val="001A1B55"/>
    <w:rsid w:val="001A30B2"/>
    <w:rsid w:val="001A403C"/>
    <w:rsid w:val="001A4790"/>
    <w:rsid w:val="001A54A8"/>
    <w:rsid w:val="001A77C7"/>
    <w:rsid w:val="001B0ED8"/>
    <w:rsid w:val="001B17B9"/>
    <w:rsid w:val="001B2FD0"/>
    <w:rsid w:val="001B5B71"/>
    <w:rsid w:val="001B63C0"/>
    <w:rsid w:val="001B76CA"/>
    <w:rsid w:val="001B7E49"/>
    <w:rsid w:val="001C0F82"/>
    <w:rsid w:val="001C2401"/>
    <w:rsid w:val="001C24B0"/>
    <w:rsid w:val="001C2A8B"/>
    <w:rsid w:val="001C3C7F"/>
    <w:rsid w:val="001C3D52"/>
    <w:rsid w:val="001C760B"/>
    <w:rsid w:val="001C79DF"/>
    <w:rsid w:val="001D04AC"/>
    <w:rsid w:val="001D2560"/>
    <w:rsid w:val="001D3069"/>
    <w:rsid w:val="001D5A28"/>
    <w:rsid w:val="001D6815"/>
    <w:rsid w:val="001E2653"/>
    <w:rsid w:val="001E3AD9"/>
    <w:rsid w:val="001E72AD"/>
    <w:rsid w:val="001E77FB"/>
    <w:rsid w:val="001F1AE1"/>
    <w:rsid w:val="001F3547"/>
    <w:rsid w:val="001F399F"/>
    <w:rsid w:val="001F5837"/>
    <w:rsid w:val="001F67B0"/>
    <w:rsid w:val="00201697"/>
    <w:rsid w:val="00201BDF"/>
    <w:rsid w:val="0021166E"/>
    <w:rsid w:val="00211F02"/>
    <w:rsid w:val="002149EB"/>
    <w:rsid w:val="00214C7D"/>
    <w:rsid w:val="00216146"/>
    <w:rsid w:val="002203E1"/>
    <w:rsid w:val="002214A3"/>
    <w:rsid w:val="00224139"/>
    <w:rsid w:val="0022450E"/>
    <w:rsid w:val="00224ECC"/>
    <w:rsid w:val="002267BF"/>
    <w:rsid w:val="0023232F"/>
    <w:rsid w:val="002328F5"/>
    <w:rsid w:val="00241530"/>
    <w:rsid w:val="002427DA"/>
    <w:rsid w:val="002431F0"/>
    <w:rsid w:val="00247209"/>
    <w:rsid w:val="00247672"/>
    <w:rsid w:val="00250B7D"/>
    <w:rsid w:val="00251A5C"/>
    <w:rsid w:val="00253172"/>
    <w:rsid w:val="002532EE"/>
    <w:rsid w:val="00254249"/>
    <w:rsid w:val="00256248"/>
    <w:rsid w:val="00257007"/>
    <w:rsid w:val="00260EB4"/>
    <w:rsid w:val="00262529"/>
    <w:rsid w:val="00262C18"/>
    <w:rsid w:val="00263A45"/>
    <w:rsid w:val="00263BB3"/>
    <w:rsid w:val="00265341"/>
    <w:rsid w:val="0026656D"/>
    <w:rsid w:val="00270515"/>
    <w:rsid w:val="00272B80"/>
    <w:rsid w:val="002740A1"/>
    <w:rsid w:val="00274961"/>
    <w:rsid w:val="002749F1"/>
    <w:rsid w:val="00274B51"/>
    <w:rsid w:val="00274BA6"/>
    <w:rsid w:val="00277ED0"/>
    <w:rsid w:val="00284141"/>
    <w:rsid w:val="00285BEC"/>
    <w:rsid w:val="00286F63"/>
    <w:rsid w:val="00293AB0"/>
    <w:rsid w:val="0029440D"/>
    <w:rsid w:val="002A0AA0"/>
    <w:rsid w:val="002A2CF7"/>
    <w:rsid w:val="002A3D77"/>
    <w:rsid w:val="002A4081"/>
    <w:rsid w:val="002A52F5"/>
    <w:rsid w:val="002A6987"/>
    <w:rsid w:val="002B6231"/>
    <w:rsid w:val="002C1254"/>
    <w:rsid w:val="002C1BA9"/>
    <w:rsid w:val="002C2685"/>
    <w:rsid w:val="002C2B5A"/>
    <w:rsid w:val="002C3424"/>
    <w:rsid w:val="002C5111"/>
    <w:rsid w:val="002C7E7A"/>
    <w:rsid w:val="002D4994"/>
    <w:rsid w:val="002E53C8"/>
    <w:rsid w:val="002E660C"/>
    <w:rsid w:val="002E76E8"/>
    <w:rsid w:val="002F14FE"/>
    <w:rsid w:val="002F483C"/>
    <w:rsid w:val="002F6BAC"/>
    <w:rsid w:val="003015FA"/>
    <w:rsid w:val="0030171D"/>
    <w:rsid w:val="00304AEB"/>
    <w:rsid w:val="00304FDE"/>
    <w:rsid w:val="00307ED4"/>
    <w:rsid w:val="003105B8"/>
    <w:rsid w:val="00316BEC"/>
    <w:rsid w:val="0032260A"/>
    <w:rsid w:val="0032562D"/>
    <w:rsid w:val="003261FD"/>
    <w:rsid w:val="00326622"/>
    <w:rsid w:val="00327D08"/>
    <w:rsid w:val="00330716"/>
    <w:rsid w:val="00332CBC"/>
    <w:rsid w:val="003339EE"/>
    <w:rsid w:val="00334F17"/>
    <w:rsid w:val="00347522"/>
    <w:rsid w:val="00347803"/>
    <w:rsid w:val="00347C4D"/>
    <w:rsid w:val="00350775"/>
    <w:rsid w:val="003528A7"/>
    <w:rsid w:val="00352A95"/>
    <w:rsid w:val="00353991"/>
    <w:rsid w:val="00354CA4"/>
    <w:rsid w:val="003616CA"/>
    <w:rsid w:val="00361AE9"/>
    <w:rsid w:val="00361D84"/>
    <w:rsid w:val="003631C6"/>
    <w:rsid w:val="00363ADD"/>
    <w:rsid w:val="00377A3A"/>
    <w:rsid w:val="003822DB"/>
    <w:rsid w:val="00383D1C"/>
    <w:rsid w:val="00386DDB"/>
    <w:rsid w:val="00392147"/>
    <w:rsid w:val="0039543B"/>
    <w:rsid w:val="003957C8"/>
    <w:rsid w:val="003A0D66"/>
    <w:rsid w:val="003A3B7F"/>
    <w:rsid w:val="003A4FAD"/>
    <w:rsid w:val="003A7D1E"/>
    <w:rsid w:val="003B143B"/>
    <w:rsid w:val="003B272F"/>
    <w:rsid w:val="003B3303"/>
    <w:rsid w:val="003B5A26"/>
    <w:rsid w:val="003B7318"/>
    <w:rsid w:val="003C41A6"/>
    <w:rsid w:val="003C4FA6"/>
    <w:rsid w:val="003C567D"/>
    <w:rsid w:val="003C7B0E"/>
    <w:rsid w:val="003D0F2C"/>
    <w:rsid w:val="003D1BAE"/>
    <w:rsid w:val="003D2252"/>
    <w:rsid w:val="003D2A50"/>
    <w:rsid w:val="003D60B8"/>
    <w:rsid w:val="003D6855"/>
    <w:rsid w:val="003E19CC"/>
    <w:rsid w:val="003E2DF4"/>
    <w:rsid w:val="003E5191"/>
    <w:rsid w:val="003E581B"/>
    <w:rsid w:val="003E6541"/>
    <w:rsid w:val="003E7F1B"/>
    <w:rsid w:val="003F3E2E"/>
    <w:rsid w:val="003F67C8"/>
    <w:rsid w:val="003F7316"/>
    <w:rsid w:val="004002AD"/>
    <w:rsid w:val="00400777"/>
    <w:rsid w:val="00401700"/>
    <w:rsid w:val="00402595"/>
    <w:rsid w:val="00403A89"/>
    <w:rsid w:val="00405152"/>
    <w:rsid w:val="0040551A"/>
    <w:rsid w:val="00411297"/>
    <w:rsid w:val="00412F56"/>
    <w:rsid w:val="00413805"/>
    <w:rsid w:val="00413CD2"/>
    <w:rsid w:val="004144B1"/>
    <w:rsid w:val="00417B6C"/>
    <w:rsid w:val="0042588D"/>
    <w:rsid w:val="004259E5"/>
    <w:rsid w:val="00427BD2"/>
    <w:rsid w:val="00434410"/>
    <w:rsid w:val="00435B50"/>
    <w:rsid w:val="0043616C"/>
    <w:rsid w:val="0043752E"/>
    <w:rsid w:val="00440693"/>
    <w:rsid w:val="00441665"/>
    <w:rsid w:val="00442903"/>
    <w:rsid w:val="00445F4C"/>
    <w:rsid w:val="00446EE4"/>
    <w:rsid w:val="00450335"/>
    <w:rsid w:val="00450D59"/>
    <w:rsid w:val="004520D3"/>
    <w:rsid w:val="004532C5"/>
    <w:rsid w:val="004569B9"/>
    <w:rsid w:val="00463179"/>
    <w:rsid w:val="00463977"/>
    <w:rsid w:val="00471012"/>
    <w:rsid w:val="0047121E"/>
    <w:rsid w:val="00471CAC"/>
    <w:rsid w:val="00471D3B"/>
    <w:rsid w:val="00474FE2"/>
    <w:rsid w:val="00476604"/>
    <w:rsid w:val="00482DA3"/>
    <w:rsid w:val="00484D7B"/>
    <w:rsid w:val="00485884"/>
    <w:rsid w:val="00485985"/>
    <w:rsid w:val="00485BC4"/>
    <w:rsid w:val="004863D8"/>
    <w:rsid w:val="004871AE"/>
    <w:rsid w:val="00487F51"/>
    <w:rsid w:val="00487F73"/>
    <w:rsid w:val="00493A44"/>
    <w:rsid w:val="004950AA"/>
    <w:rsid w:val="0049517E"/>
    <w:rsid w:val="00497D11"/>
    <w:rsid w:val="004A0882"/>
    <w:rsid w:val="004A10E6"/>
    <w:rsid w:val="004A305E"/>
    <w:rsid w:val="004A747F"/>
    <w:rsid w:val="004B1EC3"/>
    <w:rsid w:val="004B20FE"/>
    <w:rsid w:val="004B23D8"/>
    <w:rsid w:val="004B26C2"/>
    <w:rsid w:val="004B2785"/>
    <w:rsid w:val="004B491A"/>
    <w:rsid w:val="004B5174"/>
    <w:rsid w:val="004B6022"/>
    <w:rsid w:val="004C00D6"/>
    <w:rsid w:val="004C1033"/>
    <w:rsid w:val="004C16D9"/>
    <w:rsid w:val="004C27F4"/>
    <w:rsid w:val="004C4BB6"/>
    <w:rsid w:val="004C7042"/>
    <w:rsid w:val="004D3740"/>
    <w:rsid w:val="004D3767"/>
    <w:rsid w:val="004D5208"/>
    <w:rsid w:val="004D5414"/>
    <w:rsid w:val="004D617B"/>
    <w:rsid w:val="004D7A8C"/>
    <w:rsid w:val="004E0997"/>
    <w:rsid w:val="004E14B3"/>
    <w:rsid w:val="004E5237"/>
    <w:rsid w:val="004E5436"/>
    <w:rsid w:val="004E697F"/>
    <w:rsid w:val="004E7A19"/>
    <w:rsid w:val="004F12F9"/>
    <w:rsid w:val="004F1E83"/>
    <w:rsid w:val="004F7357"/>
    <w:rsid w:val="0050427E"/>
    <w:rsid w:val="00507FF7"/>
    <w:rsid w:val="00514334"/>
    <w:rsid w:val="00515438"/>
    <w:rsid w:val="00515638"/>
    <w:rsid w:val="00523261"/>
    <w:rsid w:val="00525C0D"/>
    <w:rsid w:val="00526632"/>
    <w:rsid w:val="0053163D"/>
    <w:rsid w:val="00536306"/>
    <w:rsid w:val="00536FE1"/>
    <w:rsid w:val="00537B5E"/>
    <w:rsid w:val="00537BA4"/>
    <w:rsid w:val="00537C1C"/>
    <w:rsid w:val="00541FBF"/>
    <w:rsid w:val="00550D0D"/>
    <w:rsid w:val="005569F6"/>
    <w:rsid w:val="00557ECE"/>
    <w:rsid w:val="0056086B"/>
    <w:rsid w:val="0056113A"/>
    <w:rsid w:val="0056126D"/>
    <w:rsid w:val="005642FE"/>
    <w:rsid w:val="00566103"/>
    <w:rsid w:val="0056766D"/>
    <w:rsid w:val="00570AB9"/>
    <w:rsid w:val="00575267"/>
    <w:rsid w:val="0058020E"/>
    <w:rsid w:val="005824CA"/>
    <w:rsid w:val="00583605"/>
    <w:rsid w:val="00585B1E"/>
    <w:rsid w:val="005907BC"/>
    <w:rsid w:val="00592450"/>
    <w:rsid w:val="00592793"/>
    <w:rsid w:val="005A2632"/>
    <w:rsid w:val="005A2C4B"/>
    <w:rsid w:val="005A3A65"/>
    <w:rsid w:val="005A4579"/>
    <w:rsid w:val="005A5DA8"/>
    <w:rsid w:val="005A715D"/>
    <w:rsid w:val="005A7CC2"/>
    <w:rsid w:val="005B0107"/>
    <w:rsid w:val="005B1640"/>
    <w:rsid w:val="005B1724"/>
    <w:rsid w:val="005B294C"/>
    <w:rsid w:val="005B66AE"/>
    <w:rsid w:val="005B67DA"/>
    <w:rsid w:val="005B6EED"/>
    <w:rsid w:val="005B6F42"/>
    <w:rsid w:val="005B70BB"/>
    <w:rsid w:val="005B7C3C"/>
    <w:rsid w:val="005C051A"/>
    <w:rsid w:val="005C092A"/>
    <w:rsid w:val="005C5822"/>
    <w:rsid w:val="005C608E"/>
    <w:rsid w:val="005C6BD0"/>
    <w:rsid w:val="005C7C3B"/>
    <w:rsid w:val="005D2D2B"/>
    <w:rsid w:val="005D38CC"/>
    <w:rsid w:val="005D3AE8"/>
    <w:rsid w:val="005D4D4E"/>
    <w:rsid w:val="005D64A2"/>
    <w:rsid w:val="005E018E"/>
    <w:rsid w:val="005E06A5"/>
    <w:rsid w:val="005E23A4"/>
    <w:rsid w:val="005E2932"/>
    <w:rsid w:val="005E387C"/>
    <w:rsid w:val="005E4BD5"/>
    <w:rsid w:val="005E6BEF"/>
    <w:rsid w:val="005F043C"/>
    <w:rsid w:val="005F1744"/>
    <w:rsid w:val="005F2F12"/>
    <w:rsid w:val="005F3871"/>
    <w:rsid w:val="005F3972"/>
    <w:rsid w:val="005F7101"/>
    <w:rsid w:val="005F72FB"/>
    <w:rsid w:val="006032BA"/>
    <w:rsid w:val="00603FD0"/>
    <w:rsid w:val="00606485"/>
    <w:rsid w:val="00612470"/>
    <w:rsid w:val="00615487"/>
    <w:rsid w:val="0062259E"/>
    <w:rsid w:val="00622E4E"/>
    <w:rsid w:val="006232D7"/>
    <w:rsid w:val="00624A81"/>
    <w:rsid w:val="006253C3"/>
    <w:rsid w:val="00625B58"/>
    <w:rsid w:val="00626D6B"/>
    <w:rsid w:val="00630801"/>
    <w:rsid w:val="00632F4C"/>
    <w:rsid w:val="006358E9"/>
    <w:rsid w:val="006402AF"/>
    <w:rsid w:val="006424B8"/>
    <w:rsid w:val="00645130"/>
    <w:rsid w:val="00646813"/>
    <w:rsid w:val="006478AA"/>
    <w:rsid w:val="00650944"/>
    <w:rsid w:val="00651864"/>
    <w:rsid w:val="00652192"/>
    <w:rsid w:val="006532B6"/>
    <w:rsid w:val="00654763"/>
    <w:rsid w:val="00654F21"/>
    <w:rsid w:val="00654FBF"/>
    <w:rsid w:val="0065605B"/>
    <w:rsid w:val="0065795C"/>
    <w:rsid w:val="00660572"/>
    <w:rsid w:val="00663087"/>
    <w:rsid w:val="0066608B"/>
    <w:rsid w:val="00666BD2"/>
    <w:rsid w:val="00670365"/>
    <w:rsid w:val="006777B7"/>
    <w:rsid w:val="0068227B"/>
    <w:rsid w:val="006901EF"/>
    <w:rsid w:val="0069152B"/>
    <w:rsid w:val="006922A0"/>
    <w:rsid w:val="0069378A"/>
    <w:rsid w:val="00696CE9"/>
    <w:rsid w:val="00697E28"/>
    <w:rsid w:val="00697E8A"/>
    <w:rsid w:val="006A08A8"/>
    <w:rsid w:val="006A242C"/>
    <w:rsid w:val="006A4027"/>
    <w:rsid w:val="006A6702"/>
    <w:rsid w:val="006A6AB5"/>
    <w:rsid w:val="006A7675"/>
    <w:rsid w:val="006A786F"/>
    <w:rsid w:val="006B3345"/>
    <w:rsid w:val="006B568F"/>
    <w:rsid w:val="006B570C"/>
    <w:rsid w:val="006B6A2F"/>
    <w:rsid w:val="006B765F"/>
    <w:rsid w:val="006C16B2"/>
    <w:rsid w:val="006C5238"/>
    <w:rsid w:val="006C64DF"/>
    <w:rsid w:val="006D4DD0"/>
    <w:rsid w:val="006D60B6"/>
    <w:rsid w:val="006D6934"/>
    <w:rsid w:val="006E21B5"/>
    <w:rsid w:val="006E4323"/>
    <w:rsid w:val="006E49F8"/>
    <w:rsid w:val="006E4DBF"/>
    <w:rsid w:val="006E65DF"/>
    <w:rsid w:val="006E7AA3"/>
    <w:rsid w:val="006F2D6C"/>
    <w:rsid w:val="006F3E25"/>
    <w:rsid w:val="007001FA"/>
    <w:rsid w:val="007024F5"/>
    <w:rsid w:val="00704075"/>
    <w:rsid w:val="00706580"/>
    <w:rsid w:val="00706C84"/>
    <w:rsid w:val="00707C90"/>
    <w:rsid w:val="00710575"/>
    <w:rsid w:val="0071160E"/>
    <w:rsid w:val="00711CA3"/>
    <w:rsid w:val="00713531"/>
    <w:rsid w:val="00713A28"/>
    <w:rsid w:val="00714429"/>
    <w:rsid w:val="00717677"/>
    <w:rsid w:val="00723B55"/>
    <w:rsid w:val="00727117"/>
    <w:rsid w:val="00727332"/>
    <w:rsid w:val="00727E26"/>
    <w:rsid w:val="00727FCB"/>
    <w:rsid w:val="007306FC"/>
    <w:rsid w:val="0073231B"/>
    <w:rsid w:val="00734542"/>
    <w:rsid w:val="00736F1A"/>
    <w:rsid w:val="007401E6"/>
    <w:rsid w:val="00740D91"/>
    <w:rsid w:val="007440AC"/>
    <w:rsid w:val="00744811"/>
    <w:rsid w:val="00754C8C"/>
    <w:rsid w:val="00754FF4"/>
    <w:rsid w:val="00763796"/>
    <w:rsid w:val="00764435"/>
    <w:rsid w:val="007658AE"/>
    <w:rsid w:val="00766AFC"/>
    <w:rsid w:val="007671D7"/>
    <w:rsid w:val="00767408"/>
    <w:rsid w:val="00775289"/>
    <w:rsid w:val="007758AE"/>
    <w:rsid w:val="007776A5"/>
    <w:rsid w:val="00780A32"/>
    <w:rsid w:val="00780DA6"/>
    <w:rsid w:val="00781ABD"/>
    <w:rsid w:val="00782476"/>
    <w:rsid w:val="007827EF"/>
    <w:rsid w:val="00783233"/>
    <w:rsid w:val="0078391D"/>
    <w:rsid w:val="00783F73"/>
    <w:rsid w:val="00785DEA"/>
    <w:rsid w:val="00785E2B"/>
    <w:rsid w:val="00785EC2"/>
    <w:rsid w:val="007877ED"/>
    <w:rsid w:val="007902AA"/>
    <w:rsid w:val="0079250F"/>
    <w:rsid w:val="00797791"/>
    <w:rsid w:val="007A10F0"/>
    <w:rsid w:val="007A1B68"/>
    <w:rsid w:val="007A28CF"/>
    <w:rsid w:val="007A2FAB"/>
    <w:rsid w:val="007A58A5"/>
    <w:rsid w:val="007A71E5"/>
    <w:rsid w:val="007B017B"/>
    <w:rsid w:val="007B3058"/>
    <w:rsid w:val="007B40C1"/>
    <w:rsid w:val="007B7D21"/>
    <w:rsid w:val="007C0C7C"/>
    <w:rsid w:val="007C39C2"/>
    <w:rsid w:val="007C4685"/>
    <w:rsid w:val="007D44EA"/>
    <w:rsid w:val="007D70D8"/>
    <w:rsid w:val="007E379F"/>
    <w:rsid w:val="007E47AF"/>
    <w:rsid w:val="007E5C49"/>
    <w:rsid w:val="007E5CEA"/>
    <w:rsid w:val="007E72B6"/>
    <w:rsid w:val="007F03AD"/>
    <w:rsid w:val="007F0B05"/>
    <w:rsid w:val="007F11A6"/>
    <w:rsid w:val="007F2D6E"/>
    <w:rsid w:val="007F30F8"/>
    <w:rsid w:val="007F5388"/>
    <w:rsid w:val="007F7ACC"/>
    <w:rsid w:val="00800391"/>
    <w:rsid w:val="0080086A"/>
    <w:rsid w:val="0080231A"/>
    <w:rsid w:val="00802BC6"/>
    <w:rsid w:val="00803873"/>
    <w:rsid w:val="00803CBE"/>
    <w:rsid w:val="00803EC2"/>
    <w:rsid w:val="00803F63"/>
    <w:rsid w:val="008118DB"/>
    <w:rsid w:val="00812927"/>
    <w:rsid w:val="00812F19"/>
    <w:rsid w:val="008134E9"/>
    <w:rsid w:val="00817185"/>
    <w:rsid w:val="00825DA7"/>
    <w:rsid w:val="00825DF2"/>
    <w:rsid w:val="008262F9"/>
    <w:rsid w:val="008318CE"/>
    <w:rsid w:val="00831EFB"/>
    <w:rsid w:val="0083649B"/>
    <w:rsid w:val="008375CB"/>
    <w:rsid w:val="00837C7A"/>
    <w:rsid w:val="00843C4B"/>
    <w:rsid w:val="008440A4"/>
    <w:rsid w:val="00845066"/>
    <w:rsid w:val="00850BE9"/>
    <w:rsid w:val="0085359C"/>
    <w:rsid w:val="00853C5E"/>
    <w:rsid w:val="008625B2"/>
    <w:rsid w:val="008654CD"/>
    <w:rsid w:val="00866128"/>
    <w:rsid w:val="00866EF9"/>
    <w:rsid w:val="008670B6"/>
    <w:rsid w:val="00867DB6"/>
    <w:rsid w:val="00870183"/>
    <w:rsid w:val="00870C1A"/>
    <w:rsid w:val="008719B8"/>
    <w:rsid w:val="00872F8F"/>
    <w:rsid w:val="00875045"/>
    <w:rsid w:val="00876C93"/>
    <w:rsid w:val="00877594"/>
    <w:rsid w:val="0088080D"/>
    <w:rsid w:val="00881D6A"/>
    <w:rsid w:val="0088338E"/>
    <w:rsid w:val="008841A2"/>
    <w:rsid w:val="00885556"/>
    <w:rsid w:val="00886CC6"/>
    <w:rsid w:val="008876C5"/>
    <w:rsid w:val="008A34F4"/>
    <w:rsid w:val="008A4C2A"/>
    <w:rsid w:val="008A61E0"/>
    <w:rsid w:val="008A61E8"/>
    <w:rsid w:val="008B01CD"/>
    <w:rsid w:val="008B65DA"/>
    <w:rsid w:val="008B6E11"/>
    <w:rsid w:val="008C19B0"/>
    <w:rsid w:val="008C3FDD"/>
    <w:rsid w:val="008C47FB"/>
    <w:rsid w:val="008D06D7"/>
    <w:rsid w:val="008D0F3B"/>
    <w:rsid w:val="008D133B"/>
    <w:rsid w:val="008D2B64"/>
    <w:rsid w:val="008D2D9D"/>
    <w:rsid w:val="008D716A"/>
    <w:rsid w:val="008D7F27"/>
    <w:rsid w:val="008E2478"/>
    <w:rsid w:val="008E3062"/>
    <w:rsid w:val="008E4B9B"/>
    <w:rsid w:val="008E59DB"/>
    <w:rsid w:val="008E70B0"/>
    <w:rsid w:val="008E7C76"/>
    <w:rsid w:val="008E7E3E"/>
    <w:rsid w:val="008F040F"/>
    <w:rsid w:val="008F4A87"/>
    <w:rsid w:val="008F65FF"/>
    <w:rsid w:val="008F78B0"/>
    <w:rsid w:val="00902849"/>
    <w:rsid w:val="00902B5C"/>
    <w:rsid w:val="0090489F"/>
    <w:rsid w:val="00905970"/>
    <w:rsid w:val="0090630A"/>
    <w:rsid w:val="009068BC"/>
    <w:rsid w:val="009074DA"/>
    <w:rsid w:val="0091028E"/>
    <w:rsid w:val="009111C3"/>
    <w:rsid w:val="00912040"/>
    <w:rsid w:val="009133C3"/>
    <w:rsid w:val="009146BA"/>
    <w:rsid w:val="0091622F"/>
    <w:rsid w:val="0091711C"/>
    <w:rsid w:val="009179CC"/>
    <w:rsid w:val="009205CF"/>
    <w:rsid w:val="0092122E"/>
    <w:rsid w:val="00927FBE"/>
    <w:rsid w:val="00931392"/>
    <w:rsid w:val="009347FE"/>
    <w:rsid w:val="009404BA"/>
    <w:rsid w:val="00941181"/>
    <w:rsid w:val="00941BD6"/>
    <w:rsid w:val="00944599"/>
    <w:rsid w:val="00947335"/>
    <w:rsid w:val="0095002A"/>
    <w:rsid w:val="009510A0"/>
    <w:rsid w:val="00953AA6"/>
    <w:rsid w:val="009564FF"/>
    <w:rsid w:val="00957D4C"/>
    <w:rsid w:val="00957DDF"/>
    <w:rsid w:val="00962FE4"/>
    <w:rsid w:val="0096727C"/>
    <w:rsid w:val="00971A35"/>
    <w:rsid w:val="0097261D"/>
    <w:rsid w:val="00976090"/>
    <w:rsid w:val="009772F9"/>
    <w:rsid w:val="00977859"/>
    <w:rsid w:val="00981253"/>
    <w:rsid w:val="00981C10"/>
    <w:rsid w:val="00982BE1"/>
    <w:rsid w:val="00983E9D"/>
    <w:rsid w:val="009864B5"/>
    <w:rsid w:val="0098724C"/>
    <w:rsid w:val="00990442"/>
    <w:rsid w:val="00997851"/>
    <w:rsid w:val="009A0937"/>
    <w:rsid w:val="009A0B82"/>
    <w:rsid w:val="009A2465"/>
    <w:rsid w:val="009A2642"/>
    <w:rsid w:val="009A3C3A"/>
    <w:rsid w:val="009A50AD"/>
    <w:rsid w:val="009A66D2"/>
    <w:rsid w:val="009A7B21"/>
    <w:rsid w:val="009A7D21"/>
    <w:rsid w:val="009B0097"/>
    <w:rsid w:val="009B149D"/>
    <w:rsid w:val="009B274C"/>
    <w:rsid w:val="009B3A17"/>
    <w:rsid w:val="009B4E52"/>
    <w:rsid w:val="009B5F39"/>
    <w:rsid w:val="009B650C"/>
    <w:rsid w:val="009B6CB6"/>
    <w:rsid w:val="009B7517"/>
    <w:rsid w:val="009C0309"/>
    <w:rsid w:val="009C0D3B"/>
    <w:rsid w:val="009C0D80"/>
    <w:rsid w:val="009C0D81"/>
    <w:rsid w:val="009D000E"/>
    <w:rsid w:val="009D1AFB"/>
    <w:rsid w:val="009D54DA"/>
    <w:rsid w:val="009D690B"/>
    <w:rsid w:val="009E0D60"/>
    <w:rsid w:val="009E4492"/>
    <w:rsid w:val="009E709C"/>
    <w:rsid w:val="009F34AA"/>
    <w:rsid w:val="009F4134"/>
    <w:rsid w:val="009F52D7"/>
    <w:rsid w:val="009F7F3E"/>
    <w:rsid w:val="00A0124C"/>
    <w:rsid w:val="00A01F73"/>
    <w:rsid w:val="00A022A7"/>
    <w:rsid w:val="00A0287D"/>
    <w:rsid w:val="00A0521C"/>
    <w:rsid w:val="00A10BA7"/>
    <w:rsid w:val="00A10CED"/>
    <w:rsid w:val="00A1516C"/>
    <w:rsid w:val="00A179C7"/>
    <w:rsid w:val="00A17B8B"/>
    <w:rsid w:val="00A20B68"/>
    <w:rsid w:val="00A236FD"/>
    <w:rsid w:val="00A25A7C"/>
    <w:rsid w:val="00A26D3F"/>
    <w:rsid w:val="00A2788D"/>
    <w:rsid w:val="00A30796"/>
    <w:rsid w:val="00A30AFF"/>
    <w:rsid w:val="00A3190B"/>
    <w:rsid w:val="00A31FAF"/>
    <w:rsid w:val="00A367B8"/>
    <w:rsid w:val="00A379FF"/>
    <w:rsid w:val="00A37C7F"/>
    <w:rsid w:val="00A402FA"/>
    <w:rsid w:val="00A41A26"/>
    <w:rsid w:val="00A44AD5"/>
    <w:rsid w:val="00A46C3E"/>
    <w:rsid w:val="00A471B4"/>
    <w:rsid w:val="00A52160"/>
    <w:rsid w:val="00A523F8"/>
    <w:rsid w:val="00A538A3"/>
    <w:rsid w:val="00A539A5"/>
    <w:rsid w:val="00A60E55"/>
    <w:rsid w:val="00A61E7A"/>
    <w:rsid w:val="00A62A2D"/>
    <w:rsid w:val="00A635C3"/>
    <w:rsid w:val="00A65617"/>
    <w:rsid w:val="00A662CE"/>
    <w:rsid w:val="00A67548"/>
    <w:rsid w:val="00A703A4"/>
    <w:rsid w:val="00A71465"/>
    <w:rsid w:val="00A71D46"/>
    <w:rsid w:val="00A73198"/>
    <w:rsid w:val="00A746A9"/>
    <w:rsid w:val="00A758CA"/>
    <w:rsid w:val="00A76C25"/>
    <w:rsid w:val="00A77323"/>
    <w:rsid w:val="00A777C9"/>
    <w:rsid w:val="00A80E98"/>
    <w:rsid w:val="00A815A7"/>
    <w:rsid w:val="00A815BD"/>
    <w:rsid w:val="00A81A60"/>
    <w:rsid w:val="00A8365B"/>
    <w:rsid w:val="00A84FC4"/>
    <w:rsid w:val="00A85603"/>
    <w:rsid w:val="00A85948"/>
    <w:rsid w:val="00A905C4"/>
    <w:rsid w:val="00A909E3"/>
    <w:rsid w:val="00A91D62"/>
    <w:rsid w:val="00A920C6"/>
    <w:rsid w:val="00A92195"/>
    <w:rsid w:val="00A94236"/>
    <w:rsid w:val="00A94575"/>
    <w:rsid w:val="00A957DD"/>
    <w:rsid w:val="00A95DB8"/>
    <w:rsid w:val="00A95DF4"/>
    <w:rsid w:val="00A96B37"/>
    <w:rsid w:val="00A96FA0"/>
    <w:rsid w:val="00A970B7"/>
    <w:rsid w:val="00A9781E"/>
    <w:rsid w:val="00AA240A"/>
    <w:rsid w:val="00AA401C"/>
    <w:rsid w:val="00AB199B"/>
    <w:rsid w:val="00AB5BEE"/>
    <w:rsid w:val="00AB64F5"/>
    <w:rsid w:val="00AB6ADC"/>
    <w:rsid w:val="00AC02E8"/>
    <w:rsid w:val="00AC3046"/>
    <w:rsid w:val="00AC531E"/>
    <w:rsid w:val="00AC563B"/>
    <w:rsid w:val="00AC668A"/>
    <w:rsid w:val="00AC6848"/>
    <w:rsid w:val="00AC7A5D"/>
    <w:rsid w:val="00AD1437"/>
    <w:rsid w:val="00AD2DB3"/>
    <w:rsid w:val="00AD53F6"/>
    <w:rsid w:val="00AD70E3"/>
    <w:rsid w:val="00AE2FF3"/>
    <w:rsid w:val="00AE3CE4"/>
    <w:rsid w:val="00AE68EF"/>
    <w:rsid w:val="00AE6B19"/>
    <w:rsid w:val="00AF0495"/>
    <w:rsid w:val="00AF1570"/>
    <w:rsid w:val="00AF17CE"/>
    <w:rsid w:val="00AF4DF0"/>
    <w:rsid w:val="00AF678E"/>
    <w:rsid w:val="00B0114A"/>
    <w:rsid w:val="00B01E09"/>
    <w:rsid w:val="00B01EFF"/>
    <w:rsid w:val="00B05448"/>
    <w:rsid w:val="00B05A6E"/>
    <w:rsid w:val="00B11C95"/>
    <w:rsid w:val="00B11CDD"/>
    <w:rsid w:val="00B13577"/>
    <w:rsid w:val="00B20006"/>
    <w:rsid w:val="00B260CF"/>
    <w:rsid w:val="00B2775E"/>
    <w:rsid w:val="00B349A8"/>
    <w:rsid w:val="00B36482"/>
    <w:rsid w:val="00B3649A"/>
    <w:rsid w:val="00B36C1F"/>
    <w:rsid w:val="00B37AB3"/>
    <w:rsid w:val="00B37EA7"/>
    <w:rsid w:val="00B4060E"/>
    <w:rsid w:val="00B40C0E"/>
    <w:rsid w:val="00B41F1E"/>
    <w:rsid w:val="00B43D4E"/>
    <w:rsid w:val="00B45C9A"/>
    <w:rsid w:val="00B468DC"/>
    <w:rsid w:val="00B46B26"/>
    <w:rsid w:val="00B47F27"/>
    <w:rsid w:val="00B514D7"/>
    <w:rsid w:val="00B53D31"/>
    <w:rsid w:val="00B555BE"/>
    <w:rsid w:val="00B56D71"/>
    <w:rsid w:val="00B5746F"/>
    <w:rsid w:val="00B6042B"/>
    <w:rsid w:val="00B625B1"/>
    <w:rsid w:val="00B66D33"/>
    <w:rsid w:val="00B70EBD"/>
    <w:rsid w:val="00B75425"/>
    <w:rsid w:val="00B76887"/>
    <w:rsid w:val="00B81142"/>
    <w:rsid w:val="00B81DB5"/>
    <w:rsid w:val="00B8518F"/>
    <w:rsid w:val="00B914F5"/>
    <w:rsid w:val="00B9193B"/>
    <w:rsid w:val="00B92CE8"/>
    <w:rsid w:val="00B93149"/>
    <w:rsid w:val="00B97642"/>
    <w:rsid w:val="00BA0C7B"/>
    <w:rsid w:val="00BA16D7"/>
    <w:rsid w:val="00BA216E"/>
    <w:rsid w:val="00BA5D51"/>
    <w:rsid w:val="00BA6A09"/>
    <w:rsid w:val="00BA7C89"/>
    <w:rsid w:val="00BB00D7"/>
    <w:rsid w:val="00BB1D4A"/>
    <w:rsid w:val="00BB31C4"/>
    <w:rsid w:val="00BB32ED"/>
    <w:rsid w:val="00BB767A"/>
    <w:rsid w:val="00BC1A75"/>
    <w:rsid w:val="00BC1CA5"/>
    <w:rsid w:val="00BC1F01"/>
    <w:rsid w:val="00BC261C"/>
    <w:rsid w:val="00BC3A03"/>
    <w:rsid w:val="00BC78E4"/>
    <w:rsid w:val="00BD08CE"/>
    <w:rsid w:val="00BD2411"/>
    <w:rsid w:val="00BE112D"/>
    <w:rsid w:val="00BE17F4"/>
    <w:rsid w:val="00BE291E"/>
    <w:rsid w:val="00BE3AA6"/>
    <w:rsid w:val="00BE4A36"/>
    <w:rsid w:val="00BF55DA"/>
    <w:rsid w:val="00BF6499"/>
    <w:rsid w:val="00C0192B"/>
    <w:rsid w:val="00C02C72"/>
    <w:rsid w:val="00C056EE"/>
    <w:rsid w:val="00C0637E"/>
    <w:rsid w:val="00C161EC"/>
    <w:rsid w:val="00C21572"/>
    <w:rsid w:val="00C21D06"/>
    <w:rsid w:val="00C23642"/>
    <w:rsid w:val="00C25263"/>
    <w:rsid w:val="00C26F9E"/>
    <w:rsid w:val="00C31687"/>
    <w:rsid w:val="00C362D6"/>
    <w:rsid w:val="00C36348"/>
    <w:rsid w:val="00C370F8"/>
    <w:rsid w:val="00C44419"/>
    <w:rsid w:val="00C44510"/>
    <w:rsid w:val="00C44D0C"/>
    <w:rsid w:val="00C45092"/>
    <w:rsid w:val="00C4595C"/>
    <w:rsid w:val="00C45FB0"/>
    <w:rsid w:val="00C45FE1"/>
    <w:rsid w:val="00C46866"/>
    <w:rsid w:val="00C468A6"/>
    <w:rsid w:val="00C47E14"/>
    <w:rsid w:val="00C50955"/>
    <w:rsid w:val="00C54C2A"/>
    <w:rsid w:val="00C60088"/>
    <w:rsid w:val="00C6114C"/>
    <w:rsid w:val="00C67133"/>
    <w:rsid w:val="00C719E0"/>
    <w:rsid w:val="00C71DA6"/>
    <w:rsid w:val="00C73326"/>
    <w:rsid w:val="00C81E4D"/>
    <w:rsid w:val="00C82888"/>
    <w:rsid w:val="00C85DC7"/>
    <w:rsid w:val="00C91F3F"/>
    <w:rsid w:val="00C96DC6"/>
    <w:rsid w:val="00CA2A4A"/>
    <w:rsid w:val="00CA430A"/>
    <w:rsid w:val="00CB15CA"/>
    <w:rsid w:val="00CB1BD9"/>
    <w:rsid w:val="00CB24FB"/>
    <w:rsid w:val="00CB4E38"/>
    <w:rsid w:val="00CC095B"/>
    <w:rsid w:val="00CC1AE3"/>
    <w:rsid w:val="00CC2EEE"/>
    <w:rsid w:val="00CC3761"/>
    <w:rsid w:val="00CC438F"/>
    <w:rsid w:val="00CC60DD"/>
    <w:rsid w:val="00CD1E7E"/>
    <w:rsid w:val="00CD2672"/>
    <w:rsid w:val="00CD282C"/>
    <w:rsid w:val="00CD3925"/>
    <w:rsid w:val="00CD5102"/>
    <w:rsid w:val="00CD6DFF"/>
    <w:rsid w:val="00CD70E5"/>
    <w:rsid w:val="00CD76E3"/>
    <w:rsid w:val="00CE066E"/>
    <w:rsid w:val="00CE37CF"/>
    <w:rsid w:val="00CE3D75"/>
    <w:rsid w:val="00CF2E10"/>
    <w:rsid w:val="00CF4593"/>
    <w:rsid w:val="00CF4F8E"/>
    <w:rsid w:val="00CF4FAD"/>
    <w:rsid w:val="00CF7472"/>
    <w:rsid w:val="00D013E4"/>
    <w:rsid w:val="00D013F1"/>
    <w:rsid w:val="00D03C4A"/>
    <w:rsid w:val="00D052C4"/>
    <w:rsid w:val="00D06DB3"/>
    <w:rsid w:val="00D14AA8"/>
    <w:rsid w:val="00D16EC7"/>
    <w:rsid w:val="00D16EDA"/>
    <w:rsid w:val="00D1704D"/>
    <w:rsid w:val="00D212B2"/>
    <w:rsid w:val="00D21F95"/>
    <w:rsid w:val="00D23910"/>
    <w:rsid w:val="00D23C47"/>
    <w:rsid w:val="00D24476"/>
    <w:rsid w:val="00D24789"/>
    <w:rsid w:val="00D25691"/>
    <w:rsid w:val="00D26528"/>
    <w:rsid w:val="00D32556"/>
    <w:rsid w:val="00D33D18"/>
    <w:rsid w:val="00D35341"/>
    <w:rsid w:val="00D35916"/>
    <w:rsid w:val="00D37C2C"/>
    <w:rsid w:val="00D404BB"/>
    <w:rsid w:val="00D45205"/>
    <w:rsid w:val="00D45AE5"/>
    <w:rsid w:val="00D52A31"/>
    <w:rsid w:val="00D53E70"/>
    <w:rsid w:val="00D54597"/>
    <w:rsid w:val="00D54AD4"/>
    <w:rsid w:val="00D55F4C"/>
    <w:rsid w:val="00D57E3F"/>
    <w:rsid w:val="00D6071C"/>
    <w:rsid w:val="00D6174A"/>
    <w:rsid w:val="00D6226A"/>
    <w:rsid w:val="00D62C13"/>
    <w:rsid w:val="00D63BED"/>
    <w:rsid w:val="00D65E3F"/>
    <w:rsid w:val="00D67A4E"/>
    <w:rsid w:val="00D72039"/>
    <w:rsid w:val="00D73788"/>
    <w:rsid w:val="00D74519"/>
    <w:rsid w:val="00D7518A"/>
    <w:rsid w:val="00D76111"/>
    <w:rsid w:val="00D77040"/>
    <w:rsid w:val="00D81792"/>
    <w:rsid w:val="00D81F8C"/>
    <w:rsid w:val="00D83465"/>
    <w:rsid w:val="00D8399F"/>
    <w:rsid w:val="00D86EDD"/>
    <w:rsid w:val="00D874C2"/>
    <w:rsid w:val="00D919EB"/>
    <w:rsid w:val="00D9370A"/>
    <w:rsid w:val="00D95D30"/>
    <w:rsid w:val="00D9769A"/>
    <w:rsid w:val="00DA179D"/>
    <w:rsid w:val="00DA368C"/>
    <w:rsid w:val="00DB1A1D"/>
    <w:rsid w:val="00DC0FC6"/>
    <w:rsid w:val="00DC195E"/>
    <w:rsid w:val="00DC1C3F"/>
    <w:rsid w:val="00DC3C9C"/>
    <w:rsid w:val="00DC5B95"/>
    <w:rsid w:val="00DC7794"/>
    <w:rsid w:val="00DD17BF"/>
    <w:rsid w:val="00DD24BC"/>
    <w:rsid w:val="00DD2F3B"/>
    <w:rsid w:val="00DE1E28"/>
    <w:rsid w:val="00DE3D4C"/>
    <w:rsid w:val="00DE4A19"/>
    <w:rsid w:val="00DF2173"/>
    <w:rsid w:val="00DF2CC6"/>
    <w:rsid w:val="00DF2EFD"/>
    <w:rsid w:val="00DF32C1"/>
    <w:rsid w:val="00DF50EA"/>
    <w:rsid w:val="00DF54A1"/>
    <w:rsid w:val="00E003FD"/>
    <w:rsid w:val="00E02AA6"/>
    <w:rsid w:val="00E055EB"/>
    <w:rsid w:val="00E067D3"/>
    <w:rsid w:val="00E06DE2"/>
    <w:rsid w:val="00E11653"/>
    <w:rsid w:val="00E16AA6"/>
    <w:rsid w:val="00E20A8C"/>
    <w:rsid w:val="00E21D3D"/>
    <w:rsid w:val="00E2214E"/>
    <w:rsid w:val="00E2253F"/>
    <w:rsid w:val="00E23718"/>
    <w:rsid w:val="00E2451D"/>
    <w:rsid w:val="00E247AF"/>
    <w:rsid w:val="00E2584A"/>
    <w:rsid w:val="00E30778"/>
    <w:rsid w:val="00E3128E"/>
    <w:rsid w:val="00E32BCB"/>
    <w:rsid w:val="00E33570"/>
    <w:rsid w:val="00E34F2B"/>
    <w:rsid w:val="00E36ACE"/>
    <w:rsid w:val="00E378FA"/>
    <w:rsid w:val="00E41813"/>
    <w:rsid w:val="00E42072"/>
    <w:rsid w:val="00E43F92"/>
    <w:rsid w:val="00E446E9"/>
    <w:rsid w:val="00E45D34"/>
    <w:rsid w:val="00E479A9"/>
    <w:rsid w:val="00E47EF5"/>
    <w:rsid w:val="00E50861"/>
    <w:rsid w:val="00E5257E"/>
    <w:rsid w:val="00E55CA1"/>
    <w:rsid w:val="00E60FD0"/>
    <w:rsid w:val="00E639C1"/>
    <w:rsid w:val="00E6482B"/>
    <w:rsid w:val="00E65783"/>
    <w:rsid w:val="00E66703"/>
    <w:rsid w:val="00E671BB"/>
    <w:rsid w:val="00E73789"/>
    <w:rsid w:val="00E77B37"/>
    <w:rsid w:val="00E82BC7"/>
    <w:rsid w:val="00E84924"/>
    <w:rsid w:val="00E84CC3"/>
    <w:rsid w:val="00E86154"/>
    <w:rsid w:val="00E956BD"/>
    <w:rsid w:val="00EA4671"/>
    <w:rsid w:val="00EA71DD"/>
    <w:rsid w:val="00EB139E"/>
    <w:rsid w:val="00EB5B36"/>
    <w:rsid w:val="00ED5002"/>
    <w:rsid w:val="00ED53B3"/>
    <w:rsid w:val="00ED6C5D"/>
    <w:rsid w:val="00EE06F3"/>
    <w:rsid w:val="00EE1C0B"/>
    <w:rsid w:val="00EE3495"/>
    <w:rsid w:val="00EE43EB"/>
    <w:rsid w:val="00EE48DB"/>
    <w:rsid w:val="00EE5369"/>
    <w:rsid w:val="00EE7496"/>
    <w:rsid w:val="00EE7B85"/>
    <w:rsid w:val="00EF572C"/>
    <w:rsid w:val="00EF6D66"/>
    <w:rsid w:val="00EF70F4"/>
    <w:rsid w:val="00F05843"/>
    <w:rsid w:val="00F058BB"/>
    <w:rsid w:val="00F07CFB"/>
    <w:rsid w:val="00F1033A"/>
    <w:rsid w:val="00F10559"/>
    <w:rsid w:val="00F118CB"/>
    <w:rsid w:val="00F13008"/>
    <w:rsid w:val="00F145AF"/>
    <w:rsid w:val="00F14D32"/>
    <w:rsid w:val="00F151AF"/>
    <w:rsid w:val="00F1588C"/>
    <w:rsid w:val="00F1735C"/>
    <w:rsid w:val="00F25354"/>
    <w:rsid w:val="00F25DDC"/>
    <w:rsid w:val="00F31C0C"/>
    <w:rsid w:val="00F40548"/>
    <w:rsid w:val="00F40A70"/>
    <w:rsid w:val="00F42414"/>
    <w:rsid w:val="00F43408"/>
    <w:rsid w:val="00F43903"/>
    <w:rsid w:val="00F51EDB"/>
    <w:rsid w:val="00F52FCB"/>
    <w:rsid w:val="00F53741"/>
    <w:rsid w:val="00F54376"/>
    <w:rsid w:val="00F544DE"/>
    <w:rsid w:val="00F5591A"/>
    <w:rsid w:val="00F55E8F"/>
    <w:rsid w:val="00F55EEF"/>
    <w:rsid w:val="00F568E8"/>
    <w:rsid w:val="00F576A6"/>
    <w:rsid w:val="00F66305"/>
    <w:rsid w:val="00F67A61"/>
    <w:rsid w:val="00F67CAE"/>
    <w:rsid w:val="00F67DE6"/>
    <w:rsid w:val="00F748AD"/>
    <w:rsid w:val="00F767FC"/>
    <w:rsid w:val="00F8142C"/>
    <w:rsid w:val="00F83C51"/>
    <w:rsid w:val="00F8454E"/>
    <w:rsid w:val="00F858A5"/>
    <w:rsid w:val="00F86712"/>
    <w:rsid w:val="00F871A9"/>
    <w:rsid w:val="00F87E02"/>
    <w:rsid w:val="00F9218E"/>
    <w:rsid w:val="00F933A0"/>
    <w:rsid w:val="00F9343C"/>
    <w:rsid w:val="00F94558"/>
    <w:rsid w:val="00F94B41"/>
    <w:rsid w:val="00F94ED8"/>
    <w:rsid w:val="00F954B1"/>
    <w:rsid w:val="00F96734"/>
    <w:rsid w:val="00F970AC"/>
    <w:rsid w:val="00FA1A13"/>
    <w:rsid w:val="00FA3E03"/>
    <w:rsid w:val="00FA4FF1"/>
    <w:rsid w:val="00FA73E8"/>
    <w:rsid w:val="00FA744E"/>
    <w:rsid w:val="00FB328A"/>
    <w:rsid w:val="00FB4C4E"/>
    <w:rsid w:val="00FB6DF8"/>
    <w:rsid w:val="00FB780B"/>
    <w:rsid w:val="00FB79F5"/>
    <w:rsid w:val="00FC5365"/>
    <w:rsid w:val="00FC7FE5"/>
    <w:rsid w:val="00FD0187"/>
    <w:rsid w:val="00FD1C76"/>
    <w:rsid w:val="00FD3C73"/>
    <w:rsid w:val="00FD71FE"/>
    <w:rsid w:val="00FD7F23"/>
    <w:rsid w:val="00FE0234"/>
    <w:rsid w:val="00FE1885"/>
    <w:rsid w:val="00FE2D82"/>
    <w:rsid w:val="00FE70D9"/>
    <w:rsid w:val="00FE7A7D"/>
    <w:rsid w:val="00FE7D91"/>
    <w:rsid w:val="00FF0191"/>
    <w:rsid w:val="00FF1F31"/>
    <w:rsid w:val="00FF3365"/>
    <w:rsid w:val="00FF3EC9"/>
    <w:rsid w:val="00FF4D6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99CDB"/>
  <w15:docId w15:val="{F845E7B7-E191-490B-858E-52F9C568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56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90569"/>
    <w:pPr>
      <w:widowControl w:val="0"/>
      <w:tabs>
        <w:tab w:val="left" w:pos="1418"/>
        <w:tab w:val="left" w:pos="2835"/>
        <w:tab w:val="left" w:pos="4253"/>
        <w:tab w:val="left" w:pos="5670"/>
        <w:tab w:val="left" w:pos="7088"/>
        <w:tab w:val="left" w:pos="8505"/>
      </w:tabs>
      <w:spacing w:before="240" w:after="60" w:line="480" w:lineRule="auto"/>
      <w:jc w:val="center"/>
      <w:outlineLvl w:val="0"/>
    </w:pPr>
    <w:rPr>
      <w:rFonts w:ascii="Century Gothic" w:hAnsi="Century Gothic"/>
      <w:kern w:val="28"/>
      <w:sz w:val="26"/>
      <w:szCs w:val="20"/>
      <w:lang w:val="en-ZA"/>
    </w:rPr>
  </w:style>
  <w:style w:type="paragraph" w:styleId="Heading2">
    <w:name w:val="heading 2"/>
    <w:basedOn w:val="Normal"/>
    <w:next w:val="Normal"/>
    <w:link w:val="Heading2Char"/>
    <w:uiPriority w:val="9"/>
    <w:unhideWhenUsed/>
    <w:qFormat/>
    <w:rsid w:val="00090569"/>
    <w:pPr>
      <w:widowControl w:val="0"/>
      <w:tabs>
        <w:tab w:val="left" w:pos="1418"/>
        <w:tab w:val="left" w:pos="2835"/>
        <w:tab w:val="left" w:pos="4253"/>
        <w:tab w:val="left" w:pos="5670"/>
        <w:tab w:val="left" w:pos="7088"/>
        <w:tab w:val="left" w:pos="8505"/>
      </w:tabs>
      <w:spacing w:before="240" w:after="60" w:line="480" w:lineRule="auto"/>
      <w:jc w:val="both"/>
      <w:outlineLvl w:val="1"/>
    </w:pPr>
    <w:rPr>
      <w:rFonts w:ascii="Century Gothic" w:hAnsi="Century Gothic"/>
      <w:sz w:val="26"/>
      <w:szCs w:val="20"/>
      <w:lang w:val="en-ZA"/>
    </w:rPr>
  </w:style>
  <w:style w:type="paragraph" w:styleId="Heading3">
    <w:name w:val="heading 3"/>
    <w:next w:val="Normal"/>
    <w:link w:val="Heading3Char"/>
    <w:uiPriority w:val="9"/>
    <w:unhideWhenUsed/>
    <w:qFormat/>
    <w:rsid w:val="00090569"/>
    <w:pPr>
      <w:widowControl w:val="0"/>
      <w:tabs>
        <w:tab w:val="left" w:pos="1418"/>
        <w:tab w:val="left" w:pos="4253"/>
        <w:tab w:val="left" w:pos="5670"/>
        <w:tab w:val="left" w:pos="7088"/>
        <w:tab w:val="left" w:pos="8505"/>
      </w:tabs>
      <w:spacing w:before="240" w:after="60" w:line="480" w:lineRule="auto"/>
      <w:jc w:val="both"/>
      <w:outlineLvl w:val="2"/>
    </w:pPr>
    <w:rPr>
      <w:rFonts w:ascii="Century Gothic" w:eastAsia="Times New Roman" w:hAnsi="Century Gothic" w:cs="Times New Roman"/>
      <w:sz w:val="26"/>
      <w:szCs w:val="20"/>
    </w:rPr>
  </w:style>
  <w:style w:type="paragraph" w:styleId="Heading4">
    <w:name w:val="heading 4"/>
    <w:basedOn w:val="Normal"/>
    <w:next w:val="Normal"/>
    <w:link w:val="Heading4Char"/>
    <w:uiPriority w:val="9"/>
    <w:unhideWhenUsed/>
    <w:qFormat/>
    <w:rsid w:val="00090569"/>
    <w:pPr>
      <w:keepNext/>
      <w:widowControl w:val="0"/>
      <w:tabs>
        <w:tab w:val="right" w:pos="8640"/>
      </w:tabs>
      <w:spacing w:line="480" w:lineRule="auto"/>
      <w:jc w:val="center"/>
      <w:outlineLvl w:val="3"/>
    </w:pPr>
    <w:rPr>
      <w:rFonts w:ascii="Century Gothic" w:hAnsi="Century Gothic"/>
      <w:b/>
      <w:bCs/>
      <w:sz w:val="26"/>
      <w:szCs w:val="20"/>
      <w:lang w:val="en-ZA"/>
    </w:rPr>
  </w:style>
  <w:style w:type="paragraph" w:styleId="Heading5">
    <w:name w:val="heading 5"/>
    <w:basedOn w:val="Normal"/>
    <w:next w:val="Normal"/>
    <w:link w:val="Heading5Char"/>
    <w:uiPriority w:val="9"/>
    <w:unhideWhenUsed/>
    <w:qFormat/>
    <w:rsid w:val="00304FDE"/>
    <w:pPr>
      <w:spacing w:before="240" w:after="60" w:line="480" w:lineRule="auto"/>
      <w:ind w:left="1440" w:hanging="1440"/>
      <w:outlineLvl w:val="4"/>
    </w:pPr>
    <w:rPr>
      <w:rFonts w:ascii="Calibri" w:hAnsi="Calibri"/>
      <w:b/>
      <w:bCs/>
      <w:i/>
      <w:iCs/>
      <w:sz w:val="26"/>
      <w:szCs w:val="26"/>
      <w:lang w:val="en-GB"/>
    </w:rPr>
  </w:style>
  <w:style w:type="paragraph" w:styleId="Heading6">
    <w:name w:val="heading 6"/>
    <w:basedOn w:val="Normal"/>
    <w:link w:val="Heading6Char"/>
    <w:uiPriority w:val="9"/>
    <w:unhideWhenUsed/>
    <w:qFormat/>
    <w:rsid w:val="00274B51"/>
    <w:pPr>
      <w:widowControl w:val="0"/>
      <w:autoSpaceDE w:val="0"/>
      <w:autoSpaceDN w:val="0"/>
      <w:spacing w:before="70"/>
      <w:ind w:left="134"/>
      <w:outlineLvl w:val="5"/>
    </w:pPr>
    <w:rPr>
      <w:b/>
      <w:bCs/>
      <w:sz w:val="25"/>
      <w:szCs w:val="25"/>
    </w:rPr>
  </w:style>
  <w:style w:type="paragraph" w:styleId="Heading8">
    <w:name w:val="heading 8"/>
    <w:basedOn w:val="Normal"/>
    <w:next w:val="Normal"/>
    <w:link w:val="Heading8Char"/>
    <w:uiPriority w:val="9"/>
    <w:semiHidden/>
    <w:unhideWhenUsed/>
    <w:qFormat/>
    <w:rsid w:val="00304FDE"/>
    <w:pPr>
      <w:spacing w:before="240" w:after="60" w:line="480" w:lineRule="auto"/>
      <w:ind w:left="1440" w:hanging="1440"/>
      <w:outlineLvl w:val="7"/>
    </w:pPr>
    <w:rPr>
      <w:rFonts w:ascii="Calibri" w:hAnsi="Calibr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569"/>
    <w:rPr>
      <w:rFonts w:ascii="Century Gothic" w:eastAsia="Times New Roman" w:hAnsi="Century Gothic" w:cs="Times New Roman"/>
      <w:kern w:val="28"/>
      <w:sz w:val="26"/>
      <w:szCs w:val="20"/>
    </w:rPr>
  </w:style>
  <w:style w:type="character" w:customStyle="1" w:styleId="Heading2Char">
    <w:name w:val="Heading 2 Char"/>
    <w:basedOn w:val="DefaultParagraphFont"/>
    <w:link w:val="Heading2"/>
    <w:uiPriority w:val="9"/>
    <w:rsid w:val="00090569"/>
    <w:rPr>
      <w:rFonts w:ascii="Century Gothic" w:eastAsia="Times New Roman" w:hAnsi="Century Gothic" w:cs="Times New Roman"/>
      <w:sz w:val="26"/>
      <w:szCs w:val="20"/>
    </w:rPr>
  </w:style>
  <w:style w:type="character" w:customStyle="1" w:styleId="Heading3Char">
    <w:name w:val="Heading 3 Char"/>
    <w:basedOn w:val="DefaultParagraphFont"/>
    <w:link w:val="Heading3"/>
    <w:uiPriority w:val="9"/>
    <w:rsid w:val="00090569"/>
    <w:rPr>
      <w:rFonts w:ascii="Century Gothic" w:eastAsia="Times New Roman" w:hAnsi="Century Gothic" w:cs="Times New Roman"/>
      <w:sz w:val="26"/>
      <w:szCs w:val="20"/>
    </w:rPr>
  </w:style>
  <w:style w:type="character" w:customStyle="1" w:styleId="Heading4Char">
    <w:name w:val="Heading 4 Char"/>
    <w:basedOn w:val="DefaultParagraphFont"/>
    <w:link w:val="Heading4"/>
    <w:uiPriority w:val="9"/>
    <w:rsid w:val="00090569"/>
    <w:rPr>
      <w:rFonts w:ascii="Century Gothic" w:eastAsia="Times New Roman" w:hAnsi="Century Gothic" w:cs="Times New Roman"/>
      <w:b/>
      <w:bCs/>
      <w:sz w:val="26"/>
      <w:szCs w:val="20"/>
    </w:rPr>
  </w:style>
  <w:style w:type="paragraph" w:styleId="ListParagraph">
    <w:name w:val="List Paragraph"/>
    <w:aliases w:val="List Paragraph 1"/>
    <w:basedOn w:val="Normal"/>
    <w:link w:val="ListParagraphChar"/>
    <w:uiPriority w:val="1"/>
    <w:qFormat/>
    <w:rsid w:val="0022450E"/>
    <w:pPr>
      <w:ind w:left="720"/>
      <w:contextualSpacing/>
    </w:pPr>
  </w:style>
  <w:style w:type="paragraph" w:styleId="BalloonText">
    <w:name w:val="Balloon Text"/>
    <w:basedOn w:val="Normal"/>
    <w:link w:val="BalloonTextChar"/>
    <w:uiPriority w:val="99"/>
    <w:unhideWhenUsed/>
    <w:rsid w:val="00272B80"/>
    <w:rPr>
      <w:rFonts w:ascii="Segoe UI" w:hAnsi="Segoe UI" w:cs="Segoe UI"/>
      <w:sz w:val="18"/>
      <w:szCs w:val="18"/>
    </w:rPr>
  </w:style>
  <w:style w:type="character" w:customStyle="1" w:styleId="BalloonTextChar">
    <w:name w:val="Balloon Text Char"/>
    <w:basedOn w:val="DefaultParagraphFont"/>
    <w:link w:val="BalloonText"/>
    <w:uiPriority w:val="99"/>
    <w:rsid w:val="00272B80"/>
    <w:rPr>
      <w:rFonts w:ascii="Segoe UI" w:eastAsia="Times New Roman" w:hAnsi="Segoe UI" w:cs="Segoe UI"/>
      <w:sz w:val="18"/>
      <w:szCs w:val="18"/>
      <w:lang w:val="en-US"/>
    </w:rPr>
  </w:style>
  <w:style w:type="paragraph" w:styleId="Header">
    <w:name w:val="header"/>
    <w:basedOn w:val="Normal"/>
    <w:link w:val="HeaderChar"/>
    <w:unhideWhenUsed/>
    <w:rsid w:val="003015FA"/>
    <w:pPr>
      <w:tabs>
        <w:tab w:val="center" w:pos="4513"/>
        <w:tab w:val="right" w:pos="9026"/>
      </w:tabs>
    </w:pPr>
  </w:style>
  <w:style w:type="character" w:customStyle="1" w:styleId="HeaderChar">
    <w:name w:val="Header Char"/>
    <w:basedOn w:val="DefaultParagraphFont"/>
    <w:link w:val="Header"/>
    <w:uiPriority w:val="99"/>
    <w:rsid w:val="003015FA"/>
    <w:rPr>
      <w:rFonts w:ascii="Times New Roman" w:eastAsia="Times New Roman" w:hAnsi="Times New Roman" w:cs="Times New Roman"/>
      <w:sz w:val="24"/>
      <w:szCs w:val="24"/>
      <w:lang w:val="en-US"/>
    </w:rPr>
  </w:style>
  <w:style w:type="paragraph" w:styleId="Footer">
    <w:name w:val="footer"/>
    <w:basedOn w:val="Normal"/>
    <w:link w:val="FooterChar"/>
    <w:unhideWhenUsed/>
    <w:rsid w:val="003015FA"/>
    <w:pPr>
      <w:tabs>
        <w:tab w:val="center" w:pos="4513"/>
        <w:tab w:val="right" w:pos="9026"/>
      </w:tabs>
    </w:pPr>
  </w:style>
  <w:style w:type="character" w:customStyle="1" w:styleId="FooterChar">
    <w:name w:val="Footer Char"/>
    <w:basedOn w:val="DefaultParagraphFont"/>
    <w:link w:val="Footer"/>
    <w:rsid w:val="003015FA"/>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FE70D9"/>
    <w:pPr>
      <w:tabs>
        <w:tab w:val="right" w:pos="8222"/>
      </w:tabs>
      <w:spacing w:line="480" w:lineRule="auto"/>
      <w:jc w:val="both"/>
    </w:pPr>
    <w:rPr>
      <w:rFonts w:ascii="Arial" w:hAnsi="Arial"/>
      <w:sz w:val="20"/>
      <w:szCs w:val="20"/>
    </w:rPr>
  </w:style>
  <w:style w:type="character" w:customStyle="1" w:styleId="BodyTextChar">
    <w:name w:val="Body Text Char"/>
    <w:basedOn w:val="DefaultParagraphFont"/>
    <w:link w:val="BodyText"/>
    <w:uiPriority w:val="1"/>
    <w:rsid w:val="00FE70D9"/>
    <w:rPr>
      <w:rFonts w:ascii="Arial" w:eastAsia="Times New Roman" w:hAnsi="Arial" w:cs="Times New Roman"/>
      <w:sz w:val="20"/>
      <w:szCs w:val="20"/>
      <w:lang w:val="en-US"/>
    </w:rPr>
  </w:style>
  <w:style w:type="character" w:styleId="Hyperlink">
    <w:name w:val="Hyperlink"/>
    <w:basedOn w:val="DefaultParagraphFont"/>
    <w:uiPriority w:val="99"/>
    <w:unhideWhenUsed/>
    <w:rsid w:val="00E32BCB"/>
    <w:rPr>
      <w:color w:val="0563C1" w:themeColor="hyperlink"/>
      <w:u w:val="single"/>
    </w:rPr>
  </w:style>
  <w:style w:type="character" w:styleId="FollowedHyperlink">
    <w:name w:val="FollowedHyperlink"/>
    <w:basedOn w:val="DefaultParagraphFont"/>
    <w:uiPriority w:val="99"/>
    <w:semiHidden/>
    <w:unhideWhenUsed/>
    <w:rsid w:val="009133C3"/>
    <w:rPr>
      <w:color w:val="954F72" w:themeColor="followedHyperlink"/>
      <w:u w:val="single"/>
    </w:rPr>
  </w:style>
  <w:style w:type="paragraph" w:styleId="FootnoteText">
    <w:name w:val="footnote text"/>
    <w:aliases w:val="Footnote Text Char1,Footnote Text Char Char,Footnote Text Char1 Char,Footnote Text Char Char Char,Footnote Text Char Char1,Char Char Char,Char Char,Footnote Text Char1 Char1 Char1 Char Char,Footnote Text Cha,Char, Char Char Char, Char Char"/>
    <w:basedOn w:val="Normal"/>
    <w:link w:val="FootnoteTextChar"/>
    <w:unhideWhenUsed/>
    <w:qFormat/>
    <w:rsid w:val="002C5111"/>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Char Char Char Char,Char Char Char1,Footnote Text Char1 Char1 Char1 Char Char Char"/>
    <w:basedOn w:val="DefaultParagraphFont"/>
    <w:link w:val="FootnoteText"/>
    <w:rsid w:val="002C5111"/>
    <w:rPr>
      <w:rFonts w:ascii="Times New Roman" w:eastAsia="Times New Roman" w:hAnsi="Times New Roman" w:cs="Times New Roman"/>
      <w:sz w:val="20"/>
      <w:szCs w:val="20"/>
      <w:lang w:val="en-US"/>
    </w:rPr>
  </w:style>
  <w:style w:type="character" w:styleId="FootnoteReference">
    <w:name w:val="footnote reference"/>
    <w:aliases w:val="Footnote Reference + Superscript,Ref,de nota al pie,註腳內容,Appel note de bas de page,Footnotes refss,(NECG) Footnote Reference,fr,Heading 6 Char1,do not use4 Char1,Footnote symbol,Style 12,Footnote,4_G"/>
    <w:basedOn w:val="DefaultParagraphFont"/>
    <w:unhideWhenUsed/>
    <w:qFormat/>
    <w:rsid w:val="002C5111"/>
    <w:rPr>
      <w:vertAlign w:val="superscript"/>
    </w:rPr>
  </w:style>
  <w:style w:type="paragraph" w:styleId="NormalWeb">
    <w:name w:val="Normal (Web)"/>
    <w:basedOn w:val="Normal"/>
    <w:uiPriority w:val="99"/>
    <w:unhideWhenUsed/>
    <w:rsid w:val="00002CC8"/>
  </w:style>
  <w:style w:type="character" w:customStyle="1" w:styleId="UnresolvedMention1">
    <w:name w:val="Unresolved Mention1"/>
    <w:basedOn w:val="DefaultParagraphFont"/>
    <w:uiPriority w:val="99"/>
    <w:rsid w:val="00603FD0"/>
    <w:rPr>
      <w:color w:val="605E5C"/>
      <w:shd w:val="clear" w:color="auto" w:fill="E1DFDD"/>
    </w:rPr>
  </w:style>
  <w:style w:type="paragraph" w:customStyle="1" w:styleId="lrpara">
    <w:name w:val="lrpara"/>
    <w:basedOn w:val="Normal"/>
    <w:rsid w:val="00347C4D"/>
    <w:pPr>
      <w:spacing w:before="100" w:beforeAutospacing="1" w:after="100" w:afterAutospacing="1"/>
    </w:pPr>
    <w:rPr>
      <w:lang w:val="en-ZA" w:eastAsia="en-ZA"/>
    </w:rPr>
  </w:style>
  <w:style w:type="paragraph" w:customStyle="1" w:styleId="pageno">
    <w:name w:val="pageno"/>
    <w:basedOn w:val="Normal"/>
    <w:rsid w:val="00347C4D"/>
    <w:pPr>
      <w:spacing w:before="100" w:beforeAutospacing="1" w:after="100" w:afterAutospacing="1"/>
    </w:pPr>
    <w:rPr>
      <w:lang w:val="en-ZA" w:eastAsia="en-ZA"/>
    </w:rPr>
  </w:style>
  <w:style w:type="paragraph" w:customStyle="1" w:styleId="lrjudgecont">
    <w:name w:val="lrjudgecont"/>
    <w:basedOn w:val="Normal"/>
    <w:rsid w:val="00347C4D"/>
    <w:pPr>
      <w:spacing w:before="100" w:beforeAutospacing="1" w:after="100" w:afterAutospacing="1"/>
    </w:pPr>
    <w:rPr>
      <w:lang w:val="en-ZA" w:eastAsia="en-ZA"/>
    </w:rPr>
  </w:style>
  <w:style w:type="character" w:customStyle="1" w:styleId="mc">
    <w:name w:val="mc"/>
    <w:basedOn w:val="DefaultParagraphFont"/>
    <w:rsid w:val="00347C4D"/>
  </w:style>
  <w:style w:type="character" w:customStyle="1" w:styleId="Heading5Char">
    <w:name w:val="Heading 5 Char"/>
    <w:basedOn w:val="DefaultParagraphFont"/>
    <w:link w:val="Heading5"/>
    <w:uiPriority w:val="9"/>
    <w:rsid w:val="00304FDE"/>
    <w:rPr>
      <w:rFonts w:ascii="Calibri" w:eastAsia="Times New Roman" w:hAnsi="Calibri" w:cs="Times New Roman"/>
      <w:b/>
      <w:bCs/>
      <w:i/>
      <w:iCs/>
      <w:sz w:val="26"/>
      <w:szCs w:val="26"/>
      <w:lang w:val="en-GB"/>
    </w:rPr>
  </w:style>
  <w:style w:type="character" w:customStyle="1" w:styleId="Heading8Char">
    <w:name w:val="Heading 8 Char"/>
    <w:basedOn w:val="DefaultParagraphFont"/>
    <w:link w:val="Heading8"/>
    <w:uiPriority w:val="9"/>
    <w:semiHidden/>
    <w:rsid w:val="00304FDE"/>
    <w:rPr>
      <w:rFonts w:ascii="Calibri" w:eastAsia="Times New Roman" w:hAnsi="Calibri" w:cs="Times New Roman"/>
      <w:i/>
      <w:iCs/>
      <w:sz w:val="24"/>
      <w:szCs w:val="24"/>
      <w:lang w:val="en-GB"/>
    </w:rPr>
  </w:style>
  <w:style w:type="character" w:styleId="PageNumber">
    <w:name w:val="page number"/>
    <w:basedOn w:val="DefaultParagraphFont"/>
    <w:rsid w:val="00304FDE"/>
  </w:style>
  <w:style w:type="paragraph" w:customStyle="1" w:styleId="BGNormal">
    <w:name w:val="BGNormal"/>
    <w:basedOn w:val="Normal"/>
    <w:rsid w:val="00304FDE"/>
    <w:pPr>
      <w:widowControl w:val="0"/>
      <w:spacing w:line="360" w:lineRule="auto"/>
      <w:ind w:left="1440" w:hanging="1440"/>
      <w:jc w:val="both"/>
    </w:pPr>
    <w:rPr>
      <w:rFonts w:ascii="Arial" w:hAnsi="Arial"/>
      <w:szCs w:val="22"/>
      <w:lang w:val="en-ZA"/>
    </w:rPr>
  </w:style>
  <w:style w:type="paragraph" w:customStyle="1" w:styleId="SingleSpacing">
    <w:name w:val="SingleSpacing"/>
    <w:basedOn w:val="Normal"/>
    <w:rsid w:val="00304FDE"/>
    <w:pPr>
      <w:suppressAutoHyphens/>
      <w:spacing w:line="480" w:lineRule="auto"/>
      <w:ind w:left="1440" w:hanging="1440"/>
      <w:jc w:val="both"/>
    </w:pPr>
    <w:rPr>
      <w:rFonts w:ascii="Arial" w:hAnsi="Arial"/>
      <w:szCs w:val="20"/>
      <w:lang w:val="en-ZA"/>
    </w:rPr>
  </w:style>
  <w:style w:type="character" w:customStyle="1" w:styleId="apple-converted-space">
    <w:name w:val="apple-converted-space"/>
    <w:rsid w:val="00304FDE"/>
  </w:style>
  <w:style w:type="character" w:styleId="CommentReference">
    <w:name w:val="annotation reference"/>
    <w:semiHidden/>
    <w:unhideWhenUsed/>
    <w:rsid w:val="00304FDE"/>
    <w:rPr>
      <w:sz w:val="16"/>
      <w:szCs w:val="16"/>
    </w:rPr>
  </w:style>
  <w:style w:type="paragraph" w:styleId="CommentText">
    <w:name w:val="annotation text"/>
    <w:basedOn w:val="Normal"/>
    <w:link w:val="CommentTextChar"/>
    <w:uiPriority w:val="99"/>
    <w:semiHidden/>
    <w:unhideWhenUsed/>
    <w:rsid w:val="00304FDE"/>
    <w:pPr>
      <w:spacing w:line="480" w:lineRule="auto"/>
      <w:ind w:left="1440" w:hanging="1440"/>
    </w:pPr>
    <w:rPr>
      <w:rFonts w:ascii="Arial" w:hAnsi="Arial" w:cs="Arial"/>
      <w:sz w:val="20"/>
      <w:szCs w:val="20"/>
      <w:lang w:val="en-GB"/>
    </w:rPr>
  </w:style>
  <w:style w:type="character" w:customStyle="1" w:styleId="CommentTextChar">
    <w:name w:val="Comment Text Char"/>
    <w:basedOn w:val="DefaultParagraphFont"/>
    <w:link w:val="CommentText"/>
    <w:uiPriority w:val="99"/>
    <w:semiHidden/>
    <w:rsid w:val="00304FDE"/>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304FDE"/>
    <w:rPr>
      <w:b/>
      <w:bCs/>
    </w:rPr>
  </w:style>
  <w:style w:type="character" w:customStyle="1" w:styleId="CommentSubjectChar">
    <w:name w:val="Comment Subject Char"/>
    <w:basedOn w:val="CommentTextChar"/>
    <w:link w:val="CommentSubject"/>
    <w:uiPriority w:val="99"/>
    <w:semiHidden/>
    <w:rsid w:val="00304FDE"/>
    <w:rPr>
      <w:rFonts w:ascii="Arial" w:eastAsia="Times New Roman" w:hAnsi="Arial" w:cs="Arial"/>
      <w:b/>
      <w:bCs/>
      <w:sz w:val="20"/>
      <w:szCs w:val="20"/>
      <w:lang w:val="en-GB"/>
    </w:rPr>
  </w:style>
  <w:style w:type="paragraph" w:styleId="EnvelopeReturn">
    <w:name w:val="envelope return"/>
    <w:basedOn w:val="Normal"/>
    <w:rsid w:val="00304FDE"/>
    <w:pPr>
      <w:spacing w:line="480" w:lineRule="auto"/>
      <w:ind w:left="1440" w:hanging="1440"/>
    </w:pPr>
    <w:rPr>
      <w:rFonts w:ascii="Arial" w:hAnsi="Arial" w:cs="Arial"/>
      <w:sz w:val="16"/>
      <w:szCs w:val="20"/>
    </w:rPr>
  </w:style>
  <w:style w:type="paragraph" w:styleId="BodyTextIndent">
    <w:name w:val="Body Text Indent"/>
    <w:basedOn w:val="Normal"/>
    <w:link w:val="BodyTextIndentChar"/>
    <w:uiPriority w:val="99"/>
    <w:rsid w:val="00304FDE"/>
    <w:pPr>
      <w:spacing w:line="480" w:lineRule="auto"/>
      <w:ind w:left="540" w:hanging="1440"/>
      <w:jc w:val="both"/>
    </w:pPr>
    <w:rPr>
      <w:rFonts w:ascii="Arial" w:hAnsi="Arial"/>
      <w:bCs/>
      <w:sz w:val="22"/>
    </w:rPr>
  </w:style>
  <w:style w:type="character" w:customStyle="1" w:styleId="BodyTextIndentChar">
    <w:name w:val="Body Text Indent Char"/>
    <w:basedOn w:val="DefaultParagraphFont"/>
    <w:link w:val="BodyTextIndent"/>
    <w:uiPriority w:val="99"/>
    <w:rsid w:val="00304FDE"/>
    <w:rPr>
      <w:rFonts w:ascii="Arial" w:eastAsia="Times New Roman" w:hAnsi="Arial" w:cs="Times New Roman"/>
      <w:bCs/>
      <w:szCs w:val="24"/>
      <w:lang w:val="en-US"/>
    </w:rPr>
  </w:style>
  <w:style w:type="paragraph" w:styleId="BodyTextIndent2">
    <w:name w:val="Body Text Indent 2"/>
    <w:basedOn w:val="Normal"/>
    <w:link w:val="BodyTextIndent2Char"/>
    <w:rsid w:val="00304FDE"/>
    <w:pPr>
      <w:widowControl w:val="0"/>
      <w:autoSpaceDE w:val="0"/>
      <w:autoSpaceDN w:val="0"/>
      <w:adjustRightInd w:val="0"/>
      <w:spacing w:line="480" w:lineRule="auto"/>
      <w:ind w:left="540" w:hanging="1440"/>
    </w:pPr>
    <w:rPr>
      <w:rFonts w:ascii="Arial" w:hAnsi="Arial"/>
      <w:szCs w:val="20"/>
    </w:rPr>
  </w:style>
  <w:style w:type="character" w:customStyle="1" w:styleId="BodyTextIndent2Char">
    <w:name w:val="Body Text Indent 2 Char"/>
    <w:basedOn w:val="DefaultParagraphFont"/>
    <w:link w:val="BodyTextIndent2"/>
    <w:rsid w:val="00304FDE"/>
    <w:rPr>
      <w:rFonts w:ascii="Arial" w:eastAsia="Times New Roman" w:hAnsi="Arial" w:cs="Times New Roman"/>
      <w:sz w:val="24"/>
      <w:szCs w:val="20"/>
      <w:lang w:val="en-US"/>
    </w:rPr>
  </w:style>
  <w:style w:type="paragraph" w:styleId="BodyText2">
    <w:name w:val="Body Text 2"/>
    <w:basedOn w:val="Normal"/>
    <w:link w:val="BodyText2Char"/>
    <w:uiPriority w:val="99"/>
    <w:rsid w:val="00304FDE"/>
    <w:pPr>
      <w:widowControl w:val="0"/>
      <w:autoSpaceDE w:val="0"/>
      <w:autoSpaceDN w:val="0"/>
      <w:adjustRightInd w:val="0"/>
      <w:spacing w:line="480" w:lineRule="auto"/>
      <w:ind w:left="1440" w:hanging="1440"/>
    </w:pPr>
    <w:rPr>
      <w:rFonts w:ascii="Arial" w:hAnsi="Arial"/>
      <w:sz w:val="20"/>
      <w:szCs w:val="20"/>
    </w:rPr>
  </w:style>
  <w:style w:type="character" w:customStyle="1" w:styleId="BodyText2Char">
    <w:name w:val="Body Text 2 Char"/>
    <w:basedOn w:val="DefaultParagraphFont"/>
    <w:link w:val="BodyText2"/>
    <w:uiPriority w:val="99"/>
    <w:rsid w:val="00304FDE"/>
    <w:rPr>
      <w:rFonts w:ascii="Arial" w:eastAsia="Times New Roman" w:hAnsi="Arial" w:cs="Times New Roman"/>
      <w:sz w:val="20"/>
      <w:szCs w:val="20"/>
      <w:lang w:val="en-US"/>
    </w:rPr>
  </w:style>
  <w:style w:type="paragraph" w:customStyle="1" w:styleId="ColorfulList-Accent11">
    <w:name w:val="Colorful List - Accent 11"/>
    <w:basedOn w:val="Normal"/>
    <w:qFormat/>
    <w:rsid w:val="00304FDE"/>
    <w:pPr>
      <w:widowControl w:val="0"/>
      <w:autoSpaceDE w:val="0"/>
      <w:autoSpaceDN w:val="0"/>
      <w:adjustRightInd w:val="0"/>
      <w:spacing w:line="480" w:lineRule="auto"/>
      <w:ind w:left="720" w:hanging="1440"/>
    </w:pPr>
    <w:rPr>
      <w:rFonts w:ascii="Courier" w:hAnsi="Courier"/>
      <w:sz w:val="20"/>
      <w:szCs w:val="20"/>
    </w:rPr>
  </w:style>
  <w:style w:type="paragraph" w:styleId="Title">
    <w:name w:val="Title"/>
    <w:basedOn w:val="Normal"/>
    <w:link w:val="TitleChar"/>
    <w:qFormat/>
    <w:rsid w:val="00304FDE"/>
    <w:pPr>
      <w:spacing w:line="480" w:lineRule="auto"/>
      <w:ind w:left="1440" w:hanging="1440"/>
      <w:jc w:val="center"/>
    </w:pPr>
    <w:rPr>
      <w:rFonts w:ascii="Arial" w:eastAsia="Calibri" w:hAnsi="Arial"/>
      <w:b/>
      <w:sz w:val="25"/>
      <w:szCs w:val="22"/>
      <w:u w:val="single"/>
    </w:rPr>
  </w:style>
  <w:style w:type="character" w:customStyle="1" w:styleId="TitleChar">
    <w:name w:val="Title Char"/>
    <w:basedOn w:val="DefaultParagraphFont"/>
    <w:link w:val="Title"/>
    <w:rsid w:val="00304FDE"/>
    <w:rPr>
      <w:rFonts w:ascii="Arial" w:eastAsia="Calibri" w:hAnsi="Arial" w:cs="Times New Roman"/>
      <w:b/>
      <w:sz w:val="25"/>
      <w:u w:val="single"/>
      <w:lang w:val="en-US"/>
    </w:rPr>
  </w:style>
  <w:style w:type="character" w:customStyle="1" w:styleId="UnresolvedMention">
    <w:name w:val="Unresolved Mention"/>
    <w:uiPriority w:val="99"/>
    <w:semiHidden/>
    <w:unhideWhenUsed/>
    <w:rsid w:val="00304FDE"/>
    <w:rPr>
      <w:color w:val="605E5C"/>
      <w:shd w:val="clear" w:color="auto" w:fill="E1DFDD"/>
    </w:rPr>
  </w:style>
  <w:style w:type="paragraph" w:styleId="EndnoteText">
    <w:name w:val="endnote text"/>
    <w:basedOn w:val="Normal"/>
    <w:link w:val="EndnoteTextChar"/>
    <w:uiPriority w:val="99"/>
    <w:semiHidden/>
    <w:unhideWhenUsed/>
    <w:rsid w:val="00304FDE"/>
    <w:pPr>
      <w:spacing w:line="480" w:lineRule="auto"/>
      <w:ind w:left="1440" w:hanging="1440"/>
    </w:pPr>
    <w:rPr>
      <w:rFonts w:ascii="Arial" w:hAnsi="Arial" w:cs="Arial"/>
      <w:sz w:val="20"/>
      <w:szCs w:val="20"/>
      <w:lang w:val="en-GB"/>
    </w:rPr>
  </w:style>
  <w:style w:type="character" w:customStyle="1" w:styleId="EndnoteTextChar">
    <w:name w:val="Endnote Text Char"/>
    <w:basedOn w:val="DefaultParagraphFont"/>
    <w:link w:val="EndnoteText"/>
    <w:uiPriority w:val="99"/>
    <w:semiHidden/>
    <w:rsid w:val="00304FDE"/>
    <w:rPr>
      <w:rFonts w:ascii="Arial" w:eastAsia="Times New Roman" w:hAnsi="Arial" w:cs="Arial"/>
      <w:sz w:val="20"/>
      <w:szCs w:val="20"/>
      <w:lang w:val="en-GB"/>
    </w:rPr>
  </w:style>
  <w:style w:type="character" w:styleId="EndnoteReference">
    <w:name w:val="endnote reference"/>
    <w:uiPriority w:val="99"/>
    <w:semiHidden/>
    <w:unhideWhenUsed/>
    <w:rsid w:val="00304FDE"/>
    <w:rPr>
      <w:vertAlign w:val="superscript"/>
    </w:rPr>
  </w:style>
  <w:style w:type="character" w:customStyle="1" w:styleId="fnotenum">
    <w:name w:val="fnotenum"/>
    <w:basedOn w:val="DefaultParagraphFont"/>
    <w:rsid w:val="00304FDE"/>
  </w:style>
  <w:style w:type="paragraph" w:styleId="PlainText">
    <w:name w:val="Plain Text"/>
    <w:basedOn w:val="Normal"/>
    <w:link w:val="PlainTextChar"/>
    <w:unhideWhenUsed/>
    <w:rsid w:val="00304FDE"/>
    <w:rPr>
      <w:rFonts w:ascii="Courier New" w:hAnsi="Courier New"/>
      <w:sz w:val="20"/>
      <w:szCs w:val="20"/>
      <w:lang w:val="af-ZA"/>
    </w:rPr>
  </w:style>
  <w:style w:type="character" w:customStyle="1" w:styleId="PlainTextChar">
    <w:name w:val="Plain Text Char"/>
    <w:basedOn w:val="DefaultParagraphFont"/>
    <w:link w:val="PlainText"/>
    <w:rsid w:val="00304FDE"/>
    <w:rPr>
      <w:rFonts w:ascii="Courier New" w:eastAsia="Times New Roman" w:hAnsi="Courier New" w:cs="Times New Roman"/>
      <w:sz w:val="20"/>
      <w:szCs w:val="20"/>
      <w:lang w:val="af-ZA"/>
    </w:rPr>
  </w:style>
  <w:style w:type="character" w:customStyle="1" w:styleId="ListParagraphChar">
    <w:name w:val="List Paragraph Char"/>
    <w:aliases w:val="List Paragraph 1 Char"/>
    <w:link w:val="ListParagraph"/>
    <w:uiPriority w:val="1"/>
    <w:qFormat/>
    <w:locked/>
    <w:rsid w:val="00304FDE"/>
    <w:rPr>
      <w:rFonts w:ascii="Times New Roman" w:eastAsia="Times New Roman" w:hAnsi="Times New Roman" w:cs="Times New Roman"/>
      <w:sz w:val="24"/>
      <w:szCs w:val="24"/>
      <w:lang w:val="en-US"/>
    </w:rPr>
  </w:style>
  <w:style w:type="paragraph" w:customStyle="1" w:styleId="lrquote">
    <w:name w:val="lrquote"/>
    <w:basedOn w:val="Normal"/>
    <w:rsid w:val="00304FDE"/>
    <w:pPr>
      <w:spacing w:before="100" w:beforeAutospacing="1" w:after="100" w:afterAutospacing="1"/>
    </w:pPr>
    <w:rPr>
      <w:lang w:val="en-ZA" w:eastAsia="en-ZA"/>
    </w:rPr>
  </w:style>
  <w:style w:type="character" w:customStyle="1" w:styleId="italic">
    <w:name w:val="italic"/>
    <w:basedOn w:val="DefaultParagraphFont"/>
    <w:rsid w:val="00304FDE"/>
  </w:style>
  <w:style w:type="paragraph" w:styleId="Revision">
    <w:name w:val="Revision"/>
    <w:hidden/>
    <w:uiPriority w:val="99"/>
    <w:semiHidden/>
    <w:rsid w:val="008D7F27"/>
    <w:pPr>
      <w:spacing w:after="0" w:line="240" w:lineRule="auto"/>
    </w:pPr>
    <w:rPr>
      <w:rFonts w:ascii="Times New Roman" w:eastAsia="Times New Roman" w:hAnsi="Times New Roman" w:cs="Times New Roman"/>
      <w:sz w:val="24"/>
      <w:szCs w:val="24"/>
      <w:lang w:val="en-US"/>
    </w:rPr>
  </w:style>
  <w:style w:type="paragraph" w:customStyle="1" w:styleId="JUDGMENTNUMBERED">
    <w:name w:val="JUDGMENT NUMBERED"/>
    <w:basedOn w:val="Normal"/>
    <w:next w:val="Normal"/>
    <w:link w:val="JUDGMENTNUMBEREDChar"/>
    <w:qFormat/>
    <w:rsid w:val="00626D6B"/>
    <w:pPr>
      <w:numPr>
        <w:numId w:val="2"/>
      </w:numPr>
      <w:tabs>
        <w:tab w:val="left" w:pos="680"/>
      </w:tabs>
      <w:spacing w:line="480" w:lineRule="auto"/>
      <w:jc w:val="both"/>
    </w:pPr>
    <w:rPr>
      <w:sz w:val="26"/>
      <w:szCs w:val="22"/>
      <w:lang w:val="x-none"/>
    </w:rPr>
  </w:style>
  <w:style w:type="character" w:customStyle="1" w:styleId="JUDGMENTNUMBEREDChar">
    <w:name w:val="JUDGMENT NUMBERED Char"/>
    <w:link w:val="JUDGMENTNUMBERED"/>
    <w:locked/>
    <w:rsid w:val="00626D6B"/>
    <w:rPr>
      <w:rFonts w:ascii="Times New Roman" w:eastAsia="Times New Roman" w:hAnsi="Times New Roman" w:cs="Times New Roman"/>
      <w:sz w:val="26"/>
      <w:lang w:val="x-none"/>
    </w:rPr>
  </w:style>
  <w:style w:type="numbering" w:customStyle="1" w:styleId="CurrentList1">
    <w:name w:val="Current List1"/>
    <w:uiPriority w:val="99"/>
    <w:rsid w:val="00866128"/>
    <w:pPr>
      <w:numPr>
        <w:numId w:val="3"/>
      </w:numPr>
    </w:pPr>
  </w:style>
  <w:style w:type="paragraph" w:customStyle="1" w:styleId="TableParagraph">
    <w:name w:val="Table Paragraph"/>
    <w:basedOn w:val="Normal"/>
    <w:uiPriority w:val="1"/>
    <w:qFormat/>
    <w:rsid w:val="00194688"/>
    <w:pPr>
      <w:widowControl w:val="0"/>
      <w:autoSpaceDE w:val="0"/>
      <w:autoSpaceDN w:val="0"/>
    </w:pPr>
    <w:rPr>
      <w:rFonts w:ascii="Arial" w:eastAsia="Arial" w:hAnsi="Arial" w:cs="Arial"/>
      <w:sz w:val="22"/>
      <w:szCs w:val="22"/>
    </w:rPr>
  </w:style>
  <w:style w:type="character" w:customStyle="1" w:styleId="footnoteanchor">
    <w:name w:val="footnoteanchor"/>
    <w:basedOn w:val="DefaultParagraphFont"/>
    <w:rsid w:val="00BC78E4"/>
  </w:style>
  <w:style w:type="character" w:customStyle="1" w:styleId="Heading6Char">
    <w:name w:val="Heading 6 Char"/>
    <w:basedOn w:val="DefaultParagraphFont"/>
    <w:link w:val="Heading6"/>
    <w:uiPriority w:val="9"/>
    <w:rsid w:val="00274B51"/>
    <w:rPr>
      <w:rFonts w:ascii="Times New Roman" w:eastAsia="Times New Roman" w:hAnsi="Times New Roman" w:cs="Times New Roman"/>
      <w:b/>
      <w:bCs/>
      <w:sz w:val="25"/>
      <w:szCs w:val="25"/>
      <w:lang w:val="en-US"/>
    </w:rPr>
  </w:style>
  <w:style w:type="paragraph" w:customStyle="1" w:styleId="Style1">
    <w:name w:val="Style1"/>
    <w:basedOn w:val="Normal"/>
    <w:rsid w:val="00274B51"/>
    <w:pPr>
      <w:numPr>
        <w:numId w:val="4"/>
      </w:numPr>
      <w:spacing w:before="360" w:after="240" w:line="480" w:lineRule="auto"/>
    </w:pPr>
    <w:rPr>
      <w:rFonts w:ascii="Arial" w:hAnsi="Arial" w:cs="Arial"/>
      <w:lang w:eastAsia="en-ZA"/>
    </w:rPr>
  </w:style>
  <w:style w:type="paragraph" w:customStyle="1" w:styleId="Style2">
    <w:name w:val="Style2"/>
    <w:basedOn w:val="Normal"/>
    <w:rsid w:val="00274B51"/>
    <w:pPr>
      <w:numPr>
        <w:ilvl w:val="1"/>
        <w:numId w:val="4"/>
      </w:numPr>
      <w:spacing w:before="360" w:after="240" w:line="480" w:lineRule="auto"/>
    </w:pPr>
    <w:rPr>
      <w:rFonts w:ascii="Arial" w:hAnsi="Arial" w:cs="Arial"/>
      <w:lang w:eastAsia="en-ZA"/>
    </w:rPr>
  </w:style>
  <w:style w:type="paragraph" w:customStyle="1" w:styleId="Style3">
    <w:name w:val="Style3"/>
    <w:basedOn w:val="Normal"/>
    <w:autoRedefine/>
    <w:rsid w:val="00274B51"/>
    <w:pPr>
      <w:numPr>
        <w:ilvl w:val="2"/>
        <w:numId w:val="4"/>
      </w:numPr>
      <w:spacing w:before="360" w:after="240" w:line="480" w:lineRule="auto"/>
      <w:jc w:val="both"/>
    </w:pPr>
    <w:rPr>
      <w:rFonts w:ascii="Arial" w:hAnsi="Arial" w:cs="Arial"/>
      <w:lang w:eastAsia="en-ZA"/>
    </w:rPr>
  </w:style>
  <w:style w:type="paragraph" w:customStyle="1" w:styleId="GW11">
    <w:name w:val="GW1.1"/>
    <w:basedOn w:val="Normal"/>
    <w:rsid w:val="00274B51"/>
    <w:pPr>
      <w:tabs>
        <w:tab w:val="left" w:pos="288"/>
        <w:tab w:val="left" w:pos="864"/>
        <w:tab w:val="left" w:pos="1584"/>
        <w:tab w:val="left" w:pos="5904"/>
      </w:tabs>
      <w:snapToGrid w:val="0"/>
      <w:ind w:left="288" w:right="713"/>
      <w:jc w:val="both"/>
    </w:pPr>
    <w:rPr>
      <w:rFonts w:ascii="Courier" w:hAnsi="Courier" w:cs="Arial"/>
      <w:szCs w:val="20"/>
      <w:lang w:val="en-ZA" w:eastAsia="en-ZA"/>
    </w:rPr>
  </w:style>
  <w:style w:type="paragraph" w:styleId="BodyTextIndent3">
    <w:name w:val="Body Text Indent 3"/>
    <w:basedOn w:val="Normal"/>
    <w:link w:val="BodyTextIndent3Char"/>
    <w:uiPriority w:val="99"/>
    <w:semiHidden/>
    <w:unhideWhenUsed/>
    <w:rsid w:val="00274B51"/>
    <w:pPr>
      <w:spacing w:after="120"/>
      <w:ind w:left="283"/>
    </w:pPr>
    <w:rPr>
      <w:rFonts w:ascii="Arial" w:hAnsi="Arial" w:cs="Arial"/>
      <w:sz w:val="16"/>
      <w:szCs w:val="16"/>
      <w:lang w:val="en-ZA" w:eastAsia="en-ZA"/>
    </w:rPr>
  </w:style>
  <w:style w:type="character" w:customStyle="1" w:styleId="BodyTextIndent3Char">
    <w:name w:val="Body Text Indent 3 Char"/>
    <w:basedOn w:val="DefaultParagraphFont"/>
    <w:link w:val="BodyTextIndent3"/>
    <w:uiPriority w:val="99"/>
    <w:semiHidden/>
    <w:rsid w:val="00274B51"/>
    <w:rPr>
      <w:rFonts w:ascii="Arial" w:eastAsia="Times New Roman" w:hAnsi="Arial" w:cs="Arial"/>
      <w:sz w:val="16"/>
      <w:szCs w:val="16"/>
      <w:lang w:eastAsia="en-ZA"/>
    </w:rPr>
  </w:style>
  <w:style w:type="paragraph" w:customStyle="1" w:styleId="pra">
    <w:name w:val="pr(a)"/>
    <w:basedOn w:val="Normal"/>
    <w:rsid w:val="00274B51"/>
    <w:pPr>
      <w:tabs>
        <w:tab w:val="left" w:pos="624"/>
      </w:tabs>
      <w:spacing w:before="60" w:line="220" w:lineRule="exact"/>
      <w:ind w:firstLine="198"/>
      <w:jc w:val="both"/>
    </w:pPr>
    <w:rPr>
      <w:rFonts w:ascii="Bembo" w:hAnsi="Bembo" w:cs="Arial"/>
      <w:sz w:val="21"/>
      <w:szCs w:val="20"/>
      <w:lang w:val="en-ZA" w:eastAsia="en-ZA"/>
    </w:rPr>
  </w:style>
  <w:style w:type="paragraph" w:customStyle="1" w:styleId="lrcasename">
    <w:name w:val="lrcasename"/>
    <w:basedOn w:val="Normal"/>
    <w:rsid w:val="00274B51"/>
    <w:pPr>
      <w:spacing w:before="100" w:beforeAutospacing="1" w:after="100" w:afterAutospacing="1"/>
    </w:pPr>
    <w:rPr>
      <w:rFonts w:ascii="Arial" w:hAnsi="Arial" w:cs="Arial"/>
      <w:lang w:val="en-ZA" w:eastAsia="en-ZA"/>
    </w:rPr>
  </w:style>
  <w:style w:type="paragraph" w:customStyle="1" w:styleId="lrheadbolditalic">
    <w:name w:val="lrheadbolditalic"/>
    <w:basedOn w:val="Normal"/>
    <w:rsid w:val="00274B51"/>
    <w:pPr>
      <w:spacing w:before="100" w:beforeAutospacing="1" w:after="100" w:afterAutospacing="1"/>
    </w:pPr>
    <w:rPr>
      <w:rFonts w:ascii="Arial" w:hAnsi="Arial" w:cs="Arial"/>
      <w:lang w:val="en-ZA" w:eastAsia="en-ZA"/>
    </w:rPr>
  </w:style>
  <w:style w:type="paragraph" w:customStyle="1" w:styleId="western">
    <w:name w:val="western"/>
    <w:basedOn w:val="Normal"/>
    <w:rsid w:val="00274B51"/>
    <w:pPr>
      <w:spacing w:before="100" w:beforeAutospacing="1" w:after="100" w:afterAutospacing="1"/>
    </w:pPr>
    <w:rPr>
      <w:rFonts w:ascii="Arial" w:hAnsi="Arial" w:cs="Arial"/>
      <w:lang w:val="en-ZA" w:eastAsia="en-ZA"/>
    </w:rPr>
  </w:style>
  <w:style w:type="paragraph" w:customStyle="1" w:styleId="lrparaindt2hang">
    <w:name w:val="lrparaindt2hang"/>
    <w:basedOn w:val="Normal"/>
    <w:rsid w:val="00274B51"/>
    <w:pPr>
      <w:spacing w:before="100" w:beforeAutospacing="1" w:after="100" w:afterAutospacing="1"/>
    </w:pPr>
    <w:rPr>
      <w:lang w:val="en-ZA" w:eastAsia="en-ZA"/>
    </w:rPr>
  </w:style>
  <w:style w:type="paragraph" w:customStyle="1" w:styleId="msonormal0">
    <w:name w:val="msonormal"/>
    <w:basedOn w:val="Normal"/>
    <w:rsid w:val="00274B51"/>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303">
      <w:bodyDiv w:val="1"/>
      <w:marLeft w:val="0"/>
      <w:marRight w:val="0"/>
      <w:marTop w:val="0"/>
      <w:marBottom w:val="0"/>
      <w:divBdr>
        <w:top w:val="none" w:sz="0" w:space="0" w:color="auto"/>
        <w:left w:val="none" w:sz="0" w:space="0" w:color="auto"/>
        <w:bottom w:val="none" w:sz="0" w:space="0" w:color="auto"/>
        <w:right w:val="none" w:sz="0" w:space="0" w:color="auto"/>
      </w:divBdr>
    </w:div>
    <w:div w:id="185488650">
      <w:bodyDiv w:val="1"/>
      <w:marLeft w:val="0"/>
      <w:marRight w:val="0"/>
      <w:marTop w:val="0"/>
      <w:marBottom w:val="0"/>
      <w:divBdr>
        <w:top w:val="none" w:sz="0" w:space="0" w:color="auto"/>
        <w:left w:val="none" w:sz="0" w:space="0" w:color="auto"/>
        <w:bottom w:val="none" w:sz="0" w:space="0" w:color="auto"/>
        <w:right w:val="none" w:sz="0" w:space="0" w:color="auto"/>
      </w:divBdr>
      <w:divsChild>
        <w:div w:id="1140225414">
          <w:marLeft w:val="0"/>
          <w:marRight w:val="0"/>
          <w:marTop w:val="120"/>
          <w:marBottom w:val="0"/>
          <w:divBdr>
            <w:top w:val="none" w:sz="0" w:space="0" w:color="auto"/>
            <w:left w:val="none" w:sz="0" w:space="0" w:color="auto"/>
            <w:bottom w:val="none" w:sz="0" w:space="0" w:color="auto"/>
            <w:right w:val="none" w:sz="0" w:space="0" w:color="auto"/>
          </w:divBdr>
        </w:div>
        <w:div w:id="1086733798">
          <w:marLeft w:val="0"/>
          <w:marRight w:val="0"/>
          <w:marTop w:val="120"/>
          <w:marBottom w:val="0"/>
          <w:divBdr>
            <w:top w:val="none" w:sz="0" w:space="0" w:color="auto"/>
            <w:left w:val="none" w:sz="0" w:space="0" w:color="auto"/>
            <w:bottom w:val="none" w:sz="0" w:space="0" w:color="auto"/>
            <w:right w:val="none" w:sz="0" w:space="0" w:color="auto"/>
          </w:divBdr>
        </w:div>
        <w:div w:id="1147741694">
          <w:marLeft w:val="0"/>
          <w:marRight w:val="0"/>
          <w:marTop w:val="60"/>
          <w:marBottom w:val="0"/>
          <w:divBdr>
            <w:top w:val="none" w:sz="0" w:space="0" w:color="auto"/>
            <w:left w:val="none" w:sz="0" w:space="0" w:color="auto"/>
            <w:bottom w:val="none" w:sz="0" w:space="0" w:color="auto"/>
            <w:right w:val="none" w:sz="0" w:space="0" w:color="auto"/>
          </w:divBdr>
        </w:div>
        <w:div w:id="403645643">
          <w:marLeft w:val="0"/>
          <w:marRight w:val="0"/>
          <w:marTop w:val="60"/>
          <w:marBottom w:val="0"/>
          <w:divBdr>
            <w:top w:val="none" w:sz="0" w:space="0" w:color="auto"/>
            <w:left w:val="none" w:sz="0" w:space="0" w:color="auto"/>
            <w:bottom w:val="none" w:sz="0" w:space="0" w:color="auto"/>
            <w:right w:val="none" w:sz="0" w:space="0" w:color="auto"/>
          </w:divBdr>
        </w:div>
        <w:div w:id="579339181">
          <w:marLeft w:val="0"/>
          <w:marRight w:val="0"/>
          <w:marTop w:val="60"/>
          <w:marBottom w:val="0"/>
          <w:divBdr>
            <w:top w:val="none" w:sz="0" w:space="0" w:color="auto"/>
            <w:left w:val="none" w:sz="0" w:space="0" w:color="auto"/>
            <w:bottom w:val="none" w:sz="0" w:space="0" w:color="auto"/>
            <w:right w:val="none" w:sz="0" w:space="0" w:color="auto"/>
          </w:divBdr>
        </w:div>
      </w:divsChild>
    </w:div>
    <w:div w:id="221604525">
      <w:bodyDiv w:val="1"/>
      <w:marLeft w:val="0"/>
      <w:marRight w:val="0"/>
      <w:marTop w:val="0"/>
      <w:marBottom w:val="0"/>
      <w:divBdr>
        <w:top w:val="none" w:sz="0" w:space="0" w:color="auto"/>
        <w:left w:val="none" w:sz="0" w:space="0" w:color="auto"/>
        <w:bottom w:val="none" w:sz="0" w:space="0" w:color="auto"/>
        <w:right w:val="none" w:sz="0" w:space="0" w:color="auto"/>
      </w:divBdr>
    </w:div>
    <w:div w:id="484668162">
      <w:bodyDiv w:val="1"/>
      <w:marLeft w:val="0"/>
      <w:marRight w:val="0"/>
      <w:marTop w:val="0"/>
      <w:marBottom w:val="0"/>
      <w:divBdr>
        <w:top w:val="none" w:sz="0" w:space="0" w:color="auto"/>
        <w:left w:val="none" w:sz="0" w:space="0" w:color="auto"/>
        <w:bottom w:val="none" w:sz="0" w:space="0" w:color="auto"/>
        <w:right w:val="none" w:sz="0" w:space="0" w:color="auto"/>
      </w:divBdr>
    </w:div>
    <w:div w:id="502163387">
      <w:bodyDiv w:val="1"/>
      <w:marLeft w:val="0"/>
      <w:marRight w:val="0"/>
      <w:marTop w:val="0"/>
      <w:marBottom w:val="0"/>
      <w:divBdr>
        <w:top w:val="none" w:sz="0" w:space="0" w:color="auto"/>
        <w:left w:val="none" w:sz="0" w:space="0" w:color="auto"/>
        <w:bottom w:val="none" w:sz="0" w:space="0" w:color="auto"/>
        <w:right w:val="none" w:sz="0" w:space="0" w:color="auto"/>
      </w:divBdr>
    </w:div>
    <w:div w:id="523984075">
      <w:bodyDiv w:val="1"/>
      <w:marLeft w:val="0"/>
      <w:marRight w:val="0"/>
      <w:marTop w:val="0"/>
      <w:marBottom w:val="0"/>
      <w:divBdr>
        <w:top w:val="none" w:sz="0" w:space="0" w:color="auto"/>
        <w:left w:val="none" w:sz="0" w:space="0" w:color="auto"/>
        <w:bottom w:val="none" w:sz="0" w:space="0" w:color="auto"/>
        <w:right w:val="none" w:sz="0" w:space="0" w:color="auto"/>
      </w:divBdr>
    </w:div>
    <w:div w:id="525220133">
      <w:bodyDiv w:val="1"/>
      <w:marLeft w:val="0"/>
      <w:marRight w:val="0"/>
      <w:marTop w:val="0"/>
      <w:marBottom w:val="0"/>
      <w:divBdr>
        <w:top w:val="none" w:sz="0" w:space="0" w:color="auto"/>
        <w:left w:val="none" w:sz="0" w:space="0" w:color="auto"/>
        <w:bottom w:val="none" w:sz="0" w:space="0" w:color="auto"/>
        <w:right w:val="none" w:sz="0" w:space="0" w:color="auto"/>
      </w:divBdr>
    </w:div>
    <w:div w:id="579873833">
      <w:bodyDiv w:val="1"/>
      <w:marLeft w:val="0"/>
      <w:marRight w:val="0"/>
      <w:marTop w:val="0"/>
      <w:marBottom w:val="0"/>
      <w:divBdr>
        <w:top w:val="none" w:sz="0" w:space="0" w:color="auto"/>
        <w:left w:val="none" w:sz="0" w:space="0" w:color="auto"/>
        <w:bottom w:val="none" w:sz="0" w:space="0" w:color="auto"/>
        <w:right w:val="none" w:sz="0" w:space="0" w:color="auto"/>
      </w:divBdr>
    </w:div>
    <w:div w:id="653290509">
      <w:bodyDiv w:val="1"/>
      <w:marLeft w:val="0"/>
      <w:marRight w:val="0"/>
      <w:marTop w:val="0"/>
      <w:marBottom w:val="0"/>
      <w:divBdr>
        <w:top w:val="none" w:sz="0" w:space="0" w:color="auto"/>
        <w:left w:val="none" w:sz="0" w:space="0" w:color="auto"/>
        <w:bottom w:val="none" w:sz="0" w:space="0" w:color="auto"/>
        <w:right w:val="none" w:sz="0" w:space="0" w:color="auto"/>
      </w:divBdr>
    </w:div>
    <w:div w:id="750666182">
      <w:bodyDiv w:val="1"/>
      <w:marLeft w:val="0"/>
      <w:marRight w:val="0"/>
      <w:marTop w:val="0"/>
      <w:marBottom w:val="0"/>
      <w:divBdr>
        <w:top w:val="none" w:sz="0" w:space="0" w:color="auto"/>
        <w:left w:val="none" w:sz="0" w:space="0" w:color="auto"/>
        <w:bottom w:val="none" w:sz="0" w:space="0" w:color="auto"/>
        <w:right w:val="none" w:sz="0" w:space="0" w:color="auto"/>
      </w:divBdr>
      <w:divsChild>
        <w:div w:id="723021733">
          <w:marLeft w:val="0"/>
          <w:marRight w:val="0"/>
          <w:marTop w:val="240"/>
          <w:marBottom w:val="0"/>
          <w:divBdr>
            <w:top w:val="none" w:sz="0" w:space="0" w:color="auto"/>
            <w:left w:val="none" w:sz="0" w:space="0" w:color="auto"/>
            <w:bottom w:val="none" w:sz="0" w:space="0" w:color="auto"/>
            <w:right w:val="none" w:sz="0" w:space="0" w:color="auto"/>
          </w:divBdr>
        </w:div>
        <w:div w:id="695421396">
          <w:marLeft w:val="0"/>
          <w:marRight w:val="0"/>
          <w:marTop w:val="120"/>
          <w:marBottom w:val="0"/>
          <w:divBdr>
            <w:top w:val="none" w:sz="0" w:space="0" w:color="auto"/>
            <w:left w:val="none" w:sz="0" w:space="0" w:color="auto"/>
            <w:bottom w:val="none" w:sz="0" w:space="0" w:color="auto"/>
            <w:right w:val="none" w:sz="0" w:space="0" w:color="auto"/>
          </w:divBdr>
        </w:div>
        <w:div w:id="1494179069">
          <w:marLeft w:val="1134"/>
          <w:marRight w:val="0"/>
          <w:marTop w:val="60"/>
          <w:marBottom w:val="0"/>
          <w:divBdr>
            <w:top w:val="none" w:sz="0" w:space="0" w:color="auto"/>
            <w:left w:val="none" w:sz="0" w:space="0" w:color="auto"/>
            <w:bottom w:val="none" w:sz="0" w:space="0" w:color="auto"/>
            <w:right w:val="none" w:sz="0" w:space="0" w:color="auto"/>
          </w:divBdr>
        </w:div>
        <w:div w:id="1831363881">
          <w:marLeft w:val="1134"/>
          <w:marRight w:val="0"/>
          <w:marTop w:val="60"/>
          <w:marBottom w:val="0"/>
          <w:divBdr>
            <w:top w:val="none" w:sz="0" w:space="0" w:color="auto"/>
            <w:left w:val="none" w:sz="0" w:space="0" w:color="auto"/>
            <w:bottom w:val="none" w:sz="0" w:space="0" w:color="auto"/>
            <w:right w:val="none" w:sz="0" w:space="0" w:color="auto"/>
          </w:divBdr>
        </w:div>
        <w:div w:id="1786578718">
          <w:marLeft w:val="0"/>
          <w:marRight w:val="0"/>
          <w:marTop w:val="120"/>
          <w:marBottom w:val="0"/>
          <w:divBdr>
            <w:top w:val="none" w:sz="0" w:space="0" w:color="auto"/>
            <w:left w:val="none" w:sz="0" w:space="0" w:color="auto"/>
            <w:bottom w:val="none" w:sz="0" w:space="0" w:color="auto"/>
            <w:right w:val="none" w:sz="0" w:space="0" w:color="auto"/>
          </w:divBdr>
        </w:div>
        <w:div w:id="352192752">
          <w:marLeft w:val="1134"/>
          <w:marRight w:val="0"/>
          <w:marTop w:val="60"/>
          <w:marBottom w:val="0"/>
          <w:divBdr>
            <w:top w:val="none" w:sz="0" w:space="0" w:color="auto"/>
            <w:left w:val="none" w:sz="0" w:space="0" w:color="auto"/>
            <w:bottom w:val="none" w:sz="0" w:space="0" w:color="auto"/>
            <w:right w:val="none" w:sz="0" w:space="0" w:color="auto"/>
          </w:divBdr>
        </w:div>
        <w:div w:id="1987279396">
          <w:marLeft w:val="1134"/>
          <w:marRight w:val="0"/>
          <w:marTop w:val="60"/>
          <w:marBottom w:val="0"/>
          <w:divBdr>
            <w:top w:val="none" w:sz="0" w:space="0" w:color="auto"/>
            <w:left w:val="none" w:sz="0" w:space="0" w:color="auto"/>
            <w:bottom w:val="none" w:sz="0" w:space="0" w:color="auto"/>
            <w:right w:val="none" w:sz="0" w:space="0" w:color="auto"/>
          </w:divBdr>
        </w:div>
        <w:div w:id="1512914396">
          <w:marLeft w:val="1134"/>
          <w:marRight w:val="0"/>
          <w:marTop w:val="60"/>
          <w:marBottom w:val="0"/>
          <w:divBdr>
            <w:top w:val="none" w:sz="0" w:space="0" w:color="auto"/>
            <w:left w:val="none" w:sz="0" w:space="0" w:color="auto"/>
            <w:bottom w:val="none" w:sz="0" w:space="0" w:color="auto"/>
            <w:right w:val="none" w:sz="0" w:space="0" w:color="auto"/>
          </w:divBdr>
        </w:div>
        <w:div w:id="872618736">
          <w:marLeft w:val="1871"/>
          <w:marRight w:val="0"/>
          <w:marTop w:val="60"/>
          <w:marBottom w:val="0"/>
          <w:divBdr>
            <w:top w:val="none" w:sz="0" w:space="0" w:color="auto"/>
            <w:left w:val="none" w:sz="0" w:space="0" w:color="auto"/>
            <w:bottom w:val="none" w:sz="0" w:space="0" w:color="auto"/>
            <w:right w:val="none" w:sz="0" w:space="0" w:color="auto"/>
          </w:divBdr>
        </w:div>
        <w:div w:id="1884441854">
          <w:marLeft w:val="1871"/>
          <w:marRight w:val="0"/>
          <w:marTop w:val="60"/>
          <w:marBottom w:val="0"/>
          <w:divBdr>
            <w:top w:val="none" w:sz="0" w:space="0" w:color="auto"/>
            <w:left w:val="none" w:sz="0" w:space="0" w:color="auto"/>
            <w:bottom w:val="none" w:sz="0" w:space="0" w:color="auto"/>
            <w:right w:val="none" w:sz="0" w:space="0" w:color="auto"/>
          </w:divBdr>
        </w:div>
        <w:div w:id="1075394334">
          <w:marLeft w:val="1871"/>
          <w:marRight w:val="0"/>
          <w:marTop w:val="60"/>
          <w:marBottom w:val="0"/>
          <w:divBdr>
            <w:top w:val="none" w:sz="0" w:space="0" w:color="auto"/>
            <w:left w:val="none" w:sz="0" w:space="0" w:color="auto"/>
            <w:bottom w:val="none" w:sz="0" w:space="0" w:color="auto"/>
            <w:right w:val="none" w:sz="0" w:space="0" w:color="auto"/>
          </w:divBdr>
        </w:div>
        <w:div w:id="287206980">
          <w:marLeft w:val="1134"/>
          <w:marRight w:val="0"/>
          <w:marTop w:val="60"/>
          <w:marBottom w:val="0"/>
          <w:divBdr>
            <w:top w:val="none" w:sz="0" w:space="0" w:color="auto"/>
            <w:left w:val="none" w:sz="0" w:space="0" w:color="auto"/>
            <w:bottom w:val="none" w:sz="0" w:space="0" w:color="auto"/>
            <w:right w:val="none" w:sz="0" w:space="0" w:color="auto"/>
          </w:divBdr>
        </w:div>
        <w:div w:id="1293244857">
          <w:marLeft w:val="1134"/>
          <w:marRight w:val="0"/>
          <w:marTop w:val="60"/>
          <w:marBottom w:val="0"/>
          <w:divBdr>
            <w:top w:val="none" w:sz="0" w:space="0" w:color="auto"/>
            <w:left w:val="none" w:sz="0" w:space="0" w:color="auto"/>
            <w:bottom w:val="none" w:sz="0" w:space="0" w:color="auto"/>
            <w:right w:val="none" w:sz="0" w:space="0" w:color="auto"/>
          </w:divBdr>
        </w:div>
        <w:div w:id="553858824">
          <w:marLeft w:val="0"/>
          <w:marRight w:val="0"/>
          <w:marTop w:val="120"/>
          <w:marBottom w:val="0"/>
          <w:divBdr>
            <w:top w:val="none" w:sz="0" w:space="0" w:color="auto"/>
            <w:left w:val="none" w:sz="0" w:space="0" w:color="auto"/>
            <w:bottom w:val="none" w:sz="0" w:space="0" w:color="auto"/>
            <w:right w:val="none" w:sz="0" w:space="0" w:color="auto"/>
          </w:divBdr>
        </w:div>
        <w:div w:id="1442335814">
          <w:marLeft w:val="0"/>
          <w:marRight w:val="0"/>
          <w:marTop w:val="120"/>
          <w:marBottom w:val="0"/>
          <w:divBdr>
            <w:top w:val="none" w:sz="0" w:space="0" w:color="auto"/>
            <w:left w:val="none" w:sz="0" w:space="0" w:color="auto"/>
            <w:bottom w:val="none" w:sz="0" w:space="0" w:color="auto"/>
            <w:right w:val="none" w:sz="0" w:space="0" w:color="auto"/>
          </w:divBdr>
        </w:div>
        <w:div w:id="1190608952">
          <w:marLeft w:val="0"/>
          <w:marRight w:val="0"/>
          <w:marTop w:val="120"/>
          <w:marBottom w:val="0"/>
          <w:divBdr>
            <w:top w:val="none" w:sz="0" w:space="0" w:color="auto"/>
            <w:left w:val="none" w:sz="0" w:space="0" w:color="auto"/>
            <w:bottom w:val="none" w:sz="0" w:space="0" w:color="auto"/>
            <w:right w:val="none" w:sz="0" w:space="0" w:color="auto"/>
          </w:divBdr>
        </w:div>
      </w:divsChild>
    </w:div>
    <w:div w:id="823357267">
      <w:bodyDiv w:val="1"/>
      <w:marLeft w:val="0"/>
      <w:marRight w:val="0"/>
      <w:marTop w:val="0"/>
      <w:marBottom w:val="0"/>
      <w:divBdr>
        <w:top w:val="none" w:sz="0" w:space="0" w:color="auto"/>
        <w:left w:val="none" w:sz="0" w:space="0" w:color="auto"/>
        <w:bottom w:val="none" w:sz="0" w:space="0" w:color="auto"/>
        <w:right w:val="none" w:sz="0" w:space="0" w:color="auto"/>
      </w:divBdr>
    </w:div>
    <w:div w:id="940799562">
      <w:bodyDiv w:val="1"/>
      <w:marLeft w:val="0"/>
      <w:marRight w:val="0"/>
      <w:marTop w:val="0"/>
      <w:marBottom w:val="0"/>
      <w:divBdr>
        <w:top w:val="none" w:sz="0" w:space="0" w:color="auto"/>
        <w:left w:val="none" w:sz="0" w:space="0" w:color="auto"/>
        <w:bottom w:val="none" w:sz="0" w:space="0" w:color="auto"/>
        <w:right w:val="none" w:sz="0" w:space="0" w:color="auto"/>
      </w:divBdr>
    </w:div>
    <w:div w:id="968122291">
      <w:bodyDiv w:val="1"/>
      <w:marLeft w:val="0"/>
      <w:marRight w:val="0"/>
      <w:marTop w:val="0"/>
      <w:marBottom w:val="0"/>
      <w:divBdr>
        <w:top w:val="none" w:sz="0" w:space="0" w:color="auto"/>
        <w:left w:val="none" w:sz="0" w:space="0" w:color="auto"/>
        <w:bottom w:val="none" w:sz="0" w:space="0" w:color="auto"/>
        <w:right w:val="none" w:sz="0" w:space="0" w:color="auto"/>
      </w:divBdr>
    </w:div>
    <w:div w:id="974721121">
      <w:bodyDiv w:val="1"/>
      <w:marLeft w:val="0"/>
      <w:marRight w:val="0"/>
      <w:marTop w:val="0"/>
      <w:marBottom w:val="0"/>
      <w:divBdr>
        <w:top w:val="none" w:sz="0" w:space="0" w:color="auto"/>
        <w:left w:val="none" w:sz="0" w:space="0" w:color="auto"/>
        <w:bottom w:val="none" w:sz="0" w:space="0" w:color="auto"/>
        <w:right w:val="none" w:sz="0" w:space="0" w:color="auto"/>
      </w:divBdr>
    </w:div>
    <w:div w:id="1023553267">
      <w:bodyDiv w:val="1"/>
      <w:marLeft w:val="0"/>
      <w:marRight w:val="0"/>
      <w:marTop w:val="0"/>
      <w:marBottom w:val="0"/>
      <w:divBdr>
        <w:top w:val="none" w:sz="0" w:space="0" w:color="auto"/>
        <w:left w:val="none" w:sz="0" w:space="0" w:color="auto"/>
        <w:bottom w:val="none" w:sz="0" w:space="0" w:color="auto"/>
        <w:right w:val="none" w:sz="0" w:space="0" w:color="auto"/>
      </w:divBdr>
    </w:div>
    <w:div w:id="1099450878">
      <w:bodyDiv w:val="1"/>
      <w:marLeft w:val="0"/>
      <w:marRight w:val="0"/>
      <w:marTop w:val="0"/>
      <w:marBottom w:val="0"/>
      <w:divBdr>
        <w:top w:val="none" w:sz="0" w:space="0" w:color="auto"/>
        <w:left w:val="none" w:sz="0" w:space="0" w:color="auto"/>
        <w:bottom w:val="none" w:sz="0" w:space="0" w:color="auto"/>
        <w:right w:val="none" w:sz="0" w:space="0" w:color="auto"/>
      </w:divBdr>
    </w:div>
    <w:div w:id="1223371181">
      <w:bodyDiv w:val="1"/>
      <w:marLeft w:val="0"/>
      <w:marRight w:val="0"/>
      <w:marTop w:val="0"/>
      <w:marBottom w:val="0"/>
      <w:divBdr>
        <w:top w:val="none" w:sz="0" w:space="0" w:color="auto"/>
        <w:left w:val="none" w:sz="0" w:space="0" w:color="auto"/>
        <w:bottom w:val="none" w:sz="0" w:space="0" w:color="auto"/>
        <w:right w:val="none" w:sz="0" w:space="0" w:color="auto"/>
      </w:divBdr>
    </w:div>
    <w:div w:id="1339505203">
      <w:bodyDiv w:val="1"/>
      <w:marLeft w:val="0"/>
      <w:marRight w:val="0"/>
      <w:marTop w:val="0"/>
      <w:marBottom w:val="0"/>
      <w:divBdr>
        <w:top w:val="none" w:sz="0" w:space="0" w:color="auto"/>
        <w:left w:val="none" w:sz="0" w:space="0" w:color="auto"/>
        <w:bottom w:val="none" w:sz="0" w:space="0" w:color="auto"/>
        <w:right w:val="none" w:sz="0" w:space="0" w:color="auto"/>
      </w:divBdr>
    </w:div>
    <w:div w:id="1346903694">
      <w:bodyDiv w:val="1"/>
      <w:marLeft w:val="0"/>
      <w:marRight w:val="0"/>
      <w:marTop w:val="0"/>
      <w:marBottom w:val="0"/>
      <w:divBdr>
        <w:top w:val="none" w:sz="0" w:space="0" w:color="auto"/>
        <w:left w:val="none" w:sz="0" w:space="0" w:color="auto"/>
        <w:bottom w:val="none" w:sz="0" w:space="0" w:color="auto"/>
        <w:right w:val="none" w:sz="0" w:space="0" w:color="auto"/>
      </w:divBdr>
    </w:div>
    <w:div w:id="1407142045">
      <w:bodyDiv w:val="1"/>
      <w:marLeft w:val="0"/>
      <w:marRight w:val="0"/>
      <w:marTop w:val="0"/>
      <w:marBottom w:val="0"/>
      <w:divBdr>
        <w:top w:val="none" w:sz="0" w:space="0" w:color="auto"/>
        <w:left w:val="none" w:sz="0" w:space="0" w:color="auto"/>
        <w:bottom w:val="none" w:sz="0" w:space="0" w:color="auto"/>
        <w:right w:val="none" w:sz="0" w:space="0" w:color="auto"/>
      </w:divBdr>
      <w:divsChild>
        <w:div w:id="1548909325">
          <w:marLeft w:val="0"/>
          <w:marRight w:val="0"/>
          <w:marTop w:val="60"/>
          <w:marBottom w:val="0"/>
          <w:divBdr>
            <w:top w:val="none" w:sz="0" w:space="0" w:color="auto"/>
            <w:left w:val="none" w:sz="0" w:space="0" w:color="auto"/>
            <w:bottom w:val="none" w:sz="0" w:space="0" w:color="auto"/>
            <w:right w:val="none" w:sz="0" w:space="0" w:color="auto"/>
          </w:divBdr>
        </w:div>
      </w:divsChild>
    </w:div>
    <w:div w:id="1551847596">
      <w:bodyDiv w:val="1"/>
      <w:marLeft w:val="0"/>
      <w:marRight w:val="0"/>
      <w:marTop w:val="0"/>
      <w:marBottom w:val="0"/>
      <w:divBdr>
        <w:top w:val="none" w:sz="0" w:space="0" w:color="auto"/>
        <w:left w:val="none" w:sz="0" w:space="0" w:color="auto"/>
        <w:bottom w:val="none" w:sz="0" w:space="0" w:color="auto"/>
        <w:right w:val="none" w:sz="0" w:space="0" w:color="auto"/>
      </w:divBdr>
    </w:div>
    <w:div w:id="1574465175">
      <w:bodyDiv w:val="1"/>
      <w:marLeft w:val="0"/>
      <w:marRight w:val="0"/>
      <w:marTop w:val="0"/>
      <w:marBottom w:val="0"/>
      <w:divBdr>
        <w:top w:val="none" w:sz="0" w:space="0" w:color="auto"/>
        <w:left w:val="none" w:sz="0" w:space="0" w:color="auto"/>
        <w:bottom w:val="none" w:sz="0" w:space="0" w:color="auto"/>
        <w:right w:val="none" w:sz="0" w:space="0" w:color="auto"/>
      </w:divBdr>
    </w:div>
    <w:div w:id="1590460292">
      <w:bodyDiv w:val="1"/>
      <w:marLeft w:val="0"/>
      <w:marRight w:val="0"/>
      <w:marTop w:val="0"/>
      <w:marBottom w:val="0"/>
      <w:divBdr>
        <w:top w:val="none" w:sz="0" w:space="0" w:color="auto"/>
        <w:left w:val="none" w:sz="0" w:space="0" w:color="auto"/>
        <w:bottom w:val="none" w:sz="0" w:space="0" w:color="auto"/>
        <w:right w:val="none" w:sz="0" w:space="0" w:color="auto"/>
      </w:divBdr>
    </w:div>
    <w:div w:id="1609116903">
      <w:bodyDiv w:val="1"/>
      <w:marLeft w:val="0"/>
      <w:marRight w:val="0"/>
      <w:marTop w:val="0"/>
      <w:marBottom w:val="0"/>
      <w:divBdr>
        <w:top w:val="none" w:sz="0" w:space="0" w:color="auto"/>
        <w:left w:val="none" w:sz="0" w:space="0" w:color="auto"/>
        <w:bottom w:val="none" w:sz="0" w:space="0" w:color="auto"/>
        <w:right w:val="none" w:sz="0" w:space="0" w:color="auto"/>
      </w:divBdr>
      <w:divsChild>
        <w:div w:id="706756431">
          <w:marLeft w:val="0"/>
          <w:marRight w:val="0"/>
          <w:marTop w:val="120"/>
          <w:marBottom w:val="0"/>
          <w:divBdr>
            <w:top w:val="none" w:sz="0" w:space="0" w:color="auto"/>
            <w:left w:val="none" w:sz="0" w:space="0" w:color="auto"/>
            <w:bottom w:val="none" w:sz="0" w:space="0" w:color="auto"/>
            <w:right w:val="none" w:sz="0" w:space="0" w:color="auto"/>
          </w:divBdr>
        </w:div>
      </w:divsChild>
    </w:div>
    <w:div w:id="1709525201">
      <w:bodyDiv w:val="1"/>
      <w:marLeft w:val="0"/>
      <w:marRight w:val="0"/>
      <w:marTop w:val="0"/>
      <w:marBottom w:val="0"/>
      <w:divBdr>
        <w:top w:val="none" w:sz="0" w:space="0" w:color="auto"/>
        <w:left w:val="none" w:sz="0" w:space="0" w:color="auto"/>
        <w:bottom w:val="none" w:sz="0" w:space="0" w:color="auto"/>
        <w:right w:val="none" w:sz="0" w:space="0" w:color="auto"/>
      </w:divBdr>
    </w:div>
    <w:div w:id="1791127866">
      <w:bodyDiv w:val="1"/>
      <w:marLeft w:val="0"/>
      <w:marRight w:val="0"/>
      <w:marTop w:val="0"/>
      <w:marBottom w:val="0"/>
      <w:divBdr>
        <w:top w:val="none" w:sz="0" w:space="0" w:color="auto"/>
        <w:left w:val="none" w:sz="0" w:space="0" w:color="auto"/>
        <w:bottom w:val="none" w:sz="0" w:space="0" w:color="auto"/>
        <w:right w:val="none" w:sz="0" w:space="0" w:color="auto"/>
      </w:divBdr>
    </w:div>
    <w:div w:id="1830706152">
      <w:bodyDiv w:val="1"/>
      <w:marLeft w:val="0"/>
      <w:marRight w:val="0"/>
      <w:marTop w:val="0"/>
      <w:marBottom w:val="0"/>
      <w:divBdr>
        <w:top w:val="none" w:sz="0" w:space="0" w:color="auto"/>
        <w:left w:val="none" w:sz="0" w:space="0" w:color="auto"/>
        <w:bottom w:val="none" w:sz="0" w:space="0" w:color="auto"/>
        <w:right w:val="none" w:sz="0" w:space="0" w:color="auto"/>
      </w:divBdr>
    </w:div>
    <w:div w:id="1926844275">
      <w:bodyDiv w:val="1"/>
      <w:marLeft w:val="0"/>
      <w:marRight w:val="0"/>
      <w:marTop w:val="0"/>
      <w:marBottom w:val="0"/>
      <w:divBdr>
        <w:top w:val="none" w:sz="0" w:space="0" w:color="auto"/>
        <w:left w:val="none" w:sz="0" w:space="0" w:color="auto"/>
        <w:bottom w:val="none" w:sz="0" w:space="0" w:color="auto"/>
        <w:right w:val="none" w:sz="0" w:space="0" w:color="auto"/>
      </w:divBdr>
    </w:div>
    <w:div w:id="2144540142">
      <w:bodyDiv w:val="1"/>
      <w:marLeft w:val="0"/>
      <w:marRight w:val="0"/>
      <w:marTop w:val="0"/>
      <w:marBottom w:val="0"/>
      <w:divBdr>
        <w:top w:val="none" w:sz="0" w:space="0" w:color="auto"/>
        <w:left w:val="none" w:sz="0" w:space="0" w:color="auto"/>
        <w:bottom w:val="none" w:sz="0" w:space="0" w:color="auto"/>
        <w:right w:val="none" w:sz="0" w:space="0" w:color="auto"/>
      </w:divBdr>
      <w:divsChild>
        <w:div w:id="1160341883">
          <w:marLeft w:val="0"/>
          <w:marRight w:val="0"/>
          <w:marTop w:val="240"/>
          <w:marBottom w:val="0"/>
          <w:divBdr>
            <w:top w:val="none" w:sz="0" w:space="0" w:color="auto"/>
            <w:left w:val="none" w:sz="0" w:space="0" w:color="auto"/>
            <w:bottom w:val="none" w:sz="0" w:space="0" w:color="auto"/>
            <w:right w:val="none" w:sz="0" w:space="0" w:color="auto"/>
          </w:divBdr>
        </w:div>
        <w:div w:id="1006831306">
          <w:marLeft w:val="0"/>
          <w:marRight w:val="0"/>
          <w:marTop w:val="120"/>
          <w:marBottom w:val="0"/>
          <w:divBdr>
            <w:top w:val="none" w:sz="0" w:space="0" w:color="auto"/>
            <w:left w:val="none" w:sz="0" w:space="0" w:color="auto"/>
            <w:bottom w:val="none" w:sz="0" w:space="0" w:color="auto"/>
            <w:right w:val="none" w:sz="0" w:space="0" w:color="auto"/>
          </w:divBdr>
        </w:div>
        <w:div w:id="1872187903">
          <w:marLeft w:val="1134"/>
          <w:marRight w:val="0"/>
          <w:marTop w:val="60"/>
          <w:marBottom w:val="0"/>
          <w:divBdr>
            <w:top w:val="none" w:sz="0" w:space="0" w:color="auto"/>
            <w:left w:val="none" w:sz="0" w:space="0" w:color="auto"/>
            <w:bottom w:val="none" w:sz="0" w:space="0" w:color="auto"/>
            <w:right w:val="none" w:sz="0" w:space="0" w:color="auto"/>
          </w:divBdr>
        </w:div>
        <w:div w:id="1086076029">
          <w:marLeft w:val="1134"/>
          <w:marRight w:val="0"/>
          <w:marTop w:val="60"/>
          <w:marBottom w:val="0"/>
          <w:divBdr>
            <w:top w:val="none" w:sz="0" w:space="0" w:color="auto"/>
            <w:left w:val="none" w:sz="0" w:space="0" w:color="auto"/>
            <w:bottom w:val="none" w:sz="0" w:space="0" w:color="auto"/>
            <w:right w:val="none" w:sz="0" w:space="0" w:color="auto"/>
          </w:divBdr>
        </w:div>
        <w:div w:id="762262035">
          <w:marLeft w:val="0"/>
          <w:marRight w:val="0"/>
          <w:marTop w:val="120"/>
          <w:marBottom w:val="0"/>
          <w:divBdr>
            <w:top w:val="none" w:sz="0" w:space="0" w:color="auto"/>
            <w:left w:val="none" w:sz="0" w:space="0" w:color="auto"/>
            <w:bottom w:val="none" w:sz="0" w:space="0" w:color="auto"/>
            <w:right w:val="none" w:sz="0" w:space="0" w:color="auto"/>
          </w:divBdr>
        </w:div>
        <w:div w:id="380907625">
          <w:marLeft w:val="1134"/>
          <w:marRight w:val="0"/>
          <w:marTop w:val="60"/>
          <w:marBottom w:val="0"/>
          <w:divBdr>
            <w:top w:val="none" w:sz="0" w:space="0" w:color="auto"/>
            <w:left w:val="none" w:sz="0" w:space="0" w:color="auto"/>
            <w:bottom w:val="none" w:sz="0" w:space="0" w:color="auto"/>
            <w:right w:val="none" w:sz="0" w:space="0" w:color="auto"/>
          </w:divBdr>
        </w:div>
        <w:div w:id="1009020574">
          <w:marLeft w:val="1134"/>
          <w:marRight w:val="0"/>
          <w:marTop w:val="60"/>
          <w:marBottom w:val="0"/>
          <w:divBdr>
            <w:top w:val="none" w:sz="0" w:space="0" w:color="auto"/>
            <w:left w:val="none" w:sz="0" w:space="0" w:color="auto"/>
            <w:bottom w:val="none" w:sz="0" w:space="0" w:color="auto"/>
            <w:right w:val="none" w:sz="0" w:space="0" w:color="auto"/>
          </w:divBdr>
        </w:div>
        <w:div w:id="1290866439">
          <w:marLeft w:val="1871"/>
          <w:marRight w:val="0"/>
          <w:marTop w:val="60"/>
          <w:marBottom w:val="0"/>
          <w:divBdr>
            <w:top w:val="none" w:sz="0" w:space="0" w:color="auto"/>
            <w:left w:val="none" w:sz="0" w:space="0" w:color="auto"/>
            <w:bottom w:val="none" w:sz="0" w:space="0" w:color="auto"/>
            <w:right w:val="none" w:sz="0" w:space="0" w:color="auto"/>
          </w:divBdr>
        </w:div>
        <w:div w:id="473107294">
          <w:marLeft w:val="1871"/>
          <w:marRight w:val="0"/>
          <w:marTop w:val="60"/>
          <w:marBottom w:val="0"/>
          <w:divBdr>
            <w:top w:val="none" w:sz="0" w:space="0" w:color="auto"/>
            <w:left w:val="none" w:sz="0" w:space="0" w:color="auto"/>
            <w:bottom w:val="none" w:sz="0" w:space="0" w:color="auto"/>
            <w:right w:val="none" w:sz="0" w:space="0" w:color="auto"/>
          </w:divBdr>
        </w:div>
        <w:div w:id="437716832">
          <w:marLeft w:val="1871"/>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4.png@01D11214.FDB52C9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1964%20%282%29%20SA%20495" TargetMode="External"/><Relationship Id="rId1" Type="http://schemas.openxmlformats.org/officeDocument/2006/relationships/hyperlink" Target="http://www.saflii.org/cgi-bin/LawCite?cit=1951%20%284%29%20SA%20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E71E2-824B-45E2-BF20-E520181F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lna</dc:creator>
  <cp:lastModifiedBy>Mokone</cp:lastModifiedBy>
  <cp:revision>3</cp:revision>
  <cp:lastPrinted>2022-03-11T11:52:00Z</cp:lastPrinted>
  <dcterms:created xsi:type="dcterms:W3CDTF">2023-08-18T11:48:00Z</dcterms:created>
  <dcterms:modified xsi:type="dcterms:W3CDTF">2023-08-18T11:49:00Z</dcterms:modified>
</cp:coreProperties>
</file>