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143B1" w14:textId="3F14E5B0" w:rsidR="00B66A3A" w:rsidRDefault="009928A5" w:rsidP="009928A5">
      <w:pPr>
        <w:jc w:val="center"/>
      </w:pPr>
      <w:r w:rsidRPr="009928A5">
        <w:rPr>
          <w:rFonts w:ascii="Calibri" w:eastAsia="Calibri" w:hAnsi="Calibri" w:cs="Times New Roman"/>
          <w:noProof/>
          <w:kern w:val="0"/>
          <w14:ligatures w14:val="none"/>
        </w:rPr>
        <w:drawing>
          <wp:inline distT="0" distB="0" distL="0" distR="0" wp14:anchorId="1FBC6B61" wp14:editId="1A7024EF">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7E0D5C2D" w14:textId="77777777" w:rsidR="009928A5" w:rsidRPr="00E44850" w:rsidRDefault="009928A5" w:rsidP="009928A5">
      <w:pPr>
        <w:spacing w:after="0" w:line="240" w:lineRule="auto"/>
        <w:jc w:val="center"/>
        <w:rPr>
          <w:rFonts w:ascii="Arial" w:eastAsia="Times New Roman" w:hAnsi="Arial" w:cs="Arial"/>
          <w:b/>
          <w:bCs/>
          <w:sz w:val="24"/>
          <w:szCs w:val="24"/>
        </w:rPr>
      </w:pPr>
      <w:r w:rsidRPr="00E44850">
        <w:rPr>
          <w:rFonts w:ascii="Arial" w:eastAsia="Times New Roman" w:hAnsi="Arial" w:cs="Arial"/>
          <w:b/>
          <w:bCs/>
          <w:sz w:val="24"/>
          <w:szCs w:val="24"/>
        </w:rPr>
        <w:t>IN THE HIGH COURT OF SOUTH AFRICA</w:t>
      </w:r>
    </w:p>
    <w:p w14:paraId="6196248E" w14:textId="77777777" w:rsidR="009928A5" w:rsidRPr="0007599B" w:rsidRDefault="009928A5" w:rsidP="009928A5">
      <w:pPr>
        <w:rPr>
          <w:rFonts w:ascii="Arial" w:hAnsi="Arial" w:cs="Arial"/>
          <w:b/>
          <w:bCs/>
          <w:sz w:val="16"/>
          <w:szCs w:val="16"/>
        </w:rPr>
      </w:pPr>
      <w:r>
        <w:rPr>
          <w:rFonts w:ascii="Arial" w:hAnsi="Arial" w:cs="Arial"/>
          <w:b/>
          <w:bCs/>
          <w:sz w:val="24"/>
          <w:szCs w:val="24"/>
        </w:rPr>
        <w:t xml:space="preserve">                                  </w:t>
      </w:r>
      <w:r w:rsidRPr="00E44850">
        <w:rPr>
          <w:rFonts w:ascii="Arial" w:hAnsi="Arial" w:cs="Arial"/>
          <w:b/>
          <w:bCs/>
          <w:sz w:val="24"/>
          <w:szCs w:val="24"/>
        </w:rPr>
        <w:t>[WESTERN CAPE DIVISION, CAPE TOWN]</w:t>
      </w:r>
      <w:r>
        <w:rPr>
          <w:rFonts w:ascii="Arial" w:hAnsi="Arial" w:cs="Arial"/>
          <w:b/>
          <w:bCs/>
          <w:sz w:val="24"/>
          <w:szCs w:val="24"/>
        </w:rPr>
        <w:t xml:space="preserve">             </w:t>
      </w:r>
      <w:r>
        <w:rPr>
          <w:rFonts w:ascii="Arial" w:hAnsi="Arial" w:cs="Arial"/>
          <w:b/>
          <w:bCs/>
          <w:sz w:val="16"/>
          <w:szCs w:val="16"/>
        </w:rPr>
        <w:t>[REPORTABLE]</w:t>
      </w:r>
    </w:p>
    <w:p w14:paraId="35BEE330" w14:textId="3AA56DC2" w:rsidR="009928A5" w:rsidRPr="004C26C2" w:rsidRDefault="009928A5" w:rsidP="009928A5">
      <w:pPr>
        <w:spacing w:after="0"/>
        <w:ind w:left="6480" w:firstLine="720"/>
        <w:rPr>
          <w:rFonts w:ascii="Arial" w:eastAsia="Calibri" w:hAnsi="Arial" w:cs="Arial"/>
          <w:bCs/>
          <w:sz w:val="24"/>
          <w:szCs w:val="24"/>
          <w:lang w:val="en-GB"/>
        </w:rPr>
      </w:pPr>
      <w:r w:rsidRPr="004C26C2">
        <w:rPr>
          <w:rFonts w:ascii="Arial" w:eastAsia="Calibri" w:hAnsi="Arial" w:cs="Arial"/>
          <w:bCs/>
          <w:sz w:val="24"/>
          <w:szCs w:val="24"/>
          <w:lang w:val="en-GB"/>
        </w:rPr>
        <w:t xml:space="preserve">Case no: </w:t>
      </w:r>
      <w:r>
        <w:rPr>
          <w:rFonts w:ascii="Arial" w:eastAsia="Calibri" w:hAnsi="Arial" w:cs="Arial"/>
          <w:bCs/>
          <w:sz w:val="24"/>
          <w:szCs w:val="24"/>
          <w:lang w:val="en-GB"/>
        </w:rPr>
        <w:t>9706</w:t>
      </w:r>
      <w:r w:rsidRPr="004C26C2">
        <w:rPr>
          <w:rFonts w:ascii="Arial" w:eastAsia="Calibri" w:hAnsi="Arial" w:cs="Arial"/>
          <w:bCs/>
          <w:sz w:val="24"/>
          <w:szCs w:val="24"/>
          <w:lang w:val="en-GB"/>
        </w:rPr>
        <w:t>/2</w:t>
      </w:r>
      <w:r>
        <w:rPr>
          <w:rFonts w:ascii="Arial" w:eastAsia="Calibri" w:hAnsi="Arial" w:cs="Arial"/>
          <w:bCs/>
          <w:sz w:val="24"/>
          <w:szCs w:val="24"/>
          <w:lang w:val="en-GB"/>
        </w:rPr>
        <w:t>1</w:t>
      </w:r>
      <w:r w:rsidRPr="004C26C2">
        <w:rPr>
          <w:rFonts w:ascii="Arial" w:eastAsia="Calibri" w:hAnsi="Arial" w:cs="Arial"/>
          <w:bCs/>
          <w:sz w:val="24"/>
          <w:szCs w:val="24"/>
          <w:lang w:val="en-GB"/>
        </w:rPr>
        <w:t xml:space="preserve">                                                                                               </w:t>
      </w:r>
    </w:p>
    <w:p w14:paraId="771E8B0A" w14:textId="77777777" w:rsidR="009928A5" w:rsidRPr="004C26C2" w:rsidRDefault="009928A5" w:rsidP="009928A5">
      <w:pPr>
        <w:spacing w:line="240" w:lineRule="auto"/>
        <w:rPr>
          <w:rFonts w:ascii="Arial" w:eastAsia="Calibri" w:hAnsi="Arial" w:cs="Arial"/>
          <w:bCs/>
          <w:sz w:val="24"/>
          <w:szCs w:val="24"/>
          <w:lang w:val="en-GB"/>
        </w:rPr>
      </w:pPr>
      <w:r w:rsidRPr="004C26C2">
        <w:rPr>
          <w:rFonts w:ascii="Arial" w:eastAsia="Calibri" w:hAnsi="Arial" w:cs="Arial"/>
          <w:bCs/>
          <w:sz w:val="24"/>
          <w:szCs w:val="24"/>
          <w:lang w:val="en-GB"/>
        </w:rPr>
        <w:t xml:space="preserve">                                                                     </w:t>
      </w:r>
    </w:p>
    <w:p w14:paraId="69C90055" w14:textId="77777777" w:rsidR="009928A5" w:rsidRPr="004C26C2" w:rsidRDefault="009928A5" w:rsidP="009928A5">
      <w:pPr>
        <w:spacing w:after="0" w:line="240" w:lineRule="auto"/>
        <w:rPr>
          <w:rFonts w:ascii="Arial" w:eastAsia="Calibri" w:hAnsi="Arial" w:cs="Arial"/>
          <w:sz w:val="24"/>
          <w:szCs w:val="24"/>
          <w:lang w:val="en-GB"/>
        </w:rPr>
      </w:pPr>
      <w:bookmarkStart w:id="0" w:name="_Hlk120021438"/>
      <w:r w:rsidRPr="004C26C2">
        <w:rPr>
          <w:rFonts w:ascii="Arial" w:eastAsia="Calibri" w:hAnsi="Arial" w:cs="Arial"/>
          <w:sz w:val="24"/>
          <w:szCs w:val="24"/>
          <w:lang w:val="en-GB"/>
        </w:rPr>
        <w:t>In the matter between:</w:t>
      </w:r>
    </w:p>
    <w:bookmarkEnd w:id="0"/>
    <w:p w14:paraId="5F1EA6E7" w14:textId="77777777" w:rsidR="009928A5" w:rsidRPr="004C26C2" w:rsidRDefault="009928A5" w:rsidP="009928A5">
      <w:pPr>
        <w:spacing w:after="0" w:line="240" w:lineRule="auto"/>
        <w:rPr>
          <w:rFonts w:ascii="Arial" w:eastAsia="Calibri" w:hAnsi="Arial" w:cs="Arial"/>
          <w:b/>
          <w:bCs/>
          <w:sz w:val="24"/>
          <w:szCs w:val="24"/>
          <w:lang w:val="en-GB"/>
        </w:rPr>
      </w:pPr>
    </w:p>
    <w:p w14:paraId="35F5C695" w14:textId="31348649" w:rsidR="009928A5" w:rsidRPr="004C26C2" w:rsidRDefault="009928A5" w:rsidP="009928A5">
      <w:pPr>
        <w:spacing w:after="0" w:line="240" w:lineRule="auto"/>
        <w:rPr>
          <w:rFonts w:ascii="Arial" w:eastAsia="Calibri" w:hAnsi="Arial" w:cs="Arial"/>
          <w:b/>
          <w:bCs/>
          <w:sz w:val="24"/>
          <w:szCs w:val="24"/>
          <w:lang w:val="en-GB"/>
        </w:rPr>
      </w:pPr>
      <w:bookmarkStart w:id="1" w:name="_Hlk120022196"/>
      <w:r w:rsidRPr="009928A5">
        <w:rPr>
          <w:rFonts w:ascii="Arial" w:eastAsia="Calibri" w:hAnsi="Arial" w:cs="Arial"/>
          <w:b/>
          <w:bCs/>
          <w:sz w:val="24"/>
          <w:szCs w:val="24"/>
          <w:lang w:val="en-GB"/>
        </w:rPr>
        <w:t>PIETER JOHAN ERASMUS</w:t>
      </w:r>
      <w:r>
        <w:rPr>
          <w:rFonts w:ascii="Arial" w:eastAsia="Calibri" w:hAnsi="Arial" w:cs="Arial"/>
          <w:sz w:val="24"/>
          <w:szCs w:val="24"/>
          <w:lang w:val="en-GB"/>
        </w:rPr>
        <w:t xml:space="preserve"> </w:t>
      </w:r>
      <w:r w:rsidRPr="004C26C2">
        <w:rPr>
          <w:rFonts w:ascii="Arial" w:eastAsia="Calibri" w:hAnsi="Arial" w:cs="Arial"/>
          <w:sz w:val="24"/>
          <w:szCs w:val="24"/>
          <w:lang w:val="en-GB"/>
        </w:rPr>
        <w:t xml:space="preserve">                                       </w:t>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t xml:space="preserve">      </w:t>
      </w:r>
      <w:r w:rsidRPr="004C26C2">
        <w:rPr>
          <w:rFonts w:ascii="Arial" w:eastAsia="Calibri" w:hAnsi="Arial" w:cs="Arial"/>
          <w:sz w:val="24"/>
          <w:szCs w:val="24"/>
          <w:lang w:val="en-GB"/>
        </w:rPr>
        <w:t>App</w:t>
      </w:r>
      <w:r>
        <w:rPr>
          <w:rFonts w:ascii="Arial" w:eastAsia="Calibri" w:hAnsi="Arial" w:cs="Arial"/>
          <w:sz w:val="24"/>
          <w:szCs w:val="24"/>
          <w:lang w:val="en-GB"/>
        </w:rPr>
        <w:t>licant</w:t>
      </w:r>
      <w:r w:rsidRPr="004C26C2">
        <w:rPr>
          <w:rFonts w:ascii="Arial" w:eastAsia="Calibri" w:hAnsi="Arial" w:cs="Arial"/>
          <w:sz w:val="24"/>
          <w:szCs w:val="24"/>
          <w:lang w:val="en-GB"/>
        </w:rPr>
        <w:t xml:space="preserve"> </w:t>
      </w:r>
    </w:p>
    <w:p w14:paraId="30D013BA" w14:textId="77777777" w:rsidR="009928A5" w:rsidRPr="004C26C2" w:rsidRDefault="009928A5" w:rsidP="009928A5">
      <w:pPr>
        <w:spacing w:after="0" w:line="240" w:lineRule="auto"/>
        <w:rPr>
          <w:rFonts w:ascii="Arial" w:eastAsia="Calibri" w:hAnsi="Arial" w:cs="Arial"/>
          <w:b/>
          <w:bCs/>
          <w:sz w:val="24"/>
          <w:szCs w:val="24"/>
          <w:lang w:val="en-GB"/>
        </w:rPr>
      </w:pPr>
      <w:r w:rsidRPr="004C26C2">
        <w:rPr>
          <w:rFonts w:ascii="Arial" w:eastAsia="Calibri" w:hAnsi="Arial" w:cs="Arial"/>
          <w:b/>
          <w:bCs/>
          <w:sz w:val="24"/>
          <w:szCs w:val="24"/>
          <w:lang w:val="en-GB"/>
        </w:rPr>
        <w:t xml:space="preserve">                                                                                     </w:t>
      </w:r>
    </w:p>
    <w:bookmarkEnd w:id="1"/>
    <w:p w14:paraId="399198FE" w14:textId="77777777" w:rsidR="009928A5" w:rsidRPr="004C26C2" w:rsidRDefault="009928A5" w:rsidP="009928A5">
      <w:pPr>
        <w:spacing w:after="0" w:line="240" w:lineRule="auto"/>
        <w:rPr>
          <w:rFonts w:ascii="Arial" w:eastAsia="Calibri" w:hAnsi="Arial" w:cs="Arial"/>
          <w:sz w:val="24"/>
          <w:szCs w:val="24"/>
          <w:lang w:val="en-ZA"/>
        </w:rPr>
      </w:pPr>
      <w:r w:rsidRPr="004C26C2">
        <w:rPr>
          <w:rFonts w:ascii="Arial" w:eastAsia="Calibri" w:hAnsi="Arial" w:cs="Arial"/>
          <w:sz w:val="24"/>
          <w:szCs w:val="24"/>
          <w:lang w:val="en-ZA"/>
        </w:rPr>
        <w:t>and</w:t>
      </w:r>
    </w:p>
    <w:p w14:paraId="21A71A9F" w14:textId="77777777" w:rsidR="009928A5" w:rsidRPr="004C26C2" w:rsidRDefault="009928A5" w:rsidP="009928A5">
      <w:pPr>
        <w:spacing w:after="0" w:line="240" w:lineRule="auto"/>
        <w:rPr>
          <w:rFonts w:ascii="Arial" w:eastAsia="Calibri" w:hAnsi="Arial" w:cs="Arial"/>
          <w:b/>
          <w:sz w:val="24"/>
          <w:szCs w:val="24"/>
        </w:rPr>
      </w:pPr>
    </w:p>
    <w:p w14:paraId="57D910A7" w14:textId="77777777" w:rsidR="009928A5" w:rsidRDefault="009928A5" w:rsidP="009928A5">
      <w:pPr>
        <w:spacing w:after="0" w:line="240" w:lineRule="auto"/>
        <w:rPr>
          <w:rFonts w:ascii="Arial" w:eastAsia="Calibri" w:hAnsi="Arial" w:cs="Arial"/>
          <w:b/>
          <w:bCs/>
          <w:sz w:val="24"/>
          <w:szCs w:val="24"/>
        </w:rPr>
      </w:pPr>
      <w:bookmarkStart w:id="2" w:name="_Hlk120021644"/>
      <w:r>
        <w:rPr>
          <w:rFonts w:ascii="Arial" w:eastAsia="Calibri" w:hAnsi="Arial" w:cs="Arial"/>
          <w:b/>
          <w:bCs/>
          <w:sz w:val="24"/>
          <w:szCs w:val="24"/>
        </w:rPr>
        <w:t>TH</w:t>
      </w:r>
      <w:r w:rsidRPr="004C26C2">
        <w:rPr>
          <w:rFonts w:ascii="Arial" w:eastAsia="Calibri" w:hAnsi="Arial" w:cs="Arial"/>
          <w:b/>
          <w:bCs/>
          <w:sz w:val="24"/>
          <w:szCs w:val="24"/>
        </w:rPr>
        <w:t>E</w:t>
      </w:r>
      <w:r>
        <w:rPr>
          <w:rFonts w:ascii="Arial" w:eastAsia="Calibri" w:hAnsi="Arial" w:cs="Arial"/>
          <w:b/>
          <w:bCs/>
          <w:sz w:val="24"/>
          <w:szCs w:val="24"/>
        </w:rPr>
        <w:t xml:space="preserve"> COMMISSIONER FOR THHE</w:t>
      </w:r>
    </w:p>
    <w:p w14:paraId="22B51124" w14:textId="6328A197" w:rsidR="009928A5" w:rsidRPr="004C26C2" w:rsidRDefault="009928A5" w:rsidP="009928A5">
      <w:pPr>
        <w:spacing w:after="0" w:line="240" w:lineRule="auto"/>
        <w:rPr>
          <w:rFonts w:ascii="Arial" w:eastAsia="Calibri" w:hAnsi="Arial" w:cs="Arial"/>
          <w:b/>
          <w:bCs/>
          <w:sz w:val="24"/>
          <w:szCs w:val="24"/>
        </w:rPr>
      </w:pPr>
      <w:r>
        <w:rPr>
          <w:rFonts w:ascii="Arial" w:eastAsia="Calibri" w:hAnsi="Arial" w:cs="Arial"/>
          <w:b/>
          <w:bCs/>
          <w:sz w:val="24"/>
          <w:szCs w:val="24"/>
        </w:rPr>
        <w:t xml:space="preserve">SOUTH AFRICAN REVENUE SERVICE </w:t>
      </w:r>
      <w:r>
        <w:rPr>
          <w:rFonts w:ascii="Arial" w:eastAsia="Calibri" w:hAnsi="Arial" w:cs="Arial"/>
          <w:bCs/>
          <w:sz w:val="24"/>
          <w:szCs w:val="24"/>
        </w:rPr>
        <w:t xml:space="preserve">                                                    </w:t>
      </w:r>
      <w:r w:rsidRPr="004C26C2">
        <w:rPr>
          <w:rFonts w:ascii="Arial" w:eastAsia="Calibri" w:hAnsi="Arial" w:cs="Arial"/>
          <w:bCs/>
          <w:sz w:val="24"/>
          <w:szCs w:val="24"/>
        </w:rPr>
        <w:t>R</w:t>
      </w:r>
      <w:r w:rsidRPr="004C26C2">
        <w:rPr>
          <w:rFonts w:ascii="Arial" w:eastAsia="Calibri" w:hAnsi="Arial" w:cs="Arial"/>
          <w:sz w:val="24"/>
          <w:szCs w:val="24"/>
          <w:lang w:val="en-GB"/>
        </w:rPr>
        <w:t>espondent</w:t>
      </w:r>
    </w:p>
    <w:bookmarkEnd w:id="2"/>
    <w:p w14:paraId="175F6194" w14:textId="77777777" w:rsidR="009928A5" w:rsidRPr="004C26C2" w:rsidRDefault="009928A5" w:rsidP="009928A5">
      <w:pPr>
        <w:pBdr>
          <w:bottom w:val="single" w:sz="12" w:space="1" w:color="auto"/>
        </w:pBdr>
        <w:adjustRightInd w:val="0"/>
        <w:spacing w:after="0" w:line="240" w:lineRule="auto"/>
        <w:jc w:val="both"/>
        <w:textAlignment w:val="baseline"/>
        <w:rPr>
          <w:rFonts w:ascii="Arial" w:eastAsia="Times New Roman" w:hAnsi="Arial" w:cs="Arial"/>
          <w:snapToGrid w:val="0"/>
          <w:sz w:val="24"/>
          <w:szCs w:val="24"/>
          <w:lang w:val="en-GB"/>
        </w:rPr>
      </w:pPr>
    </w:p>
    <w:p w14:paraId="412F39E4" w14:textId="77777777" w:rsidR="009928A5" w:rsidRPr="004C26C2" w:rsidRDefault="009928A5" w:rsidP="009928A5">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p>
    <w:p w14:paraId="4BCCB279" w14:textId="77777777" w:rsidR="009928A5" w:rsidRPr="004C26C2" w:rsidRDefault="009928A5" w:rsidP="009928A5">
      <w:pPr>
        <w:adjustRightInd w:val="0"/>
        <w:spacing w:after="0" w:line="240" w:lineRule="auto"/>
        <w:jc w:val="both"/>
        <w:textAlignment w:val="baseline"/>
        <w:rPr>
          <w:rFonts w:ascii="Arial" w:eastAsia="Times New Roman" w:hAnsi="Arial" w:cs="Arial"/>
          <w:b/>
          <w:bCs/>
          <w:snapToGrid w:val="0"/>
          <w:sz w:val="24"/>
          <w:szCs w:val="24"/>
          <w:lang w:val="en-GB"/>
        </w:rPr>
      </w:pPr>
    </w:p>
    <w:p w14:paraId="06E7B336" w14:textId="61F0392D" w:rsidR="009928A5" w:rsidRPr="004C26C2" w:rsidRDefault="009928A5" w:rsidP="009928A5">
      <w:pPr>
        <w:adjustRightInd w:val="0"/>
        <w:spacing w:after="0" w:line="240" w:lineRule="auto"/>
        <w:jc w:val="center"/>
        <w:textAlignment w:val="baseline"/>
        <w:rPr>
          <w:rFonts w:ascii="Arial" w:eastAsia="Times New Roman" w:hAnsi="Arial" w:cs="Arial"/>
          <w:b/>
          <w:bCs/>
          <w:snapToGrid w:val="0"/>
          <w:sz w:val="24"/>
          <w:szCs w:val="24"/>
          <w:lang w:val="en-GB"/>
        </w:rPr>
      </w:pPr>
      <w:r w:rsidRPr="004C26C2">
        <w:rPr>
          <w:rFonts w:ascii="Arial" w:eastAsia="Times New Roman" w:hAnsi="Arial" w:cs="Arial"/>
          <w:b/>
          <w:bCs/>
          <w:snapToGrid w:val="0"/>
          <w:sz w:val="24"/>
          <w:szCs w:val="24"/>
          <w:lang w:val="en-GB"/>
        </w:rPr>
        <w:t xml:space="preserve">JUDGMENT DELIVERED (VIA EMAIL) ON </w:t>
      </w:r>
      <w:r w:rsidR="0004046C">
        <w:rPr>
          <w:rFonts w:ascii="Arial" w:eastAsia="Times New Roman" w:hAnsi="Arial" w:cs="Arial"/>
          <w:b/>
          <w:bCs/>
          <w:snapToGrid w:val="0"/>
          <w:sz w:val="24"/>
          <w:szCs w:val="24"/>
          <w:lang w:val="en-GB"/>
        </w:rPr>
        <w:t>18</w:t>
      </w:r>
      <w:r w:rsidR="00A65AB2">
        <w:rPr>
          <w:rFonts w:ascii="Arial" w:eastAsia="Times New Roman" w:hAnsi="Arial" w:cs="Arial"/>
          <w:b/>
          <w:bCs/>
          <w:snapToGrid w:val="0"/>
          <w:sz w:val="24"/>
          <w:szCs w:val="24"/>
          <w:lang w:val="en-GB"/>
        </w:rPr>
        <w:t xml:space="preserve"> </w:t>
      </w:r>
      <w:r w:rsidR="00051A9E">
        <w:rPr>
          <w:rFonts w:ascii="Arial" w:eastAsia="Times New Roman" w:hAnsi="Arial" w:cs="Arial"/>
          <w:b/>
          <w:bCs/>
          <w:snapToGrid w:val="0"/>
          <w:sz w:val="24"/>
          <w:szCs w:val="24"/>
          <w:lang w:val="en-GB"/>
        </w:rPr>
        <w:t>AUGUST</w:t>
      </w:r>
      <w:r w:rsidRPr="004C26C2">
        <w:rPr>
          <w:rFonts w:ascii="Arial" w:eastAsia="Times New Roman" w:hAnsi="Arial" w:cs="Arial"/>
          <w:b/>
          <w:bCs/>
          <w:snapToGrid w:val="0"/>
          <w:sz w:val="24"/>
          <w:szCs w:val="24"/>
          <w:lang w:val="en-GB"/>
        </w:rPr>
        <w:t xml:space="preserve"> 202</w:t>
      </w:r>
      <w:r>
        <w:rPr>
          <w:rFonts w:ascii="Arial" w:eastAsia="Times New Roman" w:hAnsi="Arial" w:cs="Arial"/>
          <w:b/>
          <w:bCs/>
          <w:snapToGrid w:val="0"/>
          <w:sz w:val="24"/>
          <w:szCs w:val="24"/>
          <w:lang w:val="en-GB"/>
        </w:rPr>
        <w:t>3</w:t>
      </w:r>
      <w:r w:rsidRPr="004C26C2">
        <w:rPr>
          <w:rFonts w:ascii="Arial" w:eastAsia="Times New Roman" w:hAnsi="Arial" w:cs="Arial"/>
          <w:b/>
          <w:bCs/>
          <w:snapToGrid w:val="0"/>
          <w:sz w:val="24"/>
          <w:szCs w:val="24"/>
          <w:lang w:val="en-GB"/>
        </w:rPr>
        <w:t xml:space="preserve">   </w:t>
      </w:r>
    </w:p>
    <w:p w14:paraId="01D2DDA3" w14:textId="77777777" w:rsidR="009928A5" w:rsidRPr="004C26C2" w:rsidRDefault="009928A5" w:rsidP="009928A5">
      <w:pPr>
        <w:adjustRightInd w:val="0"/>
        <w:spacing w:after="0" w:line="240" w:lineRule="auto"/>
        <w:jc w:val="both"/>
        <w:textAlignment w:val="baseline"/>
        <w:rPr>
          <w:rFonts w:ascii="Arial" w:eastAsia="Times New Roman" w:hAnsi="Arial" w:cs="Arial"/>
          <w:b/>
          <w:bCs/>
          <w:snapToGrid w:val="0"/>
          <w:sz w:val="24"/>
          <w:szCs w:val="24"/>
          <w:lang w:val="en-GB"/>
        </w:rPr>
      </w:pPr>
      <w:r w:rsidRPr="004C26C2">
        <w:rPr>
          <w:rFonts w:ascii="Arial" w:eastAsia="Times New Roman" w:hAnsi="Arial" w:cs="Arial"/>
          <w:b/>
          <w:bCs/>
          <w:snapToGrid w:val="0"/>
          <w:sz w:val="24"/>
          <w:szCs w:val="24"/>
          <w:lang w:val="en-GB"/>
        </w:rPr>
        <w:t>______________________________________________________________________</w:t>
      </w:r>
    </w:p>
    <w:p w14:paraId="118D607A" w14:textId="77777777" w:rsidR="009928A5" w:rsidRPr="004C26C2" w:rsidRDefault="009928A5" w:rsidP="009928A5">
      <w:pPr>
        <w:adjustRightInd w:val="0"/>
        <w:spacing w:line="360" w:lineRule="auto"/>
        <w:jc w:val="both"/>
        <w:textAlignment w:val="baseline"/>
        <w:rPr>
          <w:rFonts w:ascii="Arial" w:eastAsia="Times New Roman" w:hAnsi="Arial" w:cs="Arial"/>
          <w:b/>
          <w:bCs/>
          <w:sz w:val="24"/>
          <w:szCs w:val="24"/>
          <w:lang w:val="en-GB"/>
        </w:rPr>
      </w:pPr>
    </w:p>
    <w:p w14:paraId="77BAECE1" w14:textId="3859CD2A" w:rsidR="009928A5" w:rsidRPr="004C26C2" w:rsidRDefault="009928A5" w:rsidP="009928A5">
      <w:pPr>
        <w:adjustRightInd w:val="0"/>
        <w:spacing w:line="360" w:lineRule="auto"/>
        <w:jc w:val="both"/>
        <w:textAlignment w:val="baseline"/>
        <w:rPr>
          <w:rFonts w:ascii="Arial" w:eastAsia="Times New Roman" w:hAnsi="Arial" w:cs="Arial"/>
          <w:b/>
          <w:bCs/>
          <w:sz w:val="24"/>
          <w:szCs w:val="24"/>
          <w:lang w:val="en-GB"/>
        </w:rPr>
      </w:pPr>
      <w:r w:rsidRPr="004C26C2">
        <w:rPr>
          <w:rFonts w:ascii="Arial" w:eastAsia="Times New Roman" w:hAnsi="Arial" w:cs="Arial"/>
          <w:b/>
          <w:bCs/>
          <w:sz w:val="24"/>
          <w:szCs w:val="24"/>
          <w:lang w:val="en-GB"/>
        </w:rPr>
        <w:t xml:space="preserve">SHER, </w:t>
      </w:r>
      <w:r w:rsidR="00BC3103" w:rsidRPr="004C26C2">
        <w:rPr>
          <w:rFonts w:ascii="Arial" w:eastAsia="Times New Roman" w:hAnsi="Arial" w:cs="Arial"/>
          <w:b/>
          <w:bCs/>
          <w:sz w:val="24"/>
          <w:szCs w:val="24"/>
          <w:lang w:val="en-GB"/>
        </w:rPr>
        <w:t>J</w:t>
      </w:r>
      <w:r w:rsidR="00BC3103">
        <w:rPr>
          <w:rFonts w:ascii="Arial" w:eastAsia="Times New Roman" w:hAnsi="Arial" w:cs="Arial"/>
          <w:b/>
          <w:bCs/>
          <w:sz w:val="24"/>
          <w:szCs w:val="24"/>
          <w:lang w:val="en-GB"/>
        </w:rPr>
        <w:t>:</w:t>
      </w:r>
      <w:r>
        <w:rPr>
          <w:rFonts w:ascii="Arial" w:eastAsia="Times New Roman" w:hAnsi="Arial" w:cs="Arial"/>
          <w:b/>
          <w:bCs/>
          <w:sz w:val="24"/>
          <w:szCs w:val="24"/>
          <w:lang w:val="en-GB"/>
        </w:rPr>
        <w:t xml:space="preserve"> </w:t>
      </w:r>
    </w:p>
    <w:p w14:paraId="0F93B505" w14:textId="6E9CF74A" w:rsidR="00BC3103" w:rsidRPr="00BC3103"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sidRPr="00BC3103">
        <w:rPr>
          <w:rFonts w:ascii="Arial" w:eastAsia="Calibri" w:hAnsi="Arial" w:cs="Arial"/>
          <w:sz w:val="24"/>
        </w:rPr>
        <w:t>1.</w:t>
      </w:r>
      <w:r w:rsidRPr="00BC3103">
        <w:rPr>
          <w:rFonts w:ascii="Arial" w:eastAsia="Calibri" w:hAnsi="Arial" w:cs="Arial"/>
          <w:sz w:val="24"/>
        </w:rPr>
        <w:tab/>
      </w:r>
      <w:r w:rsidR="00BC3103">
        <w:rPr>
          <w:rFonts w:ascii="Arial" w:eastAsia="Times New Roman" w:hAnsi="Arial" w:cs="Arial"/>
          <w:bCs/>
          <w:sz w:val="24"/>
          <w:szCs w:val="24"/>
          <w:lang w:val="en-GB"/>
        </w:rPr>
        <w:t>Th</w:t>
      </w:r>
      <w:r w:rsidR="00B27E01">
        <w:rPr>
          <w:rFonts w:ascii="Arial" w:eastAsia="Times New Roman" w:hAnsi="Arial" w:cs="Arial"/>
          <w:bCs/>
          <w:sz w:val="24"/>
          <w:szCs w:val="24"/>
          <w:lang w:val="en-GB"/>
        </w:rPr>
        <w:t>is is an application in w</w:t>
      </w:r>
      <w:r w:rsidR="006B0ABD">
        <w:rPr>
          <w:rFonts w:ascii="Arial" w:eastAsia="Times New Roman" w:hAnsi="Arial" w:cs="Arial"/>
          <w:bCs/>
          <w:sz w:val="24"/>
          <w:szCs w:val="24"/>
          <w:lang w:val="en-GB"/>
        </w:rPr>
        <w:t>hich the</w:t>
      </w:r>
      <w:r w:rsidR="00485266">
        <w:rPr>
          <w:rFonts w:ascii="Arial" w:eastAsia="Times New Roman" w:hAnsi="Arial" w:cs="Arial"/>
          <w:bCs/>
          <w:sz w:val="24"/>
          <w:szCs w:val="24"/>
          <w:lang w:val="en-GB"/>
        </w:rPr>
        <w:t xml:space="preserve"> applicant seeks </w:t>
      </w:r>
      <w:r w:rsidR="00BC3103">
        <w:rPr>
          <w:rFonts w:ascii="Arial" w:eastAsia="Times New Roman" w:hAnsi="Arial" w:cs="Arial"/>
          <w:bCs/>
          <w:sz w:val="24"/>
          <w:szCs w:val="24"/>
          <w:lang w:val="en-GB"/>
        </w:rPr>
        <w:t>an order reviewing and setting aside a decision</w:t>
      </w:r>
      <w:r w:rsidR="00701EA3">
        <w:rPr>
          <w:rFonts w:ascii="Arial" w:eastAsia="Times New Roman" w:hAnsi="Arial" w:cs="Arial"/>
          <w:bCs/>
          <w:sz w:val="24"/>
          <w:szCs w:val="24"/>
          <w:lang w:val="en-GB"/>
        </w:rPr>
        <w:t xml:space="preserve"> by</w:t>
      </w:r>
      <w:r w:rsidR="00BC3103">
        <w:rPr>
          <w:rFonts w:ascii="Arial" w:eastAsia="Times New Roman" w:hAnsi="Arial" w:cs="Arial"/>
          <w:bCs/>
          <w:sz w:val="24"/>
          <w:szCs w:val="24"/>
          <w:lang w:val="en-GB"/>
        </w:rPr>
        <w:t xml:space="preserve"> the Commissioner of the South African Revenue Services that he was party to an alleged impermissible tax avoidance arrangement</w:t>
      </w:r>
      <w:r w:rsidR="002A5895">
        <w:rPr>
          <w:rFonts w:ascii="Arial" w:eastAsia="Times New Roman" w:hAnsi="Arial" w:cs="Arial"/>
          <w:bCs/>
          <w:sz w:val="24"/>
          <w:szCs w:val="24"/>
          <w:lang w:val="en-GB"/>
        </w:rPr>
        <w:t>,</w:t>
      </w:r>
      <w:r w:rsidR="00BC3103">
        <w:rPr>
          <w:rFonts w:ascii="Arial" w:eastAsia="Times New Roman" w:hAnsi="Arial" w:cs="Arial"/>
          <w:bCs/>
          <w:sz w:val="24"/>
          <w:szCs w:val="24"/>
          <w:lang w:val="en-GB"/>
        </w:rPr>
        <w:t xml:space="preserve"> in terms of s 80</w:t>
      </w:r>
      <w:r w:rsidR="008D7B83">
        <w:rPr>
          <w:rFonts w:ascii="Arial" w:eastAsia="Times New Roman" w:hAnsi="Arial" w:cs="Arial"/>
          <w:bCs/>
          <w:sz w:val="24"/>
          <w:szCs w:val="24"/>
          <w:lang w:val="en-GB"/>
        </w:rPr>
        <w:t>A (read with s</w:t>
      </w:r>
      <w:r w:rsidR="00DC1873">
        <w:rPr>
          <w:rFonts w:ascii="Arial" w:eastAsia="Times New Roman" w:hAnsi="Arial" w:cs="Arial"/>
          <w:bCs/>
          <w:sz w:val="24"/>
          <w:szCs w:val="24"/>
          <w:lang w:val="en-GB"/>
        </w:rPr>
        <w:t>s 80B and</w:t>
      </w:r>
      <w:r w:rsidR="008D7B83">
        <w:rPr>
          <w:rFonts w:ascii="Arial" w:eastAsia="Times New Roman" w:hAnsi="Arial" w:cs="Arial"/>
          <w:bCs/>
          <w:sz w:val="24"/>
          <w:szCs w:val="24"/>
          <w:lang w:val="en-GB"/>
        </w:rPr>
        <w:t xml:space="preserve"> 80L)</w:t>
      </w:r>
      <w:r w:rsidR="00BC3103">
        <w:rPr>
          <w:rFonts w:ascii="Arial" w:eastAsia="Times New Roman" w:hAnsi="Arial" w:cs="Arial"/>
          <w:bCs/>
          <w:sz w:val="24"/>
          <w:szCs w:val="24"/>
          <w:lang w:val="en-GB"/>
        </w:rPr>
        <w:t xml:space="preserve"> of the Income Tax Act,</w:t>
      </w:r>
      <w:r w:rsidR="00BC3103">
        <w:rPr>
          <w:rStyle w:val="FootnoteReference"/>
          <w:rFonts w:ascii="Arial" w:eastAsia="Times New Roman" w:hAnsi="Arial" w:cs="Arial"/>
          <w:bCs/>
          <w:sz w:val="24"/>
          <w:szCs w:val="24"/>
          <w:lang w:val="en-GB"/>
        </w:rPr>
        <w:footnoteReference w:id="1"/>
      </w:r>
      <w:r w:rsidR="00BC3103">
        <w:rPr>
          <w:rFonts w:ascii="Arial" w:eastAsia="Times New Roman" w:hAnsi="Arial" w:cs="Arial"/>
          <w:bCs/>
          <w:sz w:val="24"/>
          <w:szCs w:val="24"/>
          <w:lang w:val="en-GB"/>
        </w:rPr>
        <w:t xml:space="preserve"> and </w:t>
      </w:r>
      <w:r w:rsidR="003B69B2">
        <w:rPr>
          <w:rFonts w:ascii="Arial" w:eastAsia="Times New Roman" w:hAnsi="Arial" w:cs="Arial"/>
          <w:bCs/>
          <w:sz w:val="24"/>
          <w:szCs w:val="24"/>
          <w:lang w:val="en-GB"/>
        </w:rPr>
        <w:t xml:space="preserve">an </w:t>
      </w:r>
      <w:r w:rsidR="00BC3103">
        <w:rPr>
          <w:rFonts w:ascii="Arial" w:eastAsia="Times New Roman" w:hAnsi="Arial" w:cs="Arial"/>
          <w:bCs/>
          <w:sz w:val="24"/>
          <w:szCs w:val="24"/>
          <w:lang w:val="en-GB"/>
        </w:rPr>
        <w:t>assess</w:t>
      </w:r>
      <w:r w:rsidR="003B69B2">
        <w:rPr>
          <w:rFonts w:ascii="Arial" w:eastAsia="Times New Roman" w:hAnsi="Arial" w:cs="Arial"/>
          <w:bCs/>
          <w:sz w:val="24"/>
          <w:szCs w:val="24"/>
          <w:lang w:val="en-GB"/>
        </w:rPr>
        <w:t>ment that he was</w:t>
      </w:r>
      <w:r w:rsidR="00BC3103">
        <w:rPr>
          <w:rFonts w:ascii="Arial" w:eastAsia="Times New Roman" w:hAnsi="Arial" w:cs="Arial"/>
          <w:bCs/>
          <w:sz w:val="24"/>
          <w:szCs w:val="24"/>
          <w:lang w:val="en-GB"/>
        </w:rPr>
        <w:t xml:space="preserve"> </w:t>
      </w:r>
      <w:r w:rsidR="008B2518">
        <w:rPr>
          <w:rFonts w:ascii="Arial" w:eastAsia="Times New Roman" w:hAnsi="Arial" w:cs="Arial"/>
          <w:bCs/>
          <w:sz w:val="24"/>
          <w:szCs w:val="24"/>
          <w:lang w:val="en-GB"/>
        </w:rPr>
        <w:t xml:space="preserve">consequently </w:t>
      </w:r>
      <w:r w:rsidR="00BC3103">
        <w:rPr>
          <w:rFonts w:ascii="Arial" w:eastAsia="Times New Roman" w:hAnsi="Arial" w:cs="Arial"/>
          <w:bCs/>
          <w:sz w:val="24"/>
          <w:szCs w:val="24"/>
          <w:lang w:val="en-GB"/>
        </w:rPr>
        <w:t>liable for dividends tax in the amount of R</w:t>
      </w:r>
      <w:r w:rsidR="004A2BEB">
        <w:rPr>
          <w:rFonts w:ascii="Arial" w:eastAsia="Times New Roman" w:hAnsi="Arial" w:cs="Arial"/>
          <w:bCs/>
          <w:sz w:val="24"/>
          <w:szCs w:val="24"/>
          <w:lang w:val="en-GB"/>
        </w:rPr>
        <w:t xml:space="preserve"> </w:t>
      </w:r>
      <w:r w:rsidR="00BC3103">
        <w:rPr>
          <w:rFonts w:ascii="Arial" w:eastAsia="Times New Roman" w:hAnsi="Arial" w:cs="Arial"/>
          <w:bCs/>
          <w:sz w:val="24"/>
          <w:szCs w:val="24"/>
          <w:lang w:val="en-GB"/>
        </w:rPr>
        <w:t>183 536 979</w:t>
      </w:r>
      <w:r w:rsidR="00782ED1">
        <w:rPr>
          <w:rFonts w:ascii="Arial" w:eastAsia="Times New Roman" w:hAnsi="Arial" w:cs="Arial"/>
          <w:bCs/>
          <w:sz w:val="24"/>
          <w:szCs w:val="24"/>
          <w:lang w:val="en-GB"/>
        </w:rPr>
        <w:t xml:space="preserve"> </w:t>
      </w:r>
      <w:r w:rsidR="0004046C">
        <w:rPr>
          <w:rFonts w:ascii="Arial" w:eastAsia="Times New Roman" w:hAnsi="Arial" w:cs="Arial"/>
          <w:bCs/>
          <w:sz w:val="24"/>
          <w:szCs w:val="24"/>
          <w:lang w:val="en-GB"/>
        </w:rPr>
        <w:t xml:space="preserve">          </w:t>
      </w:r>
      <w:r w:rsidR="00782ED1">
        <w:rPr>
          <w:rFonts w:ascii="Arial" w:eastAsia="Times New Roman" w:hAnsi="Arial" w:cs="Arial"/>
          <w:bCs/>
          <w:sz w:val="24"/>
          <w:szCs w:val="24"/>
          <w:lang w:val="en-GB"/>
        </w:rPr>
        <w:t>(R</w:t>
      </w:r>
      <w:r w:rsidR="004A2BEB">
        <w:rPr>
          <w:rFonts w:ascii="Arial" w:eastAsia="Times New Roman" w:hAnsi="Arial" w:cs="Arial"/>
          <w:bCs/>
          <w:sz w:val="24"/>
          <w:szCs w:val="24"/>
          <w:lang w:val="en-GB"/>
        </w:rPr>
        <w:t xml:space="preserve"> </w:t>
      </w:r>
      <w:r w:rsidR="00782ED1">
        <w:rPr>
          <w:rFonts w:ascii="Arial" w:eastAsia="Times New Roman" w:hAnsi="Arial" w:cs="Arial"/>
          <w:bCs/>
          <w:sz w:val="24"/>
          <w:szCs w:val="24"/>
          <w:lang w:val="en-GB"/>
        </w:rPr>
        <w:t>183.5 million odd)</w:t>
      </w:r>
      <w:r w:rsidR="00BC3103">
        <w:rPr>
          <w:rFonts w:ascii="Arial" w:eastAsia="Times New Roman" w:hAnsi="Arial" w:cs="Arial"/>
          <w:bCs/>
          <w:sz w:val="24"/>
          <w:szCs w:val="24"/>
          <w:lang w:val="en-GB"/>
        </w:rPr>
        <w:t xml:space="preserve"> and an understatement penalty of R</w:t>
      </w:r>
      <w:r w:rsidR="004A2BEB">
        <w:rPr>
          <w:rFonts w:ascii="Arial" w:eastAsia="Times New Roman" w:hAnsi="Arial" w:cs="Arial"/>
          <w:bCs/>
          <w:sz w:val="24"/>
          <w:szCs w:val="24"/>
          <w:lang w:val="en-GB"/>
        </w:rPr>
        <w:t xml:space="preserve"> </w:t>
      </w:r>
      <w:r w:rsidR="00BC3103">
        <w:rPr>
          <w:rFonts w:ascii="Arial" w:eastAsia="Times New Roman" w:hAnsi="Arial" w:cs="Arial"/>
          <w:bCs/>
          <w:sz w:val="24"/>
          <w:szCs w:val="24"/>
          <w:lang w:val="en-GB"/>
        </w:rPr>
        <w:t>137 652 734</w:t>
      </w:r>
      <w:r w:rsidR="00782ED1">
        <w:rPr>
          <w:rFonts w:ascii="Arial" w:eastAsia="Times New Roman" w:hAnsi="Arial" w:cs="Arial"/>
          <w:bCs/>
          <w:sz w:val="24"/>
          <w:szCs w:val="24"/>
          <w:lang w:val="en-GB"/>
        </w:rPr>
        <w:t xml:space="preserve"> (R</w:t>
      </w:r>
      <w:r w:rsidR="004A2BEB">
        <w:rPr>
          <w:rFonts w:ascii="Arial" w:eastAsia="Times New Roman" w:hAnsi="Arial" w:cs="Arial"/>
          <w:bCs/>
          <w:sz w:val="24"/>
          <w:szCs w:val="24"/>
          <w:lang w:val="en-GB"/>
        </w:rPr>
        <w:t xml:space="preserve"> </w:t>
      </w:r>
      <w:r w:rsidR="00782ED1">
        <w:rPr>
          <w:rFonts w:ascii="Arial" w:eastAsia="Times New Roman" w:hAnsi="Arial" w:cs="Arial"/>
          <w:bCs/>
          <w:sz w:val="24"/>
          <w:szCs w:val="24"/>
          <w:lang w:val="en-GB"/>
        </w:rPr>
        <w:t>137.6 million odd)</w:t>
      </w:r>
      <w:r w:rsidR="00485266">
        <w:rPr>
          <w:rFonts w:ascii="Arial" w:eastAsia="Times New Roman" w:hAnsi="Arial" w:cs="Arial"/>
          <w:bCs/>
          <w:sz w:val="24"/>
          <w:szCs w:val="24"/>
          <w:lang w:val="en-GB"/>
        </w:rPr>
        <w:t>, plus interest</w:t>
      </w:r>
      <w:r w:rsidR="00BC3103">
        <w:rPr>
          <w:rFonts w:ascii="Arial" w:eastAsia="Times New Roman" w:hAnsi="Arial" w:cs="Arial"/>
          <w:bCs/>
          <w:sz w:val="24"/>
          <w:szCs w:val="24"/>
          <w:lang w:val="en-GB"/>
        </w:rPr>
        <w:t>.</w:t>
      </w:r>
    </w:p>
    <w:p w14:paraId="591E6C4C" w14:textId="0362567F" w:rsidR="009928A5" w:rsidRPr="00ED035A"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sidRPr="00ED035A">
        <w:rPr>
          <w:rFonts w:ascii="Arial" w:eastAsia="Calibri" w:hAnsi="Arial" w:cs="Arial"/>
          <w:sz w:val="24"/>
        </w:rPr>
        <w:t>2.</w:t>
      </w:r>
      <w:r w:rsidRPr="00ED035A">
        <w:rPr>
          <w:rFonts w:ascii="Arial" w:eastAsia="Calibri" w:hAnsi="Arial" w:cs="Arial"/>
          <w:sz w:val="24"/>
        </w:rPr>
        <w:tab/>
      </w:r>
      <w:r w:rsidR="00BC3103">
        <w:rPr>
          <w:rFonts w:ascii="Arial" w:eastAsia="Times New Roman" w:hAnsi="Arial" w:cs="Arial"/>
          <w:bCs/>
          <w:sz w:val="24"/>
          <w:szCs w:val="24"/>
          <w:lang w:val="en-GB"/>
        </w:rPr>
        <w:t xml:space="preserve">The dividend tax represents 15% of </w:t>
      </w:r>
      <w:r w:rsidR="004B1BDB">
        <w:rPr>
          <w:rFonts w:ascii="Arial" w:eastAsia="Times New Roman" w:hAnsi="Arial" w:cs="Arial"/>
          <w:bCs/>
          <w:sz w:val="24"/>
          <w:szCs w:val="24"/>
          <w:lang w:val="en-GB"/>
        </w:rPr>
        <w:t>the</w:t>
      </w:r>
      <w:r w:rsidR="00BC3103">
        <w:rPr>
          <w:rFonts w:ascii="Arial" w:eastAsia="Times New Roman" w:hAnsi="Arial" w:cs="Arial"/>
          <w:bCs/>
          <w:sz w:val="24"/>
          <w:szCs w:val="24"/>
          <w:lang w:val="en-GB"/>
        </w:rPr>
        <w:t xml:space="preserve"> </w:t>
      </w:r>
      <w:r w:rsidR="00782ED1">
        <w:rPr>
          <w:rFonts w:ascii="Arial" w:eastAsia="Times New Roman" w:hAnsi="Arial" w:cs="Arial"/>
          <w:bCs/>
          <w:sz w:val="24"/>
          <w:szCs w:val="24"/>
          <w:lang w:val="en-GB"/>
        </w:rPr>
        <w:t xml:space="preserve">amount </w:t>
      </w:r>
      <w:r w:rsidR="00BC3103">
        <w:rPr>
          <w:rFonts w:ascii="Arial" w:eastAsia="Times New Roman" w:hAnsi="Arial" w:cs="Arial"/>
          <w:bCs/>
          <w:sz w:val="24"/>
          <w:szCs w:val="24"/>
          <w:lang w:val="en-GB"/>
        </w:rPr>
        <w:t>of R</w:t>
      </w:r>
      <w:r w:rsidR="004A2BEB">
        <w:rPr>
          <w:rFonts w:ascii="Arial" w:eastAsia="Times New Roman" w:hAnsi="Arial" w:cs="Arial"/>
          <w:bCs/>
          <w:sz w:val="24"/>
          <w:szCs w:val="24"/>
          <w:lang w:val="en-GB"/>
        </w:rPr>
        <w:t xml:space="preserve"> </w:t>
      </w:r>
      <w:r w:rsidR="00BC3103">
        <w:rPr>
          <w:rFonts w:ascii="Arial" w:eastAsia="Times New Roman" w:hAnsi="Arial" w:cs="Arial"/>
          <w:bCs/>
          <w:sz w:val="24"/>
          <w:szCs w:val="24"/>
          <w:lang w:val="en-GB"/>
        </w:rPr>
        <w:t>1 223 579 858 i.e R</w:t>
      </w:r>
      <w:r w:rsidR="004A2BEB">
        <w:rPr>
          <w:rFonts w:ascii="Arial" w:eastAsia="Times New Roman" w:hAnsi="Arial" w:cs="Arial"/>
          <w:bCs/>
          <w:sz w:val="24"/>
          <w:szCs w:val="24"/>
          <w:lang w:val="en-GB"/>
        </w:rPr>
        <w:t xml:space="preserve"> </w:t>
      </w:r>
      <w:r w:rsidR="00BC3103">
        <w:rPr>
          <w:rFonts w:ascii="Arial" w:eastAsia="Times New Roman" w:hAnsi="Arial" w:cs="Arial"/>
          <w:bCs/>
          <w:sz w:val="24"/>
          <w:szCs w:val="24"/>
          <w:lang w:val="en-GB"/>
        </w:rPr>
        <w:t>1.</w:t>
      </w:r>
      <w:r w:rsidR="003715DD">
        <w:rPr>
          <w:rFonts w:ascii="Arial" w:eastAsia="Times New Roman" w:hAnsi="Arial" w:cs="Arial"/>
          <w:bCs/>
          <w:sz w:val="24"/>
          <w:szCs w:val="24"/>
          <w:lang w:val="en-GB"/>
        </w:rPr>
        <w:t>2</w:t>
      </w:r>
      <w:r w:rsidR="00BC3103">
        <w:rPr>
          <w:rFonts w:ascii="Arial" w:eastAsia="Times New Roman" w:hAnsi="Arial" w:cs="Arial"/>
          <w:bCs/>
          <w:sz w:val="24"/>
          <w:szCs w:val="24"/>
          <w:lang w:val="en-GB"/>
        </w:rPr>
        <w:t xml:space="preserve"> billion</w:t>
      </w:r>
      <w:r w:rsidR="00782ED1">
        <w:rPr>
          <w:rFonts w:ascii="Arial" w:eastAsia="Times New Roman" w:hAnsi="Arial" w:cs="Arial"/>
          <w:bCs/>
          <w:sz w:val="24"/>
          <w:szCs w:val="24"/>
          <w:lang w:val="en-GB"/>
        </w:rPr>
        <w:t>,</w:t>
      </w:r>
      <w:r w:rsidR="00BC3103">
        <w:rPr>
          <w:rFonts w:ascii="Arial" w:eastAsia="Times New Roman" w:hAnsi="Arial" w:cs="Arial"/>
          <w:bCs/>
          <w:sz w:val="24"/>
          <w:szCs w:val="24"/>
          <w:lang w:val="en-GB"/>
        </w:rPr>
        <w:t xml:space="preserve"> which </w:t>
      </w:r>
      <w:r w:rsidR="007831B5">
        <w:rPr>
          <w:rFonts w:ascii="Arial" w:eastAsia="Times New Roman" w:hAnsi="Arial" w:cs="Arial"/>
          <w:bCs/>
          <w:sz w:val="24"/>
          <w:szCs w:val="24"/>
          <w:lang w:val="en-GB"/>
        </w:rPr>
        <w:t xml:space="preserve">it is common cause </w:t>
      </w:r>
      <w:r w:rsidR="00BC3103">
        <w:rPr>
          <w:rFonts w:ascii="Arial" w:eastAsia="Times New Roman" w:hAnsi="Arial" w:cs="Arial"/>
          <w:bCs/>
          <w:sz w:val="24"/>
          <w:szCs w:val="24"/>
          <w:lang w:val="en-GB"/>
        </w:rPr>
        <w:t xml:space="preserve">was paid to the applicant on 27 March 2015 by a </w:t>
      </w:r>
      <w:r w:rsidR="00BC3103">
        <w:rPr>
          <w:rFonts w:ascii="Arial" w:eastAsia="Times New Roman" w:hAnsi="Arial" w:cs="Arial"/>
          <w:bCs/>
          <w:sz w:val="24"/>
          <w:szCs w:val="24"/>
          <w:lang w:val="en-GB"/>
        </w:rPr>
        <w:lastRenderedPageBreak/>
        <w:t>company</w:t>
      </w:r>
      <w:r w:rsidR="00874CF5">
        <w:rPr>
          <w:rFonts w:ascii="Arial" w:eastAsia="Times New Roman" w:hAnsi="Arial" w:cs="Arial"/>
          <w:bCs/>
          <w:sz w:val="24"/>
          <w:szCs w:val="24"/>
          <w:lang w:val="en-GB"/>
        </w:rPr>
        <w:t>,</w:t>
      </w:r>
      <w:r w:rsidR="00BC3103">
        <w:rPr>
          <w:rFonts w:ascii="Arial" w:eastAsia="Times New Roman" w:hAnsi="Arial" w:cs="Arial"/>
          <w:bCs/>
          <w:sz w:val="24"/>
          <w:szCs w:val="24"/>
          <w:lang w:val="en-GB"/>
        </w:rPr>
        <w:t xml:space="preserve"> Treemo (Pty) Ltd. The understatement penalty represents 75% of the value of the </w:t>
      </w:r>
      <w:r w:rsidR="00782ED1">
        <w:rPr>
          <w:rFonts w:ascii="Arial" w:eastAsia="Times New Roman" w:hAnsi="Arial" w:cs="Arial"/>
          <w:bCs/>
          <w:sz w:val="24"/>
          <w:szCs w:val="24"/>
          <w:lang w:val="en-GB"/>
        </w:rPr>
        <w:t xml:space="preserve">dividend </w:t>
      </w:r>
      <w:r w:rsidR="00BC3103">
        <w:rPr>
          <w:rFonts w:ascii="Arial" w:eastAsia="Times New Roman" w:hAnsi="Arial" w:cs="Arial"/>
          <w:bCs/>
          <w:sz w:val="24"/>
          <w:szCs w:val="24"/>
          <w:lang w:val="en-GB"/>
        </w:rPr>
        <w:t>tax</w:t>
      </w:r>
      <w:r w:rsidR="00655C3D">
        <w:rPr>
          <w:rFonts w:ascii="Arial" w:eastAsia="Times New Roman" w:hAnsi="Arial" w:cs="Arial"/>
          <w:bCs/>
          <w:sz w:val="24"/>
          <w:szCs w:val="24"/>
          <w:lang w:val="en-GB"/>
        </w:rPr>
        <w:t xml:space="preserve"> imposed</w:t>
      </w:r>
      <w:r w:rsidR="009928A5">
        <w:rPr>
          <w:rFonts w:ascii="Arial" w:eastAsia="Times New Roman" w:hAnsi="Arial" w:cs="Arial"/>
          <w:bCs/>
          <w:sz w:val="24"/>
          <w:szCs w:val="24"/>
          <w:lang w:val="en-GB"/>
        </w:rPr>
        <w:t xml:space="preserve">. </w:t>
      </w:r>
    </w:p>
    <w:p w14:paraId="7F2D837C" w14:textId="56D71724" w:rsidR="009928A5" w:rsidRPr="00ED035A" w:rsidRDefault="009928A5" w:rsidP="009928A5">
      <w:pPr>
        <w:adjustRightInd w:val="0"/>
        <w:spacing w:after="0" w:line="360" w:lineRule="auto"/>
        <w:contextualSpacing/>
        <w:jc w:val="both"/>
        <w:textAlignment w:val="baseline"/>
        <w:rPr>
          <w:rFonts w:ascii="Arial" w:eastAsia="Calibri" w:hAnsi="Arial" w:cs="Arial"/>
          <w:b/>
          <w:sz w:val="24"/>
        </w:rPr>
      </w:pPr>
      <w:r w:rsidRPr="00ED035A">
        <w:rPr>
          <w:rFonts w:ascii="Arial" w:eastAsia="Times New Roman" w:hAnsi="Arial" w:cs="Arial"/>
          <w:b/>
          <w:sz w:val="24"/>
          <w:szCs w:val="24"/>
          <w:lang w:val="en-GB"/>
        </w:rPr>
        <w:t>The facts</w:t>
      </w:r>
    </w:p>
    <w:p w14:paraId="57DB3C84" w14:textId="10FADFA4" w:rsidR="009928A5" w:rsidRPr="00E77237"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sidRPr="00E77237">
        <w:rPr>
          <w:rFonts w:ascii="Arial" w:eastAsia="Calibri" w:hAnsi="Arial" w:cs="Arial"/>
          <w:sz w:val="24"/>
        </w:rPr>
        <w:t>3.</w:t>
      </w:r>
      <w:r w:rsidRPr="00E77237">
        <w:rPr>
          <w:rFonts w:ascii="Arial" w:eastAsia="Calibri" w:hAnsi="Arial" w:cs="Arial"/>
          <w:sz w:val="24"/>
        </w:rPr>
        <w:tab/>
      </w:r>
      <w:r w:rsidR="00701EA3" w:rsidRPr="00E77237">
        <w:rPr>
          <w:rFonts w:ascii="Arial" w:eastAsia="Times New Roman" w:hAnsi="Arial" w:cs="Arial"/>
          <w:bCs/>
          <w:sz w:val="24"/>
          <w:szCs w:val="24"/>
          <w:lang w:val="en-GB"/>
        </w:rPr>
        <w:t>The applicant is the former CEO of Pepkor</w:t>
      </w:r>
      <w:r w:rsidR="001B628C" w:rsidRPr="00E77237">
        <w:rPr>
          <w:rFonts w:ascii="Arial" w:eastAsia="Times New Roman" w:hAnsi="Arial" w:cs="Arial"/>
          <w:bCs/>
          <w:sz w:val="24"/>
          <w:szCs w:val="24"/>
          <w:lang w:val="en-GB"/>
        </w:rPr>
        <w:t xml:space="preserve"> </w:t>
      </w:r>
      <w:r w:rsidR="00FF1A28" w:rsidRPr="00E77237">
        <w:rPr>
          <w:rFonts w:ascii="Arial" w:eastAsia="Times New Roman" w:hAnsi="Arial" w:cs="Arial"/>
          <w:bCs/>
          <w:sz w:val="24"/>
          <w:szCs w:val="24"/>
          <w:lang w:val="en-GB"/>
        </w:rPr>
        <w:t xml:space="preserve">Holdings </w:t>
      </w:r>
      <w:r w:rsidR="001B628C" w:rsidRPr="00E77237">
        <w:rPr>
          <w:rFonts w:ascii="Arial" w:eastAsia="Times New Roman" w:hAnsi="Arial" w:cs="Arial"/>
          <w:bCs/>
          <w:sz w:val="24"/>
          <w:szCs w:val="24"/>
          <w:lang w:val="en-GB"/>
        </w:rPr>
        <w:t>Ltd</w:t>
      </w:r>
      <w:r w:rsidR="00782ED1" w:rsidRPr="00E77237">
        <w:rPr>
          <w:rFonts w:ascii="Arial" w:eastAsia="Times New Roman" w:hAnsi="Arial" w:cs="Arial"/>
          <w:bCs/>
          <w:sz w:val="24"/>
          <w:szCs w:val="24"/>
          <w:lang w:val="en-GB"/>
        </w:rPr>
        <w:t xml:space="preserve">, a well-known </w:t>
      </w:r>
      <w:r w:rsidR="00FF1A28" w:rsidRPr="00E77237">
        <w:rPr>
          <w:rFonts w:ascii="Arial" w:eastAsia="Times New Roman" w:hAnsi="Arial" w:cs="Arial"/>
          <w:bCs/>
          <w:sz w:val="24"/>
          <w:szCs w:val="24"/>
          <w:lang w:val="en-GB"/>
        </w:rPr>
        <w:t xml:space="preserve">South-African </w:t>
      </w:r>
      <w:r w:rsidR="00782ED1" w:rsidRPr="00E77237">
        <w:rPr>
          <w:rFonts w:ascii="Arial" w:eastAsia="Times New Roman" w:hAnsi="Arial" w:cs="Arial"/>
          <w:bCs/>
          <w:sz w:val="24"/>
          <w:szCs w:val="24"/>
          <w:lang w:val="en-GB"/>
        </w:rPr>
        <w:t>public company which was founded in 1965</w:t>
      </w:r>
      <w:r w:rsidR="009F6FB8" w:rsidRPr="00E77237">
        <w:rPr>
          <w:rFonts w:ascii="Arial" w:eastAsia="Times New Roman" w:hAnsi="Arial" w:cs="Arial"/>
          <w:bCs/>
          <w:sz w:val="24"/>
          <w:szCs w:val="24"/>
          <w:lang w:val="en-GB"/>
        </w:rPr>
        <w:t>,</w:t>
      </w:r>
      <w:r w:rsidR="009E0EA1" w:rsidRPr="00E77237">
        <w:rPr>
          <w:rFonts w:ascii="Arial" w:eastAsia="Times New Roman" w:hAnsi="Arial" w:cs="Arial"/>
          <w:bCs/>
          <w:sz w:val="24"/>
          <w:szCs w:val="24"/>
          <w:lang w:val="en-GB"/>
        </w:rPr>
        <w:t xml:space="preserve"> which </w:t>
      </w:r>
      <w:r w:rsidR="002A5895" w:rsidRPr="00E77237">
        <w:rPr>
          <w:rFonts w:ascii="Arial" w:eastAsia="Times New Roman" w:hAnsi="Arial" w:cs="Arial"/>
          <w:bCs/>
          <w:sz w:val="24"/>
          <w:szCs w:val="24"/>
          <w:lang w:val="en-GB"/>
        </w:rPr>
        <w:t>operates</w:t>
      </w:r>
      <w:r w:rsidR="00782ED1" w:rsidRPr="00E77237">
        <w:rPr>
          <w:rFonts w:ascii="Arial" w:eastAsia="Times New Roman" w:hAnsi="Arial" w:cs="Arial"/>
          <w:bCs/>
          <w:sz w:val="24"/>
          <w:szCs w:val="24"/>
          <w:lang w:val="en-GB"/>
        </w:rPr>
        <w:t xml:space="preserve"> a portfolio of retail chains in </w:t>
      </w:r>
      <w:r w:rsidR="009E0EA1" w:rsidRPr="00E77237">
        <w:rPr>
          <w:rFonts w:ascii="Arial" w:eastAsia="Times New Roman" w:hAnsi="Arial" w:cs="Arial"/>
          <w:bCs/>
          <w:sz w:val="24"/>
          <w:szCs w:val="24"/>
          <w:lang w:val="en-GB"/>
        </w:rPr>
        <w:t xml:space="preserve">SA and other </w:t>
      </w:r>
      <w:r w:rsidR="00782ED1" w:rsidRPr="00E77237">
        <w:rPr>
          <w:rFonts w:ascii="Arial" w:eastAsia="Times New Roman" w:hAnsi="Arial" w:cs="Arial"/>
          <w:bCs/>
          <w:sz w:val="24"/>
          <w:szCs w:val="24"/>
          <w:lang w:val="en-GB"/>
        </w:rPr>
        <w:t>countries</w:t>
      </w:r>
      <w:r w:rsidR="00701EA3" w:rsidRPr="00E77237">
        <w:rPr>
          <w:rFonts w:ascii="Arial" w:eastAsia="Times New Roman" w:hAnsi="Arial" w:cs="Arial"/>
          <w:bCs/>
          <w:sz w:val="24"/>
          <w:szCs w:val="24"/>
          <w:lang w:val="en-GB"/>
        </w:rPr>
        <w:t>.</w:t>
      </w:r>
      <w:r w:rsidR="00782ED1" w:rsidRPr="00E77237">
        <w:rPr>
          <w:rFonts w:ascii="Arial" w:eastAsia="Times New Roman" w:hAnsi="Arial" w:cs="Arial"/>
          <w:bCs/>
          <w:sz w:val="24"/>
          <w:szCs w:val="24"/>
          <w:lang w:val="en-GB"/>
        </w:rPr>
        <w:t xml:space="preserve"> </w:t>
      </w:r>
      <w:r w:rsidR="00701EA3" w:rsidRPr="00E77237">
        <w:rPr>
          <w:rFonts w:ascii="Arial" w:eastAsia="Times New Roman" w:hAnsi="Arial" w:cs="Arial"/>
          <w:bCs/>
          <w:sz w:val="24"/>
          <w:szCs w:val="24"/>
          <w:lang w:val="en-GB"/>
        </w:rPr>
        <w:t>At one time or other</w:t>
      </w:r>
      <w:r w:rsidR="00485266" w:rsidRPr="00E77237">
        <w:rPr>
          <w:rFonts w:ascii="Arial" w:eastAsia="Times New Roman" w:hAnsi="Arial" w:cs="Arial"/>
          <w:bCs/>
          <w:sz w:val="24"/>
          <w:szCs w:val="24"/>
          <w:lang w:val="en-GB"/>
        </w:rPr>
        <w:t>,</w:t>
      </w:r>
      <w:r w:rsidR="009E0EA1" w:rsidRPr="00E77237">
        <w:rPr>
          <w:rFonts w:ascii="Arial" w:eastAsia="Times New Roman" w:hAnsi="Arial" w:cs="Arial"/>
          <w:bCs/>
          <w:sz w:val="24"/>
          <w:szCs w:val="24"/>
          <w:lang w:val="en-GB"/>
        </w:rPr>
        <w:t xml:space="preserve"> relevant to these proceedings</w:t>
      </w:r>
      <w:r w:rsidR="00485266" w:rsidRPr="00E77237">
        <w:rPr>
          <w:rFonts w:ascii="Arial" w:eastAsia="Times New Roman" w:hAnsi="Arial" w:cs="Arial"/>
          <w:bCs/>
          <w:sz w:val="24"/>
          <w:szCs w:val="24"/>
          <w:lang w:val="en-GB"/>
        </w:rPr>
        <w:t>,</w:t>
      </w:r>
      <w:r w:rsidR="00701EA3" w:rsidRPr="00E77237">
        <w:rPr>
          <w:rFonts w:ascii="Arial" w:eastAsia="Times New Roman" w:hAnsi="Arial" w:cs="Arial"/>
          <w:bCs/>
          <w:sz w:val="24"/>
          <w:szCs w:val="24"/>
          <w:lang w:val="en-GB"/>
        </w:rPr>
        <w:t xml:space="preserve"> </w:t>
      </w:r>
      <w:r w:rsidR="001F379E">
        <w:rPr>
          <w:rFonts w:ascii="Arial" w:eastAsia="Times New Roman" w:hAnsi="Arial" w:cs="Arial"/>
          <w:bCs/>
          <w:sz w:val="24"/>
          <w:szCs w:val="24"/>
          <w:lang w:val="en-GB"/>
        </w:rPr>
        <w:t>he</w:t>
      </w:r>
      <w:r w:rsidR="00701EA3" w:rsidRPr="00E77237">
        <w:rPr>
          <w:rFonts w:ascii="Arial" w:eastAsia="Times New Roman" w:hAnsi="Arial" w:cs="Arial"/>
          <w:bCs/>
          <w:sz w:val="24"/>
          <w:szCs w:val="24"/>
          <w:lang w:val="en-GB"/>
        </w:rPr>
        <w:t xml:space="preserve"> </w:t>
      </w:r>
      <w:r w:rsidR="009E0EA1" w:rsidRPr="00E77237">
        <w:rPr>
          <w:rFonts w:ascii="Arial" w:eastAsia="Times New Roman" w:hAnsi="Arial" w:cs="Arial"/>
          <w:bCs/>
          <w:sz w:val="24"/>
          <w:szCs w:val="24"/>
          <w:lang w:val="en-GB"/>
        </w:rPr>
        <w:t xml:space="preserve">was </w:t>
      </w:r>
      <w:r w:rsidR="00701EA3" w:rsidRPr="00E77237">
        <w:rPr>
          <w:rFonts w:ascii="Arial" w:eastAsia="Times New Roman" w:hAnsi="Arial" w:cs="Arial"/>
          <w:bCs/>
          <w:sz w:val="24"/>
          <w:szCs w:val="24"/>
          <w:lang w:val="en-GB"/>
        </w:rPr>
        <w:t xml:space="preserve">a director and shareholder of </w:t>
      </w:r>
      <w:r w:rsidR="00327EF5" w:rsidRPr="00E77237">
        <w:rPr>
          <w:rFonts w:ascii="Arial" w:eastAsia="Times New Roman" w:hAnsi="Arial" w:cs="Arial"/>
          <w:bCs/>
          <w:sz w:val="24"/>
          <w:szCs w:val="24"/>
          <w:lang w:val="en-GB"/>
        </w:rPr>
        <w:t>the company</w:t>
      </w:r>
      <w:r w:rsidR="00701EA3" w:rsidRPr="00E77237">
        <w:rPr>
          <w:rFonts w:ascii="Arial" w:eastAsia="Times New Roman" w:hAnsi="Arial" w:cs="Arial"/>
          <w:bCs/>
          <w:sz w:val="24"/>
          <w:szCs w:val="24"/>
          <w:lang w:val="en-GB"/>
        </w:rPr>
        <w:t xml:space="preserve"> and numerous other companies, including Klee Investments (Pty) Ltd, Newshelf 103 (Pty) Ltd and Treemo (Pty) Ltd</w:t>
      </w:r>
      <w:r w:rsidR="009E0EA1" w:rsidRPr="00E77237">
        <w:rPr>
          <w:rFonts w:ascii="Arial" w:eastAsia="Times New Roman" w:hAnsi="Arial" w:cs="Arial"/>
          <w:bCs/>
          <w:sz w:val="24"/>
          <w:szCs w:val="24"/>
          <w:lang w:val="en-GB"/>
        </w:rPr>
        <w:t>,</w:t>
      </w:r>
      <w:r w:rsidR="00701EA3" w:rsidRPr="00E77237">
        <w:rPr>
          <w:rFonts w:ascii="Arial" w:eastAsia="Times New Roman" w:hAnsi="Arial" w:cs="Arial"/>
          <w:bCs/>
          <w:sz w:val="24"/>
          <w:szCs w:val="24"/>
          <w:lang w:val="en-GB"/>
        </w:rPr>
        <w:t xml:space="preserve"> and a beneficiary of the PJ Erasmus Family Trust, which in 2015 changed its name to the Black River View Trust (‘the Trust’)</w:t>
      </w:r>
      <w:r w:rsidR="00AA4239" w:rsidRPr="00E77237">
        <w:rPr>
          <w:rFonts w:ascii="Arial" w:eastAsia="Times New Roman" w:hAnsi="Arial" w:cs="Arial"/>
          <w:bCs/>
          <w:sz w:val="24"/>
          <w:szCs w:val="24"/>
          <w:lang w:val="en-GB"/>
        </w:rPr>
        <w:t>, and the Trust in turn was also a shareholder in Treemo</w:t>
      </w:r>
      <w:r w:rsidR="00701EA3" w:rsidRPr="00E77237">
        <w:rPr>
          <w:rFonts w:ascii="Arial" w:eastAsia="Times New Roman" w:hAnsi="Arial" w:cs="Arial"/>
          <w:bCs/>
          <w:sz w:val="24"/>
          <w:szCs w:val="24"/>
          <w:lang w:val="en-GB"/>
        </w:rPr>
        <w:t>.</w:t>
      </w:r>
    </w:p>
    <w:p w14:paraId="4E8E059F" w14:textId="5A2678F3" w:rsidR="00701EA3"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4.</w:t>
      </w:r>
      <w:r>
        <w:rPr>
          <w:rFonts w:ascii="Arial" w:eastAsia="Calibri" w:hAnsi="Arial" w:cs="Arial"/>
          <w:sz w:val="24"/>
        </w:rPr>
        <w:tab/>
      </w:r>
      <w:r w:rsidR="00101D86">
        <w:rPr>
          <w:rFonts w:ascii="Arial" w:eastAsia="Calibri" w:hAnsi="Arial" w:cs="Arial"/>
          <w:sz w:val="24"/>
        </w:rPr>
        <w:t>O</w:t>
      </w:r>
      <w:r w:rsidR="00701EA3">
        <w:rPr>
          <w:rFonts w:ascii="Arial" w:eastAsia="Calibri" w:hAnsi="Arial" w:cs="Arial"/>
          <w:sz w:val="24"/>
        </w:rPr>
        <w:t xml:space="preserve">n 25 March 2015 Treemo’s directors approved a </w:t>
      </w:r>
      <w:r w:rsidR="008513BB">
        <w:rPr>
          <w:rFonts w:ascii="Arial" w:eastAsia="Calibri" w:hAnsi="Arial" w:cs="Arial"/>
          <w:sz w:val="24"/>
        </w:rPr>
        <w:t>‘</w:t>
      </w:r>
      <w:r w:rsidR="00701EA3">
        <w:rPr>
          <w:rFonts w:ascii="Arial" w:eastAsia="Calibri" w:hAnsi="Arial" w:cs="Arial"/>
          <w:sz w:val="24"/>
        </w:rPr>
        <w:t>capital</w:t>
      </w:r>
      <w:r w:rsidR="008513BB">
        <w:rPr>
          <w:rFonts w:ascii="Arial" w:eastAsia="Calibri" w:hAnsi="Arial" w:cs="Arial"/>
          <w:sz w:val="24"/>
        </w:rPr>
        <w:t>’</w:t>
      </w:r>
      <w:r w:rsidR="00701EA3">
        <w:rPr>
          <w:rFonts w:ascii="Arial" w:eastAsia="Calibri" w:hAnsi="Arial" w:cs="Arial"/>
          <w:sz w:val="24"/>
        </w:rPr>
        <w:t xml:space="preserve"> distribution to the applicant of R</w:t>
      </w:r>
      <w:r w:rsidR="004A2BEB">
        <w:rPr>
          <w:rFonts w:ascii="Arial" w:eastAsia="Calibri" w:hAnsi="Arial" w:cs="Arial"/>
          <w:sz w:val="24"/>
        </w:rPr>
        <w:t xml:space="preserve"> </w:t>
      </w:r>
      <w:r w:rsidR="00701EA3">
        <w:rPr>
          <w:rFonts w:ascii="Arial" w:eastAsia="Calibri" w:hAnsi="Arial" w:cs="Arial"/>
          <w:sz w:val="24"/>
        </w:rPr>
        <w:t>16</w:t>
      </w:r>
      <w:r w:rsidR="009E0EA1">
        <w:rPr>
          <w:rFonts w:ascii="Arial" w:eastAsia="Calibri" w:hAnsi="Arial" w:cs="Arial"/>
          <w:sz w:val="24"/>
        </w:rPr>
        <w:t xml:space="preserve">7 696 542 </w:t>
      </w:r>
      <w:r w:rsidR="00701EA3">
        <w:rPr>
          <w:rFonts w:ascii="Arial" w:eastAsia="Calibri" w:hAnsi="Arial" w:cs="Arial"/>
          <w:sz w:val="24"/>
        </w:rPr>
        <w:t>and cash distributions of R</w:t>
      </w:r>
      <w:r w:rsidR="004A2BEB">
        <w:rPr>
          <w:rFonts w:ascii="Arial" w:eastAsia="Calibri" w:hAnsi="Arial" w:cs="Arial"/>
          <w:sz w:val="24"/>
        </w:rPr>
        <w:t xml:space="preserve"> </w:t>
      </w:r>
      <w:r w:rsidR="00701EA3">
        <w:rPr>
          <w:rFonts w:ascii="Arial" w:eastAsia="Calibri" w:hAnsi="Arial" w:cs="Arial"/>
          <w:sz w:val="24"/>
        </w:rPr>
        <w:t>1</w:t>
      </w:r>
      <w:r w:rsidR="009E0EA1">
        <w:rPr>
          <w:rFonts w:ascii="Arial" w:eastAsia="Calibri" w:hAnsi="Arial" w:cs="Arial"/>
          <w:sz w:val="24"/>
        </w:rPr>
        <w:t xml:space="preserve"> </w:t>
      </w:r>
      <w:r w:rsidR="00701EA3">
        <w:rPr>
          <w:rFonts w:ascii="Arial" w:eastAsia="Calibri" w:hAnsi="Arial" w:cs="Arial"/>
          <w:sz w:val="24"/>
        </w:rPr>
        <w:t>222</w:t>
      </w:r>
      <w:r w:rsidR="009E0EA1">
        <w:rPr>
          <w:rFonts w:ascii="Arial" w:eastAsia="Calibri" w:hAnsi="Arial" w:cs="Arial"/>
          <w:sz w:val="24"/>
        </w:rPr>
        <w:t xml:space="preserve"> </w:t>
      </w:r>
      <w:r w:rsidR="00701EA3">
        <w:rPr>
          <w:rFonts w:ascii="Arial" w:eastAsia="Calibri" w:hAnsi="Arial" w:cs="Arial"/>
          <w:sz w:val="24"/>
        </w:rPr>
        <w:t>303</w:t>
      </w:r>
      <w:r w:rsidR="009E0EA1">
        <w:rPr>
          <w:rFonts w:ascii="Arial" w:eastAsia="Calibri" w:hAnsi="Arial" w:cs="Arial"/>
          <w:sz w:val="24"/>
        </w:rPr>
        <w:t xml:space="preserve"> </w:t>
      </w:r>
      <w:r w:rsidR="00701EA3">
        <w:rPr>
          <w:rFonts w:ascii="Arial" w:eastAsia="Calibri" w:hAnsi="Arial" w:cs="Arial"/>
          <w:sz w:val="24"/>
        </w:rPr>
        <w:t xml:space="preserve">458 </w:t>
      </w:r>
      <w:r w:rsidR="00E44B9E">
        <w:rPr>
          <w:rFonts w:ascii="Arial" w:eastAsia="Calibri" w:hAnsi="Arial" w:cs="Arial"/>
          <w:sz w:val="24"/>
        </w:rPr>
        <w:t xml:space="preserve">(R1.22 billion odd) </w:t>
      </w:r>
      <w:r w:rsidR="00485266">
        <w:rPr>
          <w:rFonts w:ascii="Arial" w:eastAsia="Calibri" w:hAnsi="Arial" w:cs="Arial"/>
          <w:sz w:val="24"/>
        </w:rPr>
        <w:t>and</w:t>
      </w:r>
      <w:r w:rsidR="00701EA3">
        <w:rPr>
          <w:rFonts w:ascii="Arial" w:eastAsia="Calibri" w:hAnsi="Arial" w:cs="Arial"/>
          <w:sz w:val="24"/>
        </w:rPr>
        <w:t xml:space="preserve"> R</w:t>
      </w:r>
      <w:r w:rsidR="004A2BEB">
        <w:rPr>
          <w:rFonts w:ascii="Arial" w:eastAsia="Calibri" w:hAnsi="Arial" w:cs="Arial"/>
          <w:sz w:val="24"/>
        </w:rPr>
        <w:t xml:space="preserve"> </w:t>
      </w:r>
      <w:r w:rsidR="00701EA3">
        <w:rPr>
          <w:rFonts w:ascii="Arial" w:eastAsia="Calibri" w:hAnsi="Arial" w:cs="Arial"/>
          <w:sz w:val="24"/>
        </w:rPr>
        <w:t>1</w:t>
      </w:r>
      <w:r w:rsidR="009E0EA1">
        <w:rPr>
          <w:rFonts w:ascii="Arial" w:eastAsia="Calibri" w:hAnsi="Arial" w:cs="Arial"/>
          <w:sz w:val="24"/>
        </w:rPr>
        <w:t xml:space="preserve"> </w:t>
      </w:r>
      <w:r w:rsidR="00701EA3">
        <w:rPr>
          <w:rFonts w:ascii="Arial" w:eastAsia="Calibri" w:hAnsi="Arial" w:cs="Arial"/>
          <w:sz w:val="24"/>
        </w:rPr>
        <w:t>276</w:t>
      </w:r>
      <w:r w:rsidR="009E0EA1">
        <w:rPr>
          <w:rFonts w:ascii="Arial" w:eastAsia="Calibri" w:hAnsi="Arial" w:cs="Arial"/>
          <w:sz w:val="24"/>
        </w:rPr>
        <w:t xml:space="preserve"> </w:t>
      </w:r>
      <w:r w:rsidR="00701EA3">
        <w:rPr>
          <w:rFonts w:ascii="Arial" w:eastAsia="Calibri" w:hAnsi="Arial" w:cs="Arial"/>
          <w:sz w:val="24"/>
        </w:rPr>
        <w:t>400. In addition</w:t>
      </w:r>
      <w:r w:rsidR="009E0EA1">
        <w:rPr>
          <w:rFonts w:ascii="Arial" w:eastAsia="Calibri" w:hAnsi="Arial" w:cs="Arial"/>
          <w:sz w:val="24"/>
        </w:rPr>
        <w:t>,</w:t>
      </w:r>
      <w:r w:rsidR="00701EA3">
        <w:rPr>
          <w:rFonts w:ascii="Arial" w:eastAsia="Calibri" w:hAnsi="Arial" w:cs="Arial"/>
          <w:sz w:val="24"/>
        </w:rPr>
        <w:t xml:space="preserve"> approv</w:t>
      </w:r>
      <w:r w:rsidR="009E0EA1">
        <w:rPr>
          <w:rFonts w:ascii="Arial" w:eastAsia="Calibri" w:hAnsi="Arial" w:cs="Arial"/>
          <w:sz w:val="24"/>
        </w:rPr>
        <w:t>al was</w:t>
      </w:r>
      <w:r w:rsidR="00701EA3">
        <w:rPr>
          <w:rFonts w:ascii="Arial" w:eastAsia="Calibri" w:hAnsi="Arial" w:cs="Arial"/>
          <w:sz w:val="24"/>
        </w:rPr>
        <w:t xml:space="preserve"> grant</w:t>
      </w:r>
      <w:r w:rsidR="009E0EA1">
        <w:rPr>
          <w:rFonts w:ascii="Arial" w:eastAsia="Calibri" w:hAnsi="Arial" w:cs="Arial"/>
          <w:sz w:val="24"/>
        </w:rPr>
        <w:t>ed</w:t>
      </w:r>
      <w:r w:rsidR="00701EA3">
        <w:rPr>
          <w:rFonts w:ascii="Arial" w:eastAsia="Calibri" w:hAnsi="Arial" w:cs="Arial"/>
          <w:sz w:val="24"/>
        </w:rPr>
        <w:t xml:space="preserve"> </w:t>
      </w:r>
      <w:r w:rsidR="009E0EA1">
        <w:rPr>
          <w:rFonts w:ascii="Arial" w:eastAsia="Calibri" w:hAnsi="Arial" w:cs="Arial"/>
          <w:sz w:val="24"/>
        </w:rPr>
        <w:t>for the payment of</w:t>
      </w:r>
      <w:r w:rsidR="00701EA3">
        <w:rPr>
          <w:rFonts w:ascii="Arial" w:eastAsia="Calibri" w:hAnsi="Arial" w:cs="Arial"/>
          <w:sz w:val="24"/>
        </w:rPr>
        <w:t xml:space="preserve"> a cash distribution to the Trust of R</w:t>
      </w:r>
      <w:r w:rsidR="004A2BEB">
        <w:rPr>
          <w:rFonts w:ascii="Arial" w:eastAsia="Calibri" w:hAnsi="Arial" w:cs="Arial"/>
          <w:sz w:val="24"/>
        </w:rPr>
        <w:t xml:space="preserve"> </w:t>
      </w:r>
      <w:r w:rsidR="00701EA3">
        <w:rPr>
          <w:rFonts w:ascii="Arial" w:eastAsia="Calibri" w:hAnsi="Arial" w:cs="Arial"/>
          <w:sz w:val="24"/>
        </w:rPr>
        <w:t>8</w:t>
      </w:r>
      <w:r w:rsidR="009E0EA1">
        <w:rPr>
          <w:rFonts w:ascii="Arial" w:eastAsia="Calibri" w:hAnsi="Arial" w:cs="Arial"/>
          <w:sz w:val="24"/>
        </w:rPr>
        <w:t xml:space="preserve"> 723 600</w:t>
      </w:r>
      <w:r w:rsidR="00701EA3">
        <w:rPr>
          <w:rFonts w:ascii="Arial" w:eastAsia="Calibri" w:hAnsi="Arial" w:cs="Arial"/>
          <w:sz w:val="24"/>
        </w:rPr>
        <w:t>. These distributions were paid out 2 days later, on 27 March 2015.</w:t>
      </w:r>
    </w:p>
    <w:p w14:paraId="208E666F" w14:textId="5B0B436C" w:rsidR="00B53E4C"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5.</w:t>
      </w:r>
      <w:r>
        <w:rPr>
          <w:rFonts w:ascii="Arial" w:eastAsia="Calibri" w:hAnsi="Arial" w:cs="Arial"/>
          <w:sz w:val="24"/>
        </w:rPr>
        <w:tab/>
      </w:r>
      <w:r w:rsidR="000361E5">
        <w:rPr>
          <w:rFonts w:ascii="Arial" w:eastAsia="Calibri" w:hAnsi="Arial" w:cs="Arial"/>
          <w:sz w:val="24"/>
        </w:rPr>
        <w:t>As</w:t>
      </w:r>
      <w:r w:rsidR="007831B5">
        <w:rPr>
          <w:rFonts w:ascii="Arial" w:eastAsia="Calibri" w:hAnsi="Arial" w:cs="Arial"/>
          <w:sz w:val="24"/>
        </w:rPr>
        <w:t xml:space="preserve"> shareholders of Treemo t</w:t>
      </w:r>
      <w:r w:rsidR="009E0EA1">
        <w:rPr>
          <w:rFonts w:ascii="Arial" w:eastAsia="Calibri" w:hAnsi="Arial" w:cs="Arial"/>
          <w:sz w:val="24"/>
        </w:rPr>
        <w:t xml:space="preserve">he </w:t>
      </w:r>
      <w:r w:rsidR="008513BB">
        <w:rPr>
          <w:rFonts w:ascii="Arial" w:eastAsia="Calibri" w:hAnsi="Arial" w:cs="Arial"/>
          <w:sz w:val="24"/>
        </w:rPr>
        <w:t xml:space="preserve">cash </w:t>
      </w:r>
      <w:r w:rsidR="009E0EA1">
        <w:rPr>
          <w:rFonts w:ascii="Arial" w:eastAsia="Calibri" w:hAnsi="Arial" w:cs="Arial"/>
          <w:sz w:val="24"/>
        </w:rPr>
        <w:t xml:space="preserve">distributions constituted </w:t>
      </w:r>
      <w:r w:rsidR="00AB066A">
        <w:rPr>
          <w:rFonts w:ascii="Arial" w:eastAsia="Calibri" w:hAnsi="Arial" w:cs="Arial"/>
          <w:sz w:val="24"/>
        </w:rPr>
        <w:t xml:space="preserve">the payment of </w:t>
      </w:r>
      <w:r w:rsidR="009E0EA1">
        <w:rPr>
          <w:rFonts w:ascii="Arial" w:eastAsia="Calibri" w:hAnsi="Arial" w:cs="Arial"/>
          <w:sz w:val="24"/>
        </w:rPr>
        <w:t>dividends</w:t>
      </w:r>
      <w:r w:rsidR="00C33753">
        <w:rPr>
          <w:rFonts w:ascii="Arial" w:eastAsia="Calibri" w:hAnsi="Arial" w:cs="Arial"/>
          <w:sz w:val="24"/>
        </w:rPr>
        <w:t xml:space="preserve"> </w:t>
      </w:r>
      <w:r w:rsidR="00AB066A">
        <w:rPr>
          <w:rFonts w:ascii="Arial" w:eastAsia="Calibri" w:hAnsi="Arial" w:cs="Arial"/>
          <w:sz w:val="24"/>
        </w:rPr>
        <w:t>to the applicant and the Trust</w:t>
      </w:r>
      <w:r w:rsidR="00655C3D">
        <w:rPr>
          <w:rFonts w:ascii="Arial" w:eastAsia="Calibri" w:hAnsi="Arial" w:cs="Arial"/>
          <w:sz w:val="24"/>
        </w:rPr>
        <w:t xml:space="preserve">, </w:t>
      </w:r>
      <w:r w:rsidR="00C33753">
        <w:rPr>
          <w:rFonts w:ascii="Arial" w:eastAsia="Calibri" w:hAnsi="Arial" w:cs="Arial"/>
          <w:sz w:val="24"/>
        </w:rPr>
        <w:t xml:space="preserve">and in the ordinary course would </w:t>
      </w:r>
      <w:r w:rsidR="00AB066A">
        <w:rPr>
          <w:rFonts w:ascii="Arial" w:eastAsia="Calibri" w:hAnsi="Arial" w:cs="Arial"/>
          <w:sz w:val="24"/>
        </w:rPr>
        <w:t xml:space="preserve">accordingly </w:t>
      </w:r>
      <w:r w:rsidR="00C33753">
        <w:rPr>
          <w:rFonts w:ascii="Arial" w:eastAsia="Calibri" w:hAnsi="Arial" w:cs="Arial"/>
          <w:sz w:val="24"/>
        </w:rPr>
        <w:t xml:space="preserve">have been subject to dividend tax at the rate of 15%. But no such tax was levied or paid, because at the time Treemo had so-called STC i.e </w:t>
      </w:r>
      <w:r w:rsidR="00CD07A1">
        <w:rPr>
          <w:rFonts w:ascii="Arial" w:eastAsia="Calibri" w:hAnsi="Arial" w:cs="Arial"/>
          <w:sz w:val="24"/>
        </w:rPr>
        <w:t>‘</w:t>
      </w:r>
      <w:r w:rsidR="003B32D4">
        <w:rPr>
          <w:rFonts w:ascii="Arial" w:eastAsia="Calibri" w:hAnsi="Arial" w:cs="Arial"/>
          <w:sz w:val="24"/>
        </w:rPr>
        <w:t>S</w:t>
      </w:r>
      <w:r w:rsidR="00C33753">
        <w:rPr>
          <w:rFonts w:ascii="Arial" w:eastAsia="Calibri" w:hAnsi="Arial" w:cs="Arial"/>
          <w:sz w:val="24"/>
        </w:rPr>
        <w:t xml:space="preserve">econdary </w:t>
      </w:r>
      <w:r w:rsidR="003B32D4">
        <w:rPr>
          <w:rFonts w:ascii="Arial" w:eastAsia="Calibri" w:hAnsi="Arial" w:cs="Arial"/>
          <w:sz w:val="24"/>
        </w:rPr>
        <w:t>T</w:t>
      </w:r>
      <w:r w:rsidR="00C33753">
        <w:rPr>
          <w:rFonts w:ascii="Arial" w:eastAsia="Calibri" w:hAnsi="Arial" w:cs="Arial"/>
          <w:sz w:val="24"/>
        </w:rPr>
        <w:t xml:space="preserve">ax on </w:t>
      </w:r>
      <w:r w:rsidR="003B32D4">
        <w:rPr>
          <w:rFonts w:ascii="Arial" w:eastAsia="Calibri" w:hAnsi="Arial" w:cs="Arial"/>
          <w:sz w:val="24"/>
        </w:rPr>
        <w:t>C</w:t>
      </w:r>
      <w:r w:rsidR="00C33753">
        <w:rPr>
          <w:rFonts w:ascii="Arial" w:eastAsia="Calibri" w:hAnsi="Arial" w:cs="Arial"/>
          <w:sz w:val="24"/>
        </w:rPr>
        <w:t>ompanies</w:t>
      </w:r>
      <w:r w:rsidR="00CD07A1">
        <w:rPr>
          <w:rFonts w:ascii="Arial" w:eastAsia="Calibri" w:hAnsi="Arial" w:cs="Arial"/>
          <w:sz w:val="24"/>
        </w:rPr>
        <w:t>’</w:t>
      </w:r>
      <w:r w:rsidR="00C33753">
        <w:rPr>
          <w:rFonts w:ascii="Arial" w:eastAsia="Calibri" w:hAnsi="Arial" w:cs="Arial"/>
          <w:sz w:val="24"/>
        </w:rPr>
        <w:t xml:space="preserve"> credits which in value exceeded a billion rand, and these were </w:t>
      </w:r>
      <w:r w:rsidR="00FB3DDA">
        <w:rPr>
          <w:rFonts w:ascii="Arial" w:eastAsia="Calibri" w:hAnsi="Arial" w:cs="Arial"/>
          <w:sz w:val="24"/>
        </w:rPr>
        <w:t>set</w:t>
      </w:r>
      <w:r w:rsidR="00C33753">
        <w:rPr>
          <w:rFonts w:ascii="Arial" w:eastAsia="Calibri" w:hAnsi="Arial" w:cs="Arial"/>
          <w:sz w:val="24"/>
        </w:rPr>
        <w:t xml:space="preserve"> </w:t>
      </w:r>
      <w:r w:rsidR="007831B5">
        <w:rPr>
          <w:rFonts w:ascii="Arial" w:eastAsia="Calibri" w:hAnsi="Arial" w:cs="Arial"/>
          <w:sz w:val="24"/>
        </w:rPr>
        <w:t xml:space="preserve">off </w:t>
      </w:r>
      <w:r w:rsidR="00C33753">
        <w:rPr>
          <w:rFonts w:ascii="Arial" w:eastAsia="Calibri" w:hAnsi="Arial" w:cs="Arial"/>
          <w:sz w:val="24"/>
        </w:rPr>
        <w:t xml:space="preserve">against the value of the distributions. </w:t>
      </w:r>
    </w:p>
    <w:p w14:paraId="37EC5614" w14:textId="0DD5B847" w:rsidR="009E0EA1"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6.</w:t>
      </w:r>
      <w:r>
        <w:rPr>
          <w:rFonts w:ascii="Arial" w:eastAsia="Calibri" w:hAnsi="Arial" w:cs="Arial"/>
          <w:sz w:val="24"/>
        </w:rPr>
        <w:tab/>
      </w:r>
      <w:r w:rsidR="00145662">
        <w:rPr>
          <w:rFonts w:ascii="Arial" w:eastAsia="Calibri" w:hAnsi="Arial" w:cs="Arial"/>
          <w:sz w:val="24"/>
        </w:rPr>
        <w:t>P</w:t>
      </w:r>
      <w:r w:rsidR="00C33753">
        <w:rPr>
          <w:rFonts w:ascii="Arial" w:eastAsia="Calibri" w:hAnsi="Arial" w:cs="Arial"/>
          <w:sz w:val="24"/>
        </w:rPr>
        <w:t>rior to 2012 resident companies that paid dividends in SA were subject to a secondary</w:t>
      </w:r>
      <w:r w:rsidR="009F6FB8">
        <w:rPr>
          <w:rFonts w:ascii="Arial" w:eastAsia="Calibri" w:hAnsi="Arial" w:cs="Arial"/>
          <w:sz w:val="24"/>
        </w:rPr>
        <w:t>, dividend</w:t>
      </w:r>
      <w:r w:rsidR="00C33753">
        <w:rPr>
          <w:rFonts w:ascii="Arial" w:eastAsia="Calibri" w:hAnsi="Arial" w:cs="Arial"/>
          <w:sz w:val="24"/>
        </w:rPr>
        <w:t xml:space="preserve"> tax at a flat rate of 10%. </w:t>
      </w:r>
      <w:r w:rsidR="009F6FB8">
        <w:rPr>
          <w:rFonts w:ascii="Arial" w:eastAsia="Calibri" w:hAnsi="Arial" w:cs="Arial"/>
          <w:sz w:val="24"/>
        </w:rPr>
        <w:t>An amendment to the Act</w:t>
      </w:r>
      <w:r w:rsidR="009F6FB8">
        <w:rPr>
          <w:rStyle w:val="FootnoteReference"/>
          <w:rFonts w:ascii="Arial" w:eastAsia="Calibri" w:hAnsi="Arial" w:cs="Arial"/>
          <w:sz w:val="24"/>
        </w:rPr>
        <w:footnoteReference w:id="2"/>
      </w:r>
      <w:r w:rsidR="009F6FB8">
        <w:rPr>
          <w:rFonts w:ascii="Arial" w:eastAsia="Calibri" w:hAnsi="Arial" w:cs="Arial"/>
          <w:sz w:val="24"/>
        </w:rPr>
        <w:t xml:space="preserve"> in 2012 </w:t>
      </w:r>
      <w:r w:rsidR="00B36988">
        <w:rPr>
          <w:rFonts w:ascii="Arial" w:eastAsia="Calibri" w:hAnsi="Arial" w:cs="Arial"/>
          <w:sz w:val="24"/>
        </w:rPr>
        <w:t xml:space="preserve">whereby the tax payable on dividends was increased to 15%, </w:t>
      </w:r>
      <w:r w:rsidR="009F6FB8">
        <w:rPr>
          <w:rFonts w:ascii="Arial" w:eastAsia="Calibri" w:hAnsi="Arial" w:cs="Arial"/>
          <w:sz w:val="24"/>
        </w:rPr>
        <w:t xml:space="preserve">allowed companies with STC credits to carry them over for a period of 3 years, until 31 March 2015. Thus, the STC credits which were held by Treemo were used days before they were due to expire.  </w:t>
      </w:r>
      <w:r w:rsidR="00C33753">
        <w:rPr>
          <w:rFonts w:ascii="Arial" w:eastAsia="Calibri" w:hAnsi="Arial" w:cs="Arial"/>
          <w:sz w:val="24"/>
        </w:rPr>
        <w:t xml:space="preserve">     </w:t>
      </w:r>
    </w:p>
    <w:p w14:paraId="02929E01" w14:textId="2ABF7419" w:rsidR="00701EA3"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7.</w:t>
      </w:r>
      <w:r>
        <w:rPr>
          <w:rFonts w:ascii="Arial" w:eastAsia="Calibri" w:hAnsi="Arial" w:cs="Arial"/>
          <w:sz w:val="24"/>
        </w:rPr>
        <w:tab/>
      </w:r>
      <w:r w:rsidR="00101D86">
        <w:rPr>
          <w:rFonts w:ascii="Arial" w:eastAsia="Calibri" w:hAnsi="Arial" w:cs="Arial"/>
          <w:sz w:val="24"/>
        </w:rPr>
        <w:t>Some 4</w:t>
      </w:r>
      <w:r w:rsidR="00701EA3">
        <w:rPr>
          <w:rFonts w:ascii="Arial" w:eastAsia="Calibri" w:hAnsi="Arial" w:cs="Arial"/>
          <w:sz w:val="24"/>
        </w:rPr>
        <w:t xml:space="preserve"> years later, on 20 March 2019, the applicant was requested to provide the Commissioner with a detailed explanation and documentation pertaining to </w:t>
      </w:r>
      <w:r w:rsidR="00715F00">
        <w:rPr>
          <w:rFonts w:ascii="Arial" w:eastAsia="Calibri" w:hAnsi="Arial" w:cs="Arial"/>
          <w:sz w:val="24"/>
        </w:rPr>
        <w:t xml:space="preserve">the </w:t>
      </w:r>
      <w:r w:rsidR="00AB066A">
        <w:rPr>
          <w:rFonts w:ascii="Arial" w:eastAsia="Calibri" w:hAnsi="Arial" w:cs="Arial"/>
          <w:sz w:val="24"/>
        </w:rPr>
        <w:lastRenderedPageBreak/>
        <w:t xml:space="preserve">various </w:t>
      </w:r>
      <w:r w:rsidR="00701EA3">
        <w:rPr>
          <w:rFonts w:ascii="Arial" w:eastAsia="Calibri" w:hAnsi="Arial" w:cs="Arial"/>
          <w:sz w:val="24"/>
        </w:rPr>
        <w:t xml:space="preserve">transactions that had </w:t>
      </w:r>
      <w:r w:rsidR="00715F00">
        <w:rPr>
          <w:rFonts w:ascii="Arial" w:eastAsia="Calibri" w:hAnsi="Arial" w:cs="Arial"/>
          <w:sz w:val="24"/>
        </w:rPr>
        <w:t>taken place</w:t>
      </w:r>
      <w:r w:rsidR="00701EA3">
        <w:rPr>
          <w:rFonts w:ascii="Arial" w:eastAsia="Calibri" w:hAnsi="Arial" w:cs="Arial"/>
          <w:sz w:val="24"/>
        </w:rPr>
        <w:t xml:space="preserve"> between Treemo</w:t>
      </w:r>
      <w:r w:rsidR="00715F00">
        <w:rPr>
          <w:rFonts w:ascii="Arial" w:eastAsia="Calibri" w:hAnsi="Arial" w:cs="Arial"/>
          <w:sz w:val="24"/>
        </w:rPr>
        <w:t>,</w:t>
      </w:r>
      <w:r w:rsidR="00701EA3">
        <w:rPr>
          <w:rFonts w:ascii="Arial" w:eastAsia="Calibri" w:hAnsi="Arial" w:cs="Arial"/>
          <w:sz w:val="24"/>
        </w:rPr>
        <w:t xml:space="preserve"> the </w:t>
      </w:r>
      <w:r w:rsidR="00715F00">
        <w:rPr>
          <w:rFonts w:ascii="Arial" w:eastAsia="Calibri" w:hAnsi="Arial" w:cs="Arial"/>
          <w:sz w:val="24"/>
        </w:rPr>
        <w:t>T</w:t>
      </w:r>
      <w:r w:rsidR="00701EA3">
        <w:rPr>
          <w:rFonts w:ascii="Arial" w:eastAsia="Calibri" w:hAnsi="Arial" w:cs="Arial"/>
          <w:sz w:val="24"/>
        </w:rPr>
        <w:t>rust</w:t>
      </w:r>
      <w:r w:rsidR="00782ED1">
        <w:rPr>
          <w:rFonts w:ascii="Arial" w:eastAsia="Calibri" w:hAnsi="Arial" w:cs="Arial"/>
          <w:sz w:val="24"/>
        </w:rPr>
        <w:t xml:space="preserve"> and </w:t>
      </w:r>
      <w:r w:rsidR="005102FF">
        <w:rPr>
          <w:rFonts w:ascii="Arial" w:eastAsia="Calibri" w:hAnsi="Arial" w:cs="Arial"/>
          <w:sz w:val="24"/>
        </w:rPr>
        <w:t>himself, between</w:t>
      </w:r>
      <w:r w:rsidR="00782ED1">
        <w:rPr>
          <w:rFonts w:ascii="Arial" w:eastAsia="Calibri" w:hAnsi="Arial" w:cs="Arial"/>
          <w:sz w:val="24"/>
        </w:rPr>
        <w:t xml:space="preserve"> </w:t>
      </w:r>
      <w:r w:rsidR="003715DD">
        <w:rPr>
          <w:rFonts w:ascii="Arial" w:eastAsia="Calibri" w:hAnsi="Arial" w:cs="Arial"/>
          <w:sz w:val="24"/>
        </w:rPr>
        <w:t xml:space="preserve">the </w:t>
      </w:r>
      <w:r w:rsidR="00782ED1">
        <w:rPr>
          <w:rFonts w:ascii="Arial" w:eastAsia="Calibri" w:hAnsi="Arial" w:cs="Arial"/>
          <w:sz w:val="24"/>
        </w:rPr>
        <w:t>2015 and 2018</w:t>
      </w:r>
      <w:r w:rsidR="003715DD">
        <w:rPr>
          <w:rFonts w:ascii="Arial" w:eastAsia="Calibri" w:hAnsi="Arial" w:cs="Arial"/>
          <w:sz w:val="24"/>
        </w:rPr>
        <w:t xml:space="preserve"> tax years</w:t>
      </w:r>
      <w:r w:rsidR="00782ED1">
        <w:rPr>
          <w:rFonts w:ascii="Arial" w:eastAsia="Calibri" w:hAnsi="Arial" w:cs="Arial"/>
          <w:sz w:val="24"/>
        </w:rPr>
        <w:t>.</w:t>
      </w:r>
    </w:p>
    <w:p w14:paraId="1E6A9EC7" w14:textId="23CDD70B" w:rsidR="00711F9D"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8.</w:t>
      </w:r>
      <w:r>
        <w:rPr>
          <w:rFonts w:ascii="Arial" w:eastAsia="Calibri" w:hAnsi="Arial" w:cs="Arial"/>
          <w:sz w:val="24"/>
        </w:rPr>
        <w:tab/>
      </w:r>
      <w:r w:rsidR="00782ED1" w:rsidRPr="00711F9D">
        <w:rPr>
          <w:rFonts w:ascii="Arial" w:eastAsia="Calibri" w:hAnsi="Arial" w:cs="Arial"/>
          <w:sz w:val="24"/>
        </w:rPr>
        <w:t xml:space="preserve">In </w:t>
      </w:r>
      <w:r w:rsidR="00E3265E">
        <w:rPr>
          <w:rFonts w:ascii="Arial" w:eastAsia="Calibri" w:hAnsi="Arial" w:cs="Arial"/>
          <w:sz w:val="24"/>
        </w:rPr>
        <w:t>the</w:t>
      </w:r>
      <w:r w:rsidR="00B53E4C" w:rsidRPr="00711F9D">
        <w:rPr>
          <w:rFonts w:ascii="Arial" w:eastAsia="Calibri" w:hAnsi="Arial" w:cs="Arial"/>
          <w:sz w:val="24"/>
        </w:rPr>
        <w:t xml:space="preserve"> </w:t>
      </w:r>
      <w:r w:rsidR="00782ED1" w:rsidRPr="00711F9D">
        <w:rPr>
          <w:rFonts w:ascii="Arial" w:eastAsia="Calibri" w:hAnsi="Arial" w:cs="Arial"/>
          <w:sz w:val="24"/>
        </w:rPr>
        <w:t xml:space="preserve">response which </w:t>
      </w:r>
      <w:r w:rsidR="003715DD" w:rsidRPr="00711F9D">
        <w:rPr>
          <w:rFonts w:ascii="Arial" w:eastAsia="Calibri" w:hAnsi="Arial" w:cs="Arial"/>
          <w:sz w:val="24"/>
        </w:rPr>
        <w:t>he</w:t>
      </w:r>
      <w:r w:rsidR="00782ED1" w:rsidRPr="00711F9D">
        <w:rPr>
          <w:rFonts w:ascii="Arial" w:eastAsia="Calibri" w:hAnsi="Arial" w:cs="Arial"/>
          <w:sz w:val="24"/>
        </w:rPr>
        <w:t xml:space="preserve"> provided on 30 April 2019 the applicant revealed that during December 2014 he had sold 5.5 million shares </w:t>
      </w:r>
      <w:r w:rsidR="003715DD" w:rsidRPr="00711F9D">
        <w:rPr>
          <w:rFonts w:ascii="Arial" w:eastAsia="Calibri" w:hAnsi="Arial" w:cs="Arial"/>
          <w:sz w:val="24"/>
        </w:rPr>
        <w:t xml:space="preserve">which </w:t>
      </w:r>
      <w:r w:rsidR="00782ED1" w:rsidRPr="00711F9D">
        <w:rPr>
          <w:rFonts w:ascii="Arial" w:eastAsia="Calibri" w:hAnsi="Arial" w:cs="Arial"/>
          <w:sz w:val="24"/>
        </w:rPr>
        <w:t>he held in Pep</w:t>
      </w:r>
      <w:r w:rsidR="00AD34B7" w:rsidRPr="00711F9D">
        <w:rPr>
          <w:rFonts w:ascii="Arial" w:eastAsia="Calibri" w:hAnsi="Arial" w:cs="Arial"/>
          <w:sz w:val="24"/>
        </w:rPr>
        <w:t>k</w:t>
      </w:r>
      <w:r w:rsidR="00782ED1" w:rsidRPr="00711F9D">
        <w:rPr>
          <w:rFonts w:ascii="Arial" w:eastAsia="Calibri" w:hAnsi="Arial" w:cs="Arial"/>
          <w:sz w:val="24"/>
        </w:rPr>
        <w:t>or with a market value of R</w:t>
      </w:r>
      <w:r w:rsidR="001F5261">
        <w:rPr>
          <w:rFonts w:ascii="Arial" w:eastAsia="Calibri" w:hAnsi="Arial" w:cs="Arial"/>
          <w:sz w:val="24"/>
        </w:rPr>
        <w:t xml:space="preserve"> </w:t>
      </w:r>
      <w:r w:rsidR="00782ED1" w:rsidRPr="00711F9D">
        <w:rPr>
          <w:rFonts w:ascii="Arial" w:eastAsia="Calibri" w:hAnsi="Arial" w:cs="Arial"/>
          <w:sz w:val="24"/>
        </w:rPr>
        <w:t>510 million</w:t>
      </w:r>
      <w:r w:rsidR="005102FF">
        <w:rPr>
          <w:rFonts w:ascii="Arial" w:eastAsia="Calibri" w:hAnsi="Arial" w:cs="Arial"/>
          <w:sz w:val="24"/>
        </w:rPr>
        <w:t>,</w:t>
      </w:r>
      <w:r w:rsidR="00782ED1" w:rsidRPr="00711F9D">
        <w:rPr>
          <w:rFonts w:ascii="Arial" w:eastAsia="Calibri" w:hAnsi="Arial" w:cs="Arial"/>
          <w:sz w:val="24"/>
        </w:rPr>
        <w:t xml:space="preserve"> and his entire shareholding in </w:t>
      </w:r>
      <w:r w:rsidR="00AB066A" w:rsidRPr="00711F9D">
        <w:rPr>
          <w:rFonts w:ascii="Arial" w:eastAsia="Calibri" w:hAnsi="Arial" w:cs="Arial"/>
          <w:sz w:val="24"/>
        </w:rPr>
        <w:t>Klee, which</w:t>
      </w:r>
      <w:r w:rsidR="00782ED1" w:rsidRPr="00711F9D">
        <w:rPr>
          <w:rFonts w:ascii="Arial" w:eastAsia="Calibri" w:hAnsi="Arial" w:cs="Arial"/>
          <w:sz w:val="24"/>
        </w:rPr>
        <w:t xml:space="preserve"> had a market value of R 310 million, to Treemo, in exchange for shares in it. </w:t>
      </w:r>
      <w:r w:rsidR="00B53E4C" w:rsidRPr="00711F9D">
        <w:rPr>
          <w:rFonts w:ascii="Arial" w:eastAsia="Calibri" w:hAnsi="Arial" w:cs="Arial"/>
          <w:sz w:val="24"/>
        </w:rPr>
        <w:t xml:space="preserve">At the </w:t>
      </w:r>
      <w:r w:rsidR="005102FF">
        <w:rPr>
          <w:rFonts w:ascii="Arial" w:eastAsia="Calibri" w:hAnsi="Arial" w:cs="Arial"/>
          <w:sz w:val="24"/>
        </w:rPr>
        <w:t xml:space="preserve">same </w:t>
      </w:r>
      <w:r w:rsidR="00557AF1" w:rsidRPr="00711F9D">
        <w:rPr>
          <w:rFonts w:ascii="Arial" w:eastAsia="Calibri" w:hAnsi="Arial" w:cs="Arial"/>
          <w:sz w:val="24"/>
        </w:rPr>
        <w:t>time,</w:t>
      </w:r>
      <w:r w:rsidR="00B53E4C" w:rsidRPr="00711F9D">
        <w:rPr>
          <w:rFonts w:ascii="Arial" w:eastAsia="Calibri" w:hAnsi="Arial" w:cs="Arial"/>
          <w:sz w:val="24"/>
        </w:rPr>
        <w:t xml:space="preserve"> h</w:t>
      </w:r>
      <w:r w:rsidR="00782ED1" w:rsidRPr="00711F9D">
        <w:rPr>
          <w:rFonts w:ascii="Arial" w:eastAsia="Calibri" w:hAnsi="Arial" w:cs="Arial"/>
          <w:sz w:val="24"/>
        </w:rPr>
        <w:t xml:space="preserve">e </w:t>
      </w:r>
      <w:r w:rsidR="00B53E4C" w:rsidRPr="00711F9D">
        <w:rPr>
          <w:rFonts w:ascii="Arial" w:eastAsia="Calibri" w:hAnsi="Arial" w:cs="Arial"/>
          <w:sz w:val="24"/>
        </w:rPr>
        <w:t xml:space="preserve">had </w:t>
      </w:r>
      <w:r w:rsidR="00782ED1" w:rsidRPr="00711F9D">
        <w:rPr>
          <w:rFonts w:ascii="Arial" w:eastAsia="Calibri" w:hAnsi="Arial" w:cs="Arial"/>
          <w:sz w:val="24"/>
        </w:rPr>
        <w:t xml:space="preserve">also sold redeemable preference shares </w:t>
      </w:r>
      <w:r w:rsidR="00B53E4C" w:rsidRPr="00711F9D">
        <w:rPr>
          <w:rFonts w:ascii="Arial" w:eastAsia="Calibri" w:hAnsi="Arial" w:cs="Arial"/>
          <w:sz w:val="24"/>
        </w:rPr>
        <w:t xml:space="preserve">which </w:t>
      </w:r>
      <w:r w:rsidR="00782ED1" w:rsidRPr="00711F9D">
        <w:rPr>
          <w:rFonts w:ascii="Arial" w:eastAsia="Calibri" w:hAnsi="Arial" w:cs="Arial"/>
          <w:sz w:val="24"/>
        </w:rPr>
        <w:t xml:space="preserve">he held in </w:t>
      </w:r>
      <w:r w:rsidR="006A50AC" w:rsidRPr="00711F9D">
        <w:rPr>
          <w:rFonts w:ascii="Arial" w:eastAsia="Calibri" w:hAnsi="Arial" w:cs="Arial"/>
          <w:sz w:val="24"/>
        </w:rPr>
        <w:t>N</w:t>
      </w:r>
      <w:r w:rsidR="00782ED1" w:rsidRPr="00711F9D">
        <w:rPr>
          <w:rFonts w:ascii="Arial" w:eastAsia="Calibri" w:hAnsi="Arial" w:cs="Arial"/>
          <w:sz w:val="24"/>
        </w:rPr>
        <w:t>ewshelf, which had a market value of R 750 million</w:t>
      </w:r>
      <w:r w:rsidR="00B53E4C" w:rsidRPr="00711F9D">
        <w:rPr>
          <w:rFonts w:ascii="Arial" w:eastAsia="Calibri" w:hAnsi="Arial" w:cs="Arial"/>
          <w:sz w:val="24"/>
        </w:rPr>
        <w:t>,</w:t>
      </w:r>
      <w:r w:rsidR="00782ED1" w:rsidRPr="00711F9D">
        <w:rPr>
          <w:rFonts w:ascii="Arial" w:eastAsia="Calibri" w:hAnsi="Arial" w:cs="Arial"/>
          <w:sz w:val="24"/>
        </w:rPr>
        <w:t xml:space="preserve"> to Treemo, in exchange for shares in it</w:t>
      </w:r>
      <w:r w:rsidR="00B53E4C" w:rsidRPr="00711F9D">
        <w:rPr>
          <w:rFonts w:ascii="Arial" w:eastAsia="Calibri" w:hAnsi="Arial" w:cs="Arial"/>
          <w:sz w:val="24"/>
        </w:rPr>
        <w:t>.</w:t>
      </w:r>
      <w:r w:rsidR="00711F9D">
        <w:rPr>
          <w:rFonts w:ascii="Arial" w:eastAsia="Calibri" w:hAnsi="Arial" w:cs="Arial"/>
          <w:sz w:val="24"/>
        </w:rPr>
        <w:t xml:space="preserve"> </w:t>
      </w:r>
      <w:r w:rsidR="002638B4" w:rsidRPr="00711F9D">
        <w:rPr>
          <w:rFonts w:ascii="Arial" w:eastAsia="Calibri" w:hAnsi="Arial" w:cs="Arial"/>
          <w:sz w:val="24"/>
        </w:rPr>
        <w:t xml:space="preserve">As far as the distributions </w:t>
      </w:r>
      <w:r w:rsidR="008513BB">
        <w:rPr>
          <w:rFonts w:ascii="Arial" w:eastAsia="Calibri" w:hAnsi="Arial" w:cs="Arial"/>
          <w:sz w:val="24"/>
        </w:rPr>
        <w:t xml:space="preserve">which were made </w:t>
      </w:r>
      <w:r w:rsidR="005102FF">
        <w:rPr>
          <w:rFonts w:ascii="Arial" w:eastAsia="Calibri" w:hAnsi="Arial" w:cs="Arial"/>
          <w:sz w:val="24"/>
        </w:rPr>
        <w:t xml:space="preserve">to him and the Trust in March 2015 </w:t>
      </w:r>
      <w:r w:rsidR="002638B4" w:rsidRPr="00711F9D">
        <w:rPr>
          <w:rFonts w:ascii="Arial" w:eastAsia="Calibri" w:hAnsi="Arial" w:cs="Arial"/>
          <w:sz w:val="24"/>
        </w:rPr>
        <w:t xml:space="preserve">were concerned, he </w:t>
      </w:r>
      <w:r w:rsidR="00D61F2A">
        <w:rPr>
          <w:rFonts w:ascii="Arial" w:eastAsia="Calibri" w:hAnsi="Arial" w:cs="Arial"/>
          <w:sz w:val="24"/>
        </w:rPr>
        <w:t>confirmed</w:t>
      </w:r>
      <w:r w:rsidR="002638B4" w:rsidRPr="00711F9D">
        <w:rPr>
          <w:rFonts w:ascii="Arial" w:eastAsia="Calibri" w:hAnsi="Arial" w:cs="Arial"/>
          <w:sz w:val="24"/>
        </w:rPr>
        <w:t xml:space="preserve"> these totalled just short of R</w:t>
      </w:r>
      <w:r w:rsidR="00896108">
        <w:rPr>
          <w:rFonts w:ascii="Arial" w:eastAsia="Calibri" w:hAnsi="Arial" w:cs="Arial"/>
          <w:sz w:val="24"/>
        </w:rPr>
        <w:t xml:space="preserve"> </w:t>
      </w:r>
      <w:r w:rsidR="002638B4" w:rsidRPr="00711F9D">
        <w:rPr>
          <w:rFonts w:ascii="Arial" w:eastAsia="Calibri" w:hAnsi="Arial" w:cs="Arial"/>
          <w:sz w:val="24"/>
        </w:rPr>
        <w:t xml:space="preserve">1.4 billion. </w:t>
      </w:r>
    </w:p>
    <w:p w14:paraId="1295241C" w14:textId="572439E4" w:rsidR="00AB066A" w:rsidRPr="00711F9D"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sidRPr="00711F9D">
        <w:rPr>
          <w:rFonts w:ascii="Arial" w:eastAsia="Calibri" w:hAnsi="Arial" w:cs="Arial"/>
          <w:sz w:val="24"/>
        </w:rPr>
        <w:t>9.</w:t>
      </w:r>
      <w:r w:rsidRPr="00711F9D">
        <w:rPr>
          <w:rFonts w:ascii="Arial" w:eastAsia="Calibri" w:hAnsi="Arial" w:cs="Arial"/>
          <w:sz w:val="24"/>
        </w:rPr>
        <w:tab/>
      </w:r>
      <w:r w:rsidR="004001F9">
        <w:rPr>
          <w:rFonts w:ascii="Arial" w:eastAsia="Calibri" w:hAnsi="Arial" w:cs="Arial"/>
          <w:sz w:val="24"/>
        </w:rPr>
        <w:t>In</w:t>
      </w:r>
      <w:r w:rsidR="002638B4" w:rsidRPr="00711F9D">
        <w:rPr>
          <w:rFonts w:ascii="Arial" w:eastAsia="Calibri" w:hAnsi="Arial" w:cs="Arial"/>
          <w:sz w:val="24"/>
        </w:rPr>
        <w:t xml:space="preserve"> June 2019 the applicant was </w:t>
      </w:r>
      <w:r w:rsidR="00145662">
        <w:rPr>
          <w:rFonts w:ascii="Arial" w:eastAsia="Calibri" w:hAnsi="Arial" w:cs="Arial"/>
          <w:sz w:val="24"/>
        </w:rPr>
        <w:t>notified</w:t>
      </w:r>
      <w:r w:rsidR="002638B4" w:rsidRPr="00711F9D">
        <w:rPr>
          <w:rFonts w:ascii="Arial" w:eastAsia="Calibri" w:hAnsi="Arial" w:cs="Arial"/>
          <w:sz w:val="24"/>
        </w:rPr>
        <w:t xml:space="preserve"> that </w:t>
      </w:r>
      <w:r w:rsidR="005102FF">
        <w:rPr>
          <w:rFonts w:ascii="Arial" w:eastAsia="Calibri" w:hAnsi="Arial" w:cs="Arial"/>
          <w:sz w:val="24"/>
        </w:rPr>
        <w:t xml:space="preserve">the </w:t>
      </w:r>
      <w:r w:rsidR="005102FF" w:rsidRPr="00711F9D">
        <w:rPr>
          <w:rFonts w:ascii="Arial" w:eastAsia="Calibri" w:hAnsi="Arial" w:cs="Arial"/>
          <w:sz w:val="24"/>
        </w:rPr>
        <w:t>distributions</w:t>
      </w:r>
      <w:r w:rsidR="005102FF">
        <w:rPr>
          <w:rFonts w:ascii="Arial" w:eastAsia="Calibri" w:hAnsi="Arial" w:cs="Arial"/>
          <w:sz w:val="24"/>
        </w:rPr>
        <w:t xml:space="preserve"> </w:t>
      </w:r>
      <w:r w:rsidR="002638B4" w:rsidRPr="00711F9D">
        <w:rPr>
          <w:rFonts w:ascii="Arial" w:eastAsia="Calibri" w:hAnsi="Arial" w:cs="Arial"/>
          <w:sz w:val="24"/>
        </w:rPr>
        <w:t>would be subjected to an audit</w:t>
      </w:r>
      <w:r w:rsidR="005102FF">
        <w:rPr>
          <w:rFonts w:ascii="Arial" w:eastAsia="Calibri" w:hAnsi="Arial" w:cs="Arial"/>
          <w:sz w:val="24"/>
        </w:rPr>
        <w:t xml:space="preserve">. </w:t>
      </w:r>
      <w:r w:rsidR="002638B4" w:rsidRPr="00711F9D">
        <w:rPr>
          <w:rFonts w:ascii="Arial" w:eastAsia="Calibri" w:hAnsi="Arial" w:cs="Arial"/>
          <w:sz w:val="24"/>
        </w:rPr>
        <w:t>Pursuant thereto</w:t>
      </w:r>
      <w:r w:rsidR="00711F9D">
        <w:rPr>
          <w:rFonts w:ascii="Arial" w:eastAsia="Calibri" w:hAnsi="Arial" w:cs="Arial"/>
          <w:sz w:val="24"/>
        </w:rPr>
        <w:t>,</w:t>
      </w:r>
      <w:r w:rsidR="002638B4" w:rsidRPr="00711F9D">
        <w:rPr>
          <w:rFonts w:ascii="Arial" w:eastAsia="Calibri" w:hAnsi="Arial" w:cs="Arial"/>
          <w:sz w:val="24"/>
        </w:rPr>
        <w:t xml:space="preserve"> he was </w:t>
      </w:r>
      <w:r w:rsidR="00B1443B">
        <w:rPr>
          <w:rFonts w:ascii="Arial" w:eastAsia="Calibri" w:hAnsi="Arial" w:cs="Arial"/>
          <w:sz w:val="24"/>
        </w:rPr>
        <w:t>called upon</w:t>
      </w:r>
      <w:r w:rsidR="002638B4" w:rsidRPr="00711F9D">
        <w:rPr>
          <w:rFonts w:ascii="Arial" w:eastAsia="Calibri" w:hAnsi="Arial" w:cs="Arial"/>
          <w:sz w:val="24"/>
        </w:rPr>
        <w:t xml:space="preserve"> to provide </w:t>
      </w:r>
      <w:r w:rsidR="005102FF">
        <w:rPr>
          <w:rFonts w:ascii="Arial" w:eastAsia="Calibri" w:hAnsi="Arial" w:cs="Arial"/>
          <w:sz w:val="24"/>
        </w:rPr>
        <w:t>additional</w:t>
      </w:r>
      <w:r w:rsidR="002638B4" w:rsidRPr="00711F9D">
        <w:rPr>
          <w:rFonts w:ascii="Arial" w:eastAsia="Calibri" w:hAnsi="Arial" w:cs="Arial"/>
          <w:sz w:val="24"/>
        </w:rPr>
        <w:t xml:space="preserve"> documentation and to explain why neither the </w:t>
      </w:r>
      <w:r w:rsidR="00557AF1">
        <w:rPr>
          <w:rFonts w:ascii="Arial" w:eastAsia="Calibri" w:hAnsi="Arial" w:cs="Arial"/>
          <w:sz w:val="24"/>
        </w:rPr>
        <w:t>‘</w:t>
      </w:r>
      <w:r w:rsidR="002638B4" w:rsidRPr="00711F9D">
        <w:rPr>
          <w:rFonts w:ascii="Arial" w:eastAsia="Calibri" w:hAnsi="Arial" w:cs="Arial"/>
          <w:sz w:val="24"/>
        </w:rPr>
        <w:t>capital</w:t>
      </w:r>
      <w:r w:rsidR="00557AF1">
        <w:rPr>
          <w:rFonts w:ascii="Arial" w:eastAsia="Calibri" w:hAnsi="Arial" w:cs="Arial"/>
          <w:sz w:val="24"/>
        </w:rPr>
        <w:t>’</w:t>
      </w:r>
      <w:r w:rsidR="002638B4" w:rsidRPr="00711F9D">
        <w:rPr>
          <w:rFonts w:ascii="Arial" w:eastAsia="Calibri" w:hAnsi="Arial" w:cs="Arial"/>
          <w:sz w:val="24"/>
        </w:rPr>
        <w:t xml:space="preserve"> distribution of R</w:t>
      </w:r>
      <w:r w:rsidR="00E014A4">
        <w:rPr>
          <w:rFonts w:ascii="Arial" w:eastAsia="Calibri" w:hAnsi="Arial" w:cs="Arial"/>
          <w:sz w:val="24"/>
        </w:rPr>
        <w:t xml:space="preserve"> </w:t>
      </w:r>
      <w:r w:rsidR="002638B4" w:rsidRPr="00711F9D">
        <w:rPr>
          <w:rFonts w:ascii="Arial" w:eastAsia="Calibri" w:hAnsi="Arial" w:cs="Arial"/>
          <w:sz w:val="24"/>
        </w:rPr>
        <w:t xml:space="preserve">167 million odd nor the combined </w:t>
      </w:r>
      <w:r w:rsidR="00711F9D" w:rsidRPr="00711F9D">
        <w:rPr>
          <w:rFonts w:ascii="Arial" w:eastAsia="Calibri" w:hAnsi="Arial" w:cs="Arial"/>
          <w:sz w:val="24"/>
        </w:rPr>
        <w:t xml:space="preserve">cash </w:t>
      </w:r>
      <w:r w:rsidR="002638B4" w:rsidRPr="00711F9D">
        <w:rPr>
          <w:rFonts w:ascii="Arial" w:eastAsia="Calibri" w:hAnsi="Arial" w:cs="Arial"/>
          <w:sz w:val="24"/>
        </w:rPr>
        <w:t>distribution</w:t>
      </w:r>
      <w:r w:rsidR="00711F9D">
        <w:rPr>
          <w:rFonts w:ascii="Arial" w:eastAsia="Calibri" w:hAnsi="Arial" w:cs="Arial"/>
          <w:sz w:val="24"/>
        </w:rPr>
        <w:t>s</w:t>
      </w:r>
      <w:r w:rsidR="002638B4" w:rsidRPr="00711F9D">
        <w:rPr>
          <w:rFonts w:ascii="Arial" w:eastAsia="Calibri" w:hAnsi="Arial" w:cs="Arial"/>
          <w:sz w:val="24"/>
        </w:rPr>
        <w:t xml:space="preserve"> of R</w:t>
      </w:r>
      <w:r w:rsidR="00E014A4">
        <w:rPr>
          <w:rFonts w:ascii="Arial" w:eastAsia="Calibri" w:hAnsi="Arial" w:cs="Arial"/>
          <w:sz w:val="24"/>
        </w:rPr>
        <w:t xml:space="preserve"> </w:t>
      </w:r>
      <w:r w:rsidR="00711F9D">
        <w:rPr>
          <w:rFonts w:ascii="Arial" w:eastAsia="Calibri" w:hAnsi="Arial" w:cs="Arial"/>
          <w:sz w:val="24"/>
        </w:rPr>
        <w:t>1</w:t>
      </w:r>
      <w:r w:rsidR="002638B4" w:rsidRPr="00711F9D">
        <w:rPr>
          <w:rFonts w:ascii="Arial" w:eastAsia="Calibri" w:hAnsi="Arial" w:cs="Arial"/>
          <w:sz w:val="24"/>
        </w:rPr>
        <w:t>.2 billion</w:t>
      </w:r>
      <w:r w:rsidR="00711F9D">
        <w:rPr>
          <w:rFonts w:ascii="Arial" w:eastAsia="Calibri" w:hAnsi="Arial" w:cs="Arial"/>
          <w:sz w:val="24"/>
        </w:rPr>
        <w:t xml:space="preserve"> odd</w:t>
      </w:r>
      <w:r w:rsidR="002638B4" w:rsidRPr="00711F9D">
        <w:rPr>
          <w:rFonts w:ascii="Arial" w:eastAsia="Calibri" w:hAnsi="Arial" w:cs="Arial"/>
          <w:sz w:val="24"/>
        </w:rPr>
        <w:t xml:space="preserve"> had been declared in his 2016 return.</w:t>
      </w:r>
    </w:p>
    <w:p w14:paraId="7B5C66EB" w14:textId="23CBA922" w:rsidR="002638B4"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10.</w:t>
      </w:r>
      <w:r>
        <w:rPr>
          <w:rFonts w:ascii="Arial" w:eastAsia="Calibri" w:hAnsi="Arial" w:cs="Arial"/>
          <w:sz w:val="24"/>
        </w:rPr>
        <w:tab/>
      </w:r>
      <w:r w:rsidR="002638B4">
        <w:rPr>
          <w:rFonts w:ascii="Arial" w:eastAsia="Calibri" w:hAnsi="Arial" w:cs="Arial"/>
          <w:sz w:val="24"/>
        </w:rPr>
        <w:t xml:space="preserve">In </w:t>
      </w:r>
      <w:r w:rsidR="003341ED">
        <w:rPr>
          <w:rFonts w:ascii="Arial" w:eastAsia="Calibri" w:hAnsi="Arial" w:cs="Arial"/>
          <w:sz w:val="24"/>
        </w:rPr>
        <w:t>the</w:t>
      </w:r>
      <w:r w:rsidR="00711F9D">
        <w:rPr>
          <w:rFonts w:ascii="Arial" w:eastAsia="Calibri" w:hAnsi="Arial" w:cs="Arial"/>
          <w:sz w:val="24"/>
        </w:rPr>
        <w:t xml:space="preserve"> </w:t>
      </w:r>
      <w:r w:rsidR="002638B4">
        <w:rPr>
          <w:rFonts w:ascii="Arial" w:eastAsia="Calibri" w:hAnsi="Arial" w:cs="Arial"/>
          <w:sz w:val="24"/>
        </w:rPr>
        <w:t xml:space="preserve">response which </w:t>
      </w:r>
      <w:r w:rsidR="005102FF">
        <w:rPr>
          <w:rFonts w:ascii="Arial" w:eastAsia="Calibri" w:hAnsi="Arial" w:cs="Arial"/>
          <w:sz w:val="24"/>
        </w:rPr>
        <w:t xml:space="preserve">he </w:t>
      </w:r>
      <w:r w:rsidR="002638B4">
        <w:rPr>
          <w:rFonts w:ascii="Arial" w:eastAsia="Calibri" w:hAnsi="Arial" w:cs="Arial"/>
          <w:sz w:val="24"/>
        </w:rPr>
        <w:t xml:space="preserve">provided on 5 August 2019 the applicant </w:t>
      </w:r>
      <w:r w:rsidR="00B1443B">
        <w:rPr>
          <w:rFonts w:ascii="Arial" w:eastAsia="Calibri" w:hAnsi="Arial" w:cs="Arial"/>
          <w:sz w:val="24"/>
        </w:rPr>
        <w:t xml:space="preserve">claimed </w:t>
      </w:r>
      <w:r w:rsidR="002638B4">
        <w:rPr>
          <w:rFonts w:ascii="Arial" w:eastAsia="Calibri" w:hAnsi="Arial" w:cs="Arial"/>
          <w:sz w:val="24"/>
        </w:rPr>
        <w:t xml:space="preserve">that </w:t>
      </w:r>
      <w:r w:rsidR="008513BB">
        <w:rPr>
          <w:rFonts w:ascii="Arial" w:eastAsia="Calibri" w:hAnsi="Arial" w:cs="Arial"/>
          <w:sz w:val="24"/>
        </w:rPr>
        <w:t xml:space="preserve">the </w:t>
      </w:r>
      <w:r w:rsidR="002638B4">
        <w:rPr>
          <w:rFonts w:ascii="Arial" w:eastAsia="Calibri" w:hAnsi="Arial" w:cs="Arial"/>
          <w:sz w:val="24"/>
        </w:rPr>
        <w:t xml:space="preserve">distributions </w:t>
      </w:r>
      <w:r w:rsidR="00D61F2A">
        <w:rPr>
          <w:rFonts w:ascii="Arial" w:eastAsia="Calibri" w:hAnsi="Arial" w:cs="Arial"/>
          <w:sz w:val="24"/>
        </w:rPr>
        <w:t>had not</w:t>
      </w:r>
      <w:r w:rsidR="002638B4">
        <w:rPr>
          <w:rFonts w:ascii="Arial" w:eastAsia="Calibri" w:hAnsi="Arial" w:cs="Arial"/>
          <w:sz w:val="24"/>
        </w:rPr>
        <w:t xml:space="preserve"> been disclosed </w:t>
      </w:r>
      <w:r w:rsidR="008513BB">
        <w:rPr>
          <w:rFonts w:ascii="Arial" w:eastAsia="Calibri" w:hAnsi="Arial" w:cs="Arial"/>
          <w:sz w:val="24"/>
        </w:rPr>
        <w:t>because of</w:t>
      </w:r>
      <w:r w:rsidR="002638B4">
        <w:rPr>
          <w:rFonts w:ascii="Arial" w:eastAsia="Calibri" w:hAnsi="Arial" w:cs="Arial"/>
          <w:sz w:val="24"/>
        </w:rPr>
        <w:t xml:space="preserve"> an ‘oversight’</w:t>
      </w:r>
      <w:r w:rsidR="00B1443B">
        <w:rPr>
          <w:rFonts w:ascii="Arial" w:eastAsia="Calibri" w:hAnsi="Arial" w:cs="Arial"/>
          <w:sz w:val="24"/>
        </w:rPr>
        <w:t xml:space="preserve"> by his accountants</w:t>
      </w:r>
      <w:r w:rsidR="002638B4">
        <w:rPr>
          <w:rFonts w:ascii="Arial" w:eastAsia="Calibri" w:hAnsi="Arial" w:cs="Arial"/>
          <w:sz w:val="24"/>
        </w:rPr>
        <w:t xml:space="preserve">, </w:t>
      </w:r>
      <w:r w:rsidR="00711F9D">
        <w:rPr>
          <w:rFonts w:ascii="Arial" w:eastAsia="Calibri" w:hAnsi="Arial" w:cs="Arial"/>
          <w:sz w:val="24"/>
        </w:rPr>
        <w:t>b</w:t>
      </w:r>
      <w:r w:rsidR="002638B4">
        <w:rPr>
          <w:rFonts w:ascii="Arial" w:eastAsia="Calibri" w:hAnsi="Arial" w:cs="Arial"/>
          <w:sz w:val="24"/>
        </w:rPr>
        <w:t xml:space="preserve">ut </w:t>
      </w:r>
      <w:r w:rsidR="00695DC5">
        <w:rPr>
          <w:rFonts w:ascii="Arial" w:eastAsia="Calibri" w:hAnsi="Arial" w:cs="Arial"/>
          <w:sz w:val="24"/>
        </w:rPr>
        <w:t xml:space="preserve">that </w:t>
      </w:r>
      <w:r w:rsidR="002638B4">
        <w:rPr>
          <w:rFonts w:ascii="Arial" w:eastAsia="Calibri" w:hAnsi="Arial" w:cs="Arial"/>
          <w:sz w:val="24"/>
        </w:rPr>
        <w:t>no tax consequences flow</w:t>
      </w:r>
      <w:r w:rsidR="00711F9D">
        <w:rPr>
          <w:rFonts w:ascii="Arial" w:eastAsia="Calibri" w:hAnsi="Arial" w:cs="Arial"/>
          <w:sz w:val="24"/>
        </w:rPr>
        <w:t>ed</w:t>
      </w:r>
      <w:r w:rsidR="002638B4">
        <w:rPr>
          <w:rFonts w:ascii="Arial" w:eastAsia="Calibri" w:hAnsi="Arial" w:cs="Arial"/>
          <w:sz w:val="24"/>
        </w:rPr>
        <w:t xml:space="preserve"> from th</w:t>
      </w:r>
      <w:r w:rsidR="008513BB">
        <w:rPr>
          <w:rFonts w:ascii="Arial" w:eastAsia="Calibri" w:hAnsi="Arial" w:cs="Arial"/>
          <w:sz w:val="24"/>
        </w:rPr>
        <w:t>is</w:t>
      </w:r>
      <w:r w:rsidR="002638B4">
        <w:rPr>
          <w:rFonts w:ascii="Arial" w:eastAsia="Calibri" w:hAnsi="Arial" w:cs="Arial"/>
          <w:sz w:val="24"/>
        </w:rPr>
        <w:t xml:space="preserve"> </w:t>
      </w:r>
      <w:r w:rsidR="00711F9D">
        <w:rPr>
          <w:rFonts w:ascii="Arial" w:eastAsia="Calibri" w:hAnsi="Arial" w:cs="Arial"/>
          <w:sz w:val="24"/>
        </w:rPr>
        <w:t xml:space="preserve">as </w:t>
      </w:r>
      <w:r w:rsidR="00D61F2A">
        <w:rPr>
          <w:rFonts w:ascii="Arial" w:eastAsia="Calibri" w:hAnsi="Arial" w:cs="Arial"/>
          <w:sz w:val="24"/>
        </w:rPr>
        <w:t>they</w:t>
      </w:r>
      <w:r w:rsidR="00711F9D">
        <w:rPr>
          <w:rFonts w:ascii="Arial" w:eastAsia="Calibri" w:hAnsi="Arial" w:cs="Arial"/>
          <w:sz w:val="24"/>
        </w:rPr>
        <w:t xml:space="preserve"> were exempt from tax:</w:t>
      </w:r>
      <w:r w:rsidR="002638B4">
        <w:rPr>
          <w:rFonts w:ascii="Arial" w:eastAsia="Calibri" w:hAnsi="Arial" w:cs="Arial"/>
          <w:sz w:val="24"/>
        </w:rPr>
        <w:t xml:space="preserve"> the </w:t>
      </w:r>
      <w:r w:rsidR="00557AF1">
        <w:rPr>
          <w:rFonts w:ascii="Arial" w:eastAsia="Calibri" w:hAnsi="Arial" w:cs="Arial"/>
          <w:sz w:val="24"/>
        </w:rPr>
        <w:t>‘</w:t>
      </w:r>
      <w:r w:rsidR="002638B4">
        <w:rPr>
          <w:rFonts w:ascii="Arial" w:eastAsia="Calibri" w:hAnsi="Arial" w:cs="Arial"/>
          <w:sz w:val="24"/>
        </w:rPr>
        <w:t>capital</w:t>
      </w:r>
      <w:r w:rsidR="00557AF1">
        <w:rPr>
          <w:rFonts w:ascii="Arial" w:eastAsia="Calibri" w:hAnsi="Arial" w:cs="Arial"/>
          <w:sz w:val="24"/>
        </w:rPr>
        <w:t>’</w:t>
      </w:r>
      <w:r w:rsidR="002638B4">
        <w:rPr>
          <w:rFonts w:ascii="Arial" w:eastAsia="Calibri" w:hAnsi="Arial" w:cs="Arial"/>
          <w:sz w:val="24"/>
        </w:rPr>
        <w:t xml:space="preserve"> contribution was exempt </w:t>
      </w:r>
      <w:r w:rsidR="00711F9D">
        <w:rPr>
          <w:rFonts w:ascii="Arial" w:eastAsia="Calibri" w:hAnsi="Arial" w:cs="Arial"/>
          <w:sz w:val="24"/>
        </w:rPr>
        <w:t xml:space="preserve">as it constituted </w:t>
      </w:r>
      <w:r w:rsidR="002638B4">
        <w:rPr>
          <w:rFonts w:ascii="Arial" w:eastAsia="Calibri" w:hAnsi="Arial" w:cs="Arial"/>
          <w:sz w:val="24"/>
        </w:rPr>
        <w:t xml:space="preserve">a return of capital, and the other distributions were exempt </w:t>
      </w:r>
      <w:r w:rsidR="00B1443B">
        <w:rPr>
          <w:rFonts w:ascii="Arial" w:eastAsia="Calibri" w:hAnsi="Arial" w:cs="Arial"/>
          <w:sz w:val="24"/>
        </w:rPr>
        <w:t>because</w:t>
      </w:r>
      <w:r w:rsidR="00711F9D">
        <w:rPr>
          <w:rFonts w:ascii="Arial" w:eastAsia="Calibri" w:hAnsi="Arial" w:cs="Arial"/>
          <w:sz w:val="24"/>
        </w:rPr>
        <w:t xml:space="preserve"> of</w:t>
      </w:r>
      <w:r w:rsidR="002638B4">
        <w:rPr>
          <w:rFonts w:ascii="Arial" w:eastAsia="Calibri" w:hAnsi="Arial" w:cs="Arial"/>
          <w:sz w:val="24"/>
        </w:rPr>
        <w:t xml:space="preserve"> the STC credits which were held by Treemo.</w:t>
      </w:r>
    </w:p>
    <w:p w14:paraId="670FAA4A" w14:textId="5D47BA87" w:rsidR="00647042"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11.</w:t>
      </w:r>
      <w:r>
        <w:rPr>
          <w:rFonts w:ascii="Arial" w:eastAsia="Calibri" w:hAnsi="Arial" w:cs="Arial"/>
          <w:sz w:val="24"/>
        </w:rPr>
        <w:tab/>
      </w:r>
      <w:r w:rsidR="002638B4" w:rsidRPr="004001F9">
        <w:rPr>
          <w:rFonts w:ascii="Arial" w:eastAsia="Calibri" w:hAnsi="Arial" w:cs="Arial"/>
          <w:sz w:val="24"/>
        </w:rPr>
        <w:t xml:space="preserve">On 30 July 2020 </w:t>
      </w:r>
      <w:r w:rsidR="00711F9D" w:rsidRPr="004001F9">
        <w:rPr>
          <w:rFonts w:ascii="Arial" w:eastAsia="Calibri" w:hAnsi="Arial" w:cs="Arial"/>
          <w:sz w:val="24"/>
        </w:rPr>
        <w:t xml:space="preserve">the </w:t>
      </w:r>
      <w:r w:rsidR="002638B4" w:rsidRPr="004001F9">
        <w:rPr>
          <w:rFonts w:ascii="Arial" w:eastAsia="Calibri" w:hAnsi="Arial" w:cs="Arial"/>
          <w:sz w:val="24"/>
        </w:rPr>
        <w:t xml:space="preserve">applicant was </w:t>
      </w:r>
      <w:r w:rsidR="008D0F32">
        <w:rPr>
          <w:rFonts w:ascii="Arial" w:eastAsia="Calibri" w:hAnsi="Arial" w:cs="Arial"/>
          <w:sz w:val="24"/>
        </w:rPr>
        <w:t>given notice that</w:t>
      </w:r>
      <w:r w:rsidR="002638B4" w:rsidRPr="004001F9">
        <w:rPr>
          <w:rFonts w:ascii="Arial" w:eastAsia="Calibri" w:hAnsi="Arial" w:cs="Arial"/>
          <w:sz w:val="24"/>
        </w:rPr>
        <w:t xml:space="preserve">, </w:t>
      </w:r>
      <w:r w:rsidR="00706CC9" w:rsidRPr="004001F9">
        <w:rPr>
          <w:rFonts w:ascii="Arial" w:eastAsia="Calibri" w:hAnsi="Arial" w:cs="Arial"/>
          <w:sz w:val="24"/>
        </w:rPr>
        <w:t>the audit having been</w:t>
      </w:r>
      <w:r w:rsidR="002638B4" w:rsidRPr="004001F9">
        <w:rPr>
          <w:rFonts w:ascii="Arial" w:eastAsia="Calibri" w:hAnsi="Arial" w:cs="Arial"/>
          <w:sz w:val="24"/>
        </w:rPr>
        <w:t xml:space="preserve"> completed</w:t>
      </w:r>
      <w:r w:rsidR="00706CC9" w:rsidRPr="004001F9">
        <w:rPr>
          <w:rFonts w:ascii="Arial" w:eastAsia="Calibri" w:hAnsi="Arial" w:cs="Arial"/>
          <w:sz w:val="24"/>
        </w:rPr>
        <w:t xml:space="preserve">, </w:t>
      </w:r>
      <w:r w:rsidR="00D61F2A" w:rsidRPr="004001F9">
        <w:rPr>
          <w:rFonts w:ascii="Arial" w:eastAsia="Calibri" w:hAnsi="Arial" w:cs="Arial"/>
          <w:sz w:val="24"/>
        </w:rPr>
        <w:t>the Commissioner</w:t>
      </w:r>
      <w:r w:rsidR="002638B4" w:rsidRPr="004001F9">
        <w:rPr>
          <w:rFonts w:ascii="Arial" w:eastAsia="Calibri" w:hAnsi="Arial" w:cs="Arial"/>
          <w:sz w:val="24"/>
        </w:rPr>
        <w:t xml:space="preserve"> was of the view that the provisions of the so-called </w:t>
      </w:r>
      <w:r w:rsidR="00D61F2A" w:rsidRPr="004001F9">
        <w:rPr>
          <w:rFonts w:ascii="Arial" w:eastAsia="Calibri" w:hAnsi="Arial" w:cs="Arial"/>
          <w:sz w:val="24"/>
        </w:rPr>
        <w:t>‘</w:t>
      </w:r>
      <w:r w:rsidR="00706CC9" w:rsidRPr="004001F9">
        <w:rPr>
          <w:rFonts w:ascii="Arial" w:eastAsia="Calibri" w:hAnsi="Arial" w:cs="Arial"/>
          <w:sz w:val="24"/>
        </w:rPr>
        <w:t>G</w:t>
      </w:r>
      <w:r w:rsidR="002638B4" w:rsidRPr="004001F9">
        <w:rPr>
          <w:rFonts w:ascii="Arial" w:eastAsia="Calibri" w:hAnsi="Arial" w:cs="Arial"/>
          <w:sz w:val="24"/>
        </w:rPr>
        <w:t xml:space="preserve">eneral </w:t>
      </w:r>
      <w:r w:rsidR="00706CC9" w:rsidRPr="004001F9">
        <w:rPr>
          <w:rFonts w:ascii="Arial" w:eastAsia="Calibri" w:hAnsi="Arial" w:cs="Arial"/>
          <w:sz w:val="24"/>
        </w:rPr>
        <w:t>A</w:t>
      </w:r>
      <w:r w:rsidR="002638B4" w:rsidRPr="004001F9">
        <w:rPr>
          <w:rFonts w:ascii="Arial" w:eastAsia="Calibri" w:hAnsi="Arial" w:cs="Arial"/>
          <w:sz w:val="24"/>
        </w:rPr>
        <w:t>nti-</w:t>
      </w:r>
      <w:r w:rsidR="00706CC9" w:rsidRPr="004001F9">
        <w:rPr>
          <w:rFonts w:ascii="Arial" w:eastAsia="Calibri" w:hAnsi="Arial" w:cs="Arial"/>
          <w:sz w:val="24"/>
        </w:rPr>
        <w:t>A</w:t>
      </w:r>
      <w:r w:rsidR="002638B4" w:rsidRPr="004001F9">
        <w:rPr>
          <w:rFonts w:ascii="Arial" w:eastAsia="Calibri" w:hAnsi="Arial" w:cs="Arial"/>
          <w:sz w:val="24"/>
        </w:rPr>
        <w:t xml:space="preserve">voidance </w:t>
      </w:r>
      <w:r w:rsidR="00706CC9" w:rsidRPr="004001F9">
        <w:rPr>
          <w:rFonts w:ascii="Arial" w:eastAsia="Calibri" w:hAnsi="Arial" w:cs="Arial"/>
          <w:sz w:val="24"/>
        </w:rPr>
        <w:t>R</w:t>
      </w:r>
      <w:r w:rsidR="002638B4" w:rsidRPr="004001F9">
        <w:rPr>
          <w:rFonts w:ascii="Arial" w:eastAsia="Calibri" w:hAnsi="Arial" w:cs="Arial"/>
          <w:sz w:val="24"/>
        </w:rPr>
        <w:t>ule</w:t>
      </w:r>
      <w:r w:rsidR="00D61F2A" w:rsidRPr="004001F9">
        <w:rPr>
          <w:rFonts w:ascii="Arial" w:eastAsia="Calibri" w:hAnsi="Arial" w:cs="Arial"/>
          <w:sz w:val="24"/>
        </w:rPr>
        <w:t>’</w:t>
      </w:r>
      <w:r w:rsidR="002638B4" w:rsidRPr="004001F9">
        <w:rPr>
          <w:rFonts w:ascii="Arial" w:eastAsia="Calibri" w:hAnsi="Arial" w:cs="Arial"/>
          <w:sz w:val="24"/>
        </w:rPr>
        <w:t xml:space="preserve">, as </w:t>
      </w:r>
      <w:r w:rsidR="00EE0054">
        <w:rPr>
          <w:rFonts w:ascii="Arial" w:eastAsia="Calibri" w:hAnsi="Arial" w:cs="Arial"/>
          <w:sz w:val="24"/>
        </w:rPr>
        <w:t>embodied</w:t>
      </w:r>
      <w:r w:rsidR="002638B4" w:rsidRPr="004001F9">
        <w:rPr>
          <w:rFonts w:ascii="Arial" w:eastAsia="Calibri" w:hAnsi="Arial" w:cs="Arial"/>
          <w:sz w:val="24"/>
        </w:rPr>
        <w:t xml:space="preserve"> in </w:t>
      </w:r>
      <w:r w:rsidR="00706CC9" w:rsidRPr="004001F9">
        <w:rPr>
          <w:rFonts w:ascii="Arial" w:eastAsia="Calibri" w:hAnsi="Arial" w:cs="Arial"/>
          <w:sz w:val="24"/>
        </w:rPr>
        <w:t xml:space="preserve">ss </w:t>
      </w:r>
      <w:r w:rsidR="002638B4" w:rsidRPr="004001F9">
        <w:rPr>
          <w:rFonts w:ascii="Arial" w:eastAsia="Calibri" w:hAnsi="Arial" w:cs="Arial"/>
          <w:sz w:val="24"/>
        </w:rPr>
        <w:t>80A-80</w:t>
      </w:r>
      <w:r w:rsidR="00084A6E">
        <w:rPr>
          <w:rFonts w:ascii="Arial" w:eastAsia="Calibri" w:hAnsi="Arial" w:cs="Arial"/>
          <w:sz w:val="24"/>
        </w:rPr>
        <w:t>L</w:t>
      </w:r>
      <w:r w:rsidR="002638B4" w:rsidRPr="004001F9">
        <w:rPr>
          <w:rFonts w:ascii="Arial" w:eastAsia="Calibri" w:hAnsi="Arial" w:cs="Arial"/>
          <w:sz w:val="24"/>
        </w:rPr>
        <w:t xml:space="preserve"> </w:t>
      </w:r>
      <w:r w:rsidR="00FF1A28" w:rsidRPr="004001F9">
        <w:rPr>
          <w:rFonts w:ascii="Arial" w:eastAsia="Calibri" w:hAnsi="Arial" w:cs="Arial"/>
          <w:sz w:val="24"/>
        </w:rPr>
        <w:t>of the Act,</w:t>
      </w:r>
      <w:r w:rsidR="002638B4" w:rsidRPr="004001F9">
        <w:rPr>
          <w:rFonts w:ascii="Arial" w:eastAsia="Calibri" w:hAnsi="Arial" w:cs="Arial"/>
          <w:sz w:val="24"/>
        </w:rPr>
        <w:t xml:space="preserve"> </w:t>
      </w:r>
      <w:r w:rsidR="00706CC9" w:rsidRPr="004001F9">
        <w:rPr>
          <w:rFonts w:ascii="Arial" w:eastAsia="Calibri" w:hAnsi="Arial" w:cs="Arial"/>
          <w:sz w:val="24"/>
        </w:rPr>
        <w:t>were applicable</w:t>
      </w:r>
      <w:r w:rsidR="00B53CA4">
        <w:rPr>
          <w:rFonts w:ascii="Arial" w:eastAsia="Calibri" w:hAnsi="Arial" w:cs="Arial"/>
          <w:sz w:val="24"/>
        </w:rPr>
        <w:t>,</w:t>
      </w:r>
      <w:r w:rsidR="002638B4" w:rsidRPr="004001F9">
        <w:rPr>
          <w:rFonts w:ascii="Arial" w:eastAsia="Calibri" w:hAnsi="Arial" w:cs="Arial"/>
          <w:sz w:val="24"/>
        </w:rPr>
        <w:t xml:space="preserve"> as it appeared that the applicant and the </w:t>
      </w:r>
      <w:r w:rsidR="00706CC9" w:rsidRPr="004001F9">
        <w:rPr>
          <w:rFonts w:ascii="Arial" w:eastAsia="Calibri" w:hAnsi="Arial" w:cs="Arial"/>
          <w:sz w:val="24"/>
        </w:rPr>
        <w:t>T</w:t>
      </w:r>
      <w:r w:rsidR="002638B4" w:rsidRPr="004001F9">
        <w:rPr>
          <w:rFonts w:ascii="Arial" w:eastAsia="Calibri" w:hAnsi="Arial" w:cs="Arial"/>
          <w:sz w:val="24"/>
        </w:rPr>
        <w:t xml:space="preserve">rust had, together with a number of other corporate entities </w:t>
      </w:r>
      <w:r w:rsidR="008513BB" w:rsidRPr="004001F9">
        <w:rPr>
          <w:rFonts w:ascii="Arial" w:eastAsia="Calibri" w:hAnsi="Arial" w:cs="Arial"/>
          <w:sz w:val="24"/>
        </w:rPr>
        <w:t>(</w:t>
      </w:r>
      <w:r w:rsidR="002638B4" w:rsidRPr="004001F9">
        <w:rPr>
          <w:rFonts w:ascii="Arial" w:eastAsia="Calibri" w:hAnsi="Arial" w:cs="Arial"/>
          <w:sz w:val="24"/>
        </w:rPr>
        <w:t>including those previously referred to</w:t>
      </w:r>
      <w:r w:rsidR="008513BB" w:rsidRPr="004001F9">
        <w:rPr>
          <w:rFonts w:ascii="Arial" w:eastAsia="Calibri" w:hAnsi="Arial" w:cs="Arial"/>
          <w:sz w:val="24"/>
        </w:rPr>
        <w:t>)</w:t>
      </w:r>
      <w:r w:rsidR="002638B4" w:rsidRPr="004001F9">
        <w:rPr>
          <w:rFonts w:ascii="Arial" w:eastAsia="Calibri" w:hAnsi="Arial" w:cs="Arial"/>
          <w:sz w:val="24"/>
        </w:rPr>
        <w:t>, engage</w:t>
      </w:r>
      <w:r w:rsidR="00706CC9" w:rsidRPr="004001F9">
        <w:rPr>
          <w:rFonts w:ascii="Arial" w:eastAsia="Calibri" w:hAnsi="Arial" w:cs="Arial"/>
          <w:sz w:val="24"/>
        </w:rPr>
        <w:t>d</w:t>
      </w:r>
      <w:r w:rsidR="002638B4" w:rsidRPr="004001F9">
        <w:rPr>
          <w:rFonts w:ascii="Arial" w:eastAsia="Calibri" w:hAnsi="Arial" w:cs="Arial"/>
          <w:sz w:val="24"/>
        </w:rPr>
        <w:t xml:space="preserve"> in an impermissible tax avoidance scheme or arrangement</w:t>
      </w:r>
      <w:r w:rsidR="00E94AB2" w:rsidRPr="004001F9">
        <w:rPr>
          <w:rFonts w:ascii="Arial" w:eastAsia="Calibri" w:hAnsi="Arial" w:cs="Arial"/>
          <w:sz w:val="24"/>
        </w:rPr>
        <w:t xml:space="preserve"> via a series of interrelated transactions</w:t>
      </w:r>
      <w:r w:rsidR="00084A6E" w:rsidRPr="00084A6E">
        <w:rPr>
          <w:rFonts w:ascii="Arial" w:eastAsia="Calibri" w:hAnsi="Arial" w:cs="Arial"/>
          <w:sz w:val="24"/>
        </w:rPr>
        <w:t xml:space="preserve"> </w:t>
      </w:r>
      <w:r w:rsidR="00084A6E">
        <w:rPr>
          <w:rFonts w:ascii="Arial" w:eastAsia="Calibri" w:hAnsi="Arial" w:cs="Arial"/>
          <w:sz w:val="24"/>
        </w:rPr>
        <w:t>in 2014 and 2015</w:t>
      </w:r>
      <w:r w:rsidR="00706CC9" w:rsidRPr="004001F9">
        <w:rPr>
          <w:rFonts w:ascii="Arial" w:eastAsia="Calibri" w:hAnsi="Arial" w:cs="Arial"/>
          <w:sz w:val="24"/>
        </w:rPr>
        <w:t>,</w:t>
      </w:r>
      <w:r w:rsidR="002638B4" w:rsidRPr="004001F9">
        <w:rPr>
          <w:rFonts w:ascii="Arial" w:eastAsia="Calibri" w:hAnsi="Arial" w:cs="Arial"/>
          <w:sz w:val="24"/>
        </w:rPr>
        <w:t xml:space="preserve"> </w:t>
      </w:r>
      <w:r w:rsidR="00FF1A28" w:rsidRPr="004001F9">
        <w:rPr>
          <w:rFonts w:ascii="Arial" w:eastAsia="Calibri" w:hAnsi="Arial" w:cs="Arial"/>
          <w:sz w:val="24"/>
        </w:rPr>
        <w:t>which</w:t>
      </w:r>
      <w:r w:rsidR="002638B4" w:rsidRPr="004001F9">
        <w:rPr>
          <w:rFonts w:ascii="Arial" w:eastAsia="Calibri" w:hAnsi="Arial" w:cs="Arial"/>
          <w:sz w:val="24"/>
        </w:rPr>
        <w:t xml:space="preserve"> the Commissioner proceeded to set out.</w:t>
      </w:r>
      <w:r w:rsidR="00145662" w:rsidRPr="004001F9">
        <w:rPr>
          <w:rFonts w:ascii="Arial" w:eastAsia="Calibri" w:hAnsi="Arial" w:cs="Arial"/>
          <w:sz w:val="24"/>
        </w:rPr>
        <w:t xml:space="preserve"> </w:t>
      </w:r>
    </w:p>
    <w:p w14:paraId="6541E936" w14:textId="58C6CA32" w:rsidR="004001F9"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12.</w:t>
      </w:r>
      <w:r>
        <w:rPr>
          <w:rFonts w:ascii="Arial" w:eastAsia="Calibri" w:hAnsi="Arial" w:cs="Arial"/>
          <w:sz w:val="24"/>
        </w:rPr>
        <w:tab/>
      </w:r>
      <w:r w:rsidR="002638B4" w:rsidRPr="004001F9">
        <w:rPr>
          <w:rFonts w:ascii="Arial" w:eastAsia="Calibri" w:hAnsi="Arial" w:cs="Arial"/>
          <w:sz w:val="24"/>
        </w:rPr>
        <w:t xml:space="preserve">It </w:t>
      </w:r>
      <w:r w:rsidR="00814657" w:rsidRPr="004001F9">
        <w:rPr>
          <w:rFonts w:ascii="Arial" w:eastAsia="Calibri" w:hAnsi="Arial" w:cs="Arial"/>
          <w:sz w:val="24"/>
        </w:rPr>
        <w:t>is</w:t>
      </w:r>
      <w:r w:rsidR="002638B4" w:rsidRPr="004001F9">
        <w:rPr>
          <w:rFonts w:ascii="Arial" w:eastAsia="Calibri" w:hAnsi="Arial" w:cs="Arial"/>
          <w:sz w:val="24"/>
        </w:rPr>
        <w:t xml:space="preserve"> not feasible</w:t>
      </w:r>
      <w:r w:rsidR="00814657" w:rsidRPr="004001F9">
        <w:rPr>
          <w:rFonts w:ascii="Arial" w:eastAsia="Calibri" w:hAnsi="Arial" w:cs="Arial"/>
          <w:sz w:val="24"/>
        </w:rPr>
        <w:t>,</w:t>
      </w:r>
      <w:r w:rsidR="002638B4" w:rsidRPr="004001F9">
        <w:rPr>
          <w:rFonts w:ascii="Arial" w:eastAsia="Calibri" w:hAnsi="Arial" w:cs="Arial"/>
          <w:sz w:val="24"/>
        </w:rPr>
        <w:t xml:space="preserve"> given the </w:t>
      </w:r>
      <w:r w:rsidR="00FF1A28" w:rsidRPr="004001F9">
        <w:rPr>
          <w:rFonts w:ascii="Arial" w:eastAsia="Calibri" w:hAnsi="Arial" w:cs="Arial"/>
          <w:sz w:val="24"/>
        </w:rPr>
        <w:t>volume</w:t>
      </w:r>
      <w:r w:rsidR="00814657" w:rsidRPr="004001F9">
        <w:rPr>
          <w:rFonts w:ascii="Arial" w:eastAsia="Calibri" w:hAnsi="Arial" w:cs="Arial"/>
          <w:sz w:val="24"/>
        </w:rPr>
        <w:t xml:space="preserve"> </w:t>
      </w:r>
      <w:r w:rsidR="00327EF5">
        <w:rPr>
          <w:rFonts w:ascii="Arial" w:eastAsia="Calibri" w:hAnsi="Arial" w:cs="Arial"/>
          <w:sz w:val="24"/>
        </w:rPr>
        <w:t xml:space="preserve">and </w:t>
      </w:r>
      <w:r w:rsidR="00084A6E">
        <w:rPr>
          <w:rFonts w:ascii="Arial" w:eastAsia="Calibri" w:hAnsi="Arial" w:cs="Arial"/>
          <w:sz w:val="24"/>
        </w:rPr>
        <w:t>intricacy</w:t>
      </w:r>
      <w:r w:rsidR="00327EF5">
        <w:rPr>
          <w:rFonts w:ascii="Arial" w:eastAsia="Calibri" w:hAnsi="Arial" w:cs="Arial"/>
          <w:sz w:val="24"/>
        </w:rPr>
        <w:t xml:space="preserve"> </w:t>
      </w:r>
      <w:r w:rsidR="00814657" w:rsidRPr="004001F9">
        <w:rPr>
          <w:rFonts w:ascii="Arial" w:eastAsia="Calibri" w:hAnsi="Arial" w:cs="Arial"/>
          <w:sz w:val="24"/>
        </w:rPr>
        <w:t>of</w:t>
      </w:r>
      <w:r w:rsidR="002638B4" w:rsidRPr="004001F9">
        <w:rPr>
          <w:rFonts w:ascii="Arial" w:eastAsia="Calibri" w:hAnsi="Arial" w:cs="Arial"/>
          <w:sz w:val="24"/>
        </w:rPr>
        <w:t xml:space="preserve"> </w:t>
      </w:r>
      <w:r w:rsidR="00327EF5">
        <w:rPr>
          <w:rFonts w:ascii="Arial" w:eastAsia="Calibri" w:hAnsi="Arial" w:cs="Arial"/>
          <w:sz w:val="24"/>
        </w:rPr>
        <w:t xml:space="preserve">the </w:t>
      </w:r>
      <w:r w:rsidR="002638B4" w:rsidRPr="004001F9">
        <w:rPr>
          <w:rFonts w:ascii="Arial" w:eastAsia="Calibri" w:hAnsi="Arial" w:cs="Arial"/>
          <w:sz w:val="24"/>
        </w:rPr>
        <w:t xml:space="preserve">transactions which it is alleged </w:t>
      </w:r>
      <w:r w:rsidR="00B36988">
        <w:rPr>
          <w:rFonts w:ascii="Arial" w:eastAsia="Calibri" w:hAnsi="Arial" w:cs="Arial"/>
          <w:sz w:val="24"/>
        </w:rPr>
        <w:t>made up</w:t>
      </w:r>
      <w:r w:rsidR="002638B4" w:rsidRPr="004001F9">
        <w:rPr>
          <w:rFonts w:ascii="Arial" w:eastAsia="Calibri" w:hAnsi="Arial" w:cs="Arial"/>
          <w:sz w:val="24"/>
        </w:rPr>
        <w:t xml:space="preserve"> this arrangement</w:t>
      </w:r>
      <w:r w:rsidR="00E94AB2" w:rsidRPr="004001F9">
        <w:rPr>
          <w:rFonts w:ascii="Arial" w:eastAsia="Calibri" w:hAnsi="Arial" w:cs="Arial"/>
          <w:sz w:val="24"/>
        </w:rPr>
        <w:t>,</w:t>
      </w:r>
      <w:r w:rsidR="00E84F31" w:rsidRPr="004001F9">
        <w:rPr>
          <w:rFonts w:ascii="Arial" w:eastAsia="Calibri" w:hAnsi="Arial" w:cs="Arial"/>
          <w:sz w:val="24"/>
        </w:rPr>
        <w:t xml:space="preserve"> to </w:t>
      </w:r>
      <w:r w:rsidR="00195AD8" w:rsidRPr="004001F9">
        <w:rPr>
          <w:rFonts w:ascii="Arial" w:eastAsia="Calibri" w:hAnsi="Arial" w:cs="Arial"/>
          <w:sz w:val="24"/>
        </w:rPr>
        <w:t xml:space="preserve">traverse </w:t>
      </w:r>
      <w:r w:rsidR="00E84F31" w:rsidRPr="004001F9">
        <w:rPr>
          <w:rFonts w:ascii="Arial" w:eastAsia="Calibri" w:hAnsi="Arial" w:cs="Arial"/>
          <w:sz w:val="24"/>
        </w:rPr>
        <w:t>the</w:t>
      </w:r>
      <w:r w:rsidR="00913C24" w:rsidRPr="004001F9">
        <w:rPr>
          <w:rFonts w:ascii="Arial" w:eastAsia="Calibri" w:hAnsi="Arial" w:cs="Arial"/>
          <w:sz w:val="24"/>
        </w:rPr>
        <w:t>m</w:t>
      </w:r>
      <w:r w:rsidR="00E84F31" w:rsidRPr="004001F9">
        <w:rPr>
          <w:rFonts w:ascii="Arial" w:eastAsia="Calibri" w:hAnsi="Arial" w:cs="Arial"/>
          <w:sz w:val="24"/>
        </w:rPr>
        <w:t xml:space="preserve"> in detail</w:t>
      </w:r>
      <w:r w:rsidR="002638B4" w:rsidRPr="004001F9">
        <w:rPr>
          <w:rFonts w:ascii="Arial" w:eastAsia="Calibri" w:hAnsi="Arial" w:cs="Arial"/>
          <w:sz w:val="24"/>
        </w:rPr>
        <w:t xml:space="preserve">, nor </w:t>
      </w:r>
      <w:r w:rsidR="00814657" w:rsidRPr="004001F9">
        <w:rPr>
          <w:rFonts w:ascii="Arial" w:eastAsia="Calibri" w:hAnsi="Arial" w:cs="Arial"/>
          <w:sz w:val="24"/>
        </w:rPr>
        <w:t xml:space="preserve">is </w:t>
      </w:r>
      <w:r w:rsidR="002638B4" w:rsidRPr="004001F9">
        <w:rPr>
          <w:rFonts w:ascii="Arial" w:eastAsia="Calibri" w:hAnsi="Arial" w:cs="Arial"/>
          <w:sz w:val="24"/>
        </w:rPr>
        <w:t xml:space="preserve">it necessary </w:t>
      </w:r>
      <w:r w:rsidR="00E84F31" w:rsidRPr="004001F9">
        <w:rPr>
          <w:rFonts w:ascii="Arial" w:eastAsia="Calibri" w:hAnsi="Arial" w:cs="Arial"/>
          <w:sz w:val="24"/>
        </w:rPr>
        <w:t xml:space="preserve">to do so </w:t>
      </w:r>
      <w:r w:rsidR="002638B4" w:rsidRPr="004001F9">
        <w:rPr>
          <w:rFonts w:ascii="Arial" w:eastAsia="Calibri" w:hAnsi="Arial" w:cs="Arial"/>
          <w:sz w:val="24"/>
        </w:rPr>
        <w:t>for the purpose of these proceedings.</w:t>
      </w:r>
      <w:r w:rsidR="004001F9">
        <w:rPr>
          <w:rFonts w:ascii="Arial" w:eastAsia="Calibri" w:hAnsi="Arial" w:cs="Arial"/>
          <w:sz w:val="24"/>
        </w:rPr>
        <w:t xml:space="preserve"> </w:t>
      </w:r>
      <w:r w:rsidR="003B32D4" w:rsidRPr="004001F9">
        <w:rPr>
          <w:rFonts w:ascii="Arial" w:eastAsia="Calibri" w:hAnsi="Arial" w:cs="Arial"/>
          <w:sz w:val="24"/>
        </w:rPr>
        <w:t>Essentially</w:t>
      </w:r>
      <w:r w:rsidR="00E94AB2" w:rsidRPr="004001F9">
        <w:rPr>
          <w:rFonts w:ascii="Arial" w:eastAsia="Calibri" w:hAnsi="Arial" w:cs="Arial"/>
          <w:sz w:val="24"/>
        </w:rPr>
        <w:t>,</w:t>
      </w:r>
      <w:r w:rsidR="00D03F2B" w:rsidRPr="004001F9">
        <w:rPr>
          <w:rFonts w:ascii="Arial" w:eastAsia="Calibri" w:hAnsi="Arial" w:cs="Arial"/>
          <w:sz w:val="24"/>
        </w:rPr>
        <w:t xml:space="preserve"> the Commissioner </w:t>
      </w:r>
      <w:r w:rsidR="00D03F2B" w:rsidRPr="004001F9">
        <w:rPr>
          <w:rFonts w:ascii="Arial" w:eastAsia="Calibri" w:hAnsi="Arial" w:cs="Arial"/>
          <w:sz w:val="24"/>
        </w:rPr>
        <w:lastRenderedPageBreak/>
        <w:t xml:space="preserve">contended that the parties </w:t>
      </w:r>
      <w:r w:rsidR="008D0F32">
        <w:rPr>
          <w:rFonts w:ascii="Arial" w:eastAsia="Calibri" w:hAnsi="Arial" w:cs="Arial"/>
          <w:sz w:val="24"/>
        </w:rPr>
        <w:t>there</w:t>
      </w:r>
      <w:r w:rsidR="00D03F2B" w:rsidRPr="004001F9">
        <w:rPr>
          <w:rFonts w:ascii="Arial" w:eastAsia="Calibri" w:hAnsi="Arial" w:cs="Arial"/>
          <w:sz w:val="24"/>
        </w:rPr>
        <w:t xml:space="preserve">to had contrived </w:t>
      </w:r>
      <w:r w:rsidR="00A0626B" w:rsidRPr="004001F9">
        <w:rPr>
          <w:rFonts w:ascii="Arial" w:eastAsia="Calibri" w:hAnsi="Arial" w:cs="Arial"/>
          <w:sz w:val="24"/>
        </w:rPr>
        <w:t xml:space="preserve">to </w:t>
      </w:r>
      <w:r w:rsidR="00A003A5">
        <w:rPr>
          <w:rFonts w:ascii="Arial" w:eastAsia="Calibri" w:hAnsi="Arial" w:cs="Arial"/>
          <w:sz w:val="24"/>
        </w:rPr>
        <w:t xml:space="preserve">obtain and </w:t>
      </w:r>
      <w:r w:rsidR="00A0626B" w:rsidRPr="004001F9">
        <w:rPr>
          <w:rFonts w:ascii="Arial" w:eastAsia="Calibri" w:hAnsi="Arial" w:cs="Arial"/>
          <w:sz w:val="24"/>
        </w:rPr>
        <w:t>utilize</w:t>
      </w:r>
      <w:r w:rsidR="00D03F2B" w:rsidRPr="004001F9">
        <w:rPr>
          <w:rFonts w:ascii="Arial" w:eastAsia="Calibri" w:hAnsi="Arial" w:cs="Arial"/>
          <w:sz w:val="24"/>
        </w:rPr>
        <w:t xml:space="preserve"> STC credits to shield the applicant from an anticipated liability for dividend tax</w:t>
      </w:r>
      <w:r w:rsidR="008D0F32">
        <w:rPr>
          <w:rFonts w:ascii="Arial" w:eastAsia="Calibri" w:hAnsi="Arial" w:cs="Arial"/>
          <w:sz w:val="24"/>
        </w:rPr>
        <w:t xml:space="preserve"> by way of an interlinking series of what can fairly be described as</w:t>
      </w:r>
      <w:r w:rsidR="00A0626B" w:rsidRPr="004001F9">
        <w:rPr>
          <w:rFonts w:ascii="Arial" w:eastAsia="Calibri" w:hAnsi="Arial" w:cs="Arial"/>
          <w:sz w:val="24"/>
        </w:rPr>
        <w:t xml:space="preserve"> </w:t>
      </w:r>
      <w:r w:rsidR="00D03F2B" w:rsidRPr="004001F9">
        <w:rPr>
          <w:rFonts w:ascii="Arial" w:eastAsia="Calibri" w:hAnsi="Arial" w:cs="Arial"/>
          <w:sz w:val="24"/>
        </w:rPr>
        <w:t>complex and opaque transactions</w:t>
      </w:r>
      <w:r w:rsidR="004001F9" w:rsidRPr="004001F9">
        <w:rPr>
          <w:rFonts w:ascii="Arial" w:eastAsia="Calibri" w:hAnsi="Arial" w:cs="Arial"/>
          <w:sz w:val="24"/>
        </w:rPr>
        <w:t xml:space="preserve">. </w:t>
      </w:r>
    </w:p>
    <w:p w14:paraId="1E6D2B86" w14:textId="476DC260" w:rsidR="00195AD8" w:rsidRPr="004001F9"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sidRPr="004001F9">
        <w:rPr>
          <w:rFonts w:ascii="Arial" w:eastAsia="Calibri" w:hAnsi="Arial" w:cs="Arial"/>
          <w:sz w:val="24"/>
        </w:rPr>
        <w:t>13.</w:t>
      </w:r>
      <w:r w:rsidRPr="004001F9">
        <w:rPr>
          <w:rFonts w:ascii="Arial" w:eastAsia="Calibri" w:hAnsi="Arial" w:cs="Arial"/>
          <w:sz w:val="24"/>
        </w:rPr>
        <w:tab/>
      </w:r>
      <w:r w:rsidR="00D03F2B" w:rsidRPr="004001F9">
        <w:rPr>
          <w:rFonts w:ascii="Arial" w:eastAsia="Calibri" w:hAnsi="Arial" w:cs="Arial"/>
          <w:sz w:val="24"/>
        </w:rPr>
        <w:t>According to the Commissioner th</w:t>
      </w:r>
      <w:r w:rsidR="00913C24" w:rsidRPr="004001F9">
        <w:rPr>
          <w:rFonts w:ascii="Arial" w:eastAsia="Calibri" w:hAnsi="Arial" w:cs="Arial"/>
          <w:sz w:val="24"/>
        </w:rPr>
        <w:t>e</w:t>
      </w:r>
      <w:r w:rsidR="00195AD8" w:rsidRPr="004001F9">
        <w:rPr>
          <w:rFonts w:ascii="Arial" w:eastAsia="Calibri" w:hAnsi="Arial" w:cs="Arial"/>
          <w:sz w:val="24"/>
        </w:rPr>
        <w:t xml:space="preserve"> </w:t>
      </w:r>
      <w:r w:rsidR="004001F9">
        <w:rPr>
          <w:rFonts w:ascii="Arial" w:eastAsia="Calibri" w:hAnsi="Arial" w:cs="Arial"/>
          <w:sz w:val="24"/>
        </w:rPr>
        <w:t>initial</w:t>
      </w:r>
      <w:r w:rsidR="00195AD8" w:rsidRPr="004001F9">
        <w:rPr>
          <w:rFonts w:ascii="Arial" w:eastAsia="Calibri" w:hAnsi="Arial" w:cs="Arial"/>
          <w:sz w:val="24"/>
        </w:rPr>
        <w:t xml:space="preserve"> set of</w:t>
      </w:r>
      <w:r w:rsidR="00D03F2B" w:rsidRPr="004001F9">
        <w:rPr>
          <w:rFonts w:ascii="Arial" w:eastAsia="Calibri" w:hAnsi="Arial" w:cs="Arial"/>
          <w:sz w:val="24"/>
        </w:rPr>
        <w:t xml:space="preserve"> </w:t>
      </w:r>
      <w:r w:rsidR="008D0F32">
        <w:rPr>
          <w:rFonts w:ascii="Arial" w:eastAsia="Calibri" w:hAnsi="Arial" w:cs="Arial"/>
          <w:sz w:val="24"/>
        </w:rPr>
        <w:t>dealings</w:t>
      </w:r>
      <w:r w:rsidR="00D03F2B" w:rsidRPr="004001F9">
        <w:rPr>
          <w:rFonts w:ascii="Arial" w:eastAsia="Calibri" w:hAnsi="Arial" w:cs="Arial"/>
          <w:sz w:val="24"/>
        </w:rPr>
        <w:t xml:space="preserve"> </w:t>
      </w:r>
      <w:r w:rsidR="000548E0">
        <w:rPr>
          <w:rFonts w:ascii="Arial" w:eastAsia="Calibri" w:hAnsi="Arial" w:cs="Arial"/>
          <w:sz w:val="24"/>
        </w:rPr>
        <w:t>(</w:t>
      </w:r>
      <w:r w:rsidR="00B36988">
        <w:rPr>
          <w:rFonts w:ascii="Arial" w:eastAsia="Calibri" w:hAnsi="Arial" w:cs="Arial"/>
          <w:sz w:val="24"/>
        </w:rPr>
        <w:t xml:space="preserve">which </w:t>
      </w:r>
      <w:r w:rsidR="00B36988" w:rsidRPr="004001F9">
        <w:rPr>
          <w:rFonts w:ascii="Arial" w:eastAsia="Calibri" w:hAnsi="Arial" w:cs="Arial"/>
          <w:sz w:val="24"/>
        </w:rPr>
        <w:t>included inter-entity loans, various subscriptions for shares and capital and cash distributions, including dividends</w:t>
      </w:r>
      <w:r w:rsidR="000548E0">
        <w:rPr>
          <w:rFonts w:ascii="Arial" w:eastAsia="Calibri" w:hAnsi="Arial" w:cs="Arial"/>
          <w:sz w:val="24"/>
        </w:rPr>
        <w:t>)</w:t>
      </w:r>
      <w:r w:rsidR="00B36988">
        <w:rPr>
          <w:rFonts w:ascii="Arial" w:eastAsia="Calibri" w:hAnsi="Arial" w:cs="Arial"/>
          <w:sz w:val="24"/>
        </w:rPr>
        <w:t>,</w:t>
      </w:r>
      <w:r w:rsidR="00B36988" w:rsidRPr="004001F9">
        <w:rPr>
          <w:rFonts w:ascii="Arial" w:eastAsia="Calibri" w:hAnsi="Arial" w:cs="Arial"/>
          <w:sz w:val="24"/>
        </w:rPr>
        <w:t xml:space="preserve"> </w:t>
      </w:r>
      <w:r w:rsidR="00D03F2B" w:rsidRPr="004001F9">
        <w:rPr>
          <w:rFonts w:ascii="Arial" w:eastAsia="Calibri" w:hAnsi="Arial" w:cs="Arial"/>
          <w:sz w:val="24"/>
        </w:rPr>
        <w:t xml:space="preserve">constituted a form of ‘round-tripping’ of funds and a ‘dividend strip’ which </w:t>
      </w:r>
      <w:r w:rsidR="00383242">
        <w:rPr>
          <w:rFonts w:ascii="Arial" w:eastAsia="Calibri" w:hAnsi="Arial" w:cs="Arial"/>
          <w:sz w:val="24"/>
        </w:rPr>
        <w:t>had</w:t>
      </w:r>
      <w:r w:rsidR="00D03F2B" w:rsidRPr="004001F9">
        <w:rPr>
          <w:rFonts w:ascii="Arial" w:eastAsia="Calibri" w:hAnsi="Arial" w:cs="Arial"/>
          <w:sz w:val="24"/>
        </w:rPr>
        <w:t xml:space="preserve"> no apparent commercial rationale other than to transfer STC credits</w:t>
      </w:r>
      <w:r w:rsidR="004001F9" w:rsidRPr="004001F9">
        <w:rPr>
          <w:rFonts w:ascii="Arial" w:eastAsia="Calibri" w:hAnsi="Arial" w:cs="Arial"/>
          <w:sz w:val="24"/>
        </w:rPr>
        <w:t xml:space="preserve"> from 2 companies which originally held them</w:t>
      </w:r>
      <w:r w:rsidR="004001F9">
        <w:rPr>
          <w:rFonts w:ascii="Arial" w:eastAsia="Calibri" w:hAnsi="Arial" w:cs="Arial"/>
          <w:sz w:val="24"/>
        </w:rPr>
        <w:t>,</w:t>
      </w:r>
      <w:r w:rsidR="00D03F2B" w:rsidRPr="004001F9">
        <w:rPr>
          <w:rFonts w:ascii="Arial" w:eastAsia="Calibri" w:hAnsi="Arial" w:cs="Arial"/>
          <w:sz w:val="24"/>
        </w:rPr>
        <w:t xml:space="preserve"> to Treemo.</w:t>
      </w:r>
    </w:p>
    <w:p w14:paraId="7F97ECE0" w14:textId="793027A4" w:rsidR="00B36988"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14.</w:t>
      </w:r>
      <w:r>
        <w:rPr>
          <w:rFonts w:ascii="Arial" w:eastAsia="Calibri" w:hAnsi="Arial" w:cs="Arial"/>
          <w:sz w:val="24"/>
        </w:rPr>
        <w:tab/>
      </w:r>
      <w:r w:rsidR="00D03F2B" w:rsidRPr="00195AD8">
        <w:rPr>
          <w:rFonts w:ascii="Arial" w:eastAsia="Calibri" w:hAnsi="Arial" w:cs="Arial"/>
          <w:sz w:val="24"/>
        </w:rPr>
        <w:t>Th</w:t>
      </w:r>
      <w:r w:rsidR="002D76BD" w:rsidRPr="00195AD8">
        <w:rPr>
          <w:rFonts w:ascii="Arial" w:eastAsia="Calibri" w:hAnsi="Arial" w:cs="Arial"/>
          <w:sz w:val="24"/>
        </w:rPr>
        <w:t>is</w:t>
      </w:r>
      <w:r w:rsidR="00D03F2B" w:rsidRPr="00195AD8">
        <w:rPr>
          <w:rFonts w:ascii="Arial" w:eastAsia="Calibri" w:hAnsi="Arial" w:cs="Arial"/>
          <w:sz w:val="24"/>
        </w:rPr>
        <w:t xml:space="preserve"> w</w:t>
      </w:r>
      <w:r w:rsidR="002D76BD" w:rsidRPr="00195AD8">
        <w:rPr>
          <w:rFonts w:ascii="Arial" w:eastAsia="Calibri" w:hAnsi="Arial" w:cs="Arial"/>
          <w:sz w:val="24"/>
        </w:rPr>
        <w:t>as</w:t>
      </w:r>
      <w:r w:rsidR="00D03F2B" w:rsidRPr="00195AD8">
        <w:rPr>
          <w:rFonts w:ascii="Arial" w:eastAsia="Calibri" w:hAnsi="Arial" w:cs="Arial"/>
          <w:sz w:val="24"/>
        </w:rPr>
        <w:t xml:space="preserve"> followed by a</w:t>
      </w:r>
      <w:r w:rsidR="002D76BD" w:rsidRPr="00195AD8">
        <w:rPr>
          <w:rFonts w:ascii="Arial" w:eastAsia="Calibri" w:hAnsi="Arial" w:cs="Arial"/>
          <w:sz w:val="24"/>
        </w:rPr>
        <w:t xml:space="preserve"> </w:t>
      </w:r>
      <w:r w:rsidR="003B32D4">
        <w:rPr>
          <w:rFonts w:ascii="Arial" w:eastAsia="Calibri" w:hAnsi="Arial" w:cs="Arial"/>
          <w:sz w:val="24"/>
        </w:rPr>
        <w:t>2</w:t>
      </w:r>
      <w:r w:rsidR="003B32D4" w:rsidRPr="003B32D4">
        <w:rPr>
          <w:rFonts w:ascii="Arial" w:eastAsia="Calibri" w:hAnsi="Arial" w:cs="Arial"/>
          <w:sz w:val="24"/>
          <w:vertAlign w:val="superscript"/>
        </w:rPr>
        <w:t>nd</w:t>
      </w:r>
      <w:r w:rsidR="003B32D4">
        <w:rPr>
          <w:rFonts w:ascii="Arial" w:eastAsia="Calibri" w:hAnsi="Arial" w:cs="Arial"/>
          <w:sz w:val="24"/>
        </w:rPr>
        <w:t xml:space="preserve"> </w:t>
      </w:r>
      <w:r w:rsidR="00D03F2B" w:rsidRPr="00195AD8">
        <w:rPr>
          <w:rFonts w:ascii="Arial" w:eastAsia="Calibri" w:hAnsi="Arial" w:cs="Arial"/>
          <w:sz w:val="24"/>
        </w:rPr>
        <w:t xml:space="preserve">set of transactions </w:t>
      </w:r>
      <w:r w:rsidR="000B317F" w:rsidRPr="00195AD8">
        <w:rPr>
          <w:rFonts w:ascii="Arial" w:eastAsia="Calibri" w:hAnsi="Arial" w:cs="Arial"/>
          <w:sz w:val="24"/>
        </w:rPr>
        <w:t xml:space="preserve">which </w:t>
      </w:r>
      <w:r w:rsidR="00E014A4" w:rsidRPr="00195AD8">
        <w:rPr>
          <w:rFonts w:ascii="Arial" w:eastAsia="Calibri" w:hAnsi="Arial" w:cs="Arial"/>
          <w:sz w:val="24"/>
        </w:rPr>
        <w:t xml:space="preserve">were </w:t>
      </w:r>
      <w:r w:rsidR="00E014A4">
        <w:rPr>
          <w:rFonts w:ascii="Arial" w:eastAsia="Calibri" w:hAnsi="Arial" w:cs="Arial"/>
          <w:sz w:val="24"/>
        </w:rPr>
        <w:t>concluded</w:t>
      </w:r>
      <w:r w:rsidR="002D76BD" w:rsidRPr="00195AD8">
        <w:rPr>
          <w:rFonts w:ascii="Arial" w:eastAsia="Calibri" w:hAnsi="Arial" w:cs="Arial"/>
          <w:sz w:val="24"/>
        </w:rPr>
        <w:t xml:space="preserve"> </w:t>
      </w:r>
      <w:r w:rsidR="00D03F2B" w:rsidRPr="00195AD8">
        <w:rPr>
          <w:rFonts w:ascii="Arial" w:eastAsia="Calibri" w:hAnsi="Arial" w:cs="Arial"/>
          <w:sz w:val="24"/>
        </w:rPr>
        <w:t xml:space="preserve">between the applicant, the </w:t>
      </w:r>
      <w:r w:rsidR="002D76BD" w:rsidRPr="00195AD8">
        <w:rPr>
          <w:rFonts w:ascii="Arial" w:eastAsia="Calibri" w:hAnsi="Arial" w:cs="Arial"/>
          <w:sz w:val="24"/>
        </w:rPr>
        <w:t>T</w:t>
      </w:r>
      <w:r w:rsidR="00D03F2B" w:rsidRPr="00195AD8">
        <w:rPr>
          <w:rFonts w:ascii="Arial" w:eastAsia="Calibri" w:hAnsi="Arial" w:cs="Arial"/>
          <w:sz w:val="24"/>
        </w:rPr>
        <w:t xml:space="preserve">rust and Treemo </w:t>
      </w:r>
      <w:r w:rsidR="000548E0">
        <w:rPr>
          <w:rFonts w:ascii="Arial" w:eastAsia="Calibri" w:hAnsi="Arial" w:cs="Arial"/>
          <w:sz w:val="24"/>
        </w:rPr>
        <w:t>(</w:t>
      </w:r>
      <w:r w:rsidR="00D03F2B" w:rsidRPr="00195AD8">
        <w:rPr>
          <w:rFonts w:ascii="Arial" w:eastAsia="Calibri" w:hAnsi="Arial" w:cs="Arial"/>
          <w:sz w:val="24"/>
        </w:rPr>
        <w:t>which involved loans, share-sale</w:t>
      </w:r>
      <w:r w:rsidR="00557AF1">
        <w:rPr>
          <w:rFonts w:ascii="Arial" w:eastAsia="Calibri" w:hAnsi="Arial" w:cs="Arial"/>
          <w:sz w:val="24"/>
        </w:rPr>
        <w:t>/</w:t>
      </w:r>
      <w:r w:rsidR="00195AD8" w:rsidRPr="00195AD8">
        <w:rPr>
          <w:rFonts w:ascii="Arial" w:eastAsia="Calibri" w:hAnsi="Arial" w:cs="Arial"/>
          <w:sz w:val="24"/>
        </w:rPr>
        <w:t xml:space="preserve">share-buyback </w:t>
      </w:r>
      <w:r w:rsidR="00D03F2B" w:rsidRPr="00195AD8">
        <w:rPr>
          <w:rFonts w:ascii="Arial" w:eastAsia="Calibri" w:hAnsi="Arial" w:cs="Arial"/>
          <w:sz w:val="24"/>
        </w:rPr>
        <w:t>and ‘a</w:t>
      </w:r>
      <w:r w:rsidR="002D76BD" w:rsidRPr="00195AD8">
        <w:rPr>
          <w:rFonts w:ascii="Arial" w:eastAsia="Calibri" w:hAnsi="Arial" w:cs="Arial"/>
          <w:sz w:val="24"/>
        </w:rPr>
        <w:t>sset-</w:t>
      </w:r>
      <w:r w:rsidR="00D03F2B" w:rsidRPr="00195AD8">
        <w:rPr>
          <w:rFonts w:ascii="Arial" w:eastAsia="Calibri" w:hAnsi="Arial" w:cs="Arial"/>
          <w:sz w:val="24"/>
        </w:rPr>
        <w:t>for</w:t>
      </w:r>
      <w:r w:rsidR="002D76BD" w:rsidRPr="00195AD8">
        <w:rPr>
          <w:rFonts w:ascii="Arial" w:eastAsia="Calibri" w:hAnsi="Arial" w:cs="Arial"/>
          <w:sz w:val="24"/>
        </w:rPr>
        <w:t>-</w:t>
      </w:r>
      <w:r w:rsidR="00D03F2B" w:rsidRPr="00195AD8">
        <w:rPr>
          <w:rFonts w:ascii="Arial" w:eastAsia="Calibri" w:hAnsi="Arial" w:cs="Arial"/>
          <w:sz w:val="24"/>
        </w:rPr>
        <w:t>share’ arrangements</w:t>
      </w:r>
      <w:r w:rsidR="004001F9">
        <w:rPr>
          <w:rFonts w:ascii="Arial" w:eastAsia="Calibri" w:hAnsi="Arial" w:cs="Arial"/>
          <w:sz w:val="24"/>
        </w:rPr>
        <w:t xml:space="preserve">, </w:t>
      </w:r>
      <w:r w:rsidR="002D76BD" w:rsidRPr="00195AD8">
        <w:rPr>
          <w:rFonts w:ascii="Arial" w:eastAsia="Calibri" w:hAnsi="Arial" w:cs="Arial"/>
          <w:sz w:val="24"/>
        </w:rPr>
        <w:t>c</w:t>
      </w:r>
      <w:r w:rsidR="00D03F2B" w:rsidRPr="00195AD8">
        <w:rPr>
          <w:rFonts w:ascii="Arial" w:eastAsia="Calibri" w:hAnsi="Arial" w:cs="Arial"/>
          <w:sz w:val="24"/>
        </w:rPr>
        <w:t>essions and delegations</w:t>
      </w:r>
      <w:r w:rsidR="002D76BD" w:rsidRPr="00195AD8">
        <w:rPr>
          <w:rFonts w:ascii="Arial" w:eastAsia="Calibri" w:hAnsi="Arial" w:cs="Arial"/>
          <w:sz w:val="24"/>
        </w:rPr>
        <w:t xml:space="preserve">, and </w:t>
      </w:r>
      <w:r w:rsidR="00D03F2B" w:rsidRPr="00195AD8">
        <w:rPr>
          <w:rFonts w:ascii="Arial" w:eastAsia="Calibri" w:hAnsi="Arial" w:cs="Arial"/>
          <w:sz w:val="24"/>
        </w:rPr>
        <w:t>a put and call option</w:t>
      </w:r>
      <w:r w:rsidR="000548E0">
        <w:rPr>
          <w:rFonts w:ascii="Arial" w:eastAsia="Calibri" w:hAnsi="Arial" w:cs="Arial"/>
          <w:sz w:val="24"/>
        </w:rPr>
        <w:t>)</w:t>
      </w:r>
      <w:r w:rsidR="00D03F2B" w:rsidRPr="00195AD8">
        <w:rPr>
          <w:rFonts w:ascii="Arial" w:eastAsia="Calibri" w:hAnsi="Arial" w:cs="Arial"/>
          <w:sz w:val="24"/>
        </w:rPr>
        <w:t xml:space="preserve">, which ultimately culminated in the distributions which form the subject of this matter. </w:t>
      </w:r>
    </w:p>
    <w:p w14:paraId="3F27C283" w14:textId="4EBB0EB5" w:rsidR="003B32D4"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15.</w:t>
      </w:r>
      <w:r>
        <w:rPr>
          <w:rFonts w:ascii="Arial" w:eastAsia="Calibri" w:hAnsi="Arial" w:cs="Arial"/>
          <w:sz w:val="24"/>
        </w:rPr>
        <w:tab/>
      </w:r>
      <w:r w:rsidR="00D03F2B" w:rsidRPr="00195AD8">
        <w:rPr>
          <w:rFonts w:ascii="Arial" w:eastAsia="Calibri" w:hAnsi="Arial" w:cs="Arial"/>
          <w:sz w:val="24"/>
        </w:rPr>
        <w:t xml:space="preserve">Included amongst </w:t>
      </w:r>
      <w:r w:rsidR="00195AD8" w:rsidRPr="00195AD8">
        <w:rPr>
          <w:rFonts w:ascii="Arial" w:eastAsia="Calibri" w:hAnsi="Arial" w:cs="Arial"/>
          <w:sz w:val="24"/>
        </w:rPr>
        <w:t xml:space="preserve">this set of </w:t>
      </w:r>
      <w:r w:rsidR="00E306AC" w:rsidRPr="00195AD8">
        <w:rPr>
          <w:rFonts w:ascii="Arial" w:eastAsia="Calibri" w:hAnsi="Arial" w:cs="Arial"/>
          <w:sz w:val="24"/>
        </w:rPr>
        <w:t xml:space="preserve">transactions </w:t>
      </w:r>
      <w:r w:rsidR="00D03F2B" w:rsidRPr="00195AD8">
        <w:rPr>
          <w:rFonts w:ascii="Arial" w:eastAsia="Calibri" w:hAnsi="Arial" w:cs="Arial"/>
          <w:sz w:val="24"/>
        </w:rPr>
        <w:t xml:space="preserve">were </w:t>
      </w:r>
      <w:r w:rsidR="00E306AC" w:rsidRPr="00195AD8">
        <w:rPr>
          <w:rFonts w:ascii="Arial" w:eastAsia="Calibri" w:hAnsi="Arial" w:cs="Arial"/>
          <w:sz w:val="24"/>
        </w:rPr>
        <w:t xml:space="preserve">dealings </w:t>
      </w:r>
      <w:r w:rsidR="00D03F2B" w:rsidRPr="00195AD8">
        <w:rPr>
          <w:rFonts w:ascii="Arial" w:eastAsia="Calibri" w:hAnsi="Arial" w:cs="Arial"/>
          <w:sz w:val="24"/>
        </w:rPr>
        <w:t xml:space="preserve">in February 2015 whereby </w:t>
      </w:r>
      <w:r w:rsidR="002D76BD" w:rsidRPr="00195AD8">
        <w:rPr>
          <w:rFonts w:ascii="Arial" w:eastAsia="Calibri" w:hAnsi="Arial" w:cs="Arial"/>
          <w:sz w:val="24"/>
        </w:rPr>
        <w:t>N</w:t>
      </w:r>
      <w:r w:rsidR="00D03F2B" w:rsidRPr="00195AD8">
        <w:rPr>
          <w:rFonts w:ascii="Arial" w:eastAsia="Calibri" w:hAnsi="Arial" w:cs="Arial"/>
          <w:sz w:val="24"/>
        </w:rPr>
        <w:t xml:space="preserve">ewshelf repurchased certain shares which were held by Treemo </w:t>
      </w:r>
      <w:r w:rsidR="002D76BD" w:rsidRPr="00195AD8">
        <w:rPr>
          <w:rFonts w:ascii="Arial" w:eastAsia="Calibri" w:hAnsi="Arial" w:cs="Arial"/>
          <w:sz w:val="24"/>
        </w:rPr>
        <w:t xml:space="preserve">and Klee </w:t>
      </w:r>
      <w:r w:rsidR="00D03F2B" w:rsidRPr="00195AD8">
        <w:rPr>
          <w:rFonts w:ascii="Arial" w:eastAsia="Calibri" w:hAnsi="Arial" w:cs="Arial"/>
          <w:sz w:val="24"/>
        </w:rPr>
        <w:t>for</w:t>
      </w:r>
      <w:r w:rsidR="00E014A4">
        <w:rPr>
          <w:rFonts w:ascii="Arial" w:eastAsia="Calibri" w:hAnsi="Arial" w:cs="Arial"/>
          <w:sz w:val="24"/>
        </w:rPr>
        <w:t xml:space="preserve"> </w:t>
      </w:r>
      <w:r w:rsidR="00913C24">
        <w:rPr>
          <w:rFonts w:ascii="Arial" w:eastAsia="Calibri" w:hAnsi="Arial" w:cs="Arial"/>
          <w:sz w:val="24"/>
        </w:rPr>
        <w:t xml:space="preserve"> </w:t>
      </w:r>
      <w:r w:rsidR="00E306AC">
        <w:rPr>
          <w:rFonts w:ascii="Arial" w:eastAsia="Calibri" w:hAnsi="Arial" w:cs="Arial"/>
          <w:sz w:val="24"/>
        </w:rPr>
        <w:t xml:space="preserve">     </w:t>
      </w:r>
      <w:r w:rsidR="00D03F2B" w:rsidRPr="00195AD8">
        <w:rPr>
          <w:rFonts w:ascii="Arial" w:eastAsia="Calibri" w:hAnsi="Arial" w:cs="Arial"/>
          <w:sz w:val="24"/>
        </w:rPr>
        <w:t>R</w:t>
      </w:r>
      <w:r w:rsidR="00E014A4">
        <w:rPr>
          <w:rFonts w:ascii="Arial" w:eastAsia="Calibri" w:hAnsi="Arial" w:cs="Arial"/>
          <w:sz w:val="24"/>
        </w:rPr>
        <w:t xml:space="preserve"> </w:t>
      </w:r>
      <w:r w:rsidR="00D03F2B" w:rsidRPr="00195AD8">
        <w:rPr>
          <w:rFonts w:ascii="Arial" w:eastAsia="Calibri" w:hAnsi="Arial" w:cs="Arial"/>
          <w:sz w:val="24"/>
        </w:rPr>
        <w:t>1</w:t>
      </w:r>
      <w:r w:rsidR="002D76BD" w:rsidRPr="00195AD8">
        <w:rPr>
          <w:rFonts w:ascii="Arial" w:eastAsia="Calibri" w:hAnsi="Arial" w:cs="Arial"/>
          <w:sz w:val="24"/>
        </w:rPr>
        <w:t xml:space="preserve"> </w:t>
      </w:r>
      <w:r w:rsidR="00D03F2B" w:rsidRPr="00195AD8">
        <w:rPr>
          <w:rFonts w:ascii="Arial" w:eastAsia="Calibri" w:hAnsi="Arial" w:cs="Arial"/>
          <w:sz w:val="24"/>
        </w:rPr>
        <w:t>622</w:t>
      </w:r>
      <w:r w:rsidR="002D76BD" w:rsidRPr="00195AD8">
        <w:rPr>
          <w:rFonts w:ascii="Arial" w:eastAsia="Calibri" w:hAnsi="Arial" w:cs="Arial"/>
          <w:sz w:val="24"/>
        </w:rPr>
        <w:t xml:space="preserve"> </w:t>
      </w:r>
      <w:r w:rsidR="00D03F2B" w:rsidRPr="00195AD8">
        <w:rPr>
          <w:rFonts w:ascii="Arial" w:eastAsia="Calibri" w:hAnsi="Arial" w:cs="Arial"/>
          <w:sz w:val="24"/>
        </w:rPr>
        <w:t>790</w:t>
      </w:r>
      <w:r w:rsidR="002D76BD" w:rsidRPr="00195AD8">
        <w:rPr>
          <w:rFonts w:ascii="Arial" w:eastAsia="Calibri" w:hAnsi="Arial" w:cs="Arial"/>
          <w:sz w:val="24"/>
        </w:rPr>
        <w:t xml:space="preserve"> </w:t>
      </w:r>
      <w:r w:rsidR="00D03F2B" w:rsidRPr="00195AD8">
        <w:rPr>
          <w:rFonts w:ascii="Arial" w:eastAsia="Calibri" w:hAnsi="Arial" w:cs="Arial"/>
          <w:sz w:val="24"/>
        </w:rPr>
        <w:t>642 i.e R1</w:t>
      </w:r>
      <w:r w:rsidR="002D76BD" w:rsidRPr="00195AD8">
        <w:rPr>
          <w:rFonts w:ascii="Arial" w:eastAsia="Calibri" w:hAnsi="Arial" w:cs="Arial"/>
          <w:sz w:val="24"/>
        </w:rPr>
        <w:t>.</w:t>
      </w:r>
      <w:r w:rsidR="00D03F2B" w:rsidRPr="00195AD8">
        <w:rPr>
          <w:rFonts w:ascii="Arial" w:eastAsia="Calibri" w:hAnsi="Arial" w:cs="Arial"/>
          <w:sz w:val="24"/>
        </w:rPr>
        <w:t>62 billion odd</w:t>
      </w:r>
      <w:r w:rsidR="002D76BD" w:rsidRPr="00195AD8">
        <w:rPr>
          <w:rFonts w:ascii="Arial" w:eastAsia="Calibri" w:hAnsi="Arial" w:cs="Arial"/>
          <w:sz w:val="24"/>
        </w:rPr>
        <w:t>.</w:t>
      </w:r>
      <w:r w:rsidR="00D03F2B" w:rsidRPr="00195AD8">
        <w:rPr>
          <w:rFonts w:ascii="Arial" w:eastAsia="Calibri" w:hAnsi="Arial" w:cs="Arial"/>
          <w:sz w:val="24"/>
        </w:rPr>
        <w:t xml:space="preserve"> The Commissioner </w:t>
      </w:r>
      <w:r w:rsidR="004001F9">
        <w:rPr>
          <w:rFonts w:ascii="Arial" w:eastAsia="Calibri" w:hAnsi="Arial" w:cs="Arial"/>
          <w:sz w:val="24"/>
        </w:rPr>
        <w:t>contended</w:t>
      </w:r>
      <w:r w:rsidR="00D03F2B" w:rsidRPr="00195AD8">
        <w:rPr>
          <w:rFonts w:ascii="Arial" w:eastAsia="Calibri" w:hAnsi="Arial" w:cs="Arial"/>
          <w:sz w:val="24"/>
        </w:rPr>
        <w:t xml:space="preserve"> that as 1)</w:t>
      </w:r>
      <w:r w:rsidR="004001F9">
        <w:rPr>
          <w:rFonts w:ascii="Arial" w:eastAsia="Calibri" w:hAnsi="Arial" w:cs="Arial"/>
          <w:sz w:val="24"/>
        </w:rPr>
        <w:t xml:space="preserve"> </w:t>
      </w:r>
      <w:r w:rsidR="00D03F2B" w:rsidRPr="00195AD8">
        <w:rPr>
          <w:rFonts w:ascii="Arial" w:eastAsia="Calibri" w:hAnsi="Arial" w:cs="Arial"/>
          <w:sz w:val="24"/>
        </w:rPr>
        <w:t xml:space="preserve">the proceeds from the </w:t>
      </w:r>
      <w:r w:rsidR="002D76BD" w:rsidRPr="00195AD8">
        <w:rPr>
          <w:rFonts w:ascii="Arial" w:eastAsia="Calibri" w:hAnsi="Arial" w:cs="Arial"/>
          <w:sz w:val="24"/>
        </w:rPr>
        <w:t>N</w:t>
      </w:r>
      <w:r w:rsidR="00D03F2B" w:rsidRPr="00195AD8">
        <w:rPr>
          <w:rFonts w:ascii="Arial" w:eastAsia="Calibri" w:hAnsi="Arial" w:cs="Arial"/>
          <w:sz w:val="24"/>
        </w:rPr>
        <w:t>ewshelf repurchase</w:t>
      </w:r>
      <w:r w:rsidR="00195AD8">
        <w:rPr>
          <w:rFonts w:ascii="Arial" w:eastAsia="Calibri" w:hAnsi="Arial" w:cs="Arial"/>
          <w:sz w:val="24"/>
        </w:rPr>
        <w:t>,</w:t>
      </w:r>
      <w:r w:rsidR="00D03F2B" w:rsidRPr="00195AD8">
        <w:rPr>
          <w:rFonts w:ascii="Arial" w:eastAsia="Calibri" w:hAnsi="Arial" w:cs="Arial"/>
          <w:sz w:val="24"/>
        </w:rPr>
        <w:t xml:space="preserve"> </w:t>
      </w:r>
      <w:r w:rsidR="002D76BD" w:rsidRPr="00195AD8">
        <w:rPr>
          <w:rFonts w:ascii="Arial" w:eastAsia="Calibri" w:hAnsi="Arial" w:cs="Arial"/>
          <w:sz w:val="24"/>
        </w:rPr>
        <w:t>which the Commissioner referred to as a ‘repurchase dividend’, were</w:t>
      </w:r>
      <w:r w:rsidR="00D03F2B" w:rsidRPr="00195AD8">
        <w:rPr>
          <w:rFonts w:ascii="Arial" w:eastAsia="Calibri" w:hAnsi="Arial" w:cs="Arial"/>
          <w:sz w:val="24"/>
        </w:rPr>
        <w:t xml:space="preserve"> intended to flow to the applicant and the </w:t>
      </w:r>
      <w:r w:rsidR="002D76BD" w:rsidRPr="00195AD8">
        <w:rPr>
          <w:rFonts w:ascii="Arial" w:eastAsia="Calibri" w:hAnsi="Arial" w:cs="Arial"/>
          <w:sz w:val="24"/>
        </w:rPr>
        <w:t>T</w:t>
      </w:r>
      <w:r w:rsidR="00D03F2B" w:rsidRPr="00195AD8">
        <w:rPr>
          <w:rFonts w:ascii="Arial" w:eastAsia="Calibri" w:hAnsi="Arial" w:cs="Arial"/>
          <w:sz w:val="24"/>
        </w:rPr>
        <w:t xml:space="preserve">rust and 2) the applicant and the </w:t>
      </w:r>
      <w:r w:rsidR="002D76BD" w:rsidRPr="00195AD8">
        <w:rPr>
          <w:rFonts w:ascii="Arial" w:eastAsia="Calibri" w:hAnsi="Arial" w:cs="Arial"/>
          <w:sz w:val="24"/>
        </w:rPr>
        <w:t>T</w:t>
      </w:r>
      <w:r w:rsidR="00D03F2B" w:rsidRPr="00195AD8">
        <w:rPr>
          <w:rFonts w:ascii="Arial" w:eastAsia="Calibri" w:hAnsi="Arial" w:cs="Arial"/>
          <w:sz w:val="24"/>
        </w:rPr>
        <w:t xml:space="preserve">rust each must have anticipated a significant liability for dividend tax in the event that this occurred and 3) neither </w:t>
      </w:r>
      <w:r w:rsidR="002D76BD" w:rsidRPr="00195AD8">
        <w:rPr>
          <w:rFonts w:ascii="Arial" w:eastAsia="Calibri" w:hAnsi="Arial" w:cs="Arial"/>
          <w:sz w:val="24"/>
        </w:rPr>
        <w:t>N</w:t>
      </w:r>
      <w:r w:rsidR="00D03F2B" w:rsidRPr="00195AD8">
        <w:rPr>
          <w:rFonts w:ascii="Arial" w:eastAsia="Calibri" w:hAnsi="Arial" w:cs="Arial"/>
          <w:sz w:val="24"/>
        </w:rPr>
        <w:t xml:space="preserve">ewshelf nor Klee had significant STC credits </w:t>
      </w:r>
      <w:r w:rsidR="002D76BD" w:rsidRPr="00195AD8">
        <w:rPr>
          <w:rFonts w:ascii="Arial" w:eastAsia="Calibri" w:hAnsi="Arial" w:cs="Arial"/>
          <w:sz w:val="24"/>
        </w:rPr>
        <w:t xml:space="preserve">which could be used </w:t>
      </w:r>
      <w:r w:rsidR="00D03F2B" w:rsidRPr="00195AD8">
        <w:rPr>
          <w:rFonts w:ascii="Arial" w:eastAsia="Calibri" w:hAnsi="Arial" w:cs="Arial"/>
          <w:sz w:val="24"/>
        </w:rPr>
        <w:t>to offset such liability</w:t>
      </w:r>
      <w:r w:rsidR="00557AF1">
        <w:rPr>
          <w:rFonts w:ascii="Arial" w:eastAsia="Calibri" w:hAnsi="Arial" w:cs="Arial"/>
          <w:sz w:val="24"/>
        </w:rPr>
        <w:t>,</w:t>
      </w:r>
      <w:r w:rsidR="00D03F2B" w:rsidRPr="00195AD8">
        <w:rPr>
          <w:rFonts w:ascii="Arial" w:eastAsia="Calibri" w:hAnsi="Arial" w:cs="Arial"/>
          <w:sz w:val="24"/>
        </w:rPr>
        <w:t xml:space="preserve"> the parties </w:t>
      </w:r>
      <w:r w:rsidR="0086028C">
        <w:rPr>
          <w:rFonts w:ascii="Arial" w:eastAsia="Calibri" w:hAnsi="Arial" w:cs="Arial"/>
          <w:sz w:val="24"/>
        </w:rPr>
        <w:t xml:space="preserve">had </w:t>
      </w:r>
      <w:r w:rsidR="00D03F2B" w:rsidRPr="00195AD8">
        <w:rPr>
          <w:rFonts w:ascii="Arial" w:eastAsia="Calibri" w:hAnsi="Arial" w:cs="Arial"/>
          <w:sz w:val="24"/>
        </w:rPr>
        <w:t xml:space="preserve">facilitated the </w:t>
      </w:r>
      <w:r w:rsidR="002D76BD" w:rsidRPr="00195AD8">
        <w:rPr>
          <w:rFonts w:ascii="Arial" w:eastAsia="Calibri" w:hAnsi="Arial" w:cs="Arial"/>
          <w:sz w:val="24"/>
        </w:rPr>
        <w:t>‘</w:t>
      </w:r>
      <w:r w:rsidR="00D03F2B" w:rsidRPr="00195AD8">
        <w:rPr>
          <w:rFonts w:ascii="Arial" w:eastAsia="Calibri" w:hAnsi="Arial" w:cs="Arial"/>
          <w:sz w:val="24"/>
        </w:rPr>
        <w:t>dividend strip</w:t>
      </w:r>
      <w:r w:rsidR="002D76BD" w:rsidRPr="00195AD8">
        <w:rPr>
          <w:rFonts w:ascii="Arial" w:eastAsia="Calibri" w:hAnsi="Arial" w:cs="Arial"/>
          <w:sz w:val="24"/>
        </w:rPr>
        <w:t>’</w:t>
      </w:r>
      <w:r w:rsidR="00B21F20" w:rsidRPr="00195AD8">
        <w:rPr>
          <w:rFonts w:ascii="Arial" w:eastAsia="Calibri" w:hAnsi="Arial" w:cs="Arial"/>
          <w:sz w:val="24"/>
        </w:rPr>
        <w:t xml:space="preserve"> and the investment by the applicant in Treemo</w:t>
      </w:r>
      <w:r w:rsidR="0057184F">
        <w:rPr>
          <w:rFonts w:ascii="Arial" w:eastAsia="Calibri" w:hAnsi="Arial" w:cs="Arial"/>
          <w:sz w:val="24"/>
        </w:rPr>
        <w:t>,</w:t>
      </w:r>
      <w:r w:rsidR="00B21F20" w:rsidRPr="00195AD8">
        <w:rPr>
          <w:rFonts w:ascii="Arial" w:eastAsia="Calibri" w:hAnsi="Arial" w:cs="Arial"/>
          <w:sz w:val="24"/>
        </w:rPr>
        <w:t xml:space="preserve"> in order to contrive a situation whereby</w:t>
      </w:r>
      <w:r w:rsidR="003D3C74">
        <w:rPr>
          <w:rFonts w:ascii="Arial" w:eastAsia="Calibri" w:hAnsi="Arial" w:cs="Arial"/>
          <w:sz w:val="24"/>
        </w:rPr>
        <w:t>,</w:t>
      </w:r>
      <w:r w:rsidR="00B21F20" w:rsidRPr="00195AD8">
        <w:rPr>
          <w:rFonts w:ascii="Arial" w:eastAsia="Calibri" w:hAnsi="Arial" w:cs="Arial"/>
          <w:sz w:val="24"/>
        </w:rPr>
        <w:t xml:space="preserve"> </w:t>
      </w:r>
      <w:r w:rsidR="003D3C74">
        <w:rPr>
          <w:rFonts w:ascii="Arial" w:eastAsia="Calibri" w:hAnsi="Arial" w:cs="Arial"/>
          <w:sz w:val="24"/>
        </w:rPr>
        <w:t xml:space="preserve">although </w:t>
      </w:r>
      <w:r w:rsidR="00B21F20" w:rsidRPr="00195AD8">
        <w:rPr>
          <w:rFonts w:ascii="Arial" w:eastAsia="Calibri" w:hAnsi="Arial" w:cs="Arial"/>
          <w:sz w:val="24"/>
        </w:rPr>
        <w:t xml:space="preserve">the repurchase dividend would flow through Treemo to the applicant and the </w:t>
      </w:r>
      <w:r w:rsidR="002D76BD" w:rsidRPr="00195AD8">
        <w:rPr>
          <w:rFonts w:ascii="Arial" w:eastAsia="Calibri" w:hAnsi="Arial" w:cs="Arial"/>
          <w:sz w:val="24"/>
        </w:rPr>
        <w:t>T</w:t>
      </w:r>
      <w:r w:rsidR="00B21F20" w:rsidRPr="00195AD8">
        <w:rPr>
          <w:rFonts w:ascii="Arial" w:eastAsia="Calibri" w:hAnsi="Arial" w:cs="Arial"/>
          <w:sz w:val="24"/>
        </w:rPr>
        <w:t>rust</w:t>
      </w:r>
      <w:r w:rsidR="001F5261">
        <w:rPr>
          <w:rFonts w:ascii="Arial" w:eastAsia="Calibri" w:hAnsi="Arial" w:cs="Arial"/>
          <w:sz w:val="24"/>
        </w:rPr>
        <w:t>,</w:t>
      </w:r>
      <w:r w:rsidR="00B21F20" w:rsidRPr="00195AD8">
        <w:rPr>
          <w:rFonts w:ascii="Arial" w:eastAsia="Calibri" w:hAnsi="Arial" w:cs="Arial"/>
          <w:sz w:val="24"/>
        </w:rPr>
        <w:t xml:space="preserve"> the</w:t>
      </w:r>
      <w:r w:rsidR="002D76BD" w:rsidRPr="00195AD8">
        <w:rPr>
          <w:rFonts w:ascii="Arial" w:eastAsia="Calibri" w:hAnsi="Arial" w:cs="Arial"/>
          <w:sz w:val="24"/>
        </w:rPr>
        <w:t>ir</w:t>
      </w:r>
      <w:r w:rsidR="00B21F20" w:rsidRPr="00195AD8">
        <w:rPr>
          <w:rFonts w:ascii="Arial" w:eastAsia="Calibri" w:hAnsi="Arial" w:cs="Arial"/>
          <w:sz w:val="24"/>
        </w:rPr>
        <w:t xml:space="preserve"> liability for dividend tax could be offset against </w:t>
      </w:r>
      <w:r w:rsidR="00557AF1">
        <w:rPr>
          <w:rFonts w:ascii="Arial" w:eastAsia="Calibri" w:hAnsi="Arial" w:cs="Arial"/>
          <w:sz w:val="24"/>
        </w:rPr>
        <w:t xml:space="preserve">the </w:t>
      </w:r>
      <w:r w:rsidR="00B21F20" w:rsidRPr="00195AD8">
        <w:rPr>
          <w:rFonts w:ascii="Arial" w:eastAsia="Calibri" w:hAnsi="Arial" w:cs="Arial"/>
          <w:sz w:val="24"/>
        </w:rPr>
        <w:t xml:space="preserve">STC credits which Treemo had </w:t>
      </w:r>
      <w:r w:rsidR="00195AD8">
        <w:rPr>
          <w:rFonts w:ascii="Arial" w:eastAsia="Calibri" w:hAnsi="Arial" w:cs="Arial"/>
          <w:sz w:val="24"/>
        </w:rPr>
        <w:t>acquired</w:t>
      </w:r>
      <w:r w:rsidR="00B21F20" w:rsidRPr="00195AD8">
        <w:rPr>
          <w:rFonts w:ascii="Arial" w:eastAsia="Calibri" w:hAnsi="Arial" w:cs="Arial"/>
          <w:sz w:val="24"/>
        </w:rPr>
        <w:t xml:space="preserve">. </w:t>
      </w:r>
    </w:p>
    <w:p w14:paraId="29588EBF" w14:textId="5AECEFDE" w:rsidR="00B36988"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16.</w:t>
      </w:r>
      <w:r>
        <w:rPr>
          <w:rFonts w:ascii="Arial" w:eastAsia="Calibri" w:hAnsi="Arial" w:cs="Arial"/>
          <w:sz w:val="24"/>
        </w:rPr>
        <w:tab/>
      </w:r>
      <w:r w:rsidR="00EA2FD3">
        <w:rPr>
          <w:rFonts w:ascii="Arial" w:eastAsia="Calibri" w:hAnsi="Arial" w:cs="Arial"/>
          <w:sz w:val="24"/>
        </w:rPr>
        <w:t>In the circumstances t</w:t>
      </w:r>
      <w:r w:rsidR="00B21F20" w:rsidRPr="00195AD8">
        <w:rPr>
          <w:rFonts w:ascii="Arial" w:eastAsia="Calibri" w:hAnsi="Arial" w:cs="Arial"/>
          <w:sz w:val="24"/>
        </w:rPr>
        <w:t>his</w:t>
      </w:r>
      <w:r w:rsidR="00E306AC" w:rsidRPr="00195AD8">
        <w:rPr>
          <w:rFonts w:ascii="Arial" w:eastAsia="Calibri" w:hAnsi="Arial" w:cs="Arial"/>
          <w:sz w:val="24"/>
        </w:rPr>
        <w:t xml:space="preserve"> </w:t>
      </w:r>
      <w:r w:rsidR="00E306AC">
        <w:rPr>
          <w:rFonts w:ascii="Arial" w:eastAsia="Calibri" w:hAnsi="Arial" w:cs="Arial"/>
          <w:sz w:val="24"/>
        </w:rPr>
        <w:t>constituted</w:t>
      </w:r>
      <w:r w:rsidR="00B21F20" w:rsidRPr="00195AD8">
        <w:rPr>
          <w:rFonts w:ascii="Arial" w:eastAsia="Calibri" w:hAnsi="Arial" w:cs="Arial"/>
          <w:sz w:val="24"/>
        </w:rPr>
        <w:t xml:space="preserve"> an impermissible </w:t>
      </w:r>
      <w:r w:rsidR="002D76BD" w:rsidRPr="00195AD8">
        <w:rPr>
          <w:rFonts w:ascii="Arial" w:eastAsia="Calibri" w:hAnsi="Arial" w:cs="Arial"/>
          <w:sz w:val="24"/>
        </w:rPr>
        <w:t xml:space="preserve">tax </w:t>
      </w:r>
      <w:r w:rsidR="00B21F20" w:rsidRPr="00195AD8">
        <w:rPr>
          <w:rFonts w:ascii="Arial" w:eastAsia="Calibri" w:hAnsi="Arial" w:cs="Arial"/>
          <w:sz w:val="24"/>
        </w:rPr>
        <w:t xml:space="preserve">avoidance arrangement as contemplated in </w:t>
      </w:r>
      <w:r w:rsidR="00856B80" w:rsidRPr="00195AD8">
        <w:rPr>
          <w:rFonts w:ascii="Arial" w:eastAsia="Calibri" w:hAnsi="Arial" w:cs="Arial"/>
          <w:sz w:val="24"/>
        </w:rPr>
        <w:t>s</w:t>
      </w:r>
      <w:r w:rsidR="00B21F20" w:rsidRPr="00195AD8">
        <w:rPr>
          <w:rFonts w:ascii="Arial" w:eastAsia="Calibri" w:hAnsi="Arial" w:cs="Arial"/>
          <w:sz w:val="24"/>
        </w:rPr>
        <w:t xml:space="preserve"> 80A of the </w:t>
      </w:r>
      <w:r w:rsidR="00856B80" w:rsidRPr="00195AD8">
        <w:rPr>
          <w:rFonts w:ascii="Arial" w:eastAsia="Calibri" w:hAnsi="Arial" w:cs="Arial"/>
          <w:sz w:val="24"/>
        </w:rPr>
        <w:t>A</w:t>
      </w:r>
      <w:r w:rsidR="00B21F20" w:rsidRPr="00195AD8">
        <w:rPr>
          <w:rFonts w:ascii="Arial" w:eastAsia="Calibri" w:hAnsi="Arial" w:cs="Arial"/>
          <w:sz w:val="24"/>
        </w:rPr>
        <w:t>ct</w:t>
      </w:r>
      <w:r w:rsidR="003D3C74">
        <w:rPr>
          <w:rFonts w:ascii="Arial" w:eastAsia="Calibri" w:hAnsi="Arial" w:cs="Arial"/>
          <w:sz w:val="24"/>
        </w:rPr>
        <w:t>.</w:t>
      </w:r>
      <w:r w:rsidR="00B21F20" w:rsidRPr="00195AD8">
        <w:rPr>
          <w:rFonts w:ascii="Arial" w:eastAsia="Calibri" w:hAnsi="Arial" w:cs="Arial"/>
          <w:sz w:val="24"/>
        </w:rPr>
        <w:t xml:space="preserve"> </w:t>
      </w:r>
      <w:r w:rsidR="003D3C74">
        <w:rPr>
          <w:rFonts w:ascii="Arial" w:eastAsia="Calibri" w:hAnsi="Arial" w:cs="Arial"/>
          <w:sz w:val="24"/>
        </w:rPr>
        <w:t>I</w:t>
      </w:r>
      <w:r w:rsidR="00B21F20" w:rsidRPr="00195AD8">
        <w:rPr>
          <w:rFonts w:ascii="Arial" w:eastAsia="Calibri" w:hAnsi="Arial" w:cs="Arial"/>
          <w:sz w:val="24"/>
        </w:rPr>
        <w:t xml:space="preserve">t </w:t>
      </w:r>
      <w:r w:rsidR="001D7464" w:rsidRPr="00195AD8">
        <w:rPr>
          <w:rFonts w:ascii="Arial" w:eastAsia="Calibri" w:hAnsi="Arial" w:cs="Arial"/>
          <w:sz w:val="24"/>
        </w:rPr>
        <w:t>involved ‘round-trip financing’ between</w:t>
      </w:r>
      <w:r w:rsidR="001D7464">
        <w:rPr>
          <w:rFonts w:ascii="Arial" w:eastAsia="Calibri" w:hAnsi="Arial" w:cs="Arial"/>
          <w:sz w:val="24"/>
        </w:rPr>
        <w:t xml:space="preserve"> </w:t>
      </w:r>
      <w:r w:rsidR="001D7464" w:rsidRPr="00195AD8">
        <w:rPr>
          <w:rFonts w:ascii="Arial" w:eastAsia="Calibri" w:hAnsi="Arial" w:cs="Arial"/>
          <w:sz w:val="24"/>
        </w:rPr>
        <w:t xml:space="preserve">the </w:t>
      </w:r>
      <w:r w:rsidR="001D7464">
        <w:rPr>
          <w:rFonts w:ascii="Arial" w:eastAsia="Calibri" w:hAnsi="Arial" w:cs="Arial"/>
          <w:sz w:val="24"/>
        </w:rPr>
        <w:t xml:space="preserve">various </w:t>
      </w:r>
      <w:r w:rsidR="001D7464" w:rsidRPr="00195AD8">
        <w:rPr>
          <w:rFonts w:ascii="Arial" w:eastAsia="Calibri" w:hAnsi="Arial" w:cs="Arial"/>
          <w:sz w:val="24"/>
        </w:rPr>
        <w:t>transacting parties</w:t>
      </w:r>
      <w:r w:rsidR="001D7464">
        <w:rPr>
          <w:rFonts w:ascii="Arial" w:eastAsia="Calibri" w:hAnsi="Arial" w:cs="Arial"/>
          <w:sz w:val="24"/>
        </w:rPr>
        <w:t xml:space="preserve"> </w:t>
      </w:r>
      <w:r w:rsidR="00EA2FD3">
        <w:rPr>
          <w:rFonts w:ascii="Arial" w:eastAsia="Calibri" w:hAnsi="Arial" w:cs="Arial"/>
          <w:sz w:val="24"/>
        </w:rPr>
        <w:t xml:space="preserve">which </w:t>
      </w:r>
      <w:r w:rsidR="00B21F20" w:rsidRPr="00195AD8">
        <w:rPr>
          <w:rFonts w:ascii="Arial" w:eastAsia="Calibri" w:hAnsi="Arial" w:cs="Arial"/>
          <w:sz w:val="24"/>
        </w:rPr>
        <w:t>had no significant effect on the</w:t>
      </w:r>
      <w:r w:rsidR="001D7464">
        <w:rPr>
          <w:rFonts w:ascii="Arial" w:eastAsia="Calibri" w:hAnsi="Arial" w:cs="Arial"/>
          <w:sz w:val="24"/>
        </w:rPr>
        <w:t>ir</w:t>
      </w:r>
      <w:r w:rsidR="00B21F20" w:rsidRPr="00195AD8">
        <w:rPr>
          <w:rFonts w:ascii="Arial" w:eastAsia="Calibri" w:hAnsi="Arial" w:cs="Arial"/>
          <w:sz w:val="24"/>
        </w:rPr>
        <w:t xml:space="preserve"> business risks or net cash </w:t>
      </w:r>
      <w:r w:rsidR="001F5261" w:rsidRPr="00195AD8">
        <w:rPr>
          <w:rFonts w:ascii="Arial" w:eastAsia="Calibri" w:hAnsi="Arial" w:cs="Arial"/>
          <w:sz w:val="24"/>
        </w:rPr>
        <w:t>flows</w:t>
      </w:r>
      <w:r w:rsidR="001F5261">
        <w:rPr>
          <w:rFonts w:ascii="Arial" w:eastAsia="Calibri" w:hAnsi="Arial" w:cs="Arial"/>
          <w:sz w:val="24"/>
        </w:rPr>
        <w:t xml:space="preserve"> and</w:t>
      </w:r>
      <w:r w:rsidR="00B21F20" w:rsidRPr="00195AD8">
        <w:rPr>
          <w:rFonts w:ascii="Arial" w:eastAsia="Calibri" w:hAnsi="Arial" w:cs="Arial"/>
          <w:sz w:val="24"/>
        </w:rPr>
        <w:t xml:space="preserve"> </w:t>
      </w:r>
      <w:r w:rsidR="001D7464">
        <w:rPr>
          <w:rFonts w:ascii="Arial" w:eastAsia="Calibri" w:hAnsi="Arial" w:cs="Arial"/>
          <w:sz w:val="24"/>
        </w:rPr>
        <w:t xml:space="preserve">had </w:t>
      </w:r>
      <w:r w:rsidR="001D7464" w:rsidRPr="00195AD8">
        <w:rPr>
          <w:rFonts w:ascii="Arial" w:eastAsia="Calibri" w:hAnsi="Arial" w:cs="Arial"/>
          <w:sz w:val="24"/>
        </w:rPr>
        <w:t xml:space="preserve">no </w:t>
      </w:r>
      <w:r w:rsidR="00795C5B">
        <w:rPr>
          <w:rFonts w:ascii="Arial" w:eastAsia="Calibri" w:hAnsi="Arial" w:cs="Arial"/>
          <w:sz w:val="24"/>
        </w:rPr>
        <w:t xml:space="preserve">apparent </w:t>
      </w:r>
      <w:r w:rsidR="001D7464" w:rsidRPr="00195AD8">
        <w:rPr>
          <w:rFonts w:ascii="Arial" w:eastAsia="Calibri" w:hAnsi="Arial" w:cs="Arial"/>
          <w:sz w:val="24"/>
        </w:rPr>
        <w:t xml:space="preserve">commercial purpose </w:t>
      </w:r>
      <w:r w:rsidR="00795C5B">
        <w:rPr>
          <w:rFonts w:ascii="Arial" w:eastAsia="Calibri" w:hAnsi="Arial" w:cs="Arial"/>
          <w:sz w:val="24"/>
        </w:rPr>
        <w:t xml:space="preserve">other than </w:t>
      </w:r>
      <w:r w:rsidR="00B21F20" w:rsidRPr="00195AD8">
        <w:rPr>
          <w:rFonts w:ascii="Arial" w:eastAsia="Calibri" w:hAnsi="Arial" w:cs="Arial"/>
          <w:sz w:val="24"/>
        </w:rPr>
        <w:t xml:space="preserve">to create a </w:t>
      </w:r>
      <w:r w:rsidR="00B21F20" w:rsidRPr="00195AD8">
        <w:rPr>
          <w:rFonts w:ascii="Arial" w:eastAsia="Calibri" w:hAnsi="Arial" w:cs="Arial"/>
          <w:sz w:val="24"/>
        </w:rPr>
        <w:lastRenderedPageBreak/>
        <w:t xml:space="preserve">tax benefit for the applicant and the </w:t>
      </w:r>
      <w:r w:rsidR="003B32D4">
        <w:rPr>
          <w:rFonts w:ascii="Arial" w:eastAsia="Calibri" w:hAnsi="Arial" w:cs="Arial"/>
          <w:sz w:val="24"/>
        </w:rPr>
        <w:t>T</w:t>
      </w:r>
      <w:r w:rsidR="00B21F20" w:rsidRPr="00195AD8">
        <w:rPr>
          <w:rFonts w:ascii="Arial" w:eastAsia="Calibri" w:hAnsi="Arial" w:cs="Arial"/>
          <w:sz w:val="24"/>
        </w:rPr>
        <w:t>rust</w:t>
      </w:r>
      <w:r w:rsidR="00EA2FD3">
        <w:rPr>
          <w:rFonts w:ascii="Arial" w:eastAsia="Calibri" w:hAnsi="Arial" w:cs="Arial"/>
          <w:sz w:val="24"/>
        </w:rPr>
        <w:t xml:space="preserve">, </w:t>
      </w:r>
      <w:r w:rsidR="00EA7A4C">
        <w:rPr>
          <w:rFonts w:ascii="Arial" w:eastAsia="Calibri" w:hAnsi="Arial" w:cs="Arial"/>
          <w:sz w:val="24"/>
        </w:rPr>
        <w:t>which</w:t>
      </w:r>
      <w:r w:rsidR="00EA2FD3">
        <w:rPr>
          <w:rFonts w:ascii="Arial" w:eastAsia="Calibri" w:hAnsi="Arial" w:cs="Arial"/>
          <w:sz w:val="24"/>
        </w:rPr>
        <w:t xml:space="preserve"> they would not otherwise have obtained</w:t>
      </w:r>
      <w:r w:rsidR="00B21F20" w:rsidRPr="00195AD8">
        <w:rPr>
          <w:rFonts w:ascii="Arial" w:eastAsia="Calibri" w:hAnsi="Arial" w:cs="Arial"/>
          <w:sz w:val="24"/>
        </w:rPr>
        <w:t xml:space="preserve">. </w:t>
      </w:r>
    </w:p>
    <w:p w14:paraId="4E12BBF6" w14:textId="4060C185" w:rsidR="002638B4" w:rsidRPr="00195AD8"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sidRPr="00195AD8">
        <w:rPr>
          <w:rFonts w:ascii="Arial" w:eastAsia="Calibri" w:hAnsi="Arial" w:cs="Arial"/>
          <w:sz w:val="24"/>
        </w:rPr>
        <w:t>17.</w:t>
      </w:r>
      <w:r w:rsidRPr="00195AD8">
        <w:rPr>
          <w:rFonts w:ascii="Arial" w:eastAsia="Calibri" w:hAnsi="Arial" w:cs="Arial"/>
          <w:sz w:val="24"/>
        </w:rPr>
        <w:tab/>
      </w:r>
      <w:r w:rsidR="00B21F20" w:rsidRPr="00195AD8">
        <w:rPr>
          <w:rFonts w:ascii="Arial" w:eastAsia="Calibri" w:hAnsi="Arial" w:cs="Arial"/>
          <w:sz w:val="24"/>
        </w:rPr>
        <w:t xml:space="preserve">The wording used by the Commissioner </w:t>
      </w:r>
      <w:r w:rsidR="00913C24">
        <w:rPr>
          <w:rFonts w:ascii="Arial" w:eastAsia="Calibri" w:hAnsi="Arial" w:cs="Arial"/>
          <w:sz w:val="24"/>
        </w:rPr>
        <w:t>was a</w:t>
      </w:r>
      <w:r w:rsidR="00B21F20" w:rsidRPr="00195AD8">
        <w:rPr>
          <w:rFonts w:ascii="Arial" w:eastAsia="Calibri" w:hAnsi="Arial" w:cs="Arial"/>
          <w:sz w:val="24"/>
        </w:rPr>
        <w:t xml:space="preserve"> reference to </w:t>
      </w:r>
      <w:r w:rsidR="006E482E">
        <w:rPr>
          <w:rFonts w:ascii="Arial" w:eastAsia="Calibri" w:hAnsi="Arial" w:cs="Arial"/>
          <w:sz w:val="24"/>
        </w:rPr>
        <w:t>s</w:t>
      </w:r>
      <w:r w:rsidR="00B21F20" w:rsidRPr="00195AD8">
        <w:rPr>
          <w:rFonts w:ascii="Arial" w:eastAsia="Calibri" w:hAnsi="Arial" w:cs="Arial"/>
          <w:sz w:val="24"/>
        </w:rPr>
        <w:t xml:space="preserve"> 80C of the </w:t>
      </w:r>
      <w:r w:rsidR="006E482E">
        <w:rPr>
          <w:rFonts w:ascii="Arial" w:eastAsia="Calibri" w:hAnsi="Arial" w:cs="Arial"/>
          <w:sz w:val="24"/>
        </w:rPr>
        <w:t>A</w:t>
      </w:r>
      <w:r w:rsidR="00B21F20" w:rsidRPr="00195AD8">
        <w:rPr>
          <w:rFonts w:ascii="Arial" w:eastAsia="Calibri" w:hAnsi="Arial" w:cs="Arial"/>
          <w:sz w:val="24"/>
        </w:rPr>
        <w:t>ct</w:t>
      </w:r>
      <w:r w:rsidR="00913C24">
        <w:rPr>
          <w:rFonts w:ascii="Arial" w:eastAsia="Calibri" w:hAnsi="Arial" w:cs="Arial"/>
          <w:sz w:val="24"/>
        </w:rPr>
        <w:t>,</w:t>
      </w:r>
      <w:r w:rsidR="00B21F20" w:rsidRPr="00195AD8">
        <w:rPr>
          <w:rFonts w:ascii="Arial" w:eastAsia="Calibri" w:hAnsi="Arial" w:cs="Arial"/>
          <w:sz w:val="24"/>
        </w:rPr>
        <w:t xml:space="preserve"> which provides that a tax avoidance arrangement lacks commercial substance if it w</w:t>
      </w:r>
      <w:r w:rsidR="00701A95">
        <w:rPr>
          <w:rFonts w:ascii="Arial" w:eastAsia="Calibri" w:hAnsi="Arial" w:cs="Arial"/>
          <w:sz w:val="24"/>
        </w:rPr>
        <w:t>ill</w:t>
      </w:r>
      <w:r w:rsidR="00B21F20" w:rsidRPr="00195AD8">
        <w:rPr>
          <w:rFonts w:ascii="Arial" w:eastAsia="Calibri" w:hAnsi="Arial" w:cs="Arial"/>
          <w:sz w:val="24"/>
        </w:rPr>
        <w:t xml:space="preserve"> result in a significant tax benefit but does not have a significant effect upon either the business risks or net cash flows of the parties thereto, a</w:t>
      </w:r>
      <w:r w:rsidR="00B36988">
        <w:rPr>
          <w:rFonts w:ascii="Arial" w:eastAsia="Calibri" w:hAnsi="Arial" w:cs="Arial"/>
          <w:sz w:val="24"/>
        </w:rPr>
        <w:t>side</w:t>
      </w:r>
      <w:r w:rsidR="00B21F20" w:rsidRPr="00195AD8">
        <w:rPr>
          <w:rFonts w:ascii="Arial" w:eastAsia="Calibri" w:hAnsi="Arial" w:cs="Arial"/>
          <w:sz w:val="24"/>
        </w:rPr>
        <w:t xml:space="preserve"> from an effect attributable to the tax benefit that w</w:t>
      </w:r>
      <w:r w:rsidR="00EA2FD3">
        <w:rPr>
          <w:rFonts w:ascii="Arial" w:eastAsia="Calibri" w:hAnsi="Arial" w:cs="Arial"/>
          <w:sz w:val="24"/>
        </w:rPr>
        <w:t>ill</w:t>
      </w:r>
      <w:r w:rsidR="00B21F20" w:rsidRPr="00195AD8">
        <w:rPr>
          <w:rFonts w:ascii="Arial" w:eastAsia="Calibri" w:hAnsi="Arial" w:cs="Arial"/>
          <w:sz w:val="24"/>
        </w:rPr>
        <w:t xml:space="preserve"> be </w:t>
      </w:r>
      <w:r w:rsidR="00C4582D">
        <w:rPr>
          <w:rFonts w:ascii="Arial" w:eastAsia="Calibri" w:hAnsi="Arial" w:cs="Arial"/>
          <w:sz w:val="24"/>
        </w:rPr>
        <w:t>achieved</w:t>
      </w:r>
      <w:r w:rsidR="00237832">
        <w:rPr>
          <w:rFonts w:ascii="Arial" w:eastAsia="Calibri" w:hAnsi="Arial" w:cs="Arial"/>
          <w:sz w:val="24"/>
        </w:rPr>
        <w:t>.</w:t>
      </w:r>
      <w:r w:rsidR="00B21F20" w:rsidRPr="00195AD8">
        <w:rPr>
          <w:rFonts w:ascii="Arial" w:eastAsia="Calibri" w:hAnsi="Arial" w:cs="Arial"/>
          <w:sz w:val="24"/>
        </w:rPr>
        <w:t xml:space="preserve"> Likewise, the </w:t>
      </w:r>
      <w:r w:rsidR="006E482E">
        <w:rPr>
          <w:rFonts w:ascii="Arial" w:eastAsia="Calibri" w:hAnsi="Arial" w:cs="Arial"/>
          <w:sz w:val="24"/>
        </w:rPr>
        <w:t>C</w:t>
      </w:r>
      <w:r w:rsidR="00B21F20" w:rsidRPr="00195AD8">
        <w:rPr>
          <w:rFonts w:ascii="Arial" w:eastAsia="Calibri" w:hAnsi="Arial" w:cs="Arial"/>
          <w:sz w:val="24"/>
        </w:rPr>
        <w:t>ommissioner</w:t>
      </w:r>
      <w:r w:rsidR="006E482E">
        <w:rPr>
          <w:rFonts w:ascii="Arial" w:eastAsia="Calibri" w:hAnsi="Arial" w:cs="Arial"/>
          <w:sz w:val="24"/>
        </w:rPr>
        <w:t>’</w:t>
      </w:r>
      <w:r w:rsidR="00B21F20" w:rsidRPr="00195AD8">
        <w:rPr>
          <w:rFonts w:ascii="Arial" w:eastAsia="Calibri" w:hAnsi="Arial" w:cs="Arial"/>
          <w:sz w:val="24"/>
        </w:rPr>
        <w:t>s reference to ‘round-trip financing</w:t>
      </w:r>
      <w:r w:rsidR="006E482E">
        <w:rPr>
          <w:rFonts w:ascii="Arial" w:eastAsia="Calibri" w:hAnsi="Arial" w:cs="Arial"/>
          <w:sz w:val="24"/>
        </w:rPr>
        <w:t>’</w:t>
      </w:r>
      <w:r w:rsidR="00B21F20" w:rsidRPr="00195AD8">
        <w:rPr>
          <w:rFonts w:ascii="Arial" w:eastAsia="Calibri" w:hAnsi="Arial" w:cs="Arial"/>
          <w:sz w:val="24"/>
        </w:rPr>
        <w:t xml:space="preserve"> was a reference to </w:t>
      </w:r>
      <w:r w:rsidR="0078422D">
        <w:rPr>
          <w:rFonts w:ascii="Arial" w:eastAsia="Calibri" w:hAnsi="Arial" w:cs="Arial"/>
          <w:sz w:val="24"/>
        </w:rPr>
        <w:t>the term in</w:t>
      </w:r>
      <w:r w:rsidR="00EA2FD3">
        <w:rPr>
          <w:rFonts w:ascii="Arial" w:eastAsia="Calibri" w:hAnsi="Arial" w:cs="Arial"/>
          <w:sz w:val="24"/>
        </w:rPr>
        <w:t xml:space="preserve"> </w:t>
      </w:r>
      <w:r w:rsidR="0078422D">
        <w:rPr>
          <w:rFonts w:ascii="Arial" w:eastAsia="Calibri" w:hAnsi="Arial" w:cs="Arial"/>
          <w:sz w:val="24"/>
        </w:rPr>
        <w:t>s</w:t>
      </w:r>
      <w:r w:rsidR="006E482E">
        <w:rPr>
          <w:rFonts w:ascii="Arial" w:eastAsia="Calibri" w:hAnsi="Arial" w:cs="Arial"/>
          <w:sz w:val="24"/>
        </w:rPr>
        <w:t>s</w:t>
      </w:r>
      <w:r w:rsidR="00B21F20" w:rsidRPr="00195AD8">
        <w:rPr>
          <w:rFonts w:ascii="Arial" w:eastAsia="Calibri" w:hAnsi="Arial" w:cs="Arial"/>
          <w:sz w:val="24"/>
        </w:rPr>
        <w:t xml:space="preserve"> 80D(1)(a)-(</w:t>
      </w:r>
      <w:r w:rsidR="006E482E">
        <w:rPr>
          <w:rFonts w:ascii="Arial" w:eastAsia="Calibri" w:hAnsi="Arial" w:cs="Arial"/>
          <w:sz w:val="24"/>
        </w:rPr>
        <w:t>b</w:t>
      </w:r>
      <w:r w:rsidR="00B21F20" w:rsidRPr="00195AD8">
        <w:rPr>
          <w:rFonts w:ascii="Arial" w:eastAsia="Calibri" w:hAnsi="Arial" w:cs="Arial"/>
          <w:sz w:val="24"/>
        </w:rPr>
        <w:t xml:space="preserve">), which defines </w:t>
      </w:r>
      <w:r w:rsidR="0078422D">
        <w:rPr>
          <w:rFonts w:ascii="Arial" w:eastAsia="Calibri" w:hAnsi="Arial" w:cs="Arial"/>
          <w:sz w:val="24"/>
        </w:rPr>
        <w:t>it as</w:t>
      </w:r>
      <w:r w:rsidR="00B21F20" w:rsidRPr="00195AD8">
        <w:rPr>
          <w:rFonts w:ascii="Arial" w:eastAsia="Calibri" w:hAnsi="Arial" w:cs="Arial"/>
          <w:sz w:val="24"/>
        </w:rPr>
        <w:t xml:space="preserve"> financing whereby </w:t>
      </w:r>
      <w:r w:rsidR="00655C3D">
        <w:rPr>
          <w:rFonts w:ascii="Arial" w:eastAsia="Calibri" w:hAnsi="Arial" w:cs="Arial"/>
          <w:sz w:val="24"/>
        </w:rPr>
        <w:t>‘</w:t>
      </w:r>
      <w:r w:rsidR="00B21F20" w:rsidRPr="00195AD8">
        <w:rPr>
          <w:rFonts w:ascii="Arial" w:eastAsia="Calibri" w:hAnsi="Arial" w:cs="Arial"/>
          <w:sz w:val="24"/>
        </w:rPr>
        <w:t>funds</w:t>
      </w:r>
      <w:r w:rsidR="00655C3D">
        <w:rPr>
          <w:rFonts w:ascii="Arial" w:eastAsia="Calibri" w:hAnsi="Arial" w:cs="Arial"/>
          <w:sz w:val="24"/>
        </w:rPr>
        <w:t>’</w:t>
      </w:r>
      <w:r w:rsidR="00B21F20" w:rsidRPr="00195AD8">
        <w:rPr>
          <w:rFonts w:ascii="Arial" w:eastAsia="Calibri" w:hAnsi="Arial" w:cs="Arial"/>
          <w:sz w:val="24"/>
        </w:rPr>
        <w:t xml:space="preserve"> (</w:t>
      </w:r>
      <w:r w:rsidR="004001F9">
        <w:rPr>
          <w:rFonts w:ascii="Arial" w:eastAsia="Calibri" w:hAnsi="Arial" w:cs="Arial"/>
          <w:sz w:val="24"/>
        </w:rPr>
        <w:t xml:space="preserve">which </w:t>
      </w:r>
      <w:r w:rsidR="00B21F20" w:rsidRPr="00195AD8">
        <w:rPr>
          <w:rFonts w:ascii="Arial" w:eastAsia="Calibri" w:hAnsi="Arial" w:cs="Arial"/>
          <w:sz w:val="24"/>
        </w:rPr>
        <w:t>includ</w:t>
      </w:r>
      <w:r w:rsidR="004001F9">
        <w:rPr>
          <w:rFonts w:ascii="Arial" w:eastAsia="Calibri" w:hAnsi="Arial" w:cs="Arial"/>
          <w:sz w:val="24"/>
        </w:rPr>
        <w:t>e</w:t>
      </w:r>
      <w:r w:rsidR="00B21F20" w:rsidRPr="00195AD8">
        <w:rPr>
          <w:rFonts w:ascii="Arial" w:eastAsia="Calibri" w:hAnsi="Arial" w:cs="Arial"/>
          <w:sz w:val="24"/>
        </w:rPr>
        <w:t xml:space="preserve"> not only cash funds but also any cash equivalents or any rights or obligations to receive or pay such) are transferred between or amongst the parties thereto</w:t>
      </w:r>
      <w:r w:rsidR="00201617">
        <w:rPr>
          <w:rFonts w:ascii="Arial" w:eastAsia="Calibri" w:hAnsi="Arial" w:cs="Arial"/>
          <w:sz w:val="24"/>
        </w:rPr>
        <w:t>;</w:t>
      </w:r>
      <w:r w:rsidR="00913C24">
        <w:rPr>
          <w:rFonts w:ascii="Arial" w:eastAsia="Calibri" w:hAnsi="Arial" w:cs="Arial"/>
          <w:sz w:val="24"/>
        </w:rPr>
        <w:t xml:space="preserve"> </w:t>
      </w:r>
      <w:r w:rsidR="004001F9">
        <w:rPr>
          <w:rFonts w:ascii="Arial" w:eastAsia="Calibri" w:hAnsi="Arial" w:cs="Arial"/>
          <w:sz w:val="24"/>
        </w:rPr>
        <w:t xml:space="preserve">and </w:t>
      </w:r>
      <w:r w:rsidR="006E482E">
        <w:rPr>
          <w:rFonts w:ascii="Arial" w:eastAsia="Calibri" w:hAnsi="Arial" w:cs="Arial"/>
          <w:sz w:val="24"/>
        </w:rPr>
        <w:t xml:space="preserve">which </w:t>
      </w:r>
      <w:r w:rsidR="006E482E" w:rsidRPr="00195AD8">
        <w:rPr>
          <w:rFonts w:ascii="Arial" w:eastAsia="Calibri" w:hAnsi="Arial" w:cs="Arial"/>
          <w:sz w:val="24"/>
        </w:rPr>
        <w:t xml:space="preserve">significantly reduces, offsets or eliminates any business risk incurred by any party </w:t>
      </w:r>
      <w:r w:rsidR="00B21F20" w:rsidRPr="00195AD8">
        <w:rPr>
          <w:rFonts w:ascii="Arial" w:eastAsia="Calibri" w:hAnsi="Arial" w:cs="Arial"/>
          <w:sz w:val="24"/>
        </w:rPr>
        <w:t>and results directly</w:t>
      </w:r>
      <w:r w:rsidR="006E482E">
        <w:rPr>
          <w:rFonts w:ascii="Arial" w:eastAsia="Calibri" w:hAnsi="Arial" w:cs="Arial"/>
          <w:sz w:val="24"/>
        </w:rPr>
        <w:t>,</w:t>
      </w:r>
      <w:r w:rsidR="00B21F20" w:rsidRPr="00195AD8">
        <w:rPr>
          <w:rFonts w:ascii="Arial" w:eastAsia="Calibri" w:hAnsi="Arial" w:cs="Arial"/>
          <w:sz w:val="24"/>
        </w:rPr>
        <w:t xml:space="preserve"> or indirectly</w:t>
      </w:r>
      <w:r w:rsidR="006E482E">
        <w:rPr>
          <w:rFonts w:ascii="Arial" w:eastAsia="Calibri" w:hAnsi="Arial" w:cs="Arial"/>
          <w:sz w:val="24"/>
        </w:rPr>
        <w:t>,</w:t>
      </w:r>
      <w:r w:rsidR="00B21F20" w:rsidRPr="00195AD8">
        <w:rPr>
          <w:rFonts w:ascii="Arial" w:eastAsia="Calibri" w:hAnsi="Arial" w:cs="Arial"/>
          <w:sz w:val="24"/>
        </w:rPr>
        <w:t xml:space="preserve"> in </w:t>
      </w:r>
      <w:r w:rsidR="006E482E">
        <w:rPr>
          <w:rFonts w:ascii="Arial" w:eastAsia="Calibri" w:hAnsi="Arial" w:cs="Arial"/>
          <w:sz w:val="24"/>
        </w:rPr>
        <w:t>a</w:t>
      </w:r>
      <w:r w:rsidR="00B21F20" w:rsidRPr="00195AD8">
        <w:rPr>
          <w:rFonts w:ascii="Arial" w:eastAsia="Calibri" w:hAnsi="Arial" w:cs="Arial"/>
          <w:sz w:val="24"/>
        </w:rPr>
        <w:t xml:space="preserve"> tax benefit.</w:t>
      </w:r>
    </w:p>
    <w:p w14:paraId="36296A9B" w14:textId="4F851AC4" w:rsidR="00B21F20"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18.</w:t>
      </w:r>
      <w:r>
        <w:rPr>
          <w:rFonts w:ascii="Arial" w:eastAsia="Calibri" w:hAnsi="Arial" w:cs="Arial"/>
          <w:sz w:val="24"/>
        </w:rPr>
        <w:tab/>
      </w:r>
      <w:r w:rsidR="006E482E">
        <w:rPr>
          <w:rFonts w:ascii="Arial" w:eastAsia="Calibri" w:hAnsi="Arial" w:cs="Arial"/>
          <w:sz w:val="24"/>
        </w:rPr>
        <w:t>T</w:t>
      </w:r>
      <w:r w:rsidR="00B21F20">
        <w:rPr>
          <w:rFonts w:ascii="Arial" w:eastAsia="Calibri" w:hAnsi="Arial" w:cs="Arial"/>
          <w:sz w:val="24"/>
        </w:rPr>
        <w:t xml:space="preserve">he Commissioner </w:t>
      </w:r>
      <w:r w:rsidR="006E482E">
        <w:rPr>
          <w:rFonts w:ascii="Arial" w:eastAsia="Calibri" w:hAnsi="Arial" w:cs="Arial"/>
          <w:sz w:val="24"/>
        </w:rPr>
        <w:t xml:space="preserve">accordingly proposed </w:t>
      </w:r>
      <w:r w:rsidR="00B21F20">
        <w:rPr>
          <w:rFonts w:ascii="Arial" w:eastAsia="Calibri" w:hAnsi="Arial" w:cs="Arial"/>
          <w:sz w:val="24"/>
        </w:rPr>
        <w:t>revers</w:t>
      </w:r>
      <w:r w:rsidR="006E482E">
        <w:rPr>
          <w:rFonts w:ascii="Arial" w:eastAsia="Calibri" w:hAnsi="Arial" w:cs="Arial"/>
          <w:sz w:val="24"/>
        </w:rPr>
        <w:t>ing</w:t>
      </w:r>
      <w:r w:rsidR="00B21F20">
        <w:rPr>
          <w:rFonts w:ascii="Arial" w:eastAsia="Calibri" w:hAnsi="Arial" w:cs="Arial"/>
          <w:sz w:val="24"/>
        </w:rPr>
        <w:t xml:space="preserve"> or nullify</w:t>
      </w:r>
      <w:r w:rsidR="006E482E">
        <w:rPr>
          <w:rFonts w:ascii="Arial" w:eastAsia="Calibri" w:hAnsi="Arial" w:cs="Arial"/>
          <w:sz w:val="24"/>
        </w:rPr>
        <w:t>ing</w:t>
      </w:r>
      <w:r w:rsidR="00AD0D0F">
        <w:rPr>
          <w:rStyle w:val="FootnoteReference"/>
          <w:rFonts w:ascii="Arial" w:eastAsia="Calibri" w:hAnsi="Arial" w:cs="Arial"/>
          <w:sz w:val="24"/>
        </w:rPr>
        <w:footnoteReference w:id="3"/>
      </w:r>
      <w:r w:rsidR="00B21F20">
        <w:rPr>
          <w:rFonts w:ascii="Arial" w:eastAsia="Calibri" w:hAnsi="Arial" w:cs="Arial"/>
          <w:sz w:val="24"/>
        </w:rPr>
        <w:t xml:space="preserve"> the t</w:t>
      </w:r>
      <w:r w:rsidR="00856B80">
        <w:rPr>
          <w:rFonts w:ascii="Arial" w:eastAsia="Calibri" w:hAnsi="Arial" w:cs="Arial"/>
          <w:sz w:val="24"/>
        </w:rPr>
        <w:t>ax</w:t>
      </w:r>
      <w:r w:rsidR="00B21F20">
        <w:rPr>
          <w:rFonts w:ascii="Arial" w:eastAsia="Calibri" w:hAnsi="Arial" w:cs="Arial"/>
          <w:sz w:val="24"/>
        </w:rPr>
        <w:t xml:space="preserve"> benefits which had been created</w:t>
      </w:r>
      <w:r w:rsidR="00AD0D0F">
        <w:rPr>
          <w:rFonts w:ascii="Arial" w:eastAsia="Calibri" w:hAnsi="Arial" w:cs="Arial"/>
          <w:sz w:val="24"/>
        </w:rPr>
        <w:t xml:space="preserve"> </w:t>
      </w:r>
      <w:r w:rsidR="00B21F20">
        <w:rPr>
          <w:rFonts w:ascii="Arial" w:eastAsia="Calibri" w:hAnsi="Arial" w:cs="Arial"/>
          <w:sz w:val="24"/>
        </w:rPr>
        <w:t>by disregarding all the transactions and entities which had participated in the arrangement</w:t>
      </w:r>
      <w:r w:rsidR="004001F9">
        <w:rPr>
          <w:rFonts w:ascii="Arial" w:eastAsia="Calibri" w:hAnsi="Arial" w:cs="Arial"/>
          <w:sz w:val="24"/>
        </w:rPr>
        <w:t>,</w:t>
      </w:r>
      <w:r w:rsidR="00B21F20">
        <w:rPr>
          <w:rFonts w:ascii="Arial" w:eastAsia="Calibri" w:hAnsi="Arial" w:cs="Arial"/>
          <w:sz w:val="24"/>
        </w:rPr>
        <w:t xml:space="preserve"> other th</w:t>
      </w:r>
      <w:r w:rsidR="00856B80">
        <w:rPr>
          <w:rFonts w:ascii="Arial" w:eastAsia="Calibri" w:hAnsi="Arial" w:cs="Arial"/>
          <w:sz w:val="24"/>
        </w:rPr>
        <w:t>a</w:t>
      </w:r>
      <w:r w:rsidR="00B21F20">
        <w:rPr>
          <w:rFonts w:ascii="Arial" w:eastAsia="Calibri" w:hAnsi="Arial" w:cs="Arial"/>
          <w:sz w:val="24"/>
        </w:rPr>
        <w:t xml:space="preserve">n the repurchase by </w:t>
      </w:r>
      <w:r w:rsidR="00856B80">
        <w:rPr>
          <w:rFonts w:ascii="Arial" w:eastAsia="Calibri" w:hAnsi="Arial" w:cs="Arial"/>
          <w:sz w:val="24"/>
        </w:rPr>
        <w:t>N</w:t>
      </w:r>
      <w:r w:rsidR="00B21F20">
        <w:rPr>
          <w:rFonts w:ascii="Arial" w:eastAsia="Calibri" w:hAnsi="Arial" w:cs="Arial"/>
          <w:sz w:val="24"/>
        </w:rPr>
        <w:t>ewshelf of shares from Treemo and the flow of the</w:t>
      </w:r>
      <w:r w:rsidR="00201617">
        <w:rPr>
          <w:rFonts w:ascii="Arial" w:eastAsia="Calibri" w:hAnsi="Arial" w:cs="Arial"/>
          <w:sz w:val="24"/>
        </w:rPr>
        <w:t xml:space="preserve"> resultant</w:t>
      </w:r>
      <w:r w:rsidR="00B21F20">
        <w:rPr>
          <w:rFonts w:ascii="Arial" w:eastAsia="Calibri" w:hAnsi="Arial" w:cs="Arial"/>
          <w:sz w:val="24"/>
        </w:rPr>
        <w:t xml:space="preserve"> </w:t>
      </w:r>
      <w:r w:rsidR="00913C24">
        <w:rPr>
          <w:rFonts w:ascii="Arial" w:eastAsia="Calibri" w:hAnsi="Arial" w:cs="Arial"/>
          <w:sz w:val="24"/>
        </w:rPr>
        <w:t>‘</w:t>
      </w:r>
      <w:r w:rsidR="00B21F20">
        <w:rPr>
          <w:rFonts w:ascii="Arial" w:eastAsia="Calibri" w:hAnsi="Arial" w:cs="Arial"/>
          <w:sz w:val="24"/>
        </w:rPr>
        <w:t>repurchase dividend</w:t>
      </w:r>
      <w:r w:rsidR="00913C24">
        <w:rPr>
          <w:rFonts w:ascii="Arial" w:eastAsia="Calibri" w:hAnsi="Arial" w:cs="Arial"/>
          <w:sz w:val="24"/>
        </w:rPr>
        <w:t>’</w:t>
      </w:r>
      <w:r w:rsidR="00B21F20">
        <w:rPr>
          <w:rFonts w:ascii="Arial" w:eastAsia="Calibri" w:hAnsi="Arial" w:cs="Arial"/>
          <w:sz w:val="24"/>
        </w:rPr>
        <w:t xml:space="preserve"> to the applicant and the </w:t>
      </w:r>
      <w:r w:rsidR="00CE21DF">
        <w:rPr>
          <w:rFonts w:ascii="Arial" w:eastAsia="Calibri" w:hAnsi="Arial" w:cs="Arial"/>
          <w:sz w:val="24"/>
        </w:rPr>
        <w:t>Trust and</w:t>
      </w:r>
      <w:r w:rsidR="00B21F20">
        <w:rPr>
          <w:rFonts w:ascii="Arial" w:eastAsia="Calibri" w:hAnsi="Arial" w:cs="Arial"/>
          <w:sz w:val="24"/>
        </w:rPr>
        <w:t xml:space="preserve"> render them liable for dividend tax at 15% of the value of the distributions received by them. </w:t>
      </w:r>
      <w:r w:rsidR="00856B80">
        <w:rPr>
          <w:rFonts w:ascii="Arial" w:eastAsia="Calibri" w:hAnsi="Arial" w:cs="Arial"/>
          <w:sz w:val="24"/>
        </w:rPr>
        <w:t>Consequently, t</w:t>
      </w:r>
      <w:r w:rsidR="00B21F20">
        <w:rPr>
          <w:rFonts w:ascii="Arial" w:eastAsia="Calibri" w:hAnsi="Arial" w:cs="Arial"/>
          <w:sz w:val="24"/>
        </w:rPr>
        <w:t xml:space="preserve">he applicant was invited to submit reasons why </w:t>
      </w:r>
      <w:r w:rsidR="00655C3D">
        <w:rPr>
          <w:rFonts w:ascii="Arial" w:eastAsia="Calibri" w:hAnsi="Arial" w:cs="Arial"/>
          <w:sz w:val="24"/>
        </w:rPr>
        <w:t>the</w:t>
      </w:r>
      <w:r w:rsidR="00B21F20">
        <w:rPr>
          <w:rFonts w:ascii="Arial" w:eastAsia="Calibri" w:hAnsi="Arial" w:cs="Arial"/>
          <w:sz w:val="24"/>
        </w:rPr>
        <w:t xml:space="preserve"> proposed remedy should not be applied and why</w:t>
      </w:r>
      <w:r w:rsidR="006E482E">
        <w:rPr>
          <w:rFonts w:ascii="Arial" w:eastAsia="Calibri" w:hAnsi="Arial" w:cs="Arial"/>
          <w:sz w:val="24"/>
        </w:rPr>
        <w:t>,</w:t>
      </w:r>
      <w:r w:rsidR="00B21F20">
        <w:rPr>
          <w:rFonts w:ascii="Arial" w:eastAsia="Calibri" w:hAnsi="Arial" w:cs="Arial"/>
          <w:sz w:val="24"/>
        </w:rPr>
        <w:t xml:space="preserve"> in addition</w:t>
      </w:r>
      <w:r w:rsidR="006E482E">
        <w:rPr>
          <w:rFonts w:ascii="Arial" w:eastAsia="Calibri" w:hAnsi="Arial" w:cs="Arial"/>
          <w:sz w:val="24"/>
        </w:rPr>
        <w:t>,</w:t>
      </w:r>
      <w:r w:rsidR="00B21F20">
        <w:rPr>
          <w:rFonts w:ascii="Arial" w:eastAsia="Calibri" w:hAnsi="Arial" w:cs="Arial"/>
          <w:sz w:val="24"/>
        </w:rPr>
        <w:t xml:space="preserve"> an understatement penalty, as provided for in </w:t>
      </w:r>
      <w:r w:rsidR="006E482E">
        <w:rPr>
          <w:rFonts w:ascii="Arial" w:eastAsia="Calibri" w:hAnsi="Arial" w:cs="Arial"/>
          <w:sz w:val="24"/>
        </w:rPr>
        <w:t>s 2</w:t>
      </w:r>
      <w:r w:rsidR="00B21F20">
        <w:rPr>
          <w:rFonts w:ascii="Arial" w:eastAsia="Calibri" w:hAnsi="Arial" w:cs="Arial"/>
          <w:sz w:val="24"/>
        </w:rPr>
        <w:t xml:space="preserve">21 of the </w:t>
      </w:r>
      <w:r w:rsidR="006E482E">
        <w:rPr>
          <w:rFonts w:ascii="Arial" w:eastAsia="Calibri" w:hAnsi="Arial" w:cs="Arial"/>
          <w:sz w:val="24"/>
        </w:rPr>
        <w:t>A</w:t>
      </w:r>
      <w:r w:rsidR="00B21F20">
        <w:rPr>
          <w:rFonts w:ascii="Arial" w:eastAsia="Calibri" w:hAnsi="Arial" w:cs="Arial"/>
          <w:sz w:val="24"/>
        </w:rPr>
        <w:t>ct, should not be imposed.</w:t>
      </w:r>
    </w:p>
    <w:p w14:paraId="1C098AF3" w14:textId="1C71A9A0" w:rsidR="00EA2FD3"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19.</w:t>
      </w:r>
      <w:r>
        <w:rPr>
          <w:rFonts w:ascii="Arial" w:eastAsia="Calibri" w:hAnsi="Arial" w:cs="Arial"/>
          <w:sz w:val="24"/>
        </w:rPr>
        <w:tab/>
      </w:r>
      <w:r w:rsidR="00B21F20">
        <w:rPr>
          <w:rFonts w:ascii="Arial" w:eastAsia="Calibri" w:hAnsi="Arial" w:cs="Arial"/>
          <w:sz w:val="24"/>
        </w:rPr>
        <w:t xml:space="preserve">In </w:t>
      </w:r>
      <w:r w:rsidR="006E482E">
        <w:rPr>
          <w:rFonts w:ascii="Arial" w:eastAsia="Calibri" w:hAnsi="Arial" w:cs="Arial"/>
          <w:sz w:val="24"/>
        </w:rPr>
        <w:t xml:space="preserve">a </w:t>
      </w:r>
      <w:r w:rsidR="00B21F20">
        <w:rPr>
          <w:rFonts w:ascii="Arial" w:eastAsia="Calibri" w:hAnsi="Arial" w:cs="Arial"/>
          <w:sz w:val="24"/>
        </w:rPr>
        <w:t>response which was submitted by the applicant’s attorneys on 28 September 2020</w:t>
      </w:r>
      <w:r w:rsidR="006E482E">
        <w:rPr>
          <w:rFonts w:ascii="Arial" w:eastAsia="Calibri" w:hAnsi="Arial" w:cs="Arial"/>
          <w:sz w:val="24"/>
        </w:rPr>
        <w:t xml:space="preserve"> the</w:t>
      </w:r>
      <w:r w:rsidR="00B21F20">
        <w:rPr>
          <w:rFonts w:ascii="Arial" w:eastAsia="Calibri" w:hAnsi="Arial" w:cs="Arial"/>
          <w:sz w:val="24"/>
        </w:rPr>
        <w:t xml:space="preserve"> applicant </w:t>
      </w:r>
      <w:r w:rsidR="003B32D4">
        <w:rPr>
          <w:rFonts w:ascii="Arial" w:eastAsia="Calibri" w:hAnsi="Arial" w:cs="Arial"/>
          <w:sz w:val="24"/>
        </w:rPr>
        <w:t>denied</w:t>
      </w:r>
      <w:r w:rsidR="00B21F20">
        <w:rPr>
          <w:rFonts w:ascii="Arial" w:eastAsia="Calibri" w:hAnsi="Arial" w:cs="Arial"/>
          <w:sz w:val="24"/>
        </w:rPr>
        <w:t xml:space="preserve"> that the transactions </w:t>
      </w:r>
      <w:r w:rsidR="006E482E">
        <w:rPr>
          <w:rFonts w:ascii="Arial" w:eastAsia="Calibri" w:hAnsi="Arial" w:cs="Arial"/>
          <w:sz w:val="24"/>
        </w:rPr>
        <w:t xml:space="preserve">detailed by the Commissioner </w:t>
      </w:r>
      <w:r w:rsidR="00B21F20">
        <w:rPr>
          <w:rFonts w:ascii="Arial" w:eastAsia="Calibri" w:hAnsi="Arial" w:cs="Arial"/>
          <w:sz w:val="24"/>
        </w:rPr>
        <w:t>constitute</w:t>
      </w:r>
      <w:r w:rsidR="003B32D4">
        <w:rPr>
          <w:rFonts w:ascii="Arial" w:eastAsia="Calibri" w:hAnsi="Arial" w:cs="Arial"/>
          <w:sz w:val="24"/>
        </w:rPr>
        <w:t>d</w:t>
      </w:r>
      <w:r w:rsidR="00B21F20">
        <w:rPr>
          <w:rFonts w:ascii="Arial" w:eastAsia="Calibri" w:hAnsi="Arial" w:cs="Arial"/>
          <w:sz w:val="24"/>
        </w:rPr>
        <w:t xml:space="preserve"> </w:t>
      </w:r>
      <w:r w:rsidR="003B32D4">
        <w:rPr>
          <w:rFonts w:ascii="Arial" w:eastAsia="Calibri" w:hAnsi="Arial" w:cs="Arial"/>
          <w:sz w:val="24"/>
        </w:rPr>
        <w:t xml:space="preserve">steps in, or </w:t>
      </w:r>
      <w:r w:rsidR="00C54095">
        <w:rPr>
          <w:rFonts w:ascii="Arial" w:eastAsia="Calibri" w:hAnsi="Arial" w:cs="Arial"/>
          <w:sz w:val="24"/>
        </w:rPr>
        <w:t xml:space="preserve">were </w:t>
      </w:r>
      <w:r w:rsidR="00B21F20">
        <w:rPr>
          <w:rFonts w:ascii="Arial" w:eastAsia="Calibri" w:hAnsi="Arial" w:cs="Arial"/>
          <w:sz w:val="24"/>
        </w:rPr>
        <w:t>part</w:t>
      </w:r>
      <w:r w:rsidR="003B32D4">
        <w:rPr>
          <w:rFonts w:ascii="Arial" w:eastAsia="Calibri" w:hAnsi="Arial" w:cs="Arial"/>
          <w:sz w:val="24"/>
        </w:rPr>
        <w:t>s</w:t>
      </w:r>
      <w:r w:rsidR="00B21F20">
        <w:rPr>
          <w:rFonts w:ascii="Arial" w:eastAsia="Calibri" w:hAnsi="Arial" w:cs="Arial"/>
          <w:sz w:val="24"/>
        </w:rPr>
        <w:t xml:space="preserve"> of</w:t>
      </w:r>
      <w:r w:rsidR="003B32D4">
        <w:rPr>
          <w:rFonts w:ascii="Arial" w:eastAsia="Calibri" w:hAnsi="Arial" w:cs="Arial"/>
          <w:sz w:val="24"/>
        </w:rPr>
        <w:t>, a tax</w:t>
      </w:r>
      <w:r w:rsidR="00B21F20">
        <w:rPr>
          <w:rFonts w:ascii="Arial" w:eastAsia="Calibri" w:hAnsi="Arial" w:cs="Arial"/>
          <w:sz w:val="24"/>
        </w:rPr>
        <w:t xml:space="preserve"> avoidance arrangement</w:t>
      </w:r>
      <w:r w:rsidR="003B32D4">
        <w:rPr>
          <w:rFonts w:ascii="Arial" w:eastAsia="Calibri" w:hAnsi="Arial" w:cs="Arial"/>
          <w:sz w:val="24"/>
        </w:rPr>
        <w:t xml:space="preserve">. </w:t>
      </w:r>
      <w:r w:rsidR="00385D6B">
        <w:rPr>
          <w:rFonts w:ascii="Arial" w:eastAsia="Calibri" w:hAnsi="Arial" w:cs="Arial"/>
          <w:sz w:val="24"/>
        </w:rPr>
        <w:t>He said t</w:t>
      </w:r>
      <w:r w:rsidR="003B32D4">
        <w:rPr>
          <w:rFonts w:ascii="Arial" w:eastAsia="Calibri" w:hAnsi="Arial" w:cs="Arial"/>
          <w:sz w:val="24"/>
        </w:rPr>
        <w:t>hey</w:t>
      </w:r>
      <w:r w:rsidR="00B21F20">
        <w:rPr>
          <w:rFonts w:ascii="Arial" w:eastAsia="Calibri" w:hAnsi="Arial" w:cs="Arial"/>
          <w:sz w:val="24"/>
        </w:rPr>
        <w:t xml:space="preserve"> </w:t>
      </w:r>
      <w:r w:rsidR="0022120B">
        <w:rPr>
          <w:rFonts w:ascii="Arial" w:eastAsia="Calibri" w:hAnsi="Arial" w:cs="Arial"/>
          <w:sz w:val="24"/>
        </w:rPr>
        <w:t xml:space="preserve">had </w:t>
      </w:r>
      <w:r w:rsidR="00913C24">
        <w:rPr>
          <w:rFonts w:ascii="Arial" w:eastAsia="Calibri" w:hAnsi="Arial" w:cs="Arial"/>
          <w:sz w:val="24"/>
        </w:rPr>
        <w:t>taken place</w:t>
      </w:r>
      <w:r w:rsidR="00B21F20">
        <w:rPr>
          <w:rFonts w:ascii="Arial" w:eastAsia="Calibri" w:hAnsi="Arial" w:cs="Arial"/>
          <w:sz w:val="24"/>
        </w:rPr>
        <w:t xml:space="preserve"> after he decided in 2013 to restructure</w:t>
      </w:r>
      <w:r w:rsidR="003B32D4">
        <w:rPr>
          <w:rFonts w:ascii="Arial" w:eastAsia="Calibri" w:hAnsi="Arial" w:cs="Arial"/>
          <w:sz w:val="24"/>
        </w:rPr>
        <w:t xml:space="preserve"> his</w:t>
      </w:r>
      <w:r w:rsidR="00B21F20">
        <w:rPr>
          <w:rFonts w:ascii="Arial" w:eastAsia="Calibri" w:hAnsi="Arial" w:cs="Arial"/>
          <w:sz w:val="24"/>
        </w:rPr>
        <w:t xml:space="preserve"> assets, which involved considerable shareholdings, by consolidating them into a single holding company, for which Treemo was </w:t>
      </w:r>
      <w:r w:rsidR="00DF19CE">
        <w:rPr>
          <w:rFonts w:ascii="Arial" w:eastAsia="Calibri" w:hAnsi="Arial" w:cs="Arial"/>
          <w:sz w:val="24"/>
        </w:rPr>
        <w:t xml:space="preserve">identified and </w:t>
      </w:r>
      <w:r w:rsidR="00B21F20">
        <w:rPr>
          <w:rFonts w:ascii="Arial" w:eastAsia="Calibri" w:hAnsi="Arial" w:cs="Arial"/>
          <w:sz w:val="24"/>
        </w:rPr>
        <w:t xml:space="preserve">acquired </w:t>
      </w:r>
      <w:r w:rsidR="00051A9E">
        <w:rPr>
          <w:rFonts w:ascii="Arial" w:eastAsia="Calibri" w:hAnsi="Arial" w:cs="Arial"/>
          <w:sz w:val="24"/>
        </w:rPr>
        <w:t xml:space="preserve">in 2014 </w:t>
      </w:r>
      <w:r w:rsidR="00B21F20">
        <w:rPr>
          <w:rFonts w:ascii="Arial" w:eastAsia="Calibri" w:hAnsi="Arial" w:cs="Arial"/>
          <w:sz w:val="24"/>
        </w:rPr>
        <w:t xml:space="preserve">via the </w:t>
      </w:r>
      <w:r w:rsidR="003B32D4">
        <w:rPr>
          <w:rFonts w:ascii="Arial" w:eastAsia="Calibri" w:hAnsi="Arial" w:cs="Arial"/>
          <w:sz w:val="24"/>
        </w:rPr>
        <w:t>B</w:t>
      </w:r>
      <w:r w:rsidR="00B21F20">
        <w:rPr>
          <w:rFonts w:ascii="Arial" w:eastAsia="Calibri" w:hAnsi="Arial" w:cs="Arial"/>
          <w:sz w:val="24"/>
        </w:rPr>
        <w:t xml:space="preserve">ravura group of companies. </w:t>
      </w:r>
      <w:r w:rsidR="00385D6B">
        <w:rPr>
          <w:rFonts w:ascii="Arial" w:eastAsia="Calibri" w:hAnsi="Arial" w:cs="Arial"/>
          <w:sz w:val="24"/>
        </w:rPr>
        <w:t>Pursuant thereto</w:t>
      </w:r>
      <w:r w:rsidR="003B32D4">
        <w:rPr>
          <w:rFonts w:ascii="Arial" w:eastAsia="Calibri" w:hAnsi="Arial" w:cs="Arial"/>
          <w:sz w:val="24"/>
        </w:rPr>
        <w:t>, i</w:t>
      </w:r>
      <w:r w:rsidR="00B21F20">
        <w:rPr>
          <w:rFonts w:ascii="Arial" w:eastAsia="Calibri" w:hAnsi="Arial" w:cs="Arial"/>
          <w:sz w:val="24"/>
        </w:rPr>
        <w:t xml:space="preserve">n November 2014 the </w:t>
      </w:r>
      <w:r w:rsidR="006E482E">
        <w:rPr>
          <w:rFonts w:ascii="Arial" w:eastAsia="Calibri" w:hAnsi="Arial" w:cs="Arial"/>
          <w:sz w:val="24"/>
        </w:rPr>
        <w:t>T</w:t>
      </w:r>
      <w:r w:rsidR="00B21F20">
        <w:rPr>
          <w:rFonts w:ascii="Arial" w:eastAsia="Calibri" w:hAnsi="Arial" w:cs="Arial"/>
          <w:sz w:val="24"/>
        </w:rPr>
        <w:t xml:space="preserve">rust entered into an agreement for the acquisition of </w:t>
      </w:r>
      <w:r w:rsidR="007E7125">
        <w:rPr>
          <w:rFonts w:ascii="Arial" w:eastAsia="Calibri" w:hAnsi="Arial" w:cs="Arial"/>
          <w:sz w:val="24"/>
        </w:rPr>
        <w:t>shares in Treemo</w:t>
      </w:r>
      <w:r w:rsidR="00B21F20">
        <w:rPr>
          <w:rFonts w:ascii="Arial" w:eastAsia="Calibri" w:hAnsi="Arial" w:cs="Arial"/>
          <w:sz w:val="24"/>
        </w:rPr>
        <w:t xml:space="preserve"> and a month later the applicant transferred his various shareholdings to it</w:t>
      </w:r>
      <w:r w:rsidR="006E482E">
        <w:rPr>
          <w:rFonts w:ascii="Arial" w:eastAsia="Calibri" w:hAnsi="Arial" w:cs="Arial"/>
          <w:sz w:val="24"/>
        </w:rPr>
        <w:t>,</w:t>
      </w:r>
      <w:r w:rsidR="00B21F20">
        <w:rPr>
          <w:rFonts w:ascii="Arial" w:eastAsia="Calibri" w:hAnsi="Arial" w:cs="Arial"/>
          <w:sz w:val="24"/>
        </w:rPr>
        <w:t xml:space="preserve"> in exchange for shares in it.</w:t>
      </w:r>
      <w:r w:rsidR="008875D6">
        <w:rPr>
          <w:rFonts w:ascii="Arial" w:eastAsia="Calibri" w:hAnsi="Arial" w:cs="Arial"/>
          <w:sz w:val="24"/>
        </w:rPr>
        <w:t xml:space="preserve"> </w:t>
      </w:r>
    </w:p>
    <w:p w14:paraId="443F0B98" w14:textId="1A0DBF54" w:rsidR="0022120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lastRenderedPageBreak/>
        <w:t>20.</w:t>
      </w:r>
      <w:r>
        <w:rPr>
          <w:rFonts w:ascii="Arial" w:eastAsia="Calibri" w:hAnsi="Arial" w:cs="Arial"/>
          <w:sz w:val="24"/>
        </w:rPr>
        <w:tab/>
      </w:r>
      <w:r w:rsidR="004A79F3">
        <w:rPr>
          <w:rFonts w:ascii="Arial" w:eastAsia="Calibri" w:hAnsi="Arial" w:cs="Arial"/>
          <w:sz w:val="24"/>
        </w:rPr>
        <w:t>A</w:t>
      </w:r>
      <w:r w:rsidR="008875D6">
        <w:rPr>
          <w:rFonts w:ascii="Arial" w:eastAsia="Calibri" w:hAnsi="Arial" w:cs="Arial"/>
          <w:sz w:val="24"/>
        </w:rPr>
        <w:t>t or about this time Steinhoff International Holdings Ltd</w:t>
      </w:r>
      <w:r w:rsidR="0022120B">
        <w:rPr>
          <w:rFonts w:ascii="Arial" w:eastAsia="Calibri" w:hAnsi="Arial" w:cs="Arial"/>
          <w:sz w:val="24"/>
        </w:rPr>
        <w:t xml:space="preserve"> </w:t>
      </w:r>
      <w:r w:rsidR="004A79F3">
        <w:rPr>
          <w:rFonts w:ascii="Arial" w:eastAsia="Calibri" w:hAnsi="Arial" w:cs="Arial"/>
          <w:sz w:val="24"/>
        </w:rPr>
        <w:t>(</w:t>
      </w:r>
      <w:r w:rsidR="0022120B">
        <w:rPr>
          <w:rFonts w:ascii="Arial" w:eastAsia="Calibri" w:hAnsi="Arial" w:cs="Arial"/>
          <w:sz w:val="24"/>
        </w:rPr>
        <w:t xml:space="preserve">a </w:t>
      </w:r>
      <w:r w:rsidR="007B6495">
        <w:rPr>
          <w:rFonts w:ascii="Arial" w:eastAsia="Calibri" w:hAnsi="Arial" w:cs="Arial"/>
          <w:sz w:val="24"/>
        </w:rPr>
        <w:t xml:space="preserve">multinational </w:t>
      </w:r>
      <w:r w:rsidR="0022120B">
        <w:rPr>
          <w:rFonts w:ascii="Arial" w:eastAsia="Calibri" w:hAnsi="Arial" w:cs="Arial"/>
          <w:sz w:val="24"/>
        </w:rPr>
        <w:t xml:space="preserve">South African company which </w:t>
      </w:r>
      <w:r w:rsidR="00580A1E">
        <w:rPr>
          <w:rFonts w:ascii="Arial" w:eastAsia="Calibri" w:hAnsi="Arial" w:cs="Arial"/>
          <w:sz w:val="24"/>
        </w:rPr>
        <w:t>was</w:t>
      </w:r>
      <w:r w:rsidR="0022120B">
        <w:rPr>
          <w:rFonts w:ascii="Arial" w:eastAsia="Calibri" w:hAnsi="Arial" w:cs="Arial"/>
          <w:sz w:val="24"/>
        </w:rPr>
        <w:t xml:space="preserve"> </w:t>
      </w:r>
      <w:r w:rsidR="007B6495">
        <w:rPr>
          <w:rFonts w:ascii="Arial" w:eastAsia="Calibri" w:hAnsi="Arial" w:cs="Arial"/>
          <w:sz w:val="24"/>
        </w:rPr>
        <w:t xml:space="preserve">also </w:t>
      </w:r>
      <w:r w:rsidR="0022120B">
        <w:rPr>
          <w:rFonts w:ascii="Arial" w:eastAsia="Calibri" w:hAnsi="Arial" w:cs="Arial"/>
          <w:sz w:val="24"/>
        </w:rPr>
        <w:t xml:space="preserve">listed </w:t>
      </w:r>
      <w:r w:rsidR="00580A1E">
        <w:rPr>
          <w:rFonts w:ascii="Arial" w:eastAsia="Calibri" w:hAnsi="Arial" w:cs="Arial"/>
          <w:sz w:val="24"/>
        </w:rPr>
        <w:t>in Germany</w:t>
      </w:r>
      <w:r w:rsidR="004A79F3">
        <w:rPr>
          <w:rFonts w:ascii="Arial" w:eastAsia="Calibri" w:hAnsi="Arial" w:cs="Arial"/>
          <w:sz w:val="24"/>
        </w:rPr>
        <w:t>)</w:t>
      </w:r>
      <w:r w:rsidR="0022120B">
        <w:rPr>
          <w:rFonts w:ascii="Arial" w:eastAsia="Calibri" w:hAnsi="Arial" w:cs="Arial"/>
          <w:sz w:val="24"/>
        </w:rPr>
        <w:t>,</w:t>
      </w:r>
      <w:r w:rsidR="008875D6">
        <w:rPr>
          <w:rFonts w:ascii="Arial" w:eastAsia="Calibri" w:hAnsi="Arial" w:cs="Arial"/>
          <w:sz w:val="24"/>
        </w:rPr>
        <w:t xml:space="preserve"> </w:t>
      </w:r>
      <w:r w:rsidR="00237832">
        <w:rPr>
          <w:rFonts w:ascii="Arial" w:eastAsia="Calibri" w:hAnsi="Arial" w:cs="Arial"/>
          <w:sz w:val="24"/>
        </w:rPr>
        <w:t xml:space="preserve">had </w:t>
      </w:r>
      <w:r w:rsidR="0022120B">
        <w:rPr>
          <w:rFonts w:ascii="Arial" w:eastAsia="Calibri" w:hAnsi="Arial" w:cs="Arial"/>
          <w:sz w:val="24"/>
        </w:rPr>
        <w:t xml:space="preserve">decided to </w:t>
      </w:r>
      <w:r w:rsidR="000D6B9D">
        <w:rPr>
          <w:rFonts w:ascii="Arial" w:eastAsia="Calibri" w:hAnsi="Arial" w:cs="Arial"/>
          <w:sz w:val="24"/>
        </w:rPr>
        <w:t>conclude</w:t>
      </w:r>
      <w:r w:rsidR="008875D6">
        <w:rPr>
          <w:rFonts w:ascii="Arial" w:eastAsia="Calibri" w:hAnsi="Arial" w:cs="Arial"/>
          <w:sz w:val="24"/>
        </w:rPr>
        <w:t xml:space="preserve"> a </w:t>
      </w:r>
      <w:r w:rsidR="00201617">
        <w:rPr>
          <w:rFonts w:ascii="Arial" w:eastAsia="Calibri" w:hAnsi="Arial" w:cs="Arial"/>
          <w:sz w:val="24"/>
        </w:rPr>
        <w:t>deal</w:t>
      </w:r>
      <w:r w:rsidR="008875D6">
        <w:rPr>
          <w:rFonts w:ascii="Arial" w:eastAsia="Calibri" w:hAnsi="Arial" w:cs="Arial"/>
          <w:sz w:val="24"/>
        </w:rPr>
        <w:t xml:space="preserve"> with </w:t>
      </w:r>
      <w:r w:rsidR="00237832">
        <w:rPr>
          <w:rFonts w:ascii="Arial" w:eastAsia="Calibri" w:hAnsi="Arial" w:cs="Arial"/>
          <w:sz w:val="24"/>
        </w:rPr>
        <w:t>several</w:t>
      </w:r>
      <w:r w:rsidR="008875D6">
        <w:rPr>
          <w:rFonts w:ascii="Arial" w:eastAsia="Calibri" w:hAnsi="Arial" w:cs="Arial"/>
          <w:sz w:val="24"/>
        </w:rPr>
        <w:t xml:space="preserve"> corporate entities </w:t>
      </w:r>
      <w:r w:rsidR="00237832">
        <w:rPr>
          <w:rFonts w:ascii="Arial" w:eastAsia="Calibri" w:hAnsi="Arial" w:cs="Arial"/>
          <w:sz w:val="24"/>
        </w:rPr>
        <w:t>whereby it would acquire a 92% equity interest in P</w:t>
      </w:r>
      <w:r w:rsidR="008875D6">
        <w:rPr>
          <w:rFonts w:ascii="Arial" w:eastAsia="Calibri" w:hAnsi="Arial" w:cs="Arial"/>
          <w:sz w:val="24"/>
        </w:rPr>
        <w:t>ep</w:t>
      </w:r>
      <w:r w:rsidR="0022120B">
        <w:rPr>
          <w:rFonts w:ascii="Arial" w:eastAsia="Calibri" w:hAnsi="Arial" w:cs="Arial"/>
          <w:sz w:val="24"/>
        </w:rPr>
        <w:t>k</w:t>
      </w:r>
      <w:r w:rsidR="008875D6">
        <w:rPr>
          <w:rFonts w:ascii="Arial" w:eastAsia="Calibri" w:hAnsi="Arial" w:cs="Arial"/>
          <w:sz w:val="24"/>
        </w:rPr>
        <w:t xml:space="preserve">or, for </w:t>
      </w:r>
      <w:r w:rsidR="0022120B">
        <w:rPr>
          <w:rFonts w:ascii="Arial" w:eastAsia="Calibri" w:hAnsi="Arial" w:cs="Arial"/>
          <w:sz w:val="24"/>
        </w:rPr>
        <w:t>a</w:t>
      </w:r>
      <w:r w:rsidR="00237832">
        <w:rPr>
          <w:rFonts w:ascii="Arial" w:eastAsia="Calibri" w:hAnsi="Arial" w:cs="Arial"/>
          <w:sz w:val="24"/>
        </w:rPr>
        <w:t xml:space="preserve">n overall </w:t>
      </w:r>
      <w:r w:rsidR="008875D6">
        <w:rPr>
          <w:rFonts w:ascii="Arial" w:eastAsia="Calibri" w:hAnsi="Arial" w:cs="Arial"/>
          <w:sz w:val="24"/>
        </w:rPr>
        <w:t xml:space="preserve">purchase consideration of R 62.8 billion. </w:t>
      </w:r>
      <w:r w:rsidR="00C54095">
        <w:rPr>
          <w:rFonts w:ascii="Arial" w:eastAsia="Calibri" w:hAnsi="Arial" w:cs="Arial"/>
          <w:sz w:val="24"/>
        </w:rPr>
        <w:t xml:space="preserve">Pepkor shareholders were not to be paid in cash for their shares but would exchange them for shares in Steinhoff. </w:t>
      </w:r>
      <w:r w:rsidR="008875D6">
        <w:rPr>
          <w:rFonts w:ascii="Arial" w:eastAsia="Calibri" w:hAnsi="Arial" w:cs="Arial"/>
          <w:sz w:val="24"/>
        </w:rPr>
        <w:t>The remaining 8% shareholding in Pep</w:t>
      </w:r>
      <w:r w:rsidR="0022120B">
        <w:rPr>
          <w:rFonts w:ascii="Arial" w:eastAsia="Calibri" w:hAnsi="Arial" w:cs="Arial"/>
          <w:sz w:val="24"/>
        </w:rPr>
        <w:t>k</w:t>
      </w:r>
      <w:r w:rsidR="008875D6">
        <w:rPr>
          <w:rFonts w:ascii="Arial" w:eastAsia="Calibri" w:hAnsi="Arial" w:cs="Arial"/>
          <w:sz w:val="24"/>
        </w:rPr>
        <w:t>or would continue to be held by its management</w:t>
      </w:r>
      <w:r w:rsidR="0022120B">
        <w:rPr>
          <w:rFonts w:ascii="Arial" w:eastAsia="Calibri" w:hAnsi="Arial" w:cs="Arial"/>
          <w:sz w:val="24"/>
        </w:rPr>
        <w:t>, including the applicant</w:t>
      </w:r>
      <w:r w:rsidR="008875D6">
        <w:rPr>
          <w:rFonts w:ascii="Arial" w:eastAsia="Calibri" w:hAnsi="Arial" w:cs="Arial"/>
          <w:sz w:val="24"/>
        </w:rPr>
        <w:t xml:space="preserve">.  </w:t>
      </w:r>
    </w:p>
    <w:p w14:paraId="2C7FBD23" w14:textId="026FE76C" w:rsidR="00B21F20"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21.</w:t>
      </w:r>
      <w:r>
        <w:rPr>
          <w:rFonts w:ascii="Arial" w:eastAsia="Calibri" w:hAnsi="Arial" w:cs="Arial"/>
          <w:sz w:val="24"/>
        </w:rPr>
        <w:tab/>
      </w:r>
      <w:r w:rsidR="00770BED">
        <w:rPr>
          <w:rFonts w:ascii="Arial" w:eastAsia="Calibri" w:hAnsi="Arial" w:cs="Arial"/>
          <w:sz w:val="24"/>
        </w:rPr>
        <w:t>S</w:t>
      </w:r>
      <w:r w:rsidR="00580A1E">
        <w:rPr>
          <w:rFonts w:ascii="Arial" w:eastAsia="Calibri" w:hAnsi="Arial" w:cs="Arial"/>
          <w:sz w:val="24"/>
        </w:rPr>
        <w:t>ubsequent to</w:t>
      </w:r>
      <w:r w:rsidR="0022120B">
        <w:rPr>
          <w:rFonts w:ascii="Arial" w:eastAsia="Calibri" w:hAnsi="Arial" w:cs="Arial"/>
          <w:sz w:val="24"/>
        </w:rPr>
        <w:t xml:space="preserve"> this, i</w:t>
      </w:r>
      <w:r w:rsidR="008875D6">
        <w:rPr>
          <w:rFonts w:ascii="Arial" w:eastAsia="Calibri" w:hAnsi="Arial" w:cs="Arial"/>
          <w:sz w:val="24"/>
        </w:rPr>
        <w:t xml:space="preserve">n January 2015 negotiations </w:t>
      </w:r>
      <w:r w:rsidR="002840A0">
        <w:rPr>
          <w:rFonts w:ascii="Arial" w:eastAsia="Calibri" w:hAnsi="Arial" w:cs="Arial"/>
          <w:sz w:val="24"/>
        </w:rPr>
        <w:t xml:space="preserve">had </w:t>
      </w:r>
      <w:r w:rsidR="008875D6">
        <w:rPr>
          <w:rFonts w:ascii="Arial" w:eastAsia="Calibri" w:hAnsi="Arial" w:cs="Arial"/>
          <w:sz w:val="24"/>
        </w:rPr>
        <w:t xml:space="preserve">commenced </w:t>
      </w:r>
      <w:r w:rsidR="004A79F3">
        <w:rPr>
          <w:rFonts w:ascii="Arial" w:eastAsia="Calibri" w:hAnsi="Arial" w:cs="Arial"/>
          <w:sz w:val="24"/>
        </w:rPr>
        <w:t>regarding</w:t>
      </w:r>
      <w:r w:rsidR="008875D6">
        <w:rPr>
          <w:rFonts w:ascii="Arial" w:eastAsia="Calibri" w:hAnsi="Arial" w:cs="Arial"/>
          <w:sz w:val="24"/>
        </w:rPr>
        <w:t xml:space="preserve"> the </w:t>
      </w:r>
      <w:r w:rsidR="00220D3E">
        <w:rPr>
          <w:rFonts w:ascii="Arial" w:eastAsia="Calibri" w:hAnsi="Arial" w:cs="Arial"/>
          <w:sz w:val="24"/>
        </w:rPr>
        <w:t>applicant’s shareholding</w:t>
      </w:r>
      <w:r w:rsidR="008875D6">
        <w:rPr>
          <w:rFonts w:ascii="Arial" w:eastAsia="Calibri" w:hAnsi="Arial" w:cs="Arial"/>
          <w:sz w:val="24"/>
        </w:rPr>
        <w:t xml:space="preserve"> in Pep</w:t>
      </w:r>
      <w:r w:rsidR="0022120B">
        <w:rPr>
          <w:rFonts w:ascii="Arial" w:eastAsia="Calibri" w:hAnsi="Arial" w:cs="Arial"/>
          <w:sz w:val="24"/>
        </w:rPr>
        <w:t>k</w:t>
      </w:r>
      <w:r w:rsidR="008875D6">
        <w:rPr>
          <w:rFonts w:ascii="Arial" w:eastAsia="Calibri" w:hAnsi="Arial" w:cs="Arial"/>
          <w:sz w:val="24"/>
        </w:rPr>
        <w:t xml:space="preserve">or, which was held at the time </w:t>
      </w:r>
      <w:r w:rsidR="008C71A5">
        <w:rPr>
          <w:rFonts w:ascii="Arial" w:eastAsia="Calibri" w:hAnsi="Arial" w:cs="Arial"/>
          <w:sz w:val="24"/>
        </w:rPr>
        <w:t>via</w:t>
      </w:r>
      <w:r w:rsidR="008875D6">
        <w:rPr>
          <w:rFonts w:ascii="Arial" w:eastAsia="Calibri" w:hAnsi="Arial" w:cs="Arial"/>
          <w:sz w:val="24"/>
        </w:rPr>
        <w:t xml:space="preserve"> Treemo</w:t>
      </w:r>
      <w:r w:rsidR="00580A1E">
        <w:rPr>
          <w:rFonts w:ascii="Arial" w:eastAsia="Calibri" w:hAnsi="Arial" w:cs="Arial"/>
          <w:sz w:val="24"/>
        </w:rPr>
        <w:t xml:space="preserve">, </w:t>
      </w:r>
      <w:r w:rsidR="00233CE9">
        <w:rPr>
          <w:rFonts w:ascii="Arial" w:eastAsia="Calibri" w:hAnsi="Arial" w:cs="Arial"/>
          <w:sz w:val="24"/>
        </w:rPr>
        <w:t>and other corporate entities</w:t>
      </w:r>
      <w:r w:rsidR="008875D6">
        <w:rPr>
          <w:rFonts w:ascii="Arial" w:eastAsia="Calibri" w:hAnsi="Arial" w:cs="Arial"/>
          <w:sz w:val="24"/>
        </w:rPr>
        <w:t xml:space="preserve">. These negotiations resulted in </w:t>
      </w:r>
      <w:r w:rsidR="004A79F3">
        <w:rPr>
          <w:rFonts w:ascii="Arial" w:eastAsia="Calibri" w:hAnsi="Arial" w:cs="Arial"/>
          <w:sz w:val="24"/>
        </w:rPr>
        <w:t>additional</w:t>
      </w:r>
      <w:r w:rsidR="0022120B">
        <w:rPr>
          <w:rFonts w:ascii="Arial" w:eastAsia="Calibri" w:hAnsi="Arial" w:cs="Arial"/>
          <w:sz w:val="24"/>
        </w:rPr>
        <w:t xml:space="preserve"> </w:t>
      </w:r>
      <w:r w:rsidR="008875D6">
        <w:rPr>
          <w:rFonts w:ascii="Arial" w:eastAsia="Calibri" w:hAnsi="Arial" w:cs="Arial"/>
          <w:sz w:val="24"/>
        </w:rPr>
        <w:t>agreements be</w:t>
      </w:r>
      <w:r w:rsidR="0022120B">
        <w:rPr>
          <w:rFonts w:ascii="Arial" w:eastAsia="Calibri" w:hAnsi="Arial" w:cs="Arial"/>
          <w:sz w:val="24"/>
        </w:rPr>
        <w:t>i</w:t>
      </w:r>
      <w:r w:rsidR="008875D6">
        <w:rPr>
          <w:rFonts w:ascii="Arial" w:eastAsia="Calibri" w:hAnsi="Arial" w:cs="Arial"/>
          <w:sz w:val="24"/>
        </w:rPr>
        <w:t>n</w:t>
      </w:r>
      <w:r w:rsidR="0022120B">
        <w:rPr>
          <w:rFonts w:ascii="Arial" w:eastAsia="Calibri" w:hAnsi="Arial" w:cs="Arial"/>
          <w:sz w:val="24"/>
        </w:rPr>
        <w:t>g</w:t>
      </w:r>
      <w:r w:rsidR="008875D6">
        <w:rPr>
          <w:rFonts w:ascii="Arial" w:eastAsia="Calibri" w:hAnsi="Arial" w:cs="Arial"/>
          <w:sz w:val="24"/>
        </w:rPr>
        <w:t xml:space="preserve"> concluded in February 2015 whereby </w:t>
      </w:r>
      <w:r w:rsidR="0022120B">
        <w:rPr>
          <w:rFonts w:ascii="Arial" w:eastAsia="Calibri" w:hAnsi="Arial" w:cs="Arial"/>
          <w:sz w:val="24"/>
        </w:rPr>
        <w:t>1) N</w:t>
      </w:r>
      <w:r w:rsidR="008875D6">
        <w:rPr>
          <w:rFonts w:ascii="Arial" w:eastAsia="Calibri" w:hAnsi="Arial" w:cs="Arial"/>
          <w:sz w:val="24"/>
        </w:rPr>
        <w:t xml:space="preserve">ewshelf repurchased </w:t>
      </w:r>
      <w:r w:rsidR="008C71A5">
        <w:rPr>
          <w:rFonts w:ascii="Arial" w:eastAsia="Calibri" w:hAnsi="Arial" w:cs="Arial"/>
          <w:sz w:val="24"/>
        </w:rPr>
        <w:t xml:space="preserve">a class of </w:t>
      </w:r>
      <w:r w:rsidR="008875D6">
        <w:rPr>
          <w:rFonts w:ascii="Arial" w:eastAsia="Calibri" w:hAnsi="Arial" w:cs="Arial"/>
          <w:sz w:val="24"/>
        </w:rPr>
        <w:t xml:space="preserve">ordinary shares which </w:t>
      </w:r>
      <w:r w:rsidR="00580A1E">
        <w:rPr>
          <w:rFonts w:ascii="Arial" w:eastAsia="Calibri" w:hAnsi="Arial" w:cs="Arial"/>
          <w:sz w:val="24"/>
        </w:rPr>
        <w:t xml:space="preserve">it </w:t>
      </w:r>
      <w:r w:rsidR="008875D6">
        <w:rPr>
          <w:rFonts w:ascii="Arial" w:eastAsia="Calibri" w:hAnsi="Arial" w:cs="Arial"/>
          <w:sz w:val="24"/>
        </w:rPr>
        <w:t>held in Treemo</w:t>
      </w:r>
      <w:r w:rsidR="008C71A5">
        <w:rPr>
          <w:rFonts w:ascii="Arial" w:eastAsia="Calibri" w:hAnsi="Arial" w:cs="Arial"/>
          <w:sz w:val="24"/>
        </w:rPr>
        <w:t>,</w:t>
      </w:r>
      <w:r w:rsidR="0022120B">
        <w:rPr>
          <w:rFonts w:ascii="Arial" w:eastAsia="Calibri" w:hAnsi="Arial" w:cs="Arial"/>
          <w:sz w:val="24"/>
        </w:rPr>
        <w:t xml:space="preserve"> and the proceeds thereof </w:t>
      </w:r>
      <w:r w:rsidR="00C54095">
        <w:rPr>
          <w:rFonts w:ascii="Arial" w:eastAsia="Calibri" w:hAnsi="Arial" w:cs="Arial"/>
          <w:sz w:val="24"/>
        </w:rPr>
        <w:t>(</w:t>
      </w:r>
      <w:r w:rsidR="00201617">
        <w:rPr>
          <w:rFonts w:ascii="Arial" w:eastAsia="Calibri" w:hAnsi="Arial" w:cs="Arial"/>
          <w:sz w:val="24"/>
        </w:rPr>
        <w:t xml:space="preserve">i.e </w:t>
      </w:r>
      <w:r w:rsidR="0022120B">
        <w:rPr>
          <w:rFonts w:ascii="Arial" w:eastAsia="Calibri" w:hAnsi="Arial" w:cs="Arial"/>
          <w:sz w:val="24"/>
        </w:rPr>
        <w:t xml:space="preserve">the </w:t>
      </w:r>
      <w:r w:rsidR="00E3265E">
        <w:rPr>
          <w:rFonts w:ascii="Arial" w:eastAsia="Calibri" w:hAnsi="Arial" w:cs="Arial"/>
          <w:sz w:val="24"/>
        </w:rPr>
        <w:t xml:space="preserve">so-called </w:t>
      </w:r>
      <w:r w:rsidR="0022120B">
        <w:rPr>
          <w:rFonts w:ascii="Arial" w:eastAsia="Calibri" w:hAnsi="Arial" w:cs="Arial"/>
          <w:sz w:val="24"/>
        </w:rPr>
        <w:t>‘repurchase dividend’</w:t>
      </w:r>
      <w:r w:rsidR="00C54095">
        <w:rPr>
          <w:rFonts w:ascii="Arial" w:eastAsia="Calibri" w:hAnsi="Arial" w:cs="Arial"/>
          <w:sz w:val="24"/>
        </w:rPr>
        <w:t>)</w:t>
      </w:r>
      <w:r w:rsidR="0022120B">
        <w:rPr>
          <w:rFonts w:ascii="Arial" w:eastAsia="Calibri" w:hAnsi="Arial" w:cs="Arial"/>
          <w:sz w:val="24"/>
        </w:rPr>
        <w:t xml:space="preserve"> were</w:t>
      </w:r>
      <w:r w:rsidR="008875D6">
        <w:rPr>
          <w:rFonts w:ascii="Arial" w:eastAsia="Calibri" w:hAnsi="Arial" w:cs="Arial"/>
          <w:sz w:val="24"/>
        </w:rPr>
        <w:t xml:space="preserve"> </w:t>
      </w:r>
      <w:r w:rsidR="008C71A5">
        <w:rPr>
          <w:rFonts w:ascii="Arial" w:eastAsia="Calibri" w:hAnsi="Arial" w:cs="Arial"/>
          <w:sz w:val="24"/>
        </w:rPr>
        <w:t xml:space="preserve">in turn </w:t>
      </w:r>
      <w:r w:rsidR="008875D6">
        <w:rPr>
          <w:rFonts w:ascii="Arial" w:eastAsia="Calibri" w:hAnsi="Arial" w:cs="Arial"/>
          <w:sz w:val="24"/>
        </w:rPr>
        <w:t>used</w:t>
      </w:r>
      <w:r w:rsidR="0022120B">
        <w:rPr>
          <w:rFonts w:ascii="Arial" w:eastAsia="Calibri" w:hAnsi="Arial" w:cs="Arial"/>
          <w:sz w:val="24"/>
        </w:rPr>
        <w:t xml:space="preserve"> by Treemo</w:t>
      </w:r>
      <w:r w:rsidR="008875D6">
        <w:rPr>
          <w:rFonts w:ascii="Arial" w:eastAsia="Calibri" w:hAnsi="Arial" w:cs="Arial"/>
          <w:sz w:val="24"/>
        </w:rPr>
        <w:t xml:space="preserve"> to </w:t>
      </w:r>
      <w:r w:rsidR="007B6495">
        <w:rPr>
          <w:rFonts w:ascii="Arial" w:eastAsia="Calibri" w:hAnsi="Arial" w:cs="Arial"/>
          <w:sz w:val="24"/>
        </w:rPr>
        <w:t>re</w:t>
      </w:r>
      <w:r w:rsidR="008875D6">
        <w:rPr>
          <w:rFonts w:ascii="Arial" w:eastAsia="Calibri" w:hAnsi="Arial" w:cs="Arial"/>
          <w:sz w:val="24"/>
        </w:rPr>
        <w:t xml:space="preserve">subscribe for another class of ordinary shares in </w:t>
      </w:r>
      <w:r w:rsidR="0022120B">
        <w:rPr>
          <w:rFonts w:ascii="Arial" w:eastAsia="Calibri" w:hAnsi="Arial" w:cs="Arial"/>
          <w:sz w:val="24"/>
        </w:rPr>
        <w:t>N</w:t>
      </w:r>
      <w:r w:rsidR="008875D6">
        <w:rPr>
          <w:rFonts w:ascii="Arial" w:eastAsia="Calibri" w:hAnsi="Arial" w:cs="Arial"/>
          <w:sz w:val="24"/>
        </w:rPr>
        <w:t xml:space="preserve">ewshelf and </w:t>
      </w:r>
      <w:r w:rsidR="0022120B">
        <w:rPr>
          <w:rFonts w:ascii="Arial" w:eastAsia="Calibri" w:hAnsi="Arial" w:cs="Arial"/>
          <w:sz w:val="24"/>
        </w:rPr>
        <w:t xml:space="preserve">2) </w:t>
      </w:r>
      <w:r w:rsidR="008875D6">
        <w:rPr>
          <w:rFonts w:ascii="Arial" w:eastAsia="Calibri" w:hAnsi="Arial" w:cs="Arial"/>
          <w:sz w:val="24"/>
        </w:rPr>
        <w:t xml:space="preserve">Treemo and Klee </w:t>
      </w:r>
      <w:r w:rsidR="0022120B">
        <w:rPr>
          <w:rFonts w:ascii="Arial" w:eastAsia="Calibri" w:hAnsi="Arial" w:cs="Arial"/>
          <w:sz w:val="24"/>
        </w:rPr>
        <w:t xml:space="preserve">in turn </w:t>
      </w:r>
      <w:r w:rsidR="008875D6">
        <w:rPr>
          <w:rFonts w:ascii="Arial" w:eastAsia="Calibri" w:hAnsi="Arial" w:cs="Arial"/>
          <w:sz w:val="24"/>
        </w:rPr>
        <w:t>exchange</w:t>
      </w:r>
      <w:r w:rsidR="0022120B">
        <w:rPr>
          <w:rFonts w:ascii="Arial" w:eastAsia="Calibri" w:hAnsi="Arial" w:cs="Arial"/>
          <w:sz w:val="24"/>
        </w:rPr>
        <w:t>d</w:t>
      </w:r>
      <w:r w:rsidR="008875D6">
        <w:rPr>
          <w:rFonts w:ascii="Arial" w:eastAsia="Calibri" w:hAnsi="Arial" w:cs="Arial"/>
          <w:sz w:val="24"/>
        </w:rPr>
        <w:t xml:space="preserve"> their respective shareholdings in Pep</w:t>
      </w:r>
      <w:r w:rsidR="0022120B">
        <w:rPr>
          <w:rFonts w:ascii="Arial" w:eastAsia="Calibri" w:hAnsi="Arial" w:cs="Arial"/>
          <w:sz w:val="24"/>
        </w:rPr>
        <w:t>k</w:t>
      </w:r>
      <w:r w:rsidR="008875D6">
        <w:rPr>
          <w:rFonts w:ascii="Arial" w:eastAsia="Calibri" w:hAnsi="Arial" w:cs="Arial"/>
          <w:sz w:val="24"/>
        </w:rPr>
        <w:t xml:space="preserve">or and </w:t>
      </w:r>
      <w:r w:rsidR="0022120B">
        <w:rPr>
          <w:rFonts w:ascii="Arial" w:eastAsia="Calibri" w:hAnsi="Arial" w:cs="Arial"/>
          <w:sz w:val="24"/>
        </w:rPr>
        <w:t>N</w:t>
      </w:r>
      <w:r w:rsidR="008875D6">
        <w:rPr>
          <w:rFonts w:ascii="Arial" w:eastAsia="Calibri" w:hAnsi="Arial" w:cs="Arial"/>
          <w:sz w:val="24"/>
        </w:rPr>
        <w:t>ewshelf for shares in Steinhoff. These agreements were conditional upon approval be</w:t>
      </w:r>
      <w:r w:rsidR="0022120B">
        <w:rPr>
          <w:rFonts w:ascii="Arial" w:eastAsia="Calibri" w:hAnsi="Arial" w:cs="Arial"/>
          <w:sz w:val="24"/>
        </w:rPr>
        <w:t>ing</w:t>
      </w:r>
      <w:r w:rsidR="008875D6">
        <w:rPr>
          <w:rFonts w:ascii="Arial" w:eastAsia="Calibri" w:hAnsi="Arial" w:cs="Arial"/>
          <w:sz w:val="24"/>
        </w:rPr>
        <w:t xml:space="preserve"> obtained </w:t>
      </w:r>
      <w:r w:rsidR="0022120B">
        <w:rPr>
          <w:rFonts w:ascii="Arial" w:eastAsia="Calibri" w:hAnsi="Arial" w:cs="Arial"/>
          <w:sz w:val="24"/>
        </w:rPr>
        <w:t xml:space="preserve">for the </w:t>
      </w:r>
      <w:r w:rsidR="007B6495">
        <w:rPr>
          <w:rFonts w:ascii="Arial" w:eastAsia="Calibri" w:hAnsi="Arial" w:cs="Arial"/>
          <w:sz w:val="24"/>
        </w:rPr>
        <w:t xml:space="preserve">underlying transactions </w:t>
      </w:r>
      <w:r w:rsidR="008875D6">
        <w:rPr>
          <w:rFonts w:ascii="Arial" w:eastAsia="Calibri" w:hAnsi="Arial" w:cs="Arial"/>
          <w:sz w:val="24"/>
        </w:rPr>
        <w:t xml:space="preserve">from the </w:t>
      </w:r>
      <w:r w:rsidR="007B6495">
        <w:rPr>
          <w:rFonts w:ascii="Arial" w:eastAsia="Calibri" w:hAnsi="Arial" w:cs="Arial"/>
          <w:sz w:val="24"/>
        </w:rPr>
        <w:t>C</w:t>
      </w:r>
      <w:r w:rsidR="008875D6">
        <w:rPr>
          <w:rFonts w:ascii="Arial" w:eastAsia="Calibri" w:hAnsi="Arial" w:cs="Arial"/>
          <w:sz w:val="24"/>
        </w:rPr>
        <w:t xml:space="preserve">ompetition </w:t>
      </w:r>
      <w:r w:rsidR="007B6495">
        <w:rPr>
          <w:rFonts w:ascii="Arial" w:eastAsia="Calibri" w:hAnsi="Arial" w:cs="Arial"/>
          <w:sz w:val="24"/>
        </w:rPr>
        <w:t>C</w:t>
      </w:r>
      <w:r w:rsidR="008875D6">
        <w:rPr>
          <w:rFonts w:ascii="Arial" w:eastAsia="Calibri" w:hAnsi="Arial" w:cs="Arial"/>
          <w:sz w:val="24"/>
        </w:rPr>
        <w:t>ommission</w:t>
      </w:r>
      <w:r w:rsidR="007B6495">
        <w:rPr>
          <w:rFonts w:ascii="Arial" w:eastAsia="Calibri" w:hAnsi="Arial" w:cs="Arial"/>
          <w:sz w:val="24"/>
        </w:rPr>
        <w:t>, which occurred in April 2015</w:t>
      </w:r>
      <w:r w:rsidR="008875D6">
        <w:rPr>
          <w:rFonts w:ascii="Arial" w:eastAsia="Calibri" w:hAnsi="Arial" w:cs="Arial"/>
          <w:sz w:val="24"/>
        </w:rPr>
        <w:t>.</w:t>
      </w:r>
    </w:p>
    <w:p w14:paraId="51FC7C2A" w14:textId="78FFA528" w:rsidR="007B6495"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22.</w:t>
      </w:r>
      <w:r>
        <w:rPr>
          <w:rFonts w:ascii="Arial" w:eastAsia="Calibri" w:hAnsi="Arial" w:cs="Arial"/>
          <w:sz w:val="24"/>
        </w:rPr>
        <w:tab/>
      </w:r>
      <w:r w:rsidR="000D6B9D">
        <w:rPr>
          <w:rFonts w:ascii="Arial" w:eastAsia="Calibri" w:hAnsi="Arial" w:cs="Arial"/>
          <w:sz w:val="24"/>
        </w:rPr>
        <w:t xml:space="preserve">The applicant </w:t>
      </w:r>
      <w:r w:rsidR="009549AC">
        <w:rPr>
          <w:rFonts w:ascii="Arial" w:eastAsia="Calibri" w:hAnsi="Arial" w:cs="Arial"/>
          <w:sz w:val="24"/>
        </w:rPr>
        <w:t>claimed</w:t>
      </w:r>
      <w:r w:rsidR="000D6B9D">
        <w:rPr>
          <w:rFonts w:ascii="Arial" w:eastAsia="Calibri" w:hAnsi="Arial" w:cs="Arial"/>
          <w:sz w:val="24"/>
        </w:rPr>
        <w:t xml:space="preserve"> that </w:t>
      </w:r>
      <w:r w:rsidR="00E2614D" w:rsidRPr="007B6495">
        <w:rPr>
          <w:rFonts w:ascii="Arial" w:eastAsia="Calibri" w:hAnsi="Arial" w:cs="Arial"/>
          <w:sz w:val="24"/>
        </w:rPr>
        <w:t>for</w:t>
      </w:r>
      <w:r w:rsidR="00E2614D">
        <w:rPr>
          <w:rFonts w:ascii="Arial" w:eastAsia="Calibri" w:hAnsi="Arial" w:cs="Arial"/>
          <w:sz w:val="24"/>
        </w:rPr>
        <w:t xml:space="preserve"> there to have been an impermissible </w:t>
      </w:r>
      <w:r w:rsidR="00E3265E">
        <w:rPr>
          <w:rFonts w:ascii="Arial" w:eastAsia="Calibri" w:hAnsi="Arial" w:cs="Arial"/>
          <w:sz w:val="24"/>
        </w:rPr>
        <w:t xml:space="preserve">avoidance </w:t>
      </w:r>
      <w:r w:rsidR="00E2614D">
        <w:rPr>
          <w:rFonts w:ascii="Arial" w:eastAsia="Calibri" w:hAnsi="Arial" w:cs="Arial"/>
          <w:sz w:val="24"/>
        </w:rPr>
        <w:t>arrangement</w:t>
      </w:r>
      <w:r w:rsidR="008875D6" w:rsidRPr="007B6495">
        <w:rPr>
          <w:rFonts w:ascii="Arial" w:eastAsia="Calibri" w:hAnsi="Arial" w:cs="Arial"/>
          <w:sz w:val="24"/>
        </w:rPr>
        <w:t xml:space="preserve"> </w:t>
      </w:r>
      <w:r w:rsidR="000D6B9D" w:rsidRPr="007B6495">
        <w:rPr>
          <w:rFonts w:ascii="Arial" w:eastAsia="Calibri" w:hAnsi="Arial" w:cs="Arial"/>
          <w:sz w:val="24"/>
        </w:rPr>
        <w:t xml:space="preserve">in terms of the Act </w:t>
      </w:r>
      <w:r w:rsidR="008875D6" w:rsidRPr="007B6495">
        <w:rPr>
          <w:rFonts w:ascii="Arial" w:eastAsia="Calibri" w:hAnsi="Arial" w:cs="Arial"/>
          <w:sz w:val="24"/>
        </w:rPr>
        <w:t>it would need to be shown</w:t>
      </w:r>
      <w:r w:rsidR="00E2614D">
        <w:rPr>
          <w:rFonts w:ascii="Arial" w:eastAsia="Calibri" w:hAnsi="Arial" w:cs="Arial"/>
          <w:sz w:val="24"/>
        </w:rPr>
        <w:t xml:space="preserve"> </w:t>
      </w:r>
      <w:r w:rsidR="008875D6" w:rsidRPr="007B6495">
        <w:rPr>
          <w:rFonts w:ascii="Arial" w:eastAsia="Calibri" w:hAnsi="Arial" w:cs="Arial"/>
          <w:sz w:val="24"/>
        </w:rPr>
        <w:t>that the</w:t>
      </w:r>
      <w:r w:rsidR="007B6495" w:rsidRPr="007B6495">
        <w:rPr>
          <w:rFonts w:ascii="Arial" w:eastAsia="Calibri" w:hAnsi="Arial" w:cs="Arial"/>
          <w:sz w:val="24"/>
        </w:rPr>
        <w:t xml:space="preserve"> </w:t>
      </w:r>
      <w:r w:rsidR="00580A1E">
        <w:rPr>
          <w:rFonts w:ascii="Arial" w:eastAsia="Calibri" w:hAnsi="Arial" w:cs="Arial"/>
          <w:sz w:val="24"/>
        </w:rPr>
        <w:t xml:space="preserve">numerous </w:t>
      </w:r>
      <w:r w:rsidR="007B6495" w:rsidRPr="007B6495">
        <w:rPr>
          <w:rFonts w:ascii="Arial" w:eastAsia="Calibri" w:hAnsi="Arial" w:cs="Arial"/>
          <w:sz w:val="24"/>
        </w:rPr>
        <w:t>transactions</w:t>
      </w:r>
      <w:r w:rsidR="008875D6" w:rsidRPr="007B6495">
        <w:rPr>
          <w:rFonts w:ascii="Arial" w:eastAsia="Calibri" w:hAnsi="Arial" w:cs="Arial"/>
          <w:sz w:val="24"/>
        </w:rPr>
        <w:t xml:space="preserve"> </w:t>
      </w:r>
      <w:r w:rsidR="00580A1E">
        <w:rPr>
          <w:rFonts w:ascii="Arial" w:eastAsia="Calibri" w:hAnsi="Arial" w:cs="Arial"/>
          <w:sz w:val="24"/>
        </w:rPr>
        <w:t xml:space="preserve">detailed by the Commissioner </w:t>
      </w:r>
      <w:r w:rsidR="00DA2BBF">
        <w:rPr>
          <w:rFonts w:ascii="Arial" w:eastAsia="Calibri" w:hAnsi="Arial" w:cs="Arial"/>
          <w:sz w:val="24"/>
        </w:rPr>
        <w:t xml:space="preserve">formed </w:t>
      </w:r>
      <w:r w:rsidR="008875D6" w:rsidRPr="007B6495">
        <w:rPr>
          <w:rFonts w:ascii="Arial" w:eastAsia="Calibri" w:hAnsi="Arial" w:cs="Arial"/>
          <w:sz w:val="24"/>
        </w:rPr>
        <w:t>part of an ‘operation</w:t>
      </w:r>
      <w:r w:rsidR="00265F16">
        <w:rPr>
          <w:rFonts w:ascii="Arial" w:eastAsia="Calibri" w:hAnsi="Arial" w:cs="Arial"/>
          <w:sz w:val="24"/>
        </w:rPr>
        <w:t>,</w:t>
      </w:r>
      <w:r w:rsidR="008875D6" w:rsidRPr="007B6495">
        <w:rPr>
          <w:rFonts w:ascii="Arial" w:eastAsia="Calibri" w:hAnsi="Arial" w:cs="Arial"/>
          <w:sz w:val="24"/>
        </w:rPr>
        <w:t xml:space="preserve"> ‘scheme’ or ‘undertaking’, which </w:t>
      </w:r>
      <w:r w:rsidR="007B6495" w:rsidRPr="007B6495">
        <w:rPr>
          <w:rFonts w:ascii="Arial" w:eastAsia="Calibri" w:hAnsi="Arial" w:cs="Arial"/>
          <w:sz w:val="24"/>
        </w:rPr>
        <w:t xml:space="preserve">in turn </w:t>
      </w:r>
      <w:r w:rsidR="008875D6" w:rsidRPr="007B6495">
        <w:rPr>
          <w:rFonts w:ascii="Arial" w:eastAsia="Calibri" w:hAnsi="Arial" w:cs="Arial"/>
          <w:sz w:val="24"/>
        </w:rPr>
        <w:t xml:space="preserve">required </w:t>
      </w:r>
      <w:r w:rsidR="007B6495" w:rsidRPr="007B6495">
        <w:rPr>
          <w:rFonts w:ascii="Arial" w:eastAsia="Calibri" w:hAnsi="Arial" w:cs="Arial"/>
          <w:sz w:val="24"/>
        </w:rPr>
        <w:t xml:space="preserve">there to </w:t>
      </w:r>
      <w:r w:rsidR="008875D6" w:rsidRPr="007B6495">
        <w:rPr>
          <w:rFonts w:ascii="Arial" w:eastAsia="Calibri" w:hAnsi="Arial" w:cs="Arial"/>
          <w:sz w:val="24"/>
        </w:rPr>
        <w:t>be some connection or ‘unity of purpose’ between the</w:t>
      </w:r>
      <w:r w:rsidR="00E2614D">
        <w:rPr>
          <w:rFonts w:ascii="Arial" w:eastAsia="Calibri" w:hAnsi="Arial" w:cs="Arial"/>
          <w:sz w:val="24"/>
        </w:rPr>
        <w:t>m</w:t>
      </w:r>
      <w:r w:rsidR="007B6495" w:rsidRPr="007B6495">
        <w:rPr>
          <w:rFonts w:ascii="Arial" w:eastAsia="Calibri" w:hAnsi="Arial" w:cs="Arial"/>
          <w:sz w:val="24"/>
        </w:rPr>
        <w:t>, which there was not</w:t>
      </w:r>
      <w:r w:rsidR="008875D6" w:rsidRPr="007B6495">
        <w:rPr>
          <w:rFonts w:ascii="Arial" w:eastAsia="Calibri" w:hAnsi="Arial" w:cs="Arial"/>
          <w:sz w:val="24"/>
        </w:rPr>
        <w:t>.</w:t>
      </w:r>
      <w:r w:rsidR="007B6495">
        <w:rPr>
          <w:rFonts w:ascii="Arial" w:eastAsia="Calibri" w:hAnsi="Arial" w:cs="Arial"/>
          <w:sz w:val="24"/>
        </w:rPr>
        <w:t xml:space="preserve"> </w:t>
      </w:r>
      <w:r w:rsidR="008B2518">
        <w:rPr>
          <w:rFonts w:ascii="Arial" w:eastAsia="Calibri" w:hAnsi="Arial" w:cs="Arial"/>
          <w:sz w:val="24"/>
        </w:rPr>
        <w:t>According to him, t</w:t>
      </w:r>
      <w:r w:rsidR="008875D6" w:rsidRPr="007B6495">
        <w:rPr>
          <w:rFonts w:ascii="Arial" w:eastAsia="Calibri" w:hAnsi="Arial" w:cs="Arial"/>
          <w:sz w:val="24"/>
        </w:rPr>
        <w:t xml:space="preserve">he various transactions which made up the so-called ‘dividend strip’ </w:t>
      </w:r>
      <w:r w:rsidR="007B6495" w:rsidRPr="007B6495">
        <w:rPr>
          <w:rFonts w:ascii="Arial" w:eastAsia="Calibri" w:hAnsi="Arial" w:cs="Arial"/>
          <w:sz w:val="24"/>
        </w:rPr>
        <w:t xml:space="preserve">had taken place between </w:t>
      </w:r>
      <w:r w:rsidR="008875D6" w:rsidRPr="007B6495">
        <w:rPr>
          <w:rFonts w:ascii="Arial" w:eastAsia="Calibri" w:hAnsi="Arial" w:cs="Arial"/>
          <w:sz w:val="24"/>
        </w:rPr>
        <w:t xml:space="preserve">companies in which </w:t>
      </w:r>
      <w:r w:rsidR="00382BA5">
        <w:rPr>
          <w:rFonts w:ascii="Arial" w:eastAsia="Calibri" w:hAnsi="Arial" w:cs="Arial"/>
          <w:sz w:val="24"/>
        </w:rPr>
        <w:t xml:space="preserve">he </w:t>
      </w:r>
      <w:r w:rsidR="00E3265E" w:rsidRPr="007B6495">
        <w:rPr>
          <w:rFonts w:ascii="Arial" w:eastAsia="Calibri" w:hAnsi="Arial" w:cs="Arial"/>
          <w:sz w:val="24"/>
        </w:rPr>
        <w:t>was not involved</w:t>
      </w:r>
      <w:r w:rsidR="001F5261">
        <w:rPr>
          <w:rFonts w:ascii="Arial" w:eastAsia="Calibri" w:hAnsi="Arial" w:cs="Arial"/>
          <w:sz w:val="24"/>
        </w:rPr>
        <w:t xml:space="preserve"> and</w:t>
      </w:r>
      <w:r w:rsidR="007B6495">
        <w:rPr>
          <w:rFonts w:ascii="Arial" w:eastAsia="Calibri" w:hAnsi="Arial" w:cs="Arial"/>
          <w:sz w:val="24"/>
        </w:rPr>
        <w:t xml:space="preserve"> were transactions </w:t>
      </w:r>
      <w:r w:rsidR="00DA2BBF">
        <w:rPr>
          <w:rFonts w:ascii="Arial" w:eastAsia="Calibri" w:hAnsi="Arial" w:cs="Arial"/>
          <w:sz w:val="24"/>
        </w:rPr>
        <w:t>to</w:t>
      </w:r>
      <w:r w:rsidR="007B6495">
        <w:rPr>
          <w:rFonts w:ascii="Arial" w:eastAsia="Calibri" w:hAnsi="Arial" w:cs="Arial"/>
          <w:sz w:val="24"/>
        </w:rPr>
        <w:t xml:space="preserve"> </w:t>
      </w:r>
      <w:r w:rsidR="008875D6" w:rsidRPr="007B6495">
        <w:rPr>
          <w:rFonts w:ascii="Arial" w:eastAsia="Calibri" w:hAnsi="Arial" w:cs="Arial"/>
          <w:sz w:val="24"/>
        </w:rPr>
        <w:t xml:space="preserve">which he was </w:t>
      </w:r>
      <w:r w:rsidR="007B6495" w:rsidRPr="007B6495">
        <w:rPr>
          <w:rFonts w:ascii="Arial" w:eastAsia="Calibri" w:hAnsi="Arial" w:cs="Arial"/>
          <w:sz w:val="24"/>
        </w:rPr>
        <w:t xml:space="preserve">not </w:t>
      </w:r>
      <w:r w:rsidR="008875D6" w:rsidRPr="007B6495">
        <w:rPr>
          <w:rFonts w:ascii="Arial" w:eastAsia="Calibri" w:hAnsi="Arial" w:cs="Arial"/>
          <w:sz w:val="24"/>
        </w:rPr>
        <w:t xml:space="preserve">a party. </w:t>
      </w:r>
    </w:p>
    <w:p w14:paraId="482ABA7C" w14:textId="5A548F05" w:rsidR="00E2614D"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23.</w:t>
      </w:r>
      <w:r>
        <w:rPr>
          <w:rFonts w:ascii="Arial" w:eastAsia="Calibri" w:hAnsi="Arial" w:cs="Arial"/>
          <w:sz w:val="24"/>
        </w:rPr>
        <w:tab/>
      </w:r>
      <w:r w:rsidR="008875D6" w:rsidRPr="007B6495">
        <w:rPr>
          <w:rFonts w:ascii="Arial" w:eastAsia="Calibri" w:hAnsi="Arial" w:cs="Arial"/>
          <w:sz w:val="24"/>
        </w:rPr>
        <w:t xml:space="preserve">As for the </w:t>
      </w:r>
      <w:r w:rsidR="007B6495">
        <w:rPr>
          <w:rFonts w:ascii="Arial" w:eastAsia="Calibri" w:hAnsi="Arial" w:cs="Arial"/>
          <w:sz w:val="24"/>
        </w:rPr>
        <w:t>N</w:t>
      </w:r>
      <w:r w:rsidR="008875D6" w:rsidRPr="007B6495">
        <w:rPr>
          <w:rFonts w:ascii="Arial" w:eastAsia="Calibri" w:hAnsi="Arial" w:cs="Arial"/>
          <w:sz w:val="24"/>
        </w:rPr>
        <w:t>ewshelf repurchase</w:t>
      </w:r>
      <w:r w:rsidR="007B6495">
        <w:rPr>
          <w:rFonts w:ascii="Arial" w:eastAsia="Calibri" w:hAnsi="Arial" w:cs="Arial"/>
          <w:sz w:val="24"/>
        </w:rPr>
        <w:t>,</w:t>
      </w:r>
      <w:r w:rsidR="008875D6" w:rsidRPr="007B6495">
        <w:rPr>
          <w:rFonts w:ascii="Arial" w:eastAsia="Calibri" w:hAnsi="Arial" w:cs="Arial"/>
          <w:sz w:val="24"/>
        </w:rPr>
        <w:t xml:space="preserve"> </w:t>
      </w:r>
      <w:r w:rsidR="007B6495">
        <w:rPr>
          <w:rFonts w:ascii="Arial" w:eastAsia="Calibri" w:hAnsi="Arial" w:cs="Arial"/>
          <w:sz w:val="24"/>
        </w:rPr>
        <w:t xml:space="preserve">according to the applicant </w:t>
      </w:r>
      <w:r w:rsidR="008875D6" w:rsidRPr="007B6495">
        <w:rPr>
          <w:rFonts w:ascii="Arial" w:eastAsia="Calibri" w:hAnsi="Arial" w:cs="Arial"/>
          <w:sz w:val="24"/>
        </w:rPr>
        <w:t xml:space="preserve">this occurred </w:t>
      </w:r>
      <w:r w:rsidR="009549AC">
        <w:rPr>
          <w:rFonts w:ascii="Arial" w:eastAsia="Calibri" w:hAnsi="Arial" w:cs="Arial"/>
          <w:sz w:val="24"/>
        </w:rPr>
        <w:t>to</w:t>
      </w:r>
      <w:r w:rsidR="008875D6" w:rsidRPr="007B6495">
        <w:rPr>
          <w:rFonts w:ascii="Arial" w:eastAsia="Calibri" w:hAnsi="Arial" w:cs="Arial"/>
          <w:sz w:val="24"/>
        </w:rPr>
        <w:t xml:space="preserve"> give effect to the overarching, governing agreements </w:t>
      </w:r>
      <w:r w:rsidR="007B6495">
        <w:rPr>
          <w:rFonts w:ascii="Arial" w:eastAsia="Calibri" w:hAnsi="Arial" w:cs="Arial"/>
          <w:sz w:val="24"/>
        </w:rPr>
        <w:t xml:space="preserve">which had been concluded </w:t>
      </w:r>
      <w:r w:rsidR="008875D6" w:rsidRPr="007B6495">
        <w:rPr>
          <w:rFonts w:ascii="Arial" w:eastAsia="Calibri" w:hAnsi="Arial" w:cs="Arial"/>
          <w:sz w:val="24"/>
        </w:rPr>
        <w:t xml:space="preserve">in </w:t>
      </w:r>
      <w:r w:rsidR="007B6495">
        <w:rPr>
          <w:rFonts w:ascii="Arial" w:eastAsia="Calibri" w:hAnsi="Arial" w:cs="Arial"/>
          <w:sz w:val="24"/>
        </w:rPr>
        <w:t xml:space="preserve">terms of </w:t>
      </w:r>
      <w:r w:rsidR="008875D6" w:rsidRPr="007B6495">
        <w:rPr>
          <w:rFonts w:ascii="Arial" w:eastAsia="Calibri" w:hAnsi="Arial" w:cs="Arial"/>
          <w:sz w:val="24"/>
        </w:rPr>
        <w:t>the Steinhoff/Pep</w:t>
      </w:r>
      <w:r w:rsidR="007B6495">
        <w:rPr>
          <w:rFonts w:ascii="Arial" w:eastAsia="Calibri" w:hAnsi="Arial" w:cs="Arial"/>
          <w:sz w:val="24"/>
        </w:rPr>
        <w:t>k</w:t>
      </w:r>
      <w:r w:rsidR="008875D6" w:rsidRPr="007B6495">
        <w:rPr>
          <w:rFonts w:ascii="Arial" w:eastAsia="Calibri" w:hAnsi="Arial" w:cs="Arial"/>
          <w:sz w:val="24"/>
        </w:rPr>
        <w:t>or deal</w:t>
      </w:r>
      <w:r w:rsidR="00E2614D">
        <w:rPr>
          <w:rFonts w:ascii="Arial" w:eastAsia="Calibri" w:hAnsi="Arial" w:cs="Arial"/>
          <w:sz w:val="24"/>
        </w:rPr>
        <w:t>, and neither he</w:t>
      </w:r>
      <w:r w:rsidR="008875D6" w:rsidRPr="007B6495">
        <w:rPr>
          <w:rFonts w:ascii="Arial" w:eastAsia="Calibri" w:hAnsi="Arial" w:cs="Arial"/>
          <w:sz w:val="24"/>
        </w:rPr>
        <w:t xml:space="preserve"> </w:t>
      </w:r>
      <w:r w:rsidR="00E2614D">
        <w:rPr>
          <w:rFonts w:ascii="Arial" w:eastAsia="Calibri" w:hAnsi="Arial" w:cs="Arial"/>
          <w:sz w:val="24"/>
        </w:rPr>
        <w:t xml:space="preserve">nor </w:t>
      </w:r>
      <w:r w:rsidR="008875D6" w:rsidRPr="007B6495">
        <w:rPr>
          <w:rFonts w:ascii="Arial" w:eastAsia="Calibri" w:hAnsi="Arial" w:cs="Arial"/>
          <w:sz w:val="24"/>
        </w:rPr>
        <w:t xml:space="preserve">the </w:t>
      </w:r>
      <w:r w:rsidR="00E2614D">
        <w:rPr>
          <w:rFonts w:ascii="Arial" w:eastAsia="Calibri" w:hAnsi="Arial" w:cs="Arial"/>
          <w:sz w:val="24"/>
        </w:rPr>
        <w:t>T</w:t>
      </w:r>
      <w:r w:rsidR="008875D6" w:rsidRPr="007B6495">
        <w:rPr>
          <w:rFonts w:ascii="Arial" w:eastAsia="Calibri" w:hAnsi="Arial" w:cs="Arial"/>
          <w:sz w:val="24"/>
        </w:rPr>
        <w:t xml:space="preserve">rust had any say in dictating the terms, </w:t>
      </w:r>
      <w:r w:rsidR="000D6B9D" w:rsidRPr="007B6495">
        <w:rPr>
          <w:rFonts w:ascii="Arial" w:eastAsia="Calibri" w:hAnsi="Arial" w:cs="Arial"/>
          <w:sz w:val="24"/>
        </w:rPr>
        <w:t>timing,</w:t>
      </w:r>
      <w:r w:rsidR="008875D6" w:rsidRPr="007B6495">
        <w:rPr>
          <w:rFonts w:ascii="Arial" w:eastAsia="Calibri" w:hAnsi="Arial" w:cs="Arial"/>
          <w:sz w:val="24"/>
        </w:rPr>
        <w:t xml:space="preserve"> or execution thereof. </w:t>
      </w:r>
      <w:r w:rsidR="00EB2012">
        <w:rPr>
          <w:rFonts w:ascii="Arial" w:eastAsia="Calibri" w:hAnsi="Arial" w:cs="Arial"/>
          <w:sz w:val="24"/>
        </w:rPr>
        <w:t>The applicant averred that a</w:t>
      </w:r>
      <w:r w:rsidR="008875D6" w:rsidRPr="007B6495">
        <w:rPr>
          <w:rFonts w:ascii="Arial" w:eastAsia="Calibri" w:hAnsi="Arial" w:cs="Arial"/>
          <w:sz w:val="24"/>
        </w:rPr>
        <w:t xml:space="preserve">t the time when </w:t>
      </w:r>
      <w:r w:rsidR="00E2614D">
        <w:rPr>
          <w:rFonts w:ascii="Arial" w:eastAsia="Calibri" w:hAnsi="Arial" w:cs="Arial"/>
          <w:sz w:val="24"/>
        </w:rPr>
        <w:t xml:space="preserve">he </w:t>
      </w:r>
      <w:r w:rsidR="00580A1E">
        <w:rPr>
          <w:rFonts w:ascii="Arial" w:eastAsia="Calibri" w:hAnsi="Arial" w:cs="Arial"/>
          <w:sz w:val="24"/>
        </w:rPr>
        <w:t>had</w:t>
      </w:r>
      <w:r w:rsidR="009574C9">
        <w:rPr>
          <w:rFonts w:ascii="Arial" w:eastAsia="Calibri" w:hAnsi="Arial" w:cs="Arial"/>
          <w:sz w:val="24"/>
        </w:rPr>
        <w:t xml:space="preserve"> engaged in</w:t>
      </w:r>
      <w:r w:rsidR="008875D6" w:rsidRPr="007B6495">
        <w:rPr>
          <w:rFonts w:ascii="Arial" w:eastAsia="Calibri" w:hAnsi="Arial" w:cs="Arial"/>
          <w:sz w:val="24"/>
        </w:rPr>
        <w:t xml:space="preserve"> </w:t>
      </w:r>
      <w:r w:rsidR="00717800">
        <w:rPr>
          <w:rFonts w:ascii="Arial" w:eastAsia="Calibri" w:hAnsi="Arial" w:cs="Arial"/>
          <w:sz w:val="24"/>
        </w:rPr>
        <w:t>the</w:t>
      </w:r>
      <w:r w:rsidR="008875D6" w:rsidRPr="007B6495">
        <w:rPr>
          <w:rFonts w:ascii="Arial" w:eastAsia="Calibri" w:hAnsi="Arial" w:cs="Arial"/>
          <w:sz w:val="24"/>
        </w:rPr>
        <w:t xml:space="preserve"> restructuring of his </w:t>
      </w:r>
      <w:r w:rsidR="001E1C87" w:rsidRPr="007B6495">
        <w:rPr>
          <w:rFonts w:ascii="Arial" w:eastAsia="Calibri" w:hAnsi="Arial" w:cs="Arial"/>
          <w:sz w:val="24"/>
        </w:rPr>
        <w:t>assets,</w:t>
      </w:r>
      <w:r w:rsidR="008875D6" w:rsidRPr="007B6495">
        <w:rPr>
          <w:rFonts w:ascii="Arial" w:eastAsia="Calibri" w:hAnsi="Arial" w:cs="Arial"/>
          <w:sz w:val="24"/>
        </w:rPr>
        <w:t xml:space="preserve"> he had not been </w:t>
      </w:r>
      <w:r w:rsidR="008875D6" w:rsidRPr="007B6495">
        <w:rPr>
          <w:rFonts w:ascii="Arial" w:eastAsia="Calibri" w:hAnsi="Arial" w:cs="Arial"/>
          <w:sz w:val="24"/>
        </w:rPr>
        <w:lastRenderedPageBreak/>
        <w:t>aware of the potential Steinhoff/Pep</w:t>
      </w:r>
      <w:r w:rsidR="00E2614D">
        <w:rPr>
          <w:rFonts w:ascii="Arial" w:eastAsia="Calibri" w:hAnsi="Arial" w:cs="Arial"/>
          <w:sz w:val="24"/>
        </w:rPr>
        <w:t>k</w:t>
      </w:r>
      <w:r w:rsidR="008875D6" w:rsidRPr="007B6495">
        <w:rPr>
          <w:rFonts w:ascii="Arial" w:eastAsia="Calibri" w:hAnsi="Arial" w:cs="Arial"/>
          <w:sz w:val="24"/>
        </w:rPr>
        <w:t xml:space="preserve">or deal, and at the time when </w:t>
      </w:r>
      <w:r w:rsidR="00E2614D">
        <w:rPr>
          <w:rFonts w:ascii="Arial" w:eastAsia="Calibri" w:hAnsi="Arial" w:cs="Arial"/>
          <w:sz w:val="24"/>
        </w:rPr>
        <w:t>he</w:t>
      </w:r>
      <w:r w:rsidR="008875D6" w:rsidRPr="007B6495">
        <w:rPr>
          <w:rFonts w:ascii="Arial" w:eastAsia="Calibri" w:hAnsi="Arial" w:cs="Arial"/>
          <w:sz w:val="24"/>
        </w:rPr>
        <w:t xml:space="preserve"> transfer</w:t>
      </w:r>
      <w:r w:rsidR="00E2614D">
        <w:rPr>
          <w:rFonts w:ascii="Arial" w:eastAsia="Calibri" w:hAnsi="Arial" w:cs="Arial"/>
          <w:sz w:val="24"/>
        </w:rPr>
        <w:t xml:space="preserve">red his </w:t>
      </w:r>
      <w:r w:rsidR="008875D6" w:rsidRPr="007B6495">
        <w:rPr>
          <w:rFonts w:ascii="Arial" w:eastAsia="Calibri" w:hAnsi="Arial" w:cs="Arial"/>
          <w:sz w:val="24"/>
        </w:rPr>
        <w:t xml:space="preserve">shareholdings to Treemo he </w:t>
      </w:r>
      <w:r w:rsidR="00E2614D">
        <w:rPr>
          <w:rFonts w:ascii="Arial" w:eastAsia="Calibri" w:hAnsi="Arial" w:cs="Arial"/>
          <w:sz w:val="24"/>
        </w:rPr>
        <w:t xml:space="preserve">had </w:t>
      </w:r>
      <w:r w:rsidR="008875D6" w:rsidRPr="007B6495">
        <w:rPr>
          <w:rFonts w:ascii="Arial" w:eastAsia="Calibri" w:hAnsi="Arial" w:cs="Arial"/>
          <w:sz w:val="24"/>
        </w:rPr>
        <w:t xml:space="preserve">intended that </w:t>
      </w:r>
      <w:r w:rsidR="003C7A53">
        <w:rPr>
          <w:rFonts w:ascii="Arial" w:eastAsia="Calibri" w:hAnsi="Arial" w:cs="Arial"/>
          <w:sz w:val="24"/>
        </w:rPr>
        <w:t>it</w:t>
      </w:r>
      <w:r w:rsidR="008875D6" w:rsidRPr="007B6495">
        <w:rPr>
          <w:rFonts w:ascii="Arial" w:eastAsia="Calibri" w:hAnsi="Arial" w:cs="Arial"/>
          <w:sz w:val="24"/>
        </w:rPr>
        <w:t xml:space="preserve"> would remain invested in Pep</w:t>
      </w:r>
      <w:r w:rsidR="00E2614D">
        <w:rPr>
          <w:rFonts w:ascii="Arial" w:eastAsia="Calibri" w:hAnsi="Arial" w:cs="Arial"/>
          <w:sz w:val="24"/>
        </w:rPr>
        <w:t>k</w:t>
      </w:r>
      <w:r w:rsidR="008875D6" w:rsidRPr="007B6495">
        <w:rPr>
          <w:rFonts w:ascii="Arial" w:eastAsia="Calibri" w:hAnsi="Arial" w:cs="Arial"/>
          <w:sz w:val="24"/>
        </w:rPr>
        <w:t xml:space="preserve">or. </w:t>
      </w:r>
    </w:p>
    <w:p w14:paraId="37160069" w14:textId="01E5720A" w:rsidR="003C7A53"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24.</w:t>
      </w:r>
      <w:r>
        <w:rPr>
          <w:rFonts w:ascii="Arial" w:eastAsia="Calibri" w:hAnsi="Arial" w:cs="Arial"/>
          <w:sz w:val="24"/>
        </w:rPr>
        <w:tab/>
      </w:r>
      <w:r w:rsidR="008875D6" w:rsidRPr="007B6495">
        <w:rPr>
          <w:rFonts w:ascii="Arial" w:eastAsia="Calibri" w:hAnsi="Arial" w:cs="Arial"/>
          <w:sz w:val="24"/>
        </w:rPr>
        <w:t xml:space="preserve">As for the cash distributions which had been made to him by Treemo, the applicant </w:t>
      </w:r>
      <w:r w:rsidR="00EB2012">
        <w:rPr>
          <w:rFonts w:ascii="Arial" w:eastAsia="Calibri" w:hAnsi="Arial" w:cs="Arial"/>
          <w:sz w:val="24"/>
        </w:rPr>
        <w:t>claime</w:t>
      </w:r>
      <w:r w:rsidR="008875D6" w:rsidRPr="007B6495">
        <w:rPr>
          <w:rFonts w:ascii="Arial" w:eastAsia="Calibri" w:hAnsi="Arial" w:cs="Arial"/>
          <w:sz w:val="24"/>
        </w:rPr>
        <w:t xml:space="preserve">d that these </w:t>
      </w:r>
      <w:r w:rsidR="00E3265E">
        <w:rPr>
          <w:rFonts w:ascii="Arial" w:eastAsia="Calibri" w:hAnsi="Arial" w:cs="Arial"/>
          <w:sz w:val="24"/>
        </w:rPr>
        <w:t>were</w:t>
      </w:r>
      <w:r w:rsidR="008875D6" w:rsidRPr="007B6495">
        <w:rPr>
          <w:rFonts w:ascii="Arial" w:eastAsia="Calibri" w:hAnsi="Arial" w:cs="Arial"/>
          <w:sz w:val="24"/>
        </w:rPr>
        <w:t xml:space="preserve"> funded by the p</w:t>
      </w:r>
      <w:r w:rsidR="00E2614D">
        <w:rPr>
          <w:rFonts w:ascii="Arial" w:eastAsia="Calibri" w:hAnsi="Arial" w:cs="Arial"/>
          <w:sz w:val="24"/>
        </w:rPr>
        <w:t>roceeds</w:t>
      </w:r>
      <w:r w:rsidR="008875D6" w:rsidRPr="007B6495">
        <w:rPr>
          <w:rFonts w:ascii="Arial" w:eastAsia="Calibri" w:hAnsi="Arial" w:cs="Arial"/>
          <w:sz w:val="24"/>
        </w:rPr>
        <w:t xml:space="preserve"> which were received by Treemo from </w:t>
      </w:r>
      <w:r w:rsidR="00E2614D">
        <w:rPr>
          <w:rFonts w:ascii="Arial" w:eastAsia="Calibri" w:hAnsi="Arial" w:cs="Arial"/>
          <w:sz w:val="24"/>
        </w:rPr>
        <w:t>a</w:t>
      </w:r>
      <w:r w:rsidR="008875D6" w:rsidRPr="007B6495">
        <w:rPr>
          <w:rFonts w:ascii="Arial" w:eastAsia="Calibri" w:hAnsi="Arial" w:cs="Arial"/>
          <w:sz w:val="24"/>
        </w:rPr>
        <w:t xml:space="preserve"> subscription by the Trust of shares in </w:t>
      </w:r>
      <w:r w:rsidR="00CA13DF" w:rsidRPr="007B6495">
        <w:rPr>
          <w:rFonts w:ascii="Arial" w:eastAsia="Calibri" w:hAnsi="Arial" w:cs="Arial"/>
          <w:sz w:val="24"/>
        </w:rPr>
        <w:t>it</w:t>
      </w:r>
      <w:r w:rsidR="00CA13DF">
        <w:rPr>
          <w:rFonts w:ascii="Arial" w:eastAsia="Calibri" w:hAnsi="Arial" w:cs="Arial"/>
          <w:sz w:val="24"/>
        </w:rPr>
        <w:t xml:space="preserve"> and</w:t>
      </w:r>
      <w:r w:rsidR="008875D6" w:rsidRPr="007B6495">
        <w:rPr>
          <w:rFonts w:ascii="Arial" w:eastAsia="Calibri" w:hAnsi="Arial" w:cs="Arial"/>
          <w:sz w:val="24"/>
        </w:rPr>
        <w:t xml:space="preserve"> w</w:t>
      </w:r>
      <w:r w:rsidR="003C7A53">
        <w:rPr>
          <w:rFonts w:ascii="Arial" w:eastAsia="Calibri" w:hAnsi="Arial" w:cs="Arial"/>
          <w:sz w:val="24"/>
        </w:rPr>
        <w:t>ere</w:t>
      </w:r>
      <w:r w:rsidR="008875D6" w:rsidRPr="007B6495">
        <w:rPr>
          <w:rFonts w:ascii="Arial" w:eastAsia="Calibri" w:hAnsi="Arial" w:cs="Arial"/>
          <w:sz w:val="24"/>
        </w:rPr>
        <w:t xml:space="preserve"> not </w:t>
      </w:r>
      <w:r w:rsidR="00265F16">
        <w:rPr>
          <w:rFonts w:ascii="Arial" w:eastAsia="Calibri" w:hAnsi="Arial" w:cs="Arial"/>
          <w:sz w:val="24"/>
        </w:rPr>
        <w:t>funded by</w:t>
      </w:r>
      <w:r w:rsidR="008875D6" w:rsidRPr="007B6495">
        <w:rPr>
          <w:rFonts w:ascii="Arial" w:eastAsia="Calibri" w:hAnsi="Arial" w:cs="Arial"/>
          <w:sz w:val="24"/>
        </w:rPr>
        <w:t xml:space="preserve"> the </w:t>
      </w:r>
      <w:r w:rsidR="00E2614D">
        <w:rPr>
          <w:rFonts w:ascii="Arial" w:eastAsia="Calibri" w:hAnsi="Arial" w:cs="Arial"/>
          <w:sz w:val="24"/>
        </w:rPr>
        <w:t>N</w:t>
      </w:r>
      <w:r w:rsidR="008875D6" w:rsidRPr="007B6495">
        <w:rPr>
          <w:rFonts w:ascii="Arial" w:eastAsia="Calibri" w:hAnsi="Arial" w:cs="Arial"/>
          <w:sz w:val="24"/>
        </w:rPr>
        <w:t xml:space="preserve">ewshelf repurchase of Treemo shares. </w:t>
      </w:r>
    </w:p>
    <w:p w14:paraId="4CC745D3" w14:textId="08AD781C" w:rsidR="008875D6" w:rsidRPr="007B6495"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sidRPr="007B6495">
        <w:rPr>
          <w:rFonts w:ascii="Arial" w:eastAsia="Calibri" w:hAnsi="Arial" w:cs="Arial"/>
          <w:sz w:val="24"/>
        </w:rPr>
        <w:t>25.</w:t>
      </w:r>
      <w:r w:rsidRPr="007B6495">
        <w:rPr>
          <w:rFonts w:ascii="Arial" w:eastAsia="Calibri" w:hAnsi="Arial" w:cs="Arial"/>
          <w:sz w:val="24"/>
        </w:rPr>
        <w:tab/>
      </w:r>
      <w:r w:rsidR="008875D6" w:rsidRPr="007B6495">
        <w:rPr>
          <w:rFonts w:ascii="Arial" w:eastAsia="Calibri" w:hAnsi="Arial" w:cs="Arial"/>
          <w:sz w:val="24"/>
        </w:rPr>
        <w:t>Consequently</w:t>
      </w:r>
      <w:r w:rsidR="00E2614D">
        <w:rPr>
          <w:rFonts w:ascii="Arial" w:eastAsia="Calibri" w:hAnsi="Arial" w:cs="Arial"/>
          <w:sz w:val="24"/>
        </w:rPr>
        <w:t>, the</w:t>
      </w:r>
      <w:r w:rsidR="008875D6" w:rsidRPr="007B6495">
        <w:rPr>
          <w:rFonts w:ascii="Arial" w:eastAsia="Calibri" w:hAnsi="Arial" w:cs="Arial"/>
          <w:sz w:val="24"/>
        </w:rPr>
        <w:t xml:space="preserve"> various transactions referred to by the Commissioner did not constitute an impermissible tax avoidance arrangement and the distributions that were made were not liable for dividend tax. As for the </w:t>
      </w:r>
      <w:r w:rsidR="00C54095">
        <w:rPr>
          <w:rFonts w:ascii="Arial" w:eastAsia="Calibri" w:hAnsi="Arial" w:cs="Arial"/>
          <w:sz w:val="24"/>
        </w:rPr>
        <w:t xml:space="preserve">proposed </w:t>
      </w:r>
      <w:r w:rsidR="008875D6" w:rsidRPr="007B6495">
        <w:rPr>
          <w:rFonts w:ascii="Arial" w:eastAsia="Calibri" w:hAnsi="Arial" w:cs="Arial"/>
          <w:sz w:val="24"/>
        </w:rPr>
        <w:t>understatement penalty</w:t>
      </w:r>
      <w:r w:rsidR="00C54095">
        <w:rPr>
          <w:rFonts w:ascii="Arial" w:eastAsia="Calibri" w:hAnsi="Arial" w:cs="Arial"/>
          <w:sz w:val="24"/>
        </w:rPr>
        <w:t>,</w:t>
      </w:r>
      <w:r w:rsidR="008875D6" w:rsidRPr="007B6495">
        <w:rPr>
          <w:rFonts w:ascii="Arial" w:eastAsia="Calibri" w:hAnsi="Arial" w:cs="Arial"/>
          <w:sz w:val="24"/>
        </w:rPr>
        <w:t xml:space="preserve"> insofar as </w:t>
      </w:r>
      <w:r w:rsidR="00C54095">
        <w:rPr>
          <w:rFonts w:ascii="Arial" w:eastAsia="Calibri" w:hAnsi="Arial" w:cs="Arial"/>
          <w:sz w:val="24"/>
        </w:rPr>
        <w:t xml:space="preserve">reliance was placed </w:t>
      </w:r>
      <w:r w:rsidR="008875D6" w:rsidRPr="007B6495">
        <w:rPr>
          <w:rFonts w:ascii="Arial" w:eastAsia="Calibri" w:hAnsi="Arial" w:cs="Arial"/>
          <w:sz w:val="24"/>
        </w:rPr>
        <w:t xml:space="preserve">on </w:t>
      </w:r>
      <w:r w:rsidR="00E2614D">
        <w:rPr>
          <w:rFonts w:ascii="Arial" w:eastAsia="Calibri" w:hAnsi="Arial" w:cs="Arial"/>
          <w:sz w:val="24"/>
        </w:rPr>
        <w:t>s 221</w:t>
      </w:r>
      <w:r w:rsidR="008875D6" w:rsidRPr="007B6495">
        <w:rPr>
          <w:rFonts w:ascii="Arial" w:eastAsia="Calibri" w:hAnsi="Arial" w:cs="Arial"/>
          <w:sz w:val="24"/>
        </w:rPr>
        <w:t>(</w:t>
      </w:r>
      <w:r w:rsidR="00E2614D">
        <w:rPr>
          <w:rFonts w:ascii="Arial" w:eastAsia="Calibri" w:hAnsi="Arial" w:cs="Arial"/>
          <w:sz w:val="24"/>
        </w:rPr>
        <w:t>e</w:t>
      </w:r>
      <w:r w:rsidR="008875D6" w:rsidRPr="007B6495">
        <w:rPr>
          <w:rFonts w:ascii="Arial" w:eastAsia="Calibri" w:hAnsi="Arial" w:cs="Arial"/>
          <w:sz w:val="24"/>
        </w:rPr>
        <w:t>)</w:t>
      </w:r>
      <w:r w:rsidR="00C54095">
        <w:rPr>
          <w:rFonts w:ascii="Arial" w:eastAsia="Calibri" w:hAnsi="Arial" w:cs="Arial"/>
          <w:sz w:val="24"/>
        </w:rPr>
        <w:t xml:space="preserve"> of the Act</w:t>
      </w:r>
      <w:r w:rsidR="008875D6" w:rsidRPr="007B6495">
        <w:rPr>
          <w:rFonts w:ascii="Arial" w:eastAsia="Calibri" w:hAnsi="Arial" w:cs="Arial"/>
          <w:sz w:val="24"/>
        </w:rPr>
        <w:t xml:space="preserve"> </w:t>
      </w:r>
      <w:r w:rsidR="002C3B8C">
        <w:rPr>
          <w:rFonts w:ascii="Arial" w:eastAsia="Calibri" w:hAnsi="Arial" w:cs="Arial"/>
          <w:sz w:val="24"/>
        </w:rPr>
        <w:t>(</w:t>
      </w:r>
      <w:r w:rsidR="008875D6" w:rsidRPr="007B6495">
        <w:rPr>
          <w:rFonts w:ascii="Arial" w:eastAsia="Calibri" w:hAnsi="Arial" w:cs="Arial"/>
          <w:sz w:val="24"/>
        </w:rPr>
        <w:t xml:space="preserve">which provides that such a penalty may be imposed where there has been </w:t>
      </w:r>
      <w:r w:rsidR="003C7A53">
        <w:rPr>
          <w:rFonts w:ascii="Arial" w:eastAsia="Calibri" w:hAnsi="Arial" w:cs="Arial"/>
          <w:sz w:val="24"/>
        </w:rPr>
        <w:t>an understatement pursuant to a</w:t>
      </w:r>
      <w:r w:rsidR="002C208A">
        <w:rPr>
          <w:rFonts w:ascii="Arial" w:eastAsia="Calibri" w:hAnsi="Arial" w:cs="Arial"/>
          <w:sz w:val="24"/>
        </w:rPr>
        <w:t>n</w:t>
      </w:r>
      <w:r w:rsidR="003C7A53">
        <w:rPr>
          <w:rFonts w:ascii="Arial" w:eastAsia="Calibri" w:hAnsi="Arial" w:cs="Arial"/>
          <w:sz w:val="24"/>
        </w:rPr>
        <w:t xml:space="preserve"> impermissible avoidance arrangement</w:t>
      </w:r>
      <w:r w:rsidR="002C3B8C">
        <w:rPr>
          <w:rFonts w:ascii="Arial" w:eastAsia="Calibri" w:hAnsi="Arial" w:cs="Arial"/>
          <w:sz w:val="24"/>
        </w:rPr>
        <w:t>)</w:t>
      </w:r>
      <w:r w:rsidR="003C7A53">
        <w:rPr>
          <w:rFonts w:ascii="Arial" w:eastAsia="Calibri" w:hAnsi="Arial" w:cs="Arial"/>
          <w:sz w:val="24"/>
        </w:rPr>
        <w:t>,</w:t>
      </w:r>
      <w:r w:rsidR="009549AC">
        <w:rPr>
          <w:rFonts w:ascii="Arial" w:eastAsia="Calibri" w:hAnsi="Arial" w:cs="Arial"/>
          <w:sz w:val="24"/>
        </w:rPr>
        <w:t xml:space="preserve"> </w:t>
      </w:r>
      <w:r w:rsidR="002C3B8C">
        <w:rPr>
          <w:rFonts w:ascii="Arial" w:eastAsia="Calibri" w:hAnsi="Arial" w:cs="Arial"/>
          <w:sz w:val="24"/>
        </w:rPr>
        <w:t xml:space="preserve">the applicant contended that as </w:t>
      </w:r>
      <w:r w:rsidR="008875D6" w:rsidRPr="007B6495">
        <w:rPr>
          <w:rFonts w:ascii="Arial" w:eastAsia="Calibri" w:hAnsi="Arial" w:cs="Arial"/>
          <w:sz w:val="24"/>
        </w:rPr>
        <w:t xml:space="preserve">the subsection was only introduced into the Act in January 2017 </w:t>
      </w:r>
      <w:r w:rsidR="00C54095">
        <w:rPr>
          <w:rFonts w:ascii="Arial" w:eastAsia="Calibri" w:hAnsi="Arial" w:cs="Arial"/>
          <w:sz w:val="24"/>
        </w:rPr>
        <w:t xml:space="preserve">it </w:t>
      </w:r>
      <w:r w:rsidR="008875D6" w:rsidRPr="007B6495">
        <w:rPr>
          <w:rFonts w:ascii="Arial" w:eastAsia="Calibri" w:hAnsi="Arial" w:cs="Arial"/>
          <w:sz w:val="24"/>
        </w:rPr>
        <w:t>could not be applied retrospectively to the arrangement</w:t>
      </w:r>
      <w:r w:rsidR="00C54095">
        <w:rPr>
          <w:rFonts w:ascii="Arial" w:eastAsia="Calibri" w:hAnsi="Arial" w:cs="Arial"/>
          <w:sz w:val="24"/>
        </w:rPr>
        <w:t xml:space="preserve"> </w:t>
      </w:r>
      <w:r w:rsidR="002C3B8C">
        <w:rPr>
          <w:rFonts w:ascii="Arial" w:eastAsia="Calibri" w:hAnsi="Arial" w:cs="Arial"/>
          <w:sz w:val="24"/>
        </w:rPr>
        <w:t>he</w:t>
      </w:r>
      <w:r w:rsidR="00C54095">
        <w:rPr>
          <w:rFonts w:ascii="Arial" w:eastAsia="Calibri" w:hAnsi="Arial" w:cs="Arial"/>
          <w:sz w:val="24"/>
        </w:rPr>
        <w:t xml:space="preserve"> was alleged to be party to</w:t>
      </w:r>
      <w:r w:rsidR="004A79F3">
        <w:rPr>
          <w:rFonts w:ascii="Arial" w:eastAsia="Calibri" w:hAnsi="Arial" w:cs="Arial"/>
          <w:sz w:val="24"/>
        </w:rPr>
        <w:t>,</w:t>
      </w:r>
      <w:r w:rsidR="008875D6" w:rsidRPr="007B6495">
        <w:rPr>
          <w:rFonts w:ascii="Arial" w:eastAsia="Calibri" w:hAnsi="Arial" w:cs="Arial"/>
          <w:sz w:val="24"/>
        </w:rPr>
        <w:t xml:space="preserve"> </w:t>
      </w:r>
      <w:r w:rsidR="00C54095">
        <w:rPr>
          <w:rFonts w:ascii="Arial" w:eastAsia="Calibri" w:hAnsi="Arial" w:cs="Arial"/>
          <w:sz w:val="24"/>
        </w:rPr>
        <w:t>as it</w:t>
      </w:r>
      <w:r w:rsidR="008875D6" w:rsidRPr="007B6495">
        <w:rPr>
          <w:rFonts w:ascii="Arial" w:eastAsia="Calibri" w:hAnsi="Arial" w:cs="Arial"/>
          <w:sz w:val="24"/>
        </w:rPr>
        <w:t xml:space="preserve"> </w:t>
      </w:r>
      <w:r w:rsidR="003C7A53">
        <w:rPr>
          <w:rFonts w:ascii="Arial" w:eastAsia="Calibri" w:hAnsi="Arial" w:cs="Arial"/>
          <w:sz w:val="24"/>
        </w:rPr>
        <w:t>had been effected</w:t>
      </w:r>
      <w:r w:rsidR="008875D6" w:rsidRPr="007B6495">
        <w:rPr>
          <w:rFonts w:ascii="Arial" w:eastAsia="Calibri" w:hAnsi="Arial" w:cs="Arial"/>
          <w:sz w:val="24"/>
        </w:rPr>
        <w:t xml:space="preserve"> in 2014-2015.</w:t>
      </w:r>
    </w:p>
    <w:p w14:paraId="6B15B3B8" w14:textId="3C46F18D" w:rsidR="00E2614D"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26.</w:t>
      </w:r>
      <w:r>
        <w:rPr>
          <w:rFonts w:ascii="Arial" w:eastAsia="Calibri" w:hAnsi="Arial" w:cs="Arial"/>
          <w:sz w:val="24"/>
        </w:rPr>
        <w:tab/>
      </w:r>
      <w:r w:rsidR="003C7A53">
        <w:rPr>
          <w:rFonts w:ascii="Arial" w:eastAsia="Calibri" w:hAnsi="Arial" w:cs="Arial"/>
          <w:sz w:val="24"/>
        </w:rPr>
        <w:t>I</w:t>
      </w:r>
      <w:r w:rsidR="008875D6">
        <w:rPr>
          <w:rFonts w:ascii="Arial" w:eastAsia="Calibri" w:hAnsi="Arial" w:cs="Arial"/>
          <w:sz w:val="24"/>
        </w:rPr>
        <w:t xml:space="preserve">n November 2020 the Commissioner requested </w:t>
      </w:r>
      <w:r w:rsidR="00B255A4">
        <w:rPr>
          <w:rFonts w:ascii="Arial" w:eastAsia="Calibri" w:hAnsi="Arial" w:cs="Arial"/>
          <w:sz w:val="24"/>
        </w:rPr>
        <w:t>further</w:t>
      </w:r>
      <w:r w:rsidR="008875D6">
        <w:rPr>
          <w:rFonts w:ascii="Arial" w:eastAsia="Calibri" w:hAnsi="Arial" w:cs="Arial"/>
          <w:sz w:val="24"/>
        </w:rPr>
        <w:t xml:space="preserve"> information from </w:t>
      </w:r>
      <w:r w:rsidR="003C7A53">
        <w:rPr>
          <w:rFonts w:ascii="Arial" w:eastAsia="Calibri" w:hAnsi="Arial" w:cs="Arial"/>
          <w:sz w:val="24"/>
        </w:rPr>
        <w:t>the applicant</w:t>
      </w:r>
      <w:r w:rsidR="009549AC">
        <w:rPr>
          <w:rFonts w:ascii="Arial" w:eastAsia="Calibri" w:hAnsi="Arial" w:cs="Arial"/>
          <w:sz w:val="24"/>
        </w:rPr>
        <w:t>,</w:t>
      </w:r>
      <w:r w:rsidR="008875D6">
        <w:rPr>
          <w:rFonts w:ascii="Arial" w:eastAsia="Calibri" w:hAnsi="Arial" w:cs="Arial"/>
          <w:sz w:val="24"/>
        </w:rPr>
        <w:t xml:space="preserve"> </w:t>
      </w:r>
      <w:r w:rsidR="002C3B8C">
        <w:rPr>
          <w:rFonts w:ascii="Arial" w:eastAsia="Calibri" w:hAnsi="Arial" w:cs="Arial"/>
          <w:sz w:val="24"/>
        </w:rPr>
        <w:t xml:space="preserve">including </w:t>
      </w:r>
      <w:r w:rsidR="008875D6">
        <w:rPr>
          <w:rFonts w:ascii="Arial" w:eastAsia="Calibri" w:hAnsi="Arial" w:cs="Arial"/>
          <w:sz w:val="24"/>
        </w:rPr>
        <w:t xml:space="preserve">an explanation </w:t>
      </w:r>
      <w:r w:rsidR="000D6B9D">
        <w:rPr>
          <w:rFonts w:ascii="Arial" w:eastAsia="Calibri" w:hAnsi="Arial" w:cs="Arial"/>
          <w:sz w:val="24"/>
        </w:rPr>
        <w:t>of</w:t>
      </w:r>
      <w:r w:rsidR="008875D6">
        <w:rPr>
          <w:rFonts w:ascii="Arial" w:eastAsia="Calibri" w:hAnsi="Arial" w:cs="Arial"/>
          <w:sz w:val="24"/>
        </w:rPr>
        <w:t xml:space="preserve"> the rationale for the R</w:t>
      </w:r>
      <w:r w:rsidR="001E0CEA">
        <w:rPr>
          <w:rFonts w:ascii="Arial" w:eastAsia="Calibri" w:hAnsi="Arial" w:cs="Arial"/>
          <w:sz w:val="24"/>
        </w:rPr>
        <w:t xml:space="preserve"> </w:t>
      </w:r>
      <w:r w:rsidR="008875D6">
        <w:rPr>
          <w:rFonts w:ascii="Arial" w:eastAsia="Calibri" w:hAnsi="Arial" w:cs="Arial"/>
          <w:sz w:val="24"/>
        </w:rPr>
        <w:t>1.4 billion distribution which had been made by Treemo</w:t>
      </w:r>
      <w:r w:rsidR="009549AC">
        <w:rPr>
          <w:rFonts w:ascii="Arial" w:eastAsia="Calibri" w:hAnsi="Arial" w:cs="Arial"/>
          <w:sz w:val="24"/>
        </w:rPr>
        <w:t xml:space="preserve"> and </w:t>
      </w:r>
      <w:r w:rsidR="00B255A4">
        <w:rPr>
          <w:rFonts w:ascii="Arial" w:eastAsia="Calibri" w:hAnsi="Arial" w:cs="Arial"/>
          <w:sz w:val="24"/>
        </w:rPr>
        <w:t>w</w:t>
      </w:r>
      <w:r w:rsidR="000D6B9D">
        <w:rPr>
          <w:rFonts w:ascii="Arial" w:eastAsia="Calibri" w:hAnsi="Arial" w:cs="Arial"/>
          <w:sz w:val="24"/>
        </w:rPr>
        <w:t xml:space="preserve">hether the purchase price for the acquisition of </w:t>
      </w:r>
      <w:r w:rsidR="002C3B8C">
        <w:rPr>
          <w:rFonts w:ascii="Arial" w:eastAsia="Calibri" w:hAnsi="Arial" w:cs="Arial"/>
          <w:sz w:val="24"/>
        </w:rPr>
        <w:t>its</w:t>
      </w:r>
      <w:r w:rsidR="000D6B9D">
        <w:rPr>
          <w:rFonts w:ascii="Arial" w:eastAsia="Calibri" w:hAnsi="Arial" w:cs="Arial"/>
          <w:sz w:val="24"/>
        </w:rPr>
        <w:t xml:space="preserve"> shares took account of the STC credits which it held.</w:t>
      </w:r>
      <w:r w:rsidR="008875D6">
        <w:rPr>
          <w:rFonts w:ascii="Arial" w:eastAsia="Calibri" w:hAnsi="Arial" w:cs="Arial"/>
          <w:sz w:val="24"/>
        </w:rPr>
        <w:t xml:space="preserve"> </w:t>
      </w:r>
    </w:p>
    <w:p w14:paraId="284813ED" w14:textId="02FCEE19" w:rsidR="008875D6"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27.</w:t>
      </w:r>
      <w:r>
        <w:rPr>
          <w:rFonts w:ascii="Arial" w:eastAsia="Calibri" w:hAnsi="Arial" w:cs="Arial"/>
          <w:sz w:val="24"/>
        </w:rPr>
        <w:tab/>
      </w:r>
      <w:r w:rsidR="008875D6">
        <w:rPr>
          <w:rFonts w:ascii="Arial" w:eastAsia="Calibri" w:hAnsi="Arial" w:cs="Arial"/>
          <w:sz w:val="24"/>
        </w:rPr>
        <w:t xml:space="preserve">On 25 January 2021 the applicant </w:t>
      </w:r>
      <w:r w:rsidR="00E3265E">
        <w:rPr>
          <w:rFonts w:ascii="Arial" w:eastAsia="Calibri" w:hAnsi="Arial" w:cs="Arial"/>
          <w:sz w:val="24"/>
        </w:rPr>
        <w:t>confirmed</w:t>
      </w:r>
      <w:r w:rsidR="000D6B9D">
        <w:rPr>
          <w:rFonts w:ascii="Arial" w:eastAsia="Calibri" w:hAnsi="Arial" w:cs="Arial"/>
          <w:sz w:val="24"/>
        </w:rPr>
        <w:t xml:space="preserve"> that the calculation of the purchase price of R 12.5 million for </w:t>
      </w:r>
      <w:r w:rsidR="00E3265E">
        <w:rPr>
          <w:rFonts w:ascii="Arial" w:eastAsia="Calibri" w:hAnsi="Arial" w:cs="Arial"/>
          <w:sz w:val="24"/>
        </w:rPr>
        <w:t>Treemo’s</w:t>
      </w:r>
      <w:r w:rsidR="000D6B9D">
        <w:rPr>
          <w:rFonts w:ascii="Arial" w:eastAsia="Calibri" w:hAnsi="Arial" w:cs="Arial"/>
          <w:sz w:val="24"/>
        </w:rPr>
        <w:t xml:space="preserve"> shares, which had been paid by the Trust, had been arrived at with reference to the STC credits which Treemo had acquired. </w:t>
      </w:r>
      <w:r w:rsidR="00E3265E">
        <w:rPr>
          <w:rFonts w:ascii="Arial" w:eastAsia="Calibri" w:hAnsi="Arial" w:cs="Arial"/>
          <w:sz w:val="24"/>
        </w:rPr>
        <w:t xml:space="preserve">At the time </w:t>
      </w:r>
      <w:r w:rsidR="00580A1E">
        <w:rPr>
          <w:rFonts w:ascii="Arial" w:eastAsia="Calibri" w:hAnsi="Arial" w:cs="Arial"/>
          <w:sz w:val="24"/>
        </w:rPr>
        <w:t>he</w:t>
      </w:r>
      <w:r w:rsidR="00E94AB2">
        <w:rPr>
          <w:rFonts w:ascii="Arial" w:eastAsia="Calibri" w:hAnsi="Arial" w:cs="Arial"/>
          <w:sz w:val="24"/>
        </w:rPr>
        <w:t xml:space="preserve"> had a 12% shareholding in Treemo and the </w:t>
      </w:r>
      <w:r w:rsidR="002C208A">
        <w:rPr>
          <w:rFonts w:ascii="Arial" w:eastAsia="Calibri" w:hAnsi="Arial" w:cs="Arial"/>
          <w:sz w:val="24"/>
        </w:rPr>
        <w:t>T</w:t>
      </w:r>
      <w:r w:rsidR="00E94AB2">
        <w:rPr>
          <w:rFonts w:ascii="Arial" w:eastAsia="Calibri" w:hAnsi="Arial" w:cs="Arial"/>
          <w:sz w:val="24"/>
        </w:rPr>
        <w:t xml:space="preserve">rust held the remaining 88%. </w:t>
      </w:r>
      <w:r w:rsidR="002C3B8C">
        <w:rPr>
          <w:rFonts w:ascii="Arial" w:eastAsia="Calibri" w:hAnsi="Arial" w:cs="Arial"/>
          <w:sz w:val="24"/>
        </w:rPr>
        <w:t>I</w:t>
      </w:r>
      <w:r w:rsidR="00E94AB2">
        <w:rPr>
          <w:rFonts w:ascii="Arial" w:eastAsia="Calibri" w:hAnsi="Arial" w:cs="Arial"/>
          <w:sz w:val="24"/>
        </w:rPr>
        <w:t xml:space="preserve">n March 2015 </w:t>
      </w:r>
      <w:r w:rsidR="002C208A">
        <w:rPr>
          <w:rFonts w:ascii="Arial" w:eastAsia="Calibri" w:hAnsi="Arial" w:cs="Arial"/>
          <w:sz w:val="24"/>
        </w:rPr>
        <w:t xml:space="preserve">he </w:t>
      </w:r>
      <w:r w:rsidR="002C3B8C">
        <w:rPr>
          <w:rFonts w:ascii="Arial" w:eastAsia="Calibri" w:hAnsi="Arial" w:cs="Arial"/>
          <w:sz w:val="24"/>
        </w:rPr>
        <w:t xml:space="preserve">had </w:t>
      </w:r>
      <w:r w:rsidR="00F82864">
        <w:rPr>
          <w:rFonts w:ascii="Arial" w:eastAsia="Calibri" w:hAnsi="Arial" w:cs="Arial"/>
          <w:sz w:val="24"/>
        </w:rPr>
        <w:t>concluded</w:t>
      </w:r>
      <w:r w:rsidR="00E94AB2">
        <w:rPr>
          <w:rFonts w:ascii="Arial" w:eastAsia="Calibri" w:hAnsi="Arial" w:cs="Arial"/>
          <w:sz w:val="24"/>
        </w:rPr>
        <w:t xml:space="preserve"> a </w:t>
      </w:r>
      <w:r w:rsidR="00382BA5">
        <w:rPr>
          <w:rFonts w:ascii="Arial" w:eastAsia="Calibri" w:hAnsi="Arial" w:cs="Arial"/>
          <w:sz w:val="24"/>
        </w:rPr>
        <w:t>‘</w:t>
      </w:r>
      <w:r w:rsidR="00E94AB2">
        <w:rPr>
          <w:rFonts w:ascii="Arial" w:eastAsia="Calibri" w:hAnsi="Arial" w:cs="Arial"/>
          <w:sz w:val="24"/>
        </w:rPr>
        <w:t>call option</w:t>
      </w:r>
      <w:r w:rsidR="00382BA5">
        <w:rPr>
          <w:rFonts w:ascii="Arial" w:eastAsia="Calibri" w:hAnsi="Arial" w:cs="Arial"/>
          <w:sz w:val="24"/>
        </w:rPr>
        <w:t>’</w:t>
      </w:r>
      <w:r w:rsidR="00E94AB2">
        <w:rPr>
          <w:rFonts w:ascii="Arial" w:eastAsia="Calibri" w:hAnsi="Arial" w:cs="Arial"/>
          <w:sz w:val="24"/>
        </w:rPr>
        <w:t xml:space="preserve"> agreement with the Trust whereby </w:t>
      </w:r>
      <w:r w:rsidR="002C208A">
        <w:rPr>
          <w:rFonts w:ascii="Arial" w:eastAsia="Calibri" w:hAnsi="Arial" w:cs="Arial"/>
          <w:sz w:val="24"/>
        </w:rPr>
        <w:t>he obtained</w:t>
      </w:r>
      <w:r w:rsidR="00E94AB2">
        <w:rPr>
          <w:rFonts w:ascii="Arial" w:eastAsia="Calibri" w:hAnsi="Arial" w:cs="Arial"/>
          <w:sz w:val="24"/>
        </w:rPr>
        <w:t xml:space="preserve"> </w:t>
      </w:r>
      <w:r w:rsidR="002C208A">
        <w:rPr>
          <w:rFonts w:ascii="Arial" w:eastAsia="Calibri" w:hAnsi="Arial" w:cs="Arial"/>
          <w:sz w:val="24"/>
        </w:rPr>
        <w:t>an</w:t>
      </w:r>
      <w:r w:rsidR="00E94AB2">
        <w:rPr>
          <w:rFonts w:ascii="Arial" w:eastAsia="Calibri" w:hAnsi="Arial" w:cs="Arial"/>
          <w:sz w:val="24"/>
        </w:rPr>
        <w:t xml:space="preserve"> option to acquire </w:t>
      </w:r>
      <w:r w:rsidR="00613719">
        <w:rPr>
          <w:rFonts w:ascii="Arial" w:eastAsia="Calibri" w:hAnsi="Arial" w:cs="Arial"/>
          <w:sz w:val="24"/>
        </w:rPr>
        <w:t>the</w:t>
      </w:r>
      <w:r w:rsidR="00E94AB2">
        <w:rPr>
          <w:rFonts w:ascii="Arial" w:eastAsia="Calibri" w:hAnsi="Arial" w:cs="Arial"/>
          <w:sz w:val="24"/>
        </w:rPr>
        <w:t xml:space="preserve"> shares </w:t>
      </w:r>
      <w:r w:rsidR="00613719">
        <w:rPr>
          <w:rFonts w:ascii="Arial" w:eastAsia="Calibri" w:hAnsi="Arial" w:cs="Arial"/>
          <w:sz w:val="24"/>
        </w:rPr>
        <w:t xml:space="preserve">it held </w:t>
      </w:r>
      <w:r w:rsidR="00E94AB2">
        <w:rPr>
          <w:rFonts w:ascii="Arial" w:eastAsia="Calibri" w:hAnsi="Arial" w:cs="Arial"/>
          <w:sz w:val="24"/>
        </w:rPr>
        <w:t>in Treemo</w:t>
      </w:r>
      <w:r w:rsidR="00B255A4">
        <w:rPr>
          <w:rFonts w:ascii="Arial" w:eastAsia="Calibri" w:hAnsi="Arial" w:cs="Arial"/>
          <w:sz w:val="24"/>
        </w:rPr>
        <w:t>, which was paid for out of t</w:t>
      </w:r>
      <w:r w:rsidR="00E94AB2">
        <w:rPr>
          <w:rFonts w:ascii="Arial" w:eastAsia="Calibri" w:hAnsi="Arial" w:cs="Arial"/>
          <w:sz w:val="24"/>
        </w:rPr>
        <w:t>he cash distributions he received.</w:t>
      </w:r>
    </w:p>
    <w:p w14:paraId="3B8EA9F2" w14:textId="6BBB140C" w:rsidR="00F203B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28.</w:t>
      </w:r>
      <w:r>
        <w:rPr>
          <w:rFonts w:ascii="Arial" w:eastAsia="Calibri" w:hAnsi="Arial" w:cs="Arial"/>
          <w:sz w:val="24"/>
        </w:rPr>
        <w:tab/>
      </w:r>
      <w:r w:rsidR="000D379E">
        <w:rPr>
          <w:rFonts w:ascii="Arial" w:eastAsia="Calibri" w:hAnsi="Arial" w:cs="Arial"/>
          <w:sz w:val="24"/>
        </w:rPr>
        <w:t xml:space="preserve">On 24 February 2021 the Commissioner notified the applicant that, having considered </w:t>
      </w:r>
      <w:r w:rsidR="004D112F">
        <w:rPr>
          <w:rFonts w:ascii="Arial" w:eastAsia="Calibri" w:hAnsi="Arial" w:cs="Arial"/>
          <w:sz w:val="24"/>
        </w:rPr>
        <w:t>the</w:t>
      </w:r>
      <w:r w:rsidR="000D379E">
        <w:rPr>
          <w:rFonts w:ascii="Arial" w:eastAsia="Calibri" w:hAnsi="Arial" w:cs="Arial"/>
          <w:sz w:val="24"/>
        </w:rPr>
        <w:t xml:space="preserve"> responses</w:t>
      </w:r>
      <w:r w:rsidR="004D112F">
        <w:rPr>
          <w:rFonts w:ascii="Arial" w:eastAsia="Calibri" w:hAnsi="Arial" w:cs="Arial"/>
          <w:sz w:val="24"/>
        </w:rPr>
        <w:t xml:space="preserve"> and additional information that had been provided,</w:t>
      </w:r>
      <w:r w:rsidR="000D379E">
        <w:rPr>
          <w:rFonts w:ascii="Arial" w:eastAsia="Calibri" w:hAnsi="Arial" w:cs="Arial"/>
          <w:sz w:val="24"/>
        </w:rPr>
        <w:t xml:space="preserve"> he was not dissuaded </w:t>
      </w:r>
      <w:r w:rsidR="00F203BB">
        <w:rPr>
          <w:rFonts w:ascii="Arial" w:eastAsia="Calibri" w:hAnsi="Arial" w:cs="Arial"/>
          <w:sz w:val="24"/>
        </w:rPr>
        <w:t xml:space="preserve">from his original findings as set out in </w:t>
      </w:r>
      <w:r w:rsidR="004D112F">
        <w:rPr>
          <w:rFonts w:ascii="Arial" w:eastAsia="Calibri" w:hAnsi="Arial" w:cs="Arial"/>
          <w:sz w:val="24"/>
        </w:rPr>
        <w:t>his</w:t>
      </w:r>
      <w:r w:rsidR="00F203BB">
        <w:rPr>
          <w:rFonts w:ascii="Arial" w:eastAsia="Calibri" w:hAnsi="Arial" w:cs="Arial"/>
          <w:sz w:val="24"/>
        </w:rPr>
        <w:t xml:space="preserve"> </w:t>
      </w:r>
      <w:r w:rsidR="004D112F">
        <w:rPr>
          <w:rFonts w:ascii="Arial" w:eastAsia="Calibri" w:hAnsi="Arial" w:cs="Arial"/>
          <w:sz w:val="24"/>
        </w:rPr>
        <w:t>s</w:t>
      </w:r>
      <w:r w:rsidR="00F203BB">
        <w:rPr>
          <w:rFonts w:ascii="Arial" w:eastAsia="Calibri" w:hAnsi="Arial" w:cs="Arial"/>
          <w:sz w:val="24"/>
        </w:rPr>
        <w:t xml:space="preserve"> 80 J notice dated 30 June 2020. Consequently, he </w:t>
      </w:r>
      <w:r w:rsidR="004D112F">
        <w:rPr>
          <w:rFonts w:ascii="Arial" w:eastAsia="Calibri" w:hAnsi="Arial" w:cs="Arial"/>
          <w:sz w:val="24"/>
        </w:rPr>
        <w:t>had</w:t>
      </w:r>
      <w:r w:rsidR="00F203BB">
        <w:rPr>
          <w:rFonts w:ascii="Arial" w:eastAsia="Calibri" w:hAnsi="Arial" w:cs="Arial"/>
          <w:sz w:val="24"/>
        </w:rPr>
        <w:t xml:space="preserve"> rai</w:t>
      </w:r>
      <w:r w:rsidR="004D112F">
        <w:rPr>
          <w:rFonts w:ascii="Arial" w:eastAsia="Calibri" w:hAnsi="Arial" w:cs="Arial"/>
          <w:sz w:val="24"/>
        </w:rPr>
        <w:t>sed</w:t>
      </w:r>
      <w:r w:rsidR="00F203BB">
        <w:rPr>
          <w:rFonts w:ascii="Arial" w:eastAsia="Calibri" w:hAnsi="Arial" w:cs="Arial"/>
          <w:sz w:val="24"/>
        </w:rPr>
        <w:t xml:space="preserve"> an assessment of dividend tax </w:t>
      </w:r>
      <w:r w:rsidR="0004046C">
        <w:rPr>
          <w:rFonts w:ascii="Arial" w:eastAsia="Calibri" w:hAnsi="Arial" w:cs="Arial"/>
          <w:sz w:val="24"/>
        </w:rPr>
        <w:t>o</w:t>
      </w:r>
      <w:r w:rsidR="00F203BB">
        <w:rPr>
          <w:rFonts w:ascii="Arial" w:eastAsia="Calibri" w:hAnsi="Arial" w:cs="Arial"/>
          <w:sz w:val="24"/>
        </w:rPr>
        <w:t xml:space="preserve">n the </w:t>
      </w:r>
      <w:r w:rsidR="00F203BB">
        <w:rPr>
          <w:rFonts w:ascii="Arial" w:eastAsia="Calibri" w:hAnsi="Arial" w:cs="Arial"/>
          <w:sz w:val="24"/>
        </w:rPr>
        <w:lastRenderedPageBreak/>
        <w:t xml:space="preserve">amounts received by the applicant as cash distributions from Treemo, which was payable by no later than 30 April 2015, together with an understatement penalty of 75% of the value thereof, </w:t>
      </w:r>
      <w:r w:rsidR="00450FD7">
        <w:rPr>
          <w:rFonts w:ascii="Arial" w:eastAsia="Calibri" w:hAnsi="Arial" w:cs="Arial"/>
          <w:sz w:val="24"/>
        </w:rPr>
        <w:t xml:space="preserve">which had been levied, </w:t>
      </w:r>
      <w:r w:rsidR="00F203BB">
        <w:rPr>
          <w:rFonts w:ascii="Arial" w:eastAsia="Calibri" w:hAnsi="Arial" w:cs="Arial"/>
          <w:sz w:val="24"/>
        </w:rPr>
        <w:t>plus interest. The applicant was advised that should he wish to object to the assessment he was required to file the requisite notice</w:t>
      </w:r>
      <w:r w:rsidR="00450FD7">
        <w:rPr>
          <w:rFonts w:ascii="Arial" w:eastAsia="Calibri" w:hAnsi="Arial" w:cs="Arial"/>
          <w:sz w:val="24"/>
        </w:rPr>
        <w:t xml:space="preserve"> in this regard</w:t>
      </w:r>
      <w:r w:rsidR="00F203BB">
        <w:rPr>
          <w:rFonts w:ascii="Arial" w:eastAsia="Calibri" w:hAnsi="Arial" w:cs="Arial"/>
          <w:sz w:val="24"/>
        </w:rPr>
        <w:t xml:space="preserve">. </w:t>
      </w:r>
    </w:p>
    <w:p w14:paraId="5AECE363" w14:textId="70C90B15" w:rsidR="002840A0"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29.</w:t>
      </w:r>
      <w:r>
        <w:rPr>
          <w:rFonts w:ascii="Arial" w:eastAsia="Calibri" w:hAnsi="Arial" w:cs="Arial"/>
          <w:sz w:val="24"/>
        </w:rPr>
        <w:tab/>
      </w:r>
      <w:r w:rsidR="00F203BB">
        <w:rPr>
          <w:rFonts w:ascii="Arial" w:eastAsia="Calibri" w:hAnsi="Arial" w:cs="Arial"/>
          <w:sz w:val="24"/>
        </w:rPr>
        <w:t xml:space="preserve">On 15 March 2021 the applicant’s attorneys responded that they had been instructed to launch an application in the High Court for the review and setting aside of the </w:t>
      </w:r>
      <w:r w:rsidR="00450FD7">
        <w:rPr>
          <w:rFonts w:ascii="Arial" w:eastAsia="Calibri" w:hAnsi="Arial" w:cs="Arial"/>
          <w:sz w:val="24"/>
        </w:rPr>
        <w:t>C</w:t>
      </w:r>
      <w:r w:rsidR="00F203BB">
        <w:rPr>
          <w:rFonts w:ascii="Arial" w:eastAsia="Calibri" w:hAnsi="Arial" w:cs="Arial"/>
          <w:sz w:val="24"/>
        </w:rPr>
        <w:t xml:space="preserve">ommission’s decision, on the basis that </w:t>
      </w:r>
      <w:r w:rsidR="00450FD7">
        <w:rPr>
          <w:rFonts w:ascii="Arial" w:eastAsia="Calibri" w:hAnsi="Arial" w:cs="Arial"/>
          <w:sz w:val="24"/>
        </w:rPr>
        <w:t>his</w:t>
      </w:r>
      <w:r w:rsidR="00F203BB">
        <w:rPr>
          <w:rFonts w:ascii="Arial" w:eastAsia="Calibri" w:hAnsi="Arial" w:cs="Arial"/>
          <w:sz w:val="24"/>
        </w:rPr>
        <w:t xml:space="preserve"> assessment was irregular and fatally defective in that its factual basis was incorrect</w:t>
      </w:r>
      <w:r w:rsidR="0004046C">
        <w:rPr>
          <w:rFonts w:ascii="Arial" w:eastAsia="Calibri" w:hAnsi="Arial" w:cs="Arial"/>
          <w:sz w:val="24"/>
        </w:rPr>
        <w:t>,</w:t>
      </w:r>
      <w:r w:rsidR="00F203BB">
        <w:rPr>
          <w:rFonts w:ascii="Arial" w:eastAsia="Calibri" w:hAnsi="Arial" w:cs="Arial"/>
          <w:sz w:val="24"/>
        </w:rPr>
        <w:t xml:space="preserve"> as the </w:t>
      </w:r>
      <w:r w:rsidR="00450FD7">
        <w:rPr>
          <w:rFonts w:ascii="Arial" w:eastAsia="Calibri" w:hAnsi="Arial" w:cs="Arial"/>
          <w:sz w:val="24"/>
        </w:rPr>
        <w:t>N</w:t>
      </w:r>
      <w:r w:rsidR="00F203BB">
        <w:rPr>
          <w:rFonts w:ascii="Arial" w:eastAsia="Calibri" w:hAnsi="Arial" w:cs="Arial"/>
          <w:sz w:val="24"/>
        </w:rPr>
        <w:t xml:space="preserve">ewshelf repurchase dividend had not flowed directly or indirectly to the applicant, but was used to invest in other shares. Consequently, the assessment was liable to be set aside as it was not </w:t>
      </w:r>
      <w:r w:rsidR="00770BED">
        <w:rPr>
          <w:rFonts w:ascii="Arial" w:eastAsia="Calibri" w:hAnsi="Arial" w:cs="Arial"/>
          <w:sz w:val="24"/>
        </w:rPr>
        <w:t>authorized</w:t>
      </w:r>
      <w:r w:rsidR="00F203BB">
        <w:rPr>
          <w:rFonts w:ascii="Arial" w:eastAsia="Calibri" w:hAnsi="Arial" w:cs="Arial"/>
          <w:sz w:val="24"/>
        </w:rPr>
        <w:t xml:space="preserve"> by the empowering </w:t>
      </w:r>
      <w:r w:rsidR="0004046C">
        <w:rPr>
          <w:rFonts w:ascii="Arial" w:eastAsia="Calibri" w:hAnsi="Arial" w:cs="Arial"/>
          <w:sz w:val="24"/>
        </w:rPr>
        <w:t>provision</w:t>
      </w:r>
      <w:r w:rsidR="00770BED">
        <w:rPr>
          <w:rFonts w:ascii="Arial" w:eastAsia="Calibri" w:hAnsi="Arial" w:cs="Arial"/>
          <w:sz w:val="24"/>
        </w:rPr>
        <w:t xml:space="preserve">s of the </w:t>
      </w:r>
      <w:r w:rsidR="00AD0D0F">
        <w:rPr>
          <w:rFonts w:ascii="Arial" w:eastAsia="Calibri" w:hAnsi="Arial" w:cs="Arial"/>
          <w:sz w:val="24"/>
        </w:rPr>
        <w:t xml:space="preserve">Income Tax </w:t>
      </w:r>
      <w:r w:rsidR="00770BED">
        <w:rPr>
          <w:rFonts w:ascii="Arial" w:eastAsia="Calibri" w:hAnsi="Arial" w:cs="Arial"/>
          <w:sz w:val="24"/>
        </w:rPr>
        <w:t>Act</w:t>
      </w:r>
      <w:r w:rsidR="0004046C">
        <w:rPr>
          <w:rFonts w:ascii="Arial" w:eastAsia="Calibri" w:hAnsi="Arial" w:cs="Arial"/>
          <w:sz w:val="24"/>
        </w:rPr>
        <w:t xml:space="preserve"> or</w:t>
      </w:r>
      <w:r w:rsidR="00F203BB">
        <w:rPr>
          <w:rFonts w:ascii="Arial" w:eastAsia="Calibri" w:hAnsi="Arial" w:cs="Arial"/>
          <w:sz w:val="24"/>
        </w:rPr>
        <w:t xml:space="preserve"> was levied on the basis of irrelevant considerations being taken into account </w:t>
      </w:r>
      <w:r w:rsidR="008B3DDA">
        <w:rPr>
          <w:rFonts w:ascii="Arial" w:eastAsia="Calibri" w:hAnsi="Arial" w:cs="Arial"/>
          <w:sz w:val="24"/>
        </w:rPr>
        <w:t xml:space="preserve">or </w:t>
      </w:r>
      <w:r w:rsidR="00F203BB">
        <w:rPr>
          <w:rFonts w:ascii="Arial" w:eastAsia="Calibri" w:hAnsi="Arial" w:cs="Arial"/>
          <w:sz w:val="24"/>
        </w:rPr>
        <w:t xml:space="preserve">relevant ones being </w:t>
      </w:r>
      <w:r w:rsidR="0004046C">
        <w:rPr>
          <w:rFonts w:ascii="Arial" w:eastAsia="Calibri" w:hAnsi="Arial" w:cs="Arial"/>
          <w:sz w:val="24"/>
        </w:rPr>
        <w:t>ignored</w:t>
      </w:r>
      <w:r w:rsidR="00770BED">
        <w:rPr>
          <w:rFonts w:ascii="Arial" w:eastAsia="Calibri" w:hAnsi="Arial" w:cs="Arial"/>
          <w:sz w:val="24"/>
        </w:rPr>
        <w:t>,</w:t>
      </w:r>
      <w:r w:rsidR="0004046C">
        <w:rPr>
          <w:rFonts w:ascii="Arial" w:eastAsia="Calibri" w:hAnsi="Arial" w:cs="Arial"/>
          <w:sz w:val="24"/>
        </w:rPr>
        <w:t xml:space="preserve"> and</w:t>
      </w:r>
      <w:r w:rsidR="00F203BB">
        <w:rPr>
          <w:rFonts w:ascii="Arial" w:eastAsia="Calibri" w:hAnsi="Arial" w:cs="Arial"/>
          <w:sz w:val="24"/>
        </w:rPr>
        <w:t xml:space="preserve"> </w:t>
      </w:r>
      <w:r w:rsidR="00770BED">
        <w:rPr>
          <w:rFonts w:ascii="Arial" w:eastAsia="Calibri" w:hAnsi="Arial" w:cs="Arial"/>
          <w:sz w:val="24"/>
        </w:rPr>
        <w:t xml:space="preserve">it </w:t>
      </w:r>
      <w:r w:rsidR="00F203BB">
        <w:rPr>
          <w:rFonts w:ascii="Arial" w:eastAsia="Calibri" w:hAnsi="Arial" w:cs="Arial"/>
          <w:sz w:val="24"/>
        </w:rPr>
        <w:t>was not rationally connected to the information which the Commissioner had before him at the time.</w:t>
      </w:r>
    </w:p>
    <w:p w14:paraId="6676C02D" w14:textId="6D2648F0" w:rsidR="00F203B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30.</w:t>
      </w:r>
      <w:r>
        <w:rPr>
          <w:rFonts w:ascii="Arial" w:eastAsia="Calibri" w:hAnsi="Arial" w:cs="Arial"/>
          <w:sz w:val="24"/>
        </w:rPr>
        <w:tab/>
      </w:r>
      <w:r w:rsidR="0004046C">
        <w:rPr>
          <w:rFonts w:ascii="Arial" w:eastAsia="Calibri" w:hAnsi="Arial" w:cs="Arial"/>
          <w:sz w:val="24"/>
        </w:rPr>
        <w:t>It was submitted that in t</w:t>
      </w:r>
      <w:r w:rsidR="00F203BB">
        <w:rPr>
          <w:rFonts w:ascii="Arial" w:eastAsia="Calibri" w:hAnsi="Arial" w:cs="Arial"/>
          <w:sz w:val="24"/>
        </w:rPr>
        <w:t>he circumstances, no useful purpose would be served</w:t>
      </w:r>
      <w:r w:rsidR="0004046C">
        <w:rPr>
          <w:rFonts w:ascii="Arial" w:eastAsia="Calibri" w:hAnsi="Arial" w:cs="Arial"/>
          <w:sz w:val="24"/>
        </w:rPr>
        <w:t xml:space="preserve"> in</w:t>
      </w:r>
      <w:r w:rsidR="00F203BB">
        <w:rPr>
          <w:rFonts w:ascii="Arial" w:eastAsia="Calibri" w:hAnsi="Arial" w:cs="Arial"/>
          <w:sz w:val="24"/>
        </w:rPr>
        <w:t xml:space="preserve"> requiring the applicant to lodge his objection and the Commissioner was asked to agree to a stay of the objection process until such time as the review had been heard and any appeals against the judgment therein had been </w:t>
      </w:r>
      <w:r w:rsidR="0004046C">
        <w:rPr>
          <w:rFonts w:ascii="Arial" w:eastAsia="Calibri" w:hAnsi="Arial" w:cs="Arial"/>
          <w:sz w:val="24"/>
        </w:rPr>
        <w:t>finalized</w:t>
      </w:r>
      <w:r w:rsidR="00F203BB">
        <w:rPr>
          <w:rFonts w:ascii="Arial" w:eastAsia="Calibri" w:hAnsi="Arial" w:cs="Arial"/>
          <w:sz w:val="24"/>
        </w:rPr>
        <w:t>.</w:t>
      </w:r>
    </w:p>
    <w:p w14:paraId="0C9B6185" w14:textId="5A904EA7" w:rsidR="00F203B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31.</w:t>
      </w:r>
      <w:r>
        <w:rPr>
          <w:rFonts w:ascii="Arial" w:eastAsia="Calibri" w:hAnsi="Arial" w:cs="Arial"/>
          <w:sz w:val="24"/>
        </w:rPr>
        <w:tab/>
      </w:r>
      <w:r w:rsidR="00F203BB">
        <w:rPr>
          <w:rFonts w:ascii="Arial" w:eastAsia="Calibri" w:hAnsi="Arial" w:cs="Arial"/>
          <w:sz w:val="24"/>
        </w:rPr>
        <w:t>In his response on 24 March 2021 the Commissioner noted that the applicant had not made use of the internal remedies which were available to him</w:t>
      </w:r>
      <w:r w:rsidR="00770BED">
        <w:rPr>
          <w:rFonts w:ascii="Arial" w:eastAsia="Calibri" w:hAnsi="Arial" w:cs="Arial"/>
          <w:sz w:val="24"/>
        </w:rPr>
        <w:t>,</w:t>
      </w:r>
      <w:r w:rsidR="00F203BB">
        <w:rPr>
          <w:rFonts w:ascii="Arial" w:eastAsia="Calibri" w:hAnsi="Arial" w:cs="Arial"/>
          <w:sz w:val="24"/>
        </w:rPr>
        <w:t xml:space="preserve"> in order to dispute the assessment. Consequently</w:t>
      </w:r>
      <w:r w:rsidR="0004046C">
        <w:rPr>
          <w:rFonts w:ascii="Arial" w:eastAsia="Calibri" w:hAnsi="Arial" w:cs="Arial"/>
          <w:sz w:val="24"/>
        </w:rPr>
        <w:t>,</w:t>
      </w:r>
      <w:r w:rsidR="00F203BB">
        <w:rPr>
          <w:rFonts w:ascii="Arial" w:eastAsia="Calibri" w:hAnsi="Arial" w:cs="Arial"/>
          <w:sz w:val="24"/>
        </w:rPr>
        <w:t xml:space="preserve"> the </w:t>
      </w:r>
      <w:r w:rsidR="0004046C">
        <w:rPr>
          <w:rFonts w:ascii="Arial" w:eastAsia="Calibri" w:hAnsi="Arial" w:cs="Arial"/>
          <w:sz w:val="24"/>
        </w:rPr>
        <w:t>C</w:t>
      </w:r>
      <w:r w:rsidR="00F203BB">
        <w:rPr>
          <w:rFonts w:ascii="Arial" w:eastAsia="Calibri" w:hAnsi="Arial" w:cs="Arial"/>
          <w:sz w:val="24"/>
        </w:rPr>
        <w:t>ommission</w:t>
      </w:r>
      <w:r w:rsidR="0004046C">
        <w:rPr>
          <w:rFonts w:ascii="Arial" w:eastAsia="Calibri" w:hAnsi="Arial" w:cs="Arial"/>
          <w:sz w:val="24"/>
        </w:rPr>
        <w:t>er</w:t>
      </w:r>
      <w:r w:rsidR="00F203BB">
        <w:rPr>
          <w:rFonts w:ascii="Arial" w:eastAsia="Calibri" w:hAnsi="Arial" w:cs="Arial"/>
          <w:sz w:val="24"/>
        </w:rPr>
        <w:t xml:space="preserve"> was of the view that the proposed review was premature</w:t>
      </w:r>
      <w:r w:rsidR="0004046C">
        <w:rPr>
          <w:rFonts w:ascii="Arial" w:eastAsia="Calibri" w:hAnsi="Arial" w:cs="Arial"/>
          <w:sz w:val="24"/>
        </w:rPr>
        <w:t>,</w:t>
      </w:r>
      <w:r w:rsidR="00F203BB">
        <w:rPr>
          <w:rFonts w:ascii="Arial" w:eastAsia="Calibri" w:hAnsi="Arial" w:cs="Arial"/>
          <w:sz w:val="24"/>
        </w:rPr>
        <w:t xml:space="preserve"> and he was not prepared to accede to a request to stay the objection or to extend the due date for the filing </w:t>
      </w:r>
      <w:r w:rsidR="0004046C">
        <w:rPr>
          <w:rFonts w:ascii="Arial" w:eastAsia="Calibri" w:hAnsi="Arial" w:cs="Arial"/>
          <w:sz w:val="24"/>
        </w:rPr>
        <w:t>there</w:t>
      </w:r>
      <w:r w:rsidR="00F203BB">
        <w:rPr>
          <w:rFonts w:ascii="Arial" w:eastAsia="Calibri" w:hAnsi="Arial" w:cs="Arial"/>
          <w:sz w:val="24"/>
        </w:rPr>
        <w:t xml:space="preserve">of, </w:t>
      </w:r>
      <w:r w:rsidR="0004046C" w:rsidRPr="0004046C">
        <w:rPr>
          <w:rFonts w:ascii="Arial" w:eastAsia="Calibri" w:hAnsi="Arial" w:cs="Arial"/>
          <w:i/>
          <w:iCs/>
          <w:sz w:val="24"/>
        </w:rPr>
        <w:t>sine die</w:t>
      </w:r>
      <w:r w:rsidR="00F203BB">
        <w:rPr>
          <w:rFonts w:ascii="Arial" w:eastAsia="Calibri" w:hAnsi="Arial" w:cs="Arial"/>
          <w:sz w:val="24"/>
        </w:rPr>
        <w:t xml:space="preserve">. This prompted the applicant’s attorneys to request an extension of 30 days </w:t>
      </w:r>
      <w:r w:rsidR="00770BED">
        <w:rPr>
          <w:rFonts w:ascii="Arial" w:eastAsia="Calibri" w:hAnsi="Arial" w:cs="Arial"/>
          <w:sz w:val="24"/>
        </w:rPr>
        <w:t xml:space="preserve">in </w:t>
      </w:r>
      <w:r w:rsidR="00F203BB">
        <w:rPr>
          <w:rFonts w:ascii="Arial" w:eastAsia="Calibri" w:hAnsi="Arial" w:cs="Arial"/>
          <w:sz w:val="24"/>
        </w:rPr>
        <w:t>order to allow the applicant to submit his objection, under protest. An extension was subsequently granted until 17 May 2021, which was complied with. On 9 June 2021 the applicant launched the instant application</w:t>
      </w:r>
      <w:r w:rsidR="0004046C">
        <w:rPr>
          <w:rFonts w:ascii="Arial" w:eastAsia="Calibri" w:hAnsi="Arial" w:cs="Arial"/>
          <w:sz w:val="24"/>
        </w:rPr>
        <w:t>,</w:t>
      </w:r>
      <w:r w:rsidR="00F203BB">
        <w:rPr>
          <w:rFonts w:ascii="Arial" w:eastAsia="Calibri" w:hAnsi="Arial" w:cs="Arial"/>
          <w:sz w:val="24"/>
        </w:rPr>
        <w:t xml:space="preserve"> which in due course was enrolled for hearing.</w:t>
      </w:r>
    </w:p>
    <w:p w14:paraId="6CF15740" w14:textId="229F7676" w:rsidR="00F203B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32.</w:t>
      </w:r>
      <w:r>
        <w:rPr>
          <w:rFonts w:ascii="Arial" w:eastAsia="Calibri" w:hAnsi="Arial" w:cs="Arial"/>
          <w:sz w:val="24"/>
        </w:rPr>
        <w:tab/>
      </w:r>
      <w:r w:rsidR="00F203BB">
        <w:rPr>
          <w:rFonts w:ascii="Arial" w:eastAsia="Calibri" w:hAnsi="Arial" w:cs="Arial"/>
          <w:sz w:val="24"/>
        </w:rPr>
        <w:t>Upon allocation</w:t>
      </w:r>
      <w:r w:rsidR="0004046C">
        <w:rPr>
          <w:rFonts w:ascii="Arial" w:eastAsia="Calibri" w:hAnsi="Arial" w:cs="Arial"/>
          <w:sz w:val="24"/>
        </w:rPr>
        <w:t>,</w:t>
      </w:r>
      <w:r w:rsidR="00F203BB">
        <w:rPr>
          <w:rFonts w:ascii="Arial" w:eastAsia="Calibri" w:hAnsi="Arial" w:cs="Arial"/>
          <w:sz w:val="24"/>
        </w:rPr>
        <w:t xml:space="preserve"> and after considering the contents of the affidavits which had been filed</w:t>
      </w:r>
      <w:r w:rsidR="0004046C">
        <w:rPr>
          <w:rFonts w:ascii="Arial" w:eastAsia="Calibri" w:hAnsi="Arial" w:cs="Arial"/>
          <w:sz w:val="24"/>
        </w:rPr>
        <w:t>,</w:t>
      </w:r>
      <w:r w:rsidR="00F203BB">
        <w:rPr>
          <w:rFonts w:ascii="Arial" w:eastAsia="Calibri" w:hAnsi="Arial" w:cs="Arial"/>
          <w:sz w:val="24"/>
        </w:rPr>
        <w:t xml:space="preserve"> I invited the parties to make submissions, if any, as to why an order should </w:t>
      </w:r>
      <w:r w:rsidR="00F203BB">
        <w:rPr>
          <w:rFonts w:ascii="Arial" w:eastAsia="Calibri" w:hAnsi="Arial" w:cs="Arial"/>
          <w:sz w:val="24"/>
        </w:rPr>
        <w:lastRenderedPageBreak/>
        <w:t xml:space="preserve">not be made directing that the </w:t>
      </w:r>
      <w:r w:rsidR="0004046C">
        <w:rPr>
          <w:rFonts w:ascii="Arial" w:eastAsia="Calibri" w:hAnsi="Arial" w:cs="Arial"/>
          <w:sz w:val="24"/>
        </w:rPr>
        <w:t>C</w:t>
      </w:r>
      <w:r w:rsidR="00F203BB">
        <w:rPr>
          <w:rFonts w:ascii="Arial" w:eastAsia="Calibri" w:hAnsi="Arial" w:cs="Arial"/>
          <w:sz w:val="24"/>
        </w:rPr>
        <w:t>ommissioner</w:t>
      </w:r>
      <w:r w:rsidR="0004046C">
        <w:rPr>
          <w:rFonts w:ascii="Arial" w:eastAsia="Calibri" w:hAnsi="Arial" w:cs="Arial"/>
          <w:sz w:val="24"/>
        </w:rPr>
        <w:t>’</w:t>
      </w:r>
      <w:r w:rsidR="00F203BB">
        <w:rPr>
          <w:rFonts w:ascii="Arial" w:eastAsia="Calibri" w:hAnsi="Arial" w:cs="Arial"/>
          <w:sz w:val="24"/>
        </w:rPr>
        <w:t xml:space="preserve">s point in </w:t>
      </w:r>
      <w:r w:rsidR="00F203BB" w:rsidRPr="0004046C">
        <w:rPr>
          <w:rFonts w:ascii="Arial" w:eastAsia="Calibri" w:hAnsi="Arial" w:cs="Arial"/>
          <w:i/>
          <w:iCs/>
          <w:sz w:val="24"/>
        </w:rPr>
        <w:t>limine</w:t>
      </w:r>
      <w:r w:rsidR="00F203BB">
        <w:rPr>
          <w:rFonts w:ascii="Arial" w:eastAsia="Calibri" w:hAnsi="Arial" w:cs="Arial"/>
          <w:sz w:val="24"/>
        </w:rPr>
        <w:t xml:space="preserve"> that the applic</w:t>
      </w:r>
      <w:r w:rsidR="0004046C">
        <w:rPr>
          <w:rFonts w:ascii="Arial" w:eastAsia="Calibri" w:hAnsi="Arial" w:cs="Arial"/>
          <w:sz w:val="24"/>
        </w:rPr>
        <w:t>ation</w:t>
      </w:r>
      <w:r w:rsidR="00F203BB">
        <w:rPr>
          <w:rFonts w:ascii="Arial" w:eastAsia="Calibri" w:hAnsi="Arial" w:cs="Arial"/>
          <w:sz w:val="24"/>
        </w:rPr>
        <w:t xml:space="preserve"> should not be entertained as the applicant had failed to exhaust his internal remedies, </w:t>
      </w:r>
      <w:r w:rsidR="0004046C">
        <w:rPr>
          <w:rFonts w:ascii="Arial" w:eastAsia="Calibri" w:hAnsi="Arial" w:cs="Arial"/>
          <w:sz w:val="24"/>
        </w:rPr>
        <w:t>s</w:t>
      </w:r>
      <w:r w:rsidR="00F203BB">
        <w:rPr>
          <w:rFonts w:ascii="Arial" w:eastAsia="Calibri" w:hAnsi="Arial" w:cs="Arial"/>
          <w:sz w:val="24"/>
        </w:rPr>
        <w:t xml:space="preserve">hould not be separated from the merits of the application and heard  prior to </w:t>
      </w:r>
      <w:r w:rsidR="0004046C">
        <w:rPr>
          <w:rFonts w:ascii="Arial" w:eastAsia="Calibri" w:hAnsi="Arial" w:cs="Arial"/>
          <w:sz w:val="24"/>
        </w:rPr>
        <w:t xml:space="preserve">a </w:t>
      </w:r>
      <w:r w:rsidR="00F203BB">
        <w:rPr>
          <w:rFonts w:ascii="Arial" w:eastAsia="Calibri" w:hAnsi="Arial" w:cs="Arial"/>
          <w:sz w:val="24"/>
        </w:rPr>
        <w:t xml:space="preserve">consideration thereof. Both parties duly made submissions. After considering them </w:t>
      </w:r>
      <w:r w:rsidR="0004046C">
        <w:rPr>
          <w:rFonts w:ascii="Arial" w:eastAsia="Calibri" w:hAnsi="Arial" w:cs="Arial"/>
          <w:sz w:val="24"/>
        </w:rPr>
        <w:t>I</w:t>
      </w:r>
      <w:r w:rsidR="00F203BB">
        <w:rPr>
          <w:rFonts w:ascii="Arial" w:eastAsia="Calibri" w:hAnsi="Arial" w:cs="Arial"/>
          <w:sz w:val="24"/>
        </w:rPr>
        <w:t xml:space="preserve"> made an order </w:t>
      </w:r>
      <w:r w:rsidR="0004046C">
        <w:rPr>
          <w:rFonts w:ascii="Arial" w:eastAsia="Calibri" w:hAnsi="Arial" w:cs="Arial"/>
          <w:sz w:val="24"/>
        </w:rPr>
        <w:t xml:space="preserve">whereby I directed that the </w:t>
      </w:r>
      <w:r w:rsidR="00F203BB">
        <w:rPr>
          <w:rFonts w:ascii="Arial" w:eastAsia="Calibri" w:hAnsi="Arial" w:cs="Arial"/>
          <w:sz w:val="24"/>
        </w:rPr>
        <w:t xml:space="preserve">point in </w:t>
      </w:r>
      <w:r w:rsidR="00F203BB" w:rsidRPr="0004046C">
        <w:rPr>
          <w:rFonts w:ascii="Arial" w:eastAsia="Calibri" w:hAnsi="Arial" w:cs="Arial"/>
          <w:i/>
          <w:iCs/>
          <w:sz w:val="24"/>
        </w:rPr>
        <w:t>limine</w:t>
      </w:r>
      <w:r w:rsidR="00F203BB">
        <w:rPr>
          <w:rFonts w:ascii="Arial" w:eastAsia="Calibri" w:hAnsi="Arial" w:cs="Arial"/>
          <w:sz w:val="24"/>
        </w:rPr>
        <w:t xml:space="preserve"> </w:t>
      </w:r>
      <w:r w:rsidR="0004046C">
        <w:rPr>
          <w:rFonts w:ascii="Arial" w:eastAsia="Calibri" w:hAnsi="Arial" w:cs="Arial"/>
          <w:sz w:val="24"/>
        </w:rPr>
        <w:t xml:space="preserve">should be separated </w:t>
      </w:r>
      <w:r w:rsidR="00F203BB">
        <w:rPr>
          <w:rFonts w:ascii="Arial" w:eastAsia="Calibri" w:hAnsi="Arial" w:cs="Arial"/>
          <w:sz w:val="24"/>
        </w:rPr>
        <w:t xml:space="preserve">from the remaining issues </w:t>
      </w:r>
      <w:r w:rsidR="0004046C">
        <w:rPr>
          <w:rFonts w:ascii="Arial" w:eastAsia="Calibri" w:hAnsi="Arial" w:cs="Arial"/>
          <w:sz w:val="24"/>
        </w:rPr>
        <w:t>and</w:t>
      </w:r>
      <w:r w:rsidR="00F203BB">
        <w:rPr>
          <w:rFonts w:ascii="Arial" w:eastAsia="Calibri" w:hAnsi="Arial" w:cs="Arial"/>
          <w:sz w:val="24"/>
        </w:rPr>
        <w:t xml:space="preserve"> argument was subsequently heard only in respect thereof.</w:t>
      </w:r>
    </w:p>
    <w:p w14:paraId="158149D0" w14:textId="6688A143" w:rsidR="00C16DA5" w:rsidRPr="00F203B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sidRPr="00F203BB">
        <w:rPr>
          <w:rFonts w:ascii="Arial" w:eastAsia="Calibri" w:hAnsi="Arial" w:cs="Arial"/>
          <w:sz w:val="24"/>
        </w:rPr>
        <w:t>33.</w:t>
      </w:r>
      <w:r w:rsidRPr="00F203BB">
        <w:rPr>
          <w:rFonts w:ascii="Arial" w:eastAsia="Calibri" w:hAnsi="Arial" w:cs="Arial"/>
          <w:sz w:val="24"/>
        </w:rPr>
        <w:tab/>
      </w:r>
      <w:r w:rsidR="00F203BB" w:rsidRPr="00F203BB">
        <w:rPr>
          <w:rFonts w:ascii="Arial" w:eastAsia="Calibri" w:hAnsi="Arial" w:cs="Arial"/>
          <w:sz w:val="24"/>
        </w:rPr>
        <w:t>Shortly before the hearing the applicant filed an application for leave to amend his notice of motion, in order to seek a</w:t>
      </w:r>
      <w:r w:rsidR="0004046C">
        <w:rPr>
          <w:rFonts w:ascii="Arial" w:eastAsia="Calibri" w:hAnsi="Arial" w:cs="Arial"/>
          <w:sz w:val="24"/>
        </w:rPr>
        <w:t xml:space="preserve">n order </w:t>
      </w:r>
      <w:r w:rsidR="00F203BB" w:rsidRPr="00F203BB">
        <w:rPr>
          <w:rFonts w:ascii="Arial" w:eastAsia="Calibri" w:hAnsi="Arial" w:cs="Arial"/>
          <w:sz w:val="24"/>
        </w:rPr>
        <w:t xml:space="preserve">exempting him from exhausting his internal remedies prior to </w:t>
      </w:r>
      <w:r w:rsidR="0004046C">
        <w:rPr>
          <w:rFonts w:ascii="Arial" w:eastAsia="Calibri" w:hAnsi="Arial" w:cs="Arial"/>
          <w:sz w:val="24"/>
        </w:rPr>
        <w:t xml:space="preserve">the </w:t>
      </w:r>
      <w:r w:rsidR="00F203BB" w:rsidRPr="00F203BB">
        <w:rPr>
          <w:rFonts w:ascii="Arial" w:eastAsia="Calibri" w:hAnsi="Arial" w:cs="Arial"/>
          <w:sz w:val="24"/>
        </w:rPr>
        <w:t xml:space="preserve">hearing of the </w:t>
      </w:r>
      <w:r w:rsidR="00770BED" w:rsidRPr="00F203BB">
        <w:rPr>
          <w:rFonts w:ascii="Arial" w:eastAsia="Calibri" w:hAnsi="Arial" w:cs="Arial"/>
          <w:sz w:val="24"/>
        </w:rPr>
        <w:t>review</w:t>
      </w:r>
      <w:r w:rsidR="00770BED">
        <w:rPr>
          <w:rFonts w:ascii="Arial" w:eastAsia="Calibri" w:hAnsi="Arial" w:cs="Arial"/>
          <w:sz w:val="24"/>
        </w:rPr>
        <w:t xml:space="preserve"> and</w:t>
      </w:r>
      <w:r w:rsidR="00F203BB" w:rsidRPr="00F203BB">
        <w:rPr>
          <w:rFonts w:ascii="Arial" w:eastAsia="Calibri" w:hAnsi="Arial" w:cs="Arial"/>
          <w:sz w:val="24"/>
        </w:rPr>
        <w:t xml:space="preserve"> directing that it may be heard.</w:t>
      </w:r>
    </w:p>
    <w:p w14:paraId="07C5848B" w14:textId="78934DBD" w:rsidR="007E28C6" w:rsidRPr="007E28C6" w:rsidRDefault="007E28C6" w:rsidP="007E28C6">
      <w:pPr>
        <w:adjustRightInd w:val="0"/>
        <w:spacing w:after="0" w:line="360" w:lineRule="auto"/>
        <w:contextualSpacing/>
        <w:jc w:val="both"/>
        <w:textAlignment w:val="baseline"/>
        <w:rPr>
          <w:rFonts w:ascii="Arial" w:eastAsia="Calibri" w:hAnsi="Arial" w:cs="Arial"/>
          <w:b/>
          <w:bCs/>
          <w:sz w:val="24"/>
        </w:rPr>
      </w:pPr>
      <w:r w:rsidRPr="007E28C6">
        <w:rPr>
          <w:rFonts w:ascii="Arial" w:eastAsia="Calibri" w:hAnsi="Arial" w:cs="Arial"/>
          <w:b/>
          <w:bCs/>
          <w:sz w:val="24"/>
        </w:rPr>
        <w:t>The law</w:t>
      </w:r>
    </w:p>
    <w:p w14:paraId="3AA916D6" w14:textId="5DECF53A" w:rsidR="00A268DD"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34.</w:t>
      </w:r>
      <w:r>
        <w:rPr>
          <w:rFonts w:ascii="Arial" w:eastAsia="Calibri" w:hAnsi="Arial" w:cs="Arial"/>
          <w:sz w:val="24"/>
        </w:rPr>
        <w:tab/>
      </w:r>
      <w:r w:rsidR="007E28C6" w:rsidRPr="007F05E9">
        <w:rPr>
          <w:rFonts w:ascii="Arial" w:eastAsia="Calibri" w:hAnsi="Arial" w:cs="Arial"/>
          <w:sz w:val="24"/>
        </w:rPr>
        <w:t>As was pointed out in the introduction, t</w:t>
      </w:r>
      <w:r w:rsidR="00D906E0" w:rsidRPr="007F05E9">
        <w:rPr>
          <w:rFonts w:ascii="Arial" w:eastAsia="Calibri" w:hAnsi="Arial" w:cs="Arial"/>
          <w:sz w:val="24"/>
        </w:rPr>
        <w:t xml:space="preserve">he application is one for </w:t>
      </w:r>
      <w:r w:rsidR="007E28C6" w:rsidRPr="007F05E9">
        <w:rPr>
          <w:rFonts w:ascii="Arial" w:eastAsia="Calibri" w:hAnsi="Arial" w:cs="Arial"/>
          <w:sz w:val="24"/>
        </w:rPr>
        <w:t xml:space="preserve">the </w:t>
      </w:r>
      <w:r w:rsidR="00D906E0" w:rsidRPr="007F05E9">
        <w:rPr>
          <w:rFonts w:ascii="Arial" w:eastAsia="Calibri" w:hAnsi="Arial" w:cs="Arial"/>
          <w:sz w:val="24"/>
        </w:rPr>
        <w:t xml:space="preserve">review </w:t>
      </w:r>
      <w:r w:rsidR="00D81640" w:rsidRPr="007F05E9">
        <w:rPr>
          <w:rFonts w:ascii="Arial" w:eastAsia="Calibri" w:hAnsi="Arial" w:cs="Arial"/>
          <w:sz w:val="24"/>
        </w:rPr>
        <w:t xml:space="preserve">and setting aside </w:t>
      </w:r>
      <w:r w:rsidR="00D906E0" w:rsidRPr="007F05E9">
        <w:rPr>
          <w:rFonts w:ascii="Arial" w:eastAsia="Calibri" w:hAnsi="Arial" w:cs="Arial"/>
          <w:sz w:val="24"/>
        </w:rPr>
        <w:t xml:space="preserve">of the </w:t>
      </w:r>
      <w:r w:rsidR="007E28C6" w:rsidRPr="007F05E9">
        <w:rPr>
          <w:rFonts w:ascii="Arial" w:eastAsia="Calibri" w:hAnsi="Arial" w:cs="Arial"/>
          <w:sz w:val="24"/>
        </w:rPr>
        <w:t>C</w:t>
      </w:r>
      <w:r w:rsidR="00D906E0" w:rsidRPr="007F05E9">
        <w:rPr>
          <w:rFonts w:ascii="Arial" w:eastAsia="Calibri" w:hAnsi="Arial" w:cs="Arial"/>
          <w:sz w:val="24"/>
        </w:rPr>
        <w:t>ommissioner</w:t>
      </w:r>
      <w:r w:rsidR="007E28C6" w:rsidRPr="007F05E9">
        <w:rPr>
          <w:rFonts w:ascii="Arial" w:eastAsia="Calibri" w:hAnsi="Arial" w:cs="Arial"/>
          <w:sz w:val="24"/>
        </w:rPr>
        <w:t>’</w:t>
      </w:r>
      <w:r w:rsidR="00D906E0" w:rsidRPr="007F05E9">
        <w:rPr>
          <w:rFonts w:ascii="Arial" w:eastAsia="Calibri" w:hAnsi="Arial" w:cs="Arial"/>
          <w:sz w:val="24"/>
        </w:rPr>
        <w:t>s decision</w:t>
      </w:r>
      <w:r w:rsidR="007F05E9" w:rsidRPr="007F05E9">
        <w:rPr>
          <w:rFonts w:ascii="Arial" w:eastAsia="Calibri" w:hAnsi="Arial" w:cs="Arial"/>
          <w:sz w:val="24"/>
        </w:rPr>
        <w:t>s</w:t>
      </w:r>
      <w:r w:rsidR="00D906E0" w:rsidRPr="007F05E9">
        <w:rPr>
          <w:rFonts w:ascii="Arial" w:eastAsia="Calibri" w:hAnsi="Arial" w:cs="Arial"/>
          <w:sz w:val="24"/>
        </w:rPr>
        <w:t xml:space="preserve"> that the applicant was party to a tax avoidance arrangement and </w:t>
      </w:r>
      <w:r w:rsidR="00A358AA" w:rsidRPr="007F05E9">
        <w:rPr>
          <w:rFonts w:ascii="Arial" w:eastAsia="Calibri" w:hAnsi="Arial" w:cs="Arial"/>
          <w:sz w:val="24"/>
        </w:rPr>
        <w:t xml:space="preserve">that he was accordingly liable for dividends tax and an understatement penalty. </w:t>
      </w:r>
      <w:r w:rsidR="00D906E0" w:rsidRPr="007F05E9">
        <w:rPr>
          <w:rFonts w:ascii="Arial" w:eastAsia="Calibri" w:hAnsi="Arial" w:cs="Arial"/>
          <w:sz w:val="24"/>
        </w:rPr>
        <w:t xml:space="preserve"> </w:t>
      </w:r>
    </w:p>
    <w:p w14:paraId="68D13F07" w14:textId="41AE7C8D" w:rsidR="007F05E9"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35.</w:t>
      </w:r>
      <w:r>
        <w:rPr>
          <w:rFonts w:ascii="Arial" w:eastAsia="Calibri" w:hAnsi="Arial" w:cs="Arial"/>
          <w:sz w:val="24"/>
        </w:rPr>
        <w:tab/>
      </w:r>
      <w:r w:rsidR="00A358AA" w:rsidRPr="007F05E9">
        <w:rPr>
          <w:rFonts w:ascii="Arial" w:eastAsia="Calibri" w:hAnsi="Arial" w:cs="Arial"/>
          <w:sz w:val="24"/>
        </w:rPr>
        <w:t>I</w:t>
      </w:r>
      <w:r w:rsidR="00D906E0" w:rsidRPr="007F05E9">
        <w:rPr>
          <w:rFonts w:ascii="Arial" w:eastAsia="Calibri" w:hAnsi="Arial" w:cs="Arial"/>
          <w:sz w:val="24"/>
        </w:rPr>
        <w:t xml:space="preserve">t </w:t>
      </w:r>
      <w:r w:rsidR="003E5D5C">
        <w:rPr>
          <w:rFonts w:ascii="Arial" w:eastAsia="Calibri" w:hAnsi="Arial" w:cs="Arial"/>
          <w:sz w:val="24"/>
        </w:rPr>
        <w:t>wa</w:t>
      </w:r>
      <w:r w:rsidR="00D906E0" w:rsidRPr="007F05E9">
        <w:rPr>
          <w:rFonts w:ascii="Arial" w:eastAsia="Calibri" w:hAnsi="Arial" w:cs="Arial"/>
          <w:sz w:val="24"/>
        </w:rPr>
        <w:t xml:space="preserve">s </w:t>
      </w:r>
      <w:r w:rsidR="00B73E33">
        <w:rPr>
          <w:rFonts w:ascii="Arial" w:eastAsia="Calibri" w:hAnsi="Arial" w:cs="Arial"/>
          <w:sz w:val="24"/>
        </w:rPr>
        <w:t>accepted</w:t>
      </w:r>
      <w:r w:rsidR="007E28C6">
        <w:rPr>
          <w:rStyle w:val="FootnoteReference"/>
          <w:rFonts w:ascii="Arial" w:eastAsia="Calibri" w:hAnsi="Arial" w:cs="Arial"/>
          <w:sz w:val="24"/>
        </w:rPr>
        <w:footnoteReference w:id="4"/>
      </w:r>
      <w:r w:rsidR="00D906E0" w:rsidRPr="007F05E9">
        <w:rPr>
          <w:rFonts w:ascii="Arial" w:eastAsia="Calibri" w:hAnsi="Arial" w:cs="Arial"/>
          <w:sz w:val="24"/>
        </w:rPr>
        <w:t xml:space="preserve"> that the </w:t>
      </w:r>
      <w:r w:rsidR="009606EE">
        <w:rPr>
          <w:rFonts w:ascii="Arial" w:eastAsia="Calibri" w:hAnsi="Arial" w:cs="Arial"/>
          <w:sz w:val="24"/>
        </w:rPr>
        <w:t xml:space="preserve">Commissioner’s </w:t>
      </w:r>
      <w:r w:rsidR="00D906E0" w:rsidRPr="007F05E9">
        <w:rPr>
          <w:rFonts w:ascii="Arial" w:eastAsia="Calibri" w:hAnsi="Arial" w:cs="Arial"/>
          <w:sz w:val="24"/>
        </w:rPr>
        <w:t xml:space="preserve">decision </w:t>
      </w:r>
      <w:r w:rsidR="009549AC">
        <w:rPr>
          <w:rFonts w:ascii="Arial" w:eastAsia="Calibri" w:hAnsi="Arial" w:cs="Arial"/>
          <w:sz w:val="24"/>
        </w:rPr>
        <w:t xml:space="preserve">in </w:t>
      </w:r>
      <w:r w:rsidR="00D906E0" w:rsidRPr="007F05E9">
        <w:rPr>
          <w:rFonts w:ascii="Arial" w:eastAsia="Calibri" w:hAnsi="Arial" w:cs="Arial"/>
          <w:sz w:val="24"/>
        </w:rPr>
        <w:t>l</w:t>
      </w:r>
      <w:r w:rsidR="007E28C6" w:rsidRPr="007F05E9">
        <w:rPr>
          <w:rFonts w:ascii="Arial" w:eastAsia="Calibri" w:hAnsi="Arial" w:cs="Arial"/>
          <w:sz w:val="24"/>
        </w:rPr>
        <w:t>e</w:t>
      </w:r>
      <w:r w:rsidR="00D906E0" w:rsidRPr="007F05E9">
        <w:rPr>
          <w:rFonts w:ascii="Arial" w:eastAsia="Calibri" w:hAnsi="Arial" w:cs="Arial"/>
          <w:sz w:val="24"/>
        </w:rPr>
        <w:t>v</w:t>
      </w:r>
      <w:r w:rsidR="007E28C6" w:rsidRPr="007F05E9">
        <w:rPr>
          <w:rFonts w:ascii="Arial" w:eastAsia="Calibri" w:hAnsi="Arial" w:cs="Arial"/>
          <w:sz w:val="24"/>
        </w:rPr>
        <w:t>y</w:t>
      </w:r>
      <w:r w:rsidR="00D906E0" w:rsidRPr="007F05E9">
        <w:rPr>
          <w:rFonts w:ascii="Arial" w:eastAsia="Calibri" w:hAnsi="Arial" w:cs="Arial"/>
          <w:sz w:val="24"/>
        </w:rPr>
        <w:t xml:space="preserve">ing </w:t>
      </w:r>
      <w:r w:rsidR="009606EE">
        <w:rPr>
          <w:rFonts w:ascii="Arial" w:eastAsia="Calibri" w:hAnsi="Arial" w:cs="Arial"/>
          <w:sz w:val="24"/>
        </w:rPr>
        <w:t>a tax</w:t>
      </w:r>
      <w:r w:rsidR="00D906E0" w:rsidRPr="007F05E9">
        <w:rPr>
          <w:rFonts w:ascii="Arial" w:eastAsia="Calibri" w:hAnsi="Arial" w:cs="Arial"/>
          <w:sz w:val="24"/>
        </w:rPr>
        <w:t xml:space="preserve"> assessment</w:t>
      </w:r>
      <w:r w:rsidR="00A268DD">
        <w:rPr>
          <w:rFonts w:ascii="Arial" w:eastAsia="Calibri" w:hAnsi="Arial" w:cs="Arial"/>
          <w:sz w:val="24"/>
        </w:rPr>
        <w:t xml:space="preserve"> on the applicant</w:t>
      </w:r>
      <w:r w:rsidR="00D906E0" w:rsidRPr="007F05E9">
        <w:rPr>
          <w:rFonts w:ascii="Arial" w:eastAsia="Calibri" w:hAnsi="Arial" w:cs="Arial"/>
          <w:sz w:val="24"/>
        </w:rPr>
        <w:t xml:space="preserve"> constitute</w:t>
      </w:r>
      <w:r w:rsidR="00A268DD">
        <w:rPr>
          <w:rFonts w:ascii="Arial" w:eastAsia="Calibri" w:hAnsi="Arial" w:cs="Arial"/>
          <w:sz w:val="24"/>
        </w:rPr>
        <w:t>d</w:t>
      </w:r>
      <w:r w:rsidR="00D906E0" w:rsidRPr="007F05E9">
        <w:rPr>
          <w:rFonts w:ascii="Arial" w:eastAsia="Calibri" w:hAnsi="Arial" w:cs="Arial"/>
          <w:sz w:val="24"/>
        </w:rPr>
        <w:t xml:space="preserve"> administrative action </w:t>
      </w:r>
      <w:r w:rsidR="00200873">
        <w:rPr>
          <w:rFonts w:ascii="Arial" w:eastAsia="Calibri" w:hAnsi="Arial" w:cs="Arial"/>
          <w:sz w:val="24"/>
        </w:rPr>
        <w:t>as per</w:t>
      </w:r>
      <w:r w:rsidR="00D906E0" w:rsidRPr="007F05E9">
        <w:rPr>
          <w:rFonts w:ascii="Arial" w:eastAsia="Calibri" w:hAnsi="Arial" w:cs="Arial"/>
          <w:sz w:val="24"/>
        </w:rPr>
        <w:t xml:space="preserve"> the</w:t>
      </w:r>
      <w:r w:rsidR="00200873">
        <w:rPr>
          <w:rFonts w:ascii="Arial" w:eastAsia="Calibri" w:hAnsi="Arial" w:cs="Arial"/>
          <w:sz w:val="24"/>
        </w:rPr>
        <w:t xml:space="preserve"> </w:t>
      </w:r>
      <w:r w:rsidR="00D906E0" w:rsidRPr="007F05E9">
        <w:rPr>
          <w:rFonts w:ascii="Arial" w:eastAsia="Calibri" w:hAnsi="Arial" w:cs="Arial"/>
          <w:sz w:val="24"/>
        </w:rPr>
        <w:t>Promotion of Administrative Justice Act</w:t>
      </w:r>
      <w:r w:rsidR="00D906E0">
        <w:rPr>
          <w:rStyle w:val="FootnoteReference"/>
          <w:rFonts w:ascii="Arial" w:eastAsia="Calibri" w:hAnsi="Arial" w:cs="Arial"/>
          <w:sz w:val="24"/>
        </w:rPr>
        <w:footnoteReference w:id="5"/>
      </w:r>
      <w:r w:rsidR="00D906E0" w:rsidRPr="007F05E9">
        <w:rPr>
          <w:rFonts w:ascii="Arial" w:eastAsia="Calibri" w:hAnsi="Arial" w:cs="Arial"/>
          <w:sz w:val="24"/>
        </w:rPr>
        <w:t xml:space="preserve"> </w:t>
      </w:r>
      <w:r w:rsidR="007E28C6" w:rsidRPr="007F05E9">
        <w:rPr>
          <w:rFonts w:ascii="Arial" w:eastAsia="Calibri" w:hAnsi="Arial" w:cs="Arial"/>
          <w:sz w:val="24"/>
        </w:rPr>
        <w:t>(‘PAJA’)</w:t>
      </w:r>
      <w:r w:rsidR="00D906E0" w:rsidRPr="007F05E9">
        <w:rPr>
          <w:rFonts w:ascii="Arial" w:eastAsia="Calibri" w:hAnsi="Arial" w:cs="Arial"/>
          <w:sz w:val="24"/>
        </w:rPr>
        <w:t xml:space="preserve">, and the review </w:t>
      </w:r>
      <w:r w:rsidR="00A358AA" w:rsidRPr="007F05E9">
        <w:rPr>
          <w:rFonts w:ascii="Arial" w:eastAsia="Calibri" w:hAnsi="Arial" w:cs="Arial"/>
          <w:sz w:val="24"/>
        </w:rPr>
        <w:t>was</w:t>
      </w:r>
      <w:r w:rsidR="00D906E0" w:rsidRPr="007F05E9">
        <w:rPr>
          <w:rFonts w:ascii="Arial" w:eastAsia="Calibri" w:hAnsi="Arial" w:cs="Arial"/>
          <w:sz w:val="24"/>
        </w:rPr>
        <w:t xml:space="preserve"> </w:t>
      </w:r>
      <w:r w:rsidR="00A268DD">
        <w:rPr>
          <w:rFonts w:ascii="Arial" w:eastAsia="Calibri" w:hAnsi="Arial" w:cs="Arial"/>
          <w:sz w:val="24"/>
        </w:rPr>
        <w:t>framed</w:t>
      </w:r>
      <w:r w:rsidR="00D906E0" w:rsidRPr="007F05E9">
        <w:rPr>
          <w:rFonts w:ascii="Arial" w:eastAsia="Calibri" w:hAnsi="Arial" w:cs="Arial"/>
          <w:sz w:val="24"/>
        </w:rPr>
        <w:t xml:space="preserve"> in terms thereof</w:t>
      </w:r>
      <w:r w:rsidR="00D81640" w:rsidRPr="007F05E9">
        <w:rPr>
          <w:rFonts w:ascii="Arial" w:eastAsia="Calibri" w:hAnsi="Arial" w:cs="Arial"/>
          <w:sz w:val="24"/>
        </w:rPr>
        <w:t xml:space="preserve">. </w:t>
      </w:r>
      <w:r w:rsidR="00D906E0" w:rsidRPr="007F05E9">
        <w:rPr>
          <w:rFonts w:ascii="Arial" w:eastAsia="Calibri" w:hAnsi="Arial" w:cs="Arial"/>
          <w:sz w:val="24"/>
        </w:rPr>
        <w:t xml:space="preserve">As a result, </w:t>
      </w:r>
      <w:r w:rsidR="007E28C6" w:rsidRPr="007F05E9">
        <w:rPr>
          <w:rFonts w:ascii="Arial" w:eastAsia="Calibri" w:hAnsi="Arial" w:cs="Arial"/>
          <w:sz w:val="24"/>
        </w:rPr>
        <w:t>t</w:t>
      </w:r>
      <w:r w:rsidR="00D81640" w:rsidRPr="007F05E9">
        <w:rPr>
          <w:rFonts w:ascii="Arial" w:eastAsia="Calibri" w:hAnsi="Arial" w:cs="Arial"/>
          <w:sz w:val="24"/>
        </w:rPr>
        <w:t xml:space="preserve">he </w:t>
      </w:r>
      <w:r w:rsidR="00D906E0" w:rsidRPr="007F05E9">
        <w:rPr>
          <w:rFonts w:ascii="Arial" w:eastAsia="Calibri" w:hAnsi="Arial" w:cs="Arial"/>
          <w:sz w:val="24"/>
        </w:rPr>
        <w:t xml:space="preserve">provisions </w:t>
      </w:r>
      <w:r w:rsidR="00D81640" w:rsidRPr="007F05E9">
        <w:rPr>
          <w:rFonts w:ascii="Arial" w:eastAsia="Calibri" w:hAnsi="Arial" w:cs="Arial"/>
          <w:sz w:val="24"/>
        </w:rPr>
        <w:t>of</w:t>
      </w:r>
      <w:r w:rsidR="00D906E0" w:rsidRPr="007F05E9">
        <w:rPr>
          <w:rFonts w:ascii="Arial" w:eastAsia="Calibri" w:hAnsi="Arial" w:cs="Arial"/>
          <w:sz w:val="24"/>
        </w:rPr>
        <w:t xml:space="preserve"> </w:t>
      </w:r>
      <w:r w:rsidR="00D81640" w:rsidRPr="007F05E9">
        <w:rPr>
          <w:rFonts w:ascii="Arial" w:eastAsia="Calibri" w:hAnsi="Arial" w:cs="Arial"/>
          <w:sz w:val="24"/>
        </w:rPr>
        <w:t>s</w:t>
      </w:r>
      <w:r w:rsidR="007E28C6" w:rsidRPr="007F05E9">
        <w:rPr>
          <w:rFonts w:ascii="Arial" w:eastAsia="Calibri" w:hAnsi="Arial" w:cs="Arial"/>
          <w:sz w:val="24"/>
        </w:rPr>
        <w:t xml:space="preserve">s </w:t>
      </w:r>
      <w:r w:rsidR="00D906E0" w:rsidRPr="007F05E9">
        <w:rPr>
          <w:rFonts w:ascii="Arial" w:eastAsia="Calibri" w:hAnsi="Arial" w:cs="Arial"/>
          <w:sz w:val="24"/>
        </w:rPr>
        <w:t>7(2)</w:t>
      </w:r>
      <w:r w:rsidR="00D81640" w:rsidRPr="007F05E9">
        <w:rPr>
          <w:rFonts w:ascii="Arial" w:eastAsia="Calibri" w:hAnsi="Arial" w:cs="Arial"/>
          <w:sz w:val="24"/>
        </w:rPr>
        <w:t>(</w:t>
      </w:r>
      <w:r w:rsidR="00B73E33" w:rsidRPr="007F05E9">
        <w:rPr>
          <w:rFonts w:ascii="Arial" w:eastAsia="Calibri" w:hAnsi="Arial" w:cs="Arial"/>
          <w:sz w:val="24"/>
        </w:rPr>
        <w:t>a)-(</w:t>
      </w:r>
      <w:r w:rsidR="00D81640" w:rsidRPr="007F05E9">
        <w:rPr>
          <w:rFonts w:ascii="Arial" w:eastAsia="Calibri" w:hAnsi="Arial" w:cs="Arial"/>
          <w:sz w:val="24"/>
        </w:rPr>
        <w:t>c)</w:t>
      </w:r>
      <w:r w:rsidR="00D906E0" w:rsidRPr="007F05E9">
        <w:rPr>
          <w:rFonts w:ascii="Arial" w:eastAsia="Calibri" w:hAnsi="Arial" w:cs="Arial"/>
          <w:sz w:val="24"/>
        </w:rPr>
        <w:t xml:space="preserve"> of </w:t>
      </w:r>
      <w:r w:rsidR="00A358AA" w:rsidRPr="007F05E9">
        <w:rPr>
          <w:rFonts w:ascii="Arial" w:eastAsia="Calibri" w:hAnsi="Arial" w:cs="Arial"/>
          <w:sz w:val="24"/>
        </w:rPr>
        <w:t xml:space="preserve">PAJA </w:t>
      </w:r>
      <w:r w:rsidR="00D906E0" w:rsidRPr="007F05E9">
        <w:rPr>
          <w:rFonts w:ascii="Arial" w:eastAsia="Calibri" w:hAnsi="Arial" w:cs="Arial"/>
          <w:sz w:val="24"/>
        </w:rPr>
        <w:t>and</w:t>
      </w:r>
      <w:r w:rsidR="00D81640" w:rsidRPr="007F05E9">
        <w:rPr>
          <w:rFonts w:ascii="Arial" w:eastAsia="Calibri" w:hAnsi="Arial" w:cs="Arial"/>
          <w:sz w:val="24"/>
        </w:rPr>
        <w:t xml:space="preserve"> </w:t>
      </w:r>
      <w:r w:rsidR="00D906E0" w:rsidRPr="007F05E9">
        <w:rPr>
          <w:rFonts w:ascii="Arial" w:eastAsia="Calibri" w:hAnsi="Arial" w:cs="Arial"/>
          <w:sz w:val="24"/>
        </w:rPr>
        <w:t>s</w:t>
      </w:r>
      <w:r w:rsidR="00A358AA" w:rsidRPr="007F05E9">
        <w:rPr>
          <w:rFonts w:ascii="Arial" w:eastAsia="Calibri" w:hAnsi="Arial" w:cs="Arial"/>
          <w:sz w:val="24"/>
        </w:rPr>
        <w:t xml:space="preserve"> </w:t>
      </w:r>
      <w:r w:rsidR="00D906E0" w:rsidRPr="007F05E9">
        <w:rPr>
          <w:rFonts w:ascii="Arial" w:eastAsia="Calibri" w:hAnsi="Arial" w:cs="Arial"/>
          <w:sz w:val="24"/>
        </w:rPr>
        <w:t xml:space="preserve">105 of the </w:t>
      </w:r>
      <w:r w:rsidR="00A358AA" w:rsidRPr="007F05E9">
        <w:rPr>
          <w:rFonts w:ascii="Arial" w:eastAsia="Calibri" w:hAnsi="Arial" w:cs="Arial"/>
          <w:sz w:val="24"/>
        </w:rPr>
        <w:t>T</w:t>
      </w:r>
      <w:r w:rsidR="00D906E0" w:rsidRPr="007F05E9">
        <w:rPr>
          <w:rFonts w:ascii="Arial" w:eastAsia="Calibri" w:hAnsi="Arial" w:cs="Arial"/>
          <w:sz w:val="24"/>
        </w:rPr>
        <w:t xml:space="preserve">ax Administration </w:t>
      </w:r>
      <w:r w:rsidR="00A358AA" w:rsidRPr="007F05E9">
        <w:rPr>
          <w:rFonts w:ascii="Arial" w:eastAsia="Calibri" w:hAnsi="Arial" w:cs="Arial"/>
          <w:sz w:val="24"/>
        </w:rPr>
        <w:t>A</w:t>
      </w:r>
      <w:r w:rsidR="00D906E0" w:rsidRPr="007F05E9">
        <w:rPr>
          <w:rFonts w:ascii="Arial" w:eastAsia="Calibri" w:hAnsi="Arial" w:cs="Arial"/>
          <w:sz w:val="24"/>
        </w:rPr>
        <w:t>ct</w:t>
      </w:r>
      <w:r w:rsidR="006B6B61">
        <w:rPr>
          <w:rStyle w:val="FootnoteReference"/>
          <w:rFonts w:ascii="Arial" w:eastAsia="Calibri" w:hAnsi="Arial" w:cs="Arial"/>
          <w:sz w:val="24"/>
        </w:rPr>
        <w:footnoteReference w:id="6"/>
      </w:r>
      <w:r w:rsidR="00D906E0" w:rsidRPr="007F05E9">
        <w:rPr>
          <w:rFonts w:ascii="Arial" w:eastAsia="Calibri" w:hAnsi="Arial" w:cs="Arial"/>
          <w:sz w:val="24"/>
        </w:rPr>
        <w:t xml:space="preserve"> (‘TAA’)</w:t>
      </w:r>
      <w:r w:rsidR="007F05E9" w:rsidRPr="007F05E9">
        <w:rPr>
          <w:rFonts w:ascii="Arial" w:eastAsia="Calibri" w:hAnsi="Arial" w:cs="Arial"/>
          <w:sz w:val="24"/>
        </w:rPr>
        <w:t xml:space="preserve"> c</w:t>
      </w:r>
      <w:r w:rsidR="00B7602C">
        <w:rPr>
          <w:rFonts w:ascii="Arial" w:eastAsia="Calibri" w:hAnsi="Arial" w:cs="Arial"/>
          <w:sz w:val="24"/>
        </w:rPr>
        <w:t>a</w:t>
      </w:r>
      <w:r w:rsidR="007F05E9" w:rsidRPr="007F05E9">
        <w:rPr>
          <w:rFonts w:ascii="Arial" w:eastAsia="Calibri" w:hAnsi="Arial" w:cs="Arial"/>
          <w:sz w:val="24"/>
        </w:rPr>
        <w:t>me into play</w:t>
      </w:r>
      <w:r w:rsidR="00D906E0" w:rsidRPr="007F05E9">
        <w:rPr>
          <w:rFonts w:ascii="Arial" w:eastAsia="Calibri" w:hAnsi="Arial" w:cs="Arial"/>
          <w:sz w:val="24"/>
        </w:rPr>
        <w:t xml:space="preserve">. </w:t>
      </w:r>
    </w:p>
    <w:p w14:paraId="7F5C4FCC" w14:textId="65A63630" w:rsidR="008F15E9" w:rsidRPr="008F15E9" w:rsidRDefault="008F15E9" w:rsidP="008F15E9">
      <w:pPr>
        <w:adjustRightInd w:val="0"/>
        <w:spacing w:after="0" w:line="360" w:lineRule="auto"/>
        <w:jc w:val="both"/>
        <w:textAlignment w:val="baseline"/>
        <w:rPr>
          <w:rFonts w:ascii="Arial" w:eastAsia="Calibri" w:hAnsi="Arial" w:cs="Arial"/>
          <w:sz w:val="24"/>
        </w:rPr>
      </w:pPr>
      <w:r w:rsidRPr="008F15E9">
        <w:rPr>
          <w:rFonts w:ascii="Arial" w:eastAsia="Calibri" w:hAnsi="Arial" w:cs="Arial"/>
          <w:sz w:val="24"/>
        </w:rPr>
        <w:t>(i</w:t>
      </w:r>
      <w:r>
        <w:rPr>
          <w:rFonts w:ascii="Arial" w:eastAsia="Calibri" w:hAnsi="Arial" w:cs="Arial"/>
          <w:sz w:val="24"/>
        </w:rPr>
        <w:t>)</w:t>
      </w:r>
      <w:r>
        <w:rPr>
          <w:rFonts w:ascii="Arial" w:eastAsia="Calibri" w:hAnsi="Arial" w:cs="Arial"/>
          <w:sz w:val="24"/>
        </w:rPr>
        <w:tab/>
      </w:r>
      <w:r w:rsidRPr="008F15E9">
        <w:rPr>
          <w:rFonts w:ascii="Arial" w:eastAsia="Calibri" w:hAnsi="Arial" w:cs="Arial"/>
          <w:sz w:val="24"/>
          <w:u w:val="single"/>
        </w:rPr>
        <w:t>Ad the PAJA provisions</w:t>
      </w:r>
    </w:p>
    <w:p w14:paraId="10A46674" w14:textId="4DFB6DC2" w:rsidR="00BA2682"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36.</w:t>
      </w:r>
      <w:r>
        <w:rPr>
          <w:rFonts w:ascii="Arial" w:eastAsia="Calibri" w:hAnsi="Arial" w:cs="Arial"/>
          <w:sz w:val="24"/>
        </w:rPr>
        <w:tab/>
      </w:r>
      <w:r w:rsidR="00D906E0" w:rsidRPr="00327D4F">
        <w:rPr>
          <w:rFonts w:ascii="Arial" w:eastAsia="Calibri" w:hAnsi="Arial" w:cs="Arial"/>
          <w:sz w:val="24"/>
        </w:rPr>
        <w:t xml:space="preserve">As far as </w:t>
      </w:r>
      <w:r w:rsidR="00A268DD" w:rsidRPr="00327D4F">
        <w:rPr>
          <w:rFonts w:ascii="Arial" w:eastAsia="Calibri" w:hAnsi="Arial" w:cs="Arial"/>
          <w:sz w:val="24"/>
        </w:rPr>
        <w:t xml:space="preserve">the </w:t>
      </w:r>
      <w:r w:rsidR="00D906E0" w:rsidRPr="00327D4F">
        <w:rPr>
          <w:rFonts w:ascii="Arial" w:eastAsia="Calibri" w:hAnsi="Arial" w:cs="Arial"/>
          <w:sz w:val="24"/>
        </w:rPr>
        <w:t xml:space="preserve">PAJA </w:t>
      </w:r>
      <w:r w:rsidR="00A268DD" w:rsidRPr="00327D4F">
        <w:rPr>
          <w:rFonts w:ascii="Arial" w:eastAsia="Calibri" w:hAnsi="Arial" w:cs="Arial"/>
          <w:sz w:val="24"/>
        </w:rPr>
        <w:t xml:space="preserve">provisions are </w:t>
      </w:r>
      <w:r w:rsidR="00D906E0" w:rsidRPr="00327D4F">
        <w:rPr>
          <w:rFonts w:ascii="Arial" w:eastAsia="Calibri" w:hAnsi="Arial" w:cs="Arial"/>
          <w:sz w:val="24"/>
        </w:rPr>
        <w:t>concerned</w:t>
      </w:r>
      <w:r w:rsidR="00D81640" w:rsidRPr="00327D4F">
        <w:rPr>
          <w:rFonts w:ascii="Arial" w:eastAsia="Calibri" w:hAnsi="Arial" w:cs="Arial"/>
          <w:sz w:val="24"/>
        </w:rPr>
        <w:t>,</w:t>
      </w:r>
      <w:r w:rsidR="00D906E0" w:rsidRPr="00327D4F">
        <w:rPr>
          <w:rFonts w:ascii="Arial" w:eastAsia="Calibri" w:hAnsi="Arial" w:cs="Arial"/>
          <w:sz w:val="24"/>
        </w:rPr>
        <w:t xml:space="preserve"> s 7(2)(a) </w:t>
      </w:r>
      <w:r w:rsidR="007D702E" w:rsidRPr="00327D4F">
        <w:rPr>
          <w:rFonts w:ascii="Arial" w:eastAsia="Calibri" w:hAnsi="Arial" w:cs="Arial"/>
          <w:sz w:val="24"/>
        </w:rPr>
        <w:t>stipulates</w:t>
      </w:r>
      <w:r w:rsidR="00D906E0" w:rsidRPr="00327D4F">
        <w:rPr>
          <w:rFonts w:ascii="Arial" w:eastAsia="Calibri" w:hAnsi="Arial" w:cs="Arial"/>
          <w:sz w:val="24"/>
        </w:rPr>
        <w:t xml:space="preserve"> that no court shall review an administrative action unless any internal remedy which is provided for in any other law has </w:t>
      </w:r>
      <w:r w:rsidR="00A358AA" w:rsidRPr="00327D4F">
        <w:rPr>
          <w:rFonts w:ascii="Arial" w:eastAsia="Calibri" w:hAnsi="Arial" w:cs="Arial"/>
          <w:sz w:val="24"/>
        </w:rPr>
        <w:t>first</w:t>
      </w:r>
      <w:r w:rsidR="00D906E0" w:rsidRPr="00327D4F">
        <w:rPr>
          <w:rFonts w:ascii="Arial" w:eastAsia="Calibri" w:hAnsi="Arial" w:cs="Arial"/>
          <w:sz w:val="24"/>
        </w:rPr>
        <w:t xml:space="preserve"> been exhausted. Where a court is not satisfied that </w:t>
      </w:r>
      <w:r w:rsidR="00C73E10" w:rsidRPr="00327D4F">
        <w:rPr>
          <w:rFonts w:ascii="Arial" w:eastAsia="Calibri" w:hAnsi="Arial" w:cs="Arial"/>
          <w:sz w:val="24"/>
        </w:rPr>
        <w:t xml:space="preserve">this </w:t>
      </w:r>
      <w:r w:rsidR="00D906E0" w:rsidRPr="00327D4F">
        <w:rPr>
          <w:rFonts w:ascii="Arial" w:eastAsia="Calibri" w:hAnsi="Arial" w:cs="Arial"/>
          <w:sz w:val="24"/>
        </w:rPr>
        <w:t xml:space="preserve">has been </w:t>
      </w:r>
      <w:r w:rsidR="00C73E10" w:rsidRPr="00327D4F">
        <w:rPr>
          <w:rFonts w:ascii="Arial" w:eastAsia="Calibri" w:hAnsi="Arial" w:cs="Arial"/>
          <w:sz w:val="24"/>
        </w:rPr>
        <w:t>done</w:t>
      </w:r>
      <w:r w:rsidR="00D906E0" w:rsidRPr="00327D4F">
        <w:rPr>
          <w:rFonts w:ascii="Arial" w:eastAsia="Calibri" w:hAnsi="Arial" w:cs="Arial"/>
          <w:sz w:val="24"/>
        </w:rPr>
        <w:t xml:space="preserve"> it must </w:t>
      </w:r>
      <w:r w:rsidR="007F05E9" w:rsidRPr="00327D4F">
        <w:rPr>
          <w:rFonts w:ascii="Arial" w:eastAsia="Calibri" w:hAnsi="Arial" w:cs="Arial"/>
          <w:sz w:val="24"/>
        </w:rPr>
        <w:t>(</w:t>
      </w:r>
      <w:r w:rsidR="00D906E0" w:rsidRPr="00327D4F">
        <w:rPr>
          <w:rFonts w:ascii="Arial" w:eastAsia="Calibri" w:hAnsi="Arial" w:cs="Arial"/>
          <w:sz w:val="24"/>
        </w:rPr>
        <w:t xml:space="preserve">in terms </w:t>
      </w:r>
      <w:r w:rsidR="007F05E9" w:rsidRPr="00327D4F">
        <w:rPr>
          <w:rFonts w:ascii="Arial" w:eastAsia="Calibri" w:hAnsi="Arial" w:cs="Arial"/>
          <w:sz w:val="24"/>
        </w:rPr>
        <w:t>of s</w:t>
      </w:r>
      <w:r w:rsidR="00A358AA" w:rsidRPr="00327D4F">
        <w:rPr>
          <w:rFonts w:ascii="Arial" w:eastAsia="Calibri" w:hAnsi="Arial" w:cs="Arial"/>
          <w:sz w:val="24"/>
        </w:rPr>
        <w:t xml:space="preserve"> </w:t>
      </w:r>
      <w:r w:rsidR="00D906E0" w:rsidRPr="00327D4F">
        <w:rPr>
          <w:rFonts w:ascii="Arial" w:eastAsia="Calibri" w:hAnsi="Arial" w:cs="Arial"/>
          <w:sz w:val="24"/>
        </w:rPr>
        <w:t>7(2)(</w:t>
      </w:r>
      <w:r w:rsidR="00A358AA" w:rsidRPr="00327D4F">
        <w:rPr>
          <w:rFonts w:ascii="Arial" w:eastAsia="Calibri" w:hAnsi="Arial" w:cs="Arial"/>
          <w:sz w:val="24"/>
        </w:rPr>
        <w:t>b</w:t>
      </w:r>
      <w:r w:rsidR="00D906E0" w:rsidRPr="00327D4F">
        <w:rPr>
          <w:rFonts w:ascii="Arial" w:eastAsia="Calibri" w:hAnsi="Arial" w:cs="Arial"/>
          <w:sz w:val="24"/>
        </w:rPr>
        <w:t>)</w:t>
      </w:r>
      <w:r w:rsidR="007F05E9" w:rsidRPr="00327D4F">
        <w:rPr>
          <w:rFonts w:ascii="Arial" w:eastAsia="Calibri" w:hAnsi="Arial" w:cs="Arial"/>
          <w:sz w:val="24"/>
        </w:rPr>
        <w:t>),</w:t>
      </w:r>
      <w:r w:rsidR="00D906E0" w:rsidRPr="00327D4F">
        <w:rPr>
          <w:rFonts w:ascii="Arial" w:eastAsia="Calibri" w:hAnsi="Arial" w:cs="Arial"/>
          <w:sz w:val="24"/>
        </w:rPr>
        <w:t xml:space="preserve"> direct that the party </w:t>
      </w:r>
      <w:r w:rsidR="005E0743" w:rsidRPr="00327D4F">
        <w:rPr>
          <w:rFonts w:ascii="Arial" w:eastAsia="Calibri" w:hAnsi="Arial" w:cs="Arial"/>
          <w:sz w:val="24"/>
        </w:rPr>
        <w:t>concerned first</w:t>
      </w:r>
      <w:r w:rsidR="00D906E0" w:rsidRPr="00327D4F">
        <w:rPr>
          <w:rFonts w:ascii="Arial" w:eastAsia="Calibri" w:hAnsi="Arial" w:cs="Arial"/>
          <w:sz w:val="24"/>
        </w:rPr>
        <w:t xml:space="preserve"> do </w:t>
      </w:r>
      <w:r w:rsidR="00D906E0" w:rsidRPr="00327D4F">
        <w:rPr>
          <w:rFonts w:ascii="Arial" w:eastAsia="Calibri" w:hAnsi="Arial" w:cs="Arial"/>
          <w:sz w:val="24"/>
        </w:rPr>
        <w:lastRenderedPageBreak/>
        <w:t xml:space="preserve">so, before proceeding with a </w:t>
      </w:r>
      <w:r w:rsidR="00C73E10" w:rsidRPr="00327D4F">
        <w:rPr>
          <w:rFonts w:ascii="Arial" w:eastAsia="Calibri" w:hAnsi="Arial" w:cs="Arial"/>
          <w:sz w:val="24"/>
        </w:rPr>
        <w:t>PAJA</w:t>
      </w:r>
      <w:r w:rsidR="00D906E0" w:rsidRPr="00327D4F">
        <w:rPr>
          <w:rFonts w:ascii="Arial" w:eastAsia="Calibri" w:hAnsi="Arial" w:cs="Arial"/>
          <w:sz w:val="24"/>
        </w:rPr>
        <w:t xml:space="preserve"> review. </w:t>
      </w:r>
      <w:r w:rsidR="00A358AA" w:rsidRPr="00327D4F">
        <w:rPr>
          <w:rFonts w:ascii="Arial" w:eastAsia="Calibri" w:hAnsi="Arial" w:cs="Arial"/>
          <w:sz w:val="24"/>
        </w:rPr>
        <w:t>However</w:t>
      </w:r>
      <w:r w:rsidR="007F05E9" w:rsidRPr="00327D4F">
        <w:rPr>
          <w:rFonts w:ascii="Arial" w:eastAsia="Calibri" w:hAnsi="Arial" w:cs="Arial"/>
          <w:sz w:val="24"/>
        </w:rPr>
        <w:t>,</w:t>
      </w:r>
      <w:r w:rsidR="00A358AA" w:rsidRPr="00327D4F">
        <w:rPr>
          <w:rFonts w:ascii="Arial" w:eastAsia="Calibri" w:hAnsi="Arial" w:cs="Arial"/>
          <w:sz w:val="24"/>
        </w:rPr>
        <w:t xml:space="preserve"> </w:t>
      </w:r>
      <w:r w:rsidR="00A268DD" w:rsidRPr="00327D4F">
        <w:rPr>
          <w:rFonts w:ascii="Arial" w:eastAsia="Calibri" w:hAnsi="Arial" w:cs="Arial"/>
          <w:sz w:val="24"/>
        </w:rPr>
        <w:t>(</w:t>
      </w:r>
      <w:r w:rsidR="007F05E9" w:rsidRPr="00327D4F">
        <w:rPr>
          <w:rFonts w:ascii="Arial" w:eastAsia="Calibri" w:hAnsi="Arial" w:cs="Arial"/>
          <w:sz w:val="24"/>
        </w:rPr>
        <w:t xml:space="preserve">in terms </w:t>
      </w:r>
      <w:r w:rsidR="005E0743" w:rsidRPr="00327D4F">
        <w:rPr>
          <w:rFonts w:ascii="Arial" w:eastAsia="Calibri" w:hAnsi="Arial" w:cs="Arial"/>
          <w:sz w:val="24"/>
        </w:rPr>
        <w:t>of s</w:t>
      </w:r>
      <w:r w:rsidR="007F05E9" w:rsidRPr="00327D4F">
        <w:rPr>
          <w:rFonts w:ascii="Arial" w:eastAsia="Calibri" w:hAnsi="Arial" w:cs="Arial"/>
          <w:sz w:val="24"/>
        </w:rPr>
        <w:t xml:space="preserve"> 7(2)(c)</w:t>
      </w:r>
      <w:r w:rsidR="00A268DD" w:rsidRPr="00327D4F">
        <w:rPr>
          <w:rFonts w:ascii="Arial" w:eastAsia="Calibri" w:hAnsi="Arial" w:cs="Arial"/>
          <w:sz w:val="24"/>
        </w:rPr>
        <w:t>)</w:t>
      </w:r>
      <w:r w:rsidR="00A358AA" w:rsidRPr="00327D4F">
        <w:rPr>
          <w:rFonts w:ascii="Arial" w:eastAsia="Calibri" w:hAnsi="Arial" w:cs="Arial"/>
          <w:sz w:val="24"/>
        </w:rPr>
        <w:t xml:space="preserve"> </w:t>
      </w:r>
      <w:r w:rsidR="007F05E9" w:rsidRPr="00327D4F">
        <w:rPr>
          <w:rFonts w:ascii="Arial" w:eastAsia="Calibri" w:hAnsi="Arial" w:cs="Arial"/>
          <w:sz w:val="24"/>
        </w:rPr>
        <w:t xml:space="preserve">a </w:t>
      </w:r>
      <w:r w:rsidR="00A358AA" w:rsidRPr="00327D4F">
        <w:rPr>
          <w:rFonts w:ascii="Arial" w:eastAsia="Calibri" w:hAnsi="Arial" w:cs="Arial"/>
          <w:sz w:val="24"/>
        </w:rPr>
        <w:t xml:space="preserve">court may, on application, exempt a party from </w:t>
      </w:r>
      <w:r w:rsidR="00FC2330" w:rsidRPr="00327D4F">
        <w:rPr>
          <w:rFonts w:ascii="Arial" w:eastAsia="Calibri" w:hAnsi="Arial" w:cs="Arial"/>
          <w:sz w:val="24"/>
        </w:rPr>
        <w:t xml:space="preserve">discharging </w:t>
      </w:r>
      <w:r w:rsidR="00A358AA" w:rsidRPr="00327D4F">
        <w:rPr>
          <w:rFonts w:ascii="Arial" w:eastAsia="Calibri" w:hAnsi="Arial" w:cs="Arial"/>
          <w:sz w:val="24"/>
        </w:rPr>
        <w:t>this obligation</w:t>
      </w:r>
      <w:r w:rsidR="009549AC" w:rsidRPr="00327D4F">
        <w:rPr>
          <w:rFonts w:ascii="Arial" w:eastAsia="Calibri" w:hAnsi="Arial" w:cs="Arial"/>
          <w:sz w:val="24"/>
        </w:rPr>
        <w:t>,</w:t>
      </w:r>
      <w:r w:rsidR="00A358AA" w:rsidRPr="00327D4F">
        <w:rPr>
          <w:rFonts w:ascii="Arial" w:eastAsia="Calibri" w:hAnsi="Arial" w:cs="Arial"/>
          <w:sz w:val="24"/>
        </w:rPr>
        <w:t xml:space="preserve"> in ‘exceptional </w:t>
      </w:r>
      <w:r w:rsidR="007F05E9" w:rsidRPr="00327D4F">
        <w:rPr>
          <w:rFonts w:ascii="Arial" w:eastAsia="Calibri" w:hAnsi="Arial" w:cs="Arial"/>
          <w:sz w:val="24"/>
        </w:rPr>
        <w:t>circumstances’</w:t>
      </w:r>
      <w:r w:rsidR="004A0948" w:rsidRPr="00327D4F">
        <w:rPr>
          <w:rFonts w:ascii="Arial" w:eastAsia="Calibri" w:hAnsi="Arial" w:cs="Arial"/>
          <w:sz w:val="24"/>
        </w:rPr>
        <w:t>,</w:t>
      </w:r>
      <w:r w:rsidR="007F05E9" w:rsidRPr="00327D4F">
        <w:rPr>
          <w:rFonts w:ascii="Arial" w:eastAsia="Calibri" w:hAnsi="Arial" w:cs="Arial"/>
          <w:sz w:val="24"/>
        </w:rPr>
        <w:t xml:space="preserve"> </w:t>
      </w:r>
      <w:r w:rsidR="007F05E9" w:rsidRPr="004640E6">
        <w:rPr>
          <w:rFonts w:ascii="Arial" w:eastAsia="Calibri" w:hAnsi="Arial" w:cs="Arial"/>
          <w:i/>
          <w:iCs/>
          <w:sz w:val="24"/>
        </w:rPr>
        <w:t>if</w:t>
      </w:r>
      <w:r w:rsidR="00D81640" w:rsidRPr="004640E6">
        <w:rPr>
          <w:rFonts w:ascii="Arial" w:eastAsia="Calibri" w:hAnsi="Arial" w:cs="Arial"/>
          <w:i/>
          <w:iCs/>
          <w:sz w:val="24"/>
        </w:rPr>
        <w:t xml:space="preserve"> it deems this to be in the interests of justice</w:t>
      </w:r>
      <w:r w:rsidR="00A358AA" w:rsidRPr="00327D4F">
        <w:rPr>
          <w:rFonts w:ascii="Arial" w:eastAsia="Calibri" w:hAnsi="Arial" w:cs="Arial"/>
          <w:sz w:val="24"/>
        </w:rPr>
        <w:t xml:space="preserve">. </w:t>
      </w:r>
      <w:r w:rsidR="00D906E0" w:rsidRPr="00327D4F">
        <w:rPr>
          <w:rFonts w:ascii="Arial" w:eastAsia="Calibri" w:hAnsi="Arial" w:cs="Arial"/>
          <w:sz w:val="24"/>
        </w:rPr>
        <w:t xml:space="preserve">Consequently, </w:t>
      </w:r>
      <w:r w:rsidR="009549AC" w:rsidRPr="00327D4F">
        <w:rPr>
          <w:rFonts w:ascii="Arial" w:eastAsia="Calibri" w:hAnsi="Arial" w:cs="Arial"/>
          <w:sz w:val="24"/>
        </w:rPr>
        <w:t xml:space="preserve">it has been held </w:t>
      </w:r>
      <w:r w:rsidR="00A268DD" w:rsidRPr="00327D4F">
        <w:rPr>
          <w:rFonts w:ascii="Arial" w:eastAsia="Calibri" w:hAnsi="Arial" w:cs="Arial"/>
          <w:sz w:val="24"/>
        </w:rPr>
        <w:t xml:space="preserve">by our highest Courts </w:t>
      </w:r>
      <w:r w:rsidR="009549AC" w:rsidRPr="00327D4F">
        <w:rPr>
          <w:rFonts w:ascii="Arial" w:eastAsia="Calibri" w:hAnsi="Arial" w:cs="Arial"/>
          <w:sz w:val="24"/>
        </w:rPr>
        <w:t xml:space="preserve">that </w:t>
      </w:r>
      <w:r w:rsidR="00D906E0" w:rsidRPr="00327D4F">
        <w:rPr>
          <w:rFonts w:ascii="Arial" w:eastAsia="Calibri" w:hAnsi="Arial" w:cs="Arial"/>
          <w:sz w:val="24"/>
        </w:rPr>
        <w:t>compliance with th</w:t>
      </w:r>
      <w:r w:rsidR="00D81640" w:rsidRPr="00327D4F">
        <w:rPr>
          <w:rFonts w:ascii="Arial" w:eastAsia="Calibri" w:hAnsi="Arial" w:cs="Arial"/>
          <w:sz w:val="24"/>
        </w:rPr>
        <w:t xml:space="preserve">e duty to exhaust </w:t>
      </w:r>
      <w:r w:rsidR="002C7368" w:rsidRPr="00327D4F">
        <w:rPr>
          <w:rFonts w:ascii="Arial" w:eastAsia="Calibri" w:hAnsi="Arial" w:cs="Arial"/>
          <w:sz w:val="24"/>
        </w:rPr>
        <w:t>all internal</w:t>
      </w:r>
      <w:r w:rsidR="00D81640" w:rsidRPr="00327D4F">
        <w:rPr>
          <w:rFonts w:ascii="Arial" w:eastAsia="Calibri" w:hAnsi="Arial" w:cs="Arial"/>
          <w:sz w:val="24"/>
        </w:rPr>
        <w:t xml:space="preserve"> remedies </w:t>
      </w:r>
      <w:r w:rsidR="00D906E0" w:rsidRPr="00327D4F">
        <w:rPr>
          <w:rFonts w:ascii="Arial" w:eastAsia="Calibri" w:hAnsi="Arial" w:cs="Arial"/>
          <w:sz w:val="24"/>
        </w:rPr>
        <w:t>is compulsory</w:t>
      </w:r>
      <w:r w:rsidR="004A0948" w:rsidRPr="00327D4F">
        <w:rPr>
          <w:rFonts w:ascii="Arial" w:eastAsia="Calibri" w:hAnsi="Arial" w:cs="Arial"/>
          <w:sz w:val="24"/>
        </w:rPr>
        <w:t>,</w:t>
      </w:r>
      <w:r w:rsidR="007F05E9" w:rsidRPr="00327D4F">
        <w:rPr>
          <w:rFonts w:ascii="Arial" w:eastAsia="Calibri" w:hAnsi="Arial" w:cs="Arial"/>
          <w:sz w:val="24"/>
        </w:rPr>
        <w:t xml:space="preserve"> before a PAJA review </w:t>
      </w:r>
      <w:r w:rsidR="00FC2330" w:rsidRPr="00327D4F">
        <w:rPr>
          <w:rFonts w:ascii="Arial" w:eastAsia="Calibri" w:hAnsi="Arial" w:cs="Arial"/>
          <w:sz w:val="24"/>
        </w:rPr>
        <w:t xml:space="preserve">is </w:t>
      </w:r>
      <w:r w:rsidR="007F05E9" w:rsidRPr="00327D4F">
        <w:rPr>
          <w:rFonts w:ascii="Arial" w:eastAsia="Calibri" w:hAnsi="Arial" w:cs="Arial"/>
          <w:sz w:val="24"/>
        </w:rPr>
        <w:t>brought,</w:t>
      </w:r>
      <w:r w:rsidR="00D81640" w:rsidRPr="00327D4F">
        <w:rPr>
          <w:rFonts w:ascii="Arial" w:eastAsia="Calibri" w:hAnsi="Arial" w:cs="Arial"/>
          <w:sz w:val="24"/>
        </w:rPr>
        <w:t xml:space="preserve"> unless </w:t>
      </w:r>
      <w:r w:rsidR="004A0948" w:rsidRPr="00327D4F">
        <w:rPr>
          <w:rFonts w:ascii="Arial" w:eastAsia="Calibri" w:hAnsi="Arial" w:cs="Arial"/>
          <w:sz w:val="24"/>
        </w:rPr>
        <w:t>the</w:t>
      </w:r>
      <w:r w:rsidR="00D81640" w:rsidRPr="00327D4F">
        <w:rPr>
          <w:rFonts w:ascii="Arial" w:eastAsia="Calibri" w:hAnsi="Arial" w:cs="Arial"/>
          <w:sz w:val="24"/>
        </w:rPr>
        <w:t xml:space="preserve"> party </w:t>
      </w:r>
      <w:r w:rsidR="004A0948" w:rsidRPr="00327D4F">
        <w:rPr>
          <w:rFonts w:ascii="Arial" w:eastAsia="Calibri" w:hAnsi="Arial" w:cs="Arial"/>
          <w:sz w:val="24"/>
        </w:rPr>
        <w:t xml:space="preserve">concerned </w:t>
      </w:r>
      <w:r w:rsidR="00C04177" w:rsidRPr="00327D4F">
        <w:rPr>
          <w:rFonts w:ascii="Arial" w:eastAsia="Calibri" w:hAnsi="Arial" w:cs="Arial"/>
          <w:sz w:val="24"/>
        </w:rPr>
        <w:t>is</w:t>
      </w:r>
      <w:r w:rsidR="00D81640" w:rsidRPr="00327D4F">
        <w:rPr>
          <w:rFonts w:ascii="Arial" w:eastAsia="Calibri" w:hAnsi="Arial" w:cs="Arial"/>
          <w:sz w:val="24"/>
        </w:rPr>
        <w:t xml:space="preserve"> </w:t>
      </w:r>
      <w:r w:rsidR="00FC2330" w:rsidRPr="00327D4F">
        <w:rPr>
          <w:rFonts w:ascii="Arial" w:eastAsia="Calibri" w:hAnsi="Arial" w:cs="Arial"/>
          <w:sz w:val="24"/>
        </w:rPr>
        <w:t>excused</w:t>
      </w:r>
      <w:r w:rsidR="00D81640" w:rsidRPr="00327D4F">
        <w:rPr>
          <w:rFonts w:ascii="Arial" w:eastAsia="Calibri" w:hAnsi="Arial" w:cs="Arial"/>
          <w:sz w:val="24"/>
        </w:rPr>
        <w:t xml:space="preserve"> from </w:t>
      </w:r>
      <w:r w:rsidR="007F05E9" w:rsidRPr="00327D4F">
        <w:rPr>
          <w:rFonts w:ascii="Arial" w:eastAsia="Calibri" w:hAnsi="Arial" w:cs="Arial"/>
          <w:sz w:val="24"/>
        </w:rPr>
        <w:t xml:space="preserve">this obligation </w:t>
      </w:r>
      <w:r w:rsidR="00D81640" w:rsidRPr="00327D4F">
        <w:rPr>
          <w:rFonts w:ascii="Arial" w:eastAsia="Calibri" w:hAnsi="Arial" w:cs="Arial"/>
          <w:sz w:val="24"/>
        </w:rPr>
        <w:t>by a court</w:t>
      </w:r>
      <w:r w:rsidR="00200873">
        <w:rPr>
          <w:rFonts w:ascii="Arial" w:eastAsia="Calibri" w:hAnsi="Arial" w:cs="Arial"/>
          <w:sz w:val="24"/>
        </w:rPr>
        <w:t>,</w:t>
      </w:r>
      <w:r w:rsidR="00327D4F" w:rsidRPr="00327D4F">
        <w:rPr>
          <w:rFonts w:ascii="Arial" w:eastAsia="Calibri" w:hAnsi="Arial" w:cs="Arial"/>
          <w:sz w:val="24"/>
        </w:rPr>
        <w:t xml:space="preserve"> </w:t>
      </w:r>
      <w:r w:rsidR="00D906E0">
        <w:rPr>
          <w:rStyle w:val="FootnoteReference"/>
          <w:rFonts w:ascii="Arial" w:eastAsia="Calibri" w:hAnsi="Arial" w:cs="Arial"/>
          <w:sz w:val="24"/>
        </w:rPr>
        <w:footnoteReference w:id="7"/>
      </w:r>
      <w:r w:rsidR="00327D4F" w:rsidRPr="00327D4F">
        <w:rPr>
          <w:rFonts w:ascii="Arial" w:eastAsia="Calibri" w:hAnsi="Arial" w:cs="Arial"/>
          <w:sz w:val="24"/>
        </w:rPr>
        <w:t xml:space="preserve"> </w:t>
      </w:r>
      <w:r w:rsidR="00327D4F">
        <w:rPr>
          <w:rFonts w:ascii="Arial" w:eastAsia="Calibri" w:hAnsi="Arial" w:cs="Arial"/>
          <w:sz w:val="24"/>
        </w:rPr>
        <w:t xml:space="preserve">or </w:t>
      </w:r>
      <w:r w:rsidR="00327D4F" w:rsidRPr="00327D4F">
        <w:rPr>
          <w:rFonts w:ascii="Arial" w:eastAsia="Calibri" w:hAnsi="Arial" w:cs="Arial"/>
          <w:sz w:val="24"/>
        </w:rPr>
        <w:t>the remedies</w:t>
      </w:r>
      <w:r w:rsidR="00327D4F">
        <w:rPr>
          <w:rFonts w:ascii="Arial" w:eastAsia="Calibri" w:hAnsi="Arial" w:cs="Arial"/>
          <w:sz w:val="24"/>
        </w:rPr>
        <w:t xml:space="preserve"> specified are not available or </w:t>
      </w:r>
      <w:r w:rsidR="00120C9B">
        <w:rPr>
          <w:rFonts w:ascii="Arial" w:eastAsia="Calibri" w:hAnsi="Arial" w:cs="Arial"/>
          <w:sz w:val="24"/>
        </w:rPr>
        <w:t xml:space="preserve">would not be effective, or their pursuit would be </w:t>
      </w:r>
      <w:r w:rsidR="002C7368">
        <w:rPr>
          <w:rFonts w:ascii="Arial" w:eastAsia="Calibri" w:hAnsi="Arial" w:cs="Arial"/>
          <w:sz w:val="24"/>
        </w:rPr>
        <w:t>‘</w:t>
      </w:r>
      <w:r w:rsidR="00120C9B">
        <w:rPr>
          <w:rFonts w:ascii="Arial" w:eastAsia="Calibri" w:hAnsi="Arial" w:cs="Arial"/>
          <w:sz w:val="24"/>
        </w:rPr>
        <w:t>futile</w:t>
      </w:r>
      <w:r w:rsidR="002C7368">
        <w:rPr>
          <w:rFonts w:ascii="Arial" w:eastAsia="Calibri" w:hAnsi="Arial" w:cs="Arial"/>
          <w:sz w:val="24"/>
        </w:rPr>
        <w:t>’</w:t>
      </w:r>
      <w:r w:rsidR="00BA2682">
        <w:rPr>
          <w:rFonts w:ascii="Arial" w:eastAsia="Calibri" w:hAnsi="Arial" w:cs="Arial"/>
          <w:sz w:val="24"/>
        </w:rPr>
        <w:t>.</w:t>
      </w:r>
      <w:r w:rsidR="002C7368">
        <w:rPr>
          <w:rStyle w:val="FootnoteReference"/>
          <w:rFonts w:ascii="Arial" w:eastAsia="Calibri" w:hAnsi="Arial" w:cs="Arial"/>
          <w:sz w:val="24"/>
        </w:rPr>
        <w:footnoteReference w:id="8"/>
      </w:r>
    </w:p>
    <w:p w14:paraId="1CE3D255" w14:textId="4D40E76F" w:rsidR="00C00FE8"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37.</w:t>
      </w:r>
      <w:r>
        <w:rPr>
          <w:rFonts w:ascii="Arial" w:eastAsia="Calibri" w:hAnsi="Arial" w:cs="Arial"/>
          <w:sz w:val="24"/>
        </w:rPr>
        <w:tab/>
      </w:r>
      <w:r w:rsidR="005E0743" w:rsidRPr="00327D4F">
        <w:rPr>
          <w:rFonts w:ascii="Arial" w:eastAsia="Calibri" w:hAnsi="Arial" w:cs="Arial"/>
          <w:sz w:val="24"/>
        </w:rPr>
        <w:t>E</w:t>
      </w:r>
      <w:r w:rsidR="007F05E9" w:rsidRPr="00327D4F">
        <w:rPr>
          <w:rFonts w:ascii="Arial" w:eastAsia="Calibri" w:hAnsi="Arial" w:cs="Arial"/>
          <w:sz w:val="24"/>
        </w:rPr>
        <w:t xml:space="preserve">xceptional circumstances are not defined in </w:t>
      </w:r>
      <w:r w:rsidR="00BA2682">
        <w:rPr>
          <w:rFonts w:ascii="Arial" w:eastAsia="Calibri" w:hAnsi="Arial" w:cs="Arial"/>
          <w:sz w:val="24"/>
        </w:rPr>
        <w:t>PAJA</w:t>
      </w:r>
      <w:r w:rsidR="00C04177" w:rsidRPr="00327D4F">
        <w:rPr>
          <w:rFonts w:ascii="Arial" w:eastAsia="Calibri" w:hAnsi="Arial" w:cs="Arial"/>
          <w:sz w:val="24"/>
        </w:rPr>
        <w:t>,</w:t>
      </w:r>
      <w:r w:rsidR="007F05E9" w:rsidRPr="00327D4F">
        <w:rPr>
          <w:rFonts w:ascii="Arial" w:eastAsia="Calibri" w:hAnsi="Arial" w:cs="Arial"/>
          <w:sz w:val="24"/>
        </w:rPr>
        <w:t xml:space="preserve"> </w:t>
      </w:r>
      <w:r w:rsidR="005E0743" w:rsidRPr="00327D4F">
        <w:rPr>
          <w:rFonts w:ascii="Arial" w:eastAsia="Calibri" w:hAnsi="Arial" w:cs="Arial"/>
          <w:sz w:val="24"/>
        </w:rPr>
        <w:t xml:space="preserve">and </w:t>
      </w:r>
      <w:r w:rsidR="007F05E9" w:rsidRPr="00327D4F">
        <w:rPr>
          <w:rFonts w:ascii="Arial" w:eastAsia="Calibri" w:hAnsi="Arial" w:cs="Arial"/>
          <w:sz w:val="24"/>
        </w:rPr>
        <w:t xml:space="preserve">one must accordingly look to the interpretation which </w:t>
      </w:r>
      <w:r w:rsidR="00E77BD1" w:rsidRPr="00327D4F">
        <w:rPr>
          <w:rFonts w:ascii="Arial" w:eastAsia="Calibri" w:hAnsi="Arial" w:cs="Arial"/>
          <w:sz w:val="24"/>
        </w:rPr>
        <w:t>has been</w:t>
      </w:r>
      <w:r w:rsidR="007F05E9" w:rsidRPr="00327D4F">
        <w:rPr>
          <w:rFonts w:ascii="Arial" w:eastAsia="Calibri" w:hAnsi="Arial" w:cs="Arial"/>
          <w:sz w:val="24"/>
        </w:rPr>
        <w:t xml:space="preserve"> given to the term</w:t>
      </w:r>
      <w:r w:rsidR="005E0743" w:rsidRPr="00327D4F">
        <w:rPr>
          <w:rFonts w:ascii="Arial" w:eastAsia="Calibri" w:hAnsi="Arial" w:cs="Arial"/>
          <w:sz w:val="24"/>
        </w:rPr>
        <w:t xml:space="preserve"> in the case law</w:t>
      </w:r>
      <w:r w:rsidR="007F05E9" w:rsidRPr="00327D4F">
        <w:rPr>
          <w:rFonts w:ascii="Arial" w:eastAsia="Calibri" w:hAnsi="Arial" w:cs="Arial"/>
          <w:sz w:val="24"/>
        </w:rPr>
        <w:t>.</w:t>
      </w:r>
      <w:r w:rsidR="00C04177" w:rsidRPr="00327D4F">
        <w:rPr>
          <w:rFonts w:ascii="Arial" w:eastAsia="Calibri" w:hAnsi="Arial" w:cs="Arial"/>
          <w:sz w:val="24"/>
        </w:rPr>
        <w:t xml:space="preserve"> In this regard,</w:t>
      </w:r>
      <w:r w:rsidR="00D81640" w:rsidRPr="00327D4F">
        <w:rPr>
          <w:rFonts w:ascii="Arial" w:eastAsia="Calibri" w:hAnsi="Arial" w:cs="Arial"/>
          <w:sz w:val="24"/>
        </w:rPr>
        <w:t xml:space="preserve"> </w:t>
      </w:r>
      <w:r w:rsidR="00555A11" w:rsidRPr="00327D4F">
        <w:rPr>
          <w:rFonts w:ascii="Arial" w:eastAsia="Calibri" w:hAnsi="Arial" w:cs="Arial"/>
          <w:sz w:val="24"/>
        </w:rPr>
        <w:t>courts have</w:t>
      </w:r>
      <w:r w:rsidR="00E07F25">
        <w:rPr>
          <w:rFonts w:ascii="Arial" w:eastAsia="Calibri" w:hAnsi="Arial" w:cs="Arial"/>
          <w:sz w:val="24"/>
        </w:rPr>
        <w:t xml:space="preserve"> </w:t>
      </w:r>
      <w:r w:rsidR="00555A11" w:rsidRPr="00327D4F">
        <w:rPr>
          <w:rFonts w:ascii="Arial" w:eastAsia="Calibri" w:hAnsi="Arial" w:cs="Arial"/>
          <w:sz w:val="24"/>
        </w:rPr>
        <w:t xml:space="preserve">eschewed formulating a precise definition of general application, holding instead that the meaning to be given to the phrase will depend on the facts and circumstances of </w:t>
      </w:r>
      <w:r w:rsidR="00E77BD1" w:rsidRPr="00327D4F">
        <w:rPr>
          <w:rFonts w:ascii="Arial" w:eastAsia="Calibri" w:hAnsi="Arial" w:cs="Arial"/>
          <w:sz w:val="24"/>
        </w:rPr>
        <w:t>each</w:t>
      </w:r>
      <w:r w:rsidR="00555A11" w:rsidRPr="00327D4F">
        <w:rPr>
          <w:rFonts w:ascii="Arial" w:eastAsia="Calibri" w:hAnsi="Arial" w:cs="Arial"/>
          <w:sz w:val="24"/>
        </w:rPr>
        <w:t xml:space="preserve"> particular case</w:t>
      </w:r>
      <w:r w:rsidR="00E07F25">
        <w:rPr>
          <w:rFonts w:ascii="Arial" w:eastAsia="Calibri" w:hAnsi="Arial" w:cs="Arial"/>
          <w:sz w:val="24"/>
        </w:rPr>
        <w:t>,</w:t>
      </w:r>
      <w:r w:rsidR="00555A11">
        <w:rPr>
          <w:rStyle w:val="FootnoteReference"/>
          <w:rFonts w:ascii="Arial" w:eastAsia="Calibri" w:hAnsi="Arial" w:cs="Arial"/>
          <w:sz w:val="24"/>
        </w:rPr>
        <w:footnoteReference w:id="9"/>
      </w:r>
      <w:r w:rsidR="00E77BD1" w:rsidRPr="00327D4F">
        <w:rPr>
          <w:rFonts w:ascii="Arial" w:eastAsia="Calibri" w:hAnsi="Arial" w:cs="Arial"/>
          <w:sz w:val="24"/>
        </w:rPr>
        <w:t xml:space="preserve"> </w:t>
      </w:r>
      <w:r w:rsidR="00E07F25">
        <w:rPr>
          <w:rFonts w:ascii="Arial" w:eastAsia="Calibri" w:hAnsi="Arial" w:cs="Arial"/>
          <w:sz w:val="24"/>
        </w:rPr>
        <w:t xml:space="preserve">including </w:t>
      </w:r>
      <w:r w:rsidR="00463E8B">
        <w:rPr>
          <w:rFonts w:ascii="Arial" w:eastAsia="Calibri" w:hAnsi="Arial" w:cs="Arial"/>
          <w:sz w:val="24"/>
        </w:rPr>
        <w:t xml:space="preserve">in </w:t>
      </w:r>
      <w:r w:rsidR="00E07F25">
        <w:rPr>
          <w:rFonts w:ascii="Arial" w:eastAsia="Calibri" w:hAnsi="Arial" w:cs="Arial"/>
          <w:sz w:val="24"/>
        </w:rPr>
        <w:t>tax matters.</w:t>
      </w:r>
      <w:r w:rsidR="00E07F25">
        <w:rPr>
          <w:rStyle w:val="FootnoteReference"/>
          <w:rFonts w:ascii="Arial" w:eastAsia="Calibri" w:hAnsi="Arial" w:cs="Arial"/>
          <w:sz w:val="24"/>
        </w:rPr>
        <w:footnoteReference w:id="10"/>
      </w:r>
      <w:r w:rsidR="00E77BD1" w:rsidRPr="00327D4F">
        <w:rPr>
          <w:rFonts w:ascii="Arial" w:eastAsia="Calibri" w:hAnsi="Arial" w:cs="Arial"/>
          <w:sz w:val="24"/>
        </w:rPr>
        <w:t xml:space="preserve"> </w:t>
      </w:r>
      <w:r w:rsidR="00B7602C">
        <w:rPr>
          <w:rFonts w:ascii="Arial" w:eastAsia="Calibri" w:hAnsi="Arial" w:cs="Arial"/>
          <w:sz w:val="24"/>
        </w:rPr>
        <w:t>So, t</w:t>
      </w:r>
      <w:r w:rsidR="00BA2682">
        <w:rPr>
          <w:rFonts w:ascii="Arial" w:eastAsia="Calibri" w:hAnsi="Arial" w:cs="Arial"/>
          <w:sz w:val="24"/>
        </w:rPr>
        <w:t>he phrase is ‘sufficiently flexible’ in its application that circumstances which might be regarded as ordinary in one matter may qualify as exceptional in another.</w:t>
      </w:r>
      <w:r w:rsidR="00BA2682">
        <w:rPr>
          <w:rStyle w:val="FootnoteReference"/>
          <w:rFonts w:ascii="Arial" w:eastAsia="Calibri" w:hAnsi="Arial" w:cs="Arial"/>
          <w:sz w:val="24"/>
        </w:rPr>
        <w:footnoteReference w:id="11"/>
      </w:r>
      <w:r w:rsidR="00BA2682">
        <w:rPr>
          <w:rFonts w:ascii="Arial" w:eastAsia="Calibri" w:hAnsi="Arial" w:cs="Arial"/>
          <w:sz w:val="24"/>
        </w:rPr>
        <w:t xml:space="preserve">  </w:t>
      </w:r>
    </w:p>
    <w:p w14:paraId="5C30FFE0" w14:textId="456BA25F" w:rsidR="00D03F2B" w:rsidRPr="00327D4F"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sidRPr="00327D4F">
        <w:rPr>
          <w:rFonts w:ascii="Arial" w:eastAsia="Calibri" w:hAnsi="Arial" w:cs="Arial"/>
          <w:sz w:val="24"/>
        </w:rPr>
        <w:t>38.</w:t>
      </w:r>
      <w:r w:rsidRPr="00327D4F">
        <w:rPr>
          <w:rFonts w:ascii="Arial" w:eastAsia="Calibri" w:hAnsi="Arial" w:cs="Arial"/>
          <w:sz w:val="24"/>
        </w:rPr>
        <w:tab/>
      </w:r>
      <w:r w:rsidR="00B7602C">
        <w:rPr>
          <w:rFonts w:ascii="Arial" w:eastAsia="Calibri" w:hAnsi="Arial" w:cs="Arial"/>
          <w:sz w:val="24"/>
        </w:rPr>
        <w:t>I</w:t>
      </w:r>
      <w:r w:rsidR="00E77BD1" w:rsidRPr="00327D4F">
        <w:rPr>
          <w:rFonts w:ascii="Arial" w:eastAsia="Calibri" w:hAnsi="Arial" w:cs="Arial"/>
          <w:sz w:val="24"/>
        </w:rPr>
        <w:t xml:space="preserve">n </w:t>
      </w:r>
      <w:r w:rsidR="00841CE4" w:rsidRPr="00327D4F">
        <w:rPr>
          <w:rFonts w:ascii="Arial" w:eastAsia="Calibri" w:hAnsi="Arial" w:cs="Arial"/>
          <w:sz w:val="24"/>
        </w:rPr>
        <w:t xml:space="preserve">arriving at </w:t>
      </w:r>
      <w:r w:rsidR="00D75E88">
        <w:rPr>
          <w:rFonts w:ascii="Arial" w:eastAsia="Calibri" w:hAnsi="Arial" w:cs="Arial"/>
          <w:sz w:val="24"/>
        </w:rPr>
        <w:t xml:space="preserve">a determination of </w:t>
      </w:r>
      <w:r w:rsidR="00841CE4" w:rsidRPr="00327D4F">
        <w:rPr>
          <w:rFonts w:ascii="Arial" w:eastAsia="Calibri" w:hAnsi="Arial" w:cs="Arial"/>
          <w:sz w:val="24"/>
        </w:rPr>
        <w:t xml:space="preserve">the </w:t>
      </w:r>
      <w:r w:rsidR="007D702E" w:rsidRPr="00327D4F">
        <w:rPr>
          <w:rFonts w:ascii="Arial" w:eastAsia="Calibri" w:hAnsi="Arial" w:cs="Arial"/>
          <w:sz w:val="24"/>
        </w:rPr>
        <w:t xml:space="preserve">proper </w:t>
      </w:r>
      <w:r w:rsidR="00841CE4" w:rsidRPr="00327D4F">
        <w:rPr>
          <w:rFonts w:ascii="Arial" w:eastAsia="Calibri" w:hAnsi="Arial" w:cs="Arial"/>
          <w:sz w:val="24"/>
        </w:rPr>
        <w:t xml:space="preserve">meaning to be afforded the term </w:t>
      </w:r>
      <w:r w:rsidR="007D702E" w:rsidRPr="00327D4F">
        <w:rPr>
          <w:rFonts w:ascii="Arial" w:eastAsia="Calibri" w:hAnsi="Arial" w:cs="Arial"/>
          <w:sz w:val="24"/>
        </w:rPr>
        <w:t xml:space="preserve">in the </w:t>
      </w:r>
      <w:r w:rsidR="00590F7D" w:rsidRPr="00327D4F">
        <w:rPr>
          <w:rFonts w:ascii="Arial" w:eastAsia="Calibri" w:hAnsi="Arial" w:cs="Arial"/>
          <w:sz w:val="24"/>
        </w:rPr>
        <w:t>case</w:t>
      </w:r>
      <w:r w:rsidR="007D702E" w:rsidRPr="00327D4F">
        <w:rPr>
          <w:rFonts w:ascii="Arial" w:eastAsia="Calibri" w:hAnsi="Arial" w:cs="Arial"/>
          <w:sz w:val="24"/>
        </w:rPr>
        <w:t xml:space="preserve"> before it</w:t>
      </w:r>
      <w:r w:rsidR="00D467CC" w:rsidRPr="00327D4F">
        <w:rPr>
          <w:rFonts w:ascii="Arial" w:eastAsia="Calibri" w:hAnsi="Arial" w:cs="Arial"/>
          <w:sz w:val="24"/>
        </w:rPr>
        <w:t>,</w:t>
      </w:r>
      <w:r w:rsidR="007D702E" w:rsidRPr="00327D4F">
        <w:rPr>
          <w:rFonts w:ascii="Arial" w:eastAsia="Calibri" w:hAnsi="Arial" w:cs="Arial"/>
          <w:sz w:val="24"/>
        </w:rPr>
        <w:t xml:space="preserve"> </w:t>
      </w:r>
      <w:r w:rsidR="00841CE4" w:rsidRPr="00327D4F">
        <w:rPr>
          <w:rFonts w:ascii="Arial" w:eastAsia="Calibri" w:hAnsi="Arial" w:cs="Arial"/>
          <w:sz w:val="24"/>
        </w:rPr>
        <w:t>the C</w:t>
      </w:r>
      <w:r w:rsidR="00E77BD1" w:rsidRPr="00327D4F">
        <w:rPr>
          <w:rFonts w:ascii="Arial" w:eastAsia="Calibri" w:hAnsi="Arial" w:cs="Arial"/>
          <w:sz w:val="24"/>
        </w:rPr>
        <w:t xml:space="preserve">ourt is </w:t>
      </w:r>
      <w:r w:rsidR="00B7602C">
        <w:rPr>
          <w:rFonts w:ascii="Arial" w:eastAsia="Calibri" w:hAnsi="Arial" w:cs="Arial"/>
          <w:sz w:val="24"/>
        </w:rPr>
        <w:t xml:space="preserve">essentially </w:t>
      </w:r>
      <w:r w:rsidR="00E77BD1" w:rsidRPr="00327D4F">
        <w:rPr>
          <w:rFonts w:ascii="Arial" w:eastAsia="Calibri" w:hAnsi="Arial" w:cs="Arial"/>
          <w:sz w:val="24"/>
        </w:rPr>
        <w:t xml:space="preserve">required to </w:t>
      </w:r>
      <w:r w:rsidR="00463E8B">
        <w:rPr>
          <w:rFonts w:ascii="Arial" w:eastAsia="Calibri" w:hAnsi="Arial" w:cs="Arial"/>
          <w:sz w:val="24"/>
        </w:rPr>
        <w:t xml:space="preserve">be mindful of </w:t>
      </w:r>
      <w:r w:rsidR="00E77BD1" w:rsidRPr="00327D4F">
        <w:rPr>
          <w:rFonts w:ascii="Arial" w:eastAsia="Calibri" w:hAnsi="Arial" w:cs="Arial"/>
          <w:sz w:val="24"/>
        </w:rPr>
        <w:t>the trite and well</w:t>
      </w:r>
      <w:r w:rsidR="00235D95">
        <w:rPr>
          <w:rFonts w:ascii="Arial" w:eastAsia="Calibri" w:hAnsi="Arial" w:cs="Arial"/>
          <w:sz w:val="24"/>
        </w:rPr>
        <w:t>-</w:t>
      </w:r>
      <w:r w:rsidR="00E77BD1" w:rsidRPr="00327D4F">
        <w:rPr>
          <w:rFonts w:ascii="Arial" w:eastAsia="Calibri" w:hAnsi="Arial" w:cs="Arial"/>
          <w:sz w:val="24"/>
        </w:rPr>
        <w:t xml:space="preserve">established </w:t>
      </w:r>
      <w:r w:rsidR="00841CE4" w:rsidRPr="00327D4F">
        <w:rPr>
          <w:rFonts w:ascii="Arial" w:eastAsia="Calibri" w:hAnsi="Arial" w:cs="Arial"/>
          <w:sz w:val="24"/>
        </w:rPr>
        <w:t>three-legged c</w:t>
      </w:r>
      <w:r w:rsidR="00E77BD1" w:rsidRPr="00327D4F">
        <w:rPr>
          <w:rFonts w:ascii="Arial" w:eastAsia="Calibri" w:hAnsi="Arial" w:cs="Arial"/>
          <w:sz w:val="24"/>
        </w:rPr>
        <w:t>anon of interpretation</w:t>
      </w:r>
      <w:r w:rsidR="00841CE4" w:rsidRPr="00327D4F">
        <w:rPr>
          <w:rFonts w:ascii="Arial" w:eastAsia="Calibri" w:hAnsi="Arial" w:cs="Arial"/>
          <w:sz w:val="24"/>
        </w:rPr>
        <w:t xml:space="preserve"> </w:t>
      </w:r>
      <w:r w:rsidR="00CA0964">
        <w:rPr>
          <w:rFonts w:ascii="Arial" w:eastAsia="Calibri" w:hAnsi="Arial" w:cs="Arial"/>
          <w:sz w:val="24"/>
        </w:rPr>
        <w:t>that regard must be had</w:t>
      </w:r>
      <w:r w:rsidR="00E77BD1" w:rsidRPr="00327D4F">
        <w:rPr>
          <w:rFonts w:ascii="Arial" w:eastAsia="Calibri" w:hAnsi="Arial" w:cs="Arial"/>
          <w:sz w:val="24"/>
        </w:rPr>
        <w:t xml:space="preserve"> f</w:t>
      </w:r>
      <w:r w:rsidR="00CA0964">
        <w:rPr>
          <w:rFonts w:ascii="Arial" w:eastAsia="Calibri" w:hAnsi="Arial" w:cs="Arial"/>
          <w:sz w:val="24"/>
        </w:rPr>
        <w:t>or</w:t>
      </w:r>
      <w:r w:rsidR="00E77BD1" w:rsidRPr="00327D4F">
        <w:rPr>
          <w:rFonts w:ascii="Arial" w:eastAsia="Calibri" w:hAnsi="Arial" w:cs="Arial"/>
          <w:sz w:val="24"/>
        </w:rPr>
        <w:t xml:space="preserve"> the language used, in the context of the statute in </w:t>
      </w:r>
      <w:r w:rsidR="007D702E" w:rsidRPr="00327D4F">
        <w:rPr>
          <w:rFonts w:ascii="Arial" w:eastAsia="Calibri" w:hAnsi="Arial" w:cs="Arial"/>
          <w:sz w:val="24"/>
        </w:rPr>
        <w:t xml:space="preserve">respect of </w:t>
      </w:r>
      <w:r w:rsidR="00E77BD1" w:rsidRPr="00327D4F">
        <w:rPr>
          <w:rFonts w:ascii="Arial" w:eastAsia="Calibri" w:hAnsi="Arial" w:cs="Arial"/>
          <w:sz w:val="24"/>
        </w:rPr>
        <w:t>which it appears</w:t>
      </w:r>
      <w:r w:rsidR="007D702E" w:rsidRPr="00327D4F">
        <w:rPr>
          <w:rFonts w:ascii="Arial" w:eastAsia="Calibri" w:hAnsi="Arial" w:cs="Arial"/>
          <w:sz w:val="24"/>
        </w:rPr>
        <w:t xml:space="preserve"> or </w:t>
      </w:r>
      <w:r w:rsidR="00E3316F" w:rsidRPr="00327D4F">
        <w:rPr>
          <w:rFonts w:ascii="Arial" w:eastAsia="Calibri" w:hAnsi="Arial" w:cs="Arial"/>
          <w:sz w:val="24"/>
        </w:rPr>
        <w:t xml:space="preserve">to which it </w:t>
      </w:r>
      <w:r w:rsidR="007D702E" w:rsidRPr="00327D4F">
        <w:rPr>
          <w:rFonts w:ascii="Arial" w:eastAsia="Calibri" w:hAnsi="Arial" w:cs="Arial"/>
          <w:sz w:val="24"/>
        </w:rPr>
        <w:t>is applicable</w:t>
      </w:r>
      <w:r w:rsidR="00B9666C">
        <w:rPr>
          <w:rFonts w:ascii="Arial" w:eastAsia="Calibri" w:hAnsi="Arial" w:cs="Arial"/>
          <w:sz w:val="24"/>
        </w:rPr>
        <w:t>,</w:t>
      </w:r>
      <w:r w:rsidR="00E77BD1" w:rsidRPr="00327D4F">
        <w:rPr>
          <w:rFonts w:ascii="Arial" w:eastAsia="Calibri" w:hAnsi="Arial" w:cs="Arial"/>
          <w:sz w:val="24"/>
        </w:rPr>
        <w:t xml:space="preserve"> and </w:t>
      </w:r>
      <w:r w:rsidR="00841CE4" w:rsidRPr="00327D4F">
        <w:rPr>
          <w:rFonts w:ascii="Arial" w:eastAsia="Calibri" w:hAnsi="Arial" w:cs="Arial"/>
          <w:sz w:val="24"/>
        </w:rPr>
        <w:t>its</w:t>
      </w:r>
      <w:r w:rsidR="00E77BD1" w:rsidRPr="00327D4F">
        <w:rPr>
          <w:rFonts w:ascii="Arial" w:eastAsia="Calibri" w:hAnsi="Arial" w:cs="Arial"/>
          <w:sz w:val="24"/>
        </w:rPr>
        <w:t xml:space="preserve"> purpose.</w:t>
      </w:r>
      <w:r w:rsidR="00C00FE8">
        <w:rPr>
          <w:rStyle w:val="FootnoteReference"/>
          <w:rFonts w:ascii="Arial" w:eastAsia="Calibri" w:hAnsi="Arial" w:cs="Arial"/>
          <w:sz w:val="24"/>
        </w:rPr>
        <w:footnoteReference w:id="12"/>
      </w:r>
    </w:p>
    <w:p w14:paraId="7FA4447D" w14:textId="57B7E8D2" w:rsidR="00DB1366" w:rsidRPr="00610F4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sidRPr="00610F4B">
        <w:rPr>
          <w:rFonts w:ascii="Arial" w:eastAsia="Calibri" w:hAnsi="Arial" w:cs="Arial"/>
          <w:sz w:val="24"/>
        </w:rPr>
        <w:t>39.</w:t>
      </w:r>
      <w:r w:rsidRPr="00610F4B">
        <w:rPr>
          <w:rFonts w:ascii="Arial" w:eastAsia="Calibri" w:hAnsi="Arial" w:cs="Arial"/>
          <w:sz w:val="24"/>
        </w:rPr>
        <w:tab/>
      </w:r>
      <w:r w:rsidR="00B7602C" w:rsidRPr="00610F4B">
        <w:rPr>
          <w:rFonts w:ascii="Arial" w:eastAsia="Calibri" w:hAnsi="Arial" w:cs="Arial"/>
          <w:sz w:val="24"/>
        </w:rPr>
        <w:t>As far as</w:t>
      </w:r>
      <w:r w:rsidR="00E77BD1" w:rsidRPr="00610F4B">
        <w:rPr>
          <w:rFonts w:ascii="Arial" w:eastAsia="Calibri" w:hAnsi="Arial" w:cs="Arial"/>
          <w:sz w:val="24"/>
        </w:rPr>
        <w:t xml:space="preserve"> the language</w:t>
      </w:r>
      <w:r w:rsidR="00B7602C" w:rsidRPr="00610F4B">
        <w:rPr>
          <w:rFonts w:ascii="Arial" w:eastAsia="Calibri" w:hAnsi="Arial" w:cs="Arial"/>
          <w:sz w:val="24"/>
        </w:rPr>
        <w:t xml:space="preserve"> is concerned</w:t>
      </w:r>
      <w:r w:rsidR="00E77BD1" w:rsidRPr="00610F4B">
        <w:rPr>
          <w:rFonts w:ascii="Arial" w:eastAsia="Calibri" w:hAnsi="Arial" w:cs="Arial"/>
          <w:sz w:val="24"/>
        </w:rPr>
        <w:t xml:space="preserve"> the Constitutional Court has confirmed</w:t>
      </w:r>
      <w:r w:rsidR="00B771A1">
        <w:rPr>
          <w:rFonts w:ascii="Arial" w:eastAsia="Calibri" w:hAnsi="Arial" w:cs="Arial"/>
          <w:sz w:val="24"/>
        </w:rPr>
        <w:t>,</w:t>
      </w:r>
      <w:r w:rsidR="00B771A1">
        <w:rPr>
          <w:rStyle w:val="FootnoteReference"/>
          <w:rFonts w:ascii="Arial" w:eastAsia="Calibri" w:hAnsi="Arial" w:cs="Arial"/>
          <w:sz w:val="24"/>
        </w:rPr>
        <w:footnoteReference w:id="13"/>
      </w:r>
      <w:r w:rsidR="00E77BD1" w:rsidRPr="00610F4B">
        <w:rPr>
          <w:rFonts w:ascii="Arial" w:eastAsia="Calibri" w:hAnsi="Arial" w:cs="Arial"/>
          <w:sz w:val="24"/>
        </w:rPr>
        <w:t xml:space="preserve"> </w:t>
      </w:r>
      <w:r w:rsidR="00610F4B" w:rsidRPr="00610F4B">
        <w:rPr>
          <w:rFonts w:ascii="Arial" w:eastAsia="Calibri" w:hAnsi="Arial" w:cs="Arial"/>
          <w:sz w:val="24"/>
        </w:rPr>
        <w:t>as has the Supreme Court of Appeal</w:t>
      </w:r>
      <w:r w:rsidR="00D533D8">
        <w:rPr>
          <w:rFonts w:ascii="Arial" w:eastAsia="Calibri" w:hAnsi="Arial" w:cs="Arial"/>
          <w:sz w:val="24"/>
        </w:rPr>
        <w:t xml:space="preserve"> </w:t>
      </w:r>
      <w:r w:rsidR="00CA0964">
        <w:rPr>
          <w:rFonts w:ascii="Arial" w:eastAsia="Calibri" w:hAnsi="Arial" w:cs="Arial"/>
          <w:sz w:val="24"/>
        </w:rPr>
        <w:t>(</w:t>
      </w:r>
      <w:r w:rsidR="00D533D8">
        <w:rPr>
          <w:rFonts w:ascii="Arial" w:eastAsia="Calibri" w:hAnsi="Arial" w:cs="Arial"/>
          <w:sz w:val="24"/>
        </w:rPr>
        <w:t xml:space="preserve">including </w:t>
      </w:r>
      <w:r w:rsidR="004E6138">
        <w:rPr>
          <w:rFonts w:ascii="Arial" w:eastAsia="Calibri" w:hAnsi="Arial" w:cs="Arial"/>
          <w:sz w:val="24"/>
        </w:rPr>
        <w:t xml:space="preserve">in </w:t>
      </w:r>
      <w:r w:rsidR="00D533D8">
        <w:rPr>
          <w:rFonts w:ascii="Arial" w:eastAsia="Calibri" w:hAnsi="Arial" w:cs="Arial"/>
          <w:sz w:val="24"/>
        </w:rPr>
        <w:t xml:space="preserve">a </w:t>
      </w:r>
      <w:r w:rsidR="004E6138" w:rsidRPr="00610F4B">
        <w:rPr>
          <w:rFonts w:ascii="Arial" w:eastAsia="Calibri" w:hAnsi="Arial" w:cs="Arial"/>
          <w:sz w:val="24"/>
        </w:rPr>
        <w:t xml:space="preserve">recent </w:t>
      </w:r>
      <w:r w:rsidR="00D533D8">
        <w:rPr>
          <w:rFonts w:ascii="Arial" w:eastAsia="Calibri" w:hAnsi="Arial" w:cs="Arial"/>
          <w:sz w:val="24"/>
        </w:rPr>
        <w:t>tax case</w:t>
      </w:r>
      <w:r w:rsidR="00610F4B">
        <w:rPr>
          <w:rStyle w:val="FootnoteReference"/>
          <w:rFonts w:ascii="Arial" w:eastAsia="Calibri" w:hAnsi="Arial" w:cs="Arial"/>
          <w:sz w:val="24"/>
        </w:rPr>
        <w:footnoteReference w:id="14"/>
      </w:r>
      <w:r w:rsidR="00CA0964">
        <w:rPr>
          <w:rFonts w:ascii="Arial" w:eastAsia="Calibri" w:hAnsi="Arial" w:cs="Arial"/>
          <w:sz w:val="24"/>
        </w:rPr>
        <w:t>),</w:t>
      </w:r>
      <w:r w:rsidR="00610F4B" w:rsidRPr="00610F4B">
        <w:rPr>
          <w:rFonts w:ascii="Arial" w:eastAsia="Calibri" w:hAnsi="Arial" w:cs="Arial"/>
          <w:sz w:val="24"/>
        </w:rPr>
        <w:t xml:space="preserve"> with </w:t>
      </w:r>
      <w:r w:rsidR="00B9666C">
        <w:rPr>
          <w:rFonts w:ascii="Arial" w:eastAsia="Calibri" w:hAnsi="Arial" w:cs="Arial"/>
          <w:sz w:val="24"/>
        </w:rPr>
        <w:t xml:space="preserve">reference </w:t>
      </w:r>
      <w:r w:rsidR="00B9666C">
        <w:rPr>
          <w:rFonts w:ascii="Arial" w:eastAsia="Calibri" w:hAnsi="Arial" w:cs="Arial"/>
          <w:sz w:val="24"/>
        </w:rPr>
        <w:lastRenderedPageBreak/>
        <w:t xml:space="preserve">to </w:t>
      </w:r>
      <w:r w:rsidR="00610F4B" w:rsidRPr="00610F4B">
        <w:rPr>
          <w:rFonts w:ascii="Arial" w:eastAsia="Calibri" w:hAnsi="Arial" w:cs="Arial"/>
          <w:sz w:val="24"/>
        </w:rPr>
        <w:t>earlier decisions of this Court</w:t>
      </w:r>
      <w:r w:rsidR="00610F4B">
        <w:rPr>
          <w:rFonts w:ascii="Arial" w:eastAsia="Calibri" w:hAnsi="Arial" w:cs="Arial"/>
          <w:sz w:val="24"/>
        </w:rPr>
        <w:t>,</w:t>
      </w:r>
      <w:r w:rsidR="00610F4B" w:rsidRPr="00610F4B">
        <w:rPr>
          <w:rFonts w:ascii="Arial" w:eastAsia="Calibri" w:hAnsi="Arial" w:cs="Arial"/>
          <w:sz w:val="24"/>
        </w:rPr>
        <w:t xml:space="preserve"> </w:t>
      </w:r>
      <w:r w:rsidR="00E77BD1" w:rsidRPr="00610F4B">
        <w:rPr>
          <w:rFonts w:ascii="Arial" w:eastAsia="Calibri" w:hAnsi="Arial" w:cs="Arial"/>
          <w:sz w:val="24"/>
        </w:rPr>
        <w:t>that</w:t>
      </w:r>
      <w:r w:rsidR="00841CE4" w:rsidRPr="00610F4B">
        <w:rPr>
          <w:rFonts w:ascii="Arial" w:eastAsia="Calibri" w:hAnsi="Arial" w:cs="Arial"/>
          <w:sz w:val="24"/>
        </w:rPr>
        <w:t xml:space="preserve"> </w:t>
      </w:r>
      <w:r w:rsidR="00E77BD1" w:rsidRPr="00610F4B">
        <w:rPr>
          <w:rFonts w:ascii="Arial" w:eastAsia="Calibri" w:hAnsi="Arial" w:cs="Arial"/>
          <w:sz w:val="24"/>
        </w:rPr>
        <w:t>an exceptional circumstance is one which is ‘out of the ordinary’ or ‘unusual or special’</w:t>
      </w:r>
      <w:r w:rsidR="00B771A1">
        <w:rPr>
          <w:rFonts w:ascii="Arial" w:eastAsia="Calibri" w:hAnsi="Arial" w:cs="Arial"/>
          <w:sz w:val="24"/>
        </w:rPr>
        <w:t>.</w:t>
      </w:r>
      <w:r w:rsidR="00D66D61" w:rsidRPr="00610F4B">
        <w:rPr>
          <w:rFonts w:ascii="Arial" w:eastAsia="Calibri" w:hAnsi="Arial" w:cs="Arial"/>
          <w:sz w:val="24"/>
        </w:rPr>
        <w:t xml:space="preserve"> </w:t>
      </w:r>
    </w:p>
    <w:p w14:paraId="49839288" w14:textId="5C2021A7" w:rsidR="00DB1366"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40.</w:t>
      </w:r>
      <w:r>
        <w:rPr>
          <w:rFonts w:ascii="Arial" w:eastAsia="Calibri" w:hAnsi="Arial" w:cs="Arial"/>
          <w:sz w:val="24"/>
        </w:rPr>
        <w:tab/>
      </w:r>
      <w:r w:rsidR="00610F4B">
        <w:rPr>
          <w:rFonts w:ascii="Arial" w:eastAsia="Calibri" w:hAnsi="Arial" w:cs="Arial"/>
          <w:sz w:val="24"/>
        </w:rPr>
        <w:t>In this regard</w:t>
      </w:r>
      <w:r w:rsidR="00B771A1">
        <w:rPr>
          <w:rFonts w:ascii="Arial" w:eastAsia="Calibri" w:hAnsi="Arial" w:cs="Arial"/>
          <w:sz w:val="24"/>
        </w:rPr>
        <w:t>,</w:t>
      </w:r>
      <w:r w:rsidR="00610F4B">
        <w:rPr>
          <w:rFonts w:ascii="Arial" w:eastAsia="Calibri" w:hAnsi="Arial" w:cs="Arial"/>
          <w:sz w:val="24"/>
        </w:rPr>
        <w:t xml:space="preserve"> </w:t>
      </w:r>
      <w:r w:rsidR="00D533D8">
        <w:rPr>
          <w:rFonts w:ascii="Arial" w:eastAsia="Calibri" w:hAnsi="Arial" w:cs="Arial"/>
          <w:sz w:val="24"/>
        </w:rPr>
        <w:t>they</w:t>
      </w:r>
      <w:r w:rsidR="00B9666C">
        <w:rPr>
          <w:rFonts w:ascii="Arial" w:eastAsia="Calibri" w:hAnsi="Arial" w:cs="Arial"/>
          <w:sz w:val="24"/>
        </w:rPr>
        <w:t xml:space="preserve"> </w:t>
      </w:r>
      <w:r w:rsidR="00D45C21">
        <w:rPr>
          <w:rFonts w:ascii="Arial" w:eastAsia="Calibri" w:hAnsi="Arial" w:cs="Arial"/>
          <w:sz w:val="24"/>
        </w:rPr>
        <w:t>c</w:t>
      </w:r>
      <w:r w:rsidR="00B9666C">
        <w:rPr>
          <w:rFonts w:ascii="Arial" w:eastAsia="Calibri" w:hAnsi="Arial" w:cs="Arial"/>
          <w:sz w:val="24"/>
        </w:rPr>
        <w:t xml:space="preserve">ited </w:t>
      </w:r>
      <w:r w:rsidR="001548CB" w:rsidRPr="001D602B">
        <w:rPr>
          <w:rFonts w:ascii="Arial" w:eastAsia="Calibri" w:hAnsi="Arial" w:cs="Arial"/>
          <w:sz w:val="24"/>
        </w:rPr>
        <w:t xml:space="preserve">MV </w:t>
      </w:r>
      <w:r w:rsidR="001548CB" w:rsidRPr="00610F4B">
        <w:rPr>
          <w:rFonts w:ascii="Arial" w:eastAsia="Calibri" w:hAnsi="Arial" w:cs="Arial"/>
          <w:i/>
          <w:iCs/>
          <w:sz w:val="24"/>
        </w:rPr>
        <w:t>Ais Ma</w:t>
      </w:r>
      <w:r w:rsidR="00F94204" w:rsidRPr="00610F4B">
        <w:rPr>
          <w:rFonts w:ascii="Arial" w:eastAsia="Calibri" w:hAnsi="Arial" w:cs="Arial"/>
          <w:i/>
          <w:iCs/>
          <w:sz w:val="24"/>
        </w:rPr>
        <w:t>m</w:t>
      </w:r>
      <w:r w:rsidR="001548CB" w:rsidRPr="00610F4B">
        <w:rPr>
          <w:rFonts w:ascii="Arial" w:eastAsia="Calibri" w:hAnsi="Arial" w:cs="Arial"/>
          <w:i/>
          <w:iCs/>
          <w:sz w:val="24"/>
        </w:rPr>
        <w:t>as</w:t>
      </w:r>
      <w:r w:rsidR="001548CB" w:rsidRPr="001548CB">
        <w:rPr>
          <w:rStyle w:val="FootnoteReference"/>
          <w:rFonts w:ascii="Arial" w:eastAsia="Calibri" w:hAnsi="Arial" w:cs="Arial"/>
          <w:sz w:val="24"/>
        </w:rPr>
        <w:footnoteReference w:id="15"/>
      </w:r>
      <w:r w:rsidR="001548CB" w:rsidRPr="00610F4B">
        <w:rPr>
          <w:rFonts w:ascii="Arial" w:eastAsia="Calibri" w:hAnsi="Arial" w:cs="Arial"/>
          <w:sz w:val="24"/>
        </w:rPr>
        <w:t xml:space="preserve"> </w:t>
      </w:r>
      <w:r w:rsidR="00F65B83">
        <w:rPr>
          <w:rFonts w:ascii="Arial" w:eastAsia="Calibri" w:hAnsi="Arial" w:cs="Arial"/>
          <w:sz w:val="24"/>
        </w:rPr>
        <w:t>(</w:t>
      </w:r>
      <w:r w:rsidR="00D467CC" w:rsidRPr="00610F4B">
        <w:rPr>
          <w:rFonts w:ascii="Arial" w:eastAsia="Calibri" w:hAnsi="Arial" w:cs="Arial"/>
          <w:sz w:val="24"/>
        </w:rPr>
        <w:t>which dealt with a provision</w:t>
      </w:r>
      <w:r w:rsidR="00D467CC">
        <w:rPr>
          <w:rStyle w:val="FootnoteReference"/>
          <w:rFonts w:ascii="Arial" w:eastAsia="Calibri" w:hAnsi="Arial" w:cs="Arial"/>
          <w:sz w:val="24"/>
        </w:rPr>
        <w:footnoteReference w:id="16"/>
      </w:r>
      <w:r w:rsidR="00D467CC" w:rsidRPr="00610F4B">
        <w:rPr>
          <w:rFonts w:ascii="Arial" w:eastAsia="Calibri" w:hAnsi="Arial" w:cs="Arial"/>
          <w:sz w:val="24"/>
        </w:rPr>
        <w:t xml:space="preserve"> in the Admiralty Jurisdiction Regulation Act</w:t>
      </w:r>
      <w:r w:rsidR="00D467CC">
        <w:rPr>
          <w:rStyle w:val="FootnoteReference"/>
          <w:rFonts w:ascii="Arial" w:eastAsia="Calibri" w:hAnsi="Arial" w:cs="Arial"/>
          <w:sz w:val="24"/>
        </w:rPr>
        <w:footnoteReference w:id="17"/>
      </w:r>
      <w:r w:rsidR="00D467CC" w:rsidRPr="00610F4B">
        <w:rPr>
          <w:rFonts w:ascii="Arial" w:eastAsia="Calibri" w:hAnsi="Arial" w:cs="Arial"/>
          <w:sz w:val="24"/>
        </w:rPr>
        <w:t xml:space="preserve"> that an admiralty court can, in exceptional circumstances</w:t>
      </w:r>
      <w:r w:rsidR="00E3316F" w:rsidRPr="00610F4B">
        <w:rPr>
          <w:rFonts w:ascii="Arial" w:eastAsia="Calibri" w:hAnsi="Arial" w:cs="Arial"/>
          <w:sz w:val="24"/>
        </w:rPr>
        <w:t>,</w:t>
      </w:r>
      <w:r w:rsidR="00D467CC" w:rsidRPr="00610F4B">
        <w:rPr>
          <w:rFonts w:ascii="Arial" w:eastAsia="Calibri" w:hAnsi="Arial" w:cs="Arial"/>
          <w:sz w:val="24"/>
        </w:rPr>
        <w:t xml:space="preserve"> order the production of documents for inspection in regard to a maritime claim which is to be brought in a foreign court or tribunal</w:t>
      </w:r>
      <w:r w:rsidR="00F65B83">
        <w:rPr>
          <w:rFonts w:ascii="Arial" w:eastAsia="Calibri" w:hAnsi="Arial" w:cs="Arial"/>
          <w:sz w:val="24"/>
        </w:rPr>
        <w:t>)</w:t>
      </w:r>
      <w:r w:rsidR="00D467CC" w:rsidRPr="00610F4B">
        <w:rPr>
          <w:rFonts w:ascii="Arial" w:eastAsia="Calibri" w:hAnsi="Arial" w:cs="Arial"/>
          <w:sz w:val="24"/>
        </w:rPr>
        <w:t xml:space="preserve">, </w:t>
      </w:r>
      <w:r w:rsidR="00AB71BA">
        <w:rPr>
          <w:rFonts w:ascii="Arial" w:eastAsia="Calibri" w:hAnsi="Arial" w:cs="Arial"/>
          <w:sz w:val="24"/>
        </w:rPr>
        <w:t>where Thring J</w:t>
      </w:r>
      <w:r w:rsidR="004F6D93">
        <w:rPr>
          <w:rFonts w:ascii="Arial" w:eastAsia="Calibri" w:hAnsi="Arial" w:cs="Arial"/>
          <w:sz w:val="24"/>
        </w:rPr>
        <w:t xml:space="preserve"> </w:t>
      </w:r>
      <w:r w:rsidR="00841CE4" w:rsidRPr="00610F4B">
        <w:rPr>
          <w:rFonts w:ascii="Arial" w:eastAsia="Calibri" w:hAnsi="Arial" w:cs="Arial"/>
          <w:sz w:val="24"/>
        </w:rPr>
        <w:t xml:space="preserve">held that </w:t>
      </w:r>
      <w:r w:rsidR="00D467CC" w:rsidRPr="00610F4B">
        <w:rPr>
          <w:rFonts w:ascii="Arial" w:eastAsia="Calibri" w:hAnsi="Arial" w:cs="Arial"/>
          <w:sz w:val="24"/>
        </w:rPr>
        <w:t xml:space="preserve">the term </w:t>
      </w:r>
      <w:r w:rsidR="00841CE4" w:rsidRPr="00610F4B">
        <w:rPr>
          <w:rFonts w:ascii="Arial" w:eastAsia="Calibri" w:hAnsi="Arial" w:cs="Arial"/>
          <w:sz w:val="24"/>
        </w:rPr>
        <w:t>denote</w:t>
      </w:r>
      <w:r w:rsidR="004F6D93">
        <w:rPr>
          <w:rFonts w:ascii="Arial" w:eastAsia="Calibri" w:hAnsi="Arial" w:cs="Arial"/>
          <w:sz w:val="24"/>
        </w:rPr>
        <w:t>s</w:t>
      </w:r>
      <w:r w:rsidR="00841CE4" w:rsidRPr="00610F4B">
        <w:rPr>
          <w:rFonts w:ascii="Arial" w:eastAsia="Calibri" w:hAnsi="Arial" w:cs="Arial"/>
          <w:sz w:val="24"/>
        </w:rPr>
        <w:t xml:space="preserve"> ‘something </w:t>
      </w:r>
      <w:r w:rsidR="00B7602C" w:rsidRPr="00610F4B">
        <w:rPr>
          <w:rFonts w:ascii="Arial" w:eastAsia="Calibri" w:hAnsi="Arial" w:cs="Arial"/>
          <w:sz w:val="24"/>
        </w:rPr>
        <w:t>out of the ordinary a</w:t>
      </w:r>
      <w:r w:rsidR="00D66D61" w:rsidRPr="00610F4B">
        <w:rPr>
          <w:rFonts w:ascii="Arial" w:eastAsia="Calibri" w:hAnsi="Arial" w:cs="Arial"/>
          <w:sz w:val="24"/>
        </w:rPr>
        <w:t>n</w:t>
      </w:r>
      <w:r w:rsidR="00B7602C" w:rsidRPr="00610F4B">
        <w:rPr>
          <w:rFonts w:ascii="Arial" w:eastAsia="Calibri" w:hAnsi="Arial" w:cs="Arial"/>
          <w:sz w:val="24"/>
        </w:rPr>
        <w:t>d of an unusual nature</w:t>
      </w:r>
      <w:r w:rsidR="00DB1366" w:rsidRPr="00610F4B">
        <w:rPr>
          <w:rFonts w:ascii="Arial" w:eastAsia="Calibri" w:hAnsi="Arial" w:cs="Arial"/>
          <w:sz w:val="24"/>
        </w:rPr>
        <w:t xml:space="preserve">; </w:t>
      </w:r>
      <w:r w:rsidR="00D66D61" w:rsidRPr="00610F4B">
        <w:rPr>
          <w:rFonts w:ascii="Arial" w:eastAsia="Calibri" w:hAnsi="Arial" w:cs="Arial"/>
          <w:sz w:val="24"/>
        </w:rPr>
        <w:t>something which is except</w:t>
      </w:r>
      <w:r w:rsidR="00DB1366" w:rsidRPr="00610F4B">
        <w:rPr>
          <w:rFonts w:ascii="Arial" w:eastAsia="Calibri" w:hAnsi="Arial" w:cs="Arial"/>
          <w:sz w:val="24"/>
        </w:rPr>
        <w:t>ed in the sense that the general rule does not apply to it, something</w:t>
      </w:r>
      <w:r w:rsidR="00D66D61" w:rsidRPr="00610F4B">
        <w:rPr>
          <w:rFonts w:ascii="Arial" w:eastAsia="Calibri" w:hAnsi="Arial" w:cs="Arial"/>
          <w:sz w:val="24"/>
        </w:rPr>
        <w:t xml:space="preserve"> </w:t>
      </w:r>
      <w:r w:rsidR="00841CE4" w:rsidRPr="00610F4B">
        <w:rPr>
          <w:rFonts w:ascii="Arial" w:eastAsia="Calibri" w:hAnsi="Arial" w:cs="Arial"/>
          <w:sz w:val="24"/>
        </w:rPr>
        <w:t>uncommon, rare or different</w:t>
      </w:r>
      <w:r w:rsidR="007D702E" w:rsidRPr="00610F4B">
        <w:rPr>
          <w:rFonts w:ascii="Arial" w:eastAsia="Calibri" w:hAnsi="Arial" w:cs="Arial"/>
          <w:sz w:val="24"/>
        </w:rPr>
        <w:t>’</w:t>
      </w:r>
      <w:r w:rsidR="00930D5A">
        <w:rPr>
          <w:rFonts w:ascii="Arial" w:eastAsia="Calibri" w:hAnsi="Arial" w:cs="Arial"/>
          <w:sz w:val="24"/>
        </w:rPr>
        <w:t>.</w:t>
      </w:r>
      <w:r w:rsidR="001A5D26">
        <w:rPr>
          <w:rStyle w:val="FootnoteReference"/>
          <w:rFonts w:ascii="Arial" w:eastAsia="Calibri" w:hAnsi="Arial" w:cs="Arial"/>
          <w:sz w:val="24"/>
        </w:rPr>
        <w:footnoteReference w:id="18"/>
      </w:r>
      <w:r w:rsidR="00841CE4" w:rsidRPr="00610F4B">
        <w:rPr>
          <w:rFonts w:ascii="Arial" w:eastAsia="Calibri" w:hAnsi="Arial" w:cs="Arial"/>
          <w:sz w:val="24"/>
        </w:rPr>
        <w:t xml:space="preserve"> </w:t>
      </w:r>
      <w:r w:rsidR="00930D5A">
        <w:rPr>
          <w:rFonts w:ascii="Arial" w:eastAsia="Calibri" w:hAnsi="Arial" w:cs="Arial"/>
          <w:sz w:val="24"/>
        </w:rPr>
        <w:t>They als</w:t>
      </w:r>
      <w:r w:rsidR="009D1E7C">
        <w:rPr>
          <w:rFonts w:ascii="Arial" w:eastAsia="Calibri" w:hAnsi="Arial" w:cs="Arial"/>
          <w:sz w:val="24"/>
        </w:rPr>
        <w:t>o</w:t>
      </w:r>
      <w:r w:rsidR="00CA0964">
        <w:rPr>
          <w:rFonts w:ascii="Arial" w:eastAsia="Calibri" w:hAnsi="Arial" w:cs="Arial"/>
          <w:sz w:val="24"/>
        </w:rPr>
        <w:t xml:space="preserve"> </w:t>
      </w:r>
      <w:r w:rsidR="00D533D8">
        <w:rPr>
          <w:rFonts w:ascii="Arial" w:eastAsia="Calibri" w:hAnsi="Arial" w:cs="Arial"/>
          <w:sz w:val="24"/>
        </w:rPr>
        <w:t xml:space="preserve">referred to </w:t>
      </w:r>
      <w:r w:rsidR="00841CE4" w:rsidRPr="00610F4B">
        <w:rPr>
          <w:rFonts w:ascii="Arial" w:eastAsia="Calibri" w:hAnsi="Arial" w:cs="Arial"/>
          <w:i/>
          <w:iCs/>
          <w:sz w:val="24"/>
        </w:rPr>
        <w:t>Petersen</w:t>
      </w:r>
      <w:r w:rsidR="00D467CC" w:rsidRPr="00610F4B">
        <w:rPr>
          <w:rFonts w:ascii="Arial" w:eastAsia="Calibri" w:hAnsi="Arial" w:cs="Arial"/>
          <w:i/>
          <w:iCs/>
          <w:sz w:val="24"/>
        </w:rPr>
        <w:t>,</w:t>
      </w:r>
      <w:r w:rsidR="00841CE4">
        <w:rPr>
          <w:rStyle w:val="FootnoteReference"/>
          <w:rFonts w:ascii="Arial" w:eastAsia="Calibri" w:hAnsi="Arial" w:cs="Arial"/>
          <w:sz w:val="24"/>
        </w:rPr>
        <w:footnoteReference w:id="19"/>
      </w:r>
      <w:r w:rsidR="00841CE4" w:rsidRPr="00610F4B">
        <w:rPr>
          <w:rFonts w:ascii="Arial" w:eastAsia="Calibri" w:hAnsi="Arial" w:cs="Arial"/>
          <w:sz w:val="24"/>
        </w:rPr>
        <w:t xml:space="preserve"> </w:t>
      </w:r>
      <w:r w:rsidR="00D467CC" w:rsidRPr="00610F4B">
        <w:rPr>
          <w:rFonts w:ascii="Arial" w:eastAsia="Calibri" w:hAnsi="Arial" w:cs="Arial"/>
          <w:sz w:val="24"/>
        </w:rPr>
        <w:t>which dealt with the requirement</w:t>
      </w:r>
      <w:r w:rsidR="00D467CC">
        <w:rPr>
          <w:rStyle w:val="FootnoteReference"/>
          <w:rFonts w:ascii="Arial" w:eastAsia="Calibri" w:hAnsi="Arial" w:cs="Arial"/>
          <w:sz w:val="24"/>
        </w:rPr>
        <w:footnoteReference w:id="20"/>
      </w:r>
      <w:r w:rsidR="00D467CC" w:rsidRPr="00610F4B">
        <w:rPr>
          <w:rFonts w:ascii="Arial" w:eastAsia="Calibri" w:hAnsi="Arial" w:cs="Arial"/>
          <w:sz w:val="24"/>
        </w:rPr>
        <w:t xml:space="preserve"> that</w:t>
      </w:r>
      <w:r w:rsidR="00E3316F" w:rsidRPr="00610F4B">
        <w:rPr>
          <w:rFonts w:ascii="Arial" w:eastAsia="Calibri" w:hAnsi="Arial" w:cs="Arial"/>
          <w:sz w:val="24"/>
        </w:rPr>
        <w:t xml:space="preserve"> </w:t>
      </w:r>
      <w:r w:rsidR="00F94204" w:rsidRPr="00610F4B">
        <w:rPr>
          <w:rFonts w:ascii="Arial" w:eastAsia="Calibri" w:hAnsi="Arial" w:cs="Arial"/>
          <w:sz w:val="24"/>
        </w:rPr>
        <w:t xml:space="preserve">a person </w:t>
      </w:r>
      <w:r w:rsidR="00E3316F" w:rsidRPr="00610F4B">
        <w:rPr>
          <w:rFonts w:ascii="Arial" w:eastAsia="Calibri" w:hAnsi="Arial" w:cs="Arial"/>
          <w:sz w:val="24"/>
        </w:rPr>
        <w:t xml:space="preserve">charged with certain serious offences can only be released on bail if they can show the existence of </w:t>
      </w:r>
      <w:r w:rsidR="004E6138">
        <w:rPr>
          <w:rFonts w:ascii="Arial" w:eastAsia="Calibri" w:hAnsi="Arial" w:cs="Arial"/>
          <w:sz w:val="24"/>
        </w:rPr>
        <w:t xml:space="preserve">exceptional </w:t>
      </w:r>
      <w:r w:rsidR="00D533D8">
        <w:rPr>
          <w:rFonts w:ascii="Arial" w:eastAsia="Calibri" w:hAnsi="Arial" w:cs="Arial"/>
          <w:sz w:val="24"/>
        </w:rPr>
        <w:t>c</w:t>
      </w:r>
      <w:r w:rsidR="007D702E" w:rsidRPr="00610F4B">
        <w:rPr>
          <w:rFonts w:ascii="Arial" w:eastAsia="Calibri" w:hAnsi="Arial" w:cs="Arial"/>
          <w:sz w:val="24"/>
        </w:rPr>
        <w:t>ircumstance</w:t>
      </w:r>
      <w:r w:rsidR="00E3316F" w:rsidRPr="00610F4B">
        <w:rPr>
          <w:rFonts w:ascii="Arial" w:eastAsia="Calibri" w:hAnsi="Arial" w:cs="Arial"/>
          <w:sz w:val="24"/>
        </w:rPr>
        <w:t>s</w:t>
      </w:r>
      <w:r w:rsidR="004E6138">
        <w:rPr>
          <w:rFonts w:ascii="Arial" w:eastAsia="Calibri" w:hAnsi="Arial" w:cs="Arial"/>
          <w:sz w:val="24"/>
        </w:rPr>
        <w:t xml:space="preserve">, </w:t>
      </w:r>
      <w:r w:rsidR="00D45C21">
        <w:rPr>
          <w:rFonts w:ascii="Arial" w:eastAsia="Calibri" w:hAnsi="Arial" w:cs="Arial"/>
          <w:sz w:val="24"/>
        </w:rPr>
        <w:t>be</w:t>
      </w:r>
      <w:r w:rsidR="00AB71BA">
        <w:rPr>
          <w:rFonts w:ascii="Arial" w:eastAsia="Calibri" w:hAnsi="Arial" w:cs="Arial"/>
          <w:sz w:val="24"/>
        </w:rPr>
        <w:t>ing</w:t>
      </w:r>
      <w:r w:rsidR="002A10E0">
        <w:rPr>
          <w:rFonts w:ascii="Arial" w:eastAsia="Calibri" w:hAnsi="Arial" w:cs="Arial"/>
          <w:sz w:val="24"/>
        </w:rPr>
        <w:t xml:space="preserve"> </w:t>
      </w:r>
      <w:r w:rsidR="00CA0964">
        <w:rPr>
          <w:rFonts w:ascii="Arial" w:eastAsia="Calibri" w:hAnsi="Arial" w:cs="Arial"/>
          <w:sz w:val="24"/>
        </w:rPr>
        <w:t xml:space="preserve">circumstances </w:t>
      </w:r>
      <w:r w:rsidR="004E6138">
        <w:rPr>
          <w:rFonts w:ascii="Arial" w:eastAsia="Calibri" w:hAnsi="Arial" w:cs="Arial"/>
          <w:sz w:val="24"/>
        </w:rPr>
        <w:t>that</w:t>
      </w:r>
      <w:r w:rsidR="00D533D8">
        <w:rPr>
          <w:rFonts w:ascii="Arial" w:eastAsia="Calibri" w:hAnsi="Arial" w:cs="Arial"/>
          <w:sz w:val="24"/>
        </w:rPr>
        <w:t xml:space="preserve"> </w:t>
      </w:r>
      <w:r w:rsidR="00AB71BA">
        <w:rPr>
          <w:rFonts w:ascii="Arial" w:eastAsia="Calibri" w:hAnsi="Arial" w:cs="Arial"/>
          <w:sz w:val="24"/>
        </w:rPr>
        <w:t>a</w:t>
      </w:r>
      <w:r w:rsidR="00E3316F" w:rsidRPr="00610F4B">
        <w:rPr>
          <w:rFonts w:ascii="Arial" w:eastAsia="Calibri" w:hAnsi="Arial" w:cs="Arial"/>
          <w:sz w:val="24"/>
        </w:rPr>
        <w:t>re</w:t>
      </w:r>
      <w:r w:rsidR="00841CE4" w:rsidRPr="00610F4B">
        <w:rPr>
          <w:rFonts w:ascii="Arial" w:eastAsia="Calibri" w:hAnsi="Arial" w:cs="Arial"/>
          <w:sz w:val="24"/>
        </w:rPr>
        <w:t xml:space="preserve"> ‘indicative of something unusual, extraordinary, remarkable</w:t>
      </w:r>
      <w:r w:rsidR="007D702E" w:rsidRPr="00610F4B">
        <w:rPr>
          <w:rFonts w:ascii="Arial" w:eastAsia="Calibri" w:hAnsi="Arial" w:cs="Arial"/>
          <w:sz w:val="24"/>
        </w:rPr>
        <w:t xml:space="preserve"> or</w:t>
      </w:r>
      <w:r w:rsidR="00841CE4" w:rsidRPr="00610F4B">
        <w:rPr>
          <w:rFonts w:ascii="Arial" w:eastAsia="Calibri" w:hAnsi="Arial" w:cs="Arial"/>
          <w:sz w:val="24"/>
        </w:rPr>
        <w:t xml:space="preserve"> peculiar’.</w:t>
      </w:r>
      <w:r w:rsidR="00841CE4">
        <w:rPr>
          <w:rStyle w:val="FootnoteReference"/>
          <w:rFonts w:ascii="Arial" w:eastAsia="Calibri" w:hAnsi="Arial" w:cs="Arial"/>
          <w:sz w:val="24"/>
        </w:rPr>
        <w:footnoteReference w:id="21"/>
      </w:r>
      <w:r w:rsidR="00E3316F" w:rsidRPr="00610F4B">
        <w:rPr>
          <w:rFonts w:ascii="Arial" w:eastAsia="Calibri" w:hAnsi="Arial" w:cs="Arial"/>
          <w:sz w:val="24"/>
        </w:rPr>
        <w:t xml:space="preserve"> </w:t>
      </w:r>
    </w:p>
    <w:p w14:paraId="37ECAB89" w14:textId="30DAFCC7" w:rsidR="00B9666C" w:rsidRPr="00610F4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sidRPr="00610F4B">
        <w:rPr>
          <w:rFonts w:ascii="Arial" w:eastAsia="Calibri" w:hAnsi="Arial" w:cs="Arial"/>
          <w:sz w:val="24"/>
        </w:rPr>
        <w:t>41.</w:t>
      </w:r>
      <w:r w:rsidRPr="00610F4B">
        <w:rPr>
          <w:rFonts w:ascii="Arial" w:eastAsia="Calibri" w:hAnsi="Arial" w:cs="Arial"/>
          <w:sz w:val="24"/>
        </w:rPr>
        <w:tab/>
      </w:r>
      <w:r w:rsidR="00B9666C">
        <w:rPr>
          <w:rFonts w:ascii="Arial" w:eastAsia="Calibri" w:hAnsi="Arial" w:cs="Arial"/>
          <w:sz w:val="24"/>
        </w:rPr>
        <w:t xml:space="preserve">Ultimately, and by way of summary, </w:t>
      </w:r>
      <w:r w:rsidR="00AA5B3F">
        <w:rPr>
          <w:rFonts w:ascii="Arial" w:eastAsia="Calibri" w:hAnsi="Arial" w:cs="Arial"/>
          <w:sz w:val="24"/>
        </w:rPr>
        <w:t xml:space="preserve">it has been held that </w:t>
      </w:r>
      <w:r w:rsidR="00B9666C">
        <w:rPr>
          <w:rFonts w:ascii="Arial" w:eastAsia="Calibri" w:hAnsi="Arial" w:cs="Arial"/>
          <w:sz w:val="24"/>
        </w:rPr>
        <w:t xml:space="preserve">what needs to be shown </w:t>
      </w:r>
      <w:r w:rsidR="00CA0964">
        <w:rPr>
          <w:rFonts w:ascii="Arial" w:eastAsia="Calibri" w:hAnsi="Arial" w:cs="Arial"/>
          <w:sz w:val="24"/>
        </w:rPr>
        <w:t>is</w:t>
      </w:r>
      <w:r w:rsidR="00B9666C">
        <w:rPr>
          <w:rFonts w:ascii="Arial" w:eastAsia="Calibri" w:hAnsi="Arial" w:cs="Arial"/>
          <w:sz w:val="24"/>
        </w:rPr>
        <w:t xml:space="preserve"> that the circumstances are out of the ordinary</w:t>
      </w:r>
      <w:r w:rsidR="006B3718">
        <w:rPr>
          <w:rFonts w:ascii="Arial" w:eastAsia="Calibri" w:hAnsi="Arial" w:cs="Arial"/>
          <w:sz w:val="24"/>
        </w:rPr>
        <w:t xml:space="preserve">, </w:t>
      </w:r>
      <w:r w:rsidR="00B9666C">
        <w:rPr>
          <w:rFonts w:ascii="Arial" w:eastAsia="Calibri" w:hAnsi="Arial" w:cs="Arial"/>
          <w:sz w:val="24"/>
        </w:rPr>
        <w:t xml:space="preserve">such that they render it inappropriate to require that the applicant should first exhaust any alternative remedies that may be available </w:t>
      </w:r>
      <w:r w:rsidR="00D45C21">
        <w:rPr>
          <w:rFonts w:ascii="Arial" w:eastAsia="Calibri" w:hAnsi="Arial" w:cs="Arial"/>
          <w:sz w:val="24"/>
        </w:rPr>
        <w:t xml:space="preserve">to them </w:t>
      </w:r>
      <w:r w:rsidR="00B9666C">
        <w:rPr>
          <w:rFonts w:ascii="Arial" w:eastAsia="Calibri" w:hAnsi="Arial" w:cs="Arial"/>
          <w:sz w:val="24"/>
        </w:rPr>
        <w:t>and justify the intervention of the Court</w:t>
      </w:r>
      <w:r w:rsidR="00CA0964">
        <w:rPr>
          <w:rFonts w:ascii="Arial" w:eastAsia="Calibri" w:hAnsi="Arial" w:cs="Arial"/>
          <w:sz w:val="24"/>
        </w:rPr>
        <w:t>,</w:t>
      </w:r>
      <w:r w:rsidR="00B9666C">
        <w:rPr>
          <w:rFonts w:ascii="Arial" w:eastAsia="Calibri" w:hAnsi="Arial" w:cs="Arial"/>
          <w:sz w:val="24"/>
        </w:rPr>
        <w:t xml:space="preserve"> rather than of an alternative</w:t>
      </w:r>
      <w:r w:rsidR="009F7C22">
        <w:rPr>
          <w:rFonts w:ascii="Arial" w:eastAsia="Calibri" w:hAnsi="Arial" w:cs="Arial"/>
          <w:sz w:val="24"/>
        </w:rPr>
        <w:t>, available</w:t>
      </w:r>
      <w:r w:rsidR="00B9666C">
        <w:rPr>
          <w:rFonts w:ascii="Arial" w:eastAsia="Calibri" w:hAnsi="Arial" w:cs="Arial"/>
          <w:sz w:val="24"/>
        </w:rPr>
        <w:t xml:space="preserve"> forum.</w:t>
      </w:r>
      <w:r w:rsidR="00B9666C">
        <w:rPr>
          <w:rStyle w:val="FootnoteReference"/>
          <w:rFonts w:ascii="Arial" w:eastAsia="Calibri" w:hAnsi="Arial" w:cs="Arial"/>
          <w:sz w:val="24"/>
        </w:rPr>
        <w:footnoteReference w:id="22"/>
      </w:r>
      <w:r w:rsidR="00B9666C">
        <w:rPr>
          <w:rFonts w:ascii="Arial" w:eastAsia="Calibri" w:hAnsi="Arial" w:cs="Arial"/>
          <w:sz w:val="24"/>
        </w:rPr>
        <w:t xml:space="preserve">   </w:t>
      </w:r>
    </w:p>
    <w:p w14:paraId="537D98B1" w14:textId="1B15DD64" w:rsidR="00E518A0"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42.</w:t>
      </w:r>
      <w:r>
        <w:rPr>
          <w:rFonts w:ascii="Arial" w:eastAsia="Calibri" w:hAnsi="Arial" w:cs="Arial"/>
          <w:sz w:val="24"/>
        </w:rPr>
        <w:tab/>
      </w:r>
      <w:r w:rsidR="00AA3B6B">
        <w:rPr>
          <w:rFonts w:ascii="Arial" w:eastAsia="Calibri" w:hAnsi="Arial" w:cs="Arial"/>
          <w:sz w:val="24"/>
        </w:rPr>
        <w:t>Finally</w:t>
      </w:r>
      <w:r w:rsidR="00D91528">
        <w:rPr>
          <w:rFonts w:ascii="Arial" w:eastAsia="Calibri" w:hAnsi="Arial" w:cs="Arial"/>
          <w:sz w:val="24"/>
        </w:rPr>
        <w:t xml:space="preserve">, </w:t>
      </w:r>
      <w:r w:rsidR="00AA3B6B">
        <w:rPr>
          <w:rFonts w:ascii="Arial" w:eastAsia="Calibri" w:hAnsi="Arial" w:cs="Arial"/>
          <w:sz w:val="24"/>
        </w:rPr>
        <w:t xml:space="preserve">it should be pointed out that </w:t>
      </w:r>
      <w:r w:rsidR="00D91528">
        <w:rPr>
          <w:rFonts w:ascii="Arial" w:eastAsia="Calibri" w:hAnsi="Arial" w:cs="Arial"/>
          <w:sz w:val="24"/>
        </w:rPr>
        <w:t>i</w:t>
      </w:r>
      <w:r w:rsidR="001D602B">
        <w:rPr>
          <w:rFonts w:ascii="Arial" w:eastAsia="Calibri" w:hAnsi="Arial" w:cs="Arial"/>
          <w:sz w:val="24"/>
        </w:rPr>
        <w:t xml:space="preserve">n </w:t>
      </w:r>
      <w:r w:rsidR="00097ED0">
        <w:rPr>
          <w:rFonts w:ascii="Arial" w:eastAsia="Calibri" w:hAnsi="Arial" w:cs="Arial"/>
          <w:sz w:val="24"/>
        </w:rPr>
        <w:t>endorsing</w:t>
      </w:r>
      <w:r w:rsidR="001D602B">
        <w:rPr>
          <w:rFonts w:ascii="Arial" w:eastAsia="Calibri" w:hAnsi="Arial" w:cs="Arial"/>
          <w:sz w:val="24"/>
        </w:rPr>
        <w:t xml:space="preserve"> the test espoused in MV </w:t>
      </w:r>
      <w:r w:rsidR="001D602B" w:rsidRPr="001D602B">
        <w:rPr>
          <w:rFonts w:ascii="Arial" w:eastAsia="Calibri" w:hAnsi="Arial" w:cs="Arial"/>
          <w:i/>
          <w:iCs/>
          <w:sz w:val="24"/>
        </w:rPr>
        <w:t>Ais Mamas</w:t>
      </w:r>
      <w:r w:rsidR="00097ED0">
        <w:rPr>
          <w:rFonts w:ascii="Arial" w:eastAsia="Calibri" w:hAnsi="Arial" w:cs="Arial"/>
          <w:i/>
          <w:iCs/>
          <w:sz w:val="24"/>
        </w:rPr>
        <w:t xml:space="preserve"> </w:t>
      </w:r>
      <w:r w:rsidR="00097ED0">
        <w:rPr>
          <w:rFonts w:ascii="Arial" w:eastAsia="Calibri" w:hAnsi="Arial" w:cs="Arial"/>
          <w:sz w:val="24"/>
        </w:rPr>
        <w:t>both the Constitutional Court</w:t>
      </w:r>
      <w:r w:rsidR="00097ED0">
        <w:rPr>
          <w:rStyle w:val="FootnoteReference"/>
          <w:rFonts w:ascii="Arial" w:eastAsia="Calibri" w:hAnsi="Arial" w:cs="Arial"/>
          <w:sz w:val="24"/>
        </w:rPr>
        <w:footnoteReference w:id="23"/>
      </w:r>
      <w:r w:rsidR="00097ED0">
        <w:rPr>
          <w:rFonts w:ascii="Arial" w:eastAsia="Calibri" w:hAnsi="Arial" w:cs="Arial"/>
          <w:sz w:val="24"/>
        </w:rPr>
        <w:t xml:space="preserve"> and the Supreme Court of Appeal</w:t>
      </w:r>
      <w:r w:rsidR="00097ED0">
        <w:rPr>
          <w:rStyle w:val="FootnoteReference"/>
          <w:rFonts w:ascii="Arial" w:eastAsia="Calibri" w:hAnsi="Arial" w:cs="Arial"/>
          <w:sz w:val="24"/>
        </w:rPr>
        <w:footnoteReference w:id="24"/>
      </w:r>
      <w:r w:rsidR="00097ED0">
        <w:rPr>
          <w:rFonts w:ascii="Arial" w:eastAsia="Calibri" w:hAnsi="Arial" w:cs="Arial"/>
          <w:sz w:val="24"/>
        </w:rPr>
        <w:t xml:space="preserve"> </w:t>
      </w:r>
      <w:r w:rsidR="00D45C21">
        <w:rPr>
          <w:rFonts w:ascii="Arial" w:eastAsia="Calibri" w:hAnsi="Arial" w:cs="Arial"/>
          <w:sz w:val="24"/>
        </w:rPr>
        <w:t xml:space="preserve">implicitly </w:t>
      </w:r>
      <w:r w:rsidR="00097ED0">
        <w:rPr>
          <w:rFonts w:ascii="Arial" w:eastAsia="Calibri" w:hAnsi="Arial" w:cs="Arial"/>
          <w:sz w:val="24"/>
        </w:rPr>
        <w:t>adopted two</w:t>
      </w:r>
      <w:r w:rsidR="00D91528">
        <w:rPr>
          <w:rFonts w:ascii="Arial" w:eastAsia="Calibri" w:hAnsi="Arial" w:cs="Arial"/>
          <w:sz w:val="24"/>
        </w:rPr>
        <w:t xml:space="preserve"> corollaries </w:t>
      </w:r>
      <w:r w:rsidR="00AA3B6B">
        <w:rPr>
          <w:rFonts w:ascii="Arial" w:eastAsia="Calibri" w:hAnsi="Arial" w:cs="Arial"/>
          <w:sz w:val="24"/>
        </w:rPr>
        <w:t>that flow from</w:t>
      </w:r>
      <w:r w:rsidR="00D91528">
        <w:rPr>
          <w:rFonts w:ascii="Arial" w:eastAsia="Calibri" w:hAnsi="Arial" w:cs="Arial"/>
          <w:sz w:val="24"/>
        </w:rPr>
        <w:t xml:space="preserve"> it </w:t>
      </w:r>
      <w:r w:rsidR="00AA3B6B">
        <w:rPr>
          <w:rFonts w:ascii="Arial" w:eastAsia="Calibri" w:hAnsi="Arial" w:cs="Arial"/>
          <w:sz w:val="24"/>
        </w:rPr>
        <w:t>(</w:t>
      </w:r>
      <w:r w:rsidR="00D91528">
        <w:rPr>
          <w:rFonts w:ascii="Arial" w:eastAsia="Calibri" w:hAnsi="Arial" w:cs="Arial"/>
          <w:sz w:val="24"/>
        </w:rPr>
        <w:t xml:space="preserve">as </w:t>
      </w:r>
      <w:r w:rsidR="00BB6F5A">
        <w:rPr>
          <w:rFonts w:ascii="Arial" w:eastAsia="Calibri" w:hAnsi="Arial" w:cs="Arial"/>
          <w:sz w:val="24"/>
        </w:rPr>
        <w:t xml:space="preserve">is apparent </w:t>
      </w:r>
      <w:r w:rsidR="00D91528">
        <w:rPr>
          <w:rFonts w:ascii="Arial" w:eastAsia="Calibri" w:hAnsi="Arial" w:cs="Arial"/>
          <w:sz w:val="24"/>
        </w:rPr>
        <w:t xml:space="preserve">in the extract </w:t>
      </w:r>
      <w:r w:rsidR="00AA3B6B">
        <w:rPr>
          <w:rFonts w:ascii="Arial" w:eastAsia="Calibri" w:hAnsi="Arial" w:cs="Arial"/>
          <w:sz w:val="24"/>
        </w:rPr>
        <w:t xml:space="preserve">they </w:t>
      </w:r>
      <w:r w:rsidR="00D91528">
        <w:rPr>
          <w:rFonts w:ascii="Arial" w:eastAsia="Calibri" w:hAnsi="Arial" w:cs="Arial"/>
          <w:sz w:val="24"/>
        </w:rPr>
        <w:lastRenderedPageBreak/>
        <w:t>quoted from it</w:t>
      </w:r>
      <w:r w:rsidR="00AA3B6B">
        <w:rPr>
          <w:rFonts w:ascii="Arial" w:eastAsia="Calibri" w:hAnsi="Arial" w:cs="Arial"/>
          <w:sz w:val="24"/>
        </w:rPr>
        <w:t>)</w:t>
      </w:r>
      <w:r w:rsidR="00D91528">
        <w:rPr>
          <w:rFonts w:ascii="Arial" w:eastAsia="Calibri" w:hAnsi="Arial" w:cs="Arial"/>
          <w:sz w:val="24"/>
        </w:rPr>
        <w:t xml:space="preserve"> viz that 1)</w:t>
      </w:r>
      <w:r w:rsidR="00AA3B6B">
        <w:rPr>
          <w:rFonts w:ascii="Arial" w:eastAsia="Calibri" w:hAnsi="Arial" w:cs="Arial"/>
          <w:sz w:val="24"/>
        </w:rPr>
        <w:t xml:space="preserve"> whether or not exceptional circumstances exist is not a decision which depends on the exercise of a judicial discretion, but is a matter of fact </w:t>
      </w:r>
      <w:r w:rsidR="00D75E88">
        <w:rPr>
          <w:rFonts w:ascii="Arial" w:eastAsia="Calibri" w:hAnsi="Arial" w:cs="Arial"/>
          <w:sz w:val="24"/>
        </w:rPr>
        <w:t xml:space="preserve">to be determined on the evidence </w:t>
      </w:r>
      <w:r w:rsidR="00AA3B6B">
        <w:rPr>
          <w:rFonts w:ascii="Arial" w:eastAsia="Calibri" w:hAnsi="Arial" w:cs="Arial"/>
          <w:sz w:val="24"/>
        </w:rPr>
        <w:t xml:space="preserve">and 2) where a statutory provision directs that a fixed rule shall be departed from only in </w:t>
      </w:r>
      <w:r w:rsidR="00D75E88">
        <w:rPr>
          <w:rFonts w:ascii="Arial" w:eastAsia="Calibri" w:hAnsi="Arial" w:cs="Arial"/>
          <w:sz w:val="24"/>
        </w:rPr>
        <w:t>‘</w:t>
      </w:r>
      <w:r w:rsidR="00AA3B6B">
        <w:rPr>
          <w:rFonts w:ascii="Arial" w:eastAsia="Calibri" w:hAnsi="Arial" w:cs="Arial"/>
          <w:sz w:val="24"/>
        </w:rPr>
        <w:t>exceptional circumstances</w:t>
      </w:r>
      <w:r w:rsidR="00D75E88">
        <w:rPr>
          <w:rFonts w:ascii="Arial" w:eastAsia="Calibri" w:hAnsi="Arial" w:cs="Arial"/>
          <w:sz w:val="24"/>
        </w:rPr>
        <w:t>’</w:t>
      </w:r>
      <w:r w:rsidR="00AA3B6B">
        <w:rPr>
          <w:rFonts w:ascii="Arial" w:eastAsia="Calibri" w:hAnsi="Arial" w:cs="Arial"/>
          <w:sz w:val="24"/>
        </w:rPr>
        <w:t xml:space="preserve"> </w:t>
      </w:r>
      <w:r w:rsidR="00BB6F5A">
        <w:rPr>
          <w:rFonts w:ascii="Arial" w:eastAsia="Calibri" w:hAnsi="Arial" w:cs="Arial"/>
          <w:sz w:val="24"/>
        </w:rPr>
        <w:t xml:space="preserve">effect </w:t>
      </w:r>
      <w:r w:rsidR="00AA3B6B">
        <w:rPr>
          <w:rFonts w:ascii="Arial" w:eastAsia="Calibri" w:hAnsi="Arial" w:cs="Arial"/>
          <w:sz w:val="24"/>
        </w:rPr>
        <w:t>will, generally speaking, best be given to</w:t>
      </w:r>
      <w:r w:rsidR="00BB6F5A">
        <w:rPr>
          <w:rFonts w:ascii="Arial" w:eastAsia="Calibri" w:hAnsi="Arial" w:cs="Arial"/>
          <w:sz w:val="24"/>
        </w:rPr>
        <w:t xml:space="preserve"> the intention of the legislature by applying a strict rather than a liberal meaning to the phrase, and by carefully examining the circumstances relied upon as allegedly being exceptional.</w:t>
      </w:r>
      <w:r w:rsidR="00BB6F5A">
        <w:rPr>
          <w:rStyle w:val="FootnoteReference"/>
          <w:rFonts w:ascii="Arial" w:eastAsia="Calibri" w:hAnsi="Arial" w:cs="Arial"/>
          <w:sz w:val="24"/>
        </w:rPr>
        <w:footnoteReference w:id="25"/>
      </w:r>
    </w:p>
    <w:p w14:paraId="3AECCB22" w14:textId="460AA506" w:rsidR="008F15E9" w:rsidRPr="008F15E9" w:rsidRDefault="008F15E9" w:rsidP="008F15E9">
      <w:pPr>
        <w:adjustRightInd w:val="0"/>
        <w:spacing w:after="0" w:line="360" w:lineRule="auto"/>
        <w:contextualSpacing/>
        <w:jc w:val="both"/>
        <w:textAlignment w:val="baseline"/>
        <w:rPr>
          <w:rFonts w:ascii="Arial" w:eastAsia="Calibri" w:hAnsi="Arial" w:cs="Arial"/>
          <w:sz w:val="24"/>
          <w:u w:val="single"/>
        </w:rPr>
      </w:pPr>
      <w:r>
        <w:rPr>
          <w:rFonts w:ascii="Arial" w:eastAsia="Calibri" w:hAnsi="Arial" w:cs="Arial"/>
          <w:sz w:val="24"/>
        </w:rPr>
        <w:t>(ii)</w:t>
      </w:r>
      <w:r>
        <w:rPr>
          <w:rFonts w:ascii="Arial" w:eastAsia="Calibri" w:hAnsi="Arial" w:cs="Arial"/>
          <w:sz w:val="24"/>
        </w:rPr>
        <w:tab/>
      </w:r>
      <w:r w:rsidRPr="008F15E9">
        <w:rPr>
          <w:rFonts w:ascii="Arial" w:eastAsia="Calibri" w:hAnsi="Arial" w:cs="Arial"/>
          <w:sz w:val="24"/>
          <w:u w:val="single"/>
        </w:rPr>
        <w:t>Ad s 105 of the TAA</w:t>
      </w:r>
    </w:p>
    <w:p w14:paraId="4A9FC81A" w14:textId="1346B837" w:rsidR="00FD02D5"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43.</w:t>
      </w:r>
      <w:r>
        <w:rPr>
          <w:rFonts w:ascii="Arial" w:eastAsia="Calibri" w:hAnsi="Arial" w:cs="Arial"/>
          <w:sz w:val="24"/>
        </w:rPr>
        <w:tab/>
      </w:r>
      <w:r w:rsidR="009D6661">
        <w:rPr>
          <w:rFonts w:ascii="Arial" w:eastAsia="Calibri" w:hAnsi="Arial" w:cs="Arial"/>
          <w:sz w:val="24"/>
        </w:rPr>
        <w:t xml:space="preserve">That brings us to s 105 of the TAA, which provides that unless </w:t>
      </w:r>
      <w:r w:rsidR="001C2B31">
        <w:rPr>
          <w:rFonts w:ascii="Arial" w:eastAsia="Calibri" w:hAnsi="Arial" w:cs="Arial"/>
          <w:sz w:val="24"/>
        </w:rPr>
        <w:t xml:space="preserve">a Court </w:t>
      </w:r>
      <w:r w:rsidR="00615A72">
        <w:rPr>
          <w:rFonts w:ascii="Arial" w:eastAsia="Calibri" w:hAnsi="Arial" w:cs="Arial"/>
          <w:sz w:val="24"/>
        </w:rPr>
        <w:t>‘</w:t>
      </w:r>
      <w:r w:rsidR="009D6661">
        <w:rPr>
          <w:rFonts w:ascii="Arial" w:eastAsia="Calibri" w:hAnsi="Arial" w:cs="Arial"/>
          <w:sz w:val="24"/>
        </w:rPr>
        <w:t>otherwise direct</w:t>
      </w:r>
      <w:r w:rsidR="001C2B31">
        <w:rPr>
          <w:rFonts w:ascii="Arial" w:eastAsia="Calibri" w:hAnsi="Arial" w:cs="Arial"/>
          <w:sz w:val="24"/>
        </w:rPr>
        <w:t>s</w:t>
      </w:r>
      <w:r w:rsidR="00615A72">
        <w:rPr>
          <w:rFonts w:ascii="Arial" w:eastAsia="Calibri" w:hAnsi="Arial" w:cs="Arial"/>
          <w:sz w:val="24"/>
        </w:rPr>
        <w:t>’</w:t>
      </w:r>
      <w:r w:rsidR="009F7C22">
        <w:rPr>
          <w:rFonts w:ascii="Arial" w:eastAsia="Calibri" w:hAnsi="Arial" w:cs="Arial"/>
          <w:sz w:val="24"/>
        </w:rPr>
        <w:t>,</w:t>
      </w:r>
      <w:r w:rsidR="009D6661">
        <w:rPr>
          <w:rFonts w:ascii="Arial" w:eastAsia="Calibri" w:hAnsi="Arial" w:cs="Arial"/>
          <w:sz w:val="24"/>
        </w:rPr>
        <w:t xml:space="preserve"> a taxpayer may only dispute a tax assessment or a decision </w:t>
      </w:r>
      <w:r w:rsidR="00F339B6">
        <w:rPr>
          <w:rFonts w:ascii="Arial" w:eastAsia="Calibri" w:hAnsi="Arial" w:cs="Arial"/>
          <w:sz w:val="24"/>
        </w:rPr>
        <w:t xml:space="preserve">as described in s 104 </w:t>
      </w:r>
      <w:r w:rsidR="000152AB">
        <w:rPr>
          <w:rFonts w:ascii="Arial" w:eastAsia="Calibri" w:hAnsi="Arial" w:cs="Arial"/>
          <w:sz w:val="24"/>
        </w:rPr>
        <w:t>pertaining to their tax affairs</w:t>
      </w:r>
      <w:r w:rsidR="00F339B6">
        <w:rPr>
          <w:rFonts w:ascii="Arial" w:eastAsia="Calibri" w:hAnsi="Arial" w:cs="Arial"/>
          <w:sz w:val="24"/>
        </w:rPr>
        <w:t>,</w:t>
      </w:r>
      <w:r w:rsidR="00DE24CC">
        <w:rPr>
          <w:rStyle w:val="FootnoteReference"/>
          <w:rFonts w:ascii="Arial" w:eastAsia="Calibri" w:hAnsi="Arial" w:cs="Arial"/>
          <w:sz w:val="24"/>
        </w:rPr>
        <w:footnoteReference w:id="26"/>
      </w:r>
      <w:r w:rsidR="000152AB">
        <w:rPr>
          <w:rFonts w:ascii="Arial" w:eastAsia="Calibri" w:hAnsi="Arial" w:cs="Arial"/>
          <w:sz w:val="24"/>
        </w:rPr>
        <w:t xml:space="preserve"> </w:t>
      </w:r>
      <w:r w:rsidR="009D6661">
        <w:rPr>
          <w:rFonts w:ascii="Arial" w:eastAsia="Calibri" w:hAnsi="Arial" w:cs="Arial"/>
          <w:sz w:val="24"/>
        </w:rPr>
        <w:t xml:space="preserve">in terms of the </w:t>
      </w:r>
      <w:r w:rsidR="00FD02D5">
        <w:rPr>
          <w:rFonts w:ascii="Arial" w:eastAsia="Calibri" w:hAnsi="Arial" w:cs="Arial"/>
          <w:sz w:val="24"/>
        </w:rPr>
        <w:t xml:space="preserve">dispute resolution </w:t>
      </w:r>
      <w:r w:rsidR="009D6661">
        <w:rPr>
          <w:rFonts w:ascii="Arial" w:eastAsia="Calibri" w:hAnsi="Arial" w:cs="Arial"/>
          <w:sz w:val="24"/>
        </w:rPr>
        <w:t xml:space="preserve">procedures </w:t>
      </w:r>
      <w:r w:rsidR="00FD02D5">
        <w:rPr>
          <w:rFonts w:ascii="Arial" w:eastAsia="Calibri" w:hAnsi="Arial" w:cs="Arial"/>
          <w:sz w:val="24"/>
        </w:rPr>
        <w:t>provided for</w:t>
      </w:r>
      <w:r w:rsidR="009D6661">
        <w:rPr>
          <w:rFonts w:ascii="Arial" w:eastAsia="Calibri" w:hAnsi="Arial" w:cs="Arial"/>
          <w:sz w:val="24"/>
        </w:rPr>
        <w:t xml:space="preserve"> in the </w:t>
      </w:r>
      <w:r w:rsidR="001644CA">
        <w:rPr>
          <w:rFonts w:ascii="Arial" w:eastAsia="Calibri" w:hAnsi="Arial" w:cs="Arial"/>
          <w:sz w:val="24"/>
        </w:rPr>
        <w:t>TAA</w:t>
      </w:r>
      <w:r w:rsidR="009D6661">
        <w:rPr>
          <w:rFonts w:ascii="Arial" w:eastAsia="Calibri" w:hAnsi="Arial" w:cs="Arial"/>
          <w:sz w:val="24"/>
        </w:rPr>
        <w:t>.</w:t>
      </w:r>
      <w:r w:rsidR="000152AB">
        <w:rPr>
          <w:rFonts w:ascii="Arial" w:eastAsia="Calibri" w:hAnsi="Arial" w:cs="Arial"/>
          <w:sz w:val="24"/>
        </w:rPr>
        <w:t xml:space="preserve"> To this end a taxpayer who is dissatisfied with an assessment which has been levied may lodge an objection to</w:t>
      </w:r>
      <w:r w:rsidR="00DE24CC">
        <w:rPr>
          <w:rFonts w:ascii="Arial" w:eastAsia="Calibri" w:hAnsi="Arial" w:cs="Arial"/>
          <w:sz w:val="24"/>
        </w:rPr>
        <w:t xml:space="preserve"> it to the Commissioner</w:t>
      </w:r>
      <w:r w:rsidR="000152AB">
        <w:rPr>
          <w:rFonts w:ascii="Arial" w:eastAsia="Calibri" w:hAnsi="Arial" w:cs="Arial"/>
          <w:sz w:val="24"/>
        </w:rPr>
        <w:t xml:space="preserve">, and if that that objection is unsuccessful, may lodge an appeal against the refusal thereof to the </w:t>
      </w:r>
      <w:r w:rsidR="001644CA">
        <w:rPr>
          <w:rFonts w:ascii="Arial" w:eastAsia="Calibri" w:hAnsi="Arial" w:cs="Arial"/>
          <w:sz w:val="24"/>
        </w:rPr>
        <w:t>s</w:t>
      </w:r>
      <w:r w:rsidR="000152AB">
        <w:rPr>
          <w:rFonts w:ascii="Arial" w:eastAsia="Calibri" w:hAnsi="Arial" w:cs="Arial"/>
          <w:sz w:val="24"/>
        </w:rPr>
        <w:t>pecial Tax Court</w:t>
      </w:r>
      <w:r w:rsidR="00DE24CC">
        <w:rPr>
          <w:rFonts w:ascii="Arial" w:eastAsia="Calibri" w:hAnsi="Arial" w:cs="Arial"/>
          <w:sz w:val="24"/>
        </w:rPr>
        <w:t>, established in terms of the Act</w:t>
      </w:r>
      <w:r w:rsidR="00FD02D5">
        <w:rPr>
          <w:rFonts w:ascii="Arial" w:eastAsia="Calibri" w:hAnsi="Arial" w:cs="Arial"/>
          <w:sz w:val="24"/>
        </w:rPr>
        <w:t>.</w:t>
      </w:r>
    </w:p>
    <w:p w14:paraId="37EE2D3F" w14:textId="4548C1FC" w:rsidR="005509A4"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44.</w:t>
      </w:r>
      <w:r>
        <w:rPr>
          <w:rFonts w:ascii="Arial" w:eastAsia="Calibri" w:hAnsi="Arial" w:cs="Arial"/>
          <w:sz w:val="24"/>
        </w:rPr>
        <w:tab/>
      </w:r>
      <w:r w:rsidR="00FD02D5">
        <w:rPr>
          <w:rFonts w:ascii="Arial" w:eastAsia="Calibri" w:hAnsi="Arial" w:cs="Arial"/>
          <w:sz w:val="24"/>
        </w:rPr>
        <w:t xml:space="preserve">In </w:t>
      </w:r>
      <w:r w:rsidR="007975DD">
        <w:rPr>
          <w:rFonts w:ascii="Arial" w:eastAsia="Calibri" w:hAnsi="Arial" w:cs="Arial"/>
          <w:sz w:val="24"/>
        </w:rPr>
        <w:t xml:space="preserve">a review of the powers afforded to </w:t>
      </w:r>
      <w:r w:rsidR="00FA69EB">
        <w:rPr>
          <w:rFonts w:ascii="Arial" w:eastAsia="Calibri" w:hAnsi="Arial" w:cs="Arial"/>
          <w:sz w:val="24"/>
        </w:rPr>
        <w:t>the Tax</w:t>
      </w:r>
      <w:r w:rsidR="007975DD">
        <w:rPr>
          <w:rFonts w:ascii="Arial" w:eastAsia="Calibri" w:hAnsi="Arial" w:cs="Arial"/>
          <w:sz w:val="24"/>
        </w:rPr>
        <w:t xml:space="preserve"> Court</w:t>
      </w:r>
      <w:r w:rsidR="00AB71BA">
        <w:rPr>
          <w:rFonts w:ascii="Arial" w:eastAsia="Calibri" w:hAnsi="Arial" w:cs="Arial"/>
          <w:sz w:val="24"/>
        </w:rPr>
        <w:t>,</w:t>
      </w:r>
      <w:r w:rsidR="007975DD">
        <w:rPr>
          <w:rFonts w:ascii="Arial" w:eastAsia="Calibri" w:hAnsi="Arial" w:cs="Arial"/>
          <w:sz w:val="24"/>
        </w:rPr>
        <w:t xml:space="preserve"> </w:t>
      </w:r>
      <w:r w:rsidR="00AB71BA">
        <w:rPr>
          <w:rFonts w:ascii="Arial" w:eastAsia="Calibri" w:hAnsi="Arial" w:cs="Arial"/>
          <w:sz w:val="24"/>
        </w:rPr>
        <w:t xml:space="preserve">the Constitutional Court held </w:t>
      </w:r>
      <w:r w:rsidR="007975DD">
        <w:rPr>
          <w:rFonts w:ascii="Arial" w:eastAsia="Calibri" w:hAnsi="Arial" w:cs="Arial"/>
          <w:sz w:val="24"/>
        </w:rPr>
        <w:t xml:space="preserve">in </w:t>
      </w:r>
      <w:r w:rsidR="00FD02D5" w:rsidRPr="007975DD">
        <w:rPr>
          <w:rFonts w:ascii="Arial" w:eastAsia="Calibri" w:hAnsi="Arial" w:cs="Arial"/>
          <w:i/>
          <w:iCs/>
          <w:sz w:val="24"/>
        </w:rPr>
        <w:t>Metcash</w:t>
      </w:r>
      <w:r w:rsidR="007975DD">
        <w:rPr>
          <w:rFonts w:ascii="Arial" w:eastAsia="Calibri" w:hAnsi="Arial" w:cs="Arial"/>
          <w:i/>
          <w:iCs/>
          <w:sz w:val="24"/>
        </w:rPr>
        <w:t xml:space="preserve"> </w:t>
      </w:r>
      <w:r w:rsidR="00FD02D5">
        <w:rPr>
          <w:rStyle w:val="FootnoteReference"/>
          <w:rFonts w:ascii="Arial" w:eastAsia="Calibri" w:hAnsi="Arial" w:cs="Arial"/>
          <w:sz w:val="24"/>
        </w:rPr>
        <w:footnoteReference w:id="27"/>
      </w:r>
      <w:r w:rsidR="000152AB">
        <w:rPr>
          <w:rFonts w:ascii="Arial" w:eastAsia="Calibri" w:hAnsi="Arial" w:cs="Arial"/>
          <w:sz w:val="24"/>
        </w:rPr>
        <w:t xml:space="preserve"> </w:t>
      </w:r>
      <w:r w:rsidR="007975DD">
        <w:rPr>
          <w:rFonts w:ascii="Arial" w:eastAsia="Calibri" w:hAnsi="Arial" w:cs="Arial"/>
          <w:sz w:val="24"/>
        </w:rPr>
        <w:t xml:space="preserve">that it </w:t>
      </w:r>
      <w:r w:rsidR="006B3718">
        <w:rPr>
          <w:rFonts w:ascii="Arial" w:eastAsia="Calibri" w:hAnsi="Arial" w:cs="Arial"/>
          <w:sz w:val="24"/>
        </w:rPr>
        <w:t>wa</w:t>
      </w:r>
      <w:r w:rsidR="007975DD">
        <w:rPr>
          <w:rFonts w:ascii="Arial" w:eastAsia="Calibri" w:hAnsi="Arial" w:cs="Arial"/>
          <w:sz w:val="24"/>
        </w:rPr>
        <w:t xml:space="preserve">s an independent and impartial tribunal specially tooled to deal with tax cases. </w:t>
      </w:r>
      <w:r w:rsidR="00DB4ADB">
        <w:rPr>
          <w:rFonts w:ascii="Arial" w:eastAsia="Calibri" w:hAnsi="Arial" w:cs="Arial"/>
          <w:sz w:val="24"/>
        </w:rPr>
        <w:t>Although i</w:t>
      </w:r>
      <w:r w:rsidR="007975DD">
        <w:rPr>
          <w:rFonts w:ascii="Arial" w:eastAsia="Calibri" w:hAnsi="Arial" w:cs="Arial"/>
          <w:sz w:val="24"/>
        </w:rPr>
        <w:t>t operate</w:t>
      </w:r>
      <w:r w:rsidR="00DE24CC">
        <w:rPr>
          <w:rFonts w:ascii="Arial" w:eastAsia="Calibri" w:hAnsi="Arial" w:cs="Arial"/>
          <w:sz w:val="24"/>
        </w:rPr>
        <w:t>s</w:t>
      </w:r>
      <w:r w:rsidR="007975DD">
        <w:rPr>
          <w:rFonts w:ascii="Arial" w:eastAsia="Calibri" w:hAnsi="Arial" w:cs="Arial"/>
          <w:sz w:val="24"/>
        </w:rPr>
        <w:t xml:space="preserve"> </w:t>
      </w:r>
      <w:r w:rsidR="00DB4ADB">
        <w:rPr>
          <w:rFonts w:ascii="Arial" w:eastAsia="Calibri" w:hAnsi="Arial" w:cs="Arial"/>
          <w:sz w:val="24"/>
        </w:rPr>
        <w:t>to all intents as</w:t>
      </w:r>
      <w:r w:rsidR="007975DD">
        <w:rPr>
          <w:rFonts w:ascii="Arial" w:eastAsia="Calibri" w:hAnsi="Arial" w:cs="Arial"/>
          <w:sz w:val="24"/>
        </w:rPr>
        <w:t xml:space="preserve"> an ordinary court </w:t>
      </w:r>
      <w:r w:rsidR="00DB4ADB">
        <w:rPr>
          <w:rFonts w:ascii="Arial" w:eastAsia="Calibri" w:hAnsi="Arial" w:cs="Arial"/>
          <w:sz w:val="24"/>
        </w:rPr>
        <w:t>it</w:t>
      </w:r>
      <w:r w:rsidR="007975DD">
        <w:rPr>
          <w:rFonts w:ascii="Arial" w:eastAsia="Calibri" w:hAnsi="Arial" w:cs="Arial"/>
          <w:sz w:val="24"/>
        </w:rPr>
        <w:t xml:space="preserve"> ha</w:t>
      </w:r>
      <w:r w:rsidR="00DE24CC">
        <w:rPr>
          <w:rFonts w:ascii="Arial" w:eastAsia="Calibri" w:hAnsi="Arial" w:cs="Arial"/>
          <w:sz w:val="24"/>
        </w:rPr>
        <w:t>s</w:t>
      </w:r>
      <w:r w:rsidR="007975DD">
        <w:rPr>
          <w:rFonts w:ascii="Arial" w:eastAsia="Calibri" w:hAnsi="Arial" w:cs="Arial"/>
          <w:sz w:val="24"/>
        </w:rPr>
        <w:t xml:space="preserve"> </w:t>
      </w:r>
      <w:r w:rsidR="00DB4ADB">
        <w:rPr>
          <w:rFonts w:ascii="Arial" w:eastAsia="Calibri" w:hAnsi="Arial" w:cs="Arial"/>
          <w:sz w:val="24"/>
        </w:rPr>
        <w:t xml:space="preserve">wide and </w:t>
      </w:r>
      <w:r w:rsidR="007975DD">
        <w:rPr>
          <w:rFonts w:ascii="Arial" w:eastAsia="Calibri" w:hAnsi="Arial" w:cs="Arial"/>
          <w:sz w:val="24"/>
        </w:rPr>
        <w:t xml:space="preserve">extensive powers to interfere with, amend or reverse decisions of the Commissioner. Although </w:t>
      </w:r>
      <w:r w:rsidR="00EB7A0F">
        <w:rPr>
          <w:rFonts w:ascii="Arial" w:eastAsia="Calibri" w:hAnsi="Arial" w:cs="Arial"/>
          <w:sz w:val="24"/>
        </w:rPr>
        <w:t xml:space="preserve">the </w:t>
      </w:r>
      <w:r w:rsidR="007975DD">
        <w:rPr>
          <w:rFonts w:ascii="Arial" w:eastAsia="Calibri" w:hAnsi="Arial" w:cs="Arial"/>
          <w:sz w:val="24"/>
        </w:rPr>
        <w:t xml:space="preserve">proceedings before it </w:t>
      </w:r>
      <w:r w:rsidR="007747D4">
        <w:rPr>
          <w:rFonts w:ascii="Arial" w:eastAsia="Calibri" w:hAnsi="Arial" w:cs="Arial"/>
          <w:sz w:val="24"/>
        </w:rPr>
        <w:t>ar</w:t>
      </w:r>
      <w:r w:rsidR="007975DD">
        <w:rPr>
          <w:rFonts w:ascii="Arial" w:eastAsia="Calibri" w:hAnsi="Arial" w:cs="Arial"/>
          <w:sz w:val="24"/>
        </w:rPr>
        <w:t xml:space="preserve">e </w:t>
      </w:r>
      <w:r w:rsidR="005509A4">
        <w:rPr>
          <w:rFonts w:ascii="Arial" w:eastAsia="Calibri" w:hAnsi="Arial" w:cs="Arial"/>
          <w:sz w:val="24"/>
        </w:rPr>
        <w:t>appe</w:t>
      </w:r>
      <w:r w:rsidR="003A20C7">
        <w:rPr>
          <w:rFonts w:ascii="Arial" w:eastAsia="Calibri" w:hAnsi="Arial" w:cs="Arial"/>
          <w:sz w:val="24"/>
        </w:rPr>
        <w:t>l</w:t>
      </w:r>
      <w:r w:rsidR="005509A4">
        <w:rPr>
          <w:rFonts w:ascii="Arial" w:eastAsia="Calibri" w:hAnsi="Arial" w:cs="Arial"/>
          <w:sz w:val="24"/>
        </w:rPr>
        <w:t>l</w:t>
      </w:r>
      <w:r w:rsidR="003A20C7">
        <w:rPr>
          <w:rFonts w:ascii="Arial" w:eastAsia="Calibri" w:hAnsi="Arial" w:cs="Arial"/>
          <w:sz w:val="24"/>
        </w:rPr>
        <w:t>ate</w:t>
      </w:r>
      <w:r w:rsidR="005509A4">
        <w:rPr>
          <w:rFonts w:ascii="Arial" w:eastAsia="Calibri" w:hAnsi="Arial" w:cs="Arial"/>
          <w:sz w:val="24"/>
        </w:rPr>
        <w:t>,</w:t>
      </w:r>
      <w:r w:rsidR="007975DD">
        <w:rPr>
          <w:rFonts w:ascii="Arial" w:eastAsia="Calibri" w:hAnsi="Arial" w:cs="Arial"/>
          <w:sz w:val="24"/>
        </w:rPr>
        <w:t xml:space="preserve"> the</w:t>
      </w:r>
      <w:r w:rsidR="005509A4">
        <w:rPr>
          <w:rFonts w:ascii="Arial" w:eastAsia="Calibri" w:hAnsi="Arial" w:cs="Arial"/>
          <w:sz w:val="24"/>
        </w:rPr>
        <w:t>y</w:t>
      </w:r>
      <w:r w:rsidR="007975DD">
        <w:rPr>
          <w:rFonts w:ascii="Arial" w:eastAsia="Calibri" w:hAnsi="Arial" w:cs="Arial"/>
          <w:sz w:val="24"/>
        </w:rPr>
        <w:t xml:space="preserve"> </w:t>
      </w:r>
      <w:r w:rsidR="007747D4">
        <w:rPr>
          <w:rFonts w:ascii="Arial" w:eastAsia="Calibri" w:hAnsi="Arial" w:cs="Arial"/>
          <w:sz w:val="24"/>
        </w:rPr>
        <w:t>a</w:t>
      </w:r>
      <w:r w:rsidR="007975DD">
        <w:rPr>
          <w:rFonts w:ascii="Arial" w:eastAsia="Calibri" w:hAnsi="Arial" w:cs="Arial"/>
          <w:sz w:val="24"/>
        </w:rPr>
        <w:t>re more akin to a trial</w:t>
      </w:r>
      <w:r w:rsidR="00DE24CC">
        <w:rPr>
          <w:rFonts w:ascii="Arial" w:eastAsia="Calibri" w:hAnsi="Arial" w:cs="Arial"/>
          <w:sz w:val="24"/>
        </w:rPr>
        <w:t>,</w:t>
      </w:r>
      <w:r w:rsidR="007975DD">
        <w:rPr>
          <w:rFonts w:ascii="Arial" w:eastAsia="Calibri" w:hAnsi="Arial" w:cs="Arial"/>
          <w:sz w:val="24"/>
        </w:rPr>
        <w:t xml:space="preserve"> </w:t>
      </w:r>
      <w:r w:rsidR="001644CA">
        <w:rPr>
          <w:rFonts w:ascii="Arial" w:eastAsia="Calibri" w:hAnsi="Arial" w:cs="Arial"/>
          <w:sz w:val="24"/>
        </w:rPr>
        <w:t>as</w:t>
      </w:r>
      <w:r w:rsidR="007975DD">
        <w:rPr>
          <w:rFonts w:ascii="Arial" w:eastAsia="Calibri" w:hAnsi="Arial" w:cs="Arial"/>
          <w:sz w:val="24"/>
        </w:rPr>
        <w:t xml:space="preserve"> the appellant ha</w:t>
      </w:r>
      <w:r w:rsidR="007747D4">
        <w:rPr>
          <w:rFonts w:ascii="Arial" w:eastAsia="Calibri" w:hAnsi="Arial" w:cs="Arial"/>
          <w:sz w:val="24"/>
        </w:rPr>
        <w:t>s</w:t>
      </w:r>
      <w:r w:rsidR="007975DD">
        <w:rPr>
          <w:rFonts w:ascii="Arial" w:eastAsia="Calibri" w:hAnsi="Arial" w:cs="Arial"/>
          <w:sz w:val="24"/>
        </w:rPr>
        <w:t xml:space="preserve"> </w:t>
      </w:r>
      <w:r w:rsidR="00DE24CC">
        <w:rPr>
          <w:rFonts w:ascii="Arial" w:eastAsia="Calibri" w:hAnsi="Arial" w:cs="Arial"/>
          <w:sz w:val="24"/>
        </w:rPr>
        <w:t>the</w:t>
      </w:r>
      <w:r w:rsidR="007975DD">
        <w:rPr>
          <w:rFonts w:ascii="Arial" w:eastAsia="Calibri" w:hAnsi="Arial" w:cs="Arial"/>
          <w:sz w:val="24"/>
        </w:rPr>
        <w:t xml:space="preserve"> right to a full hearing </w:t>
      </w:r>
      <w:r w:rsidR="00AB71BA">
        <w:rPr>
          <w:rFonts w:ascii="Arial" w:eastAsia="Calibri" w:hAnsi="Arial" w:cs="Arial"/>
          <w:sz w:val="24"/>
        </w:rPr>
        <w:t xml:space="preserve">i.e. </w:t>
      </w:r>
      <w:r w:rsidR="007975DD">
        <w:rPr>
          <w:rFonts w:ascii="Arial" w:eastAsia="Calibri" w:hAnsi="Arial" w:cs="Arial"/>
          <w:sz w:val="24"/>
        </w:rPr>
        <w:t>a right to adduce and challenge evidence on issues raised in the appeal.</w:t>
      </w:r>
      <w:r w:rsidR="007747D4">
        <w:rPr>
          <w:rFonts w:ascii="Arial" w:eastAsia="Calibri" w:hAnsi="Arial" w:cs="Arial"/>
          <w:sz w:val="24"/>
        </w:rPr>
        <w:t xml:space="preserve"> </w:t>
      </w:r>
      <w:r w:rsidR="00B1457F">
        <w:rPr>
          <w:rFonts w:ascii="Arial" w:eastAsia="Calibri" w:hAnsi="Arial" w:cs="Arial"/>
          <w:sz w:val="24"/>
        </w:rPr>
        <w:t>Given the extensive powers which have been afforded to it, it</w:t>
      </w:r>
      <w:r w:rsidR="007747D4">
        <w:rPr>
          <w:rFonts w:ascii="Arial" w:eastAsia="Calibri" w:hAnsi="Arial" w:cs="Arial"/>
          <w:sz w:val="24"/>
        </w:rPr>
        <w:t xml:space="preserve"> has </w:t>
      </w:r>
      <w:r w:rsidR="00B1457F">
        <w:rPr>
          <w:rFonts w:ascii="Arial" w:eastAsia="Calibri" w:hAnsi="Arial" w:cs="Arial"/>
          <w:sz w:val="24"/>
        </w:rPr>
        <w:t xml:space="preserve">consequently </w:t>
      </w:r>
      <w:r w:rsidR="007747D4">
        <w:rPr>
          <w:rFonts w:ascii="Arial" w:eastAsia="Calibri" w:hAnsi="Arial" w:cs="Arial"/>
          <w:sz w:val="24"/>
        </w:rPr>
        <w:t>been described as a court of revision, rather than a court of appeal.</w:t>
      </w:r>
      <w:r w:rsidR="007747D4">
        <w:rPr>
          <w:rStyle w:val="FootnoteReference"/>
          <w:rFonts w:ascii="Arial" w:eastAsia="Calibri" w:hAnsi="Arial" w:cs="Arial"/>
          <w:sz w:val="24"/>
        </w:rPr>
        <w:footnoteReference w:id="28"/>
      </w:r>
    </w:p>
    <w:p w14:paraId="4A5B5F32" w14:textId="275D6718" w:rsidR="00AE6320"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45.</w:t>
      </w:r>
      <w:r>
        <w:rPr>
          <w:rFonts w:ascii="Arial" w:eastAsia="Calibri" w:hAnsi="Arial" w:cs="Arial"/>
          <w:sz w:val="24"/>
        </w:rPr>
        <w:tab/>
      </w:r>
      <w:r w:rsidR="00B1457F">
        <w:rPr>
          <w:rFonts w:ascii="Arial" w:eastAsia="Calibri" w:hAnsi="Arial" w:cs="Arial"/>
          <w:sz w:val="24"/>
        </w:rPr>
        <w:t>In the circumstances, i</w:t>
      </w:r>
      <w:r w:rsidR="00156C95">
        <w:rPr>
          <w:rFonts w:ascii="Arial" w:eastAsia="Calibri" w:hAnsi="Arial" w:cs="Arial"/>
          <w:sz w:val="24"/>
        </w:rPr>
        <w:t xml:space="preserve">t is trite that </w:t>
      </w:r>
      <w:r w:rsidR="00B1457F">
        <w:rPr>
          <w:rFonts w:ascii="Arial" w:eastAsia="Calibri" w:hAnsi="Arial" w:cs="Arial"/>
          <w:sz w:val="24"/>
        </w:rPr>
        <w:t xml:space="preserve">the Tax Court may exercise what would traditionally be defined as review powers, in a tax appeal which has been raised </w:t>
      </w:r>
      <w:r w:rsidR="00B1457F">
        <w:rPr>
          <w:rFonts w:ascii="Arial" w:eastAsia="Calibri" w:hAnsi="Arial" w:cs="Arial"/>
          <w:sz w:val="24"/>
        </w:rPr>
        <w:lastRenderedPageBreak/>
        <w:t>before it.</w:t>
      </w:r>
      <w:r w:rsidR="00B1457F">
        <w:rPr>
          <w:rStyle w:val="FootnoteReference"/>
          <w:rFonts w:ascii="Arial" w:eastAsia="Calibri" w:hAnsi="Arial" w:cs="Arial"/>
          <w:sz w:val="24"/>
        </w:rPr>
        <w:footnoteReference w:id="29"/>
      </w:r>
      <w:r w:rsidR="00B1457F">
        <w:rPr>
          <w:rFonts w:ascii="Arial" w:eastAsia="Calibri" w:hAnsi="Arial" w:cs="Arial"/>
          <w:sz w:val="24"/>
        </w:rPr>
        <w:t xml:space="preserve"> It is by now also well-established that such review powers include the power to determine both so-called PAJA reviews in terms of the grounds provided for in PAJA (these are set out in s 6 of PAJA and include complaints that the decision under challenge was arrived at without regard for relevant considerations, or by having regard to irrelevant ones, or </w:t>
      </w:r>
      <w:r w:rsidR="00B0774D">
        <w:rPr>
          <w:rFonts w:ascii="Arial" w:eastAsia="Calibri" w:hAnsi="Arial" w:cs="Arial"/>
          <w:sz w:val="24"/>
        </w:rPr>
        <w:t>without there being a rational connection between the material on which it was based and the conclusion which was arrived at by the decision-maker), as well as legality reviews i.e. reviews on the basis that the decision-maker acted outside of their powers.</w:t>
      </w:r>
      <w:r w:rsidR="00B0774D">
        <w:rPr>
          <w:rStyle w:val="FootnoteReference"/>
          <w:rFonts w:ascii="Arial" w:eastAsia="Calibri" w:hAnsi="Arial" w:cs="Arial"/>
          <w:sz w:val="24"/>
        </w:rPr>
        <w:footnoteReference w:id="30"/>
      </w:r>
      <w:r w:rsidR="009134BF">
        <w:rPr>
          <w:rFonts w:ascii="Arial" w:eastAsia="Calibri" w:hAnsi="Arial" w:cs="Arial"/>
          <w:sz w:val="24"/>
        </w:rPr>
        <w:t xml:space="preserve"> Legality reviews challenge the conduct of an official or organ of state on the basis that it constitutes the exercise of public power, whereas PAJA reviews do so on the basis that it constitutes the exercise of administrative action, as defined in terms of PAJA.  </w:t>
      </w:r>
    </w:p>
    <w:p w14:paraId="58E9A446" w14:textId="78BA8A6D" w:rsidR="00B627B8"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46.</w:t>
      </w:r>
      <w:r>
        <w:rPr>
          <w:rFonts w:ascii="Arial" w:eastAsia="Calibri" w:hAnsi="Arial" w:cs="Arial"/>
          <w:sz w:val="24"/>
        </w:rPr>
        <w:tab/>
      </w:r>
      <w:r w:rsidR="00B627B8">
        <w:rPr>
          <w:rFonts w:ascii="Arial" w:eastAsia="Calibri" w:hAnsi="Arial" w:cs="Arial"/>
          <w:sz w:val="24"/>
        </w:rPr>
        <w:t xml:space="preserve">Section 105 was introduced </w:t>
      </w:r>
      <w:r w:rsidR="003A20C7">
        <w:rPr>
          <w:rFonts w:ascii="Arial" w:eastAsia="Calibri" w:hAnsi="Arial" w:cs="Arial"/>
          <w:sz w:val="24"/>
        </w:rPr>
        <w:t>via</w:t>
      </w:r>
      <w:r w:rsidR="00B627B8">
        <w:rPr>
          <w:rFonts w:ascii="Arial" w:eastAsia="Calibri" w:hAnsi="Arial" w:cs="Arial"/>
          <w:sz w:val="24"/>
        </w:rPr>
        <w:t xml:space="preserve"> the TAA in October 201</w:t>
      </w:r>
      <w:r w:rsidR="003A20C7">
        <w:rPr>
          <w:rFonts w:ascii="Arial" w:eastAsia="Calibri" w:hAnsi="Arial" w:cs="Arial"/>
          <w:sz w:val="24"/>
        </w:rPr>
        <w:t>2</w:t>
      </w:r>
      <w:r w:rsidR="00B627B8">
        <w:rPr>
          <w:rFonts w:ascii="Arial" w:eastAsia="Calibri" w:hAnsi="Arial" w:cs="Arial"/>
          <w:sz w:val="24"/>
        </w:rPr>
        <w:t xml:space="preserve">. In its original formulation it provided that a taxpayer could </w:t>
      </w:r>
      <w:r w:rsidR="005B7ACD">
        <w:rPr>
          <w:rFonts w:ascii="Arial" w:eastAsia="Calibri" w:hAnsi="Arial" w:cs="Arial"/>
          <w:sz w:val="24"/>
        </w:rPr>
        <w:t>not</w:t>
      </w:r>
      <w:r w:rsidR="00B627B8">
        <w:rPr>
          <w:rFonts w:ascii="Arial" w:eastAsia="Calibri" w:hAnsi="Arial" w:cs="Arial"/>
          <w:sz w:val="24"/>
        </w:rPr>
        <w:t xml:space="preserve"> dispute an assessment, or a decision which could be objected to or appealed in terms of the Act, </w:t>
      </w:r>
      <w:r w:rsidR="005B7ACD">
        <w:rPr>
          <w:rFonts w:ascii="Arial" w:eastAsia="Calibri" w:hAnsi="Arial" w:cs="Arial"/>
          <w:sz w:val="24"/>
        </w:rPr>
        <w:t>except</w:t>
      </w:r>
      <w:r w:rsidR="00B627B8">
        <w:rPr>
          <w:rFonts w:ascii="Arial" w:eastAsia="Calibri" w:hAnsi="Arial" w:cs="Arial"/>
          <w:sz w:val="24"/>
        </w:rPr>
        <w:t xml:space="preserve"> by way of proceedings under the Act i.e by way of objection and appeal, </w:t>
      </w:r>
      <w:r w:rsidR="00B627B8" w:rsidRPr="00155717">
        <w:rPr>
          <w:rFonts w:ascii="Arial" w:eastAsia="Calibri" w:hAnsi="Arial" w:cs="Arial"/>
          <w:sz w:val="24"/>
          <w:u w:val="single"/>
        </w:rPr>
        <w:t>or</w:t>
      </w:r>
      <w:r w:rsidR="00B627B8">
        <w:rPr>
          <w:rFonts w:ascii="Arial" w:eastAsia="Calibri" w:hAnsi="Arial" w:cs="Arial"/>
          <w:sz w:val="24"/>
        </w:rPr>
        <w:t xml:space="preserve"> by way of application to the High Court for review.  Thus, the section </w:t>
      </w:r>
      <w:r w:rsidR="00E77237">
        <w:rPr>
          <w:rFonts w:ascii="Arial" w:eastAsia="Calibri" w:hAnsi="Arial" w:cs="Arial"/>
          <w:sz w:val="24"/>
        </w:rPr>
        <w:t xml:space="preserve">seemingly </w:t>
      </w:r>
      <w:r w:rsidR="00B627B8">
        <w:rPr>
          <w:rFonts w:ascii="Arial" w:eastAsia="Calibri" w:hAnsi="Arial" w:cs="Arial"/>
          <w:sz w:val="24"/>
        </w:rPr>
        <w:t xml:space="preserve">gave the taxpayer a choice: </w:t>
      </w:r>
      <w:r w:rsidR="009F7C22">
        <w:rPr>
          <w:rFonts w:ascii="Arial" w:eastAsia="Calibri" w:hAnsi="Arial" w:cs="Arial"/>
          <w:sz w:val="24"/>
        </w:rPr>
        <w:t>they</w:t>
      </w:r>
      <w:r w:rsidR="00B627B8">
        <w:rPr>
          <w:rFonts w:ascii="Arial" w:eastAsia="Calibri" w:hAnsi="Arial" w:cs="Arial"/>
          <w:sz w:val="24"/>
        </w:rPr>
        <w:t xml:space="preserve"> could elect to proceed either by way of the internal remed</w:t>
      </w:r>
      <w:r w:rsidR="001644CA">
        <w:rPr>
          <w:rFonts w:ascii="Arial" w:eastAsia="Calibri" w:hAnsi="Arial" w:cs="Arial"/>
          <w:sz w:val="24"/>
        </w:rPr>
        <w:t>ies</w:t>
      </w:r>
      <w:r w:rsidR="00B627B8">
        <w:rPr>
          <w:rFonts w:ascii="Arial" w:eastAsia="Calibri" w:hAnsi="Arial" w:cs="Arial"/>
          <w:sz w:val="24"/>
        </w:rPr>
        <w:t xml:space="preserve"> of objection and if that failed, appeal, before the Tax Court (before thereafter proceeding to the High </w:t>
      </w:r>
      <w:r w:rsidR="00BE1E14">
        <w:rPr>
          <w:rFonts w:ascii="Arial" w:eastAsia="Calibri" w:hAnsi="Arial" w:cs="Arial"/>
          <w:sz w:val="24"/>
        </w:rPr>
        <w:t>Court,</w:t>
      </w:r>
      <w:r w:rsidR="00B627B8">
        <w:rPr>
          <w:rFonts w:ascii="Arial" w:eastAsia="Calibri" w:hAnsi="Arial" w:cs="Arial"/>
          <w:sz w:val="24"/>
        </w:rPr>
        <w:t xml:space="preserve"> if necessary, by a way of review or appeal), or they could elect </w:t>
      </w:r>
      <w:r w:rsidR="001644CA">
        <w:rPr>
          <w:rFonts w:ascii="Arial" w:eastAsia="Calibri" w:hAnsi="Arial" w:cs="Arial"/>
          <w:sz w:val="24"/>
        </w:rPr>
        <w:t xml:space="preserve">instead </w:t>
      </w:r>
      <w:r w:rsidR="00B627B8">
        <w:rPr>
          <w:rFonts w:ascii="Arial" w:eastAsia="Calibri" w:hAnsi="Arial" w:cs="Arial"/>
          <w:sz w:val="24"/>
        </w:rPr>
        <w:t>to proceed directly to the High Court, on review.</w:t>
      </w:r>
    </w:p>
    <w:p w14:paraId="2CFC534D" w14:textId="19B61118" w:rsidR="00F83B15"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47.</w:t>
      </w:r>
      <w:r>
        <w:rPr>
          <w:rFonts w:ascii="Arial" w:eastAsia="Calibri" w:hAnsi="Arial" w:cs="Arial"/>
          <w:sz w:val="24"/>
        </w:rPr>
        <w:tab/>
      </w:r>
      <w:r w:rsidR="00B627B8">
        <w:rPr>
          <w:rFonts w:ascii="Arial" w:eastAsia="Calibri" w:hAnsi="Arial" w:cs="Arial"/>
          <w:sz w:val="24"/>
        </w:rPr>
        <w:t>In 2015 the section was amended</w:t>
      </w:r>
      <w:r w:rsidR="001C2B31">
        <w:rPr>
          <w:rFonts w:ascii="Arial" w:eastAsia="Calibri" w:hAnsi="Arial" w:cs="Arial"/>
          <w:sz w:val="24"/>
        </w:rPr>
        <w:t>,</w:t>
      </w:r>
      <w:r w:rsidR="00B627B8">
        <w:rPr>
          <w:rFonts w:ascii="Arial" w:eastAsia="Calibri" w:hAnsi="Arial" w:cs="Arial"/>
          <w:sz w:val="24"/>
        </w:rPr>
        <w:t xml:space="preserve"> </w:t>
      </w:r>
      <w:r w:rsidR="001C2B31">
        <w:rPr>
          <w:rFonts w:ascii="Arial" w:eastAsia="Calibri" w:hAnsi="Arial" w:cs="Arial"/>
          <w:sz w:val="24"/>
        </w:rPr>
        <w:t xml:space="preserve">as set out above, </w:t>
      </w:r>
      <w:r w:rsidR="00B627B8">
        <w:rPr>
          <w:rFonts w:ascii="Arial" w:eastAsia="Calibri" w:hAnsi="Arial" w:cs="Arial"/>
          <w:sz w:val="24"/>
        </w:rPr>
        <w:t>to read simply that</w:t>
      </w:r>
      <w:r w:rsidR="00B0774D">
        <w:rPr>
          <w:rFonts w:ascii="Arial" w:eastAsia="Calibri" w:hAnsi="Arial" w:cs="Arial"/>
          <w:sz w:val="24"/>
        </w:rPr>
        <w:t xml:space="preserve"> </w:t>
      </w:r>
      <w:r w:rsidR="00B627B8">
        <w:rPr>
          <w:rFonts w:ascii="Arial" w:eastAsia="Calibri" w:hAnsi="Arial" w:cs="Arial"/>
          <w:sz w:val="24"/>
        </w:rPr>
        <w:t xml:space="preserve">‘unless </w:t>
      </w:r>
      <w:r w:rsidR="00F83B15">
        <w:rPr>
          <w:rFonts w:ascii="Arial" w:eastAsia="Calibri" w:hAnsi="Arial" w:cs="Arial"/>
          <w:sz w:val="24"/>
        </w:rPr>
        <w:t xml:space="preserve">a High Court </w:t>
      </w:r>
      <w:r w:rsidR="00B627B8">
        <w:rPr>
          <w:rFonts w:ascii="Arial" w:eastAsia="Calibri" w:hAnsi="Arial" w:cs="Arial"/>
          <w:sz w:val="24"/>
        </w:rPr>
        <w:t>otherwise direct</w:t>
      </w:r>
      <w:r w:rsidR="00F83B15">
        <w:rPr>
          <w:rFonts w:ascii="Arial" w:eastAsia="Calibri" w:hAnsi="Arial" w:cs="Arial"/>
          <w:sz w:val="24"/>
        </w:rPr>
        <w:t>s</w:t>
      </w:r>
      <w:r w:rsidR="00B627B8">
        <w:rPr>
          <w:rFonts w:ascii="Arial" w:eastAsia="Calibri" w:hAnsi="Arial" w:cs="Arial"/>
          <w:sz w:val="24"/>
        </w:rPr>
        <w:t>’ a taxpayer c</w:t>
      </w:r>
      <w:r w:rsidR="00F83B15">
        <w:rPr>
          <w:rFonts w:ascii="Arial" w:eastAsia="Calibri" w:hAnsi="Arial" w:cs="Arial"/>
          <w:sz w:val="24"/>
        </w:rPr>
        <w:t>an</w:t>
      </w:r>
      <w:r w:rsidR="00B627B8">
        <w:rPr>
          <w:rFonts w:ascii="Arial" w:eastAsia="Calibri" w:hAnsi="Arial" w:cs="Arial"/>
          <w:sz w:val="24"/>
        </w:rPr>
        <w:t xml:space="preserve"> only dispute a tax assessment or a decision pertaining to their tax affairs</w:t>
      </w:r>
      <w:r w:rsidR="00E77237">
        <w:rPr>
          <w:rFonts w:ascii="Arial" w:eastAsia="Calibri" w:hAnsi="Arial" w:cs="Arial"/>
          <w:sz w:val="24"/>
        </w:rPr>
        <w:t>,</w:t>
      </w:r>
      <w:r w:rsidR="00B627B8">
        <w:rPr>
          <w:rFonts w:ascii="Arial" w:eastAsia="Calibri" w:hAnsi="Arial" w:cs="Arial"/>
          <w:sz w:val="24"/>
        </w:rPr>
        <w:t xml:space="preserve"> </w:t>
      </w:r>
      <w:r w:rsidR="00E77237">
        <w:rPr>
          <w:rFonts w:ascii="Arial" w:eastAsia="Calibri" w:hAnsi="Arial" w:cs="Arial"/>
          <w:sz w:val="24"/>
        </w:rPr>
        <w:t>w</w:t>
      </w:r>
      <w:r w:rsidR="00B627B8">
        <w:rPr>
          <w:rFonts w:ascii="Arial" w:eastAsia="Calibri" w:hAnsi="Arial" w:cs="Arial"/>
          <w:sz w:val="24"/>
        </w:rPr>
        <w:t>hich c</w:t>
      </w:r>
      <w:r w:rsidR="00CF76DB">
        <w:rPr>
          <w:rFonts w:ascii="Arial" w:eastAsia="Calibri" w:hAnsi="Arial" w:cs="Arial"/>
          <w:sz w:val="24"/>
        </w:rPr>
        <w:t>an</w:t>
      </w:r>
      <w:r w:rsidR="00B627B8">
        <w:rPr>
          <w:rFonts w:ascii="Arial" w:eastAsia="Calibri" w:hAnsi="Arial" w:cs="Arial"/>
          <w:sz w:val="24"/>
        </w:rPr>
        <w:t xml:space="preserve"> be objected to or appealed, in terms of the dispute resolution procedures provided for in the Act</w:t>
      </w:r>
      <w:r w:rsidR="00F83B15">
        <w:rPr>
          <w:rFonts w:ascii="Arial" w:eastAsia="Calibri" w:hAnsi="Arial" w:cs="Arial"/>
          <w:sz w:val="24"/>
        </w:rPr>
        <w:t xml:space="preserve"> i.e by way of objection to the Commissioner and failing success, an appeal to the Tax Court</w:t>
      </w:r>
      <w:r w:rsidR="00B627B8">
        <w:rPr>
          <w:rFonts w:ascii="Arial" w:eastAsia="Calibri" w:hAnsi="Arial" w:cs="Arial"/>
          <w:sz w:val="24"/>
        </w:rPr>
        <w:t xml:space="preserve">. </w:t>
      </w:r>
    </w:p>
    <w:p w14:paraId="4B37DBB2" w14:textId="3200831B" w:rsidR="00AB71BA" w:rsidRDefault="00AB71BA" w:rsidP="00AB71BA">
      <w:pPr>
        <w:adjustRightInd w:val="0"/>
        <w:spacing w:after="0" w:line="360" w:lineRule="auto"/>
        <w:contextualSpacing/>
        <w:jc w:val="both"/>
        <w:textAlignment w:val="baseline"/>
        <w:rPr>
          <w:rFonts w:ascii="Arial" w:eastAsia="Calibri" w:hAnsi="Arial" w:cs="Arial"/>
          <w:sz w:val="24"/>
        </w:rPr>
      </w:pPr>
      <w:r>
        <w:rPr>
          <w:rFonts w:ascii="Arial" w:eastAsia="Calibri" w:hAnsi="Arial" w:cs="Arial"/>
          <w:sz w:val="24"/>
        </w:rPr>
        <w:t>(iii)</w:t>
      </w:r>
      <w:r>
        <w:rPr>
          <w:rFonts w:ascii="Arial" w:eastAsia="Calibri" w:hAnsi="Arial" w:cs="Arial"/>
          <w:sz w:val="24"/>
        </w:rPr>
        <w:tab/>
      </w:r>
      <w:r w:rsidRPr="0099636E">
        <w:rPr>
          <w:rFonts w:ascii="Arial" w:eastAsia="Calibri" w:hAnsi="Arial" w:cs="Arial"/>
          <w:sz w:val="24"/>
          <w:u w:val="single"/>
        </w:rPr>
        <w:t>Ad</w:t>
      </w:r>
      <w:r w:rsidR="0099636E">
        <w:rPr>
          <w:rFonts w:ascii="Arial" w:eastAsia="Calibri" w:hAnsi="Arial" w:cs="Arial"/>
          <w:sz w:val="24"/>
          <w:u w:val="single"/>
        </w:rPr>
        <w:t xml:space="preserve"> </w:t>
      </w:r>
      <w:r w:rsidRPr="0099636E">
        <w:rPr>
          <w:rFonts w:ascii="Arial" w:eastAsia="Calibri" w:hAnsi="Arial" w:cs="Arial"/>
          <w:sz w:val="24"/>
          <w:u w:val="single"/>
        </w:rPr>
        <w:t>the case law</w:t>
      </w:r>
    </w:p>
    <w:p w14:paraId="5AFEAE60" w14:textId="2C6E2CB6" w:rsidR="00A13ACC"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lastRenderedPageBreak/>
        <w:t>48.</w:t>
      </w:r>
      <w:r>
        <w:rPr>
          <w:rFonts w:ascii="Arial" w:eastAsia="Calibri" w:hAnsi="Arial" w:cs="Arial"/>
          <w:sz w:val="24"/>
        </w:rPr>
        <w:tab/>
      </w:r>
      <w:r w:rsidR="00B627B8">
        <w:rPr>
          <w:rFonts w:ascii="Arial" w:eastAsia="Calibri" w:hAnsi="Arial" w:cs="Arial"/>
          <w:sz w:val="24"/>
        </w:rPr>
        <w:t>Between 201</w:t>
      </w:r>
      <w:r w:rsidR="001C2B31">
        <w:rPr>
          <w:rFonts w:ascii="Arial" w:eastAsia="Calibri" w:hAnsi="Arial" w:cs="Arial"/>
          <w:sz w:val="24"/>
        </w:rPr>
        <w:t>5</w:t>
      </w:r>
      <w:r w:rsidR="00B627B8">
        <w:rPr>
          <w:rFonts w:ascii="Arial" w:eastAsia="Calibri" w:hAnsi="Arial" w:cs="Arial"/>
          <w:sz w:val="24"/>
        </w:rPr>
        <w:t xml:space="preserve"> and 2020 the Gauteng High Court declined to entertain review applications that had been brought before it, in respect of tax assessments</w:t>
      </w:r>
      <w:r w:rsidR="00F83B15">
        <w:rPr>
          <w:rStyle w:val="FootnoteReference"/>
          <w:rFonts w:ascii="Arial" w:eastAsia="Calibri" w:hAnsi="Arial" w:cs="Arial"/>
          <w:sz w:val="24"/>
        </w:rPr>
        <w:footnoteReference w:id="31"/>
      </w:r>
      <w:r w:rsidR="00B627B8">
        <w:rPr>
          <w:rFonts w:ascii="Arial" w:eastAsia="Calibri" w:hAnsi="Arial" w:cs="Arial"/>
          <w:sz w:val="24"/>
        </w:rPr>
        <w:t xml:space="preserve"> </w:t>
      </w:r>
      <w:r w:rsidR="001644CA">
        <w:rPr>
          <w:rFonts w:ascii="Arial" w:eastAsia="Calibri" w:hAnsi="Arial" w:cs="Arial"/>
          <w:sz w:val="24"/>
        </w:rPr>
        <w:t>which</w:t>
      </w:r>
      <w:r w:rsidR="00B627B8">
        <w:rPr>
          <w:rFonts w:ascii="Arial" w:eastAsia="Calibri" w:hAnsi="Arial" w:cs="Arial"/>
          <w:sz w:val="24"/>
        </w:rPr>
        <w:t xml:space="preserve"> </w:t>
      </w:r>
      <w:r w:rsidR="00F83B15">
        <w:rPr>
          <w:rFonts w:ascii="Arial" w:eastAsia="Calibri" w:hAnsi="Arial" w:cs="Arial"/>
          <w:sz w:val="24"/>
        </w:rPr>
        <w:t>had been</w:t>
      </w:r>
      <w:r w:rsidR="00B627B8">
        <w:rPr>
          <w:rFonts w:ascii="Arial" w:eastAsia="Calibri" w:hAnsi="Arial" w:cs="Arial"/>
          <w:sz w:val="24"/>
        </w:rPr>
        <w:t xml:space="preserve"> levied by the Commissioner</w:t>
      </w:r>
      <w:r w:rsidR="00DC3517">
        <w:rPr>
          <w:rFonts w:ascii="Arial" w:eastAsia="Calibri" w:hAnsi="Arial" w:cs="Arial"/>
          <w:sz w:val="24"/>
        </w:rPr>
        <w:t>,</w:t>
      </w:r>
      <w:r w:rsidR="00B627B8">
        <w:rPr>
          <w:rFonts w:ascii="Arial" w:eastAsia="Calibri" w:hAnsi="Arial" w:cs="Arial"/>
          <w:sz w:val="24"/>
        </w:rPr>
        <w:t xml:space="preserve"> in </w:t>
      </w:r>
      <w:r w:rsidR="00CF76DB">
        <w:rPr>
          <w:rFonts w:ascii="Arial" w:eastAsia="Calibri" w:hAnsi="Arial" w:cs="Arial"/>
          <w:sz w:val="24"/>
        </w:rPr>
        <w:t xml:space="preserve">3 reported </w:t>
      </w:r>
      <w:r w:rsidR="00DC3517">
        <w:rPr>
          <w:rFonts w:ascii="Arial" w:eastAsia="Calibri" w:hAnsi="Arial" w:cs="Arial"/>
          <w:sz w:val="24"/>
        </w:rPr>
        <w:t>matters</w:t>
      </w:r>
      <w:r w:rsidR="00B627B8">
        <w:rPr>
          <w:rFonts w:ascii="Arial" w:eastAsia="Calibri" w:hAnsi="Arial" w:cs="Arial"/>
          <w:sz w:val="24"/>
        </w:rPr>
        <w:t xml:space="preserve"> that I was referred to</w:t>
      </w:r>
      <w:r w:rsidR="001C2B31">
        <w:rPr>
          <w:rFonts w:ascii="Arial" w:eastAsia="Calibri" w:hAnsi="Arial" w:cs="Arial"/>
          <w:sz w:val="24"/>
        </w:rPr>
        <w:t>,</w:t>
      </w:r>
      <w:r w:rsidR="00F83B15">
        <w:rPr>
          <w:rStyle w:val="FootnoteReference"/>
          <w:rFonts w:ascii="Arial" w:eastAsia="Calibri" w:hAnsi="Arial" w:cs="Arial"/>
          <w:sz w:val="24"/>
        </w:rPr>
        <w:footnoteReference w:id="32"/>
      </w:r>
      <w:r w:rsidR="00B627B8">
        <w:rPr>
          <w:rFonts w:ascii="Arial" w:eastAsia="Calibri" w:hAnsi="Arial" w:cs="Arial"/>
          <w:sz w:val="24"/>
        </w:rPr>
        <w:t xml:space="preserve"> on the basis that the applicants had not made out a case </w:t>
      </w:r>
      <w:r w:rsidR="00CF3F5B">
        <w:rPr>
          <w:rFonts w:ascii="Arial" w:eastAsia="Calibri" w:hAnsi="Arial" w:cs="Arial"/>
          <w:sz w:val="24"/>
        </w:rPr>
        <w:t>to be heard in the High Court</w:t>
      </w:r>
      <w:r w:rsidR="00B627B8">
        <w:rPr>
          <w:rFonts w:ascii="Arial" w:eastAsia="Calibri" w:hAnsi="Arial" w:cs="Arial"/>
          <w:sz w:val="24"/>
        </w:rPr>
        <w:t xml:space="preserve"> </w:t>
      </w:r>
      <w:r w:rsidR="001C2B31">
        <w:rPr>
          <w:rFonts w:ascii="Arial" w:eastAsia="Calibri" w:hAnsi="Arial" w:cs="Arial"/>
          <w:sz w:val="24"/>
        </w:rPr>
        <w:t xml:space="preserve">as they had </w:t>
      </w:r>
      <w:r w:rsidR="00B627B8">
        <w:rPr>
          <w:rFonts w:ascii="Arial" w:eastAsia="Calibri" w:hAnsi="Arial" w:cs="Arial"/>
          <w:sz w:val="24"/>
        </w:rPr>
        <w:t xml:space="preserve">internal remedies </w:t>
      </w:r>
      <w:r w:rsidR="001C2B31">
        <w:rPr>
          <w:rFonts w:ascii="Arial" w:eastAsia="Calibri" w:hAnsi="Arial" w:cs="Arial"/>
          <w:sz w:val="24"/>
        </w:rPr>
        <w:t xml:space="preserve">available to them </w:t>
      </w:r>
      <w:r w:rsidR="00B627B8">
        <w:rPr>
          <w:rFonts w:ascii="Arial" w:eastAsia="Calibri" w:hAnsi="Arial" w:cs="Arial"/>
          <w:sz w:val="24"/>
        </w:rPr>
        <w:t>in terms of the TAA</w:t>
      </w:r>
      <w:r w:rsidR="00CF76DB">
        <w:rPr>
          <w:rFonts w:ascii="Arial" w:eastAsia="Calibri" w:hAnsi="Arial" w:cs="Arial"/>
          <w:sz w:val="24"/>
        </w:rPr>
        <w:t>,</w:t>
      </w:r>
      <w:r w:rsidR="009241C3">
        <w:rPr>
          <w:rFonts w:ascii="Arial" w:eastAsia="Calibri" w:hAnsi="Arial" w:cs="Arial"/>
          <w:sz w:val="24"/>
        </w:rPr>
        <w:t xml:space="preserve"> which they had not exercised</w:t>
      </w:r>
      <w:r w:rsidR="00B627B8">
        <w:rPr>
          <w:rFonts w:ascii="Arial" w:eastAsia="Calibri" w:hAnsi="Arial" w:cs="Arial"/>
          <w:sz w:val="24"/>
        </w:rPr>
        <w:t xml:space="preserve">. </w:t>
      </w:r>
      <w:r w:rsidR="00AB71BA">
        <w:rPr>
          <w:rFonts w:ascii="Arial" w:eastAsia="Calibri" w:hAnsi="Arial" w:cs="Arial"/>
          <w:sz w:val="24"/>
        </w:rPr>
        <w:t>F</w:t>
      </w:r>
      <w:r w:rsidR="00B627B8">
        <w:rPr>
          <w:rFonts w:ascii="Arial" w:eastAsia="Calibri" w:hAnsi="Arial" w:cs="Arial"/>
          <w:sz w:val="24"/>
        </w:rPr>
        <w:t>rom a perusal of</w:t>
      </w:r>
      <w:r w:rsidR="00CF76DB">
        <w:rPr>
          <w:rFonts w:ascii="Arial" w:eastAsia="Calibri" w:hAnsi="Arial" w:cs="Arial"/>
          <w:sz w:val="24"/>
        </w:rPr>
        <w:t xml:space="preserve"> the decisions in</w:t>
      </w:r>
      <w:r w:rsidR="00B627B8">
        <w:rPr>
          <w:rFonts w:ascii="Arial" w:eastAsia="Calibri" w:hAnsi="Arial" w:cs="Arial"/>
          <w:sz w:val="24"/>
        </w:rPr>
        <w:t xml:space="preserve"> these matters</w:t>
      </w:r>
      <w:r w:rsidR="009241C3">
        <w:rPr>
          <w:rFonts w:ascii="Arial" w:eastAsia="Calibri" w:hAnsi="Arial" w:cs="Arial"/>
          <w:sz w:val="24"/>
        </w:rPr>
        <w:t>,</w:t>
      </w:r>
      <w:r w:rsidR="00B627B8">
        <w:rPr>
          <w:rFonts w:ascii="Arial" w:eastAsia="Calibri" w:hAnsi="Arial" w:cs="Arial"/>
          <w:sz w:val="24"/>
        </w:rPr>
        <w:t xml:space="preserve"> </w:t>
      </w:r>
      <w:r w:rsidR="009241C3">
        <w:rPr>
          <w:rFonts w:ascii="Arial" w:eastAsia="Calibri" w:hAnsi="Arial" w:cs="Arial"/>
          <w:sz w:val="24"/>
        </w:rPr>
        <w:t xml:space="preserve">which concerned reviews which had been brought in terms of PAJA, </w:t>
      </w:r>
      <w:r w:rsidR="00AB71BA">
        <w:rPr>
          <w:rFonts w:ascii="Arial" w:eastAsia="Calibri" w:hAnsi="Arial" w:cs="Arial"/>
          <w:sz w:val="24"/>
        </w:rPr>
        <w:t xml:space="preserve">it seems </w:t>
      </w:r>
      <w:r w:rsidR="00F24E33">
        <w:rPr>
          <w:rFonts w:ascii="Arial" w:eastAsia="Calibri" w:hAnsi="Arial" w:cs="Arial"/>
          <w:sz w:val="24"/>
        </w:rPr>
        <w:t>that extensive</w:t>
      </w:r>
      <w:r w:rsidR="001C2B31">
        <w:rPr>
          <w:rFonts w:ascii="Arial" w:eastAsia="Calibri" w:hAnsi="Arial" w:cs="Arial"/>
          <w:sz w:val="24"/>
        </w:rPr>
        <w:t xml:space="preserve"> consideration</w:t>
      </w:r>
      <w:r w:rsidR="00B627B8">
        <w:rPr>
          <w:rFonts w:ascii="Arial" w:eastAsia="Calibri" w:hAnsi="Arial" w:cs="Arial"/>
          <w:sz w:val="24"/>
        </w:rPr>
        <w:t xml:space="preserve"> </w:t>
      </w:r>
      <w:r w:rsidR="00755DCF">
        <w:rPr>
          <w:rFonts w:ascii="Arial" w:eastAsia="Calibri" w:hAnsi="Arial" w:cs="Arial"/>
          <w:sz w:val="24"/>
        </w:rPr>
        <w:t xml:space="preserve">was </w:t>
      </w:r>
      <w:r w:rsidR="00FA69EB">
        <w:rPr>
          <w:rFonts w:ascii="Arial" w:eastAsia="Calibri" w:hAnsi="Arial" w:cs="Arial"/>
          <w:sz w:val="24"/>
        </w:rPr>
        <w:t xml:space="preserve">not </w:t>
      </w:r>
      <w:r w:rsidR="00755DCF">
        <w:rPr>
          <w:rFonts w:ascii="Arial" w:eastAsia="Calibri" w:hAnsi="Arial" w:cs="Arial"/>
          <w:sz w:val="24"/>
        </w:rPr>
        <w:t>given</w:t>
      </w:r>
      <w:r w:rsidR="007C6207">
        <w:rPr>
          <w:rFonts w:ascii="Arial" w:eastAsia="Calibri" w:hAnsi="Arial" w:cs="Arial"/>
          <w:sz w:val="24"/>
        </w:rPr>
        <w:t xml:space="preserve"> </w:t>
      </w:r>
      <w:r w:rsidR="00A24AAA">
        <w:rPr>
          <w:rFonts w:ascii="Arial" w:eastAsia="Calibri" w:hAnsi="Arial" w:cs="Arial"/>
          <w:sz w:val="24"/>
        </w:rPr>
        <w:t xml:space="preserve">in them </w:t>
      </w:r>
      <w:r w:rsidR="00AB71BA">
        <w:rPr>
          <w:rFonts w:ascii="Arial" w:eastAsia="Calibri" w:hAnsi="Arial" w:cs="Arial"/>
          <w:sz w:val="24"/>
        </w:rPr>
        <w:t xml:space="preserve">as </w:t>
      </w:r>
      <w:r w:rsidR="007C6207">
        <w:rPr>
          <w:rFonts w:ascii="Arial" w:eastAsia="Calibri" w:hAnsi="Arial" w:cs="Arial"/>
          <w:sz w:val="24"/>
        </w:rPr>
        <w:t>to</w:t>
      </w:r>
      <w:r w:rsidR="00B627B8">
        <w:rPr>
          <w:rFonts w:ascii="Arial" w:eastAsia="Calibri" w:hAnsi="Arial" w:cs="Arial"/>
          <w:sz w:val="24"/>
        </w:rPr>
        <w:t xml:space="preserve"> the </w:t>
      </w:r>
      <w:r w:rsidR="00755DCF">
        <w:rPr>
          <w:rFonts w:ascii="Arial" w:eastAsia="Calibri" w:hAnsi="Arial" w:cs="Arial"/>
          <w:sz w:val="24"/>
        </w:rPr>
        <w:t xml:space="preserve">ambit of the </w:t>
      </w:r>
      <w:r w:rsidR="00B627B8">
        <w:rPr>
          <w:rFonts w:ascii="Arial" w:eastAsia="Calibri" w:hAnsi="Arial" w:cs="Arial"/>
          <w:sz w:val="24"/>
        </w:rPr>
        <w:t xml:space="preserve">requirement of exceptional circumstances, </w:t>
      </w:r>
      <w:r w:rsidR="00155717">
        <w:rPr>
          <w:rFonts w:ascii="Arial" w:eastAsia="Calibri" w:hAnsi="Arial" w:cs="Arial"/>
          <w:sz w:val="24"/>
        </w:rPr>
        <w:t xml:space="preserve">which </w:t>
      </w:r>
      <w:r w:rsidR="009241C3">
        <w:rPr>
          <w:rFonts w:ascii="Arial" w:eastAsia="Calibri" w:hAnsi="Arial" w:cs="Arial"/>
          <w:sz w:val="24"/>
        </w:rPr>
        <w:t>is</w:t>
      </w:r>
      <w:r w:rsidR="00155717">
        <w:rPr>
          <w:rFonts w:ascii="Arial" w:eastAsia="Calibri" w:hAnsi="Arial" w:cs="Arial"/>
          <w:sz w:val="24"/>
        </w:rPr>
        <w:t xml:space="preserve"> </w:t>
      </w:r>
      <w:r w:rsidR="00B627B8">
        <w:rPr>
          <w:rFonts w:ascii="Arial" w:eastAsia="Calibri" w:hAnsi="Arial" w:cs="Arial"/>
          <w:sz w:val="24"/>
        </w:rPr>
        <w:t>necessary for an exemption to be granted from compliance with internal remedies</w:t>
      </w:r>
      <w:r w:rsidR="001C2B31">
        <w:rPr>
          <w:rFonts w:ascii="Arial" w:eastAsia="Calibri" w:hAnsi="Arial" w:cs="Arial"/>
          <w:sz w:val="24"/>
        </w:rPr>
        <w:t xml:space="preserve">, where a </w:t>
      </w:r>
      <w:r w:rsidR="009241C3">
        <w:rPr>
          <w:rFonts w:ascii="Arial" w:eastAsia="Calibri" w:hAnsi="Arial" w:cs="Arial"/>
          <w:sz w:val="24"/>
        </w:rPr>
        <w:t xml:space="preserve">PAJA </w:t>
      </w:r>
      <w:r w:rsidR="001C2B31">
        <w:rPr>
          <w:rFonts w:ascii="Arial" w:eastAsia="Calibri" w:hAnsi="Arial" w:cs="Arial"/>
          <w:sz w:val="24"/>
        </w:rPr>
        <w:t>review ha</w:t>
      </w:r>
      <w:r w:rsidR="009241C3">
        <w:rPr>
          <w:rFonts w:ascii="Arial" w:eastAsia="Calibri" w:hAnsi="Arial" w:cs="Arial"/>
          <w:sz w:val="24"/>
        </w:rPr>
        <w:t>s</w:t>
      </w:r>
      <w:r w:rsidR="001C2B31">
        <w:rPr>
          <w:rFonts w:ascii="Arial" w:eastAsia="Calibri" w:hAnsi="Arial" w:cs="Arial"/>
          <w:sz w:val="24"/>
        </w:rPr>
        <w:t xml:space="preserve"> been brought</w:t>
      </w:r>
      <w:r w:rsidR="00B627B8">
        <w:rPr>
          <w:rFonts w:ascii="Arial" w:eastAsia="Calibri" w:hAnsi="Arial" w:cs="Arial"/>
          <w:sz w:val="24"/>
        </w:rPr>
        <w:t>.</w:t>
      </w:r>
    </w:p>
    <w:p w14:paraId="6E8D01A9" w14:textId="57C7F0CF" w:rsidR="00155717"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49.</w:t>
      </w:r>
      <w:r>
        <w:rPr>
          <w:rFonts w:ascii="Arial" w:eastAsia="Calibri" w:hAnsi="Arial" w:cs="Arial"/>
          <w:sz w:val="24"/>
        </w:rPr>
        <w:tab/>
      </w:r>
      <w:r w:rsidR="00CF3F5B">
        <w:rPr>
          <w:rFonts w:ascii="Arial" w:eastAsia="Calibri" w:hAnsi="Arial" w:cs="Arial"/>
          <w:sz w:val="24"/>
        </w:rPr>
        <w:t xml:space="preserve">It </w:t>
      </w:r>
      <w:r w:rsidR="00755DCF">
        <w:rPr>
          <w:rFonts w:ascii="Arial" w:eastAsia="Calibri" w:hAnsi="Arial" w:cs="Arial"/>
          <w:sz w:val="24"/>
        </w:rPr>
        <w:t xml:space="preserve">further </w:t>
      </w:r>
      <w:r w:rsidR="00CF3F5B">
        <w:rPr>
          <w:rFonts w:ascii="Arial" w:eastAsia="Calibri" w:hAnsi="Arial" w:cs="Arial"/>
          <w:sz w:val="24"/>
        </w:rPr>
        <w:t xml:space="preserve">seems that, until the decision of the selfsame Court in 2021 in the matter of </w:t>
      </w:r>
      <w:r w:rsidR="00CF3F5B" w:rsidRPr="00CF3F5B">
        <w:rPr>
          <w:rFonts w:ascii="Arial" w:eastAsia="Calibri" w:hAnsi="Arial" w:cs="Arial"/>
          <w:i/>
          <w:iCs/>
          <w:sz w:val="24"/>
        </w:rPr>
        <w:t>ABSA Bank v Commissioner, South African Revenue Service</w:t>
      </w:r>
      <w:r w:rsidR="00041099">
        <w:rPr>
          <w:rFonts w:ascii="Arial" w:eastAsia="Calibri" w:hAnsi="Arial" w:cs="Arial"/>
          <w:i/>
          <w:iCs/>
          <w:sz w:val="24"/>
        </w:rPr>
        <w:t>,</w:t>
      </w:r>
      <w:r w:rsidR="00CF3F5B" w:rsidRPr="00CF3F5B">
        <w:rPr>
          <w:rStyle w:val="FootnoteReference"/>
          <w:rFonts w:ascii="Arial" w:eastAsia="Calibri" w:hAnsi="Arial" w:cs="Arial"/>
          <w:sz w:val="24"/>
        </w:rPr>
        <w:footnoteReference w:id="33"/>
      </w:r>
      <w:r w:rsidR="00CF3F5B" w:rsidRPr="00CF3F5B">
        <w:rPr>
          <w:rFonts w:ascii="Arial" w:eastAsia="Calibri" w:hAnsi="Arial" w:cs="Arial"/>
          <w:sz w:val="24"/>
        </w:rPr>
        <w:t xml:space="preserve"> </w:t>
      </w:r>
      <w:r w:rsidR="00CF3F5B">
        <w:rPr>
          <w:rFonts w:ascii="Arial" w:eastAsia="Calibri" w:hAnsi="Arial" w:cs="Arial"/>
          <w:sz w:val="24"/>
        </w:rPr>
        <w:t xml:space="preserve">no consideration was given to </w:t>
      </w:r>
      <w:r w:rsidR="00DC3517">
        <w:rPr>
          <w:rFonts w:ascii="Arial" w:eastAsia="Calibri" w:hAnsi="Arial" w:cs="Arial"/>
          <w:sz w:val="24"/>
        </w:rPr>
        <w:t xml:space="preserve">the question of </w:t>
      </w:r>
      <w:r w:rsidR="00CF3F5B">
        <w:rPr>
          <w:rFonts w:ascii="Arial" w:eastAsia="Calibri" w:hAnsi="Arial" w:cs="Arial"/>
          <w:sz w:val="24"/>
        </w:rPr>
        <w:t xml:space="preserve">whether in the case of a legality review </w:t>
      </w:r>
      <w:r w:rsidR="00DC3517">
        <w:rPr>
          <w:rFonts w:ascii="Arial" w:eastAsia="Calibri" w:hAnsi="Arial" w:cs="Arial"/>
          <w:sz w:val="24"/>
        </w:rPr>
        <w:t xml:space="preserve">in the High Court </w:t>
      </w:r>
      <w:r w:rsidR="009134BF">
        <w:rPr>
          <w:rFonts w:ascii="Arial" w:eastAsia="Calibri" w:hAnsi="Arial" w:cs="Arial"/>
          <w:sz w:val="24"/>
        </w:rPr>
        <w:t xml:space="preserve">of </w:t>
      </w:r>
      <w:r w:rsidR="007C6207">
        <w:rPr>
          <w:rFonts w:ascii="Arial" w:eastAsia="Calibri" w:hAnsi="Arial" w:cs="Arial"/>
          <w:sz w:val="24"/>
        </w:rPr>
        <w:t>a</w:t>
      </w:r>
      <w:r w:rsidR="009134BF">
        <w:rPr>
          <w:rFonts w:ascii="Arial" w:eastAsia="Calibri" w:hAnsi="Arial" w:cs="Arial"/>
          <w:sz w:val="24"/>
        </w:rPr>
        <w:t xml:space="preserve"> decision of the Commissioner </w:t>
      </w:r>
      <w:r w:rsidR="00CF3F5B">
        <w:rPr>
          <w:rFonts w:ascii="Arial" w:eastAsia="Calibri" w:hAnsi="Arial" w:cs="Arial"/>
          <w:sz w:val="24"/>
        </w:rPr>
        <w:t xml:space="preserve">(the most classic </w:t>
      </w:r>
      <w:r w:rsidR="009F7C22">
        <w:rPr>
          <w:rFonts w:ascii="Arial" w:eastAsia="Calibri" w:hAnsi="Arial" w:cs="Arial"/>
          <w:sz w:val="24"/>
        </w:rPr>
        <w:t xml:space="preserve">instance </w:t>
      </w:r>
      <w:r w:rsidR="00CF3F5B">
        <w:rPr>
          <w:rFonts w:ascii="Arial" w:eastAsia="Calibri" w:hAnsi="Arial" w:cs="Arial"/>
          <w:sz w:val="24"/>
        </w:rPr>
        <w:t xml:space="preserve">of which is one where it is alleged that the Commissioner </w:t>
      </w:r>
      <w:r w:rsidR="00DC3517">
        <w:rPr>
          <w:rFonts w:ascii="Arial" w:eastAsia="Calibri" w:hAnsi="Arial" w:cs="Arial"/>
          <w:sz w:val="24"/>
        </w:rPr>
        <w:t xml:space="preserve">has </w:t>
      </w:r>
      <w:r w:rsidR="00CF3F5B">
        <w:rPr>
          <w:rFonts w:ascii="Arial" w:eastAsia="Calibri" w:hAnsi="Arial" w:cs="Arial"/>
          <w:sz w:val="24"/>
        </w:rPr>
        <w:t xml:space="preserve">acted </w:t>
      </w:r>
      <w:r w:rsidR="00CF3F5B" w:rsidRPr="00CF3F5B">
        <w:rPr>
          <w:rFonts w:ascii="Arial" w:eastAsia="Calibri" w:hAnsi="Arial" w:cs="Arial"/>
          <w:i/>
          <w:iCs/>
          <w:sz w:val="24"/>
        </w:rPr>
        <w:t>ultra</w:t>
      </w:r>
      <w:r w:rsidR="00CF3F5B">
        <w:rPr>
          <w:rFonts w:ascii="Arial" w:eastAsia="Calibri" w:hAnsi="Arial" w:cs="Arial"/>
          <w:sz w:val="24"/>
        </w:rPr>
        <w:t xml:space="preserve"> </w:t>
      </w:r>
      <w:r w:rsidR="00CF3F5B" w:rsidRPr="00CF3F5B">
        <w:rPr>
          <w:rFonts w:ascii="Arial" w:eastAsia="Calibri" w:hAnsi="Arial" w:cs="Arial"/>
          <w:i/>
          <w:iCs/>
          <w:sz w:val="24"/>
        </w:rPr>
        <w:t>vires</w:t>
      </w:r>
      <w:r w:rsidR="00CF3F5B">
        <w:rPr>
          <w:rFonts w:ascii="Arial" w:eastAsia="Calibri" w:hAnsi="Arial" w:cs="Arial"/>
          <w:sz w:val="24"/>
        </w:rPr>
        <w:t xml:space="preserve"> by exceeding his statutory powers)</w:t>
      </w:r>
      <w:r w:rsidR="00DC3517">
        <w:rPr>
          <w:rFonts w:ascii="Arial" w:eastAsia="Calibri" w:hAnsi="Arial" w:cs="Arial"/>
          <w:sz w:val="24"/>
        </w:rPr>
        <w:t xml:space="preserve">, </w:t>
      </w:r>
      <w:r w:rsidR="00800A7D">
        <w:rPr>
          <w:rFonts w:ascii="Arial" w:eastAsia="Calibri" w:hAnsi="Arial" w:cs="Arial"/>
          <w:sz w:val="24"/>
        </w:rPr>
        <w:t xml:space="preserve">in contrast to a PAJA review, </w:t>
      </w:r>
      <w:r w:rsidR="00DC3517">
        <w:rPr>
          <w:rFonts w:ascii="Arial" w:eastAsia="Calibri" w:hAnsi="Arial" w:cs="Arial"/>
          <w:sz w:val="24"/>
        </w:rPr>
        <w:t>it was necessary for an applicant to show the existence of exceptional circumstances, given that no such requirement is expressly set out in s 105 of the TAA</w:t>
      </w:r>
      <w:r w:rsidR="00A13ACC">
        <w:rPr>
          <w:rFonts w:ascii="Arial" w:eastAsia="Calibri" w:hAnsi="Arial" w:cs="Arial"/>
          <w:sz w:val="24"/>
        </w:rPr>
        <w:t xml:space="preserve">, </w:t>
      </w:r>
      <w:r w:rsidR="00A24AAA">
        <w:rPr>
          <w:rFonts w:ascii="Arial" w:eastAsia="Calibri" w:hAnsi="Arial" w:cs="Arial"/>
          <w:sz w:val="24"/>
        </w:rPr>
        <w:t>unlike</w:t>
      </w:r>
      <w:r w:rsidR="00A13ACC">
        <w:rPr>
          <w:rFonts w:ascii="Arial" w:eastAsia="Calibri" w:hAnsi="Arial" w:cs="Arial"/>
          <w:sz w:val="24"/>
        </w:rPr>
        <w:t xml:space="preserve"> s 7(2)(c) of PAJA</w:t>
      </w:r>
      <w:r w:rsidR="00DC3517">
        <w:rPr>
          <w:rFonts w:ascii="Arial" w:eastAsia="Calibri" w:hAnsi="Arial" w:cs="Arial"/>
          <w:sz w:val="24"/>
        </w:rPr>
        <w:t xml:space="preserve">. </w:t>
      </w:r>
      <w:r w:rsidR="00CF3F5B">
        <w:rPr>
          <w:rFonts w:ascii="Arial" w:eastAsia="Calibri" w:hAnsi="Arial" w:cs="Arial"/>
          <w:sz w:val="24"/>
        </w:rPr>
        <w:t xml:space="preserve">    </w:t>
      </w:r>
      <w:r w:rsidR="00B627B8">
        <w:rPr>
          <w:rFonts w:ascii="Arial" w:eastAsia="Calibri" w:hAnsi="Arial" w:cs="Arial"/>
          <w:sz w:val="24"/>
        </w:rPr>
        <w:t xml:space="preserve"> </w:t>
      </w:r>
    </w:p>
    <w:p w14:paraId="7EAE2ABD" w14:textId="746B69D4" w:rsidR="009707F0"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50.</w:t>
      </w:r>
      <w:r>
        <w:rPr>
          <w:rFonts w:ascii="Arial" w:eastAsia="Calibri" w:hAnsi="Arial" w:cs="Arial"/>
          <w:sz w:val="24"/>
        </w:rPr>
        <w:tab/>
      </w:r>
      <w:r w:rsidR="009E0ECA">
        <w:rPr>
          <w:rFonts w:ascii="Arial" w:eastAsia="Calibri" w:hAnsi="Arial" w:cs="Arial"/>
          <w:sz w:val="24"/>
        </w:rPr>
        <w:t xml:space="preserve">As in this matter, in </w:t>
      </w:r>
      <w:r w:rsidR="009E0ECA" w:rsidRPr="009E0ECA">
        <w:rPr>
          <w:rFonts w:ascii="Arial" w:eastAsia="Calibri" w:hAnsi="Arial" w:cs="Arial"/>
          <w:i/>
          <w:iCs/>
          <w:sz w:val="24"/>
        </w:rPr>
        <w:t>ABSA</w:t>
      </w:r>
      <w:r w:rsidR="009E0ECA">
        <w:rPr>
          <w:rFonts w:ascii="Arial" w:eastAsia="Calibri" w:hAnsi="Arial" w:cs="Arial"/>
          <w:sz w:val="24"/>
        </w:rPr>
        <w:t xml:space="preserve"> the applicant had sought to </w:t>
      </w:r>
      <w:r w:rsidR="009707F0">
        <w:rPr>
          <w:rFonts w:ascii="Arial" w:eastAsia="Calibri" w:hAnsi="Arial" w:cs="Arial"/>
          <w:sz w:val="24"/>
        </w:rPr>
        <w:t xml:space="preserve">challenge </w:t>
      </w:r>
      <w:r w:rsidR="009E0ECA">
        <w:rPr>
          <w:rFonts w:ascii="Arial" w:eastAsia="Calibri" w:hAnsi="Arial" w:cs="Arial"/>
          <w:sz w:val="24"/>
        </w:rPr>
        <w:t>a decision by the Commissioner that it had been party to an alleged impermissible tax avoidance arrangement, which had resulted in dividends being paid out, free of dividend tax.</w:t>
      </w:r>
      <w:r w:rsidR="001C2B31">
        <w:rPr>
          <w:rFonts w:ascii="Arial" w:eastAsia="Calibri" w:hAnsi="Arial" w:cs="Arial"/>
          <w:sz w:val="24"/>
        </w:rPr>
        <w:t xml:space="preserve"> </w:t>
      </w:r>
      <w:r w:rsidR="007C6207">
        <w:rPr>
          <w:rFonts w:ascii="Arial" w:eastAsia="Calibri" w:hAnsi="Arial" w:cs="Arial"/>
          <w:sz w:val="24"/>
        </w:rPr>
        <w:t xml:space="preserve">It sought to review and set aside both the </w:t>
      </w:r>
      <w:r w:rsidR="00041099">
        <w:rPr>
          <w:rFonts w:ascii="Arial" w:eastAsia="Calibri" w:hAnsi="Arial" w:cs="Arial"/>
          <w:sz w:val="24"/>
        </w:rPr>
        <w:t xml:space="preserve">Commissioner’s </w:t>
      </w:r>
      <w:r w:rsidR="009707F0">
        <w:rPr>
          <w:rFonts w:ascii="Arial" w:eastAsia="Calibri" w:hAnsi="Arial" w:cs="Arial"/>
          <w:sz w:val="24"/>
        </w:rPr>
        <w:t>refusal to withdraw</w:t>
      </w:r>
      <w:r w:rsidR="007C6207">
        <w:rPr>
          <w:rFonts w:ascii="Arial" w:eastAsia="Calibri" w:hAnsi="Arial" w:cs="Arial"/>
          <w:sz w:val="24"/>
        </w:rPr>
        <w:t xml:space="preserve"> </w:t>
      </w:r>
      <w:r w:rsidR="00F13B7B">
        <w:rPr>
          <w:rFonts w:ascii="Arial" w:eastAsia="Calibri" w:hAnsi="Arial" w:cs="Arial"/>
          <w:sz w:val="24"/>
        </w:rPr>
        <w:t>a</w:t>
      </w:r>
      <w:r w:rsidR="00041099">
        <w:rPr>
          <w:rFonts w:ascii="Arial" w:eastAsia="Calibri" w:hAnsi="Arial" w:cs="Arial"/>
          <w:sz w:val="24"/>
        </w:rPr>
        <w:t xml:space="preserve"> </w:t>
      </w:r>
      <w:r w:rsidR="007C6207">
        <w:rPr>
          <w:rFonts w:ascii="Arial" w:eastAsia="Calibri" w:hAnsi="Arial" w:cs="Arial"/>
          <w:sz w:val="24"/>
        </w:rPr>
        <w:t>notice in terms of the GAAR provisions</w:t>
      </w:r>
      <w:r w:rsidR="009707F0">
        <w:rPr>
          <w:rFonts w:ascii="Arial" w:eastAsia="Calibri" w:hAnsi="Arial" w:cs="Arial"/>
          <w:sz w:val="24"/>
        </w:rPr>
        <w:t>,</w:t>
      </w:r>
      <w:r w:rsidR="009707F0">
        <w:rPr>
          <w:rStyle w:val="FootnoteReference"/>
          <w:rFonts w:ascii="Arial" w:eastAsia="Calibri" w:hAnsi="Arial" w:cs="Arial"/>
          <w:sz w:val="24"/>
        </w:rPr>
        <w:footnoteReference w:id="34"/>
      </w:r>
      <w:r w:rsidR="009707F0">
        <w:rPr>
          <w:rFonts w:ascii="Arial" w:eastAsia="Calibri" w:hAnsi="Arial" w:cs="Arial"/>
          <w:sz w:val="24"/>
        </w:rPr>
        <w:t xml:space="preserve"> </w:t>
      </w:r>
      <w:r w:rsidR="007C6207">
        <w:rPr>
          <w:rFonts w:ascii="Arial" w:eastAsia="Calibri" w:hAnsi="Arial" w:cs="Arial"/>
          <w:sz w:val="24"/>
        </w:rPr>
        <w:t xml:space="preserve">as well as the issue of </w:t>
      </w:r>
      <w:r w:rsidR="009707F0">
        <w:rPr>
          <w:rFonts w:ascii="Arial" w:eastAsia="Calibri" w:hAnsi="Arial" w:cs="Arial"/>
          <w:sz w:val="24"/>
        </w:rPr>
        <w:t xml:space="preserve">letters of </w:t>
      </w:r>
      <w:r w:rsidR="007C6207">
        <w:rPr>
          <w:rFonts w:ascii="Arial" w:eastAsia="Calibri" w:hAnsi="Arial" w:cs="Arial"/>
          <w:sz w:val="24"/>
        </w:rPr>
        <w:t>assessments</w:t>
      </w:r>
      <w:r w:rsidR="009707F0">
        <w:rPr>
          <w:rFonts w:ascii="Arial" w:eastAsia="Calibri" w:hAnsi="Arial" w:cs="Arial"/>
          <w:sz w:val="24"/>
        </w:rPr>
        <w:t xml:space="preserve"> pursuant thereto.</w:t>
      </w:r>
      <w:r w:rsidR="007C6207">
        <w:rPr>
          <w:rFonts w:ascii="Arial" w:eastAsia="Calibri" w:hAnsi="Arial" w:cs="Arial"/>
          <w:sz w:val="24"/>
        </w:rPr>
        <w:t xml:space="preserve"> </w:t>
      </w:r>
      <w:r w:rsidR="009E0ECA">
        <w:rPr>
          <w:rFonts w:ascii="Arial" w:eastAsia="Calibri" w:hAnsi="Arial" w:cs="Arial"/>
          <w:sz w:val="24"/>
        </w:rPr>
        <w:t xml:space="preserve">However, unlike </w:t>
      </w:r>
      <w:r w:rsidR="00755DCF">
        <w:rPr>
          <w:rFonts w:ascii="Arial" w:eastAsia="Calibri" w:hAnsi="Arial" w:cs="Arial"/>
          <w:sz w:val="24"/>
        </w:rPr>
        <w:t xml:space="preserve">in </w:t>
      </w:r>
      <w:r w:rsidR="009E0ECA">
        <w:rPr>
          <w:rFonts w:ascii="Arial" w:eastAsia="Calibri" w:hAnsi="Arial" w:cs="Arial"/>
          <w:sz w:val="24"/>
        </w:rPr>
        <w:t xml:space="preserve">this case the review was </w:t>
      </w:r>
      <w:r w:rsidR="009707F0">
        <w:rPr>
          <w:rFonts w:ascii="Arial" w:eastAsia="Calibri" w:hAnsi="Arial" w:cs="Arial"/>
          <w:sz w:val="24"/>
        </w:rPr>
        <w:lastRenderedPageBreak/>
        <w:t xml:space="preserve">seemingly </w:t>
      </w:r>
      <w:r w:rsidR="00A24AAA">
        <w:rPr>
          <w:rFonts w:ascii="Arial" w:eastAsia="Calibri" w:hAnsi="Arial" w:cs="Arial"/>
          <w:sz w:val="24"/>
        </w:rPr>
        <w:t xml:space="preserve">prosecuted and </w:t>
      </w:r>
      <w:r w:rsidR="007C6207">
        <w:rPr>
          <w:rFonts w:ascii="Arial" w:eastAsia="Calibri" w:hAnsi="Arial" w:cs="Arial"/>
          <w:sz w:val="24"/>
        </w:rPr>
        <w:t xml:space="preserve">dealt with as </w:t>
      </w:r>
      <w:r w:rsidR="009E0ECA">
        <w:rPr>
          <w:rFonts w:ascii="Arial" w:eastAsia="Calibri" w:hAnsi="Arial" w:cs="Arial"/>
          <w:sz w:val="24"/>
        </w:rPr>
        <w:t>a legality review and not one based on PAJA.</w:t>
      </w:r>
      <w:r w:rsidR="009134BF">
        <w:rPr>
          <w:rStyle w:val="FootnoteReference"/>
          <w:rFonts w:ascii="Arial" w:eastAsia="Calibri" w:hAnsi="Arial" w:cs="Arial"/>
          <w:sz w:val="24"/>
        </w:rPr>
        <w:footnoteReference w:id="35"/>
      </w:r>
      <w:r w:rsidR="009E0ECA">
        <w:rPr>
          <w:rFonts w:ascii="Arial" w:eastAsia="Calibri" w:hAnsi="Arial" w:cs="Arial"/>
          <w:sz w:val="24"/>
        </w:rPr>
        <w:t xml:space="preserve"> </w:t>
      </w:r>
    </w:p>
    <w:p w14:paraId="2B77B773" w14:textId="21527BFD" w:rsidR="009E0ECA"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51.</w:t>
      </w:r>
      <w:r>
        <w:rPr>
          <w:rFonts w:ascii="Arial" w:eastAsia="Calibri" w:hAnsi="Arial" w:cs="Arial"/>
          <w:sz w:val="24"/>
        </w:rPr>
        <w:tab/>
      </w:r>
      <w:r w:rsidR="00103902">
        <w:rPr>
          <w:rFonts w:ascii="Arial" w:eastAsia="Calibri" w:hAnsi="Arial" w:cs="Arial"/>
          <w:sz w:val="24"/>
        </w:rPr>
        <w:t>T</w:t>
      </w:r>
      <w:r w:rsidR="009E0ECA">
        <w:rPr>
          <w:rFonts w:ascii="Arial" w:eastAsia="Calibri" w:hAnsi="Arial" w:cs="Arial"/>
          <w:sz w:val="24"/>
        </w:rPr>
        <w:t xml:space="preserve">he Commissioner contended that </w:t>
      </w:r>
      <w:r w:rsidR="00103902">
        <w:rPr>
          <w:rFonts w:ascii="Arial" w:eastAsia="Calibri" w:hAnsi="Arial" w:cs="Arial"/>
          <w:sz w:val="24"/>
        </w:rPr>
        <w:t>it</w:t>
      </w:r>
      <w:r w:rsidR="009E0ECA">
        <w:rPr>
          <w:rFonts w:ascii="Arial" w:eastAsia="Calibri" w:hAnsi="Arial" w:cs="Arial"/>
          <w:sz w:val="24"/>
        </w:rPr>
        <w:t xml:space="preserve"> was co</w:t>
      </w:r>
      <w:r w:rsidR="00103902">
        <w:rPr>
          <w:rFonts w:ascii="Arial" w:eastAsia="Calibri" w:hAnsi="Arial" w:cs="Arial"/>
          <w:sz w:val="24"/>
        </w:rPr>
        <w:t>ntrary</w:t>
      </w:r>
      <w:r w:rsidR="009E0ECA">
        <w:rPr>
          <w:rFonts w:ascii="Arial" w:eastAsia="Calibri" w:hAnsi="Arial" w:cs="Arial"/>
          <w:sz w:val="24"/>
        </w:rPr>
        <w:t xml:space="preserve"> to the dispute resolution scheme of objection and appeal which was provided for in the TAA</w:t>
      </w:r>
      <w:r w:rsidR="00103902">
        <w:rPr>
          <w:rFonts w:ascii="Arial" w:eastAsia="Calibri" w:hAnsi="Arial" w:cs="Arial"/>
          <w:sz w:val="24"/>
        </w:rPr>
        <w:t xml:space="preserve">, for </w:t>
      </w:r>
      <w:r w:rsidR="009707F0">
        <w:rPr>
          <w:rFonts w:ascii="Arial" w:eastAsia="Calibri" w:hAnsi="Arial" w:cs="Arial"/>
          <w:sz w:val="24"/>
        </w:rPr>
        <w:t>the</w:t>
      </w:r>
      <w:r w:rsidR="00103902">
        <w:rPr>
          <w:rFonts w:ascii="Arial" w:eastAsia="Calibri" w:hAnsi="Arial" w:cs="Arial"/>
          <w:sz w:val="24"/>
        </w:rPr>
        <w:t xml:space="preserve"> applicant</w:t>
      </w:r>
      <w:r w:rsidR="009E0ECA">
        <w:rPr>
          <w:rFonts w:ascii="Arial" w:eastAsia="Calibri" w:hAnsi="Arial" w:cs="Arial"/>
          <w:sz w:val="24"/>
        </w:rPr>
        <w:t xml:space="preserve"> to approach </w:t>
      </w:r>
      <w:r w:rsidR="009707F0">
        <w:rPr>
          <w:rFonts w:ascii="Arial" w:eastAsia="Calibri" w:hAnsi="Arial" w:cs="Arial"/>
          <w:sz w:val="24"/>
        </w:rPr>
        <w:t>the</w:t>
      </w:r>
      <w:r w:rsidR="009E0ECA">
        <w:rPr>
          <w:rFonts w:ascii="Arial" w:eastAsia="Calibri" w:hAnsi="Arial" w:cs="Arial"/>
          <w:sz w:val="24"/>
        </w:rPr>
        <w:t xml:space="preserve"> </w:t>
      </w:r>
      <w:r w:rsidR="009707F0">
        <w:rPr>
          <w:rFonts w:ascii="Arial" w:eastAsia="Calibri" w:hAnsi="Arial" w:cs="Arial"/>
          <w:sz w:val="24"/>
        </w:rPr>
        <w:t>C</w:t>
      </w:r>
      <w:r w:rsidR="009E0ECA">
        <w:rPr>
          <w:rFonts w:ascii="Arial" w:eastAsia="Calibri" w:hAnsi="Arial" w:cs="Arial"/>
          <w:sz w:val="24"/>
        </w:rPr>
        <w:t xml:space="preserve">ourt, without exhausting such internal remedies. </w:t>
      </w:r>
      <w:r w:rsidR="00103902">
        <w:rPr>
          <w:rFonts w:ascii="Arial" w:eastAsia="Calibri" w:hAnsi="Arial" w:cs="Arial"/>
          <w:sz w:val="24"/>
        </w:rPr>
        <w:t xml:space="preserve">In response, </w:t>
      </w:r>
      <w:r w:rsidR="009E0ECA" w:rsidRPr="00103902">
        <w:rPr>
          <w:rFonts w:ascii="Arial" w:eastAsia="Calibri" w:hAnsi="Arial" w:cs="Arial"/>
          <w:i/>
          <w:iCs/>
          <w:sz w:val="24"/>
        </w:rPr>
        <w:t xml:space="preserve">ABSA </w:t>
      </w:r>
      <w:r w:rsidR="009E0ECA">
        <w:rPr>
          <w:rFonts w:ascii="Arial" w:eastAsia="Calibri" w:hAnsi="Arial" w:cs="Arial"/>
          <w:sz w:val="24"/>
        </w:rPr>
        <w:t>contended that the dispute turned solely on a ‘pure’ point of law and there was a</w:t>
      </w:r>
      <w:r w:rsidR="00103902">
        <w:rPr>
          <w:rFonts w:ascii="Arial" w:eastAsia="Calibri" w:hAnsi="Arial" w:cs="Arial"/>
          <w:sz w:val="24"/>
        </w:rPr>
        <w:t>mple</w:t>
      </w:r>
      <w:r w:rsidR="009E0ECA">
        <w:rPr>
          <w:rFonts w:ascii="Arial" w:eastAsia="Calibri" w:hAnsi="Arial" w:cs="Arial"/>
          <w:sz w:val="24"/>
        </w:rPr>
        <w:t xml:space="preserve"> precedent which established that a court of law could deal with </w:t>
      </w:r>
      <w:r w:rsidR="00103902">
        <w:rPr>
          <w:rFonts w:ascii="Arial" w:eastAsia="Calibri" w:hAnsi="Arial" w:cs="Arial"/>
          <w:sz w:val="24"/>
        </w:rPr>
        <w:t>such a</w:t>
      </w:r>
      <w:r w:rsidR="009E0ECA">
        <w:rPr>
          <w:rFonts w:ascii="Arial" w:eastAsia="Calibri" w:hAnsi="Arial" w:cs="Arial"/>
          <w:sz w:val="24"/>
        </w:rPr>
        <w:t xml:space="preserve"> dispute</w:t>
      </w:r>
      <w:r w:rsidR="00103902">
        <w:rPr>
          <w:rFonts w:ascii="Arial" w:eastAsia="Calibri" w:hAnsi="Arial" w:cs="Arial"/>
          <w:sz w:val="24"/>
        </w:rPr>
        <w:t>,</w:t>
      </w:r>
      <w:r w:rsidR="009E0ECA">
        <w:rPr>
          <w:rFonts w:ascii="Arial" w:eastAsia="Calibri" w:hAnsi="Arial" w:cs="Arial"/>
          <w:sz w:val="24"/>
        </w:rPr>
        <w:t xml:space="preserve"> in tax matter</w:t>
      </w:r>
      <w:r w:rsidR="00103902">
        <w:rPr>
          <w:rFonts w:ascii="Arial" w:eastAsia="Calibri" w:hAnsi="Arial" w:cs="Arial"/>
          <w:sz w:val="24"/>
        </w:rPr>
        <w:t>s</w:t>
      </w:r>
      <w:r w:rsidR="009E0ECA">
        <w:rPr>
          <w:rFonts w:ascii="Arial" w:eastAsia="Calibri" w:hAnsi="Arial" w:cs="Arial"/>
          <w:sz w:val="24"/>
        </w:rPr>
        <w:t>.</w:t>
      </w:r>
    </w:p>
    <w:p w14:paraId="1AB3C42A" w14:textId="13619309" w:rsidR="006A2CC2"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52.</w:t>
      </w:r>
      <w:r>
        <w:rPr>
          <w:rFonts w:ascii="Arial" w:eastAsia="Calibri" w:hAnsi="Arial" w:cs="Arial"/>
          <w:sz w:val="24"/>
        </w:rPr>
        <w:tab/>
      </w:r>
      <w:r w:rsidR="009E0ECA">
        <w:rPr>
          <w:rFonts w:ascii="Arial" w:eastAsia="Calibri" w:hAnsi="Arial" w:cs="Arial"/>
          <w:sz w:val="24"/>
        </w:rPr>
        <w:t xml:space="preserve">In determining the point in favour of </w:t>
      </w:r>
      <w:r w:rsidR="009E0ECA" w:rsidRPr="00103902">
        <w:rPr>
          <w:rFonts w:ascii="Arial" w:eastAsia="Calibri" w:hAnsi="Arial" w:cs="Arial"/>
          <w:i/>
          <w:iCs/>
          <w:sz w:val="24"/>
        </w:rPr>
        <w:t>ABSA</w:t>
      </w:r>
      <w:r w:rsidR="009E0ECA">
        <w:rPr>
          <w:rFonts w:ascii="Arial" w:eastAsia="Calibri" w:hAnsi="Arial" w:cs="Arial"/>
          <w:sz w:val="24"/>
        </w:rPr>
        <w:t xml:space="preserve"> the </w:t>
      </w:r>
      <w:r w:rsidR="00103902">
        <w:rPr>
          <w:rFonts w:ascii="Arial" w:eastAsia="Calibri" w:hAnsi="Arial" w:cs="Arial"/>
          <w:sz w:val="24"/>
        </w:rPr>
        <w:t>C</w:t>
      </w:r>
      <w:r w:rsidR="009E0ECA">
        <w:rPr>
          <w:rFonts w:ascii="Arial" w:eastAsia="Calibri" w:hAnsi="Arial" w:cs="Arial"/>
          <w:sz w:val="24"/>
        </w:rPr>
        <w:t>ourt referred</w:t>
      </w:r>
      <w:r w:rsidR="00103902">
        <w:rPr>
          <w:rFonts w:ascii="Arial" w:eastAsia="Calibri" w:hAnsi="Arial" w:cs="Arial"/>
          <w:sz w:val="24"/>
        </w:rPr>
        <w:t xml:space="preserve"> </w:t>
      </w:r>
      <w:r w:rsidR="004D2262">
        <w:rPr>
          <w:rFonts w:ascii="Arial" w:eastAsia="Calibri" w:hAnsi="Arial" w:cs="Arial"/>
          <w:sz w:val="24"/>
        </w:rPr>
        <w:t>(</w:t>
      </w:r>
      <w:r w:rsidR="00103902">
        <w:rPr>
          <w:rFonts w:ascii="Arial" w:eastAsia="Calibri" w:hAnsi="Arial" w:cs="Arial"/>
          <w:sz w:val="24"/>
        </w:rPr>
        <w:t>understandably</w:t>
      </w:r>
      <w:r w:rsidR="004D2262">
        <w:rPr>
          <w:rFonts w:ascii="Arial" w:eastAsia="Calibri" w:hAnsi="Arial" w:cs="Arial"/>
          <w:sz w:val="24"/>
        </w:rPr>
        <w:t>,</w:t>
      </w:r>
      <w:r w:rsidR="00A24AAA">
        <w:rPr>
          <w:rFonts w:ascii="Arial" w:eastAsia="Calibri" w:hAnsi="Arial" w:cs="Arial"/>
          <w:sz w:val="24"/>
        </w:rPr>
        <w:t xml:space="preserve"> </w:t>
      </w:r>
      <w:r w:rsidR="009134BF">
        <w:rPr>
          <w:rFonts w:ascii="Arial" w:eastAsia="Calibri" w:hAnsi="Arial" w:cs="Arial"/>
          <w:sz w:val="24"/>
        </w:rPr>
        <w:t>given that it was dealing with a legality review and not one in terms of PAJA)</w:t>
      </w:r>
      <w:r w:rsidR="00103902">
        <w:rPr>
          <w:rFonts w:ascii="Arial" w:eastAsia="Calibri" w:hAnsi="Arial" w:cs="Arial"/>
          <w:sz w:val="24"/>
        </w:rPr>
        <w:t>,</w:t>
      </w:r>
      <w:r w:rsidR="009E0ECA">
        <w:rPr>
          <w:rFonts w:ascii="Arial" w:eastAsia="Calibri" w:hAnsi="Arial" w:cs="Arial"/>
          <w:sz w:val="24"/>
        </w:rPr>
        <w:t xml:space="preserve"> to the provisions of </w:t>
      </w:r>
      <w:r w:rsidR="00103902">
        <w:rPr>
          <w:rFonts w:ascii="Arial" w:eastAsia="Calibri" w:hAnsi="Arial" w:cs="Arial"/>
          <w:sz w:val="24"/>
        </w:rPr>
        <w:t xml:space="preserve">s </w:t>
      </w:r>
      <w:r w:rsidR="009E0ECA">
        <w:rPr>
          <w:rFonts w:ascii="Arial" w:eastAsia="Calibri" w:hAnsi="Arial" w:cs="Arial"/>
          <w:sz w:val="24"/>
        </w:rPr>
        <w:t xml:space="preserve">105 of the TAA only, and not to </w:t>
      </w:r>
      <w:r w:rsidR="00103902">
        <w:rPr>
          <w:rFonts w:ascii="Arial" w:eastAsia="Calibri" w:hAnsi="Arial" w:cs="Arial"/>
          <w:sz w:val="24"/>
        </w:rPr>
        <w:t xml:space="preserve">ss </w:t>
      </w:r>
      <w:r w:rsidR="009E0ECA">
        <w:rPr>
          <w:rFonts w:ascii="Arial" w:eastAsia="Calibri" w:hAnsi="Arial" w:cs="Arial"/>
          <w:sz w:val="24"/>
        </w:rPr>
        <w:t>7(2)(a) and (</w:t>
      </w:r>
      <w:r w:rsidR="00103902">
        <w:rPr>
          <w:rFonts w:ascii="Arial" w:eastAsia="Calibri" w:hAnsi="Arial" w:cs="Arial"/>
          <w:sz w:val="24"/>
        </w:rPr>
        <w:t>c</w:t>
      </w:r>
      <w:r w:rsidR="009E0ECA">
        <w:rPr>
          <w:rFonts w:ascii="Arial" w:eastAsia="Calibri" w:hAnsi="Arial" w:cs="Arial"/>
          <w:sz w:val="24"/>
        </w:rPr>
        <w:t xml:space="preserve">) of </w:t>
      </w:r>
      <w:r w:rsidR="00103902">
        <w:rPr>
          <w:rFonts w:ascii="Arial" w:eastAsia="Calibri" w:hAnsi="Arial" w:cs="Arial"/>
          <w:sz w:val="24"/>
        </w:rPr>
        <w:t>PAJA</w:t>
      </w:r>
      <w:r w:rsidR="009E0ECA">
        <w:rPr>
          <w:rFonts w:ascii="Arial" w:eastAsia="Calibri" w:hAnsi="Arial" w:cs="Arial"/>
          <w:sz w:val="24"/>
        </w:rPr>
        <w:t xml:space="preserve">. Nonetheless, in considering when a </w:t>
      </w:r>
      <w:r w:rsidR="00103902">
        <w:rPr>
          <w:rFonts w:ascii="Arial" w:eastAsia="Calibri" w:hAnsi="Arial" w:cs="Arial"/>
          <w:sz w:val="24"/>
        </w:rPr>
        <w:t>C</w:t>
      </w:r>
      <w:r w:rsidR="009E0ECA">
        <w:rPr>
          <w:rFonts w:ascii="Arial" w:eastAsia="Calibri" w:hAnsi="Arial" w:cs="Arial"/>
          <w:sz w:val="24"/>
        </w:rPr>
        <w:t>ourt may ‘otherwise direct’</w:t>
      </w:r>
      <w:r w:rsidR="006A2CC2">
        <w:rPr>
          <w:rFonts w:ascii="Arial" w:eastAsia="Calibri" w:hAnsi="Arial" w:cs="Arial"/>
          <w:sz w:val="24"/>
        </w:rPr>
        <w:t xml:space="preserve"> </w:t>
      </w:r>
      <w:r w:rsidR="004D2262">
        <w:rPr>
          <w:rFonts w:ascii="Arial" w:eastAsia="Calibri" w:hAnsi="Arial" w:cs="Arial"/>
          <w:sz w:val="24"/>
        </w:rPr>
        <w:t xml:space="preserve">in terms of s 105 </w:t>
      </w:r>
      <w:r w:rsidR="006A2CC2">
        <w:rPr>
          <w:rFonts w:ascii="Arial" w:eastAsia="Calibri" w:hAnsi="Arial" w:cs="Arial"/>
          <w:sz w:val="24"/>
        </w:rPr>
        <w:t>that a matter involving a tax dispute may be heard by it</w:t>
      </w:r>
      <w:r w:rsidR="00103902">
        <w:rPr>
          <w:rFonts w:ascii="Arial" w:eastAsia="Calibri" w:hAnsi="Arial" w:cs="Arial"/>
          <w:sz w:val="24"/>
        </w:rPr>
        <w:t>,</w:t>
      </w:r>
      <w:r w:rsidR="006A2CC2">
        <w:rPr>
          <w:rFonts w:ascii="Arial" w:eastAsia="Calibri" w:hAnsi="Arial" w:cs="Arial"/>
          <w:sz w:val="24"/>
        </w:rPr>
        <w:t xml:space="preserve"> as opposed to a forum provided for by the TAA</w:t>
      </w:r>
      <w:r w:rsidR="00103902">
        <w:rPr>
          <w:rFonts w:ascii="Arial" w:eastAsia="Calibri" w:hAnsi="Arial" w:cs="Arial"/>
          <w:sz w:val="24"/>
        </w:rPr>
        <w:t>,</w:t>
      </w:r>
      <w:r w:rsidR="006A2CC2">
        <w:rPr>
          <w:rFonts w:ascii="Arial" w:eastAsia="Calibri" w:hAnsi="Arial" w:cs="Arial"/>
          <w:sz w:val="24"/>
        </w:rPr>
        <w:t xml:space="preserve"> it held that the </w:t>
      </w:r>
      <w:r w:rsidR="00103902">
        <w:rPr>
          <w:rFonts w:ascii="Arial" w:eastAsia="Calibri" w:hAnsi="Arial" w:cs="Arial"/>
          <w:sz w:val="24"/>
        </w:rPr>
        <w:t>C</w:t>
      </w:r>
      <w:r w:rsidR="006A2CC2">
        <w:rPr>
          <w:rFonts w:ascii="Arial" w:eastAsia="Calibri" w:hAnsi="Arial" w:cs="Arial"/>
          <w:sz w:val="24"/>
        </w:rPr>
        <w:t xml:space="preserve">ourt </w:t>
      </w:r>
      <w:r w:rsidR="00F13B7B">
        <w:rPr>
          <w:rFonts w:ascii="Arial" w:eastAsia="Calibri" w:hAnsi="Arial" w:cs="Arial"/>
          <w:sz w:val="24"/>
        </w:rPr>
        <w:t>‘</w:t>
      </w:r>
      <w:r w:rsidR="00041099">
        <w:rPr>
          <w:rFonts w:ascii="Arial" w:eastAsia="Calibri" w:hAnsi="Arial" w:cs="Arial"/>
          <w:sz w:val="24"/>
        </w:rPr>
        <w:t>plainly</w:t>
      </w:r>
      <w:r w:rsidR="00F13B7B">
        <w:rPr>
          <w:rFonts w:ascii="Arial" w:eastAsia="Calibri" w:hAnsi="Arial" w:cs="Arial"/>
          <w:sz w:val="24"/>
        </w:rPr>
        <w:t>’</w:t>
      </w:r>
      <w:r w:rsidR="00041099">
        <w:rPr>
          <w:rFonts w:ascii="Arial" w:eastAsia="Calibri" w:hAnsi="Arial" w:cs="Arial"/>
          <w:sz w:val="24"/>
        </w:rPr>
        <w:t xml:space="preserve"> </w:t>
      </w:r>
      <w:r w:rsidR="006A2CC2">
        <w:rPr>
          <w:rFonts w:ascii="Arial" w:eastAsia="Calibri" w:hAnsi="Arial" w:cs="Arial"/>
          <w:sz w:val="24"/>
        </w:rPr>
        <w:t xml:space="preserve">had a discretion to approve a deviation from the ‘default’ route </w:t>
      </w:r>
      <w:r w:rsidR="00B366F8">
        <w:rPr>
          <w:rFonts w:ascii="Arial" w:eastAsia="Calibri" w:hAnsi="Arial" w:cs="Arial"/>
          <w:sz w:val="24"/>
        </w:rPr>
        <w:t>(</w:t>
      </w:r>
      <w:r w:rsidR="006A2CC2">
        <w:rPr>
          <w:rFonts w:ascii="Arial" w:eastAsia="Calibri" w:hAnsi="Arial" w:cs="Arial"/>
          <w:sz w:val="24"/>
        </w:rPr>
        <w:t>via the dispute resolution mechanism and procedures provided for in the TAA</w:t>
      </w:r>
      <w:r w:rsidR="00B366F8">
        <w:rPr>
          <w:rFonts w:ascii="Arial" w:eastAsia="Calibri" w:hAnsi="Arial" w:cs="Arial"/>
          <w:sz w:val="24"/>
        </w:rPr>
        <w:t>)</w:t>
      </w:r>
      <w:r w:rsidR="006A2CC2">
        <w:rPr>
          <w:rFonts w:ascii="Arial" w:eastAsia="Calibri" w:hAnsi="Arial" w:cs="Arial"/>
          <w:sz w:val="24"/>
        </w:rPr>
        <w:t>, in ‘appropriate’ circumstances</w:t>
      </w:r>
      <w:r w:rsidR="00103902">
        <w:rPr>
          <w:rFonts w:ascii="Arial" w:eastAsia="Calibri" w:hAnsi="Arial" w:cs="Arial"/>
          <w:sz w:val="24"/>
        </w:rPr>
        <w:t>,</w:t>
      </w:r>
      <w:r w:rsidR="006A2CC2">
        <w:rPr>
          <w:rFonts w:ascii="Arial" w:eastAsia="Calibri" w:hAnsi="Arial" w:cs="Arial"/>
          <w:sz w:val="24"/>
        </w:rPr>
        <w:t xml:space="preserve"> which it considered should be </w:t>
      </w:r>
      <w:r w:rsidR="00103902">
        <w:rPr>
          <w:rFonts w:ascii="Arial" w:eastAsia="Calibri" w:hAnsi="Arial" w:cs="Arial"/>
          <w:sz w:val="24"/>
        </w:rPr>
        <w:t>‘</w:t>
      </w:r>
      <w:r w:rsidR="006A2CC2">
        <w:rPr>
          <w:rFonts w:ascii="Arial" w:eastAsia="Calibri" w:hAnsi="Arial" w:cs="Arial"/>
          <w:sz w:val="24"/>
        </w:rPr>
        <w:t>labelled</w:t>
      </w:r>
      <w:r w:rsidR="00103902">
        <w:rPr>
          <w:rFonts w:ascii="Arial" w:eastAsia="Calibri" w:hAnsi="Arial" w:cs="Arial"/>
          <w:sz w:val="24"/>
        </w:rPr>
        <w:t>’</w:t>
      </w:r>
      <w:r w:rsidR="006A2CC2">
        <w:rPr>
          <w:rFonts w:ascii="Arial" w:eastAsia="Calibri" w:hAnsi="Arial" w:cs="Arial"/>
          <w:sz w:val="24"/>
        </w:rPr>
        <w:t xml:space="preserve"> as exceptional circumstances, as the </w:t>
      </w:r>
      <w:r w:rsidR="00103902">
        <w:rPr>
          <w:rFonts w:ascii="Arial" w:eastAsia="Calibri" w:hAnsi="Arial" w:cs="Arial"/>
          <w:sz w:val="24"/>
        </w:rPr>
        <w:t>C</w:t>
      </w:r>
      <w:r w:rsidR="006A2CC2">
        <w:rPr>
          <w:rFonts w:ascii="Arial" w:eastAsia="Calibri" w:hAnsi="Arial" w:cs="Arial"/>
          <w:sz w:val="24"/>
        </w:rPr>
        <w:t xml:space="preserve">ourt would require justification to depart from the </w:t>
      </w:r>
      <w:r w:rsidR="00103902">
        <w:rPr>
          <w:rFonts w:ascii="Arial" w:eastAsia="Calibri" w:hAnsi="Arial" w:cs="Arial"/>
          <w:sz w:val="24"/>
        </w:rPr>
        <w:t>default</w:t>
      </w:r>
      <w:r w:rsidR="006A2CC2">
        <w:rPr>
          <w:rFonts w:ascii="Arial" w:eastAsia="Calibri" w:hAnsi="Arial" w:cs="Arial"/>
          <w:sz w:val="24"/>
        </w:rPr>
        <w:t xml:space="preserve"> procedures, and this by definition, would be ‘exceptional’.</w:t>
      </w:r>
      <w:r w:rsidR="00C51642">
        <w:rPr>
          <w:rStyle w:val="FootnoteReference"/>
          <w:rFonts w:ascii="Arial" w:eastAsia="Calibri" w:hAnsi="Arial" w:cs="Arial"/>
          <w:sz w:val="24"/>
        </w:rPr>
        <w:footnoteReference w:id="36"/>
      </w:r>
    </w:p>
    <w:p w14:paraId="1B522480" w14:textId="08E6A556" w:rsidR="00F87BF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53.</w:t>
      </w:r>
      <w:r>
        <w:rPr>
          <w:rFonts w:ascii="Arial" w:eastAsia="Calibri" w:hAnsi="Arial" w:cs="Arial"/>
          <w:sz w:val="24"/>
        </w:rPr>
        <w:tab/>
      </w:r>
      <w:r w:rsidR="006A2CC2">
        <w:rPr>
          <w:rFonts w:ascii="Arial" w:eastAsia="Calibri" w:hAnsi="Arial" w:cs="Arial"/>
          <w:sz w:val="24"/>
        </w:rPr>
        <w:t>It held further that the exception</w:t>
      </w:r>
      <w:r w:rsidR="00103902">
        <w:rPr>
          <w:rFonts w:ascii="Arial" w:eastAsia="Calibri" w:hAnsi="Arial" w:cs="Arial"/>
          <w:sz w:val="24"/>
        </w:rPr>
        <w:t>a</w:t>
      </w:r>
      <w:r w:rsidR="006A2CC2">
        <w:rPr>
          <w:rFonts w:ascii="Arial" w:eastAsia="Calibri" w:hAnsi="Arial" w:cs="Arial"/>
          <w:sz w:val="24"/>
        </w:rPr>
        <w:t>lity required</w:t>
      </w:r>
      <w:r w:rsidR="00103902">
        <w:rPr>
          <w:rFonts w:ascii="Arial" w:eastAsia="Calibri" w:hAnsi="Arial" w:cs="Arial"/>
          <w:sz w:val="24"/>
        </w:rPr>
        <w:t xml:space="preserve"> for </w:t>
      </w:r>
      <w:r w:rsidR="00C50DF8">
        <w:rPr>
          <w:rFonts w:ascii="Arial" w:eastAsia="Calibri" w:hAnsi="Arial" w:cs="Arial"/>
          <w:sz w:val="24"/>
        </w:rPr>
        <w:t xml:space="preserve">such a dispute </w:t>
      </w:r>
      <w:r w:rsidR="00103902">
        <w:rPr>
          <w:rFonts w:ascii="Arial" w:eastAsia="Calibri" w:hAnsi="Arial" w:cs="Arial"/>
          <w:sz w:val="24"/>
        </w:rPr>
        <w:t>to be heard</w:t>
      </w:r>
      <w:r w:rsidR="006A2CC2">
        <w:rPr>
          <w:rFonts w:ascii="Arial" w:eastAsia="Calibri" w:hAnsi="Arial" w:cs="Arial"/>
          <w:sz w:val="24"/>
        </w:rPr>
        <w:t xml:space="preserve"> </w:t>
      </w:r>
      <w:r w:rsidR="00041099">
        <w:rPr>
          <w:rFonts w:ascii="Arial" w:eastAsia="Calibri" w:hAnsi="Arial" w:cs="Arial"/>
          <w:sz w:val="24"/>
        </w:rPr>
        <w:t xml:space="preserve">in a civil Court </w:t>
      </w:r>
      <w:r w:rsidR="006A2CC2">
        <w:rPr>
          <w:rFonts w:ascii="Arial" w:eastAsia="Calibri" w:hAnsi="Arial" w:cs="Arial"/>
          <w:sz w:val="24"/>
        </w:rPr>
        <w:t>need not be ‘exotic’ or ‘rare’ or ‘bizarre’ and</w:t>
      </w:r>
      <w:r w:rsidR="001D72D2">
        <w:rPr>
          <w:rFonts w:ascii="Arial" w:eastAsia="Calibri" w:hAnsi="Arial" w:cs="Arial"/>
          <w:sz w:val="24"/>
        </w:rPr>
        <w:t xml:space="preserve">, </w:t>
      </w:r>
      <w:r w:rsidR="006A2CC2">
        <w:rPr>
          <w:rFonts w:ascii="Arial" w:eastAsia="Calibri" w:hAnsi="Arial" w:cs="Arial"/>
          <w:sz w:val="24"/>
        </w:rPr>
        <w:t>properly cons</w:t>
      </w:r>
      <w:r w:rsidR="001D72D2">
        <w:rPr>
          <w:rFonts w:ascii="Arial" w:eastAsia="Calibri" w:hAnsi="Arial" w:cs="Arial"/>
          <w:sz w:val="24"/>
        </w:rPr>
        <w:t>trued</w:t>
      </w:r>
      <w:r w:rsidR="00103902">
        <w:rPr>
          <w:rFonts w:ascii="Arial" w:eastAsia="Calibri" w:hAnsi="Arial" w:cs="Arial"/>
          <w:sz w:val="24"/>
        </w:rPr>
        <w:t>,</w:t>
      </w:r>
      <w:r w:rsidR="006A2CC2">
        <w:rPr>
          <w:rFonts w:ascii="Arial" w:eastAsia="Calibri" w:hAnsi="Arial" w:cs="Arial"/>
          <w:sz w:val="24"/>
        </w:rPr>
        <w:t xml:space="preserve"> </w:t>
      </w:r>
      <w:r w:rsidR="00C50DF8">
        <w:rPr>
          <w:rFonts w:ascii="Arial" w:eastAsia="Calibri" w:hAnsi="Arial" w:cs="Arial"/>
          <w:sz w:val="24"/>
        </w:rPr>
        <w:t>required</w:t>
      </w:r>
      <w:r w:rsidR="00041099">
        <w:rPr>
          <w:rFonts w:ascii="Arial" w:eastAsia="Calibri" w:hAnsi="Arial" w:cs="Arial"/>
          <w:sz w:val="24"/>
        </w:rPr>
        <w:t xml:space="preserve"> </w:t>
      </w:r>
      <w:r w:rsidR="006A2CC2">
        <w:rPr>
          <w:rFonts w:ascii="Arial" w:eastAsia="Calibri" w:hAnsi="Arial" w:cs="Arial"/>
          <w:sz w:val="24"/>
        </w:rPr>
        <w:t xml:space="preserve">simply </w:t>
      </w:r>
      <w:r w:rsidR="00C50DF8">
        <w:rPr>
          <w:rFonts w:ascii="Arial" w:eastAsia="Calibri" w:hAnsi="Arial" w:cs="Arial"/>
          <w:sz w:val="24"/>
        </w:rPr>
        <w:t xml:space="preserve">that there were </w:t>
      </w:r>
      <w:r w:rsidR="006A2CC2">
        <w:rPr>
          <w:rFonts w:ascii="Arial" w:eastAsia="Calibri" w:hAnsi="Arial" w:cs="Arial"/>
          <w:sz w:val="24"/>
        </w:rPr>
        <w:t>circumstance</w:t>
      </w:r>
      <w:r w:rsidR="00C51642">
        <w:rPr>
          <w:rFonts w:ascii="Arial" w:eastAsia="Calibri" w:hAnsi="Arial" w:cs="Arial"/>
          <w:sz w:val="24"/>
        </w:rPr>
        <w:t>s</w:t>
      </w:r>
      <w:r w:rsidR="00103902">
        <w:rPr>
          <w:rFonts w:ascii="Arial" w:eastAsia="Calibri" w:hAnsi="Arial" w:cs="Arial"/>
          <w:sz w:val="24"/>
        </w:rPr>
        <w:t xml:space="preserve"> </w:t>
      </w:r>
      <w:r w:rsidR="006A2CC2">
        <w:rPr>
          <w:rFonts w:ascii="Arial" w:eastAsia="Calibri" w:hAnsi="Arial" w:cs="Arial"/>
          <w:sz w:val="24"/>
        </w:rPr>
        <w:t>which ‘sensibly justified’ the alternative route of approach</w:t>
      </w:r>
      <w:r w:rsidR="00F13B7B">
        <w:rPr>
          <w:rFonts w:ascii="Arial" w:eastAsia="Calibri" w:hAnsi="Arial" w:cs="Arial"/>
          <w:sz w:val="24"/>
        </w:rPr>
        <w:t>ing</w:t>
      </w:r>
      <w:r w:rsidR="006A2CC2">
        <w:rPr>
          <w:rFonts w:ascii="Arial" w:eastAsia="Calibri" w:hAnsi="Arial" w:cs="Arial"/>
          <w:sz w:val="24"/>
        </w:rPr>
        <w:t xml:space="preserve"> the </w:t>
      </w:r>
      <w:r w:rsidR="00103902">
        <w:rPr>
          <w:rFonts w:ascii="Arial" w:eastAsia="Calibri" w:hAnsi="Arial" w:cs="Arial"/>
          <w:sz w:val="24"/>
        </w:rPr>
        <w:t>C</w:t>
      </w:r>
      <w:r w:rsidR="006A2CC2">
        <w:rPr>
          <w:rFonts w:ascii="Arial" w:eastAsia="Calibri" w:hAnsi="Arial" w:cs="Arial"/>
          <w:sz w:val="24"/>
        </w:rPr>
        <w:t xml:space="preserve">ourt </w:t>
      </w:r>
      <w:r w:rsidR="00F13B7B">
        <w:rPr>
          <w:rFonts w:ascii="Arial" w:eastAsia="Calibri" w:hAnsi="Arial" w:cs="Arial"/>
          <w:sz w:val="24"/>
        </w:rPr>
        <w:t xml:space="preserve">directly </w:t>
      </w:r>
      <w:r w:rsidR="006A2CC2">
        <w:rPr>
          <w:rFonts w:ascii="Arial" w:eastAsia="Calibri" w:hAnsi="Arial" w:cs="Arial"/>
          <w:sz w:val="24"/>
        </w:rPr>
        <w:t>for relief.</w:t>
      </w:r>
      <w:r w:rsidR="00C51642">
        <w:rPr>
          <w:rStyle w:val="FootnoteReference"/>
          <w:rFonts w:ascii="Arial" w:eastAsia="Calibri" w:hAnsi="Arial" w:cs="Arial"/>
          <w:sz w:val="24"/>
        </w:rPr>
        <w:footnoteReference w:id="37"/>
      </w:r>
      <w:r w:rsidR="006A2CC2">
        <w:rPr>
          <w:rFonts w:ascii="Arial" w:eastAsia="Calibri" w:hAnsi="Arial" w:cs="Arial"/>
          <w:sz w:val="24"/>
        </w:rPr>
        <w:t xml:space="preserve"> In </w:t>
      </w:r>
      <w:r w:rsidR="001D72D2">
        <w:rPr>
          <w:rFonts w:ascii="Arial" w:eastAsia="Calibri" w:hAnsi="Arial" w:cs="Arial"/>
          <w:sz w:val="24"/>
        </w:rPr>
        <w:t>its view</w:t>
      </w:r>
      <w:r w:rsidR="006A2CC2">
        <w:rPr>
          <w:rFonts w:ascii="Arial" w:eastAsia="Calibri" w:hAnsi="Arial" w:cs="Arial"/>
          <w:sz w:val="24"/>
        </w:rPr>
        <w:t xml:space="preserve">, when a dispute was one </w:t>
      </w:r>
      <w:r w:rsidR="001D72D2">
        <w:rPr>
          <w:rFonts w:ascii="Arial" w:eastAsia="Calibri" w:hAnsi="Arial" w:cs="Arial"/>
          <w:sz w:val="24"/>
        </w:rPr>
        <w:t xml:space="preserve">entirely </w:t>
      </w:r>
      <w:r w:rsidR="006A2CC2">
        <w:rPr>
          <w:rFonts w:ascii="Arial" w:eastAsia="Calibri" w:hAnsi="Arial" w:cs="Arial"/>
          <w:sz w:val="24"/>
        </w:rPr>
        <w:t>about a point of law</w:t>
      </w:r>
      <w:r w:rsidR="00F13B7B">
        <w:rPr>
          <w:rFonts w:ascii="Arial" w:eastAsia="Calibri" w:hAnsi="Arial" w:cs="Arial"/>
          <w:sz w:val="24"/>
        </w:rPr>
        <w:t>,</w:t>
      </w:r>
      <w:r w:rsidR="006A2CC2">
        <w:rPr>
          <w:rFonts w:ascii="Arial" w:eastAsia="Calibri" w:hAnsi="Arial" w:cs="Arial"/>
          <w:sz w:val="24"/>
        </w:rPr>
        <w:t xml:space="preserve"> that </w:t>
      </w:r>
      <w:r w:rsidR="001D72D2">
        <w:rPr>
          <w:rFonts w:ascii="Arial" w:eastAsia="Calibri" w:hAnsi="Arial" w:cs="Arial"/>
          <w:sz w:val="24"/>
        </w:rPr>
        <w:t>at</w:t>
      </w:r>
      <w:r w:rsidR="006A2CC2">
        <w:rPr>
          <w:rFonts w:ascii="Arial" w:eastAsia="Calibri" w:hAnsi="Arial" w:cs="Arial"/>
          <w:sz w:val="24"/>
        </w:rPr>
        <w:t>tribute would satisfy the requirement of exception</w:t>
      </w:r>
      <w:r w:rsidR="001D72D2">
        <w:rPr>
          <w:rFonts w:ascii="Arial" w:eastAsia="Calibri" w:hAnsi="Arial" w:cs="Arial"/>
          <w:sz w:val="24"/>
        </w:rPr>
        <w:t>a</w:t>
      </w:r>
      <w:r w:rsidR="006A2CC2">
        <w:rPr>
          <w:rFonts w:ascii="Arial" w:eastAsia="Calibri" w:hAnsi="Arial" w:cs="Arial"/>
          <w:sz w:val="24"/>
        </w:rPr>
        <w:t>lity.</w:t>
      </w:r>
    </w:p>
    <w:p w14:paraId="5BA549A7" w14:textId="1072384D" w:rsidR="006A2CC2" w:rsidRDefault="003D3D1A" w:rsidP="003D3D1A">
      <w:pPr>
        <w:tabs>
          <w:tab w:val="left" w:pos="2970"/>
        </w:tabs>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lastRenderedPageBreak/>
        <w:t>54.</w:t>
      </w:r>
      <w:r>
        <w:rPr>
          <w:rFonts w:ascii="Arial" w:eastAsia="Calibri" w:hAnsi="Arial" w:cs="Arial"/>
          <w:sz w:val="24"/>
        </w:rPr>
        <w:tab/>
      </w:r>
      <w:r w:rsidR="006A2CC2">
        <w:rPr>
          <w:rFonts w:ascii="Arial" w:eastAsia="Calibri" w:hAnsi="Arial" w:cs="Arial"/>
          <w:sz w:val="24"/>
        </w:rPr>
        <w:t>Consequently, it held</w:t>
      </w:r>
      <w:r w:rsidR="00F13B7B">
        <w:rPr>
          <w:rStyle w:val="FootnoteReference"/>
          <w:rFonts w:ascii="Arial" w:eastAsia="Calibri" w:hAnsi="Arial" w:cs="Arial"/>
          <w:sz w:val="24"/>
        </w:rPr>
        <w:footnoteReference w:id="38"/>
      </w:r>
      <w:r w:rsidR="006A2CC2">
        <w:rPr>
          <w:rFonts w:ascii="Arial" w:eastAsia="Calibri" w:hAnsi="Arial" w:cs="Arial"/>
          <w:sz w:val="24"/>
        </w:rPr>
        <w:t xml:space="preserve"> that </w:t>
      </w:r>
      <w:r w:rsidR="00F87BFB">
        <w:rPr>
          <w:rFonts w:ascii="Arial" w:eastAsia="Calibri" w:hAnsi="Arial" w:cs="Arial"/>
          <w:sz w:val="24"/>
        </w:rPr>
        <w:t>a tax</w:t>
      </w:r>
      <w:r w:rsidR="006A2CC2">
        <w:rPr>
          <w:rFonts w:ascii="Arial" w:eastAsia="Calibri" w:hAnsi="Arial" w:cs="Arial"/>
          <w:sz w:val="24"/>
        </w:rPr>
        <w:t xml:space="preserve">payer was not obliged to pursue a remedy in respect of </w:t>
      </w:r>
      <w:r w:rsidR="00F87BFB">
        <w:rPr>
          <w:rFonts w:ascii="Arial" w:eastAsia="Calibri" w:hAnsi="Arial" w:cs="Arial"/>
          <w:sz w:val="24"/>
        </w:rPr>
        <w:t>a</w:t>
      </w:r>
      <w:r w:rsidR="006A2CC2">
        <w:rPr>
          <w:rFonts w:ascii="Arial" w:eastAsia="Calibri" w:hAnsi="Arial" w:cs="Arial"/>
          <w:sz w:val="24"/>
        </w:rPr>
        <w:t xml:space="preserve"> tax dispute in terms of the dispute resolution procedures </w:t>
      </w:r>
      <w:r w:rsidR="00F87BFB">
        <w:rPr>
          <w:rFonts w:ascii="Arial" w:eastAsia="Calibri" w:hAnsi="Arial" w:cs="Arial"/>
          <w:sz w:val="24"/>
        </w:rPr>
        <w:t xml:space="preserve">which were </w:t>
      </w:r>
      <w:r w:rsidR="006A2CC2">
        <w:rPr>
          <w:rFonts w:ascii="Arial" w:eastAsia="Calibri" w:hAnsi="Arial" w:cs="Arial"/>
          <w:sz w:val="24"/>
        </w:rPr>
        <w:t xml:space="preserve">set out in tax legislation </w:t>
      </w:r>
      <w:r w:rsidR="00F87BFB">
        <w:rPr>
          <w:rFonts w:ascii="Arial" w:eastAsia="Calibri" w:hAnsi="Arial" w:cs="Arial"/>
          <w:sz w:val="24"/>
        </w:rPr>
        <w:t>only and</w:t>
      </w:r>
      <w:r w:rsidR="006A2CC2">
        <w:rPr>
          <w:rFonts w:ascii="Arial" w:eastAsia="Calibri" w:hAnsi="Arial" w:cs="Arial"/>
          <w:sz w:val="24"/>
        </w:rPr>
        <w:t xml:space="preserve"> was entitled to apply directly to a </w:t>
      </w:r>
      <w:r w:rsidR="00755DCF">
        <w:rPr>
          <w:rFonts w:ascii="Arial" w:eastAsia="Calibri" w:hAnsi="Arial" w:cs="Arial"/>
          <w:sz w:val="24"/>
        </w:rPr>
        <w:t>C</w:t>
      </w:r>
      <w:r w:rsidR="006A2CC2">
        <w:rPr>
          <w:rFonts w:ascii="Arial" w:eastAsia="Calibri" w:hAnsi="Arial" w:cs="Arial"/>
          <w:sz w:val="24"/>
        </w:rPr>
        <w:t>ourt for relief in exceptional circumstances, which w</w:t>
      </w:r>
      <w:r w:rsidR="00F87BFB">
        <w:rPr>
          <w:rFonts w:ascii="Arial" w:eastAsia="Calibri" w:hAnsi="Arial" w:cs="Arial"/>
          <w:sz w:val="24"/>
        </w:rPr>
        <w:t>ould be</w:t>
      </w:r>
      <w:r w:rsidR="006A2CC2">
        <w:rPr>
          <w:rFonts w:ascii="Arial" w:eastAsia="Calibri" w:hAnsi="Arial" w:cs="Arial"/>
          <w:sz w:val="24"/>
        </w:rPr>
        <w:t xml:space="preserve"> present when the dispute turned wholly on a point of law.</w:t>
      </w:r>
      <w:r w:rsidR="00F13B7B">
        <w:rPr>
          <w:rStyle w:val="FootnoteReference"/>
          <w:rFonts w:ascii="Arial" w:eastAsia="Calibri" w:hAnsi="Arial" w:cs="Arial"/>
          <w:sz w:val="24"/>
        </w:rPr>
        <w:footnoteReference w:id="39"/>
      </w:r>
      <w:r w:rsidR="006A2CC2">
        <w:rPr>
          <w:rFonts w:ascii="Arial" w:eastAsia="Calibri" w:hAnsi="Arial" w:cs="Arial"/>
          <w:sz w:val="24"/>
        </w:rPr>
        <w:t xml:space="preserve"> It </w:t>
      </w:r>
      <w:r w:rsidR="00F87BFB">
        <w:rPr>
          <w:rFonts w:ascii="Arial" w:eastAsia="Calibri" w:hAnsi="Arial" w:cs="Arial"/>
          <w:sz w:val="24"/>
        </w:rPr>
        <w:t xml:space="preserve">endorsed </w:t>
      </w:r>
      <w:r w:rsidR="006A2CC2" w:rsidRPr="00F87BFB">
        <w:rPr>
          <w:rFonts w:ascii="Arial" w:eastAsia="Calibri" w:hAnsi="Arial" w:cs="Arial"/>
          <w:i/>
          <w:iCs/>
          <w:sz w:val="24"/>
        </w:rPr>
        <w:t>ABSA’s</w:t>
      </w:r>
      <w:r w:rsidR="006A2CC2">
        <w:rPr>
          <w:rFonts w:ascii="Arial" w:eastAsia="Calibri" w:hAnsi="Arial" w:cs="Arial"/>
          <w:sz w:val="24"/>
        </w:rPr>
        <w:t xml:space="preserve"> contention that it would be preferable for a </w:t>
      </w:r>
      <w:r w:rsidR="00F13B7B">
        <w:rPr>
          <w:rFonts w:ascii="Arial" w:eastAsia="Calibri" w:hAnsi="Arial" w:cs="Arial"/>
          <w:sz w:val="24"/>
        </w:rPr>
        <w:t>C</w:t>
      </w:r>
      <w:r w:rsidR="006A2CC2">
        <w:rPr>
          <w:rFonts w:ascii="Arial" w:eastAsia="Calibri" w:hAnsi="Arial" w:cs="Arial"/>
          <w:sz w:val="24"/>
        </w:rPr>
        <w:t xml:space="preserve">ourt to hear such a dispute rather than </w:t>
      </w:r>
      <w:r w:rsidR="00C50DF8">
        <w:rPr>
          <w:rFonts w:ascii="Arial" w:eastAsia="Calibri" w:hAnsi="Arial" w:cs="Arial"/>
          <w:sz w:val="24"/>
        </w:rPr>
        <w:t xml:space="preserve">to </w:t>
      </w:r>
      <w:r w:rsidR="006A2CC2">
        <w:rPr>
          <w:rFonts w:ascii="Arial" w:eastAsia="Calibri" w:hAnsi="Arial" w:cs="Arial"/>
          <w:sz w:val="24"/>
        </w:rPr>
        <w:t xml:space="preserve">‘condemn’ the parties </w:t>
      </w:r>
      <w:r w:rsidR="00F87BFB">
        <w:rPr>
          <w:rFonts w:ascii="Arial" w:eastAsia="Calibri" w:hAnsi="Arial" w:cs="Arial"/>
          <w:sz w:val="24"/>
        </w:rPr>
        <w:t xml:space="preserve"> </w:t>
      </w:r>
      <w:r w:rsidR="006A2CC2">
        <w:rPr>
          <w:rFonts w:ascii="Arial" w:eastAsia="Calibri" w:hAnsi="Arial" w:cs="Arial"/>
          <w:sz w:val="24"/>
        </w:rPr>
        <w:t xml:space="preserve">to a ‘protracted slog’ through the internal remedies and fora provided for to the </w:t>
      </w:r>
      <w:r w:rsidR="00F87BFB">
        <w:rPr>
          <w:rFonts w:ascii="Arial" w:eastAsia="Calibri" w:hAnsi="Arial" w:cs="Arial"/>
          <w:sz w:val="24"/>
        </w:rPr>
        <w:t>T</w:t>
      </w:r>
      <w:r w:rsidR="006A2CC2">
        <w:rPr>
          <w:rFonts w:ascii="Arial" w:eastAsia="Calibri" w:hAnsi="Arial" w:cs="Arial"/>
          <w:sz w:val="24"/>
        </w:rPr>
        <w:t xml:space="preserve">ax </w:t>
      </w:r>
      <w:r w:rsidR="00F87BFB">
        <w:rPr>
          <w:rFonts w:ascii="Arial" w:eastAsia="Calibri" w:hAnsi="Arial" w:cs="Arial"/>
          <w:sz w:val="24"/>
        </w:rPr>
        <w:t>C</w:t>
      </w:r>
      <w:r w:rsidR="006A2CC2">
        <w:rPr>
          <w:rFonts w:ascii="Arial" w:eastAsia="Calibri" w:hAnsi="Arial" w:cs="Arial"/>
          <w:sz w:val="24"/>
        </w:rPr>
        <w:t>ourt and</w:t>
      </w:r>
      <w:r w:rsidR="00F87BFB">
        <w:rPr>
          <w:rFonts w:ascii="Arial" w:eastAsia="Calibri" w:hAnsi="Arial" w:cs="Arial"/>
          <w:sz w:val="24"/>
        </w:rPr>
        <w:t xml:space="preserve"> then</w:t>
      </w:r>
      <w:r w:rsidR="006A2CC2">
        <w:rPr>
          <w:rFonts w:ascii="Arial" w:eastAsia="Calibri" w:hAnsi="Arial" w:cs="Arial"/>
          <w:sz w:val="24"/>
        </w:rPr>
        <w:t>, if necessary, from ther</w:t>
      </w:r>
      <w:r w:rsidR="0064332A">
        <w:rPr>
          <w:rFonts w:ascii="Arial" w:eastAsia="Calibri" w:hAnsi="Arial" w:cs="Arial"/>
          <w:sz w:val="24"/>
        </w:rPr>
        <w:t>e</w:t>
      </w:r>
      <w:r w:rsidR="006A2CC2">
        <w:rPr>
          <w:rFonts w:ascii="Arial" w:eastAsia="Calibri" w:hAnsi="Arial" w:cs="Arial"/>
          <w:sz w:val="24"/>
        </w:rPr>
        <w:t xml:space="preserve"> to the High Court.</w:t>
      </w:r>
      <w:r w:rsidR="00F13B7B">
        <w:rPr>
          <w:rStyle w:val="FootnoteReference"/>
          <w:rFonts w:ascii="Arial" w:eastAsia="Calibri" w:hAnsi="Arial" w:cs="Arial"/>
          <w:sz w:val="24"/>
        </w:rPr>
        <w:footnoteReference w:id="40"/>
      </w:r>
    </w:p>
    <w:p w14:paraId="51AB1A2E" w14:textId="67FA82A1" w:rsidR="00F87BF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55.</w:t>
      </w:r>
      <w:r>
        <w:rPr>
          <w:rFonts w:ascii="Arial" w:eastAsia="Calibri" w:hAnsi="Arial" w:cs="Arial"/>
          <w:sz w:val="24"/>
        </w:rPr>
        <w:tab/>
      </w:r>
      <w:r w:rsidR="006A2CC2">
        <w:rPr>
          <w:rFonts w:ascii="Arial" w:eastAsia="Calibri" w:hAnsi="Arial" w:cs="Arial"/>
          <w:sz w:val="24"/>
        </w:rPr>
        <w:t xml:space="preserve">The decision in </w:t>
      </w:r>
      <w:r w:rsidR="006A2CC2" w:rsidRPr="00343EC6">
        <w:rPr>
          <w:rFonts w:ascii="Arial" w:eastAsia="Calibri" w:hAnsi="Arial" w:cs="Arial"/>
          <w:i/>
          <w:iCs/>
          <w:sz w:val="24"/>
        </w:rPr>
        <w:t xml:space="preserve">ABSA </w:t>
      </w:r>
      <w:r w:rsidR="006A2CC2">
        <w:rPr>
          <w:rFonts w:ascii="Arial" w:eastAsia="Calibri" w:hAnsi="Arial" w:cs="Arial"/>
          <w:sz w:val="24"/>
        </w:rPr>
        <w:t xml:space="preserve">did not find favour </w:t>
      </w:r>
      <w:r w:rsidR="00FA56C6">
        <w:rPr>
          <w:rFonts w:ascii="Arial" w:eastAsia="Calibri" w:hAnsi="Arial" w:cs="Arial"/>
          <w:sz w:val="24"/>
        </w:rPr>
        <w:t>in</w:t>
      </w:r>
      <w:r w:rsidR="006A2CC2">
        <w:rPr>
          <w:rFonts w:ascii="Arial" w:eastAsia="Calibri" w:hAnsi="Arial" w:cs="Arial"/>
          <w:sz w:val="24"/>
        </w:rPr>
        <w:t xml:space="preserve"> </w:t>
      </w:r>
      <w:r w:rsidR="00FA56C6">
        <w:rPr>
          <w:rFonts w:ascii="Arial" w:eastAsia="Calibri" w:hAnsi="Arial" w:cs="Arial"/>
          <w:sz w:val="24"/>
        </w:rPr>
        <w:t xml:space="preserve">this Division, per </w:t>
      </w:r>
      <w:r w:rsidR="006A2CC2">
        <w:rPr>
          <w:rFonts w:ascii="Arial" w:eastAsia="Calibri" w:hAnsi="Arial" w:cs="Arial"/>
          <w:sz w:val="24"/>
        </w:rPr>
        <w:t>Binns-Ward J</w:t>
      </w:r>
      <w:r w:rsidR="00FA56C6">
        <w:rPr>
          <w:rFonts w:ascii="Arial" w:eastAsia="Calibri" w:hAnsi="Arial" w:cs="Arial"/>
          <w:sz w:val="24"/>
        </w:rPr>
        <w:t>,</w:t>
      </w:r>
      <w:r w:rsidR="006A2CC2">
        <w:rPr>
          <w:rFonts w:ascii="Arial" w:eastAsia="Calibri" w:hAnsi="Arial" w:cs="Arial"/>
          <w:sz w:val="24"/>
        </w:rPr>
        <w:t xml:space="preserve"> in </w:t>
      </w:r>
      <w:r w:rsidR="006A2CC2" w:rsidRPr="00343EC6">
        <w:rPr>
          <w:rFonts w:ascii="Arial" w:eastAsia="Calibri" w:hAnsi="Arial" w:cs="Arial"/>
          <w:i/>
          <w:iCs/>
          <w:sz w:val="24"/>
        </w:rPr>
        <w:t xml:space="preserve">Forge </w:t>
      </w:r>
      <w:r w:rsidR="00343EC6" w:rsidRPr="00343EC6">
        <w:rPr>
          <w:rFonts w:ascii="Arial" w:eastAsia="Calibri" w:hAnsi="Arial" w:cs="Arial"/>
          <w:i/>
          <w:iCs/>
          <w:sz w:val="24"/>
        </w:rPr>
        <w:t>P</w:t>
      </w:r>
      <w:r w:rsidR="006A2CC2" w:rsidRPr="00343EC6">
        <w:rPr>
          <w:rFonts w:ascii="Arial" w:eastAsia="Calibri" w:hAnsi="Arial" w:cs="Arial"/>
          <w:i/>
          <w:iCs/>
          <w:sz w:val="24"/>
        </w:rPr>
        <w:t>ackaging</w:t>
      </w:r>
      <w:r w:rsidR="00D840BA">
        <w:rPr>
          <w:rFonts w:ascii="Arial" w:eastAsia="Calibri" w:hAnsi="Arial" w:cs="Arial"/>
          <w:i/>
          <w:iCs/>
          <w:sz w:val="24"/>
        </w:rPr>
        <w:t>,</w:t>
      </w:r>
      <w:r w:rsidR="006A2CC2">
        <w:rPr>
          <w:rStyle w:val="FootnoteReference"/>
          <w:rFonts w:ascii="Arial" w:eastAsia="Calibri" w:hAnsi="Arial" w:cs="Arial"/>
          <w:sz w:val="24"/>
        </w:rPr>
        <w:footnoteReference w:id="41"/>
      </w:r>
      <w:r w:rsidR="006A2CC2">
        <w:rPr>
          <w:rFonts w:ascii="Arial" w:eastAsia="Calibri" w:hAnsi="Arial" w:cs="Arial"/>
          <w:sz w:val="24"/>
        </w:rPr>
        <w:t xml:space="preserve"> </w:t>
      </w:r>
      <w:r w:rsidR="00D840BA">
        <w:rPr>
          <w:rFonts w:ascii="Arial" w:eastAsia="Calibri" w:hAnsi="Arial" w:cs="Arial"/>
          <w:sz w:val="24"/>
        </w:rPr>
        <w:t xml:space="preserve">which </w:t>
      </w:r>
      <w:r w:rsidR="00E860DF">
        <w:rPr>
          <w:rFonts w:ascii="Arial" w:eastAsia="Calibri" w:hAnsi="Arial" w:cs="Arial"/>
          <w:sz w:val="24"/>
        </w:rPr>
        <w:t xml:space="preserve">was </w:t>
      </w:r>
      <w:r w:rsidR="00D840BA">
        <w:rPr>
          <w:rFonts w:ascii="Arial" w:eastAsia="Calibri" w:hAnsi="Arial" w:cs="Arial"/>
          <w:sz w:val="24"/>
        </w:rPr>
        <w:t>decided in June last year. It</w:t>
      </w:r>
      <w:r w:rsidR="006A2CC2">
        <w:rPr>
          <w:rFonts w:ascii="Arial" w:eastAsia="Calibri" w:hAnsi="Arial" w:cs="Arial"/>
          <w:sz w:val="24"/>
        </w:rPr>
        <w:t xml:space="preserve"> concerned a </w:t>
      </w:r>
      <w:r w:rsidR="00A9499B">
        <w:rPr>
          <w:rFonts w:ascii="Arial" w:eastAsia="Calibri" w:hAnsi="Arial" w:cs="Arial"/>
          <w:sz w:val="24"/>
        </w:rPr>
        <w:t>review</w:t>
      </w:r>
      <w:r w:rsidR="006A2CC2">
        <w:rPr>
          <w:rFonts w:ascii="Arial" w:eastAsia="Calibri" w:hAnsi="Arial" w:cs="Arial"/>
          <w:sz w:val="24"/>
        </w:rPr>
        <w:t xml:space="preserve"> </w:t>
      </w:r>
      <w:r w:rsidR="007D7EF8">
        <w:rPr>
          <w:rFonts w:ascii="Arial" w:eastAsia="Calibri" w:hAnsi="Arial" w:cs="Arial"/>
          <w:sz w:val="24"/>
        </w:rPr>
        <w:t>(</w:t>
      </w:r>
      <w:r w:rsidR="00F87BFB">
        <w:rPr>
          <w:rFonts w:ascii="Arial" w:eastAsia="Calibri" w:hAnsi="Arial" w:cs="Arial"/>
          <w:sz w:val="24"/>
        </w:rPr>
        <w:t>o</w:t>
      </w:r>
      <w:r w:rsidR="006A2CC2">
        <w:rPr>
          <w:rFonts w:ascii="Arial" w:eastAsia="Calibri" w:hAnsi="Arial" w:cs="Arial"/>
          <w:sz w:val="24"/>
        </w:rPr>
        <w:t xml:space="preserve">f additional assessments which had been levied by the </w:t>
      </w:r>
      <w:r w:rsidR="003A20C7">
        <w:rPr>
          <w:rFonts w:ascii="Arial" w:eastAsia="Calibri" w:hAnsi="Arial" w:cs="Arial"/>
          <w:sz w:val="24"/>
        </w:rPr>
        <w:t>Commissioner),</w:t>
      </w:r>
      <w:r w:rsidR="00F87BFB">
        <w:rPr>
          <w:rFonts w:ascii="Arial" w:eastAsia="Calibri" w:hAnsi="Arial" w:cs="Arial"/>
          <w:sz w:val="24"/>
        </w:rPr>
        <w:t xml:space="preserve"> which had been brought </w:t>
      </w:r>
      <w:r w:rsidR="006A2CC2">
        <w:rPr>
          <w:rFonts w:ascii="Arial" w:eastAsia="Calibri" w:hAnsi="Arial" w:cs="Arial"/>
          <w:sz w:val="24"/>
        </w:rPr>
        <w:t xml:space="preserve">at the time when an appeal was pending in the </w:t>
      </w:r>
      <w:r w:rsidR="00343EC6">
        <w:rPr>
          <w:rFonts w:ascii="Arial" w:eastAsia="Calibri" w:hAnsi="Arial" w:cs="Arial"/>
          <w:sz w:val="24"/>
        </w:rPr>
        <w:t>T</w:t>
      </w:r>
      <w:r w:rsidR="006A2CC2">
        <w:rPr>
          <w:rFonts w:ascii="Arial" w:eastAsia="Calibri" w:hAnsi="Arial" w:cs="Arial"/>
          <w:sz w:val="24"/>
        </w:rPr>
        <w:t xml:space="preserve">ax </w:t>
      </w:r>
      <w:r w:rsidR="00343EC6">
        <w:rPr>
          <w:rFonts w:ascii="Arial" w:eastAsia="Calibri" w:hAnsi="Arial" w:cs="Arial"/>
          <w:sz w:val="24"/>
        </w:rPr>
        <w:t>C</w:t>
      </w:r>
      <w:r w:rsidR="006A2CC2">
        <w:rPr>
          <w:rFonts w:ascii="Arial" w:eastAsia="Calibri" w:hAnsi="Arial" w:cs="Arial"/>
          <w:sz w:val="24"/>
        </w:rPr>
        <w:t xml:space="preserve">ourt. </w:t>
      </w:r>
      <w:r w:rsidR="00343EC6">
        <w:rPr>
          <w:rFonts w:ascii="Arial" w:eastAsia="Calibri" w:hAnsi="Arial" w:cs="Arial"/>
          <w:sz w:val="24"/>
        </w:rPr>
        <w:t xml:space="preserve">As in </w:t>
      </w:r>
      <w:r w:rsidR="00343EC6" w:rsidRPr="00912CC0">
        <w:rPr>
          <w:rFonts w:ascii="Arial" w:eastAsia="Calibri" w:hAnsi="Arial" w:cs="Arial"/>
          <w:i/>
          <w:iCs/>
          <w:sz w:val="24"/>
        </w:rPr>
        <w:t xml:space="preserve">ABSA </w:t>
      </w:r>
      <w:r w:rsidR="00912CC0">
        <w:rPr>
          <w:rFonts w:ascii="Arial" w:eastAsia="Calibri" w:hAnsi="Arial" w:cs="Arial"/>
          <w:sz w:val="24"/>
        </w:rPr>
        <w:t>t</w:t>
      </w:r>
      <w:r w:rsidR="006A2CC2">
        <w:rPr>
          <w:rFonts w:ascii="Arial" w:eastAsia="Calibri" w:hAnsi="Arial" w:cs="Arial"/>
          <w:sz w:val="24"/>
        </w:rPr>
        <w:t xml:space="preserve">he challenge </w:t>
      </w:r>
      <w:r w:rsidR="00F87BFB">
        <w:rPr>
          <w:rFonts w:ascii="Arial" w:eastAsia="Calibri" w:hAnsi="Arial" w:cs="Arial"/>
          <w:sz w:val="24"/>
        </w:rPr>
        <w:t xml:space="preserve">in </w:t>
      </w:r>
      <w:r w:rsidR="00F87BFB" w:rsidRPr="00F87BFB">
        <w:rPr>
          <w:rFonts w:ascii="Arial" w:eastAsia="Calibri" w:hAnsi="Arial" w:cs="Arial"/>
          <w:i/>
          <w:iCs/>
          <w:sz w:val="24"/>
        </w:rPr>
        <w:t>Forge Packaging</w:t>
      </w:r>
      <w:r w:rsidR="00F87BFB">
        <w:rPr>
          <w:rFonts w:ascii="Arial" w:eastAsia="Calibri" w:hAnsi="Arial" w:cs="Arial"/>
          <w:sz w:val="24"/>
        </w:rPr>
        <w:t xml:space="preserve"> </w:t>
      </w:r>
      <w:r w:rsidR="006A2CC2">
        <w:rPr>
          <w:rFonts w:ascii="Arial" w:eastAsia="Calibri" w:hAnsi="Arial" w:cs="Arial"/>
          <w:sz w:val="24"/>
        </w:rPr>
        <w:t xml:space="preserve">was formulated on the basis that the matter was wholly concerned with </w:t>
      </w:r>
      <w:r w:rsidR="00912CC0">
        <w:rPr>
          <w:rFonts w:ascii="Arial" w:eastAsia="Calibri" w:hAnsi="Arial" w:cs="Arial"/>
          <w:sz w:val="24"/>
        </w:rPr>
        <w:t>a</w:t>
      </w:r>
      <w:r w:rsidR="006A2CC2">
        <w:rPr>
          <w:rFonts w:ascii="Arial" w:eastAsia="Calibri" w:hAnsi="Arial" w:cs="Arial"/>
          <w:sz w:val="24"/>
        </w:rPr>
        <w:t xml:space="preserve"> point of law, and </w:t>
      </w:r>
      <w:r w:rsidR="00857F2D">
        <w:rPr>
          <w:rFonts w:ascii="Arial" w:eastAsia="Calibri" w:hAnsi="Arial" w:cs="Arial"/>
          <w:sz w:val="24"/>
        </w:rPr>
        <w:t xml:space="preserve">that </w:t>
      </w:r>
      <w:r w:rsidR="006A2CC2">
        <w:rPr>
          <w:rFonts w:ascii="Arial" w:eastAsia="Calibri" w:hAnsi="Arial" w:cs="Arial"/>
          <w:sz w:val="24"/>
        </w:rPr>
        <w:t xml:space="preserve">the applicant should </w:t>
      </w:r>
      <w:r w:rsidR="00857F2D">
        <w:rPr>
          <w:rFonts w:ascii="Arial" w:eastAsia="Calibri" w:hAnsi="Arial" w:cs="Arial"/>
          <w:sz w:val="24"/>
        </w:rPr>
        <w:t xml:space="preserve">therefore </w:t>
      </w:r>
      <w:r w:rsidR="006A2CC2">
        <w:rPr>
          <w:rFonts w:ascii="Arial" w:eastAsia="Calibri" w:hAnsi="Arial" w:cs="Arial"/>
          <w:sz w:val="24"/>
        </w:rPr>
        <w:t xml:space="preserve">not be compelled to go through the dispute resolution procedures set out in the TAA, including a ‘protracted slog’ in the </w:t>
      </w:r>
      <w:r w:rsidR="00912CC0">
        <w:rPr>
          <w:rFonts w:ascii="Arial" w:eastAsia="Calibri" w:hAnsi="Arial" w:cs="Arial"/>
          <w:sz w:val="24"/>
        </w:rPr>
        <w:t>T</w:t>
      </w:r>
      <w:r w:rsidR="006A2CC2">
        <w:rPr>
          <w:rFonts w:ascii="Arial" w:eastAsia="Calibri" w:hAnsi="Arial" w:cs="Arial"/>
          <w:sz w:val="24"/>
        </w:rPr>
        <w:t xml:space="preserve">ax </w:t>
      </w:r>
      <w:r w:rsidR="00912CC0">
        <w:rPr>
          <w:rFonts w:ascii="Arial" w:eastAsia="Calibri" w:hAnsi="Arial" w:cs="Arial"/>
          <w:sz w:val="24"/>
        </w:rPr>
        <w:t>C</w:t>
      </w:r>
      <w:r w:rsidR="006A2CC2">
        <w:rPr>
          <w:rFonts w:ascii="Arial" w:eastAsia="Calibri" w:hAnsi="Arial" w:cs="Arial"/>
          <w:sz w:val="24"/>
        </w:rPr>
        <w:t xml:space="preserve">ourt. </w:t>
      </w:r>
    </w:p>
    <w:p w14:paraId="2820B821" w14:textId="623D628C" w:rsidR="00912CC0"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56.</w:t>
      </w:r>
      <w:r>
        <w:rPr>
          <w:rFonts w:ascii="Arial" w:eastAsia="Calibri" w:hAnsi="Arial" w:cs="Arial"/>
          <w:sz w:val="24"/>
        </w:rPr>
        <w:tab/>
      </w:r>
      <w:r w:rsidR="006A2CC2">
        <w:rPr>
          <w:rFonts w:ascii="Arial" w:eastAsia="Calibri" w:hAnsi="Arial" w:cs="Arial"/>
          <w:sz w:val="24"/>
        </w:rPr>
        <w:t xml:space="preserve">Binns-Ward J pointed out that not only was the matter one which was not based exclusively on </w:t>
      </w:r>
      <w:r w:rsidR="00912CC0">
        <w:rPr>
          <w:rFonts w:ascii="Arial" w:eastAsia="Calibri" w:hAnsi="Arial" w:cs="Arial"/>
          <w:sz w:val="24"/>
        </w:rPr>
        <w:t xml:space="preserve">a </w:t>
      </w:r>
      <w:r w:rsidR="006A2CC2">
        <w:rPr>
          <w:rFonts w:ascii="Arial" w:eastAsia="Calibri" w:hAnsi="Arial" w:cs="Arial"/>
          <w:sz w:val="24"/>
        </w:rPr>
        <w:t xml:space="preserve">point of law </w:t>
      </w:r>
      <w:r w:rsidR="00E860DF">
        <w:rPr>
          <w:rFonts w:ascii="Arial" w:eastAsia="Calibri" w:hAnsi="Arial" w:cs="Arial"/>
          <w:sz w:val="24"/>
        </w:rPr>
        <w:t>and</w:t>
      </w:r>
      <w:r w:rsidR="006A2CC2">
        <w:rPr>
          <w:rFonts w:ascii="Arial" w:eastAsia="Calibri" w:hAnsi="Arial" w:cs="Arial"/>
          <w:sz w:val="24"/>
        </w:rPr>
        <w:t xml:space="preserve"> concerned</w:t>
      </w:r>
      <w:r w:rsidR="00343EC6">
        <w:rPr>
          <w:rFonts w:ascii="Arial" w:eastAsia="Calibri" w:hAnsi="Arial" w:cs="Arial"/>
          <w:sz w:val="24"/>
        </w:rPr>
        <w:t xml:space="preserve"> material, commercial disputes of fact</w:t>
      </w:r>
      <w:r w:rsidR="00912CC0">
        <w:rPr>
          <w:rFonts w:ascii="Arial" w:eastAsia="Calibri" w:hAnsi="Arial" w:cs="Arial"/>
          <w:sz w:val="24"/>
        </w:rPr>
        <w:t>,</w:t>
      </w:r>
      <w:r w:rsidR="00343EC6">
        <w:rPr>
          <w:rFonts w:ascii="Arial" w:eastAsia="Calibri" w:hAnsi="Arial" w:cs="Arial"/>
          <w:sz w:val="24"/>
        </w:rPr>
        <w:t xml:space="preserve"> but even if </w:t>
      </w:r>
      <w:r w:rsidR="00D840BA">
        <w:rPr>
          <w:rFonts w:ascii="Arial" w:eastAsia="Calibri" w:hAnsi="Arial" w:cs="Arial"/>
          <w:sz w:val="24"/>
        </w:rPr>
        <w:t>it</w:t>
      </w:r>
      <w:r w:rsidR="00343EC6">
        <w:rPr>
          <w:rFonts w:ascii="Arial" w:eastAsia="Calibri" w:hAnsi="Arial" w:cs="Arial"/>
          <w:sz w:val="24"/>
        </w:rPr>
        <w:t xml:space="preserve"> was amenable to determination on a purely legal </w:t>
      </w:r>
      <w:r w:rsidR="00F87BFB">
        <w:rPr>
          <w:rFonts w:ascii="Arial" w:eastAsia="Calibri" w:hAnsi="Arial" w:cs="Arial"/>
          <w:sz w:val="24"/>
        </w:rPr>
        <w:t>issue</w:t>
      </w:r>
      <w:r w:rsidR="00343EC6">
        <w:rPr>
          <w:rFonts w:ascii="Arial" w:eastAsia="Calibri" w:hAnsi="Arial" w:cs="Arial"/>
          <w:sz w:val="24"/>
        </w:rPr>
        <w:t xml:space="preserve"> without the need for any oral evidence, there was no need for a </w:t>
      </w:r>
      <w:r w:rsidR="00D840BA">
        <w:rPr>
          <w:rFonts w:ascii="Arial" w:eastAsia="Calibri" w:hAnsi="Arial" w:cs="Arial"/>
          <w:sz w:val="24"/>
        </w:rPr>
        <w:t>‘</w:t>
      </w:r>
      <w:r w:rsidR="00343EC6">
        <w:rPr>
          <w:rFonts w:ascii="Arial" w:eastAsia="Calibri" w:hAnsi="Arial" w:cs="Arial"/>
          <w:sz w:val="24"/>
        </w:rPr>
        <w:t>slog</w:t>
      </w:r>
      <w:r w:rsidR="00D840BA">
        <w:rPr>
          <w:rFonts w:ascii="Arial" w:eastAsia="Calibri" w:hAnsi="Arial" w:cs="Arial"/>
          <w:sz w:val="24"/>
        </w:rPr>
        <w:t>’</w:t>
      </w:r>
      <w:r w:rsidR="00343EC6">
        <w:rPr>
          <w:rFonts w:ascii="Arial" w:eastAsia="Calibri" w:hAnsi="Arial" w:cs="Arial"/>
          <w:sz w:val="24"/>
        </w:rPr>
        <w:t xml:space="preserve"> in the </w:t>
      </w:r>
      <w:r w:rsidR="00912CC0">
        <w:rPr>
          <w:rFonts w:ascii="Arial" w:eastAsia="Calibri" w:hAnsi="Arial" w:cs="Arial"/>
          <w:sz w:val="24"/>
        </w:rPr>
        <w:t>T</w:t>
      </w:r>
      <w:r w:rsidR="00343EC6">
        <w:rPr>
          <w:rFonts w:ascii="Arial" w:eastAsia="Calibri" w:hAnsi="Arial" w:cs="Arial"/>
          <w:sz w:val="24"/>
        </w:rPr>
        <w:t xml:space="preserve">ax </w:t>
      </w:r>
      <w:r w:rsidR="00912CC0">
        <w:rPr>
          <w:rFonts w:ascii="Arial" w:eastAsia="Calibri" w:hAnsi="Arial" w:cs="Arial"/>
          <w:sz w:val="24"/>
        </w:rPr>
        <w:t>C</w:t>
      </w:r>
      <w:r w:rsidR="00343EC6">
        <w:rPr>
          <w:rFonts w:ascii="Arial" w:eastAsia="Calibri" w:hAnsi="Arial" w:cs="Arial"/>
          <w:sz w:val="24"/>
        </w:rPr>
        <w:t>ourt as the TAA made provision</w:t>
      </w:r>
      <w:r w:rsidR="00343EC6">
        <w:rPr>
          <w:rStyle w:val="FootnoteReference"/>
          <w:rFonts w:ascii="Arial" w:eastAsia="Calibri" w:hAnsi="Arial" w:cs="Arial"/>
          <w:sz w:val="24"/>
        </w:rPr>
        <w:footnoteReference w:id="42"/>
      </w:r>
      <w:r w:rsidR="00343EC6">
        <w:rPr>
          <w:rFonts w:ascii="Arial" w:eastAsia="Calibri" w:hAnsi="Arial" w:cs="Arial"/>
          <w:sz w:val="24"/>
        </w:rPr>
        <w:t xml:space="preserve"> for a</w:t>
      </w:r>
      <w:r w:rsidR="00F87BFB">
        <w:rPr>
          <w:rFonts w:ascii="Arial" w:eastAsia="Calibri" w:hAnsi="Arial" w:cs="Arial"/>
          <w:sz w:val="24"/>
        </w:rPr>
        <w:t xml:space="preserve"> tax appeal </w:t>
      </w:r>
      <w:r w:rsidR="00343EC6">
        <w:rPr>
          <w:rFonts w:ascii="Arial" w:eastAsia="Calibri" w:hAnsi="Arial" w:cs="Arial"/>
          <w:sz w:val="24"/>
        </w:rPr>
        <w:t xml:space="preserve">which concerned a point of law only, to be heard by the </w:t>
      </w:r>
      <w:r w:rsidR="00912CC0">
        <w:rPr>
          <w:rFonts w:ascii="Arial" w:eastAsia="Calibri" w:hAnsi="Arial" w:cs="Arial"/>
          <w:sz w:val="24"/>
        </w:rPr>
        <w:t>P</w:t>
      </w:r>
      <w:r w:rsidR="00343EC6">
        <w:rPr>
          <w:rFonts w:ascii="Arial" w:eastAsia="Calibri" w:hAnsi="Arial" w:cs="Arial"/>
          <w:sz w:val="24"/>
        </w:rPr>
        <w:t xml:space="preserve">resident of the </w:t>
      </w:r>
      <w:r w:rsidR="00912CC0">
        <w:rPr>
          <w:rFonts w:ascii="Arial" w:eastAsia="Calibri" w:hAnsi="Arial" w:cs="Arial"/>
          <w:sz w:val="24"/>
        </w:rPr>
        <w:t>C</w:t>
      </w:r>
      <w:r w:rsidR="00343EC6">
        <w:rPr>
          <w:rFonts w:ascii="Arial" w:eastAsia="Calibri" w:hAnsi="Arial" w:cs="Arial"/>
          <w:sz w:val="24"/>
        </w:rPr>
        <w:t xml:space="preserve">ourt, sitting alone without assessors. </w:t>
      </w:r>
    </w:p>
    <w:p w14:paraId="1CF1B5A4" w14:textId="5FFC044A" w:rsidR="00343EC6"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57.</w:t>
      </w:r>
      <w:r>
        <w:rPr>
          <w:rFonts w:ascii="Arial" w:eastAsia="Calibri" w:hAnsi="Arial" w:cs="Arial"/>
          <w:sz w:val="24"/>
        </w:rPr>
        <w:tab/>
      </w:r>
      <w:r w:rsidR="00343EC6">
        <w:rPr>
          <w:rFonts w:ascii="Arial" w:eastAsia="Calibri" w:hAnsi="Arial" w:cs="Arial"/>
          <w:sz w:val="24"/>
        </w:rPr>
        <w:t xml:space="preserve">Thus, if the question of law arose from facts that were common cause or undisputed, there was no reason why the </w:t>
      </w:r>
      <w:r w:rsidR="00912CC0">
        <w:rPr>
          <w:rFonts w:ascii="Arial" w:eastAsia="Calibri" w:hAnsi="Arial" w:cs="Arial"/>
          <w:sz w:val="24"/>
        </w:rPr>
        <w:t>T</w:t>
      </w:r>
      <w:r w:rsidR="00343EC6">
        <w:rPr>
          <w:rFonts w:ascii="Arial" w:eastAsia="Calibri" w:hAnsi="Arial" w:cs="Arial"/>
          <w:sz w:val="24"/>
        </w:rPr>
        <w:t xml:space="preserve">ax </w:t>
      </w:r>
      <w:r w:rsidR="00912CC0">
        <w:rPr>
          <w:rFonts w:ascii="Arial" w:eastAsia="Calibri" w:hAnsi="Arial" w:cs="Arial"/>
          <w:sz w:val="24"/>
        </w:rPr>
        <w:t>C</w:t>
      </w:r>
      <w:r w:rsidR="00343EC6">
        <w:rPr>
          <w:rFonts w:ascii="Arial" w:eastAsia="Calibri" w:hAnsi="Arial" w:cs="Arial"/>
          <w:sz w:val="24"/>
        </w:rPr>
        <w:t xml:space="preserve">ourt could not deal with </w:t>
      </w:r>
      <w:r w:rsidR="00912CC0">
        <w:rPr>
          <w:rFonts w:ascii="Arial" w:eastAsia="Calibri" w:hAnsi="Arial" w:cs="Arial"/>
          <w:sz w:val="24"/>
        </w:rPr>
        <w:t xml:space="preserve">it in the </w:t>
      </w:r>
      <w:r w:rsidR="00343EC6">
        <w:rPr>
          <w:rFonts w:ascii="Arial" w:eastAsia="Calibri" w:hAnsi="Arial" w:cs="Arial"/>
          <w:sz w:val="24"/>
        </w:rPr>
        <w:t xml:space="preserve"> </w:t>
      </w:r>
      <w:r w:rsidR="00D840BA">
        <w:rPr>
          <w:rFonts w:ascii="Arial" w:eastAsia="Calibri" w:hAnsi="Arial" w:cs="Arial"/>
          <w:sz w:val="24"/>
        </w:rPr>
        <w:t xml:space="preserve">pending </w:t>
      </w:r>
      <w:r w:rsidR="00343EC6">
        <w:rPr>
          <w:rFonts w:ascii="Arial" w:eastAsia="Calibri" w:hAnsi="Arial" w:cs="Arial"/>
          <w:sz w:val="24"/>
        </w:rPr>
        <w:t>appeal</w:t>
      </w:r>
      <w:r w:rsidR="00912CC0">
        <w:rPr>
          <w:rFonts w:ascii="Arial" w:eastAsia="Calibri" w:hAnsi="Arial" w:cs="Arial"/>
          <w:sz w:val="24"/>
        </w:rPr>
        <w:t xml:space="preserve"> by way of a </w:t>
      </w:r>
      <w:r w:rsidR="00343EC6">
        <w:rPr>
          <w:rFonts w:ascii="Arial" w:eastAsia="Calibri" w:hAnsi="Arial" w:cs="Arial"/>
          <w:sz w:val="24"/>
        </w:rPr>
        <w:t>stated case,</w:t>
      </w:r>
      <w:r w:rsidR="00343EC6">
        <w:rPr>
          <w:rStyle w:val="FootnoteReference"/>
          <w:rFonts w:ascii="Arial" w:eastAsia="Calibri" w:hAnsi="Arial" w:cs="Arial"/>
          <w:sz w:val="24"/>
        </w:rPr>
        <w:footnoteReference w:id="43"/>
      </w:r>
      <w:r w:rsidR="00343EC6">
        <w:rPr>
          <w:rFonts w:ascii="Arial" w:eastAsia="Calibri" w:hAnsi="Arial" w:cs="Arial"/>
          <w:sz w:val="24"/>
        </w:rPr>
        <w:t xml:space="preserve"> and nothing prevented </w:t>
      </w:r>
      <w:r w:rsidR="00451AC7">
        <w:rPr>
          <w:rFonts w:ascii="Arial" w:eastAsia="Calibri" w:hAnsi="Arial" w:cs="Arial"/>
          <w:sz w:val="24"/>
        </w:rPr>
        <w:t xml:space="preserve">the </w:t>
      </w:r>
      <w:r w:rsidR="00343EC6">
        <w:rPr>
          <w:rFonts w:ascii="Arial" w:eastAsia="Calibri" w:hAnsi="Arial" w:cs="Arial"/>
          <w:sz w:val="24"/>
        </w:rPr>
        <w:t xml:space="preserve">taxpayer from requesting the </w:t>
      </w:r>
      <w:r w:rsidR="00451AC7">
        <w:rPr>
          <w:rFonts w:ascii="Arial" w:eastAsia="Calibri" w:hAnsi="Arial" w:cs="Arial"/>
          <w:sz w:val="24"/>
        </w:rPr>
        <w:t>T</w:t>
      </w:r>
      <w:r w:rsidR="00343EC6">
        <w:rPr>
          <w:rFonts w:ascii="Arial" w:eastAsia="Calibri" w:hAnsi="Arial" w:cs="Arial"/>
          <w:sz w:val="24"/>
        </w:rPr>
        <w:t xml:space="preserve">ax </w:t>
      </w:r>
      <w:r w:rsidR="00451AC7">
        <w:rPr>
          <w:rFonts w:ascii="Arial" w:eastAsia="Calibri" w:hAnsi="Arial" w:cs="Arial"/>
          <w:sz w:val="24"/>
        </w:rPr>
        <w:t>C</w:t>
      </w:r>
      <w:r w:rsidR="00343EC6">
        <w:rPr>
          <w:rFonts w:ascii="Arial" w:eastAsia="Calibri" w:hAnsi="Arial" w:cs="Arial"/>
          <w:sz w:val="24"/>
        </w:rPr>
        <w:t xml:space="preserve">ourt to hear and decide the point, separately from </w:t>
      </w:r>
      <w:r w:rsidR="00D840BA">
        <w:rPr>
          <w:rFonts w:ascii="Arial" w:eastAsia="Calibri" w:hAnsi="Arial" w:cs="Arial"/>
          <w:sz w:val="24"/>
        </w:rPr>
        <w:t xml:space="preserve">or </w:t>
      </w:r>
      <w:r w:rsidR="00FD57CD">
        <w:rPr>
          <w:rFonts w:ascii="Arial" w:eastAsia="Calibri" w:hAnsi="Arial" w:cs="Arial"/>
          <w:sz w:val="24"/>
        </w:rPr>
        <w:t>prior to</w:t>
      </w:r>
      <w:r w:rsidR="00343EC6">
        <w:rPr>
          <w:rFonts w:ascii="Arial" w:eastAsia="Calibri" w:hAnsi="Arial" w:cs="Arial"/>
          <w:sz w:val="24"/>
        </w:rPr>
        <w:t xml:space="preserve"> the remaining issues, if </w:t>
      </w:r>
      <w:r w:rsidR="00D840BA">
        <w:rPr>
          <w:rFonts w:ascii="Arial" w:eastAsia="Calibri" w:hAnsi="Arial" w:cs="Arial"/>
          <w:sz w:val="24"/>
        </w:rPr>
        <w:t>it</w:t>
      </w:r>
      <w:r w:rsidR="00343EC6">
        <w:rPr>
          <w:rFonts w:ascii="Arial" w:eastAsia="Calibri" w:hAnsi="Arial" w:cs="Arial"/>
          <w:sz w:val="24"/>
        </w:rPr>
        <w:t xml:space="preserve"> would be dispositive. In the circumstances the learned </w:t>
      </w:r>
      <w:r w:rsidR="00343EC6">
        <w:rPr>
          <w:rFonts w:ascii="Arial" w:eastAsia="Calibri" w:hAnsi="Arial" w:cs="Arial"/>
          <w:sz w:val="24"/>
        </w:rPr>
        <w:lastRenderedPageBreak/>
        <w:t xml:space="preserve">judge was not persuaded that the applicant had shown good cause for </w:t>
      </w:r>
      <w:r w:rsidR="00451AC7">
        <w:rPr>
          <w:rFonts w:ascii="Arial" w:eastAsia="Calibri" w:hAnsi="Arial" w:cs="Arial"/>
          <w:sz w:val="24"/>
        </w:rPr>
        <w:t>a</w:t>
      </w:r>
      <w:r w:rsidR="00D840BA">
        <w:rPr>
          <w:rFonts w:ascii="Arial" w:eastAsia="Calibri" w:hAnsi="Arial" w:cs="Arial"/>
          <w:sz w:val="24"/>
        </w:rPr>
        <w:t xml:space="preserve"> </w:t>
      </w:r>
      <w:r w:rsidR="00343EC6">
        <w:rPr>
          <w:rFonts w:ascii="Arial" w:eastAsia="Calibri" w:hAnsi="Arial" w:cs="Arial"/>
          <w:sz w:val="24"/>
        </w:rPr>
        <w:t xml:space="preserve">directive in terms of </w:t>
      </w:r>
      <w:r w:rsidR="00D840BA">
        <w:rPr>
          <w:rFonts w:ascii="Arial" w:eastAsia="Calibri" w:hAnsi="Arial" w:cs="Arial"/>
          <w:sz w:val="24"/>
        </w:rPr>
        <w:t xml:space="preserve">s </w:t>
      </w:r>
      <w:r w:rsidR="00343EC6">
        <w:rPr>
          <w:rFonts w:ascii="Arial" w:eastAsia="Calibri" w:hAnsi="Arial" w:cs="Arial"/>
          <w:sz w:val="24"/>
        </w:rPr>
        <w:t xml:space="preserve">105 of the TAA that the matter </w:t>
      </w:r>
      <w:r w:rsidR="007D7EF8">
        <w:rPr>
          <w:rFonts w:ascii="Arial" w:eastAsia="Calibri" w:hAnsi="Arial" w:cs="Arial"/>
          <w:sz w:val="24"/>
        </w:rPr>
        <w:t xml:space="preserve">should </w:t>
      </w:r>
      <w:r w:rsidR="00343EC6">
        <w:rPr>
          <w:rFonts w:ascii="Arial" w:eastAsia="Calibri" w:hAnsi="Arial" w:cs="Arial"/>
          <w:sz w:val="24"/>
        </w:rPr>
        <w:t>be heard in the High Court. An application for leave to appeal the decision was subsequently dismissed.</w:t>
      </w:r>
      <w:r w:rsidR="00343EC6">
        <w:rPr>
          <w:rStyle w:val="FootnoteReference"/>
          <w:rFonts w:ascii="Arial" w:eastAsia="Calibri" w:hAnsi="Arial" w:cs="Arial"/>
          <w:sz w:val="24"/>
        </w:rPr>
        <w:footnoteReference w:id="44"/>
      </w:r>
      <w:r w:rsidR="00B1457F">
        <w:rPr>
          <w:rFonts w:ascii="Arial" w:eastAsia="Calibri" w:hAnsi="Arial" w:cs="Arial"/>
          <w:sz w:val="24"/>
        </w:rPr>
        <w:t xml:space="preserve"> </w:t>
      </w:r>
    </w:p>
    <w:p w14:paraId="21AB0D95" w14:textId="05B731BE" w:rsidR="00E94B18"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58.</w:t>
      </w:r>
      <w:r>
        <w:rPr>
          <w:rFonts w:ascii="Arial" w:eastAsia="Calibri" w:hAnsi="Arial" w:cs="Arial"/>
          <w:sz w:val="24"/>
        </w:rPr>
        <w:tab/>
      </w:r>
      <w:r w:rsidR="000560CC">
        <w:rPr>
          <w:rFonts w:ascii="Arial" w:eastAsia="Calibri" w:hAnsi="Arial" w:cs="Arial"/>
          <w:sz w:val="24"/>
        </w:rPr>
        <w:t xml:space="preserve">Shortly after the initial argument was heard in this matter, the Supreme Court of Appeal </w:t>
      </w:r>
      <w:r w:rsidR="00F87BFB">
        <w:rPr>
          <w:rFonts w:ascii="Arial" w:eastAsia="Calibri" w:hAnsi="Arial" w:cs="Arial"/>
          <w:sz w:val="24"/>
        </w:rPr>
        <w:t xml:space="preserve">handed down </w:t>
      </w:r>
      <w:r w:rsidR="000560CC">
        <w:rPr>
          <w:rFonts w:ascii="Arial" w:eastAsia="Calibri" w:hAnsi="Arial" w:cs="Arial"/>
          <w:sz w:val="24"/>
        </w:rPr>
        <w:t>judgment</w:t>
      </w:r>
      <w:r w:rsidR="00F87BFB">
        <w:rPr>
          <w:rFonts w:ascii="Arial" w:eastAsia="Calibri" w:hAnsi="Arial" w:cs="Arial"/>
          <w:sz w:val="24"/>
        </w:rPr>
        <w:t xml:space="preserve">s in </w:t>
      </w:r>
      <w:r w:rsidR="000560CC">
        <w:rPr>
          <w:rFonts w:ascii="Arial" w:eastAsia="Calibri" w:hAnsi="Arial" w:cs="Arial"/>
          <w:sz w:val="24"/>
        </w:rPr>
        <w:t xml:space="preserve">2 matters which pronounced on </w:t>
      </w:r>
      <w:r w:rsidR="00F87BFB">
        <w:rPr>
          <w:rFonts w:ascii="Arial" w:eastAsia="Calibri" w:hAnsi="Arial" w:cs="Arial"/>
          <w:sz w:val="24"/>
        </w:rPr>
        <w:t>s</w:t>
      </w:r>
      <w:r w:rsidR="000560CC">
        <w:rPr>
          <w:rFonts w:ascii="Arial" w:eastAsia="Calibri" w:hAnsi="Arial" w:cs="Arial"/>
          <w:sz w:val="24"/>
        </w:rPr>
        <w:t xml:space="preserve"> </w:t>
      </w:r>
      <w:r w:rsidR="00E94B18">
        <w:rPr>
          <w:rFonts w:ascii="Arial" w:eastAsia="Calibri" w:hAnsi="Arial" w:cs="Arial"/>
          <w:sz w:val="24"/>
        </w:rPr>
        <w:t>105 of</w:t>
      </w:r>
      <w:r w:rsidR="000560CC">
        <w:rPr>
          <w:rFonts w:ascii="Arial" w:eastAsia="Calibri" w:hAnsi="Arial" w:cs="Arial"/>
          <w:sz w:val="24"/>
        </w:rPr>
        <w:t xml:space="preserve"> the TAA</w:t>
      </w:r>
      <w:r w:rsidR="00857F2D">
        <w:rPr>
          <w:rFonts w:ascii="Arial" w:eastAsia="Calibri" w:hAnsi="Arial" w:cs="Arial"/>
          <w:sz w:val="24"/>
        </w:rPr>
        <w:t xml:space="preserve">: </w:t>
      </w:r>
      <w:r w:rsidR="00F87BFB" w:rsidRPr="00A87768">
        <w:rPr>
          <w:rFonts w:ascii="Arial" w:eastAsia="Calibri" w:hAnsi="Arial" w:cs="Arial"/>
          <w:i/>
          <w:iCs/>
          <w:sz w:val="24"/>
        </w:rPr>
        <w:t>Rappa Resources</w:t>
      </w:r>
      <w:r w:rsidR="00E94B18">
        <w:rPr>
          <w:rFonts w:ascii="Arial" w:eastAsia="Calibri" w:hAnsi="Arial" w:cs="Arial"/>
          <w:i/>
          <w:iCs/>
          <w:sz w:val="24"/>
        </w:rPr>
        <w:t>,</w:t>
      </w:r>
      <w:r w:rsidR="00F87BFB">
        <w:rPr>
          <w:rStyle w:val="FootnoteReference"/>
          <w:rFonts w:ascii="Arial" w:eastAsia="Calibri" w:hAnsi="Arial" w:cs="Arial"/>
          <w:sz w:val="24"/>
        </w:rPr>
        <w:footnoteReference w:id="45"/>
      </w:r>
      <w:r w:rsidR="00F87BFB">
        <w:rPr>
          <w:rFonts w:ascii="Arial" w:eastAsia="Calibri" w:hAnsi="Arial" w:cs="Arial"/>
          <w:sz w:val="24"/>
        </w:rPr>
        <w:t xml:space="preserve"> </w:t>
      </w:r>
      <w:r w:rsidR="00857F2D">
        <w:rPr>
          <w:rFonts w:ascii="Arial" w:eastAsia="Calibri" w:hAnsi="Arial" w:cs="Arial"/>
          <w:sz w:val="24"/>
        </w:rPr>
        <w:t xml:space="preserve">which </w:t>
      </w:r>
      <w:r w:rsidR="000560CC">
        <w:rPr>
          <w:rFonts w:ascii="Arial" w:eastAsia="Calibri" w:hAnsi="Arial" w:cs="Arial"/>
          <w:sz w:val="24"/>
        </w:rPr>
        <w:t>concerned the levying of VAT assessments, penalties and interest</w:t>
      </w:r>
      <w:r w:rsidR="00857F2D">
        <w:rPr>
          <w:rFonts w:ascii="Arial" w:eastAsia="Calibri" w:hAnsi="Arial" w:cs="Arial"/>
          <w:sz w:val="24"/>
        </w:rPr>
        <w:t xml:space="preserve"> and </w:t>
      </w:r>
      <w:r w:rsidR="000560CC" w:rsidRPr="00A87768">
        <w:rPr>
          <w:rFonts w:ascii="Arial" w:eastAsia="Calibri" w:hAnsi="Arial" w:cs="Arial"/>
          <w:i/>
          <w:iCs/>
          <w:sz w:val="24"/>
        </w:rPr>
        <w:t xml:space="preserve">United </w:t>
      </w:r>
      <w:r w:rsidR="00A87768" w:rsidRPr="00A87768">
        <w:rPr>
          <w:rFonts w:ascii="Arial" w:eastAsia="Calibri" w:hAnsi="Arial" w:cs="Arial"/>
          <w:i/>
          <w:iCs/>
          <w:sz w:val="24"/>
        </w:rPr>
        <w:t>M</w:t>
      </w:r>
      <w:r w:rsidR="000560CC" w:rsidRPr="00A87768">
        <w:rPr>
          <w:rFonts w:ascii="Arial" w:eastAsia="Calibri" w:hAnsi="Arial" w:cs="Arial"/>
          <w:i/>
          <w:iCs/>
          <w:sz w:val="24"/>
        </w:rPr>
        <w:t>anganese</w:t>
      </w:r>
      <w:r w:rsidR="00E94B18">
        <w:rPr>
          <w:rFonts w:ascii="Arial" w:eastAsia="Calibri" w:hAnsi="Arial" w:cs="Arial"/>
          <w:i/>
          <w:iCs/>
          <w:sz w:val="24"/>
        </w:rPr>
        <w:t>,</w:t>
      </w:r>
      <w:r w:rsidR="000560CC">
        <w:rPr>
          <w:rFonts w:ascii="Arial" w:eastAsia="Calibri" w:hAnsi="Arial" w:cs="Arial"/>
          <w:sz w:val="24"/>
        </w:rPr>
        <w:t xml:space="preserve"> </w:t>
      </w:r>
      <w:r w:rsidR="00A87768">
        <w:rPr>
          <w:rStyle w:val="FootnoteReference"/>
          <w:rFonts w:ascii="Arial" w:eastAsia="Calibri" w:hAnsi="Arial" w:cs="Arial"/>
          <w:sz w:val="24"/>
        </w:rPr>
        <w:footnoteReference w:id="46"/>
      </w:r>
      <w:r w:rsidR="00E94B18">
        <w:rPr>
          <w:rFonts w:ascii="Arial" w:eastAsia="Calibri" w:hAnsi="Arial" w:cs="Arial"/>
          <w:sz w:val="24"/>
        </w:rPr>
        <w:t xml:space="preserve"> </w:t>
      </w:r>
      <w:r w:rsidR="00857F2D">
        <w:rPr>
          <w:rFonts w:ascii="Arial" w:eastAsia="Calibri" w:hAnsi="Arial" w:cs="Arial"/>
          <w:sz w:val="24"/>
        </w:rPr>
        <w:t xml:space="preserve">which </w:t>
      </w:r>
      <w:r w:rsidR="000560CC">
        <w:rPr>
          <w:rFonts w:ascii="Arial" w:eastAsia="Calibri" w:hAnsi="Arial" w:cs="Arial"/>
          <w:sz w:val="24"/>
        </w:rPr>
        <w:t xml:space="preserve">concerned adjustments that were made </w:t>
      </w:r>
      <w:r w:rsidR="00E94B18">
        <w:rPr>
          <w:rFonts w:ascii="Arial" w:eastAsia="Calibri" w:hAnsi="Arial" w:cs="Arial"/>
          <w:sz w:val="24"/>
        </w:rPr>
        <w:t xml:space="preserve">to </w:t>
      </w:r>
      <w:r w:rsidR="000560CC">
        <w:rPr>
          <w:rFonts w:ascii="Arial" w:eastAsia="Calibri" w:hAnsi="Arial" w:cs="Arial"/>
          <w:sz w:val="24"/>
        </w:rPr>
        <w:t xml:space="preserve">taxable income </w:t>
      </w:r>
      <w:r w:rsidR="00E94B18">
        <w:rPr>
          <w:rFonts w:ascii="Arial" w:eastAsia="Calibri" w:hAnsi="Arial" w:cs="Arial"/>
          <w:sz w:val="24"/>
        </w:rPr>
        <w:t>and</w:t>
      </w:r>
      <w:r w:rsidR="000560CC">
        <w:rPr>
          <w:rFonts w:ascii="Arial" w:eastAsia="Calibri" w:hAnsi="Arial" w:cs="Arial"/>
          <w:sz w:val="24"/>
        </w:rPr>
        <w:t xml:space="preserve"> the imposition of dividends tax and understatement penalties.  </w:t>
      </w:r>
    </w:p>
    <w:p w14:paraId="2434456E" w14:textId="3680C94C" w:rsidR="00E94B18"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59.</w:t>
      </w:r>
      <w:r>
        <w:rPr>
          <w:rFonts w:ascii="Arial" w:eastAsia="Calibri" w:hAnsi="Arial" w:cs="Arial"/>
          <w:sz w:val="24"/>
        </w:rPr>
        <w:tab/>
      </w:r>
      <w:r w:rsidR="00E94B18">
        <w:rPr>
          <w:rFonts w:ascii="Arial" w:eastAsia="Calibri" w:hAnsi="Arial" w:cs="Arial"/>
          <w:sz w:val="24"/>
        </w:rPr>
        <w:t>I</w:t>
      </w:r>
      <w:r w:rsidR="000560CC">
        <w:rPr>
          <w:rFonts w:ascii="Arial" w:eastAsia="Calibri" w:hAnsi="Arial" w:cs="Arial"/>
          <w:sz w:val="24"/>
        </w:rPr>
        <w:t xml:space="preserve">n </w:t>
      </w:r>
      <w:r w:rsidR="00E94B18" w:rsidRPr="00E94B18">
        <w:rPr>
          <w:rFonts w:ascii="Arial" w:eastAsia="Calibri" w:hAnsi="Arial" w:cs="Arial"/>
          <w:i/>
          <w:iCs/>
          <w:sz w:val="24"/>
        </w:rPr>
        <w:t>Rappa Resources</w:t>
      </w:r>
      <w:r w:rsidR="00E94B18">
        <w:rPr>
          <w:rFonts w:ascii="Arial" w:eastAsia="Calibri" w:hAnsi="Arial" w:cs="Arial"/>
          <w:sz w:val="24"/>
        </w:rPr>
        <w:t xml:space="preserve"> </w:t>
      </w:r>
      <w:r w:rsidR="000560CC">
        <w:rPr>
          <w:rFonts w:ascii="Arial" w:eastAsia="Calibri" w:hAnsi="Arial" w:cs="Arial"/>
          <w:sz w:val="24"/>
        </w:rPr>
        <w:t xml:space="preserve">the applicant had sought orders </w:t>
      </w:r>
      <w:r w:rsidR="007D7EF8">
        <w:rPr>
          <w:rFonts w:ascii="Arial" w:eastAsia="Calibri" w:hAnsi="Arial" w:cs="Arial"/>
          <w:sz w:val="24"/>
        </w:rPr>
        <w:t xml:space="preserve">in the Court </w:t>
      </w:r>
      <w:r w:rsidR="007D7EF8" w:rsidRPr="00E94B18">
        <w:rPr>
          <w:rFonts w:ascii="Arial" w:eastAsia="Calibri" w:hAnsi="Arial" w:cs="Arial"/>
          <w:i/>
          <w:iCs/>
          <w:sz w:val="24"/>
        </w:rPr>
        <w:t>a quo</w:t>
      </w:r>
      <w:r w:rsidR="007D7EF8">
        <w:rPr>
          <w:rFonts w:ascii="Arial" w:eastAsia="Calibri" w:hAnsi="Arial" w:cs="Arial"/>
          <w:sz w:val="24"/>
        </w:rPr>
        <w:t xml:space="preserve"> </w:t>
      </w:r>
      <w:r w:rsidR="000560CC">
        <w:rPr>
          <w:rFonts w:ascii="Arial" w:eastAsia="Calibri" w:hAnsi="Arial" w:cs="Arial"/>
          <w:sz w:val="24"/>
        </w:rPr>
        <w:t xml:space="preserve">reviewing and setting aside </w:t>
      </w:r>
      <w:r w:rsidR="00E94B18">
        <w:rPr>
          <w:rFonts w:ascii="Arial" w:eastAsia="Calibri" w:hAnsi="Arial" w:cs="Arial"/>
          <w:sz w:val="24"/>
        </w:rPr>
        <w:t xml:space="preserve">the assessments </w:t>
      </w:r>
      <w:r w:rsidR="000560CC">
        <w:rPr>
          <w:rFonts w:ascii="Arial" w:eastAsia="Calibri" w:hAnsi="Arial" w:cs="Arial"/>
          <w:sz w:val="24"/>
        </w:rPr>
        <w:t xml:space="preserve">and declaring that the Commissioner’s decision to issue </w:t>
      </w:r>
      <w:r w:rsidR="00E94B18">
        <w:rPr>
          <w:rFonts w:ascii="Arial" w:eastAsia="Calibri" w:hAnsi="Arial" w:cs="Arial"/>
          <w:sz w:val="24"/>
        </w:rPr>
        <w:t>them conflicted with</w:t>
      </w:r>
      <w:r w:rsidR="000560CC">
        <w:rPr>
          <w:rFonts w:ascii="Arial" w:eastAsia="Calibri" w:hAnsi="Arial" w:cs="Arial"/>
          <w:sz w:val="24"/>
        </w:rPr>
        <w:t xml:space="preserve"> the principle of legality. In addition, </w:t>
      </w:r>
      <w:r w:rsidR="00E94B18">
        <w:rPr>
          <w:rFonts w:ascii="Arial" w:eastAsia="Calibri" w:hAnsi="Arial" w:cs="Arial"/>
          <w:sz w:val="24"/>
        </w:rPr>
        <w:t>when</w:t>
      </w:r>
      <w:r w:rsidR="000560CC">
        <w:rPr>
          <w:rFonts w:ascii="Arial" w:eastAsia="Calibri" w:hAnsi="Arial" w:cs="Arial"/>
          <w:sz w:val="24"/>
        </w:rPr>
        <w:t xml:space="preserve"> the Commissioner </w:t>
      </w:r>
      <w:r w:rsidR="00E94B18">
        <w:rPr>
          <w:rFonts w:ascii="Arial" w:eastAsia="Calibri" w:hAnsi="Arial" w:cs="Arial"/>
          <w:sz w:val="24"/>
        </w:rPr>
        <w:t xml:space="preserve">thereafter </w:t>
      </w:r>
      <w:r w:rsidR="000560CC">
        <w:rPr>
          <w:rFonts w:ascii="Arial" w:eastAsia="Calibri" w:hAnsi="Arial" w:cs="Arial"/>
          <w:sz w:val="24"/>
        </w:rPr>
        <w:t xml:space="preserve">failed to lodge the record of </w:t>
      </w:r>
      <w:r w:rsidR="00E94B18">
        <w:rPr>
          <w:rFonts w:ascii="Arial" w:eastAsia="Calibri" w:hAnsi="Arial" w:cs="Arial"/>
          <w:sz w:val="24"/>
        </w:rPr>
        <w:t>the</w:t>
      </w:r>
      <w:r w:rsidR="000560CC">
        <w:rPr>
          <w:rFonts w:ascii="Arial" w:eastAsia="Calibri" w:hAnsi="Arial" w:cs="Arial"/>
          <w:sz w:val="24"/>
        </w:rPr>
        <w:t xml:space="preserve"> decision the applicant sought an order compelling the production thereof. The Commissioner adopted the position that neither </w:t>
      </w:r>
      <w:r w:rsidR="00E94B18">
        <w:rPr>
          <w:rFonts w:ascii="Arial" w:eastAsia="Calibri" w:hAnsi="Arial" w:cs="Arial"/>
          <w:sz w:val="24"/>
        </w:rPr>
        <w:t xml:space="preserve">the principal nor the interlocutory </w:t>
      </w:r>
      <w:r w:rsidR="000560CC">
        <w:rPr>
          <w:rFonts w:ascii="Arial" w:eastAsia="Calibri" w:hAnsi="Arial" w:cs="Arial"/>
          <w:sz w:val="24"/>
        </w:rPr>
        <w:t xml:space="preserve">application </w:t>
      </w:r>
      <w:r w:rsidR="000F4EA0">
        <w:rPr>
          <w:rFonts w:ascii="Arial" w:eastAsia="Calibri" w:hAnsi="Arial" w:cs="Arial"/>
          <w:sz w:val="24"/>
        </w:rPr>
        <w:t>was</w:t>
      </w:r>
      <w:r w:rsidR="000560CC">
        <w:rPr>
          <w:rFonts w:ascii="Arial" w:eastAsia="Calibri" w:hAnsi="Arial" w:cs="Arial"/>
          <w:sz w:val="24"/>
        </w:rPr>
        <w:t xml:space="preserve"> competent </w:t>
      </w:r>
      <w:r w:rsidR="00E94B18">
        <w:rPr>
          <w:rFonts w:ascii="Arial" w:eastAsia="Calibri" w:hAnsi="Arial" w:cs="Arial"/>
          <w:sz w:val="24"/>
        </w:rPr>
        <w:t>because</w:t>
      </w:r>
      <w:r w:rsidR="000560CC">
        <w:rPr>
          <w:rFonts w:ascii="Arial" w:eastAsia="Calibri" w:hAnsi="Arial" w:cs="Arial"/>
          <w:sz w:val="24"/>
        </w:rPr>
        <w:t xml:space="preserve"> they had not been sanctioned in terms of </w:t>
      </w:r>
      <w:r w:rsidR="00E94B18">
        <w:rPr>
          <w:rFonts w:ascii="Arial" w:eastAsia="Calibri" w:hAnsi="Arial" w:cs="Arial"/>
          <w:sz w:val="24"/>
        </w:rPr>
        <w:t xml:space="preserve">s </w:t>
      </w:r>
      <w:r w:rsidR="000560CC">
        <w:rPr>
          <w:rFonts w:ascii="Arial" w:eastAsia="Calibri" w:hAnsi="Arial" w:cs="Arial"/>
          <w:sz w:val="24"/>
        </w:rPr>
        <w:t xml:space="preserve">105 of the TAA. The applicant had not initially sought a directive </w:t>
      </w:r>
      <w:r w:rsidR="00E94B18">
        <w:rPr>
          <w:rFonts w:ascii="Arial" w:eastAsia="Calibri" w:hAnsi="Arial" w:cs="Arial"/>
          <w:sz w:val="24"/>
        </w:rPr>
        <w:t>in terms of s 105 from the Court but sought to amend its notice of motion to do so, when the point was taken.</w:t>
      </w:r>
    </w:p>
    <w:p w14:paraId="531F6C04" w14:textId="17D3E18E" w:rsidR="000F4EA0"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60.</w:t>
      </w:r>
      <w:r>
        <w:rPr>
          <w:rFonts w:ascii="Arial" w:eastAsia="Calibri" w:hAnsi="Arial" w:cs="Arial"/>
          <w:sz w:val="24"/>
        </w:rPr>
        <w:tab/>
      </w:r>
      <w:r w:rsidR="000560CC">
        <w:rPr>
          <w:rFonts w:ascii="Arial" w:eastAsia="Calibri" w:hAnsi="Arial" w:cs="Arial"/>
          <w:sz w:val="24"/>
        </w:rPr>
        <w:t xml:space="preserve">Without determining the principal application the </w:t>
      </w:r>
      <w:r w:rsidR="00E94B18">
        <w:rPr>
          <w:rFonts w:ascii="Arial" w:eastAsia="Calibri" w:hAnsi="Arial" w:cs="Arial"/>
          <w:sz w:val="24"/>
        </w:rPr>
        <w:t>C</w:t>
      </w:r>
      <w:r w:rsidR="000560CC">
        <w:rPr>
          <w:rFonts w:ascii="Arial" w:eastAsia="Calibri" w:hAnsi="Arial" w:cs="Arial"/>
          <w:sz w:val="24"/>
        </w:rPr>
        <w:t xml:space="preserve">ourt a </w:t>
      </w:r>
      <w:r w:rsidR="000560CC" w:rsidRPr="00E94B18">
        <w:rPr>
          <w:rFonts w:ascii="Arial" w:eastAsia="Calibri" w:hAnsi="Arial" w:cs="Arial"/>
          <w:i/>
          <w:iCs/>
          <w:sz w:val="24"/>
        </w:rPr>
        <w:t>quo</w:t>
      </w:r>
      <w:r w:rsidR="000560CC">
        <w:rPr>
          <w:rFonts w:ascii="Arial" w:eastAsia="Calibri" w:hAnsi="Arial" w:cs="Arial"/>
          <w:sz w:val="24"/>
        </w:rPr>
        <w:t xml:space="preserve"> made an order </w:t>
      </w:r>
      <w:r w:rsidR="00E94B18">
        <w:rPr>
          <w:rFonts w:ascii="Arial" w:eastAsia="Calibri" w:hAnsi="Arial" w:cs="Arial"/>
          <w:sz w:val="24"/>
        </w:rPr>
        <w:t>directing</w:t>
      </w:r>
      <w:r w:rsidR="000560CC">
        <w:rPr>
          <w:rFonts w:ascii="Arial" w:eastAsia="Calibri" w:hAnsi="Arial" w:cs="Arial"/>
          <w:sz w:val="24"/>
        </w:rPr>
        <w:t xml:space="preserve"> the Commissioner to deliver the record of </w:t>
      </w:r>
      <w:r w:rsidR="00E94B18">
        <w:rPr>
          <w:rFonts w:ascii="Arial" w:eastAsia="Calibri" w:hAnsi="Arial" w:cs="Arial"/>
          <w:sz w:val="24"/>
        </w:rPr>
        <w:t xml:space="preserve">the </w:t>
      </w:r>
      <w:r w:rsidR="000560CC">
        <w:rPr>
          <w:rFonts w:ascii="Arial" w:eastAsia="Calibri" w:hAnsi="Arial" w:cs="Arial"/>
          <w:sz w:val="24"/>
        </w:rPr>
        <w:t>decision</w:t>
      </w:r>
      <w:r w:rsidR="00E94B18">
        <w:rPr>
          <w:rFonts w:ascii="Arial" w:eastAsia="Calibri" w:hAnsi="Arial" w:cs="Arial"/>
          <w:sz w:val="24"/>
        </w:rPr>
        <w:t>. I</w:t>
      </w:r>
      <w:r w:rsidR="000560CC">
        <w:rPr>
          <w:rFonts w:ascii="Arial" w:eastAsia="Calibri" w:hAnsi="Arial" w:cs="Arial"/>
          <w:sz w:val="24"/>
        </w:rPr>
        <w:t xml:space="preserve">t </w:t>
      </w:r>
      <w:r w:rsidR="00E94B18">
        <w:rPr>
          <w:rFonts w:ascii="Arial" w:eastAsia="Calibri" w:hAnsi="Arial" w:cs="Arial"/>
          <w:sz w:val="24"/>
        </w:rPr>
        <w:t xml:space="preserve">further </w:t>
      </w:r>
      <w:r w:rsidR="000560CC">
        <w:rPr>
          <w:rFonts w:ascii="Arial" w:eastAsia="Calibri" w:hAnsi="Arial" w:cs="Arial"/>
          <w:sz w:val="24"/>
        </w:rPr>
        <w:t xml:space="preserve">directed that the relief </w:t>
      </w:r>
      <w:r w:rsidR="00E94B18">
        <w:rPr>
          <w:rFonts w:ascii="Arial" w:eastAsia="Calibri" w:hAnsi="Arial" w:cs="Arial"/>
          <w:sz w:val="24"/>
        </w:rPr>
        <w:t xml:space="preserve">which was </w:t>
      </w:r>
      <w:r w:rsidR="000560CC">
        <w:rPr>
          <w:rFonts w:ascii="Arial" w:eastAsia="Calibri" w:hAnsi="Arial" w:cs="Arial"/>
          <w:sz w:val="24"/>
        </w:rPr>
        <w:t xml:space="preserve">sought in terms of </w:t>
      </w:r>
      <w:r w:rsidR="00E94B18">
        <w:rPr>
          <w:rFonts w:ascii="Arial" w:eastAsia="Calibri" w:hAnsi="Arial" w:cs="Arial"/>
          <w:sz w:val="24"/>
        </w:rPr>
        <w:t xml:space="preserve">s </w:t>
      </w:r>
      <w:r w:rsidR="000560CC">
        <w:rPr>
          <w:rFonts w:ascii="Arial" w:eastAsia="Calibri" w:hAnsi="Arial" w:cs="Arial"/>
          <w:sz w:val="24"/>
        </w:rPr>
        <w:t xml:space="preserve">105 was to be determined at the hearing of the principal application. </w:t>
      </w:r>
    </w:p>
    <w:p w14:paraId="4A6A57E0" w14:textId="72789AB4" w:rsidR="000560CC"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61.</w:t>
      </w:r>
      <w:r>
        <w:rPr>
          <w:rFonts w:ascii="Arial" w:eastAsia="Calibri" w:hAnsi="Arial" w:cs="Arial"/>
          <w:sz w:val="24"/>
        </w:rPr>
        <w:tab/>
      </w:r>
      <w:r w:rsidR="000F4EA0">
        <w:rPr>
          <w:rFonts w:ascii="Arial" w:eastAsia="Calibri" w:hAnsi="Arial" w:cs="Arial"/>
          <w:sz w:val="24"/>
        </w:rPr>
        <w:t>On appeal, t</w:t>
      </w:r>
      <w:r w:rsidR="000560CC">
        <w:rPr>
          <w:rFonts w:ascii="Arial" w:eastAsia="Calibri" w:hAnsi="Arial" w:cs="Arial"/>
          <w:sz w:val="24"/>
        </w:rPr>
        <w:t xml:space="preserve">he Commissioner contended that the </w:t>
      </w:r>
      <w:r w:rsidR="00E94B18">
        <w:rPr>
          <w:rFonts w:ascii="Arial" w:eastAsia="Calibri" w:hAnsi="Arial" w:cs="Arial"/>
          <w:sz w:val="24"/>
        </w:rPr>
        <w:t>applicant’s</w:t>
      </w:r>
      <w:r w:rsidR="000560CC">
        <w:rPr>
          <w:rFonts w:ascii="Arial" w:eastAsia="Calibri" w:hAnsi="Arial" w:cs="Arial"/>
          <w:sz w:val="24"/>
        </w:rPr>
        <w:t xml:space="preserve"> right to review </w:t>
      </w:r>
      <w:r w:rsidR="00A9499B">
        <w:rPr>
          <w:rFonts w:ascii="Arial" w:eastAsia="Calibri" w:hAnsi="Arial" w:cs="Arial"/>
          <w:sz w:val="24"/>
        </w:rPr>
        <w:t xml:space="preserve">the Commissioner’s decision </w:t>
      </w:r>
      <w:r w:rsidR="00E94B18">
        <w:rPr>
          <w:rFonts w:ascii="Arial" w:eastAsia="Calibri" w:hAnsi="Arial" w:cs="Arial"/>
          <w:sz w:val="24"/>
        </w:rPr>
        <w:t>only</w:t>
      </w:r>
      <w:r w:rsidR="000560CC">
        <w:rPr>
          <w:rFonts w:ascii="Arial" w:eastAsia="Calibri" w:hAnsi="Arial" w:cs="Arial"/>
          <w:sz w:val="24"/>
        </w:rPr>
        <w:t xml:space="preserve"> vested if</w:t>
      </w:r>
      <w:r w:rsidR="00E94B18">
        <w:rPr>
          <w:rFonts w:ascii="Arial" w:eastAsia="Calibri" w:hAnsi="Arial" w:cs="Arial"/>
          <w:sz w:val="24"/>
        </w:rPr>
        <w:t>,</w:t>
      </w:r>
      <w:r w:rsidR="000560CC">
        <w:rPr>
          <w:rFonts w:ascii="Arial" w:eastAsia="Calibri" w:hAnsi="Arial" w:cs="Arial"/>
          <w:sz w:val="24"/>
        </w:rPr>
        <w:t xml:space="preserve"> and when</w:t>
      </w:r>
      <w:r w:rsidR="00E94B18">
        <w:rPr>
          <w:rFonts w:ascii="Arial" w:eastAsia="Calibri" w:hAnsi="Arial" w:cs="Arial"/>
          <w:sz w:val="24"/>
        </w:rPr>
        <w:t>,</w:t>
      </w:r>
      <w:r w:rsidR="000560CC">
        <w:rPr>
          <w:rFonts w:ascii="Arial" w:eastAsia="Calibri" w:hAnsi="Arial" w:cs="Arial"/>
          <w:sz w:val="24"/>
        </w:rPr>
        <w:t xml:space="preserve"> a directive had been made in terms of </w:t>
      </w:r>
      <w:r w:rsidR="00E94B18">
        <w:rPr>
          <w:rFonts w:ascii="Arial" w:eastAsia="Calibri" w:hAnsi="Arial" w:cs="Arial"/>
          <w:sz w:val="24"/>
        </w:rPr>
        <w:t xml:space="preserve">s </w:t>
      </w:r>
      <w:r w:rsidR="000560CC">
        <w:rPr>
          <w:rFonts w:ascii="Arial" w:eastAsia="Calibri" w:hAnsi="Arial" w:cs="Arial"/>
          <w:sz w:val="24"/>
        </w:rPr>
        <w:t xml:space="preserve">105 that the High Court would entertain </w:t>
      </w:r>
      <w:r w:rsidR="00E94B18">
        <w:rPr>
          <w:rFonts w:ascii="Arial" w:eastAsia="Calibri" w:hAnsi="Arial" w:cs="Arial"/>
          <w:sz w:val="24"/>
        </w:rPr>
        <w:t>the review,</w:t>
      </w:r>
      <w:r w:rsidR="000560CC">
        <w:rPr>
          <w:rFonts w:ascii="Arial" w:eastAsia="Calibri" w:hAnsi="Arial" w:cs="Arial"/>
          <w:sz w:val="24"/>
        </w:rPr>
        <w:t xml:space="preserve"> failing which </w:t>
      </w:r>
      <w:r w:rsidR="00E94B18">
        <w:rPr>
          <w:rFonts w:ascii="Arial" w:eastAsia="Calibri" w:hAnsi="Arial" w:cs="Arial"/>
          <w:sz w:val="24"/>
        </w:rPr>
        <w:t xml:space="preserve">the </w:t>
      </w:r>
      <w:r w:rsidR="000560CC">
        <w:rPr>
          <w:rFonts w:ascii="Arial" w:eastAsia="Calibri" w:hAnsi="Arial" w:cs="Arial"/>
          <w:sz w:val="24"/>
        </w:rPr>
        <w:t>applicant had no right to obtain an order compelling the production of the record of</w:t>
      </w:r>
      <w:r w:rsidR="00A9499B">
        <w:rPr>
          <w:rFonts w:ascii="Arial" w:eastAsia="Calibri" w:hAnsi="Arial" w:cs="Arial"/>
          <w:sz w:val="24"/>
        </w:rPr>
        <w:t xml:space="preserve"> the decision</w:t>
      </w:r>
      <w:r w:rsidR="005D7451">
        <w:rPr>
          <w:rFonts w:ascii="Arial" w:eastAsia="Calibri" w:hAnsi="Arial" w:cs="Arial"/>
          <w:sz w:val="24"/>
        </w:rPr>
        <w:t xml:space="preserve"> under review</w:t>
      </w:r>
      <w:r w:rsidR="000560CC">
        <w:rPr>
          <w:rFonts w:ascii="Arial" w:eastAsia="Calibri" w:hAnsi="Arial" w:cs="Arial"/>
          <w:sz w:val="24"/>
        </w:rPr>
        <w:t xml:space="preserve">. </w:t>
      </w:r>
      <w:r w:rsidR="000F4EA0">
        <w:rPr>
          <w:rFonts w:ascii="Arial" w:eastAsia="Calibri" w:hAnsi="Arial" w:cs="Arial"/>
          <w:sz w:val="24"/>
        </w:rPr>
        <w:t>T</w:t>
      </w:r>
      <w:r w:rsidR="000560CC">
        <w:rPr>
          <w:rFonts w:ascii="Arial" w:eastAsia="Calibri" w:hAnsi="Arial" w:cs="Arial"/>
          <w:sz w:val="24"/>
        </w:rPr>
        <w:t>he SCA upheld these contentions. It held that although the TAA d</w:t>
      </w:r>
      <w:r w:rsidR="00E94B18">
        <w:rPr>
          <w:rFonts w:ascii="Arial" w:eastAsia="Calibri" w:hAnsi="Arial" w:cs="Arial"/>
          <w:sz w:val="24"/>
        </w:rPr>
        <w:t>id</w:t>
      </w:r>
      <w:r w:rsidR="000560CC">
        <w:rPr>
          <w:rFonts w:ascii="Arial" w:eastAsia="Calibri" w:hAnsi="Arial" w:cs="Arial"/>
          <w:sz w:val="24"/>
        </w:rPr>
        <w:t xml:space="preserve"> not disqualify </w:t>
      </w:r>
      <w:r w:rsidR="00E94B18">
        <w:rPr>
          <w:rFonts w:ascii="Arial" w:eastAsia="Calibri" w:hAnsi="Arial" w:cs="Arial"/>
          <w:sz w:val="24"/>
        </w:rPr>
        <w:t>a</w:t>
      </w:r>
      <w:r w:rsidR="000560CC">
        <w:rPr>
          <w:rFonts w:ascii="Arial" w:eastAsia="Calibri" w:hAnsi="Arial" w:cs="Arial"/>
          <w:sz w:val="24"/>
        </w:rPr>
        <w:t xml:space="preserve"> High Court from determining a tax dispute it could only </w:t>
      </w:r>
      <w:r w:rsidR="000560CC">
        <w:rPr>
          <w:rFonts w:ascii="Arial" w:eastAsia="Calibri" w:hAnsi="Arial" w:cs="Arial"/>
          <w:sz w:val="24"/>
        </w:rPr>
        <w:lastRenderedPageBreak/>
        <w:t xml:space="preserve">do so once a directive had been made in terms of </w:t>
      </w:r>
      <w:r w:rsidR="00837842">
        <w:rPr>
          <w:rFonts w:ascii="Arial" w:eastAsia="Calibri" w:hAnsi="Arial" w:cs="Arial"/>
          <w:sz w:val="24"/>
        </w:rPr>
        <w:t xml:space="preserve">s </w:t>
      </w:r>
      <w:r w:rsidR="000560CC">
        <w:rPr>
          <w:rFonts w:ascii="Arial" w:eastAsia="Calibri" w:hAnsi="Arial" w:cs="Arial"/>
          <w:sz w:val="24"/>
        </w:rPr>
        <w:t xml:space="preserve">105, </w:t>
      </w:r>
      <w:r w:rsidR="005D7451">
        <w:rPr>
          <w:rFonts w:ascii="Arial" w:eastAsia="Calibri" w:hAnsi="Arial" w:cs="Arial"/>
          <w:sz w:val="24"/>
        </w:rPr>
        <w:t xml:space="preserve">as its </w:t>
      </w:r>
      <w:r w:rsidR="000560CC">
        <w:rPr>
          <w:rFonts w:ascii="Arial" w:eastAsia="Calibri" w:hAnsi="Arial" w:cs="Arial"/>
          <w:sz w:val="24"/>
        </w:rPr>
        <w:t>purpose was to ensure that</w:t>
      </w:r>
      <w:r w:rsidR="005D7451">
        <w:rPr>
          <w:rFonts w:ascii="Arial" w:eastAsia="Calibri" w:hAnsi="Arial" w:cs="Arial"/>
          <w:sz w:val="24"/>
        </w:rPr>
        <w:t>,</w:t>
      </w:r>
      <w:r w:rsidR="000560CC">
        <w:rPr>
          <w:rFonts w:ascii="Arial" w:eastAsia="Calibri" w:hAnsi="Arial" w:cs="Arial"/>
          <w:sz w:val="24"/>
        </w:rPr>
        <w:t xml:space="preserve"> in the ordinary course, tax dispute</w:t>
      </w:r>
      <w:r w:rsidR="00837842">
        <w:rPr>
          <w:rFonts w:ascii="Arial" w:eastAsia="Calibri" w:hAnsi="Arial" w:cs="Arial"/>
          <w:sz w:val="24"/>
        </w:rPr>
        <w:t>s were</w:t>
      </w:r>
      <w:r w:rsidR="000560CC">
        <w:rPr>
          <w:rFonts w:ascii="Arial" w:eastAsia="Calibri" w:hAnsi="Arial" w:cs="Arial"/>
          <w:sz w:val="24"/>
        </w:rPr>
        <w:t xml:space="preserve"> to be dealt with by way of the procedures provided for in the TAA including, if necessary, proceedings before the </w:t>
      </w:r>
      <w:r w:rsidR="00837842">
        <w:rPr>
          <w:rFonts w:ascii="Arial" w:eastAsia="Calibri" w:hAnsi="Arial" w:cs="Arial"/>
          <w:sz w:val="24"/>
        </w:rPr>
        <w:t>T</w:t>
      </w:r>
      <w:r w:rsidR="000560CC">
        <w:rPr>
          <w:rFonts w:ascii="Arial" w:eastAsia="Calibri" w:hAnsi="Arial" w:cs="Arial"/>
          <w:sz w:val="24"/>
        </w:rPr>
        <w:t xml:space="preserve">ax </w:t>
      </w:r>
      <w:r w:rsidR="00837842">
        <w:rPr>
          <w:rFonts w:ascii="Arial" w:eastAsia="Calibri" w:hAnsi="Arial" w:cs="Arial"/>
          <w:sz w:val="24"/>
        </w:rPr>
        <w:t>C</w:t>
      </w:r>
      <w:r w:rsidR="000560CC">
        <w:rPr>
          <w:rFonts w:ascii="Arial" w:eastAsia="Calibri" w:hAnsi="Arial" w:cs="Arial"/>
          <w:sz w:val="24"/>
        </w:rPr>
        <w:t>ourt.</w:t>
      </w:r>
    </w:p>
    <w:p w14:paraId="291506E5" w14:textId="3DA4B320" w:rsidR="00474FDF"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62.</w:t>
      </w:r>
      <w:r>
        <w:rPr>
          <w:rFonts w:ascii="Arial" w:eastAsia="Calibri" w:hAnsi="Arial" w:cs="Arial"/>
          <w:sz w:val="24"/>
        </w:rPr>
        <w:tab/>
      </w:r>
      <w:r w:rsidR="00837842">
        <w:rPr>
          <w:rFonts w:ascii="Arial" w:eastAsia="Calibri" w:hAnsi="Arial" w:cs="Arial"/>
          <w:sz w:val="24"/>
        </w:rPr>
        <w:t xml:space="preserve">In arriving at this conclusion </w:t>
      </w:r>
      <w:r w:rsidR="000560CC">
        <w:rPr>
          <w:rFonts w:ascii="Arial" w:eastAsia="Calibri" w:hAnsi="Arial" w:cs="Arial"/>
          <w:sz w:val="24"/>
        </w:rPr>
        <w:t>Ponnan A</w:t>
      </w:r>
      <w:r w:rsidR="00347573">
        <w:rPr>
          <w:rFonts w:ascii="Arial" w:eastAsia="Calibri" w:hAnsi="Arial" w:cs="Arial"/>
          <w:sz w:val="24"/>
        </w:rPr>
        <w:t>DP</w:t>
      </w:r>
      <w:r w:rsidR="000560CC">
        <w:rPr>
          <w:rFonts w:ascii="Arial" w:eastAsia="Calibri" w:hAnsi="Arial" w:cs="Arial"/>
          <w:sz w:val="24"/>
        </w:rPr>
        <w:t xml:space="preserve"> pointed out</w:t>
      </w:r>
      <w:r w:rsidR="00474FDF">
        <w:rPr>
          <w:rStyle w:val="FootnoteReference"/>
          <w:rFonts w:ascii="Arial" w:eastAsia="Calibri" w:hAnsi="Arial" w:cs="Arial"/>
          <w:sz w:val="24"/>
        </w:rPr>
        <w:footnoteReference w:id="47"/>
      </w:r>
      <w:r w:rsidR="000560CC">
        <w:rPr>
          <w:rFonts w:ascii="Arial" w:eastAsia="Calibri" w:hAnsi="Arial" w:cs="Arial"/>
          <w:sz w:val="24"/>
        </w:rPr>
        <w:t xml:space="preserve"> that whereas </w:t>
      </w:r>
      <w:r w:rsidR="00837842">
        <w:rPr>
          <w:rFonts w:ascii="Arial" w:eastAsia="Calibri" w:hAnsi="Arial" w:cs="Arial"/>
          <w:sz w:val="24"/>
        </w:rPr>
        <w:t xml:space="preserve">s </w:t>
      </w:r>
      <w:r w:rsidR="000560CC">
        <w:rPr>
          <w:rFonts w:ascii="Arial" w:eastAsia="Calibri" w:hAnsi="Arial" w:cs="Arial"/>
          <w:sz w:val="24"/>
        </w:rPr>
        <w:t xml:space="preserve">105 </w:t>
      </w:r>
      <w:r w:rsidR="00837842">
        <w:rPr>
          <w:rFonts w:ascii="Arial" w:eastAsia="Calibri" w:hAnsi="Arial" w:cs="Arial"/>
          <w:sz w:val="24"/>
        </w:rPr>
        <w:t xml:space="preserve">had </w:t>
      </w:r>
      <w:r w:rsidR="000560CC">
        <w:rPr>
          <w:rFonts w:ascii="Arial" w:eastAsia="Calibri" w:hAnsi="Arial" w:cs="Arial"/>
          <w:sz w:val="24"/>
        </w:rPr>
        <w:t xml:space="preserve">previously afforded </w:t>
      </w:r>
      <w:r w:rsidR="00837842">
        <w:rPr>
          <w:rFonts w:ascii="Arial" w:eastAsia="Calibri" w:hAnsi="Arial" w:cs="Arial"/>
          <w:sz w:val="24"/>
        </w:rPr>
        <w:t>a dis</w:t>
      </w:r>
      <w:r w:rsidR="000560CC">
        <w:rPr>
          <w:rFonts w:ascii="Arial" w:eastAsia="Calibri" w:hAnsi="Arial" w:cs="Arial"/>
          <w:sz w:val="24"/>
        </w:rPr>
        <w:t>satisf</w:t>
      </w:r>
      <w:r w:rsidR="00837842">
        <w:rPr>
          <w:rFonts w:ascii="Arial" w:eastAsia="Calibri" w:hAnsi="Arial" w:cs="Arial"/>
          <w:sz w:val="24"/>
        </w:rPr>
        <w:t>ied</w:t>
      </w:r>
      <w:r w:rsidR="000560CC">
        <w:rPr>
          <w:rFonts w:ascii="Arial" w:eastAsia="Calibri" w:hAnsi="Arial" w:cs="Arial"/>
          <w:sz w:val="24"/>
        </w:rPr>
        <w:t xml:space="preserve"> taxpayer the option of seeking relief directly in the High Court</w:t>
      </w:r>
      <w:r w:rsidR="00837842">
        <w:rPr>
          <w:rFonts w:ascii="Arial" w:eastAsia="Calibri" w:hAnsi="Arial" w:cs="Arial"/>
          <w:sz w:val="24"/>
        </w:rPr>
        <w:t>,</w:t>
      </w:r>
      <w:r w:rsidR="000560CC">
        <w:rPr>
          <w:rFonts w:ascii="Arial" w:eastAsia="Calibri" w:hAnsi="Arial" w:cs="Arial"/>
          <w:sz w:val="24"/>
        </w:rPr>
        <w:t xml:space="preserve"> as opposed to the for</w:t>
      </w:r>
      <w:r w:rsidR="00837842">
        <w:rPr>
          <w:rFonts w:ascii="Arial" w:eastAsia="Calibri" w:hAnsi="Arial" w:cs="Arial"/>
          <w:sz w:val="24"/>
        </w:rPr>
        <w:t>a</w:t>
      </w:r>
      <w:r w:rsidR="000560CC">
        <w:rPr>
          <w:rFonts w:ascii="Arial" w:eastAsia="Calibri" w:hAnsi="Arial" w:cs="Arial"/>
          <w:sz w:val="24"/>
        </w:rPr>
        <w:t xml:space="preserve"> provided for in the TAA, the </w:t>
      </w:r>
      <w:r w:rsidR="00837842">
        <w:rPr>
          <w:rFonts w:ascii="Arial" w:eastAsia="Calibri" w:hAnsi="Arial" w:cs="Arial"/>
          <w:sz w:val="24"/>
        </w:rPr>
        <w:t xml:space="preserve">2015 </w:t>
      </w:r>
      <w:r w:rsidR="000560CC">
        <w:rPr>
          <w:rFonts w:ascii="Arial" w:eastAsia="Calibri" w:hAnsi="Arial" w:cs="Arial"/>
          <w:sz w:val="24"/>
        </w:rPr>
        <w:t xml:space="preserve">amendment </w:t>
      </w:r>
      <w:r w:rsidR="00837842">
        <w:rPr>
          <w:rFonts w:ascii="Arial" w:eastAsia="Calibri" w:hAnsi="Arial" w:cs="Arial"/>
          <w:sz w:val="24"/>
        </w:rPr>
        <w:t>h</w:t>
      </w:r>
      <w:r w:rsidR="000560CC">
        <w:rPr>
          <w:rFonts w:ascii="Arial" w:eastAsia="Calibri" w:hAnsi="Arial" w:cs="Arial"/>
          <w:sz w:val="24"/>
        </w:rPr>
        <w:t xml:space="preserve">ad sought to do away with this. In this regard </w:t>
      </w:r>
      <w:r w:rsidR="00837842">
        <w:rPr>
          <w:rFonts w:ascii="Arial" w:eastAsia="Calibri" w:hAnsi="Arial" w:cs="Arial"/>
          <w:sz w:val="24"/>
        </w:rPr>
        <w:t xml:space="preserve">he </w:t>
      </w:r>
      <w:r w:rsidR="000560CC">
        <w:rPr>
          <w:rFonts w:ascii="Arial" w:eastAsia="Calibri" w:hAnsi="Arial" w:cs="Arial"/>
          <w:sz w:val="24"/>
        </w:rPr>
        <w:t xml:space="preserve">referred to the </w:t>
      </w:r>
      <w:r w:rsidR="00837842">
        <w:rPr>
          <w:rFonts w:ascii="Arial" w:eastAsia="Calibri" w:hAnsi="Arial" w:cs="Arial"/>
          <w:sz w:val="24"/>
        </w:rPr>
        <w:t>Explanatory M</w:t>
      </w:r>
      <w:r w:rsidR="000560CC">
        <w:rPr>
          <w:rFonts w:ascii="Arial" w:eastAsia="Calibri" w:hAnsi="Arial" w:cs="Arial"/>
          <w:sz w:val="24"/>
        </w:rPr>
        <w:t>emorandum</w:t>
      </w:r>
      <w:r w:rsidR="00837842">
        <w:rPr>
          <w:rStyle w:val="FootnoteReference"/>
          <w:rFonts w:ascii="Arial" w:eastAsia="Calibri" w:hAnsi="Arial" w:cs="Arial"/>
          <w:sz w:val="24"/>
        </w:rPr>
        <w:footnoteReference w:id="48"/>
      </w:r>
      <w:r w:rsidR="000560CC">
        <w:rPr>
          <w:rFonts w:ascii="Arial" w:eastAsia="Calibri" w:hAnsi="Arial" w:cs="Arial"/>
          <w:sz w:val="24"/>
        </w:rPr>
        <w:t xml:space="preserve"> </w:t>
      </w:r>
      <w:r w:rsidR="00837842">
        <w:rPr>
          <w:rFonts w:ascii="Arial" w:eastAsia="Calibri" w:hAnsi="Arial" w:cs="Arial"/>
          <w:sz w:val="24"/>
        </w:rPr>
        <w:t xml:space="preserve">which </w:t>
      </w:r>
      <w:r w:rsidR="000560CC">
        <w:rPr>
          <w:rFonts w:ascii="Arial" w:eastAsia="Calibri" w:hAnsi="Arial" w:cs="Arial"/>
          <w:sz w:val="24"/>
        </w:rPr>
        <w:t xml:space="preserve">accompanied the </w:t>
      </w:r>
      <w:r w:rsidR="00837842">
        <w:rPr>
          <w:rFonts w:ascii="Arial" w:eastAsia="Calibri" w:hAnsi="Arial" w:cs="Arial"/>
          <w:sz w:val="24"/>
        </w:rPr>
        <w:t>T</w:t>
      </w:r>
      <w:r w:rsidR="000560CC">
        <w:rPr>
          <w:rFonts w:ascii="Arial" w:eastAsia="Calibri" w:hAnsi="Arial" w:cs="Arial"/>
          <w:sz w:val="24"/>
        </w:rPr>
        <w:t>ax Administration Law Amendment Bill of 2015</w:t>
      </w:r>
      <w:r w:rsidR="00837842">
        <w:rPr>
          <w:rFonts w:ascii="Arial" w:eastAsia="Calibri" w:hAnsi="Arial" w:cs="Arial"/>
          <w:sz w:val="24"/>
        </w:rPr>
        <w:t xml:space="preserve">, when it was presented to parliament, </w:t>
      </w:r>
      <w:r w:rsidR="006E2C01">
        <w:rPr>
          <w:rFonts w:ascii="Arial" w:eastAsia="Calibri" w:hAnsi="Arial" w:cs="Arial"/>
          <w:sz w:val="24"/>
        </w:rPr>
        <w:t>i</w:t>
      </w:r>
      <w:r w:rsidR="000F4EA0">
        <w:rPr>
          <w:rFonts w:ascii="Arial" w:eastAsia="Calibri" w:hAnsi="Arial" w:cs="Arial"/>
          <w:sz w:val="24"/>
        </w:rPr>
        <w:t>n</w:t>
      </w:r>
      <w:r w:rsidR="00837842">
        <w:rPr>
          <w:rFonts w:ascii="Arial" w:eastAsia="Calibri" w:hAnsi="Arial" w:cs="Arial"/>
          <w:sz w:val="24"/>
        </w:rPr>
        <w:t xml:space="preserve"> </w:t>
      </w:r>
      <w:r w:rsidR="006E2C01">
        <w:rPr>
          <w:rFonts w:ascii="Arial" w:eastAsia="Calibri" w:hAnsi="Arial" w:cs="Arial"/>
          <w:sz w:val="24"/>
        </w:rPr>
        <w:t xml:space="preserve">which </w:t>
      </w:r>
      <w:r w:rsidR="00837842">
        <w:rPr>
          <w:rFonts w:ascii="Arial" w:eastAsia="Calibri" w:hAnsi="Arial" w:cs="Arial"/>
          <w:sz w:val="24"/>
        </w:rPr>
        <w:t xml:space="preserve">it was pointed out that although the previous wording of the section </w:t>
      </w:r>
      <w:r w:rsidR="005C4410">
        <w:rPr>
          <w:rFonts w:ascii="Arial" w:eastAsia="Calibri" w:hAnsi="Arial" w:cs="Arial"/>
          <w:sz w:val="24"/>
        </w:rPr>
        <w:t>‘</w:t>
      </w:r>
      <w:r w:rsidR="00837842">
        <w:rPr>
          <w:rFonts w:ascii="Arial" w:eastAsia="Calibri" w:hAnsi="Arial" w:cs="Arial"/>
          <w:sz w:val="24"/>
        </w:rPr>
        <w:t>created the impression</w:t>
      </w:r>
      <w:r w:rsidR="005C4410">
        <w:rPr>
          <w:rFonts w:ascii="Arial" w:eastAsia="Calibri" w:hAnsi="Arial" w:cs="Arial"/>
          <w:sz w:val="24"/>
        </w:rPr>
        <w:t>’</w:t>
      </w:r>
      <w:r w:rsidR="00837842">
        <w:rPr>
          <w:rFonts w:ascii="Arial" w:eastAsia="Calibri" w:hAnsi="Arial" w:cs="Arial"/>
          <w:sz w:val="24"/>
        </w:rPr>
        <w:t xml:space="preserve"> that a tax dispute under Chp 9 of the TAA could either be </w:t>
      </w:r>
      <w:r w:rsidR="00474FDF">
        <w:rPr>
          <w:rFonts w:ascii="Arial" w:eastAsia="Calibri" w:hAnsi="Arial" w:cs="Arial"/>
          <w:sz w:val="24"/>
        </w:rPr>
        <w:t>reviewed</w:t>
      </w:r>
      <w:r w:rsidR="00837842">
        <w:rPr>
          <w:rFonts w:ascii="Arial" w:eastAsia="Calibri" w:hAnsi="Arial" w:cs="Arial"/>
          <w:sz w:val="24"/>
        </w:rPr>
        <w:t xml:space="preserve"> by the Tax Court o</w:t>
      </w:r>
      <w:r w:rsidR="00474FDF">
        <w:rPr>
          <w:rFonts w:ascii="Arial" w:eastAsia="Calibri" w:hAnsi="Arial" w:cs="Arial"/>
          <w:sz w:val="24"/>
        </w:rPr>
        <w:t>r</w:t>
      </w:r>
      <w:r w:rsidR="00837842">
        <w:rPr>
          <w:rFonts w:ascii="Arial" w:eastAsia="Calibri" w:hAnsi="Arial" w:cs="Arial"/>
          <w:sz w:val="24"/>
        </w:rPr>
        <w:t xml:space="preserve"> a High Court</w:t>
      </w:r>
      <w:r w:rsidR="006E2C01">
        <w:rPr>
          <w:rFonts w:ascii="Arial" w:eastAsia="Calibri" w:hAnsi="Arial" w:cs="Arial"/>
          <w:sz w:val="24"/>
        </w:rPr>
        <w:t xml:space="preserve"> at the taxpayer’s election</w:t>
      </w:r>
      <w:r w:rsidR="00474FDF">
        <w:rPr>
          <w:rFonts w:ascii="Arial" w:eastAsia="Calibri" w:hAnsi="Arial" w:cs="Arial"/>
          <w:sz w:val="24"/>
        </w:rPr>
        <w:t>, the section was intended to ensure that the internal remedies of objection and appeal provided for in the TAA were to first be exhausted before the High Court was approached, and the Tax Court was to deal with the dispute as a Court of first instance. Th</w:t>
      </w:r>
      <w:r w:rsidR="006E2C01">
        <w:rPr>
          <w:rFonts w:ascii="Arial" w:eastAsia="Calibri" w:hAnsi="Arial" w:cs="Arial"/>
          <w:sz w:val="24"/>
        </w:rPr>
        <w:t xml:space="preserve">us, </w:t>
      </w:r>
      <w:r w:rsidR="00DB6D1B">
        <w:rPr>
          <w:rFonts w:ascii="Arial" w:eastAsia="Calibri" w:hAnsi="Arial" w:cs="Arial"/>
          <w:sz w:val="24"/>
        </w:rPr>
        <w:t xml:space="preserve">per </w:t>
      </w:r>
      <w:r w:rsidR="006E2C01">
        <w:rPr>
          <w:rFonts w:ascii="Arial" w:eastAsia="Calibri" w:hAnsi="Arial" w:cs="Arial"/>
          <w:sz w:val="24"/>
        </w:rPr>
        <w:t>the</w:t>
      </w:r>
      <w:r w:rsidR="00474FDF">
        <w:rPr>
          <w:rFonts w:ascii="Arial" w:eastAsia="Calibri" w:hAnsi="Arial" w:cs="Arial"/>
          <w:sz w:val="24"/>
        </w:rPr>
        <w:t xml:space="preserve"> </w:t>
      </w:r>
      <w:r w:rsidR="00DB6D1B">
        <w:rPr>
          <w:rFonts w:ascii="Arial" w:eastAsia="Calibri" w:hAnsi="Arial" w:cs="Arial"/>
          <w:sz w:val="24"/>
        </w:rPr>
        <w:t xml:space="preserve">memorandum, the </w:t>
      </w:r>
      <w:r w:rsidR="00474FDF">
        <w:rPr>
          <w:rFonts w:ascii="Arial" w:eastAsia="Calibri" w:hAnsi="Arial" w:cs="Arial"/>
          <w:sz w:val="24"/>
        </w:rPr>
        <w:t xml:space="preserve">amendment </w:t>
      </w:r>
      <w:r w:rsidR="006E2C01">
        <w:rPr>
          <w:rFonts w:ascii="Arial" w:eastAsia="Calibri" w:hAnsi="Arial" w:cs="Arial"/>
          <w:sz w:val="24"/>
        </w:rPr>
        <w:t>sought</w:t>
      </w:r>
      <w:r w:rsidR="00474FDF">
        <w:rPr>
          <w:rFonts w:ascii="Arial" w:eastAsia="Calibri" w:hAnsi="Arial" w:cs="Arial"/>
          <w:sz w:val="24"/>
        </w:rPr>
        <w:t xml:space="preserve"> to make this intention clear, whilst </w:t>
      </w:r>
      <w:r w:rsidR="00B10DF6">
        <w:rPr>
          <w:rFonts w:ascii="Arial" w:eastAsia="Calibri" w:hAnsi="Arial" w:cs="Arial"/>
          <w:sz w:val="24"/>
        </w:rPr>
        <w:t xml:space="preserve">at the same time </w:t>
      </w:r>
      <w:r w:rsidR="00474FDF">
        <w:rPr>
          <w:rFonts w:ascii="Arial" w:eastAsia="Calibri" w:hAnsi="Arial" w:cs="Arial"/>
          <w:sz w:val="24"/>
        </w:rPr>
        <w:t>preserving the right of the High Court to direct otherwise, should the ‘specific circumstances’ of a particular case require it.</w:t>
      </w:r>
      <w:r w:rsidR="00DC6965">
        <w:rPr>
          <w:rFonts w:ascii="Arial" w:eastAsia="Calibri" w:hAnsi="Arial" w:cs="Arial"/>
          <w:sz w:val="24"/>
        </w:rPr>
        <w:t xml:space="preserve"> No attempt was made in the memorandum to prescribe what would </w:t>
      </w:r>
      <w:r w:rsidR="006E2C01">
        <w:rPr>
          <w:rFonts w:ascii="Arial" w:eastAsia="Calibri" w:hAnsi="Arial" w:cs="Arial"/>
          <w:sz w:val="24"/>
        </w:rPr>
        <w:t>constitute</w:t>
      </w:r>
      <w:r w:rsidR="006E2C01" w:rsidRPr="006E2C01">
        <w:rPr>
          <w:rFonts w:ascii="Arial" w:eastAsia="Calibri" w:hAnsi="Arial" w:cs="Arial"/>
          <w:sz w:val="24"/>
        </w:rPr>
        <w:t xml:space="preserve"> </w:t>
      </w:r>
      <w:r w:rsidR="006E2C01">
        <w:rPr>
          <w:rFonts w:ascii="Arial" w:eastAsia="Calibri" w:hAnsi="Arial" w:cs="Arial"/>
          <w:sz w:val="24"/>
        </w:rPr>
        <w:t>such circumstances</w:t>
      </w:r>
      <w:r w:rsidR="00DC6965">
        <w:rPr>
          <w:rFonts w:ascii="Arial" w:eastAsia="Calibri" w:hAnsi="Arial" w:cs="Arial"/>
          <w:sz w:val="24"/>
        </w:rPr>
        <w:t xml:space="preserve">. </w:t>
      </w:r>
    </w:p>
    <w:p w14:paraId="1868B57F" w14:textId="41178060" w:rsidR="00755DCF"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63.</w:t>
      </w:r>
      <w:r>
        <w:rPr>
          <w:rFonts w:ascii="Arial" w:eastAsia="Calibri" w:hAnsi="Arial" w:cs="Arial"/>
          <w:sz w:val="24"/>
        </w:rPr>
        <w:tab/>
      </w:r>
      <w:r w:rsidR="002D330D">
        <w:rPr>
          <w:rFonts w:ascii="Arial" w:eastAsia="Calibri" w:hAnsi="Arial" w:cs="Arial"/>
          <w:sz w:val="24"/>
        </w:rPr>
        <w:t>In the result</w:t>
      </w:r>
      <w:r w:rsidR="00474FDF">
        <w:rPr>
          <w:rFonts w:ascii="Arial" w:eastAsia="Calibri" w:hAnsi="Arial" w:cs="Arial"/>
          <w:sz w:val="24"/>
        </w:rPr>
        <w:t xml:space="preserve">, the SCA held that as the purpose of the section was clearly to ensure that in the ‘ordinary’ course tax disputes were to be taken to the Tax Court, the High Court did not have jurisdiction to hear matters involving </w:t>
      </w:r>
      <w:r w:rsidR="002D330D">
        <w:rPr>
          <w:rFonts w:ascii="Arial" w:eastAsia="Calibri" w:hAnsi="Arial" w:cs="Arial"/>
          <w:sz w:val="24"/>
        </w:rPr>
        <w:t>such disputes</w:t>
      </w:r>
      <w:r w:rsidR="00474FDF">
        <w:rPr>
          <w:rFonts w:ascii="Arial" w:eastAsia="Calibri" w:hAnsi="Arial" w:cs="Arial"/>
          <w:sz w:val="24"/>
        </w:rPr>
        <w:t>, unless</w:t>
      </w:r>
      <w:r w:rsidR="00A9499B">
        <w:rPr>
          <w:rFonts w:ascii="Arial" w:eastAsia="Calibri" w:hAnsi="Arial" w:cs="Arial"/>
          <w:sz w:val="24"/>
        </w:rPr>
        <w:t xml:space="preserve"> and until</w:t>
      </w:r>
      <w:r w:rsidR="00474FDF">
        <w:rPr>
          <w:rFonts w:ascii="Arial" w:eastAsia="Calibri" w:hAnsi="Arial" w:cs="Arial"/>
          <w:sz w:val="24"/>
        </w:rPr>
        <w:t xml:space="preserve"> it directed otherwise.</w:t>
      </w:r>
      <w:r w:rsidR="00474FDF">
        <w:rPr>
          <w:rStyle w:val="FootnoteReference"/>
          <w:rFonts w:ascii="Arial" w:eastAsia="Calibri" w:hAnsi="Arial" w:cs="Arial"/>
          <w:sz w:val="24"/>
        </w:rPr>
        <w:footnoteReference w:id="49"/>
      </w:r>
      <w:r w:rsidR="00474FDF">
        <w:rPr>
          <w:rFonts w:ascii="Arial" w:eastAsia="Calibri" w:hAnsi="Arial" w:cs="Arial"/>
          <w:sz w:val="24"/>
        </w:rPr>
        <w:t xml:space="preserve"> </w:t>
      </w:r>
      <w:r w:rsidR="00A9499B">
        <w:rPr>
          <w:rFonts w:ascii="Arial" w:eastAsia="Calibri" w:hAnsi="Arial" w:cs="Arial"/>
          <w:sz w:val="24"/>
        </w:rPr>
        <w:t xml:space="preserve">As to when the High Court </w:t>
      </w:r>
      <w:r w:rsidR="004D44B6">
        <w:rPr>
          <w:rFonts w:ascii="Arial" w:eastAsia="Calibri" w:hAnsi="Arial" w:cs="Arial"/>
          <w:sz w:val="24"/>
        </w:rPr>
        <w:t>might</w:t>
      </w:r>
      <w:r w:rsidR="00A9499B">
        <w:rPr>
          <w:rFonts w:ascii="Arial" w:eastAsia="Calibri" w:hAnsi="Arial" w:cs="Arial"/>
          <w:sz w:val="24"/>
        </w:rPr>
        <w:t xml:space="preserve"> do so i.e. when the circumstances </w:t>
      </w:r>
      <w:r w:rsidR="002D330D">
        <w:rPr>
          <w:rFonts w:ascii="Arial" w:eastAsia="Calibri" w:hAnsi="Arial" w:cs="Arial"/>
          <w:sz w:val="24"/>
        </w:rPr>
        <w:t xml:space="preserve">might </w:t>
      </w:r>
      <w:r w:rsidR="00A9499B">
        <w:rPr>
          <w:rFonts w:ascii="Arial" w:eastAsia="Calibri" w:hAnsi="Arial" w:cs="Arial"/>
          <w:sz w:val="24"/>
        </w:rPr>
        <w:t>justif</w:t>
      </w:r>
      <w:r w:rsidR="002D330D">
        <w:rPr>
          <w:rFonts w:ascii="Arial" w:eastAsia="Calibri" w:hAnsi="Arial" w:cs="Arial"/>
          <w:sz w:val="24"/>
        </w:rPr>
        <w:t xml:space="preserve">y </w:t>
      </w:r>
      <w:r w:rsidR="00A9499B">
        <w:rPr>
          <w:rFonts w:ascii="Arial" w:eastAsia="Calibri" w:hAnsi="Arial" w:cs="Arial"/>
          <w:sz w:val="24"/>
        </w:rPr>
        <w:t>such an order, Ponnan A</w:t>
      </w:r>
      <w:r w:rsidR="00B366F8">
        <w:rPr>
          <w:rFonts w:ascii="Arial" w:eastAsia="Calibri" w:hAnsi="Arial" w:cs="Arial"/>
          <w:sz w:val="24"/>
        </w:rPr>
        <w:t>DP</w:t>
      </w:r>
      <w:r w:rsidR="00A9499B">
        <w:rPr>
          <w:rFonts w:ascii="Arial" w:eastAsia="Calibri" w:hAnsi="Arial" w:cs="Arial"/>
          <w:sz w:val="24"/>
        </w:rPr>
        <w:t xml:space="preserve"> endorsed</w:t>
      </w:r>
      <w:r w:rsidR="00A9499B">
        <w:rPr>
          <w:rStyle w:val="FootnoteReference"/>
          <w:rFonts w:ascii="Arial" w:eastAsia="Calibri" w:hAnsi="Arial" w:cs="Arial"/>
          <w:sz w:val="24"/>
        </w:rPr>
        <w:footnoteReference w:id="50"/>
      </w:r>
      <w:r w:rsidR="00A9499B">
        <w:rPr>
          <w:rFonts w:ascii="Arial" w:eastAsia="Calibri" w:hAnsi="Arial" w:cs="Arial"/>
          <w:sz w:val="24"/>
        </w:rPr>
        <w:t xml:space="preserve"> the approach adopted in </w:t>
      </w:r>
      <w:r w:rsidR="00A9499B" w:rsidRPr="004D44B6">
        <w:rPr>
          <w:rFonts w:ascii="Arial" w:eastAsia="Calibri" w:hAnsi="Arial" w:cs="Arial"/>
          <w:i/>
          <w:iCs/>
          <w:sz w:val="24"/>
        </w:rPr>
        <w:t>ABSA</w:t>
      </w:r>
      <w:r w:rsidR="00A9499B">
        <w:rPr>
          <w:rFonts w:ascii="Arial" w:eastAsia="Calibri" w:hAnsi="Arial" w:cs="Arial"/>
          <w:sz w:val="24"/>
        </w:rPr>
        <w:t xml:space="preserve">, that this would require the applicant to show that exceptional circumstances were present. </w:t>
      </w:r>
      <w:r w:rsidR="005C4410">
        <w:rPr>
          <w:rFonts w:ascii="Arial" w:eastAsia="Calibri" w:hAnsi="Arial" w:cs="Arial"/>
          <w:sz w:val="24"/>
        </w:rPr>
        <w:t>I</w:t>
      </w:r>
      <w:r w:rsidR="004D44B6">
        <w:rPr>
          <w:rFonts w:ascii="Arial" w:eastAsia="Calibri" w:hAnsi="Arial" w:cs="Arial"/>
          <w:sz w:val="24"/>
        </w:rPr>
        <w:t xml:space="preserve">n adopting the requirement of exceptionality referred to in </w:t>
      </w:r>
      <w:r w:rsidR="004D44B6" w:rsidRPr="004D44B6">
        <w:rPr>
          <w:rFonts w:ascii="Arial" w:eastAsia="Calibri" w:hAnsi="Arial" w:cs="Arial"/>
          <w:i/>
          <w:iCs/>
          <w:sz w:val="24"/>
        </w:rPr>
        <w:t>ABSA</w:t>
      </w:r>
      <w:r w:rsidR="004D44B6">
        <w:rPr>
          <w:rFonts w:ascii="Arial" w:eastAsia="Calibri" w:hAnsi="Arial" w:cs="Arial"/>
          <w:sz w:val="24"/>
        </w:rPr>
        <w:t xml:space="preserve"> the learned judge held that it was neither </w:t>
      </w:r>
      <w:r w:rsidR="004D44B6">
        <w:rPr>
          <w:rFonts w:ascii="Arial" w:eastAsia="Calibri" w:hAnsi="Arial" w:cs="Arial"/>
          <w:sz w:val="24"/>
        </w:rPr>
        <w:lastRenderedPageBreak/>
        <w:t xml:space="preserve">desirable nor possible to lay down a precise rule as to what such circumstances would be, and each case was to be decided on its own facts. </w:t>
      </w:r>
    </w:p>
    <w:p w14:paraId="0BDF4F32" w14:textId="4741C460" w:rsidR="008E3D71"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64.</w:t>
      </w:r>
      <w:r>
        <w:rPr>
          <w:rFonts w:ascii="Arial" w:eastAsia="Calibri" w:hAnsi="Arial" w:cs="Arial"/>
          <w:sz w:val="24"/>
        </w:rPr>
        <w:tab/>
      </w:r>
      <w:r w:rsidR="006B37DE">
        <w:rPr>
          <w:rFonts w:ascii="Arial" w:eastAsia="Calibri" w:hAnsi="Arial" w:cs="Arial"/>
          <w:sz w:val="24"/>
        </w:rPr>
        <w:t>As I read the judgment, i</w:t>
      </w:r>
      <w:r w:rsidR="004D44B6">
        <w:rPr>
          <w:rFonts w:ascii="Arial" w:eastAsia="Calibri" w:hAnsi="Arial" w:cs="Arial"/>
          <w:sz w:val="24"/>
        </w:rPr>
        <w:t xml:space="preserve">n doing so </w:t>
      </w:r>
      <w:r w:rsidR="00755DCF">
        <w:rPr>
          <w:rFonts w:ascii="Arial" w:eastAsia="Calibri" w:hAnsi="Arial" w:cs="Arial"/>
          <w:sz w:val="24"/>
        </w:rPr>
        <w:t>Ponnan A</w:t>
      </w:r>
      <w:r w:rsidR="00347573">
        <w:rPr>
          <w:rFonts w:ascii="Arial" w:eastAsia="Calibri" w:hAnsi="Arial" w:cs="Arial"/>
          <w:sz w:val="24"/>
        </w:rPr>
        <w:t>DP</w:t>
      </w:r>
      <w:r w:rsidR="004D44B6">
        <w:rPr>
          <w:rFonts w:ascii="Arial" w:eastAsia="Calibri" w:hAnsi="Arial" w:cs="Arial"/>
          <w:sz w:val="24"/>
        </w:rPr>
        <w:t xml:space="preserve"> </w:t>
      </w:r>
      <w:r w:rsidR="006B37DE">
        <w:rPr>
          <w:rFonts w:ascii="Arial" w:eastAsia="Calibri" w:hAnsi="Arial" w:cs="Arial"/>
          <w:sz w:val="24"/>
        </w:rPr>
        <w:t xml:space="preserve">did not adopt the interpretation which was given to the term by Sutherland ADJP in </w:t>
      </w:r>
      <w:r w:rsidR="006B37DE" w:rsidRPr="006B37DE">
        <w:rPr>
          <w:rFonts w:ascii="Arial" w:eastAsia="Calibri" w:hAnsi="Arial" w:cs="Arial"/>
          <w:i/>
          <w:iCs/>
          <w:sz w:val="24"/>
        </w:rPr>
        <w:t>ABSA</w:t>
      </w:r>
      <w:r w:rsidR="006B37DE">
        <w:rPr>
          <w:rFonts w:ascii="Arial" w:eastAsia="Calibri" w:hAnsi="Arial" w:cs="Arial"/>
          <w:sz w:val="24"/>
        </w:rPr>
        <w:t xml:space="preserve"> and </w:t>
      </w:r>
      <w:r w:rsidR="00857F2D">
        <w:rPr>
          <w:rFonts w:ascii="Arial" w:eastAsia="Calibri" w:hAnsi="Arial" w:cs="Arial"/>
          <w:sz w:val="24"/>
        </w:rPr>
        <w:t>adopted</w:t>
      </w:r>
      <w:r w:rsidR="004D44B6">
        <w:rPr>
          <w:rFonts w:ascii="Arial" w:eastAsia="Calibri" w:hAnsi="Arial" w:cs="Arial"/>
          <w:sz w:val="24"/>
        </w:rPr>
        <w:t xml:space="preserve"> </w:t>
      </w:r>
      <w:r w:rsidR="006B37DE">
        <w:rPr>
          <w:rFonts w:ascii="Arial" w:eastAsia="Calibri" w:hAnsi="Arial" w:cs="Arial"/>
          <w:sz w:val="24"/>
        </w:rPr>
        <w:t xml:space="preserve">instead </w:t>
      </w:r>
      <w:r w:rsidR="00857F2D">
        <w:rPr>
          <w:rFonts w:ascii="Arial" w:eastAsia="Calibri" w:hAnsi="Arial" w:cs="Arial"/>
          <w:sz w:val="24"/>
        </w:rPr>
        <w:t xml:space="preserve">that </w:t>
      </w:r>
      <w:r w:rsidR="006B37DE">
        <w:rPr>
          <w:rFonts w:ascii="Arial" w:eastAsia="Calibri" w:hAnsi="Arial" w:cs="Arial"/>
          <w:sz w:val="24"/>
        </w:rPr>
        <w:t xml:space="preserve">which was formulated </w:t>
      </w:r>
      <w:r w:rsidR="004D44B6">
        <w:rPr>
          <w:rFonts w:ascii="Arial" w:eastAsia="Calibri" w:hAnsi="Arial" w:cs="Arial"/>
          <w:sz w:val="24"/>
        </w:rPr>
        <w:t xml:space="preserve">in MV </w:t>
      </w:r>
      <w:r w:rsidR="004D44B6" w:rsidRPr="004D44B6">
        <w:rPr>
          <w:rFonts w:ascii="Arial" w:eastAsia="Calibri" w:hAnsi="Arial" w:cs="Arial"/>
          <w:i/>
          <w:iCs/>
          <w:sz w:val="24"/>
        </w:rPr>
        <w:t>Ais Mamas</w:t>
      </w:r>
      <w:r w:rsidR="004D44B6">
        <w:rPr>
          <w:rFonts w:ascii="Arial" w:eastAsia="Calibri" w:hAnsi="Arial" w:cs="Arial"/>
          <w:sz w:val="24"/>
        </w:rPr>
        <w:t>, as previously set out above viz that w</w:t>
      </w:r>
      <w:r w:rsidR="006B37DE">
        <w:rPr>
          <w:rFonts w:ascii="Arial" w:eastAsia="Calibri" w:hAnsi="Arial" w:cs="Arial"/>
          <w:sz w:val="24"/>
        </w:rPr>
        <w:t>h</w:t>
      </w:r>
      <w:r w:rsidR="004D44B6">
        <w:rPr>
          <w:rFonts w:ascii="Arial" w:eastAsia="Calibri" w:hAnsi="Arial" w:cs="Arial"/>
          <w:sz w:val="24"/>
        </w:rPr>
        <w:t xml:space="preserve">at was contemplated by the words was </w:t>
      </w:r>
      <w:r w:rsidR="006B37DE">
        <w:rPr>
          <w:rFonts w:ascii="Arial" w:eastAsia="Calibri" w:hAnsi="Arial" w:cs="Arial"/>
          <w:sz w:val="24"/>
        </w:rPr>
        <w:t>‘</w:t>
      </w:r>
      <w:r w:rsidR="004D44B6">
        <w:rPr>
          <w:rFonts w:ascii="Arial" w:eastAsia="Calibri" w:hAnsi="Arial" w:cs="Arial"/>
          <w:sz w:val="24"/>
        </w:rPr>
        <w:t xml:space="preserve">something out of the ordinary and of an unusual nature which is excepted in the sense that the general rule does not apply to it’ and which is therefore ‘uncommon, rare or different’. </w:t>
      </w:r>
      <w:r w:rsidR="006B37DE">
        <w:rPr>
          <w:rFonts w:ascii="Arial" w:eastAsia="Calibri" w:hAnsi="Arial" w:cs="Arial"/>
          <w:sz w:val="24"/>
        </w:rPr>
        <w:t xml:space="preserve">The ratio of the decision in </w:t>
      </w:r>
      <w:r w:rsidR="006B37DE" w:rsidRPr="006B37DE">
        <w:rPr>
          <w:rFonts w:ascii="Arial" w:eastAsia="Calibri" w:hAnsi="Arial" w:cs="Arial"/>
          <w:i/>
          <w:iCs/>
          <w:sz w:val="24"/>
        </w:rPr>
        <w:t>Rappa Resources</w:t>
      </w:r>
      <w:r w:rsidR="006B37DE">
        <w:rPr>
          <w:rFonts w:ascii="Arial" w:eastAsia="Calibri" w:hAnsi="Arial" w:cs="Arial"/>
          <w:sz w:val="24"/>
        </w:rPr>
        <w:t xml:space="preserve"> was </w:t>
      </w:r>
      <w:r w:rsidR="007D7C1B">
        <w:rPr>
          <w:rFonts w:ascii="Arial" w:eastAsia="Calibri" w:hAnsi="Arial" w:cs="Arial"/>
          <w:sz w:val="24"/>
        </w:rPr>
        <w:t>followed</w:t>
      </w:r>
      <w:r w:rsidR="006B37DE">
        <w:rPr>
          <w:rFonts w:ascii="Arial" w:eastAsia="Calibri" w:hAnsi="Arial" w:cs="Arial"/>
          <w:sz w:val="24"/>
        </w:rPr>
        <w:t xml:space="preserve"> by the same bench of the SCA in the matter of </w:t>
      </w:r>
      <w:r w:rsidR="006B37DE" w:rsidRPr="006B37DE">
        <w:rPr>
          <w:rFonts w:ascii="Arial" w:eastAsia="Calibri" w:hAnsi="Arial" w:cs="Arial"/>
          <w:i/>
          <w:iCs/>
          <w:sz w:val="24"/>
        </w:rPr>
        <w:t>United Manganese</w:t>
      </w:r>
      <w:r w:rsidR="006B37DE">
        <w:rPr>
          <w:rFonts w:ascii="Arial" w:eastAsia="Calibri" w:hAnsi="Arial" w:cs="Arial"/>
          <w:sz w:val="24"/>
        </w:rPr>
        <w:t xml:space="preserve">, </w:t>
      </w:r>
      <w:r w:rsidR="003A20C7">
        <w:rPr>
          <w:rFonts w:ascii="Arial" w:eastAsia="Calibri" w:hAnsi="Arial" w:cs="Arial"/>
          <w:sz w:val="24"/>
        </w:rPr>
        <w:t xml:space="preserve">judgment </w:t>
      </w:r>
      <w:r w:rsidR="006B37DE">
        <w:rPr>
          <w:rFonts w:ascii="Arial" w:eastAsia="Calibri" w:hAnsi="Arial" w:cs="Arial"/>
          <w:sz w:val="24"/>
        </w:rPr>
        <w:t>in which was handed down on the same day.</w:t>
      </w:r>
    </w:p>
    <w:p w14:paraId="792A17AC" w14:textId="29E1AC33" w:rsidR="001B0819" w:rsidRPr="001B0819" w:rsidRDefault="001B0819" w:rsidP="001B0819">
      <w:pPr>
        <w:adjustRightInd w:val="0"/>
        <w:spacing w:after="0" w:line="360" w:lineRule="auto"/>
        <w:contextualSpacing/>
        <w:jc w:val="both"/>
        <w:textAlignment w:val="baseline"/>
        <w:rPr>
          <w:rFonts w:ascii="Arial" w:eastAsia="Calibri" w:hAnsi="Arial" w:cs="Arial"/>
          <w:b/>
          <w:bCs/>
          <w:sz w:val="24"/>
        </w:rPr>
      </w:pPr>
      <w:r w:rsidRPr="001B0819">
        <w:rPr>
          <w:rFonts w:ascii="Arial" w:eastAsia="Calibri" w:hAnsi="Arial" w:cs="Arial"/>
          <w:b/>
          <w:bCs/>
          <w:sz w:val="24"/>
        </w:rPr>
        <w:t>An assessment</w:t>
      </w:r>
    </w:p>
    <w:p w14:paraId="0CD28099" w14:textId="389F02F8" w:rsidR="00DB6D1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65.</w:t>
      </w:r>
      <w:r>
        <w:rPr>
          <w:rFonts w:ascii="Arial" w:eastAsia="Calibri" w:hAnsi="Arial" w:cs="Arial"/>
          <w:sz w:val="24"/>
        </w:rPr>
        <w:tab/>
      </w:r>
      <w:r w:rsidR="00755DCF">
        <w:rPr>
          <w:rFonts w:ascii="Arial" w:eastAsia="Calibri" w:hAnsi="Arial" w:cs="Arial"/>
          <w:sz w:val="24"/>
        </w:rPr>
        <w:t xml:space="preserve">It may be useful, at </w:t>
      </w:r>
      <w:r w:rsidR="00563A80">
        <w:rPr>
          <w:rFonts w:ascii="Arial" w:eastAsia="Calibri" w:hAnsi="Arial" w:cs="Arial"/>
          <w:sz w:val="24"/>
        </w:rPr>
        <w:t>t</w:t>
      </w:r>
      <w:r w:rsidR="00755DCF">
        <w:rPr>
          <w:rFonts w:ascii="Arial" w:eastAsia="Calibri" w:hAnsi="Arial" w:cs="Arial"/>
          <w:sz w:val="24"/>
        </w:rPr>
        <w:t>his juncture, to summarize the current state of the law, as I understand it</w:t>
      </w:r>
      <w:r w:rsidR="00BA030D">
        <w:rPr>
          <w:rFonts w:ascii="Arial" w:eastAsia="Calibri" w:hAnsi="Arial" w:cs="Arial"/>
          <w:sz w:val="24"/>
        </w:rPr>
        <w:t>, in the context of this matter</w:t>
      </w:r>
      <w:r w:rsidR="00755DCF">
        <w:rPr>
          <w:rFonts w:ascii="Arial" w:eastAsia="Calibri" w:hAnsi="Arial" w:cs="Arial"/>
          <w:sz w:val="24"/>
        </w:rPr>
        <w:t xml:space="preserve">. In the first place, </w:t>
      </w:r>
      <w:r w:rsidR="003F63D7">
        <w:rPr>
          <w:rFonts w:ascii="Arial" w:eastAsia="Calibri" w:hAnsi="Arial" w:cs="Arial"/>
          <w:sz w:val="24"/>
        </w:rPr>
        <w:t xml:space="preserve">the effect of </w:t>
      </w:r>
      <w:r w:rsidR="00755DCF">
        <w:rPr>
          <w:rFonts w:ascii="Arial" w:eastAsia="Calibri" w:hAnsi="Arial" w:cs="Arial"/>
          <w:sz w:val="24"/>
        </w:rPr>
        <w:t xml:space="preserve">the decisions in </w:t>
      </w:r>
      <w:r w:rsidR="00755DCF" w:rsidRPr="00312E75">
        <w:rPr>
          <w:rFonts w:ascii="Arial" w:eastAsia="Calibri" w:hAnsi="Arial" w:cs="Arial"/>
          <w:i/>
          <w:iCs/>
          <w:sz w:val="24"/>
        </w:rPr>
        <w:t>ABSA</w:t>
      </w:r>
      <w:r w:rsidR="00755DCF">
        <w:rPr>
          <w:rFonts w:ascii="Arial" w:eastAsia="Calibri" w:hAnsi="Arial" w:cs="Arial"/>
          <w:sz w:val="24"/>
        </w:rPr>
        <w:t xml:space="preserve"> and </w:t>
      </w:r>
      <w:r w:rsidR="00755DCF" w:rsidRPr="00312E75">
        <w:rPr>
          <w:rFonts w:ascii="Arial" w:eastAsia="Calibri" w:hAnsi="Arial" w:cs="Arial"/>
          <w:i/>
          <w:iCs/>
          <w:sz w:val="24"/>
        </w:rPr>
        <w:t>Rappa Resources</w:t>
      </w:r>
      <w:r w:rsidR="003F63D7">
        <w:rPr>
          <w:rFonts w:ascii="Arial" w:eastAsia="Calibri" w:hAnsi="Arial" w:cs="Arial"/>
          <w:sz w:val="24"/>
        </w:rPr>
        <w:t xml:space="preserve"> is that</w:t>
      </w:r>
      <w:r w:rsidR="00755DCF">
        <w:rPr>
          <w:rFonts w:ascii="Arial" w:eastAsia="Calibri" w:hAnsi="Arial" w:cs="Arial"/>
          <w:sz w:val="24"/>
        </w:rPr>
        <w:t xml:space="preserve"> </w:t>
      </w:r>
      <w:r w:rsidR="00312E75">
        <w:rPr>
          <w:rFonts w:ascii="Arial" w:eastAsia="Calibri" w:hAnsi="Arial" w:cs="Arial"/>
          <w:sz w:val="24"/>
        </w:rPr>
        <w:t xml:space="preserve">in </w:t>
      </w:r>
      <w:r w:rsidR="00755DCF">
        <w:rPr>
          <w:rFonts w:ascii="Arial" w:eastAsia="Calibri" w:hAnsi="Arial" w:cs="Arial"/>
          <w:sz w:val="24"/>
        </w:rPr>
        <w:t xml:space="preserve">any </w:t>
      </w:r>
      <w:r w:rsidR="00B9223F">
        <w:rPr>
          <w:rFonts w:ascii="Arial" w:eastAsia="Calibri" w:hAnsi="Arial" w:cs="Arial"/>
          <w:sz w:val="24"/>
        </w:rPr>
        <w:t xml:space="preserve">civil </w:t>
      </w:r>
      <w:r w:rsidR="00755DCF">
        <w:rPr>
          <w:rFonts w:ascii="Arial" w:eastAsia="Calibri" w:hAnsi="Arial" w:cs="Arial"/>
          <w:sz w:val="24"/>
        </w:rPr>
        <w:t xml:space="preserve">review </w:t>
      </w:r>
      <w:r w:rsidR="00312E75">
        <w:rPr>
          <w:rFonts w:ascii="Arial" w:eastAsia="Calibri" w:hAnsi="Arial" w:cs="Arial"/>
          <w:sz w:val="24"/>
        </w:rPr>
        <w:t xml:space="preserve">of a tax dispute </w:t>
      </w:r>
      <w:r w:rsidR="00DB6D1B">
        <w:rPr>
          <w:rFonts w:ascii="Arial" w:eastAsia="Calibri" w:hAnsi="Arial" w:cs="Arial"/>
          <w:sz w:val="24"/>
        </w:rPr>
        <w:t>as</w:t>
      </w:r>
      <w:r w:rsidR="00312E75">
        <w:rPr>
          <w:rFonts w:ascii="Arial" w:eastAsia="Calibri" w:hAnsi="Arial" w:cs="Arial"/>
          <w:sz w:val="24"/>
        </w:rPr>
        <w:t xml:space="preserve"> referred to in s 104 of the TAA</w:t>
      </w:r>
      <w:r w:rsidR="00A3278A">
        <w:rPr>
          <w:rFonts w:ascii="Arial" w:eastAsia="Calibri" w:hAnsi="Arial" w:cs="Arial"/>
          <w:sz w:val="24"/>
        </w:rPr>
        <w:t xml:space="preserve"> read with Chp 9 thereof</w:t>
      </w:r>
      <w:r w:rsidR="00312E75">
        <w:rPr>
          <w:rFonts w:ascii="Arial" w:eastAsia="Calibri" w:hAnsi="Arial" w:cs="Arial"/>
          <w:sz w:val="24"/>
        </w:rPr>
        <w:t xml:space="preserve"> (i.e </w:t>
      </w:r>
      <w:r w:rsidR="00A3278A">
        <w:rPr>
          <w:rFonts w:ascii="Arial" w:eastAsia="Calibri" w:hAnsi="Arial" w:cs="Arial"/>
          <w:sz w:val="24"/>
        </w:rPr>
        <w:t xml:space="preserve">one which involves </w:t>
      </w:r>
      <w:r w:rsidR="00312E75">
        <w:rPr>
          <w:rFonts w:ascii="Arial" w:eastAsia="Calibri" w:hAnsi="Arial" w:cs="Arial"/>
          <w:sz w:val="24"/>
        </w:rPr>
        <w:t xml:space="preserve">a dispute </w:t>
      </w:r>
      <w:r w:rsidR="00A3278A">
        <w:rPr>
          <w:rFonts w:ascii="Arial" w:eastAsia="Calibri" w:hAnsi="Arial" w:cs="Arial"/>
          <w:sz w:val="24"/>
        </w:rPr>
        <w:t>pertaining to a tax assessment or a decision by the Commissioner,</w:t>
      </w:r>
      <w:r w:rsidR="003F63D7">
        <w:rPr>
          <w:rFonts w:ascii="Arial" w:eastAsia="Calibri" w:hAnsi="Arial" w:cs="Arial"/>
          <w:sz w:val="24"/>
        </w:rPr>
        <w:t xml:space="preserve"> </w:t>
      </w:r>
      <w:r w:rsidR="00312E75">
        <w:rPr>
          <w:rFonts w:ascii="Arial" w:eastAsia="Calibri" w:hAnsi="Arial" w:cs="Arial"/>
          <w:sz w:val="24"/>
        </w:rPr>
        <w:t>which can be resolved by way of an objection or appeal), whether it is brought as a so-called PAJA review or</w:t>
      </w:r>
      <w:r w:rsidR="00755DCF">
        <w:rPr>
          <w:rFonts w:ascii="Arial" w:eastAsia="Calibri" w:hAnsi="Arial" w:cs="Arial"/>
          <w:sz w:val="24"/>
        </w:rPr>
        <w:t xml:space="preserve"> </w:t>
      </w:r>
      <w:r w:rsidR="00312E75">
        <w:rPr>
          <w:rFonts w:ascii="Arial" w:eastAsia="Calibri" w:hAnsi="Arial" w:cs="Arial"/>
          <w:sz w:val="24"/>
        </w:rPr>
        <w:t>as a legality review, the applicant will need to show the existence of exceptional circumstances which justify the matter being heard by a civil Court as opposed to the fora and procedures available under the TAA i.e by way of an objection to the Commissioner and, if that fails, an appeal to the Tax Court.</w:t>
      </w:r>
      <w:r w:rsidR="003F63D7">
        <w:rPr>
          <w:rFonts w:ascii="Arial" w:eastAsia="Calibri" w:hAnsi="Arial" w:cs="Arial"/>
          <w:sz w:val="24"/>
        </w:rPr>
        <w:t xml:space="preserve"> </w:t>
      </w:r>
      <w:r w:rsidR="0085544F">
        <w:rPr>
          <w:rFonts w:ascii="Arial" w:eastAsia="Calibri" w:hAnsi="Arial" w:cs="Arial"/>
          <w:sz w:val="24"/>
        </w:rPr>
        <w:t xml:space="preserve">The effect of these decisions has </w:t>
      </w:r>
      <w:r w:rsidR="00DB6D1B">
        <w:rPr>
          <w:rFonts w:ascii="Arial" w:eastAsia="Calibri" w:hAnsi="Arial" w:cs="Arial"/>
          <w:sz w:val="24"/>
        </w:rPr>
        <w:t xml:space="preserve">therefore </w:t>
      </w:r>
      <w:r w:rsidR="0085544F">
        <w:rPr>
          <w:rFonts w:ascii="Arial" w:eastAsia="Calibri" w:hAnsi="Arial" w:cs="Arial"/>
          <w:sz w:val="24"/>
        </w:rPr>
        <w:t xml:space="preserve">been, at least insofar as </w:t>
      </w:r>
      <w:r w:rsidR="00DB6D1B">
        <w:rPr>
          <w:rFonts w:ascii="Arial" w:eastAsia="Calibri" w:hAnsi="Arial" w:cs="Arial"/>
          <w:sz w:val="24"/>
        </w:rPr>
        <w:t xml:space="preserve">such </w:t>
      </w:r>
      <w:r w:rsidR="0085544F">
        <w:rPr>
          <w:rFonts w:ascii="Arial" w:eastAsia="Calibri" w:hAnsi="Arial" w:cs="Arial"/>
          <w:sz w:val="24"/>
        </w:rPr>
        <w:t>reviews are concerned</w:t>
      </w:r>
      <w:r w:rsidR="00BA030D">
        <w:rPr>
          <w:rFonts w:ascii="Arial" w:eastAsia="Calibri" w:hAnsi="Arial" w:cs="Arial"/>
          <w:sz w:val="24"/>
        </w:rPr>
        <w:t>,</w:t>
      </w:r>
      <w:r w:rsidR="0085544F">
        <w:rPr>
          <w:rFonts w:ascii="Arial" w:eastAsia="Calibri" w:hAnsi="Arial" w:cs="Arial"/>
          <w:sz w:val="24"/>
        </w:rPr>
        <w:t xml:space="preserve"> to subsume the </w:t>
      </w:r>
      <w:r w:rsidR="00934545">
        <w:rPr>
          <w:rFonts w:ascii="Arial" w:eastAsia="Calibri" w:hAnsi="Arial" w:cs="Arial"/>
          <w:sz w:val="24"/>
        </w:rPr>
        <w:t xml:space="preserve">PAJA </w:t>
      </w:r>
      <w:r w:rsidR="0085544F">
        <w:rPr>
          <w:rFonts w:ascii="Arial" w:eastAsia="Calibri" w:hAnsi="Arial" w:cs="Arial"/>
          <w:sz w:val="24"/>
        </w:rPr>
        <w:t xml:space="preserve">requirement of exceptional </w:t>
      </w:r>
      <w:r w:rsidR="00096FAA">
        <w:rPr>
          <w:rFonts w:ascii="Arial" w:eastAsia="Calibri" w:hAnsi="Arial" w:cs="Arial"/>
          <w:sz w:val="24"/>
        </w:rPr>
        <w:t xml:space="preserve">circumstances </w:t>
      </w:r>
      <w:r w:rsidR="005C4410">
        <w:rPr>
          <w:rFonts w:ascii="Arial" w:eastAsia="Calibri" w:hAnsi="Arial" w:cs="Arial"/>
          <w:sz w:val="24"/>
        </w:rPr>
        <w:t>in</w:t>
      </w:r>
      <w:r w:rsidR="00096FAA">
        <w:rPr>
          <w:rFonts w:ascii="Arial" w:eastAsia="Calibri" w:hAnsi="Arial" w:cs="Arial"/>
          <w:sz w:val="24"/>
        </w:rPr>
        <w:t>to</w:t>
      </w:r>
      <w:r w:rsidR="0085544F">
        <w:rPr>
          <w:rFonts w:ascii="Arial" w:eastAsia="Calibri" w:hAnsi="Arial" w:cs="Arial"/>
          <w:sz w:val="24"/>
        </w:rPr>
        <w:t xml:space="preserve"> the determination of whether a Court should make a directive in terms of</w:t>
      </w:r>
      <w:r w:rsidR="005C4410">
        <w:rPr>
          <w:rFonts w:ascii="Arial" w:eastAsia="Calibri" w:hAnsi="Arial" w:cs="Arial"/>
          <w:sz w:val="24"/>
        </w:rPr>
        <w:t xml:space="preserve"> </w:t>
      </w:r>
      <w:r w:rsidR="0085544F">
        <w:rPr>
          <w:rFonts w:ascii="Arial" w:eastAsia="Calibri" w:hAnsi="Arial" w:cs="Arial"/>
          <w:sz w:val="24"/>
        </w:rPr>
        <w:t>s 105 of the TAA</w:t>
      </w:r>
      <w:r w:rsidR="00BA030D">
        <w:rPr>
          <w:rFonts w:ascii="Arial" w:eastAsia="Calibri" w:hAnsi="Arial" w:cs="Arial"/>
          <w:sz w:val="24"/>
        </w:rPr>
        <w:t>.</w:t>
      </w:r>
      <w:r w:rsidR="00BA030D" w:rsidRPr="00BA030D">
        <w:rPr>
          <w:rFonts w:ascii="Arial" w:eastAsia="Calibri" w:hAnsi="Arial" w:cs="Arial"/>
          <w:sz w:val="24"/>
        </w:rPr>
        <w:t xml:space="preserve"> </w:t>
      </w:r>
    </w:p>
    <w:p w14:paraId="1E85FDB5" w14:textId="792C6EAE" w:rsidR="003F63D7"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66.</w:t>
      </w:r>
      <w:r>
        <w:rPr>
          <w:rFonts w:ascii="Arial" w:eastAsia="Calibri" w:hAnsi="Arial" w:cs="Arial"/>
          <w:sz w:val="24"/>
        </w:rPr>
        <w:tab/>
      </w:r>
      <w:r w:rsidR="00BA030D">
        <w:rPr>
          <w:rFonts w:ascii="Arial" w:eastAsia="Calibri" w:hAnsi="Arial" w:cs="Arial"/>
          <w:sz w:val="24"/>
        </w:rPr>
        <w:t xml:space="preserve">Matters which deal with disputes which do not fall within the ambit of s 104 (read with Chp 9 of the TAA) are not subject to such a restriction and do not require a directive in terms of s 105. Exactly what such matters </w:t>
      </w:r>
      <w:r w:rsidR="00096FAA">
        <w:rPr>
          <w:rFonts w:ascii="Arial" w:eastAsia="Calibri" w:hAnsi="Arial" w:cs="Arial"/>
          <w:sz w:val="24"/>
        </w:rPr>
        <w:t xml:space="preserve">will </w:t>
      </w:r>
      <w:r w:rsidR="00BA030D">
        <w:rPr>
          <w:rFonts w:ascii="Arial" w:eastAsia="Calibri" w:hAnsi="Arial" w:cs="Arial"/>
          <w:sz w:val="24"/>
        </w:rPr>
        <w:t>entail is not something which needs to be de</w:t>
      </w:r>
      <w:r w:rsidR="00DB6D1B">
        <w:rPr>
          <w:rFonts w:ascii="Arial" w:eastAsia="Calibri" w:hAnsi="Arial" w:cs="Arial"/>
          <w:sz w:val="24"/>
        </w:rPr>
        <w:t>marcated</w:t>
      </w:r>
      <w:r w:rsidR="00BA030D">
        <w:rPr>
          <w:rFonts w:ascii="Arial" w:eastAsia="Calibri" w:hAnsi="Arial" w:cs="Arial"/>
          <w:sz w:val="24"/>
        </w:rPr>
        <w:t xml:space="preserve"> in these proceedings, as they concern a review.</w:t>
      </w:r>
      <w:r w:rsidR="00D036A5">
        <w:rPr>
          <w:rFonts w:ascii="Arial" w:eastAsia="Calibri" w:hAnsi="Arial" w:cs="Arial"/>
          <w:sz w:val="24"/>
        </w:rPr>
        <w:t xml:space="preserve"> All that needs to be said is that there will clearly be instances</w:t>
      </w:r>
      <w:r w:rsidR="003A20C7" w:rsidRPr="003A20C7">
        <w:rPr>
          <w:rFonts w:ascii="Arial" w:eastAsia="Calibri" w:hAnsi="Arial" w:cs="Arial"/>
          <w:sz w:val="24"/>
        </w:rPr>
        <w:t xml:space="preserve"> </w:t>
      </w:r>
      <w:r w:rsidR="003A20C7">
        <w:rPr>
          <w:rFonts w:ascii="Arial" w:eastAsia="Calibri" w:hAnsi="Arial" w:cs="Arial"/>
          <w:sz w:val="24"/>
        </w:rPr>
        <w:t xml:space="preserve">where, depending on </w:t>
      </w:r>
      <w:r w:rsidR="003A20C7">
        <w:rPr>
          <w:rFonts w:ascii="Arial" w:eastAsia="Calibri" w:hAnsi="Arial" w:cs="Arial"/>
          <w:sz w:val="24"/>
        </w:rPr>
        <w:lastRenderedPageBreak/>
        <w:t>the facts and circumstances</w:t>
      </w:r>
      <w:r w:rsidR="00DB6D1B">
        <w:rPr>
          <w:rFonts w:ascii="Arial" w:eastAsia="Calibri" w:hAnsi="Arial" w:cs="Arial"/>
          <w:sz w:val="24"/>
        </w:rPr>
        <w:t>,</w:t>
      </w:r>
      <w:r w:rsidR="00DB6D1B">
        <w:rPr>
          <w:rStyle w:val="FootnoteReference"/>
          <w:rFonts w:ascii="Arial" w:eastAsia="Calibri" w:hAnsi="Arial" w:cs="Arial"/>
          <w:sz w:val="24"/>
        </w:rPr>
        <w:footnoteReference w:id="51"/>
      </w:r>
      <w:r w:rsidR="00D036A5">
        <w:rPr>
          <w:rFonts w:ascii="Arial" w:eastAsia="Calibri" w:hAnsi="Arial" w:cs="Arial"/>
          <w:sz w:val="24"/>
        </w:rPr>
        <w:t xml:space="preserve"> an applicant may </w:t>
      </w:r>
      <w:r w:rsidR="00DB6D1B">
        <w:rPr>
          <w:rFonts w:ascii="Arial" w:eastAsia="Calibri" w:hAnsi="Arial" w:cs="Arial"/>
          <w:sz w:val="24"/>
        </w:rPr>
        <w:t xml:space="preserve">be entitled to </w:t>
      </w:r>
      <w:r w:rsidR="00D036A5">
        <w:rPr>
          <w:rFonts w:ascii="Arial" w:eastAsia="Calibri" w:hAnsi="Arial" w:cs="Arial"/>
          <w:sz w:val="24"/>
        </w:rPr>
        <w:t xml:space="preserve">approach a civil Court directly for relief, without such strictures. </w:t>
      </w:r>
    </w:p>
    <w:p w14:paraId="5EDDED00" w14:textId="5A549030" w:rsidR="00DB6D1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67.</w:t>
      </w:r>
      <w:r>
        <w:rPr>
          <w:rFonts w:ascii="Arial" w:eastAsia="Calibri" w:hAnsi="Arial" w:cs="Arial"/>
          <w:sz w:val="24"/>
        </w:rPr>
        <w:tab/>
      </w:r>
      <w:r w:rsidR="003F63D7">
        <w:rPr>
          <w:rFonts w:ascii="Arial" w:eastAsia="Calibri" w:hAnsi="Arial" w:cs="Arial"/>
          <w:sz w:val="24"/>
        </w:rPr>
        <w:t>Essentially</w:t>
      </w:r>
      <w:r w:rsidR="0085544F">
        <w:rPr>
          <w:rFonts w:ascii="Arial" w:eastAsia="Calibri" w:hAnsi="Arial" w:cs="Arial"/>
          <w:sz w:val="24"/>
        </w:rPr>
        <w:t xml:space="preserve">, </w:t>
      </w:r>
      <w:r w:rsidR="003F63D7">
        <w:rPr>
          <w:rFonts w:ascii="Arial" w:eastAsia="Calibri" w:hAnsi="Arial" w:cs="Arial"/>
          <w:sz w:val="24"/>
        </w:rPr>
        <w:t>th</w:t>
      </w:r>
      <w:r w:rsidR="00256EBA">
        <w:rPr>
          <w:rFonts w:ascii="Arial" w:eastAsia="Calibri" w:hAnsi="Arial" w:cs="Arial"/>
          <w:sz w:val="24"/>
        </w:rPr>
        <w:t xml:space="preserve">e decisions in </w:t>
      </w:r>
      <w:r w:rsidR="00256EBA" w:rsidRPr="00256EBA">
        <w:rPr>
          <w:rFonts w:ascii="Arial" w:eastAsia="Calibri" w:hAnsi="Arial" w:cs="Arial"/>
          <w:i/>
          <w:iCs/>
          <w:sz w:val="24"/>
        </w:rPr>
        <w:t>ABSA</w:t>
      </w:r>
      <w:r w:rsidR="00256EBA">
        <w:rPr>
          <w:rFonts w:ascii="Arial" w:eastAsia="Calibri" w:hAnsi="Arial" w:cs="Arial"/>
          <w:sz w:val="24"/>
        </w:rPr>
        <w:t xml:space="preserve"> and</w:t>
      </w:r>
      <w:r w:rsidR="003F63D7">
        <w:rPr>
          <w:rFonts w:ascii="Arial" w:eastAsia="Calibri" w:hAnsi="Arial" w:cs="Arial"/>
          <w:sz w:val="24"/>
        </w:rPr>
        <w:t xml:space="preserve"> </w:t>
      </w:r>
      <w:r w:rsidR="00256EBA" w:rsidRPr="00256EBA">
        <w:rPr>
          <w:rFonts w:ascii="Arial" w:eastAsia="Calibri" w:hAnsi="Arial" w:cs="Arial"/>
          <w:i/>
          <w:iCs/>
          <w:sz w:val="24"/>
        </w:rPr>
        <w:t>Rappa Resources</w:t>
      </w:r>
      <w:r w:rsidR="00256EBA">
        <w:rPr>
          <w:rFonts w:ascii="Arial" w:eastAsia="Calibri" w:hAnsi="Arial" w:cs="Arial"/>
          <w:sz w:val="24"/>
        </w:rPr>
        <w:t xml:space="preserve"> </w:t>
      </w:r>
      <w:r w:rsidR="003F63D7">
        <w:rPr>
          <w:rFonts w:ascii="Arial" w:eastAsia="Calibri" w:hAnsi="Arial" w:cs="Arial"/>
          <w:sz w:val="24"/>
        </w:rPr>
        <w:t>ha</w:t>
      </w:r>
      <w:r w:rsidR="00256EBA">
        <w:rPr>
          <w:rFonts w:ascii="Arial" w:eastAsia="Calibri" w:hAnsi="Arial" w:cs="Arial"/>
          <w:sz w:val="24"/>
        </w:rPr>
        <w:t>ve</w:t>
      </w:r>
      <w:r w:rsidR="003F63D7">
        <w:rPr>
          <w:rFonts w:ascii="Arial" w:eastAsia="Calibri" w:hAnsi="Arial" w:cs="Arial"/>
          <w:sz w:val="24"/>
        </w:rPr>
        <w:t xml:space="preserve"> </w:t>
      </w:r>
      <w:r w:rsidR="007604F0">
        <w:rPr>
          <w:rFonts w:ascii="Arial" w:eastAsia="Calibri" w:hAnsi="Arial" w:cs="Arial"/>
          <w:sz w:val="24"/>
        </w:rPr>
        <w:t>therefore standardized</w:t>
      </w:r>
      <w:r w:rsidR="003F63D7">
        <w:rPr>
          <w:rFonts w:ascii="Arial" w:eastAsia="Calibri" w:hAnsi="Arial" w:cs="Arial"/>
          <w:sz w:val="24"/>
        </w:rPr>
        <w:t xml:space="preserve"> the material requirement which an applicant needs to </w:t>
      </w:r>
      <w:r w:rsidR="007604F0">
        <w:rPr>
          <w:rFonts w:ascii="Arial" w:eastAsia="Calibri" w:hAnsi="Arial" w:cs="Arial"/>
          <w:sz w:val="24"/>
        </w:rPr>
        <w:t>meet</w:t>
      </w:r>
      <w:r w:rsidR="00F31721">
        <w:rPr>
          <w:rFonts w:ascii="Arial" w:eastAsia="Calibri" w:hAnsi="Arial" w:cs="Arial"/>
          <w:sz w:val="24"/>
        </w:rPr>
        <w:t>,</w:t>
      </w:r>
      <w:r w:rsidR="003F63D7">
        <w:rPr>
          <w:rFonts w:ascii="Arial" w:eastAsia="Calibri" w:hAnsi="Arial" w:cs="Arial"/>
          <w:sz w:val="24"/>
        </w:rPr>
        <w:t xml:space="preserve"> whatever form their review takes, save in one respect</w:t>
      </w:r>
      <w:r w:rsidR="00256EBA">
        <w:rPr>
          <w:rFonts w:ascii="Arial" w:eastAsia="Calibri" w:hAnsi="Arial" w:cs="Arial"/>
          <w:sz w:val="24"/>
        </w:rPr>
        <w:t>,</w:t>
      </w:r>
      <w:r w:rsidR="003F63D7">
        <w:rPr>
          <w:rFonts w:ascii="Arial" w:eastAsia="Calibri" w:hAnsi="Arial" w:cs="Arial"/>
          <w:sz w:val="24"/>
        </w:rPr>
        <w:t xml:space="preserve"> which it appears has not as yet enjoyed the attention of the Courts</w:t>
      </w:r>
      <w:r w:rsidR="00A3278A">
        <w:rPr>
          <w:rFonts w:ascii="Arial" w:eastAsia="Calibri" w:hAnsi="Arial" w:cs="Arial"/>
          <w:sz w:val="24"/>
        </w:rPr>
        <w:t xml:space="preserve"> in tax</w:t>
      </w:r>
      <w:r w:rsidR="00096FAA">
        <w:rPr>
          <w:rFonts w:ascii="Arial" w:eastAsia="Calibri" w:hAnsi="Arial" w:cs="Arial"/>
          <w:sz w:val="24"/>
        </w:rPr>
        <w:t>-related</w:t>
      </w:r>
      <w:r w:rsidR="00A3278A">
        <w:rPr>
          <w:rFonts w:ascii="Arial" w:eastAsia="Calibri" w:hAnsi="Arial" w:cs="Arial"/>
          <w:sz w:val="24"/>
        </w:rPr>
        <w:t xml:space="preserve"> disputes</w:t>
      </w:r>
      <w:r w:rsidR="00256EBA">
        <w:rPr>
          <w:rFonts w:ascii="Arial" w:eastAsia="Calibri" w:hAnsi="Arial" w:cs="Arial"/>
          <w:sz w:val="24"/>
        </w:rPr>
        <w:t>.</w:t>
      </w:r>
      <w:r w:rsidR="00D52219">
        <w:rPr>
          <w:rFonts w:ascii="Arial" w:eastAsia="Calibri" w:hAnsi="Arial" w:cs="Arial"/>
          <w:sz w:val="24"/>
        </w:rPr>
        <w:t xml:space="preserve"> In this regard, </w:t>
      </w:r>
      <w:r w:rsidR="003F63D7">
        <w:rPr>
          <w:rFonts w:ascii="Arial" w:eastAsia="Calibri" w:hAnsi="Arial" w:cs="Arial"/>
          <w:sz w:val="24"/>
        </w:rPr>
        <w:t>in terms of s 7(2)</w:t>
      </w:r>
      <w:r w:rsidR="00BB78E5">
        <w:rPr>
          <w:rFonts w:ascii="Arial" w:eastAsia="Calibri" w:hAnsi="Arial" w:cs="Arial"/>
          <w:sz w:val="24"/>
        </w:rPr>
        <w:t>(c)</w:t>
      </w:r>
      <w:r w:rsidR="00D52219">
        <w:rPr>
          <w:rFonts w:ascii="Arial" w:eastAsia="Calibri" w:hAnsi="Arial" w:cs="Arial"/>
          <w:sz w:val="24"/>
        </w:rPr>
        <w:t xml:space="preserve"> of PAJA, </w:t>
      </w:r>
      <w:r w:rsidR="003F63D7">
        <w:rPr>
          <w:rFonts w:ascii="Arial" w:eastAsia="Calibri" w:hAnsi="Arial" w:cs="Arial"/>
          <w:sz w:val="24"/>
        </w:rPr>
        <w:t xml:space="preserve">in a PAJA review the applicant </w:t>
      </w:r>
      <w:r w:rsidR="00BB78E5">
        <w:rPr>
          <w:rFonts w:ascii="Arial" w:eastAsia="Calibri" w:hAnsi="Arial" w:cs="Arial"/>
          <w:sz w:val="24"/>
        </w:rPr>
        <w:t xml:space="preserve">can only be </w:t>
      </w:r>
      <w:r w:rsidR="00D52219">
        <w:rPr>
          <w:rFonts w:ascii="Arial" w:eastAsia="Calibri" w:hAnsi="Arial" w:cs="Arial"/>
          <w:sz w:val="24"/>
        </w:rPr>
        <w:t>exempted from exhausting the internal remedies of objection and appeal,</w:t>
      </w:r>
      <w:r w:rsidR="00BB78E5">
        <w:rPr>
          <w:rFonts w:ascii="Arial" w:eastAsia="Calibri" w:hAnsi="Arial" w:cs="Arial"/>
          <w:sz w:val="24"/>
        </w:rPr>
        <w:t xml:space="preserve"> if he succeeds</w:t>
      </w:r>
      <w:r w:rsidR="00D52219">
        <w:rPr>
          <w:rFonts w:ascii="Arial" w:eastAsia="Calibri" w:hAnsi="Arial" w:cs="Arial"/>
          <w:sz w:val="24"/>
        </w:rPr>
        <w:t xml:space="preserve"> not only in showing that</w:t>
      </w:r>
      <w:r w:rsidR="00BB78E5">
        <w:rPr>
          <w:rFonts w:ascii="Arial" w:eastAsia="Calibri" w:hAnsi="Arial" w:cs="Arial"/>
          <w:sz w:val="24"/>
        </w:rPr>
        <w:t xml:space="preserve"> </w:t>
      </w:r>
      <w:r w:rsidR="00D52219">
        <w:rPr>
          <w:rFonts w:ascii="Arial" w:eastAsia="Calibri" w:hAnsi="Arial" w:cs="Arial"/>
          <w:sz w:val="24"/>
        </w:rPr>
        <w:t xml:space="preserve">there are exceptional circumstances present </w:t>
      </w:r>
      <w:r w:rsidR="00D52219" w:rsidRPr="00D52219">
        <w:rPr>
          <w:rFonts w:ascii="Arial" w:eastAsia="Calibri" w:hAnsi="Arial" w:cs="Arial"/>
          <w:i/>
          <w:iCs/>
          <w:sz w:val="24"/>
        </w:rPr>
        <w:t>but also that</w:t>
      </w:r>
      <w:r w:rsidR="00BA4DA5">
        <w:rPr>
          <w:rFonts w:ascii="Arial" w:eastAsia="Calibri" w:hAnsi="Arial" w:cs="Arial"/>
          <w:i/>
          <w:iCs/>
          <w:sz w:val="24"/>
        </w:rPr>
        <w:t xml:space="preserve"> they render</w:t>
      </w:r>
      <w:r w:rsidR="00D52219" w:rsidRPr="00D52219">
        <w:rPr>
          <w:rFonts w:ascii="Arial" w:eastAsia="Calibri" w:hAnsi="Arial" w:cs="Arial"/>
          <w:i/>
          <w:iCs/>
          <w:sz w:val="24"/>
        </w:rPr>
        <w:t xml:space="preserve"> it</w:t>
      </w:r>
      <w:r w:rsidR="00BA4DA5">
        <w:rPr>
          <w:rFonts w:ascii="Arial" w:eastAsia="Calibri" w:hAnsi="Arial" w:cs="Arial"/>
          <w:i/>
          <w:iCs/>
          <w:sz w:val="24"/>
        </w:rPr>
        <w:t xml:space="preserve"> necessary</w:t>
      </w:r>
      <w:r w:rsidR="00D52219" w:rsidRPr="00D52219">
        <w:rPr>
          <w:rFonts w:ascii="Arial" w:eastAsia="Calibri" w:hAnsi="Arial" w:cs="Arial"/>
          <w:i/>
          <w:iCs/>
          <w:sz w:val="24"/>
        </w:rPr>
        <w:t xml:space="preserve"> in the interests of justice</w:t>
      </w:r>
      <w:r w:rsidR="00D52219">
        <w:rPr>
          <w:rFonts w:ascii="Arial" w:eastAsia="Calibri" w:hAnsi="Arial" w:cs="Arial"/>
          <w:sz w:val="24"/>
        </w:rPr>
        <w:t xml:space="preserve"> that he be heard, instead of utilizing such remedies. This does not seem to be required </w:t>
      </w:r>
      <w:r w:rsidR="00F31721">
        <w:rPr>
          <w:rFonts w:ascii="Arial" w:eastAsia="Calibri" w:hAnsi="Arial" w:cs="Arial"/>
          <w:sz w:val="24"/>
        </w:rPr>
        <w:t xml:space="preserve">in a legality review, nor </w:t>
      </w:r>
      <w:r w:rsidR="00D52219">
        <w:rPr>
          <w:rFonts w:ascii="Arial" w:eastAsia="Calibri" w:hAnsi="Arial" w:cs="Arial"/>
          <w:sz w:val="24"/>
        </w:rPr>
        <w:t>when seeking a directive under s 105</w:t>
      </w:r>
      <w:r w:rsidR="00A3278A">
        <w:rPr>
          <w:rFonts w:ascii="Arial" w:eastAsia="Calibri" w:hAnsi="Arial" w:cs="Arial"/>
          <w:sz w:val="24"/>
        </w:rPr>
        <w:t xml:space="preserve"> of the TAA</w:t>
      </w:r>
      <w:r w:rsidR="00D52219">
        <w:rPr>
          <w:rFonts w:ascii="Arial" w:eastAsia="Calibri" w:hAnsi="Arial" w:cs="Arial"/>
          <w:sz w:val="24"/>
        </w:rPr>
        <w:t xml:space="preserve">, although it could, and perhaps should, be read into the provision, in order not to have a disjunct between the operation of the two provisions. </w:t>
      </w:r>
    </w:p>
    <w:p w14:paraId="47043AB2" w14:textId="238FAFB6" w:rsidR="00312E75"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68.</w:t>
      </w:r>
      <w:r>
        <w:rPr>
          <w:rFonts w:ascii="Arial" w:eastAsia="Calibri" w:hAnsi="Arial" w:cs="Arial"/>
          <w:sz w:val="24"/>
        </w:rPr>
        <w:tab/>
      </w:r>
      <w:r w:rsidR="00D52219">
        <w:rPr>
          <w:rFonts w:ascii="Arial" w:eastAsia="Calibri" w:hAnsi="Arial" w:cs="Arial"/>
          <w:sz w:val="24"/>
        </w:rPr>
        <w:t xml:space="preserve">As far as I have been able to </w:t>
      </w:r>
      <w:r w:rsidR="008E53F6">
        <w:rPr>
          <w:rFonts w:ascii="Arial" w:eastAsia="Calibri" w:hAnsi="Arial" w:cs="Arial"/>
          <w:sz w:val="24"/>
        </w:rPr>
        <w:t>ascertain,</w:t>
      </w:r>
      <w:r w:rsidR="00D52219">
        <w:rPr>
          <w:rFonts w:ascii="Arial" w:eastAsia="Calibri" w:hAnsi="Arial" w:cs="Arial"/>
          <w:sz w:val="24"/>
        </w:rPr>
        <w:t xml:space="preserve"> this </w:t>
      </w:r>
      <w:r w:rsidR="00256EBA">
        <w:rPr>
          <w:rFonts w:ascii="Arial" w:eastAsia="Calibri" w:hAnsi="Arial" w:cs="Arial"/>
          <w:sz w:val="24"/>
        </w:rPr>
        <w:t>issue</w:t>
      </w:r>
      <w:r w:rsidR="00D52219">
        <w:rPr>
          <w:rFonts w:ascii="Arial" w:eastAsia="Calibri" w:hAnsi="Arial" w:cs="Arial"/>
          <w:sz w:val="24"/>
        </w:rPr>
        <w:t xml:space="preserve"> has not been expressly dealt </w:t>
      </w:r>
      <w:r w:rsidR="00DB6D1B">
        <w:rPr>
          <w:rFonts w:ascii="Arial" w:eastAsia="Calibri" w:hAnsi="Arial" w:cs="Arial"/>
          <w:sz w:val="24"/>
        </w:rPr>
        <w:t>with</w:t>
      </w:r>
      <w:r w:rsidR="00D52219">
        <w:rPr>
          <w:rFonts w:ascii="Arial" w:eastAsia="Calibri" w:hAnsi="Arial" w:cs="Arial"/>
          <w:sz w:val="24"/>
        </w:rPr>
        <w:t xml:space="preserve"> in any of the reported tax cases to which I was referred. In my view it is an aspect which assumes some importance in matters which involve </w:t>
      </w:r>
      <w:r w:rsidR="00096FAA">
        <w:rPr>
          <w:rFonts w:ascii="Arial" w:eastAsia="Calibri" w:hAnsi="Arial" w:cs="Arial"/>
          <w:sz w:val="24"/>
        </w:rPr>
        <w:t xml:space="preserve">alleged </w:t>
      </w:r>
      <w:r w:rsidR="00D52219">
        <w:rPr>
          <w:rFonts w:ascii="Arial" w:eastAsia="Calibri" w:hAnsi="Arial" w:cs="Arial"/>
          <w:sz w:val="24"/>
        </w:rPr>
        <w:t>impermissible tax avoidance arrangements or schemes</w:t>
      </w:r>
      <w:r w:rsidR="00A3278A">
        <w:rPr>
          <w:rFonts w:ascii="Arial" w:eastAsia="Calibri" w:hAnsi="Arial" w:cs="Arial"/>
          <w:sz w:val="24"/>
        </w:rPr>
        <w:t>, in terms of the GAAR provisions</w:t>
      </w:r>
      <w:r w:rsidR="00D52219">
        <w:rPr>
          <w:rFonts w:ascii="Arial" w:eastAsia="Calibri" w:hAnsi="Arial" w:cs="Arial"/>
          <w:sz w:val="24"/>
        </w:rPr>
        <w:t xml:space="preserve">, such as the one before me. I will revert to this in due course.    </w:t>
      </w:r>
      <w:r w:rsidR="003F63D7">
        <w:rPr>
          <w:rFonts w:ascii="Arial" w:eastAsia="Calibri" w:hAnsi="Arial" w:cs="Arial"/>
          <w:sz w:val="24"/>
        </w:rPr>
        <w:t xml:space="preserve">   </w:t>
      </w:r>
    </w:p>
    <w:p w14:paraId="3C7A5661" w14:textId="1AAE1606" w:rsidR="00A3278A"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69.</w:t>
      </w:r>
      <w:r>
        <w:rPr>
          <w:rFonts w:ascii="Arial" w:eastAsia="Calibri" w:hAnsi="Arial" w:cs="Arial"/>
          <w:sz w:val="24"/>
        </w:rPr>
        <w:tab/>
      </w:r>
      <w:r w:rsidR="00D52219">
        <w:rPr>
          <w:rFonts w:ascii="Arial" w:eastAsia="Calibri" w:hAnsi="Arial" w:cs="Arial"/>
          <w:sz w:val="24"/>
        </w:rPr>
        <w:t>In the second place</w:t>
      </w:r>
      <w:r w:rsidR="003F63D7">
        <w:rPr>
          <w:rFonts w:ascii="Arial" w:eastAsia="Calibri" w:hAnsi="Arial" w:cs="Arial"/>
          <w:sz w:val="24"/>
        </w:rPr>
        <w:t>, in terms of s 105 of the TAA</w:t>
      </w:r>
      <w:r w:rsidR="00BA030D">
        <w:rPr>
          <w:rFonts w:ascii="Arial" w:eastAsia="Calibri" w:hAnsi="Arial" w:cs="Arial"/>
          <w:sz w:val="24"/>
        </w:rPr>
        <w:t xml:space="preserve">, </w:t>
      </w:r>
      <w:r w:rsidR="00BA030D" w:rsidRPr="008E53F6">
        <w:rPr>
          <w:rFonts w:ascii="Arial" w:eastAsia="Calibri" w:hAnsi="Arial" w:cs="Arial"/>
          <w:i/>
          <w:iCs/>
          <w:sz w:val="24"/>
        </w:rPr>
        <w:t>prior</w:t>
      </w:r>
      <w:r w:rsidR="00BA030D">
        <w:rPr>
          <w:rFonts w:ascii="Arial" w:eastAsia="Calibri" w:hAnsi="Arial" w:cs="Arial"/>
          <w:sz w:val="24"/>
        </w:rPr>
        <w:t xml:space="preserve"> to such a review (in whatever form) being entertained, </w:t>
      </w:r>
      <w:r w:rsidR="003F63D7">
        <w:rPr>
          <w:rFonts w:ascii="Arial" w:eastAsia="Calibri" w:hAnsi="Arial" w:cs="Arial"/>
          <w:sz w:val="24"/>
        </w:rPr>
        <w:t>the applicant will need to obtain a directi</w:t>
      </w:r>
      <w:r w:rsidR="008E53F6">
        <w:rPr>
          <w:rFonts w:ascii="Arial" w:eastAsia="Calibri" w:hAnsi="Arial" w:cs="Arial"/>
          <w:sz w:val="24"/>
        </w:rPr>
        <w:t>ve</w:t>
      </w:r>
      <w:r w:rsidR="003F63D7">
        <w:rPr>
          <w:rFonts w:ascii="Arial" w:eastAsia="Calibri" w:hAnsi="Arial" w:cs="Arial"/>
          <w:sz w:val="24"/>
        </w:rPr>
        <w:t xml:space="preserve"> f</w:t>
      </w:r>
      <w:r w:rsidR="00A3278A">
        <w:rPr>
          <w:rFonts w:ascii="Arial" w:eastAsia="Calibri" w:hAnsi="Arial" w:cs="Arial"/>
          <w:sz w:val="24"/>
        </w:rPr>
        <w:t>rom</w:t>
      </w:r>
      <w:r w:rsidR="003F63D7">
        <w:rPr>
          <w:rFonts w:ascii="Arial" w:eastAsia="Calibri" w:hAnsi="Arial" w:cs="Arial"/>
          <w:sz w:val="24"/>
        </w:rPr>
        <w:t xml:space="preserve"> the Court that the matter may be heard by it, instead of being dealt with via the objection and appeal process</w:t>
      </w:r>
      <w:r w:rsidR="007D1A08">
        <w:rPr>
          <w:rFonts w:ascii="Arial" w:eastAsia="Calibri" w:hAnsi="Arial" w:cs="Arial"/>
          <w:sz w:val="24"/>
        </w:rPr>
        <w:t>es</w:t>
      </w:r>
      <w:r w:rsidR="003F63D7">
        <w:rPr>
          <w:rFonts w:ascii="Arial" w:eastAsia="Calibri" w:hAnsi="Arial" w:cs="Arial"/>
          <w:sz w:val="24"/>
        </w:rPr>
        <w:t xml:space="preserve"> set out in the TAA, which is the default route that should be followed.</w:t>
      </w:r>
      <w:r w:rsidR="008E53F6">
        <w:rPr>
          <w:rFonts w:ascii="Arial" w:eastAsia="Calibri" w:hAnsi="Arial" w:cs="Arial"/>
          <w:sz w:val="24"/>
        </w:rPr>
        <w:t xml:space="preserve"> </w:t>
      </w:r>
      <w:r w:rsidR="00A3278A">
        <w:rPr>
          <w:rFonts w:ascii="Arial" w:eastAsia="Calibri" w:hAnsi="Arial" w:cs="Arial"/>
          <w:sz w:val="24"/>
        </w:rPr>
        <w:t>Unless and until such a directi</w:t>
      </w:r>
      <w:r w:rsidR="008E53F6">
        <w:rPr>
          <w:rFonts w:ascii="Arial" w:eastAsia="Calibri" w:hAnsi="Arial" w:cs="Arial"/>
          <w:sz w:val="24"/>
        </w:rPr>
        <w:t>ve</w:t>
      </w:r>
      <w:r w:rsidR="00A3278A">
        <w:rPr>
          <w:rFonts w:ascii="Arial" w:eastAsia="Calibri" w:hAnsi="Arial" w:cs="Arial"/>
          <w:sz w:val="24"/>
        </w:rPr>
        <w:t xml:space="preserve"> is obtained, </w:t>
      </w:r>
      <w:r w:rsidR="0085544F">
        <w:rPr>
          <w:rFonts w:ascii="Arial" w:eastAsia="Calibri" w:hAnsi="Arial" w:cs="Arial"/>
          <w:sz w:val="24"/>
        </w:rPr>
        <w:t xml:space="preserve">a </w:t>
      </w:r>
      <w:r w:rsidR="00A3278A">
        <w:rPr>
          <w:rFonts w:ascii="Arial" w:eastAsia="Calibri" w:hAnsi="Arial" w:cs="Arial"/>
          <w:sz w:val="24"/>
        </w:rPr>
        <w:t>civil Court does not have jurisdiction to hear the review.</w:t>
      </w:r>
    </w:p>
    <w:p w14:paraId="26D2733B" w14:textId="3522FF6F" w:rsidR="00D036A5"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70.</w:t>
      </w:r>
      <w:r>
        <w:rPr>
          <w:rFonts w:ascii="Arial" w:eastAsia="Calibri" w:hAnsi="Arial" w:cs="Arial"/>
          <w:sz w:val="24"/>
        </w:rPr>
        <w:tab/>
      </w:r>
      <w:r w:rsidR="008E53F6">
        <w:rPr>
          <w:rFonts w:ascii="Arial" w:eastAsia="Calibri" w:hAnsi="Arial" w:cs="Arial"/>
          <w:sz w:val="24"/>
        </w:rPr>
        <w:t>I</w:t>
      </w:r>
      <w:r w:rsidR="0085544F">
        <w:rPr>
          <w:rFonts w:ascii="Arial" w:eastAsia="Calibri" w:hAnsi="Arial" w:cs="Arial"/>
          <w:sz w:val="24"/>
        </w:rPr>
        <w:t xml:space="preserve">n order to show the existence of exceptional circumstances the applicant bears </w:t>
      </w:r>
      <w:r w:rsidR="00D036A5">
        <w:rPr>
          <w:rFonts w:ascii="Arial" w:eastAsia="Calibri" w:hAnsi="Arial" w:cs="Arial"/>
          <w:sz w:val="24"/>
        </w:rPr>
        <w:t>the</w:t>
      </w:r>
      <w:r w:rsidR="0085544F">
        <w:rPr>
          <w:rFonts w:ascii="Arial" w:eastAsia="Calibri" w:hAnsi="Arial" w:cs="Arial"/>
          <w:sz w:val="24"/>
        </w:rPr>
        <w:t xml:space="preserve"> onus of showing</w:t>
      </w:r>
      <w:r w:rsidR="00BA030D">
        <w:rPr>
          <w:rFonts w:ascii="Arial" w:eastAsia="Calibri" w:hAnsi="Arial" w:cs="Arial"/>
          <w:sz w:val="24"/>
        </w:rPr>
        <w:t xml:space="preserve">, on a balance of probabilities, that there are circumstances present which </w:t>
      </w:r>
      <w:r w:rsidR="00311A7F">
        <w:rPr>
          <w:rFonts w:ascii="Arial" w:eastAsia="Calibri" w:hAnsi="Arial" w:cs="Arial"/>
          <w:sz w:val="24"/>
        </w:rPr>
        <w:t xml:space="preserve">are out of the ordinary </w:t>
      </w:r>
      <w:r w:rsidR="00D036A5">
        <w:rPr>
          <w:rFonts w:ascii="Arial" w:eastAsia="Calibri" w:hAnsi="Arial" w:cs="Arial"/>
          <w:sz w:val="24"/>
        </w:rPr>
        <w:t>in the sense that they are</w:t>
      </w:r>
      <w:r w:rsidR="00311A7F">
        <w:rPr>
          <w:rFonts w:ascii="Arial" w:eastAsia="Calibri" w:hAnsi="Arial" w:cs="Arial"/>
          <w:sz w:val="24"/>
        </w:rPr>
        <w:t xml:space="preserve"> unusual, uncommon or different</w:t>
      </w:r>
      <w:r w:rsidR="00D036A5">
        <w:rPr>
          <w:rFonts w:ascii="Arial" w:eastAsia="Calibri" w:hAnsi="Arial" w:cs="Arial"/>
          <w:sz w:val="24"/>
        </w:rPr>
        <w:t>, to the extent that they</w:t>
      </w:r>
      <w:r w:rsidR="00311A7F">
        <w:rPr>
          <w:rFonts w:ascii="Arial" w:eastAsia="Calibri" w:hAnsi="Arial" w:cs="Arial"/>
          <w:sz w:val="24"/>
        </w:rPr>
        <w:t xml:space="preserve"> </w:t>
      </w:r>
      <w:r w:rsidR="00BA030D">
        <w:rPr>
          <w:rFonts w:ascii="Arial" w:eastAsia="Calibri" w:hAnsi="Arial" w:cs="Arial"/>
          <w:sz w:val="24"/>
        </w:rPr>
        <w:t xml:space="preserve">justify that the matter should be heard by the Court, instead of </w:t>
      </w:r>
      <w:r w:rsidR="00D036A5">
        <w:rPr>
          <w:rFonts w:ascii="Arial" w:eastAsia="Calibri" w:hAnsi="Arial" w:cs="Arial"/>
          <w:sz w:val="24"/>
        </w:rPr>
        <w:t xml:space="preserve">being dealt with </w:t>
      </w:r>
      <w:r w:rsidR="00BA030D">
        <w:rPr>
          <w:rFonts w:ascii="Arial" w:eastAsia="Calibri" w:hAnsi="Arial" w:cs="Arial"/>
          <w:sz w:val="24"/>
        </w:rPr>
        <w:t>via the default route</w:t>
      </w:r>
      <w:r w:rsidR="00D036A5">
        <w:rPr>
          <w:rFonts w:ascii="Arial" w:eastAsia="Calibri" w:hAnsi="Arial" w:cs="Arial"/>
          <w:sz w:val="24"/>
        </w:rPr>
        <w:t xml:space="preserve">. This means </w:t>
      </w:r>
      <w:r w:rsidR="00D036A5">
        <w:rPr>
          <w:rFonts w:ascii="Arial" w:eastAsia="Calibri" w:hAnsi="Arial" w:cs="Arial"/>
          <w:sz w:val="24"/>
        </w:rPr>
        <w:lastRenderedPageBreak/>
        <w:t xml:space="preserve">that </w:t>
      </w:r>
      <w:r w:rsidR="00934545">
        <w:rPr>
          <w:rFonts w:ascii="Arial" w:eastAsia="Calibri" w:hAnsi="Arial" w:cs="Arial"/>
          <w:sz w:val="24"/>
        </w:rPr>
        <w:t xml:space="preserve">inevitably, </w:t>
      </w:r>
      <w:r w:rsidR="00D036A5">
        <w:rPr>
          <w:rFonts w:ascii="Arial" w:eastAsia="Calibri" w:hAnsi="Arial" w:cs="Arial"/>
          <w:sz w:val="24"/>
        </w:rPr>
        <w:t xml:space="preserve">where such circumstances are disputed and </w:t>
      </w:r>
      <w:r w:rsidR="00C446B5">
        <w:rPr>
          <w:rFonts w:ascii="Arial" w:eastAsia="Calibri" w:hAnsi="Arial" w:cs="Arial"/>
          <w:sz w:val="24"/>
        </w:rPr>
        <w:t xml:space="preserve">are </w:t>
      </w:r>
      <w:r w:rsidR="00D036A5">
        <w:rPr>
          <w:rFonts w:ascii="Arial" w:eastAsia="Calibri" w:hAnsi="Arial" w:cs="Arial"/>
          <w:sz w:val="24"/>
        </w:rPr>
        <w:t>not common cause, the issue will fall to be decided on the version which is put up by the respondent</w:t>
      </w:r>
      <w:r w:rsidR="00256EBA">
        <w:rPr>
          <w:rFonts w:ascii="Arial" w:eastAsia="Calibri" w:hAnsi="Arial" w:cs="Arial"/>
          <w:sz w:val="24"/>
        </w:rPr>
        <w:t>,</w:t>
      </w:r>
      <w:r w:rsidR="00D036A5">
        <w:rPr>
          <w:rStyle w:val="FootnoteReference"/>
          <w:rFonts w:ascii="Arial" w:eastAsia="Calibri" w:hAnsi="Arial" w:cs="Arial"/>
          <w:sz w:val="24"/>
        </w:rPr>
        <w:footnoteReference w:id="52"/>
      </w:r>
      <w:r w:rsidR="00256EBA">
        <w:rPr>
          <w:rFonts w:ascii="Arial" w:eastAsia="Calibri" w:hAnsi="Arial" w:cs="Arial"/>
          <w:sz w:val="24"/>
        </w:rPr>
        <w:t xml:space="preserve"> </w:t>
      </w:r>
      <w:r w:rsidR="00D036A5">
        <w:rPr>
          <w:rFonts w:ascii="Arial" w:eastAsia="Calibri" w:hAnsi="Arial" w:cs="Arial"/>
          <w:sz w:val="24"/>
        </w:rPr>
        <w:t xml:space="preserve">which in the case of a </w:t>
      </w:r>
      <w:r w:rsidR="005D1E51">
        <w:rPr>
          <w:rFonts w:ascii="Arial" w:eastAsia="Calibri" w:hAnsi="Arial" w:cs="Arial"/>
          <w:sz w:val="24"/>
        </w:rPr>
        <w:t xml:space="preserve">tax </w:t>
      </w:r>
      <w:r w:rsidR="00D036A5">
        <w:rPr>
          <w:rFonts w:ascii="Arial" w:eastAsia="Calibri" w:hAnsi="Arial" w:cs="Arial"/>
          <w:sz w:val="24"/>
        </w:rPr>
        <w:t>review will be the Commissioner</w:t>
      </w:r>
      <w:r w:rsidR="005C4410">
        <w:rPr>
          <w:rFonts w:ascii="Arial" w:eastAsia="Calibri" w:hAnsi="Arial" w:cs="Arial"/>
          <w:sz w:val="24"/>
        </w:rPr>
        <w:t xml:space="preserve">, unless of course that version is so fanciful, </w:t>
      </w:r>
      <w:r w:rsidR="00DB6D1B">
        <w:rPr>
          <w:rFonts w:ascii="Arial" w:eastAsia="Calibri" w:hAnsi="Arial" w:cs="Arial"/>
          <w:sz w:val="24"/>
        </w:rPr>
        <w:t>implausible,</w:t>
      </w:r>
      <w:r w:rsidR="005C4410">
        <w:rPr>
          <w:rFonts w:ascii="Arial" w:eastAsia="Calibri" w:hAnsi="Arial" w:cs="Arial"/>
          <w:sz w:val="24"/>
        </w:rPr>
        <w:t xml:space="preserve"> or untenable that it </w:t>
      </w:r>
      <w:r w:rsidR="008E53F6">
        <w:rPr>
          <w:rFonts w:ascii="Arial" w:eastAsia="Calibri" w:hAnsi="Arial" w:cs="Arial"/>
          <w:sz w:val="24"/>
        </w:rPr>
        <w:t>can</w:t>
      </w:r>
      <w:r w:rsidR="005C4410">
        <w:rPr>
          <w:rFonts w:ascii="Arial" w:eastAsia="Calibri" w:hAnsi="Arial" w:cs="Arial"/>
          <w:sz w:val="24"/>
        </w:rPr>
        <w:t xml:space="preserve"> be rejected out of hand</w:t>
      </w:r>
      <w:r w:rsidR="007320E8">
        <w:rPr>
          <w:rFonts w:ascii="Arial" w:eastAsia="Calibri" w:hAnsi="Arial" w:cs="Arial"/>
          <w:sz w:val="24"/>
        </w:rPr>
        <w:t>.</w:t>
      </w:r>
      <w:r w:rsidR="008E53F6">
        <w:rPr>
          <w:rFonts w:ascii="Arial" w:eastAsia="Calibri" w:hAnsi="Arial" w:cs="Arial"/>
          <w:sz w:val="24"/>
        </w:rPr>
        <w:t xml:space="preserve"> </w:t>
      </w:r>
      <w:r w:rsidR="00934545">
        <w:rPr>
          <w:rFonts w:ascii="Arial" w:eastAsia="Calibri" w:hAnsi="Arial" w:cs="Arial"/>
          <w:sz w:val="24"/>
        </w:rPr>
        <w:t>W</w:t>
      </w:r>
      <w:r w:rsidR="00D036A5">
        <w:rPr>
          <w:rFonts w:ascii="Arial" w:eastAsia="Calibri" w:hAnsi="Arial" w:cs="Arial"/>
          <w:sz w:val="24"/>
        </w:rPr>
        <w:t xml:space="preserve">hether such circumstances are present is </w:t>
      </w:r>
      <w:r w:rsidR="00256EBA">
        <w:rPr>
          <w:rFonts w:ascii="Arial" w:eastAsia="Calibri" w:hAnsi="Arial" w:cs="Arial"/>
          <w:sz w:val="24"/>
        </w:rPr>
        <w:t xml:space="preserve">a </w:t>
      </w:r>
      <w:r w:rsidR="00D036A5">
        <w:rPr>
          <w:rFonts w:ascii="Arial" w:eastAsia="Calibri" w:hAnsi="Arial" w:cs="Arial"/>
          <w:sz w:val="24"/>
        </w:rPr>
        <w:t xml:space="preserve">determination which is to be made on the facts which are before the Court, in each and every </w:t>
      </w:r>
      <w:r w:rsidR="007320E8">
        <w:rPr>
          <w:rFonts w:ascii="Arial" w:eastAsia="Calibri" w:hAnsi="Arial" w:cs="Arial"/>
          <w:sz w:val="24"/>
        </w:rPr>
        <w:t>instance</w:t>
      </w:r>
      <w:r w:rsidR="00D036A5">
        <w:rPr>
          <w:rFonts w:ascii="Arial" w:eastAsia="Calibri" w:hAnsi="Arial" w:cs="Arial"/>
          <w:sz w:val="24"/>
        </w:rPr>
        <w:t>.</w:t>
      </w:r>
      <w:r w:rsidR="005D1E51">
        <w:rPr>
          <w:rFonts w:ascii="Arial" w:eastAsia="Calibri" w:hAnsi="Arial" w:cs="Arial"/>
          <w:sz w:val="24"/>
        </w:rPr>
        <w:t xml:space="preserve"> </w:t>
      </w:r>
      <w:r w:rsidR="00131555">
        <w:rPr>
          <w:rFonts w:ascii="Arial" w:eastAsia="Calibri" w:hAnsi="Arial" w:cs="Arial"/>
          <w:sz w:val="24"/>
        </w:rPr>
        <w:t>T</w:t>
      </w:r>
      <w:r w:rsidR="00934545">
        <w:rPr>
          <w:rFonts w:ascii="Arial" w:eastAsia="Calibri" w:hAnsi="Arial" w:cs="Arial"/>
          <w:sz w:val="24"/>
        </w:rPr>
        <w:t>his</w:t>
      </w:r>
      <w:r w:rsidR="005D1E51">
        <w:rPr>
          <w:rFonts w:ascii="Arial" w:eastAsia="Calibri" w:hAnsi="Arial" w:cs="Arial"/>
          <w:sz w:val="24"/>
        </w:rPr>
        <w:t xml:space="preserve"> </w:t>
      </w:r>
      <w:r w:rsidR="007320E8">
        <w:rPr>
          <w:rFonts w:ascii="Arial" w:eastAsia="Calibri" w:hAnsi="Arial" w:cs="Arial"/>
          <w:sz w:val="24"/>
        </w:rPr>
        <w:t xml:space="preserve">does </w:t>
      </w:r>
      <w:r w:rsidR="005D1E51">
        <w:rPr>
          <w:rFonts w:ascii="Arial" w:eastAsia="Calibri" w:hAnsi="Arial" w:cs="Arial"/>
          <w:sz w:val="24"/>
        </w:rPr>
        <w:t xml:space="preserve">not </w:t>
      </w:r>
      <w:r w:rsidR="00934545">
        <w:rPr>
          <w:rFonts w:ascii="Arial" w:eastAsia="Calibri" w:hAnsi="Arial" w:cs="Arial"/>
          <w:sz w:val="24"/>
        </w:rPr>
        <w:t>constitute</w:t>
      </w:r>
      <w:r w:rsidR="007320E8">
        <w:rPr>
          <w:rFonts w:ascii="Arial" w:eastAsia="Calibri" w:hAnsi="Arial" w:cs="Arial"/>
          <w:sz w:val="24"/>
        </w:rPr>
        <w:t xml:space="preserve"> the</w:t>
      </w:r>
      <w:r w:rsidR="005D1E51">
        <w:rPr>
          <w:rFonts w:ascii="Arial" w:eastAsia="Calibri" w:hAnsi="Arial" w:cs="Arial"/>
          <w:sz w:val="24"/>
        </w:rPr>
        <w:t xml:space="preserve"> exercise of </w:t>
      </w:r>
      <w:r w:rsidR="007320E8">
        <w:rPr>
          <w:rFonts w:ascii="Arial" w:eastAsia="Calibri" w:hAnsi="Arial" w:cs="Arial"/>
          <w:sz w:val="24"/>
        </w:rPr>
        <w:t xml:space="preserve">a </w:t>
      </w:r>
      <w:r w:rsidR="005D1E51">
        <w:rPr>
          <w:rFonts w:ascii="Arial" w:eastAsia="Calibri" w:hAnsi="Arial" w:cs="Arial"/>
          <w:sz w:val="24"/>
        </w:rPr>
        <w:t xml:space="preserve">discretion on the part of the Court </w:t>
      </w:r>
      <w:r w:rsidR="007604F0">
        <w:rPr>
          <w:rFonts w:ascii="Arial" w:eastAsia="Calibri" w:hAnsi="Arial" w:cs="Arial"/>
          <w:sz w:val="24"/>
        </w:rPr>
        <w:t>but</w:t>
      </w:r>
      <w:r w:rsidR="00096FAA">
        <w:rPr>
          <w:rFonts w:ascii="Arial" w:eastAsia="Calibri" w:hAnsi="Arial" w:cs="Arial"/>
          <w:sz w:val="24"/>
        </w:rPr>
        <w:t xml:space="preserve"> a factual determination that needs to be made</w:t>
      </w:r>
      <w:r w:rsidR="007320E8">
        <w:rPr>
          <w:rFonts w:ascii="Arial" w:eastAsia="Calibri" w:hAnsi="Arial" w:cs="Arial"/>
          <w:sz w:val="24"/>
        </w:rPr>
        <w:t xml:space="preserve"> by it</w:t>
      </w:r>
      <w:r w:rsidR="00096FAA">
        <w:rPr>
          <w:rFonts w:ascii="Arial" w:eastAsia="Calibri" w:hAnsi="Arial" w:cs="Arial"/>
          <w:sz w:val="24"/>
        </w:rPr>
        <w:t>, based on the evidence submitted by the parties</w:t>
      </w:r>
      <w:r w:rsidR="005D1E51">
        <w:rPr>
          <w:rFonts w:ascii="Arial" w:eastAsia="Calibri" w:hAnsi="Arial" w:cs="Arial"/>
          <w:sz w:val="24"/>
        </w:rPr>
        <w:t xml:space="preserve">.   </w:t>
      </w:r>
    </w:p>
    <w:p w14:paraId="55F1BDC3" w14:textId="1F1CF656" w:rsidR="007604F0"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71.</w:t>
      </w:r>
      <w:r>
        <w:rPr>
          <w:rFonts w:ascii="Arial" w:eastAsia="Calibri" w:hAnsi="Arial" w:cs="Arial"/>
          <w:sz w:val="24"/>
        </w:rPr>
        <w:tab/>
      </w:r>
      <w:r w:rsidR="005D1E51">
        <w:rPr>
          <w:rFonts w:ascii="Arial" w:eastAsia="Calibri" w:hAnsi="Arial" w:cs="Arial"/>
          <w:sz w:val="24"/>
        </w:rPr>
        <w:t xml:space="preserve">That brings me to the decision in </w:t>
      </w:r>
      <w:r w:rsidR="005D1E51" w:rsidRPr="005D1E51">
        <w:rPr>
          <w:rFonts w:ascii="Arial" w:eastAsia="Calibri" w:hAnsi="Arial" w:cs="Arial"/>
          <w:i/>
          <w:iCs/>
          <w:sz w:val="24"/>
        </w:rPr>
        <w:t>ABSA,</w:t>
      </w:r>
      <w:r w:rsidR="005D1E51">
        <w:rPr>
          <w:rFonts w:ascii="Arial" w:eastAsia="Calibri" w:hAnsi="Arial" w:cs="Arial"/>
          <w:sz w:val="24"/>
        </w:rPr>
        <w:t xml:space="preserve"> on which the applicant relies heavily. An appeal against </w:t>
      </w:r>
      <w:r w:rsidR="00096FAA">
        <w:rPr>
          <w:rFonts w:ascii="Arial" w:eastAsia="Calibri" w:hAnsi="Arial" w:cs="Arial"/>
          <w:sz w:val="24"/>
        </w:rPr>
        <w:t xml:space="preserve">it </w:t>
      </w:r>
      <w:r w:rsidR="005D1E51">
        <w:rPr>
          <w:rFonts w:ascii="Arial" w:eastAsia="Calibri" w:hAnsi="Arial" w:cs="Arial"/>
          <w:sz w:val="24"/>
        </w:rPr>
        <w:t xml:space="preserve">was heard by the SCA on 8 March 2023. For obvious reasons I </w:t>
      </w:r>
      <w:r w:rsidR="00096FAA">
        <w:rPr>
          <w:rFonts w:ascii="Arial" w:eastAsia="Calibri" w:hAnsi="Arial" w:cs="Arial"/>
          <w:sz w:val="24"/>
        </w:rPr>
        <w:t>considered</w:t>
      </w:r>
      <w:r w:rsidR="005D1E51">
        <w:rPr>
          <w:rFonts w:ascii="Arial" w:eastAsia="Calibri" w:hAnsi="Arial" w:cs="Arial"/>
          <w:sz w:val="24"/>
        </w:rPr>
        <w:t xml:space="preserve"> it prudent to await the outcome thereof, but </w:t>
      </w:r>
      <w:r w:rsidR="00E951B1">
        <w:rPr>
          <w:rFonts w:ascii="Arial" w:eastAsia="Calibri" w:hAnsi="Arial" w:cs="Arial"/>
          <w:sz w:val="24"/>
        </w:rPr>
        <w:t xml:space="preserve">given that </w:t>
      </w:r>
      <w:r w:rsidR="005D1E51">
        <w:rPr>
          <w:rFonts w:ascii="Arial" w:eastAsia="Calibri" w:hAnsi="Arial" w:cs="Arial"/>
          <w:sz w:val="24"/>
        </w:rPr>
        <w:t xml:space="preserve">some 5 months </w:t>
      </w:r>
      <w:r w:rsidR="00E951B1">
        <w:rPr>
          <w:rFonts w:ascii="Arial" w:eastAsia="Calibri" w:hAnsi="Arial" w:cs="Arial"/>
          <w:sz w:val="24"/>
        </w:rPr>
        <w:t xml:space="preserve">have passed and </w:t>
      </w:r>
      <w:r w:rsidR="005D1E51">
        <w:rPr>
          <w:rFonts w:ascii="Arial" w:eastAsia="Calibri" w:hAnsi="Arial" w:cs="Arial"/>
          <w:sz w:val="24"/>
        </w:rPr>
        <w:t>no judgment has yet been handed down</w:t>
      </w:r>
      <w:r w:rsidR="00096FAA">
        <w:rPr>
          <w:rFonts w:ascii="Arial" w:eastAsia="Calibri" w:hAnsi="Arial" w:cs="Arial"/>
          <w:sz w:val="24"/>
        </w:rPr>
        <w:t xml:space="preserve"> and, given this Court’s obligation to </w:t>
      </w:r>
      <w:r w:rsidR="00E951B1">
        <w:rPr>
          <w:rFonts w:ascii="Arial" w:eastAsia="Calibri" w:hAnsi="Arial" w:cs="Arial"/>
          <w:sz w:val="24"/>
        </w:rPr>
        <w:t xml:space="preserve">deliver </w:t>
      </w:r>
      <w:r w:rsidR="00096FAA">
        <w:rPr>
          <w:rFonts w:ascii="Arial" w:eastAsia="Calibri" w:hAnsi="Arial" w:cs="Arial"/>
          <w:sz w:val="24"/>
        </w:rPr>
        <w:t>judgment as soon as is practically possible</w:t>
      </w:r>
      <w:r w:rsidR="00E951B1">
        <w:rPr>
          <w:rFonts w:ascii="Arial" w:eastAsia="Calibri" w:hAnsi="Arial" w:cs="Arial"/>
          <w:sz w:val="24"/>
        </w:rPr>
        <w:t xml:space="preserve">, </w:t>
      </w:r>
      <w:r w:rsidR="00096FAA">
        <w:rPr>
          <w:rFonts w:ascii="Arial" w:eastAsia="Calibri" w:hAnsi="Arial" w:cs="Arial"/>
          <w:sz w:val="24"/>
        </w:rPr>
        <w:t xml:space="preserve">for the reasons that follow I have decided that it </w:t>
      </w:r>
      <w:r w:rsidR="00360497">
        <w:rPr>
          <w:rFonts w:ascii="Arial" w:eastAsia="Calibri" w:hAnsi="Arial" w:cs="Arial"/>
          <w:sz w:val="24"/>
        </w:rPr>
        <w:t>would not be in</w:t>
      </w:r>
      <w:r w:rsidR="00BE5004">
        <w:rPr>
          <w:rFonts w:ascii="Arial" w:eastAsia="Calibri" w:hAnsi="Arial" w:cs="Arial"/>
          <w:sz w:val="24"/>
        </w:rPr>
        <w:t xml:space="preserve">appropriate for me </w:t>
      </w:r>
      <w:r w:rsidR="00096FAA">
        <w:rPr>
          <w:rFonts w:ascii="Arial" w:eastAsia="Calibri" w:hAnsi="Arial" w:cs="Arial"/>
          <w:sz w:val="24"/>
        </w:rPr>
        <w:t>to</w:t>
      </w:r>
      <w:r w:rsidR="00360497">
        <w:rPr>
          <w:rFonts w:ascii="Arial" w:eastAsia="Calibri" w:hAnsi="Arial" w:cs="Arial"/>
          <w:sz w:val="24"/>
        </w:rPr>
        <w:t xml:space="preserve"> comment on</w:t>
      </w:r>
      <w:r w:rsidR="00096FAA">
        <w:rPr>
          <w:rFonts w:ascii="Arial" w:eastAsia="Calibri" w:hAnsi="Arial" w:cs="Arial"/>
          <w:sz w:val="24"/>
        </w:rPr>
        <w:t xml:space="preserve"> it</w:t>
      </w:r>
      <w:r w:rsidR="00360497">
        <w:rPr>
          <w:rFonts w:ascii="Arial" w:eastAsia="Calibri" w:hAnsi="Arial" w:cs="Arial"/>
          <w:sz w:val="24"/>
        </w:rPr>
        <w:t xml:space="preserve">, and that it is </w:t>
      </w:r>
      <w:r w:rsidR="00FE4642">
        <w:rPr>
          <w:rFonts w:ascii="Arial" w:eastAsia="Calibri" w:hAnsi="Arial" w:cs="Arial"/>
          <w:sz w:val="24"/>
        </w:rPr>
        <w:t xml:space="preserve">in fact </w:t>
      </w:r>
      <w:r w:rsidR="00360497">
        <w:rPr>
          <w:rFonts w:ascii="Arial" w:eastAsia="Calibri" w:hAnsi="Arial" w:cs="Arial"/>
          <w:sz w:val="24"/>
        </w:rPr>
        <w:t>necessary that I do so</w:t>
      </w:r>
      <w:r w:rsidR="00096FAA">
        <w:rPr>
          <w:rFonts w:ascii="Arial" w:eastAsia="Calibri" w:hAnsi="Arial" w:cs="Arial"/>
          <w:sz w:val="24"/>
        </w:rPr>
        <w:t>.</w:t>
      </w:r>
    </w:p>
    <w:p w14:paraId="4BE39655" w14:textId="4E0B35D4" w:rsidR="004C652B"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72.</w:t>
      </w:r>
      <w:r>
        <w:rPr>
          <w:rFonts w:ascii="Arial" w:eastAsia="Calibri" w:hAnsi="Arial" w:cs="Arial"/>
          <w:sz w:val="24"/>
        </w:rPr>
        <w:tab/>
      </w:r>
      <w:r w:rsidR="00BE5004">
        <w:rPr>
          <w:rFonts w:ascii="Arial" w:eastAsia="Calibri" w:hAnsi="Arial" w:cs="Arial"/>
          <w:sz w:val="24"/>
        </w:rPr>
        <w:t xml:space="preserve">There are aspects of the </w:t>
      </w:r>
      <w:r w:rsidR="007320E8">
        <w:rPr>
          <w:rFonts w:ascii="Arial" w:eastAsia="Calibri" w:hAnsi="Arial" w:cs="Arial"/>
          <w:sz w:val="24"/>
        </w:rPr>
        <w:t>decision</w:t>
      </w:r>
      <w:r w:rsidR="00096FAA">
        <w:rPr>
          <w:rFonts w:ascii="Arial" w:eastAsia="Calibri" w:hAnsi="Arial" w:cs="Arial"/>
          <w:sz w:val="24"/>
        </w:rPr>
        <w:t xml:space="preserve"> </w:t>
      </w:r>
      <w:r w:rsidR="00BE5004">
        <w:rPr>
          <w:rFonts w:ascii="Arial" w:eastAsia="Calibri" w:hAnsi="Arial" w:cs="Arial"/>
          <w:sz w:val="24"/>
        </w:rPr>
        <w:t>with which I disagree. and which, in my respectful view</w:t>
      </w:r>
      <w:r w:rsidR="00360497">
        <w:rPr>
          <w:rFonts w:ascii="Arial" w:eastAsia="Calibri" w:hAnsi="Arial" w:cs="Arial"/>
          <w:sz w:val="24"/>
        </w:rPr>
        <w:t>,</w:t>
      </w:r>
      <w:r w:rsidR="00BE5004">
        <w:rPr>
          <w:rFonts w:ascii="Arial" w:eastAsia="Calibri" w:hAnsi="Arial" w:cs="Arial"/>
          <w:sz w:val="24"/>
        </w:rPr>
        <w:t xml:space="preserve"> are wrong. In this regard,</w:t>
      </w:r>
      <w:r w:rsidR="007320E8">
        <w:rPr>
          <w:rFonts w:ascii="Arial" w:eastAsia="Calibri" w:hAnsi="Arial" w:cs="Arial"/>
          <w:sz w:val="24"/>
        </w:rPr>
        <w:t xml:space="preserve"> in the first place</w:t>
      </w:r>
      <w:r w:rsidR="00BE5004">
        <w:rPr>
          <w:rFonts w:ascii="Arial" w:eastAsia="Calibri" w:hAnsi="Arial" w:cs="Arial"/>
          <w:sz w:val="24"/>
        </w:rPr>
        <w:t xml:space="preserve"> I am of the view that the Court erred in holding</w:t>
      </w:r>
      <w:r w:rsidR="00BE5004">
        <w:rPr>
          <w:rStyle w:val="FootnoteReference"/>
          <w:rFonts w:ascii="Arial" w:eastAsia="Calibri" w:hAnsi="Arial" w:cs="Arial"/>
          <w:sz w:val="24"/>
        </w:rPr>
        <w:footnoteReference w:id="53"/>
      </w:r>
      <w:r w:rsidR="00BE5004">
        <w:rPr>
          <w:rFonts w:ascii="Arial" w:eastAsia="Calibri" w:hAnsi="Arial" w:cs="Arial"/>
          <w:sz w:val="24"/>
        </w:rPr>
        <w:t xml:space="preserve"> that a civil Court has a </w:t>
      </w:r>
      <w:r w:rsidR="007320E8">
        <w:rPr>
          <w:rFonts w:ascii="Arial" w:eastAsia="Calibri" w:hAnsi="Arial" w:cs="Arial"/>
          <w:sz w:val="24"/>
        </w:rPr>
        <w:t>‘</w:t>
      </w:r>
      <w:r w:rsidR="00BE5004">
        <w:rPr>
          <w:rFonts w:ascii="Arial" w:eastAsia="Calibri" w:hAnsi="Arial" w:cs="Arial"/>
          <w:sz w:val="24"/>
        </w:rPr>
        <w:t>discretion</w:t>
      </w:r>
      <w:r w:rsidR="007320E8">
        <w:rPr>
          <w:rFonts w:ascii="Arial" w:eastAsia="Calibri" w:hAnsi="Arial" w:cs="Arial"/>
          <w:sz w:val="24"/>
        </w:rPr>
        <w:t>’</w:t>
      </w:r>
      <w:r w:rsidR="00BE5004">
        <w:rPr>
          <w:rFonts w:ascii="Arial" w:eastAsia="Calibri" w:hAnsi="Arial" w:cs="Arial"/>
          <w:sz w:val="24"/>
        </w:rPr>
        <w:t xml:space="preserve"> to deal with a tax dispute </w:t>
      </w:r>
      <w:r w:rsidR="00E951B1">
        <w:rPr>
          <w:rFonts w:ascii="Arial" w:eastAsia="Calibri" w:hAnsi="Arial" w:cs="Arial"/>
          <w:sz w:val="24"/>
        </w:rPr>
        <w:t>and</w:t>
      </w:r>
      <w:r w:rsidR="00BE5004">
        <w:rPr>
          <w:rFonts w:ascii="Arial" w:eastAsia="Calibri" w:hAnsi="Arial" w:cs="Arial"/>
          <w:sz w:val="24"/>
        </w:rPr>
        <w:t xml:space="preserve"> to insist that internal remedies which may be available to a taxpayer should be exhausted</w:t>
      </w:r>
      <w:r w:rsidR="005028A9">
        <w:rPr>
          <w:rFonts w:ascii="Arial" w:eastAsia="Calibri" w:hAnsi="Arial" w:cs="Arial"/>
          <w:sz w:val="24"/>
        </w:rPr>
        <w:t xml:space="preserve">, </w:t>
      </w:r>
      <w:r w:rsidR="00FC1103">
        <w:rPr>
          <w:rFonts w:ascii="Arial" w:eastAsia="Calibri" w:hAnsi="Arial" w:cs="Arial"/>
          <w:sz w:val="24"/>
        </w:rPr>
        <w:t xml:space="preserve"> and </w:t>
      </w:r>
      <w:r w:rsidR="00E951B1">
        <w:rPr>
          <w:rFonts w:ascii="Arial" w:eastAsia="Calibri" w:hAnsi="Arial" w:cs="Arial"/>
          <w:sz w:val="24"/>
        </w:rPr>
        <w:t xml:space="preserve">likewise, </w:t>
      </w:r>
      <w:r w:rsidR="00FC1103">
        <w:rPr>
          <w:rFonts w:ascii="Arial" w:eastAsia="Calibri" w:hAnsi="Arial" w:cs="Arial"/>
          <w:sz w:val="24"/>
        </w:rPr>
        <w:t xml:space="preserve">it </w:t>
      </w:r>
      <w:r w:rsidR="00BE5004">
        <w:rPr>
          <w:rFonts w:ascii="Arial" w:eastAsia="Calibri" w:hAnsi="Arial" w:cs="Arial"/>
          <w:sz w:val="24"/>
        </w:rPr>
        <w:t>erred in holding</w:t>
      </w:r>
      <w:r w:rsidR="00BE5004">
        <w:rPr>
          <w:rStyle w:val="FootnoteReference"/>
          <w:rFonts w:ascii="Arial" w:eastAsia="Calibri" w:hAnsi="Arial" w:cs="Arial"/>
          <w:sz w:val="24"/>
        </w:rPr>
        <w:footnoteReference w:id="54"/>
      </w:r>
      <w:r w:rsidR="00BE5004">
        <w:rPr>
          <w:rFonts w:ascii="Arial" w:eastAsia="Calibri" w:hAnsi="Arial" w:cs="Arial"/>
          <w:sz w:val="24"/>
        </w:rPr>
        <w:t xml:space="preserve"> that a civil Court has a </w:t>
      </w:r>
      <w:r w:rsidR="007320E8">
        <w:rPr>
          <w:rFonts w:ascii="Arial" w:eastAsia="Calibri" w:hAnsi="Arial" w:cs="Arial"/>
          <w:sz w:val="24"/>
        </w:rPr>
        <w:t>‘</w:t>
      </w:r>
      <w:r w:rsidR="00BE5004">
        <w:rPr>
          <w:rFonts w:ascii="Arial" w:eastAsia="Calibri" w:hAnsi="Arial" w:cs="Arial"/>
          <w:sz w:val="24"/>
        </w:rPr>
        <w:t>discretion</w:t>
      </w:r>
      <w:r w:rsidR="007320E8">
        <w:rPr>
          <w:rFonts w:ascii="Arial" w:eastAsia="Calibri" w:hAnsi="Arial" w:cs="Arial"/>
          <w:sz w:val="24"/>
        </w:rPr>
        <w:t>’</w:t>
      </w:r>
      <w:r w:rsidR="00BE5004">
        <w:rPr>
          <w:rFonts w:ascii="Arial" w:eastAsia="Calibri" w:hAnsi="Arial" w:cs="Arial"/>
          <w:sz w:val="24"/>
        </w:rPr>
        <w:t xml:space="preserve"> to approve a deviation from the default route of objection and appeal via the TAA</w:t>
      </w:r>
      <w:r w:rsidR="00FC1103">
        <w:rPr>
          <w:rFonts w:ascii="Arial" w:eastAsia="Calibri" w:hAnsi="Arial" w:cs="Arial"/>
          <w:sz w:val="24"/>
        </w:rPr>
        <w:t>.</w:t>
      </w:r>
    </w:p>
    <w:p w14:paraId="019BB4ED" w14:textId="71365FEF" w:rsidR="00FC1103"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73.</w:t>
      </w:r>
      <w:r>
        <w:rPr>
          <w:rFonts w:ascii="Arial" w:eastAsia="Calibri" w:hAnsi="Arial" w:cs="Arial"/>
          <w:sz w:val="24"/>
        </w:rPr>
        <w:tab/>
      </w:r>
      <w:r w:rsidR="003E6FF9">
        <w:rPr>
          <w:rFonts w:ascii="Arial" w:eastAsia="Calibri" w:hAnsi="Arial" w:cs="Arial"/>
          <w:sz w:val="24"/>
        </w:rPr>
        <w:t xml:space="preserve">To my mind, not only the ratio of the subsequent decision of the SCA in </w:t>
      </w:r>
      <w:r w:rsidR="003E6FF9" w:rsidRPr="003E6FF9">
        <w:rPr>
          <w:rFonts w:ascii="Arial" w:eastAsia="Calibri" w:hAnsi="Arial" w:cs="Arial"/>
          <w:i/>
          <w:iCs/>
          <w:sz w:val="24"/>
        </w:rPr>
        <w:t>Rappa Resources</w:t>
      </w:r>
      <w:r w:rsidR="003E6FF9">
        <w:rPr>
          <w:rFonts w:ascii="Arial" w:eastAsia="Calibri" w:hAnsi="Arial" w:cs="Arial"/>
          <w:i/>
          <w:iCs/>
          <w:sz w:val="24"/>
        </w:rPr>
        <w:t xml:space="preserve"> </w:t>
      </w:r>
      <w:r w:rsidR="003E6FF9">
        <w:rPr>
          <w:rFonts w:ascii="Arial" w:eastAsia="Calibri" w:hAnsi="Arial" w:cs="Arial"/>
          <w:sz w:val="24"/>
        </w:rPr>
        <w:t xml:space="preserve">in relation to s 105 of the TAA, but the provisions of s 7(2) of PAJA and the cases that </w:t>
      </w:r>
      <w:r w:rsidR="00864BB2">
        <w:rPr>
          <w:rFonts w:ascii="Arial" w:eastAsia="Calibri" w:hAnsi="Arial" w:cs="Arial"/>
          <w:sz w:val="24"/>
        </w:rPr>
        <w:t xml:space="preserve">have </w:t>
      </w:r>
      <w:r w:rsidR="003E6FF9">
        <w:rPr>
          <w:rFonts w:ascii="Arial" w:eastAsia="Calibri" w:hAnsi="Arial" w:cs="Arial"/>
          <w:sz w:val="24"/>
        </w:rPr>
        <w:t>deal</w:t>
      </w:r>
      <w:r w:rsidR="00864BB2">
        <w:rPr>
          <w:rFonts w:ascii="Arial" w:eastAsia="Calibri" w:hAnsi="Arial" w:cs="Arial"/>
          <w:sz w:val="24"/>
        </w:rPr>
        <w:t>t</w:t>
      </w:r>
      <w:r w:rsidR="003E6FF9">
        <w:rPr>
          <w:rFonts w:ascii="Arial" w:eastAsia="Calibri" w:hAnsi="Arial" w:cs="Arial"/>
          <w:sz w:val="24"/>
        </w:rPr>
        <w:t xml:space="preserve"> with</w:t>
      </w:r>
      <w:r w:rsidR="00864BB2">
        <w:rPr>
          <w:rFonts w:ascii="Arial" w:eastAsia="Calibri" w:hAnsi="Arial" w:cs="Arial"/>
          <w:sz w:val="24"/>
        </w:rPr>
        <w:t xml:space="preserve"> it </w:t>
      </w:r>
      <w:r w:rsidR="003E6FF9">
        <w:rPr>
          <w:rFonts w:ascii="Arial" w:eastAsia="Calibri" w:hAnsi="Arial" w:cs="Arial"/>
          <w:sz w:val="24"/>
        </w:rPr>
        <w:t>exclude the exercise of a discretion, in both instances</w:t>
      </w:r>
      <w:r w:rsidR="00C92620">
        <w:rPr>
          <w:rFonts w:ascii="Arial" w:eastAsia="Calibri" w:hAnsi="Arial" w:cs="Arial"/>
          <w:sz w:val="24"/>
        </w:rPr>
        <w:t xml:space="preserve"> referred to</w:t>
      </w:r>
      <w:r w:rsidR="003E6FF9">
        <w:rPr>
          <w:rFonts w:ascii="Arial" w:eastAsia="Calibri" w:hAnsi="Arial" w:cs="Arial"/>
          <w:sz w:val="24"/>
        </w:rPr>
        <w:t xml:space="preserve">: </w:t>
      </w:r>
      <w:r w:rsidR="00864BB2">
        <w:rPr>
          <w:rFonts w:ascii="Arial" w:eastAsia="Calibri" w:hAnsi="Arial" w:cs="Arial"/>
          <w:sz w:val="24"/>
        </w:rPr>
        <w:t>the</w:t>
      </w:r>
      <w:r w:rsidR="003E6FF9">
        <w:rPr>
          <w:rFonts w:ascii="Arial" w:eastAsia="Calibri" w:hAnsi="Arial" w:cs="Arial"/>
          <w:sz w:val="24"/>
        </w:rPr>
        <w:t xml:space="preserve"> taxpayer must exhaust their internal remedies</w:t>
      </w:r>
      <w:r w:rsidR="00864BB2">
        <w:rPr>
          <w:rFonts w:ascii="Arial" w:eastAsia="Calibri" w:hAnsi="Arial" w:cs="Arial"/>
          <w:sz w:val="24"/>
        </w:rPr>
        <w:t xml:space="preserve"> and a civil Court may only approve a deviation from the default route, if and when the taxpayer has shown that there are exceptional circumstances present which justify this. </w:t>
      </w:r>
      <w:r w:rsidR="00EA4057">
        <w:rPr>
          <w:rFonts w:ascii="Arial" w:eastAsia="Calibri" w:hAnsi="Arial" w:cs="Arial"/>
          <w:sz w:val="24"/>
        </w:rPr>
        <w:t xml:space="preserve">In </w:t>
      </w:r>
      <w:r w:rsidR="00EA4057">
        <w:rPr>
          <w:rFonts w:ascii="Arial" w:eastAsia="Calibri" w:hAnsi="Arial" w:cs="Arial"/>
          <w:sz w:val="24"/>
        </w:rPr>
        <w:lastRenderedPageBreak/>
        <w:t>this regard, a</w:t>
      </w:r>
      <w:r w:rsidR="00C92620">
        <w:rPr>
          <w:rFonts w:ascii="Arial" w:eastAsia="Calibri" w:hAnsi="Arial" w:cs="Arial"/>
          <w:sz w:val="24"/>
        </w:rPr>
        <w:t>s I previously pointed out,</w:t>
      </w:r>
      <w:r w:rsidR="004C652B">
        <w:rPr>
          <w:rStyle w:val="FootnoteReference"/>
          <w:rFonts w:ascii="Arial" w:eastAsia="Calibri" w:hAnsi="Arial" w:cs="Arial"/>
          <w:sz w:val="24"/>
        </w:rPr>
        <w:footnoteReference w:id="55"/>
      </w:r>
      <w:r w:rsidR="00C92620">
        <w:rPr>
          <w:rFonts w:ascii="Arial" w:eastAsia="Calibri" w:hAnsi="Arial" w:cs="Arial"/>
          <w:sz w:val="24"/>
        </w:rPr>
        <w:t xml:space="preserve"> in adopting the </w:t>
      </w:r>
      <w:r w:rsidR="004C652B">
        <w:rPr>
          <w:rFonts w:ascii="Arial" w:eastAsia="Calibri" w:hAnsi="Arial" w:cs="Arial"/>
          <w:sz w:val="24"/>
        </w:rPr>
        <w:t xml:space="preserve">test for exceptional circumstances which was </w:t>
      </w:r>
      <w:r w:rsidR="00C92620">
        <w:rPr>
          <w:rFonts w:ascii="Arial" w:eastAsia="Calibri" w:hAnsi="Arial" w:cs="Arial"/>
          <w:sz w:val="24"/>
        </w:rPr>
        <w:t>espo</w:t>
      </w:r>
      <w:r w:rsidR="004C652B">
        <w:rPr>
          <w:rFonts w:ascii="Arial" w:eastAsia="Calibri" w:hAnsi="Arial" w:cs="Arial"/>
          <w:sz w:val="24"/>
        </w:rPr>
        <w:t>u</w:t>
      </w:r>
      <w:r w:rsidR="00C92620">
        <w:rPr>
          <w:rFonts w:ascii="Arial" w:eastAsia="Calibri" w:hAnsi="Arial" w:cs="Arial"/>
          <w:sz w:val="24"/>
        </w:rPr>
        <w:t xml:space="preserve">sed by Thring </w:t>
      </w:r>
      <w:r w:rsidR="004C652B">
        <w:rPr>
          <w:rFonts w:ascii="Arial" w:eastAsia="Calibri" w:hAnsi="Arial" w:cs="Arial"/>
          <w:sz w:val="24"/>
        </w:rPr>
        <w:t xml:space="preserve">J in MV </w:t>
      </w:r>
      <w:r w:rsidR="004C652B" w:rsidRPr="004C652B">
        <w:rPr>
          <w:rFonts w:ascii="Arial" w:eastAsia="Calibri" w:hAnsi="Arial" w:cs="Arial"/>
          <w:i/>
          <w:iCs/>
          <w:sz w:val="24"/>
        </w:rPr>
        <w:t>Ais Mamas</w:t>
      </w:r>
      <w:r w:rsidR="00864BB2">
        <w:rPr>
          <w:rFonts w:ascii="Arial" w:eastAsia="Calibri" w:hAnsi="Arial" w:cs="Arial"/>
          <w:sz w:val="24"/>
        </w:rPr>
        <w:t xml:space="preserve"> </w:t>
      </w:r>
      <w:r w:rsidR="004C652B">
        <w:rPr>
          <w:rFonts w:ascii="Arial" w:eastAsia="Calibri" w:hAnsi="Arial" w:cs="Arial"/>
          <w:sz w:val="24"/>
        </w:rPr>
        <w:t xml:space="preserve">the Constitutional Court and the Supreme Court of Appeal have both made it clear </w:t>
      </w:r>
      <w:r w:rsidR="00ED7DF2">
        <w:rPr>
          <w:rFonts w:ascii="Arial" w:eastAsia="Calibri" w:hAnsi="Arial" w:cs="Arial"/>
          <w:sz w:val="24"/>
        </w:rPr>
        <w:t xml:space="preserve">(albeit in other statutory contexts) </w:t>
      </w:r>
      <w:r w:rsidR="004C652B">
        <w:rPr>
          <w:rFonts w:ascii="Arial" w:eastAsia="Calibri" w:hAnsi="Arial" w:cs="Arial"/>
          <w:sz w:val="24"/>
        </w:rPr>
        <w:t xml:space="preserve">that the determinations of whether or not exceptional circumstances have been shown and whether or not the taxpayer should therefore be excused from exhausting their internal remedies are not discretionary, but fact-bound determinations.    </w:t>
      </w:r>
      <w:r w:rsidR="003E6FF9">
        <w:rPr>
          <w:rFonts w:ascii="Arial" w:eastAsia="Calibri" w:hAnsi="Arial" w:cs="Arial"/>
          <w:sz w:val="24"/>
        </w:rPr>
        <w:t xml:space="preserve">   </w:t>
      </w:r>
    </w:p>
    <w:p w14:paraId="3CFF3A28" w14:textId="634F3879" w:rsidR="009517F1"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74.</w:t>
      </w:r>
      <w:r>
        <w:rPr>
          <w:rFonts w:ascii="Arial" w:eastAsia="Calibri" w:hAnsi="Arial" w:cs="Arial"/>
          <w:sz w:val="24"/>
        </w:rPr>
        <w:tab/>
      </w:r>
      <w:r w:rsidR="00FC1103">
        <w:rPr>
          <w:rFonts w:ascii="Arial" w:eastAsia="Calibri" w:hAnsi="Arial" w:cs="Arial"/>
          <w:sz w:val="24"/>
        </w:rPr>
        <w:t xml:space="preserve">In arriving at </w:t>
      </w:r>
      <w:r w:rsidR="00DF0498">
        <w:rPr>
          <w:rFonts w:ascii="Arial" w:eastAsia="Calibri" w:hAnsi="Arial" w:cs="Arial"/>
          <w:sz w:val="24"/>
        </w:rPr>
        <w:t>its</w:t>
      </w:r>
      <w:r w:rsidR="00FC1103">
        <w:rPr>
          <w:rFonts w:ascii="Arial" w:eastAsia="Calibri" w:hAnsi="Arial" w:cs="Arial"/>
          <w:sz w:val="24"/>
        </w:rPr>
        <w:t xml:space="preserve"> </w:t>
      </w:r>
      <w:r w:rsidR="005028A9">
        <w:rPr>
          <w:rFonts w:ascii="Arial" w:eastAsia="Calibri" w:hAnsi="Arial" w:cs="Arial"/>
          <w:sz w:val="24"/>
        </w:rPr>
        <w:t>conclusions</w:t>
      </w:r>
      <w:r w:rsidR="00FC1103">
        <w:rPr>
          <w:rFonts w:ascii="Arial" w:eastAsia="Calibri" w:hAnsi="Arial" w:cs="Arial"/>
          <w:sz w:val="24"/>
        </w:rPr>
        <w:t xml:space="preserve">, </w:t>
      </w:r>
      <w:r w:rsidR="00184BB3">
        <w:rPr>
          <w:rFonts w:ascii="Arial" w:eastAsia="Calibri" w:hAnsi="Arial" w:cs="Arial"/>
          <w:sz w:val="24"/>
        </w:rPr>
        <w:t>the Court</w:t>
      </w:r>
      <w:r w:rsidR="00FC1103">
        <w:rPr>
          <w:rFonts w:ascii="Arial" w:eastAsia="Calibri" w:hAnsi="Arial" w:cs="Arial"/>
          <w:sz w:val="24"/>
        </w:rPr>
        <w:t xml:space="preserve"> </w:t>
      </w:r>
      <w:r w:rsidR="004C652B">
        <w:rPr>
          <w:rFonts w:ascii="Arial" w:eastAsia="Calibri" w:hAnsi="Arial" w:cs="Arial"/>
          <w:sz w:val="24"/>
        </w:rPr>
        <w:t xml:space="preserve">in </w:t>
      </w:r>
      <w:r w:rsidR="004C652B" w:rsidRPr="004C652B">
        <w:rPr>
          <w:rFonts w:ascii="Arial" w:eastAsia="Calibri" w:hAnsi="Arial" w:cs="Arial"/>
          <w:i/>
          <w:iCs/>
          <w:sz w:val="24"/>
        </w:rPr>
        <w:t>ABSA</w:t>
      </w:r>
      <w:r w:rsidR="004C652B">
        <w:rPr>
          <w:rFonts w:ascii="Arial" w:eastAsia="Calibri" w:hAnsi="Arial" w:cs="Arial"/>
          <w:sz w:val="24"/>
        </w:rPr>
        <w:t xml:space="preserve"> </w:t>
      </w:r>
      <w:r w:rsidR="00864BB2">
        <w:rPr>
          <w:rFonts w:ascii="Arial" w:eastAsia="Calibri" w:hAnsi="Arial" w:cs="Arial"/>
          <w:sz w:val="24"/>
        </w:rPr>
        <w:t xml:space="preserve">pointed out </w:t>
      </w:r>
      <w:r w:rsidR="00FC1103">
        <w:rPr>
          <w:rFonts w:ascii="Arial" w:eastAsia="Calibri" w:hAnsi="Arial" w:cs="Arial"/>
          <w:sz w:val="24"/>
        </w:rPr>
        <w:t xml:space="preserve">that there </w:t>
      </w:r>
      <w:r w:rsidR="00934545">
        <w:rPr>
          <w:rFonts w:ascii="Arial" w:eastAsia="Calibri" w:hAnsi="Arial" w:cs="Arial"/>
          <w:sz w:val="24"/>
        </w:rPr>
        <w:t>were precedents</w:t>
      </w:r>
      <w:r w:rsidR="005A4000">
        <w:rPr>
          <w:rFonts w:ascii="Arial" w:eastAsia="Calibri" w:hAnsi="Arial" w:cs="Arial"/>
          <w:sz w:val="24"/>
        </w:rPr>
        <w:t xml:space="preserve"> such as </w:t>
      </w:r>
      <w:r w:rsidR="00FC1103" w:rsidRPr="00FC1103">
        <w:rPr>
          <w:rFonts w:ascii="Arial" w:eastAsia="Calibri" w:hAnsi="Arial" w:cs="Arial"/>
          <w:i/>
          <w:iCs/>
          <w:sz w:val="24"/>
        </w:rPr>
        <w:t>Metcash</w:t>
      </w:r>
      <w:r w:rsidR="005A4000">
        <w:rPr>
          <w:rFonts w:ascii="Arial" w:eastAsia="Calibri" w:hAnsi="Arial" w:cs="Arial"/>
          <w:i/>
          <w:iCs/>
          <w:sz w:val="24"/>
        </w:rPr>
        <w:t>,</w:t>
      </w:r>
      <w:r w:rsidR="00FC1103">
        <w:rPr>
          <w:rFonts w:ascii="Arial" w:eastAsia="Calibri" w:hAnsi="Arial" w:cs="Arial"/>
          <w:i/>
          <w:iCs/>
          <w:sz w:val="24"/>
        </w:rPr>
        <w:t xml:space="preserve"> </w:t>
      </w:r>
      <w:r w:rsidR="00FC1103">
        <w:rPr>
          <w:rStyle w:val="FootnoteReference"/>
          <w:rFonts w:ascii="Arial" w:eastAsia="Calibri" w:hAnsi="Arial" w:cs="Arial"/>
          <w:sz w:val="24"/>
        </w:rPr>
        <w:footnoteReference w:id="56"/>
      </w:r>
      <w:r w:rsidR="00BE5004">
        <w:rPr>
          <w:rFonts w:ascii="Arial" w:eastAsia="Calibri" w:hAnsi="Arial" w:cs="Arial"/>
          <w:sz w:val="24"/>
        </w:rPr>
        <w:t xml:space="preserve"> </w:t>
      </w:r>
      <w:r w:rsidR="005A4000">
        <w:rPr>
          <w:rFonts w:ascii="Arial" w:eastAsia="Calibri" w:hAnsi="Arial" w:cs="Arial"/>
          <w:sz w:val="24"/>
        </w:rPr>
        <w:t xml:space="preserve">where civil Courts had entertained tax disputes on points of law, instead of compelling taxpayers to exhaust internal remedies that were available to them. </w:t>
      </w:r>
      <w:r w:rsidR="00360497">
        <w:rPr>
          <w:rFonts w:ascii="Arial" w:eastAsia="Calibri" w:hAnsi="Arial" w:cs="Arial"/>
          <w:sz w:val="24"/>
        </w:rPr>
        <w:t xml:space="preserve">But the decision in </w:t>
      </w:r>
      <w:r w:rsidR="00360497" w:rsidRPr="00360497">
        <w:rPr>
          <w:rFonts w:ascii="Arial" w:eastAsia="Calibri" w:hAnsi="Arial" w:cs="Arial"/>
          <w:i/>
          <w:iCs/>
          <w:sz w:val="24"/>
        </w:rPr>
        <w:t>Metcash</w:t>
      </w:r>
      <w:r w:rsidR="00360497">
        <w:rPr>
          <w:rFonts w:ascii="Arial" w:eastAsia="Calibri" w:hAnsi="Arial" w:cs="Arial"/>
          <w:sz w:val="24"/>
        </w:rPr>
        <w:t xml:space="preserve"> needs to be considered in </w:t>
      </w:r>
      <w:r w:rsidR="00FE4642">
        <w:rPr>
          <w:rFonts w:ascii="Arial" w:eastAsia="Calibri" w:hAnsi="Arial" w:cs="Arial"/>
          <w:sz w:val="24"/>
        </w:rPr>
        <w:t xml:space="preserve">its proper </w:t>
      </w:r>
      <w:r w:rsidR="00360497">
        <w:rPr>
          <w:rFonts w:ascii="Arial" w:eastAsia="Calibri" w:hAnsi="Arial" w:cs="Arial"/>
          <w:sz w:val="24"/>
        </w:rPr>
        <w:t>context.</w:t>
      </w:r>
    </w:p>
    <w:p w14:paraId="4026B609" w14:textId="5EFE7805" w:rsidR="007320E8"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t>75.</w:t>
      </w:r>
      <w:r>
        <w:rPr>
          <w:rFonts w:ascii="Arial" w:eastAsia="Calibri" w:hAnsi="Arial" w:cs="Arial"/>
          <w:sz w:val="24"/>
        </w:rPr>
        <w:tab/>
      </w:r>
      <w:r w:rsidR="005028A9">
        <w:rPr>
          <w:rFonts w:ascii="Arial" w:eastAsia="Calibri" w:hAnsi="Arial" w:cs="Arial"/>
          <w:sz w:val="24"/>
        </w:rPr>
        <w:t xml:space="preserve">In </w:t>
      </w:r>
      <w:r w:rsidR="00360497">
        <w:rPr>
          <w:rFonts w:ascii="Arial" w:eastAsia="Calibri" w:hAnsi="Arial" w:cs="Arial"/>
          <w:sz w:val="24"/>
        </w:rPr>
        <w:t>that matter</w:t>
      </w:r>
      <w:r w:rsidR="005D1E51">
        <w:rPr>
          <w:rFonts w:ascii="Arial" w:eastAsia="Calibri" w:hAnsi="Arial" w:cs="Arial"/>
          <w:sz w:val="24"/>
        </w:rPr>
        <w:t xml:space="preserve"> </w:t>
      </w:r>
      <w:r w:rsidR="009517F1">
        <w:rPr>
          <w:rFonts w:ascii="Arial" w:eastAsia="Calibri" w:hAnsi="Arial" w:cs="Arial"/>
          <w:sz w:val="24"/>
        </w:rPr>
        <w:t xml:space="preserve">the Constitutional Court was required to </w:t>
      </w:r>
      <w:r w:rsidR="007320E8">
        <w:rPr>
          <w:rFonts w:ascii="Arial" w:eastAsia="Calibri" w:hAnsi="Arial" w:cs="Arial"/>
          <w:sz w:val="24"/>
        </w:rPr>
        <w:t>consider</w:t>
      </w:r>
      <w:r w:rsidR="009517F1">
        <w:rPr>
          <w:rFonts w:ascii="Arial" w:eastAsia="Calibri" w:hAnsi="Arial" w:cs="Arial"/>
          <w:sz w:val="24"/>
        </w:rPr>
        <w:t xml:space="preserve"> whether to confirm a declaration of constitutional invalidity which had been made </w:t>
      </w:r>
      <w:r w:rsidR="007320E8">
        <w:rPr>
          <w:rFonts w:ascii="Arial" w:eastAsia="Calibri" w:hAnsi="Arial" w:cs="Arial"/>
          <w:sz w:val="24"/>
        </w:rPr>
        <w:t xml:space="preserve">a </w:t>
      </w:r>
      <w:r w:rsidR="007320E8" w:rsidRPr="007320E8">
        <w:rPr>
          <w:rFonts w:ascii="Arial" w:eastAsia="Calibri" w:hAnsi="Arial" w:cs="Arial"/>
          <w:i/>
          <w:iCs/>
          <w:sz w:val="24"/>
        </w:rPr>
        <w:t>quo</w:t>
      </w:r>
      <w:r w:rsidR="007320E8">
        <w:rPr>
          <w:rFonts w:ascii="Arial" w:eastAsia="Calibri" w:hAnsi="Arial" w:cs="Arial"/>
          <w:sz w:val="24"/>
        </w:rPr>
        <w:t xml:space="preserve"> </w:t>
      </w:r>
      <w:r w:rsidR="009517F1">
        <w:rPr>
          <w:rFonts w:ascii="Arial" w:eastAsia="Calibri" w:hAnsi="Arial" w:cs="Arial"/>
          <w:sz w:val="24"/>
        </w:rPr>
        <w:t xml:space="preserve">in respect of </w:t>
      </w:r>
      <w:r w:rsidR="007320E8">
        <w:rPr>
          <w:rFonts w:ascii="Arial" w:eastAsia="Calibri" w:hAnsi="Arial" w:cs="Arial"/>
          <w:sz w:val="24"/>
        </w:rPr>
        <w:t xml:space="preserve">     </w:t>
      </w:r>
      <w:r w:rsidR="00A4486D">
        <w:rPr>
          <w:rFonts w:ascii="Arial" w:eastAsia="Calibri" w:hAnsi="Arial" w:cs="Arial"/>
          <w:sz w:val="24"/>
        </w:rPr>
        <w:t>s</w:t>
      </w:r>
      <w:r w:rsidR="009517F1">
        <w:rPr>
          <w:rFonts w:ascii="Arial" w:eastAsia="Calibri" w:hAnsi="Arial" w:cs="Arial"/>
          <w:sz w:val="24"/>
        </w:rPr>
        <w:t xml:space="preserve"> 36(</w:t>
      </w:r>
      <w:r w:rsidR="00A4486D">
        <w:rPr>
          <w:rFonts w:ascii="Arial" w:eastAsia="Calibri" w:hAnsi="Arial" w:cs="Arial"/>
          <w:sz w:val="24"/>
        </w:rPr>
        <w:t>1) of</w:t>
      </w:r>
      <w:r w:rsidR="009517F1">
        <w:rPr>
          <w:rFonts w:ascii="Arial" w:eastAsia="Calibri" w:hAnsi="Arial" w:cs="Arial"/>
          <w:sz w:val="24"/>
        </w:rPr>
        <w:t xml:space="preserve"> the </w:t>
      </w:r>
      <w:r w:rsidR="00A4486D">
        <w:rPr>
          <w:rFonts w:ascii="Arial" w:eastAsia="Calibri" w:hAnsi="Arial" w:cs="Arial"/>
          <w:sz w:val="24"/>
        </w:rPr>
        <w:t>VAT A</w:t>
      </w:r>
      <w:r w:rsidR="009517F1">
        <w:rPr>
          <w:rFonts w:ascii="Arial" w:eastAsia="Calibri" w:hAnsi="Arial" w:cs="Arial"/>
          <w:sz w:val="24"/>
        </w:rPr>
        <w:t xml:space="preserve">ct, on the basis that </w:t>
      </w:r>
      <w:r w:rsidR="00A4486D">
        <w:rPr>
          <w:rFonts w:ascii="Arial" w:eastAsia="Calibri" w:hAnsi="Arial" w:cs="Arial"/>
          <w:sz w:val="24"/>
        </w:rPr>
        <w:t>it</w:t>
      </w:r>
      <w:r w:rsidR="009517F1">
        <w:rPr>
          <w:rFonts w:ascii="Arial" w:eastAsia="Calibri" w:hAnsi="Arial" w:cs="Arial"/>
          <w:sz w:val="24"/>
        </w:rPr>
        <w:t xml:space="preserve"> unlawfully </w:t>
      </w:r>
      <w:r w:rsidR="00A4486D">
        <w:rPr>
          <w:rFonts w:ascii="Arial" w:eastAsia="Calibri" w:hAnsi="Arial" w:cs="Arial"/>
          <w:sz w:val="24"/>
        </w:rPr>
        <w:t>limited</w:t>
      </w:r>
      <w:r w:rsidR="009517F1">
        <w:rPr>
          <w:rFonts w:ascii="Arial" w:eastAsia="Calibri" w:hAnsi="Arial" w:cs="Arial"/>
          <w:sz w:val="24"/>
        </w:rPr>
        <w:t xml:space="preserve"> the right of access to </w:t>
      </w:r>
      <w:r w:rsidR="00A4486D">
        <w:rPr>
          <w:rFonts w:ascii="Arial" w:eastAsia="Calibri" w:hAnsi="Arial" w:cs="Arial"/>
          <w:sz w:val="24"/>
        </w:rPr>
        <w:t xml:space="preserve">a </w:t>
      </w:r>
      <w:r w:rsidR="00ED7DF2">
        <w:rPr>
          <w:rFonts w:ascii="Arial" w:eastAsia="Calibri" w:hAnsi="Arial" w:cs="Arial"/>
          <w:sz w:val="24"/>
        </w:rPr>
        <w:t>C</w:t>
      </w:r>
      <w:r w:rsidR="009517F1">
        <w:rPr>
          <w:rFonts w:ascii="Arial" w:eastAsia="Calibri" w:hAnsi="Arial" w:cs="Arial"/>
          <w:sz w:val="24"/>
        </w:rPr>
        <w:t>ourt</w:t>
      </w:r>
      <w:r w:rsidR="00A4486D">
        <w:rPr>
          <w:rFonts w:ascii="Arial" w:eastAsia="Calibri" w:hAnsi="Arial" w:cs="Arial"/>
          <w:sz w:val="24"/>
        </w:rPr>
        <w:t>,</w:t>
      </w:r>
      <w:r w:rsidR="009517F1">
        <w:rPr>
          <w:rFonts w:ascii="Arial" w:eastAsia="Calibri" w:hAnsi="Arial" w:cs="Arial"/>
          <w:sz w:val="24"/>
        </w:rPr>
        <w:t xml:space="preserve"> contra </w:t>
      </w:r>
      <w:r w:rsidR="00A4486D">
        <w:rPr>
          <w:rFonts w:ascii="Arial" w:eastAsia="Calibri" w:hAnsi="Arial" w:cs="Arial"/>
          <w:sz w:val="24"/>
        </w:rPr>
        <w:t>s</w:t>
      </w:r>
      <w:r w:rsidR="009517F1">
        <w:rPr>
          <w:rFonts w:ascii="Arial" w:eastAsia="Calibri" w:hAnsi="Arial" w:cs="Arial"/>
          <w:sz w:val="24"/>
        </w:rPr>
        <w:t xml:space="preserve"> 34 of the Constitution. </w:t>
      </w:r>
      <w:r w:rsidR="00A4486D">
        <w:rPr>
          <w:rFonts w:ascii="Arial" w:eastAsia="Calibri" w:hAnsi="Arial" w:cs="Arial"/>
          <w:sz w:val="24"/>
        </w:rPr>
        <w:t xml:space="preserve">The section </w:t>
      </w:r>
      <w:r w:rsidR="009517F1">
        <w:rPr>
          <w:rFonts w:ascii="Arial" w:eastAsia="Calibri" w:hAnsi="Arial" w:cs="Arial"/>
          <w:sz w:val="24"/>
        </w:rPr>
        <w:t xml:space="preserve">provides that </w:t>
      </w:r>
      <w:r w:rsidR="00360497">
        <w:rPr>
          <w:rFonts w:ascii="Arial" w:eastAsia="Calibri" w:hAnsi="Arial" w:cs="Arial"/>
          <w:sz w:val="24"/>
        </w:rPr>
        <w:t xml:space="preserve">a taxpayer </w:t>
      </w:r>
      <w:r w:rsidR="00FE4642">
        <w:rPr>
          <w:rFonts w:ascii="Arial" w:eastAsia="Calibri" w:hAnsi="Arial" w:cs="Arial"/>
          <w:sz w:val="24"/>
        </w:rPr>
        <w:t>is obliged</w:t>
      </w:r>
      <w:r w:rsidR="00360497">
        <w:rPr>
          <w:rFonts w:ascii="Arial" w:eastAsia="Calibri" w:hAnsi="Arial" w:cs="Arial"/>
          <w:sz w:val="24"/>
        </w:rPr>
        <w:t xml:space="preserve"> to pay a VAT assessment and </w:t>
      </w:r>
      <w:r w:rsidR="00FE4642">
        <w:rPr>
          <w:rFonts w:ascii="Arial" w:eastAsia="Calibri" w:hAnsi="Arial" w:cs="Arial"/>
          <w:sz w:val="24"/>
        </w:rPr>
        <w:t>to</w:t>
      </w:r>
      <w:r w:rsidR="00360497">
        <w:rPr>
          <w:rFonts w:ascii="Arial" w:eastAsia="Calibri" w:hAnsi="Arial" w:cs="Arial"/>
          <w:sz w:val="24"/>
        </w:rPr>
        <w:t xml:space="preserve"> argue about its validity later,</w:t>
      </w:r>
      <w:r w:rsidR="009517F1">
        <w:rPr>
          <w:rFonts w:ascii="Arial" w:eastAsia="Calibri" w:hAnsi="Arial" w:cs="Arial"/>
          <w:sz w:val="24"/>
        </w:rPr>
        <w:t xml:space="preserve"> </w:t>
      </w:r>
      <w:r w:rsidR="007320E8">
        <w:rPr>
          <w:rFonts w:ascii="Arial" w:eastAsia="Calibri" w:hAnsi="Arial" w:cs="Arial"/>
          <w:sz w:val="24"/>
        </w:rPr>
        <w:t xml:space="preserve">even </w:t>
      </w:r>
      <w:r w:rsidR="00360497">
        <w:rPr>
          <w:rFonts w:ascii="Arial" w:eastAsia="Calibri" w:hAnsi="Arial" w:cs="Arial"/>
          <w:sz w:val="24"/>
        </w:rPr>
        <w:t xml:space="preserve">though </w:t>
      </w:r>
      <w:r w:rsidR="007320E8">
        <w:rPr>
          <w:rFonts w:ascii="Arial" w:eastAsia="Calibri" w:hAnsi="Arial" w:cs="Arial"/>
          <w:sz w:val="24"/>
        </w:rPr>
        <w:t xml:space="preserve">an </w:t>
      </w:r>
      <w:r w:rsidR="00864BB2">
        <w:rPr>
          <w:rFonts w:ascii="Arial" w:eastAsia="Calibri" w:hAnsi="Arial" w:cs="Arial"/>
          <w:sz w:val="24"/>
        </w:rPr>
        <w:t xml:space="preserve">objection or </w:t>
      </w:r>
      <w:r w:rsidR="007320E8">
        <w:rPr>
          <w:rFonts w:ascii="Arial" w:eastAsia="Calibri" w:hAnsi="Arial" w:cs="Arial"/>
          <w:sz w:val="24"/>
        </w:rPr>
        <w:t>appeal</w:t>
      </w:r>
      <w:r w:rsidR="00360497">
        <w:rPr>
          <w:rFonts w:ascii="Arial" w:eastAsia="Calibri" w:hAnsi="Arial" w:cs="Arial"/>
          <w:sz w:val="24"/>
        </w:rPr>
        <w:t xml:space="preserve"> may have been lodged</w:t>
      </w:r>
      <w:r w:rsidR="007320E8">
        <w:rPr>
          <w:rFonts w:ascii="Arial" w:eastAsia="Calibri" w:hAnsi="Arial" w:cs="Arial"/>
          <w:sz w:val="24"/>
        </w:rPr>
        <w:t xml:space="preserve"> against it</w:t>
      </w:r>
      <w:r w:rsidR="009517F1">
        <w:rPr>
          <w:rFonts w:ascii="Arial" w:eastAsia="Calibri" w:hAnsi="Arial" w:cs="Arial"/>
          <w:sz w:val="24"/>
        </w:rPr>
        <w:t>.</w:t>
      </w:r>
    </w:p>
    <w:p w14:paraId="4D9BEE17" w14:textId="04FC52BB" w:rsidR="00934545"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t>76.</w:t>
      </w:r>
      <w:r>
        <w:rPr>
          <w:rFonts w:ascii="Arial" w:eastAsia="Calibri" w:hAnsi="Arial" w:cs="Arial"/>
          <w:sz w:val="24"/>
        </w:rPr>
        <w:tab/>
      </w:r>
      <w:r w:rsidR="009517F1" w:rsidRPr="00B9223F">
        <w:rPr>
          <w:rFonts w:ascii="Arial" w:eastAsia="Calibri" w:hAnsi="Arial" w:cs="Arial"/>
          <w:sz w:val="24"/>
        </w:rPr>
        <w:t xml:space="preserve">The Constitutional Court </w:t>
      </w:r>
      <w:r w:rsidR="00A4486D" w:rsidRPr="00B9223F">
        <w:rPr>
          <w:rFonts w:ascii="Arial" w:eastAsia="Calibri" w:hAnsi="Arial" w:cs="Arial"/>
          <w:sz w:val="24"/>
        </w:rPr>
        <w:t>held</w:t>
      </w:r>
      <w:r w:rsidR="009517F1" w:rsidRPr="00B9223F">
        <w:rPr>
          <w:rFonts w:ascii="Arial" w:eastAsia="Calibri" w:hAnsi="Arial" w:cs="Arial"/>
          <w:sz w:val="24"/>
        </w:rPr>
        <w:t xml:space="preserve"> that the section was not concerned with access to a </w:t>
      </w:r>
      <w:r w:rsidR="00360497" w:rsidRPr="00B9223F">
        <w:rPr>
          <w:rFonts w:ascii="Arial" w:eastAsia="Calibri" w:hAnsi="Arial" w:cs="Arial"/>
          <w:sz w:val="24"/>
        </w:rPr>
        <w:t>C</w:t>
      </w:r>
      <w:r w:rsidR="009517F1" w:rsidRPr="00B9223F">
        <w:rPr>
          <w:rFonts w:ascii="Arial" w:eastAsia="Calibri" w:hAnsi="Arial" w:cs="Arial"/>
          <w:sz w:val="24"/>
        </w:rPr>
        <w:t>ourt and</w:t>
      </w:r>
      <w:r w:rsidR="00360497" w:rsidRPr="00B9223F">
        <w:rPr>
          <w:rFonts w:ascii="Arial" w:eastAsia="Calibri" w:hAnsi="Arial" w:cs="Arial"/>
          <w:sz w:val="24"/>
        </w:rPr>
        <w:t xml:space="preserve"> did not p</w:t>
      </w:r>
      <w:r w:rsidR="009517F1" w:rsidRPr="00B9223F">
        <w:rPr>
          <w:rFonts w:ascii="Arial" w:eastAsia="Calibri" w:hAnsi="Arial" w:cs="Arial"/>
          <w:sz w:val="24"/>
        </w:rPr>
        <w:t>rohibit or limit</w:t>
      </w:r>
      <w:r w:rsidR="00360497" w:rsidRPr="00B9223F">
        <w:rPr>
          <w:rFonts w:ascii="Arial" w:eastAsia="Calibri" w:hAnsi="Arial" w:cs="Arial"/>
          <w:sz w:val="24"/>
        </w:rPr>
        <w:t xml:space="preserve"> a taxpayer’s right</w:t>
      </w:r>
      <w:r w:rsidR="00FE4642" w:rsidRPr="00B9223F">
        <w:rPr>
          <w:rFonts w:ascii="Arial" w:eastAsia="Calibri" w:hAnsi="Arial" w:cs="Arial"/>
          <w:sz w:val="24"/>
        </w:rPr>
        <w:t>s</w:t>
      </w:r>
      <w:r w:rsidR="00360497" w:rsidRPr="00B9223F">
        <w:rPr>
          <w:rFonts w:ascii="Arial" w:eastAsia="Calibri" w:hAnsi="Arial" w:cs="Arial"/>
          <w:sz w:val="24"/>
        </w:rPr>
        <w:t xml:space="preserve"> in this regard. </w:t>
      </w:r>
      <w:r w:rsidR="004C652B">
        <w:rPr>
          <w:rFonts w:ascii="Arial" w:eastAsia="Calibri" w:hAnsi="Arial" w:cs="Arial"/>
          <w:sz w:val="24"/>
        </w:rPr>
        <w:t>A</w:t>
      </w:r>
      <w:r w:rsidR="009517F1" w:rsidRPr="00B9223F">
        <w:rPr>
          <w:rFonts w:ascii="Arial" w:eastAsia="Calibri" w:hAnsi="Arial" w:cs="Arial"/>
          <w:sz w:val="24"/>
        </w:rPr>
        <w:t xml:space="preserve"> dissatisfied taxpayer could lodge an objection against the assessment and failing the success thereof, an appeal to the special </w:t>
      </w:r>
      <w:r w:rsidR="00A4486D" w:rsidRPr="00B9223F">
        <w:rPr>
          <w:rFonts w:ascii="Arial" w:eastAsia="Calibri" w:hAnsi="Arial" w:cs="Arial"/>
          <w:sz w:val="24"/>
        </w:rPr>
        <w:t>T</w:t>
      </w:r>
      <w:r w:rsidR="009517F1" w:rsidRPr="00B9223F">
        <w:rPr>
          <w:rFonts w:ascii="Arial" w:eastAsia="Calibri" w:hAnsi="Arial" w:cs="Arial"/>
          <w:sz w:val="24"/>
        </w:rPr>
        <w:t xml:space="preserve">ax </w:t>
      </w:r>
      <w:r w:rsidR="00A4486D" w:rsidRPr="00B9223F">
        <w:rPr>
          <w:rFonts w:ascii="Arial" w:eastAsia="Calibri" w:hAnsi="Arial" w:cs="Arial"/>
          <w:sz w:val="24"/>
        </w:rPr>
        <w:t>C</w:t>
      </w:r>
      <w:r w:rsidR="009517F1" w:rsidRPr="00B9223F">
        <w:rPr>
          <w:rFonts w:ascii="Arial" w:eastAsia="Calibri" w:hAnsi="Arial" w:cs="Arial"/>
          <w:sz w:val="24"/>
        </w:rPr>
        <w:t>ourt</w:t>
      </w:r>
      <w:r w:rsidR="00FE4642" w:rsidRPr="00B9223F">
        <w:rPr>
          <w:rFonts w:ascii="Arial" w:eastAsia="Calibri" w:hAnsi="Arial" w:cs="Arial"/>
          <w:sz w:val="24"/>
        </w:rPr>
        <w:t>,</w:t>
      </w:r>
      <w:r w:rsidR="009517F1" w:rsidRPr="00B9223F">
        <w:rPr>
          <w:rFonts w:ascii="Arial" w:eastAsia="Calibri" w:hAnsi="Arial" w:cs="Arial"/>
          <w:sz w:val="24"/>
        </w:rPr>
        <w:t xml:space="preserve"> which had wide and extensive powers of revision</w:t>
      </w:r>
      <w:r w:rsidR="00360497" w:rsidRPr="00B9223F">
        <w:rPr>
          <w:rFonts w:ascii="Arial" w:eastAsia="Calibri" w:hAnsi="Arial" w:cs="Arial"/>
          <w:sz w:val="24"/>
        </w:rPr>
        <w:t>. F</w:t>
      </w:r>
      <w:r w:rsidR="009517F1" w:rsidRPr="00B9223F">
        <w:rPr>
          <w:rFonts w:ascii="Arial" w:eastAsia="Calibri" w:hAnsi="Arial" w:cs="Arial"/>
          <w:sz w:val="24"/>
        </w:rPr>
        <w:t>rom there, if necessary, the</w:t>
      </w:r>
      <w:r w:rsidR="007320E8" w:rsidRPr="00B9223F">
        <w:rPr>
          <w:rFonts w:ascii="Arial" w:eastAsia="Calibri" w:hAnsi="Arial" w:cs="Arial"/>
          <w:sz w:val="24"/>
        </w:rPr>
        <w:t xml:space="preserve"> taxpayer</w:t>
      </w:r>
      <w:r w:rsidR="009517F1" w:rsidRPr="00B9223F">
        <w:rPr>
          <w:rFonts w:ascii="Arial" w:eastAsia="Calibri" w:hAnsi="Arial" w:cs="Arial"/>
          <w:sz w:val="24"/>
        </w:rPr>
        <w:t xml:space="preserve"> had access to a civil </w:t>
      </w:r>
      <w:r w:rsidR="007320E8" w:rsidRPr="00B9223F">
        <w:rPr>
          <w:rFonts w:ascii="Arial" w:eastAsia="Calibri" w:hAnsi="Arial" w:cs="Arial"/>
          <w:sz w:val="24"/>
        </w:rPr>
        <w:t>C</w:t>
      </w:r>
      <w:r w:rsidR="009517F1" w:rsidRPr="00B9223F">
        <w:rPr>
          <w:rFonts w:ascii="Arial" w:eastAsia="Calibri" w:hAnsi="Arial" w:cs="Arial"/>
          <w:sz w:val="24"/>
        </w:rPr>
        <w:t>ourt</w:t>
      </w:r>
      <w:r w:rsidR="007320E8" w:rsidRPr="00B9223F">
        <w:rPr>
          <w:rFonts w:ascii="Arial" w:eastAsia="Calibri" w:hAnsi="Arial" w:cs="Arial"/>
          <w:sz w:val="24"/>
        </w:rPr>
        <w:t>,</w:t>
      </w:r>
      <w:r w:rsidR="009517F1" w:rsidRPr="00B9223F">
        <w:rPr>
          <w:rFonts w:ascii="Arial" w:eastAsia="Calibri" w:hAnsi="Arial" w:cs="Arial"/>
          <w:sz w:val="24"/>
        </w:rPr>
        <w:t xml:space="preserve"> on review or appeal. </w:t>
      </w:r>
      <w:r w:rsidR="00B9223F">
        <w:rPr>
          <w:rFonts w:ascii="Arial" w:eastAsia="Calibri" w:hAnsi="Arial" w:cs="Arial"/>
          <w:sz w:val="24"/>
        </w:rPr>
        <w:t>P</w:t>
      </w:r>
      <w:r w:rsidR="009517F1" w:rsidRPr="00B9223F">
        <w:rPr>
          <w:rFonts w:ascii="Arial" w:eastAsia="Calibri" w:hAnsi="Arial" w:cs="Arial"/>
          <w:sz w:val="24"/>
        </w:rPr>
        <w:t xml:space="preserve">ending the resolution of the dispute </w:t>
      </w:r>
      <w:r w:rsidR="007320E8" w:rsidRPr="00B9223F">
        <w:rPr>
          <w:rFonts w:ascii="Arial" w:eastAsia="Calibri" w:hAnsi="Arial" w:cs="Arial"/>
          <w:sz w:val="24"/>
        </w:rPr>
        <w:t>by way of</w:t>
      </w:r>
      <w:r w:rsidR="009517F1" w:rsidRPr="00B9223F">
        <w:rPr>
          <w:rFonts w:ascii="Arial" w:eastAsia="Calibri" w:hAnsi="Arial" w:cs="Arial"/>
          <w:sz w:val="24"/>
        </w:rPr>
        <w:t xml:space="preserve"> the objection and appeal proce</w:t>
      </w:r>
      <w:r w:rsidR="008B09B2" w:rsidRPr="00B9223F">
        <w:rPr>
          <w:rFonts w:ascii="Arial" w:eastAsia="Calibri" w:hAnsi="Arial" w:cs="Arial"/>
          <w:sz w:val="24"/>
        </w:rPr>
        <w:t>sses</w:t>
      </w:r>
      <w:r w:rsidR="009517F1" w:rsidRPr="00B9223F">
        <w:rPr>
          <w:rFonts w:ascii="Arial" w:eastAsia="Calibri" w:hAnsi="Arial" w:cs="Arial"/>
          <w:sz w:val="24"/>
        </w:rPr>
        <w:t xml:space="preserve"> a superior civil </w:t>
      </w:r>
      <w:r w:rsidR="007320E8" w:rsidRPr="00B9223F">
        <w:rPr>
          <w:rFonts w:ascii="Arial" w:eastAsia="Calibri" w:hAnsi="Arial" w:cs="Arial"/>
          <w:sz w:val="24"/>
        </w:rPr>
        <w:t>C</w:t>
      </w:r>
      <w:r w:rsidR="009517F1" w:rsidRPr="00B9223F">
        <w:rPr>
          <w:rFonts w:ascii="Arial" w:eastAsia="Calibri" w:hAnsi="Arial" w:cs="Arial"/>
          <w:sz w:val="24"/>
        </w:rPr>
        <w:t>ourt had the jurisdiction to consider</w:t>
      </w:r>
      <w:r w:rsidR="00360497" w:rsidRPr="00B9223F">
        <w:rPr>
          <w:rFonts w:ascii="Arial" w:eastAsia="Calibri" w:hAnsi="Arial" w:cs="Arial"/>
          <w:sz w:val="24"/>
        </w:rPr>
        <w:t>,</w:t>
      </w:r>
      <w:r w:rsidR="009517F1" w:rsidRPr="00B9223F">
        <w:rPr>
          <w:rFonts w:ascii="Arial" w:eastAsia="Calibri" w:hAnsi="Arial" w:cs="Arial"/>
          <w:sz w:val="24"/>
        </w:rPr>
        <w:t xml:space="preserve"> and </w:t>
      </w:r>
      <w:r w:rsidR="00FE4642" w:rsidRPr="00B9223F">
        <w:rPr>
          <w:rFonts w:ascii="Arial" w:eastAsia="Calibri" w:hAnsi="Arial" w:cs="Arial"/>
          <w:sz w:val="24"/>
        </w:rPr>
        <w:t>‘</w:t>
      </w:r>
      <w:r w:rsidR="009517F1" w:rsidRPr="00B9223F">
        <w:rPr>
          <w:rFonts w:ascii="Arial" w:eastAsia="Calibri" w:hAnsi="Arial" w:cs="Arial"/>
          <w:sz w:val="24"/>
        </w:rPr>
        <w:t>w</w:t>
      </w:r>
      <w:r w:rsidR="007320E8" w:rsidRPr="00B9223F">
        <w:rPr>
          <w:rFonts w:ascii="Arial" w:eastAsia="Calibri" w:hAnsi="Arial" w:cs="Arial"/>
          <w:sz w:val="24"/>
        </w:rPr>
        <w:t>here</w:t>
      </w:r>
      <w:r w:rsidR="009517F1" w:rsidRPr="00B9223F">
        <w:rPr>
          <w:rFonts w:ascii="Arial" w:eastAsia="Calibri" w:hAnsi="Arial" w:cs="Arial"/>
          <w:sz w:val="24"/>
        </w:rPr>
        <w:t xml:space="preserve"> appropriate</w:t>
      </w:r>
      <w:r w:rsidR="00FE4642" w:rsidRPr="00B9223F">
        <w:rPr>
          <w:rFonts w:ascii="Arial" w:eastAsia="Calibri" w:hAnsi="Arial" w:cs="Arial"/>
          <w:sz w:val="24"/>
        </w:rPr>
        <w:t>’</w:t>
      </w:r>
      <w:r w:rsidR="00360497" w:rsidRPr="00B9223F">
        <w:rPr>
          <w:rFonts w:ascii="Arial" w:eastAsia="Calibri" w:hAnsi="Arial" w:cs="Arial"/>
          <w:sz w:val="24"/>
        </w:rPr>
        <w:t>,</w:t>
      </w:r>
      <w:r w:rsidR="009517F1" w:rsidRPr="00B9223F">
        <w:rPr>
          <w:rFonts w:ascii="Arial" w:eastAsia="Calibri" w:hAnsi="Arial" w:cs="Arial"/>
          <w:sz w:val="24"/>
        </w:rPr>
        <w:t xml:space="preserve"> to grant relief</w:t>
      </w:r>
      <w:r w:rsidR="00FE4642" w:rsidRPr="00B9223F">
        <w:rPr>
          <w:rFonts w:ascii="Arial" w:eastAsia="Calibri" w:hAnsi="Arial" w:cs="Arial"/>
          <w:sz w:val="24"/>
        </w:rPr>
        <w:t>.</w:t>
      </w:r>
      <w:r w:rsidR="009517F1" w:rsidRPr="00B9223F">
        <w:rPr>
          <w:rFonts w:ascii="Arial" w:eastAsia="Calibri" w:hAnsi="Arial" w:cs="Arial"/>
          <w:sz w:val="24"/>
        </w:rPr>
        <w:t xml:space="preserve"> </w:t>
      </w:r>
      <w:r w:rsidR="00360497" w:rsidRPr="00B9223F">
        <w:rPr>
          <w:rFonts w:ascii="Arial" w:eastAsia="Calibri" w:hAnsi="Arial" w:cs="Arial"/>
          <w:sz w:val="24"/>
        </w:rPr>
        <w:t>In this regard the CC</w:t>
      </w:r>
      <w:r w:rsidR="009517F1" w:rsidRPr="00B9223F">
        <w:rPr>
          <w:rFonts w:ascii="Arial" w:eastAsia="Calibri" w:hAnsi="Arial" w:cs="Arial"/>
          <w:sz w:val="24"/>
        </w:rPr>
        <w:t xml:space="preserve"> pointed out that it was settled law that the High Court had jurisdiction to hear and determine tax cases which turned on legal issues</w:t>
      </w:r>
      <w:r w:rsidR="00360497" w:rsidRPr="00B9223F">
        <w:rPr>
          <w:rFonts w:ascii="Arial" w:eastAsia="Calibri" w:hAnsi="Arial" w:cs="Arial"/>
          <w:sz w:val="24"/>
        </w:rPr>
        <w:t xml:space="preserve"> and</w:t>
      </w:r>
      <w:r w:rsidR="009517F1" w:rsidRPr="00B9223F">
        <w:rPr>
          <w:rFonts w:ascii="Arial" w:eastAsia="Calibri" w:hAnsi="Arial" w:cs="Arial"/>
          <w:sz w:val="24"/>
        </w:rPr>
        <w:t xml:space="preserve"> it referred to a long line of </w:t>
      </w:r>
      <w:r w:rsidR="00FE4642" w:rsidRPr="00B9223F">
        <w:rPr>
          <w:rFonts w:ascii="Arial" w:eastAsia="Calibri" w:hAnsi="Arial" w:cs="Arial"/>
          <w:sz w:val="24"/>
        </w:rPr>
        <w:t xml:space="preserve">tax </w:t>
      </w:r>
      <w:r w:rsidR="009517F1" w:rsidRPr="00B9223F">
        <w:rPr>
          <w:rFonts w:ascii="Arial" w:eastAsia="Calibri" w:hAnsi="Arial" w:cs="Arial"/>
          <w:sz w:val="24"/>
        </w:rPr>
        <w:t xml:space="preserve">cases in </w:t>
      </w:r>
      <w:r w:rsidR="00FE4642" w:rsidRPr="00B9223F">
        <w:rPr>
          <w:rFonts w:ascii="Arial" w:eastAsia="Calibri" w:hAnsi="Arial" w:cs="Arial"/>
          <w:sz w:val="24"/>
        </w:rPr>
        <w:t xml:space="preserve">this regard, in </w:t>
      </w:r>
      <w:r w:rsidR="009517F1" w:rsidRPr="00B9223F">
        <w:rPr>
          <w:rFonts w:ascii="Arial" w:eastAsia="Calibri" w:hAnsi="Arial" w:cs="Arial"/>
          <w:sz w:val="24"/>
        </w:rPr>
        <w:t xml:space="preserve">which </w:t>
      </w:r>
      <w:r w:rsidR="00360497" w:rsidRPr="00864BB2">
        <w:rPr>
          <w:rFonts w:ascii="Arial" w:eastAsia="Calibri" w:hAnsi="Arial" w:cs="Arial"/>
          <w:i/>
          <w:iCs/>
          <w:sz w:val="24"/>
        </w:rPr>
        <w:t>declaratory</w:t>
      </w:r>
      <w:r w:rsidR="00360497" w:rsidRPr="00B9223F">
        <w:rPr>
          <w:rFonts w:ascii="Arial" w:eastAsia="Calibri" w:hAnsi="Arial" w:cs="Arial"/>
          <w:sz w:val="24"/>
        </w:rPr>
        <w:t xml:space="preserve"> </w:t>
      </w:r>
      <w:r w:rsidR="009517F1" w:rsidRPr="00B9223F">
        <w:rPr>
          <w:rFonts w:ascii="Arial" w:eastAsia="Calibri" w:hAnsi="Arial" w:cs="Arial"/>
          <w:sz w:val="24"/>
        </w:rPr>
        <w:t xml:space="preserve">relief </w:t>
      </w:r>
      <w:r w:rsidR="00FE4642" w:rsidRPr="00B9223F">
        <w:rPr>
          <w:rFonts w:ascii="Arial" w:eastAsia="Calibri" w:hAnsi="Arial" w:cs="Arial"/>
          <w:sz w:val="24"/>
        </w:rPr>
        <w:t>was</w:t>
      </w:r>
      <w:r w:rsidR="009517F1" w:rsidRPr="00B9223F">
        <w:rPr>
          <w:rFonts w:ascii="Arial" w:eastAsia="Calibri" w:hAnsi="Arial" w:cs="Arial"/>
          <w:sz w:val="24"/>
        </w:rPr>
        <w:t xml:space="preserve"> granted</w:t>
      </w:r>
      <w:r w:rsidR="00FE4642" w:rsidRPr="00B9223F">
        <w:rPr>
          <w:rFonts w:ascii="Arial" w:eastAsia="Calibri" w:hAnsi="Arial" w:cs="Arial"/>
          <w:sz w:val="24"/>
        </w:rPr>
        <w:t xml:space="preserve"> by civil Courts</w:t>
      </w:r>
      <w:r w:rsidR="009517F1" w:rsidRPr="00B9223F">
        <w:rPr>
          <w:rFonts w:ascii="Arial" w:eastAsia="Calibri" w:hAnsi="Arial" w:cs="Arial"/>
          <w:sz w:val="24"/>
        </w:rPr>
        <w:t xml:space="preserve">. </w:t>
      </w:r>
    </w:p>
    <w:p w14:paraId="6014EE7E" w14:textId="6AD83F2B" w:rsidR="009517F1" w:rsidRPr="00B9223F" w:rsidRDefault="003D3D1A" w:rsidP="003D3D1A">
      <w:pPr>
        <w:adjustRightInd w:val="0"/>
        <w:spacing w:line="360" w:lineRule="auto"/>
        <w:ind w:left="720" w:hanging="720"/>
        <w:contextualSpacing/>
        <w:jc w:val="both"/>
        <w:textAlignment w:val="baseline"/>
        <w:rPr>
          <w:rFonts w:ascii="Arial" w:eastAsia="Calibri" w:hAnsi="Arial" w:cs="Arial"/>
          <w:sz w:val="24"/>
        </w:rPr>
      </w:pPr>
      <w:r w:rsidRPr="00B9223F">
        <w:rPr>
          <w:rFonts w:ascii="Arial" w:eastAsia="Calibri" w:hAnsi="Arial" w:cs="Arial"/>
          <w:sz w:val="24"/>
        </w:rPr>
        <w:lastRenderedPageBreak/>
        <w:t>77.</w:t>
      </w:r>
      <w:r w:rsidRPr="00B9223F">
        <w:rPr>
          <w:rFonts w:ascii="Arial" w:eastAsia="Calibri" w:hAnsi="Arial" w:cs="Arial"/>
          <w:sz w:val="24"/>
        </w:rPr>
        <w:tab/>
      </w:r>
      <w:r w:rsidR="009517F1" w:rsidRPr="00B9223F">
        <w:rPr>
          <w:rFonts w:ascii="Arial" w:eastAsia="Calibri" w:hAnsi="Arial" w:cs="Arial"/>
          <w:sz w:val="24"/>
        </w:rPr>
        <w:t>Amongst the cases</w:t>
      </w:r>
      <w:r w:rsidR="00360497" w:rsidRPr="00B9223F">
        <w:rPr>
          <w:rFonts w:ascii="Arial" w:eastAsia="Calibri" w:hAnsi="Arial" w:cs="Arial"/>
          <w:sz w:val="24"/>
        </w:rPr>
        <w:t xml:space="preserve"> that </w:t>
      </w:r>
      <w:r w:rsidR="00DF0498">
        <w:rPr>
          <w:rFonts w:ascii="Arial" w:eastAsia="Calibri" w:hAnsi="Arial" w:cs="Arial"/>
          <w:sz w:val="24"/>
        </w:rPr>
        <w:t>the CC</w:t>
      </w:r>
      <w:r w:rsidR="009517F1" w:rsidRPr="00B9223F">
        <w:rPr>
          <w:rFonts w:ascii="Arial" w:eastAsia="Calibri" w:hAnsi="Arial" w:cs="Arial"/>
          <w:sz w:val="24"/>
        </w:rPr>
        <w:t xml:space="preserve"> referred to was the decision in </w:t>
      </w:r>
      <w:r w:rsidR="008B09B2" w:rsidRPr="00B9223F">
        <w:rPr>
          <w:rFonts w:ascii="Arial" w:eastAsia="Calibri" w:hAnsi="Arial" w:cs="Arial"/>
          <w:sz w:val="24"/>
        </w:rPr>
        <w:t xml:space="preserve">1991 in </w:t>
      </w:r>
      <w:r w:rsidR="009517F1" w:rsidRPr="00B9223F">
        <w:rPr>
          <w:rFonts w:ascii="Arial" w:eastAsia="Calibri" w:hAnsi="Arial" w:cs="Arial"/>
          <w:i/>
          <w:iCs/>
          <w:sz w:val="24"/>
        </w:rPr>
        <w:t>Friedman</w:t>
      </w:r>
      <w:r w:rsidR="009517F1">
        <w:rPr>
          <w:rStyle w:val="FootnoteReference"/>
          <w:rFonts w:ascii="Arial" w:eastAsia="Calibri" w:hAnsi="Arial" w:cs="Arial"/>
          <w:sz w:val="24"/>
        </w:rPr>
        <w:footnoteReference w:id="57"/>
      </w:r>
      <w:r w:rsidR="005D1E51" w:rsidRPr="00B9223F">
        <w:rPr>
          <w:rFonts w:ascii="Arial" w:eastAsia="Calibri" w:hAnsi="Arial" w:cs="Arial"/>
          <w:sz w:val="24"/>
        </w:rPr>
        <w:t xml:space="preserve"> </w:t>
      </w:r>
      <w:r w:rsidR="009517F1" w:rsidRPr="00B9223F">
        <w:rPr>
          <w:rFonts w:ascii="Arial" w:eastAsia="Calibri" w:hAnsi="Arial" w:cs="Arial"/>
          <w:sz w:val="24"/>
        </w:rPr>
        <w:t xml:space="preserve">where </w:t>
      </w:r>
      <w:r w:rsidR="00FE4642" w:rsidRPr="00B9223F">
        <w:rPr>
          <w:rFonts w:ascii="Arial" w:eastAsia="Calibri" w:hAnsi="Arial" w:cs="Arial"/>
          <w:sz w:val="24"/>
        </w:rPr>
        <w:t xml:space="preserve">the Witwatersrand Local Division </w:t>
      </w:r>
      <w:r w:rsidR="009517F1" w:rsidRPr="00B9223F">
        <w:rPr>
          <w:rFonts w:ascii="Arial" w:eastAsia="Calibri" w:hAnsi="Arial" w:cs="Arial"/>
          <w:sz w:val="24"/>
        </w:rPr>
        <w:t xml:space="preserve">held that where a dispute involved no question of fact and was </w:t>
      </w:r>
      <w:r w:rsidR="008B09B2" w:rsidRPr="00B9223F">
        <w:rPr>
          <w:rFonts w:ascii="Arial" w:eastAsia="Calibri" w:hAnsi="Arial" w:cs="Arial"/>
          <w:sz w:val="24"/>
        </w:rPr>
        <w:t>‘</w:t>
      </w:r>
      <w:r w:rsidR="009517F1" w:rsidRPr="00B9223F">
        <w:rPr>
          <w:rFonts w:ascii="Arial" w:eastAsia="Calibri" w:hAnsi="Arial" w:cs="Arial"/>
          <w:sz w:val="24"/>
        </w:rPr>
        <w:t>simply</w:t>
      </w:r>
      <w:r w:rsidR="008B09B2" w:rsidRPr="00B9223F">
        <w:rPr>
          <w:rFonts w:ascii="Arial" w:eastAsia="Calibri" w:hAnsi="Arial" w:cs="Arial"/>
          <w:sz w:val="24"/>
        </w:rPr>
        <w:t>’</w:t>
      </w:r>
      <w:r w:rsidR="009517F1" w:rsidRPr="00B9223F">
        <w:rPr>
          <w:rFonts w:ascii="Arial" w:eastAsia="Calibri" w:hAnsi="Arial" w:cs="Arial"/>
          <w:sz w:val="24"/>
        </w:rPr>
        <w:t xml:space="preserve"> </w:t>
      </w:r>
      <w:r w:rsidR="00FE4642" w:rsidRPr="00B9223F">
        <w:rPr>
          <w:rFonts w:ascii="Arial" w:eastAsia="Calibri" w:hAnsi="Arial" w:cs="Arial"/>
          <w:sz w:val="24"/>
        </w:rPr>
        <w:t>one</w:t>
      </w:r>
      <w:r w:rsidR="009517F1" w:rsidRPr="00B9223F">
        <w:rPr>
          <w:rFonts w:ascii="Arial" w:eastAsia="Calibri" w:hAnsi="Arial" w:cs="Arial"/>
          <w:sz w:val="24"/>
        </w:rPr>
        <w:t xml:space="preserve"> of law</w:t>
      </w:r>
      <w:r w:rsidR="00FE4642" w:rsidRPr="00B9223F">
        <w:rPr>
          <w:rFonts w:ascii="Arial" w:eastAsia="Calibri" w:hAnsi="Arial" w:cs="Arial"/>
          <w:sz w:val="24"/>
        </w:rPr>
        <w:t>,</w:t>
      </w:r>
      <w:r w:rsidR="009517F1" w:rsidRPr="00B9223F">
        <w:rPr>
          <w:rFonts w:ascii="Arial" w:eastAsia="Calibri" w:hAnsi="Arial" w:cs="Arial"/>
          <w:sz w:val="24"/>
        </w:rPr>
        <w:t xml:space="preserve"> the </w:t>
      </w:r>
      <w:r w:rsidR="00FE4642" w:rsidRPr="00B9223F">
        <w:rPr>
          <w:rFonts w:ascii="Arial" w:eastAsia="Calibri" w:hAnsi="Arial" w:cs="Arial"/>
          <w:sz w:val="24"/>
        </w:rPr>
        <w:t xml:space="preserve">Commissioner </w:t>
      </w:r>
      <w:r w:rsidR="009517F1" w:rsidRPr="00B9223F">
        <w:rPr>
          <w:rFonts w:ascii="Arial" w:eastAsia="Calibri" w:hAnsi="Arial" w:cs="Arial"/>
          <w:sz w:val="24"/>
        </w:rPr>
        <w:t xml:space="preserve">and the </w:t>
      </w:r>
      <w:r w:rsidR="00FE4642" w:rsidRPr="00B9223F">
        <w:rPr>
          <w:rFonts w:ascii="Arial" w:eastAsia="Calibri" w:hAnsi="Arial" w:cs="Arial"/>
          <w:sz w:val="24"/>
        </w:rPr>
        <w:t xml:space="preserve">Tax Court </w:t>
      </w:r>
      <w:r w:rsidR="009517F1" w:rsidRPr="00B9223F">
        <w:rPr>
          <w:rFonts w:ascii="Arial" w:eastAsia="Calibri" w:hAnsi="Arial" w:cs="Arial"/>
          <w:sz w:val="24"/>
        </w:rPr>
        <w:t xml:space="preserve">were not the only competent authorities to </w:t>
      </w:r>
      <w:r w:rsidR="00DF0498">
        <w:rPr>
          <w:rFonts w:ascii="Arial" w:eastAsia="Calibri" w:hAnsi="Arial" w:cs="Arial"/>
          <w:sz w:val="24"/>
        </w:rPr>
        <w:t>deal with it</w:t>
      </w:r>
      <w:r w:rsidR="00E22FF3">
        <w:rPr>
          <w:rFonts w:ascii="Arial" w:eastAsia="Calibri" w:hAnsi="Arial" w:cs="Arial"/>
          <w:sz w:val="24"/>
        </w:rPr>
        <w:t>-</w:t>
      </w:r>
      <w:r w:rsidR="009517F1" w:rsidRPr="00B9223F">
        <w:rPr>
          <w:rFonts w:ascii="Arial" w:eastAsia="Calibri" w:hAnsi="Arial" w:cs="Arial"/>
          <w:sz w:val="24"/>
        </w:rPr>
        <w:t xml:space="preserve"> when a </w:t>
      </w:r>
      <w:r w:rsidR="009517F1" w:rsidRPr="00864BB2">
        <w:rPr>
          <w:rFonts w:ascii="Arial" w:eastAsia="Calibri" w:hAnsi="Arial" w:cs="Arial"/>
          <w:i/>
          <w:iCs/>
          <w:sz w:val="24"/>
        </w:rPr>
        <w:t>declaratory order</w:t>
      </w:r>
      <w:r w:rsidR="009517F1" w:rsidRPr="00B9223F">
        <w:rPr>
          <w:rFonts w:ascii="Arial" w:eastAsia="Calibri" w:hAnsi="Arial" w:cs="Arial"/>
          <w:sz w:val="24"/>
        </w:rPr>
        <w:t xml:space="preserve"> was sought</w:t>
      </w:r>
      <w:r w:rsidR="00FE4642" w:rsidRPr="00B9223F">
        <w:rPr>
          <w:rFonts w:ascii="Arial" w:eastAsia="Calibri" w:hAnsi="Arial" w:cs="Arial"/>
          <w:sz w:val="24"/>
        </w:rPr>
        <w:t xml:space="preserve"> a civil Court had the power to do so. </w:t>
      </w:r>
      <w:r w:rsidR="00934545">
        <w:rPr>
          <w:rFonts w:ascii="Arial" w:eastAsia="Calibri" w:hAnsi="Arial" w:cs="Arial"/>
          <w:sz w:val="24"/>
        </w:rPr>
        <w:t>Consequently</w:t>
      </w:r>
      <w:r w:rsidR="00934545" w:rsidRPr="00B9223F">
        <w:rPr>
          <w:rFonts w:ascii="Arial" w:eastAsia="Calibri" w:hAnsi="Arial" w:cs="Arial"/>
          <w:sz w:val="24"/>
        </w:rPr>
        <w:t xml:space="preserve">, </w:t>
      </w:r>
      <w:r w:rsidR="00152173">
        <w:rPr>
          <w:rFonts w:ascii="Arial" w:eastAsia="Calibri" w:hAnsi="Arial" w:cs="Arial"/>
          <w:sz w:val="24"/>
        </w:rPr>
        <w:t>the CC</w:t>
      </w:r>
      <w:r w:rsidR="00934545" w:rsidRPr="00B9223F">
        <w:rPr>
          <w:rFonts w:ascii="Arial" w:eastAsia="Calibri" w:hAnsi="Arial" w:cs="Arial"/>
          <w:sz w:val="24"/>
        </w:rPr>
        <w:t xml:space="preserve"> held that a decision of the Commissioner to make a VAT assessment and to levy additional tax under the VAT Act was subject to judicial intervention, in </w:t>
      </w:r>
      <w:r w:rsidR="00E22FF3">
        <w:rPr>
          <w:rFonts w:ascii="Arial" w:eastAsia="Calibri" w:hAnsi="Arial" w:cs="Arial"/>
          <w:sz w:val="24"/>
        </w:rPr>
        <w:t>‘</w:t>
      </w:r>
      <w:r w:rsidR="00934545" w:rsidRPr="00B9223F">
        <w:rPr>
          <w:rFonts w:ascii="Arial" w:eastAsia="Calibri" w:hAnsi="Arial" w:cs="Arial"/>
          <w:sz w:val="24"/>
        </w:rPr>
        <w:t xml:space="preserve">certain </w:t>
      </w:r>
      <w:r w:rsidR="00E22FF3" w:rsidRPr="00B9223F">
        <w:rPr>
          <w:rFonts w:ascii="Arial" w:eastAsia="Calibri" w:hAnsi="Arial" w:cs="Arial"/>
          <w:sz w:val="24"/>
        </w:rPr>
        <w:t>circumstances</w:t>
      </w:r>
      <w:r w:rsidR="00E22FF3">
        <w:rPr>
          <w:rFonts w:ascii="Arial" w:eastAsia="Calibri" w:hAnsi="Arial" w:cs="Arial"/>
          <w:sz w:val="24"/>
        </w:rPr>
        <w:t>’</w:t>
      </w:r>
      <w:r w:rsidR="00934545" w:rsidRPr="00B9223F">
        <w:rPr>
          <w:rFonts w:ascii="Arial" w:eastAsia="Calibri" w:hAnsi="Arial" w:cs="Arial"/>
          <w:sz w:val="24"/>
        </w:rPr>
        <w:t xml:space="preserve">.  </w:t>
      </w:r>
    </w:p>
    <w:p w14:paraId="792838F7" w14:textId="331C96F7" w:rsidR="00864BB2" w:rsidRPr="00E22FF3" w:rsidRDefault="003D3D1A" w:rsidP="003D3D1A">
      <w:pPr>
        <w:adjustRightInd w:val="0"/>
        <w:spacing w:line="360" w:lineRule="auto"/>
        <w:ind w:left="720" w:hanging="720"/>
        <w:contextualSpacing/>
        <w:jc w:val="both"/>
        <w:textAlignment w:val="baseline"/>
        <w:rPr>
          <w:rFonts w:ascii="Arial" w:eastAsia="Calibri" w:hAnsi="Arial" w:cs="Arial"/>
          <w:sz w:val="24"/>
        </w:rPr>
      </w:pPr>
      <w:r w:rsidRPr="00E22FF3">
        <w:rPr>
          <w:rFonts w:ascii="Arial" w:eastAsia="Calibri" w:hAnsi="Arial" w:cs="Arial"/>
          <w:sz w:val="24"/>
        </w:rPr>
        <w:t>78.</w:t>
      </w:r>
      <w:r w:rsidRPr="00E22FF3">
        <w:rPr>
          <w:rFonts w:ascii="Arial" w:eastAsia="Calibri" w:hAnsi="Arial" w:cs="Arial"/>
          <w:sz w:val="24"/>
        </w:rPr>
        <w:tab/>
      </w:r>
      <w:r w:rsidR="00FE4642" w:rsidRPr="00E22FF3">
        <w:rPr>
          <w:rFonts w:ascii="Arial" w:eastAsia="Calibri" w:hAnsi="Arial" w:cs="Arial"/>
          <w:sz w:val="24"/>
        </w:rPr>
        <w:t>W</w:t>
      </w:r>
      <w:r w:rsidR="009517F1" w:rsidRPr="00E22FF3">
        <w:rPr>
          <w:rFonts w:ascii="Arial" w:eastAsia="Calibri" w:hAnsi="Arial" w:cs="Arial"/>
          <w:sz w:val="24"/>
        </w:rPr>
        <w:t xml:space="preserve">hat the </w:t>
      </w:r>
      <w:r w:rsidR="00ED7DF2">
        <w:rPr>
          <w:rFonts w:ascii="Arial" w:eastAsia="Calibri" w:hAnsi="Arial" w:cs="Arial"/>
          <w:sz w:val="24"/>
        </w:rPr>
        <w:t>C</w:t>
      </w:r>
      <w:r w:rsidR="009517F1" w:rsidRPr="00E22FF3">
        <w:rPr>
          <w:rFonts w:ascii="Arial" w:eastAsia="Calibri" w:hAnsi="Arial" w:cs="Arial"/>
          <w:sz w:val="24"/>
        </w:rPr>
        <w:t xml:space="preserve">ourt in </w:t>
      </w:r>
      <w:r w:rsidR="009517F1" w:rsidRPr="00E22FF3">
        <w:rPr>
          <w:rFonts w:ascii="Arial" w:eastAsia="Calibri" w:hAnsi="Arial" w:cs="Arial"/>
          <w:i/>
          <w:iCs/>
          <w:sz w:val="24"/>
        </w:rPr>
        <w:t>ABSA</w:t>
      </w:r>
      <w:r w:rsidR="009517F1" w:rsidRPr="00E22FF3">
        <w:rPr>
          <w:rFonts w:ascii="Arial" w:eastAsia="Calibri" w:hAnsi="Arial" w:cs="Arial"/>
          <w:sz w:val="24"/>
        </w:rPr>
        <w:t xml:space="preserve"> appears to have failed to </w:t>
      </w:r>
      <w:r w:rsidR="00E22FF3" w:rsidRPr="00E22FF3">
        <w:rPr>
          <w:rFonts w:ascii="Arial" w:eastAsia="Calibri" w:hAnsi="Arial" w:cs="Arial"/>
          <w:sz w:val="24"/>
        </w:rPr>
        <w:t>appreciate</w:t>
      </w:r>
      <w:r w:rsidR="009517F1" w:rsidRPr="00E22FF3">
        <w:rPr>
          <w:rFonts w:ascii="Arial" w:eastAsia="Calibri" w:hAnsi="Arial" w:cs="Arial"/>
          <w:sz w:val="24"/>
        </w:rPr>
        <w:t xml:space="preserve"> </w:t>
      </w:r>
      <w:r w:rsidR="00E22FF3" w:rsidRPr="00E22FF3">
        <w:rPr>
          <w:rFonts w:ascii="Arial" w:eastAsia="Calibri" w:hAnsi="Arial" w:cs="Arial"/>
          <w:sz w:val="24"/>
        </w:rPr>
        <w:t>i</w:t>
      </w:r>
      <w:r w:rsidR="009517F1" w:rsidRPr="00E22FF3">
        <w:rPr>
          <w:rFonts w:ascii="Arial" w:eastAsia="Calibri" w:hAnsi="Arial" w:cs="Arial"/>
          <w:sz w:val="24"/>
        </w:rPr>
        <w:t xml:space="preserve">s </w:t>
      </w:r>
      <w:r w:rsidR="004C652B" w:rsidRPr="00E22FF3">
        <w:rPr>
          <w:rFonts w:ascii="Arial" w:eastAsia="Calibri" w:hAnsi="Arial" w:cs="Arial"/>
          <w:sz w:val="24"/>
        </w:rPr>
        <w:t xml:space="preserve">not only that the common law precedent </w:t>
      </w:r>
      <w:r w:rsidR="00934545" w:rsidRPr="00E22FF3">
        <w:rPr>
          <w:rFonts w:ascii="Arial" w:eastAsia="Calibri" w:hAnsi="Arial" w:cs="Arial"/>
          <w:sz w:val="24"/>
        </w:rPr>
        <w:t xml:space="preserve">referred to </w:t>
      </w:r>
      <w:r w:rsidR="004C652B" w:rsidRPr="00E22FF3">
        <w:rPr>
          <w:rFonts w:ascii="Arial" w:eastAsia="Calibri" w:hAnsi="Arial" w:cs="Arial"/>
          <w:sz w:val="24"/>
        </w:rPr>
        <w:t>in</w:t>
      </w:r>
      <w:r w:rsidR="009517F1" w:rsidRPr="00E22FF3">
        <w:rPr>
          <w:rFonts w:ascii="Arial" w:eastAsia="Calibri" w:hAnsi="Arial" w:cs="Arial"/>
          <w:sz w:val="24"/>
        </w:rPr>
        <w:t xml:space="preserve"> </w:t>
      </w:r>
      <w:r w:rsidR="00FE4642" w:rsidRPr="00E22FF3">
        <w:rPr>
          <w:rFonts w:ascii="Arial" w:eastAsia="Calibri" w:hAnsi="Arial" w:cs="Arial"/>
          <w:i/>
          <w:iCs/>
          <w:sz w:val="24"/>
        </w:rPr>
        <w:t>Metcash</w:t>
      </w:r>
      <w:r w:rsidR="009517F1" w:rsidRPr="00E22FF3">
        <w:rPr>
          <w:rFonts w:ascii="Arial" w:eastAsia="Calibri" w:hAnsi="Arial" w:cs="Arial"/>
          <w:sz w:val="24"/>
        </w:rPr>
        <w:t xml:space="preserve"> </w:t>
      </w:r>
      <w:r w:rsidR="004C652B" w:rsidRPr="00E22FF3">
        <w:rPr>
          <w:rFonts w:ascii="Arial" w:eastAsia="Calibri" w:hAnsi="Arial" w:cs="Arial"/>
          <w:sz w:val="24"/>
        </w:rPr>
        <w:t xml:space="preserve">was </w:t>
      </w:r>
      <w:r w:rsidR="00152173">
        <w:rPr>
          <w:rFonts w:ascii="Arial" w:eastAsia="Calibri" w:hAnsi="Arial" w:cs="Arial"/>
          <w:sz w:val="24"/>
        </w:rPr>
        <w:t xml:space="preserve">expressed </w:t>
      </w:r>
      <w:r w:rsidR="004C652B" w:rsidRPr="00E22FF3">
        <w:rPr>
          <w:rFonts w:ascii="Arial" w:eastAsia="Calibri" w:hAnsi="Arial" w:cs="Arial"/>
          <w:sz w:val="24"/>
        </w:rPr>
        <w:t xml:space="preserve">in relation to the power of civil Courts </w:t>
      </w:r>
      <w:r w:rsidR="008B792F" w:rsidRPr="00E22FF3">
        <w:rPr>
          <w:rFonts w:ascii="Arial" w:eastAsia="Calibri" w:hAnsi="Arial" w:cs="Arial"/>
          <w:sz w:val="24"/>
        </w:rPr>
        <w:t xml:space="preserve">in tax-related matters </w:t>
      </w:r>
      <w:r w:rsidR="004C652B" w:rsidRPr="00E22FF3">
        <w:rPr>
          <w:rFonts w:ascii="Arial" w:eastAsia="Calibri" w:hAnsi="Arial" w:cs="Arial"/>
          <w:sz w:val="24"/>
        </w:rPr>
        <w:t>to grant declar</w:t>
      </w:r>
      <w:r w:rsidR="00934545" w:rsidRPr="00E22FF3">
        <w:rPr>
          <w:rFonts w:ascii="Arial" w:eastAsia="Calibri" w:hAnsi="Arial" w:cs="Arial"/>
          <w:sz w:val="24"/>
        </w:rPr>
        <w:t>a</w:t>
      </w:r>
      <w:r w:rsidR="004C652B" w:rsidRPr="00E22FF3">
        <w:rPr>
          <w:rFonts w:ascii="Arial" w:eastAsia="Calibri" w:hAnsi="Arial" w:cs="Arial"/>
          <w:sz w:val="24"/>
        </w:rPr>
        <w:t>tory relief</w:t>
      </w:r>
      <w:r w:rsidR="00934545" w:rsidRPr="00E22FF3">
        <w:rPr>
          <w:rFonts w:ascii="Arial" w:eastAsia="Calibri" w:hAnsi="Arial" w:cs="Arial"/>
          <w:sz w:val="24"/>
        </w:rPr>
        <w:t xml:space="preserve"> and not in relation t</w:t>
      </w:r>
      <w:r w:rsidR="00E22FF3" w:rsidRPr="00E22FF3">
        <w:rPr>
          <w:rFonts w:ascii="Arial" w:eastAsia="Calibri" w:hAnsi="Arial" w:cs="Arial"/>
          <w:sz w:val="24"/>
        </w:rPr>
        <w:t xml:space="preserve">o its power of review, </w:t>
      </w:r>
      <w:r w:rsidR="00934545" w:rsidRPr="00E22FF3">
        <w:rPr>
          <w:rFonts w:ascii="Arial" w:eastAsia="Calibri" w:hAnsi="Arial" w:cs="Arial"/>
          <w:sz w:val="24"/>
        </w:rPr>
        <w:t>but</w:t>
      </w:r>
      <w:r w:rsidR="004C652B" w:rsidRPr="00E22FF3">
        <w:rPr>
          <w:rFonts w:ascii="Arial" w:eastAsia="Calibri" w:hAnsi="Arial" w:cs="Arial"/>
          <w:sz w:val="24"/>
        </w:rPr>
        <w:t xml:space="preserve"> </w:t>
      </w:r>
      <w:r w:rsidR="00DF0498">
        <w:rPr>
          <w:rFonts w:ascii="Arial" w:eastAsia="Calibri" w:hAnsi="Arial" w:cs="Arial"/>
          <w:sz w:val="24"/>
        </w:rPr>
        <w:t xml:space="preserve">also </w:t>
      </w:r>
      <w:r w:rsidR="00E22FF3" w:rsidRPr="00E22FF3">
        <w:rPr>
          <w:rFonts w:ascii="Arial" w:eastAsia="Calibri" w:hAnsi="Arial" w:cs="Arial"/>
          <w:sz w:val="24"/>
        </w:rPr>
        <w:t xml:space="preserve">that </w:t>
      </w:r>
      <w:r w:rsidR="00F338FF" w:rsidRPr="00F338FF">
        <w:rPr>
          <w:rFonts w:ascii="Arial" w:eastAsia="Calibri" w:hAnsi="Arial" w:cs="Arial"/>
          <w:i/>
          <w:iCs/>
          <w:sz w:val="24"/>
        </w:rPr>
        <w:t>Metcash</w:t>
      </w:r>
      <w:r w:rsidR="00F338FF">
        <w:rPr>
          <w:rFonts w:ascii="Arial" w:eastAsia="Calibri" w:hAnsi="Arial" w:cs="Arial"/>
          <w:sz w:val="24"/>
        </w:rPr>
        <w:t xml:space="preserve"> </w:t>
      </w:r>
      <w:r w:rsidR="009517F1" w:rsidRPr="00E22FF3">
        <w:rPr>
          <w:rFonts w:ascii="Arial" w:eastAsia="Calibri" w:hAnsi="Arial" w:cs="Arial"/>
          <w:sz w:val="24"/>
        </w:rPr>
        <w:t xml:space="preserve">was decided in 2000, some 11 years before the passing of the </w:t>
      </w:r>
      <w:r w:rsidR="00102743" w:rsidRPr="00E22FF3">
        <w:rPr>
          <w:rFonts w:ascii="Arial" w:eastAsia="Calibri" w:hAnsi="Arial" w:cs="Arial"/>
          <w:sz w:val="24"/>
        </w:rPr>
        <w:t xml:space="preserve">TAA, </w:t>
      </w:r>
      <w:r w:rsidR="00864BB2" w:rsidRPr="00E22FF3">
        <w:rPr>
          <w:rFonts w:ascii="Arial" w:eastAsia="Calibri" w:hAnsi="Arial" w:cs="Arial"/>
          <w:sz w:val="24"/>
        </w:rPr>
        <w:t xml:space="preserve">whereby </w:t>
      </w:r>
      <w:r w:rsidR="00102743" w:rsidRPr="00E22FF3">
        <w:rPr>
          <w:rFonts w:ascii="Arial" w:eastAsia="Calibri" w:hAnsi="Arial" w:cs="Arial"/>
          <w:sz w:val="24"/>
        </w:rPr>
        <w:t>s 1</w:t>
      </w:r>
      <w:r w:rsidR="009517F1" w:rsidRPr="00E22FF3">
        <w:rPr>
          <w:rFonts w:ascii="Arial" w:eastAsia="Calibri" w:hAnsi="Arial" w:cs="Arial"/>
          <w:sz w:val="24"/>
        </w:rPr>
        <w:t>05 was introduced</w:t>
      </w:r>
      <w:r w:rsidR="00471208">
        <w:rPr>
          <w:rFonts w:ascii="Arial" w:eastAsia="Calibri" w:hAnsi="Arial" w:cs="Arial"/>
          <w:sz w:val="24"/>
        </w:rPr>
        <w:t>;</w:t>
      </w:r>
      <w:r w:rsidR="009517F1" w:rsidRPr="00E22FF3">
        <w:rPr>
          <w:rFonts w:ascii="Arial" w:eastAsia="Calibri" w:hAnsi="Arial" w:cs="Arial"/>
          <w:sz w:val="24"/>
        </w:rPr>
        <w:t xml:space="preserve"> </w:t>
      </w:r>
      <w:r w:rsidR="00102743" w:rsidRPr="00E22FF3">
        <w:rPr>
          <w:rFonts w:ascii="Arial" w:eastAsia="Calibri" w:hAnsi="Arial" w:cs="Arial"/>
          <w:sz w:val="24"/>
        </w:rPr>
        <w:t xml:space="preserve">a provision </w:t>
      </w:r>
      <w:r w:rsidR="009517F1" w:rsidRPr="00E22FF3">
        <w:rPr>
          <w:rFonts w:ascii="Arial" w:eastAsia="Calibri" w:hAnsi="Arial" w:cs="Arial"/>
          <w:sz w:val="24"/>
        </w:rPr>
        <w:t xml:space="preserve">which </w:t>
      </w:r>
      <w:r w:rsidR="00102743" w:rsidRPr="00E22FF3">
        <w:rPr>
          <w:rFonts w:ascii="Arial" w:eastAsia="Calibri" w:hAnsi="Arial" w:cs="Arial"/>
          <w:sz w:val="24"/>
        </w:rPr>
        <w:t>w</w:t>
      </w:r>
      <w:r w:rsidR="009517F1" w:rsidRPr="00E22FF3">
        <w:rPr>
          <w:rFonts w:ascii="Arial" w:eastAsia="Calibri" w:hAnsi="Arial" w:cs="Arial"/>
          <w:sz w:val="24"/>
        </w:rPr>
        <w:t>as later amended in 2015 to make it clear that in regard to tax decisions and assessments which can be contested by way of objection and appeal in terms of the TAA, the default route for a taxpayer is to exercise these internal remedies</w:t>
      </w:r>
      <w:r w:rsidR="008B09B2" w:rsidRPr="00E22FF3">
        <w:rPr>
          <w:rFonts w:ascii="Arial" w:eastAsia="Calibri" w:hAnsi="Arial" w:cs="Arial"/>
          <w:sz w:val="24"/>
        </w:rPr>
        <w:t>,</w:t>
      </w:r>
      <w:r w:rsidR="009517F1" w:rsidRPr="00E22FF3">
        <w:rPr>
          <w:rFonts w:ascii="Arial" w:eastAsia="Calibri" w:hAnsi="Arial" w:cs="Arial"/>
          <w:sz w:val="24"/>
        </w:rPr>
        <w:t xml:space="preserve"> </w:t>
      </w:r>
      <w:r w:rsidR="00131555">
        <w:rPr>
          <w:rFonts w:ascii="Arial" w:eastAsia="Calibri" w:hAnsi="Arial" w:cs="Arial"/>
          <w:sz w:val="24"/>
        </w:rPr>
        <w:t xml:space="preserve">and </w:t>
      </w:r>
      <w:r w:rsidR="00E22FF3" w:rsidRPr="00E22FF3">
        <w:rPr>
          <w:rFonts w:ascii="Arial" w:eastAsia="Calibri" w:hAnsi="Arial" w:cs="Arial"/>
          <w:sz w:val="24"/>
        </w:rPr>
        <w:t>a taxpayer may only be heard by the High Court in such matters if they have obtained an order from it allowing them to do so.</w:t>
      </w:r>
      <w:r w:rsidR="00A13143" w:rsidRPr="00E22FF3">
        <w:rPr>
          <w:rFonts w:ascii="Arial" w:eastAsia="Calibri" w:hAnsi="Arial" w:cs="Arial"/>
          <w:sz w:val="24"/>
        </w:rPr>
        <w:t xml:space="preserve"> Until then, the High Court does not have jurisdiction in respect of granting </w:t>
      </w:r>
      <w:r w:rsidR="00102743" w:rsidRPr="00E22FF3">
        <w:rPr>
          <w:rFonts w:ascii="Arial" w:eastAsia="Calibri" w:hAnsi="Arial" w:cs="Arial"/>
          <w:sz w:val="24"/>
        </w:rPr>
        <w:t xml:space="preserve">any </w:t>
      </w:r>
      <w:r w:rsidR="00A13143" w:rsidRPr="00E22FF3">
        <w:rPr>
          <w:rFonts w:ascii="Arial" w:eastAsia="Calibri" w:hAnsi="Arial" w:cs="Arial"/>
          <w:sz w:val="24"/>
        </w:rPr>
        <w:t xml:space="preserve">relief which might otherwise be obtained by way of </w:t>
      </w:r>
      <w:r w:rsidR="00102743" w:rsidRPr="00E22FF3">
        <w:rPr>
          <w:rFonts w:ascii="Arial" w:eastAsia="Calibri" w:hAnsi="Arial" w:cs="Arial"/>
          <w:sz w:val="24"/>
        </w:rPr>
        <w:t xml:space="preserve">the </w:t>
      </w:r>
      <w:r w:rsidR="00A13143" w:rsidRPr="00E22FF3">
        <w:rPr>
          <w:rFonts w:ascii="Arial" w:eastAsia="Calibri" w:hAnsi="Arial" w:cs="Arial"/>
          <w:sz w:val="24"/>
        </w:rPr>
        <w:t xml:space="preserve">objection and appeal </w:t>
      </w:r>
      <w:r w:rsidR="00102743" w:rsidRPr="00E22FF3">
        <w:rPr>
          <w:rFonts w:ascii="Arial" w:eastAsia="Calibri" w:hAnsi="Arial" w:cs="Arial"/>
          <w:sz w:val="24"/>
        </w:rPr>
        <w:t xml:space="preserve">process </w:t>
      </w:r>
      <w:r w:rsidR="00A13143" w:rsidRPr="00E22FF3">
        <w:rPr>
          <w:rFonts w:ascii="Arial" w:eastAsia="Calibri" w:hAnsi="Arial" w:cs="Arial"/>
          <w:sz w:val="24"/>
        </w:rPr>
        <w:t>in terms of the TAA.</w:t>
      </w:r>
      <w:r w:rsidR="00E22FF3">
        <w:rPr>
          <w:rFonts w:ascii="Arial" w:eastAsia="Calibri" w:hAnsi="Arial" w:cs="Arial"/>
          <w:sz w:val="24"/>
        </w:rPr>
        <w:t xml:space="preserve"> </w:t>
      </w:r>
      <w:r w:rsidR="00102743" w:rsidRPr="00E22FF3">
        <w:rPr>
          <w:rFonts w:ascii="Arial" w:eastAsia="Calibri" w:hAnsi="Arial" w:cs="Arial"/>
          <w:sz w:val="24"/>
        </w:rPr>
        <w:t>Thus,</w:t>
      </w:r>
      <w:r w:rsidR="008B792F">
        <w:rPr>
          <w:rFonts w:ascii="Arial" w:eastAsia="Calibri" w:hAnsi="Arial" w:cs="Arial"/>
          <w:sz w:val="24"/>
        </w:rPr>
        <w:t xml:space="preserve">   </w:t>
      </w:r>
      <w:r w:rsidR="00152173">
        <w:rPr>
          <w:rFonts w:ascii="Arial" w:eastAsia="Calibri" w:hAnsi="Arial" w:cs="Arial"/>
          <w:sz w:val="24"/>
        </w:rPr>
        <w:t xml:space="preserve"> </w:t>
      </w:r>
      <w:r w:rsidR="00102743" w:rsidRPr="00E22FF3">
        <w:rPr>
          <w:rFonts w:ascii="Arial" w:eastAsia="Calibri" w:hAnsi="Arial" w:cs="Arial"/>
          <w:sz w:val="24"/>
        </w:rPr>
        <w:t xml:space="preserve">s </w:t>
      </w:r>
      <w:r w:rsidR="00A13143" w:rsidRPr="00E22FF3">
        <w:rPr>
          <w:rFonts w:ascii="Arial" w:eastAsia="Calibri" w:hAnsi="Arial" w:cs="Arial"/>
          <w:sz w:val="24"/>
        </w:rPr>
        <w:t xml:space="preserve">105 </w:t>
      </w:r>
      <w:r w:rsidR="00102743" w:rsidRPr="00E22FF3">
        <w:rPr>
          <w:rFonts w:ascii="Arial" w:eastAsia="Calibri" w:hAnsi="Arial" w:cs="Arial"/>
          <w:sz w:val="24"/>
        </w:rPr>
        <w:t>(</w:t>
      </w:r>
      <w:r w:rsidR="00A13143" w:rsidRPr="00E22FF3">
        <w:rPr>
          <w:rFonts w:ascii="Arial" w:eastAsia="Calibri" w:hAnsi="Arial" w:cs="Arial"/>
          <w:sz w:val="24"/>
        </w:rPr>
        <w:t>as amended</w:t>
      </w:r>
      <w:r w:rsidR="00102743" w:rsidRPr="00E22FF3">
        <w:rPr>
          <w:rFonts w:ascii="Arial" w:eastAsia="Calibri" w:hAnsi="Arial" w:cs="Arial"/>
          <w:sz w:val="24"/>
        </w:rPr>
        <w:t>)</w:t>
      </w:r>
      <w:r w:rsidR="00A13143" w:rsidRPr="00E22FF3">
        <w:rPr>
          <w:rFonts w:ascii="Arial" w:eastAsia="Calibri" w:hAnsi="Arial" w:cs="Arial"/>
          <w:sz w:val="24"/>
        </w:rPr>
        <w:t xml:space="preserve"> has </w:t>
      </w:r>
      <w:r w:rsidR="00F338FF">
        <w:rPr>
          <w:rFonts w:ascii="Arial" w:eastAsia="Calibri" w:hAnsi="Arial" w:cs="Arial"/>
          <w:sz w:val="24"/>
        </w:rPr>
        <w:t xml:space="preserve">now </w:t>
      </w:r>
      <w:r w:rsidR="00A13143" w:rsidRPr="00E22FF3">
        <w:rPr>
          <w:rFonts w:ascii="Arial" w:eastAsia="Calibri" w:hAnsi="Arial" w:cs="Arial"/>
          <w:sz w:val="24"/>
        </w:rPr>
        <w:t xml:space="preserve">considerably restricted a taxpayer’s ability to approach a civil </w:t>
      </w:r>
      <w:r w:rsidR="00102743" w:rsidRPr="00E22FF3">
        <w:rPr>
          <w:rFonts w:ascii="Arial" w:eastAsia="Calibri" w:hAnsi="Arial" w:cs="Arial"/>
          <w:sz w:val="24"/>
        </w:rPr>
        <w:t>C</w:t>
      </w:r>
      <w:r w:rsidR="00A13143" w:rsidRPr="00E22FF3">
        <w:rPr>
          <w:rFonts w:ascii="Arial" w:eastAsia="Calibri" w:hAnsi="Arial" w:cs="Arial"/>
          <w:sz w:val="24"/>
        </w:rPr>
        <w:t>ourt for relief</w:t>
      </w:r>
      <w:r w:rsidR="00102743" w:rsidRPr="00E22FF3">
        <w:rPr>
          <w:rFonts w:ascii="Arial" w:eastAsia="Calibri" w:hAnsi="Arial" w:cs="Arial"/>
          <w:sz w:val="24"/>
        </w:rPr>
        <w:t>,</w:t>
      </w:r>
      <w:r w:rsidR="00A13143" w:rsidRPr="00E22FF3">
        <w:rPr>
          <w:rFonts w:ascii="Arial" w:eastAsia="Calibri" w:hAnsi="Arial" w:cs="Arial"/>
          <w:sz w:val="24"/>
        </w:rPr>
        <w:t xml:space="preserve"> in such </w:t>
      </w:r>
      <w:r w:rsidR="00102743" w:rsidRPr="00E22FF3">
        <w:rPr>
          <w:rFonts w:ascii="Arial" w:eastAsia="Calibri" w:hAnsi="Arial" w:cs="Arial"/>
          <w:sz w:val="24"/>
        </w:rPr>
        <w:t xml:space="preserve">matters, contrary to the position that </w:t>
      </w:r>
      <w:r w:rsidR="00864BB2" w:rsidRPr="00E22FF3">
        <w:rPr>
          <w:rFonts w:ascii="Arial" w:eastAsia="Calibri" w:hAnsi="Arial" w:cs="Arial"/>
          <w:sz w:val="24"/>
        </w:rPr>
        <w:t xml:space="preserve">previously </w:t>
      </w:r>
      <w:r w:rsidR="00102743" w:rsidRPr="00E22FF3">
        <w:rPr>
          <w:rFonts w:ascii="Arial" w:eastAsia="Calibri" w:hAnsi="Arial" w:cs="Arial"/>
          <w:sz w:val="24"/>
        </w:rPr>
        <w:t>prevailed at common law</w:t>
      </w:r>
      <w:r w:rsidR="00864BB2" w:rsidRPr="00E22FF3">
        <w:rPr>
          <w:rFonts w:ascii="Arial" w:eastAsia="Calibri" w:hAnsi="Arial" w:cs="Arial"/>
          <w:sz w:val="24"/>
        </w:rPr>
        <w:t>, as per the decisions referred to</w:t>
      </w:r>
      <w:r w:rsidR="00F338FF">
        <w:rPr>
          <w:rFonts w:ascii="Arial" w:eastAsia="Calibri" w:hAnsi="Arial" w:cs="Arial"/>
          <w:sz w:val="24"/>
        </w:rPr>
        <w:t xml:space="preserve"> in </w:t>
      </w:r>
      <w:r w:rsidR="00F338FF" w:rsidRPr="00F338FF">
        <w:rPr>
          <w:rFonts w:ascii="Arial" w:eastAsia="Calibri" w:hAnsi="Arial" w:cs="Arial"/>
          <w:i/>
          <w:iCs/>
          <w:sz w:val="24"/>
        </w:rPr>
        <w:t>Metcash</w:t>
      </w:r>
      <w:r w:rsidR="00102743" w:rsidRPr="00E22FF3">
        <w:rPr>
          <w:rFonts w:ascii="Arial" w:eastAsia="Calibri" w:hAnsi="Arial" w:cs="Arial"/>
          <w:sz w:val="24"/>
        </w:rPr>
        <w:t>.</w:t>
      </w:r>
      <w:r w:rsidR="00E22FF3">
        <w:rPr>
          <w:rFonts w:ascii="Arial" w:eastAsia="Calibri" w:hAnsi="Arial" w:cs="Arial"/>
          <w:sz w:val="24"/>
        </w:rPr>
        <w:t xml:space="preserve"> According to its preamble</w:t>
      </w:r>
      <w:r w:rsidR="001A4476">
        <w:rPr>
          <w:rFonts w:ascii="Arial" w:eastAsia="Calibri" w:hAnsi="Arial" w:cs="Arial"/>
          <w:sz w:val="24"/>
        </w:rPr>
        <w:t xml:space="preserve"> read with Chp 9</w:t>
      </w:r>
      <w:r w:rsidR="00E22FF3">
        <w:rPr>
          <w:rFonts w:ascii="Arial" w:eastAsia="Calibri" w:hAnsi="Arial" w:cs="Arial"/>
          <w:sz w:val="24"/>
        </w:rPr>
        <w:t xml:space="preserve">, one of the principal objectives of the TAA </w:t>
      </w:r>
      <w:r w:rsidR="00F10868">
        <w:rPr>
          <w:rFonts w:ascii="Arial" w:eastAsia="Calibri" w:hAnsi="Arial" w:cs="Arial"/>
          <w:sz w:val="24"/>
        </w:rPr>
        <w:t>i</w:t>
      </w:r>
      <w:r w:rsidR="00E22FF3">
        <w:rPr>
          <w:rFonts w:ascii="Arial" w:eastAsia="Calibri" w:hAnsi="Arial" w:cs="Arial"/>
          <w:sz w:val="24"/>
        </w:rPr>
        <w:t xml:space="preserve">s to provide for </w:t>
      </w:r>
      <w:r w:rsidR="008B792F">
        <w:rPr>
          <w:rFonts w:ascii="Arial" w:eastAsia="Calibri" w:hAnsi="Arial" w:cs="Arial"/>
          <w:sz w:val="24"/>
        </w:rPr>
        <w:t>the</w:t>
      </w:r>
      <w:r w:rsidR="00E22FF3">
        <w:rPr>
          <w:rFonts w:ascii="Arial" w:eastAsia="Calibri" w:hAnsi="Arial" w:cs="Arial"/>
          <w:sz w:val="24"/>
        </w:rPr>
        <w:t xml:space="preserve"> resolution of certain tax disputes outside of the civil Court structure, by way of objections and </w:t>
      </w:r>
      <w:r w:rsidR="005B7077">
        <w:rPr>
          <w:rFonts w:ascii="Arial" w:eastAsia="Calibri" w:hAnsi="Arial" w:cs="Arial"/>
          <w:sz w:val="24"/>
        </w:rPr>
        <w:t xml:space="preserve">then </w:t>
      </w:r>
      <w:r w:rsidR="00E22FF3">
        <w:rPr>
          <w:rFonts w:ascii="Arial" w:eastAsia="Calibri" w:hAnsi="Arial" w:cs="Arial"/>
          <w:sz w:val="24"/>
        </w:rPr>
        <w:t>appeals</w:t>
      </w:r>
      <w:r w:rsidR="005B7077">
        <w:rPr>
          <w:rFonts w:ascii="Arial" w:eastAsia="Calibri" w:hAnsi="Arial" w:cs="Arial"/>
          <w:sz w:val="24"/>
        </w:rPr>
        <w:t>,</w:t>
      </w:r>
      <w:r w:rsidR="00E22FF3">
        <w:rPr>
          <w:rFonts w:ascii="Arial" w:eastAsia="Calibri" w:hAnsi="Arial" w:cs="Arial"/>
          <w:sz w:val="24"/>
        </w:rPr>
        <w:t xml:space="preserve"> to a </w:t>
      </w:r>
      <w:r w:rsidR="00DF0498">
        <w:rPr>
          <w:rFonts w:ascii="Arial" w:eastAsia="Calibri" w:hAnsi="Arial" w:cs="Arial"/>
          <w:sz w:val="24"/>
        </w:rPr>
        <w:t xml:space="preserve">Tax Board or </w:t>
      </w:r>
      <w:r w:rsidR="00E22FF3">
        <w:rPr>
          <w:rFonts w:ascii="Arial" w:eastAsia="Calibri" w:hAnsi="Arial" w:cs="Arial"/>
          <w:sz w:val="24"/>
        </w:rPr>
        <w:t xml:space="preserve">Tax Court. </w:t>
      </w:r>
      <w:r w:rsidR="00131555">
        <w:rPr>
          <w:rFonts w:ascii="Arial" w:eastAsia="Calibri" w:hAnsi="Arial" w:cs="Arial"/>
          <w:sz w:val="24"/>
        </w:rPr>
        <w:t xml:space="preserve">Section 105 is the provision which seeks to give express effect to this objective, </w:t>
      </w:r>
      <w:r w:rsidR="00F10868">
        <w:rPr>
          <w:rFonts w:ascii="Arial" w:eastAsia="Calibri" w:hAnsi="Arial" w:cs="Arial"/>
          <w:sz w:val="24"/>
        </w:rPr>
        <w:t>by</w:t>
      </w:r>
      <w:r w:rsidR="00131555">
        <w:rPr>
          <w:rFonts w:ascii="Arial" w:eastAsia="Calibri" w:hAnsi="Arial" w:cs="Arial"/>
          <w:sz w:val="24"/>
        </w:rPr>
        <w:t xml:space="preserve"> excluding the general jurisdiction of a civil Court, in certain defined tax matters, which are capable of resolution by means of such alternative dispute resolution </w:t>
      </w:r>
      <w:r w:rsidR="00131555">
        <w:rPr>
          <w:rFonts w:ascii="Arial" w:eastAsia="Calibri" w:hAnsi="Arial" w:cs="Arial"/>
          <w:sz w:val="24"/>
        </w:rPr>
        <w:lastRenderedPageBreak/>
        <w:t>processes.</w:t>
      </w:r>
      <w:r w:rsidR="00F10868">
        <w:rPr>
          <w:rFonts w:ascii="Arial" w:eastAsia="Calibri" w:hAnsi="Arial" w:cs="Arial"/>
          <w:sz w:val="24"/>
        </w:rPr>
        <w:t xml:space="preserve"> Thus, the line of cases which relate to the power of a civil Court to grant relief in tax matters, which predate the passing of the TAA, no longer serve as authority for the proposition that civil Courts have </w:t>
      </w:r>
      <w:r w:rsidR="00152173">
        <w:rPr>
          <w:rFonts w:ascii="Arial" w:eastAsia="Calibri" w:hAnsi="Arial" w:cs="Arial"/>
          <w:sz w:val="24"/>
        </w:rPr>
        <w:t>a discretionary</w:t>
      </w:r>
      <w:r w:rsidR="00F10868">
        <w:rPr>
          <w:rFonts w:ascii="Arial" w:eastAsia="Calibri" w:hAnsi="Arial" w:cs="Arial"/>
          <w:sz w:val="24"/>
        </w:rPr>
        <w:t xml:space="preserve"> power to decide tax cases </w:t>
      </w:r>
      <w:r w:rsidR="005B7077">
        <w:rPr>
          <w:rFonts w:ascii="Arial" w:eastAsia="Calibri" w:hAnsi="Arial" w:cs="Arial"/>
          <w:sz w:val="24"/>
        </w:rPr>
        <w:t xml:space="preserve">which concern points of law, at least not those </w:t>
      </w:r>
      <w:r w:rsidR="00F10868">
        <w:rPr>
          <w:rFonts w:ascii="Arial" w:eastAsia="Calibri" w:hAnsi="Arial" w:cs="Arial"/>
          <w:sz w:val="24"/>
        </w:rPr>
        <w:t>that fall within the remit of ss 104 read with Chp 9 of the Act.</w:t>
      </w:r>
      <w:r w:rsidR="00131555">
        <w:rPr>
          <w:rFonts w:ascii="Arial" w:eastAsia="Calibri" w:hAnsi="Arial" w:cs="Arial"/>
          <w:sz w:val="24"/>
        </w:rPr>
        <w:t xml:space="preserve">     </w:t>
      </w:r>
      <w:r w:rsidR="00E22FF3">
        <w:rPr>
          <w:rFonts w:ascii="Arial" w:eastAsia="Calibri" w:hAnsi="Arial" w:cs="Arial"/>
          <w:sz w:val="24"/>
        </w:rPr>
        <w:t xml:space="preserve"> </w:t>
      </w:r>
      <w:r w:rsidR="00864BB2" w:rsidRPr="00E22FF3">
        <w:rPr>
          <w:rFonts w:ascii="Arial" w:eastAsia="Calibri" w:hAnsi="Arial" w:cs="Arial"/>
          <w:sz w:val="24"/>
        </w:rPr>
        <w:t xml:space="preserve"> </w:t>
      </w:r>
    </w:p>
    <w:p w14:paraId="26E88304" w14:textId="20388394" w:rsidR="008B09B2"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t>79.</w:t>
      </w:r>
      <w:r>
        <w:rPr>
          <w:rFonts w:ascii="Arial" w:eastAsia="Calibri" w:hAnsi="Arial" w:cs="Arial"/>
          <w:sz w:val="24"/>
        </w:rPr>
        <w:tab/>
      </w:r>
      <w:r w:rsidR="00F10868">
        <w:rPr>
          <w:rFonts w:ascii="Arial" w:eastAsia="Calibri" w:hAnsi="Arial" w:cs="Arial"/>
          <w:sz w:val="24"/>
        </w:rPr>
        <w:t>Thus</w:t>
      </w:r>
      <w:r w:rsidR="00102743">
        <w:rPr>
          <w:rFonts w:ascii="Arial" w:eastAsia="Calibri" w:hAnsi="Arial" w:cs="Arial"/>
          <w:sz w:val="24"/>
        </w:rPr>
        <w:t xml:space="preserve">, </w:t>
      </w:r>
      <w:r w:rsidR="008B09B2">
        <w:rPr>
          <w:rFonts w:ascii="Arial" w:eastAsia="Calibri" w:hAnsi="Arial" w:cs="Arial"/>
          <w:sz w:val="24"/>
        </w:rPr>
        <w:t xml:space="preserve">to my mind, </w:t>
      </w:r>
      <w:r w:rsidR="00A13143">
        <w:rPr>
          <w:rFonts w:ascii="Arial" w:eastAsia="Calibri" w:hAnsi="Arial" w:cs="Arial"/>
          <w:sz w:val="24"/>
        </w:rPr>
        <w:t xml:space="preserve">even if a </w:t>
      </w:r>
      <w:r w:rsidR="008B792F">
        <w:rPr>
          <w:rFonts w:ascii="Arial" w:eastAsia="Calibri" w:hAnsi="Arial" w:cs="Arial"/>
          <w:sz w:val="24"/>
        </w:rPr>
        <w:t xml:space="preserve">tax </w:t>
      </w:r>
      <w:r w:rsidR="00A13143">
        <w:rPr>
          <w:rFonts w:ascii="Arial" w:eastAsia="Calibri" w:hAnsi="Arial" w:cs="Arial"/>
          <w:sz w:val="24"/>
        </w:rPr>
        <w:t>dispute in relation to a decision or assessment</w:t>
      </w:r>
      <w:r w:rsidR="008B792F">
        <w:rPr>
          <w:rFonts w:ascii="Arial" w:eastAsia="Calibri" w:hAnsi="Arial" w:cs="Arial"/>
          <w:sz w:val="24"/>
        </w:rPr>
        <w:t>,</w:t>
      </w:r>
      <w:r w:rsidR="00A13143">
        <w:rPr>
          <w:rFonts w:ascii="Arial" w:eastAsia="Calibri" w:hAnsi="Arial" w:cs="Arial"/>
          <w:sz w:val="24"/>
        </w:rPr>
        <w:t xml:space="preserve"> which can be resolved</w:t>
      </w:r>
      <w:r w:rsidR="00102743">
        <w:rPr>
          <w:rFonts w:ascii="Arial" w:eastAsia="Calibri" w:hAnsi="Arial" w:cs="Arial"/>
          <w:sz w:val="24"/>
        </w:rPr>
        <w:t xml:space="preserve"> by way of an</w:t>
      </w:r>
      <w:r w:rsidR="00A13143">
        <w:rPr>
          <w:rFonts w:ascii="Arial" w:eastAsia="Calibri" w:hAnsi="Arial" w:cs="Arial"/>
          <w:sz w:val="24"/>
        </w:rPr>
        <w:t xml:space="preserve"> objection or appeal, is </w:t>
      </w:r>
      <w:r w:rsidR="00F10868">
        <w:rPr>
          <w:rFonts w:ascii="Arial" w:eastAsia="Calibri" w:hAnsi="Arial" w:cs="Arial"/>
          <w:sz w:val="24"/>
        </w:rPr>
        <w:t>‘</w:t>
      </w:r>
      <w:r w:rsidR="008B09B2">
        <w:rPr>
          <w:rFonts w:ascii="Arial" w:eastAsia="Calibri" w:hAnsi="Arial" w:cs="Arial"/>
          <w:sz w:val="24"/>
        </w:rPr>
        <w:t>purely</w:t>
      </w:r>
      <w:r w:rsidR="00F10868">
        <w:rPr>
          <w:rFonts w:ascii="Arial" w:eastAsia="Calibri" w:hAnsi="Arial" w:cs="Arial"/>
          <w:sz w:val="24"/>
        </w:rPr>
        <w:t>’</w:t>
      </w:r>
      <w:r w:rsidR="008B09B2">
        <w:rPr>
          <w:rFonts w:ascii="Arial" w:eastAsia="Calibri" w:hAnsi="Arial" w:cs="Arial"/>
          <w:sz w:val="24"/>
        </w:rPr>
        <w:t xml:space="preserve"> </w:t>
      </w:r>
      <w:r w:rsidR="00102743">
        <w:rPr>
          <w:rFonts w:ascii="Arial" w:eastAsia="Calibri" w:hAnsi="Arial" w:cs="Arial"/>
          <w:sz w:val="24"/>
        </w:rPr>
        <w:t>one</w:t>
      </w:r>
      <w:r w:rsidR="00A13143">
        <w:rPr>
          <w:rFonts w:ascii="Arial" w:eastAsia="Calibri" w:hAnsi="Arial" w:cs="Arial"/>
          <w:sz w:val="24"/>
        </w:rPr>
        <w:t xml:space="preserve"> of law</w:t>
      </w:r>
      <w:r w:rsidR="008B09B2">
        <w:rPr>
          <w:rFonts w:ascii="Arial" w:eastAsia="Calibri" w:hAnsi="Arial" w:cs="Arial"/>
          <w:sz w:val="24"/>
        </w:rPr>
        <w:t>,</w:t>
      </w:r>
      <w:r w:rsidR="00102743">
        <w:rPr>
          <w:rFonts w:ascii="Arial" w:eastAsia="Calibri" w:hAnsi="Arial" w:cs="Arial"/>
          <w:sz w:val="24"/>
        </w:rPr>
        <w:t xml:space="preserve"> and</w:t>
      </w:r>
      <w:r w:rsidR="00A13143">
        <w:rPr>
          <w:rFonts w:ascii="Arial" w:eastAsia="Calibri" w:hAnsi="Arial" w:cs="Arial"/>
          <w:sz w:val="24"/>
        </w:rPr>
        <w:t xml:space="preserve"> involves no question of fact</w:t>
      </w:r>
      <w:r w:rsidR="00102743">
        <w:rPr>
          <w:rFonts w:ascii="Arial" w:eastAsia="Calibri" w:hAnsi="Arial" w:cs="Arial"/>
          <w:sz w:val="24"/>
        </w:rPr>
        <w:t>,</w:t>
      </w:r>
      <w:r w:rsidR="00A13143">
        <w:rPr>
          <w:rFonts w:ascii="Arial" w:eastAsia="Calibri" w:hAnsi="Arial" w:cs="Arial"/>
          <w:sz w:val="24"/>
        </w:rPr>
        <w:t xml:space="preserve"> or turns wholly on a point of law</w:t>
      </w:r>
      <w:r w:rsidR="00102743">
        <w:rPr>
          <w:rFonts w:ascii="Arial" w:eastAsia="Calibri" w:hAnsi="Arial" w:cs="Arial"/>
          <w:sz w:val="24"/>
        </w:rPr>
        <w:t>,</w:t>
      </w:r>
      <w:r w:rsidR="00A13143">
        <w:rPr>
          <w:rFonts w:ascii="Arial" w:eastAsia="Calibri" w:hAnsi="Arial" w:cs="Arial"/>
          <w:sz w:val="24"/>
        </w:rPr>
        <w:t xml:space="preserve"> this in itself will not mean that a civil </w:t>
      </w:r>
      <w:r w:rsidR="008B09B2">
        <w:rPr>
          <w:rFonts w:ascii="Arial" w:eastAsia="Calibri" w:hAnsi="Arial" w:cs="Arial"/>
          <w:sz w:val="24"/>
        </w:rPr>
        <w:t>C</w:t>
      </w:r>
      <w:r w:rsidR="00A13143">
        <w:rPr>
          <w:rFonts w:ascii="Arial" w:eastAsia="Calibri" w:hAnsi="Arial" w:cs="Arial"/>
          <w:sz w:val="24"/>
        </w:rPr>
        <w:t>ourt can deal with it</w:t>
      </w:r>
      <w:r w:rsidR="00102743">
        <w:rPr>
          <w:rFonts w:ascii="Arial" w:eastAsia="Calibri" w:hAnsi="Arial" w:cs="Arial"/>
          <w:sz w:val="24"/>
        </w:rPr>
        <w:t xml:space="preserve">. </w:t>
      </w:r>
      <w:r w:rsidR="00A13143">
        <w:rPr>
          <w:rFonts w:ascii="Arial" w:eastAsia="Calibri" w:hAnsi="Arial" w:cs="Arial"/>
          <w:sz w:val="24"/>
        </w:rPr>
        <w:t xml:space="preserve"> </w:t>
      </w:r>
      <w:r w:rsidR="005B7077">
        <w:rPr>
          <w:rFonts w:ascii="Arial" w:eastAsia="Calibri" w:hAnsi="Arial" w:cs="Arial"/>
          <w:sz w:val="24"/>
        </w:rPr>
        <w:t>And</w:t>
      </w:r>
      <w:r w:rsidR="00F10868">
        <w:rPr>
          <w:rFonts w:ascii="Arial" w:eastAsia="Calibri" w:hAnsi="Arial" w:cs="Arial"/>
          <w:sz w:val="24"/>
        </w:rPr>
        <w:t>, i</w:t>
      </w:r>
      <w:r w:rsidR="008B09B2">
        <w:rPr>
          <w:rFonts w:ascii="Arial" w:eastAsia="Calibri" w:hAnsi="Arial" w:cs="Arial"/>
          <w:sz w:val="24"/>
        </w:rPr>
        <w:t xml:space="preserve">n my view, and </w:t>
      </w:r>
      <w:r w:rsidR="00A13143">
        <w:rPr>
          <w:rFonts w:ascii="Arial" w:eastAsia="Calibri" w:hAnsi="Arial" w:cs="Arial"/>
          <w:sz w:val="24"/>
        </w:rPr>
        <w:t xml:space="preserve">contrary to what was held in </w:t>
      </w:r>
      <w:r w:rsidR="00A13143" w:rsidRPr="008B09B2">
        <w:rPr>
          <w:rFonts w:ascii="Arial" w:eastAsia="Calibri" w:hAnsi="Arial" w:cs="Arial"/>
          <w:i/>
          <w:iCs/>
          <w:sz w:val="24"/>
        </w:rPr>
        <w:t>ABSA</w:t>
      </w:r>
      <w:r w:rsidR="00A13143">
        <w:rPr>
          <w:rFonts w:ascii="Arial" w:eastAsia="Calibri" w:hAnsi="Arial" w:cs="Arial"/>
          <w:sz w:val="24"/>
        </w:rPr>
        <w:t>, such an attribute does not in itself confer</w:t>
      </w:r>
      <w:r w:rsidR="008B09B2">
        <w:rPr>
          <w:rFonts w:ascii="Arial" w:eastAsia="Calibri" w:hAnsi="Arial" w:cs="Arial"/>
          <w:sz w:val="24"/>
        </w:rPr>
        <w:t>,</w:t>
      </w:r>
      <w:r w:rsidR="00A13143">
        <w:rPr>
          <w:rFonts w:ascii="Arial" w:eastAsia="Calibri" w:hAnsi="Arial" w:cs="Arial"/>
          <w:sz w:val="24"/>
        </w:rPr>
        <w:t xml:space="preserve"> or satisfy</w:t>
      </w:r>
      <w:r w:rsidR="008B09B2">
        <w:rPr>
          <w:rFonts w:ascii="Arial" w:eastAsia="Calibri" w:hAnsi="Arial" w:cs="Arial"/>
          <w:sz w:val="24"/>
        </w:rPr>
        <w:t>,</w:t>
      </w:r>
      <w:r w:rsidR="00A13143">
        <w:rPr>
          <w:rFonts w:ascii="Arial" w:eastAsia="Calibri" w:hAnsi="Arial" w:cs="Arial"/>
          <w:sz w:val="24"/>
        </w:rPr>
        <w:t xml:space="preserve"> the </w:t>
      </w:r>
      <w:r w:rsidR="008B09B2">
        <w:rPr>
          <w:rFonts w:ascii="Arial" w:eastAsia="Calibri" w:hAnsi="Arial" w:cs="Arial"/>
          <w:sz w:val="24"/>
        </w:rPr>
        <w:t xml:space="preserve">necessary </w:t>
      </w:r>
      <w:r w:rsidR="00A13143">
        <w:rPr>
          <w:rFonts w:ascii="Arial" w:eastAsia="Calibri" w:hAnsi="Arial" w:cs="Arial"/>
          <w:sz w:val="24"/>
        </w:rPr>
        <w:t xml:space="preserve">requirement of exceptionality. </w:t>
      </w:r>
    </w:p>
    <w:p w14:paraId="6982B87E" w14:textId="6D6A407A" w:rsidR="00B2586D"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t>80.</w:t>
      </w:r>
      <w:r>
        <w:rPr>
          <w:rFonts w:ascii="Arial" w:eastAsia="Calibri" w:hAnsi="Arial" w:cs="Arial"/>
          <w:sz w:val="24"/>
        </w:rPr>
        <w:tab/>
      </w:r>
      <w:r w:rsidR="00A13143">
        <w:rPr>
          <w:rFonts w:ascii="Arial" w:eastAsia="Calibri" w:hAnsi="Arial" w:cs="Arial"/>
          <w:sz w:val="24"/>
        </w:rPr>
        <w:t>In this regard, as far as I</w:t>
      </w:r>
      <w:r w:rsidR="00B2586D">
        <w:rPr>
          <w:rFonts w:ascii="Arial" w:eastAsia="Calibri" w:hAnsi="Arial" w:cs="Arial"/>
          <w:sz w:val="24"/>
        </w:rPr>
        <w:t xml:space="preserve"> am</w:t>
      </w:r>
      <w:r w:rsidR="00A13143">
        <w:rPr>
          <w:rFonts w:ascii="Arial" w:eastAsia="Calibri" w:hAnsi="Arial" w:cs="Arial"/>
          <w:sz w:val="24"/>
        </w:rPr>
        <w:t xml:space="preserve"> aware it has never been suggested by any of the </w:t>
      </w:r>
      <w:r w:rsidR="00B2586D">
        <w:rPr>
          <w:rFonts w:ascii="Arial" w:eastAsia="Calibri" w:hAnsi="Arial" w:cs="Arial"/>
          <w:sz w:val="24"/>
        </w:rPr>
        <w:t>C</w:t>
      </w:r>
      <w:r w:rsidR="00A13143">
        <w:rPr>
          <w:rFonts w:ascii="Arial" w:eastAsia="Calibri" w:hAnsi="Arial" w:cs="Arial"/>
          <w:sz w:val="24"/>
        </w:rPr>
        <w:t xml:space="preserve">ourts that have attempted to give grammatical meaning to the term, in </w:t>
      </w:r>
      <w:r w:rsidR="00B2586D">
        <w:rPr>
          <w:rFonts w:ascii="Arial" w:eastAsia="Calibri" w:hAnsi="Arial" w:cs="Arial"/>
          <w:sz w:val="24"/>
        </w:rPr>
        <w:t xml:space="preserve">its </w:t>
      </w:r>
      <w:r w:rsidR="00A13143">
        <w:rPr>
          <w:rFonts w:ascii="Arial" w:eastAsia="Calibri" w:hAnsi="Arial" w:cs="Arial"/>
          <w:sz w:val="24"/>
        </w:rPr>
        <w:t>various statutory context</w:t>
      </w:r>
      <w:r w:rsidR="00B2586D">
        <w:rPr>
          <w:rFonts w:ascii="Arial" w:eastAsia="Calibri" w:hAnsi="Arial" w:cs="Arial"/>
          <w:sz w:val="24"/>
        </w:rPr>
        <w:t>s</w:t>
      </w:r>
      <w:r w:rsidR="00A13143">
        <w:rPr>
          <w:rFonts w:ascii="Arial" w:eastAsia="Calibri" w:hAnsi="Arial" w:cs="Arial"/>
          <w:sz w:val="24"/>
        </w:rPr>
        <w:t xml:space="preserve">, that exceptional circumstances need either to be ‘exotic’ or ‘bizarre’. </w:t>
      </w:r>
      <w:r w:rsidR="00B2586D">
        <w:rPr>
          <w:rFonts w:ascii="Arial" w:eastAsia="Calibri" w:hAnsi="Arial" w:cs="Arial"/>
          <w:sz w:val="24"/>
        </w:rPr>
        <w:t xml:space="preserve">As I have attempted to point out in my exposition of the case law, they </w:t>
      </w:r>
      <w:r w:rsidR="00A0402F">
        <w:rPr>
          <w:rFonts w:ascii="Arial" w:eastAsia="Calibri" w:hAnsi="Arial" w:cs="Arial"/>
          <w:sz w:val="24"/>
        </w:rPr>
        <w:t xml:space="preserve">do however </w:t>
      </w:r>
      <w:r w:rsidR="00B2586D">
        <w:rPr>
          <w:rFonts w:ascii="Arial" w:eastAsia="Calibri" w:hAnsi="Arial" w:cs="Arial"/>
          <w:sz w:val="24"/>
        </w:rPr>
        <w:t>need to be so out of the ordinary, uncommon, unusual or different, that they justify the Court’s intervention. In th</w:t>
      </w:r>
      <w:r w:rsidR="00152173">
        <w:rPr>
          <w:rFonts w:ascii="Arial" w:eastAsia="Calibri" w:hAnsi="Arial" w:cs="Arial"/>
          <w:sz w:val="24"/>
        </w:rPr>
        <w:t>e</w:t>
      </w:r>
      <w:r w:rsidR="00B2586D">
        <w:rPr>
          <w:rFonts w:ascii="Arial" w:eastAsia="Calibri" w:hAnsi="Arial" w:cs="Arial"/>
          <w:sz w:val="24"/>
        </w:rPr>
        <w:t xml:space="preserve"> </w:t>
      </w:r>
      <w:r w:rsidR="001A4476">
        <w:rPr>
          <w:rFonts w:ascii="Arial" w:eastAsia="Calibri" w:hAnsi="Arial" w:cs="Arial"/>
          <w:sz w:val="24"/>
        </w:rPr>
        <w:t>context</w:t>
      </w:r>
      <w:r w:rsidR="00B2586D">
        <w:rPr>
          <w:rFonts w:ascii="Arial" w:eastAsia="Calibri" w:hAnsi="Arial" w:cs="Arial"/>
          <w:sz w:val="24"/>
        </w:rPr>
        <w:t xml:space="preserve"> </w:t>
      </w:r>
      <w:r w:rsidR="00152173">
        <w:rPr>
          <w:rFonts w:ascii="Arial" w:eastAsia="Calibri" w:hAnsi="Arial" w:cs="Arial"/>
          <w:sz w:val="24"/>
        </w:rPr>
        <w:t>of t</w:t>
      </w:r>
      <w:r w:rsidR="000D7072">
        <w:rPr>
          <w:rFonts w:ascii="Arial" w:eastAsia="Calibri" w:hAnsi="Arial" w:cs="Arial"/>
          <w:sz w:val="24"/>
        </w:rPr>
        <w:t>his</w:t>
      </w:r>
      <w:r w:rsidR="00152173">
        <w:rPr>
          <w:rFonts w:ascii="Arial" w:eastAsia="Calibri" w:hAnsi="Arial" w:cs="Arial"/>
          <w:sz w:val="24"/>
        </w:rPr>
        <w:t xml:space="preserve"> </w:t>
      </w:r>
      <w:r w:rsidR="00142B37">
        <w:rPr>
          <w:rFonts w:ascii="Arial" w:eastAsia="Calibri" w:hAnsi="Arial" w:cs="Arial"/>
          <w:sz w:val="24"/>
        </w:rPr>
        <w:t xml:space="preserve">type of </w:t>
      </w:r>
      <w:r w:rsidR="000D7072">
        <w:rPr>
          <w:rFonts w:ascii="Arial" w:eastAsia="Calibri" w:hAnsi="Arial" w:cs="Arial"/>
          <w:sz w:val="24"/>
        </w:rPr>
        <w:t>matter,</w:t>
      </w:r>
      <w:r w:rsidR="00152173">
        <w:rPr>
          <w:rFonts w:ascii="Arial" w:eastAsia="Calibri" w:hAnsi="Arial" w:cs="Arial"/>
          <w:sz w:val="24"/>
        </w:rPr>
        <w:t xml:space="preserve"> </w:t>
      </w:r>
      <w:r w:rsidR="00B2586D">
        <w:rPr>
          <w:rFonts w:ascii="Arial" w:eastAsia="Calibri" w:hAnsi="Arial" w:cs="Arial"/>
          <w:sz w:val="24"/>
        </w:rPr>
        <w:t xml:space="preserve">I cannot understand why a point of law, or even an error of law, would </w:t>
      </w:r>
      <w:r w:rsidR="00F10868">
        <w:rPr>
          <w:rFonts w:ascii="Arial" w:eastAsia="Calibri" w:hAnsi="Arial" w:cs="Arial"/>
          <w:sz w:val="24"/>
        </w:rPr>
        <w:t xml:space="preserve">in itself necessarily </w:t>
      </w:r>
      <w:r w:rsidR="00B2586D">
        <w:rPr>
          <w:rFonts w:ascii="Arial" w:eastAsia="Calibri" w:hAnsi="Arial" w:cs="Arial"/>
          <w:sz w:val="24"/>
        </w:rPr>
        <w:t xml:space="preserve">constitute an exceptional circumstance. </w:t>
      </w:r>
      <w:r w:rsidR="00A0402F">
        <w:rPr>
          <w:rFonts w:ascii="Arial" w:eastAsia="Calibri" w:hAnsi="Arial" w:cs="Arial"/>
          <w:sz w:val="24"/>
        </w:rPr>
        <w:t>Points of law are not extraordinary, uncommon, or unusual and inevitably</w:t>
      </w:r>
      <w:r w:rsidR="00B2586D">
        <w:rPr>
          <w:rFonts w:ascii="Arial" w:eastAsia="Calibri" w:hAnsi="Arial" w:cs="Arial"/>
          <w:sz w:val="24"/>
        </w:rPr>
        <w:t xml:space="preserve">, </w:t>
      </w:r>
      <w:r w:rsidR="00A660CE">
        <w:rPr>
          <w:rFonts w:ascii="Arial" w:eastAsia="Calibri" w:hAnsi="Arial" w:cs="Arial"/>
          <w:sz w:val="24"/>
        </w:rPr>
        <w:t>in the ultimate analysis most,</w:t>
      </w:r>
      <w:r w:rsidR="00B2586D">
        <w:rPr>
          <w:rFonts w:ascii="Arial" w:eastAsia="Calibri" w:hAnsi="Arial" w:cs="Arial"/>
          <w:sz w:val="24"/>
        </w:rPr>
        <w:t xml:space="preserve"> if not all, matters turn on </w:t>
      </w:r>
      <w:r w:rsidR="00437BB3">
        <w:rPr>
          <w:rFonts w:ascii="Arial" w:eastAsia="Calibri" w:hAnsi="Arial" w:cs="Arial"/>
          <w:sz w:val="24"/>
        </w:rPr>
        <w:t>them</w:t>
      </w:r>
      <w:r w:rsidR="00B2586D">
        <w:rPr>
          <w:rFonts w:ascii="Arial" w:eastAsia="Calibri" w:hAnsi="Arial" w:cs="Arial"/>
          <w:sz w:val="24"/>
        </w:rPr>
        <w:t xml:space="preserve">. If they did not, no </w:t>
      </w:r>
      <w:r w:rsidR="00437BB3">
        <w:rPr>
          <w:rFonts w:ascii="Arial" w:eastAsia="Calibri" w:hAnsi="Arial" w:cs="Arial"/>
          <w:sz w:val="24"/>
        </w:rPr>
        <w:t xml:space="preserve">civil </w:t>
      </w:r>
      <w:r w:rsidR="00B2586D">
        <w:rPr>
          <w:rFonts w:ascii="Arial" w:eastAsia="Calibri" w:hAnsi="Arial" w:cs="Arial"/>
          <w:sz w:val="24"/>
        </w:rPr>
        <w:t xml:space="preserve">Court of review or appeal would ever be able to find that </w:t>
      </w:r>
      <w:r w:rsidR="00A660CE">
        <w:rPr>
          <w:rFonts w:ascii="Arial" w:eastAsia="Calibri" w:hAnsi="Arial" w:cs="Arial"/>
          <w:sz w:val="24"/>
        </w:rPr>
        <w:t>the</w:t>
      </w:r>
      <w:r w:rsidR="00B2586D">
        <w:rPr>
          <w:rFonts w:ascii="Arial" w:eastAsia="Calibri" w:hAnsi="Arial" w:cs="Arial"/>
          <w:sz w:val="24"/>
        </w:rPr>
        <w:t xml:space="preserve"> decision </w:t>
      </w:r>
      <w:r w:rsidR="00A660CE">
        <w:rPr>
          <w:rFonts w:ascii="Arial" w:eastAsia="Calibri" w:hAnsi="Arial" w:cs="Arial"/>
          <w:sz w:val="24"/>
        </w:rPr>
        <w:t>of</w:t>
      </w:r>
      <w:r w:rsidR="00B2586D">
        <w:rPr>
          <w:rFonts w:ascii="Arial" w:eastAsia="Calibri" w:hAnsi="Arial" w:cs="Arial"/>
          <w:sz w:val="24"/>
        </w:rPr>
        <w:t xml:space="preserve"> </w:t>
      </w:r>
      <w:r w:rsidR="008B792F">
        <w:rPr>
          <w:rFonts w:ascii="Arial" w:eastAsia="Calibri" w:hAnsi="Arial" w:cs="Arial"/>
          <w:sz w:val="24"/>
        </w:rPr>
        <w:t>a</w:t>
      </w:r>
      <w:r w:rsidR="00B2586D">
        <w:rPr>
          <w:rFonts w:ascii="Arial" w:eastAsia="Calibri" w:hAnsi="Arial" w:cs="Arial"/>
          <w:sz w:val="24"/>
        </w:rPr>
        <w:t xml:space="preserve"> </w:t>
      </w:r>
      <w:r w:rsidR="00A660CE">
        <w:rPr>
          <w:rFonts w:ascii="Arial" w:eastAsia="Calibri" w:hAnsi="Arial" w:cs="Arial"/>
          <w:sz w:val="24"/>
        </w:rPr>
        <w:t xml:space="preserve">functionary, Court or tribunal a </w:t>
      </w:r>
      <w:r w:rsidR="00A660CE" w:rsidRPr="00A660CE">
        <w:rPr>
          <w:rFonts w:ascii="Arial" w:eastAsia="Calibri" w:hAnsi="Arial" w:cs="Arial"/>
          <w:i/>
          <w:iCs/>
          <w:sz w:val="24"/>
        </w:rPr>
        <w:t>quo</w:t>
      </w:r>
      <w:r w:rsidR="00A660CE">
        <w:rPr>
          <w:rFonts w:ascii="Arial" w:eastAsia="Calibri" w:hAnsi="Arial" w:cs="Arial"/>
          <w:sz w:val="24"/>
        </w:rPr>
        <w:t xml:space="preserve"> was wrong</w:t>
      </w:r>
      <w:r w:rsidR="00A0402F">
        <w:rPr>
          <w:rFonts w:ascii="Arial" w:eastAsia="Calibri" w:hAnsi="Arial" w:cs="Arial"/>
          <w:sz w:val="24"/>
        </w:rPr>
        <w:t xml:space="preserve">, </w:t>
      </w:r>
      <w:r w:rsidR="00A660CE">
        <w:rPr>
          <w:rFonts w:ascii="Arial" w:eastAsia="Calibri" w:hAnsi="Arial" w:cs="Arial"/>
          <w:sz w:val="24"/>
        </w:rPr>
        <w:t xml:space="preserve">in law. </w:t>
      </w:r>
      <w:r w:rsidR="005B7077">
        <w:rPr>
          <w:rFonts w:ascii="Arial" w:eastAsia="Calibri" w:hAnsi="Arial" w:cs="Arial"/>
          <w:sz w:val="24"/>
        </w:rPr>
        <w:t xml:space="preserve">For the same reason, no objection in a tax matter would ever be upheld by the Commissioner, and no appeal would ever be upheld by the Tax Court. </w:t>
      </w:r>
      <w:r w:rsidR="00A660CE">
        <w:rPr>
          <w:rFonts w:ascii="Arial" w:eastAsia="Calibri" w:hAnsi="Arial" w:cs="Arial"/>
          <w:sz w:val="24"/>
        </w:rPr>
        <w:t xml:space="preserve"> </w:t>
      </w:r>
      <w:r w:rsidR="00B2586D">
        <w:rPr>
          <w:rFonts w:ascii="Arial" w:eastAsia="Calibri" w:hAnsi="Arial" w:cs="Arial"/>
          <w:sz w:val="24"/>
        </w:rPr>
        <w:t xml:space="preserve">     </w:t>
      </w:r>
    </w:p>
    <w:p w14:paraId="05914A55" w14:textId="3F2E4718" w:rsidR="00F10868"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t>81.</w:t>
      </w:r>
      <w:r>
        <w:rPr>
          <w:rFonts w:ascii="Arial" w:eastAsia="Calibri" w:hAnsi="Arial" w:cs="Arial"/>
          <w:sz w:val="24"/>
        </w:rPr>
        <w:tab/>
      </w:r>
      <w:r w:rsidR="00A13143">
        <w:rPr>
          <w:rFonts w:ascii="Arial" w:eastAsia="Calibri" w:hAnsi="Arial" w:cs="Arial"/>
          <w:sz w:val="24"/>
        </w:rPr>
        <w:t>So, the hurdle which must be overcome is not</w:t>
      </w:r>
      <w:r w:rsidR="00A0402F">
        <w:rPr>
          <w:rFonts w:ascii="Arial" w:eastAsia="Calibri" w:hAnsi="Arial" w:cs="Arial"/>
          <w:sz w:val="24"/>
        </w:rPr>
        <w:t>,</w:t>
      </w:r>
      <w:r w:rsidR="00A13143">
        <w:rPr>
          <w:rFonts w:ascii="Arial" w:eastAsia="Calibri" w:hAnsi="Arial" w:cs="Arial"/>
          <w:sz w:val="24"/>
        </w:rPr>
        <w:t xml:space="preserve"> </w:t>
      </w:r>
      <w:r w:rsidR="00A0402F">
        <w:rPr>
          <w:rFonts w:ascii="Arial" w:eastAsia="Calibri" w:hAnsi="Arial" w:cs="Arial"/>
          <w:sz w:val="24"/>
        </w:rPr>
        <w:t xml:space="preserve">as per </w:t>
      </w:r>
      <w:r w:rsidR="00A0402F" w:rsidRPr="00A0402F">
        <w:rPr>
          <w:rFonts w:ascii="Arial" w:eastAsia="Calibri" w:hAnsi="Arial" w:cs="Arial"/>
          <w:i/>
          <w:iCs/>
          <w:sz w:val="24"/>
        </w:rPr>
        <w:t>ABSA</w:t>
      </w:r>
      <w:r w:rsidR="00A0402F">
        <w:rPr>
          <w:rFonts w:ascii="Arial" w:eastAsia="Calibri" w:hAnsi="Arial" w:cs="Arial"/>
          <w:sz w:val="24"/>
        </w:rPr>
        <w:t xml:space="preserve">, </w:t>
      </w:r>
      <w:r w:rsidR="00F10868">
        <w:rPr>
          <w:rFonts w:ascii="Arial" w:eastAsia="Calibri" w:hAnsi="Arial" w:cs="Arial"/>
          <w:sz w:val="24"/>
        </w:rPr>
        <w:t xml:space="preserve">simply </w:t>
      </w:r>
      <w:r w:rsidR="00A13143">
        <w:rPr>
          <w:rFonts w:ascii="Arial" w:eastAsia="Calibri" w:hAnsi="Arial" w:cs="Arial"/>
          <w:sz w:val="24"/>
        </w:rPr>
        <w:t>that the</w:t>
      </w:r>
      <w:r w:rsidR="00F10868">
        <w:rPr>
          <w:rFonts w:ascii="Arial" w:eastAsia="Calibri" w:hAnsi="Arial" w:cs="Arial"/>
          <w:sz w:val="24"/>
        </w:rPr>
        <w:t>re</w:t>
      </w:r>
      <w:r w:rsidR="00A13143">
        <w:rPr>
          <w:rFonts w:ascii="Arial" w:eastAsia="Calibri" w:hAnsi="Arial" w:cs="Arial"/>
          <w:sz w:val="24"/>
        </w:rPr>
        <w:t xml:space="preserve"> are circumstances present which ‘sensibly’ justify the alternative route of having the matter dealt with by</w:t>
      </w:r>
      <w:r w:rsidR="005B7077">
        <w:rPr>
          <w:rFonts w:ascii="Arial" w:eastAsia="Calibri" w:hAnsi="Arial" w:cs="Arial"/>
          <w:sz w:val="24"/>
        </w:rPr>
        <w:t xml:space="preserve"> a</w:t>
      </w:r>
      <w:r w:rsidR="00A13143">
        <w:rPr>
          <w:rFonts w:ascii="Arial" w:eastAsia="Calibri" w:hAnsi="Arial" w:cs="Arial"/>
          <w:sz w:val="24"/>
        </w:rPr>
        <w:t xml:space="preserve"> civil </w:t>
      </w:r>
      <w:r w:rsidR="005B7077">
        <w:rPr>
          <w:rFonts w:ascii="Arial" w:eastAsia="Calibri" w:hAnsi="Arial" w:cs="Arial"/>
          <w:sz w:val="24"/>
        </w:rPr>
        <w:t>C</w:t>
      </w:r>
      <w:r w:rsidR="00A13143">
        <w:rPr>
          <w:rFonts w:ascii="Arial" w:eastAsia="Calibri" w:hAnsi="Arial" w:cs="Arial"/>
          <w:sz w:val="24"/>
        </w:rPr>
        <w:t>ourt. The</w:t>
      </w:r>
      <w:r w:rsidR="00A0402F">
        <w:rPr>
          <w:rFonts w:ascii="Arial" w:eastAsia="Calibri" w:hAnsi="Arial" w:cs="Arial"/>
          <w:sz w:val="24"/>
        </w:rPr>
        <w:t>re</w:t>
      </w:r>
      <w:r w:rsidR="00A13143">
        <w:rPr>
          <w:rFonts w:ascii="Arial" w:eastAsia="Calibri" w:hAnsi="Arial" w:cs="Arial"/>
          <w:sz w:val="24"/>
        </w:rPr>
        <w:t xml:space="preserve"> must be circumstances present which are so out of the ordinary, unusual or uncommon, that they justify that route be</w:t>
      </w:r>
      <w:r w:rsidR="00F10868">
        <w:rPr>
          <w:rFonts w:ascii="Arial" w:eastAsia="Calibri" w:hAnsi="Arial" w:cs="Arial"/>
          <w:sz w:val="24"/>
        </w:rPr>
        <w:t>ing</w:t>
      </w:r>
      <w:r w:rsidR="00A13143">
        <w:rPr>
          <w:rFonts w:ascii="Arial" w:eastAsia="Calibri" w:hAnsi="Arial" w:cs="Arial"/>
          <w:sz w:val="24"/>
        </w:rPr>
        <w:t xml:space="preserve"> followed</w:t>
      </w:r>
      <w:r w:rsidR="00F36B94">
        <w:rPr>
          <w:rFonts w:ascii="Arial" w:eastAsia="Calibri" w:hAnsi="Arial" w:cs="Arial"/>
          <w:sz w:val="24"/>
        </w:rPr>
        <w:t>, and e</w:t>
      </w:r>
      <w:r w:rsidR="001A4476">
        <w:rPr>
          <w:rFonts w:ascii="Arial" w:eastAsia="Calibri" w:hAnsi="Arial" w:cs="Arial"/>
          <w:sz w:val="24"/>
        </w:rPr>
        <w:t xml:space="preserve">rrors or points of law, without more, hardly constitute such circumstances. </w:t>
      </w:r>
      <w:r w:rsidR="00F36B94">
        <w:rPr>
          <w:rFonts w:ascii="Arial" w:eastAsia="Calibri" w:hAnsi="Arial" w:cs="Arial"/>
          <w:sz w:val="24"/>
        </w:rPr>
        <w:t>And e</w:t>
      </w:r>
      <w:r w:rsidR="00917361">
        <w:rPr>
          <w:rFonts w:ascii="Arial" w:eastAsia="Calibri" w:hAnsi="Arial" w:cs="Arial"/>
          <w:sz w:val="24"/>
        </w:rPr>
        <w:t xml:space="preserve">rrors of fact obviously result in errors of law. In my view, neither of these will </w:t>
      </w:r>
      <w:r w:rsidR="00F36B94">
        <w:rPr>
          <w:rFonts w:ascii="Arial" w:eastAsia="Calibri" w:hAnsi="Arial" w:cs="Arial"/>
          <w:sz w:val="24"/>
        </w:rPr>
        <w:t xml:space="preserve">therefore </w:t>
      </w:r>
      <w:r w:rsidR="00917361">
        <w:rPr>
          <w:rFonts w:ascii="Arial" w:eastAsia="Calibri" w:hAnsi="Arial" w:cs="Arial"/>
          <w:sz w:val="24"/>
        </w:rPr>
        <w:t>ordinarily constitute circumstances which</w:t>
      </w:r>
      <w:r w:rsidR="00C9201E">
        <w:rPr>
          <w:rFonts w:ascii="Arial" w:eastAsia="Calibri" w:hAnsi="Arial" w:cs="Arial"/>
          <w:sz w:val="24"/>
        </w:rPr>
        <w:t xml:space="preserve"> in </w:t>
      </w:r>
      <w:r w:rsidR="00C9201E">
        <w:rPr>
          <w:rFonts w:ascii="Arial" w:eastAsia="Calibri" w:hAnsi="Arial" w:cs="Arial"/>
          <w:sz w:val="24"/>
        </w:rPr>
        <w:lastRenderedPageBreak/>
        <w:t xml:space="preserve">themselves </w:t>
      </w:r>
      <w:r w:rsidR="00917361">
        <w:rPr>
          <w:rFonts w:ascii="Arial" w:eastAsia="Calibri" w:hAnsi="Arial" w:cs="Arial"/>
          <w:sz w:val="24"/>
        </w:rPr>
        <w:t xml:space="preserve">are out of the ordinary, uncommon or unusual. Thus, whilst an error of fact will obviously be a ground for an appeal before a Tax Court, which strives at arriving at the correct decision, it will hardly constitute an exceptional circumstance so as to justify </w:t>
      </w:r>
      <w:r w:rsidR="00C9201E">
        <w:rPr>
          <w:rFonts w:ascii="Arial" w:eastAsia="Calibri" w:hAnsi="Arial" w:cs="Arial"/>
          <w:sz w:val="24"/>
        </w:rPr>
        <w:t xml:space="preserve">a </w:t>
      </w:r>
      <w:r w:rsidR="00917361">
        <w:rPr>
          <w:rFonts w:ascii="Arial" w:eastAsia="Calibri" w:hAnsi="Arial" w:cs="Arial"/>
          <w:sz w:val="24"/>
        </w:rPr>
        <w:t xml:space="preserve">civil </w:t>
      </w:r>
      <w:r w:rsidR="00C9201E">
        <w:rPr>
          <w:rFonts w:ascii="Arial" w:eastAsia="Calibri" w:hAnsi="Arial" w:cs="Arial"/>
          <w:sz w:val="24"/>
        </w:rPr>
        <w:t>C</w:t>
      </w:r>
      <w:r w:rsidR="00917361">
        <w:rPr>
          <w:rFonts w:ascii="Arial" w:eastAsia="Calibri" w:hAnsi="Arial" w:cs="Arial"/>
          <w:sz w:val="24"/>
        </w:rPr>
        <w:t>ourt in entertaining a review</w:t>
      </w:r>
      <w:r w:rsidR="00F36B94">
        <w:rPr>
          <w:rFonts w:ascii="Arial" w:eastAsia="Calibri" w:hAnsi="Arial" w:cs="Arial"/>
          <w:sz w:val="24"/>
        </w:rPr>
        <w:t xml:space="preserve"> in a tax matter of the kind under discussion</w:t>
      </w:r>
      <w:r w:rsidR="00917361">
        <w:rPr>
          <w:rFonts w:ascii="Arial" w:eastAsia="Calibri" w:hAnsi="Arial" w:cs="Arial"/>
          <w:sz w:val="24"/>
        </w:rPr>
        <w:t>.</w:t>
      </w:r>
    </w:p>
    <w:p w14:paraId="3DC7D9A7" w14:textId="5CAEF65D" w:rsidR="005B7077"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t>82.</w:t>
      </w:r>
      <w:r>
        <w:rPr>
          <w:rFonts w:ascii="Arial" w:eastAsia="Calibri" w:hAnsi="Arial" w:cs="Arial"/>
          <w:sz w:val="24"/>
        </w:rPr>
        <w:tab/>
      </w:r>
      <w:r w:rsidR="001A4476">
        <w:rPr>
          <w:rFonts w:ascii="Arial" w:eastAsia="Calibri" w:hAnsi="Arial" w:cs="Arial"/>
          <w:sz w:val="24"/>
        </w:rPr>
        <w:t>But</w:t>
      </w:r>
      <w:r w:rsidR="005B7077">
        <w:rPr>
          <w:rFonts w:ascii="Arial" w:eastAsia="Calibri" w:hAnsi="Arial" w:cs="Arial"/>
          <w:sz w:val="24"/>
        </w:rPr>
        <w:t xml:space="preserve">, even </w:t>
      </w:r>
      <w:r w:rsidR="00D46E12" w:rsidRPr="00D46E12">
        <w:rPr>
          <w:rFonts w:ascii="Arial" w:eastAsia="Calibri" w:hAnsi="Arial" w:cs="Arial"/>
          <w:sz w:val="24"/>
        </w:rPr>
        <w:t>If</w:t>
      </w:r>
      <w:r w:rsidR="00A13143" w:rsidRPr="00D46E12">
        <w:rPr>
          <w:rFonts w:ascii="Arial" w:eastAsia="Calibri" w:hAnsi="Arial" w:cs="Arial"/>
          <w:sz w:val="24"/>
        </w:rPr>
        <w:t xml:space="preserve"> I am wrong </w:t>
      </w:r>
      <w:r w:rsidR="00D46E12" w:rsidRPr="00D46E12">
        <w:rPr>
          <w:rFonts w:ascii="Arial" w:eastAsia="Calibri" w:hAnsi="Arial" w:cs="Arial"/>
          <w:sz w:val="24"/>
        </w:rPr>
        <w:t xml:space="preserve">in relation to my treatment of the decision </w:t>
      </w:r>
      <w:r w:rsidR="00A13143" w:rsidRPr="00D46E12">
        <w:rPr>
          <w:rFonts w:ascii="Arial" w:eastAsia="Calibri" w:hAnsi="Arial" w:cs="Arial"/>
          <w:sz w:val="24"/>
        </w:rPr>
        <w:t xml:space="preserve">in </w:t>
      </w:r>
      <w:r w:rsidR="00A13143" w:rsidRPr="00D46E12">
        <w:rPr>
          <w:rFonts w:ascii="Arial" w:eastAsia="Calibri" w:hAnsi="Arial" w:cs="Arial"/>
          <w:i/>
          <w:iCs/>
          <w:sz w:val="24"/>
        </w:rPr>
        <w:t>ABSA</w:t>
      </w:r>
      <w:r w:rsidR="00D46E12" w:rsidRPr="00D46E12">
        <w:rPr>
          <w:rFonts w:ascii="Arial" w:eastAsia="Calibri" w:hAnsi="Arial" w:cs="Arial"/>
          <w:i/>
          <w:iCs/>
          <w:sz w:val="24"/>
        </w:rPr>
        <w:t>,</w:t>
      </w:r>
      <w:r w:rsidR="00A13143" w:rsidRPr="00D46E12">
        <w:rPr>
          <w:rFonts w:ascii="Arial" w:eastAsia="Calibri" w:hAnsi="Arial" w:cs="Arial"/>
          <w:sz w:val="24"/>
        </w:rPr>
        <w:t xml:space="preserve"> </w:t>
      </w:r>
      <w:r w:rsidR="00D46E12" w:rsidRPr="00D46E12">
        <w:rPr>
          <w:rFonts w:ascii="Arial" w:eastAsia="Calibri" w:hAnsi="Arial" w:cs="Arial"/>
          <w:sz w:val="24"/>
        </w:rPr>
        <w:t xml:space="preserve">I am </w:t>
      </w:r>
      <w:r w:rsidR="00A13143" w:rsidRPr="00D46E12">
        <w:rPr>
          <w:rFonts w:ascii="Arial" w:eastAsia="Calibri" w:hAnsi="Arial" w:cs="Arial"/>
          <w:sz w:val="24"/>
        </w:rPr>
        <w:t xml:space="preserve">nevertheless </w:t>
      </w:r>
      <w:r w:rsidR="00D46E12" w:rsidRPr="00D46E12">
        <w:rPr>
          <w:rFonts w:ascii="Arial" w:eastAsia="Calibri" w:hAnsi="Arial" w:cs="Arial"/>
          <w:sz w:val="24"/>
        </w:rPr>
        <w:t xml:space="preserve">of the view that it </w:t>
      </w:r>
      <w:r w:rsidR="001A4476">
        <w:rPr>
          <w:rFonts w:ascii="Arial" w:eastAsia="Calibri" w:hAnsi="Arial" w:cs="Arial"/>
          <w:sz w:val="24"/>
        </w:rPr>
        <w:t xml:space="preserve">does </w:t>
      </w:r>
      <w:r w:rsidR="00A13143" w:rsidRPr="00D46E12">
        <w:rPr>
          <w:rFonts w:ascii="Arial" w:eastAsia="Calibri" w:hAnsi="Arial" w:cs="Arial"/>
          <w:sz w:val="24"/>
        </w:rPr>
        <w:t>not avail the applicant.</w:t>
      </w:r>
      <w:r w:rsidR="00F10868" w:rsidRPr="00D46E12">
        <w:rPr>
          <w:rFonts w:ascii="Arial" w:eastAsia="Calibri" w:hAnsi="Arial" w:cs="Arial"/>
          <w:sz w:val="24"/>
        </w:rPr>
        <w:t xml:space="preserve"> </w:t>
      </w:r>
      <w:r w:rsidR="00A13143" w:rsidRPr="00D46E12">
        <w:rPr>
          <w:rFonts w:ascii="Arial" w:eastAsia="Calibri" w:hAnsi="Arial" w:cs="Arial"/>
          <w:sz w:val="24"/>
        </w:rPr>
        <w:t xml:space="preserve">The case which was put up </w:t>
      </w:r>
      <w:r w:rsidR="00D46E12">
        <w:rPr>
          <w:rFonts w:ascii="Arial" w:eastAsia="Calibri" w:hAnsi="Arial" w:cs="Arial"/>
          <w:sz w:val="24"/>
        </w:rPr>
        <w:t>by him</w:t>
      </w:r>
      <w:r w:rsidR="00A13143" w:rsidRPr="00D46E12">
        <w:rPr>
          <w:rFonts w:ascii="Arial" w:eastAsia="Calibri" w:hAnsi="Arial" w:cs="Arial"/>
          <w:sz w:val="24"/>
        </w:rPr>
        <w:t xml:space="preserve"> in his affidavits, in regard to the </w:t>
      </w:r>
      <w:r w:rsidR="00D46E12">
        <w:rPr>
          <w:rFonts w:ascii="Arial" w:eastAsia="Calibri" w:hAnsi="Arial" w:cs="Arial"/>
          <w:sz w:val="24"/>
        </w:rPr>
        <w:t xml:space="preserve">alleged </w:t>
      </w:r>
      <w:r w:rsidR="00A13143" w:rsidRPr="00D46E12">
        <w:rPr>
          <w:rFonts w:ascii="Arial" w:eastAsia="Calibri" w:hAnsi="Arial" w:cs="Arial"/>
          <w:sz w:val="24"/>
        </w:rPr>
        <w:t>exceptional circumstances which justified the matter being heard by th</w:t>
      </w:r>
      <w:r w:rsidR="00D46E12">
        <w:rPr>
          <w:rFonts w:ascii="Arial" w:eastAsia="Calibri" w:hAnsi="Arial" w:cs="Arial"/>
          <w:sz w:val="24"/>
        </w:rPr>
        <w:t>is C</w:t>
      </w:r>
      <w:r w:rsidR="00A13143" w:rsidRPr="00D46E12">
        <w:rPr>
          <w:rFonts w:ascii="Arial" w:eastAsia="Calibri" w:hAnsi="Arial" w:cs="Arial"/>
          <w:sz w:val="24"/>
        </w:rPr>
        <w:t xml:space="preserve">ourt instead of by way of objection </w:t>
      </w:r>
      <w:r w:rsidR="001C49A7">
        <w:rPr>
          <w:rFonts w:ascii="Arial" w:eastAsia="Calibri" w:hAnsi="Arial" w:cs="Arial"/>
          <w:sz w:val="24"/>
        </w:rPr>
        <w:t xml:space="preserve">and </w:t>
      </w:r>
      <w:r w:rsidR="00A13143" w:rsidRPr="00D46E12">
        <w:rPr>
          <w:rFonts w:ascii="Arial" w:eastAsia="Calibri" w:hAnsi="Arial" w:cs="Arial"/>
          <w:sz w:val="24"/>
        </w:rPr>
        <w:t xml:space="preserve">appeal, was as follows. </w:t>
      </w:r>
    </w:p>
    <w:p w14:paraId="1BA4B8EF" w14:textId="7035D811" w:rsidR="00A13143" w:rsidRPr="00D46E12" w:rsidRDefault="003D3D1A" w:rsidP="003D3D1A">
      <w:pPr>
        <w:adjustRightInd w:val="0"/>
        <w:spacing w:line="360" w:lineRule="auto"/>
        <w:ind w:left="720" w:hanging="720"/>
        <w:contextualSpacing/>
        <w:jc w:val="both"/>
        <w:textAlignment w:val="baseline"/>
        <w:rPr>
          <w:rFonts w:ascii="Arial" w:eastAsia="Calibri" w:hAnsi="Arial" w:cs="Arial"/>
          <w:sz w:val="24"/>
        </w:rPr>
      </w:pPr>
      <w:r w:rsidRPr="00D46E12">
        <w:rPr>
          <w:rFonts w:ascii="Arial" w:eastAsia="Calibri" w:hAnsi="Arial" w:cs="Arial"/>
          <w:sz w:val="24"/>
        </w:rPr>
        <w:t>83.</w:t>
      </w:r>
      <w:r w:rsidRPr="00D46E12">
        <w:rPr>
          <w:rFonts w:ascii="Arial" w:eastAsia="Calibri" w:hAnsi="Arial" w:cs="Arial"/>
          <w:sz w:val="24"/>
        </w:rPr>
        <w:tab/>
      </w:r>
      <w:r w:rsidR="00D46E12">
        <w:rPr>
          <w:rFonts w:ascii="Arial" w:eastAsia="Calibri" w:hAnsi="Arial" w:cs="Arial"/>
          <w:sz w:val="24"/>
        </w:rPr>
        <w:t>The applicant</w:t>
      </w:r>
      <w:r w:rsidR="00A13143" w:rsidRPr="00D46E12">
        <w:rPr>
          <w:rFonts w:ascii="Arial" w:eastAsia="Calibri" w:hAnsi="Arial" w:cs="Arial"/>
          <w:sz w:val="24"/>
        </w:rPr>
        <w:t xml:space="preserve"> contended firstly, that the Commissioner had made a factual error on which the entire basis for the imposition of the tax liability rested, by concluding that the dividend which had been paid out by Treemo had been funded by the </w:t>
      </w:r>
      <w:r w:rsidR="00D46E12">
        <w:rPr>
          <w:rFonts w:ascii="Arial" w:eastAsia="Calibri" w:hAnsi="Arial" w:cs="Arial"/>
          <w:sz w:val="24"/>
        </w:rPr>
        <w:t>N</w:t>
      </w:r>
      <w:r w:rsidR="00A13143" w:rsidRPr="00D46E12">
        <w:rPr>
          <w:rFonts w:ascii="Arial" w:eastAsia="Calibri" w:hAnsi="Arial" w:cs="Arial"/>
          <w:sz w:val="24"/>
        </w:rPr>
        <w:t xml:space="preserve">ewshelf repurchase dividend, when in fact it had been funded by the subscription of shares in Treemo, by the Trust. The applicant claimed that the facts in this regard were not in issue and the legal </w:t>
      </w:r>
      <w:r w:rsidR="00D46E12">
        <w:rPr>
          <w:rFonts w:ascii="Arial" w:eastAsia="Calibri" w:hAnsi="Arial" w:cs="Arial"/>
          <w:sz w:val="24"/>
        </w:rPr>
        <w:t>unten</w:t>
      </w:r>
      <w:r w:rsidR="00A13143" w:rsidRPr="00D46E12">
        <w:rPr>
          <w:rFonts w:ascii="Arial" w:eastAsia="Calibri" w:hAnsi="Arial" w:cs="Arial"/>
          <w:sz w:val="24"/>
        </w:rPr>
        <w:t xml:space="preserve">ability of the </w:t>
      </w:r>
      <w:r w:rsidR="00D46E12">
        <w:rPr>
          <w:rFonts w:ascii="Arial" w:eastAsia="Calibri" w:hAnsi="Arial" w:cs="Arial"/>
          <w:sz w:val="24"/>
        </w:rPr>
        <w:t xml:space="preserve">Commissioner’s </w:t>
      </w:r>
      <w:r w:rsidR="00A13143" w:rsidRPr="00D46E12">
        <w:rPr>
          <w:rFonts w:ascii="Arial" w:eastAsia="Calibri" w:hAnsi="Arial" w:cs="Arial"/>
          <w:sz w:val="24"/>
        </w:rPr>
        <w:t>assessment was plain</w:t>
      </w:r>
      <w:r w:rsidR="00D46E12">
        <w:rPr>
          <w:rFonts w:ascii="Arial" w:eastAsia="Calibri" w:hAnsi="Arial" w:cs="Arial"/>
          <w:sz w:val="24"/>
        </w:rPr>
        <w:t xml:space="preserve">. </w:t>
      </w:r>
      <w:r w:rsidR="00A13143" w:rsidRPr="00D46E12">
        <w:rPr>
          <w:rFonts w:ascii="Arial" w:eastAsia="Calibri" w:hAnsi="Arial" w:cs="Arial"/>
          <w:sz w:val="24"/>
        </w:rPr>
        <w:t xml:space="preserve"> </w:t>
      </w:r>
      <w:r w:rsidR="00D46E12">
        <w:rPr>
          <w:rFonts w:ascii="Arial" w:eastAsia="Calibri" w:hAnsi="Arial" w:cs="Arial"/>
          <w:sz w:val="24"/>
        </w:rPr>
        <w:t>I</w:t>
      </w:r>
      <w:r w:rsidR="00A13143" w:rsidRPr="00D46E12">
        <w:rPr>
          <w:rFonts w:ascii="Arial" w:eastAsia="Calibri" w:hAnsi="Arial" w:cs="Arial"/>
          <w:sz w:val="24"/>
        </w:rPr>
        <w:t xml:space="preserve">n addition, the applicant alleged the Commissioner had erred by seeking to impose an understatement penalty on the basis of </w:t>
      </w:r>
      <w:r w:rsidR="00D46E12">
        <w:rPr>
          <w:rFonts w:ascii="Arial" w:eastAsia="Calibri" w:hAnsi="Arial" w:cs="Arial"/>
          <w:sz w:val="24"/>
        </w:rPr>
        <w:t>s</w:t>
      </w:r>
      <w:r w:rsidR="00A13143" w:rsidRPr="00D46E12">
        <w:rPr>
          <w:rFonts w:ascii="Arial" w:eastAsia="Calibri" w:hAnsi="Arial" w:cs="Arial"/>
          <w:sz w:val="24"/>
        </w:rPr>
        <w:t xml:space="preserve"> </w:t>
      </w:r>
      <w:r w:rsidR="00D46E12">
        <w:rPr>
          <w:rFonts w:ascii="Arial" w:eastAsia="Calibri" w:hAnsi="Arial" w:cs="Arial"/>
          <w:sz w:val="24"/>
        </w:rPr>
        <w:t>2</w:t>
      </w:r>
      <w:r w:rsidR="00A13143" w:rsidRPr="00D46E12">
        <w:rPr>
          <w:rFonts w:ascii="Arial" w:eastAsia="Calibri" w:hAnsi="Arial" w:cs="Arial"/>
          <w:sz w:val="24"/>
        </w:rPr>
        <w:t>21(</w:t>
      </w:r>
      <w:r w:rsidR="00D46E12">
        <w:rPr>
          <w:rFonts w:ascii="Arial" w:eastAsia="Calibri" w:hAnsi="Arial" w:cs="Arial"/>
          <w:sz w:val="24"/>
        </w:rPr>
        <w:t>e</w:t>
      </w:r>
      <w:r w:rsidR="00A13143" w:rsidRPr="00D46E12">
        <w:rPr>
          <w:rFonts w:ascii="Arial" w:eastAsia="Calibri" w:hAnsi="Arial" w:cs="Arial"/>
          <w:sz w:val="24"/>
        </w:rPr>
        <w:t xml:space="preserve">) of the </w:t>
      </w:r>
      <w:r w:rsidR="00D46E12">
        <w:rPr>
          <w:rFonts w:ascii="Arial" w:eastAsia="Calibri" w:hAnsi="Arial" w:cs="Arial"/>
          <w:sz w:val="24"/>
        </w:rPr>
        <w:t>Income Tax Act</w:t>
      </w:r>
      <w:r w:rsidR="00A13143" w:rsidRPr="00D46E12">
        <w:rPr>
          <w:rFonts w:ascii="Arial" w:eastAsia="Calibri" w:hAnsi="Arial" w:cs="Arial"/>
          <w:sz w:val="24"/>
        </w:rPr>
        <w:t>, which was introduced some years after the alleged arrangement or scheme to which he had been party, had been affected</w:t>
      </w:r>
      <w:r w:rsidR="00D46E12">
        <w:rPr>
          <w:rFonts w:ascii="Arial" w:eastAsia="Calibri" w:hAnsi="Arial" w:cs="Arial"/>
          <w:sz w:val="24"/>
        </w:rPr>
        <w:t>,</w:t>
      </w:r>
      <w:r w:rsidR="00A13143" w:rsidRPr="00D46E12">
        <w:rPr>
          <w:rFonts w:ascii="Arial" w:eastAsia="Calibri" w:hAnsi="Arial" w:cs="Arial"/>
          <w:sz w:val="24"/>
        </w:rPr>
        <w:t xml:space="preserve"> and</w:t>
      </w:r>
      <w:r w:rsidR="00D46E12">
        <w:rPr>
          <w:rFonts w:ascii="Arial" w:eastAsia="Calibri" w:hAnsi="Arial" w:cs="Arial"/>
          <w:sz w:val="24"/>
        </w:rPr>
        <w:t xml:space="preserve"> he contended that</w:t>
      </w:r>
      <w:r w:rsidR="00A13143" w:rsidRPr="00D46E12">
        <w:rPr>
          <w:rFonts w:ascii="Arial" w:eastAsia="Calibri" w:hAnsi="Arial" w:cs="Arial"/>
          <w:sz w:val="24"/>
        </w:rPr>
        <w:t xml:space="preserve"> it could not be implemented retrospectively</w:t>
      </w:r>
      <w:r w:rsidR="00D46E12">
        <w:rPr>
          <w:rFonts w:ascii="Arial" w:eastAsia="Calibri" w:hAnsi="Arial" w:cs="Arial"/>
          <w:sz w:val="24"/>
        </w:rPr>
        <w:t>.</w:t>
      </w:r>
      <w:r w:rsidR="00A13143" w:rsidRPr="00D46E12">
        <w:rPr>
          <w:rFonts w:ascii="Arial" w:eastAsia="Calibri" w:hAnsi="Arial" w:cs="Arial"/>
          <w:sz w:val="24"/>
        </w:rPr>
        <w:t xml:space="preserve"> </w:t>
      </w:r>
      <w:r w:rsidR="00D46E12">
        <w:rPr>
          <w:rFonts w:ascii="Arial" w:eastAsia="Calibri" w:hAnsi="Arial" w:cs="Arial"/>
          <w:sz w:val="24"/>
        </w:rPr>
        <w:t>T</w:t>
      </w:r>
      <w:r w:rsidR="00A13143" w:rsidRPr="00D46E12">
        <w:rPr>
          <w:rFonts w:ascii="Arial" w:eastAsia="Calibri" w:hAnsi="Arial" w:cs="Arial"/>
          <w:sz w:val="24"/>
        </w:rPr>
        <w:t xml:space="preserve">hus, the argument in this regard was that the Commissioner had made a legal error. The applicant contended that these </w:t>
      </w:r>
      <w:r w:rsidR="00D46E12">
        <w:rPr>
          <w:rFonts w:ascii="Arial" w:eastAsia="Calibri" w:hAnsi="Arial" w:cs="Arial"/>
          <w:sz w:val="24"/>
        </w:rPr>
        <w:t xml:space="preserve">factual and </w:t>
      </w:r>
      <w:r w:rsidR="005B7077">
        <w:rPr>
          <w:rFonts w:ascii="Arial" w:eastAsia="Calibri" w:hAnsi="Arial" w:cs="Arial"/>
          <w:sz w:val="24"/>
        </w:rPr>
        <w:t xml:space="preserve">legal </w:t>
      </w:r>
      <w:r w:rsidR="00A13143" w:rsidRPr="00D46E12">
        <w:rPr>
          <w:rFonts w:ascii="Arial" w:eastAsia="Calibri" w:hAnsi="Arial" w:cs="Arial"/>
          <w:sz w:val="24"/>
        </w:rPr>
        <w:t xml:space="preserve">errors cumulatively collapsed the </w:t>
      </w:r>
      <w:r w:rsidR="00D46E12">
        <w:rPr>
          <w:rFonts w:ascii="Arial" w:eastAsia="Calibri" w:hAnsi="Arial" w:cs="Arial"/>
          <w:sz w:val="24"/>
        </w:rPr>
        <w:t>‘</w:t>
      </w:r>
      <w:r w:rsidR="00A13143" w:rsidRPr="00D46E12">
        <w:rPr>
          <w:rFonts w:ascii="Arial" w:eastAsia="Calibri" w:hAnsi="Arial" w:cs="Arial"/>
          <w:sz w:val="24"/>
        </w:rPr>
        <w:t>entire architecture</w:t>
      </w:r>
      <w:r w:rsidR="00D46E12">
        <w:rPr>
          <w:rFonts w:ascii="Arial" w:eastAsia="Calibri" w:hAnsi="Arial" w:cs="Arial"/>
          <w:sz w:val="24"/>
        </w:rPr>
        <w:t>’</w:t>
      </w:r>
      <w:r w:rsidR="00A13143" w:rsidRPr="00D46E12">
        <w:rPr>
          <w:rFonts w:ascii="Arial" w:eastAsia="Calibri" w:hAnsi="Arial" w:cs="Arial"/>
          <w:sz w:val="24"/>
        </w:rPr>
        <w:t xml:space="preserve"> of the assessment and</w:t>
      </w:r>
      <w:r w:rsidR="001A4476">
        <w:rPr>
          <w:rFonts w:ascii="Arial" w:eastAsia="Calibri" w:hAnsi="Arial" w:cs="Arial"/>
          <w:sz w:val="24"/>
        </w:rPr>
        <w:t xml:space="preserve"> that</w:t>
      </w:r>
      <w:r w:rsidR="00A13143" w:rsidRPr="00D46E12">
        <w:rPr>
          <w:rFonts w:ascii="Arial" w:eastAsia="Calibri" w:hAnsi="Arial" w:cs="Arial"/>
          <w:sz w:val="24"/>
        </w:rPr>
        <w:t xml:space="preserve"> </w:t>
      </w:r>
      <w:r w:rsidR="00437BB3">
        <w:rPr>
          <w:rFonts w:ascii="Arial" w:eastAsia="Calibri" w:hAnsi="Arial" w:cs="Arial"/>
          <w:sz w:val="24"/>
        </w:rPr>
        <w:t>(</w:t>
      </w:r>
      <w:r w:rsidR="00A13143" w:rsidRPr="00D46E12">
        <w:rPr>
          <w:rFonts w:ascii="Arial" w:eastAsia="Calibri" w:hAnsi="Arial" w:cs="Arial"/>
          <w:sz w:val="24"/>
        </w:rPr>
        <w:t xml:space="preserve">following the </w:t>
      </w:r>
      <w:r w:rsidR="00A13143" w:rsidRPr="00D46E12">
        <w:rPr>
          <w:rFonts w:ascii="Arial" w:eastAsia="Calibri" w:hAnsi="Arial" w:cs="Arial"/>
          <w:i/>
          <w:iCs/>
          <w:sz w:val="24"/>
        </w:rPr>
        <w:t xml:space="preserve">ABSA </w:t>
      </w:r>
      <w:r w:rsidR="00A13143" w:rsidRPr="00D46E12">
        <w:rPr>
          <w:rFonts w:ascii="Arial" w:eastAsia="Calibri" w:hAnsi="Arial" w:cs="Arial"/>
          <w:sz w:val="24"/>
        </w:rPr>
        <w:t>playbook</w:t>
      </w:r>
      <w:r w:rsidR="00437BB3">
        <w:rPr>
          <w:rFonts w:ascii="Arial" w:eastAsia="Calibri" w:hAnsi="Arial" w:cs="Arial"/>
          <w:sz w:val="24"/>
        </w:rPr>
        <w:t>)</w:t>
      </w:r>
      <w:r w:rsidR="00A13143" w:rsidRPr="00D46E12">
        <w:rPr>
          <w:rFonts w:ascii="Arial" w:eastAsia="Calibri" w:hAnsi="Arial" w:cs="Arial"/>
          <w:sz w:val="24"/>
        </w:rPr>
        <w:t xml:space="preserve">, </w:t>
      </w:r>
      <w:r w:rsidR="00D46E12">
        <w:rPr>
          <w:rFonts w:ascii="Arial" w:eastAsia="Calibri" w:hAnsi="Arial" w:cs="Arial"/>
          <w:sz w:val="24"/>
        </w:rPr>
        <w:t xml:space="preserve">it </w:t>
      </w:r>
      <w:r w:rsidR="00A13143" w:rsidRPr="00D46E12">
        <w:rPr>
          <w:rFonts w:ascii="Arial" w:eastAsia="Calibri" w:hAnsi="Arial" w:cs="Arial"/>
          <w:sz w:val="24"/>
        </w:rPr>
        <w:t xml:space="preserve">would </w:t>
      </w:r>
      <w:r w:rsidR="006A0D61">
        <w:rPr>
          <w:rFonts w:ascii="Arial" w:eastAsia="Calibri" w:hAnsi="Arial" w:cs="Arial"/>
          <w:sz w:val="24"/>
        </w:rPr>
        <w:t xml:space="preserve">accordingly </w:t>
      </w:r>
      <w:r w:rsidR="00A13143" w:rsidRPr="00D46E12">
        <w:rPr>
          <w:rFonts w:ascii="Arial" w:eastAsia="Calibri" w:hAnsi="Arial" w:cs="Arial"/>
          <w:sz w:val="24"/>
        </w:rPr>
        <w:t xml:space="preserve">be inappropriate and severely prejudicial for him to go through the lengthy and costly process of resolving </w:t>
      </w:r>
      <w:r w:rsidR="00D46E12">
        <w:rPr>
          <w:rFonts w:ascii="Arial" w:eastAsia="Calibri" w:hAnsi="Arial" w:cs="Arial"/>
          <w:sz w:val="24"/>
        </w:rPr>
        <w:t>his</w:t>
      </w:r>
      <w:r w:rsidR="00A13143" w:rsidRPr="00D46E12">
        <w:rPr>
          <w:rFonts w:ascii="Arial" w:eastAsia="Calibri" w:hAnsi="Arial" w:cs="Arial"/>
          <w:sz w:val="24"/>
        </w:rPr>
        <w:t xml:space="preserve"> dispute by pursuing his objection to the assessments via the internal remedies which were available to him, including if necessary, the prosecution of an appeal before the </w:t>
      </w:r>
      <w:r w:rsidR="00D46E12">
        <w:rPr>
          <w:rFonts w:ascii="Arial" w:eastAsia="Calibri" w:hAnsi="Arial" w:cs="Arial"/>
          <w:sz w:val="24"/>
        </w:rPr>
        <w:t>T</w:t>
      </w:r>
      <w:r w:rsidR="00A13143" w:rsidRPr="00D46E12">
        <w:rPr>
          <w:rFonts w:ascii="Arial" w:eastAsia="Calibri" w:hAnsi="Arial" w:cs="Arial"/>
          <w:sz w:val="24"/>
        </w:rPr>
        <w:t xml:space="preserve">ax </w:t>
      </w:r>
      <w:r w:rsidR="00D46E12">
        <w:rPr>
          <w:rFonts w:ascii="Arial" w:eastAsia="Calibri" w:hAnsi="Arial" w:cs="Arial"/>
          <w:sz w:val="24"/>
        </w:rPr>
        <w:t>C</w:t>
      </w:r>
      <w:r w:rsidR="00A13143" w:rsidRPr="00D46E12">
        <w:rPr>
          <w:rFonts w:ascii="Arial" w:eastAsia="Calibri" w:hAnsi="Arial" w:cs="Arial"/>
          <w:sz w:val="24"/>
        </w:rPr>
        <w:t xml:space="preserve">ourt, when the invalidity and unsustainability of the assessment could be addressed </w:t>
      </w:r>
      <w:r w:rsidR="00D46E12">
        <w:rPr>
          <w:rFonts w:ascii="Arial" w:eastAsia="Calibri" w:hAnsi="Arial" w:cs="Arial"/>
          <w:sz w:val="24"/>
        </w:rPr>
        <w:t>‘</w:t>
      </w:r>
      <w:r w:rsidR="00A13143" w:rsidRPr="00D46E12">
        <w:rPr>
          <w:rFonts w:ascii="Arial" w:eastAsia="Calibri" w:hAnsi="Arial" w:cs="Arial"/>
          <w:sz w:val="24"/>
        </w:rPr>
        <w:t>quickly and conveniently</w:t>
      </w:r>
      <w:r w:rsidR="00D46E12">
        <w:rPr>
          <w:rFonts w:ascii="Arial" w:eastAsia="Calibri" w:hAnsi="Arial" w:cs="Arial"/>
          <w:sz w:val="24"/>
        </w:rPr>
        <w:t>’</w:t>
      </w:r>
      <w:r w:rsidR="00A13143" w:rsidRPr="00D46E12">
        <w:rPr>
          <w:rFonts w:ascii="Arial" w:eastAsia="Calibri" w:hAnsi="Arial" w:cs="Arial"/>
          <w:sz w:val="24"/>
        </w:rPr>
        <w:t xml:space="preserve"> by way of </w:t>
      </w:r>
      <w:r w:rsidR="00D46E12">
        <w:rPr>
          <w:rFonts w:ascii="Arial" w:eastAsia="Calibri" w:hAnsi="Arial" w:cs="Arial"/>
          <w:sz w:val="24"/>
        </w:rPr>
        <w:t>a</w:t>
      </w:r>
      <w:r w:rsidR="00A13143" w:rsidRPr="00D46E12">
        <w:rPr>
          <w:rFonts w:ascii="Arial" w:eastAsia="Calibri" w:hAnsi="Arial" w:cs="Arial"/>
          <w:sz w:val="24"/>
        </w:rPr>
        <w:t xml:space="preserve"> review before the </w:t>
      </w:r>
      <w:r w:rsidR="00D46E12">
        <w:rPr>
          <w:rFonts w:ascii="Arial" w:eastAsia="Calibri" w:hAnsi="Arial" w:cs="Arial"/>
          <w:sz w:val="24"/>
        </w:rPr>
        <w:t>High C</w:t>
      </w:r>
      <w:r w:rsidR="00A13143" w:rsidRPr="00D46E12">
        <w:rPr>
          <w:rFonts w:ascii="Arial" w:eastAsia="Calibri" w:hAnsi="Arial" w:cs="Arial"/>
          <w:sz w:val="24"/>
        </w:rPr>
        <w:t>ourt.</w:t>
      </w:r>
    </w:p>
    <w:p w14:paraId="1CD56AA7" w14:textId="3FC7D4A7" w:rsidR="00A13143"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lastRenderedPageBreak/>
        <w:t>84.</w:t>
      </w:r>
      <w:r>
        <w:rPr>
          <w:rFonts w:ascii="Arial" w:eastAsia="Calibri" w:hAnsi="Arial" w:cs="Arial"/>
          <w:sz w:val="24"/>
        </w:rPr>
        <w:tab/>
      </w:r>
      <w:r w:rsidR="00EA62B9">
        <w:rPr>
          <w:rFonts w:ascii="Arial" w:eastAsia="Calibri" w:hAnsi="Arial" w:cs="Arial"/>
          <w:sz w:val="24"/>
        </w:rPr>
        <w:t>In his response, the Commissioner denied that any errors had been made</w:t>
      </w:r>
      <w:r w:rsidR="00D46E12">
        <w:rPr>
          <w:rFonts w:ascii="Arial" w:eastAsia="Calibri" w:hAnsi="Arial" w:cs="Arial"/>
          <w:sz w:val="24"/>
        </w:rPr>
        <w:t>, factual or legal</w:t>
      </w:r>
      <w:r w:rsidR="00400916">
        <w:rPr>
          <w:rFonts w:ascii="Arial" w:eastAsia="Calibri" w:hAnsi="Arial" w:cs="Arial"/>
          <w:sz w:val="24"/>
        </w:rPr>
        <w:t xml:space="preserve">. The Commissioner </w:t>
      </w:r>
      <w:r w:rsidR="001A4476">
        <w:rPr>
          <w:rFonts w:ascii="Arial" w:eastAsia="Calibri" w:hAnsi="Arial" w:cs="Arial"/>
          <w:sz w:val="24"/>
        </w:rPr>
        <w:t xml:space="preserve">disputed </w:t>
      </w:r>
      <w:r w:rsidR="00EC06C3">
        <w:rPr>
          <w:rFonts w:ascii="Arial" w:eastAsia="Calibri" w:hAnsi="Arial" w:cs="Arial"/>
          <w:sz w:val="24"/>
        </w:rPr>
        <w:t xml:space="preserve">the applicant’s factual assertions in relation to the </w:t>
      </w:r>
      <w:r w:rsidR="00400916">
        <w:rPr>
          <w:rFonts w:ascii="Arial" w:eastAsia="Calibri" w:hAnsi="Arial" w:cs="Arial"/>
          <w:sz w:val="24"/>
        </w:rPr>
        <w:t xml:space="preserve">source of the </w:t>
      </w:r>
      <w:r w:rsidR="00EC06C3">
        <w:rPr>
          <w:rFonts w:ascii="Arial" w:eastAsia="Calibri" w:hAnsi="Arial" w:cs="Arial"/>
          <w:sz w:val="24"/>
        </w:rPr>
        <w:t>dividend that was paid out to him</w:t>
      </w:r>
      <w:r w:rsidR="001A4476">
        <w:rPr>
          <w:rFonts w:ascii="Arial" w:eastAsia="Calibri" w:hAnsi="Arial" w:cs="Arial"/>
          <w:sz w:val="24"/>
        </w:rPr>
        <w:t>, and claimed they</w:t>
      </w:r>
      <w:r w:rsidR="00EC06C3">
        <w:rPr>
          <w:rFonts w:ascii="Arial" w:eastAsia="Calibri" w:hAnsi="Arial" w:cs="Arial"/>
          <w:sz w:val="24"/>
        </w:rPr>
        <w:t xml:space="preserve"> were not supported by the documents which SARS had in its possession. </w:t>
      </w:r>
      <w:r w:rsidR="00D46E12">
        <w:rPr>
          <w:rFonts w:ascii="Arial" w:eastAsia="Calibri" w:hAnsi="Arial" w:cs="Arial"/>
          <w:sz w:val="24"/>
        </w:rPr>
        <w:t>The Commissioner</w:t>
      </w:r>
      <w:r w:rsidR="00EC06C3">
        <w:rPr>
          <w:rFonts w:ascii="Arial" w:eastAsia="Calibri" w:hAnsi="Arial" w:cs="Arial"/>
          <w:sz w:val="24"/>
        </w:rPr>
        <w:t xml:space="preserve"> </w:t>
      </w:r>
      <w:r w:rsidR="00EA62B9">
        <w:rPr>
          <w:rFonts w:ascii="Arial" w:eastAsia="Calibri" w:hAnsi="Arial" w:cs="Arial"/>
          <w:sz w:val="24"/>
        </w:rPr>
        <w:t xml:space="preserve">was of the view that </w:t>
      </w:r>
      <w:r w:rsidR="00EC06C3">
        <w:rPr>
          <w:rFonts w:ascii="Arial" w:eastAsia="Calibri" w:hAnsi="Arial" w:cs="Arial"/>
          <w:sz w:val="24"/>
        </w:rPr>
        <w:t>the T</w:t>
      </w:r>
      <w:r w:rsidR="00EA62B9">
        <w:rPr>
          <w:rFonts w:ascii="Arial" w:eastAsia="Calibri" w:hAnsi="Arial" w:cs="Arial"/>
          <w:sz w:val="24"/>
        </w:rPr>
        <w:t>rust</w:t>
      </w:r>
      <w:r w:rsidR="00EC06C3">
        <w:rPr>
          <w:rFonts w:ascii="Arial" w:eastAsia="Calibri" w:hAnsi="Arial" w:cs="Arial"/>
          <w:sz w:val="24"/>
        </w:rPr>
        <w:t>’</w:t>
      </w:r>
      <w:r w:rsidR="00EA62B9">
        <w:rPr>
          <w:rFonts w:ascii="Arial" w:eastAsia="Calibri" w:hAnsi="Arial" w:cs="Arial"/>
          <w:sz w:val="24"/>
        </w:rPr>
        <w:t xml:space="preserve">s subscription for shares in Treemo </w:t>
      </w:r>
      <w:r w:rsidR="001C49A7">
        <w:rPr>
          <w:rFonts w:ascii="Arial" w:eastAsia="Calibri" w:hAnsi="Arial" w:cs="Arial"/>
          <w:sz w:val="24"/>
        </w:rPr>
        <w:t>had been</w:t>
      </w:r>
      <w:r w:rsidR="00EA62B9">
        <w:rPr>
          <w:rFonts w:ascii="Arial" w:eastAsia="Calibri" w:hAnsi="Arial" w:cs="Arial"/>
          <w:sz w:val="24"/>
        </w:rPr>
        <w:t xml:space="preserve"> funded by the call option premium which the applicant had paid to it, which </w:t>
      </w:r>
      <w:r w:rsidR="00EC06C3">
        <w:rPr>
          <w:rFonts w:ascii="Arial" w:eastAsia="Calibri" w:hAnsi="Arial" w:cs="Arial"/>
          <w:sz w:val="24"/>
        </w:rPr>
        <w:t xml:space="preserve">in turn </w:t>
      </w:r>
      <w:r w:rsidR="00EA62B9">
        <w:rPr>
          <w:rFonts w:ascii="Arial" w:eastAsia="Calibri" w:hAnsi="Arial" w:cs="Arial"/>
          <w:sz w:val="24"/>
        </w:rPr>
        <w:t xml:space="preserve">had been funded by the dividend which Treemo had paid to the applicant. </w:t>
      </w:r>
      <w:r w:rsidR="00C9201E">
        <w:rPr>
          <w:rFonts w:ascii="Arial" w:eastAsia="Calibri" w:hAnsi="Arial" w:cs="Arial"/>
          <w:sz w:val="24"/>
        </w:rPr>
        <w:t>But, a</w:t>
      </w:r>
      <w:r w:rsidR="00EA62B9">
        <w:rPr>
          <w:rFonts w:ascii="Arial" w:eastAsia="Calibri" w:hAnsi="Arial" w:cs="Arial"/>
          <w:sz w:val="24"/>
        </w:rPr>
        <w:t>ccording to the Commissioner</w:t>
      </w:r>
      <w:r w:rsidR="006A0D61">
        <w:rPr>
          <w:rFonts w:ascii="Arial" w:eastAsia="Calibri" w:hAnsi="Arial" w:cs="Arial"/>
          <w:sz w:val="24"/>
        </w:rPr>
        <w:t>,</w:t>
      </w:r>
      <w:r w:rsidR="00EA62B9">
        <w:rPr>
          <w:rFonts w:ascii="Arial" w:eastAsia="Calibri" w:hAnsi="Arial" w:cs="Arial"/>
          <w:sz w:val="24"/>
        </w:rPr>
        <w:t xml:space="preserve"> how </w:t>
      </w:r>
      <w:r w:rsidR="00400916">
        <w:rPr>
          <w:rFonts w:ascii="Arial" w:eastAsia="Calibri" w:hAnsi="Arial" w:cs="Arial"/>
          <w:sz w:val="24"/>
        </w:rPr>
        <w:t xml:space="preserve">the </w:t>
      </w:r>
      <w:r w:rsidR="00EA62B9">
        <w:rPr>
          <w:rFonts w:ascii="Arial" w:eastAsia="Calibri" w:hAnsi="Arial" w:cs="Arial"/>
          <w:sz w:val="24"/>
        </w:rPr>
        <w:t xml:space="preserve">dividend to the applicant had been funded </w:t>
      </w:r>
      <w:r w:rsidR="00437BB3">
        <w:rPr>
          <w:rFonts w:ascii="Arial" w:eastAsia="Calibri" w:hAnsi="Arial" w:cs="Arial"/>
          <w:sz w:val="24"/>
        </w:rPr>
        <w:t xml:space="preserve">or sourced </w:t>
      </w:r>
      <w:r w:rsidR="00EA62B9">
        <w:rPr>
          <w:rFonts w:ascii="Arial" w:eastAsia="Calibri" w:hAnsi="Arial" w:cs="Arial"/>
          <w:sz w:val="24"/>
        </w:rPr>
        <w:t xml:space="preserve">was </w:t>
      </w:r>
      <w:r w:rsidR="006A0D61">
        <w:rPr>
          <w:rFonts w:ascii="Arial" w:eastAsia="Calibri" w:hAnsi="Arial" w:cs="Arial"/>
          <w:sz w:val="24"/>
        </w:rPr>
        <w:t xml:space="preserve">in any event </w:t>
      </w:r>
      <w:r w:rsidR="00EA62B9">
        <w:rPr>
          <w:rFonts w:ascii="Arial" w:eastAsia="Calibri" w:hAnsi="Arial" w:cs="Arial"/>
          <w:sz w:val="24"/>
        </w:rPr>
        <w:t xml:space="preserve">legally irrelevant. It had been paid out, free of tax, pursuant to the adoption of an impermissible avoidance scheme or arrangement </w:t>
      </w:r>
      <w:r w:rsidR="00400916">
        <w:rPr>
          <w:rFonts w:ascii="Arial" w:eastAsia="Calibri" w:hAnsi="Arial" w:cs="Arial"/>
          <w:sz w:val="24"/>
        </w:rPr>
        <w:t xml:space="preserve">which </w:t>
      </w:r>
      <w:r w:rsidR="00EA62B9">
        <w:rPr>
          <w:rFonts w:ascii="Arial" w:eastAsia="Calibri" w:hAnsi="Arial" w:cs="Arial"/>
          <w:sz w:val="24"/>
        </w:rPr>
        <w:t>had no obvious purpose and no commercial rationale</w:t>
      </w:r>
      <w:r w:rsidR="001A4476">
        <w:rPr>
          <w:rFonts w:ascii="Arial" w:eastAsia="Calibri" w:hAnsi="Arial" w:cs="Arial"/>
          <w:sz w:val="24"/>
        </w:rPr>
        <w:t>,</w:t>
      </w:r>
      <w:r w:rsidR="00EA62B9">
        <w:rPr>
          <w:rFonts w:ascii="Arial" w:eastAsia="Calibri" w:hAnsi="Arial" w:cs="Arial"/>
          <w:sz w:val="24"/>
        </w:rPr>
        <w:t xml:space="preserve"> other than to allow for the avoidance of tax. As for the understatement penalty</w:t>
      </w:r>
      <w:r w:rsidR="00400916">
        <w:rPr>
          <w:rFonts w:ascii="Arial" w:eastAsia="Calibri" w:hAnsi="Arial" w:cs="Arial"/>
          <w:sz w:val="24"/>
        </w:rPr>
        <w:t>,</w:t>
      </w:r>
      <w:r w:rsidR="00EA62B9">
        <w:rPr>
          <w:rFonts w:ascii="Arial" w:eastAsia="Calibri" w:hAnsi="Arial" w:cs="Arial"/>
          <w:sz w:val="24"/>
        </w:rPr>
        <w:t xml:space="preserve"> the Commissioner contended that </w:t>
      </w:r>
      <w:r w:rsidR="001C49A7">
        <w:rPr>
          <w:rFonts w:ascii="Arial" w:eastAsia="Calibri" w:hAnsi="Arial" w:cs="Arial"/>
          <w:sz w:val="24"/>
        </w:rPr>
        <w:t>no legal error had been made in relation to</w:t>
      </w:r>
      <w:r w:rsidR="00EA62B9">
        <w:rPr>
          <w:rFonts w:ascii="Arial" w:eastAsia="Calibri" w:hAnsi="Arial" w:cs="Arial"/>
          <w:sz w:val="24"/>
        </w:rPr>
        <w:t xml:space="preserve"> </w:t>
      </w:r>
      <w:r w:rsidR="00437BB3">
        <w:rPr>
          <w:rFonts w:ascii="Arial" w:eastAsia="Calibri" w:hAnsi="Arial" w:cs="Arial"/>
          <w:sz w:val="24"/>
        </w:rPr>
        <w:t xml:space="preserve">the </w:t>
      </w:r>
      <w:r w:rsidR="00C9201E">
        <w:rPr>
          <w:rFonts w:ascii="Arial" w:eastAsia="Calibri" w:hAnsi="Arial" w:cs="Arial"/>
          <w:sz w:val="24"/>
        </w:rPr>
        <w:t>applicability</w:t>
      </w:r>
      <w:r w:rsidR="00EA62B9">
        <w:rPr>
          <w:rFonts w:ascii="Arial" w:eastAsia="Calibri" w:hAnsi="Arial" w:cs="Arial"/>
          <w:sz w:val="24"/>
        </w:rPr>
        <w:t xml:space="preserve"> of</w:t>
      </w:r>
      <w:r w:rsidR="00C9201E">
        <w:rPr>
          <w:rFonts w:ascii="Arial" w:eastAsia="Calibri" w:hAnsi="Arial" w:cs="Arial"/>
          <w:sz w:val="24"/>
        </w:rPr>
        <w:t xml:space="preserve"> </w:t>
      </w:r>
      <w:r w:rsidR="001C49A7">
        <w:rPr>
          <w:rFonts w:ascii="Arial" w:eastAsia="Calibri" w:hAnsi="Arial" w:cs="Arial"/>
          <w:sz w:val="24"/>
        </w:rPr>
        <w:t>s</w:t>
      </w:r>
      <w:r w:rsidR="00EA62B9">
        <w:rPr>
          <w:rFonts w:ascii="Arial" w:eastAsia="Calibri" w:hAnsi="Arial" w:cs="Arial"/>
          <w:sz w:val="24"/>
        </w:rPr>
        <w:t xml:space="preserve"> 2</w:t>
      </w:r>
      <w:r w:rsidR="001C49A7">
        <w:rPr>
          <w:rFonts w:ascii="Arial" w:eastAsia="Calibri" w:hAnsi="Arial" w:cs="Arial"/>
          <w:sz w:val="24"/>
        </w:rPr>
        <w:t>2</w:t>
      </w:r>
      <w:r w:rsidR="00EA62B9">
        <w:rPr>
          <w:rFonts w:ascii="Arial" w:eastAsia="Calibri" w:hAnsi="Arial" w:cs="Arial"/>
          <w:sz w:val="24"/>
        </w:rPr>
        <w:t>1(</w:t>
      </w:r>
      <w:r w:rsidR="001C49A7">
        <w:rPr>
          <w:rFonts w:ascii="Arial" w:eastAsia="Calibri" w:hAnsi="Arial" w:cs="Arial"/>
          <w:sz w:val="24"/>
        </w:rPr>
        <w:t>e</w:t>
      </w:r>
      <w:r w:rsidR="00EA62B9">
        <w:rPr>
          <w:rFonts w:ascii="Arial" w:eastAsia="Calibri" w:hAnsi="Arial" w:cs="Arial"/>
          <w:sz w:val="24"/>
        </w:rPr>
        <w:t>)</w:t>
      </w:r>
      <w:r w:rsidR="001C49A7">
        <w:rPr>
          <w:rFonts w:ascii="Arial" w:eastAsia="Calibri" w:hAnsi="Arial" w:cs="Arial"/>
          <w:sz w:val="24"/>
        </w:rPr>
        <w:t>, and</w:t>
      </w:r>
      <w:r w:rsidR="00EA62B9">
        <w:rPr>
          <w:rFonts w:ascii="Arial" w:eastAsia="Calibri" w:hAnsi="Arial" w:cs="Arial"/>
          <w:sz w:val="24"/>
        </w:rPr>
        <w:t xml:space="preserve"> the imposition of such a penalty</w:t>
      </w:r>
      <w:r w:rsidR="001C49A7">
        <w:rPr>
          <w:rFonts w:ascii="Arial" w:eastAsia="Calibri" w:hAnsi="Arial" w:cs="Arial"/>
          <w:sz w:val="24"/>
        </w:rPr>
        <w:t xml:space="preserve"> was in any event competent in terms of other provisions of the section.</w:t>
      </w:r>
    </w:p>
    <w:p w14:paraId="52E68528" w14:textId="7AC702EA" w:rsidR="00F10330"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t>85.</w:t>
      </w:r>
      <w:r>
        <w:rPr>
          <w:rFonts w:ascii="Arial" w:eastAsia="Calibri" w:hAnsi="Arial" w:cs="Arial"/>
          <w:sz w:val="24"/>
        </w:rPr>
        <w:tab/>
      </w:r>
      <w:r w:rsidR="008B7C8B">
        <w:rPr>
          <w:rFonts w:ascii="Arial" w:eastAsia="Calibri" w:hAnsi="Arial" w:cs="Arial"/>
          <w:sz w:val="24"/>
        </w:rPr>
        <w:t>A</w:t>
      </w:r>
      <w:r w:rsidR="00EA62B9">
        <w:rPr>
          <w:rFonts w:ascii="Arial" w:eastAsia="Calibri" w:hAnsi="Arial" w:cs="Arial"/>
          <w:sz w:val="24"/>
        </w:rPr>
        <w:t xml:space="preserve">s was </w:t>
      </w:r>
      <w:r w:rsidR="00C9201E">
        <w:rPr>
          <w:rFonts w:ascii="Arial" w:eastAsia="Calibri" w:hAnsi="Arial" w:cs="Arial"/>
          <w:sz w:val="24"/>
        </w:rPr>
        <w:t xml:space="preserve">correctly </w:t>
      </w:r>
      <w:r w:rsidR="001A4476">
        <w:rPr>
          <w:rFonts w:ascii="Arial" w:eastAsia="Calibri" w:hAnsi="Arial" w:cs="Arial"/>
          <w:sz w:val="24"/>
        </w:rPr>
        <w:t>submitted</w:t>
      </w:r>
      <w:r w:rsidR="00EA62B9">
        <w:rPr>
          <w:rFonts w:ascii="Arial" w:eastAsia="Calibri" w:hAnsi="Arial" w:cs="Arial"/>
          <w:sz w:val="24"/>
        </w:rPr>
        <w:t xml:space="preserve"> by the Commissioner, the circumstances which were raised by the applicant </w:t>
      </w:r>
      <w:r w:rsidR="001C49A7">
        <w:rPr>
          <w:rFonts w:ascii="Arial" w:eastAsia="Calibri" w:hAnsi="Arial" w:cs="Arial"/>
          <w:sz w:val="24"/>
        </w:rPr>
        <w:t>do</w:t>
      </w:r>
      <w:r w:rsidR="00EA62B9">
        <w:rPr>
          <w:rFonts w:ascii="Arial" w:eastAsia="Calibri" w:hAnsi="Arial" w:cs="Arial"/>
          <w:sz w:val="24"/>
        </w:rPr>
        <w:t xml:space="preserve"> not constitute ‘pure’ points of law</w:t>
      </w:r>
      <w:r w:rsidR="001C49A7">
        <w:rPr>
          <w:rFonts w:ascii="Arial" w:eastAsia="Calibri" w:hAnsi="Arial" w:cs="Arial"/>
          <w:sz w:val="24"/>
        </w:rPr>
        <w:t>, nor is this a matter which turns wholly, or even partially</w:t>
      </w:r>
      <w:r w:rsidR="001A4476">
        <w:rPr>
          <w:rFonts w:ascii="Arial" w:eastAsia="Calibri" w:hAnsi="Arial" w:cs="Arial"/>
          <w:sz w:val="24"/>
        </w:rPr>
        <w:t>,</w:t>
      </w:r>
      <w:r w:rsidR="001C49A7">
        <w:rPr>
          <w:rFonts w:ascii="Arial" w:eastAsia="Calibri" w:hAnsi="Arial" w:cs="Arial"/>
          <w:sz w:val="24"/>
        </w:rPr>
        <w:t xml:space="preserve"> on a </w:t>
      </w:r>
      <w:r w:rsidR="00437BB3">
        <w:rPr>
          <w:rFonts w:ascii="Arial" w:eastAsia="Calibri" w:hAnsi="Arial" w:cs="Arial"/>
          <w:sz w:val="24"/>
        </w:rPr>
        <w:t xml:space="preserve">‘pure’ </w:t>
      </w:r>
      <w:r w:rsidR="001C49A7">
        <w:rPr>
          <w:rFonts w:ascii="Arial" w:eastAsia="Calibri" w:hAnsi="Arial" w:cs="Arial"/>
          <w:sz w:val="24"/>
        </w:rPr>
        <w:t>point of law. It is about the underlying facts</w:t>
      </w:r>
      <w:r w:rsidR="00F37701">
        <w:rPr>
          <w:rFonts w:ascii="Arial" w:eastAsia="Calibri" w:hAnsi="Arial" w:cs="Arial"/>
          <w:sz w:val="24"/>
        </w:rPr>
        <w:t>.</w:t>
      </w:r>
      <w:r w:rsidR="001C49A7">
        <w:rPr>
          <w:rFonts w:ascii="Arial" w:eastAsia="Calibri" w:hAnsi="Arial" w:cs="Arial"/>
          <w:sz w:val="24"/>
        </w:rPr>
        <w:t xml:space="preserve"> </w:t>
      </w:r>
      <w:r w:rsidR="00EA62B9">
        <w:rPr>
          <w:rFonts w:ascii="Arial" w:eastAsia="Calibri" w:hAnsi="Arial" w:cs="Arial"/>
          <w:sz w:val="24"/>
        </w:rPr>
        <w:t xml:space="preserve">The complaint </w:t>
      </w:r>
      <w:r w:rsidR="001C49A7">
        <w:rPr>
          <w:rFonts w:ascii="Arial" w:eastAsia="Calibri" w:hAnsi="Arial" w:cs="Arial"/>
          <w:sz w:val="24"/>
        </w:rPr>
        <w:t xml:space="preserve">which was </w:t>
      </w:r>
      <w:r w:rsidR="00EA62B9">
        <w:rPr>
          <w:rFonts w:ascii="Arial" w:eastAsia="Calibri" w:hAnsi="Arial" w:cs="Arial"/>
          <w:sz w:val="24"/>
        </w:rPr>
        <w:t xml:space="preserve">put forward by the applicant </w:t>
      </w:r>
      <w:r w:rsidR="001C49A7">
        <w:rPr>
          <w:rFonts w:ascii="Arial" w:eastAsia="Calibri" w:hAnsi="Arial" w:cs="Arial"/>
          <w:sz w:val="24"/>
        </w:rPr>
        <w:t>i</w:t>
      </w:r>
      <w:r w:rsidR="00EA62B9">
        <w:rPr>
          <w:rFonts w:ascii="Arial" w:eastAsia="Calibri" w:hAnsi="Arial" w:cs="Arial"/>
          <w:sz w:val="24"/>
        </w:rPr>
        <w:t xml:space="preserve">s </w:t>
      </w:r>
      <w:r w:rsidR="00437BB3">
        <w:rPr>
          <w:rFonts w:ascii="Arial" w:eastAsia="Calibri" w:hAnsi="Arial" w:cs="Arial"/>
          <w:sz w:val="24"/>
        </w:rPr>
        <w:t xml:space="preserve">principally </w:t>
      </w:r>
      <w:r w:rsidR="00EA62B9">
        <w:rPr>
          <w:rFonts w:ascii="Arial" w:eastAsia="Calibri" w:hAnsi="Arial" w:cs="Arial"/>
          <w:sz w:val="24"/>
        </w:rPr>
        <w:t xml:space="preserve">that the </w:t>
      </w:r>
      <w:r w:rsidR="001C49A7">
        <w:rPr>
          <w:rFonts w:ascii="Arial" w:eastAsia="Calibri" w:hAnsi="Arial" w:cs="Arial"/>
          <w:sz w:val="24"/>
        </w:rPr>
        <w:t>Commissioner</w:t>
      </w:r>
      <w:r w:rsidR="00F37701">
        <w:rPr>
          <w:rFonts w:ascii="Arial" w:eastAsia="Calibri" w:hAnsi="Arial" w:cs="Arial"/>
          <w:sz w:val="24"/>
        </w:rPr>
        <w:t>’</w:t>
      </w:r>
      <w:r w:rsidR="001C49A7">
        <w:rPr>
          <w:rFonts w:ascii="Arial" w:eastAsia="Calibri" w:hAnsi="Arial" w:cs="Arial"/>
          <w:sz w:val="24"/>
        </w:rPr>
        <w:t xml:space="preserve">s </w:t>
      </w:r>
      <w:r w:rsidR="00EA62B9">
        <w:rPr>
          <w:rFonts w:ascii="Arial" w:eastAsia="Calibri" w:hAnsi="Arial" w:cs="Arial"/>
          <w:sz w:val="24"/>
        </w:rPr>
        <w:t xml:space="preserve">assessment </w:t>
      </w:r>
      <w:r w:rsidR="001C49A7">
        <w:rPr>
          <w:rFonts w:ascii="Arial" w:eastAsia="Calibri" w:hAnsi="Arial" w:cs="Arial"/>
          <w:sz w:val="24"/>
        </w:rPr>
        <w:t>was based</w:t>
      </w:r>
      <w:r w:rsidR="00EA62B9">
        <w:rPr>
          <w:rFonts w:ascii="Arial" w:eastAsia="Calibri" w:hAnsi="Arial" w:cs="Arial"/>
          <w:sz w:val="24"/>
        </w:rPr>
        <w:t xml:space="preserve"> on </w:t>
      </w:r>
      <w:r w:rsidR="001C49A7">
        <w:rPr>
          <w:rFonts w:ascii="Arial" w:eastAsia="Calibri" w:hAnsi="Arial" w:cs="Arial"/>
          <w:sz w:val="24"/>
        </w:rPr>
        <w:t xml:space="preserve">an </w:t>
      </w:r>
      <w:r w:rsidR="00EA62B9">
        <w:rPr>
          <w:rFonts w:ascii="Arial" w:eastAsia="Calibri" w:hAnsi="Arial" w:cs="Arial"/>
          <w:sz w:val="24"/>
        </w:rPr>
        <w:t xml:space="preserve">incorrect factual </w:t>
      </w:r>
      <w:r w:rsidR="001C49A7">
        <w:rPr>
          <w:rFonts w:ascii="Arial" w:eastAsia="Calibri" w:hAnsi="Arial" w:cs="Arial"/>
          <w:sz w:val="24"/>
        </w:rPr>
        <w:t>premise and</w:t>
      </w:r>
      <w:r w:rsidR="00EA62B9">
        <w:rPr>
          <w:rFonts w:ascii="Arial" w:eastAsia="Calibri" w:hAnsi="Arial" w:cs="Arial"/>
          <w:sz w:val="24"/>
        </w:rPr>
        <w:t xml:space="preserve"> was arrived at as a result of </w:t>
      </w:r>
      <w:r w:rsidR="001C49A7">
        <w:rPr>
          <w:rFonts w:ascii="Arial" w:eastAsia="Calibri" w:hAnsi="Arial" w:cs="Arial"/>
          <w:sz w:val="24"/>
        </w:rPr>
        <w:t xml:space="preserve">an </w:t>
      </w:r>
      <w:r w:rsidR="00EA62B9">
        <w:rPr>
          <w:rFonts w:ascii="Arial" w:eastAsia="Calibri" w:hAnsi="Arial" w:cs="Arial"/>
          <w:sz w:val="24"/>
        </w:rPr>
        <w:t xml:space="preserve">error of fact, not law. </w:t>
      </w:r>
      <w:r w:rsidR="003A6669">
        <w:rPr>
          <w:rFonts w:ascii="Arial" w:eastAsia="Calibri" w:hAnsi="Arial" w:cs="Arial"/>
          <w:sz w:val="24"/>
        </w:rPr>
        <w:t>An</w:t>
      </w:r>
      <w:r w:rsidR="001C49A7">
        <w:rPr>
          <w:rFonts w:ascii="Arial" w:eastAsia="Calibri" w:hAnsi="Arial" w:cs="Arial"/>
          <w:sz w:val="24"/>
        </w:rPr>
        <w:t xml:space="preserve"> error of fact is corrected on appeal, not on review, which deals with process rather than result and usually culminates in a referral back to the decision-maker, and not a revised </w:t>
      </w:r>
      <w:r w:rsidR="001A4476">
        <w:rPr>
          <w:rFonts w:ascii="Arial" w:eastAsia="Calibri" w:hAnsi="Arial" w:cs="Arial"/>
          <w:sz w:val="24"/>
        </w:rPr>
        <w:t xml:space="preserve">tax </w:t>
      </w:r>
      <w:r w:rsidR="001C49A7">
        <w:rPr>
          <w:rFonts w:ascii="Arial" w:eastAsia="Calibri" w:hAnsi="Arial" w:cs="Arial"/>
          <w:sz w:val="24"/>
        </w:rPr>
        <w:t xml:space="preserve">assessment.   </w:t>
      </w:r>
    </w:p>
    <w:p w14:paraId="6738387A" w14:textId="30B3BF84" w:rsidR="001A4476"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t>86.</w:t>
      </w:r>
      <w:r>
        <w:rPr>
          <w:rFonts w:ascii="Arial" w:eastAsia="Calibri" w:hAnsi="Arial" w:cs="Arial"/>
          <w:sz w:val="24"/>
        </w:rPr>
        <w:tab/>
      </w:r>
      <w:r w:rsidR="00F37701">
        <w:rPr>
          <w:rFonts w:ascii="Arial" w:eastAsia="Calibri" w:hAnsi="Arial" w:cs="Arial"/>
          <w:sz w:val="24"/>
        </w:rPr>
        <w:t>I</w:t>
      </w:r>
      <w:r w:rsidR="001C089D">
        <w:rPr>
          <w:rFonts w:ascii="Arial" w:eastAsia="Calibri" w:hAnsi="Arial" w:cs="Arial"/>
          <w:sz w:val="24"/>
        </w:rPr>
        <w:t>t</w:t>
      </w:r>
      <w:r w:rsidR="00EA62B9">
        <w:rPr>
          <w:rFonts w:ascii="Arial" w:eastAsia="Calibri" w:hAnsi="Arial" w:cs="Arial"/>
          <w:sz w:val="24"/>
        </w:rPr>
        <w:t xml:space="preserve"> </w:t>
      </w:r>
      <w:r w:rsidR="00F36B94">
        <w:rPr>
          <w:rFonts w:ascii="Arial" w:eastAsia="Calibri" w:hAnsi="Arial" w:cs="Arial"/>
          <w:sz w:val="24"/>
        </w:rPr>
        <w:t xml:space="preserve">further </w:t>
      </w:r>
      <w:r w:rsidR="00EA62B9">
        <w:rPr>
          <w:rFonts w:ascii="Arial" w:eastAsia="Calibri" w:hAnsi="Arial" w:cs="Arial"/>
          <w:sz w:val="24"/>
        </w:rPr>
        <w:t>seems to me that</w:t>
      </w:r>
      <w:r w:rsidR="00142B37">
        <w:rPr>
          <w:rFonts w:ascii="Arial" w:eastAsia="Calibri" w:hAnsi="Arial" w:cs="Arial"/>
          <w:sz w:val="24"/>
        </w:rPr>
        <w:t xml:space="preserve"> in any event</w:t>
      </w:r>
      <w:r w:rsidR="00EA62B9">
        <w:rPr>
          <w:rFonts w:ascii="Arial" w:eastAsia="Calibri" w:hAnsi="Arial" w:cs="Arial"/>
          <w:sz w:val="24"/>
        </w:rPr>
        <w:t xml:space="preserve">, in matters where impermissible tax avoidance schemes or arrangements are </w:t>
      </w:r>
      <w:r w:rsidR="00F37701">
        <w:rPr>
          <w:rFonts w:ascii="Arial" w:eastAsia="Calibri" w:hAnsi="Arial" w:cs="Arial"/>
          <w:sz w:val="24"/>
        </w:rPr>
        <w:t xml:space="preserve">allegedly </w:t>
      </w:r>
      <w:r w:rsidR="00EA62B9">
        <w:rPr>
          <w:rFonts w:ascii="Arial" w:eastAsia="Calibri" w:hAnsi="Arial" w:cs="Arial"/>
          <w:sz w:val="24"/>
        </w:rPr>
        <w:t>involved</w:t>
      </w:r>
      <w:r w:rsidR="00C9201E">
        <w:rPr>
          <w:rFonts w:ascii="Arial" w:eastAsia="Calibri" w:hAnsi="Arial" w:cs="Arial"/>
          <w:sz w:val="24"/>
        </w:rPr>
        <w:t xml:space="preserve"> in terms of the GAAR provisions of the Income Tax Act</w:t>
      </w:r>
      <w:r w:rsidR="00EA62B9">
        <w:rPr>
          <w:rFonts w:ascii="Arial" w:eastAsia="Calibri" w:hAnsi="Arial" w:cs="Arial"/>
          <w:sz w:val="24"/>
        </w:rPr>
        <w:t>,</w:t>
      </w:r>
      <w:r w:rsidR="00F37701">
        <w:rPr>
          <w:rFonts w:ascii="Arial" w:eastAsia="Calibri" w:hAnsi="Arial" w:cs="Arial"/>
          <w:sz w:val="24"/>
        </w:rPr>
        <w:t xml:space="preserve"> </w:t>
      </w:r>
      <w:r w:rsidR="009F760C">
        <w:rPr>
          <w:rFonts w:ascii="Arial" w:eastAsia="Calibri" w:hAnsi="Arial" w:cs="Arial"/>
          <w:sz w:val="24"/>
        </w:rPr>
        <w:t xml:space="preserve">for a variety of reasons </w:t>
      </w:r>
      <w:r w:rsidR="00D73698">
        <w:rPr>
          <w:rFonts w:ascii="Arial" w:eastAsia="Calibri" w:hAnsi="Arial" w:cs="Arial"/>
          <w:sz w:val="24"/>
        </w:rPr>
        <w:t>it will ordinarily not be in the interests of justice, as required</w:t>
      </w:r>
      <w:r w:rsidR="00F37701">
        <w:rPr>
          <w:rFonts w:ascii="Arial" w:eastAsia="Calibri" w:hAnsi="Arial" w:cs="Arial"/>
          <w:sz w:val="24"/>
        </w:rPr>
        <w:t xml:space="preserve"> </w:t>
      </w:r>
      <w:r w:rsidR="00D73698">
        <w:rPr>
          <w:rFonts w:ascii="Arial" w:eastAsia="Calibri" w:hAnsi="Arial" w:cs="Arial"/>
          <w:sz w:val="24"/>
        </w:rPr>
        <w:t>by</w:t>
      </w:r>
      <w:r w:rsidR="00F37701">
        <w:rPr>
          <w:rFonts w:ascii="Arial" w:eastAsia="Calibri" w:hAnsi="Arial" w:cs="Arial"/>
          <w:sz w:val="24"/>
        </w:rPr>
        <w:t xml:space="preserve"> s 7(2)(c) of PAJA</w:t>
      </w:r>
      <w:r w:rsidR="00D73698">
        <w:rPr>
          <w:rFonts w:ascii="Arial" w:eastAsia="Calibri" w:hAnsi="Arial" w:cs="Arial"/>
          <w:sz w:val="24"/>
        </w:rPr>
        <w:t>, for a civil Court to entertain</w:t>
      </w:r>
      <w:r w:rsidR="00D92EBF">
        <w:rPr>
          <w:rFonts w:ascii="Arial" w:eastAsia="Calibri" w:hAnsi="Arial" w:cs="Arial"/>
          <w:sz w:val="24"/>
        </w:rPr>
        <w:t xml:space="preserve"> a PAJA review thereof</w:t>
      </w:r>
      <w:r w:rsidR="00F36B94">
        <w:rPr>
          <w:rFonts w:ascii="Arial" w:eastAsia="Calibri" w:hAnsi="Arial" w:cs="Arial"/>
          <w:sz w:val="24"/>
        </w:rPr>
        <w:t>, as a Court of first instance</w:t>
      </w:r>
      <w:r w:rsidR="00D92EBF">
        <w:rPr>
          <w:rFonts w:ascii="Arial" w:eastAsia="Calibri" w:hAnsi="Arial" w:cs="Arial"/>
          <w:sz w:val="24"/>
        </w:rPr>
        <w:t xml:space="preserve">. </w:t>
      </w:r>
      <w:r w:rsidR="009F760C">
        <w:rPr>
          <w:rFonts w:ascii="Arial" w:eastAsia="Calibri" w:hAnsi="Arial" w:cs="Arial"/>
          <w:sz w:val="24"/>
        </w:rPr>
        <w:t>For one thing, t</w:t>
      </w:r>
      <w:r w:rsidR="00EA62B9">
        <w:rPr>
          <w:rFonts w:ascii="Arial" w:eastAsia="Calibri" w:hAnsi="Arial" w:cs="Arial"/>
          <w:sz w:val="24"/>
        </w:rPr>
        <w:t xml:space="preserve">he facts </w:t>
      </w:r>
      <w:r w:rsidR="001A4476">
        <w:rPr>
          <w:rFonts w:ascii="Arial" w:eastAsia="Calibri" w:hAnsi="Arial" w:cs="Arial"/>
          <w:sz w:val="24"/>
        </w:rPr>
        <w:t xml:space="preserve">in matters </w:t>
      </w:r>
      <w:r w:rsidR="003A6669">
        <w:rPr>
          <w:rFonts w:ascii="Arial" w:eastAsia="Calibri" w:hAnsi="Arial" w:cs="Arial"/>
          <w:sz w:val="24"/>
        </w:rPr>
        <w:t xml:space="preserve">involving such schemes or arrangements </w:t>
      </w:r>
      <w:r w:rsidR="00EA62B9">
        <w:rPr>
          <w:rFonts w:ascii="Arial" w:eastAsia="Calibri" w:hAnsi="Arial" w:cs="Arial"/>
          <w:sz w:val="24"/>
        </w:rPr>
        <w:t xml:space="preserve">will invariably be </w:t>
      </w:r>
      <w:r w:rsidR="003A6669">
        <w:rPr>
          <w:rFonts w:ascii="Arial" w:eastAsia="Calibri" w:hAnsi="Arial" w:cs="Arial"/>
          <w:sz w:val="24"/>
        </w:rPr>
        <w:t xml:space="preserve">complex, </w:t>
      </w:r>
      <w:r w:rsidR="003A6669">
        <w:rPr>
          <w:rFonts w:ascii="Arial" w:eastAsia="Calibri" w:hAnsi="Arial" w:cs="Arial"/>
          <w:sz w:val="24"/>
        </w:rPr>
        <w:lastRenderedPageBreak/>
        <w:t xml:space="preserve">opaque and </w:t>
      </w:r>
      <w:r w:rsidR="00EA62B9">
        <w:rPr>
          <w:rFonts w:ascii="Arial" w:eastAsia="Calibri" w:hAnsi="Arial" w:cs="Arial"/>
          <w:sz w:val="24"/>
        </w:rPr>
        <w:t>contested</w:t>
      </w:r>
      <w:r w:rsidR="009F760C">
        <w:rPr>
          <w:rFonts w:ascii="Arial" w:eastAsia="Calibri" w:hAnsi="Arial" w:cs="Arial"/>
          <w:sz w:val="24"/>
        </w:rPr>
        <w:t xml:space="preserve"> and review Courts are not the appropriate forums fo</w:t>
      </w:r>
      <w:r w:rsidR="00C9201E">
        <w:rPr>
          <w:rFonts w:ascii="Arial" w:eastAsia="Calibri" w:hAnsi="Arial" w:cs="Arial"/>
          <w:sz w:val="24"/>
        </w:rPr>
        <w:t>r</w:t>
      </w:r>
      <w:r w:rsidR="009F760C">
        <w:rPr>
          <w:rFonts w:ascii="Arial" w:eastAsia="Calibri" w:hAnsi="Arial" w:cs="Arial"/>
          <w:sz w:val="24"/>
        </w:rPr>
        <w:t xml:space="preserve"> dealing with them</w:t>
      </w:r>
      <w:r w:rsidR="00EA62B9">
        <w:rPr>
          <w:rFonts w:ascii="Arial" w:eastAsia="Calibri" w:hAnsi="Arial" w:cs="Arial"/>
          <w:sz w:val="24"/>
        </w:rPr>
        <w:t xml:space="preserve">. </w:t>
      </w:r>
    </w:p>
    <w:p w14:paraId="150340F0" w14:textId="4AD035FB" w:rsidR="00D0522D"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t>87.</w:t>
      </w:r>
      <w:r>
        <w:rPr>
          <w:rFonts w:ascii="Arial" w:eastAsia="Calibri" w:hAnsi="Arial" w:cs="Arial"/>
          <w:sz w:val="24"/>
        </w:rPr>
        <w:tab/>
      </w:r>
      <w:r w:rsidR="00C9201E">
        <w:rPr>
          <w:rFonts w:ascii="Arial" w:eastAsia="Calibri" w:hAnsi="Arial" w:cs="Arial"/>
          <w:sz w:val="24"/>
        </w:rPr>
        <w:t>By definition,</w:t>
      </w:r>
      <w:r w:rsidR="007913BE">
        <w:rPr>
          <w:rStyle w:val="FootnoteReference"/>
          <w:rFonts w:ascii="Arial" w:eastAsia="Calibri" w:hAnsi="Arial" w:cs="Arial"/>
          <w:sz w:val="24"/>
        </w:rPr>
        <w:footnoteReference w:id="58"/>
      </w:r>
      <w:r w:rsidR="00C9201E">
        <w:rPr>
          <w:rFonts w:ascii="Arial" w:eastAsia="Calibri" w:hAnsi="Arial" w:cs="Arial"/>
          <w:sz w:val="24"/>
        </w:rPr>
        <w:t xml:space="preserve"> an impermissible tax avoidance arrangement</w:t>
      </w:r>
      <w:r w:rsidR="007913BE">
        <w:rPr>
          <w:rFonts w:ascii="Arial" w:eastAsia="Calibri" w:hAnsi="Arial" w:cs="Arial"/>
          <w:sz w:val="24"/>
        </w:rPr>
        <w:t xml:space="preserve"> is </w:t>
      </w:r>
      <w:r w:rsidR="0098791B">
        <w:rPr>
          <w:rFonts w:ascii="Arial" w:eastAsia="Calibri" w:hAnsi="Arial" w:cs="Arial"/>
          <w:sz w:val="24"/>
        </w:rPr>
        <w:t>one which</w:t>
      </w:r>
      <w:r w:rsidR="007913BE">
        <w:rPr>
          <w:rFonts w:ascii="Arial" w:eastAsia="Calibri" w:hAnsi="Arial" w:cs="Arial"/>
          <w:sz w:val="24"/>
        </w:rPr>
        <w:t xml:space="preserve"> was entered into or carried out</w:t>
      </w:r>
      <w:r w:rsidR="00C9201E">
        <w:rPr>
          <w:rFonts w:ascii="Arial" w:eastAsia="Calibri" w:hAnsi="Arial" w:cs="Arial"/>
          <w:sz w:val="24"/>
        </w:rPr>
        <w:t xml:space="preserve"> </w:t>
      </w:r>
      <w:r w:rsidR="00164EC2">
        <w:rPr>
          <w:rFonts w:ascii="Arial" w:eastAsia="Calibri" w:hAnsi="Arial" w:cs="Arial"/>
          <w:sz w:val="24"/>
        </w:rPr>
        <w:t xml:space="preserve">by means, or in a manner, which would not normally be employed for </w:t>
      </w:r>
      <w:r w:rsidR="00164EC2" w:rsidRPr="007913BE">
        <w:rPr>
          <w:rFonts w:ascii="Arial" w:eastAsia="Calibri" w:hAnsi="Arial" w:cs="Arial"/>
          <w:i/>
          <w:iCs/>
          <w:sz w:val="24"/>
        </w:rPr>
        <w:t>bona fide</w:t>
      </w:r>
      <w:r w:rsidR="00164EC2">
        <w:rPr>
          <w:rFonts w:ascii="Arial" w:eastAsia="Calibri" w:hAnsi="Arial" w:cs="Arial"/>
          <w:sz w:val="24"/>
        </w:rPr>
        <w:t xml:space="preserve"> business </w:t>
      </w:r>
      <w:r w:rsidR="008B1DFB">
        <w:rPr>
          <w:rFonts w:ascii="Arial" w:eastAsia="Calibri" w:hAnsi="Arial" w:cs="Arial"/>
          <w:sz w:val="24"/>
        </w:rPr>
        <w:t>purposes,</w:t>
      </w:r>
      <w:r w:rsidR="00164EC2">
        <w:rPr>
          <w:rFonts w:ascii="Arial" w:eastAsia="Calibri" w:hAnsi="Arial" w:cs="Arial"/>
          <w:sz w:val="24"/>
        </w:rPr>
        <w:t xml:space="preserve"> or which lacks commercial substance in whole or in part</w:t>
      </w:r>
      <w:r w:rsidR="008B1DFB">
        <w:rPr>
          <w:rFonts w:ascii="Arial" w:eastAsia="Calibri" w:hAnsi="Arial" w:cs="Arial"/>
          <w:sz w:val="24"/>
        </w:rPr>
        <w:t>;</w:t>
      </w:r>
      <w:r w:rsidR="0098791B">
        <w:rPr>
          <w:rFonts w:ascii="Arial" w:eastAsia="Calibri" w:hAnsi="Arial" w:cs="Arial"/>
          <w:sz w:val="24"/>
        </w:rPr>
        <w:t xml:space="preserve"> and</w:t>
      </w:r>
      <w:r w:rsidR="0098791B" w:rsidRPr="0098791B">
        <w:rPr>
          <w:rFonts w:ascii="Arial" w:eastAsia="Calibri" w:hAnsi="Arial" w:cs="Arial"/>
          <w:sz w:val="24"/>
        </w:rPr>
        <w:t xml:space="preserve"> </w:t>
      </w:r>
      <w:r w:rsidR="0098791B">
        <w:rPr>
          <w:rFonts w:ascii="Arial" w:eastAsia="Calibri" w:hAnsi="Arial" w:cs="Arial"/>
          <w:sz w:val="24"/>
        </w:rPr>
        <w:t>which has as its sole or main purpose the obtaining of a tax benefit</w:t>
      </w:r>
      <w:r w:rsidR="00164EC2">
        <w:rPr>
          <w:rFonts w:ascii="Arial" w:eastAsia="Calibri" w:hAnsi="Arial" w:cs="Arial"/>
          <w:sz w:val="24"/>
        </w:rPr>
        <w:t xml:space="preserve">. </w:t>
      </w:r>
      <w:r w:rsidR="00CB33CD">
        <w:rPr>
          <w:rFonts w:ascii="Arial" w:eastAsia="Calibri" w:hAnsi="Arial" w:cs="Arial"/>
          <w:sz w:val="24"/>
        </w:rPr>
        <w:t>It</w:t>
      </w:r>
      <w:r w:rsidR="007913BE">
        <w:rPr>
          <w:rFonts w:ascii="Arial" w:eastAsia="Calibri" w:hAnsi="Arial" w:cs="Arial"/>
          <w:sz w:val="24"/>
        </w:rPr>
        <w:t xml:space="preserve"> </w:t>
      </w:r>
      <w:r w:rsidR="00CB33CD">
        <w:rPr>
          <w:rFonts w:ascii="Arial" w:eastAsia="Calibri" w:hAnsi="Arial" w:cs="Arial"/>
          <w:sz w:val="24"/>
        </w:rPr>
        <w:t>includes</w:t>
      </w:r>
      <w:r w:rsidR="007913BE">
        <w:rPr>
          <w:rFonts w:ascii="Arial" w:eastAsia="Calibri" w:hAnsi="Arial" w:cs="Arial"/>
          <w:sz w:val="24"/>
        </w:rPr>
        <w:t xml:space="preserve"> any </w:t>
      </w:r>
      <w:r w:rsidR="008B1DFB">
        <w:rPr>
          <w:rFonts w:ascii="Arial" w:eastAsia="Calibri" w:hAnsi="Arial" w:cs="Arial"/>
          <w:sz w:val="24"/>
        </w:rPr>
        <w:t>‘</w:t>
      </w:r>
      <w:r w:rsidR="007913BE">
        <w:rPr>
          <w:rFonts w:ascii="Arial" w:eastAsia="Calibri" w:hAnsi="Arial" w:cs="Arial"/>
          <w:sz w:val="24"/>
        </w:rPr>
        <w:t>transaction, operation, scheme</w:t>
      </w:r>
      <w:r w:rsidR="0098791B">
        <w:rPr>
          <w:rFonts w:ascii="Arial" w:eastAsia="Calibri" w:hAnsi="Arial" w:cs="Arial"/>
          <w:sz w:val="24"/>
        </w:rPr>
        <w:t xml:space="preserve">, agreement or understanding’, </w:t>
      </w:r>
      <w:r w:rsidR="008B1DFB">
        <w:rPr>
          <w:rFonts w:ascii="Arial" w:eastAsia="Calibri" w:hAnsi="Arial" w:cs="Arial"/>
          <w:sz w:val="24"/>
        </w:rPr>
        <w:t xml:space="preserve">and </w:t>
      </w:r>
      <w:r w:rsidR="0098791B">
        <w:rPr>
          <w:rFonts w:ascii="Arial" w:eastAsia="Calibri" w:hAnsi="Arial" w:cs="Arial"/>
          <w:sz w:val="24"/>
        </w:rPr>
        <w:t>all steps therein or parts thereof.</w:t>
      </w:r>
      <w:r w:rsidR="0098791B">
        <w:rPr>
          <w:rStyle w:val="FootnoteReference"/>
          <w:rFonts w:ascii="Arial" w:eastAsia="Calibri" w:hAnsi="Arial" w:cs="Arial"/>
          <w:sz w:val="24"/>
        </w:rPr>
        <w:footnoteReference w:id="59"/>
      </w:r>
      <w:r w:rsidR="007913BE">
        <w:rPr>
          <w:rFonts w:ascii="Arial" w:eastAsia="Calibri" w:hAnsi="Arial" w:cs="Arial"/>
          <w:sz w:val="24"/>
        </w:rPr>
        <w:t xml:space="preserve"> </w:t>
      </w:r>
      <w:r w:rsidR="00437BB3">
        <w:rPr>
          <w:rFonts w:ascii="Arial" w:eastAsia="Calibri" w:hAnsi="Arial" w:cs="Arial"/>
          <w:sz w:val="24"/>
        </w:rPr>
        <w:t xml:space="preserve">As for the parties </w:t>
      </w:r>
      <w:r w:rsidR="00CB33CD">
        <w:rPr>
          <w:rFonts w:ascii="Arial" w:eastAsia="Calibri" w:hAnsi="Arial" w:cs="Arial"/>
          <w:sz w:val="24"/>
        </w:rPr>
        <w:t>concerned</w:t>
      </w:r>
      <w:r w:rsidR="00437BB3">
        <w:rPr>
          <w:rFonts w:ascii="Arial" w:eastAsia="Calibri" w:hAnsi="Arial" w:cs="Arial"/>
          <w:sz w:val="24"/>
        </w:rPr>
        <w:t xml:space="preserve"> t</w:t>
      </w:r>
      <w:r w:rsidR="008B1DFB">
        <w:rPr>
          <w:rFonts w:ascii="Arial" w:eastAsia="Calibri" w:hAnsi="Arial" w:cs="Arial"/>
          <w:sz w:val="24"/>
        </w:rPr>
        <w:t>he Act provides</w:t>
      </w:r>
      <w:r w:rsidR="00D0522D">
        <w:rPr>
          <w:rStyle w:val="FootnoteReference"/>
          <w:rFonts w:ascii="Arial" w:eastAsia="Calibri" w:hAnsi="Arial" w:cs="Arial"/>
          <w:sz w:val="24"/>
        </w:rPr>
        <w:footnoteReference w:id="60"/>
      </w:r>
      <w:r w:rsidR="008B1DFB">
        <w:rPr>
          <w:rFonts w:ascii="Arial" w:eastAsia="Calibri" w:hAnsi="Arial" w:cs="Arial"/>
          <w:sz w:val="24"/>
        </w:rPr>
        <w:t xml:space="preserve"> </w:t>
      </w:r>
      <w:r w:rsidR="00D0522D">
        <w:rPr>
          <w:rFonts w:ascii="Arial" w:eastAsia="Calibri" w:hAnsi="Arial" w:cs="Arial"/>
          <w:sz w:val="24"/>
        </w:rPr>
        <w:t xml:space="preserve">that </w:t>
      </w:r>
      <w:r w:rsidR="00CB33CD">
        <w:rPr>
          <w:rFonts w:ascii="Arial" w:eastAsia="Calibri" w:hAnsi="Arial" w:cs="Arial"/>
          <w:sz w:val="24"/>
        </w:rPr>
        <w:t xml:space="preserve">not only direct parties but also </w:t>
      </w:r>
      <w:r w:rsidR="00D0522D">
        <w:rPr>
          <w:rFonts w:ascii="Arial" w:eastAsia="Calibri" w:hAnsi="Arial" w:cs="Arial"/>
          <w:sz w:val="24"/>
        </w:rPr>
        <w:t>‘</w:t>
      </w:r>
      <w:r w:rsidR="008B1DFB">
        <w:rPr>
          <w:rFonts w:ascii="Arial" w:eastAsia="Calibri" w:hAnsi="Arial" w:cs="Arial"/>
          <w:sz w:val="24"/>
        </w:rPr>
        <w:t>connected</w:t>
      </w:r>
      <w:r w:rsidR="00D0522D">
        <w:rPr>
          <w:rFonts w:ascii="Arial" w:eastAsia="Calibri" w:hAnsi="Arial" w:cs="Arial"/>
          <w:sz w:val="24"/>
        </w:rPr>
        <w:t>’ or ‘accommodating’ or ‘tax-indifferent parties</w:t>
      </w:r>
      <w:r w:rsidR="00D0522D">
        <w:rPr>
          <w:rStyle w:val="FootnoteReference"/>
          <w:rFonts w:ascii="Arial" w:eastAsia="Calibri" w:hAnsi="Arial" w:cs="Arial"/>
          <w:sz w:val="24"/>
        </w:rPr>
        <w:footnoteReference w:id="61"/>
      </w:r>
      <w:r w:rsidR="00D0522D">
        <w:rPr>
          <w:rFonts w:ascii="Arial" w:eastAsia="Calibri" w:hAnsi="Arial" w:cs="Arial"/>
          <w:sz w:val="24"/>
        </w:rPr>
        <w:t xml:space="preserve"> in, or to, an arrangement </w:t>
      </w:r>
      <w:r w:rsidR="00BC174A">
        <w:rPr>
          <w:rFonts w:ascii="Arial" w:eastAsia="Calibri" w:hAnsi="Arial" w:cs="Arial"/>
          <w:sz w:val="24"/>
        </w:rPr>
        <w:t xml:space="preserve">or scheme </w:t>
      </w:r>
      <w:r w:rsidR="00D0522D">
        <w:rPr>
          <w:rFonts w:ascii="Arial" w:eastAsia="Calibri" w:hAnsi="Arial" w:cs="Arial"/>
          <w:sz w:val="24"/>
        </w:rPr>
        <w:t xml:space="preserve">may be treated by the Commissioner as one </w:t>
      </w:r>
      <w:r w:rsidR="008B1DFB">
        <w:rPr>
          <w:rFonts w:ascii="Arial" w:eastAsia="Calibri" w:hAnsi="Arial" w:cs="Arial"/>
          <w:sz w:val="24"/>
        </w:rPr>
        <w:t xml:space="preserve">and </w:t>
      </w:r>
      <w:r w:rsidR="00D0522D">
        <w:rPr>
          <w:rFonts w:ascii="Arial" w:eastAsia="Calibri" w:hAnsi="Arial" w:cs="Arial"/>
          <w:sz w:val="24"/>
        </w:rPr>
        <w:t xml:space="preserve">the same. </w:t>
      </w:r>
    </w:p>
    <w:p w14:paraId="7AB9F3C2" w14:textId="3963F58F" w:rsidR="00EA62B9"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t>88.</w:t>
      </w:r>
      <w:r>
        <w:rPr>
          <w:rFonts w:ascii="Arial" w:eastAsia="Calibri" w:hAnsi="Arial" w:cs="Arial"/>
          <w:sz w:val="24"/>
        </w:rPr>
        <w:tab/>
      </w:r>
      <w:r w:rsidR="00AA086F">
        <w:rPr>
          <w:rFonts w:ascii="Arial" w:eastAsia="Calibri" w:hAnsi="Arial" w:cs="Arial"/>
          <w:sz w:val="24"/>
        </w:rPr>
        <w:t>T</w:t>
      </w:r>
      <w:r w:rsidR="003A6669">
        <w:rPr>
          <w:rFonts w:ascii="Arial" w:eastAsia="Calibri" w:hAnsi="Arial" w:cs="Arial"/>
          <w:sz w:val="24"/>
        </w:rPr>
        <w:t>o</w:t>
      </w:r>
      <w:r w:rsidR="008B1DFB">
        <w:rPr>
          <w:rFonts w:ascii="Arial" w:eastAsia="Calibri" w:hAnsi="Arial" w:cs="Arial"/>
          <w:sz w:val="24"/>
        </w:rPr>
        <w:t xml:space="preserve"> determine whether any tax avoidance </w:t>
      </w:r>
      <w:r w:rsidR="00164EC2">
        <w:rPr>
          <w:rFonts w:ascii="Arial" w:eastAsia="Calibri" w:hAnsi="Arial" w:cs="Arial"/>
          <w:sz w:val="24"/>
        </w:rPr>
        <w:t xml:space="preserve">arrangement or scheme </w:t>
      </w:r>
      <w:r w:rsidR="008B1DFB">
        <w:rPr>
          <w:rFonts w:ascii="Arial" w:eastAsia="Calibri" w:hAnsi="Arial" w:cs="Arial"/>
          <w:sz w:val="24"/>
        </w:rPr>
        <w:t xml:space="preserve">falls foul of the GAAR provisions it </w:t>
      </w:r>
      <w:r w:rsidR="00164EC2">
        <w:rPr>
          <w:rFonts w:ascii="Arial" w:eastAsia="Calibri" w:hAnsi="Arial" w:cs="Arial"/>
          <w:sz w:val="24"/>
        </w:rPr>
        <w:t>will</w:t>
      </w:r>
      <w:r w:rsidR="00AA086F">
        <w:rPr>
          <w:rFonts w:ascii="Arial" w:eastAsia="Calibri" w:hAnsi="Arial" w:cs="Arial"/>
          <w:sz w:val="24"/>
        </w:rPr>
        <w:t xml:space="preserve"> therefore</w:t>
      </w:r>
      <w:r w:rsidR="00164EC2">
        <w:rPr>
          <w:rFonts w:ascii="Arial" w:eastAsia="Calibri" w:hAnsi="Arial" w:cs="Arial"/>
          <w:sz w:val="24"/>
        </w:rPr>
        <w:t xml:space="preserve"> have to be construed by </w:t>
      </w:r>
      <w:r w:rsidR="008B1DFB">
        <w:rPr>
          <w:rFonts w:ascii="Arial" w:eastAsia="Calibri" w:hAnsi="Arial" w:cs="Arial"/>
          <w:sz w:val="24"/>
        </w:rPr>
        <w:t xml:space="preserve">an adjudicating </w:t>
      </w:r>
      <w:r w:rsidR="00D0522D">
        <w:rPr>
          <w:rFonts w:ascii="Arial" w:eastAsia="Calibri" w:hAnsi="Arial" w:cs="Arial"/>
          <w:sz w:val="24"/>
        </w:rPr>
        <w:t>functionary</w:t>
      </w:r>
      <w:r w:rsidR="008B7C8B">
        <w:rPr>
          <w:rFonts w:ascii="Arial" w:eastAsia="Calibri" w:hAnsi="Arial" w:cs="Arial"/>
          <w:sz w:val="24"/>
        </w:rPr>
        <w:t xml:space="preserve"> </w:t>
      </w:r>
      <w:r w:rsidR="00D0522D">
        <w:rPr>
          <w:rFonts w:ascii="Arial" w:eastAsia="Calibri" w:hAnsi="Arial" w:cs="Arial"/>
          <w:sz w:val="24"/>
        </w:rPr>
        <w:t>or Court</w:t>
      </w:r>
      <w:r w:rsidR="00164EC2">
        <w:rPr>
          <w:rFonts w:ascii="Arial" w:eastAsia="Calibri" w:hAnsi="Arial" w:cs="Arial"/>
          <w:sz w:val="24"/>
        </w:rPr>
        <w:t xml:space="preserve"> on the basis of a</w:t>
      </w:r>
      <w:r w:rsidR="003A6669">
        <w:rPr>
          <w:rFonts w:ascii="Arial" w:eastAsia="Calibri" w:hAnsi="Arial" w:cs="Arial"/>
          <w:sz w:val="24"/>
        </w:rPr>
        <w:t xml:space="preserve"> rigorous and </w:t>
      </w:r>
      <w:r w:rsidR="00AA086F">
        <w:rPr>
          <w:rFonts w:ascii="Arial" w:eastAsia="Calibri" w:hAnsi="Arial" w:cs="Arial"/>
          <w:sz w:val="24"/>
        </w:rPr>
        <w:t>careful analysis</w:t>
      </w:r>
      <w:r w:rsidR="00164EC2">
        <w:rPr>
          <w:rFonts w:ascii="Arial" w:eastAsia="Calibri" w:hAnsi="Arial" w:cs="Arial"/>
          <w:sz w:val="24"/>
        </w:rPr>
        <w:t xml:space="preserve"> of the underlying transactions</w:t>
      </w:r>
      <w:r w:rsidR="00CB32E1">
        <w:rPr>
          <w:rFonts w:ascii="Arial" w:eastAsia="Calibri" w:hAnsi="Arial" w:cs="Arial"/>
          <w:sz w:val="24"/>
        </w:rPr>
        <w:t>,</w:t>
      </w:r>
      <w:r w:rsidR="00164EC2">
        <w:rPr>
          <w:rFonts w:ascii="Arial" w:eastAsia="Calibri" w:hAnsi="Arial" w:cs="Arial"/>
          <w:sz w:val="24"/>
        </w:rPr>
        <w:t xml:space="preserve"> agreements </w:t>
      </w:r>
      <w:r w:rsidR="00CB32E1">
        <w:rPr>
          <w:rFonts w:ascii="Arial" w:eastAsia="Calibri" w:hAnsi="Arial" w:cs="Arial"/>
          <w:sz w:val="24"/>
        </w:rPr>
        <w:t xml:space="preserve">and steps </w:t>
      </w:r>
      <w:r w:rsidR="008B1DFB">
        <w:rPr>
          <w:rFonts w:ascii="Arial" w:eastAsia="Calibri" w:hAnsi="Arial" w:cs="Arial"/>
          <w:sz w:val="24"/>
        </w:rPr>
        <w:t xml:space="preserve">in terms of which </w:t>
      </w:r>
      <w:r w:rsidR="00164EC2">
        <w:rPr>
          <w:rFonts w:ascii="Arial" w:eastAsia="Calibri" w:hAnsi="Arial" w:cs="Arial"/>
          <w:sz w:val="24"/>
        </w:rPr>
        <w:t>it was given effect to.</w:t>
      </w:r>
      <w:r w:rsidR="008B1DFB">
        <w:rPr>
          <w:rFonts w:ascii="Arial" w:eastAsia="Calibri" w:hAnsi="Arial" w:cs="Arial"/>
          <w:sz w:val="24"/>
        </w:rPr>
        <w:t xml:space="preserve"> In undertaking such an </w:t>
      </w:r>
      <w:r w:rsidR="00D0522D">
        <w:rPr>
          <w:rFonts w:ascii="Arial" w:eastAsia="Calibri" w:hAnsi="Arial" w:cs="Arial"/>
          <w:sz w:val="24"/>
        </w:rPr>
        <w:t>exercise</w:t>
      </w:r>
      <w:r w:rsidR="00D0522D" w:rsidRPr="00D0522D">
        <w:rPr>
          <w:rFonts w:ascii="Arial" w:eastAsia="Calibri" w:hAnsi="Arial" w:cs="Arial"/>
          <w:sz w:val="24"/>
        </w:rPr>
        <w:t xml:space="preserve"> </w:t>
      </w:r>
      <w:r w:rsidR="00D0522D">
        <w:rPr>
          <w:rFonts w:ascii="Arial" w:eastAsia="Calibri" w:hAnsi="Arial" w:cs="Arial"/>
          <w:sz w:val="24"/>
        </w:rPr>
        <w:t>consideration</w:t>
      </w:r>
      <w:r w:rsidR="008B1DFB">
        <w:rPr>
          <w:rFonts w:ascii="Arial" w:eastAsia="Calibri" w:hAnsi="Arial" w:cs="Arial"/>
          <w:sz w:val="24"/>
        </w:rPr>
        <w:t xml:space="preserve"> will, of necessity, have to </w:t>
      </w:r>
      <w:r w:rsidR="00D0522D">
        <w:rPr>
          <w:rFonts w:ascii="Arial" w:eastAsia="Calibri" w:hAnsi="Arial" w:cs="Arial"/>
          <w:sz w:val="24"/>
        </w:rPr>
        <w:t xml:space="preserve">be </w:t>
      </w:r>
      <w:r w:rsidR="008B1DFB">
        <w:rPr>
          <w:rFonts w:ascii="Arial" w:eastAsia="Calibri" w:hAnsi="Arial" w:cs="Arial"/>
          <w:sz w:val="24"/>
        </w:rPr>
        <w:t>given to the intention</w:t>
      </w:r>
      <w:r w:rsidR="00D0522D">
        <w:rPr>
          <w:rFonts w:ascii="Arial" w:eastAsia="Calibri" w:hAnsi="Arial" w:cs="Arial"/>
          <w:sz w:val="24"/>
        </w:rPr>
        <w:t>s, motives and conduct</w:t>
      </w:r>
      <w:r w:rsidR="008B1DFB">
        <w:rPr>
          <w:rFonts w:ascii="Arial" w:eastAsia="Calibri" w:hAnsi="Arial" w:cs="Arial"/>
          <w:sz w:val="24"/>
        </w:rPr>
        <w:t xml:space="preserve"> of the p</w:t>
      </w:r>
      <w:r w:rsidR="00AA086F">
        <w:rPr>
          <w:rFonts w:ascii="Arial" w:eastAsia="Calibri" w:hAnsi="Arial" w:cs="Arial"/>
          <w:sz w:val="24"/>
        </w:rPr>
        <w:t>articipants</w:t>
      </w:r>
      <w:r w:rsidR="007049F3">
        <w:rPr>
          <w:rFonts w:ascii="Arial" w:eastAsia="Calibri" w:hAnsi="Arial" w:cs="Arial"/>
          <w:sz w:val="24"/>
        </w:rPr>
        <w:t xml:space="preserve"> </w:t>
      </w:r>
      <w:r w:rsidR="00437A72">
        <w:rPr>
          <w:rFonts w:ascii="Arial" w:eastAsia="Calibri" w:hAnsi="Arial" w:cs="Arial"/>
          <w:sz w:val="24"/>
        </w:rPr>
        <w:t>in the alleged scheme or arrangement</w:t>
      </w:r>
      <w:r w:rsidR="008B1DFB">
        <w:rPr>
          <w:rFonts w:ascii="Arial" w:eastAsia="Calibri" w:hAnsi="Arial" w:cs="Arial"/>
          <w:sz w:val="24"/>
        </w:rPr>
        <w:t xml:space="preserve">. This is not </w:t>
      </w:r>
      <w:r w:rsidR="00D0522D">
        <w:rPr>
          <w:rFonts w:ascii="Arial" w:eastAsia="Calibri" w:hAnsi="Arial" w:cs="Arial"/>
          <w:sz w:val="24"/>
        </w:rPr>
        <w:t xml:space="preserve">an exercise </w:t>
      </w:r>
      <w:r w:rsidR="008B1DFB">
        <w:rPr>
          <w:rFonts w:ascii="Arial" w:eastAsia="Calibri" w:hAnsi="Arial" w:cs="Arial"/>
          <w:sz w:val="24"/>
        </w:rPr>
        <w:t xml:space="preserve">that can be </w:t>
      </w:r>
      <w:r w:rsidR="003A6669">
        <w:rPr>
          <w:rFonts w:ascii="Arial" w:eastAsia="Calibri" w:hAnsi="Arial" w:cs="Arial"/>
          <w:sz w:val="24"/>
        </w:rPr>
        <w:t>performed</w:t>
      </w:r>
      <w:r w:rsidR="008B1DFB">
        <w:rPr>
          <w:rFonts w:ascii="Arial" w:eastAsia="Calibri" w:hAnsi="Arial" w:cs="Arial"/>
          <w:sz w:val="24"/>
        </w:rPr>
        <w:t xml:space="preserve"> by a civil Court in a review, on cold paper</w:t>
      </w:r>
      <w:r w:rsidR="00D0522D">
        <w:rPr>
          <w:rFonts w:ascii="Arial" w:eastAsia="Calibri" w:hAnsi="Arial" w:cs="Arial"/>
          <w:sz w:val="24"/>
        </w:rPr>
        <w:t>, but one best suited to ventilation in a Tax Court</w:t>
      </w:r>
      <w:r w:rsidR="003A6669" w:rsidRPr="003A6669">
        <w:rPr>
          <w:rFonts w:ascii="Arial" w:eastAsia="Calibri" w:hAnsi="Arial" w:cs="Arial"/>
          <w:sz w:val="24"/>
        </w:rPr>
        <w:t xml:space="preserve"> </w:t>
      </w:r>
      <w:r w:rsidR="003A6669">
        <w:rPr>
          <w:rFonts w:ascii="Arial" w:eastAsia="Calibri" w:hAnsi="Arial" w:cs="Arial"/>
          <w:sz w:val="24"/>
        </w:rPr>
        <w:t>where the parties are able to put the necessary evidence before a judge and 2 qualified and experienced members, one drawn from the accounting profession and one from the business sector</w:t>
      </w:r>
      <w:r w:rsidR="008B1DFB">
        <w:rPr>
          <w:rFonts w:ascii="Arial" w:eastAsia="Calibri" w:hAnsi="Arial" w:cs="Arial"/>
          <w:sz w:val="24"/>
        </w:rPr>
        <w:t xml:space="preserve">.  </w:t>
      </w:r>
    </w:p>
    <w:p w14:paraId="49A9BC4D" w14:textId="3FBFBA89" w:rsidR="00FD28BC" w:rsidRPr="009517F1" w:rsidRDefault="003D3D1A" w:rsidP="003D3D1A">
      <w:pPr>
        <w:adjustRightInd w:val="0"/>
        <w:spacing w:line="360" w:lineRule="auto"/>
        <w:ind w:left="720" w:hanging="720"/>
        <w:contextualSpacing/>
        <w:jc w:val="both"/>
        <w:textAlignment w:val="baseline"/>
        <w:rPr>
          <w:rFonts w:ascii="Arial" w:eastAsia="Calibri" w:hAnsi="Arial" w:cs="Arial"/>
          <w:sz w:val="24"/>
        </w:rPr>
      </w:pPr>
      <w:r w:rsidRPr="009517F1">
        <w:rPr>
          <w:rFonts w:ascii="Arial" w:eastAsia="Calibri" w:hAnsi="Arial" w:cs="Arial"/>
          <w:sz w:val="24"/>
        </w:rPr>
        <w:t>89.</w:t>
      </w:r>
      <w:r w:rsidRPr="009517F1">
        <w:rPr>
          <w:rFonts w:ascii="Arial" w:eastAsia="Calibri" w:hAnsi="Arial" w:cs="Arial"/>
          <w:sz w:val="24"/>
        </w:rPr>
        <w:tab/>
      </w:r>
      <w:r w:rsidR="00FD28BC">
        <w:rPr>
          <w:rFonts w:ascii="Arial" w:eastAsia="Calibri" w:hAnsi="Arial" w:cs="Arial"/>
          <w:sz w:val="24"/>
        </w:rPr>
        <w:t xml:space="preserve">In this regard I found the cynicism which was expressed by the applicant’s counsel as to the forensic skills and expertise of such a tribunal, as opposed to that constituted by a single judge sitting on his own in a civil </w:t>
      </w:r>
      <w:r w:rsidR="003A6669">
        <w:rPr>
          <w:rFonts w:ascii="Arial" w:eastAsia="Calibri" w:hAnsi="Arial" w:cs="Arial"/>
          <w:sz w:val="24"/>
        </w:rPr>
        <w:t>C</w:t>
      </w:r>
      <w:r w:rsidR="00FD28BC">
        <w:rPr>
          <w:rFonts w:ascii="Arial" w:eastAsia="Calibri" w:hAnsi="Arial" w:cs="Arial"/>
          <w:sz w:val="24"/>
        </w:rPr>
        <w:t>ourt</w:t>
      </w:r>
      <w:r w:rsidR="00C20ED9">
        <w:rPr>
          <w:rFonts w:ascii="Arial" w:eastAsia="Calibri" w:hAnsi="Arial" w:cs="Arial"/>
          <w:sz w:val="24"/>
        </w:rPr>
        <w:t>,</w:t>
      </w:r>
      <w:r w:rsidR="00FD28BC">
        <w:rPr>
          <w:rFonts w:ascii="Arial" w:eastAsia="Calibri" w:hAnsi="Arial" w:cs="Arial"/>
          <w:sz w:val="24"/>
        </w:rPr>
        <w:t xml:space="preserve"> without </w:t>
      </w:r>
      <w:r w:rsidR="00C20ED9">
        <w:rPr>
          <w:rFonts w:ascii="Arial" w:eastAsia="Calibri" w:hAnsi="Arial" w:cs="Arial"/>
          <w:sz w:val="24"/>
        </w:rPr>
        <w:t xml:space="preserve">expert </w:t>
      </w:r>
      <w:r w:rsidR="00FD28BC">
        <w:rPr>
          <w:rFonts w:ascii="Arial" w:eastAsia="Calibri" w:hAnsi="Arial" w:cs="Arial"/>
          <w:sz w:val="24"/>
        </w:rPr>
        <w:t xml:space="preserve">assistance, to be </w:t>
      </w:r>
      <w:r w:rsidR="00C20ED9">
        <w:rPr>
          <w:rFonts w:ascii="Arial" w:eastAsia="Calibri" w:hAnsi="Arial" w:cs="Arial"/>
          <w:sz w:val="24"/>
        </w:rPr>
        <w:t xml:space="preserve">somewhat </w:t>
      </w:r>
      <w:r w:rsidR="00FD28BC">
        <w:rPr>
          <w:rFonts w:ascii="Arial" w:eastAsia="Calibri" w:hAnsi="Arial" w:cs="Arial"/>
          <w:sz w:val="24"/>
        </w:rPr>
        <w:t>disparaging and unfounded</w:t>
      </w:r>
      <w:r w:rsidR="00C20ED9">
        <w:rPr>
          <w:rFonts w:ascii="Arial" w:eastAsia="Calibri" w:hAnsi="Arial" w:cs="Arial"/>
          <w:sz w:val="24"/>
        </w:rPr>
        <w:t>.</w:t>
      </w:r>
      <w:r w:rsidR="00FD28BC">
        <w:rPr>
          <w:rFonts w:ascii="Arial" w:eastAsia="Calibri" w:hAnsi="Arial" w:cs="Arial"/>
          <w:sz w:val="24"/>
        </w:rPr>
        <w:t xml:space="preserve"> </w:t>
      </w:r>
      <w:r w:rsidR="00C20ED9">
        <w:rPr>
          <w:rFonts w:ascii="Arial" w:eastAsia="Calibri" w:hAnsi="Arial" w:cs="Arial"/>
          <w:sz w:val="24"/>
        </w:rPr>
        <w:t>I</w:t>
      </w:r>
      <w:r w:rsidR="00FD28BC">
        <w:rPr>
          <w:rFonts w:ascii="Arial" w:eastAsia="Calibri" w:hAnsi="Arial" w:cs="Arial"/>
          <w:sz w:val="24"/>
        </w:rPr>
        <w:t xml:space="preserve">t has been </w:t>
      </w:r>
      <w:r w:rsidR="00437BB3">
        <w:rPr>
          <w:rFonts w:ascii="Arial" w:eastAsia="Calibri" w:hAnsi="Arial" w:cs="Arial"/>
          <w:sz w:val="24"/>
        </w:rPr>
        <w:t>emphasized on m</w:t>
      </w:r>
      <w:r w:rsidR="00FD28BC">
        <w:rPr>
          <w:rFonts w:ascii="Arial" w:eastAsia="Calibri" w:hAnsi="Arial" w:cs="Arial"/>
          <w:sz w:val="24"/>
        </w:rPr>
        <w:t xml:space="preserve">ore than one occasion by the Constitutional Court that the </w:t>
      </w:r>
      <w:r w:rsidR="00C20ED9">
        <w:rPr>
          <w:rFonts w:ascii="Arial" w:eastAsia="Calibri" w:hAnsi="Arial" w:cs="Arial"/>
          <w:sz w:val="24"/>
        </w:rPr>
        <w:t>specialized</w:t>
      </w:r>
      <w:r w:rsidR="00FD28BC">
        <w:rPr>
          <w:rFonts w:ascii="Arial" w:eastAsia="Calibri" w:hAnsi="Arial" w:cs="Arial"/>
          <w:sz w:val="24"/>
        </w:rPr>
        <w:t xml:space="preserve"> skills and knowledge which a specialist tribunal </w:t>
      </w:r>
      <w:r w:rsidR="003A6669">
        <w:rPr>
          <w:rFonts w:ascii="Arial" w:eastAsia="Calibri" w:hAnsi="Arial" w:cs="Arial"/>
          <w:sz w:val="24"/>
        </w:rPr>
        <w:t>can</w:t>
      </w:r>
      <w:r w:rsidR="00FD28BC">
        <w:rPr>
          <w:rFonts w:ascii="Arial" w:eastAsia="Calibri" w:hAnsi="Arial" w:cs="Arial"/>
          <w:sz w:val="24"/>
        </w:rPr>
        <w:t xml:space="preserve"> bring to bear </w:t>
      </w:r>
      <w:r w:rsidR="00437BB3">
        <w:rPr>
          <w:rFonts w:ascii="Arial" w:eastAsia="Calibri" w:hAnsi="Arial" w:cs="Arial"/>
          <w:sz w:val="24"/>
        </w:rPr>
        <w:t>are better suited to</w:t>
      </w:r>
      <w:r w:rsidR="00FD28BC">
        <w:rPr>
          <w:rFonts w:ascii="Arial" w:eastAsia="Calibri" w:hAnsi="Arial" w:cs="Arial"/>
          <w:sz w:val="24"/>
        </w:rPr>
        <w:t xml:space="preserve"> </w:t>
      </w:r>
      <w:r w:rsidR="00FD28BC">
        <w:rPr>
          <w:rFonts w:ascii="Arial" w:eastAsia="Calibri" w:hAnsi="Arial" w:cs="Arial"/>
          <w:sz w:val="24"/>
        </w:rPr>
        <w:lastRenderedPageBreak/>
        <w:t xml:space="preserve">proceedings where the cogency of </w:t>
      </w:r>
      <w:r w:rsidR="0030492D">
        <w:rPr>
          <w:rFonts w:ascii="Arial" w:eastAsia="Calibri" w:hAnsi="Arial" w:cs="Arial"/>
          <w:sz w:val="24"/>
        </w:rPr>
        <w:t>material</w:t>
      </w:r>
      <w:r w:rsidR="00FD28BC">
        <w:rPr>
          <w:rFonts w:ascii="Arial" w:eastAsia="Calibri" w:hAnsi="Arial" w:cs="Arial"/>
          <w:sz w:val="24"/>
        </w:rPr>
        <w:t xml:space="preserve"> </w:t>
      </w:r>
      <w:r w:rsidR="0076249C">
        <w:rPr>
          <w:rFonts w:ascii="Arial" w:eastAsia="Calibri" w:hAnsi="Arial" w:cs="Arial"/>
          <w:sz w:val="24"/>
        </w:rPr>
        <w:t xml:space="preserve">of a ‘technical’ nature </w:t>
      </w:r>
      <w:r w:rsidR="00437BB3">
        <w:rPr>
          <w:rFonts w:ascii="Arial" w:eastAsia="Calibri" w:hAnsi="Arial" w:cs="Arial"/>
          <w:sz w:val="24"/>
        </w:rPr>
        <w:t xml:space="preserve">needs to be interrogated and properly weighed and </w:t>
      </w:r>
      <w:r w:rsidR="00FD28BC">
        <w:rPr>
          <w:rFonts w:ascii="Arial" w:eastAsia="Calibri" w:hAnsi="Arial" w:cs="Arial"/>
          <w:sz w:val="24"/>
        </w:rPr>
        <w:t>assess</w:t>
      </w:r>
      <w:r w:rsidR="00437BB3">
        <w:rPr>
          <w:rFonts w:ascii="Arial" w:eastAsia="Calibri" w:hAnsi="Arial" w:cs="Arial"/>
          <w:sz w:val="24"/>
        </w:rPr>
        <w:t xml:space="preserve">ed, and </w:t>
      </w:r>
      <w:r w:rsidR="00CB33CD">
        <w:rPr>
          <w:rFonts w:ascii="Arial" w:eastAsia="Calibri" w:hAnsi="Arial" w:cs="Arial"/>
          <w:sz w:val="24"/>
        </w:rPr>
        <w:t xml:space="preserve">it </w:t>
      </w:r>
      <w:r w:rsidR="00437BB3">
        <w:rPr>
          <w:rFonts w:ascii="Arial" w:eastAsia="Calibri" w:hAnsi="Arial" w:cs="Arial"/>
          <w:sz w:val="24"/>
        </w:rPr>
        <w:t xml:space="preserve">is </w:t>
      </w:r>
      <w:r w:rsidR="00FD28BC">
        <w:rPr>
          <w:rFonts w:ascii="Arial" w:eastAsia="Calibri" w:hAnsi="Arial" w:cs="Arial"/>
          <w:sz w:val="24"/>
        </w:rPr>
        <w:t>the proper forum for</w:t>
      </w:r>
      <w:r w:rsidR="00CB33CD">
        <w:rPr>
          <w:rFonts w:ascii="Arial" w:eastAsia="Calibri" w:hAnsi="Arial" w:cs="Arial"/>
          <w:sz w:val="24"/>
        </w:rPr>
        <w:t xml:space="preserve"> </w:t>
      </w:r>
      <w:r w:rsidR="00FD28BC">
        <w:rPr>
          <w:rFonts w:ascii="Arial" w:eastAsia="Calibri" w:hAnsi="Arial" w:cs="Arial"/>
          <w:sz w:val="24"/>
        </w:rPr>
        <w:t>getting to the heart</w:t>
      </w:r>
      <w:r w:rsidR="007049F3" w:rsidRPr="007049F3">
        <w:rPr>
          <w:rFonts w:ascii="Arial" w:eastAsia="Calibri" w:hAnsi="Arial" w:cs="Arial"/>
          <w:sz w:val="24"/>
        </w:rPr>
        <w:t xml:space="preserve"> </w:t>
      </w:r>
      <w:r w:rsidR="007049F3">
        <w:rPr>
          <w:rFonts w:ascii="Arial" w:eastAsia="Calibri" w:hAnsi="Arial" w:cs="Arial"/>
          <w:sz w:val="24"/>
        </w:rPr>
        <w:t>and truth o</w:t>
      </w:r>
      <w:r w:rsidR="00FD28BC">
        <w:rPr>
          <w:rFonts w:ascii="Arial" w:eastAsia="Calibri" w:hAnsi="Arial" w:cs="Arial"/>
          <w:sz w:val="24"/>
        </w:rPr>
        <w:t xml:space="preserve">f such matters. </w:t>
      </w:r>
      <w:r w:rsidR="00673306">
        <w:rPr>
          <w:rFonts w:ascii="Arial" w:eastAsia="Calibri" w:hAnsi="Arial" w:cs="Arial"/>
          <w:sz w:val="24"/>
        </w:rPr>
        <w:t>C</w:t>
      </w:r>
      <w:r w:rsidR="00FD28BC">
        <w:rPr>
          <w:rFonts w:ascii="Arial" w:eastAsia="Calibri" w:hAnsi="Arial" w:cs="Arial"/>
          <w:sz w:val="24"/>
        </w:rPr>
        <w:t xml:space="preserve">omplex tax avoidance </w:t>
      </w:r>
      <w:r w:rsidR="00673306">
        <w:rPr>
          <w:rFonts w:ascii="Arial" w:eastAsia="Calibri" w:hAnsi="Arial" w:cs="Arial"/>
          <w:sz w:val="24"/>
        </w:rPr>
        <w:t xml:space="preserve">schemes or </w:t>
      </w:r>
      <w:r w:rsidR="00FD28BC">
        <w:rPr>
          <w:rFonts w:ascii="Arial" w:eastAsia="Calibri" w:hAnsi="Arial" w:cs="Arial"/>
          <w:sz w:val="24"/>
        </w:rPr>
        <w:t>arrangements</w:t>
      </w:r>
      <w:r w:rsidR="00CB33CD">
        <w:rPr>
          <w:rFonts w:ascii="Arial" w:eastAsia="Calibri" w:hAnsi="Arial" w:cs="Arial"/>
          <w:sz w:val="24"/>
        </w:rPr>
        <w:t xml:space="preserve"> such as the one in this matter,</w:t>
      </w:r>
      <w:r w:rsidR="00FD28BC">
        <w:rPr>
          <w:rFonts w:ascii="Arial" w:eastAsia="Calibri" w:hAnsi="Arial" w:cs="Arial"/>
          <w:sz w:val="24"/>
        </w:rPr>
        <w:t xml:space="preserve"> </w:t>
      </w:r>
      <w:r w:rsidR="00CB33CD">
        <w:rPr>
          <w:rFonts w:ascii="Arial" w:eastAsia="Calibri" w:hAnsi="Arial" w:cs="Arial"/>
          <w:sz w:val="24"/>
        </w:rPr>
        <w:t xml:space="preserve">involving layers of transactions </w:t>
      </w:r>
      <w:r w:rsidR="007049F3">
        <w:rPr>
          <w:rFonts w:ascii="Arial" w:eastAsia="Calibri" w:hAnsi="Arial" w:cs="Arial"/>
          <w:sz w:val="24"/>
        </w:rPr>
        <w:t xml:space="preserve">and dealings </w:t>
      </w:r>
      <w:r w:rsidR="00CB33CD">
        <w:rPr>
          <w:rFonts w:ascii="Arial" w:eastAsia="Calibri" w:hAnsi="Arial" w:cs="Arial"/>
          <w:sz w:val="24"/>
        </w:rPr>
        <w:t xml:space="preserve">which are interwoven in a tapestry of cause and effect by a variety of actors, </w:t>
      </w:r>
      <w:r w:rsidR="00FD28BC">
        <w:rPr>
          <w:rFonts w:ascii="Arial" w:eastAsia="Calibri" w:hAnsi="Arial" w:cs="Arial"/>
          <w:sz w:val="24"/>
        </w:rPr>
        <w:t xml:space="preserve">need to be dealt with </w:t>
      </w:r>
      <w:r w:rsidR="00673306">
        <w:rPr>
          <w:rFonts w:ascii="Arial" w:eastAsia="Calibri" w:hAnsi="Arial" w:cs="Arial"/>
          <w:sz w:val="24"/>
        </w:rPr>
        <w:t xml:space="preserve">by a </w:t>
      </w:r>
      <w:r w:rsidR="003A6669">
        <w:rPr>
          <w:rFonts w:ascii="Arial" w:eastAsia="Calibri" w:hAnsi="Arial" w:cs="Arial"/>
          <w:sz w:val="24"/>
        </w:rPr>
        <w:t>T</w:t>
      </w:r>
      <w:r w:rsidR="00FD28BC">
        <w:rPr>
          <w:rFonts w:ascii="Arial" w:eastAsia="Calibri" w:hAnsi="Arial" w:cs="Arial"/>
          <w:sz w:val="24"/>
        </w:rPr>
        <w:t xml:space="preserve">ax </w:t>
      </w:r>
      <w:r w:rsidR="003A6669">
        <w:rPr>
          <w:rFonts w:ascii="Arial" w:eastAsia="Calibri" w:hAnsi="Arial" w:cs="Arial"/>
          <w:sz w:val="24"/>
        </w:rPr>
        <w:t>C</w:t>
      </w:r>
      <w:r w:rsidR="00FD28BC">
        <w:rPr>
          <w:rFonts w:ascii="Arial" w:eastAsia="Calibri" w:hAnsi="Arial" w:cs="Arial"/>
          <w:sz w:val="24"/>
        </w:rPr>
        <w:t xml:space="preserve">ourt panel possessed of the necessary financial, accounting, </w:t>
      </w:r>
      <w:r w:rsidR="00673306">
        <w:rPr>
          <w:rFonts w:ascii="Arial" w:eastAsia="Calibri" w:hAnsi="Arial" w:cs="Arial"/>
          <w:sz w:val="24"/>
        </w:rPr>
        <w:t xml:space="preserve">business </w:t>
      </w:r>
      <w:r w:rsidR="00FD28BC">
        <w:rPr>
          <w:rFonts w:ascii="Arial" w:eastAsia="Calibri" w:hAnsi="Arial" w:cs="Arial"/>
          <w:sz w:val="24"/>
        </w:rPr>
        <w:t>and forensic experience</w:t>
      </w:r>
      <w:r w:rsidR="00673306">
        <w:rPr>
          <w:rFonts w:ascii="Arial" w:eastAsia="Calibri" w:hAnsi="Arial" w:cs="Arial"/>
          <w:sz w:val="24"/>
        </w:rPr>
        <w:t>,</w:t>
      </w:r>
      <w:r w:rsidR="00FD28BC">
        <w:rPr>
          <w:rFonts w:ascii="Arial" w:eastAsia="Calibri" w:hAnsi="Arial" w:cs="Arial"/>
          <w:sz w:val="24"/>
        </w:rPr>
        <w:t xml:space="preserve"> rather than by a</w:t>
      </w:r>
      <w:r w:rsidR="00673306">
        <w:rPr>
          <w:rFonts w:ascii="Arial" w:eastAsia="Calibri" w:hAnsi="Arial" w:cs="Arial"/>
          <w:sz w:val="24"/>
        </w:rPr>
        <w:t>n ill-equipped</w:t>
      </w:r>
      <w:r w:rsidR="00FD28BC">
        <w:rPr>
          <w:rFonts w:ascii="Arial" w:eastAsia="Calibri" w:hAnsi="Arial" w:cs="Arial"/>
          <w:sz w:val="24"/>
        </w:rPr>
        <w:t xml:space="preserve"> civil </w:t>
      </w:r>
      <w:r w:rsidR="003A6669">
        <w:rPr>
          <w:rFonts w:ascii="Arial" w:eastAsia="Calibri" w:hAnsi="Arial" w:cs="Arial"/>
          <w:sz w:val="24"/>
        </w:rPr>
        <w:t>C</w:t>
      </w:r>
      <w:r w:rsidR="00FD28BC">
        <w:rPr>
          <w:rFonts w:ascii="Arial" w:eastAsia="Calibri" w:hAnsi="Arial" w:cs="Arial"/>
          <w:sz w:val="24"/>
        </w:rPr>
        <w:t>ourt</w:t>
      </w:r>
      <w:r w:rsidR="00CB33CD">
        <w:rPr>
          <w:rFonts w:ascii="Arial" w:eastAsia="Calibri" w:hAnsi="Arial" w:cs="Arial"/>
          <w:sz w:val="24"/>
        </w:rPr>
        <w:t xml:space="preserve"> judge</w:t>
      </w:r>
      <w:r w:rsidR="00FD28BC">
        <w:rPr>
          <w:rFonts w:ascii="Arial" w:eastAsia="Calibri" w:hAnsi="Arial" w:cs="Arial"/>
          <w:sz w:val="24"/>
        </w:rPr>
        <w:t>.</w:t>
      </w:r>
    </w:p>
    <w:p w14:paraId="71080824" w14:textId="48BAC260" w:rsidR="005E2FA1" w:rsidRDefault="003D3D1A" w:rsidP="003D3D1A">
      <w:pPr>
        <w:adjustRightInd w:val="0"/>
        <w:spacing w:line="360" w:lineRule="auto"/>
        <w:ind w:left="720" w:hanging="720"/>
        <w:contextualSpacing/>
        <w:jc w:val="both"/>
        <w:textAlignment w:val="baseline"/>
        <w:rPr>
          <w:rFonts w:ascii="Arial" w:eastAsia="Calibri" w:hAnsi="Arial" w:cs="Arial"/>
          <w:sz w:val="24"/>
        </w:rPr>
      </w:pPr>
      <w:r>
        <w:rPr>
          <w:rFonts w:ascii="Arial" w:eastAsia="Calibri" w:hAnsi="Arial" w:cs="Arial"/>
          <w:sz w:val="24"/>
        </w:rPr>
        <w:t>90.</w:t>
      </w:r>
      <w:r>
        <w:rPr>
          <w:rFonts w:ascii="Arial" w:eastAsia="Calibri" w:hAnsi="Arial" w:cs="Arial"/>
          <w:sz w:val="24"/>
        </w:rPr>
        <w:tab/>
      </w:r>
      <w:r w:rsidR="00232F26">
        <w:rPr>
          <w:rFonts w:ascii="Arial" w:eastAsia="Calibri" w:hAnsi="Arial" w:cs="Arial"/>
          <w:sz w:val="24"/>
        </w:rPr>
        <w:t>W</w:t>
      </w:r>
      <w:r w:rsidR="003A6669">
        <w:rPr>
          <w:rFonts w:ascii="Arial" w:eastAsia="Calibri" w:hAnsi="Arial" w:cs="Arial"/>
          <w:sz w:val="24"/>
        </w:rPr>
        <w:t xml:space="preserve">hat the applicant seeks to do in this matter is to unravel the Commissioner’s finding that he was party to an impermissible scheme or arrangement, on the </w:t>
      </w:r>
      <w:r w:rsidR="008C5C59">
        <w:rPr>
          <w:rFonts w:ascii="Arial" w:eastAsia="Calibri" w:hAnsi="Arial" w:cs="Arial"/>
          <w:sz w:val="24"/>
        </w:rPr>
        <w:t xml:space="preserve">simple </w:t>
      </w:r>
      <w:r w:rsidR="003A6669">
        <w:rPr>
          <w:rFonts w:ascii="Arial" w:eastAsia="Calibri" w:hAnsi="Arial" w:cs="Arial"/>
          <w:sz w:val="24"/>
        </w:rPr>
        <w:t>basis that the Commissioner erred in</w:t>
      </w:r>
      <w:r w:rsidR="00232F26">
        <w:rPr>
          <w:rFonts w:ascii="Arial" w:eastAsia="Calibri" w:hAnsi="Arial" w:cs="Arial"/>
          <w:sz w:val="24"/>
        </w:rPr>
        <w:t xml:space="preserve"> relation to his understanding and treatment of one of the underlying </w:t>
      </w:r>
      <w:r w:rsidR="007049F3">
        <w:rPr>
          <w:rFonts w:ascii="Arial" w:eastAsia="Calibri" w:hAnsi="Arial" w:cs="Arial"/>
          <w:sz w:val="24"/>
        </w:rPr>
        <w:t xml:space="preserve">steps or </w:t>
      </w:r>
      <w:r w:rsidR="00232F26">
        <w:rPr>
          <w:rFonts w:ascii="Arial" w:eastAsia="Calibri" w:hAnsi="Arial" w:cs="Arial"/>
          <w:sz w:val="24"/>
        </w:rPr>
        <w:t xml:space="preserve">transactions which allegedly </w:t>
      </w:r>
      <w:r w:rsidR="007049F3">
        <w:rPr>
          <w:rFonts w:ascii="Arial" w:eastAsia="Calibri" w:hAnsi="Arial" w:cs="Arial"/>
          <w:sz w:val="24"/>
        </w:rPr>
        <w:t>formed part thereof</w:t>
      </w:r>
      <w:r w:rsidR="003A6669">
        <w:rPr>
          <w:rFonts w:ascii="Arial" w:eastAsia="Calibri" w:hAnsi="Arial" w:cs="Arial"/>
          <w:sz w:val="24"/>
        </w:rPr>
        <w:t xml:space="preserve">. </w:t>
      </w:r>
      <w:r w:rsidR="00232F26">
        <w:rPr>
          <w:rFonts w:ascii="Arial" w:eastAsia="Calibri" w:hAnsi="Arial" w:cs="Arial"/>
          <w:sz w:val="24"/>
        </w:rPr>
        <w:t>(T</w:t>
      </w:r>
      <w:r w:rsidR="003A6669">
        <w:rPr>
          <w:rFonts w:ascii="Arial" w:eastAsia="Calibri" w:hAnsi="Arial" w:cs="Arial"/>
          <w:sz w:val="24"/>
        </w:rPr>
        <w:t xml:space="preserve">he apparent simplicity of the challenge is </w:t>
      </w:r>
      <w:r w:rsidR="00232F26">
        <w:rPr>
          <w:rFonts w:ascii="Arial" w:eastAsia="Calibri" w:hAnsi="Arial" w:cs="Arial"/>
          <w:sz w:val="24"/>
        </w:rPr>
        <w:t xml:space="preserve">however </w:t>
      </w:r>
      <w:r w:rsidR="003A6669">
        <w:rPr>
          <w:rFonts w:ascii="Arial" w:eastAsia="Calibri" w:hAnsi="Arial" w:cs="Arial"/>
          <w:sz w:val="24"/>
        </w:rPr>
        <w:t>belied by the applicant’s own declaration</w:t>
      </w:r>
      <w:r w:rsidR="003A6669">
        <w:rPr>
          <w:rStyle w:val="FootnoteReference"/>
          <w:rFonts w:ascii="Arial" w:eastAsia="Calibri" w:hAnsi="Arial" w:cs="Arial"/>
          <w:sz w:val="24"/>
        </w:rPr>
        <w:footnoteReference w:id="62"/>
      </w:r>
      <w:r w:rsidR="003A6669">
        <w:rPr>
          <w:rFonts w:ascii="Arial" w:eastAsia="Calibri" w:hAnsi="Arial" w:cs="Arial"/>
          <w:sz w:val="24"/>
        </w:rPr>
        <w:t xml:space="preserve"> that there are several matters in the GAAR notice which was issued in July 2020 which are disputed by him and on which basis he contends that the assessment is objectionable</w:t>
      </w:r>
      <w:r w:rsidR="00232F26">
        <w:rPr>
          <w:rFonts w:ascii="Arial" w:eastAsia="Calibri" w:hAnsi="Arial" w:cs="Arial"/>
          <w:sz w:val="24"/>
        </w:rPr>
        <w:t>)</w:t>
      </w:r>
      <w:r w:rsidR="003A6669">
        <w:rPr>
          <w:rFonts w:ascii="Arial" w:eastAsia="Calibri" w:hAnsi="Arial" w:cs="Arial"/>
          <w:sz w:val="24"/>
        </w:rPr>
        <w:t xml:space="preserve">. </w:t>
      </w:r>
    </w:p>
    <w:p w14:paraId="57516163" w14:textId="1ECD657A" w:rsidR="00232F26" w:rsidRPr="00AA086F" w:rsidRDefault="003D3D1A" w:rsidP="003D3D1A">
      <w:pPr>
        <w:adjustRightInd w:val="0"/>
        <w:spacing w:line="360" w:lineRule="auto"/>
        <w:ind w:left="720" w:hanging="720"/>
        <w:contextualSpacing/>
        <w:jc w:val="both"/>
        <w:textAlignment w:val="baseline"/>
        <w:rPr>
          <w:rFonts w:ascii="Arial" w:eastAsia="Calibri" w:hAnsi="Arial" w:cs="Arial"/>
          <w:sz w:val="24"/>
        </w:rPr>
      </w:pPr>
      <w:r w:rsidRPr="00AA086F">
        <w:rPr>
          <w:rFonts w:ascii="Arial" w:eastAsia="Calibri" w:hAnsi="Arial" w:cs="Arial"/>
          <w:sz w:val="24"/>
        </w:rPr>
        <w:t>91.</w:t>
      </w:r>
      <w:r w:rsidRPr="00AA086F">
        <w:rPr>
          <w:rFonts w:ascii="Arial" w:eastAsia="Calibri" w:hAnsi="Arial" w:cs="Arial"/>
          <w:sz w:val="24"/>
        </w:rPr>
        <w:tab/>
      </w:r>
      <w:r w:rsidR="003A6669" w:rsidRPr="00AA086F">
        <w:rPr>
          <w:rFonts w:ascii="Arial" w:eastAsia="Calibri" w:hAnsi="Arial" w:cs="Arial"/>
          <w:sz w:val="24"/>
        </w:rPr>
        <w:t>The strategy which has been adopted</w:t>
      </w:r>
      <w:r w:rsidR="005E2FA1" w:rsidRPr="00AA086F">
        <w:rPr>
          <w:rFonts w:ascii="Arial" w:eastAsia="Calibri" w:hAnsi="Arial" w:cs="Arial"/>
          <w:sz w:val="24"/>
        </w:rPr>
        <w:t xml:space="preserve"> </w:t>
      </w:r>
      <w:r w:rsidR="003A6669" w:rsidRPr="00AA086F">
        <w:rPr>
          <w:rFonts w:ascii="Arial" w:eastAsia="Calibri" w:hAnsi="Arial" w:cs="Arial"/>
          <w:sz w:val="24"/>
        </w:rPr>
        <w:t xml:space="preserve">is </w:t>
      </w:r>
      <w:r w:rsidR="00232F26" w:rsidRPr="00AA086F">
        <w:rPr>
          <w:rFonts w:ascii="Arial" w:eastAsia="Calibri" w:hAnsi="Arial" w:cs="Arial"/>
          <w:sz w:val="24"/>
        </w:rPr>
        <w:t xml:space="preserve">clearly </w:t>
      </w:r>
      <w:r w:rsidR="003A6669" w:rsidRPr="00AA086F">
        <w:rPr>
          <w:rFonts w:ascii="Arial" w:eastAsia="Calibri" w:hAnsi="Arial" w:cs="Arial"/>
          <w:sz w:val="24"/>
        </w:rPr>
        <w:t xml:space="preserve">one aimed at having the finding that </w:t>
      </w:r>
      <w:r w:rsidR="005E2FA1" w:rsidRPr="00AA086F">
        <w:rPr>
          <w:rFonts w:ascii="Arial" w:eastAsia="Calibri" w:hAnsi="Arial" w:cs="Arial"/>
          <w:sz w:val="24"/>
        </w:rPr>
        <w:t xml:space="preserve">the applicant </w:t>
      </w:r>
      <w:r w:rsidR="003A6669" w:rsidRPr="00AA086F">
        <w:rPr>
          <w:rFonts w:ascii="Arial" w:eastAsia="Calibri" w:hAnsi="Arial" w:cs="Arial"/>
          <w:sz w:val="24"/>
        </w:rPr>
        <w:t>was party to an impermissible tax avoidance arrangement</w:t>
      </w:r>
      <w:r w:rsidR="00232F26" w:rsidRPr="00AA086F">
        <w:rPr>
          <w:rFonts w:ascii="Arial" w:eastAsia="Calibri" w:hAnsi="Arial" w:cs="Arial"/>
          <w:sz w:val="24"/>
        </w:rPr>
        <w:t xml:space="preserve"> set aside by the High Court</w:t>
      </w:r>
      <w:r w:rsidR="003A6669" w:rsidRPr="00AA086F">
        <w:rPr>
          <w:rFonts w:ascii="Arial" w:eastAsia="Calibri" w:hAnsi="Arial" w:cs="Arial"/>
          <w:sz w:val="24"/>
        </w:rPr>
        <w:t xml:space="preserve">, on </w:t>
      </w:r>
      <w:r w:rsidR="00337477">
        <w:rPr>
          <w:rFonts w:ascii="Arial" w:eastAsia="Calibri" w:hAnsi="Arial" w:cs="Arial"/>
          <w:sz w:val="24"/>
        </w:rPr>
        <w:t>application</w:t>
      </w:r>
      <w:r w:rsidR="00232F26" w:rsidRPr="00AA086F">
        <w:rPr>
          <w:rFonts w:ascii="Arial" w:eastAsia="Calibri" w:hAnsi="Arial" w:cs="Arial"/>
          <w:sz w:val="24"/>
        </w:rPr>
        <w:t xml:space="preserve">, on the basis of a possible single </w:t>
      </w:r>
      <w:r w:rsidR="008B7C8B">
        <w:rPr>
          <w:rFonts w:ascii="Arial" w:eastAsia="Calibri" w:hAnsi="Arial" w:cs="Arial"/>
          <w:sz w:val="24"/>
        </w:rPr>
        <w:t xml:space="preserve">alleged </w:t>
      </w:r>
      <w:r w:rsidR="00232F26" w:rsidRPr="00AA086F">
        <w:rPr>
          <w:rFonts w:ascii="Arial" w:eastAsia="Calibri" w:hAnsi="Arial" w:cs="Arial"/>
          <w:sz w:val="24"/>
        </w:rPr>
        <w:t>error of fact by the Commissioner, instead of having to rebut</w:t>
      </w:r>
      <w:r w:rsidR="007049F3" w:rsidRPr="00AA086F">
        <w:rPr>
          <w:rFonts w:ascii="Arial" w:eastAsia="Calibri" w:hAnsi="Arial" w:cs="Arial"/>
          <w:sz w:val="24"/>
        </w:rPr>
        <w:t>,</w:t>
      </w:r>
      <w:r w:rsidR="00232F26" w:rsidRPr="00AA086F">
        <w:rPr>
          <w:rFonts w:ascii="Arial" w:eastAsia="Calibri" w:hAnsi="Arial" w:cs="Arial"/>
          <w:sz w:val="24"/>
        </w:rPr>
        <w:t xml:space="preserve"> </w:t>
      </w:r>
      <w:r w:rsidR="007049F3" w:rsidRPr="00AA086F">
        <w:rPr>
          <w:rFonts w:ascii="Arial" w:eastAsia="Calibri" w:hAnsi="Arial" w:cs="Arial"/>
          <w:sz w:val="24"/>
        </w:rPr>
        <w:t xml:space="preserve">by way of evidence, </w:t>
      </w:r>
      <w:r w:rsidR="005E2FA1" w:rsidRPr="00AA086F">
        <w:rPr>
          <w:rFonts w:ascii="Arial" w:eastAsia="Calibri" w:hAnsi="Arial" w:cs="Arial"/>
          <w:sz w:val="24"/>
        </w:rPr>
        <w:t xml:space="preserve">in an objection process or in an appeal before a Tax Court, </w:t>
      </w:r>
      <w:r w:rsidR="00232F26" w:rsidRPr="00AA086F">
        <w:rPr>
          <w:rFonts w:ascii="Arial" w:eastAsia="Calibri" w:hAnsi="Arial" w:cs="Arial"/>
          <w:sz w:val="24"/>
        </w:rPr>
        <w:t xml:space="preserve">the </w:t>
      </w:r>
      <w:r w:rsidR="005E2FA1" w:rsidRPr="00AA086F">
        <w:rPr>
          <w:rFonts w:ascii="Arial" w:eastAsia="Calibri" w:hAnsi="Arial" w:cs="Arial"/>
          <w:sz w:val="24"/>
        </w:rPr>
        <w:t xml:space="preserve">statutory </w:t>
      </w:r>
      <w:r w:rsidR="00232F26" w:rsidRPr="00AA086F">
        <w:rPr>
          <w:rFonts w:ascii="Arial" w:eastAsia="Calibri" w:hAnsi="Arial" w:cs="Arial"/>
          <w:sz w:val="24"/>
        </w:rPr>
        <w:t>presumption</w:t>
      </w:r>
      <w:r w:rsidR="005E2FA1" w:rsidRPr="00AA086F">
        <w:rPr>
          <w:rFonts w:ascii="Arial" w:eastAsia="Calibri" w:hAnsi="Arial" w:cs="Arial"/>
          <w:sz w:val="24"/>
        </w:rPr>
        <w:t xml:space="preserve"> </w:t>
      </w:r>
      <w:r w:rsidR="00232F26">
        <w:rPr>
          <w:rStyle w:val="FootnoteReference"/>
          <w:rFonts w:ascii="Arial" w:eastAsia="Calibri" w:hAnsi="Arial" w:cs="Arial"/>
          <w:sz w:val="24"/>
        </w:rPr>
        <w:footnoteReference w:id="63"/>
      </w:r>
      <w:r w:rsidR="00232F26" w:rsidRPr="00AA086F">
        <w:rPr>
          <w:rFonts w:ascii="Arial" w:eastAsia="Calibri" w:hAnsi="Arial" w:cs="Arial"/>
          <w:sz w:val="24"/>
        </w:rPr>
        <w:t xml:space="preserve"> that the alleged arrangement was entered into for the sole or main purpose of obtaining </w:t>
      </w:r>
      <w:r w:rsidR="003119AA">
        <w:rPr>
          <w:rFonts w:ascii="Arial" w:eastAsia="Calibri" w:hAnsi="Arial" w:cs="Arial"/>
          <w:sz w:val="24"/>
        </w:rPr>
        <w:t>a</w:t>
      </w:r>
      <w:r w:rsidR="00232F26" w:rsidRPr="00AA086F">
        <w:rPr>
          <w:rFonts w:ascii="Arial" w:eastAsia="Calibri" w:hAnsi="Arial" w:cs="Arial"/>
          <w:sz w:val="24"/>
        </w:rPr>
        <w:t xml:space="preserve"> tax benefit</w:t>
      </w:r>
      <w:r w:rsidR="005E2FA1" w:rsidRPr="00AA086F">
        <w:rPr>
          <w:rFonts w:ascii="Arial" w:eastAsia="Calibri" w:hAnsi="Arial" w:cs="Arial"/>
          <w:sz w:val="24"/>
        </w:rPr>
        <w:t xml:space="preserve"> which would not otherwise have been obtained</w:t>
      </w:r>
      <w:r w:rsidR="00232F26" w:rsidRPr="00AA086F">
        <w:rPr>
          <w:rFonts w:ascii="Arial" w:eastAsia="Calibri" w:hAnsi="Arial" w:cs="Arial"/>
          <w:sz w:val="24"/>
        </w:rPr>
        <w:t>.</w:t>
      </w:r>
      <w:r w:rsidR="003A6669" w:rsidRPr="00AA086F">
        <w:rPr>
          <w:rFonts w:ascii="Arial" w:eastAsia="Calibri" w:hAnsi="Arial" w:cs="Arial"/>
          <w:sz w:val="24"/>
        </w:rPr>
        <w:t xml:space="preserve"> </w:t>
      </w:r>
    </w:p>
    <w:p w14:paraId="29AB3255" w14:textId="4DF6A08E" w:rsidR="00FD28BC"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92.</w:t>
      </w:r>
      <w:r>
        <w:rPr>
          <w:rFonts w:ascii="Arial" w:eastAsia="Calibri" w:hAnsi="Arial" w:cs="Arial"/>
          <w:sz w:val="24"/>
        </w:rPr>
        <w:tab/>
      </w:r>
      <w:r w:rsidR="008B7C8B">
        <w:rPr>
          <w:rFonts w:ascii="Arial" w:eastAsia="Calibri" w:hAnsi="Arial" w:cs="Arial"/>
          <w:sz w:val="24"/>
        </w:rPr>
        <w:t>In my view, s</w:t>
      </w:r>
      <w:r w:rsidR="00673306">
        <w:rPr>
          <w:rFonts w:ascii="Arial" w:eastAsia="Calibri" w:hAnsi="Arial" w:cs="Arial"/>
          <w:sz w:val="24"/>
        </w:rPr>
        <w:t>hould</w:t>
      </w:r>
      <w:r w:rsidR="00232F26">
        <w:rPr>
          <w:rFonts w:ascii="Arial" w:eastAsia="Calibri" w:hAnsi="Arial" w:cs="Arial"/>
          <w:sz w:val="24"/>
        </w:rPr>
        <w:t xml:space="preserve"> </w:t>
      </w:r>
      <w:r w:rsidR="00AA086F">
        <w:rPr>
          <w:rFonts w:ascii="Arial" w:eastAsia="Calibri" w:hAnsi="Arial" w:cs="Arial"/>
          <w:sz w:val="24"/>
        </w:rPr>
        <w:t>a civil review</w:t>
      </w:r>
      <w:r w:rsidR="00232F26">
        <w:rPr>
          <w:rFonts w:ascii="Arial" w:eastAsia="Calibri" w:hAnsi="Arial" w:cs="Arial"/>
          <w:sz w:val="24"/>
        </w:rPr>
        <w:t xml:space="preserve"> </w:t>
      </w:r>
      <w:r w:rsidR="00437A72">
        <w:rPr>
          <w:rFonts w:ascii="Arial" w:eastAsia="Calibri" w:hAnsi="Arial" w:cs="Arial"/>
          <w:sz w:val="24"/>
        </w:rPr>
        <w:t xml:space="preserve">of an alleged tax avoidance scheme or arrangement </w:t>
      </w:r>
      <w:r w:rsidR="00232F26">
        <w:rPr>
          <w:rFonts w:ascii="Arial" w:eastAsia="Calibri" w:hAnsi="Arial" w:cs="Arial"/>
          <w:sz w:val="24"/>
        </w:rPr>
        <w:t xml:space="preserve">be </w:t>
      </w:r>
      <w:r w:rsidR="00CB33CD">
        <w:rPr>
          <w:rFonts w:ascii="Arial" w:eastAsia="Calibri" w:hAnsi="Arial" w:cs="Arial"/>
          <w:sz w:val="24"/>
        </w:rPr>
        <w:t>allowed</w:t>
      </w:r>
      <w:r w:rsidR="00232F26">
        <w:rPr>
          <w:rFonts w:ascii="Arial" w:eastAsia="Calibri" w:hAnsi="Arial" w:cs="Arial"/>
          <w:sz w:val="24"/>
        </w:rPr>
        <w:t xml:space="preserve"> </w:t>
      </w:r>
      <w:r w:rsidR="00AA086F">
        <w:rPr>
          <w:rFonts w:ascii="Arial" w:eastAsia="Calibri" w:hAnsi="Arial" w:cs="Arial"/>
          <w:sz w:val="24"/>
        </w:rPr>
        <w:t xml:space="preserve">in the High Court, at first instance, </w:t>
      </w:r>
      <w:r w:rsidR="00232F26">
        <w:rPr>
          <w:rFonts w:ascii="Arial" w:eastAsia="Calibri" w:hAnsi="Arial" w:cs="Arial"/>
          <w:sz w:val="24"/>
        </w:rPr>
        <w:t xml:space="preserve">it would encourage dissatisfied taxpayers to </w:t>
      </w:r>
      <w:r w:rsidR="00E14D76">
        <w:rPr>
          <w:rFonts w:ascii="Arial" w:eastAsia="Calibri" w:hAnsi="Arial" w:cs="Arial"/>
          <w:sz w:val="24"/>
        </w:rPr>
        <w:t xml:space="preserve">frustrate and </w:t>
      </w:r>
      <w:r w:rsidR="00232F26">
        <w:rPr>
          <w:rFonts w:ascii="Arial" w:eastAsia="Calibri" w:hAnsi="Arial" w:cs="Arial"/>
          <w:sz w:val="24"/>
        </w:rPr>
        <w:t>bypass the dispute resolution process which is provided for in the TAA, b</w:t>
      </w:r>
      <w:r w:rsidR="00E14D76">
        <w:rPr>
          <w:rFonts w:ascii="Arial" w:eastAsia="Calibri" w:hAnsi="Arial" w:cs="Arial"/>
          <w:sz w:val="24"/>
        </w:rPr>
        <w:t>y</w:t>
      </w:r>
      <w:r w:rsidR="00232F26">
        <w:rPr>
          <w:rFonts w:ascii="Arial" w:eastAsia="Calibri" w:hAnsi="Arial" w:cs="Arial"/>
          <w:sz w:val="24"/>
        </w:rPr>
        <w:t xml:space="preserve"> leapfrogging over it into the High Court</w:t>
      </w:r>
      <w:r w:rsidR="00E14D76">
        <w:rPr>
          <w:rFonts w:ascii="Arial" w:eastAsia="Calibri" w:hAnsi="Arial" w:cs="Arial"/>
          <w:sz w:val="24"/>
        </w:rPr>
        <w:t xml:space="preserve">, whenever there is room to argue that the Commissioner’s understanding of one or other transaction or step in </w:t>
      </w:r>
      <w:r w:rsidR="008B7C8B">
        <w:rPr>
          <w:rFonts w:ascii="Arial" w:eastAsia="Calibri" w:hAnsi="Arial" w:cs="Arial"/>
          <w:sz w:val="24"/>
        </w:rPr>
        <w:t xml:space="preserve">such </w:t>
      </w:r>
      <w:r w:rsidR="00E14D76">
        <w:rPr>
          <w:rFonts w:ascii="Arial" w:eastAsia="Calibri" w:hAnsi="Arial" w:cs="Arial"/>
          <w:sz w:val="24"/>
        </w:rPr>
        <w:t xml:space="preserve">scheme or arrangement, is wrong.  </w:t>
      </w:r>
      <w:r w:rsidR="00142B37" w:rsidRPr="00AA086F">
        <w:rPr>
          <w:rFonts w:ascii="Arial" w:eastAsia="Calibri" w:hAnsi="Arial" w:cs="Arial"/>
          <w:sz w:val="24"/>
        </w:rPr>
        <w:t xml:space="preserve">To allow a civil </w:t>
      </w:r>
      <w:r w:rsidR="00142B37" w:rsidRPr="00AA086F">
        <w:rPr>
          <w:rFonts w:ascii="Arial" w:eastAsia="Calibri" w:hAnsi="Arial" w:cs="Arial"/>
          <w:sz w:val="24"/>
        </w:rPr>
        <w:lastRenderedPageBreak/>
        <w:t>review</w:t>
      </w:r>
      <w:r w:rsidR="00142B37">
        <w:rPr>
          <w:rFonts w:ascii="Arial" w:eastAsia="Calibri" w:hAnsi="Arial" w:cs="Arial"/>
          <w:sz w:val="24"/>
        </w:rPr>
        <w:t xml:space="preserve"> in such circumstances</w:t>
      </w:r>
      <w:r w:rsidR="00142B37" w:rsidRPr="00AA086F">
        <w:rPr>
          <w:rFonts w:ascii="Arial" w:eastAsia="Calibri" w:hAnsi="Arial" w:cs="Arial"/>
          <w:sz w:val="24"/>
        </w:rPr>
        <w:t xml:space="preserve">, based on contrary assertions in </w:t>
      </w:r>
      <w:r w:rsidR="00142B37">
        <w:rPr>
          <w:rFonts w:ascii="Arial" w:eastAsia="Calibri" w:hAnsi="Arial" w:cs="Arial"/>
          <w:sz w:val="24"/>
        </w:rPr>
        <w:t xml:space="preserve">the </w:t>
      </w:r>
      <w:r w:rsidR="00142B37" w:rsidRPr="00AA086F">
        <w:rPr>
          <w:rFonts w:ascii="Arial" w:eastAsia="Calibri" w:hAnsi="Arial" w:cs="Arial"/>
          <w:sz w:val="24"/>
        </w:rPr>
        <w:t>affidavits</w:t>
      </w:r>
      <w:r w:rsidR="00142B37">
        <w:rPr>
          <w:rFonts w:ascii="Arial" w:eastAsia="Calibri" w:hAnsi="Arial" w:cs="Arial"/>
          <w:sz w:val="24"/>
        </w:rPr>
        <w:t xml:space="preserve"> which </w:t>
      </w:r>
      <w:r w:rsidR="003119AA">
        <w:rPr>
          <w:rFonts w:ascii="Arial" w:eastAsia="Calibri" w:hAnsi="Arial" w:cs="Arial"/>
          <w:sz w:val="24"/>
        </w:rPr>
        <w:t>are</w:t>
      </w:r>
      <w:r w:rsidR="00142B37">
        <w:rPr>
          <w:rFonts w:ascii="Arial" w:eastAsia="Calibri" w:hAnsi="Arial" w:cs="Arial"/>
          <w:sz w:val="24"/>
        </w:rPr>
        <w:t xml:space="preserve"> filed by the parties, </w:t>
      </w:r>
      <w:r w:rsidR="00142B37" w:rsidRPr="00AA086F">
        <w:rPr>
          <w:rFonts w:ascii="Arial" w:eastAsia="Calibri" w:hAnsi="Arial" w:cs="Arial"/>
          <w:sz w:val="24"/>
        </w:rPr>
        <w:t>would</w:t>
      </w:r>
      <w:r w:rsidR="00142B37">
        <w:rPr>
          <w:rFonts w:ascii="Arial" w:eastAsia="Calibri" w:hAnsi="Arial" w:cs="Arial"/>
          <w:sz w:val="24"/>
        </w:rPr>
        <w:t xml:space="preserve"> be to ignore </w:t>
      </w:r>
      <w:r w:rsidR="00142B37" w:rsidRPr="00AA086F">
        <w:rPr>
          <w:rFonts w:ascii="Arial" w:eastAsia="Calibri" w:hAnsi="Arial" w:cs="Arial"/>
          <w:sz w:val="24"/>
        </w:rPr>
        <w:t>s</w:t>
      </w:r>
      <w:r w:rsidR="00142B37">
        <w:rPr>
          <w:rFonts w:ascii="Arial" w:eastAsia="Calibri" w:hAnsi="Arial" w:cs="Arial"/>
          <w:sz w:val="24"/>
        </w:rPr>
        <w:t xml:space="preserve"> 80G (2) of the Act, which allows for the purpose of a step in, or part of, an avoidance scheme or arrangement, to differ from the purpose attributable to the scheme or arrangement as a whole.    </w:t>
      </w:r>
      <w:r w:rsidR="00E14D76">
        <w:rPr>
          <w:rFonts w:ascii="Arial" w:eastAsia="Calibri" w:hAnsi="Arial" w:cs="Arial"/>
          <w:sz w:val="24"/>
        </w:rPr>
        <w:t xml:space="preserve"> </w:t>
      </w:r>
      <w:r w:rsidR="00232F26">
        <w:rPr>
          <w:rFonts w:ascii="Arial" w:eastAsia="Calibri" w:hAnsi="Arial" w:cs="Arial"/>
          <w:sz w:val="24"/>
        </w:rPr>
        <w:t xml:space="preserve">  </w:t>
      </w:r>
    </w:p>
    <w:p w14:paraId="359EE209" w14:textId="37623777" w:rsidR="00A43571"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93.</w:t>
      </w:r>
      <w:r>
        <w:rPr>
          <w:rFonts w:ascii="Arial" w:eastAsia="Calibri" w:hAnsi="Arial" w:cs="Arial"/>
          <w:sz w:val="24"/>
        </w:rPr>
        <w:tab/>
      </w:r>
      <w:r w:rsidR="00FD28BC">
        <w:rPr>
          <w:rFonts w:ascii="Arial" w:eastAsia="Calibri" w:hAnsi="Arial" w:cs="Arial"/>
          <w:sz w:val="24"/>
        </w:rPr>
        <w:t xml:space="preserve">Even if the Commissioner made a factual error in regard to his understanding and </w:t>
      </w:r>
      <w:r w:rsidR="00E14D76">
        <w:rPr>
          <w:rFonts w:ascii="Arial" w:eastAsia="Calibri" w:hAnsi="Arial" w:cs="Arial"/>
          <w:sz w:val="24"/>
        </w:rPr>
        <w:t>treatment o</w:t>
      </w:r>
      <w:r w:rsidR="00FD28BC">
        <w:rPr>
          <w:rFonts w:ascii="Arial" w:eastAsia="Calibri" w:hAnsi="Arial" w:cs="Arial"/>
          <w:sz w:val="24"/>
        </w:rPr>
        <w:t xml:space="preserve">f the </w:t>
      </w:r>
      <w:r w:rsidR="00E14D76">
        <w:rPr>
          <w:rFonts w:ascii="Arial" w:eastAsia="Calibri" w:hAnsi="Arial" w:cs="Arial"/>
          <w:sz w:val="24"/>
        </w:rPr>
        <w:t>N</w:t>
      </w:r>
      <w:r w:rsidR="00FD28BC">
        <w:rPr>
          <w:rFonts w:ascii="Arial" w:eastAsia="Calibri" w:hAnsi="Arial" w:cs="Arial"/>
          <w:sz w:val="24"/>
        </w:rPr>
        <w:t xml:space="preserve">ewshelf repurchase </w:t>
      </w:r>
      <w:r w:rsidR="00264185">
        <w:rPr>
          <w:rFonts w:ascii="Arial" w:eastAsia="Calibri" w:hAnsi="Arial" w:cs="Arial"/>
          <w:sz w:val="24"/>
        </w:rPr>
        <w:t xml:space="preserve">dividend </w:t>
      </w:r>
      <w:r w:rsidR="00FD28BC">
        <w:rPr>
          <w:rFonts w:ascii="Arial" w:eastAsia="Calibri" w:hAnsi="Arial" w:cs="Arial"/>
          <w:sz w:val="24"/>
        </w:rPr>
        <w:t>and</w:t>
      </w:r>
      <w:r w:rsidR="00CB33CD">
        <w:rPr>
          <w:rFonts w:ascii="Arial" w:eastAsia="Calibri" w:hAnsi="Arial" w:cs="Arial"/>
          <w:sz w:val="24"/>
        </w:rPr>
        <w:t>/or</w:t>
      </w:r>
      <w:r w:rsidR="00FD28BC">
        <w:rPr>
          <w:rFonts w:ascii="Arial" w:eastAsia="Calibri" w:hAnsi="Arial" w:cs="Arial"/>
          <w:sz w:val="24"/>
        </w:rPr>
        <w:t xml:space="preserve"> the Trust</w:t>
      </w:r>
      <w:r w:rsidR="0097708B">
        <w:rPr>
          <w:rFonts w:ascii="Arial" w:eastAsia="Calibri" w:hAnsi="Arial" w:cs="Arial"/>
          <w:sz w:val="24"/>
        </w:rPr>
        <w:t>’s</w:t>
      </w:r>
      <w:r w:rsidR="00FD28BC">
        <w:rPr>
          <w:rFonts w:ascii="Arial" w:eastAsia="Calibri" w:hAnsi="Arial" w:cs="Arial"/>
          <w:sz w:val="24"/>
        </w:rPr>
        <w:t xml:space="preserve"> subscription of shares, I cannot see any reason why it would be inappropriate or prejudicial to require the applicant to </w:t>
      </w:r>
      <w:r w:rsidR="0097708B">
        <w:rPr>
          <w:rFonts w:ascii="Arial" w:eastAsia="Calibri" w:hAnsi="Arial" w:cs="Arial"/>
          <w:sz w:val="24"/>
        </w:rPr>
        <w:t xml:space="preserve">ventilate this </w:t>
      </w:r>
      <w:r w:rsidR="00FD28BC">
        <w:rPr>
          <w:rFonts w:ascii="Arial" w:eastAsia="Calibri" w:hAnsi="Arial" w:cs="Arial"/>
          <w:sz w:val="24"/>
        </w:rPr>
        <w:t xml:space="preserve">through the process of </w:t>
      </w:r>
      <w:r w:rsidR="0097708B">
        <w:rPr>
          <w:rFonts w:ascii="Arial" w:eastAsia="Calibri" w:hAnsi="Arial" w:cs="Arial"/>
          <w:sz w:val="24"/>
        </w:rPr>
        <w:t xml:space="preserve">an </w:t>
      </w:r>
      <w:r w:rsidR="00FD28BC">
        <w:rPr>
          <w:rFonts w:ascii="Arial" w:eastAsia="Calibri" w:hAnsi="Arial" w:cs="Arial"/>
          <w:sz w:val="24"/>
        </w:rPr>
        <w:t>objection</w:t>
      </w:r>
      <w:r w:rsidR="006031F1">
        <w:rPr>
          <w:rFonts w:ascii="Arial" w:eastAsia="Calibri" w:hAnsi="Arial" w:cs="Arial"/>
          <w:sz w:val="24"/>
        </w:rPr>
        <w:t>,</w:t>
      </w:r>
      <w:r w:rsidR="00FD28BC">
        <w:rPr>
          <w:rFonts w:ascii="Arial" w:eastAsia="Calibri" w:hAnsi="Arial" w:cs="Arial"/>
          <w:sz w:val="24"/>
        </w:rPr>
        <w:t xml:space="preserve"> </w:t>
      </w:r>
      <w:r w:rsidR="006031F1">
        <w:rPr>
          <w:rFonts w:ascii="Arial" w:eastAsia="Calibri" w:hAnsi="Arial" w:cs="Arial"/>
          <w:sz w:val="24"/>
        </w:rPr>
        <w:t xml:space="preserve">and </w:t>
      </w:r>
      <w:r w:rsidR="00437A72">
        <w:rPr>
          <w:rFonts w:ascii="Arial" w:eastAsia="Calibri" w:hAnsi="Arial" w:cs="Arial"/>
          <w:sz w:val="24"/>
        </w:rPr>
        <w:t xml:space="preserve">thereafter, </w:t>
      </w:r>
      <w:r w:rsidR="006031F1">
        <w:rPr>
          <w:rFonts w:ascii="Arial" w:eastAsia="Calibri" w:hAnsi="Arial" w:cs="Arial"/>
          <w:sz w:val="24"/>
        </w:rPr>
        <w:t xml:space="preserve">if necessary, </w:t>
      </w:r>
      <w:r w:rsidR="0097708B">
        <w:rPr>
          <w:rFonts w:ascii="Arial" w:eastAsia="Calibri" w:hAnsi="Arial" w:cs="Arial"/>
          <w:sz w:val="24"/>
        </w:rPr>
        <w:t xml:space="preserve">an </w:t>
      </w:r>
      <w:r w:rsidR="00FD28BC">
        <w:rPr>
          <w:rFonts w:ascii="Arial" w:eastAsia="Calibri" w:hAnsi="Arial" w:cs="Arial"/>
          <w:sz w:val="24"/>
        </w:rPr>
        <w:t>appeal</w:t>
      </w:r>
      <w:r w:rsidR="0097708B">
        <w:rPr>
          <w:rFonts w:ascii="Arial" w:eastAsia="Calibri" w:hAnsi="Arial" w:cs="Arial"/>
          <w:sz w:val="24"/>
        </w:rPr>
        <w:t xml:space="preserve">. As </w:t>
      </w:r>
      <w:r w:rsidR="006031F1">
        <w:rPr>
          <w:rFonts w:ascii="Arial" w:eastAsia="Calibri" w:hAnsi="Arial" w:cs="Arial"/>
          <w:sz w:val="24"/>
        </w:rPr>
        <w:t xml:space="preserve">was pointed out in </w:t>
      </w:r>
      <w:r w:rsidR="006031F1" w:rsidRPr="00661521">
        <w:rPr>
          <w:rFonts w:ascii="Arial" w:eastAsia="Calibri" w:hAnsi="Arial" w:cs="Arial"/>
          <w:i/>
          <w:iCs/>
          <w:sz w:val="24"/>
        </w:rPr>
        <w:t>Forge Packaging</w:t>
      </w:r>
      <w:r w:rsidR="006031F1">
        <w:rPr>
          <w:rFonts w:ascii="Arial" w:eastAsia="Calibri" w:hAnsi="Arial" w:cs="Arial"/>
          <w:sz w:val="24"/>
        </w:rPr>
        <w:t xml:space="preserve"> </w:t>
      </w:r>
      <w:r w:rsidR="00FD28BC">
        <w:rPr>
          <w:rFonts w:ascii="Arial" w:eastAsia="Calibri" w:hAnsi="Arial" w:cs="Arial"/>
          <w:sz w:val="24"/>
        </w:rPr>
        <w:t xml:space="preserve">such processes </w:t>
      </w:r>
      <w:r w:rsidR="006031F1">
        <w:rPr>
          <w:rFonts w:ascii="Arial" w:eastAsia="Calibri" w:hAnsi="Arial" w:cs="Arial"/>
          <w:sz w:val="24"/>
        </w:rPr>
        <w:t xml:space="preserve">will not </w:t>
      </w:r>
      <w:r w:rsidR="00FD28BC">
        <w:rPr>
          <w:rFonts w:ascii="Arial" w:eastAsia="Calibri" w:hAnsi="Arial" w:cs="Arial"/>
          <w:sz w:val="24"/>
        </w:rPr>
        <w:t>inevitably</w:t>
      </w:r>
      <w:r w:rsidR="006031F1">
        <w:rPr>
          <w:rFonts w:ascii="Arial" w:eastAsia="Calibri" w:hAnsi="Arial" w:cs="Arial"/>
          <w:sz w:val="24"/>
        </w:rPr>
        <w:t>,</w:t>
      </w:r>
      <w:r w:rsidR="00FD28BC">
        <w:rPr>
          <w:rFonts w:ascii="Arial" w:eastAsia="Calibri" w:hAnsi="Arial" w:cs="Arial"/>
          <w:sz w:val="24"/>
        </w:rPr>
        <w:t xml:space="preserve"> and necessarily</w:t>
      </w:r>
      <w:r w:rsidR="006031F1">
        <w:rPr>
          <w:rFonts w:ascii="Arial" w:eastAsia="Calibri" w:hAnsi="Arial" w:cs="Arial"/>
          <w:sz w:val="24"/>
        </w:rPr>
        <w:t>,</w:t>
      </w:r>
      <w:r w:rsidR="00FD28BC">
        <w:rPr>
          <w:rFonts w:ascii="Arial" w:eastAsia="Calibri" w:hAnsi="Arial" w:cs="Arial"/>
          <w:sz w:val="24"/>
        </w:rPr>
        <w:t xml:space="preserve"> be lengthy and costly</w:t>
      </w:r>
      <w:r w:rsidR="0097708B">
        <w:rPr>
          <w:rFonts w:ascii="Arial" w:eastAsia="Calibri" w:hAnsi="Arial" w:cs="Arial"/>
          <w:sz w:val="24"/>
        </w:rPr>
        <w:t>.</w:t>
      </w:r>
      <w:r w:rsidR="00CB32E1">
        <w:rPr>
          <w:rFonts w:ascii="Arial" w:eastAsia="Calibri" w:hAnsi="Arial" w:cs="Arial"/>
          <w:sz w:val="24"/>
        </w:rPr>
        <w:t xml:space="preserve">  </w:t>
      </w:r>
      <w:r w:rsidR="00437A72">
        <w:rPr>
          <w:rFonts w:ascii="Arial" w:eastAsia="Calibri" w:hAnsi="Arial" w:cs="Arial"/>
          <w:sz w:val="24"/>
        </w:rPr>
        <w:t>And t</w:t>
      </w:r>
      <w:r w:rsidR="0097708B">
        <w:rPr>
          <w:rFonts w:ascii="Arial" w:eastAsia="Calibri" w:hAnsi="Arial" w:cs="Arial"/>
          <w:sz w:val="24"/>
        </w:rPr>
        <w:t>hey are most likely to arrive at a fair, proper, and correct determination of the applicant’s tax liability, if any. I</w:t>
      </w:r>
      <w:r w:rsidR="00101C7C">
        <w:rPr>
          <w:rFonts w:ascii="Arial" w:eastAsia="Calibri" w:hAnsi="Arial" w:cs="Arial"/>
          <w:sz w:val="24"/>
        </w:rPr>
        <w:t xml:space="preserve">f anything, allowing </w:t>
      </w:r>
      <w:r w:rsidR="0097708B">
        <w:rPr>
          <w:rFonts w:ascii="Arial" w:eastAsia="Calibri" w:hAnsi="Arial" w:cs="Arial"/>
          <w:sz w:val="24"/>
        </w:rPr>
        <w:t>the applicant to have th</w:t>
      </w:r>
      <w:r w:rsidR="00437A72">
        <w:rPr>
          <w:rFonts w:ascii="Arial" w:eastAsia="Calibri" w:hAnsi="Arial" w:cs="Arial"/>
          <w:sz w:val="24"/>
        </w:rPr>
        <w:t>is</w:t>
      </w:r>
      <w:r w:rsidR="0097708B">
        <w:rPr>
          <w:rFonts w:ascii="Arial" w:eastAsia="Calibri" w:hAnsi="Arial" w:cs="Arial"/>
          <w:sz w:val="24"/>
        </w:rPr>
        <w:t xml:space="preserve"> review heard in a civil Court will not result in </w:t>
      </w:r>
      <w:r w:rsidR="00673306">
        <w:rPr>
          <w:rFonts w:ascii="Arial" w:eastAsia="Calibri" w:hAnsi="Arial" w:cs="Arial"/>
          <w:sz w:val="24"/>
        </w:rPr>
        <w:t xml:space="preserve">the </w:t>
      </w:r>
      <w:r w:rsidR="0097708B">
        <w:rPr>
          <w:rFonts w:ascii="Arial" w:eastAsia="Calibri" w:hAnsi="Arial" w:cs="Arial"/>
          <w:sz w:val="24"/>
        </w:rPr>
        <w:t xml:space="preserve">expeditious and final resolution of the dispute. Even though it </w:t>
      </w:r>
      <w:r w:rsidR="00F96CBF">
        <w:rPr>
          <w:rFonts w:ascii="Arial" w:eastAsia="Calibri" w:hAnsi="Arial" w:cs="Arial"/>
          <w:sz w:val="24"/>
        </w:rPr>
        <w:t>could</w:t>
      </w:r>
      <w:r w:rsidR="0097708B">
        <w:rPr>
          <w:rFonts w:ascii="Arial" w:eastAsia="Calibri" w:hAnsi="Arial" w:cs="Arial"/>
          <w:sz w:val="24"/>
        </w:rPr>
        <w:t xml:space="preserve"> </w:t>
      </w:r>
      <w:r w:rsidR="00437A72">
        <w:rPr>
          <w:rFonts w:ascii="Arial" w:eastAsia="Calibri" w:hAnsi="Arial" w:cs="Arial"/>
          <w:sz w:val="24"/>
        </w:rPr>
        <w:t xml:space="preserve">possibly </w:t>
      </w:r>
      <w:r w:rsidR="0097708B">
        <w:rPr>
          <w:rFonts w:ascii="Arial" w:eastAsia="Calibri" w:hAnsi="Arial" w:cs="Arial"/>
          <w:sz w:val="24"/>
        </w:rPr>
        <w:t xml:space="preserve">result </w:t>
      </w:r>
      <w:r w:rsidR="00482B7C">
        <w:rPr>
          <w:rFonts w:ascii="Arial" w:eastAsia="Calibri" w:hAnsi="Arial" w:cs="Arial"/>
          <w:sz w:val="24"/>
        </w:rPr>
        <w:t xml:space="preserve">in </w:t>
      </w:r>
      <w:r w:rsidR="00F96CBF">
        <w:rPr>
          <w:rFonts w:ascii="Arial" w:eastAsia="Calibri" w:hAnsi="Arial" w:cs="Arial"/>
          <w:sz w:val="24"/>
        </w:rPr>
        <w:t>the</w:t>
      </w:r>
      <w:r w:rsidR="0097708B">
        <w:rPr>
          <w:rFonts w:ascii="Arial" w:eastAsia="Calibri" w:hAnsi="Arial" w:cs="Arial"/>
          <w:sz w:val="24"/>
        </w:rPr>
        <w:t xml:space="preserve"> setting aside of the Commissioner’s </w:t>
      </w:r>
      <w:r w:rsidR="00337477">
        <w:rPr>
          <w:rFonts w:ascii="Arial" w:eastAsia="Calibri" w:hAnsi="Arial" w:cs="Arial"/>
          <w:sz w:val="24"/>
        </w:rPr>
        <w:t xml:space="preserve">s 80J </w:t>
      </w:r>
      <w:r w:rsidR="0097708B">
        <w:rPr>
          <w:rFonts w:ascii="Arial" w:eastAsia="Calibri" w:hAnsi="Arial" w:cs="Arial"/>
          <w:sz w:val="24"/>
        </w:rPr>
        <w:t>determination the matter would inevitabl</w:t>
      </w:r>
      <w:r w:rsidR="00A43571">
        <w:rPr>
          <w:rFonts w:ascii="Arial" w:eastAsia="Calibri" w:hAnsi="Arial" w:cs="Arial"/>
          <w:sz w:val="24"/>
        </w:rPr>
        <w:t>y</w:t>
      </w:r>
      <w:r w:rsidR="0097708B">
        <w:rPr>
          <w:rFonts w:ascii="Arial" w:eastAsia="Calibri" w:hAnsi="Arial" w:cs="Arial"/>
          <w:sz w:val="24"/>
        </w:rPr>
        <w:t xml:space="preserve"> be referred back, and given the amounts involved there is no doubt that a revised </w:t>
      </w:r>
      <w:r w:rsidR="00A56CAE">
        <w:rPr>
          <w:rFonts w:ascii="Arial" w:eastAsia="Calibri" w:hAnsi="Arial" w:cs="Arial"/>
          <w:sz w:val="24"/>
        </w:rPr>
        <w:t>determination</w:t>
      </w:r>
      <w:r w:rsidR="0097708B">
        <w:rPr>
          <w:rFonts w:ascii="Arial" w:eastAsia="Calibri" w:hAnsi="Arial" w:cs="Arial"/>
          <w:sz w:val="24"/>
        </w:rPr>
        <w:t xml:space="preserve"> would follow, which would inevitably be challenged again. Thus, the proper way for the matter of the applicant’s possible tax liability to be resolved</w:t>
      </w:r>
      <w:r w:rsidR="00A43571">
        <w:rPr>
          <w:rFonts w:ascii="Arial" w:eastAsia="Calibri" w:hAnsi="Arial" w:cs="Arial"/>
          <w:sz w:val="24"/>
        </w:rPr>
        <w:t xml:space="preserve"> is for the processes of objection and appeal to be followed, and if warranted, from there the applicant would have recourse to this Court on review or appeal. To allow a review in this Court at this stage would only add to the costs and delay, not reduce them.</w:t>
      </w:r>
      <w:r w:rsidR="00CB32E1" w:rsidRPr="00CB32E1">
        <w:rPr>
          <w:rFonts w:ascii="Arial" w:eastAsia="Calibri" w:hAnsi="Arial" w:cs="Arial"/>
          <w:sz w:val="24"/>
        </w:rPr>
        <w:t xml:space="preserve"> </w:t>
      </w:r>
      <w:r w:rsidR="00CB32E1">
        <w:rPr>
          <w:rFonts w:ascii="Arial" w:eastAsia="Calibri" w:hAnsi="Arial" w:cs="Arial"/>
          <w:sz w:val="24"/>
        </w:rPr>
        <w:t xml:space="preserve">Given the congested Court rolls and capacity constraints </w:t>
      </w:r>
      <w:r w:rsidR="00337477">
        <w:rPr>
          <w:rFonts w:ascii="Arial" w:eastAsia="Calibri" w:hAnsi="Arial" w:cs="Arial"/>
          <w:sz w:val="24"/>
        </w:rPr>
        <w:t>of</w:t>
      </w:r>
      <w:r w:rsidR="00CB32E1">
        <w:rPr>
          <w:rFonts w:ascii="Arial" w:eastAsia="Calibri" w:hAnsi="Arial" w:cs="Arial"/>
          <w:sz w:val="24"/>
        </w:rPr>
        <w:t xml:space="preserve"> the High Court, having the dispute resolved by way of the dispute resolution processes of the TAA will in fact be </w:t>
      </w:r>
      <w:r w:rsidR="00437A72">
        <w:rPr>
          <w:rFonts w:ascii="Arial" w:eastAsia="Calibri" w:hAnsi="Arial" w:cs="Arial"/>
          <w:sz w:val="24"/>
        </w:rPr>
        <w:t xml:space="preserve">much </w:t>
      </w:r>
      <w:r w:rsidR="00CB32E1">
        <w:rPr>
          <w:rFonts w:ascii="Arial" w:eastAsia="Calibri" w:hAnsi="Arial" w:cs="Arial"/>
          <w:sz w:val="24"/>
        </w:rPr>
        <w:t xml:space="preserve">quicker and more convenient for </w:t>
      </w:r>
      <w:r w:rsidR="00983819">
        <w:rPr>
          <w:rFonts w:ascii="Arial" w:eastAsia="Calibri" w:hAnsi="Arial" w:cs="Arial"/>
          <w:sz w:val="24"/>
        </w:rPr>
        <w:t xml:space="preserve">both </w:t>
      </w:r>
      <w:r w:rsidR="00CB32E1">
        <w:rPr>
          <w:rFonts w:ascii="Arial" w:eastAsia="Calibri" w:hAnsi="Arial" w:cs="Arial"/>
          <w:sz w:val="24"/>
        </w:rPr>
        <w:t>the applicant and the Commissioner.</w:t>
      </w:r>
    </w:p>
    <w:p w14:paraId="32C9505E" w14:textId="0854AC7A" w:rsidR="00101C7C" w:rsidRPr="00A43571" w:rsidRDefault="00A43571" w:rsidP="00A43571">
      <w:pPr>
        <w:adjustRightInd w:val="0"/>
        <w:spacing w:after="0" w:line="360" w:lineRule="auto"/>
        <w:contextualSpacing/>
        <w:jc w:val="both"/>
        <w:textAlignment w:val="baseline"/>
        <w:rPr>
          <w:rFonts w:ascii="Arial" w:eastAsia="Calibri" w:hAnsi="Arial" w:cs="Arial"/>
          <w:b/>
          <w:bCs/>
          <w:sz w:val="24"/>
        </w:rPr>
      </w:pPr>
      <w:r w:rsidRPr="00A43571">
        <w:rPr>
          <w:rFonts w:ascii="Arial" w:eastAsia="Calibri" w:hAnsi="Arial" w:cs="Arial"/>
          <w:b/>
          <w:bCs/>
          <w:sz w:val="24"/>
        </w:rPr>
        <w:t xml:space="preserve">Conclusion   </w:t>
      </w:r>
      <w:r w:rsidR="0097708B" w:rsidRPr="00A43571">
        <w:rPr>
          <w:rFonts w:ascii="Arial" w:eastAsia="Calibri" w:hAnsi="Arial" w:cs="Arial"/>
          <w:b/>
          <w:bCs/>
          <w:sz w:val="24"/>
        </w:rPr>
        <w:t xml:space="preserve"> </w:t>
      </w:r>
    </w:p>
    <w:p w14:paraId="387E5EBC" w14:textId="0032C953" w:rsidR="00A43571"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94.</w:t>
      </w:r>
      <w:r>
        <w:rPr>
          <w:rFonts w:ascii="Arial" w:eastAsia="Calibri" w:hAnsi="Arial" w:cs="Arial"/>
          <w:sz w:val="24"/>
        </w:rPr>
        <w:tab/>
      </w:r>
      <w:r w:rsidR="00A43571">
        <w:rPr>
          <w:rFonts w:ascii="Arial" w:eastAsia="Calibri" w:hAnsi="Arial" w:cs="Arial"/>
          <w:sz w:val="24"/>
        </w:rPr>
        <w:t xml:space="preserve">In the result, I am of the view that the applicant has failed to show that </w:t>
      </w:r>
      <w:r w:rsidR="00CB32E1">
        <w:rPr>
          <w:rFonts w:ascii="Arial" w:eastAsia="Calibri" w:hAnsi="Arial" w:cs="Arial"/>
          <w:sz w:val="24"/>
        </w:rPr>
        <w:t xml:space="preserve">1) </w:t>
      </w:r>
      <w:r w:rsidR="00A43571">
        <w:rPr>
          <w:rFonts w:ascii="Arial" w:eastAsia="Calibri" w:hAnsi="Arial" w:cs="Arial"/>
          <w:sz w:val="24"/>
        </w:rPr>
        <w:t xml:space="preserve">there are exceptional circumstances present and </w:t>
      </w:r>
      <w:r w:rsidR="00CB32E1">
        <w:rPr>
          <w:rFonts w:ascii="Arial" w:eastAsia="Calibri" w:hAnsi="Arial" w:cs="Arial"/>
          <w:sz w:val="24"/>
        </w:rPr>
        <w:t xml:space="preserve">2) </w:t>
      </w:r>
      <w:r w:rsidR="00A43571">
        <w:rPr>
          <w:rFonts w:ascii="Arial" w:eastAsia="Calibri" w:hAnsi="Arial" w:cs="Arial"/>
          <w:sz w:val="24"/>
        </w:rPr>
        <w:t>that a directive in terms of s 105</w:t>
      </w:r>
      <w:r w:rsidR="009E16C3">
        <w:rPr>
          <w:rFonts w:ascii="Arial" w:eastAsia="Calibri" w:hAnsi="Arial" w:cs="Arial"/>
          <w:sz w:val="24"/>
        </w:rPr>
        <w:t>,</w:t>
      </w:r>
      <w:r w:rsidR="00A43571">
        <w:rPr>
          <w:rFonts w:ascii="Arial" w:eastAsia="Calibri" w:hAnsi="Arial" w:cs="Arial"/>
          <w:sz w:val="24"/>
        </w:rPr>
        <w:t xml:space="preserve"> allowing for the matter to be heard in this Court</w:t>
      </w:r>
      <w:r w:rsidR="00BC174A">
        <w:rPr>
          <w:rFonts w:ascii="Arial" w:eastAsia="Calibri" w:hAnsi="Arial" w:cs="Arial"/>
          <w:sz w:val="24"/>
        </w:rPr>
        <w:t xml:space="preserve"> and exempting him from exhausting his internal remedies</w:t>
      </w:r>
      <w:r w:rsidR="00A43571">
        <w:rPr>
          <w:rFonts w:ascii="Arial" w:eastAsia="Calibri" w:hAnsi="Arial" w:cs="Arial"/>
          <w:sz w:val="24"/>
        </w:rPr>
        <w:t>, should be granted.</w:t>
      </w:r>
    </w:p>
    <w:p w14:paraId="0A828B74" w14:textId="71485D5E" w:rsidR="00A43571"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95.</w:t>
      </w:r>
      <w:r>
        <w:rPr>
          <w:rFonts w:ascii="Arial" w:eastAsia="Calibri" w:hAnsi="Arial" w:cs="Arial"/>
          <w:sz w:val="24"/>
        </w:rPr>
        <w:tab/>
      </w:r>
      <w:r w:rsidR="00A43571">
        <w:rPr>
          <w:rFonts w:ascii="Arial" w:eastAsia="Calibri" w:hAnsi="Arial" w:cs="Arial"/>
          <w:sz w:val="24"/>
        </w:rPr>
        <w:t xml:space="preserve">As far as costs are concerned there is no reason why they should not follow the </w:t>
      </w:r>
      <w:r w:rsidR="009E16C3">
        <w:rPr>
          <w:rFonts w:ascii="Arial" w:eastAsia="Calibri" w:hAnsi="Arial" w:cs="Arial"/>
          <w:sz w:val="24"/>
        </w:rPr>
        <w:t>event and</w:t>
      </w:r>
      <w:r w:rsidR="00A43571">
        <w:rPr>
          <w:rFonts w:ascii="Arial" w:eastAsia="Calibri" w:hAnsi="Arial" w:cs="Arial"/>
          <w:sz w:val="24"/>
        </w:rPr>
        <w:t xml:space="preserve"> given the nature and importance of the issues involved, and that both </w:t>
      </w:r>
      <w:r w:rsidR="00A43571">
        <w:rPr>
          <w:rFonts w:ascii="Arial" w:eastAsia="Calibri" w:hAnsi="Arial" w:cs="Arial"/>
          <w:sz w:val="24"/>
        </w:rPr>
        <w:lastRenderedPageBreak/>
        <w:t xml:space="preserve">parties made use of more than one counsel, the costs occasioned by the employment of two counsel are justified.   </w:t>
      </w:r>
    </w:p>
    <w:p w14:paraId="6DDBD770" w14:textId="30BA2C75" w:rsidR="00A43571" w:rsidRDefault="003D3D1A" w:rsidP="003D3D1A">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96.</w:t>
      </w:r>
      <w:r>
        <w:rPr>
          <w:rFonts w:ascii="Arial" w:eastAsia="Calibri" w:hAnsi="Arial" w:cs="Arial"/>
          <w:sz w:val="24"/>
        </w:rPr>
        <w:tab/>
      </w:r>
      <w:r w:rsidR="00A43571">
        <w:rPr>
          <w:rFonts w:ascii="Arial" w:eastAsia="Calibri" w:hAnsi="Arial" w:cs="Arial"/>
          <w:sz w:val="24"/>
        </w:rPr>
        <w:t xml:space="preserve">I make the following </w:t>
      </w:r>
      <w:r w:rsidR="0094730A">
        <w:rPr>
          <w:rFonts w:ascii="Arial" w:eastAsia="Calibri" w:hAnsi="Arial" w:cs="Arial"/>
          <w:sz w:val="24"/>
        </w:rPr>
        <w:t>O</w:t>
      </w:r>
      <w:r w:rsidR="00A43571">
        <w:rPr>
          <w:rFonts w:ascii="Arial" w:eastAsia="Calibri" w:hAnsi="Arial" w:cs="Arial"/>
          <w:sz w:val="24"/>
        </w:rPr>
        <w:t>rder:</w:t>
      </w:r>
    </w:p>
    <w:p w14:paraId="28E745B9" w14:textId="65CAD0D3" w:rsidR="00A43571" w:rsidRPr="003D3D1A" w:rsidRDefault="003D3D1A" w:rsidP="003D3D1A">
      <w:pPr>
        <w:adjustRightInd w:val="0"/>
        <w:spacing w:after="0" w:line="360" w:lineRule="auto"/>
        <w:ind w:left="1080" w:hanging="360"/>
        <w:jc w:val="both"/>
        <w:textAlignment w:val="baseline"/>
        <w:rPr>
          <w:rFonts w:ascii="Arial" w:eastAsia="Calibri" w:hAnsi="Arial" w:cs="Arial"/>
          <w:sz w:val="24"/>
        </w:rPr>
      </w:pPr>
      <w:r>
        <w:rPr>
          <w:rFonts w:ascii="Arial" w:eastAsia="Calibri" w:hAnsi="Arial" w:cs="Arial"/>
          <w:sz w:val="24"/>
        </w:rPr>
        <w:t>1.</w:t>
      </w:r>
      <w:r>
        <w:rPr>
          <w:rFonts w:ascii="Arial" w:eastAsia="Calibri" w:hAnsi="Arial" w:cs="Arial"/>
          <w:sz w:val="24"/>
        </w:rPr>
        <w:tab/>
      </w:r>
      <w:r w:rsidR="00A43571" w:rsidRPr="003D3D1A">
        <w:rPr>
          <w:rFonts w:ascii="Arial" w:eastAsia="Calibri" w:hAnsi="Arial" w:cs="Arial"/>
          <w:sz w:val="24"/>
        </w:rPr>
        <w:t xml:space="preserve">The application for a directive that the review </w:t>
      </w:r>
      <w:r w:rsidR="00A94A7D" w:rsidRPr="003D3D1A">
        <w:rPr>
          <w:rFonts w:ascii="Arial" w:eastAsia="Calibri" w:hAnsi="Arial" w:cs="Arial"/>
          <w:sz w:val="24"/>
        </w:rPr>
        <w:t xml:space="preserve">referred to in para 2, </w:t>
      </w:r>
      <w:r w:rsidR="00A43571" w:rsidRPr="003D3D1A">
        <w:rPr>
          <w:rFonts w:ascii="Arial" w:eastAsia="Calibri" w:hAnsi="Arial" w:cs="Arial"/>
          <w:sz w:val="24"/>
        </w:rPr>
        <w:t>which was lodged b</w:t>
      </w:r>
      <w:bookmarkStart w:id="3" w:name="_GoBack"/>
      <w:bookmarkEnd w:id="3"/>
      <w:r w:rsidR="00A43571" w:rsidRPr="003D3D1A">
        <w:rPr>
          <w:rFonts w:ascii="Arial" w:eastAsia="Calibri" w:hAnsi="Arial" w:cs="Arial"/>
          <w:sz w:val="24"/>
        </w:rPr>
        <w:t>y the applicant on 9 June 2021</w:t>
      </w:r>
      <w:r w:rsidR="00A94A7D" w:rsidRPr="003D3D1A">
        <w:rPr>
          <w:rFonts w:ascii="Arial" w:eastAsia="Calibri" w:hAnsi="Arial" w:cs="Arial"/>
          <w:sz w:val="24"/>
        </w:rPr>
        <w:t>,</w:t>
      </w:r>
      <w:r w:rsidR="009E16C3" w:rsidRPr="003D3D1A">
        <w:rPr>
          <w:rFonts w:ascii="Arial" w:eastAsia="Calibri" w:hAnsi="Arial" w:cs="Arial"/>
          <w:sz w:val="24"/>
        </w:rPr>
        <w:t xml:space="preserve"> be heard by this Court</w:t>
      </w:r>
      <w:r w:rsidR="00CB32E1" w:rsidRPr="003D3D1A">
        <w:rPr>
          <w:rFonts w:ascii="Arial" w:eastAsia="Calibri" w:hAnsi="Arial" w:cs="Arial"/>
          <w:sz w:val="24"/>
        </w:rPr>
        <w:t>,</w:t>
      </w:r>
      <w:r w:rsidR="009E16C3" w:rsidRPr="003D3D1A">
        <w:rPr>
          <w:rFonts w:ascii="Arial" w:eastAsia="Calibri" w:hAnsi="Arial" w:cs="Arial"/>
          <w:sz w:val="24"/>
        </w:rPr>
        <w:t xml:space="preserve"> and that the applicant be exempted from exhausting the remedies of objection and appeal which are available to him in terms of Chp 9 of the Tax Administration Act, 28 of 2011</w:t>
      </w:r>
      <w:r w:rsidR="00A43571" w:rsidRPr="003D3D1A">
        <w:rPr>
          <w:rFonts w:ascii="Arial" w:eastAsia="Calibri" w:hAnsi="Arial" w:cs="Arial"/>
          <w:sz w:val="24"/>
        </w:rPr>
        <w:t>, is dismissed.</w:t>
      </w:r>
    </w:p>
    <w:p w14:paraId="19EBD25E" w14:textId="2B18C48A" w:rsidR="008E3606" w:rsidRPr="003D3D1A" w:rsidRDefault="003D3D1A" w:rsidP="003D3D1A">
      <w:pPr>
        <w:adjustRightInd w:val="0"/>
        <w:spacing w:after="0" w:line="360" w:lineRule="auto"/>
        <w:ind w:left="1080" w:hanging="360"/>
        <w:jc w:val="both"/>
        <w:textAlignment w:val="baseline"/>
        <w:rPr>
          <w:rFonts w:ascii="Arial" w:eastAsia="Calibri" w:hAnsi="Arial" w:cs="Arial"/>
          <w:sz w:val="24"/>
        </w:rPr>
      </w:pPr>
      <w:r>
        <w:rPr>
          <w:rFonts w:ascii="Arial" w:eastAsia="Calibri" w:hAnsi="Arial" w:cs="Arial"/>
          <w:sz w:val="24"/>
        </w:rPr>
        <w:t>2.</w:t>
      </w:r>
      <w:r>
        <w:rPr>
          <w:rFonts w:ascii="Arial" w:eastAsia="Calibri" w:hAnsi="Arial" w:cs="Arial"/>
          <w:sz w:val="24"/>
        </w:rPr>
        <w:tab/>
      </w:r>
      <w:r w:rsidR="00A43571" w:rsidRPr="003D3D1A">
        <w:rPr>
          <w:rFonts w:ascii="Arial" w:eastAsia="Calibri" w:hAnsi="Arial" w:cs="Arial"/>
          <w:sz w:val="24"/>
        </w:rPr>
        <w:t>The application for the review and setting aside of the</w:t>
      </w:r>
      <w:r w:rsidR="009E16C3" w:rsidRPr="003D3D1A">
        <w:rPr>
          <w:rFonts w:ascii="Arial" w:eastAsia="Calibri" w:hAnsi="Arial" w:cs="Arial"/>
          <w:sz w:val="24"/>
        </w:rPr>
        <w:t xml:space="preserve"> decision</w:t>
      </w:r>
      <w:r w:rsidR="008E3606" w:rsidRPr="003D3D1A">
        <w:rPr>
          <w:rFonts w:ascii="Arial" w:eastAsia="Calibri" w:hAnsi="Arial" w:cs="Arial"/>
          <w:sz w:val="24"/>
        </w:rPr>
        <w:t>s</w:t>
      </w:r>
      <w:r w:rsidR="009E16C3" w:rsidRPr="003D3D1A">
        <w:rPr>
          <w:rFonts w:ascii="Arial" w:eastAsia="Calibri" w:hAnsi="Arial" w:cs="Arial"/>
          <w:sz w:val="24"/>
        </w:rPr>
        <w:t xml:space="preserve"> of the respondent, the Commissioner for the South African Revenue Service, that</w:t>
      </w:r>
      <w:r w:rsidR="00983819" w:rsidRPr="003D3D1A">
        <w:rPr>
          <w:rFonts w:ascii="Arial" w:eastAsia="Calibri" w:hAnsi="Arial" w:cs="Arial"/>
          <w:sz w:val="24"/>
        </w:rPr>
        <w:t>:</w:t>
      </w:r>
      <w:r w:rsidR="009E16C3" w:rsidRPr="003D3D1A">
        <w:rPr>
          <w:rFonts w:ascii="Arial" w:eastAsia="Calibri" w:hAnsi="Arial" w:cs="Arial"/>
          <w:sz w:val="24"/>
        </w:rPr>
        <w:t xml:space="preserve"> </w:t>
      </w:r>
    </w:p>
    <w:p w14:paraId="61A71D25" w14:textId="1E10769E" w:rsidR="008E3606" w:rsidRPr="003D3D1A" w:rsidRDefault="003D3D1A" w:rsidP="003D3D1A">
      <w:pPr>
        <w:adjustRightInd w:val="0"/>
        <w:spacing w:after="0" w:line="360" w:lineRule="auto"/>
        <w:ind w:left="1440" w:hanging="360"/>
        <w:jc w:val="both"/>
        <w:textAlignment w:val="baseline"/>
        <w:rPr>
          <w:rFonts w:ascii="Arial" w:eastAsia="Calibri" w:hAnsi="Arial" w:cs="Arial"/>
          <w:sz w:val="24"/>
        </w:rPr>
      </w:pPr>
      <w:r>
        <w:rPr>
          <w:rFonts w:ascii="Arial" w:eastAsia="Calibri" w:hAnsi="Arial" w:cs="Arial"/>
          <w:sz w:val="24"/>
        </w:rPr>
        <w:t>2.1</w:t>
      </w:r>
      <w:r>
        <w:rPr>
          <w:rFonts w:ascii="Arial" w:eastAsia="Calibri" w:hAnsi="Arial" w:cs="Arial"/>
          <w:sz w:val="24"/>
        </w:rPr>
        <w:tab/>
      </w:r>
      <w:r w:rsidR="009E16C3" w:rsidRPr="003D3D1A">
        <w:rPr>
          <w:rFonts w:ascii="Arial" w:eastAsia="Calibri" w:hAnsi="Arial" w:cs="Arial"/>
          <w:sz w:val="24"/>
        </w:rPr>
        <w:t xml:space="preserve">the applicant was party to an alleged impermissible tax avoidance arrangement </w:t>
      </w:r>
      <w:r w:rsidR="00BC174A" w:rsidRPr="003D3D1A">
        <w:rPr>
          <w:rFonts w:ascii="Arial" w:eastAsia="Calibri" w:hAnsi="Arial" w:cs="Arial"/>
          <w:sz w:val="24"/>
        </w:rPr>
        <w:t xml:space="preserve">or scheme </w:t>
      </w:r>
      <w:r w:rsidR="009E16C3" w:rsidRPr="003D3D1A">
        <w:rPr>
          <w:rFonts w:ascii="Arial" w:eastAsia="Calibri" w:hAnsi="Arial" w:cs="Arial"/>
          <w:sz w:val="24"/>
        </w:rPr>
        <w:t>in terms of s 80A</w:t>
      </w:r>
      <w:r w:rsidR="00337477" w:rsidRPr="003D3D1A">
        <w:rPr>
          <w:rFonts w:ascii="Arial" w:eastAsia="Calibri" w:hAnsi="Arial" w:cs="Arial"/>
          <w:sz w:val="24"/>
        </w:rPr>
        <w:t xml:space="preserve"> read with ss </w:t>
      </w:r>
      <w:r w:rsidR="00BC174A" w:rsidRPr="003D3D1A">
        <w:rPr>
          <w:rFonts w:ascii="Arial" w:eastAsia="Calibri" w:hAnsi="Arial" w:cs="Arial"/>
          <w:sz w:val="24"/>
        </w:rPr>
        <w:t xml:space="preserve">80B, </w:t>
      </w:r>
      <w:r w:rsidR="00C55C9A" w:rsidRPr="003D3D1A">
        <w:rPr>
          <w:rFonts w:ascii="Arial" w:eastAsia="Calibri" w:hAnsi="Arial" w:cs="Arial"/>
          <w:sz w:val="24"/>
        </w:rPr>
        <w:t>80J</w:t>
      </w:r>
      <w:r w:rsidR="009E16C3" w:rsidRPr="003D3D1A">
        <w:rPr>
          <w:rFonts w:ascii="Arial" w:eastAsia="Calibri" w:hAnsi="Arial" w:cs="Arial"/>
          <w:sz w:val="24"/>
        </w:rPr>
        <w:t xml:space="preserve"> and 80L of the Income Tax Act </w:t>
      </w:r>
      <w:r w:rsidR="00225DA9" w:rsidRPr="003D3D1A">
        <w:rPr>
          <w:rFonts w:ascii="Arial" w:eastAsia="Calibri" w:hAnsi="Arial" w:cs="Arial"/>
          <w:sz w:val="24"/>
        </w:rPr>
        <w:t>5</w:t>
      </w:r>
      <w:r w:rsidR="009E16C3" w:rsidRPr="003D3D1A">
        <w:rPr>
          <w:rFonts w:ascii="Arial" w:eastAsia="Calibri" w:hAnsi="Arial" w:cs="Arial"/>
          <w:sz w:val="24"/>
        </w:rPr>
        <w:t xml:space="preserve">8 of </w:t>
      </w:r>
      <w:r w:rsidR="0094730A" w:rsidRPr="003D3D1A">
        <w:rPr>
          <w:rFonts w:ascii="Arial" w:eastAsia="Calibri" w:hAnsi="Arial" w:cs="Arial"/>
          <w:sz w:val="24"/>
        </w:rPr>
        <w:t>1962,</w:t>
      </w:r>
      <w:r w:rsidR="009E16C3" w:rsidRPr="003D3D1A">
        <w:rPr>
          <w:rFonts w:ascii="Arial" w:eastAsia="Calibri" w:hAnsi="Arial" w:cs="Arial"/>
          <w:sz w:val="24"/>
        </w:rPr>
        <w:t xml:space="preserve"> on the basis </w:t>
      </w:r>
      <w:r w:rsidR="00A94A7D" w:rsidRPr="003D3D1A">
        <w:rPr>
          <w:rFonts w:ascii="Arial" w:eastAsia="Calibri" w:hAnsi="Arial" w:cs="Arial"/>
          <w:sz w:val="24"/>
        </w:rPr>
        <w:t xml:space="preserve">as </w:t>
      </w:r>
      <w:r w:rsidR="009E16C3" w:rsidRPr="003D3D1A">
        <w:rPr>
          <w:rFonts w:ascii="Arial" w:eastAsia="Calibri" w:hAnsi="Arial" w:cs="Arial"/>
          <w:sz w:val="24"/>
        </w:rPr>
        <w:t xml:space="preserve">set out in the Commissioner’s letter dated 24 February 2021, </w:t>
      </w:r>
      <w:r w:rsidR="008E3606" w:rsidRPr="003D3D1A">
        <w:rPr>
          <w:rFonts w:ascii="Arial" w:eastAsia="Calibri" w:hAnsi="Arial" w:cs="Arial"/>
          <w:sz w:val="24"/>
        </w:rPr>
        <w:t>and</w:t>
      </w:r>
    </w:p>
    <w:p w14:paraId="0F0FCF75" w14:textId="3471B377" w:rsidR="009E16C3" w:rsidRPr="003D3D1A" w:rsidRDefault="003D3D1A" w:rsidP="003D3D1A">
      <w:pPr>
        <w:adjustRightInd w:val="0"/>
        <w:spacing w:after="0" w:line="360" w:lineRule="auto"/>
        <w:ind w:left="1440" w:hanging="360"/>
        <w:jc w:val="both"/>
        <w:textAlignment w:val="baseline"/>
        <w:rPr>
          <w:rFonts w:ascii="Arial" w:eastAsia="Calibri" w:hAnsi="Arial" w:cs="Arial"/>
          <w:sz w:val="24"/>
        </w:rPr>
      </w:pPr>
      <w:r>
        <w:rPr>
          <w:rFonts w:ascii="Arial" w:eastAsia="Calibri" w:hAnsi="Arial" w:cs="Arial"/>
          <w:sz w:val="24"/>
        </w:rPr>
        <w:t>2.2</w:t>
      </w:r>
      <w:r>
        <w:rPr>
          <w:rFonts w:ascii="Arial" w:eastAsia="Calibri" w:hAnsi="Arial" w:cs="Arial"/>
          <w:sz w:val="24"/>
        </w:rPr>
        <w:tab/>
      </w:r>
      <w:r w:rsidR="008E3606" w:rsidRPr="003D3D1A">
        <w:rPr>
          <w:rFonts w:ascii="Arial" w:eastAsia="Calibri" w:hAnsi="Arial" w:cs="Arial"/>
          <w:sz w:val="24"/>
        </w:rPr>
        <w:t xml:space="preserve">that the applicant was </w:t>
      </w:r>
      <w:r w:rsidR="00BC174A" w:rsidRPr="003D3D1A">
        <w:rPr>
          <w:rFonts w:ascii="Arial" w:eastAsia="Calibri" w:hAnsi="Arial" w:cs="Arial"/>
          <w:sz w:val="24"/>
        </w:rPr>
        <w:t xml:space="preserve">accordingly </w:t>
      </w:r>
      <w:r w:rsidR="008E3606" w:rsidRPr="003D3D1A">
        <w:rPr>
          <w:rFonts w:ascii="Arial" w:eastAsia="Calibri" w:hAnsi="Arial" w:cs="Arial"/>
          <w:sz w:val="24"/>
        </w:rPr>
        <w:t xml:space="preserve">liable </w:t>
      </w:r>
      <w:r w:rsidR="00BC174A" w:rsidRPr="003D3D1A">
        <w:rPr>
          <w:rFonts w:ascii="Arial" w:eastAsia="Calibri" w:hAnsi="Arial" w:cs="Arial"/>
          <w:sz w:val="24"/>
        </w:rPr>
        <w:t>for dividends tax and an understatement penalty</w:t>
      </w:r>
      <w:r w:rsidR="00F96CBF" w:rsidRPr="003D3D1A">
        <w:rPr>
          <w:rFonts w:ascii="Arial" w:eastAsia="Calibri" w:hAnsi="Arial" w:cs="Arial"/>
          <w:sz w:val="24"/>
        </w:rPr>
        <w:t xml:space="preserve"> in the amounts as </w:t>
      </w:r>
      <w:r w:rsidR="00337477" w:rsidRPr="003D3D1A">
        <w:rPr>
          <w:rFonts w:ascii="Arial" w:eastAsia="Calibri" w:hAnsi="Arial" w:cs="Arial"/>
          <w:sz w:val="24"/>
        </w:rPr>
        <w:t>assessed</w:t>
      </w:r>
      <w:r w:rsidR="00972E3F" w:rsidRPr="003D3D1A">
        <w:rPr>
          <w:rFonts w:ascii="Arial" w:eastAsia="Calibri" w:hAnsi="Arial" w:cs="Arial"/>
          <w:sz w:val="24"/>
        </w:rPr>
        <w:t>;</w:t>
      </w:r>
      <w:r w:rsidR="00BC174A" w:rsidRPr="003D3D1A">
        <w:rPr>
          <w:rFonts w:ascii="Arial" w:eastAsia="Calibri" w:hAnsi="Arial" w:cs="Arial"/>
          <w:sz w:val="24"/>
        </w:rPr>
        <w:t xml:space="preserve"> </w:t>
      </w:r>
      <w:r w:rsidR="009E16C3" w:rsidRPr="003D3D1A">
        <w:rPr>
          <w:rFonts w:ascii="Arial" w:eastAsia="Calibri" w:hAnsi="Arial" w:cs="Arial"/>
          <w:sz w:val="24"/>
        </w:rPr>
        <w:t>is struck from the roll.</w:t>
      </w:r>
    </w:p>
    <w:p w14:paraId="0BDB99CA" w14:textId="303D6CE8" w:rsidR="00E77BD1" w:rsidRPr="003D3D1A" w:rsidRDefault="003D3D1A" w:rsidP="003D3D1A">
      <w:pPr>
        <w:adjustRightInd w:val="0"/>
        <w:spacing w:after="0" w:line="360" w:lineRule="auto"/>
        <w:ind w:left="1080" w:hanging="360"/>
        <w:jc w:val="both"/>
        <w:textAlignment w:val="baseline"/>
        <w:rPr>
          <w:rFonts w:ascii="Arial" w:eastAsia="Calibri" w:hAnsi="Arial" w:cs="Arial"/>
          <w:sz w:val="24"/>
        </w:rPr>
      </w:pPr>
      <w:r w:rsidRPr="00A43571">
        <w:rPr>
          <w:rFonts w:ascii="Arial" w:eastAsia="Calibri" w:hAnsi="Arial" w:cs="Arial"/>
          <w:sz w:val="24"/>
        </w:rPr>
        <w:t>3.</w:t>
      </w:r>
      <w:r w:rsidRPr="00A43571">
        <w:rPr>
          <w:rFonts w:ascii="Arial" w:eastAsia="Calibri" w:hAnsi="Arial" w:cs="Arial"/>
          <w:sz w:val="24"/>
        </w:rPr>
        <w:tab/>
      </w:r>
      <w:r w:rsidR="009E16C3" w:rsidRPr="003D3D1A">
        <w:rPr>
          <w:rFonts w:ascii="Arial" w:eastAsia="Calibri" w:hAnsi="Arial" w:cs="Arial"/>
          <w:sz w:val="24"/>
        </w:rPr>
        <w:t xml:space="preserve">The applicant shall be liable for the respondent’s costs, including </w:t>
      </w:r>
      <w:r w:rsidR="00983819" w:rsidRPr="003D3D1A">
        <w:rPr>
          <w:rFonts w:ascii="Arial" w:eastAsia="Calibri" w:hAnsi="Arial" w:cs="Arial"/>
          <w:sz w:val="24"/>
        </w:rPr>
        <w:t xml:space="preserve">the </w:t>
      </w:r>
      <w:r w:rsidR="009E16C3" w:rsidRPr="003D3D1A">
        <w:rPr>
          <w:rFonts w:ascii="Arial" w:eastAsia="Calibri" w:hAnsi="Arial" w:cs="Arial"/>
          <w:sz w:val="24"/>
        </w:rPr>
        <w:t xml:space="preserve">costs occasioned by the employment of two counsel.     </w:t>
      </w:r>
      <w:r w:rsidR="00A43571" w:rsidRPr="003D3D1A">
        <w:rPr>
          <w:rFonts w:ascii="Arial" w:eastAsia="Calibri" w:hAnsi="Arial" w:cs="Arial"/>
          <w:sz w:val="24"/>
        </w:rPr>
        <w:t xml:space="preserve">    </w:t>
      </w:r>
      <w:r w:rsidR="00D036A5" w:rsidRPr="003D3D1A">
        <w:rPr>
          <w:rFonts w:ascii="Arial" w:eastAsia="Calibri" w:hAnsi="Arial" w:cs="Arial"/>
          <w:sz w:val="24"/>
        </w:rPr>
        <w:t xml:space="preserve"> </w:t>
      </w:r>
      <w:r w:rsidR="00BA030D" w:rsidRPr="003D3D1A">
        <w:rPr>
          <w:rFonts w:ascii="Arial" w:eastAsia="Calibri" w:hAnsi="Arial" w:cs="Arial"/>
          <w:sz w:val="24"/>
        </w:rPr>
        <w:t xml:space="preserve">  </w:t>
      </w:r>
      <w:r w:rsidR="0085544F" w:rsidRPr="003D3D1A">
        <w:rPr>
          <w:rFonts w:ascii="Arial" w:eastAsia="Calibri" w:hAnsi="Arial" w:cs="Arial"/>
          <w:sz w:val="24"/>
        </w:rPr>
        <w:t xml:space="preserve"> </w:t>
      </w:r>
      <w:r w:rsidR="003F63D7" w:rsidRPr="003D3D1A">
        <w:rPr>
          <w:rFonts w:ascii="Arial" w:eastAsia="Calibri" w:hAnsi="Arial" w:cs="Arial"/>
          <w:sz w:val="24"/>
        </w:rPr>
        <w:t xml:space="preserve">  </w:t>
      </w:r>
      <w:r w:rsidR="00312E75" w:rsidRPr="003D3D1A">
        <w:rPr>
          <w:rFonts w:ascii="Arial" w:eastAsia="Calibri" w:hAnsi="Arial" w:cs="Arial"/>
          <w:sz w:val="24"/>
        </w:rPr>
        <w:t xml:space="preserve">  </w:t>
      </w:r>
      <w:r w:rsidR="00755DCF" w:rsidRPr="003D3D1A">
        <w:rPr>
          <w:rFonts w:ascii="Arial" w:eastAsia="Calibri" w:hAnsi="Arial" w:cs="Arial"/>
          <w:sz w:val="24"/>
        </w:rPr>
        <w:t xml:space="preserve">  </w:t>
      </w:r>
      <w:r w:rsidR="006B37DE" w:rsidRPr="003D3D1A">
        <w:rPr>
          <w:rFonts w:ascii="Arial" w:eastAsia="Calibri" w:hAnsi="Arial" w:cs="Arial"/>
          <w:sz w:val="24"/>
        </w:rPr>
        <w:t xml:space="preserve"> </w:t>
      </w:r>
      <w:r w:rsidR="004D44B6" w:rsidRPr="003D3D1A">
        <w:rPr>
          <w:rFonts w:ascii="Arial" w:eastAsia="Calibri" w:hAnsi="Arial" w:cs="Arial"/>
          <w:sz w:val="24"/>
        </w:rPr>
        <w:t xml:space="preserve">    </w:t>
      </w:r>
      <w:r w:rsidR="00A9499B" w:rsidRPr="003D3D1A">
        <w:rPr>
          <w:rFonts w:ascii="Arial" w:eastAsia="Calibri" w:hAnsi="Arial" w:cs="Arial"/>
          <w:sz w:val="24"/>
        </w:rPr>
        <w:t xml:space="preserve">  </w:t>
      </w:r>
      <w:r w:rsidR="00474FDF" w:rsidRPr="003D3D1A">
        <w:rPr>
          <w:rFonts w:ascii="Arial" w:eastAsia="Calibri" w:hAnsi="Arial" w:cs="Arial"/>
          <w:sz w:val="24"/>
        </w:rPr>
        <w:t xml:space="preserve">  </w:t>
      </w:r>
      <w:r w:rsidR="00837842" w:rsidRPr="003D3D1A">
        <w:rPr>
          <w:rFonts w:ascii="Arial" w:eastAsia="Calibri" w:hAnsi="Arial" w:cs="Arial"/>
          <w:sz w:val="24"/>
        </w:rPr>
        <w:t xml:space="preserve">  </w:t>
      </w:r>
      <w:r w:rsidR="00156C95" w:rsidRPr="003D3D1A">
        <w:rPr>
          <w:rFonts w:ascii="Arial" w:eastAsia="Calibri" w:hAnsi="Arial" w:cs="Arial"/>
          <w:sz w:val="24"/>
        </w:rPr>
        <w:t xml:space="preserve"> </w:t>
      </w:r>
      <w:r w:rsidR="000152AB" w:rsidRPr="003D3D1A">
        <w:rPr>
          <w:rFonts w:ascii="Arial" w:eastAsia="Calibri" w:hAnsi="Arial" w:cs="Arial"/>
          <w:sz w:val="24"/>
        </w:rPr>
        <w:t xml:space="preserve">   </w:t>
      </w:r>
      <w:r w:rsidR="009D6661" w:rsidRPr="003D3D1A">
        <w:rPr>
          <w:rFonts w:ascii="Arial" w:eastAsia="Calibri" w:hAnsi="Arial" w:cs="Arial"/>
          <w:sz w:val="24"/>
        </w:rPr>
        <w:t xml:space="preserve"> </w:t>
      </w:r>
      <w:r w:rsidR="00BB6F5A" w:rsidRPr="003D3D1A">
        <w:rPr>
          <w:rFonts w:ascii="Arial" w:eastAsia="Calibri" w:hAnsi="Arial" w:cs="Arial"/>
          <w:sz w:val="24"/>
        </w:rPr>
        <w:t xml:space="preserve">   </w:t>
      </w:r>
      <w:r w:rsidR="00AA3B6B" w:rsidRPr="003D3D1A">
        <w:rPr>
          <w:rFonts w:ascii="Arial" w:eastAsia="Calibri" w:hAnsi="Arial" w:cs="Arial"/>
          <w:sz w:val="24"/>
        </w:rPr>
        <w:t xml:space="preserve"> </w:t>
      </w:r>
      <w:r w:rsidR="00D91528" w:rsidRPr="003D3D1A">
        <w:rPr>
          <w:rFonts w:ascii="Arial" w:eastAsia="Calibri" w:hAnsi="Arial" w:cs="Arial"/>
          <w:sz w:val="24"/>
        </w:rPr>
        <w:t xml:space="preserve">   </w:t>
      </w:r>
      <w:r w:rsidR="00097ED0" w:rsidRPr="003D3D1A">
        <w:rPr>
          <w:rFonts w:ascii="Arial" w:eastAsia="Calibri" w:hAnsi="Arial" w:cs="Arial"/>
          <w:sz w:val="24"/>
        </w:rPr>
        <w:t xml:space="preserve"> </w:t>
      </w:r>
    </w:p>
    <w:p w14:paraId="3FFE945F" w14:textId="77777777" w:rsidR="0094730A" w:rsidRDefault="0094730A" w:rsidP="009928A5">
      <w:pPr>
        <w:jc w:val="center"/>
      </w:pPr>
    </w:p>
    <w:p w14:paraId="51E27235" w14:textId="77777777" w:rsidR="0094730A" w:rsidRDefault="0094730A" w:rsidP="0094730A">
      <w:pPr>
        <w:ind w:left="5040"/>
        <w:jc w:val="center"/>
      </w:pPr>
    </w:p>
    <w:p w14:paraId="3FD1534C" w14:textId="77777777" w:rsidR="00A94A7D" w:rsidRDefault="00A94A7D" w:rsidP="0094730A">
      <w:pPr>
        <w:ind w:left="5040"/>
        <w:jc w:val="center"/>
      </w:pPr>
    </w:p>
    <w:p w14:paraId="10117BBF" w14:textId="65D9CD79" w:rsidR="0094730A" w:rsidRDefault="0094730A" w:rsidP="0094730A">
      <w:pPr>
        <w:ind w:left="2880"/>
        <w:jc w:val="center"/>
      </w:pPr>
      <w:r>
        <w:rPr>
          <w:noProof/>
        </w:rPr>
        <w:drawing>
          <wp:inline distT="0" distB="0" distL="0" distR="0" wp14:anchorId="6FAC84D4" wp14:editId="1BC39DF7">
            <wp:extent cx="952500" cy="1080274"/>
            <wp:effectExtent l="0" t="0" r="0" b="5715"/>
            <wp:docPr id="253789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789440" name="Picture 2537894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654" cy="1091790"/>
                    </a:xfrm>
                    <a:prstGeom prst="rect">
                      <a:avLst/>
                    </a:prstGeom>
                  </pic:spPr>
                </pic:pic>
              </a:graphicData>
            </a:graphic>
          </wp:inline>
        </w:drawing>
      </w:r>
    </w:p>
    <w:p w14:paraId="4145D5D9" w14:textId="77777777" w:rsidR="0094730A" w:rsidRDefault="0094730A" w:rsidP="009928A5">
      <w:pPr>
        <w:jc w:val="center"/>
      </w:pPr>
    </w:p>
    <w:p w14:paraId="02BAFAED" w14:textId="21C1F5B9" w:rsidR="0094730A" w:rsidRPr="0094730A" w:rsidRDefault="0094730A" w:rsidP="009928A5">
      <w:pPr>
        <w:jc w:val="center"/>
        <w:rPr>
          <w:rFonts w:ascii="Arial" w:hAnsi="Arial" w:cs="Arial"/>
          <w:b/>
          <w:bCs/>
          <w:sz w:val="24"/>
          <w:szCs w:val="24"/>
        </w:rPr>
      </w:pPr>
      <w:r>
        <w:tab/>
      </w:r>
      <w:r>
        <w:tab/>
      </w:r>
      <w:r>
        <w:tab/>
      </w:r>
      <w:r>
        <w:tab/>
      </w:r>
      <w:r w:rsidRPr="0094730A">
        <w:rPr>
          <w:rFonts w:ascii="Arial" w:hAnsi="Arial" w:cs="Arial"/>
          <w:b/>
          <w:bCs/>
          <w:sz w:val="24"/>
          <w:szCs w:val="24"/>
        </w:rPr>
        <w:t>M SHER</w:t>
      </w:r>
    </w:p>
    <w:p w14:paraId="6F392355" w14:textId="734CF8F2" w:rsidR="009928A5" w:rsidRDefault="0094730A" w:rsidP="009928A5">
      <w:pPr>
        <w:jc w:val="center"/>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4730A">
        <w:rPr>
          <w:rFonts w:ascii="Arial" w:hAnsi="Arial" w:cs="Arial"/>
          <w:b/>
          <w:bCs/>
          <w:sz w:val="24"/>
          <w:szCs w:val="24"/>
        </w:rPr>
        <w:t>Judge of the High Court</w:t>
      </w:r>
      <w:r w:rsidR="000560CC" w:rsidRPr="0094730A">
        <w:rPr>
          <w:rFonts w:ascii="Arial" w:hAnsi="Arial" w:cs="Arial"/>
          <w:b/>
          <w:bCs/>
          <w:sz w:val="24"/>
          <w:szCs w:val="24"/>
        </w:rPr>
        <w:t xml:space="preserve"> </w:t>
      </w:r>
    </w:p>
    <w:p w14:paraId="0E0DFD36" w14:textId="77777777" w:rsidR="0094730A" w:rsidRDefault="0094730A" w:rsidP="0094730A">
      <w:pPr>
        <w:rPr>
          <w:rFonts w:ascii="Arial" w:hAnsi="Arial" w:cs="Arial"/>
          <w:b/>
          <w:bCs/>
          <w:sz w:val="24"/>
          <w:szCs w:val="24"/>
        </w:rPr>
      </w:pPr>
    </w:p>
    <w:p w14:paraId="58459AC4" w14:textId="77777777" w:rsidR="0080658B" w:rsidRDefault="0080658B" w:rsidP="0094730A">
      <w:pPr>
        <w:rPr>
          <w:rFonts w:ascii="Arial" w:hAnsi="Arial" w:cs="Arial"/>
          <w:b/>
          <w:bCs/>
          <w:sz w:val="18"/>
          <w:szCs w:val="18"/>
          <w:u w:val="single"/>
        </w:rPr>
      </w:pPr>
    </w:p>
    <w:p w14:paraId="2A450EB5" w14:textId="5F54EE44" w:rsidR="0094730A" w:rsidRDefault="0094730A" w:rsidP="0094730A">
      <w:pPr>
        <w:rPr>
          <w:rFonts w:ascii="Arial" w:hAnsi="Arial" w:cs="Arial"/>
          <w:b/>
          <w:bCs/>
          <w:sz w:val="18"/>
          <w:szCs w:val="18"/>
          <w:u w:val="single"/>
        </w:rPr>
      </w:pPr>
      <w:r w:rsidRPr="0094730A">
        <w:rPr>
          <w:rFonts w:ascii="Arial" w:hAnsi="Arial" w:cs="Arial"/>
          <w:b/>
          <w:bCs/>
          <w:sz w:val="18"/>
          <w:szCs w:val="18"/>
          <w:u w:val="single"/>
        </w:rPr>
        <w:lastRenderedPageBreak/>
        <w:t>Appearances</w:t>
      </w:r>
    </w:p>
    <w:p w14:paraId="10470386" w14:textId="77777777" w:rsidR="0094730A" w:rsidRDefault="0094730A" w:rsidP="0094730A">
      <w:pPr>
        <w:rPr>
          <w:rFonts w:ascii="Arial" w:hAnsi="Arial" w:cs="Arial"/>
          <w:sz w:val="18"/>
          <w:szCs w:val="18"/>
        </w:rPr>
      </w:pPr>
      <w:r w:rsidRPr="0094730A">
        <w:rPr>
          <w:rFonts w:ascii="Arial" w:hAnsi="Arial" w:cs="Arial"/>
          <w:sz w:val="18"/>
          <w:szCs w:val="18"/>
        </w:rPr>
        <w:t>Applicant’s counsel</w:t>
      </w:r>
      <w:r>
        <w:rPr>
          <w:rFonts w:ascii="Arial" w:hAnsi="Arial" w:cs="Arial"/>
          <w:sz w:val="18"/>
          <w:szCs w:val="18"/>
        </w:rPr>
        <w:t>: M Janisch SC and B J Vaughan</w:t>
      </w:r>
    </w:p>
    <w:p w14:paraId="074BCBE8" w14:textId="0E7F9FE9" w:rsidR="0094730A" w:rsidRDefault="0094730A" w:rsidP="0094730A">
      <w:pPr>
        <w:rPr>
          <w:rFonts w:ascii="Arial" w:hAnsi="Arial" w:cs="Arial"/>
          <w:sz w:val="18"/>
          <w:szCs w:val="18"/>
        </w:rPr>
      </w:pPr>
      <w:r>
        <w:rPr>
          <w:rFonts w:ascii="Arial" w:hAnsi="Arial" w:cs="Arial"/>
          <w:sz w:val="18"/>
          <w:szCs w:val="18"/>
        </w:rPr>
        <w:t>Applicant’s attorneys: Edward, Nathan Sonnenbergs Inc (Cape Town)</w:t>
      </w:r>
    </w:p>
    <w:p w14:paraId="4AFDD630" w14:textId="5F4AD778" w:rsidR="0094730A" w:rsidRDefault="0094730A" w:rsidP="0094730A">
      <w:pPr>
        <w:rPr>
          <w:rFonts w:ascii="Arial" w:hAnsi="Arial" w:cs="Arial"/>
          <w:sz w:val="18"/>
          <w:szCs w:val="18"/>
        </w:rPr>
      </w:pPr>
      <w:r>
        <w:rPr>
          <w:rFonts w:ascii="Arial" w:hAnsi="Arial" w:cs="Arial"/>
          <w:sz w:val="18"/>
          <w:szCs w:val="18"/>
        </w:rPr>
        <w:t>Respondent’s counsel: G Marcus SC, D West and M Mbikwa</w:t>
      </w:r>
    </w:p>
    <w:p w14:paraId="0452C52A" w14:textId="26056BE0" w:rsidR="0094730A" w:rsidRDefault="0094730A" w:rsidP="0094730A">
      <w:pPr>
        <w:rPr>
          <w:rFonts w:ascii="Arial" w:hAnsi="Arial" w:cs="Arial"/>
          <w:sz w:val="18"/>
          <w:szCs w:val="18"/>
        </w:rPr>
      </w:pPr>
      <w:r>
        <w:rPr>
          <w:rFonts w:ascii="Arial" w:hAnsi="Arial" w:cs="Arial"/>
          <w:sz w:val="18"/>
          <w:szCs w:val="18"/>
        </w:rPr>
        <w:t xml:space="preserve">Respondent’s attorneys: State Attorney (Cape Town </w:t>
      </w:r>
    </w:p>
    <w:p w14:paraId="48FF550C" w14:textId="70C352A9" w:rsidR="0094730A" w:rsidRPr="0094730A" w:rsidRDefault="0094730A" w:rsidP="0094730A">
      <w:pPr>
        <w:spacing w:after="0" w:line="240" w:lineRule="auto"/>
        <w:rPr>
          <w:rFonts w:ascii="Arial" w:hAnsi="Arial" w:cs="Arial"/>
          <w:sz w:val="18"/>
          <w:szCs w:val="18"/>
          <w:u w:val="single"/>
        </w:rPr>
      </w:pPr>
      <w:r>
        <w:rPr>
          <w:rFonts w:ascii="Arial" w:hAnsi="Arial" w:cs="Arial"/>
          <w:sz w:val="18"/>
          <w:szCs w:val="18"/>
          <w:u w:val="single"/>
        </w:rPr>
        <w:t xml:space="preserve">  </w:t>
      </w:r>
    </w:p>
    <w:sectPr w:rsidR="0094730A" w:rsidRPr="0094730A" w:rsidSect="00BC310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40A62" w14:textId="77777777" w:rsidR="009D6DA4" w:rsidRDefault="009D6DA4" w:rsidP="00BC3103">
      <w:pPr>
        <w:spacing w:after="0" w:line="240" w:lineRule="auto"/>
      </w:pPr>
      <w:r>
        <w:separator/>
      </w:r>
    </w:p>
  </w:endnote>
  <w:endnote w:type="continuationSeparator" w:id="0">
    <w:p w14:paraId="678CE04B" w14:textId="77777777" w:rsidR="009D6DA4" w:rsidRDefault="009D6DA4" w:rsidP="00BC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86C94" w14:textId="77777777" w:rsidR="009D6DA4" w:rsidRDefault="009D6DA4" w:rsidP="00BC3103">
      <w:pPr>
        <w:spacing w:after="0" w:line="240" w:lineRule="auto"/>
      </w:pPr>
      <w:r>
        <w:separator/>
      </w:r>
    </w:p>
  </w:footnote>
  <w:footnote w:type="continuationSeparator" w:id="0">
    <w:p w14:paraId="3CF01844" w14:textId="77777777" w:rsidR="009D6DA4" w:rsidRDefault="009D6DA4" w:rsidP="00BC3103">
      <w:pPr>
        <w:spacing w:after="0" w:line="240" w:lineRule="auto"/>
      </w:pPr>
      <w:r>
        <w:continuationSeparator/>
      </w:r>
    </w:p>
  </w:footnote>
  <w:footnote w:id="1">
    <w:p w14:paraId="02E468B5" w14:textId="53FAC6BF" w:rsidR="00BC3103" w:rsidRPr="00BC3103" w:rsidRDefault="00BC3103">
      <w:pPr>
        <w:pStyle w:val="FootnoteText"/>
        <w:rPr>
          <w:lang w:val="en-ZA"/>
        </w:rPr>
      </w:pPr>
      <w:r>
        <w:rPr>
          <w:rStyle w:val="FootnoteReference"/>
        </w:rPr>
        <w:footnoteRef/>
      </w:r>
      <w:r>
        <w:t xml:space="preserve"> </w:t>
      </w:r>
      <w:r>
        <w:rPr>
          <w:lang w:val="en-ZA"/>
        </w:rPr>
        <w:t>Act 58 of 1962.</w:t>
      </w:r>
    </w:p>
  </w:footnote>
  <w:footnote w:id="2">
    <w:p w14:paraId="583ACEF8" w14:textId="6777E28A" w:rsidR="009F6FB8" w:rsidRPr="009F6FB8" w:rsidRDefault="009F6FB8">
      <w:pPr>
        <w:pStyle w:val="FootnoteText"/>
        <w:rPr>
          <w:lang w:val="en-ZA"/>
        </w:rPr>
      </w:pPr>
      <w:r>
        <w:rPr>
          <w:rStyle w:val="FootnoteReference"/>
        </w:rPr>
        <w:footnoteRef/>
      </w:r>
      <w:r>
        <w:t xml:space="preserve"> </w:t>
      </w:r>
      <w:r>
        <w:rPr>
          <w:lang w:val="en-ZA"/>
        </w:rPr>
        <w:t>Section 64(2).</w:t>
      </w:r>
    </w:p>
  </w:footnote>
  <w:footnote w:id="3">
    <w:p w14:paraId="11B94226" w14:textId="2A9144AE" w:rsidR="00AD0D0F" w:rsidRPr="00AD0D0F" w:rsidRDefault="00AD0D0F">
      <w:pPr>
        <w:pStyle w:val="FootnoteText"/>
        <w:rPr>
          <w:lang w:val="en-ZA"/>
        </w:rPr>
      </w:pPr>
      <w:r>
        <w:rPr>
          <w:rStyle w:val="FootnoteReference"/>
        </w:rPr>
        <w:footnoteRef/>
      </w:r>
      <w:r>
        <w:t xml:space="preserve"> I</w:t>
      </w:r>
      <w:r w:rsidRPr="006E482E">
        <w:t>n terms of s 80B(1)(a)</w:t>
      </w:r>
      <w:r>
        <w:t xml:space="preserve"> of the Act.</w:t>
      </w:r>
    </w:p>
  </w:footnote>
  <w:footnote w:id="4">
    <w:p w14:paraId="5C2D079B" w14:textId="2A26F766" w:rsidR="007E28C6" w:rsidRPr="007E28C6" w:rsidRDefault="007E28C6">
      <w:pPr>
        <w:pStyle w:val="FootnoteText"/>
        <w:rPr>
          <w:lang w:val="en-ZA"/>
        </w:rPr>
      </w:pPr>
      <w:r>
        <w:rPr>
          <w:rStyle w:val="FootnoteReference"/>
        </w:rPr>
        <w:footnoteRef/>
      </w:r>
      <w:r>
        <w:t xml:space="preserve"> </w:t>
      </w:r>
      <w:r w:rsidR="00E77237">
        <w:t>As p</w:t>
      </w:r>
      <w:r w:rsidR="00200873">
        <w:t>er</w:t>
      </w:r>
      <w:r w:rsidR="006B1FE2">
        <w:t xml:space="preserve"> </w:t>
      </w:r>
      <w:r w:rsidRPr="007E28C6">
        <w:rPr>
          <w:i/>
          <w:iCs/>
          <w:lang w:val="en-ZA"/>
        </w:rPr>
        <w:t>ABSA &amp; Ano v Commissioner, South African Revenue Service</w:t>
      </w:r>
      <w:r w:rsidR="00D81640">
        <w:rPr>
          <w:i/>
          <w:iCs/>
          <w:lang w:val="en-ZA"/>
        </w:rPr>
        <w:t xml:space="preserve"> </w:t>
      </w:r>
      <w:r w:rsidR="00D81640">
        <w:rPr>
          <w:lang w:val="en-ZA"/>
        </w:rPr>
        <w:t>2021 (3) SA 513 (GP) para 30</w:t>
      </w:r>
      <w:r w:rsidR="008D5A83">
        <w:rPr>
          <w:lang w:val="en-ZA"/>
        </w:rPr>
        <w:t xml:space="preserve">; and </w:t>
      </w:r>
      <w:r w:rsidR="008D5A83" w:rsidRPr="008D5A83">
        <w:rPr>
          <w:i/>
          <w:iCs/>
          <w:lang w:val="en-ZA"/>
        </w:rPr>
        <w:t>Forge Packaging (Pty) Ltd v</w:t>
      </w:r>
      <w:r w:rsidR="008D5A83">
        <w:rPr>
          <w:lang w:val="en-ZA"/>
        </w:rPr>
        <w:t xml:space="preserve"> </w:t>
      </w:r>
      <w:r w:rsidR="008D5A83" w:rsidRPr="007E28C6">
        <w:rPr>
          <w:i/>
          <w:iCs/>
          <w:lang w:val="en-ZA"/>
        </w:rPr>
        <w:t>Commissioner, South African Revenue Service</w:t>
      </w:r>
      <w:r w:rsidR="008D5A83">
        <w:rPr>
          <w:i/>
          <w:iCs/>
          <w:lang w:val="en-ZA"/>
        </w:rPr>
        <w:t xml:space="preserve"> </w:t>
      </w:r>
      <w:r w:rsidR="008D5A83" w:rsidRPr="008D5A83">
        <w:rPr>
          <w:lang w:val="en-ZA"/>
        </w:rPr>
        <w:t>[2022]</w:t>
      </w:r>
      <w:r w:rsidR="008D5A83">
        <w:rPr>
          <w:lang w:val="en-ZA"/>
        </w:rPr>
        <w:t xml:space="preserve"> ZAWCHC 119 para 47</w:t>
      </w:r>
      <w:r w:rsidR="00D81640">
        <w:rPr>
          <w:lang w:val="en-ZA"/>
        </w:rPr>
        <w:t>.</w:t>
      </w:r>
      <w:r w:rsidR="00D81640">
        <w:rPr>
          <w:i/>
          <w:iCs/>
          <w:lang w:val="en-ZA"/>
        </w:rPr>
        <w:t xml:space="preserve"> </w:t>
      </w:r>
      <w:r w:rsidR="00D81640">
        <w:rPr>
          <w:lang w:val="en-ZA"/>
        </w:rPr>
        <w:t>In contrast to this</w:t>
      </w:r>
      <w:r w:rsidR="006B1FE2">
        <w:rPr>
          <w:lang w:val="en-ZA"/>
        </w:rPr>
        <w:t xml:space="preserve"> it was held </w:t>
      </w:r>
      <w:r w:rsidR="008D5A83">
        <w:rPr>
          <w:lang w:val="en-ZA"/>
        </w:rPr>
        <w:t xml:space="preserve">in </w:t>
      </w:r>
      <w:r w:rsidR="008D5A83" w:rsidRPr="008D5A83">
        <w:rPr>
          <w:i/>
          <w:iCs/>
          <w:lang w:val="en-ZA"/>
        </w:rPr>
        <w:t>ABSA</w:t>
      </w:r>
      <w:r w:rsidR="008D5A83">
        <w:rPr>
          <w:lang w:val="en-ZA"/>
        </w:rPr>
        <w:t xml:space="preserve"> </w:t>
      </w:r>
      <w:r w:rsidR="006B1FE2">
        <w:rPr>
          <w:lang w:val="en-ZA"/>
        </w:rPr>
        <w:t>(para 29) that,</w:t>
      </w:r>
      <w:r w:rsidR="008D5A83">
        <w:rPr>
          <w:lang w:val="en-ZA"/>
        </w:rPr>
        <w:t xml:space="preserve"> </w:t>
      </w:r>
      <w:r w:rsidR="00D81640">
        <w:rPr>
          <w:lang w:val="en-ZA"/>
        </w:rPr>
        <w:t xml:space="preserve">as </w:t>
      </w:r>
      <w:r w:rsidR="00E77BD1">
        <w:rPr>
          <w:lang w:val="en-ZA"/>
        </w:rPr>
        <w:t>a</w:t>
      </w:r>
      <w:r w:rsidR="00D81640">
        <w:rPr>
          <w:lang w:val="en-ZA"/>
        </w:rPr>
        <w:t xml:space="preserve"> decision to issue a </w:t>
      </w:r>
      <w:r w:rsidR="006B1FE2">
        <w:rPr>
          <w:lang w:val="en-ZA"/>
        </w:rPr>
        <w:t xml:space="preserve">GAAR </w:t>
      </w:r>
      <w:r w:rsidR="00D81640">
        <w:rPr>
          <w:lang w:val="en-ZA"/>
        </w:rPr>
        <w:t xml:space="preserve">notice in terms of s 80J of the Income Tax Act 58 of 1962 </w:t>
      </w:r>
      <w:r w:rsidR="00DF1049">
        <w:rPr>
          <w:lang w:val="en-ZA"/>
        </w:rPr>
        <w:t>i</w:t>
      </w:r>
      <w:r w:rsidR="00D81640">
        <w:rPr>
          <w:lang w:val="en-ZA"/>
        </w:rPr>
        <w:t>s not ’final’ and thus ha</w:t>
      </w:r>
      <w:r w:rsidR="00DF1049">
        <w:rPr>
          <w:lang w:val="en-ZA"/>
        </w:rPr>
        <w:t>s</w:t>
      </w:r>
      <w:r w:rsidR="00D81640">
        <w:rPr>
          <w:lang w:val="en-ZA"/>
        </w:rPr>
        <w:t xml:space="preserve"> no ‘external or legal effect’, it d</w:t>
      </w:r>
      <w:r w:rsidR="00DF1049">
        <w:rPr>
          <w:lang w:val="en-ZA"/>
        </w:rPr>
        <w:t>oes</w:t>
      </w:r>
      <w:r w:rsidR="00D81640">
        <w:rPr>
          <w:lang w:val="en-ZA"/>
        </w:rPr>
        <w:t xml:space="preserve"> not constitute administrative action as defined in PAJA.</w:t>
      </w:r>
      <w:r w:rsidR="00200873">
        <w:rPr>
          <w:lang w:val="en-ZA"/>
        </w:rPr>
        <w:t xml:space="preserve">  </w:t>
      </w:r>
      <w:r>
        <w:rPr>
          <w:i/>
          <w:iCs/>
          <w:lang w:val="en-ZA"/>
        </w:rPr>
        <w:t xml:space="preserve"> </w:t>
      </w:r>
      <w:r>
        <w:rPr>
          <w:lang w:val="en-ZA"/>
        </w:rPr>
        <w:t xml:space="preserve">  </w:t>
      </w:r>
    </w:p>
  </w:footnote>
  <w:footnote w:id="5">
    <w:p w14:paraId="5053FA0A" w14:textId="6A78D0FE" w:rsidR="00D906E0" w:rsidRDefault="00D906E0">
      <w:pPr>
        <w:pStyle w:val="FootnoteText"/>
      </w:pPr>
      <w:r>
        <w:rPr>
          <w:rStyle w:val="FootnoteReference"/>
        </w:rPr>
        <w:footnoteRef/>
      </w:r>
      <w:r>
        <w:t xml:space="preserve"> </w:t>
      </w:r>
      <w:r w:rsidR="007E28C6">
        <w:t>A</w:t>
      </w:r>
      <w:r>
        <w:t>ct 3 of 2000.</w:t>
      </w:r>
    </w:p>
  </w:footnote>
  <w:footnote w:id="6">
    <w:p w14:paraId="2BDA125E" w14:textId="1666FDCA" w:rsidR="006B6B61" w:rsidRPr="006B6B61" w:rsidRDefault="006B6B61">
      <w:pPr>
        <w:pStyle w:val="FootnoteText"/>
        <w:rPr>
          <w:lang w:val="en-ZA"/>
        </w:rPr>
      </w:pPr>
      <w:r>
        <w:rPr>
          <w:rStyle w:val="FootnoteReference"/>
        </w:rPr>
        <w:footnoteRef/>
      </w:r>
      <w:r>
        <w:t xml:space="preserve"> </w:t>
      </w:r>
      <w:r>
        <w:rPr>
          <w:lang w:val="en-ZA"/>
        </w:rPr>
        <w:t>Act 28 of 2011.</w:t>
      </w:r>
    </w:p>
  </w:footnote>
  <w:footnote w:id="7">
    <w:p w14:paraId="772AC8E0" w14:textId="340F11BC" w:rsidR="00D906E0" w:rsidRDefault="00D906E0">
      <w:pPr>
        <w:pStyle w:val="FootnoteText"/>
      </w:pPr>
      <w:r>
        <w:rPr>
          <w:rStyle w:val="FootnoteReference"/>
        </w:rPr>
        <w:footnoteRef/>
      </w:r>
      <w:r>
        <w:t xml:space="preserve"> </w:t>
      </w:r>
      <w:r w:rsidRPr="007E28C6">
        <w:rPr>
          <w:i/>
          <w:iCs/>
        </w:rPr>
        <w:t>Nicol v Registrar of Pensions</w:t>
      </w:r>
      <w:r>
        <w:t xml:space="preserve"> 2008 (1) SA 3</w:t>
      </w:r>
      <w:r w:rsidR="007E28C6">
        <w:t>8</w:t>
      </w:r>
      <w:r>
        <w:t>3</w:t>
      </w:r>
      <w:r w:rsidR="007E28C6">
        <w:t xml:space="preserve"> (SCA) para </w:t>
      </w:r>
      <w:r w:rsidR="00B73E33">
        <w:t>15</w:t>
      </w:r>
      <w:r w:rsidR="007E28C6">
        <w:t xml:space="preserve">; </w:t>
      </w:r>
      <w:r w:rsidR="007E28C6" w:rsidRPr="007E28C6">
        <w:rPr>
          <w:i/>
          <w:iCs/>
        </w:rPr>
        <w:t>Koyabe v Minister for Home Affairs</w:t>
      </w:r>
      <w:r w:rsidR="007E28C6">
        <w:t xml:space="preserve"> 2010 (4) SA 327 (CC) para 29. </w:t>
      </w:r>
    </w:p>
  </w:footnote>
  <w:footnote w:id="8">
    <w:p w14:paraId="1C3FE28C" w14:textId="75511A03" w:rsidR="002C7368" w:rsidRPr="002C7368" w:rsidRDefault="002C7368">
      <w:pPr>
        <w:pStyle w:val="FootnoteText"/>
        <w:rPr>
          <w:lang w:val="en-ZA"/>
        </w:rPr>
      </w:pPr>
      <w:r>
        <w:rPr>
          <w:rStyle w:val="FootnoteReference"/>
        </w:rPr>
        <w:footnoteRef/>
      </w:r>
      <w:r>
        <w:t xml:space="preserve"> </w:t>
      </w:r>
      <w:r>
        <w:rPr>
          <w:lang w:val="en-ZA"/>
        </w:rPr>
        <w:t xml:space="preserve">Id, </w:t>
      </w:r>
      <w:r w:rsidRPr="002C7368">
        <w:rPr>
          <w:i/>
          <w:iCs/>
          <w:lang w:val="en-ZA"/>
        </w:rPr>
        <w:t>Koyabe</w:t>
      </w:r>
      <w:r>
        <w:rPr>
          <w:lang w:val="en-ZA"/>
        </w:rPr>
        <w:t>.</w:t>
      </w:r>
    </w:p>
  </w:footnote>
  <w:footnote w:id="9">
    <w:p w14:paraId="7084E5A0" w14:textId="580EB83B" w:rsidR="00555A11" w:rsidRDefault="00555A11">
      <w:pPr>
        <w:pStyle w:val="FootnoteText"/>
      </w:pPr>
      <w:r>
        <w:rPr>
          <w:rStyle w:val="FootnoteReference"/>
        </w:rPr>
        <w:footnoteRef/>
      </w:r>
      <w:r>
        <w:t xml:space="preserve"> </w:t>
      </w:r>
      <w:r w:rsidR="002C7368">
        <w:rPr>
          <w:i/>
          <w:iCs/>
        </w:rPr>
        <w:t xml:space="preserve">Koyabe </w:t>
      </w:r>
      <w:r w:rsidR="00AA5B3F">
        <w:t xml:space="preserve">n 7 </w:t>
      </w:r>
      <w:r w:rsidR="002C7368">
        <w:t>para</w:t>
      </w:r>
      <w:r w:rsidR="00983968">
        <w:t xml:space="preserve"> 29; </w:t>
      </w:r>
      <w:r w:rsidR="00983968">
        <w:rPr>
          <w:i/>
          <w:iCs/>
        </w:rPr>
        <w:t>Liesching</w:t>
      </w:r>
      <w:r w:rsidRPr="00555A11">
        <w:rPr>
          <w:i/>
          <w:iCs/>
          <w:lang w:val="en-ZA"/>
        </w:rPr>
        <w:t xml:space="preserve"> &amp; Ors v S</w:t>
      </w:r>
      <w:r>
        <w:rPr>
          <w:lang w:val="en-ZA"/>
        </w:rPr>
        <w:t xml:space="preserve"> 2019 (4) SA 219 (CC) para</w:t>
      </w:r>
      <w:r w:rsidR="00E77BD1">
        <w:rPr>
          <w:lang w:val="en-ZA"/>
        </w:rPr>
        <w:t>s 39</w:t>
      </w:r>
      <w:r w:rsidR="00BA2682">
        <w:rPr>
          <w:lang w:val="en-ZA"/>
        </w:rPr>
        <w:t>, 51 (minority</w:t>
      </w:r>
      <w:r w:rsidR="00F5431A">
        <w:rPr>
          <w:lang w:val="en-ZA"/>
        </w:rPr>
        <w:t>)</w:t>
      </w:r>
      <w:r w:rsidR="00E77BD1">
        <w:rPr>
          <w:lang w:val="en-ZA"/>
        </w:rPr>
        <w:t xml:space="preserve"> and</w:t>
      </w:r>
      <w:r>
        <w:rPr>
          <w:lang w:val="en-ZA"/>
        </w:rPr>
        <w:t xml:space="preserve"> 132</w:t>
      </w:r>
      <w:r w:rsidR="00BA2682">
        <w:rPr>
          <w:lang w:val="en-ZA"/>
        </w:rPr>
        <w:t xml:space="preserve"> (majority)</w:t>
      </w:r>
      <w:r w:rsidR="00E07F25">
        <w:rPr>
          <w:lang w:val="en-ZA"/>
        </w:rPr>
        <w:t>.</w:t>
      </w:r>
      <w:r w:rsidR="008D5A83">
        <w:rPr>
          <w:lang w:val="en-ZA"/>
        </w:rPr>
        <w:t xml:space="preserve"> </w:t>
      </w:r>
    </w:p>
  </w:footnote>
  <w:footnote w:id="10">
    <w:p w14:paraId="24F11FEB" w14:textId="54763F2E" w:rsidR="00E07F25" w:rsidRPr="00E07F25" w:rsidRDefault="00E07F25">
      <w:pPr>
        <w:pStyle w:val="FootnoteText"/>
        <w:rPr>
          <w:lang w:val="en-ZA"/>
        </w:rPr>
      </w:pPr>
      <w:r>
        <w:rPr>
          <w:rStyle w:val="FootnoteReference"/>
        </w:rPr>
        <w:footnoteRef/>
      </w:r>
      <w:r>
        <w:t xml:space="preserve"> </w:t>
      </w:r>
      <w:r w:rsidRPr="00555A11">
        <w:rPr>
          <w:i/>
          <w:iCs/>
          <w:lang w:val="en-ZA"/>
        </w:rPr>
        <w:t>Commissioner, South African Revenue Service v Rappa</w:t>
      </w:r>
      <w:r>
        <w:rPr>
          <w:lang w:val="en-ZA"/>
        </w:rPr>
        <w:t xml:space="preserve"> </w:t>
      </w:r>
      <w:r w:rsidRPr="00555A11">
        <w:rPr>
          <w:i/>
          <w:iCs/>
          <w:lang w:val="en-ZA"/>
        </w:rPr>
        <w:t>Resources (Pty) Ltd</w:t>
      </w:r>
      <w:r>
        <w:rPr>
          <w:lang w:val="en-ZA"/>
        </w:rPr>
        <w:t xml:space="preserve"> 2023</w:t>
      </w:r>
      <w:r w:rsidR="00D45C21">
        <w:rPr>
          <w:lang w:val="en-ZA"/>
        </w:rPr>
        <w:t xml:space="preserve"> (4) SA 488 (SCA)</w:t>
      </w:r>
      <w:r>
        <w:rPr>
          <w:lang w:val="en-ZA"/>
        </w:rPr>
        <w:t xml:space="preserve"> para 22.</w:t>
      </w:r>
    </w:p>
  </w:footnote>
  <w:footnote w:id="11">
    <w:p w14:paraId="2421B032" w14:textId="23DD4499" w:rsidR="00BA2682" w:rsidRPr="00BA2682" w:rsidRDefault="00BA2682">
      <w:pPr>
        <w:pStyle w:val="FootnoteText"/>
        <w:rPr>
          <w:lang w:val="en-ZA"/>
        </w:rPr>
      </w:pPr>
      <w:r>
        <w:rPr>
          <w:rStyle w:val="FootnoteReference"/>
        </w:rPr>
        <w:footnoteRef/>
      </w:r>
      <w:r>
        <w:t xml:space="preserve"> </w:t>
      </w:r>
      <w:r w:rsidRPr="008D5A83">
        <w:rPr>
          <w:i/>
          <w:iCs/>
          <w:lang w:val="en-ZA"/>
        </w:rPr>
        <w:t>Liesching</w:t>
      </w:r>
      <w:r>
        <w:rPr>
          <w:lang w:val="en-ZA"/>
        </w:rPr>
        <w:t xml:space="preserve"> </w:t>
      </w:r>
      <w:r w:rsidR="00E07F25">
        <w:rPr>
          <w:lang w:val="en-ZA"/>
        </w:rPr>
        <w:t xml:space="preserve">n 9 </w:t>
      </w:r>
      <w:r>
        <w:rPr>
          <w:lang w:val="en-ZA"/>
        </w:rPr>
        <w:t>paras 39, 52.</w:t>
      </w:r>
    </w:p>
  </w:footnote>
  <w:footnote w:id="12">
    <w:p w14:paraId="4B408B71" w14:textId="70DEA019" w:rsidR="00C00FE8" w:rsidRPr="001A5D26" w:rsidRDefault="00C00FE8">
      <w:pPr>
        <w:pStyle w:val="FootnoteText"/>
        <w:rPr>
          <w:lang w:val="en-ZA"/>
        </w:rPr>
      </w:pPr>
      <w:r>
        <w:rPr>
          <w:rStyle w:val="FootnoteReference"/>
        </w:rPr>
        <w:footnoteRef/>
      </w:r>
      <w:r>
        <w:t xml:space="preserve"> </w:t>
      </w:r>
      <w:r w:rsidR="001A5D26">
        <w:rPr>
          <w:i/>
          <w:iCs/>
        </w:rPr>
        <w:t xml:space="preserve">Long Beach Homeowners Assoc v Department of Agriculture, Forestry &amp; Fisheries &amp; Ano </w:t>
      </w:r>
      <w:r w:rsidR="001A5D26">
        <w:t xml:space="preserve">[2017] ZASCA 42 </w:t>
      </w:r>
      <w:r w:rsidR="00FA69EB">
        <w:t xml:space="preserve">at </w:t>
      </w:r>
      <w:r w:rsidR="001A5D26">
        <w:t>para 15.2</w:t>
      </w:r>
      <w:r w:rsidR="00235D95">
        <w:t xml:space="preserve">, which </w:t>
      </w:r>
      <w:r w:rsidR="006B6B61">
        <w:t xml:space="preserve">dealt with </w:t>
      </w:r>
      <w:r w:rsidR="00235D95">
        <w:t>the meaning to be given to the term in the context of s 3(3)(a) of the Natural Forests Act 84 of 1998, which provide</w:t>
      </w:r>
      <w:r w:rsidR="00B7602C">
        <w:t>d</w:t>
      </w:r>
      <w:r w:rsidR="00235D95">
        <w:t xml:space="preserve"> that a natural forest may not be destroyed save in ‘exceptional circumstances’; </w:t>
      </w:r>
      <w:r w:rsidR="00D66D61" w:rsidRPr="00D66D61">
        <w:rPr>
          <w:i/>
          <w:iCs/>
        </w:rPr>
        <w:t>Rapp</w:t>
      </w:r>
      <w:r w:rsidR="00D43EF6">
        <w:rPr>
          <w:i/>
          <w:iCs/>
        </w:rPr>
        <w:t>a</w:t>
      </w:r>
      <w:r w:rsidR="00D66D61">
        <w:t xml:space="preserve"> </w:t>
      </w:r>
      <w:r w:rsidR="00E15581">
        <w:t xml:space="preserve">n </w:t>
      </w:r>
      <w:r w:rsidR="007747D4">
        <w:t>10</w:t>
      </w:r>
      <w:r w:rsidR="00E15581">
        <w:t xml:space="preserve"> para 17 </w:t>
      </w:r>
      <w:r w:rsidR="00D66D61">
        <w:t xml:space="preserve">and </w:t>
      </w:r>
      <w:r w:rsidR="00235D95" w:rsidRPr="006B6B61">
        <w:rPr>
          <w:i/>
          <w:iCs/>
        </w:rPr>
        <w:t>United Manganese</w:t>
      </w:r>
      <w:r w:rsidR="00E15581">
        <w:rPr>
          <w:i/>
          <w:iCs/>
        </w:rPr>
        <w:t xml:space="preserve"> of Kalahari (Pty) Ltd v </w:t>
      </w:r>
      <w:r w:rsidR="00E15581" w:rsidRPr="00555A11">
        <w:rPr>
          <w:i/>
          <w:iCs/>
          <w:lang w:val="en-ZA"/>
        </w:rPr>
        <w:t>Commissioner, South African Revenue Services</w:t>
      </w:r>
      <w:r w:rsidR="00E15581">
        <w:rPr>
          <w:i/>
          <w:iCs/>
          <w:lang w:val="en-ZA"/>
        </w:rPr>
        <w:t xml:space="preserve"> </w:t>
      </w:r>
      <w:r w:rsidR="00E15581">
        <w:rPr>
          <w:lang w:val="en-ZA"/>
        </w:rPr>
        <w:t>[2023] ZASCA 29</w:t>
      </w:r>
      <w:r w:rsidR="00235D95">
        <w:t xml:space="preserve"> para 11, </w:t>
      </w:r>
      <w:r w:rsidR="00D45C21">
        <w:t xml:space="preserve">which </w:t>
      </w:r>
      <w:r w:rsidR="00235D95">
        <w:t>concern</w:t>
      </w:r>
      <w:r w:rsidR="00D45C21">
        <w:t>ed</w:t>
      </w:r>
      <w:r w:rsidR="00235D95">
        <w:t xml:space="preserve"> the requirement that a Court seized with a review in a tax matter may only permit a deviation fr</w:t>
      </w:r>
      <w:r w:rsidR="006B6B61">
        <w:t>om</w:t>
      </w:r>
      <w:r w:rsidR="00235D95">
        <w:t xml:space="preserve"> the default route provided for in the Tax Administration Act</w:t>
      </w:r>
      <w:r w:rsidR="006B6B61">
        <w:t xml:space="preserve"> 28 of 2011, in ‘exceptional circumstances’. </w:t>
      </w:r>
      <w:r w:rsidR="00235D95">
        <w:t xml:space="preserve">   </w:t>
      </w:r>
    </w:p>
  </w:footnote>
  <w:footnote w:id="13">
    <w:p w14:paraId="42108DCB" w14:textId="0C51F787" w:rsidR="00B771A1" w:rsidRPr="00B771A1" w:rsidRDefault="00B771A1">
      <w:pPr>
        <w:pStyle w:val="FootnoteText"/>
        <w:rPr>
          <w:lang w:val="en-ZA"/>
        </w:rPr>
      </w:pPr>
      <w:r>
        <w:rPr>
          <w:rStyle w:val="FootnoteReference"/>
        </w:rPr>
        <w:footnoteRef/>
      </w:r>
      <w:r>
        <w:t xml:space="preserve"> </w:t>
      </w:r>
      <w:r w:rsidRPr="001A5D26">
        <w:rPr>
          <w:i/>
          <w:iCs/>
        </w:rPr>
        <w:t>Liesching</w:t>
      </w:r>
      <w:r>
        <w:t xml:space="preserve"> n 9, para</w:t>
      </w:r>
      <w:r w:rsidR="00E07F25">
        <w:t>s</w:t>
      </w:r>
      <w:r>
        <w:t xml:space="preserve"> 131</w:t>
      </w:r>
      <w:r w:rsidR="00E07F25">
        <w:t>-132</w:t>
      </w:r>
      <w:r>
        <w:t>.</w:t>
      </w:r>
    </w:p>
  </w:footnote>
  <w:footnote w:id="14">
    <w:p w14:paraId="20AE04ED" w14:textId="31BDEEEE" w:rsidR="00610F4B" w:rsidRPr="00D66D61" w:rsidRDefault="00610F4B" w:rsidP="00610F4B">
      <w:pPr>
        <w:pStyle w:val="FootnoteText"/>
        <w:rPr>
          <w:lang w:val="en-ZA"/>
        </w:rPr>
      </w:pPr>
      <w:r>
        <w:rPr>
          <w:rStyle w:val="FootnoteReference"/>
        </w:rPr>
        <w:footnoteRef/>
      </w:r>
      <w:r>
        <w:t xml:space="preserve"> </w:t>
      </w:r>
      <w:r w:rsidRPr="00D66D61">
        <w:rPr>
          <w:i/>
          <w:iCs/>
          <w:lang w:val="en-ZA"/>
        </w:rPr>
        <w:t>Rapp</w:t>
      </w:r>
      <w:r>
        <w:rPr>
          <w:i/>
          <w:iCs/>
          <w:lang w:val="en-ZA"/>
        </w:rPr>
        <w:t>a</w:t>
      </w:r>
      <w:r>
        <w:rPr>
          <w:lang w:val="en-ZA"/>
        </w:rPr>
        <w:t xml:space="preserve"> </w:t>
      </w:r>
      <w:r w:rsidR="00AB71BA">
        <w:rPr>
          <w:i/>
          <w:iCs/>
          <w:lang w:val="en-ZA"/>
        </w:rPr>
        <w:t xml:space="preserve">Resources </w:t>
      </w:r>
      <w:r w:rsidR="00F5431A">
        <w:rPr>
          <w:lang w:val="en-ZA"/>
        </w:rPr>
        <w:t xml:space="preserve">n </w:t>
      </w:r>
      <w:r w:rsidR="007747D4">
        <w:rPr>
          <w:lang w:val="en-ZA"/>
        </w:rPr>
        <w:t>10</w:t>
      </w:r>
      <w:r w:rsidR="004E6138">
        <w:rPr>
          <w:lang w:val="en-ZA"/>
        </w:rPr>
        <w:t>.</w:t>
      </w:r>
      <w:r w:rsidR="00D533D8">
        <w:rPr>
          <w:lang w:val="en-ZA"/>
        </w:rPr>
        <w:t xml:space="preserve"> </w:t>
      </w:r>
      <w:r w:rsidR="004E6138" w:rsidRPr="004E6138">
        <w:rPr>
          <w:i/>
          <w:iCs/>
          <w:lang w:val="en-ZA"/>
        </w:rPr>
        <w:t>V</w:t>
      </w:r>
      <w:r w:rsidR="00D533D8" w:rsidRPr="00EA0221">
        <w:rPr>
          <w:i/>
          <w:iCs/>
          <w:lang w:val="en-ZA"/>
        </w:rPr>
        <w:t>ide</w:t>
      </w:r>
      <w:r w:rsidR="00D533D8">
        <w:rPr>
          <w:lang w:val="en-ZA"/>
        </w:rPr>
        <w:t xml:space="preserve"> also </w:t>
      </w:r>
      <w:r w:rsidR="00D533D8" w:rsidRPr="00EA0221">
        <w:rPr>
          <w:i/>
          <w:iCs/>
          <w:lang w:val="en-ZA"/>
        </w:rPr>
        <w:t xml:space="preserve">Ntlemeza v The Helen Suzman Foundation &amp; </w:t>
      </w:r>
      <w:r w:rsidR="00EA0221">
        <w:rPr>
          <w:i/>
          <w:iCs/>
          <w:lang w:val="en-ZA"/>
        </w:rPr>
        <w:t>A</w:t>
      </w:r>
      <w:r w:rsidR="00D533D8" w:rsidRPr="00EA0221">
        <w:rPr>
          <w:i/>
          <w:iCs/>
          <w:lang w:val="en-ZA"/>
        </w:rPr>
        <w:t>no</w:t>
      </w:r>
      <w:r w:rsidR="00D533D8">
        <w:rPr>
          <w:lang w:val="en-ZA"/>
        </w:rPr>
        <w:t xml:space="preserve"> 2017 (5) S</w:t>
      </w:r>
      <w:r w:rsidR="00EA0221">
        <w:rPr>
          <w:lang w:val="en-ZA"/>
        </w:rPr>
        <w:t>A</w:t>
      </w:r>
      <w:r w:rsidR="00D533D8">
        <w:rPr>
          <w:lang w:val="en-ZA"/>
        </w:rPr>
        <w:t xml:space="preserve"> 402 (SCA)</w:t>
      </w:r>
      <w:r w:rsidR="004E6138" w:rsidRPr="004E6138">
        <w:rPr>
          <w:lang w:val="en-ZA"/>
        </w:rPr>
        <w:t xml:space="preserve"> </w:t>
      </w:r>
      <w:r w:rsidR="004E6138">
        <w:rPr>
          <w:lang w:val="en-ZA"/>
        </w:rPr>
        <w:t xml:space="preserve">and </w:t>
      </w:r>
      <w:r w:rsidR="004E6138" w:rsidRPr="004E6138">
        <w:rPr>
          <w:i/>
          <w:iCs/>
          <w:lang w:val="en-ZA"/>
        </w:rPr>
        <w:t xml:space="preserve">Knoop NO &amp; Ano v Gupta (Executor) </w:t>
      </w:r>
      <w:r w:rsidR="004E6138">
        <w:rPr>
          <w:lang w:val="en-ZA"/>
        </w:rPr>
        <w:t>2021 (3) SA 135 (SCA)</w:t>
      </w:r>
      <w:r w:rsidR="00D533D8">
        <w:rPr>
          <w:lang w:val="en-ZA"/>
        </w:rPr>
        <w:t xml:space="preserve">, which concerned </w:t>
      </w:r>
      <w:r w:rsidR="00EA0221">
        <w:rPr>
          <w:lang w:val="en-ZA"/>
        </w:rPr>
        <w:t xml:space="preserve">the ambit of the principle that in exceptional circumstances a Court may deviate </w:t>
      </w:r>
      <w:r w:rsidR="004E6138">
        <w:rPr>
          <w:lang w:val="en-ZA"/>
        </w:rPr>
        <w:t xml:space="preserve">from the rule </w:t>
      </w:r>
      <w:r w:rsidR="00EA0221">
        <w:rPr>
          <w:lang w:val="en-ZA"/>
        </w:rPr>
        <w:t xml:space="preserve">that the operation and execution of an order </w:t>
      </w:r>
      <w:r w:rsidR="00CA0964">
        <w:rPr>
          <w:lang w:val="en-ZA"/>
        </w:rPr>
        <w:t>which</w:t>
      </w:r>
      <w:r w:rsidR="00EA0221">
        <w:rPr>
          <w:lang w:val="en-ZA"/>
        </w:rPr>
        <w:t xml:space="preserve"> is final in effect is suspended, pending an appeal</w:t>
      </w:r>
      <w:r w:rsidR="004E6138">
        <w:rPr>
          <w:lang w:val="en-ZA"/>
        </w:rPr>
        <w:t>,</w:t>
      </w:r>
      <w:r w:rsidR="00EA0221">
        <w:rPr>
          <w:lang w:val="en-ZA"/>
        </w:rPr>
        <w:t xml:space="preserve"> and in contrast to this, that the operation and execution of an order which is interlocutory is not</w:t>
      </w:r>
      <w:r w:rsidR="004E6138">
        <w:rPr>
          <w:lang w:val="en-ZA"/>
        </w:rPr>
        <w:t xml:space="preserve">, in terms </w:t>
      </w:r>
      <w:r w:rsidR="00EA0221">
        <w:rPr>
          <w:lang w:val="en-ZA"/>
        </w:rPr>
        <w:t xml:space="preserve">of </w:t>
      </w:r>
      <w:r w:rsidR="00D533D8">
        <w:rPr>
          <w:lang w:val="en-ZA"/>
        </w:rPr>
        <w:t>ss 18(1) and (2) of the Superior Courts Act</w:t>
      </w:r>
      <w:r w:rsidR="00F5431A">
        <w:rPr>
          <w:lang w:val="en-ZA"/>
        </w:rPr>
        <w:t>.</w:t>
      </w:r>
      <w:r>
        <w:rPr>
          <w:lang w:val="en-ZA"/>
        </w:rPr>
        <w:t xml:space="preserve">  </w:t>
      </w:r>
    </w:p>
  </w:footnote>
  <w:footnote w:id="15">
    <w:p w14:paraId="355E9EAD" w14:textId="262EF1B1" w:rsidR="001548CB" w:rsidRPr="001548CB" w:rsidRDefault="001548CB">
      <w:pPr>
        <w:pStyle w:val="FootnoteText"/>
        <w:rPr>
          <w:lang w:val="en-ZA"/>
        </w:rPr>
      </w:pPr>
      <w:r>
        <w:rPr>
          <w:rStyle w:val="FootnoteReference"/>
        </w:rPr>
        <w:footnoteRef/>
      </w:r>
      <w:r>
        <w:t xml:space="preserve"> </w:t>
      </w:r>
      <w:r w:rsidRPr="001548CB">
        <w:rPr>
          <w:lang w:val="en-ZA"/>
        </w:rPr>
        <w:t>MV</w:t>
      </w:r>
      <w:r w:rsidRPr="001548CB">
        <w:rPr>
          <w:i/>
          <w:iCs/>
          <w:lang w:val="en-ZA"/>
        </w:rPr>
        <w:t xml:space="preserve"> Ais Ma</w:t>
      </w:r>
      <w:r w:rsidR="001A5D26">
        <w:rPr>
          <w:i/>
          <w:iCs/>
          <w:lang w:val="en-ZA"/>
        </w:rPr>
        <w:t>m</w:t>
      </w:r>
      <w:r w:rsidRPr="001548CB">
        <w:rPr>
          <w:i/>
          <w:iCs/>
          <w:lang w:val="en-ZA"/>
        </w:rPr>
        <w:t xml:space="preserve">as Seatrans Maritime v Owners, </w:t>
      </w:r>
      <w:r w:rsidRPr="001D602B">
        <w:rPr>
          <w:lang w:val="en-ZA"/>
        </w:rPr>
        <w:t>MV</w:t>
      </w:r>
      <w:r w:rsidRPr="001548CB">
        <w:rPr>
          <w:i/>
          <w:iCs/>
          <w:lang w:val="en-ZA"/>
        </w:rPr>
        <w:t xml:space="preserve"> Ais Ma</w:t>
      </w:r>
      <w:r w:rsidR="001A5D26">
        <w:rPr>
          <w:i/>
          <w:iCs/>
          <w:lang w:val="en-ZA"/>
        </w:rPr>
        <w:t>m</w:t>
      </w:r>
      <w:r w:rsidRPr="001548CB">
        <w:rPr>
          <w:i/>
          <w:iCs/>
          <w:lang w:val="en-ZA"/>
        </w:rPr>
        <w:t>as &amp; Ano</w:t>
      </w:r>
      <w:r>
        <w:rPr>
          <w:lang w:val="en-ZA"/>
        </w:rPr>
        <w:t xml:space="preserve"> 2002 (6) SA 150 (C)</w:t>
      </w:r>
      <w:r w:rsidR="00D43EF6">
        <w:rPr>
          <w:lang w:val="en-ZA"/>
        </w:rPr>
        <w:t>.</w:t>
      </w:r>
      <w:r>
        <w:rPr>
          <w:lang w:val="en-ZA"/>
        </w:rPr>
        <w:t xml:space="preserve"> </w:t>
      </w:r>
    </w:p>
  </w:footnote>
  <w:footnote w:id="16">
    <w:p w14:paraId="427DEE32" w14:textId="4C61FB5D" w:rsidR="00D467CC" w:rsidRPr="00D467CC" w:rsidRDefault="00D467CC">
      <w:pPr>
        <w:pStyle w:val="FootnoteText"/>
        <w:rPr>
          <w:lang w:val="en-ZA"/>
        </w:rPr>
      </w:pPr>
      <w:r>
        <w:rPr>
          <w:rStyle w:val="FootnoteReference"/>
        </w:rPr>
        <w:footnoteRef/>
      </w:r>
      <w:r>
        <w:t xml:space="preserve"> </w:t>
      </w:r>
      <w:r>
        <w:rPr>
          <w:lang w:val="en-ZA"/>
        </w:rPr>
        <w:t>Section 5(5)(a)(iv).</w:t>
      </w:r>
    </w:p>
  </w:footnote>
  <w:footnote w:id="17">
    <w:p w14:paraId="25295219" w14:textId="2E910CF5" w:rsidR="00D467CC" w:rsidRPr="00D467CC" w:rsidRDefault="00D467CC">
      <w:pPr>
        <w:pStyle w:val="FootnoteText"/>
        <w:rPr>
          <w:lang w:val="en-ZA"/>
        </w:rPr>
      </w:pPr>
      <w:r>
        <w:rPr>
          <w:rStyle w:val="FootnoteReference"/>
        </w:rPr>
        <w:footnoteRef/>
      </w:r>
      <w:r>
        <w:t xml:space="preserve"> </w:t>
      </w:r>
      <w:r>
        <w:rPr>
          <w:lang w:val="en-ZA"/>
        </w:rPr>
        <w:t>Act 105 of 1983</w:t>
      </w:r>
      <w:r w:rsidR="00B7602C">
        <w:rPr>
          <w:lang w:val="en-ZA"/>
        </w:rPr>
        <w:t>.</w:t>
      </w:r>
    </w:p>
  </w:footnote>
  <w:footnote w:id="18">
    <w:p w14:paraId="67B9DECD" w14:textId="7B85CF40" w:rsidR="001A5D26" w:rsidRPr="001A5D26" w:rsidRDefault="001A5D26">
      <w:pPr>
        <w:pStyle w:val="FootnoteText"/>
        <w:rPr>
          <w:lang w:val="en-ZA"/>
        </w:rPr>
      </w:pPr>
      <w:r>
        <w:rPr>
          <w:rStyle w:val="FootnoteReference"/>
        </w:rPr>
        <w:footnoteRef/>
      </w:r>
      <w:r>
        <w:t xml:space="preserve"> Id, </w:t>
      </w:r>
      <w:r>
        <w:rPr>
          <w:lang w:val="en-ZA"/>
        </w:rPr>
        <w:t>156H.</w:t>
      </w:r>
    </w:p>
  </w:footnote>
  <w:footnote w:id="19">
    <w:p w14:paraId="3F3B642E" w14:textId="1FE62880" w:rsidR="00841CE4" w:rsidRPr="00841CE4" w:rsidRDefault="00841CE4">
      <w:pPr>
        <w:pStyle w:val="FootnoteText"/>
        <w:rPr>
          <w:lang w:val="en-ZA"/>
        </w:rPr>
      </w:pPr>
      <w:r>
        <w:rPr>
          <w:rStyle w:val="FootnoteReference"/>
        </w:rPr>
        <w:footnoteRef/>
      </w:r>
      <w:r>
        <w:t xml:space="preserve"> </w:t>
      </w:r>
      <w:r w:rsidRPr="00E3316F">
        <w:rPr>
          <w:i/>
          <w:iCs/>
          <w:lang w:val="en-ZA"/>
        </w:rPr>
        <w:t>S v Petersen</w:t>
      </w:r>
      <w:r>
        <w:rPr>
          <w:lang w:val="en-ZA"/>
        </w:rPr>
        <w:t xml:space="preserve"> 2008 (2) SACR </w:t>
      </w:r>
      <w:r w:rsidR="006B1FE2">
        <w:rPr>
          <w:lang w:val="en-ZA"/>
        </w:rPr>
        <w:t>355 (C) para 55.</w:t>
      </w:r>
    </w:p>
  </w:footnote>
  <w:footnote w:id="20">
    <w:p w14:paraId="79099FAB" w14:textId="2AD64B8D" w:rsidR="00D467CC" w:rsidRPr="00D467CC" w:rsidRDefault="00D467CC">
      <w:pPr>
        <w:pStyle w:val="FootnoteText"/>
        <w:rPr>
          <w:lang w:val="en-ZA"/>
        </w:rPr>
      </w:pPr>
      <w:r>
        <w:rPr>
          <w:rStyle w:val="FootnoteReference"/>
        </w:rPr>
        <w:footnoteRef/>
      </w:r>
      <w:r>
        <w:t xml:space="preserve"> </w:t>
      </w:r>
      <w:r w:rsidR="00F94204">
        <w:t>Section</w:t>
      </w:r>
      <w:r w:rsidR="00F94204">
        <w:rPr>
          <w:lang w:val="en-ZA"/>
        </w:rPr>
        <w:t xml:space="preserve"> 60(11)(a) </w:t>
      </w:r>
      <w:r>
        <w:rPr>
          <w:lang w:val="en-ZA"/>
        </w:rPr>
        <w:t>of the Criminal Procedure Act 51 of 1977</w:t>
      </w:r>
      <w:r w:rsidR="00F94204">
        <w:rPr>
          <w:lang w:val="en-ZA"/>
        </w:rPr>
        <w:t>, read with</w:t>
      </w:r>
      <w:r w:rsidR="00F94204" w:rsidRPr="00F94204">
        <w:rPr>
          <w:lang w:val="en-ZA"/>
        </w:rPr>
        <w:t xml:space="preserve"> </w:t>
      </w:r>
      <w:r w:rsidR="00F94204">
        <w:rPr>
          <w:lang w:val="en-ZA"/>
        </w:rPr>
        <w:t>Schedule 6 thereof.</w:t>
      </w:r>
      <w:r>
        <w:rPr>
          <w:lang w:val="en-ZA"/>
        </w:rPr>
        <w:t xml:space="preserve">  </w:t>
      </w:r>
    </w:p>
  </w:footnote>
  <w:footnote w:id="21">
    <w:p w14:paraId="54F0F287" w14:textId="5D8BDE3F" w:rsidR="00841CE4" w:rsidRDefault="00841CE4">
      <w:pPr>
        <w:pStyle w:val="FootnoteText"/>
      </w:pPr>
      <w:r>
        <w:rPr>
          <w:rStyle w:val="FootnoteReference"/>
        </w:rPr>
        <w:footnoteRef/>
      </w:r>
      <w:r>
        <w:t xml:space="preserve"> </w:t>
      </w:r>
      <w:r w:rsidR="00F94204">
        <w:t>Id, p</w:t>
      </w:r>
      <w:r>
        <w:t>ara 55.</w:t>
      </w:r>
    </w:p>
  </w:footnote>
  <w:footnote w:id="22">
    <w:p w14:paraId="06532AB9" w14:textId="79C9E3CB" w:rsidR="00B9666C" w:rsidRPr="00B9666C" w:rsidRDefault="00B9666C">
      <w:pPr>
        <w:pStyle w:val="FootnoteText"/>
        <w:rPr>
          <w:lang w:val="en-ZA"/>
        </w:rPr>
      </w:pPr>
      <w:r>
        <w:rPr>
          <w:rStyle w:val="FootnoteReference"/>
        </w:rPr>
        <w:footnoteRef/>
      </w:r>
      <w:r>
        <w:t xml:space="preserve"> </w:t>
      </w:r>
      <w:r w:rsidRPr="00B9666C">
        <w:rPr>
          <w:i/>
          <w:iCs/>
          <w:lang w:val="en-ZA"/>
        </w:rPr>
        <w:t>Nicol</w:t>
      </w:r>
      <w:r>
        <w:rPr>
          <w:lang w:val="en-ZA"/>
        </w:rPr>
        <w:t xml:space="preserve"> n </w:t>
      </w:r>
      <w:r w:rsidR="00CA0964">
        <w:rPr>
          <w:lang w:val="en-ZA"/>
        </w:rPr>
        <w:t>7</w:t>
      </w:r>
      <w:r>
        <w:rPr>
          <w:lang w:val="en-ZA"/>
        </w:rPr>
        <w:t xml:space="preserve"> para 16.</w:t>
      </w:r>
    </w:p>
  </w:footnote>
  <w:footnote w:id="23">
    <w:p w14:paraId="4D24B5D2" w14:textId="0A056BB5" w:rsidR="00097ED0" w:rsidRPr="00097ED0" w:rsidRDefault="00097ED0">
      <w:pPr>
        <w:pStyle w:val="FootnoteText"/>
        <w:rPr>
          <w:lang w:val="en-ZA"/>
        </w:rPr>
      </w:pPr>
      <w:r>
        <w:rPr>
          <w:rStyle w:val="FootnoteReference"/>
        </w:rPr>
        <w:footnoteRef/>
      </w:r>
      <w:r>
        <w:t xml:space="preserve"> </w:t>
      </w:r>
      <w:r>
        <w:rPr>
          <w:lang w:val="en-ZA"/>
        </w:rPr>
        <w:t xml:space="preserve">In </w:t>
      </w:r>
      <w:r w:rsidRPr="00097ED0">
        <w:rPr>
          <w:i/>
          <w:iCs/>
          <w:lang w:val="en-ZA"/>
        </w:rPr>
        <w:t>Liesching</w:t>
      </w:r>
      <w:r>
        <w:rPr>
          <w:lang w:val="en-ZA"/>
        </w:rPr>
        <w:t xml:space="preserve"> n 9, which was concerned with the interpretation of s 17(2)(f) of the Superior Courts Act</w:t>
      </w:r>
      <w:r w:rsidR="00AB71BA">
        <w:rPr>
          <w:lang w:val="en-ZA"/>
        </w:rPr>
        <w:t xml:space="preserve"> 10 of 2013,</w:t>
      </w:r>
      <w:r>
        <w:rPr>
          <w:lang w:val="en-ZA"/>
        </w:rPr>
        <w:t xml:space="preserve"> which provides that the President of the Supreme Court of Appeal m</w:t>
      </w:r>
      <w:r w:rsidR="00BB6F5A">
        <w:rPr>
          <w:lang w:val="en-ZA"/>
        </w:rPr>
        <w:t>a</w:t>
      </w:r>
      <w:r>
        <w:rPr>
          <w:lang w:val="en-ZA"/>
        </w:rPr>
        <w:t>y in exceptional circumstances refer a decision by 2 judges of appeal to refuse a petition, to the Court for reconsideration.</w:t>
      </w:r>
    </w:p>
  </w:footnote>
  <w:footnote w:id="24">
    <w:p w14:paraId="74C5FF0A" w14:textId="1EB360F8" w:rsidR="00097ED0" w:rsidRPr="00097ED0" w:rsidRDefault="00097ED0">
      <w:pPr>
        <w:pStyle w:val="FootnoteText"/>
        <w:rPr>
          <w:lang w:val="en-ZA"/>
        </w:rPr>
      </w:pPr>
      <w:r>
        <w:rPr>
          <w:rStyle w:val="FootnoteReference"/>
        </w:rPr>
        <w:footnoteRef/>
      </w:r>
      <w:r>
        <w:t xml:space="preserve"> </w:t>
      </w:r>
      <w:r w:rsidRPr="00097ED0">
        <w:rPr>
          <w:i/>
          <w:iCs/>
          <w:lang w:val="en-ZA"/>
        </w:rPr>
        <w:t>Rappa</w:t>
      </w:r>
      <w:r>
        <w:rPr>
          <w:lang w:val="en-ZA"/>
        </w:rPr>
        <w:t xml:space="preserve"> n 10, which concerned an appeal against the dismissal of a review of a decision of the Commissioner. </w:t>
      </w:r>
    </w:p>
  </w:footnote>
  <w:footnote w:id="25">
    <w:p w14:paraId="3C493B69" w14:textId="59E7C25B" w:rsidR="00BB6F5A" w:rsidRPr="00BB6F5A" w:rsidRDefault="00BB6F5A">
      <w:pPr>
        <w:pStyle w:val="FootnoteText"/>
        <w:rPr>
          <w:lang w:val="en-ZA"/>
        </w:rPr>
      </w:pPr>
      <w:r>
        <w:rPr>
          <w:rStyle w:val="FootnoteReference"/>
        </w:rPr>
        <w:footnoteRef/>
      </w:r>
      <w:r>
        <w:t xml:space="preserve"> </w:t>
      </w:r>
      <w:r>
        <w:rPr>
          <w:lang w:val="en-ZA"/>
        </w:rPr>
        <w:t xml:space="preserve">Mv </w:t>
      </w:r>
      <w:r w:rsidRPr="00BB6F5A">
        <w:rPr>
          <w:i/>
          <w:iCs/>
          <w:lang w:val="en-ZA"/>
        </w:rPr>
        <w:t>Ais Mamas</w:t>
      </w:r>
      <w:r>
        <w:rPr>
          <w:lang w:val="en-ZA"/>
        </w:rPr>
        <w:t xml:space="preserve"> n 15, at 156H-157C.   </w:t>
      </w:r>
    </w:p>
  </w:footnote>
  <w:footnote w:id="26">
    <w:p w14:paraId="5783BE1A" w14:textId="4DA7DA46" w:rsidR="00DE24CC" w:rsidRPr="00DE24CC" w:rsidRDefault="00DE24CC">
      <w:pPr>
        <w:pStyle w:val="FootnoteText"/>
        <w:rPr>
          <w:lang w:val="en-ZA"/>
        </w:rPr>
      </w:pPr>
      <w:r>
        <w:rPr>
          <w:rStyle w:val="FootnoteReference"/>
        </w:rPr>
        <w:footnoteRef/>
      </w:r>
      <w:r>
        <w:t xml:space="preserve"> </w:t>
      </w:r>
      <w:r w:rsidR="00F339B6">
        <w:t>Being one which can be objected to or appealed</w:t>
      </w:r>
      <w:r>
        <w:t>.</w:t>
      </w:r>
    </w:p>
  </w:footnote>
  <w:footnote w:id="27">
    <w:p w14:paraId="2E14AE39" w14:textId="62E6F463" w:rsidR="00FD02D5" w:rsidRPr="007975DD" w:rsidRDefault="00FD02D5">
      <w:pPr>
        <w:pStyle w:val="FootnoteText"/>
        <w:rPr>
          <w:lang w:val="en-ZA"/>
        </w:rPr>
      </w:pPr>
      <w:r>
        <w:rPr>
          <w:rStyle w:val="FootnoteReference"/>
        </w:rPr>
        <w:footnoteRef/>
      </w:r>
      <w:r>
        <w:t xml:space="preserve"> </w:t>
      </w:r>
      <w:r w:rsidR="007975DD" w:rsidRPr="007975DD">
        <w:rPr>
          <w:i/>
          <w:iCs/>
        </w:rPr>
        <w:t xml:space="preserve">Metcash Trading Ltd v </w:t>
      </w:r>
      <w:r w:rsidR="007975DD" w:rsidRPr="007975DD">
        <w:rPr>
          <w:i/>
          <w:iCs/>
          <w:lang w:val="en-ZA"/>
        </w:rPr>
        <w:t>Commissioner, South African Revenue Services</w:t>
      </w:r>
      <w:r w:rsidR="007975DD">
        <w:rPr>
          <w:i/>
          <w:iCs/>
          <w:lang w:val="en-ZA"/>
        </w:rPr>
        <w:t xml:space="preserve"> &amp; Ano </w:t>
      </w:r>
      <w:r w:rsidR="007975DD">
        <w:rPr>
          <w:lang w:val="en-ZA"/>
        </w:rPr>
        <w:t>2001 (1) SA 1109 (CC) para 47.</w:t>
      </w:r>
    </w:p>
  </w:footnote>
  <w:footnote w:id="28">
    <w:p w14:paraId="795781C8" w14:textId="16103A7D" w:rsidR="007747D4" w:rsidRPr="007747D4" w:rsidRDefault="007747D4">
      <w:pPr>
        <w:pStyle w:val="FootnoteText"/>
        <w:rPr>
          <w:lang w:val="en-ZA"/>
        </w:rPr>
      </w:pPr>
      <w:r>
        <w:rPr>
          <w:rStyle w:val="FootnoteReference"/>
        </w:rPr>
        <w:footnoteRef/>
      </w:r>
      <w:r>
        <w:t xml:space="preserve"> </w:t>
      </w:r>
      <w:r w:rsidRPr="00B1457F">
        <w:rPr>
          <w:i/>
          <w:iCs/>
          <w:lang w:val="en-ZA"/>
        </w:rPr>
        <w:t>Rappa</w:t>
      </w:r>
      <w:r>
        <w:rPr>
          <w:lang w:val="en-ZA"/>
        </w:rPr>
        <w:t xml:space="preserve"> n 10 para 13; </w:t>
      </w:r>
      <w:r w:rsidRPr="007747D4">
        <w:rPr>
          <w:i/>
          <w:iCs/>
          <w:lang w:val="en-ZA"/>
        </w:rPr>
        <w:t>Africa Cash &amp; Carry</w:t>
      </w:r>
      <w:r w:rsidRPr="007747D4">
        <w:rPr>
          <w:i/>
          <w:iCs/>
        </w:rPr>
        <w:t xml:space="preserve"> v </w:t>
      </w:r>
      <w:r w:rsidRPr="007747D4">
        <w:rPr>
          <w:i/>
          <w:iCs/>
          <w:lang w:val="en-ZA"/>
        </w:rPr>
        <w:t>Commissioner, South African Revenue Services</w:t>
      </w:r>
      <w:r>
        <w:rPr>
          <w:i/>
          <w:iCs/>
          <w:lang w:val="en-ZA"/>
        </w:rPr>
        <w:t xml:space="preserve"> </w:t>
      </w:r>
      <w:r>
        <w:rPr>
          <w:lang w:val="en-ZA"/>
        </w:rPr>
        <w:t>2020 (2) SA 19 (SCA) para 52.</w:t>
      </w:r>
    </w:p>
  </w:footnote>
  <w:footnote w:id="29">
    <w:p w14:paraId="392C7A2E" w14:textId="3DD5DD79" w:rsidR="00B1457F" w:rsidRPr="00B1457F" w:rsidRDefault="00B1457F">
      <w:pPr>
        <w:pStyle w:val="FootnoteText"/>
        <w:rPr>
          <w:lang w:val="en-ZA"/>
        </w:rPr>
      </w:pPr>
      <w:r>
        <w:rPr>
          <w:rStyle w:val="FootnoteReference"/>
        </w:rPr>
        <w:footnoteRef/>
      </w:r>
      <w:r>
        <w:t xml:space="preserve"> </w:t>
      </w:r>
      <w:r w:rsidRPr="00B1457F">
        <w:rPr>
          <w:i/>
          <w:iCs/>
          <w:lang w:val="en-ZA"/>
        </w:rPr>
        <w:t>Rappa</w:t>
      </w:r>
      <w:r>
        <w:rPr>
          <w:lang w:val="en-ZA"/>
        </w:rPr>
        <w:t xml:space="preserve"> n 10 para 14, citing </w:t>
      </w:r>
      <w:r w:rsidRPr="00B1457F">
        <w:rPr>
          <w:i/>
          <w:iCs/>
          <w:lang w:val="en-ZA"/>
        </w:rPr>
        <w:t>Kommissaris van Binnelandse Inkomste v Transvaalse Suikerkorporasie</w:t>
      </w:r>
      <w:r>
        <w:rPr>
          <w:lang w:val="en-ZA"/>
        </w:rPr>
        <w:t xml:space="preserve"> 1985 (2) SA 668 (T).</w:t>
      </w:r>
    </w:p>
  </w:footnote>
  <w:footnote w:id="30">
    <w:p w14:paraId="4486349E" w14:textId="623F61CD" w:rsidR="00B0774D" w:rsidRPr="00B0774D" w:rsidRDefault="00B0774D">
      <w:pPr>
        <w:pStyle w:val="FootnoteText"/>
        <w:rPr>
          <w:lang w:val="en-ZA"/>
        </w:rPr>
      </w:pPr>
      <w:r>
        <w:rPr>
          <w:rStyle w:val="FootnoteReference"/>
        </w:rPr>
        <w:footnoteRef/>
      </w:r>
      <w:r>
        <w:t xml:space="preserve"> </w:t>
      </w:r>
      <w:r w:rsidRPr="00B0774D">
        <w:rPr>
          <w:i/>
          <w:iCs/>
          <w:lang w:val="en-ZA"/>
        </w:rPr>
        <w:t>Rappa</w:t>
      </w:r>
      <w:r>
        <w:rPr>
          <w:lang w:val="en-ZA"/>
        </w:rPr>
        <w:t xml:space="preserve"> n 10 para 15, endorsing the decision of the Full Court in </w:t>
      </w:r>
      <w:r w:rsidRPr="00B0774D">
        <w:rPr>
          <w:i/>
          <w:iCs/>
          <w:lang w:val="en-ZA"/>
        </w:rPr>
        <w:t>South Atlantic Jazz Festival v Commissioner, South African Revenue Services</w:t>
      </w:r>
      <w:r>
        <w:rPr>
          <w:i/>
          <w:iCs/>
          <w:lang w:val="en-ZA"/>
        </w:rPr>
        <w:t xml:space="preserve"> </w:t>
      </w:r>
      <w:r>
        <w:rPr>
          <w:lang w:val="en-ZA"/>
        </w:rPr>
        <w:t>2015 (6) SA 78 (WCC) paras 21-24</w:t>
      </w:r>
      <w:r w:rsidR="00155717">
        <w:rPr>
          <w:lang w:val="en-ZA"/>
        </w:rPr>
        <w:t xml:space="preserve">; </w:t>
      </w:r>
      <w:r w:rsidR="00155717" w:rsidRPr="00B77FBC">
        <w:rPr>
          <w:i/>
          <w:iCs/>
          <w:lang w:val="en-ZA"/>
        </w:rPr>
        <w:t>Wingate-Pearse v Commissioner, South African Revenue Services &amp; Ors</w:t>
      </w:r>
      <w:r w:rsidR="00155717">
        <w:rPr>
          <w:i/>
          <w:iCs/>
          <w:lang w:val="en-ZA"/>
        </w:rPr>
        <w:t xml:space="preserve"> </w:t>
      </w:r>
      <w:r w:rsidR="00155717" w:rsidRPr="00155717">
        <w:rPr>
          <w:lang w:val="en-ZA"/>
        </w:rPr>
        <w:t>2019</w:t>
      </w:r>
      <w:r w:rsidR="00155717">
        <w:rPr>
          <w:lang w:val="en-ZA"/>
        </w:rPr>
        <w:t xml:space="preserve"> (6) SA 196 (GJ) para 47</w:t>
      </w:r>
      <w:r>
        <w:rPr>
          <w:lang w:val="en-ZA"/>
        </w:rPr>
        <w:t>.</w:t>
      </w:r>
    </w:p>
  </w:footnote>
  <w:footnote w:id="31">
    <w:p w14:paraId="24580371" w14:textId="22B53F1C" w:rsidR="00F83B15" w:rsidRPr="00F83B15" w:rsidRDefault="00F83B15">
      <w:pPr>
        <w:pStyle w:val="FootnoteText"/>
        <w:rPr>
          <w:lang w:val="en-ZA"/>
        </w:rPr>
      </w:pPr>
      <w:r>
        <w:rPr>
          <w:rStyle w:val="FootnoteReference"/>
        </w:rPr>
        <w:footnoteRef/>
      </w:r>
      <w:r>
        <w:t xml:space="preserve"> </w:t>
      </w:r>
      <w:r w:rsidR="005B7ACD">
        <w:rPr>
          <w:lang w:val="en-ZA"/>
        </w:rPr>
        <w:t>‘</w:t>
      </w:r>
      <w:r>
        <w:rPr>
          <w:lang w:val="en-ZA"/>
        </w:rPr>
        <w:t>VAT</w:t>
      </w:r>
      <w:r w:rsidR="005B7ACD">
        <w:rPr>
          <w:lang w:val="en-ZA"/>
        </w:rPr>
        <w:t>’</w:t>
      </w:r>
      <w:r>
        <w:rPr>
          <w:lang w:val="en-ZA"/>
        </w:rPr>
        <w:t xml:space="preserve"> assessments </w:t>
      </w:r>
      <w:r w:rsidR="005B7ACD">
        <w:rPr>
          <w:lang w:val="en-ZA"/>
        </w:rPr>
        <w:t>in terms of the</w:t>
      </w:r>
      <w:r w:rsidR="009241C3">
        <w:rPr>
          <w:lang w:val="en-ZA"/>
        </w:rPr>
        <w:t xml:space="preserve"> Value-Added Tax Act 89 of 1991</w:t>
      </w:r>
      <w:r>
        <w:rPr>
          <w:lang w:val="en-ZA"/>
        </w:rPr>
        <w:t xml:space="preserve">. </w:t>
      </w:r>
    </w:p>
  </w:footnote>
  <w:footnote w:id="32">
    <w:p w14:paraId="407E2DCE" w14:textId="0634A06C" w:rsidR="00F83B15" w:rsidRPr="00F83B15" w:rsidRDefault="00F83B15">
      <w:pPr>
        <w:pStyle w:val="FootnoteText"/>
        <w:rPr>
          <w:lang w:val="en-ZA"/>
        </w:rPr>
      </w:pPr>
      <w:r>
        <w:rPr>
          <w:rStyle w:val="FootnoteReference"/>
        </w:rPr>
        <w:footnoteRef/>
      </w:r>
      <w:r>
        <w:t xml:space="preserve"> </w:t>
      </w:r>
      <w:r w:rsidRPr="005B7ACD">
        <w:rPr>
          <w:i/>
          <w:iCs/>
          <w:lang w:val="en-ZA"/>
        </w:rPr>
        <w:t xml:space="preserve">A Way to Explore </w:t>
      </w:r>
      <w:r w:rsidR="00F01E9B" w:rsidRPr="005B7ACD">
        <w:rPr>
          <w:i/>
          <w:iCs/>
          <w:lang w:val="en-ZA"/>
        </w:rPr>
        <w:t xml:space="preserve">(Pty) Ltd </w:t>
      </w:r>
      <w:r w:rsidRPr="005B7ACD">
        <w:rPr>
          <w:i/>
          <w:iCs/>
          <w:lang w:val="en-ZA"/>
        </w:rPr>
        <w:t>v Commissioner, South African Revenue Services</w:t>
      </w:r>
      <w:r>
        <w:rPr>
          <w:i/>
          <w:iCs/>
          <w:lang w:val="en-ZA"/>
        </w:rPr>
        <w:t xml:space="preserve"> </w:t>
      </w:r>
      <w:r>
        <w:rPr>
          <w:lang w:val="en-ZA"/>
        </w:rPr>
        <w:t>[2017] ZAGPPHC</w:t>
      </w:r>
      <w:r w:rsidR="00F01E9B">
        <w:rPr>
          <w:lang w:val="en-ZA"/>
        </w:rPr>
        <w:t xml:space="preserve"> 541</w:t>
      </w:r>
      <w:r>
        <w:rPr>
          <w:lang w:val="en-ZA"/>
        </w:rPr>
        <w:t xml:space="preserve">; </w:t>
      </w:r>
      <w:r w:rsidRPr="005B7ACD">
        <w:rPr>
          <w:i/>
          <w:iCs/>
          <w:lang w:val="en-ZA"/>
        </w:rPr>
        <w:t xml:space="preserve">Gold Kid Trading CC v Commissioner, South African Revenue Services </w:t>
      </w:r>
      <w:r>
        <w:rPr>
          <w:lang w:val="en-ZA"/>
        </w:rPr>
        <w:t>2019 JDR 1288 GJ</w:t>
      </w:r>
      <w:r w:rsidR="00F01E9B">
        <w:rPr>
          <w:lang w:val="en-ZA"/>
        </w:rPr>
        <w:t xml:space="preserve">: </w:t>
      </w:r>
      <w:r w:rsidR="00F01E9B" w:rsidRPr="005B7ACD">
        <w:rPr>
          <w:i/>
          <w:iCs/>
          <w:lang w:val="en-ZA"/>
        </w:rPr>
        <w:t xml:space="preserve">Brits v Commissioner, South African Revenue Services </w:t>
      </w:r>
      <w:r w:rsidR="00F01E9B">
        <w:rPr>
          <w:lang w:val="en-ZA"/>
        </w:rPr>
        <w:t>2020 JDR 0121 (GP)</w:t>
      </w:r>
      <w:r w:rsidR="00BE1E14">
        <w:rPr>
          <w:lang w:val="en-ZA"/>
        </w:rPr>
        <w:t xml:space="preserve">; </w:t>
      </w:r>
      <w:r w:rsidR="009241C3">
        <w:rPr>
          <w:lang w:val="en-ZA"/>
        </w:rPr>
        <w:t>which</w:t>
      </w:r>
      <w:r w:rsidR="005B7ACD">
        <w:rPr>
          <w:lang w:val="en-ZA"/>
        </w:rPr>
        <w:t xml:space="preserve"> followed the Court’s earlier refusal</w:t>
      </w:r>
      <w:r w:rsidR="009241C3">
        <w:rPr>
          <w:lang w:val="en-ZA"/>
        </w:rPr>
        <w:t>,</w:t>
      </w:r>
      <w:r w:rsidR="005B7ACD">
        <w:rPr>
          <w:lang w:val="en-ZA"/>
        </w:rPr>
        <w:t xml:space="preserve"> in 2014</w:t>
      </w:r>
      <w:r w:rsidR="009241C3">
        <w:rPr>
          <w:lang w:val="en-ZA"/>
        </w:rPr>
        <w:t>,</w:t>
      </w:r>
      <w:r w:rsidR="005B7ACD">
        <w:rPr>
          <w:lang w:val="en-ZA"/>
        </w:rPr>
        <w:t xml:space="preserve"> to entertain a review of a</w:t>
      </w:r>
      <w:r w:rsidR="009241C3">
        <w:rPr>
          <w:lang w:val="en-ZA"/>
        </w:rPr>
        <w:t xml:space="preserve">n </w:t>
      </w:r>
      <w:r w:rsidR="00C92555">
        <w:rPr>
          <w:lang w:val="en-ZA"/>
        </w:rPr>
        <w:t>(</w:t>
      </w:r>
      <w:r w:rsidR="009241C3">
        <w:rPr>
          <w:lang w:val="en-ZA"/>
        </w:rPr>
        <w:t>income</w:t>
      </w:r>
      <w:r w:rsidR="00C92555">
        <w:rPr>
          <w:lang w:val="en-ZA"/>
        </w:rPr>
        <w:t>)</w:t>
      </w:r>
      <w:r w:rsidR="005B7ACD">
        <w:rPr>
          <w:lang w:val="en-ZA"/>
        </w:rPr>
        <w:t xml:space="preserve"> tax assessment in </w:t>
      </w:r>
      <w:r w:rsidR="00BE1E14" w:rsidRPr="005B7ACD">
        <w:rPr>
          <w:i/>
          <w:iCs/>
          <w:lang w:val="en-ZA"/>
        </w:rPr>
        <w:t>Medox v Commissioner, South African Revenue Services</w:t>
      </w:r>
      <w:r w:rsidR="00BE1E14">
        <w:rPr>
          <w:lang w:val="en-ZA"/>
        </w:rPr>
        <w:t xml:space="preserve"> </w:t>
      </w:r>
      <w:r w:rsidR="005B7ACD">
        <w:rPr>
          <w:lang w:val="en-ZA"/>
        </w:rPr>
        <w:t>[2014] ZAGPPHC 98.</w:t>
      </w:r>
      <w:r w:rsidR="00BE1E14">
        <w:rPr>
          <w:lang w:val="en-ZA"/>
        </w:rPr>
        <w:t xml:space="preserve"> </w:t>
      </w:r>
      <w:r>
        <w:rPr>
          <w:lang w:val="en-ZA"/>
        </w:rPr>
        <w:t xml:space="preserve"> </w:t>
      </w:r>
    </w:p>
  </w:footnote>
  <w:footnote w:id="33">
    <w:p w14:paraId="5F9C0AD1" w14:textId="5E50D6CC" w:rsidR="00CF3F5B" w:rsidRPr="00CF3F5B" w:rsidRDefault="00CF3F5B">
      <w:pPr>
        <w:pStyle w:val="FootnoteText"/>
        <w:rPr>
          <w:lang w:val="en-ZA"/>
        </w:rPr>
      </w:pPr>
      <w:r>
        <w:rPr>
          <w:rStyle w:val="FootnoteReference"/>
        </w:rPr>
        <w:footnoteRef/>
      </w:r>
      <w:r>
        <w:t xml:space="preserve"> </w:t>
      </w:r>
      <w:r>
        <w:rPr>
          <w:lang w:val="en-ZA"/>
        </w:rPr>
        <w:t>2021 (3) SA 513 (GP).</w:t>
      </w:r>
    </w:p>
  </w:footnote>
  <w:footnote w:id="34">
    <w:p w14:paraId="6834F8EC" w14:textId="7C164BE9" w:rsidR="009707F0" w:rsidRPr="009707F0" w:rsidRDefault="009707F0">
      <w:pPr>
        <w:pStyle w:val="FootnoteText"/>
        <w:rPr>
          <w:lang w:val="en-ZA"/>
        </w:rPr>
      </w:pPr>
      <w:r>
        <w:rPr>
          <w:rStyle w:val="FootnoteReference"/>
        </w:rPr>
        <w:footnoteRef/>
      </w:r>
      <w:r>
        <w:t xml:space="preserve"> Section 80J</w:t>
      </w:r>
      <w:r w:rsidR="00DC1873">
        <w:t>.</w:t>
      </w:r>
    </w:p>
  </w:footnote>
  <w:footnote w:id="35">
    <w:p w14:paraId="1FEB0654" w14:textId="778123D9" w:rsidR="009134BF" w:rsidRPr="009134BF" w:rsidRDefault="009134BF">
      <w:pPr>
        <w:pStyle w:val="FootnoteText"/>
        <w:rPr>
          <w:lang w:val="en-ZA"/>
        </w:rPr>
      </w:pPr>
      <w:r>
        <w:rPr>
          <w:rStyle w:val="FootnoteReference"/>
        </w:rPr>
        <w:footnoteRef/>
      </w:r>
      <w:r>
        <w:t xml:space="preserve"> </w:t>
      </w:r>
      <w:r w:rsidR="007C6207">
        <w:rPr>
          <w:lang w:val="en-ZA"/>
        </w:rPr>
        <w:t xml:space="preserve">The refusal of the Commissioner to withdraw a notice which was issued in terms of s 80J of the GAAR provisions was considered not to constitute administrative </w:t>
      </w:r>
      <w:r w:rsidR="00DC1873">
        <w:rPr>
          <w:lang w:val="en-ZA"/>
        </w:rPr>
        <w:t>action and was</w:t>
      </w:r>
      <w:r w:rsidR="007C6207">
        <w:rPr>
          <w:lang w:val="en-ZA"/>
        </w:rPr>
        <w:t xml:space="preserve"> </w:t>
      </w:r>
      <w:r w:rsidR="009707F0">
        <w:rPr>
          <w:lang w:val="en-ZA"/>
        </w:rPr>
        <w:t xml:space="preserve">therefore </w:t>
      </w:r>
      <w:r w:rsidR="007C6207">
        <w:rPr>
          <w:lang w:val="en-ZA"/>
        </w:rPr>
        <w:t>subject to challenge on the grounds of legality</w:t>
      </w:r>
      <w:r w:rsidR="007C6207" w:rsidRPr="007C6207">
        <w:t xml:space="preserve"> </w:t>
      </w:r>
      <w:r w:rsidR="007C6207">
        <w:t>(para 29). Although the review was also directed at the letters of assessment which had been issued by the Commissioner, which the Court was of the view constituted administrative action (</w:t>
      </w:r>
      <w:r w:rsidR="007C6207" w:rsidRPr="00DC1873">
        <w:rPr>
          <w:i/>
          <w:iCs/>
        </w:rPr>
        <w:t>vide</w:t>
      </w:r>
      <w:r w:rsidR="007C6207">
        <w:t xml:space="preserve"> para 30), the matter was still </w:t>
      </w:r>
      <w:r w:rsidR="009707F0">
        <w:t xml:space="preserve">argued and </w:t>
      </w:r>
      <w:r w:rsidR="007C6207">
        <w:t xml:space="preserve">dealt with </w:t>
      </w:r>
      <w:r w:rsidR="009707F0">
        <w:t>as a legality review (paras 31-32).</w:t>
      </w:r>
      <w:r w:rsidR="007C6207">
        <w:t xml:space="preserve">   </w:t>
      </w:r>
      <w:r w:rsidR="007C6207">
        <w:rPr>
          <w:lang w:val="en-ZA"/>
        </w:rPr>
        <w:t xml:space="preserve">  </w:t>
      </w:r>
    </w:p>
  </w:footnote>
  <w:footnote w:id="36">
    <w:p w14:paraId="4DAADCC7" w14:textId="3CC8CA7B" w:rsidR="00C51642" w:rsidRPr="00C51642" w:rsidRDefault="00C51642">
      <w:pPr>
        <w:pStyle w:val="FootnoteText"/>
        <w:rPr>
          <w:lang w:val="en-ZA"/>
        </w:rPr>
      </w:pPr>
      <w:r>
        <w:rPr>
          <w:rStyle w:val="FootnoteReference"/>
        </w:rPr>
        <w:footnoteRef/>
      </w:r>
      <w:r>
        <w:t xml:space="preserve"> P</w:t>
      </w:r>
      <w:r>
        <w:rPr>
          <w:lang w:val="en-ZA"/>
        </w:rPr>
        <w:t>ara 27.</w:t>
      </w:r>
    </w:p>
  </w:footnote>
  <w:footnote w:id="37">
    <w:p w14:paraId="45A27AA1" w14:textId="4BC1F95C" w:rsidR="00C51642" w:rsidRPr="00C51642" w:rsidRDefault="00C51642">
      <w:pPr>
        <w:pStyle w:val="FootnoteText"/>
        <w:rPr>
          <w:lang w:val="en-ZA"/>
        </w:rPr>
      </w:pPr>
      <w:r>
        <w:rPr>
          <w:rStyle w:val="FootnoteReference"/>
        </w:rPr>
        <w:footnoteRef/>
      </w:r>
      <w:r>
        <w:t xml:space="preserve"> </w:t>
      </w:r>
      <w:r>
        <w:rPr>
          <w:lang w:val="en-ZA"/>
        </w:rPr>
        <w:t>Id.</w:t>
      </w:r>
    </w:p>
  </w:footnote>
  <w:footnote w:id="38">
    <w:p w14:paraId="7074E918" w14:textId="4DB6B03E" w:rsidR="00F13B7B" w:rsidRPr="00F13B7B" w:rsidRDefault="00F13B7B">
      <w:pPr>
        <w:pStyle w:val="FootnoteText"/>
        <w:rPr>
          <w:lang w:val="en-ZA"/>
        </w:rPr>
      </w:pPr>
      <w:r>
        <w:rPr>
          <w:rStyle w:val="FootnoteReference"/>
        </w:rPr>
        <w:footnoteRef/>
      </w:r>
      <w:r>
        <w:t xml:space="preserve"> </w:t>
      </w:r>
      <w:r>
        <w:rPr>
          <w:lang w:val="en-ZA"/>
        </w:rPr>
        <w:t>At para 47.</w:t>
      </w:r>
    </w:p>
  </w:footnote>
  <w:footnote w:id="39">
    <w:p w14:paraId="723F6A0A" w14:textId="6FE96573" w:rsidR="00F13B7B" w:rsidRPr="00F13B7B" w:rsidRDefault="00F13B7B">
      <w:pPr>
        <w:pStyle w:val="FootnoteText"/>
        <w:rPr>
          <w:lang w:val="en-ZA"/>
        </w:rPr>
      </w:pPr>
      <w:r>
        <w:rPr>
          <w:rStyle w:val="FootnoteReference"/>
        </w:rPr>
        <w:footnoteRef/>
      </w:r>
      <w:r>
        <w:t xml:space="preserve"> </w:t>
      </w:r>
      <w:r>
        <w:rPr>
          <w:lang w:val="en-ZA"/>
        </w:rPr>
        <w:t>Para 48.</w:t>
      </w:r>
    </w:p>
  </w:footnote>
  <w:footnote w:id="40">
    <w:p w14:paraId="7B7EE264" w14:textId="368DF304" w:rsidR="00F13B7B" w:rsidRPr="00F13B7B" w:rsidRDefault="00F13B7B">
      <w:pPr>
        <w:pStyle w:val="FootnoteText"/>
        <w:rPr>
          <w:lang w:val="en-ZA"/>
        </w:rPr>
      </w:pPr>
      <w:r>
        <w:rPr>
          <w:rStyle w:val="FootnoteReference"/>
        </w:rPr>
        <w:footnoteRef/>
      </w:r>
      <w:r>
        <w:t xml:space="preserve"> </w:t>
      </w:r>
      <w:r>
        <w:rPr>
          <w:lang w:val="en-ZA"/>
        </w:rPr>
        <w:t>Para 19.2.</w:t>
      </w:r>
    </w:p>
  </w:footnote>
  <w:footnote w:id="41">
    <w:p w14:paraId="46349338" w14:textId="41C844F1" w:rsidR="006A2CC2" w:rsidRDefault="006A2CC2">
      <w:pPr>
        <w:pStyle w:val="FootnoteText"/>
      </w:pPr>
      <w:r>
        <w:rPr>
          <w:rStyle w:val="FootnoteReference"/>
        </w:rPr>
        <w:footnoteRef/>
      </w:r>
      <w:r>
        <w:t xml:space="preserve"> </w:t>
      </w:r>
      <w:r w:rsidR="00337477">
        <w:t>Note</w:t>
      </w:r>
      <w:r w:rsidR="00E860DF">
        <w:t xml:space="preserve"> 4</w:t>
      </w:r>
      <w:r w:rsidR="00912CC0">
        <w:t>.</w:t>
      </w:r>
    </w:p>
  </w:footnote>
  <w:footnote w:id="42">
    <w:p w14:paraId="726748FA" w14:textId="4CC4DF0B" w:rsidR="00343EC6" w:rsidRDefault="00343EC6">
      <w:pPr>
        <w:pStyle w:val="FootnoteText"/>
      </w:pPr>
      <w:r>
        <w:rPr>
          <w:rStyle w:val="FootnoteReference"/>
        </w:rPr>
        <w:footnoteRef/>
      </w:r>
      <w:r>
        <w:t xml:space="preserve"> </w:t>
      </w:r>
      <w:r w:rsidR="007D7EF8">
        <w:t>In s</w:t>
      </w:r>
      <w:r>
        <w:t>ection 118(3).</w:t>
      </w:r>
    </w:p>
  </w:footnote>
  <w:footnote w:id="43">
    <w:p w14:paraId="2C45A739" w14:textId="5753F18E" w:rsidR="00343EC6" w:rsidRDefault="00343EC6">
      <w:pPr>
        <w:pStyle w:val="FootnoteText"/>
      </w:pPr>
      <w:r>
        <w:rPr>
          <w:rStyle w:val="FootnoteReference"/>
        </w:rPr>
        <w:footnoteRef/>
      </w:r>
      <w:r>
        <w:t xml:space="preserve"> </w:t>
      </w:r>
      <w:r w:rsidR="007D7EF8">
        <w:t>In terms of</w:t>
      </w:r>
      <w:r w:rsidR="00912CC0" w:rsidRPr="00912CC0">
        <w:t xml:space="preserve"> the relevant provisions of the </w:t>
      </w:r>
      <w:r w:rsidR="00912CC0">
        <w:t>T</w:t>
      </w:r>
      <w:r w:rsidR="00912CC0" w:rsidRPr="00912CC0">
        <w:t xml:space="preserve">ax </w:t>
      </w:r>
      <w:r w:rsidR="00912CC0">
        <w:t>C</w:t>
      </w:r>
      <w:r w:rsidR="00912CC0" w:rsidRPr="00912CC0">
        <w:t>ourt and High Court rules</w:t>
      </w:r>
      <w:r w:rsidR="00912CC0">
        <w:t>.</w:t>
      </w:r>
    </w:p>
  </w:footnote>
  <w:footnote w:id="44">
    <w:p w14:paraId="2C2D1AC5" w14:textId="1DAC6BA6" w:rsidR="00343EC6" w:rsidRDefault="00343EC6">
      <w:pPr>
        <w:pStyle w:val="FootnoteText"/>
      </w:pPr>
      <w:r>
        <w:rPr>
          <w:rStyle w:val="FootnoteReference"/>
        </w:rPr>
        <w:footnoteRef/>
      </w:r>
      <w:r>
        <w:t xml:space="preserve"> </w:t>
      </w:r>
      <w:r w:rsidRPr="00306DE0">
        <w:rPr>
          <w:i/>
          <w:iCs/>
        </w:rPr>
        <w:t xml:space="preserve">Forge </w:t>
      </w:r>
      <w:r w:rsidR="00306DE0" w:rsidRPr="00306DE0">
        <w:rPr>
          <w:i/>
          <w:iCs/>
        </w:rPr>
        <w:t>P</w:t>
      </w:r>
      <w:r w:rsidRPr="00306DE0">
        <w:rPr>
          <w:i/>
          <w:iCs/>
        </w:rPr>
        <w:t xml:space="preserve">ackaging (Pty) Ltd v Commissioner, South African </w:t>
      </w:r>
      <w:r w:rsidR="00306DE0" w:rsidRPr="00306DE0">
        <w:rPr>
          <w:i/>
          <w:iCs/>
        </w:rPr>
        <w:t>R</w:t>
      </w:r>
      <w:r w:rsidRPr="00306DE0">
        <w:rPr>
          <w:i/>
          <w:iCs/>
        </w:rPr>
        <w:t xml:space="preserve">evenue </w:t>
      </w:r>
      <w:r w:rsidR="00306DE0" w:rsidRPr="00306DE0">
        <w:rPr>
          <w:i/>
          <w:iCs/>
        </w:rPr>
        <w:t>S</w:t>
      </w:r>
      <w:r w:rsidRPr="00306DE0">
        <w:rPr>
          <w:i/>
          <w:iCs/>
        </w:rPr>
        <w:t>ervice</w:t>
      </w:r>
      <w:r>
        <w:t xml:space="preserve"> </w:t>
      </w:r>
      <w:r w:rsidR="00306DE0">
        <w:t>[</w:t>
      </w:r>
      <w:r>
        <w:t>202</w:t>
      </w:r>
      <w:r w:rsidR="00306DE0">
        <w:t xml:space="preserve">2] </w:t>
      </w:r>
      <w:r>
        <w:t>ZAWCHC 163, handed down on 23 August 2022.</w:t>
      </w:r>
    </w:p>
  </w:footnote>
  <w:footnote w:id="45">
    <w:p w14:paraId="34BB5D50" w14:textId="4E6C6D6F" w:rsidR="00F87BFB" w:rsidRPr="00F87BFB" w:rsidRDefault="00F87BFB">
      <w:pPr>
        <w:pStyle w:val="FootnoteText"/>
        <w:rPr>
          <w:lang w:val="en-ZA"/>
        </w:rPr>
      </w:pPr>
      <w:r>
        <w:rPr>
          <w:rStyle w:val="FootnoteReference"/>
        </w:rPr>
        <w:footnoteRef/>
      </w:r>
      <w:r>
        <w:t xml:space="preserve"> </w:t>
      </w:r>
      <w:r>
        <w:rPr>
          <w:lang w:val="en-ZA"/>
        </w:rPr>
        <w:t xml:space="preserve">Note </w:t>
      </w:r>
      <w:r w:rsidR="00A87768">
        <w:rPr>
          <w:lang w:val="en-ZA"/>
        </w:rPr>
        <w:t>10.</w:t>
      </w:r>
    </w:p>
  </w:footnote>
  <w:footnote w:id="46">
    <w:p w14:paraId="10AE58A7" w14:textId="630B9AF5" w:rsidR="00A87768" w:rsidRPr="00A87768" w:rsidRDefault="00A87768">
      <w:pPr>
        <w:pStyle w:val="FootnoteText"/>
        <w:rPr>
          <w:lang w:val="en-ZA"/>
        </w:rPr>
      </w:pPr>
      <w:r>
        <w:rPr>
          <w:rStyle w:val="FootnoteReference"/>
        </w:rPr>
        <w:footnoteRef/>
      </w:r>
      <w:r>
        <w:t xml:space="preserve"> </w:t>
      </w:r>
      <w:r>
        <w:rPr>
          <w:lang w:val="en-ZA"/>
        </w:rPr>
        <w:t>Note</w:t>
      </w:r>
      <w:r w:rsidR="0027612F">
        <w:rPr>
          <w:lang w:val="en-ZA"/>
        </w:rPr>
        <w:t xml:space="preserve"> 12.</w:t>
      </w:r>
    </w:p>
  </w:footnote>
  <w:footnote w:id="47">
    <w:p w14:paraId="1BFA9596" w14:textId="4E636DB1" w:rsidR="00474FDF" w:rsidRPr="00474FDF" w:rsidRDefault="00474FDF">
      <w:pPr>
        <w:pStyle w:val="FootnoteText"/>
        <w:rPr>
          <w:lang w:val="en-ZA"/>
        </w:rPr>
      </w:pPr>
      <w:r>
        <w:rPr>
          <w:rStyle w:val="FootnoteReference"/>
        </w:rPr>
        <w:footnoteRef/>
      </w:r>
      <w:r>
        <w:t xml:space="preserve"> </w:t>
      </w:r>
      <w:r>
        <w:rPr>
          <w:lang w:val="en-ZA"/>
        </w:rPr>
        <w:t>Para 19.</w:t>
      </w:r>
    </w:p>
  </w:footnote>
  <w:footnote w:id="48">
    <w:p w14:paraId="41B664D2" w14:textId="757611A2" w:rsidR="00837842" w:rsidRPr="00837842" w:rsidRDefault="00837842">
      <w:pPr>
        <w:pStyle w:val="FootnoteText"/>
        <w:rPr>
          <w:lang w:val="en-ZA"/>
        </w:rPr>
      </w:pPr>
      <w:r>
        <w:rPr>
          <w:rStyle w:val="FootnoteReference"/>
        </w:rPr>
        <w:footnoteRef/>
      </w:r>
      <w:r>
        <w:t xml:space="preserve"> </w:t>
      </w:r>
      <w:r w:rsidR="00337477">
        <w:t>At p</w:t>
      </w:r>
      <w:r>
        <w:rPr>
          <w:lang w:val="en-ZA"/>
        </w:rPr>
        <w:t>ara 2.52</w:t>
      </w:r>
      <w:r w:rsidR="00474FDF">
        <w:rPr>
          <w:lang w:val="en-ZA"/>
        </w:rPr>
        <w:t xml:space="preserve"> thereof.</w:t>
      </w:r>
    </w:p>
  </w:footnote>
  <w:footnote w:id="49">
    <w:p w14:paraId="0CFFA814" w14:textId="7D1B3912" w:rsidR="00474FDF" w:rsidRPr="00474FDF" w:rsidRDefault="00474FDF">
      <w:pPr>
        <w:pStyle w:val="FootnoteText"/>
        <w:rPr>
          <w:lang w:val="en-ZA"/>
        </w:rPr>
      </w:pPr>
      <w:r>
        <w:rPr>
          <w:rStyle w:val="FootnoteReference"/>
        </w:rPr>
        <w:footnoteRef/>
      </w:r>
      <w:r>
        <w:t xml:space="preserve"> </w:t>
      </w:r>
      <w:r>
        <w:rPr>
          <w:lang w:val="en-ZA"/>
        </w:rPr>
        <w:t>Para 20.</w:t>
      </w:r>
    </w:p>
  </w:footnote>
  <w:footnote w:id="50">
    <w:p w14:paraId="599C8C73" w14:textId="0E55F2D6" w:rsidR="00A9499B" w:rsidRPr="00A9499B" w:rsidRDefault="00A9499B">
      <w:pPr>
        <w:pStyle w:val="FootnoteText"/>
        <w:rPr>
          <w:lang w:val="en-ZA"/>
        </w:rPr>
      </w:pPr>
      <w:r>
        <w:rPr>
          <w:rStyle w:val="FootnoteReference"/>
        </w:rPr>
        <w:footnoteRef/>
      </w:r>
      <w:r>
        <w:t xml:space="preserve"> </w:t>
      </w:r>
      <w:r>
        <w:rPr>
          <w:lang w:val="en-ZA"/>
        </w:rPr>
        <w:t>At para 21.</w:t>
      </w:r>
    </w:p>
  </w:footnote>
  <w:footnote w:id="51">
    <w:p w14:paraId="73549440" w14:textId="3CE0AD3F" w:rsidR="00DB6D1B" w:rsidRPr="00DB6D1B" w:rsidRDefault="00DB6D1B">
      <w:pPr>
        <w:pStyle w:val="FootnoteText"/>
        <w:rPr>
          <w:lang w:val="en-ZA"/>
        </w:rPr>
      </w:pPr>
      <w:r>
        <w:rPr>
          <w:rStyle w:val="FootnoteReference"/>
        </w:rPr>
        <w:footnoteRef/>
      </w:r>
      <w:r>
        <w:t xml:space="preserve"> </w:t>
      </w:r>
      <w:r w:rsidR="00BA4DA5">
        <w:t>S</w:t>
      </w:r>
      <w:r w:rsidR="00BA4DA5" w:rsidRPr="00BA4DA5">
        <w:t>uch as where declaratory orders are sought</w:t>
      </w:r>
      <w:r w:rsidR="00BA4DA5">
        <w:t>-</w:t>
      </w:r>
      <w:r w:rsidR="00BA4DA5" w:rsidRPr="00BA4DA5">
        <w:rPr>
          <w:i/>
          <w:iCs/>
          <w:lang w:val="en-ZA"/>
        </w:rPr>
        <w:t xml:space="preserve"> </w:t>
      </w:r>
      <w:r w:rsidR="00BA4DA5">
        <w:rPr>
          <w:i/>
          <w:iCs/>
          <w:lang w:val="en-ZA"/>
        </w:rPr>
        <w:t>v</w:t>
      </w:r>
      <w:r w:rsidRPr="00B9223F">
        <w:rPr>
          <w:i/>
          <w:iCs/>
          <w:lang w:val="en-ZA"/>
        </w:rPr>
        <w:t>ide</w:t>
      </w:r>
      <w:r>
        <w:rPr>
          <w:lang w:val="en-ZA"/>
        </w:rPr>
        <w:t xml:space="preserve"> the discussion </w:t>
      </w:r>
      <w:r w:rsidR="00B9223F">
        <w:rPr>
          <w:lang w:val="en-ZA"/>
        </w:rPr>
        <w:t>that follows</w:t>
      </w:r>
      <w:r>
        <w:rPr>
          <w:lang w:val="en-ZA"/>
        </w:rPr>
        <w:t>.</w:t>
      </w:r>
    </w:p>
  </w:footnote>
  <w:footnote w:id="52">
    <w:p w14:paraId="563AA4CB" w14:textId="4638A232" w:rsidR="00D036A5" w:rsidRPr="00D036A5" w:rsidRDefault="00D036A5">
      <w:pPr>
        <w:pStyle w:val="FootnoteText"/>
        <w:rPr>
          <w:lang w:val="en-ZA"/>
        </w:rPr>
      </w:pPr>
      <w:r>
        <w:rPr>
          <w:rStyle w:val="FootnoteReference"/>
        </w:rPr>
        <w:footnoteRef/>
      </w:r>
      <w:r>
        <w:t xml:space="preserve"> In </w:t>
      </w:r>
      <w:r w:rsidR="00DF0498">
        <w:t>accordance with</w:t>
      </w:r>
      <w:r>
        <w:t xml:space="preserve"> the trite so-called </w:t>
      </w:r>
      <w:r w:rsidRPr="00D036A5">
        <w:rPr>
          <w:i/>
          <w:iCs/>
        </w:rPr>
        <w:t>Plascon-Evans</w:t>
      </w:r>
      <w:r>
        <w:t xml:space="preserve"> principle.</w:t>
      </w:r>
      <w:r>
        <w:rPr>
          <w:lang w:val="en-ZA"/>
        </w:rPr>
        <w:t xml:space="preserve"> </w:t>
      </w:r>
    </w:p>
  </w:footnote>
  <w:footnote w:id="53">
    <w:p w14:paraId="09B485E3" w14:textId="3C9CB290" w:rsidR="00BE5004" w:rsidRPr="00BE5004" w:rsidRDefault="00BE5004">
      <w:pPr>
        <w:pStyle w:val="FootnoteText"/>
        <w:rPr>
          <w:lang w:val="en-ZA"/>
        </w:rPr>
      </w:pPr>
      <w:r>
        <w:rPr>
          <w:rStyle w:val="FootnoteReference"/>
        </w:rPr>
        <w:footnoteRef/>
      </w:r>
      <w:r>
        <w:t xml:space="preserve"> </w:t>
      </w:r>
      <w:r w:rsidR="004C652B">
        <w:t>P</w:t>
      </w:r>
      <w:r>
        <w:rPr>
          <w:lang w:val="en-ZA"/>
        </w:rPr>
        <w:t>ara 19.2.</w:t>
      </w:r>
    </w:p>
  </w:footnote>
  <w:footnote w:id="54">
    <w:p w14:paraId="04366388" w14:textId="781EEB2F" w:rsidR="00BE5004" w:rsidRPr="00BE5004" w:rsidRDefault="00BE5004">
      <w:pPr>
        <w:pStyle w:val="FootnoteText"/>
        <w:rPr>
          <w:lang w:val="en-ZA"/>
        </w:rPr>
      </w:pPr>
      <w:r>
        <w:rPr>
          <w:rStyle w:val="FootnoteReference"/>
        </w:rPr>
        <w:footnoteRef/>
      </w:r>
      <w:r>
        <w:t xml:space="preserve"> </w:t>
      </w:r>
      <w:r>
        <w:rPr>
          <w:lang w:val="en-ZA"/>
        </w:rPr>
        <w:t xml:space="preserve">At </w:t>
      </w:r>
      <w:r w:rsidR="004C652B">
        <w:rPr>
          <w:lang w:val="en-ZA"/>
        </w:rPr>
        <w:t>p</w:t>
      </w:r>
      <w:r>
        <w:rPr>
          <w:lang w:val="en-ZA"/>
        </w:rPr>
        <w:t>ara 27.</w:t>
      </w:r>
    </w:p>
  </w:footnote>
  <w:footnote w:id="55">
    <w:p w14:paraId="0DC3BF0B" w14:textId="4F42EA66" w:rsidR="004C652B" w:rsidRPr="004C652B" w:rsidRDefault="004C652B">
      <w:pPr>
        <w:pStyle w:val="FootnoteText"/>
        <w:rPr>
          <w:lang w:val="en-ZA"/>
        </w:rPr>
      </w:pPr>
      <w:r>
        <w:rPr>
          <w:rStyle w:val="FootnoteReference"/>
        </w:rPr>
        <w:footnoteRef/>
      </w:r>
      <w:r>
        <w:t xml:space="preserve"> </w:t>
      </w:r>
      <w:r w:rsidR="00EA4057" w:rsidRPr="00EA4057">
        <w:rPr>
          <w:i/>
          <w:iCs/>
        </w:rPr>
        <w:t>Supra</w:t>
      </w:r>
      <w:r w:rsidR="00EA4057">
        <w:t xml:space="preserve">, </w:t>
      </w:r>
      <w:r w:rsidR="00EA4057">
        <w:rPr>
          <w:lang w:val="en-ZA"/>
        </w:rPr>
        <w:t>para</w:t>
      </w:r>
      <w:r w:rsidR="00DF1049">
        <w:rPr>
          <w:lang w:val="en-ZA"/>
        </w:rPr>
        <w:t xml:space="preserve"> 36.</w:t>
      </w:r>
    </w:p>
  </w:footnote>
  <w:footnote w:id="56">
    <w:p w14:paraId="0C377E5F" w14:textId="2FC480AA" w:rsidR="00FC1103" w:rsidRPr="00FC1103" w:rsidRDefault="00FC1103">
      <w:pPr>
        <w:pStyle w:val="FootnoteText"/>
        <w:rPr>
          <w:lang w:val="en-ZA"/>
        </w:rPr>
      </w:pPr>
      <w:r>
        <w:rPr>
          <w:rStyle w:val="FootnoteReference"/>
        </w:rPr>
        <w:footnoteRef/>
      </w:r>
      <w:r>
        <w:t xml:space="preserve"> </w:t>
      </w:r>
      <w:r>
        <w:rPr>
          <w:lang w:val="en-ZA"/>
        </w:rPr>
        <w:t>Note</w:t>
      </w:r>
      <w:r w:rsidR="00DF1049">
        <w:rPr>
          <w:lang w:val="en-ZA"/>
        </w:rPr>
        <w:t xml:space="preserve"> 27, para 22</w:t>
      </w:r>
      <w:r>
        <w:rPr>
          <w:lang w:val="en-ZA"/>
        </w:rPr>
        <w:t>.</w:t>
      </w:r>
    </w:p>
  </w:footnote>
  <w:footnote w:id="57">
    <w:p w14:paraId="04778144" w14:textId="42A367D0" w:rsidR="009517F1" w:rsidRDefault="009517F1">
      <w:pPr>
        <w:pStyle w:val="FootnoteText"/>
      </w:pPr>
      <w:r>
        <w:rPr>
          <w:rStyle w:val="FootnoteReference"/>
        </w:rPr>
        <w:footnoteRef/>
      </w:r>
      <w:r>
        <w:t xml:space="preserve"> </w:t>
      </w:r>
      <w:r w:rsidRPr="00102743">
        <w:rPr>
          <w:i/>
          <w:iCs/>
        </w:rPr>
        <w:t xml:space="preserve">Friedman and others NNO v Commissioner for Inland Revenue: </w:t>
      </w:r>
      <w:r w:rsidR="00102743" w:rsidRPr="00102743">
        <w:rPr>
          <w:i/>
          <w:iCs/>
        </w:rPr>
        <w:t>I</w:t>
      </w:r>
      <w:r w:rsidRPr="00102743">
        <w:rPr>
          <w:i/>
          <w:iCs/>
        </w:rPr>
        <w:t xml:space="preserve">n </w:t>
      </w:r>
      <w:r w:rsidR="00102743" w:rsidRPr="00102743">
        <w:rPr>
          <w:i/>
          <w:iCs/>
        </w:rPr>
        <w:t>re</w:t>
      </w:r>
      <w:r w:rsidRPr="00102743">
        <w:rPr>
          <w:i/>
          <w:iCs/>
        </w:rPr>
        <w:t xml:space="preserve">: Philip </w:t>
      </w:r>
      <w:r w:rsidR="00102743" w:rsidRPr="00102743">
        <w:rPr>
          <w:i/>
          <w:iCs/>
        </w:rPr>
        <w:t>F</w:t>
      </w:r>
      <w:r w:rsidRPr="00102743">
        <w:rPr>
          <w:i/>
          <w:iCs/>
        </w:rPr>
        <w:t xml:space="preserve">rame </w:t>
      </w:r>
      <w:r w:rsidR="00102743" w:rsidRPr="00102743">
        <w:rPr>
          <w:i/>
          <w:iCs/>
        </w:rPr>
        <w:t>W</w:t>
      </w:r>
      <w:r w:rsidRPr="00102743">
        <w:rPr>
          <w:i/>
          <w:iCs/>
        </w:rPr>
        <w:t xml:space="preserve">ill </w:t>
      </w:r>
      <w:r w:rsidR="00102743" w:rsidRPr="00102743">
        <w:rPr>
          <w:i/>
          <w:iCs/>
        </w:rPr>
        <w:t>T</w:t>
      </w:r>
      <w:r w:rsidRPr="00102743">
        <w:rPr>
          <w:i/>
          <w:iCs/>
        </w:rPr>
        <w:t>rust v Commissioner for Inland Revenue</w:t>
      </w:r>
      <w:r>
        <w:t xml:space="preserve"> 1991 (2) SA 340 (W) 341I-J</w:t>
      </w:r>
      <w:r w:rsidR="00102743">
        <w:t>.</w:t>
      </w:r>
      <w:r>
        <w:t xml:space="preserve"> </w:t>
      </w:r>
    </w:p>
  </w:footnote>
  <w:footnote w:id="58">
    <w:p w14:paraId="7D8538A7" w14:textId="6BFF19B4" w:rsidR="007913BE" w:rsidRPr="007913BE" w:rsidRDefault="007913BE">
      <w:pPr>
        <w:pStyle w:val="FootnoteText"/>
        <w:rPr>
          <w:lang w:val="en-ZA"/>
        </w:rPr>
      </w:pPr>
      <w:r>
        <w:rPr>
          <w:rStyle w:val="FootnoteReference"/>
        </w:rPr>
        <w:footnoteRef/>
      </w:r>
      <w:r>
        <w:t xml:space="preserve"> </w:t>
      </w:r>
      <w:r>
        <w:rPr>
          <w:lang w:val="en-ZA"/>
        </w:rPr>
        <w:t>In terms of s 80A of the Income Tax Act.</w:t>
      </w:r>
    </w:p>
  </w:footnote>
  <w:footnote w:id="59">
    <w:p w14:paraId="460F1F6F" w14:textId="7508D1E7" w:rsidR="0098791B" w:rsidRPr="0098791B" w:rsidRDefault="0098791B">
      <w:pPr>
        <w:pStyle w:val="FootnoteText"/>
        <w:rPr>
          <w:lang w:val="en-ZA"/>
        </w:rPr>
      </w:pPr>
      <w:r>
        <w:rPr>
          <w:rStyle w:val="FootnoteReference"/>
        </w:rPr>
        <w:footnoteRef/>
      </w:r>
      <w:r>
        <w:t xml:space="preserve"> </w:t>
      </w:r>
      <w:r>
        <w:rPr>
          <w:lang w:val="en-ZA"/>
        </w:rPr>
        <w:t>Section 80L.</w:t>
      </w:r>
    </w:p>
  </w:footnote>
  <w:footnote w:id="60">
    <w:p w14:paraId="5F3A53AA" w14:textId="71411573" w:rsidR="00D0522D" w:rsidRPr="00D0522D" w:rsidRDefault="00D0522D">
      <w:pPr>
        <w:pStyle w:val="FootnoteText"/>
        <w:rPr>
          <w:lang w:val="en-ZA"/>
        </w:rPr>
      </w:pPr>
      <w:r>
        <w:rPr>
          <w:rStyle w:val="FootnoteReference"/>
        </w:rPr>
        <w:footnoteRef/>
      </w:r>
      <w:r>
        <w:t xml:space="preserve"> In s </w:t>
      </w:r>
      <w:r>
        <w:rPr>
          <w:lang w:val="en-ZA"/>
        </w:rPr>
        <w:t>80F.</w:t>
      </w:r>
    </w:p>
  </w:footnote>
  <w:footnote w:id="61">
    <w:p w14:paraId="312CFC01" w14:textId="7629750C" w:rsidR="00D0522D" w:rsidRPr="00D0522D" w:rsidRDefault="00D0522D">
      <w:pPr>
        <w:pStyle w:val="FootnoteText"/>
        <w:rPr>
          <w:lang w:val="en-ZA"/>
        </w:rPr>
      </w:pPr>
      <w:r>
        <w:rPr>
          <w:rStyle w:val="FootnoteReference"/>
        </w:rPr>
        <w:footnoteRef/>
      </w:r>
      <w:r>
        <w:t xml:space="preserve"> </w:t>
      </w:r>
      <w:r>
        <w:rPr>
          <w:lang w:val="en-ZA"/>
        </w:rPr>
        <w:t>As defined in s 80E.</w:t>
      </w:r>
    </w:p>
  </w:footnote>
  <w:footnote w:id="62">
    <w:p w14:paraId="6A96F187" w14:textId="77777777" w:rsidR="003A6669" w:rsidRDefault="003A6669" w:rsidP="003A6669">
      <w:pPr>
        <w:pStyle w:val="FootnoteText"/>
      </w:pPr>
      <w:r>
        <w:rPr>
          <w:rStyle w:val="FootnoteReference"/>
        </w:rPr>
        <w:footnoteRef/>
      </w:r>
      <w:r>
        <w:t xml:space="preserve"> Para 44 of his affidavit.</w:t>
      </w:r>
    </w:p>
  </w:footnote>
  <w:footnote w:id="63">
    <w:p w14:paraId="4F89F91C" w14:textId="37DA5038" w:rsidR="00232F26" w:rsidRPr="00232F26" w:rsidRDefault="00232F26">
      <w:pPr>
        <w:pStyle w:val="FootnoteText"/>
        <w:rPr>
          <w:lang w:val="en-ZA"/>
        </w:rPr>
      </w:pPr>
      <w:r>
        <w:rPr>
          <w:rStyle w:val="FootnoteReference"/>
        </w:rPr>
        <w:footnoteRef/>
      </w:r>
      <w:r>
        <w:t xml:space="preserve"> </w:t>
      </w:r>
      <w:r>
        <w:rPr>
          <w:lang w:val="en-ZA"/>
        </w:rPr>
        <w:t>In s 80</w:t>
      </w:r>
      <w:r w:rsidR="00A95220">
        <w:rPr>
          <w:lang w:val="en-ZA"/>
        </w:rPr>
        <w:t>G (</w:t>
      </w:r>
      <w:r>
        <w:rPr>
          <w:lang w:val="en-ZA"/>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45144"/>
      <w:docPartObj>
        <w:docPartGallery w:val="Page Numbers (Top of Page)"/>
        <w:docPartUnique/>
      </w:docPartObj>
    </w:sdtPr>
    <w:sdtEndPr>
      <w:rPr>
        <w:noProof/>
      </w:rPr>
    </w:sdtEndPr>
    <w:sdtContent>
      <w:p w14:paraId="155B59E9" w14:textId="665C7F55" w:rsidR="00BC3103" w:rsidRDefault="00BC3103">
        <w:pPr>
          <w:pStyle w:val="Header"/>
          <w:jc w:val="right"/>
        </w:pPr>
        <w:r>
          <w:fldChar w:fldCharType="begin"/>
        </w:r>
        <w:r>
          <w:instrText xml:space="preserve"> PAGE   \* MERGEFORMAT </w:instrText>
        </w:r>
        <w:r>
          <w:fldChar w:fldCharType="separate"/>
        </w:r>
        <w:r w:rsidR="003D3D1A">
          <w:rPr>
            <w:noProof/>
          </w:rPr>
          <w:t>30</w:t>
        </w:r>
        <w:r>
          <w:rPr>
            <w:noProof/>
          </w:rPr>
          <w:fldChar w:fldCharType="end"/>
        </w:r>
      </w:p>
    </w:sdtContent>
  </w:sdt>
  <w:p w14:paraId="6C3A2FF9" w14:textId="77777777" w:rsidR="00BC3103" w:rsidRDefault="00BC3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3181"/>
    <w:multiLevelType w:val="hybridMultilevel"/>
    <w:tmpl w:val="7FF2E16E"/>
    <w:lvl w:ilvl="0" w:tplc="773229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1E3E50"/>
    <w:multiLevelType w:val="multilevel"/>
    <w:tmpl w:val="3B8A8D64"/>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732473E1"/>
    <w:multiLevelType w:val="multilevel"/>
    <w:tmpl w:val="97E46F7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1B60A0-D27B-49B1-BF78-6782E1CF65CB}"/>
    <w:docVar w:name="dgnword-eventsink" w:val="540308848"/>
  </w:docVars>
  <w:rsids>
    <w:rsidRoot w:val="00B66A3A"/>
    <w:rsid w:val="000152AB"/>
    <w:rsid w:val="000361E5"/>
    <w:rsid w:val="0004046C"/>
    <w:rsid w:val="00041099"/>
    <w:rsid w:val="00051A9E"/>
    <w:rsid w:val="000548E0"/>
    <w:rsid w:val="000560CC"/>
    <w:rsid w:val="00073666"/>
    <w:rsid w:val="00084A6E"/>
    <w:rsid w:val="00096FAA"/>
    <w:rsid w:val="00097ED0"/>
    <w:rsid w:val="000B317F"/>
    <w:rsid w:val="000D379E"/>
    <w:rsid w:val="000D6B9D"/>
    <w:rsid w:val="000D7072"/>
    <w:rsid w:val="000F4EA0"/>
    <w:rsid w:val="00101C7C"/>
    <w:rsid w:val="00101D86"/>
    <w:rsid w:val="00102743"/>
    <w:rsid w:val="00103902"/>
    <w:rsid w:val="00120C9B"/>
    <w:rsid w:val="00124A2D"/>
    <w:rsid w:val="00131555"/>
    <w:rsid w:val="00142B37"/>
    <w:rsid w:val="00145662"/>
    <w:rsid w:val="00147B2B"/>
    <w:rsid w:val="00152173"/>
    <w:rsid w:val="00154140"/>
    <w:rsid w:val="001548CB"/>
    <w:rsid w:val="00155717"/>
    <w:rsid w:val="00156C95"/>
    <w:rsid w:val="00163870"/>
    <w:rsid w:val="001644CA"/>
    <w:rsid w:val="00164EB7"/>
    <w:rsid w:val="00164EC2"/>
    <w:rsid w:val="00184BB3"/>
    <w:rsid w:val="00195AD8"/>
    <w:rsid w:val="001A39A8"/>
    <w:rsid w:val="001A4476"/>
    <w:rsid w:val="001A5D26"/>
    <w:rsid w:val="001B0819"/>
    <w:rsid w:val="001B628C"/>
    <w:rsid w:val="001C089D"/>
    <w:rsid w:val="001C2B31"/>
    <w:rsid w:val="001C49A7"/>
    <w:rsid w:val="001D1D9C"/>
    <w:rsid w:val="001D602B"/>
    <w:rsid w:val="001D72D2"/>
    <w:rsid w:val="001D7464"/>
    <w:rsid w:val="001E0CEA"/>
    <w:rsid w:val="001E1C87"/>
    <w:rsid w:val="001E51D7"/>
    <w:rsid w:val="001F379E"/>
    <w:rsid w:val="001F5261"/>
    <w:rsid w:val="00200873"/>
    <w:rsid w:val="00201617"/>
    <w:rsid w:val="002067EB"/>
    <w:rsid w:val="00216F21"/>
    <w:rsid w:val="00220D3E"/>
    <w:rsid w:val="0022120B"/>
    <w:rsid w:val="002228CB"/>
    <w:rsid w:val="00225DA9"/>
    <w:rsid w:val="00226F09"/>
    <w:rsid w:val="00232F26"/>
    <w:rsid w:val="00233CE9"/>
    <w:rsid w:val="0023596F"/>
    <w:rsid w:val="00235D95"/>
    <w:rsid w:val="00237832"/>
    <w:rsid w:val="00251FF8"/>
    <w:rsid w:val="00252A3D"/>
    <w:rsid w:val="00256EBA"/>
    <w:rsid w:val="002638B4"/>
    <w:rsid w:val="00264185"/>
    <w:rsid w:val="00265F16"/>
    <w:rsid w:val="00271698"/>
    <w:rsid w:val="002724A5"/>
    <w:rsid w:val="0027612F"/>
    <w:rsid w:val="002840A0"/>
    <w:rsid w:val="00297D60"/>
    <w:rsid w:val="002A10E0"/>
    <w:rsid w:val="002A5895"/>
    <w:rsid w:val="002C208A"/>
    <w:rsid w:val="002C3B8C"/>
    <w:rsid w:val="002C7368"/>
    <w:rsid w:val="002D12BC"/>
    <w:rsid w:val="002D2BBA"/>
    <w:rsid w:val="002D330D"/>
    <w:rsid w:val="002D76BD"/>
    <w:rsid w:val="002E6E73"/>
    <w:rsid w:val="00303872"/>
    <w:rsid w:val="0030492D"/>
    <w:rsid w:val="00306DE0"/>
    <w:rsid w:val="003119AA"/>
    <w:rsid w:val="00311A7F"/>
    <w:rsid w:val="00312E75"/>
    <w:rsid w:val="00327D4F"/>
    <w:rsid w:val="00327EF5"/>
    <w:rsid w:val="003341ED"/>
    <w:rsid w:val="00335D6E"/>
    <w:rsid w:val="00337477"/>
    <w:rsid w:val="00343EC6"/>
    <w:rsid w:val="00347573"/>
    <w:rsid w:val="00360497"/>
    <w:rsid w:val="003715DD"/>
    <w:rsid w:val="0037364A"/>
    <w:rsid w:val="00382BA5"/>
    <w:rsid w:val="00383242"/>
    <w:rsid w:val="00385D6B"/>
    <w:rsid w:val="003A20C7"/>
    <w:rsid w:val="003A6669"/>
    <w:rsid w:val="003B32D4"/>
    <w:rsid w:val="003B69B2"/>
    <w:rsid w:val="003C7A53"/>
    <w:rsid w:val="003D3C74"/>
    <w:rsid w:val="003D3D1A"/>
    <w:rsid w:val="003E5D5C"/>
    <w:rsid w:val="003E6FF9"/>
    <w:rsid w:val="003F63D7"/>
    <w:rsid w:val="004001F9"/>
    <w:rsid w:val="00400916"/>
    <w:rsid w:val="004105E5"/>
    <w:rsid w:val="004266F6"/>
    <w:rsid w:val="00437A72"/>
    <w:rsid w:val="00437BB3"/>
    <w:rsid w:val="0044458A"/>
    <w:rsid w:val="00445799"/>
    <w:rsid w:val="00450FD7"/>
    <w:rsid w:val="00451AC7"/>
    <w:rsid w:val="00463E8B"/>
    <w:rsid w:val="004640E6"/>
    <w:rsid w:val="00471208"/>
    <w:rsid w:val="00474FDF"/>
    <w:rsid w:val="00482B7C"/>
    <w:rsid w:val="00485266"/>
    <w:rsid w:val="004A0948"/>
    <w:rsid w:val="004A2BEB"/>
    <w:rsid w:val="004A79F3"/>
    <w:rsid w:val="004B1BDB"/>
    <w:rsid w:val="004C28D2"/>
    <w:rsid w:val="004C652B"/>
    <w:rsid w:val="004D112F"/>
    <w:rsid w:val="004D2262"/>
    <w:rsid w:val="004D44B6"/>
    <w:rsid w:val="004D47AB"/>
    <w:rsid w:val="004E6138"/>
    <w:rsid w:val="004F6D93"/>
    <w:rsid w:val="004F74B4"/>
    <w:rsid w:val="005028A9"/>
    <w:rsid w:val="005102FF"/>
    <w:rsid w:val="00521A2B"/>
    <w:rsid w:val="00522ACF"/>
    <w:rsid w:val="00532E88"/>
    <w:rsid w:val="005509A4"/>
    <w:rsid w:val="00555A11"/>
    <w:rsid w:val="00557AF1"/>
    <w:rsid w:val="00563A80"/>
    <w:rsid w:val="00570022"/>
    <w:rsid w:val="0057184F"/>
    <w:rsid w:val="0057245B"/>
    <w:rsid w:val="00580A1E"/>
    <w:rsid w:val="00590F7D"/>
    <w:rsid w:val="00594D70"/>
    <w:rsid w:val="005962E7"/>
    <w:rsid w:val="00596894"/>
    <w:rsid w:val="005A4000"/>
    <w:rsid w:val="005B7077"/>
    <w:rsid w:val="005B7ACD"/>
    <w:rsid w:val="005C4410"/>
    <w:rsid w:val="005C7DDA"/>
    <w:rsid w:val="005D1E51"/>
    <w:rsid w:val="005D7451"/>
    <w:rsid w:val="005E0743"/>
    <w:rsid w:val="005E2FA1"/>
    <w:rsid w:val="006031F1"/>
    <w:rsid w:val="00610F4B"/>
    <w:rsid w:val="00613719"/>
    <w:rsid w:val="006151AA"/>
    <w:rsid w:val="00615375"/>
    <w:rsid w:val="00615A72"/>
    <w:rsid w:val="00642D80"/>
    <w:rsid w:val="0064332A"/>
    <w:rsid w:val="00647042"/>
    <w:rsid w:val="00655C3D"/>
    <w:rsid w:val="00661521"/>
    <w:rsid w:val="00673306"/>
    <w:rsid w:val="00695DC5"/>
    <w:rsid w:val="006A0D61"/>
    <w:rsid w:val="006A2CC2"/>
    <w:rsid w:val="006A50AC"/>
    <w:rsid w:val="006A7801"/>
    <w:rsid w:val="006B0ABD"/>
    <w:rsid w:val="006B1FE2"/>
    <w:rsid w:val="006B3718"/>
    <w:rsid w:val="006B37DE"/>
    <w:rsid w:val="006B6B61"/>
    <w:rsid w:val="006E2C01"/>
    <w:rsid w:val="006E482E"/>
    <w:rsid w:val="00701A95"/>
    <w:rsid w:val="00701EA3"/>
    <w:rsid w:val="007049F3"/>
    <w:rsid w:val="00706CC9"/>
    <w:rsid w:val="00710F1F"/>
    <w:rsid w:val="00711F9D"/>
    <w:rsid w:val="00715F00"/>
    <w:rsid w:val="00717800"/>
    <w:rsid w:val="007320E8"/>
    <w:rsid w:val="007349DF"/>
    <w:rsid w:val="0075340B"/>
    <w:rsid w:val="00755DCF"/>
    <w:rsid w:val="007604F0"/>
    <w:rsid w:val="007606E2"/>
    <w:rsid w:val="0076249C"/>
    <w:rsid w:val="00770BED"/>
    <w:rsid w:val="007747D4"/>
    <w:rsid w:val="00782ED1"/>
    <w:rsid w:val="007831B5"/>
    <w:rsid w:val="007836F8"/>
    <w:rsid w:val="0078422D"/>
    <w:rsid w:val="007913BE"/>
    <w:rsid w:val="007948A7"/>
    <w:rsid w:val="00795C2D"/>
    <w:rsid w:val="00795C5B"/>
    <w:rsid w:val="007975DD"/>
    <w:rsid w:val="007A53EB"/>
    <w:rsid w:val="007B6495"/>
    <w:rsid w:val="007C3128"/>
    <w:rsid w:val="007C5F68"/>
    <w:rsid w:val="007C6207"/>
    <w:rsid w:val="007D1A08"/>
    <w:rsid w:val="007D702E"/>
    <w:rsid w:val="007D7C1B"/>
    <w:rsid w:val="007D7EF8"/>
    <w:rsid w:val="007E146C"/>
    <w:rsid w:val="007E28C6"/>
    <w:rsid w:val="007E7125"/>
    <w:rsid w:val="007F05E9"/>
    <w:rsid w:val="00800A7D"/>
    <w:rsid w:val="0080658B"/>
    <w:rsid w:val="0081412F"/>
    <w:rsid w:val="00814657"/>
    <w:rsid w:val="008160D5"/>
    <w:rsid w:val="00830E43"/>
    <w:rsid w:val="00837842"/>
    <w:rsid w:val="00841CE4"/>
    <w:rsid w:val="008513BB"/>
    <w:rsid w:val="0085544F"/>
    <w:rsid w:val="008563F9"/>
    <w:rsid w:val="00856B80"/>
    <w:rsid w:val="008575A2"/>
    <w:rsid w:val="00857F2D"/>
    <w:rsid w:val="0086028C"/>
    <w:rsid w:val="00864BB2"/>
    <w:rsid w:val="00866CD0"/>
    <w:rsid w:val="00874CF5"/>
    <w:rsid w:val="00875300"/>
    <w:rsid w:val="008875D6"/>
    <w:rsid w:val="00894421"/>
    <w:rsid w:val="00894463"/>
    <w:rsid w:val="00896108"/>
    <w:rsid w:val="0089617F"/>
    <w:rsid w:val="008B086C"/>
    <w:rsid w:val="008B09B2"/>
    <w:rsid w:val="008B1DFB"/>
    <w:rsid w:val="008B2518"/>
    <w:rsid w:val="008B3DDA"/>
    <w:rsid w:val="008B792F"/>
    <w:rsid w:val="008B7C8B"/>
    <w:rsid w:val="008C5C59"/>
    <w:rsid w:val="008C71A5"/>
    <w:rsid w:val="008D0F32"/>
    <w:rsid w:val="008D5735"/>
    <w:rsid w:val="008D5A83"/>
    <w:rsid w:val="008D7B83"/>
    <w:rsid w:val="008E3606"/>
    <w:rsid w:val="008E3D71"/>
    <w:rsid w:val="008E53F6"/>
    <w:rsid w:val="008F15E9"/>
    <w:rsid w:val="008F5A78"/>
    <w:rsid w:val="00912CC0"/>
    <w:rsid w:val="009134BF"/>
    <w:rsid w:val="00913C24"/>
    <w:rsid w:val="00914B2C"/>
    <w:rsid w:val="00917361"/>
    <w:rsid w:val="009241C3"/>
    <w:rsid w:val="00930224"/>
    <w:rsid w:val="00930D5A"/>
    <w:rsid w:val="00934545"/>
    <w:rsid w:val="0094730A"/>
    <w:rsid w:val="009517F1"/>
    <w:rsid w:val="009522C8"/>
    <w:rsid w:val="009549AC"/>
    <w:rsid w:val="009574C9"/>
    <w:rsid w:val="009606EE"/>
    <w:rsid w:val="009707F0"/>
    <w:rsid w:val="00972E3F"/>
    <w:rsid w:val="0097708B"/>
    <w:rsid w:val="00983819"/>
    <w:rsid w:val="00983968"/>
    <w:rsid w:val="0098791B"/>
    <w:rsid w:val="009928A5"/>
    <w:rsid w:val="00995150"/>
    <w:rsid w:val="0099636E"/>
    <w:rsid w:val="00996FD3"/>
    <w:rsid w:val="009A129D"/>
    <w:rsid w:val="009D13CD"/>
    <w:rsid w:val="009D1E7C"/>
    <w:rsid w:val="009D6661"/>
    <w:rsid w:val="009D6DA4"/>
    <w:rsid w:val="009E0EA1"/>
    <w:rsid w:val="009E0ECA"/>
    <w:rsid w:val="009E16C3"/>
    <w:rsid w:val="009F6FB8"/>
    <w:rsid w:val="009F760C"/>
    <w:rsid w:val="009F7C22"/>
    <w:rsid w:val="00A003A5"/>
    <w:rsid w:val="00A0402F"/>
    <w:rsid w:val="00A0626B"/>
    <w:rsid w:val="00A13143"/>
    <w:rsid w:val="00A134CF"/>
    <w:rsid w:val="00A13ACC"/>
    <w:rsid w:val="00A24AAA"/>
    <w:rsid w:val="00A268DD"/>
    <w:rsid w:val="00A3278A"/>
    <w:rsid w:val="00A358AA"/>
    <w:rsid w:val="00A373B9"/>
    <w:rsid w:val="00A421EF"/>
    <w:rsid w:val="00A42DD8"/>
    <w:rsid w:val="00A43571"/>
    <w:rsid w:val="00A4486D"/>
    <w:rsid w:val="00A56CAE"/>
    <w:rsid w:val="00A6290E"/>
    <w:rsid w:val="00A65AB2"/>
    <w:rsid w:val="00A660CE"/>
    <w:rsid w:val="00A83C9B"/>
    <w:rsid w:val="00A87768"/>
    <w:rsid w:val="00A9499B"/>
    <w:rsid w:val="00A94A7D"/>
    <w:rsid w:val="00A95220"/>
    <w:rsid w:val="00AA086F"/>
    <w:rsid w:val="00AA3B6B"/>
    <w:rsid w:val="00AA4239"/>
    <w:rsid w:val="00AA5B3F"/>
    <w:rsid w:val="00AB066A"/>
    <w:rsid w:val="00AB71BA"/>
    <w:rsid w:val="00AD0D0F"/>
    <w:rsid w:val="00AD34B7"/>
    <w:rsid w:val="00AD5B3C"/>
    <w:rsid w:val="00AE6320"/>
    <w:rsid w:val="00B0774D"/>
    <w:rsid w:val="00B10DF6"/>
    <w:rsid w:val="00B1443B"/>
    <w:rsid w:val="00B1457F"/>
    <w:rsid w:val="00B20F9E"/>
    <w:rsid w:val="00B21F20"/>
    <w:rsid w:val="00B23349"/>
    <w:rsid w:val="00B255A4"/>
    <w:rsid w:val="00B2586D"/>
    <w:rsid w:val="00B27E01"/>
    <w:rsid w:val="00B343F6"/>
    <w:rsid w:val="00B366F8"/>
    <w:rsid w:val="00B36988"/>
    <w:rsid w:val="00B45745"/>
    <w:rsid w:val="00B50E47"/>
    <w:rsid w:val="00B53CA4"/>
    <w:rsid w:val="00B53E4C"/>
    <w:rsid w:val="00B627B8"/>
    <w:rsid w:val="00B66A3A"/>
    <w:rsid w:val="00B73E33"/>
    <w:rsid w:val="00B7602C"/>
    <w:rsid w:val="00B771A1"/>
    <w:rsid w:val="00B77FBC"/>
    <w:rsid w:val="00B9223F"/>
    <w:rsid w:val="00B9666C"/>
    <w:rsid w:val="00B96953"/>
    <w:rsid w:val="00BA030D"/>
    <w:rsid w:val="00BA2682"/>
    <w:rsid w:val="00BA4DA5"/>
    <w:rsid w:val="00BB6A43"/>
    <w:rsid w:val="00BB6F5A"/>
    <w:rsid w:val="00BB78E5"/>
    <w:rsid w:val="00BC0C04"/>
    <w:rsid w:val="00BC174A"/>
    <w:rsid w:val="00BC3103"/>
    <w:rsid w:val="00BD491F"/>
    <w:rsid w:val="00BD4F5D"/>
    <w:rsid w:val="00BE1E14"/>
    <w:rsid w:val="00BE5004"/>
    <w:rsid w:val="00BE6E32"/>
    <w:rsid w:val="00BF1110"/>
    <w:rsid w:val="00BF258A"/>
    <w:rsid w:val="00C00FE8"/>
    <w:rsid w:val="00C04177"/>
    <w:rsid w:val="00C15338"/>
    <w:rsid w:val="00C16DA5"/>
    <w:rsid w:val="00C20ED9"/>
    <w:rsid w:val="00C227FD"/>
    <w:rsid w:val="00C33753"/>
    <w:rsid w:val="00C446B5"/>
    <w:rsid w:val="00C4582D"/>
    <w:rsid w:val="00C50DF8"/>
    <w:rsid w:val="00C51642"/>
    <w:rsid w:val="00C54095"/>
    <w:rsid w:val="00C55C9A"/>
    <w:rsid w:val="00C73E10"/>
    <w:rsid w:val="00C8427E"/>
    <w:rsid w:val="00C9201E"/>
    <w:rsid w:val="00C92555"/>
    <w:rsid w:val="00C92620"/>
    <w:rsid w:val="00CA0964"/>
    <w:rsid w:val="00CA13DF"/>
    <w:rsid w:val="00CA2FAE"/>
    <w:rsid w:val="00CA33F1"/>
    <w:rsid w:val="00CB32E1"/>
    <w:rsid w:val="00CB33CD"/>
    <w:rsid w:val="00CB75BB"/>
    <w:rsid w:val="00CC0243"/>
    <w:rsid w:val="00CC69CF"/>
    <w:rsid w:val="00CD07A1"/>
    <w:rsid w:val="00CE21DF"/>
    <w:rsid w:val="00CF3F5B"/>
    <w:rsid w:val="00CF76DB"/>
    <w:rsid w:val="00D0233C"/>
    <w:rsid w:val="00D036A5"/>
    <w:rsid w:val="00D03F2B"/>
    <w:rsid w:val="00D0522D"/>
    <w:rsid w:val="00D43EF6"/>
    <w:rsid w:val="00D45C21"/>
    <w:rsid w:val="00D467CC"/>
    <w:rsid w:val="00D46E12"/>
    <w:rsid w:val="00D52219"/>
    <w:rsid w:val="00D533D8"/>
    <w:rsid w:val="00D572B9"/>
    <w:rsid w:val="00D60CD7"/>
    <w:rsid w:val="00D61F2A"/>
    <w:rsid w:val="00D66D61"/>
    <w:rsid w:val="00D73698"/>
    <w:rsid w:val="00D75E88"/>
    <w:rsid w:val="00D81640"/>
    <w:rsid w:val="00D840BA"/>
    <w:rsid w:val="00D906E0"/>
    <w:rsid w:val="00D91528"/>
    <w:rsid w:val="00D92EBF"/>
    <w:rsid w:val="00DA2BBF"/>
    <w:rsid w:val="00DA32B4"/>
    <w:rsid w:val="00DB1366"/>
    <w:rsid w:val="00DB4ADB"/>
    <w:rsid w:val="00DB6D1B"/>
    <w:rsid w:val="00DC1873"/>
    <w:rsid w:val="00DC3517"/>
    <w:rsid w:val="00DC6965"/>
    <w:rsid w:val="00DE24CC"/>
    <w:rsid w:val="00DF0498"/>
    <w:rsid w:val="00DF1049"/>
    <w:rsid w:val="00DF19CE"/>
    <w:rsid w:val="00DF1AFD"/>
    <w:rsid w:val="00E014A4"/>
    <w:rsid w:val="00E07F25"/>
    <w:rsid w:val="00E14D76"/>
    <w:rsid w:val="00E15581"/>
    <w:rsid w:val="00E22FF3"/>
    <w:rsid w:val="00E2614D"/>
    <w:rsid w:val="00E306AC"/>
    <w:rsid w:val="00E3265E"/>
    <w:rsid w:val="00E3316F"/>
    <w:rsid w:val="00E44B9E"/>
    <w:rsid w:val="00E518A0"/>
    <w:rsid w:val="00E64078"/>
    <w:rsid w:val="00E701B6"/>
    <w:rsid w:val="00E75D2F"/>
    <w:rsid w:val="00E77237"/>
    <w:rsid w:val="00E77BD1"/>
    <w:rsid w:val="00E84F31"/>
    <w:rsid w:val="00E860DF"/>
    <w:rsid w:val="00E94AB2"/>
    <w:rsid w:val="00E94B18"/>
    <w:rsid w:val="00E951B1"/>
    <w:rsid w:val="00EA0221"/>
    <w:rsid w:val="00EA2BB1"/>
    <w:rsid w:val="00EA2FD3"/>
    <w:rsid w:val="00EA4057"/>
    <w:rsid w:val="00EA62B9"/>
    <w:rsid w:val="00EA7A4C"/>
    <w:rsid w:val="00EB2012"/>
    <w:rsid w:val="00EB7A0F"/>
    <w:rsid w:val="00EC06C3"/>
    <w:rsid w:val="00ED7DF2"/>
    <w:rsid w:val="00EE0054"/>
    <w:rsid w:val="00F01E9B"/>
    <w:rsid w:val="00F10330"/>
    <w:rsid w:val="00F10868"/>
    <w:rsid w:val="00F11190"/>
    <w:rsid w:val="00F13B7B"/>
    <w:rsid w:val="00F203BB"/>
    <w:rsid w:val="00F24E33"/>
    <w:rsid w:val="00F3050F"/>
    <w:rsid w:val="00F31721"/>
    <w:rsid w:val="00F338FF"/>
    <w:rsid w:val="00F339B6"/>
    <w:rsid w:val="00F36B94"/>
    <w:rsid w:val="00F37701"/>
    <w:rsid w:val="00F5431A"/>
    <w:rsid w:val="00F65B83"/>
    <w:rsid w:val="00F668AB"/>
    <w:rsid w:val="00F76855"/>
    <w:rsid w:val="00F82864"/>
    <w:rsid w:val="00F83B15"/>
    <w:rsid w:val="00F8645C"/>
    <w:rsid w:val="00F87BFB"/>
    <w:rsid w:val="00F90DB0"/>
    <w:rsid w:val="00F93708"/>
    <w:rsid w:val="00F94204"/>
    <w:rsid w:val="00F94EC5"/>
    <w:rsid w:val="00F96CBF"/>
    <w:rsid w:val="00FA56C6"/>
    <w:rsid w:val="00FA69EB"/>
    <w:rsid w:val="00FB3DDA"/>
    <w:rsid w:val="00FC1103"/>
    <w:rsid w:val="00FC2330"/>
    <w:rsid w:val="00FC3234"/>
    <w:rsid w:val="00FC370E"/>
    <w:rsid w:val="00FD02D5"/>
    <w:rsid w:val="00FD28BC"/>
    <w:rsid w:val="00FD57CD"/>
    <w:rsid w:val="00FD669B"/>
    <w:rsid w:val="00FE4642"/>
    <w:rsid w:val="00FF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589B"/>
  <w15:chartTrackingRefBased/>
  <w15:docId w15:val="{330F4CDA-1DBC-4A89-8EB8-416C5712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3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103"/>
    <w:rPr>
      <w:sz w:val="20"/>
      <w:szCs w:val="20"/>
    </w:rPr>
  </w:style>
  <w:style w:type="character" w:styleId="FootnoteReference">
    <w:name w:val="footnote reference"/>
    <w:basedOn w:val="DefaultParagraphFont"/>
    <w:uiPriority w:val="99"/>
    <w:semiHidden/>
    <w:unhideWhenUsed/>
    <w:rsid w:val="00BC3103"/>
    <w:rPr>
      <w:vertAlign w:val="superscript"/>
    </w:rPr>
  </w:style>
  <w:style w:type="paragraph" w:styleId="Header">
    <w:name w:val="header"/>
    <w:basedOn w:val="Normal"/>
    <w:link w:val="HeaderChar"/>
    <w:uiPriority w:val="99"/>
    <w:unhideWhenUsed/>
    <w:rsid w:val="00BC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103"/>
  </w:style>
  <w:style w:type="paragraph" w:styleId="Footer">
    <w:name w:val="footer"/>
    <w:basedOn w:val="Normal"/>
    <w:link w:val="FooterChar"/>
    <w:uiPriority w:val="99"/>
    <w:unhideWhenUsed/>
    <w:rsid w:val="00BC3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103"/>
  </w:style>
  <w:style w:type="paragraph" w:styleId="ListParagraph">
    <w:name w:val="List Paragraph"/>
    <w:basedOn w:val="Normal"/>
    <w:uiPriority w:val="34"/>
    <w:qFormat/>
    <w:rsid w:val="008F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9471</Words>
  <Characters>53989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Mokone</cp:lastModifiedBy>
  <cp:revision>3</cp:revision>
  <dcterms:created xsi:type="dcterms:W3CDTF">2023-08-18T14:36:00Z</dcterms:created>
  <dcterms:modified xsi:type="dcterms:W3CDTF">2023-08-18T14:37:00Z</dcterms:modified>
</cp:coreProperties>
</file>