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FF5" w:rsidRDefault="00C47FF5" w:rsidP="00C47FF5">
      <w:pPr>
        <w:jc w:val="center"/>
      </w:pPr>
      <w:bookmarkStart w:id="0" w:name="_GoBack"/>
      <w:bookmarkEnd w:id="0"/>
      <w:r>
        <w:rPr>
          <w:noProof/>
          <w:lang w:eastAsia="en-ZA"/>
        </w:rPr>
        <w:drawing>
          <wp:inline distT="0" distB="0" distL="0" distR="0" wp14:anchorId="1F101882" wp14:editId="4788EF78">
            <wp:extent cx="1094105" cy="1094105"/>
            <wp:effectExtent l="0" t="0" r="0" b="0"/>
            <wp:docPr id="635524925"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5524925" name="Picture 1" descr="A picture containing 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094105" cy="1094105"/>
                    </a:xfrm>
                    <a:prstGeom prst="rect">
                      <a:avLst/>
                    </a:prstGeom>
                  </pic:spPr>
                </pic:pic>
              </a:graphicData>
            </a:graphic>
          </wp:inline>
        </w:drawing>
      </w:r>
    </w:p>
    <w:p w:rsidR="00C47FF5" w:rsidRPr="0091122D" w:rsidRDefault="00C47FF5" w:rsidP="00C47FF5">
      <w:pPr>
        <w:spacing w:line="360" w:lineRule="auto"/>
        <w:ind w:left="545"/>
        <w:jc w:val="center"/>
        <w:rPr>
          <w:b/>
          <w:sz w:val="26"/>
          <w:szCs w:val="26"/>
        </w:rPr>
      </w:pPr>
      <w:r w:rsidRPr="0091122D">
        <w:rPr>
          <w:b/>
          <w:sz w:val="26"/>
          <w:szCs w:val="26"/>
        </w:rPr>
        <w:t>IN THE HIGH COURT OF SOUTH AFRICA</w:t>
      </w:r>
    </w:p>
    <w:p w:rsidR="00C47FF5" w:rsidRPr="0091122D" w:rsidRDefault="00C47FF5" w:rsidP="00C47FF5">
      <w:pPr>
        <w:tabs>
          <w:tab w:val="left" w:pos="2694"/>
        </w:tabs>
        <w:spacing w:line="360" w:lineRule="auto"/>
        <w:ind w:firstLine="545"/>
        <w:jc w:val="center"/>
        <w:rPr>
          <w:b/>
          <w:sz w:val="26"/>
          <w:szCs w:val="26"/>
        </w:rPr>
      </w:pPr>
      <w:r w:rsidRPr="0091122D">
        <w:rPr>
          <w:b/>
          <w:sz w:val="26"/>
          <w:szCs w:val="26"/>
        </w:rPr>
        <w:t>(WESTERN CAPE DIVISION, CAPE TOWN)</w:t>
      </w:r>
    </w:p>
    <w:p w:rsidR="00C47FF5" w:rsidRPr="0091122D" w:rsidRDefault="00C47FF5" w:rsidP="00C47FF5">
      <w:pPr>
        <w:tabs>
          <w:tab w:val="left" w:pos="2694"/>
        </w:tabs>
        <w:spacing w:line="276" w:lineRule="auto"/>
        <w:ind w:firstLine="545"/>
        <w:jc w:val="center"/>
        <w:rPr>
          <w:b/>
          <w:sz w:val="26"/>
          <w:szCs w:val="26"/>
        </w:rPr>
      </w:pPr>
    </w:p>
    <w:p w:rsidR="00C47FF5" w:rsidRPr="0091122D" w:rsidRDefault="00C47FF5" w:rsidP="00C47FF5">
      <w:pPr>
        <w:tabs>
          <w:tab w:val="left" w:pos="2694"/>
        </w:tabs>
        <w:ind w:firstLine="545"/>
        <w:jc w:val="right"/>
        <w:rPr>
          <w:b/>
          <w:sz w:val="26"/>
          <w:szCs w:val="26"/>
        </w:rPr>
      </w:pPr>
      <w:r>
        <w:rPr>
          <w:b/>
          <w:sz w:val="26"/>
          <w:szCs w:val="26"/>
        </w:rPr>
        <w:t>Case No.:</w:t>
      </w:r>
      <w:r w:rsidR="00D33483">
        <w:rPr>
          <w:b/>
          <w:sz w:val="26"/>
          <w:szCs w:val="26"/>
        </w:rPr>
        <w:t>A196</w:t>
      </w:r>
      <w:r w:rsidRPr="0091122D">
        <w:rPr>
          <w:b/>
          <w:sz w:val="26"/>
          <w:szCs w:val="26"/>
        </w:rPr>
        <w:t>/20</w:t>
      </w:r>
      <w:r w:rsidR="00D33483">
        <w:rPr>
          <w:b/>
          <w:sz w:val="26"/>
          <w:szCs w:val="26"/>
        </w:rPr>
        <w:t>22</w:t>
      </w:r>
    </w:p>
    <w:p w:rsidR="00C47FF5" w:rsidRPr="0091122D" w:rsidRDefault="00C47FF5" w:rsidP="00C47FF5">
      <w:pPr>
        <w:spacing w:line="360" w:lineRule="auto"/>
        <w:rPr>
          <w:sz w:val="26"/>
          <w:szCs w:val="26"/>
        </w:rPr>
      </w:pPr>
      <w:r w:rsidRPr="0091122D">
        <w:rPr>
          <w:sz w:val="26"/>
          <w:szCs w:val="26"/>
        </w:rPr>
        <w:t>In the matter between:</w:t>
      </w:r>
    </w:p>
    <w:p w:rsidR="00C47FF5" w:rsidRPr="0091122D" w:rsidRDefault="00C47FF5" w:rsidP="00C47FF5">
      <w:pPr>
        <w:spacing w:line="360" w:lineRule="auto"/>
        <w:rPr>
          <w:sz w:val="26"/>
          <w:szCs w:val="26"/>
        </w:rPr>
      </w:pPr>
    </w:p>
    <w:p w:rsidR="00C47FF5" w:rsidRPr="0091122D" w:rsidRDefault="00C47FF5" w:rsidP="00C47FF5">
      <w:pPr>
        <w:spacing w:line="360" w:lineRule="auto"/>
        <w:rPr>
          <w:sz w:val="26"/>
          <w:szCs w:val="26"/>
        </w:rPr>
      </w:pPr>
      <w:r w:rsidRPr="00C47FF5">
        <w:rPr>
          <w:b/>
          <w:sz w:val="26"/>
          <w:szCs w:val="26"/>
        </w:rPr>
        <w:t>VENIOSCOPE (PTY) LTD</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sidR="002336B1">
        <w:rPr>
          <w:sz w:val="26"/>
          <w:szCs w:val="26"/>
        </w:rPr>
        <w:t xml:space="preserve">     </w:t>
      </w:r>
      <w:r>
        <w:rPr>
          <w:sz w:val="26"/>
          <w:szCs w:val="26"/>
        </w:rPr>
        <w:t>App</w:t>
      </w:r>
      <w:r w:rsidR="002336B1">
        <w:rPr>
          <w:sz w:val="26"/>
          <w:szCs w:val="26"/>
        </w:rPr>
        <w:t>ellant</w:t>
      </w:r>
    </w:p>
    <w:p w:rsidR="00C47FF5" w:rsidRPr="0091122D" w:rsidRDefault="00C47FF5" w:rsidP="00C47FF5">
      <w:pPr>
        <w:spacing w:line="360" w:lineRule="auto"/>
        <w:rPr>
          <w:sz w:val="26"/>
          <w:szCs w:val="26"/>
        </w:rPr>
      </w:pPr>
    </w:p>
    <w:p w:rsidR="00C47FF5" w:rsidRPr="0091122D" w:rsidRDefault="00C47FF5" w:rsidP="00C47FF5">
      <w:pPr>
        <w:spacing w:line="360" w:lineRule="auto"/>
        <w:rPr>
          <w:sz w:val="26"/>
          <w:szCs w:val="26"/>
        </w:rPr>
      </w:pPr>
      <w:r w:rsidRPr="0091122D">
        <w:rPr>
          <w:sz w:val="26"/>
          <w:szCs w:val="26"/>
        </w:rPr>
        <w:t>and</w:t>
      </w:r>
    </w:p>
    <w:p w:rsidR="00C47FF5" w:rsidRPr="0091122D" w:rsidRDefault="00C47FF5" w:rsidP="00C47FF5">
      <w:pPr>
        <w:spacing w:line="360" w:lineRule="auto"/>
        <w:rPr>
          <w:sz w:val="26"/>
          <w:szCs w:val="26"/>
        </w:rPr>
      </w:pPr>
    </w:p>
    <w:p w:rsidR="00C47FF5" w:rsidRDefault="00C47FF5" w:rsidP="004C24F2">
      <w:pPr>
        <w:spacing w:line="276" w:lineRule="auto"/>
        <w:rPr>
          <w:sz w:val="26"/>
          <w:szCs w:val="26"/>
        </w:rPr>
      </w:pPr>
      <w:r w:rsidRPr="00C47FF5">
        <w:rPr>
          <w:b/>
          <w:sz w:val="26"/>
          <w:szCs w:val="26"/>
        </w:rPr>
        <w:t>DIRECTOR-GENERAL OF THE</w:t>
      </w:r>
      <w:r w:rsidRPr="0091122D">
        <w:rPr>
          <w:sz w:val="26"/>
          <w:szCs w:val="26"/>
        </w:rPr>
        <w:t xml:space="preserve"> </w:t>
      </w:r>
      <w:r w:rsidRPr="0091122D">
        <w:rPr>
          <w:sz w:val="26"/>
          <w:szCs w:val="26"/>
        </w:rPr>
        <w:tab/>
      </w:r>
      <w:r w:rsidRPr="0091122D">
        <w:rPr>
          <w:sz w:val="26"/>
          <w:szCs w:val="26"/>
        </w:rPr>
        <w:tab/>
      </w:r>
      <w:r w:rsidRPr="0091122D">
        <w:rPr>
          <w:sz w:val="26"/>
          <w:szCs w:val="26"/>
        </w:rPr>
        <w:tab/>
      </w:r>
      <w:r w:rsidRPr="0091122D">
        <w:rPr>
          <w:sz w:val="26"/>
          <w:szCs w:val="26"/>
        </w:rPr>
        <w:tab/>
      </w:r>
    </w:p>
    <w:p w:rsidR="00C47FF5" w:rsidRPr="0091122D" w:rsidRDefault="00C47FF5" w:rsidP="004C24F2">
      <w:pPr>
        <w:spacing w:line="276" w:lineRule="auto"/>
        <w:rPr>
          <w:sz w:val="26"/>
          <w:szCs w:val="26"/>
        </w:rPr>
      </w:pPr>
      <w:r w:rsidRPr="00C47FF5">
        <w:rPr>
          <w:b/>
          <w:sz w:val="26"/>
          <w:szCs w:val="26"/>
        </w:rPr>
        <w:t>DEPARTMENT OF TRADE AND INDUSTRY</w:t>
      </w:r>
      <w:r w:rsidRPr="00C47FF5">
        <w:rPr>
          <w:b/>
          <w:sz w:val="26"/>
          <w:szCs w:val="26"/>
        </w:rPr>
        <w:tab/>
      </w:r>
      <w:r>
        <w:rPr>
          <w:sz w:val="26"/>
          <w:szCs w:val="26"/>
        </w:rPr>
        <w:tab/>
      </w:r>
      <w:r>
        <w:rPr>
          <w:sz w:val="26"/>
          <w:szCs w:val="26"/>
        </w:rPr>
        <w:tab/>
      </w:r>
      <w:r w:rsidRPr="0091122D">
        <w:rPr>
          <w:sz w:val="26"/>
          <w:szCs w:val="26"/>
        </w:rPr>
        <w:t xml:space="preserve"> </w:t>
      </w:r>
      <w:r>
        <w:rPr>
          <w:sz w:val="26"/>
          <w:szCs w:val="26"/>
        </w:rPr>
        <w:t xml:space="preserve">     First </w:t>
      </w:r>
      <w:r w:rsidRPr="0091122D">
        <w:rPr>
          <w:sz w:val="26"/>
          <w:szCs w:val="26"/>
        </w:rPr>
        <w:t>Respondent</w:t>
      </w:r>
    </w:p>
    <w:p w:rsidR="00C47FF5" w:rsidRDefault="00C47FF5" w:rsidP="00C47FF5">
      <w:pPr>
        <w:spacing w:line="360" w:lineRule="auto"/>
        <w:rPr>
          <w:b/>
          <w:sz w:val="26"/>
          <w:szCs w:val="26"/>
        </w:rPr>
      </w:pPr>
    </w:p>
    <w:p w:rsidR="004C24F2" w:rsidRDefault="004C24F2" w:rsidP="004C24F2">
      <w:pPr>
        <w:spacing w:line="276" w:lineRule="auto"/>
        <w:rPr>
          <w:b/>
          <w:sz w:val="26"/>
          <w:szCs w:val="26"/>
        </w:rPr>
      </w:pPr>
      <w:r>
        <w:rPr>
          <w:b/>
          <w:sz w:val="26"/>
          <w:szCs w:val="26"/>
        </w:rPr>
        <w:t>DEPUTY DIRECTOR-GENERAL OF THE</w:t>
      </w:r>
    </w:p>
    <w:p w:rsidR="004C24F2" w:rsidRDefault="004C24F2" w:rsidP="004C24F2">
      <w:pPr>
        <w:spacing w:line="276" w:lineRule="auto"/>
        <w:rPr>
          <w:sz w:val="26"/>
          <w:szCs w:val="26"/>
        </w:rPr>
      </w:pPr>
      <w:r>
        <w:rPr>
          <w:b/>
          <w:sz w:val="26"/>
          <w:szCs w:val="26"/>
        </w:rPr>
        <w:t>DEPARTMENT OF TRADE AND INDUSTRY</w:t>
      </w:r>
      <w:r>
        <w:rPr>
          <w:b/>
          <w:sz w:val="26"/>
          <w:szCs w:val="26"/>
        </w:rPr>
        <w:tab/>
      </w:r>
      <w:r>
        <w:rPr>
          <w:b/>
          <w:sz w:val="26"/>
          <w:szCs w:val="26"/>
        </w:rPr>
        <w:tab/>
      </w:r>
      <w:r>
        <w:rPr>
          <w:b/>
          <w:sz w:val="26"/>
          <w:szCs w:val="26"/>
        </w:rPr>
        <w:tab/>
        <w:t xml:space="preserve"> </w:t>
      </w:r>
      <w:r w:rsidRPr="004C24F2">
        <w:rPr>
          <w:sz w:val="26"/>
          <w:szCs w:val="26"/>
        </w:rPr>
        <w:t>Second Respondent</w:t>
      </w:r>
    </w:p>
    <w:p w:rsidR="004C24F2" w:rsidRDefault="004C24F2" w:rsidP="004C24F2">
      <w:pPr>
        <w:spacing w:line="360" w:lineRule="auto"/>
        <w:rPr>
          <w:sz w:val="26"/>
          <w:szCs w:val="26"/>
        </w:rPr>
      </w:pPr>
    </w:p>
    <w:p w:rsidR="004C24F2" w:rsidRDefault="004C24F2" w:rsidP="004C24F2">
      <w:pPr>
        <w:spacing w:line="276" w:lineRule="auto"/>
        <w:rPr>
          <w:b/>
          <w:sz w:val="26"/>
          <w:szCs w:val="26"/>
        </w:rPr>
      </w:pPr>
      <w:r>
        <w:rPr>
          <w:b/>
          <w:sz w:val="26"/>
          <w:szCs w:val="26"/>
        </w:rPr>
        <w:t xml:space="preserve">MINISTER OF THE DEPARTMENT </w:t>
      </w:r>
    </w:p>
    <w:p w:rsidR="004C24F2" w:rsidRDefault="004C24F2" w:rsidP="004C24F2">
      <w:pPr>
        <w:spacing w:line="276" w:lineRule="auto"/>
        <w:rPr>
          <w:sz w:val="26"/>
          <w:szCs w:val="26"/>
        </w:rPr>
      </w:pPr>
      <w:r>
        <w:rPr>
          <w:b/>
          <w:sz w:val="26"/>
          <w:szCs w:val="26"/>
        </w:rPr>
        <w:t>OF TRADE AND INDUSTRY</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 xml:space="preserve">    </w:t>
      </w:r>
      <w:r w:rsidRPr="004C24F2">
        <w:rPr>
          <w:sz w:val="26"/>
          <w:szCs w:val="26"/>
        </w:rPr>
        <w:t>Third Respondent</w:t>
      </w:r>
    </w:p>
    <w:p w:rsidR="004C24F2" w:rsidRDefault="004C24F2" w:rsidP="004C24F2">
      <w:pPr>
        <w:spacing w:line="276" w:lineRule="auto"/>
        <w:rPr>
          <w:sz w:val="26"/>
          <w:szCs w:val="26"/>
        </w:rPr>
      </w:pPr>
    </w:p>
    <w:p w:rsidR="004C24F2" w:rsidRDefault="004C24F2" w:rsidP="004C24F2">
      <w:pPr>
        <w:spacing w:line="276" w:lineRule="auto"/>
        <w:rPr>
          <w:sz w:val="26"/>
          <w:szCs w:val="26"/>
        </w:rPr>
      </w:pPr>
      <w:r>
        <w:rPr>
          <w:sz w:val="26"/>
          <w:szCs w:val="26"/>
        </w:rPr>
        <w:t>________________________________________________________________________</w:t>
      </w:r>
    </w:p>
    <w:p w:rsidR="004C24F2" w:rsidRDefault="004C24F2" w:rsidP="004C24F2">
      <w:pPr>
        <w:jc w:val="center"/>
        <w:rPr>
          <w:b/>
          <w:sz w:val="26"/>
          <w:szCs w:val="26"/>
        </w:rPr>
      </w:pPr>
    </w:p>
    <w:p w:rsidR="004C24F2" w:rsidRPr="0091122D" w:rsidRDefault="004C24F2" w:rsidP="004C24F2">
      <w:pPr>
        <w:jc w:val="center"/>
        <w:rPr>
          <w:b/>
          <w:sz w:val="26"/>
          <w:szCs w:val="26"/>
        </w:rPr>
      </w:pPr>
      <w:r w:rsidRPr="0091122D">
        <w:rPr>
          <w:b/>
          <w:sz w:val="26"/>
          <w:szCs w:val="26"/>
        </w:rPr>
        <w:t xml:space="preserve">JUDGMENT DELIVERED ELECTRONICALLY ON </w:t>
      </w:r>
      <w:r w:rsidR="00134E24">
        <w:rPr>
          <w:b/>
          <w:sz w:val="26"/>
          <w:szCs w:val="26"/>
        </w:rPr>
        <w:t>28</w:t>
      </w:r>
      <w:r>
        <w:rPr>
          <w:b/>
          <w:sz w:val="26"/>
          <w:szCs w:val="26"/>
        </w:rPr>
        <w:t xml:space="preserve"> </w:t>
      </w:r>
      <w:r w:rsidR="00E411B9">
        <w:rPr>
          <w:b/>
          <w:sz w:val="26"/>
          <w:szCs w:val="26"/>
        </w:rPr>
        <w:t>AUGUST</w:t>
      </w:r>
      <w:r w:rsidRPr="0091122D">
        <w:rPr>
          <w:b/>
          <w:sz w:val="26"/>
          <w:szCs w:val="26"/>
        </w:rPr>
        <w:t xml:space="preserve"> 2023</w:t>
      </w:r>
    </w:p>
    <w:p w:rsidR="004C24F2" w:rsidRDefault="004C24F2" w:rsidP="004C24F2">
      <w:pPr>
        <w:spacing w:line="276" w:lineRule="auto"/>
        <w:rPr>
          <w:sz w:val="26"/>
          <w:szCs w:val="26"/>
        </w:rPr>
      </w:pPr>
      <w:r>
        <w:rPr>
          <w:sz w:val="26"/>
          <w:szCs w:val="26"/>
        </w:rPr>
        <w:t>________________________________________________________________________</w:t>
      </w:r>
    </w:p>
    <w:p w:rsidR="00C47FF5" w:rsidRDefault="00C47FF5" w:rsidP="00C47FF5">
      <w:pPr>
        <w:spacing w:line="360" w:lineRule="auto"/>
        <w:rPr>
          <w:b/>
          <w:sz w:val="26"/>
          <w:szCs w:val="26"/>
          <w:u w:val="single"/>
        </w:rPr>
      </w:pPr>
      <w:r w:rsidRPr="00795F4D">
        <w:rPr>
          <w:b/>
          <w:sz w:val="26"/>
          <w:szCs w:val="26"/>
          <w:u w:val="single"/>
        </w:rPr>
        <w:t xml:space="preserve">MANGCU-LOCKWOOD, J </w:t>
      </w:r>
    </w:p>
    <w:p w:rsidR="004C24F2" w:rsidRDefault="004C24F2">
      <w:r>
        <w:br w:type="page"/>
      </w:r>
    </w:p>
    <w:p w:rsidR="00C47FF5" w:rsidRDefault="00C47FF5"/>
    <w:p w:rsidR="008C22CC" w:rsidRPr="00B75FD6" w:rsidRDefault="00B75FD6" w:rsidP="00B75FD6">
      <w:pPr>
        <w:spacing w:line="360" w:lineRule="auto"/>
        <w:ind w:left="720" w:hanging="720"/>
        <w:rPr>
          <w:b/>
          <w:sz w:val="26"/>
          <w:szCs w:val="26"/>
          <w:u w:val="single"/>
        </w:rPr>
      </w:pPr>
      <w:r w:rsidRPr="00B752F2">
        <w:rPr>
          <w:rFonts w:eastAsiaTheme="minorEastAsia"/>
          <w:b/>
          <w:kern w:val="2"/>
          <w:sz w:val="26"/>
          <w:szCs w:val="26"/>
          <w:lang w:val="en-US" w:eastAsia="en-US"/>
          <w14:ligatures w14:val="standardContextual"/>
        </w:rPr>
        <w:t>A.</w:t>
      </w:r>
      <w:r w:rsidRPr="00B752F2">
        <w:rPr>
          <w:rFonts w:eastAsiaTheme="minorEastAsia"/>
          <w:b/>
          <w:kern w:val="2"/>
          <w:sz w:val="26"/>
          <w:szCs w:val="26"/>
          <w:lang w:val="en-US" w:eastAsia="en-US"/>
          <w14:ligatures w14:val="standardContextual"/>
        </w:rPr>
        <w:tab/>
      </w:r>
      <w:r w:rsidR="005E7B2C" w:rsidRPr="00B75FD6">
        <w:rPr>
          <w:b/>
          <w:sz w:val="26"/>
          <w:szCs w:val="26"/>
          <w:u w:val="single"/>
        </w:rPr>
        <w:t xml:space="preserve">INTRODUCTION </w:t>
      </w:r>
    </w:p>
    <w:p w:rsidR="007E054C" w:rsidRPr="00B75FD6" w:rsidRDefault="00B75FD6" w:rsidP="00B75FD6">
      <w:pPr>
        <w:spacing w:line="360" w:lineRule="auto"/>
        <w:ind w:firstLine="142"/>
        <w:jc w:val="both"/>
        <w:rPr>
          <w:sz w:val="26"/>
          <w:szCs w:val="26"/>
        </w:rPr>
      </w:pPr>
      <w:r w:rsidRPr="00E411B9">
        <w:rPr>
          <w:rFonts w:eastAsiaTheme="minorEastAsia"/>
          <w:kern w:val="2"/>
          <w:sz w:val="26"/>
          <w:szCs w:val="26"/>
          <w:lang w:val="en-US" w:eastAsia="en-US"/>
          <w14:ligatures w14:val="standardContextual"/>
        </w:rPr>
        <w:t>[1]</w:t>
      </w:r>
      <w:r w:rsidRPr="00E411B9">
        <w:rPr>
          <w:rFonts w:eastAsiaTheme="minorEastAsia"/>
          <w:kern w:val="2"/>
          <w:sz w:val="26"/>
          <w:szCs w:val="26"/>
          <w:lang w:val="en-US" w:eastAsia="en-US"/>
          <w14:ligatures w14:val="standardContextual"/>
        </w:rPr>
        <w:tab/>
      </w:r>
      <w:r w:rsidR="008C22CC" w:rsidRPr="00B75FD6">
        <w:rPr>
          <w:sz w:val="26"/>
          <w:szCs w:val="26"/>
        </w:rPr>
        <w:t>T</w:t>
      </w:r>
      <w:r w:rsidR="00FB4689" w:rsidRPr="00B75FD6">
        <w:rPr>
          <w:sz w:val="26"/>
          <w:szCs w:val="26"/>
        </w:rPr>
        <w:t xml:space="preserve">his is an appeal against the judgment of my sister </w:t>
      </w:r>
      <w:r w:rsidR="008C22CC" w:rsidRPr="00B75FD6">
        <w:rPr>
          <w:sz w:val="26"/>
          <w:szCs w:val="26"/>
        </w:rPr>
        <w:t xml:space="preserve">Nziweni </w:t>
      </w:r>
      <w:r w:rsidR="00FB4689" w:rsidRPr="00B75FD6">
        <w:rPr>
          <w:sz w:val="26"/>
          <w:szCs w:val="26"/>
        </w:rPr>
        <w:t xml:space="preserve">AJ </w:t>
      </w:r>
      <w:r w:rsidR="008C22CC" w:rsidRPr="00B75FD6">
        <w:rPr>
          <w:sz w:val="26"/>
          <w:szCs w:val="26"/>
        </w:rPr>
        <w:t>(</w:t>
      </w:r>
      <w:r w:rsidR="00017FB8" w:rsidRPr="00B75FD6">
        <w:rPr>
          <w:sz w:val="26"/>
          <w:szCs w:val="26"/>
        </w:rPr>
        <w:t xml:space="preserve">as </w:t>
      </w:r>
      <w:r w:rsidR="00FB4689" w:rsidRPr="00B75FD6">
        <w:rPr>
          <w:sz w:val="26"/>
          <w:szCs w:val="26"/>
        </w:rPr>
        <w:t>she then was</w:t>
      </w:r>
      <w:r w:rsidR="008C22CC" w:rsidRPr="00B75FD6">
        <w:rPr>
          <w:sz w:val="26"/>
          <w:szCs w:val="26"/>
        </w:rPr>
        <w:t>)</w:t>
      </w:r>
      <w:r w:rsidR="00FB4689" w:rsidRPr="00B75FD6">
        <w:rPr>
          <w:sz w:val="26"/>
          <w:szCs w:val="26"/>
        </w:rPr>
        <w:t xml:space="preserve"> in which she dismissed the </w:t>
      </w:r>
      <w:r w:rsidR="008C22CC" w:rsidRPr="00B75FD6">
        <w:rPr>
          <w:sz w:val="26"/>
          <w:szCs w:val="26"/>
        </w:rPr>
        <w:t>appellant</w:t>
      </w:r>
      <w:r w:rsidR="00FB4689" w:rsidRPr="00B75FD6">
        <w:rPr>
          <w:sz w:val="26"/>
          <w:szCs w:val="26"/>
        </w:rPr>
        <w:t>’s</w:t>
      </w:r>
      <w:r w:rsidR="008C22CC" w:rsidRPr="00B75FD6">
        <w:rPr>
          <w:sz w:val="26"/>
          <w:szCs w:val="26"/>
        </w:rPr>
        <w:t xml:space="preserve"> review application with</w:t>
      </w:r>
      <w:r w:rsidR="00FB4689" w:rsidRPr="00B75FD6">
        <w:rPr>
          <w:sz w:val="26"/>
          <w:szCs w:val="26"/>
        </w:rPr>
        <w:t xml:space="preserve"> cost</w:t>
      </w:r>
      <w:r w:rsidR="002B1E93" w:rsidRPr="00B75FD6">
        <w:rPr>
          <w:sz w:val="26"/>
          <w:szCs w:val="26"/>
        </w:rPr>
        <w:t>s</w:t>
      </w:r>
      <w:r w:rsidR="00FB4689" w:rsidRPr="00B75FD6">
        <w:rPr>
          <w:sz w:val="26"/>
          <w:szCs w:val="26"/>
        </w:rPr>
        <w:t xml:space="preserve"> on the basis that the review was brought outside the time limit</w:t>
      </w:r>
      <w:r w:rsidR="002B1E93" w:rsidRPr="00B75FD6">
        <w:rPr>
          <w:sz w:val="26"/>
          <w:szCs w:val="26"/>
        </w:rPr>
        <w:t>s prescribed in s</w:t>
      </w:r>
      <w:r w:rsidR="00FB4689" w:rsidRPr="00B75FD6">
        <w:rPr>
          <w:sz w:val="26"/>
          <w:szCs w:val="26"/>
        </w:rPr>
        <w:t xml:space="preserve">ection 7, read with section 9 of the </w:t>
      </w:r>
      <w:r w:rsidR="002B1E93" w:rsidRPr="00B75FD6">
        <w:rPr>
          <w:sz w:val="26"/>
          <w:szCs w:val="26"/>
        </w:rPr>
        <w:t>Promotion of A</w:t>
      </w:r>
      <w:r w:rsidR="00FB4689" w:rsidRPr="00B75FD6">
        <w:rPr>
          <w:sz w:val="26"/>
          <w:szCs w:val="26"/>
        </w:rPr>
        <w:t xml:space="preserve">dministrative </w:t>
      </w:r>
      <w:r w:rsidR="002B1E93" w:rsidRPr="00B75FD6">
        <w:rPr>
          <w:sz w:val="26"/>
          <w:szCs w:val="26"/>
        </w:rPr>
        <w:t>J</w:t>
      </w:r>
      <w:r w:rsidR="00FB4689" w:rsidRPr="00B75FD6">
        <w:rPr>
          <w:sz w:val="26"/>
          <w:szCs w:val="26"/>
        </w:rPr>
        <w:t>ust</w:t>
      </w:r>
      <w:r w:rsidR="002B1E93" w:rsidRPr="00B75FD6">
        <w:rPr>
          <w:sz w:val="26"/>
          <w:szCs w:val="26"/>
        </w:rPr>
        <w:t>ice</w:t>
      </w:r>
      <w:r w:rsidR="00FB4689" w:rsidRPr="00B75FD6">
        <w:rPr>
          <w:sz w:val="26"/>
          <w:szCs w:val="26"/>
        </w:rPr>
        <w:t xml:space="preserve"> </w:t>
      </w:r>
      <w:r w:rsidR="002B1E93" w:rsidRPr="00B75FD6">
        <w:rPr>
          <w:sz w:val="26"/>
          <w:szCs w:val="26"/>
        </w:rPr>
        <w:t>A</w:t>
      </w:r>
      <w:r w:rsidR="00FB4689" w:rsidRPr="00B75FD6">
        <w:rPr>
          <w:sz w:val="26"/>
          <w:szCs w:val="26"/>
        </w:rPr>
        <w:t xml:space="preserve">ct </w:t>
      </w:r>
      <w:r w:rsidR="008D5ECF" w:rsidRPr="00B75FD6">
        <w:rPr>
          <w:sz w:val="26"/>
          <w:szCs w:val="26"/>
        </w:rPr>
        <w:t>3</w:t>
      </w:r>
      <w:r w:rsidR="00FB4689" w:rsidRPr="00B75FD6">
        <w:rPr>
          <w:sz w:val="26"/>
          <w:szCs w:val="26"/>
        </w:rPr>
        <w:t xml:space="preserve"> of 2000 </w:t>
      </w:r>
      <w:r w:rsidR="008D5ECF" w:rsidRPr="00B75FD6">
        <w:rPr>
          <w:sz w:val="26"/>
          <w:szCs w:val="26"/>
        </w:rPr>
        <w:t>(</w:t>
      </w:r>
      <w:r w:rsidR="008D5ECF" w:rsidRPr="00B75FD6">
        <w:rPr>
          <w:i/>
          <w:iCs/>
          <w:sz w:val="26"/>
          <w:szCs w:val="26"/>
        </w:rPr>
        <w:t>“PAJA”</w:t>
      </w:r>
      <w:r w:rsidR="008D5ECF" w:rsidRPr="00B75FD6">
        <w:rPr>
          <w:sz w:val="26"/>
          <w:szCs w:val="26"/>
        </w:rPr>
        <w:t>)</w:t>
      </w:r>
      <w:r w:rsidR="00FB4689" w:rsidRPr="00B75FD6">
        <w:rPr>
          <w:sz w:val="26"/>
          <w:szCs w:val="26"/>
        </w:rPr>
        <w:t xml:space="preserve">. </w:t>
      </w:r>
      <w:r w:rsidR="008D5ECF" w:rsidRPr="00B75FD6">
        <w:rPr>
          <w:sz w:val="26"/>
          <w:szCs w:val="26"/>
        </w:rPr>
        <w:t xml:space="preserve"> </w:t>
      </w:r>
      <w:r w:rsidR="00FB4689" w:rsidRPr="00B75FD6">
        <w:rPr>
          <w:sz w:val="26"/>
          <w:szCs w:val="26"/>
        </w:rPr>
        <w:t xml:space="preserve">The </w:t>
      </w:r>
      <w:r w:rsidR="00B844C6" w:rsidRPr="00B75FD6">
        <w:rPr>
          <w:i/>
          <w:sz w:val="26"/>
          <w:szCs w:val="26"/>
        </w:rPr>
        <w:t>court a quo</w:t>
      </w:r>
      <w:r w:rsidR="00FB4689" w:rsidRPr="00B75FD6">
        <w:rPr>
          <w:sz w:val="26"/>
          <w:szCs w:val="26"/>
        </w:rPr>
        <w:t xml:space="preserve"> did not make any findings on the merits of the review application. </w:t>
      </w:r>
    </w:p>
    <w:p w:rsidR="007E054C" w:rsidRPr="00E411B9" w:rsidRDefault="007E054C" w:rsidP="00E411B9">
      <w:pPr>
        <w:pStyle w:val="ListParagraph"/>
        <w:spacing w:after="0" w:line="360" w:lineRule="auto"/>
        <w:ind w:left="142"/>
        <w:jc w:val="both"/>
        <w:rPr>
          <w:rFonts w:ascii="Times New Roman" w:hAnsi="Times New Roman" w:cs="Times New Roman"/>
          <w:sz w:val="26"/>
          <w:szCs w:val="26"/>
        </w:rPr>
      </w:pPr>
    </w:p>
    <w:p w:rsidR="00017FB8" w:rsidRPr="00B75FD6" w:rsidRDefault="00B75FD6" w:rsidP="00B75FD6">
      <w:pPr>
        <w:spacing w:line="360" w:lineRule="auto"/>
        <w:ind w:firstLine="142"/>
        <w:jc w:val="both"/>
        <w:rPr>
          <w:sz w:val="26"/>
          <w:szCs w:val="26"/>
        </w:rPr>
      </w:pPr>
      <w:r>
        <w:rPr>
          <w:rFonts w:eastAsiaTheme="minorEastAsia"/>
          <w:kern w:val="2"/>
          <w:sz w:val="26"/>
          <w:szCs w:val="26"/>
          <w:lang w:val="en-US" w:eastAsia="en-US"/>
          <w14:ligatures w14:val="standardContextual"/>
        </w:rPr>
        <w:t>[2]</w:t>
      </w:r>
      <w:r>
        <w:rPr>
          <w:rFonts w:eastAsiaTheme="minorEastAsia"/>
          <w:kern w:val="2"/>
          <w:sz w:val="26"/>
          <w:szCs w:val="26"/>
          <w:lang w:val="en-US" w:eastAsia="en-US"/>
          <w14:ligatures w14:val="standardContextual"/>
        </w:rPr>
        <w:tab/>
      </w:r>
      <w:r w:rsidR="007E054C" w:rsidRPr="00B75FD6">
        <w:rPr>
          <w:sz w:val="26"/>
          <w:szCs w:val="26"/>
        </w:rPr>
        <w:t xml:space="preserve">Although the appeal was instituted in time, both parties’ heads of argument were late.  In the </w:t>
      </w:r>
      <w:r w:rsidR="00B752F2" w:rsidRPr="00B75FD6">
        <w:rPr>
          <w:sz w:val="26"/>
          <w:szCs w:val="26"/>
        </w:rPr>
        <w:t>case</w:t>
      </w:r>
      <w:r w:rsidR="007E054C" w:rsidRPr="00B75FD6">
        <w:rPr>
          <w:sz w:val="26"/>
          <w:szCs w:val="26"/>
        </w:rPr>
        <w:t xml:space="preserve"> of the appellant</w:t>
      </w:r>
      <w:r w:rsidR="00B752F2" w:rsidRPr="00B75FD6">
        <w:rPr>
          <w:sz w:val="26"/>
          <w:szCs w:val="26"/>
        </w:rPr>
        <w:t>, the</w:t>
      </w:r>
      <w:r w:rsidR="007E054C" w:rsidRPr="00B75FD6">
        <w:rPr>
          <w:sz w:val="26"/>
          <w:szCs w:val="26"/>
        </w:rPr>
        <w:t xml:space="preserve"> heads of argument w</w:t>
      </w:r>
      <w:r w:rsidR="00017FB8" w:rsidRPr="00B75FD6">
        <w:rPr>
          <w:sz w:val="26"/>
          <w:szCs w:val="26"/>
        </w:rPr>
        <w:t>ere</w:t>
      </w:r>
      <w:r w:rsidR="007E054C" w:rsidRPr="00B75FD6">
        <w:rPr>
          <w:sz w:val="26"/>
          <w:szCs w:val="26"/>
        </w:rPr>
        <w:t xml:space="preserve"> delivered on 2 June 2023 instead of 1 June 2023, and were accordingly a day late.  An application for co</w:t>
      </w:r>
      <w:r w:rsidR="00890934" w:rsidRPr="00B75FD6">
        <w:rPr>
          <w:sz w:val="26"/>
          <w:szCs w:val="26"/>
        </w:rPr>
        <w:t>nd</w:t>
      </w:r>
      <w:r w:rsidR="00017FB8" w:rsidRPr="00B75FD6">
        <w:rPr>
          <w:sz w:val="26"/>
          <w:szCs w:val="26"/>
        </w:rPr>
        <w:t>on</w:t>
      </w:r>
      <w:r w:rsidR="00890934" w:rsidRPr="00B75FD6">
        <w:rPr>
          <w:sz w:val="26"/>
          <w:szCs w:val="26"/>
        </w:rPr>
        <w:t>ation was delivered on 5</w:t>
      </w:r>
      <w:r w:rsidR="007E054C" w:rsidRPr="00B75FD6">
        <w:rPr>
          <w:sz w:val="26"/>
          <w:szCs w:val="26"/>
        </w:rPr>
        <w:t xml:space="preserve"> June 202</w:t>
      </w:r>
      <w:r w:rsidR="00890934" w:rsidRPr="00B75FD6">
        <w:rPr>
          <w:sz w:val="26"/>
          <w:szCs w:val="26"/>
        </w:rPr>
        <w:t>3 explaining that senior counsel</w:t>
      </w:r>
      <w:r w:rsidR="007E054C" w:rsidRPr="00B75FD6">
        <w:rPr>
          <w:sz w:val="26"/>
          <w:szCs w:val="26"/>
        </w:rPr>
        <w:t xml:space="preserve"> needed more time to </w:t>
      </w:r>
      <w:r w:rsidR="00EE4687" w:rsidRPr="00B75FD6">
        <w:rPr>
          <w:sz w:val="26"/>
          <w:szCs w:val="26"/>
        </w:rPr>
        <w:t>finalise</w:t>
      </w:r>
      <w:r w:rsidR="007E054C" w:rsidRPr="00B75FD6">
        <w:rPr>
          <w:sz w:val="26"/>
          <w:szCs w:val="26"/>
        </w:rPr>
        <w:t xml:space="preserve"> the heads of argument. </w:t>
      </w:r>
      <w:r w:rsidR="00B752F2" w:rsidRPr="00B75FD6">
        <w:rPr>
          <w:sz w:val="26"/>
          <w:szCs w:val="26"/>
        </w:rPr>
        <w:t>Because the delay was negligible and the explanation reasonable, the Court condoned the delay.</w:t>
      </w:r>
      <w:r w:rsidR="004E561D" w:rsidRPr="00B75FD6">
        <w:rPr>
          <w:sz w:val="26"/>
          <w:szCs w:val="26"/>
        </w:rPr>
        <w:t xml:space="preserve"> </w:t>
      </w:r>
    </w:p>
    <w:p w:rsidR="00017FB8" w:rsidRPr="00017FB8" w:rsidRDefault="00017FB8" w:rsidP="00017FB8">
      <w:pPr>
        <w:pStyle w:val="ListParagraph"/>
        <w:rPr>
          <w:rFonts w:ascii="Times New Roman" w:hAnsi="Times New Roman" w:cs="Times New Roman"/>
          <w:sz w:val="26"/>
          <w:szCs w:val="26"/>
        </w:rPr>
      </w:pPr>
    </w:p>
    <w:p w:rsidR="006E1010" w:rsidRPr="00B75FD6" w:rsidRDefault="00B75FD6" w:rsidP="00B75FD6">
      <w:pPr>
        <w:spacing w:line="360" w:lineRule="auto"/>
        <w:ind w:firstLine="142"/>
        <w:jc w:val="both"/>
        <w:rPr>
          <w:sz w:val="26"/>
          <w:szCs w:val="26"/>
        </w:rPr>
      </w:pPr>
      <w:r w:rsidRPr="00E411B9">
        <w:rPr>
          <w:rFonts w:eastAsiaTheme="minorEastAsia"/>
          <w:kern w:val="2"/>
          <w:sz w:val="26"/>
          <w:szCs w:val="26"/>
          <w:lang w:val="en-US" w:eastAsia="en-US"/>
          <w14:ligatures w14:val="standardContextual"/>
        </w:rPr>
        <w:t>[3]</w:t>
      </w:r>
      <w:r w:rsidRPr="00E411B9">
        <w:rPr>
          <w:rFonts w:eastAsiaTheme="minorEastAsia"/>
          <w:kern w:val="2"/>
          <w:sz w:val="26"/>
          <w:szCs w:val="26"/>
          <w:lang w:val="en-US" w:eastAsia="en-US"/>
          <w14:ligatures w14:val="standardContextual"/>
        </w:rPr>
        <w:tab/>
      </w:r>
      <w:r w:rsidR="00017FB8" w:rsidRPr="00B75FD6">
        <w:rPr>
          <w:sz w:val="26"/>
          <w:szCs w:val="26"/>
        </w:rPr>
        <w:t xml:space="preserve">As for the </w:t>
      </w:r>
      <w:r w:rsidR="007E054C" w:rsidRPr="00B75FD6">
        <w:rPr>
          <w:sz w:val="26"/>
          <w:szCs w:val="26"/>
        </w:rPr>
        <w:t xml:space="preserve">heads of argument </w:t>
      </w:r>
      <w:r w:rsidR="00017FB8" w:rsidRPr="00B75FD6">
        <w:rPr>
          <w:sz w:val="26"/>
          <w:szCs w:val="26"/>
        </w:rPr>
        <w:t xml:space="preserve">of the respondents, they </w:t>
      </w:r>
      <w:r w:rsidR="007E054C" w:rsidRPr="00B75FD6">
        <w:rPr>
          <w:sz w:val="26"/>
          <w:szCs w:val="26"/>
        </w:rPr>
        <w:t>were delivered on 11 July 202</w:t>
      </w:r>
      <w:r w:rsidR="004E561D" w:rsidRPr="00B75FD6">
        <w:rPr>
          <w:sz w:val="26"/>
          <w:szCs w:val="26"/>
        </w:rPr>
        <w:t>3</w:t>
      </w:r>
      <w:r w:rsidR="007E054C" w:rsidRPr="00B75FD6">
        <w:rPr>
          <w:sz w:val="26"/>
          <w:szCs w:val="26"/>
        </w:rPr>
        <w:t xml:space="preserve"> </w:t>
      </w:r>
      <w:r w:rsidR="004E561D" w:rsidRPr="00B75FD6">
        <w:rPr>
          <w:sz w:val="26"/>
          <w:szCs w:val="26"/>
        </w:rPr>
        <w:t>instead of 14 June20</w:t>
      </w:r>
      <w:r w:rsidR="007E054C" w:rsidRPr="00B75FD6">
        <w:rPr>
          <w:sz w:val="26"/>
          <w:szCs w:val="26"/>
        </w:rPr>
        <w:t xml:space="preserve">23, and were accordingly </w:t>
      </w:r>
      <w:r w:rsidR="004E561D" w:rsidRPr="00B75FD6">
        <w:rPr>
          <w:sz w:val="26"/>
          <w:szCs w:val="26"/>
        </w:rPr>
        <w:t xml:space="preserve">almost a month late.  </w:t>
      </w:r>
      <w:r w:rsidR="00017FB8" w:rsidRPr="00B75FD6">
        <w:rPr>
          <w:sz w:val="26"/>
          <w:szCs w:val="26"/>
        </w:rPr>
        <w:t>The</w:t>
      </w:r>
      <w:r w:rsidR="004E561D" w:rsidRPr="00B75FD6">
        <w:rPr>
          <w:sz w:val="26"/>
          <w:szCs w:val="26"/>
        </w:rPr>
        <w:t xml:space="preserve"> </w:t>
      </w:r>
      <w:r w:rsidR="007E054C" w:rsidRPr="00B75FD6">
        <w:rPr>
          <w:sz w:val="26"/>
          <w:szCs w:val="26"/>
        </w:rPr>
        <w:t>cond</w:t>
      </w:r>
      <w:r w:rsidR="00017FB8" w:rsidRPr="00B75FD6">
        <w:rPr>
          <w:sz w:val="26"/>
          <w:szCs w:val="26"/>
        </w:rPr>
        <w:t>on</w:t>
      </w:r>
      <w:r w:rsidR="007E054C" w:rsidRPr="00B75FD6">
        <w:rPr>
          <w:sz w:val="26"/>
          <w:szCs w:val="26"/>
        </w:rPr>
        <w:t>ation application explain</w:t>
      </w:r>
      <w:r w:rsidR="00017FB8" w:rsidRPr="00B75FD6">
        <w:rPr>
          <w:sz w:val="26"/>
          <w:szCs w:val="26"/>
        </w:rPr>
        <w:t>ed</w:t>
      </w:r>
      <w:r w:rsidR="007E054C" w:rsidRPr="00B75FD6">
        <w:rPr>
          <w:sz w:val="26"/>
          <w:szCs w:val="26"/>
        </w:rPr>
        <w:t>, in essence that the respondents</w:t>
      </w:r>
      <w:r w:rsidR="006E1010" w:rsidRPr="00B75FD6">
        <w:rPr>
          <w:sz w:val="26"/>
          <w:szCs w:val="26"/>
        </w:rPr>
        <w:t>’ counsel</w:t>
      </w:r>
      <w:r w:rsidR="007E054C" w:rsidRPr="00B75FD6">
        <w:rPr>
          <w:sz w:val="26"/>
          <w:szCs w:val="26"/>
        </w:rPr>
        <w:t xml:space="preserve"> was engaged in other work. </w:t>
      </w:r>
      <w:r w:rsidR="006E1010" w:rsidRPr="00B75FD6">
        <w:rPr>
          <w:sz w:val="26"/>
          <w:szCs w:val="26"/>
        </w:rPr>
        <w:t xml:space="preserve"> </w:t>
      </w:r>
      <w:r w:rsidR="007E054C" w:rsidRPr="00B75FD6">
        <w:rPr>
          <w:sz w:val="26"/>
          <w:szCs w:val="26"/>
        </w:rPr>
        <w:t>To this the appellant took exception and filed a notice of intention to oppose although no answering affidavit was filed</w:t>
      </w:r>
      <w:r w:rsidR="006E1010" w:rsidRPr="00B75FD6">
        <w:rPr>
          <w:sz w:val="26"/>
          <w:szCs w:val="26"/>
        </w:rPr>
        <w:t>.</w:t>
      </w:r>
    </w:p>
    <w:p w:rsidR="006E1010" w:rsidRPr="00E411B9" w:rsidRDefault="006E1010" w:rsidP="00E411B9">
      <w:pPr>
        <w:pStyle w:val="ListParagraph"/>
        <w:spacing w:after="0" w:line="360" w:lineRule="auto"/>
        <w:jc w:val="both"/>
        <w:rPr>
          <w:rFonts w:ascii="Times New Roman" w:hAnsi="Times New Roman" w:cs="Times New Roman"/>
          <w:sz w:val="26"/>
          <w:szCs w:val="26"/>
        </w:rPr>
      </w:pPr>
    </w:p>
    <w:p w:rsidR="00017FB8" w:rsidRPr="00B75FD6" w:rsidRDefault="00B75FD6" w:rsidP="00B75FD6">
      <w:pPr>
        <w:spacing w:line="360" w:lineRule="auto"/>
        <w:ind w:firstLine="142"/>
        <w:jc w:val="both"/>
        <w:rPr>
          <w:sz w:val="26"/>
          <w:szCs w:val="26"/>
        </w:rPr>
      </w:pPr>
      <w:r>
        <w:rPr>
          <w:rFonts w:eastAsiaTheme="minorEastAsia"/>
          <w:kern w:val="2"/>
          <w:sz w:val="26"/>
          <w:szCs w:val="26"/>
          <w:lang w:val="en-US" w:eastAsia="en-US"/>
          <w14:ligatures w14:val="standardContextual"/>
        </w:rPr>
        <w:t>[4]</w:t>
      </w:r>
      <w:r>
        <w:rPr>
          <w:rFonts w:eastAsiaTheme="minorEastAsia"/>
          <w:kern w:val="2"/>
          <w:sz w:val="26"/>
          <w:szCs w:val="26"/>
          <w:lang w:val="en-US" w:eastAsia="en-US"/>
          <w14:ligatures w14:val="standardContextual"/>
        </w:rPr>
        <w:tab/>
      </w:r>
      <w:r w:rsidR="007E054C" w:rsidRPr="00B75FD6">
        <w:rPr>
          <w:sz w:val="26"/>
          <w:szCs w:val="26"/>
        </w:rPr>
        <w:t>I</w:t>
      </w:r>
      <w:r w:rsidR="00017FB8" w:rsidRPr="00B75FD6">
        <w:rPr>
          <w:sz w:val="26"/>
          <w:szCs w:val="26"/>
        </w:rPr>
        <w:t>t is regrettable that the reason for lateness of the respondents’ heads of argument is that senior counsel was otherwise engaged</w:t>
      </w:r>
      <w:r w:rsidR="00257E35" w:rsidRPr="00B75FD6">
        <w:rPr>
          <w:sz w:val="26"/>
          <w:szCs w:val="26"/>
        </w:rPr>
        <w:t>.  N</w:t>
      </w:r>
      <w:r w:rsidR="007E054C" w:rsidRPr="00B75FD6">
        <w:rPr>
          <w:sz w:val="26"/>
          <w:szCs w:val="26"/>
        </w:rPr>
        <w:t xml:space="preserve">o reason was given as to why </w:t>
      </w:r>
      <w:r w:rsidR="003F3ED7" w:rsidRPr="00B75FD6">
        <w:rPr>
          <w:sz w:val="26"/>
          <w:szCs w:val="26"/>
        </w:rPr>
        <w:t xml:space="preserve">other counsel could not be </w:t>
      </w:r>
      <w:r w:rsidR="007E054C" w:rsidRPr="00B75FD6">
        <w:rPr>
          <w:sz w:val="26"/>
          <w:szCs w:val="26"/>
        </w:rPr>
        <w:t xml:space="preserve">engaged in the matter, </w:t>
      </w:r>
      <w:r w:rsidR="00017FB8" w:rsidRPr="00B75FD6">
        <w:rPr>
          <w:sz w:val="26"/>
          <w:szCs w:val="26"/>
        </w:rPr>
        <w:t xml:space="preserve">given the extent to which the Uniform Rules of Court and Directives of this Division were transgressed. There is also no reason given for why </w:t>
      </w:r>
      <w:r w:rsidR="00101D4A" w:rsidRPr="00B75FD6">
        <w:rPr>
          <w:sz w:val="26"/>
          <w:szCs w:val="26"/>
        </w:rPr>
        <w:t xml:space="preserve">junior counsel could not be </w:t>
      </w:r>
      <w:r w:rsidR="00017FB8" w:rsidRPr="00B75FD6">
        <w:rPr>
          <w:sz w:val="26"/>
          <w:szCs w:val="26"/>
        </w:rPr>
        <w:t>briefed</w:t>
      </w:r>
      <w:r w:rsidR="00101D4A" w:rsidRPr="00B75FD6">
        <w:rPr>
          <w:sz w:val="26"/>
          <w:szCs w:val="26"/>
        </w:rPr>
        <w:t xml:space="preserve"> to assist him </w:t>
      </w:r>
      <w:r w:rsidR="00EE4687" w:rsidRPr="00B75FD6">
        <w:rPr>
          <w:sz w:val="26"/>
          <w:szCs w:val="26"/>
        </w:rPr>
        <w:t xml:space="preserve">and thus expedite </w:t>
      </w:r>
      <w:r w:rsidR="00101D4A" w:rsidRPr="00B75FD6">
        <w:rPr>
          <w:sz w:val="26"/>
          <w:szCs w:val="26"/>
        </w:rPr>
        <w:t>the drafting</w:t>
      </w:r>
      <w:r w:rsidR="007E054C" w:rsidRPr="00B75FD6">
        <w:rPr>
          <w:sz w:val="26"/>
          <w:szCs w:val="26"/>
        </w:rPr>
        <w:t xml:space="preserve"> of the heads of argument. </w:t>
      </w:r>
      <w:r w:rsidR="00017FB8" w:rsidRPr="00B75FD6">
        <w:rPr>
          <w:sz w:val="26"/>
          <w:szCs w:val="26"/>
        </w:rPr>
        <w:t>And alarmingly, it took the registrar of the presiding judge to request the respondents’ heads of argument, when it was clear that they had not been delivered in compliance with the Court Directives.</w:t>
      </w:r>
    </w:p>
    <w:p w:rsidR="00017FB8" w:rsidRPr="00017FB8" w:rsidRDefault="00017FB8" w:rsidP="00017FB8">
      <w:pPr>
        <w:pStyle w:val="ListParagraph"/>
        <w:rPr>
          <w:rFonts w:ascii="Times New Roman" w:hAnsi="Times New Roman" w:cs="Times New Roman"/>
          <w:sz w:val="26"/>
          <w:szCs w:val="26"/>
        </w:rPr>
      </w:pPr>
    </w:p>
    <w:p w:rsidR="00101D4A" w:rsidRPr="00B75FD6" w:rsidRDefault="00B75FD6" w:rsidP="00B75FD6">
      <w:pPr>
        <w:spacing w:line="360" w:lineRule="auto"/>
        <w:ind w:firstLine="142"/>
        <w:jc w:val="both"/>
        <w:rPr>
          <w:sz w:val="26"/>
          <w:szCs w:val="26"/>
        </w:rPr>
      </w:pPr>
      <w:r>
        <w:rPr>
          <w:rFonts w:eastAsiaTheme="minorEastAsia"/>
          <w:kern w:val="2"/>
          <w:sz w:val="26"/>
          <w:szCs w:val="26"/>
          <w:lang w:val="en-US" w:eastAsia="en-US"/>
          <w14:ligatures w14:val="standardContextual"/>
        </w:rPr>
        <w:t>[5]</w:t>
      </w:r>
      <w:r>
        <w:rPr>
          <w:rFonts w:eastAsiaTheme="minorEastAsia"/>
          <w:kern w:val="2"/>
          <w:sz w:val="26"/>
          <w:szCs w:val="26"/>
          <w:lang w:val="en-US" w:eastAsia="en-US"/>
          <w14:ligatures w14:val="standardContextual"/>
        </w:rPr>
        <w:tab/>
      </w:r>
      <w:r w:rsidR="00101D4A" w:rsidRPr="00B75FD6">
        <w:rPr>
          <w:sz w:val="26"/>
          <w:szCs w:val="26"/>
        </w:rPr>
        <w:t xml:space="preserve"> </w:t>
      </w:r>
      <w:r w:rsidR="007E054C" w:rsidRPr="00B75FD6">
        <w:rPr>
          <w:sz w:val="26"/>
          <w:szCs w:val="26"/>
        </w:rPr>
        <w:t>Nevertheless, heads of argument are there for the assistance of the court, and in the circumstances of this case</w:t>
      </w:r>
      <w:r w:rsidR="00B752F2" w:rsidRPr="00B75FD6">
        <w:rPr>
          <w:sz w:val="26"/>
          <w:szCs w:val="26"/>
        </w:rPr>
        <w:t>,</w:t>
      </w:r>
      <w:r w:rsidR="007E054C" w:rsidRPr="00B75FD6">
        <w:rPr>
          <w:sz w:val="26"/>
          <w:szCs w:val="26"/>
        </w:rPr>
        <w:t xml:space="preserve"> it was in the interests of justice </w:t>
      </w:r>
      <w:r w:rsidR="00101D4A" w:rsidRPr="00B75FD6">
        <w:rPr>
          <w:sz w:val="26"/>
          <w:szCs w:val="26"/>
        </w:rPr>
        <w:t xml:space="preserve">to </w:t>
      </w:r>
      <w:r w:rsidR="00EE4687" w:rsidRPr="00B75FD6">
        <w:rPr>
          <w:sz w:val="26"/>
          <w:szCs w:val="26"/>
        </w:rPr>
        <w:t xml:space="preserve">fully consider </w:t>
      </w:r>
      <w:r w:rsidR="00B752F2" w:rsidRPr="00B75FD6">
        <w:rPr>
          <w:sz w:val="26"/>
          <w:szCs w:val="26"/>
        </w:rPr>
        <w:t xml:space="preserve">the respondents’ case and to not </w:t>
      </w:r>
      <w:r w:rsidR="00017FB8" w:rsidRPr="00B75FD6">
        <w:rPr>
          <w:sz w:val="26"/>
          <w:szCs w:val="26"/>
        </w:rPr>
        <w:t>punish</w:t>
      </w:r>
      <w:r w:rsidR="00B752F2" w:rsidRPr="00B75FD6">
        <w:rPr>
          <w:sz w:val="26"/>
          <w:szCs w:val="26"/>
        </w:rPr>
        <w:t xml:space="preserve"> the respondents</w:t>
      </w:r>
      <w:r w:rsidR="00017FB8" w:rsidRPr="00B75FD6">
        <w:rPr>
          <w:sz w:val="26"/>
          <w:szCs w:val="26"/>
        </w:rPr>
        <w:t xml:space="preserve"> for the conduct of their legal representatives. </w:t>
      </w:r>
      <w:r w:rsidR="00B752F2" w:rsidRPr="00B75FD6">
        <w:rPr>
          <w:sz w:val="26"/>
          <w:szCs w:val="26"/>
        </w:rPr>
        <w:t>Accordingly, the lateness of the heads of argument was condoned.</w:t>
      </w:r>
    </w:p>
    <w:p w:rsidR="005E7B2C" w:rsidRPr="00D258DA" w:rsidRDefault="005E7B2C" w:rsidP="00D258DA">
      <w:pPr>
        <w:spacing w:line="360" w:lineRule="auto"/>
        <w:jc w:val="both"/>
        <w:rPr>
          <w:sz w:val="26"/>
          <w:szCs w:val="26"/>
        </w:rPr>
      </w:pPr>
    </w:p>
    <w:p w:rsidR="005E7B2C" w:rsidRPr="00B75FD6" w:rsidRDefault="00B75FD6" w:rsidP="00B75FD6">
      <w:pPr>
        <w:spacing w:line="360" w:lineRule="auto"/>
        <w:ind w:left="720" w:hanging="720"/>
        <w:jc w:val="both"/>
        <w:rPr>
          <w:b/>
          <w:sz w:val="26"/>
          <w:szCs w:val="26"/>
          <w:u w:val="single"/>
        </w:rPr>
      </w:pPr>
      <w:r w:rsidRPr="00B752F2">
        <w:rPr>
          <w:rFonts w:eastAsiaTheme="minorEastAsia"/>
          <w:b/>
          <w:kern w:val="2"/>
          <w:sz w:val="26"/>
          <w:szCs w:val="26"/>
          <w:lang w:val="en-US" w:eastAsia="en-US"/>
          <w14:ligatures w14:val="standardContextual"/>
        </w:rPr>
        <w:t>B.</w:t>
      </w:r>
      <w:r w:rsidRPr="00B752F2">
        <w:rPr>
          <w:rFonts w:eastAsiaTheme="minorEastAsia"/>
          <w:b/>
          <w:kern w:val="2"/>
          <w:sz w:val="26"/>
          <w:szCs w:val="26"/>
          <w:lang w:val="en-US" w:eastAsia="en-US"/>
          <w14:ligatures w14:val="standardContextual"/>
        </w:rPr>
        <w:tab/>
      </w:r>
      <w:r w:rsidR="005E7B2C" w:rsidRPr="00B75FD6">
        <w:rPr>
          <w:b/>
          <w:sz w:val="26"/>
          <w:szCs w:val="26"/>
          <w:u w:val="single"/>
        </w:rPr>
        <w:t>THE FACTS</w:t>
      </w:r>
    </w:p>
    <w:p w:rsidR="00017FB8" w:rsidRPr="00B75FD6" w:rsidRDefault="00B75FD6" w:rsidP="00B75FD6">
      <w:pPr>
        <w:spacing w:line="360" w:lineRule="auto"/>
        <w:ind w:firstLine="142"/>
        <w:jc w:val="both"/>
        <w:rPr>
          <w:sz w:val="26"/>
          <w:szCs w:val="26"/>
        </w:rPr>
      </w:pPr>
      <w:r>
        <w:rPr>
          <w:rFonts w:eastAsiaTheme="minorEastAsia"/>
          <w:kern w:val="2"/>
          <w:sz w:val="26"/>
          <w:szCs w:val="26"/>
          <w:lang w:val="en-US" w:eastAsia="en-US"/>
          <w14:ligatures w14:val="standardContextual"/>
        </w:rPr>
        <w:t>[6]</w:t>
      </w:r>
      <w:r>
        <w:rPr>
          <w:rFonts w:eastAsiaTheme="minorEastAsia"/>
          <w:kern w:val="2"/>
          <w:sz w:val="26"/>
          <w:szCs w:val="26"/>
          <w:lang w:val="en-US" w:eastAsia="en-US"/>
          <w14:ligatures w14:val="standardContextual"/>
        </w:rPr>
        <w:tab/>
      </w:r>
      <w:r w:rsidR="00A479ED" w:rsidRPr="00B75FD6">
        <w:rPr>
          <w:sz w:val="26"/>
          <w:szCs w:val="26"/>
        </w:rPr>
        <w:t xml:space="preserve">The </w:t>
      </w:r>
      <w:r w:rsidR="007E054C" w:rsidRPr="00B75FD6">
        <w:rPr>
          <w:sz w:val="26"/>
          <w:szCs w:val="26"/>
        </w:rPr>
        <w:t xml:space="preserve">facts are common cause. </w:t>
      </w:r>
      <w:r w:rsidR="00A479ED" w:rsidRPr="00B75FD6">
        <w:rPr>
          <w:sz w:val="26"/>
          <w:szCs w:val="26"/>
        </w:rPr>
        <w:t xml:space="preserve"> </w:t>
      </w:r>
      <w:r w:rsidR="007E054C" w:rsidRPr="00B75FD6">
        <w:rPr>
          <w:sz w:val="26"/>
          <w:szCs w:val="26"/>
        </w:rPr>
        <w:t xml:space="preserve">The </w:t>
      </w:r>
      <w:r w:rsidR="007D6A04" w:rsidRPr="00B75FD6">
        <w:rPr>
          <w:sz w:val="26"/>
          <w:szCs w:val="26"/>
        </w:rPr>
        <w:t>Department of Trade and Industry (</w:t>
      </w:r>
      <w:r w:rsidR="007D6A04" w:rsidRPr="00B75FD6">
        <w:rPr>
          <w:i/>
          <w:iCs/>
          <w:sz w:val="26"/>
          <w:szCs w:val="26"/>
        </w:rPr>
        <w:t>“</w:t>
      </w:r>
      <w:r w:rsidR="007E054C" w:rsidRPr="00B75FD6">
        <w:rPr>
          <w:i/>
          <w:iCs/>
          <w:sz w:val="26"/>
          <w:szCs w:val="26"/>
        </w:rPr>
        <w:t>DTI</w:t>
      </w:r>
      <w:r w:rsidR="007D6A04" w:rsidRPr="00B75FD6">
        <w:rPr>
          <w:i/>
          <w:iCs/>
          <w:sz w:val="26"/>
          <w:szCs w:val="26"/>
        </w:rPr>
        <w:t>”</w:t>
      </w:r>
      <w:r w:rsidR="007D6A04" w:rsidRPr="00B75FD6">
        <w:rPr>
          <w:sz w:val="26"/>
          <w:szCs w:val="26"/>
        </w:rPr>
        <w:t>)</w:t>
      </w:r>
      <w:r w:rsidR="007E054C" w:rsidRPr="00B75FD6">
        <w:rPr>
          <w:sz w:val="26"/>
          <w:szCs w:val="26"/>
        </w:rPr>
        <w:t xml:space="preserve"> </w:t>
      </w:r>
      <w:r w:rsidR="00017FB8" w:rsidRPr="00B75FD6">
        <w:rPr>
          <w:sz w:val="26"/>
          <w:szCs w:val="26"/>
        </w:rPr>
        <w:t xml:space="preserve">provisionally </w:t>
      </w:r>
      <w:r w:rsidR="007E054C" w:rsidRPr="00B75FD6">
        <w:rPr>
          <w:sz w:val="26"/>
          <w:szCs w:val="26"/>
        </w:rPr>
        <w:t xml:space="preserve">approved </w:t>
      </w:r>
      <w:r w:rsidR="00017FB8" w:rsidRPr="00B75FD6">
        <w:rPr>
          <w:sz w:val="26"/>
          <w:szCs w:val="26"/>
        </w:rPr>
        <w:t xml:space="preserve">an </w:t>
      </w:r>
      <w:r w:rsidR="007E054C" w:rsidRPr="00B75FD6">
        <w:rPr>
          <w:sz w:val="26"/>
          <w:szCs w:val="26"/>
        </w:rPr>
        <w:t xml:space="preserve">application </w:t>
      </w:r>
      <w:r w:rsidR="00B752F2" w:rsidRPr="00B75FD6">
        <w:rPr>
          <w:sz w:val="26"/>
          <w:szCs w:val="26"/>
        </w:rPr>
        <w:t>by</w:t>
      </w:r>
      <w:r w:rsidR="007E054C" w:rsidRPr="00B75FD6">
        <w:rPr>
          <w:sz w:val="26"/>
          <w:szCs w:val="26"/>
        </w:rPr>
        <w:t xml:space="preserve"> the appellant</w:t>
      </w:r>
      <w:r w:rsidR="00017FB8" w:rsidRPr="00B75FD6">
        <w:rPr>
          <w:sz w:val="26"/>
          <w:szCs w:val="26"/>
        </w:rPr>
        <w:t xml:space="preserve"> </w:t>
      </w:r>
      <w:r w:rsidR="007E054C" w:rsidRPr="00B75FD6">
        <w:rPr>
          <w:sz w:val="26"/>
          <w:szCs w:val="26"/>
        </w:rPr>
        <w:t xml:space="preserve">in terms of the DTI’s South African </w:t>
      </w:r>
      <w:r w:rsidR="00017FB8" w:rsidRPr="00B75FD6">
        <w:rPr>
          <w:sz w:val="26"/>
          <w:szCs w:val="26"/>
        </w:rPr>
        <w:t>F</w:t>
      </w:r>
      <w:r w:rsidR="007E054C" w:rsidRPr="00B75FD6">
        <w:rPr>
          <w:sz w:val="26"/>
          <w:szCs w:val="26"/>
        </w:rPr>
        <w:t xml:space="preserve">ilm and </w:t>
      </w:r>
      <w:r w:rsidR="00017FB8" w:rsidRPr="00B75FD6">
        <w:rPr>
          <w:sz w:val="26"/>
          <w:szCs w:val="26"/>
        </w:rPr>
        <w:t>T</w:t>
      </w:r>
      <w:r w:rsidR="007E054C" w:rsidRPr="00B75FD6">
        <w:rPr>
          <w:sz w:val="26"/>
          <w:szCs w:val="26"/>
        </w:rPr>
        <w:t>elevision Co</w:t>
      </w:r>
      <w:r w:rsidR="00017FB8" w:rsidRPr="00B75FD6">
        <w:rPr>
          <w:sz w:val="26"/>
          <w:szCs w:val="26"/>
        </w:rPr>
        <w:t>-P</w:t>
      </w:r>
      <w:r w:rsidR="007E054C" w:rsidRPr="00B75FD6">
        <w:rPr>
          <w:sz w:val="26"/>
          <w:szCs w:val="26"/>
        </w:rPr>
        <w:t xml:space="preserve">roduction </w:t>
      </w:r>
      <w:r w:rsidR="00017FB8" w:rsidRPr="00B75FD6">
        <w:rPr>
          <w:sz w:val="26"/>
          <w:szCs w:val="26"/>
        </w:rPr>
        <w:t>I</w:t>
      </w:r>
      <w:r w:rsidR="007E054C" w:rsidRPr="00B75FD6">
        <w:rPr>
          <w:sz w:val="26"/>
          <w:szCs w:val="26"/>
        </w:rPr>
        <w:t>ncentive</w:t>
      </w:r>
      <w:r w:rsidR="00A479ED" w:rsidRPr="00B75FD6">
        <w:rPr>
          <w:sz w:val="26"/>
          <w:szCs w:val="26"/>
        </w:rPr>
        <w:t>, for</w:t>
      </w:r>
      <w:r w:rsidR="007E054C" w:rsidRPr="00B75FD6">
        <w:rPr>
          <w:sz w:val="26"/>
          <w:szCs w:val="26"/>
        </w:rPr>
        <w:t xml:space="preserve"> production of a film called </w:t>
      </w:r>
      <w:r w:rsidR="007E054C" w:rsidRPr="00B75FD6">
        <w:rPr>
          <w:i/>
          <w:iCs/>
          <w:sz w:val="26"/>
          <w:szCs w:val="26"/>
        </w:rPr>
        <w:t>Dia</w:t>
      </w:r>
      <w:r w:rsidR="00A479ED" w:rsidRPr="00B75FD6">
        <w:rPr>
          <w:i/>
          <w:iCs/>
          <w:sz w:val="26"/>
          <w:szCs w:val="26"/>
        </w:rPr>
        <w:t>s</w:t>
      </w:r>
      <w:r w:rsidR="007E054C" w:rsidRPr="00B75FD6">
        <w:rPr>
          <w:i/>
          <w:iCs/>
          <w:sz w:val="26"/>
          <w:szCs w:val="26"/>
        </w:rPr>
        <w:t xml:space="preserve"> Santana</w:t>
      </w:r>
      <w:r w:rsidR="00017FB8" w:rsidRPr="00B75FD6">
        <w:rPr>
          <w:sz w:val="26"/>
          <w:szCs w:val="26"/>
        </w:rPr>
        <w:t>.</w:t>
      </w:r>
      <w:r w:rsidR="007E054C" w:rsidRPr="00B75FD6">
        <w:rPr>
          <w:sz w:val="26"/>
          <w:szCs w:val="26"/>
        </w:rPr>
        <w:t xml:space="preserve"> </w:t>
      </w:r>
      <w:r w:rsidR="008531C3" w:rsidRPr="00B75FD6">
        <w:rPr>
          <w:sz w:val="26"/>
          <w:szCs w:val="26"/>
        </w:rPr>
        <w:t xml:space="preserve"> </w:t>
      </w:r>
      <w:r w:rsidR="007E054C" w:rsidRPr="00B75FD6">
        <w:rPr>
          <w:sz w:val="26"/>
          <w:szCs w:val="26"/>
        </w:rPr>
        <w:t xml:space="preserve">When the appellant </w:t>
      </w:r>
      <w:r w:rsidR="00D90912" w:rsidRPr="00B75FD6">
        <w:rPr>
          <w:sz w:val="26"/>
          <w:szCs w:val="26"/>
        </w:rPr>
        <w:t xml:space="preserve">later </w:t>
      </w:r>
      <w:r w:rsidR="007E054C" w:rsidRPr="00B75FD6">
        <w:rPr>
          <w:sz w:val="26"/>
          <w:szCs w:val="26"/>
        </w:rPr>
        <w:t xml:space="preserve">submitted a claim </w:t>
      </w:r>
      <w:r w:rsidR="00604341" w:rsidRPr="00B75FD6">
        <w:rPr>
          <w:sz w:val="26"/>
          <w:szCs w:val="26"/>
        </w:rPr>
        <w:t>for</w:t>
      </w:r>
      <w:r w:rsidR="007E054C" w:rsidRPr="00B75FD6">
        <w:rPr>
          <w:sz w:val="26"/>
          <w:szCs w:val="26"/>
        </w:rPr>
        <w:t xml:space="preserve"> work done, the DTI rejected the claim and recalled </w:t>
      </w:r>
      <w:r w:rsidR="00017FB8" w:rsidRPr="00B75FD6">
        <w:rPr>
          <w:sz w:val="26"/>
          <w:szCs w:val="26"/>
        </w:rPr>
        <w:t>its</w:t>
      </w:r>
      <w:r w:rsidR="007E054C" w:rsidRPr="00B75FD6">
        <w:rPr>
          <w:sz w:val="26"/>
          <w:szCs w:val="26"/>
        </w:rPr>
        <w:t xml:space="preserve"> provisional approval.</w:t>
      </w:r>
      <w:r w:rsidR="008531C3" w:rsidRPr="00B75FD6">
        <w:rPr>
          <w:sz w:val="26"/>
          <w:szCs w:val="26"/>
        </w:rPr>
        <w:t xml:space="preserve"> </w:t>
      </w:r>
    </w:p>
    <w:p w:rsidR="00017FB8" w:rsidRDefault="00017FB8" w:rsidP="00017FB8">
      <w:pPr>
        <w:pStyle w:val="ListParagraph"/>
        <w:spacing w:after="0" w:line="360" w:lineRule="auto"/>
        <w:ind w:left="142"/>
        <w:jc w:val="both"/>
        <w:rPr>
          <w:rFonts w:ascii="Times New Roman" w:hAnsi="Times New Roman" w:cs="Times New Roman"/>
          <w:sz w:val="26"/>
          <w:szCs w:val="26"/>
        </w:rPr>
      </w:pPr>
    </w:p>
    <w:p w:rsidR="00016112" w:rsidRPr="00B75FD6" w:rsidRDefault="00B75FD6" w:rsidP="00B75FD6">
      <w:pPr>
        <w:spacing w:line="360" w:lineRule="auto"/>
        <w:ind w:firstLine="142"/>
        <w:jc w:val="both"/>
        <w:rPr>
          <w:sz w:val="26"/>
          <w:szCs w:val="26"/>
        </w:rPr>
      </w:pPr>
      <w:r w:rsidRPr="00E411B9">
        <w:rPr>
          <w:rFonts w:eastAsiaTheme="minorEastAsia"/>
          <w:kern w:val="2"/>
          <w:sz w:val="26"/>
          <w:szCs w:val="26"/>
          <w:lang w:val="en-US" w:eastAsia="en-US"/>
          <w14:ligatures w14:val="standardContextual"/>
        </w:rPr>
        <w:t>[7]</w:t>
      </w:r>
      <w:r w:rsidRPr="00E411B9">
        <w:rPr>
          <w:rFonts w:eastAsiaTheme="minorEastAsia"/>
          <w:kern w:val="2"/>
          <w:sz w:val="26"/>
          <w:szCs w:val="26"/>
          <w:lang w:val="en-US" w:eastAsia="en-US"/>
          <w14:ligatures w14:val="standardContextual"/>
        </w:rPr>
        <w:tab/>
      </w:r>
      <w:r w:rsidR="007E054C" w:rsidRPr="00B75FD6">
        <w:rPr>
          <w:sz w:val="26"/>
          <w:szCs w:val="26"/>
        </w:rPr>
        <w:t xml:space="preserve">The rejection decision was </w:t>
      </w:r>
      <w:r w:rsidR="00017FB8" w:rsidRPr="00B75FD6">
        <w:rPr>
          <w:sz w:val="26"/>
          <w:szCs w:val="26"/>
        </w:rPr>
        <w:t xml:space="preserve">issued </w:t>
      </w:r>
      <w:r w:rsidR="007E054C" w:rsidRPr="00B75FD6">
        <w:rPr>
          <w:sz w:val="26"/>
          <w:szCs w:val="26"/>
        </w:rPr>
        <w:t>on 31 July 20</w:t>
      </w:r>
      <w:r w:rsidR="008531C3" w:rsidRPr="00B75FD6">
        <w:rPr>
          <w:sz w:val="26"/>
          <w:szCs w:val="26"/>
        </w:rPr>
        <w:t>15</w:t>
      </w:r>
      <w:r w:rsidR="007E054C" w:rsidRPr="00B75FD6">
        <w:rPr>
          <w:sz w:val="26"/>
          <w:szCs w:val="26"/>
        </w:rPr>
        <w:t>.</w:t>
      </w:r>
      <w:r w:rsidR="008531C3" w:rsidRPr="00B75FD6">
        <w:rPr>
          <w:sz w:val="26"/>
          <w:szCs w:val="26"/>
        </w:rPr>
        <w:t xml:space="preserve"> </w:t>
      </w:r>
      <w:r w:rsidR="007E054C" w:rsidRPr="00B75FD6">
        <w:rPr>
          <w:sz w:val="26"/>
          <w:szCs w:val="26"/>
        </w:rPr>
        <w:t xml:space="preserve"> </w:t>
      </w:r>
      <w:r w:rsidR="00017FB8" w:rsidRPr="00B75FD6">
        <w:rPr>
          <w:sz w:val="26"/>
          <w:szCs w:val="26"/>
        </w:rPr>
        <w:t>On 22 August 2015 t</w:t>
      </w:r>
      <w:r w:rsidR="007E054C" w:rsidRPr="00B75FD6">
        <w:rPr>
          <w:sz w:val="26"/>
          <w:szCs w:val="26"/>
        </w:rPr>
        <w:t>he appellant lodged an internal appeal, apparently in terms of annexure E t</w:t>
      </w:r>
      <w:r w:rsidR="008531C3" w:rsidRPr="00B75FD6">
        <w:rPr>
          <w:sz w:val="26"/>
          <w:szCs w:val="26"/>
        </w:rPr>
        <w:t>o</w:t>
      </w:r>
      <w:r w:rsidR="007E054C" w:rsidRPr="00B75FD6">
        <w:rPr>
          <w:sz w:val="26"/>
          <w:szCs w:val="26"/>
        </w:rPr>
        <w:t xml:space="preserve"> the guidelines of </w:t>
      </w:r>
      <w:r w:rsidR="00017FB8" w:rsidRPr="00B75FD6">
        <w:rPr>
          <w:sz w:val="26"/>
          <w:szCs w:val="26"/>
        </w:rPr>
        <w:t xml:space="preserve">DTI’s </w:t>
      </w:r>
      <w:r w:rsidR="001A6786" w:rsidRPr="00B75FD6">
        <w:rPr>
          <w:sz w:val="26"/>
          <w:szCs w:val="26"/>
        </w:rPr>
        <w:t xml:space="preserve">incentive </w:t>
      </w:r>
      <w:r w:rsidR="007E054C" w:rsidRPr="00B75FD6">
        <w:rPr>
          <w:sz w:val="26"/>
          <w:szCs w:val="26"/>
        </w:rPr>
        <w:t>program</w:t>
      </w:r>
      <w:r w:rsidR="001A6786" w:rsidRPr="00B75FD6">
        <w:rPr>
          <w:sz w:val="26"/>
          <w:szCs w:val="26"/>
        </w:rPr>
        <w:t>me</w:t>
      </w:r>
      <w:r w:rsidR="007E054C" w:rsidRPr="00B75FD6">
        <w:rPr>
          <w:sz w:val="26"/>
          <w:szCs w:val="26"/>
        </w:rPr>
        <w:t xml:space="preserve">. </w:t>
      </w:r>
      <w:r w:rsidR="00016112" w:rsidRPr="00B75FD6">
        <w:rPr>
          <w:sz w:val="26"/>
          <w:szCs w:val="26"/>
        </w:rPr>
        <w:t xml:space="preserve"> </w:t>
      </w:r>
      <w:r w:rsidR="00017FB8" w:rsidRPr="00B75FD6">
        <w:rPr>
          <w:sz w:val="26"/>
          <w:szCs w:val="26"/>
        </w:rPr>
        <w:t>F</w:t>
      </w:r>
      <w:r w:rsidR="007E054C" w:rsidRPr="00B75FD6">
        <w:rPr>
          <w:sz w:val="26"/>
          <w:szCs w:val="26"/>
        </w:rPr>
        <w:t>rom the time that the appellant’s claim was rejected on 31 July 2015, the parties engaged in correspondence and discussions</w:t>
      </w:r>
      <w:r w:rsidR="00017FB8" w:rsidRPr="00B75FD6">
        <w:rPr>
          <w:sz w:val="26"/>
          <w:szCs w:val="26"/>
        </w:rPr>
        <w:t>, sometimes through legal representatives</w:t>
      </w:r>
      <w:r w:rsidR="007E054C" w:rsidRPr="00B75FD6">
        <w:rPr>
          <w:sz w:val="26"/>
          <w:szCs w:val="26"/>
        </w:rPr>
        <w:t xml:space="preserve">. </w:t>
      </w:r>
    </w:p>
    <w:p w:rsidR="00016112" w:rsidRPr="00E411B9" w:rsidRDefault="00016112" w:rsidP="00E411B9">
      <w:pPr>
        <w:pStyle w:val="ListParagraph"/>
        <w:spacing w:after="0" w:line="360" w:lineRule="auto"/>
        <w:rPr>
          <w:rFonts w:ascii="Times New Roman" w:hAnsi="Times New Roman" w:cs="Times New Roman"/>
          <w:sz w:val="26"/>
          <w:szCs w:val="26"/>
        </w:rPr>
      </w:pPr>
    </w:p>
    <w:p w:rsidR="00017FB8" w:rsidRPr="00B75FD6" w:rsidRDefault="00B75FD6" w:rsidP="00B75FD6">
      <w:pPr>
        <w:spacing w:line="360" w:lineRule="auto"/>
        <w:ind w:firstLine="142"/>
        <w:jc w:val="both"/>
        <w:rPr>
          <w:sz w:val="26"/>
          <w:szCs w:val="26"/>
        </w:rPr>
      </w:pPr>
      <w:r>
        <w:rPr>
          <w:rFonts w:eastAsiaTheme="minorEastAsia"/>
          <w:kern w:val="2"/>
          <w:sz w:val="26"/>
          <w:szCs w:val="26"/>
          <w:lang w:val="en-US" w:eastAsia="en-US"/>
          <w14:ligatures w14:val="standardContextual"/>
        </w:rPr>
        <w:t>[8]</w:t>
      </w:r>
      <w:r>
        <w:rPr>
          <w:rFonts w:eastAsiaTheme="minorEastAsia"/>
          <w:kern w:val="2"/>
          <w:sz w:val="26"/>
          <w:szCs w:val="26"/>
          <w:lang w:val="en-US" w:eastAsia="en-US"/>
          <w14:ligatures w14:val="standardContextual"/>
        </w:rPr>
        <w:tab/>
      </w:r>
      <w:r w:rsidR="00017FB8" w:rsidRPr="00B75FD6">
        <w:rPr>
          <w:sz w:val="26"/>
          <w:szCs w:val="26"/>
        </w:rPr>
        <w:t xml:space="preserve">Amongst the correspondence was a letter from DTI dated 21 August 2015 </w:t>
      </w:r>
      <w:r w:rsidR="007E054C" w:rsidRPr="00B75FD6">
        <w:rPr>
          <w:sz w:val="26"/>
          <w:szCs w:val="26"/>
        </w:rPr>
        <w:t>request</w:t>
      </w:r>
      <w:r w:rsidR="00017FB8" w:rsidRPr="00B75FD6">
        <w:rPr>
          <w:sz w:val="26"/>
          <w:szCs w:val="26"/>
        </w:rPr>
        <w:t>ing</w:t>
      </w:r>
      <w:r w:rsidR="007E054C" w:rsidRPr="00B75FD6">
        <w:rPr>
          <w:sz w:val="26"/>
          <w:szCs w:val="26"/>
        </w:rPr>
        <w:t xml:space="preserve"> specified items of information </w:t>
      </w:r>
      <w:r w:rsidR="00017FB8" w:rsidRPr="00B75FD6">
        <w:rPr>
          <w:sz w:val="26"/>
          <w:szCs w:val="26"/>
        </w:rPr>
        <w:t>from the appellant, and it</w:t>
      </w:r>
      <w:r w:rsidR="007E054C" w:rsidRPr="00B75FD6">
        <w:rPr>
          <w:sz w:val="26"/>
          <w:szCs w:val="26"/>
        </w:rPr>
        <w:t xml:space="preserve"> ended with an assurance that </w:t>
      </w:r>
      <w:r w:rsidR="000C52D1" w:rsidRPr="00B75FD6">
        <w:rPr>
          <w:i/>
          <w:iCs/>
          <w:sz w:val="26"/>
          <w:szCs w:val="26"/>
        </w:rPr>
        <w:t>“s</w:t>
      </w:r>
      <w:r w:rsidR="007E054C" w:rsidRPr="00B75FD6">
        <w:rPr>
          <w:i/>
          <w:iCs/>
          <w:sz w:val="26"/>
          <w:szCs w:val="26"/>
        </w:rPr>
        <w:t>ubmission of the required proof or documentation will be of material bearing in the consideration of the appeal</w:t>
      </w:r>
      <w:r w:rsidR="000C52D1" w:rsidRPr="00B75FD6">
        <w:rPr>
          <w:i/>
          <w:iCs/>
          <w:sz w:val="26"/>
          <w:szCs w:val="26"/>
        </w:rPr>
        <w:t>”</w:t>
      </w:r>
      <w:r w:rsidR="000C52D1" w:rsidRPr="00B75FD6">
        <w:rPr>
          <w:sz w:val="26"/>
          <w:szCs w:val="26"/>
        </w:rPr>
        <w:t xml:space="preserve">. </w:t>
      </w:r>
      <w:r w:rsidR="007E054C" w:rsidRPr="00B75FD6">
        <w:rPr>
          <w:sz w:val="26"/>
          <w:szCs w:val="26"/>
        </w:rPr>
        <w:t xml:space="preserve"> </w:t>
      </w:r>
    </w:p>
    <w:p w:rsidR="00604341" w:rsidRPr="00604341" w:rsidRDefault="00604341" w:rsidP="00604341">
      <w:pPr>
        <w:spacing w:line="360" w:lineRule="auto"/>
        <w:jc w:val="both"/>
        <w:rPr>
          <w:sz w:val="26"/>
          <w:szCs w:val="26"/>
        </w:rPr>
      </w:pPr>
    </w:p>
    <w:p w:rsidR="00F916A6" w:rsidRPr="00B75FD6" w:rsidRDefault="00B75FD6" w:rsidP="00B75FD6">
      <w:pPr>
        <w:spacing w:line="360" w:lineRule="auto"/>
        <w:ind w:firstLine="142"/>
        <w:jc w:val="both"/>
        <w:rPr>
          <w:sz w:val="26"/>
          <w:szCs w:val="26"/>
        </w:rPr>
      </w:pPr>
      <w:r w:rsidRPr="00017FB8">
        <w:rPr>
          <w:rFonts w:eastAsiaTheme="minorEastAsia"/>
          <w:kern w:val="2"/>
          <w:sz w:val="26"/>
          <w:szCs w:val="26"/>
          <w:lang w:val="en-US" w:eastAsia="en-US"/>
          <w14:ligatures w14:val="standardContextual"/>
        </w:rPr>
        <w:t>[9]</w:t>
      </w:r>
      <w:r w:rsidRPr="00017FB8">
        <w:rPr>
          <w:rFonts w:eastAsiaTheme="minorEastAsia"/>
          <w:kern w:val="2"/>
          <w:sz w:val="26"/>
          <w:szCs w:val="26"/>
          <w:lang w:val="en-US" w:eastAsia="en-US"/>
          <w14:ligatures w14:val="standardContextual"/>
        </w:rPr>
        <w:tab/>
      </w:r>
      <w:r w:rsidR="00017FB8" w:rsidRPr="00B75FD6">
        <w:rPr>
          <w:sz w:val="26"/>
          <w:szCs w:val="26"/>
        </w:rPr>
        <w:t>T</w:t>
      </w:r>
      <w:r w:rsidR="007E054C" w:rsidRPr="00B75FD6">
        <w:rPr>
          <w:sz w:val="26"/>
          <w:szCs w:val="26"/>
        </w:rPr>
        <w:t>he</w:t>
      </w:r>
      <w:r w:rsidR="00397841" w:rsidRPr="00B75FD6">
        <w:rPr>
          <w:sz w:val="26"/>
          <w:szCs w:val="26"/>
        </w:rPr>
        <w:t xml:space="preserve"> appeal hearing was held on 24 A</w:t>
      </w:r>
      <w:r w:rsidR="007E054C" w:rsidRPr="00B75FD6">
        <w:rPr>
          <w:sz w:val="26"/>
          <w:szCs w:val="26"/>
        </w:rPr>
        <w:t xml:space="preserve">ugust 2015. </w:t>
      </w:r>
      <w:r w:rsidR="00017FB8" w:rsidRPr="00B75FD6">
        <w:rPr>
          <w:sz w:val="26"/>
          <w:szCs w:val="26"/>
        </w:rPr>
        <w:t>A</w:t>
      </w:r>
      <w:r w:rsidR="007E054C" w:rsidRPr="00B75FD6">
        <w:rPr>
          <w:sz w:val="26"/>
          <w:szCs w:val="26"/>
        </w:rPr>
        <w:t>t the appeal hearing further information was sought from the appellant.</w:t>
      </w:r>
      <w:r w:rsidR="00F916A6" w:rsidRPr="00B75FD6">
        <w:rPr>
          <w:sz w:val="26"/>
          <w:szCs w:val="26"/>
        </w:rPr>
        <w:t xml:space="preserve"> </w:t>
      </w:r>
      <w:r w:rsidR="007E054C" w:rsidRPr="00B75FD6">
        <w:rPr>
          <w:sz w:val="26"/>
          <w:szCs w:val="26"/>
        </w:rPr>
        <w:t xml:space="preserve"> </w:t>
      </w:r>
      <w:r w:rsidR="00017FB8" w:rsidRPr="00B75FD6">
        <w:rPr>
          <w:sz w:val="26"/>
          <w:szCs w:val="26"/>
        </w:rPr>
        <w:t>It is not disputed in the papers that</w:t>
      </w:r>
      <w:r w:rsidR="007E054C" w:rsidRPr="00B75FD6">
        <w:rPr>
          <w:sz w:val="26"/>
          <w:szCs w:val="26"/>
        </w:rPr>
        <w:t xml:space="preserve"> the appellant submitted </w:t>
      </w:r>
      <w:r w:rsidR="00D258DA" w:rsidRPr="00B75FD6">
        <w:rPr>
          <w:sz w:val="26"/>
          <w:szCs w:val="26"/>
        </w:rPr>
        <w:t xml:space="preserve">some </w:t>
      </w:r>
      <w:r w:rsidR="007E054C" w:rsidRPr="00B75FD6">
        <w:rPr>
          <w:sz w:val="26"/>
          <w:szCs w:val="26"/>
        </w:rPr>
        <w:t>information in a letter dated 25 August 2015, and</w:t>
      </w:r>
      <w:r w:rsidR="00F916A6" w:rsidRPr="00B75FD6">
        <w:rPr>
          <w:sz w:val="26"/>
          <w:szCs w:val="26"/>
        </w:rPr>
        <w:t xml:space="preserve"> by hand </w:t>
      </w:r>
      <w:r w:rsidR="00017FB8" w:rsidRPr="00B75FD6">
        <w:rPr>
          <w:sz w:val="26"/>
          <w:szCs w:val="26"/>
        </w:rPr>
        <w:t>on 26 August 2015 to</w:t>
      </w:r>
      <w:r w:rsidR="00F916A6" w:rsidRPr="00B75FD6">
        <w:rPr>
          <w:sz w:val="26"/>
          <w:szCs w:val="26"/>
        </w:rPr>
        <w:t xml:space="preserve"> Mr. </w:t>
      </w:r>
      <w:r w:rsidR="0015612F" w:rsidRPr="00B75FD6">
        <w:rPr>
          <w:sz w:val="26"/>
          <w:szCs w:val="26"/>
        </w:rPr>
        <w:t>Truter</w:t>
      </w:r>
      <w:r w:rsidR="00017FB8" w:rsidRPr="00B75FD6">
        <w:rPr>
          <w:sz w:val="26"/>
          <w:szCs w:val="26"/>
        </w:rPr>
        <w:t xml:space="preserve"> who worked for the </w:t>
      </w:r>
      <w:r w:rsidR="007E054C" w:rsidRPr="00B75FD6">
        <w:rPr>
          <w:sz w:val="26"/>
          <w:szCs w:val="26"/>
        </w:rPr>
        <w:t xml:space="preserve">DTI </w:t>
      </w:r>
      <w:r w:rsidR="00017FB8" w:rsidRPr="00B75FD6">
        <w:rPr>
          <w:sz w:val="26"/>
          <w:szCs w:val="26"/>
        </w:rPr>
        <w:t>at the time</w:t>
      </w:r>
      <w:r w:rsidR="007E054C" w:rsidRPr="00B75FD6">
        <w:rPr>
          <w:sz w:val="26"/>
          <w:szCs w:val="26"/>
        </w:rPr>
        <w:t xml:space="preserve">. </w:t>
      </w:r>
    </w:p>
    <w:p w:rsidR="00F916A6" w:rsidRPr="00312E08" w:rsidRDefault="00F916A6" w:rsidP="00312E08">
      <w:pPr>
        <w:pStyle w:val="ListParagraph"/>
        <w:spacing w:after="0" w:line="360" w:lineRule="auto"/>
        <w:jc w:val="both"/>
        <w:rPr>
          <w:rFonts w:ascii="Times New Roman" w:hAnsi="Times New Roman" w:cs="Times New Roman"/>
          <w:sz w:val="26"/>
          <w:szCs w:val="26"/>
        </w:rPr>
      </w:pPr>
    </w:p>
    <w:p w:rsidR="00017FB8" w:rsidRPr="00B75FD6" w:rsidRDefault="00B75FD6" w:rsidP="00B75FD6">
      <w:pPr>
        <w:spacing w:line="360" w:lineRule="auto"/>
        <w:ind w:firstLine="142"/>
        <w:jc w:val="both"/>
        <w:rPr>
          <w:sz w:val="26"/>
          <w:szCs w:val="26"/>
        </w:rPr>
      </w:pPr>
      <w:r>
        <w:rPr>
          <w:rFonts w:eastAsiaTheme="minorEastAsia"/>
          <w:kern w:val="2"/>
          <w:sz w:val="26"/>
          <w:szCs w:val="26"/>
          <w:lang w:val="en-US" w:eastAsia="en-US"/>
          <w14:ligatures w14:val="standardContextual"/>
        </w:rPr>
        <w:lastRenderedPageBreak/>
        <w:t>[10]</w:t>
      </w:r>
      <w:r>
        <w:rPr>
          <w:rFonts w:eastAsiaTheme="minorEastAsia"/>
          <w:kern w:val="2"/>
          <w:sz w:val="26"/>
          <w:szCs w:val="26"/>
          <w:lang w:val="en-US" w:eastAsia="en-US"/>
          <w14:ligatures w14:val="standardContextual"/>
        </w:rPr>
        <w:tab/>
      </w:r>
      <w:r w:rsidR="00F916A6" w:rsidRPr="00B75FD6">
        <w:rPr>
          <w:sz w:val="26"/>
          <w:szCs w:val="26"/>
        </w:rPr>
        <w:t>O</w:t>
      </w:r>
      <w:r w:rsidR="007E054C" w:rsidRPr="00B75FD6">
        <w:rPr>
          <w:sz w:val="26"/>
          <w:szCs w:val="26"/>
        </w:rPr>
        <w:t>n 16 September 2015 the appellant, through its legal representatives, Cliff</w:t>
      </w:r>
      <w:r w:rsidR="00235EB2" w:rsidRPr="00B75FD6">
        <w:rPr>
          <w:sz w:val="26"/>
          <w:szCs w:val="26"/>
        </w:rPr>
        <w:t>e</w:t>
      </w:r>
      <w:r w:rsidR="007E054C" w:rsidRPr="00B75FD6">
        <w:rPr>
          <w:sz w:val="26"/>
          <w:szCs w:val="26"/>
        </w:rPr>
        <w:t xml:space="preserve"> De</w:t>
      </w:r>
      <w:r w:rsidR="00235EB2" w:rsidRPr="00B75FD6">
        <w:rPr>
          <w:sz w:val="26"/>
          <w:szCs w:val="26"/>
        </w:rPr>
        <w:t>k</w:t>
      </w:r>
      <w:r w:rsidR="007E054C" w:rsidRPr="00B75FD6">
        <w:rPr>
          <w:sz w:val="26"/>
          <w:szCs w:val="26"/>
        </w:rPr>
        <w:t xml:space="preserve">ker </w:t>
      </w:r>
      <w:r w:rsidR="00235EB2" w:rsidRPr="00B75FD6">
        <w:rPr>
          <w:sz w:val="26"/>
          <w:szCs w:val="26"/>
        </w:rPr>
        <w:t>Hofmeyr</w:t>
      </w:r>
      <w:r w:rsidR="007E054C" w:rsidRPr="00B75FD6">
        <w:rPr>
          <w:sz w:val="26"/>
          <w:szCs w:val="26"/>
        </w:rPr>
        <w:t xml:space="preserve">, requested a meeting with Mr. </w:t>
      </w:r>
      <w:r w:rsidR="0015612F" w:rsidRPr="00B75FD6">
        <w:rPr>
          <w:sz w:val="26"/>
          <w:szCs w:val="26"/>
        </w:rPr>
        <w:t>Truter</w:t>
      </w:r>
      <w:r w:rsidR="007E054C" w:rsidRPr="00B75FD6">
        <w:rPr>
          <w:sz w:val="26"/>
          <w:szCs w:val="26"/>
        </w:rPr>
        <w:t xml:space="preserve"> in order to resolve the appeal. </w:t>
      </w:r>
      <w:r w:rsidR="00235EB2" w:rsidRPr="00B75FD6">
        <w:rPr>
          <w:sz w:val="26"/>
          <w:szCs w:val="26"/>
        </w:rPr>
        <w:t xml:space="preserve"> </w:t>
      </w:r>
      <w:r w:rsidR="00017FB8" w:rsidRPr="00B75FD6">
        <w:rPr>
          <w:sz w:val="26"/>
          <w:szCs w:val="26"/>
        </w:rPr>
        <w:t xml:space="preserve">The DTI responded by </w:t>
      </w:r>
      <w:r w:rsidR="007E054C" w:rsidRPr="00B75FD6">
        <w:rPr>
          <w:sz w:val="26"/>
          <w:szCs w:val="26"/>
        </w:rPr>
        <w:t>letter dated 21 September 2015,</w:t>
      </w:r>
      <w:r w:rsidR="00017FB8" w:rsidRPr="00B75FD6">
        <w:rPr>
          <w:sz w:val="26"/>
          <w:szCs w:val="26"/>
        </w:rPr>
        <w:t xml:space="preserve"> as follows:</w:t>
      </w:r>
    </w:p>
    <w:p w:rsidR="00017FB8" w:rsidRPr="00017FB8" w:rsidRDefault="00017FB8" w:rsidP="00017FB8">
      <w:pPr>
        <w:pStyle w:val="ListParagraph"/>
        <w:rPr>
          <w:rFonts w:ascii="Times New Roman" w:hAnsi="Times New Roman" w:cs="Times New Roman"/>
          <w:sz w:val="26"/>
          <w:szCs w:val="26"/>
        </w:rPr>
      </w:pPr>
    </w:p>
    <w:p w:rsidR="00D258DA" w:rsidRPr="00D258DA" w:rsidRDefault="00235EB2" w:rsidP="00D258DA">
      <w:pPr>
        <w:pStyle w:val="ListParagraph"/>
        <w:spacing w:after="0" w:line="240" w:lineRule="auto"/>
        <w:ind w:right="1138"/>
        <w:jc w:val="both"/>
        <w:rPr>
          <w:rFonts w:ascii="Times New Roman" w:hAnsi="Times New Roman" w:cs="Times New Roman"/>
        </w:rPr>
      </w:pPr>
      <w:r w:rsidRPr="00D258DA">
        <w:rPr>
          <w:rFonts w:ascii="Times New Roman" w:hAnsi="Times New Roman" w:cs="Times New Roman"/>
        </w:rPr>
        <w:t>“</w:t>
      </w:r>
      <w:r w:rsidR="00D258DA" w:rsidRPr="00D258DA">
        <w:rPr>
          <w:rFonts w:ascii="Times New Roman" w:hAnsi="Times New Roman" w:cs="Times New Roman"/>
        </w:rPr>
        <w:t>Kindly be advised that your request for a meeting to discuss the above-mentioned project cannot be entertained due to the following reasons:</w:t>
      </w:r>
    </w:p>
    <w:p w:rsidR="00D258DA" w:rsidRPr="00D258DA" w:rsidRDefault="00D258DA" w:rsidP="00D258DA">
      <w:pPr>
        <w:pStyle w:val="ListParagraph"/>
        <w:spacing w:after="0" w:line="240" w:lineRule="auto"/>
        <w:ind w:left="142" w:right="1138" w:firstLine="578"/>
        <w:jc w:val="both"/>
        <w:rPr>
          <w:rFonts w:ascii="Times New Roman" w:hAnsi="Times New Roman" w:cs="Times New Roman"/>
        </w:rPr>
      </w:pPr>
    </w:p>
    <w:p w:rsidR="00D258DA" w:rsidRPr="00B75FD6" w:rsidRDefault="00B75FD6" w:rsidP="00B75FD6">
      <w:pPr>
        <w:ind w:left="1080" w:right="1138" w:hanging="360"/>
        <w:jc w:val="both"/>
      </w:pPr>
      <w:r>
        <w:rPr>
          <w:rFonts w:eastAsiaTheme="minorEastAsia"/>
          <w:kern w:val="2"/>
          <w:sz w:val="22"/>
          <w:szCs w:val="22"/>
          <w:lang w:val="en-US" w:eastAsia="en-US"/>
          <w14:ligatures w14:val="standardContextual"/>
        </w:rPr>
        <w:t>1.</w:t>
      </w:r>
      <w:r>
        <w:rPr>
          <w:rFonts w:eastAsiaTheme="minorEastAsia"/>
          <w:kern w:val="2"/>
          <w:sz w:val="22"/>
          <w:szCs w:val="22"/>
          <w:lang w:val="en-US" w:eastAsia="en-US"/>
          <w14:ligatures w14:val="standardContextual"/>
        </w:rPr>
        <w:tab/>
      </w:r>
      <w:r w:rsidR="00D258DA" w:rsidRPr="00B75FD6">
        <w:t>O</w:t>
      </w:r>
      <w:r w:rsidR="007E054C" w:rsidRPr="00B75FD6">
        <w:t>n 24</w:t>
      </w:r>
      <w:r w:rsidR="007E054C" w:rsidRPr="00B75FD6">
        <w:rPr>
          <w:vertAlign w:val="superscript"/>
        </w:rPr>
        <w:t>th</w:t>
      </w:r>
      <w:r w:rsidR="007E054C" w:rsidRPr="00B75FD6">
        <w:t xml:space="preserve"> August 2015 a subsequent meeting was held at the </w:t>
      </w:r>
      <w:r w:rsidR="00D258DA" w:rsidRPr="00B75FD6">
        <w:t>D</w:t>
      </w:r>
      <w:r w:rsidR="007E054C" w:rsidRPr="00B75FD6">
        <w:t xml:space="preserve">epartment of </w:t>
      </w:r>
      <w:r w:rsidR="00235EB2" w:rsidRPr="00B75FD6">
        <w:t>Trade and Industry</w:t>
      </w:r>
      <w:r w:rsidR="007E054C" w:rsidRPr="00B75FD6">
        <w:t xml:space="preserve">…wherein the same project disapproval status was discussed and after thoroughly considering all the facts and merits of the application and having taken into account the deliberations of that day; </w:t>
      </w:r>
      <w:r w:rsidR="00235EB2" w:rsidRPr="00B75FD6">
        <w:t>a</w:t>
      </w:r>
      <w:r w:rsidR="007E054C" w:rsidRPr="00B75FD6">
        <w:t xml:space="preserve">nd </w:t>
      </w:r>
    </w:p>
    <w:p w:rsidR="00D258DA" w:rsidRPr="00D258DA" w:rsidRDefault="00D258DA" w:rsidP="00D258DA">
      <w:pPr>
        <w:pStyle w:val="ListParagraph"/>
        <w:spacing w:after="0" w:line="240" w:lineRule="auto"/>
        <w:ind w:left="1080" w:right="1138"/>
        <w:jc w:val="both"/>
        <w:rPr>
          <w:rFonts w:ascii="Times New Roman" w:hAnsi="Times New Roman" w:cs="Times New Roman"/>
        </w:rPr>
      </w:pPr>
    </w:p>
    <w:p w:rsidR="00D258DA" w:rsidRPr="00B75FD6" w:rsidRDefault="00B75FD6" w:rsidP="00B75FD6">
      <w:pPr>
        <w:ind w:left="1080" w:right="1138" w:hanging="360"/>
        <w:jc w:val="both"/>
      </w:pPr>
      <w:r>
        <w:rPr>
          <w:rFonts w:eastAsiaTheme="minorEastAsia"/>
          <w:kern w:val="2"/>
          <w:sz w:val="22"/>
          <w:szCs w:val="22"/>
          <w:lang w:val="en-US" w:eastAsia="en-US"/>
          <w14:ligatures w14:val="standardContextual"/>
        </w:rPr>
        <w:t>2.</w:t>
      </w:r>
      <w:r>
        <w:rPr>
          <w:rFonts w:eastAsiaTheme="minorEastAsia"/>
          <w:kern w:val="2"/>
          <w:sz w:val="22"/>
          <w:szCs w:val="22"/>
          <w:lang w:val="en-US" w:eastAsia="en-US"/>
          <w14:ligatures w14:val="standardContextual"/>
        </w:rPr>
        <w:tab/>
      </w:r>
      <w:r w:rsidR="00D258DA" w:rsidRPr="00B75FD6">
        <w:t>I</w:t>
      </w:r>
      <w:r w:rsidR="007E054C" w:rsidRPr="00B75FD6">
        <w:t xml:space="preserve">n the meeting, Mr. Roland </w:t>
      </w:r>
      <w:r w:rsidR="00235EB2" w:rsidRPr="00B75FD6">
        <w:t>[</w:t>
      </w:r>
      <w:r w:rsidR="00D258DA" w:rsidRPr="00B75FD6">
        <w:t xml:space="preserve">a director of the </w:t>
      </w:r>
      <w:r w:rsidR="00235EB2" w:rsidRPr="00B75FD6">
        <w:t>appellant]</w:t>
      </w:r>
      <w:r w:rsidR="007E054C" w:rsidRPr="00B75FD6">
        <w:t xml:space="preserve"> was requested to furnish certain information to the </w:t>
      </w:r>
      <w:r w:rsidR="00245EAD" w:rsidRPr="00B75FD6">
        <w:t>D</w:t>
      </w:r>
      <w:r w:rsidR="007E054C" w:rsidRPr="00B75FD6">
        <w:t xml:space="preserve">TI to justify his </w:t>
      </w:r>
      <w:r w:rsidR="00245EAD" w:rsidRPr="00B75FD6">
        <w:t>dispute over the findings by the D</w:t>
      </w:r>
      <w:r w:rsidR="007E054C" w:rsidRPr="00B75FD6">
        <w:t xml:space="preserve">TI. </w:t>
      </w:r>
      <w:r w:rsidR="00245EAD" w:rsidRPr="00B75FD6">
        <w:t xml:space="preserve"> </w:t>
      </w:r>
      <w:r w:rsidR="007E054C" w:rsidRPr="00B75FD6">
        <w:rPr>
          <w:b/>
          <w:bCs/>
        </w:rPr>
        <w:t xml:space="preserve">The requested information has not been received by the </w:t>
      </w:r>
      <w:r w:rsidR="00234DE1" w:rsidRPr="00B75FD6">
        <w:rPr>
          <w:b/>
          <w:bCs/>
        </w:rPr>
        <w:t>D</w:t>
      </w:r>
      <w:r w:rsidR="007E054C" w:rsidRPr="00B75FD6">
        <w:rPr>
          <w:b/>
          <w:bCs/>
        </w:rPr>
        <w:t>TI</w:t>
      </w:r>
      <w:r w:rsidR="007E054C" w:rsidRPr="00B75FD6">
        <w:t xml:space="preserve">. </w:t>
      </w:r>
      <w:r w:rsidR="00234DE1" w:rsidRPr="00B75FD6">
        <w:t xml:space="preserve"> </w:t>
      </w:r>
    </w:p>
    <w:p w:rsidR="00D258DA" w:rsidRPr="00D258DA" w:rsidRDefault="00D258DA" w:rsidP="00D258DA">
      <w:pPr>
        <w:pStyle w:val="ListParagraph"/>
        <w:spacing w:after="0" w:line="240" w:lineRule="auto"/>
        <w:ind w:left="1080" w:right="1138"/>
        <w:jc w:val="both"/>
        <w:rPr>
          <w:rFonts w:ascii="Times New Roman" w:hAnsi="Times New Roman" w:cs="Times New Roman"/>
        </w:rPr>
      </w:pPr>
    </w:p>
    <w:p w:rsidR="00D258DA" w:rsidRDefault="007E054C" w:rsidP="00D90912">
      <w:pPr>
        <w:ind w:left="720" w:right="1138"/>
        <w:jc w:val="both"/>
      </w:pPr>
      <w:r w:rsidRPr="00D258DA">
        <w:t xml:space="preserve">It is therefore not necessary for another meeting as the issues had already been dealt with. </w:t>
      </w:r>
      <w:r w:rsidR="00234DE1" w:rsidRPr="00D258DA">
        <w:t xml:space="preserve"> </w:t>
      </w:r>
      <w:r w:rsidRPr="00D258DA">
        <w:t>Therefore the application and</w:t>
      </w:r>
      <w:r w:rsidR="00234DE1" w:rsidRPr="00D258DA">
        <w:t>/or</w:t>
      </w:r>
      <w:r w:rsidRPr="00D258DA">
        <w:t xml:space="preserve"> claim remains rejected by the DTI</w:t>
      </w:r>
      <w:r w:rsidR="00234DE1" w:rsidRPr="00D258DA">
        <w:t>”</w:t>
      </w:r>
      <w:r w:rsidRPr="00D258DA">
        <w:t xml:space="preserve">. </w:t>
      </w:r>
      <w:r w:rsidR="001A6786">
        <w:t>(my emphasis)</w:t>
      </w:r>
      <w:r w:rsidR="00234DE1" w:rsidRPr="00D258DA">
        <w:t xml:space="preserve"> </w:t>
      </w:r>
    </w:p>
    <w:p w:rsidR="00D258DA" w:rsidRPr="00D258DA" w:rsidRDefault="00D258DA" w:rsidP="00D258DA">
      <w:pPr>
        <w:spacing w:line="360" w:lineRule="auto"/>
        <w:ind w:left="720"/>
        <w:jc w:val="both"/>
      </w:pPr>
    </w:p>
    <w:p w:rsidR="00D258DA" w:rsidRPr="00B75FD6" w:rsidRDefault="00B75FD6" w:rsidP="00B75FD6">
      <w:pPr>
        <w:spacing w:line="360" w:lineRule="auto"/>
        <w:ind w:firstLine="142"/>
        <w:jc w:val="both"/>
        <w:rPr>
          <w:sz w:val="26"/>
          <w:szCs w:val="26"/>
        </w:rPr>
      </w:pPr>
      <w:r>
        <w:rPr>
          <w:rFonts w:eastAsiaTheme="minorEastAsia"/>
          <w:kern w:val="2"/>
          <w:sz w:val="26"/>
          <w:szCs w:val="26"/>
          <w:lang w:val="en-US" w:eastAsia="en-US"/>
          <w14:ligatures w14:val="standardContextual"/>
        </w:rPr>
        <w:t>[11]</w:t>
      </w:r>
      <w:r>
        <w:rPr>
          <w:rFonts w:eastAsiaTheme="minorEastAsia"/>
          <w:kern w:val="2"/>
          <w:sz w:val="26"/>
          <w:szCs w:val="26"/>
          <w:lang w:val="en-US" w:eastAsia="en-US"/>
          <w14:ligatures w14:val="standardContextual"/>
        </w:rPr>
        <w:tab/>
      </w:r>
      <w:r w:rsidR="00D258DA" w:rsidRPr="00B75FD6">
        <w:rPr>
          <w:sz w:val="26"/>
          <w:szCs w:val="26"/>
        </w:rPr>
        <w:t xml:space="preserve">The appellant responded by letter dated 25 September 2015 </w:t>
      </w:r>
      <w:r w:rsidR="007E054C" w:rsidRPr="00B75FD6">
        <w:rPr>
          <w:sz w:val="26"/>
          <w:szCs w:val="26"/>
        </w:rPr>
        <w:t>authored by Mr. Roland himself and not Cliff</w:t>
      </w:r>
      <w:r w:rsidR="00A27B67" w:rsidRPr="00B75FD6">
        <w:rPr>
          <w:sz w:val="26"/>
          <w:szCs w:val="26"/>
        </w:rPr>
        <w:t>e Dek</w:t>
      </w:r>
      <w:r w:rsidR="007E054C" w:rsidRPr="00B75FD6">
        <w:rPr>
          <w:sz w:val="26"/>
          <w:szCs w:val="26"/>
        </w:rPr>
        <w:t>ker</w:t>
      </w:r>
      <w:r w:rsidR="00D258DA" w:rsidRPr="00B75FD6">
        <w:rPr>
          <w:sz w:val="26"/>
          <w:szCs w:val="26"/>
        </w:rPr>
        <w:t>, which, in relevant part stated as follows:</w:t>
      </w:r>
    </w:p>
    <w:p w:rsidR="00D258DA" w:rsidRDefault="00D258DA" w:rsidP="00D258DA">
      <w:pPr>
        <w:pStyle w:val="ListParagraph"/>
        <w:spacing w:after="0" w:line="360" w:lineRule="auto"/>
        <w:ind w:left="142"/>
        <w:jc w:val="both"/>
        <w:rPr>
          <w:rFonts w:ascii="Times New Roman" w:hAnsi="Times New Roman" w:cs="Times New Roman"/>
          <w:sz w:val="26"/>
          <w:szCs w:val="26"/>
        </w:rPr>
      </w:pPr>
    </w:p>
    <w:p w:rsidR="00D258DA" w:rsidRPr="00D258DA" w:rsidRDefault="00D258DA" w:rsidP="00D258DA">
      <w:pPr>
        <w:ind w:left="1080" w:right="1138" w:hanging="360"/>
        <w:jc w:val="both"/>
      </w:pPr>
      <w:r w:rsidRPr="00D258DA">
        <w:t>“2.</w:t>
      </w:r>
      <w:r w:rsidRPr="00D258DA">
        <w:tab/>
        <w:t>We are in receipt of your 9 September 2015 letter to our attorneys of record</w:t>
      </w:r>
      <w:r w:rsidR="007E054C" w:rsidRPr="00D258DA">
        <w:t xml:space="preserve">, </w:t>
      </w:r>
      <w:r w:rsidR="00117EF7" w:rsidRPr="00D258DA">
        <w:t>C</w:t>
      </w:r>
      <w:r w:rsidR="007E054C" w:rsidRPr="00D258DA">
        <w:t>liff</w:t>
      </w:r>
      <w:r w:rsidRPr="00D258DA">
        <w:t>e</w:t>
      </w:r>
      <w:r w:rsidR="007E054C" w:rsidRPr="00D258DA">
        <w:t xml:space="preserve"> </w:t>
      </w:r>
      <w:r w:rsidR="00117EF7" w:rsidRPr="00D258DA">
        <w:t>Dekker</w:t>
      </w:r>
      <w:r>
        <w:t xml:space="preserve"> </w:t>
      </w:r>
      <w:r w:rsidR="00117EF7" w:rsidRPr="00D258DA">
        <w:t>Hofmeyr</w:t>
      </w:r>
      <w:r w:rsidR="007E054C" w:rsidRPr="00D258DA">
        <w:t xml:space="preserve"> </w:t>
      </w:r>
      <w:r w:rsidR="00117EF7" w:rsidRPr="00D258DA">
        <w:t>I</w:t>
      </w:r>
      <w:r w:rsidR="007E054C" w:rsidRPr="00D258DA">
        <w:t>nc</w:t>
      </w:r>
      <w:r w:rsidRPr="00D258DA">
        <w:t>.</w:t>
      </w:r>
      <w:r w:rsidR="007E054C" w:rsidRPr="00D258DA">
        <w:t>,</w:t>
      </w:r>
      <w:r w:rsidR="00604341">
        <w:t xml:space="preserve"> </w:t>
      </w:r>
      <w:r w:rsidR="007E054C" w:rsidRPr="00D258DA">
        <w:t xml:space="preserve">indicating that </w:t>
      </w:r>
      <w:r w:rsidR="00117EF7" w:rsidRPr="00D258DA">
        <w:t>[</w:t>
      </w:r>
      <w:r w:rsidR="007E054C" w:rsidRPr="00D258DA">
        <w:t>the appellant] has not sent the documentation and information requested at the meeting held 24 August 2015</w:t>
      </w:r>
      <w:r w:rsidR="00117EF7" w:rsidRPr="00D258DA">
        <w:t xml:space="preserve">. </w:t>
      </w:r>
      <w:r w:rsidR="007E054C" w:rsidRPr="00D258DA">
        <w:t xml:space="preserve"> </w:t>
      </w:r>
    </w:p>
    <w:p w:rsidR="00D258DA" w:rsidRPr="00D258DA" w:rsidRDefault="00D258DA" w:rsidP="00D258DA">
      <w:pPr>
        <w:pStyle w:val="ListParagraph"/>
        <w:spacing w:after="0" w:line="240" w:lineRule="auto"/>
        <w:ind w:right="1138" w:firstLine="60"/>
        <w:jc w:val="both"/>
        <w:rPr>
          <w:rFonts w:ascii="Times New Roman" w:hAnsi="Times New Roman" w:cs="Times New Roman"/>
        </w:rPr>
      </w:pPr>
    </w:p>
    <w:p w:rsidR="00D258DA" w:rsidRPr="00B75FD6" w:rsidRDefault="00B75FD6" w:rsidP="00B75FD6">
      <w:pPr>
        <w:ind w:left="1080" w:right="1138" w:hanging="360"/>
        <w:jc w:val="both"/>
      </w:pPr>
      <w:r>
        <w:rPr>
          <w:rFonts w:eastAsiaTheme="minorEastAsia"/>
          <w:kern w:val="2"/>
          <w:sz w:val="22"/>
          <w:szCs w:val="22"/>
          <w:lang w:val="en-US" w:eastAsia="en-US"/>
          <w14:ligatures w14:val="standardContextual"/>
        </w:rPr>
        <w:t>3.</w:t>
      </w:r>
      <w:r>
        <w:rPr>
          <w:rFonts w:eastAsiaTheme="minorEastAsia"/>
          <w:kern w:val="2"/>
          <w:sz w:val="22"/>
          <w:szCs w:val="22"/>
          <w:lang w:val="en-US" w:eastAsia="en-US"/>
          <w14:ligatures w14:val="standardContextual"/>
        </w:rPr>
        <w:tab/>
      </w:r>
      <w:r w:rsidR="007E054C" w:rsidRPr="00B75FD6">
        <w:t xml:space="preserve">We advise that we have provided </w:t>
      </w:r>
      <w:r w:rsidR="003C1B89" w:rsidRPr="00B75FD6">
        <w:t>you with</w:t>
      </w:r>
      <w:r w:rsidR="007E054C" w:rsidRPr="00B75FD6">
        <w:t xml:space="preserve"> </w:t>
      </w:r>
      <w:r w:rsidR="00D258DA" w:rsidRPr="00B75FD6">
        <w:t>4</w:t>
      </w:r>
      <w:r w:rsidR="007E054C" w:rsidRPr="00B75FD6">
        <w:t xml:space="preserve"> e-mail</w:t>
      </w:r>
      <w:r w:rsidR="003C1B89" w:rsidRPr="00B75FD6">
        <w:t>s</w:t>
      </w:r>
      <w:r w:rsidR="007E054C" w:rsidRPr="00B75FD6">
        <w:t xml:space="preserve"> wherein the documentation and information requested at the above meeting was sent. This, in addition to the detailed documentation presented prior to and at the above meeting</w:t>
      </w:r>
      <w:r w:rsidR="00D90912" w:rsidRPr="00B75FD6">
        <w:t>.</w:t>
      </w:r>
    </w:p>
    <w:p w:rsidR="00D258DA" w:rsidRPr="00D258DA" w:rsidRDefault="00D258DA" w:rsidP="00D258DA">
      <w:pPr>
        <w:pStyle w:val="ListParagraph"/>
        <w:spacing w:after="0" w:line="240" w:lineRule="auto"/>
        <w:ind w:left="1080" w:right="1138"/>
        <w:jc w:val="both"/>
        <w:rPr>
          <w:rFonts w:ascii="Times New Roman" w:hAnsi="Times New Roman" w:cs="Times New Roman"/>
        </w:rPr>
      </w:pPr>
      <w:r>
        <w:rPr>
          <w:rFonts w:ascii="Times New Roman" w:hAnsi="Times New Roman" w:cs="Times New Roman"/>
        </w:rPr>
        <w:t>…</w:t>
      </w:r>
      <w:r w:rsidR="007E054C" w:rsidRPr="00D258DA">
        <w:rPr>
          <w:rFonts w:ascii="Times New Roman" w:hAnsi="Times New Roman" w:cs="Times New Roman"/>
        </w:rPr>
        <w:t xml:space="preserve"> </w:t>
      </w:r>
    </w:p>
    <w:p w:rsidR="00D258DA" w:rsidRPr="00D258DA" w:rsidRDefault="00D258DA" w:rsidP="00D258DA">
      <w:pPr>
        <w:pStyle w:val="ListParagraph"/>
        <w:spacing w:after="0" w:line="240" w:lineRule="auto"/>
        <w:ind w:left="1080" w:right="1138"/>
        <w:jc w:val="both"/>
        <w:rPr>
          <w:rFonts w:ascii="Times New Roman" w:hAnsi="Times New Roman" w:cs="Times New Roman"/>
        </w:rPr>
      </w:pPr>
    </w:p>
    <w:p w:rsidR="00D258DA" w:rsidRPr="00B75FD6" w:rsidRDefault="00B75FD6" w:rsidP="00B75FD6">
      <w:pPr>
        <w:ind w:left="1080" w:right="1138" w:hanging="360"/>
        <w:jc w:val="both"/>
      </w:pPr>
      <w:r w:rsidRPr="00D258DA">
        <w:rPr>
          <w:rFonts w:eastAsiaTheme="minorEastAsia"/>
          <w:kern w:val="2"/>
          <w:sz w:val="22"/>
          <w:szCs w:val="22"/>
          <w:lang w:val="en-US" w:eastAsia="en-US"/>
          <w14:ligatures w14:val="standardContextual"/>
        </w:rPr>
        <w:t>4.</w:t>
      </w:r>
      <w:r w:rsidRPr="00D258DA">
        <w:rPr>
          <w:rFonts w:eastAsiaTheme="minorEastAsia"/>
          <w:kern w:val="2"/>
          <w:sz w:val="22"/>
          <w:szCs w:val="22"/>
          <w:lang w:val="en-US" w:eastAsia="en-US"/>
          <w14:ligatures w14:val="standardContextual"/>
        </w:rPr>
        <w:tab/>
      </w:r>
      <w:r w:rsidR="00D258DA" w:rsidRPr="00B75FD6">
        <w:t>T</w:t>
      </w:r>
      <w:r w:rsidR="007E054C" w:rsidRPr="00B75FD6">
        <w:t xml:space="preserve">o date we have not received a response from the </w:t>
      </w:r>
      <w:r w:rsidR="00235EB2" w:rsidRPr="00B75FD6">
        <w:t>DTI</w:t>
      </w:r>
      <w:r w:rsidR="007E054C" w:rsidRPr="00B75FD6">
        <w:t xml:space="preserve"> subsequent to our appeal and follow up documentation and request</w:t>
      </w:r>
      <w:r w:rsidR="003C1B89" w:rsidRPr="00B75FD6">
        <w:t>s</w:t>
      </w:r>
      <w:r w:rsidR="007E054C" w:rsidRPr="00B75FD6">
        <w:t xml:space="preserve"> for clarification.</w:t>
      </w:r>
      <w:r w:rsidR="00D258DA" w:rsidRPr="00B75FD6">
        <w:t>”</w:t>
      </w:r>
      <w:r w:rsidR="007E054C" w:rsidRPr="00B75FD6">
        <w:t xml:space="preserve"> </w:t>
      </w:r>
      <w:r w:rsidR="00353769" w:rsidRPr="00B75FD6">
        <w:t xml:space="preserve"> </w:t>
      </w:r>
    </w:p>
    <w:p w:rsidR="00D258DA" w:rsidRPr="00D258DA" w:rsidRDefault="00D258DA" w:rsidP="00D258DA">
      <w:pPr>
        <w:pStyle w:val="ListParagraph"/>
        <w:rPr>
          <w:rFonts w:ascii="Times New Roman" w:hAnsi="Times New Roman" w:cs="Times New Roman"/>
          <w:sz w:val="26"/>
          <w:szCs w:val="26"/>
        </w:rPr>
      </w:pPr>
    </w:p>
    <w:p w:rsidR="00D258DA" w:rsidRPr="00B75FD6" w:rsidRDefault="00B75FD6" w:rsidP="00B75FD6">
      <w:pPr>
        <w:spacing w:line="360" w:lineRule="auto"/>
        <w:ind w:firstLine="142"/>
        <w:jc w:val="both"/>
        <w:rPr>
          <w:sz w:val="26"/>
          <w:szCs w:val="26"/>
        </w:rPr>
      </w:pPr>
      <w:r>
        <w:rPr>
          <w:rFonts w:eastAsiaTheme="minorEastAsia"/>
          <w:kern w:val="2"/>
          <w:sz w:val="26"/>
          <w:szCs w:val="26"/>
          <w:lang w:val="en-US" w:eastAsia="en-US"/>
          <w14:ligatures w14:val="standardContextual"/>
        </w:rPr>
        <w:t>[12]</w:t>
      </w:r>
      <w:r>
        <w:rPr>
          <w:rFonts w:eastAsiaTheme="minorEastAsia"/>
          <w:kern w:val="2"/>
          <w:sz w:val="26"/>
          <w:szCs w:val="26"/>
          <w:lang w:val="en-US" w:eastAsia="en-US"/>
          <w14:ligatures w14:val="standardContextual"/>
        </w:rPr>
        <w:tab/>
      </w:r>
      <w:r w:rsidR="00D258DA" w:rsidRPr="00B75FD6">
        <w:rPr>
          <w:sz w:val="26"/>
          <w:szCs w:val="26"/>
        </w:rPr>
        <w:t>Although the letter erroneously stated that it was in response to DTI’s letter of 9 September 2015, it is not disputed, and it is clear from its contents that it was in response to DTI’s letter dated 21 September 2015</w:t>
      </w:r>
      <w:r w:rsidR="007E054C" w:rsidRPr="00B75FD6">
        <w:rPr>
          <w:sz w:val="26"/>
          <w:szCs w:val="26"/>
        </w:rPr>
        <w:t xml:space="preserve">. </w:t>
      </w:r>
      <w:r w:rsidR="00F14040" w:rsidRPr="00B75FD6">
        <w:rPr>
          <w:sz w:val="26"/>
          <w:szCs w:val="26"/>
        </w:rPr>
        <w:t>W</w:t>
      </w:r>
      <w:r w:rsidR="007E054C" w:rsidRPr="00B75FD6">
        <w:rPr>
          <w:sz w:val="26"/>
          <w:szCs w:val="26"/>
        </w:rPr>
        <w:t xml:space="preserve">hat is immediately apparent is that, </w:t>
      </w:r>
      <w:r w:rsidR="00F14040" w:rsidRPr="00B75FD6">
        <w:rPr>
          <w:sz w:val="26"/>
          <w:szCs w:val="26"/>
        </w:rPr>
        <w:t xml:space="preserve">whereas </w:t>
      </w:r>
      <w:r w:rsidR="00F14040" w:rsidRPr="00B75FD6">
        <w:rPr>
          <w:sz w:val="26"/>
          <w:szCs w:val="26"/>
        </w:rPr>
        <w:lastRenderedPageBreak/>
        <w:t>D</w:t>
      </w:r>
      <w:r w:rsidR="00573AA7" w:rsidRPr="00B75FD6">
        <w:rPr>
          <w:sz w:val="26"/>
          <w:szCs w:val="26"/>
        </w:rPr>
        <w:t>TI’s letter of 21 S</w:t>
      </w:r>
      <w:r w:rsidR="007E054C" w:rsidRPr="00B75FD6">
        <w:rPr>
          <w:sz w:val="26"/>
          <w:szCs w:val="26"/>
        </w:rPr>
        <w:t>eptember 2015 stated that the appellant had not furnished</w:t>
      </w:r>
      <w:r w:rsidR="00D258DA" w:rsidRPr="00B75FD6">
        <w:rPr>
          <w:sz w:val="26"/>
          <w:szCs w:val="26"/>
        </w:rPr>
        <w:t xml:space="preserve"> the</w:t>
      </w:r>
      <w:r w:rsidR="007E054C" w:rsidRPr="00B75FD6">
        <w:rPr>
          <w:sz w:val="26"/>
          <w:szCs w:val="26"/>
        </w:rPr>
        <w:t xml:space="preserve"> information </w:t>
      </w:r>
      <w:r w:rsidR="00F14040" w:rsidRPr="00B75FD6">
        <w:rPr>
          <w:sz w:val="26"/>
          <w:szCs w:val="26"/>
        </w:rPr>
        <w:t>requested at the meeting of 24 A</w:t>
      </w:r>
      <w:r w:rsidR="007E054C" w:rsidRPr="00B75FD6">
        <w:rPr>
          <w:sz w:val="26"/>
          <w:szCs w:val="26"/>
        </w:rPr>
        <w:t>ugust 2015, the appellant</w:t>
      </w:r>
      <w:r w:rsidR="00F14040" w:rsidRPr="00B75FD6">
        <w:rPr>
          <w:sz w:val="26"/>
          <w:szCs w:val="26"/>
        </w:rPr>
        <w:t>’s</w:t>
      </w:r>
      <w:r w:rsidR="007E054C" w:rsidRPr="00B75FD6">
        <w:rPr>
          <w:sz w:val="26"/>
          <w:szCs w:val="26"/>
        </w:rPr>
        <w:t xml:space="preserve"> letter of 25 September 2015 stated that information had been submitted in four emails</w:t>
      </w:r>
      <w:r w:rsidR="00D258DA" w:rsidRPr="00B75FD6">
        <w:rPr>
          <w:sz w:val="26"/>
          <w:szCs w:val="26"/>
        </w:rPr>
        <w:t xml:space="preserve">, although no date is provided for </w:t>
      </w:r>
      <w:r w:rsidR="00B05083" w:rsidRPr="00B75FD6">
        <w:rPr>
          <w:sz w:val="26"/>
          <w:szCs w:val="26"/>
        </w:rPr>
        <w:t xml:space="preserve">when </w:t>
      </w:r>
      <w:r w:rsidR="00D258DA" w:rsidRPr="00B75FD6">
        <w:rPr>
          <w:sz w:val="26"/>
          <w:szCs w:val="26"/>
        </w:rPr>
        <w:t>the four emails</w:t>
      </w:r>
      <w:r w:rsidR="00B05083" w:rsidRPr="00B75FD6">
        <w:rPr>
          <w:sz w:val="26"/>
          <w:szCs w:val="26"/>
        </w:rPr>
        <w:t xml:space="preserve"> were provided</w:t>
      </w:r>
      <w:r w:rsidR="007E054C" w:rsidRPr="00B75FD6">
        <w:rPr>
          <w:sz w:val="26"/>
          <w:szCs w:val="26"/>
        </w:rPr>
        <w:t xml:space="preserve">. </w:t>
      </w:r>
      <w:r w:rsidR="00D258DA" w:rsidRPr="00B75FD6">
        <w:rPr>
          <w:sz w:val="26"/>
          <w:szCs w:val="26"/>
        </w:rPr>
        <w:t xml:space="preserve">This was in addition to the information that the appellant states it provided </w:t>
      </w:r>
      <w:r w:rsidR="00D90912" w:rsidRPr="00B75FD6">
        <w:rPr>
          <w:sz w:val="26"/>
          <w:szCs w:val="26"/>
        </w:rPr>
        <w:t xml:space="preserve">to Truter </w:t>
      </w:r>
      <w:r w:rsidR="00D258DA" w:rsidRPr="00B75FD6">
        <w:rPr>
          <w:sz w:val="26"/>
          <w:szCs w:val="26"/>
        </w:rPr>
        <w:t xml:space="preserve">on </w:t>
      </w:r>
      <w:r w:rsidR="007E054C" w:rsidRPr="00B75FD6">
        <w:rPr>
          <w:sz w:val="26"/>
          <w:szCs w:val="26"/>
        </w:rPr>
        <w:t>25 and 26 August 2015.</w:t>
      </w:r>
      <w:r w:rsidR="00F14040" w:rsidRPr="00B75FD6">
        <w:rPr>
          <w:sz w:val="26"/>
          <w:szCs w:val="26"/>
        </w:rPr>
        <w:t xml:space="preserve"> </w:t>
      </w:r>
      <w:r w:rsidR="007E054C" w:rsidRPr="00B75FD6">
        <w:rPr>
          <w:sz w:val="26"/>
          <w:szCs w:val="26"/>
        </w:rPr>
        <w:t xml:space="preserve"> </w:t>
      </w:r>
    </w:p>
    <w:p w:rsidR="00491739" w:rsidRPr="00D258DA" w:rsidRDefault="00491739" w:rsidP="00D258DA">
      <w:pPr>
        <w:spacing w:line="360" w:lineRule="auto"/>
        <w:jc w:val="both"/>
        <w:rPr>
          <w:sz w:val="26"/>
          <w:szCs w:val="26"/>
        </w:rPr>
      </w:pPr>
    </w:p>
    <w:p w:rsidR="00D258DA" w:rsidRPr="00B75FD6" w:rsidRDefault="00B75FD6" w:rsidP="00B75FD6">
      <w:pPr>
        <w:spacing w:line="360" w:lineRule="auto"/>
        <w:ind w:firstLine="142"/>
        <w:jc w:val="both"/>
        <w:rPr>
          <w:sz w:val="26"/>
          <w:szCs w:val="26"/>
        </w:rPr>
      </w:pPr>
      <w:r>
        <w:rPr>
          <w:rFonts w:eastAsiaTheme="minorEastAsia"/>
          <w:kern w:val="2"/>
          <w:sz w:val="26"/>
          <w:szCs w:val="26"/>
          <w:lang w:val="en-US" w:eastAsia="en-US"/>
          <w14:ligatures w14:val="standardContextual"/>
        </w:rPr>
        <w:t>[13]</w:t>
      </w:r>
      <w:r>
        <w:rPr>
          <w:rFonts w:eastAsiaTheme="minorEastAsia"/>
          <w:kern w:val="2"/>
          <w:sz w:val="26"/>
          <w:szCs w:val="26"/>
          <w:lang w:val="en-US" w:eastAsia="en-US"/>
          <w14:ligatures w14:val="standardContextual"/>
        </w:rPr>
        <w:tab/>
      </w:r>
      <w:r w:rsidR="00D258DA" w:rsidRPr="00B75FD6">
        <w:rPr>
          <w:sz w:val="26"/>
          <w:szCs w:val="26"/>
        </w:rPr>
        <w:t>In addition</w:t>
      </w:r>
      <w:r w:rsidR="00D90912" w:rsidRPr="00B75FD6">
        <w:rPr>
          <w:sz w:val="26"/>
          <w:szCs w:val="26"/>
        </w:rPr>
        <w:t xml:space="preserve"> to the above,</w:t>
      </w:r>
      <w:r w:rsidR="00D258DA" w:rsidRPr="00B75FD6">
        <w:rPr>
          <w:sz w:val="26"/>
          <w:szCs w:val="26"/>
        </w:rPr>
        <w:t xml:space="preserve"> t</w:t>
      </w:r>
      <w:r w:rsidR="007E054C" w:rsidRPr="00B75FD6">
        <w:rPr>
          <w:sz w:val="26"/>
          <w:szCs w:val="26"/>
        </w:rPr>
        <w:t xml:space="preserve">he </w:t>
      </w:r>
      <w:r w:rsidR="001A6786" w:rsidRPr="00B75FD6">
        <w:rPr>
          <w:sz w:val="26"/>
          <w:szCs w:val="26"/>
        </w:rPr>
        <w:t xml:space="preserve">appellant’s </w:t>
      </w:r>
      <w:r w:rsidR="007E054C" w:rsidRPr="00B75FD6">
        <w:rPr>
          <w:sz w:val="26"/>
          <w:szCs w:val="26"/>
        </w:rPr>
        <w:t xml:space="preserve">letter of 25 September 2015 made a proposal </w:t>
      </w:r>
      <w:r w:rsidR="00D258DA" w:rsidRPr="00B75FD6">
        <w:rPr>
          <w:sz w:val="26"/>
          <w:szCs w:val="26"/>
        </w:rPr>
        <w:t>for its claim to</w:t>
      </w:r>
      <w:r w:rsidR="007E054C" w:rsidRPr="00B75FD6">
        <w:rPr>
          <w:sz w:val="26"/>
          <w:szCs w:val="26"/>
        </w:rPr>
        <w:t xml:space="preserve"> be considered in terms of </w:t>
      </w:r>
      <w:r w:rsidR="00D258DA" w:rsidRPr="00B75FD6">
        <w:rPr>
          <w:sz w:val="26"/>
          <w:szCs w:val="26"/>
        </w:rPr>
        <w:t>a</w:t>
      </w:r>
      <w:r w:rsidR="007E054C" w:rsidRPr="00B75FD6">
        <w:rPr>
          <w:sz w:val="26"/>
          <w:szCs w:val="26"/>
        </w:rPr>
        <w:t xml:space="preserve"> foreign qualification rebate</w:t>
      </w:r>
      <w:r w:rsidR="004D6A42" w:rsidRPr="00B75FD6">
        <w:rPr>
          <w:sz w:val="26"/>
          <w:szCs w:val="26"/>
        </w:rPr>
        <w:t>, instead</w:t>
      </w:r>
      <w:r w:rsidR="007E054C" w:rsidRPr="00B75FD6">
        <w:rPr>
          <w:sz w:val="26"/>
          <w:szCs w:val="26"/>
        </w:rPr>
        <w:t xml:space="preserve"> of the </w:t>
      </w:r>
      <w:r w:rsidR="00D258DA" w:rsidRPr="00B75FD6">
        <w:rPr>
          <w:sz w:val="26"/>
          <w:szCs w:val="26"/>
        </w:rPr>
        <w:t xml:space="preserve">local </w:t>
      </w:r>
      <w:r w:rsidR="007E054C" w:rsidRPr="00B75FD6">
        <w:rPr>
          <w:sz w:val="26"/>
          <w:szCs w:val="26"/>
        </w:rPr>
        <w:t>South African rebate, an</w:t>
      </w:r>
      <w:r w:rsidR="004D6A42" w:rsidRPr="00B75FD6">
        <w:rPr>
          <w:sz w:val="26"/>
          <w:szCs w:val="26"/>
        </w:rPr>
        <w:t xml:space="preserve">d </w:t>
      </w:r>
      <w:r w:rsidR="00D258DA" w:rsidRPr="00B75FD6">
        <w:rPr>
          <w:sz w:val="26"/>
          <w:szCs w:val="26"/>
        </w:rPr>
        <w:t>suggested</w:t>
      </w:r>
      <w:r w:rsidR="007E054C" w:rsidRPr="00B75FD6">
        <w:rPr>
          <w:sz w:val="26"/>
          <w:szCs w:val="26"/>
        </w:rPr>
        <w:t xml:space="preserve"> timeframes for consider</w:t>
      </w:r>
      <w:r w:rsidR="00D258DA" w:rsidRPr="00B75FD6">
        <w:rPr>
          <w:sz w:val="26"/>
          <w:szCs w:val="26"/>
        </w:rPr>
        <w:t xml:space="preserve">ation of the proposal, claim and payment in terms thereof. </w:t>
      </w:r>
    </w:p>
    <w:p w:rsidR="00D258DA" w:rsidRPr="00D258DA" w:rsidRDefault="00D258DA" w:rsidP="00D258DA">
      <w:pPr>
        <w:pStyle w:val="ListParagraph"/>
        <w:rPr>
          <w:rFonts w:ascii="Times New Roman" w:hAnsi="Times New Roman" w:cs="Times New Roman"/>
          <w:sz w:val="26"/>
          <w:szCs w:val="26"/>
        </w:rPr>
      </w:pPr>
    </w:p>
    <w:p w:rsidR="00D258DA" w:rsidRPr="00B75FD6" w:rsidRDefault="00B75FD6" w:rsidP="00B75FD6">
      <w:pPr>
        <w:spacing w:line="360" w:lineRule="auto"/>
        <w:ind w:firstLine="142"/>
        <w:jc w:val="both"/>
        <w:rPr>
          <w:sz w:val="26"/>
          <w:szCs w:val="26"/>
        </w:rPr>
      </w:pPr>
      <w:r>
        <w:rPr>
          <w:rFonts w:eastAsiaTheme="minorEastAsia"/>
          <w:kern w:val="2"/>
          <w:sz w:val="26"/>
          <w:szCs w:val="26"/>
          <w:lang w:val="en-US" w:eastAsia="en-US"/>
          <w14:ligatures w14:val="standardContextual"/>
        </w:rPr>
        <w:t>[14]</w:t>
      </w:r>
      <w:r>
        <w:rPr>
          <w:rFonts w:eastAsiaTheme="minorEastAsia"/>
          <w:kern w:val="2"/>
          <w:sz w:val="26"/>
          <w:szCs w:val="26"/>
          <w:lang w:val="en-US" w:eastAsia="en-US"/>
          <w14:ligatures w14:val="standardContextual"/>
        </w:rPr>
        <w:tab/>
      </w:r>
      <w:r w:rsidR="004D6A42" w:rsidRPr="00B75FD6">
        <w:rPr>
          <w:sz w:val="26"/>
          <w:szCs w:val="26"/>
        </w:rPr>
        <w:t>T</w:t>
      </w:r>
      <w:r w:rsidR="007E054C" w:rsidRPr="00B75FD6">
        <w:rPr>
          <w:sz w:val="26"/>
          <w:szCs w:val="26"/>
        </w:rPr>
        <w:t xml:space="preserve">he </w:t>
      </w:r>
      <w:r w:rsidR="004D6A42" w:rsidRPr="00B75FD6">
        <w:rPr>
          <w:sz w:val="26"/>
          <w:szCs w:val="26"/>
        </w:rPr>
        <w:t>DTI</w:t>
      </w:r>
      <w:r w:rsidR="007E054C" w:rsidRPr="00B75FD6">
        <w:rPr>
          <w:sz w:val="26"/>
          <w:szCs w:val="26"/>
        </w:rPr>
        <w:t xml:space="preserve"> responded to the letter of 25 September 2015 by letter dated 9 November 2015, which was </w:t>
      </w:r>
      <w:r w:rsidR="002F3D94" w:rsidRPr="00B75FD6">
        <w:rPr>
          <w:sz w:val="26"/>
          <w:szCs w:val="26"/>
        </w:rPr>
        <w:t>authored</w:t>
      </w:r>
      <w:r w:rsidR="007E054C" w:rsidRPr="00B75FD6">
        <w:rPr>
          <w:sz w:val="26"/>
          <w:szCs w:val="26"/>
        </w:rPr>
        <w:t xml:space="preserve"> by the </w:t>
      </w:r>
      <w:r w:rsidR="002F3D94" w:rsidRPr="00B75FD6">
        <w:rPr>
          <w:sz w:val="26"/>
          <w:szCs w:val="26"/>
        </w:rPr>
        <w:t xml:space="preserve">Director-General </w:t>
      </w:r>
      <w:r w:rsidR="007E054C" w:rsidRPr="00B75FD6">
        <w:rPr>
          <w:sz w:val="26"/>
          <w:szCs w:val="26"/>
        </w:rPr>
        <w:t>of th</w:t>
      </w:r>
      <w:r w:rsidR="002F3D94" w:rsidRPr="00B75FD6">
        <w:rPr>
          <w:sz w:val="26"/>
          <w:szCs w:val="26"/>
        </w:rPr>
        <w:t xml:space="preserve">e DTI. </w:t>
      </w:r>
      <w:r w:rsidR="007E054C" w:rsidRPr="00B75FD6">
        <w:rPr>
          <w:sz w:val="26"/>
          <w:szCs w:val="26"/>
        </w:rPr>
        <w:t xml:space="preserve"> </w:t>
      </w:r>
      <w:r w:rsidR="002F3D94" w:rsidRPr="00B75FD6">
        <w:rPr>
          <w:sz w:val="26"/>
          <w:szCs w:val="26"/>
        </w:rPr>
        <w:t>It specifically</w:t>
      </w:r>
      <w:r w:rsidR="007E054C" w:rsidRPr="00B75FD6">
        <w:rPr>
          <w:sz w:val="26"/>
          <w:szCs w:val="26"/>
        </w:rPr>
        <w:t xml:space="preserve"> reference</w:t>
      </w:r>
      <w:r w:rsidR="002F3D94" w:rsidRPr="00B75FD6">
        <w:rPr>
          <w:sz w:val="26"/>
          <w:szCs w:val="26"/>
        </w:rPr>
        <w:t>d</w:t>
      </w:r>
      <w:r w:rsidR="007E054C" w:rsidRPr="00B75FD6">
        <w:rPr>
          <w:sz w:val="26"/>
          <w:szCs w:val="26"/>
        </w:rPr>
        <w:t xml:space="preserve"> the letter of </w:t>
      </w:r>
      <w:r w:rsidR="002F3D94" w:rsidRPr="00B75FD6">
        <w:rPr>
          <w:sz w:val="26"/>
          <w:szCs w:val="26"/>
        </w:rPr>
        <w:t>25</w:t>
      </w:r>
      <w:r w:rsidR="007E054C" w:rsidRPr="00B75FD6">
        <w:rPr>
          <w:sz w:val="26"/>
          <w:szCs w:val="26"/>
        </w:rPr>
        <w:t xml:space="preserve"> September 2015, and stated as follows: </w:t>
      </w:r>
    </w:p>
    <w:p w:rsidR="00D258DA" w:rsidRPr="00D258DA" w:rsidRDefault="00D258DA" w:rsidP="00D258DA">
      <w:pPr>
        <w:pStyle w:val="ListParagraph"/>
        <w:rPr>
          <w:rFonts w:ascii="Times New Roman" w:hAnsi="Times New Roman" w:cs="Times New Roman"/>
          <w:sz w:val="26"/>
          <w:szCs w:val="26"/>
        </w:rPr>
      </w:pPr>
    </w:p>
    <w:p w:rsidR="00D258DA" w:rsidRPr="00D258DA" w:rsidRDefault="002F3D94" w:rsidP="00D258DA">
      <w:pPr>
        <w:pStyle w:val="ListParagraph"/>
        <w:spacing w:after="0" w:line="240" w:lineRule="auto"/>
        <w:ind w:right="1138"/>
        <w:jc w:val="both"/>
        <w:rPr>
          <w:rFonts w:ascii="Times New Roman" w:hAnsi="Times New Roman" w:cs="Times New Roman"/>
        </w:rPr>
      </w:pPr>
      <w:r w:rsidRPr="00D258DA">
        <w:rPr>
          <w:rFonts w:ascii="Times New Roman" w:hAnsi="Times New Roman" w:cs="Times New Roman"/>
        </w:rPr>
        <w:t>“</w:t>
      </w:r>
      <w:r w:rsidR="00D258DA" w:rsidRPr="00D258DA">
        <w:rPr>
          <w:rFonts w:ascii="Times New Roman" w:hAnsi="Times New Roman" w:cs="Times New Roman"/>
        </w:rPr>
        <w:t>R</w:t>
      </w:r>
      <w:r w:rsidR="007E054C" w:rsidRPr="00D258DA">
        <w:rPr>
          <w:rFonts w:ascii="Times New Roman" w:hAnsi="Times New Roman" w:cs="Times New Roman"/>
        </w:rPr>
        <w:t>egrettably, the final claim of the above produc</w:t>
      </w:r>
      <w:r w:rsidRPr="00D258DA">
        <w:rPr>
          <w:rFonts w:ascii="Times New Roman" w:hAnsi="Times New Roman" w:cs="Times New Roman"/>
        </w:rPr>
        <w:t>tion cannot be changed and be</w:t>
      </w:r>
      <w:r w:rsidR="007E054C" w:rsidRPr="00D258DA">
        <w:rPr>
          <w:rFonts w:ascii="Times New Roman" w:hAnsi="Times New Roman" w:cs="Times New Roman"/>
        </w:rPr>
        <w:t xml:space="preserve"> classified under the </w:t>
      </w:r>
      <w:r w:rsidRPr="00D258DA">
        <w:rPr>
          <w:rFonts w:ascii="Times New Roman" w:hAnsi="Times New Roman" w:cs="Times New Roman"/>
        </w:rPr>
        <w:t xml:space="preserve">Foreign Production </w:t>
      </w:r>
      <w:r w:rsidR="007E054C" w:rsidRPr="00D258DA">
        <w:rPr>
          <w:rFonts w:ascii="Times New Roman" w:hAnsi="Times New Roman" w:cs="Times New Roman"/>
        </w:rPr>
        <w:t xml:space="preserve">and </w:t>
      </w:r>
      <w:r w:rsidRPr="00D258DA">
        <w:rPr>
          <w:rFonts w:ascii="Times New Roman" w:hAnsi="Times New Roman" w:cs="Times New Roman"/>
        </w:rPr>
        <w:t xml:space="preserve">Post-Production </w:t>
      </w:r>
      <w:r w:rsidR="00935DC9" w:rsidRPr="00D258DA">
        <w:rPr>
          <w:rFonts w:ascii="Times New Roman" w:hAnsi="Times New Roman" w:cs="Times New Roman"/>
        </w:rPr>
        <w:t xml:space="preserve">Incentive </w:t>
      </w:r>
      <w:r w:rsidR="007E054C" w:rsidRPr="00D258DA">
        <w:rPr>
          <w:rFonts w:ascii="Times New Roman" w:hAnsi="Times New Roman" w:cs="Times New Roman"/>
        </w:rPr>
        <w:t xml:space="preserve">as the approval was granted under the South African </w:t>
      </w:r>
      <w:r w:rsidR="00935DC9" w:rsidRPr="00D258DA">
        <w:rPr>
          <w:rFonts w:ascii="Times New Roman" w:hAnsi="Times New Roman" w:cs="Times New Roman"/>
        </w:rPr>
        <w:t>P</w:t>
      </w:r>
      <w:r w:rsidR="007E054C" w:rsidRPr="00D258DA">
        <w:rPr>
          <w:rFonts w:ascii="Times New Roman" w:hAnsi="Times New Roman" w:cs="Times New Roman"/>
        </w:rPr>
        <w:t>roduction and</w:t>
      </w:r>
      <w:r w:rsidR="00935DC9" w:rsidRPr="00D258DA">
        <w:rPr>
          <w:rFonts w:ascii="Times New Roman" w:hAnsi="Times New Roman" w:cs="Times New Roman"/>
        </w:rPr>
        <w:t xml:space="preserve"> Co</w:t>
      </w:r>
      <w:r w:rsidR="00D258DA" w:rsidRPr="00D258DA">
        <w:rPr>
          <w:rFonts w:ascii="Times New Roman" w:hAnsi="Times New Roman" w:cs="Times New Roman"/>
        </w:rPr>
        <w:t>-</w:t>
      </w:r>
      <w:r w:rsidR="00935DC9" w:rsidRPr="00D258DA">
        <w:rPr>
          <w:rFonts w:ascii="Times New Roman" w:hAnsi="Times New Roman" w:cs="Times New Roman"/>
        </w:rPr>
        <w:t>P</w:t>
      </w:r>
      <w:r w:rsidR="007E054C" w:rsidRPr="00D258DA">
        <w:rPr>
          <w:rFonts w:ascii="Times New Roman" w:hAnsi="Times New Roman" w:cs="Times New Roman"/>
        </w:rPr>
        <w:t>roduction</w:t>
      </w:r>
      <w:r w:rsidR="00935DC9" w:rsidRPr="00D258DA">
        <w:rPr>
          <w:rFonts w:ascii="Times New Roman" w:hAnsi="Times New Roman" w:cs="Times New Roman"/>
        </w:rPr>
        <w:t xml:space="preserve"> Incentive.</w:t>
      </w:r>
      <w:r w:rsidR="007E054C" w:rsidRPr="00D258DA">
        <w:rPr>
          <w:rFonts w:ascii="Times New Roman" w:hAnsi="Times New Roman" w:cs="Times New Roman"/>
        </w:rPr>
        <w:t xml:space="preserve"> </w:t>
      </w:r>
      <w:r w:rsidR="00BB4FA9" w:rsidRPr="00D258DA">
        <w:rPr>
          <w:rFonts w:ascii="Times New Roman" w:hAnsi="Times New Roman" w:cs="Times New Roman"/>
        </w:rPr>
        <w:t xml:space="preserve"> </w:t>
      </w:r>
      <w:r w:rsidR="00BB4FA9" w:rsidRPr="00B05083">
        <w:rPr>
          <w:rFonts w:ascii="Times New Roman" w:hAnsi="Times New Roman" w:cs="Times New Roman"/>
          <w:b/>
          <w:bCs/>
        </w:rPr>
        <w:t>T</w:t>
      </w:r>
      <w:r w:rsidR="007E054C" w:rsidRPr="00B05083">
        <w:rPr>
          <w:rFonts w:ascii="Times New Roman" w:hAnsi="Times New Roman" w:cs="Times New Roman"/>
          <w:b/>
          <w:bCs/>
        </w:rPr>
        <w:t xml:space="preserve">he provisional approval </w:t>
      </w:r>
      <w:r w:rsidR="00BB4FA9" w:rsidRPr="00B05083">
        <w:rPr>
          <w:rFonts w:ascii="Times New Roman" w:hAnsi="Times New Roman" w:cs="Times New Roman"/>
          <w:b/>
          <w:bCs/>
        </w:rPr>
        <w:t>letter given to the above Production is thus recalled</w:t>
      </w:r>
      <w:r w:rsidR="007E054C" w:rsidRPr="00B05083">
        <w:rPr>
          <w:rFonts w:ascii="Times New Roman" w:hAnsi="Times New Roman" w:cs="Times New Roman"/>
          <w:b/>
          <w:bCs/>
        </w:rPr>
        <w:t>.</w:t>
      </w:r>
      <w:r w:rsidR="007E054C" w:rsidRPr="00D258DA">
        <w:rPr>
          <w:rFonts w:ascii="Times New Roman" w:hAnsi="Times New Roman" w:cs="Times New Roman"/>
        </w:rPr>
        <w:t xml:space="preserve"> It is therefore with regret I inform you that the DT</w:t>
      </w:r>
      <w:r w:rsidR="00BB4FA9" w:rsidRPr="00D258DA">
        <w:rPr>
          <w:rFonts w:ascii="Times New Roman" w:hAnsi="Times New Roman" w:cs="Times New Roman"/>
        </w:rPr>
        <w:t>I</w:t>
      </w:r>
      <w:r w:rsidR="007E054C" w:rsidRPr="00D258DA">
        <w:rPr>
          <w:rFonts w:ascii="Times New Roman" w:hAnsi="Times New Roman" w:cs="Times New Roman"/>
        </w:rPr>
        <w:t xml:space="preserve"> currently cannot approve your request</w:t>
      </w:r>
      <w:r w:rsidR="00BB4FA9" w:rsidRPr="00D258DA">
        <w:rPr>
          <w:rFonts w:ascii="Times New Roman" w:hAnsi="Times New Roman" w:cs="Times New Roman"/>
        </w:rPr>
        <w:t xml:space="preserve">”. </w:t>
      </w:r>
      <w:r w:rsidR="00B05083">
        <w:rPr>
          <w:rFonts w:ascii="Times New Roman" w:hAnsi="Times New Roman" w:cs="Times New Roman"/>
        </w:rPr>
        <w:t>(my emphasis)</w:t>
      </w:r>
      <w:r w:rsidR="007E054C" w:rsidRPr="00D258DA">
        <w:rPr>
          <w:rFonts w:ascii="Times New Roman" w:hAnsi="Times New Roman" w:cs="Times New Roman"/>
        </w:rPr>
        <w:t xml:space="preserve"> </w:t>
      </w:r>
    </w:p>
    <w:p w:rsidR="00D258DA" w:rsidRDefault="00D258DA" w:rsidP="00D258DA">
      <w:pPr>
        <w:pStyle w:val="ListParagraph"/>
        <w:spacing w:after="0" w:line="360" w:lineRule="auto"/>
        <w:jc w:val="both"/>
        <w:rPr>
          <w:rFonts w:ascii="Times New Roman" w:hAnsi="Times New Roman" w:cs="Times New Roman"/>
          <w:sz w:val="26"/>
          <w:szCs w:val="26"/>
        </w:rPr>
      </w:pPr>
    </w:p>
    <w:p w:rsidR="00D258DA" w:rsidRPr="00B75FD6" w:rsidRDefault="00B75FD6" w:rsidP="00B75FD6">
      <w:pPr>
        <w:spacing w:line="360" w:lineRule="auto"/>
        <w:ind w:firstLine="142"/>
        <w:jc w:val="both"/>
        <w:rPr>
          <w:sz w:val="26"/>
          <w:szCs w:val="26"/>
        </w:rPr>
      </w:pPr>
      <w:r>
        <w:rPr>
          <w:rFonts w:eastAsiaTheme="minorEastAsia"/>
          <w:kern w:val="2"/>
          <w:sz w:val="26"/>
          <w:szCs w:val="26"/>
          <w:lang w:val="en-US" w:eastAsia="en-US"/>
          <w14:ligatures w14:val="standardContextual"/>
        </w:rPr>
        <w:t>[15]</w:t>
      </w:r>
      <w:r>
        <w:rPr>
          <w:rFonts w:eastAsiaTheme="minorEastAsia"/>
          <w:kern w:val="2"/>
          <w:sz w:val="26"/>
          <w:szCs w:val="26"/>
          <w:lang w:val="en-US" w:eastAsia="en-US"/>
          <w14:ligatures w14:val="standardContextual"/>
        </w:rPr>
        <w:tab/>
      </w:r>
      <w:r w:rsidR="00BB4FA9" w:rsidRPr="00B75FD6">
        <w:rPr>
          <w:sz w:val="26"/>
          <w:szCs w:val="26"/>
        </w:rPr>
        <w:t>Th</w:t>
      </w:r>
      <w:r w:rsidR="007E054C" w:rsidRPr="00B75FD6">
        <w:rPr>
          <w:sz w:val="26"/>
          <w:szCs w:val="26"/>
        </w:rPr>
        <w:t xml:space="preserve">e letter </w:t>
      </w:r>
      <w:r w:rsidR="00B05083" w:rsidRPr="00B75FD6">
        <w:rPr>
          <w:sz w:val="26"/>
          <w:szCs w:val="26"/>
        </w:rPr>
        <w:t xml:space="preserve">of 9 November 2015 </w:t>
      </w:r>
      <w:r w:rsidR="007E054C" w:rsidRPr="00B75FD6">
        <w:rPr>
          <w:sz w:val="26"/>
          <w:szCs w:val="26"/>
        </w:rPr>
        <w:t xml:space="preserve">did not at all address the remainder of the letter of 25 September 2015 in which the appellant claimed to have provided the </w:t>
      </w:r>
      <w:r w:rsidR="00BB4FA9" w:rsidRPr="00B75FD6">
        <w:rPr>
          <w:sz w:val="26"/>
          <w:szCs w:val="26"/>
        </w:rPr>
        <w:t>D</w:t>
      </w:r>
      <w:r w:rsidR="007E054C" w:rsidRPr="00B75FD6">
        <w:rPr>
          <w:sz w:val="26"/>
          <w:szCs w:val="26"/>
        </w:rPr>
        <w:t>TI with four emails worth of documentation and information and was awaiting a response from the D</w:t>
      </w:r>
      <w:r w:rsidR="00BB4FA9" w:rsidRPr="00B75FD6">
        <w:rPr>
          <w:sz w:val="26"/>
          <w:szCs w:val="26"/>
        </w:rPr>
        <w:t>T</w:t>
      </w:r>
      <w:r w:rsidR="007E054C" w:rsidRPr="00B75FD6">
        <w:rPr>
          <w:sz w:val="26"/>
          <w:szCs w:val="26"/>
        </w:rPr>
        <w:t xml:space="preserve">I in respect thereof. </w:t>
      </w:r>
      <w:r w:rsidR="00BB4FA9" w:rsidRPr="00B75FD6">
        <w:rPr>
          <w:sz w:val="26"/>
          <w:szCs w:val="26"/>
        </w:rPr>
        <w:t xml:space="preserve"> </w:t>
      </w:r>
      <w:r w:rsidR="007E054C" w:rsidRPr="00B75FD6">
        <w:rPr>
          <w:sz w:val="26"/>
          <w:szCs w:val="26"/>
        </w:rPr>
        <w:t xml:space="preserve">That was the end of the correspondence between the parties in 2015. </w:t>
      </w:r>
      <w:r w:rsidR="00BB4FA9" w:rsidRPr="00B75FD6">
        <w:rPr>
          <w:sz w:val="26"/>
          <w:szCs w:val="26"/>
        </w:rPr>
        <w:t xml:space="preserve"> </w:t>
      </w:r>
    </w:p>
    <w:p w:rsidR="00D258DA" w:rsidRDefault="00D258DA" w:rsidP="00D258DA">
      <w:pPr>
        <w:pStyle w:val="ListParagraph"/>
        <w:spacing w:after="0" w:line="360" w:lineRule="auto"/>
        <w:ind w:left="142"/>
        <w:jc w:val="both"/>
        <w:rPr>
          <w:rFonts w:ascii="Times New Roman" w:hAnsi="Times New Roman" w:cs="Times New Roman"/>
          <w:sz w:val="26"/>
          <w:szCs w:val="26"/>
        </w:rPr>
      </w:pPr>
    </w:p>
    <w:p w:rsidR="00D258DA" w:rsidRPr="00B75FD6" w:rsidRDefault="00B75FD6" w:rsidP="00B75FD6">
      <w:pPr>
        <w:spacing w:line="360" w:lineRule="auto"/>
        <w:ind w:firstLine="142"/>
        <w:jc w:val="both"/>
        <w:rPr>
          <w:sz w:val="26"/>
          <w:szCs w:val="26"/>
        </w:rPr>
      </w:pPr>
      <w:r>
        <w:rPr>
          <w:rFonts w:eastAsiaTheme="minorEastAsia"/>
          <w:kern w:val="2"/>
          <w:sz w:val="26"/>
          <w:szCs w:val="26"/>
          <w:lang w:val="en-US" w:eastAsia="en-US"/>
          <w14:ligatures w14:val="standardContextual"/>
        </w:rPr>
        <w:t>[16]</w:t>
      </w:r>
      <w:r>
        <w:rPr>
          <w:rFonts w:eastAsiaTheme="minorEastAsia"/>
          <w:kern w:val="2"/>
          <w:sz w:val="26"/>
          <w:szCs w:val="26"/>
          <w:lang w:val="en-US" w:eastAsia="en-US"/>
          <w14:ligatures w14:val="standardContextual"/>
        </w:rPr>
        <w:tab/>
      </w:r>
      <w:r w:rsidR="00D258DA" w:rsidRPr="00B75FD6">
        <w:rPr>
          <w:sz w:val="26"/>
          <w:szCs w:val="26"/>
        </w:rPr>
        <w:t>On</w:t>
      </w:r>
      <w:r w:rsidR="007E054C" w:rsidRPr="00B75FD6">
        <w:rPr>
          <w:sz w:val="26"/>
          <w:szCs w:val="26"/>
        </w:rPr>
        <w:t xml:space="preserve"> 15 February 2018, the appellant, through new attorneys, demanded an outcome of its appeal.</w:t>
      </w:r>
      <w:r w:rsidR="00BB4FA9" w:rsidRPr="00B75FD6">
        <w:rPr>
          <w:sz w:val="26"/>
          <w:szCs w:val="26"/>
        </w:rPr>
        <w:t xml:space="preserve"> </w:t>
      </w:r>
      <w:r w:rsidR="007E054C" w:rsidRPr="00B75FD6">
        <w:rPr>
          <w:sz w:val="26"/>
          <w:szCs w:val="26"/>
        </w:rPr>
        <w:t xml:space="preserve"> After some </w:t>
      </w:r>
      <w:r w:rsidR="00D258DA" w:rsidRPr="00B75FD6">
        <w:rPr>
          <w:sz w:val="26"/>
          <w:szCs w:val="26"/>
        </w:rPr>
        <w:t>delays</w:t>
      </w:r>
      <w:r w:rsidR="007E054C" w:rsidRPr="00B75FD6">
        <w:rPr>
          <w:sz w:val="26"/>
          <w:szCs w:val="26"/>
        </w:rPr>
        <w:t xml:space="preserve">, </w:t>
      </w:r>
      <w:r w:rsidR="00D258DA" w:rsidRPr="00B75FD6">
        <w:rPr>
          <w:sz w:val="26"/>
          <w:szCs w:val="26"/>
        </w:rPr>
        <w:t xml:space="preserve">the DTI sent </w:t>
      </w:r>
      <w:r w:rsidR="007E054C" w:rsidRPr="00B75FD6">
        <w:rPr>
          <w:sz w:val="26"/>
          <w:szCs w:val="26"/>
        </w:rPr>
        <w:t xml:space="preserve">correspondence dated </w:t>
      </w:r>
      <w:r w:rsidR="00D258DA" w:rsidRPr="00B75FD6">
        <w:rPr>
          <w:sz w:val="26"/>
          <w:szCs w:val="26"/>
        </w:rPr>
        <w:t>2</w:t>
      </w:r>
      <w:r w:rsidR="007E054C" w:rsidRPr="00B75FD6">
        <w:rPr>
          <w:sz w:val="26"/>
          <w:szCs w:val="26"/>
        </w:rPr>
        <w:t xml:space="preserve"> July 2018 stat</w:t>
      </w:r>
      <w:r w:rsidR="00D258DA" w:rsidRPr="00B75FD6">
        <w:rPr>
          <w:sz w:val="26"/>
          <w:szCs w:val="26"/>
        </w:rPr>
        <w:t xml:space="preserve">ing </w:t>
      </w:r>
      <w:r w:rsidR="007E054C" w:rsidRPr="00B75FD6">
        <w:rPr>
          <w:sz w:val="26"/>
          <w:szCs w:val="26"/>
        </w:rPr>
        <w:t xml:space="preserve">that </w:t>
      </w:r>
      <w:r w:rsidR="00BB4FA9" w:rsidRPr="00B75FD6">
        <w:rPr>
          <w:i/>
          <w:iCs/>
          <w:sz w:val="26"/>
          <w:szCs w:val="26"/>
        </w:rPr>
        <w:t>“</w:t>
      </w:r>
      <w:r w:rsidR="007E054C" w:rsidRPr="00B75FD6">
        <w:rPr>
          <w:i/>
          <w:iCs/>
          <w:sz w:val="26"/>
          <w:szCs w:val="26"/>
        </w:rPr>
        <w:t xml:space="preserve">the DTI has already given its decision on this appeal, in writing and the letters are attached hereto as: </w:t>
      </w:r>
      <w:r w:rsidR="00BB4FA9" w:rsidRPr="00B75FD6">
        <w:rPr>
          <w:i/>
          <w:iCs/>
          <w:sz w:val="26"/>
          <w:szCs w:val="26"/>
        </w:rPr>
        <w:t xml:space="preserve">annexure </w:t>
      </w:r>
      <w:r w:rsidR="00814581" w:rsidRPr="00B75FD6">
        <w:rPr>
          <w:i/>
          <w:iCs/>
          <w:sz w:val="26"/>
          <w:szCs w:val="26"/>
        </w:rPr>
        <w:t>“</w:t>
      </w:r>
      <w:r w:rsidR="00BB4FA9" w:rsidRPr="00B75FD6">
        <w:rPr>
          <w:i/>
          <w:iCs/>
          <w:sz w:val="26"/>
          <w:szCs w:val="26"/>
        </w:rPr>
        <w:t>B</w:t>
      </w:r>
      <w:r w:rsidR="00814581" w:rsidRPr="00B75FD6">
        <w:rPr>
          <w:i/>
          <w:iCs/>
          <w:sz w:val="26"/>
          <w:szCs w:val="26"/>
        </w:rPr>
        <w:t>”</w:t>
      </w:r>
      <w:r w:rsidR="00BB4FA9" w:rsidRPr="00B75FD6">
        <w:rPr>
          <w:i/>
          <w:iCs/>
          <w:sz w:val="26"/>
          <w:szCs w:val="26"/>
        </w:rPr>
        <w:t xml:space="preserve"> dated 9 N</w:t>
      </w:r>
      <w:r w:rsidR="007E054C" w:rsidRPr="00B75FD6">
        <w:rPr>
          <w:i/>
          <w:iCs/>
          <w:sz w:val="26"/>
          <w:szCs w:val="26"/>
        </w:rPr>
        <w:t xml:space="preserve">ovember 2015; </w:t>
      </w:r>
      <w:r w:rsidR="00BB4FA9" w:rsidRPr="00B75FD6">
        <w:rPr>
          <w:i/>
          <w:iCs/>
          <w:sz w:val="26"/>
          <w:szCs w:val="26"/>
        </w:rPr>
        <w:t>annexure</w:t>
      </w:r>
      <w:r w:rsidR="007E054C" w:rsidRPr="00B75FD6">
        <w:rPr>
          <w:i/>
          <w:iCs/>
          <w:sz w:val="26"/>
          <w:szCs w:val="26"/>
        </w:rPr>
        <w:t xml:space="preserve"> </w:t>
      </w:r>
      <w:r w:rsidR="00814581" w:rsidRPr="00B75FD6">
        <w:rPr>
          <w:i/>
          <w:iCs/>
          <w:sz w:val="26"/>
          <w:szCs w:val="26"/>
        </w:rPr>
        <w:t>“</w:t>
      </w:r>
      <w:r w:rsidR="007E054C" w:rsidRPr="00B75FD6">
        <w:rPr>
          <w:i/>
          <w:iCs/>
          <w:sz w:val="26"/>
          <w:szCs w:val="26"/>
        </w:rPr>
        <w:t>C</w:t>
      </w:r>
      <w:r w:rsidR="00814581" w:rsidRPr="00B75FD6">
        <w:rPr>
          <w:i/>
          <w:iCs/>
          <w:sz w:val="26"/>
          <w:szCs w:val="26"/>
        </w:rPr>
        <w:t>”</w:t>
      </w:r>
      <w:r w:rsidR="007E054C" w:rsidRPr="00B75FD6">
        <w:rPr>
          <w:i/>
          <w:iCs/>
          <w:sz w:val="26"/>
          <w:szCs w:val="26"/>
        </w:rPr>
        <w:t xml:space="preserve"> date</w:t>
      </w:r>
      <w:r w:rsidR="00BB4FA9" w:rsidRPr="00B75FD6">
        <w:rPr>
          <w:i/>
          <w:iCs/>
          <w:sz w:val="26"/>
          <w:szCs w:val="26"/>
        </w:rPr>
        <w:t>d 21 A</w:t>
      </w:r>
      <w:r w:rsidR="007E054C" w:rsidRPr="00B75FD6">
        <w:rPr>
          <w:i/>
          <w:iCs/>
          <w:sz w:val="26"/>
          <w:szCs w:val="26"/>
        </w:rPr>
        <w:t xml:space="preserve">ugust 2015; </w:t>
      </w:r>
      <w:r w:rsidR="00BB4FA9" w:rsidRPr="00B75FD6">
        <w:rPr>
          <w:i/>
          <w:iCs/>
          <w:sz w:val="26"/>
          <w:szCs w:val="26"/>
        </w:rPr>
        <w:t>a</w:t>
      </w:r>
      <w:r w:rsidR="007E054C" w:rsidRPr="00B75FD6">
        <w:rPr>
          <w:i/>
          <w:iCs/>
          <w:sz w:val="26"/>
          <w:szCs w:val="26"/>
        </w:rPr>
        <w:t xml:space="preserve">nd </w:t>
      </w:r>
      <w:r w:rsidR="00BB4FA9" w:rsidRPr="00B75FD6">
        <w:rPr>
          <w:i/>
          <w:iCs/>
          <w:sz w:val="26"/>
          <w:szCs w:val="26"/>
        </w:rPr>
        <w:t>annexure</w:t>
      </w:r>
      <w:r w:rsidR="007E054C" w:rsidRPr="00B75FD6">
        <w:rPr>
          <w:i/>
          <w:iCs/>
          <w:sz w:val="26"/>
          <w:szCs w:val="26"/>
        </w:rPr>
        <w:t xml:space="preserve"> </w:t>
      </w:r>
      <w:r w:rsidR="00814581" w:rsidRPr="00B75FD6">
        <w:rPr>
          <w:i/>
          <w:iCs/>
          <w:sz w:val="26"/>
          <w:szCs w:val="26"/>
        </w:rPr>
        <w:t>“</w:t>
      </w:r>
      <w:r w:rsidR="007E054C" w:rsidRPr="00B75FD6">
        <w:rPr>
          <w:i/>
          <w:iCs/>
          <w:sz w:val="26"/>
          <w:szCs w:val="26"/>
        </w:rPr>
        <w:t>D</w:t>
      </w:r>
      <w:r w:rsidR="00814581" w:rsidRPr="00B75FD6">
        <w:rPr>
          <w:i/>
          <w:iCs/>
          <w:sz w:val="26"/>
          <w:szCs w:val="26"/>
        </w:rPr>
        <w:t>”</w:t>
      </w:r>
      <w:r w:rsidR="007E054C" w:rsidRPr="00B75FD6">
        <w:rPr>
          <w:i/>
          <w:iCs/>
          <w:sz w:val="26"/>
          <w:szCs w:val="26"/>
        </w:rPr>
        <w:t xml:space="preserve"> dated 21 September 2015</w:t>
      </w:r>
      <w:r w:rsidR="00BB4FA9" w:rsidRPr="00B75FD6">
        <w:rPr>
          <w:i/>
          <w:iCs/>
          <w:sz w:val="26"/>
          <w:szCs w:val="26"/>
        </w:rPr>
        <w:t>…</w:t>
      </w:r>
      <w:r w:rsidR="007E054C" w:rsidRPr="00B75FD6">
        <w:rPr>
          <w:i/>
          <w:iCs/>
          <w:sz w:val="26"/>
          <w:szCs w:val="26"/>
        </w:rPr>
        <w:t xml:space="preserve"> </w:t>
      </w:r>
      <w:r w:rsidR="00BB4FA9" w:rsidRPr="00B75FD6">
        <w:rPr>
          <w:i/>
          <w:iCs/>
          <w:sz w:val="26"/>
          <w:szCs w:val="26"/>
        </w:rPr>
        <w:t>annexure</w:t>
      </w:r>
      <w:r w:rsidR="007E054C" w:rsidRPr="00B75FD6">
        <w:rPr>
          <w:i/>
          <w:iCs/>
          <w:sz w:val="26"/>
          <w:szCs w:val="26"/>
        </w:rPr>
        <w:t xml:space="preserve"> </w:t>
      </w:r>
      <w:r w:rsidR="00814581" w:rsidRPr="00B75FD6">
        <w:rPr>
          <w:i/>
          <w:iCs/>
          <w:sz w:val="26"/>
          <w:szCs w:val="26"/>
        </w:rPr>
        <w:t>“</w:t>
      </w:r>
      <w:r w:rsidR="007E054C" w:rsidRPr="00B75FD6">
        <w:rPr>
          <w:i/>
          <w:iCs/>
          <w:sz w:val="26"/>
          <w:szCs w:val="26"/>
        </w:rPr>
        <w:t>E</w:t>
      </w:r>
      <w:r w:rsidR="00814581" w:rsidRPr="00B75FD6">
        <w:rPr>
          <w:i/>
          <w:iCs/>
          <w:sz w:val="26"/>
          <w:szCs w:val="26"/>
        </w:rPr>
        <w:t>”</w:t>
      </w:r>
      <w:r w:rsidR="007E054C" w:rsidRPr="00B75FD6">
        <w:rPr>
          <w:i/>
          <w:iCs/>
          <w:sz w:val="26"/>
          <w:szCs w:val="26"/>
        </w:rPr>
        <w:t xml:space="preserve"> dated 31 June </w:t>
      </w:r>
      <w:r w:rsidR="00D258DA" w:rsidRPr="00B75FD6">
        <w:rPr>
          <w:i/>
          <w:iCs/>
          <w:sz w:val="26"/>
          <w:szCs w:val="26"/>
        </w:rPr>
        <w:t>[</w:t>
      </w:r>
      <w:r w:rsidR="007E054C" w:rsidRPr="00B75FD6">
        <w:rPr>
          <w:i/>
          <w:iCs/>
          <w:sz w:val="26"/>
          <w:szCs w:val="26"/>
        </w:rPr>
        <w:t>2015</w:t>
      </w:r>
      <w:r w:rsidR="00D258DA" w:rsidRPr="00B75FD6">
        <w:rPr>
          <w:i/>
          <w:iCs/>
          <w:sz w:val="26"/>
          <w:szCs w:val="26"/>
        </w:rPr>
        <w:t>]</w:t>
      </w:r>
      <w:r w:rsidR="00D258DA" w:rsidRPr="00312E08">
        <w:rPr>
          <w:rStyle w:val="FootnoteReference"/>
          <w:sz w:val="26"/>
          <w:szCs w:val="26"/>
        </w:rPr>
        <w:footnoteReference w:id="1"/>
      </w:r>
      <w:r w:rsidR="00BB4FA9" w:rsidRPr="00B75FD6">
        <w:rPr>
          <w:i/>
          <w:iCs/>
          <w:sz w:val="26"/>
          <w:szCs w:val="26"/>
        </w:rPr>
        <w:t xml:space="preserve">”. </w:t>
      </w:r>
      <w:r w:rsidR="007E054C" w:rsidRPr="00B75FD6">
        <w:rPr>
          <w:sz w:val="26"/>
          <w:szCs w:val="26"/>
        </w:rPr>
        <w:t xml:space="preserve"> </w:t>
      </w:r>
    </w:p>
    <w:p w:rsidR="00D258DA" w:rsidRPr="00D258DA" w:rsidRDefault="00D258DA" w:rsidP="00D258DA">
      <w:pPr>
        <w:pStyle w:val="ListParagraph"/>
        <w:rPr>
          <w:rFonts w:ascii="Times New Roman" w:hAnsi="Times New Roman" w:cs="Times New Roman"/>
          <w:sz w:val="26"/>
          <w:szCs w:val="26"/>
        </w:rPr>
      </w:pPr>
    </w:p>
    <w:p w:rsidR="00D258DA" w:rsidRPr="00B75FD6" w:rsidRDefault="00B75FD6" w:rsidP="00B75FD6">
      <w:pPr>
        <w:spacing w:line="360" w:lineRule="auto"/>
        <w:ind w:firstLine="142"/>
        <w:jc w:val="both"/>
        <w:rPr>
          <w:sz w:val="26"/>
          <w:szCs w:val="26"/>
        </w:rPr>
      </w:pPr>
      <w:r w:rsidRPr="004748ED">
        <w:rPr>
          <w:rFonts w:eastAsiaTheme="minorEastAsia"/>
          <w:kern w:val="2"/>
          <w:sz w:val="26"/>
          <w:szCs w:val="26"/>
          <w:lang w:val="en-US" w:eastAsia="en-US"/>
          <w14:ligatures w14:val="standardContextual"/>
        </w:rPr>
        <w:t>[17]</w:t>
      </w:r>
      <w:r w:rsidRPr="004748ED">
        <w:rPr>
          <w:rFonts w:eastAsiaTheme="minorEastAsia"/>
          <w:kern w:val="2"/>
          <w:sz w:val="26"/>
          <w:szCs w:val="26"/>
          <w:lang w:val="en-US" w:eastAsia="en-US"/>
          <w14:ligatures w14:val="standardContextual"/>
        </w:rPr>
        <w:tab/>
      </w:r>
      <w:r w:rsidR="007E054C" w:rsidRPr="00B75FD6">
        <w:rPr>
          <w:sz w:val="26"/>
          <w:szCs w:val="26"/>
        </w:rPr>
        <w:t>I have already referred to all the letters referred to a</w:t>
      </w:r>
      <w:r w:rsidR="00A124A5" w:rsidRPr="00B75FD6">
        <w:rPr>
          <w:sz w:val="26"/>
          <w:szCs w:val="26"/>
        </w:rPr>
        <w:t xml:space="preserve">s annexures </w:t>
      </w:r>
      <w:r w:rsidR="001A6786" w:rsidRPr="00B75FD6">
        <w:rPr>
          <w:sz w:val="26"/>
          <w:szCs w:val="26"/>
        </w:rPr>
        <w:t>in</w:t>
      </w:r>
      <w:r w:rsidR="00A124A5" w:rsidRPr="00B75FD6">
        <w:rPr>
          <w:sz w:val="26"/>
          <w:szCs w:val="26"/>
        </w:rPr>
        <w:t xml:space="preserve"> the letter of 2</w:t>
      </w:r>
      <w:r w:rsidR="007E054C" w:rsidRPr="00B75FD6">
        <w:rPr>
          <w:sz w:val="26"/>
          <w:szCs w:val="26"/>
        </w:rPr>
        <w:t xml:space="preserve"> July 2018. </w:t>
      </w:r>
      <w:r w:rsidR="00D258DA" w:rsidRPr="00B75FD6">
        <w:rPr>
          <w:sz w:val="26"/>
          <w:szCs w:val="26"/>
        </w:rPr>
        <w:t xml:space="preserve"> It remains to be added that t</w:t>
      </w:r>
      <w:r w:rsidR="007E054C" w:rsidRPr="00B75FD6">
        <w:rPr>
          <w:sz w:val="26"/>
          <w:szCs w:val="26"/>
        </w:rPr>
        <w:t>he letter of 21 August 2015</w:t>
      </w:r>
      <w:r w:rsidR="00D258DA" w:rsidRPr="00B75FD6">
        <w:rPr>
          <w:sz w:val="26"/>
          <w:szCs w:val="26"/>
        </w:rPr>
        <w:t xml:space="preserve"> </w:t>
      </w:r>
      <w:r w:rsidR="007E054C" w:rsidRPr="00B75FD6">
        <w:rPr>
          <w:sz w:val="26"/>
          <w:szCs w:val="26"/>
        </w:rPr>
        <w:t xml:space="preserve">was a request for information prior to </w:t>
      </w:r>
      <w:r w:rsidR="00501EF9" w:rsidRPr="00B75FD6">
        <w:rPr>
          <w:sz w:val="26"/>
          <w:szCs w:val="26"/>
        </w:rPr>
        <w:t xml:space="preserve">the appeal </w:t>
      </w:r>
      <w:r w:rsidR="007E054C" w:rsidRPr="00B75FD6">
        <w:rPr>
          <w:sz w:val="26"/>
          <w:szCs w:val="26"/>
        </w:rPr>
        <w:t>hearing</w:t>
      </w:r>
      <w:r w:rsidR="00D258DA" w:rsidRPr="00B75FD6">
        <w:rPr>
          <w:sz w:val="26"/>
          <w:szCs w:val="26"/>
        </w:rPr>
        <w:t>, although, according to the DTI contains the information that has still not been submitted by the appellant</w:t>
      </w:r>
      <w:r w:rsidR="007E054C" w:rsidRPr="00B75FD6">
        <w:rPr>
          <w:sz w:val="26"/>
          <w:szCs w:val="26"/>
        </w:rPr>
        <w:t xml:space="preserve">. </w:t>
      </w:r>
    </w:p>
    <w:p w:rsidR="00D258DA" w:rsidRPr="00D258DA" w:rsidRDefault="00D258DA" w:rsidP="00D258DA">
      <w:pPr>
        <w:pStyle w:val="ListParagraph"/>
        <w:rPr>
          <w:rFonts w:ascii="Times New Roman" w:hAnsi="Times New Roman" w:cs="Times New Roman"/>
          <w:sz w:val="26"/>
          <w:szCs w:val="26"/>
        </w:rPr>
      </w:pPr>
    </w:p>
    <w:p w:rsidR="00D258DA" w:rsidRPr="00B75FD6" w:rsidRDefault="00B75FD6" w:rsidP="00B75FD6">
      <w:pPr>
        <w:spacing w:line="360" w:lineRule="auto"/>
        <w:ind w:left="720" w:hanging="720"/>
        <w:jc w:val="both"/>
        <w:rPr>
          <w:b/>
          <w:bCs/>
          <w:sz w:val="26"/>
          <w:szCs w:val="26"/>
          <w:u w:val="single"/>
        </w:rPr>
      </w:pPr>
      <w:r w:rsidRPr="00B05083">
        <w:rPr>
          <w:rFonts w:eastAsiaTheme="minorEastAsia"/>
          <w:b/>
          <w:bCs/>
          <w:kern w:val="2"/>
          <w:sz w:val="26"/>
          <w:szCs w:val="26"/>
          <w:lang w:val="en-US" w:eastAsia="en-US"/>
          <w14:ligatures w14:val="standardContextual"/>
        </w:rPr>
        <w:t>C.</w:t>
      </w:r>
      <w:r w:rsidRPr="00B05083">
        <w:rPr>
          <w:rFonts w:eastAsiaTheme="minorEastAsia"/>
          <w:b/>
          <w:bCs/>
          <w:kern w:val="2"/>
          <w:sz w:val="26"/>
          <w:szCs w:val="26"/>
          <w:lang w:val="en-US" w:eastAsia="en-US"/>
          <w14:ligatures w14:val="standardContextual"/>
        </w:rPr>
        <w:tab/>
      </w:r>
      <w:r w:rsidR="00D258DA" w:rsidRPr="00B75FD6">
        <w:rPr>
          <w:b/>
          <w:bCs/>
          <w:sz w:val="26"/>
          <w:szCs w:val="26"/>
          <w:u w:val="single"/>
        </w:rPr>
        <w:t>THE APPEAL</w:t>
      </w:r>
    </w:p>
    <w:p w:rsidR="007D6A04" w:rsidRPr="00B75FD6" w:rsidRDefault="00B75FD6" w:rsidP="00B75FD6">
      <w:pPr>
        <w:spacing w:line="360" w:lineRule="auto"/>
        <w:ind w:firstLine="142"/>
        <w:jc w:val="both"/>
        <w:rPr>
          <w:sz w:val="26"/>
          <w:szCs w:val="26"/>
        </w:rPr>
      </w:pPr>
      <w:r>
        <w:rPr>
          <w:rFonts w:eastAsiaTheme="minorEastAsia"/>
          <w:kern w:val="2"/>
          <w:sz w:val="26"/>
          <w:szCs w:val="26"/>
          <w:lang w:val="en-US" w:eastAsia="en-US"/>
          <w14:ligatures w14:val="standardContextual"/>
        </w:rPr>
        <w:t>[18]</w:t>
      </w:r>
      <w:r>
        <w:rPr>
          <w:rFonts w:eastAsiaTheme="minorEastAsia"/>
          <w:kern w:val="2"/>
          <w:sz w:val="26"/>
          <w:szCs w:val="26"/>
          <w:lang w:val="en-US" w:eastAsia="en-US"/>
          <w14:ligatures w14:val="standardContextual"/>
        </w:rPr>
        <w:tab/>
      </w:r>
      <w:r w:rsidR="007D6A04" w:rsidRPr="00B75FD6">
        <w:rPr>
          <w:sz w:val="26"/>
          <w:szCs w:val="26"/>
        </w:rPr>
        <w:t>At the heart of this appeal is the question of when the 180 days prescribed in section 7 of the PAJA started to run</w:t>
      </w:r>
      <w:r w:rsidR="00F73FC5">
        <w:rPr>
          <w:rStyle w:val="FootnoteReference"/>
          <w:sz w:val="26"/>
          <w:szCs w:val="26"/>
        </w:rPr>
        <w:footnoteReference w:id="2"/>
      </w:r>
      <w:r w:rsidR="007D6A04" w:rsidRPr="00B75FD6">
        <w:rPr>
          <w:sz w:val="26"/>
          <w:szCs w:val="26"/>
        </w:rPr>
        <w:t xml:space="preserve">, or as the court </w:t>
      </w:r>
      <w:r w:rsidR="007D6A04" w:rsidRPr="00B75FD6">
        <w:rPr>
          <w:i/>
          <w:iCs/>
          <w:sz w:val="26"/>
          <w:szCs w:val="26"/>
        </w:rPr>
        <w:t>a quo</w:t>
      </w:r>
      <w:r w:rsidR="007D6A04" w:rsidRPr="00B75FD6">
        <w:rPr>
          <w:sz w:val="26"/>
          <w:szCs w:val="26"/>
        </w:rPr>
        <w:t xml:space="preserve"> put it, when the clock started ticking. According to the court </w:t>
      </w:r>
      <w:r w:rsidR="007D6A04" w:rsidRPr="00B75FD6">
        <w:rPr>
          <w:i/>
          <w:iCs/>
          <w:sz w:val="26"/>
          <w:szCs w:val="26"/>
        </w:rPr>
        <w:t>a quo</w:t>
      </w:r>
      <w:r w:rsidR="007D6A04" w:rsidRPr="00B75FD6">
        <w:rPr>
          <w:sz w:val="26"/>
          <w:szCs w:val="26"/>
        </w:rPr>
        <w:t>, that was on 21 September 2015 when the DTI sent the letter declining an invitation to meet the appellant’s attorneys. T</w:t>
      </w:r>
      <w:r w:rsidR="007E054C" w:rsidRPr="00B75FD6">
        <w:rPr>
          <w:sz w:val="26"/>
          <w:szCs w:val="26"/>
        </w:rPr>
        <w:t xml:space="preserve">he </w:t>
      </w:r>
      <w:r w:rsidR="007D6A04" w:rsidRPr="00B75FD6">
        <w:rPr>
          <w:sz w:val="26"/>
          <w:szCs w:val="26"/>
        </w:rPr>
        <w:t xml:space="preserve">letter, according to the </w:t>
      </w:r>
      <w:r w:rsidR="00B844C6" w:rsidRPr="00B75FD6">
        <w:rPr>
          <w:i/>
          <w:sz w:val="26"/>
          <w:szCs w:val="26"/>
        </w:rPr>
        <w:t>court a quo</w:t>
      </w:r>
      <w:r w:rsidR="007D6A04" w:rsidRPr="00B75FD6">
        <w:rPr>
          <w:i/>
          <w:sz w:val="26"/>
          <w:szCs w:val="26"/>
        </w:rPr>
        <w:t>,</w:t>
      </w:r>
      <w:r w:rsidR="0073176C" w:rsidRPr="00B75FD6">
        <w:rPr>
          <w:i/>
          <w:sz w:val="26"/>
          <w:szCs w:val="26"/>
        </w:rPr>
        <w:t xml:space="preserve"> </w:t>
      </w:r>
      <w:r w:rsidR="0085218A" w:rsidRPr="00B75FD6">
        <w:rPr>
          <w:sz w:val="26"/>
          <w:szCs w:val="26"/>
        </w:rPr>
        <w:t>signa</w:t>
      </w:r>
      <w:r w:rsidR="004748ED" w:rsidRPr="00B75FD6">
        <w:rPr>
          <w:sz w:val="26"/>
          <w:szCs w:val="26"/>
        </w:rPr>
        <w:t>l</w:t>
      </w:r>
      <w:r w:rsidR="0085218A" w:rsidRPr="00B75FD6">
        <w:rPr>
          <w:sz w:val="26"/>
          <w:szCs w:val="26"/>
        </w:rPr>
        <w:t xml:space="preserve">led </w:t>
      </w:r>
      <w:r w:rsidR="004748ED" w:rsidRPr="00B75FD6">
        <w:rPr>
          <w:sz w:val="26"/>
          <w:szCs w:val="26"/>
        </w:rPr>
        <w:t xml:space="preserve">finality and </w:t>
      </w:r>
      <w:r w:rsidR="007D6A04" w:rsidRPr="00B75FD6">
        <w:rPr>
          <w:sz w:val="26"/>
          <w:szCs w:val="26"/>
        </w:rPr>
        <w:t>that the DTI was not going to change its decision of 31 July 2015. And the court’s view was that the appellant’s grounds for review arose on that date because it was in possession of the reasons for the cancellation of the approval</w:t>
      </w:r>
      <w:r w:rsidR="00B0313A" w:rsidRPr="00B75FD6">
        <w:rPr>
          <w:sz w:val="26"/>
          <w:szCs w:val="26"/>
        </w:rPr>
        <w:t xml:space="preserve">, and could not have been awaiting a decision on its appeal </w:t>
      </w:r>
      <w:r w:rsidR="00C96456" w:rsidRPr="00B75FD6">
        <w:rPr>
          <w:sz w:val="26"/>
          <w:szCs w:val="26"/>
        </w:rPr>
        <w:t>there</w:t>
      </w:r>
      <w:r w:rsidR="00B0313A" w:rsidRPr="00B75FD6">
        <w:rPr>
          <w:sz w:val="26"/>
          <w:szCs w:val="26"/>
        </w:rPr>
        <w:t>after.</w:t>
      </w:r>
    </w:p>
    <w:p w:rsidR="00314CC1" w:rsidRPr="00314CC1" w:rsidRDefault="00314CC1" w:rsidP="00314CC1">
      <w:pPr>
        <w:rPr>
          <w:sz w:val="26"/>
          <w:szCs w:val="26"/>
        </w:rPr>
      </w:pPr>
    </w:p>
    <w:p w:rsidR="004748ED" w:rsidRPr="00B75FD6" w:rsidRDefault="00B75FD6" w:rsidP="00B75FD6">
      <w:pPr>
        <w:spacing w:line="360" w:lineRule="auto"/>
        <w:ind w:firstLine="142"/>
        <w:jc w:val="both"/>
        <w:rPr>
          <w:sz w:val="26"/>
          <w:szCs w:val="26"/>
        </w:rPr>
      </w:pPr>
      <w:r>
        <w:rPr>
          <w:rFonts w:eastAsiaTheme="minorEastAsia"/>
          <w:kern w:val="2"/>
          <w:sz w:val="26"/>
          <w:szCs w:val="26"/>
          <w:lang w:val="en-US" w:eastAsia="en-US"/>
          <w14:ligatures w14:val="standardContextual"/>
        </w:rPr>
        <w:t>[19]</w:t>
      </w:r>
      <w:r>
        <w:rPr>
          <w:rFonts w:eastAsiaTheme="minorEastAsia"/>
          <w:kern w:val="2"/>
          <w:sz w:val="26"/>
          <w:szCs w:val="26"/>
          <w:lang w:val="en-US" w:eastAsia="en-US"/>
          <w14:ligatures w14:val="standardContextual"/>
        </w:rPr>
        <w:tab/>
      </w:r>
      <w:r w:rsidR="0085218A" w:rsidRPr="00B75FD6">
        <w:rPr>
          <w:sz w:val="26"/>
          <w:szCs w:val="26"/>
        </w:rPr>
        <w:t>I</w:t>
      </w:r>
      <w:r w:rsidR="007E054C" w:rsidRPr="00B75FD6">
        <w:rPr>
          <w:sz w:val="26"/>
          <w:szCs w:val="26"/>
        </w:rPr>
        <w:t xml:space="preserve">n reaching </w:t>
      </w:r>
      <w:r w:rsidR="00314CC1" w:rsidRPr="00B75FD6">
        <w:rPr>
          <w:sz w:val="26"/>
          <w:szCs w:val="26"/>
        </w:rPr>
        <w:t>that</w:t>
      </w:r>
      <w:r w:rsidR="007E054C" w:rsidRPr="00B75FD6">
        <w:rPr>
          <w:sz w:val="26"/>
          <w:szCs w:val="26"/>
        </w:rPr>
        <w:t xml:space="preserve"> conclusion</w:t>
      </w:r>
      <w:r w:rsidR="00314CC1" w:rsidRPr="00B75FD6">
        <w:rPr>
          <w:sz w:val="26"/>
          <w:szCs w:val="26"/>
        </w:rPr>
        <w:t>,</w:t>
      </w:r>
      <w:r w:rsidR="007E054C" w:rsidRPr="00B75FD6">
        <w:rPr>
          <w:sz w:val="26"/>
          <w:szCs w:val="26"/>
        </w:rPr>
        <w:t xml:space="preserve"> the </w:t>
      </w:r>
      <w:r w:rsidR="00B844C6" w:rsidRPr="00B75FD6">
        <w:rPr>
          <w:i/>
          <w:sz w:val="26"/>
          <w:szCs w:val="26"/>
        </w:rPr>
        <w:t>court a quo</w:t>
      </w:r>
      <w:r w:rsidR="007E054C" w:rsidRPr="00B75FD6">
        <w:rPr>
          <w:sz w:val="26"/>
          <w:szCs w:val="26"/>
        </w:rPr>
        <w:t xml:space="preserve"> deemed it </w:t>
      </w:r>
      <w:r w:rsidR="00314CC1" w:rsidRPr="00B75FD6">
        <w:rPr>
          <w:sz w:val="26"/>
          <w:szCs w:val="26"/>
        </w:rPr>
        <w:t xml:space="preserve">essential </w:t>
      </w:r>
      <w:r w:rsidR="007E054C" w:rsidRPr="00B75FD6">
        <w:rPr>
          <w:sz w:val="26"/>
          <w:szCs w:val="26"/>
        </w:rPr>
        <w:t xml:space="preserve">to fully quote the contents of the </w:t>
      </w:r>
      <w:r w:rsidR="004748ED" w:rsidRPr="00B75FD6">
        <w:rPr>
          <w:sz w:val="26"/>
          <w:szCs w:val="26"/>
        </w:rPr>
        <w:t xml:space="preserve">DTI’s </w:t>
      </w:r>
      <w:r w:rsidR="007E054C" w:rsidRPr="00B75FD6">
        <w:rPr>
          <w:sz w:val="26"/>
          <w:szCs w:val="26"/>
        </w:rPr>
        <w:t xml:space="preserve">letter of 21 September 2015. </w:t>
      </w:r>
      <w:r w:rsidR="00C73AC7" w:rsidRPr="00B75FD6">
        <w:rPr>
          <w:sz w:val="26"/>
          <w:szCs w:val="26"/>
        </w:rPr>
        <w:t xml:space="preserve"> </w:t>
      </w:r>
      <w:r w:rsidR="007E054C" w:rsidRPr="00B75FD6">
        <w:rPr>
          <w:sz w:val="26"/>
          <w:szCs w:val="26"/>
        </w:rPr>
        <w:t>However, the full contents of the letter were not set out in the quote</w:t>
      </w:r>
      <w:r w:rsidR="00666BAD" w:rsidRPr="00B75FD6">
        <w:rPr>
          <w:sz w:val="26"/>
          <w:szCs w:val="26"/>
        </w:rPr>
        <w:t>,</w:t>
      </w:r>
      <w:r w:rsidR="007E054C" w:rsidRPr="00B75FD6">
        <w:rPr>
          <w:sz w:val="26"/>
          <w:szCs w:val="26"/>
        </w:rPr>
        <w:t xml:space="preserve"> and omitted the very issue that has become the bone of contention between the part</w:t>
      </w:r>
      <w:r w:rsidR="00C73AC7" w:rsidRPr="00B75FD6">
        <w:rPr>
          <w:sz w:val="26"/>
          <w:szCs w:val="26"/>
        </w:rPr>
        <w:t>ies</w:t>
      </w:r>
      <w:r w:rsidR="007E054C" w:rsidRPr="00B75FD6">
        <w:rPr>
          <w:sz w:val="26"/>
          <w:szCs w:val="26"/>
        </w:rPr>
        <w:t>, namely the statement by the D</w:t>
      </w:r>
      <w:r w:rsidR="00C73AC7" w:rsidRPr="00B75FD6">
        <w:rPr>
          <w:sz w:val="26"/>
          <w:szCs w:val="26"/>
        </w:rPr>
        <w:t>T</w:t>
      </w:r>
      <w:r w:rsidR="007E054C" w:rsidRPr="00B75FD6">
        <w:rPr>
          <w:sz w:val="26"/>
          <w:szCs w:val="26"/>
        </w:rPr>
        <w:t xml:space="preserve">I that it had not received the information requested from the appellant. </w:t>
      </w:r>
      <w:r w:rsidR="00851223" w:rsidRPr="00B75FD6">
        <w:rPr>
          <w:sz w:val="26"/>
          <w:szCs w:val="26"/>
        </w:rPr>
        <w:t xml:space="preserve"> </w:t>
      </w:r>
    </w:p>
    <w:p w:rsidR="004748ED" w:rsidRPr="004748ED" w:rsidRDefault="004748ED" w:rsidP="004748ED">
      <w:pPr>
        <w:pStyle w:val="ListParagraph"/>
        <w:rPr>
          <w:rFonts w:ascii="Times New Roman" w:hAnsi="Times New Roman" w:cs="Times New Roman"/>
          <w:sz w:val="26"/>
          <w:szCs w:val="26"/>
        </w:rPr>
      </w:pPr>
    </w:p>
    <w:p w:rsidR="004748ED" w:rsidRPr="00B75FD6" w:rsidRDefault="00B75FD6" w:rsidP="00B75FD6">
      <w:pPr>
        <w:spacing w:line="360" w:lineRule="auto"/>
        <w:ind w:firstLine="142"/>
        <w:jc w:val="both"/>
        <w:rPr>
          <w:sz w:val="26"/>
          <w:szCs w:val="26"/>
        </w:rPr>
      </w:pPr>
      <w:r>
        <w:rPr>
          <w:rFonts w:eastAsiaTheme="minorEastAsia"/>
          <w:kern w:val="2"/>
          <w:sz w:val="26"/>
          <w:szCs w:val="26"/>
          <w:lang w:val="en-US" w:eastAsia="en-US"/>
          <w14:ligatures w14:val="standardContextual"/>
        </w:rPr>
        <w:t>[20]</w:t>
      </w:r>
      <w:r>
        <w:rPr>
          <w:rFonts w:eastAsiaTheme="minorEastAsia"/>
          <w:kern w:val="2"/>
          <w:sz w:val="26"/>
          <w:szCs w:val="26"/>
          <w:lang w:val="en-US" w:eastAsia="en-US"/>
          <w14:ligatures w14:val="standardContextual"/>
        </w:rPr>
        <w:tab/>
      </w:r>
      <w:r w:rsidR="007E054C" w:rsidRPr="00B75FD6">
        <w:rPr>
          <w:sz w:val="26"/>
          <w:szCs w:val="26"/>
        </w:rPr>
        <w:t xml:space="preserve">As a result of this omission, it is difficult to accept that the </w:t>
      </w:r>
      <w:r w:rsidR="00B844C6" w:rsidRPr="00B75FD6">
        <w:rPr>
          <w:i/>
          <w:sz w:val="26"/>
          <w:szCs w:val="26"/>
        </w:rPr>
        <w:t>court a quo</w:t>
      </w:r>
      <w:r w:rsidR="007E054C" w:rsidRPr="00B75FD6">
        <w:rPr>
          <w:sz w:val="26"/>
          <w:szCs w:val="26"/>
        </w:rPr>
        <w:t xml:space="preserve"> considered this aspect because </w:t>
      </w:r>
      <w:r w:rsidR="005D54EE" w:rsidRPr="00B75FD6">
        <w:rPr>
          <w:sz w:val="26"/>
          <w:szCs w:val="26"/>
        </w:rPr>
        <w:t>a</w:t>
      </w:r>
      <w:r w:rsidR="007E054C" w:rsidRPr="00B75FD6">
        <w:rPr>
          <w:sz w:val="26"/>
          <w:szCs w:val="26"/>
        </w:rPr>
        <w:t xml:space="preserve"> reading of the letter of 21 September 2015 </w:t>
      </w:r>
      <w:r w:rsidR="00851223" w:rsidRPr="00B75FD6">
        <w:rPr>
          <w:sz w:val="26"/>
          <w:szCs w:val="26"/>
        </w:rPr>
        <w:t>when it includes the omitted portion, is that</w:t>
      </w:r>
      <w:r w:rsidR="00666BAD" w:rsidRPr="00B75FD6">
        <w:rPr>
          <w:sz w:val="26"/>
          <w:szCs w:val="26"/>
        </w:rPr>
        <w:t>,</w:t>
      </w:r>
      <w:r w:rsidR="00851223" w:rsidRPr="00B75FD6">
        <w:rPr>
          <w:sz w:val="26"/>
          <w:szCs w:val="26"/>
        </w:rPr>
        <w:t xml:space="preserve"> had the requested information been received by the DTI, it may have acquiesced to the</w:t>
      </w:r>
      <w:r w:rsidR="007E054C" w:rsidRPr="00B75FD6">
        <w:rPr>
          <w:sz w:val="26"/>
          <w:szCs w:val="26"/>
        </w:rPr>
        <w:t xml:space="preserve"> meeting requested by the appellant</w:t>
      </w:r>
      <w:r w:rsidR="00F73FC5" w:rsidRPr="00B75FD6">
        <w:rPr>
          <w:sz w:val="26"/>
          <w:szCs w:val="26"/>
        </w:rPr>
        <w:t>’s lawyers</w:t>
      </w:r>
      <w:r w:rsidR="007E054C" w:rsidRPr="00B75FD6">
        <w:rPr>
          <w:sz w:val="26"/>
          <w:szCs w:val="26"/>
        </w:rPr>
        <w:t xml:space="preserve"> or at least supplied a decision based on such information. </w:t>
      </w:r>
      <w:r w:rsidR="004748ED" w:rsidRPr="00B75FD6">
        <w:rPr>
          <w:sz w:val="26"/>
          <w:szCs w:val="26"/>
        </w:rPr>
        <w:t xml:space="preserve">Seen in this way, the letter did not present finality as the court opined. </w:t>
      </w:r>
    </w:p>
    <w:p w:rsidR="004748ED" w:rsidRPr="004748ED" w:rsidRDefault="004748ED" w:rsidP="004748ED">
      <w:pPr>
        <w:pStyle w:val="ListParagraph"/>
        <w:rPr>
          <w:rFonts w:ascii="Times New Roman" w:hAnsi="Times New Roman" w:cs="Times New Roman"/>
          <w:sz w:val="26"/>
          <w:szCs w:val="26"/>
        </w:rPr>
      </w:pPr>
    </w:p>
    <w:p w:rsidR="003940E3" w:rsidRPr="00B75FD6" w:rsidRDefault="00B75FD6" w:rsidP="00B75FD6">
      <w:pPr>
        <w:spacing w:line="360" w:lineRule="auto"/>
        <w:ind w:firstLine="142"/>
        <w:jc w:val="both"/>
        <w:rPr>
          <w:sz w:val="26"/>
          <w:szCs w:val="26"/>
        </w:rPr>
      </w:pPr>
      <w:r>
        <w:rPr>
          <w:rFonts w:eastAsiaTheme="minorEastAsia"/>
          <w:kern w:val="2"/>
          <w:sz w:val="26"/>
          <w:szCs w:val="26"/>
          <w:lang w:val="en-US" w:eastAsia="en-US"/>
          <w14:ligatures w14:val="standardContextual"/>
        </w:rPr>
        <w:t>[21]</w:t>
      </w:r>
      <w:r>
        <w:rPr>
          <w:rFonts w:eastAsiaTheme="minorEastAsia"/>
          <w:kern w:val="2"/>
          <w:sz w:val="26"/>
          <w:szCs w:val="26"/>
          <w:lang w:val="en-US" w:eastAsia="en-US"/>
          <w14:ligatures w14:val="standardContextual"/>
        </w:rPr>
        <w:tab/>
      </w:r>
      <w:r w:rsidR="004748ED" w:rsidRPr="00B75FD6">
        <w:rPr>
          <w:sz w:val="26"/>
          <w:szCs w:val="26"/>
        </w:rPr>
        <w:t xml:space="preserve">Put differently, </w:t>
      </w:r>
      <w:r w:rsidR="001A6786" w:rsidRPr="00B75FD6">
        <w:rPr>
          <w:sz w:val="26"/>
          <w:szCs w:val="26"/>
        </w:rPr>
        <w:t>a</w:t>
      </w:r>
      <w:r w:rsidR="004748ED" w:rsidRPr="00B75FD6">
        <w:rPr>
          <w:sz w:val="26"/>
          <w:szCs w:val="26"/>
        </w:rPr>
        <w:t xml:space="preserve"> question that </w:t>
      </w:r>
      <w:r w:rsidR="001A6786" w:rsidRPr="00B75FD6">
        <w:rPr>
          <w:sz w:val="26"/>
          <w:szCs w:val="26"/>
        </w:rPr>
        <w:t>may be posed</w:t>
      </w:r>
      <w:r w:rsidR="004748ED" w:rsidRPr="00B75FD6">
        <w:rPr>
          <w:sz w:val="26"/>
          <w:szCs w:val="26"/>
        </w:rPr>
        <w:t xml:space="preserve"> is of what significance was the DTI’s statement - that it had not received the information requested from the appellant </w:t>
      </w:r>
      <w:r w:rsidR="00F73FC5" w:rsidRPr="00B75FD6">
        <w:rPr>
          <w:sz w:val="26"/>
          <w:szCs w:val="26"/>
        </w:rPr>
        <w:t>-</w:t>
      </w:r>
      <w:r w:rsidR="004748ED" w:rsidRPr="00B75FD6">
        <w:rPr>
          <w:sz w:val="26"/>
          <w:szCs w:val="26"/>
        </w:rPr>
        <w:t xml:space="preserve"> in its letter of 21 September 2015. The answer</w:t>
      </w:r>
      <w:r w:rsidR="00D46C60" w:rsidRPr="00B75FD6">
        <w:rPr>
          <w:sz w:val="26"/>
          <w:szCs w:val="26"/>
        </w:rPr>
        <w:t xml:space="preserve"> </w:t>
      </w:r>
      <w:r w:rsidR="004748ED" w:rsidRPr="00B75FD6">
        <w:rPr>
          <w:sz w:val="26"/>
          <w:szCs w:val="26"/>
        </w:rPr>
        <w:t>appears from the letter</w:t>
      </w:r>
      <w:r w:rsidR="00D46C60" w:rsidRPr="00B75FD6">
        <w:rPr>
          <w:sz w:val="26"/>
          <w:szCs w:val="26"/>
        </w:rPr>
        <w:t>, namely that</w:t>
      </w:r>
      <w:r w:rsidR="004748ED" w:rsidRPr="00B75FD6">
        <w:rPr>
          <w:sz w:val="26"/>
          <w:szCs w:val="26"/>
        </w:rPr>
        <w:t xml:space="preserve"> it was </w:t>
      </w:r>
      <w:r w:rsidR="00BB6EC0" w:rsidRPr="00B75FD6">
        <w:rPr>
          <w:sz w:val="26"/>
          <w:szCs w:val="26"/>
        </w:rPr>
        <w:t>a</w:t>
      </w:r>
      <w:r w:rsidR="004748ED" w:rsidRPr="00B75FD6">
        <w:rPr>
          <w:sz w:val="26"/>
          <w:szCs w:val="26"/>
        </w:rPr>
        <w:t xml:space="preserve"> reason for declining the requested meeting with the appellant’s legal representatives, the purpose of which, it must be remembered, was to resolve the </w:t>
      </w:r>
      <w:r w:rsidR="003940E3" w:rsidRPr="00B75FD6">
        <w:rPr>
          <w:sz w:val="26"/>
          <w:szCs w:val="26"/>
        </w:rPr>
        <w:t xml:space="preserve">appellant’s </w:t>
      </w:r>
      <w:r w:rsidR="004748ED" w:rsidRPr="00B75FD6">
        <w:rPr>
          <w:sz w:val="26"/>
          <w:szCs w:val="26"/>
        </w:rPr>
        <w:t>lodged appeal</w:t>
      </w:r>
      <w:r w:rsidR="00D46C60" w:rsidRPr="00B75FD6">
        <w:rPr>
          <w:sz w:val="26"/>
          <w:szCs w:val="26"/>
        </w:rPr>
        <w:t xml:space="preserve"> which was under consideration</w:t>
      </w:r>
      <w:r w:rsidR="004748ED" w:rsidRPr="00B75FD6">
        <w:rPr>
          <w:sz w:val="26"/>
          <w:szCs w:val="26"/>
        </w:rPr>
        <w:t xml:space="preserve">. </w:t>
      </w:r>
    </w:p>
    <w:p w:rsidR="003940E3" w:rsidRPr="003940E3" w:rsidRDefault="003940E3" w:rsidP="003940E3">
      <w:pPr>
        <w:pStyle w:val="ListParagraph"/>
        <w:rPr>
          <w:rFonts w:ascii="Times New Roman" w:hAnsi="Times New Roman" w:cs="Times New Roman"/>
          <w:sz w:val="26"/>
          <w:szCs w:val="26"/>
        </w:rPr>
      </w:pPr>
    </w:p>
    <w:p w:rsidR="00666BAD" w:rsidRPr="00B75FD6" w:rsidRDefault="00B75FD6" w:rsidP="00B75FD6">
      <w:pPr>
        <w:spacing w:line="360" w:lineRule="auto"/>
        <w:ind w:firstLine="142"/>
        <w:jc w:val="both"/>
        <w:rPr>
          <w:sz w:val="26"/>
          <w:szCs w:val="26"/>
        </w:rPr>
      </w:pPr>
      <w:r>
        <w:rPr>
          <w:rFonts w:eastAsiaTheme="minorEastAsia"/>
          <w:kern w:val="2"/>
          <w:sz w:val="26"/>
          <w:szCs w:val="26"/>
          <w:lang w:val="en-US" w:eastAsia="en-US"/>
          <w14:ligatures w14:val="standardContextual"/>
        </w:rPr>
        <w:t>[22]</w:t>
      </w:r>
      <w:r>
        <w:rPr>
          <w:rFonts w:eastAsiaTheme="minorEastAsia"/>
          <w:kern w:val="2"/>
          <w:sz w:val="26"/>
          <w:szCs w:val="26"/>
          <w:lang w:val="en-US" w:eastAsia="en-US"/>
          <w14:ligatures w14:val="standardContextual"/>
        </w:rPr>
        <w:tab/>
      </w:r>
      <w:r w:rsidR="003940E3" w:rsidRPr="00B75FD6">
        <w:rPr>
          <w:sz w:val="26"/>
          <w:szCs w:val="26"/>
        </w:rPr>
        <w:t>Such was the significance of th</w:t>
      </w:r>
      <w:r w:rsidR="00F73FC5" w:rsidRPr="00B75FD6">
        <w:rPr>
          <w:sz w:val="26"/>
          <w:szCs w:val="26"/>
        </w:rPr>
        <w:t xml:space="preserve">e </w:t>
      </w:r>
      <w:r w:rsidR="003940E3" w:rsidRPr="00B75FD6">
        <w:rPr>
          <w:sz w:val="26"/>
          <w:szCs w:val="26"/>
        </w:rPr>
        <w:t>alleged failure to submit the required information</w:t>
      </w:r>
      <w:r w:rsidR="00F73FC5" w:rsidRPr="00B75FD6">
        <w:rPr>
          <w:sz w:val="26"/>
          <w:szCs w:val="26"/>
        </w:rPr>
        <w:t xml:space="preserve"> </w:t>
      </w:r>
      <w:r w:rsidR="003940E3" w:rsidRPr="00B75FD6">
        <w:rPr>
          <w:sz w:val="26"/>
          <w:szCs w:val="26"/>
        </w:rPr>
        <w:t xml:space="preserve">that the appellant responded by letter of 25 September 2015, denying that it had failed to submit the requested information and requesting a response to that specific issue at paragraph 4 of its letter. The court </w:t>
      </w:r>
      <w:r w:rsidR="00D46C60" w:rsidRPr="00B75FD6">
        <w:rPr>
          <w:i/>
          <w:iCs/>
          <w:sz w:val="26"/>
          <w:szCs w:val="26"/>
        </w:rPr>
        <w:t>a quo</w:t>
      </w:r>
      <w:r w:rsidR="00D46C60" w:rsidRPr="00B75FD6">
        <w:rPr>
          <w:sz w:val="26"/>
          <w:szCs w:val="26"/>
        </w:rPr>
        <w:t xml:space="preserve"> </w:t>
      </w:r>
      <w:r w:rsidR="003940E3" w:rsidRPr="00B75FD6">
        <w:rPr>
          <w:sz w:val="26"/>
          <w:szCs w:val="26"/>
        </w:rPr>
        <w:t xml:space="preserve">held that paragraph 4 was </w:t>
      </w:r>
      <w:r w:rsidR="003940E3" w:rsidRPr="00B75FD6">
        <w:rPr>
          <w:i/>
          <w:iCs/>
          <w:sz w:val="26"/>
          <w:szCs w:val="26"/>
        </w:rPr>
        <w:t>“clearly incorrect”</w:t>
      </w:r>
      <w:r w:rsidR="003940E3" w:rsidRPr="00B75FD6">
        <w:rPr>
          <w:sz w:val="26"/>
          <w:szCs w:val="26"/>
        </w:rPr>
        <w:t xml:space="preserve"> because the applicant did receive a response from DTI subsequent to its appeal. </w:t>
      </w:r>
      <w:r w:rsidR="00D46C60" w:rsidRPr="00B75FD6">
        <w:rPr>
          <w:sz w:val="26"/>
          <w:szCs w:val="26"/>
        </w:rPr>
        <w:t>However, p</w:t>
      </w:r>
      <w:r w:rsidR="00F73FC5" w:rsidRPr="00B75FD6">
        <w:rPr>
          <w:sz w:val="26"/>
          <w:szCs w:val="26"/>
        </w:rPr>
        <w:t xml:space="preserve">aragraph 4, also </w:t>
      </w:r>
      <w:r w:rsidR="003940E3" w:rsidRPr="00B75FD6">
        <w:rPr>
          <w:sz w:val="26"/>
          <w:szCs w:val="26"/>
        </w:rPr>
        <w:t>deal</w:t>
      </w:r>
      <w:r w:rsidR="00F73FC5" w:rsidRPr="00B75FD6">
        <w:rPr>
          <w:sz w:val="26"/>
          <w:szCs w:val="26"/>
        </w:rPr>
        <w:t>t</w:t>
      </w:r>
      <w:r w:rsidR="003940E3" w:rsidRPr="00B75FD6">
        <w:rPr>
          <w:sz w:val="26"/>
          <w:szCs w:val="26"/>
        </w:rPr>
        <w:t xml:space="preserve"> with what the appellant referred to as </w:t>
      </w:r>
      <w:r w:rsidR="00F73FC5" w:rsidRPr="00B75FD6">
        <w:rPr>
          <w:i/>
          <w:iCs/>
          <w:color w:val="000000" w:themeColor="text1"/>
          <w:sz w:val="26"/>
          <w:szCs w:val="26"/>
        </w:rPr>
        <w:t>“</w:t>
      </w:r>
      <w:r w:rsidR="003940E3" w:rsidRPr="00B75FD6">
        <w:rPr>
          <w:i/>
          <w:iCs/>
          <w:color w:val="000000" w:themeColor="text1"/>
          <w:sz w:val="26"/>
          <w:szCs w:val="26"/>
        </w:rPr>
        <w:t>follow-up documentation</w:t>
      </w:r>
      <w:r w:rsidR="00F73FC5" w:rsidRPr="00B75FD6">
        <w:rPr>
          <w:i/>
          <w:iCs/>
          <w:color w:val="000000" w:themeColor="text1"/>
          <w:sz w:val="26"/>
          <w:szCs w:val="26"/>
        </w:rPr>
        <w:t>”</w:t>
      </w:r>
      <w:r w:rsidR="00F73FC5" w:rsidRPr="00B75FD6">
        <w:rPr>
          <w:sz w:val="26"/>
          <w:szCs w:val="26"/>
        </w:rPr>
        <w:t xml:space="preserve">, in respect of which it was awaiting a response. That is the only conclusion that may be reached if one reads paragraphs 2, 3 and 4 of that letter conjunctively. The court </w:t>
      </w:r>
      <w:r w:rsidR="00F73FC5" w:rsidRPr="00B75FD6">
        <w:rPr>
          <w:i/>
          <w:iCs/>
          <w:sz w:val="26"/>
          <w:szCs w:val="26"/>
        </w:rPr>
        <w:t>a quo</w:t>
      </w:r>
      <w:r w:rsidR="00F73FC5" w:rsidRPr="00B75FD6">
        <w:rPr>
          <w:sz w:val="26"/>
          <w:szCs w:val="26"/>
        </w:rPr>
        <w:t xml:space="preserve"> did not deal with th</w:t>
      </w:r>
      <w:r w:rsidR="00BB6EC0" w:rsidRPr="00B75FD6">
        <w:rPr>
          <w:sz w:val="26"/>
          <w:szCs w:val="26"/>
        </w:rPr>
        <w:t>e</w:t>
      </w:r>
      <w:r w:rsidR="00F73FC5" w:rsidRPr="00B75FD6">
        <w:rPr>
          <w:sz w:val="26"/>
          <w:szCs w:val="26"/>
        </w:rPr>
        <w:t xml:space="preserve"> issue of the </w:t>
      </w:r>
      <w:r w:rsidR="001A6786" w:rsidRPr="00B75FD6">
        <w:rPr>
          <w:sz w:val="26"/>
          <w:szCs w:val="26"/>
        </w:rPr>
        <w:t xml:space="preserve">alleged failure to submit </w:t>
      </w:r>
      <w:r w:rsidR="00F73FC5" w:rsidRPr="00B75FD6">
        <w:rPr>
          <w:sz w:val="26"/>
          <w:szCs w:val="26"/>
        </w:rPr>
        <w:t>information</w:t>
      </w:r>
      <w:r w:rsidR="00BB6EC0" w:rsidRPr="00B75FD6">
        <w:rPr>
          <w:sz w:val="26"/>
          <w:szCs w:val="26"/>
        </w:rPr>
        <w:t xml:space="preserve">, and I am of the view that on this aspect the court </w:t>
      </w:r>
      <w:r w:rsidR="00BB6EC0" w:rsidRPr="00B75FD6">
        <w:rPr>
          <w:i/>
          <w:iCs/>
          <w:sz w:val="26"/>
          <w:szCs w:val="26"/>
        </w:rPr>
        <w:t>a quo</w:t>
      </w:r>
      <w:r w:rsidR="00BB6EC0" w:rsidRPr="00B75FD6">
        <w:rPr>
          <w:sz w:val="26"/>
          <w:szCs w:val="26"/>
        </w:rPr>
        <w:t xml:space="preserve"> misdirected itself.</w:t>
      </w:r>
    </w:p>
    <w:p w:rsidR="00851223" w:rsidRPr="009461D0" w:rsidRDefault="00851223" w:rsidP="009461D0">
      <w:pPr>
        <w:spacing w:line="360" w:lineRule="auto"/>
        <w:jc w:val="both"/>
        <w:rPr>
          <w:sz w:val="26"/>
          <w:szCs w:val="26"/>
        </w:rPr>
      </w:pPr>
    </w:p>
    <w:p w:rsidR="00635698" w:rsidRPr="00B75FD6" w:rsidRDefault="00B75FD6" w:rsidP="00B75FD6">
      <w:pPr>
        <w:ind w:left="720" w:hanging="578"/>
        <w:rPr>
          <w:sz w:val="26"/>
          <w:szCs w:val="26"/>
        </w:rPr>
      </w:pPr>
      <w:r w:rsidRPr="00312E08">
        <w:rPr>
          <w:rFonts w:eastAsiaTheme="minorEastAsia"/>
          <w:kern w:val="2"/>
          <w:sz w:val="26"/>
          <w:szCs w:val="26"/>
          <w:lang w:val="en-US" w:eastAsia="en-US"/>
          <w14:ligatures w14:val="standardContextual"/>
        </w:rPr>
        <w:t>[23]</w:t>
      </w:r>
      <w:r w:rsidRPr="00312E08">
        <w:rPr>
          <w:rFonts w:eastAsiaTheme="minorEastAsia"/>
          <w:kern w:val="2"/>
          <w:sz w:val="26"/>
          <w:szCs w:val="26"/>
          <w:lang w:val="en-US" w:eastAsia="en-US"/>
          <w14:ligatures w14:val="standardContextual"/>
        </w:rPr>
        <w:tab/>
      </w:r>
      <w:r w:rsidR="009461D0" w:rsidRPr="00B75FD6">
        <w:rPr>
          <w:sz w:val="26"/>
          <w:szCs w:val="26"/>
        </w:rPr>
        <w:t>At p</w:t>
      </w:r>
      <w:r w:rsidR="007E054C" w:rsidRPr="00B75FD6">
        <w:rPr>
          <w:sz w:val="26"/>
          <w:szCs w:val="26"/>
        </w:rPr>
        <w:t>aragraph</w:t>
      </w:r>
      <w:r w:rsidR="00851223" w:rsidRPr="00B75FD6">
        <w:rPr>
          <w:sz w:val="26"/>
          <w:szCs w:val="26"/>
        </w:rPr>
        <w:t>s</w:t>
      </w:r>
      <w:r w:rsidR="007E054C" w:rsidRPr="00B75FD6">
        <w:rPr>
          <w:sz w:val="26"/>
          <w:szCs w:val="26"/>
        </w:rPr>
        <w:t xml:space="preserve"> 5</w:t>
      </w:r>
      <w:r w:rsidR="00851223" w:rsidRPr="00B75FD6">
        <w:rPr>
          <w:sz w:val="26"/>
          <w:szCs w:val="26"/>
        </w:rPr>
        <w:t>2 to 5</w:t>
      </w:r>
      <w:r w:rsidR="007E054C" w:rsidRPr="00B75FD6">
        <w:rPr>
          <w:sz w:val="26"/>
          <w:szCs w:val="26"/>
        </w:rPr>
        <w:t>4 of the founding affidavit</w:t>
      </w:r>
      <w:r w:rsidR="009461D0" w:rsidRPr="00B75FD6">
        <w:rPr>
          <w:sz w:val="26"/>
          <w:szCs w:val="26"/>
        </w:rPr>
        <w:t>, the appellant</w:t>
      </w:r>
      <w:r w:rsidR="007E054C" w:rsidRPr="00B75FD6">
        <w:rPr>
          <w:sz w:val="26"/>
          <w:szCs w:val="26"/>
        </w:rPr>
        <w:t xml:space="preserve"> state</w:t>
      </w:r>
      <w:r w:rsidR="00BB6EC0" w:rsidRPr="00B75FD6">
        <w:rPr>
          <w:sz w:val="26"/>
          <w:szCs w:val="26"/>
        </w:rPr>
        <w:t>d</w:t>
      </w:r>
      <w:r w:rsidR="007E054C" w:rsidRPr="00B75FD6">
        <w:rPr>
          <w:sz w:val="26"/>
          <w:szCs w:val="26"/>
        </w:rPr>
        <w:t xml:space="preserve"> as follows</w:t>
      </w:r>
      <w:r w:rsidR="00635698" w:rsidRPr="00B75FD6">
        <w:rPr>
          <w:sz w:val="26"/>
          <w:szCs w:val="26"/>
        </w:rPr>
        <w:t>:</w:t>
      </w:r>
    </w:p>
    <w:p w:rsidR="00635698" w:rsidRDefault="00635698" w:rsidP="00635698">
      <w:pPr>
        <w:pStyle w:val="ListParagraph"/>
        <w:ind w:left="1080"/>
        <w:rPr>
          <w:rFonts w:ascii="Times New Roman" w:hAnsi="Times New Roman" w:cs="Times New Roman"/>
        </w:rPr>
      </w:pPr>
    </w:p>
    <w:p w:rsidR="00635698" w:rsidRPr="00312E08" w:rsidRDefault="00F6066D" w:rsidP="00312E08">
      <w:pPr>
        <w:pStyle w:val="ListParagraph"/>
        <w:spacing w:after="0" w:line="276" w:lineRule="auto"/>
        <w:ind w:left="2160" w:hanging="720"/>
        <w:jc w:val="both"/>
        <w:rPr>
          <w:rFonts w:ascii="Times New Roman" w:hAnsi="Times New Roman" w:cs="Times New Roman"/>
          <w:i/>
          <w:sz w:val="24"/>
          <w:szCs w:val="24"/>
        </w:rPr>
      </w:pPr>
      <w:r>
        <w:rPr>
          <w:rFonts w:ascii="Times New Roman" w:hAnsi="Times New Roman" w:cs="Times New Roman"/>
        </w:rPr>
        <w:t>“</w:t>
      </w:r>
      <w:r w:rsidR="00635698">
        <w:rPr>
          <w:rFonts w:ascii="Times New Roman" w:hAnsi="Times New Roman" w:cs="Times New Roman"/>
        </w:rPr>
        <w:t>52.</w:t>
      </w:r>
      <w:r w:rsidR="00635698">
        <w:rPr>
          <w:rFonts w:ascii="Times New Roman" w:hAnsi="Times New Roman" w:cs="Times New Roman"/>
        </w:rPr>
        <w:tab/>
      </w:r>
      <w:r w:rsidR="00635698" w:rsidRPr="00312E08">
        <w:rPr>
          <w:rFonts w:ascii="Times New Roman" w:hAnsi="Times New Roman" w:cs="Times New Roman"/>
          <w:sz w:val="24"/>
          <w:szCs w:val="24"/>
        </w:rPr>
        <w:t xml:space="preserve">The DTI responded in a letter dated 21 September 2015, sent by Mr Truter, a copy of which is annexed hereto as </w:t>
      </w:r>
      <w:r w:rsidR="00635698" w:rsidRPr="00312E08">
        <w:rPr>
          <w:rFonts w:ascii="Times New Roman" w:hAnsi="Times New Roman" w:cs="Times New Roman"/>
          <w:b/>
          <w:sz w:val="24"/>
          <w:szCs w:val="24"/>
        </w:rPr>
        <w:t xml:space="preserve">“CR11”.  </w:t>
      </w:r>
      <w:r w:rsidR="00635698" w:rsidRPr="00312E08">
        <w:rPr>
          <w:rFonts w:ascii="Times New Roman" w:hAnsi="Times New Roman" w:cs="Times New Roman"/>
          <w:sz w:val="24"/>
          <w:szCs w:val="24"/>
        </w:rPr>
        <w:t>In the</w:t>
      </w:r>
      <w:r w:rsidR="00635698" w:rsidRPr="00312E08">
        <w:rPr>
          <w:rFonts w:ascii="Times New Roman" w:hAnsi="Times New Roman" w:cs="Times New Roman"/>
          <w:b/>
          <w:sz w:val="24"/>
          <w:szCs w:val="24"/>
        </w:rPr>
        <w:t xml:space="preserve"> </w:t>
      </w:r>
      <w:r w:rsidR="006556FF" w:rsidRPr="00312E08">
        <w:rPr>
          <w:rFonts w:ascii="Times New Roman" w:hAnsi="Times New Roman" w:cs="Times New Roman"/>
          <w:sz w:val="24"/>
          <w:szCs w:val="24"/>
        </w:rPr>
        <w:t xml:space="preserve">letter </w:t>
      </w:r>
      <w:r w:rsidR="00833B05" w:rsidRPr="00312E08">
        <w:rPr>
          <w:rFonts w:ascii="Times New Roman" w:hAnsi="Times New Roman" w:cs="Times New Roman"/>
          <w:sz w:val="24"/>
          <w:szCs w:val="24"/>
        </w:rPr>
        <w:t xml:space="preserve">the DTI incorrectly stated that it had not received certain information from the applicant to justify its dispute over the DIT’s findings.  This information had been furnished in the applicant’s letter dated 25 August 2015, annexure </w:t>
      </w:r>
      <w:r w:rsidR="00833B05" w:rsidRPr="00312E08">
        <w:rPr>
          <w:rFonts w:ascii="Times New Roman" w:hAnsi="Times New Roman" w:cs="Times New Roman"/>
          <w:b/>
          <w:sz w:val="24"/>
          <w:szCs w:val="24"/>
        </w:rPr>
        <w:t>“CR9”</w:t>
      </w:r>
      <w:r w:rsidR="00A428CF" w:rsidRPr="00312E08">
        <w:rPr>
          <w:rFonts w:ascii="Times New Roman" w:hAnsi="Times New Roman" w:cs="Times New Roman"/>
          <w:b/>
          <w:sz w:val="24"/>
          <w:szCs w:val="24"/>
        </w:rPr>
        <w:t xml:space="preserve"> </w:t>
      </w:r>
      <w:r w:rsidR="00A428CF" w:rsidRPr="00312E08">
        <w:rPr>
          <w:rFonts w:ascii="Times New Roman" w:hAnsi="Times New Roman" w:cs="Times New Roman"/>
          <w:sz w:val="24"/>
          <w:szCs w:val="24"/>
        </w:rPr>
        <w:t>hereto.  The DT</w:t>
      </w:r>
      <w:r w:rsidR="009461D0">
        <w:rPr>
          <w:rFonts w:ascii="Times New Roman" w:hAnsi="Times New Roman" w:cs="Times New Roman"/>
          <w:sz w:val="24"/>
          <w:szCs w:val="24"/>
        </w:rPr>
        <w:t>I</w:t>
      </w:r>
      <w:r w:rsidR="00A428CF" w:rsidRPr="00312E08">
        <w:rPr>
          <w:rFonts w:ascii="Times New Roman" w:hAnsi="Times New Roman" w:cs="Times New Roman"/>
          <w:sz w:val="24"/>
          <w:szCs w:val="24"/>
        </w:rPr>
        <w:t xml:space="preserve"> also stated that it was not necessary for another meeting </w:t>
      </w:r>
      <w:r w:rsidR="00A428CF" w:rsidRPr="00312E08">
        <w:rPr>
          <w:rFonts w:ascii="Times New Roman" w:hAnsi="Times New Roman" w:cs="Times New Roman"/>
          <w:i/>
          <w:sz w:val="24"/>
          <w:szCs w:val="24"/>
        </w:rPr>
        <w:t>“as the issues had already been dealt with”.</w:t>
      </w:r>
      <w:r w:rsidR="00A428CF" w:rsidRPr="00312E08">
        <w:rPr>
          <w:rFonts w:ascii="Times New Roman" w:hAnsi="Times New Roman" w:cs="Times New Roman"/>
          <w:sz w:val="24"/>
          <w:szCs w:val="24"/>
        </w:rPr>
        <w:t xml:space="preserve">  The letter ended with the statement that </w:t>
      </w:r>
      <w:r w:rsidR="00A428CF" w:rsidRPr="00312E08">
        <w:rPr>
          <w:rFonts w:ascii="Times New Roman" w:hAnsi="Times New Roman" w:cs="Times New Roman"/>
          <w:i/>
          <w:sz w:val="24"/>
          <w:szCs w:val="24"/>
        </w:rPr>
        <w:t>“the application and/or claim remains rejected…”.</w:t>
      </w:r>
    </w:p>
    <w:p w:rsidR="00DE0C4A" w:rsidRPr="00312E08" w:rsidRDefault="00DE0C4A" w:rsidP="00312E08">
      <w:pPr>
        <w:pStyle w:val="ListParagraph"/>
        <w:spacing w:after="0" w:line="276" w:lineRule="auto"/>
        <w:ind w:left="2160" w:hanging="720"/>
        <w:jc w:val="both"/>
        <w:rPr>
          <w:rFonts w:ascii="Times New Roman" w:hAnsi="Times New Roman" w:cs="Times New Roman"/>
          <w:sz w:val="24"/>
          <w:szCs w:val="24"/>
        </w:rPr>
      </w:pPr>
    </w:p>
    <w:p w:rsidR="00DE0C4A" w:rsidRPr="00312E08" w:rsidRDefault="00DE0C4A" w:rsidP="00312E08">
      <w:pPr>
        <w:pStyle w:val="ListParagraph"/>
        <w:spacing w:after="0" w:line="276" w:lineRule="auto"/>
        <w:ind w:left="2160" w:hanging="720"/>
        <w:jc w:val="both"/>
        <w:rPr>
          <w:rFonts w:ascii="Times New Roman" w:hAnsi="Times New Roman" w:cs="Times New Roman"/>
          <w:sz w:val="24"/>
          <w:szCs w:val="24"/>
        </w:rPr>
      </w:pPr>
      <w:r w:rsidRPr="00312E08">
        <w:rPr>
          <w:rFonts w:ascii="Times New Roman" w:hAnsi="Times New Roman" w:cs="Times New Roman"/>
          <w:sz w:val="24"/>
          <w:szCs w:val="24"/>
        </w:rPr>
        <w:t>53.</w:t>
      </w:r>
      <w:r w:rsidRPr="00312E08">
        <w:rPr>
          <w:rFonts w:ascii="Times New Roman" w:hAnsi="Times New Roman" w:cs="Times New Roman"/>
          <w:sz w:val="24"/>
          <w:szCs w:val="24"/>
        </w:rPr>
        <w:tab/>
      </w:r>
      <w:r w:rsidR="00040F37" w:rsidRPr="00312E08">
        <w:rPr>
          <w:rFonts w:ascii="Times New Roman" w:hAnsi="Times New Roman" w:cs="Times New Roman"/>
          <w:sz w:val="24"/>
          <w:szCs w:val="24"/>
        </w:rPr>
        <w:t xml:space="preserve">I responded to Mr Truter’s letter in a letter from Zen HQ on 25 September 2015 wherein </w:t>
      </w:r>
      <w:r w:rsidR="00040F37" w:rsidRPr="00312E08">
        <w:rPr>
          <w:rFonts w:ascii="Times New Roman" w:hAnsi="Times New Roman" w:cs="Times New Roman"/>
          <w:i/>
          <w:sz w:val="24"/>
          <w:szCs w:val="24"/>
        </w:rPr>
        <w:t>inter alia</w:t>
      </w:r>
      <w:r w:rsidR="00040F37" w:rsidRPr="00312E08">
        <w:rPr>
          <w:rFonts w:ascii="Times New Roman" w:hAnsi="Times New Roman" w:cs="Times New Roman"/>
          <w:sz w:val="24"/>
          <w:szCs w:val="24"/>
        </w:rPr>
        <w:t xml:space="preserve"> I refuted Mr Truter’s contention that the DTI had not received certain information from the applicant to justify its dispute over the DTI’s findings.  A copy of my letter is annexed hereto as </w:t>
      </w:r>
      <w:r w:rsidR="00040F37" w:rsidRPr="00312E08">
        <w:rPr>
          <w:rFonts w:ascii="Times New Roman" w:hAnsi="Times New Roman" w:cs="Times New Roman"/>
          <w:b/>
          <w:sz w:val="24"/>
          <w:szCs w:val="24"/>
        </w:rPr>
        <w:t>“CR12”</w:t>
      </w:r>
      <w:r w:rsidR="00040F37" w:rsidRPr="00312E08">
        <w:rPr>
          <w:rFonts w:ascii="Times New Roman" w:hAnsi="Times New Roman" w:cs="Times New Roman"/>
          <w:sz w:val="24"/>
          <w:szCs w:val="24"/>
        </w:rPr>
        <w:t>.</w:t>
      </w:r>
    </w:p>
    <w:p w:rsidR="00040F37" w:rsidRPr="00312E08" w:rsidRDefault="00040F37" w:rsidP="00312E08">
      <w:pPr>
        <w:pStyle w:val="ListParagraph"/>
        <w:spacing w:after="0" w:line="276" w:lineRule="auto"/>
        <w:ind w:left="2160" w:hanging="720"/>
        <w:jc w:val="both"/>
        <w:rPr>
          <w:rFonts w:ascii="Times New Roman" w:hAnsi="Times New Roman" w:cs="Times New Roman"/>
          <w:sz w:val="24"/>
          <w:szCs w:val="24"/>
        </w:rPr>
      </w:pPr>
    </w:p>
    <w:p w:rsidR="00040F37" w:rsidRPr="00312E08" w:rsidRDefault="00040F37" w:rsidP="00312E08">
      <w:pPr>
        <w:pStyle w:val="ListParagraph"/>
        <w:spacing w:after="0" w:line="276" w:lineRule="auto"/>
        <w:ind w:left="2160" w:hanging="720"/>
        <w:jc w:val="both"/>
        <w:rPr>
          <w:rFonts w:ascii="Times New Roman" w:hAnsi="Times New Roman" w:cs="Times New Roman"/>
          <w:sz w:val="24"/>
          <w:szCs w:val="24"/>
        </w:rPr>
      </w:pPr>
      <w:r w:rsidRPr="00312E08">
        <w:rPr>
          <w:rFonts w:ascii="Times New Roman" w:hAnsi="Times New Roman" w:cs="Times New Roman"/>
          <w:sz w:val="24"/>
          <w:szCs w:val="24"/>
        </w:rPr>
        <w:t>54.</w:t>
      </w:r>
      <w:r w:rsidRPr="00312E08">
        <w:rPr>
          <w:rFonts w:ascii="Times New Roman" w:hAnsi="Times New Roman" w:cs="Times New Roman"/>
          <w:sz w:val="24"/>
          <w:szCs w:val="24"/>
        </w:rPr>
        <w:tab/>
        <w:t>Significantly, in paragraph 4 of the letter I placed on record that the applicant had not received a response from the DTI subsequent to its appeal, follow up documentation and requests for clarification.</w:t>
      </w:r>
    </w:p>
    <w:p w:rsidR="00851223" w:rsidRPr="004819CB" w:rsidRDefault="00851223" w:rsidP="00851223">
      <w:pPr>
        <w:pStyle w:val="ListParagraph"/>
        <w:rPr>
          <w:rFonts w:ascii="Times New Roman" w:hAnsi="Times New Roman" w:cs="Times New Roman"/>
        </w:rPr>
      </w:pPr>
    </w:p>
    <w:p w:rsidR="0042328C" w:rsidRPr="00B75FD6" w:rsidRDefault="00B75FD6" w:rsidP="00B75FD6">
      <w:pPr>
        <w:ind w:left="720" w:hanging="578"/>
        <w:rPr>
          <w:sz w:val="26"/>
          <w:szCs w:val="26"/>
        </w:rPr>
      </w:pPr>
      <w:r w:rsidRPr="00823C51">
        <w:rPr>
          <w:rFonts w:eastAsiaTheme="minorEastAsia"/>
          <w:kern w:val="2"/>
          <w:sz w:val="26"/>
          <w:szCs w:val="26"/>
          <w:lang w:val="en-US" w:eastAsia="en-US"/>
          <w14:ligatures w14:val="standardContextual"/>
        </w:rPr>
        <w:t>[24]</w:t>
      </w:r>
      <w:r w:rsidRPr="00823C51">
        <w:rPr>
          <w:rFonts w:eastAsiaTheme="minorEastAsia"/>
          <w:kern w:val="2"/>
          <w:sz w:val="26"/>
          <w:szCs w:val="26"/>
          <w:lang w:val="en-US" w:eastAsia="en-US"/>
          <w14:ligatures w14:val="standardContextual"/>
        </w:rPr>
        <w:tab/>
      </w:r>
      <w:r w:rsidR="00851223" w:rsidRPr="00B75FD6">
        <w:rPr>
          <w:sz w:val="26"/>
          <w:szCs w:val="26"/>
        </w:rPr>
        <w:t>The DTI</w:t>
      </w:r>
      <w:r w:rsidR="007E054C" w:rsidRPr="00B75FD6">
        <w:rPr>
          <w:sz w:val="26"/>
          <w:szCs w:val="26"/>
        </w:rPr>
        <w:t xml:space="preserve"> responded as follows </w:t>
      </w:r>
      <w:r w:rsidR="00823C51" w:rsidRPr="00B75FD6">
        <w:rPr>
          <w:sz w:val="26"/>
          <w:szCs w:val="26"/>
        </w:rPr>
        <w:t xml:space="preserve">to these paragraphs </w:t>
      </w:r>
      <w:r w:rsidR="007E054C" w:rsidRPr="00B75FD6">
        <w:rPr>
          <w:sz w:val="26"/>
          <w:szCs w:val="26"/>
        </w:rPr>
        <w:t>in its answering affidavit</w:t>
      </w:r>
      <w:r w:rsidR="00F6066D" w:rsidRPr="00B75FD6">
        <w:rPr>
          <w:sz w:val="26"/>
          <w:szCs w:val="26"/>
        </w:rPr>
        <w:t>:</w:t>
      </w:r>
      <w:r w:rsidR="007E054C" w:rsidRPr="00B75FD6">
        <w:rPr>
          <w:sz w:val="26"/>
          <w:szCs w:val="26"/>
        </w:rPr>
        <w:t xml:space="preserve"> </w:t>
      </w:r>
    </w:p>
    <w:p w:rsidR="00F6066D" w:rsidRPr="00312E08" w:rsidRDefault="00F6066D" w:rsidP="00312E08">
      <w:pPr>
        <w:pStyle w:val="ListParagraph"/>
        <w:spacing w:after="0" w:line="276" w:lineRule="auto"/>
        <w:jc w:val="both"/>
        <w:rPr>
          <w:rFonts w:ascii="Times New Roman" w:hAnsi="Times New Roman" w:cs="Times New Roman"/>
          <w:sz w:val="24"/>
          <w:szCs w:val="24"/>
        </w:rPr>
      </w:pPr>
    </w:p>
    <w:p w:rsidR="00F6066D" w:rsidRDefault="00F6066D" w:rsidP="00823C51">
      <w:pPr>
        <w:pStyle w:val="ListParagraph"/>
        <w:spacing w:after="0" w:line="276" w:lineRule="auto"/>
        <w:ind w:left="2160" w:hanging="720"/>
        <w:jc w:val="both"/>
        <w:rPr>
          <w:rFonts w:ascii="Times New Roman" w:hAnsi="Times New Roman" w:cs="Times New Roman"/>
          <w:sz w:val="24"/>
          <w:szCs w:val="24"/>
        </w:rPr>
      </w:pPr>
      <w:r w:rsidRPr="00312E08">
        <w:rPr>
          <w:rFonts w:ascii="Times New Roman" w:hAnsi="Times New Roman" w:cs="Times New Roman"/>
          <w:sz w:val="24"/>
          <w:szCs w:val="24"/>
        </w:rPr>
        <w:t>“94.1</w:t>
      </w:r>
      <w:r w:rsidRPr="00312E08">
        <w:rPr>
          <w:rFonts w:ascii="Times New Roman" w:hAnsi="Times New Roman" w:cs="Times New Roman"/>
          <w:sz w:val="24"/>
          <w:szCs w:val="24"/>
        </w:rPr>
        <w:tab/>
        <w:t>The contents of these paragraphs are denied.  The applicant has been unable to furnish proof or information that demonstrates the following, namely that:</w:t>
      </w:r>
    </w:p>
    <w:p w:rsidR="00823C51" w:rsidRPr="00823C51" w:rsidRDefault="00823C51" w:rsidP="00823C51">
      <w:pPr>
        <w:pStyle w:val="ListParagraph"/>
        <w:spacing w:after="0" w:line="276" w:lineRule="auto"/>
        <w:ind w:left="2160" w:hanging="720"/>
        <w:jc w:val="both"/>
        <w:rPr>
          <w:rFonts w:ascii="Times New Roman" w:hAnsi="Times New Roman" w:cs="Times New Roman"/>
          <w:sz w:val="24"/>
          <w:szCs w:val="24"/>
        </w:rPr>
      </w:pPr>
    </w:p>
    <w:p w:rsidR="00FE5E20" w:rsidRPr="00823C51" w:rsidRDefault="00F6066D" w:rsidP="00823C51">
      <w:pPr>
        <w:pStyle w:val="ListParagraph"/>
        <w:spacing w:after="0" w:line="276" w:lineRule="auto"/>
        <w:ind w:left="2880" w:hanging="720"/>
        <w:jc w:val="both"/>
        <w:rPr>
          <w:rFonts w:ascii="Times New Roman" w:hAnsi="Times New Roman" w:cs="Times New Roman"/>
          <w:sz w:val="24"/>
          <w:szCs w:val="24"/>
        </w:rPr>
      </w:pPr>
      <w:r w:rsidRPr="00312E08">
        <w:rPr>
          <w:rFonts w:ascii="Times New Roman" w:hAnsi="Times New Roman" w:cs="Times New Roman"/>
          <w:sz w:val="24"/>
          <w:szCs w:val="24"/>
        </w:rPr>
        <w:t>94.1.1</w:t>
      </w:r>
      <w:r w:rsidRPr="00312E08">
        <w:rPr>
          <w:rFonts w:ascii="Times New Roman" w:hAnsi="Times New Roman" w:cs="Times New Roman"/>
          <w:sz w:val="24"/>
          <w:szCs w:val="24"/>
        </w:rPr>
        <w:tab/>
        <w:t>the majority of the intellectual property is owned by South African citizens;</w:t>
      </w:r>
    </w:p>
    <w:p w:rsidR="00FE5E20" w:rsidRPr="00823C51" w:rsidRDefault="00FE5E20" w:rsidP="00823C51">
      <w:pPr>
        <w:pStyle w:val="ListParagraph"/>
        <w:spacing w:after="0" w:line="276" w:lineRule="auto"/>
        <w:ind w:left="2880" w:hanging="720"/>
        <w:jc w:val="both"/>
        <w:rPr>
          <w:rFonts w:ascii="Times New Roman" w:hAnsi="Times New Roman" w:cs="Times New Roman"/>
          <w:sz w:val="24"/>
          <w:szCs w:val="24"/>
        </w:rPr>
      </w:pPr>
      <w:r w:rsidRPr="00312E08">
        <w:rPr>
          <w:rFonts w:ascii="Times New Roman" w:hAnsi="Times New Roman" w:cs="Times New Roman"/>
          <w:sz w:val="24"/>
          <w:szCs w:val="24"/>
        </w:rPr>
        <w:t>94.1.2</w:t>
      </w:r>
      <w:r w:rsidRPr="00312E08">
        <w:rPr>
          <w:rFonts w:ascii="Times New Roman" w:hAnsi="Times New Roman" w:cs="Times New Roman"/>
          <w:sz w:val="24"/>
          <w:szCs w:val="24"/>
        </w:rPr>
        <w:tab/>
        <w:t xml:space="preserve">the directors are </w:t>
      </w:r>
      <w:r w:rsidR="008E359C" w:rsidRPr="00312E08">
        <w:rPr>
          <w:rFonts w:ascii="Times New Roman" w:hAnsi="Times New Roman" w:cs="Times New Roman"/>
          <w:sz w:val="24"/>
          <w:szCs w:val="24"/>
        </w:rPr>
        <w:t>South</w:t>
      </w:r>
      <w:r w:rsidRPr="00312E08">
        <w:rPr>
          <w:rFonts w:ascii="Times New Roman" w:hAnsi="Times New Roman" w:cs="Times New Roman"/>
          <w:sz w:val="24"/>
          <w:szCs w:val="24"/>
        </w:rPr>
        <w:t xml:space="preserve"> African citizens;</w:t>
      </w:r>
    </w:p>
    <w:p w:rsidR="00FE5E20" w:rsidRPr="00823C51" w:rsidRDefault="00FE5E20" w:rsidP="00823C51">
      <w:pPr>
        <w:pStyle w:val="ListParagraph"/>
        <w:spacing w:after="0" w:line="276" w:lineRule="auto"/>
        <w:ind w:left="2880" w:hanging="720"/>
        <w:jc w:val="both"/>
        <w:rPr>
          <w:rFonts w:ascii="Times New Roman" w:hAnsi="Times New Roman" w:cs="Times New Roman"/>
          <w:sz w:val="24"/>
          <w:szCs w:val="24"/>
        </w:rPr>
      </w:pPr>
      <w:r w:rsidRPr="00312E08">
        <w:rPr>
          <w:rFonts w:ascii="Times New Roman" w:hAnsi="Times New Roman" w:cs="Times New Roman"/>
          <w:sz w:val="24"/>
          <w:szCs w:val="24"/>
        </w:rPr>
        <w:t>94.1.3</w:t>
      </w:r>
      <w:r w:rsidRPr="00312E08">
        <w:rPr>
          <w:rFonts w:ascii="Times New Roman" w:hAnsi="Times New Roman" w:cs="Times New Roman"/>
          <w:sz w:val="24"/>
          <w:szCs w:val="24"/>
        </w:rPr>
        <w:tab/>
        <w:t>the top writer and producer credits include South African citizens; and</w:t>
      </w:r>
    </w:p>
    <w:p w:rsidR="00FE5E20" w:rsidRPr="00312E08" w:rsidRDefault="00FE5E20" w:rsidP="00312E08">
      <w:pPr>
        <w:pStyle w:val="ListParagraph"/>
        <w:spacing w:after="0" w:line="276" w:lineRule="auto"/>
        <w:ind w:left="2880" w:hanging="720"/>
        <w:jc w:val="both"/>
        <w:rPr>
          <w:rFonts w:ascii="Times New Roman" w:hAnsi="Times New Roman" w:cs="Times New Roman"/>
          <w:sz w:val="24"/>
          <w:szCs w:val="24"/>
        </w:rPr>
      </w:pPr>
      <w:r w:rsidRPr="00312E08">
        <w:rPr>
          <w:rFonts w:ascii="Times New Roman" w:hAnsi="Times New Roman" w:cs="Times New Roman"/>
          <w:sz w:val="24"/>
          <w:szCs w:val="24"/>
        </w:rPr>
        <w:t>94.1.4</w:t>
      </w:r>
      <w:r w:rsidRPr="00312E08">
        <w:rPr>
          <w:rFonts w:ascii="Times New Roman" w:hAnsi="Times New Roman" w:cs="Times New Roman"/>
          <w:sz w:val="24"/>
          <w:szCs w:val="24"/>
        </w:rPr>
        <w:tab/>
        <w:t>the majority of highest paid performers are South African citizens;</w:t>
      </w:r>
    </w:p>
    <w:p w:rsidR="00FE5E20" w:rsidRPr="00312E08" w:rsidRDefault="00FE5E20" w:rsidP="00312E08">
      <w:pPr>
        <w:pStyle w:val="ListParagraph"/>
        <w:spacing w:after="0" w:line="276" w:lineRule="auto"/>
        <w:ind w:left="2880" w:hanging="720"/>
        <w:jc w:val="both"/>
        <w:rPr>
          <w:rFonts w:ascii="Times New Roman" w:hAnsi="Times New Roman" w:cs="Times New Roman"/>
          <w:sz w:val="24"/>
          <w:szCs w:val="24"/>
        </w:rPr>
      </w:pPr>
    </w:p>
    <w:p w:rsidR="00FE5E20" w:rsidRPr="00312E08" w:rsidRDefault="00FE5E20" w:rsidP="00312E08">
      <w:pPr>
        <w:pStyle w:val="ListParagraph"/>
        <w:spacing w:after="0" w:line="276" w:lineRule="auto"/>
        <w:ind w:left="2127" w:hanging="567"/>
        <w:jc w:val="both"/>
        <w:rPr>
          <w:rFonts w:ascii="Times New Roman" w:hAnsi="Times New Roman" w:cs="Times New Roman"/>
          <w:sz w:val="24"/>
          <w:szCs w:val="24"/>
        </w:rPr>
      </w:pPr>
      <w:r w:rsidRPr="00312E08">
        <w:rPr>
          <w:rFonts w:ascii="Times New Roman" w:hAnsi="Times New Roman" w:cs="Times New Roman"/>
          <w:sz w:val="24"/>
          <w:szCs w:val="24"/>
        </w:rPr>
        <w:t>94.2</w:t>
      </w:r>
      <w:r w:rsidRPr="00312E08">
        <w:rPr>
          <w:rFonts w:ascii="Times New Roman" w:hAnsi="Times New Roman" w:cs="Times New Roman"/>
          <w:sz w:val="24"/>
          <w:szCs w:val="24"/>
        </w:rPr>
        <w:tab/>
      </w:r>
      <w:r w:rsidRPr="00823C51">
        <w:rPr>
          <w:rFonts w:ascii="Times New Roman" w:hAnsi="Times New Roman" w:cs="Times New Roman"/>
          <w:b/>
          <w:bCs/>
          <w:sz w:val="24"/>
          <w:szCs w:val="24"/>
        </w:rPr>
        <w:t>The applicant merely furnished explanations on the information it had already submitted in its application and claim</w:t>
      </w:r>
      <w:r w:rsidRPr="00312E08">
        <w:rPr>
          <w:rFonts w:ascii="Times New Roman" w:hAnsi="Times New Roman" w:cs="Times New Roman"/>
          <w:sz w:val="24"/>
          <w:szCs w:val="24"/>
        </w:rPr>
        <w:t>.  Such explanations were not in accordance with the interpretations of the Guidelines.  The applicant attempts to circumvent the provisions of the Guidelines by proffering explanations to suit itself and its circumstances.”</w:t>
      </w:r>
      <w:r w:rsidR="00823C51">
        <w:rPr>
          <w:rFonts w:ascii="Times New Roman" w:hAnsi="Times New Roman" w:cs="Times New Roman"/>
          <w:sz w:val="24"/>
          <w:szCs w:val="24"/>
        </w:rPr>
        <w:t xml:space="preserve"> (my emphasis)</w:t>
      </w:r>
    </w:p>
    <w:p w:rsidR="00F6066D" w:rsidRPr="00312E08" w:rsidRDefault="00F6066D" w:rsidP="00312E08">
      <w:pPr>
        <w:pStyle w:val="ListParagraph"/>
        <w:spacing w:after="0" w:line="360" w:lineRule="auto"/>
        <w:jc w:val="both"/>
        <w:rPr>
          <w:rFonts w:ascii="Times New Roman" w:hAnsi="Times New Roman" w:cs="Times New Roman"/>
          <w:sz w:val="26"/>
          <w:szCs w:val="26"/>
        </w:rPr>
      </w:pPr>
    </w:p>
    <w:p w:rsidR="0088070C" w:rsidRPr="00B75FD6" w:rsidRDefault="00B75FD6" w:rsidP="00B75FD6">
      <w:pPr>
        <w:spacing w:line="360" w:lineRule="auto"/>
        <w:ind w:firstLine="142"/>
        <w:jc w:val="both"/>
        <w:rPr>
          <w:sz w:val="26"/>
          <w:szCs w:val="26"/>
        </w:rPr>
      </w:pPr>
      <w:r w:rsidRPr="0088070C">
        <w:rPr>
          <w:rFonts w:eastAsiaTheme="minorEastAsia"/>
          <w:kern w:val="2"/>
          <w:sz w:val="26"/>
          <w:szCs w:val="26"/>
          <w:lang w:val="en-US" w:eastAsia="en-US"/>
          <w14:ligatures w14:val="standardContextual"/>
        </w:rPr>
        <w:t>[25]</w:t>
      </w:r>
      <w:r w:rsidRPr="0088070C">
        <w:rPr>
          <w:rFonts w:eastAsiaTheme="minorEastAsia"/>
          <w:kern w:val="2"/>
          <w:sz w:val="26"/>
          <w:szCs w:val="26"/>
          <w:lang w:val="en-US" w:eastAsia="en-US"/>
          <w14:ligatures w14:val="standardContextual"/>
        </w:rPr>
        <w:tab/>
      </w:r>
      <w:r w:rsidR="00823C51" w:rsidRPr="00B75FD6">
        <w:rPr>
          <w:sz w:val="26"/>
          <w:szCs w:val="26"/>
        </w:rPr>
        <w:t xml:space="preserve">The highlighted portion at paragraph 94.2 of the answering affidavit, </w:t>
      </w:r>
      <w:r w:rsidR="005D54EE" w:rsidRPr="00B75FD6">
        <w:rPr>
          <w:sz w:val="26"/>
          <w:szCs w:val="26"/>
        </w:rPr>
        <w:t>i</w:t>
      </w:r>
      <w:r w:rsidR="00823C51" w:rsidRPr="00B75FD6">
        <w:rPr>
          <w:sz w:val="26"/>
          <w:szCs w:val="26"/>
        </w:rPr>
        <w:t>s not supported by the correspondence between the parties. Nowhere in th</w:t>
      </w:r>
      <w:r w:rsidR="003C7304" w:rsidRPr="00B75FD6">
        <w:rPr>
          <w:sz w:val="26"/>
          <w:szCs w:val="26"/>
        </w:rPr>
        <w:t>e</w:t>
      </w:r>
      <w:r w:rsidR="00823C51" w:rsidRPr="00B75FD6">
        <w:rPr>
          <w:sz w:val="26"/>
          <w:szCs w:val="26"/>
        </w:rPr>
        <w:t xml:space="preserve"> correspondence did the DTI </w:t>
      </w:r>
      <w:r w:rsidR="005D54EE" w:rsidRPr="00B75FD6">
        <w:rPr>
          <w:sz w:val="26"/>
          <w:szCs w:val="26"/>
        </w:rPr>
        <w:t xml:space="preserve">acknowledge receipt of information from the appellant and </w:t>
      </w:r>
      <w:r w:rsidR="00823C51" w:rsidRPr="00B75FD6">
        <w:rPr>
          <w:sz w:val="26"/>
          <w:szCs w:val="26"/>
        </w:rPr>
        <w:t>issue a decision rejecting the information as being inadequate or a repetition of what had already been submitted to it. Instead, the letter of 21 September 2015 stated that the appellant had not furnished information requested of it.</w:t>
      </w:r>
      <w:r w:rsidR="00823C51" w:rsidRPr="00B75FD6">
        <w:rPr>
          <w:b/>
          <w:bCs/>
        </w:rPr>
        <w:t xml:space="preserve"> </w:t>
      </w:r>
    </w:p>
    <w:p w:rsidR="00C96456" w:rsidRPr="00D46C60" w:rsidRDefault="00C96456" w:rsidP="00D46C60">
      <w:pPr>
        <w:rPr>
          <w:sz w:val="26"/>
          <w:szCs w:val="26"/>
        </w:rPr>
      </w:pPr>
    </w:p>
    <w:p w:rsidR="00D46C60" w:rsidRPr="00B75FD6" w:rsidRDefault="00B75FD6" w:rsidP="00B75FD6">
      <w:pPr>
        <w:spacing w:line="360" w:lineRule="auto"/>
        <w:ind w:firstLine="142"/>
        <w:jc w:val="both"/>
        <w:rPr>
          <w:sz w:val="26"/>
          <w:szCs w:val="26"/>
        </w:rPr>
      </w:pPr>
      <w:r w:rsidRPr="00D46C60">
        <w:rPr>
          <w:rFonts w:eastAsiaTheme="minorEastAsia"/>
          <w:kern w:val="2"/>
          <w:sz w:val="26"/>
          <w:szCs w:val="26"/>
          <w:lang w:val="en-US" w:eastAsia="en-US"/>
          <w14:ligatures w14:val="standardContextual"/>
        </w:rPr>
        <w:t>[26]</w:t>
      </w:r>
      <w:r w:rsidRPr="00D46C60">
        <w:rPr>
          <w:rFonts w:eastAsiaTheme="minorEastAsia"/>
          <w:kern w:val="2"/>
          <w:sz w:val="26"/>
          <w:szCs w:val="26"/>
          <w:lang w:val="en-US" w:eastAsia="en-US"/>
          <w14:ligatures w14:val="standardContextual"/>
        </w:rPr>
        <w:tab/>
      </w:r>
      <w:r w:rsidR="00C96456" w:rsidRPr="00B75FD6">
        <w:rPr>
          <w:sz w:val="26"/>
          <w:szCs w:val="26"/>
        </w:rPr>
        <w:t>T</w:t>
      </w:r>
      <w:r w:rsidR="005D54EE" w:rsidRPr="00B75FD6">
        <w:rPr>
          <w:sz w:val="26"/>
          <w:szCs w:val="26"/>
        </w:rPr>
        <w:t>he court</w:t>
      </w:r>
      <w:r w:rsidR="00C5223A" w:rsidRPr="00B75FD6">
        <w:rPr>
          <w:sz w:val="26"/>
          <w:szCs w:val="26"/>
        </w:rPr>
        <w:t xml:space="preserve"> </w:t>
      </w:r>
      <w:r w:rsidR="00C5223A" w:rsidRPr="00B75FD6">
        <w:rPr>
          <w:i/>
          <w:iCs/>
          <w:sz w:val="26"/>
          <w:szCs w:val="26"/>
        </w:rPr>
        <w:t>a quo</w:t>
      </w:r>
      <w:r w:rsidR="005D54EE" w:rsidRPr="00B75FD6">
        <w:rPr>
          <w:sz w:val="26"/>
          <w:szCs w:val="26"/>
        </w:rPr>
        <w:t xml:space="preserve"> held</w:t>
      </w:r>
      <w:r w:rsidR="005C524D" w:rsidRPr="00B75FD6">
        <w:rPr>
          <w:sz w:val="26"/>
          <w:szCs w:val="26"/>
        </w:rPr>
        <w:t xml:space="preserve"> that by 21 September 2015 the appellant was in possession of information regarding the reasons for cancellation of the approval. </w:t>
      </w:r>
      <w:r w:rsidR="00C96456" w:rsidRPr="00B75FD6">
        <w:rPr>
          <w:sz w:val="26"/>
          <w:szCs w:val="26"/>
        </w:rPr>
        <w:t xml:space="preserve">Although that is true, it is also correct that </w:t>
      </w:r>
      <w:r w:rsidR="0088070C" w:rsidRPr="00B75FD6">
        <w:rPr>
          <w:color w:val="000000" w:themeColor="text1"/>
          <w:sz w:val="26"/>
          <w:szCs w:val="26"/>
        </w:rPr>
        <w:t>an internal appeal had been lodged in terms of the guidelines of the DTI’s programme</w:t>
      </w:r>
      <w:r w:rsidR="00C96456" w:rsidRPr="00B75FD6">
        <w:rPr>
          <w:color w:val="000000" w:themeColor="text1"/>
          <w:sz w:val="26"/>
          <w:szCs w:val="26"/>
        </w:rPr>
        <w:t xml:space="preserve">. </w:t>
      </w:r>
      <w:r w:rsidR="00BB6EC0" w:rsidRPr="00B75FD6">
        <w:rPr>
          <w:color w:val="000000" w:themeColor="text1"/>
          <w:sz w:val="26"/>
          <w:szCs w:val="26"/>
        </w:rPr>
        <w:t xml:space="preserve">And, as part of that appeal, the DTI </w:t>
      </w:r>
      <w:r w:rsidR="00D46C60" w:rsidRPr="00B75FD6">
        <w:rPr>
          <w:color w:val="000000" w:themeColor="text1"/>
          <w:sz w:val="26"/>
          <w:szCs w:val="26"/>
        </w:rPr>
        <w:t xml:space="preserve">had </w:t>
      </w:r>
      <w:r w:rsidR="00BB6EC0" w:rsidRPr="00B75FD6">
        <w:rPr>
          <w:color w:val="000000" w:themeColor="text1"/>
          <w:sz w:val="26"/>
          <w:szCs w:val="26"/>
        </w:rPr>
        <w:t xml:space="preserve">requested further information from the appellant. </w:t>
      </w:r>
      <w:r w:rsidR="00C96456" w:rsidRPr="00B75FD6">
        <w:rPr>
          <w:color w:val="000000" w:themeColor="text1"/>
          <w:sz w:val="26"/>
          <w:szCs w:val="26"/>
        </w:rPr>
        <w:t>That being so,</w:t>
      </w:r>
      <w:r w:rsidR="0088070C" w:rsidRPr="00B75FD6">
        <w:rPr>
          <w:color w:val="000000" w:themeColor="text1"/>
          <w:sz w:val="26"/>
          <w:szCs w:val="26"/>
        </w:rPr>
        <w:t xml:space="preserve"> the relevant </w:t>
      </w:r>
      <w:r w:rsidR="005D54EE" w:rsidRPr="00B75FD6">
        <w:rPr>
          <w:color w:val="000000" w:themeColor="text1"/>
          <w:sz w:val="26"/>
          <w:szCs w:val="26"/>
        </w:rPr>
        <w:t>in</w:t>
      </w:r>
      <w:r w:rsidR="00D51C51" w:rsidRPr="00B75FD6">
        <w:rPr>
          <w:color w:val="000000" w:themeColor="text1"/>
          <w:sz w:val="26"/>
          <w:szCs w:val="26"/>
        </w:rPr>
        <w:t>qu</w:t>
      </w:r>
      <w:r w:rsidR="005D54EE" w:rsidRPr="00B75FD6">
        <w:rPr>
          <w:color w:val="000000" w:themeColor="text1"/>
          <w:sz w:val="26"/>
          <w:szCs w:val="26"/>
        </w:rPr>
        <w:t>i</w:t>
      </w:r>
      <w:r w:rsidR="00D51C51" w:rsidRPr="00B75FD6">
        <w:rPr>
          <w:color w:val="000000" w:themeColor="text1"/>
          <w:sz w:val="26"/>
          <w:szCs w:val="26"/>
        </w:rPr>
        <w:t>ry</w:t>
      </w:r>
      <w:r w:rsidR="00C96456" w:rsidRPr="00B75FD6">
        <w:rPr>
          <w:color w:val="000000" w:themeColor="text1"/>
          <w:sz w:val="26"/>
          <w:szCs w:val="26"/>
        </w:rPr>
        <w:t>, for purposes of determining the calculation of the 180 days, wa</w:t>
      </w:r>
      <w:r w:rsidR="00D51C51" w:rsidRPr="00B75FD6">
        <w:rPr>
          <w:color w:val="000000" w:themeColor="text1"/>
          <w:sz w:val="26"/>
          <w:szCs w:val="26"/>
        </w:rPr>
        <w:t>s whether the appeal had been concluded</w:t>
      </w:r>
      <w:r w:rsidR="00C96456" w:rsidRPr="00B75FD6">
        <w:rPr>
          <w:color w:val="000000" w:themeColor="text1"/>
          <w:sz w:val="26"/>
          <w:szCs w:val="26"/>
        </w:rPr>
        <w:t xml:space="preserve"> by 21 September 2015</w:t>
      </w:r>
      <w:r w:rsidR="00D51C51" w:rsidRPr="00B75FD6">
        <w:rPr>
          <w:color w:val="000000" w:themeColor="text1"/>
          <w:sz w:val="26"/>
          <w:szCs w:val="26"/>
        </w:rPr>
        <w:t xml:space="preserve">. </w:t>
      </w:r>
      <w:r w:rsidR="00D46C60" w:rsidRPr="00B75FD6">
        <w:rPr>
          <w:sz w:val="26"/>
          <w:szCs w:val="26"/>
        </w:rPr>
        <w:t xml:space="preserve">After all, in terms of section 7 of PAJA, </w:t>
      </w:r>
      <w:r w:rsidR="00D46C60" w:rsidRPr="00B75FD6">
        <w:rPr>
          <w:color w:val="000000" w:themeColor="text1"/>
          <w:sz w:val="26"/>
          <w:szCs w:val="26"/>
        </w:rPr>
        <w:t xml:space="preserve">proceedings for judicial review in terms of section 6(1) may only be instituted after conclusion of proceedings instituted in terms of internal remedies. </w:t>
      </w:r>
    </w:p>
    <w:p w:rsidR="00D46C60" w:rsidRPr="00D46C60" w:rsidRDefault="00D46C60" w:rsidP="00D46C60">
      <w:pPr>
        <w:pStyle w:val="ListParagraph"/>
        <w:rPr>
          <w:rFonts w:ascii="Times New Roman" w:eastAsia="Times New Roman" w:hAnsi="Times New Roman" w:cs="Times New Roman"/>
          <w:color w:val="000000" w:themeColor="text1"/>
          <w:kern w:val="0"/>
          <w:sz w:val="26"/>
          <w:szCs w:val="26"/>
          <w:lang w:val="en-ZA" w:eastAsia="en-GB"/>
          <w14:ligatures w14:val="none"/>
        </w:rPr>
      </w:pPr>
    </w:p>
    <w:p w:rsidR="00BB3021" w:rsidRPr="00B75FD6" w:rsidRDefault="00B75FD6" w:rsidP="00B75FD6">
      <w:pPr>
        <w:spacing w:line="360" w:lineRule="auto"/>
        <w:ind w:firstLine="142"/>
        <w:jc w:val="both"/>
        <w:rPr>
          <w:sz w:val="26"/>
          <w:szCs w:val="26"/>
        </w:rPr>
      </w:pPr>
      <w:r>
        <w:rPr>
          <w:rFonts w:eastAsiaTheme="minorEastAsia"/>
          <w:kern w:val="2"/>
          <w:sz w:val="26"/>
          <w:szCs w:val="26"/>
          <w:lang w:val="en-US" w:eastAsia="en-US"/>
          <w14:ligatures w14:val="standardContextual"/>
        </w:rPr>
        <w:t>[27]</w:t>
      </w:r>
      <w:r>
        <w:rPr>
          <w:rFonts w:eastAsiaTheme="minorEastAsia"/>
          <w:kern w:val="2"/>
          <w:sz w:val="26"/>
          <w:szCs w:val="26"/>
          <w:lang w:val="en-US" w:eastAsia="en-US"/>
          <w14:ligatures w14:val="standardContextual"/>
        </w:rPr>
        <w:tab/>
      </w:r>
      <w:r w:rsidR="00C96456" w:rsidRPr="00B75FD6">
        <w:rPr>
          <w:color w:val="000000" w:themeColor="text1"/>
          <w:sz w:val="26"/>
          <w:szCs w:val="26"/>
        </w:rPr>
        <w:t xml:space="preserve">On that score, it is clear from the DTI’s later correspondence and pleadings in the court </w:t>
      </w:r>
      <w:r w:rsidR="00C96456" w:rsidRPr="00B75FD6">
        <w:rPr>
          <w:i/>
          <w:iCs/>
          <w:color w:val="000000" w:themeColor="text1"/>
          <w:sz w:val="26"/>
          <w:szCs w:val="26"/>
        </w:rPr>
        <w:t>a quo</w:t>
      </w:r>
      <w:r w:rsidR="00C96456" w:rsidRPr="00B75FD6">
        <w:rPr>
          <w:color w:val="000000" w:themeColor="text1"/>
          <w:sz w:val="26"/>
          <w:szCs w:val="26"/>
        </w:rPr>
        <w:t>, that it too was not convinced that an appeal decision had been rendered by that date.</w:t>
      </w:r>
      <w:r w:rsidR="00D46C60" w:rsidRPr="00B75FD6">
        <w:rPr>
          <w:color w:val="000000" w:themeColor="text1"/>
          <w:sz w:val="26"/>
          <w:szCs w:val="26"/>
        </w:rPr>
        <w:t xml:space="preserve"> </w:t>
      </w:r>
      <w:r w:rsidR="00533CCE" w:rsidRPr="00B75FD6">
        <w:rPr>
          <w:sz w:val="26"/>
          <w:szCs w:val="26"/>
        </w:rPr>
        <w:t xml:space="preserve">One such indication is DTI’s letter of 2 July 2018, which </w:t>
      </w:r>
      <w:r w:rsidR="00B0313A" w:rsidRPr="00B75FD6">
        <w:rPr>
          <w:sz w:val="26"/>
          <w:szCs w:val="26"/>
        </w:rPr>
        <w:t>annexed 3 letters</w:t>
      </w:r>
      <w:r w:rsidR="00533CCE" w:rsidRPr="00B75FD6">
        <w:rPr>
          <w:sz w:val="26"/>
          <w:szCs w:val="26"/>
        </w:rPr>
        <w:t xml:space="preserve"> -</w:t>
      </w:r>
      <w:r w:rsidR="00B0313A" w:rsidRPr="00B75FD6">
        <w:rPr>
          <w:sz w:val="26"/>
          <w:szCs w:val="26"/>
        </w:rPr>
        <w:t xml:space="preserve"> </w:t>
      </w:r>
      <w:r w:rsidR="00D51C51" w:rsidRPr="00B75FD6">
        <w:rPr>
          <w:sz w:val="26"/>
          <w:szCs w:val="26"/>
        </w:rPr>
        <w:t xml:space="preserve">annexures </w:t>
      </w:r>
      <w:r w:rsidR="001A6786" w:rsidRPr="00B75FD6">
        <w:rPr>
          <w:sz w:val="26"/>
          <w:szCs w:val="26"/>
        </w:rPr>
        <w:t>B</w:t>
      </w:r>
      <w:r w:rsidR="00D51C51" w:rsidRPr="00B75FD6">
        <w:rPr>
          <w:sz w:val="26"/>
          <w:szCs w:val="26"/>
        </w:rPr>
        <w:t xml:space="preserve"> to </w:t>
      </w:r>
      <w:r w:rsidR="001A6786" w:rsidRPr="00B75FD6">
        <w:rPr>
          <w:sz w:val="26"/>
          <w:szCs w:val="26"/>
        </w:rPr>
        <w:t>D</w:t>
      </w:r>
      <w:r w:rsidR="00533CCE" w:rsidRPr="00B75FD6">
        <w:rPr>
          <w:sz w:val="26"/>
          <w:szCs w:val="26"/>
        </w:rPr>
        <w:t xml:space="preserve"> -</w:t>
      </w:r>
      <w:r w:rsidR="00D51C51" w:rsidRPr="00B75FD6">
        <w:rPr>
          <w:sz w:val="26"/>
          <w:szCs w:val="26"/>
        </w:rPr>
        <w:t xml:space="preserve"> </w:t>
      </w:r>
      <w:r w:rsidR="00533CCE" w:rsidRPr="00B75FD6">
        <w:rPr>
          <w:sz w:val="26"/>
          <w:szCs w:val="26"/>
        </w:rPr>
        <w:t xml:space="preserve">referring to them as its decision on the appeal. </w:t>
      </w:r>
      <w:r w:rsidR="002E24B4" w:rsidRPr="00B75FD6">
        <w:rPr>
          <w:sz w:val="26"/>
          <w:szCs w:val="26"/>
        </w:rPr>
        <w:t>Thus,</w:t>
      </w:r>
      <w:r w:rsidR="00533CCE" w:rsidRPr="00B75FD6">
        <w:rPr>
          <w:sz w:val="26"/>
          <w:szCs w:val="26"/>
        </w:rPr>
        <w:t xml:space="preserve"> even in the DTI’s mind, there is no single document that may be referred to as the appeal outcome in this matter.  Apart from that</w:t>
      </w:r>
      <w:r w:rsidR="002E24B4" w:rsidRPr="00B75FD6">
        <w:rPr>
          <w:sz w:val="26"/>
          <w:szCs w:val="26"/>
        </w:rPr>
        <w:t xml:space="preserve"> observation</w:t>
      </w:r>
      <w:r w:rsidR="00533CCE" w:rsidRPr="00B75FD6">
        <w:rPr>
          <w:sz w:val="26"/>
          <w:szCs w:val="26"/>
        </w:rPr>
        <w:t>, t</w:t>
      </w:r>
      <w:r w:rsidR="00B0313A" w:rsidRPr="00B75FD6">
        <w:rPr>
          <w:sz w:val="26"/>
          <w:szCs w:val="26"/>
        </w:rPr>
        <w:t>h</w:t>
      </w:r>
      <w:r w:rsidR="00533CCE" w:rsidRPr="00B75FD6">
        <w:rPr>
          <w:sz w:val="26"/>
          <w:szCs w:val="26"/>
        </w:rPr>
        <w:t xml:space="preserve">e annexures referred to as the appeal decision included </w:t>
      </w:r>
      <w:r w:rsidR="00B0313A" w:rsidRPr="00B75FD6">
        <w:rPr>
          <w:sz w:val="26"/>
          <w:szCs w:val="26"/>
        </w:rPr>
        <w:t xml:space="preserve">the letter of </w:t>
      </w:r>
      <w:r w:rsidR="00D51C51" w:rsidRPr="00B75FD6">
        <w:rPr>
          <w:sz w:val="26"/>
          <w:szCs w:val="26"/>
        </w:rPr>
        <w:t xml:space="preserve">9 </w:t>
      </w:r>
      <w:r w:rsidR="00B0313A" w:rsidRPr="00B75FD6">
        <w:rPr>
          <w:sz w:val="26"/>
          <w:szCs w:val="26"/>
        </w:rPr>
        <w:t>November 2015</w:t>
      </w:r>
      <w:r w:rsidR="00533CCE" w:rsidRPr="00B75FD6">
        <w:rPr>
          <w:sz w:val="26"/>
          <w:szCs w:val="26"/>
        </w:rPr>
        <w:t>,</w:t>
      </w:r>
      <w:r w:rsidR="00B0313A" w:rsidRPr="00B75FD6">
        <w:rPr>
          <w:sz w:val="26"/>
          <w:szCs w:val="26"/>
        </w:rPr>
        <w:t xml:space="preserve"> which immediately dispels the idea that a decision had been taken prior to that date. </w:t>
      </w:r>
      <w:r w:rsidR="00D51C51" w:rsidRPr="00B75FD6">
        <w:rPr>
          <w:sz w:val="26"/>
          <w:szCs w:val="26"/>
        </w:rPr>
        <w:t xml:space="preserve">And </w:t>
      </w:r>
      <w:r w:rsidR="00BB3021" w:rsidRPr="00B75FD6">
        <w:rPr>
          <w:sz w:val="26"/>
          <w:szCs w:val="26"/>
        </w:rPr>
        <w:t xml:space="preserve">the </w:t>
      </w:r>
      <w:r w:rsidR="00B0313A" w:rsidRPr="00B75FD6">
        <w:rPr>
          <w:sz w:val="26"/>
          <w:szCs w:val="26"/>
        </w:rPr>
        <w:t xml:space="preserve">contents </w:t>
      </w:r>
      <w:r w:rsidR="00D51C51" w:rsidRPr="00B75FD6">
        <w:rPr>
          <w:sz w:val="26"/>
          <w:szCs w:val="26"/>
        </w:rPr>
        <w:t xml:space="preserve">of that letter </w:t>
      </w:r>
      <w:r w:rsidR="00B0313A" w:rsidRPr="00B75FD6">
        <w:rPr>
          <w:sz w:val="26"/>
          <w:szCs w:val="26"/>
        </w:rPr>
        <w:t>support that view because, similar to the previous letters, it stated</w:t>
      </w:r>
      <w:r w:rsidR="00D51C51" w:rsidRPr="00B75FD6">
        <w:rPr>
          <w:sz w:val="26"/>
          <w:szCs w:val="26"/>
        </w:rPr>
        <w:t xml:space="preserve"> that </w:t>
      </w:r>
      <w:r w:rsidR="00D51C51" w:rsidRPr="00B75FD6">
        <w:rPr>
          <w:i/>
          <w:iCs/>
          <w:sz w:val="26"/>
          <w:szCs w:val="26"/>
        </w:rPr>
        <w:t xml:space="preserve">“[t]he provisional approval letter given to the above </w:t>
      </w:r>
      <w:r w:rsidR="001A6786" w:rsidRPr="00B75FD6">
        <w:rPr>
          <w:i/>
          <w:iCs/>
          <w:sz w:val="26"/>
          <w:szCs w:val="26"/>
        </w:rPr>
        <w:t>[p]</w:t>
      </w:r>
      <w:r w:rsidR="00D51C51" w:rsidRPr="00B75FD6">
        <w:rPr>
          <w:i/>
          <w:iCs/>
          <w:sz w:val="26"/>
          <w:szCs w:val="26"/>
        </w:rPr>
        <w:t>roduction is thus recalled”</w:t>
      </w:r>
      <w:r w:rsidR="00D51C51" w:rsidRPr="00B75FD6">
        <w:rPr>
          <w:sz w:val="26"/>
          <w:szCs w:val="26"/>
        </w:rPr>
        <w:t xml:space="preserve">. It did not speak of a </w:t>
      </w:r>
      <w:r w:rsidR="00BB3021" w:rsidRPr="00B75FD6">
        <w:rPr>
          <w:sz w:val="26"/>
          <w:szCs w:val="26"/>
        </w:rPr>
        <w:t xml:space="preserve">decision that had previously been taken. </w:t>
      </w:r>
    </w:p>
    <w:p w:rsidR="008618B9" w:rsidRPr="008618B9" w:rsidRDefault="008618B9" w:rsidP="008618B9">
      <w:pPr>
        <w:pStyle w:val="ListParagraph"/>
        <w:rPr>
          <w:rFonts w:ascii="Times New Roman" w:hAnsi="Times New Roman" w:cs="Times New Roman"/>
          <w:sz w:val="26"/>
          <w:szCs w:val="26"/>
        </w:rPr>
      </w:pPr>
    </w:p>
    <w:p w:rsidR="008618B9" w:rsidRPr="008618B9" w:rsidRDefault="008618B9" w:rsidP="008618B9">
      <w:pPr>
        <w:pStyle w:val="ListParagraph"/>
        <w:spacing w:after="0" w:line="360" w:lineRule="auto"/>
        <w:ind w:left="142"/>
        <w:jc w:val="both"/>
        <w:rPr>
          <w:rFonts w:ascii="Times New Roman" w:hAnsi="Times New Roman" w:cs="Times New Roman"/>
          <w:sz w:val="26"/>
          <w:szCs w:val="26"/>
        </w:rPr>
      </w:pPr>
    </w:p>
    <w:p w:rsidR="002E24B4" w:rsidRPr="00B75FD6" w:rsidRDefault="00B75FD6" w:rsidP="00B75FD6">
      <w:pPr>
        <w:spacing w:line="360" w:lineRule="auto"/>
        <w:ind w:firstLine="142"/>
        <w:jc w:val="both"/>
        <w:rPr>
          <w:sz w:val="26"/>
          <w:szCs w:val="26"/>
        </w:rPr>
      </w:pPr>
      <w:r>
        <w:rPr>
          <w:rFonts w:eastAsiaTheme="minorEastAsia"/>
          <w:kern w:val="2"/>
          <w:sz w:val="26"/>
          <w:szCs w:val="26"/>
          <w:lang w:val="en-US" w:eastAsia="en-US"/>
          <w14:ligatures w14:val="standardContextual"/>
        </w:rPr>
        <w:t>[28]</w:t>
      </w:r>
      <w:r>
        <w:rPr>
          <w:rFonts w:eastAsiaTheme="minorEastAsia"/>
          <w:kern w:val="2"/>
          <w:sz w:val="26"/>
          <w:szCs w:val="26"/>
          <w:lang w:val="en-US" w:eastAsia="en-US"/>
          <w14:ligatures w14:val="standardContextual"/>
        </w:rPr>
        <w:tab/>
      </w:r>
      <w:r w:rsidR="002E24B4" w:rsidRPr="00B75FD6">
        <w:rPr>
          <w:sz w:val="26"/>
          <w:szCs w:val="26"/>
        </w:rPr>
        <w:t xml:space="preserve">It is also relevant that, when the appellant demanded an appeal outcome in early 2018, it was not immediately apparent to the DTI staff member allocated to the matter that an appeal decision had already been issued three years previously. This is also the reason it took three </w:t>
      </w:r>
      <w:r w:rsidR="001A6786" w:rsidRPr="00B75FD6">
        <w:rPr>
          <w:sz w:val="26"/>
          <w:szCs w:val="26"/>
        </w:rPr>
        <w:t xml:space="preserve">annexed </w:t>
      </w:r>
      <w:r w:rsidR="002E24B4" w:rsidRPr="00B75FD6">
        <w:rPr>
          <w:sz w:val="26"/>
          <w:szCs w:val="26"/>
        </w:rPr>
        <w:t xml:space="preserve">letters to explain that an appeal outcome had already been rendered - precisely because it was not immediately apparent.  </w:t>
      </w:r>
    </w:p>
    <w:p w:rsidR="002E24B4" w:rsidRDefault="002E24B4" w:rsidP="002E24B4">
      <w:pPr>
        <w:pStyle w:val="ListParagraph"/>
        <w:spacing w:after="0" w:line="360" w:lineRule="auto"/>
        <w:ind w:left="142"/>
        <w:jc w:val="both"/>
        <w:rPr>
          <w:rFonts w:ascii="Times New Roman" w:hAnsi="Times New Roman" w:cs="Times New Roman"/>
          <w:sz w:val="26"/>
          <w:szCs w:val="26"/>
        </w:rPr>
      </w:pPr>
    </w:p>
    <w:p w:rsidR="00BB3021" w:rsidRPr="00B75FD6" w:rsidRDefault="00B75FD6" w:rsidP="00B75FD6">
      <w:pPr>
        <w:spacing w:line="360" w:lineRule="auto"/>
        <w:ind w:firstLine="142"/>
        <w:jc w:val="both"/>
        <w:rPr>
          <w:sz w:val="26"/>
          <w:szCs w:val="26"/>
        </w:rPr>
      </w:pPr>
      <w:r>
        <w:rPr>
          <w:rFonts w:eastAsiaTheme="minorEastAsia"/>
          <w:kern w:val="2"/>
          <w:sz w:val="26"/>
          <w:szCs w:val="26"/>
          <w:lang w:val="en-US" w:eastAsia="en-US"/>
          <w14:ligatures w14:val="standardContextual"/>
        </w:rPr>
        <w:t>[29]</w:t>
      </w:r>
      <w:r>
        <w:rPr>
          <w:rFonts w:eastAsiaTheme="minorEastAsia"/>
          <w:kern w:val="2"/>
          <w:sz w:val="26"/>
          <w:szCs w:val="26"/>
          <w:lang w:val="en-US" w:eastAsia="en-US"/>
          <w14:ligatures w14:val="standardContextual"/>
        </w:rPr>
        <w:tab/>
      </w:r>
      <w:r w:rsidR="00533CCE" w:rsidRPr="00B75FD6">
        <w:rPr>
          <w:sz w:val="26"/>
          <w:szCs w:val="26"/>
        </w:rPr>
        <w:t>If there was still any doubt, t</w:t>
      </w:r>
      <w:r w:rsidR="00BB3021" w:rsidRPr="00B75FD6">
        <w:rPr>
          <w:sz w:val="26"/>
          <w:szCs w:val="26"/>
        </w:rPr>
        <w:t>he DTI’s state of mind</w:t>
      </w:r>
      <w:r w:rsidR="00517B76" w:rsidRPr="00B75FD6">
        <w:rPr>
          <w:sz w:val="26"/>
          <w:szCs w:val="26"/>
        </w:rPr>
        <w:t xml:space="preserve"> i</w:t>
      </w:r>
      <w:r w:rsidR="00BB3021" w:rsidRPr="00B75FD6">
        <w:rPr>
          <w:sz w:val="26"/>
          <w:szCs w:val="26"/>
        </w:rPr>
        <w:t>s made compellingly clear when regard is had to its response in the papers on the issue of when the 180 days started to run. At paragraphs 69 to 71 of the founding affidavit the appellant stated as follows:</w:t>
      </w:r>
    </w:p>
    <w:p w:rsidR="00BB3021" w:rsidRPr="00BB3021" w:rsidRDefault="00BB3021" w:rsidP="00BB3021">
      <w:pPr>
        <w:pStyle w:val="ListParagraph"/>
        <w:rPr>
          <w:rFonts w:ascii="Times New Roman" w:hAnsi="Times New Roman" w:cs="Times New Roman"/>
          <w:sz w:val="26"/>
          <w:szCs w:val="26"/>
        </w:rPr>
      </w:pPr>
    </w:p>
    <w:p w:rsidR="00BB3021" w:rsidRPr="00517B76" w:rsidRDefault="00BB3021" w:rsidP="00517B76">
      <w:pPr>
        <w:pStyle w:val="ListParagraph"/>
        <w:spacing w:after="0" w:line="240" w:lineRule="auto"/>
        <w:ind w:left="1440" w:hanging="720"/>
        <w:jc w:val="both"/>
        <w:rPr>
          <w:rFonts w:ascii="Times New Roman" w:hAnsi="Times New Roman" w:cs="Times New Roman"/>
        </w:rPr>
      </w:pPr>
      <w:r w:rsidRPr="00517B76">
        <w:rPr>
          <w:rFonts w:ascii="Times New Roman" w:hAnsi="Times New Roman" w:cs="Times New Roman"/>
        </w:rPr>
        <w:t>“69</w:t>
      </w:r>
      <w:r w:rsidR="00517B76" w:rsidRPr="00517B76">
        <w:rPr>
          <w:rFonts w:ascii="Times New Roman" w:hAnsi="Times New Roman" w:cs="Times New Roman"/>
        </w:rPr>
        <w:t>.</w:t>
      </w:r>
      <w:r w:rsidRPr="00517B76">
        <w:rPr>
          <w:rFonts w:ascii="Times New Roman" w:hAnsi="Times New Roman" w:cs="Times New Roman"/>
        </w:rPr>
        <w:tab/>
        <w:t>…the stance now adopted by the DTI in contending that the decision was made on appeal can only be described as absurd.</w:t>
      </w:r>
    </w:p>
    <w:p w:rsidR="00BB3021" w:rsidRPr="00517B76" w:rsidRDefault="00BB3021" w:rsidP="00517B76">
      <w:pPr>
        <w:jc w:val="both"/>
      </w:pPr>
    </w:p>
    <w:p w:rsidR="00BB3021" w:rsidRPr="00517B76" w:rsidRDefault="00517B76" w:rsidP="00517B76">
      <w:pPr>
        <w:pStyle w:val="ListParagraph"/>
        <w:spacing w:after="0" w:line="240" w:lineRule="auto"/>
        <w:ind w:left="1440" w:hanging="720"/>
        <w:jc w:val="both"/>
        <w:rPr>
          <w:rFonts w:ascii="Times New Roman" w:hAnsi="Times New Roman" w:cs="Times New Roman"/>
        </w:rPr>
      </w:pPr>
      <w:r w:rsidRPr="00517B76">
        <w:rPr>
          <w:rFonts w:ascii="Times New Roman" w:hAnsi="Times New Roman" w:cs="Times New Roman"/>
        </w:rPr>
        <w:t>70.</w:t>
      </w:r>
      <w:r w:rsidRPr="00517B76">
        <w:rPr>
          <w:rFonts w:ascii="Times New Roman" w:hAnsi="Times New Roman" w:cs="Times New Roman"/>
        </w:rPr>
        <w:tab/>
        <w:t>F</w:t>
      </w:r>
      <w:r w:rsidR="00BB3021" w:rsidRPr="00517B76">
        <w:rPr>
          <w:rFonts w:ascii="Times New Roman" w:hAnsi="Times New Roman" w:cs="Times New Roman"/>
        </w:rPr>
        <w:t>or the purposes of this review application</w:t>
      </w:r>
      <w:r w:rsidRPr="00517B76">
        <w:rPr>
          <w:rFonts w:ascii="Times New Roman" w:hAnsi="Times New Roman" w:cs="Times New Roman"/>
        </w:rPr>
        <w:t>,</w:t>
      </w:r>
      <w:r w:rsidR="00BB3021" w:rsidRPr="00517B76">
        <w:rPr>
          <w:rFonts w:ascii="Times New Roman" w:hAnsi="Times New Roman" w:cs="Times New Roman"/>
        </w:rPr>
        <w:t xml:space="preserve"> the applicant has treated the date of </w:t>
      </w:r>
      <w:r w:rsidRPr="00517B76">
        <w:rPr>
          <w:rFonts w:ascii="Times New Roman" w:hAnsi="Times New Roman" w:cs="Times New Roman"/>
        </w:rPr>
        <w:t>2</w:t>
      </w:r>
      <w:r w:rsidR="00BB3021" w:rsidRPr="00517B76">
        <w:rPr>
          <w:rFonts w:ascii="Times New Roman" w:hAnsi="Times New Roman" w:cs="Times New Roman"/>
        </w:rPr>
        <w:t xml:space="preserve"> July 2018 as the date upon which it was informed by the DTI that its appeal was unsuccessful. The 180 days within which the applicant is entitled to apply to this </w:t>
      </w:r>
      <w:r w:rsidRPr="00517B76">
        <w:rPr>
          <w:rFonts w:ascii="Times New Roman" w:hAnsi="Times New Roman" w:cs="Times New Roman"/>
        </w:rPr>
        <w:t>H</w:t>
      </w:r>
      <w:r w:rsidR="00BB3021" w:rsidRPr="00517B76">
        <w:rPr>
          <w:rFonts w:ascii="Times New Roman" w:hAnsi="Times New Roman" w:cs="Times New Roman"/>
        </w:rPr>
        <w:t xml:space="preserve">onourable </w:t>
      </w:r>
      <w:r w:rsidRPr="00517B76">
        <w:rPr>
          <w:rFonts w:ascii="Times New Roman" w:hAnsi="Times New Roman" w:cs="Times New Roman"/>
        </w:rPr>
        <w:t>C</w:t>
      </w:r>
      <w:r w:rsidR="00BB3021" w:rsidRPr="00517B76">
        <w:rPr>
          <w:rFonts w:ascii="Times New Roman" w:hAnsi="Times New Roman" w:cs="Times New Roman"/>
        </w:rPr>
        <w:t xml:space="preserve">ourt to review the decision in terms of </w:t>
      </w:r>
      <w:r w:rsidRPr="00517B76">
        <w:rPr>
          <w:rFonts w:ascii="Times New Roman" w:hAnsi="Times New Roman" w:cs="Times New Roman"/>
        </w:rPr>
        <w:t>PAJA</w:t>
      </w:r>
      <w:r w:rsidR="00BB3021" w:rsidRPr="00517B76">
        <w:rPr>
          <w:rFonts w:ascii="Times New Roman" w:hAnsi="Times New Roman" w:cs="Times New Roman"/>
        </w:rPr>
        <w:t xml:space="preserve"> therefore runs from 2 July 2018. The applicant has accordingly brought this application within the prescribed time limits.</w:t>
      </w:r>
    </w:p>
    <w:p w:rsidR="00517B76" w:rsidRPr="00517B76" w:rsidRDefault="00517B76" w:rsidP="00517B76">
      <w:pPr>
        <w:pStyle w:val="ListParagraph"/>
        <w:spacing w:after="0" w:line="240" w:lineRule="auto"/>
        <w:ind w:left="1440" w:hanging="720"/>
        <w:jc w:val="both"/>
        <w:rPr>
          <w:rFonts w:ascii="Times New Roman" w:hAnsi="Times New Roman" w:cs="Times New Roman"/>
        </w:rPr>
      </w:pPr>
    </w:p>
    <w:p w:rsidR="00BB3021" w:rsidRPr="00517B76" w:rsidRDefault="00517B76" w:rsidP="00517B76">
      <w:pPr>
        <w:pStyle w:val="ListParagraph"/>
        <w:spacing w:after="0" w:line="240" w:lineRule="auto"/>
        <w:ind w:left="1440" w:hanging="720"/>
        <w:jc w:val="both"/>
        <w:rPr>
          <w:rFonts w:ascii="Times New Roman" w:hAnsi="Times New Roman" w:cs="Times New Roman"/>
        </w:rPr>
      </w:pPr>
      <w:r w:rsidRPr="00517B76">
        <w:rPr>
          <w:rFonts w:ascii="Times New Roman" w:hAnsi="Times New Roman" w:cs="Times New Roman"/>
        </w:rPr>
        <w:t>71.</w:t>
      </w:r>
      <w:r w:rsidRPr="00517B76">
        <w:rPr>
          <w:rFonts w:ascii="Times New Roman" w:hAnsi="Times New Roman" w:cs="Times New Roman"/>
        </w:rPr>
        <w:tab/>
      </w:r>
      <w:r w:rsidR="00BB3021" w:rsidRPr="00517B76">
        <w:rPr>
          <w:rFonts w:ascii="Times New Roman" w:hAnsi="Times New Roman" w:cs="Times New Roman"/>
        </w:rPr>
        <w:t>The applicant maintains</w:t>
      </w:r>
      <w:r w:rsidRPr="00517B76">
        <w:rPr>
          <w:rFonts w:ascii="Times New Roman" w:hAnsi="Times New Roman" w:cs="Times New Roman"/>
        </w:rPr>
        <w:t>,</w:t>
      </w:r>
      <w:r w:rsidR="00BB3021" w:rsidRPr="00517B76">
        <w:rPr>
          <w:rFonts w:ascii="Times New Roman" w:hAnsi="Times New Roman" w:cs="Times New Roman"/>
        </w:rPr>
        <w:t xml:space="preserve"> however</w:t>
      </w:r>
      <w:r w:rsidRPr="00517B76">
        <w:rPr>
          <w:rFonts w:ascii="Times New Roman" w:hAnsi="Times New Roman" w:cs="Times New Roman"/>
        </w:rPr>
        <w:t>,</w:t>
      </w:r>
      <w:r w:rsidR="00BB3021" w:rsidRPr="00517B76">
        <w:rPr>
          <w:rFonts w:ascii="Times New Roman" w:hAnsi="Times New Roman" w:cs="Times New Roman"/>
        </w:rPr>
        <w:t xml:space="preserve"> that the DTI has not made a decision on appeal and that its stance is contrived</w:t>
      </w:r>
      <w:r w:rsidRPr="00517B76">
        <w:rPr>
          <w:rFonts w:ascii="Times New Roman" w:hAnsi="Times New Roman" w:cs="Times New Roman"/>
        </w:rPr>
        <w:t>,</w:t>
      </w:r>
      <w:r w:rsidR="00BB3021" w:rsidRPr="00517B76">
        <w:rPr>
          <w:rFonts w:ascii="Times New Roman" w:hAnsi="Times New Roman" w:cs="Times New Roman"/>
        </w:rPr>
        <w:t xml:space="preserve"> disingenuous and </w:t>
      </w:r>
      <w:r w:rsidR="00BB3021" w:rsidRPr="00517B76">
        <w:rPr>
          <w:rFonts w:ascii="Times New Roman" w:hAnsi="Times New Roman" w:cs="Times New Roman"/>
          <w:i/>
          <w:iCs/>
        </w:rPr>
        <w:t>mala fide</w:t>
      </w:r>
      <w:r w:rsidRPr="00517B76">
        <w:rPr>
          <w:rFonts w:ascii="Times New Roman" w:hAnsi="Times New Roman" w:cs="Times New Roman"/>
          <w:i/>
          <w:iCs/>
        </w:rPr>
        <w:t>.”</w:t>
      </w:r>
    </w:p>
    <w:p w:rsidR="00BB3021" w:rsidRPr="00BB3021" w:rsidRDefault="00BB3021" w:rsidP="00BB3021">
      <w:pPr>
        <w:pStyle w:val="ListParagraph"/>
        <w:rPr>
          <w:rFonts w:ascii="Times New Roman" w:hAnsi="Times New Roman" w:cs="Times New Roman"/>
          <w:sz w:val="26"/>
          <w:szCs w:val="26"/>
        </w:rPr>
      </w:pPr>
    </w:p>
    <w:p w:rsidR="00517B76" w:rsidRDefault="00517B76" w:rsidP="00517B76">
      <w:pPr>
        <w:pStyle w:val="ListParagraph"/>
        <w:spacing w:after="0" w:line="360" w:lineRule="auto"/>
        <w:ind w:left="142"/>
        <w:jc w:val="both"/>
        <w:rPr>
          <w:rFonts w:ascii="Times New Roman" w:hAnsi="Times New Roman" w:cs="Times New Roman"/>
          <w:sz w:val="26"/>
          <w:szCs w:val="26"/>
        </w:rPr>
      </w:pPr>
    </w:p>
    <w:p w:rsidR="00D51C51" w:rsidRPr="00B75FD6" w:rsidRDefault="00B75FD6" w:rsidP="00B75FD6">
      <w:pPr>
        <w:spacing w:line="360" w:lineRule="auto"/>
        <w:ind w:firstLine="142"/>
        <w:jc w:val="both"/>
        <w:rPr>
          <w:sz w:val="26"/>
          <w:szCs w:val="26"/>
        </w:rPr>
      </w:pPr>
      <w:r>
        <w:rPr>
          <w:rFonts w:eastAsiaTheme="minorEastAsia"/>
          <w:kern w:val="2"/>
          <w:sz w:val="26"/>
          <w:szCs w:val="26"/>
          <w:lang w:val="en-US" w:eastAsia="en-US"/>
          <w14:ligatures w14:val="standardContextual"/>
        </w:rPr>
        <w:t>[30]</w:t>
      </w:r>
      <w:r>
        <w:rPr>
          <w:rFonts w:eastAsiaTheme="minorEastAsia"/>
          <w:kern w:val="2"/>
          <w:sz w:val="26"/>
          <w:szCs w:val="26"/>
          <w:lang w:val="en-US" w:eastAsia="en-US"/>
          <w14:ligatures w14:val="standardContextual"/>
        </w:rPr>
        <w:tab/>
      </w:r>
      <w:r w:rsidR="00BB3021" w:rsidRPr="00B75FD6">
        <w:rPr>
          <w:sz w:val="26"/>
          <w:szCs w:val="26"/>
        </w:rPr>
        <w:t>The response to paragraphs 69 to 71 in the answering affidavit was as follows:</w:t>
      </w:r>
    </w:p>
    <w:p w:rsidR="00BB3021" w:rsidRPr="00BB3021" w:rsidRDefault="00BB3021" w:rsidP="00BB3021">
      <w:pPr>
        <w:pStyle w:val="ListParagraph"/>
        <w:rPr>
          <w:rFonts w:ascii="Times New Roman" w:hAnsi="Times New Roman" w:cs="Times New Roman"/>
          <w:sz w:val="26"/>
          <w:szCs w:val="26"/>
        </w:rPr>
      </w:pPr>
    </w:p>
    <w:p w:rsidR="00BB3021" w:rsidRPr="00517B76" w:rsidRDefault="00BB3021" w:rsidP="00517B76">
      <w:pPr>
        <w:pStyle w:val="ListParagraph"/>
        <w:spacing w:after="0" w:line="240" w:lineRule="auto"/>
        <w:ind w:left="1440"/>
        <w:jc w:val="both"/>
        <w:rPr>
          <w:rFonts w:ascii="Times New Roman" w:hAnsi="Times New Roman" w:cs="Times New Roman"/>
        </w:rPr>
      </w:pPr>
      <w:r w:rsidRPr="00517B76">
        <w:rPr>
          <w:rFonts w:ascii="Times New Roman" w:hAnsi="Times New Roman" w:cs="Times New Roman"/>
        </w:rPr>
        <w:t xml:space="preserve">“The contents of these paragraphs are denied. The applicant was advised of the </w:t>
      </w:r>
      <w:r w:rsidR="00517B76" w:rsidRPr="00517B76">
        <w:rPr>
          <w:rFonts w:ascii="Times New Roman" w:hAnsi="Times New Roman" w:cs="Times New Roman"/>
        </w:rPr>
        <w:t>D</w:t>
      </w:r>
      <w:r w:rsidRPr="00517B76">
        <w:rPr>
          <w:rFonts w:ascii="Times New Roman" w:hAnsi="Times New Roman" w:cs="Times New Roman"/>
        </w:rPr>
        <w:t>TI's decision on appeal in the letter dated 2 July 2018.”</w:t>
      </w:r>
    </w:p>
    <w:p w:rsidR="00BB3021" w:rsidRPr="002E24B4" w:rsidRDefault="00BB3021" w:rsidP="002E24B4">
      <w:pPr>
        <w:spacing w:line="360" w:lineRule="auto"/>
        <w:jc w:val="both"/>
        <w:rPr>
          <w:sz w:val="26"/>
          <w:szCs w:val="26"/>
        </w:rPr>
      </w:pPr>
    </w:p>
    <w:p w:rsidR="009E26C1" w:rsidRPr="00B75FD6" w:rsidRDefault="00B75FD6" w:rsidP="00B75FD6">
      <w:pPr>
        <w:spacing w:line="360" w:lineRule="auto"/>
        <w:ind w:firstLine="142"/>
        <w:jc w:val="both"/>
        <w:rPr>
          <w:sz w:val="26"/>
          <w:szCs w:val="26"/>
        </w:rPr>
      </w:pPr>
      <w:r>
        <w:rPr>
          <w:rFonts w:eastAsiaTheme="minorEastAsia"/>
          <w:kern w:val="2"/>
          <w:sz w:val="26"/>
          <w:szCs w:val="26"/>
          <w:lang w:val="en-US" w:eastAsia="en-US"/>
          <w14:ligatures w14:val="standardContextual"/>
        </w:rPr>
        <w:t>[31]</w:t>
      </w:r>
      <w:r>
        <w:rPr>
          <w:rFonts w:eastAsiaTheme="minorEastAsia"/>
          <w:kern w:val="2"/>
          <w:sz w:val="26"/>
          <w:szCs w:val="26"/>
          <w:lang w:val="en-US" w:eastAsia="en-US"/>
          <w14:ligatures w14:val="standardContextual"/>
        </w:rPr>
        <w:tab/>
      </w:r>
      <w:r w:rsidR="00D45A9D" w:rsidRPr="00B75FD6">
        <w:rPr>
          <w:sz w:val="26"/>
          <w:szCs w:val="26"/>
        </w:rPr>
        <w:t xml:space="preserve">Thus, it was common cause on the papers that the appellant had not been advised of a decision regarding its appeal prior to 2 July 2018. </w:t>
      </w:r>
    </w:p>
    <w:p w:rsidR="002E24B4" w:rsidRPr="002E24B4" w:rsidRDefault="002E24B4" w:rsidP="002E24B4">
      <w:pPr>
        <w:pStyle w:val="ListParagraph"/>
        <w:spacing w:after="0" w:line="360" w:lineRule="auto"/>
        <w:ind w:left="142"/>
        <w:jc w:val="both"/>
        <w:rPr>
          <w:rFonts w:ascii="Times New Roman" w:hAnsi="Times New Roman" w:cs="Times New Roman"/>
          <w:sz w:val="26"/>
          <w:szCs w:val="26"/>
        </w:rPr>
      </w:pPr>
    </w:p>
    <w:p w:rsidR="009A2A65" w:rsidRPr="00B75FD6" w:rsidRDefault="00B75FD6" w:rsidP="00B75FD6">
      <w:pPr>
        <w:spacing w:line="360" w:lineRule="auto"/>
        <w:ind w:firstLine="142"/>
        <w:jc w:val="both"/>
        <w:rPr>
          <w:sz w:val="26"/>
          <w:szCs w:val="26"/>
        </w:rPr>
      </w:pPr>
      <w:r w:rsidRPr="00D8096B">
        <w:rPr>
          <w:rFonts w:eastAsiaTheme="minorEastAsia"/>
          <w:kern w:val="2"/>
          <w:sz w:val="26"/>
          <w:szCs w:val="26"/>
          <w:lang w:val="en-US" w:eastAsia="en-US"/>
          <w14:ligatures w14:val="standardContextual"/>
        </w:rPr>
        <w:t>[32]</w:t>
      </w:r>
      <w:r w:rsidRPr="00D8096B">
        <w:rPr>
          <w:rFonts w:eastAsiaTheme="minorEastAsia"/>
          <w:kern w:val="2"/>
          <w:sz w:val="26"/>
          <w:szCs w:val="26"/>
          <w:lang w:val="en-US" w:eastAsia="en-US"/>
          <w14:ligatures w14:val="standardContextual"/>
        </w:rPr>
        <w:tab/>
      </w:r>
      <w:r w:rsidR="009E26C1" w:rsidRPr="00B75FD6">
        <w:rPr>
          <w:sz w:val="26"/>
          <w:szCs w:val="26"/>
        </w:rPr>
        <w:t>Given the DTI’s own ambivalence regarding when exactly the appeal outcome was conveyed to the appellant, and the fact that it was common cause on the papers that an appeal decision had not been conveyed prior to 2 July 2018, it is difficult to support the view</w:t>
      </w:r>
      <w:r w:rsidR="00D8096B" w:rsidRPr="00B75FD6">
        <w:rPr>
          <w:sz w:val="26"/>
          <w:szCs w:val="26"/>
        </w:rPr>
        <w:t xml:space="preserve"> </w:t>
      </w:r>
      <w:r w:rsidR="009E26C1" w:rsidRPr="00B75FD6">
        <w:rPr>
          <w:sz w:val="26"/>
          <w:szCs w:val="26"/>
        </w:rPr>
        <w:t xml:space="preserve">that the 180 days prescribed by the PAJA </w:t>
      </w:r>
      <w:r w:rsidR="00475FC1" w:rsidRPr="00B75FD6">
        <w:rPr>
          <w:sz w:val="26"/>
          <w:szCs w:val="26"/>
        </w:rPr>
        <w:t xml:space="preserve">started to run on 21 September 2015. </w:t>
      </w:r>
    </w:p>
    <w:p w:rsidR="00475FC1" w:rsidRPr="00B75FD6" w:rsidRDefault="00B75FD6" w:rsidP="00B75FD6">
      <w:pPr>
        <w:spacing w:line="360" w:lineRule="auto"/>
        <w:ind w:firstLine="142"/>
        <w:jc w:val="both"/>
        <w:rPr>
          <w:sz w:val="26"/>
          <w:szCs w:val="26"/>
        </w:rPr>
      </w:pPr>
      <w:r>
        <w:rPr>
          <w:rFonts w:eastAsiaTheme="minorEastAsia"/>
          <w:kern w:val="2"/>
          <w:sz w:val="26"/>
          <w:szCs w:val="26"/>
          <w:lang w:val="en-US" w:eastAsia="en-US"/>
          <w14:ligatures w14:val="standardContextual"/>
        </w:rPr>
        <w:t>[33]</w:t>
      </w:r>
      <w:r>
        <w:rPr>
          <w:rFonts w:eastAsiaTheme="minorEastAsia"/>
          <w:kern w:val="2"/>
          <w:sz w:val="26"/>
          <w:szCs w:val="26"/>
          <w:lang w:val="en-US" w:eastAsia="en-US"/>
          <w14:ligatures w14:val="standardContextual"/>
        </w:rPr>
        <w:tab/>
      </w:r>
      <w:r w:rsidR="00475FC1" w:rsidRPr="00B75FD6">
        <w:rPr>
          <w:sz w:val="26"/>
          <w:szCs w:val="26"/>
        </w:rPr>
        <w:t xml:space="preserve">In this respect the </w:t>
      </w:r>
      <w:r w:rsidR="00804CF9" w:rsidRPr="00B75FD6">
        <w:rPr>
          <w:sz w:val="26"/>
          <w:szCs w:val="26"/>
        </w:rPr>
        <w:t xml:space="preserve">facts of this </w:t>
      </w:r>
      <w:r w:rsidR="00475FC1" w:rsidRPr="00B75FD6">
        <w:rPr>
          <w:sz w:val="26"/>
          <w:szCs w:val="26"/>
        </w:rPr>
        <w:t xml:space="preserve">case </w:t>
      </w:r>
      <w:r w:rsidR="00804CF9" w:rsidRPr="00B75FD6">
        <w:rPr>
          <w:sz w:val="26"/>
          <w:szCs w:val="26"/>
        </w:rPr>
        <w:t xml:space="preserve">are distinguishable from those that confronted the court in </w:t>
      </w:r>
      <w:r w:rsidR="00475FC1" w:rsidRPr="00B75FD6">
        <w:rPr>
          <w:i/>
          <w:iCs/>
          <w:sz w:val="26"/>
          <w:szCs w:val="26"/>
        </w:rPr>
        <w:t xml:space="preserve">Mostert NO v </w:t>
      </w:r>
      <w:r w:rsidR="00804CF9" w:rsidRPr="00B75FD6">
        <w:rPr>
          <w:i/>
          <w:iCs/>
          <w:sz w:val="26"/>
          <w:szCs w:val="26"/>
        </w:rPr>
        <w:t>T</w:t>
      </w:r>
      <w:r w:rsidR="00475FC1" w:rsidRPr="00B75FD6">
        <w:rPr>
          <w:i/>
          <w:iCs/>
          <w:sz w:val="26"/>
          <w:szCs w:val="26"/>
        </w:rPr>
        <w:t xml:space="preserve">he </w:t>
      </w:r>
      <w:r w:rsidR="00804CF9" w:rsidRPr="00B75FD6">
        <w:rPr>
          <w:i/>
          <w:iCs/>
          <w:sz w:val="26"/>
          <w:szCs w:val="26"/>
        </w:rPr>
        <w:t>R</w:t>
      </w:r>
      <w:r w:rsidR="00475FC1" w:rsidRPr="00B75FD6">
        <w:rPr>
          <w:i/>
          <w:iCs/>
          <w:sz w:val="26"/>
          <w:szCs w:val="26"/>
        </w:rPr>
        <w:t xml:space="preserve">egistrar of </w:t>
      </w:r>
      <w:r w:rsidR="00804CF9" w:rsidRPr="00B75FD6">
        <w:rPr>
          <w:i/>
          <w:iCs/>
          <w:sz w:val="26"/>
          <w:szCs w:val="26"/>
        </w:rPr>
        <w:t>P</w:t>
      </w:r>
      <w:r w:rsidR="00475FC1" w:rsidRPr="00B75FD6">
        <w:rPr>
          <w:i/>
          <w:iCs/>
          <w:sz w:val="26"/>
          <w:szCs w:val="26"/>
        </w:rPr>
        <w:t xml:space="preserve">ension </w:t>
      </w:r>
      <w:r w:rsidR="00804CF9" w:rsidRPr="00B75FD6">
        <w:rPr>
          <w:i/>
          <w:iCs/>
          <w:sz w:val="26"/>
          <w:szCs w:val="26"/>
        </w:rPr>
        <w:t>F</w:t>
      </w:r>
      <w:r w:rsidR="00475FC1" w:rsidRPr="00B75FD6">
        <w:rPr>
          <w:i/>
          <w:iCs/>
          <w:sz w:val="26"/>
          <w:szCs w:val="26"/>
        </w:rPr>
        <w:t>unds</w:t>
      </w:r>
      <w:r w:rsidR="00804CF9" w:rsidRPr="00512911">
        <w:rPr>
          <w:rStyle w:val="FootnoteReference"/>
          <w:i/>
          <w:iCs/>
          <w:sz w:val="26"/>
          <w:szCs w:val="26"/>
        </w:rPr>
        <w:footnoteReference w:id="3"/>
      </w:r>
      <w:r w:rsidR="00475FC1" w:rsidRPr="00B75FD6">
        <w:rPr>
          <w:sz w:val="26"/>
          <w:szCs w:val="26"/>
        </w:rPr>
        <w:t xml:space="preserve">. </w:t>
      </w:r>
      <w:r w:rsidR="00804CF9" w:rsidRPr="00B75FD6">
        <w:rPr>
          <w:sz w:val="26"/>
          <w:szCs w:val="26"/>
        </w:rPr>
        <w:t xml:space="preserve">There, </w:t>
      </w:r>
      <w:r w:rsidR="00512911" w:rsidRPr="00B75FD6">
        <w:rPr>
          <w:sz w:val="26"/>
          <w:szCs w:val="26"/>
        </w:rPr>
        <w:t xml:space="preserve">the issue of </w:t>
      </w:r>
      <w:r w:rsidR="00512911" w:rsidRPr="00B75FD6">
        <w:rPr>
          <w:color w:val="242121"/>
          <w:sz w:val="26"/>
          <w:szCs w:val="26"/>
          <w:shd w:val="clear" w:color="auto" w:fill="FFFFFF"/>
        </w:rPr>
        <w:t xml:space="preserve">whether the review proceedings were instituted within the 180-day period mentioned in s 7(1) of PAJA was not raised at all in the papers – whether by the applicant or respondent, and only arose for the first time in the </w:t>
      </w:r>
      <w:r w:rsidR="00804CF9" w:rsidRPr="00B75FD6">
        <w:rPr>
          <w:color w:val="242121"/>
          <w:sz w:val="26"/>
          <w:szCs w:val="26"/>
          <w:shd w:val="clear" w:color="auto" w:fill="FFFFFF"/>
        </w:rPr>
        <w:t>heads of argument.</w:t>
      </w:r>
      <w:r w:rsidR="00512911" w:rsidRPr="00512911">
        <w:rPr>
          <w:rStyle w:val="FootnoteReference"/>
          <w:color w:val="242121"/>
          <w:sz w:val="26"/>
          <w:szCs w:val="26"/>
          <w:shd w:val="clear" w:color="auto" w:fill="FFFFFF"/>
        </w:rPr>
        <w:footnoteReference w:id="4"/>
      </w:r>
      <w:r w:rsidR="00804CF9" w:rsidRPr="00B75FD6">
        <w:rPr>
          <w:color w:val="242121"/>
          <w:sz w:val="26"/>
          <w:szCs w:val="26"/>
          <w:shd w:val="clear" w:color="auto" w:fill="FFFFFF"/>
        </w:rPr>
        <w:t xml:space="preserve"> </w:t>
      </w:r>
      <w:r w:rsidR="00475FC1" w:rsidRPr="00B75FD6">
        <w:rPr>
          <w:sz w:val="26"/>
          <w:szCs w:val="26"/>
        </w:rPr>
        <w:t>Here, the</w:t>
      </w:r>
      <w:r w:rsidR="00804CF9" w:rsidRPr="00B75FD6">
        <w:rPr>
          <w:sz w:val="26"/>
          <w:szCs w:val="26"/>
        </w:rPr>
        <w:t xml:space="preserve"> </w:t>
      </w:r>
      <w:r w:rsidR="00512911" w:rsidRPr="00B75FD6">
        <w:rPr>
          <w:sz w:val="26"/>
          <w:szCs w:val="26"/>
        </w:rPr>
        <w:t xml:space="preserve">issue was raised by the appellant in its papers, and the </w:t>
      </w:r>
      <w:r w:rsidR="00804CF9" w:rsidRPr="00B75FD6">
        <w:rPr>
          <w:sz w:val="26"/>
          <w:szCs w:val="26"/>
        </w:rPr>
        <w:t xml:space="preserve">DTI agreed </w:t>
      </w:r>
      <w:r w:rsidR="000F0B0C" w:rsidRPr="00B75FD6">
        <w:rPr>
          <w:sz w:val="26"/>
          <w:szCs w:val="26"/>
        </w:rPr>
        <w:t xml:space="preserve">with the appellant’s calculation of when </w:t>
      </w:r>
      <w:r w:rsidR="00804CF9" w:rsidRPr="00B75FD6">
        <w:rPr>
          <w:sz w:val="26"/>
          <w:szCs w:val="26"/>
        </w:rPr>
        <w:t>the 180 days started to run</w:t>
      </w:r>
      <w:r w:rsidR="00512911" w:rsidRPr="00B75FD6">
        <w:rPr>
          <w:sz w:val="26"/>
          <w:szCs w:val="26"/>
        </w:rPr>
        <w:t>,</w:t>
      </w:r>
      <w:r w:rsidR="00804CF9" w:rsidRPr="00B75FD6">
        <w:rPr>
          <w:sz w:val="26"/>
          <w:szCs w:val="26"/>
        </w:rPr>
        <w:t xml:space="preserve"> namely on 2 July 2018, but thereafter changed its stance in the heads of argument. </w:t>
      </w:r>
      <w:r w:rsidR="00425D88" w:rsidRPr="00B75FD6">
        <w:rPr>
          <w:sz w:val="26"/>
          <w:szCs w:val="26"/>
        </w:rPr>
        <w:t>Had</w:t>
      </w:r>
      <w:r w:rsidR="002E24B4" w:rsidRPr="00B75FD6">
        <w:rPr>
          <w:sz w:val="26"/>
          <w:szCs w:val="26"/>
        </w:rPr>
        <w:t xml:space="preserve"> the DTI taken issue with the 180 days in its answering affidavit, the appellant would </w:t>
      </w:r>
      <w:r w:rsidR="00425D88" w:rsidRPr="00B75FD6">
        <w:rPr>
          <w:sz w:val="26"/>
          <w:szCs w:val="26"/>
        </w:rPr>
        <w:t xml:space="preserve">at least </w:t>
      </w:r>
      <w:r w:rsidR="001A6786" w:rsidRPr="00B75FD6">
        <w:rPr>
          <w:sz w:val="26"/>
          <w:szCs w:val="26"/>
        </w:rPr>
        <w:t xml:space="preserve">have </w:t>
      </w:r>
      <w:r w:rsidR="00425D88" w:rsidRPr="00B75FD6">
        <w:rPr>
          <w:sz w:val="26"/>
          <w:szCs w:val="26"/>
        </w:rPr>
        <w:t xml:space="preserve">had an opportunity to deal with it in reply. </w:t>
      </w:r>
    </w:p>
    <w:p w:rsidR="00425D88" w:rsidRPr="00425D88" w:rsidRDefault="00425D88" w:rsidP="00425D88">
      <w:pPr>
        <w:spacing w:line="360" w:lineRule="auto"/>
        <w:jc w:val="both"/>
        <w:rPr>
          <w:sz w:val="26"/>
          <w:szCs w:val="26"/>
        </w:rPr>
      </w:pPr>
    </w:p>
    <w:p w:rsidR="00E44539" w:rsidRPr="00B75FD6" w:rsidRDefault="00B75FD6" w:rsidP="00B75FD6">
      <w:pPr>
        <w:spacing w:line="360" w:lineRule="auto"/>
        <w:ind w:firstLine="142"/>
        <w:jc w:val="both"/>
        <w:rPr>
          <w:sz w:val="26"/>
          <w:szCs w:val="26"/>
        </w:rPr>
      </w:pPr>
      <w:r w:rsidRPr="00E44539">
        <w:rPr>
          <w:rFonts w:eastAsiaTheme="minorEastAsia"/>
          <w:kern w:val="2"/>
          <w:sz w:val="26"/>
          <w:szCs w:val="26"/>
          <w:lang w:val="en-US" w:eastAsia="en-US"/>
          <w14:ligatures w14:val="standardContextual"/>
        </w:rPr>
        <w:t>[34]</w:t>
      </w:r>
      <w:r w:rsidRPr="00E44539">
        <w:rPr>
          <w:rFonts w:eastAsiaTheme="minorEastAsia"/>
          <w:kern w:val="2"/>
          <w:sz w:val="26"/>
          <w:szCs w:val="26"/>
          <w:lang w:val="en-US" w:eastAsia="en-US"/>
          <w14:ligatures w14:val="standardContextual"/>
        </w:rPr>
        <w:tab/>
      </w:r>
      <w:r w:rsidR="00804CF9" w:rsidRPr="00B75FD6">
        <w:rPr>
          <w:sz w:val="26"/>
          <w:szCs w:val="26"/>
        </w:rPr>
        <w:t>There is no doubt,</w:t>
      </w:r>
      <w:r w:rsidR="004C38FC" w:rsidRPr="00B75FD6">
        <w:rPr>
          <w:sz w:val="26"/>
          <w:szCs w:val="26"/>
        </w:rPr>
        <w:t xml:space="preserve"> </w:t>
      </w:r>
      <w:r w:rsidR="00A52934" w:rsidRPr="00B75FD6">
        <w:rPr>
          <w:sz w:val="26"/>
          <w:szCs w:val="26"/>
        </w:rPr>
        <w:t xml:space="preserve">as was stated in </w:t>
      </w:r>
      <w:r w:rsidR="00A52934" w:rsidRPr="00B75FD6">
        <w:rPr>
          <w:i/>
          <w:iCs/>
          <w:color w:val="000000" w:themeColor="text1"/>
          <w:sz w:val="26"/>
          <w:szCs w:val="26"/>
          <w:shd w:val="clear" w:color="auto" w:fill="FFFFFF"/>
        </w:rPr>
        <w:t>Camps Bay Ratepayers’ and Residents’ Association &amp; another v Harrison &amp; Another</w:t>
      </w:r>
      <w:r w:rsidR="00A67EA4" w:rsidRPr="00B75FD6">
        <w:rPr>
          <w:i/>
          <w:iCs/>
          <w:color w:val="000000" w:themeColor="text1"/>
          <w:sz w:val="26"/>
          <w:szCs w:val="26"/>
          <w:shd w:val="clear" w:color="auto" w:fill="FFFFFF"/>
        </w:rPr>
        <w:t>,</w:t>
      </w:r>
      <w:r w:rsidR="00A52934" w:rsidRPr="00A67EA4">
        <w:rPr>
          <w:rStyle w:val="FootnoteReference"/>
          <w:i/>
          <w:iCs/>
          <w:color w:val="000000" w:themeColor="text1"/>
          <w:sz w:val="26"/>
          <w:szCs w:val="26"/>
          <w:shd w:val="clear" w:color="auto" w:fill="FFFFFF"/>
        </w:rPr>
        <w:footnoteReference w:id="5"/>
      </w:r>
      <w:r w:rsidR="00804CF9" w:rsidRPr="00B75FD6">
        <w:rPr>
          <w:sz w:val="26"/>
          <w:szCs w:val="26"/>
        </w:rPr>
        <w:t xml:space="preserve"> </w:t>
      </w:r>
      <w:r w:rsidR="004C38FC" w:rsidRPr="00B75FD6">
        <w:rPr>
          <w:sz w:val="26"/>
          <w:szCs w:val="26"/>
        </w:rPr>
        <w:t xml:space="preserve">that </w:t>
      </w:r>
      <w:r w:rsidR="00804CF9" w:rsidRPr="00B75FD6">
        <w:rPr>
          <w:sz w:val="26"/>
          <w:szCs w:val="26"/>
        </w:rPr>
        <w:t xml:space="preserve">even if the DTI had not raised the issue in their heads of argument, the court </w:t>
      </w:r>
      <w:r w:rsidR="00804CF9" w:rsidRPr="00B75FD6">
        <w:rPr>
          <w:i/>
          <w:iCs/>
          <w:sz w:val="26"/>
          <w:szCs w:val="26"/>
        </w:rPr>
        <w:t>a quo</w:t>
      </w:r>
      <w:r w:rsidR="00804CF9" w:rsidRPr="00B75FD6">
        <w:rPr>
          <w:sz w:val="26"/>
          <w:szCs w:val="26"/>
        </w:rPr>
        <w:t xml:space="preserve"> would have been entitled to raise the issue </w:t>
      </w:r>
      <w:r w:rsidR="00804CF9" w:rsidRPr="00B75FD6">
        <w:rPr>
          <w:i/>
          <w:iCs/>
          <w:sz w:val="26"/>
          <w:szCs w:val="26"/>
        </w:rPr>
        <w:t>mero motu</w:t>
      </w:r>
      <w:r w:rsidR="00804CF9" w:rsidRPr="00B75FD6">
        <w:rPr>
          <w:sz w:val="26"/>
          <w:szCs w:val="26"/>
        </w:rPr>
        <w:t>.</w:t>
      </w:r>
      <w:r w:rsidR="00804CF9">
        <w:rPr>
          <w:rStyle w:val="FootnoteReference"/>
          <w:sz w:val="26"/>
          <w:szCs w:val="26"/>
        </w:rPr>
        <w:footnoteReference w:id="6"/>
      </w:r>
      <w:r w:rsidR="000F0B0C" w:rsidRPr="00B75FD6">
        <w:rPr>
          <w:sz w:val="26"/>
          <w:szCs w:val="26"/>
        </w:rPr>
        <w:t xml:space="preserve"> But</w:t>
      </w:r>
      <w:r w:rsidR="004C38FC" w:rsidRPr="00B75FD6">
        <w:rPr>
          <w:sz w:val="26"/>
          <w:szCs w:val="26"/>
        </w:rPr>
        <w:t xml:space="preserve">, as the SCA and Constitutional Court have </w:t>
      </w:r>
      <w:r w:rsidR="007001C5" w:rsidRPr="00B75FD6">
        <w:rPr>
          <w:sz w:val="26"/>
          <w:szCs w:val="26"/>
        </w:rPr>
        <w:t>h</w:t>
      </w:r>
      <w:r w:rsidR="004C38FC" w:rsidRPr="00B75FD6">
        <w:rPr>
          <w:sz w:val="26"/>
          <w:szCs w:val="26"/>
        </w:rPr>
        <w:t>e</w:t>
      </w:r>
      <w:r w:rsidR="007001C5" w:rsidRPr="00B75FD6">
        <w:rPr>
          <w:sz w:val="26"/>
          <w:szCs w:val="26"/>
        </w:rPr>
        <w:t>l</w:t>
      </w:r>
      <w:r w:rsidR="004C38FC" w:rsidRPr="00B75FD6">
        <w:rPr>
          <w:sz w:val="26"/>
          <w:szCs w:val="26"/>
        </w:rPr>
        <w:t>d</w:t>
      </w:r>
      <w:r w:rsidR="004C38FC" w:rsidRPr="004C38FC">
        <w:rPr>
          <w:rStyle w:val="FootnoteReference"/>
          <w:color w:val="000000" w:themeColor="text1"/>
          <w:sz w:val="26"/>
          <w:szCs w:val="26"/>
        </w:rPr>
        <w:footnoteReference w:id="7"/>
      </w:r>
      <w:r w:rsidR="004C38FC" w:rsidRPr="00B75FD6">
        <w:rPr>
          <w:sz w:val="26"/>
          <w:szCs w:val="26"/>
        </w:rPr>
        <w:t>,</w:t>
      </w:r>
      <w:r w:rsidR="000F0B0C" w:rsidRPr="00B75FD6">
        <w:rPr>
          <w:sz w:val="26"/>
          <w:szCs w:val="26"/>
        </w:rPr>
        <w:t xml:space="preserve"> </w:t>
      </w:r>
      <w:r w:rsidR="00A24FE8" w:rsidRPr="00B75FD6">
        <w:rPr>
          <w:sz w:val="26"/>
          <w:szCs w:val="26"/>
        </w:rPr>
        <w:t xml:space="preserve">in those circumstances, </w:t>
      </w:r>
      <w:r w:rsidR="000F0B0C" w:rsidRPr="00B75FD6">
        <w:rPr>
          <w:color w:val="000000" w:themeColor="text1"/>
          <w:sz w:val="26"/>
          <w:szCs w:val="26"/>
        </w:rPr>
        <w:t>the app</w:t>
      </w:r>
      <w:r w:rsidR="007001C5" w:rsidRPr="00B75FD6">
        <w:rPr>
          <w:color w:val="000000" w:themeColor="text1"/>
          <w:sz w:val="26"/>
          <w:szCs w:val="26"/>
        </w:rPr>
        <w:t>el</w:t>
      </w:r>
      <w:r w:rsidR="000F0B0C" w:rsidRPr="00B75FD6">
        <w:rPr>
          <w:color w:val="000000" w:themeColor="text1"/>
          <w:sz w:val="26"/>
          <w:szCs w:val="26"/>
        </w:rPr>
        <w:t xml:space="preserve">lant should </w:t>
      </w:r>
      <w:r w:rsidR="00FA4773" w:rsidRPr="00B75FD6">
        <w:rPr>
          <w:color w:val="000000" w:themeColor="text1"/>
          <w:sz w:val="26"/>
          <w:szCs w:val="26"/>
        </w:rPr>
        <w:t xml:space="preserve">have been </w:t>
      </w:r>
      <w:r w:rsidR="000F0B0C" w:rsidRPr="00B75FD6">
        <w:rPr>
          <w:color w:val="000000" w:themeColor="text1"/>
          <w:sz w:val="26"/>
          <w:szCs w:val="26"/>
        </w:rPr>
        <w:t>given an opportunity to deliver a further affidavit to explain the apparent delay.</w:t>
      </w:r>
      <w:r w:rsidR="000F0B0C" w:rsidRPr="00B75FD6">
        <w:rPr>
          <w:rFonts w:ascii="Arial" w:hAnsi="Arial" w:cs="Arial"/>
          <w:color w:val="000000" w:themeColor="text1"/>
          <w:sz w:val="27"/>
          <w:szCs w:val="27"/>
        </w:rPr>
        <w:t xml:space="preserve"> </w:t>
      </w:r>
    </w:p>
    <w:p w:rsidR="00E44539" w:rsidRPr="00E44539" w:rsidRDefault="00E44539" w:rsidP="00E44539">
      <w:pPr>
        <w:pStyle w:val="ListParagraph"/>
        <w:rPr>
          <w:rFonts w:ascii="Times New Roman" w:eastAsia="Times New Roman" w:hAnsi="Times New Roman" w:cs="Times New Roman"/>
          <w:color w:val="000000" w:themeColor="text1"/>
          <w:kern w:val="0"/>
          <w:sz w:val="26"/>
          <w:szCs w:val="26"/>
          <w:lang w:val="en-ZA" w:eastAsia="en-GB"/>
          <w14:ligatures w14:val="none"/>
        </w:rPr>
      </w:pPr>
    </w:p>
    <w:p w:rsidR="00EE2810" w:rsidRPr="00B75FD6" w:rsidRDefault="00B75FD6" w:rsidP="00B75FD6">
      <w:pPr>
        <w:spacing w:line="360" w:lineRule="auto"/>
        <w:ind w:firstLine="142"/>
        <w:jc w:val="both"/>
        <w:rPr>
          <w:sz w:val="26"/>
          <w:szCs w:val="26"/>
        </w:rPr>
      </w:pPr>
      <w:r w:rsidRPr="00EE2810">
        <w:rPr>
          <w:rFonts w:eastAsiaTheme="minorEastAsia"/>
          <w:kern w:val="2"/>
          <w:sz w:val="26"/>
          <w:szCs w:val="26"/>
          <w:lang w:val="en-US" w:eastAsia="en-US"/>
          <w14:ligatures w14:val="standardContextual"/>
        </w:rPr>
        <w:t>[35]</w:t>
      </w:r>
      <w:r w:rsidRPr="00EE2810">
        <w:rPr>
          <w:rFonts w:eastAsiaTheme="minorEastAsia"/>
          <w:kern w:val="2"/>
          <w:sz w:val="26"/>
          <w:szCs w:val="26"/>
          <w:lang w:val="en-US" w:eastAsia="en-US"/>
          <w14:ligatures w14:val="standardContextual"/>
        </w:rPr>
        <w:tab/>
      </w:r>
      <w:r w:rsidR="00A24FE8" w:rsidRPr="00B75FD6">
        <w:rPr>
          <w:color w:val="000000" w:themeColor="text1"/>
          <w:sz w:val="26"/>
          <w:szCs w:val="26"/>
        </w:rPr>
        <w:t>This issue was brought home during our proceedings when the DTI’s counsel sought to criticise and rely upon the appellant’s alleged delay between 2015 and 2018, despite the fact that this issue is not at all ventilated in the papers.</w:t>
      </w:r>
      <w:r w:rsidR="00E44539" w:rsidRPr="00B75FD6">
        <w:rPr>
          <w:color w:val="000000" w:themeColor="text1"/>
          <w:sz w:val="26"/>
          <w:szCs w:val="26"/>
        </w:rPr>
        <w:t xml:space="preserve"> </w:t>
      </w:r>
      <w:r w:rsidR="00FA4773" w:rsidRPr="00B75FD6">
        <w:rPr>
          <w:color w:val="000000" w:themeColor="text1"/>
          <w:sz w:val="26"/>
          <w:szCs w:val="26"/>
        </w:rPr>
        <w:t>There was no evidence in the papers regarding why the appellant waited until February 2018 before demanding an appeal outcome.</w:t>
      </w:r>
      <w:r w:rsidR="00FA4773" w:rsidRPr="00B75FD6">
        <w:rPr>
          <w:rFonts w:ascii="Arial" w:hAnsi="Arial" w:cs="Arial"/>
          <w:color w:val="000000" w:themeColor="text1"/>
          <w:sz w:val="27"/>
          <w:szCs w:val="27"/>
        </w:rPr>
        <w:t xml:space="preserve"> </w:t>
      </w:r>
      <w:r w:rsidR="00EE2810" w:rsidRPr="00B75FD6">
        <w:rPr>
          <w:color w:val="000000" w:themeColor="text1"/>
          <w:sz w:val="26"/>
          <w:szCs w:val="26"/>
        </w:rPr>
        <w:t>The mere fact of the delay cannot, without more, be equated with an acceptance that an appeal decision had already previously been rendered.</w:t>
      </w:r>
      <w:r w:rsidR="00EE2810" w:rsidRPr="00B75FD6">
        <w:rPr>
          <w:rFonts w:ascii="Arial" w:hAnsi="Arial" w:cs="Arial"/>
          <w:color w:val="000000" w:themeColor="text1"/>
          <w:sz w:val="27"/>
          <w:szCs w:val="27"/>
        </w:rPr>
        <w:t xml:space="preserve"> </w:t>
      </w:r>
    </w:p>
    <w:p w:rsidR="00EE2810" w:rsidRPr="00EE2810" w:rsidRDefault="00EE2810" w:rsidP="00EE2810">
      <w:pPr>
        <w:pStyle w:val="ListParagraph"/>
        <w:rPr>
          <w:rFonts w:eastAsia="Times New Roman"/>
          <w:color w:val="000000" w:themeColor="text1"/>
          <w:sz w:val="26"/>
          <w:szCs w:val="26"/>
        </w:rPr>
      </w:pPr>
    </w:p>
    <w:p w:rsidR="00B0313A" w:rsidRPr="00B75FD6" w:rsidRDefault="00B75FD6" w:rsidP="00B75FD6">
      <w:pPr>
        <w:spacing w:line="360" w:lineRule="auto"/>
        <w:ind w:firstLine="142"/>
        <w:jc w:val="both"/>
        <w:rPr>
          <w:sz w:val="26"/>
          <w:szCs w:val="26"/>
        </w:rPr>
      </w:pPr>
      <w:r>
        <w:rPr>
          <w:rFonts w:eastAsiaTheme="minorEastAsia"/>
          <w:kern w:val="2"/>
          <w:sz w:val="26"/>
          <w:szCs w:val="26"/>
          <w:lang w:val="en-US" w:eastAsia="en-US"/>
          <w14:ligatures w14:val="standardContextual"/>
        </w:rPr>
        <w:t>[36]</w:t>
      </w:r>
      <w:r>
        <w:rPr>
          <w:rFonts w:eastAsiaTheme="minorEastAsia"/>
          <w:kern w:val="2"/>
          <w:sz w:val="26"/>
          <w:szCs w:val="26"/>
          <w:lang w:val="en-US" w:eastAsia="en-US"/>
          <w14:ligatures w14:val="standardContextual"/>
        </w:rPr>
        <w:tab/>
      </w:r>
      <w:r w:rsidR="00303B3B" w:rsidRPr="00B75FD6">
        <w:rPr>
          <w:sz w:val="26"/>
          <w:szCs w:val="26"/>
        </w:rPr>
        <w:t xml:space="preserve">For all these reasons, I am of the view that the decision of the court </w:t>
      </w:r>
      <w:r w:rsidR="00303B3B" w:rsidRPr="00B75FD6">
        <w:rPr>
          <w:i/>
          <w:iCs/>
          <w:sz w:val="26"/>
          <w:szCs w:val="26"/>
        </w:rPr>
        <w:t>a quo</w:t>
      </w:r>
      <w:r w:rsidR="00303B3B" w:rsidRPr="00B75FD6">
        <w:rPr>
          <w:sz w:val="26"/>
          <w:szCs w:val="26"/>
        </w:rPr>
        <w:t xml:space="preserve"> </w:t>
      </w:r>
      <w:r w:rsidR="007D3B56" w:rsidRPr="00B75FD6">
        <w:rPr>
          <w:sz w:val="26"/>
          <w:szCs w:val="26"/>
        </w:rPr>
        <w:t xml:space="preserve">that the review was brought outside the 180 days prescribed in section 7(1) of the PAJA </w:t>
      </w:r>
      <w:r w:rsidR="00303B3B" w:rsidRPr="00B75FD6">
        <w:rPr>
          <w:sz w:val="26"/>
          <w:szCs w:val="26"/>
        </w:rPr>
        <w:t>should be set aside. The next question is what remedy should be granted.</w:t>
      </w:r>
      <w:r w:rsidR="00976F03" w:rsidRPr="00B75FD6">
        <w:rPr>
          <w:sz w:val="26"/>
          <w:szCs w:val="26"/>
        </w:rPr>
        <w:t xml:space="preserve"> In the heads of argument</w:t>
      </w:r>
      <w:r w:rsidR="007D3B56" w:rsidRPr="00B75FD6">
        <w:rPr>
          <w:sz w:val="26"/>
          <w:szCs w:val="26"/>
        </w:rPr>
        <w:t>,</w:t>
      </w:r>
      <w:r w:rsidR="00976F03" w:rsidRPr="00B75FD6">
        <w:rPr>
          <w:sz w:val="26"/>
          <w:szCs w:val="26"/>
        </w:rPr>
        <w:t xml:space="preserve"> the appellant sought substituted relief </w:t>
      </w:r>
      <w:r w:rsidR="007D3B56" w:rsidRPr="00B75FD6">
        <w:rPr>
          <w:sz w:val="26"/>
          <w:szCs w:val="26"/>
        </w:rPr>
        <w:t xml:space="preserve">as a primary remedy. Presumably, this was </w:t>
      </w:r>
      <w:r w:rsidR="00976F03" w:rsidRPr="00B75FD6">
        <w:rPr>
          <w:sz w:val="26"/>
          <w:szCs w:val="26"/>
        </w:rPr>
        <w:t xml:space="preserve">because it had </w:t>
      </w:r>
      <w:r w:rsidR="007901C3" w:rsidRPr="00B75FD6">
        <w:rPr>
          <w:sz w:val="26"/>
          <w:szCs w:val="26"/>
        </w:rPr>
        <w:t xml:space="preserve">belatedly </w:t>
      </w:r>
      <w:r w:rsidR="00976F03" w:rsidRPr="00B75FD6">
        <w:rPr>
          <w:sz w:val="26"/>
          <w:szCs w:val="26"/>
        </w:rPr>
        <w:t xml:space="preserve">sought, though later withdrew, an appeal on the merits of the </w:t>
      </w:r>
      <w:r w:rsidR="007D3B56" w:rsidRPr="00B75FD6">
        <w:rPr>
          <w:sz w:val="26"/>
          <w:szCs w:val="26"/>
        </w:rPr>
        <w:t xml:space="preserve">review. </w:t>
      </w:r>
      <w:r w:rsidR="00976F03" w:rsidRPr="00B75FD6">
        <w:rPr>
          <w:sz w:val="26"/>
          <w:szCs w:val="26"/>
        </w:rPr>
        <w:t xml:space="preserve"> </w:t>
      </w:r>
      <w:r w:rsidR="007D3B56" w:rsidRPr="00B75FD6">
        <w:rPr>
          <w:sz w:val="26"/>
          <w:szCs w:val="26"/>
        </w:rPr>
        <w:t>The belated appeal was correctly withdrawn because, at the very least, no leave to appeal was granted on the merits of the matter</w:t>
      </w:r>
      <w:r w:rsidR="007901C3" w:rsidRPr="00B75FD6">
        <w:rPr>
          <w:sz w:val="26"/>
          <w:szCs w:val="26"/>
        </w:rPr>
        <w:t xml:space="preserve">. </w:t>
      </w:r>
    </w:p>
    <w:p w:rsidR="00EE2810" w:rsidRPr="00EE2810" w:rsidRDefault="00EE2810" w:rsidP="00EE2810">
      <w:pPr>
        <w:spacing w:line="360" w:lineRule="auto"/>
        <w:jc w:val="both"/>
        <w:rPr>
          <w:sz w:val="26"/>
          <w:szCs w:val="26"/>
        </w:rPr>
      </w:pPr>
    </w:p>
    <w:p w:rsidR="009A2A65" w:rsidRPr="00B75FD6" w:rsidRDefault="00B75FD6" w:rsidP="00B75FD6">
      <w:pPr>
        <w:spacing w:line="360" w:lineRule="auto"/>
        <w:ind w:firstLine="142"/>
        <w:jc w:val="both"/>
        <w:rPr>
          <w:sz w:val="26"/>
          <w:szCs w:val="26"/>
        </w:rPr>
      </w:pPr>
      <w:r>
        <w:rPr>
          <w:rFonts w:eastAsiaTheme="minorEastAsia"/>
          <w:kern w:val="2"/>
          <w:sz w:val="26"/>
          <w:szCs w:val="26"/>
          <w:lang w:val="en-US" w:eastAsia="en-US"/>
          <w14:ligatures w14:val="standardContextual"/>
        </w:rPr>
        <w:t>[37]</w:t>
      </w:r>
      <w:r>
        <w:rPr>
          <w:rFonts w:eastAsiaTheme="minorEastAsia"/>
          <w:kern w:val="2"/>
          <w:sz w:val="26"/>
          <w:szCs w:val="26"/>
          <w:lang w:val="en-US" w:eastAsia="en-US"/>
          <w14:ligatures w14:val="standardContextual"/>
        </w:rPr>
        <w:tab/>
      </w:r>
      <w:r w:rsidR="00EE2810" w:rsidRPr="00B75FD6">
        <w:rPr>
          <w:sz w:val="26"/>
          <w:szCs w:val="26"/>
        </w:rPr>
        <w:t xml:space="preserve">Although the normal relief would be to remit the matter for the court </w:t>
      </w:r>
      <w:r w:rsidR="00EE2810" w:rsidRPr="00B75FD6">
        <w:rPr>
          <w:i/>
          <w:iCs/>
          <w:sz w:val="26"/>
          <w:szCs w:val="26"/>
        </w:rPr>
        <w:t>a quo</w:t>
      </w:r>
      <w:r w:rsidR="00EE2810" w:rsidRPr="00B75FD6">
        <w:rPr>
          <w:sz w:val="26"/>
          <w:szCs w:val="26"/>
        </w:rPr>
        <w:t xml:space="preserve"> to determine the merits of the review</w:t>
      </w:r>
      <w:r w:rsidR="00EE2810" w:rsidRPr="00D875E8">
        <w:rPr>
          <w:rStyle w:val="FootnoteReference"/>
          <w:color w:val="000000" w:themeColor="text1"/>
          <w:sz w:val="26"/>
          <w:szCs w:val="26"/>
          <w:shd w:val="clear" w:color="auto" w:fill="FFFFFF"/>
        </w:rPr>
        <w:footnoteReference w:id="8"/>
      </w:r>
      <w:r w:rsidR="00EE2810" w:rsidRPr="00B75FD6">
        <w:rPr>
          <w:sz w:val="26"/>
          <w:szCs w:val="26"/>
        </w:rPr>
        <w:t>, t</w:t>
      </w:r>
      <w:r w:rsidR="009A2A65" w:rsidRPr="00B75FD6">
        <w:rPr>
          <w:sz w:val="26"/>
          <w:szCs w:val="26"/>
        </w:rPr>
        <w:t>he</w:t>
      </w:r>
      <w:r w:rsidR="00EE2810" w:rsidRPr="00B75FD6">
        <w:rPr>
          <w:sz w:val="26"/>
          <w:szCs w:val="26"/>
        </w:rPr>
        <w:t xml:space="preserve"> real problem is that there</w:t>
      </w:r>
      <w:r w:rsidR="009A2A65" w:rsidRPr="00B75FD6">
        <w:rPr>
          <w:sz w:val="26"/>
          <w:szCs w:val="26"/>
        </w:rPr>
        <w:t xml:space="preserve"> remains no decision in which the DTI </w:t>
      </w:r>
      <w:r w:rsidR="00EE2810" w:rsidRPr="00B75FD6">
        <w:rPr>
          <w:sz w:val="26"/>
          <w:szCs w:val="26"/>
        </w:rPr>
        <w:t>rendered an outcome regarding the appeal lodged by the appellant</w:t>
      </w:r>
      <w:r w:rsidR="009A2A65" w:rsidRPr="00B75FD6">
        <w:rPr>
          <w:sz w:val="26"/>
          <w:szCs w:val="26"/>
        </w:rPr>
        <w:t>.</w:t>
      </w:r>
      <w:r w:rsidR="00EE2810" w:rsidRPr="00B75FD6">
        <w:rPr>
          <w:sz w:val="26"/>
          <w:szCs w:val="26"/>
        </w:rPr>
        <w:t xml:space="preserve"> The matter should accordingly be remitted to the DTI to render such a decision, including a decision regarding the further information that the appellant claims to have submitted to it.</w:t>
      </w:r>
    </w:p>
    <w:p w:rsidR="003744F9" w:rsidRDefault="003744F9" w:rsidP="003744F9">
      <w:pPr>
        <w:rPr>
          <w:sz w:val="26"/>
          <w:szCs w:val="26"/>
        </w:rPr>
      </w:pPr>
    </w:p>
    <w:p w:rsidR="003744F9" w:rsidRPr="00B75FD6" w:rsidRDefault="00B75FD6" w:rsidP="00B75FD6">
      <w:pPr>
        <w:spacing w:line="360" w:lineRule="auto"/>
        <w:ind w:left="720" w:hanging="720"/>
        <w:jc w:val="both"/>
        <w:rPr>
          <w:b/>
          <w:bCs/>
          <w:sz w:val="26"/>
          <w:szCs w:val="26"/>
          <w:u w:val="single"/>
        </w:rPr>
      </w:pPr>
      <w:r w:rsidRPr="00DE7E05">
        <w:rPr>
          <w:rFonts w:eastAsiaTheme="minorEastAsia"/>
          <w:b/>
          <w:bCs/>
          <w:kern w:val="2"/>
          <w:sz w:val="26"/>
          <w:szCs w:val="26"/>
          <w:lang w:val="en-US" w:eastAsia="en-US"/>
          <w14:ligatures w14:val="standardContextual"/>
        </w:rPr>
        <w:t>D.</w:t>
      </w:r>
      <w:r w:rsidRPr="00DE7E05">
        <w:rPr>
          <w:rFonts w:eastAsiaTheme="minorEastAsia"/>
          <w:b/>
          <w:bCs/>
          <w:kern w:val="2"/>
          <w:sz w:val="26"/>
          <w:szCs w:val="26"/>
          <w:lang w:val="en-US" w:eastAsia="en-US"/>
          <w14:ligatures w14:val="standardContextual"/>
        </w:rPr>
        <w:tab/>
      </w:r>
      <w:r w:rsidR="003744F9" w:rsidRPr="00B75FD6">
        <w:rPr>
          <w:b/>
          <w:bCs/>
          <w:sz w:val="26"/>
          <w:szCs w:val="26"/>
          <w:u w:val="single"/>
        </w:rPr>
        <w:t>ORDER</w:t>
      </w:r>
    </w:p>
    <w:p w:rsidR="003744F9" w:rsidRPr="00B75FD6" w:rsidRDefault="00B75FD6" w:rsidP="00B75FD6">
      <w:pPr>
        <w:spacing w:line="360" w:lineRule="auto"/>
        <w:ind w:firstLine="142"/>
        <w:jc w:val="both"/>
        <w:rPr>
          <w:sz w:val="26"/>
          <w:szCs w:val="26"/>
        </w:rPr>
      </w:pPr>
      <w:r>
        <w:rPr>
          <w:rFonts w:eastAsiaTheme="minorEastAsia"/>
          <w:kern w:val="2"/>
          <w:sz w:val="26"/>
          <w:szCs w:val="26"/>
          <w:lang w:val="en-US" w:eastAsia="en-US"/>
          <w14:ligatures w14:val="standardContextual"/>
        </w:rPr>
        <w:t>[38]</w:t>
      </w:r>
      <w:r>
        <w:rPr>
          <w:rFonts w:eastAsiaTheme="minorEastAsia"/>
          <w:kern w:val="2"/>
          <w:sz w:val="26"/>
          <w:szCs w:val="26"/>
          <w:lang w:val="en-US" w:eastAsia="en-US"/>
          <w14:ligatures w14:val="standardContextual"/>
        </w:rPr>
        <w:tab/>
      </w:r>
      <w:r w:rsidR="003744F9" w:rsidRPr="00B75FD6">
        <w:rPr>
          <w:sz w:val="26"/>
          <w:szCs w:val="26"/>
        </w:rPr>
        <w:t>In the premises, I would grant the following order:</w:t>
      </w:r>
    </w:p>
    <w:p w:rsidR="003744F9" w:rsidRPr="003744F9" w:rsidRDefault="003744F9" w:rsidP="003744F9">
      <w:pPr>
        <w:pStyle w:val="ListParagraph"/>
        <w:rPr>
          <w:rFonts w:ascii="Times New Roman" w:hAnsi="Times New Roman" w:cs="Times New Roman"/>
          <w:sz w:val="26"/>
          <w:szCs w:val="26"/>
        </w:rPr>
      </w:pPr>
    </w:p>
    <w:p w:rsidR="003744F9" w:rsidRPr="00B75FD6" w:rsidRDefault="00B75FD6" w:rsidP="00B75FD6">
      <w:pPr>
        <w:spacing w:line="360" w:lineRule="auto"/>
        <w:ind w:left="1440" w:hanging="360"/>
        <w:jc w:val="both"/>
        <w:rPr>
          <w:sz w:val="26"/>
          <w:szCs w:val="26"/>
        </w:rPr>
      </w:pPr>
      <w:r>
        <w:rPr>
          <w:rFonts w:eastAsiaTheme="minorEastAsia"/>
          <w:kern w:val="2"/>
          <w:sz w:val="26"/>
          <w:szCs w:val="26"/>
          <w:lang w:val="en-US" w:eastAsia="en-US"/>
          <w14:ligatures w14:val="standardContextual"/>
        </w:rPr>
        <w:t>a.</w:t>
      </w:r>
      <w:r>
        <w:rPr>
          <w:rFonts w:eastAsiaTheme="minorEastAsia"/>
          <w:kern w:val="2"/>
          <w:sz w:val="26"/>
          <w:szCs w:val="26"/>
          <w:lang w:val="en-US" w:eastAsia="en-US"/>
          <w14:ligatures w14:val="standardContextual"/>
        </w:rPr>
        <w:tab/>
      </w:r>
      <w:r w:rsidR="003744F9" w:rsidRPr="00B75FD6">
        <w:rPr>
          <w:sz w:val="26"/>
          <w:szCs w:val="26"/>
        </w:rPr>
        <w:t>The appeal is upheld with costs, including costs of two counsel where so employed.</w:t>
      </w:r>
    </w:p>
    <w:p w:rsidR="003744F9" w:rsidRPr="00B75FD6" w:rsidRDefault="00B75FD6" w:rsidP="00B75FD6">
      <w:pPr>
        <w:spacing w:line="360" w:lineRule="auto"/>
        <w:ind w:left="1440" w:hanging="360"/>
        <w:jc w:val="both"/>
        <w:rPr>
          <w:sz w:val="26"/>
          <w:szCs w:val="26"/>
        </w:rPr>
      </w:pPr>
      <w:r>
        <w:rPr>
          <w:rFonts w:eastAsiaTheme="minorEastAsia"/>
          <w:kern w:val="2"/>
          <w:sz w:val="26"/>
          <w:szCs w:val="26"/>
          <w:lang w:val="en-US" w:eastAsia="en-US"/>
          <w14:ligatures w14:val="standardContextual"/>
        </w:rPr>
        <w:t>b.</w:t>
      </w:r>
      <w:r>
        <w:rPr>
          <w:rFonts w:eastAsiaTheme="minorEastAsia"/>
          <w:kern w:val="2"/>
          <w:sz w:val="26"/>
          <w:szCs w:val="26"/>
          <w:lang w:val="en-US" w:eastAsia="en-US"/>
          <w14:ligatures w14:val="standardContextual"/>
        </w:rPr>
        <w:tab/>
      </w:r>
      <w:r w:rsidR="003744F9" w:rsidRPr="00B75FD6">
        <w:rPr>
          <w:sz w:val="26"/>
          <w:szCs w:val="26"/>
        </w:rPr>
        <w:t xml:space="preserve">The judgment of the court </w:t>
      </w:r>
      <w:r w:rsidR="006A2682" w:rsidRPr="00B75FD6">
        <w:rPr>
          <w:i/>
          <w:iCs/>
          <w:sz w:val="26"/>
          <w:szCs w:val="26"/>
        </w:rPr>
        <w:t xml:space="preserve">a </w:t>
      </w:r>
      <w:r w:rsidR="003744F9" w:rsidRPr="00B75FD6">
        <w:rPr>
          <w:i/>
          <w:iCs/>
          <w:sz w:val="26"/>
          <w:szCs w:val="26"/>
        </w:rPr>
        <w:t>quo</w:t>
      </w:r>
      <w:r w:rsidR="003744F9" w:rsidRPr="00B75FD6">
        <w:rPr>
          <w:sz w:val="26"/>
          <w:szCs w:val="26"/>
        </w:rPr>
        <w:t xml:space="preserve"> is</w:t>
      </w:r>
      <w:r w:rsidR="006A2682" w:rsidRPr="00B75FD6">
        <w:rPr>
          <w:sz w:val="26"/>
          <w:szCs w:val="26"/>
        </w:rPr>
        <w:t xml:space="preserve"> set aside</w:t>
      </w:r>
      <w:r w:rsidR="00EE2810" w:rsidRPr="00B75FD6">
        <w:rPr>
          <w:sz w:val="26"/>
          <w:szCs w:val="26"/>
        </w:rPr>
        <w:t xml:space="preserve"> and replaced with the following:</w:t>
      </w:r>
    </w:p>
    <w:p w:rsidR="006A2682" w:rsidRPr="007901C3" w:rsidRDefault="00D8096B" w:rsidP="00D8096B">
      <w:pPr>
        <w:pStyle w:val="ListParagraph"/>
        <w:spacing w:after="0" w:line="360" w:lineRule="auto"/>
        <w:ind w:left="1440"/>
        <w:jc w:val="both"/>
        <w:rPr>
          <w:rFonts w:ascii="Times New Roman" w:hAnsi="Times New Roman" w:cs="Times New Roman"/>
          <w:sz w:val="26"/>
          <w:szCs w:val="26"/>
        </w:rPr>
      </w:pPr>
      <w:r w:rsidRPr="00D8096B">
        <w:rPr>
          <w:rFonts w:ascii="Times New Roman" w:hAnsi="Times New Roman" w:cs="Times New Roman"/>
          <w:i/>
          <w:iCs/>
          <w:sz w:val="26"/>
          <w:szCs w:val="26"/>
        </w:rPr>
        <w:t>“</w:t>
      </w:r>
      <w:r w:rsidR="006A2682" w:rsidRPr="00D8096B">
        <w:rPr>
          <w:rFonts w:ascii="Times New Roman" w:hAnsi="Times New Roman" w:cs="Times New Roman"/>
          <w:i/>
          <w:iCs/>
          <w:sz w:val="26"/>
          <w:szCs w:val="26"/>
        </w:rPr>
        <w:t xml:space="preserve">The </w:t>
      </w:r>
      <w:r w:rsidR="00EE2810" w:rsidRPr="00D8096B">
        <w:rPr>
          <w:rFonts w:ascii="Times New Roman" w:hAnsi="Times New Roman" w:cs="Times New Roman"/>
          <w:i/>
          <w:iCs/>
          <w:sz w:val="26"/>
          <w:szCs w:val="26"/>
        </w:rPr>
        <w:t xml:space="preserve">respondents are ordered to </w:t>
      </w:r>
      <w:r>
        <w:rPr>
          <w:rFonts w:ascii="Times New Roman" w:hAnsi="Times New Roman" w:cs="Times New Roman"/>
          <w:i/>
          <w:iCs/>
          <w:sz w:val="26"/>
          <w:szCs w:val="26"/>
        </w:rPr>
        <w:t>deliver</w:t>
      </w:r>
      <w:r w:rsidRPr="00D8096B">
        <w:rPr>
          <w:rFonts w:ascii="Times New Roman" w:hAnsi="Times New Roman" w:cs="Times New Roman"/>
          <w:i/>
          <w:iCs/>
          <w:sz w:val="26"/>
          <w:szCs w:val="26"/>
        </w:rPr>
        <w:t xml:space="preserve"> a decision regarding the appellant’s appeal which was lodged on 22 August 2015</w:t>
      </w:r>
      <w:r>
        <w:rPr>
          <w:rFonts w:ascii="Times New Roman" w:hAnsi="Times New Roman" w:cs="Times New Roman"/>
          <w:i/>
          <w:iCs/>
          <w:sz w:val="26"/>
          <w:szCs w:val="26"/>
        </w:rPr>
        <w:t xml:space="preserve"> and supplemented with further information</w:t>
      </w:r>
      <w:r w:rsidRPr="00D8096B">
        <w:rPr>
          <w:rFonts w:ascii="Times New Roman" w:hAnsi="Times New Roman" w:cs="Times New Roman"/>
          <w:i/>
          <w:iCs/>
          <w:sz w:val="26"/>
          <w:szCs w:val="26"/>
        </w:rPr>
        <w:t>, within 30 days of this order”</w:t>
      </w:r>
      <w:r w:rsidR="006A2682">
        <w:rPr>
          <w:rFonts w:ascii="Times New Roman" w:hAnsi="Times New Roman" w:cs="Times New Roman"/>
          <w:sz w:val="26"/>
          <w:szCs w:val="26"/>
        </w:rPr>
        <w:t>.</w:t>
      </w:r>
    </w:p>
    <w:p w:rsidR="003C7304" w:rsidRDefault="003C7304" w:rsidP="003C7304">
      <w:pPr>
        <w:pStyle w:val="ListParagraph"/>
        <w:spacing w:after="0" w:line="360" w:lineRule="auto"/>
        <w:jc w:val="both"/>
        <w:rPr>
          <w:rFonts w:ascii="Times New Roman" w:hAnsi="Times New Roman" w:cs="Times New Roman"/>
          <w:sz w:val="26"/>
          <w:szCs w:val="26"/>
        </w:rPr>
      </w:pPr>
    </w:p>
    <w:p w:rsidR="004B335A" w:rsidRDefault="004B335A" w:rsidP="003C7304">
      <w:pPr>
        <w:pStyle w:val="ListParagraph"/>
        <w:spacing w:after="0" w:line="360" w:lineRule="auto"/>
        <w:jc w:val="both"/>
        <w:rPr>
          <w:rFonts w:ascii="Times New Roman" w:hAnsi="Times New Roman" w:cs="Times New Roman"/>
          <w:sz w:val="26"/>
          <w:szCs w:val="26"/>
        </w:rPr>
      </w:pPr>
    </w:p>
    <w:p w:rsidR="004B335A" w:rsidRDefault="004B335A" w:rsidP="003C7304">
      <w:pPr>
        <w:pStyle w:val="ListParagraph"/>
        <w:spacing w:after="0" w:line="360" w:lineRule="auto"/>
        <w:jc w:val="both"/>
        <w:rPr>
          <w:rFonts w:ascii="Times New Roman" w:hAnsi="Times New Roman" w:cs="Times New Roman"/>
          <w:sz w:val="26"/>
          <w:szCs w:val="26"/>
        </w:rPr>
      </w:pPr>
    </w:p>
    <w:p w:rsidR="004B335A" w:rsidRPr="00D46ACC" w:rsidRDefault="004B335A" w:rsidP="004B335A">
      <w:pPr>
        <w:spacing w:line="360" w:lineRule="auto"/>
        <w:jc w:val="right"/>
        <w:rPr>
          <w:sz w:val="26"/>
          <w:szCs w:val="26"/>
        </w:rPr>
      </w:pPr>
      <w:r w:rsidRPr="00D46ACC">
        <w:rPr>
          <w:sz w:val="26"/>
          <w:szCs w:val="26"/>
        </w:rPr>
        <w:t>_________________________</w:t>
      </w:r>
    </w:p>
    <w:p w:rsidR="004B335A" w:rsidRPr="00D46ACC" w:rsidRDefault="004B335A" w:rsidP="004B335A">
      <w:pPr>
        <w:spacing w:line="276" w:lineRule="auto"/>
        <w:contextualSpacing/>
        <w:jc w:val="right"/>
        <w:rPr>
          <w:b/>
          <w:sz w:val="26"/>
          <w:szCs w:val="26"/>
        </w:rPr>
      </w:pPr>
      <w:r w:rsidRPr="00D46ACC">
        <w:rPr>
          <w:b/>
          <w:sz w:val="26"/>
          <w:szCs w:val="26"/>
        </w:rPr>
        <w:t xml:space="preserve"> N. MANGCU-LOCKWOOD</w:t>
      </w:r>
    </w:p>
    <w:p w:rsidR="004B335A" w:rsidRPr="00D46ACC" w:rsidRDefault="004B335A" w:rsidP="004B335A">
      <w:pPr>
        <w:spacing w:line="276" w:lineRule="auto"/>
        <w:contextualSpacing/>
        <w:jc w:val="right"/>
        <w:rPr>
          <w:b/>
          <w:sz w:val="26"/>
          <w:szCs w:val="26"/>
        </w:rPr>
      </w:pPr>
      <w:r w:rsidRPr="00D46ACC">
        <w:rPr>
          <w:b/>
          <w:sz w:val="26"/>
          <w:szCs w:val="26"/>
        </w:rPr>
        <w:t>Judge of the High Court</w:t>
      </w:r>
    </w:p>
    <w:p w:rsidR="004B335A" w:rsidRPr="00D46ACC" w:rsidRDefault="004B335A" w:rsidP="004B335A">
      <w:pPr>
        <w:rPr>
          <w:sz w:val="26"/>
          <w:szCs w:val="26"/>
        </w:rPr>
      </w:pPr>
    </w:p>
    <w:p w:rsidR="004B335A" w:rsidRPr="00D46ACC" w:rsidRDefault="004B335A" w:rsidP="004B335A">
      <w:pPr>
        <w:rPr>
          <w:sz w:val="26"/>
          <w:szCs w:val="26"/>
        </w:rPr>
      </w:pPr>
      <w:r w:rsidRPr="00D46ACC">
        <w:rPr>
          <w:sz w:val="26"/>
          <w:szCs w:val="26"/>
        </w:rPr>
        <w:t>I agree and it is so ordered.</w:t>
      </w:r>
    </w:p>
    <w:p w:rsidR="004B335A" w:rsidRDefault="004B335A" w:rsidP="004B335A">
      <w:pPr>
        <w:rPr>
          <w:sz w:val="26"/>
          <w:szCs w:val="26"/>
        </w:rPr>
      </w:pPr>
    </w:p>
    <w:p w:rsidR="004B335A" w:rsidRPr="00D46ACC" w:rsidRDefault="004B335A" w:rsidP="004B335A">
      <w:pPr>
        <w:rPr>
          <w:sz w:val="26"/>
          <w:szCs w:val="26"/>
        </w:rPr>
      </w:pPr>
    </w:p>
    <w:p w:rsidR="004B335A" w:rsidRPr="00D46ACC" w:rsidRDefault="004B335A" w:rsidP="004B335A">
      <w:pPr>
        <w:spacing w:line="360" w:lineRule="auto"/>
        <w:ind w:left="720" w:firstLine="720"/>
        <w:contextualSpacing/>
        <w:jc w:val="right"/>
        <w:rPr>
          <w:sz w:val="26"/>
          <w:szCs w:val="26"/>
        </w:rPr>
      </w:pPr>
      <w:r w:rsidRPr="00D46ACC">
        <w:rPr>
          <w:sz w:val="26"/>
          <w:szCs w:val="26"/>
        </w:rPr>
        <w:t>_________________________</w:t>
      </w:r>
    </w:p>
    <w:p w:rsidR="004B335A" w:rsidRPr="00D46ACC" w:rsidRDefault="004B335A" w:rsidP="004B335A">
      <w:pPr>
        <w:spacing w:line="276" w:lineRule="auto"/>
        <w:ind w:left="720" w:firstLine="720"/>
        <w:contextualSpacing/>
        <w:jc w:val="right"/>
        <w:rPr>
          <w:b/>
          <w:sz w:val="26"/>
          <w:szCs w:val="26"/>
        </w:rPr>
      </w:pPr>
      <w:r w:rsidRPr="00D46ACC">
        <w:rPr>
          <w:b/>
          <w:sz w:val="26"/>
          <w:szCs w:val="26"/>
        </w:rPr>
        <w:tab/>
      </w:r>
      <w:r w:rsidRPr="00D46ACC">
        <w:rPr>
          <w:b/>
          <w:sz w:val="26"/>
          <w:szCs w:val="26"/>
        </w:rPr>
        <w:tab/>
        <w:t xml:space="preserve">   </w:t>
      </w:r>
      <w:r w:rsidRPr="00D46ACC">
        <w:rPr>
          <w:b/>
          <w:sz w:val="26"/>
          <w:szCs w:val="26"/>
        </w:rPr>
        <w:tab/>
      </w:r>
      <w:r w:rsidRPr="00D46ACC">
        <w:rPr>
          <w:b/>
          <w:sz w:val="26"/>
          <w:szCs w:val="26"/>
        </w:rPr>
        <w:tab/>
      </w:r>
      <w:r w:rsidRPr="00D46ACC">
        <w:rPr>
          <w:b/>
          <w:sz w:val="26"/>
          <w:szCs w:val="26"/>
        </w:rPr>
        <w:tab/>
      </w:r>
      <w:r w:rsidRPr="00D46ACC">
        <w:rPr>
          <w:b/>
          <w:sz w:val="26"/>
          <w:szCs w:val="26"/>
        </w:rPr>
        <w:tab/>
      </w:r>
      <w:r>
        <w:rPr>
          <w:b/>
          <w:sz w:val="26"/>
          <w:szCs w:val="26"/>
        </w:rPr>
        <w:t xml:space="preserve">     R. ALLIE</w:t>
      </w:r>
    </w:p>
    <w:p w:rsidR="004B335A" w:rsidRPr="00D46ACC" w:rsidRDefault="004B335A" w:rsidP="004B335A">
      <w:pPr>
        <w:spacing w:line="276" w:lineRule="auto"/>
        <w:ind w:left="5245"/>
        <w:contextualSpacing/>
        <w:jc w:val="right"/>
        <w:rPr>
          <w:sz w:val="26"/>
          <w:szCs w:val="26"/>
        </w:rPr>
      </w:pPr>
      <w:r w:rsidRPr="00D46ACC">
        <w:rPr>
          <w:b/>
          <w:sz w:val="26"/>
          <w:szCs w:val="26"/>
        </w:rPr>
        <w:t xml:space="preserve">  Judge of the High Court</w:t>
      </w:r>
    </w:p>
    <w:p w:rsidR="004B335A" w:rsidRPr="00D46ACC" w:rsidRDefault="004B335A" w:rsidP="004B335A">
      <w:pPr>
        <w:pStyle w:val="ListParagraph"/>
        <w:spacing w:after="0"/>
        <w:ind w:left="709"/>
        <w:jc w:val="both"/>
        <w:rPr>
          <w:rFonts w:ascii="Times New Roman" w:hAnsi="Times New Roman" w:cs="Times New Roman"/>
          <w:sz w:val="26"/>
          <w:szCs w:val="26"/>
        </w:rPr>
      </w:pPr>
    </w:p>
    <w:p w:rsidR="004B335A" w:rsidRPr="00D46ACC" w:rsidRDefault="004B335A" w:rsidP="004B335A">
      <w:pPr>
        <w:rPr>
          <w:sz w:val="26"/>
          <w:szCs w:val="26"/>
        </w:rPr>
      </w:pPr>
      <w:r w:rsidRPr="00D46ACC">
        <w:rPr>
          <w:sz w:val="26"/>
          <w:szCs w:val="26"/>
        </w:rPr>
        <w:t>I agree.</w:t>
      </w:r>
    </w:p>
    <w:p w:rsidR="004B335A" w:rsidRPr="00D46ACC" w:rsidRDefault="004B335A" w:rsidP="004B335A">
      <w:pPr>
        <w:rPr>
          <w:sz w:val="26"/>
          <w:szCs w:val="26"/>
        </w:rPr>
      </w:pPr>
    </w:p>
    <w:p w:rsidR="004B335A" w:rsidRPr="00D46ACC" w:rsidRDefault="004B335A" w:rsidP="004B335A">
      <w:pPr>
        <w:rPr>
          <w:sz w:val="26"/>
          <w:szCs w:val="26"/>
        </w:rPr>
      </w:pPr>
    </w:p>
    <w:p w:rsidR="004B335A" w:rsidRPr="00D46ACC" w:rsidRDefault="004B335A" w:rsidP="004B335A">
      <w:pPr>
        <w:pStyle w:val="western"/>
        <w:shd w:val="clear" w:color="auto" w:fill="FFFFFF"/>
        <w:spacing w:before="0" w:beforeAutospacing="0" w:after="0" w:afterAutospacing="0" w:line="360" w:lineRule="auto"/>
        <w:ind w:left="987" w:right="-46" w:hanging="578"/>
        <w:jc w:val="right"/>
        <w:rPr>
          <w:b/>
          <w:sz w:val="26"/>
          <w:szCs w:val="26"/>
          <w:u w:val="single"/>
        </w:rPr>
      </w:pPr>
      <w:r w:rsidRPr="00D46ACC">
        <w:rPr>
          <w:b/>
          <w:sz w:val="26"/>
          <w:szCs w:val="26"/>
        </w:rPr>
        <w:t>_______________________</w:t>
      </w:r>
    </w:p>
    <w:p w:rsidR="004B335A" w:rsidRPr="00D46ACC" w:rsidRDefault="004B335A" w:rsidP="004B335A">
      <w:pPr>
        <w:spacing w:line="276" w:lineRule="auto"/>
        <w:ind w:left="720" w:firstLine="720"/>
        <w:contextualSpacing/>
        <w:jc w:val="right"/>
        <w:rPr>
          <w:b/>
          <w:sz w:val="26"/>
          <w:szCs w:val="26"/>
        </w:rPr>
      </w:pPr>
      <w:r>
        <w:rPr>
          <w:b/>
          <w:sz w:val="26"/>
          <w:szCs w:val="26"/>
        </w:rPr>
        <w:t>G. SALIE</w:t>
      </w:r>
    </w:p>
    <w:p w:rsidR="004B335A" w:rsidRPr="00D46ACC" w:rsidRDefault="004B335A" w:rsidP="004B335A">
      <w:pPr>
        <w:spacing w:line="276" w:lineRule="auto"/>
        <w:ind w:left="5760"/>
        <w:contextualSpacing/>
        <w:jc w:val="right"/>
        <w:rPr>
          <w:b/>
          <w:sz w:val="26"/>
          <w:szCs w:val="26"/>
        </w:rPr>
      </w:pPr>
      <w:r w:rsidRPr="00D46ACC">
        <w:rPr>
          <w:b/>
          <w:sz w:val="26"/>
          <w:szCs w:val="26"/>
        </w:rPr>
        <w:t xml:space="preserve">    Judge of the High Court</w:t>
      </w:r>
    </w:p>
    <w:p w:rsidR="004B335A" w:rsidRDefault="004B335A" w:rsidP="004B335A"/>
    <w:p w:rsidR="004B335A" w:rsidRDefault="004B335A" w:rsidP="004B335A"/>
    <w:p w:rsidR="004B335A" w:rsidRDefault="004B335A" w:rsidP="004B335A"/>
    <w:p w:rsidR="004B335A" w:rsidRDefault="004B335A" w:rsidP="004B335A"/>
    <w:p w:rsidR="004B335A" w:rsidRDefault="004B335A" w:rsidP="004B335A"/>
    <w:p w:rsidR="004B335A" w:rsidRPr="00D46ACC" w:rsidRDefault="004B335A" w:rsidP="004B335A">
      <w:pPr>
        <w:rPr>
          <w:b/>
          <w:sz w:val="26"/>
          <w:szCs w:val="26"/>
          <w:u w:val="single"/>
        </w:rPr>
      </w:pPr>
      <w:r w:rsidRPr="00D46ACC">
        <w:rPr>
          <w:b/>
          <w:sz w:val="26"/>
          <w:szCs w:val="26"/>
          <w:u w:val="single"/>
        </w:rPr>
        <w:t>APPEARANCES</w:t>
      </w:r>
    </w:p>
    <w:p w:rsidR="004B335A" w:rsidRPr="00D46ACC" w:rsidRDefault="004B335A" w:rsidP="004B335A">
      <w:pPr>
        <w:rPr>
          <w:b/>
          <w:sz w:val="26"/>
          <w:szCs w:val="26"/>
        </w:rPr>
      </w:pPr>
      <w:r w:rsidRPr="00D46ACC">
        <w:rPr>
          <w:b/>
          <w:sz w:val="26"/>
          <w:szCs w:val="26"/>
        </w:rPr>
        <w:t>For the appellant</w:t>
      </w:r>
      <w:r w:rsidRPr="00D46ACC">
        <w:rPr>
          <w:b/>
          <w:sz w:val="26"/>
          <w:szCs w:val="26"/>
        </w:rPr>
        <w:tab/>
      </w:r>
      <w:r>
        <w:rPr>
          <w:b/>
          <w:sz w:val="26"/>
          <w:szCs w:val="26"/>
        </w:rPr>
        <w:tab/>
      </w:r>
      <w:r w:rsidRPr="00D46ACC">
        <w:rPr>
          <w:b/>
          <w:sz w:val="26"/>
          <w:szCs w:val="26"/>
        </w:rPr>
        <w:t>:</w:t>
      </w:r>
      <w:r w:rsidRPr="00D46ACC">
        <w:rPr>
          <w:b/>
          <w:sz w:val="26"/>
          <w:szCs w:val="26"/>
        </w:rPr>
        <w:tab/>
        <w:t>Adv G. Elliott SC</w:t>
      </w:r>
    </w:p>
    <w:p w:rsidR="004B335A" w:rsidRPr="00D46ACC" w:rsidRDefault="004B335A" w:rsidP="004B335A">
      <w:pPr>
        <w:rPr>
          <w:b/>
          <w:sz w:val="26"/>
          <w:szCs w:val="26"/>
        </w:rPr>
      </w:pPr>
      <w:r w:rsidRPr="00D46ACC">
        <w:rPr>
          <w:b/>
          <w:sz w:val="26"/>
          <w:szCs w:val="26"/>
        </w:rPr>
        <w:t>Instructed by</w:t>
      </w:r>
      <w:r w:rsidRPr="00D46ACC">
        <w:rPr>
          <w:b/>
          <w:sz w:val="26"/>
          <w:szCs w:val="26"/>
        </w:rPr>
        <w:tab/>
      </w:r>
      <w:r w:rsidRPr="00D46ACC">
        <w:rPr>
          <w:b/>
          <w:sz w:val="26"/>
          <w:szCs w:val="26"/>
        </w:rPr>
        <w:tab/>
        <w:t>:</w:t>
      </w:r>
      <w:r w:rsidRPr="00D46ACC">
        <w:rPr>
          <w:b/>
          <w:sz w:val="26"/>
          <w:szCs w:val="26"/>
        </w:rPr>
        <w:tab/>
        <w:t>D. Williams-Ashman</w:t>
      </w:r>
    </w:p>
    <w:p w:rsidR="004B335A" w:rsidRPr="00D46ACC" w:rsidRDefault="004B335A" w:rsidP="004B335A">
      <w:pPr>
        <w:ind w:left="1440" w:hanging="720"/>
        <w:rPr>
          <w:b/>
          <w:sz w:val="26"/>
          <w:szCs w:val="26"/>
        </w:rPr>
      </w:pPr>
      <w:r w:rsidRPr="00D46ACC">
        <w:rPr>
          <w:b/>
          <w:sz w:val="26"/>
          <w:szCs w:val="26"/>
        </w:rPr>
        <w:tab/>
      </w:r>
      <w:r w:rsidRPr="00D46ACC">
        <w:rPr>
          <w:b/>
          <w:sz w:val="26"/>
          <w:szCs w:val="26"/>
        </w:rPr>
        <w:tab/>
      </w:r>
      <w:r w:rsidRPr="00D46ACC">
        <w:rPr>
          <w:b/>
          <w:sz w:val="26"/>
          <w:szCs w:val="26"/>
        </w:rPr>
        <w:tab/>
      </w:r>
      <w:r w:rsidRPr="00D46ACC">
        <w:rPr>
          <w:b/>
          <w:sz w:val="26"/>
          <w:szCs w:val="26"/>
        </w:rPr>
        <w:tab/>
        <w:t>Ashman Attorneys Inc.</w:t>
      </w:r>
    </w:p>
    <w:p w:rsidR="004B335A" w:rsidRPr="00D46ACC" w:rsidRDefault="004B335A" w:rsidP="004B335A">
      <w:pPr>
        <w:rPr>
          <w:b/>
          <w:sz w:val="26"/>
          <w:szCs w:val="26"/>
        </w:rPr>
      </w:pPr>
    </w:p>
    <w:p w:rsidR="004B335A" w:rsidRPr="00D46ACC" w:rsidRDefault="004B335A" w:rsidP="004B335A">
      <w:pPr>
        <w:rPr>
          <w:b/>
          <w:sz w:val="26"/>
          <w:szCs w:val="26"/>
        </w:rPr>
      </w:pPr>
      <w:r w:rsidRPr="00D46ACC">
        <w:rPr>
          <w:b/>
          <w:sz w:val="26"/>
          <w:szCs w:val="26"/>
        </w:rPr>
        <w:t>For the respondents</w:t>
      </w:r>
      <w:r w:rsidRPr="00D46ACC">
        <w:rPr>
          <w:b/>
          <w:sz w:val="26"/>
          <w:szCs w:val="26"/>
        </w:rPr>
        <w:tab/>
        <w:t>:</w:t>
      </w:r>
      <w:r w:rsidRPr="00D46ACC">
        <w:rPr>
          <w:b/>
          <w:sz w:val="26"/>
          <w:szCs w:val="26"/>
        </w:rPr>
        <w:tab/>
        <w:t>Adv E. De Villiers-Jansen SC</w:t>
      </w:r>
    </w:p>
    <w:p w:rsidR="004B335A" w:rsidRPr="00D46ACC" w:rsidRDefault="004B335A" w:rsidP="004B335A">
      <w:pPr>
        <w:rPr>
          <w:b/>
          <w:sz w:val="26"/>
          <w:szCs w:val="26"/>
        </w:rPr>
      </w:pPr>
      <w:r w:rsidRPr="00D46ACC">
        <w:rPr>
          <w:b/>
          <w:sz w:val="26"/>
          <w:szCs w:val="26"/>
        </w:rPr>
        <w:t>Instructed by</w:t>
      </w:r>
      <w:r w:rsidRPr="00D46ACC">
        <w:rPr>
          <w:b/>
          <w:sz w:val="26"/>
          <w:szCs w:val="26"/>
        </w:rPr>
        <w:tab/>
      </w:r>
      <w:r w:rsidRPr="00D46ACC">
        <w:rPr>
          <w:b/>
          <w:sz w:val="26"/>
          <w:szCs w:val="26"/>
        </w:rPr>
        <w:tab/>
        <w:t>:</w:t>
      </w:r>
      <w:r w:rsidRPr="00D46ACC">
        <w:rPr>
          <w:b/>
          <w:sz w:val="26"/>
          <w:szCs w:val="26"/>
        </w:rPr>
        <w:tab/>
        <w:t>A. Marsh-Scott</w:t>
      </w:r>
    </w:p>
    <w:p w:rsidR="004B335A" w:rsidRPr="00D46ACC" w:rsidRDefault="004B335A" w:rsidP="004B335A">
      <w:pPr>
        <w:ind w:left="720"/>
        <w:rPr>
          <w:b/>
          <w:sz w:val="26"/>
          <w:szCs w:val="26"/>
        </w:rPr>
      </w:pPr>
      <w:r w:rsidRPr="00D46ACC">
        <w:rPr>
          <w:b/>
          <w:sz w:val="26"/>
          <w:szCs w:val="26"/>
        </w:rPr>
        <w:tab/>
      </w:r>
      <w:r w:rsidRPr="00D46ACC">
        <w:rPr>
          <w:b/>
          <w:sz w:val="26"/>
          <w:szCs w:val="26"/>
        </w:rPr>
        <w:tab/>
      </w:r>
      <w:r w:rsidRPr="00D46ACC">
        <w:rPr>
          <w:b/>
          <w:sz w:val="26"/>
          <w:szCs w:val="26"/>
        </w:rPr>
        <w:tab/>
      </w:r>
      <w:r w:rsidRPr="00D46ACC">
        <w:rPr>
          <w:b/>
          <w:sz w:val="26"/>
          <w:szCs w:val="26"/>
        </w:rPr>
        <w:tab/>
        <w:t>State Attorney</w:t>
      </w:r>
    </w:p>
    <w:p w:rsidR="00823C51" w:rsidRPr="00823C51" w:rsidRDefault="00823C51" w:rsidP="00823C51">
      <w:pPr>
        <w:pStyle w:val="ListParagraph"/>
        <w:spacing w:after="0" w:line="360" w:lineRule="auto"/>
        <w:jc w:val="both"/>
        <w:rPr>
          <w:rFonts w:ascii="Times New Roman" w:hAnsi="Times New Roman" w:cs="Times New Roman"/>
        </w:rPr>
      </w:pPr>
    </w:p>
    <w:p w:rsidR="007E054C" w:rsidRPr="004819CB" w:rsidRDefault="007E054C" w:rsidP="003C7304">
      <w:pPr>
        <w:pStyle w:val="ListParagraph"/>
        <w:rPr>
          <w:rFonts w:ascii="Times New Roman" w:hAnsi="Times New Roman" w:cs="Times New Roman"/>
        </w:rPr>
      </w:pPr>
    </w:p>
    <w:p w:rsidR="007E054C" w:rsidRPr="004819CB" w:rsidRDefault="007E054C"/>
    <w:sectPr w:rsidR="007E054C" w:rsidRPr="004819CB" w:rsidSect="00157EB5">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E92" w:rsidRDefault="00B34E92" w:rsidP="00A124A5">
      <w:r>
        <w:separator/>
      </w:r>
    </w:p>
  </w:endnote>
  <w:endnote w:type="continuationSeparator" w:id="0">
    <w:p w:rsidR="00B34E92" w:rsidRDefault="00B34E92" w:rsidP="00A12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E92" w:rsidRDefault="00B34E92" w:rsidP="00A124A5">
      <w:r>
        <w:separator/>
      </w:r>
    </w:p>
  </w:footnote>
  <w:footnote w:type="continuationSeparator" w:id="0">
    <w:p w:rsidR="00B34E92" w:rsidRDefault="00B34E92" w:rsidP="00A124A5">
      <w:r>
        <w:continuationSeparator/>
      </w:r>
    </w:p>
  </w:footnote>
  <w:footnote w:id="1">
    <w:p w:rsidR="00D258DA" w:rsidRPr="00A26681" w:rsidRDefault="00D258DA" w:rsidP="00D258DA">
      <w:pPr>
        <w:pStyle w:val="FootnoteText"/>
        <w:rPr>
          <w:rFonts w:ascii="Times New Roman" w:hAnsi="Times New Roman" w:cs="Times New Roman"/>
          <w:lang w:val="en-GB"/>
        </w:rPr>
      </w:pPr>
      <w:r w:rsidRPr="00A26681">
        <w:rPr>
          <w:rStyle w:val="FootnoteReference"/>
          <w:rFonts w:ascii="Times New Roman" w:hAnsi="Times New Roman" w:cs="Times New Roman"/>
        </w:rPr>
        <w:footnoteRef/>
      </w:r>
      <w:r w:rsidRPr="00A26681">
        <w:rPr>
          <w:rFonts w:ascii="Times New Roman" w:hAnsi="Times New Roman" w:cs="Times New Roman"/>
        </w:rPr>
        <w:t xml:space="preserve"> </w:t>
      </w:r>
      <w:r w:rsidRPr="00A26681">
        <w:rPr>
          <w:rFonts w:ascii="Times New Roman" w:hAnsi="Times New Roman" w:cs="Times New Roman"/>
          <w:lang w:val="en-GB"/>
        </w:rPr>
        <w:t xml:space="preserve"> Annexure “E” was erroneously referred to as a letter dated 31 June 2015 instead of 31 July 2015.</w:t>
      </w:r>
    </w:p>
  </w:footnote>
  <w:footnote w:id="2">
    <w:p w:rsidR="00F73FC5" w:rsidRPr="007D6A04" w:rsidRDefault="00F73FC5" w:rsidP="00F73FC5">
      <w:pPr>
        <w:shd w:val="clear" w:color="auto" w:fill="FFFFFF"/>
        <w:rPr>
          <w:sz w:val="20"/>
          <w:szCs w:val="20"/>
        </w:rPr>
      </w:pPr>
      <w:r w:rsidRPr="007D6A04">
        <w:rPr>
          <w:rStyle w:val="FootnoteReference"/>
          <w:sz w:val="20"/>
          <w:szCs w:val="20"/>
        </w:rPr>
        <w:footnoteRef/>
      </w:r>
      <w:r w:rsidRPr="007D6A04">
        <w:rPr>
          <w:sz w:val="20"/>
          <w:szCs w:val="20"/>
        </w:rPr>
        <w:t xml:space="preserve"> </w:t>
      </w:r>
      <w:r>
        <w:rPr>
          <w:sz w:val="20"/>
          <w:szCs w:val="20"/>
        </w:rPr>
        <w:t>The relevant parts of s</w:t>
      </w:r>
      <w:r w:rsidRPr="007D6A04">
        <w:rPr>
          <w:sz w:val="20"/>
          <w:szCs w:val="20"/>
        </w:rPr>
        <w:t>ection 7 of PAJA provide as follows:</w:t>
      </w:r>
    </w:p>
    <w:p w:rsidR="00F73FC5" w:rsidRPr="007D6A04" w:rsidRDefault="00F73FC5" w:rsidP="00F73FC5">
      <w:pPr>
        <w:shd w:val="clear" w:color="auto" w:fill="FFFFFF"/>
        <w:spacing w:before="144" w:after="288"/>
        <w:ind w:left="720" w:right="1280"/>
        <w:jc w:val="both"/>
        <w:rPr>
          <w:color w:val="000000" w:themeColor="text1"/>
          <w:sz w:val="20"/>
          <w:szCs w:val="20"/>
        </w:rPr>
      </w:pPr>
      <w:r w:rsidRPr="007D6A04">
        <w:rPr>
          <w:color w:val="000000" w:themeColor="text1"/>
          <w:sz w:val="20"/>
          <w:szCs w:val="20"/>
        </w:rPr>
        <w:t xml:space="preserve">“(1) Any proceedings for judicial review in terms of section 6(1) must be instituted without unreasonable delay and not later than 180 days after the date – </w:t>
      </w:r>
    </w:p>
    <w:p w:rsidR="00F73FC5" w:rsidRPr="007D6A04" w:rsidRDefault="00F73FC5" w:rsidP="00F73FC5">
      <w:pPr>
        <w:shd w:val="clear" w:color="auto" w:fill="FFFFFF"/>
        <w:spacing w:before="144" w:after="288"/>
        <w:ind w:left="1440" w:right="1280" w:hanging="720"/>
        <w:jc w:val="both"/>
        <w:rPr>
          <w:color w:val="000000" w:themeColor="text1"/>
          <w:sz w:val="20"/>
          <w:szCs w:val="20"/>
        </w:rPr>
      </w:pPr>
      <w:r w:rsidRPr="007D6A04">
        <w:rPr>
          <w:color w:val="000000" w:themeColor="text1"/>
          <w:sz w:val="20"/>
          <w:szCs w:val="20"/>
        </w:rPr>
        <w:t xml:space="preserve">(a) </w:t>
      </w:r>
      <w:r w:rsidRPr="007D6A04">
        <w:rPr>
          <w:color w:val="000000" w:themeColor="text1"/>
          <w:sz w:val="20"/>
          <w:szCs w:val="20"/>
        </w:rPr>
        <w:tab/>
        <w:t>subject to subsection (2)(c), on which any proceedings instituted in terms of internal remedies as contemplated in subsection (2)(a) have been concluded; or</w:t>
      </w:r>
    </w:p>
    <w:p w:rsidR="00F73FC5" w:rsidRPr="007D6A04" w:rsidRDefault="00F73FC5" w:rsidP="00F73FC5">
      <w:pPr>
        <w:shd w:val="clear" w:color="auto" w:fill="FFFFFF"/>
        <w:spacing w:before="144" w:after="288"/>
        <w:ind w:left="1440" w:right="1280" w:hanging="720"/>
        <w:jc w:val="both"/>
        <w:rPr>
          <w:color w:val="000000" w:themeColor="text1"/>
          <w:sz w:val="20"/>
          <w:szCs w:val="20"/>
        </w:rPr>
      </w:pPr>
      <w:r w:rsidRPr="007D6A04">
        <w:rPr>
          <w:color w:val="000000" w:themeColor="text1"/>
          <w:sz w:val="20"/>
          <w:szCs w:val="20"/>
        </w:rPr>
        <w:t xml:space="preserve">(b) </w:t>
      </w:r>
      <w:r w:rsidRPr="007D6A04">
        <w:rPr>
          <w:color w:val="000000" w:themeColor="text1"/>
          <w:sz w:val="20"/>
          <w:szCs w:val="20"/>
        </w:rPr>
        <w:tab/>
        <w:t>where no such remedies exist, on which the person concerned was informed of the administrative action, became aware of the action and the reasons for it or might reasonably have been expected to have become aware of the action and the reasons.</w:t>
      </w:r>
    </w:p>
    <w:p w:rsidR="00F73FC5" w:rsidRPr="007D6A04" w:rsidRDefault="00F73FC5" w:rsidP="00F73FC5">
      <w:pPr>
        <w:shd w:val="clear" w:color="auto" w:fill="FFFFFF"/>
        <w:spacing w:before="144" w:after="288"/>
        <w:ind w:left="720" w:right="1422"/>
        <w:jc w:val="both"/>
        <w:rPr>
          <w:color w:val="000000" w:themeColor="text1"/>
          <w:sz w:val="20"/>
          <w:szCs w:val="20"/>
        </w:rPr>
      </w:pPr>
      <w:r w:rsidRPr="007D6A04">
        <w:rPr>
          <w:color w:val="000000" w:themeColor="text1"/>
          <w:sz w:val="20"/>
          <w:szCs w:val="20"/>
        </w:rPr>
        <w:t>(2)(a) Subject to paragraph (c), no court or tribunal shall review an administrative action in terms of this Act unless any internal remedy provided for in any other law has first been exhausted.”</w:t>
      </w:r>
    </w:p>
    <w:p w:rsidR="00F73FC5" w:rsidRDefault="00F73FC5" w:rsidP="00F73FC5">
      <w:pPr>
        <w:pStyle w:val="FootnoteText"/>
      </w:pPr>
    </w:p>
  </w:footnote>
  <w:footnote w:id="3">
    <w:p w:rsidR="00804CF9" w:rsidRPr="00E44539" w:rsidRDefault="00804CF9" w:rsidP="00804CF9">
      <w:pPr>
        <w:pStyle w:val="Heading2"/>
        <w:shd w:val="clear" w:color="auto" w:fill="FFFFFF"/>
        <w:spacing w:before="240" w:beforeAutospacing="0" w:after="180" w:afterAutospacing="0" w:line="288" w:lineRule="atLeast"/>
        <w:rPr>
          <w:b w:val="0"/>
          <w:bCs w:val="0"/>
          <w:color w:val="000000" w:themeColor="text1"/>
          <w:sz w:val="20"/>
          <w:szCs w:val="20"/>
        </w:rPr>
      </w:pPr>
      <w:r w:rsidRPr="00804CF9">
        <w:rPr>
          <w:rStyle w:val="FootnoteReference"/>
          <w:b w:val="0"/>
          <w:bCs w:val="0"/>
          <w:color w:val="000000" w:themeColor="text1"/>
          <w:sz w:val="20"/>
          <w:szCs w:val="20"/>
        </w:rPr>
        <w:footnoteRef/>
      </w:r>
      <w:r w:rsidRPr="00804CF9">
        <w:rPr>
          <w:b w:val="0"/>
          <w:bCs w:val="0"/>
          <w:color w:val="000000" w:themeColor="text1"/>
          <w:sz w:val="20"/>
          <w:szCs w:val="20"/>
        </w:rPr>
        <w:t xml:space="preserve"> </w:t>
      </w:r>
      <w:r w:rsidRPr="00E44539">
        <w:rPr>
          <w:b w:val="0"/>
          <w:bCs w:val="0"/>
          <w:i/>
          <w:iCs/>
          <w:color w:val="000000" w:themeColor="text1"/>
          <w:sz w:val="20"/>
          <w:szCs w:val="20"/>
        </w:rPr>
        <w:t>Mostert NO v Registrar of Pension Funds and Others</w:t>
      </w:r>
      <w:r w:rsidRPr="00E44539">
        <w:rPr>
          <w:b w:val="0"/>
          <w:bCs w:val="0"/>
          <w:color w:val="000000" w:themeColor="text1"/>
          <w:sz w:val="20"/>
          <w:szCs w:val="20"/>
        </w:rPr>
        <w:t xml:space="preserve"> (986/2016) [2017] ZASCA 108; 2018 (2) SA 53 (SCA) (15 September 2017).</w:t>
      </w:r>
    </w:p>
  </w:footnote>
  <w:footnote w:id="4">
    <w:p w:rsidR="00512911" w:rsidRPr="00512911" w:rsidRDefault="00512911">
      <w:pPr>
        <w:pStyle w:val="FootnoteText"/>
        <w:rPr>
          <w:rFonts w:ascii="Times New Roman" w:hAnsi="Times New Roman" w:cs="Times New Roman"/>
        </w:rPr>
      </w:pPr>
      <w:r w:rsidRPr="00512911">
        <w:rPr>
          <w:rStyle w:val="FootnoteReference"/>
          <w:rFonts w:ascii="Times New Roman" w:hAnsi="Times New Roman" w:cs="Times New Roman"/>
        </w:rPr>
        <w:footnoteRef/>
      </w:r>
      <w:r w:rsidRPr="00512911">
        <w:rPr>
          <w:rFonts w:ascii="Times New Roman" w:hAnsi="Times New Roman" w:cs="Times New Roman"/>
        </w:rPr>
        <w:t xml:space="preserve"> See </w:t>
      </w:r>
      <w:r w:rsidRPr="00512911">
        <w:rPr>
          <w:rFonts w:ascii="Times New Roman" w:hAnsi="Times New Roman" w:cs="Times New Roman"/>
          <w:i/>
          <w:iCs/>
        </w:rPr>
        <w:t xml:space="preserve">Mostert v </w:t>
      </w:r>
      <w:r w:rsidRPr="00512911">
        <w:rPr>
          <w:rFonts w:ascii="Times New Roman" w:hAnsi="Times New Roman" w:cs="Times New Roman"/>
          <w:i/>
          <w:iCs/>
          <w:color w:val="000000" w:themeColor="text1"/>
        </w:rPr>
        <w:t xml:space="preserve">Registrar of Pension Funds and Others </w:t>
      </w:r>
      <w:r w:rsidRPr="00512911">
        <w:rPr>
          <w:rFonts w:ascii="Times New Roman" w:hAnsi="Times New Roman" w:cs="Times New Roman"/>
          <w:color w:val="000000" w:themeColor="text1"/>
        </w:rPr>
        <w:t>para [25].</w:t>
      </w:r>
    </w:p>
  </w:footnote>
  <w:footnote w:id="5">
    <w:p w:rsidR="00A52934" w:rsidRPr="00A52934" w:rsidRDefault="00A52934">
      <w:pPr>
        <w:pStyle w:val="FootnoteText"/>
        <w:rPr>
          <w:rFonts w:ascii="Times New Roman" w:hAnsi="Times New Roman" w:cs="Times New Roman"/>
        </w:rPr>
      </w:pPr>
      <w:r w:rsidRPr="00A52934">
        <w:rPr>
          <w:rStyle w:val="FootnoteReference"/>
          <w:rFonts w:ascii="Times New Roman" w:hAnsi="Times New Roman" w:cs="Times New Roman"/>
          <w:color w:val="000000" w:themeColor="text1"/>
        </w:rPr>
        <w:footnoteRef/>
      </w:r>
      <w:r w:rsidRPr="00A52934">
        <w:rPr>
          <w:rFonts w:ascii="Times New Roman" w:hAnsi="Times New Roman" w:cs="Times New Roman"/>
          <w:color w:val="000000" w:themeColor="text1"/>
        </w:rPr>
        <w:t xml:space="preserve"> </w:t>
      </w:r>
      <w:r w:rsidRPr="00A52934">
        <w:rPr>
          <w:rFonts w:ascii="Times New Roman" w:hAnsi="Times New Roman" w:cs="Times New Roman"/>
          <w:i/>
          <w:iCs/>
          <w:color w:val="000000" w:themeColor="text1"/>
          <w:shd w:val="clear" w:color="auto" w:fill="FFFFFF"/>
        </w:rPr>
        <w:t>Camps Bay Ratepayers’ and Residents’ Association &amp; another v Harrison &amp; Another </w:t>
      </w:r>
      <w:hyperlink r:id="rId1" w:tooltip="View LawCiteRecord" w:history="1">
        <w:r w:rsidRPr="00A52934">
          <w:rPr>
            <w:rStyle w:val="Hyperlink"/>
            <w:rFonts w:ascii="Times New Roman" w:hAnsi="Times New Roman" w:cs="Times New Roman"/>
            <w:color w:val="000000" w:themeColor="text1"/>
            <w:u w:val="none"/>
            <w:shd w:val="clear" w:color="auto" w:fill="FFFFFF"/>
          </w:rPr>
          <w:t>2011 (4) SA 42</w:t>
        </w:r>
      </w:hyperlink>
      <w:r w:rsidRPr="00A52934">
        <w:rPr>
          <w:rFonts w:ascii="Times New Roman" w:hAnsi="Times New Roman" w:cs="Times New Roman"/>
          <w:color w:val="000000" w:themeColor="text1"/>
          <w:shd w:val="clear" w:color="auto" w:fill="FFFFFF"/>
        </w:rPr>
        <w:t> (CC) para 53.</w:t>
      </w:r>
      <w:r w:rsidR="00A67EA4">
        <w:rPr>
          <w:rFonts w:ascii="Times New Roman" w:hAnsi="Times New Roman" w:cs="Times New Roman"/>
          <w:color w:val="000000" w:themeColor="text1"/>
          <w:shd w:val="clear" w:color="auto" w:fill="FFFFFF"/>
        </w:rPr>
        <w:t xml:space="preserve"> See also </w:t>
      </w:r>
      <w:r w:rsidR="00A67EA4" w:rsidRPr="00A24FE8">
        <w:rPr>
          <w:rFonts w:ascii="Times New Roman" w:hAnsi="Times New Roman" w:cs="Times New Roman"/>
          <w:i/>
          <w:iCs/>
          <w:color w:val="000000" w:themeColor="text1"/>
          <w:shd w:val="clear" w:color="auto" w:fill="FFFFFF"/>
        </w:rPr>
        <w:t>Mostert</w:t>
      </w:r>
      <w:r w:rsidR="00A67EA4">
        <w:rPr>
          <w:rFonts w:ascii="Times New Roman" w:hAnsi="Times New Roman" w:cs="Times New Roman"/>
          <w:color w:val="000000" w:themeColor="text1"/>
          <w:shd w:val="clear" w:color="auto" w:fill="FFFFFF"/>
        </w:rPr>
        <w:t xml:space="preserve"> </w:t>
      </w:r>
      <w:r w:rsidR="00A24FE8">
        <w:rPr>
          <w:rFonts w:ascii="Times New Roman" w:hAnsi="Times New Roman" w:cs="Times New Roman"/>
          <w:color w:val="000000" w:themeColor="text1"/>
          <w:shd w:val="clear" w:color="auto" w:fill="FFFFFF"/>
        </w:rPr>
        <w:t>at paras</w:t>
      </w:r>
      <w:r w:rsidR="00A67EA4">
        <w:rPr>
          <w:rFonts w:ascii="Times New Roman" w:hAnsi="Times New Roman" w:cs="Times New Roman"/>
          <w:color w:val="000000" w:themeColor="text1"/>
          <w:shd w:val="clear" w:color="auto" w:fill="FFFFFF"/>
        </w:rPr>
        <w:t xml:space="preserve"> </w:t>
      </w:r>
      <w:r w:rsidR="00A24FE8">
        <w:rPr>
          <w:rFonts w:ascii="Times New Roman" w:hAnsi="Times New Roman" w:cs="Times New Roman"/>
          <w:color w:val="000000" w:themeColor="text1"/>
          <w:shd w:val="clear" w:color="auto" w:fill="FFFFFF"/>
        </w:rPr>
        <w:t>[33] and [35].</w:t>
      </w:r>
    </w:p>
  </w:footnote>
  <w:footnote w:id="6">
    <w:p w:rsidR="00804CF9" w:rsidRPr="004C38FC" w:rsidRDefault="00804CF9">
      <w:pPr>
        <w:pStyle w:val="FootnoteText"/>
        <w:rPr>
          <w:rFonts w:ascii="Times New Roman" w:hAnsi="Times New Roman" w:cs="Times New Roman"/>
          <w:i/>
          <w:iCs/>
        </w:rPr>
      </w:pPr>
      <w:r w:rsidRPr="004C38FC">
        <w:rPr>
          <w:rStyle w:val="FootnoteReference"/>
          <w:rFonts w:ascii="Times New Roman" w:hAnsi="Times New Roman" w:cs="Times New Roman"/>
        </w:rPr>
        <w:footnoteRef/>
      </w:r>
      <w:r w:rsidRPr="004C38FC">
        <w:rPr>
          <w:rFonts w:ascii="Times New Roman" w:hAnsi="Times New Roman" w:cs="Times New Roman"/>
        </w:rPr>
        <w:t xml:space="preserve"> </w:t>
      </w:r>
      <w:r w:rsidRPr="004C38FC">
        <w:rPr>
          <w:rFonts w:ascii="Times New Roman" w:hAnsi="Times New Roman" w:cs="Times New Roman"/>
          <w:i/>
          <w:iCs/>
        </w:rPr>
        <w:t>Mostert</w:t>
      </w:r>
      <w:r w:rsidR="001A6786" w:rsidRPr="001A6786">
        <w:rPr>
          <w:i/>
          <w:iCs/>
          <w:color w:val="000000" w:themeColor="text1"/>
        </w:rPr>
        <w:t xml:space="preserve"> </w:t>
      </w:r>
      <w:r w:rsidR="001A6786" w:rsidRPr="001A6786">
        <w:rPr>
          <w:rFonts w:ascii="Times New Roman" w:hAnsi="Times New Roman" w:cs="Times New Roman"/>
          <w:i/>
          <w:iCs/>
          <w:color w:val="000000" w:themeColor="text1"/>
        </w:rPr>
        <w:t>NO v Registrar of Pension Funds and Others.</w:t>
      </w:r>
    </w:p>
  </w:footnote>
  <w:footnote w:id="7">
    <w:p w:rsidR="004C38FC" w:rsidRPr="00A24FE8" w:rsidRDefault="004C38FC" w:rsidP="004C38FC">
      <w:pPr>
        <w:pStyle w:val="FootnoteText"/>
        <w:rPr>
          <w:rFonts w:ascii="Times New Roman" w:hAnsi="Times New Roman" w:cs="Times New Roman"/>
        </w:rPr>
      </w:pPr>
      <w:r w:rsidRPr="00A24FE8">
        <w:rPr>
          <w:rStyle w:val="FootnoteReference"/>
          <w:rFonts w:ascii="Times New Roman" w:hAnsi="Times New Roman" w:cs="Times New Roman"/>
        </w:rPr>
        <w:footnoteRef/>
      </w:r>
      <w:r w:rsidRPr="00A24FE8">
        <w:rPr>
          <w:rFonts w:ascii="Times New Roman" w:hAnsi="Times New Roman" w:cs="Times New Roman"/>
        </w:rPr>
        <w:t xml:space="preserve"> </w:t>
      </w:r>
      <w:r w:rsidRPr="004C38FC">
        <w:rPr>
          <w:rFonts w:ascii="Times New Roman" w:hAnsi="Times New Roman" w:cs="Times New Roman"/>
          <w:i/>
          <w:iCs/>
          <w:color w:val="000000" w:themeColor="text1"/>
        </w:rPr>
        <w:t>Mostert</w:t>
      </w:r>
      <w:r w:rsidRPr="004C38FC">
        <w:rPr>
          <w:rFonts w:ascii="Times New Roman" w:hAnsi="Times New Roman" w:cs="Times New Roman"/>
          <w:color w:val="000000" w:themeColor="text1"/>
        </w:rPr>
        <w:t xml:space="preserve"> para 35, </w:t>
      </w:r>
      <w:r w:rsidRPr="004C38FC">
        <w:rPr>
          <w:rFonts w:ascii="Times New Roman" w:hAnsi="Times New Roman" w:cs="Times New Roman"/>
          <w:i/>
          <w:iCs/>
          <w:color w:val="000000" w:themeColor="text1"/>
          <w:shd w:val="clear" w:color="auto" w:fill="FFFFFF"/>
        </w:rPr>
        <w:t>Camps Bay Ratepayers’ and Residents’ Association &amp; another v Harrison &amp; Another</w:t>
      </w:r>
      <w:r w:rsidR="007001C5">
        <w:rPr>
          <w:rFonts w:ascii="Times New Roman" w:hAnsi="Times New Roman" w:cs="Times New Roman"/>
          <w:i/>
          <w:iCs/>
          <w:color w:val="000000" w:themeColor="text1"/>
          <w:shd w:val="clear" w:color="auto" w:fill="FFFFFF"/>
        </w:rPr>
        <w:t xml:space="preserve"> para 54</w:t>
      </w:r>
      <w:r w:rsidRPr="004C38FC">
        <w:rPr>
          <w:rFonts w:ascii="Times New Roman" w:hAnsi="Times New Roman" w:cs="Times New Roman"/>
          <w:i/>
          <w:iCs/>
          <w:color w:val="000000" w:themeColor="text1"/>
          <w:shd w:val="clear" w:color="auto" w:fill="FFFFFF"/>
        </w:rPr>
        <w:t>; Mamabolo</w:t>
      </w:r>
      <w:r w:rsidRPr="004C38FC">
        <w:rPr>
          <w:rFonts w:ascii="Times New Roman" w:hAnsi="Times New Roman" w:cs="Times New Roman"/>
          <w:color w:val="000000" w:themeColor="text1"/>
          <w:shd w:val="clear" w:color="auto" w:fill="FFFFFF"/>
        </w:rPr>
        <w:t> </w:t>
      </w:r>
      <w:r w:rsidRPr="004C38FC">
        <w:rPr>
          <w:rFonts w:ascii="Times New Roman" w:hAnsi="Times New Roman" w:cs="Times New Roman"/>
          <w:i/>
          <w:iCs/>
          <w:color w:val="000000" w:themeColor="text1"/>
          <w:shd w:val="clear" w:color="auto" w:fill="FFFFFF"/>
        </w:rPr>
        <w:t>v Rustenburg Regional Local Council</w:t>
      </w:r>
      <w:r w:rsidRPr="004C38FC">
        <w:rPr>
          <w:rFonts w:ascii="Times New Roman" w:hAnsi="Times New Roman" w:cs="Times New Roman"/>
          <w:color w:val="000000" w:themeColor="text1"/>
          <w:shd w:val="clear" w:color="auto" w:fill="FFFFFF"/>
        </w:rPr>
        <w:t> </w:t>
      </w:r>
      <w:hyperlink r:id="rId2" w:tooltip="View Case" w:history="1">
        <w:r w:rsidRPr="004C38FC">
          <w:rPr>
            <w:rStyle w:val="Hyperlink"/>
            <w:rFonts w:ascii="Times New Roman" w:hAnsi="Times New Roman" w:cs="Times New Roman"/>
            <w:color w:val="000000" w:themeColor="text1"/>
            <w:u w:val="none"/>
            <w:shd w:val="clear" w:color="auto" w:fill="FFFFFF"/>
          </w:rPr>
          <w:t>[2000] ZASCA 133</w:t>
        </w:r>
      </w:hyperlink>
      <w:r w:rsidRPr="004C38FC">
        <w:rPr>
          <w:rFonts w:ascii="Times New Roman" w:hAnsi="Times New Roman" w:cs="Times New Roman"/>
          <w:color w:val="000000" w:themeColor="text1"/>
          <w:shd w:val="clear" w:color="auto" w:fill="FFFFFF"/>
        </w:rPr>
        <w:t>; </w:t>
      </w:r>
      <w:hyperlink r:id="rId3" w:tooltip="View LawCiteRecord" w:history="1">
        <w:r w:rsidRPr="004C38FC">
          <w:rPr>
            <w:rStyle w:val="Hyperlink"/>
            <w:rFonts w:ascii="Times New Roman" w:hAnsi="Times New Roman" w:cs="Times New Roman"/>
            <w:color w:val="000000" w:themeColor="text1"/>
            <w:u w:val="none"/>
            <w:shd w:val="clear" w:color="auto" w:fill="FFFFFF"/>
          </w:rPr>
          <w:t>2001 (1) SA 135</w:t>
        </w:r>
      </w:hyperlink>
      <w:r w:rsidRPr="004C38FC">
        <w:rPr>
          <w:rFonts w:ascii="Times New Roman" w:hAnsi="Times New Roman" w:cs="Times New Roman"/>
          <w:color w:val="000000" w:themeColor="text1"/>
          <w:shd w:val="clear" w:color="auto" w:fill="FFFFFF"/>
        </w:rPr>
        <w:t> (SCA) para 10.</w:t>
      </w:r>
    </w:p>
  </w:footnote>
  <w:footnote w:id="8">
    <w:p w:rsidR="00EE2810" w:rsidRDefault="00EE2810" w:rsidP="00EE2810">
      <w:pPr>
        <w:pStyle w:val="Heading2"/>
        <w:shd w:val="clear" w:color="auto" w:fill="FFFFFF"/>
        <w:spacing w:before="240" w:beforeAutospacing="0" w:after="180" w:afterAutospacing="0"/>
        <w:jc w:val="both"/>
        <w:rPr>
          <w:rFonts w:ascii="Arial" w:hAnsi="Arial" w:cs="Arial"/>
          <w:b w:val="0"/>
          <w:bCs w:val="0"/>
          <w:color w:val="64473A"/>
        </w:rPr>
      </w:pPr>
      <w:r w:rsidRPr="00A23548">
        <w:rPr>
          <w:rStyle w:val="FootnoteReference"/>
          <w:b w:val="0"/>
          <w:bCs w:val="0"/>
          <w:color w:val="000000" w:themeColor="text1"/>
          <w:sz w:val="20"/>
          <w:szCs w:val="20"/>
        </w:rPr>
        <w:footnoteRef/>
      </w:r>
      <w:r w:rsidRPr="00A23548">
        <w:rPr>
          <w:b w:val="0"/>
          <w:bCs w:val="0"/>
          <w:color w:val="000000" w:themeColor="text1"/>
          <w:sz w:val="20"/>
          <w:szCs w:val="20"/>
        </w:rPr>
        <w:t xml:space="preserve"> </w:t>
      </w:r>
      <w:r w:rsidRPr="00D8096B">
        <w:rPr>
          <w:b w:val="0"/>
          <w:bCs w:val="0"/>
          <w:color w:val="000000" w:themeColor="text1"/>
          <w:sz w:val="20"/>
          <w:szCs w:val="20"/>
        </w:rPr>
        <w:t xml:space="preserve">See </w:t>
      </w:r>
      <w:r w:rsidRPr="00D8096B">
        <w:rPr>
          <w:b w:val="0"/>
          <w:bCs w:val="0"/>
          <w:i/>
          <w:iCs/>
          <w:color w:val="000000" w:themeColor="text1"/>
          <w:sz w:val="20"/>
          <w:szCs w:val="20"/>
        </w:rPr>
        <w:t xml:space="preserve">A Penglides (Pty) Ltd and Another v Minister of Agriculture, Forestry and Fisheries and Another </w:t>
      </w:r>
      <w:r w:rsidRPr="00D8096B">
        <w:rPr>
          <w:b w:val="0"/>
          <w:bCs w:val="0"/>
          <w:color w:val="000000" w:themeColor="text1"/>
          <w:sz w:val="20"/>
          <w:szCs w:val="20"/>
        </w:rPr>
        <w:t xml:space="preserve">(298/2021) [2022] ZASCA 74; 2022 (5) SA 401 (SCA) (26 May 2022) paras 18 and 34; </w:t>
      </w:r>
      <w:r w:rsidRPr="00D8096B">
        <w:rPr>
          <w:b w:val="0"/>
          <w:bCs w:val="0"/>
          <w:i/>
          <w:iCs/>
          <w:color w:val="000000" w:themeColor="text1"/>
          <w:sz w:val="20"/>
          <w:szCs w:val="20"/>
        </w:rPr>
        <w:t>Premier, Gauteng and Others v Democratic Alliance and Others; All Tshwane Councillors who are Members of the Economic Freedom Fighters and Another v Democratic Alliance and Others; African National Congress v Democratic Alliance and Others</w:t>
      </w:r>
      <w:r w:rsidRPr="00D8096B">
        <w:rPr>
          <w:b w:val="0"/>
          <w:bCs w:val="0"/>
          <w:color w:val="000000" w:themeColor="text1"/>
          <w:sz w:val="20"/>
          <w:szCs w:val="20"/>
        </w:rPr>
        <w:t xml:space="preserve"> [2021] ZACC 34; 2021 (12) BCLR 1406 (CC) ; 2022 (1) SA 16 (CC) paras 217 -219.</w:t>
      </w:r>
    </w:p>
    <w:p w:rsidR="00EE2810" w:rsidRPr="00A23548" w:rsidRDefault="00EE2810" w:rsidP="00EE2810">
      <w:pPr>
        <w:pStyle w:val="Heading2"/>
        <w:shd w:val="clear" w:color="auto" w:fill="FFFFFF"/>
        <w:spacing w:before="240" w:beforeAutospacing="0" w:after="180" w:afterAutospacing="0"/>
        <w:rPr>
          <w:b w:val="0"/>
          <w:bCs w:val="0"/>
          <w:color w:val="000000" w:themeColor="text1"/>
          <w:sz w:val="20"/>
          <w:szCs w:val="20"/>
        </w:rPr>
      </w:pPr>
    </w:p>
    <w:p w:rsidR="00EE2810" w:rsidRDefault="00EE2810" w:rsidP="00EE2810">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7623190"/>
      <w:docPartObj>
        <w:docPartGallery w:val="Page Numbers (Top of Page)"/>
        <w:docPartUnique/>
      </w:docPartObj>
    </w:sdtPr>
    <w:sdtEndPr>
      <w:rPr>
        <w:noProof/>
      </w:rPr>
    </w:sdtEndPr>
    <w:sdtContent>
      <w:p w:rsidR="00157EB5" w:rsidRDefault="00157EB5">
        <w:pPr>
          <w:pStyle w:val="Header"/>
          <w:jc w:val="right"/>
        </w:pPr>
        <w:r>
          <w:fldChar w:fldCharType="begin"/>
        </w:r>
        <w:r>
          <w:instrText xml:space="preserve"> PAGE   \* MERGEFORMAT </w:instrText>
        </w:r>
        <w:r>
          <w:fldChar w:fldCharType="separate"/>
        </w:r>
        <w:r w:rsidR="00B75FD6">
          <w:rPr>
            <w:noProof/>
          </w:rPr>
          <w:t>2</w:t>
        </w:r>
        <w:r>
          <w:rPr>
            <w:noProof/>
          </w:rPr>
          <w:fldChar w:fldCharType="end"/>
        </w:r>
      </w:p>
    </w:sdtContent>
  </w:sdt>
  <w:p w:rsidR="00157EB5" w:rsidRDefault="00157EB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AA3525"/>
    <w:multiLevelType w:val="hybridMultilevel"/>
    <w:tmpl w:val="0A2C91C4"/>
    <w:lvl w:ilvl="0" w:tplc="80385E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EF27E9F"/>
    <w:multiLevelType w:val="hybridMultilevel"/>
    <w:tmpl w:val="9EB05A48"/>
    <w:lvl w:ilvl="0" w:tplc="F6A4AF4E">
      <w:start w:val="1"/>
      <w:numFmt w:val="decimal"/>
      <w:lvlText w:val="[%1]"/>
      <w:lvlJc w:val="center"/>
      <w:pPr>
        <w:ind w:left="720" w:hanging="360"/>
      </w:pPr>
      <w:rPr>
        <w:rFonts w:ascii="Times New Roman" w:hAnsi="Times New Roman" w:cs="Times New Roman" w:hint="default"/>
        <w:i w:val="0"/>
        <w:sz w:val="26"/>
        <w:szCs w:val="2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CD71C5"/>
    <w:multiLevelType w:val="hybridMultilevel"/>
    <w:tmpl w:val="6660CF62"/>
    <w:lvl w:ilvl="0" w:tplc="75D2593A">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5F6B06"/>
    <w:multiLevelType w:val="hybridMultilevel"/>
    <w:tmpl w:val="55B2F5CC"/>
    <w:lvl w:ilvl="0" w:tplc="537072E0">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C88712C"/>
    <w:multiLevelType w:val="multilevel"/>
    <w:tmpl w:val="A87C4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0B92A7A"/>
    <w:multiLevelType w:val="multilevel"/>
    <w:tmpl w:val="A87C4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 w:numId="5">
    <w:abstractNumId w:val="5"/>
    <w:lvlOverride w:ilvl="0">
      <w:startOverride w:val="7"/>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689"/>
    <w:rsid w:val="00002B45"/>
    <w:rsid w:val="00016112"/>
    <w:rsid w:val="00017FB8"/>
    <w:rsid w:val="00040F37"/>
    <w:rsid w:val="000612E4"/>
    <w:rsid w:val="000C52D1"/>
    <w:rsid w:val="000C5C35"/>
    <w:rsid w:val="000F0B0C"/>
    <w:rsid w:val="00101D4A"/>
    <w:rsid w:val="00117EF7"/>
    <w:rsid w:val="00134E24"/>
    <w:rsid w:val="00155C14"/>
    <w:rsid w:val="0015612F"/>
    <w:rsid w:val="00157EB5"/>
    <w:rsid w:val="00172EB5"/>
    <w:rsid w:val="001A6786"/>
    <w:rsid w:val="002336B1"/>
    <w:rsid w:val="00234DE1"/>
    <w:rsid w:val="00235EB2"/>
    <w:rsid w:val="00245EAD"/>
    <w:rsid w:val="00257E35"/>
    <w:rsid w:val="002B1E93"/>
    <w:rsid w:val="002B7E62"/>
    <w:rsid w:val="002E1D5D"/>
    <w:rsid w:val="002E24B4"/>
    <w:rsid w:val="002F21D0"/>
    <w:rsid w:val="002F3D94"/>
    <w:rsid w:val="00303B3B"/>
    <w:rsid w:val="00312E08"/>
    <w:rsid w:val="00314CC1"/>
    <w:rsid w:val="00335500"/>
    <w:rsid w:val="00353769"/>
    <w:rsid w:val="003744F9"/>
    <w:rsid w:val="003940E3"/>
    <w:rsid w:val="00397841"/>
    <w:rsid w:val="003C1B89"/>
    <w:rsid w:val="003C7304"/>
    <w:rsid w:val="003F3ED7"/>
    <w:rsid w:val="0042328C"/>
    <w:rsid w:val="00425D88"/>
    <w:rsid w:val="004665F7"/>
    <w:rsid w:val="004748ED"/>
    <w:rsid w:val="00475FC1"/>
    <w:rsid w:val="004819CB"/>
    <w:rsid w:val="004866B9"/>
    <w:rsid w:val="00491739"/>
    <w:rsid w:val="004B335A"/>
    <w:rsid w:val="004C24F2"/>
    <w:rsid w:val="004C38FC"/>
    <w:rsid w:val="004D6A42"/>
    <w:rsid w:val="004E561D"/>
    <w:rsid w:val="00501EF9"/>
    <w:rsid w:val="00512911"/>
    <w:rsid w:val="00513170"/>
    <w:rsid w:val="00517B76"/>
    <w:rsid w:val="00521D09"/>
    <w:rsid w:val="00533CCE"/>
    <w:rsid w:val="00573AA7"/>
    <w:rsid w:val="00590BC1"/>
    <w:rsid w:val="005C524D"/>
    <w:rsid w:val="005D54EE"/>
    <w:rsid w:val="005E736B"/>
    <w:rsid w:val="005E7B2C"/>
    <w:rsid w:val="005F1F4D"/>
    <w:rsid w:val="00604341"/>
    <w:rsid w:val="006275EC"/>
    <w:rsid w:val="0063092E"/>
    <w:rsid w:val="00635698"/>
    <w:rsid w:val="006556FF"/>
    <w:rsid w:val="00666BAD"/>
    <w:rsid w:val="006A2682"/>
    <w:rsid w:val="006E1010"/>
    <w:rsid w:val="007001C5"/>
    <w:rsid w:val="0073176C"/>
    <w:rsid w:val="00732743"/>
    <w:rsid w:val="00787B11"/>
    <w:rsid w:val="007901C3"/>
    <w:rsid w:val="00790FDB"/>
    <w:rsid w:val="007A4818"/>
    <w:rsid w:val="007D11EC"/>
    <w:rsid w:val="007D3B56"/>
    <w:rsid w:val="007D6A04"/>
    <w:rsid w:val="007E054C"/>
    <w:rsid w:val="00804CF9"/>
    <w:rsid w:val="00814581"/>
    <w:rsid w:val="00823C51"/>
    <w:rsid w:val="00833B05"/>
    <w:rsid w:val="00851223"/>
    <w:rsid w:val="0085218A"/>
    <w:rsid w:val="008531C3"/>
    <w:rsid w:val="008618B9"/>
    <w:rsid w:val="0087252C"/>
    <w:rsid w:val="0088070C"/>
    <w:rsid w:val="0088610D"/>
    <w:rsid w:val="00890934"/>
    <w:rsid w:val="008C22CC"/>
    <w:rsid w:val="008D2446"/>
    <w:rsid w:val="008D5ECF"/>
    <w:rsid w:val="008E359C"/>
    <w:rsid w:val="00935DC9"/>
    <w:rsid w:val="009461D0"/>
    <w:rsid w:val="009541D2"/>
    <w:rsid w:val="00976F03"/>
    <w:rsid w:val="009A2A65"/>
    <w:rsid w:val="009C39F5"/>
    <w:rsid w:val="009D58D7"/>
    <w:rsid w:val="009E26C1"/>
    <w:rsid w:val="009E435F"/>
    <w:rsid w:val="00A124A5"/>
    <w:rsid w:val="00A17880"/>
    <w:rsid w:val="00A20BA2"/>
    <w:rsid w:val="00A23548"/>
    <w:rsid w:val="00A24FE8"/>
    <w:rsid w:val="00A26681"/>
    <w:rsid w:val="00A27B67"/>
    <w:rsid w:val="00A34C15"/>
    <w:rsid w:val="00A428CF"/>
    <w:rsid w:val="00A44DD2"/>
    <w:rsid w:val="00A479ED"/>
    <w:rsid w:val="00A52934"/>
    <w:rsid w:val="00A67EA4"/>
    <w:rsid w:val="00B00B94"/>
    <w:rsid w:val="00B0313A"/>
    <w:rsid w:val="00B05083"/>
    <w:rsid w:val="00B21C23"/>
    <w:rsid w:val="00B34E92"/>
    <w:rsid w:val="00B752F2"/>
    <w:rsid w:val="00B75FD6"/>
    <w:rsid w:val="00B844C6"/>
    <w:rsid w:val="00B86A36"/>
    <w:rsid w:val="00BB3021"/>
    <w:rsid w:val="00BB4FA9"/>
    <w:rsid w:val="00BB6EC0"/>
    <w:rsid w:val="00C13FF1"/>
    <w:rsid w:val="00C20D65"/>
    <w:rsid w:val="00C2387D"/>
    <w:rsid w:val="00C47FF5"/>
    <w:rsid w:val="00C5223A"/>
    <w:rsid w:val="00C60DF9"/>
    <w:rsid w:val="00C73AC7"/>
    <w:rsid w:val="00C74B73"/>
    <w:rsid w:val="00C87449"/>
    <w:rsid w:val="00C96456"/>
    <w:rsid w:val="00D000DB"/>
    <w:rsid w:val="00D258DA"/>
    <w:rsid w:val="00D33483"/>
    <w:rsid w:val="00D45A9D"/>
    <w:rsid w:val="00D46C60"/>
    <w:rsid w:val="00D51C51"/>
    <w:rsid w:val="00D8096B"/>
    <w:rsid w:val="00D875E8"/>
    <w:rsid w:val="00D90912"/>
    <w:rsid w:val="00DA2DF9"/>
    <w:rsid w:val="00DE0C4A"/>
    <w:rsid w:val="00DE7E05"/>
    <w:rsid w:val="00E31695"/>
    <w:rsid w:val="00E411B9"/>
    <w:rsid w:val="00E44539"/>
    <w:rsid w:val="00EE2810"/>
    <w:rsid w:val="00EE4687"/>
    <w:rsid w:val="00F14040"/>
    <w:rsid w:val="00F32D4B"/>
    <w:rsid w:val="00F6066D"/>
    <w:rsid w:val="00F73FC5"/>
    <w:rsid w:val="00F916A6"/>
    <w:rsid w:val="00FA4773"/>
    <w:rsid w:val="00FB4689"/>
    <w:rsid w:val="00FE5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CB6C65-6892-0F42-8839-539998303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E62"/>
    <w:pPr>
      <w:spacing w:after="0" w:line="240" w:lineRule="auto"/>
    </w:pPr>
    <w:rPr>
      <w:rFonts w:ascii="Times New Roman" w:eastAsia="Times New Roman" w:hAnsi="Times New Roman" w:cs="Times New Roman"/>
      <w:kern w:val="0"/>
      <w:sz w:val="24"/>
      <w:szCs w:val="24"/>
      <w:lang w:val="en-ZA" w:eastAsia="en-GB"/>
      <w14:ligatures w14:val="none"/>
    </w:rPr>
  </w:style>
  <w:style w:type="paragraph" w:styleId="Heading2">
    <w:name w:val="heading 2"/>
    <w:basedOn w:val="Normal"/>
    <w:link w:val="Heading2Char"/>
    <w:uiPriority w:val="9"/>
    <w:qFormat/>
    <w:rsid w:val="00804CF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E054C"/>
    <w:pPr>
      <w:spacing w:after="160" w:line="259" w:lineRule="auto"/>
      <w:ind w:left="720"/>
      <w:contextualSpacing/>
    </w:pPr>
    <w:rPr>
      <w:rFonts w:asciiTheme="minorHAnsi" w:eastAsiaTheme="minorEastAsia" w:hAnsiTheme="minorHAnsi" w:cstheme="minorBidi"/>
      <w:kern w:val="2"/>
      <w:sz w:val="22"/>
      <w:szCs w:val="22"/>
      <w:lang w:val="en-US" w:eastAsia="en-US"/>
      <w14:ligatures w14:val="standardContextual"/>
    </w:rPr>
  </w:style>
  <w:style w:type="paragraph" w:styleId="FootnoteText">
    <w:name w:val="footnote text"/>
    <w:basedOn w:val="Normal"/>
    <w:link w:val="FootnoteTextChar"/>
    <w:uiPriority w:val="99"/>
    <w:semiHidden/>
    <w:unhideWhenUsed/>
    <w:rsid w:val="00A124A5"/>
    <w:rPr>
      <w:rFonts w:asciiTheme="minorHAnsi" w:eastAsiaTheme="minorEastAsia" w:hAnsiTheme="minorHAnsi" w:cstheme="minorBidi"/>
      <w:kern w:val="2"/>
      <w:sz w:val="20"/>
      <w:szCs w:val="20"/>
      <w:lang w:val="en-US" w:eastAsia="en-US"/>
      <w14:ligatures w14:val="standardContextual"/>
    </w:rPr>
  </w:style>
  <w:style w:type="character" w:customStyle="1" w:styleId="FootnoteTextChar">
    <w:name w:val="Footnote Text Char"/>
    <w:basedOn w:val="DefaultParagraphFont"/>
    <w:link w:val="FootnoteText"/>
    <w:uiPriority w:val="99"/>
    <w:semiHidden/>
    <w:rsid w:val="00A124A5"/>
    <w:rPr>
      <w:sz w:val="20"/>
      <w:szCs w:val="20"/>
    </w:rPr>
  </w:style>
  <w:style w:type="character" w:styleId="FootnoteReference">
    <w:name w:val="footnote reference"/>
    <w:basedOn w:val="DefaultParagraphFont"/>
    <w:uiPriority w:val="99"/>
    <w:semiHidden/>
    <w:unhideWhenUsed/>
    <w:rsid w:val="00A124A5"/>
    <w:rPr>
      <w:vertAlign w:val="superscript"/>
    </w:rPr>
  </w:style>
  <w:style w:type="paragraph" w:styleId="Header">
    <w:name w:val="header"/>
    <w:basedOn w:val="Normal"/>
    <w:link w:val="HeaderChar"/>
    <w:uiPriority w:val="99"/>
    <w:unhideWhenUsed/>
    <w:rsid w:val="00157EB5"/>
    <w:pPr>
      <w:tabs>
        <w:tab w:val="center" w:pos="4680"/>
        <w:tab w:val="right" w:pos="9360"/>
      </w:tabs>
    </w:pPr>
    <w:rPr>
      <w:rFonts w:asciiTheme="minorHAnsi" w:eastAsiaTheme="minorEastAsia" w:hAnsiTheme="minorHAnsi" w:cstheme="minorBidi"/>
      <w:kern w:val="2"/>
      <w:sz w:val="22"/>
      <w:szCs w:val="22"/>
      <w:lang w:val="en-US" w:eastAsia="en-US"/>
      <w14:ligatures w14:val="standardContextual"/>
    </w:rPr>
  </w:style>
  <w:style w:type="character" w:customStyle="1" w:styleId="HeaderChar">
    <w:name w:val="Header Char"/>
    <w:basedOn w:val="DefaultParagraphFont"/>
    <w:link w:val="Header"/>
    <w:uiPriority w:val="99"/>
    <w:rsid w:val="00157EB5"/>
  </w:style>
  <w:style w:type="paragraph" w:styleId="Footer">
    <w:name w:val="footer"/>
    <w:basedOn w:val="Normal"/>
    <w:link w:val="FooterChar"/>
    <w:uiPriority w:val="99"/>
    <w:unhideWhenUsed/>
    <w:rsid w:val="00157EB5"/>
    <w:pPr>
      <w:tabs>
        <w:tab w:val="center" w:pos="4680"/>
        <w:tab w:val="right" w:pos="9360"/>
      </w:tabs>
    </w:pPr>
    <w:rPr>
      <w:rFonts w:asciiTheme="minorHAnsi" w:eastAsiaTheme="minorEastAsia" w:hAnsiTheme="minorHAnsi" w:cstheme="minorBidi"/>
      <w:kern w:val="2"/>
      <w:sz w:val="22"/>
      <w:szCs w:val="22"/>
      <w:lang w:val="en-US" w:eastAsia="en-US"/>
      <w14:ligatures w14:val="standardContextual"/>
    </w:rPr>
  </w:style>
  <w:style w:type="character" w:customStyle="1" w:styleId="FooterChar">
    <w:name w:val="Footer Char"/>
    <w:basedOn w:val="DefaultParagraphFont"/>
    <w:link w:val="Footer"/>
    <w:uiPriority w:val="99"/>
    <w:rsid w:val="00157EB5"/>
  </w:style>
  <w:style w:type="paragraph" w:styleId="BalloonText">
    <w:name w:val="Balloon Text"/>
    <w:basedOn w:val="Normal"/>
    <w:link w:val="BalloonTextChar"/>
    <w:uiPriority w:val="99"/>
    <w:semiHidden/>
    <w:unhideWhenUsed/>
    <w:rsid w:val="00B86A36"/>
    <w:rPr>
      <w:rFonts w:ascii="Segoe UI" w:eastAsiaTheme="minorEastAsia" w:hAnsi="Segoe UI" w:cs="Segoe UI"/>
      <w:kern w:val="2"/>
      <w:sz w:val="18"/>
      <w:szCs w:val="18"/>
      <w:lang w:val="en-US" w:eastAsia="en-US"/>
      <w14:ligatures w14:val="standardContextual"/>
    </w:rPr>
  </w:style>
  <w:style w:type="character" w:customStyle="1" w:styleId="BalloonTextChar">
    <w:name w:val="Balloon Text Char"/>
    <w:basedOn w:val="DefaultParagraphFont"/>
    <w:link w:val="BalloonText"/>
    <w:uiPriority w:val="99"/>
    <w:semiHidden/>
    <w:rsid w:val="00B86A36"/>
    <w:rPr>
      <w:rFonts w:ascii="Segoe UI" w:hAnsi="Segoe UI" w:cs="Segoe UI"/>
      <w:sz w:val="18"/>
      <w:szCs w:val="18"/>
    </w:rPr>
  </w:style>
  <w:style w:type="paragraph" w:styleId="NormalWeb">
    <w:name w:val="Normal (Web)"/>
    <w:basedOn w:val="Normal"/>
    <w:uiPriority w:val="99"/>
    <w:unhideWhenUsed/>
    <w:rsid w:val="007D6A04"/>
    <w:pPr>
      <w:spacing w:before="100" w:beforeAutospacing="1" w:after="100" w:afterAutospacing="1"/>
    </w:pPr>
  </w:style>
  <w:style w:type="character" w:customStyle="1" w:styleId="Heading2Char">
    <w:name w:val="Heading 2 Char"/>
    <w:basedOn w:val="DefaultParagraphFont"/>
    <w:link w:val="Heading2"/>
    <w:uiPriority w:val="9"/>
    <w:rsid w:val="00804CF9"/>
    <w:rPr>
      <w:rFonts w:ascii="Times New Roman" w:eastAsia="Times New Roman" w:hAnsi="Times New Roman" w:cs="Times New Roman"/>
      <w:b/>
      <w:bCs/>
      <w:kern w:val="0"/>
      <w:sz w:val="36"/>
      <w:szCs w:val="36"/>
      <w:lang w:val="en-ZA" w:eastAsia="en-GB"/>
      <w14:ligatures w14:val="none"/>
    </w:rPr>
  </w:style>
  <w:style w:type="character" w:styleId="Hyperlink">
    <w:name w:val="Hyperlink"/>
    <w:basedOn w:val="DefaultParagraphFont"/>
    <w:uiPriority w:val="99"/>
    <w:semiHidden/>
    <w:unhideWhenUsed/>
    <w:rsid w:val="000F0B0C"/>
    <w:rPr>
      <w:color w:val="0000FF"/>
      <w:u w:val="single"/>
    </w:rPr>
  </w:style>
  <w:style w:type="character" w:customStyle="1" w:styleId="ListParagraphChar">
    <w:name w:val="List Paragraph Char"/>
    <w:link w:val="ListParagraph"/>
    <w:uiPriority w:val="34"/>
    <w:locked/>
    <w:rsid w:val="004B335A"/>
  </w:style>
  <w:style w:type="paragraph" w:customStyle="1" w:styleId="western">
    <w:name w:val="western"/>
    <w:basedOn w:val="Normal"/>
    <w:rsid w:val="004B335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51459">
      <w:bodyDiv w:val="1"/>
      <w:marLeft w:val="0"/>
      <w:marRight w:val="0"/>
      <w:marTop w:val="0"/>
      <w:marBottom w:val="0"/>
      <w:divBdr>
        <w:top w:val="none" w:sz="0" w:space="0" w:color="auto"/>
        <w:left w:val="none" w:sz="0" w:space="0" w:color="auto"/>
        <w:bottom w:val="none" w:sz="0" w:space="0" w:color="auto"/>
        <w:right w:val="none" w:sz="0" w:space="0" w:color="auto"/>
      </w:divBdr>
    </w:div>
    <w:div w:id="894394658">
      <w:bodyDiv w:val="1"/>
      <w:marLeft w:val="0"/>
      <w:marRight w:val="0"/>
      <w:marTop w:val="0"/>
      <w:marBottom w:val="0"/>
      <w:divBdr>
        <w:top w:val="none" w:sz="0" w:space="0" w:color="auto"/>
        <w:left w:val="none" w:sz="0" w:space="0" w:color="auto"/>
        <w:bottom w:val="none" w:sz="0" w:space="0" w:color="auto"/>
        <w:right w:val="none" w:sz="0" w:space="0" w:color="auto"/>
      </w:divBdr>
    </w:div>
    <w:div w:id="1034043621">
      <w:bodyDiv w:val="1"/>
      <w:marLeft w:val="0"/>
      <w:marRight w:val="0"/>
      <w:marTop w:val="0"/>
      <w:marBottom w:val="0"/>
      <w:divBdr>
        <w:top w:val="none" w:sz="0" w:space="0" w:color="auto"/>
        <w:left w:val="none" w:sz="0" w:space="0" w:color="auto"/>
        <w:bottom w:val="none" w:sz="0" w:space="0" w:color="auto"/>
        <w:right w:val="none" w:sz="0" w:space="0" w:color="auto"/>
      </w:divBdr>
    </w:div>
    <w:div w:id="1116562669">
      <w:bodyDiv w:val="1"/>
      <w:marLeft w:val="0"/>
      <w:marRight w:val="0"/>
      <w:marTop w:val="0"/>
      <w:marBottom w:val="0"/>
      <w:divBdr>
        <w:top w:val="none" w:sz="0" w:space="0" w:color="auto"/>
        <w:left w:val="none" w:sz="0" w:space="0" w:color="auto"/>
        <w:bottom w:val="none" w:sz="0" w:space="0" w:color="auto"/>
        <w:right w:val="none" w:sz="0" w:space="0" w:color="auto"/>
      </w:divBdr>
    </w:div>
    <w:div w:id="1205291644">
      <w:bodyDiv w:val="1"/>
      <w:marLeft w:val="0"/>
      <w:marRight w:val="0"/>
      <w:marTop w:val="0"/>
      <w:marBottom w:val="0"/>
      <w:divBdr>
        <w:top w:val="none" w:sz="0" w:space="0" w:color="auto"/>
        <w:left w:val="none" w:sz="0" w:space="0" w:color="auto"/>
        <w:bottom w:val="none" w:sz="0" w:space="0" w:color="auto"/>
        <w:right w:val="none" w:sz="0" w:space="0" w:color="auto"/>
      </w:divBdr>
    </w:div>
    <w:div w:id="1347559490">
      <w:bodyDiv w:val="1"/>
      <w:marLeft w:val="0"/>
      <w:marRight w:val="0"/>
      <w:marTop w:val="0"/>
      <w:marBottom w:val="0"/>
      <w:divBdr>
        <w:top w:val="none" w:sz="0" w:space="0" w:color="auto"/>
        <w:left w:val="none" w:sz="0" w:space="0" w:color="auto"/>
        <w:bottom w:val="none" w:sz="0" w:space="0" w:color="auto"/>
        <w:right w:val="none" w:sz="0" w:space="0" w:color="auto"/>
      </w:divBdr>
    </w:div>
    <w:div w:id="1430587124">
      <w:bodyDiv w:val="1"/>
      <w:marLeft w:val="0"/>
      <w:marRight w:val="0"/>
      <w:marTop w:val="0"/>
      <w:marBottom w:val="0"/>
      <w:divBdr>
        <w:top w:val="none" w:sz="0" w:space="0" w:color="auto"/>
        <w:left w:val="none" w:sz="0" w:space="0" w:color="auto"/>
        <w:bottom w:val="none" w:sz="0" w:space="0" w:color="auto"/>
        <w:right w:val="none" w:sz="0" w:space="0" w:color="auto"/>
      </w:divBdr>
    </w:div>
    <w:div w:id="1521167734">
      <w:bodyDiv w:val="1"/>
      <w:marLeft w:val="0"/>
      <w:marRight w:val="0"/>
      <w:marTop w:val="0"/>
      <w:marBottom w:val="0"/>
      <w:divBdr>
        <w:top w:val="none" w:sz="0" w:space="0" w:color="auto"/>
        <w:left w:val="none" w:sz="0" w:space="0" w:color="auto"/>
        <w:bottom w:val="none" w:sz="0" w:space="0" w:color="auto"/>
        <w:right w:val="none" w:sz="0" w:space="0" w:color="auto"/>
      </w:divBdr>
    </w:div>
    <w:div w:id="169588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saflii.org/cgi-bin/LawCite?cit=2001%20%281%29%20SA%20135" TargetMode="External"/><Relationship Id="rId2" Type="http://schemas.openxmlformats.org/officeDocument/2006/relationships/hyperlink" Target="http://www.saflii.org/za/cases/ZASCA/2000/133.html" TargetMode="External"/><Relationship Id="rId1" Type="http://schemas.openxmlformats.org/officeDocument/2006/relationships/hyperlink" Target="http://www.saflii.org/cgi-bin/LawCite?cit=2011%20%284%29%20SA%20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FF1A7EACE33B4EB30F22B47D7B9BA8" ma:contentTypeVersion="15" ma:contentTypeDescription="Create a new document." ma:contentTypeScope="" ma:versionID="543ebc371ea95544bcf5d68a7d11ff8c">
  <xsd:schema xmlns:xsd="http://www.w3.org/2001/XMLSchema" xmlns:xs="http://www.w3.org/2001/XMLSchema" xmlns:p="http://schemas.microsoft.com/office/2006/metadata/properties" xmlns:ns3="174cfbbd-a4b3-405f-949d-96311ae9159c" xmlns:ns4="51d8eaa0-293e-4b49-b7e8-af3655085324" targetNamespace="http://schemas.microsoft.com/office/2006/metadata/properties" ma:root="true" ma:fieldsID="ff31a7502805f8a80e02514c90636276" ns3:_="" ns4:_="">
    <xsd:import namespace="174cfbbd-a4b3-405f-949d-96311ae9159c"/>
    <xsd:import namespace="51d8eaa0-293e-4b49-b7e8-af365508532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4cfbbd-a4b3-405f-949d-96311ae9159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d8eaa0-293e-4b49-b7e8-af365508532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51d8eaa0-293e-4b49-b7e8-af365508532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0042C0F-168E-4C99-A5B6-86FDDC752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4cfbbd-a4b3-405f-949d-96311ae9159c"/>
    <ds:schemaRef ds:uri="51d8eaa0-293e-4b49-b7e8-af36550853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9E8566-223E-4E0D-A59A-435394007591}">
  <ds:schemaRefs>
    <ds:schemaRef ds:uri="http://schemas.microsoft.com/office/2006/metadata/properties"/>
    <ds:schemaRef ds:uri="http://schemas.microsoft.com/office/infopath/2007/PartnerControls"/>
    <ds:schemaRef ds:uri="51d8eaa0-293e-4b49-b7e8-af3655085324"/>
  </ds:schemaRefs>
</ds:datastoreItem>
</file>

<file path=customXml/itemProps3.xml><?xml version="1.0" encoding="utf-8"?>
<ds:datastoreItem xmlns:ds="http://schemas.openxmlformats.org/officeDocument/2006/customXml" ds:itemID="{1DB22539-DFEC-4C01-BB5E-E117C89C9BB6}">
  <ds:schemaRefs>
    <ds:schemaRef ds:uri="http://schemas.microsoft.com/sharepoint/v3/contenttype/forms"/>
  </ds:schemaRefs>
</ds:datastoreItem>
</file>

<file path=customXml/itemProps4.xml><?xml version="1.0" encoding="utf-8"?>
<ds:datastoreItem xmlns:ds="http://schemas.openxmlformats.org/officeDocument/2006/customXml" ds:itemID="{01F57120-84EC-4A74-A361-7D958825A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3269</Words>
  <Characters>18639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chantalgusha@gmail.com</dc:creator>
  <cp:keywords/>
  <dc:description/>
  <cp:lastModifiedBy>Mary Bruce</cp:lastModifiedBy>
  <cp:revision>5</cp:revision>
  <cp:lastPrinted>2023-08-24T07:14:00Z</cp:lastPrinted>
  <dcterms:created xsi:type="dcterms:W3CDTF">2023-08-24T11:56:00Z</dcterms:created>
  <dcterms:modified xsi:type="dcterms:W3CDTF">2023-09-29T07:35:00Z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0x01010093FF1A7EACE33B4EB30F22B47D7B9BA8</vt:lpwstr>
  </property>
</Properties>
</file>