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325AE" w14:textId="054C8BD5" w:rsidR="00A504D4" w:rsidRPr="00A504D4" w:rsidRDefault="00A504D4" w:rsidP="00A504D4">
      <w:pPr>
        <w:rPr>
          <w:color w:val="FF0000"/>
          <w:u w:val="single"/>
        </w:rPr>
      </w:pPr>
      <w:r>
        <w:rPr>
          <w:rFonts w:ascii="Arial" w:hAnsi="Arial" w:cs="Arial"/>
          <w:color w:val="FF0000"/>
        </w:rPr>
        <w:t>Editorial note: Certain information has been redacted from this judgment in compliance with the law.</w:t>
      </w:r>
    </w:p>
    <w:p w14:paraId="3E25FEB3" w14:textId="77B89C5A" w:rsidR="00797ACA" w:rsidRPr="0011284B" w:rsidRDefault="00797ACA" w:rsidP="0011284B">
      <w:pPr>
        <w:spacing w:after="0" w:line="240" w:lineRule="auto"/>
        <w:jc w:val="center"/>
        <w:rPr>
          <w:rFonts w:ascii="Arial" w:hAnsi="Arial" w:cs="Arial"/>
          <w:b/>
          <w:bCs/>
          <w:sz w:val="24"/>
          <w:szCs w:val="24"/>
        </w:rPr>
      </w:pPr>
      <w:r w:rsidRPr="0011284B">
        <w:rPr>
          <w:rFonts w:ascii="Arial" w:hAnsi="Arial" w:cs="Arial"/>
          <w:noProof/>
          <w:color w:val="1F497D"/>
          <w:sz w:val="24"/>
          <w:szCs w:val="24"/>
          <w:lang w:eastAsia="en-ZA"/>
        </w:rPr>
        <w:drawing>
          <wp:inline distT="0" distB="0" distL="0" distR="0" wp14:anchorId="3DCC3E42" wp14:editId="5F7D4B28">
            <wp:extent cx="1233133" cy="12172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6770" cy="1220885"/>
                    </a:xfrm>
                    <a:prstGeom prst="rect">
                      <a:avLst/>
                    </a:prstGeom>
                    <a:noFill/>
                    <a:ln>
                      <a:noFill/>
                    </a:ln>
                  </pic:spPr>
                </pic:pic>
              </a:graphicData>
            </a:graphic>
          </wp:inline>
        </w:drawing>
      </w:r>
    </w:p>
    <w:p w14:paraId="52A8E381" w14:textId="77777777" w:rsidR="00797ACA" w:rsidRPr="0011284B" w:rsidRDefault="00797ACA" w:rsidP="0011284B">
      <w:pPr>
        <w:spacing w:after="0" w:line="240" w:lineRule="auto"/>
        <w:jc w:val="center"/>
        <w:rPr>
          <w:rFonts w:ascii="Arial" w:hAnsi="Arial" w:cs="Arial"/>
          <w:b/>
          <w:bCs/>
          <w:sz w:val="24"/>
          <w:szCs w:val="24"/>
        </w:rPr>
      </w:pPr>
    </w:p>
    <w:p w14:paraId="342CBAD5" w14:textId="77777777" w:rsidR="00797ACA" w:rsidRPr="0011284B" w:rsidRDefault="00D440B7" w:rsidP="0011284B">
      <w:pPr>
        <w:spacing w:after="0" w:line="240" w:lineRule="auto"/>
        <w:jc w:val="center"/>
        <w:rPr>
          <w:rFonts w:ascii="Arial" w:hAnsi="Arial" w:cs="Arial"/>
          <w:b/>
          <w:bCs/>
          <w:sz w:val="24"/>
          <w:szCs w:val="24"/>
        </w:rPr>
      </w:pPr>
      <w:r w:rsidRPr="0011284B">
        <w:rPr>
          <w:rFonts w:ascii="Arial" w:hAnsi="Arial" w:cs="Arial"/>
          <w:b/>
          <w:bCs/>
          <w:sz w:val="24"/>
          <w:szCs w:val="24"/>
        </w:rPr>
        <w:t>IN THE HIGH OF SOUTH AFRICA</w:t>
      </w:r>
    </w:p>
    <w:p w14:paraId="33085798" w14:textId="77777777" w:rsidR="00D440B7" w:rsidRPr="0011284B" w:rsidRDefault="00D440B7" w:rsidP="0011284B">
      <w:pPr>
        <w:spacing w:after="0" w:line="240" w:lineRule="auto"/>
        <w:jc w:val="center"/>
        <w:rPr>
          <w:rFonts w:ascii="Arial" w:hAnsi="Arial" w:cs="Arial"/>
          <w:b/>
          <w:bCs/>
          <w:sz w:val="24"/>
          <w:szCs w:val="24"/>
        </w:rPr>
      </w:pPr>
      <w:r w:rsidRPr="0011284B">
        <w:rPr>
          <w:rFonts w:ascii="Arial" w:hAnsi="Arial" w:cs="Arial"/>
          <w:b/>
          <w:bCs/>
          <w:sz w:val="24"/>
          <w:szCs w:val="24"/>
        </w:rPr>
        <w:t>(WESTERN CAPE DIVISION, CAPE TOWN)</w:t>
      </w:r>
    </w:p>
    <w:p w14:paraId="6215305E" w14:textId="77777777" w:rsidR="00D440B7" w:rsidRPr="0011284B" w:rsidRDefault="00D440B7" w:rsidP="0011284B">
      <w:pPr>
        <w:spacing w:after="0" w:line="240" w:lineRule="auto"/>
        <w:rPr>
          <w:rFonts w:ascii="Arial" w:hAnsi="Arial" w:cs="Arial"/>
          <w:b/>
          <w:bCs/>
          <w:sz w:val="24"/>
          <w:szCs w:val="24"/>
        </w:rPr>
      </w:pPr>
    </w:p>
    <w:p w14:paraId="61ED714B" w14:textId="77777777" w:rsidR="000B1E07" w:rsidRDefault="000B1E07" w:rsidP="0011284B">
      <w:pPr>
        <w:spacing w:after="0" w:line="240" w:lineRule="auto"/>
        <w:jc w:val="right"/>
        <w:rPr>
          <w:rFonts w:ascii="Arial" w:hAnsi="Arial" w:cs="Arial"/>
          <w:sz w:val="24"/>
          <w:szCs w:val="24"/>
        </w:rPr>
      </w:pPr>
    </w:p>
    <w:p w14:paraId="6D2040B5" w14:textId="77777777" w:rsidR="00D440B7" w:rsidRPr="0011284B" w:rsidRDefault="00D440B7" w:rsidP="0011284B">
      <w:pPr>
        <w:spacing w:after="0" w:line="240" w:lineRule="auto"/>
        <w:jc w:val="right"/>
        <w:rPr>
          <w:rFonts w:ascii="Arial" w:hAnsi="Arial" w:cs="Arial"/>
          <w:sz w:val="24"/>
          <w:szCs w:val="24"/>
        </w:rPr>
      </w:pPr>
      <w:r w:rsidRPr="0011284B">
        <w:rPr>
          <w:rFonts w:ascii="Arial" w:hAnsi="Arial" w:cs="Arial"/>
          <w:sz w:val="24"/>
          <w:szCs w:val="24"/>
        </w:rPr>
        <w:t>Appeal Case Number: A151/2022</w:t>
      </w:r>
    </w:p>
    <w:p w14:paraId="095F4044" w14:textId="77777777" w:rsidR="00D440B7" w:rsidRPr="0011284B" w:rsidRDefault="00D440B7" w:rsidP="0011284B">
      <w:pPr>
        <w:spacing w:after="0" w:line="240" w:lineRule="auto"/>
        <w:jc w:val="right"/>
        <w:rPr>
          <w:rFonts w:ascii="Arial" w:hAnsi="Arial" w:cs="Arial"/>
          <w:sz w:val="24"/>
          <w:szCs w:val="24"/>
        </w:rPr>
      </w:pPr>
    </w:p>
    <w:p w14:paraId="26312262" w14:textId="77777777" w:rsidR="000B1E07" w:rsidRDefault="000B1E07" w:rsidP="0011284B">
      <w:pPr>
        <w:spacing w:after="0" w:line="240" w:lineRule="auto"/>
        <w:rPr>
          <w:rFonts w:ascii="Arial" w:hAnsi="Arial" w:cs="Arial"/>
          <w:sz w:val="24"/>
          <w:szCs w:val="24"/>
        </w:rPr>
      </w:pPr>
    </w:p>
    <w:p w14:paraId="4600CD7D" w14:textId="77777777" w:rsidR="00D440B7" w:rsidRPr="0011284B" w:rsidRDefault="00D440B7" w:rsidP="0011284B">
      <w:pPr>
        <w:spacing w:after="0" w:line="240" w:lineRule="auto"/>
        <w:rPr>
          <w:rFonts w:ascii="Arial" w:hAnsi="Arial" w:cs="Arial"/>
          <w:sz w:val="24"/>
          <w:szCs w:val="24"/>
        </w:rPr>
      </w:pPr>
      <w:r w:rsidRPr="0011284B">
        <w:rPr>
          <w:rFonts w:ascii="Arial" w:hAnsi="Arial" w:cs="Arial"/>
          <w:sz w:val="24"/>
          <w:szCs w:val="24"/>
        </w:rPr>
        <w:t>In the matter between:</w:t>
      </w:r>
    </w:p>
    <w:p w14:paraId="27D7FD9E" w14:textId="77777777" w:rsidR="00D440B7" w:rsidRPr="0011284B" w:rsidRDefault="00D440B7" w:rsidP="0011284B">
      <w:pPr>
        <w:spacing w:after="0" w:line="240" w:lineRule="auto"/>
        <w:rPr>
          <w:rFonts w:ascii="Arial" w:hAnsi="Arial" w:cs="Arial"/>
          <w:sz w:val="24"/>
          <w:szCs w:val="24"/>
        </w:rPr>
      </w:pPr>
    </w:p>
    <w:p w14:paraId="24295BA2" w14:textId="77777777" w:rsidR="000B1E07" w:rsidRDefault="000B1E07" w:rsidP="0011284B">
      <w:pPr>
        <w:tabs>
          <w:tab w:val="right" w:pos="8789"/>
        </w:tabs>
        <w:spacing w:after="0" w:line="240" w:lineRule="auto"/>
        <w:rPr>
          <w:rFonts w:ascii="Arial" w:hAnsi="Arial" w:cs="Arial"/>
          <w:b/>
          <w:bCs/>
          <w:sz w:val="24"/>
          <w:szCs w:val="24"/>
        </w:rPr>
      </w:pPr>
    </w:p>
    <w:p w14:paraId="61AD2965" w14:textId="3EC721FB" w:rsidR="00D440B7" w:rsidRPr="0011284B" w:rsidRDefault="00D440B7" w:rsidP="0011284B">
      <w:pPr>
        <w:tabs>
          <w:tab w:val="right" w:pos="8789"/>
        </w:tabs>
        <w:spacing w:after="0" w:line="240" w:lineRule="auto"/>
        <w:rPr>
          <w:rFonts w:ascii="Arial" w:hAnsi="Arial" w:cs="Arial"/>
          <w:sz w:val="24"/>
          <w:szCs w:val="24"/>
        </w:rPr>
      </w:pPr>
      <w:proofErr w:type="gramStart"/>
      <w:r w:rsidRPr="0011284B">
        <w:rPr>
          <w:rFonts w:ascii="Arial" w:hAnsi="Arial" w:cs="Arial"/>
          <w:b/>
          <w:bCs/>
          <w:sz w:val="24"/>
          <w:szCs w:val="24"/>
        </w:rPr>
        <w:t>M</w:t>
      </w:r>
      <w:r w:rsidR="00F94D58">
        <w:rPr>
          <w:rFonts w:ascii="Arial" w:hAnsi="Arial" w:cs="Arial"/>
          <w:b/>
          <w:bCs/>
          <w:sz w:val="24"/>
          <w:szCs w:val="24"/>
        </w:rPr>
        <w:t>[</w:t>
      </w:r>
      <w:proofErr w:type="gramEnd"/>
      <w:r w:rsidR="00F94D58">
        <w:rPr>
          <w:rFonts w:ascii="Arial" w:hAnsi="Arial" w:cs="Arial"/>
          <w:b/>
          <w:bCs/>
          <w:sz w:val="24"/>
          <w:szCs w:val="24"/>
        </w:rPr>
        <w:t>…]</w:t>
      </w:r>
      <w:r w:rsidRPr="0011284B">
        <w:rPr>
          <w:rFonts w:ascii="Arial" w:hAnsi="Arial" w:cs="Arial"/>
          <w:b/>
          <w:bCs/>
          <w:sz w:val="24"/>
          <w:szCs w:val="24"/>
        </w:rPr>
        <w:t xml:space="preserve"> R</w:t>
      </w:r>
      <w:r w:rsidR="00F94D58">
        <w:rPr>
          <w:rFonts w:ascii="Arial" w:hAnsi="Arial" w:cs="Arial"/>
          <w:b/>
          <w:bCs/>
          <w:sz w:val="24"/>
          <w:szCs w:val="24"/>
        </w:rPr>
        <w:t>[…]</w:t>
      </w:r>
      <w:r w:rsidRPr="0011284B">
        <w:rPr>
          <w:rFonts w:ascii="Arial" w:hAnsi="Arial" w:cs="Arial"/>
          <w:b/>
          <w:bCs/>
          <w:sz w:val="24"/>
          <w:szCs w:val="24"/>
        </w:rPr>
        <w:t xml:space="preserve"> </w:t>
      </w:r>
      <w:r w:rsidRPr="0011284B">
        <w:rPr>
          <w:rFonts w:ascii="Arial" w:hAnsi="Arial" w:cs="Arial"/>
          <w:sz w:val="24"/>
          <w:szCs w:val="24"/>
        </w:rPr>
        <w:tab/>
        <w:t>Appellant</w:t>
      </w:r>
    </w:p>
    <w:p w14:paraId="4B19F5D6" w14:textId="77777777" w:rsidR="00D440B7" w:rsidRPr="0011284B" w:rsidRDefault="00D440B7" w:rsidP="0011284B">
      <w:pPr>
        <w:tabs>
          <w:tab w:val="right" w:pos="8789"/>
        </w:tabs>
        <w:spacing w:after="0" w:line="240" w:lineRule="auto"/>
        <w:rPr>
          <w:rFonts w:ascii="Arial" w:hAnsi="Arial" w:cs="Arial"/>
          <w:sz w:val="24"/>
          <w:szCs w:val="24"/>
        </w:rPr>
      </w:pPr>
    </w:p>
    <w:p w14:paraId="3DF8ED08" w14:textId="77777777" w:rsidR="000B1E07" w:rsidRDefault="000B1E07" w:rsidP="0011284B">
      <w:pPr>
        <w:tabs>
          <w:tab w:val="right" w:pos="8789"/>
        </w:tabs>
        <w:spacing w:after="0" w:line="240" w:lineRule="auto"/>
        <w:rPr>
          <w:rFonts w:ascii="Arial" w:hAnsi="Arial" w:cs="Arial"/>
          <w:sz w:val="24"/>
          <w:szCs w:val="24"/>
        </w:rPr>
      </w:pPr>
    </w:p>
    <w:p w14:paraId="11AA2107" w14:textId="77777777" w:rsidR="00D440B7" w:rsidRPr="0011284B" w:rsidRDefault="00D440B7" w:rsidP="0011284B">
      <w:pPr>
        <w:tabs>
          <w:tab w:val="right" w:pos="8789"/>
        </w:tabs>
        <w:spacing w:after="0" w:line="240" w:lineRule="auto"/>
        <w:rPr>
          <w:rFonts w:ascii="Arial" w:hAnsi="Arial" w:cs="Arial"/>
          <w:sz w:val="24"/>
          <w:szCs w:val="24"/>
        </w:rPr>
      </w:pPr>
      <w:r w:rsidRPr="0011284B">
        <w:rPr>
          <w:rFonts w:ascii="Arial" w:hAnsi="Arial" w:cs="Arial"/>
          <w:sz w:val="24"/>
          <w:szCs w:val="24"/>
        </w:rPr>
        <w:t xml:space="preserve">and </w:t>
      </w:r>
      <w:r w:rsidRPr="0011284B">
        <w:rPr>
          <w:rFonts w:ascii="Arial" w:hAnsi="Arial" w:cs="Arial"/>
          <w:sz w:val="24"/>
          <w:szCs w:val="24"/>
        </w:rPr>
        <w:tab/>
      </w:r>
    </w:p>
    <w:p w14:paraId="46C1CA35" w14:textId="77777777" w:rsidR="00D440B7" w:rsidRPr="0011284B" w:rsidRDefault="00D440B7" w:rsidP="0011284B">
      <w:pPr>
        <w:tabs>
          <w:tab w:val="right" w:pos="8789"/>
        </w:tabs>
        <w:spacing w:after="0" w:line="240" w:lineRule="auto"/>
        <w:rPr>
          <w:rFonts w:ascii="Arial" w:hAnsi="Arial" w:cs="Arial"/>
          <w:sz w:val="24"/>
          <w:szCs w:val="24"/>
        </w:rPr>
      </w:pPr>
    </w:p>
    <w:p w14:paraId="137723BB" w14:textId="77777777" w:rsidR="000B1E07" w:rsidRDefault="000B1E07" w:rsidP="0011284B">
      <w:pPr>
        <w:tabs>
          <w:tab w:val="right" w:pos="8789"/>
        </w:tabs>
        <w:spacing w:after="0" w:line="240" w:lineRule="auto"/>
        <w:rPr>
          <w:rFonts w:ascii="Arial" w:hAnsi="Arial" w:cs="Arial"/>
          <w:b/>
          <w:bCs/>
          <w:sz w:val="24"/>
          <w:szCs w:val="24"/>
        </w:rPr>
      </w:pPr>
    </w:p>
    <w:p w14:paraId="5CA2738E" w14:textId="15CEB7BE" w:rsidR="00D440B7" w:rsidRPr="0011284B" w:rsidRDefault="00D440B7" w:rsidP="0011284B">
      <w:pPr>
        <w:tabs>
          <w:tab w:val="right" w:pos="8789"/>
        </w:tabs>
        <w:spacing w:after="0" w:line="240" w:lineRule="auto"/>
        <w:rPr>
          <w:rFonts w:ascii="Arial" w:hAnsi="Arial" w:cs="Arial"/>
          <w:sz w:val="24"/>
          <w:szCs w:val="24"/>
        </w:rPr>
      </w:pPr>
      <w:r w:rsidRPr="0011284B">
        <w:rPr>
          <w:rFonts w:ascii="Arial" w:hAnsi="Arial" w:cs="Arial"/>
          <w:b/>
          <w:bCs/>
          <w:sz w:val="24"/>
          <w:szCs w:val="24"/>
        </w:rPr>
        <w:t>A</w:t>
      </w:r>
      <w:r w:rsidR="00F94D58">
        <w:rPr>
          <w:rFonts w:ascii="Arial" w:hAnsi="Arial" w:cs="Arial"/>
          <w:b/>
          <w:bCs/>
          <w:sz w:val="24"/>
          <w:szCs w:val="24"/>
        </w:rPr>
        <w:t>[…]</w:t>
      </w:r>
      <w:r w:rsidRPr="0011284B">
        <w:rPr>
          <w:rFonts w:ascii="Arial" w:hAnsi="Arial" w:cs="Arial"/>
          <w:b/>
          <w:bCs/>
          <w:sz w:val="24"/>
          <w:szCs w:val="24"/>
        </w:rPr>
        <w:t xml:space="preserve"> R</w:t>
      </w:r>
      <w:r w:rsidR="00F94D58">
        <w:rPr>
          <w:rFonts w:ascii="Arial" w:hAnsi="Arial" w:cs="Arial"/>
          <w:b/>
          <w:bCs/>
          <w:sz w:val="24"/>
          <w:szCs w:val="24"/>
        </w:rPr>
        <w:t>[…]</w:t>
      </w:r>
      <w:r w:rsidRPr="0011284B">
        <w:rPr>
          <w:rFonts w:ascii="Arial" w:hAnsi="Arial" w:cs="Arial"/>
          <w:b/>
          <w:bCs/>
          <w:sz w:val="24"/>
          <w:szCs w:val="24"/>
        </w:rPr>
        <w:t xml:space="preserve"> </w:t>
      </w:r>
      <w:r w:rsidRPr="0011284B">
        <w:rPr>
          <w:rFonts w:ascii="Arial" w:hAnsi="Arial" w:cs="Arial"/>
          <w:sz w:val="24"/>
          <w:szCs w:val="24"/>
        </w:rPr>
        <w:t>(</w:t>
      </w:r>
      <w:proofErr w:type="spellStart"/>
      <w:r w:rsidRPr="0011284B">
        <w:rPr>
          <w:rFonts w:ascii="Arial" w:hAnsi="Arial" w:cs="Arial"/>
          <w:sz w:val="24"/>
          <w:szCs w:val="24"/>
        </w:rPr>
        <w:t>nèe</w:t>
      </w:r>
      <w:proofErr w:type="spellEnd"/>
      <w:r w:rsidRPr="0011284B">
        <w:rPr>
          <w:rFonts w:ascii="Arial" w:hAnsi="Arial" w:cs="Arial"/>
          <w:sz w:val="24"/>
          <w:szCs w:val="24"/>
        </w:rPr>
        <w:t xml:space="preserve"> N</w:t>
      </w:r>
      <w:r w:rsidR="00F94D58">
        <w:rPr>
          <w:rFonts w:ascii="Arial" w:hAnsi="Arial" w:cs="Arial"/>
          <w:sz w:val="24"/>
          <w:szCs w:val="24"/>
        </w:rPr>
        <w:t>[…]</w:t>
      </w:r>
      <w:bookmarkStart w:id="0" w:name="_GoBack"/>
      <w:bookmarkEnd w:id="0"/>
      <w:r w:rsidRPr="0011284B">
        <w:rPr>
          <w:rFonts w:ascii="Arial" w:hAnsi="Arial" w:cs="Arial"/>
          <w:sz w:val="24"/>
          <w:szCs w:val="24"/>
        </w:rPr>
        <w:t>)</w:t>
      </w:r>
      <w:r w:rsidRPr="0011284B">
        <w:rPr>
          <w:rFonts w:ascii="Arial" w:hAnsi="Arial" w:cs="Arial"/>
          <w:sz w:val="24"/>
          <w:szCs w:val="24"/>
        </w:rPr>
        <w:tab/>
        <w:t>Respondent</w:t>
      </w:r>
    </w:p>
    <w:p w14:paraId="5F37F862" w14:textId="1CF03BA5" w:rsidR="00D440B7" w:rsidRPr="0011284B" w:rsidRDefault="00D440B7" w:rsidP="0011284B">
      <w:pPr>
        <w:tabs>
          <w:tab w:val="right" w:pos="8789"/>
        </w:tabs>
        <w:spacing w:after="0" w:line="240" w:lineRule="auto"/>
        <w:rPr>
          <w:rFonts w:ascii="Arial" w:hAnsi="Arial" w:cs="Arial"/>
          <w:sz w:val="24"/>
          <w:szCs w:val="24"/>
        </w:rPr>
      </w:pPr>
      <w:r w:rsidRPr="0011284B">
        <w:rPr>
          <w:rFonts w:ascii="Arial" w:hAnsi="Arial" w:cs="Arial"/>
          <w:sz w:val="24"/>
          <w:szCs w:val="24"/>
        </w:rPr>
        <w:t xml:space="preserve">(RSA ID No: </w:t>
      </w:r>
      <w:r w:rsidR="00811382">
        <w:rPr>
          <w:rFonts w:ascii="Arial" w:hAnsi="Arial" w:cs="Arial"/>
          <w:sz w:val="24"/>
          <w:szCs w:val="24"/>
        </w:rPr>
        <w:t>[…]</w:t>
      </w:r>
      <w:r w:rsidRPr="0011284B">
        <w:rPr>
          <w:rFonts w:ascii="Arial" w:hAnsi="Arial" w:cs="Arial"/>
          <w:sz w:val="24"/>
          <w:szCs w:val="24"/>
        </w:rPr>
        <w:t>)</w:t>
      </w:r>
    </w:p>
    <w:p w14:paraId="0140B3BA" w14:textId="77777777" w:rsidR="004E1E23" w:rsidRPr="0011284B" w:rsidRDefault="004E1E23" w:rsidP="0011284B">
      <w:pPr>
        <w:tabs>
          <w:tab w:val="right" w:pos="8789"/>
        </w:tabs>
        <w:spacing w:after="0" w:line="240" w:lineRule="auto"/>
        <w:rPr>
          <w:rFonts w:ascii="Arial" w:hAnsi="Arial" w:cs="Arial"/>
          <w:sz w:val="24"/>
          <w:szCs w:val="24"/>
        </w:rPr>
      </w:pPr>
    </w:p>
    <w:p w14:paraId="2A3B9E2B" w14:textId="77777777" w:rsidR="000B1E07" w:rsidRDefault="000B1E07" w:rsidP="0011284B">
      <w:pPr>
        <w:tabs>
          <w:tab w:val="right" w:pos="8789"/>
        </w:tabs>
        <w:spacing w:after="0" w:line="240" w:lineRule="auto"/>
        <w:rPr>
          <w:rFonts w:ascii="Arial" w:hAnsi="Arial" w:cs="Arial"/>
          <w:sz w:val="24"/>
          <w:szCs w:val="24"/>
        </w:rPr>
      </w:pPr>
    </w:p>
    <w:p w14:paraId="4C2FA8EB" w14:textId="2DF16CC7" w:rsidR="004E1E23" w:rsidRPr="0011284B" w:rsidRDefault="004E1E23" w:rsidP="0011284B">
      <w:pPr>
        <w:tabs>
          <w:tab w:val="right" w:pos="8789"/>
        </w:tabs>
        <w:spacing w:after="0" w:line="240" w:lineRule="auto"/>
        <w:rPr>
          <w:rFonts w:ascii="Arial" w:hAnsi="Arial" w:cs="Arial"/>
          <w:sz w:val="24"/>
          <w:szCs w:val="24"/>
        </w:rPr>
      </w:pPr>
      <w:r w:rsidRPr="0011284B">
        <w:rPr>
          <w:rFonts w:ascii="Arial" w:hAnsi="Arial" w:cs="Arial"/>
          <w:sz w:val="24"/>
          <w:szCs w:val="24"/>
        </w:rPr>
        <w:t xml:space="preserve">Coram:                    </w:t>
      </w:r>
      <w:r w:rsidR="00783476">
        <w:rPr>
          <w:rFonts w:ascii="Arial" w:hAnsi="Arial" w:cs="Arial"/>
          <w:sz w:val="24"/>
          <w:szCs w:val="24"/>
        </w:rPr>
        <w:t xml:space="preserve"> </w:t>
      </w:r>
      <w:proofErr w:type="spellStart"/>
      <w:r w:rsidRPr="0011284B">
        <w:rPr>
          <w:rFonts w:ascii="Arial" w:hAnsi="Arial" w:cs="Arial"/>
          <w:sz w:val="24"/>
          <w:szCs w:val="24"/>
        </w:rPr>
        <w:t>Binns</w:t>
      </w:r>
      <w:proofErr w:type="spellEnd"/>
      <w:r w:rsidRPr="0011284B">
        <w:rPr>
          <w:rFonts w:ascii="Arial" w:hAnsi="Arial" w:cs="Arial"/>
          <w:sz w:val="24"/>
          <w:szCs w:val="24"/>
        </w:rPr>
        <w:t xml:space="preserve">-Ward J, </w:t>
      </w:r>
      <w:proofErr w:type="spellStart"/>
      <w:r w:rsidRPr="0011284B">
        <w:rPr>
          <w:rFonts w:ascii="Arial" w:hAnsi="Arial" w:cs="Arial"/>
          <w:sz w:val="24"/>
          <w:szCs w:val="24"/>
        </w:rPr>
        <w:t>Samela</w:t>
      </w:r>
      <w:proofErr w:type="spellEnd"/>
      <w:r w:rsidRPr="0011284B">
        <w:rPr>
          <w:rFonts w:ascii="Arial" w:hAnsi="Arial" w:cs="Arial"/>
          <w:sz w:val="24"/>
          <w:szCs w:val="24"/>
        </w:rPr>
        <w:t xml:space="preserve"> J et Francis J</w:t>
      </w:r>
    </w:p>
    <w:p w14:paraId="5B7027C8" w14:textId="7FA13559" w:rsidR="004E1E23" w:rsidRPr="0011284B" w:rsidRDefault="004E1E23" w:rsidP="0011284B">
      <w:pPr>
        <w:tabs>
          <w:tab w:val="right" w:pos="8789"/>
        </w:tabs>
        <w:spacing w:after="0" w:line="240" w:lineRule="auto"/>
        <w:rPr>
          <w:rFonts w:ascii="Arial" w:hAnsi="Arial" w:cs="Arial"/>
          <w:sz w:val="24"/>
          <w:szCs w:val="24"/>
        </w:rPr>
      </w:pPr>
      <w:r w:rsidRPr="0011284B">
        <w:rPr>
          <w:rFonts w:ascii="Arial" w:hAnsi="Arial" w:cs="Arial"/>
          <w:sz w:val="24"/>
          <w:szCs w:val="24"/>
        </w:rPr>
        <w:t xml:space="preserve">Date of hearing:     </w:t>
      </w:r>
      <w:r w:rsidR="00783476">
        <w:rPr>
          <w:rFonts w:ascii="Arial" w:hAnsi="Arial" w:cs="Arial"/>
          <w:sz w:val="24"/>
          <w:szCs w:val="24"/>
        </w:rPr>
        <w:t xml:space="preserve"> </w:t>
      </w:r>
      <w:r w:rsidRPr="0011284B">
        <w:rPr>
          <w:rFonts w:ascii="Arial" w:hAnsi="Arial" w:cs="Arial"/>
          <w:sz w:val="24"/>
          <w:szCs w:val="24"/>
        </w:rPr>
        <w:t xml:space="preserve"> 18 January 2023</w:t>
      </w:r>
    </w:p>
    <w:p w14:paraId="78B31518" w14:textId="4386F990" w:rsidR="004E1E23" w:rsidRPr="0011284B" w:rsidRDefault="004E1E23" w:rsidP="0011284B">
      <w:pPr>
        <w:tabs>
          <w:tab w:val="right" w:pos="8789"/>
        </w:tabs>
        <w:spacing w:after="0" w:line="240" w:lineRule="auto"/>
        <w:rPr>
          <w:rFonts w:ascii="Arial" w:hAnsi="Arial" w:cs="Arial"/>
          <w:sz w:val="24"/>
          <w:szCs w:val="24"/>
        </w:rPr>
      </w:pPr>
      <w:r w:rsidRPr="0011284B">
        <w:rPr>
          <w:rFonts w:ascii="Arial" w:hAnsi="Arial" w:cs="Arial"/>
          <w:sz w:val="24"/>
          <w:szCs w:val="24"/>
        </w:rPr>
        <w:t>Date of Judgment:</w:t>
      </w:r>
      <w:r w:rsidR="00783476">
        <w:rPr>
          <w:rFonts w:ascii="Arial" w:hAnsi="Arial" w:cs="Arial"/>
          <w:sz w:val="24"/>
          <w:szCs w:val="24"/>
        </w:rPr>
        <w:t xml:space="preserve">   13 February 2023</w:t>
      </w:r>
    </w:p>
    <w:p w14:paraId="093D3A13" w14:textId="77777777" w:rsidR="00D440B7" w:rsidRPr="0011284B" w:rsidRDefault="00D440B7" w:rsidP="0011284B">
      <w:pPr>
        <w:tabs>
          <w:tab w:val="right" w:pos="8789"/>
        </w:tabs>
        <w:spacing w:after="0" w:line="240" w:lineRule="auto"/>
        <w:rPr>
          <w:rFonts w:ascii="Arial" w:hAnsi="Arial" w:cs="Arial"/>
          <w:sz w:val="24"/>
          <w:szCs w:val="24"/>
        </w:rPr>
      </w:pPr>
      <w:r w:rsidRPr="0011284B">
        <w:rPr>
          <w:rFonts w:ascii="Arial" w:hAnsi="Arial" w:cs="Arial"/>
          <w:sz w:val="24"/>
          <w:szCs w:val="24"/>
        </w:rPr>
        <w:t>_______________________________________________________________</w:t>
      </w:r>
      <w:r w:rsidR="00835CE3" w:rsidRPr="0011284B">
        <w:rPr>
          <w:rFonts w:ascii="Arial" w:hAnsi="Arial" w:cs="Arial"/>
          <w:sz w:val="24"/>
          <w:szCs w:val="24"/>
        </w:rPr>
        <w:t>___</w:t>
      </w:r>
      <w:r w:rsidR="000B1E07">
        <w:rPr>
          <w:rFonts w:ascii="Arial" w:hAnsi="Arial" w:cs="Arial"/>
          <w:sz w:val="24"/>
          <w:szCs w:val="24"/>
        </w:rPr>
        <w:t>_</w:t>
      </w:r>
    </w:p>
    <w:p w14:paraId="0CE9A43A" w14:textId="77777777" w:rsidR="00D440B7" w:rsidRPr="0011284B" w:rsidRDefault="00D440B7" w:rsidP="0011284B">
      <w:pPr>
        <w:tabs>
          <w:tab w:val="right" w:pos="8789"/>
        </w:tabs>
        <w:spacing w:after="0" w:line="240" w:lineRule="auto"/>
        <w:jc w:val="center"/>
        <w:rPr>
          <w:rFonts w:ascii="Arial" w:hAnsi="Arial" w:cs="Arial"/>
          <w:b/>
          <w:bCs/>
          <w:sz w:val="24"/>
          <w:szCs w:val="24"/>
        </w:rPr>
      </w:pPr>
    </w:p>
    <w:p w14:paraId="7A4DF6D2" w14:textId="499049F3" w:rsidR="00D440B7" w:rsidRPr="0011284B" w:rsidRDefault="00D440B7" w:rsidP="0011284B">
      <w:pPr>
        <w:tabs>
          <w:tab w:val="right" w:pos="8789"/>
        </w:tabs>
        <w:spacing w:after="0" w:line="240" w:lineRule="auto"/>
        <w:jc w:val="center"/>
        <w:rPr>
          <w:rFonts w:ascii="Arial" w:hAnsi="Arial" w:cs="Arial"/>
          <w:b/>
          <w:bCs/>
          <w:sz w:val="24"/>
          <w:szCs w:val="24"/>
        </w:rPr>
      </w:pPr>
      <w:r w:rsidRPr="0011284B">
        <w:rPr>
          <w:rFonts w:ascii="Arial" w:hAnsi="Arial" w:cs="Arial"/>
          <w:b/>
          <w:bCs/>
          <w:sz w:val="24"/>
          <w:szCs w:val="24"/>
        </w:rPr>
        <w:t>JUDGMENT</w:t>
      </w:r>
    </w:p>
    <w:p w14:paraId="1C02C782" w14:textId="77777777" w:rsidR="00D440B7" w:rsidRPr="0011284B" w:rsidRDefault="00D440B7" w:rsidP="0011284B">
      <w:pPr>
        <w:spacing w:after="0"/>
        <w:rPr>
          <w:rFonts w:ascii="Arial" w:hAnsi="Arial" w:cs="Arial"/>
          <w:sz w:val="24"/>
          <w:szCs w:val="24"/>
        </w:rPr>
      </w:pPr>
      <w:r w:rsidRPr="0011284B">
        <w:rPr>
          <w:rFonts w:ascii="Arial" w:hAnsi="Arial" w:cs="Arial"/>
          <w:sz w:val="24"/>
          <w:szCs w:val="24"/>
        </w:rPr>
        <w:t>________________________________________________________________</w:t>
      </w:r>
      <w:r w:rsidR="00835CE3" w:rsidRPr="0011284B">
        <w:rPr>
          <w:rFonts w:ascii="Arial" w:hAnsi="Arial" w:cs="Arial"/>
          <w:sz w:val="24"/>
          <w:szCs w:val="24"/>
        </w:rPr>
        <w:t>___</w:t>
      </w:r>
    </w:p>
    <w:p w14:paraId="31AC8B63" w14:textId="77777777" w:rsidR="00D22B8A" w:rsidRDefault="00D22B8A" w:rsidP="0011284B">
      <w:pPr>
        <w:spacing w:after="0" w:line="480" w:lineRule="auto"/>
        <w:rPr>
          <w:rFonts w:ascii="Arial" w:hAnsi="Arial" w:cs="Arial"/>
          <w:b/>
          <w:bCs/>
          <w:sz w:val="24"/>
          <w:szCs w:val="24"/>
          <w:u w:val="single"/>
        </w:rPr>
      </w:pPr>
    </w:p>
    <w:p w14:paraId="436C218B" w14:textId="77777777" w:rsidR="00E6069F" w:rsidRPr="0011284B" w:rsidRDefault="0011284B" w:rsidP="0011284B">
      <w:pPr>
        <w:spacing w:after="0" w:line="480" w:lineRule="auto"/>
        <w:rPr>
          <w:rFonts w:ascii="Arial" w:hAnsi="Arial" w:cs="Arial"/>
          <w:b/>
          <w:bCs/>
          <w:sz w:val="24"/>
          <w:szCs w:val="24"/>
          <w:u w:val="single"/>
        </w:rPr>
      </w:pPr>
      <w:r w:rsidRPr="0011284B">
        <w:rPr>
          <w:rFonts w:ascii="Arial" w:hAnsi="Arial" w:cs="Arial"/>
          <w:b/>
          <w:bCs/>
          <w:sz w:val="24"/>
          <w:szCs w:val="24"/>
          <w:u w:val="single"/>
        </w:rPr>
        <w:t>FRANCIS, J</w:t>
      </w:r>
    </w:p>
    <w:p w14:paraId="264F9D66" w14:textId="77777777" w:rsidR="0011284B" w:rsidRPr="0011284B" w:rsidRDefault="0011284B" w:rsidP="0011284B">
      <w:pPr>
        <w:spacing w:after="0" w:line="480" w:lineRule="auto"/>
        <w:rPr>
          <w:rFonts w:ascii="Arial" w:hAnsi="Arial" w:cs="Arial"/>
          <w:sz w:val="24"/>
          <w:szCs w:val="24"/>
        </w:rPr>
      </w:pPr>
    </w:p>
    <w:p w14:paraId="57562BF8" w14:textId="77777777" w:rsidR="00AA71D2" w:rsidRPr="0011284B" w:rsidRDefault="0011284B" w:rsidP="0011284B">
      <w:pPr>
        <w:spacing w:after="0" w:line="480" w:lineRule="auto"/>
        <w:rPr>
          <w:rFonts w:ascii="Arial" w:hAnsi="Arial" w:cs="Arial"/>
          <w:b/>
          <w:bCs/>
          <w:sz w:val="24"/>
          <w:szCs w:val="24"/>
          <w:u w:val="single"/>
        </w:rPr>
      </w:pPr>
      <w:r w:rsidRPr="0011284B">
        <w:rPr>
          <w:rFonts w:ascii="Arial" w:hAnsi="Arial" w:cs="Arial"/>
          <w:b/>
          <w:bCs/>
          <w:sz w:val="24"/>
          <w:szCs w:val="24"/>
          <w:u w:val="single"/>
        </w:rPr>
        <w:t>INTRODUCTION</w:t>
      </w:r>
    </w:p>
    <w:p w14:paraId="1FE1A1BC" w14:textId="77777777" w:rsidR="0011284B" w:rsidRDefault="0011284B" w:rsidP="0011284B">
      <w:pPr>
        <w:spacing w:after="0" w:line="480" w:lineRule="auto"/>
        <w:rPr>
          <w:rFonts w:ascii="Arial" w:hAnsi="Arial" w:cs="Arial"/>
          <w:b/>
          <w:bCs/>
          <w:sz w:val="24"/>
          <w:szCs w:val="24"/>
          <w:u w:val="single"/>
        </w:rPr>
      </w:pPr>
    </w:p>
    <w:p w14:paraId="2E067E91" w14:textId="50908626" w:rsidR="0011284B" w:rsidRPr="00E506CA" w:rsidRDefault="0011284B"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This is an </w:t>
      </w:r>
      <w:r w:rsidR="005D7553" w:rsidRPr="00E506CA">
        <w:rPr>
          <w:rFonts w:ascii="Arial" w:hAnsi="Arial" w:cs="Arial"/>
          <w:sz w:val="24"/>
          <w:szCs w:val="24"/>
        </w:rPr>
        <w:t>appea</w:t>
      </w:r>
      <w:r w:rsidR="004C5EC3" w:rsidRPr="00E506CA">
        <w:rPr>
          <w:rFonts w:ascii="Arial" w:hAnsi="Arial" w:cs="Arial"/>
          <w:sz w:val="24"/>
          <w:szCs w:val="24"/>
        </w:rPr>
        <w:t>l against the whole of the judg</w:t>
      </w:r>
      <w:r w:rsidR="005D7553" w:rsidRPr="00E506CA">
        <w:rPr>
          <w:rFonts w:ascii="Arial" w:hAnsi="Arial" w:cs="Arial"/>
          <w:sz w:val="24"/>
          <w:szCs w:val="24"/>
        </w:rPr>
        <w:t xml:space="preserve">ment and order handed down by Hockey AJ in respect of an application in which the appellant sought an order </w:t>
      </w:r>
      <w:r w:rsidR="005D7553" w:rsidRPr="00E506CA">
        <w:rPr>
          <w:rFonts w:ascii="Arial" w:hAnsi="Arial" w:cs="Arial"/>
          <w:sz w:val="24"/>
          <w:szCs w:val="24"/>
        </w:rPr>
        <w:lastRenderedPageBreak/>
        <w:t>for the dissolution and winding up of a partnership which he alleges exists between him and the respondent. The alleged partnership</w:t>
      </w:r>
      <w:r w:rsidR="00970725" w:rsidRPr="00E506CA">
        <w:rPr>
          <w:rFonts w:ascii="Arial" w:hAnsi="Arial" w:cs="Arial"/>
          <w:sz w:val="24"/>
          <w:szCs w:val="24"/>
        </w:rPr>
        <w:t xml:space="preserve">, </w:t>
      </w:r>
      <w:r w:rsidR="005D7553" w:rsidRPr="00E506CA">
        <w:rPr>
          <w:rFonts w:ascii="Arial" w:hAnsi="Arial" w:cs="Arial"/>
          <w:sz w:val="24"/>
          <w:szCs w:val="24"/>
        </w:rPr>
        <w:t xml:space="preserve">known as </w:t>
      </w:r>
      <w:proofErr w:type="gramStart"/>
      <w:r w:rsidR="005D7553" w:rsidRPr="00E506CA">
        <w:rPr>
          <w:rFonts w:ascii="Arial" w:hAnsi="Arial" w:cs="Arial"/>
          <w:sz w:val="24"/>
          <w:szCs w:val="24"/>
        </w:rPr>
        <w:t>K</w:t>
      </w:r>
      <w:r w:rsidR="006510F6">
        <w:rPr>
          <w:rFonts w:ascii="Arial" w:hAnsi="Arial" w:cs="Arial"/>
          <w:sz w:val="24"/>
          <w:szCs w:val="24"/>
        </w:rPr>
        <w:t>[</w:t>
      </w:r>
      <w:proofErr w:type="gramEnd"/>
      <w:r w:rsidR="006510F6">
        <w:rPr>
          <w:rFonts w:ascii="Arial" w:hAnsi="Arial" w:cs="Arial"/>
          <w:sz w:val="24"/>
          <w:szCs w:val="24"/>
        </w:rPr>
        <w:t>…]</w:t>
      </w:r>
      <w:r w:rsidR="005D7553" w:rsidRPr="00E506CA">
        <w:rPr>
          <w:rFonts w:ascii="Arial" w:hAnsi="Arial" w:cs="Arial"/>
          <w:sz w:val="24"/>
          <w:szCs w:val="24"/>
        </w:rPr>
        <w:t xml:space="preserve"> Guest Farm, is conducted on an immovable property in </w:t>
      </w:r>
      <w:proofErr w:type="spellStart"/>
      <w:r w:rsidRPr="00E506CA">
        <w:rPr>
          <w:rFonts w:ascii="Arial" w:hAnsi="Arial" w:cs="Arial"/>
          <w:sz w:val="24"/>
          <w:szCs w:val="24"/>
        </w:rPr>
        <w:t>Swellendam</w:t>
      </w:r>
      <w:proofErr w:type="spellEnd"/>
      <w:r w:rsidR="005D7553" w:rsidRPr="00E506CA">
        <w:rPr>
          <w:rFonts w:ascii="Arial" w:hAnsi="Arial" w:cs="Arial"/>
          <w:sz w:val="24"/>
          <w:szCs w:val="24"/>
        </w:rPr>
        <w:t xml:space="preserve"> (“the farm”)</w:t>
      </w:r>
      <w:r w:rsidR="00837081" w:rsidRPr="00E506CA">
        <w:rPr>
          <w:rFonts w:ascii="Arial" w:hAnsi="Arial" w:cs="Arial"/>
          <w:sz w:val="24"/>
          <w:szCs w:val="24"/>
        </w:rPr>
        <w:t xml:space="preserve"> which is</w:t>
      </w:r>
      <w:r w:rsidR="005D7553" w:rsidRPr="00E506CA">
        <w:rPr>
          <w:rFonts w:ascii="Arial" w:hAnsi="Arial" w:cs="Arial"/>
          <w:sz w:val="24"/>
          <w:szCs w:val="24"/>
        </w:rPr>
        <w:t xml:space="preserve"> registered in the respondent</w:t>
      </w:r>
      <w:r w:rsidR="00837081" w:rsidRPr="00E506CA">
        <w:rPr>
          <w:rFonts w:ascii="Arial" w:hAnsi="Arial" w:cs="Arial"/>
          <w:sz w:val="24"/>
          <w:szCs w:val="24"/>
        </w:rPr>
        <w:t>’s name, and</w:t>
      </w:r>
      <w:r w:rsidR="005D7553" w:rsidRPr="00E506CA">
        <w:rPr>
          <w:rFonts w:ascii="Arial" w:hAnsi="Arial" w:cs="Arial"/>
          <w:sz w:val="24"/>
          <w:szCs w:val="24"/>
        </w:rPr>
        <w:t xml:space="preserve"> comprises game farming and guest lodges. </w:t>
      </w:r>
    </w:p>
    <w:p w14:paraId="4A324F46" w14:textId="77777777" w:rsidR="005D7553" w:rsidRDefault="005D7553" w:rsidP="0011284B">
      <w:pPr>
        <w:spacing w:after="0" w:line="480" w:lineRule="auto"/>
        <w:ind w:left="720" w:hanging="720"/>
        <w:jc w:val="both"/>
        <w:rPr>
          <w:rFonts w:ascii="Arial" w:hAnsi="Arial" w:cs="Arial"/>
          <w:sz w:val="24"/>
          <w:szCs w:val="24"/>
        </w:rPr>
      </w:pPr>
    </w:p>
    <w:p w14:paraId="07181F07" w14:textId="77777777" w:rsidR="005D7553" w:rsidRPr="00E506CA" w:rsidRDefault="005D7553"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Hockey AJ concluded that there was a material dispute of fact which could not be resolved on the papers and</w:t>
      </w:r>
      <w:r w:rsidR="00837081" w:rsidRPr="00E506CA">
        <w:rPr>
          <w:rFonts w:ascii="Arial" w:hAnsi="Arial" w:cs="Arial"/>
          <w:sz w:val="24"/>
          <w:szCs w:val="24"/>
        </w:rPr>
        <w:t xml:space="preserve"> </w:t>
      </w:r>
      <w:r w:rsidR="005F5F8F" w:rsidRPr="00E506CA">
        <w:rPr>
          <w:rFonts w:ascii="Arial" w:hAnsi="Arial" w:cs="Arial"/>
          <w:sz w:val="24"/>
          <w:szCs w:val="24"/>
        </w:rPr>
        <w:t xml:space="preserve">that </w:t>
      </w:r>
      <w:r w:rsidR="00837081" w:rsidRPr="00E506CA">
        <w:rPr>
          <w:rFonts w:ascii="Arial" w:hAnsi="Arial" w:cs="Arial"/>
          <w:sz w:val="24"/>
          <w:szCs w:val="24"/>
        </w:rPr>
        <w:t xml:space="preserve">the applicant, who bore the onus, </w:t>
      </w:r>
      <w:r w:rsidR="005F5F8F" w:rsidRPr="00E506CA">
        <w:rPr>
          <w:rFonts w:ascii="Arial" w:hAnsi="Arial" w:cs="Arial"/>
          <w:sz w:val="24"/>
          <w:szCs w:val="24"/>
        </w:rPr>
        <w:t xml:space="preserve">had </w:t>
      </w:r>
      <w:r w:rsidR="00837081" w:rsidRPr="00E506CA">
        <w:rPr>
          <w:rFonts w:ascii="Arial" w:hAnsi="Arial" w:cs="Arial"/>
          <w:sz w:val="24"/>
          <w:szCs w:val="24"/>
        </w:rPr>
        <w:t xml:space="preserve">failed to prove his case. </w:t>
      </w:r>
      <w:r w:rsidR="005F5F8F" w:rsidRPr="00E506CA">
        <w:rPr>
          <w:rFonts w:ascii="Arial" w:hAnsi="Arial" w:cs="Arial"/>
          <w:sz w:val="24"/>
          <w:szCs w:val="24"/>
        </w:rPr>
        <w:t>The application was</w:t>
      </w:r>
      <w:r w:rsidR="00837081" w:rsidRPr="00E506CA">
        <w:rPr>
          <w:rFonts w:ascii="Arial" w:hAnsi="Arial" w:cs="Arial"/>
          <w:sz w:val="24"/>
          <w:szCs w:val="24"/>
        </w:rPr>
        <w:t xml:space="preserve"> dismissed</w:t>
      </w:r>
      <w:r w:rsidR="005F5F8F" w:rsidRPr="00E506CA">
        <w:rPr>
          <w:rFonts w:ascii="Arial" w:hAnsi="Arial" w:cs="Arial"/>
          <w:sz w:val="24"/>
          <w:szCs w:val="24"/>
        </w:rPr>
        <w:t xml:space="preserve">. </w:t>
      </w:r>
      <w:r w:rsidRPr="00E506CA">
        <w:rPr>
          <w:rFonts w:ascii="Arial" w:hAnsi="Arial" w:cs="Arial"/>
          <w:sz w:val="24"/>
          <w:szCs w:val="24"/>
        </w:rPr>
        <w:t>Hockey AJ refused to refer the matter to oral evidence</w:t>
      </w:r>
      <w:r w:rsidR="009C52DE" w:rsidRPr="00E506CA">
        <w:rPr>
          <w:rFonts w:ascii="Arial" w:hAnsi="Arial" w:cs="Arial"/>
          <w:sz w:val="24"/>
          <w:szCs w:val="24"/>
        </w:rPr>
        <w:t xml:space="preserve"> because, </w:t>
      </w:r>
      <w:r w:rsidRPr="00E506CA">
        <w:rPr>
          <w:rFonts w:ascii="Arial" w:hAnsi="Arial" w:cs="Arial"/>
          <w:sz w:val="24"/>
          <w:szCs w:val="24"/>
        </w:rPr>
        <w:t xml:space="preserve">in his view, </w:t>
      </w:r>
      <w:r w:rsidR="00837081" w:rsidRPr="00E506CA">
        <w:rPr>
          <w:rFonts w:ascii="Arial" w:hAnsi="Arial" w:cs="Arial"/>
          <w:sz w:val="24"/>
          <w:szCs w:val="24"/>
        </w:rPr>
        <w:t>the</w:t>
      </w:r>
      <w:r w:rsidRPr="00E506CA">
        <w:rPr>
          <w:rFonts w:ascii="Arial" w:hAnsi="Arial" w:cs="Arial"/>
          <w:sz w:val="24"/>
          <w:szCs w:val="24"/>
        </w:rPr>
        <w:t xml:space="preserve"> dispute of </w:t>
      </w:r>
      <w:r w:rsidR="00E049D5" w:rsidRPr="00E506CA">
        <w:rPr>
          <w:rFonts w:ascii="Arial" w:hAnsi="Arial" w:cs="Arial"/>
          <w:sz w:val="24"/>
          <w:szCs w:val="24"/>
        </w:rPr>
        <w:t>fact was</w:t>
      </w:r>
      <w:r w:rsidRPr="00E506CA">
        <w:rPr>
          <w:rFonts w:ascii="Arial" w:hAnsi="Arial" w:cs="Arial"/>
          <w:sz w:val="24"/>
          <w:szCs w:val="24"/>
        </w:rPr>
        <w:t xml:space="preserve"> foreseeable prior to the institution of </w:t>
      </w:r>
      <w:r w:rsidR="009C52DE" w:rsidRPr="00E506CA">
        <w:rPr>
          <w:rFonts w:ascii="Arial" w:hAnsi="Arial" w:cs="Arial"/>
          <w:sz w:val="24"/>
          <w:szCs w:val="24"/>
        </w:rPr>
        <w:t xml:space="preserve">the </w:t>
      </w:r>
      <w:r w:rsidRPr="00E506CA">
        <w:rPr>
          <w:rFonts w:ascii="Arial" w:hAnsi="Arial" w:cs="Arial"/>
          <w:sz w:val="24"/>
          <w:szCs w:val="24"/>
        </w:rPr>
        <w:t xml:space="preserve">application proceedings. </w:t>
      </w:r>
    </w:p>
    <w:p w14:paraId="436B06EA" w14:textId="77777777" w:rsidR="005D7553" w:rsidRDefault="005D7553" w:rsidP="0011284B">
      <w:pPr>
        <w:spacing w:after="0" w:line="480" w:lineRule="auto"/>
        <w:ind w:left="720" w:hanging="720"/>
        <w:jc w:val="both"/>
        <w:rPr>
          <w:rFonts w:ascii="Arial" w:hAnsi="Arial" w:cs="Arial"/>
          <w:sz w:val="24"/>
          <w:szCs w:val="24"/>
        </w:rPr>
      </w:pPr>
    </w:p>
    <w:p w14:paraId="061D1F1E" w14:textId="1F80F51E" w:rsidR="009C52DE" w:rsidRPr="00784976" w:rsidRDefault="009C52DE" w:rsidP="00784976">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Hockey AJ was also requested to make a ruling on the award of costs in respect of an application to found and confirm jurisdiction and applications for security </w:t>
      </w:r>
      <w:r w:rsidR="00157F8A" w:rsidRPr="00E506CA">
        <w:rPr>
          <w:rFonts w:ascii="Arial" w:hAnsi="Arial" w:cs="Arial"/>
          <w:sz w:val="24"/>
          <w:szCs w:val="24"/>
        </w:rPr>
        <w:t xml:space="preserve">for </w:t>
      </w:r>
      <w:r w:rsidRPr="00E506CA">
        <w:rPr>
          <w:rFonts w:ascii="Arial" w:hAnsi="Arial" w:cs="Arial"/>
          <w:sz w:val="24"/>
          <w:szCs w:val="24"/>
        </w:rPr>
        <w:t>costs (“the incidental applications”). In this regard, the learned judge made no order as to costs in respect of the</w:t>
      </w:r>
      <w:r w:rsidR="00157F8A" w:rsidRPr="00E506CA">
        <w:rPr>
          <w:rFonts w:ascii="Arial" w:hAnsi="Arial" w:cs="Arial"/>
          <w:sz w:val="24"/>
          <w:szCs w:val="24"/>
        </w:rPr>
        <w:t>se</w:t>
      </w:r>
      <w:r w:rsidRPr="00E506CA">
        <w:rPr>
          <w:rFonts w:ascii="Arial" w:hAnsi="Arial" w:cs="Arial"/>
          <w:sz w:val="24"/>
          <w:szCs w:val="24"/>
        </w:rPr>
        <w:t xml:space="preserve"> applications. A</w:t>
      </w:r>
      <w:r w:rsidR="005D7553" w:rsidRPr="00E506CA">
        <w:rPr>
          <w:rFonts w:ascii="Arial" w:hAnsi="Arial" w:cs="Arial"/>
          <w:sz w:val="24"/>
          <w:szCs w:val="24"/>
        </w:rPr>
        <w:t xml:space="preserve">lthough the appeal was lodged in respect of the whole </w:t>
      </w:r>
      <w:r w:rsidRPr="00E506CA">
        <w:rPr>
          <w:rFonts w:ascii="Arial" w:hAnsi="Arial" w:cs="Arial"/>
          <w:sz w:val="24"/>
          <w:szCs w:val="24"/>
        </w:rPr>
        <w:t xml:space="preserve">judgment and </w:t>
      </w:r>
      <w:r w:rsidR="005D7553" w:rsidRPr="00E506CA">
        <w:rPr>
          <w:rFonts w:ascii="Arial" w:hAnsi="Arial" w:cs="Arial"/>
          <w:sz w:val="24"/>
          <w:szCs w:val="24"/>
        </w:rPr>
        <w:t>order</w:t>
      </w:r>
      <w:r w:rsidRPr="00E506CA">
        <w:rPr>
          <w:rFonts w:ascii="Arial" w:hAnsi="Arial" w:cs="Arial"/>
          <w:sz w:val="24"/>
          <w:szCs w:val="24"/>
        </w:rPr>
        <w:t>, including the order</w:t>
      </w:r>
      <w:r w:rsidR="005F5F8F" w:rsidRPr="00E506CA">
        <w:rPr>
          <w:rFonts w:ascii="Arial" w:hAnsi="Arial" w:cs="Arial"/>
          <w:sz w:val="24"/>
          <w:szCs w:val="24"/>
        </w:rPr>
        <w:t>s</w:t>
      </w:r>
      <w:r w:rsidRPr="00E506CA">
        <w:rPr>
          <w:rFonts w:ascii="Arial" w:hAnsi="Arial" w:cs="Arial"/>
          <w:sz w:val="24"/>
          <w:szCs w:val="24"/>
        </w:rPr>
        <w:t xml:space="preserve"> relating to the incidental applications, </w:t>
      </w:r>
      <w:r w:rsidR="00157F8A" w:rsidRPr="00E506CA">
        <w:rPr>
          <w:rFonts w:ascii="Arial" w:hAnsi="Arial" w:cs="Arial"/>
          <w:sz w:val="24"/>
          <w:szCs w:val="24"/>
        </w:rPr>
        <w:t xml:space="preserve">this issue </w:t>
      </w:r>
      <w:r w:rsidRPr="00E506CA">
        <w:rPr>
          <w:rFonts w:ascii="Arial" w:hAnsi="Arial" w:cs="Arial"/>
          <w:sz w:val="24"/>
          <w:szCs w:val="24"/>
        </w:rPr>
        <w:t xml:space="preserve">was not addressed in either </w:t>
      </w:r>
      <w:r w:rsidR="00D22B8A" w:rsidRPr="00E506CA">
        <w:rPr>
          <w:rFonts w:ascii="Arial" w:hAnsi="Arial" w:cs="Arial"/>
          <w:sz w:val="24"/>
          <w:szCs w:val="24"/>
        </w:rPr>
        <w:t xml:space="preserve">of </w:t>
      </w:r>
      <w:r w:rsidRPr="00E506CA">
        <w:rPr>
          <w:rFonts w:ascii="Arial" w:hAnsi="Arial" w:cs="Arial"/>
          <w:sz w:val="24"/>
          <w:szCs w:val="24"/>
        </w:rPr>
        <w:t>the parties’ heads of argument or their oral submissions</w:t>
      </w:r>
      <w:r w:rsidR="00315A25" w:rsidRPr="00E506CA">
        <w:rPr>
          <w:rFonts w:ascii="Arial" w:hAnsi="Arial" w:cs="Arial"/>
          <w:sz w:val="24"/>
          <w:szCs w:val="24"/>
        </w:rPr>
        <w:t>.</w:t>
      </w:r>
      <w:r w:rsidRPr="00E506CA">
        <w:rPr>
          <w:rFonts w:ascii="Arial" w:hAnsi="Arial" w:cs="Arial"/>
          <w:sz w:val="24"/>
          <w:szCs w:val="24"/>
        </w:rPr>
        <w:t xml:space="preserve"> </w:t>
      </w:r>
      <w:r w:rsidR="00157F8A" w:rsidRPr="00E506CA">
        <w:rPr>
          <w:rFonts w:ascii="Arial" w:hAnsi="Arial" w:cs="Arial"/>
          <w:sz w:val="24"/>
          <w:szCs w:val="24"/>
        </w:rPr>
        <w:t>A</w:t>
      </w:r>
      <w:r w:rsidRPr="00E506CA">
        <w:rPr>
          <w:rFonts w:ascii="Arial" w:hAnsi="Arial" w:cs="Arial"/>
          <w:sz w:val="24"/>
          <w:szCs w:val="24"/>
        </w:rPr>
        <w:t xml:space="preserve"> cryptic reference is made to this aspect </w:t>
      </w:r>
      <w:r w:rsidR="00157F8A" w:rsidRPr="00E506CA">
        <w:rPr>
          <w:rFonts w:ascii="Arial" w:hAnsi="Arial" w:cs="Arial"/>
          <w:sz w:val="24"/>
          <w:szCs w:val="24"/>
        </w:rPr>
        <w:t xml:space="preserve">in the </w:t>
      </w:r>
      <w:r w:rsidR="00315A25" w:rsidRPr="00E506CA">
        <w:rPr>
          <w:rFonts w:ascii="Arial" w:hAnsi="Arial" w:cs="Arial"/>
          <w:sz w:val="24"/>
          <w:szCs w:val="24"/>
        </w:rPr>
        <w:t>appellant’s notice of appeal</w:t>
      </w:r>
      <w:r w:rsidRPr="00E506CA">
        <w:rPr>
          <w:rFonts w:ascii="Arial" w:hAnsi="Arial" w:cs="Arial"/>
          <w:sz w:val="24"/>
          <w:szCs w:val="24"/>
        </w:rPr>
        <w:t xml:space="preserve"> in the following terms:</w:t>
      </w:r>
    </w:p>
    <w:p w14:paraId="263F7D52" w14:textId="77777777" w:rsidR="009C52DE" w:rsidRPr="00E506CA" w:rsidRDefault="009C52DE" w:rsidP="00E506CA">
      <w:pPr>
        <w:pStyle w:val="ListParagraph"/>
        <w:spacing w:after="0" w:line="480" w:lineRule="auto"/>
        <w:ind w:left="2160"/>
        <w:jc w:val="both"/>
        <w:rPr>
          <w:rFonts w:ascii="Arial" w:hAnsi="Arial" w:cs="Arial"/>
          <w:sz w:val="24"/>
          <w:szCs w:val="24"/>
        </w:rPr>
      </w:pPr>
      <w:r w:rsidRPr="00E506CA">
        <w:rPr>
          <w:rFonts w:ascii="Arial" w:hAnsi="Arial" w:cs="Arial"/>
          <w:sz w:val="24"/>
          <w:szCs w:val="24"/>
        </w:rPr>
        <w:t>“</w:t>
      </w:r>
      <w:r w:rsidRPr="00E506CA">
        <w:rPr>
          <w:rFonts w:ascii="Arial" w:hAnsi="Arial" w:cs="Arial"/>
          <w:i/>
          <w:iCs/>
          <w:sz w:val="24"/>
          <w:szCs w:val="24"/>
        </w:rPr>
        <w:t xml:space="preserve">12. </w:t>
      </w:r>
      <w:r w:rsidR="001F5EFC" w:rsidRPr="00E506CA">
        <w:rPr>
          <w:rFonts w:ascii="Arial" w:hAnsi="Arial" w:cs="Arial"/>
          <w:i/>
          <w:iCs/>
          <w:sz w:val="24"/>
          <w:szCs w:val="24"/>
        </w:rPr>
        <w:tab/>
        <w:t>The Court a quo erred in finding that no order as to costs should be made in the applications dealt with in paragraphs 30 and 31 of the Judgment for the reasons set out above.</w:t>
      </w:r>
      <w:r w:rsidR="001F5EFC" w:rsidRPr="00E506CA">
        <w:rPr>
          <w:rFonts w:ascii="Arial" w:hAnsi="Arial" w:cs="Arial"/>
          <w:sz w:val="24"/>
          <w:szCs w:val="24"/>
        </w:rPr>
        <w:t>”</w:t>
      </w:r>
    </w:p>
    <w:p w14:paraId="6CB767D6" w14:textId="77777777" w:rsidR="009C52DE" w:rsidRPr="00E506CA" w:rsidRDefault="009C52DE" w:rsidP="00E506CA">
      <w:pPr>
        <w:pStyle w:val="ListParagraph"/>
        <w:spacing w:after="0" w:line="480" w:lineRule="auto"/>
        <w:ind w:left="709"/>
        <w:jc w:val="both"/>
        <w:rPr>
          <w:rFonts w:ascii="Arial" w:hAnsi="Arial" w:cs="Arial"/>
          <w:i/>
          <w:iCs/>
          <w:sz w:val="24"/>
          <w:szCs w:val="24"/>
        </w:rPr>
      </w:pPr>
      <w:r w:rsidRPr="00E506CA">
        <w:rPr>
          <w:rFonts w:ascii="Arial" w:hAnsi="Arial" w:cs="Arial"/>
          <w:sz w:val="24"/>
          <w:szCs w:val="24"/>
        </w:rPr>
        <w:t xml:space="preserve">However, no reasons are provided in the notice of appeal substantiating </w:t>
      </w:r>
      <w:r w:rsidR="00157F8A" w:rsidRPr="00E506CA">
        <w:rPr>
          <w:rFonts w:ascii="Arial" w:hAnsi="Arial" w:cs="Arial"/>
          <w:sz w:val="24"/>
          <w:szCs w:val="24"/>
        </w:rPr>
        <w:t xml:space="preserve">why the court </w:t>
      </w:r>
      <w:r w:rsidR="00D22B8A" w:rsidRPr="00E506CA">
        <w:rPr>
          <w:rFonts w:ascii="Arial" w:hAnsi="Arial" w:cs="Arial"/>
          <w:sz w:val="24"/>
          <w:szCs w:val="24"/>
        </w:rPr>
        <w:t xml:space="preserve">a quo </w:t>
      </w:r>
      <w:r w:rsidR="001B7051" w:rsidRPr="00E506CA">
        <w:rPr>
          <w:rFonts w:ascii="Arial" w:hAnsi="Arial" w:cs="Arial"/>
          <w:sz w:val="24"/>
          <w:szCs w:val="24"/>
        </w:rPr>
        <w:t xml:space="preserve">was </w:t>
      </w:r>
      <w:r w:rsidR="00BA734F" w:rsidRPr="00E506CA">
        <w:rPr>
          <w:rFonts w:ascii="Arial" w:hAnsi="Arial" w:cs="Arial"/>
          <w:sz w:val="24"/>
          <w:szCs w:val="24"/>
        </w:rPr>
        <w:t xml:space="preserve">said to have </w:t>
      </w:r>
      <w:r w:rsidR="0093221A" w:rsidRPr="00E506CA">
        <w:rPr>
          <w:rFonts w:ascii="Arial" w:hAnsi="Arial" w:cs="Arial"/>
          <w:sz w:val="24"/>
          <w:szCs w:val="24"/>
        </w:rPr>
        <w:t xml:space="preserve">erred in </w:t>
      </w:r>
      <w:r w:rsidR="00BA734F" w:rsidRPr="00E506CA">
        <w:rPr>
          <w:rFonts w:ascii="Arial" w:hAnsi="Arial" w:cs="Arial"/>
          <w:sz w:val="24"/>
          <w:szCs w:val="24"/>
        </w:rPr>
        <w:t>making the order</w:t>
      </w:r>
      <w:r w:rsidR="005F5F8F" w:rsidRPr="00E506CA">
        <w:rPr>
          <w:rFonts w:ascii="Arial" w:hAnsi="Arial" w:cs="Arial"/>
          <w:sz w:val="24"/>
          <w:szCs w:val="24"/>
        </w:rPr>
        <w:t>s</w:t>
      </w:r>
      <w:r w:rsidR="00BA734F" w:rsidRPr="00E506CA">
        <w:rPr>
          <w:rFonts w:ascii="Arial" w:hAnsi="Arial" w:cs="Arial"/>
          <w:sz w:val="24"/>
          <w:szCs w:val="24"/>
        </w:rPr>
        <w:t xml:space="preserve"> that it did.</w:t>
      </w:r>
      <w:r w:rsidR="0093221A" w:rsidRPr="00E506CA">
        <w:rPr>
          <w:rFonts w:ascii="Arial" w:hAnsi="Arial" w:cs="Arial"/>
          <w:sz w:val="24"/>
          <w:szCs w:val="24"/>
        </w:rPr>
        <w:t xml:space="preserve"> In the </w:t>
      </w:r>
      <w:r w:rsidR="0093221A" w:rsidRPr="00E506CA">
        <w:rPr>
          <w:rFonts w:ascii="Arial" w:hAnsi="Arial" w:cs="Arial"/>
          <w:sz w:val="24"/>
          <w:szCs w:val="24"/>
        </w:rPr>
        <w:lastRenderedPageBreak/>
        <w:t xml:space="preserve">absence of any </w:t>
      </w:r>
      <w:r w:rsidR="001B7051" w:rsidRPr="00E506CA">
        <w:rPr>
          <w:rFonts w:ascii="Arial" w:hAnsi="Arial" w:cs="Arial"/>
          <w:sz w:val="24"/>
          <w:szCs w:val="24"/>
        </w:rPr>
        <w:t>grounds f</w:t>
      </w:r>
      <w:r w:rsidR="0093221A" w:rsidRPr="00E506CA">
        <w:rPr>
          <w:rFonts w:ascii="Arial" w:hAnsi="Arial" w:cs="Arial"/>
          <w:sz w:val="24"/>
          <w:szCs w:val="24"/>
        </w:rPr>
        <w:t xml:space="preserve">or interfering with this finding, </w:t>
      </w:r>
      <w:r w:rsidR="00BA734F" w:rsidRPr="00E506CA">
        <w:rPr>
          <w:rFonts w:ascii="Arial" w:hAnsi="Arial" w:cs="Arial"/>
          <w:sz w:val="24"/>
          <w:szCs w:val="24"/>
        </w:rPr>
        <w:t xml:space="preserve">I do </w:t>
      </w:r>
      <w:r w:rsidR="0093221A" w:rsidRPr="00E506CA">
        <w:rPr>
          <w:rFonts w:ascii="Arial" w:hAnsi="Arial" w:cs="Arial"/>
          <w:sz w:val="24"/>
          <w:szCs w:val="24"/>
        </w:rPr>
        <w:t xml:space="preserve">not see any reason </w:t>
      </w:r>
      <w:r w:rsidR="00BA734F" w:rsidRPr="00E506CA">
        <w:rPr>
          <w:rFonts w:ascii="Arial" w:hAnsi="Arial" w:cs="Arial"/>
          <w:sz w:val="24"/>
          <w:szCs w:val="24"/>
        </w:rPr>
        <w:t xml:space="preserve">why this </w:t>
      </w:r>
      <w:r w:rsidR="005F5F8F" w:rsidRPr="00E506CA">
        <w:rPr>
          <w:rFonts w:ascii="Arial" w:hAnsi="Arial" w:cs="Arial"/>
          <w:sz w:val="24"/>
          <w:szCs w:val="24"/>
        </w:rPr>
        <w:t>C</w:t>
      </w:r>
      <w:r w:rsidR="00BA734F" w:rsidRPr="00E506CA">
        <w:rPr>
          <w:rFonts w:ascii="Arial" w:hAnsi="Arial" w:cs="Arial"/>
          <w:sz w:val="24"/>
          <w:szCs w:val="24"/>
        </w:rPr>
        <w:t xml:space="preserve">ourt should interfere with this aspect </w:t>
      </w:r>
      <w:r w:rsidR="0093221A" w:rsidRPr="00E506CA">
        <w:rPr>
          <w:rFonts w:ascii="Arial" w:hAnsi="Arial" w:cs="Arial"/>
          <w:sz w:val="24"/>
          <w:szCs w:val="24"/>
        </w:rPr>
        <w:t>of the judgment and order of the court</w:t>
      </w:r>
      <w:r w:rsidR="00BA734F" w:rsidRPr="00E506CA">
        <w:rPr>
          <w:rFonts w:ascii="Arial" w:hAnsi="Arial" w:cs="Arial"/>
          <w:sz w:val="24"/>
          <w:szCs w:val="24"/>
        </w:rPr>
        <w:t xml:space="preserve"> below</w:t>
      </w:r>
      <w:r w:rsidR="0093221A" w:rsidRPr="00E506CA">
        <w:rPr>
          <w:rFonts w:ascii="Arial" w:hAnsi="Arial" w:cs="Arial"/>
          <w:i/>
          <w:iCs/>
          <w:sz w:val="24"/>
          <w:szCs w:val="24"/>
        </w:rPr>
        <w:t>.</w:t>
      </w:r>
    </w:p>
    <w:p w14:paraId="53176DA9" w14:textId="77777777" w:rsidR="009C52DE" w:rsidRDefault="009C52DE" w:rsidP="005D7553">
      <w:pPr>
        <w:spacing w:after="0" w:line="480" w:lineRule="auto"/>
        <w:ind w:left="720" w:hanging="720"/>
        <w:jc w:val="both"/>
        <w:rPr>
          <w:rFonts w:ascii="Arial" w:hAnsi="Arial" w:cs="Arial"/>
          <w:sz w:val="24"/>
          <w:szCs w:val="24"/>
        </w:rPr>
      </w:pPr>
    </w:p>
    <w:p w14:paraId="44D6BC0B" w14:textId="77777777" w:rsidR="0093221A" w:rsidRPr="00E506CA" w:rsidRDefault="0093221A"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Hockey AJ refused leave to appeal and this appeal is with leave of the Supreme Court of Appeal. </w:t>
      </w:r>
    </w:p>
    <w:p w14:paraId="7CF8CF0E" w14:textId="77777777" w:rsidR="00EB5311" w:rsidRDefault="00EB5311" w:rsidP="005D7553">
      <w:pPr>
        <w:spacing w:after="0" w:line="480" w:lineRule="auto"/>
        <w:ind w:left="720" w:hanging="720"/>
        <w:jc w:val="both"/>
        <w:rPr>
          <w:rFonts w:ascii="Arial" w:hAnsi="Arial" w:cs="Arial"/>
          <w:sz w:val="24"/>
          <w:szCs w:val="24"/>
        </w:rPr>
      </w:pPr>
    </w:p>
    <w:p w14:paraId="702C3CDA" w14:textId="77777777" w:rsidR="00EB5311" w:rsidRPr="00E506CA" w:rsidRDefault="00EB5311"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The</w:t>
      </w:r>
      <w:r w:rsidR="00D22B8A">
        <w:rPr>
          <w:rFonts w:ascii="Arial" w:hAnsi="Arial" w:cs="Arial"/>
          <w:sz w:val="24"/>
          <w:szCs w:val="24"/>
        </w:rPr>
        <w:t xml:space="preserve"> </w:t>
      </w:r>
      <w:r w:rsidRPr="00E506CA">
        <w:rPr>
          <w:rFonts w:ascii="Arial" w:hAnsi="Arial" w:cs="Arial"/>
          <w:sz w:val="24"/>
          <w:szCs w:val="24"/>
        </w:rPr>
        <w:t>issues</w:t>
      </w:r>
      <w:r w:rsidR="0093221A" w:rsidRPr="00E506CA">
        <w:rPr>
          <w:rFonts w:ascii="Arial" w:hAnsi="Arial" w:cs="Arial"/>
          <w:sz w:val="24"/>
          <w:szCs w:val="24"/>
        </w:rPr>
        <w:t xml:space="preserve"> </w:t>
      </w:r>
      <w:r w:rsidRPr="00E506CA">
        <w:rPr>
          <w:rFonts w:ascii="Arial" w:hAnsi="Arial" w:cs="Arial"/>
          <w:sz w:val="24"/>
          <w:szCs w:val="24"/>
        </w:rPr>
        <w:t>on appeal are twofold:</w:t>
      </w:r>
    </w:p>
    <w:p w14:paraId="6C275F45" w14:textId="77777777" w:rsidR="00EB5311" w:rsidRDefault="00EB5311" w:rsidP="00EB5311">
      <w:pPr>
        <w:spacing w:after="0" w:line="480" w:lineRule="auto"/>
        <w:ind w:left="720" w:hanging="720"/>
        <w:jc w:val="both"/>
        <w:rPr>
          <w:rFonts w:ascii="Arial" w:hAnsi="Arial" w:cs="Arial"/>
          <w:sz w:val="24"/>
          <w:szCs w:val="24"/>
        </w:rPr>
      </w:pPr>
    </w:p>
    <w:p w14:paraId="3D7EBF72" w14:textId="77777777" w:rsidR="00EB5311" w:rsidRPr="00E506CA" w:rsidRDefault="00EB5311" w:rsidP="00E506CA">
      <w:pPr>
        <w:pStyle w:val="ListParagraph"/>
        <w:spacing w:after="0" w:line="480" w:lineRule="auto"/>
        <w:ind w:left="1440" w:hanging="720"/>
        <w:jc w:val="both"/>
        <w:rPr>
          <w:rFonts w:ascii="Arial" w:hAnsi="Arial" w:cs="Arial"/>
          <w:sz w:val="24"/>
          <w:szCs w:val="24"/>
        </w:rPr>
      </w:pPr>
      <w:r w:rsidRPr="00E506CA">
        <w:rPr>
          <w:rFonts w:ascii="Arial" w:hAnsi="Arial" w:cs="Arial"/>
          <w:sz w:val="24"/>
          <w:szCs w:val="24"/>
        </w:rPr>
        <w:t>[</w:t>
      </w:r>
      <w:r w:rsidR="0093221A" w:rsidRPr="00E506CA">
        <w:rPr>
          <w:rFonts w:ascii="Arial" w:hAnsi="Arial" w:cs="Arial"/>
          <w:sz w:val="24"/>
          <w:szCs w:val="24"/>
        </w:rPr>
        <w:t>5</w:t>
      </w:r>
      <w:r w:rsidRPr="00E506CA">
        <w:rPr>
          <w:rFonts w:ascii="Arial" w:hAnsi="Arial" w:cs="Arial"/>
          <w:sz w:val="24"/>
          <w:szCs w:val="24"/>
        </w:rPr>
        <w:t>.1]</w:t>
      </w:r>
      <w:r w:rsidRPr="00E506CA">
        <w:rPr>
          <w:rFonts w:ascii="Arial" w:hAnsi="Arial" w:cs="Arial"/>
          <w:sz w:val="24"/>
          <w:szCs w:val="24"/>
        </w:rPr>
        <w:tab/>
      </w:r>
      <w:r w:rsidR="0093221A" w:rsidRPr="00E506CA">
        <w:rPr>
          <w:rFonts w:ascii="Arial" w:hAnsi="Arial" w:cs="Arial"/>
          <w:sz w:val="24"/>
          <w:szCs w:val="24"/>
        </w:rPr>
        <w:t>i</w:t>
      </w:r>
      <w:r w:rsidRPr="00E506CA">
        <w:rPr>
          <w:rFonts w:ascii="Arial" w:hAnsi="Arial" w:cs="Arial"/>
          <w:sz w:val="24"/>
          <w:szCs w:val="24"/>
        </w:rPr>
        <w:t xml:space="preserve">s there a </w:t>
      </w:r>
      <w:r w:rsidRPr="00E506CA">
        <w:rPr>
          <w:rFonts w:ascii="Arial" w:hAnsi="Arial" w:cs="Arial"/>
          <w:i/>
          <w:iCs/>
          <w:sz w:val="24"/>
          <w:szCs w:val="24"/>
        </w:rPr>
        <w:t xml:space="preserve">bona fide </w:t>
      </w:r>
      <w:r w:rsidRPr="00E506CA">
        <w:rPr>
          <w:rFonts w:ascii="Arial" w:hAnsi="Arial" w:cs="Arial"/>
          <w:sz w:val="24"/>
          <w:szCs w:val="24"/>
        </w:rPr>
        <w:t xml:space="preserve">dispute on the papers </w:t>
      </w:r>
      <w:r w:rsidR="005F5F8F" w:rsidRPr="00E506CA">
        <w:rPr>
          <w:rFonts w:ascii="Arial" w:hAnsi="Arial" w:cs="Arial"/>
          <w:sz w:val="24"/>
          <w:szCs w:val="24"/>
        </w:rPr>
        <w:t>on</w:t>
      </w:r>
      <w:r w:rsidRPr="00E506CA">
        <w:rPr>
          <w:rFonts w:ascii="Arial" w:hAnsi="Arial" w:cs="Arial"/>
          <w:sz w:val="24"/>
          <w:szCs w:val="24"/>
        </w:rPr>
        <w:t xml:space="preserve"> the existence of </w:t>
      </w:r>
      <w:r w:rsidR="005F5F8F" w:rsidRPr="00E506CA">
        <w:rPr>
          <w:rFonts w:ascii="Arial" w:hAnsi="Arial" w:cs="Arial"/>
          <w:sz w:val="24"/>
          <w:szCs w:val="24"/>
        </w:rPr>
        <w:t>the</w:t>
      </w:r>
      <w:r w:rsidRPr="00E506CA">
        <w:rPr>
          <w:rFonts w:ascii="Arial" w:hAnsi="Arial" w:cs="Arial"/>
          <w:sz w:val="24"/>
          <w:szCs w:val="24"/>
        </w:rPr>
        <w:t xml:space="preserve"> partnership</w:t>
      </w:r>
      <w:r w:rsidR="00BA734F" w:rsidRPr="00E506CA">
        <w:rPr>
          <w:rFonts w:ascii="Arial" w:hAnsi="Arial" w:cs="Arial"/>
          <w:sz w:val="24"/>
          <w:szCs w:val="24"/>
        </w:rPr>
        <w:t>; and</w:t>
      </w:r>
    </w:p>
    <w:p w14:paraId="4283491D" w14:textId="77777777" w:rsidR="00EB5311" w:rsidRDefault="00EB5311" w:rsidP="00EB5311">
      <w:pPr>
        <w:spacing w:after="0" w:line="480" w:lineRule="auto"/>
        <w:ind w:left="1440" w:hanging="1440"/>
        <w:jc w:val="both"/>
        <w:rPr>
          <w:rFonts w:ascii="Arial" w:hAnsi="Arial" w:cs="Arial"/>
          <w:sz w:val="24"/>
          <w:szCs w:val="24"/>
        </w:rPr>
      </w:pPr>
    </w:p>
    <w:p w14:paraId="4198A910" w14:textId="77777777" w:rsidR="00EB5311" w:rsidRPr="00E506CA" w:rsidRDefault="00EB5311" w:rsidP="00E506CA">
      <w:pPr>
        <w:pStyle w:val="ListParagraph"/>
        <w:spacing w:after="0" w:line="480" w:lineRule="auto"/>
        <w:ind w:left="1440" w:hanging="720"/>
        <w:jc w:val="both"/>
        <w:rPr>
          <w:rFonts w:ascii="Arial" w:hAnsi="Arial" w:cs="Arial"/>
          <w:sz w:val="24"/>
          <w:szCs w:val="24"/>
        </w:rPr>
      </w:pPr>
      <w:r w:rsidRPr="00E506CA">
        <w:rPr>
          <w:rFonts w:ascii="Arial" w:hAnsi="Arial" w:cs="Arial"/>
          <w:sz w:val="24"/>
          <w:szCs w:val="24"/>
        </w:rPr>
        <w:t>[</w:t>
      </w:r>
      <w:r w:rsidR="0093221A" w:rsidRPr="00E506CA">
        <w:rPr>
          <w:rFonts w:ascii="Arial" w:hAnsi="Arial" w:cs="Arial"/>
          <w:sz w:val="24"/>
          <w:szCs w:val="24"/>
        </w:rPr>
        <w:t>5</w:t>
      </w:r>
      <w:r w:rsidRPr="00E506CA">
        <w:rPr>
          <w:rFonts w:ascii="Arial" w:hAnsi="Arial" w:cs="Arial"/>
          <w:sz w:val="24"/>
          <w:szCs w:val="24"/>
        </w:rPr>
        <w:t>.2]</w:t>
      </w:r>
      <w:r w:rsidRPr="00E506CA">
        <w:rPr>
          <w:rFonts w:ascii="Arial" w:hAnsi="Arial" w:cs="Arial"/>
          <w:sz w:val="24"/>
          <w:szCs w:val="24"/>
        </w:rPr>
        <w:tab/>
      </w:r>
      <w:r w:rsidR="0093221A" w:rsidRPr="00E506CA">
        <w:rPr>
          <w:rFonts w:ascii="Arial" w:hAnsi="Arial" w:cs="Arial"/>
          <w:sz w:val="24"/>
          <w:szCs w:val="24"/>
        </w:rPr>
        <w:t>d</w:t>
      </w:r>
      <w:r w:rsidRPr="00E506CA">
        <w:rPr>
          <w:rFonts w:ascii="Arial" w:hAnsi="Arial" w:cs="Arial"/>
          <w:sz w:val="24"/>
          <w:szCs w:val="24"/>
        </w:rPr>
        <w:t xml:space="preserve">id the court </w:t>
      </w:r>
      <w:r w:rsidRPr="00E506CA">
        <w:rPr>
          <w:rFonts w:ascii="Arial" w:hAnsi="Arial" w:cs="Arial"/>
          <w:i/>
          <w:iCs/>
          <w:sz w:val="24"/>
          <w:szCs w:val="24"/>
        </w:rPr>
        <w:t xml:space="preserve">a quo </w:t>
      </w:r>
      <w:r w:rsidRPr="00E506CA">
        <w:rPr>
          <w:rFonts w:ascii="Arial" w:hAnsi="Arial" w:cs="Arial"/>
          <w:sz w:val="24"/>
          <w:szCs w:val="24"/>
        </w:rPr>
        <w:t>exercise its discretion judicially when refusing</w:t>
      </w:r>
      <w:r w:rsidR="00D22B8A" w:rsidRPr="00E506CA">
        <w:rPr>
          <w:rFonts w:ascii="Arial" w:hAnsi="Arial" w:cs="Arial"/>
          <w:sz w:val="24"/>
          <w:szCs w:val="24"/>
        </w:rPr>
        <w:t xml:space="preserve"> the appellant’s request</w:t>
      </w:r>
      <w:r w:rsidRPr="00E506CA">
        <w:rPr>
          <w:rFonts w:ascii="Arial" w:hAnsi="Arial" w:cs="Arial"/>
          <w:sz w:val="24"/>
          <w:szCs w:val="24"/>
        </w:rPr>
        <w:t xml:space="preserve"> to refer </w:t>
      </w:r>
      <w:r w:rsidR="00D22B8A" w:rsidRPr="00E506CA">
        <w:rPr>
          <w:rFonts w:ascii="Arial" w:hAnsi="Arial" w:cs="Arial"/>
          <w:sz w:val="24"/>
          <w:szCs w:val="24"/>
        </w:rPr>
        <w:t>the issues in dispute</w:t>
      </w:r>
      <w:r w:rsidRPr="00E506CA">
        <w:rPr>
          <w:rFonts w:ascii="Arial" w:hAnsi="Arial" w:cs="Arial"/>
          <w:sz w:val="24"/>
          <w:szCs w:val="24"/>
        </w:rPr>
        <w:t xml:space="preserve"> </w:t>
      </w:r>
      <w:r w:rsidR="00D22B8A" w:rsidRPr="00E506CA">
        <w:rPr>
          <w:rFonts w:ascii="Arial" w:hAnsi="Arial" w:cs="Arial"/>
          <w:sz w:val="24"/>
          <w:szCs w:val="24"/>
        </w:rPr>
        <w:t xml:space="preserve">for </w:t>
      </w:r>
      <w:r w:rsidRPr="00E506CA">
        <w:rPr>
          <w:rFonts w:ascii="Arial" w:hAnsi="Arial" w:cs="Arial"/>
          <w:sz w:val="24"/>
          <w:szCs w:val="24"/>
        </w:rPr>
        <w:t>oral evidence</w:t>
      </w:r>
      <w:r w:rsidR="00BA734F" w:rsidRPr="00E506CA">
        <w:rPr>
          <w:rFonts w:ascii="Arial" w:hAnsi="Arial" w:cs="Arial"/>
          <w:sz w:val="24"/>
          <w:szCs w:val="24"/>
        </w:rPr>
        <w:t>.</w:t>
      </w:r>
    </w:p>
    <w:p w14:paraId="189AA840" w14:textId="77777777" w:rsidR="00EB5311" w:rsidRDefault="00EB5311" w:rsidP="00EB5311">
      <w:pPr>
        <w:spacing w:after="0" w:line="480" w:lineRule="auto"/>
        <w:ind w:left="1440" w:hanging="1440"/>
        <w:jc w:val="both"/>
        <w:rPr>
          <w:rFonts w:ascii="Arial" w:hAnsi="Arial" w:cs="Arial"/>
          <w:sz w:val="24"/>
          <w:szCs w:val="24"/>
        </w:rPr>
      </w:pPr>
    </w:p>
    <w:p w14:paraId="00356623" w14:textId="77777777" w:rsidR="00EB5311" w:rsidRPr="00E506CA" w:rsidRDefault="0093221A" w:rsidP="00E506CA">
      <w:pPr>
        <w:pStyle w:val="ListParagraph"/>
        <w:numPr>
          <w:ilvl w:val="0"/>
          <w:numId w:val="2"/>
        </w:numPr>
        <w:spacing w:after="0" w:line="480" w:lineRule="auto"/>
        <w:ind w:left="709" w:hanging="709"/>
        <w:jc w:val="both"/>
        <w:rPr>
          <w:rFonts w:ascii="Arial" w:hAnsi="Arial" w:cs="Arial"/>
          <w:sz w:val="24"/>
          <w:szCs w:val="24"/>
        </w:rPr>
      </w:pPr>
      <w:r w:rsidRPr="00E506CA">
        <w:rPr>
          <w:rFonts w:ascii="Arial" w:hAnsi="Arial" w:cs="Arial"/>
          <w:sz w:val="24"/>
          <w:szCs w:val="24"/>
        </w:rPr>
        <w:t>The undisputed facts</w:t>
      </w:r>
      <w:r w:rsidR="00BA734F" w:rsidRPr="00E506CA">
        <w:rPr>
          <w:rFonts w:ascii="Arial" w:hAnsi="Arial" w:cs="Arial"/>
          <w:sz w:val="24"/>
          <w:szCs w:val="24"/>
        </w:rPr>
        <w:t xml:space="preserve"> relevant to this appeal</w:t>
      </w:r>
      <w:r w:rsidRPr="00E506CA">
        <w:rPr>
          <w:rFonts w:ascii="Arial" w:hAnsi="Arial" w:cs="Arial"/>
          <w:sz w:val="24"/>
          <w:szCs w:val="24"/>
        </w:rPr>
        <w:t>, as they appear from the affidavits filed,</w:t>
      </w:r>
      <w:r w:rsidR="00BA734F" w:rsidRPr="00E506CA">
        <w:rPr>
          <w:rFonts w:ascii="Arial" w:hAnsi="Arial" w:cs="Arial"/>
          <w:sz w:val="24"/>
          <w:szCs w:val="24"/>
        </w:rPr>
        <w:t xml:space="preserve"> </w:t>
      </w:r>
      <w:r w:rsidRPr="00E506CA">
        <w:rPr>
          <w:rFonts w:ascii="Arial" w:hAnsi="Arial" w:cs="Arial"/>
          <w:sz w:val="24"/>
          <w:szCs w:val="24"/>
        </w:rPr>
        <w:t xml:space="preserve">are briefly as follows. </w:t>
      </w:r>
      <w:r w:rsidR="00EB5311" w:rsidRPr="00E506CA">
        <w:rPr>
          <w:rFonts w:ascii="Arial" w:hAnsi="Arial" w:cs="Arial"/>
          <w:sz w:val="24"/>
          <w:szCs w:val="24"/>
        </w:rPr>
        <w:t xml:space="preserve">The appellant is an </w:t>
      </w:r>
      <w:r w:rsidR="00FB2BA7" w:rsidRPr="00E506CA">
        <w:rPr>
          <w:rFonts w:ascii="Arial" w:hAnsi="Arial" w:cs="Arial"/>
          <w:sz w:val="24"/>
          <w:szCs w:val="24"/>
        </w:rPr>
        <w:t>American</w:t>
      </w:r>
      <w:r w:rsidR="00EB5311" w:rsidRPr="00E506CA">
        <w:rPr>
          <w:rFonts w:ascii="Arial" w:hAnsi="Arial" w:cs="Arial"/>
          <w:sz w:val="24"/>
          <w:szCs w:val="24"/>
        </w:rPr>
        <w:t xml:space="preserve"> citizen </w:t>
      </w:r>
      <w:r w:rsidRPr="00E506CA">
        <w:rPr>
          <w:rFonts w:ascii="Arial" w:hAnsi="Arial" w:cs="Arial"/>
          <w:sz w:val="24"/>
          <w:szCs w:val="24"/>
        </w:rPr>
        <w:t>who resides and works in Dubai in the United Arab Emirates. T</w:t>
      </w:r>
      <w:r w:rsidR="00EB5311" w:rsidRPr="00E506CA">
        <w:rPr>
          <w:rFonts w:ascii="Arial" w:hAnsi="Arial" w:cs="Arial"/>
          <w:sz w:val="24"/>
          <w:szCs w:val="24"/>
        </w:rPr>
        <w:t xml:space="preserve">he respondent is a South African citizen. The parties married on 3 February 2001 in South Africa in terms of an </w:t>
      </w:r>
      <w:r w:rsidR="00E506CA" w:rsidRPr="00E506CA">
        <w:rPr>
          <w:rFonts w:ascii="Arial" w:hAnsi="Arial" w:cs="Arial"/>
          <w:sz w:val="24"/>
          <w:szCs w:val="24"/>
        </w:rPr>
        <w:t>ante nuptial</w:t>
      </w:r>
      <w:r w:rsidR="00EB5311" w:rsidRPr="00E506CA">
        <w:rPr>
          <w:rFonts w:ascii="Arial" w:hAnsi="Arial" w:cs="Arial"/>
          <w:sz w:val="24"/>
          <w:szCs w:val="24"/>
        </w:rPr>
        <w:t xml:space="preserve"> contract </w:t>
      </w:r>
      <w:r w:rsidR="00D22B8A" w:rsidRPr="00E506CA">
        <w:rPr>
          <w:rFonts w:ascii="Arial" w:hAnsi="Arial" w:cs="Arial"/>
          <w:sz w:val="24"/>
          <w:szCs w:val="24"/>
        </w:rPr>
        <w:t>incorporating</w:t>
      </w:r>
      <w:r w:rsidR="00EB5311" w:rsidRPr="00E506CA">
        <w:rPr>
          <w:rFonts w:ascii="Arial" w:hAnsi="Arial" w:cs="Arial"/>
          <w:sz w:val="24"/>
          <w:szCs w:val="24"/>
        </w:rPr>
        <w:t xml:space="preserve"> the accrual system. Shortly after their marriage, the respondent </w:t>
      </w:r>
      <w:r w:rsidR="007D4311" w:rsidRPr="00E506CA">
        <w:rPr>
          <w:rFonts w:ascii="Arial" w:hAnsi="Arial" w:cs="Arial"/>
          <w:sz w:val="24"/>
          <w:szCs w:val="24"/>
        </w:rPr>
        <w:t xml:space="preserve">joined the appellant and took </w:t>
      </w:r>
      <w:r w:rsidR="00EB5311" w:rsidRPr="00E506CA">
        <w:rPr>
          <w:rFonts w:ascii="Arial" w:hAnsi="Arial" w:cs="Arial"/>
          <w:sz w:val="24"/>
          <w:szCs w:val="24"/>
        </w:rPr>
        <w:t xml:space="preserve">up residence in Dubai. </w:t>
      </w:r>
    </w:p>
    <w:p w14:paraId="1B9BF9C0" w14:textId="77777777" w:rsidR="00EB5311" w:rsidRDefault="00EB5311" w:rsidP="00EB5311">
      <w:pPr>
        <w:spacing w:after="0" w:line="480" w:lineRule="auto"/>
        <w:ind w:left="709" w:hanging="709"/>
        <w:jc w:val="both"/>
        <w:rPr>
          <w:rFonts w:ascii="Arial" w:hAnsi="Arial" w:cs="Arial"/>
          <w:sz w:val="24"/>
          <w:szCs w:val="24"/>
        </w:rPr>
      </w:pPr>
    </w:p>
    <w:p w14:paraId="49C8F499" w14:textId="77777777" w:rsidR="00EB5311" w:rsidRPr="00E506CA" w:rsidRDefault="007D4311"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While on a visit </w:t>
      </w:r>
      <w:r w:rsidR="00EB5311" w:rsidRPr="00E506CA">
        <w:rPr>
          <w:rFonts w:ascii="Arial" w:hAnsi="Arial" w:cs="Arial"/>
          <w:sz w:val="24"/>
          <w:szCs w:val="24"/>
        </w:rPr>
        <w:t xml:space="preserve">to South Africa during 2016, the couple viewed the farm which they both considered as a business opportunity to be developed as a game farm with guest lodges. The farm was duly purchased and registered in the </w:t>
      </w:r>
      <w:r w:rsidR="00EB5311" w:rsidRPr="00E506CA">
        <w:rPr>
          <w:rFonts w:ascii="Arial" w:hAnsi="Arial" w:cs="Arial"/>
          <w:sz w:val="24"/>
          <w:szCs w:val="24"/>
        </w:rPr>
        <w:lastRenderedPageBreak/>
        <w:t xml:space="preserve">respondent’s name. The purchase price was paid from monies advanced by the appellant who also paid the </w:t>
      </w:r>
      <w:r w:rsidRPr="00E506CA">
        <w:rPr>
          <w:rFonts w:ascii="Arial" w:hAnsi="Arial" w:cs="Arial"/>
          <w:sz w:val="24"/>
          <w:szCs w:val="24"/>
        </w:rPr>
        <w:t xml:space="preserve">estate agent’s </w:t>
      </w:r>
      <w:r w:rsidR="00EB5311" w:rsidRPr="00E506CA">
        <w:rPr>
          <w:rFonts w:ascii="Arial" w:hAnsi="Arial" w:cs="Arial"/>
          <w:sz w:val="24"/>
          <w:szCs w:val="24"/>
        </w:rPr>
        <w:t>commission and transfer duty. After the farm was purchased, the appellant arranged for and bought game, erected gam</w:t>
      </w:r>
      <w:r w:rsidRPr="00E506CA">
        <w:rPr>
          <w:rFonts w:ascii="Arial" w:hAnsi="Arial" w:cs="Arial"/>
          <w:sz w:val="24"/>
          <w:szCs w:val="24"/>
        </w:rPr>
        <w:t>e</w:t>
      </w:r>
      <w:r w:rsidR="00EB5311" w:rsidRPr="00E506CA">
        <w:rPr>
          <w:rFonts w:ascii="Arial" w:hAnsi="Arial" w:cs="Arial"/>
          <w:sz w:val="24"/>
          <w:szCs w:val="24"/>
        </w:rPr>
        <w:t xml:space="preserve"> fences, and made further improvements to the farm. The appellant was initially the sole financier of the farm. The respondent conducted the day-to-day business of the farm and the appellant visited the farm when his work schedule allowed </w:t>
      </w:r>
      <w:r w:rsidR="00D22B8A" w:rsidRPr="00E506CA">
        <w:rPr>
          <w:rFonts w:ascii="Arial" w:hAnsi="Arial" w:cs="Arial"/>
          <w:sz w:val="24"/>
          <w:szCs w:val="24"/>
        </w:rPr>
        <w:t>it</w:t>
      </w:r>
      <w:r w:rsidR="00EB5311" w:rsidRPr="00E506CA">
        <w:rPr>
          <w:rFonts w:ascii="Arial" w:hAnsi="Arial" w:cs="Arial"/>
          <w:sz w:val="24"/>
          <w:szCs w:val="24"/>
        </w:rPr>
        <w:t>. Sometime after the business commenced, the respondent’s</w:t>
      </w:r>
      <w:r w:rsidRPr="00E506CA">
        <w:rPr>
          <w:rFonts w:ascii="Arial" w:hAnsi="Arial" w:cs="Arial"/>
          <w:sz w:val="24"/>
          <w:szCs w:val="24"/>
        </w:rPr>
        <w:t xml:space="preserve"> parents </w:t>
      </w:r>
      <w:r w:rsidR="00EB5311" w:rsidRPr="00E506CA">
        <w:rPr>
          <w:rFonts w:ascii="Arial" w:hAnsi="Arial" w:cs="Arial"/>
          <w:sz w:val="24"/>
          <w:szCs w:val="24"/>
        </w:rPr>
        <w:t xml:space="preserve">moved </w:t>
      </w:r>
      <w:r w:rsidR="00BA734F" w:rsidRPr="00E506CA">
        <w:rPr>
          <w:rFonts w:ascii="Arial" w:hAnsi="Arial" w:cs="Arial"/>
          <w:sz w:val="24"/>
          <w:szCs w:val="24"/>
        </w:rPr>
        <w:t>on</w:t>
      </w:r>
      <w:r w:rsidR="00EB5311" w:rsidRPr="00E506CA">
        <w:rPr>
          <w:rFonts w:ascii="Arial" w:hAnsi="Arial" w:cs="Arial"/>
          <w:sz w:val="24"/>
          <w:szCs w:val="24"/>
        </w:rPr>
        <w:t xml:space="preserve">to the farm where they took up residence and helped out on the farm for which they received </w:t>
      </w:r>
      <w:r w:rsidR="005F5F8F" w:rsidRPr="00E506CA">
        <w:rPr>
          <w:rFonts w:ascii="Arial" w:hAnsi="Arial" w:cs="Arial"/>
          <w:sz w:val="24"/>
          <w:szCs w:val="24"/>
        </w:rPr>
        <w:t xml:space="preserve">a </w:t>
      </w:r>
      <w:r w:rsidR="00EB5311" w:rsidRPr="00E506CA">
        <w:rPr>
          <w:rFonts w:ascii="Arial" w:hAnsi="Arial" w:cs="Arial"/>
          <w:sz w:val="24"/>
          <w:szCs w:val="24"/>
        </w:rPr>
        <w:t xml:space="preserve">monthly remuneration. </w:t>
      </w:r>
    </w:p>
    <w:p w14:paraId="3D5C5C23" w14:textId="77777777" w:rsidR="005D7553" w:rsidRDefault="005D7553" w:rsidP="0011284B">
      <w:pPr>
        <w:spacing w:after="0" w:line="480" w:lineRule="auto"/>
        <w:ind w:left="720" w:hanging="720"/>
        <w:jc w:val="both"/>
        <w:rPr>
          <w:rFonts w:ascii="Arial" w:hAnsi="Arial" w:cs="Arial"/>
          <w:sz w:val="24"/>
          <w:szCs w:val="24"/>
        </w:rPr>
      </w:pPr>
    </w:p>
    <w:p w14:paraId="1B477A4B" w14:textId="77777777" w:rsidR="00FB2BA7" w:rsidRPr="00E506CA" w:rsidRDefault="00FB2BA7"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The appellant’s case is that </w:t>
      </w:r>
      <w:r w:rsidR="00D22B8A" w:rsidRPr="00E506CA">
        <w:rPr>
          <w:rFonts w:ascii="Arial" w:hAnsi="Arial" w:cs="Arial"/>
          <w:sz w:val="24"/>
          <w:szCs w:val="24"/>
        </w:rPr>
        <w:t>a</w:t>
      </w:r>
      <w:r w:rsidRPr="00E506CA">
        <w:rPr>
          <w:rFonts w:ascii="Arial" w:hAnsi="Arial" w:cs="Arial"/>
          <w:sz w:val="24"/>
          <w:szCs w:val="24"/>
        </w:rPr>
        <w:t xml:space="preserve"> partnership agreement was concluded</w:t>
      </w:r>
      <w:r w:rsidR="00D22B8A" w:rsidRPr="00E506CA">
        <w:rPr>
          <w:rFonts w:ascii="Arial" w:hAnsi="Arial" w:cs="Arial"/>
          <w:sz w:val="24"/>
          <w:szCs w:val="24"/>
        </w:rPr>
        <w:t xml:space="preserve"> orally</w:t>
      </w:r>
      <w:r w:rsidRPr="00E506CA">
        <w:rPr>
          <w:rFonts w:ascii="Arial" w:hAnsi="Arial" w:cs="Arial"/>
          <w:sz w:val="24"/>
          <w:szCs w:val="24"/>
        </w:rPr>
        <w:t xml:space="preserve"> between him and the respondent in </w:t>
      </w:r>
      <w:proofErr w:type="spellStart"/>
      <w:r w:rsidRPr="00E506CA">
        <w:rPr>
          <w:rFonts w:ascii="Arial" w:hAnsi="Arial" w:cs="Arial"/>
          <w:sz w:val="24"/>
          <w:szCs w:val="24"/>
        </w:rPr>
        <w:t>Swellendam</w:t>
      </w:r>
      <w:proofErr w:type="spellEnd"/>
      <w:r w:rsidRPr="00E506CA">
        <w:rPr>
          <w:rFonts w:ascii="Arial" w:hAnsi="Arial" w:cs="Arial"/>
          <w:sz w:val="24"/>
          <w:szCs w:val="24"/>
        </w:rPr>
        <w:t xml:space="preserve"> </w:t>
      </w:r>
      <w:r w:rsidR="005F5F8F" w:rsidRPr="00E506CA">
        <w:rPr>
          <w:rFonts w:ascii="Arial" w:hAnsi="Arial" w:cs="Arial"/>
          <w:sz w:val="24"/>
          <w:szCs w:val="24"/>
        </w:rPr>
        <w:t>during their visit to South Africa in</w:t>
      </w:r>
      <w:r w:rsidRPr="00E506CA">
        <w:rPr>
          <w:rFonts w:ascii="Arial" w:hAnsi="Arial" w:cs="Arial"/>
          <w:sz w:val="24"/>
          <w:szCs w:val="24"/>
        </w:rPr>
        <w:t xml:space="preserve"> 2016. </w:t>
      </w:r>
      <w:r w:rsidR="00D22B8A" w:rsidRPr="00E506CA">
        <w:rPr>
          <w:rFonts w:ascii="Arial" w:hAnsi="Arial" w:cs="Arial"/>
          <w:sz w:val="24"/>
          <w:szCs w:val="24"/>
        </w:rPr>
        <w:t>T</w:t>
      </w:r>
      <w:r w:rsidR="005F5F8F" w:rsidRPr="00E506CA">
        <w:rPr>
          <w:rFonts w:ascii="Arial" w:hAnsi="Arial" w:cs="Arial"/>
          <w:sz w:val="24"/>
          <w:szCs w:val="24"/>
        </w:rPr>
        <w:t xml:space="preserve">he appellant </w:t>
      </w:r>
      <w:r w:rsidR="00D22B8A" w:rsidRPr="00E506CA">
        <w:rPr>
          <w:rFonts w:ascii="Arial" w:hAnsi="Arial" w:cs="Arial"/>
          <w:sz w:val="24"/>
          <w:szCs w:val="24"/>
        </w:rPr>
        <w:t xml:space="preserve">averred </w:t>
      </w:r>
      <w:r w:rsidR="005F5F8F" w:rsidRPr="00E506CA">
        <w:rPr>
          <w:rFonts w:ascii="Arial" w:hAnsi="Arial" w:cs="Arial"/>
          <w:sz w:val="24"/>
          <w:szCs w:val="24"/>
        </w:rPr>
        <w:t xml:space="preserve">that the parties had agreed that </w:t>
      </w:r>
      <w:r w:rsidR="0046073A" w:rsidRPr="00E506CA">
        <w:rPr>
          <w:rFonts w:ascii="Arial" w:hAnsi="Arial" w:cs="Arial"/>
          <w:sz w:val="24"/>
          <w:szCs w:val="24"/>
        </w:rPr>
        <w:t>the farm w</w:t>
      </w:r>
      <w:r w:rsidR="005F5F8F" w:rsidRPr="00E506CA">
        <w:rPr>
          <w:rFonts w:ascii="Arial" w:hAnsi="Arial" w:cs="Arial"/>
          <w:sz w:val="24"/>
          <w:szCs w:val="24"/>
        </w:rPr>
        <w:t xml:space="preserve">ould </w:t>
      </w:r>
      <w:r w:rsidR="0046073A" w:rsidRPr="00E506CA">
        <w:rPr>
          <w:rFonts w:ascii="Arial" w:hAnsi="Arial" w:cs="Arial"/>
          <w:sz w:val="24"/>
          <w:szCs w:val="24"/>
        </w:rPr>
        <w:t>be registered in the name of the respondent</w:t>
      </w:r>
      <w:r w:rsidR="005F5F8F" w:rsidRPr="00E506CA">
        <w:rPr>
          <w:rFonts w:ascii="Arial" w:hAnsi="Arial" w:cs="Arial"/>
          <w:sz w:val="24"/>
          <w:szCs w:val="24"/>
        </w:rPr>
        <w:t xml:space="preserve"> but </w:t>
      </w:r>
      <w:r w:rsidR="0046073A" w:rsidRPr="00E506CA">
        <w:rPr>
          <w:rFonts w:ascii="Arial" w:hAnsi="Arial" w:cs="Arial"/>
          <w:sz w:val="24"/>
          <w:szCs w:val="24"/>
        </w:rPr>
        <w:t>would be the property of the partnership</w:t>
      </w:r>
      <w:r w:rsidR="005F5F8F" w:rsidRPr="00E506CA">
        <w:rPr>
          <w:rFonts w:ascii="Arial" w:hAnsi="Arial" w:cs="Arial"/>
          <w:sz w:val="24"/>
          <w:szCs w:val="24"/>
        </w:rPr>
        <w:t>, that t</w:t>
      </w:r>
      <w:r w:rsidR="0046073A" w:rsidRPr="00E506CA">
        <w:rPr>
          <w:rFonts w:ascii="Arial" w:hAnsi="Arial" w:cs="Arial"/>
          <w:sz w:val="24"/>
          <w:szCs w:val="24"/>
        </w:rPr>
        <w:t>he respondent would assist in and oversee the development and management of the partnership business in consultation with the appellant as agreed between them from time to time</w:t>
      </w:r>
      <w:r w:rsidR="005F5F8F" w:rsidRPr="00E506CA">
        <w:rPr>
          <w:rFonts w:ascii="Arial" w:hAnsi="Arial" w:cs="Arial"/>
          <w:sz w:val="24"/>
          <w:szCs w:val="24"/>
        </w:rPr>
        <w:t xml:space="preserve">, and that </w:t>
      </w:r>
      <w:r w:rsidR="0046073A" w:rsidRPr="00E506CA">
        <w:rPr>
          <w:rFonts w:ascii="Arial" w:hAnsi="Arial" w:cs="Arial"/>
          <w:sz w:val="24"/>
          <w:szCs w:val="24"/>
        </w:rPr>
        <w:t xml:space="preserve">the business of the partnership would be conducted for the mutual benefit of both parties with the object of making a profit </w:t>
      </w:r>
      <w:r w:rsidR="005F5F8F" w:rsidRPr="00E506CA">
        <w:rPr>
          <w:rFonts w:ascii="Arial" w:hAnsi="Arial" w:cs="Arial"/>
          <w:sz w:val="24"/>
          <w:szCs w:val="24"/>
        </w:rPr>
        <w:t xml:space="preserve">that </w:t>
      </w:r>
      <w:r w:rsidR="0046073A" w:rsidRPr="00E506CA">
        <w:rPr>
          <w:rFonts w:ascii="Arial" w:hAnsi="Arial" w:cs="Arial"/>
          <w:sz w:val="24"/>
          <w:szCs w:val="24"/>
        </w:rPr>
        <w:t>they would share equally</w:t>
      </w:r>
      <w:r w:rsidR="005F5F8F" w:rsidRPr="00E506CA">
        <w:rPr>
          <w:rFonts w:ascii="Arial" w:hAnsi="Arial" w:cs="Arial"/>
          <w:sz w:val="24"/>
          <w:szCs w:val="24"/>
        </w:rPr>
        <w:t>.</w:t>
      </w:r>
      <w:r w:rsidR="0046073A" w:rsidRPr="00E506CA">
        <w:rPr>
          <w:rFonts w:ascii="Arial" w:hAnsi="Arial" w:cs="Arial"/>
          <w:sz w:val="24"/>
          <w:szCs w:val="24"/>
        </w:rPr>
        <w:t xml:space="preserve"> </w:t>
      </w:r>
    </w:p>
    <w:p w14:paraId="202B3EFA" w14:textId="77777777" w:rsidR="00FB2BA7" w:rsidRDefault="00FB2BA7" w:rsidP="00FB2BA7">
      <w:pPr>
        <w:spacing w:after="0" w:line="480" w:lineRule="auto"/>
        <w:ind w:left="1440" w:hanging="1440"/>
        <w:jc w:val="both"/>
        <w:rPr>
          <w:rFonts w:ascii="Arial" w:hAnsi="Arial" w:cs="Arial"/>
          <w:sz w:val="24"/>
          <w:szCs w:val="24"/>
        </w:rPr>
      </w:pPr>
    </w:p>
    <w:p w14:paraId="361BCB59" w14:textId="77777777" w:rsidR="00FB2BA7" w:rsidRPr="00E506CA" w:rsidRDefault="00FB2BA7"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The respondent</w:t>
      </w:r>
      <w:r w:rsidR="0077338A" w:rsidRPr="00E506CA">
        <w:rPr>
          <w:rFonts w:ascii="Arial" w:hAnsi="Arial" w:cs="Arial"/>
          <w:sz w:val="24"/>
          <w:szCs w:val="24"/>
        </w:rPr>
        <w:t xml:space="preserve"> denies the existence of the partnership. She </w:t>
      </w:r>
      <w:r w:rsidR="00D22B8A" w:rsidRPr="00E506CA">
        <w:rPr>
          <w:rFonts w:ascii="Arial" w:hAnsi="Arial" w:cs="Arial"/>
          <w:sz w:val="24"/>
          <w:szCs w:val="24"/>
        </w:rPr>
        <w:t xml:space="preserve">testified </w:t>
      </w:r>
      <w:r w:rsidRPr="00E506CA">
        <w:rPr>
          <w:rFonts w:ascii="Arial" w:hAnsi="Arial" w:cs="Arial"/>
          <w:sz w:val="24"/>
          <w:szCs w:val="24"/>
        </w:rPr>
        <w:t xml:space="preserve">that there was no tacit, implied, oral, or written partnership agreement that was ever concluded between the parties in relation to the farm, any improvements on the farm, the game on the farm, or the business that is being conducted on the farm. </w:t>
      </w:r>
      <w:r w:rsidR="0077338A" w:rsidRPr="00E506CA">
        <w:rPr>
          <w:rFonts w:ascii="Arial" w:hAnsi="Arial" w:cs="Arial"/>
          <w:sz w:val="24"/>
          <w:szCs w:val="24"/>
        </w:rPr>
        <w:t>The respondent’s version is that the</w:t>
      </w:r>
      <w:r w:rsidR="00387C5E" w:rsidRPr="00E506CA">
        <w:rPr>
          <w:rFonts w:ascii="Arial" w:hAnsi="Arial" w:cs="Arial"/>
          <w:sz w:val="24"/>
          <w:szCs w:val="24"/>
        </w:rPr>
        <w:t xml:space="preserve"> parties </w:t>
      </w:r>
      <w:r w:rsidR="0077338A" w:rsidRPr="00E506CA">
        <w:rPr>
          <w:rFonts w:ascii="Arial" w:hAnsi="Arial" w:cs="Arial"/>
          <w:sz w:val="24"/>
          <w:szCs w:val="24"/>
        </w:rPr>
        <w:t xml:space="preserve">were happily married when </w:t>
      </w:r>
      <w:r w:rsidR="0077338A" w:rsidRPr="00E506CA">
        <w:rPr>
          <w:rFonts w:ascii="Arial" w:hAnsi="Arial" w:cs="Arial"/>
          <w:sz w:val="24"/>
          <w:szCs w:val="24"/>
        </w:rPr>
        <w:lastRenderedPageBreak/>
        <w:t xml:space="preserve">the farm was purchased. </w:t>
      </w:r>
      <w:r w:rsidR="00387C5E" w:rsidRPr="00E506CA">
        <w:rPr>
          <w:rFonts w:ascii="Arial" w:hAnsi="Arial" w:cs="Arial"/>
          <w:sz w:val="24"/>
          <w:szCs w:val="24"/>
        </w:rPr>
        <w:t>Since t</w:t>
      </w:r>
      <w:r w:rsidR="0077338A" w:rsidRPr="00E506CA">
        <w:rPr>
          <w:rFonts w:ascii="Arial" w:hAnsi="Arial" w:cs="Arial"/>
          <w:sz w:val="24"/>
          <w:szCs w:val="24"/>
        </w:rPr>
        <w:t>he appellant owned two properties in Dubai which w</w:t>
      </w:r>
      <w:r w:rsidR="001B7051" w:rsidRPr="00E506CA">
        <w:rPr>
          <w:rFonts w:ascii="Arial" w:hAnsi="Arial" w:cs="Arial"/>
          <w:sz w:val="24"/>
          <w:szCs w:val="24"/>
        </w:rPr>
        <w:t>ere</w:t>
      </w:r>
      <w:r w:rsidR="0077338A" w:rsidRPr="00E506CA">
        <w:rPr>
          <w:rFonts w:ascii="Arial" w:hAnsi="Arial" w:cs="Arial"/>
          <w:sz w:val="24"/>
          <w:szCs w:val="24"/>
        </w:rPr>
        <w:t xml:space="preserve"> registered in his name</w:t>
      </w:r>
      <w:r w:rsidR="00387C5E" w:rsidRPr="00E506CA">
        <w:rPr>
          <w:rFonts w:ascii="Arial" w:hAnsi="Arial" w:cs="Arial"/>
          <w:sz w:val="24"/>
          <w:szCs w:val="24"/>
        </w:rPr>
        <w:t xml:space="preserve">, it </w:t>
      </w:r>
      <w:r w:rsidR="0077338A" w:rsidRPr="00E506CA">
        <w:rPr>
          <w:rFonts w:ascii="Arial" w:hAnsi="Arial" w:cs="Arial"/>
          <w:sz w:val="24"/>
          <w:szCs w:val="24"/>
        </w:rPr>
        <w:t xml:space="preserve">made sense to purchase the farm in the respondent’s name. It was also easier to purchase the farm in her name as she was a South African citizen and there </w:t>
      </w:r>
      <w:r w:rsidR="00387C5E" w:rsidRPr="00E506CA">
        <w:rPr>
          <w:rFonts w:ascii="Arial" w:hAnsi="Arial" w:cs="Arial"/>
          <w:sz w:val="24"/>
          <w:szCs w:val="24"/>
        </w:rPr>
        <w:t>were</w:t>
      </w:r>
      <w:r w:rsidR="0077338A" w:rsidRPr="00E506CA">
        <w:rPr>
          <w:rFonts w:ascii="Arial" w:hAnsi="Arial" w:cs="Arial"/>
          <w:sz w:val="24"/>
          <w:szCs w:val="24"/>
        </w:rPr>
        <w:t xml:space="preserve"> certain tax advantages i</w:t>
      </w:r>
      <w:r w:rsidR="001B7051" w:rsidRPr="00E506CA">
        <w:rPr>
          <w:rFonts w:ascii="Arial" w:hAnsi="Arial" w:cs="Arial"/>
          <w:sz w:val="24"/>
          <w:szCs w:val="24"/>
        </w:rPr>
        <w:t>f</w:t>
      </w:r>
      <w:r w:rsidR="0077338A" w:rsidRPr="00E506CA">
        <w:rPr>
          <w:rFonts w:ascii="Arial" w:hAnsi="Arial" w:cs="Arial"/>
          <w:sz w:val="24"/>
          <w:szCs w:val="24"/>
        </w:rPr>
        <w:t xml:space="preserve"> the farm </w:t>
      </w:r>
      <w:r w:rsidR="001B7051" w:rsidRPr="00E506CA">
        <w:rPr>
          <w:rFonts w:ascii="Arial" w:hAnsi="Arial" w:cs="Arial"/>
          <w:sz w:val="24"/>
          <w:szCs w:val="24"/>
        </w:rPr>
        <w:t xml:space="preserve">was </w:t>
      </w:r>
      <w:r w:rsidR="0077338A" w:rsidRPr="00E506CA">
        <w:rPr>
          <w:rFonts w:ascii="Arial" w:hAnsi="Arial" w:cs="Arial"/>
          <w:sz w:val="24"/>
          <w:szCs w:val="24"/>
        </w:rPr>
        <w:t>bought in her name</w:t>
      </w:r>
      <w:r w:rsidR="00F77674" w:rsidRPr="00E506CA">
        <w:rPr>
          <w:rFonts w:ascii="Arial" w:hAnsi="Arial" w:cs="Arial"/>
          <w:sz w:val="24"/>
          <w:szCs w:val="24"/>
        </w:rPr>
        <w:t>.</w:t>
      </w:r>
      <w:r w:rsidR="0077338A" w:rsidRPr="00E506CA">
        <w:rPr>
          <w:rFonts w:ascii="Arial" w:hAnsi="Arial" w:cs="Arial"/>
          <w:sz w:val="24"/>
          <w:szCs w:val="24"/>
        </w:rPr>
        <w:t xml:space="preserve"> </w:t>
      </w:r>
      <w:r w:rsidR="00F77674" w:rsidRPr="00E506CA">
        <w:rPr>
          <w:rFonts w:ascii="Arial" w:hAnsi="Arial" w:cs="Arial"/>
          <w:sz w:val="24"/>
          <w:szCs w:val="24"/>
        </w:rPr>
        <w:t xml:space="preserve">The respondent </w:t>
      </w:r>
      <w:r w:rsidR="00D22B8A" w:rsidRPr="00E506CA">
        <w:rPr>
          <w:rFonts w:ascii="Arial" w:hAnsi="Arial" w:cs="Arial"/>
          <w:sz w:val="24"/>
          <w:szCs w:val="24"/>
        </w:rPr>
        <w:t xml:space="preserve">argued in her </w:t>
      </w:r>
      <w:r w:rsidR="00E506CA" w:rsidRPr="00E506CA">
        <w:rPr>
          <w:rFonts w:ascii="Arial" w:hAnsi="Arial" w:cs="Arial"/>
          <w:sz w:val="24"/>
          <w:szCs w:val="24"/>
        </w:rPr>
        <w:t>affidavit</w:t>
      </w:r>
      <w:r w:rsidR="00D22B8A" w:rsidRPr="00E506CA">
        <w:rPr>
          <w:rFonts w:ascii="Arial" w:hAnsi="Arial" w:cs="Arial"/>
          <w:sz w:val="24"/>
          <w:szCs w:val="24"/>
        </w:rPr>
        <w:t xml:space="preserve"> </w:t>
      </w:r>
      <w:r w:rsidR="00F77674" w:rsidRPr="00E506CA">
        <w:rPr>
          <w:rFonts w:ascii="Arial" w:hAnsi="Arial" w:cs="Arial"/>
          <w:sz w:val="24"/>
          <w:szCs w:val="24"/>
        </w:rPr>
        <w:t xml:space="preserve">that </w:t>
      </w:r>
      <w:r w:rsidR="00D22B8A" w:rsidRPr="00E506CA">
        <w:rPr>
          <w:rFonts w:ascii="Arial" w:hAnsi="Arial" w:cs="Arial"/>
          <w:sz w:val="24"/>
          <w:szCs w:val="24"/>
        </w:rPr>
        <w:t xml:space="preserve">as </w:t>
      </w:r>
      <w:r w:rsidRPr="00E506CA">
        <w:rPr>
          <w:rFonts w:ascii="Arial" w:hAnsi="Arial" w:cs="Arial"/>
          <w:sz w:val="24"/>
          <w:szCs w:val="24"/>
        </w:rPr>
        <w:t>the parties were married subject to the accrual system</w:t>
      </w:r>
      <w:r w:rsidR="00D22B8A" w:rsidRPr="00E506CA">
        <w:rPr>
          <w:rFonts w:ascii="Arial" w:hAnsi="Arial" w:cs="Arial"/>
          <w:sz w:val="24"/>
          <w:szCs w:val="24"/>
        </w:rPr>
        <w:t>,</w:t>
      </w:r>
      <w:r w:rsidRPr="00E506CA">
        <w:rPr>
          <w:rFonts w:ascii="Arial" w:hAnsi="Arial" w:cs="Arial"/>
          <w:sz w:val="24"/>
          <w:szCs w:val="24"/>
        </w:rPr>
        <w:t xml:space="preserve"> it would</w:t>
      </w:r>
      <w:r w:rsidR="00387C5E" w:rsidRPr="00E506CA">
        <w:rPr>
          <w:rFonts w:ascii="Arial" w:hAnsi="Arial" w:cs="Arial"/>
          <w:sz w:val="24"/>
          <w:szCs w:val="24"/>
        </w:rPr>
        <w:t xml:space="preserve"> have been</w:t>
      </w:r>
      <w:r w:rsidRPr="00E506CA">
        <w:rPr>
          <w:rFonts w:ascii="Arial" w:hAnsi="Arial" w:cs="Arial"/>
          <w:sz w:val="24"/>
          <w:szCs w:val="24"/>
        </w:rPr>
        <w:t xml:space="preserve"> nonsensical to enter into such a partnership agreement. Any liabilities that the parties may have incurred in respect of the farm, or any benefit that the parties may receive from the farm, would have formed part of the calculation of the accrual on the date of divorce. Whil</w:t>
      </w:r>
      <w:r w:rsidR="00387C5E" w:rsidRPr="00E506CA">
        <w:rPr>
          <w:rFonts w:ascii="Arial" w:hAnsi="Arial" w:cs="Arial"/>
          <w:sz w:val="24"/>
          <w:szCs w:val="24"/>
        </w:rPr>
        <w:t xml:space="preserve">st </w:t>
      </w:r>
      <w:r w:rsidRPr="00E506CA">
        <w:rPr>
          <w:rFonts w:ascii="Arial" w:hAnsi="Arial" w:cs="Arial"/>
          <w:sz w:val="24"/>
          <w:szCs w:val="24"/>
        </w:rPr>
        <w:t>admitt</w:t>
      </w:r>
      <w:r w:rsidR="00387C5E" w:rsidRPr="00E506CA">
        <w:rPr>
          <w:rFonts w:ascii="Arial" w:hAnsi="Arial" w:cs="Arial"/>
          <w:sz w:val="24"/>
          <w:szCs w:val="24"/>
        </w:rPr>
        <w:t xml:space="preserve">ing that </w:t>
      </w:r>
      <w:r w:rsidRPr="00E506CA">
        <w:rPr>
          <w:rFonts w:ascii="Arial" w:hAnsi="Arial" w:cs="Arial"/>
          <w:sz w:val="24"/>
          <w:szCs w:val="24"/>
        </w:rPr>
        <w:t xml:space="preserve">the appellant had paid for the farm as well as </w:t>
      </w:r>
      <w:r w:rsidR="00D83B1F" w:rsidRPr="00E506CA">
        <w:rPr>
          <w:rFonts w:ascii="Arial" w:hAnsi="Arial" w:cs="Arial"/>
          <w:sz w:val="24"/>
          <w:szCs w:val="24"/>
        </w:rPr>
        <w:t xml:space="preserve">for </w:t>
      </w:r>
      <w:r w:rsidRPr="00E506CA">
        <w:rPr>
          <w:rFonts w:ascii="Arial" w:hAnsi="Arial" w:cs="Arial"/>
          <w:sz w:val="24"/>
          <w:szCs w:val="24"/>
        </w:rPr>
        <w:t xml:space="preserve">the improvements on the farm, the respondent denied that this “investment” was a loan. </w:t>
      </w:r>
      <w:r w:rsidR="00D22B8A" w:rsidRPr="00E506CA">
        <w:rPr>
          <w:rFonts w:ascii="Arial" w:hAnsi="Arial" w:cs="Arial"/>
          <w:sz w:val="24"/>
          <w:szCs w:val="24"/>
        </w:rPr>
        <w:t xml:space="preserve">She also argued that her contention that </w:t>
      </w:r>
      <w:r w:rsidRPr="00E506CA">
        <w:rPr>
          <w:rFonts w:ascii="Arial" w:hAnsi="Arial" w:cs="Arial"/>
          <w:sz w:val="24"/>
          <w:szCs w:val="24"/>
        </w:rPr>
        <w:t>a partnership did not exist was</w:t>
      </w:r>
      <w:r w:rsidR="00D22B8A" w:rsidRPr="00E506CA">
        <w:rPr>
          <w:rFonts w:ascii="Arial" w:hAnsi="Arial" w:cs="Arial"/>
          <w:sz w:val="24"/>
          <w:szCs w:val="24"/>
        </w:rPr>
        <w:t xml:space="preserve"> supported by the fact</w:t>
      </w:r>
      <w:r w:rsidRPr="00E506CA">
        <w:rPr>
          <w:rFonts w:ascii="Arial" w:hAnsi="Arial" w:cs="Arial"/>
          <w:sz w:val="24"/>
          <w:szCs w:val="24"/>
        </w:rPr>
        <w:t xml:space="preserve"> that the farm was registered in the respondent’s name only and the appellant </w:t>
      </w:r>
      <w:r w:rsidR="00D83B1F" w:rsidRPr="00E506CA">
        <w:rPr>
          <w:rFonts w:ascii="Arial" w:hAnsi="Arial" w:cs="Arial"/>
          <w:sz w:val="24"/>
          <w:szCs w:val="24"/>
        </w:rPr>
        <w:t xml:space="preserve">had </w:t>
      </w:r>
      <w:r w:rsidRPr="00E506CA">
        <w:rPr>
          <w:rFonts w:ascii="Arial" w:hAnsi="Arial" w:cs="Arial"/>
          <w:sz w:val="24"/>
          <w:szCs w:val="24"/>
        </w:rPr>
        <w:t xml:space="preserve">provided no </w:t>
      </w:r>
      <w:r w:rsidR="001B7051" w:rsidRPr="00E506CA">
        <w:rPr>
          <w:rFonts w:ascii="Arial" w:hAnsi="Arial" w:cs="Arial"/>
          <w:sz w:val="24"/>
          <w:szCs w:val="24"/>
        </w:rPr>
        <w:t xml:space="preserve">good </w:t>
      </w:r>
      <w:r w:rsidRPr="00E506CA">
        <w:rPr>
          <w:rFonts w:ascii="Arial" w:hAnsi="Arial" w:cs="Arial"/>
          <w:sz w:val="24"/>
          <w:szCs w:val="24"/>
        </w:rPr>
        <w:t xml:space="preserve">reason why, if there was a partnership, the farm was not registered in his name as well. </w:t>
      </w:r>
    </w:p>
    <w:p w14:paraId="6354D698" w14:textId="77777777" w:rsidR="00FB2BA7" w:rsidRDefault="00FB2BA7" w:rsidP="00FB2BA7">
      <w:pPr>
        <w:spacing w:after="0" w:line="480" w:lineRule="auto"/>
        <w:ind w:left="1440" w:hanging="1440"/>
        <w:jc w:val="both"/>
        <w:rPr>
          <w:rFonts w:ascii="Arial" w:hAnsi="Arial" w:cs="Arial"/>
          <w:sz w:val="24"/>
          <w:szCs w:val="24"/>
        </w:rPr>
      </w:pPr>
    </w:p>
    <w:p w14:paraId="48B96713" w14:textId="77777777" w:rsidR="00706183" w:rsidRPr="00E506CA" w:rsidRDefault="00706183"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The appellant </w:t>
      </w:r>
      <w:r w:rsidR="00D83B1F" w:rsidRPr="00E506CA">
        <w:rPr>
          <w:rFonts w:ascii="Arial" w:hAnsi="Arial" w:cs="Arial"/>
          <w:sz w:val="24"/>
          <w:szCs w:val="24"/>
        </w:rPr>
        <w:t>argued</w:t>
      </w:r>
      <w:r w:rsidRPr="00E506CA">
        <w:rPr>
          <w:rFonts w:ascii="Arial" w:hAnsi="Arial" w:cs="Arial"/>
          <w:sz w:val="24"/>
          <w:szCs w:val="24"/>
        </w:rPr>
        <w:t xml:space="preserve"> that the respondent’s denial that a partnership was ever concluded amounts to a bare denial which should be rejected out of hand. In rebuttal, the respondent </w:t>
      </w:r>
      <w:r w:rsidR="00D83B1F" w:rsidRPr="00E506CA">
        <w:rPr>
          <w:rFonts w:ascii="Arial" w:hAnsi="Arial" w:cs="Arial"/>
          <w:sz w:val="24"/>
          <w:szCs w:val="24"/>
        </w:rPr>
        <w:t>submitted</w:t>
      </w:r>
      <w:r w:rsidRPr="00E506CA">
        <w:rPr>
          <w:rFonts w:ascii="Arial" w:hAnsi="Arial" w:cs="Arial"/>
          <w:sz w:val="24"/>
          <w:szCs w:val="24"/>
        </w:rPr>
        <w:t xml:space="preserve"> that the appellant’s founding affidavit consist</w:t>
      </w:r>
      <w:r w:rsidR="00452E00" w:rsidRPr="00E506CA">
        <w:rPr>
          <w:rFonts w:ascii="Arial" w:hAnsi="Arial" w:cs="Arial"/>
          <w:sz w:val="24"/>
          <w:szCs w:val="24"/>
        </w:rPr>
        <w:t xml:space="preserve">ed </w:t>
      </w:r>
      <w:r w:rsidRPr="00E506CA">
        <w:rPr>
          <w:rFonts w:ascii="Arial" w:hAnsi="Arial" w:cs="Arial"/>
          <w:sz w:val="24"/>
          <w:szCs w:val="24"/>
        </w:rPr>
        <w:t xml:space="preserve">of allegations </w:t>
      </w:r>
      <w:r w:rsidR="00F77674" w:rsidRPr="00E506CA">
        <w:rPr>
          <w:rFonts w:ascii="Arial" w:hAnsi="Arial" w:cs="Arial"/>
          <w:sz w:val="24"/>
          <w:szCs w:val="24"/>
        </w:rPr>
        <w:t xml:space="preserve">that were </w:t>
      </w:r>
      <w:r w:rsidRPr="00E506CA">
        <w:rPr>
          <w:rFonts w:ascii="Arial" w:hAnsi="Arial" w:cs="Arial"/>
          <w:sz w:val="24"/>
          <w:szCs w:val="24"/>
        </w:rPr>
        <w:t>very spar</w:t>
      </w:r>
      <w:r w:rsidR="00452E00" w:rsidRPr="00E506CA">
        <w:rPr>
          <w:rFonts w:ascii="Arial" w:hAnsi="Arial" w:cs="Arial"/>
          <w:sz w:val="24"/>
          <w:szCs w:val="24"/>
        </w:rPr>
        <w:t>se</w:t>
      </w:r>
      <w:r w:rsidRPr="00E506CA">
        <w:rPr>
          <w:rFonts w:ascii="Arial" w:hAnsi="Arial" w:cs="Arial"/>
          <w:sz w:val="24"/>
          <w:szCs w:val="24"/>
        </w:rPr>
        <w:t xml:space="preserve"> on detail and particulars relating to the alleged oral agreement. As a consequence, the respondent </w:t>
      </w:r>
      <w:r w:rsidR="00452E00" w:rsidRPr="00E506CA">
        <w:rPr>
          <w:rFonts w:ascii="Arial" w:hAnsi="Arial" w:cs="Arial"/>
          <w:sz w:val="24"/>
          <w:szCs w:val="24"/>
        </w:rPr>
        <w:t xml:space="preserve">could </w:t>
      </w:r>
      <w:r w:rsidRPr="00E506CA">
        <w:rPr>
          <w:rFonts w:ascii="Arial" w:hAnsi="Arial" w:cs="Arial"/>
          <w:sz w:val="24"/>
          <w:szCs w:val="24"/>
        </w:rPr>
        <w:t xml:space="preserve">not answer to the alleged partnership in any other way but to deny it. </w:t>
      </w:r>
    </w:p>
    <w:p w14:paraId="0BB42649" w14:textId="77777777" w:rsidR="00706183" w:rsidRDefault="00706183" w:rsidP="00FB2BA7">
      <w:pPr>
        <w:spacing w:after="0" w:line="480" w:lineRule="auto"/>
        <w:ind w:left="1440" w:hanging="1440"/>
        <w:jc w:val="both"/>
        <w:rPr>
          <w:rFonts w:ascii="Arial" w:hAnsi="Arial" w:cs="Arial"/>
          <w:sz w:val="24"/>
          <w:szCs w:val="24"/>
        </w:rPr>
      </w:pPr>
    </w:p>
    <w:p w14:paraId="192D84F4" w14:textId="77777777" w:rsidR="00706183" w:rsidRPr="00E506CA" w:rsidRDefault="00D22B8A"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The parties’ contesting versions reveal</w:t>
      </w:r>
      <w:r w:rsidR="00706183" w:rsidRPr="00E506CA">
        <w:rPr>
          <w:rFonts w:ascii="Arial" w:hAnsi="Arial" w:cs="Arial"/>
          <w:sz w:val="24"/>
          <w:szCs w:val="24"/>
        </w:rPr>
        <w:t xml:space="preserve"> a</w:t>
      </w:r>
      <w:r w:rsidR="00D84005" w:rsidRPr="00E506CA">
        <w:rPr>
          <w:rFonts w:ascii="Arial" w:hAnsi="Arial" w:cs="Arial"/>
          <w:sz w:val="24"/>
          <w:szCs w:val="24"/>
        </w:rPr>
        <w:t xml:space="preserve"> material </w:t>
      </w:r>
      <w:r w:rsidR="00706183" w:rsidRPr="00E506CA">
        <w:rPr>
          <w:rFonts w:ascii="Arial" w:hAnsi="Arial" w:cs="Arial"/>
          <w:sz w:val="24"/>
          <w:szCs w:val="24"/>
        </w:rPr>
        <w:t>dispute of fact</w:t>
      </w:r>
      <w:r w:rsidR="00452E00" w:rsidRPr="00E506CA">
        <w:rPr>
          <w:rFonts w:ascii="Arial" w:hAnsi="Arial" w:cs="Arial"/>
          <w:sz w:val="24"/>
          <w:szCs w:val="24"/>
        </w:rPr>
        <w:t xml:space="preserve"> </w:t>
      </w:r>
      <w:r w:rsidRPr="00E506CA">
        <w:rPr>
          <w:rFonts w:ascii="Arial" w:hAnsi="Arial" w:cs="Arial"/>
          <w:sz w:val="24"/>
          <w:szCs w:val="24"/>
        </w:rPr>
        <w:t xml:space="preserve">on the papers </w:t>
      </w:r>
      <w:r w:rsidR="00D84005" w:rsidRPr="00E506CA">
        <w:rPr>
          <w:rFonts w:ascii="Arial" w:hAnsi="Arial" w:cs="Arial"/>
          <w:sz w:val="24"/>
          <w:szCs w:val="24"/>
        </w:rPr>
        <w:t>on whether a partnership exists and the terms of any such partnership</w:t>
      </w:r>
      <w:r w:rsidR="00452E00" w:rsidRPr="00E506CA">
        <w:rPr>
          <w:rFonts w:ascii="Arial" w:hAnsi="Arial" w:cs="Arial"/>
          <w:sz w:val="24"/>
          <w:szCs w:val="24"/>
        </w:rPr>
        <w:t>. Th</w:t>
      </w:r>
      <w:r w:rsidR="00706183" w:rsidRPr="00E506CA">
        <w:rPr>
          <w:rFonts w:ascii="Arial" w:hAnsi="Arial" w:cs="Arial"/>
          <w:sz w:val="24"/>
          <w:szCs w:val="24"/>
        </w:rPr>
        <w:t xml:space="preserve">e </w:t>
      </w:r>
      <w:r w:rsidR="00706183" w:rsidRPr="00E506CA">
        <w:rPr>
          <w:rFonts w:ascii="Arial" w:hAnsi="Arial" w:cs="Arial"/>
          <w:sz w:val="24"/>
          <w:szCs w:val="24"/>
        </w:rPr>
        <w:lastRenderedPageBreak/>
        <w:t xml:space="preserve">general rule is </w:t>
      </w:r>
      <w:r w:rsidR="00452E00" w:rsidRPr="00E506CA">
        <w:rPr>
          <w:rFonts w:ascii="Arial" w:hAnsi="Arial" w:cs="Arial"/>
          <w:sz w:val="24"/>
          <w:szCs w:val="24"/>
        </w:rPr>
        <w:t>th</w:t>
      </w:r>
      <w:r w:rsidR="00706183" w:rsidRPr="00E506CA">
        <w:rPr>
          <w:rFonts w:ascii="Arial" w:hAnsi="Arial" w:cs="Arial"/>
          <w:sz w:val="24"/>
          <w:szCs w:val="24"/>
        </w:rPr>
        <w:t xml:space="preserve">at final relief </w:t>
      </w:r>
      <w:r w:rsidR="00452E00" w:rsidRPr="00E506CA">
        <w:rPr>
          <w:rFonts w:ascii="Arial" w:hAnsi="Arial" w:cs="Arial"/>
          <w:sz w:val="24"/>
          <w:szCs w:val="24"/>
        </w:rPr>
        <w:t xml:space="preserve">in motion proceedings </w:t>
      </w:r>
      <w:r w:rsidR="00706183" w:rsidRPr="00E506CA">
        <w:rPr>
          <w:rFonts w:ascii="Arial" w:hAnsi="Arial" w:cs="Arial"/>
          <w:sz w:val="24"/>
          <w:szCs w:val="24"/>
        </w:rPr>
        <w:t xml:space="preserve">may only be granted if those facts </w:t>
      </w:r>
      <w:r w:rsidR="00D84005" w:rsidRPr="00E506CA">
        <w:rPr>
          <w:rFonts w:ascii="Arial" w:hAnsi="Arial" w:cs="Arial"/>
          <w:sz w:val="24"/>
          <w:szCs w:val="24"/>
        </w:rPr>
        <w:t>as</w:t>
      </w:r>
      <w:r w:rsidR="00452E00" w:rsidRPr="00E506CA">
        <w:rPr>
          <w:rFonts w:ascii="Arial" w:hAnsi="Arial" w:cs="Arial"/>
          <w:sz w:val="24"/>
          <w:szCs w:val="24"/>
        </w:rPr>
        <w:t xml:space="preserve"> </w:t>
      </w:r>
      <w:r w:rsidR="00706183" w:rsidRPr="00E506CA">
        <w:rPr>
          <w:rFonts w:ascii="Arial" w:hAnsi="Arial" w:cs="Arial"/>
          <w:sz w:val="24"/>
          <w:szCs w:val="24"/>
        </w:rPr>
        <w:t>stated by the respondent, together with those facts stated by the app</w:t>
      </w:r>
      <w:r w:rsidR="00452E00" w:rsidRPr="00E506CA">
        <w:rPr>
          <w:rFonts w:ascii="Arial" w:hAnsi="Arial" w:cs="Arial"/>
          <w:sz w:val="24"/>
          <w:szCs w:val="24"/>
        </w:rPr>
        <w:t xml:space="preserve">ellant </w:t>
      </w:r>
      <w:r w:rsidR="00706183" w:rsidRPr="00E506CA">
        <w:rPr>
          <w:rFonts w:ascii="Arial" w:hAnsi="Arial" w:cs="Arial"/>
          <w:sz w:val="24"/>
          <w:szCs w:val="24"/>
        </w:rPr>
        <w:t>that are admitted by the respondent, justify the granting of</w:t>
      </w:r>
      <w:r w:rsidR="00D84005" w:rsidRPr="00E506CA">
        <w:rPr>
          <w:rFonts w:ascii="Arial" w:hAnsi="Arial" w:cs="Arial"/>
          <w:sz w:val="24"/>
          <w:szCs w:val="24"/>
        </w:rPr>
        <w:t xml:space="preserve"> the application</w:t>
      </w:r>
      <w:r w:rsidR="00452E00" w:rsidRPr="00E506CA">
        <w:rPr>
          <w:rFonts w:ascii="Arial" w:hAnsi="Arial" w:cs="Arial"/>
          <w:sz w:val="24"/>
          <w:szCs w:val="24"/>
        </w:rPr>
        <w:t xml:space="preserve">, unless it can be said that the denial by the respondent of the facts alleged by the appellant is not such as to raise a real, genuine or </w:t>
      </w:r>
      <w:r w:rsidR="00452E00" w:rsidRPr="00E506CA">
        <w:rPr>
          <w:rFonts w:ascii="Arial" w:hAnsi="Arial" w:cs="Arial"/>
          <w:i/>
          <w:iCs/>
          <w:sz w:val="24"/>
          <w:szCs w:val="24"/>
        </w:rPr>
        <w:t xml:space="preserve">bona fide </w:t>
      </w:r>
      <w:r w:rsidR="00452E00" w:rsidRPr="00E506CA">
        <w:rPr>
          <w:rFonts w:ascii="Arial" w:hAnsi="Arial" w:cs="Arial"/>
          <w:sz w:val="24"/>
          <w:szCs w:val="24"/>
        </w:rPr>
        <w:t>dispute of fact.</w:t>
      </w:r>
      <w:r w:rsidR="00452E00">
        <w:rPr>
          <w:rStyle w:val="FootnoteReference"/>
          <w:rFonts w:ascii="Arial" w:hAnsi="Arial" w:cs="Arial"/>
          <w:sz w:val="24"/>
          <w:szCs w:val="24"/>
        </w:rPr>
        <w:footnoteReference w:id="1"/>
      </w:r>
      <w:r w:rsidR="00706183" w:rsidRPr="00E506CA">
        <w:rPr>
          <w:rFonts w:ascii="Arial" w:hAnsi="Arial" w:cs="Arial"/>
          <w:sz w:val="24"/>
          <w:szCs w:val="24"/>
        </w:rPr>
        <w:t xml:space="preserve"> </w:t>
      </w:r>
    </w:p>
    <w:p w14:paraId="02525498" w14:textId="77777777" w:rsidR="00706183" w:rsidRDefault="00706183" w:rsidP="00706183">
      <w:pPr>
        <w:spacing w:after="0" w:line="480" w:lineRule="auto"/>
        <w:ind w:left="709" w:hanging="709"/>
        <w:jc w:val="both"/>
        <w:rPr>
          <w:rFonts w:ascii="Arial" w:hAnsi="Arial" w:cs="Arial"/>
          <w:sz w:val="24"/>
          <w:szCs w:val="24"/>
        </w:rPr>
      </w:pPr>
    </w:p>
    <w:p w14:paraId="2B83F76E" w14:textId="5A4F17D9" w:rsidR="00D22B8A" w:rsidRDefault="00D22B8A" w:rsidP="00D22B8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In assessing whether a dispute of fact on the papers has been raised genuinely, the court does not go into the merits of a respondent’s defence.  It merely considers whether the respondent’s averments</w:t>
      </w:r>
      <w:r>
        <w:rPr>
          <w:rFonts w:ascii="Arial" w:hAnsi="Arial" w:cs="Arial"/>
          <w:sz w:val="24"/>
          <w:szCs w:val="24"/>
        </w:rPr>
        <w:t>,</w:t>
      </w:r>
      <w:r w:rsidRPr="00E506CA">
        <w:rPr>
          <w:rFonts w:ascii="Arial" w:hAnsi="Arial" w:cs="Arial"/>
          <w:sz w:val="24"/>
          <w:szCs w:val="24"/>
        </w:rPr>
        <w:t xml:space="preserve"> if they were to be established in a trial</w:t>
      </w:r>
      <w:r>
        <w:rPr>
          <w:rFonts w:ascii="Arial" w:hAnsi="Arial" w:cs="Arial"/>
          <w:sz w:val="24"/>
          <w:szCs w:val="24"/>
        </w:rPr>
        <w:t>,</w:t>
      </w:r>
      <w:r w:rsidRPr="00E506CA">
        <w:rPr>
          <w:rFonts w:ascii="Arial" w:hAnsi="Arial" w:cs="Arial"/>
          <w:sz w:val="24"/>
          <w:szCs w:val="24"/>
        </w:rPr>
        <w:t xml:space="preserve"> would make out a defence to the applicant’s claim.  It also </w:t>
      </w:r>
      <w:r>
        <w:rPr>
          <w:rFonts w:ascii="Arial" w:hAnsi="Arial" w:cs="Arial"/>
          <w:sz w:val="24"/>
          <w:szCs w:val="24"/>
        </w:rPr>
        <w:t>assesses</w:t>
      </w:r>
      <w:r w:rsidRPr="00E506CA">
        <w:rPr>
          <w:rFonts w:ascii="Arial" w:hAnsi="Arial" w:cs="Arial"/>
          <w:sz w:val="24"/>
          <w:szCs w:val="24"/>
        </w:rPr>
        <w:t xml:space="preserve"> whether </w:t>
      </w:r>
      <w:r>
        <w:rPr>
          <w:rFonts w:ascii="Arial" w:hAnsi="Arial" w:cs="Arial"/>
          <w:sz w:val="24"/>
          <w:szCs w:val="24"/>
        </w:rPr>
        <w:t>the</w:t>
      </w:r>
      <w:r w:rsidRPr="00E506CA">
        <w:rPr>
          <w:rFonts w:ascii="Arial" w:hAnsi="Arial" w:cs="Arial"/>
          <w:sz w:val="24"/>
          <w:szCs w:val="24"/>
        </w:rPr>
        <w:t xml:space="preserve"> </w:t>
      </w:r>
      <w:r>
        <w:rPr>
          <w:rFonts w:ascii="Arial" w:hAnsi="Arial" w:cs="Arial"/>
          <w:sz w:val="24"/>
          <w:szCs w:val="24"/>
        </w:rPr>
        <w:t xml:space="preserve">respondent’s </w:t>
      </w:r>
      <w:r w:rsidRPr="00E506CA">
        <w:rPr>
          <w:rFonts w:ascii="Arial" w:hAnsi="Arial" w:cs="Arial"/>
          <w:sz w:val="24"/>
          <w:szCs w:val="24"/>
        </w:rPr>
        <w:t xml:space="preserve">averments </w:t>
      </w:r>
      <w:r>
        <w:rPr>
          <w:rFonts w:ascii="Arial" w:hAnsi="Arial" w:cs="Arial"/>
          <w:sz w:val="24"/>
          <w:szCs w:val="24"/>
        </w:rPr>
        <w:t xml:space="preserve">making out a prima facie defence </w:t>
      </w:r>
      <w:r w:rsidRPr="00E506CA">
        <w:rPr>
          <w:rFonts w:ascii="Arial" w:hAnsi="Arial" w:cs="Arial"/>
          <w:sz w:val="24"/>
          <w:szCs w:val="24"/>
        </w:rPr>
        <w:t xml:space="preserve">are made bona fide.  The respondent’s bona fides are usually assessed with regard to the </w:t>
      </w:r>
      <w:r w:rsidR="00E506CA" w:rsidRPr="00E506CA">
        <w:rPr>
          <w:rFonts w:ascii="Arial" w:hAnsi="Arial" w:cs="Arial"/>
          <w:sz w:val="24"/>
          <w:szCs w:val="24"/>
        </w:rPr>
        <w:t>verisimilitude</w:t>
      </w:r>
      <w:r w:rsidRPr="00E506CA">
        <w:rPr>
          <w:rFonts w:ascii="Arial" w:hAnsi="Arial" w:cs="Arial"/>
          <w:sz w:val="24"/>
          <w:szCs w:val="24"/>
        </w:rPr>
        <w:t xml:space="preserve"> of the respondent’s case on paper, something ordinarily demonstrated by the deponent seriously and unambiguously engaging with the iss</w:t>
      </w:r>
      <w:r w:rsidR="00783476">
        <w:rPr>
          <w:rFonts w:ascii="Arial" w:hAnsi="Arial" w:cs="Arial"/>
          <w:sz w:val="24"/>
          <w:szCs w:val="24"/>
        </w:rPr>
        <w:t xml:space="preserve">ues sought to </w:t>
      </w:r>
      <w:r w:rsidR="00784976">
        <w:rPr>
          <w:rFonts w:ascii="Arial" w:hAnsi="Arial" w:cs="Arial"/>
          <w:sz w:val="24"/>
          <w:szCs w:val="24"/>
        </w:rPr>
        <w:t xml:space="preserve">be </w:t>
      </w:r>
      <w:r w:rsidR="00783476">
        <w:rPr>
          <w:rFonts w:ascii="Arial" w:hAnsi="Arial" w:cs="Arial"/>
          <w:sz w:val="24"/>
          <w:szCs w:val="24"/>
        </w:rPr>
        <w:t>placed in dispute</w:t>
      </w:r>
      <w:r w:rsidRPr="00E506CA">
        <w:rPr>
          <w:rFonts w:ascii="Arial" w:hAnsi="Arial" w:cs="Arial"/>
          <w:sz w:val="24"/>
          <w:szCs w:val="24"/>
        </w:rPr>
        <w:t>.</w:t>
      </w:r>
      <w:r w:rsidR="00E506CA">
        <w:rPr>
          <w:rStyle w:val="FootnoteReference"/>
          <w:rFonts w:ascii="Arial" w:hAnsi="Arial" w:cs="Arial"/>
          <w:sz w:val="24"/>
          <w:szCs w:val="24"/>
        </w:rPr>
        <w:footnoteReference w:id="2"/>
      </w:r>
    </w:p>
    <w:p w14:paraId="00B7F0E3" w14:textId="77777777" w:rsidR="00D22B8A" w:rsidRPr="00E506CA" w:rsidRDefault="00D22B8A" w:rsidP="00E506CA">
      <w:pPr>
        <w:spacing w:after="0" w:line="480" w:lineRule="auto"/>
        <w:jc w:val="both"/>
        <w:rPr>
          <w:rFonts w:ascii="Arial" w:hAnsi="Arial" w:cs="Arial"/>
          <w:sz w:val="24"/>
          <w:szCs w:val="24"/>
        </w:rPr>
      </w:pPr>
    </w:p>
    <w:p w14:paraId="2BA0E83E" w14:textId="235E57F4" w:rsidR="006D66F9" w:rsidRPr="00E506CA" w:rsidRDefault="00D84005"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In my view, the r</w:t>
      </w:r>
      <w:r w:rsidR="00452E00" w:rsidRPr="00E506CA">
        <w:rPr>
          <w:rFonts w:ascii="Arial" w:hAnsi="Arial" w:cs="Arial"/>
          <w:sz w:val="24"/>
          <w:szCs w:val="24"/>
        </w:rPr>
        <w:t xml:space="preserve">espondent </w:t>
      </w:r>
      <w:r w:rsidR="00D22B8A" w:rsidRPr="00E506CA">
        <w:rPr>
          <w:rFonts w:ascii="Arial" w:hAnsi="Arial" w:cs="Arial"/>
          <w:sz w:val="24"/>
          <w:szCs w:val="24"/>
        </w:rPr>
        <w:t>did raise a bona fide defence on the papers</w:t>
      </w:r>
      <w:r w:rsidR="00452E00" w:rsidRPr="00E506CA">
        <w:rPr>
          <w:rFonts w:ascii="Arial" w:hAnsi="Arial" w:cs="Arial"/>
          <w:sz w:val="24"/>
          <w:szCs w:val="24"/>
        </w:rPr>
        <w:t xml:space="preserve">. </w:t>
      </w:r>
      <w:r w:rsidRPr="00E506CA">
        <w:rPr>
          <w:rFonts w:ascii="Arial" w:hAnsi="Arial" w:cs="Arial"/>
          <w:sz w:val="24"/>
          <w:szCs w:val="24"/>
        </w:rPr>
        <w:t xml:space="preserve">She </w:t>
      </w:r>
      <w:r w:rsidR="00452E00" w:rsidRPr="00E506CA">
        <w:rPr>
          <w:rFonts w:ascii="Arial" w:hAnsi="Arial" w:cs="Arial"/>
          <w:sz w:val="24"/>
          <w:szCs w:val="24"/>
        </w:rPr>
        <w:t xml:space="preserve">has </w:t>
      </w:r>
      <w:r w:rsidR="00D83B1F" w:rsidRPr="00E506CA">
        <w:rPr>
          <w:rFonts w:ascii="Arial" w:hAnsi="Arial" w:cs="Arial"/>
          <w:sz w:val="24"/>
          <w:szCs w:val="24"/>
        </w:rPr>
        <w:t>provided</w:t>
      </w:r>
      <w:r w:rsidR="00452E00" w:rsidRPr="00E506CA">
        <w:rPr>
          <w:rFonts w:ascii="Arial" w:hAnsi="Arial" w:cs="Arial"/>
          <w:sz w:val="24"/>
          <w:szCs w:val="24"/>
        </w:rPr>
        <w:t xml:space="preserve"> an explanation why the farm is registered solely in her name and why she considered it to be her property. </w:t>
      </w:r>
      <w:r w:rsidR="00D22B8A" w:rsidRPr="00E506CA">
        <w:rPr>
          <w:rFonts w:ascii="Arial" w:hAnsi="Arial" w:cs="Arial"/>
          <w:sz w:val="24"/>
          <w:szCs w:val="24"/>
        </w:rPr>
        <w:t>Her evidence that</w:t>
      </w:r>
      <w:r w:rsidR="00452E00" w:rsidRPr="00E506CA">
        <w:rPr>
          <w:rFonts w:ascii="Arial" w:hAnsi="Arial" w:cs="Arial"/>
          <w:sz w:val="24"/>
          <w:szCs w:val="24"/>
        </w:rPr>
        <w:t xml:space="preserve"> the issue of a partnership was </w:t>
      </w:r>
      <w:r w:rsidR="00D22B8A" w:rsidRPr="00E506CA">
        <w:rPr>
          <w:rFonts w:ascii="Arial" w:hAnsi="Arial" w:cs="Arial"/>
          <w:sz w:val="24"/>
          <w:szCs w:val="24"/>
        </w:rPr>
        <w:t>n</w:t>
      </w:r>
      <w:r w:rsidR="00452E00" w:rsidRPr="00E506CA">
        <w:rPr>
          <w:rFonts w:ascii="Arial" w:hAnsi="Arial" w:cs="Arial"/>
          <w:sz w:val="24"/>
          <w:szCs w:val="24"/>
        </w:rPr>
        <w:t>ever discussed</w:t>
      </w:r>
      <w:r w:rsidR="00D22B8A" w:rsidRPr="00E506CA">
        <w:rPr>
          <w:rFonts w:ascii="Arial" w:hAnsi="Arial" w:cs="Arial"/>
          <w:sz w:val="24"/>
          <w:szCs w:val="24"/>
        </w:rPr>
        <w:t>,</w:t>
      </w:r>
      <w:r w:rsidR="00452E00" w:rsidRPr="00E506CA">
        <w:rPr>
          <w:rFonts w:ascii="Arial" w:hAnsi="Arial" w:cs="Arial"/>
          <w:sz w:val="24"/>
          <w:szCs w:val="24"/>
        </w:rPr>
        <w:t xml:space="preserve"> as </w:t>
      </w:r>
      <w:r w:rsidRPr="00E506CA">
        <w:rPr>
          <w:rFonts w:ascii="Arial" w:hAnsi="Arial" w:cs="Arial"/>
          <w:sz w:val="24"/>
          <w:szCs w:val="24"/>
        </w:rPr>
        <w:t xml:space="preserve">at </w:t>
      </w:r>
      <w:r w:rsidR="00452E00" w:rsidRPr="00E506CA">
        <w:rPr>
          <w:rFonts w:ascii="Arial" w:hAnsi="Arial" w:cs="Arial"/>
          <w:sz w:val="24"/>
          <w:szCs w:val="24"/>
        </w:rPr>
        <w:t>the time the farm was purchased she and the appellant were happily married</w:t>
      </w:r>
      <w:r w:rsidR="00D22B8A" w:rsidRPr="00E506CA">
        <w:rPr>
          <w:rFonts w:ascii="Arial" w:hAnsi="Arial" w:cs="Arial"/>
          <w:sz w:val="24"/>
          <w:szCs w:val="24"/>
        </w:rPr>
        <w:t xml:space="preserve"> is a version that could not </w:t>
      </w:r>
      <w:r w:rsidR="00783476">
        <w:rPr>
          <w:rFonts w:ascii="Arial" w:hAnsi="Arial" w:cs="Arial"/>
          <w:sz w:val="24"/>
          <w:szCs w:val="24"/>
        </w:rPr>
        <w:t xml:space="preserve">be </w:t>
      </w:r>
      <w:r w:rsidR="00D22B8A" w:rsidRPr="00E506CA">
        <w:rPr>
          <w:rFonts w:ascii="Arial" w:hAnsi="Arial" w:cs="Arial"/>
          <w:sz w:val="24"/>
          <w:szCs w:val="24"/>
        </w:rPr>
        <w:t>dismissed out of hand</w:t>
      </w:r>
      <w:r w:rsidR="00452E00" w:rsidRPr="00E506CA">
        <w:rPr>
          <w:rFonts w:ascii="Arial" w:hAnsi="Arial" w:cs="Arial"/>
          <w:sz w:val="24"/>
          <w:szCs w:val="24"/>
        </w:rPr>
        <w:t xml:space="preserve">. Thus, even if one discounts the legal defence relating to the marital </w:t>
      </w:r>
      <w:r w:rsidR="00452E00" w:rsidRPr="00E506CA">
        <w:rPr>
          <w:rFonts w:ascii="Arial" w:hAnsi="Arial" w:cs="Arial"/>
          <w:sz w:val="24"/>
          <w:szCs w:val="24"/>
        </w:rPr>
        <w:lastRenderedPageBreak/>
        <w:t xml:space="preserve">regime </w:t>
      </w:r>
      <w:r w:rsidRPr="00E506CA">
        <w:rPr>
          <w:rFonts w:ascii="Arial" w:hAnsi="Arial" w:cs="Arial"/>
          <w:sz w:val="24"/>
          <w:szCs w:val="24"/>
        </w:rPr>
        <w:t xml:space="preserve">regulating the </w:t>
      </w:r>
      <w:r w:rsidR="006D66F9" w:rsidRPr="00E506CA">
        <w:rPr>
          <w:rFonts w:ascii="Arial" w:hAnsi="Arial" w:cs="Arial"/>
          <w:sz w:val="24"/>
          <w:szCs w:val="24"/>
        </w:rPr>
        <w:t xml:space="preserve">parties’ marriage, it cannot be said that the </w:t>
      </w:r>
      <w:r w:rsidR="00452E00" w:rsidRPr="00E506CA">
        <w:rPr>
          <w:rFonts w:ascii="Arial" w:hAnsi="Arial" w:cs="Arial"/>
          <w:sz w:val="24"/>
          <w:szCs w:val="24"/>
        </w:rPr>
        <w:t xml:space="preserve">respondent’s denial </w:t>
      </w:r>
      <w:r w:rsidR="006D66F9" w:rsidRPr="00E506CA">
        <w:rPr>
          <w:rFonts w:ascii="Arial" w:hAnsi="Arial" w:cs="Arial"/>
          <w:sz w:val="24"/>
          <w:szCs w:val="24"/>
        </w:rPr>
        <w:t>amo</w:t>
      </w:r>
      <w:r w:rsidR="00452E00" w:rsidRPr="00E506CA">
        <w:rPr>
          <w:rFonts w:ascii="Arial" w:hAnsi="Arial" w:cs="Arial"/>
          <w:sz w:val="24"/>
          <w:szCs w:val="24"/>
        </w:rPr>
        <w:t>unts to a bare denial</w:t>
      </w:r>
      <w:r w:rsidR="006D66F9" w:rsidRPr="00E506CA">
        <w:rPr>
          <w:rFonts w:ascii="Arial" w:hAnsi="Arial" w:cs="Arial"/>
          <w:sz w:val="24"/>
          <w:szCs w:val="24"/>
        </w:rPr>
        <w:t xml:space="preserve"> </w:t>
      </w:r>
      <w:r w:rsidRPr="00E506CA">
        <w:rPr>
          <w:rFonts w:ascii="Arial" w:hAnsi="Arial" w:cs="Arial"/>
          <w:sz w:val="24"/>
          <w:szCs w:val="24"/>
        </w:rPr>
        <w:t xml:space="preserve">that </w:t>
      </w:r>
      <w:r w:rsidR="00452E00" w:rsidRPr="00E506CA">
        <w:rPr>
          <w:rFonts w:ascii="Arial" w:hAnsi="Arial" w:cs="Arial"/>
          <w:sz w:val="24"/>
          <w:szCs w:val="24"/>
        </w:rPr>
        <w:t xml:space="preserve">should be rejected </w:t>
      </w:r>
      <w:r w:rsidR="00D22B8A" w:rsidRPr="00E506CA">
        <w:rPr>
          <w:rFonts w:ascii="Arial" w:hAnsi="Arial" w:cs="Arial"/>
          <w:sz w:val="24"/>
          <w:szCs w:val="24"/>
        </w:rPr>
        <w:t>on the papers</w:t>
      </w:r>
      <w:r w:rsidR="00452E00" w:rsidRPr="00E506CA">
        <w:rPr>
          <w:rFonts w:ascii="Arial" w:hAnsi="Arial" w:cs="Arial"/>
          <w:sz w:val="24"/>
          <w:szCs w:val="24"/>
        </w:rPr>
        <w:t xml:space="preserve">. </w:t>
      </w:r>
      <w:r w:rsidR="006D66F9" w:rsidRPr="00E506CA">
        <w:rPr>
          <w:rFonts w:ascii="Arial" w:hAnsi="Arial" w:cs="Arial"/>
          <w:sz w:val="24"/>
          <w:szCs w:val="24"/>
        </w:rPr>
        <w:t xml:space="preserve">The respondent has seriously and unambiguously addressed the </w:t>
      </w:r>
      <w:r w:rsidRPr="00E506CA">
        <w:rPr>
          <w:rFonts w:ascii="Arial" w:hAnsi="Arial" w:cs="Arial"/>
          <w:sz w:val="24"/>
          <w:szCs w:val="24"/>
        </w:rPr>
        <w:t xml:space="preserve">allegation relating to the existence of the </w:t>
      </w:r>
      <w:r w:rsidR="006D66F9" w:rsidRPr="00E506CA">
        <w:rPr>
          <w:rFonts w:ascii="Arial" w:hAnsi="Arial" w:cs="Arial"/>
          <w:sz w:val="24"/>
          <w:szCs w:val="24"/>
        </w:rPr>
        <w:t xml:space="preserve">partnership. </w:t>
      </w:r>
    </w:p>
    <w:p w14:paraId="56FA59B5" w14:textId="77777777" w:rsidR="006D66F9" w:rsidRDefault="006D66F9" w:rsidP="00452E00">
      <w:pPr>
        <w:spacing w:after="0" w:line="480" w:lineRule="auto"/>
        <w:ind w:left="709" w:hanging="709"/>
        <w:jc w:val="both"/>
        <w:rPr>
          <w:rFonts w:ascii="Arial" w:hAnsi="Arial" w:cs="Arial"/>
          <w:sz w:val="24"/>
          <w:szCs w:val="24"/>
        </w:rPr>
      </w:pPr>
    </w:p>
    <w:p w14:paraId="5D504929" w14:textId="0FDC17AA" w:rsidR="006D66F9" w:rsidRPr="00E506CA" w:rsidRDefault="00D84005"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I agree with counsel for the respondent that </w:t>
      </w:r>
      <w:r w:rsidR="006D66F9" w:rsidRPr="00E506CA">
        <w:rPr>
          <w:rFonts w:ascii="Arial" w:hAnsi="Arial" w:cs="Arial"/>
          <w:sz w:val="24"/>
          <w:szCs w:val="24"/>
        </w:rPr>
        <w:t>there was no other way open to the respondent but to deny that the partnership was ever formed</w:t>
      </w:r>
      <w:r w:rsidR="00783476">
        <w:rPr>
          <w:rFonts w:ascii="Arial" w:hAnsi="Arial" w:cs="Arial"/>
          <w:sz w:val="24"/>
          <w:szCs w:val="24"/>
        </w:rPr>
        <w:t>.</w:t>
      </w:r>
      <w:r w:rsidRPr="00E506CA">
        <w:rPr>
          <w:rFonts w:ascii="Arial" w:hAnsi="Arial" w:cs="Arial"/>
          <w:sz w:val="24"/>
          <w:szCs w:val="24"/>
        </w:rPr>
        <w:t xml:space="preserve"> </w:t>
      </w:r>
      <w:r w:rsidR="006D66F9" w:rsidRPr="00E506CA">
        <w:rPr>
          <w:rFonts w:ascii="Arial" w:hAnsi="Arial" w:cs="Arial"/>
          <w:sz w:val="24"/>
          <w:szCs w:val="24"/>
        </w:rPr>
        <w:t xml:space="preserve">The founding affidavit lacked the sort of content and detail that would </w:t>
      </w:r>
      <w:r w:rsidRPr="00E506CA">
        <w:rPr>
          <w:rFonts w:ascii="Arial" w:hAnsi="Arial" w:cs="Arial"/>
          <w:sz w:val="24"/>
          <w:szCs w:val="24"/>
        </w:rPr>
        <w:t xml:space="preserve">have </w:t>
      </w:r>
      <w:r w:rsidR="006D66F9" w:rsidRPr="00E506CA">
        <w:rPr>
          <w:rFonts w:ascii="Arial" w:hAnsi="Arial" w:cs="Arial"/>
          <w:sz w:val="24"/>
          <w:szCs w:val="24"/>
        </w:rPr>
        <w:t>require</w:t>
      </w:r>
      <w:r w:rsidRPr="00E506CA">
        <w:rPr>
          <w:rFonts w:ascii="Arial" w:hAnsi="Arial" w:cs="Arial"/>
          <w:sz w:val="24"/>
          <w:szCs w:val="24"/>
        </w:rPr>
        <w:t>d</w:t>
      </w:r>
      <w:r w:rsidR="006D66F9" w:rsidRPr="00E506CA">
        <w:rPr>
          <w:rFonts w:ascii="Arial" w:hAnsi="Arial" w:cs="Arial"/>
          <w:sz w:val="24"/>
          <w:szCs w:val="24"/>
        </w:rPr>
        <w:t xml:space="preserve"> a different </w:t>
      </w:r>
      <w:r w:rsidRPr="00E506CA">
        <w:rPr>
          <w:rFonts w:ascii="Arial" w:hAnsi="Arial" w:cs="Arial"/>
          <w:sz w:val="24"/>
          <w:szCs w:val="24"/>
        </w:rPr>
        <w:t xml:space="preserve">and more particularised </w:t>
      </w:r>
      <w:r w:rsidR="006D66F9" w:rsidRPr="00E506CA">
        <w:rPr>
          <w:rFonts w:ascii="Arial" w:hAnsi="Arial" w:cs="Arial"/>
          <w:sz w:val="24"/>
          <w:szCs w:val="24"/>
        </w:rPr>
        <w:t xml:space="preserve">response from the respondent. </w:t>
      </w:r>
    </w:p>
    <w:p w14:paraId="6C13884D" w14:textId="77777777" w:rsidR="00452E00" w:rsidRDefault="00452E00" w:rsidP="00706183">
      <w:pPr>
        <w:spacing w:after="0" w:line="480" w:lineRule="auto"/>
        <w:ind w:left="709" w:hanging="709"/>
        <w:jc w:val="both"/>
        <w:rPr>
          <w:rFonts w:ascii="Arial" w:hAnsi="Arial" w:cs="Arial"/>
          <w:sz w:val="24"/>
          <w:szCs w:val="24"/>
        </w:rPr>
      </w:pPr>
    </w:p>
    <w:p w14:paraId="4460ED14" w14:textId="77777777" w:rsidR="00E34F36" w:rsidRPr="00E506CA" w:rsidRDefault="00F915E4"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The question that arises is what ought to have been done in circumstances where the court </w:t>
      </w:r>
      <w:r w:rsidR="00D22B8A" w:rsidRPr="00E506CA">
        <w:rPr>
          <w:rFonts w:ascii="Arial" w:hAnsi="Arial" w:cs="Arial"/>
          <w:sz w:val="24"/>
          <w:szCs w:val="24"/>
        </w:rPr>
        <w:t>a quo correctly</w:t>
      </w:r>
      <w:r w:rsidR="00D22B8A" w:rsidRPr="00E506CA">
        <w:rPr>
          <w:rFonts w:ascii="Arial" w:hAnsi="Arial" w:cs="Arial"/>
          <w:i/>
          <w:iCs/>
          <w:sz w:val="24"/>
          <w:szCs w:val="24"/>
        </w:rPr>
        <w:t xml:space="preserve"> </w:t>
      </w:r>
      <w:r w:rsidRPr="00E506CA">
        <w:rPr>
          <w:rFonts w:ascii="Arial" w:hAnsi="Arial" w:cs="Arial"/>
          <w:sz w:val="24"/>
          <w:szCs w:val="24"/>
        </w:rPr>
        <w:t>concluded that there was a material dispute of fact</w:t>
      </w:r>
      <w:r w:rsidR="00D84005" w:rsidRPr="00E506CA">
        <w:rPr>
          <w:rFonts w:ascii="Arial" w:hAnsi="Arial" w:cs="Arial"/>
          <w:sz w:val="24"/>
          <w:szCs w:val="24"/>
        </w:rPr>
        <w:t xml:space="preserve"> which could not be resolved on the papers. </w:t>
      </w:r>
      <w:r w:rsidR="00D22B8A" w:rsidRPr="00E506CA">
        <w:rPr>
          <w:rFonts w:ascii="Arial" w:hAnsi="Arial" w:cs="Arial"/>
          <w:sz w:val="24"/>
          <w:szCs w:val="24"/>
        </w:rPr>
        <w:t xml:space="preserve"> The situation was regulated by Uniform Rule 6(5)(g). </w:t>
      </w:r>
    </w:p>
    <w:p w14:paraId="557402E3" w14:textId="77777777" w:rsidR="00E34F36" w:rsidRDefault="00E34F36" w:rsidP="00706183">
      <w:pPr>
        <w:spacing w:after="0" w:line="480" w:lineRule="auto"/>
        <w:ind w:left="709" w:hanging="709"/>
        <w:jc w:val="both"/>
        <w:rPr>
          <w:rFonts w:ascii="Arial" w:hAnsi="Arial" w:cs="Arial"/>
          <w:sz w:val="24"/>
          <w:szCs w:val="24"/>
        </w:rPr>
      </w:pPr>
    </w:p>
    <w:p w14:paraId="5E9FAA83" w14:textId="77777777" w:rsidR="00E34F36" w:rsidRPr="00E506CA" w:rsidRDefault="00E34F36"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Rule 6(5)(g) state</w:t>
      </w:r>
      <w:r w:rsidR="00D84005" w:rsidRPr="00E506CA">
        <w:rPr>
          <w:rFonts w:ascii="Arial" w:hAnsi="Arial" w:cs="Arial"/>
          <w:sz w:val="24"/>
          <w:szCs w:val="24"/>
        </w:rPr>
        <w:t>s</w:t>
      </w:r>
      <w:r w:rsidRPr="00E506CA">
        <w:rPr>
          <w:rFonts w:ascii="Arial" w:hAnsi="Arial" w:cs="Arial"/>
          <w:sz w:val="24"/>
          <w:szCs w:val="24"/>
        </w:rPr>
        <w:t xml:space="preserve"> as follows:</w:t>
      </w:r>
    </w:p>
    <w:p w14:paraId="2E5D3A95" w14:textId="77777777" w:rsidR="00E34F36" w:rsidRDefault="00E34F36" w:rsidP="00E34F36">
      <w:pPr>
        <w:spacing w:after="0" w:line="480" w:lineRule="auto"/>
        <w:ind w:left="720" w:hanging="720"/>
        <w:jc w:val="both"/>
        <w:rPr>
          <w:rFonts w:ascii="Arial" w:hAnsi="Arial" w:cs="Arial"/>
          <w:sz w:val="24"/>
          <w:szCs w:val="24"/>
        </w:rPr>
      </w:pPr>
    </w:p>
    <w:p w14:paraId="499D3B8C" w14:textId="77777777" w:rsidR="00E34F36" w:rsidRPr="00783476" w:rsidRDefault="00E34F36" w:rsidP="00783476">
      <w:pPr>
        <w:spacing w:after="0" w:line="480" w:lineRule="auto"/>
        <w:ind w:left="1980"/>
        <w:jc w:val="both"/>
        <w:rPr>
          <w:rFonts w:ascii="Arial" w:hAnsi="Arial" w:cs="Arial"/>
          <w:sz w:val="24"/>
          <w:szCs w:val="24"/>
        </w:rPr>
      </w:pPr>
      <w:r w:rsidRPr="00783476">
        <w:rPr>
          <w:rFonts w:ascii="Arial" w:hAnsi="Arial" w:cs="Arial"/>
          <w:sz w:val="24"/>
          <w:szCs w:val="24"/>
        </w:rPr>
        <w:t>“</w:t>
      </w:r>
      <w:r w:rsidRPr="00783476">
        <w:rPr>
          <w:rFonts w:ascii="Arial" w:hAnsi="Arial" w:cs="Arial"/>
          <w:i/>
          <w:iCs/>
          <w:sz w:val="24"/>
          <w:szCs w:val="24"/>
        </w:rPr>
        <w:t xml:space="preserve">Where an application cannot properly be decided on affidavit the court may dismiss the application or make such order as it deems fit with a view to ensuring a just and expeditious decision.  In particular, but without affecting the generality of </w:t>
      </w:r>
      <w:proofErr w:type="gramStart"/>
      <w:r w:rsidRPr="00783476">
        <w:rPr>
          <w:rFonts w:ascii="Arial" w:hAnsi="Arial" w:cs="Arial"/>
          <w:i/>
          <w:iCs/>
          <w:sz w:val="24"/>
          <w:szCs w:val="24"/>
        </w:rPr>
        <w:t xml:space="preserve">the </w:t>
      </w:r>
      <w:r w:rsidR="00695583" w:rsidRPr="00783476">
        <w:rPr>
          <w:rFonts w:ascii="Arial" w:hAnsi="Arial" w:cs="Arial"/>
          <w:i/>
          <w:iCs/>
          <w:sz w:val="24"/>
          <w:szCs w:val="24"/>
        </w:rPr>
        <w:t>a</w:t>
      </w:r>
      <w:proofErr w:type="gramEnd"/>
      <w:r w:rsidR="00695583" w:rsidRPr="00783476">
        <w:rPr>
          <w:rFonts w:ascii="Arial" w:hAnsi="Arial" w:cs="Arial"/>
          <w:i/>
          <w:iCs/>
          <w:sz w:val="24"/>
          <w:szCs w:val="24"/>
        </w:rPr>
        <w:t xml:space="preserve"> foregoing</w:t>
      </w:r>
      <w:r w:rsidRPr="00783476">
        <w:rPr>
          <w:rFonts w:ascii="Arial" w:hAnsi="Arial" w:cs="Arial"/>
          <w:i/>
          <w:iCs/>
          <w:sz w:val="24"/>
          <w:szCs w:val="24"/>
        </w:rPr>
        <w:t xml:space="preserve">, it may direct that oral evidence he heard on specified issues with a view to resolving any dispute of fact and to that end may order any deponent to appear personally or grant leave for such deponent or any other person to be subpoenaed to appear and be examined </w:t>
      </w:r>
      <w:r w:rsidRPr="00783476">
        <w:rPr>
          <w:rFonts w:ascii="Arial" w:hAnsi="Arial" w:cs="Arial"/>
          <w:i/>
          <w:iCs/>
          <w:sz w:val="24"/>
          <w:szCs w:val="24"/>
        </w:rPr>
        <w:lastRenderedPageBreak/>
        <w:t>and cross-examined as a witness or it may refer the matter to trial with appropriate directions as to pleadings or definition of issues, or otherwise.</w:t>
      </w:r>
      <w:r w:rsidRPr="00783476">
        <w:rPr>
          <w:rFonts w:ascii="Arial" w:hAnsi="Arial" w:cs="Arial"/>
          <w:sz w:val="24"/>
          <w:szCs w:val="24"/>
        </w:rPr>
        <w:t>”</w:t>
      </w:r>
    </w:p>
    <w:p w14:paraId="30024666" w14:textId="77777777" w:rsidR="00E34F36" w:rsidRDefault="00E34F36" w:rsidP="00E34F36">
      <w:pPr>
        <w:spacing w:after="0" w:line="480" w:lineRule="auto"/>
        <w:ind w:left="720" w:hanging="720"/>
        <w:jc w:val="both"/>
        <w:rPr>
          <w:rFonts w:ascii="Arial" w:hAnsi="Arial" w:cs="Arial"/>
          <w:sz w:val="24"/>
          <w:szCs w:val="24"/>
        </w:rPr>
      </w:pPr>
    </w:p>
    <w:p w14:paraId="6253770B" w14:textId="77777777" w:rsidR="00E34F36" w:rsidRPr="00E506CA" w:rsidRDefault="00B4337F"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The import of </w:t>
      </w:r>
      <w:r w:rsidR="00161BD1" w:rsidRPr="00E506CA">
        <w:rPr>
          <w:rFonts w:ascii="Arial" w:hAnsi="Arial" w:cs="Arial"/>
          <w:sz w:val="24"/>
          <w:szCs w:val="24"/>
        </w:rPr>
        <w:t xml:space="preserve">rule 6(5)(g) </w:t>
      </w:r>
      <w:r w:rsidRPr="00E506CA">
        <w:rPr>
          <w:rFonts w:ascii="Arial" w:hAnsi="Arial" w:cs="Arial"/>
          <w:sz w:val="24"/>
          <w:szCs w:val="24"/>
        </w:rPr>
        <w:t>is that</w:t>
      </w:r>
      <w:r w:rsidR="00E34F36" w:rsidRPr="00E506CA">
        <w:rPr>
          <w:rFonts w:ascii="Arial" w:hAnsi="Arial" w:cs="Arial"/>
          <w:sz w:val="24"/>
          <w:szCs w:val="24"/>
        </w:rPr>
        <w:t xml:space="preserve"> where there is a material and </w:t>
      </w:r>
      <w:r w:rsidR="00E34F36" w:rsidRPr="00E506CA">
        <w:rPr>
          <w:rFonts w:ascii="Arial" w:hAnsi="Arial" w:cs="Arial"/>
          <w:i/>
          <w:iCs/>
          <w:sz w:val="24"/>
          <w:szCs w:val="24"/>
        </w:rPr>
        <w:t xml:space="preserve">bona fide </w:t>
      </w:r>
      <w:r w:rsidR="00E34F36" w:rsidRPr="00E506CA">
        <w:rPr>
          <w:rFonts w:ascii="Arial" w:hAnsi="Arial" w:cs="Arial"/>
          <w:sz w:val="24"/>
          <w:szCs w:val="24"/>
        </w:rPr>
        <w:t xml:space="preserve">dispute of fact that cannot be decided on the papers, a court is faced with three alternatives: it may dismiss the application, </w:t>
      </w:r>
      <w:r w:rsidR="006A17F2" w:rsidRPr="00E506CA">
        <w:rPr>
          <w:rFonts w:ascii="Arial" w:hAnsi="Arial" w:cs="Arial"/>
          <w:sz w:val="24"/>
          <w:szCs w:val="24"/>
        </w:rPr>
        <w:t xml:space="preserve">or </w:t>
      </w:r>
      <w:r w:rsidR="00E34F36" w:rsidRPr="00E506CA">
        <w:rPr>
          <w:rFonts w:ascii="Arial" w:hAnsi="Arial" w:cs="Arial"/>
          <w:sz w:val="24"/>
          <w:szCs w:val="24"/>
        </w:rPr>
        <w:t xml:space="preserve">direct that oral evidence be heard on specified issues, or refer the matter to trial. A court is not restricted to the listed </w:t>
      </w:r>
      <w:r w:rsidRPr="00E506CA">
        <w:rPr>
          <w:rFonts w:ascii="Arial" w:hAnsi="Arial" w:cs="Arial"/>
          <w:sz w:val="24"/>
          <w:szCs w:val="24"/>
        </w:rPr>
        <w:t xml:space="preserve">remedies </w:t>
      </w:r>
      <w:r w:rsidR="00E34F36" w:rsidRPr="00E506CA">
        <w:rPr>
          <w:rFonts w:ascii="Arial" w:hAnsi="Arial" w:cs="Arial"/>
          <w:sz w:val="24"/>
          <w:szCs w:val="24"/>
        </w:rPr>
        <w:t xml:space="preserve">and may make any order it deems fit and which is directed at ensuring a just and expeditious decision. </w:t>
      </w:r>
      <w:r w:rsidR="00D22B8A" w:rsidRPr="00E506CA">
        <w:rPr>
          <w:rFonts w:ascii="Arial" w:hAnsi="Arial" w:cs="Arial"/>
          <w:sz w:val="24"/>
          <w:szCs w:val="24"/>
        </w:rPr>
        <w:t xml:space="preserve"> The response of the court a quo was to dismiss the application instead of referring it to oral evidence.</w:t>
      </w:r>
    </w:p>
    <w:p w14:paraId="370ABF7B" w14:textId="77777777" w:rsidR="00532E31" w:rsidRDefault="00532E31" w:rsidP="00E506CA">
      <w:pPr>
        <w:spacing w:after="0" w:line="480" w:lineRule="auto"/>
        <w:ind w:left="709" w:hanging="569"/>
        <w:jc w:val="both"/>
        <w:rPr>
          <w:rFonts w:ascii="Arial" w:hAnsi="Arial" w:cs="Arial"/>
          <w:sz w:val="24"/>
          <w:szCs w:val="24"/>
        </w:rPr>
      </w:pPr>
    </w:p>
    <w:p w14:paraId="3260AD66" w14:textId="77777777" w:rsidR="00BE3A8A" w:rsidRPr="00E506CA" w:rsidRDefault="00BE3A8A"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The question that arises is what is the nature of the </w:t>
      </w:r>
      <w:r w:rsidR="006A17F2" w:rsidRPr="00E506CA">
        <w:rPr>
          <w:rFonts w:ascii="Arial" w:hAnsi="Arial" w:cs="Arial"/>
          <w:sz w:val="24"/>
          <w:szCs w:val="24"/>
        </w:rPr>
        <w:t xml:space="preserve">discretionary </w:t>
      </w:r>
      <w:r w:rsidRPr="00E506CA">
        <w:rPr>
          <w:rFonts w:ascii="Arial" w:hAnsi="Arial" w:cs="Arial"/>
          <w:sz w:val="24"/>
          <w:szCs w:val="24"/>
        </w:rPr>
        <w:t xml:space="preserve">power exercised by a court when making a determination under rule 6(5)(g) and to what extent, if any, may </w:t>
      </w:r>
      <w:r w:rsidR="006A17F2" w:rsidRPr="00E506CA">
        <w:rPr>
          <w:rFonts w:ascii="Arial" w:hAnsi="Arial" w:cs="Arial"/>
          <w:sz w:val="24"/>
          <w:szCs w:val="24"/>
        </w:rPr>
        <w:t xml:space="preserve">a </w:t>
      </w:r>
      <w:r w:rsidRPr="00E506CA">
        <w:rPr>
          <w:rFonts w:ascii="Arial" w:hAnsi="Arial" w:cs="Arial"/>
          <w:sz w:val="24"/>
          <w:szCs w:val="24"/>
        </w:rPr>
        <w:t>court</w:t>
      </w:r>
      <w:r w:rsidR="006A17F2" w:rsidRPr="00E506CA">
        <w:rPr>
          <w:rFonts w:ascii="Arial" w:hAnsi="Arial" w:cs="Arial"/>
          <w:sz w:val="24"/>
          <w:szCs w:val="24"/>
        </w:rPr>
        <w:t xml:space="preserve"> validly interfere </w:t>
      </w:r>
      <w:r w:rsidRPr="00E506CA">
        <w:rPr>
          <w:rFonts w:ascii="Arial" w:hAnsi="Arial" w:cs="Arial"/>
          <w:sz w:val="24"/>
          <w:szCs w:val="24"/>
        </w:rPr>
        <w:t>with the exercise of such a discretion</w:t>
      </w:r>
      <w:r w:rsidR="00D22B8A" w:rsidRPr="00E506CA">
        <w:rPr>
          <w:rFonts w:ascii="Arial" w:hAnsi="Arial" w:cs="Arial"/>
          <w:sz w:val="24"/>
          <w:szCs w:val="24"/>
        </w:rPr>
        <w:t xml:space="preserve"> on appeal</w:t>
      </w:r>
      <w:r w:rsidRPr="00E506CA">
        <w:rPr>
          <w:rFonts w:ascii="Arial" w:hAnsi="Arial" w:cs="Arial"/>
          <w:sz w:val="24"/>
          <w:szCs w:val="24"/>
        </w:rPr>
        <w:t>. Counsel for both parties provided a</w:t>
      </w:r>
      <w:r w:rsidR="006A17F2" w:rsidRPr="00E506CA">
        <w:rPr>
          <w:rFonts w:ascii="Arial" w:hAnsi="Arial" w:cs="Arial"/>
          <w:sz w:val="24"/>
          <w:szCs w:val="24"/>
        </w:rPr>
        <w:t xml:space="preserve"> post-hearing </w:t>
      </w:r>
      <w:r w:rsidRPr="00E506CA">
        <w:rPr>
          <w:rFonts w:ascii="Arial" w:hAnsi="Arial" w:cs="Arial"/>
          <w:sz w:val="24"/>
          <w:szCs w:val="24"/>
        </w:rPr>
        <w:t xml:space="preserve">note on this issue, for which </w:t>
      </w:r>
      <w:r w:rsidR="00D22B8A" w:rsidRPr="00E506CA">
        <w:rPr>
          <w:rFonts w:ascii="Arial" w:hAnsi="Arial" w:cs="Arial"/>
          <w:sz w:val="24"/>
          <w:szCs w:val="24"/>
        </w:rPr>
        <w:t xml:space="preserve">the </w:t>
      </w:r>
      <w:r w:rsidR="00D83B1F" w:rsidRPr="00E506CA">
        <w:rPr>
          <w:rFonts w:ascii="Arial" w:hAnsi="Arial" w:cs="Arial"/>
          <w:sz w:val="24"/>
          <w:szCs w:val="24"/>
        </w:rPr>
        <w:t>C</w:t>
      </w:r>
      <w:r w:rsidRPr="00E506CA">
        <w:rPr>
          <w:rFonts w:ascii="Arial" w:hAnsi="Arial" w:cs="Arial"/>
          <w:sz w:val="24"/>
          <w:szCs w:val="24"/>
        </w:rPr>
        <w:t xml:space="preserve">ourt is </w:t>
      </w:r>
      <w:r w:rsidR="00B4337F" w:rsidRPr="00E506CA">
        <w:rPr>
          <w:rFonts w:ascii="Arial" w:hAnsi="Arial" w:cs="Arial"/>
          <w:sz w:val="24"/>
          <w:szCs w:val="24"/>
        </w:rPr>
        <w:t>thankful</w:t>
      </w:r>
      <w:r w:rsidRPr="00E506CA">
        <w:rPr>
          <w:rFonts w:ascii="Arial" w:hAnsi="Arial" w:cs="Arial"/>
          <w:sz w:val="24"/>
          <w:szCs w:val="24"/>
        </w:rPr>
        <w:t>.</w:t>
      </w:r>
    </w:p>
    <w:p w14:paraId="41E8E21E" w14:textId="77777777" w:rsidR="002C0CE4" w:rsidRDefault="002C0CE4" w:rsidP="00926F40">
      <w:pPr>
        <w:spacing w:after="0" w:line="480" w:lineRule="auto"/>
        <w:ind w:left="720" w:hanging="720"/>
        <w:jc w:val="both"/>
        <w:rPr>
          <w:rFonts w:ascii="Arial" w:hAnsi="Arial" w:cs="Arial"/>
          <w:sz w:val="24"/>
          <w:szCs w:val="24"/>
        </w:rPr>
      </w:pPr>
    </w:p>
    <w:p w14:paraId="1E377E5B" w14:textId="77777777" w:rsidR="00161BD1" w:rsidRPr="00E506CA" w:rsidRDefault="00161BD1"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In </w:t>
      </w:r>
      <w:proofErr w:type="spellStart"/>
      <w:r w:rsidR="00397E29" w:rsidRPr="00E506CA">
        <w:rPr>
          <w:rFonts w:ascii="Arial" w:hAnsi="Arial" w:cs="Arial"/>
          <w:b/>
          <w:bCs/>
          <w:i/>
          <w:iCs/>
          <w:sz w:val="24"/>
          <w:szCs w:val="24"/>
        </w:rPr>
        <w:t>Trencon</w:t>
      </w:r>
      <w:proofErr w:type="spellEnd"/>
      <w:r w:rsidR="00397E29" w:rsidRPr="00E506CA">
        <w:rPr>
          <w:rFonts w:ascii="Arial" w:hAnsi="Arial" w:cs="Arial"/>
          <w:b/>
          <w:bCs/>
          <w:i/>
          <w:iCs/>
          <w:sz w:val="24"/>
          <w:szCs w:val="24"/>
        </w:rPr>
        <w:t xml:space="preserve"> Construction</w:t>
      </w:r>
      <w:r w:rsidR="002A2B0A">
        <w:rPr>
          <w:rStyle w:val="FootnoteReference"/>
          <w:rFonts w:ascii="Arial" w:hAnsi="Arial" w:cs="Arial"/>
          <w:b/>
          <w:bCs/>
          <w:i/>
          <w:iCs/>
          <w:sz w:val="24"/>
          <w:szCs w:val="24"/>
        </w:rPr>
        <w:footnoteReference w:id="3"/>
      </w:r>
      <w:r w:rsidR="00397E29" w:rsidRPr="00E506CA">
        <w:rPr>
          <w:rFonts w:ascii="Arial" w:hAnsi="Arial" w:cs="Arial"/>
          <w:sz w:val="24"/>
          <w:szCs w:val="24"/>
        </w:rPr>
        <w:t>,</w:t>
      </w:r>
      <w:r w:rsidR="006A17F2" w:rsidRPr="00E506CA">
        <w:rPr>
          <w:rFonts w:ascii="Arial" w:hAnsi="Arial" w:cs="Arial"/>
          <w:sz w:val="24"/>
          <w:szCs w:val="24"/>
        </w:rPr>
        <w:t xml:space="preserve"> </w:t>
      </w:r>
      <w:proofErr w:type="spellStart"/>
      <w:r w:rsidR="002A2B0A" w:rsidRPr="00E506CA">
        <w:rPr>
          <w:rFonts w:ascii="Arial" w:hAnsi="Arial" w:cs="Arial"/>
          <w:sz w:val="24"/>
          <w:szCs w:val="24"/>
        </w:rPr>
        <w:t>Khampepe</w:t>
      </w:r>
      <w:proofErr w:type="spellEnd"/>
      <w:r w:rsidR="002A2B0A" w:rsidRPr="00E506CA">
        <w:rPr>
          <w:rFonts w:ascii="Arial" w:hAnsi="Arial" w:cs="Arial"/>
          <w:sz w:val="24"/>
          <w:szCs w:val="24"/>
        </w:rPr>
        <w:t xml:space="preserve"> J, writing for a unanimous </w:t>
      </w:r>
      <w:r w:rsidR="00397E29" w:rsidRPr="00E506CA">
        <w:rPr>
          <w:rFonts w:ascii="Arial" w:hAnsi="Arial" w:cs="Arial"/>
          <w:sz w:val="24"/>
          <w:szCs w:val="24"/>
        </w:rPr>
        <w:t xml:space="preserve">Constitutional Court, noted </w:t>
      </w:r>
      <w:r w:rsidR="002A2B0A" w:rsidRPr="00E506CA">
        <w:rPr>
          <w:rFonts w:ascii="Arial" w:hAnsi="Arial" w:cs="Arial"/>
          <w:sz w:val="24"/>
          <w:szCs w:val="24"/>
        </w:rPr>
        <w:t xml:space="preserve">that </w:t>
      </w:r>
      <w:r w:rsidR="00397E29" w:rsidRPr="00E506CA">
        <w:rPr>
          <w:rFonts w:ascii="Arial" w:hAnsi="Arial" w:cs="Arial"/>
          <w:sz w:val="24"/>
          <w:szCs w:val="24"/>
        </w:rPr>
        <w:t>two type</w:t>
      </w:r>
      <w:r w:rsidR="002A2B0A" w:rsidRPr="00E506CA">
        <w:rPr>
          <w:rFonts w:ascii="Arial" w:hAnsi="Arial" w:cs="Arial"/>
          <w:sz w:val="24"/>
          <w:szCs w:val="24"/>
        </w:rPr>
        <w:t>s</w:t>
      </w:r>
      <w:r w:rsidR="00397E29" w:rsidRPr="00E506CA">
        <w:rPr>
          <w:rFonts w:ascii="Arial" w:hAnsi="Arial" w:cs="Arial"/>
          <w:sz w:val="24"/>
          <w:szCs w:val="24"/>
        </w:rPr>
        <w:t xml:space="preserve"> of discretion </w:t>
      </w:r>
      <w:r w:rsidR="002A2B0A" w:rsidRPr="00E506CA">
        <w:rPr>
          <w:rFonts w:ascii="Arial" w:hAnsi="Arial" w:cs="Arial"/>
          <w:sz w:val="24"/>
          <w:szCs w:val="24"/>
        </w:rPr>
        <w:t xml:space="preserve">have emerged in our case law in determining the standard of interference that an appellate court </w:t>
      </w:r>
      <w:r w:rsidR="006A17F2" w:rsidRPr="00E506CA">
        <w:rPr>
          <w:rFonts w:ascii="Arial" w:hAnsi="Arial" w:cs="Arial"/>
          <w:sz w:val="24"/>
          <w:szCs w:val="24"/>
        </w:rPr>
        <w:t xml:space="preserve">is </w:t>
      </w:r>
      <w:r w:rsidR="002A2B0A" w:rsidRPr="00E506CA">
        <w:rPr>
          <w:rFonts w:ascii="Arial" w:hAnsi="Arial" w:cs="Arial"/>
          <w:sz w:val="24"/>
          <w:szCs w:val="24"/>
        </w:rPr>
        <w:t xml:space="preserve">justified in applying when considering the exercise of a discretion by a court of </w:t>
      </w:r>
      <w:r w:rsidR="002A2B0A" w:rsidRPr="00E506CA">
        <w:rPr>
          <w:rFonts w:ascii="Arial" w:hAnsi="Arial" w:cs="Arial"/>
          <w:sz w:val="24"/>
          <w:szCs w:val="24"/>
        </w:rPr>
        <w:lastRenderedPageBreak/>
        <w:t xml:space="preserve">first instance. The two types of discretion are often referred </w:t>
      </w:r>
      <w:r w:rsidR="00397E29" w:rsidRPr="00E506CA">
        <w:rPr>
          <w:rFonts w:ascii="Arial" w:hAnsi="Arial" w:cs="Arial"/>
          <w:sz w:val="24"/>
          <w:szCs w:val="24"/>
        </w:rPr>
        <w:t xml:space="preserve">to as </w:t>
      </w:r>
      <w:r w:rsidR="002A2B0A" w:rsidRPr="00E506CA">
        <w:rPr>
          <w:rFonts w:ascii="Arial" w:hAnsi="Arial" w:cs="Arial"/>
          <w:sz w:val="24"/>
          <w:szCs w:val="24"/>
        </w:rPr>
        <w:t>“</w:t>
      </w:r>
      <w:r w:rsidR="00397E29" w:rsidRPr="00E506CA">
        <w:rPr>
          <w:rFonts w:ascii="Arial" w:hAnsi="Arial" w:cs="Arial"/>
          <w:i/>
          <w:iCs/>
          <w:sz w:val="24"/>
          <w:szCs w:val="24"/>
        </w:rPr>
        <w:t>a discretion in the strict/narrow/true sense and a discretion in the broad/wide/loose sense</w:t>
      </w:r>
      <w:r w:rsidR="002A2B0A" w:rsidRPr="00E506CA">
        <w:rPr>
          <w:rFonts w:ascii="Arial" w:hAnsi="Arial" w:cs="Arial"/>
          <w:sz w:val="24"/>
          <w:szCs w:val="24"/>
        </w:rPr>
        <w:t>”</w:t>
      </w:r>
      <w:r w:rsidR="002A2B0A">
        <w:rPr>
          <w:rStyle w:val="FootnoteReference"/>
          <w:rFonts w:ascii="Arial" w:hAnsi="Arial" w:cs="Arial"/>
          <w:sz w:val="24"/>
          <w:szCs w:val="24"/>
        </w:rPr>
        <w:footnoteReference w:id="4"/>
      </w:r>
      <w:r w:rsidR="002A2B0A" w:rsidRPr="00E506CA">
        <w:rPr>
          <w:rFonts w:ascii="Arial" w:hAnsi="Arial" w:cs="Arial"/>
          <w:sz w:val="24"/>
          <w:szCs w:val="24"/>
        </w:rPr>
        <w:t>.</w:t>
      </w:r>
      <w:r w:rsidR="00397E29" w:rsidRPr="00E506CA">
        <w:rPr>
          <w:rFonts w:ascii="Arial" w:hAnsi="Arial" w:cs="Arial"/>
          <w:sz w:val="24"/>
          <w:szCs w:val="24"/>
        </w:rPr>
        <w:t xml:space="preserve"> </w:t>
      </w:r>
    </w:p>
    <w:p w14:paraId="51F71A49" w14:textId="77777777" w:rsidR="00D83B1F" w:rsidRDefault="00D83B1F" w:rsidP="00926F40">
      <w:pPr>
        <w:spacing w:after="0" w:line="480" w:lineRule="auto"/>
        <w:ind w:left="720" w:hanging="720"/>
        <w:jc w:val="both"/>
        <w:rPr>
          <w:rFonts w:ascii="Arial" w:hAnsi="Arial" w:cs="Arial"/>
          <w:sz w:val="24"/>
          <w:szCs w:val="24"/>
        </w:rPr>
      </w:pPr>
    </w:p>
    <w:p w14:paraId="0FB84953" w14:textId="77777777" w:rsidR="00397E29" w:rsidRPr="00E506CA" w:rsidRDefault="00397E29" w:rsidP="00E506CA">
      <w:pPr>
        <w:pStyle w:val="ListParagraph"/>
        <w:numPr>
          <w:ilvl w:val="0"/>
          <w:numId w:val="2"/>
        </w:numPr>
        <w:spacing w:after="0" w:line="480" w:lineRule="auto"/>
        <w:ind w:hanging="578"/>
        <w:jc w:val="both"/>
        <w:rPr>
          <w:rFonts w:ascii="Arial" w:hAnsi="Arial" w:cs="Arial"/>
          <w:sz w:val="24"/>
          <w:szCs w:val="24"/>
        </w:rPr>
      </w:pPr>
      <w:r w:rsidRPr="00E506CA">
        <w:rPr>
          <w:rFonts w:ascii="Arial" w:hAnsi="Arial" w:cs="Arial"/>
          <w:sz w:val="24"/>
          <w:szCs w:val="24"/>
        </w:rPr>
        <w:t xml:space="preserve">The distinction between a true </w:t>
      </w:r>
      <w:r w:rsidR="0092784A" w:rsidRPr="00E506CA">
        <w:rPr>
          <w:rFonts w:ascii="Arial" w:hAnsi="Arial" w:cs="Arial"/>
          <w:sz w:val="24"/>
          <w:szCs w:val="24"/>
        </w:rPr>
        <w:t xml:space="preserve">discretion and a </w:t>
      </w:r>
      <w:r w:rsidRPr="00E506CA">
        <w:rPr>
          <w:rFonts w:ascii="Arial" w:hAnsi="Arial" w:cs="Arial"/>
          <w:sz w:val="24"/>
          <w:szCs w:val="24"/>
        </w:rPr>
        <w:t xml:space="preserve">loose discretion is not merely </w:t>
      </w:r>
      <w:r w:rsidR="006A17F2" w:rsidRPr="00E506CA">
        <w:rPr>
          <w:rFonts w:ascii="Arial" w:hAnsi="Arial" w:cs="Arial"/>
          <w:sz w:val="24"/>
          <w:szCs w:val="24"/>
        </w:rPr>
        <w:t xml:space="preserve">one of </w:t>
      </w:r>
      <w:r w:rsidRPr="00E506CA">
        <w:rPr>
          <w:rFonts w:ascii="Arial" w:hAnsi="Arial" w:cs="Arial"/>
          <w:sz w:val="24"/>
          <w:szCs w:val="24"/>
        </w:rPr>
        <w:t>semantic</w:t>
      </w:r>
      <w:r w:rsidR="00B4337F" w:rsidRPr="00E506CA">
        <w:rPr>
          <w:rFonts w:ascii="Arial" w:hAnsi="Arial" w:cs="Arial"/>
          <w:sz w:val="24"/>
          <w:szCs w:val="24"/>
        </w:rPr>
        <w:t>s</w:t>
      </w:r>
      <w:r w:rsidRPr="00E506CA">
        <w:rPr>
          <w:rFonts w:ascii="Arial" w:hAnsi="Arial" w:cs="Arial"/>
          <w:sz w:val="24"/>
          <w:szCs w:val="24"/>
        </w:rPr>
        <w:t xml:space="preserve"> for the type of discretion will dictate the standard of interference that an appellant court must apply. It is thus critical for an appellate court to ascertain whether the discretion exercised by the lower </w:t>
      </w:r>
      <w:r w:rsidR="006A17F2" w:rsidRPr="00E506CA">
        <w:rPr>
          <w:rFonts w:ascii="Arial" w:hAnsi="Arial" w:cs="Arial"/>
          <w:sz w:val="24"/>
          <w:szCs w:val="24"/>
        </w:rPr>
        <w:t xml:space="preserve">court </w:t>
      </w:r>
      <w:r w:rsidRPr="00E506CA">
        <w:rPr>
          <w:rFonts w:ascii="Arial" w:hAnsi="Arial" w:cs="Arial"/>
          <w:sz w:val="24"/>
          <w:szCs w:val="24"/>
        </w:rPr>
        <w:t xml:space="preserve">was a discretion in a true sense or whether it was a discretion in </w:t>
      </w:r>
      <w:r w:rsidR="00B4337F" w:rsidRPr="00E506CA">
        <w:rPr>
          <w:rFonts w:ascii="Arial" w:hAnsi="Arial" w:cs="Arial"/>
          <w:sz w:val="24"/>
          <w:szCs w:val="24"/>
        </w:rPr>
        <w:t>a</w:t>
      </w:r>
      <w:r w:rsidRPr="00E506CA">
        <w:rPr>
          <w:rFonts w:ascii="Arial" w:hAnsi="Arial" w:cs="Arial"/>
          <w:sz w:val="24"/>
          <w:szCs w:val="24"/>
        </w:rPr>
        <w:t xml:space="preserve"> loose sense</w:t>
      </w:r>
      <w:r w:rsidR="001F5EFC">
        <w:rPr>
          <w:rStyle w:val="FootnoteReference"/>
          <w:rFonts w:ascii="Arial" w:hAnsi="Arial" w:cs="Arial"/>
          <w:sz w:val="24"/>
          <w:szCs w:val="24"/>
        </w:rPr>
        <w:footnoteReference w:id="5"/>
      </w:r>
      <w:r w:rsidR="001F5EFC" w:rsidRPr="00E506CA">
        <w:rPr>
          <w:rFonts w:ascii="Arial" w:hAnsi="Arial" w:cs="Arial"/>
          <w:sz w:val="24"/>
          <w:szCs w:val="24"/>
        </w:rPr>
        <w:t>.</w:t>
      </w:r>
      <w:r w:rsidRPr="00E506CA">
        <w:rPr>
          <w:rFonts w:ascii="Arial" w:hAnsi="Arial" w:cs="Arial"/>
          <w:sz w:val="24"/>
          <w:szCs w:val="24"/>
        </w:rPr>
        <w:t xml:space="preserve"> </w:t>
      </w:r>
    </w:p>
    <w:p w14:paraId="2BE1B0B9" w14:textId="77777777" w:rsidR="00397E29" w:rsidRDefault="00397E29" w:rsidP="00926F40">
      <w:pPr>
        <w:spacing w:after="0" w:line="480" w:lineRule="auto"/>
        <w:ind w:left="720" w:hanging="720"/>
        <w:jc w:val="both"/>
        <w:rPr>
          <w:rFonts w:ascii="Arial" w:hAnsi="Arial" w:cs="Arial"/>
          <w:sz w:val="24"/>
          <w:szCs w:val="24"/>
        </w:rPr>
      </w:pPr>
    </w:p>
    <w:p w14:paraId="0C456C32" w14:textId="77777777" w:rsidR="0060331A" w:rsidRPr="00E506CA" w:rsidRDefault="0092784A"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I</w:t>
      </w:r>
      <w:r w:rsidR="00642429" w:rsidRPr="00E506CA">
        <w:rPr>
          <w:rFonts w:ascii="Arial" w:hAnsi="Arial" w:cs="Arial"/>
          <w:sz w:val="24"/>
          <w:szCs w:val="24"/>
        </w:rPr>
        <w:t xml:space="preserve">n </w:t>
      </w:r>
      <w:r w:rsidR="00642429" w:rsidRPr="00E506CA">
        <w:rPr>
          <w:rFonts w:ascii="Arial" w:hAnsi="Arial" w:cs="Arial"/>
          <w:b/>
          <w:bCs/>
          <w:i/>
          <w:iCs/>
          <w:sz w:val="24"/>
          <w:szCs w:val="24"/>
        </w:rPr>
        <w:t>M</w:t>
      </w:r>
      <w:r w:rsidR="006A17F2" w:rsidRPr="00E506CA">
        <w:rPr>
          <w:rFonts w:ascii="Arial" w:hAnsi="Arial" w:cs="Arial"/>
          <w:b/>
          <w:bCs/>
          <w:i/>
          <w:iCs/>
          <w:sz w:val="24"/>
          <w:szCs w:val="24"/>
        </w:rPr>
        <w:t>edia and Allied Workers Association of South Africa</w:t>
      </w:r>
      <w:r w:rsidRPr="006A17F2">
        <w:rPr>
          <w:rStyle w:val="FootnoteReference"/>
          <w:rFonts w:ascii="Arial" w:hAnsi="Arial" w:cs="Arial"/>
          <w:sz w:val="24"/>
          <w:szCs w:val="24"/>
        </w:rPr>
        <w:footnoteReference w:id="6"/>
      </w:r>
      <w:r w:rsidRPr="00E506CA">
        <w:rPr>
          <w:rFonts w:ascii="Arial" w:hAnsi="Arial" w:cs="Arial"/>
          <w:sz w:val="24"/>
          <w:szCs w:val="24"/>
        </w:rPr>
        <w:t xml:space="preserve">, EM </w:t>
      </w:r>
      <w:proofErr w:type="spellStart"/>
      <w:r w:rsidRPr="00E506CA">
        <w:rPr>
          <w:rFonts w:ascii="Arial" w:hAnsi="Arial" w:cs="Arial"/>
          <w:sz w:val="24"/>
          <w:szCs w:val="24"/>
        </w:rPr>
        <w:t>Grosskopf</w:t>
      </w:r>
      <w:proofErr w:type="spellEnd"/>
      <w:r w:rsidRPr="00E506CA">
        <w:rPr>
          <w:rFonts w:ascii="Arial" w:hAnsi="Arial" w:cs="Arial"/>
          <w:sz w:val="24"/>
          <w:szCs w:val="24"/>
        </w:rPr>
        <w:t xml:space="preserve"> JA explained that</w:t>
      </w:r>
      <w:r w:rsidR="000A3EB9" w:rsidRPr="00E506CA">
        <w:rPr>
          <w:rFonts w:ascii="Arial" w:hAnsi="Arial" w:cs="Arial"/>
          <w:sz w:val="24"/>
          <w:szCs w:val="24"/>
        </w:rPr>
        <w:t xml:space="preserve"> a </w:t>
      </w:r>
      <w:r w:rsidR="00642429" w:rsidRPr="00E506CA">
        <w:rPr>
          <w:rFonts w:ascii="Arial" w:hAnsi="Arial" w:cs="Arial"/>
          <w:sz w:val="24"/>
          <w:szCs w:val="24"/>
        </w:rPr>
        <w:t>“</w:t>
      </w:r>
      <w:r w:rsidR="00642429" w:rsidRPr="00E506CA">
        <w:rPr>
          <w:rFonts w:ascii="Arial" w:hAnsi="Arial" w:cs="Arial"/>
          <w:i/>
          <w:iCs/>
          <w:sz w:val="24"/>
          <w:szCs w:val="24"/>
        </w:rPr>
        <w:t xml:space="preserve">truly discretionary power is characterised by the fact that a number of courses are available to the repository </w:t>
      </w:r>
      <w:r w:rsidR="004E7DF9" w:rsidRPr="00E506CA">
        <w:rPr>
          <w:rFonts w:ascii="Arial" w:hAnsi="Arial" w:cs="Arial"/>
          <w:i/>
          <w:iCs/>
          <w:sz w:val="24"/>
          <w:szCs w:val="24"/>
        </w:rPr>
        <w:t>of power”.</w:t>
      </w:r>
      <w:r w:rsidR="00642429" w:rsidRPr="00E506CA">
        <w:rPr>
          <w:rFonts w:ascii="Arial" w:hAnsi="Arial" w:cs="Arial"/>
          <w:b/>
          <w:bCs/>
          <w:i/>
          <w:iCs/>
          <w:sz w:val="24"/>
          <w:szCs w:val="24"/>
        </w:rPr>
        <w:t xml:space="preserve"> </w:t>
      </w:r>
      <w:r w:rsidRPr="00E506CA">
        <w:rPr>
          <w:rFonts w:ascii="Arial" w:hAnsi="Arial" w:cs="Arial"/>
          <w:sz w:val="24"/>
          <w:szCs w:val="24"/>
        </w:rPr>
        <w:t>Thus, where the discretion contemplates that the court may choose from a range of options, it is a discretion in the strict or true sense</w:t>
      </w:r>
      <w:r>
        <w:rPr>
          <w:rStyle w:val="FootnoteReference"/>
          <w:rFonts w:ascii="Arial" w:hAnsi="Arial" w:cs="Arial"/>
          <w:sz w:val="24"/>
          <w:szCs w:val="24"/>
        </w:rPr>
        <w:footnoteReference w:id="7"/>
      </w:r>
      <w:r w:rsidRPr="00E506CA">
        <w:rPr>
          <w:rFonts w:ascii="Arial" w:hAnsi="Arial" w:cs="Arial"/>
          <w:sz w:val="24"/>
          <w:szCs w:val="24"/>
        </w:rPr>
        <w:t>. This type of discretion is</w:t>
      </w:r>
      <w:r w:rsidR="00F21D15" w:rsidRPr="00E506CA">
        <w:rPr>
          <w:rFonts w:ascii="Arial" w:hAnsi="Arial" w:cs="Arial"/>
          <w:sz w:val="24"/>
          <w:szCs w:val="24"/>
        </w:rPr>
        <w:t xml:space="preserve"> </w:t>
      </w:r>
      <w:r w:rsidR="006A17F2" w:rsidRPr="00E506CA">
        <w:rPr>
          <w:rFonts w:ascii="Arial" w:hAnsi="Arial" w:cs="Arial"/>
          <w:sz w:val="24"/>
          <w:szCs w:val="24"/>
        </w:rPr>
        <w:t>s</w:t>
      </w:r>
      <w:r w:rsidR="00F21D15" w:rsidRPr="00E506CA">
        <w:rPr>
          <w:rFonts w:ascii="Arial" w:hAnsi="Arial" w:cs="Arial"/>
          <w:sz w:val="24"/>
          <w:szCs w:val="24"/>
        </w:rPr>
        <w:t xml:space="preserve">aid to be “true” in that the lower court has an election of which option it will apply and any option </w:t>
      </w:r>
      <w:r w:rsidR="00380418" w:rsidRPr="00E506CA">
        <w:rPr>
          <w:rFonts w:ascii="Arial" w:hAnsi="Arial" w:cs="Arial"/>
          <w:sz w:val="24"/>
          <w:szCs w:val="24"/>
        </w:rPr>
        <w:t xml:space="preserve">chosen </w:t>
      </w:r>
      <w:r w:rsidR="00F21D15" w:rsidRPr="00E506CA">
        <w:rPr>
          <w:rFonts w:ascii="Arial" w:hAnsi="Arial" w:cs="Arial"/>
          <w:sz w:val="24"/>
          <w:szCs w:val="24"/>
        </w:rPr>
        <w:t>can never be said to be wrong as each is entirely permissible</w:t>
      </w:r>
      <w:r w:rsidR="00F21D15">
        <w:rPr>
          <w:rStyle w:val="FootnoteReference"/>
          <w:rFonts w:ascii="Arial" w:hAnsi="Arial" w:cs="Arial"/>
          <w:sz w:val="24"/>
          <w:szCs w:val="24"/>
        </w:rPr>
        <w:footnoteReference w:id="8"/>
      </w:r>
      <w:r w:rsidR="00F21D15" w:rsidRPr="00E506CA">
        <w:rPr>
          <w:rFonts w:ascii="Arial" w:hAnsi="Arial" w:cs="Arial"/>
          <w:sz w:val="24"/>
          <w:szCs w:val="24"/>
        </w:rPr>
        <w:t xml:space="preserve">. </w:t>
      </w:r>
      <w:r w:rsidR="006A17F2" w:rsidRPr="00E506CA">
        <w:rPr>
          <w:rFonts w:ascii="Arial" w:hAnsi="Arial" w:cs="Arial"/>
          <w:sz w:val="24"/>
          <w:szCs w:val="24"/>
        </w:rPr>
        <w:t>I</w:t>
      </w:r>
      <w:r w:rsidR="00F21D15" w:rsidRPr="00E506CA">
        <w:rPr>
          <w:rFonts w:ascii="Arial" w:hAnsi="Arial" w:cs="Arial"/>
          <w:sz w:val="24"/>
          <w:szCs w:val="24"/>
        </w:rPr>
        <w:t>f</w:t>
      </w:r>
      <w:r w:rsidR="00820D23" w:rsidRPr="00E506CA">
        <w:rPr>
          <w:rFonts w:ascii="Arial" w:hAnsi="Arial" w:cs="Arial"/>
          <w:sz w:val="24"/>
          <w:szCs w:val="24"/>
        </w:rPr>
        <w:t xml:space="preserve"> the</w:t>
      </w:r>
      <w:r w:rsidR="00F21D15" w:rsidRPr="00E506CA">
        <w:rPr>
          <w:rFonts w:ascii="Arial" w:hAnsi="Arial" w:cs="Arial"/>
          <w:sz w:val="24"/>
          <w:szCs w:val="24"/>
        </w:rPr>
        <w:t xml:space="preserve"> court of first instance </w:t>
      </w:r>
      <w:r w:rsidR="0004445A" w:rsidRPr="00E506CA">
        <w:rPr>
          <w:rFonts w:ascii="Arial" w:hAnsi="Arial" w:cs="Arial"/>
          <w:sz w:val="24"/>
          <w:szCs w:val="24"/>
        </w:rPr>
        <w:t>followed any one of the available c</w:t>
      </w:r>
      <w:r w:rsidR="00820D23" w:rsidRPr="00E506CA">
        <w:rPr>
          <w:rFonts w:ascii="Arial" w:hAnsi="Arial" w:cs="Arial"/>
          <w:sz w:val="24"/>
          <w:szCs w:val="24"/>
        </w:rPr>
        <w:t>ourses</w:t>
      </w:r>
      <w:r w:rsidR="0004445A" w:rsidRPr="00E506CA">
        <w:rPr>
          <w:rFonts w:ascii="Arial" w:hAnsi="Arial" w:cs="Arial"/>
          <w:sz w:val="24"/>
          <w:szCs w:val="24"/>
        </w:rPr>
        <w:t>, it would be acting within its powers and the exercise of this type of discretion</w:t>
      </w:r>
      <w:r w:rsidR="00380418" w:rsidRPr="00E506CA">
        <w:rPr>
          <w:rFonts w:ascii="Arial" w:hAnsi="Arial" w:cs="Arial"/>
          <w:sz w:val="24"/>
          <w:szCs w:val="24"/>
        </w:rPr>
        <w:t>ary</w:t>
      </w:r>
      <w:r w:rsidR="0004445A" w:rsidRPr="00E506CA">
        <w:rPr>
          <w:rFonts w:ascii="Arial" w:hAnsi="Arial" w:cs="Arial"/>
          <w:sz w:val="24"/>
          <w:szCs w:val="24"/>
        </w:rPr>
        <w:t xml:space="preserve"> power could not be set aside merely because an appellate court would have preferred the court </w:t>
      </w:r>
      <w:r w:rsidR="00820D23" w:rsidRPr="00E506CA">
        <w:rPr>
          <w:rFonts w:ascii="Arial" w:hAnsi="Arial" w:cs="Arial"/>
          <w:sz w:val="24"/>
          <w:szCs w:val="24"/>
        </w:rPr>
        <w:t xml:space="preserve">below </w:t>
      </w:r>
      <w:r w:rsidR="0004445A" w:rsidRPr="00E506CA">
        <w:rPr>
          <w:rFonts w:ascii="Arial" w:hAnsi="Arial" w:cs="Arial"/>
          <w:sz w:val="24"/>
          <w:szCs w:val="24"/>
        </w:rPr>
        <w:t>to have followed a different c</w:t>
      </w:r>
      <w:r w:rsidR="00820D23" w:rsidRPr="00E506CA">
        <w:rPr>
          <w:rFonts w:ascii="Arial" w:hAnsi="Arial" w:cs="Arial"/>
          <w:sz w:val="24"/>
          <w:szCs w:val="24"/>
        </w:rPr>
        <w:t xml:space="preserve">ourse </w:t>
      </w:r>
      <w:r w:rsidR="0004445A" w:rsidRPr="00E506CA">
        <w:rPr>
          <w:rFonts w:ascii="Arial" w:hAnsi="Arial" w:cs="Arial"/>
          <w:sz w:val="24"/>
          <w:szCs w:val="24"/>
        </w:rPr>
        <w:t>amongst those available to it</w:t>
      </w:r>
      <w:r w:rsidR="0004445A">
        <w:rPr>
          <w:rStyle w:val="FootnoteReference"/>
          <w:rFonts w:ascii="Arial" w:hAnsi="Arial" w:cs="Arial"/>
          <w:sz w:val="24"/>
          <w:szCs w:val="24"/>
        </w:rPr>
        <w:footnoteReference w:id="9"/>
      </w:r>
      <w:r w:rsidR="0004445A" w:rsidRPr="00E506CA">
        <w:rPr>
          <w:rFonts w:ascii="Arial" w:hAnsi="Arial" w:cs="Arial"/>
          <w:sz w:val="24"/>
          <w:szCs w:val="24"/>
        </w:rPr>
        <w:t xml:space="preserve">. </w:t>
      </w:r>
      <w:r w:rsidR="00D83B1F" w:rsidRPr="00E506CA">
        <w:rPr>
          <w:rFonts w:ascii="Arial" w:hAnsi="Arial" w:cs="Arial"/>
          <w:sz w:val="24"/>
          <w:szCs w:val="24"/>
        </w:rPr>
        <w:t xml:space="preserve">The rationale </w:t>
      </w:r>
      <w:r w:rsidR="000E296D" w:rsidRPr="00E506CA">
        <w:rPr>
          <w:rFonts w:ascii="Arial" w:hAnsi="Arial" w:cs="Arial"/>
          <w:sz w:val="24"/>
          <w:szCs w:val="24"/>
        </w:rPr>
        <w:t>for</w:t>
      </w:r>
      <w:r w:rsidR="00820D23" w:rsidRPr="00E506CA">
        <w:rPr>
          <w:rFonts w:ascii="Arial" w:hAnsi="Arial" w:cs="Arial"/>
          <w:sz w:val="24"/>
          <w:szCs w:val="24"/>
        </w:rPr>
        <w:t xml:space="preserve"> the appellate court’s restraint when faced with the exercise </w:t>
      </w:r>
      <w:r w:rsidR="00820D23" w:rsidRPr="00E506CA">
        <w:rPr>
          <w:rFonts w:ascii="Arial" w:hAnsi="Arial" w:cs="Arial"/>
          <w:sz w:val="24"/>
          <w:szCs w:val="24"/>
        </w:rPr>
        <w:lastRenderedPageBreak/>
        <w:t>of a true discretion by a court of first instance</w:t>
      </w:r>
      <w:r w:rsidR="00D83B1F" w:rsidRPr="00E506CA">
        <w:rPr>
          <w:rFonts w:ascii="Arial" w:hAnsi="Arial" w:cs="Arial"/>
          <w:sz w:val="24"/>
          <w:szCs w:val="24"/>
        </w:rPr>
        <w:t xml:space="preserve"> is</w:t>
      </w:r>
      <w:r w:rsidR="001B7051" w:rsidRPr="00E506CA">
        <w:rPr>
          <w:rFonts w:ascii="Arial" w:hAnsi="Arial" w:cs="Arial"/>
          <w:sz w:val="24"/>
          <w:szCs w:val="24"/>
        </w:rPr>
        <w:t xml:space="preserve"> that th</w:t>
      </w:r>
      <w:r w:rsidR="000E296D" w:rsidRPr="00E506CA">
        <w:rPr>
          <w:rFonts w:ascii="Arial" w:hAnsi="Arial" w:cs="Arial"/>
          <w:sz w:val="24"/>
          <w:szCs w:val="24"/>
        </w:rPr>
        <w:t>e</w:t>
      </w:r>
      <w:r w:rsidR="001B7051" w:rsidRPr="00E506CA">
        <w:rPr>
          <w:rFonts w:ascii="Arial" w:hAnsi="Arial" w:cs="Arial"/>
          <w:sz w:val="24"/>
          <w:szCs w:val="24"/>
        </w:rPr>
        <w:t xml:space="preserve"> “</w:t>
      </w:r>
      <w:r w:rsidR="00820D23" w:rsidRPr="00E506CA">
        <w:rPr>
          <w:rFonts w:ascii="Arial" w:hAnsi="Arial" w:cs="Arial"/>
          <w:i/>
          <w:iCs/>
          <w:sz w:val="24"/>
          <w:szCs w:val="24"/>
        </w:rPr>
        <w:t xml:space="preserve">principle of appellate restraint preserves judicial comity. It fosters certainty in the application of the law and favours finality in judicial </w:t>
      </w:r>
      <w:r w:rsidR="0060331A" w:rsidRPr="00E506CA">
        <w:rPr>
          <w:rFonts w:ascii="Arial" w:hAnsi="Arial" w:cs="Arial"/>
          <w:i/>
          <w:iCs/>
          <w:sz w:val="24"/>
          <w:szCs w:val="24"/>
        </w:rPr>
        <w:t>decision-making</w:t>
      </w:r>
      <w:r w:rsidR="0060331A" w:rsidRPr="00E506CA">
        <w:rPr>
          <w:rFonts w:ascii="Arial" w:hAnsi="Arial" w:cs="Arial"/>
          <w:sz w:val="24"/>
          <w:szCs w:val="24"/>
        </w:rPr>
        <w:t>”</w:t>
      </w:r>
      <w:r w:rsidR="00E049D5" w:rsidRPr="00D22B8A">
        <w:rPr>
          <w:rStyle w:val="FootnoteReference"/>
          <w:rFonts w:ascii="Arial" w:hAnsi="Arial" w:cs="Arial"/>
          <w:b/>
          <w:bCs/>
          <w:i/>
          <w:iCs/>
          <w:color w:val="FF0000"/>
          <w:sz w:val="24"/>
          <w:szCs w:val="24"/>
        </w:rPr>
        <w:t xml:space="preserve"> </w:t>
      </w:r>
      <w:r w:rsidR="00E049D5" w:rsidRPr="00E049D5">
        <w:rPr>
          <w:rStyle w:val="FootnoteReference"/>
          <w:rFonts w:ascii="Arial" w:hAnsi="Arial" w:cs="Arial"/>
          <w:b/>
          <w:bCs/>
          <w:i/>
          <w:iCs/>
          <w:sz w:val="24"/>
          <w:szCs w:val="24"/>
        </w:rPr>
        <w:footnoteReference w:id="10"/>
      </w:r>
      <w:r w:rsidR="0060331A" w:rsidRPr="00E506CA">
        <w:rPr>
          <w:rFonts w:ascii="Arial" w:hAnsi="Arial" w:cs="Arial"/>
          <w:sz w:val="24"/>
          <w:szCs w:val="24"/>
        </w:rPr>
        <w:t xml:space="preserve">. </w:t>
      </w:r>
    </w:p>
    <w:p w14:paraId="5E547C79" w14:textId="77777777" w:rsidR="0060331A" w:rsidRDefault="0060331A" w:rsidP="0060331A">
      <w:pPr>
        <w:spacing w:after="0" w:line="480" w:lineRule="auto"/>
        <w:ind w:left="1440"/>
        <w:jc w:val="both"/>
        <w:rPr>
          <w:rFonts w:ascii="Arial" w:hAnsi="Arial" w:cs="Arial"/>
          <w:sz w:val="24"/>
          <w:szCs w:val="24"/>
        </w:rPr>
      </w:pPr>
    </w:p>
    <w:p w14:paraId="6A3824A4" w14:textId="77777777" w:rsidR="00577C7B" w:rsidRPr="00E506CA" w:rsidRDefault="00577C7B"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An appellate court may </w:t>
      </w:r>
      <w:r w:rsidR="00380418" w:rsidRPr="00E506CA">
        <w:rPr>
          <w:rFonts w:ascii="Arial" w:hAnsi="Arial" w:cs="Arial"/>
          <w:sz w:val="24"/>
          <w:szCs w:val="24"/>
        </w:rPr>
        <w:t xml:space="preserve">nonetheless </w:t>
      </w:r>
      <w:r w:rsidRPr="00E506CA">
        <w:rPr>
          <w:rFonts w:ascii="Arial" w:hAnsi="Arial" w:cs="Arial"/>
          <w:sz w:val="24"/>
          <w:szCs w:val="24"/>
        </w:rPr>
        <w:t>interfere with the exercise of a discretion in a true sense if it finds that the court of first instance did not act judicially</w:t>
      </w:r>
      <w:r w:rsidR="00380418" w:rsidRPr="00E506CA">
        <w:rPr>
          <w:rFonts w:ascii="Arial" w:hAnsi="Arial" w:cs="Arial"/>
          <w:sz w:val="24"/>
          <w:szCs w:val="24"/>
        </w:rPr>
        <w:t xml:space="preserve">. The courts have over time identified various grounds for interfering with the exercise of this type of discretion. These would include instances where the </w:t>
      </w:r>
      <w:r w:rsidR="00D22B8A" w:rsidRPr="00E506CA">
        <w:rPr>
          <w:rFonts w:ascii="Arial" w:hAnsi="Arial" w:cs="Arial"/>
          <w:sz w:val="24"/>
          <w:szCs w:val="24"/>
        </w:rPr>
        <w:t xml:space="preserve">first instance </w:t>
      </w:r>
      <w:r w:rsidR="00380418" w:rsidRPr="00E506CA">
        <w:rPr>
          <w:rFonts w:ascii="Arial" w:hAnsi="Arial" w:cs="Arial"/>
          <w:sz w:val="24"/>
          <w:szCs w:val="24"/>
        </w:rPr>
        <w:t xml:space="preserve">court </w:t>
      </w:r>
      <w:r w:rsidRPr="00E506CA">
        <w:rPr>
          <w:rFonts w:ascii="Arial" w:hAnsi="Arial" w:cs="Arial"/>
          <w:sz w:val="24"/>
          <w:szCs w:val="24"/>
        </w:rPr>
        <w:t>exercise</w:t>
      </w:r>
      <w:r w:rsidR="00EB4B38" w:rsidRPr="00E506CA">
        <w:rPr>
          <w:rFonts w:ascii="Arial" w:hAnsi="Arial" w:cs="Arial"/>
          <w:sz w:val="24"/>
          <w:szCs w:val="24"/>
        </w:rPr>
        <w:t>d</w:t>
      </w:r>
      <w:r w:rsidRPr="00E506CA">
        <w:rPr>
          <w:rFonts w:ascii="Arial" w:hAnsi="Arial" w:cs="Arial"/>
          <w:sz w:val="24"/>
          <w:szCs w:val="24"/>
        </w:rPr>
        <w:t xml:space="preserve"> its discretionary power capriciously</w:t>
      </w:r>
      <w:r w:rsidR="00EB4B38" w:rsidRPr="00E506CA">
        <w:rPr>
          <w:rFonts w:ascii="Arial" w:hAnsi="Arial" w:cs="Arial"/>
          <w:sz w:val="24"/>
          <w:szCs w:val="24"/>
        </w:rPr>
        <w:t xml:space="preserve">, </w:t>
      </w:r>
      <w:r w:rsidRPr="00E506CA">
        <w:rPr>
          <w:rFonts w:ascii="Arial" w:hAnsi="Arial" w:cs="Arial"/>
          <w:sz w:val="24"/>
          <w:szCs w:val="24"/>
        </w:rPr>
        <w:t>or</w:t>
      </w:r>
      <w:r w:rsidR="00EB4B38" w:rsidRPr="00E506CA">
        <w:rPr>
          <w:rFonts w:ascii="Arial" w:hAnsi="Arial" w:cs="Arial"/>
          <w:sz w:val="24"/>
          <w:szCs w:val="24"/>
        </w:rPr>
        <w:t xml:space="preserve"> </w:t>
      </w:r>
      <w:r w:rsidRPr="00E506CA">
        <w:rPr>
          <w:rFonts w:ascii="Arial" w:hAnsi="Arial" w:cs="Arial"/>
          <w:sz w:val="24"/>
          <w:szCs w:val="24"/>
        </w:rPr>
        <w:t>exercise</w:t>
      </w:r>
      <w:r w:rsidR="00EB4B38" w:rsidRPr="00E506CA">
        <w:rPr>
          <w:rFonts w:ascii="Arial" w:hAnsi="Arial" w:cs="Arial"/>
          <w:sz w:val="24"/>
          <w:szCs w:val="24"/>
        </w:rPr>
        <w:t>d</w:t>
      </w:r>
      <w:r w:rsidRPr="00E506CA">
        <w:rPr>
          <w:rFonts w:ascii="Arial" w:hAnsi="Arial" w:cs="Arial"/>
          <w:sz w:val="24"/>
          <w:szCs w:val="24"/>
        </w:rPr>
        <w:t xml:space="preserve"> its discretion upon a wrong principle</w:t>
      </w:r>
      <w:r w:rsidR="00EB4B38" w:rsidRPr="00E506CA">
        <w:rPr>
          <w:rFonts w:ascii="Arial" w:hAnsi="Arial" w:cs="Arial"/>
          <w:sz w:val="24"/>
          <w:szCs w:val="24"/>
        </w:rPr>
        <w:t xml:space="preserve"> or </w:t>
      </w:r>
      <w:r w:rsidRPr="00E506CA">
        <w:rPr>
          <w:rFonts w:ascii="Arial" w:hAnsi="Arial" w:cs="Arial"/>
          <w:sz w:val="24"/>
          <w:szCs w:val="24"/>
        </w:rPr>
        <w:t xml:space="preserve">on an incorrect </w:t>
      </w:r>
      <w:r w:rsidR="00EB4B38" w:rsidRPr="00E506CA">
        <w:rPr>
          <w:rFonts w:ascii="Arial" w:hAnsi="Arial" w:cs="Arial"/>
          <w:sz w:val="24"/>
          <w:szCs w:val="24"/>
        </w:rPr>
        <w:t xml:space="preserve">interpretation </w:t>
      </w:r>
      <w:r w:rsidRPr="00E506CA">
        <w:rPr>
          <w:rFonts w:ascii="Arial" w:hAnsi="Arial" w:cs="Arial"/>
          <w:sz w:val="24"/>
          <w:szCs w:val="24"/>
        </w:rPr>
        <w:t>of the facts</w:t>
      </w:r>
      <w:r w:rsidR="00EB4B38" w:rsidRPr="00E506CA">
        <w:rPr>
          <w:rFonts w:ascii="Arial" w:hAnsi="Arial" w:cs="Arial"/>
          <w:sz w:val="24"/>
          <w:szCs w:val="24"/>
        </w:rPr>
        <w:t xml:space="preserve">, </w:t>
      </w:r>
      <w:r w:rsidRPr="00E506CA">
        <w:rPr>
          <w:rFonts w:ascii="Arial" w:hAnsi="Arial" w:cs="Arial"/>
          <w:sz w:val="24"/>
          <w:szCs w:val="24"/>
        </w:rPr>
        <w:t>or</w:t>
      </w:r>
      <w:r w:rsidR="00EB4B38" w:rsidRPr="00E506CA">
        <w:rPr>
          <w:rFonts w:ascii="Arial" w:hAnsi="Arial" w:cs="Arial"/>
          <w:sz w:val="24"/>
          <w:szCs w:val="24"/>
        </w:rPr>
        <w:t xml:space="preserve"> </w:t>
      </w:r>
      <w:r w:rsidRPr="00E506CA">
        <w:rPr>
          <w:rFonts w:ascii="Arial" w:hAnsi="Arial" w:cs="Arial"/>
          <w:sz w:val="24"/>
          <w:szCs w:val="24"/>
        </w:rPr>
        <w:t>has not brought its unbiased judgment to be</w:t>
      </w:r>
      <w:r w:rsidR="00EB4B38" w:rsidRPr="00E506CA">
        <w:rPr>
          <w:rFonts w:ascii="Arial" w:hAnsi="Arial" w:cs="Arial"/>
          <w:sz w:val="24"/>
          <w:szCs w:val="24"/>
        </w:rPr>
        <w:t xml:space="preserve">ar on the </w:t>
      </w:r>
      <w:r w:rsidRPr="00E506CA">
        <w:rPr>
          <w:rFonts w:ascii="Arial" w:hAnsi="Arial" w:cs="Arial"/>
          <w:sz w:val="24"/>
          <w:szCs w:val="24"/>
        </w:rPr>
        <w:t>question</w:t>
      </w:r>
      <w:r w:rsidR="00EB4B38" w:rsidRPr="00E506CA">
        <w:rPr>
          <w:rFonts w:ascii="Arial" w:hAnsi="Arial" w:cs="Arial"/>
          <w:sz w:val="24"/>
          <w:szCs w:val="24"/>
        </w:rPr>
        <w:t xml:space="preserve">, </w:t>
      </w:r>
      <w:r w:rsidRPr="00E506CA">
        <w:rPr>
          <w:rFonts w:ascii="Arial" w:hAnsi="Arial" w:cs="Arial"/>
          <w:sz w:val="24"/>
          <w:szCs w:val="24"/>
        </w:rPr>
        <w:t>or</w:t>
      </w:r>
      <w:r w:rsidR="00EB4B38" w:rsidRPr="00E506CA">
        <w:rPr>
          <w:rFonts w:ascii="Arial" w:hAnsi="Arial" w:cs="Arial"/>
          <w:sz w:val="24"/>
          <w:szCs w:val="24"/>
        </w:rPr>
        <w:t xml:space="preserve"> it </w:t>
      </w:r>
      <w:r w:rsidRPr="00E506CA">
        <w:rPr>
          <w:rFonts w:ascii="Arial" w:hAnsi="Arial" w:cs="Arial"/>
          <w:sz w:val="24"/>
          <w:szCs w:val="24"/>
        </w:rPr>
        <w:t>has not acted for substantial reasons</w:t>
      </w:r>
      <w:r w:rsidR="00EB4B38">
        <w:rPr>
          <w:rStyle w:val="FootnoteReference"/>
          <w:rFonts w:ascii="Arial" w:hAnsi="Arial" w:cs="Arial"/>
          <w:sz w:val="24"/>
          <w:szCs w:val="24"/>
        </w:rPr>
        <w:footnoteReference w:id="11"/>
      </w:r>
      <w:r w:rsidR="00EB4B38" w:rsidRPr="00E506CA">
        <w:rPr>
          <w:rFonts w:ascii="Arial" w:hAnsi="Arial" w:cs="Arial"/>
          <w:sz w:val="24"/>
          <w:szCs w:val="24"/>
        </w:rPr>
        <w:t xml:space="preserve">, or </w:t>
      </w:r>
      <w:r w:rsidRPr="00E506CA">
        <w:rPr>
          <w:rFonts w:ascii="Arial" w:hAnsi="Arial" w:cs="Arial"/>
          <w:sz w:val="24"/>
          <w:szCs w:val="24"/>
        </w:rPr>
        <w:t>reached a decision in which the result could not reasonably have been made by a court properly directing itself to all the relevant facts and principles</w:t>
      </w:r>
      <w:r w:rsidR="00EB4B38">
        <w:rPr>
          <w:rStyle w:val="FootnoteReference"/>
          <w:rFonts w:ascii="Arial" w:hAnsi="Arial" w:cs="Arial"/>
          <w:sz w:val="24"/>
          <w:szCs w:val="24"/>
        </w:rPr>
        <w:footnoteReference w:id="12"/>
      </w:r>
      <w:r w:rsidR="00EB4B38" w:rsidRPr="00E506CA">
        <w:rPr>
          <w:rFonts w:ascii="Arial" w:hAnsi="Arial" w:cs="Arial"/>
          <w:sz w:val="24"/>
          <w:szCs w:val="24"/>
        </w:rPr>
        <w:t xml:space="preserve">, </w:t>
      </w:r>
      <w:r w:rsidRPr="00E506CA">
        <w:rPr>
          <w:rFonts w:ascii="Arial" w:hAnsi="Arial" w:cs="Arial"/>
          <w:sz w:val="24"/>
          <w:szCs w:val="24"/>
        </w:rPr>
        <w:t>or</w:t>
      </w:r>
      <w:r w:rsidR="00EB4B38" w:rsidRPr="00E506CA">
        <w:rPr>
          <w:rFonts w:ascii="Arial" w:hAnsi="Arial" w:cs="Arial"/>
          <w:sz w:val="24"/>
          <w:szCs w:val="24"/>
        </w:rPr>
        <w:t xml:space="preserve">  the </w:t>
      </w:r>
      <w:r w:rsidRPr="00E506CA">
        <w:rPr>
          <w:rFonts w:ascii="Arial" w:hAnsi="Arial" w:cs="Arial"/>
          <w:sz w:val="24"/>
          <w:szCs w:val="24"/>
        </w:rPr>
        <w:t xml:space="preserve">choice of option by </w:t>
      </w:r>
      <w:r w:rsidR="00380418" w:rsidRPr="00E506CA">
        <w:rPr>
          <w:rFonts w:ascii="Arial" w:hAnsi="Arial" w:cs="Arial"/>
          <w:sz w:val="24"/>
          <w:szCs w:val="24"/>
        </w:rPr>
        <w:t xml:space="preserve">the </w:t>
      </w:r>
      <w:r w:rsidRPr="00E506CA">
        <w:rPr>
          <w:rFonts w:ascii="Arial" w:hAnsi="Arial" w:cs="Arial"/>
          <w:sz w:val="24"/>
          <w:szCs w:val="24"/>
        </w:rPr>
        <w:t>court</w:t>
      </w:r>
      <w:r w:rsidR="00380418" w:rsidRPr="00E506CA">
        <w:rPr>
          <w:rFonts w:ascii="Arial" w:hAnsi="Arial" w:cs="Arial"/>
          <w:sz w:val="24"/>
          <w:szCs w:val="24"/>
        </w:rPr>
        <w:t xml:space="preserve"> below </w:t>
      </w:r>
      <w:r w:rsidR="008C07E1" w:rsidRPr="00E506CA">
        <w:rPr>
          <w:rFonts w:ascii="Arial" w:hAnsi="Arial" w:cs="Arial"/>
          <w:sz w:val="24"/>
          <w:szCs w:val="24"/>
        </w:rPr>
        <w:t>does not lead to a just and expeditious decision</w:t>
      </w:r>
      <w:r w:rsidR="00EB4B38">
        <w:rPr>
          <w:rStyle w:val="FootnoteReference"/>
          <w:rFonts w:ascii="Arial" w:hAnsi="Arial" w:cs="Arial"/>
          <w:sz w:val="24"/>
          <w:szCs w:val="24"/>
        </w:rPr>
        <w:footnoteReference w:id="13"/>
      </w:r>
      <w:r w:rsidR="00EB4B38" w:rsidRPr="00E506CA">
        <w:rPr>
          <w:rFonts w:ascii="Arial" w:hAnsi="Arial" w:cs="Arial"/>
          <w:sz w:val="24"/>
          <w:szCs w:val="24"/>
        </w:rPr>
        <w:t>.</w:t>
      </w:r>
      <w:r w:rsidR="008C07E1" w:rsidRPr="00E506CA">
        <w:rPr>
          <w:rFonts w:ascii="Arial" w:hAnsi="Arial" w:cs="Arial"/>
          <w:sz w:val="24"/>
          <w:szCs w:val="24"/>
        </w:rPr>
        <w:t xml:space="preserve"> </w:t>
      </w:r>
    </w:p>
    <w:p w14:paraId="06E29CFF" w14:textId="77777777" w:rsidR="008F434C" w:rsidRDefault="008F434C" w:rsidP="00577C7B">
      <w:pPr>
        <w:spacing w:after="0" w:line="480" w:lineRule="auto"/>
        <w:ind w:left="1440" w:hanging="1440"/>
        <w:jc w:val="both"/>
        <w:rPr>
          <w:rFonts w:ascii="Arial" w:hAnsi="Arial" w:cs="Arial"/>
          <w:sz w:val="24"/>
          <w:szCs w:val="24"/>
        </w:rPr>
      </w:pPr>
    </w:p>
    <w:p w14:paraId="3EAD87F4" w14:textId="77777777" w:rsidR="005D679D" w:rsidRPr="00E506CA" w:rsidRDefault="005D679D"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In contrast, a court exercising a discretion in a loose sense does not necessarily have a choice between equally permissible options. In </w:t>
      </w:r>
      <w:r w:rsidRPr="00E506CA">
        <w:rPr>
          <w:rFonts w:ascii="Arial" w:hAnsi="Arial" w:cs="Arial"/>
          <w:b/>
          <w:bCs/>
          <w:i/>
          <w:iCs/>
          <w:sz w:val="24"/>
          <w:szCs w:val="24"/>
        </w:rPr>
        <w:t xml:space="preserve">Knox </w:t>
      </w:r>
      <w:r w:rsidR="005C6375" w:rsidRPr="00E506CA">
        <w:rPr>
          <w:rFonts w:ascii="Arial" w:hAnsi="Arial" w:cs="Arial"/>
          <w:b/>
          <w:bCs/>
          <w:i/>
          <w:iCs/>
          <w:sz w:val="24"/>
          <w:szCs w:val="24"/>
        </w:rPr>
        <w:t>D’Arcy</w:t>
      </w:r>
      <w:r w:rsidR="005C6375" w:rsidRPr="005C6375">
        <w:rPr>
          <w:rStyle w:val="FootnoteReference"/>
          <w:rFonts w:ascii="Arial" w:hAnsi="Arial" w:cs="Arial"/>
          <w:sz w:val="24"/>
          <w:szCs w:val="24"/>
        </w:rPr>
        <w:footnoteReference w:id="14"/>
      </w:r>
      <w:r w:rsidR="005C6375" w:rsidRPr="00E506CA">
        <w:rPr>
          <w:rFonts w:ascii="Arial" w:hAnsi="Arial" w:cs="Arial"/>
          <w:sz w:val="24"/>
          <w:szCs w:val="24"/>
        </w:rPr>
        <w:t xml:space="preserve">, EM </w:t>
      </w:r>
      <w:proofErr w:type="spellStart"/>
      <w:r w:rsidR="005C6375" w:rsidRPr="00E506CA">
        <w:rPr>
          <w:rFonts w:ascii="Arial" w:hAnsi="Arial" w:cs="Arial"/>
          <w:sz w:val="24"/>
          <w:szCs w:val="24"/>
        </w:rPr>
        <w:t>Grosskopf</w:t>
      </w:r>
      <w:proofErr w:type="spellEnd"/>
      <w:r w:rsidR="005C6375" w:rsidRPr="00E506CA">
        <w:rPr>
          <w:rFonts w:ascii="Arial" w:hAnsi="Arial" w:cs="Arial"/>
          <w:sz w:val="24"/>
          <w:szCs w:val="24"/>
        </w:rPr>
        <w:t xml:space="preserve"> JA</w:t>
      </w:r>
      <w:r w:rsidR="00981FFA" w:rsidRPr="00E506CA">
        <w:rPr>
          <w:rFonts w:ascii="Arial" w:hAnsi="Arial" w:cs="Arial"/>
          <w:sz w:val="24"/>
          <w:szCs w:val="24"/>
        </w:rPr>
        <w:t xml:space="preserve"> described</w:t>
      </w:r>
      <w:r w:rsidR="00380418" w:rsidRPr="00E506CA">
        <w:rPr>
          <w:rFonts w:ascii="Arial" w:hAnsi="Arial" w:cs="Arial"/>
          <w:sz w:val="24"/>
          <w:szCs w:val="24"/>
        </w:rPr>
        <w:t xml:space="preserve"> the exercise of</w:t>
      </w:r>
      <w:r w:rsidR="00981FFA" w:rsidRPr="00E506CA">
        <w:rPr>
          <w:rFonts w:ascii="Arial" w:hAnsi="Arial" w:cs="Arial"/>
          <w:sz w:val="24"/>
          <w:szCs w:val="24"/>
        </w:rPr>
        <w:t xml:space="preserve"> a </w:t>
      </w:r>
      <w:r w:rsidR="00380418" w:rsidRPr="00E506CA">
        <w:rPr>
          <w:rFonts w:ascii="Arial" w:hAnsi="Arial" w:cs="Arial"/>
          <w:sz w:val="24"/>
          <w:szCs w:val="24"/>
        </w:rPr>
        <w:t>discretion in the</w:t>
      </w:r>
      <w:r w:rsidR="00981FFA" w:rsidRPr="00E506CA">
        <w:rPr>
          <w:rFonts w:ascii="Arial" w:hAnsi="Arial" w:cs="Arial"/>
          <w:sz w:val="24"/>
          <w:szCs w:val="24"/>
        </w:rPr>
        <w:t xml:space="preserve"> loose sense to mean “</w:t>
      </w:r>
      <w:r w:rsidR="00981FFA" w:rsidRPr="00E506CA">
        <w:rPr>
          <w:rFonts w:ascii="Arial" w:hAnsi="Arial" w:cs="Arial"/>
          <w:i/>
          <w:iCs/>
          <w:sz w:val="24"/>
          <w:szCs w:val="24"/>
        </w:rPr>
        <w:t>no more than that the court is entitled to have regard to a number of disparate and incommensurable features in coming to a decision</w:t>
      </w:r>
      <w:r w:rsidR="00981FFA" w:rsidRPr="00E506CA">
        <w:rPr>
          <w:rFonts w:ascii="Arial" w:hAnsi="Arial" w:cs="Arial"/>
          <w:sz w:val="24"/>
          <w:szCs w:val="24"/>
        </w:rPr>
        <w:t>”</w:t>
      </w:r>
      <w:r w:rsidR="00981FFA">
        <w:rPr>
          <w:rStyle w:val="FootnoteReference"/>
          <w:rFonts w:ascii="Arial" w:hAnsi="Arial" w:cs="Arial"/>
          <w:sz w:val="24"/>
          <w:szCs w:val="24"/>
        </w:rPr>
        <w:footnoteReference w:id="15"/>
      </w:r>
      <w:r w:rsidR="00981FFA" w:rsidRPr="00E506CA">
        <w:rPr>
          <w:rFonts w:ascii="Arial" w:hAnsi="Arial" w:cs="Arial"/>
          <w:sz w:val="24"/>
          <w:szCs w:val="24"/>
        </w:rPr>
        <w:t>.</w:t>
      </w:r>
    </w:p>
    <w:p w14:paraId="224560A7" w14:textId="77777777" w:rsidR="006110AA" w:rsidRDefault="006110AA" w:rsidP="00577C7B">
      <w:pPr>
        <w:spacing w:after="0" w:line="480" w:lineRule="auto"/>
        <w:ind w:left="1440" w:hanging="1440"/>
        <w:jc w:val="both"/>
        <w:rPr>
          <w:rFonts w:ascii="Arial" w:hAnsi="Arial" w:cs="Arial"/>
          <w:sz w:val="24"/>
          <w:szCs w:val="24"/>
        </w:rPr>
      </w:pPr>
    </w:p>
    <w:p w14:paraId="5A99A54F" w14:textId="3608B720" w:rsidR="00012161" w:rsidRPr="00E506CA" w:rsidRDefault="00981FFA" w:rsidP="00E506CA">
      <w:pPr>
        <w:pStyle w:val="ListParagraph"/>
        <w:numPr>
          <w:ilvl w:val="0"/>
          <w:numId w:val="2"/>
        </w:numPr>
        <w:spacing w:after="0" w:line="480" w:lineRule="auto"/>
        <w:ind w:hanging="862"/>
        <w:jc w:val="both"/>
        <w:rPr>
          <w:rFonts w:ascii="Arial" w:hAnsi="Arial" w:cs="Arial"/>
          <w:sz w:val="24"/>
          <w:szCs w:val="24"/>
        </w:rPr>
      </w:pPr>
      <w:r w:rsidRPr="00E506CA">
        <w:rPr>
          <w:rFonts w:ascii="Arial" w:hAnsi="Arial" w:cs="Arial"/>
          <w:sz w:val="24"/>
          <w:szCs w:val="24"/>
        </w:rPr>
        <w:t xml:space="preserve">Where </w:t>
      </w:r>
      <w:r w:rsidR="006110AA" w:rsidRPr="00E506CA">
        <w:rPr>
          <w:rFonts w:ascii="Arial" w:hAnsi="Arial" w:cs="Arial"/>
          <w:sz w:val="24"/>
          <w:szCs w:val="24"/>
        </w:rPr>
        <w:t>a discretion in a loose sense</w:t>
      </w:r>
      <w:r w:rsidRPr="00E506CA">
        <w:rPr>
          <w:rFonts w:ascii="Arial" w:hAnsi="Arial" w:cs="Arial"/>
          <w:sz w:val="24"/>
          <w:szCs w:val="24"/>
        </w:rPr>
        <w:t xml:space="preserve"> applies</w:t>
      </w:r>
      <w:r w:rsidR="006110AA" w:rsidRPr="00E506CA">
        <w:rPr>
          <w:rFonts w:ascii="Arial" w:hAnsi="Arial" w:cs="Arial"/>
          <w:sz w:val="24"/>
          <w:szCs w:val="24"/>
        </w:rPr>
        <w:t xml:space="preserve">, an appellate court is equally capable </w:t>
      </w:r>
      <w:r w:rsidR="00012161" w:rsidRPr="00E506CA">
        <w:rPr>
          <w:rFonts w:ascii="Arial" w:hAnsi="Arial" w:cs="Arial"/>
          <w:sz w:val="24"/>
          <w:szCs w:val="24"/>
        </w:rPr>
        <w:t xml:space="preserve">of determining the matter in the same manner as the court of first instance and can therefore substitute its own exercise of the discretion </w:t>
      </w:r>
      <w:r w:rsidR="00D22B8A" w:rsidRPr="00E506CA">
        <w:rPr>
          <w:rFonts w:ascii="Arial" w:hAnsi="Arial" w:cs="Arial"/>
          <w:sz w:val="24"/>
          <w:szCs w:val="24"/>
        </w:rPr>
        <w:t>if it considers that the order of the first instance court was wrong</w:t>
      </w:r>
      <w:r w:rsidR="001B7051" w:rsidRPr="00E506CA">
        <w:rPr>
          <w:rFonts w:ascii="Arial" w:hAnsi="Arial" w:cs="Arial"/>
          <w:sz w:val="24"/>
          <w:szCs w:val="24"/>
        </w:rPr>
        <w:t>.</w:t>
      </w:r>
      <w:r w:rsidR="00D22B8A" w:rsidRPr="00E506CA">
        <w:rPr>
          <w:rFonts w:ascii="Arial" w:hAnsi="Arial" w:cs="Arial"/>
          <w:sz w:val="24"/>
          <w:szCs w:val="24"/>
        </w:rPr>
        <w:t xml:space="preserve">  However, even where a loose discretion is involved an appeal court will still be cautious about interfering in recognition that the impugned decision was made in the exercise of the first instance court’s discretion even if only in the broad sense of the concept.</w:t>
      </w:r>
    </w:p>
    <w:p w14:paraId="53679BD8" w14:textId="77777777" w:rsidR="001B7051" w:rsidRDefault="001B7051" w:rsidP="006110AA">
      <w:pPr>
        <w:spacing w:after="0" w:line="480" w:lineRule="auto"/>
        <w:ind w:left="709" w:hanging="709"/>
        <w:jc w:val="both"/>
        <w:rPr>
          <w:rFonts w:ascii="Arial" w:hAnsi="Arial" w:cs="Arial"/>
          <w:sz w:val="24"/>
          <w:szCs w:val="24"/>
        </w:rPr>
      </w:pPr>
    </w:p>
    <w:p w14:paraId="48D286A2" w14:textId="77777777" w:rsidR="002F2807" w:rsidRPr="00E506CA" w:rsidRDefault="000E296D"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R</w:t>
      </w:r>
      <w:r w:rsidR="00012161" w:rsidRPr="00E506CA">
        <w:rPr>
          <w:rFonts w:ascii="Arial" w:hAnsi="Arial" w:cs="Arial"/>
          <w:sz w:val="24"/>
          <w:szCs w:val="24"/>
        </w:rPr>
        <w:t xml:space="preserve">ule 6(5)(g) contemplates </w:t>
      </w:r>
      <w:r w:rsidR="00964EA5" w:rsidRPr="00E506CA">
        <w:rPr>
          <w:rFonts w:ascii="Arial" w:hAnsi="Arial" w:cs="Arial"/>
          <w:sz w:val="24"/>
          <w:szCs w:val="24"/>
        </w:rPr>
        <w:t xml:space="preserve">the exercise of a discretion in the true sense </w:t>
      </w:r>
      <w:r w:rsidR="001B7051" w:rsidRPr="00E506CA">
        <w:rPr>
          <w:rFonts w:ascii="Arial" w:hAnsi="Arial" w:cs="Arial"/>
          <w:sz w:val="24"/>
          <w:szCs w:val="24"/>
        </w:rPr>
        <w:t xml:space="preserve">in that the judicial </w:t>
      </w:r>
      <w:r w:rsidR="00964EA5" w:rsidRPr="00E506CA">
        <w:rPr>
          <w:rFonts w:ascii="Arial" w:hAnsi="Arial" w:cs="Arial"/>
          <w:sz w:val="24"/>
          <w:szCs w:val="24"/>
        </w:rPr>
        <w:t xml:space="preserve">decision-making process involves </w:t>
      </w:r>
      <w:r w:rsidR="008F3D2B" w:rsidRPr="00E506CA">
        <w:rPr>
          <w:rFonts w:ascii="Arial" w:hAnsi="Arial" w:cs="Arial"/>
          <w:sz w:val="24"/>
          <w:szCs w:val="24"/>
        </w:rPr>
        <w:t>a choice</w:t>
      </w:r>
      <w:r w:rsidR="00964EA5" w:rsidRPr="00E506CA">
        <w:rPr>
          <w:rFonts w:ascii="Arial" w:hAnsi="Arial" w:cs="Arial"/>
          <w:sz w:val="24"/>
          <w:szCs w:val="24"/>
        </w:rPr>
        <w:t xml:space="preserve"> between a number of equally permissible options. </w:t>
      </w:r>
      <w:r w:rsidR="00012161" w:rsidRPr="00E506CA">
        <w:rPr>
          <w:rFonts w:ascii="Arial" w:hAnsi="Arial" w:cs="Arial"/>
          <w:sz w:val="24"/>
          <w:szCs w:val="24"/>
        </w:rPr>
        <w:t xml:space="preserve">This </w:t>
      </w:r>
      <w:r w:rsidR="00964EA5" w:rsidRPr="00E506CA">
        <w:rPr>
          <w:rFonts w:ascii="Arial" w:hAnsi="Arial" w:cs="Arial"/>
          <w:sz w:val="24"/>
          <w:szCs w:val="24"/>
        </w:rPr>
        <w:t xml:space="preserve">was </w:t>
      </w:r>
      <w:r w:rsidR="00012161" w:rsidRPr="00E506CA">
        <w:rPr>
          <w:rFonts w:ascii="Arial" w:hAnsi="Arial" w:cs="Arial"/>
          <w:sz w:val="24"/>
          <w:szCs w:val="24"/>
        </w:rPr>
        <w:t>certainly the</w:t>
      </w:r>
      <w:r w:rsidR="00964EA5" w:rsidRPr="00E506CA">
        <w:rPr>
          <w:rFonts w:ascii="Arial" w:hAnsi="Arial" w:cs="Arial"/>
          <w:sz w:val="24"/>
          <w:szCs w:val="24"/>
        </w:rPr>
        <w:t xml:space="preserve"> </w:t>
      </w:r>
      <w:r w:rsidRPr="00E506CA">
        <w:rPr>
          <w:rFonts w:ascii="Arial" w:hAnsi="Arial" w:cs="Arial"/>
          <w:sz w:val="24"/>
          <w:szCs w:val="24"/>
        </w:rPr>
        <w:t>view expressed b</w:t>
      </w:r>
      <w:r w:rsidR="00964EA5" w:rsidRPr="00E506CA">
        <w:rPr>
          <w:rFonts w:ascii="Arial" w:hAnsi="Arial" w:cs="Arial"/>
          <w:sz w:val="24"/>
          <w:szCs w:val="24"/>
        </w:rPr>
        <w:t xml:space="preserve">y the </w:t>
      </w:r>
      <w:r w:rsidR="00012161" w:rsidRPr="00E506CA">
        <w:rPr>
          <w:rFonts w:ascii="Arial" w:hAnsi="Arial" w:cs="Arial"/>
          <w:sz w:val="24"/>
          <w:szCs w:val="24"/>
        </w:rPr>
        <w:t xml:space="preserve">Constitutional Court in </w:t>
      </w:r>
      <w:proofErr w:type="spellStart"/>
      <w:r w:rsidR="00012161" w:rsidRPr="00E506CA">
        <w:rPr>
          <w:rFonts w:ascii="Arial" w:hAnsi="Arial" w:cs="Arial"/>
          <w:b/>
          <w:bCs/>
          <w:i/>
          <w:iCs/>
          <w:sz w:val="24"/>
          <w:szCs w:val="24"/>
        </w:rPr>
        <w:t>Mamadi</w:t>
      </w:r>
      <w:proofErr w:type="spellEnd"/>
      <w:r w:rsidR="00EF06D4" w:rsidRPr="0081396F">
        <w:rPr>
          <w:rStyle w:val="FootnoteReference"/>
          <w:rFonts w:ascii="Arial" w:hAnsi="Arial" w:cs="Arial"/>
          <w:sz w:val="24"/>
          <w:szCs w:val="24"/>
        </w:rPr>
        <w:footnoteReference w:id="16"/>
      </w:r>
      <w:r w:rsidR="00012161" w:rsidRPr="00E506CA">
        <w:rPr>
          <w:rFonts w:ascii="Arial" w:hAnsi="Arial" w:cs="Arial"/>
          <w:b/>
          <w:bCs/>
          <w:i/>
          <w:iCs/>
          <w:sz w:val="24"/>
          <w:szCs w:val="24"/>
        </w:rPr>
        <w:t xml:space="preserve"> </w:t>
      </w:r>
      <w:r w:rsidR="00EF06D4" w:rsidRPr="00E506CA">
        <w:rPr>
          <w:rFonts w:ascii="Arial" w:hAnsi="Arial" w:cs="Arial"/>
          <w:sz w:val="24"/>
          <w:szCs w:val="24"/>
        </w:rPr>
        <w:t xml:space="preserve">where the court dealt </w:t>
      </w:r>
      <w:r w:rsidR="00EF06D4" w:rsidRPr="00E506CA">
        <w:rPr>
          <w:rFonts w:ascii="Arial" w:hAnsi="Arial" w:cs="Arial"/>
          <w:i/>
          <w:iCs/>
          <w:sz w:val="24"/>
          <w:szCs w:val="24"/>
        </w:rPr>
        <w:t xml:space="preserve">inter alia </w:t>
      </w:r>
      <w:r w:rsidR="00EF06D4" w:rsidRPr="00E506CA">
        <w:rPr>
          <w:rFonts w:ascii="Arial" w:hAnsi="Arial" w:cs="Arial"/>
          <w:sz w:val="24"/>
          <w:szCs w:val="24"/>
        </w:rPr>
        <w:t xml:space="preserve">with the exercise of the discretion of a court under rule 6(5)(g). Theron J, for a </w:t>
      </w:r>
      <w:r w:rsidR="00936F37" w:rsidRPr="00E506CA">
        <w:rPr>
          <w:rFonts w:ascii="Arial" w:hAnsi="Arial" w:cs="Arial"/>
          <w:sz w:val="24"/>
          <w:szCs w:val="24"/>
        </w:rPr>
        <w:t xml:space="preserve">unanimous court, held that </w:t>
      </w:r>
      <w:r w:rsidR="0081396F" w:rsidRPr="00E506CA">
        <w:rPr>
          <w:rFonts w:ascii="Arial" w:hAnsi="Arial" w:cs="Arial"/>
          <w:sz w:val="24"/>
          <w:szCs w:val="24"/>
        </w:rPr>
        <w:t xml:space="preserve">the Constitutional Court </w:t>
      </w:r>
      <w:r w:rsidR="00936F37" w:rsidRPr="00E506CA">
        <w:rPr>
          <w:rFonts w:ascii="Arial" w:hAnsi="Arial" w:cs="Arial"/>
          <w:sz w:val="24"/>
          <w:szCs w:val="24"/>
        </w:rPr>
        <w:t>was entitled to interfere with the</w:t>
      </w:r>
      <w:r w:rsidRPr="00E506CA">
        <w:rPr>
          <w:rFonts w:ascii="Arial" w:hAnsi="Arial" w:cs="Arial"/>
          <w:sz w:val="24"/>
          <w:szCs w:val="24"/>
        </w:rPr>
        <w:t xml:space="preserve"> discretion</w:t>
      </w:r>
      <w:r w:rsidR="00936F37" w:rsidRPr="00E506CA">
        <w:rPr>
          <w:rFonts w:ascii="Arial" w:hAnsi="Arial" w:cs="Arial"/>
          <w:sz w:val="24"/>
          <w:szCs w:val="24"/>
        </w:rPr>
        <w:t xml:space="preserve"> </w:t>
      </w:r>
      <w:r w:rsidRPr="00E506CA">
        <w:rPr>
          <w:rFonts w:ascii="Arial" w:hAnsi="Arial" w:cs="Arial"/>
          <w:sz w:val="24"/>
          <w:szCs w:val="24"/>
        </w:rPr>
        <w:t xml:space="preserve">of the </w:t>
      </w:r>
      <w:r w:rsidR="00D22B8A" w:rsidRPr="00E506CA">
        <w:rPr>
          <w:rFonts w:ascii="Arial" w:hAnsi="Arial" w:cs="Arial"/>
          <w:sz w:val="24"/>
          <w:szCs w:val="24"/>
        </w:rPr>
        <w:t xml:space="preserve">High Court </w:t>
      </w:r>
      <w:r w:rsidR="00936F37" w:rsidRPr="00E506CA">
        <w:rPr>
          <w:rFonts w:ascii="Arial" w:hAnsi="Arial" w:cs="Arial"/>
          <w:sz w:val="24"/>
          <w:szCs w:val="24"/>
        </w:rPr>
        <w:t xml:space="preserve">under rule 6(5)(g) because </w:t>
      </w:r>
      <w:r w:rsidR="00A204D7" w:rsidRPr="00E506CA">
        <w:rPr>
          <w:rFonts w:ascii="Arial" w:hAnsi="Arial" w:cs="Arial"/>
          <w:sz w:val="24"/>
          <w:szCs w:val="24"/>
        </w:rPr>
        <w:t>it (</w:t>
      </w:r>
      <w:r w:rsidR="00936F37" w:rsidRPr="00E506CA">
        <w:rPr>
          <w:rFonts w:ascii="Arial" w:hAnsi="Arial" w:cs="Arial"/>
          <w:sz w:val="24"/>
          <w:szCs w:val="24"/>
        </w:rPr>
        <w:t xml:space="preserve">the </w:t>
      </w:r>
      <w:r w:rsidR="00D22B8A" w:rsidRPr="00E506CA">
        <w:rPr>
          <w:rFonts w:ascii="Arial" w:hAnsi="Arial" w:cs="Arial"/>
          <w:sz w:val="24"/>
          <w:szCs w:val="24"/>
        </w:rPr>
        <w:t>High Court</w:t>
      </w:r>
      <w:r w:rsidR="00A204D7" w:rsidRPr="00E506CA">
        <w:rPr>
          <w:rFonts w:ascii="Arial" w:hAnsi="Arial" w:cs="Arial"/>
          <w:sz w:val="24"/>
          <w:szCs w:val="24"/>
        </w:rPr>
        <w:t>)</w:t>
      </w:r>
      <w:r w:rsidR="00936F37" w:rsidRPr="00E506CA">
        <w:rPr>
          <w:rFonts w:ascii="Arial" w:hAnsi="Arial" w:cs="Arial"/>
          <w:sz w:val="24"/>
          <w:szCs w:val="24"/>
        </w:rPr>
        <w:t xml:space="preserve"> had been “moved by a mistake of law”</w:t>
      </w:r>
      <w:r w:rsidR="0081396F">
        <w:rPr>
          <w:rStyle w:val="FootnoteReference"/>
          <w:rFonts w:ascii="Arial" w:hAnsi="Arial" w:cs="Arial"/>
          <w:sz w:val="24"/>
          <w:szCs w:val="24"/>
        </w:rPr>
        <w:footnoteReference w:id="17"/>
      </w:r>
      <w:r w:rsidR="00936F37" w:rsidRPr="00E506CA">
        <w:rPr>
          <w:rFonts w:ascii="Arial" w:hAnsi="Arial" w:cs="Arial"/>
          <w:sz w:val="24"/>
          <w:szCs w:val="24"/>
        </w:rPr>
        <w:t xml:space="preserve">. In reaching its decision, the court </w:t>
      </w:r>
      <w:r w:rsidR="008E1EF5" w:rsidRPr="00E506CA">
        <w:rPr>
          <w:rFonts w:ascii="Arial" w:hAnsi="Arial" w:cs="Arial"/>
          <w:sz w:val="24"/>
          <w:szCs w:val="24"/>
        </w:rPr>
        <w:t>cited</w:t>
      </w:r>
      <w:r w:rsidR="00936F37" w:rsidRPr="00E506CA">
        <w:rPr>
          <w:rFonts w:ascii="Arial" w:hAnsi="Arial" w:cs="Arial"/>
          <w:sz w:val="24"/>
          <w:szCs w:val="24"/>
        </w:rPr>
        <w:t xml:space="preserve"> with approval the </w:t>
      </w:r>
      <w:r w:rsidR="00A204D7" w:rsidRPr="00E506CA">
        <w:rPr>
          <w:rFonts w:ascii="Arial" w:hAnsi="Arial" w:cs="Arial"/>
          <w:sz w:val="24"/>
          <w:szCs w:val="24"/>
        </w:rPr>
        <w:t>judgment</w:t>
      </w:r>
      <w:r w:rsidR="00936F37" w:rsidRPr="00E506CA">
        <w:rPr>
          <w:rFonts w:ascii="Arial" w:hAnsi="Arial" w:cs="Arial"/>
          <w:sz w:val="24"/>
          <w:szCs w:val="24"/>
        </w:rPr>
        <w:t xml:space="preserve"> of the Constitutional Court in </w:t>
      </w:r>
      <w:r w:rsidR="00936F37" w:rsidRPr="00E506CA">
        <w:rPr>
          <w:rFonts w:ascii="Arial" w:hAnsi="Arial" w:cs="Arial"/>
          <w:b/>
          <w:bCs/>
          <w:i/>
          <w:iCs/>
          <w:sz w:val="24"/>
          <w:szCs w:val="24"/>
        </w:rPr>
        <w:t>Ferris</w:t>
      </w:r>
      <w:r w:rsidR="00936F37" w:rsidRPr="0081396F">
        <w:rPr>
          <w:rStyle w:val="FootnoteReference"/>
          <w:rFonts w:ascii="Arial" w:hAnsi="Arial" w:cs="Arial"/>
          <w:sz w:val="24"/>
          <w:szCs w:val="24"/>
        </w:rPr>
        <w:footnoteReference w:id="18"/>
      </w:r>
      <w:r w:rsidR="00936F37" w:rsidRPr="00E506CA">
        <w:rPr>
          <w:rFonts w:ascii="Arial" w:hAnsi="Arial" w:cs="Arial"/>
          <w:b/>
          <w:bCs/>
          <w:i/>
          <w:iCs/>
          <w:sz w:val="24"/>
          <w:szCs w:val="24"/>
        </w:rPr>
        <w:t xml:space="preserve"> </w:t>
      </w:r>
      <w:r w:rsidR="0081396F" w:rsidRPr="00E506CA">
        <w:rPr>
          <w:rFonts w:ascii="Arial" w:hAnsi="Arial" w:cs="Arial"/>
          <w:sz w:val="24"/>
          <w:szCs w:val="24"/>
        </w:rPr>
        <w:t xml:space="preserve"> where </w:t>
      </w:r>
      <w:proofErr w:type="spellStart"/>
      <w:r w:rsidR="0081396F" w:rsidRPr="00E506CA">
        <w:rPr>
          <w:rFonts w:ascii="Arial" w:hAnsi="Arial" w:cs="Arial"/>
          <w:sz w:val="24"/>
          <w:szCs w:val="24"/>
        </w:rPr>
        <w:t>Moseneke</w:t>
      </w:r>
      <w:proofErr w:type="spellEnd"/>
      <w:r w:rsidR="0081396F" w:rsidRPr="00E506CA">
        <w:rPr>
          <w:rFonts w:ascii="Arial" w:hAnsi="Arial" w:cs="Arial"/>
          <w:sz w:val="24"/>
          <w:szCs w:val="24"/>
        </w:rPr>
        <w:t xml:space="preserve"> ACJ categorised the exercise of the discretionary power of the lower court to refuse a default judgment as the exercise of a discretion in the true sense</w:t>
      </w:r>
      <w:r w:rsidR="004B0298">
        <w:rPr>
          <w:rStyle w:val="FootnoteReference"/>
          <w:rFonts w:ascii="Arial" w:hAnsi="Arial" w:cs="Arial"/>
          <w:sz w:val="24"/>
          <w:szCs w:val="24"/>
        </w:rPr>
        <w:footnoteReference w:id="19"/>
      </w:r>
      <w:r w:rsidR="0081396F" w:rsidRPr="00E506CA">
        <w:rPr>
          <w:rFonts w:ascii="Arial" w:hAnsi="Arial" w:cs="Arial"/>
          <w:sz w:val="24"/>
          <w:szCs w:val="24"/>
        </w:rPr>
        <w:t xml:space="preserve">. </w:t>
      </w:r>
    </w:p>
    <w:p w14:paraId="4F83D489" w14:textId="77777777" w:rsidR="00012161" w:rsidRDefault="00012161" w:rsidP="006110AA">
      <w:pPr>
        <w:spacing w:after="0" w:line="480" w:lineRule="auto"/>
        <w:ind w:left="709" w:hanging="709"/>
        <w:jc w:val="both"/>
        <w:rPr>
          <w:rFonts w:ascii="Arial" w:hAnsi="Arial" w:cs="Arial"/>
          <w:sz w:val="24"/>
          <w:szCs w:val="24"/>
        </w:rPr>
      </w:pPr>
    </w:p>
    <w:p w14:paraId="0F7D63E3" w14:textId="77777777" w:rsidR="008B1282" w:rsidRPr="00E506CA" w:rsidRDefault="00A734E2" w:rsidP="00E506CA">
      <w:pPr>
        <w:pStyle w:val="ListParagraph"/>
        <w:numPr>
          <w:ilvl w:val="0"/>
          <w:numId w:val="2"/>
        </w:numPr>
        <w:spacing w:after="0" w:line="480" w:lineRule="auto"/>
        <w:ind w:hanging="862"/>
        <w:jc w:val="both"/>
        <w:rPr>
          <w:rFonts w:ascii="Arial" w:hAnsi="Arial" w:cs="Arial"/>
          <w:sz w:val="24"/>
          <w:szCs w:val="24"/>
        </w:rPr>
      </w:pPr>
      <w:r w:rsidRPr="00E506CA">
        <w:rPr>
          <w:rFonts w:ascii="Arial" w:hAnsi="Arial" w:cs="Arial"/>
          <w:sz w:val="24"/>
          <w:szCs w:val="24"/>
        </w:rPr>
        <w:lastRenderedPageBreak/>
        <w:t xml:space="preserve">Counsel for the appellant submitted that </w:t>
      </w:r>
      <w:r w:rsidR="003B4060" w:rsidRPr="00E506CA">
        <w:rPr>
          <w:rFonts w:ascii="Arial" w:hAnsi="Arial" w:cs="Arial"/>
          <w:sz w:val="24"/>
          <w:szCs w:val="24"/>
        </w:rPr>
        <w:t xml:space="preserve">the </w:t>
      </w:r>
      <w:r w:rsidRPr="00E506CA">
        <w:rPr>
          <w:rFonts w:ascii="Arial" w:hAnsi="Arial" w:cs="Arial"/>
          <w:sz w:val="24"/>
          <w:szCs w:val="24"/>
        </w:rPr>
        <w:t xml:space="preserve">discretion exercised by a court </w:t>
      </w:r>
      <w:r w:rsidR="003B4060" w:rsidRPr="00E506CA">
        <w:rPr>
          <w:rFonts w:ascii="Arial" w:hAnsi="Arial" w:cs="Arial"/>
          <w:sz w:val="24"/>
          <w:szCs w:val="24"/>
        </w:rPr>
        <w:t xml:space="preserve">below </w:t>
      </w:r>
      <w:r w:rsidRPr="00E506CA">
        <w:rPr>
          <w:rFonts w:ascii="Arial" w:hAnsi="Arial" w:cs="Arial"/>
          <w:sz w:val="24"/>
          <w:szCs w:val="24"/>
        </w:rPr>
        <w:t xml:space="preserve">in terms of rule 6(5)(g) </w:t>
      </w:r>
      <w:r w:rsidR="00A204D7" w:rsidRPr="00E506CA">
        <w:rPr>
          <w:rFonts w:ascii="Arial" w:hAnsi="Arial" w:cs="Arial"/>
          <w:sz w:val="24"/>
          <w:szCs w:val="24"/>
        </w:rPr>
        <w:t>is</w:t>
      </w:r>
      <w:r w:rsidRPr="00E506CA">
        <w:rPr>
          <w:rFonts w:ascii="Arial" w:hAnsi="Arial" w:cs="Arial"/>
          <w:sz w:val="24"/>
          <w:szCs w:val="24"/>
        </w:rPr>
        <w:t xml:space="preserve"> not </w:t>
      </w:r>
      <w:r w:rsidR="00C36BA3" w:rsidRPr="00E506CA">
        <w:rPr>
          <w:rFonts w:ascii="Arial" w:hAnsi="Arial" w:cs="Arial"/>
          <w:sz w:val="24"/>
          <w:szCs w:val="24"/>
        </w:rPr>
        <w:t xml:space="preserve">a true </w:t>
      </w:r>
      <w:r w:rsidRPr="00E506CA">
        <w:rPr>
          <w:rFonts w:ascii="Arial" w:hAnsi="Arial" w:cs="Arial"/>
          <w:sz w:val="24"/>
          <w:szCs w:val="24"/>
        </w:rPr>
        <w:t xml:space="preserve">discretion </w:t>
      </w:r>
      <w:r w:rsidR="00C36BA3" w:rsidRPr="00E506CA">
        <w:rPr>
          <w:rFonts w:ascii="Arial" w:hAnsi="Arial" w:cs="Arial"/>
          <w:sz w:val="24"/>
          <w:szCs w:val="24"/>
        </w:rPr>
        <w:t xml:space="preserve">but a discretion </w:t>
      </w:r>
      <w:r w:rsidRPr="00E506CA">
        <w:rPr>
          <w:rFonts w:ascii="Arial" w:hAnsi="Arial" w:cs="Arial"/>
          <w:sz w:val="24"/>
          <w:szCs w:val="24"/>
        </w:rPr>
        <w:t>in</w:t>
      </w:r>
      <w:r w:rsidR="00C36BA3" w:rsidRPr="00E506CA">
        <w:rPr>
          <w:rFonts w:ascii="Arial" w:hAnsi="Arial" w:cs="Arial"/>
          <w:sz w:val="24"/>
          <w:szCs w:val="24"/>
        </w:rPr>
        <w:t xml:space="preserve"> the loose sense</w:t>
      </w:r>
      <w:r w:rsidRPr="00E506CA">
        <w:rPr>
          <w:rFonts w:ascii="Arial" w:hAnsi="Arial" w:cs="Arial"/>
          <w:sz w:val="24"/>
          <w:szCs w:val="24"/>
        </w:rPr>
        <w:t>. For th</w:t>
      </w:r>
      <w:r w:rsidR="002861B4" w:rsidRPr="00E506CA">
        <w:rPr>
          <w:rFonts w:ascii="Arial" w:hAnsi="Arial" w:cs="Arial"/>
          <w:sz w:val="24"/>
          <w:szCs w:val="24"/>
        </w:rPr>
        <w:t xml:space="preserve">is </w:t>
      </w:r>
      <w:r w:rsidRPr="00E506CA">
        <w:rPr>
          <w:rFonts w:ascii="Arial" w:hAnsi="Arial" w:cs="Arial"/>
          <w:sz w:val="24"/>
          <w:szCs w:val="24"/>
        </w:rPr>
        <w:t>submission</w:t>
      </w:r>
      <w:r w:rsidR="00C36BA3" w:rsidRPr="00E506CA">
        <w:rPr>
          <w:rFonts w:ascii="Arial" w:hAnsi="Arial" w:cs="Arial"/>
          <w:sz w:val="24"/>
          <w:szCs w:val="24"/>
        </w:rPr>
        <w:t>,</w:t>
      </w:r>
      <w:r w:rsidRPr="00E506CA">
        <w:rPr>
          <w:rFonts w:ascii="Arial" w:hAnsi="Arial" w:cs="Arial"/>
          <w:sz w:val="24"/>
          <w:szCs w:val="24"/>
        </w:rPr>
        <w:t xml:space="preserve"> he relied</w:t>
      </w:r>
      <w:r w:rsidR="00C36BA3" w:rsidRPr="00E506CA">
        <w:rPr>
          <w:rFonts w:ascii="Arial" w:hAnsi="Arial" w:cs="Arial"/>
          <w:sz w:val="24"/>
          <w:szCs w:val="24"/>
        </w:rPr>
        <w:t xml:space="preserve"> on</w:t>
      </w:r>
      <w:r w:rsidRPr="00E506CA">
        <w:rPr>
          <w:rFonts w:ascii="Arial" w:hAnsi="Arial" w:cs="Arial"/>
          <w:sz w:val="24"/>
          <w:szCs w:val="24"/>
        </w:rPr>
        <w:t xml:space="preserve"> </w:t>
      </w:r>
      <w:proofErr w:type="spellStart"/>
      <w:r w:rsidRPr="00E506CA">
        <w:rPr>
          <w:rFonts w:ascii="Arial" w:hAnsi="Arial" w:cs="Arial"/>
          <w:b/>
          <w:bCs/>
          <w:i/>
          <w:iCs/>
          <w:sz w:val="24"/>
          <w:szCs w:val="24"/>
        </w:rPr>
        <w:t>Lomba</w:t>
      </w:r>
      <w:r w:rsidR="004B0298" w:rsidRPr="00E506CA">
        <w:rPr>
          <w:rFonts w:ascii="Arial" w:hAnsi="Arial" w:cs="Arial"/>
          <w:b/>
          <w:bCs/>
          <w:i/>
          <w:iCs/>
          <w:sz w:val="24"/>
          <w:szCs w:val="24"/>
        </w:rPr>
        <w:t>a</w:t>
      </w:r>
      <w:r w:rsidRPr="00E506CA">
        <w:rPr>
          <w:rFonts w:ascii="Arial" w:hAnsi="Arial" w:cs="Arial"/>
          <w:b/>
          <w:bCs/>
          <w:i/>
          <w:iCs/>
          <w:sz w:val="24"/>
          <w:szCs w:val="24"/>
        </w:rPr>
        <w:t>rd</w:t>
      </w:r>
      <w:proofErr w:type="spellEnd"/>
      <w:r w:rsidR="00834CD3">
        <w:rPr>
          <w:rStyle w:val="FootnoteReference"/>
          <w:rFonts w:ascii="Arial" w:hAnsi="Arial" w:cs="Arial"/>
          <w:b/>
          <w:bCs/>
          <w:i/>
          <w:iCs/>
          <w:sz w:val="24"/>
          <w:szCs w:val="24"/>
        </w:rPr>
        <w:footnoteReference w:id="20"/>
      </w:r>
      <w:r w:rsidR="00C36BA3" w:rsidRPr="00E506CA">
        <w:rPr>
          <w:rFonts w:ascii="Arial" w:hAnsi="Arial" w:cs="Arial"/>
          <w:b/>
          <w:bCs/>
          <w:i/>
          <w:iCs/>
          <w:sz w:val="24"/>
          <w:szCs w:val="24"/>
        </w:rPr>
        <w:t xml:space="preserve"> </w:t>
      </w:r>
      <w:r w:rsidR="00C36BA3" w:rsidRPr="00E506CA">
        <w:rPr>
          <w:rFonts w:ascii="Arial" w:hAnsi="Arial" w:cs="Arial"/>
          <w:sz w:val="24"/>
          <w:szCs w:val="24"/>
        </w:rPr>
        <w:t xml:space="preserve">where </w:t>
      </w:r>
      <w:r w:rsidR="002861B4" w:rsidRPr="00E506CA">
        <w:rPr>
          <w:rFonts w:ascii="Arial" w:hAnsi="Arial" w:cs="Arial"/>
          <w:sz w:val="24"/>
          <w:szCs w:val="24"/>
        </w:rPr>
        <w:t xml:space="preserve">it was held by the majority </w:t>
      </w:r>
      <w:r w:rsidR="00C36BA3" w:rsidRPr="00E506CA">
        <w:rPr>
          <w:rFonts w:ascii="Arial" w:hAnsi="Arial" w:cs="Arial"/>
          <w:sz w:val="24"/>
          <w:szCs w:val="24"/>
        </w:rPr>
        <w:t>that in resolving to refer a matter to evidence</w:t>
      </w:r>
      <w:r w:rsidR="002861B4" w:rsidRPr="00E506CA">
        <w:rPr>
          <w:rFonts w:ascii="Arial" w:hAnsi="Arial" w:cs="Arial"/>
          <w:sz w:val="24"/>
          <w:szCs w:val="24"/>
        </w:rPr>
        <w:t xml:space="preserve"> in terms of rule 6(5)(g), a</w:t>
      </w:r>
      <w:r w:rsidR="00C36BA3" w:rsidRPr="00E506CA">
        <w:rPr>
          <w:rFonts w:ascii="Arial" w:hAnsi="Arial" w:cs="Arial"/>
          <w:sz w:val="24"/>
          <w:szCs w:val="24"/>
        </w:rPr>
        <w:t xml:space="preserve"> court has “a wide discretion”</w:t>
      </w:r>
      <w:r w:rsidR="002861B4" w:rsidRPr="00E506CA">
        <w:rPr>
          <w:rFonts w:ascii="Arial" w:hAnsi="Arial" w:cs="Arial"/>
          <w:sz w:val="24"/>
          <w:szCs w:val="24"/>
        </w:rPr>
        <w:t>. S</w:t>
      </w:r>
      <w:r w:rsidR="00C36BA3" w:rsidRPr="00E506CA">
        <w:rPr>
          <w:rFonts w:ascii="Arial" w:hAnsi="Arial" w:cs="Arial"/>
          <w:sz w:val="24"/>
          <w:szCs w:val="24"/>
        </w:rPr>
        <w:t xml:space="preserve">imilarly, in </w:t>
      </w:r>
      <w:r w:rsidRPr="00E506CA">
        <w:rPr>
          <w:rFonts w:ascii="Arial" w:hAnsi="Arial" w:cs="Arial"/>
          <w:b/>
          <w:bCs/>
          <w:i/>
          <w:iCs/>
          <w:sz w:val="24"/>
          <w:szCs w:val="24"/>
        </w:rPr>
        <w:t>Ploughman NO</w:t>
      </w:r>
      <w:r w:rsidR="00C36BA3" w:rsidRPr="002861B4">
        <w:rPr>
          <w:rStyle w:val="FootnoteReference"/>
          <w:rFonts w:ascii="Arial" w:hAnsi="Arial" w:cs="Arial"/>
          <w:sz w:val="24"/>
          <w:szCs w:val="24"/>
        </w:rPr>
        <w:footnoteReference w:id="21"/>
      </w:r>
      <w:r w:rsidRPr="00E506CA">
        <w:rPr>
          <w:rFonts w:ascii="Arial" w:hAnsi="Arial" w:cs="Arial"/>
          <w:b/>
          <w:bCs/>
          <w:i/>
          <w:iCs/>
          <w:sz w:val="24"/>
          <w:szCs w:val="24"/>
        </w:rPr>
        <w:t xml:space="preserve"> </w:t>
      </w:r>
      <w:r w:rsidRPr="00E506CA">
        <w:rPr>
          <w:rFonts w:ascii="Arial" w:hAnsi="Arial" w:cs="Arial"/>
          <w:sz w:val="24"/>
          <w:szCs w:val="24"/>
        </w:rPr>
        <w:t xml:space="preserve">and </w:t>
      </w:r>
      <w:r w:rsidRPr="00E506CA">
        <w:rPr>
          <w:rFonts w:ascii="Arial" w:hAnsi="Arial" w:cs="Arial"/>
          <w:b/>
          <w:bCs/>
          <w:i/>
          <w:iCs/>
          <w:sz w:val="24"/>
          <w:szCs w:val="24"/>
        </w:rPr>
        <w:t>Red Coral Investments 117 (P</w:t>
      </w:r>
      <w:r w:rsidR="00C36BA3" w:rsidRPr="00E506CA">
        <w:rPr>
          <w:rFonts w:ascii="Arial" w:hAnsi="Arial" w:cs="Arial"/>
          <w:b/>
          <w:bCs/>
          <w:i/>
          <w:iCs/>
          <w:sz w:val="24"/>
          <w:szCs w:val="24"/>
        </w:rPr>
        <w:t>ty)</w:t>
      </w:r>
      <w:r w:rsidR="00C36BA3" w:rsidRPr="002861B4">
        <w:rPr>
          <w:rStyle w:val="FootnoteReference"/>
          <w:rFonts w:ascii="Arial" w:hAnsi="Arial" w:cs="Arial"/>
          <w:sz w:val="24"/>
          <w:szCs w:val="24"/>
        </w:rPr>
        <w:footnoteReference w:id="22"/>
      </w:r>
      <w:r w:rsidR="00C36BA3" w:rsidRPr="00E506CA">
        <w:rPr>
          <w:rFonts w:ascii="Arial" w:hAnsi="Arial" w:cs="Arial"/>
          <w:sz w:val="24"/>
          <w:szCs w:val="24"/>
        </w:rPr>
        <w:t xml:space="preserve">, the court expressed the view that rule 6(5)(g) vests a court with </w:t>
      </w:r>
      <w:r w:rsidR="002861B4" w:rsidRPr="00E506CA">
        <w:rPr>
          <w:rFonts w:ascii="Arial" w:hAnsi="Arial" w:cs="Arial"/>
          <w:sz w:val="24"/>
          <w:szCs w:val="24"/>
        </w:rPr>
        <w:t>“</w:t>
      </w:r>
      <w:r w:rsidR="00C36BA3" w:rsidRPr="00E506CA">
        <w:rPr>
          <w:rFonts w:ascii="Arial" w:hAnsi="Arial" w:cs="Arial"/>
          <w:sz w:val="24"/>
          <w:szCs w:val="24"/>
        </w:rPr>
        <w:t>wide discretion</w:t>
      </w:r>
      <w:r w:rsidR="002861B4" w:rsidRPr="00E506CA">
        <w:rPr>
          <w:rFonts w:ascii="Arial" w:hAnsi="Arial" w:cs="Arial"/>
          <w:sz w:val="24"/>
          <w:szCs w:val="24"/>
        </w:rPr>
        <w:t>”</w:t>
      </w:r>
      <w:r w:rsidR="00C36BA3" w:rsidRPr="00E506CA">
        <w:rPr>
          <w:rFonts w:ascii="Arial" w:hAnsi="Arial" w:cs="Arial"/>
          <w:sz w:val="24"/>
          <w:szCs w:val="24"/>
        </w:rPr>
        <w:t xml:space="preserve"> in applications in which disputes</w:t>
      </w:r>
      <w:r w:rsidR="002861B4" w:rsidRPr="00E506CA">
        <w:rPr>
          <w:rFonts w:ascii="Arial" w:hAnsi="Arial" w:cs="Arial"/>
          <w:sz w:val="24"/>
          <w:szCs w:val="24"/>
        </w:rPr>
        <w:t xml:space="preserve"> of fact arise that cannot be resolved on the papers.</w:t>
      </w:r>
      <w:r w:rsidR="003B4060" w:rsidRPr="00E506CA">
        <w:rPr>
          <w:rFonts w:ascii="Arial" w:hAnsi="Arial" w:cs="Arial"/>
          <w:sz w:val="24"/>
          <w:szCs w:val="24"/>
        </w:rPr>
        <w:t xml:space="preserve"> One may add, too, that in </w:t>
      </w:r>
      <w:proofErr w:type="spellStart"/>
      <w:r w:rsidR="002861B4" w:rsidRPr="00E506CA">
        <w:rPr>
          <w:rFonts w:ascii="Arial" w:hAnsi="Arial" w:cs="Arial"/>
          <w:b/>
          <w:bCs/>
          <w:i/>
          <w:iCs/>
          <w:sz w:val="24"/>
          <w:szCs w:val="24"/>
        </w:rPr>
        <w:t>Mamadi</w:t>
      </w:r>
      <w:proofErr w:type="spellEnd"/>
      <w:r w:rsidR="002861B4">
        <w:rPr>
          <w:rStyle w:val="FootnoteReference"/>
          <w:rFonts w:ascii="Arial" w:hAnsi="Arial" w:cs="Arial"/>
          <w:sz w:val="24"/>
          <w:szCs w:val="24"/>
        </w:rPr>
        <w:footnoteReference w:id="23"/>
      </w:r>
      <w:r w:rsidR="002861B4" w:rsidRPr="00E506CA">
        <w:rPr>
          <w:rFonts w:ascii="Arial" w:hAnsi="Arial" w:cs="Arial"/>
          <w:sz w:val="24"/>
          <w:szCs w:val="24"/>
        </w:rPr>
        <w:t xml:space="preserve">, Theron J </w:t>
      </w:r>
      <w:r w:rsidR="00694F62" w:rsidRPr="00E506CA">
        <w:rPr>
          <w:rFonts w:ascii="Arial" w:hAnsi="Arial" w:cs="Arial"/>
          <w:sz w:val="24"/>
          <w:szCs w:val="24"/>
        </w:rPr>
        <w:t xml:space="preserve">also </w:t>
      </w:r>
      <w:r w:rsidR="003B4060" w:rsidRPr="00E506CA">
        <w:rPr>
          <w:rFonts w:ascii="Arial" w:hAnsi="Arial" w:cs="Arial"/>
          <w:sz w:val="24"/>
          <w:szCs w:val="24"/>
        </w:rPr>
        <w:t xml:space="preserve">stated </w:t>
      </w:r>
      <w:r w:rsidR="002861B4" w:rsidRPr="00E506CA">
        <w:rPr>
          <w:rFonts w:ascii="Arial" w:hAnsi="Arial" w:cs="Arial"/>
          <w:sz w:val="24"/>
          <w:szCs w:val="24"/>
        </w:rPr>
        <w:t xml:space="preserve">that rule 6(5)(g) vests a court with a </w:t>
      </w:r>
      <w:r w:rsidR="003B4060" w:rsidRPr="00E506CA">
        <w:rPr>
          <w:rFonts w:ascii="Arial" w:hAnsi="Arial" w:cs="Arial"/>
          <w:sz w:val="24"/>
          <w:szCs w:val="24"/>
        </w:rPr>
        <w:t>“</w:t>
      </w:r>
      <w:r w:rsidR="002861B4" w:rsidRPr="00E506CA">
        <w:rPr>
          <w:rFonts w:ascii="Arial" w:hAnsi="Arial" w:cs="Arial"/>
          <w:sz w:val="24"/>
          <w:szCs w:val="24"/>
        </w:rPr>
        <w:t>wide discretion</w:t>
      </w:r>
      <w:r w:rsidR="003B4060" w:rsidRPr="00E506CA">
        <w:rPr>
          <w:rFonts w:ascii="Arial" w:hAnsi="Arial" w:cs="Arial"/>
          <w:sz w:val="24"/>
          <w:szCs w:val="24"/>
        </w:rPr>
        <w:t>”</w:t>
      </w:r>
      <w:r w:rsidR="002861B4" w:rsidRPr="00E506CA">
        <w:rPr>
          <w:rFonts w:ascii="Arial" w:hAnsi="Arial" w:cs="Arial"/>
          <w:sz w:val="24"/>
          <w:szCs w:val="24"/>
        </w:rPr>
        <w:t xml:space="preserve"> in applications in which disputes of fact arise </w:t>
      </w:r>
      <w:r w:rsidR="003B4060" w:rsidRPr="00E506CA">
        <w:rPr>
          <w:rFonts w:ascii="Arial" w:hAnsi="Arial" w:cs="Arial"/>
          <w:sz w:val="24"/>
          <w:szCs w:val="24"/>
        </w:rPr>
        <w:t>on the papers.</w:t>
      </w:r>
      <w:r w:rsidR="002861B4" w:rsidRPr="00E506CA">
        <w:rPr>
          <w:rFonts w:ascii="Arial" w:hAnsi="Arial" w:cs="Arial"/>
          <w:sz w:val="24"/>
          <w:szCs w:val="24"/>
        </w:rPr>
        <w:t xml:space="preserve"> In my view, the use of the term “wide” </w:t>
      </w:r>
      <w:r w:rsidR="00D22B8A" w:rsidRPr="00E506CA">
        <w:rPr>
          <w:rFonts w:ascii="Arial" w:hAnsi="Arial" w:cs="Arial"/>
          <w:sz w:val="24"/>
          <w:szCs w:val="24"/>
        </w:rPr>
        <w:t xml:space="preserve">in the context of those cases </w:t>
      </w:r>
      <w:r w:rsidR="002861B4" w:rsidRPr="00E506CA">
        <w:rPr>
          <w:rFonts w:ascii="Arial" w:hAnsi="Arial" w:cs="Arial"/>
          <w:sz w:val="24"/>
          <w:szCs w:val="24"/>
        </w:rPr>
        <w:t xml:space="preserve">means no more than that a court has wide decision-making powers in relation to the range of options available to it. </w:t>
      </w:r>
    </w:p>
    <w:p w14:paraId="586DC651" w14:textId="77777777" w:rsidR="008B1282" w:rsidRDefault="008B1282" w:rsidP="00A734E2">
      <w:pPr>
        <w:spacing w:after="0" w:line="480" w:lineRule="auto"/>
        <w:ind w:left="720" w:hanging="720"/>
        <w:jc w:val="both"/>
        <w:rPr>
          <w:rFonts w:ascii="Arial" w:hAnsi="Arial" w:cs="Arial"/>
          <w:sz w:val="24"/>
          <w:szCs w:val="24"/>
        </w:rPr>
      </w:pPr>
    </w:p>
    <w:p w14:paraId="065DFCE0" w14:textId="77777777" w:rsidR="002861B4" w:rsidRPr="00E506CA" w:rsidRDefault="008B1282"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T</w:t>
      </w:r>
      <w:r w:rsidR="002861B4" w:rsidRPr="00E506CA">
        <w:rPr>
          <w:rFonts w:ascii="Arial" w:hAnsi="Arial" w:cs="Arial"/>
          <w:sz w:val="24"/>
          <w:szCs w:val="24"/>
        </w:rPr>
        <w:t xml:space="preserve">he fact that a court </w:t>
      </w:r>
      <w:r w:rsidR="00694F62" w:rsidRPr="00E506CA">
        <w:rPr>
          <w:rFonts w:ascii="Arial" w:hAnsi="Arial" w:cs="Arial"/>
          <w:sz w:val="24"/>
          <w:szCs w:val="24"/>
        </w:rPr>
        <w:t xml:space="preserve">may </w:t>
      </w:r>
      <w:r w:rsidR="002861B4" w:rsidRPr="00E506CA">
        <w:rPr>
          <w:rFonts w:ascii="Arial" w:hAnsi="Arial" w:cs="Arial"/>
          <w:sz w:val="24"/>
          <w:szCs w:val="24"/>
        </w:rPr>
        <w:t>ha</w:t>
      </w:r>
      <w:r w:rsidR="00694F62" w:rsidRPr="00E506CA">
        <w:rPr>
          <w:rFonts w:ascii="Arial" w:hAnsi="Arial" w:cs="Arial"/>
          <w:sz w:val="24"/>
          <w:szCs w:val="24"/>
        </w:rPr>
        <w:t>ve</w:t>
      </w:r>
      <w:r w:rsidR="002861B4" w:rsidRPr="00E506CA">
        <w:rPr>
          <w:rFonts w:ascii="Arial" w:hAnsi="Arial" w:cs="Arial"/>
          <w:sz w:val="24"/>
          <w:szCs w:val="24"/>
        </w:rPr>
        <w:t xml:space="preserve"> a wide range of equally permissible options to choose from does not detract from the </w:t>
      </w:r>
      <w:r w:rsidRPr="00E506CA">
        <w:rPr>
          <w:rFonts w:ascii="Arial" w:hAnsi="Arial" w:cs="Arial"/>
          <w:sz w:val="24"/>
          <w:szCs w:val="24"/>
        </w:rPr>
        <w:t>essence of a true</w:t>
      </w:r>
      <w:r w:rsidR="002861B4" w:rsidRPr="00E506CA">
        <w:rPr>
          <w:rFonts w:ascii="Arial" w:hAnsi="Arial" w:cs="Arial"/>
          <w:sz w:val="24"/>
          <w:szCs w:val="24"/>
        </w:rPr>
        <w:t xml:space="preserve"> discretion</w:t>
      </w:r>
      <w:r w:rsidRPr="00E506CA">
        <w:rPr>
          <w:rFonts w:ascii="Arial" w:hAnsi="Arial" w:cs="Arial"/>
          <w:sz w:val="24"/>
          <w:szCs w:val="24"/>
        </w:rPr>
        <w:t xml:space="preserve">. In </w:t>
      </w:r>
      <w:proofErr w:type="spellStart"/>
      <w:r w:rsidR="002861B4" w:rsidRPr="00E506CA">
        <w:rPr>
          <w:rFonts w:ascii="Arial" w:hAnsi="Arial" w:cs="Arial"/>
          <w:b/>
          <w:bCs/>
          <w:i/>
          <w:iCs/>
          <w:sz w:val="24"/>
          <w:szCs w:val="24"/>
        </w:rPr>
        <w:t>Trencon</w:t>
      </w:r>
      <w:proofErr w:type="spellEnd"/>
      <w:r w:rsidR="002861B4" w:rsidRPr="00E506CA">
        <w:rPr>
          <w:rFonts w:ascii="Arial" w:hAnsi="Arial" w:cs="Arial"/>
          <w:b/>
          <w:bCs/>
          <w:i/>
          <w:iCs/>
          <w:sz w:val="24"/>
          <w:szCs w:val="24"/>
        </w:rPr>
        <w:t xml:space="preserve"> Construction</w:t>
      </w:r>
      <w:r w:rsidR="00A204D7" w:rsidRPr="00E506CA">
        <w:rPr>
          <w:rFonts w:ascii="Arial" w:hAnsi="Arial" w:cs="Arial"/>
          <w:sz w:val="24"/>
          <w:szCs w:val="24"/>
        </w:rPr>
        <w:t xml:space="preserve">, </w:t>
      </w:r>
      <w:proofErr w:type="spellStart"/>
      <w:r w:rsidR="00A204D7" w:rsidRPr="00E506CA">
        <w:rPr>
          <w:rFonts w:ascii="Arial" w:hAnsi="Arial" w:cs="Arial"/>
          <w:sz w:val="24"/>
          <w:szCs w:val="24"/>
        </w:rPr>
        <w:t>Khampepe</w:t>
      </w:r>
      <w:proofErr w:type="spellEnd"/>
      <w:r w:rsidR="00A204D7" w:rsidRPr="00E506CA">
        <w:rPr>
          <w:rFonts w:ascii="Arial" w:hAnsi="Arial" w:cs="Arial"/>
          <w:sz w:val="24"/>
          <w:szCs w:val="24"/>
        </w:rPr>
        <w:t xml:space="preserve"> J commented </w:t>
      </w:r>
      <w:r w:rsidR="002861B4" w:rsidRPr="00E506CA">
        <w:rPr>
          <w:rFonts w:ascii="Arial" w:hAnsi="Arial" w:cs="Arial"/>
          <w:sz w:val="24"/>
          <w:szCs w:val="24"/>
        </w:rPr>
        <w:t xml:space="preserve">on the meaning of “wide” in the context of the exercise of a </w:t>
      </w:r>
      <w:r w:rsidRPr="00E506CA">
        <w:rPr>
          <w:rFonts w:ascii="Arial" w:hAnsi="Arial" w:cs="Arial"/>
          <w:sz w:val="24"/>
          <w:szCs w:val="24"/>
        </w:rPr>
        <w:t xml:space="preserve">true </w:t>
      </w:r>
      <w:r w:rsidR="002861B4" w:rsidRPr="00E506CA">
        <w:rPr>
          <w:rFonts w:ascii="Arial" w:hAnsi="Arial" w:cs="Arial"/>
          <w:sz w:val="24"/>
          <w:szCs w:val="24"/>
        </w:rPr>
        <w:t>discretion. Dealing with the wide decision-making powers in relation to the options available to a court when it exercise</w:t>
      </w:r>
      <w:r w:rsidRPr="00E506CA">
        <w:rPr>
          <w:rFonts w:ascii="Arial" w:hAnsi="Arial" w:cs="Arial"/>
          <w:sz w:val="24"/>
          <w:szCs w:val="24"/>
        </w:rPr>
        <w:t>s</w:t>
      </w:r>
      <w:r w:rsidR="002861B4" w:rsidRPr="00E506CA">
        <w:rPr>
          <w:rFonts w:ascii="Arial" w:hAnsi="Arial" w:cs="Arial"/>
          <w:sz w:val="24"/>
          <w:szCs w:val="24"/>
        </w:rPr>
        <w:t xml:space="preserve"> a discretion in terms of section 8(1) of the </w:t>
      </w:r>
      <w:r w:rsidR="002861B4" w:rsidRPr="00E506CA">
        <w:rPr>
          <w:rFonts w:ascii="Arial" w:hAnsi="Arial" w:cs="Arial"/>
          <w:sz w:val="24"/>
          <w:szCs w:val="24"/>
          <w:u w:val="single"/>
        </w:rPr>
        <w:t>Promotion of Administrative Justice Act</w:t>
      </w:r>
      <w:r w:rsidR="00694F62" w:rsidRPr="00E506CA">
        <w:rPr>
          <w:rFonts w:ascii="Arial" w:hAnsi="Arial" w:cs="Arial"/>
          <w:sz w:val="24"/>
          <w:szCs w:val="24"/>
          <w:u w:val="single"/>
        </w:rPr>
        <w:t xml:space="preserve"> </w:t>
      </w:r>
      <w:r w:rsidR="00694F62" w:rsidRPr="00E506CA">
        <w:rPr>
          <w:rFonts w:ascii="Arial" w:hAnsi="Arial" w:cs="Arial"/>
          <w:sz w:val="24"/>
          <w:szCs w:val="24"/>
        </w:rPr>
        <w:t>3 of 2000</w:t>
      </w:r>
      <w:r w:rsidR="002861B4" w:rsidRPr="00E506CA">
        <w:rPr>
          <w:rFonts w:ascii="Arial" w:hAnsi="Arial" w:cs="Arial"/>
          <w:sz w:val="24"/>
          <w:szCs w:val="24"/>
        </w:rPr>
        <w:t xml:space="preserve">, </w:t>
      </w:r>
      <w:proofErr w:type="spellStart"/>
      <w:r w:rsidR="002861B4" w:rsidRPr="00E506CA">
        <w:rPr>
          <w:rFonts w:ascii="Arial" w:hAnsi="Arial" w:cs="Arial"/>
          <w:sz w:val="24"/>
          <w:szCs w:val="24"/>
        </w:rPr>
        <w:t>Khampepe</w:t>
      </w:r>
      <w:proofErr w:type="spellEnd"/>
      <w:r w:rsidR="002861B4" w:rsidRPr="00E506CA">
        <w:rPr>
          <w:rFonts w:ascii="Arial" w:hAnsi="Arial" w:cs="Arial"/>
          <w:sz w:val="24"/>
          <w:szCs w:val="24"/>
        </w:rPr>
        <w:t xml:space="preserve"> J explain</w:t>
      </w:r>
      <w:r w:rsidR="00A204D7" w:rsidRPr="00E506CA">
        <w:rPr>
          <w:rFonts w:ascii="Arial" w:hAnsi="Arial" w:cs="Arial"/>
          <w:sz w:val="24"/>
          <w:szCs w:val="24"/>
        </w:rPr>
        <w:t>ed</w:t>
      </w:r>
      <w:r w:rsidR="00880AF0">
        <w:rPr>
          <w:rStyle w:val="FootnoteReference"/>
          <w:rFonts w:ascii="Arial" w:hAnsi="Arial" w:cs="Arial"/>
          <w:sz w:val="24"/>
          <w:szCs w:val="24"/>
        </w:rPr>
        <w:footnoteReference w:id="24"/>
      </w:r>
      <w:r w:rsidR="002861B4" w:rsidRPr="00E506CA">
        <w:rPr>
          <w:rFonts w:ascii="Arial" w:hAnsi="Arial" w:cs="Arial"/>
          <w:sz w:val="24"/>
          <w:szCs w:val="24"/>
        </w:rPr>
        <w:t>:</w:t>
      </w:r>
    </w:p>
    <w:p w14:paraId="5EBAE2FB" w14:textId="77777777" w:rsidR="002861B4" w:rsidRDefault="002861B4" w:rsidP="002861B4">
      <w:pPr>
        <w:spacing w:after="0" w:line="480" w:lineRule="auto"/>
        <w:ind w:left="720" w:hanging="720"/>
        <w:jc w:val="both"/>
        <w:rPr>
          <w:rFonts w:ascii="Arial" w:hAnsi="Arial" w:cs="Arial"/>
          <w:sz w:val="24"/>
          <w:szCs w:val="24"/>
        </w:rPr>
      </w:pPr>
    </w:p>
    <w:p w14:paraId="42A2AD92" w14:textId="77777777" w:rsidR="002861B4" w:rsidRPr="00E506CA" w:rsidRDefault="002861B4" w:rsidP="00E506CA">
      <w:pPr>
        <w:spacing w:after="0" w:line="480" w:lineRule="auto"/>
        <w:ind w:left="1440"/>
        <w:jc w:val="both"/>
        <w:rPr>
          <w:rFonts w:ascii="Arial" w:hAnsi="Arial" w:cs="Arial"/>
          <w:i/>
          <w:iCs/>
          <w:sz w:val="24"/>
          <w:szCs w:val="24"/>
        </w:rPr>
      </w:pPr>
      <w:r w:rsidRPr="00E506CA">
        <w:rPr>
          <w:rFonts w:ascii="Arial" w:hAnsi="Arial" w:cs="Arial"/>
          <w:i/>
          <w:iCs/>
          <w:sz w:val="24"/>
          <w:szCs w:val="24"/>
        </w:rPr>
        <w:lastRenderedPageBreak/>
        <w:t>“[90]</w:t>
      </w:r>
      <w:r w:rsidRPr="00E506CA">
        <w:rPr>
          <w:rFonts w:ascii="Arial" w:hAnsi="Arial" w:cs="Arial"/>
          <w:i/>
          <w:iCs/>
          <w:sz w:val="24"/>
          <w:szCs w:val="24"/>
        </w:rPr>
        <w:tab/>
        <w:t>It is perspicuous that there are wide range of options available to a court exercising its discretion under s 8(1), as it lists a number of just and equitable remedies that a court may grant. Significantly, it does not seek to confine a court to the listed remedies. It provides that a court may award any order that is just and equitable, including, but not limited to the listed remedies. It follows that any of these remedies is equally permissible and an appellate court could legitimately favour a different remedy than that preferred by a lower court. But that alone does not permit it to interfere with the lower court’s discretion</w:t>
      </w:r>
      <w:r w:rsidRPr="00E506CA">
        <w:rPr>
          <w:rFonts w:ascii="Arial" w:hAnsi="Arial" w:cs="Arial"/>
          <w:sz w:val="24"/>
          <w:szCs w:val="24"/>
        </w:rPr>
        <w:t>”.</w:t>
      </w:r>
    </w:p>
    <w:p w14:paraId="75E99393" w14:textId="77777777" w:rsidR="004B597C" w:rsidRPr="00C752B5" w:rsidRDefault="004B597C" w:rsidP="00E506CA">
      <w:pPr>
        <w:spacing w:after="0" w:line="480" w:lineRule="auto"/>
        <w:ind w:left="720" w:firstLine="60"/>
        <w:jc w:val="both"/>
        <w:rPr>
          <w:rFonts w:ascii="Arial" w:hAnsi="Arial" w:cs="Arial"/>
          <w:i/>
          <w:iCs/>
          <w:sz w:val="24"/>
          <w:szCs w:val="24"/>
        </w:rPr>
      </w:pPr>
    </w:p>
    <w:p w14:paraId="1CCF70EE" w14:textId="77777777" w:rsidR="0042061B" w:rsidRPr="00E506CA" w:rsidRDefault="0042061B"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I now return to the reasons proffered by the court </w:t>
      </w:r>
      <w:r w:rsidR="006F4B1A" w:rsidRPr="00E506CA">
        <w:rPr>
          <w:rFonts w:ascii="Arial" w:hAnsi="Arial" w:cs="Arial"/>
          <w:sz w:val="24"/>
          <w:szCs w:val="24"/>
        </w:rPr>
        <w:t>below for</w:t>
      </w:r>
      <w:r w:rsidRPr="00E506CA">
        <w:rPr>
          <w:rFonts w:ascii="Arial" w:hAnsi="Arial" w:cs="Arial"/>
          <w:i/>
          <w:iCs/>
          <w:sz w:val="24"/>
          <w:szCs w:val="24"/>
        </w:rPr>
        <w:t xml:space="preserve"> </w:t>
      </w:r>
      <w:r w:rsidRPr="00E506CA">
        <w:rPr>
          <w:rFonts w:ascii="Arial" w:hAnsi="Arial" w:cs="Arial"/>
          <w:sz w:val="24"/>
          <w:szCs w:val="24"/>
        </w:rPr>
        <w:t>not refer</w:t>
      </w:r>
      <w:r w:rsidR="006F4B1A" w:rsidRPr="00E506CA">
        <w:rPr>
          <w:rFonts w:ascii="Arial" w:hAnsi="Arial" w:cs="Arial"/>
          <w:sz w:val="24"/>
          <w:szCs w:val="24"/>
        </w:rPr>
        <w:t>ring</w:t>
      </w:r>
      <w:r w:rsidRPr="00E506CA">
        <w:rPr>
          <w:rFonts w:ascii="Arial" w:hAnsi="Arial" w:cs="Arial"/>
          <w:sz w:val="24"/>
          <w:szCs w:val="24"/>
        </w:rPr>
        <w:t xml:space="preserve"> th</w:t>
      </w:r>
      <w:r w:rsidR="006F4B1A" w:rsidRPr="00E506CA">
        <w:rPr>
          <w:rFonts w:ascii="Arial" w:hAnsi="Arial" w:cs="Arial"/>
          <w:sz w:val="24"/>
          <w:szCs w:val="24"/>
        </w:rPr>
        <w:t xml:space="preserve">is matter </w:t>
      </w:r>
      <w:r w:rsidRPr="00E506CA">
        <w:rPr>
          <w:rFonts w:ascii="Arial" w:hAnsi="Arial" w:cs="Arial"/>
          <w:sz w:val="24"/>
          <w:szCs w:val="24"/>
        </w:rPr>
        <w:t>to oral evidence. As noted, Hockey AJ refused to exercise his discretion to refer the matter to oral evidence on the basis that the appellant should have foreseen that a material dispute of fact would arise</w:t>
      </w:r>
      <w:r w:rsidR="00A204D7" w:rsidRPr="00E506CA">
        <w:rPr>
          <w:rFonts w:ascii="Arial" w:hAnsi="Arial" w:cs="Arial"/>
          <w:sz w:val="24"/>
          <w:szCs w:val="24"/>
        </w:rPr>
        <w:t xml:space="preserve"> that could not be resolved on the papers. A</w:t>
      </w:r>
      <w:r w:rsidR="006F4B1A" w:rsidRPr="00E506CA">
        <w:rPr>
          <w:rFonts w:ascii="Arial" w:hAnsi="Arial" w:cs="Arial"/>
          <w:sz w:val="24"/>
          <w:szCs w:val="24"/>
        </w:rPr>
        <w:t>ccordingly,</w:t>
      </w:r>
      <w:r w:rsidR="00B95E22" w:rsidRPr="00E506CA">
        <w:rPr>
          <w:rFonts w:ascii="Arial" w:hAnsi="Arial" w:cs="Arial"/>
          <w:sz w:val="24"/>
          <w:szCs w:val="24"/>
        </w:rPr>
        <w:t xml:space="preserve"> </w:t>
      </w:r>
      <w:r w:rsidRPr="00E506CA">
        <w:rPr>
          <w:rFonts w:ascii="Arial" w:hAnsi="Arial" w:cs="Arial"/>
          <w:sz w:val="24"/>
          <w:szCs w:val="24"/>
        </w:rPr>
        <w:t>proceeding</w:t>
      </w:r>
      <w:r w:rsidR="006F4B1A" w:rsidRPr="00E506CA">
        <w:rPr>
          <w:rFonts w:ascii="Arial" w:hAnsi="Arial" w:cs="Arial"/>
          <w:sz w:val="24"/>
          <w:szCs w:val="24"/>
        </w:rPr>
        <w:t xml:space="preserve"> by way of application</w:t>
      </w:r>
      <w:r w:rsidRPr="00E506CA">
        <w:rPr>
          <w:rFonts w:ascii="Arial" w:hAnsi="Arial" w:cs="Arial"/>
          <w:sz w:val="24"/>
          <w:szCs w:val="24"/>
        </w:rPr>
        <w:t xml:space="preserve"> was not the appropriate</w:t>
      </w:r>
      <w:r w:rsidR="006F4B1A" w:rsidRPr="00E506CA">
        <w:rPr>
          <w:rFonts w:ascii="Arial" w:hAnsi="Arial" w:cs="Arial"/>
          <w:sz w:val="24"/>
          <w:szCs w:val="24"/>
        </w:rPr>
        <w:t xml:space="preserve"> way </w:t>
      </w:r>
      <w:r w:rsidRPr="00E506CA">
        <w:rPr>
          <w:rFonts w:ascii="Arial" w:hAnsi="Arial" w:cs="Arial"/>
          <w:sz w:val="24"/>
          <w:szCs w:val="24"/>
        </w:rPr>
        <w:t>to resolve this dispute. The learned judge dealt with this issue in the judgment as follows:</w:t>
      </w:r>
    </w:p>
    <w:p w14:paraId="5D2C1E1F" w14:textId="77777777" w:rsidR="0042061B" w:rsidRDefault="0042061B" w:rsidP="0042061B">
      <w:pPr>
        <w:spacing w:after="0" w:line="480" w:lineRule="auto"/>
        <w:ind w:left="720" w:hanging="720"/>
        <w:jc w:val="both"/>
        <w:rPr>
          <w:rFonts w:ascii="Arial" w:hAnsi="Arial" w:cs="Arial"/>
          <w:sz w:val="24"/>
          <w:szCs w:val="24"/>
        </w:rPr>
      </w:pPr>
    </w:p>
    <w:p w14:paraId="008C65EE" w14:textId="2845AFCF" w:rsidR="0042061B" w:rsidRPr="00E506CA" w:rsidRDefault="0042061B" w:rsidP="00E506CA">
      <w:pPr>
        <w:pStyle w:val="ListParagraph"/>
        <w:spacing w:after="0" w:line="480" w:lineRule="auto"/>
        <w:ind w:left="1440"/>
        <w:jc w:val="both"/>
        <w:rPr>
          <w:rFonts w:ascii="Arial" w:hAnsi="Arial" w:cs="Arial"/>
          <w:i/>
          <w:iCs/>
          <w:sz w:val="24"/>
          <w:szCs w:val="24"/>
        </w:rPr>
      </w:pPr>
      <w:r w:rsidRPr="00E506CA">
        <w:rPr>
          <w:rFonts w:ascii="Arial" w:hAnsi="Arial" w:cs="Arial"/>
          <w:sz w:val="24"/>
          <w:szCs w:val="24"/>
        </w:rPr>
        <w:t>“</w:t>
      </w:r>
      <w:r w:rsidRPr="00E506CA">
        <w:rPr>
          <w:rFonts w:ascii="Arial" w:hAnsi="Arial" w:cs="Arial"/>
          <w:i/>
          <w:iCs/>
          <w:sz w:val="24"/>
          <w:szCs w:val="24"/>
        </w:rPr>
        <w:t>24.</w:t>
      </w:r>
      <w:r w:rsidRPr="00E506CA">
        <w:rPr>
          <w:rFonts w:ascii="Arial" w:hAnsi="Arial" w:cs="Arial"/>
          <w:i/>
          <w:iCs/>
          <w:sz w:val="24"/>
          <w:szCs w:val="24"/>
        </w:rPr>
        <w:tab/>
        <w:t xml:space="preserve">The present proceedings were instituted on 7 July 2020. This was after an application was launched for leave to serve the main application by edictal citation. Before these dates, the applicant’s attorneys addressed a letter to the respondent dated 9 June 2020 wherein it is alleged that the parties “are equal partners in a partnership known as </w:t>
      </w:r>
      <w:proofErr w:type="gramStart"/>
      <w:r w:rsidRPr="00E506CA">
        <w:rPr>
          <w:rFonts w:ascii="Arial" w:hAnsi="Arial" w:cs="Arial"/>
          <w:i/>
          <w:iCs/>
          <w:sz w:val="24"/>
          <w:szCs w:val="24"/>
        </w:rPr>
        <w:t>K</w:t>
      </w:r>
      <w:r w:rsidR="006510F6">
        <w:rPr>
          <w:rFonts w:ascii="Arial" w:hAnsi="Arial" w:cs="Arial"/>
          <w:i/>
          <w:iCs/>
          <w:sz w:val="24"/>
          <w:szCs w:val="24"/>
        </w:rPr>
        <w:t>[</w:t>
      </w:r>
      <w:proofErr w:type="gramEnd"/>
      <w:r w:rsidR="006510F6">
        <w:rPr>
          <w:rFonts w:ascii="Arial" w:hAnsi="Arial" w:cs="Arial"/>
          <w:i/>
          <w:iCs/>
          <w:sz w:val="24"/>
          <w:szCs w:val="24"/>
        </w:rPr>
        <w:t>…]</w:t>
      </w:r>
      <w:r w:rsidRPr="00E506CA">
        <w:rPr>
          <w:rFonts w:ascii="Arial" w:hAnsi="Arial" w:cs="Arial"/>
          <w:i/>
          <w:iCs/>
          <w:sz w:val="24"/>
          <w:szCs w:val="24"/>
        </w:rPr>
        <w:t xml:space="preserve"> Guest Farm…’. In the letter, it is further stated that the applicant </w:t>
      </w:r>
      <w:r w:rsidR="00834CD3" w:rsidRPr="00E506CA">
        <w:rPr>
          <w:rFonts w:ascii="Arial" w:hAnsi="Arial" w:cs="Arial"/>
          <w:i/>
          <w:iCs/>
          <w:sz w:val="24"/>
          <w:szCs w:val="24"/>
        </w:rPr>
        <w:t>‘was</w:t>
      </w:r>
      <w:r w:rsidRPr="00E506CA">
        <w:rPr>
          <w:rFonts w:ascii="Arial" w:hAnsi="Arial" w:cs="Arial"/>
          <w:i/>
          <w:iCs/>
          <w:sz w:val="24"/>
          <w:szCs w:val="24"/>
        </w:rPr>
        <w:t xml:space="preserve"> denied access to the books, records and accounts of the </w:t>
      </w:r>
      <w:r w:rsidRPr="00E506CA">
        <w:rPr>
          <w:rFonts w:ascii="Arial" w:hAnsi="Arial" w:cs="Arial"/>
          <w:i/>
          <w:iCs/>
          <w:sz w:val="24"/>
          <w:szCs w:val="24"/>
        </w:rPr>
        <w:lastRenderedPageBreak/>
        <w:t>partnership and even denied access to the books, records and accounts of the partnership and even denied access to the Farm itself.</w:t>
      </w:r>
    </w:p>
    <w:p w14:paraId="252F06B2" w14:textId="77777777" w:rsidR="0042061B" w:rsidRPr="00B23D0D" w:rsidRDefault="0042061B" w:rsidP="0042061B">
      <w:pPr>
        <w:spacing w:after="0" w:line="480" w:lineRule="auto"/>
        <w:ind w:left="2160" w:hanging="720"/>
        <w:jc w:val="both"/>
        <w:rPr>
          <w:rFonts w:ascii="Arial" w:hAnsi="Arial" w:cs="Arial"/>
          <w:i/>
          <w:iCs/>
          <w:sz w:val="24"/>
          <w:szCs w:val="24"/>
        </w:rPr>
      </w:pPr>
    </w:p>
    <w:p w14:paraId="1820AD17" w14:textId="77777777" w:rsidR="0042061B" w:rsidRPr="00E506CA" w:rsidRDefault="0042061B" w:rsidP="00E506CA">
      <w:pPr>
        <w:pStyle w:val="ListParagraph"/>
        <w:spacing w:after="0" w:line="480" w:lineRule="auto"/>
        <w:ind w:left="1440"/>
        <w:jc w:val="both"/>
        <w:rPr>
          <w:rFonts w:ascii="Arial" w:hAnsi="Arial" w:cs="Arial"/>
          <w:i/>
          <w:iCs/>
          <w:sz w:val="24"/>
          <w:szCs w:val="24"/>
        </w:rPr>
      </w:pPr>
      <w:r w:rsidRPr="00E506CA">
        <w:rPr>
          <w:rFonts w:ascii="Arial" w:hAnsi="Arial" w:cs="Arial"/>
          <w:i/>
          <w:iCs/>
          <w:sz w:val="24"/>
          <w:szCs w:val="24"/>
        </w:rPr>
        <w:t>25.</w:t>
      </w:r>
      <w:r w:rsidRPr="00E506CA">
        <w:rPr>
          <w:rFonts w:ascii="Arial" w:hAnsi="Arial" w:cs="Arial"/>
          <w:i/>
          <w:iCs/>
          <w:sz w:val="24"/>
          <w:szCs w:val="24"/>
        </w:rPr>
        <w:tab/>
        <w:t xml:space="preserve">The respondent appointed attorneys to respond to this letter, and on 11 June 2020 her attorneys advised that they in the process of taking instructions. They further stated that in the interim, i.e. before they furnish a further response, they are instructed to inform that the applicant’s request to have access via a representative to the farm and for him and/or his representative and to utilise available accommodation in one or two cottages were not consented to.  It was specifically stated that the respondent ‘does not consent to (the applicant), or any of his representatives accessing </w:t>
      </w:r>
      <w:r w:rsidRPr="00E506CA">
        <w:rPr>
          <w:rFonts w:ascii="Arial" w:hAnsi="Arial" w:cs="Arial"/>
          <w:i/>
          <w:iCs/>
          <w:sz w:val="24"/>
          <w:szCs w:val="24"/>
          <w:u w:val="single"/>
        </w:rPr>
        <w:t>our client’s property</w:t>
      </w:r>
      <w:r w:rsidRPr="00E506CA">
        <w:rPr>
          <w:rFonts w:ascii="Arial" w:hAnsi="Arial" w:cs="Arial"/>
          <w:i/>
          <w:iCs/>
          <w:sz w:val="24"/>
          <w:szCs w:val="24"/>
        </w:rPr>
        <w:t xml:space="preserve"> at any given time’. (underlining in the judgment).</w:t>
      </w:r>
    </w:p>
    <w:p w14:paraId="389D02D7" w14:textId="77777777" w:rsidR="0042061B" w:rsidRPr="00B23D0D" w:rsidRDefault="0042061B" w:rsidP="0042061B">
      <w:pPr>
        <w:spacing w:after="0" w:line="480" w:lineRule="auto"/>
        <w:ind w:left="2160" w:hanging="720"/>
        <w:jc w:val="both"/>
        <w:rPr>
          <w:rFonts w:ascii="Arial" w:hAnsi="Arial" w:cs="Arial"/>
          <w:i/>
          <w:iCs/>
          <w:sz w:val="24"/>
          <w:szCs w:val="24"/>
        </w:rPr>
      </w:pPr>
    </w:p>
    <w:p w14:paraId="7A82CC21" w14:textId="77777777" w:rsidR="0011067E" w:rsidRPr="00E506CA" w:rsidRDefault="0042061B" w:rsidP="00E506CA">
      <w:pPr>
        <w:pStyle w:val="ListParagraph"/>
        <w:spacing w:after="0" w:line="480" w:lineRule="auto"/>
        <w:ind w:left="1440"/>
        <w:jc w:val="both"/>
        <w:rPr>
          <w:rFonts w:ascii="Arial" w:hAnsi="Arial" w:cs="Arial"/>
          <w:sz w:val="24"/>
          <w:szCs w:val="24"/>
        </w:rPr>
      </w:pPr>
      <w:r w:rsidRPr="00E506CA">
        <w:rPr>
          <w:rFonts w:ascii="Arial" w:hAnsi="Arial" w:cs="Arial"/>
          <w:i/>
          <w:iCs/>
          <w:sz w:val="24"/>
          <w:szCs w:val="24"/>
        </w:rPr>
        <w:t>26.</w:t>
      </w:r>
      <w:r w:rsidRPr="00E506CA">
        <w:rPr>
          <w:rFonts w:ascii="Arial" w:hAnsi="Arial" w:cs="Arial"/>
          <w:i/>
          <w:iCs/>
          <w:sz w:val="24"/>
          <w:szCs w:val="24"/>
        </w:rPr>
        <w:tab/>
        <w:t xml:space="preserve">From the above, it is clear that the respondent considered the property as her own, and by implication, rebuffed the existence of a partnership. Mr Olivier SC, who appeared for the applicant, argues that the respondent for the first time denied that a partnership exists in the letter by her attorneys dated 27 July 2020, after the application launched. But it is clear that the respondent’s action before that application was launched was indicative that she denied any form of co-ownership or partnership in respect of the farm or the business conducted thereon.” </w:t>
      </w:r>
      <w:r w:rsidRPr="00E506CA">
        <w:rPr>
          <w:rFonts w:ascii="Arial" w:hAnsi="Arial" w:cs="Arial"/>
          <w:sz w:val="24"/>
          <w:szCs w:val="24"/>
        </w:rPr>
        <w:t xml:space="preserve"> </w:t>
      </w:r>
    </w:p>
    <w:p w14:paraId="06DE043B" w14:textId="77777777" w:rsidR="00A204D7" w:rsidRDefault="00A204D7" w:rsidP="00B95E22">
      <w:pPr>
        <w:spacing w:after="0" w:line="480" w:lineRule="auto"/>
        <w:ind w:left="2160" w:hanging="720"/>
        <w:jc w:val="both"/>
        <w:rPr>
          <w:rFonts w:ascii="Arial" w:hAnsi="Arial" w:cs="Arial"/>
          <w:sz w:val="24"/>
          <w:szCs w:val="24"/>
        </w:rPr>
      </w:pPr>
    </w:p>
    <w:p w14:paraId="0E54F0D4" w14:textId="77777777" w:rsidR="003D049C" w:rsidRPr="00E506CA" w:rsidRDefault="00862A6F"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What is instructive from the passages of the judgment quoted above is that prior to the launch of the main application, the appellant </w:t>
      </w:r>
      <w:r w:rsidR="00694F62" w:rsidRPr="00E506CA">
        <w:rPr>
          <w:rFonts w:ascii="Arial" w:hAnsi="Arial" w:cs="Arial"/>
          <w:sz w:val="24"/>
          <w:szCs w:val="24"/>
        </w:rPr>
        <w:t xml:space="preserve">expressly </w:t>
      </w:r>
      <w:r w:rsidRPr="00E506CA">
        <w:rPr>
          <w:rFonts w:ascii="Arial" w:hAnsi="Arial" w:cs="Arial"/>
          <w:sz w:val="24"/>
          <w:szCs w:val="24"/>
        </w:rPr>
        <w:t xml:space="preserve">raised the issue </w:t>
      </w:r>
      <w:r w:rsidRPr="00E506CA">
        <w:rPr>
          <w:rFonts w:ascii="Arial" w:hAnsi="Arial" w:cs="Arial"/>
          <w:sz w:val="24"/>
          <w:szCs w:val="24"/>
        </w:rPr>
        <w:lastRenderedPageBreak/>
        <w:t xml:space="preserve">of the existence of the partnership. The respondent, </w:t>
      </w:r>
      <w:r w:rsidR="00BA5D61" w:rsidRPr="00E506CA">
        <w:rPr>
          <w:rFonts w:ascii="Arial" w:hAnsi="Arial" w:cs="Arial"/>
          <w:sz w:val="24"/>
          <w:szCs w:val="24"/>
        </w:rPr>
        <w:t>however,</w:t>
      </w:r>
      <w:r w:rsidRPr="00E506CA">
        <w:rPr>
          <w:rFonts w:ascii="Arial" w:hAnsi="Arial" w:cs="Arial"/>
          <w:sz w:val="24"/>
          <w:szCs w:val="24"/>
        </w:rPr>
        <w:t xml:space="preserve"> did not specifically deny the existence of the partnership </w:t>
      </w:r>
      <w:r w:rsidR="00A204D7" w:rsidRPr="00E506CA">
        <w:rPr>
          <w:rFonts w:ascii="Arial" w:hAnsi="Arial" w:cs="Arial"/>
          <w:sz w:val="24"/>
          <w:szCs w:val="24"/>
        </w:rPr>
        <w:t>and</w:t>
      </w:r>
      <w:r w:rsidRPr="00E506CA">
        <w:rPr>
          <w:rFonts w:ascii="Arial" w:hAnsi="Arial" w:cs="Arial"/>
          <w:sz w:val="24"/>
          <w:szCs w:val="24"/>
        </w:rPr>
        <w:t xml:space="preserve"> merely focused on the fact that the farm was hers and that she did not consent to the appellant or any of his representatives accessing </w:t>
      </w:r>
      <w:r w:rsidR="0044722B" w:rsidRPr="00E506CA">
        <w:rPr>
          <w:rFonts w:ascii="Arial" w:hAnsi="Arial" w:cs="Arial"/>
          <w:sz w:val="24"/>
          <w:szCs w:val="24"/>
        </w:rPr>
        <w:t xml:space="preserve">the property </w:t>
      </w:r>
      <w:r w:rsidR="003D049C" w:rsidRPr="00E506CA">
        <w:rPr>
          <w:rFonts w:ascii="Arial" w:hAnsi="Arial" w:cs="Arial"/>
          <w:sz w:val="24"/>
          <w:szCs w:val="24"/>
        </w:rPr>
        <w:t xml:space="preserve">at </w:t>
      </w:r>
      <w:r w:rsidR="0044722B" w:rsidRPr="00E506CA">
        <w:rPr>
          <w:rFonts w:ascii="Arial" w:hAnsi="Arial" w:cs="Arial"/>
          <w:sz w:val="24"/>
          <w:szCs w:val="24"/>
        </w:rPr>
        <w:t xml:space="preserve">any given time. As counsel for the </w:t>
      </w:r>
      <w:r w:rsidR="006F4B1A" w:rsidRPr="00E506CA">
        <w:rPr>
          <w:rFonts w:ascii="Arial" w:hAnsi="Arial" w:cs="Arial"/>
          <w:sz w:val="24"/>
          <w:szCs w:val="24"/>
        </w:rPr>
        <w:t>appellant</w:t>
      </w:r>
      <w:r w:rsidR="0044722B" w:rsidRPr="00E506CA">
        <w:rPr>
          <w:rFonts w:ascii="Arial" w:hAnsi="Arial" w:cs="Arial"/>
          <w:sz w:val="24"/>
          <w:szCs w:val="24"/>
        </w:rPr>
        <w:t xml:space="preserve"> pointed out, nowhere in the correspondence prior to the launch of the application does the respondent unambiguously deny the existence of a partnership between her and the appellant. </w:t>
      </w:r>
    </w:p>
    <w:p w14:paraId="6BA79AA1" w14:textId="77777777" w:rsidR="003D049C" w:rsidRDefault="003D049C" w:rsidP="00452574">
      <w:pPr>
        <w:spacing w:after="0" w:line="480" w:lineRule="auto"/>
        <w:ind w:left="709" w:hanging="709"/>
        <w:jc w:val="both"/>
        <w:rPr>
          <w:rFonts w:ascii="Arial" w:hAnsi="Arial" w:cs="Arial"/>
          <w:sz w:val="24"/>
          <w:szCs w:val="24"/>
        </w:rPr>
      </w:pPr>
    </w:p>
    <w:p w14:paraId="17E3F360" w14:textId="77777777" w:rsidR="009979B4" w:rsidRPr="00E506CA" w:rsidRDefault="003D049C"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Of course, it may be argued </w:t>
      </w:r>
      <w:r w:rsidR="00C24EDE" w:rsidRPr="00E506CA">
        <w:rPr>
          <w:rFonts w:ascii="Arial" w:hAnsi="Arial" w:cs="Arial"/>
          <w:sz w:val="24"/>
          <w:szCs w:val="24"/>
        </w:rPr>
        <w:t xml:space="preserve">that given the fractious nature of the relationship between the parties </w:t>
      </w:r>
      <w:r w:rsidRPr="00E506CA">
        <w:rPr>
          <w:rFonts w:ascii="Arial" w:hAnsi="Arial" w:cs="Arial"/>
          <w:sz w:val="24"/>
          <w:szCs w:val="24"/>
        </w:rPr>
        <w:t xml:space="preserve">before the application was launched, </w:t>
      </w:r>
      <w:r w:rsidR="00C24EDE" w:rsidRPr="00E506CA">
        <w:rPr>
          <w:rFonts w:ascii="Arial" w:hAnsi="Arial" w:cs="Arial"/>
          <w:sz w:val="24"/>
          <w:szCs w:val="24"/>
        </w:rPr>
        <w:t xml:space="preserve">a dispute of some sort </w:t>
      </w:r>
      <w:r w:rsidRPr="00E506CA">
        <w:rPr>
          <w:rFonts w:ascii="Arial" w:hAnsi="Arial" w:cs="Arial"/>
          <w:sz w:val="24"/>
          <w:szCs w:val="24"/>
        </w:rPr>
        <w:t>w</w:t>
      </w:r>
      <w:r w:rsidR="009979B4" w:rsidRPr="00E506CA">
        <w:rPr>
          <w:rFonts w:ascii="Arial" w:hAnsi="Arial" w:cs="Arial"/>
          <w:sz w:val="24"/>
          <w:szCs w:val="24"/>
        </w:rPr>
        <w:t xml:space="preserve">ould </w:t>
      </w:r>
      <w:r w:rsidRPr="00E506CA">
        <w:rPr>
          <w:rFonts w:ascii="Arial" w:hAnsi="Arial" w:cs="Arial"/>
          <w:sz w:val="24"/>
          <w:szCs w:val="24"/>
        </w:rPr>
        <w:t xml:space="preserve">arise. </w:t>
      </w:r>
      <w:r w:rsidR="00BA5D61" w:rsidRPr="00E506CA">
        <w:rPr>
          <w:rFonts w:ascii="Arial" w:hAnsi="Arial" w:cs="Arial"/>
          <w:sz w:val="24"/>
          <w:szCs w:val="24"/>
        </w:rPr>
        <w:t>But more is required than the possibility of a dispute arising. W</w:t>
      </w:r>
      <w:r w:rsidRPr="00E506CA">
        <w:rPr>
          <w:rFonts w:ascii="Arial" w:hAnsi="Arial" w:cs="Arial"/>
          <w:sz w:val="24"/>
          <w:szCs w:val="24"/>
        </w:rPr>
        <w:t>hat is required is that</w:t>
      </w:r>
      <w:r w:rsidR="009979B4" w:rsidRPr="00E506CA">
        <w:rPr>
          <w:rFonts w:ascii="Arial" w:hAnsi="Arial" w:cs="Arial"/>
          <w:sz w:val="24"/>
          <w:szCs w:val="24"/>
        </w:rPr>
        <w:t xml:space="preserve"> an applicant </w:t>
      </w:r>
      <w:r w:rsidRPr="00E506CA">
        <w:rPr>
          <w:rFonts w:ascii="Arial" w:hAnsi="Arial" w:cs="Arial"/>
          <w:sz w:val="24"/>
          <w:szCs w:val="24"/>
        </w:rPr>
        <w:t>should</w:t>
      </w:r>
      <w:r w:rsidR="009979B4" w:rsidRPr="00E506CA">
        <w:rPr>
          <w:rFonts w:ascii="Arial" w:hAnsi="Arial" w:cs="Arial"/>
          <w:sz w:val="24"/>
          <w:szCs w:val="24"/>
        </w:rPr>
        <w:t xml:space="preserve"> realise prior to the launch of the </w:t>
      </w:r>
      <w:r w:rsidRPr="00E506CA">
        <w:rPr>
          <w:rFonts w:ascii="Arial" w:hAnsi="Arial" w:cs="Arial"/>
          <w:sz w:val="24"/>
          <w:szCs w:val="24"/>
        </w:rPr>
        <w:t xml:space="preserve">application that </w:t>
      </w:r>
      <w:r w:rsidR="009979B4" w:rsidRPr="00E506CA">
        <w:rPr>
          <w:rFonts w:ascii="Arial" w:hAnsi="Arial" w:cs="Arial"/>
          <w:sz w:val="24"/>
          <w:szCs w:val="24"/>
        </w:rPr>
        <w:t>a</w:t>
      </w:r>
      <w:r w:rsidRPr="00E506CA">
        <w:rPr>
          <w:rFonts w:ascii="Arial" w:hAnsi="Arial" w:cs="Arial"/>
          <w:sz w:val="24"/>
          <w:szCs w:val="24"/>
        </w:rPr>
        <w:t xml:space="preserve"> </w:t>
      </w:r>
      <w:r w:rsidRPr="00E506CA">
        <w:rPr>
          <w:rFonts w:ascii="Arial" w:hAnsi="Arial" w:cs="Arial"/>
          <w:sz w:val="24"/>
          <w:szCs w:val="24"/>
          <w:u w:val="single"/>
        </w:rPr>
        <w:t>serious</w:t>
      </w:r>
      <w:r w:rsidR="009979B4" w:rsidRPr="00E506CA">
        <w:rPr>
          <w:rFonts w:ascii="Arial" w:hAnsi="Arial" w:cs="Arial"/>
          <w:sz w:val="24"/>
          <w:szCs w:val="24"/>
        </w:rPr>
        <w:t xml:space="preserve"> dispute of fact </w:t>
      </w:r>
      <w:r w:rsidRPr="00E506CA">
        <w:rPr>
          <w:rFonts w:ascii="Arial" w:hAnsi="Arial" w:cs="Arial"/>
          <w:sz w:val="24"/>
          <w:szCs w:val="24"/>
        </w:rPr>
        <w:t>was bound to develop</w:t>
      </w:r>
      <w:r w:rsidR="00A958FB">
        <w:rPr>
          <w:rStyle w:val="FootnoteReference"/>
          <w:rFonts w:ascii="Arial" w:hAnsi="Arial" w:cs="Arial"/>
          <w:sz w:val="24"/>
          <w:szCs w:val="24"/>
        </w:rPr>
        <w:footnoteReference w:id="25"/>
      </w:r>
      <w:r w:rsidR="00A958FB" w:rsidRPr="00E506CA">
        <w:rPr>
          <w:rFonts w:ascii="Arial" w:hAnsi="Arial" w:cs="Arial"/>
          <w:sz w:val="24"/>
          <w:szCs w:val="24"/>
        </w:rPr>
        <w:t xml:space="preserve">. Given the facts </w:t>
      </w:r>
      <w:r w:rsidR="00BA5D61" w:rsidRPr="00E506CA">
        <w:rPr>
          <w:rFonts w:ascii="Arial" w:hAnsi="Arial" w:cs="Arial"/>
          <w:sz w:val="24"/>
          <w:szCs w:val="24"/>
        </w:rPr>
        <w:t>available to t</w:t>
      </w:r>
      <w:r w:rsidR="00A958FB" w:rsidRPr="00E506CA">
        <w:rPr>
          <w:rFonts w:ascii="Arial" w:hAnsi="Arial" w:cs="Arial"/>
          <w:sz w:val="24"/>
          <w:szCs w:val="24"/>
        </w:rPr>
        <w:t>he appellant</w:t>
      </w:r>
      <w:r w:rsidR="00BA5D61" w:rsidRPr="00E506CA">
        <w:rPr>
          <w:rFonts w:ascii="Arial" w:hAnsi="Arial" w:cs="Arial"/>
          <w:sz w:val="24"/>
          <w:szCs w:val="24"/>
        </w:rPr>
        <w:t xml:space="preserve"> at the time the application was launched</w:t>
      </w:r>
      <w:r w:rsidR="009979B4" w:rsidRPr="00E506CA">
        <w:rPr>
          <w:rFonts w:ascii="Arial" w:hAnsi="Arial" w:cs="Arial"/>
          <w:sz w:val="24"/>
          <w:szCs w:val="24"/>
        </w:rPr>
        <w:t>, t</w:t>
      </w:r>
      <w:r w:rsidR="00A958FB" w:rsidRPr="00E506CA">
        <w:rPr>
          <w:rFonts w:ascii="Arial" w:hAnsi="Arial" w:cs="Arial"/>
          <w:sz w:val="24"/>
          <w:szCs w:val="24"/>
        </w:rPr>
        <w:t>he respondent</w:t>
      </w:r>
      <w:r w:rsidR="00A204D7" w:rsidRPr="00E506CA">
        <w:rPr>
          <w:rFonts w:ascii="Arial" w:hAnsi="Arial" w:cs="Arial"/>
          <w:sz w:val="24"/>
          <w:szCs w:val="24"/>
        </w:rPr>
        <w:t>’</w:t>
      </w:r>
      <w:r w:rsidR="00A958FB" w:rsidRPr="00E506CA">
        <w:rPr>
          <w:rFonts w:ascii="Arial" w:hAnsi="Arial" w:cs="Arial"/>
          <w:sz w:val="24"/>
          <w:szCs w:val="24"/>
        </w:rPr>
        <w:t xml:space="preserve">s rather equivocal response </w:t>
      </w:r>
      <w:r w:rsidR="009979B4" w:rsidRPr="00E506CA">
        <w:rPr>
          <w:rFonts w:ascii="Arial" w:hAnsi="Arial" w:cs="Arial"/>
          <w:sz w:val="24"/>
          <w:szCs w:val="24"/>
        </w:rPr>
        <w:t xml:space="preserve">to the appellant’s letter of </w:t>
      </w:r>
      <w:r w:rsidR="00A958FB" w:rsidRPr="00E506CA">
        <w:rPr>
          <w:rFonts w:ascii="Arial" w:hAnsi="Arial" w:cs="Arial"/>
          <w:sz w:val="24"/>
          <w:szCs w:val="24"/>
        </w:rPr>
        <w:t>9 June 2020</w:t>
      </w:r>
      <w:r w:rsidR="009979B4" w:rsidRPr="00E506CA">
        <w:rPr>
          <w:rFonts w:ascii="Arial" w:hAnsi="Arial" w:cs="Arial"/>
          <w:sz w:val="24"/>
          <w:szCs w:val="24"/>
        </w:rPr>
        <w:t xml:space="preserve">, and the respondent’s failure </w:t>
      </w:r>
      <w:r w:rsidR="00A958FB" w:rsidRPr="00E506CA">
        <w:rPr>
          <w:rFonts w:ascii="Arial" w:hAnsi="Arial" w:cs="Arial"/>
          <w:sz w:val="24"/>
          <w:szCs w:val="24"/>
        </w:rPr>
        <w:t>to address the issue of the existence of a partnership at all</w:t>
      </w:r>
      <w:r w:rsidR="009979B4" w:rsidRPr="00E506CA">
        <w:rPr>
          <w:rFonts w:ascii="Arial" w:hAnsi="Arial" w:cs="Arial"/>
          <w:sz w:val="24"/>
          <w:szCs w:val="24"/>
        </w:rPr>
        <w:t>, i</w:t>
      </w:r>
      <w:r w:rsidR="00BA5D61" w:rsidRPr="00E506CA">
        <w:rPr>
          <w:rFonts w:ascii="Arial" w:hAnsi="Arial" w:cs="Arial"/>
          <w:sz w:val="24"/>
          <w:szCs w:val="24"/>
        </w:rPr>
        <w:t>t</w:t>
      </w:r>
      <w:r w:rsidR="009979B4" w:rsidRPr="00E506CA">
        <w:rPr>
          <w:rFonts w:ascii="Arial" w:hAnsi="Arial" w:cs="Arial"/>
          <w:sz w:val="24"/>
          <w:szCs w:val="24"/>
        </w:rPr>
        <w:t xml:space="preserve"> </w:t>
      </w:r>
      <w:r w:rsidR="00BA5D61" w:rsidRPr="00E506CA">
        <w:rPr>
          <w:rFonts w:ascii="Arial" w:hAnsi="Arial" w:cs="Arial"/>
          <w:sz w:val="24"/>
          <w:szCs w:val="24"/>
        </w:rPr>
        <w:t>is</w:t>
      </w:r>
      <w:r w:rsidR="009979B4" w:rsidRPr="00E506CA">
        <w:rPr>
          <w:rFonts w:ascii="Arial" w:hAnsi="Arial" w:cs="Arial"/>
          <w:sz w:val="24"/>
          <w:szCs w:val="24"/>
        </w:rPr>
        <w:t xml:space="preserve"> quite conceivable that the appellant would not have </w:t>
      </w:r>
      <w:r w:rsidR="00BA5D61" w:rsidRPr="00E506CA">
        <w:rPr>
          <w:rFonts w:ascii="Arial" w:hAnsi="Arial" w:cs="Arial"/>
          <w:sz w:val="24"/>
          <w:szCs w:val="24"/>
        </w:rPr>
        <w:t>an</w:t>
      </w:r>
      <w:r w:rsidR="009979B4" w:rsidRPr="00E506CA">
        <w:rPr>
          <w:rFonts w:ascii="Arial" w:hAnsi="Arial" w:cs="Arial"/>
          <w:sz w:val="24"/>
          <w:szCs w:val="24"/>
        </w:rPr>
        <w:t>ticipated</w:t>
      </w:r>
      <w:r w:rsidR="00BA5D61" w:rsidRPr="00E506CA">
        <w:rPr>
          <w:rFonts w:ascii="Arial" w:hAnsi="Arial" w:cs="Arial"/>
          <w:sz w:val="24"/>
          <w:szCs w:val="24"/>
        </w:rPr>
        <w:t xml:space="preserve"> that</w:t>
      </w:r>
      <w:r w:rsidR="009979B4" w:rsidRPr="00E506CA">
        <w:rPr>
          <w:rFonts w:ascii="Arial" w:hAnsi="Arial" w:cs="Arial"/>
          <w:sz w:val="24"/>
          <w:szCs w:val="24"/>
        </w:rPr>
        <w:t xml:space="preserve"> a serious dispute of fact </w:t>
      </w:r>
      <w:r w:rsidR="00BA5D61" w:rsidRPr="00E506CA">
        <w:rPr>
          <w:rFonts w:ascii="Arial" w:hAnsi="Arial" w:cs="Arial"/>
          <w:sz w:val="24"/>
          <w:szCs w:val="24"/>
        </w:rPr>
        <w:t xml:space="preserve">would arise </w:t>
      </w:r>
      <w:r w:rsidR="00BD4045" w:rsidRPr="00E506CA">
        <w:rPr>
          <w:rFonts w:ascii="Arial" w:hAnsi="Arial" w:cs="Arial"/>
          <w:sz w:val="24"/>
          <w:szCs w:val="24"/>
        </w:rPr>
        <w:t>on</w:t>
      </w:r>
      <w:r w:rsidR="009979B4" w:rsidRPr="00E506CA">
        <w:rPr>
          <w:rFonts w:ascii="Arial" w:hAnsi="Arial" w:cs="Arial"/>
          <w:sz w:val="24"/>
          <w:szCs w:val="24"/>
        </w:rPr>
        <w:t xml:space="preserve"> the existence of the partnership. </w:t>
      </w:r>
    </w:p>
    <w:p w14:paraId="1EFC581C" w14:textId="77777777" w:rsidR="009979B4" w:rsidRDefault="009979B4" w:rsidP="00452574">
      <w:pPr>
        <w:spacing w:after="0" w:line="480" w:lineRule="auto"/>
        <w:ind w:left="709" w:hanging="709"/>
        <w:jc w:val="both"/>
        <w:rPr>
          <w:rFonts w:ascii="Arial" w:hAnsi="Arial" w:cs="Arial"/>
          <w:sz w:val="24"/>
          <w:szCs w:val="24"/>
        </w:rPr>
      </w:pPr>
    </w:p>
    <w:p w14:paraId="51CCE06B" w14:textId="77777777" w:rsidR="00DD04F2" w:rsidRPr="00E506CA" w:rsidRDefault="00DD04F2"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In concluding that the appellant should have foreseen the dispute of fact arising in relation to the partnership, I am of the view that Hockey AJ misdirected himself on the facts </w:t>
      </w:r>
      <w:r w:rsidR="00A204D7" w:rsidRPr="00E506CA">
        <w:rPr>
          <w:rFonts w:ascii="Arial" w:hAnsi="Arial" w:cs="Arial"/>
          <w:sz w:val="24"/>
          <w:szCs w:val="24"/>
        </w:rPr>
        <w:t>he</w:t>
      </w:r>
      <w:r w:rsidRPr="00E506CA">
        <w:rPr>
          <w:rFonts w:ascii="Arial" w:hAnsi="Arial" w:cs="Arial"/>
          <w:sz w:val="24"/>
          <w:szCs w:val="24"/>
        </w:rPr>
        <w:t xml:space="preserve"> considered and the inferences he sought to draw from th</w:t>
      </w:r>
      <w:r w:rsidR="00A204D7" w:rsidRPr="00E506CA">
        <w:rPr>
          <w:rFonts w:ascii="Arial" w:hAnsi="Arial" w:cs="Arial"/>
          <w:sz w:val="24"/>
          <w:szCs w:val="24"/>
        </w:rPr>
        <w:t>ose</w:t>
      </w:r>
      <w:r w:rsidRPr="00E506CA">
        <w:rPr>
          <w:rFonts w:ascii="Arial" w:hAnsi="Arial" w:cs="Arial"/>
          <w:sz w:val="24"/>
          <w:szCs w:val="24"/>
        </w:rPr>
        <w:t xml:space="preserve"> facts</w:t>
      </w:r>
      <w:r w:rsidR="00BD4045" w:rsidRPr="00E506CA">
        <w:rPr>
          <w:rFonts w:ascii="Arial" w:hAnsi="Arial" w:cs="Arial"/>
          <w:sz w:val="24"/>
          <w:szCs w:val="24"/>
        </w:rPr>
        <w:t xml:space="preserve">; the exercise of the discretion was based on an incorrect </w:t>
      </w:r>
      <w:r w:rsidR="00BD4045" w:rsidRPr="00E506CA">
        <w:rPr>
          <w:rFonts w:ascii="Arial" w:hAnsi="Arial" w:cs="Arial"/>
          <w:sz w:val="24"/>
          <w:szCs w:val="24"/>
        </w:rPr>
        <w:lastRenderedPageBreak/>
        <w:t>appreciation of the facts.</w:t>
      </w:r>
      <w:r w:rsidRPr="00E506CA">
        <w:rPr>
          <w:rFonts w:ascii="Arial" w:hAnsi="Arial" w:cs="Arial"/>
          <w:sz w:val="24"/>
          <w:szCs w:val="24"/>
        </w:rPr>
        <w:t xml:space="preserve"> It follows that the court below did not exercise its discretion judicially</w:t>
      </w:r>
      <w:r w:rsidR="00BD4045" w:rsidRPr="00E506CA">
        <w:rPr>
          <w:rFonts w:ascii="Arial" w:hAnsi="Arial" w:cs="Arial"/>
          <w:sz w:val="24"/>
          <w:szCs w:val="24"/>
        </w:rPr>
        <w:t>. T</w:t>
      </w:r>
      <w:r w:rsidRPr="00E506CA">
        <w:rPr>
          <w:rFonts w:ascii="Arial" w:hAnsi="Arial" w:cs="Arial"/>
          <w:sz w:val="24"/>
          <w:szCs w:val="24"/>
        </w:rPr>
        <w:t>his court is</w:t>
      </w:r>
      <w:r w:rsidR="00BD4045" w:rsidRPr="00E506CA">
        <w:rPr>
          <w:rFonts w:ascii="Arial" w:hAnsi="Arial" w:cs="Arial"/>
          <w:sz w:val="24"/>
          <w:szCs w:val="24"/>
        </w:rPr>
        <w:t>, therefore,</w:t>
      </w:r>
      <w:r w:rsidRPr="00E506CA">
        <w:rPr>
          <w:rFonts w:ascii="Arial" w:hAnsi="Arial" w:cs="Arial"/>
          <w:sz w:val="24"/>
          <w:szCs w:val="24"/>
        </w:rPr>
        <w:t xml:space="preserve"> entitled to interfere </w:t>
      </w:r>
      <w:r w:rsidR="00D22B8A" w:rsidRPr="00E506CA">
        <w:rPr>
          <w:rFonts w:ascii="Arial" w:hAnsi="Arial" w:cs="Arial"/>
          <w:sz w:val="24"/>
          <w:szCs w:val="24"/>
        </w:rPr>
        <w:t>in the order made by the court a quo</w:t>
      </w:r>
      <w:r w:rsidR="00BD4045" w:rsidRPr="00E506CA">
        <w:rPr>
          <w:rFonts w:ascii="Arial" w:hAnsi="Arial" w:cs="Arial"/>
          <w:sz w:val="24"/>
          <w:szCs w:val="24"/>
        </w:rPr>
        <w:t>.</w:t>
      </w:r>
    </w:p>
    <w:p w14:paraId="3BCA5631" w14:textId="77777777" w:rsidR="00DD04F2" w:rsidRDefault="00DD04F2" w:rsidP="00452574">
      <w:pPr>
        <w:spacing w:after="0" w:line="480" w:lineRule="auto"/>
        <w:ind w:left="709" w:hanging="709"/>
        <w:jc w:val="both"/>
        <w:rPr>
          <w:rFonts w:ascii="Arial" w:hAnsi="Arial" w:cs="Arial"/>
          <w:sz w:val="24"/>
          <w:szCs w:val="24"/>
        </w:rPr>
      </w:pPr>
    </w:p>
    <w:p w14:paraId="5C59702A" w14:textId="77777777" w:rsidR="00A958FB" w:rsidRPr="00E506CA" w:rsidRDefault="00C24EDE"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Coun</w:t>
      </w:r>
      <w:r w:rsidR="00DD04F2" w:rsidRPr="00E506CA">
        <w:rPr>
          <w:rFonts w:ascii="Arial" w:hAnsi="Arial" w:cs="Arial"/>
          <w:sz w:val="24"/>
          <w:szCs w:val="24"/>
        </w:rPr>
        <w:t xml:space="preserve">sel </w:t>
      </w:r>
      <w:r w:rsidRPr="00E506CA">
        <w:rPr>
          <w:rFonts w:ascii="Arial" w:hAnsi="Arial" w:cs="Arial"/>
          <w:sz w:val="24"/>
          <w:szCs w:val="24"/>
        </w:rPr>
        <w:t>for the respondent also argued that the appellant ought to have applied for a referral to oral evidence as soon as a dispute was evident on the papers and before full argument was heard by the court</w:t>
      </w:r>
      <w:r w:rsidR="00A204D7" w:rsidRPr="00E506CA">
        <w:rPr>
          <w:rFonts w:ascii="Arial" w:hAnsi="Arial" w:cs="Arial"/>
          <w:sz w:val="24"/>
          <w:szCs w:val="24"/>
        </w:rPr>
        <w:t xml:space="preserve"> below</w:t>
      </w:r>
      <w:r w:rsidRPr="00E506CA">
        <w:rPr>
          <w:rFonts w:ascii="Arial" w:hAnsi="Arial" w:cs="Arial"/>
          <w:sz w:val="24"/>
          <w:szCs w:val="24"/>
        </w:rPr>
        <w:t xml:space="preserve"> in respect of the application. It is indeed so that </w:t>
      </w:r>
      <w:r w:rsidR="00DD04F2" w:rsidRPr="00E506CA">
        <w:rPr>
          <w:rFonts w:ascii="Arial" w:hAnsi="Arial" w:cs="Arial"/>
          <w:sz w:val="24"/>
          <w:szCs w:val="24"/>
        </w:rPr>
        <w:t xml:space="preserve">an </w:t>
      </w:r>
      <w:r w:rsidRPr="00E506CA">
        <w:rPr>
          <w:rFonts w:ascii="Arial" w:hAnsi="Arial" w:cs="Arial"/>
          <w:sz w:val="24"/>
          <w:szCs w:val="24"/>
        </w:rPr>
        <w:t>application for a referral to oral evidence or trial</w:t>
      </w:r>
      <w:r w:rsidR="00634AC9" w:rsidRPr="00E506CA">
        <w:rPr>
          <w:rFonts w:ascii="Arial" w:hAnsi="Arial" w:cs="Arial"/>
          <w:sz w:val="24"/>
          <w:szCs w:val="24"/>
        </w:rPr>
        <w:t>,</w:t>
      </w:r>
      <w:r w:rsidRPr="00E506CA">
        <w:rPr>
          <w:rFonts w:ascii="Arial" w:hAnsi="Arial" w:cs="Arial"/>
          <w:sz w:val="24"/>
          <w:szCs w:val="24"/>
        </w:rPr>
        <w:t xml:space="preserve"> w</w:t>
      </w:r>
      <w:r w:rsidR="00634AC9" w:rsidRPr="00E506CA">
        <w:rPr>
          <w:rFonts w:ascii="Arial" w:hAnsi="Arial" w:cs="Arial"/>
          <w:sz w:val="24"/>
          <w:szCs w:val="24"/>
        </w:rPr>
        <w:t>h</w:t>
      </w:r>
      <w:r w:rsidRPr="00E506CA">
        <w:rPr>
          <w:rFonts w:ascii="Arial" w:hAnsi="Arial" w:cs="Arial"/>
          <w:sz w:val="24"/>
          <w:szCs w:val="24"/>
        </w:rPr>
        <w:t xml:space="preserve">ere warranted, should </w:t>
      </w:r>
      <w:r w:rsidR="00634AC9" w:rsidRPr="00E506CA">
        <w:rPr>
          <w:rFonts w:ascii="Arial" w:hAnsi="Arial" w:cs="Arial"/>
          <w:sz w:val="24"/>
          <w:szCs w:val="24"/>
        </w:rPr>
        <w:t xml:space="preserve">be </w:t>
      </w:r>
      <w:r w:rsidRPr="00E506CA">
        <w:rPr>
          <w:rFonts w:ascii="Arial" w:hAnsi="Arial" w:cs="Arial"/>
          <w:sz w:val="24"/>
          <w:szCs w:val="24"/>
        </w:rPr>
        <w:t>appl</w:t>
      </w:r>
      <w:r w:rsidR="00634AC9" w:rsidRPr="00E506CA">
        <w:rPr>
          <w:rFonts w:ascii="Arial" w:hAnsi="Arial" w:cs="Arial"/>
          <w:sz w:val="24"/>
          <w:szCs w:val="24"/>
        </w:rPr>
        <w:t xml:space="preserve">ied </w:t>
      </w:r>
      <w:r w:rsidRPr="00E506CA">
        <w:rPr>
          <w:rFonts w:ascii="Arial" w:hAnsi="Arial" w:cs="Arial"/>
          <w:sz w:val="24"/>
          <w:szCs w:val="24"/>
        </w:rPr>
        <w:t>for by a litigant as soon as the affidavits have been exchanged</w:t>
      </w:r>
      <w:r w:rsidR="00634AC9" w:rsidRPr="00E506CA">
        <w:rPr>
          <w:rFonts w:ascii="Arial" w:hAnsi="Arial" w:cs="Arial"/>
          <w:sz w:val="24"/>
          <w:szCs w:val="24"/>
        </w:rPr>
        <w:t xml:space="preserve"> and not after argument on the merits</w:t>
      </w:r>
      <w:r w:rsidR="00634AC9">
        <w:rPr>
          <w:rStyle w:val="FootnoteReference"/>
          <w:rFonts w:ascii="Arial" w:hAnsi="Arial" w:cs="Arial"/>
          <w:sz w:val="24"/>
          <w:szCs w:val="24"/>
        </w:rPr>
        <w:footnoteReference w:id="26"/>
      </w:r>
      <w:r w:rsidR="00634AC9" w:rsidRPr="00E506CA">
        <w:rPr>
          <w:rFonts w:ascii="Arial" w:hAnsi="Arial" w:cs="Arial"/>
          <w:sz w:val="24"/>
          <w:szCs w:val="24"/>
        </w:rPr>
        <w:t>. Whilst this is a salutary rule</w:t>
      </w:r>
      <w:r w:rsidR="00BD4045" w:rsidRPr="00E506CA">
        <w:rPr>
          <w:rFonts w:ascii="Arial" w:hAnsi="Arial" w:cs="Arial"/>
          <w:sz w:val="24"/>
          <w:szCs w:val="24"/>
        </w:rPr>
        <w:t>,</w:t>
      </w:r>
      <w:r w:rsidR="00634AC9" w:rsidRPr="00E506CA">
        <w:rPr>
          <w:rFonts w:ascii="Arial" w:hAnsi="Arial" w:cs="Arial"/>
          <w:sz w:val="24"/>
          <w:szCs w:val="24"/>
        </w:rPr>
        <w:t xml:space="preserve"> </w:t>
      </w:r>
      <w:r w:rsidR="00A958FB" w:rsidRPr="00E506CA">
        <w:rPr>
          <w:rFonts w:ascii="Arial" w:hAnsi="Arial" w:cs="Arial"/>
          <w:sz w:val="24"/>
          <w:szCs w:val="24"/>
        </w:rPr>
        <w:t xml:space="preserve">it </w:t>
      </w:r>
      <w:r w:rsidR="00634AC9" w:rsidRPr="00E506CA">
        <w:rPr>
          <w:rFonts w:ascii="Arial" w:hAnsi="Arial" w:cs="Arial"/>
          <w:sz w:val="24"/>
          <w:szCs w:val="24"/>
        </w:rPr>
        <w:t>is by no means a</w:t>
      </w:r>
      <w:r w:rsidR="00A958FB" w:rsidRPr="00E506CA">
        <w:rPr>
          <w:rFonts w:ascii="Arial" w:hAnsi="Arial" w:cs="Arial"/>
          <w:sz w:val="24"/>
          <w:szCs w:val="24"/>
        </w:rPr>
        <w:t>n in</w:t>
      </w:r>
      <w:r w:rsidR="00634AC9" w:rsidRPr="00E506CA">
        <w:rPr>
          <w:rFonts w:ascii="Arial" w:hAnsi="Arial" w:cs="Arial"/>
          <w:sz w:val="24"/>
          <w:szCs w:val="24"/>
        </w:rPr>
        <w:t>flexible one</w:t>
      </w:r>
      <w:r w:rsidR="00634AC9">
        <w:rPr>
          <w:rStyle w:val="FootnoteReference"/>
          <w:rFonts w:ascii="Arial" w:hAnsi="Arial" w:cs="Arial"/>
          <w:sz w:val="24"/>
          <w:szCs w:val="24"/>
        </w:rPr>
        <w:footnoteReference w:id="27"/>
      </w:r>
      <w:r w:rsidR="00634AC9" w:rsidRPr="00E506CA">
        <w:rPr>
          <w:rFonts w:ascii="Arial" w:hAnsi="Arial" w:cs="Arial"/>
          <w:sz w:val="24"/>
          <w:szCs w:val="24"/>
        </w:rPr>
        <w:t>.</w:t>
      </w:r>
      <w:r w:rsidR="007309A6" w:rsidRPr="00E506CA">
        <w:rPr>
          <w:rFonts w:ascii="Arial" w:hAnsi="Arial" w:cs="Arial"/>
          <w:sz w:val="24"/>
          <w:szCs w:val="24"/>
        </w:rPr>
        <w:t xml:space="preserve"> </w:t>
      </w:r>
      <w:r w:rsidR="00DD04F2" w:rsidRPr="00E506CA">
        <w:rPr>
          <w:rFonts w:ascii="Arial" w:hAnsi="Arial" w:cs="Arial"/>
          <w:sz w:val="24"/>
          <w:szCs w:val="24"/>
        </w:rPr>
        <w:t>In any event, i</w:t>
      </w:r>
      <w:r w:rsidRPr="00E506CA">
        <w:rPr>
          <w:rFonts w:ascii="Arial" w:hAnsi="Arial" w:cs="Arial"/>
          <w:sz w:val="24"/>
          <w:szCs w:val="24"/>
        </w:rPr>
        <w:t xml:space="preserve">n the matter at hand, the appellant </w:t>
      </w:r>
      <w:r w:rsidR="00DD04F2" w:rsidRPr="00E506CA">
        <w:rPr>
          <w:rFonts w:ascii="Arial" w:hAnsi="Arial" w:cs="Arial"/>
          <w:sz w:val="24"/>
          <w:szCs w:val="24"/>
        </w:rPr>
        <w:t xml:space="preserve">raised </w:t>
      </w:r>
      <w:r w:rsidRPr="00E506CA">
        <w:rPr>
          <w:rFonts w:ascii="Arial" w:hAnsi="Arial" w:cs="Arial"/>
          <w:sz w:val="24"/>
          <w:szCs w:val="24"/>
        </w:rPr>
        <w:t xml:space="preserve">the issue of </w:t>
      </w:r>
      <w:r w:rsidR="00DD04F2" w:rsidRPr="00E506CA">
        <w:rPr>
          <w:rFonts w:ascii="Arial" w:hAnsi="Arial" w:cs="Arial"/>
          <w:sz w:val="24"/>
          <w:szCs w:val="24"/>
        </w:rPr>
        <w:t xml:space="preserve">a </w:t>
      </w:r>
      <w:r w:rsidRPr="00E506CA">
        <w:rPr>
          <w:rFonts w:ascii="Arial" w:hAnsi="Arial" w:cs="Arial"/>
          <w:sz w:val="24"/>
          <w:szCs w:val="24"/>
        </w:rPr>
        <w:t xml:space="preserve">possible material dispute of fact </w:t>
      </w:r>
      <w:r w:rsidR="00DD04F2" w:rsidRPr="00E506CA">
        <w:rPr>
          <w:rFonts w:ascii="Arial" w:hAnsi="Arial" w:cs="Arial"/>
          <w:sz w:val="24"/>
          <w:szCs w:val="24"/>
        </w:rPr>
        <w:t xml:space="preserve">in </w:t>
      </w:r>
      <w:r w:rsidRPr="00E506CA">
        <w:rPr>
          <w:rFonts w:ascii="Arial" w:hAnsi="Arial" w:cs="Arial"/>
          <w:sz w:val="24"/>
          <w:szCs w:val="24"/>
        </w:rPr>
        <w:t>reply to the respondent’s answering affidavit</w:t>
      </w:r>
      <w:r w:rsidR="00BA5D61" w:rsidRPr="00E506CA">
        <w:rPr>
          <w:rFonts w:ascii="Arial" w:hAnsi="Arial" w:cs="Arial"/>
          <w:sz w:val="24"/>
          <w:szCs w:val="24"/>
        </w:rPr>
        <w:t>. This</w:t>
      </w:r>
      <w:r w:rsidR="00DD04F2" w:rsidRPr="00E506CA">
        <w:rPr>
          <w:rFonts w:ascii="Arial" w:hAnsi="Arial" w:cs="Arial"/>
          <w:sz w:val="24"/>
          <w:szCs w:val="24"/>
        </w:rPr>
        <w:t xml:space="preserve"> was the earliest opportunity to do so because it was</w:t>
      </w:r>
      <w:r w:rsidR="00BA5D61" w:rsidRPr="00E506CA">
        <w:rPr>
          <w:rFonts w:ascii="Arial" w:hAnsi="Arial" w:cs="Arial"/>
          <w:sz w:val="24"/>
          <w:szCs w:val="24"/>
        </w:rPr>
        <w:t xml:space="preserve"> only in her answering affidavit that </w:t>
      </w:r>
      <w:r w:rsidR="00DD04F2" w:rsidRPr="00E506CA">
        <w:rPr>
          <w:rFonts w:ascii="Arial" w:hAnsi="Arial" w:cs="Arial"/>
          <w:sz w:val="24"/>
          <w:szCs w:val="24"/>
        </w:rPr>
        <w:t xml:space="preserve">the respondent </w:t>
      </w:r>
      <w:r w:rsidR="00BA5D61" w:rsidRPr="00E506CA">
        <w:rPr>
          <w:rFonts w:ascii="Arial" w:hAnsi="Arial" w:cs="Arial"/>
          <w:sz w:val="24"/>
          <w:szCs w:val="24"/>
        </w:rPr>
        <w:t xml:space="preserve">for the first time really </w:t>
      </w:r>
      <w:r w:rsidRPr="00E506CA">
        <w:rPr>
          <w:rFonts w:ascii="Arial" w:hAnsi="Arial" w:cs="Arial"/>
          <w:sz w:val="24"/>
          <w:szCs w:val="24"/>
        </w:rPr>
        <w:t xml:space="preserve">nailed her colours to the mast. </w:t>
      </w:r>
    </w:p>
    <w:p w14:paraId="6E30D758" w14:textId="77777777" w:rsidR="00A958FB" w:rsidRDefault="00A958FB" w:rsidP="00C24EDE">
      <w:pPr>
        <w:spacing w:after="0" w:line="480" w:lineRule="auto"/>
        <w:ind w:left="720" w:hanging="720"/>
        <w:jc w:val="both"/>
        <w:rPr>
          <w:rFonts w:ascii="Arial" w:hAnsi="Arial" w:cs="Arial"/>
          <w:sz w:val="24"/>
          <w:szCs w:val="24"/>
        </w:rPr>
      </w:pPr>
    </w:p>
    <w:p w14:paraId="62C22DDF" w14:textId="77777777" w:rsidR="00A958FB" w:rsidRPr="00E506CA" w:rsidRDefault="00A958FB"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In application proceedings, where a dispute of fact has emerged and is genuine and far-reaching and the probabilities are sufficiently evenly balanced, referral to oral evidence or trial, as the case may be, will generally be appropriate</w:t>
      </w:r>
      <w:r>
        <w:rPr>
          <w:rStyle w:val="FootnoteReference"/>
          <w:rFonts w:ascii="Arial" w:hAnsi="Arial" w:cs="Arial"/>
          <w:sz w:val="24"/>
          <w:szCs w:val="24"/>
        </w:rPr>
        <w:footnoteReference w:id="28"/>
      </w:r>
      <w:r w:rsidRPr="00E506CA">
        <w:rPr>
          <w:rFonts w:ascii="Arial" w:hAnsi="Arial" w:cs="Arial"/>
          <w:sz w:val="24"/>
          <w:szCs w:val="24"/>
        </w:rPr>
        <w:t xml:space="preserve">. </w:t>
      </w:r>
      <w:r w:rsidR="007024AE" w:rsidRPr="00E506CA">
        <w:rPr>
          <w:rFonts w:ascii="Arial" w:hAnsi="Arial" w:cs="Arial"/>
          <w:sz w:val="24"/>
          <w:szCs w:val="24"/>
        </w:rPr>
        <w:t>In my view, referring the matter to oral evidence would ensure a just and expeditious decision. The issues to be determined are simple and discr</w:t>
      </w:r>
      <w:r w:rsidR="00490D78" w:rsidRPr="00E506CA">
        <w:rPr>
          <w:rFonts w:ascii="Arial" w:hAnsi="Arial" w:cs="Arial"/>
          <w:sz w:val="24"/>
          <w:szCs w:val="24"/>
        </w:rPr>
        <w:t xml:space="preserve">ete </w:t>
      </w:r>
      <w:r w:rsidR="007024AE" w:rsidRPr="00E506CA">
        <w:rPr>
          <w:rFonts w:ascii="Arial" w:hAnsi="Arial" w:cs="Arial"/>
          <w:sz w:val="24"/>
          <w:szCs w:val="24"/>
        </w:rPr>
        <w:t xml:space="preserve">and I can see no point in putting the parties through the unnecessary delay and costs of an action commenced afresh, especially as the delay in resolving this </w:t>
      </w:r>
      <w:r w:rsidR="007024AE" w:rsidRPr="00E506CA">
        <w:rPr>
          <w:rFonts w:ascii="Arial" w:hAnsi="Arial" w:cs="Arial"/>
          <w:sz w:val="24"/>
          <w:szCs w:val="24"/>
        </w:rPr>
        <w:lastRenderedPageBreak/>
        <w:t xml:space="preserve">matter is not inconsiderable. After hearing oral evidence, the court will then be in a better position to determine whether or not </w:t>
      </w:r>
      <w:r w:rsidR="00A204D7" w:rsidRPr="00E506CA">
        <w:rPr>
          <w:rFonts w:ascii="Arial" w:hAnsi="Arial" w:cs="Arial"/>
          <w:sz w:val="24"/>
          <w:szCs w:val="24"/>
        </w:rPr>
        <w:t>a</w:t>
      </w:r>
      <w:r w:rsidR="007024AE" w:rsidRPr="00E506CA">
        <w:rPr>
          <w:rFonts w:ascii="Arial" w:hAnsi="Arial" w:cs="Arial"/>
          <w:sz w:val="24"/>
          <w:szCs w:val="24"/>
        </w:rPr>
        <w:t xml:space="preserve"> partnership agreement exists and the exact terms of any such agreement.  </w:t>
      </w:r>
    </w:p>
    <w:p w14:paraId="4E66BB39" w14:textId="77777777" w:rsidR="007309A6" w:rsidRPr="007309A6" w:rsidRDefault="007309A6" w:rsidP="00452574">
      <w:pPr>
        <w:spacing w:after="0" w:line="480" w:lineRule="auto"/>
        <w:ind w:left="709" w:hanging="709"/>
        <w:jc w:val="both"/>
        <w:rPr>
          <w:rFonts w:ascii="Arial" w:hAnsi="Arial" w:cs="Arial"/>
          <w:sz w:val="24"/>
          <w:szCs w:val="24"/>
        </w:rPr>
      </w:pPr>
    </w:p>
    <w:p w14:paraId="5629532C" w14:textId="77777777" w:rsidR="006162ED" w:rsidRDefault="006162ED" w:rsidP="00D22B8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For those reasons, I have come to the conclusion that the appeal should be allowed and the order of the court </w:t>
      </w:r>
      <w:r w:rsidR="00D22B8A" w:rsidRPr="00E506CA">
        <w:rPr>
          <w:rFonts w:ascii="Arial" w:hAnsi="Arial" w:cs="Arial"/>
          <w:sz w:val="24"/>
          <w:szCs w:val="24"/>
        </w:rPr>
        <w:t>a quo</w:t>
      </w:r>
      <w:r w:rsidR="00D22B8A" w:rsidRPr="00E506CA">
        <w:rPr>
          <w:rFonts w:ascii="Arial" w:hAnsi="Arial" w:cs="Arial"/>
          <w:i/>
          <w:iCs/>
          <w:sz w:val="24"/>
          <w:szCs w:val="24"/>
        </w:rPr>
        <w:t xml:space="preserve"> </w:t>
      </w:r>
      <w:r w:rsidRPr="00E506CA">
        <w:rPr>
          <w:rFonts w:ascii="Arial" w:hAnsi="Arial" w:cs="Arial"/>
          <w:sz w:val="24"/>
          <w:szCs w:val="24"/>
        </w:rPr>
        <w:t xml:space="preserve">set aside </w:t>
      </w:r>
      <w:r w:rsidR="001F5EFC" w:rsidRPr="00E506CA">
        <w:rPr>
          <w:rFonts w:ascii="Arial" w:hAnsi="Arial" w:cs="Arial"/>
          <w:sz w:val="24"/>
          <w:szCs w:val="24"/>
        </w:rPr>
        <w:t xml:space="preserve">in </w:t>
      </w:r>
      <w:r w:rsidRPr="00E506CA">
        <w:rPr>
          <w:rFonts w:ascii="Arial" w:hAnsi="Arial" w:cs="Arial"/>
          <w:sz w:val="24"/>
          <w:szCs w:val="24"/>
        </w:rPr>
        <w:t xml:space="preserve">order to permit the matter to be referred for the hearing of oral evidence under rule 6(5)(g) of the Uniform </w:t>
      </w:r>
      <w:r w:rsidR="001F5EFC" w:rsidRPr="00E506CA">
        <w:rPr>
          <w:rFonts w:ascii="Arial" w:hAnsi="Arial" w:cs="Arial"/>
          <w:sz w:val="24"/>
          <w:szCs w:val="24"/>
        </w:rPr>
        <w:t>R</w:t>
      </w:r>
      <w:r w:rsidRPr="00E506CA">
        <w:rPr>
          <w:rFonts w:ascii="Arial" w:hAnsi="Arial" w:cs="Arial"/>
          <w:sz w:val="24"/>
          <w:szCs w:val="24"/>
        </w:rPr>
        <w:t xml:space="preserve">ules of </w:t>
      </w:r>
      <w:r w:rsidR="001F5EFC" w:rsidRPr="00E506CA">
        <w:rPr>
          <w:rFonts w:ascii="Arial" w:hAnsi="Arial" w:cs="Arial"/>
          <w:sz w:val="24"/>
          <w:szCs w:val="24"/>
        </w:rPr>
        <w:t>C</w:t>
      </w:r>
      <w:r w:rsidRPr="00E506CA">
        <w:rPr>
          <w:rFonts w:ascii="Arial" w:hAnsi="Arial" w:cs="Arial"/>
          <w:sz w:val="24"/>
          <w:szCs w:val="24"/>
        </w:rPr>
        <w:t xml:space="preserve">ourt. Counsel for the parties submitted a draft order </w:t>
      </w:r>
      <w:r w:rsidR="001F5EFC" w:rsidRPr="00E506CA">
        <w:rPr>
          <w:rFonts w:ascii="Arial" w:hAnsi="Arial" w:cs="Arial"/>
          <w:sz w:val="24"/>
          <w:szCs w:val="24"/>
        </w:rPr>
        <w:t>purely for the sake of assisting th</w:t>
      </w:r>
      <w:r w:rsidR="00DD04F2" w:rsidRPr="00E506CA">
        <w:rPr>
          <w:rFonts w:ascii="Arial" w:hAnsi="Arial" w:cs="Arial"/>
          <w:sz w:val="24"/>
          <w:szCs w:val="24"/>
        </w:rPr>
        <w:t>is</w:t>
      </w:r>
      <w:r w:rsidR="001F5EFC" w:rsidRPr="00E506CA">
        <w:rPr>
          <w:rFonts w:ascii="Arial" w:hAnsi="Arial" w:cs="Arial"/>
          <w:sz w:val="24"/>
          <w:szCs w:val="24"/>
        </w:rPr>
        <w:t xml:space="preserve"> court and without any concessions</w:t>
      </w:r>
      <w:r w:rsidR="00D22B8A" w:rsidRPr="00E506CA">
        <w:rPr>
          <w:rFonts w:ascii="Arial" w:hAnsi="Arial" w:cs="Arial"/>
          <w:sz w:val="24"/>
          <w:szCs w:val="24"/>
        </w:rPr>
        <w:t xml:space="preserve"> by the respondent being implied thereby</w:t>
      </w:r>
      <w:r w:rsidR="001F5EFC" w:rsidRPr="00E506CA">
        <w:rPr>
          <w:rFonts w:ascii="Arial" w:hAnsi="Arial" w:cs="Arial"/>
          <w:sz w:val="24"/>
          <w:szCs w:val="24"/>
        </w:rPr>
        <w:t xml:space="preserve">. </w:t>
      </w:r>
      <w:r w:rsidRPr="00E506CA">
        <w:rPr>
          <w:rFonts w:ascii="Arial" w:hAnsi="Arial" w:cs="Arial"/>
          <w:sz w:val="24"/>
          <w:szCs w:val="24"/>
        </w:rPr>
        <w:t>I am in agreement with the order</w:t>
      </w:r>
      <w:r w:rsidR="001F5EFC" w:rsidRPr="00E506CA">
        <w:rPr>
          <w:rFonts w:ascii="Arial" w:hAnsi="Arial" w:cs="Arial"/>
          <w:sz w:val="24"/>
          <w:szCs w:val="24"/>
        </w:rPr>
        <w:t>,</w:t>
      </w:r>
      <w:r w:rsidRPr="00E506CA">
        <w:rPr>
          <w:rFonts w:ascii="Arial" w:hAnsi="Arial" w:cs="Arial"/>
          <w:sz w:val="24"/>
          <w:szCs w:val="24"/>
        </w:rPr>
        <w:t xml:space="preserve"> subject to </w:t>
      </w:r>
      <w:r w:rsidR="001F5EFC" w:rsidRPr="00E506CA">
        <w:rPr>
          <w:rFonts w:ascii="Arial" w:hAnsi="Arial" w:cs="Arial"/>
          <w:sz w:val="24"/>
          <w:szCs w:val="24"/>
        </w:rPr>
        <w:t xml:space="preserve">a few </w:t>
      </w:r>
      <w:r w:rsidRPr="00E506CA">
        <w:rPr>
          <w:rFonts w:ascii="Arial" w:hAnsi="Arial" w:cs="Arial"/>
          <w:sz w:val="24"/>
          <w:szCs w:val="24"/>
        </w:rPr>
        <w:t>minor amendment</w:t>
      </w:r>
      <w:r w:rsidR="001F5EFC" w:rsidRPr="00E506CA">
        <w:rPr>
          <w:rFonts w:ascii="Arial" w:hAnsi="Arial" w:cs="Arial"/>
          <w:sz w:val="24"/>
          <w:szCs w:val="24"/>
        </w:rPr>
        <w:t>s</w:t>
      </w:r>
      <w:r w:rsidRPr="00E506CA">
        <w:rPr>
          <w:rFonts w:ascii="Arial" w:hAnsi="Arial" w:cs="Arial"/>
          <w:sz w:val="24"/>
          <w:szCs w:val="24"/>
        </w:rPr>
        <w:t>.</w:t>
      </w:r>
    </w:p>
    <w:p w14:paraId="0A68942E" w14:textId="77777777" w:rsidR="00D22B8A" w:rsidRPr="00E506CA" w:rsidRDefault="00D22B8A" w:rsidP="00E506CA">
      <w:pPr>
        <w:pStyle w:val="ListParagraph"/>
        <w:rPr>
          <w:rFonts w:ascii="Arial" w:hAnsi="Arial" w:cs="Arial"/>
          <w:sz w:val="24"/>
          <w:szCs w:val="24"/>
        </w:rPr>
      </w:pPr>
    </w:p>
    <w:p w14:paraId="69097057" w14:textId="77777777" w:rsidR="00D22B8A" w:rsidRPr="00E506CA" w:rsidRDefault="00D22B8A" w:rsidP="00E506CA">
      <w:pPr>
        <w:pStyle w:val="ListParagraph"/>
        <w:numPr>
          <w:ilvl w:val="0"/>
          <w:numId w:val="2"/>
        </w:numPr>
        <w:spacing w:after="0" w:line="480" w:lineRule="auto"/>
        <w:ind w:hanging="720"/>
        <w:jc w:val="both"/>
        <w:rPr>
          <w:rFonts w:ascii="Arial" w:hAnsi="Arial" w:cs="Arial"/>
          <w:sz w:val="24"/>
          <w:szCs w:val="24"/>
        </w:rPr>
      </w:pPr>
      <w:r>
        <w:rPr>
          <w:rFonts w:ascii="Arial" w:hAnsi="Arial" w:cs="Arial"/>
          <w:sz w:val="24"/>
          <w:szCs w:val="24"/>
        </w:rPr>
        <w:t>The appellant’s counsel did not ask for the costs of the appeal at this stage.  He indicated that the appellant would be content with an order that the costs of the appeal be costs in the cause in the application.</w:t>
      </w:r>
    </w:p>
    <w:p w14:paraId="2A27AC53" w14:textId="77777777" w:rsidR="0046073A" w:rsidRDefault="0046073A" w:rsidP="00452574">
      <w:pPr>
        <w:spacing w:after="0" w:line="480" w:lineRule="auto"/>
        <w:ind w:left="709" w:hanging="709"/>
        <w:jc w:val="both"/>
        <w:rPr>
          <w:rFonts w:ascii="Arial" w:hAnsi="Arial" w:cs="Arial"/>
          <w:sz w:val="24"/>
          <w:szCs w:val="24"/>
        </w:rPr>
      </w:pPr>
    </w:p>
    <w:p w14:paraId="4F0AA326" w14:textId="77777777" w:rsidR="006162ED" w:rsidRPr="00E506CA" w:rsidRDefault="006162ED" w:rsidP="00E506CA">
      <w:pPr>
        <w:pStyle w:val="ListParagraph"/>
        <w:spacing w:after="0" w:line="480" w:lineRule="auto"/>
        <w:ind w:left="0"/>
        <w:jc w:val="both"/>
        <w:rPr>
          <w:rFonts w:ascii="Arial" w:hAnsi="Arial" w:cs="Arial"/>
          <w:b/>
          <w:bCs/>
          <w:sz w:val="24"/>
          <w:szCs w:val="24"/>
          <w:u w:val="single"/>
        </w:rPr>
      </w:pPr>
      <w:r w:rsidRPr="00E506CA">
        <w:rPr>
          <w:rFonts w:ascii="Arial" w:hAnsi="Arial" w:cs="Arial"/>
          <w:b/>
          <w:bCs/>
          <w:sz w:val="24"/>
          <w:szCs w:val="24"/>
          <w:u w:val="single"/>
        </w:rPr>
        <w:t>ORDER</w:t>
      </w:r>
    </w:p>
    <w:p w14:paraId="6621CF14" w14:textId="77777777" w:rsidR="006162ED" w:rsidRPr="006162ED" w:rsidRDefault="006162ED" w:rsidP="00452574">
      <w:pPr>
        <w:spacing w:after="0" w:line="480" w:lineRule="auto"/>
        <w:ind w:left="709" w:hanging="709"/>
        <w:jc w:val="both"/>
        <w:rPr>
          <w:rFonts w:ascii="Arial" w:hAnsi="Arial" w:cs="Arial"/>
          <w:b/>
          <w:bCs/>
          <w:sz w:val="24"/>
          <w:szCs w:val="24"/>
          <w:u w:val="single"/>
        </w:rPr>
      </w:pPr>
    </w:p>
    <w:p w14:paraId="3A123025" w14:textId="77777777" w:rsidR="0011067E" w:rsidRPr="00E506CA" w:rsidRDefault="0011067E" w:rsidP="00E506C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 xml:space="preserve">In the </w:t>
      </w:r>
      <w:r w:rsidR="00B825FE" w:rsidRPr="00E506CA">
        <w:rPr>
          <w:rFonts w:ascii="Arial" w:hAnsi="Arial" w:cs="Arial"/>
          <w:sz w:val="24"/>
          <w:szCs w:val="24"/>
        </w:rPr>
        <w:t xml:space="preserve">result, </w:t>
      </w:r>
      <w:r w:rsidR="00B33C4B" w:rsidRPr="00E506CA">
        <w:rPr>
          <w:rFonts w:ascii="Arial" w:hAnsi="Arial" w:cs="Arial"/>
          <w:sz w:val="24"/>
          <w:szCs w:val="24"/>
        </w:rPr>
        <w:t>I would propose th</w:t>
      </w:r>
      <w:r w:rsidR="006162ED" w:rsidRPr="00E506CA">
        <w:rPr>
          <w:rFonts w:ascii="Arial" w:hAnsi="Arial" w:cs="Arial"/>
          <w:sz w:val="24"/>
          <w:szCs w:val="24"/>
        </w:rPr>
        <w:t xml:space="preserve">at the </w:t>
      </w:r>
      <w:r w:rsidR="00B33C4B" w:rsidRPr="00E506CA">
        <w:rPr>
          <w:rFonts w:ascii="Arial" w:hAnsi="Arial" w:cs="Arial"/>
          <w:sz w:val="24"/>
          <w:szCs w:val="24"/>
        </w:rPr>
        <w:t>following order</w:t>
      </w:r>
      <w:r w:rsidR="006162ED" w:rsidRPr="00E506CA">
        <w:rPr>
          <w:rFonts w:ascii="Arial" w:hAnsi="Arial" w:cs="Arial"/>
          <w:sz w:val="24"/>
          <w:szCs w:val="24"/>
        </w:rPr>
        <w:t xml:space="preserve"> </w:t>
      </w:r>
      <w:r w:rsidR="00D22B8A">
        <w:rPr>
          <w:rFonts w:ascii="Arial" w:hAnsi="Arial" w:cs="Arial"/>
          <w:sz w:val="24"/>
          <w:szCs w:val="24"/>
        </w:rPr>
        <w:t>be</w:t>
      </w:r>
      <w:r w:rsidR="00D22B8A" w:rsidRPr="00E506CA">
        <w:rPr>
          <w:rFonts w:ascii="Arial" w:hAnsi="Arial" w:cs="Arial"/>
          <w:sz w:val="24"/>
          <w:szCs w:val="24"/>
        </w:rPr>
        <w:t xml:space="preserve"> </w:t>
      </w:r>
      <w:r w:rsidR="006162ED" w:rsidRPr="00E506CA">
        <w:rPr>
          <w:rFonts w:ascii="Arial" w:hAnsi="Arial" w:cs="Arial"/>
          <w:sz w:val="24"/>
          <w:szCs w:val="24"/>
        </w:rPr>
        <w:t>made</w:t>
      </w:r>
      <w:r w:rsidR="00B33C4B" w:rsidRPr="00E506CA">
        <w:rPr>
          <w:rFonts w:ascii="Arial" w:hAnsi="Arial" w:cs="Arial"/>
          <w:sz w:val="24"/>
          <w:szCs w:val="24"/>
        </w:rPr>
        <w:t>:</w:t>
      </w:r>
    </w:p>
    <w:p w14:paraId="66CDDB46" w14:textId="77777777" w:rsidR="00B33C4B" w:rsidRDefault="00B33C4B" w:rsidP="00452574">
      <w:pPr>
        <w:spacing w:after="0" w:line="480" w:lineRule="auto"/>
        <w:ind w:left="709" w:hanging="709"/>
        <w:jc w:val="both"/>
        <w:rPr>
          <w:rFonts w:ascii="Arial" w:hAnsi="Arial" w:cs="Arial"/>
          <w:sz w:val="24"/>
          <w:szCs w:val="24"/>
        </w:rPr>
      </w:pPr>
    </w:p>
    <w:p w14:paraId="0261F27C" w14:textId="77777777" w:rsidR="00D22B8A" w:rsidRDefault="00D22B8A" w:rsidP="00E506CA">
      <w:pPr>
        <w:spacing w:after="0" w:line="480" w:lineRule="auto"/>
        <w:ind w:left="1560" w:hanging="851"/>
        <w:jc w:val="both"/>
        <w:rPr>
          <w:rFonts w:ascii="Arial" w:hAnsi="Arial" w:cs="Arial"/>
          <w:sz w:val="24"/>
          <w:szCs w:val="24"/>
        </w:rPr>
      </w:pPr>
      <w:r>
        <w:rPr>
          <w:rFonts w:ascii="Arial" w:hAnsi="Arial" w:cs="Arial"/>
          <w:sz w:val="24"/>
          <w:szCs w:val="24"/>
        </w:rPr>
        <w:t>36.1</w:t>
      </w:r>
      <w:r>
        <w:rPr>
          <w:rFonts w:ascii="Arial" w:hAnsi="Arial" w:cs="Arial"/>
          <w:sz w:val="24"/>
          <w:szCs w:val="24"/>
        </w:rPr>
        <w:tab/>
      </w:r>
      <w:r w:rsidR="00B33C4B">
        <w:rPr>
          <w:rFonts w:ascii="Arial" w:hAnsi="Arial" w:cs="Arial"/>
          <w:sz w:val="24"/>
          <w:szCs w:val="24"/>
        </w:rPr>
        <w:t xml:space="preserve">The appeal is </w:t>
      </w:r>
      <w:r w:rsidR="006162ED">
        <w:rPr>
          <w:rFonts w:ascii="Arial" w:hAnsi="Arial" w:cs="Arial"/>
          <w:sz w:val="24"/>
          <w:szCs w:val="24"/>
        </w:rPr>
        <w:t>allowed</w:t>
      </w:r>
      <w:r w:rsidR="001F5EFC">
        <w:rPr>
          <w:rFonts w:ascii="Arial" w:hAnsi="Arial" w:cs="Arial"/>
          <w:sz w:val="24"/>
          <w:szCs w:val="24"/>
        </w:rPr>
        <w:t>.</w:t>
      </w:r>
    </w:p>
    <w:p w14:paraId="02A041AA" w14:textId="77777777" w:rsidR="001F5EFC" w:rsidRDefault="001F5EFC" w:rsidP="006162ED">
      <w:pPr>
        <w:spacing w:after="0" w:line="480" w:lineRule="auto"/>
        <w:ind w:left="1440" w:hanging="1440"/>
        <w:jc w:val="both"/>
        <w:rPr>
          <w:rFonts w:ascii="Arial" w:hAnsi="Arial" w:cs="Arial"/>
          <w:sz w:val="24"/>
          <w:szCs w:val="24"/>
        </w:rPr>
      </w:pPr>
    </w:p>
    <w:p w14:paraId="5903B63B" w14:textId="77777777" w:rsidR="001F5EFC" w:rsidRPr="001F5EFC" w:rsidRDefault="00D22B8A" w:rsidP="00E506CA">
      <w:pPr>
        <w:spacing w:after="0" w:line="480" w:lineRule="auto"/>
        <w:ind w:left="1560" w:hanging="851"/>
        <w:jc w:val="both"/>
        <w:rPr>
          <w:rFonts w:ascii="Arial" w:hAnsi="Arial" w:cs="Arial"/>
          <w:b/>
          <w:bCs/>
          <w:color w:val="FF0000"/>
          <w:sz w:val="24"/>
          <w:szCs w:val="24"/>
        </w:rPr>
      </w:pPr>
      <w:r w:rsidRPr="00E506CA">
        <w:rPr>
          <w:rFonts w:ascii="Arial" w:hAnsi="Arial" w:cs="Arial"/>
          <w:bCs/>
          <w:sz w:val="24"/>
          <w:szCs w:val="24"/>
        </w:rPr>
        <w:t>36.2</w:t>
      </w:r>
      <w:r>
        <w:rPr>
          <w:rFonts w:ascii="Arial" w:hAnsi="Arial" w:cs="Arial"/>
          <w:b/>
          <w:bCs/>
          <w:color w:val="FF0000"/>
          <w:sz w:val="24"/>
          <w:szCs w:val="24"/>
        </w:rPr>
        <w:tab/>
      </w:r>
      <w:r w:rsidR="001F5EFC" w:rsidRPr="001F5EFC">
        <w:rPr>
          <w:rFonts w:ascii="Arial" w:hAnsi="Arial" w:cs="Arial"/>
          <w:sz w:val="24"/>
          <w:szCs w:val="24"/>
        </w:rPr>
        <w:t xml:space="preserve">The order of the court </w:t>
      </w:r>
      <w:r w:rsidR="00BD4045">
        <w:rPr>
          <w:rFonts w:ascii="Arial" w:hAnsi="Arial" w:cs="Arial"/>
          <w:sz w:val="24"/>
          <w:szCs w:val="24"/>
        </w:rPr>
        <w:t>below</w:t>
      </w:r>
      <w:r w:rsidR="001F5EFC" w:rsidRPr="001F5EFC">
        <w:rPr>
          <w:rFonts w:ascii="Arial" w:hAnsi="Arial" w:cs="Arial"/>
          <w:i/>
          <w:iCs/>
          <w:sz w:val="24"/>
          <w:szCs w:val="24"/>
        </w:rPr>
        <w:t xml:space="preserve"> </w:t>
      </w:r>
      <w:r w:rsidR="001F5EFC" w:rsidRPr="001F5EFC">
        <w:rPr>
          <w:rFonts w:ascii="Arial" w:hAnsi="Arial" w:cs="Arial"/>
          <w:sz w:val="24"/>
          <w:szCs w:val="24"/>
        </w:rPr>
        <w:t xml:space="preserve">is </w:t>
      </w:r>
      <w:r>
        <w:rPr>
          <w:rFonts w:ascii="Arial" w:hAnsi="Arial" w:cs="Arial"/>
          <w:sz w:val="24"/>
          <w:szCs w:val="24"/>
        </w:rPr>
        <w:t>set aside and replaced with an order in the following terms:</w:t>
      </w:r>
    </w:p>
    <w:p w14:paraId="7E72CAFE" w14:textId="77777777" w:rsidR="00B33C4B" w:rsidRDefault="001F5EFC" w:rsidP="001F5EFC">
      <w:pPr>
        <w:spacing w:after="0" w:line="480" w:lineRule="auto"/>
        <w:ind w:left="1440" w:hanging="1440"/>
        <w:jc w:val="both"/>
        <w:rPr>
          <w:rFonts w:ascii="Arial" w:hAnsi="Arial" w:cs="Arial"/>
          <w:sz w:val="24"/>
          <w:szCs w:val="24"/>
        </w:rPr>
      </w:pPr>
      <w:r>
        <w:rPr>
          <w:rFonts w:ascii="Arial" w:hAnsi="Arial" w:cs="Arial"/>
          <w:sz w:val="24"/>
          <w:szCs w:val="24"/>
        </w:rPr>
        <w:t xml:space="preserve"> </w:t>
      </w:r>
    </w:p>
    <w:p w14:paraId="14E27B78" w14:textId="1E143992" w:rsidR="00B33C4B" w:rsidRPr="006162ED" w:rsidRDefault="006162ED" w:rsidP="006162ED">
      <w:pPr>
        <w:spacing w:after="0" w:line="480" w:lineRule="auto"/>
        <w:ind w:left="2160" w:hanging="720"/>
        <w:jc w:val="both"/>
        <w:rPr>
          <w:rFonts w:ascii="Arial" w:hAnsi="Arial" w:cs="Arial"/>
          <w:b/>
          <w:bCs/>
          <w:i/>
          <w:iCs/>
          <w:sz w:val="24"/>
          <w:szCs w:val="24"/>
        </w:rPr>
      </w:pPr>
      <w:r w:rsidRPr="006162ED">
        <w:rPr>
          <w:rFonts w:ascii="Arial" w:hAnsi="Arial" w:cs="Arial"/>
          <w:i/>
          <w:iCs/>
          <w:sz w:val="24"/>
          <w:szCs w:val="24"/>
        </w:rPr>
        <w:lastRenderedPageBreak/>
        <w:t>“1</w:t>
      </w:r>
      <w:r w:rsidR="001F5EFC">
        <w:rPr>
          <w:rFonts w:ascii="Arial" w:hAnsi="Arial" w:cs="Arial"/>
          <w:i/>
          <w:iCs/>
          <w:sz w:val="24"/>
          <w:szCs w:val="24"/>
        </w:rPr>
        <w:t>.</w:t>
      </w:r>
      <w:r w:rsidR="00B33C4B" w:rsidRPr="006162ED">
        <w:rPr>
          <w:rFonts w:ascii="Arial" w:hAnsi="Arial" w:cs="Arial"/>
          <w:i/>
          <w:iCs/>
          <w:sz w:val="24"/>
          <w:szCs w:val="24"/>
        </w:rPr>
        <w:tab/>
      </w:r>
      <w:r w:rsidR="00B617A3" w:rsidRPr="006162ED">
        <w:rPr>
          <w:rFonts w:ascii="Arial" w:hAnsi="Arial" w:cs="Arial"/>
          <w:i/>
          <w:iCs/>
          <w:sz w:val="24"/>
          <w:szCs w:val="24"/>
        </w:rPr>
        <w:t xml:space="preserve">The application is referred for the hearing of oral evidence on a date to be determined by the Registrar, on the issues whether a partnership agreement was entered into between the applicant and respondent in respect of the </w:t>
      </w:r>
      <w:proofErr w:type="gramStart"/>
      <w:r w:rsidR="00B617A3" w:rsidRPr="006162ED">
        <w:rPr>
          <w:rFonts w:ascii="Arial" w:hAnsi="Arial" w:cs="Arial"/>
          <w:i/>
          <w:iCs/>
          <w:sz w:val="24"/>
          <w:szCs w:val="24"/>
        </w:rPr>
        <w:t>K</w:t>
      </w:r>
      <w:r w:rsidR="006510F6">
        <w:rPr>
          <w:rFonts w:ascii="Arial" w:hAnsi="Arial" w:cs="Arial"/>
          <w:i/>
          <w:iCs/>
          <w:sz w:val="24"/>
          <w:szCs w:val="24"/>
        </w:rPr>
        <w:t>[</w:t>
      </w:r>
      <w:proofErr w:type="gramEnd"/>
      <w:r w:rsidR="006510F6">
        <w:rPr>
          <w:rFonts w:ascii="Arial" w:hAnsi="Arial" w:cs="Arial"/>
          <w:i/>
          <w:iCs/>
          <w:sz w:val="24"/>
          <w:szCs w:val="24"/>
        </w:rPr>
        <w:t>…]</w:t>
      </w:r>
      <w:r w:rsidR="00B617A3" w:rsidRPr="006162ED">
        <w:rPr>
          <w:rFonts w:ascii="Arial" w:hAnsi="Arial" w:cs="Arial"/>
          <w:i/>
          <w:iCs/>
          <w:sz w:val="24"/>
          <w:szCs w:val="24"/>
        </w:rPr>
        <w:t xml:space="preserve"> Game Farm and Cottage and </w:t>
      </w:r>
      <w:r w:rsidR="00D22B8A">
        <w:rPr>
          <w:rFonts w:ascii="Arial" w:hAnsi="Arial" w:cs="Arial"/>
          <w:i/>
          <w:iCs/>
          <w:sz w:val="24"/>
          <w:szCs w:val="24"/>
        </w:rPr>
        <w:t xml:space="preserve">the </w:t>
      </w:r>
      <w:r w:rsidR="00B617A3" w:rsidRPr="006162ED">
        <w:rPr>
          <w:rFonts w:ascii="Arial" w:hAnsi="Arial" w:cs="Arial"/>
          <w:i/>
          <w:iCs/>
          <w:sz w:val="24"/>
          <w:szCs w:val="24"/>
        </w:rPr>
        <w:t>business conducted thereon and</w:t>
      </w:r>
      <w:r w:rsidR="00887A00">
        <w:rPr>
          <w:rFonts w:ascii="Arial" w:hAnsi="Arial" w:cs="Arial"/>
          <w:i/>
          <w:iCs/>
          <w:sz w:val="24"/>
          <w:szCs w:val="24"/>
        </w:rPr>
        <w:t>, i</w:t>
      </w:r>
      <w:r w:rsidR="00B617A3" w:rsidRPr="006162ED">
        <w:rPr>
          <w:rFonts w:ascii="Arial" w:hAnsi="Arial" w:cs="Arial"/>
          <w:i/>
          <w:iCs/>
          <w:sz w:val="24"/>
          <w:szCs w:val="24"/>
        </w:rPr>
        <w:t xml:space="preserve">f so, what the terms </w:t>
      </w:r>
      <w:r w:rsidR="00D22B8A">
        <w:rPr>
          <w:rFonts w:ascii="Arial" w:hAnsi="Arial" w:cs="Arial"/>
          <w:i/>
          <w:iCs/>
          <w:sz w:val="24"/>
          <w:szCs w:val="24"/>
        </w:rPr>
        <w:t>of the</w:t>
      </w:r>
      <w:r w:rsidR="00B617A3" w:rsidRPr="006162ED">
        <w:rPr>
          <w:rFonts w:ascii="Arial" w:hAnsi="Arial" w:cs="Arial"/>
          <w:i/>
          <w:iCs/>
          <w:sz w:val="24"/>
          <w:szCs w:val="24"/>
        </w:rPr>
        <w:t xml:space="preserve"> agreement were.</w:t>
      </w:r>
    </w:p>
    <w:p w14:paraId="4FA7748C" w14:textId="77777777" w:rsidR="00B33C4B" w:rsidRPr="006162ED" w:rsidRDefault="00B33C4B" w:rsidP="00452574">
      <w:pPr>
        <w:spacing w:after="0" w:line="480" w:lineRule="auto"/>
        <w:ind w:left="709" w:hanging="709"/>
        <w:jc w:val="both"/>
        <w:rPr>
          <w:rFonts w:ascii="Arial" w:hAnsi="Arial" w:cs="Arial"/>
          <w:i/>
          <w:iCs/>
          <w:sz w:val="24"/>
          <w:szCs w:val="24"/>
        </w:rPr>
      </w:pPr>
    </w:p>
    <w:p w14:paraId="662F0369" w14:textId="77777777" w:rsidR="00B33C4B" w:rsidRPr="006162ED" w:rsidRDefault="006162ED" w:rsidP="006162ED">
      <w:pPr>
        <w:spacing w:after="0" w:line="480" w:lineRule="auto"/>
        <w:ind w:left="2160" w:hanging="720"/>
        <w:jc w:val="both"/>
        <w:rPr>
          <w:rFonts w:ascii="Arial" w:hAnsi="Arial" w:cs="Arial"/>
          <w:i/>
          <w:iCs/>
          <w:sz w:val="24"/>
          <w:szCs w:val="24"/>
        </w:rPr>
      </w:pPr>
      <w:r w:rsidRPr="006162ED">
        <w:rPr>
          <w:rFonts w:ascii="Arial" w:hAnsi="Arial" w:cs="Arial"/>
          <w:i/>
          <w:iCs/>
          <w:sz w:val="24"/>
          <w:szCs w:val="24"/>
        </w:rPr>
        <w:t>2</w:t>
      </w:r>
      <w:r w:rsidR="001F5EFC">
        <w:rPr>
          <w:rFonts w:ascii="Arial" w:hAnsi="Arial" w:cs="Arial"/>
          <w:i/>
          <w:iCs/>
          <w:sz w:val="24"/>
          <w:szCs w:val="24"/>
        </w:rPr>
        <w:t>.</w:t>
      </w:r>
      <w:r w:rsidR="00B33C4B" w:rsidRPr="006162ED">
        <w:rPr>
          <w:rFonts w:ascii="Arial" w:hAnsi="Arial" w:cs="Arial"/>
          <w:i/>
          <w:iCs/>
          <w:sz w:val="24"/>
          <w:szCs w:val="24"/>
        </w:rPr>
        <w:tab/>
      </w:r>
      <w:r w:rsidR="00B617A3" w:rsidRPr="006162ED">
        <w:rPr>
          <w:rFonts w:ascii="Arial" w:hAnsi="Arial" w:cs="Arial"/>
          <w:i/>
          <w:iCs/>
          <w:sz w:val="24"/>
          <w:szCs w:val="24"/>
        </w:rPr>
        <w:t>The evidence shall be that of any witnesses whom the parties or either of them may elect to call, subject, however, to what is provided in paragraph 3 hereof.</w:t>
      </w:r>
    </w:p>
    <w:p w14:paraId="34A2CA35" w14:textId="77777777" w:rsidR="00B33C4B" w:rsidRPr="006162ED" w:rsidRDefault="00B33C4B" w:rsidP="00452574">
      <w:pPr>
        <w:spacing w:after="0" w:line="480" w:lineRule="auto"/>
        <w:ind w:left="709" w:hanging="709"/>
        <w:jc w:val="both"/>
        <w:rPr>
          <w:rFonts w:ascii="Arial" w:hAnsi="Arial" w:cs="Arial"/>
          <w:i/>
          <w:iCs/>
          <w:sz w:val="24"/>
          <w:szCs w:val="24"/>
        </w:rPr>
      </w:pPr>
    </w:p>
    <w:p w14:paraId="64341EC8" w14:textId="77777777" w:rsidR="00B33C4B" w:rsidRPr="006162ED" w:rsidRDefault="006162ED" w:rsidP="006162ED">
      <w:pPr>
        <w:spacing w:after="0" w:line="480" w:lineRule="auto"/>
        <w:ind w:left="2160" w:hanging="720"/>
        <w:jc w:val="both"/>
        <w:rPr>
          <w:rFonts w:ascii="Arial" w:hAnsi="Arial" w:cs="Arial"/>
          <w:i/>
          <w:iCs/>
          <w:sz w:val="24"/>
          <w:szCs w:val="24"/>
        </w:rPr>
      </w:pPr>
      <w:r w:rsidRPr="006162ED">
        <w:rPr>
          <w:rFonts w:ascii="Arial" w:hAnsi="Arial" w:cs="Arial"/>
          <w:i/>
          <w:iCs/>
          <w:sz w:val="24"/>
          <w:szCs w:val="24"/>
        </w:rPr>
        <w:t>3</w:t>
      </w:r>
      <w:r w:rsidR="001F5EFC">
        <w:rPr>
          <w:rFonts w:ascii="Arial" w:hAnsi="Arial" w:cs="Arial"/>
          <w:i/>
          <w:iCs/>
          <w:sz w:val="24"/>
          <w:szCs w:val="24"/>
        </w:rPr>
        <w:t>.</w:t>
      </w:r>
      <w:r w:rsidR="00B33C4B" w:rsidRPr="006162ED">
        <w:rPr>
          <w:rFonts w:ascii="Arial" w:hAnsi="Arial" w:cs="Arial"/>
          <w:i/>
          <w:iCs/>
          <w:sz w:val="24"/>
          <w:szCs w:val="24"/>
        </w:rPr>
        <w:tab/>
      </w:r>
      <w:r w:rsidR="00B617A3" w:rsidRPr="006162ED">
        <w:rPr>
          <w:rFonts w:ascii="Arial" w:hAnsi="Arial" w:cs="Arial"/>
          <w:i/>
          <w:iCs/>
          <w:sz w:val="24"/>
          <w:szCs w:val="24"/>
        </w:rPr>
        <w:t>Save in the case of applicant and respondent</w:t>
      </w:r>
      <w:r w:rsidR="00D22B8A">
        <w:rPr>
          <w:rFonts w:ascii="Arial" w:hAnsi="Arial" w:cs="Arial"/>
          <w:i/>
          <w:iCs/>
          <w:sz w:val="24"/>
          <w:szCs w:val="24"/>
        </w:rPr>
        <w:t>, whose evidence is set out in their respective affidavits filed of record</w:t>
      </w:r>
      <w:r w:rsidR="00B617A3" w:rsidRPr="006162ED">
        <w:rPr>
          <w:rFonts w:ascii="Arial" w:hAnsi="Arial" w:cs="Arial"/>
          <w:i/>
          <w:iCs/>
          <w:sz w:val="24"/>
          <w:szCs w:val="24"/>
        </w:rPr>
        <w:t>, neither party shall be entitled to call any witness unless:</w:t>
      </w:r>
    </w:p>
    <w:p w14:paraId="3E8DBC18" w14:textId="77777777" w:rsidR="00B617A3" w:rsidRPr="006162ED" w:rsidRDefault="00B617A3" w:rsidP="00B617A3">
      <w:pPr>
        <w:spacing w:after="0" w:line="480" w:lineRule="auto"/>
        <w:ind w:left="1440" w:hanging="1440"/>
        <w:jc w:val="both"/>
        <w:rPr>
          <w:rFonts w:ascii="Arial" w:hAnsi="Arial" w:cs="Arial"/>
          <w:i/>
          <w:iCs/>
          <w:sz w:val="24"/>
          <w:szCs w:val="24"/>
        </w:rPr>
      </w:pPr>
    </w:p>
    <w:p w14:paraId="5E75AB99" w14:textId="77777777" w:rsidR="00B617A3" w:rsidRPr="006162ED" w:rsidRDefault="00887A00" w:rsidP="00E049D5">
      <w:pPr>
        <w:spacing w:after="0" w:line="480" w:lineRule="auto"/>
        <w:ind w:left="2880" w:hanging="1440"/>
        <w:jc w:val="both"/>
        <w:rPr>
          <w:rFonts w:ascii="Arial" w:hAnsi="Arial" w:cs="Arial"/>
          <w:i/>
          <w:iCs/>
          <w:sz w:val="24"/>
          <w:szCs w:val="24"/>
        </w:rPr>
      </w:pPr>
      <w:r>
        <w:rPr>
          <w:rFonts w:ascii="Arial" w:hAnsi="Arial" w:cs="Arial"/>
          <w:i/>
          <w:iCs/>
          <w:sz w:val="24"/>
          <w:szCs w:val="24"/>
        </w:rPr>
        <w:t>3.1</w:t>
      </w:r>
      <w:r>
        <w:rPr>
          <w:rFonts w:ascii="Arial" w:hAnsi="Arial" w:cs="Arial"/>
          <w:i/>
          <w:iCs/>
          <w:sz w:val="24"/>
          <w:szCs w:val="24"/>
        </w:rPr>
        <w:tab/>
      </w:r>
      <w:r w:rsidR="00D22B8A">
        <w:rPr>
          <w:rFonts w:ascii="Arial" w:hAnsi="Arial" w:cs="Arial"/>
          <w:i/>
          <w:iCs/>
          <w:sz w:val="24"/>
          <w:szCs w:val="24"/>
        </w:rPr>
        <w:t>he or she</w:t>
      </w:r>
      <w:r w:rsidR="00D22B8A" w:rsidRPr="006162ED">
        <w:rPr>
          <w:rFonts w:ascii="Arial" w:hAnsi="Arial" w:cs="Arial"/>
          <w:i/>
          <w:iCs/>
          <w:sz w:val="24"/>
          <w:szCs w:val="24"/>
        </w:rPr>
        <w:t xml:space="preserve"> </w:t>
      </w:r>
      <w:r w:rsidR="00B617A3" w:rsidRPr="006162ED">
        <w:rPr>
          <w:rFonts w:ascii="Arial" w:hAnsi="Arial" w:cs="Arial"/>
          <w:i/>
          <w:iCs/>
          <w:sz w:val="24"/>
          <w:szCs w:val="24"/>
        </w:rPr>
        <w:t>has served on the</w:t>
      </w:r>
      <w:r w:rsidR="00D22B8A">
        <w:rPr>
          <w:rFonts w:ascii="Arial" w:hAnsi="Arial" w:cs="Arial"/>
          <w:i/>
          <w:iCs/>
          <w:sz w:val="24"/>
          <w:szCs w:val="24"/>
        </w:rPr>
        <w:t xml:space="preserve"> other</w:t>
      </w:r>
      <w:r w:rsidR="00B617A3" w:rsidRPr="006162ED">
        <w:rPr>
          <w:rFonts w:ascii="Arial" w:hAnsi="Arial" w:cs="Arial"/>
          <w:i/>
          <w:iCs/>
          <w:sz w:val="24"/>
          <w:szCs w:val="24"/>
        </w:rPr>
        <w:t xml:space="preserve"> party</w:t>
      </w:r>
      <w:r w:rsidR="00D22B8A">
        <w:rPr>
          <w:rFonts w:ascii="Arial" w:hAnsi="Arial" w:cs="Arial"/>
          <w:i/>
          <w:iCs/>
          <w:sz w:val="24"/>
          <w:szCs w:val="24"/>
        </w:rPr>
        <w:t>,</w:t>
      </w:r>
      <w:r w:rsidR="00B617A3" w:rsidRPr="006162ED">
        <w:rPr>
          <w:rFonts w:ascii="Arial" w:hAnsi="Arial" w:cs="Arial"/>
          <w:i/>
          <w:iCs/>
          <w:sz w:val="24"/>
          <w:szCs w:val="24"/>
        </w:rPr>
        <w:t xml:space="preserve"> at least </w:t>
      </w:r>
      <w:r w:rsidR="00D22B8A" w:rsidRPr="006162ED">
        <w:rPr>
          <w:rFonts w:ascii="Arial" w:hAnsi="Arial" w:cs="Arial"/>
          <w:i/>
          <w:iCs/>
          <w:sz w:val="24"/>
          <w:szCs w:val="24"/>
        </w:rPr>
        <w:t>1</w:t>
      </w:r>
      <w:r w:rsidR="00D22B8A">
        <w:rPr>
          <w:rFonts w:ascii="Arial" w:hAnsi="Arial" w:cs="Arial"/>
          <w:i/>
          <w:iCs/>
          <w:sz w:val="24"/>
          <w:szCs w:val="24"/>
        </w:rPr>
        <w:t>5</w:t>
      </w:r>
      <w:r w:rsidR="00B617A3" w:rsidRPr="006162ED">
        <w:rPr>
          <w:rFonts w:ascii="Arial" w:hAnsi="Arial" w:cs="Arial"/>
          <w:i/>
          <w:iCs/>
          <w:sz w:val="24"/>
          <w:szCs w:val="24"/>
        </w:rPr>
        <w:t xml:space="preserve"> days before the date appointed for the hearing (in the case of a witness to be called by the applicant) and at least 10 days before such date (in the case of a witness to be called by Respondent), a statement wherein the evidence to be given in chief by such </w:t>
      </w:r>
      <w:r w:rsidR="00D22B8A">
        <w:rPr>
          <w:rFonts w:ascii="Arial" w:hAnsi="Arial" w:cs="Arial"/>
          <w:i/>
          <w:iCs/>
          <w:sz w:val="24"/>
          <w:szCs w:val="24"/>
        </w:rPr>
        <w:t>witness</w:t>
      </w:r>
      <w:r w:rsidR="00D22B8A" w:rsidRPr="006162ED">
        <w:rPr>
          <w:rFonts w:ascii="Arial" w:hAnsi="Arial" w:cs="Arial"/>
          <w:i/>
          <w:iCs/>
          <w:sz w:val="24"/>
          <w:szCs w:val="24"/>
        </w:rPr>
        <w:t xml:space="preserve"> </w:t>
      </w:r>
      <w:r w:rsidR="00B617A3" w:rsidRPr="006162ED">
        <w:rPr>
          <w:rFonts w:ascii="Arial" w:hAnsi="Arial" w:cs="Arial"/>
          <w:i/>
          <w:iCs/>
          <w:sz w:val="24"/>
          <w:szCs w:val="24"/>
        </w:rPr>
        <w:t>is set out; or</w:t>
      </w:r>
    </w:p>
    <w:p w14:paraId="63450657" w14:textId="77777777" w:rsidR="00B33C4B" w:rsidRPr="006162ED" w:rsidRDefault="00B33C4B" w:rsidP="00452574">
      <w:pPr>
        <w:spacing w:after="0" w:line="480" w:lineRule="auto"/>
        <w:ind w:left="709" w:hanging="709"/>
        <w:jc w:val="both"/>
        <w:rPr>
          <w:rFonts w:ascii="Arial" w:hAnsi="Arial" w:cs="Arial"/>
          <w:i/>
          <w:iCs/>
          <w:sz w:val="24"/>
          <w:szCs w:val="24"/>
        </w:rPr>
      </w:pPr>
    </w:p>
    <w:p w14:paraId="6A1117D0" w14:textId="77777777" w:rsidR="00B617A3" w:rsidRPr="006162ED" w:rsidRDefault="00887A00" w:rsidP="00E049D5">
      <w:pPr>
        <w:spacing w:after="0" w:line="480" w:lineRule="auto"/>
        <w:ind w:left="2880" w:hanging="1440"/>
        <w:jc w:val="both"/>
        <w:rPr>
          <w:rFonts w:ascii="Arial" w:hAnsi="Arial" w:cs="Arial"/>
          <w:i/>
          <w:iCs/>
          <w:sz w:val="24"/>
          <w:szCs w:val="24"/>
        </w:rPr>
      </w:pPr>
      <w:r>
        <w:rPr>
          <w:rFonts w:ascii="Arial" w:hAnsi="Arial" w:cs="Arial"/>
          <w:i/>
          <w:iCs/>
          <w:sz w:val="24"/>
          <w:szCs w:val="24"/>
        </w:rPr>
        <w:t>3.2</w:t>
      </w:r>
      <w:r w:rsidR="001F5EFC">
        <w:rPr>
          <w:rFonts w:ascii="Arial" w:hAnsi="Arial" w:cs="Arial"/>
          <w:i/>
          <w:iCs/>
          <w:sz w:val="24"/>
          <w:szCs w:val="24"/>
        </w:rPr>
        <w:t>.</w:t>
      </w:r>
      <w:r w:rsidR="00B617A3" w:rsidRPr="006162ED">
        <w:rPr>
          <w:rFonts w:ascii="Arial" w:hAnsi="Arial" w:cs="Arial"/>
          <w:i/>
          <w:iCs/>
          <w:sz w:val="24"/>
          <w:szCs w:val="24"/>
        </w:rPr>
        <w:tab/>
        <w:t>the court, at the hearing, permits such person to be called despite the fact that no such statement has been so served in respect of his/her evidence.</w:t>
      </w:r>
    </w:p>
    <w:p w14:paraId="2CCB6918" w14:textId="77777777" w:rsidR="00B617A3" w:rsidRPr="006162ED" w:rsidRDefault="00B617A3" w:rsidP="00B617A3">
      <w:pPr>
        <w:spacing w:after="0" w:line="480" w:lineRule="auto"/>
        <w:ind w:left="2160" w:hanging="2160"/>
        <w:jc w:val="both"/>
        <w:rPr>
          <w:rFonts w:ascii="Arial" w:hAnsi="Arial" w:cs="Arial"/>
          <w:i/>
          <w:iCs/>
          <w:sz w:val="24"/>
          <w:szCs w:val="24"/>
        </w:rPr>
      </w:pPr>
    </w:p>
    <w:p w14:paraId="128B9217" w14:textId="77777777" w:rsidR="00B33C4B" w:rsidRPr="006162ED" w:rsidRDefault="00887A00" w:rsidP="006162ED">
      <w:pPr>
        <w:spacing w:after="0" w:line="480" w:lineRule="auto"/>
        <w:ind w:left="2160" w:hanging="720"/>
        <w:jc w:val="both"/>
        <w:rPr>
          <w:rFonts w:ascii="Arial" w:hAnsi="Arial" w:cs="Arial"/>
          <w:b/>
          <w:bCs/>
          <w:i/>
          <w:iCs/>
          <w:sz w:val="24"/>
          <w:szCs w:val="24"/>
        </w:rPr>
      </w:pPr>
      <w:r>
        <w:rPr>
          <w:rFonts w:ascii="Arial" w:hAnsi="Arial" w:cs="Arial"/>
          <w:i/>
          <w:iCs/>
          <w:sz w:val="24"/>
          <w:szCs w:val="24"/>
        </w:rPr>
        <w:t>4</w:t>
      </w:r>
      <w:r w:rsidR="001F5EFC">
        <w:rPr>
          <w:rFonts w:ascii="Arial" w:hAnsi="Arial" w:cs="Arial"/>
          <w:i/>
          <w:iCs/>
          <w:sz w:val="24"/>
          <w:szCs w:val="24"/>
        </w:rPr>
        <w:t>.</w:t>
      </w:r>
      <w:r w:rsidR="00B33C4B" w:rsidRPr="006162ED">
        <w:rPr>
          <w:rFonts w:ascii="Arial" w:hAnsi="Arial" w:cs="Arial"/>
          <w:i/>
          <w:iCs/>
          <w:sz w:val="24"/>
          <w:szCs w:val="24"/>
        </w:rPr>
        <w:tab/>
      </w:r>
      <w:r w:rsidR="00B617A3" w:rsidRPr="006162ED">
        <w:rPr>
          <w:rFonts w:ascii="Arial" w:hAnsi="Arial" w:cs="Arial"/>
          <w:i/>
          <w:iCs/>
          <w:sz w:val="24"/>
          <w:szCs w:val="24"/>
        </w:rPr>
        <w:t>Either party may subpoena any person to give evidence at the hearing, whether such person has consented to furnish a statement or not.</w:t>
      </w:r>
    </w:p>
    <w:p w14:paraId="0F704411" w14:textId="77777777" w:rsidR="00B33C4B" w:rsidRPr="006162ED" w:rsidRDefault="00B33C4B" w:rsidP="00452574">
      <w:pPr>
        <w:spacing w:after="0" w:line="480" w:lineRule="auto"/>
        <w:ind w:left="709" w:hanging="709"/>
        <w:jc w:val="both"/>
        <w:rPr>
          <w:rFonts w:ascii="Arial" w:hAnsi="Arial" w:cs="Arial"/>
          <w:b/>
          <w:bCs/>
          <w:i/>
          <w:iCs/>
          <w:sz w:val="24"/>
          <w:szCs w:val="24"/>
        </w:rPr>
      </w:pPr>
    </w:p>
    <w:p w14:paraId="60EFED22" w14:textId="77777777" w:rsidR="00B33C4B" w:rsidRPr="006162ED" w:rsidRDefault="00887A00" w:rsidP="006162ED">
      <w:pPr>
        <w:spacing w:after="0" w:line="480" w:lineRule="auto"/>
        <w:ind w:left="2160" w:hanging="720"/>
        <w:jc w:val="both"/>
        <w:rPr>
          <w:rFonts w:ascii="Arial" w:hAnsi="Arial" w:cs="Arial"/>
          <w:b/>
          <w:bCs/>
          <w:i/>
          <w:iCs/>
          <w:sz w:val="24"/>
          <w:szCs w:val="24"/>
        </w:rPr>
      </w:pPr>
      <w:r>
        <w:rPr>
          <w:rFonts w:ascii="Arial" w:hAnsi="Arial" w:cs="Arial"/>
          <w:i/>
          <w:iCs/>
          <w:sz w:val="24"/>
          <w:szCs w:val="24"/>
        </w:rPr>
        <w:t>5</w:t>
      </w:r>
      <w:r w:rsidR="001F5EFC">
        <w:rPr>
          <w:rFonts w:ascii="Arial" w:hAnsi="Arial" w:cs="Arial"/>
          <w:i/>
          <w:iCs/>
          <w:sz w:val="24"/>
          <w:szCs w:val="24"/>
        </w:rPr>
        <w:t>.</w:t>
      </w:r>
      <w:r w:rsidR="00B33C4B" w:rsidRPr="006162ED">
        <w:rPr>
          <w:rFonts w:ascii="Arial" w:hAnsi="Arial" w:cs="Arial"/>
          <w:i/>
          <w:iCs/>
          <w:sz w:val="24"/>
          <w:szCs w:val="24"/>
        </w:rPr>
        <w:tab/>
      </w:r>
      <w:r w:rsidR="00B617A3" w:rsidRPr="006162ED">
        <w:rPr>
          <w:rFonts w:ascii="Arial" w:hAnsi="Arial" w:cs="Arial"/>
          <w:i/>
          <w:iCs/>
          <w:sz w:val="24"/>
          <w:szCs w:val="24"/>
        </w:rPr>
        <w:t>The fact that a party has served a statement in terms of paragraph 3 hereof, or has subpoenaed a witness, shall not oblige such party to call the witness concerned.</w:t>
      </w:r>
    </w:p>
    <w:p w14:paraId="6F690A97" w14:textId="77777777" w:rsidR="00B33C4B" w:rsidRPr="006162ED" w:rsidRDefault="00B33C4B" w:rsidP="00452574">
      <w:pPr>
        <w:spacing w:after="0" w:line="480" w:lineRule="auto"/>
        <w:ind w:left="709" w:hanging="709"/>
        <w:jc w:val="both"/>
        <w:rPr>
          <w:rFonts w:ascii="Arial" w:hAnsi="Arial" w:cs="Arial"/>
          <w:i/>
          <w:iCs/>
          <w:sz w:val="24"/>
          <w:szCs w:val="24"/>
        </w:rPr>
      </w:pPr>
    </w:p>
    <w:p w14:paraId="2BC82982" w14:textId="77777777" w:rsidR="00B33C4B" w:rsidRPr="006162ED" w:rsidRDefault="00887A00" w:rsidP="006162ED">
      <w:pPr>
        <w:spacing w:after="0" w:line="480" w:lineRule="auto"/>
        <w:ind w:left="2160" w:hanging="720"/>
        <w:jc w:val="both"/>
        <w:rPr>
          <w:rFonts w:ascii="Arial" w:hAnsi="Arial" w:cs="Arial"/>
          <w:b/>
          <w:bCs/>
          <w:i/>
          <w:iCs/>
          <w:sz w:val="24"/>
          <w:szCs w:val="24"/>
        </w:rPr>
      </w:pPr>
      <w:r>
        <w:rPr>
          <w:rFonts w:ascii="Arial" w:hAnsi="Arial" w:cs="Arial"/>
          <w:i/>
          <w:iCs/>
          <w:sz w:val="24"/>
          <w:szCs w:val="24"/>
        </w:rPr>
        <w:t>6</w:t>
      </w:r>
      <w:r w:rsidR="001F5EFC">
        <w:rPr>
          <w:rFonts w:ascii="Arial" w:hAnsi="Arial" w:cs="Arial"/>
          <w:i/>
          <w:iCs/>
          <w:sz w:val="24"/>
          <w:szCs w:val="24"/>
        </w:rPr>
        <w:t>.</w:t>
      </w:r>
      <w:r w:rsidR="00B33C4B" w:rsidRPr="006162ED">
        <w:rPr>
          <w:rFonts w:ascii="Arial" w:hAnsi="Arial" w:cs="Arial"/>
          <w:i/>
          <w:iCs/>
          <w:sz w:val="24"/>
          <w:szCs w:val="24"/>
        </w:rPr>
        <w:tab/>
      </w:r>
      <w:r w:rsidR="00B617A3" w:rsidRPr="006162ED">
        <w:rPr>
          <w:rFonts w:ascii="Arial" w:hAnsi="Arial" w:cs="Arial"/>
          <w:i/>
          <w:iCs/>
          <w:sz w:val="24"/>
          <w:szCs w:val="24"/>
        </w:rPr>
        <w:t xml:space="preserve">The provisions of </w:t>
      </w:r>
      <w:r>
        <w:rPr>
          <w:rFonts w:ascii="Arial" w:hAnsi="Arial" w:cs="Arial"/>
          <w:i/>
          <w:iCs/>
          <w:sz w:val="24"/>
          <w:szCs w:val="24"/>
        </w:rPr>
        <w:t>r</w:t>
      </w:r>
      <w:r w:rsidR="00B617A3" w:rsidRPr="006162ED">
        <w:rPr>
          <w:rFonts w:ascii="Arial" w:hAnsi="Arial" w:cs="Arial"/>
          <w:i/>
          <w:iCs/>
          <w:sz w:val="24"/>
          <w:szCs w:val="24"/>
        </w:rPr>
        <w:t xml:space="preserve">ules 35, 36, 37 and 37A </w:t>
      </w:r>
      <w:r>
        <w:rPr>
          <w:rFonts w:ascii="Arial" w:hAnsi="Arial" w:cs="Arial"/>
          <w:i/>
          <w:iCs/>
          <w:sz w:val="24"/>
          <w:szCs w:val="24"/>
        </w:rPr>
        <w:t xml:space="preserve">of the Uniform Rules of Court </w:t>
      </w:r>
      <w:r w:rsidR="00B617A3" w:rsidRPr="006162ED">
        <w:rPr>
          <w:rFonts w:ascii="Arial" w:hAnsi="Arial" w:cs="Arial"/>
          <w:i/>
          <w:iCs/>
          <w:sz w:val="24"/>
          <w:szCs w:val="24"/>
        </w:rPr>
        <w:t>shall apply to the hearing of oral evidence.</w:t>
      </w:r>
    </w:p>
    <w:p w14:paraId="38ED345F" w14:textId="77777777" w:rsidR="00B33C4B" w:rsidRPr="006162ED" w:rsidRDefault="00B33C4B" w:rsidP="00452574">
      <w:pPr>
        <w:spacing w:after="0" w:line="480" w:lineRule="auto"/>
        <w:ind w:left="709" w:hanging="709"/>
        <w:jc w:val="both"/>
        <w:rPr>
          <w:rFonts w:ascii="Arial" w:hAnsi="Arial" w:cs="Arial"/>
          <w:b/>
          <w:bCs/>
          <w:i/>
          <w:iCs/>
          <w:sz w:val="24"/>
          <w:szCs w:val="24"/>
        </w:rPr>
      </w:pPr>
    </w:p>
    <w:p w14:paraId="7EFEF9AC" w14:textId="77777777" w:rsidR="00B33C4B" w:rsidRPr="006162ED" w:rsidRDefault="00B33C4B" w:rsidP="006162ED">
      <w:pPr>
        <w:spacing w:after="0" w:line="480" w:lineRule="auto"/>
        <w:ind w:left="2160" w:hanging="720"/>
        <w:jc w:val="both"/>
        <w:rPr>
          <w:rFonts w:ascii="Arial" w:hAnsi="Arial" w:cs="Arial"/>
          <w:b/>
          <w:bCs/>
          <w:sz w:val="24"/>
          <w:szCs w:val="24"/>
        </w:rPr>
      </w:pPr>
    </w:p>
    <w:p w14:paraId="16BD4189" w14:textId="77777777" w:rsidR="00B33C4B" w:rsidRPr="00E506CA" w:rsidRDefault="00D22B8A" w:rsidP="00E506CA">
      <w:pPr>
        <w:spacing w:after="0" w:line="480" w:lineRule="auto"/>
        <w:ind w:left="1560" w:hanging="851"/>
        <w:jc w:val="both"/>
        <w:rPr>
          <w:rFonts w:ascii="Arial" w:hAnsi="Arial" w:cs="Arial"/>
          <w:bCs/>
          <w:sz w:val="24"/>
          <w:szCs w:val="24"/>
        </w:rPr>
      </w:pPr>
      <w:r w:rsidRPr="00E506CA">
        <w:rPr>
          <w:rFonts w:ascii="Arial" w:hAnsi="Arial" w:cs="Arial"/>
          <w:bCs/>
          <w:sz w:val="24"/>
          <w:szCs w:val="24"/>
        </w:rPr>
        <w:t>36.3</w:t>
      </w:r>
      <w:r w:rsidRPr="00E506CA">
        <w:rPr>
          <w:rFonts w:ascii="Arial" w:hAnsi="Arial" w:cs="Arial"/>
          <w:bCs/>
          <w:sz w:val="24"/>
          <w:szCs w:val="24"/>
        </w:rPr>
        <w:tab/>
        <w:t>The costs of the appeal shall be costs in the cause in the application.</w:t>
      </w:r>
    </w:p>
    <w:p w14:paraId="7587D698" w14:textId="77777777" w:rsidR="006162ED" w:rsidRPr="00B33C4B" w:rsidRDefault="006162ED" w:rsidP="00B33C4B">
      <w:pPr>
        <w:spacing w:after="0" w:line="480" w:lineRule="auto"/>
        <w:ind w:left="1440" w:hanging="1440"/>
        <w:jc w:val="both"/>
        <w:rPr>
          <w:rFonts w:ascii="Arial" w:hAnsi="Arial" w:cs="Arial"/>
          <w:sz w:val="24"/>
          <w:szCs w:val="24"/>
        </w:rPr>
      </w:pPr>
    </w:p>
    <w:p w14:paraId="77407D67" w14:textId="77777777" w:rsidR="00B33C4B" w:rsidRDefault="00B617A3" w:rsidP="00B33C4B">
      <w:pPr>
        <w:spacing w:after="0" w:line="480" w:lineRule="auto"/>
        <w:ind w:left="709" w:hanging="709"/>
        <w:jc w:val="right"/>
        <w:rPr>
          <w:rFonts w:ascii="Arial" w:hAnsi="Arial" w:cs="Arial"/>
          <w:sz w:val="24"/>
          <w:szCs w:val="24"/>
        </w:rPr>
      </w:pPr>
      <w:r>
        <w:rPr>
          <w:rFonts w:ascii="Arial" w:hAnsi="Arial" w:cs="Arial"/>
          <w:sz w:val="24"/>
          <w:szCs w:val="24"/>
        </w:rPr>
        <w:t>_______</w:t>
      </w:r>
      <w:r w:rsidR="00B33C4B">
        <w:rPr>
          <w:rFonts w:ascii="Arial" w:hAnsi="Arial" w:cs="Arial"/>
          <w:sz w:val="24"/>
          <w:szCs w:val="24"/>
        </w:rPr>
        <w:t>______________</w:t>
      </w:r>
    </w:p>
    <w:p w14:paraId="0017BFC0" w14:textId="212F9CB7" w:rsidR="00B33C4B" w:rsidRDefault="00783476" w:rsidP="00B33C4B">
      <w:pPr>
        <w:spacing w:after="0" w:line="480" w:lineRule="auto"/>
        <w:ind w:left="709" w:hanging="709"/>
        <w:jc w:val="right"/>
        <w:rPr>
          <w:rFonts w:ascii="Arial" w:hAnsi="Arial" w:cs="Arial"/>
          <w:b/>
          <w:bCs/>
          <w:sz w:val="24"/>
          <w:szCs w:val="24"/>
        </w:rPr>
      </w:pPr>
      <w:r>
        <w:rPr>
          <w:rFonts w:ascii="Arial" w:hAnsi="Arial" w:cs="Arial"/>
          <w:b/>
          <w:bCs/>
          <w:sz w:val="24"/>
          <w:szCs w:val="24"/>
        </w:rPr>
        <w:t xml:space="preserve">M. </w:t>
      </w:r>
      <w:r w:rsidR="00B33C4B">
        <w:rPr>
          <w:rFonts w:ascii="Arial" w:hAnsi="Arial" w:cs="Arial"/>
          <w:b/>
          <w:bCs/>
          <w:sz w:val="24"/>
          <w:szCs w:val="24"/>
        </w:rPr>
        <w:t>FRANCIS</w:t>
      </w:r>
    </w:p>
    <w:p w14:paraId="2A23C872" w14:textId="77777777" w:rsidR="00D22B8A" w:rsidRPr="00B33C4B" w:rsidRDefault="00D22B8A" w:rsidP="00B33C4B">
      <w:pPr>
        <w:spacing w:after="0" w:line="480" w:lineRule="auto"/>
        <w:ind w:left="709" w:hanging="709"/>
        <w:jc w:val="right"/>
        <w:rPr>
          <w:rFonts w:ascii="Arial" w:hAnsi="Arial" w:cs="Arial"/>
          <w:b/>
          <w:bCs/>
          <w:sz w:val="24"/>
          <w:szCs w:val="24"/>
        </w:rPr>
      </w:pPr>
      <w:r>
        <w:rPr>
          <w:rFonts w:ascii="Arial" w:hAnsi="Arial" w:cs="Arial"/>
          <w:b/>
          <w:bCs/>
          <w:sz w:val="24"/>
          <w:szCs w:val="24"/>
        </w:rPr>
        <w:t>Judge of the High Court</w:t>
      </w:r>
    </w:p>
    <w:p w14:paraId="39CD90E3" w14:textId="77777777" w:rsidR="00E87C58" w:rsidRDefault="00E87C58" w:rsidP="00A734E2">
      <w:pPr>
        <w:spacing w:after="0" w:line="480" w:lineRule="auto"/>
        <w:ind w:left="720" w:hanging="720"/>
        <w:jc w:val="both"/>
        <w:rPr>
          <w:rFonts w:ascii="Arial" w:hAnsi="Arial" w:cs="Arial"/>
          <w:sz w:val="24"/>
          <w:szCs w:val="24"/>
        </w:rPr>
      </w:pPr>
    </w:p>
    <w:p w14:paraId="1E3C22EB" w14:textId="77777777" w:rsidR="00D22B8A" w:rsidRDefault="00D22B8A" w:rsidP="00C752B5">
      <w:pPr>
        <w:spacing w:after="0" w:line="480" w:lineRule="auto"/>
        <w:rPr>
          <w:rFonts w:ascii="Arial" w:hAnsi="Arial" w:cs="Arial"/>
          <w:b/>
          <w:bCs/>
          <w:sz w:val="24"/>
          <w:szCs w:val="24"/>
        </w:rPr>
      </w:pPr>
      <w:r w:rsidRPr="00E506CA">
        <w:rPr>
          <w:rFonts w:ascii="Arial" w:hAnsi="Arial" w:cs="Arial"/>
          <w:b/>
          <w:bCs/>
          <w:sz w:val="24"/>
          <w:szCs w:val="24"/>
        </w:rPr>
        <w:t>BINNS-WARD J:</w:t>
      </w:r>
    </w:p>
    <w:p w14:paraId="04144BAB" w14:textId="77777777" w:rsidR="00D22B8A" w:rsidRDefault="00C752B5" w:rsidP="00D22B8A">
      <w:pPr>
        <w:pStyle w:val="ListParagraph"/>
        <w:numPr>
          <w:ilvl w:val="0"/>
          <w:numId w:val="2"/>
        </w:numPr>
        <w:spacing w:after="0" w:line="480" w:lineRule="auto"/>
        <w:ind w:hanging="720"/>
        <w:jc w:val="both"/>
        <w:rPr>
          <w:rFonts w:ascii="Arial" w:hAnsi="Arial" w:cs="Arial"/>
          <w:sz w:val="24"/>
          <w:szCs w:val="24"/>
        </w:rPr>
      </w:pPr>
      <w:r w:rsidRPr="00E506CA">
        <w:rPr>
          <w:rFonts w:ascii="Arial" w:hAnsi="Arial" w:cs="Arial"/>
          <w:sz w:val="24"/>
          <w:szCs w:val="24"/>
        </w:rPr>
        <w:t>I agree</w:t>
      </w:r>
      <w:r w:rsidR="00D22B8A">
        <w:rPr>
          <w:rFonts w:ascii="Arial" w:hAnsi="Arial" w:cs="Arial"/>
          <w:sz w:val="24"/>
          <w:szCs w:val="24"/>
        </w:rPr>
        <w:t>, for the reasons that he has given, that an order should issue in the terms proposed by my Brother, Francis J</w:t>
      </w:r>
      <w:r w:rsidRPr="00E506CA">
        <w:rPr>
          <w:rFonts w:ascii="Arial" w:hAnsi="Arial" w:cs="Arial"/>
          <w:sz w:val="24"/>
          <w:szCs w:val="24"/>
        </w:rPr>
        <w:t>.</w:t>
      </w:r>
    </w:p>
    <w:p w14:paraId="19A79EBD" w14:textId="77777777" w:rsidR="00D22B8A" w:rsidRDefault="00D22B8A" w:rsidP="00E506CA">
      <w:pPr>
        <w:pStyle w:val="ListParagraph"/>
        <w:spacing w:after="0" w:line="480" w:lineRule="auto"/>
        <w:jc w:val="both"/>
        <w:rPr>
          <w:rFonts w:ascii="Arial" w:hAnsi="Arial" w:cs="Arial"/>
          <w:sz w:val="24"/>
          <w:szCs w:val="24"/>
        </w:rPr>
      </w:pPr>
    </w:p>
    <w:p w14:paraId="4E81744D" w14:textId="77777777" w:rsidR="00C752B5" w:rsidRDefault="00D22B8A" w:rsidP="00D22B8A">
      <w:pPr>
        <w:pStyle w:val="ListParagraph"/>
        <w:numPr>
          <w:ilvl w:val="0"/>
          <w:numId w:val="2"/>
        </w:numPr>
        <w:spacing w:after="0" w:line="480" w:lineRule="auto"/>
        <w:ind w:hanging="720"/>
        <w:jc w:val="both"/>
        <w:rPr>
          <w:rFonts w:ascii="Arial" w:hAnsi="Arial" w:cs="Arial"/>
          <w:sz w:val="24"/>
          <w:szCs w:val="24"/>
        </w:rPr>
      </w:pPr>
      <w:r>
        <w:rPr>
          <w:rFonts w:ascii="Arial" w:hAnsi="Arial" w:cs="Arial"/>
          <w:sz w:val="24"/>
          <w:szCs w:val="24"/>
        </w:rPr>
        <w:t xml:space="preserve">For the following briefly expressed reasons, I would, however, prefer to refrain from making any conclusive determination one way or the other as to whether </w:t>
      </w:r>
      <w:r>
        <w:rPr>
          <w:rFonts w:ascii="Arial" w:hAnsi="Arial" w:cs="Arial"/>
          <w:sz w:val="24"/>
          <w:szCs w:val="24"/>
        </w:rPr>
        <w:lastRenderedPageBreak/>
        <w:t>the discretion exercised by the court under rule 6(5)(g) is a ‘loose’ or ‘true’ one.  Enquiries into the question are bedevilled by inconsistent nomenclature in the jurisprudence; so, for example, whereas what EM </w:t>
      </w:r>
      <w:proofErr w:type="spellStart"/>
      <w:r>
        <w:rPr>
          <w:rFonts w:ascii="Arial" w:hAnsi="Arial" w:cs="Arial"/>
          <w:sz w:val="24"/>
          <w:szCs w:val="24"/>
        </w:rPr>
        <w:t>Grosskopf</w:t>
      </w:r>
      <w:proofErr w:type="spellEnd"/>
      <w:r>
        <w:rPr>
          <w:rFonts w:ascii="Arial" w:hAnsi="Arial" w:cs="Arial"/>
          <w:sz w:val="24"/>
          <w:szCs w:val="24"/>
        </w:rPr>
        <w:t xml:space="preserve"> JA in </w:t>
      </w:r>
      <w:r w:rsidRPr="00E506CA">
        <w:rPr>
          <w:rFonts w:ascii="Arial" w:hAnsi="Arial" w:cs="Arial"/>
          <w:i/>
          <w:iCs/>
          <w:sz w:val="24"/>
          <w:szCs w:val="24"/>
        </w:rPr>
        <w:t>Media Workers Association</w:t>
      </w:r>
      <w:r>
        <w:rPr>
          <w:rFonts w:ascii="Arial" w:hAnsi="Arial" w:cs="Arial"/>
          <w:sz w:val="24"/>
          <w:szCs w:val="24"/>
        </w:rPr>
        <w:t xml:space="preserve"> supra, at </w:t>
      </w:r>
      <w:r w:rsidR="00BD5607">
        <w:rPr>
          <w:rFonts w:ascii="Arial" w:hAnsi="Arial" w:cs="Arial"/>
          <w:sz w:val="24"/>
          <w:szCs w:val="24"/>
        </w:rPr>
        <w:t>800D</w:t>
      </w:r>
      <w:r>
        <w:rPr>
          <w:rFonts w:ascii="Arial" w:hAnsi="Arial" w:cs="Arial"/>
          <w:sz w:val="24"/>
          <w:szCs w:val="24"/>
        </w:rPr>
        <w:t xml:space="preserve"> called discretion in the ’wide’ sense plainly denoted a discretion in the ‘loose’ sense, the indications are that when Theron J in </w:t>
      </w:r>
      <w:proofErr w:type="spellStart"/>
      <w:r w:rsidRPr="00E506CA">
        <w:rPr>
          <w:rFonts w:ascii="Arial" w:hAnsi="Arial" w:cs="Arial"/>
          <w:i/>
          <w:iCs/>
          <w:sz w:val="24"/>
          <w:szCs w:val="24"/>
        </w:rPr>
        <w:t>Mamadi</w:t>
      </w:r>
      <w:proofErr w:type="spellEnd"/>
      <w:r>
        <w:rPr>
          <w:rFonts w:ascii="Arial" w:hAnsi="Arial" w:cs="Arial"/>
          <w:sz w:val="24"/>
          <w:szCs w:val="24"/>
        </w:rPr>
        <w:t xml:space="preserve"> supra, at para 46, spoke of ‘a wide discretion’ the learned judge had in mind a ‘true’ discretion.  Reliance on cases like </w:t>
      </w:r>
      <w:proofErr w:type="spellStart"/>
      <w:r w:rsidRPr="00E506CA">
        <w:rPr>
          <w:rFonts w:ascii="Arial" w:hAnsi="Arial" w:cs="Arial"/>
          <w:i/>
          <w:iCs/>
          <w:sz w:val="24"/>
          <w:szCs w:val="24"/>
        </w:rPr>
        <w:t>Mamadi</w:t>
      </w:r>
      <w:proofErr w:type="spellEnd"/>
      <w:r>
        <w:rPr>
          <w:rFonts w:ascii="Arial" w:hAnsi="Arial" w:cs="Arial"/>
          <w:sz w:val="24"/>
          <w:szCs w:val="24"/>
        </w:rPr>
        <w:t xml:space="preserve"> and </w:t>
      </w:r>
      <w:proofErr w:type="spellStart"/>
      <w:r w:rsidRPr="00E506CA">
        <w:rPr>
          <w:rFonts w:ascii="Arial" w:hAnsi="Arial" w:cs="Arial"/>
          <w:i/>
          <w:iCs/>
          <w:sz w:val="24"/>
          <w:szCs w:val="24"/>
        </w:rPr>
        <w:t>Lombaard</w:t>
      </w:r>
      <w:proofErr w:type="spellEnd"/>
      <w:r>
        <w:rPr>
          <w:rFonts w:ascii="Arial" w:hAnsi="Arial" w:cs="Arial"/>
          <w:sz w:val="24"/>
          <w:szCs w:val="24"/>
        </w:rPr>
        <w:t xml:space="preserve"> for guidance on the proper characterisation of the discretion involved in making a decision under the </w:t>
      </w:r>
      <w:r w:rsidR="00695583">
        <w:rPr>
          <w:rFonts w:ascii="Arial" w:hAnsi="Arial" w:cs="Arial"/>
          <w:sz w:val="24"/>
          <w:szCs w:val="24"/>
        </w:rPr>
        <w:t>sub rule</w:t>
      </w:r>
      <w:r>
        <w:rPr>
          <w:rFonts w:ascii="Arial" w:hAnsi="Arial" w:cs="Arial"/>
          <w:sz w:val="24"/>
          <w:szCs w:val="24"/>
        </w:rPr>
        <w:t xml:space="preserve"> is complicated by the fact that the interference by the appellate courts in those matters would, rather as in the current matter, have been warranted irrespective of whether they characterised the discretion that was engaged as ‘loose’ or ‘true’.  The first instance court in </w:t>
      </w:r>
      <w:proofErr w:type="spellStart"/>
      <w:r w:rsidRPr="00E506CA">
        <w:rPr>
          <w:rFonts w:ascii="Arial" w:hAnsi="Arial" w:cs="Arial"/>
          <w:i/>
          <w:iCs/>
          <w:sz w:val="24"/>
          <w:szCs w:val="24"/>
        </w:rPr>
        <w:t>Mamadi</w:t>
      </w:r>
      <w:proofErr w:type="spellEnd"/>
      <w:r w:rsidRPr="00E506CA">
        <w:rPr>
          <w:rFonts w:ascii="Arial" w:hAnsi="Arial" w:cs="Arial"/>
          <w:i/>
          <w:iCs/>
          <w:sz w:val="24"/>
          <w:szCs w:val="24"/>
        </w:rPr>
        <w:t xml:space="preserve"> </w:t>
      </w:r>
      <w:r>
        <w:rPr>
          <w:rFonts w:ascii="Arial" w:hAnsi="Arial" w:cs="Arial"/>
          <w:sz w:val="24"/>
          <w:szCs w:val="24"/>
        </w:rPr>
        <w:t xml:space="preserve">had proceeded on a mistaken apprehension of the law, and, in </w:t>
      </w:r>
      <w:proofErr w:type="spellStart"/>
      <w:r w:rsidRPr="00E506CA">
        <w:rPr>
          <w:rFonts w:ascii="Arial" w:hAnsi="Arial" w:cs="Arial"/>
          <w:i/>
          <w:iCs/>
          <w:sz w:val="24"/>
          <w:szCs w:val="24"/>
        </w:rPr>
        <w:t>Lombaard</w:t>
      </w:r>
      <w:proofErr w:type="spellEnd"/>
      <w:r>
        <w:rPr>
          <w:rFonts w:ascii="Arial" w:hAnsi="Arial" w:cs="Arial"/>
          <w:sz w:val="24"/>
          <w:szCs w:val="24"/>
        </w:rPr>
        <w:t>, according to the majority, on the basis of an erroneous finding that there was a genuine dispute of fact on the papers.</w:t>
      </w:r>
    </w:p>
    <w:p w14:paraId="57579E4A" w14:textId="77777777" w:rsidR="00D22B8A" w:rsidRPr="00E506CA" w:rsidRDefault="00D22B8A" w:rsidP="00E506CA">
      <w:pPr>
        <w:pStyle w:val="ListParagraph"/>
        <w:rPr>
          <w:rFonts w:ascii="Arial" w:hAnsi="Arial" w:cs="Arial"/>
          <w:sz w:val="24"/>
          <w:szCs w:val="24"/>
        </w:rPr>
      </w:pPr>
    </w:p>
    <w:p w14:paraId="5760616F" w14:textId="77777777" w:rsidR="00BD5607" w:rsidRDefault="00D22B8A" w:rsidP="00D22B8A">
      <w:pPr>
        <w:pStyle w:val="ListParagraph"/>
        <w:numPr>
          <w:ilvl w:val="0"/>
          <w:numId w:val="2"/>
        </w:numPr>
        <w:spacing w:after="0" w:line="480" w:lineRule="auto"/>
        <w:ind w:hanging="720"/>
        <w:jc w:val="both"/>
        <w:rPr>
          <w:rFonts w:ascii="Arial" w:hAnsi="Arial" w:cs="Arial"/>
          <w:sz w:val="24"/>
          <w:szCs w:val="24"/>
        </w:rPr>
      </w:pPr>
      <w:r>
        <w:rPr>
          <w:rFonts w:ascii="Arial" w:hAnsi="Arial" w:cs="Arial"/>
          <w:sz w:val="24"/>
          <w:szCs w:val="24"/>
        </w:rPr>
        <w:t>It is not altogether clear to me that a court faced with deciding an appropriate order in terms of rule 6(5)(g) has a choice of the relatively unfettered nature that characterises well recognised truly discretionary decisions such as in matters of sentencing</w:t>
      </w:r>
      <w:r w:rsidR="00E506CA">
        <w:rPr>
          <w:rFonts w:ascii="Arial" w:hAnsi="Arial" w:cs="Arial"/>
          <w:sz w:val="24"/>
          <w:szCs w:val="24"/>
        </w:rPr>
        <w:t>, general damages and costs etc</w:t>
      </w:r>
      <w:r>
        <w:rPr>
          <w:rFonts w:ascii="Arial" w:hAnsi="Arial" w:cs="Arial"/>
          <w:sz w:val="24"/>
          <w:szCs w:val="24"/>
        </w:rPr>
        <w:t xml:space="preserve">.  A court has to </w:t>
      </w:r>
      <w:r w:rsidRPr="00E506CA">
        <w:rPr>
          <w:rFonts w:ascii="Arial" w:hAnsi="Arial" w:cs="Arial"/>
          <w:sz w:val="24"/>
          <w:szCs w:val="24"/>
        </w:rPr>
        <w:t>have regard to a number of disparate and incommensurable features in coming to a</w:t>
      </w:r>
      <w:r>
        <w:rPr>
          <w:rFonts w:ascii="Arial" w:hAnsi="Arial" w:cs="Arial"/>
          <w:sz w:val="24"/>
          <w:szCs w:val="24"/>
        </w:rPr>
        <w:t>n appropriate</w:t>
      </w:r>
      <w:r w:rsidRPr="00E506CA">
        <w:rPr>
          <w:rFonts w:ascii="Arial" w:hAnsi="Arial" w:cs="Arial"/>
          <w:sz w:val="24"/>
          <w:szCs w:val="24"/>
        </w:rPr>
        <w:t xml:space="preserve"> decision</w:t>
      </w:r>
      <w:r>
        <w:rPr>
          <w:rFonts w:ascii="Arial" w:hAnsi="Arial" w:cs="Arial"/>
          <w:sz w:val="24"/>
          <w:szCs w:val="24"/>
        </w:rPr>
        <w:t xml:space="preserve"> in terms of rule 6(5)(g): (</w:t>
      </w:r>
      <w:proofErr w:type="spellStart"/>
      <w:r>
        <w:rPr>
          <w:rFonts w:ascii="Arial" w:hAnsi="Arial" w:cs="Arial"/>
          <w:sz w:val="24"/>
          <w:szCs w:val="24"/>
        </w:rPr>
        <w:t>i</w:t>
      </w:r>
      <w:proofErr w:type="spellEnd"/>
      <w:r>
        <w:rPr>
          <w:rFonts w:ascii="Arial" w:hAnsi="Arial" w:cs="Arial"/>
          <w:sz w:val="24"/>
          <w:szCs w:val="24"/>
        </w:rPr>
        <w:t xml:space="preserve">) the </w:t>
      </w:r>
      <w:r w:rsidR="00E506CA">
        <w:rPr>
          <w:rFonts w:ascii="Arial" w:hAnsi="Arial" w:cs="Arial"/>
          <w:sz w:val="24"/>
          <w:szCs w:val="24"/>
        </w:rPr>
        <w:t>foreseeability</w:t>
      </w:r>
      <w:r>
        <w:rPr>
          <w:rFonts w:ascii="Arial" w:hAnsi="Arial" w:cs="Arial"/>
          <w:sz w:val="24"/>
          <w:szCs w:val="24"/>
        </w:rPr>
        <w:t xml:space="preserve"> of the dispute, (ii) the degree of blameworthiness</w:t>
      </w:r>
      <w:r w:rsidR="00BD5607">
        <w:rPr>
          <w:rFonts w:ascii="Arial" w:hAnsi="Arial" w:cs="Arial"/>
          <w:sz w:val="24"/>
          <w:szCs w:val="24"/>
        </w:rPr>
        <w:t>, if any,</w:t>
      </w:r>
      <w:r>
        <w:rPr>
          <w:rFonts w:ascii="Arial" w:hAnsi="Arial" w:cs="Arial"/>
          <w:sz w:val="24"/>
          <w:szCs w:val="24"/>
        </w:rPr>
        <w:t xml:space="preserve"> in the circumstances of the given case of the applicant having proceeded in the face of a foreseeable dispute, (iii) the nature and ambit of the dispute in question, (iv) its amenability to convenient determination by a reference to oral evidence on defined issues, as </w:t>
      </w:r>
      <w:r>
        <w:rPr>
          <w:rFonts w:ascii="Arial" w:hAnsi="Arial" w:cs="Arial"/>
          <w:sz w:val="24"/>
          <w:szCs w:val="24"/>
        </w:rPr>
        <w:lastRenderedPageBreak/>
        <w:t xml:space="preserve">distinct from in action proceedings to be commenced </w:t>
      </w:r>
      <w:r w:rsidRPr="00E506CA">
        <w:rPr>
          <w:rFonts w:ascii="Arial" w:hAnsi="Arial" w:cs="Arial"/>
          <w:i/>
          <w:iCs/>
          <w:sz w:val="24"/>
          <w:szCs w:val="24"/>
        </w:rPr>
        <w:t>de novo</w:t>
      </w:r>
      <w:r>
        <w:rPr>
          <w:rFonts w:ascii="Arial" w:hAnsi="Arial" w:cs="Arial"/>
          <w:sz w:val="24"/>
          <w:szCs w:val="24"/>
        </w:rPr>
        <w:t>, (v) the probabilities as they appear on the papers (if those are against the applicant</w:t>
      </w:r>
      <w:r w:rsidR="00BD5607">
        <w:rPr>
          <w:rFonts w:ascii="Arial" w:hAnsi="Arial" w:cs="Arial"/>
          <w:sz w:val="24"/>
          <w:szCs w:val="24"/>
        </w:rPr>
        <w:t>,</w:t>
      </w:r>
      <w:r>
        <w:rPr>
          <w:rFonts w:ascii="Arial" w:hAnsi="Arial" w:cs="Arial"/>
          <w:sz w:val="24"/>
          <w:szCs w:val="24"/>
        </w:rPr>
        <w:t xml:space="preserve"> the court will be less inclined to send the dispute for oral evidence) (vi) the interests of justice, and (vii) the effect of any other feature that might be relevant in the circumstances of the given case.  </w:t>
      </w:r>
    </w:p>
    <w:p w14:paraId="2786D663" w14:textId="77777777" w:rsidR="00BD5607" w:rsidRDefault="00BD5607" w:rsidP="00E506CA">
      <w:pPr>
        <w:pStyle w:val="ListParagraph"/>
        <w:spacing w:after="0" w:line="480" w:lineRule="auto"/>
        <w:jc w:val="both"/>
        <w:rPr>
          <w:rFonts w:ascii="Arial" w:hAnsi="Arial" w:cs="Arial"/>
          <w:sz w:val="24"/>
          <w:szCs w:val="24"/>
        </w:rPr>
      </w:pPr>
    </w:p>
    <w:p w14:paraId="7ADB5F7D" w14:textId="70924B7D" w:rsidR="00BD5607" w:rsidRDefault="00D22B8A" w:rsidP="00D22B8A">
      <w:pPr>
        <w:pStyle w:val="ListParagraph"/>
        <w:numPr>
          <w:ilvl w:val="0"/>
          <w:numId w:val="2"/>
        </w:numPr>
        <w:spacing w:after="0" w:line="480" w:lineRule="auto"/>
        <w:ind w:hanging="720"/>
        <w:jc w:val="both"/>
        <w:rPr>
          <w:rFonts w:ascii="Arial" w:hAnsi="Arial" w:cs="Arial"/>
          <w:sz w:val="24"/>
          <w:szCs w:val="24"/>
        </w:rPr>
      </w:pPr>
      <w:r>
        <w:rPr>
          <w:rFonts w:ascii="Arial" w:hAnsi="Arial" w:cs="Arial"/>
          <w:sz w:val="24"/>
          <w:szCs w:val="24"/>
        </w:rPr>
        <w:t xml:space="preserve">In </w:t>
      </w:r>
      <w:proofErr w:type="spellStart"/>
      <w:r w:rsidRPr="00E506CA">
        <w:rPr>
          <w:rFonts w:ascii="Arial" w:hAnsi="Arial" w:cs="Arial"/>
          <w:i/>
          <w:iCs/>
          <w:sz w:val="24"/>
          <w:szCs w:val="24"/>
        </w:rPr>
        <w:t>Mamadi</w:t>
      </w:r>
      <w:proofErr w:type="spellEnd"/>
      <w:r>
        <w:rPr>
          <w:rFonts w:ascii="Arial" w:hAnsi="Arial" w:cs="Arial"/>
          <w:i/>
          <w:iCs/>
          <w:sz w:val="24"/>
          <w:szCs w:val="24"/>
        </w:rPr>
        <w:t xml:space="preserve">, </w:t>
      </w:r>
      <w:r>
        <w:rPr>
          <w:rFonts w:ascii="Arial" w:hAnsi="Arial" w:cs="Arial"/>
          <w:sz w:val="24"/>
          <w:szCs w:val="24"/>
        </w:rPr>
        <w:t xml:space="preserve">the Constitutional Court, referring to the power of dismissal in </w:t>
      </w:r>
      <w:r w:rsidRPr="00D22B8A">
        <w:rPr>
          <w:rFonts w:ascii="Arial" w:hAnsi="Arial" w:cs="Arial"/>
          <w:sz w:val="24"/>
          <w:szCs w:val="24"/>
        </w:rPr>
        <w:t>rule 6(5)(g)</w:t>
      </w:r>
      <w:r>
        <w:rPr>
          <w:rFonts w:ascii="Arial" w:hAnsi="Arial" w:cs="Arial"/>
          <w:sz w:val="24"/>
          <w:szCs w:val="24"/>
        </w:rPr>
        <w:t>, said that it</w:t>
      </w:r>
      <w:r w:rsidRPr="00D22B8A">
        <w:rPr>
          <w:rFonts w:ascii="Arial" w:hAnsi="Arial" w:cs="Arial"/>
          <w:sz w:val="24"/>
          <w:szCs w:val="24"/>
        </w:rPr>
        <w:t xml:space="preserve"> </w:t>
      </w:r>
      <w:r>
        <w:rPr>
          <w:rFonts w:ascii="Arial" w:hAnsi="Arial" w:cs="Arial"/>
          <w:sz w:val="24"/>
          <w:szCs w:val="24"/>
        </w:rPr>
        <w:t>‘</w:t>
      </w:r>
      <w:r w:rsidRPr="00E506CA">
        <w:rPr>
          <w:rFonts w:ascii="Arial" w:hAnsi="Arial" w:cs="Arial"/>
          <w:i/>
          <w:iCs/>
          <w:sz w:val="24"/>
          <w:szCs w:val="24"/>
        </w:rPr>
        <w:t>serves to punish litigants for the improper use of motion proceedings</w:t>
      </w:r>
      <w:r>
        <w:rPr>
          <w:rFonts w:ascii="Arial" w:hAnsi="Arial" w:cs="Arial"/>
          <w:sz w:val="24"/>
          <w:szCs w:val="24"/>
        </w:rPr>
        <w:t>’.</w:t>
      </w:r>
      <w:r>
        <w:rPr>
          <w:rStyle w:val="FootnoteReference"/>
          <w:rFonts w:ascii="Arial" w:hAnsi="Arial" w:cs="Arial"/>
          <w:sz w:val="24"/>
          <w:szCs w:val="24"/>
        </w:rPr>
        <w:footnoteReference w:id="29"/>
      </w:r>
      <w:r>
        <w:rPr>
          <w:rFonts w:ascii="Arial" w:hAnsi="Arial" w:cs="Arial"/>
          <w:sz w:val="24"/>
          <w:szCs w:val="24"/>
        </w:rPr>
        <w:t xml:space="preserve">  I would have difficulty accepting the notion that a decision whether conduct is worthy of punishment or not could be any more the subject of a ‘true’ discretion than a decision whether or not to grant an interim interdict.  And as we know from </w:t>
      </w:r>
      <w:r w:rsidRPr="00E506CA">
        <w:rPr>
          <w:rFonts w:ascii="Arial" w:hAnsi="Arial" w:cs="Arial"/>
          <w:i/>
          <w:iCs/>
          <w:sz w:val="24"/>
          <w:szCs w:val="24"/>
        </w:rPr>
        <w:t>Knox D’Arcy</w:t>
      </w:r>
      <w:r>
        <w:rPr>
          <w:rFonts w:ascii="Arial" w:hAnsi="Arial" w:cs="Arial"/>
          <w:sz w:val="24"/>
          <w:szCs w:val="24"/>
        </w:rPr>
        <w:t xml:space="preserve"> supra, the discretion engaged in making the latter type of decision is a ‘loose’ (or ‘wide’) one, not a ‘strict’ or ‘true’ one.</w:t>
      </w:r>
      <w:r w:rsidR="00BD5607">
        <w:rPr>
          <w:rFonts w:ascii="Arial" w:hAnsi="Arial" w:cs="Arial"/>
          <w:sz w:val="24"/>
          <w:szCs w:val="24"/>
        </w:rPr>
        <w:t xml:space="preserve">  </w:t>
      </w:r>
    </w:p>
    <w:p w14:paraId="4CEB4235" w14:textId="77777777" w:rsidR="00BD5607" w:rsidRDefault="00BD5607" w:rsidP="00E506CA">
      <w:pPr>
        <w:pStyle w:val="ListParagraph"/>
        <w:spacing w:after="0" w:line="480" w:lineRule="auto"/>
        <w:jc w:val="both"/>
        <w:rPr>
          <w:rFonts w:ascii="Arial" w:hAnsi="Arial" w:cs="Arial"/>
          <w:sz w:val="24"/>
          <w:szCs w:val="24"/>
        </w:rPr>
      </w:pPr>
    </w:p>
    <w:p w14:paraId="09E118F4" w14:textId="77777777" w:rsidR="00734E42" w:rsidRDefault="00BD5607" w:rsidP="00D22B8A">
      <w:pPr>
        <w:pStyle w:val="ListParagraph"/>
        <w:numPr>
          <w:ilvl w:val="0"/>
          <w:numId w:val="2"/>
        </w:numPr>
        <w:spacing w:after="0" w:line="480" w:lineRule="auto"/>
        <w:ind w:hanging="720"/>
        <w:jc w:val="both"/>
        <w:rPr>
          <w:rFonts w:ascii="Arial" w:hAnsi="Arial" w:cs="Arial"/>
          <w:sz w:val="24"/>
          <w:szCs w:val="24"/>
        </w:rPr>
      </w:pPr>
      <w:r>
        <w:rPr>
          <w:rFonts w:ascii="Arial" w:hAnsi="Arial" w:cs="Arial"/>
          <w:sz w:val="24"/>
          <w:szCs w:val="24"/>
        </w:rPr>
        <w:t xml:space="preserve">It seems to me, on the face of matters, that the decision that a court has to make under rule 6(5)(g) involves what EM </w:t>
      </w:r>
      <w:proofErr w:type="spellStart"/>
      <w:r>
        <w:rPr>
          <w:rFonts w:ascii="Arial" w:hAnsi="Arial" w:cs="Arial"/>
          <w:sz w:val="24"/>
          <w:szCs w:val="24"/>
        </w:rPr>
        <w:t>Grosskkopf</w:t>
      </w:r>
      <w:proofErr w:type="spellEnd"/>
      <w:r>
        <w:rPr>
          <w:rFonts w:ascii="Arial" w:hAnsi="Arial" w:cs="Arial"/>
          <w:sz w:val="24"/>
          <w:szCs w:val="24"/>
        </w:rPr>
        <w:t xml:space="preserve"> JA referred to in </w:t>
      </w:r>
      <w:r w:rsidRPr="00E506CA">
        <w:rPr>
          <w:rFonts w:ascii="Arial" w:hAnsi="Arial" w:cs="Arial"/>
          <w:i/>
          <w:iCs/>
          <w:sz w:val="24"/>
          <w:szCs w:val="24"/>
        </w:rPr>
        <w:t>Media Workers Association</w:t>
      </w:r>
      <w:r>
        <w:rPr>
          <w:rFonts w:ascii="Arial" w:hAnsi="Arial" w:cs="Arial"/>
          <w:sz w:val="24"/>
          <w:szCs w:val="24"/>
        </w:rPr>
        <w:t xml:space="preserve"> as </w:t>
      </w:r>
      <w:r w:rsidRPr="00783476">
        <w:rPr>
          <w:rFonts w:ascii="Arial" w:hAnsi="Arial" w:cs="Arial"/>
          <w:i/>
          <w:sz w:val="24"/>
          <w:szCs w:val="24"/>
        </w:rPr>
        <w:t>‘a determination ... [to be] made by the court in the light of all relevant considerations'.</w:t>
      </w:r>
      <w:r w:rsidR="003D0A3F">
        <w:rPr>
          <w:rStyle w:val="FootnoteReference"/>
          <w:rFonts w:ascii="Arial" w:hAnsi="Arial" w:cs="Arial"/>
          <w:sz w:val="24"/>
          <w:szCs w:val="24"/>
        </w:rPr>
        <w:footnoteReference w:id="30"/>
      </w:r>
      <w:r>
        <w:rPr>
          <w:rFonts w:ascii="Arial" w:hAnsi="Arial" w:cs="Arial"/>
          <w:sz w:val="24"/>
          <w:szCs w:val="24"/>
        </w:rPr>
        <w:t xml:space="preserve">  The appropriate decision has to be informed by those considerations.  Despite the </w:t>
      </w:r>
      <w:r w:rsidR="00695583">
        <w:rPr>
          <w:rFonts w:ascii="Arial" w:hAnsi="Arial" w:cs="Arial"/>
          <w:sz w:val="24"/>
          <w:szCs w:val="24"/>
        </w:rPr>
        <w:t>sub rule</w:t>
      </w:r>
      <w:r>
        <w:rPr>
          <w:rFonts w:ascii="Arial" w:hAnsi="Arial" w:cs="Arial"/>
          <w:sz w:val="24"/>
          <w:szCs w:val="24"/>
        </w:rPr>
        <w:t xml:space="preserve"> affording a choice of courses to follow, the court’s decision on which to adopt has to be informed by those considerations.  Hence, if the dispute of fact were not reasonably foreseeable and the issue in dispute could be conveniently determined on a reference to </w:t>
      </w:r>
    </w:p>
    <w:p w14:paraId="54A25CAB" w14:textId="77777777" w:rsidR="00734E42" w:rsidRPr="00734E42" w:rsidRDefault="00734E42" w:rsidP="00734E42">
      <w:pPr>
        <w:pStyle w:val="ListParagraph"/>
        <w:rPr>
          <w:rFonts w:ascii="Arial" w:hAnsi="Arial" w:cs="Arial"/>
          <w:sz w:val="24"/>
          <w:szCs w:val="24"/>
        </w:rPr>
      </w:pPr>
    </w:p>
    <w:p w14:paraId="7857D892" w14:textId="40B56499" w:rsidR="00D22B8A" w:rsidRDefault="00BD5607" w:rsidP="00D22B8A">
      <w:pPr>
        <w:pStyle w:val="ListParagraph"/>
        <w:numPr>
          <w:ilvl w:val="0"/>
          <w:numId w:val="2"/>
        </w:numPr>
        <w:spacing w:after="0" w:line="480" w:lineRule="auto"/>
        <w:ind w:hanging="720"/>
        <w:jc w:val="both"/>
        <w:rPr>
          <w:rFonts w:ascii="Arial" w:hAnsi="Arial" w:cs="Arial"/>
          <w:sz w:val="24"/>
          <w:szCs w:val="24"/>
        </w:rPr>
      </w:pPr>
      <w:r>
        <w:rPr>
          <w:rFonts w:ascii="Arial" w:hAnsi="Arial" w:cs="Arial"/>
          <w:sz w:val="24"/>
          <w:szCs w:val="24"/>
        </w:rPr>
        <w:lastRenderedPageBreak/>
        <w:t>oral evidence, dismiss</w:t>
      </w:r>
      <w:r w:rsidR="003D0A3F">
        <w:rPr>
          <w:rFonts w:ascii="Arial" w:hAnsi="Arial" w:cs="Arial"/>
          <w:sz w:val="24"/>
          <w:szCs w:val="24"/>
        </w:rPr>
        <w:t>ing</w:t>
      </w:r>
      <w:r>
        <w:rPr>
          <w:rFonts w:ascii="Arial" w:hAnsi="Arial" w:cs="Arial"/>
          <w:sz w:val="24"/>
          <w:szCs w:val="24"/>
        </w:rPr>
        <w:t xml:space="preserve"> the application on the papers instead of referring the dispute for the hearing of oral evidence</w:t>
      </w:r>
      <w:r w:rsidR="003D0A3F">
        <w:rPr>
          <w:rFonts w:ascii="Arial" w:hAnsi="Arial" w:cs="Arial"/>
          <w:sz w:val="24"/>
          <w:szCs w:val="24"/>
        </w:rPr>
        <w:t xml:space="preserve"> would, in my view, not be an available choice</w:t>
      </w:r>
      <w:r>
        <w:rPr>
          <w:rFonts w:ascii="Arial" w:hAnsi="Arial" w:cs="Arial"/>
          <w:sz w:val="24"/>
          <w:szCs w:val="24"/>
        </w:rPr>
        <w:t>.</w:t>
      </w:r>
    </w:p>
    <w:p w14:paraId="5D1C59C4" w14:textId="77777777" w:rsidR="00D22B8A" w:rsidRPr="00E506CA" w:rsidRDefault="00D22B8A" w:rsidP="00E506CA">
      <w:pPr>
        <w:pStyle w:val="ListParagraph"/>
        <w:rPr>
          <w:rFonts w:ascii="Arial" w:hAnsi="Arial" w:cs="Arial"/>
          <w:sz w:val="24"/>
          <w:szCs w:val="24"/>
        </w:rPr>
      </w:pPr>
    </w:p>
    <w:p w14:paraId="23AC9071" w14:textId="77777777" w:rsidR="00D22B8A" w:rsidRDefault="00D22B8A" w:rsidP="00D22B8A">
      <w:pPr>
        <w:pStyle w:val="ListParagraph"/>
        <w:numPr>
          <w:ilvl w:val="0"/>
          <w:numId w:val="2"/>
        </w:numPr>
        <w:spacing w:after="0" w:line="480" w:lineRule="auto"/>
        <w:ind w:hanging="720"/>
        <w:jc w:val="both"/>
        <w:rPr>
          <w:rFonts w:ascii="Arial" w:hAnsi="Arial" w:cs="Arial"/>
          <w:sz w:val="24"/>
          <w:szCs w:val="24"/>
        </w:rPr>
      </w:pPr>
      <w:r>
        <w:rPr>
          <w:rFonts w:ascii="Arial" w:hAnsi="Arial" w:cs="Arial"/>
          <w:sz w:val="24"/>
          <w:szCs w:val="24"/>
        </w:rPr>
        <w:t xml:space="preserve">I am doubtful whether the characterisation issue was a necessary part of the Courts’ decisions in </w:t>
      </w:r>
      <w:proofErr w:type="spellStart"/>
      <w:r w:rsidRPr="00E506CA">
        <w:rPr>
          <w:rFonts w:ascii="Arial" w:hAnsi="Arial" w:cs="Arial"/>
          <w:i/>
          <w:iCs/>
          <w:sz w:val="24"/>
          <w:szCs w:val="24"/>
        </w:rPr>
        <w:t>Mamadi</w:t>
      </w:r>
      <w:proofErr w:type="spellEnd"/>
      <w:r>
        <w:rPr>
          <w:rFonts w:ascii="Arial" w:hAnsi="Arial" w:cs="Arial"/>
          <w:sz w:val="24"/>
          <w:szCs w:val="24"/>
        </w:rPr>
        <w:t xml:space="preserve"> and </w:t>
      </w:r>
      <w:proofErr w:type="spellStart"/>
      <w:r w:rsidRPr="00E506CA">
        <w:rPr>
          <w:rFonts w:ascii="Arial" w:hAnsi="Arial" w:cs="Arial"/>
          <w:i/>
          <w:iCs/>
          <w:sz w:val="24"/>
          <w:szCs w:val="24"/>
        </w:rPr>
        <w:t>Lombaard</w:t>
      </w:r>
      <w:proofErr w:type="spellEnd"/>
      <w:r>
        <w:rPr>
          <w:rFonts w:ascii="Arial" w:hAnsi="Arial" w:cs="Arial"/>
          <w:sz w:val="24"/>
          <w:szCs w:val="24"/>
        </w:rPr>
        <w:t xml:space="preserve">. It was not an issue that was investigated in any depth in either of those appeals.  In the face of the </w:t>
      </w:r>
      <w:r w:rsidR="00E506CA">
        <w:rPr>
          <w:rFonts w:ascii="Arial" w:hAnsi="Arial" w:cs="Arial"/>
          <w:sz w:val="24"/>
          <w:szCs w:val="24"/>
        </w:rPr>
        <w:t>misdirection’s</w:t>
      </w:r>
      <w:r>
        <w:rPr>
          <w:rFonts w:ascii="Arial" w:hAnsi="Arial" w:cs="Arial"/>
          <w:sz w:val="24"/>
          <w:szCs w:val="24"/>
        </w:rPr>
        <w:t xml:space="preserve"> by the court a quo identified in the principal judgment, it is certainly not an essential issue in the current appeal.</w:t>
      </w:r>
    </w:p>
    <w:p w14:paraId="2E2E0988" w14:textId="77777777" w:rsidR="00D22B8A" w:rsidRPr="00E506CA" w:rsidRDefault="00D22B8A" w:rsidP="00E506CA">
      <w:pPr>
        <w:pStyle w:val="ListParagraph"/>
        <w:rPr>
          <w:rFonts w:ascii="Arial" w:hAnsi="Arial" w:cs="Arial"/>
          <w:sz w:val="24"/>
          <w:szCs w:val="24"/>
        </w:rPr>
      </w:pPr>
    </w:p>
    <w:p w14:paraId="37306F03" w14:textId="77777777" w:rsidR="00D22B8A" w:rsidRPr="00E506CA" w:rsidRDefault="00D22B8A" w:rsidP="00E506CA">
      <w:pPr>
        <w:spacing w:after="0" w:line="480" w:lineRule="auto"/>
        <w:jc w:val="both"/>
        <w:rPr>
          <w:rFonts w:ascii="Arial" w:hAnsi="Arial" w:cs="Arial"/>
          <w:sz w:val="24"/>
          <w:szCs w:val="24"/>
        </w:rPr>
      </w:pPr>
    </w:p>
    <w:p w14:paraId="581FA04D" w14:textId="77777777" w:rsidR="00C752B5" w:rsidRDefault="00C752B5" w:rsidP="00C752B5">
      <w:pPr>
        <w:spacing w:after="0" w:line="480" w:lineRule="auto"/>
        <w:ind w:left="720" w:hanging="720"/>
        <w:jc w:val="right"/>
        <w:rPr>
          <w:rFonts w:ascii="Arial" w:hAnsi="Arial" w:cs="Arial"/>
          <w:sz w:val="24"/>
          <w:szCs w:val="24"/>
        </w:rPr>
      </w:pPr>
      <w:r>
        <w:rPr>
          <w:rFonts w:ascii="Arial" w:hAnsi="Arial" w:cs="Arial"/>
          <w:sz w:val="24"/>
          <w:szCs w:val="24"/>
        </w:rPr>
        <w:t>_____________________</w:t>
      </w:r>
    </w:p>
    <w:p w14:paraId="50559E7C" w14:textId="77777777" w:rsidR="00C752B5" w:rsidRDefault="00D22B8A" w:rsidP="00C752B5">
      <w:pPr>
        <w:spacing w:after="0" w:line="480" w:lineRule="auto"/>
        <w:ind w:left="720" w:hanging="720"/>
        <w:jc w:val="right"/>
        <w:rPr>
          <w:rFonts w:ascii="Arial" w:hAnsi="Arial" w:cs="Arial"/>
          <w:b/>
          <w:bCs/>
          <w:sz w:val="24"/>
          <w:szCs w:val="24"/>
        </w:rPr>
      </w:pPr>
      <w:r>
        <w:rPr>
          <w:rFonts w:ascii="Arial" w:hAnsi="Arial" w:cs="Arial"/>
          <w:b/>
          <w:bCs/>
          <w:sz w:val="24"/>
          <w:szCs w:val="24"/>
        </w:rPr>
        <w:t xml:space="preserve">A.G. </w:t>
      </w:r>
      <w:r w:rsidR="00C752B5">
        <w:rPr>
          <w:rFonts w:ascii="Arial" w:hAnsi="Arial" w:cs="Arial"/>
          <w:b/>
          <w:bCs/>
          <w:sz w:val="24"/>
          <w:szCs w:val="24"/>
        </w:rPr>
        <w:t>BINNS-WARD</w:t>
      </w:r>
    </w:p>
    <w:p w14:paraId="7FADE631" w14:textId="77777777" w:rsidR="00D22B8A" w:rsidRPr="00B06972" w:rsidRDefault="00D22B8A" w:rsidP="00C752B5">
      <w:pPr>
        <w:spacing w:after="0" w:line="480" w:lineRule="auto"/>
        <w:ind w:left="720" w:hanging="720"/>
        <w:jc w:val="right"/>
        <w:rPr>
          <w:rFonts w:ascii="Arial" w:hAnsi="Arial" w:cs="Arial"/>
          <w:b/>
          <w:bCs/>
          <w:sz w:val="24"/>
          <w:szCs w:val="24"/>
        </w:rPr>
      </w:pPr>
      <w:r>
        <w:rPr>
          <w:rFonts w:ascii="Arial" w:hAnsi="Arial" w:cs="Arial"/>
          <w:b/>
          <w:bCs/>
          <w:sz w:val="24"/>
          <w:szCs w:val="24"/>
        </w:rPr>
        <w:t>Judge of the High Court</w:t>
      </w:r>
    </w:p>
    <w:p w14:paraId="4D64DC43" w14:textId="77777777" w:rsidR="00E87C58" w:rsidRDefault="00E87C58" w:rsidP="00C752B5">
      <w:pPr>
        <w:spacing w:after="0" w:line="480" w:lineRule="auto"/>
        <w:ind w:left="720" w:hanging="720"/>
        <w:rPr>
          <w:rFonts w:ascii="Arial" w:hAnsi="Arial" w:cs="Arial"/>
          <w:sz w:val="24"/>
          <w:szCs w:val="24"/>
        </w:rPr>
      </w:pPr>
    </w:p>
    <w:p w14:paraId="3162D6EC" w14:textId="77777777" w:rsidR="00C752B5" w:rsidRDefault="00C752B5" w:rsidP="00C752B5">
      <w:pPr>
        <w:spacing w:after="0" w:line="480" w:lineRule="auto"/>
        <w:ind w:left="720" w:hanging="720"/>
        <w:rPr>
          <w:rFonts w:ascii="Arial" w:hAnsi="Arial" w:cs="Arial"/>
          <w:sz w:val="24"/>
          <w:szCs w:val="24"/>
        </w:rPr>
      </w:pPr>
      <w:r w:rsidRPr="00AE2BB5">
        <w:rPr>
          <w:rFonts w:ascii="Arial" w:hAnsi="Arial" w:cs="Arial"/>
          <w:sz w:val="24"/>
          <w:szCs w:val="24"/>
        </w:rPr>
        <w:t>I agree</w:t>
      </w:r>
      <w:r>
        <w:rPr>
          <w:rFonts w:ascii="Arial" w:hAnsi="Arial" w:cs="Arial"/>
          <w:sz w:val="24"/>
          <w:szCs w:val="24"/>
        </w:rPr>
        <w:t xml:space="preserve">. </w:t>
      </w:r>
    </w:p>
    <w:p w14:paraId="37DBFABF" w14:textId="77777777" w:rsidR="00C752B5" w:rsidRDefault="00C752B5" w:rsidP="00C752B5">
      <w:pPr>
        <w:spacing w:after="0" w:line="480" w:lineRule="auto"/>
        <w:ind w:left="720" w:hanging="720"/>
        <w:jc w:val="right"/>
        <w:rPr>
          <w:rFonts w:ascii="Arial" w:hAnsi="Arial" w:cs="Arial"/>
          <w:sz w:val="24"/>
          <w:szCs w:val="24"/>
        </w:rPr>
      </w:pPr>
      <w:r>
        <w:rPr>
          <w:rFonts w:ascii="Arial" w:hAnsi="Arial" w:cs="Arial"/>
          <w:sz w:val="24"/>
          <w:szCs w:val="24"/>
        </w:rPr>
        <w:t>_____________________</w:t>
      </w:r>
    </w:p>
    <w:p w14:paraId="0D2F3127" w14:textId="77777777" w:rsidR="00C752B5" w:rsidRDefault="00D22B8A" w:rsidP="00C752B5">
      <w:pPr>
        <w:spacing w:after="0" w:line="480" w:lineRule="auto"/>
        <w:ind w:left="720" w:hanging="720"/>
        <w:jc w:val="right"/>
        <w:rPr>
          <w:rFonts w:ascii="Arial" w:hAnsi="Arial" w:cs="Arial"/>
          <w:b/>
          <w:bCs/>
          <w:sz w:val="24"/>
          <w:szCs w:val="24"/>
        </w:rPr>
      </w:pPr>
      <w:r>
        <w:rPr>
          <w:rFonts w:ascii="Arial" w:hAnsi="Arial" w:cs="Arial"/>
          <w:b/>
          <w:bCs/>
          <w:sz w:val="24"/>
          <w:szCs w:val="24"/>
        </w:rPr>
        <w:t xml:space="preserve">M.I. </w:t>
      </w:r>
      <w:r w:rsidR="00C752B5">
        <w:rPr>
          <w:rFonts w:ascii="Arial" w:hAnsi="Arial" w:cs="Arial"/>
          <w:b/>
          <w:bCs/>
          <w:sz w:val="24"/>
          <w:szCs w:val="24"/>
        </w:rPr>
        <w:t>SAMELA</w:t>
      </w:r>
    </w:p>
    <w:p w14:paraId="667D6EBF" w14:textId="77777777" w:rsidR="00D22B8A" w:rsidRPr="00B06972" w:rsidRDefault="00D22B8A" w:rsidP="00C752B5">
      <w:pPr>
        <w:spacing w:after="0" w:line="480" w:lineRule="auto"/>
        <w:ind w:left="720" w:hanging="720"/>
        <w:jc w:val="right"/>
        <w:rPr>
          <w:rFonts w:ascii="Arial" w:hAnsi="Arial" w:cs="Arial"/>
          <w:b/>
          <w:bCs/>
          <w:sz w:val="24"/>
          <w:szCs w:val="24"/>
        </w:rPr>
      </w:pPr>
      <w:r>
        <w:rPr>
          <w:rFonts w:ascii="Arial" w:hAnsi="Arial" w:cs="Arial"/>
          <w:b/>
          <w:bCs/>
          <w:sz w:val="24"/>
          <w:szCs w:val="24"/>
        </w:rPr>
        <w:t>Judge of the High Court</w:t>
      </w:r>
    </w:p>
    <w:p w14:paraId="750E7D76" w14:textId="77777777" w:rsidR="00C752B5" w:rsidRDefault="00C752B5" w:rsidP="00C752B5">
      <w:pPr>
        <w:spacing w:after="0" w:line="480" w:lineRule="auto"/>
        <w:ind w:left="720" w:hanging="720"/>
        <w:jc w:val="both"/>
        <w:rPr>
          <w:rFonts w:ascii="Arial" w:hAnsi="Arial" w:cs="Arial"/>
          <w:sz w:val="24"/>
          <w:szCs w:val="24"/>
        </w:rPr>
      </w:pPr>
    </w:p>
    <w:p w14:paraId="47EFFD2C" w14:textId="77777777" w:rsidR="00B2777D" w:rsidRDefault="00B2777D" w:rsidP="00C752B5">
      <w:pPr>
        <w:spacing w:after="0" w:line="480" w:lineRule="auto"/>
        <w:ind w:left="720" w:hanging="720"/>
        <w:jc w:val="both"/>
        <w:rPr>
          <w:rFonts w:ascii="Arial" w:hAnsi="Arial" w:cs="Arial"/>
          <w:sz w:val="24"/>
          <w:szCs w:val="24"/>
        </w:rPr>
      </w:pPr>
    </w:p>
    <w:p w14:paraId="5CD04AA3" w14:textId="77777777" w:rsidR="00B2777D" w:rsidRDefault="00B2777D" w:rsidP="00C752B5">
      <w:pPr>
        <w:spacing w:after="0" w:line="480" w:lineRule="auto"/>
        <w:ind w:left="720" w:hanging="720"/>
        <w:jc w:val="both"/>
        <w:rPr>
          <w:rFonts w:ascii="Arial" w:hAnsi="Arial" w:cs="Arial"/>
          <w:sz w:val="24"/>
          <w:szCs w:val="24"/>
        </w:rPr>
      </w:pPr>
    </w:p>
    <w:sectPr w:rsidR="00B2777D">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9F66" w16cex:dateUtc="2023-02-09T14:35:00Z"/>
  <w16cex:commentExtensible w16cex:durableId="278F9187" w16cex:dateUtc="2023-02-09T13:36:00Z"/>
  <w16cex:commentExtensible w16cex:durableId="278FA2F0" w16cex:dateUtc="2023-02-09T14:50:00Z"/>
  <w16cex:commentExtensible w16cex:durableId="278F98B4" w16cex:dateUtc="2023-02-09T14:07:00Z"/>
  <w16cex:commentExtensible w16cex:durableId="278FA86A" w16cex:dateUtc="2023-02-09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625B1" w16cid:durableId="278F9F66"/>
  <w16cid:commentId w16cid:paraId="7F32013D" w16cid:durableId="278F9187"/>
  <w16cid:commentId w16cid:paraId="1963D50A" w16cid:durableId="278FA2F0"/>
  <w16cid:commentId w16cid:paraId="1FDB4C80" w16cid:durableId="278F98B4"/>
  <w16cid:commentId w16cid:paraId="4004E123" w16cid:durableId="278FA8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B2D4F" w14:textId="77777777" w:rsidR="00EA3985" w:rsidRDefault="00EA3985" w:rsidP="00006D01">
      <w:pPr>
        <w:spacing w:after="0" w:line="240" w:lineRule="auto"/>
      </w:pPr>
      <w:r>
        <w:separator/>
      </w:r>
    </w:p>
  </w:endnote>
  <w:endnote w:type="continuationSeparator" w:id="0">
    <w:p w14:paraId="5657C7CB" w14:textId="77777777" w:rsidR="00EA3985" w:rsidRDefault="00EA3985" w:rsidP="0000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843097"/>
      <w:docPartObj>
        <w:docPartGallery w:val="Page Numbers (Bottom of Page)"/>
        <w:docPartUnique/>
      </w:docPartObj>
    </w:sdtPr>
    <w:sdtEndPr>
      <w:rPr>
        <w:noProof/>
      </w:rPr>
    </w:sdtEndPr>
    <w:sdtContent>
      <w:p w14:paraId="1F56144A" w14:textId="55CCE0A9" w:rsidR="00006D01" w:rsidRDefault="00006D01">
        <w:pPr>
          <w:pStyle w:val="Footer"/>
          <w:jc w:val="right"/>
        </w:pPr>
        <w:r>
          <w:fldChar w:fldCharType="begin"/>
        </w:r>
        <w:r>
          <w:instrText xml:space="preserve"> PAGE   \* MERGEFORMAT </w:instrText>
        </w:r>
        <w:r>
          <w:fldChar w:fldCharType="separate"/>
        </w:r>
        <w:r w:rsidR="00F94D58">
          <w:rPr>
            <w:noProof/>
          </w:rPr>
          <w:t>1</w:t>
        </w:r>
        <w:r>
          <w:rPr>
            <w:noProof/>
          </w:rPr>
          <w:fldChar w:fldCharType="end"/>
        </w:r>
      </w:p>
    </w:sdtContent>
  </w:sdt>
  <w:p w14:paraId="44551FF7" w14:textId="77777777" w:rsidR="00006D01" w:rsidRDefault="00006D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4F8D" w14:textId="77777777" w:rsidR="00EA3985" w:rsidRDefault="00EA3985" w:rsidP="00006D01">
      <w:pPr>
        <w:spacing w:after="0" w:line="240" w:lineRule="auto"/>
      </w:pPr>
      <w:r>
        <w:separator/>
      </w:r>
    </w:p>
  </w:footnote>
  <w:footnote w:type="continuationSeparator" w:id="0">
    <w:p w14:paraId="2EC491CF" w14:textId="77777777" w:rsidR="00EA3985" w:rsidRDefault="00EA3985" w:rsidP="00006D01">
      <w:pPr>
        <w:spacing w:after="0" w:line="240" w:lineRule="auto"/>
      </w:pPr>
      <w:r>
        <w:continuationSeparator/>
      </w:r>
    </w:p>
  </w:footnote>
  <w:footnote w:id="1">
    <w:p w14:paraId="4BF0030C" w14:textId="77777777" w:rsidR="00452E00" w:rsidRPr="00452E00" w:rsidRDefault="00452E00">
      <w:pPr>
        <w:pStyle w:val="FootnoteText"/>
      </w:pPr>
      <w:r>
        <w:rPr>
          <w:rStyle w:val="FootnoteReference"/>
        </w:rPr>
        <w:footnoteRef/>
      </w:r>
      <w:r>
        <w:t xml:space="preserve"> </w:t>
      </w:r>
      <w:proofErr w:type="spellStart"/>
      <w:r w:rsidRPr="00452E00">
        <w:rPr>
          <w:rFonts w:cs="Arial"/>
          <w:b/>
          <w:bCs/>
          <w:i/>
          <w:iCs/>
        </w:rPr>
        <w:t>Plascon</w:t>
      </w:r>
      <w:proofErr w:type="spellEnd"/>
      <w:r w:rsidRPr="00452E00">
        <w:rPr>
          <w:rFonts w:cs="Arial"/>
          <w:b/>
          <w:bCs/>
          <w:i/>
          <w:iCs/>
        </w:rPr>
        <w:t xml:space="preserve">-Evans Paints Ltd v Van </w:t>
      </w:r>
      <w:proofErr w:type="spellStart"/>
      <w:r w:rsidRPr="00452E00">
        <w:rPr>
          <w:rFonts w:cs="Arial"/>
          <w:b/>
          <w:bCs/>
          <w:i/>
          <w:iCs/>
        </w:rPr>
        <w:t>Riebeeck</w:t>
      </w:r>
      <w:proofErr w:type="spellEnd"/>
      <w:r w:rsidRPr="00452E00">
        <w:rPr>
          <w:rFonts w:cs="Arial"/>
          <w:b/>
          <w:bCs/>
          <w:i/>
          <w:iCs/>
        </w:rPr>
        <w:t xml:space="preserve"> Paints (Pty) Ltd </w:t>
      </w:r>
      <w:r w:rsidRPr="00452E00">
        <w:rPr>
          <w:rFonts w:cs="Arial"/>
          <w:b/>
          <w:bCs/>
        </w:rPr>
        <w:t>1964 (3) SA 623 (A)</w:t>
      </w:r>
      <w:r>
        <w:rPr>
          <w:rFonts w:cs="Arial"/>
          <w:b/>
          <w:bCs/>
        </w:rPr>
        <w:t xml:space="preserve"> </w:t>
      </w:r>
      <w:r>
        <w:rPr>
          <w:rFonts w:cs="Arial"/>
        </w:rPr>
        <w:t>at 6</w:t>
      </w:r>
      <w:r w:rsidR="004C5EC3">
        <w:rPr>
          <w:rFonts w:cs="Arial"/>
        </w:rPr>
        <w:t>3</w:t>
      </w:r>
      <w:r>
        <w:rPr>
          <w:rFonts w:cs="Arial"/>
        </w:rPr>
        <w:t>4 E-I and 635 A-C.</w:t>
      </w:r>
    </w:p>
  </w:footnote>
  <w:footnote w:id="2">
    <w:p w14:paraId="51B1BF85" w14:textId="77777777" w:rsidR="00E506CA" w:rsidRPr="00E506CA" w:rsidRDefault="00E506CA">
      <w:pPr>
        <w:pStyle w:val="FootnoteText"/>
        <w:rPr>
          <w:lang w:val="en-GB"/>
        </w:rPr>
      </w:pPr>
      <w:r>
        <w:rPr>
          <w:rStyle w:val="FootnoteReference"/>
        </w:rPr>
        <w:footnoteRef/>
      </w:r>
      <w:r>
        <w:t xml:space="preserve"> </w:t>
      </w:r>
      <w:proofErr w:type="spellStart"/>
      <w:r w:rsidRPr="00E506CA">
        <w:rPr>
          <w:rFonts w:cstheme="minorHAnsi"/>
          <w:b/>
        </w:rPr>
        <w:t>cf</w:t>
      </w:r>
      <w:proofErr w:type="spellEnd"/>
      <w:r w:rsidRPr="00E506CA">
        <w:rPr>
          <w:rFonts w:cstheme="minorHAnsi"/>
          <w:b/>
          <w:i/>
          <w:iCs/>
        </w:rPr>
        <w:t xml:space="preserve"> Wightman t/a JW Construction v </w:t>
      </w:r>
      <w:proofErr w:type="spellStart"/>
      <w:r w:rsidRPr="00E506CA">
        <w:rPr>
          <w:rFonts w:cstheme="minorHAnsi"/>
          <w:b/>
          <w:i/>
          <w:iCs/>
        </w:rPr>
        <w:t>Headfour</w:t>
      </w:r>
      <w:proofErr w:type="spellEnd"/>
      <w:r w:rsidRPr="00E506CA">
        <w:rPr>
          <w:rFonts w:cstheme="minorHAnsi"/>
          <w:b/>
          <w:i/>
          <w:iCs/>
        </w:rPr>
        <w:t xml:space="preserve"> (Pty) Ltd and Another</w:t>
      </w:r>
      <w:r w:rsidRPr="00E506CA">
        <w:rPr>
          <w:rFonts w:ascii="Arial" w:hAnsi="Arial" w:cs="Arial"/>
          <w:b/>
          <w:sz w:val="24"/>
          <w:szCs w:val="24"/>
        </w:rPr>
        <w:t xml:space="preserve"> </w:t>
      </w:r>
      <w:r w:rsidRPr="00E506CA">
        <w:rPr>
          <w:rFonts w:cstheme="minorHAnsi"/>
          <w:b/>
        </w:rPr>
        <w:t>2008 (3) SA 371 (SCA)</w:t>
      </w:r>
      <w:r w:rsidRPr="00E506CA">
        <w:rPr>
          <w:rFonts w:cstheme="minorHAnsi"/>
        </w:rPr>
        <w:t xml:space="preserve"> at para 13</w:t>
      </w:r>
      <w:r w:rsidRPr="00E506CA">
        <w:rPr>
          <w:rFonts w:ascii="Arial" w:hAnsi="Arial" w:cs="Arial"/>
        </w:rPr>
        <w:t>.</w:t>
      </w:r>
    </w:p>
  </w:footnote>
  <w:footnote w:id="3">
    <w:p w14:paraId="35A49387" w14:textId="77777777" w:rsidR="002A2B0A" w:rsidRPr="002A2B0A" w:rsidRDefault="002A2B0A">
      <w:pPr>
        <w:pStyle w:val="FootnoteText"/>
      </w:pPr>
      <w:r>
        <w:rPr>
          <w:rStyle w:val="FootnoteReference"/>
        </w:rPr>
        <w:footnoteRef/>
      </w:r>
      <w:r>
        <w:t xml:space="preserve"> </w:t>
      </w:r>
      <w:proofErr w:type="spellStart"/>
      <w:r w:rsidRPr="002A2B0A">
        <w:rPr>
          <w:rFonts w:cs="Arial"/>
          <w:b/>
          <w:bCs/>
          <w:i/>
          <w:iCs/>
        </w:rPr>
        <w:t>Trencon</w:t>
      </w:r>
      <w:proofErr w:type="spellEnd"/>
      <w:r w:rsidRPr="002A2B0A">
        <w:rPr>
          <w:rFonts w:cs="Arial"/>
          <w:b/>
          <w:bCs/>
          <w:i/>
          <w:iCs/>
        </w:rPr>
        <w:t xml:space="preserve"> Construction </w:t>
      </w:r>
      <w:proofErr w:type="gramStart"/>
      <w:r w:rsidRPr="002A2B0A">
        <w:rPr>
          <w:rFonts w:cs="Arial"/>
          <w:b/>
          <w:bCs/>
          <w:i/>
          <w:iCs/>
        </w:rPr>
        <w:t>v</w:t>
      </w:r>
      <w:proofErr w:type="gramEnd"/>
      <w:r w:rsidRPr="002A2B0A">
        <w:rPr>
          <w:rFonts w:cs="Arial"/>
          <w:b/>
          <w:bCs/>
          <w:i/>
          <w:iCs/>
        </w:rPr>
        <w:t xml:space="preserve"> Industrial Development Corporation </w:t>
      </w:r>
      <w:r w:rsidRPr="002A2B0A">
        <w:rPr>
          <w:rFonts w:cs="Arial"/>
          <w:b/>
          <w:bCs/>
        </w:rPr>
        <w:t>2015 (5) SA 245 (CC)</w:t>
      </w:r>
      <w:r>
        <w:rPr>
          <w:rFonts w:cs="Arial"/>
          <w:b/>
          <w:bCs/>
        </w:rPr>
        <w:t xml:space="preserve"> </w:t>
      </w:r>
      <w:r>
        <w:rPr>
          <w:rFonts w:cs="Arial"/>
        </w:rPr>
        <w:t>at para [83].</w:t>
      </w:r>
    </w:p>
  </w:footnote>
  <w:footnote w:id="4">
    <w:p w14:paraId="05BC7BE3" w14:textId="77777777" w:rsidR="002A2B0A" w:rsidRPr="002A2B0A" w:rsidRDefault="002A2B0A">
      <w:pPr>
        <w:pStyle w:val="FootnoteText"/>
        <w:rPr>
          <w:b/>
          <w:bCs/>
        </w:rPr>
      </w:pPr>
      <w:r>
        <w:rPr>
          <w:rStyle w:val="FootnoteReference"/>
        </w:rPr>
        <w:footnoteRef/>
      </w:r>
      <w:r>
        <w:t xml:space="preserve"> </w:t>
      </w:r>
      <w:r w:rsidR="004B7BEA">
        <w:t>Id</w:t>
      </w:r>
      <w:r w:rsidR="006A17F2">
        <w:rPr>
          <w:i/>
          <w:iCs/>
        </w:rPr>
        <w:t xml:space="preserve"> </w:t>
      </w:r>
      <w:r>
        <w:t xml:space="preserve">at footnote </w:t>
      </w:r>
      <w:r w:rsidR="00E049D5">
        <w:t>[85]</w:t>
      </w:r>
      <w:r>
        <w:t>.</w:t>
      </w:r>
    </w:p>
  </w:footnote>
  <w:footnote w:id="5">
    <w:p w14:paraId="2AE95EC6" w14:textId="77777777" w:rsidR="001F5EFC" w:rsidRPr="001F5EFC" w:rsidRDefault="001F5EFC" w:rsidP="001F5EFC">
      <w:pPr>
        <w:spacing w:after="0" w:line="240" w:lineRule="auto"/>
        <w:ind w:left="720" w:hanging="720"/>
        <w:jc w:val="both"/>
        <w:rPr>
          <w:rFonts w:cs="Arial"/>
          <w:sz w:val="20"/>
          <w:szCs w:val="20"/>
        </w:rPr>
      </w:pPr>
      <w:r>
        <w:rPr>
          <w:rStyle w:val="FootnoteReference"/>
        </w:rPr>
        <w:footnoteRef/>
      </w:r>
      <w:r>
        <w:t xml:space="preserve"> </w:t>
      </w:r>
      <w:r w:rsidR="004B7BEA" w:rsidRPr="004B7BEA">
        <w:rPr>
          <w:rFonts w:cs="Arial"/>
          <w:sz w:val="20"/>
          <w:szCs w:val="20"/>
        </w:rPr>
        <w:t>Id</w:t>
      </w:r>
      <w:r w:rsidRPr="001F5EFC">
        <w:rPr>
          <w:rFonts w:cs="Arial"/>
          <w:b/>
          <w:bCs/>
          <w:i/>
          <w:iCs/>
          <w:sz w:val="20"/>
          <w:szCs w:val="20"/>
        </w:rPr>
        <w:t xml:space="preserve"> </w:t>
      </w:r>
      <w:r w:rsidRPr="001F5EFC">
        <w:rPr>
          <w:rFonts w:cs="Arial"/>
          <w:sz w:val="20"/>
          <w:szCs w:val="20"/>
        </w:rPr>
        <w:t>at para [83].</w:t>
      </w:r>
    </w:p>
  </w:footnote>
  <w:footnote w:id="6">
    <w:p w14:paraId="55E5AB51" w14:textId="77777777" w:rsidR="0092784A" w:rsidRPr="0092784A" w:rsidRDefault="0092784A" w:rsidP="004B7BEA">
      <w:pPr>
        <w:pStyle w:val="FootnoteText"/>
        <w:ind w:left="142" w:hanging="142"/>
        <w:jc w:val="both"/>
      </w:pPr>
      <w:r>
        <w:rPr>
          <w:rStyle w:val="FootnoteReference"/>
        </w:rPr>
        <w:footnoteRef/>
      </w:r>
      <w:r>
        <w:t xml:space="preserve"> </w:t>
      </w:r>
      <w:r w:rsidRPr="0092784A">
        <w:rPr>
          <w:rFonts w:cs="Arial"/>
          <w:b/>
          <w:bCs/>
          <w:i/>
          <w:iCs/>
        </w:rPr>
        <w:t>M</w:t>
      </w:r>
      <w:r w:rsidR="004B7BEA">
        <w:rPr>
          <w:rFonts w:cs="Arial"/>
          <w:b/>
          <w:bCs/>
          <w:i/>
          <w:iCs/>
        </w:rPr>
        <w:t xml:space="preserve">edia Workers Association of South Africa and Others </w:t>
      </w:r>
      <w:proofErr w:type="gramStart"/>
      <w:r w:rsidRPr="0092784A">
        <w:rPr>
          <w:rFonts w:cs="Arial"/>
          <w:b/>
          <w:bCs/>
          <w:i/>
          <w:iCs/>
        </w:rPr>
        <w:t>v</w:t>
      </w:r>
      <w:proofErr w:type="gramEnd"/>
      <w:r w:rsidRPr="0092784A">
        <w:rPr>
          <w:rFonts w:cs="Arial"/>
          <w:b/>
          <w:bCs/>
          <w:i/>
          <w:iCs/>
        </w:rPr>
        <w:t xml:space="preserve"> Press Co</w:t>
      </w:r>
      <w:r w:rsidR="004B7BEA">
        <w:rPr>
          <w:rFonts w:cs="Arial"/>
          <w:b/>
          <w:bCs/>
          <w:i/>
          <w:iCs/>
        </w:rPr>
        <w:t xml:space="preserve">rporation </w:t>
      </w:r>
      <w:r w:rsidRPr="0092784A">
        <w:rPr>
          <w:rFonts w:cs="Arial"/>
          <w:b/>
          <w:bCs/>
          <w:i/>
          <w:iCs/>
        </w:rPr>
        <w:t xml:space="preserve">of SA Ltd </w:t>
      </w:r>
      <w:r w:rsidRPr="0092784A">
        <w:rPr>
          <w:rFonts w:cs="Arial"/>
          <w:b/>
          <w:bCs/>
        </w:rPr>
        <w:t xml:space="preserve">1992 (4) SA 791 (A) </w:t>
      </w:r>
      <w:r w:rsidRPr="0092784A">
        <w:rPr>
          <w:rFonts w:cs="Arial"/>
        </w:rPr>
        <w:t>at 800 D-E.</w:t>
      </w:r>
    </w:p>
  </w:footnote>
  <w:footnote w:id="7">
    <w:p w14:paraId="66EA3703" w14:textId="77777777" w:rsidR="0092784A" w:rsidRPr="0092784A" w:rsidRDefault="0092784A" w:rsidP="001F5EFC">
      <w:pPr>
        <w:pStyle w:val="FootnoteText"/>
        <w:jc w:val="both"/>
      </w:pPr>
      <w:r>
        <w:rPr>
          <w:rStyle w:val="FootnoteReference"/>
        </w:rPr>
        <w:footnoteRef/>
      </w:r>
      <w:r>
        <w:t xml:space="preserve"> See, </w:t>
      </w:r>
      <w:proofErr w:type="spellStart"/>
      <w:r>
        <w:rPr>
          <w:b/>
          <w:bCs/>
          <w:i/>
          <w:iCs/>
        </w:rPr>
        <w:t>Giddey</w:t>
      </w:r>
      <w:proofErr w:type="spellEnd"/>
      <w:r>
        <w:rPr>
          <w:b/>
          <w:bCs/>
          <w:i/>
          <w:iCs/>
        </w:rPr>
        <w:t xml:space="preserve"> NO v JC Barnard &amp; Partners </w:t>
      </w:r>
      <w:r>
        <w:rPr>
          <w:b/>
          <w:bCs/>
        </w:rPr>
        <w:t xml:space="preserve">2007 (5) SA 525 (CC) </w:t>
      </w:r>
      <w:r>
        <w:t>at para [19].</w:t>
      </w:r>
    </w:p>
  </w:footnote>
  <w:footnote w:id="8">
    <w:p w14:paraId="424D6035" w14:textId="77777777" w:rsidR="00F21D15" w:rsidRPr="00F21D15" w:rsidRDefault="00F21D15" w:rsidP="0004445A">
      <w:pPr>
        <w:pStyle w:val="FootnoteText"/>
        <w:jc w:val="both"/>
      </w:pPr>
      <w:r>
        <w:rPr>
          <w:rStyle w:val="FootnoteReference"/>
        </w:rPr>
        <w:footnoteRef/>
      </w:r>
      <w:r>
        <w:t xml:space="preserve"> </w:t>
      </w:r>
      <w:proofErr w:type="spellStart"/>
      <w:r>
        <w:rPr>
          <w:b/>
          <w:bCs/>
          <w:i/>
          <w:iCs/>
        </w:rPr>
        <w:t>Trencon</w:t>
      </w:r>
      <w:proofErr w:type="spellEnd"/>
      <w:r>
        <w:rPr>
          <w:b/>
          <w:bCs/>
          <w:i/>
          <w:iCs/>
        </w:rPr>
        <w:t xml:space="preserve"> </w:t>
      </w:r>
      <w:r w:rsidR="004B7BEA">
        <w:t>above n</w:t>
      </w:r>
      <w:r w:rsidR="00E049D5">
        <w:t xml:space="preserve"> </w:t>
      </w:r>
      <w:r w:rsidR="004B7BEA">
        <w:t xml:space="preserve">3 </w:t>
      </w:r>
      <w:r>
        <w:t>at para [85].</w:t>
      </w:r>
    </w:p>
  </w:footnote>
  <w:footnote w:id="9">
    <w:p w14:paraId="2D709D3C" w14:textId="77777777" w:rsidR="0004445A" w:rsidRPr="0004445A" w:rsidRDefault="0004445A" w:rsidP="0004445A">
      <w:pPr>
        <w:pStyle w:val="FootnoteText"/>
        <w:ind w:left="142" w:hanging="142"/>
        <w:jc w:val="both"/>
      </w:pPr>
      <w:r>
        <w:rPr>
          <w:rStyle w:val="FootnoteReference"/>
        </w:rPr>
        <w:footnoteRef/>
      </w:r>
      <w:r>
        <w:t xml:space="preserve"> </w:t>
      </w:r>
      <w:r w:rsidR="004B7BEA" w:rsidRPr="004B7BEA">
        <w:rPr>
          <w:b/>
          <w:bCs/>
          <w:i/>
          <w:iCs/>
        </w:rPr>
        <w:t xml:space="preserve">Media </w:t>
      </w:r>
      <w:r>
        <w:rPr>
          <w:b/>
          <w:bCs/>
          <w:i/>
          <w:iCs/>
        </w:rPr>
        <w:t>Workers Association of South Africa and Others</w:t>
      </w:r>
      <w:r w:rsidR="004B7BEA">
        <w:rPr>
          <w:b/>
          <w:bCs/>
          <w:i/>
          <w:iCs/>
        </w:rPr>
        <w:t xml:space="preserve"> </w:t>
      </w:r>
      <w:r w:rsidR="004B7BEA">
        <w:t>above n</w:t>
      </w:r>
      <w:r w:rsidR="00E049D5">
        <w:t xml:space="preserve"> </w:t>
      </w:r>
      <w:r w:rsidR="004B7BEA">
        <w:t>6</w:t>
      </w:r>
      <w:r w:rsidR="004B7BEA">
        <w:rPr>
          <w:rFonts w:cs="Arial"/>
          <w:b/>
          <w:bCs/>
        </w:rPr>
        <w:t xml:space="preserve"> </w:t>
      </w:r>
      <w:r>
        <w:t>at 800E.</w:t>
      </w:r>
    </w:p>
  </w:footnote>
  <w:footnote w:id="10">
    <w:p w14:paraId="544CC151" w14:textId="77777777" w:rsidR="00E049D5" w:rsidRPr="0060331A" w:rsidRDefault="00E049D5" w:rsidP="00E049D5">
      <w:pPr>
        <w:pStyle w:val="FootnoteText"/>
        <w:ind w:left="142" w:hanging="142"/>
        <w:jc w:val="both"/>
      </w:pPr>
      <w:r>
        <w:rPr>
          <w:rStyle w:val="FootnoteReference"/>
        </w:rPr>
        <w:footnoteRef/>
      </w:r>
      <w:r>
        <w:t xml:space="preserve"> Comment of </w:t>
      </w:r>
      <w:proofErr w:type="spellStart"/>
      <w:r>
        <w:t>Moseneke</w:t>
      </w:r>
      <w:proofErr w:type="spellEnd"/>
      <w:r>
        <w:t xml:space="preserve"> DCJ in </w:t>
      </w:r>
      <w:r>
        <w:rPr>
          <w:b/>
          <w:bCs/>
          <w:i/>
          <w:iCs/>
        </w:rPr>
        <w:t xml:space="preserve">Florence v Government of the Republic of South Africa </w:t>
      </w:r>
      <w:r>
        <w:rPr>
          <w:b/>
          <w:bCs/>
        </w:rPr>
        <w:t xml:space="preserve">2014 (6) SA 456 (CC) </w:t>
      </w:r>
      <w:r>
        <w:t>at para 113.</w:t>
      </w:r>
    </w:p>
  </w:footnote>
  <w:footnote w:id="11">
    <w:p w14:paraId="1FA114F2" w14:textId="77777777" w:rsidR="00EB4B38" w:rsidRPr="00EB4B38" w:rsidRDefault="00EB4B38" w:rsidP="004B7BEA">
      <w:pPr>
        <w:pStyle w:val="FootnoteText"/>
        <w:jc w:val="both"/>
      </w:pPr>
      <w:r>
        <w:rPr>
          <w:rStyle w:val="FootnoteReference"/>
        </w:rPr>
        <w:footnoteRef/>
      </w:r>
      <w:r>
        <w:t xml:space="preserve"> </w:t>
      </w:r>
      <w:r w:rsidRPr="00EB4B38">
        <w:rPr>
          <w:rFonts w:cs="Arial"/>
          <w:b/>
          <w:bCs/>
          <w:i/>
          <w:iCs/>
        </w:rPr>
        <w:t xml:space="preserve">Ferris v First Rand Bank </w:t>
      </w:r>
      <w:r w:rsidRPr="00EB4B38">
        <w:rPr>
          <w:rFonts w:cs="Arial"/>
          <w:b/>
          <w:bCs/>
        </w:rPr>
        <w:t xml:space="preserve">2014 (3) SA 39 </w:t>
      </w:r>
      <w:r w:rsidR="004B7BEA">
        <w:rPr>
          <w:rFonts w:cs="Arial"/>
          <w:b/>
          <w:bCs/>
        </w:rPr>
        <w:t xml:space="preserve">(CC) </w:t>
      </w:r>
      <w:r w:rsidRPr="00EB4B38">
        <w:rPr>
          <w:rFonts w:cs="Arial"/>
        </w:rPr>
        <w:t>at para 28</w:t>
      </w:r>
      <w:r>
        <w:rPr>
          <w:rFonts w:cs="Arial"/>
        </w:rPr>
        <w:t>.</w:t>
      </w:r>
    </w:p>
  </w:footnote>
  <w:footnote w:id="12">
    <w:p w14:paraId="01AD5D90" w14:textId="77777777" w:rsidR="00EB4B38" w:rsidRPr="00EB4B38" w:rsidRDefault="00EB4B38" w:rsidP="004B7BEA">
      <w:pPr>
        <w:pStyle w:val="FootnoteText"/>
        <w:ind w:left="142" w:hanging="142"/>
        <w:jc w:val="both"/>
      </w:pPr>
      <w:r>
        <w:rPr>
          <w:rStyle w:val="FootnoteReference"/>
        </w:rPr>
        <w:footnoteRef/>
      </w:r>
      <w:r>
        <w:t xml:space="preserve"> </w:t>
      </w:r>
      <w:r w:rsidRPr="00EB4B38">
        <w:rPr>
          <w:rFonts w:cs="Arial"/>
          <w:b/>
          <w:bCs/>
          <w:i/>
          <w:iCs/>
        </w:rPr>
        <w:t>National Coalition for Gay and Lesbian Equality and Others</w:t>
      </w:r>
      <w:r w:rsidR="004B7BEA">
        <w:rPr>
          <w:rFonts w:cs="Arial"/>
          <w:b/>
          <w:bCs/>
          <w:i/>
          <w:iCs/>
        </w:rPr>
        <w:t xml:space="preserve"> </w:t>
      </w:r>
      <w:proofErr w:type="gramStart"/>
      <w:r w:rsidR="004B7BEA">
        <w:rPr>
          <w:rFonts w:cs="Arial"/>
          <w:b/>
          <w:bCs/>
          <w:i/>
          <w:iCs/>
        </w:rPr>
        <w:t>v</w:t>
      </w:r>
      <w:proofErr w:type="gramEnd"/>
      <w:r w:rsidR="004B7BEA">
        <w:rPr>
          <w:rFonts w:cs="Arial"/>
          <w:b/>
          <w:bCs/>
          <w:i/>
          <w:iCs/>
        </w:rPr>
        <w:t xml:space="preserve"> Minister of Home Affairs and Others </w:t>
      </w:r>
      <w:r w:rsidR="004B7BEA">
        <w:rPr>
          <w:rFonts w:cs="Arial"/>
          <w:b/>
          <w:bCs/>
        </w:rPr>
        <w:t xml:space="preserve">2000 (2) SA 1 (CC) </w:t>
      </w:r>
      <w:r w:rsidR="004B7BEA">
        <w:rPr>
          <w:rFonts w:cs="Arial"/>
        </w:rPr>
        <w:t>at para [11].</w:t>
      </w:r>
    </w:p>
  </w:footnote>
  <w:footnote w:id="13">
    <w:p w14:paraId="72EB0206" w14:textId="77777777" w:rsidR="00EB4B38" w:rsidRDefault="00EB4B38" w:rsidP="004B7BEA">
      <w:pPr>
        <w:pStyle w:val="FootnoteText"/>
        <w:jc w:val="both"/>
      </w:pPr>
      <w:r>
        <w:rPr>
          <w:rStyle w:val="FootnoteReference"/>
        </w:rPr>
        <w:footnoteRef/>
      </w:r>
      <w:r>
        <w:t xml:space="preserve"> </w:t>
      </w:r>
      <w:proofErr w:type="spellStart"/>
      <w:r w:rsidRPr="008C07E1">
        <w:rPr>
          <w:rFonts w:cs="Arial"/>
          <w:b/>
          <w:bCs/>
          <w:i/>
          <w:iCs/>
        </w:rPr>
        <w:t>Lomba</w:t>
      </w:r>
      <w:r w:rsidR="004B7BEA">
        <w:rPr>
          <w:rFonts w:cs="Arial"/>
          <w:b/>
          <w:bCs/>
          <w:i/>
          <w:iCs/>
        </w:rPr>
        <w:t>a</w:t>
      </w:r>
      <w:r w:rsidRPr="008C07E1">
        <w:rPr>
          <w:rFonts w:cs="Arial"/>
          <w:b/>
          <w:bCs/>
          <w:i/>
          <w:iCs/>
        </w:rPr>
        <w:t>rd</w:t>
      </w:r>
      <w:proofErr w:type="spellEnd"/>
      <w:r>
        <w:rPr>
          <w:rFonts w:cs="Arial"/>
          <w:b/>
          <w:bCs/>
          <w:i/>
          <w:iCs/>
        </w:rPr>
        <w:t xml:space="preserve"> v </w:t>
      </w:r>
      <w:proofErr w:type="spellStart"/>
      <w:r>
        <w:rPr>
          <w:rFonts w:cs="Arial"/>
          <w:b/>
          <w:bCs/>
          <w:i/>
          <w:iCs/>
        </w:rPr>
        <w:t>Droprop</w:t>
      </w:r>
      <w:proofErr w:type="spellEnd"/>
      <w:r>
        <w:rPr>
          <w:rFonts w:cs="Arial"/>
          <w:b/>
          <w:bCs/>
          <w:i/>
          <w:iCs/>
        </w:rPr>
        <w:t xml:space="preserve"> </w:t>
      </w:r>
      <w:r>
        <w:rPr>
          <w:rFonts w:cs="Arial"/>
          <w:b/>
          <w:bCs/>
        </w:rPr>
        <w:t>2010 (5) SA 1</w:t>
      </w:r>
      <w:r w:rsidR="004B7BEA">
        <w:rPr>
          <w:rFonts w:cs="Arial"/>
          <w:b/>
          <w:bCs/>
        </w:rPr>
        <w:t xml:space="preserve"> (SCA) at</w:t>
      </w:r>
      <w:r>
        <w:rPr>
          <w:rFonts w:cs="Arial"/>
        </w:rPr>
        <w:t xml:space="preserve"> para [</w:t>
      </w:r>
      <w:r w:rsidR="004B7BEA">
        <w:rPr>
          <w:rFonts w:cs="Arial"/>
        </w:rPr>
        <w:t>29</w:t>
      </w:r>
      <w:r>
        <w:rPr>
          <w:rFonts w:cs="Arial"/>
        </w:rPr>
        <w:t>].</w:t>
      </w:r>
    </w:p>
  </w:footnote>
  <w:footnote w:id="14">
    <w:p w14:paraId="3CB9A089" w14:textId="77777777" w:rsidR="005C6375" w:rsidRPr="005C6375" w:rsidRDefault="005C6375" w:rsidP="004B7BEA">
      <w:pPr>
        <w:pStyle w:val="FootnoteText"/>
        <w:jc w:val="both"/>
      </w:pPr>
      <w:r>
        <w:rPr>
          <w:rStyle w:val="FootnoteReference"/>
        </w:rPr>
        <w:footnoteRef/>
      </w:r>
      <w:r>
        <w:t xml:space="preserve"> </w:t>
      </w:r>
      <w:r w:rsidRPr="005C6375">
        <w:rPr>
          <w:rFonts w:cs="Arial"/>
          <w:b/>
          <w:bCs/>
          <w:i/>
          <w:iCs/>
        </w:rPr>
        <w:t xml:space="preserve">Knox D’Arcy Ltd and Others v Jamieson and Others </w:t>
      </w:r>
      <w:r w:rsidRPr="005C6375">
        <w:rPr>
          <w:rFonts w:cs="Arial"/>
          <w:b/>
          <w:bCs/>
        </w:rPr>
        <w:t>1996 (4) SA 348 (A)</w:t>
      </w:r>
      <w:r w:rsidRPr="005C6375">
        <w:rPr>
          <w:rFonts w:cs="Arial"/>
        </w:rPr>
        <w:t>.</w:t>
      </w:r>
    </w:p>
  </w:footnote>
  <w:footnote w:id="15">
    <w:p w14:paraId="38507805" w14:textId="77777777" w:rsidR="00981FFA" w:rsidRPr="00981FFA" w:rsidRDefault="00981FFA" w:rsidP="004B7BEA">
      <w:pPr>
        <w:pStyle w:val="FootnoteText"/>
        <w:jc w:val="both"/>
      </w:pPr>
      <w:r>
        <w:rPr>
          <w:rStyle w:val="FootnoteReference"/>
        </w:rPr>
        <w:footnoteRef/>
      </w:r>
      <w:r>
        <w:t xml:space="preserve"> </w:t>
      </w:r>
      <w:r w:rsidR="00E049D5">
        <w:t xml:space="preserve">Id </w:t>
      </w:r>
      <w:r>
        <w:rPr>
          <w:rFonts w:cs="Arial"/>
        </w:rPr>
        <w:t>at 361 I.</w:t>
      </w:r>
    </w:p>
  </w:footnote>
  <w:footnote w:id="16">
    <w:p w14:paraId="02191FE7" w14:textId="77777777" w:rsidR="00EF06D4" w:rsidRPr="00EF06D4" w:rsidRDefault="00EF06D4">
      <w:pPr>
        <w:pStyle w:val="FootnoteText"/>
      </w:pPr>
      <w:r>
        <w:rPr>
          <w:rStyle w:val="FootnoteReference"/>
        </w:rPr>
        <w:footnoteRef/>
      </w:r>
      <w:r>
        <w:t xml:space="preserve"> </w:t>
      </w:r>
      <w:proofErr w:type="spellStart"/>
      <w:r>
        <w:rPr>
          <w:b/>
          <w:bCs/>
          <w:i/>
          <w:iCs/>
        </w:rPr>
        <w:t>Mamadi</w:t>
      </w:r>
      <w:proofErr w:type="spellEnd"/>
      <w:r>
        <w:rPr>
          <w:b/>
          <w:bCs/>
          <w:i/>
          <w:iCs/>
        </w:rPr>
        <w:t xml:space="preserve"> and Another </w:t>
      </w:r>
      <w:proofErr w:type="gramStart"/>
      <w:r>
        <w:rPr>
          <w:b/>
          <w:bCs/>
          <w:i/>
          <w:iCs/>
        </w:rPr>
        <w:t>v</w:t>
      </w:r>
      <w:proofErr w:type="gramEnd"/>
      <w:r>
        <w:rPr>
          <w:b/>
          <w:bCs/>
          <w:i/>
          <w:iCs/>
        </w:rPr>
        <w:t xml:space="preserve"> Premier of Limpopo Province and Others </w:t>
      </w:r>
      <w:r>
        <w:rPr>
          <w:b/>
          <w:bCs/>
        </w:rPr>
        <w:t>[2022] ZACC 26</w:t>
      </w:r>
      <w:r>
        <w:t>.</w:t>
      </w:r>
    </w:p>
  </w:footnote>
  <w:footnote w:id="17">
    <w:p w14:paraId="18E98A5B" w14:textId="77777777" w:rsidR="0081396F" w:rsidRPr="0081396F" w:rsidRDefault="0081396F">
      <w:pPr>
        <w:pStyle w:val="FootnoteText"/>
      </w:pPr>
      <w:r>
        <w:rPr>
          <w:rStyle w:val="FootnoteReference"/>
        </w:rPr>
        <w:footnoteRef/>
      </w:r>
      <w:r>
        <w:t xml:space="preserve"> </w:t>
      </w:r>
      <w:r w:rsidRPr="004B7BEA">
        <w:t>Id</w:t>
      </w:r>
      <w:r>
        <w:rPr>
          <w:i/>
          <w:iCs/>
        </w:rPr>
        <w:t xml:space="preserve"> </w:t>
      </w:r>
      <w:r w:rsidRPr="004B7BEA">
        <w:t>at</w:t>
      </w:r>
      <w:r>
        <w:t xml:space="preserve"> para [46].</w:t>
      </w:r>
    </w:p>
  </w:footnote>
  <w:footnote w:id="18">
    <w:p w14:paraId="526D89B2" w14:textId="77777777" w:rsidR="00936F37" w:rsidRDefault="00936F37">
      <w:pPr>
        <w:pStyle w:val="FootnoteText"/>
      </w:pPr>
      <w:r>
        <w:rPr>
          <w:rStyle w:val="FootnoteReference"/>
        </w:rPr>
        <w:footnoteRef/>
      </w:r>
      <w:r>
        <w:t xml:space="preserve"> </w:t>
      </w:r>
      <w:r w:rsidR="004B7BEA">
        <w:t>Id</w:t>
      </w:r>
      <w:r>
        <w:t xml:space="preserve"> </w:t>
      </w:r>
      <w:r w:rsidR="004B7BEA">
        <w:t xml:space="preserve">at </w:t>
      </w:r>
      <w:r>
        <w:t>para [</w:t>
      </w:r>
      <w:r w:rsidR="00600DC7">
        <w:t>28</w:t>
      </w:r>
      <w:r>
        <w:t>].</w:t>
      </w:r>
    </w:p>
  </w:footnote>
  <w:footnote w:id="19">
    <w:p w14:paraId="4F484AD4" w14:textId="77777777" w:rsidR="004B0298" w:rsidRPr="004B0298" w:rsidRDefault="004B0298">
      <w:pPr>
        <w:pStyle w:val="FootnoteText"/>
      </w:pPr>
      <w:r>
        <w:rPr>
          <w:rStyle w:val="FootnoteReference"/>
        </w:rPr>
        <w:footnoteRef/>
      </w:r>
      <w:r>
        <w:t xml:space="preserve"> </w:t>
      </w:r>
      <w:r>
        <w:rPr>
          <w:b/>
          <w:bCs/>
          <w:i/>
          <w:iCs/>
        </w:rPr>
        <w:t xml:space="preserve">Ferris </w:t>
      </w:r>
      <w:r>
        <w:t>above n</w:t>
      </w:r>
      <w:r w:rsidR="00E049D5">
        <w:t xml:space="preserve"> </w:t>
      </w:r>
      <w:r>
        <w:t>11 at para [28].</w:t>
      </w:r>
    </w:p>
  </w:footnote>
  <w:footnote w:id="20">
    <w:p w14:paraId="236B86B3" w14:textId="77777777" w:rsidR="00834CD3" w:rsidRPr="00834CD3" w:rsidRDefault="00834CD3" w:rsidP="008F3D2B">
      <w:pPr>
        <w:pStyle w:val="FootnoteText"/>
        <w:jc w:val="both"/>
      </w:pPr>
      <w:r>
        <w:rPr>
          <w:rStyle w:val="FootnoteReference"/>
        </w:rPr>
        <w:footnoteRef/>
      </w:r>
      <w:proofErr w:type="spellStart"/>
      <w:r>
        <w:rPr>
          <w:b/>
          <w:bCs/>
          <w:i/>
          <w:iCs/>
        </w:rPr>
        <w:t>Lomb</w:t>
      </w:r>
      <w:r w:rsidR="004B7BEA">
        <w:rPr>
          <w:b/>
          <w:bCs/>
          <w:i/>
          <w:iCs/>
        </w:rPr>
        <w:t>a</w:t>
      </w:r>
      <w:r>
        <w:rPr>
          <w:b/>
          <w:bCs/>
          <w:i/>
          <w:iCs/>
        </w:rPr>
        <w:t>ard</w:t>
      </w:r>
      <w:proofErr w:type="spellEnd"/>
      <w:r>
        <w:rPr>
          <w:b/>
          <w:bCs/>
          <w:i/>
          <w:iCs/>
        </w:rPr>
        <w:t xml:space="preserve"> </w:t>
      </w:r>
      <w:r w:rsidR="00631603">
        <w:t>above n</w:t>
      </w:r>
      <w:r w:rsidR="00E049D5">
        <w:t xml:space="preserve"> </w:t>
      </w:r>
      <w:r w:rsidR="00631603">
        <w:t>13 at para [25].</w:t>
      </w:r>
    </w:p>
  </w:footnote>
  <w:footnote w:id="21">
    <w:p w14:paraId="6F1B5924" w14:textId="77777777" w:rsidR="00C36BA3" w:rsidRPr="00631603" w:rsidRDefault="00C36BA3" w:rsidP="008F3D2B">
      <w:pPr>
        <w:pStyle w:val="FootnoteText"/>
        <w:jc w:val="both"/>
      </w:pPr>
      <w:r>
        <w:rPr>
          <w:rStyle w:val="FootnoteReference"/>
        </w:rPr>
        <w:footnoteRef/>
      </w:r>
      <w:r w:rsidR="00631603">
        <w:rPr>
          <w:b/>
          <w:bCs/>
          <w:i/>
          <w:iCs/>
        </w:rPr>
        <w:t xml:space="preserve">Ploughman NO v </w:t>
      </w:r>
      <w:proofErr w:type="spellStart"/>
      <w:r w:rsidR="00631603">
        <w:rPr>
          <w:b/>
          <w:bCs/>
          <w:i/>
          <w:iCs/>
        </w:rPr>
        <w:t>Pauw</w:t>
      </w:r>
      <w:proofErr w:type="spellEnd"/>
      <w:r w:rsidR="00631603">
        <w:rPr>
          <w:b/>
          <w:bCs/>
          <w:i/>
          <w:iCs/>
        </w:rPr>
        <w:t xml:space="preserve"> and Another </w:t>
      </w:r>
      <w:r w:rsidR="00631603">
        <w:rPr>
          <w:b/>
          <w:bCs/>
        </w:rPr>
        <w:t xml:space="preserve">2006 (6) SA 334 (CPD) </w:t>
      </w:r>
      <w:r w:rsidR="00631603">
        <w:t>at 340 H-I.</w:t>
      </w:r>
    </w:p>
  </w:footnote>
  <w:footnote w:id="22">
    <w:p w14:paraId="0737AB4C" w14:textId="77777777" w:rsidR="00C36BA3" w:rsidRPr="00CF3DCD" w:rsidRDefault="00C36BA3" w:rsidP="008F3D2B">
      <w:pPr>
        <w:pStyle w:val="FootnoteText"/>
        <w:ind w:left="142" w:hanging="142"/>
        <w:jc w:val="both"/>
      </w:pPr>
      <w:r>
        <w:rPr>
          <w:rStyle w:val="FootnoteReference"/>
        </w:rPr>
        <w:footnoteRef/>
      </w:r>
      <w:r w:rsidR="00631603">
        <w:rPr>
          <w:b/>
          <w:bCs/>
          <w:i/>
          <w:iCs/>
        </w:rPr>
        <w:t>Red Coral Investments</w:t>
      </w:r>
      <w:r w:rsidR="00CF3DCD">
        <w:rPr>
          <w:b/>
          <w:bCs/>
          <w:i/>
          <w:iCs/>
        </w:rPr>
        <w:t xml:space="preserve"> 117</w:t>
      </w:r>
      <w:r w:rsidR="00631603">
        <w:rPr>
          <w:b/>
          <w:bCs/>
          <w:i/>
          <w:iCs/>
        </w:rPr>
        <w:t xml:space="preserve"> (Pty) Ltd </w:t>
      </w:r>
      <w:r w:rsidR="00CF3DCD">
        <w:rPr>
          <w:b/>
          <w:bCs/>
          <w:i/>
          <w:iCs/>
        </w:rPr>
        <w:t xml:space="preserve">v </w:t>
      </w:r>
      <w:proofErr w:type="spellStart"/>
      <w:r w:rsidR="00CF3DCD">
        <w:rPr>
          <w:b/>
          <w:bCs/>
          <w:i/>
          <w:iCs/>
        </w:rPr>
        <w:t>Bayas</w:t>
      </w:r>
      <w:proofErr w:type="spellEnd"/>
      <w:r w:rsidR="00CF3DCD">
        <w:rPr>
          <w:b/>
          <w:bCs/>
          <w:i/>
          <w:iCs/>
        </w:rPr>
        <w:t xml:space="preserve"> Logistics (Pty) Ltd</w:t>
      </w:r>
      <w:r w:rsidR="008F3D2B">
        <w:rPr>
          <w:b/>
          <w:bCs/>
          <w:i/>
          <w:iCs/>
        </w:rPr>
        <w:t xml:space="preserve"> </w:t>
      </w:r>
      <w:r w:rsidR="008F3D2B">
        <w:rPr>
          <w:b/>
          <w:bCs/>
        </w:rPr>
        <w:t xml:space="preserve">(D6595/2018) [2020] ZAKZDHC 56 (5 November 2020) </w:t>
      </w:r>
      <w:r w:rsidR="008F3D2B">
        <w:t>at para [22]</w:t>
      </w:r>
      <w:r w:rsidR="00CF3DCD">
        <w:t>.</w:t>
      </w:r>
    </w:p>
  </w:footnote>
  <w:footnote w:id="23">
    <w:p w14:paraId="7DB347C4" w14:textId="77777777" w:rsidR="002861B4" w:rsidRPr="00C36BA3" w:rsidRDefault="002861B4" w:rsidP="002861B4">
      <w:pPr>
        <w:pStyle w:val="FootnoteText"/>
      </w:pPr>
      <w:r>
        <w:rPr>
          <w:rStyle w:val="FootnoteReference"/>
        </w:rPr>
        <w:footnoteRef/>
      </w:r>
      <w:proofErr w:type="spellStart"/>
      <w:r>
        <w:rPr>
          <w:b/>
          <w:bCs/>
          <w:i/>
          <w:iCs/>
        </w:rPr>
        <w:t>Mamadi</w:t>
      </w:r>
      <w:proofErr w:type="spellEnd"/>
      <w:r>
        <w:rPr>
          <w:b/>
          <w:bCs/>
          <w:i/>
          <w:iCs/>
        </w:rPr>
        <w:t xml:space="preserve"> </w:t>
      </w:r>
      <w:r w:rsidR="00CF3DCD">
        <w:t>above n</w:t>
      </w:r>
      <w:r w:rsidR="00E049D5">
        <w:t xml:space="preserve"> </w:t>
      </w:r>
      <w:r w:rsidR="00CF3DCD">
        <w:t xml:space="preserve">16 </w:t>
      </w:r>
      <w:r>
        <w:t>at para [3]</w:t>
      </w:r>
      <w:r w:rsidR="00CF3DCD">
        <w:t xml:space="preserve"> citing with approval </w:t>
      </w:r>
      <w:proofErr w:type="spellStart"/>
      <w:r w:rsidR="00CF3DCD">
        <w:rPr>
          <w:b/>
          <w:bCs/>
          <w:i/>
          <w:iCs/>
        </w:rPr>
        <w:t>Lombaard</w:t>
      </w:r>
      <w:proofErr w:type="spellEnd"/>
      <w:r w:rsidR="00CF3DCD">
        <w:rPr>
          <w:b/>
          <w:bCs/>
          <w:i/>
          <w:iCs/>
        </w:rPr>
        <w:t xml:space="preserve"> </w:t>
      </w:r>
      <w:r w:rsidR="00CF3DCD">
        <w:t>above n</w:t>
      </w:r>
      <w:r w:rsidR="00E049D5">
        <w:t xml:space="preserve"> </w:t>
      </w:r>
      <w:r w:rsidR="00CF3DCD">
        <w:t>13 at para [25].</w:t>
      </w:r>
    </w:p>
  </w:footnote>
  <w:footnote w:id="24">
    <w:p w14:paraId="61D51D24" w14:textId="77777777" w:rsidR="00880AF0" w:rsidRPr="00880AF0" w:rsidRDefault="00880AF0">
      <w:pPr>
        <w:pStyle w:val="FootnoteText"/>
      </w:pPr>
      <w:r>
        <w:rPr>
          <w:rStyle w:val="FootnoteReference"/>
        </w:rPr>
        <w:footnoteRef/>
      </w:r>
      <w:proofErr w:type="spellStart"/>
      <w:r>
        <w:rPr>
          <w:b/>
          <w:bCs/>
          <w:i/>
          <w:iCs/>
        </w:rPr>
        <w:t>Trencon</w:t>
      </w:r>
      <w:proofErr w:type="spellEnd"/>
      <w:r>
        <w:rPr>
          <w:b/>
          <w:bCs/>
          <w:i/>
          <w:iCs/>
        </w:rPr>
        <w:t xml:space="preserve"> </w:t>
      </w:r>
      <w:r>
        <w:t>above n</w:t>
      </w:r>
      <w:r w:rsidR="00E049D5">
        <w:t xml:space="preserve"> </w:t>
      </w:r>
      <w:r>
        <w:t>3 at para [90].</w:t>
      </w:r>
    </w:p>
  </w:footnote>
  <w:footnote w:id="25">
    <w:p w14:paraId="47CBE07E" w14:textId="77777777" w:rsidR="00A958FB" w:rsidRPr="00A958FB" w:rsidRDefault="00A958FB">
      <w:pPr>
        <w:pStyle w:val="FootnoteText"/>
      </w:pPr>
      <w:r>
        <w:rPr>
          <w:rStyle w:val="FootnoteReference"/>
        </w:rPr>
        <w:footnoteRef/>
      </w:r>
      <w:r>
        <w:t xml:space="preserve"> </w:t>
      </w:r>
      <w:proofErr w:type="spellStart"/>
      <w:r w:rsidR="00880AF0">
        <w:rPr>
          <w:b/>
          <w:bCs/>
          <w:i/>
          <w:iCs/>
        </w:rPr>
        <w:t>Adbro</w:t>
      </w:r>
      <w:proofErr w:type="spellEnd"/>
      <w:r w:rsidR="00880AF0">
        <w:rPr>
          <w:b/>
          <w:bCs/>
          <w:i/>
          <w:iCs/>
        </w:rPr>
        <w:t xml:space="preserve"> </w:t>
      </w:r>
      <w:r>
        <w:rPr>
          <w:b/>
          <w:bCs/>
          <w:i/>
          <w:iCs/>
        </w:rPr>
        <w:t>Investment Co</w:t>
      </w:r>
      <w:r w:rsidR="00880AF0">
        <w:rPr>
          <w:b/>
          <w:bCs/>
          <w:i/>
          <w:iCs/>
        </w:rPr>
        <w:t>.</w:t>
      </w:r>
      <w:r>
        <w:rPr>
          <w:b/>
          <w:bCs/>
          <w:i/>
          <w:iCs/>
        </w:rPr>
        <w:t xml:space="preserve"> Ltd v Minister of </w:t>
      </w:r>
      <w:r w:rsidR="00880AF0">
        <w:rPr>
          <w:b/>
          <w:bCs/>
          <w:i/>
          <w:iCs/>
        </w:rPr>
        <w:t xml:space="preserve">the Interior </w:t>
      </w:r>
      <w:r>
        <w:rPr>
          <w:b/>
          <w:bCs/>
        </w:rPr>
        <w:t xml:space="preserve">1956 (3) 345 (AD) </w:t>
      </w:r>
      <w:r>
        <w:t>at 350 A.</w:t>
      </w:r>
    </w:p>
  </w:footnote>
  <w:footnote w:id="26">
    <w:p w14:paraId="7370299F" w14:textId="77777777" w:rsidR="00634AC9" w:rsidRPr="00634AC9" w:rsidRDefault="00634AC9">
      <w:pPr>
        <w:pStyle w:val="FootnoteText"/>
      </w:pPr>
      <w:r>
        <w:rPr>
          <w:rStyle w:val="FootnoteReference"/>
        </w:rPr>
        <w:footnoteRef/>
      </w:r>
      <w:r>
        <w:t xml:space="preserve"> </w:t>
      </w:r>
      <w:proofErr w:type="spellStart"/>
      <w:r>
        <w:rPr>
          <w:b/>
          <w:bCs/>
          <w:i/>
          <w:iCs/>
        </w:rPr>
        <w:t>Lomba</w:t>
      </w:r>
      <w:r w:rsidR="00880AF0">
        <w:rPr>
          <w:b/>
          <w:bCs/>
          <w:i/>
          <w:iCs/>
        </w:rPr>
        <w:t>a</w:t>
      </w:r>
      <w:r>
        <w:rPr>
          <w:b/>
          <w:bCs/>
          <w:i/>
          <w:iCs/>
        </w:rPr>
        <w:t>rd</w:t>
      </w:r>
      <w:proofErr w:type="spellEnd"/>
      <w:r>
        <w:rPr>
          <w:b/>
          <w:bCs/>
          <w:i/>
          <w:iCs/>
        </w:rPr>
        <w:t xml:space="preserve"> </w:t>
      </w:r>
      <w:r w:rsidR="00880AF0">
        <w:t>above n</w:t>
      </w:r>
      <w:r w:rsidR="00E049D5">
        <w:t xml:space="preserve"> </w:t>
      </w:r>
      <w:r w:rsidR="00880AF0">
        <w:t xml:space="preserve">3 </w:t>
      </w:r>
      <w:r>
        <w:t>at [53].</w:t>
      </w:r>
    </w:p>
  </w:footnote>
  <w:footnote w:id="27">
    <w:p w14:paraId="30F9AF86" w14:textId="77777777" w:rsidR="00634AC9" w:rsidRPr="00771443" w:rsidRDefault="00634AC9">
      <w:pPr>
        <w:pStyle w:val="FootnoteText"/>
      </w:pPr>
      <w:r>
        <w:rPr>
          <w:rStyle w:val="FootnoteReference"/>
        </w:rPr>
        <w:footnoteRef/>
      </w:r>
      <w:r>
        <w:t xml:space="preserve"> </w:t>
      </w:r>
      <w:proofErr w:type="spellStart"/>
      <w:r>
        <w:rPr>
          <w:b/>
          <w:bCs/>
          <w:i/>
          <w:iCs/>
        </w:rPr>
        <w:t>Kalil</w:t>
      </w:r>
      <w:proofErr w:type="spellEnd"/>
      <w:r>
        <w:rPr>
          <w:b/>
          <w:bCs/>
          <w:i/>
          <w:iCs/>
        </w:rPr>
        <w:t xml:space="preserve"> v </w:t>
      </w:r>
      <w:proofErr w:type="spellStart"/>
      <w:r>
        <w:rPr>
          <w:b/>
          <w:bCs/>
          <w:i/>
          <w:iCs/>
        </w:rPr>
        <w:t>Decotex</w:t>
      </w:r>
      <w:proofErr w:type="spellEnd"/>
      <w:r>
        <w:rPr>
          <w:b/>
          <w:bCs/>
          <w:i/>
          <w:iCs/>
        </w:rPr>
        <w:t xml:space="preserve"> (Pty) Ltd and Another </w:t>
      </w:r>
      <w:r w:rsidR="00771443">
        <w:rPr>
          <w:b/>
          <w:bCs/>
        </w:rPr>
        <w:t xml:space="preserve">1998 (1) SA 943 (A) </w:t>
      </w:r>
      <w:r w:rsidR="00771443">
        <w:t>at 981 D-F.</w:t>
      </w:r>
    </w:p>
  </w:footnote>
  <w:footnote w:id="28">
    <w:p w14:paraId="75CF7DC5" w14:textId="77777777" w:rsidR="00A958FB" w:rsidRDefault="00A958FB">
      <w:pPr>
        <w:pStyle w:val="FootnoteText"/>
      </w:pPr>
      <w:r>
        <w:rPr>
          <w:rStyle w:val="FootnoteReference"/>
        </w:rPr>
        <w:footnoteRef/>
      </w:r>
      <w:r>
        <w:t xml:space="preserve"> </w:t>
      </w:r>
      <w:proofErr w:type="spellStart"/>
      <w:r w:rsidRPr="00A958FB">
        <w:rPr>
          <w:rFonts w:cs="Arial"/>
          <w:b/>
          <w:bCs/>
          <w:i/>
          <w:iCs/>
        </w:rPr>
        <w:t>Mamadi</w:t>
      </w:r>
      <w:proofErr w:type="spellEnd"/>
      <w:r w:rsidRPr="00A958FB">
        <w:rPr>
          <w:rFonts w:cs="Arial"/>
          <w:b/>
          <w:bCs/>
          <w:i/>
          <w:iCs/>
        </w:rPr>
        <w:t xml:space="preserve"> </w:t>
      </w:r>
      <w:r w:rsidR="00880AF0">
        <w:rPr>
          <w:rFonts w:cs="Arial"/>
        </w:rPr>
        <w:t>above n</w:t>
      </w:r>
      <w:r w:rsidR="00E049D5">
        <w:rPr>
          <w:rFonts w:cs="Arial"/>
        </w:rPr>
        <w:t xml:space="preserve"> </w:t>
      </w:r>
      <w:r w:rsidR="00880AF0">
        <w:rPr>
          <w:rFonts w:cs="Arial"/>
        </w:rPr>
        <w:t xml:space="preserve">16 </w:t>
      </w:r>
      <w:r w:rsidRPr="00A958FB">
        <w:rPr>
          <w:rFonts w:cs="Arial"/>
        </w:rPr>
        <w:t>at para [44].</w:t>
      </w:r>
    </w:p>
  </w:footnote>
  <w:footnote w:id="29">
    <w:p w14:paraId="3418E375" w14:textId="77777777" w:rsidR="00D22B8A" w:rsidRPr="00E506CA" w:rsidRDefault="00D22B8A">
      <w:pPr>
        <w:pStyle w:val="FootnoteText"/>
        <w:rPr>
          <w:lang w:val="en-US"/>
        </w:rPr>
      </w:pPr>
      <w:r>
        <w:rPr>
          <w:rStyle w:val="FootnoteReference"/>
        </w:rPr>
        <w:footnoteRef/>
      </w:r>
      <w:r>
        <w:t xml:space="preserve"> </w:t>
      </w:r>
      <w:proofErr w:type="spellStart"/>
      <w:r w:rsidRPr="00E506CA">
        <w:rPr>
          <w:i/>
          <w:iCs/>
          <w:lang w:val="en-US"/>
        </w:rPr>
        <w:t>Mamadi</w:t>
      </w:r>
      <w:proofErr w:type="spellEnd"/>
      <w:r>
        <w:rPr>
          <w:lang w:val="en-US"/>
        </w:rPr>
        <w:t>, supra at para 42.</w:t>
      </w:r>
    </w:p>
  </w:footnote>
  <w:footnote w:id="30">
    <w:p w14:paraId="39DAC0C4" w14:textId="77777777" w:rsidR="003D0A3F" w:rsidRPr="00E506CA" w:rsidRDefault="003D0A3F">
      <w:pPr>
        <w:pStyle w:val="FootnoteText"/>
        <w:rPr>
          <w:lang w:val="en-US"/>
        </w:rPr>
      </w:pPr>
      <w:r>
        <w:rPr>
          <w:rStyle w:val="FootnoteReference"/>
        </w:rPr>
        <w:footnoteRef/>
      </w:r>
      <w:r>
        <w:t xml:space="preserve"> </w:t>
      </w:r>
      <w:r>
        <w:rPr>
          <w:lang w:val="en-US"/>
        </w:rPr>
        <w:t>At 800F.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D6BD2"/>
    <w:multiLevelType w:val="hybridMultilevel"/>
    <w:tmpl w:val="0B8C659E"/>
    <w:lvl w:ilvl="0" w:tplc="3D7406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F4EC4"/>
    <w:multiLevelType w:val="hybridMultilevel"/>
    <w:tmpl w:val="FD8C8F56"/>
    <w:lvl w:ilvl="0" w:tplc="3D740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B7"/>
    <w:rsid w:val="00006D01"/>
    <w:rsid w:val="00012161"/>
    <w:rsid w:val="00021464"/>
    <w:rsid w:val="0004445A"/>
    <w:rsid w:val="000A3EB9"/>
    <w:rsid w:val="000B1E07"/>
    <w:rsid w:val="000E296D"/>
    <w:rsid w:val="000E6187"/>
    <w:rsid w:val="001038D0"/>
    <w:rsid w:val="0010625A"/>
    <w:rsid w:val="0011067E"/>
    <w:rsid w:val="0011284B"/>
    <w:rsid w:val="00127C3F"/>
    <w:rsid w:val="001462E7"/>
    <w:rsid w:val="00157F8A"/>
    <w:rsid w:val="00161BD1"/>
    <w:rsid w:val="00163B49"/>
    <w:rsid w:val="001831DF"/>
    <w:rsid w:val="00187115"/>
    <w:rsid w:val="001A7E13"/>
    <w:rsid w:val="001B7051"/>
    <w:rsid w:val="001E5B8A"/>
    <w:rsid w:val="001F5EFC"/>
    <w:rsid w:val="00210393"/>
    <w:rsid w:val="00252294"/>
    <w:rsid w:val="002861B4"/>
    <w:rsid w:val="002913A9"/>
    <w:rsid w:val="002A2B0A"/>
    <w:rsid w:val="002C0CE4"/>
    <w:rsid w:val="002C2978"/>
    <w:rsid w:val="002E6491"/>
    <w:rsid w:val="002F2807"/>
    <w:rsid w:val="002F4117"/>
    <w:rsid w:val="00315A25"/>
    <w:rsid w:val="00321AAA"/>
    <w:rsid w:val="00324867"/>
    <w:rsid w:val="00355D70"/>
    <w:rsid w:val="003701A6"/>
    <w:rsid w:val="00380418"/>
    <w:rsid w:val="0038169B"/>
    <w:rsid w:val="00387C5E"/>
    <w:rsid w:val="003928AC"/>
    <w:rsid w:val="00397E29"/>
    <w:rsid w:val="003B4060"/>
    <w:rsid w:val="003D049C"/>
    <w:rsid w:val="003D0A3F"/>
    <w:rsid w:val="003F3DC9"/>
    <w:rsid w:val="00413750"/>
    <w:rsid w:val="0042061B"/>
    <w:rsid w:val="0044722B"/>
    <w:rsid w:val="00452574"/>
    <w:rsid w:val="00452E00"/>
    <w:rsid w:val="0046073A"/>
    <w:rsid w:val="004700BE"/>
    <w:rsid w:val="00483344"/>
    <w:rsid w:val="00490D78"/>
    <w:rsid w:val="004B0298"/>
    <w:rsid w:val="004B597C"/>
    <w:rsid w:val="004B7BEA"/>
    <w:rsid w:val="004C5EC3"/>
    <w:rsid w:val="004D726E"/>
    <w:rsid w:val="004E1E23"/>
    <w:rsid w:val="004E7DF9"/>
    <w:rsid w:val="00513652"/>
    <w:rsid w:val="00521C64"/>
    <w:rsid w:val="0053094E"/>
    <w:rsid w:val="00532E31"/>
    <w:rsid w:val="005370D6"/>
    <w:rsid w:val="00565915"/>
    <w:rsid w:val="00577C7B"/>
    <w:rsid w:val="005A3A3F"/>
    <w:rsid w:val="005B1E7B"/>
    <w:rsid w:val="005C6375"/>
    <w:rsid w:val="005D679D"/>
    <w:rsid w:val="005D7553"/>
    <w:rsid w:val="005E3102"/>
    <w:rsid w:val="005F425F"/>
    <w:rsid w:val="005F5F8F"/>
    <w:rsid w:val="00600DC7"/>
    <w:rsid w:val="00601F18"/>
    <w:rsid w:val="0060331A"/>
    <w:rsid w:val="006110AA"/>
    <w:rsid w:val="006162ED"/>
    <w:rsid w:val="00631603"/>
    <w:rsid w:val="00634AC9"/>
    <w:rsid w:val="00642429"/>
    <w:rsid w:val="006444F4"/>
    <w:rsid w:val="006510F6"/>
    <w:rsid w:val="006520D8"/>
    <w:rsid w:val="00655A14"/>
    <w:rsid w:val="00694F62"/>
    <w:rsid w:val="00695583"/>
    <w:rsid w:val="006A17F2"/>
    <w:rsid w:val="006D2D76"/>
    <w:rsid w:val="006D66F9"/>
    <w:rsid w:val="006E0D41"/>
    <w:rsid w:val="006F2AE0"/>
    <w:rsid w:val="006F4B1A"/>
    <w:rsid w:val="007024AE"/>
    <w:rsid w:val="00706183"/>
    <w:rsid w:val="00727437"/>
    <w:rsid w:val="007309A6"/>
    <w:rsid w:val="00732B77"/>
    <w:rsid w:val="00734E42"/>
    <w:rsid w:val="00761CEB"/>
    <w:rsid w:val="00762206"/>
    <w:rsid w:val="0076676B"/>
    <w:rsid w:val="00766C6D"/>
    <w:rsid w:val="00771443"/>
    <w:rsid w:val="0077338A"/>
    <w:rsid w:val="00783476"/>
    <w:rsid w:val="00784976"/>
    <w:rsid w:val="00787B7E"/>
    <w:rsid w:val="00797ACA"/>
    <w:rsid w:val="007B462C"/>
    <w:rsid w:val="007B4C24"/>
    <w:rsid w:val="007D4311"/>
    <w:rsid w:val="007F4012"/>
    <w:rsid w:val="00800CAD"/>
    <w:rsid w:val="00811382"/>
    <w:rsid w:val="0081396F"/>
    <w:rsid w:val="00820D23"/>
    <w:rsid w:val="00834CD3"/>
    <w:rsid w:val="00835CE3"/>
    <w:rsid w:val="00837081"/>
    <w:rsid w:val="00860589"/>
    <w:rsid w:val="00862A6F"/>
    <w:rsid w:val="00880AF0"/>
    <w:rsid w:val="00887A00"/>
    <w:rsid w:val="008B1282"/>
    <w:rsid w:val="008C07E1"/>
    <w:rsid w:val="008E1EF5"/>
    <w:rsid w:val="008E7082"/>
    <w:rsid w:val="008F3D2B"/>
    <w:rsid w:val="008F434C"/>
    <w:rsid w:val="00915B96"/>
    <w:rsid w:val="00926F40"/>
    <w:rsid w:val="0092784A"/>
    <w:rsid w:val="0093221A"/>
    <w:rsid w:val="00936F37"/>
    <w:rsid w:val="00946749"/>
    <w:rsid w:val="00964EA5"/>
    <w:rsid w:val="0096704B"/>
    <w:rsid w:val="00970725"/>
    <w:rsid w:val="00981FFA"/>
    <w:rsid w:val="00995F6D"/>
    <w:rsid w:val="009979B4"/>
    <w:rsid w:val="009C52DE"/>
    <w:rsid w:val="009D2727"/>
    <w:rsid w:val="00A10BB6"/>
    <w:rsid w:val="00A16019"/>
    <w:rsid w:val="00A204D7"/>
    <w:rsid w:val="00A42913"/>
    <w:rsid w:val="00A464B0"/>
    <w:rsid w:val="00A504D4"/>
    <w:rsid w:val="00A51D98"/>
    <w:rsid w:val="00A57320"/>
    <w:rsid w:val="00A734E2"/>
    <w:rsid w:val="00A958FB"/>
    <w:rsid w:val="00AA71D2"/>
    <w:rsid w:val="00AE0376"/>
    <w:rsid w:val="00B1550F"/>
    <w:rsid w:val="00B227E3"/>
    <w:rsid w:val="00B23D0D"/>
    <w:rsid w:val="00B2777D"/>
    <w:rsid w:val="00B33C4B"/>
    <w:rsid w:val="00B4337F"/>
    <w:rsid w:val="00B566E6"/>
    <w:rsid w:val="00B617A3"/>
    <w:rsid w:val="00B662A6"/>
    <w:rsid w:val="00B670BE"/>
    <w:rsid w:val="00B825FE"/>
    <w:rsid w:val="00B86BFD"/>
    <w:rsid w:val="00B95346"/>
    <w:rsid w:val="00B95E22"/>
    <w:rsid w:val="00BA5D61"/>
    <w:rsid w:val="00BA734F"/>
    <w:rsid w:val="00BC2EAE"/>
    <w:rsid w:val="00BC4E6C"/>
    <w:rsid w:val="00BD4045"/>
    <w:rsid w:val="00BD5607"/>
    <w:rsid w:val="00BE3A8A"/>
    <w:rsid w:val="00BE5FBF"/>
    <w:rsid w:val="00BF7522"/>
    <w:rsid w:val="00C24EDE"/>
    <w:rsid w:val="00C36BA3"/>
    <w:rsid w:val="00C720F4"/>
    <w:rsid w:val="00C752B5"/>
    <w:rsid w:val="00C76B59"/>
    <w:rsid w:val="00CA34A0"/>
    <w:rsid w:val="00CE41B2"/>
    <w:rsid w:val="00CF3DCD"/>
    <w:rsid w:val="00CF436C"/>
    <w:rsid w:val="00D22B8A"/>
    <w:rsid w:val="00D24A78"/>
    <w:rsid w:val="00D316A0"/>
    <w:rsid w:val="00D343C3"/>
    <w:rsid w:val="00D37A5A"/>
    <w:rsid w:val="00D440B7"/>
    <w:rsid w:val="00D5209A"/>
    <w:rsid w:val="00D83B1F"/>
    <w:rsid w:val="00D84005"/>
    <w:rsid w:val="00DB56FC"/>
    <w:rsid w:val="00DD04F2"/>
    <w:rsid w:val="00DD0FE9"/>
    <w:rsid w:val="00E049D5"/>
    <w:rsid w:val="00E34F36"/>
    <w:rsid w:val="00E506CA"/>
    <w:rsid w:val="00E55B48"/>
    <w:rsid w:val="00E6069F"/>
    <w:rsid w:val="00E87C58"/>
    <w:rsid w:val="00E95032"/>
    <w:rsid w:val="00E97205"/>
    <w:rsid w:val="00EA3985"/>
    <w:rsid w:val="00EA7F65"/>
    <w:rsid w:val="00EB4B38"/>
    <w:rsid w:val="00EB5311"/>
    <w:rsid w:val="00EC05CB"/>
    <w:rsid w:val="00ED6FBE"/>
    <w:rsid w:val="00EF06D4"/>
    <w:rsid w:val="00F12E35"/>
    <w:rsid w:val="00F135EA"/>
    <w:rsid w:val="00F21D15"/>
    <w:rsid w:val="00F64D50"/>
    <w:rsid w:val="00F77674"/>
    <w:rsid w:val="00F81448"/>
    <w:rsid w:val="00F915E4"/>
    <w:rsid w:val="00F94D58"/>
    <w:rsid w:val="00FB2BA7"/>
    <w:rsid w:val="00FB3B1D"/>
    <w:rsid w:val="00FE06D8"/>
    <w:rsid w:val="00FF21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EE59"/>
  <w15:chartTrackingRefBased/>
  <w15:docId w15:val="{21EFEDA4-3433-418B-B22A-D2ABA821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D01"/>
  </w:style>
  <w:style w:type="paragraph" w:styleId="Footer">
    <w:name w:val="footer"/>
    <w:basedOn w:val="Normal"/>
    <w:link w:val="FooterChar"/>
    <w:uiPriority w:val="99"/>
    <w:unhideWhenUsed/>
    <w:rsid w:val="00006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D01"/>
  </w:style>
  <w:style w:type="paragraph" w:styleId="FootnoteText">
    <w:name w:val="footnote text"/>
    <w:basedOn w:val="Normal"/>
    <w:link w:val="FootnoteTextChar"/>
    <w:uiPriority w:val="99"/>
    <w:semiHidden/>
    <w:unhideWhenUsed/>
    <w:rsid w:val="002A2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B0A"/>
    <w:rPr>
      <w:sz w:val="20"/>
      <w:szCs w:val="20"/>
    </w:rPr>
  </w:style>
  <w:style w:type="character" w:styleId="FootnoteReference">
    <w:name w:val="footnote reference"/>
    <w:basedOn w:val="DefaultParagraphFont"/>
    <w:uiPriority w:val="99"/>
    <w:semiHidden/>
    <w:unhideWhenUsed/>
    <w:rsid w:val="002A2B0A"/>
    <w:rPr>
      <w:vertAlign w:val="superscript"/>
    </w:rPr>
  </w:style>
  <w:style w:type="paragraph" w:styleId="Revision">
    <w:name w:val="Revision"/>
    <w:hidden/>
    <w:uiPriority w:val="99"/>
    <w:semiHidden/>
    <w:rsid w:val="00D22B8A"/>
    <w:pPr>
      <w:spacing w:after="0" w:line="240" w:lineRule="auto"/>
    </w:pPr>
  </w:style>
  <w:style w:type="character" w:styleId="CommentReference">
    <w:name w:val="annotation reference"/>
    <w:basedOn w:val="DefaultParagraphFont"/>
    <w:uiPriority w:val="99"/>
    <w:semiHidden/>
    <w:unhideWhenUsed/>
    <w:rsid w:val="00D22B8A"/>
    <w:rPr>
      <w:sz w:val="16"/>
      <w:szCs w:val="16"/>
    </w:rPr>
  </w:style>
  <w:style w:type="paragraph" w:styleId="CommentText">
    <w:name w:val="annotation text"/>
    <w:basedOn w:val="Normal"/>
    <w:link w:val="CommentTextChar"/>
    <w:uiPriority w:val="99"/>
    <w:semiHidden/>
    <w:unhideWhenUsed/>
    <w:rsid w:val="00D22B8A"/>
    <w:pPr>
      <w:spacing w:line="240" w:lineRule="auto"/>
    </w:pPr>
    <w:rPr>
      <w:sz w:val="20"/>
      <w:szCs w:val="20"/>
    </w:rPr>
  </w:style>
  <w:style w:type="character" w:customStyle="1" w:styleId="CommentTextChar">
    <w:name w:val="Comment Text Char"/>
    <w:basedOn w:val="DefaultParagraphFont"/>
    <w:link w:val="CommentText"/>
    <w:uiPriority w:val="99"/>
    <w:semiHidden/>
    <w:rsid w:val="00D22B8A"/>
    <w:rPr>
      <w:sz w:val="20"/>
      <w:szCs w:val="20"/>
    </w:rPr>
  </w:style>
  <w:style w:type="paragraph" w:styleId="CommentSubject">
    <w:name w:val="annotation subject"/>
    <w:basedOn w:val="CommentText"/>
    <w:next w:val="CommentText"/>
    <w:link w:val="CommentSubjectChar"/>
    <w:uiPriority w:val="99"/>
    <w:semiHidden/>
    <w:unhideWhenUsed/>
    <w:rsid w:val="00D22B8A"/>
    <w:rPr>
      <w:b/>
      <w:bCs/>
    </w:rPr>
  </w:style>
  <w:style w:type="character" w:customStyle="1" w:styleId="CommentSubjectChar">
    <w:name w:val="Comment Subject Char"/>
    <w:basedOn w:val="CommentTextChar"/>
    <w:link w:val="CommentSubject"/>
    <w:uiPriority w:val="99"/>
    <w:semiHidden/>
    <w:rsid w:val="00D22B8A"/>
    <w:rPr>
      <w:b/>
      <w:bCs/>
      <w:sz w:val="20"/>
      <w:szCs w:val="20"/>
    </w:rPr>
  </w:style>
  <w:style w:type="paragraph" w:styleId="ListParagraph">
    <w:name w:val="List Paragraph"/>
    <w:basedOn w:val="Normal"/>
    <w:uiPriority w:val="34"/>
    <w:qFormat/>
    <w:rsid w:val="00D22B8A"/>
    <w:pPr>
      <w:ind w:left="720"/>
      <w:contextualSpacing/>
    </w:pPr>
  </w:style>
  <w:style w:type="paragraph" w:styleId="BalloonText">
    <w:name w:val="Balloon Text"/>
    <w:basedOn w:val="Normal"/>
    <w:link w:val="BalloonTextChar"/>
    <w:uiPriority w:val="99"/>
    <w:semiHidden/>
    <w:unhideWhenUsed/>
    <w:rsid w:val="00324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67"/>
    <w:rPr>
      <w:rFonts w:ascii="Segoe UI" w:hAnsi="Segoe UI" w:cs="Segoe UI"/>
      <w:sz w:val="18"/>
      <w:szCs w:val="18"/>
    </w:rPr>
  </w:style>
  <w:style w:type="paragraph" w:styleId="EndnoteText">
    <w:name w:val="endnote text"/>
    <w:basedOn w:val="Normal"/>
    <w:link w:val="EndnoteTextChar"/>
    <w:uiPriority w:val="99"/>
    <w:semiHidden/>
    <w:unhideWhenUsed/>
    <w:rsid w:val="007834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476"/>
    <w:rPr>
      <w:sz w:val="20"/>
      <w:szCs w:val="20"/>
    </w:rPr>
  </w:style>
  <w:style w:type="character" w:styleId="EndnoteReference">
    <w:name w:val="endnote reference"/>
    <w:basedOn w:val="DefaultParagraphFont"/>
    <w:uiPriority w:val="99"/>
    <w:semiHidden/>
    <w:unhideWhenUsed/>
    <w:rsid w:val="00783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258061">
      <w:bodyDiv w:val="1"/>
      <w:marLeft w:val="0"/>
      <w:marRight w:val="0"/>
      <w:marTop w:val="0"/>
      <w:marBottom w:val="0"/>
      <w:divBdr>
        <w:top w:val="none" w:sz="0" w:space="0" w:color="auto"/>
        <w:left w:val="none" w:sz="0" w:space="0" w:color="auto"/>
        <w:bottom w:val="none" w:sz="0" w:space="0" w:color="auto"/>
        <w:right w:val="none" w:sz="0" w:space="0" w:color="auto"/>
      </w:divBdr>
    </w:div>
    <w:div w:id="958954781">
      <w:bodyDiv w:val="1"/>
      <w:marLeft w:val="0"/>
      <w:marRight w:val="0"/>
      <w:marTop w:val="0"/>
      <w:marBottom w:val="0"/>
      <w:divBdr>
        <w:top w:val="none" w:sz="0" w:space="0" w:color="auto"/>
        <w:left w:val="none" w:sz="0" w:space="0" w:color="auto"/>
        <w:bottom w:val="none" w:sz="0" w:space="0" w:color="auto"/>
        <w:right w:val="none" w:sz="0" w:space="0" w:color="auto"/>
      </w:divBdr>
    </w:div>
    <w:div w:id="1029836358">
      <w:bodyDiv w:val="1"/>
      <w:marLeft w:val="0"/>
      <w:marRight w:val="0"/>
      <w:marTop w:val="0"/>
      <w:marBottom w:val="0"/>
      <w:divBdr>
        <w:top w:val="none" w:sz="0" w:space="0" w:color="auto"/>
        <w:left w:val="none" w:sz="0" w:space="0" w:color="auto"/>
        <w:bottom w:val="none" w:sz="0" w:space="0" w:color="auto"/>
        <w:right w:val="none" w:sz="0" w:space="0" w:color="auto"/>
      </w:divBdr>
    </w:div>
    <w:div w:id="1232346854">
      <w:bodyDiv w:val="1"/>
      <w:marLeft w:val="0"/>
      <w:marRight w:val="0"/>
      <w:marTop w:val="0"/>
      <w:marBottom w:val="0"/>
      <w:divBdr>
        <w:top w:val="none" w:sz="0" w:space="0" w:color="auto"/>
        <w:left w:val="none" w:sz="0" w:space="0" w:color="auto"/>
        <w:bottom w:val="none" w:sz="0" w:space="0" w:color="auto"/>
        <w:right w:val="none" w:sz="0" w:space="0" w:color="auto"/>
      </w:divBdr>
    </w:div>
    <w:div w:id="1375346185">
      <w:bodyDiv w:val="1"/>
      <w:marLeft w:val="0"/>
      <w:marRight w:val="0"/>
      <w:marTop w:val="0"/>
      <w:marBottom w:val="0"/>
      <w:divBdr>
        <w:top w:val="none" w:sz="0" w:space="0" w:color="auto"/>
        <w:left w:val="none" w:sz="0" w:space="0" w:color="auto"/>
        <w:bottom w:val="none" w:sz="0" w:space="0" w:color="auto"/>
        <w:right w:val="none" w:sz="0" w:space="0" w:color="auto"/>
      </w:divBdr>
    </w:div>
    <w:div w:id="19805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76CDE.C84C92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4481-E8C8-4367-B1E0-E410531E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4630</Words>
  <Characters>26392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Pollet</dc:creator>
  <cp:keywords/>
  <dc:description/>
  <cp:lastModifiedBy>Mary Bruce</cp:lastModifiedBy>
  <cp:revision>8</cp:revision>
  <cp:lastPrinted>2023-02-13T07:46:00Z</cp:lastPrinted>
  <dcterms:created xsi:type="dcterms:W3CDTF">2023-02-13T06:24:00Z</dcterms:created>
  <dcterms:modified xsi:type="dcterms:W3CDTF">2023-02-14T10:23:00Z</dcterms:modified>
</cp:coreProperties>
</file>