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3C0F" w14:textId="7C3B2AD0" w:rsidR="004C11C0" w:rsidRDefault="00722334" w:rsidP="00722334">
      <w:pPr>
        <w:jc w:val="center"/>
      </w:pPr>
      <w:bookmarkStart w:id="0" w:name="_GoBack"/>
      <w:bookmarkEnd w:id="0"/>
      <w:r>
        <w:rPr>
          <w:noProof/>
          <w:color w:val="1F497D"/>
          <w:sz w:val="16"/>
          <w:szCs w:val="16"/>
          <w:lang w:val="en-ZA" w:eastAsia="en-ZA"/>
        </w:rPr>
        <w:drawing>
          <wp:inline distT="0" distB="0" distL="0" distR="0" wp14:anchorId="04E6751D" wp14:editId="18277D47">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E779E31" w14:textId="1ACFE837" w:rsidR="00722334" w:rsidRDefault="00722334" w:rsidP="00AE7361">
      <w:pPr>
        <w:spacing w:after="0"/>
        <w:jc w:val="center"/>
        <w:rPr>
          <w:b/>
          <w:bCs/>
        </w:rPr>
      </w:pPr>
      <w:r>
        <w:rPr>
          <w:b/>
          <w:bCs/>
        </w:rPr>
        <w:t>IN THE HIGH COURT OF SOUTH AFRICA</w:t>
      </w:r>
    </w:p>
    <w:p w14:paraId="30C8B1E5" w14:textId="6B8CFCF9" w:rsidR="00722334" w:rsidRDefault="00722334" w:rsidP="00AE7361">
      <w:pPr>
        <w:spacing w:after="0"/>
        <w:jc w:val="center"/>
        <w:rPr>
          <w:b/>
          <w:bCs/>
        </w:rPr>
      </w:pPr>
      <w:r>
        <w:rPr>
          <w:b/>
          <w:bCs/>
        </w:rPr>
        <w:t>(WESTERN CAPE DIVISION, CAPE TOWN)</w:t>
      </w:r>
    </w:p>
    <w:p w14:paraId="7F7597DD" w14:textId="77777777" w:rsidR="00722334" w:rsidRDefault="00722334" w:rsidP="00722334">
      <w:pPr>
        <w:jc w:val="center"/>
        <w:rPr>
          <w:b/>
          <w:bCs/>
        </w:rPr>
      </w:pPr>
    </w:p>
    <w:p w14:paraId="5EBBB265" w14:textId="1FC54A3F" w:rsidR="00722334" w:rsidRDefault="00722334" w:rsidP="00722334">
      <w:pPr>
        <w:jc w:val="right"/>
      </w:pPr>
      <w:r>
        <w:t>CASE NO:</w:t>
      </w:r>
      <w:r>
        <w:tab/>
      </w:r>
      <w:r>
        <w:rPr>
          <w:b/>
          <w:bCs/>
        </w:rPr>
        <w:t>5852/2022</w:t>
      </w:r>
    </w:p>
    <w:p w14:paraId="0C4EA0B8" w14:textId="77777777" w:rsidR="00722334" w:rsidRDefault="00722334" w:rsidP="00722334">
      <w:pPr>
        <w:jc w:val="right"/>
      </w:pPr>
    </w:p>
    <w:p w14:paraId="077EBA89" w14:textId="3D64FDD8" w:rsidR="00722334" w:rsidRDefault="00722334" w:rsidP="00722334">
      <w:r>
        <w:t>In the matter between:</w:t>
      </w:r>
    </w:p>
    <w:p w14:paraId="37BE5BCD" w14:textId="77777777" w:rsidR="00722334" w:rsidRDefault="00722334" w:rsidP="00722334"/>
    <w:p w14:paraId="2476C926" w14:textId="123A559E" w:rsidR="00722334" w:rsidRDefault="00722334" w:rsidP="00AE7361">
      <w:pPr>
        <w:spacing w:after="0"/>
      </w:pPr>
      <w:r>
        <w:rPr>
          <w:b/>
          <w:bCs/>
        </w:rPr>
        <w:t>HOHENFELDE DOHNE MERINOS (PTY) LTD</w:t>
      </w:r>
      <w:r>
        <w:tab/>
      </w:r>
      <w:r>
        <w:tab/>
      </w:r>
      <w:r>
        <w:tab/>
      </w:r>
      <w:r>
        <w:tab/>
        <w:t xml:space="preserve">        Applicant</w:t>
      </w:r>
    </w:p>
    <w:p w14:paraId="2D2112C9" w14:textId="77777777" w:rsidR="00722334" w:rsidRDefault="00722334" w:rsidP="00AE7361">
      <w:pPr>
        <w:spacing w:after="0"/>
      </w:pPr>
    </w:p>
    <w:p w14:paraId="1E5A2BF2" w14:textId="78A71FDD" w:rsidR="00722334" w:rsidRDefault="00722334" w:rsidP="00AE7361">
      <w:pPr>
        <w:spacing w:after="0"/>
      </w:pPr>
      <w:r>
        <w:t xml:space="preserve">and </w:t>
      </w:r>
    </w:p>
    <w:p w14:paraId="75C55CA6" w14:textId="77777777" w:rsidR="00722334" w:rsidRDefault="00722334" w:rsidP="00AE7361">
      <w:pPr>
        <w:spacing w:after="0"/>
      </w:pPr>
    </w:p>
    <w:p w14:paraId="6796ADE3" w14:textId="492DC3DB" w:rsidR="00722334" w:rsidRDefault="00722334" w:rsidP="00AE7361">
      <w:pPr>
        <w:spacing w:after="0"/>
      </w:pPr>
      <w:r>
        <w:rPr>
          <w:b/>
          <w:bCs/>
        </w:rPr>
        <w:t>ANJA HELENE LOUW</w:t>
      </w:r>
      <w:r>
        <w:tab/>
      </w:r>
      <w:r>
        <w:tab/>
      </w:r>
      <w:r>
        <w:tab/>
      </w:r>
      <w:r>
        <w:tab/>
      </w:r>
      <w:r>
        <w:tab/>
      </w:r>
      <w:r>
        <w:tab/>
      </w:r>
      <w:r>
        <w:tab/>
        <w:t xml:space="preserve">        First Respondent</w:t>
      </w:r>
    </w:p>
    <w:p w14:paraId="7C0BBF75" w14:textId="77777777" w:rsidR="00722334" w:rsidRDefault="00722334" w:rsidP="00AE7361">
      <w:pPr>
        <w:spacing w:after="0"/>
      </w:pPr>
    </w:p>
    <w:p w14:paraId="0F2156B6" w14:textId="5AD38282" w:rsidR="00722334" w:rsidRDefault="00722334" w:rsidP="00AE7361">
      <w:pPr>
        <w:spacing w:after="0"/>
      </w:pPr>
      <w:r>
        <w:rPr>
          <w:b/>
          <w:bCs/>
        </w:rPr>
        <w:t>KYLE CLAYTON LOUW</w:t>
      </w:r>
      <w:r>
        <w:tab/>
      </w:r>
      <w:r>
        <w:tab/>
      </w:r>
      <w:r>
        <w:tab/>
      </w:r>
      <w:r>
        <w:tab/>
      </w:r>
      <w:r>
        <w:tab/>
      </w:r>
      <w:r>
        <w:tab/>
      </w:r>
      <w:r>
        <w:tab/>
        <w:t xml:space="preserve">    Second Respondent</w:t>
      </w:r>
    </w:p>
    <w:p w14:paraId="37F8AB07" w14:textId="77777777" w:rsidR="00722334" w:rsidRDefault="00722334" w:rsidP="00AE7361">
      <w:pPr>
        <w:spacing w:after="0"/>
      </w:pPr>
    </w:p>
    <w:p w14:paraId="1DAF47EE" w14:textId="4E7B7105" w:rsidR="00722334" w:rsidRDefault="00722334" w:rsidP="00AE7361">
      <w:pPr>
        <w:spacing w:after="0"/>
      </w:pPr>
      <w:r>
        <w:rPr>
          <w:b/>
          <w:bCs/>
        </w:rPr>
        <w:t>THOKOZANI THUTHUKA SHEZI</w:t>
      </w:r>
      <w:r>
        <w:tab/>
      </w:r>
      <w:r>
        <w:tab/>
      </w:r>
      <w:r>
        <w:tab/>
      </w:r>
      <w:r>
        <w:tab/>
      </w:r>
      <w:r>
        <w:tab/>
        <w:t xml:space="preserve">       Third Respondent</w:t>
      </w:r>
    </w:p>
    <w:p w14:paraId="04BDA5DA" w14:textId="77777777" w:rsidR="00722334" w:rsidRDefault="00722334" w:rsidP="00722334"/>
    <w:p w14:paraId="164616FD" w14:textId="77777777" w:rsidR="00957477" w:rsidRDefault="00957477" w:rsidP="00AE7361">
      <w:pPr>
        <w:spacing w:after="0" w:line="276" w:lineRule="auto"/>
        <w:rPr>
          <w:b/>
          <w:bCs/>
        </w:rPr>
      </w:pPr>
      <w:r>
        <w:rPr>
          <w:b/>
          <w:bCs/>
        </w:rPr>
        <w:t xml:space="preserve">ALL OTHER OCCUPIERS OCCUPYING HOHENFELDE </w:t>
      </w:r>
    </w:p>
    <w:p w14:paraId="4F9639D6" w14:textId="580376C6" w:rsidR="00957477" w:rsidRDefault="00957477" w:rsidP="00AE7361">
      <w:pPr>
        <w:spacing w:after="0" w:line="276" w:lineRule="auto"/>
        <w:rPr>
          <w:b/>
          <w:bCs/>
        </w:rPr>
      </w:pPr>
      <w:r>
        <w:rPr>
          <w:b/>
          <w:bCs/>
        </w:rPr>
        <w:t>FARM, HERCULES PILAAR ROAD,</w:t>
      </w:r>
      <w:r w:rsidR="00DE1A84">
        <w:rPr>
          <w:b/>
          <w:bCs/>
        </w:rPr>
        <w:t xml:space="preserve"> </w:t>
      </w:r>
      <w:r>
        <w:rPr>
          <w:b/>
          <w:bCs/>
        </w:rPr>
        <w:t xml:space="preserve">NO 475, </w:t>
      </w:r>
    </w:p>
    <w:p w14:paraId="45165989" w14:textId="77777777" w:rsidR="00957477" w:rsidRDefault="00957477" w:rsidP="00AE7361">
      <w:pPr>
        <w:spacing w:after="0" w:line="276" w:lineRule="auto"/>
        <w:rPr>
          <w:b/>
          <w:bCs/>
        </w:rPr>
      </w:pPr>
      <w:r>
        <w:rPr>
          <w:b/>
          <w:bCs/>
        </w:rPr>
        <w:t xml:space="preserve">MULDERSVLEI WITH OR UNDER </w:t>
      </w:r>
    </w:p>
    <w:p w14:paraId="100D42A6" w14:textId="6B8B4E4F" w:rsidR="00957477" w:rsidRDefault="00957477" w:rsidP="00AE7361">
      <w:pPr>
        <w:spacing w:after="0" w:line="276" w:lineRule="auto"/>
      </w:pPr>
      <w:r>
        <w:rPr>
          <w:b/>
          <w:bCs/>
        </w:rPr>
        <w:t>THE FIRST TO THIRD RESPONDENTS</w:t>
      </w:r>
      <w:r>
        <w:tab/>
      </w:r>
      <w:r>
        <w:tab/>
      </w:r>
      <w:r>
        <w:tab/>
        <w:t xml:space="preserve">     </w:t>
      </w:r>
      <w:r>
        <w:tab/>
        <w:t xml:space="preserve">     Fourth Respondent</w:t>
      </w:r>
    </w:p>
    <w:p w14:paraId="78E6D775" w14:textId="77777777" w:rsidR="00957477" w:rsidRDefault="00957477" w:rsidP="00AE7361">
      <w:pPr>
        <w:spacing w:after="0"/>
        <w:rPr>
          <w:b/>
          <w:bCs/>
        </w:rPr>
      </w:pPr>
    </w:p>
    <w:p w14:paraId="335D4C17" w14:textId="52CC0BA0" w:rsidR="00957477" w:rsidRDefault="00957477" w:rsidP="00AE7361">
      <w:pPr>
        <w:spacing w:after="0"/>
      </w:pPr>
      <w:r>
        <w:rPr>
          <w:b/>
          <w:bCs/>
        </w:rPr>
        <w:t>STELLENBOSCH LOCAL MUNICIPALITY</w:t>
      </w:r>
      <w:r>
        <w:tab/>
      </w:r>
      <w:r>
        <w:tab/>
      </w:r>
      <w:r>
        <w:tab/>
      </w:r>
      <w:r>
        <w:tab/>
        <w:t xml:space="preserve">        Fifth Respondent</w:t>
      </w:r>
    </w:p>
    <w:p w14:paraId="3E9A5D66" w14:textId="40853FB3" w:rsidR="00957477" w:rsidRDefault="00957477" w:rsidP="00AE7361">
      <w:pPr>
        <w:spacing w:after="0"/>
      </w:pPr>
    </w:p>
    <w:p w14:paraId="52E993E9" w14:textId="77777777" w:rsidR="00DE1A84" w:rsidRDefault="00DE1A84" w:rsidP="00AE7361">
      <w:pPr>
        <w:spacing w:after="0"/>
      </w:pPr>
    </w:p>
    <w:p w14:paraId="20473946" w14:textId="3ED6B4B4" w:rsidR="00957477" w:rsidRDefault="00957477" w:rsidP="00AE7361">
      <w:pPr>
        <w:spacing w:after="0"/>
      </w:pPr>
      <w:r>
        <w:t xml:space="preserve">Heard: </w:t>
      </w:r>
      <w:r>
        <w:tab/>
      </w:r>
      <w:r>
        <w:tab/>
        <w:t>10 October 2023</w:t>
      </w:r>
    </w:p>
    <w:p w14:paraId="262A723E" w14:textId="637A0F75" w:rsidR="00957477" w:rsidRDefault="00957477" w:rsidP="00AE7361">
      <w:pPr>
        <w:spacing w:after="0"/>
      </w:pPr>
      <w:r>
        <w:t>Delivered:</w:t>
      </w:r>
      <w:r>
        <w:tab/>
      </w:r>
      <w:r w:rsidR="00096BDB">
        <w:t>30 October 2023</w:t>
      </w:r>
    </w:p>
    <w:p w14:paraId="6A4B666F" w14:textId="77777777" w:rsidR="00957477" w:rsidRDefault="00957477" w:rsidP="00957477">
      <w:pPr>
        <w:pBdr>
          <w:bottom w:val="single" w:sz="4" w:space="1" w:color="auto"/>
        </w:pBdr>
      </w:pPr>
    </w:p>
    <w:p w14:paraId="13DC8371" w14:textId="77777777" w:rsidR="00957477" w:rsidRDefault="00957477" w:rsidP="00722334"/>
    <w:p w14:paraId="0017DBB2" w14:textId="7DD9F664" w:rsidR="00957477" w:rsidRDefault="00957477" w:rsidP="00957477">
      <w:pPr>
        <w:jc w:val="center"/>
      </w:pPr>
      <w:r>
        <w:rPr>
          <w:b/>
          <w:bCs/>
        </w:rPr>
        <w:t>JUDGMENT</w:t>
      </w:r>
    </w:p>
    <w:p w14:paraId="5DEA4261" w14:textId="77777777" w:rsidR="00957477" w:rsidRPr="00957477" w:rsidRDefault="00957477" w:rsidP="00957477">
      <w:pPr>
        <w:pBdr>
          <w:bottom w:val="single" w:sz="4" w:space="1" w:color="auto"/>
        </w:pBdr>
        <w:jc w:val="center"/>
      </w:pPr>
    </w:p>
    <w:p w14:paraId="675FEED9" w14:textId="77777777" w:rsidR="00957477" w:rsidRDefault="00957477" w:rsidP="00722334"/>
    <w:p w14:paraId="4B5D59F1" w14:textId="07797FE9" w:rsidR="00957477" w:rsidRDefault="00957477" w:rsidP="00722334">
      <w:r>
        <w:rPr>
          <w:b/>
          <w:bCs/>
        </w:rPr>
        <w:t>LESLIE AJ:</w:t>
      </w:r>
    </w:p>
    <w:p w14:paraId="60836237" w14:textId="77777777" w:rsidR="00957477" w:rsidRDefault="00957477" w:rsidP="00722334"/>
    <w:p w14:paraId="795124FB" w14:textId="57195713" w:rsidR="00957477" w:rsidRDefault="00957477" w:rsidP="00EC01C0">
      <w:pPr>
        <w:spacing w:line="480" w:lineRule="auto"/>
      </w:pPr>
      <w:r>
        <w:rPr>
          <w:b/>
          <w:bCs/>
          <w:u w:val="single"/>
        </w:rPr>
        <w:t>Introduction</w:t>
      </w:r>
    </w:p>
    <w:p w14:paraId="45ED7DBF" w14:textId="77777777" w:rsidR="00957477" w:rsidRDefault="00957477" w:rsidP="00AE7361">
      <w:pPr>
        <w:spacing w:after="0" w:line="240" w:lineRule="auto"/>
        <w:jc w:val="both"/>
      </w:pPr>
    </w:p>
    <w:p w14:paraId="2121B0A5" w14:textId="705BD09A" w:rsidR="00957477" w:rsidRDefault="00E80A4F" w:rsidP="00E80A4F">
      <w:pPr>
        <w:spacing w:line="480" w:lineRule="auto"/>
        <w:ind w:left="851" w:hanging="851"/>
        <w:jc w:val="both"/>
        <w:pPrChange w:id="1" w:author="Mary Bruce" w:date="2023-11-02T15:56:00Z">
          <w:pPr>
            <w:pStyle w:val="ListParagraph"/>
            <w:numPr>
              <w:numId w:val="1"/>
            </w:numPr>
            <w:spacing w:line="480" w:lineRule="auto"/>
            <w:ind w:left="851" w:hanging="851"/>
            <w:jc w:val="both"/>
          </w:pPr>
        </w:pPrChange>
      </w:pPr>
      <w:r>
        <w:t>1.</w:t>
      </w:r>
      <w:r>
        <w:tab/>
      </w:r>
      <w:r w:rsidR="00957477">
        <w:t xml:space="preserve">This is an application brought in terms of section 4 of the </w:t>
      </w:r>
      <w:r w:rsidR="00EC01C0">
        <w:t>Prevention of Illegal Eviction and Unlawful Occupation of Land Act 19 of 1998 (</w:t>
      </w:r>
      <w:r w:rsidR="00EC01C0" w:rsidRPr="00E80A4F">
        <w:rPr>
          <w:b/>
          <w:bCs/>
          <w:rPrChange w:id="2" w:author="Mary Bruce" w:date="2023-11-02T15:56:00Z">
            <w:rPr>
              <w:b/>
              <w:bCs/>
            </w:rPr>
          </w:rPrChange>
        </w:rPr>
        <w:t>“PIE”</w:t>
      </w:r>
      <w:r w:rsidR="00EC01C0">
        <w:t>) for the eviction of the first to third respondents</w:t>
      </w:r>
      <w:r w:rsidR="00463D5D">
        <w:t xml:space="preserve"> (collectively, </w:t>
      </w:r>
      <w:r w:rsidR="00463D5D" w:rsidRPr="00E80A4F">
        <w:rPr>
          <w:b/>
          <w:bCs/>
          <w:rPrChange w:id="3" w:author="Mary Bruce" w:date="2023-11-02T15:56:00Z">
            <w:rPr>
              <w:b/>
              <w:bCs/>
            </w:rPr>
          </w:rPrChange>
        </w:rPr>
        <w:t>“the respondents”</w:t>
      </w:r>
      <w:r w:rsidR="00463D5D">
        <w:t>)</w:t>
      </w:r>
      <w:r w:rsidR="003275AD">
        <w:t xml:space="preserve"> from the immovable property known as Hohenfelde Farm, Hercules Pilaar Road, Muldersvlei, Western Cape (</w:t>
      </w:r>
      <w:r w:rsidR="003275AD" w:rsidRPr="00E80A4F">
        <w:rPr>
          <w:b/>
          <w:bCs/>
          <w:rPrChange w:id="4" w:author="Mary Bruce" w:date="2023-11-02T15:56:00Z">
            <w:rPr>
              <w:b/>
              <w:bCs/>
            </w:rPr>
          </w:rPrChange>
        </w:rPr>
        <w:t>“the property”</w:t>
      </w:r>
      <w:r w:rsidR="003275AD">
        <w:t>)</w:t>
      </w:r>
      <w:r w:rsidR="00EC01C0">
        <w:t>.</w:t>
      </w:r>
      <w:r w:rsidR="00EC01C0">
        <w:rPr>
          <w:rStyle w:val="FootnoteReference"/>
        </w:rPr>
        <w:footnoteReference w:id="1"/>
      </w:r>
    </w:p>
    <w:p w14:paraId="5856FAEE" w14:textId="77777777" w:rsidR="00EC01C0" w:rsidRDefault="00EC01C0" w:rsidP="003275AD">
      <w:pPr>
        <w:pStyle w:val="ListParagraph"/>
        <w:spacing w:line="480" w:lineRule="auto"/>
        <w:ind w:left="851"/>
        <w:jc w:val="both"/>
      </w:pPr>
    </w:p>
    <w:p w14:paraId="6E301C9F" w14:textId="313ACCE0" w:rsidR="00EC01C0" w:rsidRDefault="00E80A4F" w:rsidP="00E80A4F">
      <w:pPr>
        <w:spacing w:line="480" w:lineRule="auto"/>
        <w:ind w:left="851" w:hanging="851"/>
        <w:jc w:val="both"/>
        <w:pPrChange w:id="5" w:author="Mary Bruce" w:date="2023-11-02T15:56:00Z">
          <w:pPr>
            <w:pStyle w:val="ListParagraph"/>
            <w:numPr>
              <w:numId w:val="1"/>
            </w:numPr>
            <w:spacing w:line="480" w:lineRule="auto"/>
            <w:ind w:left="851" w:hanging="851"/>
            <w:jc w:val="both"/>
          </w:pPr>
        </w:pPrChange>
      </w:pPr>
      <w:r>
        <w:t>2.</w:t>
      </w:r>
      <w:r>
        <w:tab/>
      </w:r>
      <w:r w:rsidR="00EC01C0">
        <w:t xml:space="preserve">There is no dispute that the procedural requirements in section 4 </w:t>
      </w:r>
      <w:r w:rsidR="003275AD">
        <w:t xml:space="preserve">of PIE </w:t>
      </w:r>
      <w:r w:rsidR="00EC01C0">
        <w:t>have been complied with.  The</w:t>
      </w:r>
      <w:r w:rsidR="00463D5D">
        <w:t xml:space="preserve"> broad</w:t>
      </w:r>
      <w:r w:rsidR="00EC01C0">
        <w:t xml:space="preserve"> issues for determination are the following: </w:t>
      </w:r>
    </w:p>
    <w:p w14:paraId="1E7CB5C0" w14:textId="77777777" w:rsidR="00EC01C0" w:rsidRDefault="00EC01C0" w:rsidP="003275AD">
      <w:pPr>
        <w:pStyle w:val="ListParagraph"/>
        <w:jc w:val="both"/>
      </w:pPr>
    </w:p>
    <w:p w14:paraId="79FA9D97" w14:textId="5C0669DB" w:rsidR="00EC01C0" w:rsidRDefault="00E80A4F" w:rsidP="00E80A4F">
      <w:pPr>
        <w:spacing w:line="480" w:lineRule="auto"/>
        <w:ind w:left="1418" w:hanging="1058"/>
        <w:jc w:val="both"/>
        <w:pPrChange w:id="6" w:author="Mary Bruce" w:date="2023-11-02T15:56:00Z">
          <w:pPr>
            <w:pStyle w:val="ListParagraph"/>
            <w:numPr>
              <w:ilvl w:val="1"/>
              <w:numId w:val="1"/>
            </w:numPr>
            <w:spacing w:line="480" w:lineRule="auto"/>
            <w:ind w:left="1418" w:hanging="1058"/>
            <w:jc w:val="both"/>
          </w:pPr>
        </w:pPrChange>
      </w:pPr>
      <w:r>
        <w:t>2.1.</w:t>
      </w:r>
      <w:r>
        <w:tab/>
      </w:r>
      <w:r w:rsidR="00EC01C0">
        <w:t>Whether the eviction proceedings have been properly authorised</w:t>
      </w:r>
      <w:r w:rsidR="00463D5D">
        <w:t>;</w:t>
      </w:r>
    </w:p>
    <w:p w14:paraId="2FD0BEC9" w14:textId="77777777" w:rsidR="00463D5D" w:rsidRDefault="00463D5D" w:rsidP="003275AD">
      <w:pPr>
        <w:pStyle w:val="ListParagraph"/>
        <w:spacing w:line="480" w:lineRule="auto"/>
        <w:ind w:left="1418"/>
        <w:jc w:val="both"/>
      </w:pPr>
    </w:p>
    <w:p w14:paraId="50EDFB94" w14:textId="20BD3025" w:rsidR="00463D5D" w:rsidRDefault="00E80A4F" w:rsidP="00E80A4F">
      <w:pPr>
        <w:spacing w:line="480" w:lineRule="auto"/>
        <w:ind w:left="1418" w:hanging="1058"/>
        <w:jc w:val="both"/>
        <w:pPrChange w:id="7" w:author="Mary Bruce" w:date="2023-11-02T15:56:00Z">
          <w:pPr>
            <w:pStyle w:val="ListParagraph"/>
            <w:numPr>
              <w:ilvl w:val="1"/>
              <w:numId w:val="1"/>
            </w:numPr>
            <w:spacing w:line="480" w:lineRule="auto"/>
            <w:ind w:left="1418" w:hanging="1058"/>
            <w:jc w:val="both"/>
          </w:pPr>
        </w:pPrChange>
      </w:pPr>
      <w:r>
        <w:t>2.2.</w:t>
      </w:r>
      <w:r>
        <w:tab/>
      </w:r>
      <w:r w:rsidR="00463D5D">
        <w:t xml:space="preserve">Whether the applicant is the “person in charge” of the land in question; </w:t>
      </w:r>
    </w:p>
    <w:p w14:paraId="194F4B2B" w14:textId="77777777" w:rsidR="00463D5D" w:rsidRDefault="00463D5D" w:rsidP="003275AD">
      <w:pPr>
        <w:pStyle w:val="ListParagraph"/>
        <w:jc w:val="both"/>
      </w:pPr>
    </w:p>
    <w:p w14:paraId="522D615B" w14:textId="00A4128E" w:rsidR="00EE160E" w:rsidRDefault="00E80A4F" w:rsidP="00E80A4F">
      <w:pPr>
        <w:spacing w:line="480" w:lineRule="auto"/>
        <w:ind w:left="1418" w:hanging="1058"/>
        <w:jc w:val="both"/>
        <w:pPrChange w:id="8" w:author="Mary Bruce" w:date="2023-11-02T15:56:00Z">
          <w:pPr>
            <w:pStyle w:val="ListParagraph"/>
            <w:numPr>
              <w:ilvl w:val="1"/>
              <w:numId w:val="1"/>
            </w:numPr>
            <w:spacing w:line="480" w:lineRule="auto"/>
            <w:ind w:left="1418" w:hanging="1058"/>
            <w:jc w:val="both"/>
          </w:pPr>
        </w:pPrChange>
      </w:pPr>
      <w:r>
        <w:t>2.3.</w:t>
      </w:r>
      <w:r>
        <w:tab/>
      </w:r>
      <w:r w:rsidR="00463D5D">
        <w:t>Whether the respondents are unlawful occupiers</w:t>
      </w:r>
      <w:r w:rsidR="003275AD">
        <w:t xml:space="preserve">; </w:t>
      </w:r>
    </w:p>
    <w:p w14:paraId="31FCCEA7" w14:textId="77777777" w:rsidR="00EE160E" w:rsidRDefault="00EE160E" w:rsidP="00EE160E">
      <w:pPr>
        <w:pStyle w:val="ListParagraph"/>
      </w:pPr>
    </w:p>
    <w:p w14:paraId="5E666576" w14:textId="1F2D3AA1" w:rsidR="00463D5D" w:rsidRDefault="00E80A4F" w:rsidP="00E80A4F">
      <w:pPr>
        <w:spacing w:line="480" w:lineRule="auto"/>
        <w:ind w:left="1418" w:hanging="1058"/>
        <w:jc w:val="both"/>
        <w:pPrChange w:id="9" w:author="Mary Bruce" w:date="2023-11-02T15:56:00Z">
          <w:pPr>
            <w:pStyle w:val="ListParagraph"/>
            <w:numPr>
              <w:ilvl w:val="1"/>
              <w:numId w:val="1"/>
            </w:numPr>
            <w:spacing w:line="480" w:lineRule="auto"/>
            <w:ind w:left="1418" w:hanging="1058"/>
            <w:jc w:val="both"/>
          </w:pPr>
        </w:pPrChange>
      </w:pPr>
      <w:r>
        <w:lastRenderedPageBreak/>
        <w:t>2.4.</w:t>
      </w:r>
      <w:r>
        <w:tab/>
      </w:r>
      <w:r w:rsidR="00EE160E">
        <w:t>Whether the provisions of the Extension of Security of Tenure Act 62 of 1997 (</w:t>
      </w:r>
      <w:r w:rsidR="00EE160E" w:rsidRPr="00E80A4F">
        <w:rPr>
          <w:b/>
          <w:bCs/>
          <w:rPrChange w:id="10" w:author="Mary Bruce" w:date="2023-11-02T15:56:00Z">
            <w:rPr>
              <w:b/>
              <w:bCs/>
            </w:rPr>
          </w:rPrChange>
        </w:rPr>
        <w:t>“ESTA”</w:t>
      </w:r>
      <w:r w:rsidR="00EE160E">
        <w:t>) apply to the second respondent;</w:t>
      </w:r>
    </w:p>
    <w:p w14:paraId="6546C232" w14:textId="77777777" w:rsidR="003275AD" w:rsidRDefault="003275AD" w:rsidP="003275AD">
      <w:pPr>
        <w:pStyle w:val="ListParagraph"/>
        <w:jc w:val="both"/>
      </w:pPr>
    </w:p>
    <w:p w14:paraId="0A57FD43" w14:textId="47C7DE2F" w:rsidR="003275AD" w:rsidRDefault="00E80A4F" w:rsidP="00E80A4F">
      <w:pPr>
        <w:spacing w:line="480" w:lineRule="auto"/>
        <w:ind w:left="1418" w:hanging="1058"/>
        <w:jc w:val="both"/>
        <w:pPrChange w:id="11" w:author="Mary Bruce" w:date="2023-11-02T15:56:00Z">
          <w:pPr>
            <w:pStyle w:val="ListParagraph"/>
            <w:numPr>
              <w:ilvl w:val="1"/>
              <w:numId w:val="1"/>
            </w:numPr>
            <w:spacing w:line="480" w:lineRule="auto"/>
            <w:ind w:left="1418" w:hanging="1058"/>
            <w:jc w:val="both"/>
          </w:pPr>
        </w:pPrChange>
      </w:pPr>
      <w:r>
        <w:t>2.5.</w:t>
      </w:r>
      <w:r>
        <w:tab/>
      </w:r>
      <w:r w:rsidR="003275AD">
        <w:t>Whether it is just and equitable to grant the eviction order; and</w:t>
      </w:r>
    </w:p>
    <w:p w14:paraId="2EF1E840" w14:textId="77777777" w:rsidR="003275AD" w:rsidRDefault="003275AD" w:rsidP="003275AD">
      <w:pPr>
        <w:pStyle w:val="ListParagraph"/>
        <w:jc w:val="both"/>
      </w:pPr>
    </w:p>
    <w:p w14:paraId="3101D916" w14:textId="20BE77B5" w:rsidR="003275AD" w:rsidRDefault="00E80A4F" w:rsidP="00E80A4F">
      <w:pPr>
        <w:spacing w:line="480" w:lineRule="auto"/>
        <w:ind w:left="1418" w:hanging="1058"/>
        <w:jc w:val="both"/>
        <w:pPrChange w:id="12" w:author="Mary Bruce" w:date="2023-11-02T15:56:00Z">
          <w:pPr>
            <w:pStyle w:val="ListParagraph"/>
            <w:numPr>
              <w:ilvl w:val="1"/>
              <w:numId w:val="1"/>
            </w:numPr>
            <w:spacing w:line="480" w:lineRule="auto"/>
            <w:ind w:left="1418" w:hanging="1058"/>
            <w:jc w:val="both"/>
          </w:pPr>
        </w:pPrChange>
      </w:pPr>
      <w:r>
        <w:t>2.6.</w:t>
      </w:r>
      <w:r>
        <w:tab/>
      </w:r>
      <w:r w:rsidR="003275AD">
        <w:t xml:space="preserve">In the event of the requirements of section 4 </w:t>
      </w:r>
      <w:r w:rsidR="00E022C8">
        <w:t xml:space="preserve">having </w:t>
      </w:r>
      <w:r w:rsidR="003275AD">
        <w:t>be</w:t>
      </w:r>
      <w:r w:rsidR="00E022C8">
        <w:t>en</w:t>
      </w:r>
      <w:r w:rsidR="003275AD">
        <w:t xml:space="preserve"> met, the determination of a just and equitable date for the eviction. </w:t>
      </w:r>
    </w:p>
    <w:p w14:paraId="662C8EE7" w14:textId="77777777" w:rsidR="003275AD" w:rsidRDefault="003275AD" w:rsidP="003275AD">
      <w:pPr>
        <w:pStyle w:val="ListParagraph"/>
        <w:jc w:val="both"/>
      </w:pPr>
    </w:p>
    <w:p w14:paraId="38E28C49" w14:textId="285F6569" w:rsidR="003275AD" w:rsidRPr="003275AD" w:rsidRDefault="003275AD" w:rsidP="003275AD">
      <w:pPr>
        <w:spacing w:line="480" w:lineRule="auto"/>
        <w:jc w:val="both"/>
        <w:rPr>
          <w:b/>
          <w:bCs/>
          <w:u w:val="single"/>
        </w:rPr>
      </w:pPr>
      <w:r>
        <w:rPr>
          <w:b/>
          <w:bCs/>
          <w:u w:val="single"/>
        </w:rPr>
        <w:t>Background</w:t>
      </w:r>
    </w:p>
    <w:p w14:paraId="57EA3D0A" w14:textId="77777777" w:rsidR="00EC01C0" w:rsidRDefault="00EC01C0" w:rsidP="003275AD">
      <w:pPr>
        <w:pStyle w:val="ListParagraph"/>
        <w:jc w:val="both"/>
      </w:pPr>
    </w:p>
    <w:p w14:paraId="17E81446" w14:textId="09751AFC" w:rsidR="00E95FBA" w:rsidRDefault="00E80A4F" w:rsidP="00E80A4F">
      <w:pPr>
        <w:spacing w:line="480" w:lineRule="auto"/>
        <w:ind w:left="851" w:hanging="851"/>
        <w:jc w:val="both"/>
        <w:pPrChange w:id="13" w:author="Mary Bruce" w:date="2023-11-02T15:56:00Z">
          <w:pPr>
            <w:pStyle w:val="ListParagraph"/>
            <w:numPr>
              <w:numId w:val="1"/>
            </w:numPr>
            <w:spacing w:line="480" w:lineRule="auto"/>
            <w:ind w:left="851" w:hanging="851"/>
            <w:jc w:val="both"/>
          </w:pPr>
        </w:pPrChange>
      </w:pPr>
      <w:r>
        <w:t>3.</w:t>
      </w:r>
      <w:r>
        <w:tab/>
      </w:r>
      <w:r w:rsidR="003275AD">
        <w:t>Mr Johannes Louw (</w:t>
      </w:r>
      <w:r w:rsidR="003275AD" w:rsidRPr="00E80A4F">
        <w:rPr>
          <w:b/>
          <w:bCs/>
          <w:rPrChange w:id="14" w:author="Mary Bruce" w:date="2023-11-02T15:56:00Z">
            <w:rPr>
              <w:b/>
              <w:bCs/>
            </w:rPr>
          </w:rPrChange>
        </w:rPr>
        <w:t>“Mr Louw”</w:t>
      </w:r>
      <w:r w:rsidR="003275AD">
        <w:t>) has owned the property since 1984.  Mr Louw is the father of the applicant’s sole director, Mr Nicholas Louw (</w:t>
      </w:r>
      <w:r w:rsidR="003275AD" w:rsidRPr="00E80A4F">
        <w:rPr>
          <w:b/>
          <w:bCs/>
          <w:rPrChange w:id="15" w:author="Mary Bruce" w:date="2023-11-02T15:56:00Z">
            <w:rPr>
              <w:b/>
              <w:bCs/>
            </w:rPr>
          </w:rPrChange>
        </w:rPr>
        <w:t>“Nicholas”</w:t>
      </w:r>
      <w:r w:rsidR="003275AD">
        <w:t>)</w:t>
      </w:r>
      <w:r w:rsidR="00E95FBA">
        <w:t>, the first respondent (</w:t>
      </w:r>
      <w:r w:rsidR="00E95FBA" w:rsidRPr="00E80A4F">
        <w:rPr>
          <w:b/>
          <w:bCs/>
          <w:rPrChange w:id="16" w:author="Mary Bruce" w:date="2023-11-02T15:56:00Z">
            <w:rPr>
              <w:b/>
              <w:bCs/>
            </w:rPr>
          </w:rPrChange>
        </w:rPr>
        <w:t>“Anja”</w:t>
      </w:r>
      <w:r w:rsidR="00E95FBA">
        <w:t>) and the second respondent (</w:t>
      </w:r>
      <w:r w:rsidR="00E95FBA" w:rsidRPr="00E80A4F">
        <w:rPr>
          <w:b/>
          <w:bCs/>
          <w:rPrChange w:id="17" w:author="Mary Bruce" w:date="2023-11-02T15:56:00Z">
            <w:rPr>
              <w:b/>
              <w:bCs/>
            </w:rPr>
          </w:rPrChange>
        </w:rPr>
        <w:t>“Kyle”</w:t>
      </w:r>
      <w:r w:rsidR="00E95FBA">
        <w:t>).  The third respondent (</w:t>
      </w:r>
      <w:r w:rsidR="00E95FBA" w:rsidRPr="00E80A4F">
        <w:rPr>
          <w:b/>
          <w:bCs/>
          <w:rPrChange w:id="18" w:author="Mary Bruce" w:date="2023-11-02T15:56:00Z">
            <w:rPr>
              <w:b/>
              <w:bCs/>
            </w:rPr>
          </w:rPrChange>
        </w:rPr>
        <w:t>“Shezi”</w:t>
      </w:r>
      <w:r w:rsidR="00E95FBA">
        <w:t xml:space="preserve">) is Anja’s life partner.  </w:t>
      </w:r>
      <w:r w:rsidR="00382CD2">
        <w:t xml:space="preserve"> Mr Louw vacated the property in May 2019. </w:t>
      </w:r>
    </w:p>
    <w:p w14:paraId="2AF3DCE1" w14:textId="77777777" w:rsidR="009C3CF4" w:rsidRDefault="009C3CF4" w:rsidP="009C3CF4">
      <w:pPr>
        <w:pStyle w:val="ListParagraph"/>
        <w:spacing w:line="480" w:lineRule="auto"/>
        <w:ind w:left="851"/>
        <w:jc w:val="both"/>
      </w:pPr>
    </w:p>
    <w:p w14:paraId="04618361" w14:textId="301E418C" w:rsidR="009C3CF4" w:rsidRDefault="00E80A4F" w:rsidP="00E80A4F">
      <w:pPr>
        <w:spacing w:line="480" w:lineRule="auto"/>
        <w:ind w:left="851" w:hanging="851"/>
        <w:jc w:val="both"/>
        <w:pPrChange w:id="19" w:author="Mary Bruce" w:date="2023-11-02T15:56:00Z">
          <w:pPr>
            <w:pStyle w:val="ListParagraph"/>
            <w:numPr>
              <w:numId w:val="1"/>
            </w:numPr>
            <w:spacing w:line="480" w:lineRule="auto"/>
            <w:ind w:left="851" w:hanging="851"/>
            <w:jc w:val="both"/>
          </w:pPr>
        </w:pPrChange>
      </w:pPr>
      <w:r>
        <w:t>4.</w:t>
      </w:r>
      <w:r>
        <w:tab/>
      </w:r>
      <w:r w:rsidR="009C3CF4">
        <w:t xml:space="preserve">The respondents currently occupy </w:t>
      </w:r>
      <w:r w:rsidR="00382CD2">
        <w:t xml:space="preserve">the main homestead on the property.  They do not pay any rent to the owner, Mr Louw. </w:t>
      </w:r>
    </w:p>
    <w:p w14:paraId="6F3E5158" w14:textId="77777777" w:rsidR="00E95FBA" w:rsidRDefault="00E95FBA" w:rsidP="00E95FBA">
      <w:pPr>
        <w:pStyle w:val="ListParagraph"/>
        <w:spacing w:line="480" w:lineRule="auto"/>
        <w:ind w:left="851"/>
        <w:jc w:val="both"/>
      </w:pPr>
    </w:p>
    <w:p w14:paraId="6AEDB4E0" w14:textId="019D3107" w:rsidR="007E62C1" w:rsidRDefault="00E80A4F" w:rsidP="00E80A4F">
      <w:pPr>
        <w:spacing w:line="480" w:lineRule="auto"/>
        <w:ind w:left="851" w:hanging="851"/>
        <w:jc w:val="both"/>
        <w:pPrChange w:id="20" w:author="Mary Bruce" w:date="2023-11-02T15:56:00Z">
          <w:pPr>
            <w:pStyle w:val="ListParagraph"/>
            <w:numPr>
              <w:numId w:val="1"/>
            </w:numPr>
            <w:spacing w:line="480" w:lineRule="auto"/>
            <w:ind w:left="851" w:hanging="851"/>
            <w:jc w:val="both"/>
          </w:pPr>
        </w:pPrChange>
      </w:pPr>
      <w:r>
        <w:t>5.</w:t>
      </w:r>
      <w:r>
        <w:tab/>
      </w:r>
      <w:r w:rsidR="00E95FBA">
        <w:t>Mr Louw’s wife, Mrs Dorothy Louw (</w:t>
      </w:r>
      <w:r w:rsidR="00E95FBA" w:rsidRPr="00E80A4F">
        <w:rPr>
          <w:b/>
          <w:bCs/>
          <w:rPrChange w:id="21" w:author="Mary Bruce" w:date="2023-11-02T15:56:00Z">
            <w:rPr>
              <w:b/>
              <w:bCs/>
            </w:rPr>
          </w:rPrChange>
        </w:rPr>
        <w:t>“Mrs Louw”</w:t>
      </w:r>
      <w:r w:rsidR="00E95FBA">
        <w:t>) died on 15 May 2021.</w:t>
      </w:r>
      <w:r w:rsidR="00382CD2">
        <w:t xml:space="preserve">  Prior to her death, Mrs Louw had launched an application to place Mr Louw under curatorship.  On 17 March 2021, a </w:t>
      </w:r>
      <w:r w:rsidR="00382CD2" w:rsidRPr="00E80A4F">
        <w:rPr>
          <w:i/>
          <w:iCs/>
          <w:rPrChange w:id="22" w:author="Mary Bruce" w:date="2023-11-02T15:56:00Z">
            <w:rPr>
              <w:i/>
              <w:iCs/>
            </w:rPr>
          </w:rPrChange>
        </w:rPr>
        <w:t>curatrix ad litem</w:t>
      </w:r>
      <w:r w:rsidR="00382CD2">
        <w:t xml:space="preserve"> was appointed to investigate and report on whether Mr Louw was incapable of managing his own affairs.  On 22 July 2022, an order was made declaring that Mr Louw was incapable of managing his own affairs and appointing a </w:t>
      </w:r>
      <w:r w:rsidR="00382CD2" w:rsidRPr="00E80A4F">
        <w:rPr>
          <w:i/>
          <w:iCs/>
          <w:rPrChange w:id="23" w:author="Mary Bruce" w:date="2023-11-02T15:56:00Z">
            <w:rPr>
              <w:i/>
              <w:iCs/>
            </w:rPr>
          </w:rPrChange>
        </w:rPr>
        <w:t>curator bonis</w:t>
      </w:r>
      <w:r w:rsidR="00382CD2">
        <w:t xml:space="preserve"> to Mr Louw’s estate. </w:t>
      </w:r>
    </w:p>
    <w:p w14:paraId="066A1CBB" w14:textId="77777777" w:rsidR="00E95FBA" w:rsidRDefault="00E95FBA" w:rsidP="00E95FBA">
      <w:pPr>
        <w:pStyle w:val="ListParagraph"/>
        <w:spacing w:line="480" w:lineRule="auto"/>
        <w:ind w:left="851"/>
        <w:jc w:val="both"/>
      </w:pPr>
    </w:p>
    <w:p w14:paraId="0AF4443B" w14:textId="40E2676B" w:rsidR="00EC01C0" w:rsidRDefault="00E80A4F" w:rsidP="00E80A4F">
      <w:pPr>
        <w:spacing w:line="480" w:lineRule="auto"/>
        <w:ind w:left="851" w:hanging="851"/>
        <w:jc w:val="both"/>
        <w:pPrChange w:id="24" w:author="Mary Bruce" w:date="2023-11-02T15:56:00Z">
          <w:pPr>
            <w:pStyle w:val="ListParagraph"/>
            <w:numPr>
              <w:numId w:val="1"/>
            </w:numPr>
            <w:spacing w:line="480" w:lineRule="auto"/>
            <w:ind w:left="851" w:hanging="851"/>
            <w:jc w:val="both"/>
          </w:pPr>
        </w:pPrChange>
      </w:pPr>
      <w:r>
        <w:t>6.</w:t>
      </w:r>
      <w:r>
        <w:tab/>
      </w:r>
      <w:r w:rsidR="00E95FBA">
        <w:t xml:space="preserve">The applicant has concluded a series of </w:t>
      </w:r>
      <w:r w:rsidR="009C3CF4">
        <w:t xml:space="preserve">written </w:t>
      </w:r>
      <w:r w:rsidR="00E95FBA">
        <w:t xml:space="preserve">lease agreements with Mr Louw since 2016.   </w:t>
      </w:r>
      <w:r w:rsidR="009C3CF4">
        <w:t xml:space="preserve">In terms of </w:t>
      </w:r>
      <w:r w:rsidR="00E022C8">
        <w:t xml:space="preserve">the </w:t>
      </w:r>
      <w:r w:rsidR="009C3CF4">
        <w:t xml:space="preserve">latest two leases, concluded in 2018 and 2020 respectively, the applicant rented the whole of the property, including the improvements thereon.  The applicant is permitted to use the property for its sheep-farming business and ancillary </w:t>
      </w:r>
      <w:r w:rsidR="009C3CF4">
        <w:lastRenderedPageBreak/>
        <w:t>activities.  In addition to paying rent to Mr Louw,</w:t>
      </w:r>
      <w:r w:rsidR="009C3CF4">
        <w:rPr>
          <w:rStyle w:val="FootnoteReference"/>
        </w:rPr>
        <w:footnoteReference w:id="2"/>
      </w:r>
      <w:r w:rsidR="00E95FBA">
        <w:t xml:space="preserve"> </w:t>
      </w:r>
      <w:r w:rsidR="009C3CF4">
        <w:t xml:space="preserve">the applicant pays for water and electricity usage on the property. </w:t>
      </w:r>
    </w:p>
    <w:p w14:paraId="4FF6F840" w14:textId="77777777" w:rsidR="007E62C1" w:rsidRDefault="007E62C1" w:rsidP="007E62C1">
      <w:pPr>
        <w:pStyle w:val="ListParagraph"/>
      </w:pPr>
    </w:p>
    <w:p w14:paraId="06ADADF3" w14:textId="5D5D3B24" w:rsidR="007E62C1" w:rsidRDefault="00E80A4F" w:rsidP="00E80A4F">
      <w:pPr>
        <w:spacing w:line="480" w:lineRule="auto"/>
        <w:ind w:left="851" w:hanging="851"/>
        <w:jc w:val="both"/>
        <w:pPrChange w:id="25" w:author="Mary Bruce" w:date="2023-11-02T15:56:00Z">
          <w:pPr>
            <w:pStyle w:val="ListParagraph"/>
            <w:numPr>
              <w:numId w:val="1"/>
            </w:numPr>
            <w:spacing w:line="480" w:lineRule="auto"/>
            <w:ind w:left="851" w:hanging="851"/>
            <w:jc w:val="both"/>
          </w:pPr>
        </w:pPrChange>
      </w:pPr>
      <w:r>
        <w:t>7.</w:t>
      </w:r>
      <w:r>
        <w:tab/>
      </w:r>
      <w:r w:rsidR="007E62C1">
        <w:t xml:space="preserve">On 28 January 2022, the applicant, through its attorneys, delivered a letter of demand to the respondents affording them one month’s notice to vacate the property.  Insofar as the respondents relied on a month-to-month lease to occupy the property, such lease was cancelled.  The respondents did not vacate the property. </w:t>
      </w:r>
    </w:p>
    <w:p w14:paraId="69A2A2AF" w14:textId="77777777" w:rsidR="007E62C1" w:rsidRDefault="007E62C1" w:rsidP="007E62C1">
      <w:pPr>
        <w:pStyle w:val="ListParagraph"/>
      </w:pPr>
    </w:p>
    <w:p w14:paraId="17FD4090" w14:textId="7861DF6E" w:rsidR="007E62C1" w:rsidRDefault="00E80A4F" w:rsidP="00E80A4F">
      <w:pPr>
        <w:spacing w:line="480" w:lineRule="auto"/>
        <w:ind w:left="851" w:hanging="851"/>
        <w:jc w:val="both"/>
        <w:pPrChange w:id="26" w:author="Mary Bruce" w:date="2023-11-02T15:56:00Z">
          <w:pPr>
            <w:pStyle w:val="ListParagraph"/>
            <w:numPr>
              <w:numId w:val="1"/>
            </w:numPr>
            <w:spacing w:line="480" w:lineRule="auto"/>
            <w:ind w:left="851" w:hanging="851"/>
            <w:jc w:val="both"/>
          </w:pPr>
        </w:pPrChange>
      </w:pPr>
      <w:r>
        <w:t>8.</w:t>
      </w:r>
      <w:r>
        <w:tab/>
      </w:r>
      <w:r w:rsidR="007E62C1">
        <w:t>On 1 March 2022, the applicant resolved to institute this eviction application</w:t>
      </w:r>
      <w:r w:rsidR="0006730C">
        <w:t xml:space="preserve">, which was launched on 20 May 2022. </w:t>
      </w:r>
    </w:p>
    <w:p w14:paraId="1B96DE1F" w14:textId="77777777" w:rsidR="0006730C" w:rsidRDefault="0006730C" w:rsidP="0006730C">
      <w:pPr>
        <w:pStyle w:val="ListParagraph"/>
      </w:pPr>
    </w:p>
    <w:p w14:paraId="3A66FA23" w14:textId="29DDB9FD" w:rsidR="0006730C" w:rsidRPr="0006730C" w:rsidRDefault="0006730C" w:rsidP="0006730C">
      <w:pPr>
        <w:spacing w:line="480" w:lineRule="auto"/>
        <w:jc w:val="both"/>
        <w:rPr>
          <w:b/>
          <w:bCs/>
          <w:u w:val="single"/>
        </w:rPr>
      </w:pPr>
      <w:r>
        <w:rPr>
          <w:b/>
          <w:bCs/>
          <w:u w:val="single"/>
        </w:rPr>
        <w:t xml:space="preserve">Authority </w:t>
      </w:r>
    </w:p>
    <w:p w14:paraId="6D0B5971" w14:textId="77777777" w:rsidR="00382CD2" w:rsidRDefault="00382CD2" w:rsidP="00382CD2">
      <w:pPr>
        <w:pStyle w:val="ListParagraph"/>
      </w:pPr>
    </w:p>
    <w:p w14:paraId="53818723" w14:textId="1CF771F0" w:rsidR="00B91FE5" w:rsidRDefault="00E80A4F" w:rsidP="00E80A4F">
      <w:pPr>
        <w:spacing w:line="480" w:lineRule="auto"/>
        <w:ind w:left="851" w:hanging="851"/>
        <w:jc w:val="both"/>
        <w:pPrChange w:id="27" w:author="Mary Bruce" w:date="2023-11-02T15:56:00Z">
          <w:pPr>
            <w:pStyle w:val="ListParagraph"/>
            <w:numPr>
              <w:numId w:val="1"/>
            </w:numPr>
            <w:spacing w:line="480" w:lineRule="auto"/>
            <w:ind w:left="851" w:hanging="851"/>
            <w:jc w:val="both"/>
          </w:pPr>
        </w:pPrChange>
      </w:pPr>
      <w:r>
        <w:t>9.</w:t>
      </w:r>
      <w:r>
        <w:tab/>
      </w:r>
      <w:r w:rsidR="00B91FE5">
        <w:t xml:space="preserve">On 3 February 2022, the applicant convened a shareholders’ meeting.  At this meeting, Mr Louw </w:t>
      </w:r>
      <w:r w:rsidR="00E022C8">
        <w:t xml:space="preserve">(who had not yet been placed under curatorship) </w:t>
      </w:r>
      <w:r w:rsidR="00B91FE5">
        <w:t>resigned as the sole director of the applicant (a position he had held since 13 October 2021).  Mr Louw</w:t>
      </w:r>
      <w:r w:rsidR="00B91FE5">
        <w:rPr>
          <w:rStyle w:val="FootnoteReference"/>
        </w:rPr>
        <w:footnoteReference w:id="3"/>
      </w:r>
      <w:r w:rsidR="00B91FE5">
        <w:t xml:space="preserve"> and Nicholas</w:t>
      </w:r>
      <w:r w:rsidR="00B91FE5">
        <w:rPr>
          <w:rStyle w:val="FootnoteReference"/>
        </w:rPr>
        <w:footnoteReference w:id="4"/>
      </w:r>
      <w:r w:rsidR="00B1765D">
        <w:t xml:space="preserve"> resolved to appoint Nicholas as the applicant’s sole director. </w:t>
      </w:r>
    </w:p>
    <w:p w14:paraId="0E6534E6" w14:textId="77777777" w:rsidR="00B91FE5" w:rsidRDefault="00B91FE5" w:rsidP="00B91FE5">
      <w:pPr>
        <w:pStyle w:val="ListParagraph"/>
        <w:spacing w:line="480" w:lineRule="auto"/>
        <w:ind w:left="851"/>
        <w:jc w:val="both"/>
      </w:pPr>
    </w:p>
    <w:p w14:paraId="6DE7B4AE" w14:textId="44CD4046" w:rsidR="00382CD2" w:rsidRDefault="00E80A4F" w:rsidP="00E80A4F">
      <w:pPr>
        <w:spacing w:line="480" w:lineRule="auto"/>
        <w:ind w:left="851" w:hanging="851"/>
        <w:jc w:val="both"/>
        <w:pPrChange w:id="28" w:author="Mary Bruce" w:date="2023-11-02T15:56:00Z">
          <w:pPr>
            <w:pStyle w:val="ListParagraph"/>
            <w:numPr>
              <w:numId w:val="1"/>
            </w:numPr>
            <w:spacing w:line="480" w:lineRule="auto"/>
            <w:ind w:left="851" w:hanging="851"/>
            <w:jc w:val="both"/>
          </w:pPr>
        </w:pPrChange>
      </w:pPr>
      <w:r>
        <w:t>10.</w:t>
      </w:r>
      <w:r>
        <w:tab/>
      </w:r>
      <w:r w:rsidR="0006730C">
        <w:t xml:space="preserve">The respondents dispute </w:t>
      </w:r>
      <w:r w:rsidR="00B91FE5">
        <w:t>the validity of Nicholas’ appointment as the sole director of the applicant on two grounds</w:t>
      </w:r>
      <w:r w:rsidR="003262E3">
        <w:t>.  It is alleged that</w:t>
      </w:r>
      <w:r w:rsidR="00B91FE5">
        <w:t xml:space="preserve">: </w:t>
      </w:r>
    </w:p>
    <w:p w14:paraId="245621AC" w14:textId="77777777" w:rsidR="00B91FE5" w:rsidRDefault="00B91FE5" w:rsidP="00B91FE5">
      <w:pPr>
        <w:pStyle w:val="ListParagraph"/>
        <w:spacing w:line="480" w:lineRule="auto"/>
        <w:ind w:left="851"/>
        <w:jc w:val="both"/>
      </w:pPr>
    </w:p>
    <w:p w14:paraId="036ACAA0" w14:textId="3ACE5DF9" w:rsidR="00B91FE5" w:rsidRDefault="00E80A4F" w:rsidP="00E80A4F">
      <w:pPr>
        <w:spacing w:line="480" w:lineRule="auto"/>
        <w:ind w:left="1418" w:hanging="1058"/>
        <w:jc w:val="both"/>
        <w:pPrChange w:id="29" w:author="Mary Bruce" w:date="2023-11-02T15:56:00Z">
          <w:pPr>
            <w:pStyle w:val="ListParagraph"/>
            <w:numPr>
              <w:ilvl w:val="1"/>
              <w:numId w:val="1"/>
            </w:numPr>
            <w:spacing w:line="480" w:lineRule="auto"/>
            <w:ind w:left="1418" w:hanging="1058"/>
            <w:jc w:val="both"/>
          </w:pPr>
        </w:pPrChange>
      </w:pPr>
      <w:r>
        <w:lastRenderedPageBreak/>
        <w:t>10.1.</w:t>
      </w:r>
      <w:r>
        <w:tab/>
      </w:r>
      <w:r w:rsidR="00B91FE5">
        <w:t xml:space="preserve">at the time when the applicant resolved to appoint Nichloas as the sole director of the applicant (3 February 2022), Mr Louw lacked the mental capacity to act. </w:t>
      </w:r>
    </w:p>
    <w:p w14:paraId="0F5697ED" w14:textId="77777777" w:rsidR="00B1765D" w:rsidRDefault="00B1765D" w:rsidP="00B1765D">
      <w:pPr>
        <w:pStyle w:val="ListParagraph"/>
        <w:spacing w:line="480" w:lineRule="auto"/>
        <w:ind w:left="1418"/>
        <w:jc w:val="both"/>
      </w:pPr>
    </w:p>
    <w:p w14:paraId="18DD44A1" w14:textId="310494C1" w:rsidR="00B1765D" w:rsidRDefault="00E80A4F" w:rsidP="00E80A4F">
      <w:pPr>
        <w:spacing w:line="480" w:lineRule="auto"/>
        <w:ind w:left="1418" w:hanging="1058"/>
        <w:jc w:val="both"/>
        <w:pPrChange w:id="30" w:author="Mary Bruce" w:date="2023-11-02T15:56:00Z">
          <w:pPr>
            <w:pStyle w:val="ListParagraph"/>
            <w:numPr>
              <w:ilvl w:val="1"/>
              <w:numId w:val="1"/>
            </w:numPr>
            <w:spacing w:line="480" w:lineRule="auto"/>
            <w:ind w:left="1418" w:hanging="1058"/>
            <w:jc w:val="both"/>
          </w:pPr>
        </w:pPrChange>
      </w:pPr>
      <w:r>
        <w:t>10.2.</w:t>
      </w:r>
      <w:r>
        <w:tab/>
      </w:r>
      <w:r w:rsidR="00B1765D">
        <w:t xml:space="preserve">the shareholders’ meeting on 3 February 2022 was held without notification to </w:t>
      </w:r>
      <w:r w:rsidR="00F0149D" w:rsidRPr="00E80A4F">
        <w:rPr>
          <w:i/>
          <w:iCs/>
          <w:rPrChange w:id="31" w:author="Mary Bruce" w:date="2023-11-02T15:56:00Z">
            <w:rPr>
              <w:i/>
              <w:iCs/>
            </w:rPr>
          </w:rPrChange>
        </w:rPr>
        <w:t>“</w:t>
      </w:r>
      <w:r w:rsidR="00B1765D" w:rsidRPr="00E80A4F">
        <w:rPr>
          <w:i/>
          <w:iCs/>
          <w:rPrChange w:id="32" w:author="Mary Bruce" w:date="2023-11-02T15:56:00Z">
            <w:rPr>
              <w:i/>
              <w:iCs/>
            </w:rPr>
          </w:rPrChange>
        </w:rPr>
        <w:t>the remaining shareholders</w:t>
      </w:r>
      <w:r w:rsidR="00F0149D" w:rsidRPr="00E80A4F">
        <w:rPr>
          <w:i/>
          <w:iCs/>
          <w:rPrChange w:id="33" w:author="Mary Bruce" w:date="2023-11-02T15:56:00Z">
            <w:rPr>
              <w:i/>
              <w:iCs/>
            </w:rPr>
          </w:rPrChange>
        </w:rPr>
        <w:t>”</w:t>
      </w:r>
      <w:r w:rsidR="00B1765D">
        <w:t xml:space="preserve"> and that</w:t>
      </w:r>
      <w:r w:rsidR="00D95723">
        <w:t>, as such,</w:t>
      </w:r>
      <w:r w:rsidR="00B1765D">
        <w:t xml:space="preserve"> any resolutions purportedly taken at the meeting were invalid. </w:t>
      </w:r>
    </w:p>
    <w:p w14:paraId="49379E74" w14:textId="77777777" w:rsidR="00B1765D" w:rsidRDefault="00B1765D" w:rsidP="00B1765D">
      <w:pPr>
        <w:pStyle w:val="ListParagraph"/>
      </w:pPr>
    </w:p>
    <w:p w14:paraId="11BAE032" w14:textId="4A12178A" w:rsidR="00B1765D" w:rsidRDefault="00E80A4F" w:rsidP="00E80A4F">
      <w:pPr>
        <w:spacing w:line="480" w:lineRule="auto"/>
        <w:ind w:left="851" w:hanging="851"/>
        <w:jc w:val="both"/>
        <w:pPrChange w:id="34" w:author="Mary Bruce" w:date="2023-11-02T15:56:00Z">
          <w:pPr>
            <w:pStyle w:val="ListParagraph"/>
            <w:numPr>
              <w:numId w:val="1"/>
            </w:numPr>
            <w:spacing w:line="480" w:lineRule="auto"/>
            <w:ind w:left="851" w:hanging="851"/>
            <w:jc w:val="both"/>
          </w:pPr>
        </w:pPrChange>
      </w:pPr>
      <w:r>
        <w:t>11.</w:t>
      </w:r>
      <w:r>
        <w:tab/>
      </w:r>
      <w:r w:rsidR="00B1765D">
        <w:t>The respondents accordingly contend that, since Nicholas’ appointment as director was invalid,</w:t>
      </w:r>
      <w:r w:rsidR="00B1765D" w:rsidRPr="00E80A4F">
        <w:rPr>
          <w:i/>
          <w:iCs/>
          <w:rPrChange w:id="35" w:author="Mary Bruce" w:date="2023-11-02T15:56:00Z">
            <w:rPr/>
          </w:rPrChange>
        </w:rPr>
        <w:t xml:space="preserve"> “any acts performed by Nicholas, pursuant to his invalid appointment, inclusive of the institution of these proceedings, are similarly invalid …”</w:t>
      </w:r>
      <w:r w:rsidR="00B1765D">
        <w:t xml:space="preserve">. </w:t>
      </w:r>
    </w:p>
    <w:p w14:paraId="20A21D4D" w14:textId="77777777" w:rsidR="00470287" w:rsidRDefault="00470287" w:rsidP="00470287">
      <w:pPr>
        <w:pStyle w:val="ListParagraph"/>
        <w:spacing w:line="480" w:lineRule="auto"/>
        <w:ind w:left="851"/>
        <w:jc w:val="both"/>
      </w:pPr>
    </w:p>
    <w:p w14:paraId="0EC45EB7" w14:textId="4760D5F0" w:rsidR="00470287" w:rsidRDefault="00E80A4F" w:rsidP="00E80A4F">
      <w:pPr>
        <w:spacing w:line="480" w:lineRule="auto"/>
        <w:ind w:left="851" w:hanging="851"/>
        <w:jc w:val="both"/>
        <w:pPrChange w:id="36" w:author="Mary Bruce" w:date="2023-11-02T15:56:00Z">
          <w:pPr>
            <w:pStyle w:val="ListParagraph"/>
            <w:numPr>
              <w:numId w:val="1"/>
            </w:numPr>
            <w:spacing w:line="480" w:lineRule="auto"/>
            <w:ind w:left="851" w:hanging="851"/>
            <w:jc w:val="both"/>
          </w:pPr>
        </w:pPrChange>
      </w:pPr>
      <w:r>
        <w:t>12.</w:t>
      </w:r>
      <w:r>
        <w:tab/>
      </w:r>
      <w:r w:rsidR="00853A05">
        <w:t>In my view, this objection is ill-conceived.</w:t>
      </w:r>
      <w:r w:rsidR="00BE2308">
        <w:t xml:space="preserve">  </w:t>
      </w:r>
      <w:r w:rsidR="00C35A30">
        <w:t>Firstly</w:t>
      </w:r>
      <w:r w:rsidR="00BE2308">
        <w:t xml:space="preserve">, the application was not instituted by </w:t>
      </w:r>
      <w:r w:rsidR="00F456DA">
        <w:t>Nicholas.  It was instituted by the applicant’s attorney</w:t>
      </w:r>
      <w:r w:rsidR="000B781C">
        <w:t xml:space="preserve"> of record, who signed the notice of motion on 19 May 2022</w:t>
      </w:r>
      <w:r w:rsidR="00F456DA">
        <w:t xml:space="preserve">.  </w:t>
      </w:r>
      <w:r w:rsidR="00FA6B3E">
        <w:t xml:space="preserve">If the respondents wished to challenge </w:t>
      </w:r>
      <w:r w:rsidR="00736609">
        <w:t>authority, it was incumbent on them to follow the procedure laid down in rule 7</w:t>
      </w:r>
      <w:r w:rsidR="001C489D">
        <w:t>(1)</w:t>
      </w:r>
      <w:r w:rsidR="00736609">
        <w:t xml:space="preserve"> of the Uniform Rules of Court.</w:t>
      </w:r>
      <w:r w:rsidR="002D11E9">
        <w:rPr>
          <w:rStyle w:val="FootnoteReference"/>
        </w:rPr>
        <w:footnoteReference w:id="5"/>
      </w:r>
      <w:r w:rsidR="00736609">
        <w:t xml:space="preserve"> </w:t>
      </w:r>
      <w:r w:rsidR="00853A05">
        <w:t xml:space="preserve">  </w:t>
      </w:r>
      <w:r w:rsidR="00991192">
        <w:t xml:space="preserve">In the absence of a rule 7 objection, it was not necessary for the applicant’s attorney to prove that </w:t>
      </w:r>
      <w:r w:rsidR="00C35A30">
        <w:t xml:space="preserve">he had power of attorney to act on behalf of the applicant. </w:t>
      </w:r>
      <w:r w:rsidR="00F4752F">
        <w:t xml:space="preserve"> </w:t>
      </w:r>
      <w:r w:rsidR="005F5D39">
        <w:t xml:space="preserve"> </w:t>
      </w:r>
    </w:p>
    <w:p w14:paraId="077B43C0" w14:textId="77777777" w:rsidR="001A429A" w:rsidRDefault="001A429A" w:rsidP="001A429A">
      <w:pPr>
        <w:pStyle w:val="ListParagraph"/>
      </w:pPr>
    </w:p>
    <w:p w14:paraId="7EAB2A1B" w14:textId="04DABBA3" w:rsidR="001A429A" w:rsidRDefault="00E80A4F" w:rsidP="00E80A4F">
      <w:pPr>
        <w:spacing w:line="480" w:lineRule="auto"/>
        <w:ind w:left="851" w:hanging="851"/>
        <w:jc w:val="both"/>
        <w:pPrChange w:id="37" w:author="Mary Bruce" w:date="2023-11-02T15:56:00Z">
          <w:pPr>
            <w:pStyle w:val="ListParagraph"/>
            <w:numPr>
              <w:numId w:val="1"/>
            </w:numPr>
            <w:spacing w:line="480" w:lineRule="auto"/>
            <w:ind w:left="851" w:hanging="851"/>
            <w:jc w:val="both"/>
          </w:pPr>
        </w:pPrChange>
      </w:pPr>
      <w:r>
        <w:t>13.</w:t>
      </w:r>
      <w:r>
        <w:tab/>
      </w:r>
      <w:r w:rsidR="001A429A">
        <w:t xml:space="preserve">In any event, there is insufficient evidence before the court to establish that </w:t>
      </w:r>
      <w:r w:rsidR="00382017">
        <w:t xml:space="preserve">Mr Louw lacked the mental capacity to act on 3 February 2022.  </w:t>
      </w:r>
      <w:r w:rsidR="00C301BE">
        <w:t xml:space="preserve">Every person is presumed to be </w:t>
      </w:r>
      <w:r w:rsidR="00694DA0">
        <w:t>sane, and the onus is on the person alleging the contrary to prove it.</w:t>
      </w:r>
      <w:r w:rsidR="00694DA0">
        <w:rPr>
          <w:rStyle w:val="FootnoteReference"/>
        </w:rPr>
        <w:footnoteReference w:id="6"/>
      </w:r>
      <w:r w:rsidR="009923DC">
        <w:t xml:space="preserve">  </w:t>
      </w:r>
      <w:r w:rsidR="00D4101E">
        <w:t xml:space="preserve"> </w:t>
      </w:r>
      <w:r w:rsidR="00816E1D">
        <w:t xml:space="preserve">A </w:t>
      </w:r>
      <w:r w:rsidR="00816E1D" w:rsidRPr="00E80A4F">
        <w:rPr>
          <w:i/>
          <w:iCs/>
          <w:rPrChange w:id="38" w:author="Mary Bruce" w:date="2023-11-02T15:56:00Z">
            <w:rPr>
              <w:i/>
              <w:iCs/>
            </w:rPr>
          </w:rPrChange>
        </w:rPr>
        <w:t>curator bonis</w:t>
      </w:r>
      <w:r w:rsidR="00816E1D">
        <w:t xml:space="preserve"> was only appointed to Mr Louw’s estate on 22 July 2022</w:t>
      </w:r>
      <w:r w:rsidR="0018082B">
        <w:t>, more than five months after the</w:t>
      </w:r>
      <w:r w:rsidR="001E0478">
        <w:t xml:space="preserve"> </w:t>
      </w:r>
      <w:r w:rsidR="001E0478">
        <w:lastRenderedPageBreak/>
        <w:t>meeting at which Nicholas was appointed as the applicant’s sole director</w:t>
      </w:r>
      <w:r w:rsidR="00267F5B">
        <w:t>.</w:t>
      </w:r>
      <w:r w:rsidR="00C82759">
        <w:rPr>
          <w:rStyle w:val="FootnoteReference"/>
        </w:rPr>
        <w:footnoteReference w:id="7"/>
      </w:r>
      <w:r w:rsidR="00267F5B">
        <w:t xml:space="preserve">  </w:t>
      </w:r>
      <w:r w:rsidR="00811191">
        <w:t xml:space="preserve"> The </w:t>
      </w:r>
      <w:r w:rsidR="00811191" w:rsidRPr="00E80A4F">
        <w:rPr>
          <w:i/>
          <w:iCs/>
          <w:rPrChange w:id="39" w:author="Mary Bruce" w:date="2023-11-02T15:56:00Z">
            <w:rPr>
              <w:i/>
              <w:iCs/>
            </w:rPr>
          </w:rPrChange>
        </w:rPr>
        <w:t>curator bonis</w:t>
      </w:r>
      <w:r w:rsidR="00811191">
        <w:t xml:space="preserve"> </w:t>
      </w:r>
      <w:r w:rsidR="00777464">
        <w:t xml:space="preserve">was authorised </w:t>
      </w:r>
      <w:r w:rsidR="005426F8" w:rsidRPr="00E80A4F">
        <w:rPr>
          <w:i/>
          <w:iCs/>
          <w:rPrChange w:id="40" w:author="Mary Bruce" w:date="2023-11-02T15:56:00Z">
            <w:rPr>
              <w:i/>
              <w:iCs/>
            </w:rPr>
          </w:rPrChange>
        </w:rPr>
        <w:t xml:space="preserve">inter alia </w:t>
      </w:r>
      <w:r w:rsidR="005426F8">
        <w:t xml:space="preserve">to take steps to </w:t>
      </w:r>
      <w:r w:rsidR="0053091D">
        <w:t xml:space="preserve">undo certain transactions, including the sale </w:t>
      </w:r>
      <w:r w:rsidR="004B66A3">
        <w:t>of one of Mr Louw’s shares to Nicholas</w:t>
      </w:r>
      <w:r w:rsidR="00AA53D0">
        <w:t>.</w:t>
      </w:r>
      <w:r w:rsidR="00F63460">
        <w:rPr>
          <w:rStyle w:val="FootnoteReference"/>
        </w:rPr>
        <w:footnoteReference w:id="8"/>
      </w:r>
      <w:r w:rsidR="00AA53D0">
        <w:t xml:space="preserve">   No such steps have been taken.  </w:t>
      </w:r>
    </w:p>
    <w:p w14:paraId="06FA3F69" w14:textId="77777777" w:rsidR="003352EE" w:rsidRDefault="003352EE" w:rsidP="003352EE">
      <w:pPr>
        <w:pStyle w:val="ListParagraph"/>
      </w:pPr>
    </w:p>
    <w:p w14:paraId="502CB44D" w14:textId="0E9F89E0" w:rsidR="007B5A22" w:rsidRDefault="00E80A4F" w:rsidP="00E80A4F">
      <w:pPr>
        <w:spacing w:line="480" w:lineRule="auto"/>
        <w:ind w:left="851" w:hanging="851"/>
        <w:jc w:val="both"/>
        <w:pPrChange w:id="41" w:author="Mary Bruce" w:date="2023-11-02T15:56:00Z">
          <w:pPr>
            <w:pStyle w:val="ListParagraph"/>
            <w:numPr>
              <w:numId w:val="1"/>
            </w:numPr>
            <w:spacing w:line="480" w:lineRule="auto"/>
            <w:ind w:left="851" w:hanging="851"/>
            <w:jc w:val="both"/>
          </w:pPr>
        </w:pPrChange>
      </w:pPr>
      <w:r>
        <w:t>14.</w:t>
      </w:r>
      <w:r>
        <w:tab/>
      </w:r>
      <w:r w:rsidR="00096ADB">
        <w:t xml:space="preserve">In short, the respondents have failed to discharge their onus of establishing that, as at </w:t>
      </w:r>
      <w:r w:rsidR="00E022C8">
        <w:t>3 </w:t>
      </w:r>
      <w:r w:rsidR="00096ADB">
        <w:t>February 2022, Mr Louw was</w:t>
      </w:r>
      <w:r w:rsidR="00223E1C">
        <w:t xml:space="preserve"> mentally</w:t>
      </w:r>
      <w:r w:rsidR="00096ADB">
        <w:t xml:space="preserve"> incapable of</w:t>
      </w:r>
      <w:r w:rsidR="00EB6F11">
        <w:t xml:space="preserve"> </w:t>
      </w:r>
      <w:r w:rsidR="00223E1C">
        <w:t>making decision</w:t>
      </w:r>
      <w:r w:rsidR="007D3FBA">
        <w:t>s, such as his resignation as a director and the appointment of Nicholas as the sole director of the applicant.</w:t>
      </w:r>
    </w:p>
    <w:p w14:paraId="5E0DBBD2" w14:textId="77777777" w:rsidR="007B5A22" w:rsidRDefault="007B5A22" w:rsidP="007B5A22">
      <w:pPr>
        <w:pStyle w:val="ListParagraph"/>
      </w:pPr>
    </w:p>
    <w:p w14:paraId="20687F15" w14:textId="6AEB5D12" w:rsidR="002F4AE3" w:rsidRDefault="00E80A4F" w:rsidP="00E80A4F">
      <w:pPr>
        <w:spacing w:line="480" w:lineRule="auto"/>
        <w:ind w:left="851" w:hanging="851"/>
        <w:jc w:val="both"/>
        <w:pPrChange w:id="42" w:author="Mary Bruce" w:date="2023-11-02T15:56:00Z">
          <w:pPr>
            <w:pStyle w:val="ListParagraph"/>
            <w:numPr>
              <w:numId w:val="1"/>
            </w:numPr>
            <w:spacing w:line="480" w:lineRule="auto"/>
            <w:ind w:left="851" w:hanging="851"/>
            <w:jc w:val="both"/>
          </w:pPr>
        </w:pPrChange>
      </w:pPr>
      <w:r>
        <w:t>15.</w:t>
      </w:r>
      <w:r>
        <w:tab/>
      </w:r>
      <w:r w:rsidR="002F4AE3">
        <w:t xml:space="preserve">As regards the allegation that </w:t>
      </w:r>
      <w:r w:rsidR="00A56C27" w:rsidRPr="00E80A4F">
        <w:rPr>
          <w:i/>
          <w:iCs/>
          <w:rPrChange w:id="43" w:author="Mary Bruce" w:date="2023-11-02T15:56:00Z">
            <w:rPr>
              <w:i/>
              <w:iCs/>
            </w:rPr>
          </w:rPrChange>
        </w:rPr>
        <w:t xml:space="preserve">“the remaining </w:t>
      </w:r>
      <w:r w:rsidR="002F4AE3" w:rsidRPr="00E80A4F">
        <w:rPr>
          <w:i/>
          <w:iCs/>
          <w:rPrChange w:id="44" w:author="Mary Bruce" w:date="2023-11-02T15:56:00Z">
            <w:rPr>
              <w:i/>
              <w:iCs/>
            </w:rPr>
          </w:rPrChange>
        </w:rPr>
        <w:t>shareholders</w:t>
      </w:r>
      <w:r w:rsidR="00A56C27" w:rsidRPr="00E80A4F">
        <w:rPr>
          <w:i/>
          <w:iCs/>
          <w:rPrChange w:id="45" w:author="Mary Bruce" w:date="2023-11-02T15:56:00Z">
            <w:rPr>
              <w:i/>
              <w:iCs/>
            </w:rPr>
          </w:rPrChange>
        </w:rPr>
        <w:t>”</w:t>
      </w:r>
      <w:r w:rsidR="002F4AE3">
        <w:t xml:space="preserve"> did not receive notice of the meeting on 3 February 2022, the relevant facts are as follows: </w:t>
      </w:r>
    </w:p>
    <w:p w14:paraId="63E00D90" w14:textId="77777777" w:rsidR="002F4AE3" w:rsidRDefault="002F4AE3" w:rsidP="002F4AE3">
      <w:pPr>
        <w:pStyle w:val="ListParagraph"/>
      </w:pPr>
    </w:p>
    <w:p w14:paraId="5C2E12F3" w14:textId="04CC3503" w:rsidR="0086670F" w:rsidRDefault="00E80A4F" w:rsidP="00E80A4F">
      <w:pPr>
        <w:spacing w:line="480" w:lineRule="auto"/>
        <w:ind w:left="792" w:hanging="432"/>
        <w:jc w:val="both"/>
        <w:pPrChange w:id="46" w:author="Mary Bruce" w:date="2023-11-02T15:56:00Z">
          <w:pPr>
            <w:pStyle w:val="ListParagraph"/>
            <w:numPr>
              <w:ilvl w:val="1"/>
              <w:numId w:val="1"/>
            </w:numPr>
            <w:spacing w:line="480" w:lineRule="auto"/>
            <w:ind w:left="792" w:hanging="432"/>
            <w:jc w:val="both"/>
          </w:pPr>
        </w:pPrChange>
      </w:pPr>
      <w:r>
        <w:t>15.1.</w:t>
      </w:r>
      <w:r>
        <w:tab/>
      </w:r>
      <w:r w:rsidR="005849F3">
        <w:t xml:space="preserve">Nicholas </w:t>
      </w:r>
      <w:r w:rsidR="0086670F">
        <w:t xml:space="preserve">held 51% of the shares in the applicant and Mr Louw held 24%. </w:t>
      </w:r>
    </w:p>
    <w:p w14:paraId="1F3A12EA" w14:textId="77777777" w:rsidR="0086670F" w:rsidRDefault="0086670F" w:rsidP="0086670F">
      <w:pPr>
        <w:pStyle w:val="ListParagraph"/>
        <w:spacing w:line="480" w:lineRule="auto"/>
        <w:ind w:left="792"/>
        <w:jc w:val="both"/>
      </w:pPr>
    </w:p>
    <w:p w14:paraId="31F670E5" w14:textId="4B9F71EF" w:rsidR="00F8701E" w:rsidRDefault="00E80A4F" w:rsidP="00E80A4F">
      <w:pPr>
        <w:spacing w:line="480" w:lineRule="auto"/>
        <w:ind w:left="1418" w:hanging="1058"/>
        <w:jc w:val="both"/>
        <w:pPrChange w:id="47" w:author="Mary Bruce" w:date="2023-11-02T15:56:00Z">
          <w:pPr>
            <w:pStyle w:val="ListParagraph"/>
            <w:numPr>
              <w:ilvl w:val="1"/>
              <w:numId w:val="1"/>
            </w:numPr>
            <w:spacing w:line="480" w:lineRule="auto"/>
            <w:ind w:left="1418" w:hanging="1058"/>
            <w:jc w:val="both"/>
          </w:pPr>
        </w:pPrChange>
      </w:pPr>
      <w:r>
        <w:t>15.2.</w:t>
      </w:r>
      <w:r>
        <w:tab/>
      </w:r>
      <w:r w:rsidR="0086670F">
        <w:t xml:space="preserve">The </w:t>
      </w:r>
      <w:r w:rsidR="00F511CA">
        <w:t>remaining</w:t>
      </w:r>
      <w:r w:rsidR="0086670F">
        <w:t xml:space="preserve"> shares (</w:t>
      </w:r>
      <w:r w:rsidR="00C40DFC">
        <w:t>25%)</w:t>
      </w:r>
      <w:r w:rsidR="0086670F">
        <w:t xml:space="preserve"> were held by Mrs Louw</w:t>
      </w:r>
      <w:r w:rsidR="00C40DFC">
        <w:t xml:space="preserve">, who died on </w:t>
      </w:r>
      <w:r w:rsidR="00A041EE">
        <w:t xml:space="preserve">15 May 2021. </w:t>
      </w:r>
      <w:r w:rsidR="007D3FBA">
        <w:t xml:space="preserve"> </w:t>
      </w:r>
    </w:p>
    <w:p w14:paraId="5655D51C" w14:textId="77777777" w:rsidR="00F8701E" w:rsidRDefault="00F8701E" w:rsidP="00F8701E">
      <w:pPr>
        <w:pStyle w:val="ListParagraph"/>
      </w:pPr>
    </w:p>
    <w:p w14:paraId="0244235C" w14:textId="78A833C4" w:rsidR="009C4258" w:rsidRDefault="00E80A4F" w:rsidP="00E80A4F">
      <w:pPr>
        <w:spacing w:line="480" w:lineRule="auto"/>
        <w:ind w:left="1418" w:hanging="1058"/>
        <w:jc w:val="both"/>
        <w:pPrChange w:id="48" w:author="Mary Bruce" w:date="2023-11-02T15:56:00Z">
          <w:pPr>
            <w:pStyle w:val="ListParagraph"/>
            <w:numPr>
              <w:ilvl w:val="1"/>
              <w:numId w:val="1"/>
            </w:numPr>
            <w:spacing w:line="480" w:lineRule="auto"/>
            <w:ind w:left="1418" w:hanging="1058"/>
            <w:jc w:val="both"/>
          </w:pPr>
        </w:pPrChange>
      </w:pPr>
      <w:r>
        <w:t>15.3.</w:t>
      </w:r>
      <w:r>
        <w:tab/>
      </w:r>
      <w:r w:rsidR="00962EED">
        <w:t xml:space="preserve">Anja </w:t>
      </w:r>
      <w:r w:rsidR="000F35C9">
        <w:t>was</w:t>
      </w:r>
      <w:r w:rsidR="00962EED">
        <w:t xml:space="preserve"> nominated</w:t>
      </w:r>
      <w:r w:rsidR="001A0338">
        <w:t xml:space="preserve"> in the will</w:t>
      </w:r>
      <w:r w:rsidR="00962EED">
        <w:t xml:space="preserve"> as Mrs Louw’s executor</w:t>
      </w:r>
      <w:r w:rsidR="001A0338">
        <w:t>.  However, letters of executorship were only issued</w:t>
      </w:r>
      <w:r w:rsidR="000F35C9">
        <w:t xml:space="preserve"> to her </w:t>
      </w:r>
      <w:r w:rsidR="001A0338">
        <w:t>on 22 July 2022</w:t>
      </w:r>
      <w:r w:rsidR="00F32CFE">
        <w:t xml:space="preserve"> – more than a year after her mother’s death. </w:t>
      </w:r>
      <w:r w:rsidR="00F34DD2">
        <w:t xml:space="preserve">  This delay is unexplained by the respondents.</w:t>
      </w:r>
      <w:r w:rsidR="00624439">
        <w:rPr>
          <w:rStyle w:val="FootnoteReference"/>
        </w:rPr>
        <w:footnoteReference w:id="9"/>
      </w:r>
      <w:r w:rsidR="00F34DD2">
        <w:t xml:space="preserve"> </w:t>
      </w:r>
    </w:p>
    <w:p w14:paraId="0B0D3F5D" w14:textId="77777777" w:rsidR="009C4258" w:rsidRDefault="009C4258" w:rsidP="009C4258">
      <w:pPr>
        <w:pStyle w:val="ListParagraph"/>
      </w:pPr>
    </w:p>
    <w:p w14:paraId="73F46129" w14:textId="38FE33E4" w:rsidR="00F3540A" w:rsidRDefault="00E80A4F" w:rsidP="00E80A4F">
      <w:pPr>
        <w:spacing w:line="480" w:lineRule="auto"/>
        <w:ind w:left="851" w:hanging="851"/>
        <w:jc w:val="both"/>
        <w:pPrChange w:id="49" w:author="Mary Bruce" w:date="2023-11-02T15:56:00Z">
          <w:pPr>
            <w:pStyle w:val="ListParagraph"/>
            <w:numPr>
              <w:numId w:val="1"/>
            </w:numPr>
            <w:spacing w:line="480" w:lineRule="auto"/>
            <w:ind w:left="851" w:hanging="851"/>
            <w:jc w:val="both"/>
          </w:pPr>
        </w:pPrChange>
      </w:pPr>
      <w:r>
        <w:t>16.</w:t>
      </w:r>
      <w:r>
        <w:tab/>
      </w:r>
      <w:r w:rsidR="00D225D4">
        <w:t>What is clear is that</w:t>
      </w:r>
      <w:r w:rsidR="00F32CFE">
        <w:t>, a</w:t>
      </w:r>
      <w:r w:rsidR="009C4258">
        <w:t xml:space="preserve">t the time of the </w:t>
      </w:r>
      <w:r w:rsidR="00D225D4">
        <w:t xml:space="preserve">shareholders’ </w:t>
      </w:r>
      <w:r w:rsidR="009C4258">
        <w:t xml:space="preserve">meeting on 3 February 2022, </w:t>
      </w:r>
      <w:r w:rsidR="00DA30BD">
        <w:t>there was no appointed</w:t>
      </w:r>
      <w:r w:rsidR="009C4258">
        <w:t xml:space="preserve"> executor who </w:t>
      </w:r>
      <w:r w:rsidR="00DA30BD">
        <w:t>was entitled to</w:t>
      </w:r>
      <w:r w:rsidR="009C4258">
        <w:t xml:space="preserve"> exercise voting rights on behalf of Mrs Louw’s estate.</w:t>
      </w:r>
      <w:r w:rsidR="00DA30BD">
        <w:t xml:space="preserve">  </w:t>
      </w:r>
    </w:p>
    <w:p w14:paraId="1A3D3615" w14:textId="77777777" w:rsidR="00F3540A" w:rsidRDefault="00F3540A" w:rsidP="00F3540A">
      <w:pPr>
        <w:pStyle w:val="ListParagraph"/>
        <w:spacing w:line="480" w:lineRule="auto"/>
        <w:ind w:left="851"/>
        <w:jc w:val="both"/>
      </w:pPr>
    </w:p>
    <w:p w14:paraId="335417D7" w14:textId="4FF25C30" w:rsidR="00F66850" w:rsidRDefault="00E80A4F" w:rsidP="00E80A4F">
      <w:pPr>
        <w:spacing w:line="480" w:lineRule="auto"/>
        <w:ind w:left="851" w:hanging="851"/>
        <w:jc w:val="both"/>
        <w:pPrChange w:id="50" w:author="Mary Bruce" w:date="2023-11-02T15:56:00Z">
          <w:pPr>
            <w:pStyle w:val="ListParagraph"/>
            <w:numPr>
              <w:numId w:val="1"/>
            </w:numPr>
            <w:spacing w:line="480" w:lineRule="auto"/>
            <w:ind w:left="851" w:hanging="851"/>
            <w:jc w:val="both"/>
          </w:pPr>
        </w:pPrChange>
      </w:pPr>
      <w:r>
        <w:t>17.</w:t>
      </w:r>
      <w:r>
        <w:tab/>
      </w:r>
      <w:r w:rsidR="008C539E">
        <w:t xml:space="preserve">Pending the appointment of an executor, </w:t>
      </w:r>
      <w:r w:rsidR="000C3521">
        <w:t>the estate of a deceased person cannot be dealt with</w:t>
      </w:r>
      <w:r w:rsidR="009B5428">
        <w:t>,</w:t>
      </w:r>
      <w:r w:rsidR="000C3521">
        <w:t xml:space="preserve"> and the assets are ‘frozen’ </w:t>
      </w:r>
      <w:r w:rsidR="00665760">
        <w:t xml:space="preserve">until such time as an executor to the estate has been appointed by the Master.  </w:t>
      </w:r>
      <w:r w:rsidR="008F0FA8">
        <w:t>The executor derives his or her authority to act only by receiving a grant of letters of executorship</w:t>
      </w:r>
      <w:r w:rsidR="0066243C">
        <w:t xml:space="preserve">. </w:t>
      </w:r>
      <w:r w:rsidR="00F66850">
        <w:t xml:space="preserve"> It is trite that:</w:t>
      </w:r>
      <w:r w:rsidR="00B40528">
        <w:rPr>
          <w:rStyle w:val="FootnoteReference"/>
        </w:rPr>
        <w:footnoteReference w:id="10"/>
      </w:r>
      <w:r w:rsidR="00F66850">
        <w:t xml:space="preserve"> </w:t>
      </w:r>
    </w:p>
    <w:p w14:paraId="358D57CB" w14:textId="77777777" w:rsidR="00F66850" w:rsidRDefault="00F66850" w:rsidP="00F66850">
      <w:pPr>
        <w:pStyle w:val="ListParagraph"/>
        <w:spacing w:line="480" w:lineRule="auto"/>
        <w:ind w:left="851"/>
        <w:jc w:val="both"/>
      </w:pPr>
    </w:p>
    <w:p w14:paraId="46978E84" w14:textId="65280F7E" w:rsidR="009C4258" w:rsidRPr="00B40528" w:rsidRDefault="00F66850" w:rsidP="00AE7361">
      <w:pPr>
        <w:pStyle w:val="ListParagraph"/>
        <w:spacing w:line="360" w:lineRule="auto"/>
        <w:ind w:left="1418"/>
        <w:jc w:val="both"/>
        <w:rPr>
          <w:i/>
          <w:iCs/>
        </w:rPr>
      </w:pPr>
      <w:r w:rsidRPr="00B40528">
        <w:rPr>
          <w:i/>
          <w:iCs/>
        </w:rPr>
        <w:t>“</w:t>
      </w:r>
      <w:r w:rsidR="0066243C" w:rsidRPr="00B40528">
        <w:rPr>
          <w:i/>
          <w:iCs/>
        </w:rPr>
        <w:t xml:space="preserve">The fact of nomination in the will does not confer any authority upon the nominee to deal or intermeddle with the estate </w:t>
      </w:r>
      <w:r w:rsidR="00B40528" w:rsidRPr="00B40528">
        <w:rPr>
          <w:i/>
          <w:iCs/>
        </w:rPr>
        <w:t>or constitute him the representative, eg to receive notices.”</w:t>
      </w:r>
    </w:p>
    <w:p w14:paraId="3F4336E5" w14:textId="77777777" w:rsidR="009C4258" w:rsidRDefault="009C4258" w:rsidP="009C4258">
      <w:pPr>
        <w:pStyle w:val="ListParagraph"/>
      </w:pPr>
    </w:p>
    <w:p w14:paraId="4F6C40AE" w14:textId="7D64283A" w:rsidR="003352EE" w:rsidRDefault="00E80A4F" w:rsidP="00E80A4F">
      <w:pPr>
        <w:spacing w:line="480" w:lineRule="auto"/>
        <w:ind w:left="851" w:hanging="851"/>
        <w:jc w:val="both"/>
        <w:pPrChange w:id="51" w:author="Mary Bruce" w:date="2023-11-02T15:56:00Z">
          <w:pPr>
            <w:pStyle w:val="ListParagraph"/>
            <w:numPr>
              <w:numId w:val="1"/>
            </w:numPr>
            <w:spacing w:line="480" w:lineRule="auto"/>
            <w:ind w:left="851" w:hanging="851"/>
            <w:jc w:val="both"/>
          </w:pPr>
        </w:pPrChange>
      </w:pPr>
      <w:r>
        <w:t>18.</w:t>
      </w:r>
      <w:r>
        <w:tab/>
      </w:r>
      <w:r w:rsidR="002B4A5E">
        <w:t xml:space="preserve">In these circumstances, only 75% </w:t>
      </w:r>
      <w:r w:rsidR="00E313AF">
        <w:t>of the company’s voting rights could be exercised</w:t>
      </w:r>
      <w:r w:rsidR="00F3540A">
        <w:t xml:space="preserve"> at the shareholders’ meeting </w:t>
      </w:r>
      <w:r w:rsidR="00267BDB">
        <w:t>on 3 February 2022</w:t>
      </w:r>
      <w:r w:rsidR="00E313AF">
        <w:t xml:space="preserve">. </w:t>
      </w:r>
      <w:r w:rsidR="00267BDB">
        <w:t xml:space="preserve"> </w:t>
      </w:r>
      <w:r w:rsidR="00E313AF">
        <w:t xml:space="preserve">This is reflected in the resolution </w:t>
      </w:r>
      <w:r w:rsidR="00AA7231">
        <w:t xml:space="preserve">dated </w:t>
      </w:r>
      <w:r w:rsidR="009B5428">
        <w:t>3 </w:t>
      </w:r>
      <w:r w:rsidR="00AA7231">
        <w:t>February 2022.</w:t>
      </w:r>
      <w:r w:rsidR="00267BDB">
        <w:rPr>
          <w:rStyle w:val="FootnoteReference"/>
        </w:rPr>
        <w:footnoteReference w:id="11"/>
      </w:r>
      <w:r w:rsidR="00AA7231">
        <w:t xml:space="preserve"> </w:t>
      </w:r>
      <w:r w:rsidR="00EB6F11">
        <w:t xml:space="preserve"> </w:t>
      </w:r>
      <w:r w:rsidR="00223E1C">
        <w:t xml:space="preserve"> </w:t>
      </w:r>
    </w:p>
    <w:p w14:paraId="0985137D" w14:textId="77777777" w:rsidR="00BE2308" w:rsidRDefault="00BE2308" w:rsidP="00BE2308">
      <w:pPr>
        <w:pStyle w:val="ListParagraph"/>
      </w:pPr>
    </w:p>
    <w:p w14:paraId="3992103D" w14:textId="6754D250" w:rsidR="00067145" w:rsidRDefault="00E80A4F" w:rsidP="00E80A4F">
      <w:pPr>
        <w:spacing w:line="480" w:lineRule="auto"/>
        <w:ind w:left="851" w:hanging="851"/>
        <w:jc w:val="both"/>
        <w:pPrChange w:id="52" w:author="Mary Bruce" w:date="2023-11-02T15:56:00Z">
          <w:pPr>
            <w:pStyle w:val="ListParagraph"/>
            <w:numPr>
              <w:numId w:val="1"/>
            </w:numPr>
            <w:spacing w:line="480" w:lineRule="auto"/>
            <w:ind w:left="851" w:hanging="851"/>
            <w:jc w:val="both"/>
          </w:pPr>
        </w:pPrChange>
      </w:pPr>
      <w:r>
        <w:t>19.</w:t>
      </w:r>
      <w:r>
        <w:tab/>
      </w:r>
      <w:r w:rsidR="00A352D8">
        <w:t xml:space="preserve">For these reasons, </w:t>
      </w:r>
      <w:r w:rsidR="0033575C">
        <w:t xml:space="preserve">even </w:t>
      </w:r>
      <w:r w:rsidR="009B5428">
        <w:t xml:space="preserve">if </w:t>
      </w:r>
      <w:r w:rsidR="0033575C">
        <w:t xml:space="preserve">I am wrong in finding that the respondents </w:t>
      </w:r>
      <w:r w:rsidR="009B5428">
        <w:t xml:space="preserve">were </w:t>
      </w:r>
      <w:r w:rsidR="0033575C">
        <w:t xml:space="preserve">obliged to follow the Rule 7 procedure in raising their objection to authority, and failed to do so, </w:t>
      </w:r>
      <w:r w:rsidR="00067145">
        <w:t>they have not established that</w:t>
      </w:r>
      <w:r w:rsidR="0033575C">
        <w:t xml:space="preserve"> Nicholas</w:t>
      </w:r>
      <w:r w:rsidR="00067145">
        <w:t xml:space="preserve"> did not have the</w:t>
      </w:r>
      <w:r w:rsidR="0033575C">
        <w:t xml:space="preserve"> authority to act on behalf of the applicant</w:t>
      </w:r>
      <w:r w:rsidR="00067145">
        <w:t xml:space="preserve"> in this matter. </w:t>
      </w:r>
    </w:p>
    <w:p w14:paraId="7CC9FE19" w14:textId="77777777" w:rsidR="004716EB" w:rsidRDefault="004716EB" w:rsidP="004716EB">
      <w:pPr>
        <w:pStyle w:val="ListParagraph"/>
      </w:pPr>
    </w:p>
    <w:p w14:paraId="0C037C73" w14:textId="3663239E" w:rsidR="004716EB" w:rsidRPr="004716EB" w:rsidRDefault="004716EB" w:rsidP="004716EB">
      <w:pPr>
        <w:spacing w:line="480" w:lineRule="auto"/>
        <w:jc w:val="both"/>
        <w:rPr>
          <w:b/>
          <w:bCs/>
          <w:u w:val="single"/>
        </w:rPr>
      </w:pPr>
      <w:r>
        <w:rPr>
          <w:b/>
          <w:bCs/>
          <w:u w:val="single"/>
        </w:rPr>
        <w:t>Is the applicant the ‘person in charge’ of the property?</w:t>
      </w:r>
    </w:p>
    <w:p w14:paraId="3385B9EB" w14:textId="77777777" w:rsidR="00067145" w:rsidRDefault="00067145" w:rsidP="00067145">
      <w:pPr>
        <w:pStyle w:val="ListParagraph"/>
      </w:pPr>
    </w:p>
    <w:p w14:paraId="5625F717" w14:textId="57F1843A" w:rsidR="00BE2308" w:rsidRDefault="00E80A4F" w:rsidP="00E80A4F">
      <w:pPr>
        <w:spacing w:line="480" w:lineRule="auto"/>
        <w:ind w:left="851" w:hanging="851"/>
        <w:jc w:val="both"/>
        <w:pPrChange w:id="53" w:author="Mary Bruce" w:date="2023-11-02T15:56:00Z">
          <w:pPr>
            <w:pStyle w:val="ListParagraph"/>
            <w:numPr>
              <w:numId w:val="1"/>
            </w:numPr>
            <w:spacing w:line="480" w:lineRule="auto"/>
            <w:ind w:left="851" w:hanging="851"/>
            <w:jc w:val="both"/>
          </w:pPr>
        </w:pPrChange>
      </w:pPr>
      <w:r>
        <w:t>20.</w:t>
      </w:r>
      <w:r>
        <w:tab/>
      </w:r>
      <w:r w:rsidR="00AD4C0A">
        <w:t xml:space="preserve">A ‘person in charge’ is defined in PIE as </w:t>
      </w:r>
      <w:r w:rsidR="00AD4C0A" w:rsidRPr="00E80A4F">
        <w:rPr>
          <w:i/>
          <w:iCs/>
          <w:rPrChange w:id="54" w:author="Mary Bruce" w:date="2023-11-02T15:56:00Z">
            <w:rPr/>
          </w:rPrChange>
        </w:rPr>
        <w:t xml:space="preserve">“a person who </w:t>
      </w:r>
      <w:r w:rsidR="00F1181F" w:rsidRPr="00E80A4F">
        <w:rPr>
          <w:i/>
          <w:iCs/>
          <w:rPrChange w:id="55" w:author="Mary Bruce" w:date="2023-11-02T15:56:00Z">
            <w:rPr/>
          </w:rPrChange>
        </w:rPr>
        <w:t>has at the relevant time had legal authority to give permission to a person to enter or reside upon the land in question.”</w:t>
      </w:r>
    </w:p>
    <w:p w14:paraId="608ECB4A" w14:textId="77777777" w:rsidR="00F1181F" w:rsidRDefault="00F1181F" w:rsidP="00F1181F">
      <w:pPr>
        <w:pStyle w:val="ListParagraph"/>
        <w:spacing w:line="480" w:lineRule="auto"/>
        <w:ind w:left="851"/>
        <w:jc w:val="both"/>
      </w:pPr>
    </w:p>
    <w:p w14:paraId="665B541A" w14:textId="548E6310" w:rsidR="00FC1E57" w:rsidRDefault="00E80A4F" w:rsidP="00E80A4F">
      <w:pPr>
        <w:spacing w:line="480" w:lineRule="auto"/>
        <w:ind w:left="851" w:hanging="851"/>
        <w:jc w:val="both"/>
        <w:pPrChange w:id="56" w:author="Mary Bruce" w:date="2023-11-02T15:56:00Z">
          <w:pPr>
            <w:pStyle w:val="ListParagraph"/>
            <w:numPr>
              <w:numId w:val="1"/>
            </w:numPr>
            <w:spacing w:line="480" w:lineRule="auto"/>
            <w:ind w:left="851" w:hanging="851"/>
            <w:jc w:val="both"/>
          </w:pPr>
        </w:pPrChange>
      </w:pPr>
      <w:r>
        <w:t>21.</w:t>
      </w:r>
      <w:r>
        <w:tab/>
      </w:r>
      <w:r w:rsidR="0010358C">
        <w:t xml:space="preserve">In terms of the current lease agreement between </w:t>
      </w:r>
      <w:r w:rsidR="006729E4">
        <w:t xml:space="preserve">Mr Louw, the owner of the property, and the applicant, the applicant leases the entire property, including </w:t>
      </w:r>
      <w:r w:rsidR="0066695B">
        <w:t xml:space="preserve">“the improvements” which is defined as </w:t>
      </w:r>
      <w:r w:rsidR="0066695B" w:rsidRPr="00E80A4F">
        <w:rPr>
          <w:i/>
          <w:iCs/>
          <w:rPrChange w:id="57" w:author="Mary Bruce" w:date="2023-11-02T15:56:00Z">
            <w:rPr>
              <w:i/>
              <w:iCs/>
            </w:rPr>
          </w:rPrChange>
        </w:rPr>
        <w:t xml:space="preserve">“the buildings, installations, fences, irrigation works, structures, dams and roads together with any integral </w:t>
      </w:r>
      <w:r w:rsidR="004E6A26" w:rsidRPr="00E80A4F">
        <w:rPr>
          <w:i/>
          <w:iCs/>
          <w:rPrChange w:id="58" w:author="Mary Bruce" w:date="2023-11-02T15:56:00Z">
            <w:rPr>
              <w:i/>
              <w:iCs/>
            </w:rPr>
          </w:rPrChange>
        </w:rPr>
        <w:t>machinery and implements which form part of the aforegoing on the Farm.”</w:t>
      </w:r>
      <w:r w:rsidR="004E6A26">
        <w:t xml:space="preserve">   </w:t>
      </w:r>
    </w:p>
    <w:p w14:paraId="2EB5A339" w14:textId="77777777" w:rsidR="002F4CBA" w:rsidRDefault="002F4CBA" w:rsidP="002F4CBA">
      <w:pPr>
        <w:pStyle w:val="ListParagraph"/>
      </w:pPr>
    </w:p>
    <w:p w14:paraId="721F407B" w14:textId="3A1F4346" w:rsidR="00853A75" w:rsidRDefault="00E80A4F" w:rsidP="00E80A4F">
      <w:pPr>
        <w:spacing w:line="480" w:lineRule="auto"/>
        <w:ind w:left="851" w:hanging="851"/>
        <w:jc w:val="both"/>
        <w:pPrChange w:id="59" w:author="Mary Bruce" w:date="2023-11-02T15:56:00Z">
          <w:pPr>
            <w:pStyle w:val="ListParagraph"/>
            <w:numPr>
              <w:numId w:val="1"/>
            </w:numPr>
            <w:spacing w:line="480" w:lineRule="auto"/>
            <w:ind w:left="851" w:hanging="851"/>
            <w:jc w:val="both"/>
          </w:pPr>
        </w:pPrChange>
      </w:pPr>
      <w:r>
        <w:t>22.</w:t>
      </w:r>
      <w:r>
        <w:tab/>
      </w:r>
      <w:r w:rsidR="00B65090">
        <w:t>In their answering affidavit, the respondents a</w:t>
      </w:r>
      <w:r w:rsidR="0085462B">
        <w:t xml:space="preserve">ccepted that the homestead which they currently occupy was not </w:t>
      </w:r>
      <w:r w:rsidR="0085462B" w:rsidRPr="00E80A4F">
        <w:rPr>
          <w:i/>
          <w:iCs/>
          <w:rPrChange w:id="60" w:author="Mary Bruce" w:date="2023-11-02T15:56:00Z">
            <w:rPr>
              <w:i/>
              <w:iCs/>
            </w:rPr>
          </w:rPrChange>
        </w:rPr>
        <w:t>“specifically excluded in the lease”</w:t>
      </w:r>
      <w:r w:rsidR="0085462B">
        <w:t xml:space="preserve">.  </w:t>
      </w:r>
      <w:r w:rsidR="00401A22">
        <w:t xml:space="preserve">They asserted that their legal representatives </w:t>
      </w:r>
      <w:r w:rsidR="006D4F33">
        <w:t xml:space="preserve">had been instructed to seek rectification of the lease agreement to exclude the homestead.  However, no such proceedings have been </w:t>
      </w:r>
      <w:r w:rsidR="00853A75">
        <w:t xml:space="preserve">instituted. </w:t>
      </w:r>
    </w:p>
    <w:p w14:paraId="33F9969C" w14:textId="77777777" w:rsidR="00853A75" w:rsidRDefault="00853A75" w:rsidP="00853A75">
      <w:pPr>
        <w:pStyle w:val="ListParagraph"/>
      </w:pPr>
    </w:p>
    <w:p w14:paraId="7D030257" w14:textId="786E1591" w:rsidR="00175594" w:rsidRDefault="00E80A4F" w:rsidP="00E80A4F">
      <w:pPr>
        <w:spacing w:line="480" w:lineRule="auto"/>
        <w:ind w:left="851" w:hanging="851"/>
        <w:jc w:val="both"/>
        <w:pPrChange w:id="61" w:author="Mary Bruce" w:date="2023-11-02T15:56:00Z">
          <w:pPr>
            <w:pStyle w:val="ListParagraph"/>
            <w:numPr>
              <w:numId w:val="1"/>
            </w:numPr>
            <w:spacing w:line="480" w:lineRule="auto"/>
            <w:ind w:left="851" w:hanging="851"/>
            <w:jc w:val="both"/>
          </w:pPr>
        </w:pPrChange>
      </w:pPr>
      <w:r>
        <w:t>23.</w:t>
      </w:r>
      <w:r>
        <w:tab/>
      </w:r>
      <w:r w:rsidR="00853A75">
        <w:t xml:space="preserve">In the circumstances, the applicant clearly falls within the definition of a person in charge as contemplated </w:t>
      </w:r>
      <w:r w:rsidR="00CA1021">
        <w:t>in section 1 of PIE.  The applicant enjoys a contractual right to the free and undisturbed possession of the property, including the homestead</w:t>
      </w:r>
      <w:r w:rsidR="00175594">
        <w:t xml:space="preserve"> which the respondents currently occupy. </w:t>
      </w:r>
    </w:p>
    <w:p w14:paraId="4754ABA7" w14:textId="77777777" w:rsidR="00803212" w:rsidRDefault="00803212" w:rsidP="00803212">
      <w:pPr>
        <w:pStyle w:val="ListParagraph"/>
      </w:pPr>
    </w:p>
    <w:p w14:paraId="4C1B1DD7" w14:textId="229E6167" w:rsidR="00803212" w:rsidRPr="00803212" w:rsidRDefault="00803212" w:rsidP="00803212">
      <w:pPr>
        <w:spacing w:line="480" w:lineRule="auto"/>
        <w:jc w:val="both"/>
        <w:rPr>
          <w:b/>
          <w:bCs/>
          <w:u w:val="single"/>
        </w:rPr>
      </w:pPr>
      <w:r>
        <w:rPr>
          <w:b/>
          <w:bCs/>
          <w:u w:val="single"/>
        </w:rPr>
        <w:t>Are the respondents unlawful occupiers?</w:t>
      </w:r>
    </w:p>
    <w:p w14:paraId="777DAB9A" w14:textId="77777777" w:rsidR="00175594" w:rsidRDefault="00175594" w:rsidP="00175594">
      <w:pPr>
        <w:pStyle w:val="ListParagraph"/>
      </w:pPr>
    </w:p>
    <w:p w14:paraId="4DB3EC6B" w14:textId="7A9B8AC1" w:rsidR="00850C38" w:rsidRDefault="00E80A4F" w:rsidP="00E80A4F">
      <w:pPr>
        <w:spacing w:line="480" w:lineRule="auto"/>
        <w:ind w:left="851" w:hanging="851"/>
        <w:jc w:val="both"/>
        <w:pPrChange w:id="62" w:author="Mary Bruce" w:date="2023-11-02T15:56:00Z">
          <w:pPr>
            <w:pStyle w:val="ListParagraph"/>
            <w:numPr>
              <w:numId w:val="1"/>
            </w:numPr>
            <w:spacing w:line="480" w:lineRule="auto"/>
            <w:ind w:left="851" w:hanging="851"/>
            <w:jc w:val="both"/>
          </w:pPr>
        </w:pPrChange>
      </w:pPr>
      <w:r>
        <w:t>24.</w:t>
      </w:r>
      <w:r>
        <w:tab/>
      </w:r>
      <w:r w:rsidR="00215649">
        <w:t xml:space="preserve">An unlawful occupier </w:t>
      </w:r>
      <w:r w:rsidR="00D60465">
        <w:t>is defined in PIE as a person who</w:t>
      </w:r>
      <w:r w:rsidR="00850C38">
        <w:t xml:space="preserve">: </w:t>
      </w:r>
    </w:p>
    <w:p w14:paraId="2C1C81FC" w14:textId="77777777" w:rsidR="00850C38" w:rsidRDefault="00850C38" w:rsidP="00850C38">
      <w:pPr>
        <w:pStyle w:val="ListParagraph"/>
        <w:spacing w:line="480" w:lineRule="auto"/>
        <w:ind w:left="851"/>
        <w:jc w:val="both"/>
      </w:pPr>
    </w:p>
    <w:p w14:paraId="1B5CC3D4" w14:textId="7FCAEE13" w:rsidR="00850C38" w:rsidRDefault="00E80A4F" w:rsidP="00E80A4F">
      <w:pPr>
        <w:spacing w:line="480" w:lineRule="auto"/>
        <w:ind w:left="1418" w:hanging="1058"/>
        <w:jc w:val="both"/>
        <w:pPrChange w:id="63" w:author="Mary Bruce" w:date="2023-11-02T15:56:00Z">
          <w:pPr>
            <w:pStyle w:val="ListParagraph"/>
            <w:numPr>
              <w:ilvl w:val="1"/>
              <w:numId w:val="1"/>
            </w:numPr>
            <w:spacing w:line="480" w:lineRule="auto"/>
            <w:ind w:left="1418" w:hanging="1058"/>
            <w:jc w:val="both"/>
          </w:pPr>
        </w:pPrChange>
      </w:pPr>
      <w:r>
        <w:t>24.1.</w:t>
      </w:r>
      <w:r>
        <w:tab/>
      </w:r>
      <w:r w:rsidR="00D60465">
        <w:t>occupies land without the express or tacit consent of the owner or person in charge</w:t>
      </w:r>
      <w:r w:rsidR="00850C38">
        <w:t xml:space="preserve">; </w:t>
      </w:r>
      <w:r w:rsidR="00D60465">
        <w:t xml:space="preserve">or </w:t>
      </w:r>
    </w:p>
    <w:p w14:paraId="08706B9F" w14:textId="77777777" w:rsidR="00850C38" w:rsidRDefault="00850C38" w:rsidP="00850C38">
      <w:pPr>
        <w:pStyle w:val="ListParagraph"/>
        <w:spacing w:line="480" w:lineRule="auto"/>
        <w:ind w:left="792"/>
        <w:jc w:val="both"/>
      </w:pPr>
    </w:p>
    <w:p w14:paraId="22EE656C" w14:textId="53796A0D" w:rsidR="002F4CBA" w:rsidRDefault="00E80A4F" w:rsidP="00E80A4F">
      <w:pPr>
        <w:spacing w:line="480" w:lineRule="auto"/>
        <w:ind w:left="792" w:hanging="432"/>
        <w:jc w:val="both"/>
        <w:pPrChange w:id="64" w:author="Mary Bruce" w:date="2023-11-02T15:56:00Z">
          <w:pPr>
            <w:pStyle w:val="ListParagraph"/>
            <w:numPr>
              <w:ilvl w:val="1"/>
              <w:numId w:val="1"/>
            </w:numPr>
            <w:spacing w:line="480" w:lineRule="auto"/>
            <w:ind w:left="792" w:hanging="432"/>
            <w:jc w:val="both"/>
          </w:pPr>
        </w:pPrChange>
      </w:pPr>
      <w:r>
        <w:t>24.2.</w:t>
      </w:r>
      <w:r>
        <w:tab/>
      </w:r>
      <w:r w:rsidR="00D60465">
        <w:t xml:space="preserve">without any other right in law to occupy such </w:t>
      </w:r>
      <w:r w:rsidR="005000B7">
        <w:t>land.</w:t>
      </w:r>
      <w:r w:rsidR="005000B7">
        <w:rPr>
          <w:rStyle w:val="FootnoteReference"/>
        </w:rPr>
        <w:footnoteReference w:id="12"/>
      </w:r>
      <w:r w:rsidR="002F4CBA">
        <w:t xml:space="preserve"> </w:t>
      </w:r>
    </w:p>
    <w:p w14:paraId="603362B7" w14:textId="77777777" w:rsidR="000C623D" w:rsidRDefault="000C623D" w:rsidP="000C623D">
      <w:pPr>
        <w:pStyle w:val="ListParagraph"/>
        <w:spacing w:line="480" w:lineRule="auto"/>
        <w:ind w:left="851"/>
        <w:jc w:val="both"/>
      </w:pPr>
    </w:p>
    <w:p w14:paraId="7CDC7298" w14:textId="421EEA33" w:rsidR="00E248C5" w:rsidRDefault="00E80A4F" w:rsidP="00E80A4F">
      <w:pPr>
        <w:spacing w:line="480" w:lineRule="auto"/>
        <w:ind w:left="851" w:hanging="851"/>
        <w:jc w:val="both"/>
        <w:pPrChange w:id="65" w:author="Mary Bruce" w:date="2023-11-02T15:56:00Z">
          <w:pPr>
            <w:pStyle w:val="ListParagraph"/>
            <w:numPr>
              <w:numId w:val="1"/>
            </w:numPr>
            <w:spacing w:line="480" w:lineRule="auto"/>
            <w:ind w:left="851" w:hanging="851"/>
            <w:jc w:val="both"/>
          </w:pPr>
        </w:pPrChange>
      </w:pPr>
      <w:r>
        <w:t>25.</w:t>
      </w:r>
      <w:r>
        <w:tab/>
      </w:r>
      <w:r w:rsidR="00E248C5">
        <w:t xml:space="preserve">In their answering affidavit, the respondents advanced several grounds on which their occupancy of the homestead should not be regarded as unlawful. </w:t>
      </w:r>
    </w:p>
    <w:p w14:paraId="1BF7643A" w14:textId="77777777" w:rsidR="00E248C5" w:rsidRDefault="00E248C5" w:rsidP="00E248C5">
      <w:pPr>
        <w:pStyle w:val="ListParagraph"/>
        <w:spacing w:line="480" w:lineRule="auto"/>
        <w:ind w:left="851"/>
        <w:jc w:val="both"/>
      </w:pPr>
    </w:p>
    <w:p w14:paraId="0FD8ECC3" w14:textId="644BE6D3" w:rsidR="000C623D" w:rsidRDefault="00E80A4F" w:rsidP="00E80A4F">
      <w:pPr>
        <w:spacing w:line="480" w:lineRule="auto"/>
        <w:ind w:left="851" w:hanging="851"/>
        <w:jc w:val="both"/>
        <w:pPrChange w:id="66" w:author="Mary Bruce" w:date="2023-11-02T15:56:00Z">
          <w:pPr>
            <w:pStyle w:val="ListParagraph"/>
            <w:numPr>
              <w:numId w:val="1"/>
            </w:numPr>
            <w:spacing w:line="480" w:lineRule="auto"/>
            <w:ind w:left="851" w:hanging="851"/>
            <w:jc w:val="both"/>
          </w:pPr>
        </w:pPrChange>
      </w:pPr>
      <w:r>
        <w:t>26.</w:t>
      </w:r>
      <w:r>
        <w:tab/>
      </w:r>
      <w:r w:rsidR="00E248C5">
        <w:t xml:space="preserve">Firstly, the respondents relied on their understanding of the contents of the lease agreement </w:t>
      </w:r>
      <w:r w:rsidR="00DB6034">
        <w:t>between Mr Louw and the applicant.  They “understood” that the homestead was excluded from the ambit of the property leased to the applicant.  As set out above, however, this understanding was erroneous</w:t>
      </w:r>
      <w:r w:rsidR="008B173A">
        <w:t xml:space="preserve"> and the respondents have to date taken no steps to rectify the lease.</w:t>
      </w:r>
      <w:r w:rsidR="008B173A">
        <w:rPr>
          <w:rStyle w:val="FootnoteReference"/>
        </w:rPr>
        <w:footnoteReference w:id="13"/>
      </w:r>
      <w:r w:rsidR="009D2146">
        <w:t xml:space="preserve"> </w:t>
      </w:r>
      <w:r w:rsidR="007825BF">
        <w:t xml:space="preserve"> The</w:t>
      </w:r>
      <w:r w:rsidR="00643923">
        <w:t xml:space="preserve"> respondents</w:t>
      </w:r>
      <w:r w:rsidR="009B5428">
        <w:t>’</w:t>
      </w:r>
      <w:r w:rsidR="00643923">
        <w:t xml:space="preserve"> wrong understanding as to the contents of the lease does not render their occupation of the homestead lawful. </w:t>
      </w:r>
    </w:p>
    <w:p w14:paraId="4E7BA46B" w14:textId="77777777" w:rsidR="00643923" w:rsidRDefault="00643923" w:rsidP="00643923">
      <w:pPr>
        <w:pStyle w:val="ListParagraph"/>
      </w:pPr>
    </w:p>
    <w:p w14:paraId="1DF155F7" w14:textId="1CE4E50B" w:rsidR="00643923" w:rsidRDefault="00E80A4F" w:rsidP="00E80A4F">
      <w:pPr>
        <w:spacing w:line="480" w:lineRule="auto"/>
        <w:ind w:left="851" w:hanging="851"/>
        <w:jc w:val="both"/>
        <w:pPrChange w:id="67" w:author="Mary Bruce" w:date="2023-11-02T15:56:00Z">
          <w:pPr>
            <w:pStyle w:val="ListParagraph"/>
            <w:numPr>
              <w:numId w:val="1"/>
            </w:numPr>
            <w:spacing w:line="480" w:lineRule="auto"/>
            <w:ind w:left="851" w:hanging="851"/>
            <w:jc w:val="both"/>
          </w:pPr>
        </w:pPrChange>
      </w:pPr>
      <w:r>
        <w:t>27.</w:t>
      </w:r>
      <w:r>
        <w:tab/>
      </w:r>
      <w:r w:rsidR="00643923">
        <w:t xml:space="preserve">Secondly, in the alternative, the respondents alleged that </w:t>
      </w:r>
      <w:r w:rsidR="00CE78C0">
        <w:t>they had an oral agreement to occupy the homestead</w:t>
      </w:r>
      <w:r w:rsidR="00C85BB1">
        <w:t xml:space="preserve">, which they had concluded with Mr Louw and the applicant.  No details were set out regarding this alleged tripartite oral agreement (which was disputed by the applicant) </w:t>
      </w:r>
      <w:r w:rsidR="00C316EC">
        <w:t xml:space="preserve">and this submission was unsurprisingly not persisted with in argument.  </w:t>
      </w:r>
      <w:r w:rsidR="00C316EC">
        <w:lastRenderedPageBreak/>
        <w:t xml:space="preserve">In any event, any oral agreement of lease </w:t>
      </w:r>
      <w:r w:rsidR="005135B2">
        <w:t xml:space="preserve">was terminated by the applicant on notice in its letter dated </w:t>
      </w:r>
      <w:r w:rsidR="00D878E1">
        <w:t xml:space="preserve">26 January 2022. </w:t>
      </w:r>
    </w:p>
    <w:p w14:paraId="1BE03054" w14:textId="77777777" w:rsidR="00D878E1" w:rsidRDefault="00D878E1" w:rsidP="00D878E1">
      <w:pPr>
        <w:pStyle w:val="ListParagraph"/>
      </w:pPr>
    </w:p>
    <w:p w14:paraId="5C4D486C" w14:textId="7180B9E1" w:rsidR="00D878E1" w:rsidRDefault="00E80A4F" w:rsidP="00E80A4F">
      <w:pPr>
        <w:spacing w:line="480" w:lineRule="auto"/>
        <w:ind w:left="851" w:hanging="851"/>
        <w:jc w:val="both"/>
        <w:pPrChange w:id="68" w:author="Mary Bruce" w:date="2023-11-02T15:56:00Z">
          <w:pPr>
            <w:pStyle w:val="ListParagraph"/>
            <w:numPr>
              <w:numId w:val="1"/>
            </w:numPr>
            <w:spacing w:line="480" w:lineRule="auto"/>
            <w:ind w:left="851" w:hanging="851"/>
            <w:jc w:val="both"/>
          </w:pPr>
        </w:pPrChange>
      </w:pPr>
      <w:r>
        <w:t>28.</w:t>
      </w:r>
      <w:r>
        <w:tab/>
      </w:r>
      <w:r w:rsidR="00D878E1">
        <w:t xml:space="preserve">Thirdly, </w:t>
      </w:r>
      <w:r w:rsidR="00077362">
        <w:t xml:space="preserve">Anja and Kyle </w:t>
      </w:r>
      <w:r w:rsidR="006D2A65">
        <w:t xml:space="preserve">claimed that their contracts of employment with the </w:t>
      </w:r>
      <w:r w:rsidR="00EF3745">
        <w:t>applicant conferred a right of occupation upon them.  The authenticity of the</w:t>
      </w:r>
      <w:r w:rsidR="0047732E">
        <w:t>ir written contracts of employment was disputed.</w:t>
      </w:r>
      <w:r w:rsidR="0047732E">
        <w:rPr>
          <w:rStyle w:val="FootnoteReference"/>
        </w:rPr>
        <w:footnoteReference w:id="14"/>
      </w:r>
      <w:r w:rsidR="0047732E">
        <w:t xml:space="preserve">  In any event, they do not include any term granting Anja</w:t>
      </w:r>
      <w:r w:rsidR="00CA033C">
        <w:t xml:space="preserve"> or Kyle the right to reside on the property.  Again, </w:t>
      </w:r>
      <w:r w:rsidR="007123DB">
        <w:t xml:space="preserve">the respondents indicated that they intended to apply for rectification of these contracts, but this was not done. </w:t>
      </w:r>
      <w:r w:rsidR="00964154">
        <w:t xml:space="preserve"> In argument, the respondents did not persist with </w:t>
      </w:r>
      <w:r w:rsidR="00207BCB">
        <w:t xml:space="preserve">this submission. </w:t>
      </w:r>
    </w:p>
    <w:p w14:paraId="7976C491" w14:textId="77777777" w:rsidR="00207BCB" w:rsidRDefault="00207BCB" w:rsidP="00207BCB">
      <w:pPr>
        <w:pStyle w:val="ListParagraph"/>
      </w:pPr>
    </w:p>
    <w:p w14:paraId="102BCF1A" w14:textId="68CA3113" w:rsidR="009D4F75" w:rsidRDefault="00E80A4F" w:rsidP="00E80A4F">
      <w:pPr>
        <w:spacing w:line="480" w:lineRule="auto"/>
        <w:ind w:left="851" w:hanging="851"/>
        <w:jc w:val="both"/>
        <w:pPrChange w:id="69" w:author="Mary Bruce" w:date="2023-11-02T15:56:00Z">
          <w:pPr>
            <w:pStyle w:val="ListParagraph"/>
            <w:numPr>
              <w:numId w:val="1"/>
            </w:numPr>
            <w:spacing w:line="480" w:lineRule="auto"/>
            <w:ind w:left="851" w:hanging="851"/>
            <w:jc w:val="both"/>
          </w:pPr>
        </w:pPrChange>
      </w:pPr>
      <w:r>
        <w:t>29.</w:t>
      </w:r>
      <w:r>
        <w:tab/>
      </w:r>
      <w:r w:rsidR="001A4968">
        <w:t>In</w:t>
      </w:r>
      <w:r w:rsidR="00D323D6">
        <w:t xml:space="preserve">stead, in argument on this point only </w:t>
      </w:r>
      <w:r w:rsidR="006133A1">
        <w:t xml:space="preserve">one ground for their alleged lawful occupancy was asserted by the respondents.  It was contended that </w:t>
      </w:r>
      <w:r w:rsidR="006133A1" w:rsidRPr="00E80A4F">
        <w:rPr>
          <w:i/>
          <w:iCs/>
          <w:rPrChange w:id="70" w:author="Mary Bruce" w:date="2023-11-02T15:56:00Z">
            <w:rPr>
              <w:i/>
              <w:iCs/>
            </w:rPr>
          </w:rPrChange>
        </w:rPr>
        <w:t xml:space="preserve">“The Respondents occupy the homestead with the consent </w:t>
      </w:r>
      <w:r w:rsidR="00DA1D02" w:rsidRPr="00E80A4F">
        <w:rPr>
          <w:i/>
          <w:iCs/>
          <w:rPrChange w:id="71" w:author="Mary Bruce" w:date="2023-11-02T15:56:00Z">
            <w:rPr>
              <w:i/>
              <w:iCs/>
            </w:rPr>
          </w:rPrChange>
        </w:rPr>
        <w:t>of the owner of the Farm, Mr Louw, alternatively concluded an oral lease agreement with Mr Louw.”</w:t>
      </w:r>
      <w:r w:rsidR="00DA1D02">
        <w:t xml:space="preserve">   This point was not pleaded</w:t>
      </w:r>
      <w:r w:rsidR="009B5428">
        <w:t>,</w:t>
      </w:r>
      <w:r w:rsidR="00DA1D02">
        <w:t xml:space="preserve"> and it was not open to the respondents to assert it for the first time in argument.</w:t>
      </w:r>
      <w:r w:rsidR="00FF6D94">
        <w:t xml:space="preserve">  </w:t>
      </w:r>
      <w:r w:rsidR="0036569F">
        <w:t>In any event,</w:t>
      </w:r>
      <w:r w:rsidR="009D4F75">
        <w:t xml:space="preserve"> no detail was put up </w:t>
      </w:r>
      <w:r w:rsidR="00EF6325">
        <w:t xml:space="preserve">in argument </w:t>
      </w:r>
      <w:r w:rsidR="009D4F75">
        <w:t>as to the timing or terms of the alleged agreement with Mr Louw.</w:t>
      </w:r>
      <w:r w:rsidR="00DA1D02">
        <w:t xml:space="preserve"> </w:t>
      </w:r>
      <w:r w:rsidR="007840BF">
        <w:t xml:space="preserve"> </w:t>
      </w:r>
    </w:p>
    <w:p w14:paraId="7BB4C147" w14:textId="77777777" w:rsidR="009D4F75" w:rsidRDefault="009D4F75" w:rsidP="009D4F75">
      <w:pPr>
        <w:pStyle w:val="ListParagraph"/>
      </w:pPr>
    </w:p>
    <w:p w14:paraId="7C58E5DA" w14:textId="3D9065E1" w:rsidR="00207BCB" w:rsidRDefault="00E80A4F" w:rsidP="00E80A4F">
      <w:pPr>
        <w:spacing w:line="480" w:lineRule="auto"/>
        <w:ind w:left="851" w:hanging="851"/>
        <w:jc w:val="both"/>
        <w:pPrChange w:id="72" w:author="Mary Bruce" w:date="2023-11-02T15:56:00Z">
          <w:pPr>
            <w:pStyle w:val="ListParagraph"/>
            <w:numPr>
              <w:numId w:val="1"/>
            </w:numPr>
            <w:spacing w:line="480" w:lineRule="auto"/>
            <w:ind w:left="851" w:hanging="851"/>
            <w:jc w:val="both"/>
          </w:pPr>
        </w:pPrChange>
      </w:pPr>
      <w:r>
        <w:t>30.</w:t>
      </w:r>
      <w:r>
        <w:tab/>
      </w:r>
      <w:r w:rsidR="007840BF">
        <w:t xml:space="preserve">In any event, the existence of </w:t>
      </w:r>
      <w:r w:rsidR="009D6786">
        <w:t xml:space="preserve">an oral lease agreement with (or consent to remain in occupation by) Mr Louw is highly improbable, having regard to the clear terms of the written lease agreement with the applicant.  </w:t>
      </w:r>
      <w:r w:rsidR="001F28AD">
        <w:t xml:space="preserve">The written lease affords the applicant the right </w:t>
      </w:r>
      <w:r w:rsidR="009D4F75">
        <w:t xml:space="preserve">to occupy the entire property including the homestead, in exchange for rent.  The </w:t>
      </w:r>
      <w:r w:rsidR="00EB5792">
        <w:lastRenderedPageBreak/>
        <w:t>terms of any oral lease allegedly concluded between the respondents and Mr Louw would fly in the face of his written lease with the applicant.</w:t>
      </w:r>
      <w:r w:rsidR="009532A2">
        <w:rPr>
          <w:rStyle w:val="FootnoteReference"/>
        </w:rPr>
        <w:footnoteReference w:id="15"/>
      </w:r>
      <w:r w:rsidR="00EB5792">
        <w:t xml:space="preserve"> </w:t>
      </w:r>
    </w:p>
    <w:p w14:paraId="02A22DFF" w14:textId="77777777" w:rsidR="007123DB" w:rsidRDefault="007123DB" w:rsidP="007123DB">
      <w:pPr>
        <w:pStyle w:val="ListParagraph"/>
      </w:pPr>
    </w:p>
    <w:p w14:paraId="68EA6143" w14:textId="07F06363" w:rsidR="007123DB" w:rsidRDefault="00E80A4F" w:rsidP="00E80A4F">
      <w:pPr>
        <w:spacing w:line="480" w:lineRule="auto"/>
        <w:ind w:left="851" w:hanging="851"/>
        <w:jc w:val="both"/>
        <w:pPrChange w:id="73" w:author="Mary Bruce" w:date="2023-11-02T15:56:00Z">
          <w:pPr>
            <w:pStyle w:val="ListParagraph"/>
            <w:numPr>
              <w:numId w:val="1"/>
            </w:numPr>
            <w:spacing w:line="480" w:lineRule="auto"/>
            <w:ind w:left="851" w:hanging="851"/>
            <w:jc w:val="both"/>
          </w:pPr>
        </w:pPrChange>
      </w:pPr>
      <w:r>
        <w:t>31.</w:t>
      </w:r>
      <w:r>
        <w:tab/>
      </w:r>
      <w:r w:rsidR="00CD421C">
        <w:t xml:space="preserve">For these reasons, I conclude that the respondents are indeed unlawful occupiers within the meaning of PIE. </w:t>
      </w:r>
    </w:p>
    <w:p w14:paraId="330585E6" w14:textId="77777777" w:rsidR="004A5223" w:rsidRDefault="004A5223" w:rsidP="004A5223">
      <w:pPr>
        <w:pStyle w:val="ListParagraph"/>
      </w:pPr>
    </w:p>
    <w:p w14:paraId="7723C9E6" w14:textId="450B8228" w:rsidR="004A5223" w:rsidRPr="004A5223" w:rsidRDefault="004A5223" w:rsidP="004A5223">
      <w:pPr>
        <w:spacing w:line="480" w:lineRule="auto"/>
        <w:jc w:val="both"/>
        <w:rPr>
          <w:b/>
          <w:bCs/>
          <w:u w:val="single"/>
        </w:rPr>
      </w:pPr>
      <w:r>
        <w:rPr>
          <w:b/>
          <w:bCs/>
          <w:u w:val="single"/>
        </w:rPr>
        <w:t>Does ESTA apply to the second respondent?</w:t>
      </w:r>
    </w:p>
    <w:p w14:paraId="2704CD94" w14:textId="77777777" w:rsidR="00CD421C" w:rsidRDefault="00CD421C" w:rsidP="00CD421C">
      <w:pPr>
        <w:pStyle w:val="ListParagraph"/>
      </w:pPr>
    </w:p>
    <w:p w14:paraId="57C4F124" w14:textId="55A7FD10" w:rsidR="00C34D42" w:rsidRDefault="00E80A4F" w:rsidP="00E80A4F">
      <w:pPr>
        <w:spacing w:line="480" w:lineRule="auto"/>
        <w:ind w:left="851" w:hanging="851"/>
        <w:jc w:val="both"/>
        <w:pPrChange w:id="74" w:author="Mary Bruce" w:date="2023-11-02T15:56:00Z">
          <w:pPr>
            <w:pStyle w:val="ListParagraph"/>
            <w:numPr>
              <w:numId w:val="1"/>
            </w:numPr>
            <w:spacing w:line="480" w:lineRule="auto"/>
            <w:ind w:left="851" w:hanging="851"/>
            <w:jc w:val="both"/>
          </w:pPr>
        </w:pPrChange>
      </w:pPr>
      <w:r>
        <w:t>32.</w:t>
      </w:r>
      <w:r>
        <w:tab/>
      </w:r>
      <w:r w:rsidR="005D7CED">
        <w:t>If it was the respondents’ position that Kyle fell within the scope of ESTA, it was incumb</w:t>
      </w:r>
      <w:r w:rsidR="006D2D0A">
        <w:t>ent on them to pertinently allege and prove this.</w:t>
      </w:r>
      <w:r w:rsidR="0010048C">
        <w:rPr>
          <w:rStyle w:val="FootnoteReference"/>
        </w:rPr>
        <w:footnoteReference w:id="16"/>
      </w:r>
      <w:r w:rsidR="006D2D0A">
        <w:t xml:space="preserve"> </w:t>
      </w:r>
      <w:r w:rsidR="00DA616F">
        <w:t xml:space="preserve"> In particular, Kyle was required to put up proof that his income fell below the current threshold of R</w:t>
      </w:r>
      <w:r w:rsidR="00660B64">
        <w:t>13,625</w:t>
      </w:r>
      <w:r w:rsidR="00C34D42">
        <w:t xml:space="preserve"> bringing him within the ambit of the definition of an occupier under ESTA</w:t>
      </w:r>
      <w:r w:rsidR="00660B64">
        <w:t>.</w:t>
      </w:r>
      <w:r w:rsidR="00285DED">
        <w:rPr>
          <w:rStyle w:val="FootnoteReference"/>
        </w:rPr>
        <w:footnoteReference w:id="17"/>
      </w:r>
      <w:r w:rsidR="00660B64">
        <w:t xml:space="preserve"> </w:t>
      </w:r>
      <w:r w:rsidR="006D2D0A">
        <w:t xml:space="preserve"> </w:t>
      </w:r>
    </w:p>
    <w:p w14:paraId="14449B41" w14:textId="01C8206A" w:rsidR="00CD421C" w:rsidRDefault="00E80A4F" w:rsidP="00E80A4F">
      <w:pPr>
        <w:spacing w:line="480" w:lineRule="auto"/>
        <w:ind w:left="851" w:hanging="851"/>
        <w:jc w:val="both"/>
        <w:pPrChange w:id="75" w:author="Mary Bruce" w:date="2023-11-02T15:56:00Z">
          <w:pPr>
            <w:pStyle w:val="ListParagraph"/>
            <w:numPr>
              <w:numId w:val="1"/>
            </w:numPr>
            <w:spacing w:line="480" w:lineRule="auto"/>
            <w:ind w:left="851" w:hanging="851"/>
            <w:jc w:val="both"/>
          </w:pPr>
        </w:pPrChange>
      </w:pPr>
      <w:r>
        <w:t>33.</w:t>
      </w:r>
      <w:r>
        <w:tab/>
      </w:r>
      <w:r w:rsidR="001B31E4">
        <w:t xml:space="preserve">As held by the SCA in </w:t>
      </w:r>
      <w:r w:rsidR="001B31E4" w:rsidRPr="00E80A4F">
        <w:rPr>
          <w:i/>
          <w:iCs/>
          <w:rPrChange w:id="76" w:author="Mary Bruce" w:date="2023-11-02T15:56:00Z">
            <w:rPr>
              <w:i/>
              <w:iCs/>
            </w:rPr>
          </w:rPrChange>
        </w:rPr>
        <w:t>Frannero Property Investments v Selapa</w:t>
      </w:r>
      <w:r w:rsidR="00DA2058">
        <w:t>,</w:t>
      </w:r>
      <w:r w:rsidR="00DA2058">
        <w:rPr>
          <w:rStyle w:val="FootnoteReference"/>
        </w:rPr>
        <w:footnoteReference w:id="18"/>
      </w:r>
      <w:r w:rsidR="00DA2058">
        <w:t xml:space="preserve"> </w:t>
      </w:r>
      <w:r w:rsidR="003C5EAA">
        <w:t>an alleged occupier’s</w:t>
      </w:r>
      <w:r w:rsidR="008873EA">
        <w:t xml:space="preserve"> </w:t>
      </w:r>
      <w:r w:rsidR="008873EA" w:rsidRPr="00E80A4F">
        <w:rPr>
          <w:i/>
          <w:iCs/>
          <w:rPrChange w:id="77" w:author="Mary Bruce" w:date="2023-11-02T15:56:00Z">
            <w:rPr>
              <w:i/>
              <w:iCs/>
            </w:rPr>
          </w:rPrChange>
        </w:rPr>
        <w:t>ipse dixit</w:t>
      </w:r>
      <w:r w:rsidR="008873EA">
        <w:t xml:space="preserve"> </w:t>
      </w:r>
      <w:r w:rsidR="003C5EAA">
        <w:t>i</w:t>
      </w:r>
      <w:r w:rsidR="008873EA">
        <w:t>s not sufficient, bearing in mind that</w:t>
      </w:r>
      <w:r w:rsidR="00D42868">
        <w:t xml:space="preserve"> his or her income is a matter that falls within his or her peculiar knowledge</w:t>
      </w:r>
      <w:r w:rsidR="008873EA">
        <w:t xml:space="preserve">: </w:t>
      </w:r>
    </w:p>
    <w:p w14:paraId="43DF8193" w14:textId="77777777" w:rsidR="008873EA" w:rsidRDefault="008873EA" w:rsidP="008873EA">
      <w:pPr>
        <w:pStyle w:val="ListParagraph"/>
        <w:spacing w:line="480" w:lineRule="auto"/>
        <w:ind w:left="851"/>
        <w:jc w:val="both"/>
      </w:pPr>
    </w:p>
    <w:p w14:paraId="3156D162" w14:textId="564EECF5" w:rsidR="008873EA" w:rsidRPr="004C2FC0" w:rsidRDefault="008873EA" w:rsidP="00AE7361">
      <w:pPr>
        <w:pStyle w:val="ListParagraph"/>
        <w:spacing w:line="360" w:lineRule="auto"/>
        <w:ind w:left="1440"/>
        <w:jc w:val="both"/>
        <w:rPr>
          <w:i/>
          <w:iCs/>
        </w:rPr>
      </w:pPr>
      <w:r>
        <w:rPr>
          <w:i/>
          <w:iCs/>
        </w:rPr>
        <w:t>“</w:t>
      </w:r>
      <w:r w:rsidR="004C2FC0">
        <w:rPr>
          <w:i/>
          <w:iCs/>
        </w:rPr>
        <w:t xml:space="preserve">Such a bare averment </w:t>
      </w:r>
      <w:r w:rsidR="004C2FC0">
        <w:t xml:space="preserve">[that the respondents were unemployed and earned below the applicable threshold] </w:t>
      </w:r>
      <w:r w:rsidR="004C2FC0">
        <w:rPr>
          <w:i/>
          <w:iCs/>
        </w:rPr>
        <w:t xml:space="preserve">was not </w:t>
      </w:r>
      <w:r w:rsidR="00004DE8">
        <w:rPr>
          <w:i/>
          <w:iCs/>
        </w:rPr>
        <w:t>adequate for the discharge of the onus on the respondents to prove that their income</w:t>
      </w:r>
      <w:r w:rsidR="002471B9">
        <w:rPr>
          <w:i/>
          <w:iCs/>
        </w:rPr>
        <w:t xml:space="preserve"> did not exceed the prescribed maximum income</w:t>
      </w:r>
      <w:r w:rsidR="00932555">
        <w:rPr>
          <w:i/>
          <w:iCs/>
        </w:rPr>
        <w:t>.  The respondents’ income was a matter peculiarly within their knowledge</w:t>
      </w:r>
      <w:r w:rsidR="00B2096E">
        <w:rPr>
          <w:i/>
          <w:iCs/>
        </w:rPr>
        <w:t xml:space="preserve">. Casting the burden of proof on them in this regard was not unduly harsh.  On the other hand, placing such a burden on the applicant would cause undue </w:t>
      </w:r>
      <w:r w:rsidR="00577E63">
        <w:rPr>
          <w:i/>
          <w:iCs/>
        </w:rPr>
        <w:t>hardship.”</w:t>
      </w:r>
      <w:r w:rsidR="002471B9">
        <w:rPr>
          <w:i/>
          <w:iCs/>
        </w:rPr>
        <w:t xml:space="preserve"> </w:t>
      </w:r>
    </w:p>
    <w:p w14:paraId="4F0E1D2C" w14:textId="77777777" w:rsidR="008873EA" w:rsidRDefault="008873EA" w:rsidP="008873EA">
      <w:pPr>
        <w:pStyle w:val="ListParagraph"/>
        <w:spacing w:line="480" w:lineRule="auto"/>
        <w:ind w:left="851"/>
        <w:jc w:val="both"/>
      </w:pPr>
    </w:p>
    <w:p w14:paraId="42C5293C" w14:textId="78901352" w:rsidR="008873EA" w:rsidRDefault="00E80A4F" w:rsidP="00E80A4F">
      <w:pPr>
        <w:spacing w:line="480" w:lineRule="auto"/>
        <w:ind w:left="851" w:hanging="851"/>
        <w:jc w:val="both"/>
        <w:pPrChange w:id="78" w:author="Mary Bruce" w:date="2023-11-02T15:56:00Z">
          <w:pPr>
            <w:pStyle w:val="ListParagraph"/>
            <w:numPr>
              <w:numId w:val="1"/>
            </w:numPr>
            <w:spacing w:line="480" w:lineRule="auto"/>
            <w:ind w:left="851" w:hanging="851"/>
            <w:jc w:val="both"/>
          </w:pPr>
        </w:pPrChange>
      </w:pPr>
      <w:r>
        <w:t>34.</w:t>
      </w:r>
      <w:r>
        <w:tab/>
      </w:r>
      <w:r w:rsidR="002F190B">
        <w:t xml:space="preserve">In the present matter, </w:t>
      </w:r>
      <w:r w:rsidR="006861AE">
        <w:t xml:space="preserve">save for a bald allegation that Kyle earned less than R5000 per month and that </w:t>
      </w:r>
      <w:r w:rsidR="006861AE" w:rsidRPr="00E80A4F">
        <w:rPr>
          <w:i/>
          <w:iCs/>
          <w:rPrChange w:id="79" w:author="Mary Bruce" w:date="2023-11-02T15:56:00Z">
            <w:rPr>
              <w:i/>
              <w:iCs/>
            </w:rPr>
          </w:rPrChange>
        </w:rPr>
        <w:t xml:space="preserve">“the provisions of ESTA </w:t>
      </w:r>
      <w:r w:rsidR="006861AE" w:rsidRPr="00E80A4F">
        <w:rPr>
          <w:i/>
          <w:iCs/>
          <w:u w:val="single"/>
          <w:rPrChange w:id="80" w:author="Mary Bruce" w:date="2023-11-02T15:56:00Z">
            <w:rPr>
              <w:i/>
              <w:iCs/>
              <w:u w:val="single"/>
            </w:rPr>
          </w:rPrChange>
        </w:rPr>
        <w:t>may</w:t>
      </w:r>
      <w:r w:rsidR="006861AE" w:rsidRPr="00E80A4F">
        <w:rPr>
          <w:i/>
          <w:iCs/>
          <w:rPrChange w:id="81" w:author="Mary Bruce" w:date="2023-11-02T15:56:00Z">
            <w:rPr>
              <w:i/>
              <w:iCs/>
            </w:rPr>
          </w:rPrChange>
        </w:rPr>
        <w:t xml:space="preserve"> also apply to him” </w:t>
      </w:r>
      <w:r w:rsidR="006861AE">
        <w:t xml:space="preserve">(emphasis added), </w:t>
      </w:r>
      <w:r w:rsidR="005320F7">
        <w:t xml:space="preserve">no evidence whatsoever </w:t>
      </w:r>
      <w:r w:rsidR="00EF6325">
        <w:t>w</w:t>
      </w:r>
      <w:r w:rsidR="005320F7">
        <w:t xml:space="preserve">as adduced to support this.  </w:t>
      </w:r>
      <w:r w:rsidR="009471A7">
        <w:t xml:space="preserve">No reason has been provided </w:t>
      </w:r>
      <w:r w:rsidR="00EF6325">
        <w:t xml:space="preserve">for </w:t>
      </w:r>
      <w:r w:rsidR="009471A7">
        <w:t>why</w:t>
      </w:r>
      <w:r w:rsidR="00E90303">
        <w:t>, for example,</w:t>
      </w:r>
      <w:r w:rsidR="009471A7">
        <w:t xml:space="preserve"> Kyle could not </w:t>
      </w:r>
      <w:r w:rsidR="00EF6325">
        <w:t xml:space="preserve">simply </w:t>
      </w:r>
      <w:r w:rsidR="009471A7">
        <w:t xml:space="preserve">have annexed copies of his bank statements to establish his income.  </w:t>
      </w:r>
      <w:r w:rsidR="0076690B">
        <w:t xml:space="preserve">His failure to do so warrants an adverse inference.  The consequence is that Kyle has not met the </w:t>
      </w:r>
      <w:r w:rsidR="0076690B" w:rsidRPr="0036569F">
        <w:t>onus</w:t>
      </w:r>
      <w:r w:rsidR="0076690B">
        <w:t xml:space="preserve"> of proving </w:t>
      </w:r>
      <w:r w:rsidR="00A95B04">
        <w:t xml:space="preserve">that he should be regarded as an ESTA occupier.  </w:t>
      </w:r>
    </w:p>
    <w:p w14:paraId="74CF3BD8" w14:textId="77777777" w:rsidR="006835BB" w:rsidRDefault="006835BB" w:rsidP="006835BB">
      <w:pPr>
        <w:spacing w:line="480" w:lineRule="auto"/>
        <w:jc w:val="both"/>
      </w:pPr>
    </w:p>
    <w:p w14:paraId="6C9587E5" w14:textId="5F3394C1" w:rsidR="006835BB" w:rsidRPr="006835BB" w:rsidRDefault="006835BB" w:rsidP="0036569F">
      <w:pPr>
        <w:keepNext/>
        <w:spacing w:line="480" w:lineRule="auto"/>
        <w:jc w:val="both"/>
        <w:rPr>
          <w:b/>
          <w:bCs/>
          <w:u w:val="single"/>
        </w:rPr>
      </w:pPr>
      <w:r>
        <w:rPr>
          <w:b/>
          <w:bCs/>
          <w:u w:val="single"/>
        </w:rPr>
        <w:t xml:space="preserve">Is it just and equitable to evict the respondents? </w:t>
      </w:r>
    </w:p>
    <w:p w14:paraId="5D56839D" w14:textId="77777777" w:rsidR="006835BB" w:rsidRDefault="006835BB" w:rsidP="0036569F">
      <w:pPr>
        <w:keepNext/>
        <w:spacing w:line="480" w:lineRule="auto"/>
        <w:jc w:val="both"/>
      </w:pPr>
    </w:p>
    <w:p w14:paraId="122D7F1E" w14:textId="58950A83" w:rsidR="004359D4" w:rsidRDefault="00E80A4F" w:rsidP="00E80A4F">
      <w:pPr>
        <w:keepNext/>
        <w:spacing w:line="480" w:lineRule="auto"/>
        <w:ind w:left="851" w:hanging="851"/>
        <w:jc w:val="both"/>
        <w:pPrChange w:id="82" w:author="Mary Bruce" w:date="2023-11-02T15:56:00Z">
          <w:pPr>
            <w:pStyle w:val="ListParagraph"/>
            <w:keepNext/>
            <w:numPr>
              <w:numId w:val="1"/>
            </w:numPr>
            <w:spacing w:line="480" w:lineRule="auto"/>
            <w:ind w:left="851" w:hanging="851"/>
            <w:jc w:val="both"/>
          </w:pPr>
        </w:pPrChange>
      </w:pPr>
      <w:r>
        <w:t>35.</w:t>
      </w:r>
      <w:r>
        <w:tab/>
      </w:r>
      <w:r w:rsidR="00590537">
        <w:t xml:space="preserve">In </w:t>
      </w:r>
      <w:r w:rsidR="00376556">
        <w:t xml:space="preserve">the recent decision of </w:t>
      </w:r>
      <w:r w:rsidR="00590537" w:rsidRPr="00E80A4F">
        <w:rPr>
          <w:i/>
          <w:iCs/>
          <w:rPrChange w:id="83" w:author="Mary Bruce" w:date="2023-11-02T15:56:00Z">
            <w:rPr>
              <w:i/>
              <w:iCs/>
            </w:rPr>
          </w:rPrChange>
        </w:rPr>
        <w:t>Gro</w:t>
      </w:r>
      <w:r w:rsidR="00376556" w:rsidRPr="00E80A4F">
        <w:rPr>
          <w:i/>
          <w:iCs/>
          <w:rPrChange w:id="84" w:author="Mary Bruce" w:date="2023-11-02T15:56:00Z">
            <w:rPr>
              <w:i/>
              <w:iCs/>
            </w:rPr>
          </w:rPrChange>
        </w:rPr>
        <w:t>bler v Phillips</w:t>
      </w:r>
      <w:r w:rsidR="00E40E11" w:rsidRPr="00E80A4F">
        <w:rPr>
          <w:i/>
          <w:iCs/>
          <w:rPrChange w:id="85" w:author="Mary Bruce" w:date="2023-11-02T15:56:00Z">
            <w:rPr>
              <w:i/>
              <w:iCs/>
            </w:rPr>
          </w:rPrChange>
        </w:rPr>
        <w:t xml:space="preserve"> </w:t>
      </w:r>
      <w:r w:rsidR="00E40E11">
        <w:t>(</w:t>
      </w:r>
      <w:r w:rsidR="00E40E11" w:rsidRPr="00E80A4F">
        <w:rPr>
          <w:i/>
          <w:iCs/>
          <w:rPrChange w:id="86" w:author="Mary Bruce" w:date="2023-11-02T15:56:00Z">
            <w:rPr>
              <w:i/>
              <w:iCs/>
            </w:rPr>
          </w:rPrChange>
        </w:rPr>
        <w:t>“Grobler”</w:t>
      </w:r>
      <w:r w:rsidR="00E40E11">
        <w:t>)</w:t>
      </w:r>
      <w:r w:rsidR="00376556" w:rsidRPr="00E40E11">
        <w:rPr>
          <w:rStyle w:val="FootnoteReference"/>
        </w:rPr>
        <w:footnoteReference w:id="19"/>
      </w:r>
      <w:r w:rsidR="00376556">
        <w:t xml:space="preserve"> the Constitutional Court </w:t>
      </w:r>
      <w:r w:rsidR="00C97FF8">
        <w:t>was at pains to point out that:</w:t>
      </w:r>
      <w:r w:rsidR="00C97FF8">
        <w:rPr>
          <w:rStyle w:val="FootnoteReference"/>
        </w:rPr>
        <w:footnoteReference w:id="20"/>
      </w:r>
      <w:r w:rsidR="00C97FF8">
        <w:t xml:space="preserve"> </w:t>
      </w:r>
    </w:p>
    <w:p w14:paraId="1DBA7919" w14:textId="77777777" w:rsidR="004359D4" w:rsidRDefault="004359D4" w:rsidP="004359D4">
      <w:pPr>
        <w:pStyle w:val="ListParagraph"/>
        <w:spacing w:line="480" w:lineRule="auto"/>
        <w:ind w:left="851"/>
        <w:jc w:val="both"/>
      </w:pPr>
    </w:p>
    <w:p w14:paraId="65B15677" w14:textId="70D1DC01" w:rsidR="006835BB" w:rsidRPr="00210054" w:rsidRDefault="00C97FF8" w:rsidP="00AE7361">
      <w:pPr>
        <w:pStyle w:val="ListParagraph"/>
        <w:spacing w:line="360" w:lineRule="auto"/>
        <w:ind w:left="1440"/>
        <w:jc w:val="both"/>
      </w:pPr>
      <w:r>
        <w:rPr>
          <w:i/>
          <w:iCs/>
        </w:rPr>
        <w:t xml:space="preserve">“PIE </w:t>
      </w:r>
      <w:r w:rsidR="004359D4">
        <w:rPr>
          <w:i/>
          <w:iCs/>
        </w:rPr>
        <w:t xml:space="preserve">was enacted to prevent the arbitrary </w:t>
      </w:r>
      <w:r w:rsidR="0071772E">
        <w:rPr>
          <w:i/>
          <w:iCs/>
        </w:rPr>
        <w:t xml:space="preserve">deprivation of property and is not designed to allow for the expropriation of land </w:t>
      </w:r>
      <w:r w:rsidR="00210054">
        <w:rPr>
          <w:i/>
          <w:iCs/>
        </w:rPr>
        <w:t>from a private landowner from whose property the eviction is being sought.”</w:t>
      </w:r>
    </w:p>
    <w:p w14:paraId="3C23B41F" w14:textId="77777777" w:rsidR="006835BB" w:rsidRDefault="006835BB" w:rsidP="006835BB">
      <w:pPr>
        <w:pStyle w:val="ListParagraph"/>
        <w:spacing w:line="480" w:lineRule="auto"/>
        <w:ind w:left="851"/>
        <w:jc w:val="both"/>
      </w:pPr>
    </w:p>
    <w:p w14:paraId="28A3F0AE" w14:textId="7269F996" w:rsidR="006835BB" w:rsidRDefault="00E80A4F" w:rsidP="00E80A4F">
      <w:pPr>
        <w:spacing w:line="480" w:lineRule="auto"/>
        <w:ind w:left="851" w:hanging="851"/>
        <w:jc w:val="both"/>
        <w:pPrChange w:id="87" w:author="Mary Bruce" w:date="2023-11-02T15:56:00Z">
          <w:pPr>
            <w:pStyle w:val="ListParagraph"/>
            <w:numPr>
              <w:numId w:val="1"/>
            </w:numPr>
            <w:spacing w:line="480" w:lineRule="auto"/>
            <w:ind w:left="851" w:hanging="851"/>
            <w:jc w:val="both"/>
          </w:pPr>
        </w:pPrChange>
      </w:pPr>
      <w:r>
        <w:t>36.</w:t>
      </w:r>
      <w:r>
        <w:tab/>
      </w:r>
      <w:r w:rsidR="00F01A12">
        <w:t xml:space="preserve">Although it is appropriate to have regard to all the relevant facts and circumstances </w:t>
      </w:r>
      <w:r w:rsidR="00725CCA">
        <w:t xml:space="preserve">of a particular matter, </w:t>
      </w:r>
      <w:r w:rsidR="005542FD">
        <w:t>in determining a</w:t>
      </w:r>
      <w:r w:rsidR="00725CCA">
        <w:t xml:space="preserve"> just and equitable</w:t>
      </w:r>
      <w:r w:rsidR="001A2B74">
        <w:t xml:space="preserve"> outcome</w:t>
      </w:r>
      <w:r w:rsidR="00725CCA">
        <w:t xml:space="preserve"> </w:t>
      </w:r>
      <w:r w:rsidR="00C12C33">
        <w:t xml:space="preserve">a </w:t>
      </w:r>
      <w:r w:rsidR="00575168">
        <w:t>significant</w:t>
      </w:r>
      <w:r w:rsidR="00C12C33">
        <w:t xml:space="preserve"> consideration </w:t>
      </w:r>
      <w:r w:rsidR="00C12C33">
        <w:lastRenderedPageBreak/>
        <w:t>is whether</w:t>
      </w:r>
      <w:r w:rsidR="00BC7943">
        <w:t xml:space="preserve"> the respondents will be rendered homeless as a result of an eviction order.  </w:t>
      </w:r>
      <w:r w:rsidR="006C22D1">
        <w:t xml:space="preserve">As the SCA noted in </w:t>
      </w:r>
      <w:r w:rsidR="005A7379" w:rsidRPr="00E80A4F">
        <w:rPr>
          <w:i/>
          <w:iCs/>
          <w:rPrChange w:id="88" w:author="Mary Bruce" w:date="2023-11-02T15:56:00Z">
            <w:rPr>
              <w:i/>
              <w:iCs/>
            </w:rPr>
          </w:rPrChange>
        </w:rPr>
        <w:t>City of Johannesburg v Changing Tides 74 (Pty) Ltd</w:t>
      </w:r>
      <w:r w:rsidR="007D5E09">
        <w:t>:</w:t>
      </w:r>
      <w:r w:rsidR="005A7379" w:rsidRPr="007D5E09">
        <w:rPr>
          <w:rStyle w:val="FootnoteReference"/>
        </w:rPr>
        <w:footnoteReference w:id="21"/>
      </w:r>
    </w:p>
    <w:p w14:paraId="2285723A" w14:textId="77777777" w:rsidR="007D5E09" w:rsidRDefault="007D5E09" w:rsidP="007D5E09">
      <w:pPr>
        <w:pStyle w:val="ListParagraph"/>
        <w:spacing w:line="480" w:lineRule="auto"/>
        <w:ind w:left="851"/>
        <w:jc w:val="both"/>
      </w:pPr>
    </w:p>
    <w:p w14:paraId="4D1FBD7D" w14:textId="0C719D58" w:rsidR="007D5E09" w:rsidRPr="00E8657D" w:rsidRDefault="007D5E09" w:rsidP="00AE7361">
      <w:pPr>
        <w:pStyle w:val="ListParagraph"/>
        <w:spacing w:line="360" w:lineRule="auto"/>
        <w:ind w:left="1440"/>
        <w:jc w:val="both"/>
      </w:pPr>
      <w:r>
        <w:rPr>
          <w:i/>
          <w:iCs/>
        </w:rPr>
        <w:t>“</w:t>
      </w:r>
      <w:r w:rsidR="00AD4A97">
        <w:rPr>
          <w:i/>
          <w:iCs/>
        </w:rPr>
        <w:t>… an eviction order in circumstances where no alternative accommodation is provided is far less likely to be just and equitable</w:t>
      </w:r>
      <w:r w:rsidR="00E8657D">
        <w:rPr>
          <w:i/>
          <w:iCs/>
        </w:rPr>
        <w:t xml:space="preserve"> than one that makes careful provision for alternative housing.”</w:t>
      </w:r>
      <w:r w:rsidR="00E8657D">
        <w:t xml:space="preserve"> </w:t>
      </w:r>
    </w:p>
    <w:p w14:paraId="23FCBC1D" w14:textId="77777777" w:rsidR="007D5E09" w:rsidRDefault="007D5E09" w:rsidP="007D5E09">
      <w:pPr>
        <w:pStyle w:val="ListParagraph"/>
        <w:spacing w:line="480" w:lineRule="auto"/>
        <w:ind w:left="851"/>
        <w:jc w:val="both"/>
      </w:pPr>
    </w:p>
    <w:p w14:paraId="4885A6AB" w14:textId="1883102F" w:rsidR="007D5E09" w:rsidRDefault="00E80A4F" w:rsidP="00E80A4F">
      <w:pPr>
        <w:spacing w:line="480" w:lineRule="auto"/>
        <w:ind w:left="851" w:hanging="851"/>
        <w:jc w:val="both"/>
        <w:pPrChange w:id="89" w:author="Mary Bruce" w:date="2023-11-02T15:56:00Z">
          <w:pPr>
            <w:pStyle w:val="ListParagraph"/>
            <w:numPr>
              <w:numId w:val="1"/>
            </w:numPr>
            <w:spacing w:line="480" w:lineRule="auto"/>
            <w:ind w:left="851" w:hanging="851"/>
            <w:jc w:val="both"/>
          </w:pPr>
        </w:pPrChange>
      </w:pPr>
      <w:r>
        <w:t>37.</w:t>
      </w:r>
      <w:r>
        <w:tab/>
      </w:r>
      <w:r w:rsidR="003F0C30">
        <w:t xml:space="preserve">As the court put it in </w:t>
      </w:r>
      <w:r w:rsidR="003F0C30" w:rsidRPr="00E80A4F">
        <w:rPr>
          <w:i/>
          <w:iCs/>
          <w:rPrChange w:id="90" w:author="Mary Bruce" w:date="2023-11-02T15:56:00Z">
            <w:rPr>
              <w:i/>
              <w:iCs/>
            </w:rPr>
          </w:rPrChange>
        </w:rPr>
        <w:t>Grobler</w:t>
      </w:r>
      <w:r w:rsidR="003F0C30">
        <w:t>:</w:t>
      </w:r>
      <w:r w:rsidR="003F0C30">
        <w:rPr>
          <w:rStyle w:val="FootnoteReference"/>
        </w:rPr>
        <w:footnoteReference w:id="22"/>
      </w:r>
      <w:r w:rsidR="00E11051">
        <w:t xml:space="preserve"> </w:t>
      </w:r>
    </w:p>
    <w:p w14:paraId="0605379E" w14:textId="77777777" w:rsidR="00E11051" w:rsidRDefault="00E11051" w:rsidP="00E11051">
      <w:pPr>
        <w:pStyle w:val="ListParagraph"/>
        <w:spacing w:line="480" w:lineRule="auto"/>
        <w:ind w:left="851"/>
        <w:jc w:val="both"/>
      </w:pPr>
    </w:p>
    <w:p w14:paraId="7AB46DE8" w14:textId="7EFC8FAA" w:rsidR="00E11051" w:rsidRPr="00E00D31" w:rsidRDefault="00E11051" w:rsidP="00AE7361">
      <w:pPr>
        <w:pStyle w:val="ListParagraph"/>
        <w:spacing w:line="360" w:lineRule="auto"/>
        <w:ind w:left="1440"/>
        <w:jc w:val="both"/>
      </w:pPr>
      <w:r>
        <w:rPr>
          <w:i/>
          <w:iCs/>
        </w:rPr>
        <w:t xml:space="preserve">“An unlawful occupier such as Mrs Phillips does not have </w:t>
      </w:r>
      <w:r w:rsidR="00277139">
        <w:rPr>
          <w:i/>
          <w:iCs/>
        </w:rPr>
        <w:t>a right to refuse to be evicted on the basis that she prefers or wishes to remain</w:t>
      </w:r>
      <w:r w:rsidR="00084C71">
        <w:rPr>
          <w:i/>
          <w:iCs/>
        </w:rPr>
        <w:t xml:space="preserve"> in the property that she is occupying unlawfully.  In terms of s 26 of the Constitution, everyone has the </w:t>
      </w:r>
      <w:r w:rsidR="00E00D31">
        <w:rPr>
          <w:i/>
          <w:iCs/>
        </w:rPr>
        <w:t>right to have access to adequate housing.  The Constitution does not give Mrs Phillips the right to choose exactly where in Somerset West she wants to live.”</w:t>
      </w:r>
    </w:p>
    <w:p w14:paraId="6F1F0D89" w14:textId="77777777" w:rsidR="00E11051" w:rsidRDefault="00E11051" w:rsidP="00E11051">
      <w:pPr>
        <w:pStyle w:val="ListParagraph"/>
        <w:spacing w:line="480" w:lineRule="auto"/>
        <w:ind w:left="851"/>
        <w:jc w:val="both"/>
      </w:pPr>
    </w:p>
    <w:p w14:paraId="068A29C7" w14:textId="0EDA82C5" w:rsidR="00E11051" w:rsidRDefault="00E80A4F" w:rsidP="00E80A4F">
      <w:pPr>
        <w:spacing w:line="480" w:lineRule="auto"/>
        <w:ind w:left="851" w:hanging="851"/>
        <w:jc w:val="both"/>
        <w:pPrChange w:id="91" w:author="Mary Bruce" w:date="2023-11-02T15:56:00Z">
          <w:pPr>
            <w:pStyle w:val="ListParagraph"/>
            <w:numPr>
              <w:numId w:val="1"/>
            </w:numPr>
            <w:spacing w:line="480" w:lineRule="auto"/>
            <w:ind w:left="851" w:hanging="851"/>
            <w:jc w:val="both"/>
          </w:pPr>
        </w:pPrChange>
      </w:pPr>
      <w:r>
        <w:t>38.</w:t>
      </w:r>
      <w:r>
        <w:tab/>
      </w:r>
      <w:r w:rsidR="00826E71">
        <w:t xml:space="preserve">In the present matter, </w:t>
      </w:r>
      <w:r w:rsidR="00DE2307">
        <w:t xml:space="preserve">it is not in dispute that the respondents can </w:t>
      </w:r>
      <w:r w:rsidR="007F780B">
        <w:t xml:space="preserve">afford to relocate to suitable accommodation of their choosing.  They cannot </w:t>
      </w:r>
      <w:r w:rsidR="00084039">
        <w:t>reasonably expect to continue residing indefinitely</w:t>
      </w:r>
      <w:r w:rsidR="005F78C1">
        <w:t xml:space="preserve">, rent-free, on the property.  </w:t>
      </w:r>
      <w:r w:rsidR="0069507E">
        <w:t xml:space="preserve">The applicant </w:t>
      </w:r>
      <w:r w:rsidR="00F404B2">
        <w:t>attached</w:t>
      </w:r>
      <w:r w:rsidR="00A66FEF">
        <w:t xml:space="preserve"> to its founding papers</w:t>
      </w:r>
      <w:r w:rsidR="00F404B2">
        <w:t xml:space="preserve"> various advertisements for </w:t>
      </w:r>
      <w:r w:rsidR="00A66FEF">
        <w:t xml:space="preserve">rental properties that would be suitable for occupation by the respondents.  </w:t>
      </w:r>
      <w:r w:rsidR="00151B7B">
        <w:t>There was no meaningful response to this – save for unsubstantiated allegations that the particular examples attached were unsuitable for the respondents’ family pets</w:t>
      </w:r>
      <w:r w:rsidR="00F5124C">
        <w:t xml:space="preserve"> or running their clothing business.</w:t>
      </w:r>
      <w:r w:rsidR="00F5124C">
        <w:rPr>
          <w:rStyle w:val="FootnoteReference"/>
        </w:rPr>
        <w:footnoteReference w:id="23"/>
      </w:r>
      <w:r w:rsidR="007F4028">
        <w:t xml:space="preserve">  </w:t>
      </w:r>
      <w:r w:rsidR="004D02E7">
        <w:t xml:space="preserve">These complaints fall within the realm </w:t>
      </w:r>
      <w:r w:rsidR="004D02E7">
        <w:lastRenderedPageBreak/>
        <w:t xml:space="preserve">of </w:t>
      </w:r>
      <w:r w:rsidR="00CF3C59">
        <w:t xml:space="preserve">the </w:t>
      </w:r>
      <w:r w:rsidR="004D02E7">
        <w:t xml:space="preserve">irrelevant considerations </w:t>
      </w:r>
      <w:r w:rsidR="00CF3C59">
        <w:t xml:space="preserve">identified by the court in </w:t>
      </w:r>
      <w:r w:rsidR="00CF3C59" w:rsidRPr="00E80A4F">
        <w:rPr>
          <w:i/>
          <w:iCs/>
          <w:rPrChange w:id="92" w:author="Mary Bruce" w:date="2023-11-02T15:56:00Z">
            <w:rPr>
              <w:i/>
              <w:iCs/>
            </w:rPr>
          </w:rPrChange>
        </w:rPr>
        <w:t>Grobler</w:t>
      </w:r>
      <w:r w:rsidR="00CF3C59">
        <w:t xml:space="preserve">.  The respondents’ constitutional rights to adequate housing are not </w:t>
      </w:r>
      <w:r w:rsidR="00F06360">
        <w:t>at risk.  Their specific preferences as to where they wish to reside (and whether they w</w:t>
      </w:r>
      <w:r w:rsidR="00213B10">
        <w:t xml:space="preserve">ish to pay rent or not) is neither here nor there. </w:t>
      </w:r>
    </w:p>
    <w:p w14:paraId="3C55FAF0" w14:textId="77777777" w:rsidR="00213B10" w:rsidRDefault="00213B10" w:rsidP="00213B10">
      <w:pPr>
        <w:pStyle w:val="ListParagraph"/>
        <w:spacing w:line="480" w:lineRule="auto"/>
        <w:ind w:left="851"/>
        <w:jc w:val="both"/>
      </w:pPr>
    </w:p>
    <w:p w14:paraId="498B02B4" w14:textId="166C7D04" w:rsidR="00213B10" w:rsidRDefault="00E80A4F" w:rsidP="00E80A4F">
      <w:pPr>
        <w:spacing w:line="480" w:lineRule="auto"/>
        <w:ind w:left="851" w:hanging="851"/>
        <w:jc w:val="both"/>
        <w:pPrChange w:id="93" w:author="Mary Bruce" w:date="2023-11-02T15:56:00Z">
          <w:pPr>
            <w:pStyle w:val="ListParagraph"/>
            <w:numPr>
              <w:numId w:val="1"/>
            </w:numPr>
            <w:spacing w:line="480" w:lineRule="auto"/>
            <w:ind w:left="851" w:hanging="851"/>
            <w:jc w:val="both"/>
          </w:pPr>
        </w:pPrChange>
      </w:pPr>
      <w:r>
        <w:t>39.</w:t>
      </w:r>
      <w:r>
        <w:tab/>
      </w:r>
      <w:r w:rsidR="0028239E">
        <w:t xml:space="preserve">I furthermore accept that the applicant is prejudiced in the operation of its sheep farming business by the respondents’ continued unlawful occupation of the homestead.  </w:t>
      </w:r>
      <w:r w:rsidR="00C05A40">
        <w:t xml:space="preserve">Without delving into the plethora of allegations and counter-allegations as to the damage </w:t>
      </w:r>
      <w:r w:rsidR="001347F1">
        <w:t xml:space="preserve">being done to the sheep-farming business, it is clear that the parties are hostile to each other and that their relationship has completely broken down.  </w:t>
      </w:r>
      <w:r w:rsidR="006900EB">
        <w:t xml:space="preserve">The continued presence of the respondents on the property is inimical (to say the least) to the smooth and efficient operation of the applicant’s farming business.  The applicant is lawfully entitled to make use of the entire property, including the homestead, in pursuing its farming operations.  </w:t>
      </w:r>
      <w:r w:rsidR="00AD1A0D">
        <w:t xml:space="preserve">It pays rent and other costs to the owner </w:t>
      </w:r>
      <w:r w:rsidR="00D169DC">
        <w:t xml:space="preserve">for this privilege.  For as long as the respondents remain in unlawful occupation, the applicant is unable to realise the full benefits of the property it rents. </w:t>
      </w:r>
    </w:p>
    <w:p w14:paraId="7CC74143" w14:textId="77777777" w:rsidR="00690B9B" w:rsidRDefault="00690B9B" w:rsidP="00690B9B"/>
    <w:p w14:paraId="570048DD" w14:textId="79073C54" w:rsidR="00690B9B" w:rsidRDefault="00E80A4F" w:rsidP="00E80A4F">
      <w:pPr>
        <w:spacing w:line="480" w:lineRule="auto"/>
        <w:ind w:left="851" w:hanging="851"/>
        <w:jc w:val="both"/>
        <w:pPrChange w:id="94" w:author="Mary Bruce" w:date="2023-11-02T15:56:00Z">
          <w:pPr>
            <w:pStyle w:val="ListParagraph"/>
            <w:numPr>
              <w:numId w:val="1"/>
            </w:numPr>
            <w:spacing w:line="480" w:lineRule="auto"/>
            <w:ind w:left="851" w:hanging="851"/>
            <w:jc w:val="both"/>
          </w:pPr>
        </w:pPrChange>
      </w:pPr>
      <w:r>
        <w:t>40.</w:t>
      </w:r>
      <w:r>
        <w:tab/>
      </w:r>
      <w:r w:rsidR="00690B9B">
        <w:t xml:space="preserve">In </w:t>
      </w:r>
      <w:r w:rsidR="00690B9B" w:rsidRPr="00E80A4F">
        <w:rPr>
          <w:i/>
          <w:iCs/>
          <w:rPrChange w:id="95" w:author="Mary Bruce" w:date="2023-11-02T15:56:00Z">
            <w:rPr/>
          </w:rPrChange>
        </w:rPr>
        <w:t>City of Johannesburg</w:t>
      </w:r>
      <w:r w:rsidR="00690B9B">
        <w:rPr>
          <w:rStyle w:val="FootnoteReference"/>
          <w:i/>
          <w:iCs/>
        </w:rPr>
        <w:footnoteReference w:id="24"/>
      </w:r>
      <w:r w:rsidR="00F137B5" w:rsidRPr="00E80A4F">
        <w:rPr>
          <w:i/>
          <w:iCs/>
          <w:rPrChange w:id="96" w:author="Mary Bruce" w:date="2023-11-02T15:56:00Z">
            <w:rPr/>
          </w:rPrChange>
        </w:rPr>
        <w:t xml:space="preserve"> </w:t>
      </w:r>
      <w:r w:rsidR="00F137B5">
        <w:t xml:space="preserve">the SCA commented that </w:t>
      </w:r>
      <w:r w:rsidR="00F137B5" w:rsidRPr="00E80A4F">
        <w:rPr>
          <w:i/>
          <w:iCs/>
          <w:rPrChange w:id="97" w:author="Mary Bruce" w:date="2023-11-02T15:56:00Z">
            <w:rPr/>
          </w:rPrChange>
        </w:rPr>
        <w:t xml:space="preserve">“In most instances where the owner </w:t>
      </w:r>
      <w:r w:rsidR="0031723D" w:rsidRPr="00E80A4F">
        <w:rPr>
          <w:i/>
          <w:iCs/>
          <w:rPrChange w:id="98" w:author="Mary Bruce" w:date="2023-11-02T15:56:00Z">
            <w:rPr/>
          </w:rPrChange>
        </w:rPr>
        <w:t>of property seeks the eviction of unlawful occupiers, whether from land or buildings situated on the land, and demonstrates a</w:t>
      </w:r>
      <w:r w:rsidR="00872927" w:rsidRPr="00E80A4F">
        <w:rPr>
          <w:i/>
          <w:iCs/>
          <w:rPrChange w:id="99" w:author="Mary Bruce" w:date="2023-11-02T15:56:00Z">
            <w:rPr/>
          </w:rPrChange>
        </w:rPr>
        <w:t xml:space="preserve"> need for possession and that there is no valid defence to that claim, it will be just and equitable to grant an eviction order</w:t>
      </w:r>
      <w:r w:rsidR="00904539" w:rsidRPr="00E80A4F">
        <w:rPr>
          <w:i/>
          <w:iCs/>
          <w:rPrChange w:id="100" w:author="Mary Bruce" w:date="2023-11-02T15:56:00Z">
            <w:rPr/>
          </w:rPrChange>
        </w:rPr>
        <w:t>.”</w:t>
      </w:r>
      <w:r w:rsidR="00904539">
        <w:t xml:space="preserve">  This principle finds application here. </w:t>
      </w:r>
    </w:p>
    <w:p w14:paraId="25CE3F55" w14:textId="77777777" w:rsidR="00904539" w:rsidRDefault="00904539" w:rsidP="00904539">
      <w:pPr>
        <w:pStyle w:val="ListParagraph"/>
      </w:pPr>
    </w:p>
    <w:p w14:paraId="28ECF70C" w14:textId="1535E9AE" w:rsidR="00904539" w:rsidRDefault="00E80A4F" w:rsidP="00E80A4F">
      <w:pPr>
        <w:spacing w:line="480" w:lineRule="auto"/>
        <w:ind w:left="851" w:hanging="851"/>
        <w:jc w:val="both"/>
        <w:pPrChange w:id="101" w:author="Mary Bruce" w:date="2023-11-02T15:56:00Z">
          <w:pPr>
            <w:pStyle w:val="ListParagraph"/>
            <w:numPr>
              <w:numId w:val="1"/>
            </w:numPr>
            <w:spacing w:line="480" w:lineRule="auto"/>
            <w:ind w:left="851" w:hanging="851"/>
            <w:jc w:val="both"/>
          </w:pPr>
        </w:pPrChange>
      </w:pPr>
      <w:r>
        <w:t>41.</w:t>
      </w:r>
      <w:r>
        <w:tab/>
      </w:r>
      <w:r w:rsidR="00904539">
        <w:t xml:space="preserve">In these circumstances, I consider that it is just and equitable to grant the eviction order sought. </w:t>
      </w:r>
    </w:p>
    <w:p w14:paraId="6EB81EDB" w14:textId="77777777" w:rsidR="00904539" w:rsidRDefault="00904539" w:rsidP="00904539">
      <w:pPr>
        <w:pStyle w:val="ListParagraph"/>
      </w:pPr>
    </w:p>
    <w:p w14:paraId="27C94065" w14:textId="7BA80946" w:rsidR="00904539" w:rsidRPr="00904539" w:rsidRDefault="00904539" w:rsidP="00904539">
      <w:pPr>
        <w:spacing w:line="480" w:lineRule="auto"/>
        <w:jc w:val="both"/>
      </w:pPr>
      <w:r>
        <w:rPr>
          <w:b/>
          <w:bCs/>
          <w:u w:val="single"/>
        </w:rPr>
        <w:t>What is a just and equitable date for the eviction?</w:t>
      </w:r>
    </w:p>
    <w:p w14:paraId="31B61E8C" w14:textId="77777777" w:rsidR="00904539" w:rsidRDefault="00904539" w:rsidP="00904539">
      <w:pPr>
        <w:pStyle w:val="ListParagraph"/>
      </w:pPr>
    </w:p>
    <w:p w14:paraId="7B84D396" w14:textId="7DDA9149" w:rsidR="00904539" w:rsidRDefault="00E80A4F" w:rsidP="00E80A4F">
      <w:pPr>
        <w:spacing w:line="480" w:lineRule="auto"/>
        <w:ind w:left="851" w:hanging="851"/>
        <w:jc w:val="both"/>
        <w:pPrChange w:id="102" w:author="Mary Bruce" w:date="2023-11-02T15:56:00Z">
          <w:pPr>
            <w:pStyle w:val="ListParagraph"/>
            <w:numPr>
              <w:numId w:val="1"/>
            </w:numPr>
            <w:spacing w:line="480" w:lineRule="auto"/>
            <w:ind w:left="851" w:hanging="851"/>
            <w:jc w:val="both"/>
          </w:pPr>
        </w:pPrChange>
      </w:pPr>
      <w:r>
        <w:t>42.</w:t>
      </w:r>
      <w:r>
        <w:tab/>
      </w:r>
      <w:r w:rsidR="00981818">
        <w:t xml:space="preserve">As at the date of the hearing of this application, </w:t>
      </w:r>
      <w:r w:rsidR="00F41963">
        <w:t xml:space="preserve">more than a year and half had elapsed since the respondents were </w:t>
      </w:r>
      <w:r w:rsidR="00840EC6">
        <w:t>requested to vacate the property.</w:t>
      </w:r>
      <w:r w:rsidR="00840EC6">
        <w:rPr>
          <w:rStyle w:val="FootnoteReference"/>
        </w:rPr>
        <w:footnoteReference w:id="25"/>
      </w:r>
      <w:r w:rsidR="00904341">
        <w:t xml:space="preserve">  The eviction application was launched</w:t>
      </w:r>
      <w:r w:rsidR="00D472CE">
        <w:t xml:space="preserve"> more than 16 months ago. </w:t>
      </w:r>
    </w:p>
    <w:p w14:paraId="0066D743" w14:textId="77777777" w:rsidR="00D472CE" w:rsidRDefault="00D472CE" w:rsidP="00D472CE">
      <w:pPr>
        <w:pStyle w:val="ListParagraph"/>
        <w:spacing w:line="480" w:lineRule="auto"/>
        <w:ind w:left="851"/>
        <w:jc w:val="both"/>
      </w:pPr>
    </w:p>
    <w:p w14:paraId="3B84A333" w14:textId="5182EAE8" w:rsidR="00D472CE" w:rsidRDefault="00E80A4F" w:rsidP="00E80A4F">
      <w:pPr>
        <w:spacing w:line="480" w:lineRule="auto"/>
        <w:ind w:left="851" w:hanging="851"/>
        <w:jc w:val="both"/>
        <w:pPrChange w:id="103" w:author="Mary Bruce" w:date="2023-11-02T15:56:00Z">
          <w:pPr>
            <w:pStyle w:val="ListParagraph"/>
            <w:numPr>
              <w:numId w:val="1"/>
            </w:numPr>
            <w:spacing w:line="480" w:lineRule="auto"/>
            <w:ind w:left="851" w:hanging="851"/>
            <w:jc w:val="both"/>
          </w:pPr>
        </w:pPrChange>
      </w:pPr>
      <w:r>
        <w:t>43.</w:t>
      </w:r>
      <w:r>
        <w:tab/>
      </w:r>
      <w:r w:rsidR="004A099B">
        <w:t xml:space="preserve">The applicant nonetheless seeks to give the respondents six weeks’ notice from the </w:t>
      </w:r>
      <w:r w:rsidR="003A21BF">
        <w:t xml:space="preserve">date of the order to vacate the property.  I consider this timing to be just and equitable, particularly having regard to the fact that the respondents can afford alternative housing and in view of the length of time it has taken to finalise these proceedings. </w:t>
      </w:r>
    </w:p>
    <w:p w14:paraId="09B51063" w14:textId="77777777" w:rsidR="003A21BF" w:rsidRDefault="003A21BF" w:rsidP="003A21BF">
      <w:pPr>
        <w:pStyle w:val="ListParagraph"/>
      </w:pPr>
    </w:p>
    <w:p w14:paraId="3B14029D" w14:textId="30C3F68E" w:rsidR="003A21BF" w:rsidRDefault="00E80A4F" w:rsidP="00E80A4F">
      <w:pPr>
        <w:spacing w:line="480" w:lineRule="auto"/>
        <w:ind w:left="851" w:hanging="851"/>
        <w:jc w:val="both"/>
        <w:pPrChange w:id="104" w:author="Mary Bruce" w:date="2023-11-02T15:56:00Z">
          <w:pPr>
            <w:pStyle w:val="ListParagraph"/>
            <w:numPr>
              <w:numId w:val="1"/>
            </w:numPr>
            <w:spacing w:line="480" w:lineRule="auto"/>
            <w:ind w:left="851" w:hanging="851"/>
            <w:jc w:val="both"/>
          </w:pPr>
        </w:pPrChange>
      </w:pPr>
      <w:r>
        <w:t>44.</w:t>
      </w:r>
      <w:r>
        <w:tab/>
      </w:r>
      <w:r w:rsidR="00AD61C7">
        <w:t xml:space="preserve">Finally, the applicant </w:t>
      </w:r>
      <w:r w:rsidR="00DD3558">
        <w:t>filed a notice to strike out various portions of the answering affidavit on the ground that they contained hearsay</w:t>
      </w:r>
      <w:r w:rsidR="003A300D">
        <w:t xml:space="preserve"> or other irrelevant matter.  </w:t>
      </w:r>
      <w:r w:rsidR="00DC0E56">
        <w:t>These paragraphs have no bearing on the outcome of this matter</w:t>
      </w:r>
      <w:r w:rsidR="00EF6325">
        <w:t>,</w:t>
      </w:r>
      <w:r w:rsidR="00DC0E56">
        <w:t xml:space="preserve"> and I do not deem it necessary to make a formal order striking them out. </w:t>
      </w:r>
    </w:p>
    <w:p w14:paraId="474A2593" w14:textId="77777777" w:rsidR="00DC0E56" w:rsidRDefault="00DC0E56" w:rsidP="00DC0E56">
      <w:pPr>
        <w:pStyle w:val="ListParagraph"/>
      </w:pPr>
    </w:p>
    <w:p w14:paraId="2941403D" w14:textId="2B9156DB" w:rsidR="00DC0E56" w:rsidRDefault="00E80A4F" w:rsidP="00E80A4F">
      <w:pPr>
        <w:spacing w:line="480" w:lineRule="auto"/>
        <w:ind w:left="851" w:hanging="851"/>
        <w:jc w:val="both"/>
        <w:pPrChange w:id="105" w:author="Mary Bruce" w:date="2023-11-02T15:56:00Z">
          <w:pPr>
            <w:pStyle w:val="ListParagraph"/>
            <w:numPr>
              <w:numId w:val="1"/>
            </w:numPr>
            <w:spacing w:line="480" w:lineRule="auto"/>
            <w:ind w:left="851" w:hanging="851"/>
            <w:jc w:val="both"/>
          </w:pPr>
        </w:pPrChange>
      </w:pPr>
      <w:r>
        <w:t>45.</w:t>
      </w:r>
      <w:r>
        <w:tab/>
      </w:r>
      <w:r w:rsidR="00DC0E56">
        <w:t>On the question of costs, counsel</w:t>
      </w:r>
      <w:r w:rsidR="008D7961">
        <w:t xml:space="preserve"> for both parties were in</w:t>
      </w:r>
      <w:r w:rsidR="00DC0E56">
        <w:t xml:space="preserve"> agree</w:t>
      </w:r>
      <w:r w:rsidR="008D7961">
        <w:t>ment</w:t>
      </w:r>
      <w:r w:rsidR="00DC0E56">
        <w:t xml:space="preserve"> that the </w:t>
      </w:r>
      <w:r w:rsidR="00B1768D">
        <w:t xml:space="preserve">costs occasioned by the previous postponements of this application, on 16 February </w:t>
      </w:r>
      <w:r w:rsidR="008D7961">
        <w:t xml:space="preserve">2023 and 24 May 2023, should be costs in the cause. </w:t>
      </w:r>
    </w:p>
    <w:p w14:paraId="78D3434A" w14:textId="77777777" w:rsidR="005145E2" w:rsidRDefault="005145E2" w:rsidP="005145E2">
      <w:pPr>
        <w:pStyle w:val="ListParagraph"/>
      </w:pPr>
    </w:p>
    <w:p w14:paraId="06AB6877" w14:textId="3C8E493C" w:rsidR="005145E2" w:rsidRPr="00A9665B" w:rsidRDefault="00A9665B" w:rsidP="00A9665B">
      <w:pPr>
        <w:spacing w:line="480" w:lineRule="auto"/>
        <w:jc w:val="both"/>
        <w:rPr>
          <w:b/>
          <w:bCs/>
          <w:u w:val="single"/>
        </w:rPr>
      </w:pPr>
      <w:r>
        <w:rPr>
          <w:b/>
          <w:bCs/>
          <w:u w:val="single"/>
        </w:rPr>
        <w:lastRenderedPageBreak/>
        <w:t>Order</w:t>
      </w:r>
    </w:p>
    <w:p w14:paraId="23D0666B" w14:textId="77777777" w:rsidR="008D7961" w:rsidRDefault="008D7961" w:rsidP="008D7961">
      <w:pPr>
        <w:pStyle w:val="ListParagraph"/>
      </w:pPr>
    </w:p>
    <w:p w14:paraId="1E0F5048" w14:textId="479D7C3C" w:rsidR="00957477" w:rsidRDefault="00A9665B" w:rsidP="00EC01C0">
      <w:pPr>
        <w:spacing w:line="480" w:lineRule="auto"/>
      </w:pPr>
      <w:r>
        <w:t xml:space="preserve">In the premises, I make the following order: </w:t>
      </w:r>
    </w:p>
    <w:p w14:paraId="348C863D" w14:textId="77777777" w:rsidR="00A9665B" w:rsidRDefault="00A9665B" w:rsidP="00AE7361">
      <w:pPr>
        <w:spacing w:line="276" w:lineRule="auto"/>
        <w:jc w:val="both"/>
      </w:pPr>
    </w:p>
    <w:p w14:paraId="30F5CE31" w14:textId="573653D9" w:rsidR="00A9665B" w:rsidRDefault="00E80A4F" w:rsidP="00E80A4F">
      <w:pPr>
        <w:spacing w:line="480" w:lineRule="auto"/>
        <w:ind w:left="1418" w:hanging="1058"/>
        <w:jc w:val="both"/>
        <w:pPrChange w:id="106" w:author="Mary Bruce" w:date="2023-11-02T15:56:00Z">
          <w:pPr>
            <w:pStyle w:val="ListParagraph"/>
            <w:numPr>
              <w:numId w:val="2"/>
            </w:numPr>
            <w:spacing w:line="480" w:lineRule="auto"/>
            <w:ind w:left="1418" w:hanging="1058"/>
            <w:jc w:val="both"/>
          </w:pPr>
        </w:pPrChange>
      </w:pPr>
      <w:r>
        <w:t>1.</w:t>
      </w:r>
      <w:r>
        <w:tab/>
      </w:r>
      <w:r w:rsidR="00D10657">
        <w:t xml:space="preserve">The first to third respondents </w:t>
      </w:r>
      <w:r w:rsidR="00BF2170">
        <w:t xml:space="preserve">are ordered to vacate the immovable property known as Hohenfelde Farm, Hercules Pilaar Road, No 475, Muldersvlei, Western Cape Province </w:t>
      </w:r>
      <w:r w:rsidR="00804BD0">
        <w:t>(</w:t>
      </w:r>
      <w:r w:rsidR="00804BD0" w:rsidRPr="00E80A4F">
        <w:rPr>
          <w:b/>
          <w:bCs/>
          <w:rPrChange w:id="107" w:author="Mary Bruce" w:date="2023-11-02T15:56:00Z">
            <w:rPr>
              <w:b/>
              <w:bCs/>
            </w:rPr>
          </w:rPrChange>
        </w:rPr>
        <w:t>“Hohenfelde Farm”</w:t>
      </w:r>
      <w:r w:rsidR="00804BD0">
        <w:t xml:space="preserve">) </w:t>
      </w:r>
      <w:r w:rsidR="00635035">
        <w:t xml:space="preserve">by </w:t>
      </w:r>
      <w:r w:rsidR="002D5BF1">
        <w:t xml:space="preserve">no later than </w:t>
      </w:r>
      <w:r w:rsidR="002D5BF1" w:rsidRPr="00E80A4F">
        <w:rPr>
          <w:b/>
          <w:bCs/>
          <w:rPrChange w:id="108" w:author="Mary Bruce" w:date="2023-11-02T15:56:00Z">
            <w:rPr>
              <w:b/>
              <w:bCs/>
            </w:rPr>
          </w:rPrChange>
        </w:rPr>
        <w:t>12h00</w:t>
      </w:r>
      <w:r w:rsidR="002D5BF1">
        <w:t xml:space="preserve"> on </w:t>
      </w:r>
      <w:r w:rsidR="00AF3E37" w:rsidRPr="00E80A4F">
        <w:rPr>
          <w:b/>
          <w:bCs/>
          <w:rPrChange w:id="109" w:author="Mary Bruce" w:date="2023-11-02T15:56:00Z">
            <w:rPr>
              <w:b/>
              <w:bCs/>
            </w:rPr>
          </w:rPrChange>
        </w:rPr>
        <w:t>11 December 2023</w:t>
      </w:r>
      <w:r w:rsidR="00AF3E37">
        <w:t xml:space="preserve">; </w:t>
      </w:r>
    </w:p>
    <w:p w14:paraId="6B4B40E5" w14:textId="3E579C44" w:rsidR="00AF3E37" w:rsidRDefault="00AF3E37" w:rsidP="00251BF5">
      <w:pPr>
        <w:pStyle w:val="ListParagraph"/>
        <w:spacing w:line="480" w:lineRule="auto"/>
        <w:ind w:left="1418"/>
        <w:jc w:val="both"/>
      </w:pPr>
    </w:p>
    <w:p w14:paraId="732DF3AE" w14:textId="78267E47" w:rsidR="00AF3E37" w:rsidRDefault="00E80A4F" w:rsidP="00E80A4F">
      <w:pPr>
        <w:spacing w:line="480" w:lineRule="auto"/>
        <w:ind w:left="1418" w:hanging="1058"/>
        <w:jc w:val="both"/>
        <w:pPrChange w:id="110" w:author="Mary Bruce" w:date="2023-11-02T15:56:00Z">
          <w:pPr>
            <w:pStyle w:val="ListParagraph"/>
            <w:numPr>
              <w:numId w:val="2"/>
            </w:numPr>
            <w:spacing w:line="480" w:lineRule="auto"/>
            <w:ind w:left="1418" w:hanging="1058"/>
            <w:jc w:val="both"/>
          </w:pPr>
        </w:pPrChange>
      </w:pPr>
      <w:r>
        <w:t>2.</w:t>
      </w:r>
      <w:r>
        <w:tab/>
      </w:r>
      <w:r w:rsidR="00AF3E37">
        <w:t xml:space="preserve">Should the </w:t>
      </w:r>
      <w:r w:rsidR="00324AC4">
        <w:t xml:space="preserve">first to third respondents fail to vacate Hohenfelde Farm within the period specified in paragraph 1 above, the Sheriff of the Court is directed </w:t>
      </w:r>
      <w:r w:rsidR="00604851">
        <w:t xml:space="preserve">and authorised to </w:t>
      </w:r>
      <w:r w:rsidR="00C55089">
        <w:t xml:space="preserve">evict them </w:t>
      </w:r>
      <w:r w:rsidR="00C826CA">
        <w:t xml:space="preserve">on </w:t>
      </w:r>
      <w:r w:rsidR="00C826CA" w:rsidRPr="00E80A4F">
        <w:rPr>
          <w:b/>
          <w:bCs/>
          <w:rPrChange w:id="111" w:author="Mary Bruce" w:date="2023-11-02T15:56:00Z">
            <w:rPr>
              <w:b/>
              <w:bCs/>
            </w:rPr>
          </w:rPrChange>
        </w:rPr>
        <w:t>12 December 2023</w:t>
      </w:r>
      <w:r w:rsidR="00C826CA">
        <w:t xml:space="preserve">; </w:t>
      </w:r>
    </w:p>
    <w:p w14:paraId="1B164792" w14:textId="77777777" w:rsidR="00C826CA" w:rsidRDefault="00C826CA" w:rsidP="00251BF5">
      <w:pPr>
        <w:pStyle w:val="ListParagraph"/>
        <w:jc w:val="both"/>
      </w:pPr>
    </w:p>
    <w:p w14:paraId="422EDE63" w14:textId="2BBE483A" w:rsidR="00C826CA" w:rsidRDefault="00E80A4F" w:rsidP="00E80A4F">
      <w:pPr>
        <w:spacing w:line="480" w:lineRule="auto"/>
        <w:ind w:left="1418" w:hanging="1058"/>
        <w:jc w:val="both"/>
        <w:pPrChange w:id="112" w:author="Mary Bruce" w:date="2023-11-02T15:56:00Z">
          <w:pPr>
            <w:pStyle w:val="ListParagraph"/>
            <w:numPr>
              <w:numId w:val="2"/>
            </w:numPr>
            <w:spacing w:line="480" w:lineRule="auto"/>
            <w:ind w:left="1418" w:hanging="1058"/>
            <w:jc w:val="both"/>
          </w:pPr>
        </w:pPrChange>
      </w:pPr>
      <w:r>
        <w:t>3.</w:t>
      </w:r>
      <w:r>
        <w:tab/>
      </w:r>
      <w:r w:rsidR="00C826CA">
        <w:t xml:space="preserve">The first to third respondents shall pay the costs of this application, including the costs occasioned by the postponements on </w:t>
      </w:r>
      <w:r w:rsidR="00530DB4">
        <w:t xml:space="preserve">16 February and 24 May 2023, </w:t>
      </w:r>
      <w:r w:rsidR="00251BF5">
        <w:t xml:space="preserve">jointly and severally the one paying the others to be absolved. </w:t>
      </w:r>
    </w:p>
    <w:p w14:paraId="5810C080" w14:textId="358690FB" w:rsidR="005D4249" w:rsidRDefault="005D4249" w:rsidP="005D4249">
      <w:pPr>
        <w:spacing w:line="480" w:lineRule="auto"/>
        <w:jc w:val="both"/>
      </w:pPr>
    </w:p>
    <w:p w14:paraId="0674BC76" w14:textId="77777777" w:rsidR="00DE1A84" w:rsidRDefault="00DE1A84" w:rsidP="005D4249">
      <w:pPr>
        <w:spacing w:line="480" w:lineRule="auto"/>
        <w:jc w:val="both"/>
      </w:pPr>
    </w:p>
    <w:p w14:paraId="54F1E292" w14:textId="77777777" w:rsidR="006D70AE" w:rsidRPr="00166964" w:rsidRDefault="006D70AE" w:rsidP="006D70AE">
      <w:pPr>
        <w:spacing w:line="480" w:lineRule="auto"/>
        <w:ind w:left="284"/>
        <w:jc w:val="both"/>
        <w:rPr>
          <w:lang w:val="en-ZA"/>
        </w:rPr>
      </w:pPr>
    </w:p>
    <w:p w14:paraId="5E8DE835" w14:textId="77777777" w:rsidR="006D70AE" w:rsidRPr="00166964" w:rsidRDefault="006D70AE" w:rsidP="00AE7361">
      <w:pPr>
        <w:spacing w:line="276" w:lineRule="auto"/>
        <w:ind w:left="284"/>
        <w:jc w:val="right"/>
        <w:rPr>
          <w:b/>
          <w:bCs/>
          <w:lang w:val="en-ZA"/>
        </w:rPr>
      </w:pPr>
      <w:r w:rsidRPr="00166964">
        <w:rPr>
          <w:b/>
          <w:bCs/>
          <w:lang w:val="en-ZA"/>
        </w:rPr>
        <w:t>G.A. LESLIE</w:t>
      </w:r>
    </w:p>
    <w:p w14:paraId="05122C0C" w14:textId="77777777" w:rsidR="006D70AE" w:rsidRPr="00166964" w:rsidRDefault="006D70AE" w:rsidP="00AE7361">
      <w:pPr>
        <w:spacing w:line="276" w:lineRule="auto"/>
        <w:ind w:left="284"/>
        <w:jc w:val="right"/>
        <w:rPr>
          <w:lang w:val="en-ZA"/>
        </w:rPr>
      </w:pPr>
      <w:r w:rsidRPr="00166964">
        <w:rPr>
          <w:b/>
          <w:bCs/>
          <w:lang w:val="en-ZA"/>
        </w:rPr>
        <w:t>Acting Judge of the High Court</w:t>
      </w:r>
    </w:p>
    <w:p w14:paraId="6C90EDF2" w14:textId="77777777" w:rsidR="00DE1A84" w:rsidRDefault="00DE1A84" w:rsidP="006D70AE">
      <w:pPr>
        <w:spacing w:line="480" w:lineRule="auto"/>
        <w:ind w:left="284"/>
        <w:rPr>
          <w:b/>
          <w:bCs/>
          <w:lang w:val="en-ZA"/>
        </w:rPr>
      </w:pPr>
    </w:p>
    <w:p w14:paraId="24B05E25" w14:textId="77777777" w:rsidR="00DE1A84" w:rsidRDefault="00DE1A84" w:rsidP="006D70AE">
      <w:pPr>
        <w:spacing w:line="480" w:lineRule="auto"/>
        <w:ind w:left="284"/>
        <w:rPr>
          <w:b/>
          <w:bCs/>
          <w:lang w:val="en-ZA"/>
        </w:rPr>
      </w:pPr>
    </w:p>
    <w:p w14:paraId="7F905905" w14:textId="70C5BFEB" w:rsidR="006D70AE" w:rsidRDefault="006D70AE" w:rsidP="006D70AE">
      <w:pPr>
        <w:spacing w:line="480" w:lineRule="auto"/>
        <w:ind w:left="284"/>
        <w:rPr>
          <w:b/>
          <w:bCs/>
          <w:lang w:val="en-ZA"/>
        </w:rPr>
      </w:pPr>
      <w:r w:rsidRPr="00166964">
        <w:rPr>
          <w:b/>
          <w:bCs/>
          <w:lang w:val="en-ZA"/>
        </w:rPr>
        <w:lastRenderedPageBreak/>
        <w:t>Appearances</w:t>
      </w:r>
      <w:r>
        <w:rPr>
          <w:b/>
          <w:bCs/>
          <w:lang w:val="en-ZA"/>
        </w:rPr>
        <w:t>:</w:t>
      </w:r>
    </w:p>
    <w:p w14:paraId="634037B3" w14:textId="77777777" w:rsidR="006D70AE" w:rsidRDefault="006D70AE" w:rsidP="006D70AE">
      <w:pPr>
        <w:spacing w:line="480" w:lineRule="auto"/>
        <w:ind w:left="284"/>
        <w:rPr>
          <w:b/>
          <w:bCs/>
          <w:lang w:val="en-ZA"/>
        </w:rPr>
      </w:pPr>
    </w:p>
    <w:p w14:paraId="404A4617" w14:textId="558FEA1C" w:rsidR="006D70AE" w:rsidRDefault="00750062" w:rsidP="00AE7361">
      <w:pPr>
        <w:spacing w:after="0" w:line="360" w:lineRule="auto"/>
        <w:ind w:left="284"/>
        <w:rPr>
          <w:lang w:val="en-ZA"/>
        </w:rPr>
      </w:pPr>
      <w:r>
        <w:rPr>
          <w:lang w:val="en-ZA"/>
        </w:rPr>
        <w:t xml:space="preserve">For the applicant: </w:t>
      </w:r>
      <w:r w:rsidR="007D3B16">
        <w:rPr>
          <w:lang w:val="en-ZA"/>
        </w:rPr>
        <w:tab/>
      </w:r>
      <w:r w:rsidR="007D3B16">
        <w:rPr>
          <w:lang w:val="en-ZA"/>
        </w:rPr>
        <w:tab/>
      </w:r>
      <w:r w:rsidR="007D3B16">
        <w:rPr>
          <w:lang w:val="en-ZA"/>
        </w:rPr>
        <w:tab/>
      </w:r>
      <w:r w:rsidR="007D3B16">
        <w:rPr>
          <w:lang w:val="en-ZA"/>
        </w:rPr>
        <w:tab/>
        <w:t>H Beviss-Challinor</w:t>
      </w:r>
    </w:p>
    <w:p w14:paraId="7CB03048" w14:textId="6AF3EC45" w:rsidR="007D3B16" w:rsidRDefault="007D3B16" w:rsidP="00AE7361">
      <w:pPr>
        <w:spacing w:after="0" w:line="360" w:lineRule="auto"/>
        <w:ind w:left="284"/>
        <w:rPr>
          <w:lang w:val="en-ZA"/>
        </w:rPr>
      </w:pPr>
      <w:r>
        <w:rPr>
          <w:lang w:val="en-ZA"/>
        </w:rPr>
        <w:tab/>
      </w:r>
      <w:r>
        <w:rPr>
          <w:lang w:val="en-ZA"/>
        </w:rPr>
        <w:tab/>
      </w:r>
      <w:r>
        <w:rPr>
          <w:lang w:val="en-ZA"/>
        </w:rPr>
        <w:tab/>
      </w:r>
      <w:r>
        <w:rPr>
          <w:lang w:val="en-ZA"/>
        </w:rPr>
        <w:tab/>
      </w:r>
      <w:r>
        <w:rPr>
          <w:lang w:val="en-ZA"/>
        </w:rPr>
        <w:tab/>
      </w:r>
      <w:r>
        <w:rPr>
          <w:lang w:val="en-ZA"/>
        </w:rPr>
        <w:tab/>
        <w:t xml:space="preserve">Instructed by </w:t>
      </w:r>
      <w:r w:rsidR="001C2FE3">
        <w:rPr>
          <w:lang w:val="en-ZA"/>
        </w:rPr>
        <w:t>Bester and Lauwrens Attorneys</w:t>
      </w:r>
    </w:p>
    <w:p w14:paraId="08E3765B" w14:textId="547A9C19" w:rsidR="001C2FE3" w:rsidRDefault="001C2FE3" w:rsidP="00AE7361">
      <w:pPr>
        <w:spacing w:after="0" w:line="360" w:lineRule="auto"/>
        <w:ind w:left="284"/>
        <w:rPr>
          <w:lang w:val="en-ZA"/>
        </w:rPr>
      </w:pPr>
    </w:p>
    <w:p w14:paraId="7EC35D6B" w14:textId="77777777" w:rsidR="00DE1A84" w:rsidRDefault="00DE1A84" w:rsidP="00AE7361">
      <w:pPr>
        <w:spacing w:after="0" w:line="360" w:lineRule="auto"/>
        <w:ind w:left="284"/>
        <w:rPr>
          <w:lang w:val="en-ZA"/>
        </w:rPr>
      </w:pPr>
    </w:p>
    <w:p w14:paraId="5037916A" w14:textId="7FD8071A" w:rsidR="001C2FE3" w:rsidRDefault="001C2FE3" w:rsidP="00AE7361">
      <w:pPr>
        <w:spacing w:after="0" w:line="360" w:lineRule="auto"/>
        <w:ind w:left="284"/>
        <w:rPr>
          <w:lang w:val="en-ZA"/>
        </w:rPr>
      </w:pPr>
      <w:r>
        <w:rPr>
          <w:lang w:val="en-ZA"/>
        </w:rPr>
        <w:t>For the first to third respondents:</w:t>
      </w:r>
      <w:r>
        <w:rPr>
          <w:lang w:val="en-ZA"/>
        </w:rPr>
        <w:tab/>
      </w:r>
      <w:r>
        <w:rPr>
          <w:lang w:val="en-ZA"/>
        </w:rPr>
        <w:tab/>
      </w:r>
      <w:r w:rsidR="00804A0F">
        <w:rPr>
          <w:lang w:val="en-ZA"/>
        </w:rPr>
        <w:t>M A McChesney</w:t>
      </w:r>
    </w:p>
    <w:p w14:paraId="371681B0" w14:textId="2C35AA7E" w:rsidR="00957477" w:rsidRDefault="00804A0F" w:rsidP="00AE7361">
      <w:pPr>
        <w:spacing w:after="0" w:line="360" w:lineRule="auto"/>
        <w:ind w:left="284"/>
      </w:pPr>
      <w:r>
        <w:rPr>
          <w:lang w:val="en-ZA"/>
        </w:rPr>
        <w:tab/>
      </w:r>
      <w:r>
        <w:rPr>
          <w:lang w:val="en-ZA"/>
        </w:rPr>
        <w:tab/>
      </w:r>
      <w:r>
        <w:rPr>
          <w:lang w:val="en-ZA"/>
        </w:rPr>
        <w:tab/>
      </w:r>
      <w:r>
        <w:rPr>
          <w:lang w:val="en-ZA"/>
        </w:rPr>
        <w:tab/>
      </w:r>
      <w:r>
        <w:rPr>
          <w:lang w:val="en-ZA"/>
        </w:rPr>
        <w:tab/>
      </w:r>
      <w:r>
        <w:rPr>
          <w:lang w:val="en-ZA"/>
        </w:rPr>
        <w:tab/>
        <w:t xml:space="preserve">Instructed by </w:t>
      </w:r>
      <w:r w:rsidR="00F30552">
        <w:rPr>
          <w:lang w:val="en-ZA"/>
        </w:rPr>
        <w:t>Greenberg &amp; Associates</w:t>
      </w:r>
    </w:p>
    <w:p w14:paraId="56B625BC" w14:textId="77777777" w:rsidR="00957477" w:rsidRPr="00957477" w:rsidRDefault="00957477" w:rsidP="00EC01C0">
      <w:pPr>
        <w:spacing w:line="480" w:lineRule="auto"/>
      </w:pPr>
    </w:p>
    <w:sectPr w:rsidR="00957477" w:rsidRPr="00957477" w:rsidSect="00A92E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AE5B" w14:textId="77777777" w:rsidR="0036252D" w:rsidRDefault="0036252D" w:rsidP="00EC01C0">
      <w:pPr>
        <w:spacing w:after="0" w:line="240" w:lineRule="auto"/>
      </w:pPr>
      <w:r>
        <w:separator/>
      </w:r>
    </w:p>
  </w:endnote>
  <w:endnote w:type="continuationSeparator" w:id="0">
    <w:p w14:paraId="61C0F222" w14:textId="77777777" w:rsidR="0036252D" w:rsidRDefault="0036252D" w:rsidP="00EC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829425"/>
      <w:docPartObj>
        <w:docPartGallery w:val="Page Numbers (Bottom of Page)"/>
        <w:docPartUnique/>
      </w:docPartObj>
    </w:sdtPr>
    <w:sdtEndPr>
      <w:rPr>
        <w:noProof/>
      </w:rPr>
    </w:sdtEndPr>
    <w:sdtContent>
      <w:p w14:paraId="2112079F" w14:textId="3C35978B" w:rsidR="00EC01C0" w:rsidRDefault="00EC01C0">
        <w:pPr>
          <w:pStyle w:val="Footer"/>
          <w:jc w:val="center"/>
        </w:pPr>
        <w:r>
          <w:fldChar w:fldCharType="begin"/>
        </w:r>
        <w:r>
          <w:instrText xml:space="preserve"> PAGE   \* MERGEFORMAT </w:instrText>
        </w:r>
        <w:r>
          <w:fldChar w:fldCharType="separate"/>
        </w:r>
        <w:r w:rsidR="00E80A4F">
          <w:rPr>
            <w:noProof/>
          </w:rPr>
          <w:t>1</w:t>
        </w:r>
        <w:r>
          <w:rPr>
            <w:noProof/>
          </w:rPr>
          <w:fldChar w:fldCharType="end"/>
        </w:r>
      </w:p>
    </w:sdtContent>
  </w:sdt>
  <w:p w14:paraId="1231F94B" w14:textId="77777777" w:rsidR="00EC01C0" w:rsidRDefault="00EC01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2CA8" w14:textId="77777777" w:rsidR="0036252D" w:rsidRDefault="0036252D" w:rsidP="00EC01C0">
      <w:pPr>
        <w:spacing w:after="0" w:line="240" w:lineRule="auto"/>
      </w:pPr>
      <w:r>
        <w:separator/>
      </w:r>
    </w:p>
  </w:footnote>
  <w:footnote w:type="continuationSeparator" w:id="0">
    <w:p w14:paraId="55D7CC57" w14:textId="77777777" w:rsidR="0036252D" w:rsidRDefault="0036252D" w:rsidP="00EC01C0">
      <w:pPr>
        <w:spacing w:after="0" w:line="240" w:lineRule="auto"/>
      </w:pPr>
      <w:r>
        <w:continuationSeparator/>
      </w:r>
    </w:p>
  </w:footnote>
  <w:footnote w:id="1">
    <w:p w14:paraId="01F4D6D8" w14:textId="19BE0E06" w:rsidR="00EC01C0" w:rsidRDefault="00EC01C0">
      <w:pPr>
        <w:pStyle w:val="FootnoteText"/>
      </w:pPr>
      <w:r>
        <w:rPr>
          <w:rStyle w:val="FootnoteReference"/>
        </w:rPr>
        <w:footnoteRef/>
      </w:r>
      <w:r>
        <w:t xml:space="preserve"> On the basis that there are no other occupiers residing “with or under” the first to third respondents at the premises, the relief was limited to the first to third respondents. </w:t>
      </w:r>
    </w:p>
  </w:footnote>
  <w:footnote w:id="2">
    <w:p w14:paraId="090AF43F" w14:textId="7CB5E44A" w:rsidR="009C3CF4" w:rsidRDefault="009C3CF4">
      <w:pPr>
        <w:pStyle w:val="FootnoteText"/>
      </w:pPr>
      <w:r>
        <w:rPr>
          <w:rStyle w:val="FootnoteReference"/>
        </w:rPr>
        <w:footnoteRef/>
      </w:r>
      <w:r>
        <w:t xml:space="preserve"> Since July 2022, rental is paid to Mr Louw’s curator bonis. </w:t>
      </w:r>
    </w:p>
  </w:footnote>
  <w:footnote w:id="3">
    <w:p w14:paraId="7314B51E" w14:textId="5AC27EA1" w:rsidR="00B91FE5" w:rsidRDefault="00B91FE5">
      <w:pPr>
        <w:pStyle w:val="FootnoteText"/>
      </w:pPr>
      <w:r>
        <w:rPr>
          <w:rStyle w:val="FootnoteReference"/>
        </w:rPr>
        <w:footnoteRef/>
      </w:r>
      <w:r>
        <w:t xml:space="preserve"> Who holds 24% of the shares in the applicant. </w:t>
      </w:r>
    </w:p>
  </w:footnote>
  <w:footnote w:id="4">
    <w:p w14:paraId="3C9DBD49" w14:textId="441AE6EC" w:rsidR="00B91FE5" w:rsidRDefault="00B91FE5">
      <w:pPr>
        <w:pStyle w:val="FootnoteText"/>
      </w:pPr>
      <w:r>
        <w:rPr>
          <w:rStyle w:val="FootnoteReference"/>
        </w:rPr>
        <w:footnoteRef/>
      </w:r>
      <w:r>
        <w:t xml:space="preserve"> Who holds 51% of the shares in the applicant. </w:t>
      </w:r>
    </w:p>
  </w:footnote>
  <w:footnote w:id="5">
    <w:p w14:paraId="0A3CDC6C" w14:textId="797B93AB" w:rsidR="002D11E9" w:rsidRPr="002D11E9" w:rsidRDefault="002D11E9">
      <w:pPr>
        <w:pStyle w:val="FootnoteText"/>
      </w:pPr>
      <w:r>
        <w:rPr>
          <w:rStyle w:val="FootnoteReference"/>
        </w:rPr>
        <w:footnoteRef/>
      </w:r>
      <w:r>
        <w:t xml:space="preserve"> See </w:t>
      </w:r>
      <w:r>
        <w:rPr>
          <w:i/>
          <w:iCs/>
        </w:rPr>
        <w:t xml:space="preserve">Unlawful Occupiers, School Site v City of Johannesburg </w:t>
      </w:r>
      <w:r w:rsidR="001A429A">
        <w:t>2005 (4) SA 199 (SCA) paras 14-16 and the authorities cited there.</w:t>
      </w:r>
    </w:p>
  </w:footnote>
  <w:footnote w:id="6">
    <w:p w14:paraId="71E0FEDF" w14:textId="2D286B3A" w:rsidR="00694DA0" w:rsidRPr="00DA79C8" w:rsidRDefault="00694DA0" w:rsidP="001B6F2E">
      <w:pPr>
        <w:pStyle w:val="FootnoteText"/>
        <w:jc w:val="both"/>
      </w:pPr>
      <w:r>
        <w:rPr>
          <w:rStyle w:val="FootnoteReference"/>
        </w:rPr>
        <w:footnoteRef/>
      </w:r>
      <w:r>
        <w:t xml:space="preserve"> </w:t>
      </w:r>
      <w:r>
        <w:rPr>
          <w:i/>
          <w:iCs/>
        </w:rPr>
        <w:t xml:space="preserve">De Villiers </w:t>
      </w:r>
      <w:r w:rsidR="00DA79C8">
        <w:rPr>
          <w:i/>
          <w:iCs/>
        </w:rPr>
        <w:t xml:space="preserve">v Espach </w:t>
      </w:r>
      <w:r w:rsidR="00DA79C8">
        <w:t>1958 (3) SA 91 (</w:t>
      </w:r>
      <w:r w:rsidR="004E04A6">
        <w:t xml:space="preserve">T) 95G-96B. </w:t>
      </w:r>
    </w:p>
  </w:footnote>
  <w:footnote w:id="7">
    <w:p w14:paraId="02773F4C" w14:textId="5A7733B4" w:rsidR="00C82759" w:rsidRPr="001B6F2E" w:rsidRDefault="00C82759" w:rsidP="001B6F2E">
      <w:pPr>
        <w:pStyle w:val="FootnoteText"/>
        <w:jc w:val="both"/>
      </w:pPr>
      <w:r>
        <w:rPr>
          <w:rStyle w:val="FootnoteReference"/>
        </w:rPr>
        <w:footnoteRef/>
      </w:r>
      <w:r>
        <w:t xml:space="preserve"> </w:t>
      </w:r>
      <w:r w:rsidR="008C2699">
        <w:t xml:space="preserve">Even after a </w:t>
      </w:r>
      <w:r w:rsidR="008C2699" w:rsidRPr="0036569F">
        <w:rPr>
          <w:i/>
          <w:iCs/>
        </w:rPr>
        <w:t>curator bonis</w:t>
      </w:r>
      <w:r w:rsidR="008C2699">
        <w:t xml:space="preserve"> is appointed to a person’s estate</w:t>
      </w:r>
      <w:r w:rsidR="008533B4">
        <w:t xml:space="preserve">, this is not necessarily a bar to </w:t>
      </w:r>
      <w:r w:rsidR="00621614">
        <w:t xml:space="preserve">their making decisions that have legal consequences.  </w:t>
      </w:r>
      <w:r w:rsidR="0095619F">
        <w:t xml:space="preserve">As held in </w:t>
      </w:r>
      <w:r w:rsidR="0095619F">
        <w:rPr>
          <w:i/>
          <w:iCs/>
        </w:rPr>
        <w:t xml:space="preserve">Pienaar v Pienaar’s Curator </w:t>
      </w:r>
      <w:r w:rsidR="0095619F">
        <w:t xml:space="preserve">1930 OPD 171 at </w:t>
      </w:r>
      <w:r w:rsidR="007E047B">
        <w:t xml:space="preserve">175: </w:t>
      </w:r>
      <w:r w:rsidR="007E047B">
        <w:rPr>
          <w:i/>
          <w:iCs/>
        </w:rPr>
        <w:t xml:space="preserve">“Thus even a person who has been declared insane and </w:t>
      </w:r>
      <w:r w:rsidR="00FB766F">
        <w:rPr>
          <w:i/>
          <w:iCs/>
        </w:rPr>
        <w:t xml:space="preserve">to whose estate a curator has been appointed can dispose of his property and enter into contracts whenever he is mentally capable of doing so … </w:t>
      </w:r>
      <w:r w:rsidR="00BF52F2">
        <w:rPr>
          <w:i/>
          <w:iCs/>
        </w:rPr>
        <w:t xml:space="preserve">The same principle applies a fortiori to the person who has not </w:t>
      </w:r>
      <w:r w:rsidR="009941E1">
        <w:rPr>
          <w:i/>
          <w:iCs/>
        </w:rPr>
        <w:t xml:space="preserve">been declared insane, but has merely been declared incapable of managing his affairs and to whom a curator </w:t>
      </w:r>
      <w:r w:rsidR="004031C3">
        <w:rPr>
          <w:i/>
          <w:iCs/>
        </w:rPr>
        <w:t>has on that account been appointed.  Here again the curator is merely appointed to assist the person in mak</w:t>
      </w:r>
      <w:r w:rsidR="00A146A0">
        <w:rPr>
          <w:i/>
          <w:iCs/>
        </w:rPr>
        <w:t xml:space="preserve">ing legal disposition in so far as such assistance is necessary, according to the nature of the incapacity in question, but the person </w:t>
      </w:r>
      <w:r w:rsidR="00C87CE3">
        <w:rPr>
          <w:i/>
          <w:iCs/>
        </w:rPr>
        <w:t xml:space="preserve">still retains his contractual and legal capacities and the administration of his property to the full extent to </w:t>
      </w:r>
      <w:r w:rsidR="001B6F2E">
        <w:rPr>
          <w:i/>
          <w:iCs/>
        </w:rPr>
        <w:t>which he is from time to time mentally or physically able to exercise them.”</w:t>
      </w:r>
    </w:p>
  </w:footnote>
  <w:footnote w:id="8">
    <w:p w14:paraId="1B998A08" w14:textId="3A7D5704" w:rsidR="00F63460" w:rsidRDefault="00F63460">
      <w:pPr>
        <w:pStyle w:val="FootnoteText"/>
      </w:pPr>
      <w:r>
        <w:rPr>
          <w:rStyle w:val="FootnoteReference"/>
        </w:rPr>
        <w:footnoteRef/>
      </w:r>
      <w:r>
        <w:t xml:space="preserve"> </w:t>
      </w:r>
      <w:r w:rsidR="00AA53D0">
        <w:t xml:space="preserve">Which transaction took place in February 2021. </w:t>
      </w:r>
    </w:p>
  </w:footnote>
  <w:footnote w:id="9">
    <w:p w14:paraId="0C37E82E" w14:textId="6B4C4191" w:rsidR="00624439" w:rsidRPr="00E4510D" w:rsidRDefault="00624439" w:rsidP="004D5D96">
      <w:pPr>
        <w:pStyle w:val="FootnoteText"/>
        <w:jc w:val="both"/>
      </w:pPr>
      <w:r>
        <w:rPr>
          <w:rStyle w:val="FootnoteReference"/>
        </w:rPr>
        <w:footnoteRef/>
      </w:r>
      <w:r>
        <w:t xml:space="preserve"> The Master is obliged, in terms of section </w:t>
      </w:r>
      <w:r w:rsidR="007A5A0A">
        <w:t>14(1) of the Administration of Estates Act 6</w:t>
      </w:r>
      <w:r w:rsidR="007D5984">
        <w:t xml:space="preserve">6 of 1965, to issue letters of executorship </w:t>
      </w:r>
      <w:r w:rsidR="000751A0">
        <w:t>to a person nominated as executor in a will, upon the written application of that person.</w:t>
      </w:r>
      <w:r w:rsidR="0036569F">
        <w:t xml:space="preserve"> The consequences of remissness of a nominated executor in obtaining letter of executorship were addressed in </w:t>
      </w:r>
      <w:r w:rsidR="0008716D">
        <w:rPr>
          <w:i/>
          <w:iCs/>
        </w:rPr>
        <w:t xml:space="preserve">Wright v Westelike </w:t>
      </w:r>
      <w:r w:rsidR="00E4510D">
        <w:rPr>
          <w:i/>
          <w:iCs/>
        </w:rPr>
        <w:t xml:space="preserve">Provinsie Kelders Bpk </w:t>
      </w:r>
      <w:r w:rsidR="00E4510D">
        <w:t>2001 (4) SA 1165 (C)</w:t>
      </w:r>
      <w:r w:rsidR="00F21B7C">
        <w:t xml:space="preserve"> para 46</w:t>
      </w:r>
      <w:r w:rsidR="006B0EC2">
        <w:t xml:space="preserve">. </w:t>
      </w:r>
      <w:r w:rsidR="00F21B7C">
        <w:t xml:space="preserve"> </w:t>
      </w:r>
    </w:p>
  </w:footnote>
  <w:footnote w:id="10">
    <w:p w14:paraId="61970DC9" w14:textId="65280DEA" w:rsidR="00B40528" w:rsidRPr="003F4959" w:rsidRDefault="00B40528">
      <w:pPr>
        <w:pStyle w:val="FootnoteText"/>
      </w:pPr>
      <w:r>
        <w:rPr>
          <w:rStyle w:val="FootnoteReference"/>
        </w:rPr>
        <w:footnoteRef/>
      </w:r>
      <w:r>
        <w:t xml:space="preserve"> </w:t>
      </w:r>
      <w:r w:rsidR="00426C1E">
        <w:t xml:space="preserve">Meyerowitz on Administration of Estates and Estate Duty (2007 Edition) </w:t>
      </w:r>
      <w:r w:rsidR="008F2A4E">
        <w:t xml:space="preserve">8-1, with reference to </w:t>
      </w:r>
      <w:r w:rsidR="008F2A4E">
        <w:rPr>
          <w:i/>
          <w:iCs/>
        </w:rPr>
        <w:t xml:space="preserve">Kempman v Law Union and Rock Insurance Co Ltd </w:t>
      </w:r>
      <w:r w:rsidR="008F2A4E">
        <w:t>1957 (1) SA 506 (</w:t>
      </w:r>
      <w:r w:rsidR="003F4959">
        <w:t xml:space="preserve">W) and </w:t>
      </w:r>
      <w:r w:rsidR="003F4959">
        <w:rPr>
          <w:i/>
          <w:iCs/>
        </w:rPr>
        <w:t xml:space="preserve">Brand v Volkskas </w:t>
      </w:r>
      <w:r w:rsidR="003F4959">
        <w:t xml:space="preserve">1959 (1) SA 494 (T).  </w:t>
      </w:r>
    </w:p>
  </w:footnote>
  <w:footnote w:id="11">
    <w:p w14:paraId="2F9763EE" w14:textId="0538FB6C" w:rsidR="00267BDB" w:rsidRDefault="00267BDB">
      <w:pPr>
        <w:pStyle w:val="FootnoteText"/>
      </w:pPr>
      <w:r>
        <w:rPr>
          <w:rStyle w:val="FootnoteReference"/>
        </w:rPr>
        <w:footnoteRef/>
      </w:r>
      <w:r>
        <w:t xml:space="preserve"> Although the respondents indicated that they intended to take steps to set aside this resolution, they have not done so. </w:t>
      </w:r>
    </w:p>
  </w:footnote>
  <w:footnote w:id="12">
    <w:p w14:paraId="4C353D36" w14:textId="38A8757F" w:rsidR="005000B7" w:rsidRDefault="005000B7">
      <w:pPr>
        <w:pStyle w:val="FootnoteText"/>
      </w:pPr>
      <w:r>
        <w:rPr>
          <w:rStyle w:val="FootnoteReference"/>
        </w:rPr>
        <w:footnoteRef/>
      </w:r>
      <w:r>
        <w:t xml:space="preserve"> Excluding a person who is an occupier in terms of ESTA and excluding a person whose informal right to </w:t>
      </w:r>
      <w:r w:rsidR="00E93F8A">
        <w:t xml:space="preserve">land, but for the provisions of PIE, would be protected by the Protection of Informal Land Rights Act 31 of 1996. </w:t>
      </w:r>
    </w:p>
  </w:footnote>
  <w:footnote w:id="13">
    <w:p w14:paraId="225F280F" w14:textId="27962130" w:rsidR="008B173A" w:rsidRDefault="008B173A">
      <w:pPr>
        <w:pStyle w:val="FootnoteText"/>
      </w:pPr>
      <w:r>
        <w:rPr>
          <w:rStyle w:val="FootnoteReference"/>
        </w:rPr>
        <w:footnoteRef/>
      </w:r>
      <w:r>
        <w:t xml:space="preserve"> As an aside, as non-parties to the lease agreement </w:t>
      </w:r>
      <w:r w:rsidR="002645D9">
        <w:t xml:space="preserve">they would have considerable difficulty in making out a case for rectification, which is perhaps why they have not done so. </w:t>
      </w:r>
    </w:p>
  </w:footnote>
  <w:footnote w:id="14">
    <w:p w14:paraId="4785E096" w14:textId="2D0896F7" w:rsidR="0047732E" w:rsidRDefault="0047732E">
      <w:pPr>
        <w:pStyle w:val="FootnoteText"/>
      </w:pPr>
      <w:r>
        <w:rPr>
          <w:rStyle w:val="FootnoteReference"/>
        </w:rPr>
        <w:footnoteRef/>
      </w:r>
      <w:r>
        <w:t xml:space="preserve"> For one thing, A</w:t>
      </w:r>
      <w:r w:rsidR="00B60D8A">
        <w:t>nja signed Kyle’s contract on behalf of the employer and Kyle signed Anja’s contract on behalf of the employer</w:t>
      </w:r>
      <w:r w:rsidR="00CA033C">
        <w:t xml:space="preserve">. </w:t>
      </w:r>
    </w:p>
  </w:footnote>
  <w:footnote w:id="15">
    <w:p w14:paraId="3301D720" w14:textId="689FB1B2" w:rsidR="009532A2" w:rsidRDefault="009532A2" w:rsidP="007B7B98">
      <w:pPr>
        <w:pStyle w:val="FootnoteText"/>
        <w:jc w:val="both"/>
      </w:pPr>
      <w:r>
        <w:rPr>
          <w:rStyle w:val="FootnoteReference"/>
        </w:rPr>
        <w:footnoteRef/>
      </w:r>
      <w:r>
        <w:t xml:space="preserve"> </w:t>
      </w:r>
      <w:r w:rsidR="00EB1114">
        <w:t xml:space="preserve">Although the respondents have set out no detail as </w:t>
      </w:r>
      <w:r w:rsidR="00EF6325">
        <w:t xml:space="preserve">to </w:t>
      </w:r>
      <w:r w:rsidR="00EB1114">
        <w:t xml:space="preserve">the terms of this alleged oral lease, </w:t>
      </w:r>
      <w:r w:rsidR="00A8603A">
        <w:t xml:space="preserve">implicitly they suggest that it is of an indefinite duration.  This could well render it </w:t>
      </w:r>
      <w:r w:rsidR="00640E0B">
        <w:t>unlawful</w:t>
      </w:r>
      <w:r w:rsidR="00A8603A">
        <w:t xml:space="preserve"> </w:t>
      </w:r>
      <w:r w:rsidR="00261B9B">
        <w:t xml:space="preserve">in terms of </w:t>
      </w:r>
      <w:r w:rsidR="00640E0B">
        <w:t xml:space="preserve">section </w:t>
      </w:r>
      <w:r w:rsidR="007B7B98">
        <w:t xml:space="preserve">3 of the Subdivision of Agricultural Land Act 70 of 1970. </w:t>
      </w:r>
      <w:r w:rsidR="00261B9B">
        <w:t xml:space="preserve"> </w:t>
      </w:r>
    </w:p>
  </w:footnote>
  <w:footnote w:id="16">
    <w:p w14:paraId="5E3F9904" w14:textId="4325234A" w:rsidR="0010048C" w:rsidRPr="004F1B76" w:rsidRDefault="0010048C">
      <w:pPr>
        <w:pStyle w:val="FootnoteText"/>
      </w:pPr>
      <w:r>
        <w:rPr>
          <w:rStyle w:val="FootnoteReference"/>
        </w:rPr>
        <w:footnoteRef/>
      </w:r>
      <w:r>
        <w:t xml:space="preserve"> </w:t>
      </w:r>
      <w:r w:rsidR="00974BAE">
        <w:rPr>
          <w:i/>
          <w:iCs/>
        </w:rPr>
        <w:t>Frannero Propert</w:t>
      </w:r>
      <w:r w:rsidR="004F1B76">
        <w:rPr>
          <w:i/>
          <w:iCs/>
        </w:rPr>
        <w:t xml:space="preserve">y Investments v Selapa </w:t>
      </w:r>
      <w:r w:rsidR="004F1B76">
        <w:t xml:space="preserve">2022 (5) SA 361 (SCA) paras </w:t>
      </w:r>
      <w:r w:rsidR="00DD2728">
        <w:t>24</w:t>
      </w:r>
      <w:r w:rsidR="00BC794E">
        <w:t xml:space="preserve">, 28-32. </w:t>
      </w:r>
    </w:p>
  </w:footnote>
  <w:footnote w:id="17">
    <w:p w14:paraId="0C763E9B" w14:textId="3D0DF5B2" w:rsidR="00285DED" w:rsidRDefault="00285DED">
      <w:pPr>
        <w:pStyle w:val="FootnoteText"/>
      </w:pPr>
      <w:r>
        <w:rPr>
          <w:rStyle w:val="FootnoteReference"/>
        </w:rPr>
        <w:footnoteRef/>
      </w:r>
      <w:r>
        <w:t xml:space="preserve"> Section 1(1)(x) of ESTA</w:t>
      </w:r>
      <w:r w:rsidR="00734141">
        <w:t xml:space="preserve">, item (c), read with the regulations. </w:t>
      </w:r>
    </w:p>
  </w:footnote>
  <w:footnote w:id="18">
    <w:p w14:paraId="771590F9" w14:textId="7ABBDAA0" w:rsidR="00DA2058" w:rsidRDefault="00DA2058">
      <w:pPr>
        <w:pStyle w:val="FootnoteText"/>
      </w:pPr>
      <w:r>
        <w:rPr>
          <w:rStyle w:val="FootnoteReference"/>
        </w:rPr>
        <w:footnoteRef/>
      </w:r>
      <w:r>
        <w:t xml:space="preserve"> Supra at para 29. </w:t>
      </w:r>
    </w:p>
  </w:footnote>
  <w:footnote w:id="19">
    <w:p w14:paraId="29CED0B4" w14:textId="31F81771" w:rsidR="00376556" w:rsidRDefault="00376556">
      <w:pPr>
        <w:pStyle w:val="FootnoteText"/>
      </w:pPr>
      <w:r>
        <w:rPr>
          <w:rStyle w:val="FootnoteReference"/>
        </w:rPr>
        <w:footnoteRef/>
      </w:r>
      <w:r>
        <w:t xml:space="preserve"> 2023 (1) SA 321 (CC). </w:t>
      </w:r>
    </w:p>
  </w:footnote>
  <w:footnote w:id="20">
    <w:p w14:paraId="0FA0D64C" w14:textId="2B909C2C" w:rsidR="00C97FF8" w:rsidRDefault="00C97FF8">
      <w:pPr>
        <w:pStyle w:val="FootnoteText"/>
      </w:pPr>
      <w:r>
        <w:rPr>
          <w:rStyle w:val="FootnoteReference"/>
        </w:rPr>
        <w:footnoteRef/>
      </w:r>
      <w:r>
        <w:t xml:space="preserve"> Para 37. </w:t>
      </w:r>
    </w:p>
  </w:footnote>
  <w:footnote w:id="21">
    <w:p w14:paraId="175D21D0" w14:textId="0C05E180" w:rsidR="005A7379" w:rsidRDefault="005A7379">
      <w:pPr>
        <w:pStyle w:val="FootnoteText"/>
      </w:pPr>
      <w:r>
        <w:rPr>
          <w:rStyle w:val="FootnoteReference"/>
        </w:rPr>
        <w:footnoteRef/>
      </w:r>
      <w:r>
        <w:t xml:space="preserve"> 2012 (6) SA </w:t>
      </w:r>
      <w:r w:rsidR="001C3044">
        <w:t>294 (SCA) para 15</w:t>
      </w:r>
      <w:r w:rsidR="008D4679">
        <w:t xml:space="preserve">, with reference to </w:t>
      </w:r>
      <w:r w:rsidR="004C4B0F">
        <w:rPr>
          <w:i/>
          <w:iCs/>
        </w:rPr>
        <w:t>Residents of Joe Slo</w:t>
      </w:r>
      <w:r w:rsidR="007D5E09">
        <w:rPr>
          <w:i/>
          <w:iCs/>
        </w:rPr>
        <w:t xml:space="preserve">vo Community, Western Cape v Thubelisha Homes </w:t>
      </w:r>
      <w:r w:rsidR="007D5E09">
        <w:t xml:space="preserve">2011 (7) BCLR 723 (CC). </w:t>
      </w:r>
      <w:r w:rsidR="001C3044">
        <w:t xml:space="preserve"> </w:t>
      </w:r>
    </w:p>
  </w:footnote>
  <w:footnote w:id="22">
    <w:p w14:paraId="3341B7B7" w14:textId="0AA9F570" w:rsidR="003F0C30" w:rsidRDefault="003F0C30">
      <w:pPr>
        <w:pStyle w:val="FootnoteText"/>
      </w:pPr>
      <w:r>
        <w:rPr>
          <w:rStyle w:val="FootnoteReference"/>
        </w:rPr>
        <w:footnoteRef/>
      </w:r>
      <w:r>
        <w:t xml:space="preserve"> Para </w:t>
      </w:r>
      <w:r w:rsidR="00E11051">
        <w:t>36.</w:t>
      </w:r>
    </w:p>
  </w:footnote>
  <w:footnote w:id="23">
    <w:p w14:paraId="62D40C41" w14:textId="0966A433" w:rsidR="00F5124C" w:rsidRDefault="00F5124C">
      <w:pPr>
        <w:pStyle w:val="FootnoteText"/>
      </w:pPr>
      <w:r>
        <w:rPr>
          <w:rStyle w:val="FootnoteReference"/>
        </w:rPr>
        <w:footnoteRef/>
      </w:r>
      <w:r>
        <w:t xml:space="preserve"> The clothing business run by Anja and </w:t>
      </w:r>
      <w:r w:rsidR="007F4028">
        <w:t xml:space="preserve">Shezi has in any event since relocated from the property and is no longer being operated from the farm.  </w:t>
      </w:r>
    </w:p>
  </w:footnote>
  <w:footnote w:id="24">
    <w:p w14:paraId="64D9612A" w14:textId="17B8E0B0" w:rsidR="00690B9B" w:rsidRDefault="00690B9B">
      <w:pPr>
        <w:pStyle w:val="FootnoteText"/>
      </w:pPr>
      <w:r>
        <w:rPr>
          <w:rStyle w:val="FootnoteReference"/>
        </w:rPr>
        <w:footnoteRef/>
      </w:r>
      <w:r>
        <w:t xml:space="preserve"> Supra at para 19. </w:t>
      </w:r>
    </w:p>
  </w:footnote>
  <w:footnote w:id="25">
    <w:p w14:paraId="12D42A00" w14:textId="4707A65C" w:rsidR="00840EC6" w:rsidRDefault="00840EC6">
      <w:pPr>
        <w:pStyle w:val="FootnoteText"/>
      </w:pPr>
      <w:r>
        <w:rPr>
          <w:rStyle w:val="FootnoteReference"/>
        </w:rPr>
        <w:footnoteRef/>
      </w:r>
      <w:r>
        <w:t xml:space="preserve"> </w:t>
      </w:r>
      <w:r w:rsidR="00C03DCF">
        <w:t>In the applicant’s letter dated 26 January 2022, the respondents were called on to vacate by 28 February 202</w:t>
      </w:r>
      <w:r w:rsidR="00904341">
        <w:t xml:space="preserve">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3B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BD096B"/>
    <w:multiLevelType w:val="hybridMultilevel"/>
    <w:tmpl w:val="58344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34"/>
    <w:rsid w:val="000007C6"/>
    <w:rsid w:val="00004DE8"/>
    <w:rsid w:val="00067145"/>
    <w:rsid w:val="0006730C"/>
    <w:rsid w:val="000751A0"/>
    <w:rsid w:val="00077362"/>
    <w:rsid w:val="00084039"/>
    <w:rsid w:val="000841A8"/>
    <w:rsid w:val="00084C71"/>
    <w:rsid w:val="0008716D"/>
    <w:rsid w:val="00096ADB"/>
    <w:rsid w:val="00096BDB"/>
    <w:rsid w:val="000B781C"/>
    <w:rsid w:val="000C3521"/>
    <w:rsid w:val="000C623D"/>
    <w:rsid w:val="000D4FB7"/>
    <w:rsid w:val="000F35C9"/>
    <w:rsid w:val="0010048C"/>
    <w:rsid w:val="0010358C"/>
    <w:rsid w:val="001347F1"/>
    <w:rsid w:val="00140EF5"/>
    <w:rsid w:val="00151B7B"/>
    <w:rsid w:val="00175594"/>
    <w:rsid w:val="0018082B"/>
    <w:rsid w:val="00183046"/>
    <w:rsid w:val="001A0338"/>
    <w:rsid w:val="001A2B74"/>
    <w:rsid w:val="001A429A"/>
    <w:rsid w:val="001A4968"/>
    <w:rsid w:val="001B31E4"/>
    <w:rsid w:val="001B6F2E"/>
    <w:rsid w:val="001C1D0E"/>
    <w:rsid w:val="001C2FE3"/>
    <w:rsid w:val="001C3044"/>
    <w:rsid w:val="001C489D"/>
    <w:rsid w:val="001E0478"/>
    <w:rsid w:val="001F28AD"/>
    <w:rsid w:val="00207BCB"/>
    <w:rsid w:val="00210054"/>
    <w:rsid w:val="00213B10"/>
    <w:rsid w:val="00215649"/>
    <w:rsid w:val="00223E1C"/>
    <w:rsid w:val="00237BE0"/>
    <w:rsid w:val="002471B9"/>
    <w:rsid w:val="00251BF5"/>
    <w:rsid w:val="00261B9B"/>
    <w:rsid w:val="002645D9"/>
    <w:rsid w:val="002657E4"/>
    <w:rsid w:val="00267BDB"/>
    <w:rsid w:val="00267F5B"/>
    <w:rsid w:val="00277139"/>
    <w:rsid w:val="0028239E"/>
    <w:rsid w:val="00285DED"/>
    <w:rsid w:val="00292BAC"/>
    <w:rsid w:val="002A7778"/>
    <w:rsid w:val="002B4A5E"/>
    <w:rsid w:val="002D11E9"/>
    <w:rsid w:val="002D5BF1"/>
    <w:rsid w:val="002F190B"/>
    <w:rsid w:val="002F4AE3"/>
    <w:rsid w:val="002F4CBA"/>
    <w:rsid w:val="00304B6A"/>
    <w:rsid w:val="00311197"/>
    <w:rsid w:val="0031723D"/>
    <w:rsid w:val="00324AC4"/>
    <w:rsid w:val="003262E3"/>
    <w:rsid w:val="003275AD"/>
    <w:rsid w:val="003328DB"/>
    <w:rsid w:val="003352EE"/>
    <w:rsid w:val="0033575C"/>
    <w:rsid w:val="003368BD"/>
    <w:rsid w:val="0036252D"/>
    <w:rsid w:val="0036569F"/>
    <w:rsid w:val="00376556"/>
    <w:rsid w:val="00382017"/>
    <w:rsid w:val="00382CD2"/>
    <w:rsid w:val="003900D8"/>
    <w:rsid w:val="003A21BF"/>
    <w:rsid w:val="003A300D"/>
    <w:rsid w:val="003C5EAA"/>
    <w:rsid w:val="003E58A7"/>
    <w:rsid w:val="003F0C30"/>
    <w:rsid w:val="003F24F1"/>
    <w:rsid w:val="003F4959"/>
    <w:rsid w:val="00400E55"/>
    <w:rsid w:val="00401A22"/>
    <w:rsid w:val="004031C3"/>
    <w:rsid w:val="00426C1E"/>
    <w:rsid w:val="004359D4"/>
    <w:rsid w:val="00463D5D"/>
    <w:rsid w:val="004677EF"/>
    <w:rsid w:val="00470287"/>
    <w:rsid w:val="004716EB"/>
    <w:rsid w:val="0047732E"/>
    <w:rsid w:val="0048137E"/>
    <w:rsid w:val="004A099B"/>
    <w:rsid w:val="004A5223"/>
    <w:rsid w:val="004B66A3"/>
    <w:rsid w:val="004C11C0"/>
    <w:rsid w:val="004C2FC0"/>
    <w:rsid w:val="004C4B0F"/>
    <w:rsid w:val="004D02E7"/>
    <w:rsid w:val="004D5D96"/>
    <w:rsid w:val="004E04A6"/>
    <w:rsid w:val="004E6A26"/>
    <w:rsid w:val="004F1B76"/>
    <w:rsid w:val="005000B7"/>
    <w:rsid w:val="00500926"/>
    <w:rsid w:val="005135B2"/>
    <w:rsid w:val="005145E2"/>
    <w:rsid w:val="0053091D"/>
    <w:rsid w:val="00530DB4"/>
    <w:rsid w:val="005320F7"/>
    <w:rsid w:val="005426F8"/>
    <w:rsid w:val="005542FD"/>
    <w:rsid w:val="00575168"/>
    <w:rsid w:val="00577E63"/>
    <w:rsid w:val="005849F3"/>
    <w:rsid w:val="00590537"/>
    <w:rsid w:val="005976F6"/>
    <w:rsid w:val="005A7379"/>
    <w:rsid w:val="005D4249"/>
    <w:rsid w:val="005D7CED"/>
    <w:rsid w:val="005F5D39"/>
    <w:rsid w:val="005F78C1"/>
    <w:rsid w:val="00604851"/>
    <w:rsid w:val="006133A1"/>
    <w:rsid w:val="00621614"/>
    <w:rsid w:val="00624439"/>
    <w:rsid w:val="00635035"/>
    <w:rsid w:val="00640E0B"/>
    <w:rsid w:val="00643923"/>
    <w:rsid w:val="00660B64"/>
    <w:rsid w:val="0066243C"/>
    <w:rsid w:val="00665760"/>
    <w:rsid w:val="0066695B"/>
    <w:rsid w:val="006729E4"/>
    <w:rsid w:val="006835BB"/>
    <w:rsid w:val="006861AE"/>
    <w:rsid w:val="006900EB"/>
    <w:rsid w:val="00690B9B"/>
    <w:rsid w:val="00694DA0"/>
    <w:rsid w:val="0069507E"/>
    <w:rsid w:val="006B0EC2"/>
    <w:rsid w:val="006B5E8E"/>
    <w:rsid w:val="006C22D1"/>
    <w:rsid w:val="006D2A65"/>
    <w:rsid w:val="006D2D0A"/>
    <w:rsid w:val="006D4F33"/>
    <w:rsid w:val="006D70AE"/>
    <w:rsid w:val="007123DB"/>
    <w:rsid w:val="00715D41"/>
    <w:rsid w:val="0071772E"/>
    <w:rsid w:val="00722334"/>
    <w:rsid w:val="00725CCA"/>
    <w:rsid w:val="00734141"/>
    <w:rsid w:val="00736609"/>
    <w:rsid w:val="007437F6"/>
    <w:rsid w:val="00750062"/>
    <w:rsid w:val="0076690B"/>
    <w:rsid w:val="00777464"/>
    <w:rsid w:val="007825BF"/>
    <w:rsid w:val="007840BF"/>
    <w:rsid w:val="007A5A0A"/>
    <w:rsid w:val="007B5A22"/>
    <w:rsid w:val="007B7B98"/>
    <w:rsid w:val="007D3B16"/>
    <w:rsid w:val="007D3FBA"/>
    <w:rsid w:val="007D5984"/>
    <w:rsid w:val="007D5E09"/>
    <w:rsid w:val="007E047B"/>
    <w:rsid w:val="007E62C1"/>
    <w:rsid w:val="007F4028"/>
    <w:rsid w:val="007F780B"/>
    <w:rsid w:val="00803212"/>
    <w:rsid w:val="00804A0F"/>
    <w:rsid w:val="00804BD0"/>
    <w:rsid w:val="00811191"/>
    <w:rsid w:val="008132E1"/>
    <w:rsid w:val="00816E1D"/>
    <w:rsid w:val="00826E71"/>
    <w:rsid w:val="0083099B"/>
    <w:rsid w:val="00840EC6"/>
    <w:rsid w:val="00850C38"/>
    <w:rsid w:val="008533B4"/>
    <w:rsid w:val="00853A05"/>
    <w:rsid w:val="00853A75"/>
    <w:rsid w:val="0085462B"/>
    <w:rsid w:val="0086670F"/>
    <w:rsid w:val="00872927"/>
    <w:rsid w:val="008873EA"/>
    <w:rsid w:val="008B173A"/>
    <w:rsid w:val="008C2699"/>
    <w:rsid w:val="008C539E"/>
    <w:rsid w:val="008D07FB"/>
    <w:rsid w:val="008D25EC"/>
    <w:rsid w:val="008D4679"/>
    <w:rsid w:val="008D7961"/>
    <w:rsid w:val="008F0FA8"/>
    <w:rsid w:val="008F2A4E"/>
    <w:rsid w:val="00904341"/>
    <w:rsid w:val="00904539"/>
    <w:rsid w:val="00932555"/>
    <w:rsid w:val="00941695"/>
    <w:rsid w:val="009471A7"/>
    <w:rsid w:val="009532A2"/>
    <w:rsid w:val="0095619F"/>
    <w:rsid w:val="00957477"/>
    <w:rsid w:val="00962EED"/>
    <w:rsid w:val="00964154"/>
    <w:rsid w:val="00974BAE"/>
    <w:rsid w:val="00981818"/>
    <w:rsid w:val="009833EA"/>
    <w:rsid w:val="00991192"/>
    <w:rsid w:val="009923DC"/>
    <w:rsid w:val="009941E1"/>
    <w:rsid w:val="009B5428"/>
    <w:rsid w:val="009C310E"/>
    <w:rsid w:val="009C3CF4"/>
    <w:rsid w:val="009C4258"/>
    <w:rsid w:val="009D2146"/>
    <w:rsid w:val="009D4F75"/>
    <w:rsid w:val="009D6786"/>
    <w:rsid w:val="009E57A9"/>
    <w:rsid w:val="00A041EE"/>
    <w:rsid w:val="00A146A0"/>
    <w:rsid w:val="00A15168"/>
    <w:rsid w:val="00A352D8"/>
    <w:rsid w:val="00A56C27"/>
    <w:rsid w:val="00A66FEF"/>
    <w:rsid w:val="00A71B71"/>
    <w:rsid w:val="00A8603A"/>
    <w:rsid w:val="00A900E9"/>
    <w:rsid w:val="00A92EA1"/>
    <w:rsid w:val="00A95B04"/>
    <w:rsid w:val="00A9665B"/>
    <w:rsid w:val="00AA53D0"/>
    <w:rsid w:val="00AA7231"/>
    <w:rsid w:val="00AD1A0D"/>
    <w:rsid w:val="00AD4A97"/>
    <w:rsid w:val="00AD4C0A"/>
    <w:rsid w:val="00AD61C7"/>
    <w:rsid w:val="00AE7361"/>
    <w:rsid w:val="00AF3E37"/>
    <w:rsid w:val="00B1765D"/>
    <w:rsid w:val="00B1768D"/>
    <w:rsid w:val="00B2096E"/>
    <w:rsid w:val="00B3629B"/>
    <w:rsid w:val="00B40528"/>
    <w:rsid w:val="00B60D8A"/>
    <w:rsid w:val="00B65090"/>
    <w:rsid w:val="00B70B5A"/>
    <w:rsid w:val="00B91FE5"/>
    <w:rsid w:val="00B96239"/>
    <w:rsid w:val="00BA79C3"/>
    <w:rsid w:val="00BC7943"/>
    <w:rsid w:val="00BC794E"/>
    <w:rsid w:val="00BE2308"/>
    <w:rsid w:val="00BF0A61"/>
    <w:rsid w:val="00BF2170"/>
    <w:rsid w:val="00BF52F2"/>
    <w:rsid w:val="00C03DCF"/>
    <w:rsid w:val="00C05A40"/>
    <w:rsid w:val="00C12C33"/>
    <w:rsid w:val="00C301BE"/>
    <w:rsid w:val="00C316EC"/>
    <w:rsid w:val="00C34D42"/>
    <w:rsid w:val="00C35A30"/>
    <w:rsid w:val="00C40DFC"/>
    <w:rsid w:val="00C55089"/>
    <w:rsid w:val="00C67380"/>
    <w:rsid w:val="00C826CA"/>
    <w:rsid w:val="00C82759"/>
    <w:rsid w:val="00C84764"/>
    <w:rsid w:val="00C85BB1"/>
    <w:rsid w:val="00C87CE3"/>
    <w:rsid w:val="00C97FF8"/>
    <w:rsid w:val="00CA033C"/>
    <w:rsid w:val="00CA1021"/>
    <w:rsid w:val="00CD421C"/>
    <w:rsid w:val="00CE78C0"/>
    <w:rsid w:val="00CF3C59"/>
    <w:rsid w:val="00CF4B90"/>
    <w:rsid w:val="00D06929"/>
    <w:rsid w:val="00D10657"/>
    <w:rsid w:val="00D169DC"/>
    <w:rsid w:val="00D225D4"/>
    <w:rsid w:val="00D22709"/>
    <w:rsid w:val="00D323D6"/>
    <w:rsid w:val="00D4101E"/>
    <w:rsid w:val="00D42868"/>
    <w:rsid w:val="00D472CE"/>
    <w:rsid w:val="00D60465"/>
    <w:rsid w:val="00D62381"/>
    <w:rsid w:val="00D63AFD"/>
    <w:rsid w:val="00D878E1"/>
    <w:rsid w:val="00D95723"/>
    <w:rsid w:val="00DA1D02"/>
    <w:rsid w:val="00DA2058"/>
    <w:rsid w:val="00DA30BD"/>
    <w:rsid w:val="00DA616F"/>
    <w:rsid w:val="00DA73E3"/>
    <w:rsid w:val="00DA79C8"/>
    <w:rsid w:val="00DB02EE"/>
    <w:rsid w:val="00DB6034"/>
    <w:rsid w:val="00DC0E56"/>
    <w:rsid w:val="00DD2728"/>
    <w:rsid w:val="00DD3558"/>
    <w:rsid w:val="00DE1A84"/>
    <w:rsid w:val="00DE2307"/>
    <w:rsid w:val="00DE4148"/>
    <w:rsid w:val="00DF30E2"/>
    <w:rsid w:val="00E00D31"/>
    <w:rsid w:val="00E022C8"/>
    <w:rsid w:val="00E11051"/>
    <w:rsid w:val="00E248C5"/>
    <w:rsid w:val="00E313AF"/>
    <w:rsid w:val="00E40E11"/>
    <w:rsid w:val="00E44A71"/>
    <w:rsid w:val="00E4510D"/>
    <w:rsid w:val="00E80A4F"/>
    <w:rsid w:val="00E8657D"/>
    <w:rsid w:val="00E90303"/>
    <w:rsid w:val="00E93F8A"/>
    <w:rsid w:val="00E95FBA"/>
    <w:rsid w:val="00EB1114"/>
    <w:rsid w:val="00EB5792"/>
    <w:rsid w:val="00EB6F11"/>
    <w:rsid w:val="00EC01C0"/>
    <w:rsid w:val="00ED5428"/>
    <w:rsid w:val="00EE160E"/>
    <w:rsid w:val="00EE7CC5"/>
    <w:rsid w:val="00EF3745"/>
    <w:rsid w:val="00EF6325"/>
    <w:rsid w:val="00F0149D"/>
    <w:rsid w:val="00F01A12"/>
    <w:rsid w:val="00F06360"/>
    <w:rsid w:val="00F10D8C"/>
    <w:rsid w:val="00F1181F"/>
    <w:rsid w:val="00F137B5"/>
    <w:rsid w:val="00F21B7C"/>
    <w:rsid w:val="00F30552"/>
    <w:rsid w:val="00F32CFE"/>
    <w:rsid w:val="00F34DD2"/>
    <w:rsid w:val="00F3540A"/>
    <w:rsid w:val="00F404B2"/>
    <w:rsid w:val="00F41963"/>
    <w:rsid w:val="00F456DA"/>
    <w:rsid w:val="00F4752F"/>
    <w:rsid w:val="00F511CA"/>
    <w:rsid w:val="00F5124C"/>
    <w:rsid w:val="00F63460"/>
    <w:rsid w:val="00F63FBC"/>
    <w:rsid w:val="00F66850"/>
    <w:rsid w:val="00F8701E"/>
    <w:rsid w:val="00FA6B3E"/>
    <w:rsid w:val="00FB766F"/>
    <w:rsid w:val="00FC1E57"/>
    <w:rsid w:val="00FF6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CD12"/>
  <w15:chartTrackingRefBased/>
  <w15:docId w15:val="{F604726D-2C61-42A7-BF1B-9FDA817B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477"/>
    <w:pPr>
      <w:ind w:left="720"/>
      <w:contextualSpacing/>
    </w:pPr>
  </w:style>
  <w:style w:type="paragraph" w:styleId="FootnoteText">
    <w:name w:val="footnote text"/>
    <w:basedOn w:val="Normal"/>
    <w:link w:val="FootnoteTextChar"/>
    <w:uiPriority w:val="99"/>
    <w:semiHidden/>
    <w:unhideWhenUsed/>
    <w:rsid w:val="00EC0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1C0"/>
    <w:rPr>
      <w:sz w:val="20"/>
      <w:szCs w:val="20"/>
    </w:rPr>
  </w:style>
  <w:style w:type="character" w:styleId="FootnoteReference">
    <w:name w:val="footnote reference"/>
    <w:basedOn w:val="DefaultParagraphFont"/>
    <w:uiPriority w:val="99"/>
    <w:semiHidden/>
    <w:unhideWhenUsed/>
    <w:rsid w:val="00EC01C0"/>
    <w:rPr>
      <w:vertAlign w:val="superscript"/>
    </w:rPr>
  </w:style>
  <w:style w:type="paragraph" w:styleId="Header">
    <w:name w:val="header"/>
    <w:basedOn w:val="Normal"/>
    <w:link w:val="HeaderChar"/>
    <w:uiPriority w:val="99"/>
    <w:unhideWhenUsed/>
    <w:rsid w:val="00EC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1C0"/>
  </w:style>
  <w:style w:type="paragraph" w:styleId="Footer">
    <w:name w:val="footer"/>
    <w:basedOn w:val="Normal"/>
    <w:link w:val="FooterChar"/>
    <w:uiPriority w:val="99"/>
    <w:unhideWhenUsed/>
    <w:rsid w:val="00EC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1C0"/>
  </w:style>
  <w:style w:type="paragraph" w:styleId="Revision">
    <w:name w:val="Revision"/>
    <w:hidden/>
    <w:uiPriority w:val="99"/>
    <w:semiHidden/>
    <w:rsid w:val="00E022C8"/>
    <w:pPr>
      <w:spacing w:after="0" w:line="240" w:lineRule="auto"/>
    </w:pPr>
  </w:style>
  <w:style w:type="character" w:styleId="CommentReference">
    <w:name w:val="annotation reference"/>
    <w:basedOn w:val="DefaultParagraphFont"/>
    <w:uiPriority w:val="99"/>
    <w:semiHidden/>
    <w:unhideWhenUsed/>
    <w:rsid w:val="009B5428"/>
    <w:rPr>
      <w:sz w:val="16"/>
      <w:szCs w:val="16"/>
    </w:rPr>
  </w:style>
  <w:style w:type="paragraph" w:styleId="CommentText">
    <w:name w:val="annotation text"/>
    <w:basedOn w:val="Normal"/>
    <w:link w:val="CommentTextChar"/>
    <w:uiPriority w:val="99"/>
    <w:unhideWhenUsed/>
    <w:rsid w:val="009B5428"/>
    <w:pPr>
      <w:spacing w:line="240" w:lineRule="auto"/>
    </w:pPr>
    <w:rPr>
      <w:sz w:val="20"/>
      <w:szCs w:val="20"/>
    </w:rPr>
  </w:style>
  <w:style w:type="character" w:customStyle="1" w:styleId="CommentTextChar">
    <w:name w:val="Comment Text Char"/>
    <w:basedOn w:val="DefaultParagraphFont"/>
    <w:link w:val="CommentText"/>
    <w:uiPriority w:val="99"/>
    <w:rsid w:val="009B5428"/>
    <w:rPr>
      <w:sz w:val="20"/>
      <w:szCs w:val="20"/>
    </w:rPr>
  </w:style>
  <w:style w:type="paragraph" w:styleId="CommentSubject">
    <w:name w:val="annotation subject"/>
    <w:basedOn w:val="CommentText"/>
    <w:next w:val="CommentText"/>
    <w:link w:val="CommentSubjectChar"/>
    <w:uiPriority w:val="99"/>
    <w:semiHidden/>
    <w:unhideWhenUsed/>
    <w:rsid w:val="009B5428"/>
    <w:rPr>
      <w:b/>
      <w:bCs/>
    </w:rPr>
  </w:style>
  <w:style w:type="character" w:customStyle="1" w:styleId="CommentSubjectChar">
    <w:name w:val="Comment Subject Char"/>
    <w:basedOn w:val="CommentTextChar"/>
    <w:link w:val="CommentSubject"/>
    <w:uiPriority w:val="99"/>
    <w:semiHidden/>
    <w:rsid w:val="009B5428"/>
    <w:rPr>
      <w:b/>
      <w:bCs/>
      <w:sz w:val="20"/>
      <w:szCs w:val="20"/>
    </w:rPr>
  </w:style>
  <w:style w:type="paragraph" w:styleId="BalloonText">
    <w:name w:val="Balloon Text"/>
    <w:basedOn w:val="Normal"/>
    <w:link w:val="BalloonTextChar"/>
    <w:uiPriority w:val="99"/>
    <w:semiHidden/>
    <w:unhideWhenUsed/>
    <w:rsid w:val="00DE1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EC0A-1543-451D-AD5E-B494E027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Leslie</dc:creator>
  <cp:keywords/>
  <dc:description/>
  <cp:lastModifiedBy>Mary Bruce</cp:lastModifiedBy>
  <cp:revision>3</cp:revision>
  <dcterms:created xsi:type="dcterms:W3CDTF">2023-10-30T06:19:00Z</dcterms:created>
  <dcterms:modified xsi:type="dcterms:W3CDTF">2023-11-02T13:56:00Z</dcterms:modified>
</cp:coreProperties>
</file>