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38B" w:rsidRDefault="005A09C3" w:rsidP="005A09C3">
      <w:pPr>
        <w:jc w:val="center"/>
      </w:pPr>
      <w:r w:rsidRPr="0076761B">
        <w:rPr>
          <w:rFonts w:ascii="Times New Roman" w:hAnsi="Times New Roman" w:cs="Times New Roman"/>
          <w:noProof/>
          <w:sz w:val="24"/>
          <w:szCs w:val="24"/>
        </w:rPr>
        <w:drawing>
          <wp:inline distT="0" distB="0" distL="0" distR="0" wp14:anchorId="09FD91D9" wp14:editId="5FD0F4E4">
            <wp:extent cx="1094105" cy="1094105"/>
            <wp:effectExtent l="0" t="0" r="0" b="0"/>
            <wp:docPr id="635524925"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635524925"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inline>
        </w:drawing>
      </w:r>
    </w:p>
    <w:p w:rsidR="005A09C3" w:rsidRPr="00DD38F1" w:rsidRDefault="005A09C3" w:rsidP="005A09C3">
      <w:pPr>
        <w:jc w:val="center"/>
        <w:rPr>
          <w:rFonts w:ascii="Times New Roman" w:hAnsi="Times New Roman" w:cs="Times New Roman"/>
          <w:b/>
          <w:sz w:val="26"/>
          <w:szCs w:val="26"/>
        </w:rPr>
      </w:pPr>
      <w:r w:rsidRPr="00DD38F1">
        <w:rPr>
          <w:rFonts w:ascii="Times New Roman" w:hAnsi="Times New Roman" w:cs="Times New Roman"/>
          <w:b/>
          <w:sz w:val="26"/>
          <w:szCs w:val="26"/>
        </w:rPr>
        <w:t>IN THE HIGH COURT OF SOUTH AFRICA</w:t>
      </w:r>
    </w:p>
    <w:p w:rsidR="005A09C3" w:rsidRPr="00DD38F1" w:rsidRDefault="005A09C3" w:rsidP="005A09C3">
      <w:pPr>
        <w:tabs>
          <w:tab w:val="left" w:pos="2694"/>
        </w:tabs>
        <w:spacing w:after="0" w:line="360" w:lineRule="auto"/>
        <w:ind w:firstLine="545"/>
        <w:jc w:val="center"/>
        <w:rPr>
          <w:rFonts w:ascii="Times New Roman" w:hAnsi="Times New Roman" w:cs="Times New Roman"/>
          <w:b/>
          <w:sz w:val="26"/>
          <w:szCs w:val="26"/>
        </w:rPr>
      </w:pPr>
      <w:r w:rsidRPr="00DD38F1">
        <w:rPr>
          <w:rFonts w:ascii="Times New Roman" w:hAnsi="Times New Roman" w:cs="Times New Roman"/>
          <w:b/>
          <w:sz w:val="26"/>
          <w:szCs w:val="26"/>
        </w:rPr>
        <w:t>(WESTERN CAPE DIVISION, CAPE TOWN)</w:t>
      </w:r>
    </w:p>
    <w:p w:rsidR="005A09C3" w:rsidRPr="0076761B" w:rsidRDefault="005A09C3" w:rsidP="005A09C3">
      <w:pPr>
        <w:jc w:val="center"/>
        <w:rPr>
          <w:rFonts w:ascii="Times New Roman" w:hAnsi="Times New Roman" w:cs="Times New Roman"/>
          <w:b/>
          <w:sz w:val="24"/>
          <w:szCs w:val="24"/>
        </w:rPr>
      </w:pPr>
    </w:p>
    <w:p w:rsidR="005A09C3" w:rsidRPr="0076761B" w:rsidRDefault="005A09C3" w:rsidP="005A09C3">
      <w:pPr>
        <w:jc w:val="right"/>
        <w:rPr>
          <w:rFonts w:ascii="Times New Roman" w:hAnsi="Times New Roman" w:cs="Times New Roman"/>
          <w:sz w:val="24"/>
          <w:szCs w:val="24"/>
        </w:rPr>
      </w:pPr>
      <w:r w:rsidRPr="0076761B">
        <w:rPr>
          <w:rFonts w:ascii="Times New Roman" w:hAnsi="Times New Roman" w:cs="Times New Roman"/>
          <w:b/>
          <w:sz w:val="24"/>
          <w:szCs w:val="24"/>
        </w:rPr>
        <w:t>CASE NUMBER</w:t>
      </w:r>
      <w:r w:rsidRPr="0076761B">
        <w:rPr>
          <w:rFonts w:ascii="Times New Roman" w:hAnsi="Times New Roman" w:cs="Times New Roman"/>
          <w:sz w:val="24"/>
          <w:szCs w:val="24"/>
        </w:rPr>
        <w:t xml:space="preserve">: </w:t>
      </w:r>
      <w:r>
        <w:rPr>
          <w:rFonts w:ascii="Times New Roman" w:hAnsi="Times New Roman" w:cs="Times New Roman"/>
          <w:sz w:val="24"/>
          <w:szCs w:val="24"/>
        </w:rPr>
        <w:t>16785</w:t>
      </w:r>
      <w:r w:rsidRPr="0076761B">
        <w:rPr>
          <w:rFonts w:ascii="Times New Roman" w:hAnsi="Times New Roman" w:cs="Times New Roman"/>
          <w:sz w:val="24"/>
          <w:szCs w:val="24"/>
        </w:rPr>
        <w:t>/2023</w:t>
      </w:r>
    </w:p>
    <w:p w:rsidR="005A09C3" w:rsidRPr="0076761B" w:rsidRDefault="005A09C3" w:rsidP="005A09C3">
      <w:pPr>
        <w:spacing w:after="0" w:line="240" w:lineRule="auto"/>
        <w:jc w:val="right"/>
        <w:rPr>
          <w:rFonts w:ascii="Times New Roman" w:hAnsi="Times New Roman" w:cs="Times New Roman"/>
          <w:sz w:val="24"/>
          <w:szCs w:val="24"/>
        </w:rPr>
      </w:pPr>
    </w:p>
    <w:p w:rsidR="005A09C3" w:rsidRPr="0076761B" w:rsidRDefault="005A09C3" w:rsidP="005A09C3">
      <w:pPr>
        <w:spacing w:after="0" w:line="240" w:lineRule="auto"/>
        <w:rPr>
          <w:rFonts w:ascii="Times New Roman" w:hAnsi="Times New Roman" w:cs="Times New Roman"/>
          <w:sz w:val="24"/>
          <w:szCs w:val="24"/>
        </w:rPr>
      </w:pPr>
      <w:r w:rsidRPr="0076761B">
        <w:rPr>
          <w:rFonts w:ascii="Times New Roman" w:hAnsi="Times New Roman" w:cs="Times New Roman"/>
          <w:sz w:val="24"/>
          <w:szCs w:val="24"/>
        </w:rPr>
        <w:t>In the matter between:</w:t>
      </w:r>
    </w:p>
    <w:p w:rsidR="005A09C3" w:rsidRPr="0076761B" w:rsidRDefault="005A09C3" w:rsidP="005A09C3">
      <w:pPr>
        <w:rPr>
          <w:rFonts w:ascii="Times New Roman" w:hAnsi="Times New Roman" w:cs="Times New Roman"/>
          <w:b/>
          <w:sz w:val="24"/>
          <w:szCs w:val="24"/>
        </w:rPr>
      </w:pPr>
    </w:p>
    <w:p w:rsidR="005A09C3" w:rsidRDefault="005A09C3" w:rsidP="005A09C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NEOVISION GROUP (PTY) LTD</w:t>
      </w:r>
      <w:r w:rsidRPr="0076761B">
        <w:rPr>
          <w:rFonts w:ascii="Times New Roman" w:hAnsi="Times New Roman" w:cs="Times New Roman"/>
          <w:b/>
          <w:bCs/>
          <w:sz w:val="24"/>
          <w:szCs w:val="24"/>
        </w:rPr>
        <w:tab/>
      </w:r>
      <w:r w:rsidRPr="0076761B">
        <w:rPr>
          <w:rFonts w:ascii="Times New Roman" w:hAnsi="Times New Roman" w:cs="Times New Roman"/>
          <w:b/>
          <w:bCs/>
          <w:sz w:val="24"/>
          <w:szCs w:val="24"/>
        </w:rPr>
        <w:tab/>
      </w:r>
      <w:r w:rsidRPr="0076761B">
        <w:rPr>
          <w:rFonts w:ascii="Times New Roman" w:hAnsi="Times New Roman" w:cs="Times New Roman"/>
          <w:b/>
          <w:bCs/>
          <w:sz w:val="24"/>
          <w:szCs w:val="24"/>
        </w:rPr>
        <w:tab/>
      </w:r>
      <w:r w:rsidRPr="0076761B">
        <w:rPr>
          <w:rFonts w:ascii="Times New Roman" w:hAnsi="Times New Roman" w:cs="Times New Roman"/>
          <w:b/>
          <w:bCs/>
          <w:sz w:val="24"/>
          <w:szCs w:val="24"/>
        </w:rPr>
        <w:tab/>
      </w:r>
      <w:r w:rsidRPr="0076761B">
        <w:rPr>
          <w:rFonts w:ascii="Times New Roman" w:hAnsi="Times New Roman" w:cs="Times New Roman"/>
          <w:b/>
          <w:bCs/>
          <w:sz w:val="24"/>
          <w:szCs w:val="24"/>
        </w:rPr>
        <w:tab/>
      </w:r>
      <w:r w:rsidRPr="0076761B">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76761B">
        <w:rPr>
          <w:rFonts w:ascii="Times New Roman" w:hAnsi="Times New Roman" w:cs="Times New Roman"/>
          <w:b/>
          <w:bCs/>
          <w:sz w:val="24"/>
          <w:szCs w:val="24"/>
        </w:rPr>
        <w:t>Applicant</w:t>
      </w:r>
    </w:p>
    <w:p w:rsidR="005A09C3" w:rsidRDefault="005A09C3" w:rsidP="005A09C3">
      <w:pPr>
        <w:spacing w:line="276" w:lineRule="auto"/>
        <w:jc w:val="both"/>
        <w:rPr>
          <w:rFonts w:ascii="Times New Roman" w:hAnsi="Times New Roman" w:cs="Times New Roman"/>
          <w:b/>
          <w:bCs/>
          <w:sz w:val="24"/>
          <w:szCs w:val="24"/>
        </w:rPr>
      </w:pPr>
    </w:p>
    <w:p w:rsidR="005A09C3" w:rsidRDefault="005A09C3" w:rsidP="005A09C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And </w:t>
      </w:r>
    </w:p>
    <w:p w:rsidR="005A09C3" w:rsidRPr="0076761B" w:rsidRDefault="005A09C3" w:rsidP="005A09C3">
      <w:pPr>
        <w:spacing w:line="276" w:lineRule="auto"/>
        <w:jc w:val="both"/>
        <w:rPr>
          <w:rFonts w:ascii="Times New Roman" w:hAnsi="Times New Roman" w:cs="Times New Roman"/>
          <w:b/>
          <w:bCs/>
          <w:sz w:val="24"/>
          <w:szCs w:val="24"/>
        </w:rPr>
      </w:pPr>
    </w:p>
    <w:p w:rsidR="005A09C3" w:rsidRPr="0076761B" w:rsidRDefault="005A09C3" w:rsidP="005A09C3">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NEOVISION WATERFRONT INCORPORATED</w:t>
      </w:r>
      <w:r w:rsidRPr="0076761B">
        <w:rPr>
          <w:rFonts w:ascii="Times New Roman" w:hAnsi="Times New Roman" w:cs="Times New Roman"/>
          <w:b/>
          <w:bCs/>
          <w:sz w:val="24"/>
          <w:szCs w:val="24"/>
        </w:rPr>
        <w:tab/>
      </w:r>
      <w:r w:rsidRPr="0076761B">
        <w:rPr>
          <w:rFonts w:ascii="Times New Roman" w:hAnsi="Times New Roman" w:cs="Times New Roman"/>
          <w:b/>
          <w:bCs/>
          <w:sz w:val="24"/>
          <w:szCs w:val="24"/>
        </w:rPr>
        <w:tab/>
      </w:r>
      <w:r w:rsidRPr="0076761B">
        <w:rPr>
          <w:rFonts w:ascii="Times New Roman" w:hAnsi="Times New Roman" w:cs="Times New Roman"/>
          <w:b/>
          <w:bCs/>
          <w:sz w:val="24"/>
          <w:szCs w:val="24"/>
        </w:rPr>
        <w:tab/>
        <w:t xml:space="preserve">      </w:t>
      </w:r>
      <w:r>
        <w:rPr>
          <w:rFonts w:ascii="Times New Roman" w:hAnsi="Times New Roman" w:cs="Times New Roman"/>
          <w:b/>
          <w:bCs/>
          <w:sz w:val="24"/>
          <w:szCs w:val="24"/>
        </w:rPr>
        <w:t>First</w:t>
      </w:r>
      <w:r w:rsidRPr="0076761B">
        <w:rPr>
          <w:rFonts w:ascii="Times New Roman" w:hAnsi="Times New Roman" w:cs="Times New Roman"/>
          <w:b/>
          <w:bCs/>
          <w:sz w:val="24"/>
          <w:szCs w:val="24"/>
        </w:rPr>
        <w:t xml:space="preserve"> </w:t>
      </w:r>
      <w:r>
        <w:rPr>
          <w:rFonts w:ascii="Times New Roman" w:hAnsi="Times New Roman" w:cs="Times New Roman"/>
          <w:b/>
          <w:bCs/>
          <w:sz w:val="24"/>
          <w:szCs w:val="24"/>
        </w:rPr>
        <w:t>Respondent</w:t>
      </w:r>
    </w:p>
    <w:p w:rsidR="005A09C3" w:rsidRPr="005A09C3" w:rsidRDefault="005A09C3">
      <w:pPr>
        <w:rPr>
          <w:rFonts w:ascii="Times New Roman" w:hAnsi="Times New Roman" w:cs="Times New Roman"/>
          <w:b/>
          <w:sz w:val="24"/>
          <w:szCs w:val="24"/>
        </w:rPr>
      </w:pPr>
      <w:r w:rsidRPr="005A09C3">
        <w:rPr>
          <w:rFonts w:ascii="Times New Roman" w:hAnsi="Times New Roman" w:cs="Times New Roman"/>
          <w:b/>
          <w:sz w:val="24"/>
          <w:szCs w:val="24"/>
        </w:rPr>
        <w:t>WERNER NEFDT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Second Respondent</w:t>
      </w:r>
    </w:p>
    <w:p w:rsidR="005A09C3" w:rsidRDefault="005A09C3"/>
    <w:p w:rsidR="0011438B" w:rsidRPr="0076761B" w:rsidRDefault="0011438B" w:rsidP="0011438B">
      <w:pPr>
        <w:jc w:val="both"/>
        <w:rPr>
          <w:rFonts w:ascii="Times New Roman" w:hAnsi="Times New Roman" w:cs="Times New Roman"/>
          <w:b/>
          <w:bCs/>
          <w:sz w:val="24"/>
          <w:szCs w:val="24"/>
        </w:rPr>
      </w:pPr>
      <w:r w:rsidRPr="0076761B">
        <w:rPr>
          <w:rFonts w:ascii="Times New Roman" w:hAnsi="Times New Roman" w:cs="Times New Roman"/>
          <w:b/>
          <w:bCs/>
          <w:sz w:val="24"/>
          <w:szCs w:val="24"/>
        </w:rPr>
        <w:t>______________________________________________________________________________</w:t>
      </w:r>
    </w:p>
    <w:p w:rsidR="0011438B" w:rsidRDefault="0011438B" w:rsidP="0011438B">
      <w:pPr>
        <w:jc w:val="center"/>
        <w:rPr>
          <w:rFonts w:ascii="Times New Roman" w:hAnsi="Times New Roman" w:cs="Times New Roman"/>
          <w:b/>
          <w:sz w:val="24"/>
          <w:szCs w:val="24"/>
        </w:rPr>
      </w:pPr>
      <w:r w:rsidRPr="0076761B">
        <w:rPr>
          <w:rFonts w:ascii="Times New Roman" w:hAnsi="Times New Roman" w:cs="Times New Roman"/>
          <w:b/>
          <w:sz w:val="24"/>
          <w:szCs w:val="24"/>
        </w:rPr>
        <w:t>REASONS FOR ORDER</w:t>
      </w:r>
      <w:r>
        <w:rPr>
          <w:rFonts w:ascii="Times New Roman" w:hAnsi="Times New Roman" w:cs="Times New Roman"/>
          <w:b/>
          <w:sz w:val="24"/>
          <w:szCs w:val="24"/>
        </w:rPr>
        <w:t xml:space="preserve"> </w:t>
      </w:r>
    </w:p>
    <w:p w:rsidR="0011438B" w:rsidRPr="0076761B" w:rsidRDefault="0011438B" w:rsidP="0011438B">
      <w:pPr>
        <w:jc w:val="center"/>
        <w:rPr>
          <w:rFonts w:ascii="Times New Roman" w:hAnsi="Times New Roman" w:cs="Times New Roman"/>
          <w:b/>
          <w:sz w:val="24"/>
          <w:szCs w:val="24"/>
        </w:rPr>
      </w:pPr>
      <w:r>
        <w:rPr>
          <w:rFonts w:ascii="Times New Roman" w:hAnsi="Times New Roman" w:cs="Times New Roman"/>
          <w:b/>
          <w:sz w:val="24"/>
          <w:szCs w:val="24"/>
        </w:rPr>
        <w:t xml:space="preserve">DELIVERED ELECTRONICALLY ON </w:t>
      </w:r>
      <w:r w:rsidR="00B50D07">
        <w:rPr>
          <w:rFonts w:ascii="Times New Roman" w:hAnsi="Times New Roman" w:cs="Times New Roman"/>
          <w:b/>
          <w:sz w:val="24"/>
          <w:szCs w:val="24"/>
        </w:rPr>
        <w:t>3</w:t>
      </w:r>
      <w:r>
        <w:rPr>
          <w:rFonts w:ascii="Times New Roman" w:hAnsi="Times New Roman" w:cs="Times New Roman"/>
          <w:b/>
          <w:sz w:val="24"/>
          <w:szCs w:val="24"/>
        </w:rPr>
        <w:t xml:space="preserve"> NOVEMBER 2023</w:t>
      </w:r>
    </w:p>
    <w:p w:rsidR="0011438B" w:rsidRPr="0076761B" w:rsidRDefault="0011438B" w:rsidP="0011438B">
      <w:pPr>
        <w:rPr>
          <w:rFonts w:ascii="Times New Roman" w:hAnsi="Times New Roman" w:cs="Times New Roman"/>
          <w:b/>
          <w:sz w:val="24"/>
          <w:szCs w:val="24"/>
        </w:rPr>
      </w:pPr>
      <w:r w:rsidRPr="0076761B">
        <w:rPr>
          <w:rFonts w:ascii="Times New Roman" w:hAnsi="Times New Roman" w:cs="Times New Roman"/>
          <w:b/>
          <w:sz w:val="24"/>
          <w:szCs w:val="24"/>
        </w:rPr>
        <w:t>______________________________________________________________________________</w:t>
      </w:r>
    </w:p>
    <w:p w:rsidR="00183C36" w:rsidRPr="00183C36" w:rsidRDefault="00183C36" w:rsidP="00183C36">
      <w:pPr>
        <w:spacing w:after="0" w:line="276" w:lineRule="auto"/>
        <w:rPr>
          <w:rFonts w:ascii="Times New Roman" w:hAnsi="Times New Roman" w:cs="Times New Roman"/>
          <w:b/>
          <w:sz w:val="26"/>
          <w:szCs w:val="26"/>
          <w:u w:val="single"/>
        </w:rPr>
      </w:pPr>
      <w:r w:rsidRPr="00183C36">
        <w:rPr>
          <w:rFonts w:ascii="Times New Roman" w:hAnsi="Times New Roman" w:cs="Times New Roman"/>
          <w:b/>
          <w:sz w:val="26"/>
          <w:szCs w:val="26"/>
          <w:u w:val="single"/>
        </w:rPr>
        <w:t xml:space="preserve">MANGCU-LOCKWOOD, J </w:t>
      </w:r>
    </w:p>
    <w:p w:rsidR="0011438B" w:rsidRDefault="0011438B"/>
    <w:p w:rsidR="00F358C0" w:rsidRDefault="00B71613" w:rsidP="00F358C0">
      <w:pPr>
        <w:pStyle w:val="ListParagraph"/>
        <w:numPr>
          <w:ilvl w:val="0"/>
          <w:numId w:val="3"/>
        </w:numPr>
        <w:rPr>
          <w:rFonts w:ascii="Times New Roman" w:hAnsi="Times New Roman" w:cs="Times New Roman"/>
          <w:b/>
          <w:bCs/>
          <w:color w:val="000000" w:themeColor="text1"/>
          <w:sz w:val="26"/>
          <w:szCs w:val="26"/>
          <w:u w:val="single"/>
        </w:rPr>
      </w:pPr>
      <w:r w:rsidRPr="00B71613">
        <w:rPr>
          <w:rFonts w:ascii="Times New Roman" w:hAnsi="Times New Roman" w:cs="Times New Roman"/>
          <w:b/>
          <w:bCs/>
          <w:color w:val="000000" w:themeColor="text1"/>
          <w:sz w:val="26"/>
          <w:szCs w:val="26"/>
          <w:u w:val="single"/>
        </w:rPr>
        <w:t>INTRODUCTION</w:t>
      </w:r>
    </w:p>
    <w:p w:rsidR="00017DC1" w:rsidRPr="00F358C0" w:rsidRDefault="00017DC1" w:rsidP="00017DC1">
      <w:pPr>
        <w:pStyle w:val="ListParagraph"/>
        <w:ind w:left="360"/>
        <w:rPr>
          <w:rFonts w:ascii="Times New Roman" w:hAnsi="Times New Roman" w:cs="Times New Roman"/>
          <w:b/>
          <w:bCs/>
          <w:color w:val="000000" w:themeColor="text1"/>
          <w:sz w:val="26"/>
          <w:szCs w:val="26"/>
          <w:u w:val="single"/>
        </w:rPr>
      </w:pPr>
    </w:p>
    <w:p w:rsidR="00921D89" w:rsidRDefault="00CE5930" w:rsidP="00022186">
      <w:pPr>
        <w:pStyle w:val="ListParagraph"/>
        <w:numPr>
          <w:ilvl w:val="0"/>
          <w:numId w:val="1"/>
        </w:numPr>
        <w:ind w:left="0" w:firstLine="142"/>
        <w:rPr>
          <w:rFonts w:ascii="Times New Roman" w:hAnsi="Times New Roman" w:cs="Times New Roman"/>
          <w:sz w:val="26"/>
          <w:szCs w:val="26"/>
        </w:rPr>
      </w:pPr>
      <w:r w:rsidRPr="00B71613">
        <w:rPr>
          <w:rFonts w:ascii="Times New Roman" w:hAnsi="Times New Roman" w:cs="Times New Roman"/>
          <w:sz w:val="26"/>
          <w:szCs w:val="26"/>
        </w:rPr>
        <w:t>On 13 October 2023 I granted an order in this matter as follows</w:t>
      </w:r>
      <w:r w:rsidR="00921D89" w:rsidRPr="00B71613">
        <w:rPr>
          <w:rFonts w:ascii="Times New Roman" w:hAnsi="Times New Roman" w:cs="Times New Roman"/>
          <w:sz w:val="26"/>
          <w:szCs w:val="26"/>
        </w:rPr>
        <w:t>:</w:t>
      </w:r>
    </w:p>
    <w:p w:rsidR="00B71613" w:rsidRPr="00B71613" w:rsidRDefault="00B71613" w:rsidP="00B71613">
      <w:pPr>
        <w:pStyle w:val="ListParagraph"/>
        <w:ind w:left="142"/>
        <w:rPr>
          <w:rFonts w:ascii="Times New Roman" w:hAnsi="Times New Roman" w:cs="Times New Roman"/>
          <w:sz w:val="26"/>
          <w:szCs w:val="26"/>
        </w:rPr>
      </w:pPr>
    </w:p>
    <w:p w:rsidR="00921D89" w:rsidRPr="00921D89" w:rsidRDefault="00B71613" w:rsidP="00B71613">
      <w:pPr>
        <w:pStyle w:val="ListParagraph"/>
        <w:spacing w:line="276" w:lineRule="auto"/>
        <w:ind w:left="1440" w:hanging="720"/>
        <w:jc w:val="both"/>
        <w:rPr>
          <w:rFonts w:ascii="Times New Roman" w:hAnsi="Times New Roman"/>
          <w:sz w:val="24"/>
          <w:szCs w:val="24"/>
        </w:rPr>
      </w:pPr>
      <w:r>
        <w:rPr>
          <w:rFonts w:ascii="Times New Roman" w:hAnsi="Times New Roman"/>
          <w:sz w:val="24"/>
          <w:szCs w:val="24"/>
        </w:rPr>
        <w:t>“</w:t>
      </w:r>
      <w:r w:rsidR="00921D89" w:rsidRPr="00921D89">
        <w:rPr>
          <w:rFonts w:ascii="Times New Roman" w:hAnsi="Times New Roman"/>
          <w:sz w:val="24"/>
          <w:szCs w:val="24"/>
        </w:rPr>
        <w:t>1.</w:t>
      </w:r>
      <w:r w:rsidR="00921D89" w:rsidRPr="00921D89">
        <w:rPr>
          <w:rFonts w:ascii="Times New Roman" w:hAnsi="Times New Roman"/>
          <w:sz w:val="24"/>
          <w:szCs w:val="24"/>
        </w:rPr>
        <w:tab/>
        <w:t>The applicant</w:t>
      </w:r>
      <w:r w:rsidR="00AB3647">
        <w:rPr>
          <w:rFonts w:ascii="Times New Roman" w:hAnsi="Times New Roman"/>
          <w:sz w:val="24"/>
          <w:szCs w:val="24"/>
        </w:rPr>
        <w:t>’</w:t>
      </w:r>
      <w:r w:rsidR="00921D89" w:rsidRPr="00921D89">
        <w:rPr>
          <w:rFonts w:ascii="Times New Roman" w:hAnsi="Times New Roman"/>
          <w:sz w:val="24"/>
          <w:szCs w:val="24"/>
        </w:rPr>
        <w:t>s non-compliance with the time periods, forms and processes prescribed in the Uniform Rules of Court is condoned, and this application may be heard as one of urgency in terms of Uniform Rule 6(12);</w:t>
      </w:r>
    </w:p>
    <w:p w:rsidR="00921D89" w:rsidRPr="00921D89" w:rsidRDefault="00921D89" w:rsidP="00B71613">
      <w:pPr>
        <w:pStyle w:val="ListParagraph"/>
        <w:spacing w:line="276" w:lineRule="auto"/>
        <w:jc w:val="both"/>
        <w:rPr>
          <w:rFonts w:ascii="Times New Roman" w:hAnsi="Times New Roman"/>
          <w:sz w:val="24"/>
          <w:szCs w:val="24"/>
        </w:rPr>
      </w:pPr>
    </w:p>
    <w:p w:rsidR="00921D89" w:rsidRPr="00921D89" w:rsidRDefault="00921D89" w:rsidP="00B71613">
      <w:pPr>
        <w:pStyle w:val="ListParagraph"/>
        <w:spacing w:line="276" w:lineRule="auto"/>
        <w:ind w:left="1440" w:hanging="720"/>
        <w:jc w:val="both"/>
        <w:rPr>
          <w:rFonts w:ascii="Times New Roman" w:hAnsi="Times New Roman"/>
          <w:sz w:val="24"/>
          <w:szCs w:val="24"/>
        </w:rPr>
      </w:pPr>
      <w:r w:rsidRPr="00921D89">
        <w:rPr>
          <w:rFonts w:ascii="Times New Roman" w:hAnsi="Times New Roman"/>
          <w:sz w:val="24"/>
          <w:szCs w:val="24"/>
        </w:rPr>
        <w:t>2.</w:t>
      </w:r>
      <w:r w:rsidRPr="00921D89">
        <w:rPr>
          <w:rFonts w:ascii="Times New Roman" w:hAnsi="Times New Roman"/>
          <w:sz w:val="24"/>
          <w:szCs w:val="24"/>
        </w:rPr>
        <w:tab/>
        <w:t xml:space="preserve">The respondents are temporarily interdicted from directly or indirectly, performing any optometry related services within 2km radius of Dock Road Junction, V&amp;A </w:t>
      </w:r>
      <w:r w:rsidR="00C43132">
        <w:rPr>
          <w:rFonts w:ascii="Times New Roman" w:hAnsi="Times New Roman"/>
          <w:sz w:val="24"/>
          <w:szCs w:val="24"/>
        </w:rPr>
        <w:t>Waterfront</w:t>
      </w:r>
      <w:r w:rsidRPr="00921D89">
        <w:rPr>
          <w:rFonts w:ascii="Times New Roman" w:hAnsi="Times New Roman"/>
          <w:sz w:val="24"/>
          <w:szCs w:val="24"/>
        </w:rPr>
        <w:t>, Cape Town pending the outcome of an arbitration to be initiated by the applicant, within 10 days of this Order, by referring the dispute to arbitration and requesting the Chairperson of the Arbitration Foundation of South Africa to appoint an arbitrator;</w:t>
      </w:r>
    </w:p>
    <w:p w:rsidR="00921D89" w:rsidRPr="00921D89" w:rsidRDefault="00921D89" w:rsidP="00B71613">
      <w:pPr>
        <w:pStyle w:val="ListParagraph"/>
        <w:spacing w:line="276" w:lineRule="auto"/>
        <w:jc w:val="both"/>
        <w:rPr>
          <w:rFonts w:ascii="Times New Roman" w:hAnsi="Times New Roman"/>
          <w:sz w:val="24"/>
          <w:szCs w:val="24"/>
        </w:rPr>
      </w:pPr>
    </w:p>
    <w:p w:rsidR="00921D89" w:rsidRPr="00921D89" w:rsidRDefault="00921D89" w:rsidP="00B71613">
      <w:pPr>
        <w:pStyle w:val="ListParagraph"/>
        <w:spacing w:line="276" w:lineRule="auto"/>
        <w:ind w:left="1440" w:hanging="720"/>
        <w:jc w:val="both"/>
        <w:rPr>
          <w:rFonts w:ascii="Times New Roman" w:hAnsi="Times New Roman"/>
          <w:sz w:val="24"/>
          <w:szCs w:val="24"/>
        </w:rPr>
      </w:pPr>
      <w:r w:rsidRPr="00921D89">
        <w:rPr>
          <w:rFonts w:ascii="Times New Roman" w:hAnsi="Times New Roman"/>
          <w:sz w:val="24"/>
          <w:szCs w:val="24"/>
        </w:rPr>
        <w:t>3.</w:t>
      </w:r>
      <w:r w:rsidRPr="00921D89">
        <w:rPr>
          <w:rFonts w:ascii="Times New Roman" w:hAnsi="Times New Roman"/>
          <w:sz w:val="24"/>
          <w:szCs w:val="24"/>
        </w:rPr>
        <w:tab/>
        <w:t>The costs of this application shall stand over for determination at the arbitration referred to above.</w:t>
      </w:r>
      <w:r w:rsidR="00B71613">
        <w:rPr>
          <w:rFonts w:ascii="Times New Roman" w:hAnsi="Times New Roman"/>
          <w:sz w:val="24"/>
          <w:szCs w:val="24"/>
        </w:rPr>
        <w:t>”</w:t>
      </w:r>
    </w:p>
    <w:p w:rsidR="00921D89" w:rsidRDefault="00921D89" w:rsidP="00921D89"/>
    <w:p w:rsidR="00B71613" w:rsidRDefault="00CE5930" w:rsidP="00B71613">
      <w:pPr>
        <w:pStyle w:val="ListParagraph"/>
        <w:numPr>
          <w:ilvl w:val="0"/>
          <w:numId w:val="1"/>
        </w:numPr>
        <w:ind w:left="0" w:firstLine="142"/>
        <w:rPr>
          <w:rFonts w:ascii="Times New Roman" w:hAnsi="Times New Roman" w:cs="Times New Roman"/>
          <w:sz w:val="26"/>
          <w:szCs w:val="26"/>
        </w:rPr>
      </w:pPr>
      <w:r w:rsidRPr="00B71613">
        <w:rPr>
          <w:rFonts w:ascii="Times New Roman" w:hAnsi="Times New Roman" w:cs="Times New Roman"/>
          <w:sz w:val="26"/>
          <w:szCs w:val="26"/>
        </w:rPr>
        <w:t>I hereby provide the reason</w:t>
      </w:r>
      <w:r w:rsidR="00921D89" w:rsidRPr="00B71613">
        <w:rPr>
          <w:rFonts w:ascii="Times New Roman" w:hAnsi="Times New Roman" w:cs="Times New Roman"/>
          <w:sz w:val="26"/>
          <w:szCs w:val="26"/>
        </w:rPr>
        <w:t>s</w:t>
      </w:r>
      <w:r w:rsidRPr="00B71613">
        <w:rPr>
          <w:rFonts w:ascii="Times New Roman" w:hAnsi="Times New Roman" w:cs="Times New Roman"/>
          <w:sz w:val="26"/>
          <w:szCs w:val="26"/>
        </w:rPr>
        <w:t xml:space="preserve"> for the order. </w:t>
      </w:r>
    </w:p>
    <w:p w:rsidR="00F358C0" w:rsidRDefault="00F358C0" w:rsidP="00F358C0">
      <w:pPr>
        <w:rPr>
          <w:rFonts w:ascii="Times New Roman" w:hAnsi="Times New Roman" w:cs="Times New Roman"/>
          <w:sz w:val="26"/>
          <w:szCs w:val="26"/>
        </w:rPr>
      </w:pPr>
    </w:p>
    <w:p w:rsidR="00F358C0" w:rsidRDefault="00F358C0" w:rsidP="00F358C0">
      <w:pPr>
        <w:pStyle w:val="ListParagraph"/>
        <w:numPr>
          <w:ilvl w:val="0"/>
          <w:numId w:val="3"/>
        </w:numPr>
        <w:rPr>
          <w:rFonts w:ascii="Times New Roman" w:hAnsi="Times New Roman" w:cs="Times New Roman"/>
          <w:b/>
          <w:bCs/>
          <w:color w:val="000000" w:themeColor="text1"/>
          <w:sz w:val="26"/>
          <w:szCs w:val="26"/>
          <w:u w:val="single"/>
        </w:rPr>
      </w:pPr>
      <w:r w:rsidRPr="00F358C0">
        <w:rPr>
          <w:rFonts w:ascii="Times New Roman" w:hAnsi="Times New Roman" w:cs="Times New Roman"/>
          <w:b/>
          <w:bCs/>
          <w:color w:val="000000" w:themeColor="text1"/>
          <w:sz w:val="26"/>
          <w:szCs w:val="26"/>
          <w:u w:val="single"/>
        </w:rPr>
        <w:t>BACKGROUND &amp; FACTS</w:t>
      </w:r>
    </w:p>
    <w:p w:rsidR="00017DC1" w:rsidRPr="00F358C0" w:rsidRDefault="00017DC1" w:rsidP="00017DC1">
      <w:pPr>
        <w:pStyle w:val="ListParagraph"/>
        <w:ind w:left="360"/>
        <w:rPr>
          <w:rFonts w:ascii="Times New Roman" w:hAnsi="Times New Roman" w:cs="Times New Roman"/>
          <w:b/>
          <w:bCs/>
          <w:color w:val="000000" w:themeColor="text1"/>
          <w:sz w:val="26"/>
          <w:szCs w:val="26"/>
          <w:u w:val="single"/>
        </w:rPr>
      </w:pPr>
    </w:p>
    <w:p w:rsidR="00F358C0" w:rsidRDefault="00B71613" w:rsidP="00F358C0">
      <w:pPr>
        <w:pStyle w:val="ListParagraph"/>
        <w:numPr>
          <w:ilvl w:val="0"/>
          <w:numId w:val="1"/>
        </w:numPr>
        <w:spacing w:line="360" w:lineRule="auto"/>
        <w:ind w:left="0" w:firstLine="142"/>
        <w:jc w:val="both"/>
        <w:rPr>
          <w:rFonts w:ascii="Times New Roman" w:hAnsi="Times New Roman" w:cs="Times New Roman"/>
          <w:sz w:val="26"/>
          <w:szCs w:val="26"/>
        </w:rPr>
      </w:pPr>
      <w:r w:rsidRPr="00B71613">
        <w:rPr>
          <w:rFonts w:ascii="Times New Roman" w:hAnsi="Times New Roman" w:cs="Times New Roman"/>
          <w:sz w:val="26"/>
          <w:szCs w:val="26"/>
        </w:rPr>
        <w:t xml:space="preserve">The applicant, </w:t>
      </w:r>
      <w:r w:rsidR="00F358C0">
        <w:rPr>
          <w:rFonts w:ascii="Times New Roman" w:hAnsi="Times New Roman" w:cs="Times New Roman"/>
          <w:sz w:val="26"/>
          <w:szCs w:val="26"/>
        </w:rPr>
        <w:t xml:space="preserve">duly </w:t>
      </w:r>
      <w:r w:rsidRPr="00B71613">
        <w:rPr>
          <w:rFonts w:ascii="Times New Roman" w:hAnsi="Times New Roman" w:cs="Times New Roman"/>
          <w:sz w:val="26"/>
          <w:szCs w:val="26"/>
        </w:rPr>
        <w:t>represented by one of its directors</w:t>
      </w:r>
      <w:r w:rsidR="00F358C0">
        <w:rPr>
          <w:rFonts w:ascii="Times New Roman" w:hAnsi="Times New Roman" w:cs="Times New Roman"/>
          <w:sz w:val="26"/>
          <w:szCs w:val="26"/>
        </w:rPr>
        <w:t>,</w:t>
      </w:r>
      <w:r w:rsidRPr="00B71613">
        <w:rPr>
          <w:rFonts w:ascii="Times New Roman" w:hAnsi="Times New Roman" w:cs="Times New Roman"/>
          <w:sz w:val="26"/>
          <w:szCs w:val="26"/>
        </w:rPr>
        <w:t xml:space="preserve"> </w:t>
      </w:r>
      <w:r>
        <w:rPr>
          <w:rFonts w:ascii="Times New Roman" w:hAnsi="Times New Roman" w:cs="Times New Roman"/>
          <w:sz w:val="26"/>
          <w:szCs w:val="26"/>
        </w:rPr>
        <w:t>R</w:t>
      </w:r>
      <w:r w:rsidRPr="00B71613">
        <w:rPr>
          <w:rFonts w:ascii="Times New Roman" w:hAnsi="Times New Roman" w:cs="Times New Roman"/>
          <w:sz w:val="26"/>
          <w:szCs w:val="26"/>
        </w:rPr>
        <w:t>u</w:t>
      </w:r>
      <w:r>
        <w:rPr>
          <w:rFonts w:ascii="Times New Roman" w:hAnsi="Times New Roman" w:cs="Times New Roman"/>
          <w:sz w:val="26"/>
          <w:szCs w:val="26"/>
        </w:rPr>
        <w:t>ediger</w:t>
      </w:r>
      <w:r w:rsidRPr="00B71613">
        <w:rPr>
          <w:rFonts w:ascii="Times New Roman" w:hAnsi="Times New Roman" w:cs="Times New Roman"/>
          <w:sz w:val="26"/>
          <w:szCs w:val="26"/>
        </w:rPr>
        <w:t xml:space="preserve"> </w:t>
      </w:r>
      <w:r>
        <w:rPr>
          <w:rFonts w:ascii="Times New Roman" w:hAnsi="Times New Roman" w:cs="Times New Roman"/>
          <w:sz w:val="26"/>
          <w:szCs w:val="26"/>
        </w:rPr>
        <w:t>N</w:t>
      </w:r>
      <w:r w:rsidRPr="00B71613">
        <w:rPr>
          <w:rFonts w:ascii="Times New Roman" w:hAnsi="Times New Roman" w:cs="Times New Roman"/>
          <w:sz w:val="26"/>
          <w:szCs w:val="26"/>
        </w:rPr>
        <w:t>a</w:t>
      </w:r>
      <w:r>
        <w:rPr>
          <w:rFonts w:ascii="Times New Roman" w:hAnsi="Times New Roman" w:cs="Times New Roman"/>
          <w:sz w:val="26"/>
          <w:szCs w:val="26"/>
        </w:rPr>
        <w:t>u</w:t>
      </w:r>
      <w:r w:rsidRPr="00B71613">
        <w:rPr>
          <w:rFonts w:ascii="Times New Roman" w:hAnsi="Times New Roman" w:cs="Times New Roman"/>
          <w:sz w:val="26"/>
          <w:szCs w:val="26"/>
        </w:rPr>
        <w:t>ma</w:t>
      </w:r>
      <w:r>
        <w:rPr>
          <w:rFonts w:ascii="Times New Roman" w:hAnsi="Times New Roman" w:cs="Times New Roman"/>
          <w:sz w:val="26"/>
          <w:szCs w:val="26"/>
        </w:rPr>
        <w:t>n</w:t>
      </w:r>
      <w:r w:rsidRPr="00B71613">
        <w:rPr>
          <w:rFonts w:ascii="Times New Roman" w:hAnsi="Times New Roman" w:cs="Times New Roman"/>
          <w:sz w:val="26"/>
          <w:szCs w:val="26"/>
        </w:rPr>
        <w:t>n</w:t>
      </w:r>
      <w:r>
        <w:rPr>
          <w:rFonts w:ascii="Times New Roman" w:hAnsi="Times New Roman" w:cs="Times New Roman"/>
          <w:sz w:val="26"/>
          <w:szCs w:val="26"/>
        </w:rPr>
        <w:t xml:space="preserve"> (</w:t>
      </w:r>
      <w:r w:rsidRPr="00F358C0">
        <w:rPr>
          <w:rFonts w:ascii="Times New Roman" w:hAnsi="Times New Roman" w:cs="Times New Roman"/>
          <w:i/>
          <w:iCs/>
          <w:sz w:val="26"/>
          <w:szCs w:val="26"/>
        </w:rPr>
        <w:t>“Nuamann”</w:t>
      </w:r>
      <w:r>
        <w:rPr>
          <w:rFonts w:ascii="Times New Roman" w:hAnsi="Times New Roman" w:cs="Times New Roman"/>
          <w:sz w:val="26"/>
          <w:szCs w:val="26"/>
        </w:rPr>
        <w:t>)</w:t>
      </w:r>
      <w:r w:rsidRPr="00B71613">
        <w:rPr>
          <w:rFonts w:ascii="Times New Roman" w:hAnsi="Times New Roman" w:cs="Times New Roman"/>
          <w:sz w:val="26"/>
          <w:szCs w:val="26"/>
        </w:rPr>
        <w:t xml:space="preserve"> brought an urgent application for the said relief against the first and second respondents pursuant to the provisions of a </w:t>
      </w:r>
      <w:r w:rsidR="00017DC1">
        <w:rPr>
          <w:rFonts w:ascii="Times New Roman" w:hAnsi="Times New Roman" w:cs="Times New Roman"/>
          <w:sz w:val="26"/>
          <w:szCs w:val="26"/>
        </w:rPr>
        <w:t>franchise</w:t>
      </w:r>
      <w:r w:rsidRPr="00B71613">
        <w:rPr>
          <w:rFonts w:ascii="Times New Roman" w:hAnsi="Times New Roman" w:cs="Times New Roman"/>
          <w:sz w:val="26"/>
          <w:szCs w:val="26"/>
        </w:rPr>
        <w:t xml:space="preserve"> agreement entered into between the applicant and the first respondent</w:t>
      </w:r>
      <w:r w:rsidR="00F358C0">
        <w:rPr>
          <w:rFonts w:ascii="Times New Roman" w:hAnsi="Times New Roman" w:cs="Times New Roman"/>
          <w:sz w:val="26"/>
          <w:szCs w:val="26"/>
        </w:rPr>
        <w:t>, which is discussed further below.</w:t>
      </w:r>
      <w:r w:rsidRPr="00B71613">
        <w:rPr>
          <w:rFonts w:ascii="Times New Roman" w:hAnsi="Times New Roman" w:cs="Times New Roman"/>
          <w:sz w:val="26"/>
          <w:szCs w:val="26"/>
        </w:rPr>
        <w:t xml:space="preserve"> </w:t>
      </w:r>
    </w:p>
    <w:p w:rsidR="00F358C0" w:rsidRPr="00F358C0" w:rsidRDefault="00F358C0" w:rsidP="00F358C0">
      <w:pPr>
        <w:pStyle w:val="ListParagraph"/>
        <w:rPr>
          <w:rFonts w:ascii="Times New Roman" w:hAnsi="Times New Roman" w:cs="Times New Roman"/>
          <w:sz w:val="26"/>
          <w:szCs w:val="26"/>
        </w:rPr>
      </w:pPr>
    </w:p>
    <w:p w:rsidR="00B71613" w:rsidRPr="00F358C0" w:rsidRDefault="00B71613" w:rsidP="00F358C0">
      <w:pPr>
        <w:pStyle w:val="ListParagraph"/>
        <w:numPr>
          <w:ilvl w:val="0"/>
          <w:numId w:val="1"/>
        </w:numPr>
        <w:spacing w:line="360" w:lineRule="auto"/>
        <w:ind w:left="0" w:firstLine="142"/>
        <w:jc w:val="both"/>
        <w:rPr>
          <w:rFonts w:ascii="Times New Roman" w:hAnsi="Times New Roman" w:cs="Times New Roman"/>
          <w:sz w:val="26"/>
          <w:szCs w:val="26"/>
        </w:rPr>
      </w:pPr>
      <w:r w:rsidRPr="00B71613">
        <w:rPr>
          <w:rFonts w:ascii="Times New Roman" w:hAnsi="Times New Roman" w:cs="Times New Roman"/>
          <w:sz w:val="26"/>
          <w:szCs w:val="26"/>
        </w:rPr>
        <w:t>The first respondent</w:t>
      </w:r>
      <w:r w:rsidR="00F358C0" w:rsidRPr="00F358C0">
        <w:rPr>
          <w:rFonts w:ascii="Times New Roman" w:hAnsi="Times New Roman" w:cs="Times New Roman"/>
          <w:sz w:val="26"/>
          <w:szCs w:val="26"/>
        </w:rPr>
        <w:t xml:space="preserve"> is an optometry practice described in the papers as </w:t>
      </w:r>
      <w:r w:rsidR="00F358C0">
        <w:rPr>
          <w:rFonts w:ascii="Times New Roman" w:hAnsi="Times New Roman" w:cs="Times New Roman"/>
          <w:sz w:val="26"/>
          <w:szCs w:val="26"/>
        </w:rPr>
        <w:t>N</w:t>
      </w:r>
      <w:r w:rsidR="00F358C0" w:rsidRPr="00F358C0">
        <w:rPr>
          <w:rFonts w:ascii="Times New Roman" w:hAnsi="Times New Roman" w:cs="Times New Roman"/>
          <w:sz w:val="26"/>
          <w:szCs w:val="26"/>
        </w:rPr>
        <w:t xml:space="preserve">eovision </w:t>
      </w:r>
      <w:r w:rsidR="00F358C0">
        <w:rPr>
          <w:rFonts w:ascii="Times New Roman" w:hAnsi="Times New Roman" w:cs="Times New Roman"/>
          <w:sz w:val="26"/>
          <w:szCs w:val="26"/>
        </w:rPr>
        <w:t>W</w:t>
      </w:r>
      <w:r w:rsidR="00F358C0" w:rsidRPr="00F358C0">
        <w:rPr>
          <w:rFonts w:ascii="Times New Roman" w:hAnsi="Times New Roman" w:cs="Times New Roman"/>
          <w:sz w:val="26"/>
          <w:szCs w:val="26"/>
        </w:rPr>
        <w:t xml:space="preserve">aterfront </w:t>
      </w:r>
      <w:r w:rsidR="00F358C0">
        <w:rPr>
          <w:rFonts w:ascii="Times New Roman" w:hAnsi="Times New Roman" w:cs="Times New Roman"/>
          <w:sz w:val="26"/>
          <w:szCs w:val="26"/>
        </w:rPr>
        <w:t>I</w:t>
      </w:r>
      <w:r w:rsidR="00F358C0" w:rsidRPr="00F358C0">
        <w:rPr>
          <w:rFonts w:ascii="Times New Roman" w:hAnsi="Times New Roman" w:cs="Times New Roman"/>
          <w:sz w:val="26"/>
          <w:szCs w:val="26"/>
        </w:rPr>
        <w:t>ncorporated which</w:t>
      </w:r>
      <w:r w:rsidR="00F358C0">
        <w:rPr>
          <w:rFonts w:ascii="Times New Roman" w:hAnsi="Times New Roman" w:cs="Times New Roman"/>
          <w:sz w:val="26"/>
          <w:szCs w:val="26"/>
        </w:rPr>
        <w:t xml:space="preserve">, </w:t>
      </w:r>
      <w:r w:rsidR="00F358C0" w:rsidRPr="00F358C0">
        <w:rPr>
          <w:rFonts w:ascii="Times New Roman" w:hAnsi="Times New Roman" w:cs="Times New Roman"/>
          <w:sz w:val="26"/>
          <w:szCs w:val="26"/>
        </w:rPr>
        <w:t xml:space="preserve">at the time of the application was situated </w:t>
      </w:r>
      <w:r w:rsidR="00F358C0">
        <w:rPr>
          <w:rFonts w:ascii="Times New Roman" w:hAnsi="Times New Roman" w:cs="Times New Roman"/>
          <w:sz w:val="26"/>
          <w:szCs w:val="26"/>
        </w:rPr>
        <w:t>at</w:t>
      </w:r>
      <w:r w:rsidR="00F358C0" w:rsidRPr="00F358C0">
        <w:rPr>
          <w:rFonts w:ascii="Times New Roman" w:hAnsi="Times New Roman" w:cs="Times New Roman"/>
          <w:sz w:val="26"/>
          <w:szCs w:val="26"/>
        </w:rPr>
        <w:t xml:space="preserve"> </w:t>
      </w:r>
      <w:r w:rsidR="00F358C0">
        <w:rPr>
          <w:rFonts w:ascii="Times New Roman" w:hAnsi="Times New Roman" w:cs="Times New Roman"/>
          <w:sz w:val="26"/>
          <w:szCs w:val="26"/>
        </w:rPr>
        <w:t>U</w:t>
      </w:r>
      <w:r w:rsidR="00F358C0" w:rsidRPr="00F358C0">
        <w:rPr>
          <w:rFonts w:ascii="Times New Roman" w:hAnsi="Times New Roman" w:cs="Times New Roman"/>
          <w:sz w:val="26"/>
          <w:szCs w:val="26"/>
        </w:rPr>
        <w:t xml:space="preserve">nit 9 </w:t>
      </w:r>
      <w:r w:rsidR="00F358C0">
        <w:rPr>
          <w:rFonts w:ascii="Times New Roman" w:hAnsi="Times New Roman" w:cs="Times New Roman"/>
          <w:sz w:val="26"/>
          <w:szCs w:val="26"/>
        </w:rPr>
        <w:t>D</w:t>
      </w:r>
      <w:r w:rsidR="00F358C0" w:rsidRPr="00F358C0">
        <w:rPr>
          <w:rFonts w:ascii="Times New Roman" w:hAnsi="Times New Roman" w:cs="Times New Roman"/>
          <w:sz w:val="26"/>
          <w:szCs w:val="26"/>
        </w:rPr>
        <w:t xml:space="preserve">ock Road </w:t>
      </w:r>
      <w:r w:rsidR="00F358C0">
        <w:rPr>
          <w:rFonts w:ascii="Times New Roman" w:hAnsi="Times New Roman" w:cs="Times New Roman"/>
          <w:sz w:val="26"/>
          <w:szCs w:val="26"/>
        </w:rPr>
        <w:t>J</w:t>
      </w:r>
      <w:r w:rsidR="00F358C0" w:rsidRPr="00F358C0">
        <w:rPr>
          <w:rFonts w:ascii="Times New Roman" w:hAnsi="Times New Roman" w:cs="Times New Roman"/>
          <w:sz w:val="26"/>
          <w:szCs w:val="26"/>
        </w:rPr>
        <w:t>unction</w:t>
      </w:r>
      <w:r w:rsidR="00F358C0">
        <w:rPr>
          <w:rFonts w:ascii="Times New Roman" w:hAnsi="Times New Roman" w:cs="Times New Roman"/>
          <w:sz w:val="26"/>
          <w:szCs w:val="26"/>
        </w:rPr>
        <w:t>,</w:t>
      </w:r>
      <w:r w:rsidR="00F358C0" w:rsidRPr="00F358C0">
        <w:rPr>
          <w:rFonts w:ascii="Times New Roman" w:hAnsi="Times New Roman" w:cs="Times New Roman"/>
          <w:sz w:val="26"/>
          <w:szCs w:val="26"/>
        </w:rPr>
        <w:t xml:space="preserve"> V</w:t>
      </w:r>
      <w:r w:rsidR="00F358C0">
        <w:rPr>
          <w:rFonts w:ascii="Times New Roman" w:hAnsi="Times New Roman" w:cs="Times New Roman"/>
          <w:sz w:val="26"/>
          <w:szCs w:val="26"/>
        </w:rPr>
        <w:t>&amp;A</w:t>
      </w:r>
      <w:r w:rsidR="00F358C0" w:rsidRPr="00F358C0">
        <w:rPr>
          <w:rFonts w:ascii="Times New Roman" w:hAnsi="Times New Roman" w:cs="Times New Roman"/>
          <w:sz w:val="26"/>
          <w:szCs w:val="26"/>
        </w:rPr>
        <w:t xml:space="preserve"> </w:t>
      </w:r>
      <w:r w:rsidR="00F358C0">
        <w:rPr>
          <w:rFonts w:ascii="Times New Roman" w:hAnsi="Times New Roman" w:cs="Times New Roman"/>
          <w:sz w:val="26"/>
          <w:szCs w:val="26"/>
        </w:rPr>
        <w:t>W</w:t>
      </w:r>
      <w:r w:rsidR="00F358C0" w:rsidRPr="00F358C0">
        <w:rPr>
          <w:rFonts w:ascii="Times New Roman" w:hAnsi="Times New Roman" w:cs="Times New Roman"/>
          <w:sz w:val="26"/>
          <w:szCs w:val="26"/>
        </w:rPr>
        <w:t>aterfront</w:t>
      </w:r>
      <w:r w:rsidR="00F358C0">
        <w:rPr>
          <w:rFonts w:ascii="Times New Roman" w:hAnsi="Times New Roman" w:cs="Times New Roman"/>
          <w:sz w:val="26"/>
          <w:szCs w:val="26"/>
        </w:rPr>
        <w:t>.</w:t>
      </w:r>
      <w:r w:rsidR="00F358C0" w:rsidRPr="00F358C0">
        <w:rPr>
          <w:rFonts w:ascii="Times New Roman" w:hAnsi="Times New Roman" w:cs="Times New Roman"/>
          <w:sz w:val="26"/>
          <w:szCs w:val="26"/>
        </w:rPr>
        <w:t xml:space="preserve"> The second respondent is a director and business owner</w:t>
      </w:r>
      <w:r w:rsidR="00F358C0">
        <w:rPr>
          <w:rFonts w:ascii="Times New Roman" w:hAnsi="Times New Roman" w:cs="Times New Roman"/>
          <w:sz w:val="26"/>
          <w:szCs w:val="26"/>
        </w:rPr>
        <w:t xml:space="preserve"> </w:t>
      </w:r>
      <w:r w:rsidR="00F358C0" w:rsidRPr="00F358C0">
        <w:rPr>
          <w:rFonts w:ascii="Times New Roman" w:hAnsi="Times New Roman" w:cs="Times New Roman"/>
          <w:sz w:val="26"/>
          <w:szCs w:val="26"/>
        </w:rPr>
        <w:t>of the first respondent</w:t>
      </w:r>
      <w:r w:rsidR="00F358C0">
        <w:rPr>
          <w:rFonts w:ascii="Times New Roman" w:hAnsi="Times New Roman" w:cs="Times New Roman"/>
          <w:sz w:val="26"/>
          <w:szCs w:val="26"/>
        </w:rPr>
        <w:t>.</w:t>
      </w:r>
    </w:p>
    <w:p w:rsidR="00F358C0" w:rsidRDefault="00F358C0" w:rsidP="00F358C0">
      <w:pPr>
        <w:pStyle w:val="ListParagraph"/>
        <w:spacing w:line="360" w:lineRule="auto"/>
        <w:ind w:left="142"/>
        <w:jc w:val="both"/>
        <w:rPr>
          <w:rFonts w:ascii="Times New Roman" w:hAnsi="Times New Roman" w:cs="Times New Roman"/>
          <w:sz w:val="26"/>
          <w:szCs w:val="26"/>
        </w:rPr>
      </w:pPr>
    </w:p>
    <w:p w:rsidR="00B3593A" w:rsidRPr="00B3593A" w:rsidRDefault="00D00AD8" w:rsidP="00B3593A">
      <w:pPr>
        <w:pStyle w:val="ListParagraph"/>
        <w:numPr>
          <w:ilvl w:val="0"/>
          <w:numId w:val="1"/>
        </w:numPr>
        <w:spacing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It is common cause that o</w:t>
      </w:r>
      <w:r w:rsidR="00CE5930" w:rsidRPr="00B3593A">
        <w:rPr>
          <w:rFonts w:ascii="Times New Roman" w:hAnsi="Times New Roman" w:cs="Times New Roman"/>
          <w:sz w:val="26"/>
          <w:szCs w:val="26"/>
        </w:rPr>
        <w:t xml:space="preserve">n 20 September 2018, the applicant and first respondent concluded a franchise agreement </w:t>
      </w:r>
      <w:r w:rsidR="00F358C0" w:rsidRPr="00B3593A">
        <w:rPr>
          <w:rFonts w:ascii="Times New Roman" w:hAnsi="Times New Roman" w:cs="Times New Roman"/>
          <w:sz w:val="26"/>
          <w:szCs w:val="26"/>
        </w:rPr>
        <w:t>(</w:t>
      </w:r>
      <w:r w:rsidR="00F358C0" w:rsidRPr="00B3593A">
        <w:rPr>
          <w:rFonts w:ascii="Times New Roman" w:hAnsi="Times New Roman" w:cs="Times New Roman"/>
          <w:i/>
          <w:iCs/>
          <w:sz w:val="26"/>
          <w:szCs w:val="26"/>
        </w:rPr>
        <w:t>“the agreement”</w:t>
      </w:r>
      <w:r w:rsidR="00F358C0" w:rsidRPr="00B3593A">
        <w:rPr>
          <w:rFonts w:ascii="Times New Roman" w:hAnsi="Times New Roman" w:cs="Times New Roman"/>
          <w:sz w:val="26"/>
          <w:szCs w:val="26"/>
        </w:rPr>
        <w:t xml:space="preserve">) </w:t>
      </w:r>
      <w:r w:rsidR="00CE5930" w:rsidRPr="00B3593A">
        <w:rPr>
          <w:rFonts w:ascii="Times New Roman" w:hAnsi="Times New Roman" w:cs="Times New Roman"/>
          <w:sz w:val="26"/>
          <w:szCs w:val="26"/>
        </w:rPr>
        <w:t>for an initial period of five years</w:t>
      </w:r>
      <w:r w:rsidR="00F358C0" w:rsidRPr="00B3593A">
        <w:rPr>
          <w:rFonts w:ascii="Times New Roman" w:hAnsi="Times New Roman" w:cs="Times New Roman"/>
          <w:sz w:val="26"/>
          <w:szCs w:val="26"/>
        </w:rPr>
        <w:t>, which allowed</w:t>
      </w:r>
      <w:r w:rsidR="00CE5930" w:rsidRPr="00B3593A">
        <w:rPr>
          <w:rFonts w:ascii="Times New Roman" w:hAnsi="Times New Roman" w:cs="Times New Roman"/>
          <w:sz w:val="26"/>
          <w:szCs w:val="26"/>
        </w:rPr>
        <w:t xml:space="preserve"> the first respondent</w:t>
      </w:r>
      <w:r w:rsidR="00B3593A" w:rsidRPr="00B3593A">
        <w:rPr>
          <w:rFonts w:ascii="Times New Roman" w:hAnsi="Times New Roman" w:cs="Times New Roman"/>
          <w:sz w:val="26"/>
          <w:szCs w:val="26"/>
        </w:rPr>
        <w:t>,</w:t>
      </w:r>
      <w:r w:rsidR="00CE5930" w:rsidRPr="00B3593A">
        <w:rPr>
          <w:rFonts w:ascii="Times New Roman" w:hAnsi="Times New Roman" w:cs="Times New Roman"/>
          <w:sz w:val="26"/>
          <w:szCs w:val="26"/>
        </w:rPr>
        <w:t xml:space="preserve"> </w:t>
      </w:r>
      <w:r w:rsidR="00B3593A" w:rsidRPr="00B3593A">
        <w:rPr>
          <w:rFonts w:ascii="Times New Roman" w:hAnsi="Times New Roman" w:cs="Times New Roman"/>
          <w:sz w:val="26"/>
          <w:szCs w:val="26"/>
        </w:rPr>
        <w:t xml:space="preserve">as franchisee, </w:t>
      </w:r>
      <w:r w:rsidR="00CE5930" w:rsidRPr="00B3593A">
        <w:rPr>
          <w:rFonts w:ascii="Times New Roman" w:hAnsi="Times New Roman" w:cs="Times New Roman"/>
          <w:sz w:val="26"/>
          <w:szCs w:val="26"/>
        </w:rPr>
        <w:t xml:space="preserve">to establish a franchise to operate a </w:t>
      </w:r>
      <w:r w:rsidR="00C54E48" w:rsidRPr="00B3593A">
        <w:rPr>
          <w:rFonts w:ascii="Times New Roman" w:hAnsi="Times New Roman" w:cs="Times New Roman"/>
          <w:sz w:val="26"/>
          <w:szCs w:val="26"/>
        </w:rPr>
        <w:t>Neovision</w:t>
      </w:r>
      <w:r w:rsidR="00CE5930" w:rsidRPr="00B3593A">
        <w:rPr>
          <w:rFonts w:ascii="Times New Roman" w:hAnsi="Times New Roman" w:cs="Times New Roman"/>
          <w:sz w:val="26"/>
          <w:szCs w:val="26"/>
        </w:rPr>
        <w:t xml:space="preserve"> Optometrist Practice</w:t>
      </w:r>
      <w:r w:rsidR="00445B4F" w:rsidRPr="00B3593A">
        <w:rPr>
          <w:rFonts w:ascii="Times New Roman" w:hAnsi="Times New Roman" w:cs="Times New Roman"/>
          <w:sz w:val="26"/>
          <w:szCs w:val="26"/>
        </w:rPr>
        <w:t xml:space="preserve"> – a defined term in the agreement</w:t>
      </w:r>
      <w:r w:rsidR="00CE5930" w:rsidRPr="00B3593A">
        <w:rPr>
          <w:rFonts w:ascii="Times New Roman" w:hAnsi="Times New Roman" w:cs="Times New Roman"/>
          <w:sz w:val="26"/>
          <w:szCs w:val="26"/>
        </w:rPr>
        <w:t>.</w:t>
      </w:r>
      <w:r w:rsidR="00B849BA" w:rsidRPr="00B3593A">
        <w:rPr>
          <w:rFonts w:ascii="Times New Roman" w:hAnsi="Times New Roman" w:cs="Times New Roman"/>
          <w:sz w:val="26"/>
          <w:szCs w:val="26"/>
        </w:rPr>
        <w:t xml:space="preserve"> </w:t>
      </w:r>
      <w:r>
        <w:rPr>
          <w:rFonts w:ascii="Times New Roman" w:hAnsi="Times New Roman" w:cs="Times New Roman"/>
          <w:sz w:val="26"/>
          <w:szCs w:val="26"/>
        </w:rPr>
        <w:t>The parties to the agreement were described as Neovision Group</w:t>
      </w:r>
      <w:r w:rsidRPr="00D00AD8">
        <w:rPr>
          <w:rFonts w:ascii="Times New Roman" w:hAnsi="Times New Roman" w:cs="Times New Roman"/>
          <w:sz w:val="26"/>
          <w:szCs w:val="26"/>
        </w:rPr>
        <w:t xml:space="preserve"> </w:t>
      </w:r>
      <w:r>
        <w:rPr>
          <w:rFonts w:ascii="Times New Roman" w:hAnsi="Times New Roman" w:cs="Times New Roman"/>
          <w:sz w:val="26"/>
          <w:szCs w:val="26"/>
        </w:rPr>
        <w:t>P</w:t>
      </w:r>
      <w:r w:rsidRPr="00D00AD8">
        <w:rPr>
          <w:rFonts w:ascii="Times New Roman" w:hAnsi="Times New Roman" w:cs="Times New Roman"/>
          <w:sz w:val="26"/>
          <w:szCs w:val="26"/>
        </w:rPr>
        <w:t xml:space="preserve">roprietary </w:t>
      </w:r>
      <w:r>
        <w:rPr>
          <w:rFonts w:ascii="Times New Roman" w:hAnsi="Times New Roman" w:cs="Times New Roman"/>
          <w:sz w:val="26"/>
          <w:szCs w:val="26"/>
        </w:rPr>
        <w:t>L</w:t>
      </w:r>
      <w:r w:rsidRPr="00D00AD8">
        <w:rPr>
          <w:rFonts w:ascii="Times New Roman" w:hAnsi="Times New Roman" w:cs="Times New Roman"/>
          <w:sz w:val="26"/>
          <w:szCs w:val="26"/>
        </w:rPr>
        <w:t xml:space="preserve">imited </w:t>
      </w:r>
      <w:r>
        <w:rPr>
          <w:rFonts w:ascii="Times New Roman" w:hAnsi="Times New Roman" w:cs="Times New Roman"/>
          <w:sz w:val="26"/>
          <w:szCs w:val="26"/>
        </w:rPr>
        <w:t>(</w:t>
      </w:r>
      <w:r w:rsidRPr="00D00AD8">
        <w:rPr>
          <w:rFonts w:ascii="Times New Roman" w:hAnsi="Times New Roman" w:cs="Times New Roman"/>
          <w:sz w:val="26"/>
          <w:szCs w:val="26"/>
        </w:rPr>
        <w:t>the applicant</w:t>
      </w:r>
      <w:r>
        <w:rPr>
          <w:rFonts w:ascii="Times New Roman" w:hAnsi="Times New Roman" w:cs="Times New Roman"/>
          <w:sz w:val="26"/>
          <w:szCs w:val="26"/>
        </w:rPr>
        <w:t xml:space="preserve">) </w:t>
      </w:r>
      <w:r w:rsidRPr="00D00AD8">
        <w:rPr>
          <w:rFonts w:ascii="Times New Roman" w:hAnsi="Times New Roman" w:cs="Times New Roman"/>
          <w:sz w:val="26"/>
          <w:szCs w:val="26"/>
        </w:rPr>
        <w:t xml:space="preserve">and </w:t>
      </w:r>
      <w:r>
        <w:rPr>
          <w:rFonts w:ascii="Times New Roman" w:hAnsi="Times New Roman" w:cs="Times New Roman"/>
          <w:sz w:val="26"/>
          <w:szCs w:val="26"/>
        </w:rPr>
        <w:t>N</w:t>
      </w:r>
      <w:r w:rsidRPr="00D00AD8">
        <w:rPr>
          <w:rFonts w:ascii="Times New Roman" w:hAnsi="Times New Roman" w:cs="Times New Roman"/>
          <w:sz w:val="26"/>
          <w:szCs w:val="26"/>
        </w:rPr>
        <w:t xml:space="preserve">eovision Woodstock </w:t>
      </w:r>
      <w:r>
        <w:rPr>
          <w:rFonts w:ascii="Times New Roman" w:hAnsi="Times New Roman" w:cs="Times New Roman"/>
          <w:sz w:val="26"/>
          <w:szCs w:val="26"/>
        </w:rPr>
        <w:t>I</w:t>
      </w:r>
      <w:r w:rsidRPr="00D00AD8">
        <w:rPr>
          <w:rFonts w:ascii="Times New Roman" w:hAnsi="Times New Roman" w:cs="Times New Roman"/>
          <w:sz w:val="26"/>
          <w:szCs w:val="26"/>
        </w:rPr>
        <w:t>ncorporated</w:t>
      </w:r>
      <w:r>
        <w:rPr>
          <w:rFonts w:ascii="Times New Roman" w:hAnsi="Times New Roman" w:cs="Times New Roman"/>
          <w:sz w:val="26"/>
          <w:szCs w:val="26"/>
        </w:rPr>
        <w:t>.</w:t>
      </w:r>
    </w:p>
    <w:p w:rsidR="00B3593A" w:rsidRDefault="00B3593A" w:rsidP="00B3593A">
      <w:pPr>
        <w:pStyle w:val="ListParagraph"/>
        <w:spacing w:line="360" w:lineRule="auto"/>
        <w:ind w:left="142"/>
        <w:jc w:val="both"/>
        <w:rPr>
          <w:rFonts w:ascii="Times New Roman" w:hAnsi="Times New Roman" w:cs="Times New Roman"/>
          <w:sz w:val="26"/>
          <w:szCs w:val="26"/>
        </w:rPr>
      </w:pPr>
    </w:p>
    <w:p w:rsidR="00EC2084" w:rsidRPr="00B50D07" w:rsidRDefault="00445B4F" w:rsidP="00B50D07">
      <w:pPr>
        <w:pStyle w:val="ListParagraph"/>
        <w:numPr>
          <w:ilvl w:val="0"/>
          <w:numId w:val="1"/>
        </w:numPr>
        <w:spacing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It is common cause that, in terms of the agreement, t</w:t>
      </w:r>
      <w:r w:rsidR="00F358C0" w:rsidRPr="00B71613">
        <w:rPr>
          <w:rFonts w:ascii="Times New Roman" w:hAnsi="Times New Roman" w:cs="Times New Roman"/>
          <w:sz w:val="26"/>
          <w:szCs w:val="26"/>
        </w:rPr>
        <w:t>he applicant has exclusive rights to establish, appoint and grant franchise rights for use of its I</w:t>
      </w:r>
      <w:r w:rsidR="00017DC1">
        <w:rPr>
          <w:rFonts w:ascii="Times New Roman" w:hAnsi="Times New Roman" w:cs="Times New Roman"/>
          <w:sz w:val="26"/>
          <w:szCs w:val="26"/>
        </w:rPr>
        <w:t xml:space="preserve">ntellectual </w:t>
      </w:r>
      <w:r w:rsidR="00F358C0" w:rsidRPr="00B71613">
        <w:rPr>
          <w:rFonts w:ascii="Times New Roman" w:hAnsi="Times New Roman" w:cs="Times New Roman"/>
          <w:sz w:val="26"/>
          <w:szCs w:val="26"/>
        </w:rPr>
        <w:t>P</w:t>
      </w:r>
      <w:r w:rsidR="00017DC1">
        <w:rPr>
          <w:rFonts w:ascii="Times New Roman" w:hAnsi="Times New Roman" w:cs="Times New Roman"/>
          <w:sz w:val="26"/>
          <w:szCs w:val="26"/>
        </w:rPr>
        <w:t>roperty</w:t>
      </w:r>
      <w:r w:rsidR="00F358C0" w:rsidRPr="00B71613">
        <w:rPr>
          <w:rFonts w:ascii="Times New Roman" w:hAnsi="Times New Roman" w:cs="Times New Roman"/>
          <w:sz w:val="26"/>
          <w:szCs w:val="26"/>
        </w:rPr>
        <w:t xml:space="preserve"> rights, trademarks and System for the development and operation of Neovision Optometrist Practices in South Africa.  </w:t>
      </w:r>
    </w:p>
    <w:p w:rsidR="00B50D07" w:rsidRDefault="00B50D07" w:rsidP="00B50D07">
      <w:pPr>
        <w:pStyle w:val="ListParagraph"/>
        <w:spacing w:line="360" w:lineRule="auto"/>
        <w:ind w:left="142"/>
        <w:jc w:val="both"/>
        <w:rPr>
          <w:rFonts w:ascii="Times New Roman" w:hAnsi="Times New Roman" w:cs="Times New Roman"/>
          <w:sz w:val="26"/>
          <w:szCs w:val="26"/>
        </w:rPr>
      </w:pPr>
    </w:p>
    <w:p w:rsidR="00D945BA" w:rsidRDefault="00D945BA" w:rsidP="00F358C0">
      <w:pPr>
        <w:pStyle w:val="ListParagraph"/>
        <w:numPr>
          <w:ilvl w:val="0"/>
          <w:numId w:val="1"/>
        </w:numPr>
        <w:spacing w:line="360" w:lineRule="auto"/>
        <w:ind w:left="0" w:firstLine="142"/>
        <w:jc w:val="both"/>
        <w:rPr>
          <w:rFonts w:ascii="Times New Roman" w:hAnsi="Times New Roman" w:cs="Times New Roman"/>
          <w:sz w:val="26"/>
          <w:szCs w:val="26"/>
        </w:rPr>
      </w:pPr>
      <w:r w:rsidRPr="00D945BA">
        <w:rPr>
          <w:rFonts w:ascii="Times New Roman" w:hAnsi="Times New Roman" w:cs="Times New Roman"/>
          <w:sz w:val="26"/>
          <w:szCs w:val="26"/>
        </w:rPr>
        <w:t xml:space="preserve">When the agreement came </w:t>
      </w:r>
      <w:r>
        <w:rPr>
          <w:rFonts w:ascii="Times New Roman" w:hAnsi="Times New Roman" w:cs="Times New Roman"/>
          <w:sz w:val="26"/>
          <w:szCs w:val="26"/>
        </w:rPr>
        <w:t>i</w:t>
      </w:r>
      <w:r w:rsidRPr="00D945BA">
        <w:rPr>
          <w:rFonts w:ascii="Times New Roman" w:hAnsi="Times New Roman" w:cs="Times New Roman"/>
          <w:sz w:val="26"/>
          <w:szCs w:val="26"/>
        </w:rPr>
        <w:t xml:space="preserve">nto </w:t>
      </w:r>
      <w:r w:rsidR="00D00AD8">
        <w:rPr>
          <w:rFonts w:ascii="Times New Roman" w:hAnsi="Times New Roman" w:cs="Times New Roman"/>
          <w:sz w:val="26"/>
          <w:szCs w:val="26"/>
        </w:rPr>
        <w:t>place</w:t>
      </w:r>
      <w:r w:rsidR="00017DC1">
        <w:rPr>
          <w:rFonts w:ascii="Times New Roman" w:hAnsi="Times New Roman" w:cs="Times New Roman"/>
          <w:sz w:val="26"/>
          <w:szCs w:val="26"/>
        </w:rPr>
        <w:t>,</w:t>
      </w:r>
      <w:r>
        <w:rPr>
          <w:rFonts w:ascii="Times New Roman" w:hAnsi="Times New Roman" w:cs="Times New Roman"/>
          <w:sz w:val="26"/>
          <w:szCs w:val="26"/>
        </w:rPr>
        <w:t xml:space="preserve"> </w:t>
      </w:r>
      <w:r w:rsidRPr="00D945BA">
        <w:rPr>
          <w:rFonts w:ascii="Times New Roman" w:hAnsi="Times New Roman" w:cs="Times New Roman"/>
          <w:sz w:val="26"/>
          <w:szCs w:val="26"/>
        </w:rPr>
        <w:t xml:space="preserve">the first respondent conducted its practice from a Woodstock address </w:t>
      </w:r>
      <w:r>
        <w:rPr>
          <w:rFonts w:ascii="Times New Roman" w:hAnsi="Times New Roman" w:cs="Times New Roman"/>
          <w:sz w:val="26"/>
          <w:szCs w:val="26"/>
        </w:rPr>
        <w:t>a</w:t>
      </w:r>
      <w:r w:rsidRPr="00D945BA">
        <w:rPr>
          <w:rFonts w:ascii="Times New Roman" w:hAnsi="Times New Roman" w:cs="Times New Roman"/>
          <w:sz w:val="26"/>
          <w:szCs w:val="26"/>
        </w:rPr>
        <w:t xml:space="preserve">t </w:t>
      </w:r>
      <w:r>
        <w:rPr>
          <w:rFonts w:ascii="Times New Roman" w:hAnsi="Times New Roman" w:cs="Times New Roman"/>
          <w:sz w:val="26"/>
          <w:szCs w:val="26"/>
        </w:rPr>
        <w:t>S</w:t>
      </w:r>
      <w:r w:rsidRPr="00D945BA">
        <w:rPr>
          <w:rFonts w:ascii="Times New Roman" w:hAnsi="Times New Roman" w:cs="Times New Roman"/>
          <w:sz w:val="26"/>
          <w:szCs w:val="26"/>
        </w:rPr>
        <w:t xml:space="preserve">hop </w:t>
      </w:r>
      <w:r>
        <w:rPr>
          <w:rFonts w:ascii="Times New Roman" w:hAnsi="Times New Roman" w:cs="Times New Roman"/>
          <w:sz w:val="26"/>
          <w:szCs w:val="26"/>
        </w:rPr>
        <w:t>2A,</w:t>
      </w:r>
      <w:r w:rsidRPr="00D945BA">
        <w:rPr>
          <w:rFonts w:ascii="Times New Roman" w:hAnsi="Times New Roman" w:cs="Times New Roman"/>
          <w:sz w:val="26"/>
          <w:szCs w:val="26"/>
        </w:rPr>
        <w:t xml:space="preserve"> </w:t>
      </w:r>
      <w:r>
        <w:rPr>
          <w:rFonts w:ascii="Times New Roman" w:hAnsi="Times New Roman" w:cs="Times New Roman"/>
          <w:sz w:val="26"/>
          <w:szCs w:val="26"/>
        </w:rPr>
        <w:t>G</w:t>
      </w:r>
      <w:r w:rsidRPr="00D945BA">
        <w:rPr>
          <w:rFonts w:ascii="Times New Roman" w:hAnsi="Times New Roman" w:cs="Times New Roman"/>
          <w:sz w:val="26"/>
          <w:szCs w:val="26"/>
        </w:rPr>
        <w:t xml:space="preserve">round </w:t>
      </w:r>
      <w:r>
        <w:rPr>
          <w:rFonts w:ascii="Times New Roman" w:hAnsi="Times New Roman" w:cs="Times New Roman"/>
          <w:sz w:val="26"/>
          <w:szCs w:val="26"/>
        </w:rPr>
        <w:t>F</w:t>
      </w:r>
      <w:r w:rsidRPr="00D945BA">
        <w:rPr>
          <w:rFonts w:ascii="Times New Roman" w:hAnsi="Times New Roman" w:cs="Times New Roman"/>
          <w:sz w:val="26"/>
          <w:szCs w:val="26"/>
        </w:rPr>
        <w:t>loor</w:t>
      </w:r>
      <w:r>
        <w:rPr>
          <w:rFonts w:ascii="Times New Roman" w:hAnsi="Times New Roman" w:cs="Times New Roman"/>
          <w:sz w:val="26"/>
          <w:szCs w:val="26"/>
        </w:rPr>
        <w:t>,</w:t>
      </w:r>
      <w:r w:rsidRPr="00D945BA">
        <w:rPr>
          <w:rFonts w:ascii="Times New Roman" w:hAnsi="Times New Roman" w:cs="Times New Roman"/>
          <w:sz w:val="26"/>
          <w:szCs w:val="26"/>
        </w:rPr>
        <w:t xml:space="preserve"> Upper East Side</w:t>
      </w:r>
      <w:r>
        <w:rPr>
          <w:rFonts w:ascii="Times New Roman" w:hAnsi="Times New Roman" w:cs="Times New Roman"/>
          <w:sz w:val="26"/>
          <w:szCs w:val="26"/>
        </w:rPr>
        <w:t>,</w:t>
      </w:r>
      <w:r w:rsidRPr="00D945BA">
        <w:rPr>
          <w:rFonts w:ascii="Times New Roman" w:hAnsi="Times New Roman" w:cs="Times New Roman"/>
          <w:sz w:val="26"/>
          <w:szCs w:val="26"/>
        </w:rPr>
        <w:t xml:space="preserve"> 31 Brookfield R</w:t>
      </w:r>
      <w:r>
        <w:rPr>
          <w:rFonts w:ascii="Times New Roman" w:hAnsi="Times New Roman" w:cs="Times New Roman"/>
          <w:sz w:val="26"/>
          <w:szCs w:val="26"/>
        </w:rPr>
        <w:t>oa</w:t>
      </w:r>
      <w:r w:rsidRPr="00D945BA">
        <w:rPr>
          <w:rFonts w:ascii="Times New Roman" w:hAnsi="Times New Roman" w:cs="Times New Roman"/>
          <w:sz w:val="26"/>
          <w:szCs w:val="26"/>
        </w:rPr>
        <w:t>d</w:t>
      </w:r>
      <w:r>
        <w:rPr>
          <w:rFonts w:ascii="Times New Roman" w:hAnsi="Times New Roman" w:cs="Times New Roman"/>
          <w:sz w:val="26"/>
          <w:szCs w:val="26"/>
        </w:rPr>
        <w:t>,</w:t>
      </w:r>
      <w:r w:rsidRPr="00D945BA">
        <w:rPr>
          <w:rFonts w:ascii="Times New Roman" w:hAnsi="Times New Roman" w:cs="Times New Roman"/>
          <w:sz w:val="26"/>
          <w:szCs w:val="26"/>
        </w:rPr>
        <w:t xml:space="preserve"> Woodstock</w:t>
      </w:r>
      <w:r>
        <w:rPr>
          <w:rFonts w:ascii="Times New Roman" w:hAnsi="Times New Roman" w:cs="Times New Roman"/>
          <w:sz w:val="26"/>
          <w:szCs w:val="26"/>
        </w:rPr>
        <w:t xml:space="preserve"> (</w:t>
      </w:r>
      <w:r w:rsidRPr="00D945BA">
        <w:rPr>
          <w:rFonts w:ascii="Times New Roman" w:hAnsi="Times New Roman" w:cs="Times New Roman"/>
          <w:i/>
          <w:iCs/>
          <w:sz w:val="26"/>
          <w:szCs w:val="26"/>
        </w:rPr>
        <w:t>“the Woodstock address”</w:t>
      </w:r>
      <w:r>
        <w:rPr>
          <w:rFonts w:ascii="Times New Roman" w:hAnsi="Times New Roman" w:cs="Times New Roman"/>
          <w:sz w:val="26"/>
          <w:szCs w:val="26"/>
        </w:rPr>
        <w:t xml:space="preserve">), and it is common cause that its practice commenced there </w:t>
      </w:r>
      <w:r w:rsidR="006E67E2">
        <w:rPr>
          <w:rFonts w:ascii="Times New Roman" w:hAnsi="Times New Roman" w:cs="Times New Roman"/>
          <w:sz w:val="26"/>
          <w:szCs w:val="26"/>
        </w:rPr>
        <w:t xml:space="preserve">in October 2017 </w:t>
      </w:r>
      <w:r>
        <w:rPr>
          <w:rFonts w:ascii="Times New Roman" w:hAnsi="Times New Roman" w:cs="Times New Roman"/>
          <w:sz w:val="26"/>
          <w:szCs w:val="26"/>
        </w:rPr>
        <w:t xml:space="preserve">under the auspices of the </w:t>
      </w:r>
      <w:r w:rsidR="00D00AD8">
        <w:rPr>
          <w:rFonts w:ascii="Times New Roman" w:hAnsi="Times New Roman" w:cs="Times New Roman"/>
          <w:sz w:val="26"/>
          <w:szCs w:val="26"/>
        </w:rPr>
        <w:t>applicant</w:t>
      </w:r>
      <w:r>
        <w:rPr>
          <w:rFonts w:ascii="Times New Roman" w:hAnsi="Times New Roman" w:cs="Times New Roman"/>
          <w:sz w:val="26"/>
          <w:szCs w:val="26"/>
        </w:rPr>
        <w:t>.</w:t>
      </w:r>
    </w:p>
    <w:p w:rsidR="00A905FB" w:rsidRDefault="00A905FB" w:rsidP="00A905FB">
      <w:pPr>
        <w:pStyle w:val="ListParagraph"/>
        <w:spacing w:line="360" w:lineRule="auto"/>
        <w:ind w:left="142"/>
        <w:jc w:val="both"/>
        <w:rPr>
          <w:rFonts w:ascii="Times New Roman" w:hAnsi="Times New Roman" w:cs="Times New Roman"/>
          <w:sz w:val="26"/>
          <w:szCs w:val="26"/>
        </w:rPr>
      </w:pPr>
    </w:p>
    <w:p w:rsidR="00D945BA" w:rsidRPr="00017DC1" w:rsidRDefault="00A905FB" w:rsidP="00017DC1">
      <w:pPr>
        <w:pStyle w:val="ListParagraph"/>
        <w:numPr>
          <w:ilvl w:val="0"/>
          <w:numId w:val="1"/>
        </w:numPr>
        <w:spacing w:line="360" w:lineRule="auto"/>
        <w:ind w:left="0" w:firstLine="142"/>
        <w:jc w:val="both"/>
        <w:rPr>
          <w:rFonts w:ascii="Times New Roman" w:hAnsi="Times New Roman" w:cs="Times New Roman"/>
          <w:sz w:val="26"/>
          <w:szCs w:val="26"/>
        </w:rPr>
      </w:pPr>
      <w:r w:rsidRPr="00912D92">
        <w:rPr>
          <w:rFonts w:ascii="Times New Roman" w:hAnsi="Times New Roman" w:cs="Times New Roman"/>
          <w:sz w:val="26"/>
          <w:szCs w:val="26"/>
        </w:rPr>
        <w:t>In January 2020 the first respondent opened an additional optometry practice at Unit 9, 8 Dock Road, Waterfront, Cape Town (</w:t>
      </w:r>
      <w:r w:rsidRPr="00912D92">
        <w:rPr>
          <w:rFonts w:ascii="Times New Roman" w:hAnsi="Times New Roman" w:cs="Times New Roman"/>
          <w:i/>
          <w:iCs/>
          <w:sz w:val="26"/>
          <w:szCs w:val="26"/>
        </w:rPr>
        <w:t>“the Waterfront address”</w:t>
      </w:r>
      <w:r w:rsidR="00D00AD8" w:rsidRPr="00912D92">
        <w:rPr>
          <w:rFonts w:ascii="Times New Roman" w:hAnsi="Times New Roman" w:cs="Times New Roman"/>
          <w:sz w:val="26"/>
          <w:szCs w:val="26"/>
        </w:rPr>
        <w:t>)</w:t>
      </w:r>
      <w:r w:rsidRPr="00912D92">
        <w:rPr>
          <w:rFonts w:ascii="Times New Roman" w:hAnsi="Times New Roman" w:cs="Times New Roman"/>
          <w:sz w:val="26"/>
          <w:szCs w:val="26"/>
        </w:rPr>
        <w:t>. Before entering into the Waterfront lease</w:t>
      </w:r>
      <w:r w:rsidR="002E368D" w:rsidRPr="00912D92">
        <w:rPr>
          <w:rFonts w:ascii="Times New Roman" w:hAnsi="Times New Roman" w:cs="Times New Roman"/>
          <w:sz w:val="26"/>
          <w:szCs w:val="26"/>
        </w:rPr>
        <w:t xml:space="preserve"> whose duration was to expire in September 2022</w:t>
      </w:r>
      <w:r w:rsidRPr="00912D92">
        <w:rPr>
          <w:rFonts w:ascii="Times New Roman" w:hAnsi="Times New Roman" w:cs="Times New Roman"/>
          <w:sz w:val="26"/>
          <w:szCs w:val="26"/>
        </w:rPr>
        <w:t>, the first respondent obtained the consent of the applicant pursuant to clause</w:t>
      </w:r>
      <w:r w:rsidR="00017DC1">
        <w:rPr>
          <w:rFonts w:ascii="Times New Roman" w:hAnsi="Times New Roman" w:cs="Times New Roman"/>
          <w:sz w:val="26"/>
          <w:szCs w:val="26"/>
        </w:rPr>
        <w:t xml:space="preserve"> 8.1 </w:t>
      </w:r>
      <w:r w:rsidRPr="00912D92">
        <w:rPr>
          <w:rFonts w:ascii="Times New Roman" w:hAnsi="Times New Roman" w:cs="Times New Roman"/>
          <w:sz w:val="26"/>
          <w:szCs w:val="26"/>
        </w:rPr>
        <w:t xml:space="preserve">of the agreement. </w:t>
      </w:r>
      <w:r w:rsidR="00017DC1">
        <w:rPr>
          <w:rFonts w:ascii="Times New Roman" w:hAnsi="Times New Roman" w:cs="Times New Roman"/>
          <w:sz w:val="26"/>
          <w:szCs w:val="26"/>
        </w:rPr>
        <w:t xml:space="preserve"> </w:t>
      </w:r>
      <w:r w:rsidR="002E368D" w:rsidRPr="00017DC1">
        <w:rPr>
          <w:rFonts w:ascii="Times New Roman" w:hAnsi="Times New Roman" w:cs="Times New Roman"/>
          <w:sz w:val="26"/>
          <w:szCs w:val="26"/>
        </w:rPr>
        <w:t>At the end of 2021 the first respondent ceased operating from the Woodstock address apparently due to declining performance brought to bear by COVID-19</w:t>
      </w:r>
      <w:r w:rsidR="00912D92" w:rsidRPr="00017DC1">
        <w:rPr>
          <w:rFonts w:ascii="Times New Roman" w:hAnsi="Times New Roman" w:cs="Times New Roman"/>
          <w:sz w:val="26"/>
          <w:szCs w:val="26"/>
        </w:rPr>
        <w:t>, and accordingly only practiced at the Waterfront address</w:t>
      </w:r>
      <w:r w:rsidR="002E368D" w:rsidRPr="00017DC1">
        <w:rPr>
          <w:rFonts w:ascii="Times New Roman" w:hAnsi="Times New Roman" w:cs="Times New Roman"/>
          <w:sz w:val="26"/>
          <w:szCs w:val="26"/>
        </w:rPr>
        <w:t xml:space="preserve">. </w:t>
      </w:r>
    </w:p>
    <w:p w:rsidR="002E368D" w:rsidRDefault="002E368D" w:rsidP="002E368D">
      <w:pPr>
        <w:pStyle w:val="ListParagraph"/>
        <w:spacing w:line="360" w:lineRule="auto"/>
        <w:ind w:left="142"/>
        <w:jc w:val="both"/>
        <w:rPr>
          <w:rFonts w:ascii="Times New Roman" w:hAnsi="Times New Roman" w:cs="Times New Roman"/>
          <w:sz w:val="26"/>
          <w:szCs w:val="26"/>
        </w:rPr>
      </w:pPr>
    </w:p>
    <w:p w:rsidR="00B50D07" w:rsidRPr="00912D92" w:rsidRDefault="00B849BA" w:rsidP="00912D92">
      <w:pPr>
        <w:pStyle w:val="ListParagraph"/>
        <w:numPr>
          <w:ilvl w:val="0"/>
          <w:numId w:val="1"/>
        </w:numPr>
        <w:spacing w:line="360" w:lineRule="auto"/>
        <w:ind w:left="142" w:firstLine="142"/>
        <w:jc w:val="both"/>
        <w:rPr>
          <w:rFonts w:ascii="Times New Roman" w:hAnsi="Times New Roman" w:cs="Times New Roman"/>
          <w:sz w:val="26"/>
          <w:szCs w:val="26"/>
        </w:rPr>
      </w:pPr>
      <w:r w:rsidRPr="00B50D07">
        <w:rPr>
          <w:rFonts w:ascii="Times New Roman" w:hAnsi="Times New Roman" w:cs="Times New Roman"/>
          <w:sz w:val="26"/>
          <w:szCs w:val="26"/>
        </w:rPr>
        <w:t xml:space="preserve">On 9 September 2022, the </w:t>
      </w:r>
      <w:r w:rsidR="00543193" w:rsidRPr="00B50D07">
        <w:rPr>
          <w:rFonts w:ascii="Times New Roman" w:hAnsi="Times New Roman" w:cs="Times New Roman"/>
          <w:sz w:val="26"/>
          <w:szCs w:val="26"/>
        </w:rPr>
        <w:t>p</w:t>
      </w:r>
      <w:r w:rsidRPr="00B50D07">
        <w:rPr>
          <w:rFonts w:ascii="Times New Roman" w:hAnsi="Times New Roman" w:cs="Times New Roman"/>
          <w:sz w:val="26"/>
          <w:szCs w:val="26"/>
        </w:rPr>
        <w:t>arties amended the agreement to record</w:t>
      </w:r>
      <w:r w:rsidR="00D945BA" w:rsidRPr="00B50D07">
        <w:rPr>
          <w:rFonts w:ascii="Times New Roman" w:hAnsi="Times New Roman" w:cs="Times New Roman"/>
          <w:sz w:val="26"/>
          <w:szCs w:val="26"/>
        </w:rPr>
        <w:t xml:space="preserve">, amongst other things, </w:t>
      </w:r>
      <w:r w:rsidRPr="00B50D07">
        <w:rPr>
          <w:rFonts w:ascii="Times New Roman" w:hAnsi="Times New Roman" w:cs="Times New Roman"/>
          <w:sz w:val="26"/>
          <w:szCs w:val="26"/>
        </w:rPr>
        <w:t xml:space="preserve">that the first </w:t>
      </w:r>
      <w:r w:rsidR="00543193" w:rsidRPr="00B50D07">
        <w:rPr>
          <w:rFonts w:ascii="Times New Roman" w:hAnsi="Times New Roman" w:cs="Times New Roman"/>
          <w:sz w:val="26"/>
          <w:szCs w:val="26"/>
        </w:rPr>
        <w:t>r</w:t>
      </w:r>
      <w:r w:rsidRPr="00B50D07">
        <w:rPr>
          <w:rFonts w:ascii="Times New Roman" w:hAnsi="Times New Roman" w:cs="Times New Roman"/>
          <w:sz w:val="26"/>
          <w:szCs w:val="26"/>
        </w:rPr>
        <w:t>espondent was not entitled to extend its lease without permission</w:t>
      </w:r>
      <w:r w:rsidR="00B448A3" w:rsidRPr="00B50D07">
        <w:rPr>
          <w:rFonts w:ascii="Times New Roman" w:hAnsi="Times New Roman" w:cs="Times New Roman"/>
          <w:sz w:val="26"/>
          <w:szCs w:val="26"/>
        </w:rPr>
        <w:t xml:space="preserve"> </w:t>
      </w:r>
      <w:r w:rsidR="00543193" w:rsidRPr="00B50D07">
        <w:rPr>
          <w:rFonts w:ascii="Times New Roman" w:hAnsi="Times New Roman" w:cs="Times New Roman"/>
          <w:sz w:val="26"/>
          <w:szCs w:val="26"/>
        </w:rPr>
        <w:t>of the applicant.</w:t>
      </w:r>
      <w:r w:rsidR="00D945BA" w:rsidRPr="00B50D07">
        <w:rPr>
          <w:rFonts w:ascii="Times New Roman" w:hAnsi="Times New Roman" w:cs="Times New Roman"/>
          <w:sz w:val="26"/>
          <w:szCs w:val="26"/>
        </w:rPr>
        <w:t xml:space="preserve"> </w:t>
      </w:r>
      <w:r w:rsidR="00912D92" w:rsidRPr="00912D92">
        <w:rPr>
          <w:rFonts w:ascii="Times New Roman" w:hAnsi="Times New Roman" w:cs="Times New Roman"/>
          <w:sz w:val="26"/>
          <w:szCs w:val="26"/>
        </w:rPr>
        <w:t xml:space="preserve">In terms of clause 38.2 no variation to any provision of the agreement or annexure thereto will be of any force or effect unless in writing and signed by the parties. </w:t>
      </w:r>
      <w:r w:rsidR="00912D92">
        <w:rPr>
          <w:rFonts w:ascii="Times New Roman" w:hAnsi="Times New Roman" w:cs="Times New Roman"/>
          <w:sz w:val="26"/>
          <w:szCs w:val="26"/>
        </w:rPr>
        <w:t>I</w:t>
      </w:r>
      <w:r w:rsidR="00912D92" w:rsidRPr="00912D92">
        <w:rPr>
          <w:rFonts w:ascii="Times New Roman" w:hAnsi="Times New Roman" w:cs="Times New Roman"/>
          <w:sz w:val="26"/>
          <w:szCs w:val="26"/>
        </w:rPr>
        <w:t>n compliance with that provision, t</w:t>
      </w:r>
      <w:r w:rsidR="002E368D" w:rsidRPr="00912D92">
        <w:rPr>
          <w:rFonts w:ascii="Times New Roman" w:hAnsi="Times New Roman" w:cs="Times New Roman"/>
          <w:sz w:val="26"/>
          <w:szCs w:val="26"/>
        </w:rPr>
        <w:t xml:space="preserve">he amendment </w:t>
      </w:r>
      <w:r w:rsidR="00912D92" w:rsidRPr="00912D92">
        <w:rPr>
          <w:rFonts w:ascii="Times New Roman" w:hAnsi="Times New Roman" w:cs="Times New Roman"/>
          <w:sz w:val="26"/>
          <w:szCs w:val="26"/>
        </w:rPr>
        <w:t xml:space="preserve">of 9 September 2022 </w:t>
      </w:r>
      <w:r w:rsidR="002E368D" w:rsidRPr="00912D92">
        <w:rPr>
          <w:rFonts w:ascii="Times New Roman" w:hAnsi="Times New Roman" w:cs="Times New Roman"/>
          <w:sz w:val="26"/>
          <w:szCs w:val="26"/>
        </w:rPr>
        <w:t xml:space="preserve">was effected in terms of an addendum to the agreement, which </w:t>
      </w:r>
      <w:r w:rsidR="00D00AD8" w:rsidRPr="00912D92">
        <w:rPr>
          <w:rFonts w:ascii="Times New Roman" w:hAnsi="Times New Roman" w:cs="Times New Roman"/>
          <w:sz w:val="26"/>
          <w:szCs w:val="26"/>
        </w:rPr>
        <w:t xml:space="preserve">recorded that the agreement was between the applicant and </w:t>
      </w:r>
      <w:r w:rsidR="00D00AD8" w:rsidRPr="00912D92">
        <w:rPr>
          <w:rFonts w:ascii="Times New Roman" w:hAnsi="Times New Roman" w:cs="Times New Roman"/>
          <w:i/>
          <w:iCs/>
          <w:sz w:val="26"/>
          <w:szCs w:val="26"/>
        </w:rPr>
        <w:t>“Neovision Woodstock Incorporated t</w:t>
      </w:r>
      <w:r w:rsidR="007318D5" w:rsidRPr="00912D92">
        <w:rPr>
          <w:rFonts w:ascii="Times New Roman" w:hAnsi="Times New Roman" w:cs="Times New Roman"/>
          <w:i/>
          <w:iCs/>
          <w:sz w:val="26"/>
          <w:szCs w:val="26"/>
        </w:rPr>
        <w:t>r</w:t>
      </w:r>
      <w:r w:rsidR="00D00AD8" w:rsidRPr="00912D92">
        <w:rPr>
          <w:rFonts w:ascii="Times New Roman" w:hAnsi="Times New Roman" w:cs="Times New Roman"/>
          <w:i/>
          <w:iCs/>
          <w:sz w:val="26"/>
          <w:szCs w:val="26"/>
        </w:rPr>
        <w:t>a</w:t>
      </w:r>
      <w:r w:rsidR="007318D5" w:rsidRPr="00912D92">
        <w:rPr>
          <w:rFonts w:ascii="Times New Roman" w:hAnsi="Times New Roman" w:cs="Times New Roman"/>
          <w:i/>
          <w:iCs/>
          <w:sz w:val="26"/>
          <w:szCs w:val="26"/>
        </w:rPr>
        <w:t>ding as</w:t>
      </w:r>
      <w:r w:rsidR="00D00AD8" w:rsidRPr="00912D92">
        <w:rPr>
          <w:rFonts w:ascii="Times New Roman" w:hAnsi="Times New Roman" w:cs="Times New Roman"/>
          <w:i/>
          <w:iCs/>
          <w:sz w:val="26"/>
          <w:szCs w:val="26"/>
        </w:rPr>
        <w:t xml:space="preserve"> Neovision Waterfront”</w:t>
      </w:r>
      <w:r w:rsidR="00D00AD8" w:rsidRPr="00912D92">
        <w:rPr>
          <w:rFonts w:ascii="Times New Roman" w:hAnsi="Times New Roman" w:cs="Times New Roman"/>
          <w:sz w:val="26"/>
          <w:szCs w:val="26"/>
        </w:rPr>
        <w:t xml:space="preserve">. </w:t>
      </w:r>
      <w:r w:rsidR="002E368D" w:rsidRPr="00912D92">
        <w:rPr>
          <w:rFonts w:ascii="Times New Roman" w:hAnsi="Times New Roman" w:cs="Times New Roman"/>
          <w:sz w:val="26"/>
          <w:szCs w:val="26"/>
        </w:rPr>
        <w:t xml:space="preserve"> </w:t>
      </w:r>
      <w:r w:rsidR="00912D92" w:rsidRPr="00912D92">
        <w:rPr>
          <w:rFonts w:ascii="Times New Roman" w:hAnsi="Times New Roman" w:cs="Times New Roman"/>
          <w:sz w:val="26"/>
          <w:szCs w:val="26"/>
        </w:rPr>
        <w:t>By contrast, it is common cause that no amendments were effected to the agreement as a result of the opening of the Waterfront site. There was also no amendment effected to the agreement as a result of the closure of the Woodstock site.</w:t>
      </w:r>
    </w:p>
    <w:p w:rsidR="00E85F7C" w:rsidRPr="0093159E" w:rsidRDefault="00B448A3" w:rsidP="0093159E">
      <w:pPr>
        <w:pStyle w:val="ListParagraph"/>
        <w:numPr>
          <w:ilvl w:val="0"/>
          <w:numId w:val="1"/>
        </w:numPr>
        <w:spacing w:line="360" w:lineRule="auto"/>
        <w:ind w:left="0" w:firstLine="142"/>
        <w:jc w:val="both"/>
        <w:rPr>
          <w:rFonts w:ascii="Times New Roman" w:hAnsi="Times New Roman" w:cs="Times New Roman"/>
          <w:sz w:val="26"/>
          <w:szCs w:val="26"/>
        </w:rPr>
      </w:pPr>
      <w:r w:rsidRPr="002E368D">
        <w:rPr>
          <w:rFonts w:ascii="Times New Roman" w:hAnsi="Times New Roman" w:cs="Times New Roman"/>
          <w:sz w:val="26"/>
          <w:szCs w:val="26"/>
        </w:rPr>
        <w:t>On 27 October 2022, the parties</w:t>
      </w:r>
      <w:r w:rsidR="002E368D" w:rsidRPr="002E368D">
        <w:rPr>
          <w:rFonts w:ascii="Times New Roman" w:hAnsi="Times New Roman" w:cs="Times New Roman"/>
          <w:sz w:val="26"/>
          <w:szCs w:val="26"/>
        </w:rPr>
        <w:t xml:space="preserve"> sign</w:t>
      </w:r>
      <w:r w:rsidR="007318D5">
        <w:rPr>
          <w:rFonts w:ascii="Times New Roman" w:hAnsi="Times New Roman" w:cs="Times New Roman"/>
          <w:sz w:val="26"/>
          <w:szCs w:val="26"/>
        </w:rPr>
        <w:t>ed a further</w:t>
      </w:r>
      <w:r w:rsidR="00D00AD8">
        <w:rPr>
          <w:rFonts w:ascii="Times New Roman" w:hAnsi="Times New Roman" w:cs="Times New Roman"/>
          <w:sz w:val="26"/>
          <w:szCs w:val="26"/>
        </w:rPr>
        <w:t xml:space="preserve"> </w:t>
      </w:r>
      <w:r w:rsidRPr="002E368D">
        <w:rPr>
          <w:rFonts w:ascii="Times New Roman" w:hAnsi="Times New Roman" w:cs="Times New Roman"/>
          <w:sz w:val="26"/>
          <w:szCs w:val="26"/>
        </w:rPr>
        <w:t>amend</w:t>
      </w:r>
      <w:r w:rsidR="007318D5">
        <w:rPr>
          <w:rFonts w:ascii="Times New Roman" w:hAnsi="Times New Roman" w:cs="Times New Roman"/>
          <w:sz w:val="26"/>
          <w:szCs w:val="26"/>
        </w:rPr>
        <w:t xml:space="preserve">ment to </w:t>
      </w:r>
      <w:r w:rsidRPr="002E368D">
        <w:rPr>
          <w:rFonts w:ascii="Times New Roman" w:hAnsi="Times New Roman" w:cs="Times New Roman"/>
          <w:sz w:val="26"/>
          <w:szCs w:val="26"/>
        </w:rPr>
        <w:t xml:space="preserve">the agreement, recording that Neovision Woodstock Incorporated </w:t>
      </w:r>
      <w:r w:rsidR="007318D5">
        <w:rPr>
          <w:rFonts w:ascii="Times New Roman" w:hAnsi="Times New Roman" w:cs="Times New Roman"/>
          <w:sz w:val="26"/>
          <w:szCs w:val="26"/>
        </w:rPr>
        <w:t xml:space="preserve">had </w:t>
      </w:r>
      <w:r w:rsidR="00807E66" w:rsidRPr="002E368D">
        <w:rPr>
          <w:rFonts w:ascii="Times New Roman" w:hAnsi="Times New Roman" w:cs="Times New Roman"/>
          <w:sz w:val="26"/>
          <w:szCs w:val="26"/>
        </w:rPr>
        <w:t>c</w:t>
      </w:r>
      <w:r w:rsidRPr="002E368D">
        <w:rPr>
          <w:rFonts w:ascii="Times New Roman" w:hAnsi="Times New Roman" w:cs="Times New Roman"/>
          <w:sz w:val="26"/>
          <w:szCs w:val="26"/>
        </w:rPr>
        <w:t>hanged its name to Neo</w:t>
      </w:r>
      <w:r w:rsidR="00F36D4F" w:rsidRPr="002E368D">
        <w:rPr>
          <w:rFonts w:ascii="Times New Roman" w:hAnsi="Times New Roman" w:cs="Times New Roman"/>
          <w:sz w:val="26"/>
          <w:szCs w:val="26"/>
        </w:rPr>
        <w:t>v</w:t>
      </w:r>
      <w:r w:rsidRPr="002E368D">
        <w:rPr>
          <w:rFonts w:ascii="Times New Roman" w:hAnsi="Times New Roman" w:cs="Times New Roman"/>
          <w:sz w:val="26"/>
          <w:szCs w:val="26"/>
        </w:rPr>
        <w:t xml:space="preserve">ision </w:t>
      </w:r>
      <w:r w:rsidR="00C43132" w:rsidRPr="002E368D">
        <w:rPr>
          <w:rFonts w:ascii="Times New Roman" w:hAnsi="Times New Roman" w:cs="Times New Roman"/>
          <w:sz w:val="26"/>
          <w:szCs w:val="26"/>
        </w:rPr>
        <w:t>Waterfront</w:t>
      </w:r>
      <w:r w:rsidRPr="002E368D">
        <w:rPr>
          <w:rFonts w:ascii="Times New Roman" w:hAnsi="Times New Roman" w:cs="Times New Roman"/>
          <w:sz w:val="26"/>
          <w:szCs w:val="26"/>
        </w:rPr>
        <w:t xml:space="preserve"> Incorporated. </w:t>
      </w:r>
      <w:r w:rsidR="007318D5" w:rsidRPr="007318D5">
        <w:rPr>
          <w:rFonts w:ascii="Times New Roman" w:hAnsi="Times New Roman" w:cs="Times New Roman"/>
          <w:sz w:val="26"/>
          <w:szCs w:val="26"/>
        </w:rPr>
        <w:t xml:space="preserve">The first respondent was described in that agreement as </w:t>
      </w:r>
      <w:r w:rsidR="007318D5" w:rsidRPr="0093159E">
        <w:rPr>
          <w:rFonts w:ascii="Times New Roman" w:hAnsi="Times New Roman" w:cs="Times New Roman"/>
          <w:i/>
          <w:iCs/>
          <w:color w:val="000000" w:themeColor="text1"/>
          <w:sz w:val="26"/>
          <w:szCs w:val="26"/>
        </w:rPr>
        <w:t xml:space="preserve">“Neovision Waterfront Incorporated (previously Neovision Woodstock Incorporated trading as </w:t>
      </w:r>
      <w:r w:rsidR="0093159E" w:rsidRPr="0093159E">
        <w:rPr>
          <w:rFonts w:ascii="Times New Roman" w:hAnsi="Times New Roman" w:cs="Times New Roman"/>
          <w:i/>
          <w:iCs/>
          <w:color w:val="000000" w:themeColor="text1"/>
          <w:sz w:val="26"/>
          <w:szCs w:val="26"/>
        </w:rPr>
        <w:t>N</w:t>
      </w:r>
      <w:r w:rsidR="007318D5" w:rsidRPr="0093159E">
        <w:rPr>
          <w:rFonts w:ascii="Times New Roman" w:hAnsi="Times New Roman" w:cs="Times New Roman"/>
          <w:i/>
          <w:iCs/>
          <w:color w:val="000000" w:themeColor="text1"/>
          <w:sz w:val="26"/>
          <w:szCs w:val="26"/>
        </w:rPr>
        <w:t xml:space="preserve">eovision </w:t>
      </w:r>
      <w:r w:rsidR="0093159E" w:rsidRPr="0093159E">
        <w:rPr>
          <w:rFonts w:ascii="Times New Roman" w:hAnsi="Times New Roman" w:cs="Times New Roman"/>
          <w:i/>
          <w:iCs/>
          <w:color w:val="000000" w:themeColor="text1"/>
          <w:sz w:val="26"/>
          <w:szCs w:val="26"/>
        </w:rPr>
        <w:t>W</w:t>
      </w:r>
      <w:r w:rsidR="007318D5" w:rsidRPr="0093159E">
        <w:rPr>
          <w:rFonts w:ascii="Times New Roman" w:hAnsi="Times New Roman" w:cs="Times New Roman"/>
          <w:i/>
          <w:iCs/>
          <w:color w:val="000000" w:themeColor="text1"/>
          <w:sz w:val="26"/>
          <w:szCs w:val="26"/>
        </w:rPr>
        <w:t>aterfront)</w:t>
      </w:r>
      <w:r w:rsidR="00037CE4">
        <w:rPr>
          <w:rFonts w:ascii="Times New Roman" w:hAnsi="Times New Roman" w:cs="Times New Roman"/>
          <w:i/>
          <w:iCs/>
          <w:color w:val="000000" w:themeColor="text1"/>
          <w:sz w:val="26"/>
          <w:szCs w:val="26"/>
        </w:rPr>
        <w:t xml:space="preserve">, </w:t>
      </w:r>
      <w:r w:rsidR="00037CE4" w:rsidRPr="00037CE4">
        <w:rPr>
          <w:rFonts w:ascii="Times New Roman" w:hAnsi="Times New Roman" w:cs="Times New Roman"/>
          <w:i/>
          <w:iCs/>
          <w:color w:val="000000" w:themeColor="text1"/>
          <w:sz w:val="26"/>
          <w:szCs w:val="26"/>
        </w:rPr>
        <w:t>a company registered in accordance with the laws of South Africa under registration number 2017/4122</w:t>
      </w:r>
      <w:r w:rsidR="00037CE4">
        <w:rPr>
          <w:rFonts w:ascii="Times New Roman" w:hAnsi="Times New Roman" w:cs="Times New Roman"/>
          <w:i/>
          <w:iCs/>
          <w:color w:val="000000" w:themeColor="text1"/>
          <w:sz w:val="26"/>
          <w:szCs w:val="26"/>
        </w:rPr>
        <w:t>3</w:t>
      </w:r>
      <w:r w:rsidR="00037CE4" w:rsidRPr="00037CE4">
        <w:rPr>
          <w:rFonts w:ascii="Times New Roman" w:hAnsi="Times New Roman" w:cs="Times New Roman"/>
          <w:i/>
          <w:iCs/>
          <w:color w:val="000000" w:themeColor="text1"/>
          <w:sz w:val="26"/>
          <w:szCs w:val="26"/>
        </w:rPr>
        <w:t xml:space="preserve">2/21, 8 </w:t>
      </w:r>
      <w:r w:rsidR="00037CE4">
        <w:rPr>
          <w:rFonts w:ascii="Times New Roman" w:hAnsi="Times New Roman" w:cs="Times New Roman"/>
          <w:i/>
          <w:iCs/>
          <w:color w:val="000000" w:themeColor="text1"/>
          <w:sz w:val="26"/>
          <w:szCs w:val="26"/>
        </w:rPr>
        <w:t>D</w:t>
      </w:r>
      <w:r w:rsidR="00037CE4" w:rsidRPr="00037CE4">
        <w:rPr>
          <w:rFonts w:ascii="Times New Roman" w:hAnsi="Times New Roman" w:cs="Times New Roman"/>
          <w:i/>
          <w:iCs/>
          <w:color w:val="000000" w:themeColor="text1"/>
          <w:sz w:val="26"/>
          <w:szCs w:val="26"/>
        </w:rPr>
        <w:t xml:space="preserve">ock </w:t>
      </w:r>
      <w:r w:rsidR="00037CE4">
        <w:rPr>
          <w:rFonts w:ascii="Times New Roman" w:hAnsi="Times New Roman" w:cs="Times New Roman"/>
          <w:i/>
          <w:iCs/>
          <w:color w:val="000000" w:themeColor="text1"/>
          <w:sz w:val="26"/>
          <w:szCs w:val="26"/>
        </w:rPr>
        <w:t>R</w:t>
      </w:r>
      <w:r w:rsidR="00037CE4" w:rsidRPr="00037CE4">
        <w:rPr>
          <w:rFonts w:ascii="Times New Roman" w:hAnsi="Times New Roman" w:cs="Times New Roman"/>
          <w:i/>
          <w:iCs/>
          <w:color w:val="000000" w:themeColor="text1"/>
          <w:sz w:val="26"/>
          <w:szCs w:val="26"/>
        </w:rPr>
        <w:t xml:space="preserve">oad, </w:t>
      </w:r>
      <w:r w:rsidR="00037CE4">
        <w:rPr>
          <w:rFonts w:ascii="Times New Roman" w:hAnsi="Times New Roman" w:cs="Times New Roman"/>
          <w:i/>
          <w:iCs/>
          <w:color w:val="000000" w:themeColor="text1"/>
          <w:sz w:val="26"/>
          <w:szCs w:val="26"/>
        </w:rPr>
        <w:t>C</w:t>
      </w:r>
      <w:r w:rsidR="00037CE4" w:rsidRPr="00037CE4">
        <w:rPr>
          <w:rFonts w:ascii="Times New Roman" w:hAnsi="Times New Roman" w:cs="Times New Roman"/>
          <w:i/>
          <w:iCs/>
          <w:color w:val="000000" w:themeColor="text1"/>
          <w:sz w:val="26"/>
          <w:szCs w:val="26"/>
        </w:rPr>
        <w:t xml:space="preserve">ape </w:t>
      </w:r>
      <w:r w:rsidR="00037CE4">
        <w:rPr>
          <w:rFonts w:ascii="Times New Roman" w:hAnsi="Times New Roman" w:cs="Times New Roman"/>
          <w:i/>
          <w:iCs/>
          <w:color w:val="000000" w:themeColor="text1"/>
          <w:sz w:val="26"/>
          <w:szCs w:val="26"/>
        </w:rPr>
        <w:t>T</w:t>
      </w:r>
      <w:r w:rsidR="00037CE4" w:rsidRPr="00037CE4">
        <w:rPr>
          <w:rFonts w:ascii="Times New Roman" w:hAnsi="Times New Roman" w:cs="Times New Roman"/>
          <w:i/>
          <w:iCs/>
          <w:color w:val="000000" w:themeColor="text1"/>
          <w:sz w:val="26"/>
          <w:szCs w:val="26"/>
        </w:rPr>
        <w:t>own</w:t>
      </w:r>
      <w:r w:rsidR="00037CE4">
        <w:rPr>
          <w:rFonts w:ascii="Times New Roman" w:hAnsi="Times New Roman" w:cs="Times New Roman"/>
          <w:i/>
          <w:iCs/>
          <w:color w:val="000000" w:themeColor="text1"/>
          <w:sz w:val="26"/>
          <w:szCs w:val="26"/>
        </w:rPr>
        <w:t xml:space="preserve"> C</w:t>
      </w:r>
      <w:r w:rsidR="00037CE4" w:rsidRPr="00037CE4">
        <w:rPr>
          <w:rFonts w:ascii="Times New Roman" w:hAnsi="Times New Roman" w:cs="Times New Roman"/>
          <w:i/>
          <w:iCs/>
          <w:color w:val="000000" w:themeColor="text1"/>
          <w:sz w:val="26"/>
          <w:szCs w:val="26"/>
        </w:rPr>
        <w:t xml:space="preserve">ity </w:t>
      </w:r>
      <w:r w:rsidR="00037CE4">
        <w:rPr>
          <w:rFonts w:ascii="Times New Roman" w:hAnsi="Times New Roman" w:cs="Times New Roman"/>
          <w:i/>
          <w:iCs/>
          <w:color w:val="000000" w:themeColor="text1"/>
          <w:sz w:val="26"/>
          <w:szCs w:val="26"/>
        </w:rPr>
        <w:t>C</w:t>
      </w:r>
      <w:r w:rsidR="00037CE4" w:rsidRPr="00037CE4">
        <w:rPr>
          <w:rFonts w:ascii="Times New Roman" w:hAnsi="Times New Roman" w:cs="Times New Roman"/>
          <w:i/>
          <w:iCs/>
          <w:color w:val="000000" w:themeColor="text1"/>
          <w:sz w:val="26"/>
          <w:szCs w:val="26"/>
        </w:rPr>
        <w:t xml:space="preserve">entre, </w:t>
      </w:r>
      <w:r w:rsidR="00037CE4">
        <w:rPr>
          <w:rFonts w:ascii="Times New Roman" w:hAnsi="Times New Roman" w:cs="Times New Roman"/>
          <w:i/>
          <w:iCs/>
          <w:color w:val="000000" w:themeColor="text1"/>
          <w:sz w:val="26"/>
          <w:szCs w:val="26"/>
        </w:rPr>
        <w:t>W</w:t>
      </w:r>
      <w:r w:rsidR="00037CE4" w:rsidRPr="00037CE4">
        <w:rPr>
          <w:rFonts w:ascii="Times New Roman" w:hAnsi="Times New Roman" w:cs="Times New Roman"/>
          <w:i/>
          <w:iCs/>
          <w:color w:val="000000" w:themeColor="text1"/>
          <w:sz w:val="26"/>
          <w:szCs w:val="26"/>
        </w:rPr>
        <w:t>aterfront</w:t>
      </w:r>
      <w:r w:rsidR="00037CE4">
        <w:rPr>
          <w:rFonts w:ascii="Times New Roman" w:hAnsi="Times New Roman" w:cs="Times New Roman"/>
          <w:i/>
          <w:iCs/>
          <w:color w:val="000000" w:themeColor="text1"/>
          <w:sz w:val="26"/>
          <w:szCs w:val="26"/>
        </w:rPr>
        <w:t>,</w:t>
      </w:r>
      <w:r w:rsidR="00037CE4" w:rsidRPr="00037CE4">
        <w:rPr>
          <w:rFonts w:ascii="Times New Roman" w:hAnsi="Times New Roman" w:cs="Times New Roman"/>
          <w:i/>
          <w:iCs/>
          <w:color w:val="000000" w:themeColor="text1"/>
          <w:sz w:val="26"/>
          <w:szCs w:val="26"/>
        </w:rPr>
        <w:t xml:space="preserve"> 8001, </w:t>
      </w:r>
      <w:r w:rsidR="00037CE4">
        <w:rPr>
          <w:rFonts w:ascii="Times New Roman" w:hAnsi="Times New Roman" w:cs="Times New Roman"/>
          <w:i/>
          <w:iCs/>
          <w:color w:val="000000" w:themeColor="text1"/>
          <w:sz w:val="26"/>
          <w:szCs w:val="26"/>
        </w:rPr>
        <w:t>C</w:t>
      </w:r>
      <w:r w:rsidR="00037CE4" w:rsidRPr="00037CE4">
        <w:rPr>
          <w:rFonts w:ascii="Times New Roman" w:hAnsi="Times New Roman" w:cs="Times New Roman"/>
          <w:i/>
          <w:iCs/>
          <w:color w:val="000000" w:themeColor="text1"/>
          <w:sz w:val="26"/>
          <w:szCs w:val="26"/>
        </w:rPr>
        <w:t xml:space="preserve">ape </w:t>
      </w:r>
      <w:r w:rsidR="00037CE4">
        <w:rPr>
          <w:rFonts w:ascii="Times New Roman" w:hAnsi="Times New Roman" w:cs="Times New Roman"/>
          <w:i/>
          <w:iCs/>
          <w:color w:val="000000" w:themeColor="text1"/>
          <w:sz w:val="26"/>
          <w:szCs w:val="26"/>
        </w:rPr>
        <w:t>T</w:t>
      </w:r>
      <w:r w:rsidR="00037CE4" w:rsidRPr="00037CE4">
        <w:rPr>
          <w:rFonts w:ascii="Times New Roman" w:hAnsi="Times New Roman" w:cs="Times New Roman"/>
          <w:i/>
          <w:iCs/>
          <w:color w:val="000000" w:themeColor="text1"/>
          <w:sz w:val="26"/>
          <w:szCs w:val="26"/>
        </w:rPr>
        <w:t xml:space="preserve">own, </w:t>
      </w:r>
      <w:r w:rsidR="00037CE4">
        <w:rPr>
          <w:rFonts w:ascii="Times New Roman" w:hAnsi="Times New Roman" w:cs="Times New Roman"/>
          <w:i/>
          <w:iCs/>
          <w:color w:val="000000" w:themeColor="text1"/>
          <w:sz w:val="26"/>
          <w:szCs w:val="26"/>
        </w:rPr>
        <w:t>S</w:t>
      </w:r>
      <w:r w:rsidR="00037CE4" w:rsidRPr="00037CE4">
        <w:rPr>
          <w:rFonts w:ascii="Times New Roman" w:hAnsi="Times New Roman" w:cs="Times New Roman"/>
          <w:i/>
          <w:iCs/>
          <w:color w:val="000000" w:themeColor="text1"/>
          <w:sz w:val="26"/>
          <w:szCs w:val="26"/>
        </w:rPr>
        <w:t xml:space="preserve">outh </w:t>
      </w:r>
      <w:r w:rsidR="00037CE4">
        <w:rPr>
          <w:rFonts w:ascii="Times New Roman" w:hAnsi="Times New Roman" w:cs="Times New Roman"/>
          <w:i/>
          <w:iCs/>
          <w:color w:val="000000" w:themeColor="text1"/>
          <w:sz w:val="26"/>
          <w:szCs w:val="26"/>
        </w:rPr>
        <w:t>A</w:t>
      </w:r>
      <w:r w:rsidR="00037CE4" w:rsidRPr="00037CE4">
        <w:rPr>
          <w:rFonts w:ascii="Times New Roman" w:hAnsi="Times New Roman" w:cs="Times New Roman"/>
          <w:i/>
          <w:iCs/>
          <w:color w:val="000000" w:themeColor="text1"/>
          <w:sz w:val="26"/>
          <w:szCs w:val="26"/>
        </w:rPr>
        <w:t>frica</w:t>
      </w:r>
      <w:r w:rsidR="00037CE4">
        <w:rPr>
          <w:rFonts w:ascii="Times New Roman" w:hAnsi="Times New Roman" w:cs="Times New Roman"/>
          <w:i/>
          <w:iCs/>
          <w:color w:val="000000" w:themeColor="text1"/>
          <w:sz w:val="26"/>
          <w:szCs w:val="26"/>
        </w:rPr>
        <w:t xml:space="preserve"> (N</w:t>
      </w:r>
      <w:r w:rsidR="00037CE4" w:rsidRPr="00037CE4">
        <w:rPr>
          <w:rFonts w:ascii="Times New Roman" w:hAnsi="Times New Roman" w:cs="Times New Roman"/>
          <w:i/>
          <w:iCs/>
          <w:color w:val="000000" w:themeColor="text1"/>
          <w:sz w:val="26"/>
          <w:szCs w:val="26"/>
        </w:rPr>
        <w:t>e</w:t>
      </w:r>
      <w:r w:rsidR="00037CE4">
        <w:rPr>
          <w:rFonts w:ascii="Times New Roman" w:hAnsi="Times New Roman" w:cs="Times New Roman"/>
          <w:i/>
          <w:iCs/>
          <w:color w:val="000000" w:themeColor="text1"/>
          <w:sz w:val="26"/>
          <w:szCs w:val="26"/>
        </w:rPr>
        <w:t>o</w:t>
      </w:r>
      <w:r w:rsidR="00037CE4" w:rsidRPr="00037CE4">
        <w:rPr>
          <w:rFonts w:ascii="Times New Roman" w:hAnsi="Times New Roman" w:cs="Times New Roman"/>
          <w:i/>
          <w:iCs/>
          <w:color w:val="000000" w:themeColor="text1"/>
          <w:sz w:val="26"/>
          <w:szCs w:val="26"/>
        </w:rPr>
        <w:t>vision</w:t>
      </w:r>
      <w:r w:rsidR="00037CE4">
        <w:rPr>
          <w:rFonts w:ascii="Times New Roman" w:hAnsi="Times New Roman" w:cs="Times New Roman"/>
          <w:i/>
          <w:iCs/>
          <w:color w:val="000000" w:themeColor="text1"/>
          <w:sz w:val="26"/>
          <w:szCs w:val="26"/>
        </w:rPr>
        <w:t>,</w:t>
      </w:r>
      <w:r w:rsidR="00037CE4" w:rsidRPr="00037CE4">
        <w:rPr>
          <w:rFonts w:ascii="Times New Roman" w:hAnsi="Times New Roman" w:cs="Times New Roman"/>
          <w:i/>
          <w:iCs/>
          <w:color w:val="000000" w:themeColor="text1"/>
          <w:sz w:val="26"/>
          <w:szCs w:val="26"/>
        </w:rPr>
        <w:t xml:space="preserve"> </w:t>
      </w:r>
      <w:r w:rsidR="00037CE4">
        <w:rPr>
          <w:rFonts w:ascii="Times New Roman" w:hAnsi="Times New Roman" w:cs="Times New Roman"/>
          <w:i/>
          <w:iCs/>
          <w:color w:val="000000" w:themeColor="text1"/>
          <w:sz w:val="26"/>
          <w:szCs w:val="26"/>
        </w:rPr>
        <w:t>W</w:t>
      </w:r>
      <w:r w:rsidR="00037CE4" w:rsidRPr="00037CE4">
        <w:rPr>
          <w:rFonts w:ascii="Times New Roman" w:hAnsi="Times New Roman" w:cs="Times New Roman"/>
          <w:i/>
          <w:iCs/>
          <w:color w:val="000000" w:themeColor="text1"/>
          <w:sz w:val="26"/>
          <w:szCs w:val="26"/>
        </w:rPr>
        <w:t>aterfront</w:t>
      </w:r>
      <w:r w:rsidR="00037CE4">
        <w:rPr>
          <w:rFonts w:ascii="Times New Roman" w:hAnsi="Times New Roman" w:cs="Times New Roman"/>
          <w:i/>
          <w:iCs/>
          <w:color w:val="000000" w:themeColor="text1"/>
          <w:sz w:val="26"/>
          <w:szCs w:val="26"/>
        </w:rPr>
        <w:t>)”.</w:t>
      </w:r>
    </w:p>
    <w:p w:rsidR="0093159E" w:rsidRDefault="0093159E" w:rsidP="0093159E">
      <w:pPr>
        <w:pStyle w:val="ListParagraph"/>
        <w:spacing w:line="360" w:lineRule="auto"/>
        <w:ind w:left="142"/>
        <w:jc w:val="both"/>
        <w:rPr>
          <w:rFonts w:ascii="Times New Roman" w:hAnsi="Times New Roman" w:cs="Times New Roman"/>
          <w:sz w:val="26"/>
          <w:szCs w:val="26"/>
        </w:rPr>
      </w:pPr>
    </w:p>
    <w:p w:rsidR="0093159E" w:rsidRDefault="0093159E" w:rsidP="0093159E">
      <w:pPr>
        <w:pStyle w:val="ListParagraph"/>
        <w:numPr>
          <w:ilvl w:val="0"/>
          <w:numId w:val="1"/>
        </w:numPr>
        <w:spacing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B</w:t>
      </w:r>
      <w:r w:rsidRPr="0093159E">
        <w:rPr>
          <w:rFonts w:ascii="Times New Roman" w:hAnsi="Times New Roman" w:cs="Times New Roman"/>
          <w:sz w:val="26"/>
          <w:szCs w:val="26"/>
        </w:rPr>
        <w:t>y letter dated 28 October 202</w:t>
      </w:r>
      <w:r>
        <w:rPr>
          <w:rFonts w:ascii="Times New Roman" w:hAnsi="Times New Roman" w:cs="Times New Roman"/>
          <w:sz w:val="26"/>
          <w:szCs w:val="26"/>
        </w:rPr>
        <w:t xml:space="preserve">2 </w:t>
      </w:r>
      <w:r w:rsidR="00B448A3" w:rsidRPr="0093159E">
        <w:rPr>
          <w:rFonts w:ascii="Times New Roman" w:hAnsi="Times New Roman" w:cs="Times New Roman"/>
          <w:sz w:val="26"/>
          <w:szCs w:val="26"/>
        </w:rPr>
        <w:t xml:space="preserve">the applicant </w:t>
      </w:r>
      <w:r>
        <w:rPr>
          <w:rFonts w:ascii="Times New Roman" w:hAnsi="Times New Roman" w:cs="Times New Roman"/>
          <w:sz w:val="26"/>
          <w:szCs w:val="26"/>
        </w:rPr>
        <w:t>granted</w:t>
      </w:r>
      <w:r w:rsidRPr="0093159E">
        <w:rPr>
          <w:rFonts w:ascii="Times New Roman" w:hAnsi="Times New Roman" w:cs="Times New Roman"/>
          <w:sz w:val="26"/>
          <w:szCs w:val="26"/>
        </w:rPr>
        <w:t xml:space="preserve"> </w:t>
      </w:r>
      <w:r w:rsidR="00B448A3" w:rsidRPr="0093159E">
        <w:rPr>
          <w:rFonts w:ascii="Times New Roman" w:hAnsi="Times New Roman" w:cs="Times New Roman"/>
          <w:sz w:val="26"/>
          <w:szCs w:val="26"/>
        </w:rPr>
        <w:t xml:space="preserve">consent for the first respondent to enter into a </w:t>
      </w:r>
      <w:r>
        <w:rPr>
          <w:rFonts w:ascii="Times New Roman" w:hAnsi="Times New Roman" w:cs="Times New Roman"/>
          <w:sz w:val="26"/>
          <w:szCs w:val="26"/>
        </w:rPr>
        <w:t xml:space="preserve">further </w:t>
      </w:r>
      <w:r w:rsidR="00B448A3" w:rsidRPr="0093159E">
        <w:rPr>
          <w:rFonts w:ascii="Times New Roman" w:hAnsi="Times New Roman" w:cs="Times New Roman"/>
          <w:sz w:val="26"/>
          <w:szCs w:val="26"/>
        </w:rPr>
        <w:t>lease agreement with</w:t>
      </w:r>
      <w:r>
        <w:rPr>
          <w:rFonts w:ascii="Times New Roman" w:hAnsi="Times New Roman" w:cs="Times New Roman"/>
          <w:sz w:val="26"/>
          <w:szCs w:val="26"/>
        </w:rPr>
        <w:t xml:space="preserve"> the</w:t>
      </w:r>
      <w:r w:rsidR="00B448A3" w:rsidRPr="0093159E">
        <w:rPr>
          <w:rFonts w:ascii="Times New Roman" w:hAnsi="Times New Roman" w:cs="Times New Roman"/>
          <w:sz w:val="26"/>
          <w:szCs w:val="26"/>
        </w:rPr>
        <w:t xml:space="preserve"> V</w:t>
      </w:r>
      <w:r>
        <w:rPr>
          <w:rFonts w:ascii="Times New Roman" w:hAnsi="Times New Roman" w:cs="Times New Roman"/>
          <w:sz w:val="26"/>
          <w:szCs w:val="26"/>
        </w:rPr>
        <w:t>&amp;</w:t>
      </w:r>
      <w:r w:rsidR="00FB219F" w:rsidRPr="0093159E">
        <w:rPr>
          <w:rFonts w:ascii="Times New Roman" w:hAnsi="Times New Roman" w:cs="Times New Roman"/>
          <w:sz w:val="26"/>
          <w:szCs w:val="26"/>
        </w:rPr>
        <w:t>A</w:t>
      </w:r>
      <w:r w:rsidR="00B448A3" w:rsidRPr="0093159E">
        <w:rPr>
          <w:rFonts w:ascii="Times New Roman" w:hAnsi="Times New Roman" w:cs="Times New Roman"/>
          <w:sz w:val="26"/>
          <w:szCs w:val="26"/>
        </w:rPr>
        <w:t xml:space="preserve"> </w:t>
      </w:r>
      <w:r w:rsidR="00C43132" w:rsidRPr="0093159E">
        <w:rPr>
          <w:rFonts w:ascii="Times New Roman" w:hAnsi="Times New Roman" w:cs="Times New Roman"/>
          <w:sz w:val="26"/>
          <w:szCs w:val="26"/>
        </w:rPr>
        <w:t>Waterfront</w:t>
      </w:r>
      <w:r w:rsidR="00B448A3" w:rsidRPr="0093159E">
        <w:rPr>
          <w:rFonts w:ascii="Times New Roman" w:hAnsi="Times New Roman" w:cs="Times New Roman"/>
          <w:sz w:val="26"/>
          <w:szCs w:val="26"/>
        </w:rPr>
        <w:t xml:space="preserve"> </w:t>
      </w:r>
      <w:r w:rsidR="00FB219F" w:rsidRPr="0093159E">
        <w:rPr>
          <w:rFonts w:ascii="Times New Roman" w:hAnsi="Times New Roman" w:cs="Times New Roman"/>
          <w:sz w:val="26"/>
          <w:szCs w:val="26"/>
        </w:rPr>
        <w:t>(</w:t>
      </w:r>
      <w:r>
        <w:rPr>
          <w:rFonts w:ascii="Times New Roman" w:hAnsi="Times New Roman" w:cs="Times New Roman"/>
          <w:sz w:val="26"/>
          <w:szCs w:val="26"/>
        </w:rPr>
        <w:t>P</w:t>
      </w:r>
      <w:r w:rsidR="00FB219F" w:rsidRPr="0093159E">
        <w:rPr>
          <w:rFonts w:ascii="Times New Roman" w:hAnsi="Times New Roman" w:cs="Times New Roman"/>
          <w:sz w:val="26"/>
          <w:szCs w:val="26"/>
        </w:rPr>
        <w:t>ty)</w:t>
      </w:r>
      <w:r w:rsidR="00B448A3" w:rsidRPr="0093159E">
        <w:rPr>
          <w:rFonts w:ascii="Times New Roman" w:hAnsi="Times New Roman" w:cs="Times New Roman"/>
          <w:sz w:val="26"/>
          <w:szCs w:val="26"/>
        </w:rPr>
        <w:t xml:space="preserve"> Ltd for</w:t>
      </w:r>
      <w:r w:rsidR="00FB219F" w:rsidRPr="0093159E">
        <w:rPr>
          <w:rFonts w:ascii="Times New Roman" w:hAnsi="Times New Roman" w:cs="Times New Roman"/>
          <w:sz w:val="26"/>
          <w:szCs w:val="26"/>
        </w:rPr>
        <w:t xml:space="preserve"> Shop 9, Dock Road J</w:t>
      </w:r>
      <w:r w:rsidR="00B448A3" w:rsidRPr="0093159E">
        <w:rPr>
          <w:rFonts w:ascii="Times New Roman" w:hAnsi="Times New Roman" w:cs="Times New Roman"/>
          <w:sz w:val="26"/>
          <w:szCs w:val="26"/>
        </w:rPr>
        <w:t xml:space="preserve">unction </w:t>
      </w:r>
      <w:r w:rsidR="00FB219F" w:rsidRPr="0093159E">
        <w:rPr>
          <w:rFonts w:ascii="Times New Roman" w:hAnsi="Times New Roman" w:cs="Times New Roman"/>
          <w:sz w:val="26"/>
          <w:szCs w:val="26"/>
        </w:rPr>
        <w:t>(</w:t>
      </w:r>
      <w:r w:rsidR="00B448A3" w:rsidRPr="0093159E">
        <w:rPr>
          <w:rFonts w:ascii="Times New Roman" w:hAnsi="Times New Roman" w:cs="Times New Roman"/>
          <w:sz w:val="26"/>
          <w:szCs w:val="26"/>
        </w:rPr>
        <w:t>the Dock Road location</w:t>
      </w:r>
      <w:r w:rsidR="00FB219F" w:rsidRPr="0093159E">
        <w:rPr>
          <w:rFonts w:ascii="Times New Roman" w:hAnsi="Times New Roman" w:cs="Times New Roman"/>
          <w:sz w:val="26"/>
          <w:szCs w:val="26"/>
        </w:rPr>
        <w:t>)</w:t>
      </w:r>
      <w:r w:rsidR="00B448A3" w:rsidRPr="0093159E">
        <w:rPr>
          <w:rFonts w:ascii="Times New Roman" w:hAnsi="Times New Roman" w:cs="Times New Roman"/>
          <w:sz w:val="26"/>
          <w:szCs w:val="26"/>
        </w:rPr>
        <w:t xml:space="preserve"> for a period </w:t>
      </w:r>
      <w:r w:rsidR="00FB219F" w:rsidRPr="0093159E">
        <w:rPr>
          <w:rFonts w:ascii="Times New Roman" w:hAnsi="Times New Roman" w:cs="Times New Roman"/>
          <w:sz w:val="26"/>
          <w:szCs w:val="26"/>
        </w:rPr>
        <w:t xml:space="preserve">to </w:t>
      </w:r>
      <w:r w:rsidR="00B448A3" w:rsidRPr="0093159E">
        <w:rPr>
          <w:rFonts w:ascii="Times New Roman" w:hAnsi="Times New Roman" w:cs="Times New Roman"/>
          <w:sz w:val="26"/>
          <w:szCs w:val="26"/>
        </w:rPr>
        <w:t xml:space="preserve">30 September 2023. </w:t>
      </w:r>
      <w:r>
        <w:rPr>
          <w:rFonts w:ascii="Times New Roman" w:hAnsi="Times New Roman" w:cs="Times New Roman"/>
          <w:sz w:val="26"/>
          <w:szCs w:val="26"/>
        </w:rPr>
        <w:t xml:space="preserve">The respondents explain that this was an extension of the lease agreement which was due to expire in September 2022. </w:t>
      </w:r>
      <w:r w:rsidR="00FF7362" w:rsidRPr="0093159E">
        <w:rPr>
          <w:rFonts w:ascii="Times New Roman" w:hAnsi="Times New Roman" w:cs="Times New Roman"/>
          <w:sz w:val="26"/>
          <w:szCs w:val="26"/>
        </w:rPr>
        <w:t xml:space="preserve"> </w:t>
      </w:r>
      <w:r w:rsidR="00B448A3" w:rsidRPr="0093159E">
        <w:rPr>
          <w:rFonts w:ascii="Times New Roman" w:hAnsi="Times New Roman" w:cs="Times New Roman"/>
          <w:sz w:val="26"/>
          <w:szCs w:val="26"/>
        </w:rPr>
        <w:t xml:space="preserve">The letter </w:t>
      </w:r>
      <w:r>
        <w:rPr>
          <w:rFonts w:ascii="Times New Roman" w:hAnsi="Times New Roman" w:cs="Times New Roman"/>
          <w:sz w:val="26"/>
          <w:szCs w:val="26"/>
        </w:rPr>
        <w:t xml:space="preserve">of 28 October 2022 </w:t>
      </w:r>
      <w:r w:rsidR="00B448A3" w:rsidRPr="0093159E">
        <w:rPr>
          <w:rFonts w:ascii="Times New Roman" w:hAnsi="Times New Roman" w:cs="Times New Roman"/>
          <w:sz w:val="26"/>
          <w:szCs w:val="26"/>
        </w:rPr>
        <w:t xml:space="preserve">expressly stated that </w:t>
      </w:r>
      <w:r w:rsidRPr="0093159E">
        <w:rPr>
          <w:rFonts w:ascii="Times New Roman" w:hAnsi="Times New Roman" w:cs="Times New Roman"/>
          <w:sz w:val="26"/>
          <w:szCs w:val="26"/>
        </w:rPr>
        <w:t xml:space="preserve">the consent </w:t>
      </w:r>
      <w:r>
        <w:rPr>
          <w:rFonts w:ascii="Times New Roman" w:hAnsi="Times New Roman" w:cs="Times New Roman"/>
          <w:sz w:val="26"/>
          <w:szCs w:val="26"/>
        </w:rPr>
        <w:t xml:space="preserve">was </w:t>
      </w:r>
      <w:r w:rsidR="00B448A3" w:rsidRPr="0093159E">
        <w:rPr>
          <w:rFonts w:ascii="Times New Roman" w:hAnsi="Times New Roman" w:cs="Times New Roman"/>
          <w:sz w:val="26"/>
          <w:szCs w:val="26"/>
        </w:rPr>
        <w:t>granted in terms o</w:t>
      </w:r>
      <w:r w:rsidR="00FF7362" w:rsidRPr="0093159E">
        <w:rPr>
          <w:rFonts w:ascii="Times New Roman" w:hAnsi="Times New Roman" w:cs="Times New Roman"/>
          <w:sz w:val="26"/>
          <w:szCs w:val="26"/>
        </w:rPr>
        <w:t>f clause</w:t>
      </w:r>
      <w:r w:rsidR="00B448A3" w:rsidRPr="0093159E">
        <w:rPr>
          <w:rFonts w:ascii="Times New Roman" w:hAnsi="Times New Roman" w:cs="Times New Roman"/>
          <w:sz w:val="26"/>
          <w:szCs w:val="26"/>
        </w:rPr>
        <w:t xml:space="preserve"> 8.1 of the agreement</w:t>
      </w:r>
      <w:r>
        <w:rPr>
          <w:rFonts w:ascii="Times New Roman" w:hAnsi="Times New Roman" w:cs="Times New Roman"/>
          <w:sz w:val="26"/>
          <w:szCs w:val="26"/>
        </w:rPr>
        <w:t>.</w:t>
      </w:r>
    </w:p>
    <w:p w:rsidR="0093159E" w:rsidRDefault="00B448A3" w:rsidP="0093159E">
      <w:pPr>
        <w:pStyle w:val="ListParagraph"/>
        <w:spacing w:line="360" w:lineRule="auto"/>
        <w:ind w:left="142"/>
        <w:jc w:val="both"/>
        <w:rPr>
          <w:rFonts w:ascii="Times New Roman" w:hAnsi="Times New Roman" w:cs="Times New Roman"/>
          <w:sz w:val="26"/>
          <w:szCs w:val="26"/>
        </w:rPr>
      </w:pPr>
      <w:r w:rsidRPr="0093159E">
        <w:rPr>
          <w:rFonts w:ascii="Times New Roman" w:hAnsi="Times New Roman" w:cs="Times New Roman"/>
          <w:sz w:val="26"/>
          <w:szCs w:val="26"/>
        </w:rPr>
        <w:t xml:space="preserve"> </w:t>
      </w:r>
    </w:p>
    <w:p w:rsidR="0093159E" w:rsidRDefault="0093159E" w:rsidP="0093159E">
      <w:pPr>
        <w:pStyle w:val="ListParagraph"/>
        <w:numPr>
          <w:ilvl w:val="0"/>
          <w:numId w:val="1"/>
        </w:numPr>
        <w:spacing w:line="360" w:lineRule="auto"/>
        <w:ind w:left="0" w:firstLine="142"/>
        <w:jc w:val="both"/>
        <w:rPr>
          <w:rFonts w:ascii="Times New Roman" w:hAnsi="Times New Roman" w:cs="Times New Roman"/>
          <w:sz w:val="26"/>
          <w:szCs w:val="26"/>
        </w:rPr>
      </w:pPr>
      <w:r w:rsidRPr="0093159E">
        <w:rPr>
          <w:rFonts w:ascii="Times New Roman" w:hAnsi="Times New Roman" w:cs="Times New Roman"/>
          <w:sz w:val="26"/>
          <w:szCs w:val="26"/>
        </w:rPr>
        <w:t>Clause</w:t>
      </w:r>
      <w:r>
        <w:rPr>
          <w:rFonts w:ascii="Times New Roman" w:hAnsi="Times New Roman" w:cs="Times New Roman"/>
          <w:sz w:val="26"/>
          <w:szCs w:val="26"/>
        </w:rPr>
        <w:t>s</w:t>
      </w:r>
      <w:r w:rsidRPr="0093159E">
        <w:rPr>
          <w:rFonts w:ascii="Times New Roman" w:hAnsi="Times New Roman" w:cs="Times New Roman"/>
          <w:sz w:val="26"/>
          <w:szCs w:val="26"/>
        </w:rPr>
        <w:t xml:space="preserve"> 8.1</w:t>
      </w:r>
      <w:r>
        <w:rPr>
          <w:rFonts w:ascii="Times New Roman" w:hAnsi="Times New Roman" w:cs="Times New Roman"/>
          <w:sz w:val="26"/>
          <w:szCs w:val="26"/>
        </w:rPr>
        <w:t xml:space="preserve"> and 8.2</w:t>
      </w:r>
      <w:r w:rsidRPr="0093159E">
        <w:rPr>
          <w:rFonts w:ascii="Times New Roman" w:hAnsi="Times New Roman" w:cs="Times New Roman"/>
          <w:sz w:val="26"/>
          <w:szCs w:val="26"/>
        </w:rPr>
        <w:t xml:space="preserve"> of the agreement provide as follows</w:t>
      </w:r>
      <w:r>
        <w:rPr>
          <w:rFonts w:ascii="Times New Roman" w:hAnsi="Times New Roman" w:cs="Times New Roman"/>
          <w:sz w:val="26"/>
          <w:szCs w:val="26"/>
        </w:rPr>
        <w:t>:</w:t>
      </w:r>
    </w:p>
    <w:p w:rsidR="0093159E" w:rsidRPr="0093159E" w:rsidRDefault="0093159E" w:rsidP="0093159E">
      <w:pPr>
        <w:pStyle w:val="ListParagraph"/>
        <w:rPr>
          <w:rFonts w:ascii="Times New Roman" w:hAnsi="Times New Roman" w:cs="Times New Roman"/>
          <w:sz w:val="26"/>
          <w:szCs w:val="26"/>
        </w:rPr>
      </w:pPr>
    </w:p>
    <w:p w:rsidR="0093159E" w:rsidRPr="0093159E" w:rsidRDefault="0093159E" w:rsidP="0093159E">
      <w:pPr>
        <w:pStyle w:val="ListParagraph"/>
        <w:spacing w:line="276" w:lineRule="auto"/>
        <w:ind w:left="2160" w:hanging="720"/>
        <w:jc w:val="both"/>
        <w:rPr>
          <w:rFonts w:ascii="Times New Roman" w:hAnsi="Times New Roman" w:cs="Times New Roman"/>
        </w:rPr>
      </w:pPr>
      <w:r w:rsidRPr="0093159E">
        <w:rPr>
          <w:rFonts w:ascii="Times New Roman" w:hAnsi="Times New Roman" w:cs="Times New Roman"/>
        </w:rPr>
        <w:t>“8.1</w:t>
      </w:r>
      <w:r w:rsidRPr="0093159E">
        <w:rPr>
          <w:rFonts w:ascii="Times New Roman" w:hAnsi="Times New Roman" w:cs="Times New Roman"/>
        </w:rPr>
        <w:tab/>
        <w:t xml:space="preserve">The Franchisee shall not enter into any agreement of lease relating to the hire of a Location without the prior written approval of the Location by the Franchisor.  Any lease shall be for an initial period of not less than the Initial Period and shall have a substantive, enforceable right of occupation or renewal for a period of not less than the Initial Term Capital.  </w:t>
      </w:r>
    </w:p>
    <w:p w:rsidR="0093159E" w:rsidRPr="0093159E" w:rsidRDefault="0093159E" w:rsidP="0093159E">
      <w:pPr>
        <w:pStyle w:val="ListParagraph"/>
        <w:spacing w:line="276" w:lineRule="auto"/>
        <w:ind w:left="1440"/>
        <w:jc w:val="both"/>
        <w:rPr>
          <w:rFonts w:ascii="Times New Roman" w:hAnsi="Times New Roman" w:cs="Times New Roman"/>
        </w:rPr>
      </w:pPr>
    </w:p>
    <w:p w:rsidR="0093159E" w:rsidRPr="0093159E" w:rsidRDefault="0093159E" w:rsidP="0093159E">
      <w:pPr>
        <w:pStyle w:val="ListParagraph"/>
        <w:spacing w:line="276" w:lineRule="auto"/>
        <w:ind w:left="2160" w:hanging="720"/>
        <w:jc w:val="both"/>
        <w:rPr>
          <w:rFonts w:ascii="Times New Roman" w:hAnsi="Times New Roman" w:cs="Times New Roman"/>
        </w:rPr>
      </w:pPr>
      <w:r w:rsidRPr="0093159E">
        <w:rPr>
          <w:rFonts w:ascii="Times New Roman" w:hAnsi="Times New Roman" w:cs="Times New Roman"/>
        </w:rPr>
        <w:t xml:space="preserve">8.2 </w:t>
      </w:r>
      <w:r w:rsidRPr="0093159E">
        <w:rPr>
          <w:rFonts w:ascii="Times New Roman" w:hAnsi="Times New Roman" w:cs="Times New Roman"/>
        </w:rPr>
        <w:tab/>
        <w:t xml:space="preserve">The Franchisor will not grant the right to open another Neovision Optometry Practice to any third party within the Exclusive Area”. </w:t>
      </w:r>
    </w:p>
    <w:p w:rsidR="00FF7362" w:rsidRPr="0093159E" w:rsidRDefault="00FF7362" w:rsidP="0093159E">
      <w:pPr>
        <w:pStyle w:val="ListParagraph"/>
        <w:spacing w:line="360" w:lineRule="auto"/>
        <w:ind w:left="142"/>
        <w:jc w:val="both"/>
        <w:rPr>
          <w:rFonts w:ascii="Times New Roman" w:hAnsi="Times New Roman" w:cs="Times New Roman"/>
          <w:sz w:val="26"/>
          <w:szCs w:val="26"/>
        </w:rPr>
      </w:pPr>
    </w:p>
    <w:p w:rsidR="00FF7362" w:rsidRDefault="00FF7362" w:rsidP="00F358C0">
      <w:pPr>
        <w:pStyle w:val="ListParagraph"/>
        <w:spacing w:line="360" w:lineRule="auto"/>
        <w:ind w:left="142"/>
        <w:jc w:val="both"/>
      </w:pPr>
    </w:p>
    <w:p w:rsidR="00037CE4" w:rsidRDefault="0093159E" w:rsidP="00F358C0">
      <w:pPr>
        <w:pStyle w:val="ListParagraph"/>
        <w:numPr>
          <w:ilvl w:val="0"/>
          <w:numId w:val="1"/>
        </w:numPr>
        <w:spacing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It is common cause that</w:t>
      </w:r>
      <w:r w:rsidRPr="0093159E">
        <w:rPr>
          <w:rFonts w:ascii="Times New Roman" w:hAnsi="Times New Roman" w:cs="Times New Roman"/>
          <w:sz w:val="26"/>
          <w:szCs w:val="26"/>
        </w:rPr>
        <w:t xml:space="preserve"> there was no addendum effecting the amendment</w:t>
      </w:r>
      <w:r w:rsidR="00037CE4" w:rsidRPr="00037CE4">
        <w:rPr>
          <w:rFonts w:ascii="Times New Roman" w:hAnsi="Times New Roman" w:cs="Times New Roman"/>
          <w:sz w:val="26"/>
          <w:szCs w:val="26"/>
        </w:rPr>
        <w:t xml:space="preserve"> in respect of the extension of the lease </w:t>
      </w:r>
      <w:r w:rsidR="00037CE4">
        <w:rPr>
          <w:rFonts w:ascii="Times New Roman" w:hAnsi="Times New Roman" w:cs="Times New Roman"/>
          <w:sz w:val="26"/>
          <w:szCs w:val="26"/>
        </w:rPr>
        <w:t>to</w:t>
      </w:r>
      <w:r w:rsidR="00037CE4" w:rsidRPr="00037CE4">
        <w:rPr>
          <w:rFonts w:ascii="Times New Roman" w:hAnsi="Times New Roman" w:cs="Times New Roman"/>
          <w:sz w:val="26"/>
          <w:szCs w:val="26"/>
        </w:rPr>
        <w:t xml:space="preserve"> the end of September 2023</w:t>
      </w:r>
      <w:r w:rsidR="00037CE4">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037CE4" w:rsidRDefault="00037CE4" w:rsidP="00037CE4">
      <w:pPr>
        <w:pStyle w:val="ListParagraph"/>
        <w:spacing w:line="360" w:lineRule="auto"/>
        <w:ind w:left="142"/>
        <w:jc w:val="both"/>
        <w:rPr>
          <w:rFonts w:ascii="Times New Roman" w:hAnsi="Times New Roman" w:cs="Times New Roman"/>
          <w:sz w:val="26"/>
          <w:szCs w:val="26"/>
        </w:rPr>
      </w:pPr>
    </w:p>
    <w:p w:rsidR="00FD6140" w:rsidRPr="0093159E" w:rsidRDefault="00FF7362" w:rsidP="00F358C0">
      <w:pPr>
        <w:pStyle w:val="ListParagraph"/>
        <w:numPr>
          <w:ilvl w:val="0"/>
          <w:numId w:val="1"/>
        </w:numPr>
        <w:spacing w:line="360" w:lineRule="auto"/>
        <w:ind w:left="0" w:firstLine="142"/>
        <w:jc w:val="both"/>
        <w:rPr>
          <w:rFonts w:ascii="Times New Roman" w:hAnsi="Times New Roman" w:cs="Times New Roman"/>
          <w:sz w:val="26"/>
          <w:szCs w:val="26"/>
        </w:rPr>
      </w:pPr>
      <w:r w:rsidRPr="0093159E">
        <w:rPr>
          <w:rFonts w:ascii="Times New Roman" w:hAnsi="Times New Roman" w:cs="Times New Roman"/>
          <w:sz w:val="26"/>
          <w:szCs w:val="26"/>
        </w:rPr>
        <w:t>I</w:t>
      </w:r>
      <w:r w:rsidR="00B448A3" w:rsidRPr="0093159E">
        <w:rPr>
          <w:rFonts w:ascii="Times New Roman" w:hAnsi="Times New Roman" w:cs="Times New Roman"/>
          <w:sz w:val="26"/>
          <w:szCs w:val="26"/>
        </w:rPr>
        <w:t xml:space="preserve">n addition to the agreement, the parties entered into </w:t>
      </w:r>
      <w:r w:rsidR="00AA696B" w:rsidRPr="0093159E">
        <w:rPr>
          <w:rFonts w:ascii="Times New Roman" w:hAnsi="Times New Roman" w:cs="Times New Roman"/>
          <w:sz w:val="26"/>
          <w:szCs w:val="26"/>
        </w:rPr>
        <w:t>a</w:t>
      </w:r>
      <w:r w:rsidR="00B448A3" w:rsidRPr="0093159E">
        <w:rPr>
          <w:rFonts w:ascii="Times New Roman" w:hAnsi="Times New Roman" w:cs="Times New Roman"/>
          <w:sz w:val="26"/>
          <w:szCs w:val="26"/>
        </w:rPr>
        <w:t>n agreement in terms of which the second respondent in his personal capacity guaranteed as the primary obligation, all of the first respondent</w:t>
      </w:r>
      <w:r w:rsidR="00AA696B" w:rsidRPr="0093159E">
        <w:rPr>
          <w:rFonts w:ascii="Times New Roman" w:hAnsi="Times New Roman" w:cs="Times New Roman"/>
          <w:sz w:val="26"/>
          <w:szCs w:val="26"/>
        </w:rPr>
        <w:t>’</w:t>
      </w:r>
      <w:r w:rsidR="00B448A3" w:rsidRPr="0093159E">
        <w:rPr>
          <w:rFonts w:ascii="Times New Roman" w:hAnsi="Times New Roman" w:cs="Times New Roman"/>
          <w:sz w:val="26"/>
          <w:szCs w:val="26"/>
        </w:rPr>
        <w:t>s indebtedness and obligation</w:t>
      </w:r>
      <w:r w:rsidR="00AA696B" w:rsidRPr="0093159E">
        <w:rPr>
          <w:rFonts w:ascii="Times New Roman" w:hAnsi="Times New Roman" w:cs="Times New Roman"/>
          <w:sz w:val="26"/>
          <w:szCs w:val="26"/>
        </w:rPr>
        <w:t>s</w:t>
      </w:r>
      <w:r w:rsidR="00B448A3" w:rsidRPr="0093159E">
        <w:rPr>
          <w:rFonts w:ascii="Times New Roman" w:hAnsi="Times New Roman" w:cs="Times New Roman"/>
          <w:sz w:val="26"/>
          <w:szCs w:val="26"/>
        </w:rPr>
        <w:t xml:space="preserve"> </w:t>
      </w:r>
      <w:r w:rsidR="00AA696B" w:rsidRPr="0093159E">
        <w:rPr>
          <w:rFonts w:ascii="Times New Roman" w:hAnsi="Times New Roman" w:cs="Times New Roman"/>
          <w:sz w:val="26"/>
          <w:szCs w:val="26"/>
        </w:rPr>
        <w:t>o</w:t>
      </w:r>
      <w:r w:rsidR="00B448A3" w:rsidRPr="0093159E">
        <w:rPr>
          <w:rFonts w:ascii="Times New Roman" w:hAnsi="Times New Roman" w:cs="Times New Roman"/>
          <w:sz w:val="26"/>
          <w:szCs w:val="26"/>
        </w:rPr>
        <w:t>f whatsoever nature to the applicant</w:t>
      </w:r>
      <w:r w:rsidR="0044265C">
        <w:rPr>
          <w:rFonts w:ascii="Times New Roman" w:hAnsi="Times New Roman" w:cs="Times New Roman"/>
          <w:sz w:val="26"/>
          <w:szCs w:val="26"/>
        </w:rPr>
        <w:t xml:space="preserve"> (</w:t>
      </w:r>
      <w:r w:rsidR="0044265C" w:rsidRPr="0044265C">
        <w:rPr>
          <w:rFonts w:ascii="Times New Roman" w:hAnsi="Times New Roman" w:cs="Times New Roman"/>
          <w:i/>
          <w:iCs/>
          <w:sz w:val="26"/>
          <w:szCs w:val="26"/>
        </w:rPr>
        <w:t>“the guarantee”</w:t>
      </w:r>
      <w:r w:rsidR="0044265C">
        <w:rPr>
          <w:rFonts w:ascii="Times New Roman" w:hAnsi="Times New Roman" w:cs="Times New Roman"/>
          <w:sz w:val="26"/>
          <w:szCs w:val="26"/>
        </w:rPr>
        <w:t>)</w:t>
      </w:r>
      <w:r w:rsidR="00B448A3" w:rsidRPr="0093159E">
        <w:rPr>
          <w:rFonts w:ascii="Times New Roman" w:hAnsi="Times New Roman" w:cs="Times New Roman"/>
          <w:sz w:val="26"/>
          <w:szCs w:val="26"/>
        </w:rPr>
        <w:t xml:space="preserve">. </w:t>
      </w:r>
    </w:p>
    <w:p w:rsidR="00FD6140" w:rsidRDefault="00FD6140" w:rsidP="00F358C0">
      <w:pPr>
        <w:pStyle w:val="ListParagraph"/>
        <w:spacing w:line="360" w:lineRule="auto"/>
        <w:ind w:left="142"/>
        <w:jc w:val="both"/>
      </w:pPr>
    </w:p>
    <w:p w:rsidR="008470E2" w:rsidRPr="008470E2" w:rsidRDefault="008470E2" w:rsidP="00F358C0">
      <w:pPr>
        <w:pStyle w:val="ListParagraph"/>
        <w:numPr>
          <w:ilvl w:val="0"/>
          <w:numId w:val="1"/>
        </w:numPr>
        <w:spacing w:line="360" w:lineRule="auto"/>
        <w:ind w:left="0" w:firstLine="142"/>
        <w:jc w:val="both"/>
        <w:rPr>
          <w:rFonts w:ascii="Times New Roman" w:hAnsi="Times New Roman" w:cs="Times New Roman"/>
          <w:sz w:val="26"/>
          <w:szCs w:val="26"/>
        </w:rPr>
      </w:pPr>
      <w:r w:rsidRPr="008470E2">
        <w:rPr>
          <w:rFonts w:ascii="Times New Roman" w:hAnsi="Times New Roman" w:cs="Times New Roman"/>
          <w:sz w:val="26"/>
          <w:szCs w:val="26"/>
        </w:rPr>
        <w:t xml:space="preserve">The </w:t>
      </w:r>
      <w:r w:rsidR="00B448A3" w:rsidRPr="008470E2">
        <w:rPr>
          <w:rFonts w:ascii="Times New Roman" w:hAnsi="Times New Roman" w:cs="Times New Roman"/>
          <w:sz w:val="26"/>
          <w:szCs w:val="26"/>
        </w:rPr>
        <w:t>agreement</w:t>
      </w:r>
      <w:r w:rsidRPr="008470E2">
        <w:rPr>
          <w:rFonts w:ascii="Times New Roman" w:hAnsi="Times New Roman" w:cs="Times New Roman"/>
          <w:sz w:val="26"/>
          <w:szCs w:val="26"/>
        </w:rPr>
        <w:t xml:space="preserve"> was due to expire on 30 September 2023 and the first respondent opted not to renew it and the parties agree that it was terminated on that date.  </w:t>
      </w:r>
    </w:p>
    <w:p w:rsidR="008470E2" w:rsidRPr="008470E2" w:rsidRDefault="008470E2" w:rsidP="008470E2">
      <w:pPr>
        <w:pStyle w:val="ListParagraph"/>
        <w:rPr>
          <w:rFonts w:ascii="Times New Roman" w:hAnsi="Times New Roman" w:cs="Times New Roman"/>
          <w:sz w:val="26"/>
          <w:szCs w:val="26"/>
        </w:rPr>
      </w:pPr>
    </w:p>
    <w:p w:rsidR="00D4615F" w:rsidRDefault="008470E2" w:rsidP="00D4615F">
      <w:pPr>
        <w:pStyle w:val="ListParagraph"/>
        <w:numPr>
          <w:ilvl w:val="0"/>
          <w:numId w:val="1"/>
        </w:numPr>
        <w:spacing w:line="360" w:lineRule="auto"/>
        <w:ind w:left="0" w:firstLine="142"/>
        <w:jc w:val="both"/>
        <w:rPr>
          <w:rFonts w:ascii="Times New Roman" w:hAnsi="Times New Roman" w:cs="Times New Roman"/>
          <w:sz w:val="26"/>
          <w:szCs w:val="26"/>
        </w:rPr>
      </w:pPr>
      <w:r w:rsidRPr="008470E2">
        <w:rPr>
          <w:rFonts w:ascii="Times New Roman" w:hAnsi="Times New Roman" w:cs="Times New Roman"/>
          <w:sz w:val="26"/>
          <w:szCs w:val="26"/>
        </w:rPr>
        <w:t xml:space="preserve">On 23 September 2023, shortly before expiry of the agreement, </w:t>
      </w:r>
      <w:r w:rsidR="001035AA" w:rsidRPr="008470E2">
        <w:rPr>
          <w:rFonts w:ascii="Times New Roman" w:hAnsi="Times New Roman" w:cs="Times New Roman"/>
          <w:sz w:val="26"/>
          <w:szCs w:val="26"/>
        </w:rPr>
        <w:t>Naumann</w:t>
      </w:r>
      <w:r w:rsidR="00B448A3" w:rsidRPr="008470E2">
        <w:rPr>
          <w:rFonts w:ascii="Times New Roman" w:hAnsi="Times New Roman" w:cs="Times New Roman"/>
          <w:sz w:val="26"/>
          <w:szCs w:val="26"/>
        </w:rPr>
        <w:t xml:space="preserve"> discovered </w:t>
      </w:r>
      <w:r>
        <w:rPr>
          <w:rFonts w:ascii="Times New Roman" w:hAnsi="Times New Roman" w:cs="Times New Roman"/>
          <w:sz w:val="26"/>
          <w:szCs w:val="26"/>
        </w:rPr>
        <w:t xml:space="preserve">a notice at the first respondent’s Waterfront address informing the public that </w:t>
      </w:r>
      <w:r w:rsidR="00B448A3" w:rsidRPr="008470E2">
        <w:rPr>
          <w:rFonts w:ascii="Times New Roman" w:hAnsi="Times New Roman" w:cs="Times New Roman"/>
          <w:sz w:val="26"/>
          <w:szCs w:val="26"/>
        </w:rPr>
        <w:t xml:space="preserve">that the first respondent </w:t>
      </w:r>
      <w:r w:rsidR="001035AA" w:rsidRPr="008470E2">
        <w:rPr>
          <w:rFonts w:ascii="Times New Roman" w:hAnsi="Times New Roman" w:cs="Times New Roman"/>
          <w:sz w:val="26"/>
          <w:szCs w:val="26"/>
        </w:rPr>
        <w:t>w</w:t>
      </w:r>
      <w:r w:rsidR="00B448A3" w:rsidRPr="008470E2">
        <w:rPr>
          <w:rFonts w:ascii="Times New Roman" w:hAnsi="Times New Roman" w:cs="Times New Roman"/>
          <w:sz w:val="26"/>
          <w:szCs w:val="26"/>
        </w:rPr>
        <w:t>as moving to a new location</w:t>
      </w:r>
      <w:r>
        <w:rPr>
          <w:rFonts w:ascii="Times New Roman" w:hAnsi="Times New Roman" w:cs="Times New Roman"/>
          <w:sz w:val="26"/>
          <w:szCs w:val="26"/>
        </w:rPr>
        <w:t xml:space="preserve"> which was two doors away from its premises at the time,</w:t>
      </w:r>
      <w:r w:rsidR="00B448A3" w:rsidRPr="008470E2">
        <w:rPr>
          <w:rFonts w:ascii="Times New Roman" w:hAnsi="Times New Roman" w:cs="Times New Roman"/>
          <w:sz w:val="26"/>
          <w:szCs w:val="26"/>
        </w:rPr>
        <w:t xml:space="preserve"> at Spaces</w:t>
      </w:r>
      <w:r>
        <w:rPr>
          <w:rFonts w:ascii="Times New Roman" w:hAnsi="Times New Roman" w:cs="Times New Roman"/>
          <w:sz w:val="26"/>
          <w:szCs w:val="26"/>
        </w:rPr>
        <w:t xml:space="preserve"> Office</w:t>
      </w:r>
      <w:r w:rsidR="00B448A3" w:rsidRPr="008470E2">
        <w:rPr>
          <w:rFonts w:ascii="Times New Roman" w:hAnsi="Times New Roman" w:cs="Times New Roman"/>
          <w:sz w:val="26"/>
          <w:szCs w:val="26"/>
        </w:rPr>
        <w:t xml:space="preserve">, Dock Road </w:t>
      </w:r>
      <w:r w:rsidR="006D5D21" w:rsidRPr="008470E2">
        <w:rPr>
          <w:rFonts w:ascii="Times New Roman" w:hAnsi="Times New Roman" w:cs="Times New Roman"/>
          <w:sz w:val="26"/>
          <w:szCs w:val="26"/>
        </w:rPr>
        <w:t>J</w:t>
      </w:r>
      <w:r w:rsidR="00B448A3" w:rsidRPr="008470E2">
        <w:rPr>
          <w:rFonts w:ascii="Times New Roman" w:hAnsi="Times New Roman" w:cs="Times New Roman"/>
          <w:sz w:val="26"/>
          <w:szCs w:val="26"/>
        </w:rPr>
        <w:t xml:space="preserve">unction, </w:t>
      </w:r>
      <w:r w:rsidR="006D5D21" w:rsidRPr="008470E2">
        <w:rPr>
          <w:rFonts w:ascii="Times New Roman" w:hAnsi="Times New Roman" w:cs="Times New Roman"/>
          <w:sz w:val="26"/>
          <w:szCs w:val="26"/>
        </w:rPr>
        <w:t>corner of Stanley and Do</w:t>
      </w:r>
      <w:r w:rsidR="00B448A3" w:rsidRPr="008470E2">
        <w:rPr>
          <w:rFonts w:ascii="Times New Roman" w:hAnsi="Times New Roman" w:cs="Times New Roman"/>
          <w:sz w:val="26"/>
          <w:szCs w:val="26"/>
        </w:rPr>
        <w:t>ck R</w:t>
      </w:r>
      <w:r w:rsidR="006D5D21" w:rsidRPr="008470E2">
        <w:rPr>
          <w:rFonts w:ascii="Times New Roman" w:hAnsi="Times New Roman" w:cs="Times New Roman"/>
          <w:sz w:val="26"/>
          <w:szCs w:val="26"/>
        </w:rPr>
        <w:t>oa</w:t>
      </w:r>
      <w:r w:rsidR="00B448A3" w:rsidRPr="008470E2">
        <w:rPr>
          <w:rFonts w:ascii="Times New Roman" w:hAnsi="Times New Roman" w:cs="Times New Roman"/>
          <w:sz w:val="26"/>
          <w:szCs w:val="26"/>
        </w:rPr>
        <w:t>d, Cape Town</w:t>
      </w:r>
      <w:r w:rsidR="00B448A3" w:rsidRPr="00D4615F">
        <w:rPr>
          <w:rFonts w:ascii="Times New Roman" w:hAnsi="Times New Roman" w:cs="Times New Roman"/>
          <w:sz w:val="26"/>
          <w:szCs w:val="26"/>
        </w:rPr>
        <w:t xml:space="preserve">. </w:t>
      </w:r>
      <w:r w:rsidR="006D5D21" w:rsidRPr="00D4615F">
        <w:rPr>
          <w:rFonts w:ascii="Times New Roman" w:hAnsi="Times New Roman" w:cs="Times New Roman"/>
          <w:sz w:val="26"/>
          <w:szCs w:val="26"/>
        </w:rPr>
        <w:t xml:space="preserve"> </w:t>
      </w:r>
      <w:r w:rsidR="00D4615F" w:rsidRPr="00D4615F">
        <w:rPr>
          <w:rFonts w:ascii="Times New Roman" w:hAnsi="Times New Roman" w:cs="Times New Roman"/>
          <w:sz w:val="26"/>
          <w:szCs w:val="26"/>
        </w:rPr>
        <w:t xml:space="preserve">The notice was advertised in the window of the business of the first respondent, and was also circulated via e-mail to the first respondent’s clients, </w:t>
      </w:r>
      <w:r w:rsidR="0081631B">
        <w:rPr>
          <w:rFonts w:ascii="Times New Roman" w:hAnsi="Times New Roman" w:cs="Times New Roman"/>
          <w:sz w:val="26"/>
          <w:szCs w:val="26"/>
        </w:rPr>
        <w:t xml:space="preserve">and </w:t>
      </w:r>
      <w:r w:rsidR="00D4615F" w:rsidRPr="00D4615F">
        <w:rPr>
          <w:rFonts w:ascii="Times New Roman" w:hAnsi="Times New Roman" w:cs="Times New Roman"/>
          <w:sz w:val="26"/>
          <w:szCs w:val="26"/>
        </w:rPr>
        <w:t xml:space="preserve">via an Instagram post.  </w:t>
      </w:r>
      <w:r w:rsidR="0081631B">
        <w:rPr>
          <w:rFonts w:ascii="Times New Roman" w:hAnsi="Times New Roman" w:cs="Times New Roman"/>
          <w:sz w:val="26"/>
          <w:szCs w:val="26"/>
        </w:rPr>
        <w:t>In addition, the applicant discovered</w:t>
      </w:r>
      <w:r w:rsidR="00D4615F" w:rsidRPr="00D4615F">
        <w:rPr>
          <w:rFonts w:ascii="Times New Roman" w:hAnsi="Times New Roman" w:cs="Times New Roman"/>
          <w:sz w:val="26"/>
          <w:szCs w:val="26"/>
        </w:rPr>
        <w:t xml:space="preserve"> an e-mail</w:t>
      </w:r>
      <w:r w:rsidR="0081631B">
        <w:rPr>
          <w:rFonts w:ascii="Times New Roman" w:hAnsi="Times New Roman" w:cs="Times New Roman"/>
          <w:sz w:val="26"/>
          <w:szCs w:val="26"/>
        </w:rPr>
        <w:t xml:space="preserve"> dated 29 September</w:t>
      </w:r>
      <w:r w:rsidR="00D4615F" w:rsidRPr="00D4615F">
        <w:rPr>
          <w:rFonts w:ascii="Times New Roman" w:hAnsi="Times New Roman" w:cs="Times New Roman"/>
          <w:sz w:val="26"/>
          <w:szCs w:val="26"/>
        </w:rPr>
        <w:t xml:space="preserve"> introducing the new business called Kaleidovision </w:t>
      </w:r>
      <w:r w:rsidR="0081631B">
        <w:rPr>
          <w:rFonts w:ascii="Times New Roman" w:hAnsi="Times New Roman" w:cs="Times New Roman"/>
          <w:sz w:val="26"/>
          <w:szCs w:val="26"/>
        </w:rPr>
        <w:t>to</w:t>
      </w:r>
      <w:r w:rsidR="00D4615F" w:rsidRPr="00D4615F">
        <w:rPr>
          <w:rFonts w:ascii="Times New Roman" w:hAnsi="Times New Roman" w:cs="Times New Roman"/>
          <w:sz w:val="26"/>
          <w:szCs w:val="26"/>
        </w:rPr>
        <w:t xml:space="preserve"> Neovision</w:t>
      </w:r>
      <w:r w:rsidR="0081631B">
        <w:rPr>
          <w:rFonts w:ascii="Times New Roman" w:hAnsi="Times New Roman" w:cs="Times New Roman"/>
          <w:sz w:val="26"/>
          <w:szCs w:val="26"/>
        </w:rPr>
        <w:t xml:space="preserve"> clients</w:t>
      </w:r>
      <w:r w:rsidR="00D4615F" w:rsidRPr="00D4615F">
        <w:rPr>
          <w:rFonts w:ascii="Times New Roman" w:hAnsi="Times New Roman" w:cs="Times New Roman"/>
          <w:sz w:val="26"/>
          <w:szCs w:val="26"/>
        </w:rPr>
        <w:t>.</w:t>
      </w:r>
    </w:p>
    <w:p w:rsidR="00246B3E" w:rsidRPr="00246B3E" w:rsidRDefault="00246B3E" w:rsidP="00246B3E">
      <w:pPr>
        <w:pStyle w:val="ListParagraph"/>
        <w:rPr>
          <w:rFonts w:ascii="Times New Roman" w:hAnsi="Times New Roman" w:cs="Times New Roman"/>
          <w:sz w:val="26"/>
          <w:szCs w:val="26"/>
        </w:rPr>
      </w:pPr>
    </w:p>
    <w:p w:rsidR="00246B3E" w:rsidRPr="00246B3E" w:rsidRDefault="00246B3E" w:rsidP="00246B3E">
      <w:pPr>
        <w:pStyle w:val="ListParagraph"/>
        <w:numPr>
          <w:ilvl w:val="0"/>
          <w:numId w:val="1"/>
        </w:numPr>
        <w:spacing w:line="360" w:lineRule="auto"/>
        <w:ind w:left="0" w:firstLine="142"/>
        <w:jc w:val="both"/>
        <w:rPr>
          <w:rFonts w:ascii="Times New Roman" w:hAnsi="Times New Roman" w:cs="Times New Roman"/>
          <w:sz w:val="26"/>
          <w:szCs w:val="26"/>
        </w:rPr>
      </w:pPr>
      <w:r w:rsidRPr="00246B3E">
        <w:rPr>
          <w:rFonts w:ascii="Times New Roman" w:hAnsi="Times New Roman" w:cs="Times New Roman"/>
          <w:sz w:val="26"/>
          <w:szCs w:val="26"/>
        </w:rPr>
        <w:t>Thereafter, the parties engaged in correspondence, which in effect, forms the basis for th</w:t>
      </w:r>
      <w:r w:rsidR="00017DC1">
        <w:rPr>
          <w:rFonts w:ascii="Times New Roman" w:hAnsi="Times New Roman" w:cs="Times New Roman"/>
          <w:sz w:val="26"/>
          <w:szCs w:val="26"/>
        </w:rPr>
        <w:t>is</w:t>
      </w:r>
      <w:r w:rsidRPr="00246B3E">
        <w:rPr>
          <w:rFonts w:ascii="Times New Roman" w:hAnsi="Times New Roman" w:cs="Times New Roman"/>
          <w:sz w:val="26"/>
          <w:szCs w:val="26"/>
        </w:rPr>
        <w:t xml:space="preserve"> application and the opposition.</w:t>
      </w:r>
    </w:p>
    <w:p w:rsidR="0081631B" w:rsidRDefault="0081631B" w:rsidP="0081631B">
      <w:pPr>
        <w:rPr>
          <w:rFonts w:ascii="Times New Roman" w:hAnsi="Times New Roman" w:cs="Times New Roman"/>
          <w:sz w:val="26"/>
          <w:szCs w:val="26"/>
        </w:rPr>
      </w:pPr>
    </w:p>
    <w:p w:rsidR="00B87716" w:rsidRPr="00B87716" w:rsidRDefault="0081631B" w:rsidP="00246B3E">
      <w:pPr>
        <w:pStyle w:val="ListParagraph"/>
        <w:numPr>
          <w:ilvl w:val="0"/>
          <w:numId w:val="3"/>
        </w:numPr>
        <w:rPr>
          <w:rFonts w:ascii="Times New Roman" w:hAnsi="Times New Roman" w:cs="Times New Roman"/>
          <w:b/>
          <w:bCs/>
          <w:sz w:val="26"/>
          <w:szCs w:val="26"/>
          <w:u w:val="single"/>
        </w:rPr>
      </w:pPr>
      <w:r w:rsidRPr="0081631B">
        <w:rPr>
          <w:rFonts w:ascii="Times New Roman" w:hAnsi="Times New Roman" w:cs="Times New Roman"/>
          <w:b/>
          <w:bCs/>
          <w:sz w:val="26"/>
          <w:szCs w:val="26"/>
          <w:u w:val="single"/>
        </w:rPr>
        <w:t xml:space="preserve">THE PARTIES’ </w:t>
      </w:r>
      <w:r>
        <w:rPr>
          <w:rFonts w:ascii="Times New Roman" w:hAnsi="Times New Roman" w:cs="Times New Roman"/>
          <w:b/>
          <w:bCs/>
          <w:sz w:val="26"/>
          <w:szCs w:val="26"/>
          <w:u w:val="single"/>
        </w:rPr>
        <w:t>CA</w:t>
      </w:r>
      <w:r w:rsidRPr="0081631B">
        <w:rPr>
          <w:rFonts w:ascii="Times New Roman" w:hAnsi="Times New Roman" w:cs="Times New Roman"/>
          <w:b/>
          <w:bCs/>
          <w:sz w:val="26"/>
          <w:szCs w:val="26"/>
          <w:u w:val="single"/>
        </w:rPr>
        <w:t>S</w:t>
      </w:r>
      <w:r>
        <w:rPr>
          <w:rFonts w:ascii="Times New Roman" w:hAnsi="Times New Roman" w:cs="Times New Roman"/>
          <w:b/>
          <w:bCs/>
          <w:sz w:val="26"/>
          <w:szCs w:val="26"/>
          <w:u w:val="single"/>
        </w:rPr>
        <w:t>ES</w:t>
      </w:r>
    </w:p>
    <w:p w:rsidR="0081631B" w:rsidRDefault="0081631B" w:rsidP="0081631B">
      <w:pPr>
        <w:pStyle w:val="ListParagraph"/>
      </w:pPr>
    </w:p>
    <w:p w:rsidR="00BD254B" w:rsidRDefault="0081631B" w:rsidP="00BD254B">
      <w:pPr>
        <w:pStyle w:val="ListParagraph"/>
        <w:numPr>
          <w:ilvl w:val="0"/>
          <w:numId w:val="1"/>
        </w:numPr>
        <w:spacing w:line="360" w:lineRule="auto"/>
        <w:ind w:left="0" w:firstLine="142"/>
        <w:jc w:val="both"/>
        <w:rPr>
          <w:rFonts w:ascii="Times New Roman" w:hAnsi="Times New Roman" w:cs="Times New Roman"/>
          <w:sz w:val="26"/>
          <w:szCs w:val="26"/>
        </w:rPr>
      </w:pPr>
      <w:r w:rsidRPr="00BD254B">
        <w:rPr>
          <w:rFonts w:ascii="Times New Roman" w:hAnsi="Times New Roman" w:cs="Times New Roman"/>
          <w:sz w:val="26"/>
          <w:szCs w:val="26"/>
        </w:rPr>
        <w:t xml:space="preserve">The applicant </w:t>
      </w:r>
      <w:r w:rsidR="00B87716" w:rsidRPr="00BD254B">
        <w:rPr>
          <w:rFonts w:ascii="Times New Roman" w:hAnsi="Times New Roman" w:cs="Times New Roman"/>
          <w:sz w:val="26"/>
          <w:szCs w:val="26"/>
        </w:rPr>
        <w:t>states that the new location is within the area of restraint and therefore the relocation</w:t>
      </w:r>
      <w:r w:rsidR="001F759D" w:rsidRPr="00BD254B">
        <w:rPr>
          <w:rFonts w:ascii="Times New Roman" w:hAnsi="Times New Roman" w:cs="Times New Roman"/>
          <w:sz w:val="26"/>
          <w:szCs w:val="26"/>
        </w:rPr>
        <w:t>,</w:t>
      </w:r>
      <w:r w:rsidR="00B87716" w:rsidRPr="00BD254B">
        <w:rPr>
          <w:rFonts w:ascii="Times New Roman" w:hAnsi="Times New Roman" w:cs="Times New Roman"/>
          <w:sz w:val="26"/>
          <w:szCs w:val="26"/>
        </w:rPr>
        <w:t xml:space="preserve"> </w:t>
      </w:r>
      <w:r w:rsidR="001F759D" w:rsidRPr="00BD254B">
        <w:rPr>
          <w:rFonts w:ascii="Times New Roman" w:hAnsi="Times New Roman" w:cs="Times New Roman"/>
          <w:sz w:val="26"/>
          <w:szCs w:val="26"/>
        </w:rPr>
        <w:t xml:space="preserve">under the new name of Kaleidovision, </w:t>
      </w:r>
      <w:r w:rsidR="00B87716" w:rsidRPr="00BD254B">
        <w:rPr>
          <w:rFonts w:ascii="Times New Roman" w:hAnsi="Times New Roman" w:cs="Times New Roman"/>
          <w:sz w:val="26"/>
          <w:szCs w:val="26"/>
        </w:rPr>
        <w:t>constitutes a breach of the agreement.</w:t>
      </w:r>
      <w:r w:rsidR="00BD254B" w:rsidRPr="00BD254B">
        <w:rPr>
          <w:rFonts w:ascii="Times New Roman" w:hAnsi="Times New Roman" w:cs="Times New Roman"/>
          <w:sz w:val="26"/>
          <w:szCs w:val="26"/>
        </w:rPr>
        <w:t xml:space="preserve"> It states that, during the term of the agreement between the parties, the respondents have come to know the confidential information of the applicant, including its know-how, costing and supplier arrangements, systems and standards, marketing strategies and pricing.  Furthermore, the applicant points out that the respondents’ marketing of its relocation to its client makes it seem like </w:t>
      </w:r>
      <w:r w:rsidR="00017DC1">
        <w:rPr>
          <w:rFonts w:ascii="Times New Roman" w:hAnsi="Times New Roman" w:cs="Times New Roman"/>
          <w:sz w:val="26"/>
          <w:szCs w:val="26"/>
        </w:rPr>
        <w:t>N</w:t>
      </w:r>
      <w:r w:rsidR="00BD254B" w:rsidRPr="00BD254B">
        <w:rPr>
          <w:rFonts w:ascii="Times New Roman" w:hAnsi="Times New Roman" w:cs="Times New Roman"/>
          <w:sz w:val="26"/>
          <w:szCs w:val="26"/>
        </w:rPr>
        <w:t>e</w:t>
      </w:r>
      <w:r w:rsidR="00017DC1">
        <w:rPr>
          <w:rFonts w:ascii="Times New Roman" w:hAnsi="Times New Roman" w:cs="Times New Roman"/>
          <w:sz w:val="26"/>
          <w:szCs w:val="26"/>
        </w:rPr>
        <w:t>o</w:t>
      </w:r>
      <w:r w:rsidR="00BD254B" w:rsidRPr="00BD254B">
        <w:rPr>
          <w:rFonts w:ascii="Times New Roman" w:hAnsi="Times New Roman" w:cs="Times New Roman"/>
          <w:sz w:val="26"/>
          <w:szCs w:val="26"/>
        </w:rPr>
        <w:t xml:space="preserve">vision and its associated expert services will continue simply under a different name and will be moving in order to expand.  The applicant states that this is a misrepresentation in an attempt to keep </w:t>
      </w:r>
      <w:r w:rsidR="00017DC1">
        <w:rPr>
          <w:rFonts w:ascii="Times New Roman" w:hAnsi="Times New Roman" w:cs="Times New Roman"/>
          <w:sz w:val="26"/>
          <w:szCs w:val="26"/>
        </w:rPr>
        <w:t>N</w:t>
      </w:r>
      <w:r w:rsidR="00BD254B" w:rsidRPr="00BD254B">
        <w:rPr>
          <w:rFonts w:ascii="Times New Roman" w:hAnsi="Times New Roman" w:cs="Times New Roman"/>
          <w:sz w:val="26"/>
          <w:szCs w:val="26"/>
        </w:rPr>
        <w:t>e</w:t>
      </w:r>
      <w:r w:rsidR="00017DC1">
        <w:rPr>
          <w:rFonts w:ascii="Times New Roman" w:hAnsi="Times New Roman" w:cs="Times New Roman"/>
          <w:sz w:val="26"/>
          <w:szCs w:val="26"/>
        </w:rPr>
        <w:t>o</w:t>
      </w:r>
      <w:r w:rsidR="00BD254B" w:rsidRPr="00BD254B">
        <w:rPr>
          <w:rFonts w:ascii="Times New Roman" w:hAnsi="Times New Roman" w:cs="Times New Roman"/>
          <w:sz w:val="26"/>
          <w:szCs w:val="26"/>
        </w:rPr>
        <w:t xml:space="preserve">vision’s clients. </w:t>
      </w:r>
    </w:p>
    <w:p w:rsidR="00320577" w:rsidRDefault="001F759D" w:rsidP="00320577">
      <w:pPr>
        <w:pStyle w:val="ListParagraph"/>
        <w:numPr>
          <w:ilvl w:val="0"/>
          <w:numId w:val="1"/>
        </w:numPr>
        <w:spacing w:line="360" w:lineRule="auto"/>
        <w:ind w:left="0" w:firstLine="142"/>
        <w:jc w:val="both"/>
        <w:rPr>
          <w:rFonts w:ascii="Times New Roman" w:hAnsi="Times New Roman" w:cs="Times New Roman"/>
          <w:sz w:val="26"/>
          <w:szCs w:val="26"/>
        </w:rPr>
      </w:pPr>
      <w:r w:rsidRPr="00320577">
        <w:rPr>
          <w:rFonts w:ascii="Times New Roman" w:hAnsi="Times New Roman" w:cs="Times New Roman"/>
          <w:sz w:val="26"/>
          <w:szCs w:val="26"/>
        </w:rPr>
        <w:t xml:space="preserve">The respondents’ primary argument is that it will no longer be trading and is to be wound up, although there is no indication in the papers when this will be. </w:t>
      </w:r>
      <w:r w:rsidR="00320577" w:rsidRPr="00320577">
        <w:rPr>
          <w:rFonts w:ascii="Times New Roman" w:hAnsi="Times New Roman" w:cs="Times New Roman"/>
          <w:sz w:val="26"/>
          <w:szCs w:val="26"/>
        </w:rPr>
        <w:t>Consequently, it points out that it cannot be in breach of the restraint agreement if it</w:t>
      </w:r>
      <w:r w:rsidR="00017DC1">
        <w:rPr>
          <w:rFonts w:ascii="Times New Roman" w:hAnsi="Times New Roman" w:cs="Times New Roman"/>
          <w:sz w:val="26"/>
          <w:szCs w:val="26"/>
        </w:rPr>
        <w:t xml:space="preserve"> is</w:t>
      </w:r>
      <w:r w:rsidR="00320577" w:rsidRPr="00320577">
        <w:rPr>
          <w:rFonts w:ascii="Times New Roman" w:hAnsi="Times New Roman" w:cs="Times New Roman"/>
          <w:sz w:val="26"/>
          <w:szCs w:val="26"/>
        </w:rPr>
        <w:t xml:space="preserve"> no longer in trade.  Furthermore, the second respondent is not a party to the franchise agreement and accordingly cannot be held responsible for the restraint provisions. </w:t>
      </w:r>
      <w:r w:rsidR="00320577">
        <w:rPr>
          <w:rFonts w:ascii="Times New Roman" w:hAnsi="Times New Roman" w:cs="Times New Roman"/>
          <w:sz w:val="26"/>
          <w:szCs w:val="26"/>
        </w:rPr>
        <w:t>T</w:t>
      </w:r>
      <w:r w:rsidRPr="00320577">
        <w:rPr>
          <w:rFonts w:ascii="Times New Roman" w:hAnsi="Times New Roman" w:cs="Times New Roman"/>
          <w:sz w:val="26"/>
          <w:szCs w:val="26"/>
        </w:rPr>
        <w:t xml:space="preserve">he applicant does not dispute that the first respondent is to be wound up, but it points out that </w:t>
      </w:r>
      <w:r w:rsidR="00B87716" w:rsidRPr="00320577">
        <w:rPr>
          <w:rFonts w:ascii="Times New Roman" w:hAnsi="Times New Roman" w:cs="Times New Roman"/>
          <w:sz w:val="26"/>
          <w:szCs w:val="26"/>
        </w:rPr>
        <w:t xml:space="preserve">even if </w:t>
      </w:r>
      <w:r w:rsidR="0081631B" w:rsidRPr="00320577">
        <w:rPr>
          <w:rFonts w:ascii="Times New Roman" w:hAnsi="Times New Roman" w:cs="Times New Roman"/>
          <w:sz w:val="26"/>
          <w:szCs w:val="26"/>
        </w:rPr>
        <w:t xml:space="preserve">the first respondent </w:t>
      </w:r>
      <w:r w:rsidR="00B87716" w:rsidRPr="00320577">
        <w:rPr>
          <w:rFonts w:ascii="Times New Roman" w:hAnsi="Times New Roman" w:cs="Times New Roman"/>
          <w:sz w:val="26"/>
          <w:szCs w:val="26"/>
        </w:rPr>
        <w:t xml:space="preserve">is to be </w:t>
      </w:r>
      <w:r w:rsidR="0081631B" w:rsidRPr="00320577">
        <w:rPr>
          <w:rFonts w:ascii="Times New Roman" w:hAnsi="Times New Roman" w:cs="Times New Roman"/>
          <w:sz w:val="26"/>
          <w:szCs w:val="26"/>
        </w:rPr>
        <w:t>wound up</w:t>
      </w:r>
      <w:r w:rsidR="00B87716" w:rsidRPr="00320577">
        <w:rPr>
          <w:rFonts w:ascii="Times New Roman" w:hAnsi="Times New Roman" w:cs="Times New Roman"/>
          <w:sz w:val="26"/>
          <w:szCs w:val="26"/>
        </w:rPr>
        <w:t xml:space="preserve">, </w:t>
      </w:r>
      <w:r w:rsidR="00B448A3" w:rsidRPr="00320577">
        <w:rPr>
          <w:rFonts w:ascii="Times New Roman" w:hAnsi="Times New Roman" w:cs="Times New Roman"/>
          <w:sz w:val="26"/>
          <w:szCs w:val="26"/>
        </w:rPr>
        <w:t xml:space="preserve">the second respondent remains bound by the restraint undertakings and </w:t>
      </w:r>
      <w:r w:rsidR="00246B3E" w:rsidRPr="00320577">
        <w:rPr>
          <w:rFonts w:ascii="Times New Roman" w:hAnsi="Times New Roman" w:cs="Times New Roman"/>
          <w:sz w:val="26"/>
          <w:szCs w:val="26"/>
        </w:rPr>
        <w:t xml:space="preserve">the </w:t>
      </w:r>
      <w:r w:rsidR="00B448A3" w:rsidRPr="00320577">
        <w:rPr>
          <w:rFonts w:ascii="Times New Roman" w:hAnsi="Times New Roman" w:cs="Times New Roman"/>
          <w:sz w:val="26"/>
          <w:szCs w:val="26"/>
        </w:rPr>
        <w:t>guarantee.</w:t>
      </w:r>
      <w:r w:rsidR="008068D9" w:rsidRPr="00320577">
        <w:rPr>
          <w:rFonts w:ascii="Times New Roman" w:hAnsi="Times New Roman" w:cs="Times New Roman"/>
          <w:sz w:val="26"/>
          <w:szCs w:val="26"/>
        </w:rPr>
        <w:t xml:space="preserve"> </w:t>
      </w:r>
    </w:p>
    <w:p w:rsidR="00320577" w:rsidRDefault="00320577" w:rsidP="00320577">
      <w:pPr>
        <w:pStyle w:val="ListParagraph"/>
        <w:spacing w:line="360" w:lineRule="auto"/>
        <w:ind w:left="142"/>
        <w:jc w:val="both"/>
        <w:rPr>
          <w:rFonts w:ascii="Times New Roman" w:hAnsi="Times New Roman" w:cs="Times New Roman"/>
          <w:sz w:val="26"/>
          <w:szCs w:val="26"/>
        </w:rPr>
      </w:pPr>
    </w:p>
    <w:p w:rsidR="00320577" w:rsidRPr="00320577" w:rsidRDefault="00320577" w:rsidP="00320577">
      <w:pPr>
        <w:pStyle w:val="ListParagraph"/>
        <w:numPr>
          <w:ilvl w:val="0"/>
          <w:numId w:val="1"/>
        </w:numPr>
        <w:spacing w:line="360" w:lineRule="auto"/>
        <w:ind w:left="0" w:firstLine="142"/>
        <w:jc w:val="both"/>
        <w:rPr>
          <w:rFonts w:ascii="Times New Roman" w:hAnsi="Times New Roman" w:cs="Times New Roman"/>
          <w:sz w:val="26"/>
          <w:szCs w:val="26"/>
        </w:rPr>
      </w:pPr>
      <w:r w:rsidRPr="00320577">
        <w:rPr>
          <w:rFonts w:ascii="Times New Roman" w:hAnsi="Times New Roman" w:cs="Times New Roman"/>
          <w:sz w:val="26"/>
          <w:szCs w:val="26"/>
        </w:rPr>
        <w:t xml:space="preserve">As regards the guarantee, the respondents point out that the Secured Obligations for which </w:t>
      </w:r>
      <w:r w:rsidR="00017DC1">
        <w:rPr>
          <w:rFonts w:ascii="Times New Roman" w:hAnsi="Times New Roman" w:cs="Times New Roman"/>
          <w:sz w:val="26"/>
          <w:szCs w:val="26"/>
        </w:rPr>
        <w:t>t</w:t>
      </w:r>
      <w:r w:rsidRPr="00320577">
        <w:rPr>
          <w:rFonts w:ascii="Times New Roman" w:hAnsi="Times New Roman" w:cs="Times New Roman"/>
          <w:sz w:val="26"/>
          <w:szCs w:val="26"/>
        </w:rPr>
        <w:t>he</w:t>
      </w:r>
      <w:r w:rsidR="00017DC1">
        <w:rPr>
          <w:rFonts w:ascii="Times New Roman" w:hAnsi="Times New Roman" w:cs="Times New Roman"/>
          <w:sz w:val="26"/>
          <w:szCs w:val="26"/>
        </w:rPr>
        <w:t xml:space="preserve"> second respondent</w:t>
      </w:r>
      <w:r w:rsidRPr="00320577">
        <w:rPr>
          <w:rFonts w:ascii="Times New Roman" w:hAnsi="Times New Roman" w:cs="Times New Roman"/>
          <w:sz w:val="26"/>
          <w:szCs w:val="26"/>
        </w:rPr>
        <w:t xml:space="preserve"> stood as guarantor are those obligations which the first respondent as franchisee owed to the applicant.  Since the first respondent is closing its business, the second respondent has complied with his obligations as guarantor.</w:t>
      </w:r>
    </w:p>
    <w:p w:rsidR="00320577" w:rsidRDefault="00320577" w:rsidP="00320577">
      <w:pPr>
        <w:pStyle w:val="ListParagraph"/>
        <w:spacing w:line="360" w:lineRule="auto"/>
        <w:ind w:left="142"/>
        <w:jc w:val="both"/>
        <w:rPr>
          <w:rFonts w:ascii="Times New Roman" w:hAnsi="Times New Roman" w:cs="Times New Roman"/>
          <w:sz w:val="26"/>
          <w:szCs w:val="26"/>
        </w:rPr>
      </w:pPr>
    </w:p>
    <w:p w:rsidR="00246B3E" w:rsidRDefault="00246B3E" w:rsidP="0081631B">
      <w:pPr>
        <w:pStyle w:val="ListParagraph"/>
        <w:numPr>
          <w:ilvl w:val="0"/>
          <w:numId w:val="1"/>
        </w:numPr>
        <w:spacing w:line="360" w:lineRule="auto"/>
        <w:ind w:left="0" w:firstLine="142"/>
        <w:jc w:val="both"/>
        <w:rPr>
          <w:rFonts w:ascii="Times New Roman" w:hAnsi="Times New Roman" w:cs="Times New Roman"/>
          <w:sz w:val="26"/>
          <w:szCs w:val="26"/>
        </w:rPr>
      </w:pPr>
      <w:r w:rsidRPr="00246B3E">
        <w:rPr>
          <w:rFonts w:ascii="Times New Roman" w:hAnsi="Times New Roman" w:cs="Times New Roman"/>
          <w:sz w:val="26"/>
          <w:szCs w:val="26"/>
        </w:rPr>
        <w:t xml:space="preserve">The next main issue between the parties relates to whether </w:t>
      </w:r>
      <w:r w:rsidR="00017DC1">
        <w:rPr>
          <w:rFonts w:ascii="Times New Roman" w:hAnsi="Times New Roman" w:cs="Times New Roman"/>
          <w:sz w:val="26"/>
          <w:szCs w:val="26"/>
        </w:rPr>
        <w:t>Kaleidovision</w:t>
      </w:r>
      <w:r w:rsidRPr="00246B3E">
        <w:rPr>
          <w:rFonts w:ascii="Times New Roman" w:hAnsi="Times New Roman" w:cs="Times New Roman"/>
          <w:sz w:val="26"/>
          <w:szCs w:val="26"/>
        </w:rPr>
        <w:t xml:space="preserve"> i</w:t>
      </w:r>
      <w:r w:rsidR="00017DC1">
        <w:rPr>
          <w:rFonts w:ascii="Times New Roman" w:hAnsi="Times New Roman" w:cs="Times New Roman"/>
          <w:sz w:val="26"/>
          <w:szCs w:val="26"/>
        </w:rPr>
        <w:t>s</w:t>
      </w:r>
      <w:r w:rsidRPr="00246B3E">
        <w:rPr>
          <w:rFonts w:ascii="Times New Roman" w:hAnsi="Times New Roman" w:cs="Times New Roman"/>
          <w:sz w:val="26"/>
          <w:szCs w:val="26"/>
        </w:rPr>
        <w:t xml:space="preserve"> to provide services which are </w:t>
      </w:r>
      <w:r w:rsidR="001F759D" w:rsidRPr="00246B3E">
        <w:rPr>
          <w:rFonts w:ascii="Times New Roman" w:hAnsi="Times New Roman" w:cs="Times New Roman"/>
          <w:sz w:val="26"/>
          <w:szCs w:val="26"/>
        </w:rPr>
        <w:t>distinguishable from the practice of the applicant. The</w:t>
      </w:r>
      <w:r w:rsidRPr="00246B3E">
        <w:rPr>
          <w:rFonts w:ascii="Times New Roman" w:hAnsi="Times New Roman" w:cs="Times New Roman"/>
          <w:sz w:val="26"/>
          <w:szCs w:val="26"/>
        </w:rPr>
        <w:t xml:space="preserve"> respondents </w:t>
      </w:r>
      <w:r w:rsidR="001F759D" w:rsidRPr="00246B3E">
        <w:rPr>
          <w:rFonts w:ascii="Times New Roman" w:hAnsi="Times New Roman" w:cs="Times New Roman"/>
          <w:sz w:val="26"/>
          <w:szCs w:val="26"/>
        </w:rPr>
        <w:t xml:space="preserve">state that the intention is for Kaleidovision to be the first vision therapy-only practice, which is also </w:t>
      </w:r>
      <w:r w:rsidRPr="00246B3E">
        <w:rPr>
          <w:rFonts w:ascii="Times New Roman" w:hAnsi="Times New Roman" w:cs="Times New Roman"/>
          <w:sz w:val="26"/>
          <w:szCs w:val="26"/>
        </w:rPr>
        <w:t xml:space="preserve">referred to </w:t>
      </w:r>
      <w:r w:rsidR="001F759D" w:rsidRPr="00246B3E">
        <w:rPr>
          <w:rFonts w:ascii="Times New Roman" w:hAnsi="Times New Roman" w:cs="Times New Roman"/>
          <w:sz w:val="26"/>
          <w:szCs w:val="26"/>
        </w:rPr>
        <w:t xml:space="preserve">as functional vision rehabilitation. </w:t>
      </w:r>
      <w:r w:rsidRPr="00246B3E">
        <w:rPr>
          <w:rFonts w:ascii="Times New Roman" w:hAnsi="Times New Roman" w:cs="Times New Roman"/>
          <w:sz w:val="26"/>
          <w:szCs w:val="26"/>
        </w:rPr>
        <w:t xml:space="preserve">In this regard, a distinction is drawn between, on the one hand optometry services, and on the other, functional vision rehabilitation services which include clinical eye care and developmental optometry services.  </w:t>
      </w:r>
      <w:r w:rsidR="001F759D" w:rsidRPr="00246B3E">
        <w:rPr>
          <w:rFonts w:ascii="Times New Roman" w:hAnsi="Times New Roman" w:cs="Times New Roman"/>
          <w:sz w:val="26"/>
          <w:szCs w:val="26"/>
        </w:rPr>
        <w:t xml:space="preserve"> On the basis of this distinction, it is stated that Kaleidovision will not be a competitor of the applicant.  </w:t>
      </w:r>
    </w:p>
    <w:p w:rsidR="00246B3E" w:rsidRPr="00246B3E" w:rsidRDefault="00246B3E" w:rsidP="00246B3E">
      <w:pPr>
        <w:pStyle w:val="ListParagraph"/>
        <w:rPr>
          <w:rFonts w:ascii="Times New Roman" w:hAnsi="Times New Roman" w:cs="Times New Roman"/>
          <w:sz w:val="26"/>
          <w:szCs w:val="26"/>
        </w:rPr>
      </w:pPr>
    </w:p>
    <w:p w:rsidR="0035378E" w:rsidRPr="00BD254B" w:rsidRDefault="001F759D" w:rsidP="00BD254B">
      <w:pPr>
        <w:pStyle w:val="ListParagraph"/>
        <w:numPr>
          <w:ilvl w:val="0"/>
          <w:numId w:val="1"/>
        </w:numPr>
        <w:spacing w:line="360" w:lineRule="auto"/>
        <w:ind w:left="0" w:firstLine="142"/>
        <w:jc w:val="both"/>
        <w:rPr>
          <w:rFonts w:ascii="Times New Roman" w:hAnsi="Times New Roman" w:cs="Times New Roman"/>
          <w:sz w:val="26"/>
          <w:szCs w:val="26"/>
        </w:rPr>
      </w:pPr>
      <w:r w:rsidRPr="00246B3E">
        <w:rPr>
          <w:rFonts w:ascii="Times New Roman" w:hAnsi="Times New Roman" w:cs="Times New Roman"/>
          <w:sz w:val="26"/>
          <w:szCs w:val="26"/>
        </w:rPr>
        <w:t>This issue is vehemently denied by the applicant which states that all eye care</w:t>
      </w:r>
      <w:r w:rsidR="00246B3E" w:rsidRPr="00246B3E">
        <w:rPr>
          <w:rFonts w:ascii="Times New Roman" w:hAnsi="Times New Roman" w:cs="Times New Roman"/>
          <w:sz w:val="26"/>
          <w:szCs w:val="26"/>
        </w:rPr>
        <w:t>-</w:t>
      </w:r>
      <w:r w:rsidRPr="00246B3E">
        <w:rPr>
          <w:rFonts w:ascii="Times New Roman" w:hAnsi="Times New Roman" w:cs="Times New Roman"/>
          <w:sz w:val="26"/>
          <w:szCs w:val="26"/>
        </w:rPr>
        <w:t>related services constitute optometry services</w:t>
      </w:r>
      <w:r w:rsidR="00246B3E" w:rsidRPr="00246B3E">
        <w:rPr>
          <w:rFonts w:ascii="Times New Roman" w:hAnsi="Times New Roman" w:cs="Times New Roman"/>
          <w:sz w:val="26"/>
          <w:szCs w:val="26"/>
        </w:rPr>
        <w:t>,</w:t>
      </w:r>
      <w:r w:rsidRPr="00246B3E">
        <w:rPr>
          <w:rFonts w:ascii="Times New Roman" w:hAnsi="Times New Roman" w:cs="Times New Roman"/>
          <w:sz w:val="26"/>
          <w:szCs w:val="26"/>
        </w:rPr>
        <w:t xml:space="preserve"> all of which are restrained in terms of the agreement.  Furthermore, the applicant points out that on the respondents’ own version they intend contravening the terms of the agreement because the services they intend providing are optometry services</w:t>
      </w:r>
      <w:r w:rsidR="00017DC1">
        <w:rPr>
          <w:rFonts w:ascii="Times New Roman" w:hAnsi="Times New Roman" w:cs="Times New Roman"/>
          <w:sz w:val="26"/>
          <w:szCs w:val="26"/>
        </w:rPr>
        <w:t>. Further,</w:t>
      </w:r>
      <w:r w:rsidR="00246B3E" w:rsidRPr="00246B3E">
        <w:rPr>
          <w:rFonts w:ascii="Times New Roman" w:hAnsi="Times New Roman" w:cs="Times New Roman"/>
          <w:sz w:val="26"/>
          <w:szCs w:val="26"/>
        </w:rPr>
        <w:t xml:space="preserve"> that the distinction created by the respondents</w:t>
      </w:r>
      <w:r w:rsidR="00B448A3" w:rsidRPr="00246B3E">
        <w:rPr>
          <w:rFonts w:ascii="Times New Roman" w:hAnsi="Times New Roman" w:cs="Times New Roman"/>
          <w:sz w:val="26"/>
          <w:szCs w:val="26"/>
        </w:rPr>
        <w:t xml:space="preserve"> is misleading</w:t>
      </w:r>
      <w:r w:rsidR="00246B3E" w:rsidRPr="00246B3E">
        <w:rPr>
          <w:rFonts w:ascii="Times New Roman" w:hAnsi="Times New Roman" w:cs="Times New Roman"/>
          <w:sz w:val="26"/>
          <w:szCs w:val="26"/>
        </w:rPr>
        <w:t xml:space="preserve">, </w:t>
      </w:r>
      <w:r w:rsidR="00B448A3" w:rsidRPr="00246B3E">
        <w:rPr>
          <w:rFonts w:ascii="Times New Roman" w:hAnsi="Times New Roman" w:cs="Times New Roman"/>
          <w:sz w:val="26"/>
          <w:szCs w:val="26"/>
        </w:rPr>
        <w:t xml:space="preserve">artificial </w:t>
      </w:r>
      <w:r w:rsidR="008068D9" w:rsidRPr="00246B3E">
        <w:rPr>
          <w:rFonts w:ascii="Times New Roman" w:hAnsi="Times New Roman" w:cs="Times New Roman"/>
          <w:sz w:val="26"/>
          <w:szCs w:val="26"/>
        </w:rPr>
        <w:t>a</w:t>
      </w:r>
      <w:r w:rsidR="00B448A3" w:rsidRPr="00246B3E">
        <w:rPr>
          <w:rFonts w:ascii="Times New Roman" w:hAnsi="Times New Roman" w:cs="Times New Roman"/>
          <w:sz w:val="26"/>
          <w:szCs w:val="26"/>
        </w:rPr>
        <w:t>nd nonsensical</w:t>
      </w:r>
      <w:r w:rsidR="00BD254B">
        <w:rPr>
          <w:rFonts w:ascii="Times New Roman" w:hAnsi="Times New Roman" w:cs="Times New Roman"/>
          <w:sz w:val="26"/>
          <w:szCs w:val="26"/>
        </w:rPr>
        <w:t xml:space="preserve"> because the </w:t>
      </w:r>
      <w:r w:rsidR="00BD254B" w:rsidRPr="00BD254B">
        <w:rPr>
          <w:rFonts w:ascii="Times New Roman" w:hAnsi="Times New Roman" w:cs="Times New Roman"/>
          <w:sz w:val="26"/>
          <w:szCs w:val="26"/>
        </w:rPr>
        <w:t>very essence of optometry is the practice by an optometrist of examining the eyes and testing visual acuity and prescribing corrective lenses for corrective measures.</w:t>
      </w:r>
      <w:r w:rsidR="00BD254B">
        <w:t xml:space="preserve">  </w:t>
      </w:r>
      <w:r w:rsidR="00BD254B">
        <w:rPr>
          <w:rFonts w:ascii="Times New Roman" w:hAnsi="Times New Roman" w:cs="Times New Roman"/>
          <w:sz w:val="26"/>
          <w:szCs w:val="26"/>
        </w:rPr>
        <w:t>Moreover</w:t>
      </w:r>
      <w:r w:rsidR="00B448A3" w:rsidRPr="00246B3E">
        <w:rPr>
          <w:rFonts w:ascii="Times New Roman" w:hAnsi="Times New Roman" w:cs="Times New Roman"/>
          <w:sz w:val="26"/>
          <w:szCs w:val="26"/>
        </w:rPr>
        <w:t xml:space="preserve">, </w:t>
      </w:r>
      <w:r w:rsidR="008068D9" w:rsidRPr="00246B3E">
        <w:rPr>
          <w:rFonts w:ascii="Times New Roman" w:hAnsi="Times New Roman" w:cs="Times New Roman"/>
          <w:sz w:val="26"/>
          <w:szCs w:val="26"/>
        </w:rPr>
        <w:t>t</w:t>
      </w:r>
      <w:r w:rsidR="00B448A3" w:rsidRPr="00246B3E">
        <w:rPr>
          <w:rFonts w:ascii="Times New Roman" w:hAnsi="Times New Roman" w:cs="Times New Roman"/>
          <w:sz w:val="26"/>
          <w:szCs w:val="26"/>
        </w:rPr>
        <w:t xml:space="preserve">he </w:t>
      </w:r>
      <w:r w:rsidR="008068D9" w:rsidRPr="00246B3E">
        <w:rPr>
          <w:rFonts w:ascii="Times New Roman" w:hAnsi="Times New Roman" w:cs="Times New Roman"/>
          <w:sz w:val="26"/>
          <w:szCs w:val="26"/>
        </w:rPr>
        <w:t>a</w:t>
      </w:r>
      <w:r w:rsidR="00B448A3" w:rsidRPr="00246B3E">
        <w:rPr>
          <w:rFonts w:ascii="Times New Roman" w:hAnsi="Times New Roman" w:cs="Times New Roman"/>
          <w:sz w:val="26"/>
          <w:szCs w:val="26"/>
        </w:rPr>
        <w:t>pplicant points out that the respondents</w:t>
      </w:r>
      <w:r w:rsidR="00E40986" w:rsidRPr="00246B3E">
        <w:rPr>
          <w:rFonts w:ascii="Times New Roman" w:hAnsi="Times New Roman" w:cs="Times New Roman"/>
          <w:sz w:val="26"/>
          <w:szCs w:val="26"/>
        </w:rPr>
        <w:t>’</w:t>
      </w:r>
      <w:r w:rsidR="00B448A3" w:rsidRPr="00246B3E">
        <w:rPr>
          <w:rFonts w:ascii="Times New Roman" w:hAnsi="Times New Roman" w:cs="Times New Roman"/>
          <w:sz w:val="26"/>
          <w:szCs w:val="26"/>
        </w:rPr>
        <w:t xml:space="preserve"> ow</w:t>
      </w:r>
      <w:r w:rsidR="00246B3E" w:rsidRPr="00246B3E">
        <w:rPr>
          <w:rFonts w:ascii="Times New Roman" w:hAnsi="Times New Roman" w:cs="Times New Roman"/>
          <w:sz w:val="26"/>
          <w:szCs w:val="26"/>
        </w:rPr>
        <w:t>n</w:t>
      </w:r>
      <w:r w:rsidR="00B448A3" w:rsidRPr="00246B3E">
        <w:rPr>
          <w:rFonts w:ascii="Times New Roman" w:hAnsi="Times New Roman" w:cs="Times New Roman"/>
          <w:sz w:val="26"/>
          <w:szCs w:val="26"/>
        </w:rPr>
        <w:t xml:space="preserve"> marketing language is that they will be relocating and expanding</w:t>
      </w:r>
      <w:r w:rsidR="00E40986" w:rsidRPr="00246B3E">
        <w:rPr>
          <w:rFonts w:ascii="Times New Roman" w:hAnsi="Times New Roman" w:cs="Times New Roman"/>
          <w:sz w:val="26"/>
          <w:szCs w:val="26"/>
        </w:rPr>
        <w:t xml:space="preserve"> their eye care s</w:t>
      </w:r>
      <w:r w:rsidR="00B448A3" w:rsidRPr="00246B3E">
        <w:rPr>
          <w:rFonts w:ascii="Times New Roman" w:hAnsi="Times New Roman" w:cs="Times New Roman"/>
          <w:sz w:val="26"/>
          <w:szCs w:val="26"/>
        </w:rPr>
        <w:t>ervices</w:t>
      </w:r>
      <w:r w:rsidR="00E40986" w:rsidRPr="00246B3E">
        <w:rPr>
          <w:rFonts w:ascii="Times New Roman" w:hAnsi="Times New Roman" w:cs="Times New Roman"/>
          <w:sz w:val="26"/>
          <w:szCs w:val="26"/>
        </w:rPr>
        <w:t>,</w:t>
      </w:r>
      <w:r w:rsidR="00B448A3" w:rsidRPr="00246B3E">
        <w:rPr>
          <w:rFonts w:ascii="Times New Roman" w:hAnsi="Times New Roman" w:cs="Times New Roman"/>
          <w:sz w:val="26"/>
          <w:szCs w:val="26"/>
        </w:rPr>
        <w:t xml:space="preserve"> not closing </w:t>
      </w:r>
      <w:r w:rsidR="00246B3E" w:rsidRPr="00246B3E">
        <w:rPr>
          <w:rFonts w:ascii="Times New Roman" w:hAnsi="Times New Roman" w:cs="Times New Roman"/>
          <w:sz w:val="26"/>
          <w:szCs w:val="26"/>
        </w:rPr>
        <w:t xml:space="preserve">down </w:t>
      </w:r>
      <w:r w:rsidR="00B448A3" w:rsidRPr="00246B3E">
        <w:rPr>
          <w:rFonts w:ascii="Times New Roman" w:hAnsi="Times New Roman" w:cs="Times New Roman"/>
          <w:sz w:val="26"/>
          <w:szCs w:val="26"/>
        </w:rPr>
        <w:t>or only providing functional vision rehabilitation services</w:t>
      </w:r>
      <w:r w:rsidR="00246B3E" w:rsidRPr="00246B3E">
        <w:rPr>
          <w:rFonts w:ascii="Times New Roman" w:hAnsi="Times New Roman" w:cs="Times New Roman"/>
          <w:sz w:val="26"/>
          <w:szCs w:val="26"/>
        </w:rPr>
        <w:t>,</w:t>
      </w:r>
      <w:r w:rsidR="00B448A3" w:rsidRPr="00246B3E">
        <w:rPr>
          <w:rFonts w:ascii="Times New Roman" w:hAnsi="Times New Roman" w:cs="Times New Roman"/>
          <w:sz w:val="26"/>
          <w:szCs w:val="26"/>
        </w:rPr>
        <w:t xml:space="preserve"> </w:t>
      </w:r>
      <w:r w:rsidR="00E40986" w:rsidRPr="00246B3E">
        <w:rPr>
          <w:rFonts w:ascii="Times New Roman" w:hAnsi="Times New Roman" w:cs="Times New Roman"/>
          <w:sz w:val="26"/>
          <w:szCs w:val="26"/>
        </w:rPr>
        <w:t>w</w:t>
      </w:r>
      <w:r w:rsidR="00B448A3" w:rsidRPr="00246B3E">
        <w:rPr>
          <w:rFonts w:ascii="Times New Roman" w:hAnsi="Times New Roman" w:cs="Times New Roman"/>
          <w:sz w:val="26"/>
          <w:szCs w:val="26"/>
        </w:rPr>
        <w:t xml:space="preserve">hich is what the respondents now state. </w:t>
      </w:r>
    </w:p>
    <w:p w:rsidR="0035378E" w:rsidRDefault="0035378E" w:rsidP="00F358C0">
      <w:pPr>
        <w:pStyle w:val="ListParagraph"/>
        <w:spacing w:line="360" w:lineRule="auto"/>
        <w:ind w:left="142"/>
        <w:jc w:val="both"/>
      </w:pPr>
    </w:p>
    <w:p w:rsidR="00BD254B" w:rsidRDefault="00BD254B" w:rsidP="00F358C0">
      <w:pPr>
        <w:pStyle w:val="ListParagraph"/>
        <w:numPr>
          <w:ilvl w:val="0"/>
          <w:numId w:val="1"/>
        </w:numPr>
        <w:spacing w:line="360" w:lineRule="auto"/>
        <w:ind w:left="0" w:firstLine="142"/>
        <w:jc w:val="both"/>
      </w:pPr>
      <w:r w:rsidRPr="00BD254B">
        <w:rPr>
          <w:rFonts w:ascii="Times New Roman" w:hAnsi="Times New Roman" w:cs="Times New Roman"/>
          <w:sz w:val="26"/>
          <w:szCs w:val="26"/>
        </w:rPr>
        <w:t xml:space="preserve">In any event, the applicant points out that its main business is not to sell spectacles or contact lenses but to also provide multiple other optometry services which include comprehensive eye tests, glaucoma screening and vision therapy, amongst others. The applicant refutes the respondents’ allegations that it (the applicant) does not engage in vision therapy, adding that </w:t>
      </w:r>
      <w:r w:rsidR="005F7840" w:rsidRPr="00BD254B">
        <w:rPr>
          <w:rFonts w:ascii="Times New Roman" w:hAnsi="Times New Roman" w:cs="Times New Roman"/>
          <w:sz w:val="26"/>
          <w:szCs w:val="26"/>
        </w:rPr>
        <w:t>it actively markets and promotes</w:t>
      </w:r>
      <w:r w:rsidR="00C114E1" w:rsidRPr="00BD254B">
        <w:rPr>
          <w:rFonts w:ascii="Times New Roman" w:hAnsi="Times New Roman" w:cs="Times New Roman"/>
          <w:sz w:val="26"/>
          <w:szCs w:val="26"/>
        </w:rPr>
        <w:t xml:space="preserve"> </w:t>
      </w:r>
      <w:r w:rsidR="005F7840" w:rsidRPr="00BD254B">
        <w:rPr>
          <w:rFonts w:ascii="Times New Roman" w:hAnsi="Times New Roman" w:cs="Times New Roman"/>
          <w:sz w:val="26"/>
          <w:szCs w:val="26"/>
        </w:rPr>
        <w:t>v</w:t>
      </w:r>
      <w:r w:rsidR="00C114E1" w:rsidRPr="00BD254B">
        <w:rPr>
          <w:rFonts w:ascii="Times New Roman" w:hAnsi="Times New Roman" w:cs="Times New Roman"/>
          <w:sz w:val="26"/>
          <w:szCs w:val="26"/>
        </w:rPr>
        <w:t>ision therapy to attract existing and prospective clients, and this is what the respondent now refers to as developmental optometry.</w:t>
      </w:r>
      <w:r w:rsidR="00C114E1">
        <w:t xml:space="preserve"> </w:t>
      </w:r>
      <w:r w:rsidR="00541BD1">
        <w:t xml:space="preserve"> </w:t>
      </w:r>
    </w:p>
    <w:p w:rsidR="00BD254B" w:rsidRDefault="00BD254B" w:rsidP="00BD254B">
      <w:pPr>
        <w:pStyle w:val="ListParagraph"/>
      </w:pPr>
    </w:p>
    <w:p w:rsidR="00017DC1" w:rsidRPr="00017DC1" w:rsidRDefault="00BD254B" w:rsidP="00017DC1">
      <w:pPr>
        <w:pStyle w:val="ListParagraph"/>
        <w:numPr>
          <w:ilvl w:val="0"/>
          <w:numId w:val="1"/>
        </w:numPr>
        <w:spacing w:line="360" w:lineRule="auto"/>
        <w:ind w:left="0" w:firstLine="142"/>
        <w:jc w:val="both"/>
      </w:pPr>
      <w:r w:rsidRPr="00BD254B">
        <w:rPr>
          <w:rFonts w:ascii="Times New Roman" w:hAnsi="Times New Roman" w:cs="Times New Roman"/>
          <w:sz w:val="26"/>
          <w:szCs w:val="26"/>
        </w:rPr>
        <w:t xml:space="preserve">Next is a dispute regarding the area of restraint. In this regard, the respondents argue that </w:t>
      </w:r>
      <w:r w:rsidR="00320577" w:rsidRPr="00320577">
        <w:rPr>
          <w:rFonts w:ascii="Times New Roman" w:hAnsi="Times New Roman" w:cs="Times New Roman"/>
          <w:sz w:val="26"/>
          <w:szCs w:val="26"/>
        </w:rPr>
        <w:t xml:space="preserve">the franchise agreement has not been varied in terms of </w:t>
      </w:r>
      <w:r w:rsidR="00017DC1">
        <w:rPr>
          <w:rFonts w:ascii="Times New Roman" w:hAnsi="Times New Roman" w:cs="Times New Roman"/>
          <w:sz w:val="26"/>
          <w:szCs w:val="26"/>
        </w:rPr>
        <w:t xml:space="preserve">clause 38.2 </w:t>
      </w:r>
      <w:r w:rsidR="00320577" w:rsidRPr="00320577">
        <w:rPr>
          <w:rFonts w:ascii="Times New Roman" w:hAnsi="Times New Roman" w:cs="Times New Roman"/>
          <w:sz w:val="26"/>
          <w:szCs w:val="26"/>
        </w:rPr>
        <w:t>of the agreement, because no written addendum was ever concluded, effectively providing for the change of the location to the first Waterfront address.  Accordingly, the argument goes, the 2km radius identified in clause 28.1.1 neither covers the Waterfront address, nor the new address of the Kaleidovision practice</w:t>
      </w:r>
      <w:r w:rsidR="00017DC1">
        <w:rPr>
          <w:rFonts w:ascii="Times New Roman" w:hAnsi="Times New Roman" w:cs="Times New Roman"/>
          <w:sz w:val="26"/>
          <w:szCs w:val="26"/>
        </w:rPr>
        <w:t>,</w:t>
      </w:r>
      <w:r w:rsidR="00320577" w:rsidRPr="00320577">
        <w:rPr>
          <w:rFonts w:ascii="Times New Roman" w:hAnsi="Times New Roman" w:cs="Times New Roman"/>
          <w:sz w:val="26"/>
          <w:szCs w:val="26"/>
        </w:rPr>
        <w:t xml:space="preserve"> </w:t>
      </w:r>
      <w:r w:rsidR="00017DC1">
        <w:rPr>
          <w:rFonts w:ascii="Times New Roman" w:hAnsi="Times New Roman" w:cs="Times New Roman"/>
          <w:sz w:val="26"/>
          <w:szCs w:val="26"/>
        </w:rPr>
        <w:t>and</w:t>
      </w:r>
      <w:r w:rsidR="000D5C96" w:rsidRPr="00320577">
        <w:rPr>
          <w:rFonts w:ascii="Times New Roman" w:hAnsi="Times New Roman" w:cs="Times New Roman"/>
          <w:sz w:val="26"/>
          <w:szCs w:val="26"/>
        </w:rPr>
        <w:t xml:space="preserve"> must be construed with reference to the Woodstock address</w:t>
      </w:r>
      <w:r w:rsidR="00320577">
        <w:rPr>
          <w:rFonts w:ascii="Times New Roman" w:hAnsi="Times New Roman" w:cs="Times New Roman"/>
          <w:sz w:val="26"/>
          <w:szCs w:val="26"/>
        </w:rPr>
        <w:t xml:space="preserve"> </w:t>
      </w:r>
      <w:r w:rsidRPr="00320577">
        <w:rPr>
          <w:rFonts w:ascii="Times New Roman" w:hAnsi="Times New Roman" w:cs="Times New Roman"/>
          <w:sz w:val="26"/>
          <w:szCs w:val="26"/>
        </w:rPr>
        <w:t xml:space="preserve">and not from the V &amp; A Waterfront </w:t>
      </w:r>
      <w:r w:rsidR="00306E7B" w:rsidRPr="00320577">
        <w:rPr>
          <w:rFonts w:ascii="Times New Roman" w:hAnsi="Times New Roman" w:cs="Times New Roman"/>
          <w:sz w:val="26"/>
          <w:szCs w:val="26"/>
        </w:rPr>
        <w:t>address</w:t>
      </w:r>
      <w:r w:rsidRPr="00320577">
        <w:rPr>
          <w:rFonts w:ascii="Times New Roman" w:hAnsi="Times New Roman" w:cs="Times New Roman"/>
          <w:sz w:val="26"/>
          <w:szCs w:val="26"/>
        </w:rPr>
        <w:t>.</w:t>
      </w:r>
      <w:r>
        <w:t xml:space="preserve">  </w:t>
      </w:r>
    </w:p>
    <w:p w:rsidR="00017DC1" w:rsidRDefault="00017DC1" w:rsidP="00017DC1">
      <w:pPr>
        <w:pStyle w:val="ListParagraph"/>
        <w:ind w:left="360"/>
        <w:rPr>
          <w:rFonts w:ascii="Times New Roman" w:hAnsi="Times New Roman" w:cs="Times New Roman"/>
          <w:b/>
          <w:bCs/>
          <w:sz w:val="26"/>
          <w:szCs w:val="26"/>
          <w:u w:val="single"/>
        </w:rPr>
      </w:pPr>
    </w:p>
    <w:p w:rsidR="008F06E7" w:rsidRDefault="008F06E7" w:rsidP="0044265C">
      <w:pPr>
        <w:pStyle w:val="ListParagraph"/>
        <w:numPr>
          <w:ilvl w:val="0"/>
          <w:numId w:val="3"/>
        </w:numPr>
        <w:rPr>
          <w:rFonts w:ascii="Times New Roman" w:hAnsi="Times New Roman" w:cs="Times New Roman"/>
          <w:b/>
          <w:bCs/>
          <w:sz w:val="26"/>
          <w:szCs w:val="26"/>
          <w:u w:val="single"/>
        </w:rPr>
      </w:pPr>
      <w:r w:rsidRPr="00CF6D6D">
        <w:rPr>
          <w:rFonts w:ascii="Times New Roman" w:hAnsi="Times New Roman" w:cs="Times New Roman"/>
          <w:b/>
          <w:bCs/>
          <w:sz w:val="26"/>
          <w:szCs w:val="26"/>
          <w:u w:val="single"/>
        </w:rPr>
        <w:t>THE APPLICABLE LAW</w:t>
      </w:r>
    </w:p>
    <w:p w:rsidR="00017DC1" w:rsidRPr="00CF6D6D" w:rsidRDefault="00017DC1" w:rsidP="00017DC1">
      <w:pPr>
        <w:pStyle w:val="ListParagraph"/>
        <w:ind w:left="360"/>
        <w:rPr>
          <w:rFonts w:ascii="Times New Roman" w:hAnsi="Times New Roman" w:cs="Times New Roman"/>
          <w:b/>
          <w:bCs/>
          <w:sz w:val="26"/>
          <w:szCs w:val="26"/>
          <w:u w:val="single"/>
        </w:rPr>
      </w:pPr>
    </w:p>
    <w:p w:rsidR="00CF6D6D" w:rsidRPr="00CF6D6D" w:rsidRDefault="00CF6D6D" w:rsidP="003C6ED7">
      <w:pPr>
        <w:pStyle w:val="ListParagraph"/>
        <w:numPr>
          <w:ilvl w:val="0"/>
          <w:numId w:val="1"/>
        </w:numPr>
        <w:spacing w:line="360" w:lineRule="auto"/>
        <w:ind w:left="0" w:firstLine="142"/>
        <w:jc w:val="both"/>
        <w:rPr>
          <w:rFonts w:ascii="Times New Roman" w:hAnsi="Times New Roman" w:cs="Times New Roman"/>
          <w:color w:val="000000" w:themeColor="text1"/>
          <w:sz w:val="26"/>
          <w:szCs w:val="26"/>
        </w:rPr>
      </w:pPr>
      <w:r w:rsidRPr="00CF6D6D">
        <w:rPr>
          <w:rFonts w:ascii="Times New Roman" w:hAnsi="Times New Roman" w:cs="Times New Roman"/>
          <w:sz w:val="26"/>
          <w:szCs w:val="26"/>
        </w:rPr>
        <w:t xml:space="preserve">The requirements for an interim interdict are well-known. The applicants must establish (a) a </w:t>
      </w:r>
      <w:r w:rsidRPr="00CF6D6D">
        <w:rPr>
          <w:rFonts w:ascii="Times New Roman" w:hAnsi="Times New Roman" w:cs="Times New Roman"/>
          <w:i/>
          <w:iCs/>
          <w:sz w:val="26"/>
          <w:szCs w:val="26"/>
        </w:rPr>
        <w:t>prima facie</w:t>
      </w:r>
      <w:r w:rsidRPr="00CF6D6D">
        <w:rPr>
          <w:rFonts w:ascii="Times New Roman" w:hAnsi="Times New Roman" w:cs="Times New Roman"/>
          <w:sz w:val="26"/>
          <w:szCs w:val="26"/>
        </w:rPr>
        <w:t xml:space="preserve"> right even if it is open to some doubt; (b) a reasonable apprehension of irreparable and imminent harm to the right if the interdict is not granted; (c) the balance of convenience must favour the grant of the interdict; and (d) the applicant must have no other available remedy.</w:t>
      </w:r>
    </w:p>
    <w:p w:rsidR="00CF6D6D" w:rsidRDefault="00CF6D6D" w:rsidP="00CF6D6D">
      <w:pPr>
        <w:pStyle w:val="ListParagraph"/>
        <w:spacing w:line="360" w:lineRule="auto"/>
        <w:ind w:left="142"/>
        <w:jc w:val="both"/>
        <w:rPr>
          <w:rFonts w:ascii="Times New Roman" w:hAnsi="Times New Roman" w:cs="Times New Roman"/>
          <w:color w:val="000000" w:themeColor="text1"/>
          <w:sz w:val="26"/>
          <w:szCs w:val="26"/>
        </w:rPr>
      </w:pPr>
    </w:p>
    <w:p w:rsidR="003C6ED7" w:rsidRPr="003C6ED7" w:rsidRDefault="008F06E7" w:rsidP="003C6ED7">
      <w:pPr>
        <w:pStyle w:val="ListParagraph"/>
        <w:numPr>
          <w:ilvl w:val="0"/>
          <w:numId w:val="1"/>
        </w:numPr>
        <w:spacing w:line="360" w:lineRule="auto"/>
        <w:ind w:left="0" w:firstLine="142"/>
        <w:jc w:val="both"/>
        <w:rPr>
          <w:rFonts w:ascii="Times New Roman" w:hAnsi="Times New Roman" w:cs="Times New Roman"/>
          <w:color w:val="000000" w:themeColor="text1"/>
          <w:sz w:val="26"/>
          <w:szCs w:val="26"/>
        </w:rPr>
      </w:pPr>
      <w:r w:rsidRPr="003C6ED7">
        <w:rPr>
          <w:rFonts w:ascii="Times New Roman" w:hAnsi="Times New Roman" w:cs="Times New Roman"/>
          <w:color w:val="000000" w:themeColor="text1"/>
          <w:sz w:val="26"/>
          <w:szCs w:val="26"/>
        </w:rPr>
        <w:t xml:space="preserve">An interim interdict does not involve a final determination of the rights of the parties, and does not affect their final determination, but preserves or restores the </w:t>
      </w:r>
      <w:r w:rsidRPr="003C6ED7">
        <w:rPr>
          <w:rFonts w:ascii="Times New Roman" w:hAnsi="Times New Roman" w:cs="Times New Roman"/>
          <w:i/>
          <w:iCs/>
          <w:color w:val="000000" w:themeColor="text1"/>
          <w:sz w:val="26"/>
          <w:szCs w:val="26"/>
        </w:rPr>
        <w:t>status quo</w:t>
      </w:r>
      <w:r w:rsidRPr="003C6ED7">
        <w:rPr>
          <w:rFonts w:ascii="Times New Roman" w:hAnsi="Times New Roman" w:cs="Times New Roman"/>
          <w:color w:val="000000" w:themeColor="text1"/>
          <w:sz w:val="26"/>
          <w:szCs w:val="26"/>
        </w:rPr>
        <w:t xml:space="preserve"> pending the final determination of those rights.</w:t>
      </w:r>
      <w:r w:rsidRPr="003C6ED7">
        <w:rPr>
          <w:rStyle w:val="FootnoteReference"/>
          <w:rFonts w:ascii="Times New Roman" w:hAnsi="Times New Roman" w:cs="Times New Roman"/>
          <w:color w:val="000000" w:themeColor="text1"/>
          <w:sz w:val="26"/>
          <w:szCs w:val="26"/>
        </w:rPr>
        <w:footnoteReference w:id="1"/>
      </w:r>
    </w:p>
    <w:p w:rsidR="003C6ED7" w:rsidRPr="003C6ED7" w:rsidRDefault="003C6ED7" w:rsidP="003C6ED7">
      <w:pPr>
        <w:pStyle w:val="ListParagraph"/>
        <w:spacing w:line="360" w:lineRule="auto"/>
        <w:ind w:left="142"/>
        <w:jc w:val="both"/>
        <w:rPr>
          <w:rFonts w:ascii="Times New Roman" w:hAnsi="Times New Roman" w:cs="Times New Roman"/>
          <w:color w:val="000000" w:themeColor="text1"/>
          <w:sz w:val="26"/>
          <w:szCs w:val="26"/>
        </w:rPr>
      </w:pPr>
    </w:p>
    <w:p w:rsidR="00EC20DA" w:rsidRPr="009B1C2B" w:rsidRDefault="009E50C8" w:rsidP="00EC20DA">
      <w:pPr>
        <w:pStyle w:val="ListParagraph"/>
        <w:numPr>
          <w:ilvl w:val="0"/>
          <w:numId w:val="1"/>
        </w:numPr>
        <w:spacing w:line="360" w:lineRule="auto"/>
        <w:ind w:left="0" w:firstLine="142"/>
        <w:jc w:val="both"/>
        <w:rPr>
          <w:rFonts w:ascii="Times New Roman" w:eastAsia="Times New Roman" w:hAnsi="Times New Roman" w:cs="Times New Roman"/>
          <w:sz w:val="26"/>
          <w:szCs w:val="26"/>
          <w:lang w:eastAsia="en-GB"/>
        </w:rPr>
      </w:pPr>
      <w:r w:rsidRPr="009B1C2B">
        <w:rPr>
          <w:rFonts w:ascii="Times New Roman" w:eastAsia="Times New Roman" w:hAnsi="Times New Roman" w:cs="Times New Roman"/>
          <w:sz w:val="26"/>
          <w:szCs w:val="26"/>
          <w:shd w:val="clear" w:color="auto" w:fill="FFFFFF"/>
          <w:lang w:val="en-GB" w:eastAsia="en-GB"/>
        </w:rPr>
        <w:t>When weighing the evidence the applicable test is that which is set out in </w:t>
      </w:r>
      <w:r w:rsidRPr="009B1C2B">
        <w:rPr>
          <w:rFonts w:ascii="Times New Roman" w:eastAsia="Times New Roman" w:hAnsi="Times New Roman" w:cs="Times New Roman"/>
          <w:i/>
          <w:iCs/>
          <w:sz w:val="26"/>
          <w:szCs w:val="26"/>
          <w:shd w:val="clear" w:color="auto" w:fill="FFFFFF"/>
          <w:lang w:val="en-GB" w:eastAsia="en-GB"/>
        </w:rPr>
        <w:t>Webster v Mitchell</w:t>
      </w:r>
      <w:bookmarkStart w:id="0" w:name="_ftnref6"/>
      <w:r w:rsidRPr="009B1C2B">
        <w:rPr>
          <w:rStyle w:val="FootnoteReference"/>
          <w:rFonts w:ascii="Times New Roman" w:eastAsia="Times New Roman" w:hAnsi="Times New Roman" w:cs="Times New Roman"/>
          <w:i/>
          <w:iCs/>
          <w:sz w:val="26"/>
          <w:szCs w:val="26"/>
          <w:shd w:val="clear" w:color="auto" w:fill="FFFFFF"/>
          <w:lang w:val="en-GB" w:eastAsia="en-GB"/>
        </w:rPr>
        <w:footnoteReference w:id="2"/>
      </w:r>
      <w:bookmarkEnd w:id="0"/>
      <w:r w:rsidRPr="009B1C2B">
        <w:rPr>
          <w:rFonts w:ascii="Times New Roman" w:eastAsia="Times New Roman" w:hAnsi="Times New Roman" w:cs="Times New Roman"/>
          <w:sz w:val="26"/>
          <w:szCs w:val="26"/>
          <w:shd w:val="clear" w:color="auto" w:fill="FFFFFF"/>
          <w:lang w:val="en-GB" w:eastAsia="en-GB"/>
        </w:rPr>
        <w:t>, as qualified by </w:t>
      </w:r>
      <w:r w:rsidRPr="009B1C2B">
        <w:rPr>
          <w:rFonts w:ascii="Times New Roman" w:eastAsia="Times New Roman" w:hAnsi="Times New Roman" w:cs="Times New Roman"/>
          <w:i/>
          <w:iCs/>
          <w:sz w:val="26"/>
          <w:szCs w:val="26"/>
          <w:shd w:val="clear" w:color="auto" w:fill="FFFFFF"/>
          <w:lang w:val="en-GB" w:eastAsia="en-GB"/>
        </w:rPr>
        <w:t>Gool v Minister of Justice and Another</w:t>
      </w:r>
      <w:bookmarkStart w:id="1" w:name="_ftnref7"/>
      <w:r w:rsidRPr="009B1C2B">
        <w:rPr>
          <w:rStyle w:val="FootnoteReference"/>
          <w:rFonts w:ascii="Times New Roman" w:eastAsia="Times New Roman" w:hAnsi="Times New Roman" w:cs="Times New Roman"/>
          <w:i/>
          <w:iCs/>
          <w:sz w:val="26"/>
          <w:szCs w:val="26"/>
          <w:shd w:val="clear" w:color="auto" w:fill="FFFFFF"/>
          <w:lang w:val="en-GB" w:eastAsia="en-GB"/>
        </w:rPr>
        <w:footnoteReference w:id="3"/>
      </w:r>
      <w:bookmarkEnd w:id="1"/>
      <w:r w:rsidRPr="009B1C2B">
        <w:rPr>
          <w:rFonts w:ascii="Times New Roman" w:eastAsia="Times New Roman" w:hAnsi="Times New Roman" w:cs="Times New Roman"/>
          <w:sz w:val="26"/>
          <w:szCs w:val="26"/>
          <w:lang w:eastAsia="en-GB"/>
        </w:rPr>
        <w:t>,</w:t>
      </w:r>
      <w:r w:rsidRPr="009B1C2B">
        <w:rPr>
          <w:rFonts w:ascii="Times New Roman" w:eastAsia="Times New Roman" w:hAnsi="Times New Roman" w:cs="Times New Roman"/>
          <w:sz w:val="26"/>
          <w:szCs w:val="26"/>
          <w:shd w:val="clear" w:color="auto" w:fill="FFFFFF"/>
          <w:lang w:val="en-GB" w:eastAsia="en-GB"/>
        </w:rPr>
        <w:t xml:space="preserve"> in terms of which the applicants must show that on their version, together with the allegations of the respondents that they cannot dispute, they should obtain relief at the trial. If, having regard to the respondents’ contrary version and the inherent probabilities serious doubt is then cast on the applicants’ case, the applicants cannot succeed.</w:t>
      </w:r>
      <w:r w:rsidRPr="009B1C2B">
        <w:rPr>
          <w:rStyle w:val="FootnoteReference"/>
          <w:rFonts w:ascii="Times New Roman" w:hAnsi="Times New Roman" w:cs="Times New Roman"/>
          <w:sz w:val="26"/>
          <w:szCs w:val="26"/>
        </w:rPr>
        <w:t xml:space="preserve"> </w:t>
      </w:r>
      <w:r w:rsidRPr="009B1C2B">
        <w:rPr>
          <w:rStyle w:val="FootnoteReference"/>
          <w:rFonts w:ascii="Times New Roman" w:hAnsi="Times New Roman" w:cs="Times New Roman"/>
          <w:sz w:val="26"/>
          <w:szCs w:val="26"/>
        </w:rPr>
        <w:footnoteReference w:id="4"/>
      </w:r>
      <w:r w:rsidR="003C6ED7" w:rsidRPr="009B1C2B">
        <w:rPr>
          <w:rFonts w:ascii="Times New Roman" w:hAnsi="Times New Roman" w:cs="Times New Roman"/>
          <w:sz w:val="26"/>
          <w:szCs w:val="26"/>
        </w:rPr>
        <w:t>It is not necessary for an urgent court to make a final determination on the legal issues.</w:t>
      </w:r>
      <w:r w:rsidR="003C6ED7" w:rsidRPr="009B1C2B">
        <w:rPr>
          <w:rStyle w:val="FootnoteReference"/>
          <w:rFonts w:ascii="Times New Roman" w:hAnsi="Times New Roman" w:cs="Times New Roman"/>
          <w:sz w:val="26"/>
          <w:szCs w:val="26"/>
        </w:rPr>
        <w:footnoteReference w:id="5"/>
      </w:r>
      <w:r w:rsidR="003C6ED7" w:rsidRPr="009B1C2B">
        <w:rPr>
          <w:rFonts w:ascii="Times New Roman" w:hAnsi="Times New Roman" w:cs="Times New Roman"/>
          <w:sz w:val="26"/>
          <w:szCs w:val="26"/>
          <w:shd w:val="clear" w:color="auto" w:fill="FFFFFF"/>
        </w:rPr>
        <w:t xml:space="preserve"> </w:t>
      </w:r>
    </w:p>
    <w:p w:rsidR="00EC20DA" w:rsidRPr="00EC20DA" w:rsidRDefault="00EC20DA" w:rsidP="00EC20DA">
      <w:pPr>
        <w:pStyle w:val="ListParagraph"/>
        <w:rPr>
          <w:rFonts w:ascii="Arial" w:hAnsi="Arial" w:cs="Arial"/>
          <w:kern w:val="0"/>
          <w:sz w:val="24"/>
          <w:szCs w:val="24"/>
          <w:lang w:val="en-GB"/>
        </w:rPr>
      </w:pPr>
    </w:p>
    <w:p w:rsidR="00350EB9" w:rsidRPr="00350EB9" w:rsidRDefault="00EC20DA" w:rsidP="00350EB9">
      <w:pPr>
        <w:pStyle w:val="ListParagraph"/>
        <w:numPr>
          <w:ilvl w:val="0"/>
          <w:numId w:val="1"/>
        </w:numPr>
        <w:spacing w:line="360" w:lineRule="auto"/>
        <w:ind w:left="0" w:firstLine="142"/>
        <w:jc w:val="both"/>
        <w:rPr>
          <w:rFonts w:ascii="Times New Roman" w:eastAsia="Times New Roman" w:hAnsi="Times New Roman" w:cs="Times New Roman"/>
          <w:sz w:val="26"/>
          <w:szCs w:val="26"/>
          <w:lang w:eastAsia="en-GB"/>
        </w:rPr>
      </w:pPr>
      <w:r w:rsidRPr="00EC20DA">
        <w:rPr>
          <w:rFonts w:ascii="Times New Roman" w:hAnsi="Times New Roman" w:cs="Times New Roman"/>
          <w:kern w:val="0"/>
          <w:sz w:val="26"/>
          <w:szCs w:val="26"/>
          <w:lang w:val="en-GB"/>
        </w:rPr>
        <w:t xml:space="preserve">In </w:t>
      </w:r>
      <w:r w:rsidRPr="00EC20DA">
        <w:rPr>
          <w:rFonts w:ascii="Times New Roman" w:hAnsi="Times New Roman" w:cs="Times New Roman"/>
          <w:i/>
          <w:iCs/>
          <w:kern w:val="0"/>
          <w:sz w:val="26"/>
          <w:szCs w:val="26"/>
          <w:lang w:val="en-GB"/>
        </w:rPr>
        <w:t>Eriksen Motors (Welkom) Ltd v Protea Motors, Warrenton and Another</w:t>
      </w:r>
      <w:r w:rsidR="00350EB9">
        <w:rPr>
          <w:rStyle w:val="FootnoteReference"/>
          <w:rFonts w:ascii="Times New Roman" w:hAnsi="Times New Roman" w:cs="Times New Roman"/>
          <w:i/>
          <w:iCs/>
          <w:kern w:val="0"/>
          <w:sz w:val="26"/>
          <w:szCs w:val="26"/>
          <w:lang w:val="en-GB"/>
        </w:rPr>
        <w:footnoteReference w:id="6"/>
      </w:r>
      <w:r w:rsidRPr="00EC20DA">
        <w:rPr>
          <w:rFonts w:ascii="Times New Roman" w:hAnsi="Times New Roman" w:cs="Times New Roman"/>
          <w:i/>
          <w:iCs/>
          <w:kern w:val="0"/>
          <w:sz w:val="26"/>
          <w:szCs w:val="26"/>
          <w:lang w:val="en-GB"/>
        </w:rPr>
        <w:t xml:space="preserve"> the court </w:t>
      </w:r>
      <w:r w:rsidRPr="00EC20DA">
        <w:rPr>
          <w:rFonts w:ascii="Times New Roman" w:hAnsi="Times New Roman" w:cs="Times New Roman"/>
          <w:kern w:val="0"/>
          <w:sz w:val="26"/>
          <w:szCs w:val="26"/>
          <w:lang w:val="en-GB"/>
        </w:rPr>
        <w:t>explained the approach to be adopted in applying the requirements for an interim interdict in the following terms:</w:t>
      </w:r>
    </w:p>
    <w:p w:rsidR="00EC20DA" w:rsidRPr="00EC20DA" w:rsidRDefault="00EC20DA" w:rsidP="00350EB9">
      <w:pPr>
        <w:pStyle w:val="ListParagraph"/>
        <w:spacing w:line="276" w:lineRule="auto"/>
        <w:ind w:left="1440"/>
        <w:jc w:val="both"/>
        <w:rPr>
          <w:rFonts w:ascii="Times New Roman" w:eastAsia="Times New Roman" w:hAnsi="Times New Roman" w:cs="Times New Roman"/>
          <w:i/>
          <w:iCs/>
          <w:sz w:val="26"/>
          <w:szCs w:val="26"/>
          <w:lang w:eastAsia="en-GB"/>
        </w:rPr>
      </w:pPr>
      <w:r w:rsidRPr="00EC20DA">
        <w:rPr>
          <w:rFonts w:ascii="Times New Roman" w:hAnsi="Times New Roman" w:cs="Times New Roman"/>
          <w:i/>
          <w:iCs/>
          <w:kern w:val="0"/>
          <w:sz w:val="26"/>
          <w:szCs w:val="26"/>
          <w:lang w:val="en-GB"/>
        </w:rPr>
        <w:t>“In exercising its discretion the Court weighs, inter alia, the prejudice to the applicant, if the interdict is withheld, against the prejudice to the respondent if it is granted. This is sometimes called the balance of convenience. The foregoing considerations are not individually decisive, but are interrelated; for example, the stronger the applicant's prospects of success the less his need to rely on prejudice to himself. Conversely, the more the element of 'some doubt', the greater the need for the other factors to favour him. The Court considers the affidavits as a whole, and the interrelation of the foregoing considerations, according to the facts and probabilities</w:t>
      </w:r>
      <w:r w:rsidR="00350EB9">
        <w:rPr>
          <w:rFonts w:ascii="Times New Roman" w:hAnsi="Times New Roman" w:cs="Times New Roman"/>
          <w:i/>
          <w:iCs/>
          <w:kern w:val="0"/>
          <w:sz w:val="26"/>
          <w:szCs w:val="26"/>
          <w:lang w:val="en-GB"/>
        </w:rPr>
        <w:t>…</w:t>
      </w:r>
      <w:r w:rsidRPr="00EC20DA">
        <w:rPr>
          <w:rFonts w:ascii="Times New Roman" w:hAnsi="Times New Roman" w:cs="Times New Roman"/>
          <w:i/>
          <w:iCs/>
          <w:kern w:val="0"/>
          <w:sz w:val="26"/>
          <w:szCs w:val="26"/>
          <w:lang w:val="en-GB"/>
        </w:rPr>
        <w:t>Viewed in that light, the reference to a right which, 'though prima facie established, is open to some doubt' is apt, flexible and practical, and needs no further elaboration”.</w:t>
      </w:r>
    </w:p>
    <w:p w:rsidR="00617187" w:rsidRPr="00017DC1" w:rsidRDefault="00617187" w:rsidP="00017DC1">
      <w:pPr>
        <w:spacing w:line="360" w:lineRule="auto"/>
        <w:jc w:val="both"/>
        <w:rPr>
          <w:sz w:val="26"/>
          <w:szCs w:val="26"/>
        </w:rPr>
      </w:pPr>
    </w:p>
    <w:p w:rsidR="00C218EB" w:rsidRDefault="00C218EB" w:rsidP="00320577">
      <w:pPr>
        <w:pStyle w:val="ListParagraph"/>
        <w:numPr>
          <w:ilvl w:val="0"/>
          <w:numId w:val="3"/>
        </w:numPr>
        <w:rPr>
          <w:rFonts w:ascii="Times New Roman" w:hAnsi="Times New Roman" w:cs="Times New Roman"/>
          <w:b/>
          <w:bCs/>
          <w:sz w:val="26"/>
          <w:szCs w:val="26"/>
          <w:u w:val="single"/>
        </w:rPr>
      </w:pPr>
      <w:r w:rsidRPr="00C218EB">
        <w:rPr>
          <w:rFonts w:ascii="Times New Roman" w:hAnsi="Times New Roman" w:cs="Times New Roman"/>
          <w:b/>
          <w:bCs/>
          <w:sz w:val="26"/>
          <w:szCs w:val="26"/>
          <w:u w:val="single"/>
        </w:rPr>
        <w:t>DISCUSSION</w:t>
      </w:r>
    </w:p>
    <w:p w:rsidR="00017DC1" w:rsidRPr="00C218EB" w:rsidRDefault="00017DC1" w:rsidP="00017DC1">
      <w:pPr>
        <w:pStyle w:val="ListParagraph"/>
        <w:ind w:left="360"/>
        <w:rPr>
          <w:rFonts w:ascii="Times New Roman" w:hAnsi="Times New Roman" w:cs="Times New Roman"/>
          <w:b/>
          <w:bCs/>
          <w:sz w:val="26"/>
          <w:szCs w:val="26"/>
          <w:u w:val="single"/>
        </w:rPr>
      </w:pPr>
    </w:p>
    <w:p w:rsidR="00492A78" w:rsidRPr="00D945BA" w:rsidRDefault="00617187" w:rsidP="00492A78">
      <w:pPr>
        <w:pStyle w:val="ListParagraph"/>
        <w:numPr>
          <w:ilvl w:val="0"/>
          <w:numId w:val="1"/>
        </w:numPr>
        <w:spacing w:line="360" w:lineRule="auto"/>
        <w:ind w:left="0" w:firstLine="142"/>
        <w:jc w:val="both"/>
        <w:rPr>
          <w:rFonts w:ascii="Times New Roman" w:hAnsi="Times New Roman" w:cs="Times New Roman"/>
          <w:sz w:val="26"/>
          <w:szCs w:val="26"/>
        </w:rPr>
      </w:pPr>
      <w:r w:rsidRPr="00C218EB">
        <w:rPr>
          <w:rFonts w:ascii="Times New Roman" w:hAnsi="Times New Roman" w:cs="Times New Roman"/>
          <w:sz w:val="26"/>
          <w:szCs w:val="26"/>
        </w:rPr>
        <w:t>T</w:t>
      </w:r>
      <w:r w:rsidR="00210F59" w:rsidRPr="00C218EB">
        <w:rPr>
          <w:rFonts w:ascii="Times New Roman" w:hAnsi="Times New Roman" w:cs="Times New Roman"/>
          <w:sz w:val="26"/>
          <w:szCs w:val="26"/>
        </w:rPr>
        <w:t>he applicant relies on</w:t>
      </w:r>
      <w:r w:rsidRPr="00C218EB">
        <w:rPr>
          <w:rFonts w:ascii="Times New Roman" w:hAnsi="Times New Roman" w:cs="Times New Roman"/>
          <w:sz w:val="26"/>
          <w:szCs w:val="26"/>
        </w:rPr>
        <w:t xml:space="preserve"> </w:t>
      </w:r>
      <w:r w:rsidR="00210F59" w:rsidRPr="00C218EB">
        <w:rPr>
          <w:rFonts w:ascii="Times New Roman" w:hAnsi="Times New Roman" w:cs="Times New Roman"/>
          <w:sz w:val="26"/>
          <w:szCs w:val="26"/>
        </w:rPr>
        <w:t>contractual right</w:t>
      </w:r>
      <w:r w:rsidR="00492A78">
        <w:rPr>
          <w:rFonts w:ascii="Times New Roman" w:hAnsi="Times New Roman" w:cs="Times New Roman"/>
          <w:sz w:val="26"/>
          <w:szCs w:val="26"/>
        </w:rPr>
        <w:t>s</w:t>
      </w:r>
      <w:r w:rsidR="00210F59" w:rsidRPr="00C218EB">
        <w:rPr>
          <w:rFonts w:ascii="Times New Roman" w:hAnsi="Times New Roman" w:cs="Times New Roman"/>
          <w:sz w:val="26"/>
          <w:szCs w:val="26"/>
        </w:rPr>
        <w:t xml:space="preserve"> </w:t>
      </w:r>
      <w:r w:rsidRPr="00C218EB">
        <w:rPr>
          <w:rFonts w:ascii="Times New Roman" w:hAnsi="Times New Roman" w:cs="Times New Roman"/>
          <w:sz w:val="26"/>
          <w:szCs w:val="26"/>
        </w:rPr>
        <w:t>a</w:t>
      </w:r>
      <w:r w:rsidR="00210F59" w:rsidRPr="00C218EB">
        <w:rPr>
          <w:rFonts w:ascii="Times New Roman" w:hAnsi="Times New Roman" w:cs="Times New Roman"/>
          <w:sz w:val="26"/>
          <w:szCs w:val="26"/>
        </w:rPr>
        <w:t xml:space="preserve">nd breach thereof as a </w:t>
      </w:r>
      <w:r w:rsidR="00210F59" w:rsidRPr="00C218EB">
        <w:rPr>
          <w:rFonts w:ascii="Times New Roman" w:hAnsi="Times New Roman" w:cs="Times New Roman"/>
          <w:i/>
          <w:sz w:val="26"/>
          <w:szCs w:val="26"/>
        </w:rPr>
        <w:t>prima facie</w:t>
      </w:r>
      <w:r w:rsidR="00210F59" w:rsidRPr="00C218EB">
        <w:rPr>
          <w:rFonts w:ascii="Times New Roman" w:hAnsi="Times New Roman" w:cs="Times New Roman"/>
          <w:sz w:val="26"/>
          <w:szCs w:val="26"/>
        </w:rPr>
        <w:t xml:space="preserve"> right. </w:t>
      </w:r>
      <w:r w:rsidR="00492A78">
        <w:rPr>
          <w:rFonts w:ascii="Times New Roman" w:hAnsi="Times New Roman" w:cs="Times New Roman"/>
          <w:sz w:val="26"/>
          <w:szCs w:val="26"/>
        </w:rPr>
        <w:t xml:space="preserve">The primary provisions relied upon are contained in clause </w:t>
      </w:r>
      <w:r w:rsidR="00492A78" w:rsidRPr="00B3593A">
        <w:rPr>
          <w:rFonts w:ascii="Times New Roman" w:hAnsi="Times New Roman" w:cs="Times New Roman"/>
          <w:sz w:val="26"/>
          <w:szCs w:val="26"/>
        </w:rPr>
        <w:t>28</w:t>
      </w:r>
      <w:r w:rsidR="00492A78">
        <w:rPr>
          <w:rFonts w:ascii="Times New Roman" w:hAnsi="Times New Roman" w:cs="Times New Roman"/>
          <w:sz w:val="26"/>
          <w:szCs w:val="26"/>
        </w:rPr>
        <w:t xml:space="preserve">, </w:t>
      </w:r>
      <w:r w:rsidR="00C10018">
        <w:rPr>
          <w:rFonts w:ascii="Times New Roman" w:hAnsi="Times New Roman" w:cs="Times New Roman"/>
          <w:sz w:val="26"/>
          <w:szCs w:val="26"/>
        </w:rPr>
        <w:t xml:space="preserve">which </w:t>
      </w:r>
      <w:r w:rsidR="00492A78" w:rsidRPr="00B3593A">
        <w:rPr>
          <w:rFonts w:ascii="Times New Roman" w:hAnsi="Times New Roman" w:cs="Times New Roman"/>
          <w:sz w:val="26"/>
          <w:szCs w:val="26"/>
        </w:rPr>
        <w:t xml:space="preserve">provides as follows: </w:t>
      </w:r>
    </w:p>
    <w:p w:rsidR="00492A78" w:rsidRPr="00D945BA" w:rsidRDefault="00492A78" w:rsidP="00492A78">
      <w:pPr>
        <w:pStyle w:val="ListParagraph"/>
        <w:spacing w:line="276" w:lineRule="auto"/>
        <w:ind w:left="2160" w:hanging="720"/>
        <w:jc w:val="both"/>
        <w:rPr>
          <w:rFonts w:ascii="Times New Roman" w:hAnsi="Times New Roman" w:cs="Times New Roman"/>
        </w:rPr>
      </w:pPr>
      <w:r w:rsidRPr="00D945BA">
        <w:rPr>
          <w:rFonts w:ascii="Times New Roman" w:hAnsi="Times New Roman" w:cs="Times New Roman"/>
        </w:rPr>
        <w:t>“28.1</w:t>
      </w:r>
      <w:r w:rsidRPr="00D945BA">
        <w:rPr>
          <w:rFonts w:ascii="Times New Roman" w:hAnsi="Times New Roman" w:cs="Times New Roman"/>
        </w:rPr>
        <w:tab/>
        <w:t>The Franchisee to protect the proprietary interests of the Franchisor in the Neovision System, the Neovision IP Rights, the Neovision Trade Marks and the Neovision Franchise Group irrevocably agrees and undertakes in favour of the Franchisor that it will not</w:t>
      </w:r>
    </w:p>
    <w:p w:rsidR="00492A78" w:rsidRPr="00D945BA" w:rsidRDefault="00492A78" w:rsidP="00492A78">
      <w:pPr>
        <w:pStyle w:val="ListParagraph"/>
        <w:spacing w:line="276" w:lineRule="auto"/>
        <w:ind w:left="2160" w:hanging="720"/>
        <w:jc w:val="both"/>
        <w:rPr>
          <w:rFonts w:ascii="Times New Roman" w:hAnsi="Times New Roman" w:cs="Times New Roman"/>
        </w:rPr>
      </w:pPr>
    </w:p>
    <w:p w:rsidR="00492A78" w:rsidRPr="00D945BA" w:rsidRDefault="00492A78" w:rsidP="00492A78">
      <w:pPr>
        <w:pStyle w:val="ListParagraph"/>
        <w:spacing w:line="276" w:lineRule="auto"/>
        <w:ind w:left="2880" w:hanging="720"/>
        <w:jc w:val="both"/>
        <w:rPr>
          <w:rFonts w:ascii="Times New Roman" w:hAnsi="Times New Roman" w:cs="Times New Roman"/>
        </w:rPr>
      </w:pPr>
      <w:r w:rsidRPr="00D945BA">
        <w:rPr>
          <w:rFonts w:ascii="Times New Roman" w:hAnsi="Times New Roman" w:cs="Times New Roman"/>
        </w:rPr>
        <w:t>28.1.1</w:t>
      </w:r>
      <w:r w:rsidRPr="00D945BA">
        <w:rPr>
          <w:rFonts w:ascii="Times New Roman" w:hAnsi="Times New Roman" w:cs="Times New Roman"/>
        </w:rPr>
        <w:tab/>
        <w:t>within a radius of 2km of the Neovision Optometry Practice; and</w:t>
      </w:r>
    </w:p>
    <w:p w:rsidR="00492A78" w:rsidRPr="00D945BA" w:rsidRDefault="00492A78" w:rsidP="00492A78">
      <w:pPr>
        <w:pStyle w:val="ListParagraph"/>
        <w:spacing w:line="276" w:lineRule="auto"/>
        <w:ind w:left="2880" w:hanging="720"/>
        <w:jc w:val="both"/>
        <w:rPr>
          <w:rFonts w:ascii="Times New Roman" w:hAnsi="Times New Roman" w:cs="Times New Roman"/>
        </w:rPr>
      </w:pPr>
    </w:p>
    <w:p w:rsidR="00492A78" w:rsidRPr="00D945BA" w:rsidRDefault="00492A78" w:rsidP="00492A78">
      <w:pPr>
        <w:pStyle w:val="ListParagraph"/>
        <w:spacing w:line="276" w:lineRule="auto"/>
        <w:ind w:left="2880" w:hanging="720"/>
        <w:jc w:val="both"/>
        <w:rPr>
          <w:rFonts w:ascii="Times New Roman" w:hAnsi="Times New Roman" w:cs="Times New Roman"/>
        </w:rPr>
      </w:pPr>
      <w:r w:rsidRPr="00D945BA">
        <w:rPr>
          <w:rFonts w:ascii="Times New Roman" w:hAnsi="Times New Roman" w:cs="Times New Roman"/>
        </w:rPr>
        <w:t>28.1.2</w:t>
      </w:r>
      <w:r w:rsidRPr="00D945BA">
        <w:rPr>
          <w:rFonts w:ascii="Times New Roman" w:hAnsi="Times New Roman" w:cs="Times New Roman"/>
        </w:rPr>
        <w:tab/>
        <w:t>either as principal, agent, partner, representative, shareholder, member, director, employee, consultant, adviser, financier, demonstrator, or in any other like capacity, directly or indirectly, in any way be associated or concerned with, interested or engaged in any entity which provides optometry services and/or distributes, markets or sells products similar to or competing with any of the Approved Products; and</w:t>
      </w:r>
    </w:p>
    <w:p w:rsidR="00492A78" w:rsidRPr="00D945BA" w:rsidRDefault="00492A78" w:rsidP="00492A78">
      <w:pPr>
        <w:pStyle w:val="ListParagraph"/>
        <w:spacing w:line="276" w:lineRule="auto"/>
        <w:ind w:left="2880" w:hanging="720"/>
        <w:jc w:val="both"/>
        <w:rPr>
          <w:rFonts w:ascii="Times New Roman" w:hAnsi="Times New Roman" w:cs="Times New Roman"/>
        </w:rPr>
      </w:pPr>
    </w:p>
    <w:p w:rsidR="00492A78" w:rsidRPr="00D945BA" w:rsidRDefault="00492A78" w:rsidP="00492A78">
      <w:pPr>
        <w:pStyle w:val="ListParagraph"/>
        <w:spacing w:line="276" w:lineRule="auto"/>
        <w:ind w:left="4320" w:hanging="1440"/>
        <w:jc w:val="both"/>
        <w:rPr>
          <w:rFonts w:ascii="Times New Roman" w:hAnsi="Times New Roman" w:cs="Times New Roman"/>
        </w:rPr>
      </w:pPr>
      <w:r w:rsidRPr="00D945BA">
        <w:rPr>
          <w:rFonts w:ascii="Times New Roman" w:hAnsi="Times New Roman" w:cs="Times New Roman"/>
        </w:rPr>
        <w:t>for a period of 1 year after the termination of this Franchise Agreement.</w:t>
      </w:r>
    </w:p>
    <w:p w:rsidR="00492A78" w:rsidRPr="00D945BA" w:rsidRDefault="00492A78" w:rsidP="00492A78">
      <w:pPr>
        <w:pStyle w:val="ListParagraph"/>
        <w:spacing w:line="276" w:lineRule="auto"/>
        <w:ind w:left="4320" w:hanging="1440"/>
        <w:jc w:val="both"/>
        <w:rPr>
          <w:rFonts w:ascii="Times New Roman" w:hAnsi="Times New Roman" w:cs="Times New Roman"/>
        </w:rPr>
      </w:pPr>
    </w:p>
    <w:p w:rsidR="00492A78" w:rsidRPr="00D945BA" w:rsidRDefault="00492A78" w:rsidP="00492A78">
      <w:pPr>
        <w:pStyle w:val="ListParagraph"/>
        <w:spacing w:line="276" w:lineRule="auto"/>
        <w:ind w:left="2149" w:hanging="709"/>
        <w:jc w:val="both"/>
        <w:rPr>
          <w:rFonts w:ascii="Times New Roman" w:hAnsi="Times New Roman" w:cs="Times New Roman"/>
        </w:rPr>
      </w:pPr>
      <w:r w:rsidRPr="00D945BA">
        <w:rPr>
          <w:rFonts w:ascii="Times New Roman" w:hAnsi="Times New Roman" w:cs="Times New Roman"/>
        </w:rPr>
        <w:t>28.2</w:t>
      </w:r>
      <w:r w:rsidRPr="00D945BA">
        <w:rPr>
          <w:rFonts w:ascii="Times New Roman" w:hAnsi="Times New Roman" w:cs="Times New Roman"/>
        </w:rPr>
        <w:tab/>
        <w:t>The Franchisee further undertakes to procure, and hereby warrants, that all of its officers, employees, shareholders and directors (whether current or resigned, during the Term and thereafter) shall be bound by similar restraint obligations as those contained in this clause 28, and that the Franchisee shall be responsible for any breach by any such persons of such restraint undertakings.</w:t>
      </w:r>
    </w:p>
    <w:p w:rsidR="00492A78" w:rsidRPr="00D945BA" w:rsidRDefault="00492A78" w:rsidP="00492A78">
      <w:pPr>
        <w:pStyle w:val="ListParagraph"/>
        <w:spacing w:line="276" w:lineRule="auto"/>
        <w:ind w:left="2149" w:hanging="709"/>
        <w:jc w:val="both"/>
        <w:rPr>
          <w:rFonts w:ascii="Times New Roman" w:hAnsi="Times New Roman" w:cs="Times New Roman"/>
        </w:rPr>
      </w:pPr>
    </w:p>
    <w:p w:rsidR="00492A78" w:rsidRPr="00D945BA" w:rsidRDefault="00492A78" w:rsidP="00492A78">
      <w:pPr>
        <w:pStyle w:val="ListParagraph"/>
        <w:spacing w:line="276" w:lineRule="auto"/>
        <w:ind w:left="2149" w:hanging="709"/>
        <w:jc w:val="both"/>
        <w:rPr>
          <w:rFonts w:ascii="Times New Roman" w:hAnsi="Times New Roman" w:cs="Times New Roman"/>
        </w:rPr>
      </w:pPr>
      <w:r w:rsidRPr="00D945BA">
        <w:rPr>
          <w:rFonts w:ascii="Times New Roman" w:hAnsi="Times New Roman" w:cs="Times New Roman"/>
        </w:rPr>
        <w:t>28.3</w:t>
      </w:r>
      <w:r w:rsidRPr="00D945BA">
        <w:rPr>
          <w:rFonts w:ascii="Times New Roman" w:hAnsi="Times New Roman" w:cs="Times New Roman"/>
        </w:rPr>
        <w:tab/>
        <w:t>The Franchisee agrees that―</w:t>
      </w:r>
    </w:p>
    <w:p w:rsidR="00492A78" w:rsidRPr="00D945BA" w:rsidRDefault="00492A78" w:rsidP="00492A78">
      <w:pPr>
        <w:pStyle w:val="ListParagraph"/>
        <w:spacing w:line="276" w:lineRule="auto"/>
        <w:ind w:left="2858" w:hanging="709"/>
        <w:jc w:val="both"/>
        <w:rPr>
          <w:rFonts w:ascii="Times New Roman" w:hAnsi="Times New Roman" w:cs="Times New Roman"/>
        </w:rPr>
      </w:pPr>
      <w:r w:rsidRPr="00D945BA">
        <w:rPr>
          <w:rFonts w:ascii="Times New Roman" w:hAnsi="Times New Roman" w:cs="Times New Roman"/>
        </w:rPr>
        <w:t>28.3.1</w:t>
      </w:r>
      <w:r w:rsidRPr="00D945BA">
        <w:rPr>
          <w:rFonts w:ascii="Times New Roman" w:hAnsi="Times New Roman" w:cs="Times New Roman"/>
        </w:rPr>
        <w:tab/>
        <w:t>the restraints imposed upon it in terms of this clause are reasonable as to subject matter, area and duration and are reasonably necessary to preserve and to protect the legitimate and proprietary interests of the Franchisor and the goodwill of the Business; and</w:t>
      </w:r>
    </w:p>
    <w:p w:rsidR="00492A78" w:rsidRPr="00D945BA" w:rsidRDefault="00492A78" w:rsidP="00492A78">
      <w:pPr>
        <w:pStyle w:val="ListParagraph"/>
        <w:spacing w:line="276" w:lineRule="auto"/>
        <w:ind w:left="2858" w:hanging="709"/>
        <w:jc w:val="both"/>
        <w:rPr>
          <w:rFonts w:ascii="Times New Roman" w:hAnsi="Times New Roman" w:cs="Times New Roman"/>
        </w:rPr>
      </w:pPr>
      <w:r w:rsidRPr="00D945BA">
        <w:rPr>
          <w:rFonts w:ascii="Times New Roman" w:hAnsi="Times New Roman" w:cs="Times New Roman"/>
        </w:rPr>
        <w:t>28.3.2</w:t>
      </w:r>
      <w:r w:rsidRPr="00D945BA">
        <w:rPr>
          <w:rFonts w:ascii="Times New Roman" w:hAnsi="Times New Roman" w:cs="Times New Roman"/>
        </w:rPr>
        <w:tab/>
        <w:t>notwithstanding the manner in which the restraint and the area in clause 28.1 have been grouped together or linked geographically, each of them constitutes a separate and independent restraint, severable from each of the other restraints.  In regard to each person giving the restraint and in regard to all aspects thereof including each area, each capacity and each activity referred to in clause 28.1.”</w:t>
      </w:r>
    </w:p>
    <w:p w:rsidR="00492A78" w:rsidRPr="00492A78" w:rsidRDefault="00492A78" w:rsidP="00492A78">
      <w:pPr>
        <w:spacing w:line="360" w:lineRule="auto"/>
        <w:jc w:val="both"/>
        <w:rPr>
          <w:rFonts w:ascii="Times New Roman" w:hAnsi="Times New Roman" w:cs="Times New Roman"/>
          <w:sz w:val="26"/>
          <w:szCs w:val="26"/>
        </w:rPr>
      </w:pPr>
    </w:p>
    <w:p w:rsidR="00A5163F" w:rsidRPr="00A5163F" w:rsidRDefault="001D0965" w:rsidP="00A5163F">
      <w:pPr>
        <w:pStyle w:val="ListParagraph"/>
        <w:numPr>
          <w:ilvl w:val="0"/>
          <w:numId w:val="1"/>
        </w:numPr>
        <w:spacing w:line="360" w:lineRule="auto"/>
        <w:ind w:left="0" w:firstLine="142"/>
        <w:jc w:val="both"/>
      </w:pPr>
      <w:r w:rsidRPr="001D0965">
        <w:rPr>
          <w:rFonts w:ascii="Times New Roman" w:hAnsi="Times New Roman" w:cs="Times New Roman"/>
          <w:sz w:val="26"/>
          <w:szCs w:val="26"/>
        </w:rPr>
        <w:t xml:space="preserve">Clause 28.1.2 relates to the conduct of the first respondent </w:t>
      </w:r>
      <w:r>
        <w:rPr>
          <w:rFonts w:ascii="Times New Roman" w:hAnsi="Times New Roman" w:cs="Times New Roman"/>
          <w:sz w:val="26"/>
          <w:szCs w:val="26"/>
        </w:rPr>
        <w:t>directly</w:t>
      </w:r>
      <w:r w:rsidRPr="001D0965">
        <w:rPr>
          <w:rFonts w:ascii="Times New Roman" w:hAnsi="Times New Roman" w:cs="Times New Roman"/>
          <w:sz w:val="26"/>
          <w:szCs w:val="26"/>
        </w:rPr>
        <w:t xml:space="preserve"> as the franchisee. In terms of this clause</w:t>
      </w:r>
      <w:r>
        <w:rPr>
          <w:rFonts w:ascii="Times New Roman" w:hAnsi="Times New Roman" w:cs="Times New Roman"/>
          <w:sz w:val="26"/>
          <w:szCs w:val="26"/>
        </w:rPr>
        <w:t>,</w:t>
      </w:r>
      <w:r w:rsidRPr="001D0965">
        <w:rPr>
          <w:rFonts w:ascii="Times New Roman" w:hAnsi="Times New Roman" w:cs="Times New Roman"/>
          <w:sz w:val="26"/>
          <w:szCs w:val="26"/>
        </w:rPr>
        <w:t xml:space="preserve"> </w:t>
      </w:r>
      <w:r w:rsidR="00A5163F">
        <w:rPr>
          <w:rFonts w:ascii="Times New Roman" w:hAnsi="Times New Roman" w:cs="Times New Roman"/>
          <w:sz w:val="26"/>
          <w:szCs w:val="26"/>
        </w:rPr>
        <w:t>the first respondent</w:t>
      </w:r>
      <w:r w:rsidRPr="001D0965">
        <w:rPr>
          <w:rFonts w:ascii="Times New Roman" w:hAnsi="Times New Roman" w:cs="Times New Roman"/>
          <w:sz w:val="26"/>
          <w:szCs w:val="26"/>
        </w:rPr>
        <w:t xml:space="preserve"> is</w:t>
      </w:r>
      <w:r w:rsidR="00041BE8">
        <w:rPr>
          <w:rFonts w:ascii="Times New Roman" w:hAnsi="Times New Roman" w:cs="Times New Roman"/>
          <w:sz w:val="26"/>
          <w:szCs w:val="26"/>
        </w:rPr>
        <w:t>, in summary,</w:t>
      </w:r>
      <w:r w:rsidRPr="001D0965">
        <w:rPr>
          <w:rFonts w:ascii="Times New Roman" w:hAnsi="Times New Roman" w:cs="Times New Roman"/>
          <w:sz w:val="26"/>
          <w:szCs w:val="26"/>
        </w:rPr>
        <w:t xml:space="preserve"> prohibited from being associated in any manner in an entity which, effectively competes with the franchisor. To the extent that the first respondent is to be wound up, it is this clause that </w:t>
      </w:r>
      <w:r>
        <w:rPr>
          <w:rFonts w:ascii="Times New Roman" w:hAnsi="Times New Roman" w:cs="Times New Roman"/>
          <w:sz w:val="26"/>
          <w:szCs w:val="26"/>
        </w:rPr>
        <w:t>will possibly</w:t>
      </w:r>
      <w:r w:rsidRPr="001D0965">
        <w:rPr>
          <w:rFonts w:ascii="Times New Roman" w:hAnsi="Times New Roman" w:cs="Times New Roman"/>
          <w:sz w:val="26"/>
          <w:szCs w:val="26"/>
        </w:rPr>
        <w:t xml:space="preserve"> be satisfied</w:t>
      </w:r>
      <w:r w:rsidR="00A5163F">
        <w:rPr>
          <w:rFonts w:ascii="Times New Roman" w:hAnsi="Times New Roman" w:cs="Times New Roman"/>
          <w:sz w:val="26"/>
          <w:szCs w:val="26"/>
        </w:rPr>
        <w:t xml:space="preserve"> because it will no longer be a primary role-player</w:t>
      </w:r>
      <w:r w:rsidRPr="001D0965">
        <w:rPr>
          <w:rFonts w:ascii="Times New Roman" w:hAnsi="Times New Roman" w:cs="Times New Roman"/>
          <w:sz w:val="26"/>
          <w:szCs w:val="26"/>
        </w:rPr>
        <w:t xml:space="preserve">. </w:t>
      </w:r>
      <w:r w:rsidR="00041BE8">
        <w:rPr>
          <w:rFonts w:ascii="Times New Roman" w:hAnsi="Times New Roman" w:cs="Times New Roman"/>
          <w:sz w:val="26"/>
          <w:szCs w:val="26"/>
        </w:rPr>
        <w:t xml:space="preserve">But, until then, it is </w:t>
      </w:r>
      <w:r w:rsidR="00017DC1">
        <w:rPr>
          <w:rFonts w:ascii="Times New Roman" w:hAnsi="Times New Roman" w:cs="Times New Roman"/>
          <w:sz w:val="26"/>
          <w:szCs w:val="26"/>
        </w:rPr>
        <w:t xml:space="preserve">directly </w:t>
      </w:r>
      <w:r w:rsidR="00041BE8">
        <w:rPr>
          <w:rFonts w:ascii="Times New Roman" w:hAnsi="Times New Roman" w:cs="Times New Roman"/>
          <w:sz w:val="26"/>
          <w:szCs w:val="26"/>
        </w:rPr>
        <w:t>bound by the terms of the agreement for another year after the end of September 202</w:t>
      </w:r>
      <w:r w:rsidR="00AB3647">
        <w:rPr>
          <w:rFonts w:ascii="Times New Roman" w:hAnsi="Times New Roman" w:cs="Times New Roman"/>
          <w:sz w:val="26"/>
          <w:szCs w:val="26"/>
        </w:rPr>
        <w:t>3</w:t>
      </w:r>
      <w:r w:rsidR="00041BE8">
        <w:rPr>
          <w:rFonts w:ascii="Times New Roman" w:hAnsi="Times New Roman" w:cs="Times New Roman"/>
          <w:sz w:val="26"/>
          <w:szCs w:val="26"/>
        </w:rPr>
        <w:t>.</w:t>
      </w:r>
    </w:p>
    <w:p w:rsidR="00A5163F" w:rsidRPr="00A5163F" w:rsidRDefault="00A5163F" w:rsidP="00A5163F">
      <w:pPr>
        <w:pStyle w:val="ListParagraph"/>
        <w:spacing w:line="360" w:lineRule="auto"/>
        <w:ind w:left="142"/>
        <w:jc w:val="both"/>
      </w:pPr>
    </w:p>
    <w:p w:rsidR="005576C9" w:rsidRPr="001D2145" w:rsidRDefault="00017DC1" w:rsidP="001D2145">
      <w:pPr>
        <w:pStyle w:val="ListParagraph"/>
        <w:numPr>
          <w:ilvl w:val="0"/>
          <w:numId w:val="1"/>
        </w:numPr>
        <w:spacing w:line="360" w:lineRule="auto"/>
        <w:ind w:left="0" w:firstLine="142"/>
        <w:jc w:val="both"/>
        <w:rPr>
          <w:i/>
          <w:iCs/>
          <w:sz w:val="26"/>
          <w:szCs w:val="26"/>
        </w:rPr>
      </w:pPr>
      <w:r>
        <w:rPr>
          <w:rFonts w:ascii="Times New Roman" w:hAnsi="Times New Roman" w:cs="Times New Roman"/>
          <w:sz w:val="26"/>
          <w:szCs w:val="26"/>
        </w:rPr>
        <w:t>C</w:t>
      </w:r>
      <w:r w:rsidR="00A5163F">
        <w:rPr>
          <w:rFonts w:ascii="Times New Roman" w:hAnsi="Times New Roman" w:cs="Times New Roman"/>
          <w:sz w:val="26"/>
          <w:szCs w:val="26"/>
        </w:rPr>
        <w:t xml:space="preserve">lause </w:t>
      </w:r>
      <w:r w:rsidR="001D0965">
        <w:rPr>
          <w:rFonts w:ascii="Times New Roman" w:hAnsi="Times New Roman" w:cs="Times New Roman"/>
          <w:sz w:val="26"/>
          <w:szCs w:val="26"/>
        </w:rPr>
        <w:t>28.2</w:t>
      </w:r>
      <w:r>
        <w:rPr>
          <w:rFonts w:ascii="Times New Roman" w:hAnsi="Times New Roman" w:cs="Times New Roman"/>
          <w:sz w:val="26"/>
          <w:szCs w:val="26"/>
        </w:rPr>
        <w:t>, however,</w:t>
      </w:r>
      <w:r w:rsidR="001D0965" w:rsidRPr="001D0965">
        <w:rPr>
          <w:rFonts w:ascii="Times New Roman" w:hAnsi="Times New Roman" w:cs="Times New Roman"/>
          <w:sz w:val="26"/>
          <w:szCs w:val="26"/>
        </w:rPr>
        <w:t xml:space="preserve"> bind</w:t>
      </w:r>
      <w:r w:rsidR="00A5163F">
        <w:rPr>
          <w:rFonts w:ascii="Times New Roman" w:hAnsi="Times New Roman" w:cs="Times New Roman"/>
          <w:sz w:val="26"/>
          <w:szCs w:val="26"/>
        </w:rPr>
        <w:t>s</w:t>
      </w:r>
      <w:r w:rsidR="001D0965" w:rsidRPr="001D0965">
        <w:rPr>
          <w:rFonts w:ascii="Times New Roman" w:hAnsi="Times New Roman" w:cs="Times New Roman"/>
          <w:sz w:val="26"/>
          <w:szCs w:val="26"/>
        </w:rPr>
        <w:t xml:space="preserve"> </w:t>
      </w:r>
      <w:r w:rsidR="00A5163F">
        <w:rPr>
          <w:rFonts w:ascii="Times New Roman" w:hAnsi="Times New Roman" w:cs="Times New Roman"/>
          <w:sz w:val="26"/>
          <w:szCs w:val="26"/>
        </w:rPr>
        <w:t>o</w:t>
      </w:r>
      <w:r w:rsidR="001D0965" w:rsidRPr="001D0965">
        <w:rPr>
          <w:rFonts w:ascii="Times New Roman" w:hAnsi="Times New Roman" w:cs="Times New Roman"/>
          <w:sz w:val="26"/>
          <w:szCs w:val="26"/>
        </w:rPr>
        <w:t>t</w:t>
      </w:r>
      <w:r w:rsidR="00A5163F">
        <w:rPr>
          <w:rFonts w:ascii="Times New Roman" w:hAnsi="Times New Roman" w:cs="Times New Roman"/>
          <w:sz w:val="26"/>
          <w:szCs w:val="26"/>
        </w:rPr>
        <w:t>her actors,</w:t>
      </w:r>
      <w:r w:rsidR="001D0965" w:rsidRPr="001D0965">
        <w:rPr>
          <w:rFonts w:ascii="Times New Roman" w:hAnsi="Times New Roman" w:cs="Times New Roman"/>
          <w:sz w:val="26"/>
          <w:szCs w:val="26"/>
        </w:rPr>
        <w:t xml:space="preserve"> </w:t>
      </w:r>
      <w:r w:rsidR="00A5163F">
        <w:rPr>
          <w:rFonts w:ascii="Times New Roman" w:hAnsi="Times New Roman" w:cs="Times New Roman"/>
          <w:sz w:val="26"/>
          <w:szCs w:val="26"/>
        </w:rPr>
        <w:t>namely</w:t>
      </w:r>
      <w:r w:rsidR="00A5163F" w:rsidRPr="00492A78">
        <w:rPr>
          <w:rFonts w:ascii="Times New Roman" w:hAnsi="Times New Roman" w:cs="Times New Roman"/>
          <w:sz w:val="26"/>
          <w:szCs w:val="26"/>
        </w:rPr>
        <w:t xml:space="preserve"> </w:t>
      </w:r>
      <w:r w:rsidR="00A5163F" w:rsidRPr="00470F7F">
        <w:rPr>
          <w:rFonts w:ascii="Times New Roman" w:hAnsi="Times New Roman" w:cs="Times New Roman"/>
          <w:sz w:val="26"/>
          <w:szCs w:val="26"/>
        </w:rPr>
        <w:t xml:space="preserve">officers, employees, shareholders and directors of the first respondent </w:t>
      </w:r>
      <w:r w:rsidR="00A5163F">
        <w:rPr>
          <w:rFonts w:ascii="Times New Roman" w:hAnsi="Times New Roman" w:cs="Times New Roman"/>
          <w:sz w:val="26"/>
          <w:szCs w:val="26"/>
        </w:rPr>
        <w:t>to</w:t>
      </w:r>
      <w:r w:rsidR="00A5163F" w:rsidRPr="00470F7F">
        <w:rPr>
          <w:rFonts w:ascii="Times New Roman" w:hAnsi="Times New Roman" w:cs="Times New Roman"/>
          <w:sz w:val="26"/>
          <w:szCs w:val="26"/>
        </w:rPr>
        <w:t xml:space="preserve"> similar restraints as the first respondent</w:t>
      </w:r>
      <w:r w:rsidR="00114287">
        <w:rPr>
          <w:rFonts w:ascii="Times New Roman" w:hAnsi="Times New Roman" w:cs="Times New Roman"/>
          <w:sz w:val="26"/>
          <w:szCs w:val="26"/>
        </w:rPr>
        <w:t>, including those contained in clauses 28.1 to 28.1.2</w:t>
      </w:r>
      <w:r w:rsidR="00A5163F">
        <w:rPr>
          <w:rFonts w:ascii="Times New Roman" w:hAnsi="Times New Roman" w:cs="Times New Roman"/>
          <w:sz w:val="26"/>
          <w:szCs w:val="26"/>
        </w:rPr>
        <w:t xml:space="preserve">. </w:t>
      </w:r>
      <w:r w:rsidR="00AD35C4" w:rsidRPr="00470F7F">
        <w:rPr>
          <w:rFonts w:ascii="Times New Roman" w:hAnsi="Times New Roman" w:cs="Times New Roman"/>
          <w:sz w:val="26"/>
          <w:szCs w:val="26"/>
        </w:rPr>
        <w:t xml:space="preserve">There is no doubt that the second respondent is one such person, being </w:t>
      </w:r>
      <w:r w:rsidR="00AD35C4">
        <w:rPr>
          <w:rFonts w:ascii="Times New Roman" w:hAnsi="Times New Roman" w:cs="Times New Roman"/>
          <w:sz w:val="26"/>
          <w:szCs w:val="26"/>
        </w:rPr>
        <w:t xml:space="preserve">the sole </w:t>
      </w:r>
      <w:r w:rsidR="00AD35C4" w:rsidRPr="00470F7F">
        <w:rPr>
          <w:rFonts w:ascii="Times New Roman" w:hAnsi="Times New Roman" w:cs="Times New Roman"/>
          <w:sz w:val="26"/>
          <w:szCs w:val="26"/>
        </w:rPr>
        <w:t>director of the first respondent.</w:t>
      </w:r>
      <w:r w:rsidR="00AD35C4">
        <w:rPr>
          <w:rFonts w:ascii="Times New Roman" w:hAnsi="Times New Roman" w:cs="Times New Roman"/>
          <w:sz w:val="26"/>
          <w:szCs w:val="26"/>
        </w:rPr>
        <w:t xml:space="preserve"> </w:t>
      </w:r>
      <w:r w:rsidR="00114287">
        <w:rPr>
          <w:rFonts w:ascii="Times New Roman" w:hAnsi="Times New Roman" w:cs="Times New Roman"/>
          <w:sz w:val="26"/>
          <w:szCs w:val="26"/>
        </w:rPr>
        <w:t xml:space="preserve">As a result, amongst other things, the second respondent is </w:t>
      </w:r>
      <w:r w:rsidR="00AD35C4">
        <w:rPr>
          <w:rFonts w:ascii="Times New Roman" w:hAnsi="Times New Roman" w:cs="Times New Roman"/>
          <w:sz w:val="26"/>
          <w:szCs w:val="26"/>
        </w:rPr>
        <w:t>required to not</w:t>
      </w:r>
      <w:r w:rsidR="00114287">
        <w:rPr>
          <w:rFonts w:ascii="Times New Roman" w:hAnsi="Times New Roman" w:cs="Times New Roman"/>
          <w:sz w:val="26"/>
          <w:szCs w:val="26"/>
        </w:rPr>
        <w:t xml:space="preserve"> </w:t>
      </w:r>
      <w:r w:rsidR="00114287" w:rsidRPr="00114287">
        <w:rPr>
          <w:rFonts w:ascii="Times New Roman" w:hAnsi="Times New Roman" w:cs="Times New Roman"/>
          <w:i/>
          <w:iCs/>
          <w:sz w:val="26"/>
          <w:szCs w:val="26"/>
        </w:rPr>
        <w:t>“in any way be associated or concerned with, interested or engaged in any entity which provides optometry services and/or distributes, markets or sells products similar to or competing with any of the Approved Products; and for a period of 1 year after the termination of this Franchise Agreement.”</w:t>
      </w:r>
      <w:r w:rsidR="00AD35C4">
        <w:rPr>
          <w:rFonts w:ascii="Times New Roman" w:hAnsi="Times New Roman" w:cs="Times New Roman"/>
          <w:i/>
          <w:iCs/>
          <w:sz w:val="26"/>
          <w:szCs w:val="26"/>
        </w:rPr>
        <w:t xml:space="preserve"> </w:t>
      </w:r>
      <w:r w:rsidR="00A5163F" w:rsidRPr="00AD35C4">
        <w:rPr>
          <w:rFonts w:ascii="Times New Roman" w:hAnsi="Times New Roman" w:cs="Times New Roman"/>
          <w:sz w:val="26"/>
          <w:szCs w:val="26"/>
        </w:rPr>
        <w:t>Thus, although the first respondent may cease to exist as a result of the winding up, the second respondent remains bound by the same restraint obligations which the first respondent undertook to uphold.</w:t>
      </w:r>
      <w:r w:rsidR="00041BE8">
        <w:rPr>
          <w:rFonts w:ascii="Times New Roman" w:hAnsi="Times New Roman" w:cs="Times New Roman"/>
          <w:sz w:val="26"/>
          <w:szCs w:val="26"/>
        </w:rPr>
        <w:t xml:space="preserve"> </w:t>
      </w:r>
    </w:p>
    <w:p w:rsidR="005576C9" w:rsidRPr="005576C9" w:rsidRDefault="005576C9" w:rsidP="005576C9">
      <w:pPr>
        <w:pStyle w:val="ListParagraph"/>
        <w:spacing w:line="360" w:lineRule="auto"/>
        <w:ind w:left="142"/>
        <w:jc w:val="both"/>
        <w:rPr>
          <w:i/>
          <w:iCs/>
          <w:sz w:val="26"/>
          <w:szCs w:val="26"/>
        </w:rPr>
      </w:pPr>
    </w:p>
    <w:p w:rsidR="003014CA" w:rsidRPr="00470F7F" w:rsidRDefault="00A5163F" w:rsidP="00470F7F">
      <w:pPr>
        <w:pStyle w:val="ListParagraph"/>
        <w:numPr>
          <w:ilvl w:val="0"/>
          <w:numId w:val="1"/>
        </w:numPr>
        <w:spacing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In</w:t>
      </w:r>
      <w:r w:rsidR="003014CA" w:rsidRPr="00470F7F">
        <w:rPr>
          <w:rFonts w:ascii="Times New Roman" w:hAnsi="Times New Roman" w:cs="Times New Roman"/>
          <w:sz w:val="26"/>
          <w:szCs w:val="26"/>
        </w:rPr>
        <w:t xml:space="preserve"> terms of clause 28.1.2</w:t>
      </w:r>
      <w:r>
        <w:rPr>
          <w:rFonts w:ascii="Times New Roman" w:hAnsi="Times New Roman" w:cs="Times New Roman"/>
          <w:sz w:val="26"/>
          <w:szCs w:val="26"/>
        </w:rPr>
        <w:t>,</w:t>
      </w:r>
      <w:r w:rsidR="003014CA" w:rsidRPr="00470F7F">
        <w:rPr>
          <w:rFonts w:ascii="Times New Roman" w:hAnsi="Times New Roman" w:cs="Times New Roman"/>
          <w:sz w:val="26"/>
          <w:szCs w:val="26"/>
        </w:rPr>
        <w:t xml:space="preserve"> the </w:t>
      </w:r>
      <w:r w:rsidR="00C218EB" w:rsidRPr="00470F7F">
        <w:rPr>
          <w:rFonts w:ascii="Times New Roman" w:hAnsi="Times New Roman" w:cs="Times New Roman"/>
          <w:sz w:val="26"/>
          <w:szCs w:val="26"/>
        </w:rPr>
        <w:t xml:space="preserve">restraint obligations provided for in the agreement </w:t>
      </w:r>
      <w:r>
        <w:rPr>
          <w:rFonts w:ascii="Times New Roman" w:hAnsi="Times New Roman" w:cs="Times New Roman"/>
          <w:sz w:val="26"/>
          <w:szCs w:val="26"/>
        </w:rPr>
        <w:t xml:space="preserve">are </w:t>
      </w:r>
      <w:r w:rsidR="003014CA" w:rsidRPr="00470F7F">
        <w:rPr>
          <w:rFonts w:ascii="Times New Roman" w:hAnsi="Times New Roman" w:cs="Times New Roman"/>
          <w:sz w:val="26"/>
          <w:szCs w:val="26"/>
        </w:rPr>
        <w:t>to</w:t>
      </w:r>
      <w:r w:rsidR="00C218EB" w:rsidRPr="00470F7F">
        <w:rPr>
          <w:rFonts w:ascii="Times New Roman" w:hAnsi="Times New Roman" w:cs="Times New Roman"/>
          <w:sz w:val="26"/>
          <w:szCs w:val="26"/>
        </w:rPr>
        <w:t xml:space="preserve"> endure</w:t>
      </w:r>
      <w:r w:rsidR="003014CA" w:rsidRPr="00470F7F">
        <w:rPr>
          <w:rFonts w:ascii="Times New Roman" w:hAnsi="Times New Roman" w:cs="Times New Roman"/>
          <w:sz w:val="26"/>
          <w:szCs w:val="26"/>
        </w:rPr>
        <w:t xml:space="preserve"> </w:t>
      </w:r>
      <w:r w:rsidR="00C218EB" w:rsidRPr="00470F7F">
        <w:rPr>
          <w:rFonts w:ascii="Times New Roman" w:hAnsi="Times New Roman" w:cs="Times New Roman"/>
          <w:sz w:val="26"/>
          <w:szCs w:val="26"/>
        </w:rPr>
        <w:t xml:space="preserve">for a period of one year after </w:t>
      </w:r>
      <w:r w:rsidR="003014CA" w:rsidRPr="00470F7F">
        <w:rPr>
          <w:rFonts w:ascii="Times New Roman" w:hAnsi="Times New Roman" w:cs="Times New Roman"/>
          <w:sz w:val="26"/>
          <w:szCs w:val="26"/>
        </w:rPr>
        <w:t>its</w:t>
      </w:r>
      <w:r w:rsidR="00C218EB" w:rsidRPr="00470F7F">
        <w:rPr>
          <w:rFonts w:ascii="Times New Roman" w:hAnsi="Times New Roman" w:cs="Times New Roman"/>
          <w:sz w:val="26"/>
          <w:szCs w:val="26"/>
        </w:rPr>
        <w:t xml:space="preserve"> termination.</w:t>
      </w:r>
      <w:r w:rsidR="00C218EB">
        <w:t xml:space="preserve"> </w:t>
      </w:r>
      <w:r w:rsidR="003014CA" w:rsidRPr="00470F7F">
        <w:rPr>
          <w:rFonts w:ascii="Times New Roman" w:hAnsi="Times New Roman" w:cs="Times New Roman"/>
          <w:sz w:val="26"/>
          <w:szCs w:val="26"/>
        </w:rPr>
        <w:t>This</w:t>
      </w:r>
      <w:r w:rsidR="00350EB9" w:rsidRPr="00470F7F">
        <w:rPr>
          <w:rFonts w:ascii="Times New Roman" w:hAnsi="Times New Roman" w:cs="Times New Roman"/>
          <w:sz w:val="26"/>
          <w:szCs w:val="26"/>
        </w:rPr>
        <w:t xml:space="preserve"> </w:t>
      </w:r>
      <w:r w:rsidR="003014CA" w:rsidRPr="00470F7F">
        <w:rPr>
          <w:rFonts w:ascii="Times New Roman" w:hAnsi="Times New Roman" w:cs="Times New Roman"/>
          <w:sz w:val="26"/>
          <w:szCs w:val="26"/>
        </w:rPr>
        <w:t xml:space="preserve">is </w:t>
      </w:r>
      <w:r>
        <w:rPr>
          <w:rFonts w:ascii="Times New Roman" w:hAnsi="Times New Roman" w:cs="Times New Roman"/>
          <w:sz w:val="26"/>
          <w:szCs w:val="26"/>
        </w:rPr>
        <w:t xml:space="preserve">reinforced by </w:t>
      </w:r>
      <w:r w:rsidR="003014CA" w:rsidRPr="00470F7F">
        <w:rPr>
          <w:rFonts w:ascii="Times New Roman" w:hAnsi="Times New Roman" w:cs="Times New Roman"/>
          <w:sz w:val="26"/>
          <w:szCs w:val="26"/>
        </w:rPr>
        <w:t>clause</w:t>
      </w:r>
      <w:r w:rsidR="00C218EB" w:rsidRPr="00470F7F">
        <w:rPr>
          <w:rFonts w:ascii="Times New Roman" w:hAnsi="Times New Roman" w:cs="Times New Roman"/>
          <w:sz w:val="26"/>
          <w:szCs w:val="26"/>
        </w:rPr>
        <w:t xml:space="preserve"> 38.6 </w:t>
      </w:r>
      <w:r w:rsidR="003014CA" w:rsidRPr="00470F7F">
        <w:rPr>
          <w:rFonts w:ascii="Times New Roman" w:hAnsi="Times New Roman" w:cs="Times New Roman"/>
          <w:sz w:val="26"/>
          <w:szCs w:val="26"/>
        </w:rPr>
        <w:t>which provides as follows:</w:t>
      </w:r>
    </w:p>
    <w:p w:rsidR="003014CA" w:rsidRPr="007B42B9" w:rsidRDefault="003014CA" w:rsidP="003014CA">
      <w:pPr>
        <w:pStyle w:val="ListParagraph"/>
        <w:spacing w:line="276" w:lineRule="auto"/>
        <w:jc w:val="both"/>
        <w:rPr>
          <w:rFonts w:ascii="Times New Roman" w:hAnsi="Times New Roman" w:cs="Times New Roman"/>
        </w:rPr>
      </w:pPr>
      <w:r w:rsidRPr="007B42B9">
        <w:rPr>
          <w:rFonts w:ascii="Times New Roman" w:hAnsi="Times New Roman" w:cs="Times New Roman"/>
        </w:rPr>
        <w:t>“The expiration or termination of this Franchise Agreement shall not affect such of the provisions of this Franchise Agreement as expressly provide that they will operate after any such expiration or termination or which of necessity must continue to have effect after such expiration or termination, notwithstanding that the clauses themselves do not expressly provide for this.”</w:t>
      </w:r>
    </w:p>
    <w:p w:rsidR="003014CA" w:rsidRDefault="003014CA" w:rsidP="003014CA">
      <w:pPr>
        <w:pStyle w:val="ListParagraph"/>
      </w:pPr>
    </w:p>
    <w:p w:rsidR="001D2145" w:rsidRPr="00017DC1" w:rsidRDefault="003014CA" w:rsidP="00017DC1">
      <w:pPr>
        <w:pStyle w:val="ListParagraph"/>
        <w:numPr>
          <w:ilvl w:val="0"/>
          <w:numId w:val="1"/>
        </w:numPr>
        <w:spacing w:line="360" w:lineRule="auto"/>
        <w:ind w:left="0" w:firstLine="142"/>
        <w:jc w:val="both"/>
      </w:pPr>
      <w:r w:rsidRPr="007B42B9">
        <w:rPr>
          <w:rFonts w:ascii="Times New Roman" w:hAnsi="Times New Roman" w:cs="Times New Roman"/>
          <w:sz w:val="26"/>
          <w:szCs w:val="26"/>
        </w:rPr>
        <w:t xml:space="preserve"> </w:t>
      </w:r>
      <w:r w:rsidR="007B42B9" w:rsidRPr="007B42B9">
        <w:rPr>
          <w:rFonts w:ascii="Times New Roman" w:hAnsi="Times New Roman" w:cs="Times New Roman"/>
          <w:sz w:val="26"/>
          <w:szCs w:val="26"/>
        </w:rPr>
        <w:t xml:space="preserve">Clause 38.6 therefore </w:t>
      </w:r>
      <w:r w:rsidR="00C218EB" w:rsidRPr="007B42B9">
        <w:rPr>
          <w:rFonts w:ascii="Times New Roman" w:hAnsi="Times New Roman" w:cs="Times New Roman"/>
          <w:sz w:val="26"/>
          <w:szCs w:val="26"/>
        </w:rPr>
        <w:t>confirms that the termination of the agreement does not affect the provisions that operate after termination such as clause 28</w:t>
      </w:r>
      <w:r w:rsidR="00114287">
        <w:rPr>
          <w:rFonts w:ascii="Times New Roman" w:hAnsi="Times New Roman" w:cs="Times New Roman"/>
          <w:sz w:val="26"/>
          <w:szCs w:val="26"/>
        </w:rPr>
        <w:t xml:space="preserve">.1.2 and 28.2. As a result, </w:t>
      </w:r>
      <w:r w:rsidR="00C218EB" w:rsidRPr="007B42B9">
        <w:rPr>
          <w:rFonts w:ascii="Times New Roman" w:hAnsi="Times New Roman" w:cs="Times New Roman"/>
          <w:sz w:val="26"/>
          <w:szCs w:val="26"/>
        </w:rPr>
        <w:t>the</w:t>
      </w:r>
      <w:r w:rsidR="00114287">
        <w:rPr>
          <w:rFonts w:ascii="Times New Roman" w:hAnsi="Times New Roman" w:cs="Times New Roman"/>
          <w:sz w:val="26"/>
          <w:szCs w:val="26"/>
        </w:rPr>
        <w:t xml:space="preserve"> restraint</w:t>
      </w:r>
      <w:r w:rsidR="00C218EB" w:rsidRPr="007B42B9">
        <w:rPr>
          <w:rFonts w:ascii="Times New Roman" w:hAnsi="Times New Roman" w:cs="Times New Roman"/>
          <w:sz w:val="26"/>
          <w:szCs w:val="26"/>
        </w:rPr>
        <w:t xml:space="preserve"> obligations </w:t>
      </w:r>
      <w:r w:rsidR="00114287">
        <w:rPr>
          <w:rFonts w:ascii="Times New Roman" w:hAnsi="Times New Roman" w:cs="Times New Roman"/>
          <w:sz w:val="26"/>
          <w:szCs w:val="26"/>
        </w:rPr>
        <w:t>which fall upon</w:t>
      </w:r>
      <w:r w:rsidR="00C218EB" w:rsidRPr="007B42B9">
        <w:rPr>
          <w:rFonts w:ascii="Times New Roman" w:hAnsi="Times New Roman" w:cs="Times New Roman"/>
          <w:sz w:val="26"/>
          <w:szCs w:val="26"/>
        </w:rPr>
        <w:t xml:space="preserve"> the </w:t>
      </w:r>
      <w:r w:rsidR="00114287">
        <w:rPr>
          <w:rFonts w:ascii="Times New Roman" w:hAnsi="Times New Roman" w:cs="Times New Roman"/>
          <w:sz w:val="26"/>
          <w:szCs w:val="26"/>
        </w:rPr>
        <w:t xml:space="preserve">second </w:t>
      </w:r>
      <w:r w:rsidR="00C218EB" w:rsidRPr="007B42B9">
        <w:rPr>
          <w:rFonts w:ascii="Times New Roman" w:hAnsi="Times New Roman" w:cs="Times New Roman"/>
          <w:sz w:val="26"/>
          <w:szCs w:val="26"/>
        </w:rPr>
        <w:t xml:space="preserve">respondent </w:t>
      </w:r>
      <w:r w:rsidR="00114287">
        <w:rPr>
          <w:rFonts w:ascii="Times New Roman" w:hAnsi="Times New Roman" w:cs="Times New Roman"/>
          <w:sz w:val="26"/>
          <w:szCs w:val="26"/>
        </w:rPr>
        <w:t xml:space="preserve">as a result of clause 28.2, read with 28.1.2, </w:t>
      </w:r>
      <w:r w:rsidR="00C218EB" w:rsidRPr="007B42B9">
        <w:rPr>
          <w:rFonts w:ascii="Times New Roman" w:hAnsi="Times New Roman" w:cs="Times New Roman"/>
          <w:sz w:val="26"/>
          <w:szCs w:val="26"/>
        </w:rPr>
        <w:t>did not come to an end at the end of September, but continue for another year.</w:t>
      </w:r>
      <w:r w:rsidR="00114287">
        <w:t xml:space="preserve"> </w:t>
      </w:r>
      <w:r w:rsidR="00A5163F" w:rsidRPr="00114287">
        <w:rPr>
          <w:rFonts w:ascii="Times New Roman" w:hAnsi="Times New Roman" w:cs="Times New Roman"/>
          <w:sz w:val="26"/>
          <w:szCs w:val="26"/>
        </w:rPr>
        <w:t>These are clear terms of the agreement.</w:t>
      </w:r>
    </w:p>
    <w:p w:rsidR="00017DC1" w:rsidRPr="00017DC1" w:rsidRDefault="00017DC1" w:rsidP="00017DC1">
      <w:pPr>
        <w:pStyle w:val="ListParagraph"/>
        <w:spacing w:line="360" w:lineRule="auto"/>
        <w:ind w:left="142"/>
        <w:jc w:val="both"/>
        <w:rPr>
          <w:i/>
          <w:iCs/>
          <w:sz w:val="26"/>
          <w:szCs w:val="26"/>
        </w:rPr>
      </w:pPr>
    </w:p>
    <w:p w:rsidR="00425B15" w:rsidRPr="00425B15" w:rsidRDefault="001D2145" w:rsidP="00425B15">
      <w:pPr>
        <w:pStyle w:val="ListParagraph"/>
        <w:numPr>
          <w:ilvl w:val="0"/>
          <w:numId w:val="1"/>
        </w:numPr>
        <w:spacing w:line="360" w:lineRule="auto"/>
        <w:ind w:left="0" w:firstLine="142"/>
        <w:jc w:val="both"/>
        <w:rPr>
          <w:i/>
          <w:iCs/>
          <w:sz w:val="26"/>
          <w:szCs w:val="26"/>
        </w:rPr>
      </w:pPr>
      <w:r w:rsidRPr="005576C9">
        <w:rPr>
          <w:rFonts w:ascii="Times New Roman" w:hAnsi="Times New Roman" w:cs="Times New Roman"/>
          <w:sz w:val="26"/>
          <w:szCs w:val="26"/>
        </w:rPr>
        <w:t>Th</w:t>
      </w:r>
      <w:r>
        <w:rPr>
          <w:rFonts w:ascii="Times New Roman" w:hAnsi="Times New Roman" w:cs="Times New Roman"/>
          <w:sz w:val="26"/>
          <w:szCs w:val="26"/>
        </w:rPr>
        <w:t>e</w:t>
      </w:r>
      <w:r w:rsidRPr="005576C9">
        <w:rPr>
          <w:rFonts w:ascii="Times New Roman" w:hAnsi="Times New Roman" w:cs="Times New Roman"/>
          <w:sz w:val="26"/>
          <w:szCs w:val="26"/>
        </w:rPr>
        <w:t xml:space="preserve"> undertaking to bind the second respondent, amongst other</w:t>
      </w:r>
      <w:r>
        <w:rPr>
          <w:rFonts w:ascii="Times New Roman" w:hAnsi="Times New Roman" w:cs="Times New Roman"/>
          <w:sz w:val="26"/>
          <w:szCs w:val="26"/>
        </w:rPr>
        <w:t xml:space="preserve"> actors</w:t>
      </w:r>
      <w:r w:rsidRPr="005576C9">
        <w:rPr>
          <w:rFonts w:ascii="Times New Roman" w:hAnsi="Times New Roman" w:cs="Times New Roman"/>
          <w:sz w:val="26"/>
          <w:szCs w:val="26"/>
        </w:rPr>
        <w:t xml:space="preserve">, is severable from the undertaking in clause 28.1.2 which binds the first respondent directly, and is not linked to whether or not the first respondent is in existence. </w:t>
      </w:r>
      <w:r w:rsidR="00017DC1">
        <w:rPr>
          <w:rFonts w:ascii="Times New Roman" w:hAnsi="Times New Roman" w:cs="Times New Roman"/>
          <w:sz w:val="26"/>
          <w:szCs w:val="26"/>
        </w:rPr>
        <w:t>T</w:t>
      </w:r>
      <w:r>
        <w:rPr>
          <w:rFonts w:ascii="Times New Roman" w:hAnsi="Times New Roman" w:cs="Times New Roman"/>
          <w:sz w:val="26"/>
          <w:szCs w:val="26"/>
        </w:rPr>
        <w:t>he agreement does not create such a condition, and one would have expected it to be included if that was the intention.</w:t>
      </w:r>
      <w:r w:rsidR="00017DC1" w:rsidRPr="00017DC1">
        <w:rPr>
          <w:rFonts w:ascii="Times New Roman" w:hAnsi="Times New Roman" w:cs="Times New Roman"/>
          <w:sz w:val="26"/>
          <w:szCs w:val="26"/>
        </w:rPr>
        <w:t xml:space="preserve"> But the clearest indication of this view is cl</w:t>
      </w:r>
      <w:r w:rsidR="00017DC1">
        <w:rPr>
          <w:rFonts w:ascii="Times New Roman" w:hAnsi="Times New Roman" w:cs="Times New Roman"/>
          <w:sz w:val="26"/>
          <w:szCs w:val="26"/>
        </w:rPr>
        <w:t>au</w:t>
      </w:r>
      <w:r w:rsidR="00017DC1" w:rsidRPr="00017DC1">
        <w:rPr>
          <w:rFonts w:ascii="Times New Roman" w:hAnsi="Times New Roman" w:cs="Times New Roman"/>
          <w:sz w:val="26"/>
          <w:szCs w:val="26"/>
        </w:rPr>
        <w:t>se 38.5 which provides</w:t>
      </w:r>
      <w:r>
        <w:rPr>
          <w:rFonts w:ascii="Times New Roman" w:hAnsi="Times New Roman" w:cs="Times New Roman"/>
          <w:sz w:val="26"/>
          <w:szCs w:val="26"/>
        </w:rPr>
        <w:t xml:space="preserve"> </w:t>
      </w:r>
      <w:r w:rsidR="00017DC1">
        <w:rPr>
          <w:rFonts w:ascii="Times New Roman" w:hAnsi="Times New Roman" w:cs="Times New Roman"/>
          <w:sz w:val="26"/>
          <w:szCs w:val="26"/>
        </w:rPr>
        <w:t>that</w:t>
      </w:r>
      <w:r w:rsidR="00017DC1" w:rsidRPr="00C153C0">
        <w:rPr>
          <w:rFonts w:ascii="Times New Roman" w:hAnsi="Times New Roman" w:cs="Times New Roman"/>
          <w:sz w:val="26"/>
          <w:szCs w:val="26"/>
        </w:rPr>
        <w:t xml:space="preserve"> all provisions and clauses of the agreement are severable from each other notwithstanding the way they have been grouped together or linked grammatically</w:t>
      </w:r>
      <w:r w:rsidR="00017DC1">
        <w:rPr>
          <w:rFonts w:ascii="Times New Roman" w:hAnsi="Times New Roman" w:cs="Times New Roman"/>
          <w:sz w:val="26"/>
          <w:szCs w:val="26"/>
        </w:rPr>
        <w:t>.</w:t>
      </w:r>
      <w:r w:rsidR="00425B15">
        <w:rPr>
          <w:rStyle w:val="FootnoteReference"/>
          <w:rFonts w:ascii="Times New Roman" w:hAnsi="Times New Roman" w:cs="Times New Roman"/>
          <w:sz w:val="26"/>
          <w:szCs w:val="26"/>
        </w:rPr>
        <w:footnoteReference w:id="7"/>
      </w:r>
      <w:r w:rsidR="00017DC1">
        <w:rPr>
          <w:rFonts w:ascii="Times New Roman" w:hAnsi="Times New Roman" w:cs="Times New Roman"/>
          <w:sz w:val="26"/>
          <w:szCs w:val="26"/>
        </w:rPr>
        <w:t xml:space="preserve"> </w:t>
      </w:r>
      <w:r w:rsidR="00425B15">
        <w:rPr>
          <w:rFonts w:ascii="Times New Roman" w:hAnsi="Times New Roman" w:cs="Times New Roman"/>
          <w:sz w:val="26"/>
          <w:szCs w:val="26"/>
        </w:rPr>
        <w:t xml:space="preserve">Another indication of this view is </w:t>
      </w:r>
      <w:r w:rsidRPr="00425B15">
        <w:rPr>
          <w:rFonts w:ascii="Times New Roman" w:hAnsi="Times New Roman" w:cs="Times New Roman"/>
          <w:sz w:val="26"/>
          <w:szCs w:val="26"/>
        </w:rPr>
        <w:t>clause 28.1.2</w:t>
      </w:r>
      <w:r w:rsidR="00425B15">
        <w:rPr>
          <w:rFonts w:ascii="Times New Roman" w:hAnsi="Times New Roman" w:cs="Times New Roman"/>
          <w:sz w:val="26"/>
          <w:szCs w:val="26"/>
        </w:rPr>
        <w:t>, which</w:t>
      </w:r>
      <w:r w:rsidRPr="00425B15">
        <w:rPr>
          <w:rFonts w:ascii="Times New Roman" w:hAnsi="Times New Roman" w:cs="Times New Roman"/>
          <w:sz w:val="26"/>
          <w:szCs w:val="26"/>
        </w:rPr>
        <w:t xml:space="preserve"> binds the persons named</w:t>
      </w:r>
      <w:r w:rsidR="00425B15">
        <w:rPr>
          <w:rFonts w:ascii="Times New Roman" w:hAnsi="Times New Roman" w:cs="Times New Roman"/>
          <w:sz w:val="26"/>
          <w:szCs w:val="26"/>
        </w:rPr>
        <w:t xml:space="preserve"> there</w:t>
      </w:r>
      <w:r w:rsidRPr="00425B15">
        <w:rPr>
          <w:rFonts w:ascii="Times New Roman" w:hAnsi="Times New Roman" w:cs="Times New Roman"/>
          <w:sz w:val="26"/>
          <w:szCs w:val="26"/>
        </w:rPr>
        <w:t xml:space="preserve"> </w:t>
      </w:r>
      <w:r w:rsidRPr="00425B15">
        <w:rPr>
          <w:rFonts w:ascii="Times New Roman" w:hAnsi="Times New Roman" w:cs="Times New Roman"/>
          <w:i/>
          <w:iCs/>
          <w:sz w:val="26"/>
          <w:szCs w:val="26"/>
        </w:rPr>
        <w:t>“whether current or resigned, during the Term</w:t>
      </w:r>
      <w:r w:rsidR="00C153C0">
        <w:rPr>
          <w:rStyle w:val="FootnoteReference"/>
          <w:rFonts w:ascii="Times New Roman" w:hAnsi="Times New Roman" w:cs="Times New Roman"/>
          <w:i/>
          <w:iCs/>
          <w:sz w:val="26"/>
          <w:szCs w:val="26"/>
        </w:rPr>
        <w:footnoteReference w:id="8"/>
      </w:r>
      <w:r w:rsidRPr="00425B15">
        <w:rPr>
          <w:rFonts w:ascii="Times New Roman" w:hAnsi="Times New Roman" w:cs="Times New Roman"/>
          <w:i/>
          <w:iCs/>
          <w:sz w:val="26"/>
          <w:szCs w:val="26"/>
        </w:rPr>
        <w:t xml:space="preserve"> and thereafter”</w:t>
      </w:r>
      <w:r w:rsidRPr="00425B15">
        <w:rPr>
          <w:rFonts w:ascii="Times New Roman" w:hAnsi="Times New Roman" w:cs="Times New Roman"/>
          <w:sz w:val="26"/>
          <w:szCs w:val="26"/>
        </w:rPr>
        <w:t xml:space="preserve">. In other words, even should the named role players change relations or status with the first respondent or no longer hold the positions they hold, they remain bound by the restraint obligations. </w:t>
      </w:r>
      <w:r w:rsidR="00425B15">
        <w:rPr>
          <w:rFonts w:ascii="Times New Roman" w:hAnsi="Times New Roman" w:cs="Times New Roman"/>
          <w:sz w:val="26"/>
          <w:szCs w:val="26"/>
        </w:rPr>
        <w:t>It stands to reason that if the first respondent’s status were to change, there is an argument to be made that the same would apply. But as I have already indicated, the strongest indicator that the obligations of the first respondent and those of the second respondent are severable and therefore continue to apply, is clause 38.5.</w:t>
      </w:r>
    </w:p>
    <w:p w:rsidR="00425B15" w:rsidRDefault="00425B15" w:rsidP="00425B15">
      <w:pPr>
        <w:pStyle w:val="ListParagraph"/>
        <w:spacing w:line="360" w:lineRule="auto"/>
        <w:ind w:left="142"/>
        <w:jc w:val="both"/>
        <w:rPr>
          <w:rFonts w:ascii="Times New Roman" w:hAnsi="Times New Roman" w:cs="Times New Roman"/>
          <w:sz w:val="26"/>
          <w:szCs w:val="26"/>
        </w:rPr>
      </w:pPr>
    </w:p>
    <w:p w:rsidR="006F6D08" w:rsidRPr="002B069E" w:rsidRDefault="00610FD2" w:rsidP="002B069E">
      <w:pPr>
        <w:pStyle w:val="ListParagraph"/>
        <w:numPr>
          <w:ilvl w:val="0"/>
          <w:numId w:val="1"/>
        </w:numPr>
        <w:spacing w:line="360" w:lineRule="auto"/>
        <w:ind w:left="0" w:firstLine="142"/>
        <w:jc w:val="both"/>
        <w:rPr>
          <w:rFonts w:ascii="Times New Roman" w:hAnsi="Times New Roman" w:cs="Times New Roman"/>
          <w:sz w:val="26"/>
          <w:szCs w:val="26"/>
        </w:rPr>
      </w:pPr>
      <w:r w:rsidRPr="00AD35C4">
        <w:rPr>
          <w:rFonts w:ascii="Times New Roman" w:hAnsi="Times New Roman" w:cs="Times New Roman"/>
          <w:sz w:val="26"/>
          <w:szCs w:val="26"/>
        </w:rPr>
        <w:t xml:space="preserve">It is so that, in terms of clause 28.2 it is the franchisee that gave a warranty and undertook to procure that </w:t>
      </w:r>
      <w:r>
        <w:rPr>
          <w:rFonts w:ascii="Times New Roman" w:hAnsi="Times New Roman" w:cs="Times New Roman"/>
          <w:sz w:val="26"/>
          <w:szCs w:val="26"/>
        </w:rPr>
        <w:t>its</w:t>
      </w:r>
      <w:r w:rsidRPr="00AD35C4">
        <w:rPr>
          <w:rFonts w:ascii="Times New Roman" w:hAnsi="Times New Roman" w:cs="Times New Roman"/>
          <w:sz w:val="26"/>
          <w:szCs w:val="26"/>
        </w:rPr>
        <w:t xml:space="preserve"> role players are bound by the restraint obligations, and is to itself be held responsible for any breach by any such persons of those restraint undertakings.</w:t>
      </w:r>
      <w:r>
        <w:rPr>
          <w:rFonts w:ascii="Times New Roman" w:hAnsi="Times New Roman" w:cs="Times New Roman"/>
          <w:sz w:val="26"/>
          <w:szCs w:val="26"/>
        </w:rPr>
        <w:t xml:space="preserve"> However, the second respondent personally bound himself </w:t>
      </w:r>
      <w:r w:rsidR="002B069E">
        <w:rPr>
          <w:rFonts w:ascii="Times New Roman" w:hAnsi="Times New Roman" w:cs="Times New Roman"/>
          <w:sz w:val="26"/>
          <w:szCs w:val="26"/>
        </w:rPr>
        <w:t xml:space="preserve">as guarantor </w:t>
      </w:r>
      <w:r>
        <w:rPr>
          <w:rFonts w:ascii="Times New Roman" w:hAnsi="Times New Roman" w:cs="Times New Roman"/>
          <w:sz w:val="26"/>
          <w:szCs w:val="26"/>
        </w:rPr>
        <w:t xml:space="preserve">for the obligations of the </w:t>
      </w:r>
      <w:r w:rsidR="002B069E">
        <w:rPr>
          <w:rFonts w:ascii="Times New Roman" w:hAnsi="Times New Roman" w:cs="Times New Roman"/>
          <w:sz w:val="26"/>
          <w:szCs w:val="26"/>
        </w:rPr>
        <w:t xml:space="preserve">first respondent </w:t>
      </w:r>
      <w:r w:rsidRPr="002B069E">
        <w:rPr>
          <w:rFonts w:ascii="Times New Roman" w:hAnsi="Times New Roman" w:cs="Times New Roman"/>
          <w:sz w:val="26"/>
          <w:szCs w:val="26"/>
        </w:rPr>
        <w:t xml:space="preserve">in </w:t>
      </w:r>
      <w:r w:rsidR="002B069E">
        <w:rPr>
          <w:rFonts w:ascii="Times New Roman" w:hAnsi="Times New Roman" w:cs="Times New Roman"/>
          <w:sz w:val="26"/>
          <w:szCs w:val="26"/>
        </w:rPr>
        <w:t xml:space="preserve">terms of </w:t>
      </w:r>
      <w:r w:rsidR="006F6D08" w:rsidRPr="002B069E">
        <w:rPr>
          <w:rFonts w:ascii="Times New Roman" w:hAnsi="Times New Roman" w:cs="Times New Roman"/>
          <w:sz w:val="26"/>
          <w:szCs w:val="26"/>
        </w:rPr>
        <w:t>clause 4</w:t>
      </w:r>
      <w:r w:rsidR="002B069E">
        <w:rPr>
          <w:rFonts w:ascii="Times New Roman" w:hAnsi="Times New Roman" w:cs="Times New Roman"/>
          <w:sz w:val="26"/>
          <w:szCs w:val="26"/>
        </w:rPr>
        <w:t>, which provides</w:t>
      </w:r>
      <w:r w:rsidR="006F6D08" w:rsidRPr="002B069E">
        <w:rPr>
          <w:rFonts w:ascii="Times New Roman" w:hAnsi="Times New Roman" w:cs="Times New Roman"/>
          <w:sz w:val="26"/>
          <w:szCs w:val="26"/>
        </w:rPr>
        <w:t xml:space="preserve"> as follows:</w:t>
      </w:r>
    </w:p>
    <w:p w:rsidR="006F6D08" w:rsidRDefault="006F6D08" w:rsidP="006F6D08">
      <w:pPr>
        <w:pStyle w:val="ListParagraph"/>
      </w:pPr>
    </w:p>
    <w:p w:rsidR="006F6D08" w:rsidRPr="006F6D08" w:rsidRDefault="006F6D08" w:rsidP="006F6D08">
      <w:pPr>
        <w:pStyle w:val="ListParagraph"/>
        <w:spacing w:line="276" w:lineRule="auto"/>
        <w:ind w:left="1440"/>
        <w:jc w:val="both"/>
        <w:rPr>
          <w:rFonts w:ascii="Times New Roman" w:hAnsi="Times New Roman" w:cs="Times New Roman"/>
        </w:rPr>
      </w:pPr>
      <w:r>
        <w:rPr>
          <w:rFonts w:ascii="Times New Roman" w:hAnsi="Times New Roman" w:cs="Times New Roman"/>
        </w:rPr>
        <w:t>“</w:t>
      </w:r>
      <w:r w:rsidRPr="006F6D08">
        <w:rPr>
          <w:rFonts w:ascii="Times New Roman" w:hAnsi="Times New Roman" w:cs="Times New Roman"/>
        </w:rPr>
        <w:t>With effect from the Signature Date the Guarantor hereby irrevocably and unconditionally guarantees, as a primary obligation, in favour of the Franchisor the due and punctual performance by the Franchisee of the Secured Obligations and further undertakes to pay the Franchisor on first written demand all sums which are now, or at any time or times in the future shall become due, owing or incurred by the Franchisee to the Franchisor pursuant to the Secured Obligations.</w:t>
      </w:r>
      <w:r>
        <w:rPr>
          <w:rFonts w:ascii="Times New Roman" w:hAnsi="Times New Roman" w:cs="Times New Roman"/>
        </w:rPr>
        <w:t>”</w:t>
      </w:r>
    </w:p>
    <w:p w:rsidR="006F6D08" w:rsidRDefault="006F6D08" w:rsidP="002B069E"/>
    <w:p w:rsidR="000D5C96" w:rsidRDefault="006F6D08" w:rsidP="000D5C96">
      <w:pPr>
        <w:pStyle w:val="ListParagraph"/>
        <w:numPr>
          <w:ilvl w:val="0"/>
          <w:numId w:val="1"/>
        </w:numPr>
        <w:spacing w:line="360" w:lineRule="auto"/>
        <w:ind w:left="0" w:firstLine="142"/>
        <w:jc w:val="both"/>
        <w:rPr>
          <w:rFonts w:ascii="Times New Roman" w:hAnsi="Times New Roman" w:cs="Times New Roman"/>
          <w:sz w:val="26"/>
          <w:szCs w:val="26"/>
        </w:rPr>
      </w:pPr>
      <w:r w:rsidRPr="006F6D08">
        <w:rPr>
          <w:rFonts w:ascii="Times New Roman" w:hAnsi="Times New Roman" w:cs="Times New Roman"/>
          <w:sz w:val="26"/>
          <w:szCs w:val="26"/>
        </w:rPr>
        <w:t xml:space="preserve">The </w:t>
      </w:r>
      <w:r w:rsidR="00C218EB" w:rsidRPr="006F6D08">
        <w:rPr>
          <w:rFonts w:ascii="Times New Roman" w:hAnsi="Times New Roman" w:cs="Times New Roman"/>
          <w:sz w:val="26"/>
          <w:szCs w:val="26"/>
        </w:rPr>
        <w:t>subject</w:t>
      </w:r>
      <w:r w:rsidRPr="006F6D08">
        <w:rPr>
          <w:rFonts w:ascii="Times New Roman" w:hAnsi="Times New Roman" w:cs="Times New Roman"/>
          <w:sz w:val="26"/>
          <w:szCs w:val="26"/>
        </w:rPr>
        <w:t>-matter of the guarantee</w:t>
      </w:r>
      <w:r w:rsidR="00C218EB" w:rsidRPr="006F6D08">
        <w:rPr>
          <w:rFonts w:ascii="Times New Roman" w:hAnsi="Times New Roman" w:cs="Times New Roman"/>
          <w:sz w:val="26"/>
          <w:szCs w:val="26"/>
        </w:rPr>
        <w:t xml:space="preserve"> is due and punctual performance of secured obligations by the franchisee.  Secured obligations</w:t>
      </w:r>
      <w:r w:rsidRPr="006F6D08">
        <w:rPr>
          <w:rStyle w:val="FootnoteReference"/>
          <w:rFonts w:ascii="Times New Roman" w:hAnsi="Times New Roman" w:cs="Times New Roman"/>
          <w:sz w:val="26"/>
          <w:szCs w:val="26"/>
        </w:rPr>
        <w:footnoteReference w:id="9"/>
      </w:r>
      <w:r w:rsidR="00C218EB" w:rsidRPr="006F6D08">
        <w:rPr>
          <w:rFonts w:ascii="Times New Roman" w:hAnsi="Times New Roman" w:cs="Times New Roman"/>
          <w:sz w:val="26"/>
          <w:szCs w:val="26"/>
        </w:rPr>
        <w:t xml:space="preserve"> are defined to include all indebtedness and obligations of whatsoever nature of the franchisee, whether actual or contingent, present or future.  And the guarantee continues to operate until the release date which is defined in the agreement as the date upon which the guarantor is released by the franchisor from the obligations of the guarantee.  From the papers it is evident that the release date has not yet occurred. </w:t>
      </w:r>
    </w:p>
    <w:p w:rsidR="00425B15" w:rsidRDefault="00425B15" w:rsidP="00425B15">
      <w:pPr>
        <w:pStyle w:val="ListParagraph"/>
        <w:spacing w:line="360" w:lineRule="auto"/>
        <w:ind w:left="142"/>
        <w:jc w:val="both"/>
        <w:rPr>
          <w:rFonts w:ascii="Times New Roman" w:hAnsi="Times New Roman" w:cs="Times New Roman"/>
          <w:sz w:val="26"/>
          <w:szCs w:val="26"/>
        </w:rPr>
      </w:pPr>
    </w:p>
    <w:p w:rsidR="00425B15" w:rsidRPr="003A4855" w:rsidRDefault="00425B15" w:rsidP="000D5C96">
      <w:pPr>
        <w:pStyle w:val="ListParagraph"/>
        <w:numPr>
          <w:ilvl w:val="0"/>
          <w:numId w:val="1"/>
        </w:numPr>
        <w:spacing w:line="360" w:lineRule="auto"/>
        <w:ind w:left="0" w:firstLine="142"/>
        <w:jc w:val="both"/>
        <w:rPr>
          <w:rFonts w:ascii="Times New Roman" w:hAnsi="Times New Roman" w:cs="Times New Roman"/>
          <w:sz w:val="26"/>
          <w:szCs w:val="26"/>
        </w:rPr>
      </w:pPr>
      <w:r w:rsidRPr="00425B15">
        <w:rPr>
          <w:rFonts w:ascii="Times New Roman" w:hAnsi="Times New Roman" w:cs="Times New Roman"/>
          <w:sz w:val="26"/>
          <w:szCs w:val="26"/>
        </w:rPr>
        <w:t>From the above</w:t>
      </w:r>
      <w:r>
        <w:rPr>
          <w:rFonts w:ascii="Times New Roman" w:hAnsi="Times New Roman" w:cs="Times New Roman"/>
          <w:sz w:val="26"/>
          <w:szCs w:val="26"/>
        </w:rPr>
        <w:t>,</w:t>
      </w:r>
      <w:r w:rsidRPr="00425B15">
        <w:rPr>
          <w:rFonts w:ascii="Times New Roman" w:hAnsi="Times New Roman" w:cs="Times New Roman"/>
          <w:sz w:val="26"/>
          <w:szCs w:val="26"/>
        </w:rPr>
        <w:t xml:space="preserve"> it is</w:t>
      </w:r>
      <w:r>
        <w:rPr>
          <w:rFonts w:ascii="Times New Roman" w:hAnsi="Times New Roman" w:cs="Times New Roman"/>
          <w:sz w:val="26"/>
          <w:szCs w:val="26"/>
        </w:rPr>
        <w:t xml:space="preserve"> </w:t>
      </w:r>
      <w:r w:rsidRPr="00425B15">
        <w:rPr>
          <w:rFonts w:ascii="Times New Roman" w:hAnsi="Times New Roman" w:cs="Times New Roman"/>
          <w:sz w:val="26"/>
          <w:szCs w:val="26"/>
        </w:rPr>
        <w:t xml:space="preserve">clear that the second respondent </w:t>
      </w:r>
      <w:r>
        <w:rPr>
          <w:rFonts w:ascii="Times New Roman" w:hAnsi="Times New Roman" w:cs="Times New Roman"/>
          <w:sz w:val="26"/>
          <w:szCs w:val="26"/>
        </w:rPr>
        <w:t>remains</w:t>
      </w:r>
      <w:r w:rsidRPr="00425B15">
        <w:rPr>
          <w:rFonts w:ascii="Times New Roman" w:hAnsi="Times New Roman" w:cs="Times New Roman"/>
          <w:sz w:val="26"/>
          <w:szCs w:val="26"/>
        </w:rPr>
        <w:t xml:space="preserve"> bound by the restraint obligations in terms of the agreement</w:t>
      </w:r>
      <w:r>
        <w:rPr>
          <w:rFonts w:ascii="Times New Roman" w:hAnsi="Times New Roman" w:cs="Times New Roman"/>
          <w:sz w:val="26"/>
          <w:szCs w:val="26"/>
        </w:rPr>
        <w:t xml:space="preserve">.  </w:t>
      </w:r>
    </w:p>
    <w:p w:rsidR="00C218EB" w:rsidRDefault="00C218EB" w:rsidP="00C218EB">
      <w:pPr>
        <w:pStyle w:val="ListParagraph"/>
        <w:spacing w:line="360" w:lineRule="auto"/>
        <w:ind w:left="0" w:firstLine="142"/>
        <w:jc w:val="both"/>
      </w:pPr>
    </w:p>
    <w:p w:rsidR="001776EB" w:rsidRPr="001776EB" w:rsidRDefault="002B069E" w:rsidP="001776EB">
      <w:pPr>
        <w:pStyle w:val="ListParagraph"/>
        <w:numPr>
          <w:ilvl w:val="0"/>
          <w:numId w:val="1"/>
        </w:numPr>
        <w:spacing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 xml:space="preserve">As to whether </w:t>
      </w:r>
      <w:r w:rsidR="00306E7B" w:rsidRPr="00306E7B">
        <w:rPr>
          <w:rFonts w:ascii="Times New Roman" w:hAnsi="Times New Roman" w:cs="Times New Roman"/>
          <w:sz w:val="26"/>
          <w:szCs w:val="26"/>
        </w:rPr>
        <w:t xml:space="preserve">the services to be provided </w:t>
      </w:r>
      <w:r>
        <w:rPr>
          <w:rFonts w:ascii="Times New Roman" w:hAnsi="Times New Roman" w:cs="Times New Roman"/>
          <w:sz w:val="26"/>
          <w:szCs w:val="26"/>
        </w:rPr>
        <w:t xml:space="preserve">at Kaleidovision </w:t>
      </w:r>
      <w:r w:rsidR="00306E7B" w:rsidRPr="00306E7B">
        <w:rPr>
          <w:rFonts w:ascii="Times New Roman" w:hAnsi="Times New Roman" w:cs="Times New Roman"/>
          <w:sz w:val="26"/>
          <w:szCs w:val="26"/>
        </w:rPr>
        <w:t>are distinguishable from those provided</w:t>
      </w:r>
      <w:r w:rsidR="00981C6D">
        <w:rPr>
          <w:rFonts w:ascii="Times New Roman" w:hAnsi="Times New Roman" w:cs="Times New Roman"/>
          <w:sz w:val="26"/>
          <w:szCs w:val="26"/>
        </w:rPr>
        <w:t xml:space="preserve">, this issue was not pressed in the heads of argument and in oral argument on behalf of the respondents. Nevertheless, one observation that may be made is that in terms of </w:t>
      </w:r>
      <w:r w:rsidR="00C218EB" w:rsidRPr="00306E7B">
        <w:rPr>
          <w:rFonts w:ascii="Times New Roman" w:hAnsi="Times New Roman" w:cs="Times New Roman"/>
          <w:sz w:val="26"/>
          <w:szCs w:val="26"/>
        </w:rPr>
        <w:t xml:space="preserve">clause to the 28.1.2, the restraint obligations include </w:t>
      </w:r>
      <w:r w:rsidR="00981C6D">
        <w:rPr>
          <w:rFonts w:ascii="Times New Roman" w:hAnsi="Times New Roman" w:cs="Times New Roman"/>
          <w:sz w:val="26"/>
          <w:szCs w:val="26"/>
        </w:rPr>
        <w:t>“</w:t>
      </w:r>
      <w:r w:rsidR="00C218EB" w:rsidRPr="00306E7B">
        <w:rPr>
          <w:rFonts w:ascii="Times New Roman" w:hAnsi="Times New Roman" w:cs="Times New Roman"/>
          <w:sz w:val="26"/>
          <w:szCs w:val="26"/>
        </w:rPr>
        <w:t>optometry services</w:t>
      </w:r>
      <w:r w:rsidR="00981C6D">
        <w:rPr>
          <w:rFonts w:ascii="Times New Roman" w:hAnsi="Times New Roman" w:cs="Times New Roman"/>
          <w:sz w:val="26"/>
          <w:szCs w:val="26"/>
        </w:rPr>
        <w:t>”, and t</w:t>
      </w:r>
      <w:r w:rsidR="001776EB" w:rsidRPr="001776EB">
        <w:rPr>
          <w:rFonts w:ascii="Times New Roman" w:hAnsi="Times New Roman" w:cs="Times New Roman"/>
          <w:sz w:val="26"/>
          <w:szCs w:val="26"/>
        </w:rPr>
        <w:t xml:space="preserve">he definition of “Services”, is </w:t>
      </w:r>
      <w:r w:rsidR="00425B15">
        <w:rPr>
          <w:rFonts w:ascii="Times New Roman" w:hAnsi="Times New Roman" w:cs="Times New Roman"/>
          <w:sz w:val="26"/>
          <w:szCs w:val="26"/>
        </w:rPr>
        <w:t xml:space="preserve">cast in </w:t>
      </w:r>
      <w:r w:rsidR="001776EB" w:rsidRPr="001776EB">
        <w:rPr>
          <w:rFonts w:ascii="Times New Roman" w:hAnsi="Times New Roman" w:cs="Times New Roman"/>
          <w:sz w:val="26"/>
          <w:szCs w:val="26"/>
        </w:rPr>
        <w:t xml:space="preserve">wide </w:t>
      </w:r>
      <w:r w:rsidR="00425B15">
        <w:rPr>
          <w:rFonts w:ascii="Times New Roman" w:hAnsi="Times New Roman" w:cs="Times New Roman"/>
          <w:sz w:val="26"/>
          <w:szCs w:val="26"/>
        </w:rPr>
        <w:t xml:space="preserve">terms and </w:t>
      </w:r>
      <w:r w:rsidR="001776EB" w:rsidRPr="001776EB">
        <w:rPr>
          <w:rFonts w:ascii="Times New Roman" w:hAnsi="Times New Roman" w:cs="Times New Roman"/>
          <w:sz w:val="26"/>
          <w:szCs w:val="26"/>
        </w:rPr>
        <w:t>include</w:t>
      </w:r>
      <w:r w:rsidR="00425B15">
        <w:rPr>
          <w:rFonts w:ascii="Times New Roman" w:hAnsi="Times New Roman" w:cs="Times New Roman"/>
          <w:sz w:val="26"/>
          <w:szCs w:val="26"/>
        </w:rPr>
        <w:t>s</w:t>
      </w:r>
      <w:r w:rsidR="001776EB" w:rsidRPr="001776EB">
        <w:rPr>
          <w:rFonts w:ascii="Times New Roman" w:hAnsi="Times New Roman" w:cs="Times New Roman"/>
          <w:sz w:val="26"/>
          <w:szCs w:val="26"/>
        </w:rPr>
        <w:t xml:space="preserve"> the </w:t>
      </w:r>
      <w:r w:rsidR="001776EB" w:rsidRPr="001776EB">
        <w:rPr>
          <w:rFonts w:ascii="Times New Roman" w:hAnsi="Times New Roman" w:cs="Times New Roman"/>
          <w:i/>
          <w:sz w:val="26"/>
          <w:szCs w:val="26"/>
        </w:rPr>
        <w:t>“advertising services, marketing services, product access services, training services, monitoring services and development services”.</w:t>
      </w:r>
      <w:r w:rsidR="001776EB">
        <w:rPr>
          <w:rFonts w:ascii="Times New Roman" w:hAnsi="Times New Roman" w:cs="Times New Roman"/>
          <w:i/>
          <w:sz w:val="26"/>
          <w:szCs w:val="26"/>
        </w:rPr>
        <w:t xml:space="preserve"> </w:t>
      </w:r>
      <w:r w:rsidR="00425B15">
        <w:rPr>
          <w:rFonts w:ascii="Times New Roman" w:hAnsi="Times New Roman" w:cs="Times New Roman"/>
          <w:sz w:val="26"/>
          <w:szCs w:val="26"/>
        </w:rPr>
        <w:t xml:space="preserve">Given these wide definitions, </w:t>
      </w:r>
      <w:r w:rsidR="001776EB" w:rsidRPr="001776EB">
        <w:rPr>
          <w:rFonts w:ascii="Times New Roman" w:hAnsi="Times New Roman" w:cs="Times New Roman"/>
          <w:sz w:val="26"/>
          <w:szCs w:val="26"/>
        </w:rPr>
        <w:t xml:space="preserve">I am satisfied that the applicant has established a </w:t>
      </w:r>
      <w:r w:rsidR="001776EB" w:rsidRPr="001776EB">
        <w:rPr>
          <w:rFonts w:ascii="Times New Roman" w:hAnsi="Times New Roman" w:cs="Times New Roman"/>
          <w:i/>
          <w:sz w:val="26"/>
          <w:szCs w:val="26"/>
        </w:rPr>
        <w:t>prima facie</w:t>
      </w:r>
      <w:r w:rsidR="001776EB" w:rsidRPr="001776EB">
        <w:rPr>
          <w:rFonts w:ascii="Times New Roman" w:hAnsi="Times New Roman" w:cs="Times New Roman"/>
          <w:sz w:val="26"/>
          <w:szCs w:val="26"/>
        </w:rPr>
        <w:t xml:space="preserve"> right, though open to doubt, for purposes of granting the interim relief sought.  </w:t>
      </w:r>
    </w:p>
    <w:p w:rsidR="00306E7B" w:rsidRDefault="00306E7B" w:rsidP="00306E7B">
      <w:pPr>
        <w:pStyle w:val="ListParagraph"/>
        <w:spacing w:line="360" w:lineRule="auto"/>
        <w:ind w:left="142"/>
        <w:jc w:val="both"/>
      </w:pPr>
    </w:p>
    <w:p w:rsidR="0082404C" w:rsidRPr="00924BB6" w:rsidRDefault="00981C6D" w:rsidP="00924BB6">
      <w:pPr>
        <w:pStyle w:val="ListParagraph"/>
        <w:numPr>
          <w:ilvl w:val="0"/>
          <w:numId w:val="1"/>
        </w:numPr>
        <w:spacing w:line="360" w:lineRule="auto"/>
        <w:ind w:left="0" w:firstLine="142"/>
        <w:jc w:val="both"/>
        <w:rPr>
          <w:rFonts w:ascii="Times New Roman" w:hAnsi="Times New Roman" w:cs="Times New Roman"/>
          <w:sz w:val="26"/>
          <w:szCs w:val="26"/>
        </w:rPr>
      </w:pPr>
      <w:r w:rsidRPr="00BB68AA">
        <w:rPr>
          <w:rFonts w:ascii="Times New Roman" w:hAnsi="Times New Roman" w:cs="Times New Roman"/>
          <w:sz w:val="26"/>
          <w:szCs w:val="26"/>
        </w:rPr>
        <w:t xml:space="preserve">Next is the issue of the </w:t>
      </w:r>
      <w:r w:rsidR="00306E7B" w:rsidRPr="00BB68AA">
        <w:rPr>
          <w:rFonts w:ascii="Times New Roman" w:hAnsi="Times New Roman" w:cs="Times New Roman"/>
          <w:sz w:val="26"/>
          <w:szCs w:val="26"/>
        </w:rPr>
        <w:t>area of restraint</w:t>
      </w:r>
      <w:r w:rsidR="00BB68AA">
        <w:rPr>
          <w:rFonts w:ascii="Times New Roman" w:hAnsi="Times New Roman" w:cs="Times New Roman"/>
          <w:sz w:val="26"/>
          <w:szCs w:val="26"/>
        </w:rPr>
        <w:t xml:space="preserve">, in terms of which the respondents argue that, since there was </w:t>
      </w:r>
      <w:r w:rsidR="00425B15">
        <w:rPr>
          <w:rFonts w:ascii="Times New Roman" w:hAnsi="Times New Roman" w:cs="Times New Roman"/>
          <w:sz w:val="26"/>
          <w:szCs w:val="26"/>
        </w:rPr>
        <w:t xml:space="preserve">no </w:t>
      </w:r>
      <w:r w:rsidR="00BB68AA">
        <w:rPr>
          <w:rFonts w:ascii="Times New Roman" w:hAnsi="Times New Roman" w:cs="Times New Roman"/>
          <w:sz w:val="26"/>
          <w:szCs w:val="26"/>
        </w:rPr>
        <w:t xml:space="preserve">written addendum amending the </w:t>
      </w:r>
      <w:r w:rsidR="00924BB6">
        <w:rPr>
          <w:rFonts w:ascii="Times New Roman" w:hAnsi="Times New Roman" w:cs="Times New Roman"/>
          <w:sz w:val="26"/>
          <w:szCs w:val="26"/>
        </w:rPr>
        <w:t>practice</w:t>
      </w:r>
      <w:r w:rsidR="00BB68AA">
        <w:rPr>
          <w:rFonts w:ascii="Times New Roman" w:hAnsi="Times New Roman" w:cs="Times New Roman"/>
          <w:sz w:val="26"/>
          <w:szCs w:val="26"/>
        </w:rPr>
        <w:t xml:space="preserve"> address, the restraint area is 2km from the Woodstock address</w:t>
      </w:r>
      <w:r w:rsidRPr="00BB68AA">
        <w:rPr>
          <w:rFonts w:ascii="Times New Roman" w:hAnsi="Times New Roman" w:cs="Times New Roman"/>
          <w:sz w:val="26"/>
          <w:szCs w:val="26"/>
        </w:rPr>
        <w:t xml:space="preserve">. </w:t>
      </w:r>
      <w:r w:rsidR="00B20440">
        <w:rPr>
          <w:rFonts w:ascii="Times New Roman" w:hAnsi="Times New Roman" w:cs="Times New Roman"/>
          <w:sz w:val="26"/>
          <w:szCs w:val="26"/>
        </w:rPr>
        <w:t xml:space="preserve"> </w:t>
      </w:r>
      <w:r w:rsidR="00924BB6">
        <w:rPr>
          <w:rFonts w:ascii="Times New Roman" w:hAnsi="Times New Roman" w:cs="Times New Roman"/>
          <w:sz w:val="26"/>
          <w:szCs w:val="26"/>
        </w:rPr>
        <w:t xml:space="preserve">This issue, once again, resolved itself into one relating to the interpretation of the agreement.  </w:t>
      </w:r>
      <w:r w:rsidR="00197BB3" w:rsidRPr="00924BB6">
        <w:rPr>
          <w:rFonts w:ascii="Times New Roman" w:hAnsi="Times New Roman" w:cs="Times New Roman"/>
          <w:sz w:val="26"/>
          <w:szCs w:val="26"/>
        </w:rPr>
        <w:t>I</w:t>
      </w:r>
      <w:r w:rsidR="0082404C" w:rsidRPr="00924BB6">
        <w:rPr>
          <w:rFonts w:ascii="Times New Roman" w:hAnsi="Times New Roman" w:cs="Times New Roman"/>
          <w:sz w:val="26"/>
          <w:szCs w:val="26"/>
        </w:rPr>
        <w:t xml:space="preserve">n interpreting </w:t>
      </w:r>
      <w:r w:rsidR="00924BB6">
        <w:rPr>
          <w:rFonts w:ascii="Times New Roman" w:hAnsi="Times New Roman" w:cs="Times New Roman"/>
          <w:sz w:val="26"/>
          <w:szCs w:val="26"/>
        </w:rPr>
        <w:t>contractual</w:t>
      </w:r>
      <w:r w:rsidR="0082404C" w:rsidRPr="00924BB6">
        <w:rPr>
          <w:rFonts w:ascii="Times New Roman" w:hAnsi="Times New Roman" w:cs="Times New Roman"/>
          <w:sz w:val="26"/>
          <w:szCs w:val="26"/>
        </w:rPr>
        <w:t xml:space="preserve"> provisions, it is apposite to have regard to the current case law prism. In</w:t>
      </w:r>
      <w:r w:rsidR="00197BB3" w:rsidRPr="00924BB6">
        <w:rPr>
          <w:rFonts w:ascii="Times New Roman" w:hAnsi="Times New Roman" w:cs="Times New Roman"/>
          <w:sz w:val="26"/>
          <w:szCs w:val="26"/>
        </w:rPr>
        <w:t xml:space="preserve"> </w:t>
      </w:r>
      <w:r w:rsidR="00197BB3" w:rsidRPr="00924BB6">
        <w:rPr>
          <w:rFonts w:ascii="Times New Roman" w:hAnsi="Times New Roman" w:cs="Times New Roman"/>
          <w:i/>
          <w:iCs/>
          <w:sz w:val="26"/>
          <w:szCs w:val="26"/>
        </w:rPr>
        <w:t>Natal Joint Municipal Pension Fund v Endumeni Municipality</w:t>
      </w:r>
      <w:r w:rsidR="00197BB3">
        <w:rPr>
          <w:rStyle w:val="FootnoteReference"/>
          <w:rFonts w:ascii="Times New Roman" w:hAnsi="Times New Roman" w:cs="Times New Roman"/>
          <w:sz w:val="26"/>
          <w:szCs w:val="26"/>
        </w:rPr>
        <w:footnoteReference w:id="10"/>
      </w:r>
      <w:r w:rsidR="00197BB3" w:rsidRPr="00924BB6">
        <w:rPr>
          <w:rFonts w:ascii="Times New Roman" w:hAnsi="Times New Roman" w:cs="Times New Roman"/>
          <w:i/>
          <w:iCs/>
          <w:sz w:val="26"/>
          <w:szCs w:val="26"/>
        </w:rPr>
        <w:t xml:space="preserve">, </w:t>
      </w:r>
      <w:r w:rsidR="00197BB3" w:rsidRPr="00924BB6">
        <w:rPr>
          <w:rFonts w:ascii="Times New Roman" w:hAnsi="Times New Roman" w:cs="Times New Roman"/>
          <w:sz w:val="26"/>
          <w:szCs w:val="26"/>
        </w:rPr>
        <w:t>it was stated</w:t>
      </w:r>
      <w:r w:rsidR="0082404C" w:rsidRPr="00924BB6">
        <w:rPr>
          <w:rFonts w:ascii="Times New Roman" w:hAnsi="Times New Roman" w:cs="Times New Roman"/>
          <w:sz w:val="26"/>
          <w:szCs w:val="26"/>
        </w:rPr>
        <w:t xml:space="preserve"> as follows:</w:t>
      </w:r>
    </w:p>
    <w:p w:rsidR="00197BB3" w:rsidRDefault="0082404C" w:rsidP="0082404C">
      <w:pPr>
        <w:pStyle w:val="ListParagraph"/>
        <w:autoSpaceDE w:val="0"/>
        <w:autoSpaceDN w:val="0"/>
        <w:adjustRightInd w:val="0"/>
        <w:spacing w:after="0" w:line="240" w:lineRule="auto"/>
        <w:ind w:left="1440" w:right="-386"/>
        <w:jc w:val="both"/>
        <w:rPr>
          <w:rFonts w:ascii="Times New Roman" w:hAnsi="Times New Roman" w:cs="Times New Roman"/>
          <w:b/>
          <w:bCs/>
          <w:color w:val="000000" w:themeColor="text1"/>
          <w:kern w:val="0"/>
          <w:sz w:val="24"/>
          <w:szCs w:val="24"/>
          <w:lang w:val="en-GB"/>
        </w:rPr>
      </w:pPr>
      <w:r>
        <w:rPr>
          <w:rFonts w:ascii="Times New Roman" w:hAnsi="Times New Roman" w:cs="Times New Roman"/>
          <w:color w:val="000000" w:themeColor="text1"/>
          <w:sz w:val="24"/>
          <w:szCs w:val="24"/>
          <w:shd w:val="clear" w:color="auto" w:fill="FFFFFF"/>
        </w:rPr>
        <w:t>“</w:t>
      </w:r>
      <w:r w:rsidRPr="0082404C">
        <w:rPr>
          <w:rFonts w:ascii="Times New Roman" w:hAnsi="Times New Roman" w:cs="Times New Roman"/>
          <w:color w:val="000000" w:themeColor="text1"/>
          <w:sz w:val="24"/>
          <w:szCs w:val="24"/>
          <w:shd w:val="clear" w:color="auto" w:fill="FFFFFF"/>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w:t>
      </w:r>
      <w:r>
        <w:rPr>
          <w:rFonts w:ascii="Times New Roman" w:hAnsi="Times New Roman" w:cs="Times New Roman"/>
          <w:color w:val="000000" w:themeColor="text1"/>
          <w:sz w:val="24"/>
          <w:szCs w:val="24"/>
          <w:shd w:val="clear" w:color="auto" w:fill="FFFFFF"/>
        </w:rPr>
        <w:t>”</w:t>
      </w:r>
      <w:r w:rsidR="00197BB3" w:rsidRPr="0082404C">
        <w:rPr>
          <w:rFonts w:ascii="Times New Roman" w:hAnsi="Times New Roman" w:cs="Times New Roman"/>
          <w:b/>
          <w:bCs/>
          <w:color w:val="000000" w:themeColor="text1"/>
          <w:kern w:val="0"/>
          <w:sz w:val="24"/>
          <w:szCs w:val="24"/>
          <w:lang w:val="en-GB"/>
        </w:rPr>
        <w:t xml:space="preserve">  </w:t>
      </w:r>
    </w:p>
    <w:p w:rsidR="0082404C" w:rsidRDefault="0082404C" w:rsidP="0082404C">
      <w:pPr>
        <w:pStyle w:val="ListParagraph"/>
        <w:autoSpaceDE w:val="0"/>
        <w:autoSpaceDN w:val="0"/>
        <w:adjustRightInd w:val="0"/>
        <w:spacing w:after="0" w:line="240" w:lineRule="auto"/>
        <w:ind w:left="1440" w:right="-386"/>
        <w:jc w:val="both"/>
        <w:rPr>
          <w:rFonts w:ascii="Times New Roman" w:hAnsi="Times New Roman" w:cs="Times New Roman"/>
          <w:b/>
          <w:bCs/>
          <w:color w:val="000000" w:themeColor="text1"/>
          <w:kern w:val="0"/>
          <w:sz w:val="24"/>
          <w:szCs w:val="24"/>
          <w:lang w:val="en-GB"/>
        </w:rPr>
      </w:pPr>
    </w:p>
    <w:p w:rsidR="0082404C" w:rsidRDefault="0082404C" w:rsidP="0082404C">
      <w:pPr>
        <w:pStyle w:val="ListParagraph"/>
        <w:autoSpaceDE w:val="0"/>
        <w:autoSpaceDN w:val="0"/>
        <w:adjustRightInd w:val="0"/>
        <w:spacing w:after="0" w:line="240" w:lineRule="auto"/>
        <w:ind w:left="1440" w:right="-386"/>
        <w:jc w:val="both"/>
        <w:rPr>
          <w:rFonts w:ascii="Times New Roman" w:hAnsi="Times New Roman" w:cs="Times New Roman"/>
          <w:b/>
          <w:bCs/>
          <w:color w:val="000000" w:themeColor="text1"/>
          <w:kern w:val="0"/>
          <w:sz w:val="24"/>
          <w:szCs w:val="24"/>
          <w:lang w:val="en-GB"/>
        </w:rPr>
      </w:pPr>
    </w:p>
    <w:p w:rsidR="00C471DD" w:rsidRPr="009B1C2B" w:rsidRDefault="0082404C" w:rsidP="00C471DD">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sz w:val="26"/>
          <w:szCs w:val="26"/>
          <w:shd w:val="clear" w:color="auto" w:fill="FFFFFF"/>
        </w:rPr>
      </w:pPr>
      <w:r w:rsidRPr="009B1C2B">
        <w:rPr>
          <w:rFonts w:ascii="Times New Roman" w:hAnsi="Times New Roman" w:cs="Times New Roman"/>
          <w:sz w:val="26"/>
          <w:szCs w:val="26"/>
          <w:shd w:val="clear" w:color="auto" w:fill="FFFFFF"/>
        </w:rPr>
        <w:t xml:space="preserve">The SCA </w:t>
      </w:r>
      <w:r w:rsidR="00C471DD" w:rsidRPr="009B1C2B">
        <w:rPr>
          <w:rFonts w:ascii="Times New Roman" w:hAnsi="Times New Roman" w:cs="Times New Roman"/>
          <w:sz w:val="26"/>
          <w:szCs w:val="26"/>
          <w:shd w:val="clear" w:color="auto" w:fill="FFFFFF"/>
        </w:rPr>
        <w:t xml:space="preserve">in </w:t>
      </w:r>
      <w:r w:rsidR="00C471DD" w:rsidRPr="009B1C2B">
        <w:rPr>
          <w:rFonts w:ascii="Times New Roman" w:hAnsi="Times New Roman" w:cs="Times New Roman"/>
          <w:i/>
          <w:iCs/>
          <w:sz w:val="26"/>
          <w:szCs w:val="26"/>
          <w:shd w:val="clear" w:color="auto" w:fill="FFFFFF"/>
        </w:rPr>
        <w:t>Endumeni</w:t>
      </w:r>
      <w:r w:rsidR="00C471DD" w:rsidRPr="009B1C2B">
        <w:rPr>
          <w:rFonts w:ascii="Times New Roman" w:hAnsi="Times New Roman" w:cs="Times New Roman"/>
          <w:sz w:val="26"/>
          <w:szCs w:val="26"/>
          <w:shd w:val="clear" w:color="auto" w:fill="FFFFFF"/>
        </w:rPr>
        <w:t xml:space="preserve"> </w:t>
      </w:r>
      <w:r w:rsidRPr="009B1C2B">
        <w:rPr>
          <w:rFonts w:ascii="Times New Roman" w:hAnsi="Times New Roman" w:cs="Times New Roman"/>
          <w:sz w:val="26"/>
          <w:szCs w:val="26"/>
          <w:shd w:val="clear" w:color="auto" w:fill="FFFFFF"/>
        </w:rPr>
        <w:t>further clarified that, from the outset one considers the context and the language together, with neither predominating over the other.</w:t>
      </w:r>
      <w:r w:rsidRPr="009B1C2B">
        <w:rPr>
          <w:rStyle w:val="FootnoteReference"/>
          <w:rFonts w:ascii="Times New Roman" w:hAnsi="Times New Roman" w:cs="Times New Roman"/>
          <w:sz w:val="26"/>
          <w:szCs w:val="26"/>
          <w:shd w:val="clear" w:color="auto" w:fill="FFFFFF"/>
        </w:rPr>
        <w:footnoteReference w:id="11"/>
      </w:r>
      <w:r w:rsidR="00C471DD" w:rsidRPr="009B1C2B">
        <w:rPr>
          <w:rFonts w:ascii="Times New Roman" w:hAnsi="Times New Roman" w:cs="Times New Roman"/>
          <w:sz w:val="26"/>
          <w:szCs w:val="26"/>
          <w:shd w:val="clear" w:color="auto" w:fill="FFFFFF"/>
        </w:rPr>
        <w:t xml:space="preserve"> This was expanded in </w:t>
      </w:r>
      <w:r w:rsidR="00C471DD" w:rsidRPr="009B1C2B">
        <w:rPr>
          <w:rFonts w:ascii="Times New Roman" w:hAnsi="Times New Roman" w:cs="Times New Roman"/>
          <w:i/>
          <w:iCs/>
          <w:sz w:val="26"/>
          <w:szCs w:val="26"/>
        </w:rPr>
        <w:t>Capitec Bank Holdings Limited v Coral Lagoon Investments 194 (Pty) Ltd</w:t>
      </w:r>
      <w:r w:rsidR="00C471DD" w:rsidRPr="009B1C2B">
        <w:rPr>
          <w:rStyle w:val="FootnoteReference"/>
          <w:rFonts w:ascii="Times New Roman" w:hAnsi="Times New Roman" w:cs="Times New Roman"/>
          <w:i/>
          <w:iCs/>
          <w:sz w:val="26"/>
          <w:szCs w:val="26"/>
        </w:rPr>
        <w:footnoteReference w:id="12"/>
      </w:r>
      <w:r w:rsidR="00C471DD" w:rsidRPr="009B1C2B">
        <w:rPr>
          <w:rFonts w:ascii="Times New Roman" w:hAnsi="Times New Roman" w:cs="Times New Roman"/>
          <w:i/>
          <w:iCs/>
          <w:sz w:val="26"/>
          <w:szCs w:val="26"/>
        </w:rPr>
        <w:t xml:space="preserve"> </w:t>
      </w:r>
      <w:r w:rsidR="00C471DD" w:rsidRPr="009B1C2B">
        <w:rPr>
          <w:rFonts w:ascii="Times New Roman" w:hAnsi="Times New Roman" w:cs="Times New Roman"/>
          <w:sz w:val="26"/>
          <w:szCs w:val="26"/>
        </w:rPr>
        <w:t>as follows:</w:t>
      </w:r>
      <w:r w:rsidR="00C471DD" w:rsidRPr="009B1C2B">
        <w:rPr>
          <w:rFonts w:ascii="Times New Roman" w:hAnsi="Times New Roman" w:cs="Times New Roman"/>
          <w:sz w:val="26"/>
          <w:szCs w:val="26"/>
          <w:shd w:val="clear" w:color="auto" w:fill="FFFFFF"/>
        </w:rPr>
        <w:t xml:space="preserve"> </w:t>
      </w:r>
      <w:r w:rsidR="00C471DD" w:rsidRPr="009B1C2B">
        <w:rPr>
          <w:rFonts w:ascii="Times New Roman" w:hAnsi="Times New Roman" w:cs="Times New Roman"/>
          <w:i/>
          <w:iCs/>
          <w:sz w:val="26"/>
          <w:szCs w:val="26"/>
          <w:shd w:val="clear" w:color="auto" w:fill="FFFFFF"/>
        </w:rPr>
        <w:t>“It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 As Endumeni emphasised, citing well-known cases, ‘[t]he inevitable point of departure is the language of the provision itself’.”</w:t>
      </w:r>
    </w:p>
    <w:p w:rsidR="00C471DD" w:rsidRPr="00C471DD" w:rsidRDefault="00C471DD" w:rsidP="00C471DD">
      <w:pPr>
        <w:pStyle w:val="ListParagraph"/>
        <w:autoSpaceDE w:val="0"/>
        <w:autoSpaceDN w:val="0"/>
        <w:adjustRightInd w:val="0"/>
        <w:spacing w:after="0" w:line="360" w:lineRule="auto"/>
        <w:ind w:left="142" w:right="-386"/>
        <w:jc w:val="both"/>
        <w:rPr>
          <w:rFonts w:ascii="Times New Roman" w:hAnsi="Times New Roman" w:cs="Times New Roman"/>
          <w:color w:val="242121"/>
          <w:sz w:val="26"/>
          <w:szCs w:val="26"/>
          <w:shd w:val="clear" w:color="auto" w:fill="FFFFFF"/>
        </w:rPr>
      </w:pPr>
    </w:p>
    <w:p w:rsidR="009C21A9" w:rsidRPr="00924BB6" w:rsidRDefault="00C471DD" w:rsidP="00924BB6">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242121"/>
          <w:sz w:val="26"/>
          <w:szCs w:val="26"/>
          <w:shd w:val="clear" w:color="auto" w:fill="FFFFFF"/>
        </w:rPr>
      </w:pPr>
      <w:r>
        <w:rPr>
          <w:rFonts w:ascii="Times New Roman" w:hAnsi="Times New Roman" w:cs="Times New Roman"/>
          <w:sz w:val="26"/>
          <w:szCs w:val="26"/>
        </w:rPr>
        <w:t xml:space="preserve">The SCA in </w:t>
      </w:r>
      <w:r w:rsidRPr="00924BB6">
        <w:rPr>
          <w:rFonts w:ascii="Times New Roman" w:hAnsi="Times New Roman" w:cs="Times New Roman"/>
          <w:i/>
          <w:iCs/>
          <w:sz w:val="26"/>
          <w:szCs w:val="26"/>
        </w:rPr>
        <w:t>Coral Lagoon</w:t>
      </w:r>
      <w:r w:rsidR="00924BB6">
        <w:rPr>
          <w:rStyle w:val="FootnoteReference"/>
          <w:rFonts w:ascii="Times New Roman" w:hAnsi="Times New Roman" w:cs="Times New Roman"/>
          <w:i/>
          <w:iCs/>
          <w:sz w:val="26"/>
          <w:szCs w:val="26"/>
        </w:rPr>
        <w:footnoteReference w:id="13"/>
      </w:r>
      <w:r>
        <w:rPr>
          <w:rFonts w:ascii="Times New Roman" w:hAnsi="Times New Roman" w:cs="Times New Roman"/>
          <w:sz w:val="26"/>
          <w:szCs w:val="26"/>
        </w:rPr>
        <w:t xml:space="preserve"> further </w:t>
      </w:r>
      <w:r w:rsidRPr="00C471DD">
        <w:rPr>
          <w:rFonts w:ascii="Times New Roman" w:hAnsi="Times New Roman" w:cs="Times New Roman"/>
          <w:sz w:val="26"/>
          <w:szCs w:val="26"/>
        </w:rPr>
        <w:t>cautioned that</w:t>
      </w:r>
      <w:r>
        <w:rPr>
          <w:rFonts w:ascii="Times New Roman" w:hAnsi="Times New Roman" w:cs="Times New Roman"/>
          <w:i/>
          <w:iCs/>
          <w:sz w:val="26"/>
          <w:szCs w:val="26"/>
        </w:rPr>
        <w:t xml:space="preserve"> </w:t>
      </w:r>
      <w:r w:rsidRPr="00C471DD">
        <w:rPr>
          <w:rFonts w:ascii="Times New Roman" w:hAnsi="Times New Roman" w:cs="Times New Roman"/>
          <w:i/>
          <w:iCs/>
          <w:color w:val="000000" w:themeColor="text1"/>
          <w:sz w:val="26"/>
          <w:szCs w:val="26"/>
        </w:rPr>
        <w:t>“</w:t>
      </w:r>
      <w:r w:rsidRPr="00924BB6">
        <w:rPr>
          <w:rFonts w:ascii="Times New Roman" w:hAnsi="Times New Roman" w:cs="Times New Roman"/>
          <w:i/>
          <w:iCs/>
          <w:color w:val="000000" w:themeColor="text1"/>
          <w:sz w:val="26"/>
          <w:szCs w:val="26"/>
          <w:shd w:val="clear" w:color="auto" w:fill="FFFFFF"/>
        </w:rPr>
        <w:t>Endumeni is not a charter for judicial constructs premised upon what a contract should be taken to mean from a vantage point that is not located in the text of what the parties in fact agreed. Nor does Endumeni licence judicial interpretation that imports meanings into a contract so as to make it a better contract, or one that is ethically preferable”</w:t>
      </w:r>
      <w:r w:rsidR="00924BB6">
        <w:rPr>
          <w:rFonts w:ascii="Times New Roman" w:hAnsi="Times New Roman" w:cs="Times New Roman"/>
          <w:color w:val="000000" w:themeColor="text1"/>
          <w:sz w:val="26"/>
          <w:szCs w:val="26"/>
          <w:shd w:val="clear" w:color="auto" w:fill="FFFFFF"/>
        </w:rPr>
        <w:t>.</w:t>
      </w:r>
    </w:p>
    <w:p w:rsidR="00924BB6" w:rsidRPr="00924BB6" w:rsidRDefault="00924BB6" w:rsidP="00924BB6">
      <w:pPr>
        <w:pStyle w:val="ListParagraph"/>
        <w:rPr>
          <w:rFonts w:ascii="Times New Roman" w:hAnsi="Times New Roman" w:cs="Times New Roman"/>
          <w:color w:val="242121"/>
          <w:sz w:val="26"/>
          <w:szCs w:val="26"/>
          <w:shd w:val="clear" w:color="auto" w:fill="FFFFFF"/>
        </w:rPr>
      </w:pPr>
    </w:p>
    <w:p w:rsidR="00924BB6" w:rsidRPr="00425B15" w:rsidRDefault="00924BB6" w:rsidP="00924BB6">
      <w:pPr>
        <w:pStyle w:val="ListParagraph"/>
        <w:numPr>
          <w:ilvl w:val="0"/>
          <w:numId w:val="1"/>
        </w:numPr>
        <w:spacing w:line="360" w:lineRule="auto"/>
        <w:ind w:left="0" w:firstLine="142"/>
        <w:jc w:val="both"/>
        <w:rPr>
          <w:rFonts w:ascii="Times New Roman" w:hAnsi="Times New Roman" w:cs="Times New Roman"/>
          <w:sz w:val="26"/>
          <w:szCs w:val="26"/>
        </w:rPr>
      </w:pPr>
      <w:r w:rsidRPr="00924BB6">
        <w:rPr>
          <w:rFonts w:ascii="Times New Roman" w:hAnsi="Times New Roman" w:cs="Times New Roman"/>
          <w:sz w:val="26"/>
          <w:szCs w:val="26"/>
        </w:rPr>
        <w:t xml:space="preserve">Turning to the contractual provisions, clause 28.1.1 proscribes the restrained obligations from </w:t>
      </w:r>
      <w:r w:rsidRPr="00924BB6">
        <w:rPr>
          <w:rFonts w:ascii="Times New Roman" w:hAnsi="Times New Roman" w:cs="Times New Roman"/>
          <w:i/>
          <w:iCs/>
          <w:sz w:val="26"/>
          <w:szCs w:val="26"/>
        </w:rPr>
        <w:t>“within a radius of 2 km of the Neovision Optometry Practice”</w:t>
      </w:r>
      <w:r w:rsidRPr="00924BB6">
        <w:rPr>
          <w:rFonts w:ascii="Times New Roman" w:hAnsi="Times New Roman" w:cs="Times New Roman"/>
          <w:sz w:val="26"/>
          <w:szCs w:val="26"/>
        </w:rPr>
        <w:t xml:space="preserve">. </w:t>
      </w:r>
      <w:r>
        <w:rPr>
          <w:rFonts w:ascii="Times New Roman" w:hAnsi="Times New Roman" w:cs="Times New Roman"/>
          <w:sz w:val="26"/>
          <w:szCs w:val="26"/>
        </w:rPr>
        <w:t>In turn, a</w:t>
      </w:r>
      <w:r w:rsidRPr="00924BB6">
        <w:rPr>
          <w:rFonts w:ascii="Times New Roman" w:hAnsi="Times New Roman" w:cs="Times New Roman"/>
          <w:i/>
          <w:iCs/>
          <w:sz w:val="26"/>
          <w:szCs w:val="26"/>
        </w:rPr>
        <w:t xml:space="preserve"> “Neovision Optometrist Practice” </w:t>
      </w:r>
      <w:r w:rsidRPr="00924BB6">
        <w:rPr>
          <w:rFonts w:ascii="Times New Roman" w:hAnsi="Times New Roman" w:cs="Times New Roman"/>
          <w:sz w:val="26"/>
          <w:szCs w:val="26"/>
        </w:rPr>
        <w:t>is defined at clause 2.1.35</w:t>
      </w:r>
      <w:r w:rsidRPr="00924BB6">
        <w:rPr>
          <w:rFonts w:ascii="Times New Roman" w:hAnsi="Times New Roman" w:cs="Times New Roman"/>
          <w:i/>
          <w:iCs/>
          <w:sz w:val="26"/>
          <w:szCs w:val="26"/>
        </w:rPr>
        <w:t xml:space="preserve"> </w:t>
      </w:r>
      <w:r w:rsidRPr="00924BB6">
        <w:rPr>
          <w:rFonts w:ascii="Times New Roman" w:hAnsi="Times New Roman" w:cs="Times New Roman"/>
          <w:sz w:val="26"/>
          <w:szCs w:val="26"/>
        </w:rPr>
        <w:t>as</w:t>
      </w:r>
      <w:r w:rsidRPr="00924BB6">
        <w:rPr>
          <w:rFonts w:ascii="Times New Roman" w:hAnsi="Times New Roman" w:cs="Times New Roman"/>
          <w:i/>
          <w:iCs/>
          <w:sz w:val="26"/>
          <w:szCs w:val="26"/>
        </w:rPr>
        <w:t xml:space="preserve"> “the Neovision optometrist practice and the optometry business to be carried on by the Franchisee as a Neovision franchisee at the </w:t>
      </w:r>
      <w:r w:rsidRPr="00924BB6">
        <w:rPr>
          <w:rFonts w:ascii="Times New Roman" w:hAnsi="Times New Roman" w:cs="Times New Roman"/>
          <w:i/>
          <w:iCs/>
          <w:sz w:val="26"/>
          <w:szCs w:val="26"/>
          <w:u w:val="single"/>
        </w:rPr>
        <w:t>Location</w:t>
      </w:r>
      <w:r w:rsidRPr="00924BB6">
        <w:rPr>
          <w:rFonts w:ascii="Times New Roman" w:hAnsi="Times New Roman" w:cs="Times New Roman"/>
          <w:i/>
          <w:iCs/>
          <w:sz w:val="26"/>
          <w:szCs w:val="26"/>
        </w:rPr>
        <w:t xml:space="preserve"> utilisting the Neovision IR rights, the Neovision System and the Neovision Trade Marks”</w:t>
      </w:r>
      <w:r w:rsidRPr="00924BB6">
        <w:rPr>
          <w:rFonts w:ascii="Times New Roman" w:hAnsi="Times New Roman" w:cs="Times New Roman"/>
          <w:sz w:val="26"/>
          <w:szCs w:val="26"/>
        </w:rPr>
        <w:t xml:space="preserve">. (my emphasis) </w:t>
      </w:r>
    </w:p>
    <w:p w:rsidR="00425B15" w:rsidRDefault="00425B15" w:rsidP="00425B15">
      <w:pPr>
        <w:pStyle w:val="ListParagraph"/>
        <w:spacing w:line="360" w:lineRule="auto"/>
        <w:ind w:left="142"/>
        <w:jc w:val="both"/>
        <w:rPr>
          <w:rFonts w:ascii="Times New Roman" w:hAnsi="Times New Roman" w:cs="Times New Roman"/>
          <w:sz w:val="26"/>
          <w:szCs w:val="26"/>
        </w:rPr>
      </w:pPr>
    </w:p>
    <w:p w:rsidR="00924BB6" w:rsidRPr="009C21A9" w:rsidRDefault="00924BB6" w:rsidP="00924BB6">
      <w:pPr>
        <w:pStyle w:val="ListParagraph"/>
        <w:numPr>
          <w:ilvl w:val="0"/>
          <w:numId w:val="1"/>
        </w:numPr>
        <w:spacing w:line="360" w:lineRule="auto"/>
        <w:ind w:left="0" w:firstLine="142"/>
        <w:jc w:val="both"/>
        <w:rPr>
          <w:rFonts w:ascii="Times New Roman" w:hAnsi="Times New Roman" w:cs="Times New Roman"/>
          <w:sz w:val="26"/>
          <w:szCs w:val="26"/>
        </w:rPr>
      </w:pPr>
      <w:r w:rsidRPr="009C21A9">
        <w:rPr>
          <w:rFonts w:ascii="Times New Roman" w:hAnsi="Times New Roman" w:cs="Times New Roman"/>
          <w:sz w:val="26"/>
          <w:szCs w:val="26"/>
        </w:rPr>
        <w:t xml:space="preserve">A </w:t>
      </w:r>
      <w:r w:rsidRPr="00924BB6">
        <w:rPr>
          <w:rFonts w:ascii="Times New Roman" w:hAnsi="Times New Roman" w:cs="Times New Roman"/>
          <w:i/>
          <w:iCs/>
          <w:sz w:val="26"/>
          <w:szCs w:val="26"/>
        </w:rPr>
        <w:t>“Location”</w:t>
      </w:r>
      <w:r w:rsidRPr="009C21A9">
        <w:rPr>
          <w:rFonts w:ascii="Times New Roman" w:hAnsi="Times New Roman" w:cs="Times New Roman"/>
          <w:sz w:val="26"/>
          <w:szCs w:val="26"/>
        </w:rPr>
        <w:t xml:space="preserve"> is described in clause 2.1.30 as </w:t>
      </w:r>
      <w:r w:rsidRPr="009C21A9">
        <w:rPr>
          <w:rFonts w:ascii="Times New Roman" w:hAnsi="Times New Roman" w:cs="Times New Roman"/>
          <w:i/>
          <w:iCs/>
          <w:sz w:val="26"/>
          <w:szCs w:val="26"/>
        </w:rPr>
        <w:t xml:space="preserve">“the premises from which the Neovision Optometrist Practice will be conducted </w:t>
      </w:r>
      <w:r w:rsidRPr="009C21A9">
        <w:rPr>
          <w:rFonts w:ascii="Times New Roman" w:hAnsi="Times New Roman" w:cs="Times New Roman"/>
          <w:i/>
          <w:iCs/>
          <w:sz w:val="26"/>
          <w:szCs w:val="26"/>
          <w:u w:val="single"/>
        </w:rPr>
        <w:t>in the Exclusive Area as specified in Annexure B</w:t>
      </w:r>
      <w:r w:rsidRPr="009C21A9">
        <w:rPr>
          <w:rFonts w:ascii="Times New Roman" w:hAnsi="Times New Roman" w:cs="Times New Roman"/>
          <w:i/>
          <w:iCs/>
          <w:sz w:val="26"/>
          <w:szCs w:val="26"/>
        </w:rPr>
        <w:t xml:space="preserve"> pursuant to this provision of this Franchise Agreement.”</w:t>
      </w:r>
      <w:r w:rsidRPr="009C21A9">
        <w:rPr>
          <w:rFonts w:ascii="Times New Roman" w:hAnsi="Times New Roman" w:cs="Times New Roman"/>
          <w:sz w:val="26"/>
          <w:szCs w:val="26"/>
        </w:rPr>
        <w:t xml:space="preserve">(my emphasis) Annexure B is a page containing the full particulars of the franchisee, which include its registered office and business office addresses, as well as the street and postal addresses. All of the addresses contained in Annexure B are the Woodstock address. </w:t>
      </w:r>
    </w:p>
    <w:p w:rsidR="00924BB6" w:rsidRDefault="00924BB6" w:rsidP="00924BB6">
      <w:pPr>
        <w:pStyle w:val="ListParagraph"/>
        <w:spacing w:line="360" w:lineRule="auto"/>
        <w:ind w:left="142"/>
        <w:jc w:val="both"/>
        <w:rPr>
          <w:rFonts w:ascii="Times New Roman" w:hAnsi="Times New Roman" w:cs="Times New Roman"/>
          <w:sz w:val="26"/>
          <w:szCs w:val="26"/>
        </w:rPr>
      </w:pPr>
    </w:p>
    <w:p w:rsidR="00924BB6" w:rsidRPr="00924BB6" w:rsidRDefault="00924BB6" w:rsidP="00924BB6">
      <w:pPr>
        <w:pStyle w:val="ListParagraph"/>
        <w:numPr>
          <w:ilvl w:val="0"/>
          <w:numId w:val="1"/>
        </w:numPr>
        <w:spacing w:line="360" w:lineRule="auto"/>
        <w:ind w:left="0" w:firstLine="142"/>
        <w:jc w:val="both"/>
        <w:rPr>
          <w:rFonts w:ascii="Times New Roman" w:hAnsi="Times New Roman" w:cs="Times New Roman"/>
          <w:sz w:val="26"/>
          <w:szCs w:val="26"/>
        </w:rPr>
      </w:pPr>
      <w:r>
        <w:rPr>
          <w:rFonts w:ascii="Times New Roman" w:hAnsi="Times New Roman" w:cs="Times New Roman"/>
          <w:sz w:val="26"/>
          <w:szCs w:val="26"/>
        </w:rPr>
        <w:t>An</w:t>
      </w:r>
      <w:r w:rsidRPr="004E4B43">
        <w:rPr>
          <w:rFonts w:ascii="Times New Roman" w:hAnsi="Times New Roman" w:cs="Times New Roman"/>
          <w:sz w:val="26"/>
          <w:szCs w:val="26"/>
        </w:rPr>
        <w:t xml:space="preserve"> “Exclusive Area” is described in clause 2.1.18 as </w:t>
      </w:r>
      <w:r w:rsidRPr="004E4B43">
        <w:rPr>
          <w:rFonts w:ascii="Times New Roman" w:hAnsi="Times New Roman" w:cs="Times New Roman"/>
          <w:i/>
          <w:iCs/>
          <w:sz w:val="26"/>
          <w:szCs w:val="26"/>
        </w:rPr>
        <w:t xml:space="preserve">“the exclusive business area within which the Location is situated and within which the Franchisor will not grant any person the right to establish another Neovision Optometry Practice, </w:t>
      </w:r>
      <w:r w:rsidRPr="004E4B43">
        <w:rPr>
          <w:rFonts w:ascii="Times New Roman" w:hAnsi="Times New Roman" w:cs="Times New Roman"/>
          <w:i/>
          <w:iCs/>
          <w:sz w:val="26"/>
          <w:szCs w:val="26"/>
          <w:u w:val="single"/>
        </w:rPr>
        <w:t>as indicated on the attached map as depicted on Annexure F</w:t>
      </w:r>
      <w:r w:rsidRPr="004E4B43">
        <w:rPr>
          <w:rFonts w:ascii="Times New Roman" w:hAnsi="Times New Roman" w:cs="Times New Roman"/>
          <w:i/>
          <w:iCs/>
          <w:sz w:val="26"/>
          <w:szCs w:val="26"/>
        </w:rPr>
        <w:t>.”</w:t>
      </w:r>
      <w:r>
        <w:rPr>
          <w:rFonts w:ascii="Times New Roman" w:hAnsi="Times New Roman" w:cs="Times New Roman"/>
          <w:i/>
          <w:iCs/>
          <w:sz w:val="26"/>
          <w:szCs w:val="26"/>
        </w:rPr>
        <w:t xml:space="preserve"> </w:t>
      </w:r>
      <w:r w:rsidRPr="004E4B43">
        <w:rPr>
          <w:rFonts w:ascii="Times New Roman" w:hAnsi="Times New Roman" w:cs="Times New Roman"/>
          <w:sz w:val="26"/>
          <w:szCs w:val="26"/>
        </w:rPr>
        <w:t>(my emphasis)</w:t>
      </w:r>
      <w:r>
        <w:rPr>
          <w:rFonts w:ascii="Times New Roman" w:hAnsi="Times New Roman" w:cs="Times New Roman"/>
          <w:sz w:val="26"/>
          <w:szCs w:val="26"/>
        </w:rPr>
        <w:t xml:space="preserve"> Annexure</w:t>
      </w:r>
      <w:r w:rsidRPr="00D002BF">
        <w:rPr>
          <w:rFonts w:ascii="Times New Roman" w:hAnsi="Times New Roman" w:cs="Times New Roman"/>
          <w:sz w:val="26"/>
          <w:szCs w:val="26"/>
        </w:rPr>
        <w:t xml:space="preserve"> F demarcates parts of Woodstock </w:t>
      </w:r>
      <w:r>
        <w:rPr>
          <w:rFonts w:ascii="Times New Roman" w:hAnsi="Times New Roman" w:cs="Times New Roman"/>
          <w:sz w:val="26"/>
          <w:szCs w:val="26"/>
        </w:rPr>
        <w:t>U</w:t>
      </w:r>
      <w:r w:rsidRPr="00D002BF">
        <w:rPr>
          <w:rFonts w:ascii="Times New Roman" w:hAnsi="Times New Roman" w:cs="Times New Roman"/>
          <w:sz w:val="26"/>
          <w:szCs w:val="26"/>
        </w:rPr>
        <w:t xml:space="preserve">niversity </w:t>
      </w:r>
      <w:r>
        <w:rPr>
          <w:rFonts w:ascii="Times New Roman" w:hAnsi="Times New Roman" w:cs="Times New Roman"/>
          <w:sz w:val="26"/>
          <w:szCs w:val="26"/>
        </w:rPr>
        <w:t>E</w:t>
      </w:r>
      <w:r w:rsidRPr="00D002BF">
        <w:rPr>
          <w:rFonts w:ascii="Times New Roman" w:hAnsi="Times New Roman" w:cs="Times New Roman"/>
          <w:sz w:val="26"/>
          <w:szCs w:val="26"/>
        </w:rPr>
        <w:t>state</w:t>
      </w:r>
      <w:r>
        <w:rPr>
          <w:rFonts w:ascii="Times New Roman" w:hAnsi="Times New Roman" w:cs="Times New Roman"/>
          <w:sz w:val="26"/>
          <w:szCs w:val="26"/>
        </w:rPr>
        <w:t>,</w:t>
      </w:r>
      <w:r w:rsidRPr="00D002BF">
        <w:rPr>
          <w:rFonts w:ascii="Times New Roman" w:hAnsi="Times New Roman" w:cs="Times New Roman"/>
          <w:sz w:val="26"/>
          <w:szCs w:val="26"/>
        </w:rPr>
        <w:t xml:space="preserve"> Salt River and </w:t>
      </w:r>
      <w:r>
        <w:rPr>
          <w:rFonts w:ascii="Times New Roman" w:hAnsi="Times New Roman" w:cs="Times New Roman"/>
          <w:sz w:val="26"/>
          <w:szCs w:val="26"/>
        </w:rPr>
        <w:t>O</w:t>
      </w:r>
      <w:r w:rsidRPr="00D002BF">
        <w:rPr>
          <w:rFonts w:ascii="Times New Roman" w:hAnsi="Times New Roman" w:cs="Times New Roman"/>
          <w:sz w:val="26"/>
          <w:szCs w:val="26"/>
        </w:rPr>
        <w:t xml:space="preserve">bservatory as the </w:t>
      </w:r>
      <w:r>
        <w:rPr>
          <w:rFonts w:ascii="Times New Roman" w:hAnsi="Times New Roman" w:cs="Times New Roman"/>
          <w:sz w:val="26"/>
          <w:szCs w:val="26"/>
        </w:rPr>
        <w:t>E</w:t>
      </w:r>
      <w:r w:rsidRPr="00D002BF">
        <w:rPr>
          <w:rFonts w:ascii="Times New Roman" w:hAnsi="Times New Roman" w:cs="Times New Roman"/>
          <w:sz w:val="26"/>
          <w:szCs w:val="26"/>
        </w:rPr>
        <w:t xml:space="preserve">xclusive </w:t>
      </w:r>
      <w:r>
        <w:rPr>
          <w:rFonts w:ascii="Times New Roman" w:hAnsi="Times New Roman" w:cs="Times New Roman"/>
          <w:sz w:val="26"/>
          <w:szCs w:val="26"/>
        </w:rPr>
        <w:t>A</w:t>
      </w:r>
      <w:r w:rsidRPr="00D002BF">
        <w:rPr>
          <w:rFonts w:ascii="Times New Roman" w:hAnsi="Times New Roman" w:cs="Times New Roman"/>
          <w:sz w:val="26"/>
          <w:szCs w:val="26"/>
        </w:rPr>
        <w:t>rea</w:t>
      </w:r>
      <w:r>
        <w:rPr>
          <w:rFonts w:ascii="Times New Roman" w:hAnsi="Times New Roman" w:cs="Times New Roman"/>
          <w:sz w:val="26"/>
          <w:szCs w:val="26"/>
        </w:rPr>
        <w:t>.</w:t>
      </w:r>
    </w:p>
    <w:p w:rsidR="00924BB6" w:rsidRDefault="00924BB6" w:rsidP="00924BB6">
      <w:pPr>
        <w:pStyle w:val="ListParagraph"/>
        <w:spacing w:line="360" w:lineRule="auto"/>
        <w:ind w:left="142"/>
        <w:jc w:val="both"/>
        <w:rPr>
          <w:rFonts w:ascii="Times New Roman" w:hAnsi="Times New Roman" w:cs="Times New Roman"/>
          <w:sz w:val="26"/>
          <w:szCs w:val="26"/>
        </w:rPr>
      </w:pPr>
    </w:p>
    <w:p w:rsidR="00924BB6" w:rsidRDefault="00924BB6" w:rsidP="00924BB6">
      <w:pPr>
        <w:pStyle w:val="ListParagraph"/>
        <w:numPr>
          <w:ilvl w:val="0"/>
          <w:numId w:val="1"/>
        </w:numPr>
        <w:spacing w:line="360" w:lineRule="auto"/>
        <w:ind w:left="0" w:firstLine="142"/>
        <w:jc w:val="both"/>
        <w:rPr>
          <w:rFonts w:ascii="Times New Roman" w:hAnsi="Times New Roman" w:cs="Times New Roman"/>
          <w:sz w:val="26"/>
          <w:szCs w:val="26"/>
        </w:rPr>
      </w:pPr>
      <w:r w:rsidRPr="009C21A9">
        <w:rPr>
          <w:rFonts w:ascii="Times New Roman" w:hAnsi="Times New Roman" w:cs="Times New Roman"/>
          <w:sz w:val="26"/>
          <w:szCs w:val="26"/>
        </w:rPr>
        <w:t xml:space="preserve">Although these definitions are circuitous </w:t>
      </w:r>
      <w:r w:rsidR="00425B15">
        <w:rPr>
          <w:rFonts w:ascii="Times New Roman" w:hAnsi="Times New Roman" w:cs="Times New Roman"/>
          <w:sz w:val="26"/>
          <w:szCs w:val="26"/>
        </w:rPr>
        <w:t xml:space="preserve">and not elegantly drafted, </w:t>
      </w:r>
      <w:r w:rsidRPr="009C21A9">
        <w:rPr>
          <w:rFonts w:ascii="Times New Roman" w:hAnsi="Times New Roman" w:cs="Times New Roman"/>
          <w:sz w:val="26"/>
          <w:szCs w:val="26"/>
        </w:rPr>
        <w:t>what is clear is that the</w:t>
      </w:r>
      <w:r w:rsidR="00D721B1">
        <w:rPr>
          <w:rFonts w:ascii="Times New Roman" w:hAnsi="Times New Roman" w:cs="Times New Roman"/>
          <w:sz w:val="26"/>
          <w:szCs w:val="26"/>
        </w:rPr>
        <w:t>ir context is</w:t>
      </w:r>
      <w:r w:rsidRPr="009C21A9">
        <w:rPr>
          <w:rFonts w:ascii="Times New Roman" w:hAnsi="Times New Roman" w:cs="Times New Roman"/>
          <w:sz w:val="26"/>
          <w:szCs w:val="26"/>
        </w:rPr>
        <w:t xml:space="preserve"> to delineate the area(s) in which the franchisee is permitted to operate its business. And that is done by reference to </w:t>
      </w:r>
      <w:r>
        <w:rPr>
          <w:rFonts w:ascii="Times New Roman" w:hAnsi="Times New Roman" w:cs="Times New Roman"/>
          <w:sz w:val="26"/>
          <w:szCs w:val="26"/>
        </w:rPr>
        <w:t>the map in A</w:t>
      </w:r>
      <w:r w:rsidRPr="009C21A9">
        <w:rPr>
          <w:rFonts w:ascii="Times New Roman" w:hAnsi="Times New Roman" w:cs="Times New Roman"/>
          <w:sz w:val="26"/>
          <w:szCs w:val="26"/>
        </w:rPr>
        <w:t>nnex</w:t>
      </w:r>
      <w:r>
        <w:rPr>
          <w:rFonts w:ascii="Times New Roman" w:hAnsi="Times New Roman" w:cs="Times New Roman"/>
          <w:sz w:val="26"/>
          <w:szCs w:val="26"/>
        </w:rPr>
        <w:t>ure</w:t>
      </w:r>
      <w:r w:rsidRPr="009C21A9">
        <w:rPr>
          <w:rFonts w:ascii="Times New Roman" w:hAnsi="Times New Roman" w:cs="Times New Roman"/>
          <w:sz w:val="26"/>
          <w:szCs w:val="26"/>
        </w:rPr>
        <w:t xml:space="preserve"> </w:t>
      </w:r>
      <w:r>
        <w:rPr>
          <w:rFonts w:ascii="Times New Roman" w:hAnsi="Times New Roman" w:cs="Times New Roman"/>
          <w:sz w:val="26"/>
          <w:szCs w:val="26"/>
        </w:rPr>
        <w:t xml:space="preserve">F. </w:t>
      </w:r>
      <w:r w:rsidRPr="009C21A9">
        <w:rPr>
          <w:rFonts w:ascii="Times New Roman" w:hAnsi="Times New Roman" w:cs="Times New Roman"/>
          <w:sz w:val="26"/>
          <w:szCs w:val="26"/>
        </w:rPr>
        <w:t xml:space="preserve">It is common cause that there has been no addendum amending the map to the </w:t>
      </w:r>
      <w:r>
        <w:rPr>
          <w:rFonts w:ascii="Times New Roman" w:hAnsi="Times New Roman" w:cs="Times New Roman"/>
          <w:sz w:val="26"/>
          <w:szCs w:val="26"/>
        </w:rPr>
        <w:t>W</w:t>
      </w:r>
      <w:r w:rsidRPr="009C21A9">
        <w:rPr>
          <w:rFonts w:ascii="Times New Roman" w:hAnsi="Times New Roman" w:cs="Times New Roman"/>
          <w:sz w:val="26"/>
          <w:szCs w:val="26"/>
        </w:rPr>
        <w:t>aterfront address</w:t>
      </w:r>
      <w:r>
        <w:rPr>
          <w:rFonts w:ascii="Times New Roman" w:hAnsi="Times New Roman" w:cs="Times New Roman"/>
          <w:sz w:val="26"/>
          <w:szCs w:val="26"/>
        </w:rPr>
        <w:t xml:space="preserve">. </w:t>
      </w:r>
      <w:r w:rsidRPr="009C21A9">
        <w:rPr>
          <w:rFonts w:ascii="Times New Roman" w:hAnsi="Times New Roman" w:cs="Times New Roman"/>
          <w:sz w:val="26"/>
          <w:szCs w:val="26"/>
        </w:rPr>
        <w:t>The s</w:t>
      </w:r>
      <w:r>
        <w:rPr>
          <w:rFonts w:ascii="Times New Roman" w:hAnsi="Times New Roman" w:cs="Times New Roman"/>
          <w:sz w:val="26"/>
          <w:szCs w:val="26"/>
        </w:rPr>
        <w:t>um</w:t>
      </w:r>
      <w:r w:rsidRPr="009C21A9">
        <w:rPr>
          <w:rFonts w:ascii="Times New Roman" w:hAnsi="Times New Roman" w:cs="Times New Roman"/>
          <w:sz w:val="26"/>
          <w:szCs w:val="26"/>
        </w:rPr>
        <w:t xml:space="preserve"> of all these provisions</w:t>
      </w:r>
      <w:r>
        <w:rPr>
          <w:rFonts w:ascii="Times New Roman" w:hAnsi="Times New Roman" w:cs="Times New Roman"/>
          <w:sz w:val="26"/>
          <w:szCs w:val="26"/>
        </w:rPr>
        <w:t>, when</w:t>
      </w:r>
      <w:r w:rsidRPr="009C21A9">
        <w:rPr>
          <w:rFonts w:ascii="Times New Roman" w:hAnsi="Times New Roman" w:cs="Times New Roman"/>
          <w:sz w:val="26"/>
          <w:szCs w:val="26"/>
        </w:rPr>
        <w:t xml:space="preserve"> read together</w:t>
      </w:r>
      <w:r>
        <w:rPr>
          <w:rFonts w:ascii="Times New Roman" w:hAnsi="Times New Roman" w:cs="Times New Roman"/>
          <w:sz w:val="26"/>
          <w:szCs w:val="26"/>
        </w:rPr>
        <w:t>,</w:t>
      </w:r>
      <w:r w:rsidRPr="009C21A9">
        <w:rPr>
          <w:rFonts w:ascii="Times New Roman" w:hAnsi="Times New Roman" w:cs="Times New Roman"/>
          <w:sz w:val="26"/>
          <w:szCs w:val="26"/>
        </w:rPr>
        <w:t xml:space="preserve"> is that the first</w:t>
      </w:r>
      <w:r>
        <w:rPr>
          <w:rFonts w:ascii="Times New Roman" w:hAnsi="Times New Roman" w:cs="Times New Roman"/>
          <w:sz w:val="26"/>
          <w:szCs w:val="26"/>
        </w:rPr>
        <w:t xml:space="preserve"> </w:t>
      </w:r>
      <w:r w:rsidRPr="009C21A9">
        <w:rPr>
          <w:rFonts w:ascii="Times New Roman" w:hAnsi="Times New Roman" w:cs="Times New Roman"/>
          <w:sz w:val="26"/>
          <w:szCs w:val="26"/>
        </w:rPr>
        <w:t>respondent must be reckoned to be operating from the Woodstock address</w:t>
      </w:r>
      <w:r>
        <w:rPr>
          <w:rFonts w:ascii="Times New Roman" w:hAnsi="Times New Roman" w:cs="Times New Roman"/>
          <w:sz w:val="26"/>
          <w:szCs w:val="26"/>
        </w:rPr>
        <w:t>.</w:t>
      </w:r>
    </w:p>
    <w:p w:rsidR="00924BB6" w:rsidRPr="00197BB3" w:rsidRDefault="00924BB6" w:rsidP="00924BB6">
      <w:pPr>
        <w:pStyle w:val="ListParagraph"/>
        <w:rPr>
          <w:rFonts w:ascii="Times New Roman" w:hAnsi="Times New Roman" w:cs="Times New Roman"/>
          <w:sz w:val="26"/>
          <w:szCs w:val="26"/>
        </w:rPr>
      </w:pPr>
    </w:p>
    <w:p w:rsidR="00435F66" w:rsidRPr="00435F66" w:rsidRDefault="00924BB6" w:rsidP="00435F66">
      <w:pPr>
        <w:pStyle w:val="ListParagraph"/>
        <w:numPr>
          <w:ilvl w:val="0"/>
          <w:numId w:val="1"/>
        </w:numPr>
        <w:spacing w:line="360" w:lineRule="auto"/>
        <w:ind w:left="0" w:firstLine="142"/>
        <w:jc w:val="both"/>
        <w:rPr>
          <w:rFonts w:ascii="Times New Roman" w:hAnsi="Times New Roman" w:cs="Times New Roman"/>
          <w:sz w:val="26"/>
          <w:szCs w:val="26"/>
        </w:rPr>
      </w:pPr>
      <w:r w:rsidRPr="00435F66">
        <w:rPr>
          <w:rFonts w:ascii="Times New Roman" w:hAnsi="Times New Roman" w:cs="Times New Roman"/>
          <w:sz w:val="26"/>
          <w:szCs w:val="26"/>
        </w:rPr>
        <w:t xml:space="preserve">But factually, that has not been the position since end of 2021 until 30 September 2023, according to the papers. </w:t>
      </w:r>
      <w:r w:rsidR="0069558E" w:rsidRPr="00435F66">
        <w:rPr>
          <w:rFonts w:ascii="Times New Roman" w:hAnsi="Times New Roman" w:cs="Times New Roman"/>
          <w:sz w:val="26"/>
          <w:szCs w:val="26"/>
        </w:rPr>
        <w:t>Th</w:t>
      </w:r>
      <w:r w:rsidR="00435F66" w:rsidRPr="00435F66">
        <w:rPr>
          <w:rFonts w:ascii="Times New Roman" w:hAnsi="Times New Roman" w:cs="Times New Roman"/>
          <w:sz w:val="26"/>
          <w:szCs w:val="26"/>
        </w:rPr>
        <w:t>is</w:t>
      </w:r>
      <w:r w:rsidR="0069558E" w:rsidRPr="00435F66">
        <w:rPr>
          <w:rFonts w:ascii="Times New Roman" w:hAnsi="Times New Roman" w:cs="Times New Roman"/>
          <w:sz w:val="26"/>
          <w:szCs w:val="26"/>
        </w:rPr>
        <w:t xml:space="preserve"> is why </w:t>
      </w:r>
      <w:r w:rsidR="00435F66" w:rsidRPr="00435F66">
        <w:rPr>
          <w:rFonts w:ascii="Times New Roman" w:hAnsi="Times New Roman" w:cs="Times New Roman"/>
          <w:sz w:val="26"/>
          <w:szCs w:val="26"/>
        </w:rPr>
        <w:t xml:space="preserve">the applicant argues for a contextual interpretation with specific emphasis on the parties’ conduct. As the case law discussed above, a </w:t>
      </w:r>
      <w:r w:rsidR="0069558E" w:rsidRPr="00435F66">
        <w:rPr>
          <w:rFonts w:ascii="Times New Roman" w:hAnsi="Times New Roman" w:cs="Times New Roman"/>
          <w:sz w:val="26"/>
          <w:szCs w:val="26"/>
        </w:rPr>
        <w:t xml:space="preserve">unitary exercise of </w:t>
      </w:r>
      <w:r w:rsidR="00435F66" w:rsidRPr="00435F66">
        <w:rPr>
          <w:rFonts w:ascii="Times New Roman" w:hAnsi="Times New Roman" w:cs="Times New Roman"/>
          <w:sz w:val="26"/>
          <w:szCs w:val="26"/>
        </w:rPr>
        <w:t xml:space="preserve">interpretation of </w:t>
      </w:r>
      <w:r w:rsidR="0069558E" w:rsidRPr="00435F66">
        <w:rPr>
          <w:rFonts w:ascii="Times New Roman" w:hAnsi="Times New Roman" w:cs="Times New Roman"/>
          <w:sz w:val="26"/>
          <w:szCs w:val="26"/>
        </w:rPr>
        <w:t xml:space="preserve">the agreement is </w:t>
      </w:r>
      <w:r w:rsidR="00435F66">
        <w:rPr>
          <w:rFonts w:ascii="Times New Roman" w:hAnsi="Times New Roman" w:cs="Times New Roman"/>
          <w:sz w:val="26"/>
          <w:szCs w:val="26"/>
        </w:rPr>
        <w:t>appropriate</w:t>
      </w:r>
      <w:r w:rsidR="00435F66" w:rsidRPr="00435F66">
        <w:rPr>
          <w:rFonts w:ascii="Times New Roman" w:hAnsi="Times New Roman" w:cs="Times New Roman"/>
          <w:sz w:val="26"/>
          <w:szCs w:val="26"/>
        </w:rPr>
        <w:t xml:space="preserve">. </w:t>
      </w:r>
    </w:p>
    <w:p w:rsidR="00435F66" w:rsidRPr="00435F66" w:rsidRDefault="00435F66" w:rsidP="00435F66">
      <w:pPr>
        <w:pStyle w:val="ListParagraph"/>
        <w:autoSpaceDE w:val="0"/>
        <w:autoSpaceDN w:val="0"/>
        <w:adjustRightInd w:val="0"/>
        <w:spacing w:after="0" w:line="360" w:lineRule="auto"/>
        <w:ind w:left="142" w:right="-386"/>
        <w:jc w:val="both"/>
        <w:rPr>
          <w:rFonts w:ascii="Times New Roman" w:hAnsi="Times New Roman" w:cs="Times New Roman"/>
          <w:color w:val="242121"/>
          <w:sz w:val="26"/>
          <w:szCs w:val="26"/>
          <w:shd w:val="clear" w:color="auto" w:fill="FFFFFF"/>
        </w:rPr>
      </w:pPr>
    </w:p>
    <w:p w:rsidR="00D721B1" w:rsidRPr="0069558E" w:rsidRDefault="00435F66" w:rsidP="00924BB6">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242121"/>
          <w:sz w:val="26"/>
          <w:szCs w:val="26"/>
          <w:shd w:val="clear" w:color="auto" w:fill="FFFFFF"/>
        </w:rPr>
      </w:pPr>
      <w:r>
        <w:rPr>
          <w:rFonts w:ascii="Times New Roman" w:hAnsi="Times New Roman" w:cs="Times New Roman"/>
          <w:sz w:val="26"/>
          <w:szCs w:val="26"/>
        </w:rPr>
        <w:t>T</w:t>
      </w:r>
      <w:r w:rsidR="00D721B1">
        <w:rPr>
          <w:rFonts w:ascii="Times New Roman" w:hAnsi="Times New Roman" w:cs="Times New Roman"/>
          <w:sz w:val="26"/>
          <w:szCs w:val="26"/>
        </w:rPr>
        <w:t>he starting point must be clause 28.1.1, where the 2km radius requirement is contained. The function and purpose of that clause</w:t>
      </w:r>
      <w:r w:rsidR="00D721B1" w:rsidRPr="00D721B1">
        <w:rPr>
          <w:rFonts w:ascii="Times New Roman" w:hAnsi="Times New Roman" w:cs="Times New Roman"/>
          <w:sz w:val="26"/>
          <w:szCs w:val="26"/>
        </w:rPr>
        <w:t xml:space="preserve"> </w:t>
      </w:r>
      <w:r w:rsidR="00D721B1">
        <w:rPr>
          <w:rFonts w:ascii="Times New Roman" w:hAnsi="Times New Roman" w:cs="Times New Roman"/>
          <w:sz w:val="26"/>
          <w:szCs w:val="26"/>
        </w:rPr>
        <w:t xml:space="preserve">was for </w:t>
      </w:r>
      <w:r w:rsidR="00D721B1" w:rsidRPr="00924BB6">
        <w:rPr>
          <w:rFonts w:ascii="Times New Roman" w:hAnsi="Times New Roman" w:cs="Times New Roman"/>
          <w:sz w:val="26"/>
          <w:szCs w:val="26"/>
        </w:rPr>
        <w:t xml:space="preserve">the parties to </w:t>
      </w:r>
      <w:r w:rsidR="00D721B1">
        <w:rPr>
          <w:rFonts w:ascii="Times New Roman" w:hAnsi="Times New Roman" w:cs="Times New Roman"/>
          <w:sz w:val="26"/>
          <w:szCs w:val="26"/>
        </w:rPr>
        <w:t xml:space="preserve">agree to the area </w:t>
      </w:r>
      <w:r w:rsidR="00D721B1" w:rsidRPr="00924BB6">
        <w:rPr>
          <w:rFonts w:ascii="Times New Roman" w:hAnsi="Times New Roman" w:cs="Times New Roman"/>
          <w:sz w:val="26"/>
          <w:szCs w:val="26"/>
        </w:rPr>
        <w:t xml:space="preserve">for </w:t>
      </w:r>
      <w:r w:rsidR="00D721B1">
        <w:rPr>
          <w:rFonts w:ascii="Times New Roman" w:hAnsi="Times New Roman" w:cs="Times New Roman"/>
          <w:sz w:val="26"/>
          <w:szCs w:val="26"/>
        </w:rPr>
        <w:t xml:space="preserve">the </w:t>
      </w:r>
      <w:r w:rsidR="00D721B1" w:rsidRPr="00924BB6">
        <w:rPr>
          <w:rFonts w:ascii="Times New Roman" w:hAnsi="Times New Roman" w:cs="Times New Roman"/>
          <w:sz w:val="26"/>
          <w:szCs w:val="26"/>
        </w:rPr>
        <w:t>operation of the restraint</w:t>
      </w:r>
      <w:r w:rsidR="00D721B1">
        <w:rPr>
          <w:rFonts w:ascii="Times New Roman" w:hAnsi="Times New Roman" w:cs="Times New Roman"/>
          <w:sz w:val="26"/>
          <w:szCs w:val="26"/>
        </w:rPr>
        <w:t xml:space="preserve">. </w:t>
      </w:r>
      <w:r w:rsidR="0069558E">
        <w:rPr>
          <w:rFonts w:ascii="Times New Roman" w:hAnsi="Times New Roman" w:cs="Times New Roman"/>
          <w:sz w:val="26"/>
          <w:szCs w:val="26"/>
        </w:rPr>
        <w:t>A</w:t>
      </w:r>
      <w:r w:rsidR="00D721B1">
        <w:rPr>
          <w:rFonts w:ascii="Times New Roman" w:hAnsi="Times New Roman" w:cs="Times New Roman"/>
          <w:sz w:val="26"/>
          <w:szCs w:val="26"/>
        </w:rPr>
        <w:t>nd in clause 28.1.1, the restraint</w:t>
      </w:r>
      <w:r w:rsidR="00D721B1" w:rsidRPr="00D721B1">
        <w:rPr>
          <w:rFonts w:ascii="Times New Roman" w:hAnsi="Times New Roman" w:cs="Times New Roman"/>
          <w:sz w:val="26"/>
          <w:szCs w:val="26"/>
        </w:rPr>
        <w:t xml:space="preserve"> </w:t>
      </w:r>
      <w:r w:rsidR="00D721B1">
        <w:rPr>
          <w:rFonts w:ascii="Times New Roman" w:hAnsi="Times New Roman" w:cs="Times New Roman"/>
          <w:sz w:val="26"/>
          <w:szCs w:val="26"/>
        </w:rPr>
        <w:t xml:space="preserve">is defined </w:t>
      </w:r>
      <w:r w:rsidR="00D721B1" w:rsidRPr="00D721B1">
        <w:rPr>
          <w:rFonts w:ascii="Times New Roman" w:hAnsi="Times New Roman" w:cs="Times New Roman"/>
          <w:sz w:val="26"/>
          <w:szCs w:val="26"/>
        </w:rPr>
        <w:t>with reference to where the respondent was located</w:t>
      </w:r>
      <w:r w:rsidR="0069558E" w:rsidRPr="0069558E">
        <w:rPr>
          <w:rFonts w:ascii="Times New Roman" w:hAnsi="Times New Roman" w:cs="Times New Roman"/>
          <w:sz w:val="26"/>
          <w:szCs w:val="26"/>
        </w:rPr>
        <w:t xml:space="preserve"> at the time of the agreement</w:t>
      </w:r>
      <w:r w:rsidR="0069558E">
        <w:rPr>
          <w:rFonts w:ascii="Times New Roman" w:hAnsi="Times New Roman" w:cs="Times New Roman"/>
          <w:sz w:val="26"/>
          <w:szCs w:val="26"/>
        </w:rPr>
        <w:t>.</w:t>
      </w:r>
      <w:r w:rsidR="0069558E" w:rsidRPr="0069558E">
        <w:rPr>
          <w:rFonts w:ascii="Times New Roman" w:hAnsi="Times New Roman" w:cs="Times New Roman"/>
          <w:sz w:val="26"/>
          <w:szCs w:val="26"/>
        </w:rPr>
        <w:t xml:space="preserve"> It would serve no purpose to agree to a restraint with reference to an address that had no connection or relation to the practice of the first respondent</w:t>
      </w:r>
      <w:r w:rsidR="0069558E">
        <w:rPr>
          <w:rFonts w:ascii="Times New Roman" w:hAnsi="Times New Roman" w:cs="Times New Roman"/>
          <w:sz w:val="26"/>
          <w:szCs w:val="26"/>
        </w:rPr>
        <w:t>.  That was the function of annexures B and F.</w:t>
      </w:r>
    </w:p>
    <w:p w:rsidR="0069558E" w:rsidRPr="0069558E" w:rsidRDefault="0069558E" w:rsidP="0069558E">
      <w:pPr>
        <w:pStyle w:val="ListParagraph"/>
        <w:rPr>
          <w:rFonts w:ascii="Times New Roman" w:hAnsi="Times New Roman" w:cs="Times New Roman"/>
          <w:color w:val="242121"/>
          <w:sz w:val="26"/>
          <w:szCs w:val="26"/>
          <w:shd w:val="clear" w:color="auto" w:fill="FFFFFF"/>
        </w:rPr>
      </w:pPr>
    </w:p>
    <w:p w:rsidR="001C7F75" w:rsidRPr="001C7F75" w:rsidRDefault="0069558E" w:rsidP="0069558E">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242121"/>
          <w:sz w:val="26"/>
          <w:szCs w:val="26"/>
          <w:shd w:val="clear" w:color="auto" w:fill="FFFFFF"/>
        </w:rPr>
      </w:pPr>
      <w:r w:rsidRPr="0069558E">
        <w:rPr>
          <w:rFonts w:ascii="Times New Roman" w:hAnsi="Times New Roman" w:cs="Times New Roman"/>
          <w:color w:val="242121"/>
          <w:sz w:val="26"/>
          <w:szCs w:val="26"/>
          <w:shd w:val="clear" w:color="auto" w:fill="FFFFFF"/>
        </w:rPr>
        <w:t xml:space="preserve">However, it is common cause that the respondents relocated to the Waterfront address, and did </w:t>
      </w:r>
      <w:r>
        <w:rPr>
          <w:rFonts w:ascii="Times New Roman" w:hAnsi="Times New Roman" w:cs="Times New Roman"/>
          <w:color w:val="242121"/>
          <w:sz w:val="26"/>
          <w:szCs w:val="26"/>
          <w:shd w:val="clear" w:color="auto" w:fill="FFFFFF"/>
        </w:rPr>
        <w:t xml:space="preserve">so </w:t>
      </w:r>
      <w:r w:rsidRPr="0069558E">
        <w:rPr>
          <w:rFonts w:ascii="Times New Roman" w:hAnsi="Times New Roman" w:cs="Times New Roman"/>
          <w:color w:val="242121"/>
          <w:sz w:val="26"/>
          <w:szCs w:val="26"/>
          <w:shd w:val="clear" w:color="auto" w:fill="FFFFFF"/>
        </w:rPr>
        <w:t>pursuant to clause 8.1</w:t>
      </w:r>
      <w:r w:rsidRPr="0069558E">
        <w:rPr>
          <w:rFonts w:ascii="Times New Roman" w:hAnsi="Times New Roman" w:cs="Times New Roman"/>
          <w:sz w:val="26"/>
          <w:szCs w:val="26"/>
        </w:rPr>
        <w:t>, to which specific reference was made in the correspondence between the parties</w:t>
      </w:r>
      <w:r>
        <w:rPr>
          <w:rFonts w:ascii="Times New Roman" w:hAnsi="Times New Roman" w:cs="Times New Roman"/>
          <w:sz w:val="26"/>
          <w:szCs w:val="26"/>
        </w:rPr>
        <w:t xml:space="preserve"> in October 2022</w:t>
      </w:r>
      <w:r w:rsidRPr="0069558E">
        <w:rPr>
          <w:rFonts w:ascii="Times New Roman" w:hAnsi="Times New Roman" w:cs="Times New Roman"/>
          <w:sz w:val="26"/>
          <w:szCs w:val="26"/>
        </w:rPr>
        <w:t>.</w:t>
      </w:r>
      <w:r>
        <w:rPr>
          <w:rFonts w:ascii="Times New Roman" w:hAnsi="Times New Roman" w:cs="Times New Roman"/>
          <w:sz w:val="26"/>
          <w:szCs w:val="26"/>
        </w:rPr>
        <w:t xml:space="preserve"> Clause 8.1 </w:t>
      </w:r>
      <w:r w:rsidRPr="005A4D3F">
        <w:rPr>
          <w:rFonts w:ascii="Times New Roman" w:hAnsi="Times New Roman" w:cs="Times New Roman"/>
          <w:sz w:val="26"/>
          <w:szCs w:val="26"/>
        </w:rPr>
        <w:t xml:space="preserve">provides that </w:t>
      </w:r>
      <w:r w:rsidRPr="0069558E">
        <w:rPr>
          <w:rFonts w:ascii="Times New Roman" w:hAnsi="Times New Roman" w:cs="Times New Roman"/>
          <w:i/>
          <w:iCs/>
          <w:sz w:val="26"/>
          <w:szCs w:val="26"/>
        </w:rPr>
        <w:t xml:space="preserve">“the franchisee shall not enter into any agreement of lease relating to the hire of a </w:t>
      </w:r>
      <w:r w:rsidRPr="0069558E">
        <w:rPr>
          <w:rFonts w:ascii="Times New Roman" w:hAnsi="Times New Roman" w:cs="Times New Roman"/>
          <w:i/>
          <w:iCs/>
          <w:sz w:val="26"/>
          <w:szCs w:val="26"/>
          <w:u w:val="single"/>
        </w:rPr>
        <w:t>Location</w:t>
      </w:r>
      <w:r w:rsidRPr="0069558E">
        <w:rPr>
          <w:rFonts w:ascii="Times New Roman" w:hAnsi="Times New Roman" w:cs="Times New Roman"/>
          <w:i/>
          <w:iCs/>
          <w:sz w:val="26"/>
          <w:szCs w:val="26"/>
        </w:rPr>
        <w:t xml:space="preserve"> without the prior written approval of the </w:t>
      </w:r>
      <w:r w:rsidRPr="0069558E">
        <w:rPr>
          <w:rFonts w:ascii="Times New Roman" w:hAnsi="Times New Roman" w:cs="Times New Roman"/>
          <w:i/>
          <w:iCs/>
          <w:sz w:val="26"/>
          <w:szCs w:val="26"/>
          <w:u w:val="single"/>
        </w:rPr>
        <w:t>Location</w:t>
      </w:r>
      <w:r w:rsidRPr="0069558E">
        <w:rPr>
          <w:rFonts w:ascii="Times New Roman" w:hAnsi="Times New Roman" w:cs="Times New Roman"/>
          <w:i/>
          <w:iCs/>
          <w:sz w:val="26"/>
          <w:szCs w:val="26"/>
        </w:rPr>
        <w:t xml:space="preserve"> by the franchisor”</w:t>
      </w:r>
      <w:r w:rsidRPr="005A4D3F">
        <w:rPr>
          <w:rFonts w:ascii="Times New Roman" w:hAnsi="Times New Roman" w:cs="Times New Roman"/>
          <w:sz w:val="26"/>
          <w:szCs w:val="26"/>
        </w:rPr>
        <w:t xml:space="preserve">.  </w:t>
      </w:r>
      <w:r>
        <w:rPr>
          <w:rFonts w:ascii="Times New Roman" w:hAnsi="Times New Roman" w:cs="Times New Roman"/>
          <w:sz w:val="26"/>
          <w:szCs w:val="26"/>
        </w:rPr>
        <w:t>(my emphasis)</w:t>
      </w:r>
      <w:r w:rsidR="001C7F75">
        <w:rPr>
          <w:rFonts w:ascii="Times New Roman" w:hAnsi="Times New Roman" w:cs="Times New Roman"/>
          <w:sz w:val="26"/>
          <w:szCs w:val="26"/>
        </w:rPr>
        <w:t xml:space="preserve"> </w:t>
      </w:r>
    </w:p>
    <w:p w:rsidR="001C7F75" w:rsidRPr="001C7F75" w:rsidRDefault="001C7F75" w:rsidP="001C7F75">
      <w:pPr>
        <w:pStyle w:val="ListParagraph"/>
        <w:rPr>
          <w:rFonts w:ascii="Times New Roman" w:hAnsi="Times New Roman" w:cs="Times New Roman"/>
          <w:sz w:val="26"/>
          <w:szCs w:val="26"/>
        </w:rPr>
      </w:pPr>
    </w:p>
    <w:p w:rsidR="00D25936" w:rsidRDefault="001C7F75" w:rsidP="00D25936">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242121"/>
          <w:sz w:val="26"/>
          <w:szCs w:val="26"/>
          <w:shd w:val="clear" w:color="auto" w:fill="FFFFFF"/>
        </w:rPr>
      </w:pPr>
      <w:r>
        <w:rPr>
          <w:rFonts w:ascii="Times New Roman" w:hAnsi="Times New Roman" w:cs="Times New Roman"/>
          <w:sz w:val="26"/>
          <w:szCs w:val="26"/>
        </w:rPr>
        <w:t xml:space="preserve">Thus, </w:t>
      </w:r>
      <w:r w:rsidR="00D25936">
        <w:rPr>
          <w:rFonts w:ascii="Times New Roman" w:hAnsi="Times New Roman" w:cs="Times New Roman"/>
          <w:sz w:val="26"/>
          <w:szCs w:val="26"/>
        </w:rPr>
        <w:t xml:space="preserve">in order for a franchisee to enter into a lease, the </w:t>
      </w:r>
      <w:r>
        <w:rPr>
          <w:rFonts w:ascii="Times New Roman" w:hAnsi="Times New Roman" w:cs="Times New Roman"/>
          <w:sz w:val="26"/>
          <w:szCs w:val="26"/>
        </w:rPr>
        <w:t>Location, as defined in the agreement, must be approved by the applicant</w:t>
      </w:r>
      <w:r w:rsidR="00D25936">
        <w:rPr>
          <w:rFonts w:ascii="Times New Roman" w:hAnsi="Times New Roman" w:cs="Times New Roman"/>
          <w:sz w:val="26"/>
          <w:szCs w:val="26"/>
        </w:rPr>
        <w:t>.</w:t>
      </w:r>
      <w:r>
        <w:rPr>
          <w:rFonts w:ascii="Times New Roman" w:hAnsi="Times New Roman" w:cs="Times New Roman"/>
          <w:sz w:val="26"/>
          <w:szCs w:val="26"/>
        </w:rPr>
        <w:t xml:space="preserve"> This </w:t>
      </w:r>
      <w:r w:rsidR="0069558E" w:rsidRPr="001C7F75">
        <w:rPr>
          <w:rFonts w:ascii="Times New Roman" w:hAnsi="Times New Roman" w:cs="Times New Roman"/>
          <w:color w:val="242121"/>
          <w:sz w:val="26"/>
          <w:szCs w:val="26"/>
          <w:shd w:val="clear" w:color="auto" w:fill="FFFFFF"/>
        </w:rPr>
        <w:t>is instructive for the facts of this case</w:t>
      </w:r>
      <w:r>
        <w:rPr>
          <w:rFonts w:ascii="Times New Roman" w:hAnsi="Times New Roman" w:cs="Times New Roman"/>
          <w:color w:val="242121"/>
          <w:sz w:val="26"/>
          <w:szCs w:val="26"/>
          <w:shd w:val="clear" w:color="auto" w:fill="FFFFFF"/>
        </w:rPr>
        <w:t xml:space="preserve">. A </w:t>
      </w:r>
      <w:r w:rsidRPr="001C7F75">
        <w:rPr>
          <w:rFonts w:ascii="Times New Roman" w:hAnsi="Times New Roman" w:cs="Times New Roman"/>
          <w:color w:val="242121"/>
          <w:sz w:val="26"/>
          <w:szCs w:val="26"/>
          <w:shd w:val="clear" w:color="auto" w:fill="FFFFFF"/>
        </w:rPr>
        <w:t xml:space="preserve">Location is defined </w:t>
      </w:r>
      <w:r>
        <w:rPr>
          <w:rFonts w:ascii="Times New Roman" w:hAnsi="Times New Roman" w:cs="Times New Roman"/>
          <w:color w:val="242121"/>
          <w:sz w:val="26"/>
          <w:szCs w:val="26"/>
          <w:shd w:val="clear" w:color="auto" w:fill="FFFFFF"/>
        </w:rPr>
        <w:t xml:space="preserve">in the agreement </w:t>
      </w:r>
      <w:r w:rsidRPr="001C7F75">
        <w:rPr>
          <w:rFonts w:ascii="Times New Roman" w:hAnsi="Times New Roman" w:cs="Times New Roman"/>
          <w:color w:val="242121"/>
          <w:sz w:val="26"/>
          <w:szCs w:val="26"/>
          <w:shd w:val="clear" w:color="auto" w:fill="FFFFFF"/>
        </w:rPr>
        <w:t>by reference to Annexure B, which</w:t>
      </w:r>
      <w:r>
        <w:rPr>
          <w:rFonts w:ascii="Times New Roman" w:hAnsi="Times New Roman" w:cs="Times New Roman"/>
          <w:color w:val="242121"/>
          <w:sz w:val="26"/>
          <w:szCs w:val="26"/>
          <w:shd w:val="clear" w:color="auto" w:fill="FFFFFF"/>
        </w:rPr>
        <w:t>, at the time of the relocation,</w:t>
      </w:r>
      <w:r w:rsidRPr="001C7F75">
        <w:rPr>
          <w:rFonts w:ascii="Times New Roman" w:hAnsi="Times New Roman" w:cs="Times New Roman"/>
          <w:color w:val="242121"/>
          <w:sz w:val="26"/>
          <w:szCs w:val="26"/>
          <w:shd w:val="clear" w:color="auto" w:fill="FFFFFF"/>
        </w:rPr>
        <w:t xml:space="preserve"> contained the Woodstock address as the respondents’ particulars. But at the time that the </w:t>
      </w:r>
      <w:r w:rsidR="00D25936">
        <w:rPr>
          <w:rFonts w:ascii="Times New Roman" w:hAnsi="Times New Roman" w:cs="Times New Roman"/>
          <w:color w:val="242121"/>
          <w:sz w:val="26"/>
          <w:szCs w:val="26"/>
          <w:shd w:val="clear" w:color="auto" w:fill="FFFFFF"/>
        </w:rPr>
        <w:t xml:space="preserve">approval was granted </w:t>
      </w:r>
      <w:r w:rsidRPr="001C7F75">
        <w:rPr>
          <w:rFonts w:ascii="Times New Roman" w:hAnsi="Times New Roman" w:cs="Times New Roman"/>
          <w:color w:val="242121"/>
          <w:sz w:val="26"/>
          <w:szCs w:val="26"/>
          <w:shd w:val="clear" w:color="auto" w:fill="FFFFFF"/>
        </w:rPr>
        <w:t>in October 2022, the first respondent had long-since ceased to operate from its Woodstock address</w:t>
      </w:r>
      <w:r>
        <w:rPr>
          <w:rFonts w:ascii="Times New Roman" w:hAnsi="Times New Roman" w:cs="Times New Roman"/>
          <w:color w:val="242121"/>
          <w:sz w:val="26"/>
          <w:szCs w:val="26"/>
          <w:shd w:val="clear" w:color="auto" w:fill="FFFFFF"/>
        </w:rPr>
        <w:t xml:space="preserve">, </w:t>
      </w:r>
      <w:r w:rsidR="00435F66">
        <w:rPr>
          <w:rFonts w:ascii="Times New Roman" w:hAnsi="Times New Roman" w:cs="Times New Roman"/>
          <w:color w:val="242121"/>
          <w:sz w:val="26"/>
          <w:szCs w:val="26"/>
          <w:shd w:val="clear" w:color="auto" w:fill="FFFFFF"/>
        </w:rPr>
        <w:t>from</w:t>
      </w:r>
      <w:r>
        <w:rPr>
          <w:rFonts w:ascii="Times New Roman" w:hAnsi="Times New Roman" w:cs="Times New Roman"/>
          <w:color w:val="242121"/>
          <w:sz w:val="26"/>
          <w:szCs w:val="26"/>
          <w:shd w:val="clear" w:color="auto" w:fill="FFFFFF"/>
        </w:rPr>
        <w:t xml:space="preserve"> end of 2021. </w:t>
      </w:r>
      <w:r w:rsidRPr="001C7F75">
        <w:rPr>
          <w:rFonts w:ascii="Times New Roman" w:hAnsi="Times New Roman" w:cs="Times New Roman"/>
          <w:color w:val="242121"/>
          <w:sz w:val="26"/>
          <w:szCs w:val="26"/>
          <w:shd w:val="clear" w:color="auto" w:fill="FFFFFF"/>
        </w:rPr>
        <w:t xml:space="preserve"> If the respondents</w:t>
      </w:r>
      <w:r w:rsidR="00D25936">
        <w:rPr>
          <w:rFonts w:ascii="Times New Roman" w:hAnsi="Times New Roman" w:cs="Times New Roman"/>
          <w:color w:val="242121"/>
          <w:sz w:val="26"/>
          <w:szCs w:val="26"/>
          <w:shd w:val="clear" w:color="auto" w:fill="FFFFFF"/>
        </w:rPr>
        <w:t xml:space="preserve">’ </w:t>
      </w:r>
      <w:r w:rsidRPr="001C7F75">
        <w:rPr>
          <w:rFonts w:ascii="Times New Roman" w:hAnsi="Times New Roman" w:cs="Times New Roman"/>
          <w:color w:val="242121"/>
          <w:sz w:val="26"/>
          <w:szCs w:val="26"/>
          <w:shd w:val="clear" w:color="auto" w:fill="FFFFFF"/>
        </w:rPr>
        <w:t>interpretation were to be adopted,</w:t>
      </w:r>
      <w:r w:rsidR="00D25936">
        <w:rPr>
          <w:rFonts w:ascii="Times New Roman" w:hAnsi="Times New Roman" w:cs="Times New Roman"/>
          <w:color w:val="242121"/>
          <w:sz w:val="26"/>
          <w:szCs w:val="26"/>
          <w:shd w:val="clear" w:color="auto" w:fill="FFFFFF"/>
        </w:rPr>
        <w:t xml:space="preserve"> </w:t>
      </w:r>
      <w:r w:rsidRPr="001C7F75">
        <w:rPr>
          <w:rFonts w:ascii="Times New Roman" w:hAnsi="Times New Roman" w:cs="Times New Roman"/>
          <w:color w:val="242121"/>
          <w:sz w:val="26"/>
          <w:szCs w:val="26"/>
          <w:shd w:val="clear" w:color="auto" w:fill="FFFFFF"/>
        </w:rPr>
        <w:t xml:space="preserve">it would mean that the </w:t>
      </w:r>
      <w:r w:rsidR="00D25936">
        <w:rPr>
          <w:rFonts w:ascii="Times New Roman" w:hAnsi="Times New Roman" w:cs="Times New Roman"/>
          <w:color w:val="242121"/>
          <w:sz w:val="26"/>
          <w:szCs w:val="26"/>
          <w:shd w:val="clear" w:color="auto" w:fill="FFFFFF"/>
        </w:rPr>
        <w:t xml:space="preserve">approval </w:t>
      </w:r>
      <w:r w:rsidRPr="001C7F75">
        <w:rPr>
          <w:rFonts w:ascii="Times New Roman" w:hAnsi="Times New Roman" w:cs="Times New Roman"/>
          <w:color w:val="242121"/>
          <w:sz w:val="26"/>
          <w:szCs w:val="26"/>
          <w:shd w:val="clear" w:color="auto" w:fill="FFFFFF"/>
        </w:rPr>
        <w:t>itself was invalid</w:t>
      </w:r>
      <w:r w:rsidR="00D25936">
        <w:rPr>
          <w:rFonts w:ascii="Times New Roman" w:hAnsi="Times New Roman" w:cs="Times New Roman"/>
          <w:color w:val="242121"/>
          <w:sz w:val="26"/>
          <w:szCs w:val="26"/>
          <w:shd w:val="clear" w:color="auto" w:fill="FFFFFF"/>
        </w:rPr>
        <w:t>, or that there was no valid relocation by the respondents.</w:t>
      </w:r>
    </w:p>
    <w:p w:rsidR="00D25936" w:rsidRPr="00D25936" w:rsidRDefault="00D25936" w:rsidP="00D25936">
      <w:pPr>
        <w:pStyle w:val="ListParagraph"/>
        <w:rPr>
          <w:rFonts w:ascii="Times New Roman" w:hAnsi="Times New Roman" w:cs="Times New Roman"/>
          <w:sz w:val="26"/>
          <w:szCs w:val="26"/>
        </w:rPr>
      </w:pPr>
    </w:p>
    <w:p w:rsidR="005A4D3F" w:rsidRPr="00D25936" w:rsidRDefault="00D25936" w:rsidP="00D25936">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242121"/>
          <w:sz w:val="26"/>
          <w:szCs w:val="26"/>
          <w:shd w:val="clear" w:color="auto" w:fill="FFFFFF"/>
        </w:rPr>
      </w:pPr>
      <w:r w:rsidRPr="00D25936">
        <w:rPr>
          <w:rFonts w:ascii="Times New Roman" w:hAnsi="Times New Roman" w:cs="Times New Roman"/>
          <w:sz w:val="26"/>
          <w:szCs w:val="26"/>
        </w:rPr>
        <w:t xml:space="preserve">But that cannot be so because </w:t>
      </w:r>
      <w:r w:rsidR="005A4D3F" w:rsidRPr="00D25936">
        <w:rPr>
          <w:rFonts w:ascii="Times New Roman" w:hAnsi="Times New Roman" w:cs="Times New Roman"/>
          <w:sz w:val="26"/>
          <w:szCs w:val="26"/>
        </w:rPr>
        <w:t>it clear from the conduct of the parties, and especially the conduct of the respondents that the intention was to move away from the Woodstock address. First, it is common cause that the first respondent ha</w:t>
      </w:r>
      <w:r>
        <w:rPr>
          <w:rFonts w:ascii="Times New Roman" w:hAnsi="Times New Roman" w:cs="Times New Roman"/>
          <w:sz w:val="26"/>
          <w:szCs w:val="26"/>
        </w:rPr>
        <w:t>d</w:t>
      </w:r>
      <w:r w:rsidR="005A4D3F" w:rsidRPr="00D25936">
        <w:rPr>
          <w:rFonts w:ascii="Times New Roman" w:hAnsi="Times New Roman" w:cs="Times New Roman"/>
          <w:sz w:val="26"/>
          <w:szCs w:val="26"/>
        </w:rPr>
        <w:t xml:space="preserve"> been operating a Neovision Practice at the V &amp; A Waterfront since January 2020, wh</w:t>
      </w:r>
      <w:r>
        <w:rPr>
          <w:rFonts w:ascii="Times New Roman" w:hAnsi="Times New Roman" w:cs="Times New Roman"/>
          <w:sz w:val="26"/>
          <w:szCs w:val="26"/>
        </w:rPr>
        <w:t>ile</w:t>
      </w:r>
      <w:r w:rsidR="005A4D3F" w:rsidRPr="00D25936">
        <w:rPr>
          <w:rFonts w:ascii="Times New Roman" w:hAnsi="Times New Roman" w:cs="Times New Roman"/>
          <w:sz w:val="26"/>
          <w:szCs w:val="26"/>
        </w:rPr>
        <w:t xml:space="preserve"> it was still also operating in Woodstock. </w:t>
      </w:r>
      <w:r>
        <w:rPr>
          <w:rFonts w:ascii="Times New Roman" w:hAnsi="Times New Roman" w:cs="Times New Roman"/>
          <w:sz w:val="26"/>
          <w:szCs w:val="26"/>
        </w:rPr>
        <w:t xml:space="preserve"> The respondents state in their papers that </w:t>
      </w:r>
      <w:r w:rsidR="005A4D3F" w:rsidRPr="00D25936">
        <w:rPr>
          <w:rFonts w:ascii="Times New Roman" w:hAnsi="Times New Roman" w:cs="Times New Roman"/>
          <w:sz w:val="26"/>
          <w:szCs w:val="26"/>
        </w:rPr>
        <w:t xml:space="preserve">consent for that relocation and entry into lease </w:t>
      </w:r>
      <w:r>
        <w:rPr>
          <w:rFonts w:ascii="Times New Roman" w:hAnsi="Times New Roman" w:cs="Times New Roman"/>
          <w:sz w:val="26"/>
          <w:szCs w:val="26"/>
        </w:rPr>
        <w:t xml:space="preserve">was granted </w:t>
      </w:r>
      <w:r w:rsidR="005A4D3F" w:rsidRPr="00D25936">
        <w:rPr>
          <w:rFonts w:ascii="Times New Roman" w:hAnsi="Times New Roman" w:cs="Times New Roman"/>
          <w:sz w:val="26"/>
          <w:szCs w:val="26"/>
        </w:rPr>
        <w:t>by the applican</w:t>
      </w:r>
      <w:r>
        <w:rPr>
          <w:rFonts w:ascii="Times New Roman" w:hAnsi="Times New Roman" w:cs="Times New Roman"/>
          <w:sz w:val="26"/>
          <w:szCs w:val="26"/>
        </w:rPr>
        <w:t>t</w:t>
      </w:r>
      <w:r w:rsidR="005A4D3F" w:rsidRPr="00D25936">
        <w:rPr>
          <w:rFonts w:ascii="Times New Roman" w:hAnsi="Times New Roman" w:cs="Times New Roman"/>
          <w:sz w:val="26"/>
          <w:szCs w:val="26"/>
        </w:rPr>
        <w:t>.</w:t>
      </w:r>
      <w:r w:rsidR="005A4D3F">
        <w:t xml:space="preserve">  </w:t>
      </w:r>
    </w:p>
    <w:p w:rsidR="00D25936" w:rsidRPr="00D25936" w:rsidRDefault="00D25936" w:rsidP="00D25936">
      <w:pPr>
        <w:pStyle w:val="ListParagraph"/>
        <w:rPr>
          <w:rFonts w:ascii="Times New Roman" w:hAnsi="Times New Roman" w:cs="Times New Roman"/>
          <w:color w:val="242121"/>
          <w:sz w:val="26"/>
          <w:szCs w:val="26"/>
          <w:shd w:val="clear" w:color="auto" w:fill="FFFFFF"/>
        </w:rPr>
      </w:pPr>
    </w:p>
    <w:p w:rsidR="00D25936" w:rsidRPr="00D25936" w:rsidRDefault="005A4D3F" w:rsidP="00D25936">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242121"/>
          <w:sz w:val="26"/>
          <w:szCs w:val="26"/>
          <w:shd w:val="clear" w:color="auto" w:fill="FFFFFF"/>
        </w:rPr>
      </w:pPr>
      <w:r w:rsidRPr="00D25936">
        <w:rPr>
          <w:rFonts w:ascii="Times New Roman" w:hAnsi="Times New Roman" w:cs="Times New Roman"/>
          <w:sz w:val="26"/>
          <w:szCs w:val="26"/>
        </w:rPr>
        <w:t>Then, when the initial term of lease was due to expire, the applicant granted its consent by means of the letter dated 28 October 2022</w:t>
      </w:r>
      <w:r w:rsidR="00D25936">
        <w:rPr>
          <w:rFonts w:ascii="Times New Roman" w:hAnsi="Times New Roman" w:cs="Times New Roman"/>
          <w:sz w:val="26"/>
          <w:szCs w:val="26"/>
        </w:rPr>
        <w:t>, and as I have stated, t</w:t>
      </w:r>
      <w:r w:rsidRPr="00D25936">
        <w:rPr>
          <w:rFonts w:ascii="Times New Roman" w:hAnsi="Times New Roman" w:cs="Times New Roman"/>
          <w:sz w:val="26"/>
          <w:szCs w:val="26"/>
        </w:rPr>
        <w:t xml:space="preserve">he letter expressly made reference to </w:t>
      </w:r>
      <w:r w:rsidR="00D25936">
        <w:rPr>
          <w:rFonts w:ascii="Times New Roman" w:hAnsi="Times New Roman" w:cs="Times New Roman"/>
          <w:sz w:val="26"/>
          <w:szCs w:val="26"/>
        </w:rPr>
        <w:t>clause 8.1.</w:t>
      </w:r>
    </w:p>
    <w:p w:rsidR="00D25936" w:rsidRPr="00D25936" w:rsidRDefault="00D25936" w:rsidP="00D25936">
      <w:pPr>
        <w:pStyle w:val="ListParagraph"/>
        <w:rPr>
          <w:rFonts w:ascii="Times New Roman" w:hAnsi="Times New Roman" w:cs="Times New Roman"/>
          <w:sz w:val="26"/>
          <w:szCs w:val="26"/>
        </w:rPr>
      </w:pPr>
    </w:p>
    <w:p w:rsidR="005A4D3F" w:rsidRPr="00D25936" w:rsidRDefault="005A4D3F" w:rsidP="00D25936">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242121"/>
          <w:sz w:val="26"/>
          <w:szCs w:val="26"/>
          <w:shd w:val="clear" w:color="auto" w:fill="FFFFFF"/>
        </w:rPr>
      </w:pPr>
      <w:r w:rsidRPr="00D25936">
        <w:rPr>
          <w:rFonts w:ascii="Times New Roman" w:hAnsi="Times New Roman" w:cs="Times New Roman"/>
          <w:sz w:val="26"/>
          <w:szCs w:val="26"/>
        </w:rPr>
        <w:t>The</w:t>
      </w:r>
      <w:r w:rsidR="00D25936">
        <w:rPr>
          <w:rFonts w:ascii="Times New Roman" w:hAnsi="Times New Roman" w:cs="Times New Roman"/>
          <w:sz w:val="26"/>
          <w:szCs w:val="26"/>
        </w:rPr>
        <w:t xml:space="preserve"> next significant issue pertaining to the context was the</w:t>
      </w:r>
      <w:r w:rsidRPr="00D25936">
        <w:rPr>
          <w:rFonts w:ascii="Times New Roman" w:hAnsi="Times New Roman" w:cs="Times New Roman"/>
          <w:sz w:val="26"/>
          <w:szCs w:val="26"/>
        </w:rPr>
        <w:t xml:space="preserve"> first respondent’s name change from Neovision Woodstock Incorporated to Neovision Waterfront Incorporated</w:t>
      </w:r>
      <w:r w:rsidR="00D25936">
        <w:rPr>
          <w:rFonts w:ascii="Times New Roman" w:hAnsi="Times New Roman" w:cs="Times New Roman"/>
          <w:sz w:val="26"/>
          <w:szCs w:val="26"/>
        </w:rPr>
        <w:t>, which</w:t>
      </w:r>
      <w:r w:rsidRPr="00D25936">
        <w:rPr>
          <w:rFonts w:ascii="Times New Roman" w:hAnsi="Times New Roman" w:cs="Times New Roman"/>
          <w:sz w:val="26"/>
          <w:szCs w:val="26"/>
        </w:rPr>
        <w:t xml:space="preserve"> was effected on 27 October 2022</w:t>
      </w:r>
      <w:r w:rsidR="00D25936">
        <w:rPr>
          <w:rFonts w:ascii="Times New Roman" w:hAnsi="Times New Roman" w:cs="Times New Roman"/>
          <w:sz w:val="26"/>
          <w:szCs w:val="26"/>
        </w:rPr>
        <w:t xml:space="preserve"> at about the same time as the applicant’s approval was granted for it to enter into a lease</w:t>
      </w:r>
      <w:r w:rsidR="00435F66" w:rsidRPr="00435F66">
        <w:rPr>
          <w:rFonts w:ascii="Times New Roman" w:hAnsi="Times New Roman" w:cs="Times New Roman"/>
          <w:sz w:val="26"/>
          <w:szCs w:val="26"/>
        </w:rPr>
        <w:t xml:space="preserve"> </w:t>
      </w:r>
      <w:r w:rsidR="00435F66">
        <w:rPr>
          <w:rFonts w:ascii="Times New Roman" w:hAnsi="Times New Roman" w:cs="Times New Roman"/>
          <w:sz w:val="26"/>
          <w:szCs w:val="26"/>
        </w:rPr>
        <w:t>renewal</w:t>
      </w:r>
      <w:r w:rsidRPr="00D25936">
        <w:rPr>
          <w:rFonts w:ascii="Times New Roman" w:hAnsi="Times New Roman" w:cs="Times New Roman"/>
          <w:sz w:val="26"/>
          <w:szCs w:val="26"/>
        </w:rPr>
        <w:t xml:space="preserve">. </w:t>
      </w:r>
    </w:p>
    <w:p w:rsidR="00D25936" w:rsidRPr="00D25936" w:rsidRDefault="00D25936" w:rsidP="00D25936">
      <w:pPr>
        <w:pStyle w:val="ListParagraph"/>
        <w:rPr>
          <w:rFonts w:ascii="Times New Roman" w:hAnsi="Times New Roman" w:cs="Times New Roman"/>
          <w:color w:val="242121"/>
          <w:sz w:val="26"/>
          <w:szCs w:val="26"/>
          <w:shd w:val="clear" w:color="auto" w:fill="FFFFFF"/>
        </w:rPr>
      </w:pPr>
    </w:p>
    <w:p w:rsidR="000D5C96" w:rsidRPr="00D25936" w:rsidRDefault="00D25936" w:rsidP="00D25936">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242121"/>
          <w:sz w:val="26"/>
          <w:szCs w:val="26"/>
          <w:shd w:val="clear" w:color="auto" w:fill="FFFFFF"/>
        </w:rPr>
      </w:pPr>
      <w:r>
        <w:rPr>
          <w:rFonts w:ascii="Times New Roman" w:hAnsi="Times New Roman" w:cs="Times New Roman"/>
          <w:sz w:val="26"/>
          <w:szCs w:val="26"/>
        </w:rPr>
        <w:t>What is clear from the</w:t>
      </w:r>
      <w:r w:rsidR="00F93439" w:rsidRPr="00D25936">
        <w:rPr>
          <w:rFonts w:ascii="Times New Roman" w:hAnsi="Times New Roman" w:cs="Times New Roman"/>
          <w:sz w:val="26"/>
          <w:szCs w:val="26"/>
        </w:rPr>
        <w:t xml:space="preserve"> papers </w:t>
      </w:r>
      <w:r>
        <w:rPr>
          <w:rFonts w:ascii="Times New Roman" w:hAnsi="Times New Roman" w:cs="Times New Roman"/>
          <w:sz w:val="26"/>
          <w:szCs w:val="26"/>
        </w:rPr>
        <w:t xml:space="preserve">is </w:t>
      </w:r>
      <w:r w:rsidR="00F93439" w:rsidRPr="00D25936">
        <w:rPr>
          <w:rFonts w:ascii="Times New Roman" w:hAnsi="Times New Roman" w:cs="Times New Roman"/>
          <w:sz w:val="26"/>
          <w:szCs w:val="26"/>
        </w:rPr>
        <w:t xml:space="preserve">that, at no point since 2021 did the parties interpret </w:t>
      </w:r>
      <w:r w:rsidR="00306E7B" w:rsidRPr="00D25936">
        <w:rPr>
          <w:rFonts w:ascii="Times New Roman" w:hAnsi="Times New Roman" w:cs="Times New Roman"/>
          <w:sz w:val="26"/>
          <w:szCs w:val="26"/>
        </w:rPr>
        <w:t>the 2km radius with reference to the Woodstock premises.</w:t>
      </w:r>
      <w:r w:rsidR="00306E7B">
        <w:t xml:space="preserve">  </w:t>
      </w:r>
      <w:r w:rsidR="000D5C96" w:rsidRPr="00D25936">
        <w:rPr>
          <w:rFonts w:ascii="Times New Roman" w:hAnsi="Times New Roman" w:cs="Times New Roman"/>
          <w:sz w:val="26"/>
          <w:szCs w:val="26"/>
        </w:rPr>
        <w:t>As the applicant points out, the respondents traded as Neovision Waterfront for more than 3 and a half years, with all the benefits of the agreement in place.  The name change from Woodstock to Waterfront is also reflected in their Companies and Intellectual Property Commission Information.</w:t>
      </w:r>
      <w:r w:rsidR="000D5C96" w:rsidRPr="00D25936">
        <w:rPr>
          <w:rFonts w:ascii="Times New Roman" w:hAnsi="Times New Roman" w:cs="Times New Roman"/>
          <w:sz w:val="24"/>
          <w:szCs w:val="24"/>
        </w:rPr>
        <w:t xml:space="preserve"> </w:t>
      </w:r>
    </w:p>
    <w:p w:rsidR="00D25936" w:rsidRPr="00D25936" w:rsidRDefault="00D25936" w:rsidP="00D25936">
      <w:pPr>
        <w:pStyle w:val="ListParagraph"/>
        <w:rPr>
          <w:rFonts w:ascii="Times New Roman" w:hAnsi="Times New Roman" w:cs="Times New Roman"/>
          <w:color w:val="242121"/>
          <w:sz w:val="26"/>
          <w:szCs w:val="26"/>
          <w:shd w:val="clear" w:color="auto" w:fill="FFFFFF"/>
        </w:rPr>
      </w:pPr>
    </w:p>
    <w:p w:rsidR="001776EB" w:rsidRPr="00F42923" w:rsidRDefault="000D5C96" w:rsidP="00F42923">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242121"/>
          <w:sz w:val="26"/>
          <w:szCs w:val="26"/>
          <w:shd w:val="clear" w:color="auto" w:fill="FFFFFF"/>
        </w:rPr>
      </w:pPr>
      <w:r w:rsidRPr="00D25936">
        <w:rPr>
          <w:rFonts w:ascii="Times New Roman" w:hAnsi="Times New Roman" w:cs="Times New Roman"/>
          <w:sz w:val="26"/>
          <w:szCs w:val="26"/>
        </w:rPr>
        <w:t xml:space="preserve">Another indication of the parties’ intention is </w:t>
      </w:r>
      <w:r w:rsidR="001776EB" w:rsidRPr="00D25936">
        <w:rPr>
          <w:rFonts w:ascii="Times New Roman" w:hAnsi="Times New Roman" w:cs="Times New Roman"/>
          <w:sz w:val="26"/>
          <w:szCs w:val="26"/>
        </w:rPr>
        <w:t xml:space="preserve">depicted by </w:t>
      </w:r>
      <w:r w:rsidRPr="00D25936">
        <w:rPr>
          <w:rFonts w:ascii="Times New Roman" w:hAnsi="Times New Roman" w:cs="Times New Roman"/>
          <w:sz w:val="26"/>
          <w:szCs w:val="26"/>
        </w:rPr>
        <w:t xml:space="preserve">the description of the first respondent in the agreements </w:t>
      </w:r>
      <w:r w:rsidR="001776EB" w:rsidRPr="00D25936">
        <w:rPr>
          <w:rFonts w:ascii="Times New Roman" w:hAnsi="Times New Roman" w:cs="Times New Roman"/>
          <w:sz w:val="26"/>
          <w:szCs w:val="26"/>
        </w:rPr>
        <w:t>mentioned</w:t>
      </w:r>
      <w:r w:rsidRPr="00D25936">
        <w:rPr>
          <w:rFonts w:ascii="Times New Roman" w:hAnsi="Times New Roman" w:cs="Times New Roman"/>
          <w:sz w:val="26"/>
          <w:szCs w:val="26"/>
        </w:rPr>
        <w:t xml:space="preserve"> in the factual background of the matter. </w:t>
      </w:r>
      <w:r w:rsidR="00F42923">
        <w:rPr>
          <w:rFonts w:ascii="Times New Roman" w:hAnsi="Times New Roman" w:cs="Times New Roman"/>
          <w:sz w:val="26"/>
          <w:szCs w:val="26"/>
        </w:rPr>
        <w:t>W</w:t>
      </w:r>
      <w:r w:rsidR="00D25936">
        <w:rPr>
          <w:rFonts w:ascii="Times New Roman" w:hAnsi="Times New Roman" w:cs="Times New Roman"/>
          <w:sz w:val="26"/>
          <w:szCs w:val="26"/>
        </w:rPr>
        <w:t>hereas</w:t>
      </w:r>
      <w:r w:rsidR="00F42923">
        <w:rPr>
          <w:rFonts w:ascii="Times New Roman" w:hAnsi="Times New Roman" w:cs="Times New Roman"/>
          <w:sz w:val="26"/>
          <w:szCs w:val="26"/>
        </w:rPr>
        <w:t xml:space="preserve"> t</w:t>
      </w:r>
      <w:r w:rsidR="001776EB" w:rsidRPr="00D25936">
        <w:rPr>
          <w:rFonts w:ascii="Times New Roman" w:hAnsi="Times New Roman" w:cs="Times New Roman"/>
          <w:sz w:val="26"/>
          <w:szCs w:val="26"/>
        </w:rPr>
        <w:t xml:space="preserve">he addendum to the agreement </w:t>
      </w:r>
      <w:r w:rsidR="00435F66">
        <w:rPr>
          <w:rFonts w:ascii="Times New Roman" w:hAnsi="Times New Roman" w:cs="Times New Roman"/>
          <w:sz w:val="26"/>
          <w:szCs w:val="26"/>
        </w:rPr>
        <w:t>of</w:t>
      </w:r>
      <w:r w:rsidR="001776EB" w:rsidRPr="00D25936">
        <w:rPr>
          <w:rFonts w:ascii="Times New Roman" w:hAnsi="Times New Roman" w:cs="Times New Roman"/>
          <w:sz w:val="26"/>
          <w:szCs w:val="26"/>
        </w:rPr>
        <w:t xml:space="preserve"> 9 September 2022</w:t>
      </w:r>
      <w:r w:rsidR="00F42923">
        <w:rPr>
          <w:rFonts w:ascii="Times New Roman" w:hAnsi="Times New Roman" w:cs="Times New Roman"/>
          <w:sz w:val="26"/>
          <w:szCs w:val="26"/>
        </w:rPr>
        <w:t xml:space="preserve"> described the first respondent </w:t>
      </w:r>
      <w:r w:rsidR="001776EB" w:rsidRPr="00D25936">
        <w:rPr>
          <w:rFonts w:ascii="Times New Roman" w:hAnsi="Times New Roman" w:cs="Times New Roman"/>
          <w:sz w:val="26"/>
          <w:szCs w:val="26"/>
        </w:rPr>
        <w:t xml:space="preserve"> </w:t>
      </w:r>
      <w:r w:rsidR="00F42923">
        <w:rPr>
          <w:rFonts w:ascii="Times New Roman" w:hAnsi="Times New Roman" w:cs="Times New Roman"/>
          <w:sz w:val="26"/>
          <w:szCs w:val="26"/>
        </w:rPr>
        <w:t xml:space="preserve">as </w:t>
      </w:r>
      <w:r w:rsidR="001776EB" w:rsidRPr="00D25936">
        <w:rPr>
          <w:rFonts w:ascii="Times New Roman" w:hAnsi="Times New Roman" w:cs="Times New Roman"/>
          <w:i/>
          <w:iCs/>
          <w:color w:val="000000" w:themeColor="text1"/>
          <w:sz w:val="26"/>
          <w:szCs w:val="26"/>
        </w:rPr>
        <w:t>“Neovision Woodstock Incorporated trading as Neovision Waterfront”</w:t>
      </w:r>
      <w:r w:rsidR="00F42923">
        <w:rPr>
          <w:rFonts w:ascii="Times New Roman" w:hAnsi="Times New Roman" w:cs="Times New Roman"/>
          <w:i/>
          <w:iCs/>
          <w:color w:val="000000" w:themeColor="text1"/>
          <w:sz w:val="26"/>
          <w:szCs w:val="26"/>
        </w:rPr>
        <w:t xml:space="preserve">, </w:t>
      </w:r>
      <w:r w:rsidRPr="00F42923">
        <w:rPr>
          <w:rFonts w:ascii="Times New Roman" w:hAnsi="Times New Roman" w:cs="Times New Roman"/>
          <w:sz w:val="26"/>
          <w:szCs w:val="26"/>
        </w:rPr>
        <w:t xml:space="preserve">clause 1.2 of the addendum dated 27 October 2022 states as follows: </w:t>
      </w:r>
      <w:r w:rsidRPr="00F42923">
        <w:rPr>
          <w:rFonts w:ascii="Times New Roman" w:hAnsi="Times New Roman" w:cs="Times New Roman"/>
          <w:i/>
          <w:iCs/>
          <w:sz w:val="26"/>
          <w:szCs w:val="26"/>
        </w:rPr>
        <w:t>“The parties to this addendum agree that all references to Neovision Woodstock or Neovision Woodstock Incorporated in any existing agreement shall hereafter be a reference to Neovision Waterfront”.</w:t>
      </w:r>
      <w:r w:rsidR="00F42923">
        <w:rPr>
          <w:rFonts w:ascii="Times New Roman" w:hAnsi="Times New Roman" w:cs="Times New Roman"/>
          <w:i/>
          <w:iCs/>
          <w:sz w:val="26"/>
          <w:szCs w:val="26"/>
        </w:rPr>
        <w:t xml:space="preserve"> </w:t>
      </w:r>
      <w:r w:rsidR="00F42923">
        <w:rPr>
          <w:rFonts w:ascii="Times New Roman" w:hAnsi="Times New Roman" w:cs="Times New Roman"/>
          <w:sz w:val="26"/>
          <w:szCs w:val="26"/>
        </w:rPr>
        <w:t xml:space="preserve">This was consistent with the accompanying name-change effected on </w:t>
      </w:r>
      <w:r w:rsidR="001776EB" w:rsidRPr="00F42923">
        <w:rPr>
          <w:rFonts w:ascii="Times New Roman" w:hAnsi="Times New Roman" w:cs="Times New Roman"/>
          <w:sz w:val="26"/>
          <w:szCs w:val="26"/>
        </w:rPr>
        <w:t xml:space="preserve">27 October 2022, in which the first respondent was described as </w:t>
      </w:r>
      <w:r w:rsidR="001776EB" w:rsidRPr="00F42923">
        <w:rPr>
          <w:rFonts w:ascii="Times New Roman" w:hAnsi="Times New Roman" w:cs="Times New Roman"/>
          <w:i/>
          <w:iCs/>
          <w:color w:val="000000" w:themeColor="text1"/>
          <w:sz w:val="26"/>
          <w:szCs w:val="26"/>
        </w:rPr>
        <w:t>“Neovision Waterfront Incorporated (previously Neovision Woodstock Incorporated trading as Neovision Waterfront), a company registered in accordance with the laws of South Africa under registration number 2017/412232/21, 8 Dock Road, Cape Town City Centre, Waterfront, 8001, Cape Town, South Africa (Neovision, Waterfront)”.</w:t>
      </w:r>
    </w:p>
    <w:p w:rsidR="00F42923" w:rsidRPr="00F42923" w:rsidRDefault="00F42923" w:rsidP="00F42923">
      <w:pPr>
        <w:pStyle w:val="ListParagraph"/>
        <w:rPr>
          <w:rFonts w:ascii="Times New Roman" w:hAnsi="Times New Roman" w:cs="Times New Roman"/>
          <w:color w:val="242121"/>
          <w:sz w:val="26"/>
          <w:szCs w:val="26"/>
          <w:shd w:val="clear" w:color="auto" w:fill="FFFFFF"/>
        </w:rPr>
      </w:pPr>
    </w:p>
    <w:p w:rsidR="000D5C96" w:rsidRPr="00440E78" w:rsidRDefault="001776EB" w:rsidP="00F42923">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242121"/>
          <w:sz w:val="26"/>
          <w:szCs w:val="26"/>
          <w:shd w:val="clear" w:color="auto" w:fill="FFFFFF"/>
        </w:rPr>
      </w:pPr>
      <w:r w:rsidRPr="00F42923">
        <w:rPr>
          <w:rFonts w:ascii="Times New Roman" w:hAnsi="Times New Roman" w:cs="Times New Roman"/>
          <w:sz w:val="26"/>
          <w:szCs w:val="26"/>
        </w:rPr>
        <w:t>The</w:t>
      </w:r>
      <w:r w:rsidR="00F42923">
        <w:rPr>
          <w:rFonts w:ascii="Times New Roman" w:hAnsi="Times New Roman" w:cs="Times New Roman"/>
          <w:sz w:val="26"/>
          <w:szCs w:val="26"/>
        </w:rPr>
        <w:t xml:space="preserve">re is no doubt that these descriptions </w:t>
      </w:r>
      <w:r w:rsidRPr="00F42923">
        <w:rPr>
          <w:rFonts w:ascii="Times New Roman" w:hAnsi="Times New Roman" w:cs="Times New Roman"/>
          <w:sz w:val="26"/>
          <w:szCs w:val="26"/>
        </w:rPr>
        <w:t>show</w:t>
      </w:r>
      <w:r w:rsidR="00F42923">
        <w:rPr>
          <w:rFonts w:ascii="Times New Roman" w:hAnsi="Times New Roman" w:cs="Times New Roman"/>
          <w:sz w:val="26"/>
          <w:szCs w:val="26"/>
        </w:rPr>
        <w:t xml:space="preserve"> a decisive and intentional </w:t>
      </w:r>
      <w:r w:rsidRPr="00F42923">
        <w:rPr>
          <w:rFonts w:ascii="Times New Roman" w:hAnsi="Times New Roman" w:cs="Times New Roman"/>
          <w:sz w:val="26"/>
          <w:szCs w:val="26"/>
        </w:rPr>
        <w:t xml:space="preserve">move </w:t>
      </w:r>
      <w:r w:rsidR="00F42923">
        <w:rPr>
          <w:rFonts w:ascii="Times New Roman" w:hAnsi="Times New Roman" w:cs="Times New Roman"/>
          <w:sz w:val="26"/>
          <w:szCs w:val="26"/>
        </w:rPr>
        <w:t xml:space="preserve">away </w:t>
      </w:r>
      <w:r w:rsidRPr="00F42923">
        <w:rPr>
          <w:rFonts w:ascii="Times New Roman" w:hAnsi="Times New Roman" w:cs="Times New Roman"/>
          <w:sz w:val="26"/>
          <w:szCs w:val="26"/>
        </w:rPr>
        <w:t xml:space="preserve">from the Woodstock </w:t>
      </w:r>
      <w:r w:rsidR="00F42923">
        <w:rPr>
          <w:rFonts w:ascii="Times New Roman" w:hAnsi="Times New Roman" w:cs="Times New Roman"/>
          <w:sz w:val="26"/>
          <w:szCs w:val="26"/>
        </w:rPr>
        <w:t>address</w:t>
      </w:r>
      <w:r w:rsidRPr="00F42923">
        <w:rPr>
          <w:rFonts w:ascii="Times New Roman" w:hAnsi="Times New Roman" w:cs="Times New Roman"/>
          <w:sz w:val="26"/>
          <w:szCs w:val="26"/>
        </w:rPr>
        <w:t xml:space="preserve"> to the </w:t>
      </w:r>
      <w:r w:rsidR="00F42923">
        <w:rPr>
          <w:rFonts w:ascii="Times New Roman" w:hAnsi="Times New Roman" w:cs="Times New Roman"/>
          <w:sz w:val="26"/>
          <w:szCs w:val="26"/>
        </w:rPr>
        <w:t>W</w:t>
      </w:r>
      <w:r w:rsidRPr="00F42923">
        <w:rPr>
          <w:rFonts w:ascii="Times New Roman" w:hAnsi="Times New Roman" w:cs="Times New Roman"/>
          <w:sz w:val="26"/>
          <w:szCs w:val="26"/>
        </w:rPr>
        <w:t xml:space="preserve">aterfront </w:t>
      </w:r>
      <w:r w:rsidR="00F42923">
        <w:rPr>
          <w:rFonts w:ascii="Times New Roman" w:hAnsi="Times New Roman" w:cs="Times New Roman"/>
          <w:sz w:val="26"/>
          <w:szCs w:val="26"/>
        </w:rPr>
        <w:t xml:space="preserve">address </w:t>
      </w:r>
      <w:r w:rsidRPr="00F42923">
        <w:rPr>
          <w:rFonts w:ascii="Times New Roman" w:hAnsi="Times New Roman" w:cs="Times New Roman"/>
          <w:sz w:val="26"/>
          <w:szCs w:val="26"/>
        </w:rPr>
        <w:t>as the first respondent’s area of practice.</w:t>
      </w:r>
      <w:r w:rsidR="00F42923">
        <w:rPr>
          <w:rFonts w:ascii="Times New Roman" w:hAnsi="Times New Roman" w:cs="Times New Roman"/>
          <w:sz w:val="26"/>
          <w:szCs w:val="26"/>
        </w:rPr>
        <w:t xml:space="preserve"> In that context, </w:t>
      </w:r>
      <w:r w:rsidR="000D5C96" w:rsidRPr="00F42923">
        <w:rPr>
          <w:rFonts w:ascii="Times New Roman" w:hAnsi="Times New Roman" w:cs="Times New Roman"/>
          <w:sz w:val="26"/>
          <w:szCs w:val="26"/>
        </w:rPr>
        <w:t>the contention of the respondents is an unbusinesslike interpretation of</w:t>
      </w:r>
      <w:r w:rsidR="00F42923">
        <w:rPr>
          <w:rFonts w:ascii="Times New Roman" w:hAnsi="Times New Roman" w:cs="Times New Roman"/>
          <w:sz w:val="26"/>
          <w:szCs w:val="26"/>
        </w:rPr>
        <w:t xml:space="preserve"> the agreement which leads to insensible results.</w:t>
      </w:r>
      <w:r w:rsidR="000D5C96" w:rsidRPr="000D5C96">
        <w:rPr>
          <w:rStyle w:val="FootnoteReference"/>
          <w:rFonts w:ascii="Times New Roman" w:hAnsi="Times New Roman" w:cs="Times New Roman"/>
          <w:sz w:val="26"/>
          <w:szCs w:val="26"/>
        </w:rPr>
        <w:footnoteReference w:id="14"/>
      </w:r>
      <w:r w:rsidR="000D5C96" w:rsidRPr="00F42923">
        <w:rPr>
          <w:rFonts w:ascii="Times New Roman" w:hAnsi="Times New Roman" w:cs="Times New Roman"/>
          <w:sz w:val="26"/>
          <w:szCs w:val="26"/>
        </w:rPr>
        <w:t xml:space="preserve"> </w:t>
      </w:r>
      <w:r w:rsidR="00F42923">
        <w:rPr>
          <w:rFonts w:ascii="Times New Roman" w:hAnsi="Times New Roman" w:cs="Times New Roman"/>
          <w:sz w:val="26"/>
          <w:szCs w:val="26"/>
        </w:rPr>
        <w:t xml:space="preserve"> It </w:t>
      </w:r>
      <w:r w:rsidR="000D5C96" w:rsidRPr="00F42923">
        <w:rPr>
          <w:rFonts w:ascii="Times New Roman" w:hAnsi="Times New Roman" w:cs="Times New Roman"/>
          <w:sz w:val="26"/>
          <w:szCs w:val="26"/>
        </w:rPr>
        <w:t>does not accord with the commercial reality which has existed for the past few years.  If the respondents’ interpretation were to be upheld, that would mean the agreement</w:t>
      </w:r>
      <w:r w:rsidR="00440E78">
        <w:rPr>
          <w:rFonts w:ascii="Times New Roman" w:hAnsi="Times New Roman" w:cs="Times New Roman"/>
          <w:sz w:val="26"/>
          <w:szCs w:val="26"/>
        </w:rPr>
        <w:t xml:space="preserve"> and the arrangements between the parties have</w:t>
      </w:r>
      <w:r w:rsidR="000D5C96" w:rsidRPr="00F42923">
        <w:rPr>
          <w:rFonts w:ascii="Times New Roman" w:hAnsi="Times New Roman" w:cs="Times New Roman"/>
          <w:sz w:val="26"/>
          <w:szCs w:val="26"/>
        </w:rPr>
        <w:t xml:space="preserve"> not been enforceable during that period.  That is quite clearly not the intention that the parties have had in that time.  In fact, it is undisputed that the parties held a meeting in July 2023 at which the operation of the agreement was confirmed, at least until end of September 2023.  There was no mention there of the agreement not being operational as a result of failure to effect the relocation amendment </w:t>
      </w:r>
      <w:r w:rsidR="00440E78">
        <w:rPr>
          <w:rFonts w:ascii="Times New Roman" w:hAnsi="Times New Roman" w:cs="Times New Roman"/>
          <w:sz w:val="26"/>
          <w:szCs w:val="26"/>
        </w:rPr>
        <w:t xml:space="preserve">from Woodstock </w:t>
      </w:r>
      <w:r w:rsidR="000D5C96" w:rsidRPr="00F42923">
        <w:rPr>
          <w:rFonts w:ascii="Times New Roman" w:hAnsi="Times New Roman" w:cs="Times New Roman"/>
          <w:sz w:val="26"/>
          <w:szCs w:val="26"/>
        </w:rPr>
        <w:t xml:space="preserve">in writing. </w:t>
      </w:r>
    </w:p>
    <w:p w:rsidR="00440E78" w:rsidRPr="00440E78" w:rsidRDefault="00440E78" w:rsidP="00440E78">
      <w:pPr>
        <w:pStyle w:val="ListParagraph"/>
        <w:rPr>
          <w:rFonts w:ascii="Times New Roman" w:hAnsi="Times New Roman" w:cs="Times New Roman"/>
          <w:color w:val="242121"/>
          <w:sz w:val="26"/>
          <w:szCs w:val="26"/>
          <w:shd w:val="clear" w:color="auto" w:fill="FFFFFF"/>
        </w:rPr>
      </w:pPr>
    </w:p>
    <w:p w:rsidR="00440E78" w:rsidRDefault="00440E78" w:rsidP="00F42923">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242121"/>
          <w:sz w:val="26"/>
          <w:szCs w:val="26"/>
          <w:shd w:val="clear" w:color="auto" w:fill="FFFFFF"/>
        </w:rPr>
      </w:pPr>
      <w:r>
        <w:rPr>
          <w:rFonts w:ascii="Times New Roman" w:hAnsi="Times New Roman" w:cs="Times New Roman"/>
          <w:color w:val="242121"/>
          <w:sz w:val="26"/>
          <w:szCs w:val="26"/>
          <w:shd w:val="clear" w:color="auto" w:fill="FFFFFF"/>
        </w:rPr>
        <w:t xml:space="preserve">I am therefore persuaded that the applicant has established a </w:t>
      </w:r>
      <w:r w:rsidRPr="00440E78">
        <w:rPr>
          <w:rFonts w:ascii="Times New Roman" w:hAnsi="Times New Roman" w:cs="Times New Roman"/>
          <w:i/>
          <w:iCs/>
          <w:color w:val="242121"/>
          <w:sz w:val="26"/>
          <w:szCs w:val="26"/>
          <w:shd w:val="clear" w:color="auto" w:fill="FFFFFF"/>
        </w:rPr>
        <w:t>prima facie</w:t>
      </w:r>
      <w:r>
        <w:rPr>
          <w:rFonts w:ascii="Times New Roman" w:hAnsi="Times New Roman" w:cs="Times New Roman"/>
          <w:color w:val="242121"/>
          <w:sz w:val="26"/>
          <w:szCs w:val="26"/>
          <w:shd w:val="clear" w:color="auto" w:fill="FFFFFF"/>
        </w:rPr>
        <w:t xml:space="preserve"> case, based on the terms of the agreement.</w:t>
      </w:r>
    </w:p>
    <w:p w:rsidR="00440E78" w:rsidRPr="00440E78" w:rsidRDefault="00440E78" w:rsidP="00440E78">
      <w:pPr>
        <w:pStyle w:val="ListParagraph"/>
        <w:rPr>
          <w:rFonts w:ascii="Times New Roman" w:hAnsi="Times New Roman" w:cs="Times New Roman"/>
          <w:color w:val="242121"/>
          <w:sz w:val="26"/>
          <w:szCs w:val="26"/>
          <w:shd w:val="clear" w:color="auto" w:fill="FFFFFF"/>
        </w:rPr>
      </w:pPr>
    </w:p>
    <w:p w:rsidR="00440E78" w:rsidRPr="00440E78" w:rsidRDefault="00210F59" w:rsidP="00440E78">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000000" w:themeColor="text1"/>
          <w:sz w:val="26"/>
          <w:szCs w:val="26"/>
          <w:shd w:val="clear" w:color="auto" w:fill="FFFFFF"/>
        </w:rPr>
      </w:pPr>
      <w:r w:rsidRPr="00440E78">
        <w:rPr>
          <w:rFonts w:ascii="Times New Roman" w:hAnsi="Times New Roman" w:cs="Times New Roman"/>
          <w:color w:val="000000" w:themeColor="text1"/>
          <w:sz w:val="26"/>
          <w:szCs w:val="26"/>
        </w:rPr>
        <w:t xml:space="preserve">As for irreparable harm, </w:t>
      </w:r>
      <w:r w:rsidR="00440E78" w:rsidRPr="00440E78">
        <w:rPr>
          <w:rFonts w:ascii="Times New Roman" w:hAnsi="Times New Roman" w:cs="Times New Roman"/>
          <w:color w:val="000000" w:themeColor="text1"/>
          <w:sz w:val="26"/>
          <w:szCs w:val="26"/>
        </w:rPr>
        <w:t xml:space="preserve">I am in agreement with </w:t>
      </w:r>
      <w:r w:rsidRPr="00440E78">
        <w:rPr>
          <w:rFonts w:ascii="Times New Roman" w:hAnsi="Times New Roman" w:cs="Times New Roman"/>
          <w:color w:val="000000" w:themeColor="text1"/>
          <w:sz w:val="26"/>
          <w:szCs w:val="26"/>
        </w:rPr>
        <w:t>the applicant that if the restraint undertakin</w:t>
      </w:r>
      <w:r w:rsidR="00617187" w:rsidRPr="00440E78">
        <w:rPr>
          <w:rFonts w:ascii="Times New Roman" w:hAnsi="Times New Roman" w:cs="Times New Roman"/>
          <w:color w:val="000000" w:themeColor="text1"/>
          <w:sz w:val="26"/>
          <w:szCs w:val="26"/>
        </w:rPr>
        <w:t>gs are not immediately enforced</w:t>
      </w:r>
      <w:r w:rsidRPr="00440E78">
        <w:rPr>
          <w:rFonts w:ascii="Times New Roman" w:hAnsi="Times New Roman" w:cs="Times New Roman"/>
          <w:color w:val="000000" w:themeColor="text1"/>
          <w:sz w:val="26"/>
          <w:szCs w:val="26"/>
        </w:rPr>
        <w:t xml:space="preserve">, at least on an interim basis, the respondents will </w:t>
      </w:r>
      <w:r w:rsidR="00617187" w:rsidRPr="00440E78">
        <w:rPr>
          <w:rFonts w:ascii="Times New Roman" w:hAnsi="Times New Roman" w:cs="Times New Roman"/>
          <w:color w:val="000000" w:themeColor="text1"/>
          <w:sz w:val="26"/>
          <w:szCs w:val="26"/>
        </w:rPr>
        <w:t xml:space="preserve">be able to establish their </w:t>
      </w:r>
      <w:r w:rsidRPr="00440E78">
        <w:rPr>
          <w:rFonts w:ascii="Times New Roman" w:hAnsi="Times New Roman" w:cs="Times New Roman"/>
          <w:color w:val="000000" w:themeColor="text1"/>
          <w:sz w:val="26"/>
          <w:szCs w:val="26"/>
        </w:rPr>
        <w:t>competing business in clear breach of the restrained undertaking</w:t>
      </w:r>
      <w:r w:rsidR="00617187" w:rsidRPr="00440E78">
        <w:rPr>
          <w:rFonts w:ascii="Times New Roman" w:hAnsi="Times New Roman" w:cs="Times New Roman"/>
          <w:color w:val="000000" w:themeColor="text1"/>
          <w:sz w:val="26"/>
          <w:szCs w:val="26"/>
        </w:rPr>
        <w:t>s</w:t>
      </w:r>
      <w:r w:rsidR="00440E78" w:rsidRPr="00440E78">
        <w:rPr>
          <w:rFonts w:ascii="Times New Roman" w:hAnsi="Times New Roman" w:cs="Times New Roman"/>
          <w:color w:val="000000" w:themeColor="text1"/>
          <w:sz w:val="26"/>
          <w:szCs w:val="26"/>
        </w:rPr>
        <w:t xml:space="preserve"> which are contained in the agreement,</w:t>
      </w:r>
      <w:r w:rsidRPr="00440E78">
        <w:rPr>
          <w:rFonts w:ascii="Times New Roman" w:hAnsi="Times New Roman" w:cs="Times New Roman"/>
          <w:color w:val="000000" w:themeColor="text1"/>
          <w:sz w:val="26"/>
          <w:szCs w:val="26"/>
        </w:rPr>
        <w:t xml:space="preserve"> </w:t>
      </w:r>
      <w:r w:rsidR="008F24D3" w:rsidRPr="00440E78">
        <w:rPr>
          <w:rFonts w:ascii="Times New Roman" w:hAnsi="Times New Roman" w:cs="Times New Roman"/>
          <w:color w:val="000000" w:themeColor="text1"/>
          <w:sz w:val="26"/>
          <w:szCs w:val="26"/>
        </w:rPr>
        <w:t>a</w:t>
      </w:r>
      <w:r w:rsidRPr="00440E78">
        <w:rPr>
          <w:rFonts w:ascii="Times New Roman" w:hAnsi="Times New Roman" w:cs="Times New Roman"/>
          <w:color w:val="000000" w:themeColor="text1"/>
          <w:sz w:val="26"/>
          <w:szCs w:val="26"/>
        </w:rPr>
        <w:t>nd w</w:t>
      </w:r>
      <w:r w:rsidR="008F24D3" w:rsidRPr="00440E78">
        <w:rPr>
          <w:rFonts w:ascii="Times New Roman" w:hAnsi="Times New Roman" w:cs="Times New Roman"/>
          <w:color w:val="000000" w:themeColor="text1"/>
          <w:sz w:val="26"/>
          <w:szCs w:val="26"/>
        </w:rPr>
        <w:t>i</w:t>
      </w:r>
      <w:r w:rsidRPr="00440E78">
        <w:rPr>
          <w:rFonts w:ascii="Times New Roman" w:hAnsi="Times New Roman" w:cs="Times New Roman"/>
          <w:color w:val="000000" w:themeColor="text1"/>
          <w:sz w:val="26"/>
          <w:szCs w:val="26"/>
        </w:rPr>
        <w:t>ll be able to use the information and clients gained from trading under the applicant</w:t>
      </w:r>
      <w:r w:rsidR="003078A5" w:rsidRPr="00440E78">
        <w:rPr>
          <w:rFonts w:ascii="Times New Roman" w:hAnsi="Times New Roman" w:cs="Times New Roman"/>
          <w:color w:val="000000" w:themeColor="text1"/>
          <w:sz w:val="26"/>
          <w:szCs w:val="26"/>
        </w:rPr>
        <w:t>’</w:t>
      </w:r>
      <w:r w:rsidRPr="00440E78">
        <w:rPr>
          <w:rFonts w:ascii="Times New Roman" w:hAnsi="Times New Roman" w:cs="Times New Roman"/>
          <w:color w:val="000000" w:themeColor="text1"/>
          <w:sz w:val="26"/>
          <w:szCs w:val="26"/>
        </w:rPr>
        <w:t xml:space="preserve">s name with clear prejudice to the applicant. </w:t>
      </w:r>
    </w:p>
    <w:p w:rsidR="00440E78" w:rsidRPr="00440E78" w:rsidRDefault="00440E78" w:rsidP="00440E78">
      <w:pPr>
        <w:pStyle w:val="ListParagraph"/>
        <w:rPr>
          <w:rFonts w:ascii="Times New Roman" w:hAnsi="Times New Roman" w:cs="Times New Roman"/>
          <w:color w:val="000000" w:themeColor="text1"/>
          <w:sz w:val="26"/>
          <w:szCs w:val="26"/>
        </w:rPr>
      </w:pPr>
    </w:p>
    <w:p w:rsidR="00440E78" w:rsidRPr="00440E78" w:rsidRDefault="003078A5" w:rsidP="00440E78">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000000" w:themeColor="text1"/>
          <w:sz w:val="26"/>
          <w:szCs w:val="26"/>
          <w:shd w:val="clear" w:color="auto" w:fill="FFFFFF"/>
        </w:rPr>
      </w:pPr>
      <w:r w:rsidRPr="00440E78">
        <w:rPr>
          <w:rFonts w:ascii="Times New Roman" w:hAnsi="Times New Roman" w:cs="Times New Roman"/>
          <w:color w:val="000000" w:themeColor="text1"/>
          <w:sz w:val="26"/>
          <w:szCs w:val="26"/>
        </w:rPr>
        <w:t xml:space="preserve"> </w:t>
      </w:r>
      <w:r w:rsidR="00210F59" w:rsidRPr="00440E78">
        <w:rPr>
          <w:rFonts w:ascii="Times New Roman" w:hAnsi="Times New Roman" w:cs="Times New Roman"/>
          <w:sz w:val="26"/>
          <w:szCs w:val="26"/>
        </w:rPr>
        <w:t xml:space="preserve">I am furthermore of the view that the balance of convenience favours </w:t>
      </w:r>
      <w:r w:rsidRPr="00440E78">
        <w:rPr>
          <w:rFonts w:ascii="Times New Roman" w:hAnsi="Times New Roman" w:cs="Times New Roman"/>
          <w:sz w:val="26"/>
          <w:szCs w:val="26"/>
        </w:rPr>
        <w:t>t</w:t>
      </w:r>
      <w:r w:rsidR="00210F59" w:rsidRPr="00440E78">
        <w:rPr>
          <w:rFonts w:ascii="Times New Roman" w:hAnsi="Times New Roman" w:cs="Times New Roman"/>
          <w:sz w:val="26"/>
          <w:szCs w:val="26"/>
        </w:rPr>
        <w:t>he granting of the interim interdict because the applicant’s contractual right</w:t>
      </w:r>
      <w:r w:rsidRPr="00440E78">
        <w:rPr>
          <w:rFonts w:ascii="Times New Roman" w:hAnsi="Times New Roman" w:cs="Times New Roman"/>
          <w:sz w:val="26"/>
          <w:szCs w:val="26"/>
        </w:rPr>
        <w:t>s</w:t>
      </w:r>
      <w:r w:rsidR="00210F59" w:rsidRPr="00440E78">
        <w:rPr>
          <w:rFonts w:ascii="Times New Roman" w:hAnsi="Times New Roman" w:cs="Times New Roman"/>
          <w:sz w:val="26"/>
          <w:szCs w:val="26"/>
        </w:rPr>
        <w:t xml:space="preserve"> to protect </w:t>
      </w:r>
      <w:r w:rsidRPr="00440E78">
        <w:rPr>
          <w:rFonts w:ascii="Times New Roman" w:hAnsi="Times New Roman" w:cs="Times New Roman"/>
          <w:sz w:val="26"/>
          <w:szCs w:val="26"/>
        </w:rPr>
        <w:t>i</w:t>
      </w:r>
      <w:r w:rsidR="00210F59" w:rsidRPr="00440E78">
        <w:rPr>
          <w:rFonts w:ascii="Times New Roman" w:hAnsi="Times New Roman" w:cs="Times New Roman"/>
          <w:sz w:val="26"/>
          <w:szCs w:val="26"/>
        </w:rPr>
        <w:t>t</w:t>
      </w:r>
      <w:r w:rsidRPr="00440E78">
        <w:rPr>
          <w:rFonts w:ascii="Times New Roman" w:hAnsi="Times New Roman" w:cs="Times New Roman"/>
          <w:sz w:val="26"/>
          <w:szCs w:val="26"/>
        </w:rPr>
        <w:t>s interests</w:t>
      </w:r>
      <w:r w:rsidR="00210F59" w:rsidRPr="00440E78">
        <w:rPr>
          <w:rFonts w:ascii="Times New Roman" w:hAnsi="Times New Roman" w:cs="Times New Roman"/>
          <w:sz w:val="26"/>
          <w:szCs w:val="26"/>
        </w:rPr>
        <w:t xml:space="preserve"> </w:t>
      </w:r>
      <w:r w:rsidRPr="00440E78">
        <w:rPr>
          <w:rFonts w:ascii="Times New Roman" w:hAnsi="Times New Roman" w:cs="Times New Roman"/>
          <w:sz w:val="26"/>
          <w:szCs w:val="26"/>
        </w:rPr>
        <w:t>will</w:t>
      </w:r>
      <w:r w:rsidR="00210F59" w:rsidRPr="00440E78">
        <w:rPr>
          <w:rFonts w:ascii="Times New Roman" w:hAnsi="Times New Roman" w:cs="Times New Roman"/>
          <w:sz w:val="26"/>
          <w:szCs w:val="26"/>
        </w:rPr>
        <w:t xml:space="preserve"> be rendered nugatory if the interim interdict is not granted</w:t>
      </w:r>
      <w:r w:rsidR="00440E78">
        <w:rPr>
          <w:rFonts w:ascii="Times New Roman" w:hAnsi="Times New Roman" w:cs="Times New Roman"/>
          <w:sz w:val="26"/>
          <w:szCs w:val="26"/>
        </w:rPr>
        <w:t>. C</w:t>
      </w:r>
      <w:r w:rsidRPr="00440E78">
        <w:rPr>
          <w:rFonts w:ascii="Times New Roman" w:hAnsi="Times New Roman" w:cs="Times New Roman"/>
          <w:sz w:val="26"/>
          <w:szCs w:val="26"/>
        </w:rPr>
        <w:t>o</w:t>
      </w:r>
      <w:r w:rsidR="00210F59" w:rsidRPr="00440E78">
        <w:rPr>
          <w:rFonts w:ascii="Times New Roman" w:hAnsi="Times New Roman" w:cs="Times New Roman"/>
          <w:sz w:val="26"/>
          <w:szCs w:val="26"/>
        </w:rPr>
        <w:t xml:space="preserve">ncomitantly, the respondents will be entitled to act in flagrant disregard of the </w:t>
      </w:r>
      <w:r w:rsidRPr="00440E78">
        <w:rPr>
          <w:rFonts w:ascii="Times New Roman" w:hAnsi="Times New Roman" w:cs="Times New Roman"/>
          <w:sz w:val="26"/>
          <w:szCs w:val="26"/>
        </w:rPr>
        <w:t>c</w:t>
      </w:r>
      <w:r w:rsidR="00210F59" w:rsidRPr="00440E78">
        <w:rPr>
          <w:rFonts w:ascii="Times New Roman" w:hAnsi="Times New Roman" w:cs="Times New Roman"/>
          <w:sz w:val="26"/>
          <w:szCs w:val="26"/>
        </w:rPr>
        <w:t xml:space="preserve">lear contractual terms </w:t>
      </w:r>
      <w:r w:rsidRPr="00440E78">
        <w:rPr>
          <w:rFonts w:ascii="Times New Roman" w:hAnsi="Times New Roman" w:cs="Times New Roman"/>
          <w:sz w:val="26"/>
          <w:szCs w:val="26"/>
        </w:rPr>
        <w:t>to</w:t>
      </w:r>
      <w:r w:rsidR="00210F59" w:rsidRPr="00440E78">
        <w:rPr>
          <w:rFonts w:ascii="Times New Roman" w:hAnsi="Times New Roman" w:cs="Times New Roman"/>
          <w:sz w:val="26"/>
          <w:szCs w:val="26"/>
        </w:rPr>
        <w:t xml:space="preserve"> which they</w:t>
      </w:r>
      <w:r w:rsidR="00440E78">
        <w:rPr>
          <w:rFonts w:ascii="Times New Roman" w:hAnsi="Times New Roman" w:cs="Times New Roman"/>
          <w:sz w:val="26"/>
          <w:szCs w:val="26"/>
        </w:rPr>
        <w:t xml:space="preserve"> have</w:t>
      </w:r>
      <w:r w:rsidR="00210F59" w:rsidRPr="00440E78">
        <w:rPr>
          <w:rFonts w:ascii="Times New Roman" w:hAnsi="Times New Roman" w:cs="Times New Roman"/>
          <w:sz w:val="26"/>
          <w:szCs w:val="26"/>
        </w:rPr>
        <w:t xml:space="preserve"> agreed. </w:t>
      </w:r>
    </w:p>
    <w:p w:rsidR="00440E78" w:rsidRPr="00440E78" w:rsidRDefault="00440E78" w:rsidP="00440E78">
      <w:pPr>
        <w:pStyle w:val="ListParagraph"/>
        <w:rPr>
          <w:rFonts w:ascii="Times New Roman" w:hAnsi="Times New Roman" w:cs="Times New Roman"/>
          <w:color w:val="000000" w:themeColor="text1"/>
          <w:sz w:val="26"/>
          <w:szCs w:val="26"/>
          <w:shd w:val="clear" w:color="auto" w:fill="FFFFFF"/>
        </w:rPr>
      </w:pPr>
    </w:p>
    <w:p w:rsidR="00440E78" w:rsidRPr="00440E78" w:rsidRDefault="00440E78" w:rsidP="00440E78">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000000" w:themeColor="text1"/>
          <w:sz w:val="26"/>
          <w:szCs w:val="26"/>
          <w:shd w:val="clear" w:color="auto" w:fill="FFFFFF"/>
        </w:rPr>
      </w:pPr>
      <w:r w:rsidRPr="00440E78">
        <w:rPr>
          <w:rFonts w:ascii="Times New Roman" w:hAnsi="Times New Roman" w:cs="Times New Roman"/>
          <w:sz w:val="26"/>
          <w:szCs w:val="26"/>
        </w:rPr>
        <w:t>As regards the availability of an alternative relief, the respondents</w:t>
      </w:r>
      <w:r>
        <w:rPr>
          <w:rFonts w:ascii="Times New Roman" w:hAnsi="Times New Roman" w:cs="Times New Roman"/>
          <w:sz w:val="26"/>
          <w:szCs w:val="26"/>
        </w:rPr>
        <w:t xml:space="preserve"> point out that their</w:t>
      </w:r>
      <w:r w:rsidRPr="00440E78">
        <w:rPr>
          <w:rFonts w:ascii="Times New Roman" w:hAnsi="Times New Roman" w:cs="Times New Roman"/>
          <w:sz w:val="26"/>
          <w:szCs w:val="26"/>
        </w:rPr>
        <w:t xml:space="preserve"> attorneys extended an invitation to the applicant</w:t>
      </w:r>
      <w:r>
        <w:rPr>
          <w:rFonts w:ascii="Times New Roman" w:hAnsi="Times New Roman" w:cs="Times New Roman"/>
          <w:sz w:val="26"/>
          <w:szCs w:val="26"/>
        </w:rPr>
        <w:t>’s attorneys</w:t>
      </w:r>
      <w:r w:rsidRPr="00440E78">
        <w:rPr>
          <w:rFonts w:ascii="Times New Roman" w:hAnsi="Times New Roman" w:cs="Times New Roman"/>
          <w:sz w:val="26"/>
          <w:szCs w:val="26"/>
        </w:rPr>
        <w:t xml:space="preserve"> to deliver an </w:t>
      </w:r>
      <w:r w:rsidRPr="00440E78">
        <w:rPr>
          <w:rFonts w:ascii="Times New Roman" w:hAnsi="Times New Roman" w:cs="Times New Roman"/>
          <w:i/>
          <w:sz w:val="26"/>
          <w:szCs w:val="26"/>
        </w:rPr>
        <w:t>“appropriately worded undertaking”</w:t>
      </w:r>
      <w:r w:rsidRPr="00440E78">
        <w:rPr>
          <w:rFonts w:ascii="Times New Roman" w:hAnsi="Times New Roman" w:cs="Times New Roman"/>
          <w:sz w:val="26"/>
          <w:szCs w:val="26"/>
        </w:rPr>
        <w:t xml:space="preserve"> for the respondents’ consideration, or to formulate such undertaking for the applicant’s consideration.  That offer was made on 29 September 2023 when the parties were engaging in correspondence before the launching of these proceedings.  </w:t>
      </w:r>
      <w:r>
        <w:rPr>
          <w:rFonts w:ascii="Times New Roman" w:hAnsi="Times New Roman" w:cs="Times New Roman"/>
          <w:sz w:val="26"/>
          <w:szCs w:val="26"/>
        </w:rPr>
        <w:t>However, as the</w:t>
      </w:r>
      <w:r w:rsidRPr="00440E78">
        <w:rPr>
          <w:rFonts w:ascii="Times New Roman" w:hAnsi="Times New Roman" w:cs="Times New Roman"/>
          <w:sz w:val="26"/>
          <w:szCs w:val="26"/>
        </w:rPr>
        <w:t xml:space="preserve"> applicant </w:t>
      </w:r>
      <w:r>
        <w:rPr>
          <w:rFonts w:ascii="Times New Roman" w:hAnsi="Times New Roman" w:cs="Times New Roman"/>
          <w:sz w:val="26"/>
          <w:szCs w:val="26"/>
        </w:rPr>
        <w:t>points out,</w:t>
      </w:r>
      <w:r w:rsidRPr="00440E78">
        <w:rPr>
          <w:rFonts w:ascii="Times New Roman" w:hAnsi="Times New Roman" w:cs="Times New Roman"/>
          <w:sz w:val="26"/>
          <w:szCs w:val="26"/>
        </w:rPr>
        <w:t xml:space="preserve"> </w:t>
      </w:r>
      <w:r>
        <w:rPr>
          <w:rFonts w:ascii="Times New Roman" w:hAnsi="Times New Roman" w:cs="Times New Roman"/>
          <w:sz w:val="26"/>
          <w:szCs w:val="26"/>
        </w:rPr>
        <w:t xml:space="preserve">if the </w:t>
      </w:r>
      <w:r w:rsidRPr="00440E78">
        <w:rPr>
          <w:rFonts w:ascii="Times New Roman" w:hAnsi="Times New Roman" w:cs="Times New Roman"/>
          <w:sz w:val="26"/>
          <w:szCs w:val="26"/>
        </w:rPr>
        <w:t>existing restraint undertaking</w:t>
      </w:r>
      <w:r>
        <w:rPr>
          <w:rFonts w:ascii="Times New Roman" w:hAnsi="Times New Roman" w:cs="Times New Roman"/>
          <w:sz w:val="26"/>
          <w:szCs w:val="26"/>
        </w:rPr>
        <w:t xml:space="preserve"> was extant</w:t>
      </w:r>
      <w:r w:rsidRPr="00440E78">
        <w:rPr>
          <w:rFonts w:ascii="Times New Roman" w:hAnsi="Times New Roman" w:cs="Times New Roman"/>
          <w:sz w:val="26"/>
          <w:szCs w:val="26"/>
        </w:rPr>
        <w:t>, there was no need for a further undertaking to be agreed between the parties.  All that was required was for the respondents to comply with their existing legal obligations in terms of the agreement.  Furthermore, the applicant points out that an offer not to breach contractual obligations which are already breached cannot affect the applicant’s right to obtain int</w:t>
      </w:r>
      <w:r w:rsidR="00435F66">
        <w:rPr>
          <w:rFonts w:ascii="Times New Roman" w:hAnsi="Times New Roman" w:cs="Times New Roman"/>
          <w:sz w:val="26"/>
          <w:szCs w:val="26"/>
        </w:rPr>
        <w:t>e</w:t>
      </w:r>
      <w:r w:rsidRPr="00440E78">
        <w:rPr>
          <w:rFonts w:ascii="Times New Roman" w:hAnsi="Times New Roman" w:cs="Times New Roman"/>
          <w:sz w:val="26"/>
          <w:szCs w:val="26"/>
        </w:rPr>
        <w:t>rd</w:t>
      </w:r>
      <w:r w:rsidR="00435F66">
        <w:rPr>
          <w:rFonts w:ascii="Times New Roman" w:hAnsi="Times New Roman" w:cs="Times New Roman"/>
          <w:sz w:val="26"/>
          <w:szCs w:val="26"/>
        </w:rPr>
        <w:t>i</w:t>
      </w:r>
      <w:r w:rsidRPr="00440E78">
        <w:rPr>
          <w:rFonts w:ascii="Times New Roman" w:hAnsi="Times New Roman" w:cs="Times New Roman"/>
          <w:sz w:val="26"/>
          <w:szCs w:val="26"/>
        </w:rPr>
        <w:t>ct</w:t>
      </w:r>
      <w:r w:rsidR="00435F66">
        <w:rPr>
          <w:rFonts w:ascii="Times New Roman" w:hAnsi="Times New Roman" w:cs="Times New Roman"/>
          <w:sz w:val="26"/>
          <w:szCs w:val="26"/>
        </w:rPr>
        <w:t>o</w:t>
      </w:r>
      <w:r w:rsidRPr="00440E78">
        <w:rPr>
          <w:rFonts w:ascii="Times New Roman" w:hAnsi="Times New Roman" w:cs="Times New Roman"/>
          <w:sz w:val="26"/>
          <w:szCs w:val="26"/>
        </w:rPr>
        <w:t xml:space="preserve">ry relief. </w:t>
      </w:r>
    </w:p>
    <w:p w:rsidR="00440E78" w:rsidRPr="00440E78" w:rsidRDefault="00440E78" w:rsidP="00440E78">
      <w:pPr>
        <w:pStyle w:val="ListParagraph"/>
        <w:rPr>
          <w:rFonts w:ascii="Times New Roman" w:hAnsi="Times New Roman" w:cs="Times New Roman"/>
          <w:color w:val="000000" w:themeColor="text1"/>
          <w:sz w:val="26"/>
          <w:szCs w:val="26"/>
          <w:shd w:val="clear" w:color="auto" w:fill="FFFFFF"/>
        </w:rPr>
      </w:pPr>
    </w:p>
    <w:p w:rsidR="00320577" w:rsidRPr="00C153C0" w:rsidRDefault="00C153C0" w:rsidP="00C153C0">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000000" w:themeColor="text1"/>
          <w:sz w:val="26"/>
          <w:szCs w:val="26"/>
          <w:shd w:val="clear" w:color="auto" w:fill="FFFFFF"/>
        </w:rPr>
      </w:pPr>
      <w:r>
        <w:rPr>
          <w:rFonts w:ascii="Times New Roman" w:hAnsi="Times New Roman" w:cs="Times New Roman"/>
          <w:sz w:val="26"/>
          <w:szCs w:val="26"/>
        </w:rPr>
        <w:t xml:space="preserve">The respondents argue that </w:t>
      </w:r>
      <w:r w:rsidR="00210F59" w:rsidRPr="00440E78">
        <w:rPr>
          <w:rFonts w:ascii="Times New Roman" w:hAnsi="Times New Roman" w:cs="Times New Roman"/>
          <w:sz w:val="26"/>
          <w:szCs w:val="26"/>
        </w:rPr>
        <w:t>the applicant could still claim for damages</w:t>
      </w:r>
      <w:r>
        <w:rPr>
          <w:rFonts w:ascii="Times New Roman" w:hAnsi="Times New Roman" w:cs="Times New Roman"/>
          <w:sz w:val="26"/>
          <w:szCs w:val="26"/>
        </w:rPr>
        <w:t>. However,</w:t>
      </w:r>
      <w:r w:rsidR="00210F59" w:rsidRPr="00440E78">
        <w:rPr>
          <w:rFonts w:ascii="Times New Roman" w:hAnsi="Times New Roman" w:cs="Times New Roman"/>
          <w:sz w:val="26"/>
          <w:szCs w:val="26"/>
        </w:rPr>
        <w:t xml:space="preserve"> that is not a remedy that is </w:t>
      </w:r>
      <w:r>
        <w:rPr>
          <w:rFonts w:ascii="Times New Roman" w:hAnsi="Times New Roman" w:cs="Times New Roman"/>
          <w:sz w:val="26"/>
          <w:szCs w:val="26"/>
        </w:rPr>
        <w:t xml:space="preserve">immediately </w:t>
      </w:r>
      <w:r w:rsidR="00210F59" w:rsidRPr="00440E78">
        <w:rPr>
          <w:rFonts w:ascii="Times New Roman" w:hAnsi="Times New Roman" w:cs="Times New Roman"/>
          <w:sz w:val="26"/>
          <w:szCs w:val="26"/>
        </w:rPr>
        <w:t xml:space="preserve">available to </w:t>
      </w:r>
      <w:r>
        <w:rPr>
          <w:rFonts w:ascii="Times New Roman" w:hAnsi="Times New Roman" w:cs="Times New Roman"/>
          <w:sz w:val="26"/>
          <w:szCs w:val="26"/>
        </w:rPr>
        <w:t>avert the immediate</w:t>
      </w:r>
      <w:r w:rsidR="00210F59" w:rsidRPr="00440E78">
        <w:rPr>
          <w:rFonts w:ascii="Times New Roman" w:hAnsi="Times New Roman" w:cs="Times New Roman"/>
          <w:sz w:val="26"/>
          <w:szCs w:val="26"/>
        </w:rPr>
        <w:t xml:space="preserve"> harm </w:t>
      </w:r>
      <w:r>
        <w:rPr>
          <w:rFonts w:ascii="Times New Roman" w:hAnsi="Times New Roman" w:cs="Times New Roman"/>
          <w:sz w:val="26"/>
          <w:szCs w:val="26"/>
        </w:rPr>
        <w:t xml:space="preserve">to be caused by the respondents’ unlawful conduct of competing contrary to the terms of the agreement. The same applies in respect of the applicant’s right to </w:t>
      </w:r>
      <w:r w:rsidRPr="00440E78">
        <w:rPr>
          <w:rFonts w:ascii="Times New Roman" w:hAnsi="Times New Roman" w:cs="Times New Roman"/>
          <w:sz w:val="26"/>
          <w:szCs w:val="26"/>
        </w:rPr>
        <w:t>refer a dispute arising out of the franchise agreement for dispute resolution before an arbitrator</w:t>
      </w:r>
      <w:r>
        <w:rPr>
          <w:rFonts w:ascii="Times New Roman" w:hAnsi="Times New Roman" w:cs="Times New Roman"/>
          <w:sz w:val="26"/>
          <w:szCs w:val="26"/>
        </w:rPr>
        <w:t xml:space="preserve"> in terms of clause 33</w:t>
      </w:r>
      <w:r w:rsidRPr="00440E78">
        <w:rPr>
          <w:rFonts w:ascii="Times New Roman" w:hAnsi="Times New Roman" w:cs="Times New Roman"/>
          <w:sz w:val="26"/>
          <w:szCs w:val="26"/>
        </w:rPr>
        <w:t>.</w:t>
      </w:r>
      <w:r>
        <w:rPr>
          <w:rFonts w:ascii="Times New Roman" w:hAnsi="Times New Roman" w:cs="Times New Roman"/>
          <w:sz w:val="26"/>
          <w:szCs w:val="26"/>
        </w:rPr>
        <w:t xml:space="preserve"> </w:t>
      </w:r>
      <w:r w:rsidR="00320577" w:rsidRPr="00C153C0">
        <w:rPr>
          <w:rFonts w:ascii="Times New Roman" w:hAnsi="Times New Roman" w:cs="Times New Roman"/>
          <w:sz w:val="26"/>
          <w:szCs w:val="26"/>
        </w:rPr>
        <w:t xml:space="preserve">Although the applicant does have </w:t>
      </w:r>
      <w:r w:rsidRPr="00C153C0">
        <w:rPr>
          <w:rFonts w:ascii="Times New Roman" w:hAnsi="Times New Roman" w:cs="Times New Roman"/>
          <w:sz w:val="26"/>
          <w:szCs w:val="26"/>
        </w:rPr>
        <w:t xml:space="preserve">such </w:t>
      </w:r>
      <w:r w:rsidR="00320577" w:rsidRPr="00C153C0">
        <w:rPr>
          <w:rFonts w:ascii="Times New Roman" w:hAnsi="Times New Roman" w:cs="Times New Roman"/>
          <w:sz w:val="26"/>
          <w:szCs w:val="26"/>
        </w:rPr>
        <w:t xml:space="preserve">a right, there is no suggestion that that would have provided interim remedy of the kind that is required by the clear urgency of the matter. </w:t>
      </w:r>
    </w:p>
    <w:p w:rsidR="00C153C0" w:rsidRPr="00C153C0" w:rsidRDefault="00C153C0" w:rsidP="00C153C0">
      <w:pPr>
        <w:pStyle w:val="ListParagraph"/>
        <w:rPr>
          <w:rFonts w:ascii="Times New Roman" w:hAnsi="Times New Roman" w:cs="Times New Roman"/>
          <w:color w:val="000000" w:themeColor="text1"/>
          <w:sz w:val="26"/>
          <w:szCs w:val="26"/>
          <w:shd w:val="clear" w:color="auto" w:fill="FFFFFF"/>
        </w:rPr>
      </w:pPr>
    </w:p>
    <w:p w:rsidR="001F759D" w:rsidRPr="00C153C0" w:rsidRDefault="001F759D" w:rsidP="00C153C0">
      <w:pPr>
        <w:pStyle w:val="ListParagraph"/>
        <w:numPr>
          <w:ilvl w:val="0"/>
          <w:numId w:val="1"/>
        </w:numPr>
        <w:autoSpaceDE w:val="0"/>
        <w:autoSpaceDN w:val="0"/>
        <w:adjustRightInd w:val="0"/>
        <w:spacing w:after="0" w:line="360" w:lineRule="auto"/>
        <w:ind w:left="0" w:right="-386" w:firstLine="142"/>
        <w:jc w:val="both"/>
        <w:rPr>
          <w:rFonts w:ascii="Times New Roman" w:hAnsi="Times New Roman" w:cs="Times New Roman"/>
          <w:color w:val="000000" w:themeColor="text1"/>
          <w:sz w:val="26"/>
          <w:szCs w:val="26"/>
          <w:shd w:val="clear" w:color="auto" w:fill="FFFFFF"/>
        </w:rPr>
      </w:pPr>
      <w:r w:rsidRPr="00C153C0">
        <w:rPr>
          <w:rFonts w:ascii="Times New Roman" w:hAnsi="Times New Roman" w:cs="Times New Roman"/>
          <w:sz w:val="26"/>
          <w:szCs w:val="26"/>
        </w:rPr>
        <w:t xml:space="preserve">In the circumstances, the following order </w:t>
      </w:r>
      <w:r w:rsidR="00320577" w:rsidRPr="00C153C0">
        <w:rPr>
          <w:rFonts w:ascii="Times New Roman" w:hAnsi="Times New Roman" w:cs="Times New Roman"/>
          <w:sz w:val="26"/>
          <w:szCs w:val="26"/>
        </w:rPr>
        <w:t>wa</w:t>
      </w:r>
      <w:r w:rsidRPr="00C153C0">
        <w:rPr>
          <w:rFonts w:ascii="Times New Roman" w:hAnsi="Times New Roman" w:cs="Times New Roman"/>
          <w:sz w:val="26"/>
          <w:szCs w:val="26"/>
        </w:rPr>
        <w:t>s granted:</w:t>
      </w:r>
    </w:p>
    <w:p w:rsidR="00320577" w:rsidRPr="00B72690" w:rsidRDefault="00320577" w:rsidP="00320577">
      <w:pPr>
        <w:pStyle w:val="ListParagraph"/>
        <w:ind w:left="142"/>
        <w:jc w:val="both"/>
        <w:rPr>
          <w:rFonts w:ascii="Times New Roman" w:hAnsi="Times New Roman" w:cs="Times New Roman"/>
          <w:sz w:val="24"/>
          <w:szCs w:val="24"/>
        </w:rPr>
      </w:pPr>
    </w:p>
    <w:p w:rsidR="001F759D" w:rsidRPr="00B72690" w:rsidRDefault="001F759D" w:rsidP="001F759D">
      <w:pPr>
        <w:pStyle w:val="ListParagraph"/>
        <w:spacing w:line="360" w:lineRule="auto"/>
        <w:ind w:left="1440" w:hanging="720"/>
        <w:jc w:val="both"/>
        <w:rPr>
          <w:rFonts w:ascii="Times New Roman" w:hAnsi="Times New Roman" w:cs="Times New Roman"/>
          <w:sz w:val="24"/>
          <w:szCs w:val="24"/>
        </w:rPr>
      </w:pPr>
      <w:r w:rsidRPr="00B72690">
        <w:rPr>
          <w:rFonts w:ascii="Times New Roman" w:hAnsi="Times New Roman" w:cs="Times New Roman"/>
          <w:sz w:val="24"/>
          <w:szCs w:val="24"/>
        </w:rPr>
        <w:t>1.</w:t>
      </w:r>
      <w:r w:rsidRPr="00B72690">
        <w:rPr>
          <w:rFonts w:ascii="Times New Roman" w:hAnsi="Times New Roman" w:cs="Times New Roman"/>
          <w:sz w:val="24"/>
          <w:szCs w:val="24"/>
        </w:rPr>
        <w:tab/>
        <w:t>The applicant</w:t>
      </w:r>
      <w:r w:rsidR="00435F66">
        <w:rPr>
          <w:rFonts w:ascii="Times New Roman" w:hAnsi="Times New Roman" w:cs="Times New Roman"/>
          <w:sz w:val="24"/>
          <w:szCs w:val="24"/>
        </w:rPr>
        <w:t>’</w:t>
      </w:r>
      <w:r w:rsidRPr="00B72690">
        <w:rPr>
          <w:rFonts w:ascii="Times New Roman" w:hAnsi="Times New Roman" w:cs="Times New Roman"/>
          <w:sz w:val="24"/>
          <w:szCs w:val="24"/>
        </w:rPr>
        <w:t>s non-compliance with the time periods, forms and processes prescribed in the Uniform Rules of Court is condoned, and this application may be heard as one of urgency in terms of Uniform Rule 6(12);</w:t>
      </w:r>
    </w:p>
    <w:p w:rsidR="001F759D" w:rsidRPr="00B72690" w:rsidRDefault="001F759D" w:rsidP="001F759D">
      <w:pPr>
        <w:pStyle w:val="ListParagraph"/>
        <w:spacing w:line="360" w:lineRule="auto"/>
        <w:jc w:val="both"/>
        <w:rPr>
          <w:rFonts w:ascii="Times New Roman" w:hAnsi="Times New Roman" w:cs="Times New Roman"/>
          <w:sz w:val="24"/>
          <w:szCs w:val="24"/>
        </w:rPr>
      </w:pPr>
    </w:p>
    <w:p w:rsidR="001F759D" w:rsidRPr="00B72690" w:rsidRDefault="001F759D" w:rsidP="001F759D">
      <w:pPr>
        <w:pStyle w:val="ListParagraph"/>
        <w:spacing w:line="360" w:lineRule="auto"/>
        <w:ind w:left="1440" w:hanging="720"/>
        <w:jc w:val="both"/>
        <w:rPr>
          <w:rFonts w:ascii="Times New Roman" w:hAnsi="Times New Roman" w:cs="Times New Roman"/>
          <w:sz w:val="24"/>
          <w:szCs w:val="24"/>
        </w:rPr>
      </w:pPr>
      <w:r w:rsidRPr="00B72690">
        <w:rPr>
          <w:rFonts w:ascii="Times New Roman" w:hAnsi="Times New Roman" w:cs="Times New Roman"/>
          <w:sz w:val="24"/>
          <w:szCs w:val="24"/>
        </w:rPr>
        <w:t>2.</w:t>
      </w:r>
      <w:r w:rsidRPr="00B72690">
        <w:rPr>
          <w:rFonts w:ascii="Times New Roman" w:hAnsi="Times New Roman" w:cs="Times New Roman"/>
          <w:sz w:val="24"/>
          <w:szCs w:val="24"/>
        </w:rPr>
        <w:tab/>
        <w:t>The respondents are temporarily interdicted from directly or indirectly, performing any optometry related services within 2km radius of Dock Road Junction, V&amp;A Waterfront, Cape Town pending the outcome of an arbitration to be initiated by the applicant, within 10 days of this Order, by referring the dispute to arbitration and requesting the Chairperson of the Arbitration Foundation of South Africa to appoint an arbitrator;</w:t>
      </w:r>
    </w:p>
    <w:p w:rsidR="001F759D" w:rsidRPr="00B72690" w:rsidRDefault="001F759D" w:rsidP="001F759D">
      <w:pPr>
        <w:pStyle w:val="ListParagraph"/>
        <w:spacing w:line="360" w:lineRule="auto"/>
        <w:ind w:left="1440" w:hanging="720"/>
        <w:jc w:val="both"/>
        <w:rPr>
          <w:rFonts w:ascii="Times New Roman" w:hAnsi="Times New Roman" w:cs="Times New Roman"/>
          <w:sz w:val="24"/>
          <w:szCs w:val="24"/>
        </w:rPr>
      </w:pPr>
    </w:p>
    <w:p w:rsidR="001F759D" w:rsidRPr="00B72690" w:rsidRDefault="001F759D" w:rsidP="001F759D">
      <w:pPr>
        <w:pStyle w:val="ListParagraph"/>
        <w:spacing w:line="360" w:lineRule="auto"/>
        <w:ind w:left="1440" w:hanging="720"/>
        <w:jc w:val="both"/>
        <w:rPr>
          <w:rFonts w:ascii="Times New Roman" w:hAnsi="Times New Roman" w:cs="Times New Roman"/>
          <w:sz w:val="24"/>
          <w:szCs w:val="24"/>
        </w:rPr>
      </w:pPr>
      <w:r w:rsidRPr="00B72690">
        <w:rPr>
          <w:rFonts w:ascii="Times New Roman" w:hAnsi="Times New Roman" w:cs="Times New Roman"/>
          <w:sz w:val="24"/>
          <w:szCs w:val="24"/>
        </w:rPr>
        <w:t>3.</w:t>
      </w:r>
      <w:r w:rsidRPr="00B72690">
        <w:rPr>
          <w:rFonts w:ascii="Times New Roman" w:hAnsi="Times New Roman" w:cs="Times New Roman"/>
          <w:sz w:val="24"/>
          <w:szCs w:val="24"/>
        </w:rPr>
        <w:tab/>
        <w:t>The costs of this application shall stand over for determination at the arbitration referred to above.</w:t>
      </w:r>
    </w:p>
    <w:p w:rsidR="001F759D" w:rsidRPr="00B72690" w:rsidRDefault="001F759D" w:rsidP="001F759D">
      <w:pPr>
        <w:pStyle w:val="ListParagraph"/>
        <w:ind w:firstLine="142"/>
        <w:rPr>
          <w:rFonts w:ascii="Times New Roman" w:hAnsi="Times New Roman" w:cs="Times New Roman"/>
          <w:sz w:val="24"/>
          <w:szCs w:val="24"/>
        </w:rPr>
      </w:pPr>
    </w:p>
    <w:p w:rsidR="001F759D" w:rsidRPr="00C153C0" w:rsidRDefault="001F759D" w:rsidP="00C153C0">
      <w:pPr>
        <w:rPr>
          <w:rFonts w:ascii="Times New Roman" w:hAnsi="Times New Roman" w:cs="Times New Roman"/>
          <w:sz w:val="24"/>
          <w:szCs w:val="24"/>
        </w:rPr>
      </w:pPr>
    </w:p>
    <w:p w:rsidR="001F759D" w:rsidRPr="00B72690" w:rsidRDefault="001F759D" w:rsidP="001F759D">
      <w:pPr>
        <w:pStyle w:val="ListParagraph"/>
        <w:ind w:left="0" w:firstLine="142"/>
        <w:rPr>
          <w:rFonts w:ascii="Times New Roman" w:hAnsi="Times New Roman" w:cs="Times New Roman"/>
          <w:sz w:val="24"/>
          <w:szCs w:val="24"/>
        </w:rPr>
      </w:pPr>
    </w:p>
    <w:p w:rsidR="001F759D" w:rsidRPr="00B72690" w:rsidRDefault="001F759D" w:rsidP="001F759D">
      <w:pPr>
        <w:pStyle w:val="ListParagraph"/>
        <w:ind w:left="0" w:firstLine="142"/>
        <w:jc w:val="right"/>
        <w:rPr>
          <w:rFonts w:ascii="Times New Roman" w:hAnsi="Times New Roman" w:cs="Times New Roman"/>
          <w:sz w:val="24"/>
          <w:szCs w:val="24"/>
        </w:rPr>
      </w:pPr>
      <w:r w:rsidRPr="00B72690">
        <w:rPr>
          <w:rFonts w:ascii="Times New Roman" w:hAnsi="Times New Roman" w:cs="Times New Roman"/>
          <w:sz w:val="24"/>
          <w:szCs w:val="24"/>
        </w:rPr>
        <w:t>______________________________</w:t>
      </w:r>
    </w:p>
    <w:p w:rsidR="001F759D" w:rsidRPr="00B72690" w:rsidRDefault="001F759D" w:rsidP="001F759D">
      <w:pPr>
        <w:spacing w:line="276" w:lineRule="auto"/>
        <w:contextualSpacing/>
        <w:jc w:val="right"/>
        <w:rPr>
          <w:rFonts w:ascii="Times New Roman" w:hAnsi="Times New Roman" w:cs="Times New Roman"/>
          <w:b/>
          <w:sz w:val="24"/>
          <w:szCs w:val="24"/>
        </w:rPr>
      </w:pPr>
      <w:r w:rsidRPr="00B72690">
        <w:rPr>
          <w:rFonts w:ascii="Times New Roman" w:hAnsi="Times New Roman" w:cs="Times New Roman"/>
          <w:b/>
          <w:sz w:val="24"/>
          <w:szCs w:val="24"/>
        </w:rPr>
        <w:t>N. MANGCU-LOCKWOOD</w:t>
      </w:r>
    </w:p>
    <w:p w:rsidR="001F759D" w:rsidRPr="00B72690" w:rsidRDefault="001F759D" w:rsidP="001F759D">
      <w:pPr>
        <w:spacing w:line="276" w:lineRule="auto"/>
        <w:contextualSpacing/>
        <w:jc w:val="right"/>
        <w:rPr>
          <w:rFonts w:ascii="Times New Roman" w:hAnsi="Times New Roman" w:cs="Times New Roman"/>
          <w:bCs/>
          <w:sz w:val="24"/>
          <w:szCs w:val="24"/>
        </w:rPr>
      </w:pPr>
      <w:r w:rsidRPr="00B72690">
        <w:rPr>
          <w:rFonts w:ascii="Times New Roman" w:hAnsi="Times New Roman" w:cs="Times New Roman"/>
          <w:b/>
          <w:sz w:val="24"/>
          <w:szCs w:val="24"/>
        </w:rPr>
        <w:t>Judge of the High Court</w:t>
      </w:r>
    </w:p>
    <w:p w:rsidR="001F759D" w:rsidRDefault="001F759D" w:rsidP="001F759D">
      <w:pPr>
        <w:pStyle w:val="ListParagraph"/>
        <w:spacing w:line="360" w:lineRule="auto"/>
        <w:ind w:left="142"/>
        <w:jc w:val="both"/>
      </w:pPr>
    </w:p>
    <w:p w:rsidR="00E261BB" w:rsidRPr="00054191" w:rsidRDefault="00054191" w:rsidP="00054191">
      <w:pPr>
        <w:pStyle w:val="ListParagraph"/>
        <w:spacing w:line="360" w:lineRule="auto"/>
        <w:ind w:left="0"/>
        <w:jc w:val="both"/>
        <w:rPr>
          <w:rFonts w:ascii="Times New Roman" w:hAnsi="Times New Roman" w:cs="Times New Roman"/>
          <w:b/>
          <w:sz w:val="24"/>
          <w:szCs w:val="24"/>
          <w:u w:val="single"/>
        </w:rPr>
      </w:pPr>
      <w:r w:rsidRPr="00054191">
        <w:rPr>
          <w:rFonts w:ascii="Times New Roman" w:hAnsi="Times New Roman" w:cs="Times New Roman"/>
          <w:b/>
          <w:sz w:val="24"/>
          <w:szCs w:val="24"/>
          <w:u w:val="single"/>
        </w:rPr>
        <w:t>APPEARANCES</w:t>
      </w:r>
    </w:p>
    <w:p w:rsidR="00054191" w:rsidRPr="00054191" w:rsidRDefault="00054191" w:rsidP="00054191">
      <w:pPr>
        <w:pStyle w:val="ListParagraph"/>
        <w:spacing w:line="360" w:lineRule="auto"/>
        <w:ind w:left="0"/>
        <w:jc w:val="both"/>
        <w:rPr>
          <w:rFonts w:ascii="Times New Roman" w:hAnsi="Times New Roman" w:cs="Times New Roman"/>
          <w:b/>
          <w:sz w:val="24"/>
          <w:szCs w:val="24"/>
          <w:u w:val="single"/>
        </w:rPr>
      </w:pPr>
    </w:p>
    <w:p w:rsidR="00054191" w:rsidRPr="00054191" w:rsidRDefault="00054191" w:rsidP="00054191">
      <w:pPr>
        <w:pStyle w:val="ListParagraph"/>
        <w:spacing w:line="360" w:lineRule="auto"/>
        <w:ind w:left="0"/>
        <w:jc w:val="both"/>
        <w:rPr>
          <w:rFonts w:ascii="Times New Roman" w:hAnsi="Times New Roman" w:cs="Times New Roman"/>
          <w:sz w:val="24"/>
          <w:szCs w:val="24"/>
        </w:rPr>
      </w:pPr>
      <w:r w:rsidRPr="00054191">
        <w:rPr>
          <w:rFonts w:ascii="Times New Roman" w:hAnsi="Times New Roman" w:cs="Times New Roman"/>
          <w:sz w:val="24"/>
          <w:szCs w:val="24"/>
        </w:rPr>
        <w:t>For the applicant</w:t>
      </w:r>
      <w:r w:rsidRPr="00054191">
        <w:rPr>
          <w:rFonts w:ascii="Times New Roman" w:hAnsi="Times New Roman" w:cs="Times New Roman"/>
          <w:sz w:val="24"/>
          <w:szCs w:val="24"/>
        </w:rPr>
        <w:tab/>
        <w:t>:</w:t>
      </w:r>
      <w:r w:rsidRPr="00054191">
        <w:rPr>
          <w:rFonts w:ascii="Times New Roman" w:hAnsi="Times New Roman" w:cs="Times New Roman"/>
          <w:sz w:val="24"/>
          <w:szCs w:val="24"/>
        </w:rPr>
        <w:tab/>
        <w:t>Adv C. Fehr</w:t>
      </w:r>
    </w:p>
    <w:p w:rsidR="00054191" w:rsidRPr="00054191" w:rsidRDefault="00054191" w:rsidP="00054191">
      <w:pPr>
        <w:pStyle w:val="ListParagraph"/>
        <w:spacing w:line="360" w:lineRule="auto"/>
        <w:ind w:left="0"/>
        <w:jc w:val="both"/>
        <w:rPr>
          <w:rFonts w:ascii="Times New Roman" w:hAnsi="Times New Roman" w:cs="Times New Roman"/>
          <w:sz w:val="24"/>
          <w:szCs w:val="24"/>
        </w:rPr>
      </w:pPr>
      <w:r w:rsidRPr="00054191">
        <w:rPr>
          <w:rFonts w:ascii="Times New Roman" w:hAnsi="Times New Roman" w:cs="Times New Roman"/>
          <w:sz w:val="24"/>
          <w:szCs w:val="24"/>
        </w:rPr>
        <w:t>Instructed by</w:t>
      </w:r>
      <w:r w:rsidRPr="00054191">
        <w:rPr>
          <w:rFonts w:ascii="Times New Roman" w:hAnsi="Times New Roman" w:cs="Times New Roman"/>
          <w:sz w:val="24"/>
          <w:szCs w:val="24"/>
        </w:rPr>
        <w:tab/>
      </w:r>
      <w:r w:rsidRPr="00054191">
        <w:rPr>
          <w:rFonts w:ascii="Times New Roman" w:hAnsi="Times New Roman" w:cs="Times New Roman"/>
          <w:sz w:val="24"/>
          <w:szCs w:val="24"/>
        </w:rPr>
        <w:tab/>
        <w:t>:</w:t>
      </w:r>
      <w:r w:rsidRPr="00054191">
        <w:rPr>
          <w:rFonts w:ascii="Times New Roman" w:hAnsi="Times New Roman" w:cs="Times New Roman"/>
          <w:sz w:val="24"/>
          <w:szCs w:val="24"/>
        </w:rPr>
        <w:tab/>
        <w:t>M. Burger</w:t>
      </w:r>
    </w:p>
    <w:p w:rsidR="00054191" w:rsidRPr="00054191" w:rsidRDefault="00054191" w:rsidP="00054191">
      <w:pPr>
        <w:pStyle w:val="ListParagraph"/>
        <w:spacing w:line="360" w:lineRule="auto"/>
        <w:ind w:left="0"/>
        <w:jc w:val="both"/>
        <w:rPr>
          <w:rFonts w:ascii="Times New Roman" w:hAnsi="Times New Roman" w:cs="Times New Roman"/>
          <w:bCs/>
          <w:sz w:val="24"/>
          <w:szCs w:val="24"/>
          <w:lang w:val="en-ZA"/>
          <w14:ligatures w14:val="none"/>
        </w:rPr>
      </w:pPr>
      <w:r w:rsidRPr="00054191">
        <w:rPr>
          <w:rFonts w:ascii="Times New Roman" w:hAnsi="Times New Roman" w:cs="Times New Roman"/>
          <w:sz w:val="24"/>
          <w:szCs w:val="24"/>
        </w:rPr>
        <w:tab/>
      </w:r>
      <w:r w:rsidRPr="00054191">
        <w:rPr>
          <w:rFonts w:ascii="Times New Roman" w:hAnsi="Times New Roman" w:cs="Times New Roman"/>
          <w:sz w:val="24"/>
          <w:szCs w:val="24"/>
        </w:rPr>
        <w:tab/>
      </w:r>
      <w:r w:rsidRPr="00054191">
        <w:rPr>
          <w:rFonts w:ascii="Times New Roman" w:hAnsi="Times New Roman" w:cs="Times New Roman"/>
          <w:sz w:val="24"/>
          <w:szCs w:val="24"/>
        </w:rPr>
        <w:tab/>
      </w:r>
      <w:r w:rsidRPr="00054191">
        <w:rPr>
          <w:rFonts w:ascii="Times New Roman" w:hAnsi="Times New Roman" w:cs="Times New Roman"/>
          <w:sz w:val="24"/>
          <w:szCs w:val="24"/>
        </w:rPr>
        <w:tab/>
        <w:t xml:space="preserve">Slabbert Venter </w:t>
      </w:r>
      <w:r w:rsidRPr="00054191">
        <w:rPr>
          <w:rFonts w:ascii="Times New Roman" w:hAnsi="Times New Roman" w:cs="Times New Roman"/>
          <w:bCs/>
          <w:sz w:val="24"/>
          <w:szCs w:val="24"/>
          <w:lang w:val="en-ZA"/>
          <w14:ligatures w14:val="none"/>
        </w:rPr>
        <w:t>Yanoutsos Inc</w:t>
      </w:r>
    </w:p>
    <w:p w:rsidR="00054191" w:rsidRPr="00054191" w:rsidRDefault="00054191" w:rsidP="00054191">
      <w:pPr>
        <w:pStyle w:val="ListParagraph"/>
        <w:spacing w:line="360" w:lineRule="auto"/>
        <w:ind w:left="0"/>
        <w:jc w:val="both"/>
        <w:rPr>
          <w:rFonts w:ascii="Times New Roman" w:hAnsi="Times New Roman" w:cs="Times New Roman"/>
          <w:bCs/>
          <w:sz w:val="24"/>
          <w:szCs w:val="24"/>
          <w:lang w:val="en-ZA"/>
          <w14:ligatures w14:val="none"/>
        </w:rPr>
      </w:pPr>
    </w:p>
    <w:p w:rsidR="00054191" w:rsidRPr="00054191" w:rsidRDefault="00054191" w:rsidP="00054191">
      <w:pPr>
        <w:pStyle w:val="ListParagraph"/>
        <w:spacing w:after="0" w:line="360" w:lineRule="auto"/>
        <w:ind w:left="0"/>
        <w:jc w:val="both"/>
        <w:rPr>
          <w:rFonts w:ascii="Times New Roman" w:hAnsi="Times New Roman" w:cs="Times New Roman"/>
          <w:bCs/>
          <w:sz w:val="24"/>
          <w:szCs w:val="24"/>
          <w:lang w:val="en-ZA"/>
          <w14:ligatures w14:val="none"/>
        </w:rPr>
      </w:pPr>
      <w:r w:rsidRPr="00054191">
        <w:rPr>
          <w:rFonts w:ascii="Times New Roman" w:hAnsi="Times New Roman" w:cs="Times New Roman"/>
          <w:bCs/>
          <w:sz w:val="24"/>
          <w:szCs w:val="24"/>
          <w:lang w:val="en-ZA"/>
          <w14:ligatures w14:val="none"/>
        </w:rPr>
        <w:t>For the respondents</w:t>
      </w:r>
      <w:r w:rsidRPr="00054191">
        <w:rPr>
          <w:rFonts w:ascii="Times New Roman" w:hAnsi="Times New Roman" w:cs="Times New Roman"/>
          <w:bCs/>
          <w:sz w:val="24"/>
          <w:szCs w:val="24"/>
          <w:lang w:val="en-ZA"/>
          <w14:ligatures w14:val="none"/>
        </w:rPr>
        <w:tab/>
        <w:t>:</w:t>
      </w:r>
      <w:r w:rsidRPr="00054191">
        <w:rPr>
          <w:rFonts w:ascii="Times New Roman" w:hAnsi="Times New Roman" w:cs="Times New Roman"/>
          <w:bCs/>
          <w:sz w:val="24"/>
          <w:szCs w:val="24"/>
          <w:lang w:val="en-ZA"/>
          <w14:ligatures w14:val="none"/>
        </w:rPr>
        <w:tab/>
        <w:t>Adv R. Howie</w:t>
      </w:r>
    </w:p>
    <w:p w:rsidR="00054191" w:rsidRPr="00054191" w:rsidRDefault="00054191" w:rsidP="00054191">
      <w:pPr>
        <w:pStyle w:val="Default"/>
        <w:spacing w:line="360" w:lineRule="auto"/>
      </w:pPr>
      <w:r w:rsidRPr="00054191">
        <w:rPr>
          <w:bCs/>
          <w:lang w:val="en-ZA"/>
          <w14:ligatures w14:val="none"/>
        </w:rPr>
        <w:t>Instructed by</w:t>
      </w:r>
      <w:r w:rsidRPr="00054191">
        <w:rPr>
          <w:bCs/>
          <w:lang w:val="en-ZA"/>
          <w14:ligatures w14:val="none"/>
        </w:rPr>
        <w:tab/>
      </w:r>
      <w:r w:rsidRPr="00054191">
        <w:rPr>
          <w:bCs/>
          <w:lang w:val="en-ZA"/>
          <w14:ligatures w14:val="none"/>
        </w:rPr>
        <w:tab/>
        <w:t>:</w:t>
      </w:r>
      <w:r w:rsidRPr="00054191">
        <w:rPr>
          <w:bCs/>
          <w:lang w:val="en-ZA"/>
          <w14:ligatures w14:val="none"/>
        </w:rPr>
        <w:tab/>
        <w:t>A.</w:t>
      </w:r>
      <w:r w:rsidRPr="00054191">
        <w:t xml:space="preserve"> van Rensburg </w:t>
      </w:r>
    </w:p>
    <w:p w:rsidR="00054191" w:rsidRDefault="00054191" w:rsidP="00054191">
      <w:pPr>
        <w:pStyle w:val="Default"/>
        <w:spacing w:line="360" w:lineRule="auto"/>
        <w:rPr>
          <w:sz w:val="23"/>
          <w:szCs w:val="23"/>
        </w:rPr>
      </w:pPr>
      <w:r>
        <w:rPr>
          <w:sz w:val="23"/>
          <w:szCs w:val="23"/>
        </w:rPr>
        <w:tab/>
      </w:r>
      <w:r>
        <w:rPr>
          <w:sz w:val="23"/>
          <w:szCs w:val="23"/>
        </w:rPr>
        <w:tab/>
      </w:r>
      <w:r>
        <w:rPr>
          <w:sz w:val="23"/>
          <w:szCs w:val="23"/>
        </w:rPr>
        <w:tab/>
      </w:r>
      <w:r>
        <w:rPr>
          <w:sz w:val="23"/>
          <w:szCs w:val="23"/>
        </w:rPr>
        <w:tab/>
      </w:r>
      <w:r>
        <w:rPr>
          <w:sz w:val="23"/>
          <w:szCs w:val="23"/>
        </w:rPr>
        <w:t xml:space="preserve">Fairbridges Wertheim Beckker </w:t>
      </w:r>
    </w:p>
    <w:p w:rsidR="00054191" w:rsidRDefault="00054191" w:rsidP="00054191">
      <w:pPr>
        <w:pStyle w:val="Default"/>
        <w:rPr>
          <w:sz w:val="23"/>
          <w:szCs w:val="23"/>
        </w:rPr>
      </w:pPr>
    </w:p>
    <w:p w:rsidR="00054191" w:rsidRDefault="00054191" w:rsidP="00054191">
      <w:pPr>
        <w:pStyle w:val="Default"/>
        <w:rPr>
          <w:sz w:val="23"/>
          <w:szCs w:val="23"/>
        </w:rPr>
      </w:pPr>
    </w:p>
    <w:p w:rsidR="00054191" w:rsidRDefault="00054191" w:rsidP="00054191">
      <w:pPr>
        <w:pStyle w:val="Default"/>
        <w:rPr>
          <w:sz w:val="23"/>
          <w:szCs w:val="23"/>
        </w:rPr>
      </w:pPr>
    </w:p>
    <w:p w:rsidR="00054191" w:rsidRPr="00054191" w:rsidRDefault="00054191" w:rsidP="00F358C0">
      <w:pPr>
        <w:pStyle w:val="ListParagraph"/>
        <w:spacing w:line="360" w:lineRule="auto"/>
        <w:ind w:left="0" w:firstLine="142"/>
        <w:jc w:val="both"/>
      </w:pPr>
    </w:p>
    <w:sectPr w:rsidR="00054191" w:rsidRPr="00054191" w:rsidSect="0039780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2B" w:rsidRDefault="00FB082B" w:rsidP="00E261BB">
      <w:pPr>
        <w:spacing w:after="0" w:line="240" w:lineRule="auto"/>
      </w:pPr>
      <w:r>
        <w:separator/>
      </w:r>
    </w:p>
  </w:endnote>
  <w:endnote w:type="continuationSeparator" w:id="0">
    <w:p w:rsidR="00FB082B" w:rsidRDefault="00FB082B" w:rsidP="00E2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2B" w:rsidRDefault="00FB082B" w:rsidP="00E261BB">
      <w:pPr>
        <w:spacing w:after="0" w:line="240" w:lineRule="auto"/>
      </w:pPr>
      <w:r>
        <w:separator/>
      </w:r>
    </w:p>
  </w:footnote>
  <w:footnote w:type="continuationSeparator" w:id="0">
    <w:p w:rsidR="00FB082B" w:rsidRDefault="00FB082B" w:rsidP="00E261BB">
      <w:pPr>
        <w:spacing w:after="0" w:line="240" w:lineRule="auto"/>
      </w:pPr>
      <w:r>
        <w:continuationSeparator/>
      </w:r>
    </w:p>
  </w:footnote>
  <w:footnote w:id="1">
    <w:p w:rsidR="008F06E7" w:rsidRPr="009E50C8" w:rsidRDefault="008F06E7">
      <w:pPr>
        <w:pStyle w:val="FootnoteText"/>
        <w:rPr>
          <w:rFonts w:ascii="Times New Roman" w:hAnsi="Times New Roman" w:cs="Times New Roman"/>
        </w:rPr>
      </w:pPr>
      <w:r w:rsidRPr="009E50C8">
        <w:rPr>
          <w:rStyle w:val="FootnoteReference"/>
          <w:rFonts w:ascii="Times New Roman" w:hAnsi="Times New Roman" w:cs="Times New Roman"/>
        </w:rPr>
        <w:footnoteRef/>
      </w:r>
      <w:r w:rsidRPr="009E50C8">
        <w:rPr>
          <w:rFonts w:ascii="Times New Roman" w:hAnsi="Times New Roman" w:cs="Times New Roman"/>
        </w:rPr>
        <w:t xml:space="preserve"> </w:t>
      </w:r>
      <w:r w:rsidR="003C6ED7" w:rsidRPr="009E50C8">
        <w:rPr>
          <w:rFonts w:ascii="Times New Roman" w:hAnsi="Times New Roman" w:cs="Times New Roman"/>
          <w:i/>
          <w:iCs/>
        </w:rPr>
        <w:t>Apleni v Minister of Law and Order</w:t>
      </w:r>
      <w:r w:rsidR="003C6ED7" w:rsidRPr="009E50C8">
        <w:rPr>
          <w:rFonts w:ascii="Times New Roman" w:hAnsi="Times New Roman" w:cs="Times New Roman"/>
        </w:rPr>
        <w:t xml:space="preserve"> 1989 (1) SA 195 (A) 201.</w:t>
      </w:r>
    </w:p>
  </w:footnote>
  <w:footnote w:id="2">
    <w:p w:rsidR="009E50C8" w:rsidRPr="009D407C" w:rsidRDefault="009E50C8" w:rsidP="009E50C8">
      <w:pPr>
        <w:rPr>
          <w:rFonts w:ascii="Times New Roman" w:hAnsi="Times New Roman" w:cs="Times New Roman"/>
          <w:color w:val="000000" w:themeColor="text1"/>
          <w:sz w:val="20"/>
          <w:szCs w:val="20"/>
        </w:rPr>
      </w:pPr>
      <w:r w:rsidRPr="009D407C">
        <w:rPr>
          <w:rStyle w:val="FootnoteReference"/>
          <w:rFonts w:ascii="Times New Roman" w:hAnsi="Times New Roman" w:cs="Times New Roman"/>
          <w:color w:val="000000" w:themeColor="text1"/>
          <w:sz w:val="20"/>
          <w:szCs w:val="20"/>
        </w:rPr>
        <w:footnoteRef/>
      </w:r>
      <w:r w:rsidRPr="009D407C">
        <w:rPr>
          <w:rFonts w:ascii="Times New Roman" w:hAnsi="Times New Roman" w:cs="Times New Roman"/>
          <w:color w:val="000000" w:themeColor="text1"/>
          <w:sz w:val="20"/>
          <w:szCs w:val="20"/>
        </w:rPr>
        <w:t xml:space="preserve"> </w:t>
      </w:r>
      <w:r w:rsidRPr="009D407C">
        <w:rPr>
          <w:rFonts w:ascii="Times New Roman" w:hAnsi="Times New Roman" w:cs="Times New Roman"/>
          <w:i/>
          <w:iCs/>
          <w:color w:val="000000" w:themeColor="text1"/>
          <w:sz w:val="20"/>
          <w:szCs w:val="20"/>
          <w:shd w:val="clear" w:color="auto" w:fill="FFFFFF"/>
          <w:lang w:val="en-GB"/>
        </w:rPr>
        <w:t>Webster v Mitchell</w:t>
      </w:r>
      <w:r w:rsidRPr="009D407C">
        <w:rPr>
          <w:rFonts w:ascii="Times New Roman" w:hAnsi="Times New Roman" w:cs="Times New Roman"/>
          <w:color w:val="000000" w:themeColor="text1"/>
          <w:sz w:val="20"/>
          <w:szCs w:val="20"/>
          <w:shd w:val="clear" w:color="auto" w:fill="FFFFFF"/>
        </w:rPr>
        <w:t> </w:t>
      </w:r>
      <w:hyperlink r:id="rId1" w:tooltip="View LawCiteRecord" w:history="1">
        <w:r w:rsidRPr="009D407C">
          <w:rPr>
            <w:rFonts w:ascii="Times New Roman" w:hAnsi="Times New Roman" w:cs="Times New Roman"/>
            <w:color w:val="000000" w:themeColor="text1"/>
            <w:sz w:val="20"/>
            <w:szCs w:val="20"/>
            <w:shd w:val="clear" w:color="auto" w:fill="FFFFFF"/>
            <w:lang w:val="en-GB"/>
          </w:rPr>
          <w:t>1948 (1) SA 1186</w:t>
        </w:r>
      </w:hyperlink>
      <w:r w:rsidRPr="009D407C">
        <w:rPr>
          <w:rFonts w:ascii="Times New Roman" w:hAnsi="Times New Roman" w:cs="Times New Roman"/>
          <w:color w:val="000000" w:themeColor="text1"/>
          <w:sz w:val="20"/>
          <w:szCs w:val="20"/>
          <w:shd w:val="clear" w:color="auto" w:fill="FFFFFF"/>
          <w:lang w:val="en-GB"/>
        </w:rPr>
        <w:t> (W) at 11189.</w:t>
      </w:r>
    </w:p>
  </w:footnote>
  <w:footnote w:id="3">
    <w:p w:rsidR="009E50C8" w:rsidRPr="009D407C" w:rsidRDefault="009E50C8" w:rsidP="009E50C8">
      <w:pPr>
        <w:rPr>
          <w:rFonts w:ascii="Times New Roman" w:hAnsi="Times New Roman" w:cs="Times New Roman"/>
          <w:color w:val="000000" w:themeColor="text1"/>
          <w:sz w:val="20"/>
          <w:szCs w:val="20"/>
        </w:rPr>
      </w:pPr>
      <w:r w:rsidRPr="009D407C">
        <w:rPr>
          <w:rStyle w:val="FootnoteReference"/>
          <w:rFonts w:ascii="Times New Roman" w:hAnsi="Times New Roman" w:cs="Times New Roman"/>
          <w:color w:val="000000" w:themeColor="text1"/>
          <w:sz w:val="20"/>
          <w:szCs w:val="20"/>
        </w:rPr>
        <w:footnoteRef/>
      </w:r>
      <w:r w:rsidRPr="009D407C">
        <w:rPr>
          <w:rFonts w:ascii="Times New Roman" w:hAnsi="Times New Roman" w:cs="Times New Roman"/>
          <w:color w:val="000000" w:themeColor="text1"/>
          <w:sz w:val="20"/>
          <w:szCs w:val="20"/>
        </w:rPr>
        <w:t xml:space="preserve"> </w:t>
      </w:r>
      <w:r w:rsidRPr="009D407C">
        <w:rPr>
          <w:rFonts w:ascii="Times New Roman" w:hAnsi="Times New Roman" w:cs="Times New Roman"/>
          <w:i/>
          <w:iCs/>
          <w:color w:val="000000" w:themeColor="text1"/>
          <w:sz w:val="20"/>
          <w:szCs w:val="20"/>
          <w:shd w:val="clear" w:color="auto" w:fill="FFFFFF"/>
          <w:lang w:val="en-GB"/>
        </w:rPr>
        <w:t>Gool v Minister of Justice and Another</w:t>
      </w:r>
      <w:r w:rsidRPr="009D407C">
        <w:rPr>
          <w:rFonts w:ascii="Times New Roman" w:hAnsi="Times New Roman" w:cs="Times New Roman"/>
          <w:color w:val="000000" w:themeColor="text1"/>
          <w:sz w:val="20"/>
          <w:szCs w:val="20"/>
          <w:shd w:val="clear" w:color="auto" w:fill="FFFFFF"/>
          <w:lang w:val="en-GB"/>
        </w:rPr>
        <w:t>, </w:t>
      </w:r>
      <w:hyperlink r:id="rId2" w:tooltip="View LawCiteRecord" w:history="1">
        <w:r w:rsidRPr="009D407C">
          <w:rPr>
            <w:rFonts w:ascii="Times New Roman" w:hAnsi="Times New Roman" w:cs="Times New Roman"/>
            <w:color w:val="000000" w:themeColor="text1"/>
            <w:sz w:val="20"/>
            <w:szCs w:val="20"/>
            <w:shd w:val="clear" w:color="auto" w:fill="FFFFFF"/>
            <w:lang w:val="en-GB"/>
          </w:rPr>
          <w:t>1955 (2) SA 682</w:t>
        </w:r>
      </w:hyperlink>
      <w:r w:rsidRPr="009D407C">
        <w:rPr>
          <w:rFonts w:ascii="Times New Roman" w:hAnsi="Times New Roman" w:cs="Times New Roman"/>
          <w:color w:val="000000" w:themeColor="text1"/>
          <w:sz w:val="20"/>
          <w:szCs w:val="20"/>
          <w:shd w:val="clear" w:color="auto" w:fill="FFFFFF"/>
          <w:lang w:val="en-GB"/>
        </w:rPr>
        <w:t> (C) at 688E.</w:t>
      </w:r>
    </w:p>
  </w:footnote>
  <w:footnote w:id="4">
    <w:p w:rsidR="009E50C8" w:rsidRPr="00350EB9" w:rsidRDefault="009E50C8" w:rsidP="009E50C8">
      <w:pPr>
        <w:pStyle w:val="FootnoteText"/>
        <w:rPr>
          <w:rFonts w:ascii="Times New Roman" w:hAnsi="Times New Roman" w:cs="Times New Roman"/>
          <w:color w:val="000000" w:themeColor="text1"/>
        </w:rPr>
      </w:pPr>
      <w:r w:rsidRPr="00350EB9">
        <w:rPr>
          <w:rStyle w:val="FootnoteReference"/>
          <w:rFonts w:ascii="Times New Roman" w:hAnsi="Times New Roman" w:cs="Times New Roman"/>
          <w:color w:val="000000" w:themeColor="text1"/>
        </w:rPr>
        <w:footnoteRef/>
      </w:r>
      <w:r w:rsidRPr="00350EB9">
        <w:rPr>
          <w:rFonts w:ascii="Times New Roman" w:hAnsi="Times New Roman" w:cs="Times New Roman"/>
          <w:color w:val="000000" w:themeColor="text1"/>
        </w:rPr>
        <w:t xml:space="preserve"> </w:t>
      </w:r>
      <w:r w:rsidRPr="00350EB9">
        <w:rPr>
          <w:rFonts w:ascii="Times New Roman" w:hAnsi="Times New Roman" w:cs="Times New Roman"/>
          <w:i/>
          <w:iCs/>
          <w:color w:val="000000" w:themeColor="text1"/>
        </w:rPr>
        <w:t>Spur Steak Ranches Ltd and Others v Saddles Steak Ranch, Claremont and Another</w:t>
      </w:r>
      <w:r w:rsidRPr="00350EB9">
        <w:rPr>
          <w:rFonts w:ascii="Times New Roman" w:hAnsi="Times New Roman" w:cs="Times New Roman"/>
          <w:color w:val="000000" w:themeColor="text1"/>
        </w:rPr>
        <w:t xml:space="preserve"> 1996 (3) SA 706 (C) at 714E-H; See also </w:t>
      </w:r>
      <w:r w:rsidRPr="00350EB9">
        <w:rPr>
          <w:rFonts w:ascii="Times New Roman" w:hAnsi="Times New Roman" w:cs="Times New Roman"/>
          <w:i/>
          <w:iCs/>
          <w:color w:val="000000" w:themeColor="text1"/>
        </w:rPr>
        <w:t>Gool v Minister of Justice and another</w:t>
      </w:r>
      <w:r w:rsidRPr="00350EB9">
        <w:rPr>
          <w:rFonts w:ascii="Times New Roman" w:hAnsi="Times New Roman" w:cs="Times New Roman"/>
          <w:color w:val="000000" w:themeColor="text1"/>
        </w:rPr>
        <w:t xml:space="preserve"> 1955 (2) SA 682 (C) at 688 (E).</w:t>
      </w:r>
    </w:p>
  </w:footnote>
  <w:footnote w:id="5">
    <w:p w:rsidR="003C6ED7" w:rsidRPr="00350EB9" w:rsidRDefault="003C6ED7" w:rsidP="003C6ED7">
      <w:pPr>
        <w:pStyle w:val="FootnoteText"/>
        <w:rPr>
          <w:rFonts w:ascii="Times New Roman" w:hAnsi="Times New Roman" w:cs="Times New Roman"/>
          <w:color w:val="000000" w:themeColor="text1"/>
        </w:rPr>
      </w:pPr>
      <w:r w:rsidRPr="00350EB9">
        <w:rPr>
          <w:rStyle w:val="FootnoteReference"/>
          <w:rFonts w:ascii="Times New Roman" w:hAnsi="Times New Roman" w:cs="Times New Roman"/>
          <w:color w:val="000000" w:themeColor="text1"/>
        </w:rPr>
        <w:footnoteRef/>
      </w:r>
      <w:r w:rsidRPr="00350EB9">
        <w:rPr>
          <w:rFonts w:ascii="Times New Roman" w:hAnsi="Times New Roman" w:cs="Times New Roman"/>
          <w:color w:val="000000" w:themeColor="text1"/>
        </w:rPr>
        <w:t xml:space="preserve"> </w:t>
      </w:r>
      <w:r w:rsidRPr="00350EB9">
        <w:rPr>
          <w:rFonts w:ascii="Times New Roman" w:hAnsi="Times New Roman" w:cs="Times New Roman"/>
          <w:i/>
          <w:iCs/>
          <w:color w:val="000000" w:themeColor="text1"/>
        </w:rPr>
        <w:t>Zulu v Minister of Defence and Others</w:t>
      </w:r>
      <w:r w:rsidRPr="00350EB9">
        <w:rPr>
          <w:rFonts w:ascii="Times New Roman" w:hAnsi="Times New Roman" w:cs="Times New Roman"/>
          <w:color w:val="000000" w:themeColor="text1"/>
        </w:rPr>
        <w:t xml:space="preserve"> 2005 (6) SA 446 (T) paras 41 - 42. </w:t>
      </w:r>
    </w:p>
  </w:footnote>
  <w:footnote w:id="6">
    <w:p w:rsidR="00350EB9" w:rsidRDefault="00350EB9">
      <w:pPr>
        <w:pStyle w:val="FootnoteText"/>
      </w:pPr>
      <w:r w:rsidRPr="00350EB9">
        <w:rPr>
          <w:rStyle w:val="FootnoteReference"/>
          <w:rFonts w:ascii="Times New Roman" w:hAnsi="Times New Roman" w:cs="Times New Roman"/>
          <w:color w:val="000000" w:themeColor="text1"/>
        </w:rPr>
        <w:footnoteRef/>
      </w:r>
      <w:r w:rsidRPr="00350EB9">
        <w:rPr>
          <w:rFonts w:ascii="Times New Roman" w:hAnsi="Times New Roman" w:cs="Times New Roman"/>
          <w:color w:val="000000" w:themeColor="text1"/>
        </w:rPr>
        <w:t xml:space="preserve"> </w:t>
      </w:r>
      <w:r w:rsidRPr="00350EB9">
        <w:rPr>
          <w:rStyle w:val="Emphasis"/>
          <w:rFonts w:ascii="Times New Roman" w:hAnsi="Times New Roman" w:cs="Times New Roman"/>
          <w:color w:val="000000" w:themeColor="text1"/>
          <w:shd w:val="clear" w:color="auto" w:fill="FFFFFF"/>
        </w:rPr>
        <w:t>Eriksen Motors</w:t>
      </w:r>
      <w:r w:rsidRPr="00350EB9">
        <w:rPr>
          <w:rFonts w:ascii="Times New Roman" w:hAnsi="Times New Roman" w:cs="Times New Roman"/>
          <w:color w:val="000000" w:themeColor="text1"/>
          <w:shd w:val="clear" w:color="auto" w:fill="FFFFFF"/>
        </w:rPr>
        <w:t> (Welkom) Ltd </w:t>
      </w:r>
      <w:r w:rsidRPr="00350EB9">
        <w:rPr>
          <w:rStyle w:val="Emphasis"/>
          <w:rFonts w:ascii="Times New Roman" w:hAnsi="Times New Roman" w:cs="Times New Roman"/>
          <w:color w:val="000000" w:themeColor="text1"/>
          <w:shd w:val="clear" w:color="auto" w:fill="FFFFFF"/>
        </w:rPr>
        <w:t>v Protea Motor</w:t>
      </w:r>
      <w:r>
        <w:rPr>
          <w:rStyle w:val="Emphasis"/>
          <w:rFonts w:ascii="Times New Roman" w:hAnsi="Times New Roman" w:cs="Times New Roman"/>
          <w:color w:val="000000" w:themeColor="text1"/>
          <w:shd w:val="clear" w:color="auto" w:fill="FFFFFF"/>
        </w:rPr>
        <w:t>s</w:t>
      </w:r>
      <w:r w:rsidRPr="00350EB9">
        <w:rPr>
          <w:rFonts w:ascii="Times New Roman" w:hAnsi="Times New Roman" w:cs="Times New Roman"/>
          <w:color w:val="000000" w:themeColor="text1"/>
          <w:shd w:val="clear" w:color="auto" w:fill="FFFFFF"/>
        </w:rPr>
        <w:t> </w:t>
      </w:r>
      <w:r w:rsidRPr="00350EB9">
        <w:rPr>
          <w:rFonts w:ascii="Times New Roman" w:hAnsi="Times New Roman" w:cs="Times New Roman"/>
          <w:i/>
          <w:iCs/>
          <w:color w:val="000000" w:themeColor="text1"/>
          <w:shd w:val="clear" w:color="auto" w:fill="FFFFFF"/>
        </w:rPr>
        <w:t>&amp; Others</w:t>
      </w:r>
      <w:r w:rsidRPr="00350EB9">
        <w:rPr>
          <w:rFonts w:ascii="Times New Roman" w:hAnsi="Times New Roman" w:cs="Times New Roman"/>
          <w:color w:val="000000" w:themeColor="text1"/>
          <w:shd w:val="clear" w:color="auto" w:fill="FFFFFF"/>
        </w:rPr>
        <w:t xml:space="preserve"> 1973 (3) SA 685 (A) at 691E-G.</w:t>
      </w:r>
    </w:p>
  </w:footnote>
  <w:footnote w:id="7">
    <w:p w:rsidR="00425B15" w:rsidRPr="00425B15" w:rsidRDefault="00425B15">
      <w:pPr>
        <w:pStyle w:val="FootnoteText"/>
        <w:rPr>
          <w:rFonts w:ascii="Times New Roman" w:hAnsi="Times New Roman" w:cs="Times New Roman"/>
        </w:rPr>
      </w:pPr>
      <w:r w:rsidRPr="00425B15">
        <w:rPr>
          <w:rStyle w:val="FootnoteReference"/>
          <w:rFonts w:ascii="Times New Roman" w:hAnsi="Times New Roman" w:cs="Times New Roman"/>
        </w:rPr>
        <w:footnoteRef/>
      </w:r>
      <w:r w:rsidRPr="00425B15">
        <w:rPr>
          <w:rFonts w:ascii="Times New Roman" w:hAnsi="Times New Roman" w:cs="Times New Roman"/>
        </w:rPr>
        <w:t xml:space="preserve"> Also compare clause 28.3.2.</w:t>
      </w:r>
    </w:p>
  </w:footnote>
  <w:footnote w:id="8">
    <w:p w:rsidR="00C153C0" w:rsidRPr="00C153C0" w:rsidRDefault="00C153C0">
      <w:pPr>
        <w:pStyle w:val="FootnoteText"/>
        <w:rPr>
          <w:rFonts w:ascii="Times New Roman" w:hAnsi="Times New Roman" w:cs="Times New Roman"/>
        </w:rPr>
      </w:pPr>
      <w:r w:rsidRPr="00C153C0">
        <w:rPr>
          <w:rStyle w:val="FootnoteReference"/>
          <w:rFonts w:ascii="Times New Roman" w:hAnsi="Times New Roman" w:cs="Times New Roman"/>
        </w:rPr>
        <w:footnoteRef/>
      </w:r>
      <w:r w:rsidRPr="00C153C0">
        <w:rPr>
          <w:rFonts w:ascii="Times New Roman" w:hAnsi="Times New Roman" w:cs="Times New Roman"/>
        </w:rPr>
        <w:t xml:space="preserve"> A Term is defined as the Initial Period and the Renewal Periods, as defined. </w:t>
      </w:r>
    </w:p>
  </w:footnote>
  <w:footnote w:id="9">
    <w:p w:rsidR="006F6D08" w:rsidRPr="006F6D08" w:rsidRDefault="006F6D08" w:rsidP="006F6D08">
      <w:pPr>
        <w:spacing w:line="276" w:lineRule="auto"/>
        <w:jc w:val="both"/>
        <w:rPr>
          <w:rFonts w:ascii="Times New Roman" w:hAnsi="Times New Roman" w:cs="Times New Roman"/>
          <w:sz w:val="20"/>
          <w:szCs w:val="20"/>
        </w:rPr>
      </w:pPr>
      <w:r w:rsidRPr="006F6D08">
        <w:rPr>
          <w:rStyle w:val="FootnoteReference"/>
          <w:rFonts w:ascii="Times New Roman" w:hAnsi="Times New Roman" w:cs="Times New Roman"/>
        </w:rPr>
        <w:footnoteRef/>
      </w:r>
      <w:r w:rsidRPr="006F6D08">
        <w:rPr>
          <w:rFonts w:ascii="Times New Roman" w:hAnsi="Times New Roman" w:cs="Times New Roman"/>
        </w:rPr>
        <w:t xml:space="preserve"> </w:t>
      </w:r>
      <w:r w:rsidRPr="006F6D08">
        <w:rPr>
          <w:rFonts w:ascii="Times New Roman" w:hAnsi="Times New Roman" w:cs="Times New Roman"/>
          <w:i/>
          <w:iCs/>
          <w:sz w:val="20"/>
          <w:szCs w:val="20"/>
        </w:rPr>
        <w:t>“Secured Obligations”</w:t>
      </w:r>
      <w:r w:rsidRPr="006F6D08">
        <w:rPr>
          <w:rFonts w:ascii="Times New Roman" w:hAnsi="Times New Roman" w:cs="Times New Roman"/>
          <w:sz w:val="20"/>
          <w:szCs w:val="20"/>
        </w:rPr>
        <w:t xml:space="preserve"> are defined as “all indebtedness or obligations of any nature whatsoever of the Franchisee (whether actual or contingent, present or future) to the Franchisor from time to time in terms of the Main Agreement, including in respect of the principal amount, interest, costs, expenses, fees and the like”.</w:t>
      </w:r>
    </w:p>
    <w:p w:rsidR="006F6D08" w:rsidRDefault="006F6D08">
      <w:pPr>
        <w:pStyle w:val="FootnoteText"/>
      </w:pPr>
    </w:p>
  </w:footnote>
  <w:footnote w:id="10">
    <w:p w:rsidR="00197BB3" w:rsidRPr="00A11D68" w:rsidRDefault="00197BB3" w:rsidP="00197BB3">
      <w:pPr>
        <w:pStyle w:val="FootnoteText"/>
        <w:rPr>
          <w:rFonts w:ascii="Times New Roman" w:hAnsi="Times New Roman" w:cs="Times New Roman"/>
        </w:rPr>
      </w:pPr>
      <w:r w:rsidRPr="00A11D68">
        <w:rPr>
          <w:rStyle w:val="FootnoteReference"/>
          <w:rFonts w:ascii="Times New Roman" w:hAnsi="Times New Roman" w:cs="Times New Roman"/>
          <w:color w:val="000000" w:themeColor="text1"/>
        </w:rPr>
        <w:footnoteRef/>
      </w:r>
      <w:r w:rsidRPr="00A11D68">
        <w:rPr>
          <w:rFonts w:ascii="Times New Roman" w:hAnsi="Times New Roman" w:cs="Times New Roman"/>
          <w:color w:val="000000" w:themeColor="text1"/>
        </w:rPr>
        <w:t xml:space="preserve"> </w:t>
      </w:r>
      <w:r w:rsidRPr="00A11D68">
        <w:rPr>
          <w:rFonts w:ascii="Times New Roman" w:hAnsi="Times New Roman" w:cs="Times New Roman"/>
          <w:i/>
          <w:iCs/>
          <w:color w:val="000000" w:themeColor="text1"/>
        </w:rPr>
        <w:t>Natal Joint Municipal Pension Fund v Endumeni Municipality</w:t>
      </w:r>
      <w:r w:rsidRPr="00A11D68">
        <w:rPr>
          <w:rFonts w:ascii="Times New Roman" w:hAnsi="Times New Roman" w:cs="Times New Roman"/>
          <w:color w:val="000000" w:themeColor="text1"/>
        </w:rPr>
        <w:t xml:space="preserve"> 2012 (4) SA 593 (SCA) at para 18.</w:t>
      </w:r>
    </w:p>
  </w:footnote>
  <w:footnote w:id="11">
    <w:p w:rsidR="0082404C" w:rsidRPr="0082404C" w:rsidRDefault="0082404C">
      <w:pPr>
        <w:pStyle w:val="FootnoteText"/>
        <w:rPr>
          <w:rFonts w:ascii="Times New Roman" w:hAnsi="Times New Roman" w:cs="Times New Roman"/>
        </w:rPr>
      </w:pPr>
      <w:r w:rsidRPr="0082404C">
        <w:rPr>
          <w:rStyle w:val="FootnoteReference"/>
          <w:rFonts w:ascii="Times New Roman" w:hAnsi="Times New Roman" w:cs="Times New Roman"/>
        </w:rPr>
        <w:footnoteRef/>
      </w:r>
      <w:r w:rsidRPr="0082404C">
        <w:rPr>
          <w:rFonts w:ascii="Times New Roman" w:hAnsi="Times New Roman" w:cs="Times New Roman"/>
        </w:rPr>
        <w:t xml:space="preserve"> At para 19.</w:t>
      </w:r>
    </w:p>
  </w:footnote>
  <w:footnote w:id="12">
    <w:p w:rsidR="00C471DD" w:rsidRPr="00197BB3" w:rsidRDefault="00C471DD" w:rsidP="00C471DD">
      <w:pPr>
        <w:pStyle w:val="FootnoteText"/>
        <w:rPr>
          <w:rFonts w:ascii="Times New Roman" w:hAnsi="Times New Roman" w:cs="Times New Roman"/>
        </w:rPr>
      </w:pPr>
      <w:r w:rsidRPr="00197BB3">
        <w:rPr>
          <w:rStyle w:val="FootnoteReference"/>
          <w:rFonts w:ascii="Times New Roman" w:hAnsi="Times New Roman" w:cs="Times New Roman"/>
        </w:rPr>
        <w:footnoteRef/>
      </w:r>
      <w:r w:rsidRPr="00197BB3">
        <w:rPr>
          <w:rFonts w:ascii="Times New Roman" w:hAnsi="Times New Roman" w:cs="Times New Roman"/>
        </w:rPr>
        <w:t xml:space="preserve"> </w:t>
      </w:r>
      <w:r w:rsidRPr="00197BB3">
        <w:rPr>
          <w:rFonts w:ascii="Times New Roman" w:hAnsi="Times New Roman" w:cs="Times New Roman"/>
          <w:i/>
          <w:iCs/>
        </w:rPr>
        <w:t xml:space="preserve">Capitec Bank Holdings Limited v Coral Lagoon Investments 194 (Pty) Ltd </w:t>
      </w:r>
      <w:r w:rsidRPr="00197BB3">
        <w:rPr>
          <w:rFonts w:ascii="Times New Roman" w:hAnsi="Times New Roman" w:cs="Times New Roman"/>
        </w:rPr>
        <w:t>2022 (1) SA 100 (SCA) paras 25-26.</w:t>
      </w:r>
    </w:p>
  </w:footnote>
  <w:footnote w:id="13">
    <w:p w:rsidR="00924BB6" w:rsidRPr="00924BB6" w:rsidRDefault="00924BB6">
      <w:pPr>
        <w:pStyle w:val="FootnoteText"/>
        <w:rPr>
          <w:rFonts w:ascii="Times New Roman" w:hAnsi="Times New Roman" w:cs="Times New Roman"/>
        </w:rPr>
      </w:pPr>
      <w:r w:rsidRPr="00924BB6">
        <w:rPr>
          <w:rStyle w:val="FootnoteReference"/>
          <w:rFonts w:ascii="Times New Roman" w:hAnsi="Times New Roman" w:cs="Times New Roman"/>
        </w:rPr>
        <w:footnoteRef/>
      </w:r>
      <w:r w:rsidRPr="00924BB6">
        <w:rPr>
          <w:rFonts w:ascii="Times New Roman" w:hAnsi="Times New Roman" w:cs="Times New Roman"/>
        </w:rPr>
        <w:t xml:space="preserve"> At para 26.</w:t>
      </w:r>
    </w:p>
  </w:footnote>
  <w:footnote w:id="14">
    <w:p w:rsidR="000D5C96" w:rsidRPr="00CF635E" w:rsidRDefault="000D5C96" w:rsidP="000D5C96">
      <w:pPr>
        <w:pStyle w:val="FootnoteText"/>
        <w:rPr>
          <w:rFonts w:ascii="Times New Roman" w:hAnsi="Times New Roman" w:cs="Times New Roman"/>
          <w:lang w:val="en-GB"/>
        </w:rPr>
      </w:pPr>
      <w:r>
        <w:rPr>
          <w:rStyle w:val="FootnoteReference"/>
        </w:rPr>
        <w:footnoteRef/>
      </w:r>
      <w:r>
        <w:t xml:space="preserve"> </w:t>
      </w:r>
      <w:r>
        <w:rPr>
          <w:lang w:val="en-GB"/>
        </w:rPr>
        <w:t xml:space="preserve"> </w:t>
      </w:r>
      <w:r w:rsidRPr="00F42923">
        <w:rPr>
          <w:rFonts w:ascii="Times New Roman" w:hAnsi="Times New Roman" w:cs="Times New Roman"/>
          <w:i/>
          <w:lang w:val="en-GB"/>
        </w:rPr>
        <w:t xml:space="preserve">Endumeni </w:t>
      </w:r>
      <w:r w:rsidRPr="00F42923">
        <w:rPr>
          <w:rFonts w:ascii="Times New Roman" w:hAnsi="Times New Roman" w:cs="Times New Roman"/>
          <w:lang w:val="en-GB"/>
        </w:rPr>
        <w:t>at para 18</w:t>
      </w:r>
      <w:r w:rsidR="00F42923">
        <w:rPr>
          <w:rFonts w:ascii="Times New Roman" w:hAnsi="Times New Roman" w:cs="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11386"/>
      <w:docPartObj>
        <w:docPartGallery w:val="Page Numbers (Top of Page)"/>
        <w:docPartUnique/>
      </w:docPartObj>
    </w:sdtPr>
    <w:sdtEndPr>
      <w:rPr>
        <w:noProof/>
      </w:rPr>
    </w:sdtEndPr>
    <w:sdtContent>
      <w:p w:rsidR="00397809" w:rsidRDefault="00397809">
        <w:pPr>
          <w:pStyle w:val="Header"/>
          <w:jc w:val="right"/>
        </w:pPr>
        <w:r>
          <w:fldChar w:fldCharType="begin"/>
        </w:r>
        <w:r>
          <w:instrText xml:space="preserve"> PAGE   \* MERGEFORMAT </w:instrText>
        </w:r>
        <w:r>
          <w:fldChar w:fldCharType="separate"/>
        </w:r>
        <w:r w:rsidR="00054191">
          <w:rPr>
            <w:noProof/>
          </w:rPr>
          <w:t>20</w:t>
        </w:r>
        <w:r>
          <w:rPr>
            <w:noProof/>
          </w:rPr>
          <w:fldChar w:fldCharType="end"/>
        </w:r>
      </w:p>
    </w:sdtContent>
  </w:sdt>
  <w:p w:rsidR="00397809" w:rsidRDefault="00397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lowerLetter"/>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30"/>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5813F2"/>
    <w:multiLevelType w:val="hybridMultilevel"/>
    <w:tmpl w:val="D98A10C4"/>
    <w:lvl w:ilvl="0" w:tplc="9F4A5D40">
      <w:start w:val="1"/>
      <w:numFmt w:val="decimal"/>
      <w:lvlText w:val="[%1]"/>
      <w:lvlJc w:val="center"/>
      <w:pPr>
        <w:ind w:left="720" w:hanging="360"/>
      </w:pPr>
      <w:rPr>
        <w:rFonts w:ascii="Times New Roman" w:hAnsi="Times New Roman" w:cs="Times New Roman" w:hint="default"/>
        <w:b w:val="0"/>
        <w:bCs w:val="0"/>
        <w:i w:val="0"/>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D15FC"/>
    <w:multiLevelType w:val="hybridMultilevel"/>
    <w:tmpl w:val="F9FAAC18"/>
    <w:lvl w:ilvl="0" w:tplc="C5C8344C">
      <w:start w:val="1"/>
      <w:numFmt w:val="decimal"/>
      <w:lvlText w:val="[%1]"/>
      <w:lvlJc w:val="center"/>
      <w:pPr>
        <w:ind w:left="720" w:hanging="360"/>
      </w:pPr>
      <w:rPr>
        <w:rFonts w:ascii="Times New Roman" w:hAnsi="Times New Roman" w:cs="Times New Roman" w:hint="default"/>
        <w:b w:val="0"/>
        <w:i w:val="0"/>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D5E71"/>
    <w:multiLevelType w:val="hybridMultilevel"/>
    <w:tmpl w:val="35986AAC"/>
    <w:lvl w:ilvl="0" w:tplc="FFFFFFFF">
      <w:start w:val="1"/>
      <w:numFmt w:val="decimal"/>
      <w:lvlText w:val="[%1]"/>
      <w:lvlJc w:val="center"/>
      <w:pPr>
        <w:ind w:left="720" w:hanging="360"/>
      </w:pPr>
      <w:rPr>
        <w:rFonts w:ascii="Times New Roman" w:hAnsi="Times New Roman" w:cs="Times New Roman" w:hint="default"/>
        <w:i w:val="0"/>
        <w:sz w:val="26"/>
        <w:szCs w:val="2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EF1673"/>
    <w:multiLevelType w:val="hybridMultilevel"/>
    <w:tmpl w:val="E1C26A72"/>
    <w:lvl w:ilvl="0" w:tplc="23DE85C2">
      <w:start w:val="1"/>
      <w:numFmt w:val="decimal"/>
      <w:lvlText w:val="%1."/>
      <w:lvlJc w:val="left"/>
      <w:pPr>
        <w:ind w:left="360" w:hanging="360"/>
      </w:pPr>
      <w:rPr>
        <w:rFonts w:ascii="Times New Roman" w:hAnsi="Times New Roman" w:cs="Times New Roman" w:hint="default"/>
        <w:b w:val="0"/>
        <w:bCs w:val="0"/>
        <w:i w:val="0"/>
        <w:iCs w:val="0"/>
      </w:rPr>
    </w:lvl>
    <w:lvl w:ilvl="1" w:tplc="693A40C6">
      <w:start w:val="1"/>
      <w:numFmt w:val="lowerLetter"/>
      <w:lvlText w:val="(%2)"/>
      <w:lvlJc w:val="left"/>
      <w:pPr>
        <w:ind w:left="928" w:hanging="360"/>
      </w:pPr>
      <w:rPr>
        <w:rFonts w:hint="default"/>
        <w:i w:val="0"/>
        <w:iCs/>
      </w:rPr>
    </w:lvl>
    <w:lvl w:ilvl="2" w:tplc="0809001B">
      <w:start w:val="1"/>
      <w:numFmt w:val="lowerRoman"/>
      <w:lvlText w:val="%3."/>
      <w:lvlJc w:val="right"/>
      <w:pPr>
        <w:ind w:left="1456"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3462D60"/>
    <w:multiLevelType w:val="hybridMultilevel"/>
    <w:tmpl w:val="AF9A4B78"/>
    <w:lvl w:ilvl="0" w:tplc="B838D51A">
      <w:start w:val="1"/>
      <w:numFmt w:val="decimal"/>
      <w:lvlText w:val="[%1]"/>
      <w:lvlJc w:val="left"/>
      <w:pPr>
        <w:ind w:left="720" w:hanging="360"/>
      </w:pPr>
      <w:rPr>
        <w:rFonts w:ascii="Times New Roman" w:hAnsi="Times New Roman" w:cs="Times New Roman" w:hint="default"/>
        <w:sz w:val="26"/>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AF40CE"/>
    <w:multiLevelType w:val="hybridMultilevel"/>
    <w:tmpl w:val="A8C6553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FA40FA7"/>
    <w:multiLevelType w:val="hybridMultilevel"/>
    <w:tmpl w:val="36D885AA"/>
    <w:lvl w:ilvl="0" w:tplc="7240894C">
      <w:start w:val="1"/>
      <w:numFmt w:val="decimal"/>
      <w:lvlText w:val="[%1]"/>
      <w:lvlJc w:val="center"/>
      <w:pPr>
        <w:ind w:left="862" w:hanging="360"/>
      </w:pPr>
      <w:rPr>
        <w:rFonts w:ascii="Times New Roman" w:hAnsi="Times New Roman" w:cs="Times New Roman" w:hint="default"/>
        <w:i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2"/>
  </w:num>
  <w:num w:numId="2">
    <w:abstractNumId w:val="8"/>
  </w:num>
  <w:num w:numId="3">
    <w:abstractNumId w:val="7"/>
  </w:num>
  <w:num w:numId="4">
    <w:abstractNumId w:val="3"/>
  </w:num>
  <w:num w:numId="5">
    <w:abstractNumId w:val="5"/>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30"/>
    <w:rsid w:val="00017DC1"/>
    <w:rsid w:val="00022186"/>
    <w:rsid w:val="000224D1"/>
    <w:rsid w:val="00037CE4"/>
    <w:rsid w:val="00041BE8"/>
    <w:rsid w:val="000430CE"/>
    <w:rsid w:val="00054191"/>
    <w:rsid w:val="0009799E"/>
    <w:rsid w:val="000D5994"/>
    <w:rsid w:val="000D5C96"/>
    <w:rsid w:val="0010023F"/>
    <w:rsid w:val="001035AA"/>
    <w:rsid w:val="00105F99"/>
    <w:rsid w:val="00114287"/>
    <w:rsid w:val="0011438B"/>
    <w:rsid w:val="001776EB"/>
    <w:rsid w:val="00183C36"/>
    <w:rsid w:val="00197BB3"/>
    <w:rsid w:val="001B21FD"/>
    <w:rsid w:val="001C7F75"/>
    <w:rsid w:val="001D0965"/>
    <w:rsid w:val="001D2145"/>
    <w:rsid w:val="001F759D"/>
    <w:rsid w:val="002009DB"/>
    <w:rsid w:val="00210F59"/>
    <w:rsid w:val="00246B3E"/>
    <w:rsid w:val="00297AD3"/>
    <w:rsid w:val="002A7ECC"/>
    <w:rsid w:val="002B069E"/>
    <w:rsid w:val="002E368D"/>
    <w:rsid w:val="002E439A"/>
    <w:rsid w:val="003014CA"/>
    <w:rsid w:val="00306E7B"/>
    <w:rsid w:val="003078A5"/>
    <w:rsid w:val="00320577"/>
    <w:rsid w:val="00350EB9"/>
    <w:rsid w:val="0035378E"/>
    <w:rsid w:val="00397809"/>
    <w:rsid w:val="003A4855"/>
    <w:rsid w:val="003C6ED7"/>
    <w:rsid w:val="00425B15"/>
    <w:rsid w:val="00435F66"/>
    <w:rsid w:val="00440E78"/>
    <w:rsid w:val="0044265C"/>
    <w:rsid w:val="00445B4F"/>
    <w:rsid w:val="004656DE"/>
    <w:rsid w:val="00470F7F"/>
    <w:rsid w:val="00492A78"/>
    <w:rsid w:val="004E4B43"/>
    <w:rsid w:val="00515E67"/>
    <w:rsid w:val="0053712C"/>
    <w:rsid w:val="00541BD1"/>
    <w:rsid w:val="00543193"/>
    <w:rsid w:val="005576C9"/>
    <w:rsid w:val="005A09C3"/>
    <w:rsid w:val="005A4D3F"/>
    <w:rsid w:val="005C3991"/>
    <w:rsid w:val="005D20ED"/>
    <w:rsid w:val="005F7840"/>
    <w:rsid w:val="00601258"/>
    <w:rsid w:val="00610FD2"/>
    <w:rsid w:val="00617187"/>
    <w:rsid w:val="00627468"/>
    <w:rsid w:val="00666E73"/>
    <w:rsid w:val="0069558E"/>
    <w:rsid w:val="006A304D"/>
    <w:rsid w:val="006A3CF7"/>
    <w:rsid w:val="006A7A4D"/>
    <w:rsid w:val="006D5D21"/>
    <w:rsid w:val="006E0DC0"/>
    <w:rsid w:val="006E67E2"/>
    <w:rsid w:val="006F6D08"/>
    <w:rsid w:val="00704F3E"/>
    <w:rsid w:val="007318D5"/>
    <w:rsid w:val="007A0DC7"/>
    <w:rsid w:val="007B2CE2"/>
    <w:rsid w:val="007B42B9"/>
    <w:rsid w:val="008068D9"/>
    <w:rsid w:val="00807E66"/>
    <w:rsid w:val="0081631B"/>
    <w:rsid w:val="0082404C"/>
    <w:rsid w:val="008258E1"/>
    <w:rsid w:val="008470E2"/>
    <w:rsid w:val="008714D7"/>
    <w:rsid w:val="00885DBA"/>
    <w:rsid w:val="008E0605"/>
    <w:rsid w:val="008F06E7"/>
    <w:rsid w:val="008F24D3"/>
    <w:rsid w:val="00912D92"/>
    <w:rsid w:val="00914B0B"/>
    <w:rsid w:val="00921D89"/>
    <w:rsid w:val="00924BB6"/>
    <w:rsid w:val="0093159E"/>
    <w:rsid w:val="009461A0"/>
    <w:rsid w:val="00981C6D"/>
    <w:rsid w:val="009B1C2B"/>
    <w:rsid w:val="009C21A9"/>
    <w:rsid w:val="009D407C"/>
    <w:rsid w:val="009E50C8"/>
    <w:rsid w:val="009F659A"/>
    <w:rsid w:val="00A11D68"/>
    <w:rsid w:val="00A34CFB"/>
    <w:rsid w:val="00A5163F"/>
    <w:rsid w:val="00A72428"/>
    <w:rsid w:val="00A80A41"/>
    <w:rsid w:val="00A905FB"/>
    <w:rsid w:val="00AA696B"/>
    <w:rsid w:val="00AB3647"/>
    <w:rsid w:val="00AD35C4"/>
    <w:rsid w:val="00AE3CCD"/>
    <w:rsid w:val="00B20440"/>
    <w:rsid w:val="00B2617F"/>
    <w:rsid w:val="00B3593A"/>
    <w:rsid w:val="00B448A3"/>
    <w:rsid w:val="00B45335"/>
    <w:rsid w:val="00B50D07"/>
    <w:rsid w:val="00B71613"/>
    <w:rsid w:val="00B849BA"/>
    <w:rsid w:val="00B87716"/>
    <w:rsid w:val="00BB4BA3"/>
    <w:rsid w:val="00BB68AA"/>
    <w:rsid w:val="00BD254B"/>
    <w:rsid w:val="00BF6084"/>
    <w:rsid w:val="00C10018"/>
    <w:rsid w:val="00C114E1"/>
    <w:rsid w:val="00C153C0"/>
    <w:rsid w:val="00C16051"/>
    <w:rsid w:val="00C218EB"/>
    <w:rsid w:val="00C43132"/>
    <w:rsid w:val="00C471DD"/>
    <w:rsid w:val="00C54E48"/>
    <w:rsid w:val="00CA6683"/>
    <w:rsid w:val="00CE5930"/>
    <w:rsid w:val="00CF6D6D"/>
    <w:rsid w:val="00CF7876"/>
    <w:rsid w:val="00D002BF"/>
    <w:rsid w:val="00D00AD8"/>
    <w:rsid w:val="00D057A0"/>
    <w:rsid w:val="00D25936"/>
    <w:rsid w:val="00D37459"/>
    <w:rsid w:val="00D4615F"/>
    <w:rsid w:val="00D63646"/>
    <w:rsid w:val="00D721B1"/>
    <w:rsid w:val="00D945BA"/>
    <w:rsid w:val="00DA110D"/>
    <w:rsid w:val="00DC0577"/>
    <w:rsid w:val="00E0087D"/>
    <w:rsid w:val="00E261BB"/>
    <w:rsid w:val="00E40986"/>
    <w:rsid w:val="00E85F7C"/>
    <w:rsid w:val="00EC2084"/>
    <w:rsid w:val="00EC20DA"/>
    <w:rsid w:val="00EE13A1"/>
    <w:rsid w:val="00F13213"/>
    <w:rsid w:val="00F143E8"/>
    <w:rsid w:val="00F2676A"/>
    <w:rsid w:val="00F324E4"/>
    <w:rsid w:val="00F358C0"/>
    <w:rsid w:val="00F36D4F"/>
    <w:rsid w:val="00F36F26"/>
    <w:rsid w:val="00F4152D"/>
    <w:rsid w:val="00F42923"/>
    <w:rsid w:val="00F47A66"/>
    <w:rsid w:val="00F71548"/>
    <w:rsid w:val="00F93439"/>
    <w:rsid w:val="00FB082B"/>
    <w:rsid w:val="00FB219F"/>
    <w:rsid w:val="00FD6140"/>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F018"/>
  <w15:chartTrackingRefBased/>
  <w15:docId w15:val="{B8553600-25C0-C540-82D6-9693C601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86"/>
    <w:pPr>
      <w:ind w:left="720"/>
      <w:contextualSpacing/>
    </w:pPr>
  </w:style>
  <w:style w:type="paragraph" w:styleId="FootnoteText">
    <w:name w:val="footnote text"/>
    <w:basedOn w:val="Normal"/>
    <w:link w:val="FootnoteTextChar"/>
    <w:uiPriority w:val="99"/>
    <w:semiHidden/>
    <w:unhideWhenUsed/>
    <w:rsid w:val="00E26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1BB"/>
    <w:rPr>
      <w:sz w:val="20"/>
      <w:szCs w:val="20"/>
    </w:rPr>
  </w:style>
  <w:style w:type="character" w:styleId="FootnoteReference">
    <w:name w:val="footnote reference"/>
    <w:basedOn w:val="DefaultParagraphFont"/>
    <w:uiPriority w:val="99"/>
    <w:semiHidden/>
    <w:unhideWhenUsed/>
    <w:rsid w:val="00E261BB"/>
    <w:rPr>
      <w:vertAlign w:val="superscript"/>
    </w:rPr>
  </w:style>
  <w:style w:type="paragraph" w:styleId="Header">
    <w:name w:val="header"/>
    <w:basedOn w:val="Normal"/>
    <w:link w:val="HeaderChar"/>
    <w:uiPriority w:val="99"/>
    <w:unhideWhenUsed/>
    <w:rsid w:val="0039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09"/>
  </w:style>
  <w:style w:type="paragraph" w:styleId="Footer">
    <w:name w:val="footer"/>
    <w:basedOn w:val="Normal"/>
    <w:link w:val="FooterChar"/>
    <w:uiPriority w:val="99"/>
    <w:unhideWhenUsed/>
    <w:rsid w:val="0039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09"/>
  </w:style>
  <w:style w:type="paragraph" w:styleId="BalloonText">
    <w:name w:val="Balloon Text"/>
    <w:basedOn w:val="Normal"/>
    <w:link w:val="BalloonTextChar"/>
    <w:uiPriority w:val="99"/>
    <w:semiHidden/>
    <w:unhideWhenUsed/>
    <w:rsid w:val="00397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809"/>
    <w:rPr>
      <w:rFonts w:ascii="Segoe UI" w:hAnsi="Segoe UI" w:cs="Segoe UI"/>
      <w:sz w:val="18"/>
      <w:szCs w:val="18"/>
    </w:rPr>
  </w:style>
  <w:style w:type="character" w:styleId="Emphasis">
    <w:name w:val="Emphasis"/>
    <w:basedOn w:val="DefaultParagraphFont"/>
    <w:uiPriority w:val="20"/>
    <w:qFormat/>
    <w:rsid w:val="00350EB9"/>
    <w:rPr>
      <w:i/>
      <w:iCs/>
    </w:rPr>
  </w:style>
  <w:style w:type="character" w:styleId="Hyperlink">
    <w:name w:val="Hyperlink"/>
    <w:basedOn w:val="DefaultParagraphFont"/>
    <w:uiPriority w:val="99"/>
    <w:semiHidden/>
    <w:unhideWhenUsed/>
    <w:rsid w:val="0082404C"/>
    <w:rPr>
      <w:color w:val="0000FF"/>
      <w:u w:val="single"/>
    </w:rPr>
  </w:style>
  <w:style w:type="paragraph" w:customStyle="1" w:styleId="Default">
    <w:name w:val="Default"/>
    <w:rsid w:val="00054191"/>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55%20%282%29%20SA%20682" TargetMode="External"/><Relationship Id="rId1" Type="http://schemas.openxmlformats.org/officeDocument/2006/relationships/hyperlink" Target="http://www.saflii.org/cgi-bin/LawCite?cit=1948%20%281%29%20SA%201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5" ma:contentTypeDescription="Create a new document." ma:contentTypeScope="" ma:versionID="543ebc371ea95544bcf5d68a7d11ff8c">
  <xsd:schema xmlns:xsd="http://www.w3.org/2001/XMLSchema" xmlns:xs="http://www.w3.org/2001/XMLSchema" xmlns:p="http://schemas.microsoft.com/office/2006/metadata/properties" xmlns:ns3="174cfbbd-a4b3-405f-949d-96311ae9159c" xmlns:ns4="51d8eaa0-293e-4b49-b7e8-af3655085324" targetNamespace="http://schemas.microsoft.com/office/2006/metadata/properties" ma:root="true" ma:fieldsID="ff31a7502805f8a80e02514c90636276" ns3:_="" ns4:_="">
    <xsd:import namespace="174cfbbd-a4b3-405f-949d-96311ae9159c"/>
    <xsd:import namespace="51d8eaa0-293e-4b49-b7e8-af36550853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B2AD5-9FD6-4237-9294-51085C634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cfbbd-a4b3-405f-949d-96311ae9159c"/>
    <ds:schemaRef ds:uri="51d8eaa0-293e-4b49-b7e8-af3655085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0CD82-5078-4520-96E5-428E45D0C46B}">
  <ds:schemaRefs>
    <ds:schemaRef ds:uri="http://schemas.microsoft.com/office/2006/metadata/properties"/>
    <ds:schemaRef ds:uri="http://schemas.microsoft.com/office/infopath/2007/PartnerControls"/>
    <ds:schemaRef ds:uri="51d8eaa0-293e-4b49-b7e8-af3655085324"/>
  </ds:schemaRefs>
</ds:datastoreItem>
</file>

<file path=customXml/itemProps3.xml><?xml version="1.0" encoding="utf-8"?>
<ds:datastoreItem xmlns:ds="http://schemas.openxmlformats.org/officeDocument/2006/customXml" ds:itemID="{18DACF94-9B34-413F-9173-D89CFCFBD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5509</Words>
  <Characters>31402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chantalgusha@gmail.com</dc:creator>
  <cp:keywords/>
  <dc:description/>
  <cp:lastModifiedBy>Nobahle Mangcu-Lockwood</cp:lastModifiedBy>
  <cp:revision>3</cp:revision>
  <cp:lastPrinted>2023-11-03T12:50:00Z</cp:lastPrinted>
  <dcterms:created xsi:type="dcterms:W3CDTF">2023-11-09T08:43:00Z</dcterms:created>
  <dcterms:modified xsi:type="dcterms:W3CDTF">2023-11-09T08:43:00Z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