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71" w:rsidRDefault="001B4F71" w:rsidP="001B4F71">
      <w:pPr>
        <w:pStyle w:val="Header"/>
        <w:jc w:val="center"/>
        <w:rPr>
          <w:rFonts w:ascii="Arial" w:hAnsi="Arial" w:cs="Arial"/>
          <w:b/>
          <w:lang w:val="en-GB"/>
        </w:rPr>
      </w:pPr>
      <w:bookmarkStart w:id="0" w:name="_GoBack"/>
      <w:bookmarkEnd w:id="0"/>
      <w:r w:rsidRPr="00AE0666">
        <w:rPr>
          <w:b/>
          <w:noProof/>
          <w:lang w:eastAsia="en-ZA"/>
        </w:rPr>
        <w:drawing>
          <wp:inline distT="0" distB="0" distL="0" distR="0" wp14:anchorId="560D37DC" wp14:editId="5424C93D">
            <wp:extent cx="876300" cy="1035257"/>
            <wp:effectExtent l="0" t="0" r="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1.png@01D297ED.F27B35D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456" cy="1040167"/>
                    </a:xfrm>
                    <a:prstGeom prst="rect">
                      <a:avLst/>
                    </a:prstGeom>
                    <a:noFill/>
                    <a:ln>
                      <a:noFill/>
                    </a:ln>
                  </pic:spPr>
                </pic:pic>
              </a:graphicData>
            </a:graphic>
          </wp:inline>
        </w:drawing>
      </w:r>
      <w:r>
        <w:rPr>
          <w:rFonts w:ascii="Arial" w:hAnsi="Arial" w:cs="Arial"/>
          <w:b/>
          <w:lang w:val="en-GB"/>
        </w:rPr>
        <w:t xml:space="preserve"> </w:t>
      </w:r>
    </w:p>
    <w:p w:rsidR="001B4F71" w:rsidRDefault="001B4F71" w:rsidP="001B4F71">
      <w:pPr>
        <w:pStyle w:val="Header"/>
        <w:jc w:val="center"/>
        <w:rPr>
          <w:rFonts w:ascii="Arial" w:hAnsi="Arial" w:cs="Arial"/>
          <w:b/>
          <w:lang w:val="en-GB"/>
        </w:rPr>
      </w:pPr>
    </w:p>
    <w:p w:rsidR="001B4F71" w:rsidRPr="00AE0666" w:rsidRDefault="001B4F71" w:rsidP="001B4F71">
      <w:pPr>
        <w:pStyle w:val="Header"/>
        <w:spacing w:line="276" w:lineRule="auto"/>
        <w:jc w:val="center"/>
        <w:rPr>
          <w:rFonts w:ascii="Arial" w:hAnsi="Arial" w:cs="Arial"/>
          <w:b/>
          <w:lang w:val="en-GB"/>
        </w:rPr>
      </w:pPr>
      <w:r w:rsidRPr="00AE0666">
        <w:rPr>
          <w:rFonts w:ascii="Arial" w:hAnsi="Arial" w:cs="Arial"/>
          <w:b/>
          <w:lang w:val="en-GB"/>
        </w:rPr>
        <w:t>In the High Court of South Africa</w:t>
      </w:r>
    </w:p>
    <w:p w:rsidR="001B4F71" w:rsidRPr="00AE0666" w:rsidRDefault="001B4F71" w:rsidP="001B4F71">
      <w:pPr>
        <w:pStyle w:val="Header"/>
        <w:spacing w:line="276" w:lineRule="auto"/>
        <w:jc w:val="center"/>
        <w:rPr>
          <w:rFonts w:ascii="Arial" w:hAnsi="Arial" w:cs="Arial"/>
          <w:b/>
          <w:lang w:val="en-GB"/>
        </w:rPr>
      </w:pPr>
      <w:r w:rsidRPr="00AE0666">
        <w:rPr>
          <w:rFonts w:ascii="Arial" w:hAnsi="Arial" w:cs="Arial"/>
          <w:b/>
          <w:lang w:val="en-GB"/>
        </w:rPr>
        <w:t xml:space="preserve">  (Western Cape Division, Cape Town)</w:t>
      </w:r>
    </w:p>
    <w:p w:rsidR="001B4F71" w:rsidRDefault="001B4F71" w:rsidP="001B4F71">
      <w:pPr>
        <w:pStyle w:val="Header"/>
        <w:jc w:val="center"/>
        <w:rPr>
          <w:rFonts w:ascii="Calibri" w:hAnsi="Calibri" w:cs="Times New Roman"/>
          <w:lang w:val="en-GB"/>
        </w:rPr>
      </w:pPr>
    </w:p>
    <w:p w:rsidR="001B4F71" w:rsidRPr="001B4F71" w:rsidRDefault="001B4F71" w:rsidP="001B4F71">
      <w:pPr>
        <w:tabs>
          <w:tab w:val="left" w:pos="7938"/>
        </w:tabs>
        <w:spacing w:line="240" w:lineRule="auto"/>
        <w:jc w:val="center"/>
        <w:rPr>
          <w:rFonts w:ascii="Arial" w:hAnsi="Arial" w:cs="Arial"/>
          <w:b/>
          <w:sz w:val="24"/>
          <w:szCs w:val="24"/>
        </w:rPr>
      </w:pPr>
      <w:r w:rsidRPr="001B4F71">
        <w:rPr>
          <w:rFonts w:ascii="Arial" w:hAnsi="Arial" w:cs="Arial"/>
          <w:b/>
          <w:sz w:val="24"/>
          <w:szCs w:val="24"/>
        </w:rPr>
        <w:t xml:space="preserve">                                                                                      Case Number:   22013/2015</w:t>
      </w:r>
    </w:p>
    <w:p w:rsidR="001B4F71" w:rsidRPr="001B4F71" w:rsidRDefault="001B4F71" w:rsidP="001B4F71">
      <w:pPr>
        <w:tabs>
          <w:tab w:val="left" w:pos="7938"/>
        </w:tabs>
        <w:spacing w:line="240" w:lineRule="auto"/>
        <w:jc w:val="center"/>
        <w:rPr>
          <w:rFonts w:ascii="Arial" w:hAnsi="Arial" w:cs="Arial"/>
          <w:b/>
          <w:sz w:val="24"/>
          <w:szCs w:val="24"/>
        </w:rPr>
      </w:pPr>
      <w:r w:rsidRPr="001B4F71">
        <w:rPr>
          <w:rFonts w:ascii="Arial" w:hAnsi="Arial" w:cs="Arial"/>
          <w:b/>
          <w:sz w:val="24"/>
          <w:szCs w:val="24"/>
        </w:rPr>
        <w:t xml:space="preserve">                                    </w:t>
      </w:r>
    </w:p>
    <w:p w:rsidR="001B4F71" w:rsidRPr="001B4F71" w:rsidRDefault="001B4F71" w:rsidP="001B4F71">
      <w:pPr>
        <w:tabs>
          <w:tab w:val="left" w:pos="7938"/>
        </w:tabs>
        <w:spacing w:line="240" w:lineRule="auto"/>
        <w:rPr>
          <w:rFonts w:ascii="Arial" w:hAnsi="Arial" w:cs="Arial"/>
          <w:sz w:val="24"/>
          <w:szCs w:val="24"/>
        </w:rPr>
      </w:pPr>
      <w:r w:rsidRPr="001B4F71">
        <w:rPr>
          <w:rFonts w:ascii="Arial" w:hAnsi="Arial" w:cs="Arial"/>
          <w:sz w:val="24"/>
          <w:szCs w:val="24"/>
        </w:rPr>
        <w:t>In the matter between:</w:t>
      </w:r>
      <w:r w:rsidRPr="001B4F71">
        <w:rPr>
          <w:rFonts w:ascii="Arial" w:hAnsi="Arial" w:cs="Arial"/>
          <w:sz w:val="24"/>
          <w:szCs w:val="24"/>
        </w:rPr>
        <w:tab/>
      </w:r>
    </w:p>
    <w:p w:rsidR="001B4F71" w:rsidRPr="001B4F71" w:rsidRDefault="001B4F71" w:rsidP="001B4F71">
      <w:pPr>
        <w:tabs>
          <w:tab w:val="left" w:pos="7938"/>
        </w:tabs>
        <w:spacing w:line="240" w:lineRule="auto"/>
        <w:jc w:val="center"/>
        <w:rPr>
          <w:rFonts w:ascii="Arial" w:hAnsi="Arial" w:cs="Arial"/>
          <w:b/>
          <w:sz w:val="24"/>
          <w:szCs w:val="24"/>
        </w:rPr>
      </w:pPr>
    </w:p>
    <w:p w:rsidR="001B4F71" w:rsidRPr="001B4F71" w:rsidRDefault="001B4F71" w:rsidP="001B4F71">
      <w:pPr>
        <w:tabs>
          <w:tab w:val="left" w:pos="7938"/>
        </w:tabs>
        <w:spacing w:line="240" w:lineRule="auto"/>
        <w:rPr>
          <w:rFonts w:ascii="Arial" w:hAnsi="Arial" w:cs="Arial"/>
          <w:sz w:val="24"/>
          <w:szCs w:val="24"/>
        </w:rPr>
      </w:pPr>
      <w:r w:rsidRPr="001B4F71">
        <w:rPr>
          <w:rFonts w:ascii="Arial" w:hAnsi="Arial" w:cs="Arial"/>
          <w:b/>
          <w:sz w:val="24"/>
          <w:szCs w:val="24"/>
        </w:rPr>
        <w:t xml:space="preserve">LA-EEQAH BENJAMIN                                              </w:t>
      </w:r>
      <w:r w:rsidR="004D5C07">
        <w:rPr>
          <w:rFonts w:ascii="Arial" w:hAnsi="Arial" w:cs="Arial"/>
          <w:b/>
          <w:sz w:val="24"/>
          <w:szCs w:val="24"/>
        </w:rPr>
        <w:t xml:space="preserve">                   </w:t>
      </w:r>
      <w:r w:rsidRPr="001B4F71">
        <w:rPr>
          <w:rFonts w:ascii="Arial" w:hAnsi="Arial" w:cs="Arial"/>
          <w:b/>
          <w:sz w:val="24"/>
          <w:szCs w:val="24"/>
        </w:rPr>
        <w:t xml:space="preserve">  </w:t>
      </w:r>
      <w:r w:rsidR="004D5C07">
        <w:rPr>
          <w:rFonts w:ascii="Arial" w:hAnsi="Arial" w:cs="Arial"/>
          <w:b/>
          <w:sz w:val="24"/>
          <w:szCs w:val="24"/>
        </w:rPr>
        <w:t xml:space="preserve">       </w:t>
      </w:r>
      <w:r w:rsidRPr="001B4F71">
        <w:rPr>
          <w:rFonts w:ascii="Arial" w:hAnsi="Arial" w:cs="Arial"/>
          <w:b/>
          <w:sz w:val="24"/>
          <w:szCs w:val="24"/>
        </w:rPr>
        <w:t xml:space="preserve"> </w:t>
      </w:r>
      <w:r w:rsidRPr="001B4F71">
        <w:rPr>
          <w:rFonts w:ascii="Arial" w:hAnsi="Arial" w:cs="Arial"/>
          <w:sz w:val="24"/>
          <w:szCs w:val="24"/>
        </w:rPr>
        <w:t>First Plaintiff</w:t>
      </w:r>
    </w:p>
    <w:p w:rsidR="001B4F71" w:rsidRDefault="001B4F71" w:rsidP="001B4F71">
      <w:pPr>
        <w:tabs>
          <w:tab w:val="left" w:pos="7938"/>
        </w:tabs>
        <w:spacing w:line="240" w:lineRule="auto"/>
        <w:rPr>
          <w:rFonts w:ascii="Arial" w:hAnsi="Arial" w:cs="Arial"/>
          <w:sz w:val="24"/>
          <w:szCs w:val="24"/>
        </w:rPr>
      </w:pPr>
      <w:r w:rsidRPr="001B4F71">
        <w:rPr>
          <w:rFonts w:ascii="Arial" w:hAnsi="Arial" w:cs="Arial"/>
          <w:b/>
          <w:sz w:val="24"/>
          <w:szCs w:val="24"/>
        </w:rPr>
        <w:t xml:space="preserve">LA-EEQAH BENJAMIN N.O.                                    </w:t>
      </w:r>
      <w:r w:rsidR="004D5C07">
        <w:rPr>
          <w:rFonts w:ascii="Arial" w:hAnsi="Arial" w:cs="Arial"/>
          <w:b/>
          <w:sz w:val="24"/>
          <w:szCs w:val="24"/>
        </w:rPr>
        <w:t xml:space="preserve">                      </w:t>
      </w:r>
      <w:r w:rsidRPr="001B4F71">
        <w:rPr>
          <w:rFonts w:ascii="Arial" w:hAnsi="Arial" w:cs="Arial"/>
          <w:b/>
          <w:sz w:val="24"/>
          <w:szCs w:val="24"/>
        </w:rPr>
        <w:t xml:space="preserve">    </w:t>
      </w:r>
      <w:r w:rsidRPr="001B4F71">
        <w:rPr>
          <w:rFonts w:ascii="Arial" w:hAnsi="Arial" w:cs="Arial"/>
          <w:sz w:val="24"/>
          <w:szCs w:val="24"/>
        </w:rPr>
        <w:t>Second Plaintiff</w:t>
      </w:r>
    </w:p>
    <w:p w:rsidR="004D5C07" w:rsidRPr="001B4F71" w:rsidRDefault="004D5C07" w:rsidP="001B4F71">
      <w:pPr>
        <w:tabs>
          <w:tab w:val="left" w:pos="7938"/>
        </w:tabs>
        <w:spacing w:line="240" w:lineRule="auto"/>
        <w:rPr>
          <w:rFonts w:ascii="Arial" w:hAnsi="Arial" w:cs="Arial"/>
          <w:sz w:val="24"/>
          <w:szCs w:val="24"/>
        </w:rPr>
      </w:pPr>
    </w:p>
    <w:p w:rsidR="001B4F71" w:rsidRPr="001B4F71" w:rsidRDefault="001B4F71" w:rsidP="001B4F71">
      <w:pPr>
        <w:tabs>
          <w:tab w:val="left" w:pos="7938"/>
        </w:tabs>
        <w:spacing w:line="240" w:lineRule="auto"/>
        <w:rPr>
          <w:rFonts w:ascii="Arial" w:hAnsi="Arial" w:cs="Arial"/>
          <w:sz w:val="24"/>
          <w:szCs w:val="24"/>
        </w:rPr>
      </w:pPr>
      <w:r w:rsidRPr="001B4F71">
        <w:rPr>
          <w:rFonts w:ascii="Arial" w:hAnsi="Arial" w:cs="Arial"/>
          <w:sz w:val="24"/>
          <w:szCs w:val="24"/>
        </w:rPr>
        <w:t xml:space="preserve">and </w:t>
      </w:r>
    </w:p>
    <w:p w:rsidR="001B4F71" w:rsidRPr="001B4F71" w:rsidRDefault="001B4F71" w:rsidP="001B4F71">
      <w:pPr>
        <w:tabs>
          <w:tab w:val="left" w:pos="7938"/>
        </w:tabs>
        <w:spacing w:line="240" w:lineRule="auto"/>
        <w:rPr>
          <w:rFonts w:ascii="Arial" w:hAnsi="Arial" w:cs="Arial"/>
          <w:sz w:val="24"/>
          <w:szCs w:val="24"/>
        </w:rPr>
      </w:pPr>
      <w:r w:rsidRPr="001B4F71">
        <w:rPr>
          <w:rFonts w:ascii="Arial" w:hAnsi="Arial" w:cs="Arial"/>
          <w:b/>
          <w:sz w:val="24"/>
          <w:szCs w:val="24"/>
        </w:rPr>
        <w:t xml:space="preserve">CHRISTINE MARGUERITE KENNEDY N.O.                </w:t>
      </w:r>
      <w:r w:rsidR="004D5C07">
        <w:rPr>
          <w:rFonts w:ascii="Arial" w:hAnsi="Arial" w:cs="Arial"/>
          <w:b/>
          <w:sz w:val="24"/>
          <w:szCs w:val="24"/>
        </w:rPr>
        <w:t xml:space="preserve">                    </w:t>
      </w:r>
      <w:r w:rsidRPr="001B4F71">
        <w:rPr>
          <w:rFonts w:ascii="Arial" w:hAnsi="Arial" w:cs="Arial"/>
          <w:b/>
          <w:sz w:val="24"/>
          <w:szCs w:val="24"/>
        </w:rPr>
        <w:t xml:space="preserve"> </w:t>
      </w:r>
      <w:r w:rsidRPr="001B4F71">
        <w:rPr>
          <w:rFonts w:ascii="Arial" w:hAnsi="Arial" w:cs="Arial"/>
          <w:sz w:val="24"/>
          <w:szCs w:val="24"/>
        </w:rPr>
        <w:t>First Defendant</w:t>
      </w:r>
    </w:p>
    <w:p w:rsidR="001B4F71" w:rsidRPr="001B4F71" w:rsidRDefault="001B4F71" w:rsidP="001B4F71">
      <w:pPr>
        <w:tabs>
          <w:tab w:val="left" w:pos="7938"/>
        </w:tabs>
        <w:spacing w:line="240" w:lineRule="auto"/>
        <w:rPr>
          <w:rFonts w:ascii="Arial" w:hAnsi="Arial" w:cs="Arial"/>
          <w:sz w:val="24"/>
          <w:szCs w:val="24"/>
        </w:rPr>
      </w:pPr>
      <w:r w:rsidRPr="001B4F71">
        <w:rPr>
          <w:rFonts w:ascii="Arial" w:hAnsi="Arial" w:cs="Arial"/>
          <w:sz w:val="24"/>
          <w:szCs w:val="24"/>
        </w:rPr>
        <w:t>(The executrix of the deceased estate of</w:t>
      </w:r>
    </w:p>
    <w:p w:rsidR="001B4F71" w:rsidRDefault="001B4F71" w:rsidP="001B4F71">
      <w:pPr>
        <w:tabs>
          <w:tab w:val="left" w:pos="7938"/>
        </w:tabs>
        <w:spacing w:line="240" w:lineRule="auto"/>
        <w:rPr>
          <w:rFonts w:ascii="Arial" w:hAnsi="Arial" w:cs="Arial"/>
          <w:sz w:val="24"/>
          <w:szCs w:val="24"/>
        </w:rPr>
      </w:pPr>
      <w:r w:rsidRPr="001B4F71">
        <w:rPr>
          <w:rFonts w:ascii="Arial" w:hAnsi="Arial" w:cs="Arial"/>
          <w:sz w:val="24"/>
          <w:szCs w:val="24"/>
        </w:rPr>
        <w:t>Mogamat Naziem Benjamin estate no: 10650/2012)</w:t>
      </w:r>
    </w:p>
    <w:p w:rsidR="004D5C07" w:rsidRPr="001B4F71" w:rsidRDefault="004D5C07" w:rsidP="001B4F71">
      <w:pPr>
        <w:tabs>
          <w:tab w:val="left" w:pos="7938"/>
        </w:tabs>
        <w:spacing w:line="240" w:lineRule="auto"/>
        <w:rPr>
          <w:rFonts w:ascii="Arial" w:hAnsi="Arial" w:cs="Arial"/>
          <w:sz w:val="24"/>
          <w:szCs w:val="24"/>
        </w:rPr>
      </w:pPr>
    </w:p>
    <w:p w:rsidR="001B4F71" w:rsidRPr="001B4F71" w:rsidRDefault="001B4F71" w:rsidP="001B4F71">
      <w:pPr>
        <w:tabs>
          <w:tab w:val="left" w:pos="7938"/>
        </w:tabs>
        <w:spacing w:line="240" w:lineRule="auto"/>
        <w:rPr>
          <w:rFonts w:ascii="Arial" w:hAnsi="Arial" w:cs="Arial"/>
          <w:sz w:val="24"/>
          <w:szCs w:val="24"/>
        </w:rPr>
      </w:pPr>
      <w:r w:rsidRPr="001B4F71">
        <w:rPr>
          <w:rFonts w:ascii="Arial" w:hAnsi="Arial" w:cs="Arial"/>
          <w:b/>
          <w:sz w:val="24"/>
          <w:szCs w:val="24"/>
        </w:rPr>
        <w:t xml:space="preserve">NADIA JACOBS N.O.                                              </w:t>
      </w:r>
      <w:r w:rsidR="004D5C07">
        <w:rPr>
          <w:rFonts w:ascii="Arial" w:hAnsi="Arial" w:cs="Arial"/>
          <w:b/>
          <w:sz w:val="24"/>
          <w:szCs w:val="24"/>
        </w:rPr>
        <w:t xml:space="preserve">             </w:t>
      </w:r>
      <w:r w:rsidRPr="001B4F71">
        <w:rPr>
          <w:rFonts w:ascii="Arial" w:hAnsi="Arial" w:cs="Arial"/>
          <w:b/>
          <w:sz w:val="24"/>
          <w:szCs w:val="24"/>
        </w:rPr>
        <w:t xml:space="preserve">        </w:t>
      </w:r>
      <w:r w:rsidR="004D5C07">
        <w:rPr>
          <w:rFonts w:ascii="Arial" w:hAnsi="Arial" w:cs="Arial"/>
          <w:b/>
          <w:sz w:val="24"/>
          <w:szCs w:val="24"/>
        </w:rPr>
        <w:t xml:space="preserve"> </w:t>
      </w:r>
      <w:r w:rsidRPr="001B4F71">
        <w:rPr>
          <w:rFonts w:ascii="Arial" w:hAnsi="Arial" w:cs="Arial"/>
          <w:sz w:val="24"/>
          <w:szCs w:val="24"/>
        </w:rPr>
        <w:t>Second Defendant</w:t>
      </w:r>
    </w:p>
    <w:p w:rsidR="001B4F71" w:rsidRPr="001B4F71" w:rsidRDefault="001B4F71" w:rsidP="001B4F71">
      <w:pPr>
        <w:tabs>
          <w:tab w:val="left" w:pos="7938"/>
        </w:tabs>
        <w:spacing w:line="240" w:lineRule="auto"/>
        <w:rPr>
          <w:rFonts w:ascii="Arial" w:hAnsi="Arial" w:cs="Arial"/>
          <w:sz w:val="24"/>
          <w:szCs w:val="24"/>
        </w:rPr>
      </w:pPr>
      <w:r w:rsidRPr="001B4F71">
        <w:rPr>
          <w:rFonts w:ascii="Arial" w:hAnsi="Arial" w:cs="Arial"/>
          <w:sz w:val="24"/>
          <w:szCs w:val="24"/>
        </w:rPr>
        <w:t>(The executrix of the deceased estate of</w:t>
      </w:r>
    </w:p>
    <w:p w:rsidR="001B4F71" w:rsidRPr="001B4F71" w:rsidRDefault="00E11F4B" w:rsidP="001B4F71">
      <w:pPr>
        <w:tabs>
          <w:tab w:val="left" w:pos="7938"/>
        </w:tabs>
        <w:spacing w:line="240" w:lineRule="auto"/>
        <w:rPr>
          <w:rFonts w:ascii="Arial" w:hAnsi="Arial" w:cs="Arial"/>
          <w:sz w:val="24"/>
          <w:szCs w:val="24"/>
        </w:rPr>
      </w:pPr>
      <w:r>
        <w:rPr>
          <w:rFonts w:ascii="Arial" w:hAnsi="Arial" w:cs="Arial"/>
          <w:sz w:val="24"/>
          <w:szCs w:val="24"/>
        </w:rPr>
        <w:t>Nadeema Benjamin with</w:t>
      </w:r>
      <w:r w:rsidR="001B4F71" w:rsidRPr="001B4F71">
        <w:rPr>
          <w:rFonts w:ascii="Arial" w:hAnsi="Arial" w:cs="Arial"/>
          <w:sz w:val="24"/>
          <w:szCs w:val="24"/>
        </w:rPr>
        <w:t xml:space="preserve"> estate no: </w:t>
      </w:r>
      <w:r>
        <w:rPr>
          <w:rFonts w:ascii="Arial" w:hAnsi="Arial" w:cs="Arial"/>
          <w:sz w:val="24"/>
          <w:szCs w:val="24"/>
        </w:rPr>
        <w:t>(0</w:t>
      </w:r>
      <w:r w:rsidR="001B4F71" w:rsidRPr="001B4F71">
        <w:rPr>
          <w:rFonts w:ascii="Arial" w:hAnsi="Arial" w:cs="Arial"/>
          <w:sz w:val="24"/>
          <w:szCs w:val="24"/>
        </w:rPr>
        <w:t>1</w:t>
      </w:r>
      <w:r>
        <w:rPr>
          <w:rFonts w:ascii="Arial" w:hAnsi="Arial" w:cs="Arial"/>
          <w:sz w:val="24"/>
          <w:szCs w:val="24"/>
        </w:rPr>
        <w:t>2328/2021</w:t>
      </w:r>
      <w:r w:rsidR="001B4F71" w:rsidRPr="001B4F71">
        <w:rPr>
          <w:rFonts w:ascii="Arial" w:hAnsi="Arial" w:cs="Arial"/>
          <w:sz w:val="24"/>
          <w:szCs w:val="24"/>
        </w:rPr>
        <w:t>)</w:t>
      </w:r>
    </w:p>
    <w:p w:rsidR="001B4F71" w:rsidRPr="001B4F71" w:rsidRDefault="001B4F71" w:rsidP="001B4F71">
      <w:pPr>
        <w:tabs>
          <w:tab w:val="left" w:pos="7938"/>
        </w:tabs>
        <w:spacing w:line="240" w:lineRule="auto"/>
        <w:rPr>
          <w:rFonts w:ascii="Arial" w:hAnsi="Arial" w:cs="Arial"/>
          <w:sz w:val="24"/>
          <w:szCs w:val="24"/>
        </w:rPr>
      </w:pPr>
      <w:r w:rsidRPr="001B4F71">
        <w:rPr>
          <w:rFonts w:ascii="Arial" w:hAnsi="Arial" w:cs="Arial"/>
          <w:b/>
          <w:sz w:val="24"/>
          <w:szCs w:val="24"/>
        </w:rPr>
        <w:t xml:space="preserve">MASTER OF THE HIGH COURT, WESTERN CAPE     </w:t>
      </w:r>
      <w:r w:rsidR="004D5C07">
        <w:rPr>
          <w:rFonts w:ascii="Arial" w:hAnsi="Arial" w:cs="Arial"/>
          <w:b/>
          <w:sz w:val="24"/>
          <w:szCs w:val="24"/>
        </w:rPr>
        <w:t xml:space="preserve">               </w:t>
      </w:r>
      <w:r w:rsidRPr="001B4F71">
        <w:rPr>
          <w:rFonts w:ascii="Arial" w:hAnsi="Arial" w:cs="Arial"/>
          <w:b/>
          <w:sz w:val="24"/>
          <w:szCs w:val="24"/>
        </w:rPr>
        <w:t xml:space="preserve"> </w:t>
      </w:r>
      <w:r w:rsidR="004D5C07">
        <w:rPr>
          <w:rFonts w:ascii="Arial" w:hAnsi="Arial" w:cs="Arial"/>
          <w:b/>
          <w:sz w:val="24"/>
          <w:szCs w:val="24"/>
        </w:rPr>
        <w:t xml:space="preserve">  </w:t>
      </w:r>
      <w:r w:rsidRPr="001B4F71">
        <w:rPr>
          <w:rFonts w:ascii="Arial" w:hAnsi="Arial" w:cs="Arial"/>
          <w:b/>
          <w:sz w:val="24"/>
          <w:szCs w:val="24"/>
        </w:rPr>
        <w:t xml:space="preserve"> </w:t>
      </w:r>
      <w:r w:rsidRPr="001B4F71">
        <w:rPr>
          <w:rFonts w:ascii="Arial" w:hAnsi="Arial" w:cs="Arial"/>
          <w:sz w:val="24"/>
          <w:szCs w:val="24"/>
        </w:rPr>
        <w:t>Third Defendant</w:t>
      </w:r>
    </w:p>
    <w:p w:rsidR="001B4F71" w:rsidRPr="001B4F71" w:rsidRDefault="001B4F71" w:rsidP="001B4F71">
      <w:pPr>
        <w:tabs>
          <w:tab w:val="left" w:pos="7938"/>
        </w:tabs>
        <w:spacing w:line="240" w:lineRule="auto"/>
        <w:rPr>
          <w:rFonts w:ascii="Arial" w:hAnsi="Arial" w:cs="Arial"/>
          <w:sz w:val="24"/>
          <w:szCs w:val="24"/>
        </w:rPr>
      </w:pPr>
      <w:r w:rsidRPr="001B4F71">
        <w:rPr>
          <w:rFonts w:ascii="Arial" w:hAnsi="Arial" w:cs="Arial"/>
          <w:b/>
          <w:sz w:val="24"/>
          <w:szCs w:val="24"/>
        </w:rPr>
        <w:t xml:space="preserve">Date of hearing:  </w:t>
      </w:r>
      <w:r w:rsidR="00995B6A">
        <w:rPr>
          <w:rFonts w:ascii="Arial" w:hAnsi="Arial" w:cs="Arial"/>
          <w:b/>
          <w:sz w:val="24"/>
          <w:szCs w:val="24"/>
        </w:rPr>
        <w:t>30 October 2023</w:t>
      </w:r>
    </w:p>
    <w:p w:rsidR="001B4F71" w:rsidRPr="001B4F71" w:rsidRDefault="001B4F71" w:rsidP="001B4F71">
      <w:pPr>
        <w:tabs>
          <w:tab w:val="left" w:pos="7938"/>
        </w:tabs>
        <w:spacing w:line="240" w:lineRule="auto"/>
        <w:rPr>
          <w:rFonts w:ascii="Arial" w:hAnsi="Arial" w:cs="Arial"/>
          <w:b/>
          <w:sz w:val="24"/>
          <w:szCs w:val="24"/>
        </w:rPr>
      </w:pPr>
      <w:r w:rsidRPr="001B4F71">
        <w:rPr>
          <w:rFonts w:ascii="Arial" w:hAnsi="Arial" w:cs="Arial"/>
          <w:b/>
          <w:sz w:val="24"/>
          <w:szCs w:val="24"/>
        </w:rPr>
        <w:t>Date of Judgment:</w:t>
      </w:r>
      <w:r w:rsidR="00995B6A">
        <w:rPr>
          <w:rFonts w:ascii="Arial" w:hAnsi="Arial" w:cs="Arial"/>
          <w:b/>
          <w:sz w:val="24"/>
          <w:szCs w:val="24"/>
        </w:rPr>
        <w:t xml:space="preserve"> 10 November 2023</w:t>
      </w:r>
    </w:p>
    <w:p w:rsidR="001B4F71" w:rsidRPr="001B4F71" w:rsidRDefault="001B4F71" w:rsidP="001B4F71">
      <w:pPr>
        <w:tabs>
          <w:tab w:val="left" w:pos="7938"/>
        </w:tabs>
        <w:spacing w:line="240" w:lineRule="auto"/>
        <w:rPr>
          <w:rFonts w:ascii="Arial" w:hAnsi="Arial" w:cs="Arial"/>
          <w:b/>
          <w:sz w:val="24"/>
          <w:szCs w:val="24"/>
        </w:rPr>
      </w:pPr>
      <w:r w:rsidRPr="001B4F71">
        <w:rPr>
          <w:rFonts w:ascii="Arial" w:hAnsi="Arial" w:cs="Arial"/>
          <w:b/>
          <w:sz w:val="24"/>
          <w:szCs w:val="24"/>
        </w:rPr>
        <w:t xml:space="preserve">Before: The Honourable Ms Justice Meer                                                                                                                                                                               </w:t>
      </w:r>
    </w:p>
    <w:p w:rsidR="001B4F71" w:rsidRPr="00012B07" w:rsidRDefault="001B4F71" w:rsidP="001B4F71">
      <w:pPr>
        <w:pBdr>
          <w:bottom w:val="single" w:sz="12" w:space="1" w:color="auto"/>
        </w:pBdr>
        <w:spacing w:line="240" w:lineRule="auto"/>
        <w:jc w:val="both"/>
        <w:rPr>
          <w:rFonts w:ascii="Arial" w:hAnsi="Arial" w:cs="Arial"/>
          <w:b/>
          <w:bCs/>
          <w:sz w:val="24"/>
          <w:szCs w:val="24"/>
        </w:rPr>
      </w:pPr>
    </w:p>
    <w:p w:rsidR="001B4F71" w:rsidRPr="001B4F71" w:rsidRDefault="001B4F71" w:rsidP="001B4F71">
      <w:pPr>
        <w:spacing w:line="240" w:lineRule="auto"/>
        <w:ind w:left="720" w:firstLine="720"/>
        <w:rPr>
          <w:rFonts w:ascii="Arial" w:hAnsi="Arial" w:cs="Arial"/>
          <w:b/>
          <w:sz w:val="24"/>
          <w:szCs w:val="24"/>
        </w:rPr>
      </w:pPr>
      <w:r w:rsidRPr="001B4F71">
        <w:rPr>
          <w:rFonts w:ascii="Arial" w:hAnsi="Arial" w:cs="Arial"/>
          <w:b/>
          <w:sz w:val="24"/>
          <w:szCs w:val="24"/>
        </w:rPr>
        <w:t xml:space="preserve">                          </w:t>
      </w:r>
    </w:p>
    <w:p w:rsidR="001B4F71" w:rsidRPr="00A16BD6" w:rsidRDefault="001B4F71" w:rsidP="001B4F71">
      <w:pPr>
        <w:spacing w:line="240" w:lineRule="auto"/>
        <w:jc w:val="center"/>
        <w:rPr>
          <w:rFonts w:ascii="Arial" w:hAnsi="Arial" w:cs="Arial"/>
          <w:b/>
        </w:rPr>
      </w:pPr>
      <w:r w:rsidRPr="00A16BD6">
        <w:rPr>
          <w:rFonts w:ascii="Arial" w:hAnsi="Arial" w:cs="Arial"/>
          <w:b/>
        </w:rPr>
        <w:t>JUDGMENT</w:t>
      </w:r>
      <w:r w:rsidR="008F2D37" w:rsidRPr="00A16BD6">
        <w:rPr>
          <w:rFonts w:ascii="Arial" w:hAnsi="Arial" w:cs="Arial"/>
          <w:b/>
        </w:rPr>
        <w:t>: SPECIAL PLEA</w:t>
      </w:r>
      <w:r w:rsidRPr="00A16BD6">
        <w:rPr>
          <w:rFonts w:ascii="Arial" w:hAnsi="Arial" w:cs="Arial"/>
          <w:b/>
        </w:rPr>
        <w:t xml:space="preserve"> DELIVERED THIS </w:t>
      </w:r>
      <w:r w:rsidR="00995B6A" w:rsidRPr="00A16BD6">
        <w:rPr>
          <w:rFonts w:ascii="Arial" w:hAnsi="Arial" w:cs="Arial"/>
          <w:b/>
        </w:rPr>
        <w:t>10</w:t>
      </w:r>
      <w:r w:rsidR="00995B6A" w:rsidRPr="00A16BD6">
        <w:rPr>
          <w:rFonts w:ascii="Arial" w:hAnsi="Arial" w:cs="Arial"/>
          <w:b/>
          <w:vertAlign w:val="superscript"/>
        </w:rPr>
        <w:t>th</w:t>
      </w:r>
      <w:r w:rsidR="00995B6A" w:rsidRPr="00A16BD6">
        <w:rPr>
          <w:rFonts w:ascii="Arial" w:hAnsi="Arial" w:cs="Arial"/>
          <w:b/>
        </w:rPr>
        <w:t xml:space="preserve"> </w:t>
      </w:r>
      <w:r w:rsidRPr="00A16BD6">
        <w:rPr>
          <w:rFonts w:ascii="Arial" w:hAnsi="Arial" w:cs="Arial"/>
          <w:b/>
        </w:rPr>
        <w:t xml:space="preserve">DAY OF </w:t>
      </w:r>
      <w:r w:rsidR="00995B6A" w:rsidRPr="00A16BD6">
        <w:rPr>
          <w:rFonts w:ascii="Arial" w:hAnsi="Arial" w:cs="Arial"/>
          <w:b/>
        </w:rPr>
        <w:t>NOVEMBER</w:t>
      </w:r>
      <w:r w:rsidR="008F2D37">
        <w:rPr>
          <w:rFonts w:ascii="Arial" w:hAnsi="Arial" w:cs="Arial"/>
          <w:b/>
        </w:rPr>
        <w:t xml:space="preserve"> </w:t>
      </w:r>
      <w:r w:rsidRPr="00A16BD6">
        <w:rPr>
          <w:rFonts w:ascii="Arial" w:hAnsi="Arial" w:cs="Arial"/>
          <w:b/>
        </w:rPr>
        <w:t>2023</w:t>
      </w:r>
    </w:p>
    <w:p w:rsidR="001B4F71" w:rsidRPr="001B4F71" w:rsidRDefault="001B4F71" w:rsidP="001B4F71">
      <w:pPr>
        <w:pBdr>
          <w:bottom w:val="single" w:sz="12" w:space="1" w:color="auto"/>
        </w:pBdr>
        <w:spacing w:line="240" w:lineRule="auto"/>
        <w:jc w:val="both"/>
        <w:rPr>
          <w:rFonts w:ascii="Arial" w:hAnsi="Arial" w:cs="Arial"/>
          <w:sz w:val="18"/>
          <w:szCs w:val="18"/>
        </w:rPr>
      </w:pPr>
    </w:p>
    <w:p w:rsidR="001B4F71" w:rsidRPr="001B4F71" w:rsidRDefault="001B4F71" w:rsidP="001B4F71">
      <w:pPr>
        <w:spacing w:line="240" w:lineRule="auto"/>
        <w:jc w:val="both"/>
        <w:rPr>
          <w:rFonts w:ascii="Arial" w:hAnsi="Arial" w:cs="Arial"/>
          <w:b/>
          <w:sz w:val="24"/>
          <w:szCs w:val="24"/>
          <w:lang w:val="en-US"/>
        </w:rPr>
      </w:pPr>
    </w:p>
    <w:p w:rsidR="001B4F71" w:rsidRPr="001B4F71" w:rsidRDefault="001B4F71" w:rsidP="001B4F71">
      <w:pPr>
        <w:spacing w:line="480" w:lineRule="auto"/>
        <w:jc w:val="both"/>
        <w:rPr>
          <w:rFonts w:ascii="Arial" w:hAnsi="Arial" w:cs="Arial"/>
          <w:b/>
          <w:sz w:val="24"/>
          <w:szCs w:val="24"/>
          <w:lang w:val="en-US"/>
        </w:rPr>
      </w:pPr>
      <w:r w:rsidRPr="001B4F71">
        <w:rPr>
          <w:rFonts w:ascii="Arial" w:hAnsi="Arial" w:cs="Arial"/>
          <w:b/>
          <w:sz w:val="24"/>
          <w:szCs w:val="24"/>
          <w:lang w:val="en-US"/>
        </w:rPr>
        <w:t>MEER, J</w:t>
      </w:r>
    </w:p>
    <w:p w:rsidR="00AC74BC" w:rsidRDefault="00AC74BC" w:rsidP="00AC74BC">
      <w:pPr>
        <w:spacing w:line="480" w:lineRule="auto"/>
        <w:jc w:val="both"/>
        <w:rPr>
          <w:rFonts w:ascii="Arial" w:hAnsi="Arial" w:cs="Arial"/>
          <w:b/>
          <w:sz w:val="24"/>
          <w:szCs w:val="24"/>
          <w:lang w:val="en-US"/>
        </w:rPr>
      </w:pPr>
      <w:r>
        <w:rPr>
          <w:rFonts w:ascii="Arial" w:hAnsi="Arial" w:cs="Arial"/>
          <w:b/>
          <w:sz w:val="24"/>
          <w:szCs w:val="24"/>
          <w:lang w:val="en-US"/>
        </w:rPr>
        <w:lastRenderedPageBreak/>
        <w:t>Introduction</w:t>
      </w:r>
    </w:p>
    <w:p w:rsidR="006A4C02" w:rsidRDefault="00AC74BC" w:rsidP="00AC74BC">
      <w:pPr>
        <w:spacing w:line="48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 xml:space="preserve">This judgment is concerned with a special plea of prescription that has been raised by the </w:t>
      </w:r>
      <w:r w:rsidR="00E11F4B">
        <w:rPr>
          <w:rFonts w:ascii="Arial" w:hAnsi="Arial" w:cs="Arial"/>
          <w:sz w:val="24"/>
          <w:szCs w:val="24"/>
          <w:lang w:val="en-US"/>
        </w:rPr>
        <w:t>S</w:t>
      </w:r>
      <w:r>
        <w:rPr>
          <w:rFonts w:ascii="Arial" w:hAnsi="Arial" w:cs="Arial"/>
          <w:sz w:val="24"/>
          <w:szCs w:val="24"/>
          <w:lang w:val="en-US"/>
        </w:rPr>
        <w:t xml:space="preserve">econd </w:t>
      </w:r>
      <w:r w:rsidR="002B2D5E">
        <w:rPr>
          <w:rFonts w:ascii="Arial" w:hAnsi="Arial" w:cs="Arial"/>
          <w:sz w:val="24"/>
          <w:szCs w:val="24"/>
          <w:lang w:val="en-US"/>
        </w:rPr>
        <w:t>Defendant against</w:t>
      </w:r>
      <w:r w:rsidR="00E11F4B">
        <w:rPr>
          <w:rFonts w:ascii="Arial" w:hAnsi="Arial" w:cs="Arial"/>
          <w:sz w:val="24"/>
          <w:szCs w:val="24"/>
          <w:lang w:val="en-US"/>
        </w:rPr>
        <w:t xml:space="preserve"> the First P</w:t>
      </w:r>
      <w:r>
        <w:rPr>
          <w:rFonts w:ascii="Arial" w:hAnsi="Arial" w:cs="Arial"/>
          <w:sz w:val="24"/>
          <w:szCs w:val="24"/>
          <w:lang w:val="en-US"/>
        </w:rPr>
        <w:t>laintiff</w:t>
      </w:r>
      <w:r w:rsidR="002B2D5E">
        <w:rPr>
          <w:rFonts w:ascii="Arial" w:hAnsi="Arial" w:cs="Arial"/>
          <w:sz w:val="24"/>
          <w:szCs w:val="24"/>
          <w:lang w:val="en-US"/>
        </w:rPr>
        <w:t>’s</w:t>
      </w:r>
      <w:r w:rsidR="00E11F4B">
        <w:rPr>
          <w:rFonts w:ascii="Arial" w:hAnsi="Arial" w:cs="Arial"/>
          <w:sz w:val="24"/>
          <w:szCs w:val="24"/>
          <w:lang w:val="en-US"/>
        </w:rPr>
        <w:t xml:space="preserve"> </w:t>
      </w:r>
      <w:r w:rsidR="0066245A">
        <w:rPr>
          <w:rFonts w:ascii="Arial" w:hAnsi="Arial" w:cs="Arial"/>
          <w:sz w:val="24"/>
          <w:szCs w:val="24"/>
          <w:lang w:val="en-US"/>
        </w:rPr>
        <w:t>(the</w:t>
      </w:r>
      <w:r w:rsidR="00E11F4B">
        <w:rPr>
          <w:rFonts w:ascii="Arial" w:hAnsi="Arial" w:cs="Arial"/>
          <w:sz w:val="24"/>
          <w:szCs w:val="24"/>
          <w:lang w:val="en-US"/>
        </w:rPr>
        <w:t xml:space="preserve"> Plaintiff)</w:t>
      </w:r>
      <w:r w:rsidR="002B2D5E">
        <w:rPr>
          <w:rFonts w:ascii="Arial" w:hAnsi="Arial" w:cs="Arial"/>
          <w:sz w:val="24"/>
          <w:szCs w:val="24"/>
          <w:lang w:val="en-US"/>
        </w:rPr>
        <w:t xml:space="preserve"> claim</w:t>
      </w:r>
      <w:r>
        <w:rPr>
          <w:rFonts w:ascii="Arial" w:hAnsi="Arial" w:cs="Arial"/>
          <w:sz w:val="24"/>
          <w:szCs w:val="24"/>
          <w:lang w:val="en-US"/>
        </w:rPr>
        <w:t xml:space="preserve"> for maintenance in terms of section </w:t>
      </w:r>
      <w:r w:rsidR="0066245A">
        <w:rPr>
          <w:rFonts w:ascii="Arial" w:hAnsi="Arial" w:cs="Arial"/>
          <w:sz w:val="24"/>
          <w:szCs w:val="24"/>
          <w:lang w:val="en-US"/>
        </w:rPr>
        <w:t>2 of</w:t>
      </w:r>
      <w:r>
        <w:rPr>
          <w:rFonts w:ascii="Arial" w:hAnsi="Arial" w:cs="Arial"/>
          <w:sz w:val="24"/>
          <w:szCs w:val="24"/>
          <w:lang w:val="en-US"/>
        </w:rPr>
        <w:t xml:space="preserve"> the Maintenance or Surviving Spouses Act 27 of 1990 (“</w:t>
      </w:r>
      <w:r w:rsidR="00A16BD6">
        <w:rPr>
          <w:rFonts w:ascii="Arial" w:hAnsi="Arial" w:cs="Arial"/>
          <w:sz w:val="24"/>
          <w:szCs w:val="24"/>
          <w:lang w:val="en-US"/>
        </w:rPr>
        <w:t xml:space="preserve">the </w:t>
      </w:r>
      <w:r>
        <w:rPr>
          <w:rFonts w:ascii="Arial" w:hAnsi="Arial" w:cs="Arial"/>
          <w:sz w:val="24"/>
          <w:szCs w:val="24"/>
          <w:lang w:val="en-US"/>
        </w:rPr>
        <w:t>MSSA”). The claim is against the estate</w:t>
      </w:r>
      <w:r w:rsidR="002652C9">
        <w:rPr>
          <w:rFonts w:ascii="Arial" w:hAnsi="Arial" w:cs="Arial"/>
          <w:sz w:val="24"/>
          <w:szCs w:val="24"/>
          <w:lang w:val="en-US"/>
        </w:rPr>
        <w:t xml:space="preserve"> </w:t>
      </w:r>
      <w:r w:rsidR="0066245A">
        <w:rPr>
          <w:rFonts w:ascii="Arial" w:hAnsi="Arial" w:cs="Arial"/>
          <w:sz w:val="24"/>
          <w:szCs w:val="24"/>
          <w:lang w:val="en-US"/>
        </w:rPr>
        <w:t>(“</w:t>
      </w:r>
      <w:r w:rsidR="002652C9">
        <w:rPr>
          <w:rFonts w:ascii="Arial" w:hAnsi="Arial" w:cs="Arial"/>
          <w:sz w:val="24"/>
          <w:szCs w:val="24"/>
          <w:lang w:val="en-US"/>
        </w:rPr>
        <w:t>the estate</w:t>
      </w:r>
      <w:r w:rsidR="006A4C02">
        <w:rPr>
          <w:rFonts w:ascii="Arial" w:hAnsi="Arial" w:cs="Arial"/>
          <w:sz w:val="24"/>
          <w:szCs w:val="24"/>
          <w:lang w:val="en-US"/>
        </w:rPr>
        <w:t>”)</w:t>
      </w:r>
      <w:r>
        <w:rPr>
          <w:rFonts w:ascii="Arial" w:hAnsi="Arial" w:cs="Arial"/>
          <w:sz w:val="24"/>
          <w:szCs w:val="24"/>
          <w:lang w:val="en-US"/>
        </w:rPr>
        <w:t xml:space="preserve"> of the </w:t>
      </w:r>
      <w:r w:rsidR="00624B34">
        <w:rPr>
          <w:rFonts w:ascii="Arial" w:hAnsi="Arial" w:cs="Arial"/>
          <w:sz w:val="24"/>
          <w:szCs w:val="24"/>
          <w:lang w:val="en-US"/>
        </w:rPr>
        <w:t>late Mogamat</w:t>
      </w:r>
      <w:r w:rsidR="002B2D5E">
        <w:rPr>
          <w:rFonts w:ascii="Arial" w:hAnsi="Arial" w:cs="Arial"/>
          <w:sz w:val="24"/>
          <w:szCs w:val="24"/>
          <w:lang w:val="en-US"/>
        </w:rPr>
        <w:t xml:space="preserve"> </w:t>
      </w:r>
      <w:r>
        <w:rPr>
          <w:rFonts w:ascii="Arial" w:hAnsi="Arial" w:cs="Arial"/>
          <w:sz w:val="24"/>
          <w:szCs w:val="24"/>
          <w:lang w:val="en-US"/>
        </w:rPr>
        <w:t xml:space="preserve">Naziem Benjamin (“the </w:t>
      </w:r>
      <w:r w:rsidR="00EE0E43">
        <w:rPr>
          <w:rFonts w:ascii="Arial" w:hAnsi="Arial" w:cs="Arial"/>
          <w:sz w:val="24"/>
          <w:szCs w:val="24"/>
          <w:lang w:val="en-US"/>
        </w:rPr>
        <w:t>D</w:t>
      </w:r>
      <w:r w:rsidR="006A4C02">
        <w:rPr>
          <w:rFonts w:ascii="Arial" w:hAnsi="Arial" w:cs="Arial"/>
          <w:sz w:val="24"/>
          <w:szCs w:val="24"/>
          <w:lang w:val="en-US"/>
        </w:rPr>
        <w:t>eceased</w:t>
      </w:r>
      <w:r>
        <w:rPr>
          <w:rFonts w:ascii="Arial" w:hAnsi="Arial" w:cs="Arial"/>
          <w:sz w:val="24"/>
          <w:szCs w:val="24"/>
          <w:lang w:val="en-US"/>
        </w:rPr>
        <w:t>”).</w:t>
      </w:r>
      <w:r w:rsidR="00E11F4B">
        <w:rPr>
          <w:rFonts w:ascii="Arial" w:hAnsi="Arial" w:cs="Arial"/>
          <w:sz w:val="24"/>
          <w:szCs w:val="24"/>
          <w:lang w:val="en-US"/>
        </w:rPr>
        <w:t xml:space="preserve"> </w:t>
      </w:r>
    </w:p>
    <w:p w:rsidR="00AC74BC" w:rsidRDefault="006A4C02" w:rsidP="00AC74BC">
      <w:pPr>
        <w:spacing w:line="480" w:lineRule="auto"/>
        <w:jc w:val="both"/>
        <w:rPr>
          <w:rFonts w:ascii="Arial" w:hAnsi="Arial" w:cs="Arial"/>
          <w:sz w:val="24"/>
          <w:szCs w:val="24"/>
          <w:lang w:val="en-US"/>
        </w:rPr>
      </w:pPr>
      <w:r>
        <w:rPr>
          <w:rFonts w:ascii="Arial" w:hAnsi="Arial" w:cs="Arial"/>
          <w:sz w:val="24"/>
          <w:szCs w:val="24"/>
          <w:lang w:val="en-US"/>
        </w:rPr>
        <w:t xml:space="preserve">[2] </w:t>
      </w:r>
      <w:r w:rsidR="004D5C07">
        <w:rPr>
          <w:rFonts w:ascii="Arial" w:hAnsi="Arial" w:cs="Arial"/>
          <w:sz w:val="24"/>
          <w:szCs w:val="24"/>
          <w:lang w:val="en-US"/>
        </w:rPr>
        <w:t xml:space="preserve">    </w:t>
      </w:r>
      <w:r w:rsidR="00E11F4B">
        <w:rPr>
          <w:rFonts w:ascii="Arial" w:hAnsi="Arial" w:cs="Arial"/>
          <w:sz w:val="24"/>
          <w:szCs w:val="24"/>
          <w:lang w:val="en-US"/>
        </w:rPr>
        <w:t xml:space="preserve">The </w:t>
      </w:r>
      <w:r w:rsidR="0066245A">
        <w:rPr>
          <w:rFonts w:ascii="Arial" w:hAnsi="Arial" w:cs="Arial"/>
          <w:sz w:val="24"/>
          <w:szCs w:val="24"/>
          <w:lang w:val="en-US"/>
        </w:rPr>
        <w:t>Plaintiff</w:t>
      </w:r>
      <w:r w:rsidR="00E11F4B">
        <w:rPr>
          <w:rFonts w:ascii="Arial" w:hAnsi="Arial" w:cs="Arial"/>
          <w:sz w:val="24"/>
          <w:szCs w:val="24"/>
          <w:lang w:val="en-US"/>
        </w:rPr>
        <w:t xml:space="preserve"> was the first wife of </w:t>
      </w:r>
      <w:r>
        <w:rPr>
          <w:rFonts w:ascii="Arial" w:hAnsi="Arial" w:cs="Arial"/>
          <w:sz w:val="24"/>
          <w:szCs w:val="24"/>
          <w:lang w:val="en-US"/>
        </w:rPr>
        <w:t>the Deceased.</w:t>
      </w:r>
      <w:r w:rsidR="00E11F4B">
        <w:rPr>
          <w:rFonts w:ascii="Arial" w:hAnsi="Arial" w:cs="Arial"/>
          <w:sz w:val="24"/>
          <w:szCs w:val="24"/>
          <w:lang w:val="en-US"/>
        </w:rPr>
        <w:t xml:space="preserve"> The Second Defendant is his step daughter, being the daughter of his second wife</w:t>
      </w:r>
      <w:r w:rsidR="00DB5939">
        <w:rPr>
          <w:rFonts w:ascii="Arial" w:hAnsi="Arial" w:cs="Arial"/>
          <w:sz w:val="24"/>
          <w:szCs w:val="24"/>
          <w:lang w:val="en-US"/>
        </w:rPr>
        <w:t xml:space="preserve">, Nadeema Benjamin, now deceased. </w:t>
      </w:r>
      <w:r>
        <w:rPr>
          <w:rFonts w:ascii="Arial" w:hAnsi="Arial" w:cs="Arial"/>
          <w:sz w:val="24"/>
          <w:szCs w:val="24"/>
          <w:lang w:val="en-US"/>
        </w:rPr>
        <w:t>The Second Defendant is the executrix of her late mother’s estate. T</w:t>
      </w:r>
      <w:r w:rsidR="00EE0E43">
        <w:rPr>
          <w:rFonts w:ascii="Arial" w:hAnsi="Arial" w:cs="Arial"/>
          <w:sz w:val="24"/>
          <w:szCs w:val="24"/>
          <w:lang w:val="en-US"/>
        </w:rPr>
        <w:t>he First D</w:t>
      </w:r>
      <w:r>
        <w:rPr>
          <w:rFonts w:ascii="Arial" w:hAnsi="Arial" w:cs="Arial"/>
          <w:sz w:val="24"/>
          <w:szCs w:val="24"/>
          <w:lang w:val="en-US"/>
        </w:rPr>
        <w:t xml:space="preserve">efendant is the executor of the estate of the Deceased and the Third Defendant, the Master, </w:t>
      </w:r>
      <w:r w:rsidR="0066245A">
        <w:rPr>
          <w:rFonts w:ascii="Arial" w:hAnsi="Arial" w:cs="Arial"/>
          <w:sz w:val="24"/>
          <w:szCs w:val="24"/>
          <w:lang w:val="en-US"/>
        </w:rPr>
        <w:t>is cited</w:t>
      </w:r>
      <w:r>
        <w:rPr>
          <w:rFonts w:ascii="Arial" w:hAnsi="Arial" w:cs="Arial"/>
          <w:sz w:val="24"/>
          <w:szCs w:val="24"/>
          <w:lang w:val="en-US"/>
        </w:rPr>
        <w:t xml:space="preserve"> in official capacity. The Deceased had been married to both his wives simultaneously according to Islamic law. The Plaintiff’s maintenance claim is opposed by the Second Defendant on the grounds that the </w:t>
      </w:r>
      <w:r w:rsidR="0066245A">
        <w:rPr>
          <w:rFonts w:ascii="Arial" w:hAnsi="Arial" w:cs="Arial"/>
          <w:sz w:val="24"/>
          <w:szCs w:val="24"/>
          <w:lang w:val="en-US"/>
        </w:rPr>
        <w:t>Plaintiff</w:t>
      </w:r>
      <w:r>
        <w:rPr>
          <w:rFonts w:ascii="Arial" w:hAnsi="Arial" w:cs="Arial"/>
          <w:sz w:val="24"/>
          <w:szCs w:val="24"/>
          <w:lang w:val="en-US"/>
        </w:rPr>
        <w:t xml:space="preserve"> was not married to the Deceased at the time of his death an</w:t>
      </w:r>
      <w:r w:rsidR="00EE0E43">
        <w:rPr>
          <w:rFonts w:ascii="Arial" w:hAnsi="Arial" w:cs="Arial"/>
          <w:sz w:val="24"/>
          <w:szCs w:val="24"/>
          <w:lang w:val="en-US"/>
        </w:rPr>
        <w:t>d is accordingly not a surviving</w:t>
      </w:r>
      <w:r>
        <w:rPr>
          <w:rFonts w:ascii="Arial" w:hAnsi="Arial" w:cs="Arial"/>
          <w:sz w:val="24"/>
          <w:szCs w:val="24"/>
          <w:lang w:val="en-US"/>
        </w:rPr>
        <w:t xml:space="preserve"> spouse in terms of the MSSA.</w:t>
      </w:r>
    </w:p>
    <w:p w:rsidR="00AC74BC" w:rsidRDefault="00AC74BC" w:rsidP="00AC74BC">
      <w:pPr>
        <w:spacing w:line="480" w:lineRule="auto"/>
        <w:jc w:val="both"/>
        <w:rPr>
          <w:rFonts w:ascii="Arial" w:hAnsi="Arial" w:cs="Arial"/>
          <w:sz w:val="24"/>
          <w:szCs w:val="24"/>
          <w:lang w:val="en-US"/>
        </w:rPr>
      </w:pPr>
      <w:r>
        <w:rPr>
          <w:rFonts w:ascii="Arial" w:hAnsi="Arial" w:cs="Arial"/>
          <w:sz w:val="24"/>
          <w:szCs w:val="24"/>
          <w:lang w:val="en-US"/>
        </w:rPr>
        <w:t>[</w:t>
      </w:r>
      <w:r w:rsidR="00AF471A">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t>The special plea, as amended is based on two grounds:</w:t>
      </w:r>
    </w:p>
    <w:p w:rsidR="00AC74BC" w:rsidRPr="006A4C02" w:rsidRDefault="0087112C">
      <w:pPr>
        <w:spacing w:line="480" w:lineRule="auto"/>
        <w:ind w:left="1440" w:hanging="720"/>
        <w:jc w:val="both"/>
        <w:rPr>
          <w:rFonts w:ascii="Arial" w:hAnsi="Arial" w:cs="Arial"/>
          <w:bCs/>
          <w:sz w:val="24"/>
          <w:szCs w:val="24"/>
          <w:lang w:val="en-US"/>
        </w:rPr>
      </w:pPr>
      <w:r>
        <w:rPr>
          <w:rFonts w:ascii="Arial" w:hAnsi="Arial" w:cs="Arial"/>
          <w:sz w:val="24"/>
          <w:szCs w:val="24"/>
          <w:lang w:val="en-US"/>
        </w:rPr>
        <w:t>3</w:t>
      </w:r>
      <w:r w:rsidR="00AC74BC">
        <w:rPr>
          <w:rFonts w:ascii="Arial" w:hAnsi="Arial" w:cs="Arial"/>
          <w:sz w:val="24"/>
          <w:szCs w:val="24"/>
          <w:lang w:val="en-US"/>
        </w:rPr>
        <w:t>.1</w:t>
      </w:r>
      <w:r w:rsidR="00AC74BC">
        <w:rPr>
          <w:rFonts w:ascii="Arial" w:hAnsi="Arial" w:cs="Arial"/>
          <w:sz w:val="24"/>
          <w:szCs w:val="24"/>
          <w:lang w:val="en-US"/>
        </w:rPr>
        <w:tab/>
      </w:r>
      <w:r w:rsidR="00AC74BC" w:rsidRPr="006A4C02">
        <w:rPr>
          <w:rFonts w:ascii="Arial" w:hAnsi="Arial" w:cs="Arial"/>
          <w:bCs/>
          <w:sz w:val="24"/>
          <w:szCs w:val="24"/>
          <w:lang w:val="en-US"/>
        </w:rPr>
        <w:t xml:space="preserve">The period from the date of appointment of the executor until the date of issuance of summons was in excess of three years. During that period plaintiff could not have and did not lodge a valid claim in terms of the MSSA. </w:t>
      </w:r>
    </w:p>
    <w:p w:rsidR="00AC74BC" w:rsidRDefault="0087112C" w:rsidP="00AC74BC">
      <w:pPr>
        <w:spacing w:line="480" w:lineRule="auto"/>
        <w:ind w:left="1440" w:hanging="720"/>
        <w:jc w:val="both"/>
        <w:rPr>
          <w:rFonts w:ascii="Arial" w:hAnsi="Arial" w:cs="Arial"/>
          <w:sz w:val="24"/>
          <w:szCs w:val="24"/>
          <w:lang w:val="en-US"/>
        </w:rPr>
      </w:pPr>
      <w:r>
        <w:rPr>
          <w:rFonts w:ascii="Arial" w:hAnsi="Arial" w:cs="Arial"/>
          <w:sz w:val="24"/>
          <w:szCs w:val="24"/>
          <w:lang w:val="en-US"/>
        </w:rPr>
        <w:t>3</w:t>
      </w:r>
      <w:r w:rsidR="00AC74BC">
        <w:rPr>
          <w:rFonts w:ascii="Arial" w:hAnsi="Arial" w:cs="Arial"/>
          <w:sz w:val="24"/>
          <w:szCs w:val="24"/>
          <w:lang w:val="en-US"/>
        </w:rPr>
        <w:t xml:space="preserve">.2 </w:t>
      </w:r>
      <w:r w:rsidR="004D5C07">
        <w:rPr>
          <w:rFonts w:ascii="Arial" w:hAnsi="Arial" w:cs="Arial"/>
          <w:sz w:val="24"/>
          <w:szCs w:val="24"/>
          <w:lang w:val="en-US"/>
        </w:rPr>
        <w:t xml:space="preserve">    </w:t>
      </w:r>
      <w:r w:rsidR="00AC74BC">
        <w:rPr>
          <w:rFonts w:ascii="Arial" w:hAnsi="Arial" w:cs="Arial"/>
          <w:sz w:val="24"/>
          <w:szCs w:val="24"/>
          <w:lang w:val="en-US"/>
        </w:rPr>
        <w:t>There was no service of process on the executor in terms of section</w:t>
      </w:r>
      <w:r w:rsidR="00B75DEE">
        <w:rPr>
          <w:rFonts w:ascii="Arial" w:hAnsi="Arial" w:cs="Arial"/>
          <w:sz w:val="24"/>
          <w:szCs w:val="24"/>
          <w:lang w:val="en-US"/>
        </w:rPr>
        <w:t xml:space="preserve"> </w:t>
      </w:r>
      <w:r w:rsidR="00AC74BC">
        <w:rPr>
          <w:rFonts w:ascii="Arial" w:hAnsi="Arial" w:cs="Arial"/>
          <w:sz w:val="24"/>
          <w:szCs w:val="24"/>
          <w:lang w:val="en-US"/>
        </w:rPr>
        <w:t xml:space="preserve">15(1) of the </w:t>
      </w:r>
      <w:r w:rsidR="00C33FBF">
        <w:rPr>
          <w:rFonts w:ascii="Arial" w:hAnsi="Arial" w:cs="Arial"/>
          <w:sz w:val="24"/>
          <w:szCs w:val="24"/>
        </w:rPr>
        <w:t>Prescription Act</w:t>
      </w:r>
      <w:r w:rsidR="00B75DEE" w:rsidRPr="00B75DEE">
        <w:rPr>
          <w:rFonts w:ascii="Arial" w:hAnsi="Arial" w:cs="Arial"/>
          <w:sz w:val="24"/>
          <w:szCs w:val="24"/>
        </w:rPr>
        <w:t xml:space="preserve"> 68 of 1969</w:t>
      </w:r>
      <w:r w:rsidR="00B75DEE">
        <w:rPr>
          <w:rFonts w:ascii="Arial" w:hAnsi="Arial" w:cs="Arial"/>
          <w:sz w:val="24"/>
          <w:szCs w:val="24"/>
        </w:rPr>
        <w:t xml:space="preserve"> (“the Prescription Act”)</w:t>
      </w:r>
      <w:r w:rsidR="00B75DEE" w:rsidRPr="00B75DEE">
        <w:rPr>
          <w:rFonts w:ascii="Arial" w:hAnsi="Arial" w:cs="Arial"/>
          <w:sz w:val="24"/>
          <w:szCs w:val="24"/>
          <w:lang w:val="en-US"/>
        </w:rPr>
        <w:t xml:space="preserve"> </w:t>
      </w:r>
      <w:r w:rsidR="00AC74BC">
        <w:rPr>
          <w:rFonts w:ascii="Arial" w:hAnsi="Arial" w:cs="Arial"/>
          <w:sz w:val="24"/>
          <w:szCs w:val="24"/>
          <w:lang w:val="en-US"/>
        </w:rPr>
        <w:t>and</w:t>
      </w:r>
      <w:r w:rsidR="00B75DEE">
        <w:rPr>
          <w:rFonts w:ascii="Arial" w:hAnsi="Arial" w:cs="Arial"/>
          <w:sz w:val="24"/>
          <w:szCs w:val="24"/>
          <w:lang w:val="en-US"/>
        </w:rPr>
        <w:t xml:space="preserve"> </w:t>
      </w:r>
      <w:r w:rsidR="00AC74BC">
        <w:rPr>
          <w:rFonts w:ascii="Arial" w:hAnsi="Arial" w:cs="Arial"/>
          <w:sz w:val="24"/>
          <w:szCs w:val="24"/>
          <w:lang w:val="en-US"/>
        </w:rPr>
        <w:t>accordingly, the summons was not effective to interrupt prescription.</w:t>
      </w:r>
    </w:p>
    <w:p w:rsidR="00AC74BC" w:rsidRDefault="00AC74BC" w:rsidP="00AC74BC">
      <w:pPr>
        <w:spacing w:line="480" w:lineRule="auto"/>
        <w:jc w:val="both"/>
        <w:rPr>
          <w:rFonts w:ascii="Arial" w:hAnsi="Arial" w:cs="Arial"/>
          <w:sz w:val="24"/>
          <w:szCs w:val="24"/>
          <w:lang w:val="en-US"/>
        </w:rPr>
      </w:pPr>
    </w:p>
    <w:p w:rsidR="005541EB" w:rsidRPr="005541EB" w:rsidRDefault="005541EB" w:rsidP="00AC74BC">
      <w:pPr>
        <w:spacing w:line="480" w:lineRule="auto"/>
        <w:jc w:val="both"/>
        <w:rPr>
          <w:rFonts w:ascii="Arial" w:hAnsi="Arial" w:cs="Arial"/>
          <w:b/>
          <w:bCs/>
          <w:sz w:val="24"/>
          <w:szCs w:val="24"/>
          <w:lang w:val="en-US"/>
        </w:rPr>
      </w:pPr>
      <w:r>
        <w:rPr>
          <w:rFonts w:ascii="Arial" w:hAnsi="Arial" w:cs="Arial"/>
          <w:b/>
          <w:bCs/>
          <w:sz w:val="24"/>
          <w:szCs w:val="24"/>
          <w:lang w:val="en-US"/>
        </w:rPr>
        <w:lastRenderedPageBreak/>
        <w:t>Chronology</w:t>
      </w:r>
    </w:p>
    <w:p w:rsidR="00AC74BC" w:rsidRDefault="00AC74BC" w:rsidP="00AC74BC">
      <w:pPr>
        <w:spacing w:line="480" w:lineRule="auto"/>
        <w:jc w:val="both"/>
        <w:rPr>
          <w:rFonts w:ascii="Arial" w:hAnsi="Arial" w:cs="Arial"/>
          <w:i/>
          <w:sz w:val="24"/>
          <w:szCs w:val="24"/>
          <w:lang w:val="en-US"/>
        </w:rPr>
      </w:pPr>
      <w:r>
        <w:rPr>
          <w:rFonts w:ascii="Arial" w:hAnsi="Arial" w:cs="Arial"/>
          <w:sz w:val="24"/>
          <w:szCs w:val="24"/>
          <w:lang w:val="en-US"/>
        </w:rPr>
        <w:t>[</w:t>
      </w:r>
      <w:r w:rsidR="005541EB">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5541EB">
        <w:rPr>
          <w:rFonts w:ascii="Arial" w:hAnsi="Arial" w:cs="Arial"/>
          <w:sz w:val="24"/>
          <w:szCs w:val="24"/>
          <w:lang w:val="en-US"/>
        </w:rPr>
        <w:t xml:space="preserve">The </w:t>
      </w:r>
      <w:r w:rsidR="0066245A">
        <w:rPr>
          <w:rFonts w:ascii="Arial" w:hAnsi="Arial" w:cs="Arial"/>
          <w:sz w:val="24"/>
          <w:szCs w:val="24"/>
          <w:lang w:val="en-US"/>
        </w:rPr>
        <w:t>Plaintiff</w:t>
      </w:r>
      <w:r w:rsidR="005541EB">
        <w:rPr>
          <w:rFonts w:ascii="Arial" w:hAnsi="Arial" w:cs="Arial"/>
          <w:sz w:val="24"/>
          <w:szCs w:val="24"/>
          <w:lang w:val="en-US"/>
        </w:rPr>
        <w:t xml:space="preserve"> issued</w:t>
      </w:r>
      <w:r>
        <w:rPr>
          <w:rFonts w:ascii="Arial" w:hAnsi="Arial" w:cs="Arial"/>
          <w:sz w:val="24"/>
          <w:szCs w:val="24"/>
          <w:lang w:val="en-US"/>
        </w:rPr>
        <w:t xml:space="preserve"> summons o</w:t>
      </w:r>
      <w:r w:rsidR="005541EB">
        <w:rPr>
          <w:rFonts w:ascii="Arial" w:hAnsi="Arial" w:cs="Arial"/>
          <w:sz w:val="24"/>
          <w:szCs w:val="24"/>
          <w:lang w:val="en-US"/>
        </w:rPr>
        <w:t>n</w:t>
      </w:r>
      <w:r>
        <w:rPr>
          <w:rFonts w:ascii="Arial" w:hAnsi="Arial" w:cs="Arial"/>
          <w:sz w:val="24"/>
          <w:szCs w:val="24"/>
          <w:lang w:val="en-US"/>
        </w:rPr>
        <w:t xml:space="preserve"> 13 November 2015, </w:t>
      </w:r>
      <w:r w:rsidR="005541EB">
        <w:rPr>
          <w:rFonts w:ascii="Arial" w:hAnsi="Arial" w:cs="Arial"/>
          <w:sz w:val="24"/>
          <w:szCs w:val="24"/>
          <w:lang w:val="en-US"/>
        </w:rPr>
        <w:t>in which she sought</w:t>
      </w:r>
      <w:r>
        <w:rPr>
          <w:rFonts w:ascii="Arial" w:hAnsi="Arial" w:cs="Arial"/>
          <w:sz w:val="24"/>
          <w:szCs w:val="24"/>
          <w:lang w:val="en-US"/>
        </w:rPr>
        <w:t xml:space="preserve"> </w:t>
      </w:r>
      <w:r>
        <w:rPr>
          <w:rFonts w:ascii="Arial" w:hAnsi="Arial" w:cs="Arial"/>
          <w:i/>
          <w:sz w:val="24"/>
          <w:szCs w:val="24"/>
          <w:lang w:val="en-US"/>
        </w:rPr>
        <w:t>inter alia:</w:t>
      </w:r>
    </w:p>
    <w:p w:rsidR="00AC74BC" w:rsidRDefault="00EE0E43" w:rsidP="00AC74BC">
      <w:pPr>
        <w:spacing w:line="480" w:lineRule="auto"/>
        <w:ind w:left="1440" w:hanging="720"/>
        <w:jc w:val="both"/>
        <w:rPr>
          <w:rFonts w:ascii="Arial" w:hAnsi="Arial" w:cs="Arial"/>
          <w:sz w:val="24"/>
          <w:szCs w:val="24"/>
          <w:lang w:val="en-US"/>
        </w:rPr>
      </w:pPr>
      <w:r>
        <w:rPr>
          <w:rFonts w:ascii="Arial" w:hAnsi="Arial" w:cs="Arial"/>
          <w:sz w:val="24"/>
          <w:szCs w:val="24"/>
          <w:lang w:val="en-US"/>
        </w:rPr>
        <w:t>4</w:t>
      </w:r>
      <w:r w:rsidR="00AC74BC">
        <w:rPr>
          <w:rFonts w:ascii="Arial" w:hAnsi="Arial" w:cs="Arial"/>
          <w:sz w:val="24"/>
          <w:szCs w:val="24"/>
          <w:lang w:val="en-US"/>
        </w:rPr>
        <w:t>.1</w:t>
      </w:r>
      <w:r w:rsidR="00AC74BC">
        <w:rPr>
          <w:rFonts w:ascii="Arial" w:hAnsi="Arial" w:cs="Arial"/>
          <w:sz w:val="24"/>
          <w:szCs w:val="24"/>
          <w:lang w:val="en-US"/>
        </w:rPr>
        <w:tab/>
        <w:t xml:space="preserve">A declaration that she was the wife of the late Mogamat Naziem Benjamin at the time of his death and accordingly, a survivor in terms of section 1 of the MSSA. </w:t>
      </w:r>
    </w:p>
    <w:p w:rsidR="00AC74BC" w:rsidRDefault="00EE0E43" w:rsidP="00AC74BC">
      <w:pPr>
        <w:spacing w:line="480" w:lineRule="auto"/>
        <w:ind w:left="1440" w:hanging="720"/>
        <w:jc w:val="both"/>
        <w:rPr>
          <w:rFonts w:ascii="Arial" w:hAnsi="Arial" w:cs="Arial"/>
          <w:sz w:val="24"/>
          <w:szCs w:val="24"/>
          <w:lang w:val="en-US"/>
        </w:rPr>
      </w:pPr>
      <w:r>
        <w:rPr>
          <w:rFonts w:ascii="Arial" w:hAnsi="Arial" w:cs="Arial"/>
          <w:sz w:val="24"/>
          <w:szCs w:val="24"/>
          <w:lang w:val="en-US"/>
        </w:rPr>
        <w:t>4</w:t>
      </w:r>
      <w:r w:rsidR="00AC74BC">
        <w:rPr>
          <w:rFonts w:ascii="Arial" w:hAnsi="Arial" w:cs="Arial"/>
          <w:sz w:val="24"/>
          <w:szCs w:val="24"/>
          <w:lang w:val="en-US"/>
        </w:rPr>
        <w:t>.2</w:t>
      </w:r>
      <w:r w:rsidR="00AC74BC">
        <w:rPr>
          <w:rFonts w:ascii="Arial" w:hAnsi="Arial" w:cs="Arial"/>
          <w:sz w:val="24"/>
          <w:szCs w:val="24"/>
          <w:lang w:val="en-US"/>
        </w:rPr>
        <w:tab/>
        <w:t>Judgment in the amount of R21 847 205-00 in respect of her maintenance duly escalated from 2013 values by the Consumer Price Index to date of judgment.</w:t>
      </w:r>
    </w:p>
    <w:p w:rsidR="00AC74BC" w:rsidRDefault="00CE6F5F" w:rsidP="00AC74BC">
      <w:pPr>
        <w:spacing w:line="480" w:lineRule="auto"/>
        <w:jc w:val="both"/>
        <w:rPr>
          <w:rFonts w:ascii="Arial" w:hAnsi="Arial" w:cs="Arial"/>
          <w:sz w:val="24"/>
          <w:szCs w:val="24"/>
          <w:lang w:val="en-US"/>
        </w:rPr>
      </w:pPr>
      <w:r>
        <w:rPr>
          <w:rFonts w:ascii="Arial" w:hAnsi="Arial" w:cs="Arial"/>
          <w:sz w:val="24"/>
          <w:szCs w:val="24"/>
          <w:lang w:val="en-US"/>
        </w:rPr>
        <w:t>[</w:t>
      </w:r>
      <w:r w:rsidR="005541EB">
        <w:rPr>
          <w:rFonts w:ascii="Arial" w:hAnsi="Arial" w:cs="Arial"/>
          <w:sz w:val="24"/>
          <w:szCs w:val="24"/>
          <w:lang w:val="en-US"/>
        </w:rPr>
        <w:t>5</w:t>
      </w:r>
      <w:r>
        <w:rPr>
          <w:rFonts w:ascii="Arial" w:hAnsi="Arial" w:cs="Arial"/>
          <w:sz w:val="24"/>
          <w:szCs w:val="24"/>
          <w:lang w:val="en-US"/>
        </w:rPr>
        <w:t xml:space="preserve">]   </w:t>
      </w:r>
      <w:r w:rsidR="00B75DEE">
        <w:rPr>
          <w:rFonts w:ascii="Arial" w:hAnsi="Arial" w:cs="Arial"/>
          <w:sz w:val="24"/>
          <w:szCs w:val="24"/>
          <w:lang w:val="en-US"/>
        </w:rPr>
        <w:t xml:space="preserve">   </w:t>
      </w:r>
      <w:r w:rsidR="005541EB">
        <w:rPr>
          <w:rFonts w:ascii="Arial" w:hAnsi="Arial" w:cs="Arial"/>
          <w:sz w:val="24"/>
          <w:szCs w:val="24"/>
          <w:lang w:val="en-US"/>
        </w:rPr>
        <w:t>On 23</w:t>
      </w:r>
      <w:r w:rsidR="004D4794">
        <w:rPr>
          <w:rFonts w:ascii="Arial" w:hAnsi="Arial" w:cs="Arial"/>
          <w:sz w:val="24"/>
          <w:szCs w:val="24"/>
          <w:lang w:val="en-US"/>
        </w:rPr>
        <w:t xml:space="preserve"> November 2015</w:t>
      </w:r>
      <w:r w:rsidR="00B75DEE">
        <w:rPr>
          <w:rFonts w:ascii="Arial" w:hAnsi="Arial" w:cs="Arial"/>
          <w:sz w:val="24"/>
          <w:szCs w:val="24"/>
          <w:lang w:val="en-US"/>
        </w:rPr>
        <w:t>,</w:t>
      </w:r>
      <w:r w:rsidR="004D4794">
        <w:rPr>
          <w:rFonts w:ascii="Arial" w:hAnsi="Arial" w:cs="Arial"/>
          <w:sz w:val="24"/>
          <w:szCs w:val="24"/>
          <w:lang w:val="en-US"/>
        </w:rPr>
        <w:t xml:space="preserve"> the Muslim Judicial </w:t>
      </w:r>
      <w:r w:rsidR="0066245A">
        <w:rPr>
          <w:rFonts w:ascii="Arial" w:hAnsi="Arial" w:cs="Arial"/>
          <w:sz w:val="24"/>
          <w:szCs w:val="24"/>
          <w:lang w:val="en-US"/>
        </w:rPr>
        <w:t>Council</w:t>
      </w:r>
      <w:r w:rsidR="00190AE3">
        <w:rPr>
          <w:rFonts w:ascii="Arial" w:hAnsi="Arial" w:cs="Arial"/>
          <w:sz w:val="24"/>
          <w:szCs w:val="24"/>
          <w:lang w:val="en-US"/>
        </w:rPr>
        <w:t xml:space="preserve"> (</w:t>
      </w:r>
      <w:r w:rsidR="00F5220B">
        <w:rPr>
          <w:rFonts w:ascii="Arial" w:hAnsi="Arial" w:cs="Arial"/>
          <w:sz w:val="24"/>
          <w:szCs w:val="24"/>
          <w:lang w:val="en-US"/>
        </w:rPr>
        <w:t xml:space="preserve">“the </w:t>
      </w:r>
      <w:r w:rsidR="00190AE3">
        <w:rPr>
          <w:rFonts w:ascii="Arial" w:hAnsi="Arial" w:cs="Arial"/>
          <w:sz w:val="24"/>
          <w:szCs w:val="24"/>
          <w:lang w:val="en-US"/>
        </w:rPr>
        <w:t>MJC</w:t>
      </w:r>
      <w:r w:rsidR="00F5220B">
        <w:rPr>
          <w:rFonts w:ascii="Arial" w:hAnsi="Arial" w:cs="Arial"/>
          <w:sz w:val="24"/>
          <w:szCs w:val="24"/>
          <w:lang w:val="en-US"/>
        </w:rPr>
        <w:t>”</w:t>
      </w:r>
      <w:r w:rsidR="00190AE3">
        <w:rPr>
          <w:rFonts w:ascii="Arial" w:hAnsi="Arial" w:cs="Arial"/>
          <w:sz w:val="24"/>
          <w:szCs w:val="24"/>
          <w:lang w:val="en-US"/>
        </w:rPr>
        <w:t>)</w:t>
      </w:r>
      <w:r w:rsidR="0066245A">
        <w:rPr>
          <w:rFonts w:ascii="Arial" w:hAnsi="Arial" w:cs="Arial"/>
          <w:sz w:val="24"/>
          <w:szCs w:val="24"/>
          <w:lang w:val="en-US"/>
        </w:rPr>
        <w:t xml:space="preserve"> to</w:t>
      </w:r>
      <w:r w:rsidR="005541EB">
        <w:rPr>
          <w:rFonts w:ascii="Arial" w:hAnsi="Arial" w:cs="Arial"/>
          <w:sz w:val="24"/>
          <w:szCs w:val="24"/>
          <w:lang w:val="en-US"/>
        </w:rPr>
        <w:t xml:space="preserve"> whom a dispu</w:t>
      </w:r>
      <w:r w:rsidR="002B2D5E">
        <w:rPr>
          <w:rFonts w:ascii="Arial" w:hAnsi="Arial" w:cs="Arial"/>
          <w:sz w:val="24"/>
          <w:szCs w:val="24"/>
          <w:lang w:val="en-US"/>
        </w:rPr>
        <w:t>te concerning the validity of the Plaintiff’s</w:t>
      </w:r>
      <w:r w:rsidR="005541EB">
        <w:rPr>
          <w:rFonts w:ascii="Arial" w:hAnsi="Arial" w:cs="Arial"/>
          <w:sz w:val="24"/>
          <w:szCs w:val="24"/>
          <w:lang w:val="en-US"/>
        </w:rPr>
        <w:t xml:space="preserve"> marr</w:t>
      </w:r>
      <w:r w:rsidR="004D4794">
        <w:rPr>
          <w:rFonts w:ascii="Arial" w:hAnsi="Arial" w:cs="Arial"/>
          <w:sz w:val="24"/>
          <w:szCs w:val="24"/>
          <w:lang w:val="en-US"/>
        </w:rPr>
        <w:t>i</w:t>
      </w:r>
      <w:r w:rsidR="005541EB">
        <w:rPr>
          <w:rFonts w:ascii="Arial" w:hAnsi="Arial" w:cs="Arial"/>
          <w:sz w:val="24"/>
          <w:szCs w:val="24"/>
          <w:lang w:val="en-US"/>
        </w:rPr>
        <w:t>age had been referred, i</w:t>
      </w:r>
      <w:r w:rsidR="004D4794">
        <w:rPr>
          <w:rFonts w:ascii="Arial" w:hAnsi="Arial" w:cs="Arial"/>
          <w:sz w:val="24"/>
          <w:szCs w:val="24"/>
          <w:lang w:val="en-US"/>
        </w:rPr>
        <w:t xml:space="preserve">ssued a religious edict that the </w:t>
      </w:r>
      <w:r w:rsidR="0066245A">
        <w:rPr>
          <w:rFonts w:ascii="Arial" w:hAnsi="Arial" w:cs="Arial"/>
          <w:sz w:val="24"/>
          <w:szCs w:val="24"/>
          <w:lang w:val="en-US"/>
        </w:rPr>
        <w:t>Plaintiff’s marriage</w:t>
      </w:r>
      <w:r w:rsidR="004D4794">
        <w:rPr>
          <w:rFonts w:ascii="Arial" w:hAnsi="Arial" w:cs="Arial"/>
          <w:sz w:val="24"/>
          <w:szCs w:val="24"/>
          <w:lang w:val="en-US"/>
        </w:rPr>
        <w:t xml:space="preserve"> subsisted at the time of the death of </w:t>
      </w:r>
      <w:r>
        <w:rPr>
          <w:rFonts w:ascii="Arial" w:hAnsi="Arial" w:cs="Arial"/>
          <w:sz w:val="24"/>
          <w:szCs w:val="24"/>
          <w:lang w:val="en-US"/>
        </w:rPr>
        <w:t xml:space="preserve">the </w:t>
      </w:r>
      <w:r w:rsidR="005541EB">
        <w:rPr>
          <w:rFonts w:ascii="Arial" w:hAnsi="Arial" w:cs="Arial"/>
          <w:sz w:val="24"/>
          <w:szCs w:val="24"/>
          <w:lang w:val="en-US"/>
        </w:rPr>
        <w:t>Deceased.</w:t>
      </w:r>
    </w:p>
    <w:p w:rsidR="00967610" w:rsidRDefault="00AC74BC" w:rsidP="00AC74BC">
      <w:pPr>
        <w:spacing w:line="480" w:lineRule="auto"/>
        <w:jc w:val="both"/>
        <w:rPr>
          <w:rFonts w:ascii="Arial" w:hAnsi="Arial" w:cs="Arial"/>
          <w:sz w:val="24"/>
          <w:szCs w:val="24"/>
          <w:lang w:val="en-US"/>
        </w:rPr>
      </w:pPr>
      <w:r>
        <w:rPr>
          <w:rFonts w:ascii="Arial" w:hAnsi="Arial" w:cs="Arial"/>
          <w:sz w:val="24"/>
          <w:szCs w:val="24"/>
          <w:lang w:val="en-US"/>
        </w:rPr>
        <w:t>[</w:t>
      </w:r>
      <w:r w:rsidR="005541EB">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t xml:space="preserve">The </w:t>
      </w:r>
      <w:r w:rsidR="005541EB">
        <w:rPr>
          <w:rFonts w:ascii="Arial" w:hAnsi="Arial" w:cs="Arial"/>
          <w:sz w:val="24"/>
          <w:szCs w:val="24"/>
          <w:lang w:val="en-US"/>
        </w:rPr>
        <w:t>S</w:t>
      </w:r>
      <w:r>
        <w:rPr>
          <w:rFonts w:ascii="Arial" w:hAnsi="Arial" w:cs="Arial"/>
          <w:sz w:val="24"/>
          <w:szCs w:val="24"/>
          <w:lang w:val="en-US"/>
        </w:rPr>
        <w:t xml:space="preserve">econd </w:t>
      </w:r>
      <w:r w:rsidR="005541EB">
        <w:rPr>
          <w:rFonts w:ascii="Arial" w:hAnsi="Arial" w:cs="Arial"/>
          <w:sz w:val="24"/>
          <w:szCs w:val="24"/>
          <w:lang w:val="en-US"/>
        </w:rPr>
        <w:t>D</w:t>
      </w:r>
      <w:r>
        <w:rPr>
          <w:rFonts w:ascii="Arial" w:hAnsi="Arial" w:cs="Arial"/>
          <w:sz w:val="24"/>
          <w:szCs w:val="24"/>
          <w:lang w:val="en-US"/>
        </w:rPr>
        <w:t xml:space="preserve">efendant pleaded to the merits of the claim in March 2017, while the </w:t>
      </w:r>
      <w:r w:rsidR="005541EB">
        <w:rPr>
          <w:rFonts w:ascii="Arial" w:hAnsi="Arial" w:cs="Arial"/>
          <w:sz w:val="24"/>
          <w:szCs w:val="24"/>
          <w:lang w:val="en-US"/>
        </w:rPr>
        <w:t>F</w:t>
      </w:r>
      <w:r>
        <w:rPr>
          <w:rFonts w:ascii="Arial" w:hAnsi="Arial" w:cs="Arial"/>
          <w:sz w:val="24"/>
          <w:szCs w:val="24"/>
          <w:lang w:val="en-US"/>
        </w:rPr>
        <w:t xml:space="preserve">irst </w:t>
      </w:r>
      <w:r w:rsidR="005541EB">
        <w:rPr>
          <w:rFonts w:ascii="Arial" w:hAnsi="Arial" w:cs="Arial"/>
          <w:sz w:val="24"/>
          <w:szCs w:val="24"/>
          <w:lang w:val="en-US"/>
        </w:rPr>
        <w:t>D</w:t>
      </w:r>
      <w:r>
        <w:rPr>
          <w:rFonts w:ascii="Arial" w:hAnsi="Arial" w:cs="Arial"/>
          <w:sz w:val="24"/>
          <w:szCs w:val="24"/>
          <w:lang w:val="en-US"/>
        </w:rPr>
        <w:t>efendant filed a notice of intention to abide. A trial for the duration of some 19 days between 27 October 2021 and 29 August 2022, followed. By agreement the declarat</w:t>
      </w:r>
      <w:r w:rsidR="002B2D5E">
        <w:rPr>
          <w:rFonts w:ascii="Arial" w:hAnsi="Arial" w:cs="Arial"/>
          <w:sz w:val="24"/>
          <w:szCs w:val="24"/>
          <w:lang w:val="en-US"/>
        </w:rPr>
        <w:t>or concerning the merits of the P</w:t>
      </w:r>
      <w:r>
        <w:rPr>
          <w:rFonts w:ascii="Arial" w:hAnsi="Arial" w:cs="Arial"/>
          <w:sz w:val="24"/>
          <w:szCs w:val="24"/>
          <w:lang w:val="en-US"/>
        </w:rPr>
        <w:t xml:space="preserve">laintiff’s claim and the quantum of her claim were separated. Before the conclusion of evidence, in March 2022, some five years after filing the plea on the merits, </w:t>
      </w:r>
      <w:r w:rsidR="00EE0E43">
        <w:rPr>
          <w:rFonts w:ascii="Arial" w:hAnsi="Arial" w:cs="Arial"/>
          <w:sz w:val="24"/>
          <w:szCs w:val="24"/>
          <w:lang w:val="en-US"/>
        </w:rPr>
        <w:t>the Second D</w:t>
      </w:r>
      <w:r w:rsidR="00F04A25">
        <w:rPr>
          <w:rFonts w:ascii="Arial" w:hAnsi="Arial" w:cs="Arial"/>
          <w:sz w:val="24"/>
          <w:szCs w:val="24"/>
          <w:lang w:val="en-US"/>
        </w:rPr>
        <w:t xml:space="preserve">efendant </w:t>
      </w:r>
      <w:r w:rsidR="005E2EE8">
        <w:rPr>
          <w:rFonts w:ascii="Arial" w:hAnsi="Arial" w:cs="Arial"/>
          <w:sz w:val="24"/>
          <w:szCs w:val="24"/>
          <w:lang w:val="en-US"/>
        </w:rPr>
        <w:t>raised a</w:t>
      </w:r>
      <w:r>
        <w:rPr>
          <w:rFonts w:ascii="Arial" w:hAnsi="Arial" w:cs="Arial"/>
          <w:sz w:val="24"/>
          <w:szCs w:val="24"/>
          <w:lang w:val="en-US"/>
        </w:rPr>
        <w:t xml:space="preserve"> special plea in which she belatedly alleged that </w:t>
      </w:r>
      <w:r w:rsidR="0066245A">
        <w:rPr>
          <w:rFonts w:ascii="Arial" w:hAnsi="Arial" w:cs="Arial"/>
          <w:sz w:val="24"/>
          <w:szCs w:val="24"/>
          <w:lang w:val="en-US"/>
        </w:rPr>
        <w:t>the Plaintiff’s</w:t>
      </w:r>
      <w:r>
        <w:rPr>
          <w:rFonts w:ascii="Arial" w:hAnsi="Arial" w:cs="Arial"/>
          <w:sz w:val="24"/>
          <w:szCs w:val="24"/>
          <w:lang w:val="en-US"/>
        </w:rPr>
        <w:t xml:space="preserve"> claim had prescribed. </w:t>
      </w:r>
    </w:p>
    <w:p w:rsidR="00AC74BC" w:rsidRDefault="00EE0E43" w:rsidP="00AC74BC">
      <w:pPr>
        <w:spacing w:line="480" w:lineRule="auto"/>
        <w:jc w:val="both"/>
        <w:rPr>
          <w:rFonts w:ascii="Arial" w:hAnsi="Arial" w:cs="Arial"/>
          <w:sz w:val="24"/>
          <w:szCs w:val="24"/>
          <w:lang w:val="en-US"/>
        </w:rPr>
      </w:pPr>
      <w:r>
        <w:rPr>
          <w:rFonts w:ascii="Arial" w:hAnsi="Arial" w:cs="Arial"/>
          <w:sz w:val="24"/>
          <w:szCs w:val="24"/>
          <w:lang w:val="en-US"/>
        </w:rPr>
        <w:t>[7]</w:t>
      </w:r>
      <w:r w:rsidR="00967610">
        <w:rPr>
          <w:rFonts w:ascii="Arial" w:hAnsi="Arial" w:cs="Arial"/>
          <w:sz w:val="24"/>
          <w:szCs w:val="24"/>
          <w:lang w:val="en-US"/>
        </w:rPr>
        <w:t xml:space="preserve"> </w:t>
      </w:r>
      <w:r w:rsidR="00B75DEE">
        <w:rPr>
          <w:rFonts w:ascii="Arial" w:hAnsi="Arial" w:cs="Arial"/>
          <w:sz w:val="24"/>
          <w:szCs w:val="24"/>
          <w:lang w:val="en-US"/>
        </w:rPr>
        <w:t xml:space="preserve">       </w:t>
      </w:r>
      <w:r w:rsidR="00AC74BC">
        <w:rPr>
          <w:rFonts w:ascii="Arial" w:hAnsi="Arial" w:cs="Arial"/>
          <w:sz w:val="24"/>
          <w:szCs w:val="24"/>
          <w:lang w:val="en-US"/>
        </w:rPr>
        <w:t>On 27 September 2022</w:t>
      </w:r>
      <w:r w:rsidR="00B75DEE">
        <w:rPr>
          <w:rFonts w:ascii="Arial" w:hAnsi="Arial" w:cs="Arial"/>
          <w:sz w:val="24"/>
          <w:szCs w:val="24"/>
          <w:lang w:val="en-US"/>
        </w:rPr>
        <w:t>,</w:t>
      </w:r>
      <w:r w:rsidR="00AC74BC">
        <w:rPr>
          <w:rFonts w:ascii="Arial" w:hAnsi="Arial" w:cs="Arial"/>
          <w:sz w:val="24"/>
          <w:szCs w:val="24"/>
          <w:lang w:val="en-US"/>
        </w:rPr>
        <w:t xml:space="preserve"> I handed down </w:t>
      </w:r>
      <w:r w:rsidR="002B2D5E">
        <w:rPr>
          <w:rFonts w:ascii="Arial" w:hAnsi="Arial" w:cs="Arial"/>
          <w:sz w:val="24"/>
          <w:szCs w:val="24"/>
          <w:lang w:val="en-US"/>
        </w:rPr>
        <w:t xml:space="preserve">a </w:t>
      </w:r>
      <w:r w:rsidR="00624B34">
        <w:rPr>
          <w:rFonts w:ascii="Arial" w:hAnsi="Arial" w:cs="Arial"/>
          <w:sz w:val="24"/>
          <w:szCs w:val="24"/>
          <w:lang w:val="en-US"/>
        </w:rPr>
        <w:t>judgment and</w:t>
      </w:r>
      <w:r w:rsidR="002B2D5E">
        <w:rPr>
          <w:rFonts w:ascii="Arial" w:hAnsi="Arial" w:cs="Arial"/>
          <w:sz w:val="24"/>
          <w:szCs w:val="24"/>
          <w:lang w:val="en-US"/>
        </w:rPr>
        <w:t xml:space="preserve"> order on the declaratory </w:t>
      </w:r>
      <w:r w:rsidR="00624B34">
        <w:rPr>
          <w:rFonts w:ascii="Arial" w:hAnsi="Arial" w:cs="Arial"/>
          <w:sz w:val="24"/>
          <w:szCs w:val="24"/>
          <w:lang w:val="en-US"/>
        </w:rPr>
        <w:t>relief referred</w:t>
      </w:r>
      <w:r>
        <w:rPr>
          <w:rFonts w:ascii="Arial" w:hAnsi="Arial" w:cs="Arial"/>
          <w:sz w:val="24"/>
          <w:szCs w:val="24"/>
          <w:lang w:val="en-US"/>
        </w:rPr>
        <w:t xml:space="preserve"> to in paragraph 4.1 above</w:t>
      </w:r>
      <w:r w:rsidR="00AC74BC">
        <w:rPr>
          <w:rFonts w:ascii="Arial" w:hAnsi="Arial" w:cs="Arial"/>
          <w:sz w:val="24"/>
          <w:szCs w:val="24"/>
          <w:lang w:val="en-US"/>
        </w:rPr>
        <w:t xml:space="preserve">. </w:t>
      </w:r>
      <w:r w:rsidR="0066245A">
        <w:rPr>
          <w:rFonts w:ascii="Arial" w:hAnsi="Arial" w:cs="Arial"/>
          <w:sz w:val="24"/>
          <w:szCs w:val="24"/>
          <w:lang w:val="en-US"/>
        </w:rPr>
        <w:t>My order</w:t>
      </w:r>
      <w:r w:rsidR="002B2D5E">
        <w:rPr>
          <w:rFonts w:ascii="Arial" w:hAnsi="Arial" w:cs="Arial"/>
          <w:sz w:val="24"/>
          <w:szCs w:val="24"/>
          <w:lang w:val="en-US"/>
        </w:rPr>
        <w:t xml:space="preserve"> in relevant part </w:t>
      </w:r>
      <w:r w:rsidR="00AC74BC">
        <w:rPr>
          <w:rFonts w:ascii="Arial" w:hAnsi="Arial" w:cs="Arial"/>
          <w:sz w:val="24"/>
          <w:szCs w:val="24"/>
          <w:lang w:val="en-US"/>
        </w:rPr>
        <w:t>stated as follows:</w:t>
      </w:r>
    </w:p>
    <w:p w:rsidR="00AC74BC" w:rsidRPr="00295868" w:rsidRDefault="002B2D5E" w:rsidP="00AC74BC">
      <w:pPr>
        <w:spacing w:line="480" w:lineRule="auto"/>
        <w:ind w:left="720"/>
        <w:jc w:val="both"/>
        <w:rPr>
          <w:rFonts w:ascii="Arial" w:hAnsi="Arial" w:cs="Arial"/>
          <w:lang w:val="en-US"/>
        </w:rPr>
      </w:pPr>
      <w:r w:rsidRPr="00295868">
        <w:rPr>
          <w:rFonts w:ascii="Arial" w:hAnsi="Arial" w:cs="Arial"/>
          <w:lang w:val="en-US"/>
        </w:rPr>
        <w:lastRenderedPageBreak/>
        <w:t>“It is declared that the Plaintiff was the wife of the D</w:t>
      </w:r>
      <w:r w:rsidR="00AC74BC" w:rsidRPr="00295868">
        <w:rPr>
          <w:rFonts w:ascii="Arial" w:hAnsi="Arial" w:cs="Arial"/>
          <w:lang w:val="en-US"/>
        </w:rPr>
        <w:t>eceased Naziem Benjamin, at the time of his death and is accordingly a surviving spouse in terms of section 1 of the Maintenance of Surviving Spouses Act 27 of 1990.”</w:t>
      </w:r>
    </w:p>
    <w:p w:rsidR="00CE6F5F" w:rsidRDefault="00CE6F5F" w:rsidP="00AC74BC">
      <w:pPr>
        <w:spacing w:line="480" w:lineRule="auto"/>
        <w:ind w:left="720"/>
        <w:jc w:val="both"/>
        <w:rPr>
          <w:rFonts w:ascii="Arial" w:hAnsi="Arial" w:cs="Arial"/>
          <w:iCs/>
          <w:sz w:val="24"/>
          <w:szCs w:val="24"/>
          <w:lang w:val="en-US"/>
        </w:rPr>
      </w:pPr>
      <w:r>
        <w:rPr>
          <w:rFonts w:ascii="Arial" w:hAnsi="Arial" w:cs="Arial"/>
          <w:iCs/>
          <w:sz w:val="24"/>
          <w:szCs w:val="24"/>
          <w:lang w:val="en-US"/>
        </w:rPr>
        <w:t>My judgment endorsed the finding of the Muslim Judicial Council.</w:t>
      </w:r>
    </w:p>
    <w:p w:rsidR="005E2EE8" w:rsidRPr="00CE6F5F" w:rsidRDefault="00EE0E43" w:rsidP="0066245A">
      <w:pPr>
        <w:spacing w:line="480" w:lineRule="auto"/>
        <w:jc w:val="both"/>
        <w:rPr>
          <w:rFonts w:ascii="Arial" w:hAnsi="Arial" w:cs="Arial"/>
          <w:iCs/>
          <w:sz w:val="24"/>
          <w:szCs w:val="24"/>
          <w:lang w:val="en-US"/>
        </w:rPr>
      </w:pPr>
      <w:r>
        <w:rPr>
          <w:rFonts w:ascii="Arial" w:hAnsi="Arial" w:cs="Arial"/>
          <w:iCs/>
          <w:sz w:val="24"/>
          <w:szCs w:val="24"/>
          <w:lang w:val="en-US"/>
        </w:rPr>
        <w:t>[8]</w:t>
      </w:r>
      <w:r w:rsidR="00624B34">
        <w:rPr>
          <w:rFonts w:ascii="Arial" w:hAnsi="Arial" w:cs="Arial"/>
          <w:iCs/>
          <w:sz w:val="24"/>
          <w:szCs w:val="24"/>
          <w:lang w:val="en-US"/>
        </w:rPr>
        <w:tab/>
      </w:r>
      <w:r w:rsidR="001A0A53">
        <w:rPr>
          <w:rFonts w:ascii="Arial" w:hAnsi="Arial" w:cs="Arial"/>
          <w:iCs/>
          <w:sz w:val="24"/>
          <w:szCs w:val="24"/>
          <w:lang w:val="en-US"/>
        </w:rPr>
        <w:t>A</w:t>
      </w:r>
      <w:r w:rsidR="005E2EE8">
        <w:rPr>
          <w:rFonts w:ascii="Arial" w:hAnsi="Arial" w:cs="Arial"/>
          <w:iCs/>
          <w:sz w:val="24"/>
          <w:szCs w:val="24"/>
          <w:lang w:val="en-US"/>
        </w:rPr>
        <w:t xml:space="preserve">n application for leave to appeal against my judgment </w:t>
      </w:r>
      <w:r w:rsidR="001A0A53">
        <w:rPr>
          <w:rFonts w:ascii="Arial" w:hAnsi="Arial" w:cs="Arial"/>
          <w:iCs/>
          <w:sz w:val="24"/>
          <w:szCs w:val="24"/>
          <w:lang w:val="en-US"/>
        </w:rPr>
        <w:t xml:space="preserve">and order </w:t>
      </w:r>
      <w:r w:rsidR="005E2EE8">
        <w:rPr>
          <w:rFonts w:ascii="Arial" w:hAnsi="Arial" w:cs="Arial"/>
          <w:iCs/>
          <w:sz w:val="24"/>
          <w:szCs w:val="24"/>
          <w:lang w:val="en-US"/>
        </w:rPr>
        <w:t xml:space="preserve">of 27 September </w:t>
      </w:r>
      <w:r w:rsidR="00624B34">
        <w:rPr>
          <w:rFonts w:ascii="Arial" w:hAnsi="Arial" w:cs="Arial"/>
          <w:iCs/>
          <w:sz w:val="24"/>
          <w:szCs w:val="24"/>
          <w:lang w:val="en-US"/>
        </w:rPr>
        <w:t>2022 was</w:t>
      </w:r>
      <w:r w:rsidR="005E2EE8">
        <w:rPr>
          <w:rFonts w:ascii="Arial" w:hAnsi="Arial" w:cs="Arial"/>
          <w:iCs/>
          <w:sz w:val="24"/>
          <w:szCs w:val="24"/>
          <w:lang w:val="en-US"/>
        </w:rPr>
        <w:t xml:space="preserve"> filed. The </w:t>
      </w:r>
      <w:r w:rsidR="0066245A">
        <w:rPr>
          <w:rFonts w:ascii="Arial" w:hAnsi="Arial" w:cs="Arial"/>
          <w:iCs/>
          <w:sz w:val="24"/>
          <w:szCs w:val="24"/>
          <w:lang w:val="en-US"/>
        </w:rPr>
        <w:t>application has</w:t>
      </w:r>
      <w:r w:rsidR="001A0A53">
        <w:rPr>
          <w:rFonts w:ascii="Arial" w:hAnsi="Arial" w:cs="Arial"/>
          <w:iCs/>
          <w:sz w:val="24"/>
          <w:szCs w:val="24"/>
          <w:lang w:val="en-US"/>
        </w:rPr>
        <w:t xml:space="preserve"> been postponed sine die.</w:t>
      </w:r>
      <w:r w:rsidR="005E2EE8">
        <w:rPr>
          <w:rFonts w:ascii="Arial" w:hAnsi="Arial" w:cs="Arial"/>
          <w:iCs/>
          <w:sz w:val="24"/>
          <w:szCs w:val="24"/>
          <w:lang w:val="en-US"/>
        </w:rPr>
        <w:t xml:space="preserve"> </w:t>
      </w:r>
    </w:p>
    <w:p w:rsidR="00AC74BC" w:rsidRDefault="0066245A" w:rsidP="00AC74BC">
      <w:pPr>
        <w:spacing w:line="480" w:lineRule="auto"/>
        <w:jc w:val="both"/>
        <w:rPr>
          <w:rFonts w:ascii="Arial" w:hAnsi="Arial" w:cs="Arial"/>
          <w:b/>
          <w:sz w:val="24"/>
          <w:szCs w:val="24"/>
          <w:lang w:val="en-US"/>
        </w:rPr>
      </w:pPr>
      <w:r>
        <w:rPr>
          <w:rFonts w:ascii="Arial" w:hAnsi="Arial" w:cs="Arial"/>
          <w:b/>
          <w:sz w:val="24"/>
          <w:szCs w:val="24"/>
          <w:lang w:val="en-US"/>
        </w:rPr>
        <w:t>Amendments</w:t>
      </w:r>
      <w:r w:rsidR="008B7050">
        <w:rPr>
          <w:rFonts w:ascii="Arial" w:hAnsi="Arial" w:cs="Arial"/>
          <w:b/>
          <w:sz w:val="24"/>
          <w:szCs w:val="24"/>
          <w:lang w:val="en-US"/>
        </w:rPr>
        <w:t xml:space="preserve"> to the Special Plea</w:t>
      </w:r>
    </w:p>
    <w:p w:rsidR="008B7050" w:rsidRPr="008B7050" w:rsidRDefault="008B7050" w:rsidP="00AC74BC">
      <w:pPr>
        <w:spacing w:line="480" w:lineRule="auto"/>
        <w:jc w:val="both"/>
        <w:rPr>
          <w:rFonts w:ascii="Arial" w:hAnsi="Arial" w:cs="Arial"/>
          <w:b/>
          <w:sz w:val="24"/>
          <w:szCs w:val="24"/>
          <w:lang w:val="en-US"/>
        </w:rPr>
      </w:pPr>
      <w:r>
        <w:rPr>
          <w:rFonts w:ascii="Arial" w:hAnsi="Arial" w:cs="Arial"/>
          <w:b/>
          <w:sz w:val="24"/>
          <w:szCs w:val="24"/>
          <w:lang w:val="en-US"/>
        </w:rPr>
        <w:t>The first ground</w:t>
      </w:r>
      <w:r w:rsidR="005B756F">
        <w:rPr>
          <w:rFonts w:ascii="Arial" w:hAnsi="Arial" w:cs="Arial"/>
          <w:b/>
          <w:sz w:val="24"/>
          <w:szCs w:val="24"/>
          <w:lang w:val="en-US"/>
        </w:rPr>
        <w:t xml:space="preserve"> of the Special Plea</w:t>
      </w:r>
      <w:r>
        <w:rPr>
          <w:rFonts w:ascii="Arial" w:hAnsi="Arial" w:cs="Arial"/>
          <w:b/>
          <w:sz w:val="24"/>
          <w:szCs w:val="24"/>
          <w:lang w:val="en-US"/>
        </w:rPr>
        <w:t xml:space="preserve"> (</w:t>
      </w:r>
      <w:r w:rsidRPr="001C5CE3">
        <w:rPr>
          <w:rFonts w:ascii="Arial" w:hAnsi="Arial" w:cs="Arial"/>
          <w:b/>
          <w:sz w:val="24"/>
          <w:szCs w:val="24"/>
          <w:lang w:val="en-US"/>
        </w:rPr>
        <w:t>para</w:t>
      </w:r>
      <w:r w:rsidR="00F5220B">
        <w:rPr>
          <w:rFonts w:ascii="Arial" w:hAnsi="Arial" w:cs="Arial"/>
          <w:b/>
          <w:sz w:val="24"/>
          <w:szCs w:val="24"/>
          <w:lang w:val="en-US"/>
        </w:rPr>
        <w:t>graph</w:t>
      </w:r>
      <w:r w:rsidRPr="001C5CE3">
        <w:rPr>
          <w:rFonts w:ascii="Arial" w:hAnsi="Arial" w:cs="Arial"/>
          <w:b/>
          <w:sz w:val="24"/>
          <w:szCs w:val="24"/>
          <w:lang w:val="en-US"/>
        </w:rPr>
        <w:t xml:space="preserve"> </w:t>
      </w:r>
      <w:r w:rsidR="00A16BD6">
        <w:rPr>
          <w:rFonts w:ascii="Arial" w:hAnsi="Arial" w:cs="Arial"/>
          <w:b/>
          <w:sz w:val="24"/>
          <w:szCs w:val="24"/>
          <w:lang w:val="en-US"/>
        </w:rPr>
        <w:t>3</w:t>
      </w:r>
      <w:r w:rsidRPr="001C5CE3">
        <w:rPr>
          <w:rFonts w:ascii="Arial" w:hAnsi="Arial" w:cs="Arial"/>
          <w:b/>
          <w:sz w:val="24"/>
          <w:szCs w:val="24"/>
          <w:lang w:val="en-US"/>
        </w:rPr>
        <w:t>.</w:t>
      </w:r>
      <w:r>
        <w:rPr>
          <w:rFonts w:ascii="Arial" w:hAnsi="Arial" w:cs="Arial"/>
          <w:b/>
          <w:sz w:val="24"/>
          <w:szCs w:val="24"/>
          <w:lang w:val="en-US"/>
        </w:rPr>
        <w:t>1</w:t>
      </w:r>
      <w:r w:rsidRPr="001C5CE3">
        <w:rPr>
          <w:rFonts w:ascii="Arial" w:hAnsi="Arial" w:cs="Arial"/>
          <w:b/>
          <w:sz w:val="24"/>
          <w:szCs w:val="24"/>
          <w:lang w:val="en-US"/>
        </w:rPr>
        <w:t xml:space="preserve"> above</w:t>
      </w:r>
      <w:r>
        <w:rPr>
          <w:rFonts w:ascii="Arial" w:hAnsi="Arial" w:cs="Arial"/>
          <w:b/>
          <w:sz w:val="24"/>
          <w:szCs w:val="24"/>
          <w:lang w:val="en-US"/>
        </w:rPr>
        <w:t>)</w:t>
      </w:r>
    </w:p>
    <w:p w:rsidR="0037173B" w:rsidRDefault="00EE0E43" w:rsidP="00AC74BC">
      <w:pPr>
        <w:spacing w:line="480" w:lineRule="auto"/>
        <w:jc w:val="both"/>
        <w:rPr>
          <w:rFonts w:ascii="Arial" w:hAnsi="Arial" w:cs="Arial"/>
          <w:sz w:val="24"/>
          <w:szCs w:val="24"/>
          <w:lang w:val="en-US"/>
        </w:rPr>
      </w:pPr>
      <w:r>
        <w:rPr>
          <w:rFonts w:ascii="Arial" w:hAnsi="Arial" w:cs="Arial"/>
          <w:sz w:val="24"/>
          <w:szCs w:val="24"/>
          <w:lang w:val="en-US"/>
        </w:rPr>
        <w:t xml:space="preserve"> [9</w:t>
      </w:r>
      <w:r w:rsidR="00AC74BC">
        <w:rPr>
          <w:rFonts w:ascii="Arial" w:hAnsi="Arial" w:cs="Arial"/>
          <w:sz w:val="24"/>
          <w:szCs w:val="24"/>
          <w:lang w:val="en-US"/>
        </w:rPr>
        <w:t>]</w:t>
      </w:r>
      <w:r w:rsidR="00AC74BC">
        <w:rPr>
          <w:rFonts w:ascii="Arial" w:hAnsi="Arial" w:cs="Arial"/>
          <w:sz w:val="24"/>
          <w:szCs w:val="24"/>
          <w:lang w:val="en-US"/>
        </w:rPr>
        <w:tab/>
        <w:t>The special plea has been amended several times.</w:t>
      </w:r>
      <w:r w:rsidR="001A0A53">
        <w:rPr>
          <w:rFonts w:ascii="Arial" w:hAnsi="Arial" w:cs="Arial"/>
          <w:sz w:val="24"/>
          <w:szCs w:val="24"/>
          <w:lang w:val="en-US"/>
        </w:rPr>
        <w:t xml:space="preserve"> In respect </w:t>
      </w:r>
      <w:r w:rsidR="00A26E47">
        <w:rPr>
          <w:rFonts w:ascii="Arial" w:hAnsi="Arial" w:cs="Arial"/>
          <w:sz w:val="24"/>
          <w:szCs w:val="24"/>
          <w:lang w:val="en-US"/>
        </w:rPr>
        <w:t xml:space="preserve">of </w:t>
      </w:r>
      <w:r w:rsidR="0066245A">
        <w:rPr>
          <w:rFonts w:ascii="Arial" w:hAnsi="Arial" w:cs="Arial"/>
          <w:sz w:val="24"/>
          <w:szCs w:val="24"/>
          <w:lang w:val="en-US"/>
        </w:rPr>
        <w:t>the current</w:t>
      </w:r>
      <w:r w:rsidR="001A0A53">
        <w:rPr>
          <w:rFonts w:ascii="Arial" w:hAnsi="Arial" w:cs="Arial"/>
          <w:sz w:val="24"/>
          <w:szCs w:val="24"/>
          <w:lang w:val="en-US"/>
        </w:rPr>
        <w:t xml:space="preserve"> first ground </w:t>
      </w:r>
      <w:r w:rsidR="008B7050">
        <w:rPr>
          <w:rFonts w:ascii="Arial" w:hAnsi="Arial" w:cs="Arial"/>
          <w:sz w:val="24"/>
          <w:szCs w:val="24"/>
          <w:lang w:val="en-US"/>
        </w:rPr>
        <w:t>that the P</w:t>
      </w:r>
      <w:r w:rsidR="00A26E47">
        <w:rPr>
          <w:rFonts w:ascii="Arial" w:hAnsi="Arial" w:cs="Arial"/>
          <w:sz w:val="24"/>
          <w:szCs w:val="24"/>
          <w:lang w:val="en-US"/>
        </w:rPr>
        <w:t xml:space="preserve">laintiff did not lodge a valid claim in terms of the MSSA </w:t>
      </w:r>
      <w:r w:rsidR="0066245A">
        <w:rPr>
          <w:rFonts w:ascii="Arial" w:hAnsi="Arial" w:cs="Arial"/>
          <w:sz w:val="24"/>
          <w:szCs w:val="24"/>
          <w:lang w:val="en-US"/>
        </w:rPr>
        <w:t>timeously, in</w:t>
      </w:r>
      <w:r w:rsidR="00A26E47">
        <w:rPr>
          <w:rFonts w:ascii="Arial" w:hAnsi="Arial" w:cs="Arial"/>
          <w:sz w:val="24"/>
          <w:szCs w:val="24"/>
          <w:lang w:val="en-US"/>
        </w:rPr>
        <w:t xml:space="preserve"> her first special plea of prescription as amended the second defendant inter alia pleaded that:</w:t>
      </w:r>
    </w:p>
    <w:p w:rsidR="00947FF7" w:rsidRDefault="005B756F" w:rsidP="00624B34">
      <w:pPr>
        <w:spacing w:line="480" w:lineRule="auto"/>
        <w:ind w:left="720"/>
        <w:jc w:val="both"/>
        <w:rPr>
          <w:rFonts w:ascii="Arial" w:hAnsi="Arial" w:cs="Arial"/>
          <w:sz w:val="24"/>
          <w:szCs w:val="24"/>
          <w:lang w:val="en-US"/>
        </w:rPr>
      </w:pPr>
      <w:r>
        <w:rPr>
          <w:rFonts w:ascii="Arial" w:hAnsi="Arial" w:cs="Arial"/>
          <w:sz w:val="24"/>
          <w:szCs w:val="24"/>
          <w:lang w:val="en-US"/>
        </w:rPr>
        <w:t xml:space="preserve">9.1 </w:t>
      </w:r>
      <w:r w:rsidR="00B75DEE">
        <w:rPr>
          <w:rFonts w:ascii="Arial" w:hAnsi="Arial" w:cs="Arial"/>
          <w:sz w:val="24"/>
          <w:szCs w:val="24"/>
          <w:lang w:val="en-US"/>
        </w:rPr>
        <w:t xml:space="preserve"> </w:t>
      </w:r>
      <w:r>
        <w:rPr>
          <w:rFonts w:ascii="Arial" w:hAnsi="Arial" w:cs="Arial"/>
          <w:sz w:val="24"/>
          <w:szCs w:val="24"/>
          <w:lang w:val="en-US"/>
        </w:rPr>
        <w:t>T</w:t>
      </w:r>
      <w:r w:rsidR="00947FF7">
        <w:rPr>
          <w:rFonts w:ascii="Arial" w:hAnsi="Arial" w:cs="Arial"/>
          <w:sz w:val="24"/>
          <w:szCs w:val="24"/>
          <w:lang w:val="en-US"/>
        </w:rPr>
        <w:t xml:space="preserve">he </w:t>
      </w:r>
      <w:r w:rsidR="00F5220B">
        <w:rPr>
          <w:rFonts w:ascii="Arial" w:hAnsi="Arial" w:cs="Arial"/>
          <w:sz w:val="24"/>
          <w:szCs w:val="24"/>
          <w:lang w:val="en-US"/>
        </w:rPr>
        <w:t>F</w:t>
      </w:r>
      <w:r w:rsidR="00A16BD6">
        <w:rPr>
          <w:rFonts w:ascii="Arial" w:hAnsi="Arial" w:cs="Arial"/>
          <w:sz w:val="24"/>
          <w:szCs w:val="24"/>
          <w:lang w:val="en-US"/>
        </w:rPr>
        <w:t xml:space="preserve">irst </w:t>
      </w:r>
      <w:r w:rsidR="00F5220B">
        <w:rPr>
          <w:rFonts w:ascii="Arial" w:hAnsi="Arial" w:cs="Arial"/>
          <w:sz w:val="24"/>
          <w:szCs w:val="24"/>
          <w:lang w:val="en-US"/>
        </w:rPr>
        <w:t>P</w:t>
      </w:r>
      <w:r w:rsidR="00947FF7">
        <w:rPr>
          <w:rFonts w:ascii="Arial" w:hAnsi="Arial" w:cs="Arial"/>
          <w:sz w:val="24"/>
          <w:szCs w:val="24"/>
          <w:lang w:val="en-US"/>
        </w:rPr>
        <w:t>laintiff filed a claim against the deceased estate on 26 March 2014 and that the running of prescription was delayed in terms of section 13 (1) (g) of the Administration of Estates Act 66 of 1965;</w:t>
      </w:r>
    </w:p>
    <w:p w:rsidR="00947FF7" w:rsidRDefault="005B756F" w:rsidP="00624B34">
      <w:pPr>
        <w:spacing w:line="480" w:lineRule="auto"/>
        <w:ind w:left="720"/>
        <w:jc w:val="both"/>
        <w:rPr>
          <w:rFonts w:ascii="Arial" w:hAnsi="Arial" w:cs="Arial"/>
          <w:sz w:val="24"/>
          <w:szCs w:val="24"/>
          <w:lang w:val="en-US"/>
        </w:rPr>
      </w:pPr>
      <w:r>
        <w:rPr>
          <w:rFonts w:ascii="Arial" w:hAnsi="Arial" w:cs="Arial"/>
          <w:sz w:val="24"/>
          <w:szCs w:val="24"/>
          <w:lang w:val="en-US"/>
        </w:rPr>
        <w:t>9</w:t>
      </w:r>
      <w:r w:rsidR="00947FF7">
        <w:rPr>
          <w:rFonts w:ascii="Arial" w:hAnsi="Arial" w:cs="Arial"/>
          <w:sz w:val="24"/>
          <w:szCs w:val="24"/>
          <w:lang w:val="en-US"/>
        </w:rPr>
        <w:t>.2</w:t>
      </w:r>
      <w:r w:rsidR="00B75DEE">
        <w:rPr>
          <w:rFonts w:ascii="Arial" w:hAnsi="Arial" w:cs="Arial"/>
          <w:sz w:val="24"/>
          <w:szCs w:val="24"/>
          <w:lang w:val="en-US"/>
        </w:rPr>
        <w:t xml:space="preserve">  </w:t>
      </w:r>
      <w:r w:rsidR="00947FF7">
        <w:rPr>
          <w:rFonts w:ascii="Arial" w:hAnsi="Arial" w:cs="Arial"/>
          <w:sz w:val="24"/>
          <w:szCs w:val="24"/>
          <w:lang w:val="en-US"/>
        </w:rPr>
        <w:t xml:space="preserve"> Demari Phister on behalf of the First Defendant on 1 October 2013 in writing notified the first plaintiff’s attorney that any claim for maintenance as a surviving spouse will not be entertained.</w:t>
      </w:r>
    </w:p>
    <w:p w:rsidR="00A701D4" w:rsidRDefault="00C76FC3" w:rsidP="00AC74BC">
      <w:pPr>
        <w:spacing w:line="480" w:lineRule="auto"/>
        <w:jc w:val="both"/>
        <w:rPr>
          <w:rFonts w:ascii="Arial" w:hAnsi="Arial" w:cs="Arial"/>
          <w:sz w:val="24"/>
          <w:szCs w:val="24"/>
          <w:lang w:val="en-US"/>
        </w:rPr>
      </w:pPr>
      <w:r>
        <w:rPr>
          <w:rFonts w:ascii="Arial" w:hAnsi="Arial" w:cs="Arial"/>
          <w:sz w:val="24"/>
          <w:szCs w:val="24"/>
          <w:lang w:val="en-US"/>
        </w:rPr>
        <w:t>[</w:t>
      </w:r>
      <w:r w:rsidR="00624B34">
        <w:rPr>
          <w:rFonts w:ascii="Arial" w:hAnsi="Arial" w:cs="Arial"/>
          <w:sz w:val="24"/>
          <w:szCs w:val="24"/>
          <w:lang w:val="en-US"/>
        </w:rPr>
        <w:t>10]</w:t>
      </w:r>
      <w:r w:rsidR="00624B34">
        <w:rPr>
          <w:rFonts w:ascii="Arial" w:hAnsi="Arial" w:cs="Arial"/>
          <w:sz w:val="24"/>
          <w:szCs w:val="24"/>
          <w:lang w:val="en-US"/>
        </w:rPr>
        <w:tab/>
      </w:r>
      <w:r w:rsidR="00A701D4">
        <w:rPr>
          <w:rFonts w:ascii="Arial" w:hAnsi="Arial" w:cs="Arial"/>
          <w:sz w:val="24"/>
          <w:szCs w:val="24"/>
          <w:lang w:val="en-US"/>
        </w:rPr>
        <w:t>An exception</w:t>
      </w:r>
      <w:r w:rsidR="005B756F">
        <w:rPr>
          <w:rFonts w:ascii="Arial" w:hAnsi="Arial" w:cs="Arial"/>
          <w:sz w:val="24"/>
          <w:szCs w:val="24"/>
          <w:lang w:val="en-US"/>
        </w:rPr>
        <w:t xml:space="preserve"> taken by the P</w:t>
      </w:r>
      <w:r w:rsidR="00E85D4A">
        <w:rPr>
          <w:rFonts w:ascii="Arial" w:hAnsi="Arial" w:cs="Arial"/>
          <w:sz w:val="24"/>
          <w:szCs w:val="24"/>
          <w:lang w:val="en-US"/>
        </w:rPr>
        <w:t>laintiff</w:t>
      </w:r>
      <w:r w:rsidR="00A701D4">
        <w:rPr>
          <w:rFonts w:ascii="Arial" w:hAnsi="Arial" w:cs="Arial"/>
          <w:sz w:val="24"/>
          <w:szCs w:val="24"/>
          <w:lang w:val="en-US"/>
        </w:rPr>
        <w:t xml:space="preserve"> to what was </w:t>
      </w:r>
      <w:r w:rsidR="00787884">
        <w:rPr>
          <w:rFonts w:ascii="Arial" w:hAnsi="Arial" w:cs="Arial"/>
          <w:sz w:val="24"/>
          <w:szCs w:val="24"/>
          <w:lang w:val="en-US"/>
        </w:rPr>
        <w:t>pleaded above</w:t>
      </w:r>
      <w:r w:rsidR="00A701D4">
        <w:rPr>
          <w:rFonts w:ascii="Arial" w:hAnsi="Arial" w:cs="Arial"/>
          <w:sz w:val="24"/>
          <w:szCs w:val="24"/>
          <w:lang w:val="en-US"/>
        </w:rPr>
        <w:t xml:space="preserve"> was upheld by me in a judgment of 10 August 2022. At paragraph 18 of my judgment I found:</w:t>
      </w:r>
    </w:p>
    <w:p w:rsidR="00A701D4" w:rsidRPr="00624B34" w:rsidRDefault="0066245A" w:rsidP="00624B34">
      <w:pPr>
        <w:spacing w:line="480" w:lineRule="auto"/>
        <w:ind w:left="720"/>
        <w:jc w:val="both"/>
        <w:rPr>
          <w:rFonts w:ascii="Arial" w:hAnsi="Arial" w:cs="Arial"/>
          <w:i/>
          <w:lang w:val="en-US"/>
        </w:rPr>
      </w:pPr>
      <w:r w:rsidRPr="00624B34">
        <w:rPr>
          <w:rFonts w:ascii="Arial" w:hAnsi="Arial" w:cs="Arial"/>
          <w:i/>
          <w:lang w:val="en-US"/>
        </w:rPr>
        <w:t>“Section</w:t>
      </w:r>
      <w:r w:rsidR="00A701D4" w:rsidRPr="00624B34">
        <w:rPr>
          <w:rFonts w:ascii="Arial" w:hAnsi="Arial" w:cs="Arial"/>
          <w:i/>
          <w:lang w:val="en-US"/>
        </w:rPr>
        <w:t xml:space="preserve"> 33 of the Administration of Estates Act does not give an executor powers to exclude a party from submitting a claim or stating a claim cannot be entertained, as occurre</w:t>
      </w:r>
      <w:r w:rsidR="005B756F" w:rsidRPr="00624B34">
        <w:rPr>
          <w:rFonts w:ascii="Arial" w:hAnsi="Arial" w:cs="Arial"/>
          <w:i/>
          <w:lang w:val="en-US"/>
        </w:rPr>
        <w:t>d in the letter of 2013 to the F</w:t>
      </w:r>
      <w:r w:rsidR="00A701D4" w:rsidRPr="00624B34">
        <w:rPr>
          <w:rFonts w:ascii="Arial" w:hAnsi="Arial" w:cs="Arial"/>
          <w:i/>
          <w:lang w:val="en-US"/>
        </w:rPr>
        <w:t>i</w:t>
      </w:r>
      <w:r w:rsidR="005B756F" w:rsidRPr="00624B34">
        <w:rPr>
          <w:rFonts w:ascii="Arial" w:hAnsi="Arial" w:cs="Arial"/>
          <w:i/>
          <w:lang w:val="en-US"/>
        </w:rPr>
        <w:t>rst P</w:t>
      </w:r>
      <w:r w:rsidR="00A701D4" w:rsidRPr="00624B34">
        <w:rPr>
          <w:rFonts w:ascii="Arial" w:hAnsi="Arial" w:cs="Arial"/>
          <w:i/>
          <w:lang w:val="en-US"/>
        </w:rPr>
        <w:t xml:space="preserve">laintiff.” </w:t>
      </w:r>
    </w:p>
    <w:p w:rsidR="00E85D4A" w:rsidRDefault="00E85D4A" w:rsidP="00AC74BC">
      <w:pPr>
        <w:spacing w:line="480" w:lineRule="auto"/>
        <w:jc w:val="both"/>
        <w:rPr>
          <w:rFonts w:ascii="Arial" w:hAnsi="Arial" w:cs="Arial"/>
          <w:sz w:val="24"/>
          <w:szCs w:val="24"/>
          <w:lang w:val="en-US"/>
        </w:rPr>
      </w:pPr>
      <w:r>
        <w:rPr>
          <w:rFonts w:ascii="Arial" w:hAnsi="Arial" w:cs="Arial"/>
          <w:sz w:val="24"/>
          <w:szCs w:val="24"/>
          <w:lang w:val="en-US"/>
        </w:rPr>
        <w:lastRenderedPageBreak/>
        <w:t>[</w:t>
      </w:r>
      <w:r w:rsidR="00EE0E43">
        <w:rPr>
          <w:rFonts w:ascii="Arial" w:hAnsi="Arial" w:cs="Arial"/>
          <w:sz w:val="24"/>
          <w:szCs w:val="24"/>
          <w:lang w:val="en-US"/>
        </w:rPr>
        <w:t>11</w:t>
      </w:r>
      <w:r>
        <w:rPr>
          <w:rFonts w:ascii="Arial" w:hAnsi="Arial" w:cs="Arial"/>
          <w:sz w:val="24"/>
          <w:szCs w:val="24"/>
          <w:lang w:val="en-US"/>
        </w:rPr>
        <w:t>]</w:t>
      </w:r>
      <w:r w:rsidR="0066245A">
        <w:rPr>
          <w:rFonts w:ascii="Arial" w:hAnsi="Arial" w:cs="Arial"/>
          <w:sz w:val="24"/>
          <w:szCs w:val="24"/>
          <w:lang w:val="en-US"/>
        </w:rPr>
        <w:tab/>
      </w:r>
      <w:r>
        <w:rPr>
          <w:rFonts w:ascii="Arial" w:hAnsi="Arial" w:cs="Arial"/>
          <w:sz w:val="24"/>
          <w:szCs w:val="24"/>
          <w:lang w:val="en-US"/>
        </w:rPr>
        <w:t>Following my judgment</w:t>
      </w:r>
      <w:r w:rsidR="00EE0E43">
        <w:rPr>
          <w:rFonts w:ascii="Arial" w:hAnsi="Arial" w:cs="Arial"/>
          <w:sz w:val="24"/>
          <w:szCs w:val="24"/>
          <w:lang w:val="en-US"/>
        </w:rPr>
        <w:t xml:space="preserve"> </w:t>
      </w:r>
      <w:r w:rsidR="00382DD6">
        <w:rPr>
          <w:rFonts w:ascii="Arial" w:hAnsi="Arial" w:cs="Arial"/>
          <w:sz w:val="24"/>
          <w:szCs w:val="24"/>
          <w:lang w:val="en-US"/>
        </w:rPr>
        <w:t>the Second D</w:t>
      </w:r>
      <w:r>
        <w:rPr>
          <w:rFonts w:ascii="Arial" w:hAnsi="Arial" w:cs="Arial"/>
          <w:sz w:val="24"/>
          <w:szCs w:val="24"/>
          <w:lang w:val="en-US"/>
        </w:rPr>
        <w:t xml:space="preserve">efendant further amended the special plea on 30 June 2023 to the effect that a purported claim was lodged by the Plaintiff, rejected in terms of ss 33 of the </w:t>
      </w:r>
      <w:r w:rsidR="005B756F">
        <w:rPr>
          <w:rFonts w:ascii="Arial" w:hAnsi="Arial" w:cs="Arial"/>
          <w:sz w:val="24"/>
          <w:szCs w:val="24"/>
          <w:lang w:val="en-US"/>
        </w:rPr>
        <w:t>Administration of Estates Act 66 of 1965 (“the Estates Act),</w:t>
      </w:r>
      <w:r>
        <w:rPr>
          <w:rFonts w:ascii="Arial" w:hAnsi="Arial" w:cs="Arial"/>
          <w:sz w:val="24"/>
          <w:szCs w:val="24"/>
          <w:lang w:val="en-US"/>
        </w:rPr>
        <w:t xml:space="preserve"> and resubmitted.</w:t>
      </w:r>
    </w:p>
    <w:p w:rsidR="00E85D4A" w:rsidRDefault="00E85D4A" w:rsidP="00AC74BC">
      <w:pPr>
        <w:spacing w:line="480" w:lineRule="auto"/>
        <w:jc w:val="both"/>
        <w:rPr>
          <w:rFonts w:ascii="Arial" w:hAnsi="Arial" w:cs="Arial"/>
          <w:sz w:val="24"/>
          <w:szCs w:val="24"/>
          <w:lang w:val="en-US"/>
        </w:rPr>
      </w:pPr>
      <w:r>
        <w:rPr>
          <w:rFonts w:ascii="Arial" w:hAnsi="Arial" w:cs="Arial"/>
          <w:sz w:val="24"/>
          <w:szCs w:val="24"/>
          <w:lang w:val="en-US"/>
        </w:rPr>
        <w:t>[</w:t>
      </w:r>
      <w:r w:rsidR="0066245A">
        <w:rPr>
          <w:rFonts w:ascii="Arial" w:hAnsi="Arial" w:cs="Arial"/>
          <w:sz w:val="24"/>
          <w:szCs w:val="24"/>
          <w:lang w:val="en-US"/>
        </w:rPr>
        <w:t>12]</w:t>
      </w:r>
      <w:r w:rsidR="0066245A">
        <w:rPr>
          <w:rFonts w:ascii="Arial" w:hAnsi="Arial" w:cs="Arial"/>
          <w:sz w:val="24"/>
          <w:szCs w:val="24"/>
          <w:lang w:val="en-US"/>
        </w:rPr>
        <w:tab/>
      </w:r>
      <w:r>
        <w:rPr>
          <w:rFonts w:ascii="Arial" w:hAnsi="Arial" w:cs="Arial"/>
          <w:sz w:val="24"/>
          <w:szCs w:val="24"/>
          <w:lang w:val="en-US"/>
        </w:rPr>
        <w:t>The special plea</w:t>
      </w:r>
      <w:r w:rsidR="00382DD6">
        <w:rPr>
          <w:rFonts w:ascii="Arial" w:hAnsi="Arial" w:cs="Arial"/>
          <w:sz w:val="24"/>
          <w:szCs w:val="24"/>
          <w:lang w:val="en-US"/>
        </w:rPr>
        <w:t xml:space="preserve"> on this issue </w:t>
      </w:r>
      <w:r>
        <w:rPr>
          <w:rFonts w:ascii="Arial" w:hAnsi="Arial" w:cs="Arial"/>
          <w:sz w:val="24"/>
          <w:szCs w:val="24"/>
          <w:lang w:val="en-US"/>
        </w:rPr>
        <w:t xml:space="preserve">  was further amended on 29 August 2023 to the effect that if the notification in </w:t>
      </w:r>
      <w:r w:rsidR="0066245A">
        <w:rPr>
          <w:rFonts w:ascii="Arial" w:hAnsi="Arial" w:cs="Arial"/>
          <w:sz w:val="24"/>
          <w:szCs w:val="24"/>
          <w:lang w:val="en-US"/>
        </w:rPr>
        <w:t>September and</w:t>
      </w:r>
      <w:r>
        <w:rPr>
          <w:rFonts w:ascii="Arial" w:hAnsi="Arial" w:cs="Arial"/>
          <w:sz w:val="24"/>
          <w:szCs w:val="24"/>
          <w:lang w:val="en-US"/>
        </w:rPr>
        <w:t xml:space="preserve"> October 2013</w:t>
      </w:r>
      <w:r w:rsidR="00F67425">
        <w:rPr>
          <w:rFonts w:ascii="Arial" w:hAnsi="Arial" w:cs="Arial"/>
          <w:sz w:val="24"/>
          <w:szCs w:val="24"/>
          <w:lang w:val="en-US"/>
        </w:rPr>
        <w:t xml:space="preserve"> </w:t>
      </w:r>
      <w:r>
        <w:rPr>
          <w:rFonts w:ascii="Arial" w:hAnsi="Arial" w:cs="Arial"/>
          <w:sz w:val="24"/>
          <w:szCs w:val="24"/>
          <w:lang w:val="en-US"/>
        </w:rPr>
        <w:t>does not constitute a rejection for purposes of ss 33 (1) of the Estates Act</w:t>
      </w:r>
      <w:r w:rsidR="00F67425">
        <w:rPr>
          <w:rFonts w:ascii="Arial" w:hAnsi="Arial" w:cs="Arial"/>
          <w:sz w:val="24"/>
          <w:szCs w:val="24"/>
          <w:lang w:val="en-US"/>
        </w:rPr>
        <w:t xml:space="preserve">, it gave unequivocal notice to the plaintiff that she was not a surviving </w:t>
      </w:r>
      <w:r w:rsidR="00382DD6">
        <w:rPr>
          <w:rFonts w:ascii="Arial" w:hAnsi="Arial" w:cs="Arial"/>
          <w:sz w:val="24"/>
          <w:szCs w:val="24"/>
          <w:lang w:val="en-US"/>
        </w:rPr>
        <w:t>spouse. As the plaintiff had no</w:t>
      </w:r>
      <w:r w:rsidR="00F67425">
        <w:rPr>
          <w:rFonts w:ascii="Arial" w:hAnsi="Arial" w:cs="Arial"/>
          <w:sz w:val="24"/>
          <w:szCs w:val="24"/>
          <w:lang w:val="en-US"/>
        </w:rPr>
        <w:t xml:space="preserve"> entitlement to claim, the first defendant did not entertain the purported claim and was not required to take any step in terms of the Estate Act.</w:t>
      </w:r>
    </w:p>
    <w:p w:rsidR="00F67425" w:rsidRDefault="00F67425" w:rsidP="00AC74BC">
      <w:pPr>
        <w:spacing w:line="480" w:lineRule="auto"/>
        <w:jc w:val="both"/>
        <w:rPr>
          <w:rFonts w:ascii="Arial" w:hAnsi="Arial" w:cs="Arial"/>
          <w:sz w:val="24"/>
          <w:szCs w:val="24"/>
          <w:lang w:val="en-US"/>
        </w:rPr>
      </w:pPr>
      <w:r>
        <w:rPr>
          <w:rFonts w:ascii="Arial" w:hAnsi="Arial" w:cs="Arial"/>
          <w:sz w:val="24"/>
          <w:szCs w:val="24"/>
          <w:lang w:val="en-US"/>
        </w:rPr>
        <w:t>[</w:t>
      </w:r>
      <w:r w:rsidR="008B7050">
        <w:rPr>
          <w:rFonts w:ascii="Arial" w:hAnsi="Arial" w:cs="Arial"/>
          <w:sz w:val="24"/>
          <w:szCs w:val="24"/>
          <w:lang w:val="en-US"/>
        </w:rPr>
        <w:t>13</w:t>
      </w:r>
      <w:r>
        <w:rPr>
          <w:rFonts w:ascii="Arial" w:hAnsi="Arial" w:cs="Arial"/>
          <w:sz w:val="24"/>
          <w:szCs w:val="24"/>
          <w:lang w:val="en-US"/>
        </w:rPr>
        <w:t>]</w:t>
      </w:r>
      <w:r w:rsidR="0066245A">
        <w:rPr>
          <w:rFonts w:ascii="Arial" w:hAnsi="Arial" w:cs="Arial"/>
          <w:sz w:val="24"/>
          <w:szCs w:val="24"/>
          <w:lang w:val="en-US"/>
        </w:rPr>
        <w:tab/>
      </w:r>
      <w:r w:rsidR="005B756F">
        <w:rPr>
          <w:rFonts w:ascii="Arial" w:hAnsi="Arial" w:cs="Arial"/>
          <w:sz w:val="24"/>
          <w:szCs w:val="24"/>
          <w:lang w:val="en-US"/>
        </w:rPr>
        <w:t>In the Second D</w:t>
      </w:r>
      <w:r>
        <w:rPr>
          <w:rFonts w:ascii="Arial" w:hAnsi="Arial" w:cs="Arial"/>
          <w:sz w:val="24"/>
          <w:szCs w:val="24"/>
          <w:lang w:val="en-US"/>
        </w:rPr>
        <w:t xml:space="preserve">efendant’s heads of argument of 16 October 2023, she abandoned the special plea based on the contention that the executor rejected the </w:t>
      </w:r>
      <w:r w:rsidR="00A16BD6">
        <w:rPr>
          <w:rFonts w:ascii="Arial" w:hAnsi="Arial" w:cs="Arial"/>
          <w:sz w:val="24"/>
          <w:szCs w:val="24"/>
          <w:lang w:val="en-US"/>
        </w:rPr>
        <w:t>P</w:t>
      </w:r>
      <w:r>
        <w:rPr>
          <w:rFonts w:ascii="Arial" w:hAnsi="Arial" w:cs="Arial"/>
          <w:sz w:val="24"/>
          <w:szCs w:val="24"/>
          <w:lang w:val="en-US"/>
        </w:rPr>
        <w:t>laintiff’s claim in September/October2013.</w:t>
      </w:r>
    </w:p>
    <w:p w:rsidR="00F67425" w:rsidRDefault="00F67425" w:rsidP="00AC74BC">
      <w:pPr>
        <w:spacing w:line="480" w:lineRule="auto"/>
        <w:jc w:val="both"/>
        <w:rPr>
          <w:rFonts w:ascii="Arial" w:hAnsi="Arial" w:cs="Arial"/>
          <w:sz w:val="24"/>
          <w:szCs w:val="24"/>
          <w:lang w:val="en-US"/>
        </w:rPr>
      </w:pPr>
      <w:r>
        <w:rPr>
          <w:rFonts w:ascii="Arial" w:hAnsi="Arial" w:cs="Arial"/>
          <w:sz w:val="24"/>
          <w:szCs w:val="24"/>
          <w:lang w:val="en-US"/>
        </w:rPr>
        <w:t>[</w:t>
      </w:r>
      <w:r w:rsidR="008B7050">
        <w:rPr>
          <w:rFonts w:ascii="Arial" w:hAnsi="Arial" w:cs="Arial"/>
          <w:sz w:val="24"/>
          <w:szCs w:val="24"/>
          <w:lang w:val="en-US"/>
        </w:rPr>
        <w:t>14</w:t>
      </w:r>
      <w:r>
        <w:rPr>
          <w:rFonts w:ascii="Arial" w:hAnsi="Arial" w:cs="Arial"/>
          <w:sz w:val="24"/>
          <w:szCs w:val="24"/>
          <w:lang w:val="en-US"/>
        </w:rPr>
        <w:t>]</w:t>
      </w:r>
      <w:r w:rsidR="0066245A">
        <w:rPr>
          <w:rFonts w:ascii="Arial" w:hAnsi="Arial" w:cs="Arial"/>
          <w:sz w:val="24"/>
          <w:szCs w:val="24"/>
          <w:lang w:val="en-US"/>
        </w:rPr>
        <w:tab/>
      </w:r>
      <w:r>
        <w:rPr>
          <w:rFonts w:ascii="Arial" w:hAnsi="Arial" w:cs="Arial"/>
          <w:sz w:val="24"/>
          <w:szCs w:val="24"/>
          <w:lang w:val="en-US"/>
        </w:rPr>
        <w:t xml:space="preserve">The Second </w:t>
      </w:r>
      <w:r w:rsidR="0066245A">
        <w:rPr>
          <w:rFonts w:ascii="Arial" w:hAnsi="Arial" w:cs="Arial"/>
          <w:sz w:val="24"/>
          <w:szCs w:val="24"/>
          <w:lang w:val="en-US"/>
        </w:rPr>
        <w:t>Defendant in</w:t>
      </w:r>
      <w:r w:rsidR="00C76FC3">
        <w:rPr>
          <w:rFonts w:ascii="Arial" w:hAnsi="Arial" w:cs="Arial"/>
          <w:sz w:val="24"/>
          <w:szCs w:val="24"/>
          <w:lang w:val="en-US"/>
        </w:rPr>
        <w:t xml:space="preserve"> raising prescription, </w:t>
      </w:r>
      <w:r>
        <w:rPr>
          <w:rFonts w:ascii="Arial" w:hAnsi="Arial" w:cs="Arial"/>
          <w:sz w:val="24"/>
          <w:szCs w:val="24"/>
          <w:lang w:val="en-US"/>
        </w:rPr>
        <w:t xml:space="preserve">has thus </w:t>
      </w:r>
      <w:r w:rsidR="0066245A">
        <w:rPr>
          <w:rFonts w:ascii="Arial" w:hAnsi="Arial" w:cs="Arial"/>
          <w:sz w:val="24"/>
          <w:szCs w:val="24"/>
          <w:lang w:val="en-US"/>
        </w:rPr>
        <w:t>changed her</w:t>
      </w:r>
      <w:r>
        <w:rPr>
          <w:rFonts w:ascii="Arial" w:hAnsi="Arial" w:cs="Arial"/>
          <w:sz w:val="24"/>
          <w:szCs w:val="24"/>
          <w:lang w:val="en-US"/>
        </w:rPr>
        <w:t xml:space="preserve"> mind several times from her initial stance that a claim was</w:t>
      </w:r>
      <w:r w:rsidR="00C76FC3">
        <w:rPr>
          <w:rFonts w:ascii="Arial" w:hAnsi="Arial" w:cs="Arial"/>
          <w:sz w:val="24"/>
          <w:szCs w:val="24"/>
          <w:lang w:val="en-US"/>
        </w:rPr>
        <w:t xml:space="preserve"> not</w:t>
      </w:r>
      <w:r>
        <w:rPr>
          <w:rFonts w:ascii="Arial" w:hAnsi="Arial" w:cs="Arial"/>
          <w:sz w:val="24"/>
          <w:szCs w:val="24"/>
          <w:lang w:val="en-US"/>
        </w:rPr>
        <w:t xml:space="preserve"> lodged</w:t>
      </w:r>
      <w:r w:rsidR="005B756F">
        <w:rPr>
          <w:rFonts w:ascii="Arial" w:hAnsi="Arial" w:cs="Arial"/>
          <w:sz w:val="24"/>
          <w:szCs w:val="24"/>
          <w:lang w:val="en-US"/>
        </w:rPr>
        <w:t xml:space="preserve"> </w:t>
      </w:r>
      <w:r w:rsidR="00C76FC3">
        <w:rPr>
          <w:rFonts w:ascii="Arial" w:hAnsi="Arial" w:cs="Arial"/>
          <w:sz w:val="24"/>
          <w:szCs w:val="24"/>
          <w:lang w:val="en-US"/>
        </w:rPr>
        <w:t>timeously</w:t>
      </w:r>
      <w:r>
        <w:rPr>
          <w:rFonts w:ascii="Arial" w:hAnsi="Arial" w:cs="Arial"/>
          <w:sz w:val="24"/>
          <w:szCs w:val="24"/>
          <w:lang w:val="en-US"/>
        </w:rPr>
        <w:t xml:space="preserve"> to her current stance that no valid claim was </w:t>
      </w:r>
      <w:r w:rsidR="00624B34">
        <w:rPr>
          <w:rFonts w:ascii="Arial" w:hAnsi="Arial" w:cs="Arial"/>
          <w:sz w:val="24"/>
          <w:szCs w:val="24"/>
          <w:lang w:val="en-US"/>
        </w:rPr>
        <w:t>lodged at</w:t>
      </w:r>
      <w:r w:rsidR="005B756F">
        <w:rPr>
          <w:rFonts w:ascii="Arial" w:hAnsi="Arial" w:cs="Arial"/>
          <w:sz w:val="24"/>
          <w:szCs w:val="24"/>
          <w:lang w:val="en-US"/>
        </w:rPr>
        <w:t xml:space="preserve"> all.</w:t>
      </w:r>
      <w:r>
        <w:rPr>
          <w:rFonts w:ascii="Arial" w:hAnsi="Arial" w:cs="Arial"/>
          <w:sz w:val="24"/>
          <w:szCs w:val="24"/>
          <w:lang w:val="en-US"/>
        </w:rPr>
        <w:t xml:space="preserve"> </w:t>
      </w:r>
    </w:p>
    <w:p w:rsidR="00C76FC3" w:rsidRPr="001C5CE3" w:rsidRDefault="008B7050" w:rsidP="00C76FC3">
      <w:pPr>
        <w:spacing w:line="480" w:lineRule="auto"/>
        <w:jc w:val="both"/>
        <w:rPr>
          <w:rFonts w:ascii="Arial" w:hAnsi="Arial" w:cs="Arial"/>
          <w:b/>
          <w:sz w:val="24"/>
          <w:szCs w:val="24"/>
          <w:lang w:val="en-US"/>
        </w:rPr>
      </w:pPr>
      <w:r>
        <w:rPr>
          <w:rFonts w:ascii="Arial" w:hAnsi="Arial" w:cs="Arial"/>
          <w:b/>
          <w:sz w:val="24"/>
          <w:szCs w:val="24"/>
          <w:lang w:val="en-US"/>
        </w:rPr>
        <w:t>The</w:t>
      </w:r>
      <w:r w:rsidR="00C76FC3" w:rsidRPr="001C5CE3">
        <w:rPr>
          <w:rFonts w:ascii="Arial" w:hAnsi="Arial" w:cs="Arial"/>
          <w:b/>
          <w:sz w:val="24"/>
          <w:szCs w:val="24"/>
          <w:lang w:val="en-US"/>
        </w:rPr>
        <w:t xml:space="preserve"> </w:t>
      </w:r>
      <w:r w:rsidR="00DD33B8">
        <w:rPr>
          <w:rFonts w:ascii="Arial" w:hAnsi="Arial" w:cs="Arial"/>
          <w:b/>
          <w:sz w:val="24"/>
          <w:szCs w:val="24"/>
          <w:lang w:val="en-US"/>
        </w:rPr>
        <w:t>second</w:t>
      </w:r>
      <w:r w:rsidR="00C76FC3" w:rsidRPr="001C5CE3">
        <w:rPr>
          <w:rFonts w:ascii="Arial" w:hAnsi="Arial" w:cs="Arial"/>
          <w:b/>
          <w:sz w:val="24"/>
          <w:szCs w:val="24"/>
          <w:lang w:val="en-US"/>
        </w:rPr>
        <w:t xml:space="preserve"> ground</w:t>
      </w:r>
      <w:r w:rsidR="005B756F">
        <w:rPr>
          <w:rFonts w:ascii="Arial" w:hAnsi="Arial" w:cs="Arial"/>
          <w:b/>
          <w:sz w:val="24"/>
          <w:szCs w:val="24"/>
          <w:lang w:val="en-US"/>
        </w:rPr>
        <w:t xml:space="preserve"> of the Special Plea</w:t>
      </w:r>
      <w:r w:rsidR="00C76FC3" w:rsidRPr="001C5CE3">
        <w:rPr>
          <w:rFonts w:ascii="Arial" w:hAnsi="Arial" w:cs="Arial"/>
          <w:b/>
          <w:sz w:val="24"/>
          <w:szCs w:val="24"/>
          <w:lang w:val="en-US"/>
        </w:rPr>
        <w:t xml:space="preserve"> </w:t>
      </w:r>
      <w:r>
        <w:rPr>
          <w:rFonts w:ascii="Arial" w:hAnsi="Arial" w:cs="Arial"/>
          <w:b/>
          <w:sz w:val="24"/>
          <w:szCs w:val="24"/>
          <w:lang w:val="en-US"/>
        </w:rPr>
        <w:t>(</w:t>
      </w:r>
      <w:r w:rsidR="00C76FC3" w:rsidRPr="001C5CE3">
        <w:rPr>
          <w:rFonts w:ascii="Arial" w:hAnsi="Arial" w:cs="Arial"/>
          <w:b/>
          <w:sz w:val="24"/>
          <w:szCs w:val="24"/>
          <w:lang w:val="en-US"/>
        </w:rPr>
        <w:t>para</w:t>
      </w:r>
      <w:r w:rsidR="00F5220B">
        <w:rPr>
          <w:rFonts w:ascii="Arial" w:hAnsi="Arial" w:cs="Arial"/>
          <w:b/>
          <w:sz w:val="24"/>
          <w:szCs w:val="24"/>
          <w:lang w:val="en-US"/>
        </w:rPr>
        <w:t>graph</w:t>
      </w:r>
      <w:r w:rsidR="00C76FC3" w:rsidRPr="001C5CE3">
        <w:rPr>
          <w:rFonts w:ascii="Arial" w:hAnsi="Arial" w:cs="Arial"/>
          <w:b/>
          <w:sz w:val="24"/>
          <w:szCs w:val="24"/>
          <w:lang w:val="en-US"/>
        </w:rPr>
        <w:t xml:space="preserve"> </w:t>
      </w:r>
      <w:r w:rsidR="00F5220B">
        <w:rPr>
          <w:rFonts w:ascii="Arial" w:hAnsi="Arial" w:cs="Arial"/>
          <w:b/>
          <w:sz w:val="24"/>
          <w:szCs w:val="24"/>
          <w:lang w:val="en-US"/>
        </w:rPr>
        <w:t>3</w:t>
      </w:r>
      <w:r w:rsidR="00C76FC3" w:rsidRPr="001C5CE3">
        <w:rPr>
          <w:rFonts w:ascii="Arial" w:hAnsi="Arial" w:cs="Arial"/>
          <w:b/>
          <w:sz w:val="24"/>
          <w:szCs w:val="24"/>
          <w:lang w:val="en-US"/>
        </w:rPr>
        <w:t>.</w:t>
      </w:r>
      <w:r w:rsidR="00DD33B8">
        <w:rPr>
          <w:rFonts w:ascii="Arial" w:hAnsi="Arial" w:cs="Arial"/>
          <w:b/>
          <w:sz w:val="24"/>
          <w:szCs w:val="24"/>
          <w:lang w:val="en-US"/>
        </w:rPr>
        <w:t>2</w:t>
      </w:r>
      <w:r w:rsidR="00C76FC3" w:rsidRPr="001C5CE3">
        <w:rPr>
          <w:rFonts w:ascii="Arial" w:hAnsi="Arial" w:cs="Arial"/>
          <w:b/>
          <w:sz w:val="24"/>
          <w:szCs w:val="24"/>
          <w:lang w:val="en-US"/>
        </w:rPr>
        <w:t xml:space="preserve"> above</w:t>
      </w:r>
      <w:r>
        <w:rPr>
          <w:rFonts w:ascii="Arial" w:hAnsi="Arial" w:cs="Arial"/>
          <w:b/>
          <w:sz w:val="24"/>
          <w:szCs w:val="24"/>
          <w:lang w:val="en-US"/>
        </w:rPr>
        <w:t>)</w:t>
      </w:r>
    </w:p>
    <w:p w:rsidR="00BC3872" w:rsidRDefault="001C5CE3" w:rsidP="00BC3872">
      <w:pPr>
        <w:spacing w:line="480" w:lineRule="auto"/>
        <w:jc w:val="both"/>
        <w:rPr>
          <w:rFonts w:ascii="Arial" w:hAnsi="Arial" w:cs="Arial"/>
          <w:sz w:val="24"/>
          <w:szCs w:val="24"/>
          <w:lang w:val="en-US"/>
        </w:rPr>
      </w:pPr>
      <w:r>
        <w:rPr>
          <w:rFonts w:ascii="Arial" w:hAnsi="Arial" w:cs="Arial"/>
          <w:sz w:val="24"/>
          <w:szCs w:val="24"/>
          <w:lang w:val="en-US"/>
        </w:rPr>
        <w:t>[</w:t>
      </w:r>
      <w:r w:rsidR="008B7050">
        <w:rPr>
          <w:rFonts w:ascii="Arial" w:hAnsi="Arial" w:cs="Arial"/>
          <w:sz w:val="24"/>
          <w:szCs w:val="24"/>
          <w:lang w:val="en-US"/>
        </w:rPr>
        <w:t>15</w:t>
      </w:r>
      <w:r>
        <w:rPr>
          <w:rFonts w:ascii="Arial" w:hAnsi="Arial" w:cs="Arial"/>
          <w:sz w:val="24"/>
          <w:szCs w:val="24"/>
          <w:lang w:val="en-US"/>
        </w:rPr>
        <w:t>]</w:t>
      </w:r>
      <w:r w:rsidR="0066245A">
        <w:rPr>
          <w:rFonts w:ascii="Arial" w:hAnsi="Arial" w:cs="Arial"/>
          <w:sz w:val="24"/>
          <w:szCs w:val="24"/>
          <w:lang w:val="en-US"/>
        </w:rPr>
        <w:tab/>
      </w:r>
      <w:r>
        <w:rPr>
          <w:rFonts w:ascii="Arial" w:hAnsi="Arial" w:cs="Arial"/>
          <w:sz w:val="24"/>
          <w:szCs w:val="24"/>
          <w:lang w:val="en-US"/>
        </w:rPr>
        <w:t>The initial special plea stated that t</w:t>
      </w:r>
      <w:r w:rsidR="008B7050">
        <w:rPr>
          <w:rFonts w:ascii="Arial" w:hAnsi="Arial" w:cs="Arial"/>
          <w:sz w:val="24"/>
          <w:szCs w:val="24"/>
          <w:lang w:val="en-US"/>
        </w:rPr>
        <w:t>he summons was served upon the First D</w:t>
      </w:r>
      <w:r>
        <w:rPr>
          <w:rFonts w:ascii="Arial" w:hAnsi="Arial" w:cs="Arial"/>
          <w:sz w:val="24"/>
          <w:szCs w:val="24"/>
          <w:lang w:val="en-US"/>
        </w:rPr>
        <w:t>efendant in November 2015. It too</w:t>
      </w:r>
      <w:r w:rsidR="008B7050">
        <w:rPr>
          <w:rFonts w:ascii="Arial" w:hAnsi="Arial" w:cs="Arial"/>
          <w:sz w:val="24"/>
          <w:szCs w:val="24"/>
          <w:lang w:val="en-US"/>
        </w:rPr>
        <w:t>k issue with the fact that the First D</w:t>
      </w:r>
      <w:r>
        <w:rPr>
          <w:rFonts w:ascii="Arial" w:hAnsi="Arial" w:cs="Arial"/>
          <w:sz w:val="24"/>
          <w:szCs w:val="24"/>
          <w:lang w:val="en-US"/>
        </w:rPr>
        <w:t>efendant</w:t>
      </w:r>
      <w:r w:rsidR="00891A2A">
        <w:rPr>
          <w:rFonts w:ascii="Arial" w:hAnsi="Arial" w:cs="Arial"/>
          <w:sz w:val="24"/>
          <w:szCs w:val="24"/>
          <w:lang w:val="en-US"/>
        </w:rPr>
        <w:t xml:space="preserve"> was cited as a juristic person and executor, and that in terms of the Estates Act, a juristic entity is barred from acting as an executor. </w:t>
      </w:r>
      <w:r w:rsidR="00D123C5">
        <w:rPr>
          <w:rFonts w:ascii="Arial" w:hAnsi="Arial" w:cs="Arial"/>
          <w:sz w:val="24"/>
          <w:szCs w:val="24"/>
          <w:lang w:val="en-US"/>
        </w:rPr>
        <w:t xml:space="preserve"> It was contended that a</w:t>
      </w:r>
      <w:r w:rsidR="00891A2A">
        <w:rPr>
          <w:rFonts w:ascii="Arial" w:hAnsi="Arial" w:cs="Arial"/>
          <w:sz w:val="24"/>
          <w:szCs w:val="24"/>
          <w:lang w:val="en-US"/>
        </w:rPr>
        <w:t>n amendment to the citation in February 2022 was not made timeously, and hence the claim had prescribed. In my judgment of 10 August 2022 I upheld an exception to these averments in the initial special plea</w:t>
      </w:r>
      <w:r w:rsidR="00BC3872">
        <w:rPr>
          <w:rFonts w:ascii="Arial" w:hAnsi="Arial" w:cs="Arial"/>
          <w:sz w:val="24"/>
          <w:szCs w:val="24"/>
          <w:lang w:val="en-US"/>
        </w:rPr>
        <w:t>.</w:t>
      </w:r>
    </w:p>
    <w:p w:rsidR="00DD04A7" w:rsidRPr="00295868" w:rsidRDefault="00891A2A" w:rsidP="00DD33B8">
      <w:pPr>
        <w:spacing w:line="480" w:lineRule="auto"/>
        <w:jc w:val="both"/>
        <w:rPr>
          <w:rFonts w:ascii="Arial" w:hAnsi="Arial" w:cs="Arial"/>
          <w:sz w:val="24"/>
          <w:szCs w:val="24"/>
          <w:lang w:val="en-US"/>
        </w:rPr>
      </w:pPr>
      <w:r>
        <w:rPr>
          <w:rFonts w:ascii="Arial" w:hAnsi="Arial" w:cs="Arial"/>
          <w:sz w:val="24"/>
          <w:szCs w:val="24"/>
          <w:lang w:val="en-US"/>
        </w:rPr>
        <w:lastRenderedPageBreak/>
        <w:t xml:space="preserve"> </w:t>
      </w:r>
      <w:r w:rsidR="00DD33B8">
        <w:rPr>
          <w:rFonts w:ascii="Arial" w:hAnsi="Arial" w:cs="Arial"/>
          <w:sz w:val="24"/>
          <w:szCs w:val="24"/>
          <w:lang w:val="en-US"/>
        </w:rPr>
        <w:t>[1</w:t>
      </w:r>
      <w:r w:rsidR="00C3212D">
        <w:rPr>
          <w:rFonts w:ascii="Arial" w:hAnsi="Arial" w:cs="Arial"/>
          <w:sz w:val="24"/>
          <w:szCs w:val="24"/>
          <w:lang w:val="en-US"/>
        </w:rPr>
        <w:t>6</w:t>
      </w:r>
      <w:r w:rsidR="00DD33B8">
        <w:rPr>
          <w:rFonts w:ascii="Arial" w:hAnsi="Arial" w:cs="Arial"/>
          <w:sz w:val="24"/>
          <w:szCs w:val="24"/>
          <w:lang w:val="en-US"/>
        </w:rPr>
        <w:t>]</w:t>
      </w:r>
      <w:r w:rsidR="00DD33B8">
        <w:rPr>
          <w:rFonts w:ascii="Arial" w:hAnsi="Arial" w:cs="Arial"/>
          <w:sz w:val="24"/>
          <w:szCs w:val="24"/>
          <w:lang w:val="en-US"/>
        </w:rPr>
        <w:tab/>
        <w:t xml:space="preserve">The </w:t>
      </w:r>
      <w:r w:rsidR="00A16BD6">
        <w:rPr>
          <w:rFonts w:ascii="Arial" w:hAnsi="Arial" w:cs="Arial"/>
          <w:sz w:val="24"/>
          <w:szCs w:val="24"/>
          <w:lang w:val="en-US"/>
        </w:rPr>
        <w:t xml:space="preserve">August 2022 </w:t>
      </w:r>
      <w:r w:rsidR="00DD33B8">
        <w:rPr>
          <w:rFonts w:ascii="Arial" w:hAnsi="Arial" w:cs="Arial"/>
          <w:sz w:val="24"/>
          <w:szCs w:val="24"/>
          <w:lang w:val="en-US"/>
        </w:rPr>
        <w:t xml:space="preserve">judgment states at paragraphs 11 and 12 </w:t>
      </w:r>
      <w:r w:rsidR="00295868">
        <w:rPr>
          <w:rFonts w:ascii="Arial" w:hAnsi="Arial" w:cs="Arial"/>
          <w:sz w:val="24"/>
          <w:szCs w:val="24"/>
          <w:lang w:val="en-US"/>
        </w:rPr>
        <w:t>(</w:t>
      </w:r>
      <w:r w:rsidR="00DD33B8">
        <w:rPr>
          <w:rFonts w:ascii="Arial" w:hAnsi="Arial" w:cs="Arial"/>
          <w:sz w:val="24"/>
          <w:szCs w:val="24"/>
          <w:lang w:val="en-US"/>
        </w:rPr>
        <w:t xml:space="preserve">applying the principles established in </w:t>
      </w:r>
      <w:r w:rsidR="00DD04A7" w:rsidRPr="00787884">
        <w:rPr>
          <w:rFonts w:ascii="Arial" w:hAnsi="Arial" w:cs="Arial"/>
          <w:i/>
          <w:sz w:val="24"/>
          <w:szCs w:val="24"/>
          <w:lang w:val="en-US"/>
        </w:rPr>
        <w:t>Blaauwberg Meat Wholesalers CC v Anglo Dutch Meats (Exports) Ltd</w:t>
      </w:r>
      <w:r w:rsidR="00DD04A7" w:rsidRPr="00787884">
        <w:rPr>
          <w:rStyle w:val="FootnoteReference"/>
          <w:rFonts w:ascii="Arial" w:hAnsi="Arial" w:cs="Arial"/>
          <w:i/>
          <w:sz w:val="24"/>
          <w:szCs w:val="24"/>
          <w:lang w:val="en-US"/>
        </w:rPr>
        <w:footnoteReference w:id="1"/>
      </w:r>
      <w:r w:rsidR="00DD04A7" w:rsidRPr="00787884">
        <w:rPr>
          <w:rFonts w:ascii="Arial" w:hAnsi="Arial" w:cs="Arial"/>
          <w:i/>
          <w:sz w:val="24"/>
          <w:szCs w:val="24"/>
          <w:lang w:val="en-US"/>
        </w:rPr>
        <w:t>, Foxlane Investments v Ultimate Raft Foundation Design</w:t>
      </w:r>
      <w:r w:rsidR="00DD04A7" w:rsidRPr="00787884">
        <w:rPr>
          <w:rStyle w:val="FootnoteReference"/>
          <w:rFonts w:ascii="Arial" w:hAnsi="Arial" w:cs="Arial"/>
          <w:i/>
          <w:sz w:val="24"/>
          <w:szCs w:val="24"/>
          <w:lang w:val="en-US"/>
        </w:rPr>
        <w:footnoteReference w:id="2"/>
      </w:r>
      <w:r w:rsidR="00DD04A7" w:rsidRPr="00787884">
        <w:rPr>
          <w:rFonts w:ascii="Arial" w:hAnsi="Arial" w:cs="Arial"/>
          <w:i/>
          <w:sz w:val="24"/>
          <w:szCs w:val="24"/>
          <w:lang w:val="en-US"/>
        </w:rPr>
        <w:t>, Macsteel Tube and Pipe, a division of Macsteel Service Centres SA (Pty) Ltd v Vowles Properties (Pty) Ltd</w:t>
      </w:r>
      <w:r w:rsidR="00DD04A7" w:rsidRPr="00787884">
        <w:rPr>
          <w:rStyle w:val="FootnoteReference"/>
          <w:rFonts w:ascii="Arial" w:hAnsi="Arial" w:cs="Arial"/>
          <w:i/>
          <w:sz w:val="24"/>
          <w:szCs w:val="24"/>
          <w:lang w:val="en-US"/>
        </w:rPr>
        <w:footnoteReference w:id="3"/>
      </w:r>
      <w:r w:rsidR="00295868" w:rsidRPr="00787884">
        <w:rPr>
          <w:rFonts w:ascii="Arial" w:hAnsi="Arial" w:cs="Arial"/>
          <w:i/>
          <w:sz w:val="24"/>
          <w:szCs w:val="24"/>
          <w:lang w:val="en-US"/>
        </w:rPr>
        <w:t>):</w:t>
      </w:r>
    </w:p>
    <w:p w:rsidR="00DD33B8" w:rsidRPr="00946BFD" w:rsidRDefault="00624B34" w:rsidP="00DD04A7">
      <w:pPr>
        <w:spacing w:line="480" w:lineRule="auto"/>
        <w:ind w:left="720"/>
        <w:jc w:val="both"/>
        <w:rPr>
          <w:rFonts w:ascii="Arial" w:hAnsi="Arial" w:cs="Arial"/>
          <w:i/>
          <w:iCs/>
          <w:lang w:val="en-US"/>
        </w:rPr>
      </w:pPr>
      <w:r w:rsidRPr="00946BFD">
        <w:rPr>
          <w:rFonts w:ascii="Arial" w:hAnsi="Arial" w:cs="Arial"/>
          <w:lang w:val="en-US"/>
        </w:rPr>
        <w:t>“[</w:t>
      </w:r>
      <w:r w:rsidR="00DD33B8" w:rsidRPr="00946BFD">
        <w:rPr>
          <w:rFonts w:ascii="Arial" w:hAnsi="Arial" w:cs="Arial"/>
          <w:lang w:val="en-US"/>
        </w:rPr>
        <w:t xml:space="preserve">11] </w:t>
      </w:r>
      <w:r w:rsidR="00DD33B8" w:rsidRPr="00624B34">
        <w:rPr>
          <w:rFonts w:ascii="Arial" w:hAnsi="Arial" w:cs="Arial"/>
          <w:i/>
          <w:lang w:val="en-US"/>
        </w:rPr>
        <w:t>I agree with Mr Hathorn that the principle stated in</w:t>
      </w:r>
      <w:r w:rsidR="00DD33B8" w:rsidRPr="00946BFD">
        <w:rPr>
          <w:rFonts w:ascii="Arial" w:hAnsi="Arial" w:cs="Arial"/>
          <w:lang w:val="en-US"/>
        </w:rPr>
        <w:t xml:space="preserve"> </w:t>
      </w:r>
      <w:r w:rsidR="00DD33B8" w:rsidRPr="00946BFD">
        <w:rPr>
          <w:rFonts w:ascii="Arial" w:hAnsi="Arial" w:cs="Arial"/>
          <w:i/>
          <w:iCs/>
          <w:lang w:val="en-US"/>
        </w:rPr>
        <w:t>Blaauwberg, Foxlake</w:t>
      </w:r>
      <w:r w:rsidR="00A16BD6">
        <w:rPr>
          <w:rFonts w:ascii="Arial" w:hAnsi="Arial" w:cs="Arial"/>
          <w:i/>
          <w:iCs/>
          <w:lang w:val="en-US"/>
        </w:rPr>
        <w:t xml:space="preserve"> </w:t>
      </w:r>
      <w:r w:rsidR="00DD33B8" w:rsidRPr="00946BFD">
        <w:rPr>
          <w:rFonts w:ascii="Arial" w:hAnsi="Arial" w:cs="Arial"/>
          <w:i/>
          <w:iCs/>
          <w:lang w:val="en-US"/>
        </w:rPr>
        <w:t xml:space="preserve">and </w:t>
      </w:r>
      <w:r w:rsidR="00DD33B8" w:rsidRPr="00946BFD">
        <w:rPr>
          <w:rFonts w:ascii="Arial" w:hAnsi="Arial" w:cs="Arial"/>
          <w:lang w:val="en-US"/>
        </w:rPr>
        <w:t>Macsteel is directly applicab</w:t>
      </w:r>
      <w:r w:rsidR="00DD33B8" w:rsidRPr="00946BFD">
        <w:rPr>
          <w:rFonts w:ascii="Arial" w:hAnsi="Arial" w:cs="Arial"/>
          <w:i/>
          <w:iCs/>
          <w:lang w:val="en-US"/>
        </w:rPr>
        <w:t>le in the present matter, and dispositive of the question whether the special plea discloses a defence.</w:t>
      </w:r>
      <w:r w:rsidR="00DD33B8" w:rsidRPr="00946BFD">
        <w:rPr>
          <w:rFonts w:ascii="Arial" w:hAnsi="Arial" w:cs="Arial"/>
          <w:i/>
          <w:lang w:val="en-US"/>
        </w:rPr>
        <w:t xml:space="preserve"> The citation in the November 2015 summons leaves no doubt that the claim was directed against FNB (Trust Services). It was clear from the particulars of claim that the entity the First Plaintiff sought to hold liable was the executor of the deceased estate of the late Naziem Benjamin. The   details of the creditor and the claims against it were clear as was stated in Blaauwberg;</w:t>
      </w:r>
    </w:p>
    <w:p w:rsidR="00DD33B8" w:rsidRPr="00946BFD" w:rsidRDefault="00DD33B8" w:rsidP="00DD33B8">
      <w:pPr>
        <w:spacing w:line="480" w:lineRule="auto"/>
        <w:ind w:left="720"/>
        <w:jc w:val="both"/>
        <w:rPr>
          <w:rFonts w:ascii="Arial" w:hAnsi="Arial" w:cs="Arial"/>
          <w:i/>
          <w:lang w:val="en-US"/>
        </w:rPr>
      </w:pPr>
      <w:r w:rsidRPr="00946BFD">
        <w:rPr>
          <w:rFonts w:ascii="Arial" w:hAnsi="Arial" w:cs="Arial"/>
          <w:i/>
          <w:lang w:val="en-US"/>
        </w:rPr>
        <w:t>[12] Consequently, the 11 February 2022 amendment which was granted, correcting the citation,</w:t>
      </w:r>
      <w:r w:rsidR="00946BFD" w:rsidRPr="00946BFD">
        <w:rPr>
          <w:rFonts w:ascii="Arial" w:hAnsi="Arial" w:cs="Arial"/>
          <w:i/>
          <w:lang w:val="en-US"/>
        </w:rPr>
        <w:t xml:space="preserve"> amounts to no more than the correcting of a misnomer. I accept </w:t>
      </w:r>
      <w:r w:rsidR="007D2495" w:rsidRPr="00946BFD">
        <w:rPr>
          <w:rFonts w:ascii="Arial" w:hAnsi="Arial" w:cs="Arial"/>
          <w:i/>
          <w:lang w:val="en-US"/>
        </w:rPr>
        <w:t>that the</w:t>
      </w:r>
      <w:r w:rsidR="00946BFD" w:rsidRPr="00946BFD">
        <w:rPr>
          <w:rFonts w:ascii="Arial" w:hAnsi="Arial" w:cs="Arial"/>
          <w:i/>
          <w:lang w:val="en-US"/>
        </w:rPr>
        <w:t xml:space="preserve"> summons and particulars of claim were not so defective that the shortcoming could not be corrected by an amendment, which I note was unopposed. </w:t>
      </w:r>
      <w:r w:rsidRPr="00946BFD">
        <w:rPr>
          <w:rFonts w:ascii="Arial" w:hAnsi="Arial" w:cs="Arial"/>
          <w:i/>
          <w:lang w:val="en-US"/>
        </w:rPr>
        <w:t xml:space="preserve">There can be no doubt that the </w:t>
      </w:r>
      <w:r w:rsidR="00946BFD" w:rsidRPr="00946BFD">
        <w:rPr>
          <w:rFonts w:ascii="Arial" w:hAnsi="Arial" w:cs="Arial"/>
          <w:i/>
          <w:lang w:val="en-US"/>
        </w:rPr>
        <w:t>D</w:t>
      </w:r>
      <w:r w:rsidRPr="00946BFD">
        <w:rPr>
          <w:rFonts w:ascii="Arial" w:hAnsi="Arial" w:cs="Arial"/>
          <w:i/>
          <w:lang w:val="en-US"/>
        </w:rPr>
        <w:t>efendants recognized their connection with the claim given</w:t>
      </w:r>
      <w:r w:rsidR="00946BFD" w:rsidRPr="00946BFD">
        <w:rPr>
          <w:rFonts w:ascii="Arial" w:hAnsi="Arial" w:cs="Arial"/>
          <w:i/>
          <w:lang w:val="en-US"/>
        </w:rPr>
        <w:t xml:space="preserve"> their filing of a plea in March 2017</w:t>
      </w:r>
      <w:r w:rsidRPr="00946BFD">
        <w:rPr>
          <w:rFonts w:ascii="Arial" w:hAnsi="Arial" w:cs="Arial"/>
          <w:i/>
          <w:lang w:val="en-US"/>
        </w:rPr>
        <w:t>,</w:t>
      </w:r>
      <w:r w:rsidR="00946BFD" w:rsidRPr="00946BFD">
        <w:rPr>
          <w:rFonts w:ascii="Arial" w:hAnsi="Arial" w:cs="Arial"/>
          <w:i/>
          <w:lang w:val="en-US"/>
        </w:rPr>
        <w:t>participation in a lengthy trial before the Special Plea was filed in March 2022, and the First Defendant filing a notice to abide at the outset of the proceedings.”</w:t>
      </w:r>
    </w:p>
    <w:p w:rsidR="007938F9" w:rsidRDefault="00C3212D" w:rsidP="00AC74BC">
      <w:pPr>
        <w:spacing w:line="480" w:lineRule="auto"/>
        <w:jc w:val="both"/>
        <w:rPr>
          <w:rFonts w:ascii="Arial" w:hAnsi="Arial" w:cs="Arial"/>
          <w:iCs/>
          <w:sz w:val="24"/>
          <w:szCs w:val="24"/>
          <w:lang w:val="en-US"/>
        </w:rPr>
      </w:pPr>
      <w:r>
        <w:rPr>
          <w:rFonts w:ascii="Arial" w:hAnsi="Arial" w:cs="Arial"/>
          <w:iCs/>
          <w:sz w:val="24"/>
          <w:szCs w:val="24"/>
          <w:lang w:val="en-US"/>
        </w:rPr>
        <w:t xml:space="preserve">[17]     </w:t>
      </w:r>
      <w:r w:rsidR="008B7050">
        <w:rPr>
          <w:rFonts w:ascii="Arial" w:hAnsi="Arial" w:cs="Arial"/>
          <w:iCs/>
          <w:sz w:val="24"/>
          <w:szCs w:val="24"/>
          <w:lang w:val="en-US"/>
        </w:rPr>
        <w:t>The above</w:t>
      </w:r>
      <w:r w:rsidR="00A16BD6">
        <w:rPr>
          <w:rFonts w:ascii="Arial" w:hAnsi="Arial" w:cs="Arial"/>
          <w:iCs/>
          <w:sz w:val="24"/>
          <w:szCs w:val="24"/>
          <w:lang w:val="en-US"/>
        </w:rPr>
        <w:t xml:space="preserve"> factual</w:t>
      </w:r>
      <w:r w:rsidR="008B7050">
        <w:rPr>
          <w:rFonts w:ascii="Arial" w:hAnsi="Arial" w:cs="Arial"/>
          <w:iCs/>
          <w:sz w:val="24"/>
          <w:szCs w:val="24"/>
          <w:lang w:val="en-US"/>
        </w:rPr>
        <w:t xml:space="preserve"> findings do not appear to </w:t>
      </w:r>
      <w:r w:rsidR="0066245A">
        <w:rPr>
          <w:rFonts w:ascii="Arial" w:hAnsi="Arial" w:cs="Arial"/>
          <w:iCs/>
          <w:sz w:val="24"/>
          <w:szCs w:val="24"/>
          <w:lang w:val="en-US"/>
        </w:rPr>
        <w:t>be disputed</w:t>
      </w:r>
      <w:r w:rsidR="008B7050">
        <w:rPr>
          <w:rFonts w:ascii="Arial" w:hAnsi="Arial" w:cs="Arial"/>
          <w:iCs/>
          <w:sz w:val="24"/>
          <w:szCs w:val="24"/>
          <w:lang w:val="en-US"/>
        </w:rPr>
        <w:t xml:space="preserve"> in the Second Defendant’s submiss</w:t>
      </w:r>
      <w:r w:rsidR="00393C3A">
        <w:rPr>
          <w:rFonts w:ascii="Arial" w:hAnsi="Arial" w:cs="Arial"/>
          <w:iCs/>
          <w:sz w:val="24"/>
          <w:szCs w:val="24"/>
          <w:lang w:val="en-US"/>
        </w:rPr>
        <w:t>ions</w:t>
      </w:r>
      <w:r w:rsidR="008B7050">
        <w:rPr>
          <w:rFonts w:ascii="Arial" w:hAnsi="Arial" w:cs="Arial"/>
          <w:iCs/>
          <w:sz w:val="24"/>
          <w:szCs w:val="24"/>
          <w:lang w:val="en-US"/>
        </w:rPr>
        <w:t xml:space="preserve"> in this </w:t>
      </w:r>
      <w:r w:rsidR="0066245A">
        <w:rPr>
          <w:rFonts w:ascii="Arial" w:hAnsi="Arial" w:cs="Arial"/>
          <w:iCs/>
          <w:sz w:val="24"/>
          <w:szCs w:val="24"/>
          <w:lang w:val="en-US"/>
        </w:rPr>
        <w:t>application.</w:t>
      </w:r>
      <w:r w:rsidR="00393C3A">
        <w:rPr>
          <w:rFonts w:ascii="Arial" w:hAnsi="Arial" w:cs="Arial"/>
          <w:iCs/>
          <w:sz w:val="24"/>
          <w:szCs w:val="24"/>
          <w:lang w:val="en-US"/>
        </w:rPr>
        <w:t xml:space="preserve"> I note also that</w:t>
      </w:r>
      <w:r w:rsidR="008B7050">
        <w:rPr>
          <w:rFonts w:ascii="Arial" w:hAnsi="Arial" w:cs="Arial"/>
          <w:iCs/>
          <w:sz w:val="24"/>
          <w:szCs w:val="24"/>
          <w:lang w:val="en-US"/>
        </w:rPr>
        <w:t xml:space="preserve"> </w:t>
      </w:r>
      <w:r w:rsidR="008C0B23">
        <w:rPr>
          <w:rFonts w:ascii="Arial" w:hAnsi="Arial" w:cs="Arial"/>
          <w:iCs/>
          <w:sz w:val="24"/>
          <w:szCs w:val="24"/>
          <w:lang w:val="en-US"/>
        </w:rPr>
        <w:t xml:space="preserve">my judgment stated that </w:t>
      </w:r>
      <w:r w:rsidR="008C0B23">
        <w:rPr>
          <w:rFonts w:ascii="Arial" w:hAnsi="Arial" w:cs="Arial"/>
          <w:iCs/>
          <w:sz w:val="24"/>
          <w:szCs w:val="24"/>
          <w:lang w:val="en-US"/>
        </w:rPr>
        <w:lastRenderedPageBreak/>
        <w:t xml:space="preserve">in the event of the exceptions to the two special pleas being </w:t>
      </w:r>
      <w:r w:rsidR="0066245A">
        <w:rPr>
          <w:rFonts w:ascii="Arial" w:hAnsi="Arial" w:cs="Arial"/>
          <w:iCs/>
          <w:sz w:val="24"/>
          <w:szCs w:val="24"/>
          <w:lang w:val="en-US"/>
        </w:rPr>
        <w:t>upheld,</w:t>
      </w:r>
      <w:r w:rsidR="008C0B23">
        <w:rPr>
          <w:rFonts w:ascii="Arial" w:hAnsi="Arial" w:cs="Arial"/>
          <w:iCs/>
          <w:sz w:val="24"/>
          <w:szCs w:val="24"/>
          <w:lang w:val="en-US"/>
        </w:rPr>
        <w:t xml:space="preserve"> as they were,</w:t>
      </w:r>
      <w:r w:rsidR="007938F9">
        <w:rPr>
          <w:rFonts w:ascii="Arial" w:hAnsi="Arial" w:cs="Arial"/>
          <w:iCs/>
          <w:sz w:val="24"/>
          <w:szCs w:val="24"/>
          <w:lang w:val="en-US"/>
        </w:rPr>
        <w:t xml:space="preserve"> </w:t>
      </w:r>
      <w:r w:rsidR="008C0B23">
        <w:rPr>
          <w:rFonts w:ascii="Arial" w:hAnsi="Arial" w:cs="Arial"/>
          <w:iCs/>
          <w:sz w:val="24"/>
          <w:szCs w:val="24"/>
          <w:lang w:val="en-US"/>
        </w:rPr>
        <w:t xml:space="preserve">those special pleas stood to be dismissed. </w:t>
      </w:r>
    </w:p>
    <w:p w:rsidR="00947FF7" w:rsidRPr="008C0B23" w:rsidRDefault="007938F9" w:rsidP="00AC74BC">
      <w:pPr>
        <w:spacing w:line="480" w:lineRule="auto"/>
        <w:jc w:val="both"/>
        <w:rPr>
          <w:rFonts w:ascii="Arial" w:hAnsi="Arial" w:cs="Arial"/>
          <w:iCs/>
          <w:sz w:val="24"/>
          <w:szCs w:val="24"/>
          <w:lang w:val="en-US"/>
        </w:rPr>
      </w:pPr>
      <w:r>
        <w:rPr>
          <w:rFonts w:ascii="Arial" w:hAnsi="Arial" w:cs="Arial"/>
          <w:iCs/>
          <w:sz w:val="24"/>
          <w:szCs w:val="24"/>
          <w:lang w:val="en-US"/>
        </w:rPr>
        <w:t>[</w:t>
      </w:r>
      <w:r w:rsidR="008B7050">
        <w:rPr>
          <w:rFonts w:ascii="Arial" w:hAnsi="Arial" w:cs="Arial"/>
          <w:iCs/>
          <w:sz w:val="24"/>
          <w:szCs w:val="24"/>
          <w:lang w:val="en-US"/>
        </w:rPr>
        <w:t>1</w:t>
      </w:r>
      <w:r w:rsidR="00C3212D">
        <w:rPr>
          <w:rFonts w:ascii="Arial" w:hAnsi="Arial" w:cs="Arial"/>
          <w:iCs/>
          <w:sz w:val="24"/>
          <w:szCs w:val="24"/>
          <w:lang w:val="en-US"/>
        </w:rPr>
        <w:t>8</w:t>
      </w:r>
      <w:r w:rsidR="00624B34">
        <w:rPr>
          <w:rFonts w:ascii="Arial" w:hAnsi="Arial" w:cs="Arial"/>
          <w:iCs/>
          <w:sz w:val="24"/>
          <w:szCs w:val="24"/>
          <w:lang w:val="en-US"/>
        </w:rPr>
        <w:t>]</w:t>
      </w:r>
      <w:r w:rsidR="00624B34">
        <w:rPr>
          <w:rFonts w:ascii="Arial" w:hAnsi="Arial" w:cs="Arial"/>
          <w:iCs/>
          <w:sz w:val="24"/>
          <w:szCs w:val="24"/>
          <w:lang w:val="en-US"/>
        </w:rPr>
        <w:tab/>
      </w:r>
      <w:r w:rsidR="008C0B23">
        <w:rPr>
          <w:rFonts w:ascii="Arial" w:hAnsi="Arial" w:cs="Arial"/>
          <w:iCs/>
          <w:sz w:val="24"/>
          <w:szCs w:val="24"/>
          <w:lang w:val="en-US"/>
        </w:rPr>
        <w:t>As aforementioned, following the judgment of 10 August 2022</w:t>
      </w:r>
      <w:r w:rsidR="008B7050">
        <w:rPr>
          <w:rFonts w:ascii="Arial" w:hAnsi="Arial" w:cs="Arial"/>
          <w:iCs/>
          <w:sz w:val="24"/>
          <w:szCs w:val="24"/>
          <w:lang w:val="en-US"/>
        </w:rPr>
        <w:t xml:space="preserve"> upholding the exceptions, the Second </w:t>
      </w:r>
      <w:r w:rsidR="0066245A">
        <w:rPr>
          <w:rFonts w:ascii="Arial" w:hAnsi="Arial" w:cs="Arial"/>
          <w:iCs/>
          <w:sz w:val="24"/>
          <w:szCs w:val="24"/>
          <w:lang w:val="en-US"/>
        </w:rPr>
        <w:t>Defendant filed</w:t>
      </w:r>
      <w:r w:rsidR="008C0B23">
        <w:rPr>
          <w:rFonts w:ascii="Arial" w:hAnsi="Arial" w:cs="Arial"/>
          <w:iCs/>
          <w:sz w:val="24"/>
          <w:szCs w:val="24"/>
          <w:lang w:val="en-US"/>
        </w:rPr>
        <w:t xml:space="preserve"> an amended special plea on 30 June</w:t>
      </w:r>
      <w:r w:rsidR="00B06780">
        <w:rPr>
          <w:rFonts w:ascii="Arial" w:hAnsi="Arial" w:cs="Arial"/>
          <w:iCs/>
          <w:sz w:val="24"/>
          <w:szCs w:val="24"/>
          <w:lang w:val="en-US"/>
        </w:rPr>
        <w:t xml:space="preserve"> 2023</w:t>
      </w:r>
      <w:r w:rsidR="008C0B23">
        <w:rPr>
          <w:rFonts w:ascii="Arial" w:hAnsi="Arial" w:cs="Arial"/>
          <w:iCs/>
          <w:sz w:val="24"/>
          <w:szCs w:val="24"/>
          <w:lang w:val="en-US"/>
        </w:rPr>
        <w:t>, where</w:t>
      </w:r>
      <w:r w:rsidR="00CC7041">
        <w:rPr>
          <w:rFonts w:ascii="Arial" w:hAnsi="Arial" w:cs="Arial"/>
          <w:iCs/>
          <w:sz w:val="24"/>
          <w:szCs w:val="24"/>
          <w:lang w:val="en-US"/>
        </w:rPr>
        <w:t>,</w:t>
      </w:r>
      <w:r w:rsidR="008C0B23">
        <w:rPr>
          <w:rFonts w:ascii="Arial" w:hAnsi="Arial" w:cs="Arial"/>
          <w:iCs/>
          <w:sz w:val="24"/>
          <w:szCs w:val="24"/>
          <w:lang w:val="en-US"/>
        </w:rPr>
        <w:t xml:space="preserve"> in an about turn she stated there had been no service in terms of Section 15(1) </w:t>
      </w:r>
      <w:r w:rsidR="00B06780">
        <w:rPr>
          <w:rFonts w:ascii="Arial" w:hAnsi="Arial" w:cs="Arial"/>
          <w:iCs/>
          <w:sz w:val="24"/>
          <w:szCs w:val="24"/>
          <w:lang w:val="en-US"/>
        </w:rPr>
        <w:t>of the Prescription Act on the First D</w:t>
      </w:r>
      <w:r w:rsidR="008C0B23">
        <w:rPr>
          <w:rFonts w:ascii="Arial" w:hAnsi="Arial" w:cs="Arial"/>
          <w:iCs/>
          <w:sz w:val="24"/>
          <w:szCs w:val="24"/>
          <w:lang w:val="en-US"/>
        </w:rPr>
        <w:t>efendant executor of the deceased estate.</w:t>
      </w:r>
      <w:r w:rsidR="00E51BDE">
        <w:rPr>
          <w:rFonts w:ascii="Arial" w:hAnsi="Arial" w:cs="Arial"/>
          <w:iCs/>
          <w:sz w:val="24"/>
          <w:szCs w:val="24"/>
          <w:lang w:val="en-US"/>
        </w:rPr>
        <w:t xml:space="preserve"> She also averred that </w:t>
      </w:r>
      <w:r>
        <w:rPr>
          <w:rFonts w:ascii="Arial" w:hAnsi="Arial" w:cs="Arial"/>
          <w:iCs/>
          <w:sz w:val="24"/>
          <w:szCs w:val="24"/>
          <w:lang w:val="en-US"/>
        </w:rPr>
        <w:t>in terms of Section 16 (</w:t>
      </w:r>
      <w:r w:rsidR="0066245A">
        <w:rPr>
          <w:rFonts w:ascii="Arial" w:hAnsi="Arial" w:cs="Arial"/>
          <w:iCs/>
          <w:sz w:val="24"/>
          <w:szCs w:val="24"/>
          <w:lang w:val="en-US"/>
        </w:rPr>
        <w:t>a) of</w:t>
      </w:r>
      <w:r w:rsidR="00B06780">
        <w:rPr>
          <w:rFonts w:ascii="Arial" w:hAnsi="Arial" w:cs="Arial"/>
          <w:iCs/>
          <w:sz w:val="24"/>
          <w:szCs w:val="24"/>
          <w:lang w:val="en-US"/>
        </w:rPr>
        <w:t xml:space="preserve"> the Estates Act</w:t>
      </w:r>
      <w:r w:rsidR="00CC7041">
        <w:rPr>
          <w:rFonts w:ascii="Arial" w:hAnsi="Arial" w:cs="Arial"/>
          <w:iCs/>
          <w:sz w:val="24"/>
          <w:szCs w:val="24"/>
          <w:lang w:val="en-US"/>
        </w:rPr>
        <w:t xml:space="preserve">, </w:t>
      </w:r>
      <w:r w:rsidR="00E51BDE">
        <w:rPr>
          <w:rFonts w:ascii="Arial" w:hAnsi="Arial" w:cs="Arial"/>
          <w:iCs/>
          <w:sz w:val="24"/>
          <w:szCs w:val="24"/>
          <w:lang w:val="en-US"/>
        </w:rPr>
        <w:t xml:space="preserve">a juristic person is </w:t>
      </w:r>
      <w:r>
        <w:rPr>
          <w:rFonts w:ascii="Arial" w:hAnsi="Arial" w:cs="Arial"/>
          <w:iCs/>
          <w:sz w:val="24"/>
          <w:szCs w:val="24"/>
          <w:lang w:val="en-US"/>
        </w:rPr>
        <w:t>barred from acting as an executor in a deceased estate.</w:t>
      </w:r>
    </w:p>
    <w:p w:rsidR="0037173B" w:rsidRPr="00CC7041" w:rsidRDefault="00CC7041" w:rsidP="00AC74BC">
      <w:pPr>
        <w:spacing w:line="480" w:lineRule="auto"/>
        <w:jc w:val="both"/>
        <w:rPr>
          <w:rFonts w:ascii="Arial" w:hAnsi="Arial" w:cs="Arial"/>
          <w:b/>
          <w:sz w:val="24"/>
          <w:szCs w:val="24"/>
          <w:lang w:val="en-US"/>
        </w:rPr>
      </w:pPr>
      <w:r>
        <w:rPr>
          <w:rFonts w:ascii="Arial" w:hAnsi="Arial" w:cs="Arial"/>
          <w:b/>
          <w:sz w:val="24"/>
          <w:szCs w:val="24"/>
          <w:lang w:val="en-US"/>
        </w:rPr>
        <w:t>Evidence</w:t>
      </w:r>
    </w:p>
    <w:p w:rsidR="00294E37" w:rsidRDefault="00CC7041" w:rsidP="00294E37">
      <w:pPr>
        <w:spacing w:line="480" w:lineRule="auto"/>
        <w:jc w:val="both"/>
        <w:rPr>
          <w:rFonts w:ascii="Arial" w:hAnsi="Arial" w:cs="Arial"/>
          <w:sz w:val="24"/>
          <w:szCs w:val="24"/>
          <w:lang w:val="en-US"/>
        </w:rPr>
      </w:pPr>
      <w:r>
        <w:rPr>
          <w:rFonts w:ascii="Arial" w:hAnsi="Arial" w:cs="Arial"/>
          <w:sz w:val="24"/>
          <w:szCs w:val="24"/>
          <w:lang w:val="en-US"/>
        </w:rPr>
        <w:t>[</w:t>
      </w:r>
      <w:r w:rsidR="00C3212D">
        <w:rPr>
          <w:rFonts w:ascii="Arial" w:hAnsi="Arial" w:cs="Arial"/>
          <w:sz w:val="24"/>
          <w:szCs w:val="24"/>
          <w:lang w:val="en-US"/>
        </w:rPr>
        <w:t>19</w:t>
      </w:r>
      <w:r w:rsidR="00294E37">
        <w:rPr>
          <w:rFonts w:ascii="Arial" w:hAnsi="Arial" w:cs="Arial"/>
          <w:sz w:val="24"/>
          <w:szCs w:val="24"/>
          <w:lang w:val="en-US"/>
        </w:rPr>
        <w:t>]</w:t>
      </w:r>
      <w:r w:rsidR="00294E37">
        <w:rPr>
          <w:rFonts w:ascii="Arial" w:hAnsi="Arial" w:cs="Arial"/>
          <w:sz w:val="24"/>
          <w:szCs w:val="24"/>
          <w:lang w:val="en-US"/>
        </w:rPr>
        <w:tab/>
        <w:t>Evidence on aspects raised in the special plea was heard on 24; 29 and 30 August 2023</w:t>
      </w:r>
      <w:r>
        <w:rPr>
          <w:rFonts w:ascii="Arial" w:hAnsi="Arial" w:cs="Arial"/>
          <w:sz w:val="24"/>
          <w:szCs w:val="24"/>
          <w:lang w:val="en-US"/>
        </w:rPr>
        <w:t>,</w:t>
      </w:r>
      <w:r w:rsidR="0046622E" w:rsidRPr="0046622E">
        <w:rPr>
          <w:rFonts w:ascii="Arial" w:hAnsi="Arial" w:cs="Arial"/>
          <w:sz w:val="24"/>
          <w:szCs w:val="24"/>
          <w:lang w:val="en-US"/>
        </w:rPr>
        <w:t xml:space="preserve"> </w:t>
      </w:r>
      <w:r w:rsidR="0046622E">
        <w:rPr>
          <w:rFonts w:ascii="Arial" w:hAnsi="Arial" w:cs="Arial"/>
          <w:sz w:val="24"/>
          <w:szCs w:val="24"/>
          <w:lang w:val="en-US"/>
        </w:rPr>
        <w:t>whereafter the hearing was postponed for ar</w:t>
      </w:r>
      <w:r>
        <w:rPr>
          <w:rFonts w:ascii="Arial" w:hAnsi="Arial" w:cs="Arial"/>
          <w:sz w:val="24"/>
          <w:szCs w:val="24"/>
          <w:lang w:val="en-US"/>
        </w:rPr>
        <w:t>gument to 30 October 2023. The Second D</w:t>
      </w:r>
      <w:r w:rsidR="0046622E">
        <w:rPr>
          <w:rFonts w:ascii="Arial" w:hAnsi="Arial" w:cs="Arial"/>
          <w:sz w:val="24"/>
          <w:szCs w:val="24"/>
          <w:lang w:val="en-US"/>
        </w:rPr>
        <w:t xml:space="preserve">efendant called Ms </w:t>
      </w:r>
      <w:r>
        <w:rPr>
          <w:rFonts w:ascii="Arial" w:hAnsi="Arial" w:cs="Arial"/>
          <w:sz w:val="24"/>
          <w:szCs w:val="24"/>
          <w:lang w:val="en-US"/>
        </w:rPr>
        <w:t>Leandri Spies who oversees the First D</w:t>
      </w:r>
      <w:r w:rsidR="0046622E">
        <w:rPr>
          <w:rFonts w:ascii="Arial" w:hAnsi="Arial" w:cs="Arial"/>
          <w:sz w:val="24"/>
          <w:szCs w:val="24"/>
          <w:lang w:val="en-US"/>
        </w:rPr>
        <w:t xml:space="preserve">efendant’s estate management team, and Ms Demari Pfister </w:t>
      </w:r>
      <w:r>
        <w:rPr>
          <w:rFonts w:ascii="Arial" w:hAnsi="Arial" w:cs="Arial"/>
          <w:sz w:val="24"/>
          <w:szCs w:val="24"/>
          <w:lang w:val="en-US"/>
        </w:rPr>
        <w:t>who had responsibility for the First D</w:t>
      </w:r>
      <w:r w:rsidR="0046622E">
        <w:rPr>
          <w:rFonts w:ascii="Arial" w:hAnsi="Arial" w:cs="Arial"/>
          <w:sz w:val="24"/>
          <w:szCs w:val="24"/>
          <w:lang w:val="en-US"/>
        </w:rPr>
        <w:t>efendant’s executors at the</w:t>
      </w:r>
      <w:r>
        <w:rPr>
          <w:rFonts w:ascii="Arial" w:hAnsi="Arial" w:cs="Arial"/>
          <w:sz w:val="24"/>
          <w:szCs w:val="24"/>
          <w:lang w:val="en-US"/>
        </w:rPr>
        <w:t xml:space="preserve"> relevant</w:t>
      </w:r>
      <w:r w:rsidR="0046622E">
        <w:rPr>
          <w:rFonts w:ascii="Arial" w:hAnsi="Arial" w:cs="Arial"/>
          <w:sz w:val="24"/>
          <w:szCs w:val="24"/>
          <w:lang w:val="en-US"/>
        </w:rPr>
        <w:t xml:space="preserve"> time. For the Plaintiff, Mr Rahin Joseph</w:t>
      </w:r>
      <w:r>
        <w:rPr>
          <w:rFonts w:ascii="Arial" w:hAnsi="Arial" w:cs="Arial"/>
          <w:sz w:val="24"/>
          <w:szCs w:val="24"/>
          <w:lang w:val="en-US"/>
        </w:rPr>
        <w:t>, the Plaintiff’s attorney,</w:t>
      </w:r>
      <w:r w:rsidR="0046622E">
        <w:rPr>
          <w:rFonts w:ascii="Arial" w:hAnsi="Arial" w:cs="Arial"/>
          <w:sz w:val="24"/>
          <w:szCs w:val="24"/>
          <w:lang w:val="en-US"/>
        </w:rPr>
        <w:t xml:space="preserve"> and the Plaintiff herself testified.</w:t>
      </w:r>
      <w:r w:rsidR="00294E37">
        <w:rPr>
          <w:rFonts w:ascii="Arial" w:hAnsi="Arial" w:cs="Arial"/>
          <w:sz w:val="24"/>
          <w:szCs w:val="24"/>
          <w:lang w:val="en-US"/>
        </w:rPr>
        <w:t xml:space="preserve"> </w:t>
      </w:r>
    </w:p>
    <w:p w:rsidR="00E204F3" w:rsidRDefault="00CE6F5F" w:rsidP="00AC74BC">
      <w:pPr>
        <w:spacing w:line="480" w:lineRule="auto"/>
        <w:jc w:val="both"/>
        <w:rPr>
          <w:rFonts w:ascii="Arial" w:hAnsi="Arial" w:cs="Arial"/>
          <w:sz w:val="24"/>
          <w:szCs w:val="24"/>
          <w:lang w:val="en-US"/>
        </w:rPr>
      </w:pPr>
      <w:r>
        <w:rPr>
          <w:rFonts w:ascii="Arial" w:hAnsi="Arial" w:cs="Arial"/>
          <w:sz w:val="24"/>
          <w:szCs w:val="24"/>
          <w:lang w:val="en-US"/>
        </w:rPr>
        <w:t>[</w:t>
      </w:r>
      <w:r w:rsidR="00CC7041">
        <w:rPr>
          <w:rFonts w:ascii="Arial" w:hAnsi="Arial" w:cs="Arial"/>
          <w:sz w:val="24"/>
          <w:szCs w:val="24"/>
          <w:lang w:val="en-US"/>
        </w:rPr>
        <w:t>2</w:t>
      </w:r>
      <w:r w:rsidR="00C3212D">
        <w:rPr>
          <w:rFonts w:ascii="Arial" w:hAnsi="Arial" w:cs="Arial"/>
          <w:sz w:val="24"/>
          <w:szCs w:val="24"/>
          <w:lang w:val="en-US"/>
        </w:rPr>
        <w:t>0</w:t>
      </w:r>
      <w:r>
        <w:rPr>
          <w:rFonts w:ascii="Arial" w:hAnsi="Arial" w:cs="Arial"/>
          <w:sz w:val="24"/>
          <w:szCs w:val="24"/>
          <w:lang w:val="en-US"/>
        </w:rPr>
        <w:t>]</w:t>
      </w:r>
      <w:r w:rsidR="00435D52">
        <w:rPr>
          <w:rFonts w:ascii="Arial" w:hAnsi="Arial" w:cs="Arial"/>
          <w:sz w:val="24"/>
          <w:szCs w:val="24"/>
          <w:lang w:val="en-US"/>
        </w:rPr>
        <w:t xml:space="preserve">     </w:t>
      </w:r>
      <w:r>
        <w:rPr>
          <w:rFonts w:ascii="Arial" w:hAnsi="Arial" w:cs="Arial"/>
          <w:sz w:val="24"/>
          <w:szCs w:val="24"/>
          <w:lang w:val="en-US"/>
        </w:rPr>
        <w:t xml:space="preserve"> </w:t>
      </w:r>
      <w:r w:rsidR="00BB5B76">
        <w:rPr>
          <w:rFonts w:ascii="Arial" w:hAnsi="Arial" w:cs="Arial"/>
          <w:sz w:val="24"/>
          <w:szCs w:val="24"/>
          <w:lang w:val="en-US"/>
        </w:rPr>
        <w:t xml:space="preserve">In respect of the </w:t>
      </w:r>
      <w:r w:rsidR="00624B34">
        <w:rPr>
          <w:rFonts w:ascii="Arial" w:hAnsi="Arial" w:cs="Arial"/>
          <w:sz w:val="24"/>
          <w:szCs w:val="24"/>
          <w:lang w:val="en-US"/>
        </w:rPr>
        <w:t>first ground</w:t>
      </w:r>
      <w:r w:rsidR="00CC7041">
        <w:rPr>
          <w:rFonts w:ascii="Arial" w:hAnsi="Arial" w:cs="Arial"/>
          <w:sz w:val="24"/>
          <w:szCs w:val="24"/>
          <w:lang w:val="en-US"/>
        </w:rPr>
        <w:t xml:space="preserve"> of the special </w:t>
      </w:r>
      <w:r w:rsidR="00624B34">
        <w:rPr>
          <w:rFonts w:ascii="Arial" w:hAnsi="Arial" w:cs="Arial"/>
          <w:sz w:val="24"/>
          <w:szCs w:val="24"/>
          <w:lang w:val="en-US"/>
        </w:rPr>
        <w:t>plea, the</w:t>
      </w:r>
      <w:r w:rsidR="00BB5B76">
        <w:rPr>
          <w:rFonts w:ascii="Arial" w:hAnsi="Arial" w:cs="Arial"/>
          <w:sz w:val="24"/>
          <w:szCs w:val="24"/>
          <w:lang w:val="en-US"/>
        </w:rPr>
        <w:t xml:space="preserve"> evidence of </w:t>
      </w:r>
      <w:r w:rsidR="00BC608D">
        <w:rPr>
          <w:rFonts w:ascii="Arial" w:hAnsi="Arial" w:cs="Arial"/>
          <w:sz w:val="24"/>
          <w:szCs w:val="24"/>
          <w:lang w:val="en-US"/>
        </w:rPr>
        <w:t xml:space="preserve">Leandri Spies </w:t>
      </w:r>
      <w:r w:rsidR="00BB5B76">
        <w:rPr>
          <w:rFonts w:ascii="Arial" w:hAnsi="Arial" w:cs="Arial"/>
          <w:sz w:val="24"/>
          <w:szCs w:val="24"/>
          <w:lang w:val="en-US"/>
        </w:rPr>
        <w:t xml:space="preserve">and </w:t>
      </w:r>
      <w:r w:rsidR="00BC608D">
        <w:rPr>
          <w:rFonts w:ascii="Arial" w:hAnsi="Arial" w:cs="Arial"/>
          <w:sz w:val="24"/>
          <w:szCs w:val="24"/>
          <w:lang w:val="en-US"/>
        </w:rPr>
        <w:t>Demari Pfister was to the effect that</w:t>
      </w:r>
      <w:r w:rsidR="00BB5B76">
        <w:rPr>
          <w:rFonts w:ascii="Arial" w:hAnsi="Arial" w:cs="Arial"/>
          <w:sz w:val="24"/>
          <w:szCs w:val="24"/>
          <w:lang w:val="en-US"/>
        </w:rPr>
        <w:t xml:space="preserve"> no claim was </w:t>
      </w:r>
      <w:r w:rsidR="00624B34">
        <w:rPr>
          <w:rFonts w:ascii="Arial" w:hAnsi="Arial" w:cs="Arial"/>
          <w:sz w:val="24"/>
          <w:szCs w:val="24"/>
          <w:lang w:val="en-US"/>
        </w:rPr>
        <w:t>entertained by</w:t>
      </w:r>
      <w:r>
        <w:rPr>
          <w:rFonts w:ascii="Arial" w:hAnsi="Arial" w:cs="Arial"/>
          <w:sz w:val="24"/>
          <w:szCs w:val="24"/>
          <w:lang w:val="en-US"/>
        </w:rPr>
        <w:t xml:space="preserve"> the First Defendant </w:t>
      </w:r>
      <w:r w:rsidR="00BB5B76">
        <w:rPr>
          <w:rFonts w:ascii="Arial" w:hAnsi="Arial" w:cs="Arial"/>
          <w:sz w:val="24"/>
          <w:szCs w:val="24"/>
          <w:lang w:val="en-US"/>
        </w:rPr>
        <w:t>on behalf of the Plai</w:t>
      </w:r>
      <w:r w:rsidR="00295868">
        <w:rPr>
          <w:rFonts w:ascii="Arial" w:hAnsi="Arial" w:cs="Arial"/>
          <w:sz w:val="24"/>
          <w:szCs w:val="24"/>
          <w:lang w:val="en-US"/>
        </w:rPr>
        <w:t xml:space="preserve">ntiff. This was </w:t>
      </w:r>
      <w:r w:rsidR="00CC7041">
        <w:rPr>
          <w:rFonts w:ascii="Arial" w:hAnsi="Arial" w:cs="Arial"/>
          <w:sz w:val="24"/>
          <w:szCs w:val="24"/>
          <w:lang w:val="en-US"/>
        </w:rPr>
        <w:t>because the First D</w:t>
      </w:r>
      <w:r w:rsidR="00BB5B76">
        <w:rPr>
          <w:rFonts w:ascii="Arial" w:hAnsi="Arial" w:cs="Arial"/>
          <w:sz w:val="24"/>
          <w:szCs w:val="24"/>
          <w:lang w:val="en-US"/>
        </w:rPr>
        <w:t xml:space="preserve">efendant was in possession of a marriage annulment certificate on the basis whereof </w:t>
      </w:r>
      <w:r w:rsidR="00BC608D">
        <w:rPr>
          <w:rFonts w:ascii="Arial" w:hAnsi="Arial" w:cs="Arial"/>
          <w:sz w:val="24"/>
          <w:szCs w:val="24"/>
          <w:lang w:val="en-US"/>
        </w:rPr>
        <w:t xml:space="preserve">it was concluded that </w:t>
      </w:r>
      <w:r w:rsidR="00294E37">
        <w:rPr>
          <w:rFonts w:ascii="Arial" w:hAnsi="Arial" w:cs="Arial"/>
          <w:sz w:val="24"/>
          <w:szCs w:val="24"/>
          <w:lang w:val="en-US"/>
        </w:rPr>
        <w:t>the Plaintiff</w:t>
      </w:r>
      <w:r w:rsidR="00BC608D">
        <w:rPr>
          <w:rFonts w:ascii="Arial" w:hAnsi="Arial" w:cs="Arial"/>
          <w:sz w:val="24"/>
          <w:szCs w:val="24"/>
          <w:lang w:val="en-US"/>
        </w:rPr>
        <w:t xml:space="preserve"> could not be a surviving spouse. </w:t>
      </w:r>
      <w:r w:rsidR="00CB610C">
        <w:rPr>
          <w:rFonts w:ascii="Arial" w:hAnsi="Arial" w:cs="Arial"/>
          <w:sz w:val="24"/>
          <w:szCs w:val="24"/>
          <w:lang w:val="en-US"/>
        </w:rPr>
        <w:t>That concl</w:t>
      </w:r>
      <w:r w:rsidR="00CC7041">
        <w:rPr>
          <w:rFonts w:ascii="Arial" w:hAnsi="Arial" w:cs="Arial"/>
          <w:sz w:val="24"/>
          <w:szCs w:val="24"/>
          <w:lang w:val="en-US"/>
        </w:rPr>
        <w:t>usion had been informed by the First D</w:t>
      </w:r>
      <w:r w:rsidR="00CB610C">
        <w:rPr>
          <w:rFonts w:ascii="Arial" w:hAnsi="Arial" w:cs="Arial"/>
          <w:sz w:val="24"/>
          <w:szCs w:val="24"/>
          <w:lang w:val="en-US"/>
        </w:rPr>
        <w:t xml:space="preserve">efendant’s Sharia law specialist. On 1 </w:t>
      </w:r>
      <w:r w:rsidR="00CC18CC">
        <w:rPr>
          <w:rFonts w:ascii="Arial" w:hAnsi="Arial" w:cs="Arial"/>
          <w:sz w:val="24"/>
          <w:szCs w:val="24"/>
          <w:lang w:val="en-US"/>
        </w:rPr>
        <w:t>October</w:t>
      </w:r>
      <w:r w:rsidR="00071EB4">
        <w:rPr>
          <w:rFonts w:ascii="Arial" w:hAnsi="Arial" w:cs="Arial"/>
          <w:sz w:val="24"/>
          <w:szCs w:val="24"/>
          <w:lang w:val="en-US"/>
        </w:rPr>
        <w:t xml:space="preserve"> 2013</w:t>
      </w:r>
      <w:r w:rsidR="00435D52">
        <w:rPr>
          <w:rFonts w:ascii="Arial" w:hAnsi="Arial" w:cs="Arial"/>
          <w:sz w:val="24"/>
          <w:szCs w:val="24"/>
          <w:lang w:val="en-US"/>
        </w:rPr>
        <w:t>,</w:t>
      </w:r>
      <w:r w:rsidR="00CC18CC">
        <w:rPr>
          <w:rFonts w:ascii="Arial" w:hAnsi="Arial" w:cs="Arial"/>
          <w:sz w:val="24"/>
          <w:szCs w:val="24"/>
          <w:lang w:val="en-US"/>
        </w:rPr>
        <w:t xml:space="preserve"> Ms</w:t>
      </w:r>
      <w:r w:rsidR="00CC7041">
        <w:rPr>
          <w:rFonts w:ascii="Arial" w:hAnsi="Arial" w:cs="Arial"/>
          <w:sz w:val="24"/>
          <w:szCs w:val="24"/>
          <w:lang w:val="en-US"/>
        </w:rPr>
        <w:t xml:space="preserve"> </w:t>
      </w:r>
      <w:r w:rsidR="00CB610C">
        <w:rPr>
          <w:rFonts w:ascii="Arial" w:hAnsi="Arial" w:cs="Arial"/>
          <w:sz w:val="24"/>
          <w:szCs w:val="24"/>
          <w:lang w:val="en-US"/>
        </w:rPr>
        <w:t xml:space="preserve">Pfister wrote to </w:t>
      </w:r>
      <w:r w:rsidR="00E204F3">
        <w:rPr>
          <w:rFonts w:ascii="Arial" w:hAnsi="Arial" w:cs="Arial"/>
          <w:sz w:val="24"/>
          <w:szCs w:val="24"/>
          <w:lang w:val="en-US"/>
        </w:rPr>
        <w:t xml:space="preserve">the </w:t>
      </w:r>
      <w:r w:rsidR="00CB610C">
        <w:rPr>
          <w:rFonts w:ascii="Arial" w:hAnsi="Arial" w:cs="Arial"/>
          <w:sz w:val="24"/>
          <w:szCs w:val="24"/>
          <w:lang w:val="en-US"/>
        </w:rPr>
        <w:t>Plaintiff’s attorney Mr Jo</w:t>
      </w:r>
      <w:r w:rsidR="00E204F3">
        <w:rPr>
          <w:rFonts w:ascii="Arial" w:hAnsi="Arial" w:cs="Arial"/>
          <w:sz w:val="24"/>
          <w:szCs w:val="24"/>
          <w:lang w:val="en-US"/>
        </w:rPr>
        <w:t>s</w:t>
      </w:r>
      <w:r w:rsidR="00CB610C">
        <w:rPr>
          <w:rFonts w:ascii="Arial" w:hAnsi="Arial" w:cs="Arial"/>
          <w:sz w:val="24"/>
          <w:szCs w:val="24"/>
          <w:lang w:val="en-US"/>
        </w:rPr>
        <w:t>eph attaching the annulment certificate,</w:t>
      </w:r>
      <w:r w:rsidR="00CC7041">
        <w:rPr>
          <w:rFonts w:ascii="Arial" w:hAnsi="Arial" w:cs="Arial"/>
          <w:sz w:val="24"/>
          <w:szCs w:val="24"/>
          <w:lang w:val="en-US"/>
        </w:rPr>
        <w:t xml:space="preserve"> and </w:t>
      </w:r>
      <w:r w:rsidR="00CB610C">
        <w:rPr>
          <w:rFonts w:ascii="Arial" w:hAnsi="Arial" w:cs="Arial"/>
          <w:sz w:val="24"/>
          <w:szCs w:val="24"/>
          <w:lang w:val="en-US"/>
        </w:rPr>
        <w:t>stating</w:t>
      </w:r>
      <w:r w:rsidR="00E204F3">
        <w:rPr>
          <w:rFonts w:ascii="Arial" w:hAnsi="Arial" w:cs="Arial"/>
          <w:sz w:val="24"/>
          <w:szCs w:val="24"/>
          <w:lang w:val="en-US"/>
        </w:rPr>
        <w:t>:</w:t>
      </w:r>
    </w:p>
    <w:p w:rsidR="00E204F3" w:rsidRPr="00624B34" w:rsidRDefault="00E204F3" w:rsidP="00624B34">
      <w:pPr>
        <w:spacing w:line="480" w:lineRule="auto"/>
        <w:ind w:left="720" w:firstLine="60"/>
        <w:jc w:val="both"/>
        <w:rPr>
          <w:rFonts w:ascii="Arial" w:hAnsi="Arial" w:cs="Arial"/>
          <w:i/>
          <w:sz w:val="24"/>
          <w:szCs w:val="24"/>
          <w:lang w:val="en-US"/>
        </w:rPr>
      </w:pPr>
      <w:r w:rsidRPr="00624B34">
        <w:rPr>
          <w:rFonts w:ascii="Arial" w:hAnsi="Arial" w:cs="Arial"/>
          <w:i/>
          <w:lang w:val="en-US"/>
        </w:rPr>
        <w:t>“W</w:t>
      </w:r>
      <w:r w:rsidR="00CB610C" w:rsidRPr="00624B34">
        <w:rPr>
          <w:rFonts w:ascii="Arial" w:hAnsi="Arial" w:cs="Arial"/>
          <w:i/>
          <w:lang w:val="en-US"/>
        </w:rPr>
        <w:t>e fail to see on what basis your client claims to be a surviving spouse and will therefore not entertain a claim for maintenance in</w:t>
      </w:r>
      <w:r w:rsidR="00CC7041" w:rsidRPr="00624B34">
        <w:rPr>
          <w:rFonts w:ascii="Arial" w:hAnsi="Arial" w:cs="Arial"/>
          <w:i/>
          <w:lang w:val="en-US"/>
        </w:rPr>
        <w:t xml:space="preserve"> this regard”</w:t>
      </w:r>
      <w:r w:rsidR="00CC7041" w:rsidRPr="00624B34">
        <w:rPr>
          <w:rFonts w:ascii="Arial" w:hAnsi="Arial" w:cs="Arial"/>
          <w:i/>
          <w:sz w:val="24"/>
          <w:szCs w:val="24"/>
          <w:lang w:val="en-US"/>
        </w:rPr>
        <w:t xml:space="preserve"> </w:t>
      </w:r>
    </w:p>
    <w:p w:rsidR="006B6B19" w:rsidRDefault="00C3212D" w:rsidP="00AC74BC">
      <w:pPr>
        <w:spacing w:line="480" w:lineRule="auto"/>
        <w:jc w:val="both"/>
        <w:rPr>
          <w:rFonts w:ascii="Arial" w:hAnsi="Arial" w:cs="Arial"/>
          <w:sz w:val="24"/>
          <w:szCs w:val="24"/>
          <w:lang w:val="en-US"/>
        </w:rPr>
      </w:pPr>
      <w:r>
        <w:rPr>
          <w:rFonts w:ascii="Arial" w:hAnsi="Arial" w:cs="Arial"/>
          <w:sz w:val="24"/>
          <w:szCs w:val="24"/>
          <w:lang w:val="en-US"/>
        </w:rPr>
        <w:lastRenderedPageBreak/>
        <w:t xml:space="preserve">[21]      </w:t>
      </w:r>
      <w:r w:rsidR="00CC7041">
        <w:rPr>
          <w:rFonts w:ascii="Arial" w:hAnsi="Arial" w:cs="Arial"/>
          <w:sz w:val="24"/>
          <w:szCs w:val="24"/>
          <w:lang w:val="en-US"/>
        </w:rPr>
        <w:t>The F</w:t>
      </w:r>
      <w:r w:rsidR="00CB610C">
        <w:rPr>
          <w:rFonts w:ascii="Arial" w:hAnsi="Arial" w:cs="Arial"/>
          <w:sz w:val="24"/>
          <w:szCs w:val="24"/>
          <w:lang w:val="en-US"/>
        </w:rPr>
        <w:t>irs</w:t>
      </w:r>
      <w:r w:rsidR="009950AE">
        <w:rPr>
          <w:rFonts w:ascii="Arial" w:hAnsi="Arial" w:cs="Arial"/>
          <w:sz w:val="24"/>
          <w:szCs w:val="24"/>
          <w:lang w:val="en-US"/>
        </w:rPr>
        <w:t>t</w:t>
      </w:r>
      <w:r w:rsidR="00CC7041">
        <w:rPr>
          <w:rFonts w:ascii="Arial" w:hAnsi="Arial" w:cs="Arial"/>
          <w:sz w:val="24"/>
          <w:szCs w:val="24"/>
          <w:lang w:val="en-US"/>
        </w:rPr>
        <w:t xml:space="preserve"> D</w:t>
      </w:r>
      <w:r w:rsidR="00CB610C">
        <w:rPr>
          <w:rFonts w:ascii="Arial" w:hAnsi="Arial" w:cs="Arial"/>
          <w:sz w:val="24"/>
          <w:szCs w:val="24"/>
          <w:lang w:val="en-US"/>
        </w:rPr>
        <w:t>efendant</w:t>
      </w:r>
      <w:r w:rsidR="00190AE3">
        <w:rPr>
          <w:rFonts w:ascii="Arial" w:hAnsi="Arial" w:cs="Arial"/>
          <w:sz w:val="24"/>
          <w:szCs w:val="24"/>
          <w:lang w:val="en-US"/>
        </w:rPr>
        <w:t>’s stance accordingly,</w:t>
      </w:r>
      <w:r w:rsidR="00BB5B76">
        <w:rPr>
          <w:rFonts w:ascii="Arial" w:hAnsi="Arial" w:cs="Arial"/>
          <w:sz w:val="24"/>
          <w:szCs w:val="24"/>
          <w:lang w:val="en-US"/>
        </w:rPr>
        <w:t xml:space="preserve"> </w:t>
      </w:r>
      <w:r w:rsidR="00CC7041">
        <w:rPr>
          <w:rFonts w:ascii="Arial" w:hAnsi="Arial" w:cs="Arial"/>
          <w:sz w:val="24"/>
          <w:szCs w:val="24"/>
          <w:lang w:val="en-US"/>
        </w:rPr>
        <w:t xml:space="preserve">was that </w:t>
      </w:r>
      <w:r w:rsidR="00CB610C">
        <w:rPr>
          <w:rFonts w:ascii="Arial" w:hAnsi="Arial" w:cs="Arial"/>
          <w:sz w:val="24"/>
          <w:szCs w:val="24"/>
          <w:lang w:val="en-US"/>
        </w:rPr>
        <w:t>t</w:t>
      </w:r>
      <w:r w:rsidR="00CC7041">
        <w:rPr>
          <w:rFonts w:ascii="Arial" w:hAnsi="Arial" w:cs="Arial"/>
          <w:sz w:val="24"/>
          <w:szCs w:val="24"/>
          <w:lang w:val="en-US"/>
        </w:rPr>
        <w:t xml:space="preserve">here </w:t>
      </w:r>
      <w:r w:rsidR="00CC18CC">
        <w:rPr>
          <w:rFonts w:ascii="Arial" w:hAnsi="Arial" w:cs="Arial"/>
          <w:sz w:val="24"/>
          <w:szCs w:val="24"/>
          <w:lang w:val="en-US"/>
        </w:rPr>
        <w:t>was no valid</w:t>
      </w:r>
      <w:r w:rsidR="00CB610C">
        <w:rPr>
          <w:rFonts w:ascii="Arial" w:hAnsi="Arial" w:cs="Arial"/>
          <w:sz w:val="24"/>
          <w:szCs w:val="24"/>
          <w:lang w:val="en-US"/>
        </w:rPr>
        <w:t xml:space="preserve"> </w:t>
      </w:r>
      <w:r w:rsidR="008C7CB3">
        <w:rPr>
          <w:rFonts w:ascii="Arial" w:hAnsi="Arial" w:cs="Arial"/>
          <w:sz w:val="24"/>
          <w:szCs w:val="24"/>
          <w:lang w:val="en-US"/>
        </w:rPr>
        <w:t>claim to investigate, not even a disputed one.</w:t>
      </w:r>
      <w:r w:rsidR="006B6B19">
        <w:rPr>
          <w:rFonts w:ascii="Arial" w:hAnsi="Arial" w:cs="Arial"/>
          <w:sz w:val="24"/>
          <w:szCs w:val="24"/>
          <w:lang w:val="en-US"/>
        </w:rPr>
        <w:t xml:space="preserve"> </w:t>
      </w:r>
    </w:p>
    <w:p w:rsidR="002E10C1" w:rsidRDefault="006B6B19" w:rsidP="00AC74BC">
      <w:pPr>
        <w:spacing w:line="480" w:lineRule="auto"/>
        <w:jc w:val="both"/>
        <w:rPr>
          <w:rFonts w:ascii="Arial" w:hAnsi="Arial" w:cs="Arial"/>
          <w:sz w:val="24"/>
          <w:szCs w:val="24"/>
          <w:lang w:val="en-US"/>
        </w:rPr>
      </w:pPr>
      <w:r>
        <w:rPr>
          <w:rFonts w:ascii="Arial" w:hAnsi="Arial" w:cs="Arial"/>
          <w:sz w:val="24"/>
          <w:szCs w:val="24"/>
          <w:lang w:val="en-US"/>
        </w:rPr>
        <w:t>[</w:t>
      </w:r>
      <w:r w:rsidR="00CC18CC">
        <w:rPr>
          <w:rFonts w:ascii="Arial" w:hAnsi="Arial" w:cs="Arial"/>
          <w:sz w:val="24"/>
          <w:szCs w:val="24"/>
          <w:lang w:val="en-US"/>
        </w:rPr>
        <w:t>22]</w:t>
      </w:r>
      <w:r w:rsidR="00CC18CC">
        <w:rPr>
          <w:rFonts w:ascii="Arial" w:hAnsi="Arial" w:cs="Arial"/>
          <w:sz w:val="24"/>
          <w:szCs w:val="24"/>
          <w:lang w:val="en-US"/>
        </w:rPr>
        <w:tab/>
      </w:r>
      <w:r w:rsidR="00071EB4">
        <w:rPr>
          <w:rFonts w:ascii="Arial" w:hAnsi="Arial" w:cs="Arial"/>
          <w:sz w:val="24"/>
          <w:szCs w:val="24"/>
          <w:lang w:val="en-US"/>
        </w:rPr>
        <w:t>O</w:t>
      </w:r>
      <w:r>
        <w:rPr>
          <w:rFonts w:ascii="Arial" w:hAnsi="Arial" w:cs="Arial"/>
          <w:sz w:val="24"/>
          <w:szCs w:val="24"/>
          <w:lang w:val="en-US"/>
        </w:rPr>
        <w:t xml:space="preserve">n 25 October 2013 Mr Joseph informed Ms Pfister that </w:t>
      </w:r>
      <w:r w:rsidR="00E204F3">
        <w:rPr>
          <w:rFonts w:ascii="Arial" w:hAnsi="Arial" w:cs="Arial"/>
          <w:sz w:val="24"/>
          <w:szCs w:val="24"/>
          <w:lang w:val="en-US"/>
        </w:rPr>
        <w:t>they were</w:t>
      </w:r>
      <w:r w:rsidR="002E10C1">
        <w:rPr>
          <w:rFonts w:ascii="Arial" w:hAnsi="Arial" w:cs="Arial"/>
          <w:sz w:val="24"/>
          <w:szCs w:val="24"/>
          <w:lang w:val="en-US"/>
        </w:rPr>
        <w:t xml:space="preserve"> </w:t>
      </w:r>
      <w:r w:rsidR="00E204F3" w:rsidRPr="00190AE3">
        <w:rPr>
          <w:rFonts w:ascii="Arial" w:hAnsi="Arial" w:cs="Arial"/>
          <w:sz w:val="24"/>
          <w:szCs w:val="24"/>
          <w:lang w:val="en-US"/>
        </w:rPr>
        <w:t>“</w:t>
      </w:r>
      <w:r w:rsidR="002E10C1" w:rsidRPr="00190AE3">
        <w:rPr>
          <w:rFonts w:ascii="Arial" w:hAnsi="Arial" w:cs="Arial"/>
          <w:sz w:val="24"/>
          <w:szCs w:val="24"/>
          <w:lang w:val="en-US"/>
        </w:rPr>
        <w:t xml:space="preserve">formulating our claim for maintenance on behalf of our </w:t>
      </w:r>
      <w:r w:rsidR="00CC18CC" w:rsidRPr="00190AE3">
        <w:rPr>
          <w:rFonts w:ascii="Arial" w:hAnsi="Arial" w:cs="Arial"/>
          <w:sz w:val="24"/>
          <w:szCs w:val="24"/>
          <w:lang w:val="en-US"/>
        </w:rPr>
        <w:t>client</w:t>
      </w:r>
      <w:r w:rsidR="00190AE3">
        <w:rPr>
          <w:rFonts w:ascii="Arial" w:hAnsi="Arial" w:cs="Arial"/>
          <w:sz w:val="24"/>
          <w:szCs w:val="24"/>
          <w:lang w:val="en-US"/>
        </w:rPr>
        <w:t>.</w:t>
      </w:r>
      <w:r w:rsidR="00CC18CC" w:rsidRPr="00190AE3">
        <w:rPr>
          <w:rFonts w:ascii="Arial" w:hAnsi="Arial" w:cs="Arial"/>
          <w:sz w:val="24"/>
          <w:szCs w:val="24"/>
          <w:lang w:val="en-US"/>
        </w:rPr>
        <w:t>”</w:t>
      </w:r>
      <w:r w:rsidR="00CC18CC">
        <w:rPr>
          <w:rFonts w:ascii="Arial" w:hAnsi="Arial" w:cs="Arial"/>
          <w:sz w:val="24"/>
          <w:szCs w:val="24"/>
          <w:lang w:val="en-US"/>
        </w:rPr>
        <w:t xml:space="preserve"> Ms</w:t>
      </w:r>
      <w:r>
        <w:rPr>
          <w:rFonts w:ascii="Arial" w:hAnsi="Arial" w:cs="Arial"/>
          <w:sz w:val="24"/>
          <w:szCs w:val="24"/>
          <w:lang w:val="en-US"/>
        </w:rPr>
        <w:t xml:space="preserve"> Pfister </w:t>
      </w:r>
      <w:r w:rsidR="002E10C1">
        <w:rPr>
          <w:rFonts w:ascii="Arial" w:hAnsi="Arial" w:cs="Arial"/>
          <w:sz w:val="24"/>
          <w:szCs w:val="24"/>
          <w:lang w:val="en-US"/>
        </w:rPr>
        <w:t>responded on the same day expressing confusion about this statement, and reiterated that a main</w:t>
      </w:r>
      <w:r w:rsidR="00E204F3">
        <w:rPr>
          <w:rFonts w:ascii="Arial" w:hAnsi="Arial" w:cs="Arial"/>
          <w:sz w:val="24"/>
          <w:szCs w:val="24"/>
          <w:lang w:val="en-US"/>
        </w:rPr>
        <w:t>tenance claim on behalf of the P</w:t>
      </w:r>
      <w:r w:rsidR="002E10C1">
        <w:rPr>
          <w:rFonts w:ascii="Arial" w:hAnsi="Arial" w:cs="Arial"/>
          <w:sz w:val="24"/>
          <w:szCs w:val="24"/>
          <w:lang w:val="en-US"/>
        </w:rPr>
        <w:t>laintiff would not be entertained</w:t>
      </w:r>
      <w:r w:rsidR="00294E37">
        <w:rPr>
          <w:rFonts w:ascii="Arial" w:hAnsi="Arial" w:cs="Arial"/>
          <w:sz w:val="24"/>
          <w:szCs w:val="24"/>
          <w:lang w:val="en-US"/>
        </w:rPr>
        <w:t>. She asked Mr Joseph</w:t>
      </w:r>
      <w:r>
        <w:rPr>
          <w:rFonts w:ascii="Arial" w:hAnsi="Arial" w:cs="Arial"/>
          <w:sz w:val="24"/>
          <w:szCs w:val="24"/>
          <w:lang w:val="en-US"/>
        </w:rPr>
        <w:t xml:space="preserve"> to confirm if the Plaintiff was going to persist in her claim.</w:t>
      </w:r>
      <w:r w:rsidR="002E10C1">
        <w:rPr>
          <w:rFonts w:ascii="Arial" w:hAnsi="Arial" w:cs="Arial"/>
          <w:sz w:val="24"/>
          <w:szCs w:val="24"/>
          <w:lang w:val="en-US"/>
        </w:rPr>
        <w:t xml:space="preserve"> She did not receive a response. Had there been a positive response</w:t>
      </w:r>
      <w:r w:rsidR="00E204F3">
        <w:rPr>
          <w:rFonts w:ascii="Arial" w:hAnsi="Arial" w:cs="Arial"/>
          <w:sz w:val="24"/>
          <w:szCs w:val="24"/>
          <w:lang w:val="en-US"/>
        </w:rPr>
        <w:t>,</w:t>
      </w:r>
      <w:r w:rsidR="002E10C1">
        <w:rPr>
          <w:rFonts w:ascii="Arial" w:hAnsi="Arial" w:cs="Arial"/>
          <w:sz w:val="24"/>
          <w:szCs w:val="24"/>
          <w:lang w:val="en-US"/>
        </w:rPr>
        <w:t xml:space="preserve"> she</w:t>
      </w:r>
      <w:r w:rsidR="00E204F3">
        <w:rPr>
          <w:rFonts w:ascii="Arial" w:hAnsi="Arial" w:cs="Arial"/>
          <w:sz w:val="24"/>
          <w:szCs w:val="24"/>
          <w:lang w:val="en-US"/>
        </w:rPr>
        <w:t xml:space="preserve"> said, she</w:t>
      </w:r>
      <w:r w:rsidR="002E10C1">
        <w:rPr>
          <w:rFonts w:ascii="Arial" w:hAnsi="Arial" w:cs="Arial"/>
          <w:sz w:val="24"/>
          <w:szCs w:val="24"/>
          <w:lang w:val="en-US"/>
        </w:rPr>
        <w:t xml:space="preserve"> would have made a note on the file about pending litigation and there would have been a halt in the finalization of the liquidation and distribution account. She would have also called for more information</w:t>
      </w:r>
      <w:r w:rsidR="00F9780C">
        <w:rPr>
          <w:rFonts w:ascii="Arial" w:hAnsi="Arial" w:cs="Arial"/>
          <w:sz w:val="24"/>
          <w:szCs w:val="24"/>
          <w:lang w:val="en-US"/>
        </w:rPr>
        <w:t xml:space="preserve"> and the Plaintiff would have been put to terms regarding the time period for providing information.</w:t>
      </w:r>
    </w:p>
    <w:p w:rsidR="00A91C25" w:rsidRDefault="002E10C1" w:rsidP="00AC74BC">
      <w:pPr>
        <w:spacing w:line="480" w:lineRule="auto"/>
        <w:jc w:val="both"/>
        <w:rPr>
          <w:rFonts w:ascii="Arial" w:hAnsi="Arial" w:cs="Arial"/>
          <w:sz w:val="24"/>
          <w:szCs w:val="24"/>
          <w:lang w:val="en-US"/>
        </w:rPr>
      </w:pPr>
      <w:r>
        <w:rPr>
          <w:rFonts w:ascii="Arial" w:hAnsi="Arial" w:cs="Arial"/>
          <w:sz w:val="24"/>
          <w:szCs w:val="24"/>
          <w:lang w:val="en-US"/>
        </w:rPr>
        <w:t>[</w:t>
      </w:r>
      <w:r w:rsidR="00CC18CC">
        <w:rPr>
          <w:rFonts w:ascii="Arial" w:hAnsi="Arial" w:cs="Arial"/>
          <w:sz w:val="24"/>
          <w:szCs w:val="24"/>
          <w:lang w:val="en-US"/>
        </w:rPr>
        <w:t>23]</w:t>
      </w:r>
      <w:r w:rsidR="00CC18CC">
        <w:rPr>
          <w:rFonts w:ascii="Arial" w:hAnsi="Arial" w:cs="Arial"/>
          <w:sz w:val="24"/>
          <w:szCs w:val="24"/>
          <w:lang w:val="en-US"/>
        </w:rPr>
        <w:tab/>
      </w:r>
      <w:r>
        <w:rPr>
          <w:rFonts w:ascii="Arial" w:hAnsi="Arial" w:cs="Arial"/>
          <w:sz w:val="24"/>
          <w:szCs w:val="24"/>
          <w:lang w:val="en-US"/>
        </w:rPr>
        <w:t xml:space="preserve">Mr </w:t>
      </w:r>
      <w:r w:rsidR="00CC18CC">
        <w:rPr>
          <w:rFonts w:ascii="Arial" w:hAnsi="Arial" w:cs="Arial"/>
          <w:sz w:val="24"/>
          <w:szCs w:val="24"/>
          <w:lang w:val="en-US"/>
        </w:rPr>
        <w:t xml:space="preserve">Joseph </w:t>
      </w:r>
      <w:r>
        <w:rPr>
          <w:rFonts w:ascii="Arial" w:hAnsi="Arial" w:cs="Arial"/>
          <w:sz w:val="24"/>
          <w:szCs w:val="24"/>
          <w:lang w:val="en-US"/>
        </w:rPr>
        <w:t xml:space="preserve">conceded that he had not informed </w:t>
      </w:r>
      <w:r w:rsidR="009A51FB">
        <w:rPr>
          <w:rFonts w:ascii="Arial" w:hAnsi="Arial" w:cs="Arial"/>
          <w:sz w:val="24"/>
          <w:szCs w:val="24"/>
          <w:lang w:val="en-US"/>
        </w:rPr>
        <w:t>Ms Pfister on 25 October 2013 that steps were being taken to challenge the annulme</w:t>
      </w:r>
      <w:r w:rsidR="00190AE3">
        <w:rPr>
          <w:rFonts w:ascii="Arial" w:hAnsi="Arial" w:cs="Arial"/>
          <w:sz w:val="24"/>
          <w:szCs w:val="24"/>
          <w:lang w:val="en-US"/>
        </w:rPr>
        <w:t>nt certificate before the MJC</w:t>
      </w:r>
      <w:r w:rsidR="009A51FB">
        <w:rPr>
          <w:rFonts w:ascii="Arial" w:hAnsi="Arial" w:cs="Arial"/>
          <w:sz w:val="24"/>
          <w:szCs w:val="24"/>
          <w:lang w:val="en-US"/>
        </w:rPr>
        <w:t>.</w:t>
      </w:r>
      <w:r>
        <w:rPr>
          <w:rFonts w:ascii="Arial" w:hAnsi="Arial" w:cs="Arial"/>
          <w:sz w:val="24"/>
          <w:szCs w:val="24"/>
          <w:lang w:val="en-US"/>
        </w:rPr>
        <w:t xml:space="preserve"> </w:t>
      </w:r>
      <w:r w:rsidR="009A51FB">
        <w:rPr>
          <w:rFonts w:ascii="Arial" w:hAnsi="Arial" w:cs="Arial"/>
          <w:sz w:val="24"/>
          <w:szCs w:val="24"/>
          <w:lang w:val="en-US"/>
        </w:rPr>
        <w:t xml:space="preserve"> He had not received a reply form the MJC at that stage. His request had been made on 10 October 2013 to the MJC.</w:t>
      </w:r>
      <w:r w:rsidR="00294E37">
        <w:rPr>
          <w:rFonts w:ascii="Arial" w:hAnsi="Arial" w:cs="Arial"/>
          <w:sz w:val="24"/>
          <w:szCs w:val="24"/>
          <w:lang w:val="en-US"/>
        </w:rPr>
        <w:t xml:space="preserve"> </w:t>
      </w:r>
    </w:p>
    <w:p w:rsidR="00E6749D" w:rsidRDefault="00A91C25" w:rsidP="00AC74BC">
      <w:pPr>
        <w:spacing w:line="480" w:lineRule="auto"/>
        <w:jc w:val="both"/>
        <w:rPr>
          <w:rFonts w:ascii="Arial" w:hAnsi="Arial" w:cs="Arial"/>
          <w:sz w:val="24"/>
          <w:szCs w:val="24"/>
          <w:lang w:val="en-US"/>
        </w:rPr>
      </w:pPr>
      <w:r>
        <w:rPr>
          <w:rFonts w:ascii="Arial" w:hAnsi="Arial" w:cs="Arial"/>
          <w:sz w:val="24"/>
          <w:szCs w:val="24"/>
          <w:lang w:val="en-US"/>
        </w:rPr>
        <w:t>[</w:t>
      </w:r>
      <w:r w:rsidR="00CC18CC">
        <w:rPr>
          <w:rFonts w:ascii="Arial" w:hAnsi="Arial" w:cs="Arial"/>
          <w:sz w:val="24"/>
          <w:szCs w:val="24"/>
          <w:lang w:val="en-US"/>
        </w:rPr>
        <w:t>24]</w:t>
      </w:r>
      <w:r w:rsidR="00624B34">
        <w:rPr>
          <w:rFonts w:ascii="Arial" w:hAnsi="Arial" w:cs="Arial"/>
          <w:sz w:val="24"/>
          <w:szCs w:val="24"/>
          <w:lang w:val="en-US"/>
        </w:rPr>
        <w:tab/>
      </w:r>
      <w:r w:rsidR="00E204F3">
        <w:rPr>
          <w:rFonts w:ascii="Arial" w:hAnsi="Arial" w:cs="Arial"/>
          <w:sz w:val="24"/>
          <w:szCs w:val="24"/>
          <w:lang w:val="en-US"/>
        </w:rPr>
        <w:t>Mr Joseph testified that o</w:t>
      </w:r>
      <w:r w:rsidR="00F9780C">
        <w:rPr>
          <w:rFonts w:ascii="Arial" w:hAnsi="Arial" w:cs="Arial"/>
          <w:sz w:val="24"/>
          <w:szCs w:val="24"/>
          <w:lang w:val="en-US"/>
        </w:rPr>
        <w:t xml:space="preserve">n 26 March 2014 </w:t>
      </w:r>
      <w:r w:rsidR="00E204F3">
        <w:rPr>
          <w:rFonts w:ascii="Arial" w:hAnsi="Arial" w:cs="Arial"/>
          <w:sz w:val="24"/>
          <w:szCs w:val="24"/>
          <w:lang w:val="en-US"/>
        </w:rPr>
        <w:t>he lodged maintenance</w:t>
      </w:r>
      <w:r w:rsidR="00F9780C">
        <w:rPr>
          <w:rFonts w:ascii="Arial" w:hAnsi="Arial" w:cs="Arial"/>
          <w:sz w:val="24"/>
          <w:szCs w:val="24"/>
          <w:lang w:val="en-US"/>
        </w:rPr>
        <w:t xml:space="preserve"> claim</w:t>
      </w:r>
      <w:r w:rsidR="00E204F3">
        <w:rPr>
          <w:rFonts w:ascii="Arial" w:hAnsi="Arial" w:cs="Arial"/>
          <w:sz w:val="24"/>
          <w:szCs w:val="24"/>
          <w:lang w:val="en-US"/>
        </w:rPr>
        <w:t>s</w:t>
      </w:r>
      <w:r w:rsidR="00F9780C">
        <w:rPr>
          <w:rFonts w:ascii="Arial" w:hAnsi="Arial" w:cs="Arial"/>
          <w:sz w:val="24"/>
          <w:szCs w:val="24"/>
          <w:lang w:val="en-US"/>
        </w:rPr>
        <w:t xml:space="preserve"> with the executor on behalf of the children born of the marriage and on behalf </w:t>
      </w:r>
      <w:r w:rsidR="00E204F3">
        <w:rPr>
          <w:rFonts w:ascii="Arial" w:hAnsi="Arial" w:cs="Arial"/>
          <w:sz w:val="24"/>
          <w:szCs w:val="24"/>
          <w:lang w:val="en-US"/>
        </w:rPr>
        <w:t>of the Plaintiff.  H</w:t>
      </w:r>
      <w:r w:rsidR="00F9780C">
        <w:rPr>
          <w:rFonts w:ascii="Arial" w:hAnsi="Arial" w:cs="Arial"/>
          <w:sz w:val="24"/>
          <w:szCs w:val="24"/>
          <w:lang w:val="en-US"/>
        </w:rPr>
        <w:t xml:space="preserve">e </w:t>
      </w:r>
      <w:r w:rsidR="00CC18CC">
        <w:rPr>
          <w:rFonts w:ascii="Arial" w:hAnsi="Arial" w:cs="Arial"/>
          <w:sz w:val="24"/>
          <w:szCs w:val="24"/>
          <w:lang w:val="en-US"/>
        </w:rPr>
        <w:t>submitted an</w:t>
      </w:r>
      <w:r w:rsidR="00F9780C">
        <w:rPr>
          <w:rFonts w:ascii="Arial" w:hAnsi="Arial" w:cs="Arial"/>
          <w:sz w:val="24"/>
          <w:szCs w:val="24"/>
          <w:lang w:val="en-US"/>
        </w:rPr>
        <w:t xml:space="preserve"> actuarial report in support of her claim. By that stage there had been notification from the M</w:t>
      </w:r>
      <w:r w:rsidR="00190AE3">
        <w:rPr>
          <w:rFonts w:ascii="Arial" w:hAnsi="Arial" w:cs="Arial"/>
          <w:sz w:val="24"/>
          <w:szCs w:val="24"/>
          <w:lang w:val="en-US"/>
        </w:rPr>
        <w:t>JC</w:t>
      </w:r>
      <w:r w:rsidR="00F9780C">
        <w:rPr>
          <w:rFonts w:ascii="Arial" w:hAnsi="Arial" w:cs="Arial"/>
          <w:sz w:val="24"/>
          <w:szCs w:val="24"/>
          <w:lang w:val="en-US"/>
        </w:rPr>
        <w:t xml:space="preserve"> expressing doubts about </w:t>
      </w:r>
      <w:r w:rsidR="00624B34">
        <w:rPr>
          <w:rFonts w:ascii="Arial" w:hAnsi="Arial" w:cs="Arial"/>
          <w:sz w:val="24"/>
          <w:szCs w:val="24"/>
          <w:lang w:val="en-US"/>
        </w:rPr>
        <w:t>the marriage</w:t>
      </w:r>
      <w:r w:rsidR="00F9780C">
        <w:rPr>
          <w:rFonts w:ascii="Arial" w:hAnsi="Arial" w:cs="Arial"/>
          <w:sz w:val="24"/>
          <w:szCs w:val="24"/>
          <w:lang w:val="en-US"/>
        </w:rPr>
        <w:t xml:space="preserve"> </w:t>
      </w:r>
      <w:r w:rsidR="00071EB4">
        <w:rPr>
          <w:rFonts w:ascii="Arial" w:hAnsi="Arial" w:cs="Arial"/>
          <w:sz w:val="24"/>
          <w:szCs w:val="24"/>
          <w:lang w:val="en-US"/>
        </w:rPr>
        <w:t xml:space="preserve">annulment </w:t>
      </w:r>
      <w:r w:rsidR="00F9780C">
        <w:rPr>
          <w:rFonts w:ascii="Arial" w:hAnsi="Arial" w:cs="Arial"/>
          <w:sz w:val="24"/>
          <w:szCs w:val="24"/>
          <w:lang w:val="en-US"/>
        </w:rPr>
        <w:t>certificate. Mr Joseph</w:t>
      </w:r>
      <w:r w:rsidR="00294E37">
        <w:rPr>
          <w:rFonts w:ascii="Arial" w:hAnsi="Arial" w:cs="Arial"/>
          <w:sz w:val="24"/>
          <w:szCs w:val="24"/>
          <w:lang w:val="en-US"/>
        </w:rPr>
        <w:t xml:space="preserve"> was unable to explain why he had not </w:t>
      </w:r>
      <w:r w:rsidR="00CC18CC">
        <w:rPr>
          <w:rFonts w:ascii="Arial" w:hAnsi="Arial" w:cs="Arial"/>
          <w:sz w:val="24"/>
          <w:szCs w:val="24"/>
          <w:lang w:val="en-US"/>
        </w:rPr>
        <w:t>informed Ms</w:t>
      </w:r>
      <w:r w:rsidR="00294E37">
        <w:rPr>
          <w:rFonts w:ascii="Arial" w:hAnsi="Arial" w:cs="Arial"/>
          <w:sz w:val="24"/>
          <w:szCs w:val="24"/>
          <w:lang w:val="en-US"/>
        </w:rPr>
        <w:t xml:space="preserve"> Pfister of the challenge before the MJC.</w:t>
      </w:r>
      <w:r w:rsidR="0046622E">
        <w:rPr>
          <w:rFonts w:ascii="Arial" w:hAnsi="Arial" w:cs="Arial"/>
          <w:sz w:val="24"/>
          <w:szCs w:val="24"/>
          <w:lang w:val="en-US"/>
        </w:rPr>
        <w:t xml:space="preserve"> </w:t>
      </w:r>
    </w:p>
    <w:p w:rsidR="00535B06" w:rsidRDefault="00E6749D" w:rsidP="00AC74BC">
      <w:pPr>
        <w:spacing w:line="480" w:lineRule="auto"/>
        <w:jc w:val="both"/>
        <w:rPr>
          <w:rFonts w:ascii="Arial" w:hAnsi="Arial" w:cs="Arial"/>
          <w:sz w:val="24"/>
          <w:szCs w:val="24"/>
          <w:lang w:val="en-US"/>
        </w:rPr>
      </w:pPr>
      <w:r>
        <w:rPr>
          <w:rFonts w:ascii="Arial" w:hAnsi="Arial" w:cs="Arial"/>
          <w:sz w:val="24"/>
          <w:szCs w:val="24"/>
          <w:lang w:val="en-US"/>
        </w:rPr>
        <w:t>[</w:t>
      </w:r>
      <w:r w:rsidR="00E204F3">
        <w:rPr>
          <w:rFonts w:ascii="Arial" w:hAnsi="Arial" w:cs="Arial"/>
          <w:sz w:val="24"/>
          <w:szCs w:val="24"/>
          <w:lang w:val="en-US"/>
        </w:rPr>
        <w:t>25</w:t>
      </w:r>
      <w:r>
        <w:rPr>
          <w:rFonts w:ascii="Arial" w:hAnsi="Arial" w:cs="Arial"/>
          <w:sz w:val="24"/>
          <w:szCs w:val="24"/>
          <w:lang w:val="en-US"/>
        </w:rPr>
        <w:t>]</w:t>
      </w:r>
      <w:r w:rsidR="00CC18CC">
        <w:rPr>
          <w:rFonts w:ascii="Arial" w:hAnsi="Arial" w:cs="Arial"/>
          <w:sz w:val="24"/>
          <w:szCs w:val="24"/>
          <w:lang w:val="en-US"/>
        </w:rPr>
        <w:tab/>
      </w:r>
      <w:r>
        <w:rPr>
          <w:rFonts w:ascii="Arial" w:hAnsi="Arial" w:cs="Arial"/>
          <w:sz w:val="24"/>
          <w:szCs w:val="24"/>
          <w:lang w:val="en-US"/>
        </w:rPr>
        <w:t>In respect of service</w:t>
      </w:r>
      <w:r w:rsidR="00E204F3">
        <w:rPr>
          <w:rFonts w:ascii="Arial" w:hAnsi="Arial" w:cs="Arial"/>
          <w:sz w:val="24"/>
          <w:szCs w:val="24"/>
          <w:lang w:val="en-US"/>
        </w:rPr>
        <w:t xml:space="preserve"> of the summons</w:t>
      </w:r>
      <w:r>
        <w:rPr>
          <w:rFonts w:ascii="Arial" w:hAnsi="Arial" w:cs="Arial"/>
          <w:sz w:val="24"/>
          <w:szCs w:val="24"/>
          <w:lang w:val="en-US"/>
        </w:rPr>
        <w:t>,</w:t>
      </w:r>
      <w:r w:rsidR="00E204F3">
        <w:rPr>
          <w:rFonts w:ascii="Arial" w:hAnsi="Arial" w:cs="Arial"/>
          <w:sz w:val="24"/>
          <w:szCs w:val="24"/>
          <w:lang w:val="en-US"/>
        </w:rPr>
        <w:t xml:space="preserve"> the subject of the second ground of the special plea,</w:t>
      </w:r>
      <w:r>
        <w:rPr>
          <w:rFonts w:ascii="Arial" w:hAnsi="Arial" w:cs="Arial"/>
          <w:sz w:val="24"/>
          <w:szCs w:val="24"/>
          <w:lang w:val="en-US"/>
        </w:rPr>
        <w:t xml:space="preserve"> </w:t>
      </w:r>
      <w:r w:rsidR="00E204F3">
        <w:rPr>
          <w:rFonts w:ascii="Arial" w:hAnsi="Arial" w:cs="Arial"/>
          <w:sz w:val="24"/>
          <w:szCs w:val="24"/>
          <w:lang w:val="en-US"/>
        </w:rPr>
        <w:t xml:space="preserve">Mr </w:t>
      </w:r>
      <w:r>
        <w:rPr>
          <w:rFonts w:ascii="Arial" w:hAnsi="Arial" w:cs="Arial"/>
          <w:sz w:val="24"/>
          <w:szCs w:val="24"/>
          <w:lang w:val="en-US"/>
        </w:rPr>
        <w:t xml:space="preserve">Joseph testified </w:t>
      </w:r>
      <w:r w:rsidR="00EA46BC">
        <w:rPr>
          <w:rFonts w:ascii="Arial" w:hAnsi="Arial" w:cs="Arial"/>
          <w:sz w:val="24"/>
          <w:szCs w:val="24"/>
          <w:lang w:val="en-US"/>
        </w:rPr>
        <w:t xml:space="preserve">the address on which service took place was an </w:t>
      </w:r>
      <w:r w:rsidR="00EA46BC">
        <w:rPr>
          <w:rFonts w:ascii="Arial" w:hAnsi="Arial" w:cs="Arial"/>
          <w:sz w:val="24"/>
          <w:szCs w:val="24"/>
          <w:lang w:val="en-US"/>
        </w:rPr>
        <w:lastRenderedPageBreak/>
        <w:t xml:space="preserve">address on the letter of </w:t>
      </w:r>
      <w:r w:rsidR="00E204F3">
        <w:rPr>
          <w:rFonts w:ascii="Arial" w:hAnsi="Arial" w:cs="Arial"/>
          <w:sz w:val="24"/>
          <w:szCs w:val="24"/>
          <w:lang w:val="en-US"/>
        </w:rPr>
        <w:t xml:space="preserve">Ms </w:t>
      </w:r>
      <w:r w:rsidR="00EA46BC">
        <w:rPr>
          <w:rFonts w:ascii="Arial" w:hAnsi="Arial" w:cs="Arial"/>
          <w:sz w:val="24"/>
          <w:szCs w:val="24"/>
          <w:lang w:val="en-US"/>
        </w:rPr>
        <w:t xml:space="preserve">Spies to the </w:t>
      </w:r>
      <w:r w:rsidR="00624B34">
        <w:rPr>
          <w:rFonts w:ascii="Arial" w:hAnsi="Arial" w:cs="Arial"/>
          <w:sz w:val="24"/>
          <w:szCs w:val="24"/>
          <w:lang w:val="en-US"/>
        </w:rPr>
        <w:t>Master,</w:t>
      </w:r>
      <w:r w:rsidR="00DD6BDB">
        <w:rPr>
          <w:rFonts w:ascii="Arial" w:hAnsi="Arial" w:cs="Arial"/>
          <w:sz w:val="24"/>
          <w:szCs w:val="24"/>
          <w:lang w:val="en-US"/>
        </w:rPr>
        <w:t xml:space="preserve"> which was the last correspondence he had received</w:t>
      </w:r>
      <w:r w:rsidR="00190AE3">
        <w:rPr>
          <w:rFonts w:ascii="Arial" w:hAnsi="Arial" w:cs="Arial"/>
          <w:sz w:val="24"/>
          <w:szCs w:val="24"/>
          <w:lang w:val="en-US"/>
        </w:rPr>
        <w:t>,</w:t>
      </w:r>
      <w:r w:rsidR="00DD6BDB">
        <w:rPr>
          <w:rFonts w:ascii="Arial" w:hAnsi="Arial" w:cs="Arial"/>
          <w:sz w:val="24"/>
          <w:szCs w:val="24"/>
          <w:lang w:val="en-US"/>
        </w:rPr>
        <w:t xml:space="preserve"> </w:t>
      </w:r>
      <w:r w:rsidR="00EA46BC">
        <w:rPr>
          <w:rFonts w:ascii="Arial" w:hAnsi="Arial" w:cs="Arial"/>
          <w:sz w:val="24"/>
          <w:szCs w:val="24"/>
          <w:lang w:val="en-US"/>
        </w:rPr>
        <w:t>and for such reason he had used such address for service. He conceded that this wa</w:t>
      </w:r>
      <w:r w:rsidR="00E204F3">
        <w:rPr>
          <w:rFonts w:ascii="Arial" w:hAnsi="Arial" w:cs="Arial"/>
          <w:sz w:val="24"/>
          <w:szCs w:val="24"/>
          <w:lang w:val="en-US"/>
        </w:rPr>
        <w:t>s n</w:t>
      </w:r>
      <w:r w:rsidR="00EA46BC">
        <w:rPr>
          <w:rFonts w:ascii="Arial" w:hAnsi="Arial" w:cs="Arial"/>
          <w:sz w:val="24"/>
          <w:szCs w:val="24"/>
          <w:lang w:val="en-US"/>
        </w:rPr>
        <w:t xml:space="preserve">either the </w:t>
      </w:r>
      <w:r w:rsidR="00EA46BC" w:rsidRPr="00624B34">
        <w:rPr>
          <w:rFonts w:ascii="Arial" w:hAnsi="Arial" w:cs="Arial"/>
          <w:i/>
          <w:sz w:val="24"/>
          <w:szCs w:val="24"/>
          <w:lang w:val="en-US"/>
        </w:rPr>
        <w:t>domicilium</w:t>
      </w:r>
      <w:r w:rsidR="00EA46BC">
        <w:rPr>
          <w:rFonts w:ascii="Arial" w:hAnsi="Arial" w:cs="Arial"/>
          <w:sz w:val="24"/>
          <w:szCs w:val="24"/>
          <w:lang w:val="en-US"/>
        </w:rPr>
        <w:t xml:space="preserve"> of the ex</w:t>
      </w:r>
      <w:r w:rsidR="00F146FC">
        <w:rPr>
          <w:rFonts w:ascii="Arial" w:hAnsi="Arial" w:cs="Arial"/>
          <w:sz w:val="24"/>
          <w:szCs w:val="24"/>
          <w:lang w:val="en-US"/>
        </w:rPr>
        <w:t>ecutor</w:t>
      </w:r>
      <w:r w:rsidR="00EA46BC">
        <w:rPr>
          <w:rFonts w:ascii="Arial" w:hAnsi="Arial" w:cs="Arial"/>
          <w:sz w:val="24"/>
          <w:szCs w:val="24"/>
          <w:lang w:val="en-US"/>
        </w:rPr>
        <w:t xml:space="preserve"> </w:t>
      </w:r>
      <w:r w:rsidR="00E204F3">
        <w:rPr>
          <w:rFonts w:ascii="Arial" w:hAnsi="Arial" w:cs="Arial"/>
          <w:sz w:val="24"/>
          <w:szCs w:val="24"/>
          <w:lang w:val="en-US"/>
        </w:rPr>
        <w:t>n</w:t>
      </w:r>
      <w:r w:rsidR="00EA46BC">
        <w:rPr>
          <w:rFonts w:ascii="Arial" w:hAnsi="Arial" w:cs="Arial"/>
          <w:sz w:val="24"/>
          <w:szCs w:val="24"/>
          <w:lang w:val="en-US"/>
        </w:rPr>
        <w:t>or the registered address of the nominee company</w:t>
      </w:r>
      <w:r w:rsidR="004B460D">
        <w:rPr>
          <w:rFonts w:ascii="Arial" w:hAnsi="Arial" w:cs="Arial"/>
          <w:sz w:val="24"/>
          <w:szCs w:val="24"/>
          <w:lang w:val="en-US"/>
        </w:rPr>
        <w:t xml:space="preserve"> as required by the Rules. </w:t>
      </w:r>
      <w:r w:rsidR="001049CB">
        <w:rPr>
          <w:rFonts w:ascii="Arial" w:hAnsi="Arial" w:cs="Arial"/>
          <w:sz w:val="24"/>
          <w:szCs w:val="24"/>
          <w:lang w:val="en-US"/>
        </w:rPr>
        <w:t xml:space="preserve"> </w:t>
      </w:r>
    </w:p>
    <w:p w:rsidR="00535B06" w:rsidRDefault="00535B06" w:rsidP="00AC74BC">
      <w:pPr>
        <w:spacing w:line="480" w:lineRule="auto"/>
        <w:jc w:val="both"/>
        <w:rPr>
          <w:rFonts w:ascii="Arial" w:hAnsi="Arial" w:cs="Arial"/>
          <w:sz w:val="24"/>
          <w:szCs w:val="24"/>
          <w:lang w:val="en-US"/>
        </w:rPr>
      </w:pPr>
      <w:r>
        <w:rPr>
          <w:rFonts w:ascii="Arial" w:hAnsi="Arial" w:cs="Arial"/>
          <w:sz w:val="24"/>
          <w:szCs w:val="24"/>
          <w:lang w:val="en-US"/>
        </w:rPr>
        <w:t>[26]</w:t>
      </w:r>
      <w:r w:rsidR="00CC18CC">
        <w:rPr>
          <w:rFonts w:ascii="Arial" w:hAnsi="Arial" w:cs="Arial"/>
          <w:sz w:val="24"/>
          <w:szCs w:val="24"/>
          <w:lang w:val="en-US"/>
        </w:rPr>
        <w:tab/>
      </w:r>
      <w:r>
        <w:rPr>
          <w:rFonts w:ascii="Arial" w:hAnsi="Arial" w:cs="Arial"/>
          <w:sz w:val="24"/>
          <w:szCs w:val="24"/>
          <w:lang w:val="en-US"/>
        </w:rPr>
        <w:t>H</w:t>
      </w:r>
      <w:r w:rsidR="001049CB">
        <w:rPr>
          <w:rFonts w:ascii="Arial" w:hAnsi="Arial" w:cs="Arial"/>
          <w:sz w:val="24"/>
          <w:szCs w:val="24"/>
          <w:lang w:val="en-US"/>
        </w:rPr>
        <w:t>e pointed out that the First Defendant was described on the face of the summons as “FNB Trust Services (</w:t>
      </w:r>
      <w:r>
        <w:rPr>
          <w:rFonts w:ascii="Arial" w:hAnsi="Arial" w:cs="Arial"/>
          <w:sz w:val="24"/>
          <w:szCs w:val="24"/>
          <w:lang w:val="en-US"/>
        </w:rPr>
        <w:t>P</w:t>
      </w:r>
      <w:r w:rsidR="001049CB">
        <w:rPr>
          <w:rFonts w:ascii="Arial" w:hAnsi="Arial" w:cs="Arial"/>
          <w:sz w:val="24"/>
          <w:szCs w:val="24"/>
          <w:lang w:val="en-US"/>
        </w:rPr>
        <w:t xml:space="preserve">ty) Ltd NO </w:t>
      </w:r>
      <w:r w:rsidR="00624B34">
        <w:rPr>
          <w:rFonts w:ascii="Arial" w:hAnsi="Arial" w:cs="Arial"/>
          <w:sz w:val="24"/>
          <w:szCs w:val="24"/>
          <w:lang w:val="en-US"/>
        </w:rPr>
        <w:t>(The</w:t>
      </w:r>
      <w:r w:rsidR="00190AE3">
        <w:rPr>
          <w:rFonts w:ascii="Arial" w:hAnsi="Arial" w:cs="Arial"/>
          <w:sz w:val="24"/>
          <w:szCs w:val="24"/>
          <w:lang w:val="en-US"/>
        </w:rPr>
        <w:t xml:space="preserve"> executor of the Deceased Estate of Mogamat Naziem Benjamin)</w:t>
      </w:r>
      <w:r w:rsidR="001049CB">
        <w:rPr>
          <w:rFonts w:ascii="Arial" w:hAnsi="Arial" w:cs="Arial"/>
          <w:sz w:val="24"/>
          <w:szCs w:val="24"/>
          <w:lang w:val="en-US"/>
        </w:rPr>
        <w:t xml:space="preserve"> [with estate</w:t>
      </w:r>
      <w:r w:rsidR="00372F7E">
        <w:rPr>
          <w:rFonts w:ascii="Arial" w:hAnsi="Arial" w:cs="Arial"/>
          <w:sz w:val="24"/>
          <w:szCs w:val="24"/>
          <w:lang w:val="en-US"/>
        </w:rPr>
        <w:t xml:space="preserve"> </w:t>
      </w:r>
      <w:r w:rsidR="001049CB">
        <w:rPr>
          <w:rFonts w:ascii="Arial" w:hAnsi="Arial" w:cs="Arial"/>
          <w:sz w:val="24"/>
          <w:szCs w:val="24"/>
          <w:lang w:val="en-US"/>
        </w:rPr>
        <w:t>no 10650</w:t>
      </w:r>
      <w:r w:rsidR="00CE5EC3">
        <w:rPr>
          <w:rFonts w:ascii="Arial" w:hAnsi="Arial" w:cs="Arial"/>
          <w:sz w:val="24"/>
          <w:szCs w:val="24"/>
          <w:lang w:val="en-US"/>
        </w:rPr>
        <w:t>/2012)”. I</w:t>
      </w:r>
      <w:r>
        <w:rPr>
          <w:rFonts w:ascii="Arial" w:hAnsi="Arial" w:cs="Arial"/>
          <w:sz w:val="24"/>
          <w:szCs w:val="24"/>
          <w:lang w:val="en-US"/>
        </w:rPr>
        <w:t xml:space="preserve">n </w:t>
      </w:r>
      <w:r w:rsidR="00372F7E">
        <w:rPr>
          <w:rFonts w:ascii="Arial" w:hAnsi="Arial" w:cs="Arial"/>
          <w:sz w:val="24"/>
          <w:szCs w:val="24"/>
          <w:lang w:val="en-US"/>
        </w:rPr>
        <w:t xml:space="preserve">paragraph 3 of the particulars of claim the </w:t>
      </w:r>
      <w:r w:rsidR="00071EB4">
        <w:rPr>
          <w:rFonts w:ascii="Arial" w:hAnsi="Arial" w:cs="Arial"/>
          <w:sz w:val="24"/>
          <w:szCs w:val="24"/>
          <w:lang w:val="en-US"/>
        </w:rPr>
        <w:t xml:space="preserve">description of </w:t>
      </w:r>
      <w:r w:rsidR="00372F7E">
        <w:rPr>
          <w:rFonts w:ascii="Arial" w:hAnsi="Arial" w:cs="Arial"/>
          <w:sz w:val="24"/>
          <w:szCs w:val="24"/>
          <w:lang w:val="en-US"/>
        </w:rPr>
        <w:t xml:space="preserve">FNB Trust </w:t>
      </w:r>
      <w:r>
        <w:rPr>
          <w:rFonts w:ascii="Arial" w:hAnsi="Arial" w:cs="Arial"/>
          <w:sz w:val="24"/>
          <w:szCs w:val="24"/>
          <w:lang w:val="en-US"/>
        </w:rPr>
        <w:t>S</w:t>
      </w:r>
      <w:r w:rsidR="00372F7E">
        <w:rPr>
          <w:rFonts w:ascii="Arial" w:hAnsi="Arial" w:cs="Arial"/>
          <w:sz w:val="24"/>
          <w:szCs w:val="24"/>
          <w:lang w:val="en-US"/>
        </w:rPr>
        <w:t xml:space="preserve">ervices </w:t>
      </w:r>
      <w:r>
        <w:rPr>
          <w:rFonts w:ascii="Arial" w:hAnsi="Arial" w:cs="Arial"/>
          <w:sz w:val="24"/>
          <w:szCs w:val="24"/>
          <w:lang w:val="en-US"/>
        </w:rPr>
        <w:t>w</w:t>
      </w:r>
      <w:r w:rsidR="00071EB4">
        <w:rPr>
          <w:rFonts w:ascii="Arial" w:hAnsi="Arial" w:cs="Arial"/>
          <w:sz w:val="24"/>
          <w:szCs w:val="24"/>
          <w:lang w:val="en-US"/>
        </w:rPr>
        <w:t>as</w:t>
      </w:r>
      <w:r w:rsidR="00372F7E">
        <w:rPr>
          <w:rFonts w:ascii="Arial" w:hAnsi="Arial" w:cs="Arial"/>
          <w:sz w:val="24"/>
          <w:szCs w:val="24"/>
          <w:lang w:val="en-US"/>
        </w:rPr>
        <w:t xml:space="preserve"> repeated</w:t>
      </w:r>
      <w:r w:rsidR="00071EB4">
        <w:rPr>
          <w:rFonts w:ascii="Arial" w:hAnsi="Arial" w:cs="Arial"/>
          <w:sz w:val="24"/>
          <w:szCs w:val="24"/>
          <w:lang w:val="en-US"/>
        </w:rPr>
        <w:t>,</w:t>
      </w:r>
      <w:r w:rsidR="00372F7E">
        <w:rPr>
          <w:rFonts w:ascii="Arial" w:hAnsi="Arial" w:cs="Arial"/>
          <w:sz w:val="24"/>
          <w:szCs w:val="24"/>
          <w:lang w:val="en-US"/>
        </w:rPr>
        <w:t xml:space="preserve"> a</w:t>
      </w:r>
      <w:r w:rsidR="00CE5EC3">
        <w:rPr>
          <w:rFonts w:ascii="Arial" w:hAnsi="Arial" w:cs="Arial"/>
          <w:sz w:val="24"/>
          <w:szCs w:val="24"/>
          <w:lang w:val="en-US"/>
        </w:rPr>
        <w:t xml:space="preserve">s was its status </w:t>
      </w:r>
      <w:r w:rsidR="00372F7E">
        <w:rPr>
          <w:rFonts w:ascii="Arial" w:hAnsi="Arial" w:cs="Arial"/>
          <w:sz w:val="24"/>
          <w:szCs w:val="24"/>
          <w:lang w:val="en-US"/>
        </w:rPr>
        <w:t xml:space="preserve">as executor. </w:t>
      </w:r>
    </w:p>
    <w:p w:rsidR="00F146FC" w:rsidRDefault="00535B06" w:rsidP="00AC74BC">
      <w:pPr>
        <w:spacing w:line="480" w:lineRule="auto"/>
        <w:jc w:val="both"/>
        <w:rPr>
          <w:rFonts w:ascii="Arial" w:hAnsi="Arial" w:cs="Arial"/>
          <w:sz w:val="24"/>
          <w:szCs w:val="24"/>
          <w:lang w:val="en-US"/>
        </w:rPr>
      </w:pPr>
      <w:r>
        <w:rPr>
          <w:rFonts w:ascii="Arial" w:hAnsi="Arial" w:cs="Arial"/>
          <w:sz w:val="24"/>
          <w:szCs w:val="24"/>
          <w:lang w:val="en-US"/>
        </w:rPr>
        <w:t>[27]</w:t>
      </w:r>
      <w:r w:rsidR="00CC18CC">
        <w:rPr>
          <w:rFonts w:ascii="Arial" w:hAnsi="Arial" w:cs="Arial"/>
          <w:sz w:val="24"/>
          <w:szCs w:val="24"/>
          <w:lang w:val="en-US"/>
        </w:rPr>
        <w:tab/>
      </w:r>
      <w:r w:rsidR="00372F7E">
        <w:rPr>
          <w:rFonts w:ascii="Arial" w:hAnsi="Arial" w:cs="Arial"/>
          <w:sz w:val="24"/>
          <w:szCs w:val="24"/>
          <w:lang w:val="en-US"/>
        </w:rPr>
        <w:t>On 21 January 2016</w:t>
      </w:r>
      <w:r w:rsidR="00435D52">
        <w:rPr>
          <w:rFonts w:ascii="Arial" w:hAnsi="Arial" w:cs="Arial"/>
          <w:sz w:val="24"/>
          <w:szCs w:val="24"/>
          <w:lang w:val="en-US"/>
        </w:rPr>
        <w:t>,</w:t>
      </w:r>
      <w:r w:rsidR="00372F7E">
        <w:rPr>
          <w:rFonts w:ascii="Arial" w:hAnsi="Arial" w:cs="Arial"/>
          <w:sz w:val="24"/>
          <w:szCs w:val="24"/>
          <w:lang w:val="en-US"/>
        </w:rPr>
        <w:t xml:space="preserve"> the First Respondent’s attorney, Mr Lang wrote to</w:t>
      </w:r>
      <w:r>
        <w:rPr>
          <w:rFonts w:ascii="Arial" w:hAnsi="Arial" w:cs="Arial"/>
          <w:sz w:val="24"/>
          <w:szCs w:val="24"/>
          <w:lang w:val="en-US"/>
        </w:rPr>
        <w:t xml:space="preserve"> </w:t>
      </w:r>
      <w:r w:rsidR="00372F7E">
        <w:rPr>
          <w:rFonts w:ascii="Arial" w:hAnsi="Arial" w:cs="Arial"/>
          <w:sz w:val="24"/>
          <w:szCs w:val="24"/>
          <w:lang w:val="en-US"/>
        </w:rPr>
        <w:t>Mr Joseph</w:t>
      </w:r>
      <w:r>
        <w:rPr>
          <w:rFonts w:ascii="Arial" w:hAnsi="Arial" w:cs="Arial"/>
          <w:sz w:val="24"/>
          <w:szCs w:val="24"/>
          <w:lang w:val="en-US"/>
        </w:rPr>
        <w:t>,</w:t>
      </w:r>
      <w:r w:rsidR="00372F7E">
        <w:rPr>
          <w:rFonts w:ascii="Arial" w:hAnsi="Arial" w:cs="Arial"/>
          <w:sz w:val="24"/>
          <w:szCs w:val="24"/>
          <w:lang w:val="en-US"/>
        </w:rPr>
        <w:t xml:space="preserve"> with regard to the action instituted on behalf of the Plaintiff and confirmed that he acted on behalf of FNB Trust Services (Pty) Ltd and the Executor, Mr Francois De Jager. Mr Lang raised no concerns about</w:t>
      </w:r>
      <w:r w:rsidR="00674C08">
        <w:rPr>
          <w:rFonts w:ascii="Arial" w:hAnsi="Arial" w:cs="Arial"/>
          <w:sz w:val="24"/>
          <w:szCs w:val="24"/>
          <w:lang w:val="en-US"/>
        </w:rPr>
        <w:t xml:space="preserve"> </w:t>
      </w:r>
      <w:r w:rsidR="00372F7E">
        <w:rPr>
          <w:rFonts w:ascii="Arial" w:hAnsi="Arial" w:cs="Arial"/>
          <w:sz w:val="24"/>
          <w:szCs w:val="24"/>
          <w:lang w:val="en-US"/>
        </w:rPr>
        <w:t>the manner of service or the matter not coming to the attention of his client</w:t>
      </w:r>
      <w:r>
        <w:rPr>
          <w:rFonts w:ascii="Arial" w:hAnsi="Arial" w:cs="Arial"/>
          <w:sz w:val="24"/>
          <w:szCs w:val="24"/>
          <w:lang w:val="en-US"/>
        </w:rPr>
        <w:t>, but requested that the citation of his client should be corrected.</w:t>
      </w:r>
      <w:r w:rsidR="00F146FC">
        <w:rPr>
          <w:rFonts w:ascii="Arial" w:hAnsi="Arial" w:cs="Arial"/>
          <w:sz w:val="24"/>
          <w:szCs w:val="24"/>
          <w:lang w:val="en-US"/>
        </w:rPr>
        <w:t xml:space="preserve"> </w:t>
      </w:r>
      <w:r w:rsidR="007E0C74">
        <w:rPr>
          <w:rFonts w:ascii="Arial" w:hAnsi="Arial" w:cs="Arial"/>
          <w:sz w:val="24"/>
          <w:szCs w:val="24"/>
          <w:lang w:val="en-US"/>
        </w:rPr>
        <w:t>Ms Spies and</w:t>
      </w:r>
      <w:r w:rsidR="00E204F3">
        <w:rPr>
          <w:rFonts w:ascii="Arial" w:hAnsi="Arial" w:cs="Arial"/>
          <w:sz w:val="24"/>
          <w:szCs w:val="24"/>
          <w:lang w:val="en-US"/>
        </w:rPr>
        <w:t xml:space="preserve"> Ms Pfister testified that the First D</w:t>
      </w:r>
      <w:r w:rsidR="007E0C74">
        <w:rPr>
          <w:rFonts w:ascii="Arial" w:hAnsi="Arial" w:cs="Arial"/>
          <w:sz w:val="24"/>
          <w:szCs w:val="24"/>
          <w:lang w:val="en-US"/>
        </w:rPr>
        <w:t>efendant underwent several name changes in the period under consideration.</w:t>
      </w:r>
      <w:r w:rsidR="00674C08">
        <w:rPr>
          <w:rFonts w:ascii="Arial" w:hAnsi="Arial" w:cs="Arial"/>
          <w:sz w:val="24"/>
          <w:szCs w:val="24"/>
          <w:lang w:val="en-US"/>
        </w:rPr>
        <w:t xml:space="preserve"> Mr Joseph’s testimony on these facts</w:t>
      </w:r>
      <w:r w:rsidR="00CE5EC3">
        <w:rPr>
          <w:rFonts w:ascii="Arial" w:hAnsi="Arial" w:cs="Arial"/>
          <w:sz w:val="24"/>
          <w:szCs w:val="24"/>
          <w:lang w:val="en-US"/>
        </w:rPr>
        <w:t xml:space="preserve"> pertaining to service</w:t>
      </w:r>
      <w:r w:rsidR="00674C08">
        <w:rPr>
          <w:rFonts w:ascii="Arial" w:hAnsi="Arial" w:cs="Arial"/>
          <w:sz w:val="24"/>
          <w:szCs w:val="24"/>
          <w:lang w:val="en-US"/>
        </w:rPr>
        <w:t xml:space="preserve"> </w:t>
      </w:r>
      <w:r w:rsidR="006A1700">
        <w:rPr>
          <w:rFonts w:ascii="Arial" w:hAnsi="Arial" w:cs="Arial"/>
          <w:sz w:val="24"/>
          <w:szCs w:val="24"/>
          <w:lang w:val="en-US"/>
        </w:rPr>
        <w:t>was</w:t>
      </w:r>
      <w:r w:rsidR="00674C08">
        <w:rPr>
          <w:rFonts w:ascii="Arial" w:hAnsi="Arial" w:cs="Arial"/>
          <w:sz w:val="24"/>
          <w:szCs w:val="24"/>
          <w:lang w:val="en-US"/>
        </w:rPr>
        <w:t xml:space="preserve"> not disputed,</w:t>
      </w:r>
      <w:r w:rsidR="006A1700">
        <w:rPr>
          <w:rFonts w:ascii="Arial" w:hAnsi="Arial" w:cs="Arial"/>
          <w:sz w:val="24"/>
          <w:szCs w:val="24"/>
          <w:lang w:val="en-US"/>
        </w:rPr>
        <w:t xml:space="preserve"> this being common cause.</w:t>
      </w:r>
      <w:r w:rsidR="00674C08">
        <w:rPr>
          <w:rFonts w:ascii="Arial" w:hAnsi="Arial" w:cs="Arial"/>
          <w:sz w:val="24"/>
          <w:szCs w:val="24"/>
          <w:lang w:val="en-US"/>
        </w:rPr>
        <w:t xml:space="preserve"> </w:t>
      </w:r>
    </w:p>
    <w:p w:rsidR="00E6749D" w:rsidRDefault="00E204F3" w:rsidP="00AC74BC">
      <w:pPr>
        <w:spacing w:line="480" w:lineRule="auto"/>
        <w:jc w:val="both"/>
        <w:rPr>
          <w:rFonts w:ascii="Arial" w:hAnsi="Arial" w:cs="Arial"/>
          <w:sz w:val="24"/>
          <w:szCs w:val="24"/>
          <w:lang w:val="en-US"/>
        </w:rPr>
      </w:pPr>
      <w:r>
        <w:rPr>
          <w:rFonts w:ascii="Arial" w:hAnsi="Arial" w:cs="Arial"/>
          <w:sz w:val="24"/>
          <w:szCs w:val="24"/>
          <w:lang w:val="en-US"/>
        </w:rPr>
        <w:t>[2</w:t>
      </w:r>
      <w:r w:rsidR="00535B06">
        <w:rPr>
          <w:rFonts w:ascii="Arial" w:hAnsi="Arial" w:cs="Arial"/>
          <w:sz w:val="24"/>
          <w:szCs w:val="24"/>
          <w:lang w:val="en-US"/>
        </w:rPr>
        <w:t>8</w:t>
      </w:r>
      <w:r w:rsidR="00CC18CC">
        <w:rPr>
          <w:rFonts w:ascii="Arial" w:hAnsi="Arial" w:cs="Arial"/>
          <w:sz w:val="24"/>
          <w:szCs w:val="24"/>
          <w:lang w:val="en-US"/>
        </w:rPr>
        <w:t>]</w:t>
      </w:r>
      <w:r w:rsidR="00CC18CC">
        <w:rPr>
          <w:rFonts w:ascii="Arial" w:hAnsi="Arial" w:cs="Arial"/>
          <w:sz w:val="24"/>
          <w:szCs w:val="24"/>
          <w:lang w:val="en-US"/>
        </w:rPr>
        <w:tab/>
      </w:r>
      <w:r w:rsidR="00535B06">
        <w:rPr>
          <w:rFonts w:ascii="Arial" w:hAnsi="Arial" w:cs="Arial"/>
          <w:sz w:val="24"/>
          <w:szCs w:val="24"/>
          <w:lang w:val="en-US"/>
        </w:rPr>
        <w:t xml:space="preserve"> Whilst </w:t>
      </w:r>
      <w:r>
        <w:rPr>
          <w:rFonts w:ascii="Arial" w:hAnsi="Arial" w:cs="Arial"/>
          <w:sz w:val="24"/>
          <w:szCs w:val="24"/>
          <w:lang w:val="en-US"/>
        </w:rPr>
        <w:t xml:space="preserve">Mr </w:t>
      </w:r>
      <w:r w:rsidR="00F146FC">
        <w:rPr>
          <w:rFonts w:ascii="Arial" w:hAnsi="Arial" w:cs="Arial"/>
          <w:sz w:val="24"/>
          <w:szCs w:val="24"/>
          <w:lang w:val="en-US"/>
        </w:rPr>
        <w:t xml:space="preserve">Joseph conceded </w:t>
      </w:r>
      <w:r w:rsidR="00535B06">
        <w:rPr>
          <w:rFonts w:ascii="Arial" w:hAnsi="Arial" w:cs="Arial"/>
          <w:sz w:val="24"/>
          <w:szCs w:val="24"/>
          <w:lang w:val="en-US"/>
        </w:rPr>
        <w:t xml:space="preserve">in chief that </w:t>
      </w:r>
      <w:r w:rsidR="00F146FC">
        <w:rPr>
          <w:rFonts w:ascii="Arial" w:hAnsi="Arial" w:cs="Arial"/>
          <w:sz w:val="24"/>
          <w:szCs w:val="24"/>
          <w:lang w:val="en-US"/>
        </w:rPr>
        <w:t>there had not been effecti</w:t>
      </w:r>
      <w:r>
        <w:rPr>
          <w:rFonts w:ascii="Arial" w:hAnsi="Arial" w:cs="Arial"/>
          <w:sz w:val="24"/>
          <w:szCs w:val="24"/>
          <w:lang w:val="en-US"/>
        </w:rPr>
        <w:t>ve service</w:t>
      </w:r>
      <w:r w:rsidR="00535B06">
        <w:rPr>
          <w:rFonts w:ascii="Arial" w:hAnsi="Arial" w:cs="Arial"/>
          <w:sz w:val="24"/>
          <w:szCs w:val="24"/>
          <w:lang w:val="en-US"/>
        </w:rPr>
        <w:t>,</w:t>
      </w:r>
      <w:r>
        <w:rPr>
          <w:rFonts w:ascii="Arial" w:hAnsi="Arial" w:cs="Arial"/>
          <w:sz w:val="24"/>
          <w:szCs w:val="24"/>
          <w:lang w:val="en-US"/>
        </w:rPr>
        <w:t xml:space="preserve"> </w:t>
      </w:r>
      <w:r w:rsidR="00535B06">
        <w:rPr>
          <w:rFonts w:ascii="Arial" w:hAnsi="Arial" w:cs="Arial"/>
          <w:sz w:val="24"/>
          <w:szCs w:val="24"/>
          <w:lang w:val="en-US"/>
        </w:rPr>
        <w:t>he qualified</w:t>
      </w:r>
      <w:r>
        <w:rPr>
          <w:rFonts w:ascii="Arial" w:hAnsi="Arial" w:cs="Arial"/>
          <w:sz w:val="24"/>
          <w:szCs w:val="24"/>
          <w:lang w:val="en-US"/>
        </w:rPr>
        <w:t xml:space="preserve"> </w:t>
      </w:r>
      <w:r w:rsidR="00535B06">
        <w:rPr>
          <w:rFonts w:ascii="Arial" w:hAnsi="Arial" w:cs="Arial"/>
          <w:sz w:val="24"/>
          <w:szCs w:val="24"/>
          <w:lang w:val="en-US"/>
        </w:rPr>
        <w:t>in re</w:t>
      </w:r>
      <w:r w:rsidR="00624B34">
        <w:rPr>
          <w:rFonts w:ascii="Arial" w:hAnsi="Arial" w:cs="Arial"/>
          <w:sz w:val="24"/>
          <w:szCs w:val="24"/>
          <w:lang w:val="en-US"/>
        </w:rPr>
        <w:t>-</w:t>
      </w:r>
      <w:r w:rsidR="00535B06">
        <w:rPr>
          <w:rFonts w:ascii="Arial" w:hAnsi="Arial" w:cs="Arial"/>
          <w:sz w:val="24"/>
          <w:szCs w:val="24"/>
          <w:lang w:val="en-US"/>
        </w:rPr>
        <w:t>examination that there had not been service in terms of the rules. W</w:t>
      </w:r>
      <w:r>
        <w:rPr>
          <w:rFonts w:ascii="Arial" w:hAnsi="Arial" w:cs="Arial"/>
          <w:sz w:val="24"/>
          <w:szCs w:val="24"/>
          <w:lang w:val="en-US"/>
        </w:rPr>
        <w:t>hen asked by the C</w:t>
      </w:r>
      <w:r w:rsidR="00F146FC">
        <w:rPr>
          <w:rFonts w:ascii="Arial" w:hAnsi="Arial" w:cs="Arial"/>
          <w:sz w:val="24"/>
          <w:szCs w:val="24"/>
          <w:lang w:val="en-US"/>
        </w:rPr>
        <w:t>ourt what he understood by effective service, he said he understood it as whether the executor received the summons, and for him they did receive the summons as per th</w:t>
      </w:r>
      <w:r w:rsidR="00CE5EC3">
        <w:rPr>
          <w:rFonts w:ascii="Arial" w:hAnsi="Arial" w:cs="Arial"/>
          <w:sz w:val="24"/>
          <w:szCs w:val="24"/>
          <w:lang w:val="en-US"/>
        </w:rPr>
        <w:t>e January 2016 letter from the First D</w:t>
      </w:r>
      <w:r w:rsidR="00F146FC">
        <w:rPr>
          <w:rFonts w:ascii="Arial" w:hAnsi="Arial" w:cs="Arial"/>
          <w:sz w:val="24"/>
          <w:szCs w:val="24"/>
          <w:lang w:val="en-US"/>
        </w:rPr>
        <w:t>efendant’s attorneys. He had not attended to correcting the citation on the summons earlier as he hoped the matter could be settled out of court.</w:t>
      </w:r>
    </w:p>
    <w:p w:rsidR="006B6B19" w:rsidRDefault="00E6749D" w:rsidP="00AC74BC">
      <w:pPr>
        <w:spacing w:line="480" w:lineRule="auto"/>
        <w:jc w:val="both"/>
        <w:rPr>
          <w:rFonts w:ascii="Arial" w:hAnsi="Arial" w:cs="Arial"/>
          <w:sz w:val="24"/>
          <w:szCs w:val="24"/>
          <w:lang w:val="en-US"/>
        </w:rPr>
      </w:pPr>
      <w:r>
        <w:rPr>
          <w:rFonts w:ascii="Arial" w:hAnsi="Arial" w:cs="Arial"/>
          <w:sz w:val="24"/>
          <w:szCs w:val="24"/>
          <w:lang w:val="en-US"/>
        </w:rPr>
        <w:lastRenderedPageBreak/>
        <w:t>[</w:t>
      </w:r>
      <w:r w:rsidR="00E204F3">
        <w:rPr>
          <w:rFonts w:ascii="Arial" w:hAnsi="Arial" w:cs="Arial"/>
          <w:sz w:val="24"/>
          <w:szCs w:val="24"/>
          <w:lang w:val="en-US"/>
        </w:rPr>
        <w:t>2</w:t>
      </w:r>
      <w:r w:rsidR="00535B06">
        <w:rPr>
          <w:rFonts w:ascii="Arial" w:hAnsi="Arial" w:cs="Arial"/>
          <w:sz w:val="24"/>
          <w:szCs w:val="24"/>
          <w:lang w:val="en-US"/>
        </w:rPr>
        <w:t>9</w:t>
      </w:r>
      <w:r>
        <w:rPr>
          <w:rFonts w:ascii="Arial" w:hAnsi="Arial" w:cs="Arial"/>
          <w:sz w:val="24"/>
          <w:szCs w:val="24"/>
          <w:lang w:val="en-US"/>
        </w:rPr>
        <w:t>]</w:t>
      </w:r>
      <w:r w:rsidR="00CC18CC">
        <w:rPr>
          <w:rFonts w:ascii="Arial" w:hAnsi="Arial" w:cs="Arial"/>
          <w:sz w:val="24"/>
          <w:szCs w:val="24"/>
          <w:lang w:val="en-US"/>
        </w:rPr>
        <w:tab/>
      </w:r>
      <w:r w:rsidR="0046622E">
        <w:rPr>
          <w:rFonts w:ascii="Arial" w:hAnsi="Arial" w:cs="Arial"/>
          <w:sz w:val="24"/>
          <w:szCs w:val="24"/>
          <w:lang w:val="en-US"/>
        </w:rPr>
        <w:t>The Plaintiff testified that she h</w:t>
      </w:r>
      <w:r w:rsidR="00CE5EC3">
        <w:rPr>
          <w:rFonts w:ascii="Arial" w:hAnsi="Arial" w:cs="Arial"/>
          <w:sz w:val="24"/>
          <w:szCs w:val="24"/>
          <w:lang w:val="en-US"/>
        </w:rPr>
        <w:t>ad not personally informed the First D</w:t>
      </w:r>
      <w:r w:rsidR="0046622E">
        <w:rPr>
          <w:rFonts w:ascii="Arial" w:hAnsi="Arial" w:cs="Arial"/>
          <w:sz w:val="24"/>
          <w:szCs w:val="24"/>
          <w:lang w:val="en-US"/>
        </w:rPr>
        <w:t>efendant about steps taken before the MJC</w:t>
      </w:r>
      <w:r w:rsidR="00CE5EC3">
        <w:rPr>
          <w:rFonts w:ascii="Arial" w:hAnsi="Arial" w:cs="Arial"/>
          <w:sz w:val="24"/>
          <w:szCs w:val="24"/>
          <w:lang w:val="en-US"/>
        </w:rPr>
        <w:t>,</w:t>
      </w:r>
      <w:r w:rsidR="0046622E">
        <w:rPr>
          <w:rFonts w:ascii="Arial" w:hAnsi="Arial" w:cs="Arial"/>
          <w:sz w:val="24"/>
          <w:szCs w:val="24"/>
          <w:lang w:val="en-US"/>
        </w:rPr>
        <w:t xml:space="preserve"> nor was she aware that her attorneys had done so. She has not remarried.</w:t>
      </w:r>
    </w:p>
    <w:p w:rsidR="00E1051B" w:rsidRPr="00E1051B" w:rsidRDefault="008707A3" w:rsidP="00E1051B">
      <w:pPr>
        <w:spacing w:line="480" w:lineRule="auto"/>
        <w:jc w:val="both"/>
        <w:rPr>
          <w:rFonts w:ascii="Arial" w:hAnsi="Arial" w:cs="Arial"/>
          <w:b/>
          <w:bCs/>
          <w:sz w:val="24"/>
          <w:szCs w:val="24"/>
          <w:lang w:val="en-US"/>
        </w:rPr>
      </w:pPr>
      <w:r>
        <w:rPr>
          <w:rFonts w:ascii="Arial" w:hAnsi="Arial" w:cs="Arial"/>
          <w:b/>
          <w:bCs/>
          <w:sz w:val="24"/>
          <w:szCs w:val="24"/>
          <w:lang w:val="en-US"/>
        </w:rPr>
        <w:t>Res Judicata</w:t>
      </w:r>
    </w:p>
    <w:p w:rsidR="007D41F6" w:rsidRDefault="0087112C" w:rsidP="00E1051B">
      <w:pPr>
        <w:spacing w:line="480" w:lineRule="auto"/>
        <w:jc w:val="both"/>
        <w:rPr>
          <w:rFonts w:ascii="Arial" w:hAnsi="Arial" w:cs="Arial"/>
          <w:sz w:val="24"/>
          <w:szCs w:val="24"/>
          <w:lang w:val="en-US"/>
        </w:rPr>
      </w:pPr>
      <w:r>
        <w:rPr>
          <w:rFonts w:ascii="Arial" w:hAnsi="Arial" w:cs="Arial"/>
          <w:sz w:val="24"/>
          <w:szCs w:val="24"/>
          <w:lang w:val="en-US"/>
        </w:rPr>
        <w:t>[30</w:t>
      </w:r>
      <w:r w:rsidR="00E1051B">
        <w:rPr>
          <w:rFonts w:ascii="Arial" w:hAnsi="Arial" w:cs="Arial"/>
          <w:sz w:val="24"/>
          <w:szCs w:val="24"/>
          <w:lang w:val="en-US"/>
        </w:rPr>
        <w:t>]</w:t>
      </w:r>
      <w:r w:rsidR="00E1051B">
        <w:rPr>
          <w:rFonts w:ascii="Arial" w:hAnsi="Arial" w:cs="Arial"/>
          <w:sz w:val="24"/>
          <w:szCs w:val="24"/>
          <w:lang w:val="en-US"/>
        </w:rPr>
        <w:tab/>
        <w:t xml:space="preserve">From the above it is clear that in the judgment of August </w:t>
      </w:r>
      <w:r w:rsidR="00CC18CC">
        <w:rPr>
          <w:rFonts w:ascii="Arial" w:hAnsi="Arial" w:cs="Arial"/>
          <w:sz w:val="24"/>
          <w:szCs w:val="24"/>
          <w:lang w:val="en-US"/>
        </w:rPr>
        <w:t>2022 upholding</w:t>
      </w:r>
      <w:r w:rsidR="00535B06">
        <w:rPr>
          <w:rFonts w:ascii="Arial" w:hAnsi="Arial" w:cs="Arial"/>
          <w:sz w:val="24"/>
          <w:szCs w:val="24"/>
          <w:lang w:val="en-US"/>
        </w:rPr>
        <w:t xml:space="preserve"> the exceptions, </w:t>
      </w:r>
      <w:r w:rsidR="00E1051B">
        <w:rPr>
          <w:rFonts w:ascii="Arial" w:hAnsi="Arial" w:cs="Arial"/>
          <w:sz w:val="24"/>
          <w:szCs w:val="24"/>
          <w:lang w:val="en-US"/>
        </w:rPr>
        <w:t>findings</w:t>
      </w:r>
      <w:r>
        <w:rPr>
          <w:rFonts w:ascii="Arial" w:hAnsi="Arial" w:cs="Arial"/>
          <w:sz w:val="24"/>
          <w:szCs w:val="24"/>
          <w:lang w:val="en-US"/>
        </w:rPr>
        <w:t xml:space="preserve"> have already been </w:t>
      </w:r>
      <w:r w:rsidR="00624B34">
        <w:rPr>
          <w:rFonts w:ascii="Arial" w:hAnsi="Arial" w:cs="Arial"/>
          <w:sz w:val="24"/>
          <w:szCs w:val="24"/>
          <w:lang w:val="en-US"/>
        </w:rPr>
        <w:t>made on both</w:t>
      </w:r>
      <w:r w:rsidR="00E1051B">
        <w:rPr>
          <w:rFonts w:ascii="Arial" w:hAnsi="Arial" w:cs="Arial"/>
          <w:sz w:val="24"/>
          <w:szCs w:val="24"/>
          <w:lang w:val="en-US"/>
        </w:rPr>
        <w:t xml:space="preserve"> grounds </w:t>
      </w:r>
      <w:r>
        <w:rPr>
          <w:rFonts w:ascii="Arial" w:hAnsi="Arial" w:cs="Arial"/>
          <w:sz w:val="24"/>
          <w:szCs w:val="24"/>
          <w:lang w:val="en-US"/>
        </w:rPr>
        <w:t xml:space="preserve">of </w:t>
      </w:r>
      <w:r w:rsidR="00E1051B">
        <w:rPr>
          <w:rFonts w:ascii="Arial" w:hAnsi="Arial" w:cs="Arial"/>
          <w:sz w:val="24"/>
          <w:szCs w:val="24"/>
          <w:lang w:val="en-US"/>
        </w:rPr>
        <w:t>the special plea</w:t>
      </w:r>
      <w:r>
        <w:rPr>
          <w:rFonts w:ascii="Arial" w:hAnsi="Arial" w:cs="Arial"/>
          <w:sz w:val="24"/>
          <w:szCs w:val="24"/>
          <w:lang w:val="en-US"/>
        </w:rPr>
        <w:t>.</w:t>
      </w:r>
      <w:r w:rsidR="00E1051B">
        <w:rPr>
          <w:rFonts w:ascii="Arial" w:hAnsi="Arial" w:cs="Arial"/>
          <w:sz w:val="24"/>
          <w:szCs w:val="24"/>
          <w:lang w:val="en-US"/>
        </w:rPr>
        <w:t xml:space="preserve"> I have already </w:t>
      </w:r>
      <w:r w:rsidR="00CE5EC3">
        <w:rPr>
          <w:rFonts w:ascii="Arial" w:hAnsi="Arial" w:cs="Arial"/>
          <w:sz w:val="24"/>
          <w:szCs w:val="24"/>
          <w:lang w:val="en-US"/>
        </w:rPr>
        <w:t xml:space="preserve">found that </w:t>
      </w:r>
      <w:r w:rsidR="00624B34">
        <w:rPr>
          <w:rFonts w:ascii="Arial" w:hAnsi="Arial" w:cs="Arial"/>
          <w:sz w:val="24"/>
          <w:szCs w:val="24"/>
          <w:lang w:val="en-US"/>
        </w:rPr>
        <w:t>the Estates</w:t>
      </w:r>
      <w:r w:rsidR="00E1051B">
        <w:rPr>
          <w:rFonts w:ascii="Arial" w:hAnsi="Arial" w:cs="Arial"/>
          <w:sz w:val="24"/>
          <w:szCs w:val="24"/>
          <w:lang w:val="en-US"/>
        </w:rPr>
        <w:t xml:space="preserve"> Act does not gi</w:t>
      </w:r>
      <w:r w:rsidR="00CE5EC3">
        <w:rPr>
          <w:rFonts w:ascii="Arial" w:hAnsi="Arial" w:cs="Arial"/>
          <w:sz w:val="24"/>
          <w:szCs w:val="24"/>
          <w:lang w:val="en-US"/>
        </w:rPr>
        <w:t>ve the e</w:t>
      </w:r>
      <w:r>
        <w:rPr>
          <w:rFonts w:ascii="Arial" w:hAnsi="Arial" w:cs="Arial"/>
          <w:sz w:val="24"/>
          <w:szCs w:val="24"/>
          <w:lang w:val="en-US"/>
        </w:rPr>
        <w:t>xecutor the power to refuse to</w:t>
      </w:r>
      <w:r w:rsidR="00E1051B">
        <w:rPr>
          <w:rFonts w:ascii="Arial" w:hAnsi="Arial" w:cs="Arial"/>
          <w:sz w:val="24"/>
          <w:szCs w:val="24"/>
          <w:lang w:val="en-US"/>
        </w:rPr>
        <w:t xml:space="preserve"> entertain a claim,</w:t>
      </w:r>
      <w:r>
        <w:rPr>
          <w:rFonts w:ascii="Arial" w:hAnsi="Arial" w:cs="Arial"/>
          <w:sz w:val="24"/>
          <w:szCs w:val="24"/>
          <w:lang w:val="en-US"/>
        </w:rPr>
        <w:t xml:space="preserve"> that the Plaintiff did lodge a claim,</w:t>
      </w:r>
      <w:r w:rsidR="00E1051B">
        <w:rPr>
          <w:rFonts w:ascii="Arial" w:hAnsi="Arial" w:cs="Arial"/>
          <w:sz w:val="24"/>
          <w:szCs w:val="24"/>
          <w:lang w:val="en-US"/>
        </w:rPr>
        <w:t xml:space="preserve"> and</w:t>
      </w:r>
      <w:r>
        <w:rPr>
          <w:rFonts w:ascii="Arial" w:hAnsi="Arial" w:cs="Arial"/>
          <w:sz w:val="24"/>
          <w:szCs w:val="24"/>
          <w:lang w:val="en-US"/>
        </w:rPr>
        <w:t xml:space="preserve"> that there was service on the F</w:t>
      </w:r>
      <w:r w:rsidR="00E1051B">
        <w:rPr>
          <w:rFonts w:ascii="Arial" w:hAnsi="Arial" w:cs="Arial"/>
          <w:sz w:val="24"/>
          <w:szCs w:val="24"/>
          <w:lang w:val="en-US"/>
        </w:rPr>
        <w:t xml:space="preserve">irst </w:t>
      </w:r>
      <w:r>
        <w:rPr>
          <w:rFonts w:ascii="Arial" w:hAnsi="Arial" w:cs="Arial"/>
          <w:sz w:val="24"/>
          <w:szCs w:val="24"/>
          <w:lang w:val="en-US"/>
        </w:rPr>
        <w:t>D</w:t>
      </w:r>
      <w:r w:rsidR="00E1051B">
        <w:rPr>
          <w:rFonts w:ascii="Arial" w:hAnsi="Arial" w:cs="Arial"/>
          <w:sz w:val="24"/>
          <w:szCs w:val="24"/>
          <w:lang w:val="en-US"/>
        </w:rPr>
        <w:t>efendant.</w:t>
      </w:r>
      <w:r w:rsidR="007D41F6">
        <w:rPr>
          <w:rFonts w:ascii="Arial" w:hAnsi="Arial" w:cs="Arial"/>
          <w:sz w:val="24"/>
          <w:szCs w:val="24"/>
          <w:lang w:val="en-US"/>
        </w:rPr>
        <w:t xml:space="preserve"> </w:t>
      </w:r>
      <w:r>
        <w:rPr>
          <w:rFonts w:ascii="Arial" w:hAnsi="Arial" w:cs="Arial"/>
          <w:sz w:val="24"/>
          <w:szCs w:val="24"/>
          <w:lang w:val="en-US"/>
        </w:rPr>
        <w:t xml:space="preserve">In </w:t>
      </w:r>
      <w:r w:rsidR="00CC18CC">
        <w:rPr>
          <w:rFonts w:ascii="Arial" w:hAnsi="Arial" w:cs="Arial"/>
          <w:sz w:val="24"/>
          <w:szCs w:val="24"/>
          <w:lang w:val="en-US"/>
        </w:rPr>
        <w:t>addition,</w:t>
      </w:r>
      <w:r w:rsidR="00E1051B">
        <w:rPr>
          <w:rFonts w:ascii="Arial" w:hAnsi="Arial" w:cs="Arial"/>
          <w:sz w:val="24"/>
          <w:szCs w:val="24"/>
          <w:lang w:val="en-US"/>
        </w:rPr>
        <w:t xml:space="preserve"> my judgment of 22 September has declared the Plaintiff to be a surviving spouse.  </w:t>
      </w:r>
    </w:p>
    <w:p w:rsidR="00243C08" w:rsidRDefault="0087112C" w:rsidP="007D41F6">
      <w:pPr>
        <w:spacing w:line="480" w:lineRule="auto"/>
        <w:jc w:val="both"/>
        <w:rPr>
          <w:rFonts w:ascii="Arial" w:hAnsi="Arial" w:cs="Arial"/>
          <w:sz w:val="24"/>
          <w:szCs w:val="24"/>
          <w:lang w:val="en-US"/>
        </w:rPr>
      </w:pPr>
      <w:r>
        <w:rPr>
          <w:rFonts w:ascii="Arial" w:hAnsi="Arial" w:cs="Arial"/>
          <w:sz w:val="24"/>
          <w:szCs w:val="24"/>
          <w:lang w:val="en-US"/>
        </w:rPr>
        <w:t>[31</w:t>
      </w:r>
      <w:r w:rsidR="007D41F6">
        <w:rPr>
          <w:rFonts w:ascii="Arial" w:hAnsi="Arial" w:cs="Arial"/>
          <w:sz w:val="24"/>
          <w:szCs w:val="24"/>
          <w:lang w:val="en-US"/>
        </w:rPr>
        <w:t>]</w:t>
      </w:r>
      <w:r w:rsidR="00CC18CC">
        <w:rPr>
          <w:rFonts w:ascii="Arial" w:hAnsi="Arial" w:cs="Arial"/>
          <w:sz w:val="24"/>
          <w:szCs w:val="24"/>
          <w:lang w:val="en-US"/>
        </w:rPr>
        <w:tab/>
      </w:r>
      <w:r w:rsidR="007D41F6">
        <w:rPr>
          <w:rFonts w:ascii="Arial" w:hAnsi="Arial" w:cs="Arial"/>
          <w:sz w:val="24"/>
          <w:szCs w:val="24"/>
          <w:lang w:val="en-US"/>
        </w:rPr>
        <w:t>The</w:t>
      </w:r>
      <w:r>
        <w:rPr>
          <w:rFonts w:ascii="Arial" w:hAnsi="Arial" w:cs="Arial"/>
          <w:sz w:val="24"/>
          <w:szCs w:val="24"/>
          <w:lang w:val="en-US"/>
        </w:rPr>
        <w:t xml:space="preserve"> Second D</w:t>
      </w:r>
      <w:r w:rsidR="007D41F6">
        <w:rPr>
          <w:rFonts w:ascii="Arial" w:hAnsi="Arial" w:cs="Arial"/>
          <w:sz w:val="24"/>
          <w:szCs w:val="24"/>
          <w:lang w:val="en-US"/>
        </w:rPr>
        <w:t xml:space="preserve">efendant contends that the evidence led with regards to the special plea, and the amendments to the pleadings since the delivery of my judgment on the exception in August 2022, renders the </w:t>
      </w:r>
      <w:r w:rsidR="00624B34">
        <w:rPr>
          <w:rFonts w:ascii="Arial" w:hAnsi="Arial" w:cs="Arial"/>
          <w:sz w:val="24"/>
          <w:szCs w:val="24"/>
          <w:lang w:val="en-US"/>
        </w:rPr>
        <w:t>judgment no</w:t>
      </w:r>
      <w:r w:rsidR="007D41F6">
        <w:rPr>
          <w:rFonts w:ascii="Arial" w:hAnsi="Arial" w:cs="Arial"/>
          <w:sz w:val="24"/>
          <w:szCs w:val="24"/>
          <w:lang w:val="en-US"/>
        </w:rPr>
        <w:t xml:space="preserve"> longer applicable. I do not agree. T</w:t>
      </w:r>
      <w:r w:rsidR="00243C08">
        <w:rPr>
          <w:rFonts w:ascii="Arial" w:hAnsi="Arial" w:cs="Arial"/>
          <w:sz w:val="24"/>
          <w:szCs w:val="24"/>
          <w:lang w:val="en-US"/>
        </w:rPr>
        <w:t xml:space="preserve">he finding on the first ground, </w:t>
      </w:r>
      <w:r w:rsidR="007D41F6">
        <w:rPr>
          <w:rFonts w:ascii="Arial" w:hAnsi="Arial" w:cs="Arial"/>
          <w:sz w:val="24"/>
          <w:szCs w:val="24"/>
          <w:lang w:val="en-US"/>
        </w:rPr>
        <w:t>that</w:t>
      </w:r>
      <w:r w:rsidR="00CE5EC3">
        <w:rPr>
          <w:rFonts w:ascii="Arial" w:hAnsi="Arial" w:cs="Arial"/>
          <w:sz w:val="24"/>
          <w:szCs w:val="24"/>
          <w:lang w:val="en-US"/>
        </w:rPr>
        <w:t xml:space="preserve"> </w:t>
      </w:r>
      <w:r w:rsidR="00624B34">
        <w:rPr>
          <w:rFonts w:ascii="Arial" w:hAnsi="Arial" w:cs="Arial"/>
          <w:sz w:val="24"/>
          <w:szCs w:val="24"/>
          <w:lang w:val="en-US"/>
        </w:rPr>
        <w:t>the Estates</w:t>
      </w:r>
      <w:r w:rsidR="007D41F6">
        <w:rPr>
          <w:rFonts w:ascii="Arial" w:hAnsi="Arial" w:cs="Arial"/>
          <w:sz w:val="24"/>
          <w:szCs w:val="24"/>
          <w:lang w:val="en-US"/>
        </w:rPr>
        <w:t xml:space="preserve"> Act does not con</w:t>
      </w:r>
      <w:r>
        <w:rPr>
          <w:rFonts w:ascii="Arial" w:hAnsi="Arial" w:cs="Arial"/>
          <w:sz w:val="24"/>
          <w:szCs w:val="24"/>
          <w:lang w:val="en-US"/>
        </w:rPr>
        <w:t>fer the power on an executor to</w:t>
      </w:r>
      <w:r w:rsidR="007D41F6">
        <w:rPr>
          <w:rFonts w:ascii="Arial" w:hAnsi="Arial" w:cs="Arial"/>
          <w:sz w:val="24"/>
          <w:szCs w:val="24"/>
          <w:lang w:val="en-US"/>
        </w:rPr>
        <w:t xml:space="preserve"> refuse to entertain a claim i</w:t>
      </w:r>
      <w:r>
        <w:rPr>
          <w:rFonts w:ascii="Arial" w:hAnsi="Arial" w:cs="Arial"/>
          <w:sz w:val="24"/>
          <w:szCs w:val="24"/>
          <w:lang w:val="en-US"/>
        </w:rPr>
        <w:t>s a legal finding</w:t>
      </w:r>
      <w:r w:rsidR="00071EB4">
        <w:rPr>
          <w:rFonts w:ascii="Arial" w:hAnsi="Arial" w:cs="Arial"/>
          <w:sz w:val="24"/>
          <w:szCs w:val="24"/>
          <w:lang w:val="en-US"/>
        </w:rPr>
        <w:t xml:space="preserve"> which </w:t>
      </w:r>
      <w:r>
        <w:rPr>
          <w:rFonts w:ascii="Arial" w:hAnsi="Arial" w:cs="Arial"/>
          <w:sz w:val="24"/>
          <w:szCs w:val="24"/>
          <w:lang w:val="en-US"/>
        </w:rPr>
        <w:t xml:space="preserve"> </w:t>
      </w:r>
      <w:r w:rsidR="00243C08">
        <w:rPr>
          <w:rFonts w:ascii="Arial" w:hAnsi="Arial" w:cs="Arial"/>
          <w:sz w:val="24"/>
          <w:szCs w:val="24"/>
          <w:lang w:val="en-US"/>
        </w:rPr>
        <w:t>stands</w:t>
      </w:r>
      <w:r w:rsidR="007D41F6">
        <w:rPr>
          <w:rFonts w:ascii="Arial" w:hAnsi="Arial" w:cs="Arial"/>
          <w:sz w:val="24"/>
          <w:szCs w:val="24"/>
          <w:lang w:val="en-US"/>
        </w:rPr>
        <w:t xml:space="preserve"> irrespective of the subsequent evidence and amendments to the special plea. The evidence of Ms Spies and Ms Pfister </w:t>
      </w:r>
      <w:r w:rsidR="00071EB4">
        <w:rPr>
          <w:rFonts w:ascii="Arial" w:hAnsi="Arial" w:cs="Arial"/>
          <w:sz w:val="24"/>
          <w:szCs w:val="24"/>
          <w:lang w:val="en-US"/>
        </w:rPr>
        <w:t>does not</w:t>
      </w:r>
      <w:r w:rsidR="00243C08">
        <w:rPr>
          <w:rFonts w:ascii="Arial" w:hAnsi="Arial" w:cs="Arial"/>
          <w:sz w:val="24"/>
          <w:szCs w:val="24"/>
          <w:lang w:val="en-US"/>
        </w:rPr>
        <w:t xml:space="preserve"> </w:t>
      </w:r>
      <w:r w:rsidR="007D41F6">
        <w:rPr>
          <w:rFonts w:ascii="Arial" w:hAnsi="Arial" w:cs="Arial"/>
          <w:sz w:val="24"/>
          <w:szCs w:val="24"/>
          <w:lang w:val="en-US"/>
        </w:rPr>
        <w:t>unsettle my legal fi</w:t>
      </w:r>
      <w:r w:rsidR="00CE5EC3">
        <w:rPr>
          <w:rFonts w:ascii="Arial" w:hAnsi="Arial" w:cs="Arial"/>
          <w:sz w:val="24"/>
          <w:szCs w:val="24"/>
          <w:lang w:val="en-US"/>
        </w:rPr>
        <w:t xml:space="preserve">nding that </w:t>
      </w:r>
      <w:r w:rsidR="00624B34">
        <w:rPr>
          <w:rFonts w:ascii="Arial" w:hAnsi="Arial" w:cs="Arial"/>
          <w:sz w:val="24"/>
          <w:szCs w:val="24"/>
          <w:lang w:val="en-US"/>
        </w:rPr>
        <w:t>the Estates</w:t>
      </w:r>
      <w:r w:rsidR="007D41F6">
        <w:rPr>
          <w:rFonts w:ascii="Arial" w:hAnsi="Arial" w:cs="Arial"/>
          <w:sz w:val="24"/>
          <w:szCs w:val="24"/>
          <w:lang w:val="en-US"/>
        </w:rPr>
        <w:t xml:space="preserve"> Act does not confer the power on an executor to refuse to entertain a claim. </w:t>
      </w:r>
    </w:p>
    <w:p w:rsidR="007D41F6" w:rsidRDefault="00243C08" w:rsidP="007D41F6">
      <w:pPr>
        <w:spacing w:line="480" w:lineRule="auto"/>
        <w:jc w:val="both"/>
        <w:rPr>
          <w:rFonts w:ascii="Arial" w:hAnsi="Arial" w:cs="Arial"/>
          <w:sz w:val="24"/>
          <w:szCs w:val="24"/>
          <w:lang w:val="en-US"/>
        </w:rPr>
      </w:pPr>
      <w:r>
        <w:rPr>
          <w:rFonts w:ascii="Arial" w:hAnsi="Arial" w:cs="Arial"/>
          <w:sz w:val="24"/>
          <w:szCs w:val="24"/>
          <w:lang w:val="en-US"/>
        </w:rPr>
        <w:t>[</w:t>
      </w:r>
      <w:r w:rsidR="0087112C">
        <w:rPr>
          <w:rFonts w:ascii="Arial" w:hAnsi="Arial" w:cs="Arial"/>
          <w:sz w:val="24"/>
          <w:szCs w:val="24"/>
          <w:lang w:val="en-US"/>
        </w:rPr>
        <w:t>32</w:t>
      </w:r>
      <w:r>
        <w:rPr>
          <w:rFonts w:ascii="Arial" w:hAnsi="Arial" w:cs="Arial"/>
          <w:sz w:val="24"/>
          <w:szCs w:val="24"/>
          <w:lang w:val="en-US"/>
        </w:rPr>
        <w:t xml:space="preserve">] </w:t>
      </w:r>
      <w:r w:rsidR="00C3212D">
        <w:rPr>
          <w:rFonts w:ascii="Arial" w:hAnsi="Arial" w:cs="Arial"/>
          <w:sz w:val="24"/>
          <w:szCs w:val="24"/>
          <w:lang w:val="en-US"/>
        </w:rPr>
        <w:t xml:space="preserve">  </w:t>
      </w:r>
      <w:r>
        <w:rPr>
          <w:rFonts w:ascii="Arial" w:hAnsi="Arial" w:cs="Arial"/>
          <w:sz w:val="24"/>
          <w:szCs w:val="24"/>
          <w:lang w:val="en-US"/>
        </w:rPr>
        <w:t>In respect of the sec</w:t>
      </w:r>
      <w:r w:rsidR="0087112C">
        <w:rPr>
          <w:rFonts w:ascii="Arial" w:hAnsi="Arial" w:cs="Arial"/>
          <w:sz w:val="24"/>
          <w:szCs w:val="24"/>
          <w:lang w:val="en-US"/>
        </w:rPr>
        <w:t>ond ground of the special plea</w:t>
      </w:r>
      <w:r w:rsidR="00674C08">
        <w:rPr>
          <w:rFonts w:ascii="Arial" w:hAnsi="Arial" w:cs="Arial"/>
          <w:sz w:val="24"/>
          <w:szCs w:val="24"/>
          <w:lang w:val="en-US"/>
        </w:rPr>
        <w:t xml:space="preserve">, </w:t>
      </w:r>
      <w:r>
        <w:rPr>
          <w:rFonts w:ascii="Arial" w:hAnsi="Arial" w:cs="Arial"/>
          <w:sz w:val="24"/>
          <w:szCs w:val="24"/>
          <w:lang w:val="en-US"/>
        </w:rPr>
        <w:t>n</w:t>
      </w:r>
      <w:r w:rsidR="007D41F6">
        <w:rPr>
          <w:rFonts w:ascii="Arial" w:hAnsi="Arial" w:cs="Arial"/>
          <w:sz w:val="24"/>
          <w:szCs w:val="24"/>
          <w:lang w:val="en-US"/>
        </w:rPr>
        <w:t xml:space="preserve">otwithstanding the amendment thereto and the </w:t>
      </w:r>
      <w:r>
        <w:rPr>
          <w:rFonts w:ascii="Arial" w:hAnsi="Arial" w:cs="Arial"/>
          <w:sz w:val="24"/>
          <w:szCs w:val="24"/>
          <w:lang w:val="en-US"/>
        </w:rPr>
        <w:t xml:space="preserve">subsequent </w:t>
      </w:r>
      <w:r w:rsidR="007D41F6">
        <w:rPr>
          <w:rFonts w:ascii="Arial" w:hAnsi="Arial" w:cs="Arial"/>
          <w:sz w:val="24"/>
          <w:szCs w:val="24"/>
          <w:lang w:val="en-US"/>
        </w:rPr>
        <w:t>evidence, the essential facts which are not in dispute, were the same at both the exception and special plea hearings.</w:t>
      </w:r>
      <w:r w:rsidR="00674C08">
        <w:rPr>
          <w:rFonts w:ascii="Arial" w:hAnsi="Arial" w:cs="Arial"/>
          <w:sz w:val="24"/>
          <w:szCs w:val="24"/>
          <w:lang w:val="en-US"/>
        </w:rPr>
        <w:t xml:space="preserve"> These were</w:t>
      </w:r>
      <w:r w:rsidR="00CE5EC3">
        <w:rPr>
          <w:rFonts w:ascii="Arial" w:hAnsi="Arial" w:cs="Arial"/>
          <w:sz w:val="24"/>
          <w:szCs w:val="24"/>
          <w:lang w:val="en-US"/>
        </w:rPr>
        <w:t>, as stated above,</w:t>
      </w:r>
      <w:r w:rsidR="00674C08">
        <w:rPr>
          <w:rFonts w:ascii="Arial" w:hAnsi="Arial" w:cs="Arial"/>
          <w:sz w:val="24"/>
          <w:szCs w:val="24"/>
          <w:lang w:val="en-US"/>
        </w:rPr>
        <w:t xml:space="preserve"> service on an </w:t>
      </w:r>
      <w:r w:rsidR="00CC18CC">
        <w:rPr>
          <w:rFonts w:ascii="Arial" w:hAnsi="Arial" w:cs="Arial"/>
          <w:sz w:val="24"/>
          <w:szCs w:val="24"/>
          <w:lang w:val="en-US"/>
        </w:rPr>
        <w:t>entity</w:t>
      </w:r>
      <w:r w:rsidR="00674C08">
        <w:rPr>
          <w:rFonts w:ascii="Arial" w:hAnsi="Arial" w:cs="Arial"/>
          <w:sz w:val="24"/>
          <w:szCs w:val="24"/>
          <w:lang w:val="en-US"/>
        </w:rPr>
        <w:t xml:space="preserve"> cited as executor both in the summon</w:t>
      </w:r>
      <w:r w:rsidR="00CE5EC3">
        <w:rPr>
          <w:rFonts w:ascii="Arial" w:hAnsi="Arial" w:cs="Arial"/>
          <w:sz w:val="24"/>
          <w:szCs w:val="24"/>
          <w:lang w:val="en-US"/>
        </w:rPr>
        <w:t xml:space="preserve">s and particulars of </w:t>
      </w:r>
      <w:r w:rsidR="00624B34">
        <w:rPr>
          <w:rFonts w:ascii="Arial" w:hAnsi="Arial" w:cs="Arial"/>
          <w:sz w:val="24"/>
          <w:szCs w:val="24"/>
          <w:lang w:val="en-US"/>
        </w:rPr>
        <w:t>claim, and</w:t>
      </w:r>
      <w:r w:rsidR="00CE5EC3">
        <w:rPr>
          <w:rFonts w:ascii="Arial" w:hAnsi="Arial" w:cs="Arial"/>
          <w:sz w:val="24"/>
          <w:szCs w:val="24"/>
          <w:lang w:val="en-US"/>
        </w:rPr>
        <w:t xml:space="preserve"> </w:t>
      </w:r>
      <w:r w:rsidR="00674C08">
        <w:rPr>
          <w:rFonts w:ascii="Arial" w:hAnsi="Arial" w:cs="Arial"/>
          <w:sz w:val="24"/>
          <w:szCs w:val="24"/>
          <w:lang w:val="en-US"/>
        </w:rPr>
        <w:t>receipt of the sum</w:t>
      </w:r>
      <w:r w:rsidR="00CE5EC3">
        <w:rPr>
          <w:rFonts w:ascii="Arial" w:hAnsi="Arial" w:cs="Arial"/>
          <w:sz w:val="24"/>
          <w:szCs w:val="24"/>
          <w:lang w:val="en-US"/>
        </w:rPr>
        <w:t xml:space="preserve">mons by </w:t>
      </w:r>
      <w:r w:rsidR="00624B34">
        <w:rPr>
          <w:rFonts w:ascii="Arial" w:hAnsi="Arial" w:cs="Arial"/>
          <w:sz w:val="24"/>
          <w:szCs w:val="24"/>
          <w:lang w:val="en-US"/>
        </w:rPr>
        <w:t>the executor’s</w:t>
      </w:r>
      <w:r w:rsidR="00CE5EC3">
        <w:rPr>
          <w:rFonts w:ascii="Arial" w:hAnsi="Arial" w:cs="Arial"/>
          <w:sz w:val="24"/>
          <w:szCs w:val="24"/>
          <w:lang w:val="en-US"/>
        </w:rPr>
        <w:t xml:space="preserve"> attorne</w:t>
      </w:r>
      <w:r w:rsidR="00624B34">
        <w:rPr>
          <w:rFonts w:ascii="Arial" w:hAnsi="Arial" w:cs="Arial"/>
          <w:sz w:val="24"/>
          <w:szCs w:val="24"/>
          <w:lang w:val="en-US"/>
        </w:rPr>
        <w:t>y</w:t>
      </w:r>
      <w:r w:rsidR="00674C08">
        <w:rPr>
          <w:rFonts w:ascii="Arial" w:hAnsi="Arial" w:cs="Arial"/>
          <w:sz w:val="24"/>
          <w:szCs w:val="24"/>
          <w:lang w:val="en-US"/>
        </w:rPr>
        <w:t xml:space="preserve">, who took no issue with the manner of service and who was fully appraised of the nature of the </w:t>
      </w:r>
      <w:r w:rsidR="00674C08">
        <w:rPr>
          <w:rFonts w:ascii="Arial" w:hAnsi="Arial" w:cs="Arial"/>
          <w:sz w:val="24"/>
          <w:szCs w:val="24"/>
          <w:lang w:val="en-US"/>
        </w:rPr>
        <w:lastRenderedPageBreak/>
        <w:t xml:space="preserve">claim. </w:t>
      </w:r>
      <w:r w:rsidR="006A1700">
        <w:rPr>
          <w:rFonts w:ascii="Arial" w:hAnsi="Arial" w:cs="Arial"/>
          <w:sz w:val="24"/>
          <w:szCs w:val="24"/>
          <w:lang w:val="en-US"/>
        </w:rPr>
        <w:t>In short</w:t>
      </w:r>
      <w:r w:rsidR="00674C08">
        <w:rPr>
          <w:rFonts w:ascii="Arial" w:hAnsi="Arial" w:cs="Arial"/>
          <w:sz w:val="24"/>
          <w:szCs w:val="24"/>
          <w:lang w:val="en-US"/>
        </w:rPr>
        <w:t xml:space="preserve"> </w:t>
      </w:r>
      <w:r w:rsidR="007D41F6">
        <w:rPr>
          <w:rFonts w:ascii="Arial" w:hAnsi="Arial" w:cs="Arial"/>
          <w:sz w:val="24"/>
          <w:szCs w:val="24"/>
          <w:lang w:val="en-US"/>
        </w:rPr>
        <w:t xml:space="preserve">the substance of both special pleas were before me </w:t>
      </w:r>
      <w:r w:rsidR="006A1700">
        <w:rPr>
          <w:rFonts w:ascii="Arial" w:hAnsi="Arial" w:cs="Arial"/>
          <w:sz w:val="24"/>
          <w:szCs w:val="24"/>
          <w:lang w:val="en-US"/>
        </w:rPr>
        <w:t>when the exceptions were argued a</w:t>
      </w:r>
      <w:r w:rsidR="00CE5EC3">
        <w:rPr>
          <w:rFonts w:ascii="Arial" w:hAnsi="Arial" w:cs="Arial"/>
          <w:sz w:val="24"/>
          <w:szCs w:val="24"/>
          <w:lang w:val="en-US"/>
        </w:rPr>
        <w:t>nd were adjudicated upon in my A</w:t>
      </w:r>
      <w:r w:rsidR="006A1700">
        <w:rPr>
          <w:rFonts w:ascii="Arial" w:hAnsi="Arial" w:cs="Arial"/>
          <w:sz w:val="24"/>
          <w:szCs w:val="24"/>
          <w:lang w:val="en-US"/>
        </w:rPr>
        <w:t>ugust 2022 judgment.</w:t>
      </w:r>
      <w:r w:rsidR="007D41F6">
        <w:rPr>
          <w:rFonts w:ascii="Arial" w:hAnsi="Arial" w:cs="Arial"/>
          <w:sz w:val="24"/>
          <w:szCs w:val="24"/>
          <w:lang w:val="en-US"/>
        </w:rPr>
        <w:t xml:space="preserve"> The subseque</w:t>
      </w:r>
      <w:r w:rsidR="00674C08">
        <w:rPr>
          <w:rFonts w:ascii="Arial" w:hAnsi="Arial" w:cs="Arial"/>
          <w:sz w:val="24"/>
          <w:szCs w:val="24"/>
          <w:lang w:val="en-US"/>
        </w:rPr>
        <w:t>nt amendments and evidence take</w:t>
      </w:r>
      <w:r w:rsidR="007D41F6">
        <w:rPr>
          <w:rFonts w:ascii="Arial" w:hAnsi="Arial" w:cs="Arial"/>
          <w:sz w:val="24"/>
          <w:szCs w:val="24"/>
          <w:lang w:val="en-US"/>
        </w:rPr>
        <w:t xml:space="preserve"> the matter no further. </w:t>
      </w:r>
    </w:p>
    <w:p w:rsidR="004857A7" w:rsidRDefault="007D41F6" w:rsidP="004857A7">
      <w:pPr>
        <w:spacing w:line="480" w:lineRule="auto"/>
        <w:jc w:val="both"/>
        <w:rPr>
          <w:rFonts w:ascii="Arial" w:hAnsi="Arial" w:cs="Arial"/>
          <w:sz w:val="24"/>
          <w:szCs w:val="24"/>
          <w:lang w:val="en-US"/>
        </w:rPr>
      </w:pPr>
      <w:r>
        <w:rPr>
          <w:rFonts w:ascii="Arial" w:hAnsi="Arial" w:cs="Arial"/>
          <w:sz w:val="24"/>
          <w:szCs w:val="24"/>
          <w:lang w:val="en-US"/>
        </w:rPr>
        <w:t>[</w:t>
      </w:r>
      <w:r w:rsidR="00D61F0D">
        <w:rPr>
          <w:rFonts w:ascii="Arial" w:hAnsi="Arial" w:cs="Arial"/>
          <w:sz w:val="24"/>
          <w:szCs w:val="24"/>
          <w:lang w:val="en-US"/>
        </w:rPr>
        <w:t>33</w:t>
      </w:r>
      <w:r>
        <w:rPr>
          <w:rFonts w:ascii="Arial" w:hAnsi="Arial" w:cs="Arial"/>
          <w:sz w:val="24"/>
          <w:szCs w:val="24"/>
          <w:lang w:val="en-US"/>
        </w:rPr>
        <w:t>]</w:t>
      </w:r>
      <w:r w:rsidR="00CC18CC">
        <w:rPr>
          <w:rFonts w:ascii="Arial" w:hAnsi="Arial" w:cs="Arial"/>
          <w:sz w:val="24"/>
          <w:szCs w:val="24"/>
          <w:lang w:val="en-US"/>
        </w:rPr>
        <w:tab/>
      </w:r>
      <w:r w:rsidR="007D5B61">
        <w:rPr>
          <w:rFonts w:ascii="Arial" w:hAnsi="Arial" w:cs="Arial"/>
          <w:sz w:val="24"/>
          <w:szCs w:val="24"/>
          <w:lang w:val="en-US"/>
        </w:rPr>
        <w:t>The Plaintiff contends that b</w:t>
      </w:r>
      <w:r w:rsidR="00243C08">
        <w:rPr>
          <w:rFonts w:ascii="Arial" w:hAnsi="Arial" w:cs="Arial"/>
          <w:sz w:val="24"/>
          <w:szCs w:val="24"/>
          <w:lang w:val="en-US"/>
        </w:rPr>
        <w:t>oth grounds of the special plea are accordingly hit by res judicata.</w:t>
      </w:r>
      <w:r w:rsidR="007D5B61">
        <w:rPr>
          <w:rFonts w:ascii="Arial" w:hAnsi="Arial" w:cs="Arial"/>
          <w:sz w:val="24"/>
          <w:szCs w:val="24"/>
          <w:lang w:val="en-US"/>
        </w:rPr>
        <w:t xml:space="preserve"> I agree. </w:t>
      </w:r>
      <w:r w:rsidR="00CC18CC">
        <w:rPr>
          <w:rFonts w:ascii="Arial" w:hAnsi="Arial" w:cs="Arial"/>
          <w:sz w:val="24"/>
          <w:szCs w:val="24"/>
          <w:lang w:val="en-US"/>
        </w:rPr>
        <w:t>The findings</w:t>
      </w:r>
      <w:r w:rsidR="007D5B61">
        <w:rPr>
          <w:rFonts w:ascii="Arial" w:hAnsi="Arial" w:cs="Arial"/>
          <w:sz w:val="24"/>
          <w:szCs w:val="24"/>
          <w:lang w:val="en-US"/>
        </w:rPr>
        <w:t xml:space="preserve"> in my judgments of August and September 2022 stand</w:t>
      </w:r>
      <w:r w:rsidR="00E1051B">
        <w:rPr>
          <w:rFonts w:ascii="Arial" w:hAnsi="Arial" w:cs="Arial"/>
          <w:sz w:val="24"/>
          <w:szCs w:val="24"/>
          <w:lang w:val="en-US"/>
        </w:rPr>
        <w:t xml:space="preserve"> by virtue of the principles of </w:t>
      </w:r>
      <w:r w:rsidR="00E1051B">
        <w:rPr>
          <w:rFonts w:ascii="Arial" w:hAnsi="Arial" w:cs="Arial"/>
          <w:i/>
          <w:sz w:val="24"/>
          <w:szCs w:val="24"/>
          <w:lang w:val="en-US"/>
        </w:rPr>
        <w:t xml:space="preserve">res </w:t>
      </w:r>
      <w:r w:rsidR="00CC18CC">
        <w:rPr>
          <w:rFonts w:ascii="Arial" w:hAnsi="Arial" w:cs="Arial"/>
          <w:i/>
          <w:sz w:val="24"/>
          <w:szCs w:val="24"/>
          <w:lang w:val="en-US"/>
        </w:rPr>
        <w:t xml:space="preserve">judicata </w:t>
      </w:r>
      <w:r w:rsidR="00CC18CC">
        <w:rPr>
          <w:rFonts w:ascii="Arial" w:hAnsi="Arial" w:cs="Arial"/>
          <w:sz w:val="24"/>
          <w:szCs w:val="24"/>
          <w:lang w:val="en-US"/>
        </w:rPr>
        <w:t>in</w:t>
      </w:r>
      <w:r w:rsidR="00E1051B">
        <w:rPr>
          <w:rFonts w:ascii="Arial" w:hAnsi="Arial" w:cs="Arial"/>
          <w:sz w:val="24"/>
          <w:szCs w:val="24"/>
          <w:lang w:val="en-US"/>
        </w:rPr>
        <w:t xml:space="preserve"> terms of which judicial decisions are presumed to be </w:t>
      </w:r>
      <w:r w:rsidR="00CC18CC">
        <w:rPr>
          <w:rFonts w:ascii="Arial" w:hAnsi="Arial" w:cs="Arial"/>
          <w:sz w:val="24"/>
          <w:szCs w:val="24"/>
          <w:lang w:val="en-US"/>
        </w:rPr>
        <w:t>correct and</w:t>
      </w:r>
      <w:r w:rsidR="00E1051B">
        <w:rPr>
          <w:rFonts w:ascii="Arial" w:hAnsi="Arial" w:cs="Arial"/>
          <w:sz w:val="24"/>
          <w:szCs w:val="24"/>
          <w:lang w:val="en-US"/>
        </w:rPr>
        <w:t xml:space="preserve"> effect must be given to a final judgment even </w:t>
      </w:r>
      <w:r w:rsidR="00CC18CC">
        <w:rPr>
          <w:rFonts w:ascii="Arial" w:hAnsi="Arial" w:cs="Arial"/>
          <w:sz w:val="24"/>
          <w:szCs w:val="24"/>
          <w:lang w:val="en-US"/>
        </w:rPr>
        <w:t>if it</w:t>
      </w:r>
      <w:r w:rsidR="00E1051B">
        <w:rPr>
          <w:rFonts w:ascii="Arial" w:hAnsi="Arial" w:cs="Arial"/>
          <w:sz w:val="24"/>
          <w:szCs w:val="24"/>
          <w:lang w:val="en-US"/>
        </w:rPr>
        <w:t xml:space="preserve"> is erroneous. The enquiry is not whether the prior judgment is right or wrong,</w:t>
      </w:r>
      <w:r w:rsidR="006A1700">
        <w:rPr>
          <w:rFonts w:ascii="Arial" w:hAnsi="Arial" w:cs="Arial"/>
          <w:sz w:val="24"/>
          <w:szCs w:val="24"/>
          <w:lang w:val="en-US"/>
        </w:rPr>
        <w:t xml:space="preserve"> </w:t>
      </w:r>
      <w:r w:rsidR="00E1051B">
        <w:rPr>
          <w:rFonts w:ascii="Arial" w:hAnsi="Arial" w:cs="Arial"/>
          <w:sz w:val="24"/>
          <w:szCs w:val="24"/>
          <w:lang w:val="en-US"/>
        </w:rPr>
        <w:t xml:space="preserve">but simply whether there is a judgment. This presumption is irrebutable. See </w:t>
      </w:r>
      <w:r w:rsidR="00E1051B" w:rsidRPr="00787884">
        <w:rPr>
          <w:rFonts w:ascii="Arial" w:hAnsi="Arial" w:cs="Arial"/>
          <w:i/>
          <w:sz w:val="24"/>
          <w:szCs w:val="24"/>
          <w:lang w:val="en-US"/>
        </w:rPr>
        <w:t>African Farms and Townships Ltd v Cape Town Municipality</w:t>
      </w:r>
      <w:r w:rsidR="00E1051B">
        <w:rPr>
          <w:rFonts w:ascii="Arial" w:hAnsi="Arial" w:cs="Arial"/>
          <w:sz w:val="24"/>
          <w:szCs w:val="24"/>
          <w:lang w:val="en-US"/>
        </w:rPr>
        <w:t xml:space="preserve"> 1963 (2) SA 555 (A) 564. The fact that applications for leave to appeal may have been filed against those judgments does not detract from this. </w:t>
      </w:r>
      <w:r w:rsidR="00C20EEC">
        <w:rPr>
          <w:rFonts w:ascii="Arial" w:hAnsi="Arial" w:cs="Arial"/>
          <w:iCs/>
          <w:sz w:val="24"/>
          <w:szCs w:val="24"/>
          <w:lang w:val="en-US"/>
        </w:rPr>
        <w:t xml:space="preserve">Whilst the effect of the applications for leave to appeal is that </w:t>
      </w:r>
      <w:r w:rsidR="00435D52">
        <w:rPr>
          <w:rFonts w:ascii="Arial" w:hAnsi="Arial" w:cs="Arial"/>
          <w:iCs/>
          <w:sz w:val="24"/>
          <w:szCs w:val="24"/>
          <w:lang w:val="en-US"/>
        </w:rPr>
        <w:t>my judgments</w:t>
      </w:r>
      <w:r w:rsidR="008707A3">
        <w:rPr>
          <w:rFonts w:ascii="Arial" w:hAnsi="Arial" w:cs="Arial"/>
          <w:iCs/>
          <w:sz w:val="24"/>
          <w:szCs w:val="24"/>
          <w:lang w:val="en-US"/>
        </w:rPr>
        <w:t xml:space="preserve"> are</w:t>
      </w:r>
      <w:r w:rsidR="00C20EEC">
        <w:rPr>
          <w:rFonts w:ascii="Arial" w:hAnsi="Arial" w:cs="Arial"/>
          <w:iCs/>
          <w:sz w:val="24"/>
          <w:szCs w:val="24"/>
          <w:lang w:val="en-US"/>
        </w:rPr>
        <w:t xml:space="preserve"> suspended, the judgment</w:t>
      </w:r>
      <w:r w:rsidR="008707A3">
        <w:rPr>
          <w:rFonts w:ascii="Arial" w:hAnsi="Arial" w:cs="Arial"/>
          <w:iCs/>
          <w:sz w:val="24"/>
          <w:szCs w:val="24"/>
          <w:lang w:val="en-US"/>
        </w:rPr>
        <w:t>s stand until set aside by a competent court</w:t>
      </w:r>
      <w:r w:rsidR="008707A3">
        <w:rPr>
          <w:rStyle w:val="FootnoteReference"/>
          <w:rFonts w:ascii="Arial" w:hAnsi="Arial" w:cs="Arial"/>
          <w:iCs/>
          <w:sz w:val="24"/>
          <w:szCs w:val="24"/>
          <w:lang w:val="en-US"/>
        </w:rPr>
        <w:footnoteReference w:id="4"/>
      </w:r>
      <w:r w:rsidR="008707A3">
        <w:rPr>
          <w:rFonts w:ascii="Arial" w:hAnsi="Arial" w:cs="Arial"/>
          <w:iCs/>
          <w:sz w:val="24"/>
          <w:szCs w:val="24"/>
          <w:lang w:val="en-US"/>
        </w:rPr>
        <w:t xml:space="preserve">. </w:t>
      </w:r>
    </w:p>
    <w:p w:rsidR="00365F46" w:rsidRDefault="00D61F0D" w:rsidP="00365F46">
      <w:pPr>
        <w:spacing w:line="480" w:lineRule="auto"/>
        <w:jc w:val="both"/>
        <w:rPr>
          <w:rFonts w:ascii="Arial" w:hAnsi="Arial" w:cs="Arial"/>
          <w:sz w:val="24"/>
          <w:szCs w:val="24"/>
          <w:lang w:val="en-US"/>
        </w:rPr>
      </w:pPr>
      <w:r>
        <w:rPr>
          <w:rFonts w:ascii="Arial" w:hAnsi="Arial" w:cs="Arial"/>
          <w:sz w:val="24"/>
          <w:szCs w:val="24"/>
          <w:lang w:val="en-US"/>
        </w:rPr>
        <w:t>[34</w:t>
      </w:r>
      <w:r w:rsidR="00C20EEC">
        <w:rPr>
          <w:rFonts w:ascii="Arial" w:hAnsi="Arial" w:cs="Arial"/>
          <w:sz w:val="24"/>
          <w:szCs w:val="24"/>
          <w:lang w:val="en-US"/>
        </w:rPr>
        <w:t>]</w:t>
      </w:r>
      <w:r w:rsidR="00C20EEC">
        <w:rPr>
          <w:rFonts w:ascii="Arial" w:hAnsi="Arial" w:cs="Arial"/>
          <w:sz w:val="24"/>
          <w:szCs w:val="24"/>
          <w:lang w:val="en-US"/>
        </w:rPr>
        <w:tab/>
        <w:t>As was</w:t>
      </w:r>
      <w:r w:rsidR="001D4234">
        <w:rPr>
          <w:rFonts w:ascii="Arial" w:hAnsi="Arial" w:cs="Arial"/>
          <w:sz w:val="24"/>
          <w:szCs w:val="24"/>
          <w:lang w:val="en-US"/>
        </w:rPr>
        <w:t xml:space="preserve"> contended by </w:t>
      </w:r>
      <w:r w:rsidR="00C20EEC">
        <w:rPr>
          <w:rFonts w:ascii="Arial" w:hAnsi="Arial" w:cs="Arial"/>
          <w:sz w:val="24"/>
          <w:szCs w:val="24"/>
          <w:lang w:val="en-US"/>
        </w:rPr>
        <w:t xml:space="preserve">Mr Hathorn for </w:t>
      </w:r>
      <w:r w:rsidR="001D4234">
        <w:rPr>
          <w:rFonts w:ascii="Arial" w:hAnsi="Arial" w:cs="Arial"/>
          <w:sz w:val="24"/>
          <w:szCs w:val="24"/>
          <w:lang w:val="en-US"/>
        </w:rPr>
        <w:t>the P</w:t>
      </w:r>
      <w:r w:rsidR="00E1051B">
        <w:rPr>
          <w:rFonts w:ascii="Arial" w:hAnsi="Arial" w:cs="Arial"/>
          <w:sz w:val="24"/>
          <w:szCs w:val="24"/>
          <w:lang w:val="en-US"/>
        </w:rPr>
        <w:t xml:space="preserve">laintiff, even if </w:t>
      </w:r>
      <w:r w:rsidR="00E1051B">
        <w:rPr>
          <w:rFonts w:ascii="Arial" w:hAnsi="Arial" w:cs="Arial"/>
          <w:i/>
          <w:sz w:val="24"/>
          <w:szCs w:val="24"/>
          <w:lang w:val="en-US"/>
        </w:rPr>
        <w:t xml:space="preserve">res judicata </w:t>
      </w:r>
      <w:r w:rsidR="00E1051B">
        <w:rPr>
          <w:rFonts w:ascii="Arial" w:hAnsi="Arial" w:cs="Arial"/>
          <w:sz w:val="24"/>
          <w:szCs w:val="24"/>
          <w:lang w:val="en-US"/>
        </w:rPr>
        <w:t>were not applicable, the argument th</w:t>
      </w:r>
      <w:r w:rsidR="001107BB">
        <w:rPr>
          <w:rFonts w:ascii="Arial" w:hAnsi="Arial" w:cs="Arial"/>
          <w:sz w:val="24"/>
          <w:szCs w:val="24"/>
          <w:lang w:val="en-US"/>
        </w:rPr>
        <w:t xml:space="preserve">at an executor has the power </w:t>
      </w:r>
      <w:r w:rsidR="00E1051B">
        <w:rPr>
          <w:rFonts w:ascii="Arial" w:hAnsi="Arial" w:cs="Arial"/>
          <w:sz w:val="24"/>
          <w:szCs w:val="24"/>
          <w:lang w:val="en-US"/>
        </w:rPr>
        <w:t>to</w:t>
      </w:r>
      <w:r w:rsidR="001107BB">
        <w:rPr>
          <w:rFonts w:ascii="Arial" w:hAnsi="Arial" w:cs="Arial"/>
          <w:sz w:val="24"/>
          <w:szCs w:val="24"/>
          <w:lang w:val="en-US"/>
        </w:rPr>
        <w:t xml:space="preserve"> refuse to</w:t>
      </w:r>
      <w:r w:rsidR="00E1051B">
        <w:rPr>
          <w:rFonts w:ascii="Arial" w:hAnsi="Arial" w:cs="Arial"/>
          <w:sz w:val="24"/>
          <w:szCs w:val="24"/>
          <w:lang w:val="en-US"/>
        </w:rPr>
        <w:t xml:space="preserve"> entertain</w:t>
      </w:r>
      <w:r w:rsidR="006A1700">
        <w:rPr>
          <w:rFonts w:ascii="Arial" w:hAnsi="Arial" w:cs="Arial"/>
          <w:sz w:val="24"/>
          <w:szCs w:val="24"/>
          <w:lang w:val="en-US"/>
        </w:rPr>
        <w:t xml:space="preserve"> a claim is without merit. Ms Mc Curdie for the Second D</w:t>
      </w:r>
      <w:r w:rsidR="00E1051B">
        <w:rPr>
          <w:rFonts w:ascii="Arial" w:hAnsi="Arial" w:cs="Arial"/>
          <w:sz w:val="24"/>
          <w:szCs w:val="24"/>
          <w:lang w:val="en-US"/>
        </w:rPr>
        <w:t>efendant did not refe</w:t>
      </w:r>
      <w:r w:rsidR="006A1700">
        <w:rPr>
          <w:rFonts w:ascii="Arial" w:hAnsi="Arial" w:cs="Arial"/>
          <w:sz w:val="24"/>
          <w:szCs w:val="24"/>
          <w:lang w:val="en-US"/>
        </w:rPr>
        <w:t xml:space="preserve">r to any authority, nor to any </w:t>
      </w:r>
      <w:r w:rsidR="00E1051B">
        <w:rPr>
          <w:rFonts w:ascii="Arial" w:hAnsi="Arial" w:cs="Arial"/>
          <w:sz w:val="24"/>
          <w:szCs w:val="24"/>
          <w:lang w:val="en-US"/>
        </w:rPr>
        <w:t>pro</w:t>
      </w:r>
      <w:r w:rsidR="00C20EEC">
        <w:rPr>
          <w:rFonts w:ascii="Arial" w:hAnsi="Arial" w:cs="Arial"/>
          <w:sz w:val="24"/>
          <w:szCs w:val="24"/>
          <w:lang w:val="en-US"/>
        </w:rPr>
        <w:t>visions of the</w:t>
      </w:r>
      <w:r w:rsidR="00E1051B">
        <w:rPr>
          <w:rFonts w:ascii="Arial" w:hAnsi="Arial" w:cs="Arial"/>
          <w:sz w:val="24"/>
          <w:szCs w:val="24"/>
          <w:lang w:val="en-US"/>
        </w:rPr>
        <w:t xml:space="preserve"> Estat</w:t>
      </w:r>
      <w:r w:rsidR="007D5B61">
        <w:rPr>
          <w:rFonts w:ascii="Arial" w:hAnsi="Arial" w:cs="Arial"/>
          <w:sz w:val="24"/>
          <w:szCs w:val="24"/>
          <w:lang w:val="en-US"/>
        </w:rPr>
        <w:t>es Act in support of her stance to the contrary.</w:t>
      </w:r>
      <w:r w:rsidR="00E1051B">
        <w:rPr>
          <w:rFonts w:ascii="Arial" w:hAnsi="Arial" w:cs="Arial"/>
          <w:sz w:val="24"/>
          <w:szCs w:val="24"/>
          <w:lang w:val="en-US"/>
        </w:rPr>
        <w:t xml:space="preserve"> </w:t>
      </w:r>
    </w:p>
    <w:p w:rsidR="00365F46" w:rsidRDefault="00435D52" w:rsidP="00365F46">
      <w:pPr>
        <w:spacing w:line="480" w:lineRule="auto"/>
        <w:jc w:val="both"/>
        <w:rPr>
          <w:rFonts w:ascii="Arial" w:hAnsi="Arial" w:cs="Arial"/>
          <w:sz w:val="24"/>
          <w:szCs w:val="24"/>
          <w:lang w:val="en-US"/>
        </w:rPr>
      </w:pPr>
      <w:r>
        <w:rPr>
          <w:rFonts w:ascii="Arial" w:hAnsi="Arial" w:cs="Arial"/>
          <w:sz w:val="24"/>
          <w:szCs w:val="24"/>
          <w:lang w:val="en-US"/>
        </w:rPr>
        <w:t xml:space="preserve">[35]    </w:t>
      </w:r>
      <w:r w:rsidR="00365F46">
        <w:rPr>
          <w:rFonts w:ascii="Arial" w:hAnsi="Arial" w:cs="Arial"/>
          <w:sz w:val="24"/>
          <w:szCs w:val="24"/>
          <w:lang w:val="en-US"/>
        </w:rPr>
        <w:t xml:space="preserve">In </w:t>
      </w:r>
      <w:r w:rsidR="00365F46" w:rsidRPr="00787884">
        <w:rPr>
          <w:rFonts w:ascii="Arial" w:hAnsi="Arial" w:cs="Arial"/>
          <w:i/>
          <w:sz w:val="24"/>
          <w:szCs w:val="24"/>
          <w:lang w:val="en-US"/>
        </w:rPr>
        <w:t>Faro v Bingham N.O. and others</w:t>
      </w:r>
      <w:r w:rsidR="00365F46">
        <w:rPr>
          <w:rStyle w:val="FootnoteReference"/>
          <w:rFonts w:ascii="Arial" w:hAnsi="Arial" w:cs="Arial"/>
          <w:b/>
          <w:sz w:val="24"/>
          <w:szCs w:val="24"/>
          <w:lang w:val="en-US"/>
        </w:rPr>
        <w:footnoteReference w:id="5"/>
      </w:r>
      <w:r>
        <w:rPr>
          <w:rFonts w:ascii="Arial" w:hAnsi="Arial" w:cs="Arial"/>
          <w:i/>
          <w:sz w:val="24"/>
          <w:szCs w:val="24"/>
          <w:lang w:val="en-US"/>
        </w:rPr>
        <w:t xml:space="preserve"> </w:t>
      </w:r>
      <w:r w:rsidR="00365F46">
        <w:rPr>
          <w:rFonts w:ascii="Arial" w:hAnsi="Arial" w:cs="Arial"/>
          <w:sz w:val="24"/>
          <w:szCs w:val="24"/>
          <w:lang w:val="en-US"/>
        </w:rPr>
        <w:t>in which a dispute about whether the applicant was married to her deceased husband at the time of his death and accordingly entitled to maintenance in terms of the MSSA</w:t>
      </w:r>
      <w:r w:rsidR="00D61F0D">
        <w:rPr>
          <w:rFonts w:ascii="Arial" w:hAnsi="Arial" w:cs="Arial"/>
          <w:sz w:val="24"/>
          <w:szCs w:val="24"/>
          <w:lang w:val="en-US"/>
        </w:rPr>
        <w:t>, her claim</w:t>
      </w:r>
      <w:r w:rsidR="00365F46">
        <w:rPr>
          <w:rFonts w:ascii="Arial" w:hAnsi="Arial" w:cs="Arial"/>
          <w:sz w:val="24"/>
          <w:szCs w:val="24"/>
          <w:lang w:val="en-US"/>
        </w:rPr>
        <w:t xml:space="preserve"> was dealt with as a disputed claim and not as an invalid claim that could not be entertained. Rogers, J stated at paragraph 28:</w:t>
      </w:r>
    </w:p>
    <w:p w:rsidR="00365F46" w:rsidRPr="00CC18CC" w:rsidRDefault="00365F46" w:rsidP="00365F46">
      <w:pPr>
        <w:spacing w:line="480" w:lineRule="auto"/>
        <w:ind w:left="720"/>
        <w:jc w:val="both"/>
        <w:rPr>
          <w:rFonts w:ascii="Arial" w:hAnsi="Arial" w:cs="Arial"/>
          <w:i/>
          <w:lang w:val="en-US"/>
        </w:rPr>
      </w:pPr>
      <w:r w:rsidRPr="00CC18CC">
        <w:rPr>
          <w:rFonts w:ascii="Arial" w:hAnsi="Arial" w:cs="Arial"/>
          <w:i/>
          <w:lang w:val="en-US"/>
        </w:rPr>
        <w:lastRenderedPageBreak/>
        <w:t>“It must be remembered that the primary duty to assess disputed claims lies with the executor . . . An executor is, among other things, required to make due and proper enquiries and to obtain as much information as possible in identifying the beneficiaries.”</w:t>
      </w:r>
    </w:p>
    <w:p w:rsidR="004865DB" w:rsidRDefault="004865DB" w:rsidP="004865DB">
      <w:pPr>
        <w:spacing w:line="480" w:lineRule="auto"/>
        <w:jc w:val="both"/>
        <w:rPr>
          <w:rFonts w:ascii="Arial" w:hAnsi="Arial" w:cs="Arial"/>
          <w:sz w:val="24"/>
          <w:szCs w:val="24"/>
          <w:lang w:val="en-US"/>
        </w:rPr>
      </w:pPr>
      <w:r>
        <w:rPr>
          <w:rFonts w:ascii="Arial" w:hAnsi="Arial" w:cs="Arial"/>
          <w:sz w:val="24"/>
          <w:szCs w:val="24"/>
          <w:lang w:val="en-US"/>
        </w:rPr>
        <w:t>[</w:t>
      </w:r>
      <w:r w:rsidR="00D61F0D">
        <w:rPr>
          <w:rFonts w:ascii="Arial" w:hAnsi="Arial" w:cs="Arial"/>
          <w:sz w:val="24"/>
          <w:szCs w:val="24"/>
          <w:lang w:val="en-US"/>
        </w:rPr>
        <w:t>3</w:t>
      </w:r>
      <w:r w:rsidR="00435D52">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t>The Plaintiff’s claim was a disputed one and should have been investigated as such. The discrepancy between</w:t>
      </w:r>
      <w:r w:rsidR="0071539C">
        <w:rPr>
          <w:rFonts w:ascii="Arial" w:hAnsi="Arial" w:cs="Arial"/>
          <w:sz w:val="24"/>
          <w:szCs w:val="24"/>
          <w:lang w:val="en-US"/>
        </w:rPr>
        <w:t xml:space="preserve"> the</w:t>
      </w:r>
      <w:r>
        <w:rPr>
          <w:rFonts w:ascii="Arial" w:hAnsi="Arial" w:cs="Arial"/>
          <w:sz w:val="24"/>
          <w:szCs w:val="24"/>
          <w:lang w:val="en-US"/>
        </w:rPr>
        <w:t xml:space="preserve"> Plaintiff’s assertion that she was a surviving spouse and the contents of the annulment certificate, suggested a dispute. The letter from Mr Joseph informing that he was formulating his client’s claim conveyed that despite the annulment certificate a claim was being formulated. The submission of the actuarial report on 26 March 2014 was further confirmation. All of this should have conveyed that there was a disputed claim without more. At the very latest the executor ought to have investigated the claim by 26 March 2014.</w:t>
      </w:r>
    </w:p>
    <w:p w:rsidR="00E1051B" w:rsidRDefault="00E1051B" w:rsidP="00E1051B">
      <w:pPr>
        <w:spacing w:line="480" w:lineRule="auto"/>
        <w:jc w:val="both"/>
        <w:rPr>
          <w:rFonts w:ascii="Arial" w:hAnsi="Arial" w:cs="Arial"/>
          <w:sz w:val="24"/>
          <w:szCs w:val="24"/>
          <w:lang w:val="en-US"/>
        </w:rPr>
      </w:pPr>
      <w:r>
        <w:rPr>
          <w:rFonts w:ascii="Arial" w:hAnsi="Arial" w:cs="Arial"/>
          <w:sz w:val="24"/>
          <w:szCs w:val="24"/>
          <w:lang w:val="en-US"/>
        </w:rPr>
        <w:t>[</w:t>
      </w:r>
      <w:r w:rsidR="00D61F0D">
        <w:rPr>
          <w:rFonts w:ascii="Arial" w:hAnsi="Arial" w:cs="Arial"/>
          <w:sz w:val="24"/>
          <w:szCs w:val="24"/>
          <w:lang w:val="en-US"/>
        </w:rPr>
        <w:t>3</w:t>
      </w:r>
      <w:r w:rsidR="00435D52">
        <w:rPr>
          <w:rFonts w:ascii="Arial" w:hAnsi="Arial" w:cs="Arial"/>
          <w:sz w:val="24"/>
          <w:szCs w:val="24"/>
          <w:lang w:val="en-US"/>
        </w:rPr>
        <w:t>7</w:t>
      </w:r>
      <w:r>
        <w:rPr>
          <w:rFonts w:ascii="Arial" w:hAnsi="Arial" w:cs="Arial"/>
          <w:sz w:val="24"/>
          <w:szCs w:val="24"/>
          <w:lang w:val="en-US"/>
        </w:rPr>
        <w:t>]</w:t>
      </w:r>
      <w:r w:rsidR="00CC18CC">
        <w:rPr>
          <w:rFonts w:ascii="Arial" w:hAnsi="Arial" w:cs="Arial"/>
          <w:sz w:val="24"/>
          <w:szCs w:val="24"/>
          <w:lang w:val="en-US"/>
        </w:rPr>
        <w:tab/>
      </w:r>
      <w:r>
        <w:rPr>
          <w:rFonts w:ascii="Arial" w:hAnsi="Arial" w:cs="Arial"/>
          <w:sz w:val="24"/>
          <w:szCs w:val="24"/>
          <w:lang w:val="en-US"/>
        </w:rPr>
        <w:t>The fact that Mr Joseph did not inform Ms Pfister of the challenge to the M</w:t>
      </w:r>
      <w:r w:rsidR="00C20EEC">
        <w:rPr>
          <w:rFonts w:ascii="Arial" w:hAnsi="Arial" w:cs="Arial"/>
          <w:sz w:val="24"/>
          <w:szCs w:val="24"/>
          <w:lang w:val="en-US"/>
        </w:rPr>
        <w:t>JC</w:t>
      </w:r>
      <w:r>
        <w:rPr>
          <w:rFonts w:ascii="Arial" w:hAnsi="Arial" w:cs="Arial"/>
          <w:sz w:val="24"/>
          <w:szCs w:val="24"/>
          <w:lang w:val="en-US"/>
        </w:rPr>
        <w:t>, does not convert the claim into an undisputed one. Nor d</w:t>
      </w:r>
      <w:r w:rsidR="00C20EEC">
        <w:rPr>
          <w:rFonts w:ascii="Arial" w:hAnsi="Arial" w:cs="Arial"/>
          <w:sz w:val="24"/>
          <w:szCs w:val="24"/>
          <w:lang w:val="en-US"/>
        </w:rPr>
        <w:t>oes the mere possession by the First D</w:t>
      </w:r>
      <w:r>
        <w:rPr>
          <w:rFonts w:ascii="Arial" w:hAnsi="Arial" w:cs="Arial"/>
          <w:sz w:val="24"/>
          <w:szCs w:val="24"/>
          <w:lang w:val="en-US"/>
        </w:rPr>
        <w:t xml:space="preserve">efendant of an annulment certificate as suggested in the testimony </w:t>
      </w:r>
      <w:r w:rsidR="00CC18CC">
        <w:rPr>
          <w:rFonts w:ascii="Arial" w:hAnsi="Arial" w:cs="Arial"/>
          <w:sz w:val="24"/>
          <w:szCs w:val="24"/>
          <w:lang w:val="en-US"/>
        </w:rPr>
        <w:t>of Pfister</w:t>
      </w:r>
      <w:r w:rsidR="00C20EEC">
        <w:rPr>
          <w:rFonts w:ascii="Arial" w:hAnsi="Arial" w:cs="Arial"/>
          <w:sz w:val="24"/>
          <w:szCs w:val="24"/>
          <w:lang w:val="en-US"/>
        </w:rPr>
        <w:t xml:space="preserve"> and Spies. The consequences of the </w:t>
      </w:r>
      <w:r w:rsidR="0037067F">
        <w:rPr>
          <w:rFonts w:ascii="Arial" w:hAnsi="Arial" w:cs="Arial"/>
          <w:sz w:val="24"/>
          <w:szCs w:val="24"/>
          <w:lang w:val="en-US"/>
        </w:rPr>
        <w:t xml:space="preserve">unauthorized </w:t>
      </w:r>
      <w:r>
        <w:rPr>
          <w:rFonts w:ascii="Arial" w:hAnsi="Arial" w:cs="Arial"/>
          <w:sz w:val="24"/>
          <w:szCs w:val="24"/>
          <w:lang w:val="en-US"/>
        </w:rPr>
        <w:t xml:space="preserve">stance of the First Defendant is exacerbated by the </w:t>
      </w:r>
      <w:r w:rsidR="0037067F">
        <w:rPr>
          <w:rFonts w:ascii="Arial" w:hAnsi="Arial" w:cs="Arial"/>
          <w:sz w:val="24"/>
          <w:szCs w:val="24"/>
          <w:lang w:val="en-US"/>
        </w:rPr>
        <w:t xml:space="preserve">subsequent findings of </w:t>
      </w:r>
      <w:r>
        <w:rPr>
          <w:rFonts w:ascii="Arial" w:hAnsi="Arial" w:cs="Arial"/>
          <w:sz w:val="24"/>
          <w:szCs w:val="24"/>
          <w:lang w:val="en-US"/>
        </w:rPr>
        <w:t>the MJC and this Court that the Plaintif</w:t>
      </w:r>
      <w:r w:rsidR="00C20EEC">
        <w:rPr>
          <w:rFonts w:ascii="Arial" w:hAnsi="Arial" w:cs="Arial"/>
          <w:sz w:val="24"/>
          <w:szCs w:val="24"/>
          <w:lang w:val="en-US"/>
        </w:rPr>
        <w:t>f was indeed a surviving spouse, and the estate being put on hold.</w:t>
      </w:r>
      <w:r>
        <w:rPr>
          <w:rFonts w:ascii="Arial" w:hAnsi="Arial" w:cs="Arial"/>
          <w:sz w:val="24"/>
          <w:szCs w:val="24"/>
          <w:lang w:val="en-US"/>
        </w:rPr>
        <w:t xml:space="preserve">  </w:t>
      </w:r>
    </w:p>
    <w:p w:rsidR="004865DB" w:rsidRDefault="004865DB" w:rsidP="004865DB">
      <w:pPr>
        <w:spacing w:line="480" w:lineRule="auto"/>
        <w:jc w:val="both"/>
        <w:rPr>
          <w:rFonts w:ascii="Arial" w:hAnsi="Arial" w:cs="Arial"/>
          <w:sz w:val="24"/>
          <w:szCs w:val="24"/>
          <w:lang w:val="en-US"/>
        </w:rPr>
      </w:pPr>
      <w:r>
        <w:rPr>
          <w:rFonts w:ascii="Arial" w:hAnsi="Arial" w:cs="Arial"/>
          <w:sz w:val="24"/>
          <w:szCs w:val="24"/>
          <w:lang w:val="en-US"/>
        </w:rPr>
        <w:t>[</w:t>
      </w:r>
      <w:r w:rsidR="00D61F0D">
        <w:rPr>
          <w:rFonts w:ascii="Arial" w:hAnsi="Arial" w:cs="Arial"/>
          <w:sz w:val="24"/>
          <w:szCs w:val="24"/>
          <w:lang w:val="en-US"/>
        </w:rPr>
        <w:t>3</w:t>
      </w:r>
      <w:r w:rsidR="0063329E">
        <w:rPr>
          <w:rFonts w:ascii="Arial" w:hAnsi="Arial" w:cs="Arial"/>
          <w:sz w:val="24"/>
          <w:szCs w:val="24"/>
          <w:lang w:val="en-US"/>
        </w:rPr>
        <w:t>8</w:t>
      </w:r>
      <w:r>
        <w:rPr>
          <w:rFonts w:ascii="Arial" w:hAnsi="Arial" w:cs="Arial"/>
          <w:sz w:val="24"/>
          <w:szCs w:val="24"/>
          <w:lang w:val="en-US"/>
        </w:rPr>
        <w:t>]</w:t>
      </w:r>
      <w:r w:rsidR="00CC18CC">
        <w:rPr>
          <w:rFonts w:ascii="Arial" w:hAnsi="Arial" w:cs="Arial"/>
          <w:sz w:val="24"/>
          <w:szCs w:val="24"/>
          <w:lang w:val="en-US"/>
        </w:rPr>
        <w:tab/>
      </w:r>
      <w:r>
        <w:rPr>
          <w:rFonts w:ascii="Arial" w:hAnsi="Arial" w:cs="Arial"/>
          <w:sz w:val="24"/>
          <w:szCs w:val="24"/>
          <w:lang w:val="en-US"/>
        </w:rPr>
        <w:t xml:space="preserve"> In failing to assess the Plaintiff’s </w:t>
      </w:r>
      <w:r w:rsidR="00CC18CC">
        <w:rPr>
          <w:rFonts w:ascii="Arial" w:hAnsi="Arial" w:cs="Arial"/>
          <w:sz w:val="24"/>
          <w:szCs w:val="24"/>
          <w:lang w:val="en-US"/>
        </w:rPr>
        <w:t>claim as</w:t>
      </w:r>
      <w:r>
        <w:rPr>
          <w:rFonts w:ascii="Arial" w:hAnsi="Arial" w:cs="Arial"/>
          <w:sz w:val="24"/>
          <w:szCs w:val="24"/>
          <w:lang w:val="en-US"/>
        </w:rPr>
        <w:t xml:space="preserve"> a disputed </w:t>
      </w:r>
      <w:r w:rsidR="00624B34">
        <w:rPr>
          <w:rFonts w:ascii="Arial" w:hAnsi="Arial" w:cs="Arial"/>
          <w:sz w:val="24"/>
          <w:szCs w:val="24"/>
          <w:lang w:val="en-US"/>
        </w:rPr>
        <w:t>one in</w:t>
      </w:r>
      <w:r>
        <w:rPr>
          <w:rFonts w:ascii="Arial" w:hAnsi="Arial" w:cs="Arial"/>
          <w:sz w:val="24"/>
          <w:szCs w:val="24"/>
          <w:lang w:val="en-US"/>
        </w:rPr>
        <w:t xml:space="preserve"> accordance with the procedures provi</w:t>
      </w:r>
      <w:r w:rsidR="00C20EEC">
        <w:rPr>
          <w:rFonts w:ascii="Arial" w:hAnsi="Arial" w:cs="Arial"/>
          <w:sz w:val="24"/>
          <w:szCs w:val="24"/>
          <w:lang w:val="en-US"/>
        </w:rPr>
        <w:t xml:space="preserve">ded for in </w:t>
      </w:r>
      <w:r w:rsidR="00624B34">
        <w:rPr>
          <w:rFonts w:ascii="Arial" w:hAnsi="Arial" w:cs="Arial"/>
          <w:sz w:val="24"/>
          <w:szCs w:val="24"/>
          <w:lang w:val="en-US"/>
        </w:rPr>
        <w:t>the Estates</w:t>
      </w:r>
      <w:r>
        <w:rPr>
          <w:rFonts w:ascii="Arial" w:hAnsi="Arial" w:cs="Arial"/>
          <w:sz w:val="24"/>
          <w:szCs w:val="24"/>
          <w:lang w:val="en-US"/>
        </w:rPr>
        <w:t xml:space="preserve"> Act, and in failing to make due and proper enquiries, the First </w:t>
      </w:r>
      <w:r w:rsidR="00D61F0D">
        <w:rPr>
          <w:rFonts w:ascii="Arial" w:hAnsi="Arial" w:cs="Arial"/>
          <w:sz w:val="24"/>
          <w:szCs w:val="24"/>
          <w:lang w:val="en-US"/>
        </w:rPr>
        <w:t>Defendant</w:t>
      </w:r>
      <w:r>
        <w:rPr>
          <w:rFonts w:ascii="Arial" w:hAnsi="Arial" w:cs="Arial"/>
          <w:sz w:val="24"/>
          <w:szCs w:val="24"/>
          <w:lang w:val="en-US"/>
        </w:rPr>
        <w:t xml:space="preserve"> did not discharge her duty as she </w:t>
      </w:r>
      <w:r w:rsidR="00624B34">
        <w:rPr>
          <w:rFonts w:ascii="Arial" w:hAnsi="Arial" w:cs="Arial"/>
          <w:sz w:val="24"/>
          <w:szCs w:val="24"/>
          <w:lang w:val="en-US"/>
        </w:rPr>
        <w:t>was required</w:t>
      </w:r>
      <w:r>
        <w:rPr>
          <w:rFonts w:ascii="Arial" w:hAnsi="Arial" w:cs="Arial"/>
          <w:sz w:val="24"/>
          <w:szCs w:val="24"/>
          <w:lang w:val="en-US"/>
        </w:rPr>
        <w:t xml:space="preserve"> to do.  Instead</w:t>
      </w:r>
      <w:r w:rsidR="0063329E">
        <w:rPr>
          <w:rFonts w:ascii="Arial" w:hAnsi="Arial" w:cs="Arial"/>
          <w:sz w:val="24"/>
          <w:szCs w:val="24"/>
          <w:lang w:val="en-US"/>
        </w:rPr>
        <w:t>, in</w:t>
      </w:r>
      <w:r w:rsidR="00D61F0D">
        <w:rPr>
          <w:rFonts w:ascii="Arial" w:hAnsi="Arial" w:cs="Arial"/>
          <w:sz w:val="24"/>
          <w:szCs w:val="24"/>
          <w:lang w:val="en-US"/>
        </w:rPr>
        <w:t xml:space="preserve"> refusing to entertain the P</w:t>
      </w:r>
      <w:r>
        <w:rPr>
          <w:rFonts w:ascii="Arial" w:hAnsi="Arial" w:cs="Arial"/>
          <w:sz w:val="24"/>
          <w:szCs w:val="24"/>
          <w:lang w:val="en-US"/>
        </w:rPr>
        <w:t xml:space="preserve">laintiff’s claim and in effect summarily dismissing </w:t>
      </w:r>
      <w:r>
        <w:rPr>
          <w:rFonts w:ascii="Arial" w:hAnsi="Arial" w:cs="Arial"/>
          <w:sz w:val="24"/>
          <w:szCs w:val="24"/>
          <w:lang w:val="en-US"/>
        </w:rPr>
        <w:lastRenderedPageBreak/>
        <w:t>it she exercised powers that were not conferred upon her</w:t>
      </w:r>
      <w:r w:rsidR="0063329E">
        <w:rPr>
          <w:rFonts w:ascii="Arial" w:hAnsi="Arial" w:cs="Arial"/>
          <w:sz w:val="24"/>
          <w:szCs w:val="24"/>
          <w:lang w:val="en-US"/>
        </w:rPr>
        <w:t>, contrary</w:t>
      </w:r>
      <w:r>
        <w:rPr>
          <w:rFonts w:ascii="Arial" w:hAnsi="Arial" w:cs="Arial"/>
          <w:sz w:val="24"/>
          <w:szCs w:val="24"/>
          <w:lang w:val="en-US"/>
        </w:rPr>
        <w:t xml:space="preserve"> to the principle of legality</w:t>
      </w:r>
      <w:r>
        <w:rPr>
          <w:rStyle w:val="FootnoteReference"/>
          <w:rFonts w:ascii="Arial" w:hAnsi="Arial" w:cs="Arial"/>
          <w:sz w:val="24"/>
          <w:szCs w:val="24"/>
          <w:lang w:val="en-US"/>
        </w:rPr>
        <w:footnoteReference w:id="6"/>
      </w:r>
      <w:r>
        <w:rPr>
          <w:rFonts w:ascii="Arial" w:hAnsi="Arial" w:cs="Arial"/>
          <w:sz w:val="24"/>
          <w:szCs w:val="24"/>
          <w:lang w:val="en-US"/>
        </w:rPr>
        <w:t>.</w:t>
      </w:r>
    </w:p>
    <w:p w:rsidR="0069619F" w:rsidRDefault="008C0EBE" w:rsidP="00E1051B">
      <w:pPr>
        <w:spacing w:line="480" w:lineRule="auto"/>
        <w:jc w:val="both"/>
        <w:rPr>
          <w:rFonts w:ascii="Arial" w:hAnsi="Arial" w:cs="Arial"/>
          <w:b/>
          <w:bCs/>
          <w:sz w:val="24"/>
          <w:szCs w:val="24"/>
          <w:lang w:val="en-US"/>
        </w:rPr>
      </w:pPr>
      <w:r w:rsidRPr="008C0EBE">
        <w:rPr>
          <w:rFonts w:ascii="Arial" w:hAnsi="Arial" w:cs="Arial"/>
          <w:bCs/>
          <w:sz w:val="24"/>
          <w:szCs w:val="24"/>
          <w:lang w:val="en-US"/>
        </w:rPr>
        <w:t>[3</w:t>
      </w:r>
      <w:r w:rsidR="0063329E">
        <w:rPr>
          <w:rFonts w:ascii="Arial" w:hAnsi="Arial" w:cs="Arial"/>
          <w:bCs/>
          <w:sz w:val="24"/>
          <w:szCs w:val="24"/>
          <w:lang w:val="en-US"/>
        </w:rPr>
        <w:t>9</w:t>
      </w:r>
      <w:r w:rsidR="00E1051B" w:rsidRPr="008C0EBE">
        <w:rPr>
          <w:rFonts w:ascii="Arial" w:hAnsi="Arial" w:cs="Arial"/>
          <w:bCs/>
          <w:sz w:val="24"/>
          <w:szCs w:val="24"/>
          <w:lang w:val="en-US"/>
        </w:rPr>
        <w:t>]</w:t>
      </w:r>
      <w:r w:rsidR="0069619F">
        <w:rPr>
          <w:rFonts w:ascii="Arial" w:hAnsi="Arial" w:cs="Arial"/>
          <w:b/>
          <w:bCs/>
          <w:sz w:val="24"/>
          <w:szCs w:val="24"/>
          <w:lang w:val="en-US"/>
        </w:rPr>
        <w:t xml:space="preserve"> </w:t>
      </w:r>
      <w:r w:rsidR="0063329E">
        <w:rPr>
          <w:rFonts w:ascii="Arial" w:hAnsi="Arial" w:cs="Arial"/>
          <w:b/>
          <w:bCs/>
          <w:sz w:val="24"/>
          <w:szCs w:val="24"/>
          <w:lang w:val="en-US"/>
        </w:rPr>
        <w:t xml:space="preserve">    </w:t>
      </w:r>
      <w:r w:rsidR="0069619F" w:rsidRPr="0069619F">
        <w:rPr>
          <w:rFonts w:ascii="Arial" w:hAnsi="Arial" w:cs="Arial"/>
          <w:bCs/>
          <w:sz w:val="24"/>
          <w:szCs w:val="24"/>
          <w:lang w:val="en-US"/>
        </w:rPr>
        <w:t>With regard to the second ground of the special plea too,</w:t>
      </w:r>
      <w:r w:rsidR="0069619F">
        <w:rPr>
          <w:rFonts w:ascii="Arial" w:hAnsi="Arial" w:cs="Arial"/>
          <w:b/>
          <w:bCs/>
          <w:sz w:val="24"/>
          <w:szCs w:val="24"/>
          <w:lang w:val="en-US"/>
        </w:rPr>
        <w:t xml:space="preserve"> </w:t>
      </w:r>
      <w:r w:rsidR="0069619F">
        <w:rPr>
          <w:rFonts w:ascii="Arial" w:hAnsi="Arial" w:cs="Arial"/>
          <w:sz w:val="24"/>
          <w:szCs w:val="24"/>
          <w:lang w:val="en-US"/>
        </w:rPr>
        <w:t xml:space="preserve">even if </w:t>
      </w:r>
      <w:r w:rsidR="0069619F">
        <w:rPr>
          <w:rFonts w:ascii="Arial" w:hAnsi="Arial" w:cs="Arial"/>
          <w:i/>
          <w:sz w:val="24"/>
          <w:szCs w:val="24"/>
          <w:lang w:val="en-US"/>
        </w:rPr>
        <w:t xml:space="preserve">res judicata </w:t>
      </w:r>
      <w:r w:rsidR="0069619F">
        <w:rPr>
          <w:rFonts w:ascii="Arial" w:hAnsi="Arial" w:cs="Arial"/>
          <w:sz w:val="24"/>
          <w:szCs w:val="24"/>
          <w:lang w:val="en-US"/>
        </w:rPr>
        <w:t>were not applicable, the argument that</w:t>
      </w:r>
      <w:r w:rsidR="00C20EEC">
        <w:rPr>
          <w:rFonts w:ascii="Arial" w:hAnsi="Arial" w:cs="Arial"/>
          <w:bCs/>
          <w:sz w:val="24"/>
          <w:szCs w:val="24"/>
          <w:lang w:val="en-US"/>
        </w:rPr>
        <w:t xml:space="preserve"> there was no service on the Second D</w:t>
      </w:r>
      <w:r w:rsidR="0069619F" w:rsidRPr="0069619F">
        <w:rPr>
          <w:rFonts w:ascii="Arial" w:hAnsi="Arial" w:cs="Arial"/>
          <w:bCs/>
          <w:sz w:val="24"/>
          <w:szCs w:val="24"/>
          <w:lang w:val="en-US"/>
        </w:rPr>
        <w:t>efendant</w:t>
      </w:r>
      <w:r w:rsidR="0069619F">
        <w:rPr>
          <w:rFonts w:ascii="Arial" w:hAnsi="Arial" w:cs="Arial"/>
          <w:bCs/>
          <w:sz w:val="24"/>
          <w:szCs w:val="24"/>
          <w:lang w:val="en-US"/>
        </w:rPr>
        <w:t>,</w:t>
      </w:r>
      <w:r w:rsidR="00C20EEC">
        <w:rPr>
          <w:rFonts w:ascii="Arial" w:hAnsi="Arial" w:cs="Arial"/>
          <w:bCs/>
          <w:sz w:val="24"/>
          <w:szCs w:val="24"/>
          <w:lang w:val="en-US"/>
        </w:rPr>
        <w:t xml:space="preserve"> is devoid </w:t>
      </w:r>
      <w:r w:rsidR="00624B34">
        <w:rPr>
          <w:rFonts w:ascii="Arial" w:hAnsi="Arial" w:cs="Arial"/>
          <w:bCs/>
          <w:sz w:val="24"/>
          <w:szCs w:val="24"/>
          <w:lang w:val="en-US"/>
        </w:rPr>
        <w:t xml:space="preserve">of </w:t>
      </w:r>
      <w:r w:rsidR="00624B34" w:rsidRPr="0069619F">
        <w:rPr>
          <w:rFonts w:ascii="Arial" w:hAnsi="Arial" w:cs="Arial"/>
          <w:bCs/>
          <w:sz w:val="24"/>
          <w:szCs w:val="24"/>
          <w:lang w:val="en-US"/>
        </w:rPr>
        <w:t>merit</w:t>
      </w:r>
      <w:r w:rsidR="0069619F" w:rsidRPr="0069619F">
        <w:rPr>
          <w:rFonts w:ascii="Arial" w:hAnsi="Arial" w:cs="Arial"/>
          <w:bCs/>
          <w:sz w:val="24"/>
          <w:szCs w:val="24"/>
          <w:lang w:val="en-US"/>
        </w:rPr>
        <w:t>.</w:t>
      </w:r>
      <w:r w:rsidR="0069619F">
        <w:rPr>
          <w:rFonts w:ascii="Arial" w:hAnsi="Arial" w:cs="Arial"/>
          <w:b/>
          <w:bCs/>
          <w:sz w:val="24"/>
          <w:szCs w:val="24"/>
          <w:lang w:val="en-US"/>
        </w:rPr>
        <w:t xml:space="preserve"> </w:t>
      </w:r>
    </w:p>
    <w:p w:rsidR="009D065A" w:rsidRDefault="008C0EBE" w:rsidP="00E1051B">
      <w:pPr>
        <w:spacing w:line="480" w:lineRule="auto"/>
        <w:jc w:val="both"/>
        <w:rPr>
          <w:rFonts w:ascii="Arial" w:hAnsi="Arial" w:cs="Arial"/>
          <w:bCs/>
          <w:sz w:val="24"/>
          <w:szCs w:val="24"/>
          <w:lang w:val="en-US"/>
        </w:rPr>
      </w:pPr>
      <w:r>
        <w:rPr>
          <w:rFonts w:ascii="Arial" w:hAnsi="Arial" w:cs="Arial"/>
          <w:bCs/>
          <w:sz w:val="24"/>
          <w:szCs w:val="24"/>
          <w:lang w:val="en-US"/>
        </w:rPr>
        <w:t>[</w:t>
      </w:r>
      <w:r w:rsidR="0063329E">
        <w:rPr>
          <w:rFonts w:ascii="Arial" w:hAnsi="Arial" w:cs="Arial"/>
          <w:bCs/>
          <w:sz w:val="24"/>
          <w:szCs w:val="24"/>
          <w:lang w:val="en-US"/>
        </w:rPr>
        <w:t>40</w:t>
      </w:r>
      <w:r w:rsidR="00E1051B" w:rsidRPr="003C4C5F">
        <w:rPr>
          <w:rFonts w:ascii="Arial" w:hAnsi="Arial" w:cs="Arial"/>
          <w:bCs/>
          <w:sz w:val="24"/>
          <w:szCs w:val="24"/>
          <w:lang w:val="en-US"/>
        </w:rPr>
        <w:t>]</w:t>
      </w:r>
      <w:r w:rsidR="00E1051B" w:rsidRPr="003C4C5F">
        <w:rPr>
          <w:rFonts w:ascii="Arial" w:hAnsi="Arial" w:cs="Arial"/>
          <w:bCs/>
          <w:sz w:val="24"/>
          <w:szCs w:val="24"/>
          <w:lang w:val="en-US"/>
        </w:rPr>
        <w:tab/>
      </w:r>
      <w:r w:rsidR="0063329E">
        <w:rPr>
          <w:rFonts w:ascii="Arial" w:hAnsi="Arial" w:cs="Arial"/>
          <w:bCs/>
          <w:sz w:val="24"/>
          <w:szCs w:val="24"/>
          <w:lang w:val="en-US"/>
        </w:rPr>
        <w:t xml:space="preserve"> </w:t>
      </w:r>
      <w:r w:rsidR="00E1051B" w:rsidRPr="003C4C5F">
        <w:rPr>
          <w:rFonts w:ascii="Arial" w:hAnsi="Arial" w:cs="Arial"/>
          <w:bCs/>
          <w:sz w:val="24"/>
          <w:szCs w:val="24"/>
          <w:lang w:val="en-US"/>
        </w:rPr>
        <w:t>The essential facts on the service of the summons</w:t>
      </w:r>
      <w:r w:rsidR="00C20EEC">
        <w:rPr>
          <w:rFonts w:ascii="Arial" w:hAnsi="Arial" w:cs="Arial"/>
          <w:bCs/>
          <w:sz w:val="24"/>
          <w:szCs w:val="24"/>
          <w:lang w:val="en-US"/>
        </w:rPr>
        <w:t xml:space="preserve"> as testified by Mr </w:t>
      </w:r>
      <w:r w:rsidR="00624B34">
        <w:rPr>
          <w:rFonts w:ascii="Arial" w:hAnsi="Arial" w:cs="Arial"/>
          <w:bCs/>
          <w:sz w:val="24"/>
          <w:szCs w:val="24"/>
          <w:lang w:val="en-US"/>
        </w:rPr>
        <w:t xml:space="preserve">Joseph, </w:t>
      </w:r>
      <w:r w:rsidR="0071539C">
        <w:rPr>
          <w:rFonts w:ascii="Arial" w:hAnsi="Arial" w:cs="Arial"/>
          <w:bCs/>
          <w:sz w:val="24"/>
          <w:szCs w:val="24"/>
          <w:lang w:val="en-US"/>
        </w:rPr>
        <w:t>the aforementioned</w:t>
      </w:r>
      <w:r w:rsidR="009D065A">
        <w:rPr>
          <w:rFonts w:ascii="Arial" w:hAnsi="Arial" w:cs="Arial"/>
          <w:bCs/>
          <w:sz w:val="24"/>
          <w:szCs w:val="24"/>
          <w:lang w:val="en-US"/>
        </w:rPr>
        <w:t>,</w:t>
      </w:r>
      <w:r w:rsidR="00E1051B" w:rsidRPr="003C4C5F">
        <w:rPr>
          <w:rFonts w:ascii="Arial" w:hAnsi="Arial" w:cs="Arial"/>
          <w:bCs/>
          <w:sz w:val="24"/>
          <w:szCs w:val="24"/>
          <w:lang w:val="en-US"/>
        </w:rPr>
        <w:t xml:space="preserve"> are not in dispute. </w:t>
      </w:r>
      <w:r w:rsidR="009D065A">
        <w:rPr>
          <w:rFonts w:ascii="Arial" w:hAnsi="Arial" w:cs="Arial"/>
          <w:bCs/>
          <w:sz w:val="24"/>
          <w:szCs w:val="24"/>
          <w:lang w:val="en-US"/>
        </w:rPr>
        <w:t xml:space="preserve"> </w:t>
      </w:r>
    </w:p>
    <w:p w:rsidR="00E1051B" w:rsidRDefault="008C0EBE" w:rsidP="00E1051B">
      <w:pPr>
        <w:spacing w:line="480" w:lineRule="auto"/>
        <w:jc w:val="both"/>
        <w:rPr>
          <w:rFonts w:ascii="Arial" w:hAnsi="Arial" w:cs="Arial"/>
          <w:sz w:val="24"/>
          <w:szCs w:val="24"/>
          <w:lang w:val="en-US"/>
        </w:rPr>
      </w:pPr>
      <w:r>
        <w:rPr>
          <w:rFonts w:ascii="Arial" w:hAnsi="Arial" w:cs="Arial"/>
          <w:sz w:val="24"/>
          <w:szCs w:val="24"/>
          <w:lang w:val="en-US"/>
        </w:rPr>
        <w:t>[4</w:t>
      </w:r>
      <w:r w:rsidR="0063329E">
        <w:rPr>
          <w:rFonts w:ascii="Arial" w:hAnsi="Arial" w:cs="Arial"/>
          <w:sz w:val="24"/>
          <w:szCs w:val="24"/>
          <w:lang w:val="en-US"/>
        </w:rPr>
        <w:t>1</w:t>
      </w:r>
      <w:r w:rsidR="008D4E29">
        <w:rPr>
          <w:rFonts w:ascii="Arial" w:hAnsi="Arial" w:cs="Arial"/>
          <w:sz w:val="24"/>
          <w:szCs w:val="24"/>
          <w:lang w:val="en-US"/>
        </w:rPr>
        <w:t>]</w:t>
      </w:r>
      <w:r w:rsidR="00CC18CC">
        <w:rPr>
          <w:rFonts w:ascii="Arial" w:hAnsi="Arial" w:cs="Arial"/>
          <w:sz w:val="24"/>
          <w:szCs w:val="24"/>
          <w:lang w:val="en-US"/>
        </w:rPr>
        <w:tab/>
      </w:r>
      <w:r w:rsidR="009D065A">
        <w:rPr>
          <w:rFonts w:ascii="Arial" w:hAnsi="Arial" w:cs="Arial"/>
          <w:sz w:val="24"/>
          <w:szCs w:val="24"/>
          <w:lang w:val="en-US"/>
        </w:rPr>
        <w:t xml:space="preserve"> </w:t>
      </w:r>
      <w:r w:rsidR="008D4E29">
        <w:rPr>
          <w:rFonts w:ascii="Arial" w:hAnsi="Arial" w:cs="Arial"/>
          <w:sz w:val="24"/>
          <w:szCs w:val="24"/>
          <w:lang w:val="en-US"/>
        </w:rPr>
        <w:t>T</w:t>
      </w:r>
      <w:r w:rsidR="00B41327">
        <w:rPr>
          <w:rFonts w:ascii="Arial" w:hAnsi="Arial" w:cs="Arial"/>
          <w:sz w:val="24"/>
          <w:szCs w:val="24"/>
          <w:lang w:val="en-US"/>
        </w:rPr>
        <w:t xml:space="preserve">he </w:t>
      </w:r>
      <w:r w:rsidR="009D065A">
        <w:rPr>
          <w:rFonts w:ascii="Arial" w:hAnsi="Arial" w:cs="Arial"/>
          <w:sz w:val="24"/>
          <w:szCs w:val="24"/>
          <w:lang w:val="en-US"/>
        </w:rPr>
        <w:t xml:space="preserve">Second Defendant’s </w:t>
      </w:r>
      <w:r w:rsidR="00B41327">
        <w:rPr>
          <w:rFonts w:ascii="Arial" w:hAnsi="Arial" w:cs="Arial"/>
          <w:sz w:val="24"/>
          <w:szCs w:val="24"/>
          <w:lang w:val="en-US"/>
        </w:rPr>
        <w:t>argument that a juristic entity</w:t>
      </w:r>
      <w:r w:rsidR="00E1051B">
        <w:rPr>
          <w:rFonts w:ascii="Arial" w:hAnsi="Arial" w:cs="Arial"/>
          <w:sz w:val="24"/>
          <w:szCs w:val="24"/>
          <w:lang w:val="en-US"/>
        </w:rPr>
        <w:t xml:space="preserve"> is barred from acting as an executor in a deceased estate</w:t>
      </w:r>
      <w:r w:rsidR="00B41327">
        <w:rPr>
          <w:rFonts w:ascii="Arial" w:hAnsi="Arial" w:cs="Arial"/>
          <w:sz w:val="24"/>
          <w:szCs w:val="24"/>
          <w:lang w:val="en-US"/>
        </w:rPr>
        <w:t>, is without merit.</w:t>
      </w:r>
      <w:r w:rsidR="00E1051B">
        <w:rPr>
          <w:rFonts w:ascii="Arial" w:hAnsi="Arial" w:cs="Arial"/>
          <w:sz w:val="24"/>
          <w:szCs w:val="24"/>
          <w:lang w:val="en-US"/>
        </w:rPr>
        <w:t xml:space="preserve"> In terms of section 16</w:t>
      </w:r>
      <w:r w:rsidR="0071539C">
        <w:rPr>
          <w:rFonts w:ascii="Arial" w:hAnsi="Arial" w:cs="Arial"/>
          <w:sz w:val="24"/>
          <w:szCs w:val="24"/>
          <w:lang w:val="en-US"/>
        </w:rPr>
        <w:t xml:space="preserve"> </w:t>
      </w:r>
      <w:r w:rsidR="00E1051B">
        <w:rPr>
          <w:rFonts w:ascii="Arial" w:hAnsi="Arial" w:cs="Arial"/>
          <w:sz w:val="24"/>
          <w:szCs w:val="24"/>
          <w:lang w:val="en-US"/>
        </w:rPr>
        <w:t xml:space="preserve">(a) of the Estates Act, if the appointed executor is a corporation the letters of executorship are to be granted to an officer or a director of the corporation nominated by the testator or the corporation. This occurred in the </w:t>
      </w:r>
      <w:r w:rsidR="009D065A">
        <w:rPr>
          <w:rFonts w:ascii="Arial" w:hAnsi="Arial" w:cs="Arial"/>
          <w:sz w:val="24"/>
          <w:szCs w:val="24"/>
          <w:lang w:val="en-US"/>
        </w:rPr>
        <w:t>present matter.</w:t>
      </w:r>
      <w:r w:rsidR="00B11435">
        <w:rPr>
          <w:rFonts w:ascii="Arial" w:hAnsi="Arial" w:cs="Arial"/>
          <w:sz w:val="24"/>
          <w:szCs w:val="24"/>
          <w:lang w:val="en-US"/>
        </w:rPr>
        <w:t xml:space="preserve"> What als</w:t>
      </w:r>
      <w:r w:rsidR="008D4E29">
        <w:rPr>
          <w:rFonts w:ascii="Arial" w:hAnsi="Arial" w:cs="Arial"/>
          <w:sz w:val="24"/>
          <w:szCs w:val="24"/>
          <w:lang w:val="en-US"/>
        </w:rPr>
        <w:t>o clearly occurred is that the First D</w:t>
      </w:r>
      <w:r w:rsidR="00B11435">
        <w:rPr>
          <w:rFonts w:ascii="Arial" w:hAnsi="Arial" w:cs="Arial"/>
          <w:sz w:val="24"/>
          <w:szCs w:val="24"/>
          <w:lang w:val="en-US"/>
        </w:rPr>
        <w:t>efendant received the summons and knew the case against her.</w:t>
      </w:r>
    </w:p>
    <w:p w:rsidR="0063329E" w:rsidRDefault="008C0EBE" w:rsidP="00E1051B">
      <w:pPr>
        <w:spacing w:line="480" w:lineRule="auto"/>
        <w:jc w:val="both"/>
        <w:rPr>
          <w:rFonts w:ascii="Arial" w:hAnsi="Arial" w:cs="Arial"/>
          <w:sz w:val="24"/>
          <w:szCs w:val="24"/>
          <w:lang w:val="en-US"/>
        </w:rPr>
      </w:pPr>
      <w:r>
        <w:rPr>
          <w:rFonts w:ascii="Arial" w:hAnsi="Arial" w:cs="Arial"/>
          <w:sz w:val="24"/>
          <w:szCs w:val="24"/>
          <w:lang w:val="en-US"/>
        </w:rPr>
        <w:t>[4</w:t>
      </w:r>
      <w:r w:rsidR="0063329E">
        <w:rPr>
          <w:rFonts w:ascii="Arial" w:hAnsi="Arial" w:cs="Arial"/>
          <w:sz w:val="24"/>
          <w:szCs w:val="24"/>
          <w:lang w:val="en-US"/>
        </w:rPr>
        <w:t>2</w:t>
      </w:r>
      <w:r w:rsidR="008D4E29">
        <w:rPr>
          <w:rFonts w:ascii="Arial" w:hAnsi="Arial" w:cs="Arial"/>
          <w:sz w:val="24"/>
          <w:szCs w:val="24"/>
          <w:lang w:val="en-US"/>
        </w:rPr>
        <w:t>]</w:t>
      </w:r>
      <w:r w:rsidR="008D4E29">
        <w:rPr>
          <w:rFonts w:ascii="Arial" w:hAnsi="Arial" w:cs="Arial"/>
          <w:sz w:val="24"/>
          <w:szCs w:val="24"/>
          <w:lang w:val="en-US"/>
        </w:rPr>
        <w:tab/>
        <w:t>The crux of the issue</w:t>
      </w:r>
      <w:r w:rsidR="00E1051B">
        <w:rPr>
          <w:rFonts w:ascii="Arial" w:hAnsi="Arial" w:cs="Arial"/>
          <w:sz w:val="24"/>
          <w:szCs w:val="24"/>
          <w:lang w:val="en-US"/>
        </w:rPr>
        <w:t xml:space="preserve">, as contended </w:t>
      </w:r>
      <w:r w:rsidR="00624B34">
        <w:rPr>
          <w:rFonts w:ascii="Arial" w:hAnsi="Arial" w:cs="Arial"/>
          <w:sz w:val="24"/>
          <w:szCs w:val="24"/>
          <w:lang w:val="en-US"/>
        </w:rPr>
        <w:t>by Mr</w:t>
      </w:r>
      <w:r w:rsidR="00895645">
        <w:rPr>
          <w:rFonts w:ascii="Arial" w:hAnsi="Arial" w:cs="Arial"/>
          <w:sz w:val="24"/>
          <w:szCs w:val="24"/>
          <w:lang w:val="en-US"/>
        </w:rPr>
        <w:t xml:space="preserve"> Hathorn </w:t>
      </w:r>
      <w:r w:rsidR="009D065A">
        <w:rPr>
          <w:rFonts w:ascii="Arial" w:hAnsi="Arial" w:cs="Arial"/>
          <w:sz w:val="24"/>
          <w:szCs w:val="24"/>
          <w:lang w:val="en-US"/>
        </w:rPr>
        <w:t>is whether the service on the First D</w:t>
      </w:r>
      <w:r w:rsidR="00E1051B">
        <w:rPr>
          <w:rFonts w:ascii="Arial" w:hAnsi="Arial" w:cs="Arial"/>
          <w:sz w:val="24"/>
          <w:szCs w:val="24"/>
          <w:lang w:val="en-US"/>
        </w:rPr>
        <w:t>efendant was effective.</w:t>
      </w:r>
      <w:r w:rsidR="008D4E29">
        <w:rPr>
          <w:rFonts w:ascii="Arial" w:hAnsi="Arial" w:cs="Arial"/>
          <w:sz w:val="24"/>
          <w:szCs w:val="24"/>
          <w:lang w:val="en-US"/>
        </w:rPr>
        <w:t xml:space="preserve"> </w:t>
      </w:r>
      <w:r w:rsidR="008F51F4">
        <w:rPr>
          <w:rFonts w:ascii="Arial" w:hAnsi="Arial" w:cs="Arial"/>
          <w:sz w:val="24"/>
          <w:szCs w:val="24"/>
          <w:lang w:val="en-US"/>
        </w:rPr>
        <w:t xml:space="preserve"> In this regard </w:t>
      </w:r>
      <w:r w:rsidR="00895645">
        <w:rPr>
          <w:rFonts w:ascii="Arial" w:hAnsi="Arial" w:cs="Arial"/>
          <w:sz w:val="24"/>
          <w:szCs w:val="24"/>
          <w:lang w:val="en-US"/>
        </w:rPr>
        <w:t>he aptly</w:t>
      </w:r>
      <w:r w:rsidR="008F51F4">
        <w:rPr>
          <w:rFonts w:ascii="Arial" w:hAnsi="Arial" w:cs="Arial"/>
          <w:sz w:val="24"/>
          <w:szCs w:val="24"/>
          <w:lang w:val="en-US"/>
        </w:rPr>
        <w:t xml:space="preserve"> pointed to the importance of distinguishing between substantive and procedural law requirements, and emphasized that the rules of court do not lay down substantive law, but are concerned with the procedure by which substantive rights are enforced</w:t>
      </w:r>
      <w:r w:rsidR="008F51F4">
        <w:rPr>
          <w:rStyle w:val="FootnoteReference"/>
          <w:rFonts w:ascii="Arial" w:hAnsi="Arial" w:cs="Arial"/>
          <w:sz w:val="24"/>
          <w:szCs w:val="24"/>
          <w:lang w:val="en-US"/>
        </w:rPr>
        <w:footnoteReference w:id="7"/>
      </w:r>
      <w:r w:rsidR="003513C2">
        <w:rPr>
          <w:rFonts w:ascii="Arial" w:hAnsi="Arial" w:cs="Arial"/>
          <w:sz w:val="24"/>
          <w:szCs w:val="24"/>
          <w:lang w:val="en-US"/>
        </w:rPr>
        <w:t xml:space="preserve">   </w:t>
      </w:r>
    </w:p>
    <w:p w:rsidR="003513C2" w:rsidRDefault="0063329E" w:rsidP="00E1051B">
      <w:pPr>
        <w:spacing w:line="480" w:lineRule="auto"/>
        <w:jc w:val="both"/>
        <w:rPr>
          <w:rFonts w:ascii="Arial" w:hAnsi="Arial" w:cs="Arial"/>
          <w:sz w:val="24"/>
          <w:szCs w:val="24"/>
          <w:lang w:val="en-US"/>
        </w:rPr>
      </w:pPr>
      <w:r>
        <w:rPr>
          <w:rFonts w:ascii="Arial" w:hAnsi="Arial" w:cs="Arial"/>
          <w:sz w:val="24"/>
          <w:szCs w:val="24"/>
          <w:lang w:val="en-US"/>
        </w:rPr>
        <w:t xml:space="preserve">[43]     </w:t>
      </w:r>
      <w:r w:rsidR="00E1051B">
        <w:rPr>
          <w:rFonts w:ascii="Arial" w:hAnsi="Arial" w:cs="Arial"/>
          <w:sz w:val="24"/>
          <w:szCs w:val="24"/>
          <w:lang w:val="en-US"/>
        </w:rPr>
        <w:t xml:space="preserve">In </w:t>
      </w:r>
      <w:r w:rsidR="00E1051B" w:rsidRPr="00787884">
        <w:rPr>
          <w:rFonts w:ascii="Arial" w:hAnsi="Arial" w:cs="Arial"/>
          <w:i/>
          <w:sz w:val="24"/>
          <w:szCs w:val="24"/>
          <w:lang w:val="en-US"/>
        </w:rPr>
        <w:t>Prism Payment Technologies (Pty) Ltd v Altech Information Technologies (Pty) Ltd</w:t>
      </w:r>
      <w:r w:rsidR="009D065A" w:rsidRPr="00787884">
        <w:rPr>
          <w:rFonts w:ascii="Arial" w:hAnsi="Arial" w:cs="Arial"/>
          <w:i/>
          <w:sz w:val="24"/>
          <w:szCs w:val="24"/>
          <w:lang w:val="en-US"/>
        </w:rPr>
        <w:t xml:space="preserve"> t/a Altech Card Solutions and O</w:t>
      </w:r>
      <w:r w:rsidR="00E1051B" w:rsidRPr="00787884">
        <w:rPr>
          <w:rFonts w:ascii="Arial" w:hAnsi="Arial" w:cs="Arial"/>
          <w:i/>
          <w:sz w:val="24"/>
          <w:szCs w:val="24"/>
          <w:lang w:val="en-US"/>
        </w:rPr>
        <w:t>thers</w:t>
      </w:r>
      <w:r w:rsidR="00E1051B">
        <w:rPr>
          <w:rStyle w:val="FootnoteReference"/>
          <w:rFonts w:ascii="Arial" w:hAnsi="Arial" w:cs="Arial"/>
          <w:b/>
          <w:sz w:val="24"/>
          <w:szCs w:val="24"/>
          <w:lang w:val="en-US"/>
        </w:rPr>
        <w:footnoteReference w:id="8"/>
      </w:r>
      <w:r w:rsidR="00E1051B">
        <w:rPr>
          <w:rFonts w:ascii="Arial" w:hAnsi="Arial" w:cs="Arial"/>
          <w:sz w:val="24"/>
          <w:szCs w:val="24"/>
          <w:lang w:val="en-US"/>
        </w:rPr>
        <w:t>it was stated</w:t>
      </w:r>
      <w:r w:rsidR="003513C2">
        <w:rPr>
          <w:rFonts w:ascii="Arial" w:hAnsi="Arial" w:cs="Arial"/>
          <w:sz w:val="24"/>
          <w:szCs w:val="24"/>
          <w:lang w:val="en-US"/>
        </w:rPr>
        <w:t>:</w:t>
      </w:r>
    </w:p>
    <w:p w:rsidR="00895645" w:rsidRPr="00624B34" w:rsidRDefault="003513C2" w:rsidP="00CC18CC">
      <w:pPr>
        <w:spacing w:line="480" w:lineRule="auto"/>
        <w:ind w:left="720"/>
        <w:jc w:val="both"/>
        <w:rPr>
          <w:rFonts w:ascii="Arial" w:hAnsi="Arial" w:cs="Arial"/>
          <w:i/>
          <w:lang w:val="en-US"/>
        </w:rPr>
      </w:pPr>
      <w:r w:rsidRPr="00624B34">
        <w:rPr>
          <w:rFonts w:ascii="Arial" w:hAnsi="Arial" w:cs="Arial"/>
          <w:i/>
          <w:lang w:val="en-US"/>
        </w:rPr>
        <w:lastRenderedPageBreak/>
        <w:t xml:space="preserve">“Insofar as the substantive law is concerned the requirement is that </w:t>
      </w:r>
      <w:r w:rsidR="00E1051B" w:rsidRPr="00624B34">
        <w:rPr>
          <w:rFonts w:ascii="Arial" w:hAnsi="Arial" w:cs="Arial"/>
          <w:i/>
          <w:lang w:val="en-US"/>
        </w:rPr>
        <w:t>a person who is being sued,</w:t>
      </w:r>
      <w:r w:rsidRPr="00624B34">
        <w:rPr>
          <w:rFonts w:ascii="Arial" w:hAnsi="Arial" w:cs="Arial"/>
          <w:i/>
          <w:lang w:val="en-US"/>
        </w:rPr>
        <w:t xml:space="preserve"> should receive</w:t>
      </w:r>
      <w:r w:rsidR="00E1051B" w:rsidRPr="00624B34">
        <w:rPr>
          <w:rFonts w:ascii="Arial" w:hAnsi="Arial" w:cs="Arial"/>
          <w:i/>
          <w:lang w:val="en-US"/>
        </w:rPr>
        <w:t xml:space="preserve"> notice of the fact</w:t>
      </w:r>
      <w:r w:rsidRPr="00624B34">
        <w:rPr>
          <w:rFonts w:ascii="Arial" w:hAnsi="Arial" w:cs="Arial"/>
          <w:i/>
          <w:lang w:val="en-US"/>
        </w:rPr>
        <w:t xml:space="preserve"> that he is being sued</w:t>
      </w:r>
      <w:r w:rsidR="00E1051B" w:rsidRPr="00624B34">
        <w:rPr>
          <w:rFonts w:ascii="Arial" w:hAnsi="Arial" w:cs="Arial"/>
          <w:i/>
          <w:lang w:val="en-US"/>
        </w:rPr>
        <w:t xml:space="preserve"> by way of delivery </w:t>
      </w:r>
      <w:r w:rsidRPr="00624B34">
        <w:rPr>
          <w:rFonts w:ascii="Arial" w:hAnsi="Arial" w:cs="Arial"/>
          <w:i/>
          <w:lang w:val="en-US"/>
        </w:rPr>
        <w:t xml:space="preserve"> to him </w:t>
      </w:r>
      <w:r w:rsidR="00E1051B" w:rsidRPr="00624B34">
        <w:rPr>
          <w:rFonts w:ascii="Arial" w:hAnsi="Arial" w:cs="Arial"/>
          <w:i/>
          <w:lang w:val="en-US"/>
        </w:rPr>
        <w:t>of</w:t>
      </w:r>
      <w:r w:rsidRPr="00624B34">
        <w:rPr>
          <w:rFonts w:ascii="Arial" w:hAnsi="Arial" w:cs="Arial"/>
          <w:i/>
          <w:lang w:val="en-US"/>
        </w:rPr>
        <w:t xml:space="preserve"> the</w:t>
      </w:r>
      <w:r w:rsidR="00E1051B" w:rsidRPr="00624B34">
        <w:rPr>
          <w:rFonts w:ascii="Arial" w:hAnsi="Arial" w:cs="Arial"/>
          <w:i/>
          <w:lang w:val="en-US"/>
        </w:rPr>
        <w:t xml:space="preserve"> relevant d</w:t>
      </w:r>
      <w:r w:rsidRPr="00624B34">
        <w:rPr>
          <w:rFonts w:ascii="Arial" w:hAnsi="Arial" w:cs="Arial"/>
          <w:i/>
          <w:lang w:val="en-US"/>
        </w:rPr>
        <w:t>ocuments initiating proceedings. If this purpose is achieved, then albeit not in terms of the rules, there has been proper service.”</w:t>
      </w:r>
      <w:r w:rsidR="00E1051B" w:rsidRPr="00624B34">
        <w:rPr>
          <w:rFonts w:ascii="Arial" w:hAnsi="Arial" w:cs="Arial"/>
          <w:i/>
          <w:lang w:val="en-US"/>
        </w:rPr>
        <w:t xml:space="preserve"> </w:t>
      </w:r>
    </w:p>
    <w:p w:rsidR="00DB7AC4" w:rsidRDefault="00895645" w:rsidP="00E1051B">
      <w:pPr>
        <w:spacing w:line="480" w:lineRule="auto"/>
        <w:jc w:val="both"/>
        <w:rPr>
          <w:rFonts w:ascii="Arial" w:hAnsi="Arial" w:cs="Arial"/>
          <w:sz w:val="24"/>
          <w:szCs w:val="24"/>
          <w:lang w:val="en-US"/>
        </w:rPr>
      </w:pPr>
      <w:r>
        <w:rPr>
          <w:rFonts w:ascii="Arial" w:hAnsi="Arial" w:cs="Arial"/>
          <w:sz w:val="24"/>
          <w:szCs w:val="24"/>
          <w:lang w:val="en-US"/>
        </w:rPr>
        <w:t xml:space="preserve">This purpose certainly was achieved in the </w:t>
      </w:r>
      <w:r w:rsidR="008C0EBE">
        <w:rPr>
          <w:rFonts w:ascii="Arial" w:hAnsi="Arial" w:cs="Arial"/>
          <w:sz w:val="24"/>
          <w:szCs w:val="24"/>
          <w:lang w:val="en-US"/>
        </w:rPr>
        <w:t xml:space="preserve">present </w:t>
      </w:r>
      <w:r w:rsidR="00CC18CC">
        <w:rPr>
          <w:rFonts w:ascii="Arial" w:hAnsi="Arial" w:cs="Arial"/>
          <w:sz w:val="24"/>
          <w:szCs w:val="24"/>
          <w:lang w:val="en-US"/>
        </w:rPr>
        <w:t>matter. The</w:t>
      </w:r>
      <w:r>
        <w:rPr>
          <w:rFonts w:ascii="Arial" w:hAnsi="Arial" w:cs="Arial"/>
          <w:sz w:val="24"/>
          <w:szCs w:val="24"/>
          <w:lang w:val="en-US"/>
        </w:rPr>
        <w:t xml:space="preserve"> First </w:t>
      </w:r>
      <w:r w:rsidR="00CC18CC">
        <w:rPr>
          <w:rFonts w:ascii="Arial" w:hAnsi="Arial" w:cs="Arial"/>
          <w:sz w:val="24"/>
          <w:szCs w:val="24"/>
          <w:lang w:val="en-US"/>
        </w:rPr>
        <w:t>Defendant received</w:t>
      </w:r>
      <w:r w:rsidR="00E1051B">
        <w:rPr>
          <w:rFonts w:ascii="Arial" w:hAnsi="Arial" w:cs="Arial"/>
          <w:sz w:val="24"/>
          <w:szCs w:val="24"/>
          <w:lang w:val="en-US"/>
        </w:rPr>
        <w:t xml:space="preserve"> the summons and parti</w:t>
      </w:r>
      <w:r>
        <w:rPr>
          <w:rFonts w:ascii="Arial" w:hAnsi="Arial" w:cs="Arial"/>
          <w:sz w:val="24"/>
          <w:szCs w:val="24"/>
          <w:lang w:val="en-US"/>
        </w:rPr>
        <w:t>culars of claim and</w:t>
      </w:r>
      <w:r w:rsidR="00E1051B">
        <w:rPr>
          <w:rFonts w:ascii="Arial" w:hAnsi="Arial" w:cs="Arial"/>
          <w:sz w:val="24"/>
          <w:szCs w:val="24"/>
          <w:lang w:val="en-US"/>
        </w:rPr>
        <w:t xml:space="preserve"> enter</w:t>
      </w:r>
      <w:r>
        <w:rPr>
          <w:rFonts w:ascii="Arial" w:hAnsi="Arial" w:cs="Arial"/>
          <w:sz w:val="24"/>
          <w:szCs w:val="24"/>
          <w:lang w:val="en-US"/>
        </w:rPr>
        <w:t>ed</w:t>
      </w:r>
      <w:r w:rsidR="00E1051B">
        <w:rPr>
          <w:rFonts w:ascii="Arial" w:hAnsi="Arial" w:cs="Arial"/>
          <w:sz w:val="24"/>
          <w:szCs w:val="24"/>
          <w:lang w:val="en-US"/>
        </w:rPr>
        <w:t xml:space="preserve"> a notice of intention to abide</w:t>
      </w:r>
      <w:r>
        <w:rPr>
          <w:rFonts w:ascii="Arial" w:hAnsi="Arial" w:cs="Arial"/>
          <w:sz w:val="24"/>
          <w:szCs w:val="24"/>
          <w:lang w:val="en-US"/>
        </w:rPr>
        <w:t>. There was thus proper and effective service.</w:t>
      </w:r>
      <w:r w:rsidR="00970915">
        <w:rPr>
          <w:rStyle w:val="FootnoteReference"/>
          <w:rFonts w:ascii="Arial" w:hAnsi="Arial" w:cs="Arial"/>
          <w:sz w:val="24"/>
          <w:szCs w:val="24"/>
          <w:lang w:val="en-US"/>
        </w:rPr>
        <w:footnoteReference w:id="9"/>
      </w:r>
      <w:r w:rsidR="00E1051B">
        <w:rPr>
          <w:rFonts w:ascii="Arial" w:hAnsi="Arial" w:cs="Arial"/>
          <w:sz w:val="24"/>
          <w:szCs w:val="24"/>
          <w:lang w:val="en-US"/>
        </w:rPr>
        <w:t xml:space="preserve"> </w:t>
      </w:r>
    </w:p>
    <w:p w:rsidR="00E1051B" w:rsidRDefault="00DB7AC4" w:rsidP="00E1051B">
      <w:pPr>
        <w:spacing w:line="480" w:lineRule="auto"/>
        <w:jc w:val="both"/>
        <w:rPr>
          <w:rFonts w:ascii="Arial" w:hAnsi="Arial" w:cs="Arial"/>
          <w:sz w:val="24"/>
          <w:szCs w:val="24"/>
          <w:lang w:val="en-US"/>
        </w:rPr>
      </w:pPr>
      <w:r>
        <w:rPr>
          <w:rFonts w:ascii="Arial" w:hAnsi="Arial" w:cs="Arial"/>
          <w:sz w:val="24"/>
          <w:szCs w:val="24"/>
          <w:lang w:val="en-US"/>
        </w:rPr>
        <w:t>[</w:t>
      </w:r>
      <w:r w:rsidR="005C3B96">
        <w:rPr>
          <w:rFonts w:ascii="Arial" w:hAnsi="Arial" w:cs="Arial"/>
          <w:sz w:val="24"/>
          <w:szCs w:val="24"/>
          <w:lang w:val="en-US"/>
        </w:rPr>
        <w:t>4</w:t>
      </w:r>
      <w:r w:rsidR="0063329E">
        <w:rPr>
          <w:rFonts w:ascii="Arial" w:hAnsi="Arial" w:cs="Arial"/>
          <w:sz w:val="24"/>
          <w:szCs w:val="24"/>
          <w:lang w:val="en-US"/>
        </w:rPr>
        <w:t>4</w:t>
      </w:r>
      <w:r>
        <w:rPr>
          <w:rFonts w:ascii="Arial" w:hAnsi="Arial" w:cs="Arial"/>
          <w:sz w:val="24"/>
          <w:szCs w:val="24"/>
          <w:lang w:val="en-US"/>
        </w:rPr>
        <w:t>]</w:t>
      </w:r>
      <w:r w:rsidR="00CC18CC">
        <w:rPr>
          <w:rFonts w:ascii="Arial" w:hAnsi="Arial" w:cs="Arial"/>
          <w:sz w:val="24"/>
          <w:szCs w:val="24"/>
          <w:lang w:val="en-US"/>
        </w:rPr>
        <w:tab/>
      </w:r>
      <w:r w:rsidR="005C3B96">
        <w:rPr>
          <w:rFonts w:ascii="Arial" w:hAnsi="Arial" w:cs="Arial"/>
          <w:sz w:val="24"/>
          <w:szCs w:val="24"/>
          <w:lang w:val="en-US"/>
        </w:rPr>
        <w:t xml:space="preserve">Our Courts have found that </w:t>
      </w:r>
      <w:r w:rsidR="008C0EBE">
        <w:rPr>
          <w:rFonts w:ascii="Arial" w:hAnsi="Arial" w:cs="Arial"/>
          <w:sz w:val="24"/>
          <w:szCs w:val="24"/>
          <w:lang w:val="en-US"/>
        </w:rPr>
        <w:t>n</w:t>
      </w:r>
      <w:r>
        <w:rPr>
          <w:rFonts w:ascii="Arial" w:hAnsi="Arial" w:cs="Arial"/>
          <w:sz w:val="24"/>
          <w:szCs w:val="24"/>
          <w:lang w:val="en-US"/>
        </w:rPr>
        <w:t>on</w:t>
      </w:r>
      <w:r w:rsidR="00624B34">
        <w:rPr>
          <w:rFonts w:ascii="Arial" w:hAnsi="Arial" w:cs="Arial"/>
          <w:sz w:val="24"/>
          <w:szCs w:val="24"/>
          <w:lang w:val="en-US"/>
        </w:rPr>
        <w:t>-</w:t>
      </w:r>
      <w:r>
        <w:rPr>
          <w:rFonts w:ascii="Arial" w:hAnsi="Arial" w:cs="Arial"/>
          <w:sz w:val="24"/>
          <w:szCs w:val="24"/>
          <w:lang w:val="en-US"/>
        </w:rPr>
        <w:t>compliance with the rule</w:t>
      </w:r>
      <w:r w:rsidR="00970915">
        <w:rPr>
          <w:rFonts w:ascii="Arial" w:hAnsi="Arial" w:cs="Arial"/>
          <w:sz w:val="24"/>
          <w:szCs w:val="24"/>
          <w:lang w:val="en-US"/>
        </w:rPr>
        <w:t>s with regard to service becomes</w:t>
      </w:r>
      <w:r>
        <w:rPr>
          <w:rFonts w:ascii="Arial" w:hAnsi="Arial" w:cs="Arial"/>
          <w:sz w:val="24"/>
          <w:szCs w:val="24"/>
          <w:lang w:val="en-US"/>
        </w:rPr>
        <w:t xml:space="preserve"> irre</w:t>
      </w:r>
      <w:r w:rsidR="00970915">
        <w:rPr>
          <w:rFonts w:ascii="Arial" w:hAnsi="Arial" w:cs="Arial"/>
          <w:sz w:val="24"/>
          <w:szCs w:val="24"/>
          <w:lang w:val="en-US"/>
        </w:rPr>
        <w:t>levant if the purpose of the substantive law</w:t>
      </w:r>
      <w:r>
        <w:rPr>
          <w:rFonts w:ascii="Arial" w:hAnsi="Arial" w:cs="Arial"/>
          <w:sz w:val="24"/>
          <w:szCs w:val="24"/>
          <w:lang w:val="en-US"/>
        </w:rPr>
        <w:t xml:space="preserve"> has been achieved</w:t>
      </w:r>
      <w:r w:rsidR="00CC18CC">
        <w:rPr>
          <w:rStyle w:val="FootnoteReference"/>
          <w:rFonts w:ascii="Arial" w:hAnsi="Arial" w:cs="Arial"/>
          <w:sz w:val="24"/>
          <w:szCs w:val="24"/>
          <w:lang w:val="en-US"/>
        </w:rPr>
        <w:footnoteReference w:id="10"/>
      </w:r>
      <w:r w:rsidR="0063329E">
        <w:rPr>
          <w:rFonts w:ascii="Arial" w:hAnsi="Arial" w:cs="Arial"/>
          <w:sz w:val="24"/>
          <w:szCs w:val="24"/>
          <w:lang w:val="en-US"/>
        </w:rPr>
        <w:t>, and</w:t>
      </w:r>
      <w:r w:rsidR="005C3B96">
        <w:rPr>
          <w:rFonts w:ascii="Arial" w:hAnsi="Arial" w:cs="Arial"/>
          <w:sz w:val="24"/>
          <w:szCs w:val="24"/>
          <w:lang w:val="en-US"/>
        </w:rPr>
        <w:t xml:space="preserve"> that </w:t>
      </w:r>
      <w:r>
        <w:rPr>
          <w:rFonts w:ascii="Arial" w:hAnsi="Arial" w:cs="Arial"/>
          <w:sz w:val="24"/>
          <w:szCs w:val="24"/>
          <w:lang w:val="en-US"/>
        </w:rPr>
        <w:t>technical objections to less than perfec</w:t>
      </w:r>
      <w:r w:rsidR="000C5C44">
        <w:rPr>
          <w:rFonts w:ascii="Arial" w:hAnsi="Arial" w:cs="Arial"/>
          <w:sz w:val="24"/>
          <w:szCs w:val="24"/>
          <w:lang w:val="en-US"/>
        </w:rPr>
        <w:t>t</w:t>
      </w:r>
      <w:r>
        <w:rPr>
          <w:rFonts w:ascii="Arial" w:hAnsi="Arial" w:cs="Arial"/>
          <w:sz w:val="24"/>
          <w:szCs w:val="24"/>
          <w:lang w:val="en-US"/>
        </w:rPr>
        <w:t xml:space="preserve"> procedural steps should not be permitted,</w:t>
      </w:r>
      <w:r w:rsidR="000C5C44">
        <w:rPr>
          <w:rFonts w:ascii="Arial" w:hAnsi="Arial" w:cs="Arial"/>
          <w:sz w:val="24"/>
          <w:szCs w:val="24"/>
          <w:lang w:val="en-US"/>
        </w:rPr>
        <w:t xml:space="preserve"> </w:t>
      </w:r>
      <w:r>
        <w:rPr>
          <w:rFonts w:ascii="Arial" w:hAnsi="Arial" w:cs="Arial"/>
          <w:sz w:val="24"/>
          <w:szCs w:val="24"/>
          <w:lang w:val="en-US"/>
        </w:rPr>
        <w:t>in the absence of prejudice</w:t>
      </w:r>
      <w:r w:rsidR="005C3B96">
        <w:rPr>
          <w:rFonts w:ascii="Arial" w:hAnsi="Arial" w:cs="Arial"/>
          <w:sz w:val="24"/>
          <w:szCs w:val="24"/>
          <w:lang w:val="en-US"/>
        </w:rPr>
        <w:t>,</w:t>
      </w:r>
      <w:r>
        <w:rPr>
          <w:rFonts w:ascii="Arial" w:hAnsi="Arial" w:cs="Arial"/>
          <w:sz w:val="24"/>
          <w:szCs w:val="24"/>
          <w:lang w:val="en-US"/>
        </w:rPr>
        <w:t xml:space="preserve"> to interfere with the expeditious</w:t>
      </w:r>
      <w:r w:rsidR="000C5C44">
        <w:rPr>
          <w:rFonts w:ascii="Arial" w:hAnsi="Arial" w:cs="Arial"/>
          <w:sz w:val="24"/>
          <w:szCs w:val="24"/>
          <w:lang w:val="en-US"/>
        </w:rPr>
        <w:t xml:space="preserve"> </w:t>
      </w:r>
      <w:r>
        <w:rPr>
          <w:rFonts w:ascii="Arial" w:hAnsi="Arial" w:cs="Arial"/>
          <w:sz w:val="24"/>
          <w:szCs w:val="24"/>
          <w:lang w:val="en-US"/>
        </w:rPr>
        <w:t xml:space="preserve">and, if </w:t>
      </w:r>
      <w:r w:rsidR="0063329E">
        <w:rPr>
          <w:rFonts w:ascii="Arial" w:hAnsi="Arial" w:cs="Arial"/>
          <w:sz w:val="24"/>
          <w:szCs w:val="24"/>
          <w:lang w:val="en-US"/>
        </w:rPr>
        <w:t>possible,</w:t>
      </w:r>
      <w:r>
        <w:rPr>
          <w:rFonts w:ascii="Arial" w:hAnsi="Arial" w:cs="Arial"/>
          <w:sz w:val="24"/>
          <w:szCs w:val="24"/>
          <w:lang w:val="en-US"/>
        </w:rPr>
        <w:t xml:space="preserve"> inexpensive decision of cases on their real merits</w:t>
      </w:r>
      <w:r w:rsidR="00CC18CC">
        <w:rPr>
          <w:rStyle w:val="FootnoteReference"/>
          <w:rFonts w:ascii="Arial" w:hAnsi="Arial" w:cs="Arial"/>
          <w:sz w:val="24"/>
          <w:szCs w:val="24"/>
          <w:lang w:val="en-US"/>
        </w:rPr>
        <w:footnoteReference w:id="11"/>
      </w:r>
      <w:r>
        <w:rPr>
          <w:rFonts w:ascii="Arial" w:hAnsi="Arial" w:cs="Arial"/>
          <w:sz w:val="24"/>
          <w:szCs w:val="24"/>
          <w:lang w:val="en-US"/>
        </w:rPr>
        <w:t xml:space="preserve">. </w:t>
      </w:r>
      <w:r w:rsidR="000C5C44">
        <w:rPr>
          <w:rFonts w:ascii="Arial" w:hAnsi="Arial" w:cs="Arial"/>
          <w:sz w:val="24"/>
          <w:szCs w:val="24"/>
          <w:lang w:val="en-US"/>
        </w:rPr>
        <w:t xml:space="preserve"> For, as was stated in </w:t>
      </w:r>
      <w:r>
        <w:rPr>
          <w:rFonts w:ascii="Arial" w:hAnsi="Arial" w:cs="Arial"/>
          <w:sz w:val="24"/>
          <w:szCs w:val="24"/>
          <w:lang w:val="en-US"/>
        </w:rPr>
        <w:t>Pris</w:t>
      </w:r>
      <w:r w:rsidR="000C5C44">
        <w:rPr>
          <w:rFonts w:ascii="Arial" w:hAnsi="Arial" w:cs="Arial"/>
          <w:sz w:val="24"/>
          <w:szCs w:val="24"/>
          <w:lang w:val="en-US"/>
        </w:rPr>
        <w:t>m</w:t>
      </w:r>
      <w:r>
        <w:rPr>
          <w:rFonts w:ascii="Arial" w:hAnsi="Arial" w:cs="Arial"/>
          <w:sz w:val="24"/>
          <w:szCs w:val="24"/>
          <w:lang w:val="en-US"/>
        </w:rPr>
        <w:t xml:space="preserve"> supra</w:t>
      </w:r>
      <w:r w:rsidR="003C4C5F">
        <w:rPr>
          <w:rStyle w:val="FootnoteReference"/>
          <w:rFonts w:ascii="Arial" w:hAnsi="Arial" w:cs="Arial"/>
          <w:sz w:val="24"/>
          <w:szCs w:val="24"/>
          <w:lang w:val="en-US"/>
        </w:rPr>
        <w:footnoteReference w:id="12"/>
      </w:r>
      <w:r w:rsidR="000C5C44">
        <w:rPr>
          <w:rFonts w:ascii="Arial" w:hAnsi="Arial" w:cs="Arial"/>
          <w:sz w:val="24"/>
          <w:szCs w:val="24"/>
          <w:lang w:val="en-US"/>
        </w:rPr>
        <w:t xml:space="preserve">, great injustice may follow if service is set aside on the basis of irregularity without </w:t>
      </w:r>
      <w:r w:rsidR="005C3B96">
        <w:rPr>
          <w:rFonts w:ascii="Arial" w:hAnsi="Arial" w:cs="Arial"/>
          <w:sz w:val="24"/>
          <w:szCs w:val="24"/>
          <w:lang w:val="en-US"/>
        </w:rPr>
        <w:t>applying the effectiveness test.</w:t>
      </w:r>
      <w:r w:rsidR="000C5C44">
        <w:rPr>
          <w:rFonts w:ascii="Arial" w:hAnsi="Arial" w:cs="Arial"/>
          <w:sz w:val="24"/>
          <w:szCs w:val="24"/>
          <w:lang w:val="en-US"/>
        </w:rPr>
        <w:t xml:space="preserve">  </w:t>
      </w:r>
    </w:p>
    <w:p w:rsidR="008C0EBE" w:rsidRPr="008C0EBE" w:rsidRDefault="005C3B96" w:rsidP="008C0EBE">
      <w:pPr>
        <w:spacing w:line="480" w:lineRule="auto"/>
        <w:jc w:val="both"/>
        <w:rPr>
          <w:rFonts w:ascii="Arial" w:hAnsi="Arial" w:cs="Arial"/>
          <w:bCs/>
          <w:sz w:val="24"/>
          <w:szCs w:val="24"/>
          <w:lang w:val="en-US"/>
        </w:rPr>
      </w:pPr>
      <w:r>
        <w:rPr>
          <w:rFonts w:ascii="Arial" w:hAnsi="Arial" w:cs="Arial"/>
          <w:bCs/>
          <w:sz w:val="24"/>
          <w:szCs w:val="24"/>
          <w:lang w:val="en-US"/>
        </w:rPr>
        <w:t>[4</w:t>
      </w:r>
      <w:r w:rsidR="0063329E">
        <w:rPr>
          <w:rFonts w:ascii="Arial" w:hAnsi="Arial" w:cs="Arial"/>
          <w:bCs/>
          <w:sz w:val="24"/>
          <w:szCs w:val="24"/>
          <w:lang w:val="en-US"/>
        </w:rPr>
        <w:t>5</w:t>
      </w:r>
      <w:r w:rsidR="008C0EBE" w:rsidRPr="008C0EBE">
        <w:rPr>
          <w:rFonts w:ascii="Arial" w:hAnsi="Arial" w:cs="Arial"/>
          <w:bCs/>
          <w:sz w:val="24"/>
          <w:szCs w:val="24"/>
          <w:lang w:val="en-US"/>
        </w:rPr>
        <w:t>]</w:t>
      </w:r>
      <w:r w:rsidR="008C0EBE" w:rsidRPr="008C0EBE">
        <w:rPr>
          <w:rFonts w:ascii="Arial" w:hAnsi="Arial" w:cs="Arial"/>
          <w:bCs/>
          <w:sz w:val="24"/>
          <w:szCs w:val="24"/>
          <w:lang w:val="en-US"/>
        </w:rPr>
        <w:tab/>
        <w:t>The last word on the issue</w:t>
      </w:r>
      <w:r w:rsidR="008C0EBE">
        <w:rPr>
          <w:rFonts w:ascii="Arial" w:hAnsi="Arial" w:cs="Arial"/>
          <w:bCs/>
          <w:sz w:val="24"/>
          <w:szCs w:val="24"/>
          <w:lang w:val="en-US"/>
        </w:rPr>
        <w:t xml:space="preserve"> of service,</w:t>
      </w:r>
      <w:r w:rsidR="008C0EBE" w:rsidRPr="008C0EBE">
        <w:rPr>
          <w:rFonts w:ascii="Arial" w:hAnsi="Arial" w:cs="Arial"/>
          <w:bCs/>
          <w:sz w:val="24"/>
          <w:szCs w:val="24"/>
          <w:lang w:val="en-US"/>
        </w:rPr>
        <w:t xml:space="preserve"> is to note the unusual</w:t>
      </w:r>
      <w:r w:rsidR="008C0EBE">
        <w:rPr>
          <w:rFonts w:ascii="Arial" w:hAnsi="Arial" w:cs="Arial"/>
          <w:bCs/>
          <w:sz w:val="24"/>
          <w:szCs w:val="24"/>
          <w:lang w:val="en-US"/>
        </w:rPr>
        <w:t xml:space="preserve">, </w:t>
      </w:r>
      <w:r w:rsidR="008C0EBE" w:rsidRPr="008C0EBE">
        <w:rPr>
          <w:rFonts w:ascii="Arial" w:hAnsi="Arial" w:cs="Arial"/>
          <w:bCs/>
          <w:sz w:val="24"/>
          <w:szCs w:val="24"/>
          <w:lang w:val="en-US"/>
        </w:rPr>
        <w:t>somewhat astonishing fact</w:t>
      </w:r>
      <w:r w:rsidR="001A0924">
        <w:rPr>
          <w:rFonts w:ascii="Arial" w:hAnsi="Arial" w:cs="Arial"/>
          <w:bCs/>
          <w:sz w:val="24"/>
          <w:szCs w:val="24"/>
          <w:lang w:val="en-US"/>
        </w:rPr>
        <w:t xml:space="preserve">, as </w:t>
      </w:r>
      <w:r w:rsidR="00624B34">
        <w:rPr>
          <w:rFonts w:ascii="Arial" w:hAnsi="Arial" w:cs="Arial"/>
          <w:bCs/>
          <w:sz w:val="24"/>
          <w:szCs w:val="24"/>
          <w:lang w:val="en-US"/>
        </w:rPr>
        <w:t>alluded</w:t>
      </w:r>
      <w:r w:rsidR="001A0924">
        <w:rPr>
          <w:rFonts w:ascii="Arial" w:hAnsi="Arial" w:cs="Arial"/>
          <w:bCs/>
          <w:sz w:val="24"/>
          <w:szCs w:val="24"/>
          <w:lang w:val="en-US"/>
        </w:rPr>
        <w:t xml:space="preserve"> to by Mr Hathorn,</w:t>
      </w:r>
      <w:r w:rsidR="008C0EBE" w:rsidRPr="008C0EBE">
        <w:rPr>
          <w:rFonts w:ascii="Arial" w:hAnsi="Arial" w:cs="Arial"/>
          <w:bCs/>
          <w:sz w:val="24"/>
          <w:szCs w:val="24"/>
          <w:lang w:val="en-US"/>
        </w:rPr>
        <w:t xml:space="preserve"> that after more than seven years</w:t>
      </w:r>
      <w:r w:rsidR="001A0924">
        <w:rPr>
          <w:rFonts w:ascii="Arial" w:hAnsi="Arial" w:cs="Arial"/>
          <w:bCs/>
          <w:sz w:val="24"/>
          <w:szCs w:val="24"/>
          <w:lang w:val="en-US"/>
        </w:rPr>
        <w:t xml:space="preserve"> of protracted litigation, the Second D</w:t>
      </w:r>
      <w:r w:rsidR="008C0EBE" w:rsidRPr="008C0EBE">
        <w:rPr>
          <w:rFonts w:ascii="Arial" w:hAnsi="Arial" w:cs="Arial"/>
          <w:bCs/>
          <w:sz w:val="24"/>
          <w:szCs w:val="24"/>
          <w:lang w:val="en-US"/>
        </w:rPr>
        <w:t>efendant in a complete about turn from the position she had previously adopted</w:t>
      </w:r>
      <w:r w:rsidR="001A0924">
        <w:rPr>
          <w:rFonts w:ascii="Arial" w:hAnsi="Arial" w:cs="Arial"/>
          <w:bCs/>
          <w:sz w:val="24"/>
          <w:szCs w:val="24"/>
          <w:lang w:val="en-US"/>
        </w:rPr>
        <w:t>,</w:t>
      </w:r>
      <w:r w:rsidR="008C0EBE" w:rsidRPr="008C0EBE">
        <w:rPr>
          <w:rFonts w:ascii="Arial" w:hAnsi="Arial" w:cs="Arial"/>
          <w:bCs/>
          <w:sz w:val="24"/>
          <w:szCs w:val="24"/>
          <w:lang w:val="en-US"/>
        </w:rPr>
        <w:t xml:space="preserve"> is seeking to defeat the </w:t>
      </w:r>
      <w:r w:rsidR="0071539C">
        <w:rPr>
          <w:rFonts w:ascii="Arial" w:hAnsi="Arial" w:cs="Arial"/>
          <w:bCs/>
          <w:sz w:val="24"/>
          <w:szCs w:val="24"/>
          <w:lang w:val="en-US"/>
        </w:rPr>
        <w:t>P</w:t>
      </w:r>
      <w:r w:rsidR="008C0EBE" w:rsidRPr="008C0EBE">
        <w:rPr>
          <w:rFonts w:ascii="Arial" w:hAnsi="Arial" w:cs="Arial"/>
          <w:bCs/>
          <w:sz w:val="24"/>
          <w:szCs w:val="24"/>
          <w:lang w:val="en-US"/>
        </w:rPr>
        <w:t>laintiff’s claim on the basis there was no service on another</w:t>
      </w:r>
      <w:r w:rsidR="001A0924">
        <w:rPr>
          <w:rFonts w:ascii="Arial" w:hAnsi="Arial" w:cs="Arial"/>
          <w:bCs/>
          <w:sz w:val="24"/>
          <w:szCs w:val="24"/>
          <w:lang w:val="en-US"/>
        </w:rPr>
        <w:t xml:space="preserve"> party who is not opposing the P</w:t>
      </w:r>
      <w:r w:rsidR="008C0EBE" w:rsidRPr="008C0EBE">
        <w:rPr>
          <w:rFonts w:ascii="Arial" w:hAnsi="Arial" w:cs="Arial"/>
          <w:bCs/>
          <w:sz w:val="24"/>
          <w:szCs w:val="24"/>
          <w:lang w:val="en-US"/>
        </w:rPr>
        <w:t>laintiff’s claim and who filed a notice of intention to abide more than six years ago.</w:t>
      </w:r>
    </w:p>
    <w:p w:rsidR="00AC74BC" w:rsidRDefault="00AC74BC" w:rsidP="00AC74BC">
      <w:pPr>
        <w:spacing w:line="480" w:lineRule="auto"/>
        <w:jc w:val="both"/>
        <w:rPr>
          <w:rFonts w:ascii="Arial" w:hAnsi="Arial" w:cs="Arial"/>
          <w:sz w:val="24"/>
          <w:szCs w:val="24"/>
          <w:lang w:val="en-US"/>
        </w:rPr>
      </w:pPr>
    </w:p>
    <w:p w:rsidR="004B050D" w:rsidRPr="00AC74BC" w:rsidRDefault="00AC74BC" w:rsidP="004B050D">
      <w:pPr>
        <w:spacing w:line="480" w:lineRule="auto"/>
        <w:jc w:val="both"/>
        <w:rPr>
          <w:rFonts w:ascii="Arial" w:hAnsi="Arial" w:cs="Arial"/>
          <w:b/>
          <w:sz w:val="24"/>
          <w:szCs w:val="24"/>
          <w:lang w:val="en-US"/>
        </w:rPr>
      </w:pPr>
      <w:r w:rsidRPr="00AC74BC">
        <w:rPr>
          <w:rFonts w:ascii="Arial" w:hAnsi="Arial" w:cs="Arial"/>
          <w:b/>
          <w:sz w:val="24"/>
          <w:szCs w:val="24"/>
          <w:lang w:val="en-US"/>
        </w:rPr>
        <w:lastRenderedPageBreak/>
        <w:t xml:space="preserve">Plaintiff’s </w:t>
      </w:r>
      <w:r w:rsidR="007C4C34">
        <w:rPr>
          <w:rFonts w:ascii="Arial" w:hAnsi="Arial" w:cs="Arial"/>
          <w:b/>
          <w:sz w:val="24"/>
          <w:szCs w:val="24"/>
          <w:lang w:val="en-US"/>
        </w:rPr>
        <w:t xml:space="preserve">complete </w:t>
      </w:r>
      <w:r w:rsidRPr="00AC74BC">
        <w:rPr>
          <w:rFonts w:ascii="Arial" w:hAnsi="Arial" w:cs="Arial"/>
          <w:b/>
          <w:sz w:val="24"/>
          <w:szCs w:val="24"/>
          <w:lang w:val="en-US"/>
        </w:rPr>
        <w:t>defences to the Special Plea</w:t>
      </w:r>
    </w:p>
    <w:p w:rsidR="004B050D" w:rsidRDefault="00F776F5" w:rsidP="004B050D">
      <w:pPr>
        <w:spacing w:line="480" w:lineRule="auto"/>
        <w:jc w:val="both"/>
        <w:rPr>
          <w:rFonts w:ascii="Arial" w:hAnsi="Arial" w:cs="Arial"/>
          <w:sz w:val="24"/>
          <w:szCs w:val="24"/>
          <w:lang w:val="en-US"/>
        </w:rPr>
      </w:pPr>
      <w:r>
        <w:rPr>
          <w:rFonts w:ascii="Arial" w:hAnsi="Arial" w:cs="Arial"/>
          <w:sz w:val="24"/>
          <w:szCs w:val="24"/>
          <w:lang w:val="en-US"/>
        </w:rPr>
        <w:t>[4</w:t>
      </w:r>
      <w:r w:rsidR="00405D88">
        <w:rPr>
          <w:rFonts w:ascii="Arial" w:hAnsi="Arial" w:cs="Arial"/>
          <w:sz w:val="24"/>
          <w:szCs w:val="24"/>
          <w:lang w:val="en-US"/>
        </w:rPr>
        <w:t>6</w:t>
      </w:r>
      <w:r w:rsidR="004B050D">
        <w:rPr>
          <w:rFonts w:ascii="Arial" w:hAnsi="Arial" w:cs="Arial"/>
          <w:sz w:val="24"/>
          <w:szCs w:val="24"/>
          <w:lang w:val="en-US"/>
        </w:rPr>
        <w:t>]</w:t>
      </w:r>
      <w:r w:rsidR="004B050D">
        <w:rPr>
          <w:rFonts w:ascii="Arial" w:hAnsi="Arial" w:cs="Arial"/>
          <w:sz w:val="24"/>
          <w:szCs w:val="24"/>
          <w:lang w:val="en-US"/>
        </w:rPr>
        <w:tab/>
        <w:t xml:space="preserve">The </w:t>
      </w:r>
      <w:r w:rsidR="00832736">
        <w:rPr>
          <w:rFonts w:ascii="Arial" w:hAnsi="Arial" w:cs="Arial"/>
          <w:sz w:val="24"/>
          <w:szCs w:val="24"/>
          <w:lang w:val="en-US"/>
        </w:rPr>
        <w:t>P</w:t>
      </w:r>
      <w:r w:rsidR="004B050D">
        <w:rPr>
          <w:rFonts w:ascii="Arial" w:hAnsi="Arial" w:cs="Arial"/>
          <w:sz w:val="24"/>
          <w:szCs w:val="24"/>
          <w:lang w:val="en-US"/>
        </w:rPr>
        <w:t xml:space="preserve">laintiff has raised </w:t>
      </w:r>
      <w:r w:rsidR="00663146">
        <w:rPr>
          <w:rFonts w:ascii="Arial" w:hAnsi="Arial" w:cs="Arial"/>
          <w:sz w:val="24"/>
          <w:szCs w:val="24"/>
          <w:lang w:val="en-US"/>
        </w:rPr>
        <w:t xml:space="preserve">a further five </w:t>
      </w:r>
      <w:r w:rsidR="004B050D">
        <w:rPr>
          <w:rFonts w:ascii="Arial" w:hAnsi="Arial" w:cs="Arial"/>
          <w:sz w:val="24"/>
          <w:szCs w:val="24"/>
          <w:lang w:val="en-US"/>
        </w:rPr>
        <w:t xml:space="preserve">defences, </w:t>
      </w:r>
      <w:r w:rsidR="00663146">
        <w:rPr>
          <w:rFonts w:ascii="Arial" w:hAnsi="Arial" w:cs="Arial"/>
          <w:sz w:val="24"/>
          <w:szCs w:val="24"/>
          <w:lang w:val="en-US"/>
        </w:rPr>
        <w:t>which</w:t>
      </w:r>
      <w:r w:rsidR="001A0924">
        <w:rPr>
          <w:rFonts w:ascii="Arial" w:hAnsi="Arial" w:cs="Arial"/>
          <w:sz w:val="24"/>
          <w:szCs w:val="24"/>
          <w:lang w:val="en-US"/>
        </w:rPr>
        <w:t xml:space="preserve"> </w:t>
      </w:r>
      <w:r w:rsidR="004B050D">
        <w:rPr>
          <w:rFonts w:ascii="Arial" w:hAnsi="Arial" w:cs="Arial"/>
          <w:sz w:val="24"/>
          <w:szCs w:val="24"/>
          <w:lang w:val="en-US"/>
        </w:rPr>
        <w:t xml:space="preserve">are substantially the same with regard to both </w:t>
      </w:r>
      <w:r w:rsidR="00663146">
        <w:rPr>
          <w:rFonts w:ascii="Arial" w:hAnsi="Arial" w:cs="Arial"/>
          <w:sz w:val="24"/>
          <w:szCs w:val="24"/>
          <w:lang w:val="en-US"/>
        </w:rPr>
        <w:t xml:space="preserve">grounds of the </w:t>
      </w:r>
      <w:r w:rsidR="004B050D">
        <w:rPr>
          <w:rFonts w:ascii="Arial" w:hAnsi="Arial" w:cs="Arial"/>
          <w:sz w:val="24"/>
          <w:szCs w:val="24"/>
          <w:lang w:val="en-US"/>
        </w:rPr>
        <w:t xml:space="preserve">special </w:t>
      </w:r>
      <w:r w:rsidR="00CC18CC">
        <w:rPr>
          <w:rFonts w:ascii="Arial" w:hAnsi="Arial" w:cs="Arial"/>
          <w:sz w:val="24"/>
          <w:szCs w:val="24"/>
          <w:lang w:val="en-US"/>
        </w:rPr>
        <w:t>plea and</w:t>
      </w:r>
      <w:r w:rsidR="004B050D">
        <w:rPr>
          <w:rFonts w:ascii="Arial" w:hAnsi="Arial" w:cs="Arial"/>
          <w:sz w:val="24"/>
          <w:szCs w:val="24"/>
          <w:lang w:val="en-US"/>
        </w:rPr>
        <w:t xml:space="preserve"> are complete defences</w:t>
      </w:r>
      <w:r w:rsidR="00663146">
        <w:rPr>
          <w:rFonts w:ascii="Arial" w:hAnsi="Arial" w:cs="Arial"/>
          <w:sz w:val="24"/>
          <w:szCs w:val="24"/>
          <w:lang w:val="en-US"/>
        </w:rPr>
        <w:t>.</w:t>
      </w:r>
      <w:r w:rsidR="004B050D">
        <w:rPr>
          <w:rFonts w:ascii="Arial" w:hAnsi="Arial" w:cs="Arial"/>
          <w:sz w:val="24"/>
          <w:szCs w:val="24"/>
          <w:lang w:val="en-US"/>
        </w:rPr>
        <w:t xml:space="preserve">  </w:t>
      </w:r>
      <w:r w:rsidR="00663146">
        <w:rPr>
          <w:rFonts w:ascii="Arial" w:hAnsi="Arial" w:cs="Arial"/>
          <w:sz w:val="24"/>
          <w:szCs w:val="24"/>
          <w:lang w:val="en-US"/>
        </w:rPr>
        <w:t>I</w:t>
      </w:r>
      <w:r w:rsidR="004B050D">
        <w:rPr>
          <w:rFonts w:ascii="Arial" w:hAnsi="Arial" w:cs="Arial"/>
          <w:sz w:val="24"/>
          <w:szCs w:val="24"/>
          <w:lang w:val="en-US"/>
        </w:rPr>
        <w:t xml:space="preserve">f </w:t>
      </w:r>
      <w:r w:rsidR="00663146">
        <w:rPr>
          <w:rFonts w:ascii="Arial" w:hAnsi="Arial" w:cs="Arial"/>
          <w:sz w:val="24"/>
          <w:szCs w:val="24"/>
          <w:lang w:val="en-US"/>
        </w:rPr>
        <w:t xml:space="preserve">any one of them is </w:t>
      </w:r>
      <w:r w:rsidR="004B050D">
        <w:rPr>
          <w:rFonts w:ascii="Arial" w:hAnsi="Arial" w:cs="Arial"/>
          <w:sz w:val="24"/>
          <w:szCs w:val="24"/>
          <w:lang w:val="en-US"/>
        </w:rPr>
        <w:t xml:space="preserve">successful, they will defeat the special plea of prescription. </w:t>
      </w:r>
      <w:r w:rsidR="005C3B96">
        <w:rPr>
          <w:rFonts w:ascii="Arial" w:hAnsi="Arial" w:cs="Arial"/>
          <w:sz w:val="24"/>
          <w:szCs w:val="24"/>
          <w:lang w:val="en-US"/>
        </w:rPr>
        <w:t xml:space="preserve"> </w:t>
      </w:r>
      <w:r w:rsidR="004B050D">
        <w:rPr>
          <w:rFonts w:ascii="Arial" w:hAnsi="Arial" w:cs="Arial"/>
          <w:sz w:val="24"/>
          <w:szCs w:val="24"/>
          <w:lang w:val="en-US"/>
        </w:rPr>
        <w:t>The</w:t>
      </w:r>
      <w:r w:rsidR="00663146">
        <w:rPr>
          <w:rFonts w:ascii="Arial" w:hAnsi="Arial" w:cs="Arial"/>
          <w:sz w:val="24"/>
          <w:szCs w:val="24"/>
          <w:lang w:val="en-US"/>
        </w:rPr>
        <w:t xml:space="preserve"> complete</w:t>
      </w:r>
      <w:r w:rsidR="004B050D">
        <w:rPr>
          <w:rFonts w:ascii="Arial" w:hAnsi="Arial" w:cs="Arial"/>
          <w:sz w:val="24"/>
          <w:szCs w:val="24"/>
          <w:lang w:val="en-US"/>
        </w:rPr>
        <w:t xml:space="preserve"> defences turn primarily on questions of law and the evidence led is of little relevance to the</w:t>
      </w:r>
      <w:r w:rsidR="00663146">
        <w:rPr>
          <w:rFonts w:ascii="Arial" w:hAnsi="Arial" w:cs="Arial"/>
          <w:sz w:val="24"/>
          <w:szCs w:val="24"/>
          <w:lang w:val="en-US"/>
        </w:rPr>
        <w:t>m.</w:t>
      </w:r>
      <w:r w:rsidR="005C3B96">
        <w:rPr>
          <w:rFonts w:ascii="Arial" w:hAnsi="Arial" w:cs="Arial"/>
          <w:sz w:val="24"/>
          <w:szCs w:val="24"/>
          <w:lang w:val="en-US"/>
        </w:rPr>
        <w:t xml:space="preserve"> In the interests of hopefully bringing finality to this protracted and much contested matter, I elect to deal with each of </w:t>
      </w:r>
      <w:r w:rsidR="00CC18CC">
        <w:rPr>
          <w:rFonts w:ascii="Arial" w:hAnsi="Arial" w:cs="Arial"/>
          <w:sz w:val="24"/>
          <w:szCs w:val="24"/>
          <w:lang w:val="en-US"/>
        </w:rPr>
        <w:t>these defences</w:t>
      </w:r>
      <w:r w:rsidR="001A0924">
        <w:rPr>
          <w:rFonts w:ascii="Arial" w:hAnsi="Arial" w:cs="Arial"/>
          <w:sz w:val="24"/>
          <w:szCs w:val="24"/>
          <w:lang w:val="en-US"/>
        </w:rPr>
        <w:t xml:space="preserve"> in turn.</w:t>
      </w:r>
    </w:p>
    <w:p w:rsidR="006D5E86" w:rsidRDefault="00F776F5" w:rsidP="004B050D">
      <w:pPr>
        <w:spacing w:line="480" w:lineRule="auto"/>
        <w:jc w:val="both"/>
        <w:rPr>
          <w:rFonts w:ascii="Arial" w:hAnsi="Arial" w:cs="Arial"/>
          <w:sz w:val="24"/>
          <w:szCs w:val="24"/>
          <w:lang w:val="en-US"/>
        </w:rPr>
      </w:pPr>
      <w:r>
        <w:rPr>
          <w:rFonts w:ascii="Arial" w:hAnsi="Arial" w:cs="Arial"/>
          <w:sz w:val="24"/>
          <w:szCs w:val="24"/>
          <w:lang w:val="en-US"/>
        </w:rPr>
        <w:t>[4</w:t>
      </w:r>
      <w:r w:rsidR="00405D88">
        <w:rPr>
          <w:rFonts w:ascii="Arial" w:hAnsi="Arial" w:cs="Arial"/>
          <w:sz w:val="24"/>
          <w:szCs w:val="24"/>
          <w:lang w:val="en-US"/>
        </w:rPr>
        <w:t>7</w:t>
      </w:r>
      <w:r w:rsidR="006D5E86">
        <w:rPr>
          <w:rFonts w:ascii="Arial" w:hAnsi="Arial" w:cs="Arial"/>
          <w:sz w:val="24"/>
          <w:szCs w:val="24"/>
          <w:lang w:val="en-US"/>
        </w:rPr>
        <w:t>]</w:t>
      </w:r>
      <w:r w:rsidR="006D5E86">
        <w:rPr>
          <w:rFonts w:ascii="Arial" w:hAnsi="Arial" w:cs="Arial"/>
          <w:sz w:val="24"/>
          <w:szCs w:val="24"/>
          <w:lang w:val="en-US"/>
        </w:rPr>
        <w:tab/>
        <w:t>The five complete defences are as follows:</w:t>
      </w:r>
    </w:p>
    <w:p w:rsidR="006D5E86" w:rsidRDefault="00F776F5" w:rsidP="00AE410A">
      <w:pPr>
        <w:spacing w:line="480" w:lineRule="auto"/>
        <w:ind w:left="1440" w:hanging="720"/>
        <w:jc w:val="both"/>
        <w:rPr>
          <w:rFonts w:ascii="Arial" w:hAnsi="Arial" w:cs="Arial"/>
          <w:sz w:val="24"/>
          <w:szCs w:val="24"/>
          <w:lang w:val="en-US"/>
        </w:rPr>
      </w:pPr>
      <w:r>
        <w:rPr>
          <w:rFonts w:ascii="Arial" w:hAnsi="Arial" w:cs="Arial"/>
          <w:sz w:val="24"/>
          <w:szCs w:val="24"/>
          <w:lang w:val="en-US"/>
        </w:rPr>
        <w:t>4</w:t>
      </w:r>
      <w:r w:rsidR="00405D88">
        <w:rPr>
          <w:rFonts w:ascii="Arial" w:hAnsi="Arial" w:cs="Arial"/>
          <w:sz w:val="24"/>
          <w:szCs w:val="24"/>
          <w:lang w:val="en-US"/>
        </w:rPr>
        <w:t>7</w:t>
      </w:r>
      <w:r w:rsidR="006D5E86">
        <w:rPr>
          <w:rFonts w:ascii="Arial" w:hAnsi="Arial" w:cs="Arial"/>
          <w:sz w:val="24"/>
          <w:szCs w:val="24"/>
          <w:lang w:val="en-US"/>
        </w:rPr>
        <w:t>.1</w:t>
      </w:r>
      <w:r w:rsidR="006D5E86">
        <w:rPr>
          <w:rFonts w:ascii="Arial" w:hAnsi="Arial" w:cs="Arial"/>
          <w:sz w:val="24"/>
          <w:szCs w:val="24"/>
          <w:lang w:val="en-US"/>
        </w:rPr>
        <w:tab/>
        <w:t xml:space="preserve">The </w:t>
      </w:r>
      <w:r w:rsidR="00AE410A">
        <w:rPr>
          <w:rFonts w:ascii="Arial" w:hAnsi="Arial" w:cs="Arial"/>
          <w:sz w:val="24"/>
          <w:szCs w:val="24"/>
          <w:lang w:val="en-US"/>
        </w:rPr>
        <w:t>plaintiff’s</w:t>
      </w:r>
      <w:r w:rsidR="006D5E86">
        <w:rPr>
          <w:rFonts w:ascii="Arial" w:hAnsi="Arial" w:cs="Arial"/>
          <w:sz w:val="24"/>
          <w:szCs w:val="24"/>
          <w:lang w:val="en-US"/>
        </w:rPr>
        <w:t xml:space="preserve"> maintenance claim in terms of the MSSA is not a debt for purposes of the Prescription Act;</w:t>
      </w:r>
    </w:p>
    <w:p w:rsidR="00EC5C3F" w:rsidRDefault="00EC5C3F" w:rsidP="00EC5C3F">
      <w:pPr>
        <w:spacing w:line="480" w:lineRule="auto"/>
        <w:ind w:left="1440" w:hanging="720"/>
        <w:jc w:val="both"/>
        <w:rPr>
          <w:rFonts w:ascii="Arial" w:hAnsi="Arial" w:cs="Arial"/>
          <w:sz w:val="24"/>
          <w:szCs w:val="24"/>
          <w:lang w:val="en-US"/>
        </w:rPr>
      </w:pPr>
      <w:r>
        <w:rPr>
          <w:rFonts w:ascii="Arial" w:hAnsi="Arial" w:cs="Arial"/>
          <w:sz w:val="24"/>
          <w:szCs w:val="24"/>
          <w:lang w:val="en-US"/>
        </w:rPr>
        <w:t>4</w:t>
      </w:r>
      <w:r w:rsidR="00405D88">
        <w:rPr>
          <w:rFonts w:ascii="Arial" w:hAnsi="Arial" w:cs="Arial"/>
          <w:sz w:val="24"/>
          <w:szCs w:val="24"/>
          <w:lang w:val="en-US"/>
        </w:rPr>
        <w:t>7</w:t>
      </w:r>
      <w:r>
        <w:rPr>
          <w:rFonts w:ascii="Arial" w:hAnsi="Arial" w:cs="Arial"/>
          <w:sz w:val="24"/>
          <w:szCs w:val="24"/>
          <w:lang w:val="en-US"/>
        </w:rPr>
        <w:t>.</w:t>
      </w:r>
      <w:r w:rsidR="00405D88">
        <w:rPr>
          <w:rFonts w:ascii="Arial" w:hAnsi="Arial" w:cs="Arial"/>
          <w:sz w:val="24"/>
          <w:szCs w:val="24"/>
          <w:lang w:val="en-US"/>
        </w:rPr>
        <w:t>2</w:t>
      </w:r>
      <w:r>
        <w:rPr>
          <w:rFonts w:ascii="Arial" w:hAnsi="Arial" w:cs="Arial"/>
          <w:sz w:val="24"/>
          <w:szCs w:val="24"/>
          <w:lang w:val="en-US"/>
        </w:rPr>
        <w:tab/>
        <w:t>The plaintiff’s maintenance claim is not due in that it is not immediately enforceable or claimable, and prescription has not commenced running in terms of section 12(1) of the Prescription Act.</w:t>
      </w:r>
    </w:p>
    <w:p w:rsidR="006D5E86" w:rsidRDefault="00F776F5" w:rsidP="00AE410A">
      <w:pPr>
        <w:spacing w:line="480" w:lineRule="auto"/>
        <w:ind w:left="1440" w:hanging="720"/>
        <w:jc w:val="both"/>
        <w:rPr>
          <w:rFonts w:ascii="Arial" w:hAnsi="Arial" w:cs="Arial"/>
          <w:sz w:val="24"/>
          <w:szCs w:val="24"/>
          <w:lang w:val="en-US"/>
        </w:rPr>
      </w:pPr>
      <w:r>
        <w:rPr>
          <w:rFonts w:ascii="Arial" w:hAnsi="Arial" w:cs="Arial"/>
          <w:sz w:val="24"/>
          <w:szCs w:val="24"/>
          <w:lang w:val="en-US"/>
        </w:rPr>
        <w:t>4</w:t>
      </w:r>
      <w:r w:rsidR="00405D88">
        <w:rPr>
          <w:rFonts w:ascii="Arial" w:hAnsi="Arial" w:cs="Arial"/>
          <w:sz w:val="24"/>
          <w:szCs w:val="24"/>
          <w:lang w:val="en-US"/>
        </w:rPr>
        <w:t>7</w:t>
      </w:r>
      <w:r w:rsidR="006D5E86">
        <w:rPr>
          <w:rFonts w:ascii="Arial" w:hAnsi="Arial" w:cs="Arial"/>
          <w:sz w:val="24"/>
          <w:szCs w:val="24"/>
          <w:lang w:val="en-US"/>
        </w:rPr>
        <w:t>.</w:t>
      </w:r>
      <w:r w:rsidR="00405D88">
        <w:rPr>
          <w:rFonts w:ascii="Arial" w:hAnsi="Arial" w:cs="Arial"/>
          <w:sz w:val="24"/>
          <w:szCs w:val="24"/>
          <w:lang w:val="en-US"/>
        </w:rPr>
        <w:t>3</w:t>
      </w:r>
      <w:r w:rsidR="006D5E86">
        <w:rPr>
          <w:rFonts w:ascii="Arial" w:hAnsi="Arial" w:cs="Arial"/>
          <w:sz w:val="24"/>
          <w:szCs w:val="24"/>
          <w:lang w:val="en-US"/>
        </w:rPr>
        <w:tab/>
        <w:t>The declaratory or</w:t>
      </w:r>
      <w:r w:rsidR="001A0924">
        <w:rPr>
          <w:rFonts w:ascii="Arial" w:hAnsi="Arial" w:cs="Arial"/>
          <w:sz w:val="24"/>
          <w:szCs w:val="24"/>
          <w:lang w:val="en-US"/>
        </w:rPr>
        <w:t>der sought and granted by this C</w:t>
      </w:r>
      <w:r w:rsidR="006D5E86">
        <w:rPr>
          <w:rFonts w:ascii="Arial" w:hAnsi="Arial" w:cs="Arial"/>
          <w:sz w:val="24"/>
          <w:szCs w:val="24"/>
          <w:lang w:val="en-US"/>
        </w:rPr>
        <w:t>ourt that the plaintiff was married to the deceased at the time of his death is not subject to prescription;</w:t>
      </w:r>
    </w:p>
    <w:p w:rsidR="006D5E86" w:rsidRDefault="00F776F5" w:rsidP="00AE410A">
      <w:pPr>
        <w:spacing w:line="480" w:lineRule="auto"/>
        <w:ind w:left="1440" w:hanging="720"/>
        <w:jc w:val="both"/>
        <w:rPr>
          <w:rFonts w:ascii="Arial" w:hAnsi="Arial" w:cs="Arial"/>
          <w:sz w:val="24"/>
          <w:szCs w:val="24"/>
          <w:lang w:val="en-US"/>
        </w:rPr>
      </w:pPr>
      <w:r>
        <w:rPr>
          <w:rFonts w:ascii="Arial" w:hAnsi="Arial" w:cs="Arial"/>
          <w:sz w:val="24"/>
          <w:szCs w:val="24"/>
          <w:lang w:val="en-US"/>
        </w:rPr>
        <w:t>4</w:t>
      </w:r>
      <w:r w:rsidR="00405D88">
        <w:rPr>
          <w:rFonts w:ascii="Arial" w:hAnsi="Arial" w:cs="Arial"/>
          <w:sz w:val="24"/>
          <w:szCs w:val="24"/>
          <w:lang w:val="en-US"/>
        </w:rPr>
        <w:t>7</w:t>
      </w:r>
      <w:r w:rsidR="006D5E86">
        <w:rPr>
          <w:rFonts w:ascii="Arial" w:hAnsi="Arial" w:cs="Arial"/>
          <w:sz w:val="24"/>
          <w:szCs w:val="24"/>
          <w:lang w:val="en-US"/>
        </w:rPr>
        <w:t>.</w:t>
      </w:r>
      <w:r w:rsidR="00405D88">
        <w:rPr>
          <w:rFonts w:ascii="Arial" w:hAnsi="Arial" w:cs="Arial"/>
          <w:sz w:val="24"/>
          <w:szCs w:val="24"/>
          <w:lang w:val="en-US"/>
        </w:rPr>
        <w:t>4</w:t>
      </w:r>
      <w:r w:rsidR="006D5E86">
        <w:rPr>
          <w:rFonts w:ascii="Arial" w:hAnsi="Arial" w:cs="Arial"/>
          <w:sz w:val="24"/>
          <w:szCs w:val="24"/>
          <w:lang w:val="en-US"/>
        </w:rPr>
        <w:tab/>
        <w:t>A husband’s duty of support to his spouse is an ongoing or continuous oblig</w:t>
      </w:r>
      <w:r w:rsidR="001A0924">
        <w:rPr>
          <w:rFonts w:ascii="Arial" w:hAnsi="Arial" w:cs="Arial"/>
          <w:sz w:val="24"/>
          <w:szCs w:val="24"/>
          <w:lang w:val="en-US"/>
        </w:rPr>
        <w:t>ation with the result that the P</w:t>
      </w:r>
      <w:r w:rsidR="006D5E86">
        <w:rPr>
          <w:rFonts w:ascii="Arial" w:hAnsi="Arial" w:cs="Arial"/>
          <w:sz w:val="24"/>
          <w:szCs w:val="24"/>
          <w:lang w:val="en-US"/>
        </w:rPr>
        <w:t xml:space="preserve">laintiff’s claim for present and future maintenance had not prescribed. </w:t>
      </w:r>
    </w:p>
    <w:p w:rsidR="006D5E86" w:rsidRDefault="006D5E86" w:rsidP="006D5E86">
      <w:pPr>
        <w:spacing w:line="480" w:lineRule="auto"/>
        <w:ind w:firstLine="720"/>
        <w:jc w:val="both"/>
        <w:rPr>
          <w:rFonts w:ascii="Arial" w:hAnsi="Arial" w:cs="Arial"/>
          <w:sz w:val="24"/>
          <w:szCs w:val="24"/>
          <w:lang w:val="en-US"/>
        </w:rPr>
      </w:pPr>
    </w:p>
    <w:p w:rsidR="006D5E86" w:rsidRDefault="00F776F5" w:rsidP="00AE410A">
      <w:pPr>
        <w:spacing w:line="480" w:lineRule="auto"/>
        <w:ind w:left="1440" w:hanging="720"/>
        <w:jc w:val="both"/>
        <w:rPr>
          <w:rFonts w:ascii="Arial" w:hAnsi="Arial" w:cs="Arial"/>
          <w:sz w:val="24"/>
          <w:szCs w:val="24"/>
          <w:lang w:val="en-US"/>
        </w:rPr>
      </w:pPr>
      <w:r>
        <w:rPr>
          <w:rFonts w:ascii="Arial" w:hAnsi="Arial" w:cs="Arial"/>
          <w:sz w:val="24"/>
          <w:szCs w:val="24"/>
          <w:lang w:val="en-US"/>
        </w:rPr>
        <w:t>4</w:t>
      </w:r>
      <w:r w:rsidR="00405D88">
        <w:rPr>
          <w:rFonts w:ascii="Arial" w:hAnsi="Arial" w:cs="Arial"/>
          <w:sz w:val="24"/>
          <w:szCs w:val="24"/>
          <w:lang w:val="en-US"/>
        </w:rPr>
        <w:t>7</w:t>
      </w:r>
      <w:r w:rsidR="006D5E86">
        <w:rPr>
          <w:rFonts w:ascii="Arial" w:hAnsi="Arial" w:cs="Arial"/>
          <w:sz w:val="24"/>
          <w:szCs w:val="24"/>
          <w:lang w:val="en-US"/>
        </w:rPr>
        <w:t>.5</w:t>
      </w:r>
      <w:r w:rsidR="006D5E86">
        <w:rPr>
          <w:rFonts w:ascii="Arial" w:hAnsi="Arial" w:cs="Arial"/>
          <w:sz w:val="24"/>
          <w:szCs w:val="24"/>
          <w:lang w:val="en-US"/>
        </w:rPr>
        <w:tab/>
        <w:t>The impediment to the running of prescription in terms of sections 13(1)(g) read with ss 13(1)(i) of the Prescription Act, have not ceased to exist.</w:t>
      </w:r>
    </w:p>
    <w:p w:rsidR="006D5E86" w:rsidRPr="003B2399" w:rsidRDefault="001A0924" w:rsidP="00F776F5">
      <w:pPr>
        <w:spacing w:line="480" w:lineRule="auto"/>
        <w:jc w:val="both"/>
        <w:rPr>
          <w:rFonts w:ascii="Arial" w:hAnsi="Arial" w:cs="Arial"/>
          <w:b/>
          <w:sz w:val="24"/>
          <w:szCs w:val="24"/>
          <w:lang w:val="en-US"/>
        </w:rPr>
      </w:pPr>
      <w:r>
        <w:rPr>
          <w:rFonts w:ascii="Arial" w:hAnsi="Arial" w:cs="Arial"/>
          <w:b/>
          <w:sz w:val="24"/>
          <w:szCs w:val="24"/>
          <w:lang w:val="en-US"/>
        </w:rPr>
        <w:lastRenderedPageBreak/>
        <w:t xml:space="preserve"> Plaintiff’</w:t>
      </w:r>
      <w:r w:rsidR="00427040">
        <w:rPr>
          <w:rFonts w:ascii="Arial" w:hAnsi="Arial" w:cs="Arial"/>
          <w:b/>
          <w:sz w:val="24"/>
          <w:szCs w:val="24"/>
          <w:lang w:val="en-US"/>
        </w:rPr>
        <w:t>s F</w:t>
      </w:r>
      <w:r>
        <w:rPr>
          <w:rFonts w:ascii="Arial" w:hAnsi="Arial" w:cs="Arial"/>
          <w:b/>
          <w:sz w:val="24"/>
          <w:szCs w:val="24"/>
          <w:lang w:val="en-US"/>
        </w:rPr>
        <w:t xml:space="preserve">irst Defence: </w:t>
      </w:r>
      <w:r w:rsidR="003B2399">
        <w:rPr>
          <w:rFonts w:ascii="Arial" w:hAnsi="Arial" w:cs="Arial"/>
          <w:b/>
          <w:sz w:val="24"/>
          <w:szCs w:val="24"/>
          <w:lang w:val="en-US"/>
        </w:rPr>
        <w:t xml:space="preserve">Is the Plaintiff’s maintenance claim a debt for </w:t>
      </w:r>
      <w:r>
        <w:rPr>
          <w:rFonts w:ascii="Arial" w:hAnsi="Arial" w:cs="Arial"/>
          <w:b/>
          <w:sz w:val="24"/>
          <w:szCs w:val="24"/>
          <w:lang w:val="en-US"/>
        </w:rPr>
        <w:t xml:space="preserve">purposes of the Prescription </w:t>
      </w:r>
      <w:r w:rsidR="003B2399">
        <w:rPr>
          <w:rFonts w:ascii="Arial" w:hAnsi="Arial" w:cs="Arial"/>
          <w:b/>
          <w:sz w:val="24"/>
          <w:szCs w:val="24"/>
          <w:lang w:val="en-US"/>
        </w:rPr>
        <w:t>Act?</w:t>
      </w:r>
    </w:p>
    <w:p w:rsidR="00D97A85" w:rsidRDefault="00C72347" w:rsidP="00D97A85">
      <w:pPr>
        <w:spacing w:line="480" w:lineRule="auto"/>
        <w:jc w:val="both"/>
        <w:rPr>
          <w:rFonts w:ascii="Arial" w:hAnsi="Arial" w:cs="Arial"/>
          <w:sz w:val="24"/>
          <w:szCs w:val="24"/>
          <w:lang w:val="en-US"/>
        </w:rPr>
      </w:pPr>
      <w:r>
        <w:rPr>
          <w:rFonts w:ascii="Arial" w:hAnsi="Arial" w:cs="Arial"/>
          <w:sz w:val="24"/>
          <w:szCs w:val="24"/>
          <w:lang w:val="en-US"/>
        </w:rPr>
        <w:t>[4</w:t>
      </w:r>
      <w:r w:rsidR="00405D88">
        <w:rPr>
          <w:rFonts w:ascii="Arial" w:hAnsi="Arial" w:cs="Arial"/>
          <w:sz w:val="24"/>
          <w:szCs w:val="24"/>
          <w:lang w:val="en-US"/>
        </w:rPr>
        <w:t>8</w:t>
      </w:r>
      <w:r>
        <w:rPr>
          <w:rFonts w:ascii="Arial" w:hAnsi="Arial" w:cs="Arial"/>
          <w:sz w:val="24"/>
          <w:szCs w:val="24"/>
          <w:lang w:val="en-US"/>
        </w:rPr>
        <w:t>]</w:t>
      </w:r>
      <w:r w:rsidR="00624B34">
        <w:rPr>
          <w:rFonts w:ascii="Arial" w:hAnsi="Arial" w:cs="Arial"/>
          <w:sz w:val="24"/>
          <w:szCs w:val="24"/>
          <w:lang w:val="en-US"/>
        </w:rPr>
        <w:tab/>
      </w:r>
      <w:r w:rsidR="00682FA1">
        <w:rPr>
          <w:rFonts w:ascii="Arial" w:hAnsi="Arial" w:cs="Arial"/>
          <w:sz w:val="24"/>
          <w:szCs w:val="24"/>
          <w:lang w:val="en-US"/>
        </w:rPr>
        <w:t xml:space="preserve">Section 11 (d) of The Prescription </w:t>
      </w:r>
      <w:r w:rsidR="00405D88">
        <w:rPr>
          <w:rFonts w:ascii="Arial" w:hAnsi="Arial" w:cs="Arial"/>
          <w:sz w:val="24"/>
          <w:szCs w:val="24"/>
          <w:lang w:val="en-US"/>
        </w:rPr>
        <w:t>Act</w:t>
      </w:r>
      <w:r w:rsidR="00682FA1">
        <w:rPr>
          <w:rFonts w:ascii="Arial" w:hAnsi="Arial" w:cs="Arial"/>
          <w:sz w:val="24"/>
          <w:szCs w:val="24"/>
          <w:lang w:val="en-US"/>
        </w:rPr>
        <w:t xml:space="preserve"> provides for a period of prescription of three years for a claim in the present matter, were it to be classified as a debt.</w:t>
      </w:r>
      <w:r w:rsidR="000B1791">
        <w:rPr>
          <w:rStyle w:val="FootnoteReference"/>
          <w:rFonts w:ascii="Arial" w:hAnsi="Arial" w:cs="Arial"/>
          <w:sz w:val="24"/>
          <w:szCs w:val="24"/>
          <w:lang w:val="en-US"/>
        </w:rPr>
        <w:footnoteReference w:id="13"/>
      </w:r>
      <w:r w:rsidR="00682FA1">
        <w:rPr>
          <w:rFonts w:ascii="Arial" w:hAnsi="Arial" w:cs="Arial"/>
          <w:b/>
          <w:sz w:val="24"/>
          <w:szCs w:val="24"/>
          <w:lang w:val="en-US"/>
        </w:rPr>
        <w:t xml:space="preserve"> </w:t>
      </w:r>
      <w:r w:rsidR="00FB53B5">
        <w:rPr>
          <w:rFonts w:ascii="Arial" w:hAnsi="Arial" w:cs="Arial"/>
          <w:sz w:val="24"/>
          <w:szCs w:val="24"/>
          <w:lang w:val="en-US"/>
        </w:rPr>
        <w:t>The Plaintiff</w:t>
      </w:r>
      <w:r w:rsidR="00376FC7">
        <w:rPr>
          <w:rFonts w:ascii="Arial" w:hAnsi="Arial" w:cs="Arial"/>
          <w:sz w:val="24"/>
          <w:szCs w:val="24"/>
          <w:lang w:val="en-US"/>
        </w:rPr>
        <w:t>’s stance is</w:t>
      </w:r>
      <w:r w:rsidR="00FB53B5">
        <w:rPr>
          <w:rFonts w:ascii="Arial" w:hAnsi="Arial" w:cs="Arial"/>
          <w:sz w:val="24"/>
          <w:szCs w:val="24"/>
          <w:lang w:val="en-US"/>
        </w:rPr>
        <w:t xml:space="preserve"> </w:t>
      </w:r>
      <w:r w:rsidR="00CC18CC">
        <w:rPr>
          <w:rFonts w:ascii="Arial" w:hAnsi="Arial" w:cs="Arial"/>
          <w:sz w:val="24"/>
          <w:szCs w:val="24"/>
          <w:lang w:val="en-US"/>
        </w:rPr>
        <w:t>that a</w:t>
      </w:r>
      <w:r w:rsidR="00FB53B5">
        <w:rPr>
          <w:rFonts w:ascii="Arial" w:hAnsi="Arial" w:cs="Arial"/>
          <w:sz w:val="24"/>
          <w:szCs w:val="24"/>
          <w:lang w:val="en-US"/>
        </w:rPr>
        <w:t xml:space="preserve"> purposive interpretation of the term </w:t>
      </w:r>
      <w:r w:rsidR="00CC18CC">
        <w:rPr>
          <w:rFonts w:ascii="Arial" w:hAnsi="Arial" w:cs="Arial"/>
          <w:sz w:val="24"/>
          <w:szCs w:val="24"/>
          <w:lang w:val="en-US"/>
        </w:rPr>
        <w:t>debt as</w:t>
      </w:r>
      <w:r w:rsidR="00FB53B5">
        <w:rPr>
          <w:rFonts w:ascii="Arial" w:hAnsi="Arial" w:cs="Arial"/>
          <w:sz w:val="24"/>
          <w:szCs w:val="24"/>
          <w:lang w:val="en-US"/>
        </w:rPr>
        <w:t xml:space="preserve"> guided by the Constitutional Court in </w:t>
      </w:r>
      <w:r w:rsidR="00983B96" w:rsidRPr="00787884">
        <w:rPr>
          <w:rFonts w:ascii="Arial" w:hAnsi="Arial" w:cs="Arial"/>
          <w:i/>
          <w:sz w:val="24"/>
          <w:szCs w:val="24"/>
          <w:lang w:val="en-US"/>
        </w:rPr>
        <w:t>Makate v Vodacom Ltd</w:t>
      </w:r>
      <w:r w:rsidR="00983B96">
        <w:rPr>
          <w:rFonts w:ascii="Arial" w:hAnsi="Arial" w:cs="Arial"/>
          <w:b/>
          <w:sz w:val="24"/>
          <w:szCs w:val="24"/>
          <w:lang w:val="en-US"/>
        </w:rPr>
        <w:t xml:space="preserve"> </w:t>
      </w:r>
      <w:r w:rsidR="00983B96">
        <w:rPr>
          <w:rFonts w:ascii="Arial" w:hAnsi="Arial" w:cs="Arial"/>
          <w:sz w:val="24"/>
          <w:szCs w:val="24"/>
          <w:lang w:val="en-US"/>
        </w:rPr>
        <w:t>2016(4) SA 121 (CC</w:t>
      </w:r>
      <w:r w:rsidR="00CC18CC">
        <w:rPr>
          <w:rFonts w:ascii="Arial" w:hAnsi="Arial" w:cs="Arial"/>
          <w:sz w:val="24"/>
          <w:szCs w:val="24"/>
          <w:lang w:val="en-US"/>
        </w:rPr>
        <w:t>), and</w:t>
      </w:r>
      <w:r w:rsidR="00FB53B5">
        <w:rPr>
          <w:rFonts w:ascii="Arial" w:hAnsi="Arial" w:cs="Arial"/>
          <w:sz w:val="24"/>
          <w:szCs w:val="24"/>
          <w:lang w:val="en-US"/>
        </w:rPr>
        <w:t xml:space="preserve"> </w:t>
      </w:r>
      <w:r w:rsidR="00FB53B5" w:rsidRPr="00787884">
        <w:rPr>
          <w:rFonts w:ascii="Arial" w:hAnsi="Arial" w:cs="Arial"/>
          <w:i/>
          <w:sz w:val="24"/>
          <w:szCs w:val="24"/>
          <w:lang w:val="en-US"/>
        </w:rPr>
        <w:t>Cool Ideas</w:t>
      </w:r>
      <w:r w:rsidR="00983B96" w:rsidRPr="00787884">
        <w:rPr>
          <w:rFonts w:ascii="Arial" w:hAnsi="Arial" w:cs="Arial"/>
          <w:i/>
          <w:sz w:val="24"/>
          <w:szCs w:val="24"/>
          <w:lang w:val="en-US"/>
        </w:rPr>
        <w:t xml:space="preserve"> 1186 v Hubbard and Another</w:t>
      </w:r>
      <w:r w:rsidR="00983B96">
        <w:rPr>
          <w:rFonts w:ascii="Arial" w:hAnsi="Arial" w:cs="Arial"/>
          <w:sz w:val="24"/>
          <w:szCs w:val="24"/>
          <w:lang w:val="en-US"/>
        </w:rPr>
        <w:t xml:space="preserve"> 2014 (4) SA 474 (CC)</w:t>
      </w:r>
      <w:r w:rsidR="00FB53B5">
        <w:rPr>
          <w:rFonts w:ascii="Arial" w:hAnsi="Arial" w:cs="Arial"/>
          <w:sz w:val="24"/>
          <w:szCs w:val="24"/>
          <w:lang w:val="en-US"/>
        </w:rPr>
        <w:t>,</w:t>
      </w:r>
      <w:r w:rsidR="00983B96">
        <w:rPr>
          <w:rFonts w:ascii="Arial" w:hAnsi="Arial" w:cs="Arial"/>
          <w:sz w:val="24"/>
          <w:szCs w:val="24"/>
          <w:lang w:val="en-US"/>
        </w:rPr>
        <w:t xml:space="preserve"> discussed below,</w:t>
      </w:r>
      <w:r w:rsidR="00FB53B5">
        <w:rPr>
          <w:rFonts w:ascii="Arial" w:hAnsi="Arial" w:cs="Arial"/>
          <w:sz w:val="24"/>
          <w:szCs w:val="24"/>
          <w:lang w:val="en-US"/>
        </w:rPr>
        <w:t xml:space="preserve"> Section 39 (2) </w:t>
      </w:r>
      <w:r>
        <w:rPr>
          <w:rFonts w:ascii="Arial" w:hAnsi="Arial" w:cs="Arial"/>
          <w:sz w:val="24"/>
          <w:szCs w:val="24"/>
          <w:lang w:val="en-US"/>
        </w:rPr>
        <w:t>of the Constitution, and the</w:t>
      </w:r>
      <w:r w:rsidR="00FB53B5">
        <w:rPr>
          <w:rFonts w:ascii="Arial" w:hAnsi="Arial" w:cs="Arial"/>
          <w:sz w:val="24"/>
          <w:szCs w:val="24"/>
          <w:lang w:val="en-US"/>
        </w:rPr>
        <w:t xml:space="preserve"> broad and equitable</w:t>
      </w:r>
      <w:r w:rsidR="00FB53B5" w:rsidRPr="00FB53B5">
        <w:rPr>
          <w:rFonts w:ascii="Arial" w:hAnsi="Arial" w:cs="Arial"/>
          <w:sz w:val="24"/>
          <w:szCs w:val="24"/>
          <w:lang w:val="en-US"/>
        </w:rPr>
        <w:t xml:space="preserve"> </w:t>
      </w:r>
      <w:r w:rsidR="00FB53B5">
        <w:rPr>
          <w:rFonts w:ascii="Arial" w:hAnsi="Arial" w:cs="Arial"/>
          <w:sz w:val="24"/>
          <w:szCs w:val="24"/>
          <w:lang w:val="en-US"/>
        </w:rPr>
        <w:t xml:space="preserve">objective of the MSSA </w:t>
      </w:r>
      <w:r w:rsidR="00D35DE0">
        <w:rPr>
          <w:rFonts w:ascii="Arial" w:hAnsi="Arial" w:cs="Arial"/>
          <w:sz w:val="24"/>
          <w:szCs w:val="24"/>
          <w:lang w:val="en-US"/>
        </w:rPr>
        <w:t>to save surviving spouses from destitution,</w:t>
      </w:r>
      <w:r w:rsidR="00376FC7">
        <w:rPr>
          <w:rFonts w:ascii="Arial" w:hAnsi="Arial" w:cs="Arial"/>
          <w:sz w:val="24"/>
          <w:szCs w:val="24"/>
          <w:lang w:val="en-US"/>
        </w:rPr>
        <w:t xml:space="preserve"> renders the result that</w:t>
      </w:r>
      <w:r w:rsidR="00D35DE0">
        <w:rPr>
          <w:rFonts w:ascii="Arial" w:hAnsi="Arial" w:cs="Arial"/>
          <w:sz w:val="24"/>
          <w:szCs w:val="24"/>
          <w:lang w:val="en-US"/>
        </w:rPr>
        <w:t xml:space="preserve"> a surviving spouse’s claim is not a debt </w:t>
      </w:r>
      <w:r w:rsidR="00D35DE0" w:rsidRPr="00D35DE0">
        <w:rPr>
          <w:rFonts w:ascii="Arial" w:hAnsi="Arial" w:cs="Arial"/>
          <w:bCs/>
          <w:sz w:val="24"/>
          <w:szCs w:val="24"/>
          <w:lang w:val="en-US"/>
        </w:rPr>
        <w:t xml:space="preserve">for purposes of the </w:t>
      </w:r>
      <w:r w:rsidR="00CC18CC" w:rsidRPr="00D35DE0">
        <w:rPr>
          <w:rFonts w:ascii="Arial" w:hAnsi="Arial" w:cs="Arial"/>
          <w:bCs/>
          <w:sz w:val="24"/>
          <w:szCs w:val="24"/>
          <w:lang w:val="en-US"/>
        </w:rPr>
        <w:t xml:space="preserve">Prescription </w:t>
      </w:r>
      <w:r w:rsidR="00CC18CC">
        <w:rPr>
          <w:rFonts w:ascii="Arial" w:hAnsi="Arial" w:cs="Arial"/>
          <w:bCs/>
          <w:sz w:val="24"/>
          <w:szCs w:val="24"/>
          <w:lang w:val="en-US"/>
        </w:rPr>
        <w:t>Act</w:t>
      </w:r>
      <w:r w:rsidR="00405D88">
        <w:rPr>
          <w:rFonts w:ascii="Arial" w:hAnsi="Arial" w:cs="Arial"/>
          <w:bCs/>
          <w:sz w:val="24"/>
          <w:szCs w:val="24"/>
          <w:lang w:val="en-US"/>
        </w:rPr>
        <w:t>.</w:t>
      </w:r>
    </w:p>
    <w:p w:rsidR="006969BD" w:rsidRDefault="00D97A85" w:rsidP="00D97A85">
      <w:pPr>
        <w:spacing w:line="480" w:lineRule="auto"/>
        <w:jc w:val="both"/>
        <w:rPr>
          <w:rFonts w:ascii="Arial" w:hAnsi="Arial" w:cs="Arial"/>
          <w:sz w:val="24"/>
          <w:szCs w:val="24"/>
          <w:lang w:val="en-US"/>
        </w:rPr>
      </w:pPr>
      <w:r>
        <w:rPr>
          <w:rFonts w:ascii="Arial" w:hAnsi="Arial" w:cs="Arial"/>
          <w:sz w:val="24"/>
          <w:szCs w:val="24"/>
          <w:lang w:val="en-US"/>
        </w:rPr>
        <w:t>[</w:t>
      </w:r>
      <w:r w:rsidR="00C72347">
        <w:rPr>
          <w:rFonts w:ascii="Arial" w:hAnsi="Arial" w:cs="Arial"/>
          <w:sz w:val="24"/>
          <w:szCs w:val="24"/>
          <w:lang w:val="en-US"/>
        </w:rPr>
        <w:t>4</w:t>
      </w:r>
      <w:r w:rsidR="00405D88">
        <w:rPr>
          <w:rFonts w:ascii="Arial" w:hAnsi="Arial" w:cs="Arial"/>
          <w:sz w:val="24"/>
          <w:szCs w:val="24"/>
          <w:lang w:val="en-US"/>
        </w:rPr>
        <w:t>9</w:t>
      </w:r>
      <w:r>
        <w:rPr>
          <w:rFonts w:ascii="Arial" w:hAnsi="Arial" w:cs="Arial"/>
          <w:sz w:val="24"/>
          <w:szCs w:val="24"/>
          <w:lang w:val="en-US"/>
        </w:rPr>
        <w:t>]</w:t>
      </w:r>
      <w:r w:rsidR="00CC18CC">
        <w:rPr>
          <w:rFonts w:ascii="Arial" w:hAnsi="Arial" w:cs="Arial"/>
          <w:sz w:val="24"/>
          <w:szCs w:val="24"/>
          <w:lang w:val="en-US"/>
        </w:rPr>
        <w:tab/>
      </w:r>
      <w:r w:rsidR="00C72347">
        <w:rPr>
          <w:rFonts w:ascii="Arial" w:hAnsi="Arial" w:cs="Arial"/>
          <w:sz w:val="24"/>
          <w:szCs w:val="24"/>
          <w:lang w:val="en-US"/>
        </w:rPr>
        <w:t xml:space="preserve">The Second </w:t>
      </w:r>
      <w:r w:rsidR="00624B34">
        <w:rPr>
          <w:rFonts w:ascii="Arial" w:hAnsi="Arial" w:cs="Arial"/>
          <w:sz w:val="24"/>
          <w:szCs w:val="24"/>
          <w:lang w:val="en-US"/>
        </w:rPr>
        <w:t>Defendant counters</w:t>
      </w:r>
      <w:r w:rsidR="006969BD">
        <w:rPr>
          <w:rFonts w:ascii="Arial" w:hAnsi="Arial" w:cs="Arial"/>
          <w:sz w:val="24"/>
          <w:szCs w:val="24"/>
          <w:lang w:val="en-US"/>
        </w:rPr>
        <w:t>:</w:t>
      </w:r>
    </w:p>
    <w:p w:rsidR="00F35A8D" w:rsidRDefault="006969BD" w:rsidP="00CC18CC">
      <w:pPr>
        <w:spacing w:line="480" w:lineRule="auto"/>
        <w:ind w:left="720"/>
        <w:jc w:val="both"/>
        <w:rPr>
          <w:rFonts w:ascii="Arial" w:hAnsi="Arial" w:cs="Arial"/>
          <w:sz w:val="24"/>
          <w:szCs w:val="24"/>
          <w:lang w:val="en-US"/>
        </w:rPr>
      </w:pPr>
      <w:r>
        <w:rPr>
          <w:rFonts w:ascii="Arial" w:hAnsi="Arial" w:cs="Arial"/>
          <w:sz w:val="24"/>
          <w:szCs w:val="24"/>
          <w:lang w:val="en-US"/>
        </w:rPr>
        <w:t>4</w:t>
      </w:r>
      <w:r w:rsidR="00405D88">
        <w:rPr>
          <w:rFonts w:ascii="Arial" w:hAnsi="Arial" w:cs="Arial"/>
          <w:sz w:val="24"/>
          <w:szCs w:val="24"/>
          <w:lang w:val="en-US"/>
        </w:rPr>
        <w:t>9</w:t>
      </w:r>
      <w:r>
        <w:rPr>
          <w:rFonts w:ascii="Arial" w:hAnsi="Arial" w:cs="Arial"/>
          <w:sz w:val="24"/>
          <w:szCs w:val="24"/>
          <w:lang w:val="en-US"/>
        </w:rPr>
        <w:t>.1</w:t>
      </w:r>
      <w:r w:rsidR="00C3212D">
        <w:rPr>
          <w:rFonts w:ascii="Arial" w:hAnsi="Arial" w:cs="Arial"/>
          <w:sz w:val="24"/>
          <w:szCs w:val="24"/>
          <w:lang w:val="en-US"/>
        </w:rPr>
        <w:t xml:space="preserve">. </w:t>
      </w:r>
      <w:r>
        <w:rPr>
          <w:rFonts w:ascii="Arial" w:hAnsi="Arial" w:cs="Arial"/>
          <w:sz w:val="24"/>
          <w:szCs w:val="24"/>
          <w:lang w:val="en-US"/>
        </w:rPr>
        <w:t xml:space="preserve"> D</w:t>
      </w:r>
      <w:r w:rsidR="00C72347">
        <w:rPr>
          <w:rFonts w:ascii="Arial" w:hAnsi="Arial" w:cs="Arial"/>
          <w:sz w:val="24"/>
          <w:szCs w:val="24"/>
          <w:lang w:val="en-US"/>
        </w:rPr>
        <w:t xml:space="preserve">espite </w:t>
      </w:r>
      <w:r w:rsidR="00D97A85">
        <w:rPr>
          <w:rFonts w:ascii="Arial" w:hAnsi="Arial" w:cs="Arial"/>
          <w:sz w:val="24"/>
          <w:szCs w:val="24"/>
          <w:lang w:val="en-US"/>
        </w:rPr>
        <w:t xml:space="preserve">the fact that surviving spouses may form part of a vulnerable group of society, their claims are qualified </w:t>
      </w:r>
      <w:r w:rsidR="00F35A8D">
        <w:rPr>
          <w:rFonts w:ascii="Arial" w:hAnsi="Arial" w:cs="Arial"/>
          <w:sz w:val="24"/>
          <w:szCs w:val="24"/>
          <w:lang w:val="en-US"/>
        </w:rPr>
        <w:t>by the MSSA</w:t>
      </w:r>
      <w:r w:rsidR="00C72347">
        <w:rPr>
          <w:rFonts w:ascii="Arial" w:hAnsi="Arial" w:cs="Arial"/>
          <w:sz w:val="24"/>
          <w:szCs w:val="24"/>
          <w:lang w:val="en-US"/>
        </w:rPr>
        <w:t xml:space="preserve"> being only available </w:t>
      </w:r>
      <w:r w:rsidR="00CC18CC">
        <w:rPr>
          <w:rFonts w:ascii="Arial" w:hAnsi="Arial" w:cs="Arial"/>
          <w:sz w:val="24"/>
          <w:szCs w:val="24"/>
          <w:lang w:val="en-US"/>
        </w:rPr>
        <w:t>to surviving</w:t>
      </w:r>
      <w:r w:rsidR="00C72347">
        <w:rPr>
          <w:rFonts w:ascii="Arial" w:hAnsi="Arial" w:cs="Arial"/>
          <w:sz w:val="24"/>
          <w:szCs w:val="24"/>
          <w:lang w:val="en-US"/>
        </w:rPr>
        <w:t xml:space="preserve"> spouses who are unable to support themselves.  Their claims are also</w:t>
      </w:r>
      <w:r w:rsidR="00D97A85">
        <w:rPr>
          <w:rFonts w:ascii="Arial" w:hAnsi="Arial" w:cs="Arial"/>
          <w:sz w:val="24"/>
          <w:szCs w:val="24"/>
          <w:lang w:val="en-US"/>
        </w:rPr>
        <w:t xml:space="preserve"> subject to strict timelines and requirements by the MSSA</w:t>
      </w:r>
      <w:r w:rsidR="00C72347">
        <w:rPr>
          <w:rFonts w:ascii="Arial" w:hAnsi="Arial" w:cs="Arial"/>
          <w:sz w:val="24"/>
          <w:szCs w:val="24"/>
          <w:lang w:val="en-US"/>
        </w:rPr>
        <w:t xml:space="preserve"> and</w:t>
      </w:r>
      <w:r w:rsidR="00D97A85">
        <w:rPr>
          <w:rFonts w:ascii="Arial" w:hAnsi="Arial" w:cs="Arial"/>
          <w:sz w:val="24"/>
          <w:szCs w:val="24"/>
          <w:lang w:val="en-US"/>
        </w:rPr>
        <w:t xml:space="preserve"> are not open ended.</w:t>
      </w:r>
      <w:r w:rsidR="00D65AE4" w:rsidRPr="00D65AE4">
        <w:rPr>
          <w:rFonts w:ascii="Arial" w:hAnsi="Arial" w:cs="Arial"/>
          <w:sz w:val="24"/>
          <w:szCs w:val="24"/>
          <w:lang w:val="en-US"/>
        </w:rPr>
        <w:t xml:space="preserve"> </w:t>
      </w:r>
      <w:r w:rsidR="00D65AE4">
        <w:rPr>
          <w:rFonts w:ascii="Arial" w:hAnsi="Arial" w:cs="Arial"/>
          <w:sz w:val="24"/>
          <w:szCs w:val="24"/>
          <w:lang w:val="en-US"/>
        </w:rPr>
        <w:t xml:space="preserve">Nor is there </w:t>
      </w:r>
      <w:r w:rsidR="00C72347">
        <w:rPr>
          <w:rFonts w:ascii="Arial" w:hAnsi="Arial" w:cs="Arial"/>
          <w:sz w:val="24"/>
          <w:szCs w:val="24"/>
          <w:lang w:val="en-US"/>
        </w:rPr>
        <w:t>an unqualified obligation on an estate to maintain a</w:t>
      </w:r>
      <w:r w:rsidR="00D65AE4">
        <w:rPr>
          <w:rFonts w:ascii="Arial" w:hAnsi="Arial" w:cs="Arial"/>
          <w:sz w:val="24"/>
          <w:szCs w:val="24"/>
          <w:lang w:val="en-US"/>
        </w:rPr>
        <w:t xml:space="preserve"> </w:t>
      </w:r>
      <w:r w:rsidR="00D65AE4">
        <w:rPr>
          <w:rFonts w:ascii="Arial" w:hAnsi="Arial" w:cs="Arial"/>
          <w:sz w:val="24"/>
          <w:szCs w:val="24"/>
          <w:lang w:val="en-US"/>
        </w:rPr>
        <w:lastRenderedPageBreak/>
        <w:t>surviving spouse.</w:t>
      </w:r>
      <w:r w:rsidR="00C72347">
        <w:rPr>
          <w:rFonts w:ascii="Arial" w:hAnsi="Arial" w:cs="Arial"/>
          <w:sz w:val="24"/>
          <w:szCs w:val="24"/>
          <w:lang w:val="en-US"/>
        </w:rPr>
        <w:t xml:space="preserve"> </w:t>
      </w:r>
      <w:r w:rsidR="00D65AE4">
        <w:rPr>
          <w:rFonts w:ascii="Arial" w:hAnsi="Arial" w:cs="Arial"/>
          <w:sz w:val="24"/>
          <w:szCs w:val="24"/>
          <w:lang w:val="en-US"/>
        </w:rPr>
        <w:t>B</w:t>
      </w:r>
      <w:r w:rsidR="00AB395D">
        <w:rPr>
          <w:rFonts w:ascii="Arial" w:hAnsi="Arial" w:cs="Arial"/>
          <w:sz w:val="24"/>
          <w:szCs w:val="24"/>
          <w:lang w:val="en-US"/>
        </w:rPr>
        <w:t>y specifically stipulating that claims in terms of the MSSA must be pursued in accordance with the Estates Act, the legislature envisaged that surviving spouses should comply with such time periods.</w:t>
      </w:r>
      <w:r w:rsidR="00C72347">
        <w:rPr>
          <w:rFonts w:ascii="Arial" w:hAnsi="Arial" w:cs="Arial"/>
          <w:sz w:val="24"/>
          <w:szCs w:val="24"/>
          <w:lang w:val="en-US"/>
        </w:rPr>
        <w:t xml:space="preserve"> </w:t>
      </w:r>
      <w:r w:rsidR="00D97A85">
        <w:rPr>
          <w:rFonts w:ascii="Arial" w:hAnsi="Arial" w:cs="Arial"/>
          <w:sz w:val="24"/>
          <w:szCs w:val="24"/>
          <w:lang w:val="en-US"/>
        </w:rPr>
        <w:t>If these restrictions were not applicable, the principle that legal certainty is required in matters pertaining to deceased estates would be undermined. There is n</w:t>
      </w:r>
      <w:r w:rsidR="00AB395D">
        <w:rPr>
          <w:rFonts w:ascii="Arial" w:hAnsi="Arial" w:cs="Arial"/>
          <w:sz w:val="24"/>
          <w:szCs w:val="24"/>
          <w:lang w:val="en-US"/>
        </w:rPr>
        <w:t xml:space="preserve">o </w:t>
      </w:r>
      <w:r w:rsidR="00D97A85">
        <w:rPr>
          <w:rFonts w:ascii="Arial" w:hAnsi="Arial" w:cs="Arial"/>
          <w:sz w:val="24"/>
          <w:szCs w:val="24"/>
          <w:lang w:val="en-US"/>
        </w:rPr>
        <w:t xml:space="preserve">basis in principle or policy to further narrow the meaning of debt nor, on the basis of </w:t>
      </w:r>
      <w:r w:rsidR="00405D88" w:rsidRPr="00787884">
        <w:rPr>
          <w:rFonts w:ascii="Arial" w:hAnsi="Arial" w:cs="Arial"/>
          <w:i/>
          <w:sz w:val="24"/>
          <w:szCs w:val="24"/>
          <w:lang w:val="en-US"/>
        </w:rPr>
        <w:t>Makate</w:t>
      </w:r>
      <w:r w:rsidR="00405D88">
        <w:rPr>
          <w:rFonts w:ascii="Arial" w:hAnsi="Arial" w:cs="Arial"/>
          <w:b/>
          <w:sz w:val="24"/>
          <w:szCs w:val="24"/>
          <w:lang w:val="en-US"/>
        </w:rPr>
        <w:t xml:space="preserve"> </w:t>
      </w:r>
      <w:r w:rsidR="00405D88">
        <w:rPr>
          <w:rFonts w:ascii="Arial" w:hAnsi="Arial" w:cs="Arial"/>
          <w:sz w:val="24"/>
          <w:szCs w:val="24"/>
          <w:lang w:val="en-US"/>
        </w:rPr>
        <w:t>to interpret</w:t>
      </w:r>
      <w:r w:rsidR="00D97A85">
        <w:rPr>
          <w:rFonts w:ascii="Arial" w:hAnsi="Arial" w:cs="Arial"/>
          <w:sz w:val="24"/>
          <w:szCs w:val="24"/>
          <w:lang w:val="en-US"/>
        </w:rPr>
        <w:t xml:space="preserve"> debt in a manner that is constrained.</w:t>
      </w:r>
    </w:p>
    <w:p w:rsidR="00D97A85" w:rsidRDefault="006969BD" w:rsidP="00CC18CC">
      <w:pPr>
        <w:spacing w:line="480" w:lineRule="auto"/>
        <w:ind w:left="720"/>
        <w:jc w:val="both"/>
        <w:rPr>
          <w:rFonts w:ascii="Arial" w:hAnsi="Arial" w:cs="Arial"/>
          <w:sz w:val="24"/>
          <w:szCs w:val="24"/>
          <w:lang w:val="en-US"/>
        </w:rPr>
      </w:pPr>
      <w:r>
        <w:rPr>
          <w:rFonts w:ascii="Arial" w:hAnsi="Arial" w:cs="Arial"/>
          <w:sz w:val="24"/>
          <w:szCs w:val="24"/>
          <w:lang w:val="en-US"/>
        </w:rPr>
        <w:t>4</w:t>
      </w:r>
      <w:r w:rsidR="00405D88">
        <w:rPr>
          <w:rFonts w:ascii="Arial" w:hAnsi="Arial" w:cs="Arial"/>
          <w:sz w:val="24"/>
          <w:szCs w:val="24"/>
          <w:lang w:val="en-US"/>
        </w:rPr>
        <w:t>9</w:t>
      </w:r>
      <w:r>
        <w:rPr>
          <w:rFonts w:ascii="Arial" w:hAnsi="Arial" w:cs="Arial"/>
          <w:sz w:val="24"/>
          <w:szCs w:val="24"/>
          <w:lang w:val="en-US"/>
        </w:rPr>
        <w:t>.2</w:t>
      </w:r>
      <w:r w:rsidR="00C3212D">
        <w:rPr>
          <w:rFonts w:ascii="Arial" w:hAnsi="Arial" w:cs="Arial"/>
          <w:sz w:val="24"/>
          <w:szCs w:val="24"/>
          <w:lang w:val="en-US"/>
        </w:rPr>
        <w:t>.</w:t>
      </w:r>
      <w:r w:rsidR="00F35A8D">
        <w:rPr>
          <w:rFonts w:ascii="Arial" w:hAnsi="Arial" w:cs="Arial"/>
          <w:sz w:val="24"/>
          <w:szCs w:val="24"/>
          <w:lang w:val="en-US"/>
        </w:rPr>
        <w:t xml:space="preserve"> </w:t>
      </w:r>
      <w:r w:rsidR="00D97A85">
        <w:rPr>
          <w:rFonts w:ascii="Arial" w:hAnsi="Arial" w:cs="Arial"/>
          <w:sz w:val="24"/>
          <w:szCs w:val="24"/>
          <w:lang w:val="en-US"/>
        </w:rPr>
        <w:t xml:space="preserve"> The fact that the claim in terms of the MSSA is a debt is consistent with </w:t>
      </w:r>
      <w:r w:rsidR="00D97A85">
        <w:rPr>
          <w:rFonts w:ascii="Arial" w:hAnsi="Arial" w:cs="Arial"/>
          <w:i/>
          <w:sz w:val="24"/>
          <w:szCs w:val="24"/>
          <w:lang w:val="en-US"/>
        </w:rPr>
        <w:t>inter alia</w:t>
      </w:r>
      <w:r w:rsidR="00D97A85">
        <w:rPr>
          <w:rFonts w:ascii="Arial" w:hAnsi="Arial" w:cs="Arial"/>
          <w:sz w:val="24"/>
          <w:szCs w:val="24"/>
          <w:lang w:val="en-US"/>
        </w:rPr>
        <w:t xml:space="preserve"> </w:t>
      </w:r>
      <w:r w:rsidR="00F35A8D">
        <w:rPr>
          <w:rFonts w:ascii="Arial" w:hAnsi="Arial" w:cs="Arial"/>
          <w:sz w:val="24"/>
          <w:szCs w:val="24"/>
          <w:lang w:val="en-US"/>
        </w:rPr>
        <w:t xml:space="preserve">the fact </w:t>
      </w:r>
      <w:r w:rsidR="00D97A85">
        <w:rPr>
          <w:rFonts w:ascii="Arial" w:hAnsi="Arial" w:cs="Arial"/>
          <w:sz w:val="24"/>
          <w:szCs w:val="24"/>
          <w:lang w:val="en-US"/>
        </w:rPr>
        <w:t>that a child’s claim for maintenance prescribes</w:t>
      </w:r>
      <w:r w:rsidR="00F35A8D">
        <w:rPr>
          <w:rFonts w:ascii="Arial" w:hAnsi="Arial" w:cs="Arial"/>
          <w:sz w:val="24"/>
          <w:szCs w:val="24"/>
          <w:lang w:val="en-US"/>
        </w:rPr>
        <w:t xml:space="preserve"> and </w:t>
      </w:r>
      <w:r w:rsidR="00D97A85">
        <w:rPr>
          <w:rFonts w:ascii="Arial" w:hAnsi="Arial" w:cs="Arial"/>
          <w:sz w:val="24"/>
          <w:szCs w:val="24"/>
          <w:lang w:val="en-US"/>
        </w:rPr>
        <w:t xml:space="preserve">that a spousal maintenance order is a judgment debt and susceptible to prescription. Plaintiff’s contention that a claim under the MSSA is not susceptible of prescription would place such claims in a category distinct from any other maintenance claims </w:t>
      </w:r>
      <w:r w:rsidR="00CC18CC">
        <w:rPr>
          <w:rFonts w:ascii="Arial" w:hAnsi="Arial" w:cs="Arial"/>
          <w:sz w:val="24"/>
          <w:szCs w:val="24"/>
          <w:lang w:val="en-US"/>
        </w:rPr>
        <w:t>and would</w:t>
      </w:r>
      <w:r w:rsidR="00F35A8D">
        <w:rPr>
          <w:rFonts w:ascii="Arial" w:hAnsi="Arial" w:cs="Arial"/>
          <w:sz w:val="24"/>
          <w:szCs w:val="24"/>
          <w:lang w:val="en-US"/>
        </w:rPr>
        <w:t xml:space="preserve"> be </w:t>
      </w:r>
      <w:r w:rsidR="00D97A85">
        <w:rPr>
          <w:rFonts w:ascii="Arial" w:hAnsi="Arial" w:cs="Arial"/>
          <w:sz w:val="24"/>
          <w:szCs w:val="24"/>
          <w:lang w:val="en-US"/>
        </w:rPr>
        <w:t xml:space="preserve">in contradiction of the limitation placed </w:t>
      </w:r>
      <w:r w:rsidR="00AB395D">
        <w:rPr>
          <w:rFonts w:ascii="Arial" w:hAnsi="Arial" w:cs="Arial"/>
          <w:sz w:val="24"/>
          <w:szCs w:val="24"/>
          <w:lang w:val="en-US"/>
        </w:rPr>
        <w:t>on</w:t>
      </w:r>
      <w:r w:rsidR="00D97A85">
        <w:rPr>
          <w:rFonts w:ascii="Arial" w:hAnsi="Arial" w:cs="Arial"/>
          <w:sz w:val="24"/>
          <w:szCs w:val="24"/>
          <w:lang w:val="en-US"/>
        </w:rPr>
        <w:t xml:space="preserve"> such claims in terms of the MSSA itself.</w:t>
      </w:r>
    </w:p>
    <w:p w:rsidR="00D35DE0" w:rsidRPr="006969BD" w:rsidRDefault="006969BD" w:rsidP="00D35DE0">
      <w:pPr>
        <w:spacing w:line="480" w:lineRule="auto"/>
        <w:jc w:val="both"/>
        <w:rPr>
          <w:rFonts w:ascii="Arial" w:hAnsi="Arial" w:cs="Arial"/>
          <w:b/>
          <w:sz w:val="24"/>
          <w:szCs w:val="24"/>
          <w:lang w:val="en-US"/>
        </w:rPr>
      </w:pPr>
      <w:r>
        <w:rPr>
          <w:rFonts w:ascii="Arial" w:hAnsi="Arial" w:cs="Arial"/>
          <w:b/>
          <w:sz w:val="24"/>
          <w:szCs w:val="24"/>
          <w:lang w:val="en-US"/>
        </w:rPr>
        <w:t xml:space="preserve"> Discussion and Finding on Plaintiff’s First Defence</w:t>
      </w:r>
    </w:p>
    <w:p w:rsidR="00EA0DD3" w:rsidRDefault="006969BD" w:rsidP="00AE410A">
      <w:pPr>
        <w:spacing w:line="480" w:lineRule="auto"/>
        <w:jc w:val="both"/>
        <w:rPr>
          <w:rFonts w:ascii="Arial" w:hAnsi="Arial" w:cs="Arial"/>
          <w:sz w:val="24"/>
          <w:szCs w:val="24"/>
          <w:lang w:val="en-US"/>
        </w:rPr>
      </w:pPr>
      <w:r>
        <w:rPr>
          <w:rFonts w:ascii="Arial" w:hAnsi="Arial" w:cs="Arial"/>
          <w:sz w:val="24"/>
          <w:szCs w:val="24"/>
          <w:lang w:val="en-US"/>
        </w:rPr>
        <w:t>[</w:t>
      </w:r>
      <w:r w:rsidR="00405D88">
        <w:rPr>
          <w:rFonts w:ascii="Arial" w:hAnsi="Arial" w:cs="Arial"/>
          <w:sz w:val="24"/>
          <w:szCs w:val="24"/>
          <w:lang w:val="en-US"/>
        </w:rPr>
        <w:t>50</w:t>
      </w:r>
      <w:r>
        <w:rPr>
          <w:rFonts w:ascii="Arial" w:hAnsi="Arial" w:cs="Arial"/>
          <w:sz w:val="24"/>
          <w:szCs w:val="24"/>
          <w:lang w:val="en-US"/>
        </w:rPr>
        <w:t>]</w:t>
      </w:r>
      <w:r w:rsidR="00CC18CC">
        <w:rPr>
          <w:rFonts w:ascii="Arial" w:hAnsi="Arial" w:cs="Arial"/>
          <w:sz w:val="24"/>
          <w:szCs w:val="24"/>
          <w:lang w:val="en-US"/>
        </w:rPr>
        <w:tab/>
      </w:r>
      <w:r>
        <w:rPr>
          <w:rFonts w:ascii="Arial" w:hAnsi="Arial" w:cs="Arial"/>
          <w:sz w:val="24"/>
          <w:szCs w:val="24"/>
          <w:lang w:val="en-US"/>
        </w:rPr>
        <w:t>T</w:t>
      </w:r>
      <w:r w:rsidR="00EA0DD3">
        <w:rPr>
          <w:rFonts w:ascii="Arial" w:hAnsi="Arial" w:cs="Arial"/>
          <w:sz w:val="24"/>
          <w:szCs w:val="24"/>
          <w:lang w:val="en-US"/>
        </w:rPr>
        <w:t xml:space="preserve">he mandatory constitutional canon of </w:t>
      </w:r>
      <w:r>
        <w:rPr>
          <w:rFonts w:ascii="Arial" w:hAnsi="Arial" w:cs="Arial"/>
          <w:sz w:val="24"/>
          <w:szCs w:val="24"/>
          <w:lang w:val="en-US"/>
        </w:rPr>
        <w:t>statutory interpretation prescribed in</w:t>
      </w:r>
      <w:r w:rsidR="00EA0DD3">
        <w:rPr>
          <w:rFonts w:ascii="Arial" w:hAnsi="Arial" w:cs="Arial"/>
          <w:sz w:val="24"/>
          <w:szCs w:val="24"/>
          <w:lang w:val="en-US"/>
        </w:rPr>
        <w:t xml:space="preserve"> section 3</w:t>
      </w:r>
      <w:r>
        <w:rPr>
          <w:rFonts w:ascii="Arial" w:hAnsi="Arial" w:cs="Arial"/>
          <w:sz w:val="24"/>
          <w:szCs w:val="24"/>
          <w:lang w:val="en-US"/>
        </w:rPr>
        <w:t xml:space="preserve">9 (2) of the </w:t>
      </w:r>
      <w:r w:rsidR="00624B34">
        <w:rPr>
          <w:rFonts w:ascii="Arial" w:hAnsi="Arial" w:cs="Arial"/>
          <w:sz w:val="24"/>
          <w:szCs w:val="24"/>
          <w:lang w:val="en-US"/>
        </w:rPr>
        <w:t>Constitution, is</w:t>
      </w:r>
      <w:r w:rsidR="00EA0DD3">
        <w:rPr>
          <w:rFonts w:ascii="Arial" w:hAnsi="Arial" w:cs="Arial"/>
          <w:sz w:val="24"/>
          <w:szCs w:val="24"/>
          <w:lang w:val="en-US"/>
        </w:rPr>
        <w:t xml:space="preserve"> to promote the spirit purport and objects of the Bill of Rights in interpreting legislation.</w:t>
      </w:r>
      <w:r w:rsidR="00424D89">
        <w:rPr>
          <w:rFonts w:ascii="Arial" w:hAnsi="Arial" w:cs="Arial"/>
          <w:sz w:val="24"/>
          <w:szCs w:val="24"/>
          <w:lang w:val="en-US"/>
        </w:rPr>
        <w:t xml:space="preserve"> In</w:t>
      </w:r>
      <w:r w:rsidR="00424D89" w:rsidRPr="00424D89">
        <w:rPr>
          <w:rFonts w:ascii="Arial" w:hAnsi="Arial" w:cs="Arial"/>
          <w:b/>
          <w:sz w:val="24"/>
          <w:szCs w:val="24"/>
          <w:lang w:val="en-US"/>
        </w:rPr>
        <w:t xml:space="preserve"> </w:t>
      </w:r>
      <w:r w:rsidR="00424D89" w:rsidRPr="00787884">
        <w:rPr>
          <w:rFonts w:ascii="Arial" w:hAnsi="Arial" w:cs="Arial"/>
          <w:i/>
          <w:sz w:val="24"/>
          <w:szCs w:val="24"/>
          <w:lang w:val="en-US"/>
        </w:rPr>
        <w:t>Makate</w:t>
      </w:r>
      <w:r w:rsidRPr="00FD5B2C">
        <w:rPr>
          <w:rFonts w:ascii="Arial" w:hAnsi="Arial" w:cs="Arial"/>
          <w:sz w:val="24"/>
          <w:szCs w:val="24"/>
          <w:lang w:val="en-US"/>
        </w:rPr>
        <w:t xml:space="preserve"> </w:t>
      </w:r>
      <w:r w:rsidRPr="00FD5B2C">
        <w:rPr>
          <w:rFonts w:ascii="Arial" w:hAnsi="Arial" w:cs="Arial"/>
          <w:i/>
          <w:sz w:val="24"/>
          <w:szCs w:val="24"/>
          <w:lang w:val="en-US"/>
        </w:rPr>
        <w:t>supra</w:t>
      </w:r>
      <w:r w:rsidR="00424D89" w:rsidRPr="00FD5B2C">
        <w:rPr>
          <w:rFonts w:ascii="Arial" w:hAnsi="Arial" w:cs="Arial"/>
          <w:sz w:val="24"/>
          <w:szCs w:val="24"/>
          <w:lang w:val="en-US"/>
        </w:rPr>
        <w:t xml:space="preserve"> </w:t>
      </w:r>
      <w:r w:rsidR="00424D89">
        <w:rPr>
          <w:rFonts w:ascii="Arial" w:hAnsi="Arial" w:cs="Arial"/>
          <w:sz w:val="24"/>
          <w:szCs w:val="24"/>
          <w:lang w:val="en-US"/>
        </w:rPr>
        <w:t>it was stated</w:t>
      </w:r>
      <w:r w:rsidR="00424D89">
        <w:rPr>
          <w:rStyle w:val="FootnoteReference"/>
          <w:rFonts w:ascii="Arial" w:hAnsi="Arial" w:cs="Arial"/>
          <w:sz w:val="24"/>
          <w:szCs w:val="24"/>
          <w:lang w:val="en-US"/>
        </w:rPr>
        <w:footnoteReference w:id="14"/>
      </w:r>
      <w:r w:rsidR="00424D89">
        <w:rPr>
          <w:rFonts w:ascii="Arial" w:hAnsi="Arial" w:cs="Arial"/>
          <w:sz w:val="24"/>
          <w:szCs w:val="24"/>
          <w:lang w:val="en-US"/>
        </w:rPr>
        <w:t xml:space="preserve"> that where a right in the Bill of Rights is implicated every Court is required to read legislation through the prism of the Constitution. In this regard it has been noted that in g</w:t>
      </w:r>
      <w:r>
        <w:rPr>
          <w:rFonts w:ascii="Arial" w:hAnsi="Arial" w:cs="Arial"/>
          <w:sz w:val="24"/>
          <w:szCs w:val="24"/>
          <w:lang w:val="en-US"/>
        </w:rPr>
        <w:t>iving effect to Section 39 (2) j</w:t>
      </w:r>
      <w:r w:rsidR="00424D89">
        <w:rPr>
          <w:rFonts w:ascii="Arial" w:hAnsi="Arial" w:cs="Arial"/>
          <w:sz w:val="24"/>
          <w:szCs w:val="24"/>
          <w:lang w:val="en-US"/>
        </w:rPr>
        <w:t>udicial officers in interpreting legislation must promote the Bill of Rights</w:t>
      </w:r>
      <w:r w:rsidR="001B7A84">
        <w:rPr>
          <w:rStyle w:val="FootnoteReference"/>
          <w:rFonts w:ascii="Arial" w:hAnsi="Arial" w:cs="Arial"/>
          <w:sz w:val="24"/>
          <w:szCs w:val="24"/>
          <w:lang w:val="en-US"/>
        </w:rPr>
        <w:footnoteReference w:id="15"/>
      </w:r>
      <w:r w:rsidR="001B7A84">
        <w:rPr>
          <w:rFonts w:ascii="Arial" w:hAnsi="Arial" w:cs="Arial"/>
          <w:sz w:val="24"/>
          <w:szCs w:val="24"/>
          <w:lang w:val="en-US"/>
        </w:rPr>
        <w:t>, are obliged to prefer an interpretation</w:t>
      </w:r>
      <w:r>
        <w:rPr>
          <w:rFonts w:ascii="Arial" w:hAnsi="Arial" w:cs="Arial"/>
          <w:sz w:val="24"/>
          <w:szCs w:val="24"/>
          <w:lang w:val="en-US"/>
        </w:rPr>
        <w:t xml:space="preserve"> of legislation which is</w:t>
      </w:r>
      <w:r w:rsidR="001B7A84">
        <w:rPr>
          <w:rFonts w:ascii="Arial" w:hAnsi="Arial" w:cs="Arial"/>
          <w:sz w:val="24"/>
          <w:szCs w:val="24"/>
          <w:lang w:val="en-US"/>
        </w:rPr>
        <w:t xml:space="preserve"> constitutional</w:t>
      </w:r>
      <w:r>
        <w:rPr>
          <w:rFonts w:ascii="Arial" w:hAnsi="Arial" w:cs="Arial"/>
          <w:sz w:val="24"/>
          <w:szCs w:val="24"/>
          <w:lang w:val="en-US"/>
        </w:rPr>
        <w:t xml:space="preserve">ly compliant over </w:t>
      </w:r>
      <w:r>
        <w:rPr>
          <w:rFonts w:ascii="Arial" w:hAnsi="Arial" w:cs="Arial"/>
          <w:sz w:val="24"/>
          <w:szCs w:val="24"/>
          <w:lang w:val="en-US"/>
        </w:rPr>
        <w:lastRenderedPageBreak/>
        <w:t>one which is not</w:t>
      </w:r>
      <w:r w:rsidR="001B7A84">
        <w:rPr>
          <w:rFonts w:ascii="Arial" w:hAnsi="Arial" w:cs="Arial"/>
          <w:sz w:val="24"/>
          <w:szCs w:val="24"/>
          <w:lang w:val="en-US"/>
        </w:rPr>
        <w:t xml:space="preserve"> where it is reasonably possible to do so</w:t>
      </w:r>
      <w:r>
        <w:rPr>
          <w:rFonts w:ascii="Arial" w:hAnsi="Arial" w:cs="Arial"/>
          <w:sz w:val="24"/>
          <w:szCs w:val="24"/>
          <w:lang w:val="en-US"/>
        </w:rPr>
        <w:t>,</w:t>
      </w:r>
      <w:r w:rsidR="001B7A84">
        <w:rPr>
          <w:rStyle w:val="FootnoteReference"/>
          <w:rFonts w:ascii="Arial" w:hAnsi="Arial" w:cs="Arial"/>
          <w:sz w:val="24"/>
          <w:szCs w:val="24"/>
          <w:lang w:val="en-US"/>
        </w:rPr>
        <w:footnoteReference w:id="16"/>
      </w:r>
      <w:r w:rsidR="001B7A84">
        <w:rPr>
          <w:rFonts w:ascii="Arial" w:hAnsi="Arial" w:cs="Arial"/>
          <w:sz w:val="24"/>
          <w:szCs w:val="24"/>
          <w:lang w:val="en-US"/>
        </w:rPr>
        <w:t>and where faced with two interpretations which do not limit fundamental rights, they are obliged to prefer the interpretation which better promotes the objects of the Bill of Rights</w:t>
      </w:r>
      <w:r w:rsidR="001B7A84">
        <w:rPr>
          <w:rStyle w:val="FootnoteReference"/>
          <w:rFonts w:ascii="Arial" w:hAnsi="Arial" w:cs="Arial"/>
          <w:sz w:val="24"/>
          <w:szCs w:val="24"/>
          <w:lang w:val="en-US"/>
        </w:rPr>
        <w:footnoteReference w:id="17"/>
      </w:r>
    </w:p>
    <w:p w:rsidR="00424D89" w:rsidRPr="00FD5B2C" w:rsidRDefault="00424D89" w:rsidP="00AE410A">
      <w:pPr>
        <w:spacing w:line="480" w:lineRule="auto"/>
        <w:jc w:val="both"/>
        <w:rPr>
          <w:rFonts w:ascii="Arial" w:hAnsi="Arial" w:cs="Arial"/>
          <w:sz w:val="24"/>
          <w:szCs w:val="24"/>
          <w:lang w:val="en-US"/>
        </w:rPr>
      </w:pPr>
      <w:r>
        <w:rPr>
          <w:rFonts w:ascii="Arial" w:hAnsi="Arial" w:cs="Arial"/>
          <w:sz w:val="24"/>
          <w:szCs w:val="24"/>
          <w:lang w:val="en-US"/>
        </w:rPr>
        <w:t>[</w:t>
      </w:r>
      <w:r w:rsidR="00405D88">
        <w:rPr>
          <w:rFonts w:ascii="Arial" w:hAnsi="Arial" w:cs="Arial"/>
          <w:sz w:val="24"/>
          <w:szCs w:val="24"/>
          <w:lang w:val="en-US"/>
        </w:rPr>
        <w:t>51</w:t>
      </w:r>
      <w:r>
        <w:rPr>
          <w:rFonts w:ascii="Arial" w:hAnsi="Arial" w:cs="Arial"/>
          <w:sz w:val="24"/>
          <w:szCs w:val="24"/>
          <w:lang w:val="en-US"/>
        </w:rPr>
        <w:t>]</w:t>
      </w:r>
      <w:r w:rsidR="00CC18CC">
        <w:rPr>
          <w:rFonts w:ascii="Arial" w:hAnsi="Arial" w:cs="Arial"/>
          <w:sz w:val="24"/>
          <w:szCs w:val="24"/>
          <w:lang w:val="en-US"/>
        </w:rPr>
        <w:tab/>
      </w:r>
      <w:r>
        <w:rPr>
          <w:rFonts w:ascii="Arial" w:hAnsi="Arial" w:cs="Arial"/>
          <w:sz w:val="24"/>
          <w:szCs w:val="24"/>
          <w:lang w:val="en-US"/>
        </w:rPr>
        <w:t xml:space="preserve">In this matter </w:t>
      </w:r>
      <w:r w:rsidR="00FD5B2C">
        <w:rPr>
          <w:rFonts w:ascii="Arial" w:hAnsi="Arial" w:cs="Arial"/>
          <w:sz w:val="24"/>
          <w:szCs w:val="24"/>
          <w:lang w:val="en-US"/>
        </w:rPr>
        <w:t xml:space="preserve">one of </w:t>
      </w:r>
      <w:r>
        <w:rPr>
          <w:rFonts w:ascii="Arial" w:hAnsi="Arial" w:cs="Arial"/>
          <w:sz w:val="24"/>
          <w:szCs w:val="24"/>
          <w:lang w:val="en-US"/>
        </w:rPr>
        <w:t>the right</w:t>
      </w:r>
      <w:r w:rsidR="00FD5B2C">
        <w:rPr>
          <w:rFonts w:ascii="Arial" w:hAnsi="Arial" w:cs="Arial"/>
          <w:sz w:val="24"/>
          <w:szCs w:val="24"/>
          <w:lang w:val="en-US"/>
        </w:rPr>
        <w:t>s</w:t>
      </w:r>
      <w:r>
        <w:rPr>
          <w:rFonts w:ascii="Arial" w:hAnsi="Arial" w:cs="Arial"/>
          <w:sz w:val="24"/>
          <w:szCs w:val="24"/>
          <w:lang w:val="en-US"/>
        </w:rPr>
        <w:t xml:space="preserve"> in the Bill of Rights</w:t>
      </w:r>
      <w:r w:rsidR="001B7A84">
        <w:rPr>
          <w:rFonts w:ascii="Arial" w:hAnsi="Arial" w:cs="Arial"/>
          <w:sz w:val="24"/>
          <w:szCs w:val="24"/>
          <w:lang w:val="en-US"/>
        </w:rPr>
        <w:t xml:space="preserve"> that is implicated is the r</w:t>
      </w:r>
      <w:r w:rsidR="00FD5B2C">
        <w:rPr>
          <w:rFonts w:ascii="Arial" w:hAnsi="Arial" w:cs="Arial"/>
          <w:sz w:val="24"/>
          <w:szCs w:val="24"/>
          <w:lang w:val="en-US"/>
        </w:rPr>
        <w:t>ight of access to c</w:t>
      </w:r>
      <w:r>
        <w:rPr>
          <w:rFonts w:ascii="Arial" w:hAnsi="Arial" w:cs="Arial"/>
          <w:sz w:val="24"/>
          <w:szCs w:val="24"/>
          <w:lang w:val="en-US"/>
        </w:rPr>
        <w:t>ourts in Section 34 of the Const</w:t>
      </w:r>
      <w:r w:rsidR="00EA7D87">
        <w:rPr>
          <w:rFonts w:ascii="Arial" w:hAnsi="Arial" w:cs="Arial"/>
          <w:sz w:val="24"/>
          <w:szCs w:val="24"/>
          <w:lang w:val="en-US"/>
        </w:rPr>
        <w:t xml:space="preserve">itution and the reciprocal obligation in respect thereof. </w:t>
      </w:r>
      <w:r w:rsidR="00710C32">
        <w:rPr>
          <w:rFonts w:ascii="Arial" w:hAnsi="Arial" w:cs="Arial"/>
          <w:sz w:val="24"/>
          <w:szCs w:val="24"/>
          <w:lang w:val="en-US"/>
        </w:rPr>
        <w:t>It has been recognized that the right of access to court is an aspect of the rule of law, which is one of the foundational values upon which our Constitutional democracy has been established.</w:t>
      </w:r>
      <w:r w:rsidR="00710C32">
        <w:rPr>
          <w:rStyle w:val="FootnoteReference"/>
          <w:rFonts w:ascii="Arial" w:hAnsi="Arial" w:cs="Arial"/>
          <w:sz w:val="24"/>
          <w:szCs w:val="24"/>
          <w:lang w:val="en-US"/>
        </w:rPr>
        <w:footnoteReference w:id="18"/>
      </w:r>
      <w:r w:rsidR="00FD5B2C" w:rsidRPr="00FD5B2C">
        <w:rPr>
          <w:rFonts w:ascii="Arial" w:hAnsi="Arial" w:cs="Arial"/>
          <w:sz w:val="24"/>
          <w:szCs w:val="24"/>
          <w:lang w:val="en-US"/>
        </w:rPr>
        <w:t>I</w:t>
      </w:r>
      <w:r w:rsidR="00EA7D87" w:rsidRPr="00FD5B2C">
        <w:rPr>
          <w:rFonts w:ascii="Arial" w:hAnsi="Arial" w:cs="Arial"/>
          <w:sz w:val="24"/>
          <w:szCs w:val="24"/>
          <w:lang w:val="en-US"/>
        </w:rPr>
        <w:t>n my judgment of 10 August 2022</w:t>
      </w:r>
      <w:r w:rsidR="00FD5B2C">
        <w:rPr>
          <w:rStyle w:val="FootnoteReference"/>
          <w:rFonts w:ascii="Arial" w:hAnsi="Arial" w:cs="Arial"/>
          <w:sz w:val="24"/>
          <w:szCs w:val="24"/>
          <w:lang w:val="en-US"/>
        </w:rPr>
        <w:footnoteReference w:id="19"/>
      </w:r>
      <w:r w:rsidR="00FD5B2C">
        <w:rPr>
          <w:rFonts w:ascii="Arial" w:hAnsi="Arial" w:cs="Arial"/>
          <w:sz w:val="24"/>
          <w:szCs w:val="24"/>
          <w:lang w:val="en-US"/>
        </w:rPr>
        <w:t xml:space="preserve"> upholding</w:t>
      </w:r>
      <w:r w:rsidR="00EA7D87" w:rsidRPr="00FD5B2C">
        <w:rPr>
          <w:rFonts w:ascii="Arial" w:hAnsi="Arial" w:cs="Arial"/>
          <w:sz w:val="24"/>
          <w:szCs w:val="24"/>
          <w:lang w:val="en-US"/>
        </w:rPr>
        <w:t xml:space="preserve"> the exception</w:t>
      </w:r>
      <w:r w:rsidR="00FD5B2C">
        <w:rPr>
          <w:rFonts w:ascii="Arial" w:hAnsi="Arial" w:cs="Arial"/>
          <w:sz w:val="24"/>
          <w:szCs w:val="24"/>
          <w:lang w:val="en-US"/>
        </w:rPr>
        <w:t>s</w:t>
      </w:r>
      <w:r w:rsidR="00EA7D87" w:rsidRPr="00FD5B2C">
        <w:rPr>
          <w:rFonts w:ascii="Arial" w:hAnsi="Arial" w:cs="Arial"/>
          <w:sz w:val="24"/>
          <w:szCs w:val="24"/>
          <w:lang w:val="en-US"/>
        </w:rPr>
        <w:t xml:space="preserve"> I acknowledged the principle that prescriptive provisions limit</w:t>
      </w:r>
      <w:r w:rsidR="00F1056E" w:rsidRPr="00FD5B2C">
        <w:rPr>
          <w:rFonts w:ascii="Arial" w:hAnsi="Arial" w:cs="Arial"/>
          <w:sz w:val="24"/>
          <w:szCs w:val="24"/>
          <w:lang w:val="en-US"/>
        </w:rPr>
        <w:t xml:space="preserve"> litigant’s constitutional rights as a claimant who fails to meet a prescription deadline</w:t>
      </w:r>
      <w:r w:rsidR="00FD5B2C" w:rsidRPr="00FD5B2C">
        <w:rPr>
          <w:rFonts w:ascii="Arial" w:hAnsi="Arial" w:cs="Arial"/>
          <w:sz w:val="24"/>
          <w:szCs w:val="24"/>
          <w:lang w:val="en-US"/>
        </w:rPr>
        <w:t xml:space="preserve"> </w:t>
      </w:r>
      <w:r w:rsidR="00F1056E" w:rsidRPr="00FD5B2C">
        <w:rPr>
          <w:rFonts w:ascii="Arial" w:hAnsi="Arial" w:cs="Arial"/>
          <w:sz w:val="24"/>
          <w:szCs w:val="24"/>
          <w:lang w:val="en-US"/>
        </w:rPr>
        <w:t>is denied the right of access to court</w:t>
      </w:r>
      <w:r w:rsidR="00687060">
        <w:rPr>
          <w:rFonts w:ascii="Arial" w:hAnsi="Arial" w:cs="Arial"/>
          <w:sz w:val="24"/>
          <w:szCs w:val="24"/>
          <w:lang w:val="en-US"/>
        </w:rPr>
        <w:t>.</w:t>
      </w:r>
    </w:p>
    <w:p w:rsidR="006D5E86" w:rsidRDefault="00FD5B2C" w:rsidP="00AE410A">
      <w:pPr>
        <w:spacing w:line="480" w:lineRule="auto"/>
        <w:jc w:val="both"/>
        <w:rPr>
          <w:rFonts w:ascii="Arial" w:hAnsi="Arial" w:cs="Arial"/>
          <w:sz w:val="24"/>
          <w:szCs w:val="24"/>
          <w:lang w:val="en-US"/>
        </w:rPr>
      </w:pPr>
      <w:r>
        <w:rPr>
          <w:rFonts w:ascii="Arial" w:hAnsi="Arial" w:cs="Arial"/>
          <w:sz w:val="24"/>
          <w:szCs w:val="24"/>
          <w:lang w:val="en-US"/>
        </w:rPr>
        <w:t>[5</w:t>
      </w:r>
      <w:r w:rsidR="00405D88">
        <w:rPr>
          <w:rFonts w:ascii="Arial" w:hAnsi="Arial" w:cs="Arial"/>
          <w:sz w:val="24"/>
          <w:szCs w:val="24"/>
          <w:lang w:val="en-US"/>
        </w:rPr>
        <w:t>2</w:t>
      </w:r>
      <w:r w:rsidR="006D5E86">
        <w:rPr>
          <w:rFonts w:ascii="Arial" w:hAnsi="Arial" w:cs="Arial"/>
          <w:sz w:val="24"/>
          <w:szCs w:val="24"/>
          <w:lang w:val="en-US"/>
        </w:rPr>
        <w:t>]</w:t>
      </w:r>
      <w:r w:rsidR="006D5E86">
        <w:rPr>
          <w:rFonts w:ascii="Arial" w:hAnsi="Arial" w:cs="Arial"/>
          <w:sz w:val="24"/>
          <w:szCs w:val="24"/>
          <w:lang w:val="en-US"/>
        </w:rPr>
        <w:tab/>
        <w:t xml:space="preserve">In </w:t>
      </w:r>
      <w:r w:rsidR="006D5E86" w:rsidRPr="00787884">
        <w:rPr>
          <w:rFonts w:ascii="Arial" w:hAnsi="Arial" w:cs="Arial"/>
          <w:i/>
          <w:sz w:val="24"/>
          <w:szCs w:val="24"/>
          <w:lang w:val="en-US"/>
        </w:rPr>
        <w:t>Makate</w:t>
      </w:r>
      <w:r w:rsidR="006D5E86" w:rsidRPr="00624B34">
        <w:rPr>
          <w:rFonts w:ascii="Arial" w:hAnsi="Arial" w:cs="Arial"/>
          <w:b/>
          <w:sz w:val="24"/>
          <w:szCs w:val="24"/>
          <w:lang w:val="en-US"/>
        </w:rPr>
        <w:t xml:space="preserve"> </w:t>
      </w:r>
      <w:r w:rsidR="001B7A84" w:rsidRPr="00687060">
        <w:rPr>
          <w:rFonts w:ascii="Arial" w:hAnsi="Arial" w:cs="Arial"/>
          <w:i/>
          <w:sz w:val="24"/>
          <w:szCs w:val="24"/>
          <w:lang w:val="en-US"/>
        </w:rPr>
        <w:t>supra</w:t>
      </w:r>
      <w:r w:rsidR="001B7A84" w:rsidRPr="001B7A84">
        <w:rPr>
          <w:rFonts w:ascii="Arial" w:hAnsi="Arial" w:cs="Arial"/>
          <w:sz w:val="24"/>
          <w:szCs w:val="24"/>
          <w:lang w:val="en-US"/>
        </w:rPr>
        <w:t xml:space="preserve"> the above principles</w:t>
      </w:r>
      <w:r w:rsidR="001B7A84">
        <w:rPr>
          <w:rFonts w:ascii="Arial" w:hAnsi="Arial" w:cs="Arial"/>
          <w:sz w:val="24"/>
          <w:szCs w:val="24"/>
          <w:lang w:val="en-US"/>
        </w:rPr>
        <w:t xml:space="preserve"> of interpretation were applied by the Constitutional Court</w:t>
      </w:r>
      <w:r w:rsidR="00EA7D87">
        <w:rPr>
          <w:rFonts w:ascii="Arial" w:hAnsi="Arial" w:cs="Arial"/>
          <w:sz w:val="24"/>
          <w:szCs w:val="24"/>
          <w:lang w:val="en-US"/>
        </w:rPr>
        <w:t xml:space="preserve"> in the context of the Prescription </w:t>
      </w:r>
      <w:r w:rsidR="00405D88">
        <w:rPr>
          <w:rFonts w:ascii="Arial" w:hAnsi="Arial" w:cs="Arial"/>
          <w:sz w:val="24"/>
          <w:szCs w:val="24"/>
          <w:lang w:val="en-US"/>
        </w:rPr>
        <w:t>Act</w:t>
      </w:r>
      <w:r w:rsidR="00EA7D87">
        <w:rPr>
          <w:rStyle w:val="FootnoteReference"/>
          <w:rFonts w:ascii="Arial" w:hAnsi="Arial" w:cs="Arial"/>
          <w:sz w:val="24"/>
          <w:szCs w:val="24"/>
          <w:lang w:val="en-US"/>
        </w:rPr>
        <w:footnoteReference w:id="20"/>
      </w:r>
      <w:r w:rsidR="00EA7D87">
        <w:rPr>
          <w:rFonts w:ascii="Arial" w:hAnsi="Arial" w:cs="Arial"/>
          <w:sz w:val="24"/>
          <w:szCs w:val="24"/>
          <w:lang w:val="en-US"/>
        </w:rPr>
        <w:t>. T</w:t>
      </w:r>
      <w:r w:rsidR="006D5E86">
        <w:rPr>
          <w:rFonts w:ascii="Arial" w:hAnsi="Arial" w:cs="Arial"/>
          <w:sz w:val="24"/>
          <w:szCs w:val="24"/>
          <w:lang w:val="en-US"/>
        </w:rPr>
        <w:t>he pre-Constitutional approach of our courts that the word “debt” must be given a wide and general meaning</w:t>
      </w:r>
      <w:r w:rsidR="00687060">
        <w:rPr>
          <w:rFonts w:ascii="Arial" w:hAnsi="Arial" w:cs="Arial"/>
          <w:sz w:val="24"/>
          <w:szCs w:val="24"/>
          <w:lang w:val="en-US"/>
        </w:rPr>
        <w:t>,</w:t>
      </w:r>
      <w:r w:rsidR="006D5E86">
        <w:rPr>
          <w:rStyle w:val="FootnoteReference"/>
          <w:rFonts w:ascii="Arial" w:hAnsi="Arial" w:cs="Arial"/>
          <w:sz w:val="24"/>
          <w:szCs w:val="24"/>
          <w:lang w:val="en-US"/>
        </w:rPr>
        <w:footnoteReference w:id="21"/>
      </w:r>
      <w:r w:rsidR="006D5E86">
        <w:rPr>
          <w:rFonts w:ascii="Arial" w:hAnsi="Arial" w:cs="Arial"/>
          <w:sz w:val="24"/>
          <w:szCs w:val="24"/>
          <w:lang w:val="en-US"/>
        </w:rPr>
        <w:t xml:space="preserve"> was overruled in favour of an interpretation of the word “debt” which is least intrusive of the right of access to court and which promotes the purport, spirit and objects of the Bill of Right.</w:t>
      </w:r>
    </w:p>
    <w:p w:rsidR="00FD5B2C" w:rsidRDefault="00FD5B2C" w:rsidP="006D5E86">
      <w:pPr>
        <w:spacing w:line="480" w:lineRule="auto"/>
        <w:jc w:val="both"/>
        <w:rPr>
          <w:rFonts w:ascii="Arial" w:hAnsi="Arial" w:cs="Arial"/>
          <w:sz w:val="24"/>
          <w:szCs w:val="24"/>
          <w:lang w:val="en-US"/>
        </w:rPr>
      </w:pPr>
      <w:r>
        <w:rPr>
          <w:rFonts w:ascii="Arial" w:hAnsi="Arial" w:cs="Arial"/>
          <w:sz w:val="24"/>
          <w:szCs w:val="24"/>
          <w:lang w:val="en-US"/>
        </w:rPr>
        <w:t>[5</w:t>
      </w:r>
      <w:r w:rsidR="00405D88">
        <w:rPr>
          <w:rFonts w:ascii="Arial" w:hAnsi="Arial" w:cs="Arial"/>
          <w:sz w:val="24"/>
          <w:szCs w:val="24"/>
          <w:lang w:val="en-US"/>
        </w:rPr>
        <w:t>3</w:t>
      </w:r>
      <w:r w:rsidR="006D5E86">
        <w:rPr>
          <w:rFonts w:ascii="Arial" w:hAnsi="Arial" w:cs="Arial"/>
          <w:sz w:val="24"/>
          <w:szCs w:val="24"/>
          <w:lang w:val="en-US"/>
        </w:rPr>
        <w:t>]</w:t>
      </w:r>
      <w:r w:rsidR="006D5E86">
        <w:rPr>
          <w:rFonts w:ascii="Arial" w:hAnsi="Arial" w:cs="Arial"/>
          <w:sz w:val="24"/>
          <w:szCs w:val="24"/>
          <w:lang w:val="en-US"/>
        </w:rPr>
        <w:tab/>
      </w:r>
      <w:r w:rsidR="00F1056E">
        <w:rPr>
          <w:rFonts w:ascii="Arial" w:hAnsi="Arial" w:cs="Arial"/>
          <w:sz w:val="24"/>
          <w:szCs w:val="24"/>
          <w:lang w:val="en-US"/>
        </w:rPr>
        <w:t xml:space="preserve">Prior to </w:t>
      </w:r>
      <w:r w:rsidR="00F1056E" w:rsidRPr="00787884">
        <w:rPr>
          <w:rFonts w:ascii="Arial" w:hAnsi="Arial" w:cs="Arial"/>
          <w:i/>
          <w:sz w:val="24"/>
          <w:szCs w:val="24"/>
          <w:lang w:val="en-US"/>
        </w:rPr>
        <w:t>Makate</w:t>
      </w:r>
      <w:r w:rsidR="00F1056E">
        <w:rPr>
          <w:rFonts w:ascii="Arial" w:hAnsi="Arial" w:cs="Arial"/>
          <w:sz w:val="24"/>
          <w:szCs w:val="24"/>
          <w:lang w:val="en-US"/>
        </w:rPr>
        <w:t xml:space="preserve">, in </w:t>
      </w:r>
      <w:r w:rsidR="00F1056E" w:rsidRPr="00787884">
        <w:rPr>
          <w:rFonts w:ascii="Arial" w:hAnsi="Arial" w:cs="Arial"/>
          <w:i/>
          <w:sz w:val="24"/>
          <w:szCs w:val="24"/>
          <w:lang w:val="en-US"/>
        </w:rPr>
        <w:t>Njongi v MEC Department of Welfare Eastern Cape</w:t>
      </w:r>
      <w:r w:rsidR="00071A26">
        <w:rPr>
          <w:rStyle w:val="FootnoteReference"/>
          <w:lang w:val="en-US"/>
        </w:rPr>
        <w:footnoteReference w:id="22"/>
      </w:r>
      <w:r w:rsidR="00071A26">
        <w:rPr>
          <w:lang w:val="en-US"/>
        </w:rPr>
        <w:t>,</w:t>
      </w:r>
      <w:r w:rsidR="00F1056E">
        <w:rPr>
          <w:lang w:val="en-US"/>
        </w:rPr>
        <w:t xml:space="preserve"> </w:t>
      </w:r>
      <w:r w:rsidR="00F1056E">
        <w:rPr>
          <w:rFonts w:ascii="Arial" w:hAnsi="Arial" w:cs="Arial"/>
          <w:sz w:val="24"/>
          <w:szCs w:val="24"/>
          <w:lang w:val="en-US"/>
        </w:rPr>
        <w:t>doubt was</w:t>
      </w:r>
      <w:r w:rsidR="006D5E86">
        <w:rPr>
          <w:rFonts w:ascii="Arial" w:hAnsi="Arial" w:cs="Arial"/>
          <w:sz w:val="24"/>
          <w:szCs w:val="24"/>
          <w:lang w:val="en-US"/>
        </w:rPr>
        <w:t xml:space="preserve"> expressed by the </w:t>
      </w:r>
      <w:r w:rsidR="00AE410A">
        <w:rPr>
          <w:rFonts w:ascii="Arial" w:hAnsi="Arial" w:cs="Arial"/>
          <w:sz w:val="24"/>
          <w:szCs w:val="24"/>
          <w:lang w:val="en-US"/>
        </w:rPr>
        <w:t>Constitutional</w:t>
      </w:r>
      <w:r w:rsidR="006D5E86">
        <w:rPr>
          <w:rFonts w:ascii="Arial" w:hAnsi="Arial" w:cs="Arial"/>
          <w:sz w:val="24"/>
          <w:szCs w:val="24"/>
          <w:lang w:val="en-US"/>
        </w:rPr>
        <w:t xml:space="preserve"> Court about whether an obligation that arises </w:t>
      </w:r>
      <w:r w:rsidR="006D5E86">
        <w:rPr>
          <w:rFonts w:ascii="Arial" w:hAnsi="Arial" w:cs="Arial"/>
          <w:sz w:val="24"/>
          <w:szCs w:val="24"/>
          <w:lang w:val="en-US"/>
        </w:rPr>
        <w:lastRenderedPageBreak/>
        <w:t>from the Constitution can be susceptible to prescription.</w:t>
      </w:r>
      <w:r>
        <w:rPr>
          <w:rFonts w:ascii="Arial" w:hAnsi="Arial" w:cs="Arial"/>
          <w:sz w:val="24"/>
          <w:szCs w:val="24"/>
          <w:lang w:val="en-US"/>
        </w:rPr>
        <w:t xml:space="preserve"> In </w:t>
      </w:r>
      <w:r w:rsidRPr="00AF135A">
        <w:rPr>
          <w:rFonts w:ascii="Arial" w:hAnsi="Arial" w:cs="Arial"/>
          <w:i/>
          <w:sz w:val="24"/>
          <w:szCs w:val="24"/>
          <w:lang w:val="en-US"/>
        </w:rPr>
        <w:t>Njongi</w:t>
      </w:r>
      <w:r w:rsidRPr="00624B34">
        <w:rPr>
          <w:rFonts w:ascii="Arial" w:hAnsi="Arial" w:cs="Arial"/>
          <w:b/>
          <w:sz w:val="24"/>
          <w:szCs w:val="24"/>
          <w:lang w:val="en-US"/>
        </w:rPr>
        <w:t xml:space="preserve"> </w:t>
      </w:r>
      <w:r>
        <w:rPr>
          <w:rFonts w:ascii="Arial" w:hAnsi="Arial" w:cs="Arial"/>
          <w:sz w:val="24"/>
          <w:szCs w:val="24"/>
          <w:lang w:val="en-US"/>
        </w:rPr>
        <w:t>the Provincial G</w:t>
      </w:r>
      <w:r w:rsidR="00F1056E">
        <w:rPr>
          <w:rFonts w:ascii="Arial" w:hAnsi="Arial" w:cs="Arial"/>
          <w:sz w:val="24"/>
          <w:szCs w:val="24"/>
          <w:lang w:val="en-US"/>
        </w:rPr>
        <w:t>overnment had raised a plea of prescription against a claim for the payment of a social grant.</w:t>
      </w:r>
      <w:r w:rsidR="0019352A">
        <w:rPr>
          <w:rFonts w:ascii="Arial" w:hAnsi="Arial" w:cs="Arial"/>
          <w:sz w:val="24"/>
          <w:szCs w:val="24"/>
          <w:lang w:val="en-US"/>
        </w:rPr>
        <w:t xml:space="preserve"> The claimant argued that such an obligation</w:t>
      </w:r>
      <w:r w:rsidR="00F56B66">
        <w:rPr>
          <w:rFonts w:ascii="Arial" w:hAnsi="Arial" w:cs="Arial"/>
          <w:sz w:val="24"/>
          <w:szCs w:val="24"/>
          <w:lang w:val="en-US"/>
        </w:rPr>
        <w:t xml:space="preserve"> </w:t>
      </w:r>
      <w:r w:rsidR="0019352A">
        <w:rPr>
          <w:rFonts w:ascii="Arial" w:hAnsi="Arial" w:cs="Arial"/>
          <w:sz w:val="24"/>
          <w:szCs w:val="24"/>
          <w:lang w:val="en-US"/>
        </w:rPr>
        <w:t xml:space="preserve">can never prescribe and that debts which arise from fundamental constitutional rights are in a genre different to that envisaged by our pre-constitutional prescription legislation. Whilst doubt </w:t>
      </w:r>
      <w:r>
        <w:rPr>
          <w:rFonts w:ascii="Arial" w:hAnsi="Arial" w:cs="Arial"/>
          <w:sz w:val="24"/>
          <w:szCs w:val="24"/>
          <w:lang w:val="en-US"/>
        </w:rPr>
        <w:t>was expressed whether such debts could prescribe,</w:t>
      </w:r>
      <w:r w:rsidR="0019352A">
        <w:rPr>
          <w:rFonts w:ascii="Arial" w:hAnsi="Arial" w:cs="Arial"/>
          <w:sz w:val="24"/>
          <w:szCs w:val="24"/>
          <w:lang w:val="en-US"/>
        </w:rPr>
        <w:t xml:space="preserve"> the question was not decided as the question was not considered in the court</w:t>
      </w:r>
      <w:r w:rsidR="00DD1B09">
        <w:rPr>
          <w:rFonts w:ascii="Arial" w:hAnsi="Arial" w:cs="Arial"/>
          <w:sz w:val="24"/>
          <w:szCs w:val="24"/>
          <w:lang w:val="en-US"/>
        </w:rPr>
        <w:t xml:space="preserve"> </w:t>
      </w:r>
      <w:r w:rsidR="0019352A">
        <w:rPr>
          <w:rFonts w:ascii="Arial" w:hAnsi="Arial" w:cs="Arial"/>
          <w:sz w:val="24"/>
          <w:szCs w:val="24"/>
          <w:lang w:val="en-US"/>
        </w:rPr>
        <w:t>a quo, and the court opined that injustice could be averted without deciding w</w:t>
      </w:r>
      <w:r>
        <w:rPr>
          <w:rFonts w:ascii="Arial" w:hAnsi="Arial" w:cs="Arial"/>
          <w:sz w:val="24"/>
          <w:szCs w:val="24"/>
          <w:lang w:val="en-US"/>
        </w:rPr>
        <w:t>h</w:t>
      </w:r>
      <w:r w:rsidR="00A361F3">
        <w:rPr>
          <w:rFonts w:ascii="Arial" w:hAnsi="Arial" w:cs="Arial"/>
          <w:sz w:val="24"/>
          <w:szCs w:val="24"/>
          <w:lang w:val="en-US"/>
        </w:rPr>
        <w:t>e</w:t>
      </w:r>
      <w:r w:rsidR="0019352A">
        <w:rPr>
          <w:rFonts w:ascii="Arial" w:hAnsi="Arial" w:cs="Arial"/>
          <w:sz w:val="24"/>
          <w:szCs w:val="24"/>
          <w:lang w:val="en-US"/>
        </w:rPr>
        <w:t xml:space="preserve">ther the State could successfully raise prescription. The </w:t>
      </w:r>
      <w:r w:rsidR="001E5C4B">
        <w:rPr>
          <w:rFonts w:ascii="Arial" w:hAnsi="Arial" w:cs="Arial"/>
          <w:sz w:val="24"/>
          <w:szCs w:val="24"/>
          <w:lang w:val="en-US"/>
        </w:rPr>
        <w:t>Court however</w:t>
      </w:r>
      <w:r>
        <w:rPr>
          <w:rFonts w:ascii="Arial" w:hAnsi="Arial" w:cs="Arial"/>
          <w:sz w:val="24"/>
          <w:szCs w:val="24"/>
          <w:lang w:val="en-US"/>
        </w:rPr>
        <w:t xml:space="preserve"> noted</w:t>
      </w:r>
      <w:r w:rsidR="001E5C4B">
        <w:rPr>
          <w:rFonts w:ascii="Arial" w:hAnsi="Arial" w:cs="Arial"/>
          <w:sz w:val="24"/>
          <w:szCs w:val="24"/>
          <w:lang w:val="en-US"/>
        </w:rPr>
        <w:t>:</w:t>
      </w:r>
      <w:r>
        <w:rPr>
          <w:rFonts w:ascii="Arial" w:hAnsi="Arial" w:cs="Arial"/>
          <w:sz w:val="24"/>
          <w:szCs w:val="24"/>
          <w:lang w:val="en-US"/>
        </w:rPr>
        <w:t xml:space="preserve"> </w:t>
      </w:r>
    </w:p>
    <w:p w:rsidR="006D5E86" w:rsidRPr="00955EE5" w:rsidRDefault="00FD5B2C" w:rsidP="00624B34">
      <w:pPr>
        <w:spacing w:line="480" w:lineRule="auto"/>
        <w:ind w:left="720"/>
        <w:jc w:val="both"/>
        <w:rPr>
          <w:rFonts w:ascii="Arial" w:hAnsi="Arial" w:cs="Arial"/>
          <w:lang w:val="en-US"/>
        </w:rPr>
      </w:pPr>
      <w:r w:rsidRPr="00624B34">
        <w:rPr>
          <w:rFonts w:ascii="Arial" w:hAnsi="Arial" w:cs="Arial"/>
          <w:i/>
          <w:lang w:val="en-US"/>
        </w:rPr>
        <w:t>“T</w:t>
      </w:r>
      <w:r w:rsidR="0019352A" w:rsidRPr="00624B34">
        <w:rPr>
          <w:rFonts w:ascii="Arial" w:hAnsi="Arial" w:cs="Arial"/>
          <w:i/>
          <w:lang w:val="en-US"/>
        </w:rPr>
        <w:t>his case is decidedly not a precedent for the proposition that the defence of prescription is available to the State in these circumstances</w:t>
      </w:r>
      <w:r w:rsidR="0019352A" w:rsidRPr="00955EE5">
        <w:rPr>
          <w:rFonts w:ascii="Arial" w:hAnsi="Arial" w:cs="Arial"/>
          <w:lang w:val="en-US"/>
        </w:rPr>
        <w:t>”</w:t>
      </w:r>
      <w:r w:rsidR="0019352A" w:rsidRPr="00955EE5">
        <w:rPr>
          <w:rStyle w:val="FootnoteReference"/>
          <w:rFonts w:ascii="Arial" w:hAnsi="Arial" w:cs="Arial"/>
          <w:lang w:val="en-US"/>
        </w:rPr>
        <w:footnoteReference w:id="23"/>
      </w:r>
    </w:p>
    <w:p w:rsidR="00955EE5" w:rsidRPr="006C2EBA" w:rsidRDefault="00A361F3" w:rsidP="006D5E86">
      <w:pPr>
        <w:spacing w:line="480" w:lineRule="auto"/>
        <w:jc w:val="both"/>
        <w:rPr>
          <w:rFonts w:ascii="Arial" w:hAnsi="Arial" w:cs="Arial"/>
          <w:sz w:val="24"/>
          <w:szCs w:val="24"/>
          <w:lang w:val="en-US"/>
        </w:rPr>
      </w:pPr>
      <w:r>
        <w:rPr>
          <w:rFonts w:ascii="Arial" w:hAnsi="Arial" w:cs="Arial"/>
          <w:sz w:val="24"/>
          <w:szCs w:val="24"/>
          <w:lang w:val="en-US"/>
        </w:rPr>
        <w:t>[</w:t>
      </w:r>
      <w:r w:rsidR="00955EE5">
        <w:rPr>
          <w:rFonts w:ascii="Arial" w:hAnsi="Arial" w:cs="Arial"/>
          <w:sz w:val="24"/>
          <w:szCs w:val="24"/>
          <w:lang w:val="en-US"/>
        </w:rPr>
        <w:t>5</w:t>
      </w:r>
      <w:r w:rsidR="00405D88">
        <w:rPr>
          <w:rFonts w:ascii="Arial" w:hAnsi="Arial" w:cs="Arial"/>
          <w:sz w:val="24"/>
          <w:szCs w:val="24"/>
          <w:lang w:val="en-US"/>
        </w:rPr>
        <w:t>4</w:t>
      </w:r>
      <w:r>
        <w:rPr>
          <w:rFonts w:ascii="Arial" w:hAnsi="Arial" w:cs="Arial"/>
          <w:sz w:val="24"/>
          <w:szCs w:val="24"/>
          <w:lang w:val="en-US"/>
        </w:rPr>
        <w:t xml:space="preserve">]  </w:t>
      </w:r>
      <w:r w:rsidR="00405D88">
        <w:rPr>
          <w:rFonts w:ascii="Arial" w:hAnsi="Arial" w:cs="Arial"/>
          <w:sz w:val="24"/>
          <w:szCs w:val="24"/>
          <w:lang w:val="en-US"/>
        </w:rPr>
        <w:t xml:space="preserve">    </w:t>
      </w:r>
      <w:r>
        <w:rPr>
          <w:rFonts w:ascii="Arial" w:hAnsi="Arial" w:cs="Arial"/>
          <w:sz w:val="24"/>
          <w:szCs w:val="24"/>
          <w:lang w:val="en-US"/>
        </w:rPr>
        <w:t xml:space="preserve">Plaintiff’s claim is based on Section 2 (1) of the MSSA. </w:t>
      </w:r>
    </w:p>
    <w:p w:rsidR="006C2EBA" w:rsidRPr="006C2EBA" w:rsidRDefault="005034A4" w:rsidP="005034A4">
      <w:pPr>
        <w:spacing w:line="480" w:lineRule="auto"/>
        <w:ind w:left="720"/>
        <w:jc w:val="both"/>
        <w:rPr>
          <w:rFonts w:ascii="Arial" w:hAnsi="Arial" w:cs="Arial"/>
          <w:b/>
        </w:rPr>
      </w:pPr>
      <w:r w:rsidRPr="006C2EBA">
        <w:rPr>
          <w:rFonts w:ascii="Arial" w:hAnsi="Arial" w:cs="Arial"/>
        </w:rPr>
        <w:t>“</w:t>
      </w:r>
      <w:r w:rsidRPr="00832736">
        <w:rPr>
          <w:rFonts w:ascii="Arial" w:hAnsi="Arial" w:cs="Arial"/>
          <w:b/>
        </w:rPr>
        <w:t xml:space="preserve">2. </w:t>
      </w:r>
      <w:r w:rsidR="006C2EBA" w:rsidRPr="00832736">
        <w:rPr>
          <w:rFonts w:ascii="Arial" w:hAnsi="Arial" w:cs="Arial"/>
          <w:b/>
        </w:rPr>
        <w:t>Claim for maintenance against estate of deceased spouse.-</w:t>
      </w:r>
    </w:p>
    <w:p w:rsidR="00762C23" w:rsidRPr="00E326AE" w:rsidRDefault="005034A4" w:rsidP="005034A4">
      <w:pPr>
        <w:spacing w:line="480" w:lineRule="auto"/>
        <w:ind w:left="720"/>
        <w:jc w:val="both"/>
        <w:rPr>
          <w:rFonts w:ascii="Arial" w:hAnsi="Arial" w:cs="Arial"/>
          <w:i/>
          <w:sz w:val="24"/>
          <w:szCs w:val="24"/>
          <w:lang w:val="en-US"/>
        </w:rPr>
      </w:pPr>
      <w:r w:rsidRPr="00E326AE">
        <w:rPr>
          <w:rFonts w:ascii="Arial" w:hAnsi="Arial" w:cs="Arial"/>
          <w:i/>
        </w:rPr>
        <w:t>(1) If a marriage is dissolved by death after the commencement of this Act the survivor shall have a claim against the estate of the deceased spouse for the provision of his reasonable maintenance needs until his death or remarriage in so far as he 20 is not able to provide therefor from his own means and earnings.”</w:t>
      </w:r>
    </w:p>
    <w:p w:rsidR="00955EE5" w:rsidRDefault="00955EE5" w:rsidP="006D5E86">
      <w:pPr>
        <w:spacing w:line="480" w:lineRule="auto"/>
        <w:jc w:val="both"/>
        <w:rPr>
          <w:rFonts w:ascii="Arial" w:hAnsi="Arial" w:cs="Arial"/>
          <w:sz w:val="24"/>
          <w:szCs w:val="24"/>
          <w:lang w:val="en-US"/>
        </w:rPr>
      </w:pPr>
      <w:r>
        <w:rPr>
          <w:rFonts w:ascii="Arial" w:hAnsi="Arial" w:cs="Arial"/>
          <w:sz w:val="24"/>
          <w:szCs w:val="24"/>
          <w:lang w:val="en-US"/>
        </w:rPr>
        <w:t>[5</w:t>
      </w:r>
      <w:r w:rsidR="009D52EB">
        <w:rPr>
          <w:rFonts w:ascii="Arial" w:hAnsi="Arial" w:cs="Arial"/>
          <w:sz w:val="24"/>
          <w:szCs w:val="24"/>
          <w:lang w:val="en-US"/>
        </w:rPr>
        <w:t>5</w:t>
      </w:r>
      <w:r>
        <w:rPr>
          <w:rFonts w:ascii="Arial" w:hAnsi="Arial" w:cs="Arial"/>
          <w:sz w:val="24"/>
          <w:szCs w:val="24"/>
          <w:lang w:val="en-US"/>
        </w:rPr>
        <w:t xml:space="preserve">] </w:t>
      </w:r>
      <w:r w:rsidR="009D52EB">
        <w:rPr>
          <w:rFonts w:ascii="Arial" w:hAnsi="Arial" w:cs="Arial"/>
          <w:sz w:val="24"/>
          <w:szCs w:val="24"/>
          <w:lang w:val="en-US"/>
        </w:rPr>
        <w:t xml:space="preserve">     </w:t>
      </w:r>
      <w:r w:rsidR="00A361F3">
        <w:rPr>
          <w:rFonts w:ascii="Arial" w:hAnsi="Arial" w:cs="Arial"/>
          <w:sz w:val="24"/>
          <w:szCs w:val="24"/>
          <w:lang w:val="en-US"/>
        </w:rPr>
        <w:t xml:space="preserve">The Constitutional Court has </w:t>
      </w:r>
      <w:r w:rsidR="009D52EB">
        <w:rPr>
          <w:rFonts w:ascii="Arial" w:hAnsi="Arial" w:cs="Arial"/>
          <w:sz w:val="24"/>
          <w:szCs w:val="24"/>
          <w:lang w:val="en-US"/>
        </w:rPr>
        <w:t>acknowledged that</w:t>
      </w:r>
      <w:r w:rsidR="00A361F3">
        <w:rPr>
          <w:rFonts w:ascii="Arial" w:hAnsi="Arial" w:cs="Arial"/>
          <w:sz w:val="24"/>
          <w:szCs w:val="24"/>
          <w:lang w:val="en-US"/>
        </w:rPr>
        <w:t xml:space="preserve"> the purpose of section 2(1) of the MSSA is to protect surviving spouses from destitution.</w:t>
      </w:r>
      <w:r w:rsidR="00A361F3">
        <w:rPr>
          <w:rStyle w:val="FootnoteReference"/>
          <w:rFonts w:ascii="Arial" w:hAnsi="Arial" w:cs="Arial"/>
          <w:sz w:val="24"/>
          <w:szCs w:val="24"/>
          <w:lang w:val="en-US"/>
        </w:rPr>
        <w:footnoteReference w:id="24"/>
      </w:r>
      <w:r w:rsidR="00A361F3">
        <w:rPr>
          <w:rFonts w:ascii="Arial" w:hAnsi="Arial" w:cs="Arial"/>
          <w:sz w:val="24"/>
          <w:szCs w:val="24"/>
          <w:lang w:val="en-US"/>
        </w:rPr>
        <w:t xml:space="preserve"> In </w:t>
      </w:r>
      <w:r w:rsidR="001A2CEE" w:rsidRPr="00787884">
        <w:rPr>
          <w:rFonts w:ascii="Arial" w:hAnsi="Arial" w:cs="Arial"/>
          <w:i/>
          <w:sz w:val="24"/>
          <w:szCs w:val="24"/>
          <w:lang w:val="en-US"/>
        </w:rPr>
        <w:t>Volks N</w:t>
      </w:r>
      <w:r w:rsidR="00A361F3" w:rsidRPr="00787884">
        <w:rPr>
          <w:rFonts w:ascii="Arial" w:hAnsi="Arial" w:cs="Arial"/>
          <w:i/>
          <w:sz w:val="24"/>
          <w:szCs w:val="24"/>
          <w:lang w:val="en-US"/>
        </w:rPr>
        <w:t>.O. v Robinson</w:t>
      </w:r>
      <w:r w:rsidR="00A361F3" w:rsidRPr="001A2CEE">
        <w:rPr>
          <w:rStyle w:val="FootnoteReference"/>
          <w:rFonts w:ascii="Arial" w:hAnsi="Arial" w:cs="Arial"/>
          <w:sz w:val="24"/>
          <w:szCs w:val="24"/>
          <w:lang w:val="en-US"/>
        </w:rPr>
        <w:footnoteReference w:id="25"/>
      </w:r>
      <w:r>
        <w:rPr>
          <w:rFonts w:ascii="Arial" w:hAnsi="Arial" w:cs="Arial"/>
          <w:sz w:val="24"/>
          <w:szCs w:val="24"/>
          <w:lang w:val="en-US"/>
        </w:rPr>
        <w:t xml:space="preserve"> it was stated</w:t>
      </w:r>
      <w:r w:rsidR="001A2CEE">
        <w:rPr>
          <w:rFonts w:ascii="Arial" w:hAnsi="Arial" w:cs="Arial"/>
          <w:sz w:val="24"/>
          <w:szCs w:val="24"/>
          <w:lang w:val="en-US"/>
        </w:rPr>
        <w:t>:</w:t>
      </w:r>
      <w:r>
        <w:rPr>
          <w:rFonts w:ascii="Arial" w:hAnsi="Arial" w:cs="Arial"/>
          <w:sz w:val="24"/>
          <w:szCs w:val="24"/>
          <w:lang w:val="en-US"/>
        </w:rPr>
        <w:t xml:space="preserve"> </w:t>
      </w:r>
    </w:p>
    <w:p w:rsidR="00955EE5" w:rsidRPr="00624B34" w:rsidRDefault="00955EE5" w:rsidP="001E5C4B">
      <w:pPr>
        <w:spacing w:line="480" w:lineRule="auto"/>
        <w:ind w:left="720"/>
        <w:jc w:val="both"/>
        <w:rPr>
          <w:rFonts w:ascii="Arial" w:hAnsi="Arial" w:cs="Arial"/>
          <w:i/>
          <w:lang w:val="en-US"/>
        </w:rPr>
      </w:pPr>
      <w:r w:rsidRPr="00624B34">
        <w:rPr>
          <w:rFonts w:ascii="Arial" w:hAnsi="Arial" w:cs="Arial"/>
          <w:i/>
          <w:lang w:val="en-US"/>
        </w:rPr>
        <w:lastRenderedPageBreak/>
        <w:t>“T</w:t>
      </w:r>
      <w:r w:rsidR="00A361F3" w:rsidRPr="00624B34">
        <w:rPr>
          <w:rFonts w:ascii="Arial" w:hAnsi="Arial" w:cs="Arial"/>
          <w:i/>
          <w:lang w:val="en-US"/>
        </w:rPr>
        <w:t xml:space="preserve">he legislation is intended to deal with the perceived unfairness arising from the fact that maintenance obligations of parties to a marriage cease upon death. The obligation to maintain that exists during marriage passes to the estate.” </w:t>
      </w:r>
    </w:p>
    <w:p w:rsidR="00A361F3" w:rsidRDefault="009D52EB" w:rsidP="006D5E86">
      <w:pPr>
        <w:spacing w:line="480" w:lineRule="auto"/>
        <w:jc w:val="both"/>
        <w:rPr>
          <w:rFonts w:ascii="Arial" w:hAnsi="Arial" w:cs="Arial"/>
          <w:sz w:val="24"/>
          <w:szCs w:val="24"/>
          <w:lang w:val="en-US"/>
        </w:rPr>
      </w:pPr>
      <w:r>
        <w:rPr>
          <w:rFonts w:ascii="Arial" w:hAnsi="Arial" w:cs="Arial"/>
          <w:sz w:val="24"/>
          <w:szCs w:val="24"/>
          <w:lang w:val="en-US"/>
        </w:rPr>
        <w:t xml:space="preserve">[56]     </w:t>
      </w:r>
      <w:r w:rsidR="00A361F3">
        <w:rPr>
          <w:rFonts w:ascii="Arial" w:hAnsi="Arial" w:cs="Arial"/>
          <w:sz w:val="24"/>
          <w:szCs w:val="24"/>
          <w:lang w:val="en-US"/>
        </w:rPr>
        <w:t xml:space="preserve">In </w:t>
      </w:r>
      <w:r w:rsidR="00A361F3" w:rsidRPr="00787884">
        <w:rPr>
          <w:rFonts w:ascii="Arial" w:hAnsi="Arial" w:cs="Arial"/>
          <w:i/>
          <w:sz w:val="24"/>
          <w:szCs w:val="24"/>
          <w:lang w:val="en-US"/>
        </w:rPr>
        <w:t>Daniel v Campbell N.O</w:t>
      </w:r>
      <w:r w:rsidR="00A361F3" w:rsidRPr="001A2CEE">
        <w:rPr>
          <w:rFonts w:ascii="Arial" w:hAnsi="Arial" w:cs="Arial"/>
          <w:sz w:val="24"/>
          <w:szCs w:val="24"/>
          <w:lang w:val="en-US"/>
        </w:rPr>
        <w:t>.</w:t>
      </w:r>
      <w:r w:rsidR="00A361F3">
        <w:rPr>
          <w:rStyle w:val="FootnoteReference"/>
          <w:rFonts w:ascii="Arial" w:hAnsi="Arial" w:cs="Arial"/>
          <w:b/>
          <w:sz w:val="24"/>
          <w:szCs w:val="24"/>
          <w:lang w:val="en-US"/>
        </w:rPr>
        <w:footnoteReference w:id="26"/>
      </w:r>
      <w:r w:rsidR="00A361F3">
        <w:rPr>
          <w:rFonts w:ascii="Arial" w:hAnsi="Arial" w:cs="Arial"/>
          <w:b/>
          <w:sz w:val="24"/>
          <w:szCs w:val="24"/>
          <w:lang w:val="en-US"/>
        </w:rPr>
        <w:t xml:space="preserve"> </w:t>
      </w:r>
      <w:r w:rsidR="00A361F3">
        <w:rPr>
          <w:rFonts w:ascii="Arial" w:hAnsi="Arial" w:cs="Arial"/>
          <w:sz w:val="24"/>
          <w:szCs w:val="24"/>
          <w:lang w:val="en-US"/>
        </w:rPr>
        <w:t>the Constitutional Court held that an important purpose of the MSSA was to provide relief to widows who are a particularly vulnerable group in society.</w:t>
      </w:r>
      <w:r w:rsidR="00B330B1">
        <w:rPr>
          <w:rFonts w:ascii="Arial" w:hAnsi="Arial" w:cs="Arial"/>
          <w:sz w:val="24"/>
          <w:szCs w:val="24"/>
          <w:lang w:val="en-US"/>
        </w:rPr>
        <w:t xml:space="preserve"> This Court in </w:t>
      </w:r>
      <w:r w:rsidRPr="00AF135A">
        <w:rPr>
          <w:rFonts w:ascii="Arial" w:hAnsi="Arial" w:cs="Arial"/>
          <w:i/>
          <w:sz w:val="24"/>
          <w:szCs w:val="24"/>
          <w:lang w:val="en-US"/>
        </w:rPr>
        <w:t>SA</w:t>
      </w:r>
      <w:r>
        <w:rPr>
          <w:rFonts w:ascii="Arial" w:hAnsi="Arial" w:cs="Arial"/>
          <w:i/>
          <w:sz w:val="24"/>
          <w:szCs w:val="24"/>
          <w:lang w:val="en-US"/>
        </w:rPr>
        <w:t xml:space="preserve"> </w:t>
      </w:r>
      <w:r w:rsidRPr="00AF135A">
        <w:rPr>
          <w:rFonts w:ascii="Arial" w:hAnsi="Arial" w:cs="Arial"/>
          <w:i/>
          <w:sz w:val="24"/>
          <w:szCs w:val="24"/>
          <w:lang w:val="en-US"/>
        </w:rPr>
        <w:t>v</w:t>
      </w:r>
      <w:r>
        <w:rPr>
          <w:rFonts w:ascii="Arial" w:hAnsi="Arial" w:cs="Arial"/>
          <w:i/>
          <w:sz w:val="24"/>
          <w:szCs w:val="24"/>
          <w:lang w:val="en-US"/>
        </w:rPr>
        <w:t xml:space="preserve"> </w:t>
      </w:r>
      <w:r w:rsidRPr="00AF135A">
        <w:rPr>
          <w:rFonts w:ascii="Arial" w:hAnsi="Arial" w:cs="Arial"/>
          <w:i/>
          <w:sz w:val="24"/>
          <w:szCs w:val="24"/>
          <w:lang w:val="en-US"/>
        </w:rPr>
        <w:t xml:space="preserve">JHA </w:t>
      </w:r>
      <w:r>
        <w:rPr>
          <w:rFonts w:ascii="Arial" w:hAnsi="Arial" w:cs="Arial"/>
          <w:sz w:val="24"/>
          <w:szCs w:val="24"/>
          <w:lang w:val="en-US"/>
        </w:rPr>
        <w:t>in</w:t>
      </w:r>
      <w:r w:rsidR="00B330B1">
        <w:rPr>
          <w:rFonts w:ascii="Arial" w:hAnsi="Arial" w:cs="Arial"/>
          <w:sz w:val="24"/>
          <w:szCs w:val="24"/>
          <w:lang w:val="en-US"/>
        </w:rPr>
        <w:t xml:space="preserve"> </w:t>
      </w:r>
      <w:r>
        <w:rPr>
          <w:rFonts w:ascii="Arial" w:hAnsi="Arial" w:cs="Arial"/>
          <w:sz w:val="24"/>
          <w:szCs w:val="24"/>
          <w:lang w:val="en-US"/>
        </w:rPr>
        <w:t>recognizing that</w:t>
      </w:r>
      <w:r w:rsidR="00B330B1">
        <w:rPr>
          <w:rFonts w:ascii="Arial" w:hAnsi="Arial" w:cs="Arial"/>
          <w:sz w:val="24"/>
          <w:szCs w:val="24"/>
          <w:lang w:val="en-US"/>
        </w:rPr>
        <w:t xml:space="preserve"> the obligation to pay maintenance cannot be characterized as a normal debtor-creditor obligation, went on to state</w:t>
      </w:r>
      <w:r w:rsidR="00B330B1">
        <w:rPr>
          <w:rStyle w:val="FootnoteReference"/>
          <w:rFonts w:ascii="Arial" w:hAnsi="Arial" w:cs="Arial"/>
          <w:sz w:val="24"/>
          <w:szCs w:val="24"/>
          <w:lang w:val="en-US"/>
        </w:rPr>
        <w:footnoteReference w:id="27"/>
      </w:r>
      <w:r w:rsidR="00B330B1">
        <w:rPr>
          <w:rFonts w:ascii="Arial" w:hAnsi="Arial" w:cs="Arial"/>
          <w:sz w:val="24"/>
          <w:szCs w:val="24"/>
          <w:lang w:val="en-US"/>
        </w:rPr>
        <w:t xml:space="preserve"> :</w:t>
      </w:r>
    </w:p>
    <w:p w:rsidR="005034A4" w:rsidRPr="005034A4" w:rsidRDefault="005034A4" w:rsidP="005034A4">
      <w:pPr>
        <w:spacing w:line="480" w:lineRule="auto"/>
        <w:ind w:left="720"/>
        <w:jc w:val="both"/>
        <w:rPr>
          <w:rFonts w:ascii="Arial" w:hAnsi="Arial" w:cs="Arial"/>
          <w:i/>
          <w:lang w:val="en-US"/>
        </w:rPr>
      </w:pPr>
      <w:r w:rsidRPr="005034A4">
        <w:rPr>
          <w:rFonts w:ascii="Arial" w:hAnsi="Arial" w:cs="Arial"/>
          <w:i/>
          <w:lang w:val="en-US"/>
        </w:rPr>
        <w:t>“(b)</w:t>
      </w:r>
      <w:r w:rsidRPr="005034A4">
        <w:rPr>
          <w:rFonts w:ascii="Arial" w:hAnsi="Arial" w:cs="Arial"/>
          <w:i/>
          <w:lang w:val="en-US"/>
        </w:rPr>
        <w:tab/>
        <w:t>The gendered nature of the maintenance system is undeniable. In Bannatyne v Bannatyne (Commission of Gender Equality as Amicus Curiae) Mokgoro J, speaking for a unanimous court, stated as follows:</w:t>
      </w:r>
      <w:r w:rsidRPr="005034A4">
        <w:rPr>
          <w:rFonts w:ascii="Arial" w:hAnsi="Arial" w:cs="Arial"/>
          <w:i/>
          <w:lang w:val="en-US"/>
        </w:rPr>
        <w:tab/>
      </w:r>
    </w:p>
    <w:p w:rsidR="005034A4" w:rsidRPr="005034A4" w:rsidRDefault="005034A4" w:rsidP="005034A4">
      <w:pPr>
        <w:spacing w:line="480" w:lineRule="auto"/>
        <w:ind w:left="1440"/>
        <w:jc w:val="both"/>
        <w:rPr>
          <w:rFonts w:ascii="Arial" w:hAnsi="Arial" w:cs="Arial"/>
          <w:i/>
          <w:sz w:val="20"/>
          <w:szCs w:val="20"/>
          <w:lang w:val="en-US"/>
        </w:rPr>
      </w:pPr>
      <w:r w:rsidRPr="005034A4">
        <w:rPr>
          <w:rFonts w:ascii="Arial" w:hAnsi="Arial" w:cs="Arial"/>
          <w:i/>
          <w:sz w:val="20"/>
          <w:szCs w:val="20"/>
          <w:lang w:val="en-US"/>
        </w:rPr>
        <w:t>‘The material shows that on the breakdown of a marriage or similar relationship it is almost always mothers who become the custodial parent and have to care for the children. This places an additional financial burden on them and inhibits their ability to obtain remunerative employment. Divorced or separated mothers accordingly face the double disadvantage of being overburdened in terms of responsibilities and under-resourced in terms of means. Fathers</w:t>
      </w:r>
      <w:r w:rsidR="001A2CEE">
        <w:rPr>
          <w:rFonts w:ascii="Arial" w:hAnsi="Arial" w:cs="Arial"/>
          <w:i/>
          <w:sz w:val="20"/>
          <w:szCs w:val="20"/>
          <w:lang w:val="en-US"/>
        </w:rPr>
        <w:t>,</w:t>
      </w:r>
      <w:r w:rsidRPr="005034A4">
        <w:rPr>
          <w:rFonts w:ascii="Arial" w:hAnsi="Arial" w:cs="Arial"/>
          <w:i/>
          <w:sz w:val="20"/>
          <w:szCs w:val="20"/>
          <w:lang w:val="en-US"/>
        </w:rPr>
        <w:t xml:space="preserve"> on the other hand remain actively employed and generally become economically enriched. Maintenance payments are therefore essential to relieve t</w:t>
      </w:r>
      <w:r w:rsidR="001A2CEE">
        <w:rPr>
          <w:rFonts w:ascii="Arial" w:hAnsi="Arial" w:cs="Arial"/>
          <w:i/>
          <w:sz w:val="20"/>
          <w:szCs w:val="20"/>
          <w:lang w:val="en-US"/>
        </w:rPr>
        <w:t>h</w:t>
      </w:r>
      <w:r w:rsidRPr="005034A4">
        <w:rPr>
          <w:rFonts w:ascii="Arial" w:hAnsi="Arial" w:cs="Arial"/>
          <w:i/>
          <w:sz w:val="20"/>
          <w:szCs w:val="20"/>
          <w:lang w:val="en-US"/>
        </w:rPr>
        <w:t>is financial burden.’”</w:t>
      </w:r>
    </w:p>
    <w:p w:rsidR="00A361F3" w:rsidRDefault="00B330B1" w:rsidP="006D5E86">
      <w:pPr>
        <w:spacing w:line="480" w:lineRule="auto"/>
        <w:jc w:val="both"/>
        <w:rPr>
          <w:rFonts w:ascii="Arial" w:hAnsi="Arial" w:cs="Arial"/>
          <w:sz w:val="24"/>
          <w:szCs w:val="24"/>
          <w:lang w:val="en-US"/>
        </w:rPr>
      </w:pPr>
      <w:r>
        <w:rPr>
          <w:rFonts w:ascii="Arial" w:hAnsi="Arial" w:cs="Arial"/>
          <w:sz w:val="24"/>
          <w:szCs w:val="24"/>
          <w:lang w:val="en-US"/>
        </w:rPr>
        <w:t>Th</w:t>
      </w:r>
      <w:r w:rsidR="00FF1976">
        <w:rPr>
          <w:rFonts w:ascii="Arial" w:hAnsi="Arial" w:cs="Arial"/>
          <w:sz w:val="24"/>
          <w:szCs w:val="24"/>
          <w:lang w:val="en-US"/>
        </w:rPr>
        <w:t xml:space="preserve">ese comments apply equally to destitute surviving spouses, the protectees of the MSSA. </w:t>
      </w:r>
    </w:p>
    <w:p w:rsidR="001811B8" w:rsidRDefault="001811B8" w:rsidP="00F56B66">
      <w:pPr>
        <w:spacing w:line="480" w:lineRule="auto"/>
        <w:jc w:val="both"/>
        <w:rPr>
          <w:rFonts w:ascii="Arial" w:hAnsi="Arial" w:cs="Arial"/>
          <w:sz w:val="24"/>
          <w:szCs w:val="24"/>
          <w:lang w:val="en-US"/>
        </w:rPr>
      </w:pPr>
      <w:r>
        <w:rPr>
          <w:rFonts w:ascii="Arial" w:hAnsi="Arial" w:cs="Arial"/>
          <w:sz w:val="24"/>
          <w:szCs w:val="24"/>
          <w:lang w:val="en-US"/>
        </w:rPr>
        <w:t xml:space="preserve"> [5</w:t>
      </w:r>
      <w:r w:rsidR="009D52EB">
        <w:rPr>
          <w:rFonts w:ascii="Arial" w:hAnsi="Arial" w:cs="Arial"/>
          <w:sz w:val="24"/>
          <w:szCs w:val="24"/>
          <w:lang w:val="en-US"/>
        </w:rPr>
        <w:t>7</w:t>
      </w:r>
      <w:r w:rsidR="006D3B4C">
        <w:rPr>
          <w:rFonts w:ascii="Arial" w:hAnsi="Arial" w:cs="Arial"/>
          <w:sz w:val="24"/>
          <w:szCs w:val="24"/>
          <w:lang w:val="en-US"/>
        </w:rPr>
        <w:t>]</w:t>
      </w:r>
      <w:r w:rsidR="006D3B4C">
        <w:rPr>
          <w:rFonts w:ascii="Arial" w:hAnsi="Arial" w:cs="Arial"/>
          <w:sz w:val="24"/>
          <w:szCs w:val="24"/>
          <w:lang w:val="en-US"/>
        </w:rPr>
        <w:tab/>
      </w:r>
      <w:r w:rsidR="009D52EB">
        <w:rPr>
          <w:rFonts w:ascii="Arial" w:hAnsi="Arial" w:cs="Arial"/>
          <w:sz w:val="24"/>
          <w:szCs w:val="24"/>
          <w:lang w:val="en-US"/>
        </w:rPr>
        <w:t xml:space="preserve"> </w:t>
      </w:r>
      <w:r w:rsidR="00F56B66">
        <w:rPr>
          <w:rFonts w:ascii="Arial" w:hAnsi="Arial" w:cs="Arial"/>
          <w:sz w:val="24"/>
          <w:szCs w:val="24"/>
          <w:lang w:val="en-US"/>
        </w:rPr>
        <w:t>A parallel can</w:t>
      </w:r>
      <w:r w:rsidR="001A2CEE">
        <w:rPr>
          <w:rFonts w:ascii="Arial" w:hAnsi="Arial" w:cs="Arial"/>
          <w:sz w:val="24"/>
          <w:szCs w:val="24"/>
          <w:lang w:val="en-US"/>
        </w:rPr>
        <w:t>,</w:t>
      </w:r>
      <w:r w:rsidR="00F56B66">
        <w:rPr>
          <w:rFonts w:ascii="Arial" w:hAnsi="Arial" w:cs="Arial"/>
          <w:sz w:val="24"/>
          <w:szCs w:val="24"/>
          <w:lang w:val="en-US"/>
        </w:rPr>
        <w:t xml:space="preserve"> I believe be drawn </w:t>
      </w:r>
      <w:r w:rsidR="001E5C4B">
        <w:rPr>
          <w:rFonts w:ascii="Arial" w:hAnsi="Arial" w:cs="Arial"/>
          <w:sz w:val="24"/>
          <w:szCs w:val="24"/>
          <w:lang w:val="en-US"/>
        </w:rPr>
        <w:t>between a</w:t>
      </w:r>
      <w:r w:rsidR="00F56B66">
        <w:rPr>
          <w:rFonts w:ascii="Arial" w:hAnsi="Arial" w:cs="Arial"/>
          <w:sz w:val="24"/>
          <w:szCs w:val="24"/>
          <w:lang w:val="en-US"/>
        </w:rPr>
        <w:t xml:space="preserve"> claim for a social grant</w:t>
      </w:r>
      <w:r>
        <w:rPr>
          <w:rFonts w:ascii="Arial" w:hAnsi="Arial" w:cs="Arial"/>
          <w:sz w:val="24"/>
          <w:szCs w:val="24"/>
          <w:lang w:val="en-US"/>
        </w:rPr>
        <w:t xml:space="preserve"> as in   </w:t>
      </w:r>
      <w:r w:rsidR="00624B34" w:rsidRPr="00787884">
        <w:rPr>
          <w:rFonts w:ascii="Arial" w:hAnsi="Arial" w:cs="Arial"/>
          <w:i/>
          <w:sz w:val="24"/>
          <w:szCs w:val="24"/>
          <w:lang w:val="en-US"/>
        </w:rPr>
        <w:t>Njongi supra</w:t>
      </w:r>
      <w:r>
        <w:rPr>
          <w:rFonts w:ascii="Arial" w:hAnsi="Arial" w:cs="Arial"/>
          <w:sz w:val="24"/>
          <w:szCs w:val="24"/>
          <w:lang w:val="en-US"/>
        </w:rPr>
        <w:t xml:space="preserve"> </w:t>
      </w:r>
      <w:r w:rsidR="00F56B66">
        <w:rPr>
          <w:rFonts w:ascii="Arial" w:hAnsi="Arial" w:cs="Arial"/>
          <w:sz w:val="24"/>
          <w:szCs w:val="24"/>
          <w:lang w:val="en-US"/>
        </w:rPr>
        <w:t xml:space="preserve">and a claim by a vulnerable </w:t>
      </w:r>
      <w:r w:rsidR="00FF1976">
        <w:rPr>
          <w:rFonts w:ascii="Arial" w:hAnsi="Arial" w:cs="Arial"/>
          <w:sz w:val="24"/>
          <w:szCs w:val="24"/>
          <w:lang w:val="en-US"/>
        </w:rPr>
        <w:t>surviving</w:t>
      </w:r>
      <w:r w:rsidR="00F56B66">
        <w:rPr>
          <w:rFonts w:ascii="Arial" w:hAnsi="Arial" w:cs="Arial"/>
          <w:sz w:val="24"/>
          <w:szCs w:val="24"/>
          <w:lang w:val="en-US"/>
        </w:rPr>
        <w:t xml:space="preserve"> </w:t>
      </w:r>
      <w:r w:rsidR="00A43791">
        <w:rPr>
          <w:rFonts w:ascii="Arial" w:hAnsi="Arial" w:cs="Arial"/>
          <w:sz w:val="24"/>
          <w:szCs w:val="24"/>
          <w:lang w:val="en-US"/>
        </w:rPr>
        <w:t>spouse who the</w:t>
      </w:r>
      <w:r w:rsidR="00F56B66">
        <w:rPr>
          <w:rFonts w:ascii="Arial" w:hAnsi="Arial" w:cs="Arial"/>
          <w:sz w:val="24"/>
          <w:szCs w:val="24"/>
          <w:lang w:val="en-US"/>
        </w:rPr>
        <w:t xml:space="preserve"> MSSA</w:t>
      </w:r>
      <w:r w:rsidR="00A43791">
        <w:rPr>
          <w:rFonts w:ascii="Arial" w:hAnsi="Arial" w:cs="Arial"/>
          <w:sz w:val="24"/>
          <w:szCs w:val="24"/>
          <w:lang w:val="en-US"/>
        </w:rPr>
        <w:t xml:space="preserve"> seeks to protect</w:t>
      </w:r>
      <w:r w:rsidR="00F56B66">
        <w:rPr>
          <w:rFonts w:ascii="Arial" w:hAnsi="Arial" w:cs="Arial"/>
          <w:sz w:val="24"/>
          <w:szCs w:val="24"/>
          <w:lang w:val="en-US"/>
        </w:rPr>
        <w:t xml:space="preserve">. </w:t>
      </w:r>
      <w:r w:rsidR="00067117">
        <w:rPr>
          <w:rFonts w:ascii="Arial" w:hAnsi="Arial" w:cs="Arial"/>
          <w:sz w:val="24"/>
          <w:szCs w:val="24"/>
          <w:lang w:val="en-US"/>
        </w:rPr>
        <w:t xml:space="preserve">Both claims are for support for the necessities of life, to put food on the table </w:t>
      </w:r>
      <w:r w:rsidR="00067117">
        <w:rPr>
          <w:rFonts w:ascii="Arial" w:hAnsi="Arial" w:cs="Arial"/>
          <w:sz w:val="24"/>
          <w:szCs w:val="24"/>
          <w:lang w:val="en-US"/>
        </w:rPr>
        <w:lastRenderedPageBreak/>
        <w:t>as it were</w:t>
      </w:r>
      <w:r>
        <w:rPr>
          <w:rFonts w:ascii="Arial" w:hAnsi="Arial" w:cs="Arial"/>
          <w:sz w:val="24"/>
          <w:szCs w:val="24"/>
          <w:lang w:val="en-US"/>
        </w:rPr>
        <w:t>,</w:t>
      </w:r>
      <w:r w:rsidR="00FF1976">
        <w:rPr>
          <w:rFonts w:ascii="Arial" w:hAnsi="Arial" w:cs="Arial"/>
          <w:sz w:val="24"/>
          <w:szCs w:val="24"/>
          <w:lang w:val="en-US"/>
        </w:rPr>
        <w:t xml:space="preserve"> </w:t>
      </w:r>
      <w:r w:rsidR="00A43791">
        <w:rPr>
          <w:rFonts w:ascii="Arial" w:hAnsi="Arial" w:cs="Arial"/>
          <w:sz w:val="24"/>
          <w:szCs w:val="24"/>
          <w:lang w:val="en-US"/>
        </w:rPr>
        <w:t>and resonate with the rights and obligations at Section 27</w:t>
      </w:r>
      <w:r w:rsidR="001A2CEE">
        <w:rPr>
          <w:rFonts w:ascii="Arial" w:hAnsi="Arial" w:cs="Arial"/>
          <w:sz w:val="24"/>
          <w:szCs w:val="24"/>
          <w:lang w:val="en-US"/>
        </w:rPr>
        <w:t xml:space="preserve"> (1) (c)</w:t>
      </w:r>
      <w:r w:rsidR="00A43791">
        <w:rPr>
          <w:rFonts w:ascii="Arial" w:hAnsi="Arial" w:cs="Arial"/>
          <w:sz w:val="24"/>
          <w:szCs w:val="24"/>
          <w:lang w:val="en-US"/>
        </w:rPr>
        <w:t xml:space="preserve"> of the Constitution</w:t>
      </w:r>
      <w:r>
        <w:rPr>
          <w:rStyle w:val="FootnoteReference"/>
          <w:rFonts w:ascii="Arial" w:hAnsi="Arial" w:cs="Arial"/>
          <w:sz w:val="24"/>
          <w:szCs w:val="24"/>
          <w:lang w:val="en-US"/>
        </w:rPr>
        <w:footnoteReference w:id="28"/>
      </w:r>
      <w:r w:rsidR="00A43791">
        <w:rPr>
          <w:rFonts w:ascii="Arial" w:hAnsi="Arial" w:cs="Arial"/>
          <w:sz w:val="24"/>
          <w:szCs w:val="24"/>
          <w:lang w:val="en-US"/>
        </w:rPr>
        <w:t xml:space="preserve"> in respect of food and social security.</w:t>
      </w:r>
      <w:r w:rsidR="00FF1976">
        <w:rPr>
          <w:rFonts w:ascii="Arial" w:hAnsi="Arial" w:cs="Arial"/>
          <w:sz w:val="24"/>
          <w:szCs w:val="24"/>
          <w:lang w:val="en-US"/>
        </w:rPr>
        <w:t xml:space="preserve"> </w:t>
      </w:r>
      <w:r w:rsidR="00F56B66">
        <w:rPr>
          <w:rFonts w:ascii="Arial" w:hAnsi="Arial" w:cs="Arial"/>
          <w:sz w:val="24"/>
          <w:szCs w:val="24"/>
          <w:lang w:val="en-US"/>
        </w:rPr>
        <w:t>The</w:t>
      </w:r>
      <w:r w:rsidR="001A2CEE">
        <w:rPr>
          <w:rFonts w:ascii="Arial" w:hAnsi="Arial" w:cs="Arial"/>
          <w:sz w:val="24"/>
          <w:szCs w:val="24"/>
          <w:lang w:val="en-US"/>
        </w:rPr>
        <w:t xml:space="preserve"> doubt expressed in </w:t>
      </w:r>
      <w:r w:rsidR="009D52EB" w:rsidRPr="00787884">
        <w:rPr>
          <w:rFonts w:ascii="Arial" w:hAnsi="Arial" w:cs="Arial"/>
          <w:i/>
          <w:sz w:val="24"/>
          <w:szCs w:val="24"/>
          <w:lang w:val="en-US"/>
        </w:rPr>
        <w:t xml:space="preserve">Njongi </w:t>
      </w:r>
      <w:r w:rsidR="009D52EB">
        <w:rPr>
          <w:rFonts w:ascii="Arial" w:hAnsi="Arial" w:cs="Arial"/>
          <w:sz w:val="24"/>
          <w:szCs w:val="24"/>
          <w:lang w:val="en-US"/>
        </w:rPr>
        <w:t>as</w:t>
      </w:r>
      <w:r w:rsidR="00F56B66">
        <w:rPr>
          <w:rFonts w:ascii="Arial" w:hAnsi="Arial" w:cs="Arial"/>
          <w:sz w:val="24"/>
          <w:szCs w:val="24"/>
          <w:lang w:val="en-US"/>
        </w:rPr>
        <w:t xml:space="preserve"> to whether a claim </w:t>
      </w:r>
      <w:r w:rsidR="00A43791">
        <w:rPr>
          <w:rFonts w:ascii="Arial" w:hAnsi="Arial" w:cs="Arial"/>
          <w:sz w:val="24"/>
          <w:szCs w:val="24"/>
          <w:lang w:val="en-US"/>
        </w:rPr>
        <w:t xml:space="preserve">for a social grant </w:t>
      </w:r>
      <w:r w:rsidR="00F56B66">
        <w:rPr>
          <w:rFonts w:ascii="Arial" w:hAnsi="Arial" w:cs="Arial"/>
          <w:sz w:val="24"/>
          <w:szCs w:val="24"/>
          <w:lang w:val="en-US"/>
        </w:rPr>
        <w:t>can ever prescribe</w:t>
      </w:r>
      <w:r w:rsidR="00A43791">
        <w:rPr>
          <w:rFonts w:ascii="Arial" w:hAnsi="Arial" w:cs="Arial"/>
          <w:sz w:val="24"/>
          <w:szCs w:val="24"/>
          <w:lang w:val="en-US"/>
        </w:rPr>
        <w:t>,</w:t>
      </w:r>
      <w:r w:rsidR="00F56B66">
        <w:rPr>
          <w:rFonts w:ascii="Arial" w:hAnsi="Arial" w:cs="Arial"/>
          <w:sz w:val="24"/>
          <w:szCs w:val="24"/>
          <w:lang w:val="en-US"/>
        </w:rPr>
        <w:t xml:space="preserve"> </w:t>
      </w:r>
      <w:r w:rsidR="00A43791">
        <w:rPr>
          <w:rFonts w:ascii="Arial" w:hAnsi="Arial" w:cs="Arial"/>
          <w:sz w:val="24"/>
          <w:szCs w:val="24"/>
          <w:lang w:val="en-US"/>
        </w:rPr>
        <w:t>applies also in my view</w:t>
      </w:r>
      <w:r w:rsidR="00F56B66">
        <w:rPr>
          <w:rFonts w:ascii="Arial" w:hAnsi="Arial" w:cs="Arial"/>
          <w:sz w:val="24"/>
          <w:szCs w:val="24"/>
          <w:lang w:val="en-US"/>
        </w:rPr>
        <w:t xml:space="preserve"> to a </w:t>
      </w:r>
      <w:r w:rsidR="00FF1976">
        <w:rPr>
          <w:rFonts w:ascii="Arial" w:hAnsi="Arial" w:cs="Arial"/>
          <w:sz w:val="24"/>
          <w:szCs w:val="24"/>
          <w:lang w:val="en-US"/>
        </w:rPr>
        <w:t>surviving spouse’s claim for maintenance in terms of the MSSA</w:t>
      </w:r>
      <w:r w:rsidR="00A43791">
        <w:rPr>
          <w:rFonts w:ascii="Arial" w:hAnsi="Arial" w:cs="Arial"/>
          <w:sz w:val="24"/>
          <w:szCs w:val="24"/>
          <w:lang w:val="en-US"/>
        </w:rPr>
        <w:t xml:space="preserve">.  </w:t>
      </w:r>
      <w:r w:rsidR="00E5433D">
        <w:rPr>
          <w:rFonts w:ascii="Arial" w:hAnsi="Arial" w:cs="Arial"/>
          <w:sz w:val="24"/>
          <w:szCs w:val="24"/>
          <w:lang w:val="en-US"/>
        </w:rPr>
        <w:t xml:space="preserve"> </w:t>
      </w:r>
    </w:p>
    <w:p w:rsidR="00983139" w:rsidRDefault="001A2CEE" w:rsidP="00F56B66">
      <w:pPr>
        <w:spacing w:line="480" w:lineRule="auto"/>
        <w:jc w:val="both"/>
        <w:rPr>
          <w:rFonts w:ascii="Arial" w:hAnsi="Arial" w:cs="Arial"/>
          <w:sz w:val="24"/>
          <w:szCs w:val="24"/>
          <w:lang w:val="en-US"/>
        </w:rPr>
      </w:pPr>
      <w:r>
        <w:rPr>
          <w:rFonts w:ascii="Arial" w:hAnsi="Arial" w:cs="Arial"/>
          <w:sz w:val="24"/>
          <w:szCs w:val="24"/>
          <w:lang w:val="en-US"/>
        </w:rPr>
        <w:t xml:space="preserve"> </w:t>
      </w:r>
      <w:r w:rsidR="00E5433D">
        <w:rPr>
          <w:rFonts w:ascii="Arial" w:hAnsi="Arial" w:cs="Arial"/>
          <w:sz w:val="24"/>
          <w:szCs w:val="24"/>
          <w:lang w:val="en-US"/>
        </w:rPr>
        <w:t>[</w:t>
      </w:r>
      <w:r>
        <w:rPr>
          <w:rFonts w:ascii="Arial" w:hAnsi="Arial" w:cs="Arial"/>
          <w:sz w:val="24"/>
          <w:szCs w:val="24"/>
          <w:lang w:val="en-US"/>
        </w:rPr>
        <w:t>5</w:t>
      </w:r>
      <w:r w:rsidR="009D52EB">
        <w:rPr>
          <w:rFonts w:ascii="Arial" w:hAnsi="Arial" w:cs="Arial"/>
          <w:sz w:val="24"/>
          <w:szCs w:val="24"/>
          <w:lang w:val="en-US"/>
        </w:rPr>
        <w:t>8</w:t>
      </w:r>
      <w:r w:rsidR="001E5C4B">
        <w:rPr>
          <w:rFonts w:ascii="Arial" w:hAnsi="Arial" w:cs="Arial"/>
          <w:sz w:val="24"/>
          <w:szCs w:val="24"/>
          <w:lang w:val="en-US"/>
        </w:rPr>
        <w:t>]</w:t>
      </w:r>
      <w:r w:rsidR="009D52EB">
        <w:rPr>
          <w:rFonts w:ascii="Arial" w:hAnsi="Arial" w:cs="Arial"/>
          <w:sz w:val="24"/>
          <w:szCs w:val="24"/>
          <w:lang w:val="en-US"/>
        </w:rPr>
        <w:t xml:space="preserve">   </w:t>
      </w:r>
      <w:r w:rsidR="00E5433D">
        <w:rPr>
          <w:rFonts w:ascii="Arial" w:hAnsi="Arial" w:cs="Arial"/>
          <w:sz w:val="24"/>
          <w:szCs w:val="24"/>
          <w:lang w:val="en-US"/>
        </w:rPr>
        <w:t xml:space="preserve"> </w:t>
      </w:r>
      <w:r w:rsidR="00067117">
        <w:rPr>
          <w:rFonts w:ascii="Arial" w:hAnsi="Arial" w:cs="Arial"/>
          <w:sz w:val="24"/>
          <w:szCs w:val="24"/>
          <w:lang w:val="en-US"/>
        </w:rPr>
        <w:t>Judicial notice can be taken of the fact that i</w:t>
      </w:r>
      <w:r w:rsidR="007114E3">
        <w:rPr>
          <w:rFonts w:ascii="Arial" w:hAnsi="Arial" w:cs="Arial"/>
          <w:sz w:val="24"/>
          <w:szCs w:val="24"/>
          <w:lang w:val="en-US"/>
        </w:rPr>
        <w:t>t is invariably a battle</w:t>
      </w:r>
      <w:r w:rsidR="00067117">
        <w:rPr>
          <w:rFonts w:ascii="Arial" w:hAnsi="Arial" w:cs="Arial"/>
          <w:sz w:val="24"/>
          <w:szCs w:val="24"/>
          <w:lang w:val="en-US"/>
        </w:rPr>
        <w:t>, often time consuming,</w:t>
      </w:r>
      <w:r w:rsidR="007114E3">
        <w:rPr>
          <w:rFonts w:ascii="Arial" w:hAnsi="Arial" w:cs="Arial"/>
          <w:sz w:val="24"/>
          <w:szCs w:val="24"/>
          <w:lang w:val="en-US"/>
        </w:rPr>
        <w:t xml:space="preserve"> for indigent vulnerable </w:t>
      </w:r>
      <w:r w:rsidR="007E0EA2">
        <w:rPr>
          <w:rFonts w:ascii="Arial" w:hAnsi="Arial" w:cs="Arial"/>
          <w:sz w:val="24"/>
          <w:szCs w:val="24"/>
          <w:lang w:val="en-US"/>
        </w:rPr>
        <w:t>widow litigants</w:t>
      </w:r>
      <w:r w:rsidR="007114E3">
        <w:rPr>
          <w:rFonts w:ascii="Arial" w:hAnsi="Arial" w:cs="Arial"/>
          <w:sz w:val="24"/>
          <w:szCs w:val="24"/>
          <w:lang w:val="en-US"/>
        </w:rPr>
        <w:t xml:space="preserve"> </w:t>
      </w:r>
      <w:r w:rsidR="00067117">
        <w:rPr>
          <w:rFonts w:ascii="Arial" w:hAnsi="Arial" w:cs="Arial"/>
          <w:sz w:val="24"/>
          <w:szCs w:val="24"/>
          <w:lang w:val="en-US"/>
        </w:rPr>
        <w:t xml:space="preserve">to garner the </w:t>
      </w:r>
      <w:r w:rsidR="001E5C4B">
        <w:rPr>
          <w:rFonts w:ascii="Arial" w:hAnsi="Arial" w:cs="Arial"/>
          <w:sz w:val="24"/>
          <w:szCs w:val="24"/>
          <w:lang w:val="en-US"/>
        </w:rPr>
        <w:t>know</w:t>
      </w:r>
      <w:r w:rsidR="00E326AE">
        <w:rPr>
          <w:rFonts w:ascii="Arial" w:hAnsi="Arial" w:cs="Arial"/>
          <w:sz w:val="24"/>
          <w:szCs w:val="24"/>
          <w:lang w:val="en-US"/>
        </w:rPr>
        <w:t>-</w:t>
      </w:r>
      <w:r w:rsidR="001E5C4B">
        <w:rPr>
          <w:rFonts w:ascii="Arial" w:hAnsi="Arial" w:cs="Arial"/>
          <w:sz w:val="24"/>
          <w:szCs w:val="24"/>
          <w:lang w:val="en-US"/>
        </w:rPr>
        <w:t>how</w:t>
      </w:r>
      <w:r w:rsidR="00067117">
        <w:rPr>
          <w:rFonts w:ascii="Arial" w:hAnsi="Arial" w:cs="Arial"/>
          <w:sz w:val="24"/>
          <w:szCs w:val="24"/>
          <w:lang w:val="en-US"/>
        </w:rPr>
        <w:t xml:space="preserve"> and then the funds either from state legal aid or elsewhere, </w:t>
      </w:r>
      <w:r w:rsidR="00624B34">
        <w:rPr>
          <w:rFonts w:ascii="Arial" w:hAnsi="Arial" w:cs="Arial"/>
          <w:sz w:val="24"/>
          <w:szCs w:val="24"/>
          <w:lang w:val="en-US"/>
        </w:rPr>
        <w:t>to access</w:t>
      </w:r>
      <w:r w:rsidR="007E0EA2">
        <w:rPr>
          <w:rFonts w:ascii="Arial" w:hAnsi="Arial" w:cs="Arial"/>
          <w:sz w:val="24"/>
          <w:szCs w:val="24"/>
          <w:lang w:val="en-US"/>
        </w:rPr>
        <w:t xml:space="preserve"> their rights </w:t>
      </w:r>
      <w:r w:rsidR="00067117">
        <w:rPr>
          <w:rFonts w:ascii="Arial" w:hAnsi="Arial" w:cs="Arial"/>
          <w:sz w:val="24"/>
          <w:szCs w:val="24"/>
          <w:lang w:val="en-US"/>
        </w:rPr>
        <w:t xml:space="preserve">and the courts, if needs be. The </w:t>
      </w:r>
      <w:r w:rsidR="001E5C4B">
        <w:rPr>
          <w:rFonts w:ascii="Arial" w:hAnsi="Arial" w:cs="Arial"/>
          <w:sz w:val="24"/>
          <w:szCs w:val="24"/>
          <w:lang w:val="en-US"/>
        </w:rPr>
        <w:t>argument that</w:t>
      </w:r>
      <w:r w:rsidR="00067117">
        <w:rPr>
          <w:rFonts w:ascii="Arial" w:hAnsi="Arial" w:cs="Arial"/>
          <w:sz w:val="24"/>
          <w:szCs w:val="24"/>
          <w:lang w:val="en-US"/>
        </w:rPr>
        <w:t xml:space="preserve"> the</w:t>
      </w:r>
      <w:r w:rsidR="00983139">
        <w:rPr>
          <w:rFonts w:ascii="Arial" w:hAnsi="Arial" w:cs="Arial"/>
          <w:sz w:val="24"/>
          <w:szCs w:val="24"/>
          <w:lang w:val="en-US"/>
        </w:rPr>
        <w:t xml:space="preserve"> Prescription Act should not render their claims</w:t>
      </w:r>
      <w:r w:rsidR="000F072D">
        <w:rPr>
          <w:rFonts w:ascii="Arial" w:hAnsi="Arial" w:cs="Arial"/>
          <w:sz w:val="24"/>
          <w:szCs w:val="24"/>
          <w:lang w:val="en-US"/>
        </w:rPr>
        <w:t>,</w:t>
      </w:r>
      <w:r w:rsidR="00720714" w:rsidRPr="00720714">
        <w:rPr>
          <w:rFonts w:ascii="Arial" w:hAnsi="Arial" w:cs="Arial"/>
          <w:sz w:val="24"/>
          <w:szCs w:val="24"/>
          <w:lang w:val="en-US"/>
        </w:rPr>
        <w:t xml:space="preserve"> </w:t>
      </w:r>
      <w:r w:rsidR="00CF2805">
        <w:rPr>
          <w:rFonts w:ascii="Arial" w:hAnsi="Arial" w:cs="Arial"/>
          <w:sz w:val="24"/>
          <w:szCs w:val="24"/>
          <w:lang w:val="en-US"/>
        </w:rPr>
        <w:t>which often</w:t>
      </w:r>
      <w:r w:rsidR="00720714">
        <w:rPr>
          <w:rFonts w:ascii="Arial" w:hAnsi="Arial" w:cs="Arial"/>
          <w:sz w:val="24"/>
          <w:szCs w:val="24"/>
          <w:lang w:val="en-US"/>
        </w:rPr>
        <w:t xml:space="preserve"> in essence </w:t>
      </w:r>
      <w:r w:rsidR="00CF2805">
        <w:rPr>
          <w:rFonts w:ascii="Arial" w:hAnsi="Arial" w:cs="Arial"/>
          <w:sz w:val="24"/>
          <w:szCs w:val="24"/>
          <w:lang w:val="en-US"/>
        </w:rPr>
        <w:t xml:space="preserve">are, to </w:t>
      </w:r>
      <w:r w:rsidR="00720714">
        <w:rPr>
          <w:rFonts w:ascii="Arial" w:hAnsi="Arial" w:cs="Arial"/>
          <w:sz w:val="24"/>
          <w:szCs w:val="24"/>
          <w:lang w:val="en-US"/>
        </w:rPr>
        <w:t>put food on the table,</w:t>
      </w:r>
      <w:r w:rsidR="00983139">
        <w:rPr>
          <w:rFonts w:ascii="Arial" w:hAnsi="Arial" w:cs="Arial"/>
          <w:sz w:val="24"/>
          <w:szCs w:val="24"/>
          <w:lang w:val="en-US"/>
        </w:rPr>
        <w:t xml:space="preserve"> extinct by exclusion, is a compelling one</w:t>
      </w:r>
      <w:r w:rsidR="00304444">
        <w:rPr>
          <w:rFonts w:ascii="Arial" w:hAnsi="Arial" w:cs="Arial"/>
          <w:sz w:val="24"/>
          <w:szCs w:val="24"/>
          <w:lang w:val="en-US"/>
        </w:rPr>
        <w:t>, which I accept.</w:t>
      </w:r>
      <w:r w:rsidR="001819BD">
        <w:rPr>
          <w:rFonts w:ascii="Arial" w:hAnsi="Arial" w:cs="Arial"/>
          <w:sz w:val="24"/>
          <w:szCs w:val="24"/>
          <w:lang w:val="en-US"/>
        </w:rPr>
        <w:t xml:space="preserve"> The fact that other categories of maintenance claims have not been subjected to a similar analysis and </w:t>
      </w:r>
      <w:r w:rsidR="001E5C4B">
        <w:rPr>
          <w:rFonts w:ascii="Arial" w:hAnsi="Arial" w:cs="Arial"/>
          <w:sz w:val="24"/>
          <w:szCs w:val="24"/>
          <w:lang w:val="en-US"/>
        </w:rPr>
        <w:t>interpretation, does</w:t>
      </w:r>
      <w:r w:rsidR="001819BD">
        <w:rPr>
          <w:rFonts w:ascii="Arial" w:hAnsi="Arial" w:cs="Arial"/>
          <w:sz w:val="24"/>
          <w:szCs w:val="24"/>
          <w:lang w:val="en-US"/>
        </w:rPr>
        <w:t xml:space="preserve"> not detract from this.</w:t>
      </w:r>
    </w:p>
    <w:p w:rsidR="007114E3" w:rsidRDefault="00983139" w:rsidP="00F56B66">
      <w:pPr>
        <w:spacing w:line="480" w:lineRule="auto"/>
        <w:jc w:val="both"/>
        <w:rPr>
          <w:rFonts w:ascii="Arial" w:hAnsi="Arial" w:cs="Arial"/>
          <w:sz w:val="24"/>
          <w:szCs w:val="24"/>
          <w:lang w:val="en-US"/>
        </w:rPr>
      </w:pPr>
      <w:r>
        <w:rPr>
          <w:rFonts w:ascii="Arial" w:hAnsi="Arial" w:cs="Arial"/>
          <w:sz w:val="24"/>
          <w:szCs w:val="24"/>
          <w:lang w:val="en-US"/>
        </w:rPr>
        <w:t>[</w:t>
      </w:r>
      <w:r w:rsidR="000F072D">
        <w:rPr>
          <w:rFonts w:ascii="Arial" w:hAnsi="Arial" w:cs="Arial"/>
          <w:sz w:val="24"/>
          <w:szCs w:val="24"/>
          <w:lang w:val="en-US"/>
        </w:rPr>
        <w:t>5</w:t>
      </w:r>
      <w:r w:rsidR="009D52EB">
        <w:rPr>
          <w:rFonts w:ascii="Arial" w:hAnsi="Arial" w:cs="Arial"/>
          <w:sz w:val="24"/>
          <w:szCs w:val="24"/>
          <w:lang w:val="en-US"/>
        </w:rPr>
        <w:t>9</w:t>
      </w:r>
      <w:r w:rsidR="000F072D">
        <w:rPr>
          <w:rFonts w:ascii="Arial" w:hAnsi="Arial" w:cs="Arial"/>
          <w:sz w:val="24"/>
          <w:szCs w:val="24"/>
          <w:lang w:val="en-US"/>
        </w:rPr>
        <w:t>]</w:t>
      </w:r>
      <w:r w:rsidR="009D52EB">
        <w:rPr>
          <w:rFonts w:ascii="Arial" w:hAnsi="Arial" w:cs="Arial"/>
          <w:sz w:val="24"/>
          <w:szCs w:val="24"/>
          <w:lang w:val="en-US"/>
        </w:rPr>
        <w:t xml:space="preserve">   </w:t>
      </w:r>
      <w:r w:rsidR="00304444">
        <w:rPr>
          <w:rFonts w:ascii="Arial" w:hAnsi="Arial" w:cs="Arial"/>
          <w:sz w:val="24"/>
          <w:szCs w:val="24"/>
          <w:lang w:val="en-US"/>
        </w:rPr>
        <w:t xml:space="preserve"> I note also that w</w:t>
      </w:r>
      <w:r w:rsidR="00F56B66">
        <w:rPr>
          <w:rFonts w:ascii="Arial" w:hAnsi="Arial" w:cs="Arial"/>
          <w:sz w:val="24"/>
          <w:szCs w:val="24"/>
          <w:lang w:val="en-US"/>
        </w:rPr>
        <w:t xml:space="preserve">ere such a claim </w:t>
      </w:r>
      <w:r>
        <w:rPr>
          <w:rFonts w:ascii="Arial" w:hAnsi="Arial" w:cs="Arial"/>
          <w:sz w:val="24"/>
          <w:szCs w:val="24"/>
          <w:lang w:val="en-US"/>
        </w:rPr>
        <w:t xml:space="preserve">to </w:t>
      </w:r>
      <w:r w:rsidR="00F56B66">
        <w:rPr>
          <w:rFonts w:ascii="Arial" w:hAnsi="Arial" w:cs="Arial"/>
          <w:sz w:val="24"/>
          <w:szCs w:val="24"/>
          <w:lang w:val="en-US"/>
        </w:rPr>
        <w:t>be excluded from a debt under the Prescription Act</w:t>
      </w:r>
      <w:r w:rsidR="00304444">
        <w:rPr>
          <w:rFonts w:ascii="Arial" w:hAnsi="Arial" w:cs="Arial"/>
          <w:sz w:val="24"/>
          <w:szCs w:val="24"/>
          <w:lang w:val="en-US"/>
        </w:rPr>
        <w:t>,</w:t>
      </w:r>
      <w:r w:rsidR="00F56B66">
        <w:rPr>
          <w:rFonts w:ascii="Arial" w:hAnsi="Arial" w:cs="Arial"/>
          <w:sz w:val="24"/>
          <w:szCs w:val="24"/>
          <w:lang w:val="en-US"/>
        </w:rPr>
        <w:t xml:space="preserve"> it would not</w:t>
      </w:r>
      <w:r w:rsidR="00E55F27">
        <w:rPr>
          <w:rFonts w:ascii="Arial" w:hAnsi="Arial" w:cs="Arial"/>
          <w:sz w:val="24"/>
          <w:szCs w:val="24"/>
          <w:lang w:val="en-US"/>
        </w:rPr>
        <w:t xml:space="preserve"> </w:t>
      </w:r>
      <w:r w:rsidR="00F56B66">
        <w:rPr>
          <w:rFonts w:ascii="Arial" w:hAnsi="Arial" w:cs="Arial"/>
          <w:sz w:val="24"/>
          <w:szCs w:val="24"/>
          <w:lang w:val="en-US"/>
        </w:rPr>
        <w:t>mean the finalization of estates would be subjected to uncertainty</w:t>
      </w:r>
      <w:r w:rsidR="00D65AE4">
        <w:rPr>
          <w:rFonts w:ascii="Arial" w:hAnsi="Arial" w:cs="Arial"/>
          <w:sz w:val="24"/>
          <w:szCs w:val="24"/>
          <w:lang w:val="en-US"/>
        </w:rPr>
        <w:t xml:space="preserve">, </w:t>
      </w:r>
      <w:r w:rsidR="00624B34">
        <w:rPr>
          <w:rFonts w:ascii="Arial" w:hAnsi="Arial" w:cs="Arial"/>
          <w:sz w:val="24"/>
          <w:szCs w:val="24"/>
          <w:lang w:val="en-US"/>
        </w:rPr>
        <w:t>or that</w:t>
      </w:r>
      <w:r w:rsidR="00D65AE4">
        <w:rPr>
          <w:rFonts w:ascii="Arial" w:hAnsi="Arial" w:cs="Arial"/>
          <w:sz w:val="24"/>
          <w:szCs w:val="24"/>
          <w:lang w:val="en-US"/>
        </w:rPr>
        <w:t xml:space="preserve"> legal certainty would be undermined, as contended </w:t>
      </w:r>
      <w:r w:rsidR="00832736">
        <w:rPr>
          <w:rFonts w:ascii="Arial" w:hAnsi="Arial" w:cs="Arial"/>
          <w:sz w:val="24"/>
          <w:szCs w:val="24"/>
          <w:lang w:val="en-US"/>
        </w:rPr>
        <w:t>on behalf of</w:t>
      </w:r>
      <w:r w:rsidR="00D65AE4">
        <w:rPr>
          <w:rFonts w:ascii="Arial" w:hAnsi="Arial" w:cs="Arial"/>
          <w:sz w:val="24"/>
          <w:szCs w:val="24"/>
          <w:lang w:val="en-US"/>
        </w:rPr>
        <w:t xml:space="preserve"> the Second Defendant. Section 2 (3) of the </w:t>
      </w:r>
      <w:r w:rsidR="001E5C4B">
        <w:rPr>
          <w:rFonts w:ascii="Arial" w:hAnsi="Arial" w:cs="Arial"/>
          <w:sz w:val="24"/>
          <w:szCs w:val="24"/>
          <w:lang w:val="en-US"/>
        </w:rPr>
        <w:t>MSSA states</w:t>
      </w:r>
      <w:r w:rsidR="00D65AE4">
        <w:rPr>
          <w:rFonts w:ascii="Arial" w:hAnsi="Arial" w:cs="Arial"/>
          <w:sz w:val="24"/>
          <w:szCs w:val="24"/>
          <w:lang w:val="en-US"/>
        </w:rPr>
        <w:t xml:space="preserve"> that the “</w:t>
      </w:r>
      <w:r w:rsidR="00E55F27">
        <w:rPr>
          <w:rFonts w:ascii="Arial" w:hAnsi="Arial" w:cs="Arial"/>
          <w:sz w:val="24"/>
          <w:szCs w:val="24"/>
          <w:lang w:val="en-US"/>
        </w:rPr>
        <w:t>p</w:t>
      </w:r>
      <w:r w:rsidR="00D65AE4">
        <w:rPr>
          <w:rFonts w:ascii="Arial" w:hAnsi="Arial" w:cs="Arial"/>
          <w:sz w:val="24"/>
          <w:szCs w:val="24"/>
          <w:lang w:val="en-US"/>
        </w:rPr>
        <w:t>roof and disposal</w:t>
      </w:r>
      <w:r w:rsidR="00E55F27">
        <w:rPr>
          <w:rFonts w:ascii="Arial" w:hAnsi="Arial" w:cs="Arial"/>
          <w:sz w:val="24"/>
          <w:szCs w:val="24"/>
          <w:lang w:val="en-US"/>
        </w:rPr>
        <w:t xml:space="preserve">” of claims shall “be dealt with in accordance with the provisions of the Administration of Estates Act. That Act provides clear timelines and late claims would be hit by </w:t>
      </w:r>
      <w:r w:rsidR="00E55F27" w:rsidRPr="00E55F27">
        <w:rPr>
          <w:rFonts w:ascii="Arial" w:hAnsi="Arial" w:cs="Arial"/>
          <w:i/>
          <w:iCs/>
          <w:sz w:val="24"/>
          <w:szCs w:val="24"/>
          <w:lang w:val="en-US"/>
        </w:rPr>
        <w:t xml:space="preserve">inter </w:t>
      </w:r>
      <w:r w:rsidR="00E55F27" w:rsidRPr="00E55F27">
        <w:rPr>
          <w:rFonts w:ascii="Arial" w:hAnsi="Arial" w:cs="Arial"/>
          <w:i/>
          <w:iCs/>
          <w:sz w:val="24"/>
          <w:szCs w:val="24"/>
          <w:lang w:val="en-US"/>
        </w:rPr>
        <w:lastRenderedPageBreak/>
        <w:t>alia</w:t>
      </w:r>
      <w:r w:rsidR="00E55F27">
        <w:rPr>
          <w:rFonts w:ascii="Arial" w:hAnsi="Arial" w:cs="Arial"/>
          <w:sz w:val="24"/>
          <w:szCs w:val="24"/>
          <w:lang w:val="en-US"/>
        </w:rPr>
        <w:t xml:space="preserve"> Section 29 which requires claims to be submitted within 30 days of the executor’s </w:t>
      </w:r>
      <w:r w:rsidR="001E5C4B">
        <w:rPr>
          <w:rFonts w:ascii="Arial" w:hAnsi="Arial" w:cs="Arial"/>
          <w:sz w:val="24"/>
          <w:szCs w:val="24"/>
          <w:lang w:val="en-US"/>
        </w:rPr>
        <w:t>publication of</w:t>
      </w:r>
      <w:r w:rsidR="00E55F27">
        <w:rPr>
          <w:rFonts w:ascii="Arial" w:hAnsi="Arial" w:cs="Arial"/>
          <w:sz w:val="24"/>
          <w:szCs w:val="24"/>
          <w:lang w:val="en-US"/>
        </w:rPr>
        <w:t xml:space="preserve"> the deceased’s passing.</w:t>
      </w:r>
      <w:r w:rsidR="007114E3">
        <w:rPr>
          <w:rFonts w:ascii="Arial" w:hAnsi="Arial" w:cs="Arial"/>
          <w:sz w:val="24"/>
          <w:szCs w:val="24"/>
          <w:lang w:val="en-US"/>
        </w:rPr>
        <w:t xml:space="preserve"> </w:t>
      </w:r>
    </w:p>
    <w:p w:rsidR="0074654E" w:rsidRDefault="007E0EA2" w:rsidP="006D5E86">
      <w:pPr>
        <w:spacing w:line="480" w:lineRule="auto"/>
        <w:jc w:val="both"/>
        <w:rPr>
          <w:rFonts w:ascii="Arial" w:hAnsi="Arial" w:cs="Arial"/>
          <w:sz w:val="24"/>
          <w:szCs w:val="24"/>
          <w:lang w:val="en-US"/>
        </w:rPr>
      </w:pPr>
      <w:r>
        <w:rPr>
          <w:rFonts w:ascii="Arial" w:hAnsi="Arial" w:cs="Arial"/>
          <w:sz w:val="24"/>
          <w:szCs w:val="24"/>
          <w:lang w:val="en-US"/>
        </w:rPr>
        <w:t xml:space="preserve"> </w:t>
      </w:r>
      <w:r w:rsidR="007114E3">
        <w:rPr>
          <w:rFonts w:ascii="Arial" w:hAnsi="Arial" w:cs="Arial"/>
          <w:sz w:val="24"/>
          <w:szCs w:val="24"/>
          <w:lang w:val="en-US"/>
        </w:rPr>
        <w:t>[</w:t>
      </w:r>
      <w:r w:rsidR="009D52EB">
        <w:rPr>
          <w:rFonts w:ascii="Arial" w:hAnsi="Arial" w:cs="Arial"/>
          <w:sz w:val="24"/>
          <w:szCs w:val="24"/>
          <w:lang w:val="en-US"/>
        </w:rPr>
        <w:t>60</w:t>
      </w:r>
      <w:r w:rsidR="007114E3">
        <w:rPr>
          <w:rFonts w:ascii="Arial" w:hAnsi="Arial" w:cs="Arial"/>
          <w:sz w:val="24"/>
          <w:szCs w:val="24"/>
          <w:lang w:val="en-US"/>
        </w:rPr>
        <w:t xml:space="preserve">] </w:t>
      </w:r>
      <w:r w:rsidR="009D52EB">
        <w:rPr>
          <w:rFonts w:ascii="Arial" w:hAnsi="Arial" w:cs="Arial"/>
          <w:sz w:val="24"/>
          <w:szCs w:val="24"/>
          <w:lang w:val="en-US"/>
        </w:rPr>
        <w:t xml:space="preserve">  </w:t>
      </w:r>
      <w:r w:rsidR="000F072D">
        <w:rPr>
          <w:rFonts w:ascii="Arial" w:hAnsi="Arial" w:cs="Arial"/>
          <w:sz w:val="24"/>
          <w:szCs w:val="24"/>
          <w:lang w:val="en-US"/>
        </w:rPr>
        <w:t xml:space="preserve"> In view of the above</w:t>
      </w:r>
      <w:r w:rsidR="009D52EB">
        <w:rPr>
          <w:rFonts w:ascii="Arial" w:hAnsi="Arial" w:cs="Arial"/>
          <w:sz w:val="24"/>
          <w:szCs w:val="24"/>
          <w:lang w:val="en-US"/>
        </w:rPr>
        <w:t>, applying</w:t>
      </w:r>
      <w:r w:rsidR="006D3B4C">
        <w:rPr>
          <w:rFonts w:ascii="Arial" w:hAnsi="Arial" w:cs="Arial"/>
          <w:sz w:val="24"/>
          <w:szCs w:val="24"/>
          <w:lang w:val="en-US"/>
        </w:rPr>
        <w:t xml:space="preserve"> the principles of </w:t>
      </w:r>
      <w:r w:rsidR="009D52EB">
        <w:rPr>
          <w:rFonts w:ascii="Arial" w:hAnsi="Arial" w:cs="Arial"/>
          <w:sz w:val="24"/>
          <w:szCs w:val="24"/>
          <w:lang w:val="en-US"/>
        </w:rPr>
        <w:t>interpretation in</w:t>
      </w:r>
      <w:r w:rsidR="006D3B4C">
        <w:rPr>
          <w:rFonts w:ascii="Arial" w:hAnsi="Arial" w:cs="Arial"/>
          <w:sz w:val="24"/>
          <w:szCs w:val="24"/>
          <w:lang w:val="en-US"/>
        </w:rPr>
        <w:t xml:space="preserve"> </w:t>
      </w:r>
      <w:r w:rsidR="006D3B4C" w:rsidRPr="00787884">
        <w:rPr>
          <w:rFonts w:ascii="Arial" w:hAnsi="Arial" w:cs="Arial"/>
          <w:i/>
          <w:sz w:val="24"/>
          <w:szCs w:val="24"/>
          <w:lang w:val="en-US"/>
        </w:rPr>
        <w:t>Makate</w:t>
      </w:r>
      <w:r w:rsidR="006D3B4C">
        <w:rPr>
          <w:rFonts w:ascii="Arial" w:hAnsi="Arial" w:cs="Arial"/>
          <w:b/>
          <w:sz w:val="24"/>
          <w:szCs w:val="24"/>
          <w:lang w:val="en-US"/>
        </w:rPr>
        <w:t xml:space="preserve"> </w:t>
      </w:r>
      <w:r w:rsidR="0074654E" w:rsidRPr="000F072D">
        <w:rPr>
          <w:rFonts w:ascii="Arial" w:hAnsi="Arial" w:cs="Arial"/>
          <w:i/>
          <w:sz w:val="24"/>
          <w:szCs w:val="24"/>
          <w:lang w:val="en-US"/>
        </w:rPr>
        <w:t>supra</w:t>
      </w:r>
      <w:r w:rsidR="00983139">
        <w:rPr>
          <w:rFonts w:ascii="Arial" w:hAnsi="Arial" w:cs="Arial"/>
          <w:sz w:val="24"/>
          <w:szCs w:val="24"/>
          <w:lang w:val="en-US"/>
        </w:rPr>
        <w:t>,</w:t>
      </w:r>
      <w:r w:rsidR="006D3B4C">
        <w:rPr>
          <w:rFonts w:ascii="Arial" w:hAnsi="Arial" w:cs="Arial"/>
          <w:sz w:val="24"/>
          <w:szCs w:val="24"/>
          <w:lang w:val="en-US"/>
        </w:rPr>
        <w:t xml:space="preserve"> </w:t>
      </w:r>
      <w:r w:rsidR="0074654E">
        <w:rPr>
          <w:rFonts w:ascii="Arial" w:hAnsi="Arial" w:cs="Arial"/>
          <w:sz w:val="24"/>
          <w:szCs w:val="24"/>
          <w:lang w:val="en-US"/>
        </w:rPr>
        <w:t xml:space="preserve">and the finding in favour of </w:t>
      </w:r>
      <w:r w:rsidR="006D3B4C">
        <w:rPr>
          <w:rFonts w:ascii="Arial" w:hAnsi="Arial" w:cs="Arial"/>
          <w:sz w:val="24"/>
          <w:szCs w:val="24"/>
          <w:lang w:val="en-US"/>
        </w:rPr>
        <w:t>an interpretation of the word “debt” in the Prescription Act w</w:t>
      </w:r>
      <w:r w:rsidR="0074654E">
        <w:rPr>
          <w:rFonts w:ascii="Arial" w:hAnsi="Arial" w:cs="Arial"/>
          <w:sz w:val="24"/>
          <w:szCs w:val="24"/>
          <w:lang w:val="en-US"/>
        </w:rPr>
        <w:t>h</w:t>
      </w:r>
      <w:r w:rsidR="006D3B4C">
        <w:rPr>
          <w:rFonts w:ascii="Arial" w:hAnsi="Arial" w:cs="Arial"/>
          <w:sz w:val="24"/>
          <w:szCs w:val="24"/>
          <w:lang w:val="en-US"/>
        </w:rPr>
        <w:t>i</w:t>
      </w:r>
      <w:r w:rsidR="00983139">
        <w:rPr>
          <w:rFonts w:ascii="Arial" w:hAnsi="Arial" w:cs="Arial"/>
          <w:sz w:val="24"/>
          <w:szCs w:val="24"/>
          <w:lang w:val="en-US"/>
        </w:rPr>
        <w:t>ch</w:t>
      </w:r>
      <w:r w:rsidR="006D3B4C">
        <w:rPr>
          <w:rFonts w:ascii="Arial" w:hAnsi="Arial" w:cs="Arial"/>
          <w:sz w:val="24"/>
          <w:szCs w:val="24"/>
          <w:lang w:val="en-US"/>
        </w:rPr>
        <w:t xml:space="preserve"> is least intrusive of the right of access to court</w:t>
      </w:r>
      <w:r w:rsidR="009D52EB">
        <w:rPr>
          <w:rFonts w:ascii="Arial" w:hAnsi="Arial" w:cs="Arial"/>
          <w:sz w:val="24"/>
          <w:szCs w:val="24"/>
          <w:lang w:val="en-US"/>
        </w:rPr>
        <w:t>, I</w:t>
      </w:r>
      <w:r>
        <w:rPr>
          <w:rFonts w:ascii="Arial" w:hAnsi="Arial" w:cs="Arial"/>
          <w:sz w:val="24"/>
          <w:szCs w:val="24"/>
          <w:lang w:val="en-US"/>
        </w:rPr>
        <w:t xml:space="preserve"> </w:t>
      </w:r>
      <w:r w:rsidR="000F072D">
        <w:rPr>
          <w:rFonts w:ascii="Arial" w:hAnsi="Arial" w:cs="Arial"/>
          <w:sz w:val="24"/>
          <w:szCs w:val="24"/>
          <w:lang w:val="en-US"/>
        </w:rPr>
        <w:t xml:space="preserve">find </w:t>
      </w:r>
      <w:r w:rsidR="006D3B4C">
        <w:rPr>
          <w:rFonts w:ascii="Arial" w:hAnsi="Arial" w:cs="Arial"/>
          <w:sz w:val="24"/>
          <w:szCs w:val="24"/>
          <w:lang w:val="en-US"/>
        </w:rPr>
        <w:t xml:space="preserve">that the term “debt” in the Prescription Act does not apply to a claim for maintenance by a surviving spouse in terms of the MSSA. To </w:t>
      </w:r>
      <w:r w:rsidR="0074654E">
        <w:rPr>
          <w:rFonts w:ascii="Arial" w:hAnsi="Arial" w:cs="Arial"/>
          <w:sz w:val="24"/>
          <w:szCs w:val="24"/>
          <w:lang w:val="en-US"/>
        </w:rPr>
        <w:t>find otherwise</w:t>
      </w:r>
      <w:r>
        <w:rPr>
          <w:rFonts w:ascii="Arial" w:hAnsi="Arial" w:cs="Arial"/>
          <w:sz w:val="24"/>
          <w:szCs w:val="24"/>
          <w:lang w:val="en-US"/>
        </w:rPr>
        <w:t xml:space="preserve"> would be </w:t>
      </w:r>
      <w:r w:rsidR="006D3B4C">
        <w:rPr>
          <w:rFonts w:ascii="Arial" w:hAnsi="Arial" w:cs="Arial"/>
          <w:sz w:val="24"/>
          <w:szCs w:val="24"/>
          <w:lang w:val="en-US"/>
        </w:rPr>
        <w:t>contrary</w:t>
      </w:r>
      <w:r>
        <w:rPr>
          <w:rFonts w:ascii="Arial" w:hAnsi="Arial" w:cs="Arial"/>
          <w:sz w:val="24"/>
          <w:szCs w:val="24"/>
          <w:lang w:val="en-US"/>
        </w:rPr>
        <w:t xml:space="preserve"> both</w:t>
      </w:r>
      <w:r w:rsidR="006D3B4C">
        <w:rPr>
          <w:rFonts w:ascii="Arial" w:hAnsi="Arial" w:cs="Arial"/>
          <w:sz w:val="24"/>
          <w:szCs w:val="24"/>
          <w:lang w:val="en-US"/>
        </w:rPr>
        <w:t xml:space="preserve"> to the broad and equitable objective</w:t>
      </w:r>
      <w:r>
        <w:rPr>
          <w:rFonts w:ascii="Arial" w:hAnsi="Arial" w:cs="Arial"/>
          <w:sz w:val="24"/>
          <w:szCs w:val="24"/>
          <w:lang w:val="en-US"/>
        </w:rPr>
        <w:t>s</w:t>
      </w:r>
      <w:r w:rsidR="006D3B4C">
        <w:rPr>
          <w:rFonts w:ascii="Arial" w:hAnsi="Arial" w:cs="Arial"/>
          <w:sz w:val="24"/>
          <w:szCs w:val="24"/>
          <w:lang w:val="en-US"/>
        </w:rPr>
        <w:t xml:space="preserve"> of the MSSA of ensuring that surviving spouses are saved from destitution</w:t>
      </w:r>
      <w:r w:rsidR="0074654E">
        <w:rPr>
          <w:rFonts w:ascii="Arial" w:hAnsi="Arial" w:cs="Arial"/>
          <w:sz w:val="24"/>
          <w:szCs w:val="24"/>
          <w:lang w:val="en-US"/>
        </w:rPr>
        <w:t>, and</w:t>
      </w:r>
      <w:r w:rsidR="000F072D">
        <w:rPr>
          <w:rFonts w:ascii="Arial" w:hAnsi="Arial" w:cs="Arial"/>
          <w:sz w:val="24"/>
          <w:szCs w:val="24"/>
          <w:lang w:val="en-US"/>
        </w:rPr>
        <w:t xml:space="preserve"> contrary to </w:t>
      </w:r>
      <w:r w:rsidR="0074654E">
        <w:rPr>
          <w:rFonts w:ascii="Arial" w:hAnsi="Arial" w:cs="Arial"/>
          <w:sz w:val="24"/>
          <w:szCs w:val="24"/>
          <w:lang w:val="en-US"/>
        </w:rPr>
        <w:t>the spirit and purport of the Bill of Rights.</w:t>
      </w:r>
    </w:p>
    <w:p w:rsidR="00710C32" w:rsidRPr="00710C32" w:rsidRDefault="00EC5C3F" w:rsidP="00624B34">
      <w:pPr>
        <w:spacing w:line="480" w:lineRule="auto"/>
        <w:jc w:val="both"/>
        <w:rPr>
          <w:rFonts w:ascii="Arial" w:hAnsi="Arial" w:cs="Arial"/>
          <w:b/>
          <w:sz w:val="24"/>
          <w:szCs w:val="24"/>
          <w:lang w:val="en-US"/>
        </w:rPr>
      </w:pPr>
      <w:r>
        <w:rPr>
          <w:rFonts w:ascii="Arial" w:hAnsi="Arial" w:cs="Arial"/>
          <w:b/>
          <w:sz w:val="24"/>
          <w:szCs w:val="24"/>
          <w:lang w:val="en-US"/>
        </w:rPr>
        <w:t>Plaintiff’s Second Defence</w:t>
      </w:r>
      <w:r w:rsidR="00710C32" w:rsidRPr="00710C32">
        <w:rPr>
          <w:rFonts w:ascii="Arial" w:hAnsi="Arial" w:cs="Arial"/>
          <w:b/>
          <w:sz w:val="24"/>
          <w:szCs w:val="24"/>
          <w:lang w:val="en-US"/>
        </w:rPr>
        <w:t xml:space="preserve">: The </w:t>
      </w:r>
      <w:r>
        <w:rPr>
          <w:rFonts w:ascii="Arial" w:hAnsi="Arial" w:cs="Arial"/>
          <w:b/>
          <w:sz w:val="24"/>
          <w:szCs w:val="24"/>
          <w:lang w:val="en-US"/>
        </w:rPr>
        <w:t>P</w:t>
      </w:r>
      <w:r w:rsidR="00710C32" w:rsidRPr="00710C32">
        <w:rPr>
          <w:rFonts w:ascii="Arial" w:hAnsi="Arial" w:cs="Arial"/>
          <w:b/>
          <w:sz w:val="24"/>
          <w:szCs w:val="24"/>
          <w:lang w:val="en-US"/>
        </w:rPr>
        <w:t>laintiff</w:t>
      </w:r>
      <w:r w:rsidR="000F072D">
        <w:rPr>
          <w:rFonts w:ascii="Arial" w:hAnsi="Arial" w:cs="Arial"/>
          <w:b/>
          <w:sz w:val="24"/>
          <w:szCs w:val="24"/>
          <w:lang w:val="en-US"/>
        </w:rPr>
        <w:t xml:space="preserve">’s maintenance claim is not due </w:t>
      </w:r>
      <w:r w:rsidR="00710C32" w:rsidRPr="00710C32">
        <w:rPr>
          <w:rFonts w:ascii="Arial" w:hAnsi="Arial" w:cs="Arial"/>
          <w:b/>
          <w:sz w:val="24"/>
          <w:szCs w:val="24"/>
          <w:lang w:val="en-US"/>
        </w:rPr>
        <w:t>in that it is not immediately enforceable or claimable, and prescription has not commenced running in terms of section 12(1) of the Prescription Act.</w:t>
      </w:r>
    </w:p>
    <w:p w:rsidR="009045D0" w:rsidRDefault="001E5C4B" w:rsidP="006D5E86">
      <w:pPr>
        <w:spacing w:line="480" w:lineRule="auto"/>
        <w:jc w:val="both"/>
        <w:rPr>
          <w:rFonts w:ascii="Arial" w:hAnsi="Arial" w:cs="Arial"/>
          <w:sz w:val="24"/>
          <w:szCs w:val="24"/>
          <w:lang w:val="en-US"/>
        </w:rPr>
      </w:pPr>
      <w:r>
        <w:rPr>
          <w:rFonts w:ascii="Arial" w:hAnsi="Arial" w:cs="Arial"/>
          <w:sz w:val="24"/>
          <w:szCs w:val="24"/>
          <w:lang w:val="en-US"/>
        </w:rPr>
        <w:t>[</w:t>
      </w:r>
      <w:r w:rsidR="009D52EB">
        <w:rPr>
          <w:rFonts w:ascii="Arial" w:hAnsi="Arial" w:cs="Arial"/>
          <w:sz w:val="24"/>
          <w:szCs w:val="24"/>
          <w:lang w:val="en-US"/>
        </w:rPr>
        <w:t>61</w:t>
      </w:r>
      <w:r w:rsidR="00CE4DCD">
        <w:rPr>
          <w:rFonts w:ascii="Arial" w:hAnsi="Arial" w:cs="Arial"/>
          <w:sz w:val="24"/>
          <w:szCs w:val="24"/>
          <w:lang w:val="en-US"/>
        </w:rPr>
        <w:t>]</w:t>
      </w:r>
      <w:r w:rsidR="00CE4DCD">
        <w:rPr>
          <w:rFonts w:ascii="Arial" w:hAnsi="Arial" w:cs="Arial"/>
          <w:sz w:val="24"/>
          <w:szCs w:val="24"/>
          <w:lang w:val="en-US"/>
        </w:rPr>
        <w:tab/>
      </w:r>
      <w:r w:rsidR="00710C32">
        <w:rPr>
          <w:rFonts w:ascii="Arial" w:hAnsi="Arial" w:cs="Arial"/>
          <w:sz w:val="24"/>
          <w:szCs w:val="24"/>
          <w:lang w:val="en-US"/>
        </w:rPr>
        <w:t>The principle that a</w:t>
      </w:r>
      <w:r w:rsidR="00CE4DCD">
        <w:rPr>
          <w:rFonts w:ascii="Arial" w:hAnsi="Arial" w:cs="Arial"/>
          <w:sz w:val="24"/>
          <w:szCs w:val="24"/>
          <w:lang w:val="en-US"/>
        </w:rPr>
        <w:t xml:space="preserve"> claim is not due</w:t>
      </w:r>
      <w:r w:rsidR="00710C32">
        <w:rPr>
          <w:rFonts w:ascii="Arial" w:hAnsi="Arial" w:cs="Arial"/>
          <w:sz w:val="24"/>
          <w:szCs w:val="24"/>
          <w:lang w:val="en-US"/>
        </w:rPr>
        <w:t xml:space="preserve"> until it is enforceable</w:t>
      </w:r>
      <w:r w:rsidR="00CE4DCD">
        <w:rPr>
          <w:rFonts w:ascii="Arial" w:hAnsi="Arial" w:cs="Arial"/>
          <w:sz w:val="24"/>
          <w:szCs w:val="24"/>
          <w:lang w:val="en-US"/>
        </w:rPr>
        <w:t xml:space="preserve"> and prescription has </w:t>
      </w:r>
      <w:r w:rsidR="00710C32">
        <w:rPr>
          <w:rFonts w:ascii="Arial" w:hAnsi="Arial" w:cs="Arial"/>
          <w:sz w:val="24"/>
          <w:szCs w:val="24"/>
          <w:lang w:val="en-US"/>
        </w:rPr>
        <w:t xml:space="preserve">thus </w:t>
      </w:r>
      <w:r w:rsidR="00CE4DCD">
        <w:rPr>
          <w:rFonts w:ascii="Arial" w:hAnsi="Arial" w:cs="Arial"/>
          <w:sz w:val="24"/>
          <w:szCs w:val="24"/>
          <w:lang w:val="en-US"/>
        </w:rPr>
        <w:t>not commenced running in terms of section</w:t>
      </w:r>
      <w:r w:rsidR="000F072D">
        <w:rPr>
          <w:rFonts w:ascii="Arial" w:hAnsi="Arial" w:cs="Arial"/>
          <w:sz w:val="24"/>
          <w:szCs w:val="24"/>
          <w:lang w:val="en-US"/>
        </w:rPr>
        <w:t xml:space="preserve"> 12(1) of the Prescription Act,</w:t>
      </w:r>
      <w:r w:rsidR="00CE4DCD">
        <w:rPr>
          <w:rFonts w:ascii="Arial" w:hAnsi="Arial" w:cs="Arial"/>
          <w:sz w:val="24"/>
          <w:szCs w:val="24"/>
          <w:lang w:val="en-US"/>
        </w:rPr>
        <w:t xml:space="preserve"> </w:t>
      </w:r>
      <w:r w:rsidR="009045D0">
        <w:rPr>
          <w:rFonts w:ascii="Arial" w:hAnsi="Arial" w:cs="Arial"/>
          <w:sz w:val="24"/>
          <w:szCs w:val="24"/>
          <w:lang w:val="en-US"/>
        </w:rPr>
        <w:t xml:space="preserve">was </w:t>
      </w:r>
      <w:r w:rsidR="000F072D">
        <w:rPr>
          <w:rFonts w:ascii="Arial" w:hAnsi="Arial" w:cs="Arial"/>
          <w:sz w:val="24"/>
          <w:szCs w:val="24"/>
          <w:lang w:val="en-US"/>
        </w:rPr>
        <w:t xml:space="preserve">stated </w:t>
      </w:r>
      <w:r w:rsidR="009045D0">
        <w:rPr>
          <w:rFonts w:ascii="Arial" w:hAnsi="Arial" w:cs="Arial"/>
          <w:sz w:val="24"/>
          <w:szCs w:val="24"/>
          <w:lang w:val="en-US"/>
        </w:rPr>
        <w:t xml:space="preserve">as follows in </w:t>
      </w:r>
      <w:r w:rsidR="009045D0" w:rsidRPr="00787884">
        <w:rPr>
          <w:rFonts w:ascii="Arial" w:hAnsi="Arial" w:cs="Arial"/>
          <w:i/>
          <w:sz w:val="24"/>
          <w:szCs w:val="24"/>
          <w:lang w:val="en-US"/>
        </w:rPr>
        <w:t>De</w:t>
      </w:r>
      <w:r w:rsidR="00185B1E" w:rsidRPr="00787884">
        <w:rPr>
          <w:rFonts w:ascii="Arial" w:hAnsi="Arial" w:cs="Arial"/>
          <w:i/>
          <w:sz w:val="24"/>
          <w:szCs w:val="24"/>
          <w:lang w:val="en-US"/>
        </w:rPr>
        <w:t>l</w:t>
      </w:r>
      <w:r w:rsidR="009045D0" w:rsidRPr="00787884">
        <w:rPr>
          <w:rFonts w:ascii="Arial" w:hAnsi="Arial" w:cs="Arial"/>
          <w:i/>
          <w:sz w:val="24"/>
          <w:szCs w:val="24"/>
          <w:lang w:val="en-US"/>
        </w:rPr>
        <w:t>oitte Haskins and Sells</w:t>
      </w:r>
      <w:r w:rsidR="00185B1E" w:rsidRPr="00787884">
        <w:rPr>
          <w:rFonts w:ascii="Arial" w:hAnsi="Arial" w:cs="Arial"/>
          <w:i/>
          <w:sz w:val="24"/>
          <w:szCs w:val="24"/>
          <w:lang w:val="en-US"/>
        </w:rPr>
        <w:t xml:space="preserve"> Consultants (Pty) Ltd</w:t>
      </w:r>
      <w:r w:rsidR="009045D0" w:rsidRPr="00787884">
        <w:rPr>
          <w:rFonts w:ascii="Arial" w:hAnsi="Arial" w:cs="Arial"/>
          <w:i/>
          <w:sz w:val="24"/>
          <w:szCs w:val="24"/>
          <w:lang w:val="en-US"/>
        </w:rPr>
        <w:t xml:space="preserve"> v Bowthorpe Hellerman Deutsch</w:t>
      </w:r>
      <w:r w:rsidR="00185B1E">
        <w:rPr>
          <w:rStyle w:val="FootnoteReference"/>
          <w:rFonts w:ascii="Arial" w:hAnsi="Arial" w:cs="Arial"/>
          <w:sz w:val="24"/>
          <w:szCs w:val="24"/>
          <w:lang w:val="en-US"/>
        </w:rPr>
        <w:footnoteReference w:id="29"/>
      </w:r>
      <w:r w:rsidR="009045D0">
        <w:rPr>
          <w:rFonts w:ascii="Arial" w:hAnsi="Arial" w:cs="Arial"/>
          <w:sz w:val="24"/>
          <w:szCs w:val="24"/>
          <w:lang w:val="en-US"/>
        </w:rPr>
        <w:t>:</w:t>
      </w:r>
    </w:p>
    <w:p w:rsidR="009045D0" w:rsidRPr="00624B34" w:rsidRDefault="009045D0" w:rsidP="001E5C4B">
      <w:pPr>
        <w:spacing w:line="480" w:lineRule="auto"/>
        <w:ind w:left="720"/>
        <w:jc w:val="both"/>
        <w:rPr>
          <w:rFonts w:ascii="Arial" w:hAnsi="Arial" w:cs="Arial"/>
          <w:i/>
          <w:lang w:val="en-US"/>
        </w:rPr>
      </w:pPr>
      <w:r w:rsidRPr="00624B34">
        <w:rPr>
          <w:rFonts w:ascii="Arial" w:hAnsi="Arial" w:cs="Arial"/>
          <w:i/>
          <w:sz w:val="24"/>
          <w:szCs w:val="24"/>
          <w:lang w:val="en-US"/>
        </w:rPr>
        <w:t>“</w:t>
      </w:r>
      <w:r w:rsidRPr="00624B34">
        <w:rPr>
          <w:rFonts w:ascii="Arial" w:hAnsi="Arial" w:cs="Arial"/>
          <w:i/>
          <w:lang w:val="en-US"/>
        </w:rPr>
        <w:t>Section 12 (1) of the Prescription Act</w:t>
      </w:r>
      <w:r w:rsidR="00526C0D" w:rsidRPr="00624B34">
        <w:rPr>
          <w:rFonts w:ascii="Arial" w:hAnsi="Arial" w:cs="Arial"/>
          <w:i/>
          <w:lang w:val="en-US"/>
        </w:rPr>
        <w:t xml:space="preserve"> 68 of 1969 provides that ‘prescription shall commence to run as soon as the debt is due.’ This means that there has to be a debt immediately claimable by the debtor or, stated in another way, that there has to be a debt in respect of which the debtor is under an obligation to perform immediately…… It follows that prescription cannot run against a creditor until his cause of action is fully accrued, i.e. before he is </w:t>
      </w:r>
      <w:r w:rsidR="00624B34" w:rsidRPr="00624B34">
        <w:rPr>
          <w:rFonts w:ascii="Arial" w:hAnsi="Arial" w:cs="Arial"/>
          <w:i/>
          <w:lang w:val="en-US"/>
        </w:rPr>
        <w:t>able</w:t>
      </w:r>
      <w:r w:rsidR="00526C0D" w:rsidRPr="00624B34">
        <w:rPr>
          <w:rFonts w:ascii="Arial" w:hAnsi="Arial" w:cs="Arial"/>
          <w:i/>
          <w:lang w:val="en-US"/>
        </w:rPr>
        <w:t xml:space="preserve"> to pursue his claim</w:t>
      </w:r>
      <w:r w:rsidR="000E6A41" w:rsidRPr="00624B34">
        <w:rPr>
          <w:rFonts w:ascii="Arial" w:hAnsi="Arial" w:cs="Arial"/>
          <w:i/>
          <w:lang w:val="en-US"/>
        </w:rPr>
        <w:t>”</w:t>
      </w:r>
    </w:p>
    <w:p w:rsidR="00F07557" w:rsidRDefault="009D52EB" w:rsidP="006D5E86">
      <w:pPr>
        <w:spacing w:line="480" w:lineRule="auto"/>
        <w:jc w:val="both"/>
        <w:rPr>
          <w:rFonts w:ascii="Arial" w:hAnsi="Arial" w:cs="Arial"/>
          <w:sz w:val="24"/>
          <w:szCs w:val="24"/>
          <w:lang w:val="en-US"/>
        </w:rPr>
      </w:pPr>
      <w:r>
        <w:rPr>
          <w:rFonts w:ascii="Arial" w:hAnsi="Arial" w:cs="Arial"/>
          <w:sz w:val="24"/>
          <w:szCs w:val="24"/>
          <w:lang w:val="en-US"/>
        </w:rPr>
        <w:lastRenderedPageBreak/>
        <w:t xml:space="preserve">[62]     </w:t>
      </w:r>
      <w:r w:rsidR="00526C0D">
        <w:rPr>
          <w:rFonts w:ascii="Arial" w:hAnsi="Arial" w:cs="Arial"/>
          <w:sz w:val="24"/>
          <w:szCs w:val="24"/>
          <w:lang w:val="en-US"/>
        </w:rPr>
        <w:t xml:space="preserve">The principle was </w:t>
      </w:r>
      <w:r w:rsidR="000E6A41">
        <w:rPr>
          <w:rFonts w:ascii="Arial" w:hAnsi="Arial" w:cs="Arial"/>
          <w:sz w:val="24"/>
          <w:szCs w:val="24"/>
          <w:lang w:val="en-US"/>
        </w:rPr>
        <w:t>endorsed</w:t>
      </w:r>
      <w:r w:rsidR="00526C0D">
        <w:rPr>
          <w:rFonts w:ascii="Arial" w:hAnsi="Arial" w:cs="Arial"/>
          <w:sz w:val="24"/>
          <w:szCs w:val="24"/>
          <w:lang w:val="en-US"/>
        </w:rPr>
        <w:t xml:space="preserve"> in</w:t>
      </w:r>
      <w:r w:rsidR="00CE4DCD">
        <w:rPr>
          <w:rFonts w:ascii="Arial" w:hAnsi="Arial" w:cs="Arial"/>
          <w:sz w:val="24"/>
          <w:szCs w:val="24"/>
          <w:lang w:val="en-US"/>
        </w:rPr>
        <w:t xml:space="preserve"> </w:t>
      </w:r>
      <w:r w:rsidR="00CE4DCD" w:rsidRPr="00787884">
        <w:rPr>
          <w:rFonts w:ascii="Arial" w:hAnsi="Arial" w:cs="Arial"/>
          <w:bCs/>
          <w:i/>
          <w:sz w:val="24"/>
          <w:szCs w:val="24"/>
          <w:lang w:val="en-US"/>
        </w:rPr>
        <w:t>Farocean</w:t>
      </w:r>
      <w:r w:rsidR="00185B1E" w:rsidRPr="00787884">
        <w:rPr>
          <w:rFonts w:ascii="Arial" w:hAnsi="Arial" w:cs="Arial"/>
          <w:bCs/>
          <w:i/>
          <w:sz w:val="24"/>
          <w:szCs w:val="24"/>
          <w:lang w:val="en-US"/>
        </w:rPr>
        <w:t xml:space="preserve"> Marine (Pty) ltd v Minister of Trade and Industry</w:t>
      </w:r>
      <w:r w:rsidR="00185B1E" w:rsidRPr="00787884">
        <w:rPr>
          <w:rFonts w:ascii="Arial" w:hAnsi="Arial" w:cs="Arial"/>
          <w:b/>
          <w:i/>
          <w:sz w:val="24"/>
          <w:szCs w:val="24"/>
          <w:lang w:val="en-US"/>
        </w:rPr>
        <w:t xml:space="preserve"> </w:t>
      </w:r>
      <w:r w:rsidR="00185B1E">
        <w:rPr>
          <w:rStyle w:val="FootnoteReference"/>
          <w:rFonts w:ascii="Arial" w:hAnsi="Arial" w:cs="Arial"/>
          <w:b/>
          <w:sz w:val="24"/>
          <w:szCs w:val="24"/>
          <w:lang w:val="en-US"/>
        </w:rPr>
        <w:footnoteReference w:id="30"/>
      </w:r>
      <w:r w:rsidR="002818F9">
        <w:rPr>
          <w:rFonts w:ascii="Arial" w:hAnsi="Arial" w:cs="Arial"/>
          <w:i/>
          <w:sz w:val="24"/>
          <w:szCs w:val="24"/>
          <w:lang w:val="en-US"/>
        </w:rPr>
        <w:t xml:space="preserve"> </w:t>
      </w:r>
      <w:r w:rsidR="00CE4DCD">
        <w:rPr>
          <w:rFonts w:ascii="Arial" w:hAnsi="Arial" w:cs="Arial"/>
          <w:sz w:val="24"/>
          <w:szCs w:val="24"/>
          <w:lang w:val="en-US"/>
        </w:rPr>
        <w:t xml:space="preserve">where </w:t>
      </w:r>
      <w:r w:rsidR="00DF62F6">
        <w:rPr>
          <w:rFonts w:ascii="Arial" w:hAnsi="Arial" w:cs="Arial"/>
          <w:sz w:val="24"/>
          <w:szCs w:val="24"/>
          <w:lang w:val="en-US"/>
        </w:rPr>
        <w:t xml:space="preserve">the issue was whether </w:t>
      </w:r>
      <w:r w:rsidR="009A1728">
        <w:rPr>
          <w:rFonts w:ascii="Arial" w:hAnsi="Arial" w:cs="Arial"/>
          <w:sz w:val="24"/>
          <w:szCs w:val="24"/>
          <w:lang w:val="en-US"/>
        </w:rPr>
        <w:t xml:space="preserve">a claim by the Minister of Trade and Industry </w:t>
      </w:r>
      <w:r w:rsidR="00DF62F6">
        <w:rPr>
          <w:rFonts w:ascii="Arial" w:hAnsi="Arial" w:cs="Arial"/>
          <w:sz w:val="24"/>
          <w:szCs w:val="24"/>
          <w:lang w:val="en-US"/>
        </w:rPr>
        <w:t>for the repayment of benefits</w:t>
      </w:r>
      <w:r w:rsidR="009A1728">
        <w:rPr>
          <w:rFonts w:ascii="Arial" w:hAnsi="Arial" w:cs="Arial"/>
          <w:sz w:val="24"/>
          <w:szCs w:val="24"/>
          <w:lang w:val="en-US"/>
        </w:rPr>
        <w:t xml:space="preserve"> paid in terms of an export incentive scheme had prescribed.</w:t>
      </w:r>
      <w:r w:rsidR="00F07557">
        <w:rPr>
          <w:rFonts w:ascii="Arial" w:hAnsi="Arial" w:cs="Arial"/>
          <w:sz w:val="24"/>
          <w:szCs w:val="24"/>
          <w:lang w:val="en-US"/>
        </w:rPr>
        <w:t xml:space="preserve"> </w:t>
      </w:r>
      <w:r w:rsidR="00CE78D6">
        <w:rPr>
          <w:rFonts w:ascii="Arial" w:hAnsi="Arial" w:cs="Arial"/>
          <w:sz w:val="24"/>
          <w:szCs w:val="24"/>
          <w:lang w:val="en-US"/>
        </w:rPr>
        <w:t xml:space="preserve">The Court found </w:t>
      </w:r>
      <w:r w:rsidR="002818F9">
        <w:rPr>
          <w:rFonts w:ascii="Arial" w:hAnsi="Arial" w:cs="Arial"/>
          <w:iCs/>
          <w:sz w:val="24"/>
          <w:szCs w:val="24"/>
          <w:lang w:val="en-US"/>
        </w:rPr>
        <w:t xml:space="preserve">at paragraphs 12 to 14 </w:t>
      </w:r>
      <w:r w:rsidR="00CE78D6">
        <w:rPr>
          <w:rFonts w:ascii="Arial" w:hAnsi="Arial" w:cs="Arial"/>
          <w:sz w:val="24"/>
          <w:szCs w:val="24"/>
          <w:lang w:val="en-US"/>
        </w:rPr>
        <w:t>that it had not as the claim</w:t>
      </w:r>
      <w:r w:rsidR="002818F9">
        <w:rPr>
          <w:rFonts w:ascii="Arial" w:hAnsi="Arial" w:cs="Arial"/>
          <w:sz w:val="24"/>
          <w:szCs w:val="24"/>
          <w:lang w:val="en-US"/>
        </w:rPr>
        <w:t>/debt</w:t>
      </w:r>
      <w:r w:rsidR="00CE78D6">
        <w:rPr>
          <w:rFonts w:ascii="Arial" w:hAnsi="Arial" w:cs="Arial"/>
          <w:sz w:val="24"/>
          <w:szCs w:val="24"/>
          <w:lang w:val="en-US"/>
        </w:rPr>
        <w:t xml:space="preserve"> only became due after an investigation had been </w:t>
      </w:r>
      <w:r w:rsidR="001E5C4B">
        <w:rPr>
          <w:rFonts w:ascii="Arial" w:hAnsi="Arial" w:cs="Arial"/>
          <w:sz w:val="24"/>
          <w:szCs w:val="24"/>
          <w:lang w:val="en-US"/>
        </w:rPr>
        <w:t>conducted by</w:t>
      </w:r>
      <w:r w:rsidR="009920C3">
        <w:rPr>
          <w:rFonts w:ascii="Arial" w:hAnsi="Arial" w:cs="Arial"/>
          <w:sz w:val="24"/>
          <w:szCs w:val="24"/>
          <w:lang w:val="en-US"/>
        </w:rPr>
        <w:t xml:space="preserve"> the Director General </w:t>
      </w:r>
      <w:r w:rsidR="00CE78D6">
        <w:rPr>
          <w:rFonts w:ascii="Arial" w:hAnsi="Arial" w:cs="Arial"/>
          <w:sz w:val="24"/>
          <w:szCs w:val="24"/>
          <w:lang w:val="en-US"/>
        </w:rPr>
        <w:t>to verify the information</w:t>
      </w:r>
      <w:r w:rsidR="002818F9">
        <w:rPr>
          <w:rFonts w:ascii="Arial" w:hAnsi="Arial" w:cs="Arial"/>
          <w:sz w:val="24"/>
          <w:szCs w:val="24"/>
          <w:lang w:val="en-US"/>
        </w:rPr>
        <w:t xml:space="preserve"> furnished and he had decided to disallow the benefits. In acting </w:t>
      </w:r>
      <w:r w:rsidR="00CE4DCD">
        <w:rPr>
          <w:rFonts w:ascii="Arial" w:hAnsi="Arial" w:cs="Arial"/>
          <w:sz w:val="24"/>
          <w:szCs w:val="24"/>
          <w:lang w:val="en-US"/>
        </w:rPr>
        <w:t>as</w:t>
      </w:r>
      <w:r w:rsidR="002818F9">
        <w:rPr>
          <w:rFonts w:ascii="Arial" w:hAnsi="Arial" w:cs="Arial"/>
          <w:sz w:val="24"/>
          <w:szCs w:val="24"/>
          <w:lang w:val="en-US"/>
        </w:rPr>
        <w:t xml:space="preserve"> aforesaid the Director General was acting in an administrative capacity. </w:t>
      </w:r>
      <w:r w:rsidR="00F07557">
        <w:rPr>
          <w:rFonts w:ascii="Arial" w:hAnsi="Arial" w:cs="Arial"/>
          <w:sz w:val="24"/>
          <w:szCs w:val="24"/>
          <w:lang w:val="en-US"/>
        </w:rPr>
        <w:t xml:space="preserve">The </w:t>
      </w:r>
      <w:r w:rsidR="000E6A41">
        <w:rPr>
          <w:rFonts w:ascii="Arial" w:hAnsi="Arial" w:cs="Arial"/>
          <w:sz w:val="24"/>
          <w:szCs w:val="24"/>
          <w:lang w:val="en-US"/>
        </w:rPr>
        <w:t>C</w:t>
      </w:r>
      <w:r w:rsidR="00F07557">
        <w:rPr>
          <w:rFonts w:ascii="Arial" w:hAnsi="Arial" w:cs="Arial"/>
          <w:sz w:val="24"/>
          <w:szCs w:val="24"/>
          <w:lang w:val="en-US"/>
        </w:rPr>
        <w:t xml:space="preserve">ourt noted that </w:t>
      </w:r>
      <w:r w:rsidR="001E5C4B">
        <w:rPr>
          <w:rFonts w:ascii="Arial" w:hAnsi="Arial" w:cs="Arial"/>
          <w:sz w:val="24"/>
          <w:szCs w:val="24"/>
          <w:lang w:val="en-US"/>
        </w:rPr>
        <w:t>the Director</w:t>
      </w:r>
      <w:r w:rsidR="00F07557">
        <w:rPr>
          <w:rFonts w:ascii="Arial" w:hAnsi="Arial" w:cs="Arial"/>
          <w:sz w:val="24"/>
          <w:szCs w:val="24"/>
          <w:lang w:val="en-US"/>
        </w:rPr>
        <w:t xml:space="preserve"> General’s power of disallowance is </w:t>
      </w:r>
      <w:r w:rsidR="00624B34">
        <w:rPr>
          <w:rFonts w:ascii="Arial" w:hAnsi="Arial" w:cs="Arial"/>
          <w:sz w:val="24"/>
          <w:szCs w:val="24"/>
          <w:lang w:val="en-US"/>
        </w:rPr>
        <w:t>exercised subject</w:t>
      </w:r>
      <w:r w:rsidR="00F07557">
        <w:rPr>
          <w:rFonts w:ascii="Arial" w:hAnsi="Arial" w:cs="Arial"/>
          <w:sz w:val="24"/>
          <w:szCs w:val="24"/>
          <w:lang w:val="en-US"/>
        </w:rPr>
        <w:t xml:space="preserve"> to the presence of certain jurisdictional facts. This was a reference to the investigation. </w:t>
      </w:r>
    </w:p>
    <w:p w:rsidR="00666774" w:rsidRDefault="00666774" w:rsidP="006D5E86">
      <w:pPr>
        <w:spacing w:line="480" w:lineRule="auto"/>
        <w:jc w:val="both"/>
        <w:rPr>
          <w:rFonts w:ascii="Arial" w:hAnsi="Arial" w:cs="Arial"/>
          <w:sz w:val="24"/>
          <w:szCs w:val="24"/>
          <w:lang w:val="en-US"/>
        </w:rPr>
      </w:pPr>
      <w:r>
        <w:rPr>
          <w:rFonts w:ascii="Arial" w:hAnsi="Arial" w:cs="Arial"/>
          <w:sz w:val="24"/>
          <w:szCs w:val="24"/>
          <w:lang w:val="en-US"/>
        </w:rPr>
        <w:t>[</w:t>
      </w:r>
      <w:r w:rsidR="009D52EB">
        <w:rPr>
          <w:rFonts w:ascii="Arial" w:hAnsi="Arial" w:cs="Arial"/>
          <w:sz w:val="24"/>
          <w:szCs w:val="24"/>
          <w:lang w:val="en-US"/>
        </w:rPr>
        <w:t>63</w:t>
      </w:r>
      <w:r>
        <w:rPr>
          <w:rFonts w:ascii="Arial" w:hAnsi="Arial" w:cs="Arial"/>
          <w:sz w:val="24"/>
          <w:szCs w:val="24"/>
          <w:lang w:val="en-US"/>
        </w:rPr>
        <w:t xml:space="preserve">] </w:t>
      </w:r>
      <w:r w:rsidR="009D52EB">
        <w:rPr>
          <w:rFonts w:ascii="Arial" w:hAnsi="Arial" w:cs="Arial"/>
          <w:sz w:val="24"/>
          <w:szCs w:val="24"/>
          <w:lang w:val="en-US"/>
        </w:rPr>
        <w:t xml:space="preserve">   </w:t>
      </w:r>
      <w:r>
        <w:rPr>
          <w:rFonts w:ascii="Arial" w:hAnsi="Arial" w:cs="Arial"/>
          <w:sz w:val="24"/>
          <w:szCs w:val="24"/>
          <w:lang w:val="en-US"/>
        </w:rPr>
        <w:t xml:space="preserve">I agree that the present case is directly analogous to </w:t>
      </w:r>
      <w:r w:rsidRPr="00787884">
        <w:rPr>
          <w:rFonts w:ascii="Arial" w:hAnsi="Arial" w:cs="Arial"/>
          <w:i/>
          <w:sz w:val="24"/>
          <w:szCs w:val="24"/>
          <w:lang w:val="en-US"/>
        </w:rPr>
        <w:t>Farocean</w:t>
      </w:r>
      <w:r>
        <w:rPr>
          <w:rFonts w:ascii="Arial" w:hAnsi="Arial" w:cs="Arial"/>
          <w:sz w:val="24"/>
          <w:szCs w:val="24"/>
          <w:lang w:val="en-US"/>
        </w:rPr>
        <w:t xml:space="preserve">. Here, the jurisdictional facts which would have to be satisfied, include that the Plaintiff’s claim would have to be dealt with </w:t>
      </w:r>
      <w:r w:rsidR="007E5165">
        <w:rPr>
          <w:rFonts w:ascii="Arial" w:hAnsi="Arial" w:cs="Arial"/>
          <w:sz w:val="24"/>
          <w:szCs w:val="24"/>
          <w:lang w:val="en-US"/>
        </w:rPr>
        <w:t xml:space="preserve">and investigated </w:t>
      </w:r>
      <w:r>
        <w:rPr>
          <w:rFonts w:ascii="Arial" w:hAnsi="Arial" w:cs="Arial"/>
          <w:sz w:val="24"/>
          <w:szCs w:val="24"/>
          <w:lang w:val="en-US"/>
        </w:rPr>
        <w:t>in terms</w:t>
      </w:r>
      <w:r w:rsidR="000F072D">
        <w:rPr>
          <w:rFonts w:ascii="Arial" w:hAnsi="Arial" w:cs="Arial"/>
          <w:sz w:val="24"/>
          <w:szCs w:val="24"/>
          <w:lang w:val="en-US"/>
        </w:rPr>
        <w:t xml:space="preserve"> of Section 35 (12) of </w:t>
      </w:r>
      <w:r w:rsidR="00624B34">
        <w:rPr>
          <w:rFonts w:ascii="Arial" w:hAnsi="Arial" w:cs="Arial"/>
          <w:sz w:val="24"/>
          <w:szCs w:val="24"/>
          <w:lang w:val="en-US"/>
        </w:rPr>
        <w:t>the Estates</w:t>
      </w:r>
      <w:r>
        <w:rPr>
          <w:rFonts w:ascii="Arial" w:hAnsi="Arial" w:cs="Arial"/>
          <w:sz w:val="24"/>
          <w:szCs w:val="24"/>
          <w:lang w:val="en-US"/>
        </w:rPr>
        <w:t xml:space="preserve"> Act, and the estate would have to become distributable.</w:t>
      </w:r>
      <w:r w:rsidR="000F072D">
        <w:rPr>
          <w:rFonts w:ascii="Arial" w:hAnsi="Arial" w:cs="Arial"/>
          <w:sz w:val="24"/>
          <w:szCs w:val="24"/>
          <w:lang w:val="en-US"/>
        </w:rPr>
        <w:t xml:space="preserve"> The P</w:t>
      </w:r>
      <w:r w:rsidR="007E5165">
        <w:rPr>
          <w:rFonts w:ascii="Arial" w:hAnsi="Arial" w:cs="Arial"/>
          <w:sz w:val="24"/>
          <w:szCs w:val="24"/>
          <w:lang w:val="en-US"/>
        </w:rPr>
        <w:t xml:space="preserve">laintiff’s claim for maintenance thus will only become due, in the sense that it is immediately recoverable, from the time that the estate becomes distributable. Until then, as contended </w:t>
      </w:r>
      <w:r w:rsidR="00832736">
        <w:rPr>
          <w:rFonts w:ascii="Arial" w:hAnsi="Arial" w:cs="Arial"/>
          <w:sz w:val="24"/>
          <w:szCs w:val="24"/>
          <w:lang w:val="en-US"/>
        </w:rPr>
        <w:t>on behalf of</w:t>
      </w:r>
      <w:r w:rsidR="007E5165">
        <w:rPr>
          <w:rFonts w:ascii="Arial" w:hAnsi="Arial" w:cs="Arial"/>
          <w:sz w:val="24"/>
          <w:szCs w:val="24"/>
          <w:lang w:val="en-US"/>
        </w:rPr>
        <w:t xml:space="preserve"> the Plaintiff, she has no claim that is immediately recoverable and prescription does not start runnin</w:t>
      </w:r>
      <w:r w:rsidR="006D6BBD">
        <w:rPr>
          <w:rFonts w:ascii="Arial" w:hAnsi="Arial" w:cs="Arial"/>
          <w:sz w:val="24"/>
          <w:szCs w:val="24"/>
          <w:lang w:val="en-US"/>
        </w:rPr>
        <w:t>g</w:t>
      </w:r>
      <w:r w:rsidR="007E5165">
        <w:rPr>
          <w:rFonts w:ascii="Arial" w:hAnsi="Arial" w:cs="Arial"/>
          <w:sz w:val="24"/>
          <w:szCs w:val="24"/>
          <w:lang w:val="en-US"/>
        </w:rPr>
        <w:t xml:space="preserve"> in terms of ss 12 (1) of the Prescription Act.</w:t>
      </w:r>
      <w:r>
        <w:rPr>
          <w:rFonts w:ascii="Arial" w:hAnsi="Arial" w:cs="Arial"/>
          <w:sz w:val="24"/>
          <w:szCs w:val="24"/>
          <w:lang w:val="en-US"/>
        </w:rPr>
        <w:t xml:space="preserve"> </w:t>
      </w:r>
    </w:p>
    <w:p w:rsidR="006269C7" w:rsidRDefault="006D6BBD" w:rsidP="006D5E86">
      <w:pPr>
        <w:spacing w:line="480" w:lineRule="auto"/>
        <w:jc w:val="both"/>
        <w:rPr>
          <w:rFonts w:ascii="Arial" w:hAnsi="Arial" w:cs="Arial"/>
          <w:sz w:val="24"/>
          <w:szCs w:val="24"/>
          <w:lang w:val="en-US"/>
        </w:rPr>
      </w:pPr>
      <w:r>
        <w:rPr>
          <w:rFonts w:ascii="Arial" w:hAnsi="Arial" w:cs="Arial"/>
          <w:sz w:val="24"/>
          <w:szCs w:val="24"/>
          <w:lang w:val="en-US"/>
        </w:rPr>
        <w:t>[</w:t>
      </w:r>
      <w:r w:rsidR="006269C7">
        <w:rPr>
          <w:rFonts w:ascii="Arial" w:hAnsi="Arial" w:cs="Arial"/>
          <w:sz w:val="24"/>
          <w:szCs w:val="24"/>
          <w:lang w:val="en-US"/>
        </w:rPr>
        <w:t>6</w:t>
      </w:r>
      <w:r w:rsidR="009D52EB">
        <w:rPr>
          <w:rFonts w:ascii="Arial" w:hAnsi="Arial" w:cs="Arial"/>
          <w:sz w:val="24"/>
          <w:szCs w:val="24"/>
          <w:lang w:val="en-US"/>
        </w:rPr>
        <w:t>4</w:t>
      </w:r>
      <w:r>
        <w:rPr>
          <w:rFonts w:ascii="Arial" w:hAnsi="Arial" w:cs="Arial"/>
          <w:sz w:val="24"/>
          <w:szCs w:val="24"/>
          <w:lang w:val="en-US"/>
        </w:rPr>
        <w:t xml:space="preserve">] </w:t>
      </w:r>
      <w:r w:rsidR="009D52EB">
        <w:rPr>
          <w:rFonts w:ascii="Arial" w:hAnsi="Arial" w:cs="Arial"/>
          <w:sz w:val="24"/>
          <w:szCs w:val="24"/>
          <w:lang w:val="en-US"/>
        </w:rPr>
        <w:t xml:space="preserve">   </w:t>
      </w:r>
      <w:r>
        <w:rPr>
          <w:rFonts w:ascii="Arial" w:hAnsi="Arial" w:cs="Arial"/>
          <w:sz w:val="24"/>
          <w:szCs w:val="24"/>
          <w:lang w:val="en-US"/>
        </w:rPr>
        <w:t xml:space="preserve"> The </w:t>
      </w:r>
      <w:r w:rsidR="001C0C20">
        <w:rPr>
          <w:rFonts w:ascii="Arial" w:hAnsi="Arial" w:cs="Arial"/>
          <w:sz w:val="24"/>
          <w:szCs w:val="24"/>
          <w:lang w:val="en-US"/>
        </w:rPr>
        <w:t>S</w:t>
      </w:r>
      <w:r>
        <w:rPr>
          <w:rFonts w:ascii="Arial" w:hAnsi="Arial" w:cs="Arial"/>
          <w:sz w:val="24"/>
          <w:szCs w:val="24"/>
          <w:lang w:val="en-US"/>
        </w:rPr>
        <w:t xml:space="preserve">econd </w:t>
      </w:r>
      <w:r w:rsidR="001C0C20">
        <w:rPr>
          <w:rFonts w:ascii="Arial" w:hAnsi="Arial" w:cs="Arial"/>
          <w:sz w:val="24"/>
          <w:szCs w:val="24"/>
          <w:lang w:val="en-US"/>
        </w:rPr>
        <w:t>D</w:t>
      </w:r>
      <w:r>
        <w:rPr>
          <w:rFonts w:ascii="Arial" w:hAnsi="Arial" w:cs="Arial"/>
          <w:sz w:val="24"/>
          <w:szCs w:val="24"/>
          <w:lang w:val="en-US"/>
        </w:rPr>
        <w:t xml:space="preserve">efendant’s reliance on </w:t>
      </w:r>
      <w:r w:rsidRPr="00787884">
        <w:rPr>
          <w:rFonts w:ascii="Arial" w:hAnsi="Arial" w:cs="Arial"/>
          <w:i/>
          <w:sz w:val="24"/>
          <w:szCs w:val="24"/>
          <w:lang w:val="en-US"/>
        </w:rPr>
        <w:t xml:space="preserve">Reynolds </w:t>
      </w:r>
      <w:r w:rsidR="00CF48B6" w:rsidRPr="00787884">
        <w:rPr>
          <w:rFonts w:ascii="Arial" w:hAnsi="Arial" w:cs="Arial"/>
          <w:i/>
          <w:sz w:val="24"/>
          <w:szCs w:val="24"/>
          <w:lang w:val="en-US"/>
        </w:rPr>
        <w:t>N.O.v Smith</w:t>
      </w:r>
      <w:r w:rsidR="00CF48B6">
        <w:rPr>
          <w:rStyle w:val="FootnoteReference"/>
          <w:rFonts w:ascii="Arial" w:hAnsi="Arial" w:cs="Arial"/>
          <w:sz w:val="24"/>
          <w:szCs w:val="24"/>
          <w:lang w:val="en-US"/>
        </w:rPr>
        <w:footnoteReference w:id="31"/>
      </w:r>
      <w:r w:rsidR="00FC6967">
        <w:rPr>
          <w:rFonts w:ascii="Arial" w:hAnsi="Arial" w:cs="Arial"/>
          <w:sz w:val="24"/>
          <w:szCs w:val="24"/>
          <w:lang w:val="en-US"/>
        </w:rPr>
        <w:t xml:space="preserve"> for her contention that the debt was immediately due upon the death of the deceased, </w:t>
      </w:r>
      <w:r>
        <w:rPr>
          <w:rFonts w:ascii="Arial" w:hAnsi="Arial" w:cs="Arial"/>
          <w:sz w:val="24"/>
          <w:szCs w:val="24"/>
          <w:lang w:val="en-US"/>
        </w:rPr>
        <w:t>is misplaced</w:t>
      </w:r>
      <w:r w:rsidR="00FC6967">
        <w:rPr>
          <w:rFonts w:ascii="Arial" w:hAnsi="Arial" w:cs="Arial"/>
          <w:sz w:val="24"/>
          <w:szCs w:val="24"/>
          <w:lang w:val="en-US"/>
        </w:rPr>
        <w:t>.</w:t>
      </w:r>
      <w:r w:rsidR="00CF48B6">
        <w:rPr>
          <w:rFonts w:ascii="Arial" w:hAnsi="Arial" w:cs="Arial"/>
          <w:sz w:val="24"/>
          <w:szCs w:val="24"/>
          <w:lang w:val="en-US"/>
        </w:rPr>
        <w:t xml:space="preserve"> Reynolds pertained to an application by an executor of a deceased estate to compel the Respondent to whom the deceased was married to furnish information to determine if the deceased estate had </w:t>
      </w:r>
      <w:r w:rsidR="001E5C4B">
        <w:rPr>
          <w:rFonts w:ascii="Arial" w:hAnsi="Arial" w:cs="Arial"/>
          <w:sz w:val="24"/>
          <w:szCs w:val="24"/>
          <w:lang w:val="en-US"/>
        </w:rPr>
        <w:t>a distinguishable</w:t>
      </w:r>
      <w:r w:rsidR="00CF48B6">
        <w:rPr>
          <w:rFonts w:ascii="Arial" w:hAnsi="Arial" w:cs="Arial"/>
          <w:sz w:val="24"/>
          <w:szCs w:val="24"/>
          <w:lang w:val="en-US"/>
        </w:rPr>
        <w:t xml:space="preserve"> once off accrual claim, against </w:t>
      </w:r>
      <w:r w:rsidR="00CF48B6">
        <w:rPr>
          <w:rFonts w:ascii="Arial" w:hAnsi="Arial" w:cs="Arial"/>
          <w:sz w:val="24"/>
          <w:szCs w:val="24"/>
          <w:lang w:val="en-US"/>
        </w:rPr>
        <w:lastRenderedPageBreak/>
        <w:t>the respondent. Unlike in the present case, there were no jurisdictional facts and investigations that had to be conducted before the accrual debt became due.</w:t>
      </w:r>
      <w:r w:rsidR="00FC6967">
        <w:rPr>
          <w:rFonts w:ascii="Arial" w:hAnsi="Arial" w:cs="Arial"/>
          <w:sz w:val="24"/>
          <w:szCs w:val="24"/>
          <w:lang w:val="en-US"/>
        </w:rPr>
        <w:t xml:space="preserve"> </w:t>
      </w:r>
    </w:p>
    <w:p w:rsidR="006D6BBD" w:rsidRDefault="006269C7" w:rsidP="006D5E86">
      <w:pPr>
        <w:spacing w:line="480" w:lineRule="auto"/>
        <w:jc w:val="both"/>
        <w:rPr>
          <w:rFonts w:ascii="Arial" w:hAnsi="Arial" w:cs="Arial"/>
          <w:sz w:val="24"/>
          <w:szCs w:val="24"/>
          <w:lang w:val="en-US"/>
        </w:rPr>
      </w:pPr>
      <w:r>
        <w:rPr>
          <w:rFonts w:ascii="Arial" w:hAnsi="Arial" w:cs="Arial"/>
          <w:sz w:val="24"/>
          <w:szCs w:val="24"/>
          <w:lang w:val="en-US"/>
        </w:rPr>
        <w:t>[6</w:t>
      </w:r>
      <w:r w:rsidR="009D52EB">
        <w:rPr>
          <w:rFonts w:ascii="Arial" w:hAnsi="Arial" w:cs="Arial"/>
          <w:sz w:val="24"/>
          <w:szCs w:val="24"/>
          <w:lang w:val="en-US"/>
        </w:rPr>
        <w:t>5</w:t>
      </w:r>
      <w:r>
        <w:rPr>
          <w:rFonts w:ascii="Arial" w:hAnsi="Arial" w:cs="Arial"/>
          <w:sz w:val="24"/>
          <w:szCs w:val="24"/>
          <w:lang w:val="en-US"/>
        </w:rPr>
        <w:t>]</w:t>
      </w:r>
      <w:r w:rsidR="009D52EB">
        <w:rPr>
          <w:rFonts w:ascii="Arial" w:hAnsi="Arial" w:cs="Arial"/>
          <w:sz w:val="24"/>
          <w:szCs w:val="24"/>
          <w:lang w:val="en-US"/>
        </w:rPr>
        <w:t xml:space="preserve">    </w:t>
      </w:r>
      <w:r>
        <w:rPr>
          <w:rFonts w:ascii="Arial" w:hAnsi="Arial" w:cs="Arial"/>
          <w:sz w:val="24"/>
          <w:szCs w:val="24"/>
          <w:lang w:val="en-US"/>
        </w:rPr>
        <w:t xml:space="preserve"> </w:t>
      </w:r>
      <w:r w:rsidR="006D6BBD">
        <w:rPr>
          <w:rFonts w:ascii="Arial" w:hAnsi="Arial" w:cs="Arial"/>
          <w:sz w:val="24"/>
          <w:szCs w:val="24"/>
          <w:lang w:val="en-US"/>
        </w:rPr>
        <w:t>To the ex</w:t>
      </w:r>
      <w:r>
        <w:rPr>
          <w:rFonts w:ascii="Arial" w:hAnsi="Arial" w:cs="Arial"/>
          <w:sz w:val="24"/>
          <w:szCs w:val="24"/>
          <w:lang w:val="en-US"/>
        </w:rPr>
        <w:t>tent that the Second D</w:t>
      </w:r>
      <w:r w:rsidR="006D6BBD">
        <w:rPr>
          <w:rFonts w:ascii="Arial" w:hAnsi="Arial" w:cs="Arial"/>
          <w:sz w:val="24"/>
          <w:szCs w:val="24"/>
          <w:lang w:val="en-US"/>
        </w:rPr>
        <w:t>efendant relies on the evidence of Ms Pfister for the contention that the debt was immedia</w:t>
      </w:r>
      <w:r>
        <w:rPr>
          <w:rFonts w:ascii="Arial" w:hAnsi="Arial" w:cs="Arial"/>
          <w:sz w:val="24"/>
          <w:szCs w:val="24"/>
          <w:lang w:val="en-US"/>
        </w:rPr>
        <w:t>tely due upon the death of the D</w:t>
      </w:r>
      <w:r w:rsidR="006D6BBD">
        <w:rPr>
          <w:rFonts w:ascii="Arial" w:hAnsi="Arial" w:cs="Arial"/>
          <w:sz w:val="24"/>
          <w:szCs w:val="24"/>
          <w:lang w:val="en-US"/>
        </w:rPr>
        <w:t>eceased, this Court cannot be bound by what a witness understands about when a debt is due. It must be noted that Pfister also testified in contrary vein, that a claim could not be paid out prior to the point when distribution occurred.</w:t>
      </w:r>
    </w:p>
    <w:p w:rsidR="00A35F51" w:rsidRPr="00EC5C3F" w:rsidRDefault="00EC5C3F" w:rsidP="00A35F51">
      <w:pPr>
        <w:spacing w:line="480" w:lineRule="auto"/>
        <w:jc w:val="both"/>
        <w:rPr>
          <w:rFonts w:ascii="Arial" w:hAnsi="Arial" w:cs="Arial"/>
          <w:b/>
          <w:bCs/>
          <w:sz w:val="24"/>
          <w:szCs w:val="24"/>
          <w:u w:val="single"/>
          <w:lang w:val="en-US"/>
        </w:rPr>
      </w:pPr>
      <w:r w:rsidRPr="00EC5C3F">
        <w:rPr>
          <w:rFonts w:ascii="Arial" w:hAnsi="Arial" w:cs="Arial"/>
          <w:b/>
          <w:bCs/>
          <w:sz w:val="24"/>
          <w:szCs w:val="24"/>
          <w:u w:val="single"/>
          <w:lang w:val="en-US"/>
        </w:rPr>
        <w:t>P</w:t>
      </w:r>
      <w:r w:rsidR="00A35F51" w:rsidRPr="00EC5C3F">
        <w:rPr>
          <w:rFonts w:ascii="Arial" w:hAnsi="Arial" w:cs="Arial"/>
          <w:b/>
          <w:bCs/>
          <w:sz w:val="24"/>
          <w:szCs w:val="24"/>
          <w:u w:val="single"/>
          <w:lang w:val="en-US"/>
        </w:rPr>
        <w:t xml:space="preserve">laintiff’s </w:t>
      </w:r>
      <w:r w:rsidRPr="00EC5C3F">
        <w:rPr>
          <w:rFonts w:ascii="Arial" w:hAnsi="Arial" w:cs="Arial"/>
          <w:b/>
          <w:bCs/>
          <w:sz w:val="24"/>
          <w:szCs w:val="24"/>
          <w:u w:val="single"/>
          <w:lang w:val="en-US"/>
        </w:rPr>
        <w:t>Third</w:t>
      </w:r>
      <w:r w:rsidR="00A35F51" w:rsidRPr="00EC5C3F">
        <w:rPr>
          <w:rFonts w:ascii="Arial" w:hAnsi="Arial" w:cs="Arial"/>
          <w:b/>
          <w:bCs/>
          <w:sz w:val="24"/>
          <w:szCs w:val="24"/>
          <w:u w:val="single"/>
          <w:lang w:val="en-US"/>
        </w:rPr>
        <w:t xml:space="preserve"> </w:t>
      </w:r>
      <w:r w:rsidRPr="00EC5C3F">
        <w:rPr>
          <w:rFonts w:ascii="Arial" w:hAnsi="Arial" w:cs="Arial"/>
          <w:b/>
          <w:bCs/>
          <w:sz w:val="24"/>
          <w:szCs w:val="24"/>
          <w:u w:val="single"/>
          <w:lang w:val="en-US"/>
        </w:rPr>
        <w:t>D</w:t>
      </w:r>
      <w:r w:rsidR="00A35F51" w:rsidRPr="00EC5C3F">
        <w:rPr>
          <w:rFonts w:ascii="Arial" w:hAnsi="Arial" w:cs="Arial"/>
          <w:b/>
          <w:bCs/>
          <w:sz w:val="24"/>
          <w:szCs w:val="24"/>
          <w:u w:val="single"/>
          <w:lang w:val="en-US"/>
        </w:rPr>
        <w:t>efence:</w:t>
      </w:r>
      <w:r w:rsidR="000E6A41" w:rsidRPr="00EC5C3F">
        <w:rPr>
          <w:rFonts w:ascii="Arial" w:hAnsi="Arial" w:cs="Arial"/>
          <w:b/>
          <w:bCs/>
          <w:sz w:val="24"/>
          <w:szCs w:val="24"/>
          <w:u w:val="single"/>
          <w:lang w:val="en-US"/>
        </w:rPr>
        <w:t xml:space="preserve"> </w:t>
      </w:r>
      <w:r w:rsidR="000E6A41" w:rsidRPr="00EC5C3F">
        <w:rPr>
          <w:rFonts w:ascii="Arial" w:hAnsi="Arial" w:cs="Arial"/>
          <w:b/>
          <w:bCs/>
          <w:sz w:val="24"/>
          <w:szCs w:val="24"/>
          <w:lang w:val="en-US"/>
        </w:rPr>
        <w:t xml:space="preserve">The declaratory order sought and granted by this court that the </w:t>
      </w:r>
      <w:r w:rsidR="00832736">
        <w:rPr>
          <w:rFonts w:ascii="Arial" w:hAnsi="Arial" w:cs="Arial"/>
          <w:b/>
          <w:bCs/>
          <w:sz w:val="24"/>
          <w:szCs w:val="24"/>
          <w:lang w:val="en-US"/>
        </w:rPr>
        <w:t>P</w:t>
      </w:r>
      <w:r w:rsidR="000E6A41" w:rsidRPr="00EC5C3F">
        <w:rPr>
          <w:rFonts w:ascii="Arial" w:hAnsi="Arial" w:cs="Arial"/>
          <w:b/>
          <w:bCs/>
          <w:sz w:val="24"/>
          <w:szCs w:val="24"/>
          <w:lang w:val="en-US"/>
        </w:rPr>
        <w:t>laintiff was married to the deceased at the time of his death</w:t>
      </w:r>
      <w:r w:rsidR="00832736">
        <w:rPr>
          <w:rFonts w:ascii="Arial" w:hAnsi="Arial" w:cs="Arial"/>
          <w:b/>
          <w:bCs/>
          <w:sz w:val="24"/>
          <w:szCs w:val="24"/>
          <w:lang w:val="en-US"/>
        </w:rPr>
        <w:t>,</w:t>
      </w:r>
      <w:r w:rsidR="000E6A41" w:rsidRPr="00EC5C3F">
        <w:rPr>
          <w:rFonts w:ascii="Arial" w:hAnsi="Arial" w:cs="Arial"/>
          <w:b/>
          <w:bCs/>
          <w:sz w:val="24"/>
          <w:szCs w:val="24"/>
          <w:lang w:val="en-US"/>
        </w:rPr>
        <w:t xml:space="preserve"> is not subject to prescription;</w:t>
      </w:r>
    </w:p>
    <w:p w:rsidR="00A35F51" w:rsidRDefault="00A35F51" w:rsidP="00A35F51">
      <w:pPr>
        <w:spacing w:line="480" w:lineRule="auto"/>
        <w:jc w:val="both"/>
        <w:rPr>
          <w:rFonts w:ascii="Arial" w:hAnsi="Arial" w:cs="Arial"/>
          <w:sz w:val="24"/>
          <w:szCs w:val="24"/>
          <w:lang w:val="en-US"/>
        </w:rPr>
      </w:pPr>
      <w:r>
        <w:rPr>
          <w:rFonts w:ascii="Arial" w:hAnsi="Arial" w:cs="Arial"/>
          <w:sz w:val="24"/>
          <w:szCs w:val="24"/>
          <w:lang w:val="en-US"/>
        </w:rPr>
        <w:t>[</w:t>
      </w:r>
      <w:r w:rsidR="001C0C20">
        <w:rPr>
          <w:rFonts w:ascii="Arial" w:hAnsi="Arial" w:cs="Arial"/>
          <w:sz w:val="24"/>
          <w:szCs w:val="24"/>
          <w:lang w:val="en-US"/>
        </w:rPr>
        <w:t>6</w:t>
      </w:r>
      <w:r w:rsidR="009D52EB">
        <w:rPr>
          <w:rFonts w:ascii="Arial" w:hAnsi="Arial" w:cs="Arial"/>
          <w:sz w:val="24"/>
          <w:szCs w:val="24"/>
          <w:lang w:val="en-US"/>
        </w:rPr>
        <w:t>6</w:t>
      </w:r>
      <w:r>
        <w:rPr>
          <w:rFonts w:ascii="Arial" w:hAnsi="Arial" w:cs="Arial"/>
          <w:sz w:val="24"/>
          <w:szCs w:val="24"/>
          <w:lang w:val="en-US"/>
        </w:rPr>
        <w:t>]</w:t>
      </w:r>
      <w:r w:rsidR="001E5C4B">
        <w:rPr>
          <w:rFonts w:ascii="Arial" w:hAnsi="Arial" w:cs="Arial"/>
          <w:sz w:val="24"/>
          <w:szCs w:val="24"/>
          <w:lang w:val="en-US"/>
        </w:rPr>
        <w:tab/>
      </w:r>
      <w:r>
        <w:rPr>
          <w:rFonts w:ascii="Arial" w:hAnsi="Arial" w:cs="Arial"/>
          <w:sz w:val="24"/>
          <w:szCs w:val="24"/>
          <w:lang w:val="en-US"/>
        </w:rPr>
        <w:t xml:space="preserve">In </w:t>
      </w:r>
      <w:r w:rsidRPr="00787884">
        <w:rPr>
          <w:rFonts w:ascii="Arial" w:hAnsi="Arial" w:cs="Arial"/>
          <w:bCs/>
          <w:i/>
          <w:sz w:val="24"/>
          <w:szCs w:val="24"/>
          <w:lang w:val="en-US"/>
        </w:rPr>
        <w:t>Off-Beat Holiday Club v Sonbonani Holiday Spa Shareblock Ltd</w:t>
      </w:r>
      <w:r w:rsidR="001C0C20">
        <w:rPr>
          <w:rStyle w:val="FootnoteReference"/>
          <w:rFonts w:ascii="Arial" w:hAnsi="Arial" w:cs="Arial"/>
          <w:bCs/>
          <w:sz w:val="24"/>
          <w:szCs w:val="24"/>
          <w:lang w:val="en-US"/>
        </w:rPr>
        <w:footnoteReference w:id="32"/>
      </w:r>
      <w:r>
        <w:rPr>
          <w:rFonts w:ascii="Arial" w:hAnsi="Arial" w:cs="Arial"/>
          <w:b/>
          <w:sz w:val="24"/>
          <w:szCs w:val="24"/>
          <w:lang w:val="en-US"/>
        </w:rPr>
        <w:t xml:space="preserve"> </w:t>
      </w:r>
      <w:r>
        <w:rPr>
          <w:rFonts w:ascii="Arial" w:hAnsi="Arial" w:cs="Arial"/>
          <w:sz w:val="24"/>
          <w:szCs w:val="24"/>
          <w:lang w:val="en-US"/>
        </w:rPr>
        <w:t xml:space="preserve"> it was held that a claim for declaratory relief does not constitute a debt which is subject to prescription.  </w:t>
      </w:r>
      <w:r w:rsidR="000C029C">
        <w:rPr>
          <w:rFonts w:ascii="Arial" w:hAnsi="Arial" w:cs="Arial"/>
          <w:sz w:val="24"/>
          <w:szCs w:val="24"/>
          <w:lang w:val="en-US"/>
        </w:rPr>
        <w:t>The Plaintiff’s claim for the declaratory relief in prayer (a) of her particulars of claim thus does not prescribe.</w:t>
      </w:r>
      <w:r w:rsidR="001C0C20">
        <w:rPr>
          <w:rFonts w:ascii="Arial" w:hAnsi="Arial" w:cs="Arial"/>
          <w:sz w:val="24"/>
          <w:szCs w:val="24"/>
          <w:lang w:val="en-US"/>
        </w:rPr>
        <w:t xml:space="preserve"> </w:t>
      </w:r>
      <w:r>
        <w:rPr>
          <w:rFonts w:ascii="Arial" w:hAnsi="Arial" w:cs="Arial"/>
          <w:sz w:val="24"/>
          <w:szCs w:val="24"/>
          <w:lang w:val="en-US"/>
        </w:rPr>
        <w:t xml:space="preserve">In accordance with the principles established in </w:t>
      </w:r>
      <w:r w:rsidRPr="00787884">
        <w:rPr>
          <w:rFonts w:ascii="Arial" w:hAnsi="Arial" w:cs="Arial"/>
          <w:bCs/>
          <w:i/>
          <w:sz w:val="24"/>
          <w:szCs w:val="24"/>
          <w:lang w:val="en-US"/>
        </w:rPr>
        <w:t>Farocean</w:t>
      </w:r>
      <w:r w:rsidRPr="00787884">
        <w:rPr>
          <w:rFonts w:ascii="Arial" w:hAnsi="Arial" w:cs="Arial"/>
          <w:bCs/>
          <w:sz w:val="24"/>
          <w:szCs w:val="24"/>
          <w:lang w:val="en-US"/>
        </w:rPr>
        <w:t xml:space="preserve"> </w:t>
      </w:r>
      <w:r w:rsidRPr="001C0C20">
        <w:rPr>
          <w:rFonts w:ascii="Arial" w:hAnsi="Arial" w:cs="Arial"/>
          <w:bCs/>
          <w:i/>
          <w:iCs/>
          <w:sz w:val="24"/>
          <w:szCs w:val="24"/>
          <w:lang w:val="en-US"/>
        </w:rPr>
        <w:t>supra</w:t>
      </w:r>
      <w:r w:rsidR="006269C7">
        <w:rPr>
          <w:rFonts w:ascii="Arial" w:hAnsi="Arial" w:cs="Arial"/>
          <w:bCs/>
          <w:i/>
          <w:iCs/>
          <w:sz w:val="24"/>
          <w:szCs w:val="24"/>
          <w:lang w:val="en-US"/>
        </w:rPr>
        <w:t>,</w:t>
      </w:r>
      <w:r>
        <w:rPr>
          <w:rFonts w:ascii="Arial" w:hAnsi="Arial" w:cs="Arial"/>
          <w:b/>
          <w:sz w:val="24"/>
          <w:szCs w:val="24"/>
          <w:lang w:val="en-US"/>
        </w:rPr>
        <w:t xml:space="preserve"> </w:t>
      </w:r>
      <w:r>
        <w:rPr>
          <w:rFonts w:ascii="Arial" w:hAnsi="Arial" w:cs="Arial"/>
          <w:sz w:val="24"/>
          <w:szCs w:val="24"/>
          <w:lang w:val="en-US"/>
        </w:rPr>
        <w:t xml:space="preserve"> where it was stated that the debt was due after</w:t>
      </w:r>
      <w:r w:rsidR="000C029C">
        <w:rPr>
          <w:rFonts w:ascii="Arial" w:hAnsi="Arial" w:cs="Arial"/>
          <w:sz w:val="24"/>
          <w:szCs w:val="24"/>
          <w:lang w:val="en-US"/>
        </w:rPr>
        <w:t xml:space="preserve"> </w:t>
      </w:r>
      <w:r>
        <w:rPr>
          <w:rFonts w:ascii="Arial" w:hAnsi="Arial" w:cs="Arial"/>
          <w:sz w:val="24"/>
          <w:szCs w:val="24"/>
          <w:lang w:val="en-US"/>
        </w:rPr>
        <w:t>the Director General had conducted an investigation,</w:t>
      </w:r>
      <w:r w:rsidR="001C0C20">
        <w:rPr>
          <w:rFonts w:ascii="Arial" w:hAnsi="Arial" w:cs="Arial"/>
          <w:sz w:val="24"/>
          <w:szCs w:val="24"/>
          <w:lang w:val="en-US"/>
        </w:rPr>
        <w:t xml:space="preserve"> I accept that</w:t>
      </w:r>
      <w:r>
        <w:rPr>
          <w:rFonts w:ascii="Arial" w:hAnsi="Arial" w:cs="Arial"/>
          <w:sz w:val="24"/>
          <w:szCs w:val="24"/>
          <w:lang w:val="en-US"/>
        </w:rPr>
        <w:t xml:space="preserve"> the Plaintiff’s claim for the payment of maintenance in </w:t>
      </w:r>
      <w:r w:rsidR="00E326AE">
        <w:rPr>
          <w:rFonts w:ascii="Arial" w:hAnsi="Arial" w:cs="Arial"/>
          <w:sz w:val="24"/>
          <w:szCs w:val="24"/>
          <w:lang w:val="en-US"/>
        </w:rPr>
        <w:t>prayer</w:t>
      </w:r>
      <w:r>
        <w:rPr>
          <w:rFonts w:ascii="Arial" w:hAnsi="Arial" w:cs="Arial"/>
          <w:sz w:val="24"/>
          <w:szCs w:val="24"/>
          <w:lang w:val="en-US"/>
        </w:rPr>
        <w:t xml:space="preserve"> </w:t>
      </w:r>
      <w:r w:rsidR="000C029C">
        <w:rPr>
          <w:rFonts w:ascii="Arial" w:hAnsi="Arial" w:cs="Arial"/>
          <w:sz w:val="24"/>
          <w:szCs w:val="24"/>
          <w:lang w:val="en-US"/>
        </w:rPr>
        <w:t>(b)</w:t>
      </w:r>
      <w:r>
        <w:rPr>
          <w:rFonts w:ascii="Arial" w:hAnsi="Arial" w:cs="Arial"/>
          <w:sz w:val="24"/>
          <w:szCs w:val="24"/>
          <w:lang w:val="en-US"/>
        </w:rPr>
        <w:t xml:space="preserve"> of her particulars of claim, is contingent, and only comes into effect upon the determination of prayer </w:t>
      </w:r>
      <w:r w:rsidR="000C029C">
        <w:rPr>
          <w:rFonts w:ascii="Arial" w:hAnsi="Arial" w:cs="Arial"/>
          <w:sz w:val="24"/>
          <w:szCs w:val="24"/>
          <w:lang w:val="en-US"/>
        </w:rPr>
        <w:t>(a)</w:t>
      </w:r>
      <w:r>
        <w:rPr>
          <w:rFonts w:ascii="Arial" w:hAnsi="Arial" w:cs="Arial"/>
          <w:sz w:val="24"/>
          <w:szCs w:val="24"/>
          <w:lang w:val="en-US"/>
        </w:rPr>
        <w:t>. Her claim has accordingly not prescribed.</w:t>
      </w:r>
    </w:p>
    <w:p w:rsidR="00A35F51" w:rsidRDefault="00A35F51" w:rsidP="00A35F51">
      <w:pPr>
        <w:spacing w:line="480" w:lineRule="auto"/>
        <w:jc w:val="both"/>
        <w:rPr>
          <w:rFonts w:ascii="Arial" w:hAnsi="Arial" w:cs="Arial"/>
          <w:sz w:val="24"/>
          <w:szCs w:val="24"/>
          <w:lang w:val="en-US"/>
        </w:rPr>
      </w:pPr>
      <w:r>
        <w:rPr>
          <w:rFonts w:ascii="Arial" w:hAnsi="Arial" w:cs="Arial"/>
          <w:sz w:val="24"/>
          <w:szCs w:val="24"/>
          <w:lang w:val="en-US"/>
        </w:rPr>
        <w:t xml:space="preserve"> [</w:t>
      </w:r>
      <w:r w:rsidR="001C0C20">
        <w:rPr>
          <w:rFonts w:ascii="Arial" w:hAnsi="Arial" w:cs="Arial"/>
          <w:sz w:val="24"/>
          <w:szCs w:val="24"/>
          <w:lang w:val="en-US"/>
        </w:rPr>
        <w:t>6</w:t>
      </w:r>
      <w:r w:rsidR="009D52EB">
        <w:rPr>
          <w:rFonts w:ascii="Arial" w:hAnsi="Arial" w:cs="Arial"/>
          <w:sz w:val="24"/>
          <w:szCs w:val="24"/>
          <w:lang w:val="en-US"/>
        </w:rPr>
        <w:t>7</w:t>
      </w:r>
      <w:r>
        <w:rPr>
          <w:rFonts w:ascii="Arial" w:hAnsi="Arial" w:cs="Arial"/>
          <w:sz w:val="24"/>
          <w:szCs w:val="24"/>
          <w:lang w:val="en-US"/>
        </w:rPr>
        <w:t>]</w:t>
      </w:r>
      <w:r w:rsidR="001E5C4B">
        <w:rPr>
          <w:rFonts w:ascii="Arial" w:hAnsi="Arial" w:cs="Arial"/>
          <w:sz w:val="24"/>
          <w:szCs w:val="24"/>
          <w:lang w:val="en-US"/>
        </w:rPr>
        <w:tab/>
      </w:r>
      <w:r w:rsidR="009D52EB">
        <w:rPr>
          <w:rFonts w:ascii="Arial" w:hAnsi="Arial" w:cs="Arial"/>
          <w:sz w:val="24"/>
          <w:szCs w:val="24"/>
          <w:lang w:val="en-US"/>
        </w:rPr>
        <w:t xml:space="preserve"> </w:t>
      </w:r>
      <w:r w:rsidRPr="001C0C20">
        <w:rPr>
          <w:rFonts w:ascii="Arial" w:hAnsi="Arial" w:cs="Arial"/>
          <w:bCs/>
          <w:sz w:val="24"/>
          <w:szCs w:val="24"/>
          <w:lang w:val="en-US"/>
        </w:rPr>
        <w:t xml:space="preserve">Plaintiff’s claim, I note, is also distinguishable from that in </w:t>
      </w:r>
      <w:r w:rsidRPr="00C566F2">
        <w:rPr>
          <w:rFonts w:ascii="Arial" w:hAnsi="Arial" w:cs="Arial"/>
          <w:bCs/>
          <w:i/>
          <w:sz w:val="24"/>
          <w:szCs w:val="24"/>
          <w:lang w:val="en-US"/>
        </w:rPr>
        <w:t>Cape Town Municipality and Ano v Alliance Insurance Company Limited</w:t>
      </w:r>
      <w:r w:rsidRPr="00C566F2">
        <w:rPr>
          <w:rFonts w:ascii="Arial" w:hAnsi="Arial" w:cs="Arial"/>
          <w:b/>
          <w:i/>
          <w:sz w:val="24"/>
          <w:szCs w:val="24"/>
          <w:lang w:val="en-US"/>
        </w:rPr>
        <w:t xml:space="preserve"> </w:t>
      </w:r>
      <w:r>
        <w:rPr>
          <w:rFonts w:ascii="Arial" w:hAnsi="Arial" w:cs="Arial"/>
          <w:sz w:val="24"/>
          <w:szCs w:val="24"/>
          <w:lang w:val="en-US"/>
        </w:rPr>
        <w:t>1991(1) SA 311 (C),</w:t>
      </w:r>
      <w:r w:rsidR="00EC5C3F">
        <w:rPr>
          <w:rFonts w:ascii="Arial" w:hAnsi="Arial" w:cs="Arial"/>
          <w:sz w:val="24"/>
          <w:szCs w:val="24"/>
          <w:lang w:val="en-US"/>
        </w:rPr>
        <w:t xml:space="preserve"> </w:t>
      </w:r>
      <w:r>
        <w:rPr>
          <w:rFonts w:ascii="Arial" w:hAnsi="Arial" w:cs="Arial"/>
          <w:sz w:val="24"/>
          <w:szCs w:val="24"/>
          <w:lang w:val="en-US"/>
        </w:rPr>
        <w:t xml:space="preserve">relied upon by the </w:t>
      </w:r>
      <w:r w:rsidR="001C0C20">
        <w:rPr>
          <w:rFonts w:ascii="Arial" w:hAnsi="Arial" w:cs="Arial"/>
          <w:sz w:val="24"/>
          <w:szCs w:val="24"/>
          <w:lang w:val="en-US"/>
        </w:rPr>
        <w:t>S</w:t>
      </w:r>
      <w:r>
        <w:rPr>
          <w:rFonts w:ascii="Arial" w:hAnsi="Arial" w:cs="Arial"/>
          <w:sz w:val="24"/>
          <w:szCs w:val="24"/>
          <w:lang w:val="en-US"/>
        </w:rPr>
        <w:t xml:space="preserve">econd </w:t>
      </w:r>
      <w:r w:rsidR="001C0C20">
        <w:rPr>
          <w:rFonts w:ascii="Arial" w:hAnsi="Arial" w:cs="Arial"/>
          <w:sz w:val="24"/>
          <w:szCs w:val="24"/>
          <w:lang w:val="en-US"/>
        </w:rPr>
        <w:t>D</w:t>
      </w:r>
      <w:r>
        <w:rPr>
          <w:rFonts w:ascii="Arial" w:hAnsi="Arial" w:cs="Arial"/>
          <w:sz w:val="24"/>
          <w:szCs w:val="24"/>
          <w:lang w:val="en-US"/>
        </w:rPr>
        <w:t>efendant. There, it was stated in distinguishing between a declarator and a claim for payment of money</w:t>
      </w:r>
      <w:r w:rsidR="006269C7">
        <w:rPr>
          <w:rFonts w:ascii="Arial" w:hAnsi="Arial" w:cs="Arial"/>
          <w:sz w:val="24"/>
          <w:szCs w:val="24"/>
          <w:lang w:val="en-US"/>
        </w:rPr>
        <w:t>,</w:t>
      </w:r>
      <w:r>
        <w:rPr>
          <w:rFonts w:ascii="Arial" w:hAnsi="Arial" w:cs="Arial"/>
          <w:sz w:val="24"/>
          <w:szCs w:val="24"/>
          <w:lang w:val="en-US"/>
        </w:rPr>
        <w:t xml:space="preserve"> that the crux was the defendant’s </w:t>
      </w:r>
      <w:r>
        <w:rPr>
          <w:rFonts w:ascii="Arial" w:hAnsi="Arial" w:cs="Arial"/>
          <w:sz w:val="24"/>
          <w:szCs w:val="24"/>
          <w:lang w:val="en-US"/>
        </w:rPr>
        <w:lastRenderedPageBreak/>
        <w:t>liability to pay money</w:t>
      </w:r>
      <w:r w:rsidR="008A198F">
        <w:rPr>
          <w:rFonts w:ascii="Arial" w:hAnsi="Arial" w:cs="Arial"/>
          <w:sz w:val="24"/>
          <w:szCs w:val="24"/>
          <w:lang w:val="en-US"/>
        </w:rPr>
        <w:t>.</w:t>
      </w:r>
      <w:r>
        <w:rPr>
          <w:rFonts w:ascii="Arial" w:hAnsi="Arial" w:cs="Arial"/>
          <w:sz w:val="24"/>
          <w:szCs w:val="24"/>
          <w:lang w:val="en-US"/>
        </w:rPr>
        <w:t xml:space="preserve">  In that </w:t>
      </w:r>
      <w:r w:rsidR="001E5C4B">
        <w:rPr>
          <w:rFonts w:ascii="Arial" w:hAnsi="Arial" w:cs="Arial"/>
          <w:sz w:val="24"/>
          <w:szCs w:val="24"/>
          <w:lang w:val="en-US"/>
        </w:rPr>
        <w:t>case,</w:t>
      </w:r>
      <w:r w:rsidR="006269C7">
        <w:rPr>
          <w:rFonts w:ascii="Arial" w:hAnsi="Arial" w:cs="Arial"/>
          <w:sz w:val="24"/>
          <w:szCs w:val="24"/>
          <w:lang w:val="en-US"/>
        </w:rPr>
        <w:t xml:space="preserve"> unlike the </w:t>
      </w:r>
      <w:r w:rsidR="00E326AE">
        <w:rPr>
          <w:rFonts w:ascii="Arial" w:hAnsi="Arial" w:cs="Arial"/>
          <w:sz w:val="24"/>
          <w:szCs w:val="24"/>
          <w:lang w:val="en-US"/>
        </w:rPr>
        <w:t>present, the</w:t>
      </w:r>
      <w:r>
        <w:rPr>
          <w:rFonts w:ascii="Arial" w:hAnsi="Arial" w:cs="Arial"/>
          <w:sz w:val="24"/>
          <w:szCs w:val="24"/>
          <w:lang w:val="en-US"/>
        </w:rPr>
        <w:t xml:space="preserve"> debt becoming due was not contingent upon jurisdictional </w:t>
      </w:r>
      <w:r w:rsidR="00E326AE">
        <w:rPr>
          <w:rFonts w:ascii="Arial" w:hAnsi="Arial" w:cs="Arial"/>
          <w:sz w:val="24"/>
          <w:szCs w:val="24"/>
          <w:lang w:val="en-US"/>
        </w:rPr>
        <w:t>facts and</w:t>
      </w:r>
      <w:r>
        <w:rPr>
          <w:rFonts w:ascii="Arial" w:hAnsi="Arial" w:cs="Arial"/>
          <w:sz w:val="24"/>
          <w:szCs w:val="24"/>
          <w:lang w:val="en-US"/>
        </w:rPr>
        <w:t xml:space="preserve"> investigations being satisfied</w:t>
      </w:r>
      <w:r w:rsidR="006269C7">
        <w:rPr>
          <w:rFonts w:ascii="Arial" w:hAnsi="Arial" w:cs="Arial"/>
          <w:sz w:val="24"/>
          <w:szCs w:val="24"/>
          <w:lang w:val="en-US"/>
        </w:rPr>
        <w:t>.</w:t>
      </w:r>
      <w:r>
        <w:rPr>
          <w:rFonts w:ascii="Arial" w:hAnsi="Arial" w:cs="Arial"/>
          <w:sz w:val="24"/>
          <w:szCs w:val="24"/>
          <w:lang w:val="en-US"/>
        </w:rPr>
        <w:t xml:space="preserve"> </w:t>
      </w:r>
    </w:p>
    <w:p w:rsidR="00532799" w:rsidRDefault="00532799" w:rsidP="00E326AE">
      <w:pPr>
        <w:spacing w:line="480" w:lineRule="auto"/>
        <w:jc w:val="both"/>
        <w:rPr>
          <w:rFonts w:ascii="Arial" w:hAnsi="Arial" w:cs="Arial"/>
          <w:sz w:val="24"/>
          <w:szCs w:val="24"/>
          <w:lang w:val="en-US"/>
        </w:rPr>
      </w:pPr>
      <w:r>
        <w:rPr>
          <w:rFonts w:ascii="Arial" w:hAnsi="Arial" w:cs="Arial"/>
          <w:b/>
          <w:bCs/>
          <w:sz w:val="24"/>
          <w:szCs w:val="24"/>
          <w:lang w:val="en-US"/>
        </w:rPr>
        <w:t xml:space="preserve">Plaintiff’s Fourth Defence: </w:t>
      </w:r>
      <w:r w:rsidRPr="00532799">
        <w:rPr>
          <w:rFonts w:ascii="Arial" w:hAnsi="Arial" w:cs="Arial"/>
          <w:b/>
          <w:bCs/>
          <w:sz w:val="24"/>
          <w:szCs w:val="24"/>
          <w:lang w:val="en-US"/>
        </w:rPr>
        <w:t>A husband’s duty of support to his spouse is an ongoing or continuous obligation with the result that the plaintiff’s claim for present and future maintenance had not prescribed.</w:t>
      </w:r>
      <w:r>
        <w:rPr>
          <w:rFonts w:ascii="Arial" w:hAnsi="Arial" w:cs="Arial"/>
          <w:sz w:val="24"/>
          <w:szCs w:val="24"/>
          <w:lang w:val="en-US"/>
        </w:rPr>
        <w:t xml:space="preserve"> </w:t>
      </w:r>
    </w:p>
    <w:p w:rsidR="00554379" w:rsidRDefault="00B53CBC" w:rsidP="001E5C4B">
      <w:pPr>
        <w:spacing w:line="480" w:lineRule="auto"/>
        <w:jc w:val="both"/>
        <w:rPr>
          <w:rFonts w:ascii="Arial" w:hAnsi="Arial" w:cs="Arial"/>
          <w:sz w:val="24"/>
          <w:szCs w:val="24"/>
          <w:lang w:val="en-US"/>
        </w:rPr>
      </w:pPr>
      <w:r>
        <w:rPr>
          <w:rFonts w:ascii="Arial" w:hAnsi="Arial" w:cs="Arial"/>
          <w:sz w:val="24"/>
          <w:szCs w:val="24"/>
          <w:lang w:val="en-US"/>
        </w:rPr>
        <w:t>[</w:t>
      </w:r>
      <w:r w:rsidR="00554379">
        <w:rPr>
          <w:rFonts w:ascii="Arial" w:hAnsi="Arial" w:cs="Arial"/>
          <w:sz w:val="24"/>
          <w:szCs w:val="24"/>
          <w:lang w:val="en-US"/>
        </w:rPr>
        <w:t>6</w:t>
      </w:r>
      <w:r w:rsidR="009D52EB">
        <w:rPr>
          <w:rFonts w:ascii="Arial" w:hAnsi="Arial" w:cs="Arial"/>
          <w:sz w:val="24"/>
          <w:szCs w:val="24"/>
          <w:lang w:val="en-US"/>
        </w:rPr>
        <w:t>8</w:t>
      </w:r>
      <w:r>
        <w:rPr>
          <w:rFonts w:ascii="Arial" w:hAnsi="Arial" w:cs="Arial"/>
          <w:sz w:val="24"/>
          <w:szCs w:val="24"/>
          <w:lang w:val="en-US"/>
        </w:rPr>
        <w:t xml:space="preserve">] </w:t>
      </w:r>
      <w:r w:rsidR="009D52EB">
        <w:rPr>
          <w:rFonts w:ascii="Arial" w:hAnsi="Arial" w:cs="Arial"/>
          <w:sz w:val="24"/>
          <w:szCs w:val="24"/>
          <w:lang w:val="en-US"/>
        </w:rPr>
        <w:t xml:space="preserve">    </w:t>
      </w:r>
      <w:r w:rsidR="000B4A98">
        <w:rPr>
          <w:rFonts w:ascii="Arial" w:hAnsi="Arial" w:cs="Arial"/>
          <w:sz w:val="24"/>
          <w:szCs w:val="24"/>
          <w:lang w:val="en-US"/>
        </w:rPr>
        <w:t xml:space="preserve">In respect of the </w:t>
      </w:r>
      <w:r w:rsidR="00532799">
        <w:rPr>
          <w:rFonts w:ascii="Arial" w:hAnsi="Arial" w:cs="Arial"/>
          <w:sz w:val="24"/>
          <w:szCs w:val="24"/>
          <w:lang w:val="en-US"/>
        </w:rPr>
        <w:t>fourth</w:t>
      </w:r>
      <w:r w:rsidR="000B4A98">
        <w:rPr>
          <w:rFonts w:ascii="Arial" w:hAnsi="Arial" w:cs="Arial"/>
          <w:sz w:val="24"/>
          <w:szCs w:val="24"/>
          <w:lang w:val="en-US"/>
        </w:rPr>
        <w:t xml:space="preserve"> defence, the provision in the MSSAA</w:t>
      </w:r>
      <w:r>
        <w:rPr>
          <w:rFonts w:ascii="Arial" w:hAnsi="Arial" w:cs="Arial"/>
          <w:sz w:val="24"/>
          <w:szCs w:val="24"/>
          <w:lang w:val="en-US"/>
        </w:rPr>
        <w:t xml:space="preserve"> that the obligation to provide maintenance by the estate of a deceased spouse continues until the death or remarriage of the surviving spouse, means that such obligation</w:t>
      </w:r>
      <w:r w:rsidR="000B4A98">
        <w:rPr>
          <w:rFonts w:ascii="Arial" w:hAnsi="Arial" w:cs="Arial"/>
          <w:sz w:val="24"/>
          <w:szCs w:val="24"/>
          <w:lang w:val="en-US"/>
        </w:rPr>
        <w:t xml:space="preserve"> is</w:t>
      </w:r>
      <w:r>
        <w:rPr>
          <w:rFonts w:ascii="Arial" w:hAnsi="Arial" w:cs="Arial"/>
          <w:sz w:val="24"/>
          <w:szCs w:val="24"/>
          <w:lang w:val="en-US"/>
        </w:rPr>
        <w:t xml:space="preserve"> ongoing </w:t>
      </w:r>
      <w:r w:rsidR="000B4A98">
        <w:rPr>
          <w:rFonts w:ascii="Arial" w:hAnsi="Arial" w:cs="Arial"/>
          <w:sz w:val="24"/>
          <w:szCs w:val="24"/>
          <w:lang w:val="en-US"/>
        </w:rPr>
        <w:t>or continuous</w:t>
      </w:r>
      <w:r>
        <w:rPr>
          <w:rFonts w:ascii="Arial" w:hAnsi="Arial" w:cs="Arial"/>
          <w:sz w:val="24"/>
          <w:szCs w:val="24"/>
          <w:lang w:val="en-US"/>
        </w:rPr>
        <w:t xml:space="preserve">. </w:t>
      </w:r>
      <w:r w:rsidR="00433458">
        <w:rPr>
          <w:rFonts w:ascii="Arial" w:hAnsi="Arial" w:cs="Arial"/>
          <w:sz w:val="24"/>
          <w:szCs w:val="24"/>
          <w:lang w:val="en-US"/>
        </w:rPr>
        <w:t xml:space="preserve"> I accept that i</w:t>
      </w:r>
      <w:r>
        <w:rPr>
          <w:rFonts w:ascii="Arial" w:hAnsi="Arial" w:cs="Arial"/>
          <w:sz w:val="24"/>
          <w:szCs w:val="24"/>
          <w:lang w:val="en-US"/>
        </w:rPr>
        <w:t>t must follow from this</w:t>
      </w:r>
      <w:r w:rsidR="006269C7">
        <w:rPr>
          <w:rFonts w:ascii="Arial" w:hAnsi="Arial" w:cs="Arial"/>
          <w:sz w:val="24"/>
          <w:szCs w:val="24"/>
          <w:lang w:val="en-US"/>
        </w:rPr>
        <w:t>,</w:t>
      </w:r>
      <w:r>
        <w:rPr>
          <w:rFonts w:ascii="Arial" w:hAnsi="Arial" w:cs="Arial"/>
          <w:sz w:val="24"/>
          <w:szCs w:val="24"/>
          <w:lang w:val="en-US"/>
        </w:rPr>
        <w:t xml:space="preserve"> that </w:t>
      </w:r>
      <w:r w:rsidR="000B4A98">
        <w:rPr>
          <w:rFonts w:ascii="Arial" w:hAnsi="Arial" w:cs="Arial"/>
          <w:sz w:val="24"/>
          <w:szCs w:val="24"/>
          <w:lang w:val="en-US"/>
        </w:rPr>
        <w:t xml:space="preserve">the </w:t>
      </w:r>
      <w:r w:rsidR="00532799">
        <w:rPr>
          <w:rFonts w:ascii="Arial" w:hAnsi="Arial" w:cs="Arial"/>
          <w:sz w:val="24"/>
          <w:szCs w:val="24"/>
          <w:lang w:val="en-US"/>
        </w:rPr>
        <w:t>P</w:t>
      </w:r>
      <w:r w:rsidR="000B4A98">
        <w:rPr>
          <w:rFonts w:ascii="Arial" w:hAnsi="Arial" w:cs="Arial"/>
          <w:sz w:val="24"/>
          <w:szCs w:val="24"/>
          <w:lang w:val="en-US"/>
        </w:rPr>
        <w:t>laintiff’s claim for present and future maintenance ha</w:t>
      </w:r>
      <w:r w:rsidR="00433458">
        <w:rPr>
          <w:rFonts w:ascii="Arial" w:hAnsi="Arial" w:cs="Arial"/>
          <w:sz w:val="24"/>
          <w:szCs w:val="24"/>
          <w:lang w:val="en-US"/>
        </w:rPr>
        <w:t>s</w:t>
      </w:r>
      <w:r w:rsidR="000B4A98">
        <w:rPr>
          <w:rFonts w:ascii="Arial" w:hAnsi="Arial" w:cs="Arial"/>
          <w:sz w:val="24"/>
          <w:szCs w:val="24"/>
          <w:lang w:val="en-US"/>
        </w:rPr>
        <w:t xml:space="preserve"> not prescribed. </w:t>
      </w:r>
      <w:r w:rsidR="001C1B2F">
        <w:rPr>
          <w:rFonts w:ascii="Arial" w:hAnsi="Arial" w:cs="Arial"/>
          <w:sz w:val="24"/>
          <w:szCs w:val="24"/>
          <w:lang w:val="en-US"/>
        </w:rPr>
        <w:t>There is support for this proposition in the findings</w:t>
      </w:r>
      <w:r w:rsidR="00433458">
        <w:rPr>
          <w:rFonts w:ascii="Arial" w:hAnsi="Arial" w:cs="Arial"/>
          <w:sz w:val="24"/>
          <w:szCs w:val="24"/>
          <w:lang w:val="en-US"/>
        </w:rPr>
        <w:t xml:space="preserve"> of the SCA</w:t>
      </w:r>
      <w:r w:rsidR="001C1B2F">
        <w:rPr>
          <w:rFonts w:ascii="Arial" w:hAnsi="Arial" w:cs="Arial"/>
          <w:sz w:val="24"/>
          <w:szCs w:val="24"/>
          <w:lang w:val="en-US"/>
        </w:rPr>
        <w:t xml:space="preserve"> </w:t>
      </w:r>
      <w:r w:rsidR="00433458">
        <w:rPr>
          <w:rFonts w:ascii="Arial" w:hAnsi="Arial" w:cs="Arial"/>
          <w:sz w:val="24"/>
          <w:szCs w:val="24"/>
          <w:lang w:val="en-US"/>
        </w:rPr>
        <w:t xml:space="preserve">in </w:t>
      </w:r>
      <w:r w:rsidR="00433458" w:rsidRPr="00C566F2">
        <w:rPr>
          <w:rFonts w:ascii="Arial" w:hAnsi="Arial" w:cs="Arial"/>
          <w:i/>
          <w:sz w:val="24"/>
          <w:szCs w:val="24"/>
        </w:rPr>
        <w:t>Barnett and Others v Minister of Land Affairs and Others</w:t>
      </w:r>
      <w:r w:rsidR="00433458">
        <w:rPr>
          <w:rStyle w:val="FootnoteReference"/>
          <w:rFonts w:ascii="Arial" w:hAnsi="Arial" w:cs="Arial"/>
          <w:sz w:val="24"/>
          <w:szCs w:val="24"/>
          <w:lang w:val="en-US"/>
        </w:rPr>
        <w:footnoteReference w:id="33"/>
      </w:r>
      <w:r w:rsidR="00433458">
        <w:rPr>
          <w:rFonts w:ascii="Arial" w:hAnsi="Arial" w:cs="Arial"/>
          <w:sz w:val="24"/>
          <w:szCs w:val="24"/>
          <w:lang w:val="en-US"/>
        </w:rPr>
        <w:t xml:space="preserve">  and the Constitutional Court in </w:t>
      </w:r>
      <w:r w:rsidR="00433458" w:rsidRPr="00C566F2">
        <w:rPr>
          <w:rFonts w:ascii="Arial" w:hAnsi="Arial" w:cs="Arial"/>
          <w:i/>
          <w:sz w:val="24"/>
          <w:szCs w:val="24"/>
          <w:lang w:val="en-US"/>
        </w:rPr>
        <w:t>Makate</w:t>
      </w:r>
      <w:r w:rsidR="00433458">
        <w:rPr>
          <w:rFonts w:ascii="Arial" w:hAnsi="Arial" w:cs="Arial"/>
          <w:sz w:val="24"/>
          <w:szCs w:val="24"/>
          <w:lang w:val="en-US"/>
        </w:rPr>
        <w:t xml:space="preserve"> </w:t>
      </w:r>
      <w:r w:rsidR="00433458" w:rsidRPr="00554379">
        <w:rPr>
          <w:rFonts w:ascii="Arial" w:hAnsi="Arial" w:cs="Arial"/>
          <w:i/>
          <w:iCs/>
          <w:sz w:val="24"/>
          <w:szCs w:val="24"/>
          <w:lang w:val="en-US"/>
        </w:rPr>
        <w:t>supra</w:t>
      </w:r>
      <w:r w:rsidR="00433458">
        <w:rPr>
          <w:rFonts w:ascii="Arial" w:hAnsi="Arial" w:cs="Arial"/>
          <w:sz w:val="24"/>
          <w:szCs w:val="24"/>
          <w:lang w:val="en-US"/>
        </w:rPr>
        <w:t xml:space="preserve"> </w:t>
      </w:r>
      <w:r w:rsidR="001C1B2F">
        <w:rPr>
          <w:rFonts w:ascii="Arial" w:hAnsi="Arial" w:cs="Arial"/>
          <w:sz w:val="24"/>
          <w:szCs w:val="24"/>
          <w:lang w:val="en-US"/>
        </w:rPr>
        <w:t xml:space="preserve">that </w:t>
      </w:r>
      <w:r w:rsidR="009A5821">
        <w:rPr>
          <w:rFonts w:ascii="Arial" w:hAnsi="Arial" w:cs="Arial"/>
          <w:sz w:val="24"/>
          <w:szCs w:val="24"/>
          <w:lang w:val="en-US"/>
        </w:rPr>
        <w:t>a continuous wrong leads to a series of debts from moment to moment  and does not prescribe.</w:t>
      </w:r>
      <w:r w:rsidR="009A5821">
        <w:rPr>
          <w:rStyle w:val="FootnoteReference"/>
          <w:rFonts w:ascii="Arial" w:hAnsi="Arial" w:cs="Arial"/>
          <w:sz w:val="24"/>
          <w:szCs w:val="24"/>
          <w:lang w:val="en-US"/>
        </w:rPr>
        <w:footnoteReference w:id="34"/>
      </w:r>
      <w:r w:rsidR="00B97772">
        <w:rPr>
          <w:rFonts w:ascii="Arial" w:hAnsi="Arial" w:cs="Arial"/>
          <w:sz w:val="24"/>
          <w:szCs w:val="24"/>
          <w:lang w:val="en-US"/>
        </w:rPr>
        <w:t xml:space="preserve"> </w:t>
      </w:r>
      <w:r w:rsidR="00554379">
        <w:rPr>
          <w:rFonts w:ascii="Arial" w:hAnsi="Arial" w:cs="Arial"/>
          <w:sz w:val="24"/>
          <w:szCs w:val="24"/>
          <w:lang w:val="en-US"/>
        </w:rPr>
        <w:t xml:space="preserve">  Likewise, although the </w:t>
      </w:r>
      <w:r w:rsidR="00E326AE">
        <w:rPr>
          <w:rFonts w:ascii="Arial" w:hAnsi="Arial" w:cs="Arial"/>
          <w:sz w:val="24"/>
          <w:szCs w:val="24"/>
          <w:lang w:val="en-US"/>
        </w:rPr>
        <w:t>Plaintiff’s</w:t>
      </w:r>
      <w:r w:rsidR="00554379">
        <w:rPr>
          <w:rFonts w:ascii="Arial" w:hAnsi="Arial" w:cs="Arial"/>
          <w:sz w:val="24"/>
          <w:szCs w:val="24"/>
          <w:lang w:val="en-US"/>
        </w:rPr>
        <w:t xml:space="preserve"> claim is based not on a continuing wrong but</w:t>
      </w:r>
      <w:r w:rsidR="006269C7">
        <w:rPr>
          <w:rFonts w:ascii="Arial" w:hAnsi="Arial" w:cs="Arial"/>
          <w:sz w:val="24"/>
          <w:szCs w:val="24"/>
          <w:lang w:val="en-US"/>
        </w:rPr>
        <w:t xml:space="preserve"> on</w:t>
      </w:r>
      <w:r w:rsidR="00554379">
        <w:rPr>
          <w:rFonts w:ascii="Arial" w:hAnsi="Arial" w:cs="Arial"/>
          <w:sz w:val="24"/>
          <w:szCs w:val="24"/>
          <w:lang w:val="en-US"/>
        </w:rPr>
        <w:t xml:space="preserve"> a continuing obligation on the part of the deceased estate to support her, the obligation to pay present and future maintenance, does not prescribe.</w:t>
      </w:r>
    </w:p>
    <w:p w:rsidR="000B4A98" w:rsidRDefault="0023107E" w:rsidP="001E5C4B">
      <w:pPr>
        <w:spacing w:line="480" w:lineRule="auto"/>
        <w:jc w:val="both"/>
        <w:rPr>
          <w:rFonts w:ascii="Arial" w:hAnsi="Arial" w:cs="Arial"/>
          <w:sz w:val="24"/>
          <w:szCs w:val="24"/>
          <w:lang w:val="en-US"/>
        </w:rPr>
      </w:pPr>
      <w:r>
        <w:rPr>
          <w:rFonts w:ascii="Arial" w:hAnsi="Arial" w:cs="Arial"/>
          <w:sz w:val="24"/>
          <w:szCs w:val="24"/>
          <w:lang w:val="en-US"/>
        </w:rPr>
        <w:t>[6</w:t>
      </w:r>
      <w:r w:rsidR="00BC1826">
        <w:rPr>
          <w:rFonts w:ascii="Arial" w:hAnsi="Arial" w:cs="Arial"/>
          <w:sz w:val="24"/>
          <w:szCs w:val="24"/>
          <w:lang w:val="en-US"/>
        </w:rPr>
        <w:t>9</w:t>
      </w:r>
      <w:r>
        <w:rPr>
          <w:rFonts w:ascii="Arial" w:hAnsi="Arial" w:cs="Arial"/>
          <w:sz w:val="24"/>
          <w:szCs w:val="24"/>
          <w:lang w:val="en-US"/>
        </w:rPr>
        <w:t>]</w:t>
      </w:r>
      <w:r w:rsidR="001E5C4B">
        <w:rPr>
          <w:rFonts w:ascii="Arial" w:hAnsi="Arial" w:cs="Arial"/>
          <w:sz w:val="24"/>
          <w:szCs w:val="24"/>
          <w:lang w:val="en-US"/>
        </w:rPr>
        <w:tab/>
      </w:r>
      <w:r w:rsidR="00B97772">
        <w:rPr>
          <w:rFonts w:ascii="Arial" w:hAnsi="Arial" w:cs="Arial"/>
          <w:sz w:val="24"/>
          <w:szCs w:val="24"/>
          <w:lang w:val="en-US"/>
        </w:rPr>
        <w:t xml:space="preserve">In </w:t>
      </w:r>
      <w:r w:rsidR="00B97772" w:rsidRPr="00C566F2">
        <w:rPr>
          <w:rFonts w:ascii="Arial" w:hAnsi="Arial" w:cs="Arial"/>
          <w:i/>
          <w:sz w:val="24"/>
          <w:szCs w:val="24"/>
          <w:lang w:val="en-US"/>
        </w:rPr>
        <w:t xml:space="preserve">Oshry and </w:t>
      </w:r>
      <w:r w:rsidR="00532799" w:rsidRPr="00C566F2">
        <w:rPr>
          <w:rFonts w:ascii="Arial" w:hAnsi="Arial" w:cs="Arial"/>
          <w:i/>
          <w:sz w:val="24"/>
          <w:szCs w:val="24"/>
          <w:lang w:val="en-US"/>
        </w:rPr>
        <w:t>A</w:t>
      </w:r>
      <w:r w:rsidR="00B97772" w:rsidRPr="00C566F2">
        <w:rPr>
          <w:rFonts w:ascii="Arial" w:hAnsi="Arial" w:cs="Arial"/>
          <w:i/>
          <w:sz w:val="24"/>
          <w:szCs w:val="24"/>
          <w:lang w:val="en-US"/>
        </w:rPr>
        <w:t>nother</w:t>
      </w:r>
      <w:r w:rsidR="00532799" w:rsidRPr="00C566F2">
        <w:rPr>
          <w:rFonts w:ascii="Arial" w:hAnsi="Arial" w:cs="Arial"/>
          <w:i/>
          <w:sz w:val="24"/>
          <w:szCs w:val="24"/>
          <w:lang w:val="en-US"/>
        </w:rPr>
        <w:t xml:space="preserve"> NNO v Feldman</w:t>
      </w:r>
      <w:r w:rsidR="00532799">
        <w:rPr>
          <w:rStyle w:val="FootnoteReference"/>
          <w:rFonts w:ascii="Arial" w:hAnsi="Arial" w:cs="Arial"/>
          <w:sz w:val="24"/>
          <w:szCs w:val="24"/>
          <w:lang w:val="en-US"/>
        </w:rPr>
        <w:footnoteReference w:id="35"/>
      </w:r>
      <w:r w:rsidR="00B97772">
        <w:rPr>
          <w:rFonts w:ascii="Arial" w:hAnsi="Arial" w:cs="Arial"/>
          <w:sz w:val="24"/>
          <w:szCs w:val="24"/>
          <w:lang w:val="en-US"/>
        </w:rPr>
        <w:t xml:space="preserve">  the continuing and ongoing nature of maintenance was accepted, and in </w:t>
      </w:r>
      <w:r w:rsidR="00B97772" w:rsidRPr="00C566F2">
        <w:rPr>
          <w:rFonts w:ascii="Arial" w:hAnsi="Arial" w:cs="Arial"/>
          <w:i/>
          <w:sz w:val="24"/>
          <w:szCs w:val="24"/>
          <w:lang w:val="en-US"/>
        </w:rPr>
        <w:t>Volks NO v Robinson</w:t>
      </w:r>
      <w:r w:rsidR="00B97772">
        <w:rPr>
          <w:rFonts w:ascii="Arial" w:hAnsi="Arial" w:cs="Arial"/>
          <w:sz w:val="24"/>
          <w:szCs w:val="24"/>
          <w:lang w:val="en-US"/>
        </w:rPr>
        <w:t xml:space="preserve"> 2005 (5</w:t>
      </w:r>
      <w:r w:rsidR="00BC1826">
        <w:rPr>
          <w:rFonts w:ascii="Arial" w:hAnsi="Arial" w:cs="Arial"/>
          <w:sz w:val="24"/>
          <w:szCs w:val="24"/>
          <w:lang w:val="en-US"/>
        </w:rPr>
        <w:t>) BCLR446</w:t>
      </w:r>
      <w:r w:rsidR="00B97772">
        <w:rPr>
          <w:rFonts w:ascii="Arial" w:hAnsi="Arial" w:cs="Arial"/>
          <w:sz w:val="24"/>
          <w:szCs w:val="24"/>
          <w:lang w:val="en-US"/>
        </w:rPr>
        <w:t xml:space="preserve"> (CC) at paragraph 39 it was acknowledged that the estate will continue to have maintenance obligations to surviving spouses.</w:t>
      </w:r>
      <w:r w:rsidR="00182E75">
        <w:rPr>
          <w:rFonts w:ascii="Arial" w:hAnsi="Arial" w:cs="Arial"/>
          <w:sz w:val="24"/>
          <w:szCs w:val="24"/>
          <w:lang w:val="en-US"/>
        </w:rPr>
        <w:t xml:space="preserve">  Given the </w:t>
      </w:r>
      <w:r w:rsidR="001E5C4B">
        <w:rPr>
          <w:rFonts w:ascii="Arial" w:hAnsi="Arial" w:cs="Arial"/>
          <w:sz w:val="24"/>
          <w:szCs w:val="24"/>
          <w:lang w:val="en-US"/>
        </w:rPr>
        <w:t>ongoing maintenance</w:t>
      </w:r>
      <w:r w:rsidR="00182E75">
        <w:rPr>
          <w:rFonts w:ascii="Arial" w:hAnsi="Arial" w:cs="Arial"/>
          <w:sz w:val="24"/>
          <w:szCs w:val="24"/>
          <w:lang w:val="en-US"/>
        </w:rPr>
        <w:t xml:space="preserve"> obligation I agree with the Plaintiff’s submission that the special plea of </w:t>
      </w:r>
      <w:r w:rsidR="006269C7">
        <w:rPr>
          <w:rFonts w:ascii="Arial" w:hAnsi="Arial" w:cs="Arial"/>
          <w:sz w:val="24"/>
          <w:szCs w:val="24"/>
          <w:lang w:val="en-US"/>
        </w:rPr>
        <w:t>prescription cannot defeat the P</w:t>
      </w:r>
      <w:r w:rsidR="00182E75">
        <w:rPr>
          <w:rFonts w:ascii="Arial" w:hAnsi="Arial" w:cs="Arial"/>
          <w:sz w:val="24"/>
          <w:szCs w:val="24"/>
          <w:lang w:val="en-US"/>
        </w:rPr>
        <w:t xml:space="preserve">laintiff’s claim. At best for the </w:t>
      </w:r>
      <w:r>
        <w:rPr>
          <w:rFonts w:ascii="Arial" w:hAnsi="Arial" w:cs="Arial"/>
          <w:sz w:val="24"/>
          <w:szCs w:val="24"/>
          <w:lang w:val="en-US"/>
        </w:rPr>
        <w:t>S</w:t>
      </w:r>
      <w:r w:rsidR="00182E75">
        <w:rPr>
          <w:rFonts w:ascii="Arial" w:hAnsi="Arial" w:cs="Arial"/>
          <w:sz w:val="24"/>
          <w:szCs w:val="24"/>
          <w:lang w:val="en-US"/>
        </w:rPr>
        <w:t xml:space="preserve">econd </w:t>
      </w:r>
      <w:r>
        <w:rPr>
          <w:rFonts w:ascii="Arial" w:hAnsi="Arial" w:cs="Arial"/>
          <w:sz w:val="24"/>
          <w:szCs w:val="24"/>
          <w:lang w:val="en-US"/>
        </w:rPr>
        <w:t>D</w:t>
      </w:r>
      <w:r w:rsidR="00182E75">
        <w:rPr>
          <w:rFonts w:ascii="Arial" w:hAnsi="Arial" w:cs="Arial"/>
          <w:sz w:val="24"/>
          <w:szCs w:val="24"/>
          <w:lang w:val="en-US"/>
        </w:rPr>
        <w:t xml:space="preserve">efendant, as the </w:t>
      </w:r>
      <w:r>
        <w:rPr>
          <w:rFonts w:ascii="Arial" w:hAnsi="Arial" w:cs="Arial"/>
          <w:sz w:val="24"/>
          <w:szCs w:val="24"/>
          <w:lang w:val="en-US"/>
        </w:rPr>
        <w:t>P</w:t>
      </w:r>
      <w:r w:rsidR="00182E75">
        <w:rPr>
          <w:rFonts w:ascii="Arial" w:hAnsi="Arial" w:cs="Arial"/>
          <w:sz w:val="24"/>
          <w:szCs w:val="24"/>
          <w:lang w:val="en-US"/>
        </w:rPr>
        <w:t>laintiff contends,</w:t>
      </w:r>
      <w:r w:rsidR="00C0403E">
        <w:rPr>
          <w:rFonts w:ascii="Arial" w:hAnsi="Arial" w:cs="Arial"/>
          <w:sz w:val="24"/>
          <w:szCs w:val="24"/>
          <w:lang w:val="en-US"/>
        </w:rPr>
        <w:t xml:space="preserve"> </w:t>
      </w:r>
      <w:r w:rsidR="00182E75">
        <w:rPr>
          <w:rFonts w:ascii="Arial" w:hAnsi="Arial" w:cs="Arial"/>
          <w:sz w:val="24"/>
          <w:szCs w:val="24"/>
          <w:lang w:val="en-US"/>
        </w:rPr>
        <w:t xml:space="preserve">if all </w:t>
      </w:r>
      <w:r>
        <w:rPr>
          <w:rFonts w:ascii="Arial" w:hAnsi="Arial" w:cs="Arial"/>
          <w:sz w:val="24"/>
          <w:szCs w:val="24"/>
          <w:lang w:val="en-US"/>
        </w:rPr>
        <w:lastRenderedPageBreak/>
        <w:t>P</w:t>
      </w:r>
      <w:r w:rsidR="00182E75">
        <w:rPr>
          <w:rFonts w:ascii="Arial" w:hAnsi="Arial" w:cs="Arial"/>
          <w:sz w:val="24"/>
          <w:szCs w:val="24"/>
          <w:lang w:val="en-US"/>
        </w:rPr>
        <w:t xml:space="preserve">laintiff’s other defences are unsuccessful, prescription would limit the </w:t>
      </w:r>
      <w:r>
        <w:rPr>
          <w:rFonts w:ascii="Arial" w:hAnsi="Arial" w:cs="Arial"/>
          <w:sz w:val="24"/>
          <w:szCs w:val="24"/>
          <w:lang w:val="en-US"/>
        </w:rPr>
        <w:t>P</w:t>
      </w:r>
      <w:r w:rsidR="00182E75">
        <w:rPr>
          <w:rFonts w:ascii="Arial" w:hAnsi="Arial" w:cs="Arial"/>
          <w:sz w:val="24"/>
          <w:szCs w:val="24"/>
          <w:lang w:val="en-US"/>
        </w:rPr>
        <w:t>laintiff’s claims for past maintenance, but she would still be entitled to present and future maintenance together with that part of her past maintenance which has not prescribed.</w:t>
      </w:r>
      <w:r w:rsidR="00C0403E">
        <w:rPr>
          <w:rFonts w:ascii="Arial" w:hAnsi="Arial" w:cs="Arial"/>
          <w:sz w:val="24"/>
          <w:szCs w:val="24"/>
          <w:lang w:val="en-US"/>
        </w:rPr>
        <w:t xml:space="preserve"> Given the ongoing nature of </w:t>
      </w:r>
      <w:r w:rsidR="001E5C4B">
        <w:rPr>
          <w:rFonts w:ascii="Arial" w:hAnsi="Arial" w:cs="Arial"/>
          <w:sz w:val="24"/>
          <w:szCs w:val="24"/>
          <w:lang w:val="en-US"/>
        </w:rPr>
        <w:t>a surviving</w:t>
      </w:r>
      <w:r w:rsidR="00C0403E">
        <w:rPr>
          <w:rFonts w:ascii="Arial" w:hAnsi="Arial" w:cs="Arial"/>
          <w:sz w:val="24"/>
          <w:szCs w:val="24"/>
          <w:lang w:val="en-US"/>
        </w:rPr>
        <w:t xml:space="preserve"> spouse’s maintenance claim</w:t>
      </w:r>
      <w:r w:rsidR="006269C7">
        <w:rPr>
          <w:rFonts w:ascii="Arial" w:hAnsi="Arial" w:cs="Arial"/>
          <w:sz w:val="24"/>
          <w:szCs w:val="24"/>
          <w:lang w:val="en-US"/>
        </w:rPr>
        <w:t>,</w:t>
      </w:r>
      <w:r w:rsidR="00C0403E">
        <w:rPr>
          <w:rFonts w:ascii="Arial" w:hAnsi="Arial" w:cs="Arial"/>
          <w:sz w:val="24"/>
          <w:szCs w:val="24"/>
          <w:lang w:val="en-US"/>
        </w:rPr>
        <w:t xml:space="preserve"> it cannot be a claim at one point in time as contended on behalf of the </w:t>
      </w:r>
      <w:r>
        <w:rPr>
          <w:rFonts w:ascii="Arial" w:hAnsi="Arial" w:cs="Arial"/>
          <w:sz w:val="24"/>
          <w:szCs w:val="24"/>
          <w:lang w:val="en-US"/>
        </w:rPr>
        <w:t>S</w:t>
      </w:r>
      <w:r w:rsidR="00C0403E">
        <w:rPr>
          <w:rFonts w:ascii="Arial" w:hAnsi="Arial" w:cs="Arial"/>
          <w:sz w:val="24"/>
          <w:szCs w:val="24"/>
          <w:lang w:val="en-US"/>
        </w:rPr>
        <w:t xml:space="preserve">econd </w:t>
      </w:r>
      <w:r>
        <w:rPr>
          <w:rFonts w:ascii="Arial" w:hAnsi="Arial" w:cs="Arial"/>
          <w:sz w:val="24"/>
          <w:szCs w:val="24"/>
          <w:lang w:val="en-US"/>
        </w:rPr>
        <w:t>D</w:t>
      </w:r>
      <w:r w:rsidR="00C0403E">
        <w:rPr>
          <w:rFonts w:ascii="Arial" w:hAnsi="Arial" w:cs="Arial"/>
          <w:sz w:val="24"/>
          <w:szCs w:val="24"/>
          <w:lang w:val="en-US"/>
        </w:rPr>
        <w:t>efendant.</w:t>
      </w:r>
    </w:p>
    <w:p w:rsidR="0023107E" w:rsidRDefault="0023107E" w:rsidP="001E5C4B">
      <w:pPr>
        <w:spacing w:line="480" w:lineRule="auto"/>
        <w:jc w:val="both"/>
        <w:rPr>
          <w:rFonts w:ascii="Arial" w:hAnsi="Arial" w:cs="Arial"/>
          <w:b/>
          <w:bCs/>
          <w:sz w:val="24"/>
          <w:szCs w:val="24"/>
          <w:lang w:val="en-US"/>
        </w:rPr>
      </w:pPr>
      <w:r w:rsidRPr="0023107E">
        <w:rPr>
          <w:rFonts w:ascii="Arial" w:hAnsi="Arial" w:cs="Arial"/>
          <w:b/>
          <w:bCs/>
          <w:sz w:val="24"/>
          <w:szCs w:val="24"/>
          <w:lang w:val="en-US"/>
        </w:rPr>
        <w:t>Plaintiff’s Fifth Defence</w:t>
      </w:r>
      <w:r>
        <w:rPr>
          <w:rFonts w:ascii="Arial" w:hAnsi="Arial" w:cs="Arial"/>
          <w:b/>
          <w:bCs/>
          <w:sz w:val="24"/>
          <w:szCs w:val="24"/>
          <w:lang w:val="en-US"/>
        </w:rPr>
        <w:t xml:space="preserve"> : </w:t>
      </w:r>
      <w:r w:rsidRPr="0023107E">
        <w:rPr>
          <w:rFonts w:ascii="Arial" w:hAnsi="Arial" w:cs="Arial"/>
          <w:b/>
          <w:bCs/>
          <w:sz w:val="24"/>
          <w:szCs w:val="24"/>
          <w:lang w:val="en-US"/>
        </w:rPr>
        <w:t>The impediment to the running of prescription in terms of sections 13(1)(g) read with ss 13(1)(i) of the Prescription Act, ha</w:t>
      </w:r>
      <w:r>
        <w:rPr>
          <w:rFonts w:ascii="Arial" w:hAnsi="Arial" w:cs="Arial"/>
          <w:b/>
          <w:bCs/>
          <w:sz w:val="24"/>
          <w:szCs w:val="24"/>
          <w:lang w:val="en-US"/>
        </w:rPr>
        <w:t>s</w:t>
      </w:r>
      <w:r w:rsidRPr="0023107E">
        <w:rPr>
          <w:rFonts w:ascii="Arial" w:hAnsi="Arial" w:cs="Arial"/>
          <w:b/>
          <w:bCs/>
          <w:sz w:val="24"/>
          <w:szCs w:val="24"/>
          <w:lang w:val="en-US"/>
        </w:rPr>
        <w:t xml:space="preserve"> not ceased to exist.</w:t>
      </w:r>
    </w:p>
    <w:p w:rsidR="00157BE6" w:rsidRDefault="00BC1826" w:rsidP="001E5C4B">
      <w:pPr>
        <w:spacing w:line="480" w:lineRule="auto"/>
        <w:jc w:val="both"/>
        <w:rPr>
          <w:rFonts w:ascii="Arial" w:hAnsi="Arial" w:cs="Arial"/>
          <w:b/>
          <w:bCs/>
          <w:sz w:val="24"/>
          <w:szCs w:val="24"/>
          <w:lang w:val="en-US"/>
        </w:rPr>
      </w:pPr>
      <w:r>
        <w:rPr>
          <w:rFonts w:ascii="Arial" w:hAnsi="Arial" w:cs="Arial"/>
          <w:bCs/>
          <w:sz w:val="24"/>
          <w:szCs w:val="24"/>
          <w:lang w:val="en-US"/>
        </w:rPr>
        <w:t xml:space="preserve">[70]      </w:t>
      </w:r>
      <w:r w:rsidR="00157BE6" w:rsidRPr="00E326AE">
        <w:rPr>
          <w:rFonts w:ascii="Arial" w:hAnsi="Arial" w:cs="Arial"/>
          <w:bCs/>
          <w:sz w:val="24"/>
          <w:szCs w:val="24"/>
          <w:lang w:val="en-US"/>
        </w:rPr>
        <w:t>The sections state:</w:t>
      </w:r>
    </w:p>
    <w:p w:rsidR="00157BE6" w:rsidRPr="00157BE6" w:rsidRDefault="00157BE6" w:rsidP="00157BE6">
      <w:pPr>
        <w:pStyle w:val="FootnoteText"/>
        <w:spacing w:line="480" w:lineRule="auto"/>
        <w:ind w:firstLine="720"/>
        <w:jc w:val="both"/>
        <w:rPr>
          <w:rFonts w:ascii="Arial" w:hAnsi="Arial" w:cs="Arial"/>
          <w:b/>
          <w:i/>
          <w:sz w:val="22"/>
          <w:szCs w:val="22"/>
        </w:rPr>
      </w:pPr>
      <w:r w:rsidRPr="00157BE6">
        <w:rPr>
          <w:rFonts w:ascii="Arial" w:hAnsi="Arial" w:cs="Arial"/>
          <w:i/>
          <w:sz w:val="22"/>
          <w:szCs w:val="22"/>
        </w:rPr>
        <w:t>“</w:t>
      </w:r>
      <w:r w:rsidRPr="00832736">
        <w:rPr>
          <w:rFonts w:ascii="Arial" w:hAnsi="Arial" w:cs="Arial"/>
          <w:b/>
          <w:i/>
          <w:sz w:val="22"/>
          <w:szCs w:val="22"/>
        </w:rPr>
        <w:t>13 Completion of prescription delayed in certain circumstances</w:t>
      </w:r>
    </w:p>
    <w:p w:rsidR="00157BE6" w:rsidRPr="00157BE6" w:rsidRDefault="00157BE6" w:rsidP="00157BE6">
      <w:pPr>
        <w:pStyle w:val="FootnoteText"/>
        <w:spacing w:line="480" w:lineRule="auto"/>
        <w:ind w:firstLine="720"/>
        <w:jc w:val="both"/>
        <w:rPr>
          <w:rFonts w:ascii="Arial" w:hAnsi="Arial" w:cs="Arial"/>
          <w:i/>
          <w:sz w:val="22"/>
          <w:szCs w:val="22"/>
        </w:rPr>
      </w:pPr>
      <w:r w:rsidRPr="00157BE6">
        <w:rPr>
          <w:rFonts w:ascii="Arial" w:hAnsi="Arial" w:cs="Arial"/>
          <w:i/>
          <w:sz w:val="22"/>
          <w:szCs w:val="22"/>
        </w:rPr>
        <w:t xml:space="preserve">(1)  If- </w:t>
      </w:r>
    </w:p>
    <w:p w:rsidR="00157BE6" w:rsidRPr="00157BE6" w:rsidRDefault="00157BE6" w:rsidP="00157BE6">
      <w:pPr>
        <w:pStyle w:val="FootnoteText"/>
        <w:spacing w:line="480" w:lineRule="auto"/>
        <w:ind w:left="1440"/>
        <w:jc w:val="both"/>
        <w:rPr>
          <w:rFonts w:ascii="Arial" w:hAnsi="Arial" w:cs="Arial"/>
          <w:i/>
          <w:sz w:val="22"/>
          <w:szCs w:val="22"/>
        </w:rPr>
      </w:pPr>
      <w:r w:rsidRPr="00157BE6">
        <w:rPr>
          <w:rFonts w:ascii="Arial" w:hAnsi="Arial" w:cs="Arial"/>
          <w:i/>
          <w:sz w:val="22"/>
          <w:szCs w:val="22"/>
        </w:rPr>
        <w:t xml:space="preserve">(g)the debt is the object of a claim filed against the estate of a debtor who is deceased or against the insolvent estate of the debtor or against a company in liquidation or against an applicant under the Agricultural Credit Act, of 1966, or </w:t>
      </w:r>
    </w:p>
    <w:p w:rsidR="00157BE6" w:rsidRPr="00157BE6" w:rsidRDefault="00157BE6" w:rsidP="00157BE6">
      <w:pPr>
        <w:pStyle w:val="FootnoteText"/>
        <w:spacing w:line="480" w:lineRule="auto"/>
        <w:ind w:left="1440"/>
        <w:jc w:val="both"/>
        <w:rPr>
          <w:rFonts w:ascii="Arial" w:hAnsi="Arial" w:cs="Arial"/>
          <w:i/>
          <w:sz w:val="22"/>
          <w:szCs w:val="22"/>
        </w:rPr>
      </w:pPr>
      <w:r w:rsidRPr="00157BE6">
        <w:rPr>
          <w:rFonts w:ascii="Arial" w:hAnsi="Arial" w:cs="Arial"/>
          <w:i/>
          <w:sz w:val="22"/>
          <w:szCs w:val="22"/>
        </w:rPr>
        <w:t>(h)the creditor or the debtor is deceased and an executor of the estate in question has not yet been appointed; and</w:t>
      </w:r>
    </w:p>
    <w:p w:rsidR="00157BE6" w:rsidRPr="00157BE6" w:rsidRDefault="00157BE6" w:rsidP="00157BE6">
      <w:pPr>
        <w:pStyle w:val="FootnoteText"/>
        <w:spacing w:line="480" w:lineRule="auto"/>
        <w:ind w:left="1440"/>
        <w:jc w:val="both"/>
        <w:rPr>
          <w:rFonts w:ascii="Arial" w:hAnsi="Arial" w:cs="Arial"/>
          <w:i/>
          <w:sz w:val="22"/>
          <w:szCs w:val="22"/>
        </w:rPr>
      </w:pPr>
      <w:r w:rsidRPr="00157BE6">
        <w:rPr>
          <w:rFonts w:ascii="Arial" w:hAnsi="Arial" w:cs="Arial"/>
          <w:i/>
          <w:sz w:val="22"/>
          <w:szCs w:val="22"/>
        </w:rPr>
        <w:t>(i)the relevant period of prescription would, but for the provision of this subsection, be completed before or on, or within one year after, the day on which the relevant impediment referred to in paragraph (a), (b), (c), (d), (e), (f), (g) or (h) has ceased to exist, the period of prescription shall not be completed before a year has elapsed after the day referred to in paragraph (i).</w:t>
      </w:r>
    </w:p>
    <w:p w:rsidR="00157BE6" w:rsidRPr="00157BE6" w:rsidRDefault="00157BE6" w:rsidP="00157BE6">
      <w:pPr>
        <w:pStyle w:val="FootnoteText"/>
        <w:spacing w:line="480" w:lineRule="auto"/>
        <w:ind w:left="720"/>
        <w:jc w:val="both"/>
        <w:rPr>
          <w:rFonts w:ascii="Arial" w:hAnsi="Arial" w:cs="Arial"/>
          <w:i/>
          <w:sz w:val="22"/>
          <w:szCs w:val="22"/>
          <w:lang w:val="en-US"/>
        </w:rPr>
      </w:pPr>
      <w:r w:rsidRPr="00157BE6">
        <w:rPr>
          <w:rFonts w:ascii="Arial" w:hAnsi="Arial" w:cs="Arial"/>
          <w:i/>
          <w:sz w:val="22"/>
          <w:szCs w:val="22"/>
        </w:rPr>
        <w:t>The period of prescription shall not be completed before a year has elapsed after the day referred to in paragraph (i).”</w:t>
      </w:r>
    </w:p>
    <w:p w:rsidR="00157BE6" w:rsidRPr="00157BE6" w:rsidRDefault="00157BE6" w:rsidP="00157BE6">
      <w:pPr>
        <w:spacing w:line="480" w:lineRule="auto"/>
        <w:jc w:val="both"/>
        <w:rPr>
          <w:rFonts w:ascii="Arial" w:hAnsi="Arial" w:cs="Arial"/>
          <w:b/>
          <w:bCs/>
          <w:i/>
          <w:lang w:val="en-US"/>
        </w:rPr>
      </w:pPr>
    </w:p>
    <w:p w:rsidR="00D41B86" w:rsidRDefault="00B53CBC" w:rsidP="001E5C4B">
      <w:pPr>
        <w:spacing w:line="480" w:lineRule="auto"/>
        <w:jc w:val="both"/>
        <w:rPr>
          <w:rFonts w:ascii="Arial" w:hAnsi="Arial" w:cs="Arial"/>
          <w:sz w:val="24"/>
          <w:szCs w:val="24"/>
          <w:lang w:val="en-US"/>
        </w:rPr>
      </w:pPr>
      <w:r>
        <w:rPr>
          <w:rFonts w:ascii="Arial" w:hAnsi="Arial" w:cs="Arial"/>
          <w:sz w:val="24"/>
          <w:szCs w:val="24"/>
          <w:lang w:val="en-US"/>
        </w:rPr>
        <w:lastRenderedPageBreak/>
        <w:t>[</w:t>
      </w:r>
      <w:r w:rsidR="00BC1826">
        <w:rPr>
          <w:rFonts w:ascii="Arial" w:hAnsi="Arial" w:cs="Arial"/>
          <w:sz w:val="24"/>
          <w:szCs w:val="24"/>
          <w:lang w:val="en-US"/>
        </w:rPr>
        <w:t>71</w:t>
      </w:r>
      <w:r>
        <w:rPr>
          <w:rFonts w:ascii="Arial" w:hAnsi="Arial" w:cs="Arial"/>
          <w:sz w:val="24"/>
          <w:szCs w:val="24"/>
          <w:lang w:val="en-US"/>
        </w:rPr>
        <w:t xml:space="preserve">] </w:t>
      </w:r>
      <w:r w:rsidR="008C1C2D">
        <w:rPr>
          <w:rFonts w:ascii="Arial" w:hAnsi="Arial" w:cs="Arial"/>
          <w:sz w:val="24"/>
          <w:szCs w:val="24"/>
          <w:lang w:val="en-US"/>
        </w:rPr>
        <w:t xml:space="preserve"> </w:t>
      </w:r>
      <w:r w:rsidR="00BC1826">
        <w:rPr>
          <w:rFonts w:ascii="Arial" w:hAnsi="Arial" w:cs="Arial"/>
          <w:sz w:val="24"/>
          <w:szCs w:val="24"/>
          <w:lang w:val="en-US"/>
        </w:rPr>
        <w:t xml:space="preserve">   </w:t>
      </w:r>
      <w:r w:rsidR="008C1C2D">
        <w:rPr>
          <w:rFonts w:ascii="Arial" w:hAnsi="Arial" w:cs="Arial"/>
          <w:sz w:val="24"/>
          <w:szCs w:val="24"/>
          <w:lang w:val="en-US"/>
        </w:rPr>
        <w:t xml:space="preserve">The Plaintiff contends </w:t>
      </w:r>
      <w:r w:rsidR="00C3212D">
        <w:rPr>
          <w:rFonts w:ascii="Arial" w:hAnsi="Arial" w:cs="Arial"/>
          <w:sz w:val="24"/>
          <w:szCs w:val="24"/>
          <w:lang w:val="en-US"/>
        </w:rPr>
        <w:t>that the</w:t>
      </w:r>
      <w:r>
        <w:rPr>
          <w:rFonts w:ascii="Arial" w:hAnsi="Arial" w:cs="Arial"/>
          <w:sz w:val="24"/>
          <w:szCs w:val="24"/>
          <w:lang w:val="en-US"/>
        </w:rPr>
        <w:t xml:space="preserve"> impediment contemplated in section 13 (1) (g)</w:t>
      </w:r>
      <w:r w:rsidR="0023107E">
        <w:rPr>
          <w:rStyle w:val="FootnoteReference"/>
          <w:rFonts w:ascii="Arial" w:hAnsi="Arial" w:cs="Arial"/>
          <w:sz w:val="24"/>
          <w:szCs w:val="24"/>
          <w:lang w:val="en-US"/>
        </w:rPr>
        <w:footnoteReference w:id="36"/>
      </w:r>
      <w:r>
        <w:rPr>
          <w:rFonts w:ascii="Arial" w:hAnsi="Arial" w:cs="Arial"/>
          <w:sz w:val="24"/>
          <w:szCs w:val="24"/>
          <w:lang w:val="en-US"/>
        </w:rPr>
        <w:t xml:space="preserve"> of the Prescription Act would cease to exist for purposes of section 13 (1) (i), upon the final rejection</w:t>
      </w:r>
      <w:r w:rsidR="00D27B92">
        <w:rPr>
          <w:rFonts w:ascii="Arial" w:hAnsi="Arial" w:cs="Arial"/>
          <w:sz w:val="24"/>
          <w:szCs w:val="24"/>
          <w:lang w:val="en-US"/>
        </w:rPr>
        <w:t xml:space="preserve"> </w:t>
      </w:r>
      <w:r>
        <w:rPr>
          <w:rFonts w:ascii="Arial" w:hAnsi="Arial" w:cs="Arial"/>
          <w:sz w:val="24"/>
          <w:szCs w:val="24"/>
          <w:lang w:val="en-US"/>
        </w:rPr>
        <w:t>of the First Plaintiff’s claim, or, if the claim</w:t>
      </w:r>
      <w:r w:rsidR="00D27B92">
        <w:rPr>
          <w:rFonts w:ascii="Arial" w:hAnsi="Arial" w:cs="Arial"/>
          <w:sz w:val="24"/>
          <w:szCs w:val="24"/>
          <w:lang w:val="en-US"/>
        </w:rPr>
        <w:t xml:space="preserve"> </w:t>
      </w:r>
      <w:r>
        <w:rPr>
          <w:rFonts w:ascii="Arial" w:hAnsi="Arial" w:cs="Arial"/>
          <w:sz w:val="24"/>
          <w:szCs w:val="24"/>
          <w:lang w:val="en-US"/>
        </w:rPr>
        <w:t>were accepted, upon the confirmation of the final liquidation and distribution account</w:t>
      </w:r>
      <w:r w:rsidR="00D27B92">
        <w:rPr>
          <w:rFonts w:ascii="Arial" w:hAnsi="Arial" w:cs="Arial"/>
          <w:sz w:val="24"/>
          <w:szCs w:val="24"/>
          <w:lang w:val="en-US"/>
        </w:rPr>
        <w:t xml:space="preserve"> </w:t>
      </w:r>
      <w:r>
        <w:rPr>
          <w:rFonts w:ascii="Arial" w:hAnsi="Arial" w:cs="Arial"/>
          <w:sz w:val="24"/>
          <w:szCs w:val="24"/>
          <w:lang w:val="en-US"/>
        </w:rPr>
        <w:t>by the Master</w:t>
      </w:r>
      <w:r w:rsidR="00832736">
        <w:rPr>
          <w:rFonts w:ascii="Arial" w:hAnsi="Arial" w:cs="Arial"/>
          <w:sz w:val="24"/>
          <w:szCs w:val="24"/>
          <w:lang w:val="en-US"/>
        </w:rPr>
        <w:t>,</w:t>
      </w:r>
      <w:r>
        <w:rPr>
          <w:rFonts w:ascii="Arial" w:hAnsi="Arial" w:cs="Arial"/>
          <w:sz w:val="24"/>
          <w:szCs w:val="24"/>
          <w:lang w:val="en-US"/>
        </w:rPr>
        <w:t xml:space="preserve"> or alternatively upon the withdrawal of the claim. </w:t>
      </w:r>
    </w:p>
    <w:p w:rsidR="00B53CBC" w:rsidRDefault="00BC1826" w:rsidP="001E5C4B">
      <w:pPr>
        <w:spacing w:line="480" w:lineRule="auto"/>
        <w:jc w:val="both"/>
        <w:rPr>
          <w:rFonts w:ascii="Arial" w:hAnsi="Arial" w:cs="Arial"/>
          <w:sz w:val="24"/>
          <w:szCs w:val="24"/>
          <w:lang w:val="en-US"/>
        </w:rPr>
      </w:pPr>
      <w:r>
        <w:rPr>
          <w:rFonts w:ascii="Arial" w:hAnsi="Arial" w:cs="Arial"/>
          <w:sz w:val="24"/>
          <w:szCs w:val="24"/>
          <w:lang w:val="en-US"/>
        </w:rPr>
        <w:t xml:space="preserve">[72]      </w:t>
      </w:r>
      <w:r w:rsidR="00D41B86">
        <w:rPr>
          <w:rFonts w:ascii="Arial" w:hAnsi="Arial" w:cs="Arial"/>
          <w:sz w:val="24"/>
          <w:szCs w:val="24"/>
          <w:lang w:val="en-US"/>
        </w:rPr>
        <w:t xml:space="preserve">In </w:t>
      </w:r>
      <w:r w:rsidR="00C344C7" w:rsidRPr="00C566F2">
        <w:rPr>
          <w:rFonts w:ascii="Arial" w:hAnsi="Arial" w:cs="Arial"/>
          <w:i/>
          <w:sz w:val="24"/>
          <w:szCs w:val="24"/>
          <w:lang w:val="en-US"/>
        </w:rPr>
        <w:t>Nedcor Bank v Rindle</w:t>
      </w:r>
      <w:r w:rsidR="00F052A4">
        <w:rPr>
          <w:rFonts w:ascii="Arial" w:hAnsi="Arial" w:cs="Arial"/>
          <w:sz w:val="24"/>
          <w:szCs w:val="24"/>
          <w:lang w:val="en-US"/>
        </w:rPr>
        <w:t xml:space="preserve"> </w:t>
      </w:r>
      <w:r w:rsidR="00C344C7">
        <w:rPr>
          <w:rFonts w:ascii="Arial" w:hAnsi="Arial" w:cs="Arial"/>
          <w:sz w:val="24"/>
          <w:szCs w:val="24"/>
          <w:lang w:val="en-US"/>
        </w:rPr>
        <w:t>2008 (1)</w:t>
      </w:r>
      <w:r w:rsidR="00F052A4">
        <w:rPr>
          <w:rFonts w:ascii="Arial" w:hAnsi="Arial" w:cs="Arial"/>
          <w:sz w:val="24"/>
          <w:szCs w:val="24"/>
          <w:lang w:val="en-US"/>
        </w:rPr>
        <w:t xml:space="preserve"> </w:t>
      </w:r>
      <w:r w:rsidR="00C344C7">
        <w:rPr>
          <w:rFonts w:ascii="Arial" w:hAnsi="Arial" w:cs="Arial"/>
          <w:sz w:val="24"/>
          <w:szCs w:val="24"/>
          <w:lang w:val="en-US"/>
        </w:rPr>
        <w:t xml:space="preserve">SA 415 </w:t>
      </w:r>
      <w:r w:rsidR="00E326AE">
        <w:rPr>
          <w:rFonts w:ascii="Arial" w:hAnsi="Arial" w:cs="Arial"/>
          <w:sz w:val="24"/>
          <w:szCs w:val="24"/>
          <w:lang w:val="en-US"/>
        </w:rPr>
        <w:t>SCA the</w:t>
      </w:r>
      <w:r w:rsidR="00C344C7">
        <w:rPr>
          <w:rFonts w:ascii="Arial" w:hAnsi="Arial" w:cs="Arial"/>
          <w:sz w:val="24"/>
          <w:szCs w:val="24"/>
          <w:lang w:val="en-US"/>
        </w:rPr>
        <w:t xml:space="preserve"> Court approved a line of cases holding that the impediment contemplated in section13 (1) (g)</w:t>
      </w:r>
      <w:r w:rsidR="00D41B86">
        <w:rPr>
          <w:rFonts w:ascii="Arial" w:hAnsi="Arial" w:cs="Arial"/>
          <w:sz w:val="24"/>
          <w:szCs w:val="24"/>
          <w:lang w:val="en-US"/>
        </w:rPr>
        <w:t xml:space="preserve"> </w:t>
      </w:r>
      <w:r w:rsidR="00C344C7">
        <w:rPr>
          <w:rFonts w:ascii="Arial" w:hAnsi="Arial" w:cs="Arial"/>
          <w:sz w:val="24"/>
          <w:szCs w:val="24"/>
          <w:lang w:val="en-US"/>
        </w:rPr>
        <w:t xml:space="preserve">ceases to exist only once the Master confirms the final liquidation and distribution account.  I accept that as this has not happened the </w:t>
      </w:r>
      <w:r w:rsidR="00D41B86">
        <w:rPr>
          <w:rFonts w:ascii="Arial" w:hAnsi="Arial" w:cs="Arial"/>
          <w:sz w:val="24"/>
          <w:szCs w:val="24"/>
          <w:lang w:val="en-US"/>
        </w:rPr>
        <w:t>P</w:t>
      </w:r>
      <w:r w:rsidR="00C344C7">
        <w:rPr>
          <w:rFonts w:ascii="Arial" w:hAnsi="Arial" w:cs="Arial"/>
          <w:sz w:val="24"/>
          <w:szCs w:val="24"/>
          <w:lang w:val="en-US"/>
        </w:rPr>
        <w:t>laintiff’s maintenance claim has not prescribed.</w:t>
      </w:r>
      <w:r w:rsidR="00D41B86">
        <w:rPr>
          <w:rFonts w:ascii="Arial" w:hAnsi="Arial" w:cs="Arial"/>
          <w:sz w:val="24"/>
          <w:szCs w:val="24"/>
          <w:lang w:val="en-US"/>
        </w:rPr>
        <w:t xml:space="preserve"> Similarly, the impediment would cease to exist were the claim to be finally rejected or withdrawn.</w:t>
      </w:r>
    </w:p>
    <w:p w:rsidR="00D41B86" w:rsidRDefault="00D41B86" w:rsidP="001E5C4B">
      <w:pPr>
        <w:spacing w:line="480" w:lineRule="auto"/>
        <w:jc w:val="both"/>
        <w:rPr>
          <w:rFonts w:ascii="Arial" w:hAnsi="Arial" w:cs="Arial"/>
          <w:sz w:val="24"/>
          <w:szCs w:val="24"/>
          <w:lang w:val="en-US"/>
        </w:rPr>
      </w:pPr>
      <w:r>
        <w:rPr>
          <w:rFonts w:ascii="Arial" w:hAnsi="Arial" w:cs="Arial"/>
          <w:sz w:val="24"/>
          <w:szCs w:val="24"/>
          <w:lang w:val="en-US"/>
        </w:rPr>
        <w:t>[</w:t>
      </w:r>
      <w:r w:rsidR="00BC1826">
        <w:rPr>
          <w:rFonts w:ascii="Arial" w:hAnsi="Arial" w:cs="Arial"/>
          <w:sz w:val="24"/>
          <w:szCs w:val="24"/>
          <w:lang w:val="en-US"/>
        </w:rPr>
        <w:t>73</w:t>
      </w:r>
      <w:r>
        <w:rPr>
          <w:rFonts w:ascii="Arial" w:hAnsi="Arial" w:cs="Arial"/>
          <w:sz w:val="24"/>
          <w:szCs w:val="24"/>
          <w:lang w:val="en-US"/>
        </w:rPr>
        <w:t>]</w:t>
      </w:r>
      <w:r w:rsidR="001E5C4B">
        <w:rPr>
          <w:rFonts w:ascii="Arial" w:hAnsi="Arial" w:cs="Arial"/>
          <w:sz w:val="24"/>
          <w:szCs w:val="24"/>
          <w:lang w:val="en-US"/>
        </w:rPr>
        <w:tab/>
      </w:r>
      <w:r w:rsidR="00BC1826">
        <w:rPr>
          <w:rFonts w:ascii="Arial" w:hAnsi="Arial" w:cs="Arial"/>
          <w:sz w:val="24"/>
          <w:szCs w:val="24"/>
          <w:lang w:val="en-US"/>
        </w:rPr>
        <w:t xml:space="preserve"> </w:t>
      </w:r>
      <w:r>
        <w:rPr>
          <w:rFonts w:ascii="Arial" w:hAnsi="Arial" w:cs="Arial"/>
          <w:sz w:val="24"/>
          <w:szCs w:val="24"/>
          <w:lang w:val="en-US"/>
        </w:rPr>
        <w:t>In view of the above all of the Plaintiff’s defences to the special plea succeed. The special Plea accordingly stands to be dismissed.</w:t>
      </w:r>
    </w:p>
    <w:p w:rsidR="00933755" w:rsidRDefault="00933755" w:rsidP="006D5E86">
      <w:pPr>
        <w:spacing w:line="480" w:lineRule="auto"/>
        <w:jc w:val="both"/>
        <w:rPr>
          <w:rFonts w:ascii="Arial" w:hAnsi="Arial" w:cs="Arial"/>
          <w:sz w:val="24"/>
          <w:szCs w:val="24"/>
          <w:u w:val="single"/>
          <w:lang w:val="en-US"/>
        </w:rPr>
      </w:pPr>
      <w:r>
        <w:rPr>
          <w:rFonts w:ascii="Arial" w:hAnsi="Arial" w:cs="Arial"/>
          <w:sz w:val="24"/>
          <w:szCs w:val="24"/>
          <w:u w:val="single"/>
          <w:lang w:val="en-US"/>
        </w:rPr>
        <w:t>Costs:</w:t>
      </w:r>
    </w:p>
    <w:p w:rsidR="00933755" w:rsidRDefault="00933755" w:rsidP="006D5E86">
      <w:pPr>
        <w:spacing w:line="480" w:lineRule="auto"/>
        <w:jc w:val="both"/>
        <w:rPr>
          <w:rFonts w:ascii="Arial" w:hAnsi="Arial" w:cs="Arial"/>
          <w:sz w:val="24"/>
          <w:szCs w:val="24"/>
          <w:lang w:val="en-US"/>
        </w:rPr>
      </w:pPr>
      <w:r>
        <w:rPr>
          <w:rFonts w:ascii="Arial" w:hAnsi="Arial" w:cs="Arial"/>
          <w:sz w:val="24"/>
          <w:szCs w:val="24"/>
          <w:lang w:val="en-US"/>
        </w:rPr>
        <w:t>[</w:t>
      </w:r>
      <w:r w:rsidR="00BC1826">
        <w:rPr>
          <w:rFonts w:ascii="Arial" w:hAnsi="Arial" w:cs="Arial"/>
          <w:sz w:val="24"/>
          <w:szCs w:val="24"/>
          <w:lang w:val="en-US"/>
        </w:rPr>
        <w:t>74</w:t>
      </w:r>
      <w:r>
        <w:rPr>
          <w:rFonts w:ascii="Arial" w:hAnsi="Arial" w:cs="Arial"/>
          <w:sz w:val="24"/>
          <w:szCs w:val="24"/>
          <w:lang w:val="en-US"/>
        </w:rPr>
        <w:t>]</w:t>
      </w:r>
      <w:r w:rsidR="00BC1826">
        <w:rPr>
          <w:rFonts w:ascii="Arial" w:hAnsi="Arial" w:cs="Arial"/>
          <w:sz w:val="24"/>
          <w:szCs w:val="24"/>
          <w:lang w:val="en-US"/>
        </w:rPr>
        <w:t xml:space="preserve">    </w:t>
      </w:r>
      <w:r>
        <w:rPr>
          <w:rFonts w:ascii="Arial" w:hAnsi="Arial" w:cs="Arial"/>
          <w:sz w:val="24"/>
          <w:szCs w:val="24"/>
          <w:lang w:val="en-US"/>
        </w:rPr>
        <w:tab/>
        <w:t>I a</w:t>
      </w:r>
      <w:r w:rsidR="00F052A4">
        <w:rPr>
          <w:rFonts w:ascii="Arial" w:hAnsi="Arial" w:cs="Arial"/>
          <w:sz w:val="24"/>
          <w:szCs w:val="24"/>
          <w:lang w:val="en-US"/>
        </w:rPr>
        <w:t>m inclined</w:t>
      </w:r>
      <w:r>
        <w:rPr>
          <w:rFonts w:ascii="Arial" w:hAnsi="Arial" w:cs="Arial"/>
          <w:sz w:val="24"/>
          <w:szCs w:val="24"/>
          <w:lang w:val="en-US"/>
        </w:rPr>
        <w:t xml:space="preserve"> to grant the punitive costs order</w:t>
      </w:r>
      <w:r w:rsidR="0070253D">
        <w:rPr>
          <w:rFonts w:ascii="Arial" w:hAnsi="Arial" w:cs="Arial"/>
          <w:sz w:val="24"/>
          <w:szCs w:val="24"/>
          <w:lang w:val="en-US"/>
        </w:rPr>
        <w:t xml:space="preserve"> on the</w:t>
      </w:r>
      <w:r>
        <w:rPr>
          <w:rFonts w:ascii="Arial" w:hAnsi="Arial" w:cs="Arial"/>
          <w:sz w:val="24"/>
          <w:szCs w:val="24"/>
          <w:lang w:val="en-US"/>
        </w:rPr>
        <w:t xml:space="preserve"> attorney-client scale sought by the </w:t>
      </w:r>
      <w:r w:rsidR="006E6FC7">
        <w:rPr>
          <w:rFonts w:ascii="Arial" w:hAnsi="Arial" w:cs="Arial"/>
          <w:sz w:val="24"/>
          <w:szCs w:val="24"/>
          <w:lang w:val="en-US"/>
        </w:rPr>
        <w:t>P</w:t>
      </w:r>
      <w:r>
        <w:rPr>
          <w:rFonts w:ascii="Arial" w:hAnsi="Arial" w:cs="Arial"/>
          <w:sz w:val="24"/>
          <w:szCs w:val="24"/>
          <w:lang w:val="en-US"/>
        </w:rPr>
        <w:t xml:space="preserve">laintiff. Such an order is appropriate given the </w:t>
      </w:r>
      <w:r w:rsidR="00D41B86">
        <w:rPr>
          <w:rFonts w:ascii="Arial" w:hAnsi="Arial" w:cs="Arial"/>
          <w:sz w:val="24"/>
          <w:szCs w:val="24"/>
          <w:lang w:val="en-US"/>
        </w:rPr>
        <w:t>S</w:t>
      </w:r>
      <w:r>
        <w:rPr>
          <w:rFonts w:ascii="Arial" w:hAnsi="Arial" w:cs="Arial"/>
          <w:sz w:val="24"/>
          <w:szCs w:val="24"/>
          <w:lang w:val="en-US"/>
        </w:rPr>
        <w:t xml:space="preserve">econd </w:t>
      </w:r>
      <w:r w:rsidR="00D41B86">
        <w:rPr>
          <w:rFonts w:ascii="Arial" w:hAnsi="Arial" w:cs="Arial"/>
          <w:sz w:val="24"/>
          <w:szCs w:val="24"/>
          <w:lang w:val="en-US"/>
        </w:rPr>
        <w:t>D</w:t>
      </w:r>
      <w:r>
        <w:rPr>
          <w:rFonts w:ascii="Arial" w:hAnsi="Arial" w:cs="Arial"/>
          <w:sz w:val="24"/>
          <w:szCs w:val="24"/>
          <w:lang w:val="en-US"/>
        </w:rPr>
        <w:t xml:space="preserve">efendant’s conduct in persisting </w:t>
      </w:r>
      <w:r w:rsidR="00C3212D">
        <w:rPr>
          <w:rFonts w:ascii="Arial" w:hAnsi="Arial" w:cs="Arial"/>
          <w:sz w:val="24"/>
          <w:szCs w:val="24"/>
          <w:lang w:val="en-US"/>
        </w:rPr>
        <w:t>with both</w:t>
      </w:r>
      <w:r w:rsidR="006E6FC7">
        <w:rPr>
          <w:rFonts w:ascii="Arial" w:hAnsi="Arial" w:cs="Arial"/>
          <w:sz w:val="24"/>
          <w:szCs w:val="24"/>
          <w:lang w:val="en-US"/>
        </w:rPr>
        <w:t xml:space="preserve"> grounds of </w:t>
      </w:r>
      <w:r>
        <w:rPr>
          <w:rFonts w:ascii="Arial" w:hAnsi="Arial" w:cs="Arial"/>
          <w:sz w:val="24"/>
          <w:szCs w:val="24"/>
          <w:lang w:val="en-US"/>
        </w:rPr>
        <w:t xml:space="preserve">the special plea of prescription </w:t>
      </w:r>
      <w:r w:rsidR="0070253D">
        <w:rPr>
          <w:rFonts w:ascii="Arial" w:hAnsi="Arial" w:cs="Arial"/>
          <w:sz w:val="24"/>
          <w:szCs w:val="24"/>
          <w:lang w:val="en-US"/>
        </w:rPr>
        <w:t>in circumstances where there was no realistic prospect of success</w:t>
      </w:r>
      <w:r w:rsidR="0070253D">
        <w:rPr>
          <w:rStyle w:val="FootnoteReference"/>
          <w:rFonts w:ascii="Arial" w:hAnsi="Arial" w:cs="Arial"/>
          <w:sz w:val="24"/>
          <w:szCs w:val="24"/>
          <w:lang w:val="en-US"/>
        </w:rPr>
        <w:footnoteReference w:id="37"/>
      </w:r>
      <w:r w:rsidR="0070253D">
        <w:rPr>
          <w:rFonts w:ascii="Arial" w:hAnsi="Arial" w:cs="Arial"/>
          <w:sz w:val="24"/>
          <w:szCs w:val="24"/>
          <w:lang w:val="en-US"/>
        </w:rPr>
        <w:t xml:space="preserve">, given </w:t>
      </w:r>
      <w:r>
        <w:rPr>
          <w:rFonts w:ascii="Arial" w:hAnsi="Arial" w:cs="Arial"/>
          <w:sz w:val="24"/>
          <w:szCs w:val="24"/>
          <w:lang w:val="en-US"/>
        </w:rPr>
        <w:t xml:space="preserve">my judgment </w:t>
      </w:r>
      <w:r w:rsidR="00C85CBE">
        <w:rPr>
          <w:rFonts w:ascii="Arial" w:hAnsi="Arial" w:cs="Arial"/>
          <w:sz w:val="24"/>
          <w:szCs w:val="24"/>
          <w:lang w:val="en-US"/>
        </w:rPr>
        <w:t xml:space="preserve">upholding </w:t>
      </w:r>
      <w:r>
        <w:rPr>
          <w:rFonts w:ascii="Arial" w:hAnsi="Arial" w:cs="Arial"/>
          <w:sz w:val="24"/>
          <w:szCs w:val="24"/>
          <w:lang w:val="en-US"/>
        </w:rPr>
        <w:t>the exception</w:t>
      </w:r>
      <w:r w:rsidR="00C85CBE">
        <w:rPr>
          <w:rFonts w:ascii="Arial" w:hAnsi="Arial" w:cs="Arial"/>
          <w:sz w:val="24"/>
          <w:szCs w:val="24"/>
          <w:lang w:val="en-US"/>
        </w:rPr>
        <w:t>s</w:t>
      </w:r>
      <w:r>
        <w:rPr>
          <w:rFonts w:ascii="Arial" w:hAnsi="Arial" w:cs="Arial"/>
          <w:sz w:val="24"/>
          <w:szCs w:val="24"/>
          <w:lang w:val="en-US"/>
        </w:rPr>
        <w:t xml:space="preserve">, </w:t>
      </w:r>
      <w:r w:rsidR="00F052A4">
        <w:rPr>
          <w:rFonts w:ascii="Arial" w:hAnsi="Arial" w:cs="Arial"/>
          <w:sz w:val="24"/>
          <w:szCs w:val="24"/>
          <w:lang w:val="en-US"/>
        </w:rPr>
        <w:t>and my judgment on the merits</w:t>
      </w:r>
      <w:r>
        <w:rPr>
          <w:rFonts w:ascii="Arial" w:hAnsi="Arial" w:cs="Arial"/>
          <w:sz w:val="24"/>
          <w:szCs w:val="24"/>
          <w:lang w:val="en-US"/>
        </w:rPr>
        <w:t xml:space="preserve">. </w:t>
      </w:r>
      <w:r w:rsidR="00C85CBE">
        <w:rPr>
          <w:rFonts w:ascii="Arial" w:hAnsi="Arial" w:cs="Arial"/>
          <w:sz w:val="24"/>
          <w:szCs w:val="24"/>
          <w:lang w:val="en-US"/>
        </w:rPr>
        <w:t xml:space="preserve"> </w:t>
      </w:r>
      <w:r>
        <w:rPr>
          <w:rFonts w:ascii="Arial" w:hAnsi="Arial" w:cs="Arial"/>
          <w:sz w:val="24"/>
          <w:szCs w:val="24"/>
          <w:lang w:val="en-US"/>
        </w:rPr>
        <w:t>I agree that this was vexatio</w:t>
      </w:r>
      <w:r w:rsidR="0070253D">
        <w:rPr>
          <w:rFonts w:ascii="Arial" w:hAnsi="Arial" w:cs="Arial"/>
          <w:sz w:val="24"/>
          <w:szCs w:val="24"/>
          <w:lang w:val="en-US"/>
        </w:rPr>
        <w:t>u</w:t>
      </w:r>
      <w:r w:rsidR="00C85CBE">
        <w:rPr>
          <w:rFonts w:ascii="Arial" w:hAnsi="Arial" w:cs="Arial"/>
          <w:sz w:val="24"/>
          <w:szCs w:val="24"/>
          <w:lang w:val="en-US"/>
        </w:rPr>
        <w:t>s</w:t>
      </w:r>
      <w:r>
        <w:rPr>
          <w:rFonts w:ascii="Arial" w:hAnsi="Arial" w:cs="Arial"/>
          <w:sz w:val="24"/>
          <w:szCs w:val="24"/>
          <w:lang w:val="en-US"/>
        </w:rPr>
        <w:t xml:space="preserve"> in effect. </w:t>
      </w:r>
      <w:r w:rsidR="00C85CBE">
        <w:rPr>
          <w:rFonts w:ascii="Arial" w:hAnsi="Arial" w:cs="Arial"/>
          <w:sz w:val="24"/>
          <w:szCs w:val="24"/>
          <w:lang w:val="en-US"/>
        </w:rPr>
        <w:lastRenderedPageBreak/>
        <w:t>To have advanced a special plea,</w:t>
      </w:r>
      <w:r w:rsidR="00132E48" w:rsidRPr="00132E48">
        <w:rPr>
          <w:rFonts w:ascii="Arial" w:hAnsi="Arial" w:cs="Arial"/>
          <w:b/>
          <w:bCs/>
          <w:sz w:val="24"/>
          <w:szCs w:val="24"/>
          <w:lang w:val="en-US"/>
        </w:rPr>
        <w:t xml:space="preserve"> </w:t>
      </w:r>
      <w:r w:rsidR="00132E48" w:rsidRPr="00132E48">
        <w:rPr>
          <w:rFonts w:ascii="Arial" w:hAnsi="Arial" w:cs="Arial"/>
          <w:bCs/>
          <w:sz w:val="24"/>
          <w:szCs w:val="24"/>
          <w:lang w:val="en-US"/>
        </w:rPr>
        <w:t>after more than seven years of protracted litigation,</w:t>
      </w:r>
      <w:r w:rsidR="0070253D">
        <w:rPr>
          <w:rFonts w:ascii="Arial" w:hAnsi="Arial" w:cs="Arial"/>
          <w:sz w:val="24"/>
          <w:szCs w:val="24"/>
          <w:lang w:val="en-US"/>
        </w:rPr>
        <w:t xml:space="preserve"> the success of which depended on “setting </w:t>
      </w:r>
      <w:r w:rsidR="001E5C4B">
        <w:rPr>
          <w:rFonts w:ascii="Arial" w:hAnsi="Arial" w:cs="Arial"/>
          <w:sz w:val="24"/>
          <w:szCs w:val="24"/>
          <w:lang w:val="en-US"/>
        </w:rPr>
        <w:t>aside” the</w:t>
      </w:r>
      <w:r w:rsidR="0070253D">
        <w:rPr>
          <w:rFonts w:ascii="Arial" w:hAnsi="Arial" w:cs="Arial"/>
          <w:sz w:val="24"/>
          <w:szCs w:val="24"/>
          <w:lang w:val="en-US"/>
        </w:rPr>
        <w:t xml:space="preserve"> findings in those two judgments, which are presumed to be correct even if </w:t>
      </w:r>
      <w:r w:rsidR="001E5C4B">
        <w:rPr>
          <w:rFonts w:ascii="Arial" w:hAnsi="Arial" w:cs="Arial"/>
          <w:sz w:val="24"/>
          <w:szCs w:val="24"/>
          <w:lang w:val="en-US"/>
        </w:rPr>
        <w:t>erroneous or</w:t>
      </w:r>
      <w:r w:rsidR="0070253D">
        <w:rPr>
          <w:rFonts w:ascii="Arial" w:hAnsi="Arial" w:cs="Arial"/>
          <w:sz w:val="24"/>
          <w:szCs w:val="24"/>
          <w:lang w:val="en-US"/>
        </w:rPr>
        <w:t xml:space="preserve"> suspended, was an exercise in futility. </w:t>
      </w:r>
      <w:r w:rsidR="007C635D">
        <w:rPr>
          <w:rFonts w:ascii="Arial" w:hAnsi="Arial" w:cs="Arial"/>
          <w:sz w:val="24"/>
          <w:szCs w:val="24"/>
          <w:lang w:val="en-US"/>
        </w:rPr>
        <w:t xml:space="preserve"> </w:t>
      </w:r>
      <w:r w:rsidR="0070253D">
        <w:rPr>
          <w:rFonts w:ascii="Arial" w:hAnsi="Arial" w:cs="Arial"/>
          <w:sz w:val="24"/>
          <w:szCs w:val="24"/>
          <w:lang w:val="en-US"/>
        </w:rPr>
        <w:t xml:space="preserve">The </w:t>
      </w:r>
      <w:r w:rsidR="003829BD">
        <w:rPr>
          <w:rFonts w:ascii="Arial" w:hAnsi="Arial" w:cs="Arial"/>
          <w:sz w:val="24"/>
          <w:szCs w:val="24"/>
          <w:lang w:val="en-US"/>
        </w:rPr>
        <w:t>S</w:t>
      </w:r>
      <w:r w:rsidR="0070253D">
        <w:rPr>
          <w:rFonts w:ascii="Arial" w:hAnsi="Arial" w:cs="Arial"/>
          <w:sz w:val="24"/>
          <w:szCs w:val="24"/>
          <w:lang w:val="en-US"/>
        </w:rPr>
        <w:t xml:space="preserve">econd </w:t>
      </w:r>
      <w:r w:rsidR="003829BD">
        <w:rPr>
          <w:rFonts w:ascii="Arial" w:hAnsi="Arial" w:cs="Arial"/>
          <w:sz w:val="24"/>
          <w:szCs w:val="24"/>
          <w:lang w:val="en-US"/>
        </w:rPr>
        <w:t>D</w:t>
      </w:r>
      <w:r w:rsidR="0070253D">
        <w:rPr>
          <w:rFonts w:ascii="Arial" w:hAnsi="Arial" w:cs="Arial"/>
          <w:sz w:val="24"/>
          <w:szCs w:val="24"/>
          <w:lang w:val="en-US"/>
        </w:rPr>
        <w:t>efendant</w:t>
      </w:r>
      <w:r w:rsidR="006E6FC7">
        <w:rPr>
          <w:rFonts w:ascii="Arial" w:hAnsi="Arial" w:cs="Arial"/>
          <w:sz w:val="24"/>
          <w:szCs w:val="24"/>
          <w:lang w:val="en-US"/>
        </w:rPr>
        <w:t>’</w:t>
      </w:r>
      <w:r w:rsidR="0070253D">
        <w:rPr>
          <w:rFonts w:ascii="Arial" w:hAnsi="Arial" w:cs="Arial"/>
          <w:sz w:val="24"/>
          <w:szCs w:val="24"/>
          <w:lang w:val="en-US"/>
        </w:rPr>
        <w:t xml:space="preserve">s remedy </w:t>
      </w:r>
      <w:r w:rsidR="001E5C4B">
        <w:rPr>
          <w:rFonts w:ascii="Arial" w:hAnsi="Arial" w:cs="Arial"/>
          <w:sz w:val="24"/>
          <w:szCs w:val="24"/>
          <w:lang w:val="en-US"/>
        </w:rPr>
        <w:t>ought instead</w:t>
      </w:r>
      <w:r w:rsidR="0070253D">
        <w:rPr>
          <w:rFonts w:ascii="Arial" w:hAnsi="Arial" w:cs="Arial"/>
          <w:sz w:val="24"/>
          <w:szCs w:val="24"/>
          <w:lang w:val="en-US"/>
        </w:rPr>
        <w:t xml:space="preserve"> to have been </w:t>
      </w:r>
      <w:r w:rsidR="00E326AE">
        <w:rPr>
          <w:rFonts w:ascii="Arial" w:hAnsi="Arial" w:cs="Arial"/>
          <w:sz w:val="24"/>
          <w:szCs w:val="24"/>
          <w:lang w:val="en-US"/>
        </w:rPr>
        <w:t>to pursue</w:t>
      </w:r>
      <w:r w:rsidR="0070253D">
        <w:rPr>
          <w:rFonts w:ascii="Arial" w:hAnsi="Arial" w:cs="Arial"/>
          <w:sz w:val="24"/>
          <w:szCs w:val="24"/>
          <w:lang w:val="en-US"/>
        </w:rPr>
        <w:t xml:space="preserve"> the appeals against those findings.</w:t>
      </w:r>
    </w:p>
    <w:p w:rsidR="00C566F2" w:rsidRDefault="00C566F2" w:rsidP="006D5E86">
      <w:pPr>
        <w:spacing w:line="480" w:lineRule="auto"/>
        <w:jc w:val="both"/>
        <w:rPr>
          <w:rFonts w:ascii="Arial" w:hAnsi="Arial" w:cs="Arial"/>
          <w:sz w:val="24"/>
          <w:szCs w:val="24"/>
          <w:lang w:val="en-US"/>
        </w:rPr>
      </w:pPr>
    </w:p>
    <w:p w:rsidR="00933755" w:rsidRDefault="00933755" w:rsidP="006D5E86">
      <w:pPr>
        <w:spacing w:line="480" w:lineRule="auto"/>
        <w:jc w:val="both"/>
        <w:rPr>
          <w:rFonts w:ascii="Arial" w:hAnsi="Arial" w:cs="Arial"/>
          <w:sz w:val="24"/>
          <w:szCs w:val="24"/>
          <w:lang w:val="en-US"/>
        </w:rPr>
      </w:pPr>
      <w:r>
        <w:rPr>
          <w:rFonts w:ascii="Arial" w:hAnsi="Arial" w:cs="Arial"/>
          <w:sz w:val="24"/>
          <w:szCs w:val="24"/>
          <w:lang w:val="en-US"/>
        </w:rPr>
        <w:t>[</w:t>
      </w:r>
      <w:r w:rsidR="00BC1826">
        <w:rPr>
          <w:rFonts w:ascii="Arial" w:hAnsi="Arial" w:cs="Arial"/>
          <w:sz w:val="24"/>
          <w:szCs w:val="24"/>
          <w:lang w:val="en-US"/>
        </w:rPr>
        <w:t>75</w:t>
      </w:r>
      <w:r>
        <w:rPr>
          <w:rFonts w:ascii="Arial" w:hAnsi="Arial" w:cs="Arial"/>
          <w:sz w:val="24"/>
          <w:szCs w:val="24"/>
          <w:lang w:val="en-US"/>
        </w:rPr>
        <w:t>]</w:t>
      </w:r>
      <w:r>
        <w:rPr>
          <w:rFonts w:ascii="Arial" w:hAnsi="Arial" w:cs="Arial"/>
          <w:sz w:val="24"/>
          <w:szCs w:val="24"/>
          <w:lang w:val="en-US"/>
        </w:rPr>
        <w:tab/>
        <w:t>I grant the following order:</w:t>
      </w:r>
    </w:p>
    <w:p w:rsidR="00933755" w:rsidRDefault="00933755" w:rsidP="006D5E86">
      <w:pPr>
        <w:spacing w:line="480" w:lineRule="auto"/>
        <w:jc w:val="both"/>
        <w:rPr>
          <w:rFonts w:ascii="Arial" w:hAnsi="Arial" w:cs="Arial"/>
          <w:sz w:val="24"/>
          <w:szCs w:val="24"/>
          <w:lang w:val="en-US"/>
        </w:rPr>
      </w:pPr>
      <w:r>
        <w:rPr>
          <w:rFonts w:ascii="Arial" w:hAnsi="Arial" w:cs="Arial"/>
          <w:sz w:val="24"/>
          <w:szCs w:val="24"/>
          <w:lang w:val="en-US"/>
        </w:rPr>
        <w:t>The special plea</w:t>
      </w:r>
      <w:r w:rsidR="003829BD">
        <w:rPr>
          <w:rFonts w:ascii="Arial" w:hAnsi="Arial" w:cs="Arial"/>
          <w:sz w:val="24"/>
          <w:szCs w:val="24"/>
          <w:lang w:val="en-US"/>
        </w:rPr>
        <w:t xml:space="preserve"> is</w:t>
      </w:r>
      <w:r>
        <w:rPr>
          <w:rFonts w:ascii="Arial" w:hAnsi="Arial" w:cs="Arial"/>
          <w:sz w:val="24"/>
          <w:szCs w:val="24"/>
          <w:lang w:val="en-US"/>
        </w:rPr>
        <w:t xml:space="preserve"> dismissed with costs such costs to be on the scale as between attorney and client</w:t>
      </w:r>
      <w:r w:rsidR="00AF135A">
        <w:rPr>
          <w:rFonts w:ascii="Arial" w:hAnsi="Arial" w:cs="Arial"/>
          <w:sz w:val="24"/>
          <w:szCs w:val="24"/>
          <w:lang w:val="en-US"/>
        </w:rPr>
        <w:t>,</w:t>
      </w:r>
      <w:r>
        <w:rPr>
          <w:rFonts w:ascii="Arial" w:hAnsi="Arial" w:cs="Arial"/>
          <w:sz w:val="24"/>
          <w:szCs w:val="24"/>
          <w:lang w:val="en-US"/>
        </w:rPr>
        <w:t xml:space="preserve"> and to include the costs of two counsel.</w:t>
      </w:r>
    </w:p>
    <w:p w:rsidR="00933755" w:rsidRDefault="0057698E" w:rsidP="006D5E86">
      <w:pPr>
        <w:spacing w:line="480" w:lineRule="auto"/>
        <w:jc w:val="both"/>
        <w:rPr>
          <w:rFonts w:ascii="Arial" w:hAnsi="Arial" w:cs="Arial"/>
          <w:sz w:val="24"/>
          <w:szCs w:val="24"/>
          <w:lang w:val="en-US"/>
        </w:rPr>
      </w:pPr>
      <w:r>
        <w:rPr>
          <w:rFonts w:ascii="Arial" w:hAnsi="Arial" w:cs="Arial"/>
          <w:sz w:val="24"/>
          <w:szCs w:val="24"/>
          <w:lang w:val="en-US"/>
        </w:rPr>
        <w:tab/>
      </w:r>
    </w:p>
    <w:p w:rsidR="00E326AE" w:rsidRDefault="00E326AE" w:rsidP="006D5E86">
      <w:pPr>
        <w:spacing w:line="48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_____________________</w:t>
      </w:r>
    </w:p>
    <w:p w:rsidR="00E326AE" w:rsidRDefault="00E326AE" w:rsidP="006D5E86">
      <w:pPr>
        <w:spacing w:line="480" w:lineRule="auto"/>
        <w:jc w:val="both"/>
        <w:rPr>
          <w:rFonts w:ascii="Arial" w:hAnsi="Arial" w:cs="Arial"/>
          <w:b/>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b/>
          <w:sz w:val="24"/>
          <w:szCs w:val="24"/>
          <w:lang w:val="en-US"/>
        </w:rPr>
        <w:t>MEER, J</w:t>
      </w:r>
    </w:p>
    <w:p w:rsidR="00C566F2" w:rsidRDefault="00C566F2" w:rsidP="006D5E86">
      <w:pPr>
        <w:spacing w:line="480" w:lineRule="auto"/>
        <w:jc w:val="both"/>
        <w:rPr>
          <w:rFonts w:ascii="Arial" w:hAnsi="Arial" w:cs="Arial"/>
          <w:b/>
          <w:sz w:val="24"/>
          <w:szCs w:val="24"/>
          <w:lang w:val="en-US"/>
        </w:rPr>
      </w:pPr>
    </w:p>
    <w:p w:rsidR="00E326AE" w:rsidRDefault="00E326AE" w:rsidP="00E326AE">
      <w:pPr>
        <w:spacing w:line="360" w:lineRule="auto"/>
        <w:jc w:val="both"/>
        <w:rPr>
          <w:rFonts w:ascii="Arial" w:hAnsi="Arial" w:cs="Arial"/>
          <w:sz w:val="24"/>
          <w:szCs w:val="24"/>
          <w:lang w:val="en-US"/>
        </w:rPr>
      </w:pPr>
      <w:r w:rsidRPr="00E326AE">
        <w:rPr>
          <w:rFonts w:ascii="Arial" w:hAnsi="Arial" w:cs="Arial"/>
          <w:sz w:val="24"/>
          <w:szCs w:val="24"/>
          <w:u w:val="single"/>
          <w:lang w:val="en-US"/>
        </w:rPr>
        <w:t>Advocate for Plaintiff</w:t>
      </w:r>
      <w:r>
        <w:rPr>
          <w:rFonts w:ascii="Arial" w:hAnsi="Arial" w:cs="Arial"/>
          <w:sz w:val="24"/>
          <w:szCs w:val="24"/>
          <w:lang w:val="en-US"/>
        </w:rPr>
        <w:t>:</w:t>
      </w:r>
      <w:r>
        <w:rPr>
          <w:rFonts w:ascii="Arial" w:hAnsi="Arial" w:cs="Arial"/>
          <w:sz w:val="24"/>
          <w:szCs w:val="24"/>
          <w:lang w:val="en-US"/>
        </w:rPr>
        <w:tab/>
        <w:t>P Hathorn (SC)</w:t>
      </w:r>
    </w:p>
    <w:p w:rsidR="00E326AE" w:rsidRDefault="00E326AE" w:rsidP="00E326AE">
      <w:pPr>
        <w:spacing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Y Abass</w:t>
      </w:r>
    </w:p>
    <w:p w:rsidR="00E326AE" w:rsidRDefault="00E326AE" w:rsidP="00E326AE">
      <w:pPr>
        <w:spacing w:line="360" w:lineRule="auto"/>
        <w:rPr>
          <w:rFonts w:ascii="Arial" w:hAnsi="Arial" w:cs="Arial"/>
          <w:bCs/>
          <w:sz w:val="24"/>
          <w:szCs w:val="24"/>
        </w:rPr>
      </w:pPr>
      <w:r>
        <w:rPr>
          <w:rFonts w:ascii="Arial" w:hAnsi="Arial" w:cs="Arial"/>
          <w:sz w:val="24"/>
          <w:szCs w:val="24"/>
          <w:lang w:val="en-US"/>
        </w:rPr>
        <w:t>Instructed by:</w:t>
      </w:r>
      <w:r>
        <w:rPr>
          <w:rFonts w:ascii="Arial" w:hAnsi="Arial" w:cs="Arial"/>
          <w:sz w:val="24"/>
          <w:szCs w:val="24"/>
          <w:lang w:val="en-US"/>
        </w:rPr>
        <w:tab/>
      </w:r>
      <w:r>
        <w:rPr>
          <w:rFonts w:ascii="Arial" w:hAnsi="Arial" w:cs="Arial"/>
          <w:sz w:val="24"/>
          <w:szCs w:val="24"/>
          <w:lang w:val="en-US"/>
        </w:rPr>
        <w:tab/>
        <w:t>R</w:t>
      </w:r>
      <w:r w:rsidRPr="00E326AE">
        <w:rPr>
          <w:rFonts w:ascii="Arial" w:hAnsi="Arial" w:cs="Arial"/>
          <w:bCs/>
          <w:sz w:val="24"/>
          <w:szCs w:val="24"/>
        </w:rPr>
        <w:t xml:space="preserve">ahin </w:t>
      </w:r>
      <w:r>
        <w:rPr>
          <w:rFonts w:ascii="Arial" w:hAnsi="Arial" w:cs="Arial"/>
          <w:bCs/>
          <w:sz w:val="24"/>
          <w:szCs w:val="24"/>
        </w:rPr>
        <w:t>J</w:t>
      </w:r>
      <w:r w:rsidRPr="00E326AE">
        <w:rPr>
          <w:rFonts w:ascii="Arial" w:hAnsi="Arial" w:cs="Arial"/>
          <w:bCs/>
          <w:sz w:val="24"/>
          <w:szCs w:val="24"/>
        </w:rPr>
        <w:t xml:space="preserve">oseph </w:t>
      </w:r>
      <w:r>
        <w:rPr>
          <w:rFonts w:ascii="Arial" w:hAnsi="Arial" w:cs="Arial"/>
          <w:bCs/>
          <w:sz w:val="24"/>
          <w:szCs w:val="24"/>
        </w:rPr>
        <w:t>Attorneys</w:t>
      </w:r>
    </w:p>
    <w:p w:rsidR="00E326AE" w:rsidRDefault="00E326AE" w:rsidP="00E326AE">
      <w:pPr>
        <w:rPr>
          <w:rFonts w:ascii="Arial" w:hAnsi="Arial" w:cs="Arial"/>
          <w:bCs/>
          <w:sz w:val="24"/>
          <w:szCs w:val="24"/>
        </w:rPr>
      </w:pPr>
    </w:p>
    <w:p w:rsidR="00E326AE" w:rsidRDefault="00E326AE" w:rsidP="00E326AE">
      <w:pPr>
        <w:spacing w:line="360" w:lineRule="auto"/>
        <w:rPr>
          <w:rFonts w:ascii="Arial" w:hAnsi="Arial" w:cs="Arial"/>
          <w:bCs/>
          <w:sz w:val="24"/>
          <w:szCs w:val="24"/>
        </w:rPr>
      </w:pPr>
      <w:r w:rsidRPr="00E326AE">
        <w:rPr>
          <w:rFonts w:ascii="Arial" w:hAnsi="Arial" w:cs="Arial"/>
          <w:bCs/>
          <w:sz w:val="24"/>
          <w:szCs w:val="24"/>
          <w:u w:val="single"/>
        </w:rPr>
        <w:t>Advocate for Respondent</w:t>
      </w:r>
      <w:r>
        <w:rPr>
          <w:rFonts w:ascii="Arial" w:hAnsi="Arial" w:cs="Arial"/>
          <w:bCs/>
          <w:sz w:val="24"/>
          <w:szCs w:val="24"/>
        </w:rPr>
        <w:t>:</w:t>
      </w:r>
      <w:r>
        <w:rPr>
          <w:rFonts w:ascii="Arial" w:hAnsi="Arial" w:cs="Arial"/>
          <w:bCs/>
          <w:sz w:val="24"/>
          <w:szCs w:val="24"/>
        </w:rPr>
        <w:tab/>
        <w:t>J McCurdie (SC)</w:t>
      </w:r>
    </w:p>
    <w:p w:rsidR="00E326AE" w:rsidRDefault="00E326AE" w:rsidP="00E326AE">
      <w:pPr>
        <w:spacing w:line="36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J Williams</w:t>
      </w:r>
    </w:p>
    <w:p w:rsidR="00E326AE" w:rsidRPr="00E326AE" w:rsidRDefault="00E326AE" w:rsidP="00E326AE">
      <w:pPr>
        <w:spacing w:line="360" w:lineRule="auto"/>
        <w:rPr>
          <w:rFonts w:ascii="Arial" w:hAnsi="Arial" w:cs="Arial"/>
          <w:sz w:val="24"/>
          <w:szCs w:val="24"/>
          <w:lang w:val="en-US"/>
        </w:rPr>
      </w:pPr>
      <w:r>
        <w:rPr>
          <w:rFonts w:ascii="Arial" w:hAnsi="Arial" w:cs="Arial"/>
          <w:bCs/>
          <w:sz w:val="24"/>
          <w:szCs w:val="24"/>
        </w:rPr>
        <w:t>Instructed by:</w:t>
      </w:r>
      <w:r>
        <w:rPr>
          <w:rFonts w:ascii="Arial" w:hAnsi="Arial" w:cs="Arial"/>
          <w:bCs/>
          <w:sz w:val="24"/>
          <w:szCs w:val="24"/>
        </w:rPr>
        <w:tab/>
      </w:r>
      <w:r>
        <w:rPr>
          <w:rFonts w:ascii="Arial" w:hAnsi="Arial" w:cs="Arial"/>
          <w:bCs/>
          <w:sz w:val="24"/>
          <w:szCs w:val="24"/>
        </w:rPr>
        <w:tab/>
        <w:t>Tim du Toit Attorneys</w:t>
      </w:r>
    </w:p>
    <w:sectPr w:rsidR="00E326AE" w:rsidRPr="00E326A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AB2" w:rsidRDefault="00CA1AB2" w:rsidP="004B050D">
      <w:pPr>
        <w:spacing w:after="0" w:line="240" w:lineRule="auto"/>
      </w:pPr>
      <w:r>
        <w:separator/>
      </w:r>
    </w:p>
  </w:endnote>
  <w:endnote w:type="continuationSeparator" w:id="0">
    <w:p w:rsidR="00CA1AB2" w:rsidRDefault="00CA1AB2" w:rsidP="004B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AB2" w:rsidRDefault="00CA1AB2" w:rsidP="004B050D">
      <w:pPr>
        <w:spacing w:after="0" w:line="240" w:lineRule="auto"/>
      </w:pPr>
      <w:r>
        <w:separator/>
      </w:r>
    </w:p>
  </w:footnote>
  <w:footnote w:type="continuationSeparator" w:id="0">
    <w:p w:rsidR="00CA1AB2" w:rsidRDefault="00CA1AB2" w:rsidP="004B050D">
      <w:pPr>
        <w:spacing w:after="0" w:line="240" w:lineRule="auto"/>
      </w:pPr>
      <w:r>
        <w:continuationSeparator/>
      </w:r>
    </w:p>
  </w:footnote>
  <w:footnote w:id="1">
    <w:p w:rsidR="00CC18CC" w:rsidRPr="00DD04A7" w:rsidRDefault="00CC18CC">
      <w:pPr>
        <w:pStyle w:val="FootnoteText"/>
        <w:rPr>
          <w:lang w:val="en-US"/>
        </w:rPr>
      </w:pPr>
      <w:r>
        <w:rPr>
          <w:rStyle w:val="FootnoteReference"/>
        </w:rPr>
        <w:footnoteRef/>
      </w:r>
      <w:r>
        <w:t xml:space="preserve"> </w:t>
      </w:r>
      <w:r>
        <w:rPr>
          <w:lang w:val="en-US"/>
        </w:rPr>
        <w:t>2004 (3) SA 160 (SCA)</w:t>
      </w:r>
    </w:p>
  </w:footnote>
  <w:footnote w:id="2">
    <w:p w:rsidR="00CC18CC" w:rsidRPr="00DD04A7" w:rsidRDefault="00CC18CC">
      <w:pPr>
        <w:pStyle w:val="FootnoteText"/>
        <w:rPr>
          <w:lang w:val="en-US"/>
        </w:rPr>
      </w:pPr>
      <w:r>
        <w:rPr>
          <w:rStyle w:val="FootnoteReference"/>
        </w:rPr>
        <w:footnoteRef/>
      </w:r>
      <w:r>
        <w:t xml:space="preserve"> </w:t>
      </w:r>
      <w:r>
        <w:rPr>
          <w:lang w:val="en-US"/>
        </w:rPr>
        <w:t>(144/15) [2016] ZASCA 54 (01 April 2016)</w:t>
      </w:r>
    </w:p>
  </w:footnote>
  <w:footnote w:id="3">
    <w:p w:rsidR="00CC18CC" w:rsidRPr="00DD04A7" w:rsidRDefault="00CC18CC">
      <w:pPr>
        <w:pStyle w:val="FootnoteText"/>
        <w:rPr>
          <w:lang w:val="en-US"/>
        </w:rPr>
      </w:pPr>
      <w:r>
        <w:rPr>
          <w:rStyle w:val="FootnoteReference"/>
        </w:rPr>
        <w:footnoteRef/>
      </w:r>
      <w:r>
        <w:t xml:space="preserve"> </w:t>
      </w:r>
      <w:r>
        <w:rPr>
          <w:lang w:val="en-US"/>
        </w:rPr>
        <w:t>(680/2020) [2021]ZASCA 178 (17 December 2021)</w:t>
      </w:r>
    </w:p>
  </w:footnote>
  <w:footnote w:id="4">
    <w:p w:rsidR="008707A3" w:rsidRPr="008707A3" w:rsidRDefault="008707A3">
      <w:pPr>
        <w:pStyle w:val="FootnoteText"/>
        <w:rPr>
          <w:lang w:val="en-US"/>
        </w:rPr>
      </w:pPr>
      <w:r>
        <w:rPr>
          <w:rStyle w:val="FootnoteReference"/>
        </w:rPr>
        <w:footnoteRef/>
      </w:r>
      <w:r>
        <w:t xml:space="preserve"> </w:t>
      </w:r>
      <w:r>
        <w:rPr>
          <w:lang w:val="en-US"/>
        </w:rPr>
        <w:t>Municipa</w:t>
      </w:r>
      <w:r w:rsidR="004857A7">
        <w:rPr>
          <w:lang w:val="en-US"/>
        </w:rPr>
        <w:t>l</w:t>
      </w:r>
      <w:r>
        <w:rPr>
          <w:lang w:val="en-US"/>
        </w:rPr>
        <w:t xml:space="preserve"> Manager OR Tambo District Municipality and Another v Ndabeni(CCT 45/21 [2022]ZACC3 at para 24; Ntlemeza v Helen Suzman Foundation [2017</w:t>
      </w:r>
      <w:r w:rsidR="00435D52">
        <w:rPr>
          <w:lang w:val="en-US"/>
        </w:rPr>
        <w:t>]</w:t>
      </w:r>
      <w:r>
        <w:rPr>
          <w:lang w:val="en-US"/>
        </w:rPr>
        <w:t xml:space="preserve"> ZASCA 93</w:t>
      </w:r>
    </w:p>
  </w:footnote>
  <w:footnote w:id="5">
    <w:p w:rsidR="00CC18CC" w:rsidRPr="00DD71C4" w:rsidRDefault="00CC18CC" w:rsidP="00365F46">
      <w:pPr>
        <w:pStyle w:val="FootnoteText"/>
        <w:rPr>
          <w:lang w:val="en-US"/>
        </w:rPr>
      </w:pPr>
      <w:r>
        <w:rPr>
          <w:rStyle w:val="FootnoteReference"/>
        </w:rPr>
        <w:footnoteRef/>
      </w:r>
      <w:r>
        <w:t xml:space="preserve"> </w:t>
      </w:r>
      <w:r>
        <w:rPr>
          <w:lang w:val="en-US"/>
        </w:rPr>
        <w:t>(4466/2013)[2013] ZAWCHC 159 25 October 2013</w:t>
      </w:r>
    </w:p>
  </w:footnote>
  <w:footnote w:id="6">
    <w:p w:rsidR="00CC18CC" w:rsidRPr="004865DB" w:rsidRDefault="00CC18CC">
      <w:pPr>
        <w:pStyle w:val="FootnoteText"/>
        <w:rPr>
          <w:lang w:val="en-US"/>
        </w:rPr>
      </w:pPr>
      <w:r>
        <w:rPr>
          <w:rStyle w:val="FootnoteReference"/>
        </w:rPr>
        <w:footnoteRef/>
      </w:r>
      <w:r>
        <w:t xml:space="preserve"> </w:t>
      </w:r>
      <w:r>
        <w:rPr>
          <w:lang w:val="en-US"/>
        </w:rPr>
        <w:t>Compcare Wellness Medical Scheme v Registrar of Medical Schemes and Others 2021(1) SA 15 (SCA)</w:t>
      </w:r>
      <w:r w:rsidR="0063329E">
        <w:rPr>
          <w:lang w:val="en-US"/>
        </w:rPr>
        <w:t xml:space="preserve"> </w:t>
      </w:r>
      <w:r>
        <w:rPr>
          <w:lang w:val="en-US"/>
        </w:rPr>
        <w:t>paras21 to 23</w:t>
      </w:r>
    </w:p>
  </w:footnote>
  <w:footnote w:id="7">
    <w:p w:rsidR="00CC18CC" w:rsidRPr="00DD04A7" w:rsidRDefault="00CC18CC">
      <w:pPr>
        <w:pStyle w:val="FootnoteText"/>
        <w:rPr>
          <w:lang w:val="en-US"/>
        </w:rPr>
      </w:pPr>
      <w:r>
        <w:rPr>
          <w:rStyle w:val="FootnoteReference"/>
        </w:rPr>
        <w:footnoteRef/>
      </w:r>
      <w:r w:rsidRPr="004857A7">
        <w:t xml:space="preserve"> </w:t>
      </w:r>
      <w:r w:rsidRPr="004857A7">
        <w:rPr>
          <w:lang w:val="en-US"/>
        </w:rPr>
        <w:t>CT v MT and others 2020 (3) SA 409 (WCC) para 19; Prism Payment Technologies (Pty) Ltd v Altech Information Technologies (Pty) Ltd t/a Altech Card Solutions and others 2012 (5) SA 267 (GSJ) (Prism) para 21.</w:t>
      </w:r>
    </w:p>
  </w:footnote>
  <w:footnote w:id="8">
    <w:p w:rsidR="00CC18CC" w:rsidRPr="008C19C9" w:rsidRDefault="00CC18CC" w:rsidP="00E1051B">
      <w:pPr>
        <w:pStyle w:val="FootnoteText"/>
        <w:rPr>
          <w:lang w:val="en-US"/>
        </w:rPr>
      </w:pPr>
      <w:r>
        <w:rPr>
          <w:rStyle w:val="FootnoteReference"/>
        </w:rPr>
        <w:footnoteRef/>
      </w:r>
      <w:r>
        <w:t xml:space="preserve"> </w:t>
      </w:r>
      <w:r>
        <w:rPr>
          <w:lang w:val="en-US"/>
        </w:rPr>
        <w:t>2012(5) SA 267 (GSJ) paragraph 13</w:t>
      </w:r>
      <w:r w:rsidR="0063329E">
        <w:rPr>
          <w:lang w:val="en-US"/>
        </w:rPr>
        <w:t>.</w:t>
      </w:r>
    </w:p>
  </w:footnote>
  <w:footnote w:id="9">
    <w:p w:rsidR="0063329E" w:rsidRPr="0063329E" w:rsidRDefault="00CC18CC" w:rsidP="0063329E">
      <w:pPr>
        <w:pStyle w:val="FootnoteText"/>
        <w:rPr>
          <w:rFonts w:cstheme="minorHAnsi"/>
        </w:rPr>
      </w:pPr>
      <w:r>
        <w:rPr>
          <w:rStyle w:val="FootnoteReference"/>
        </w:rPr>
        <w:footnoteRef/>
      </w:r>
      <w:r w:rsidRPr="00970915">
        <w:t xml:space="preserve"> </w:t>
      </w:r>
      <w:r w:rsidR="0063329E">
        <w:rPr>
          <w:rFonts w:cstheme="minorHAnsi"/>
          <w:lang w:val="en-US"/>
        </w:rPr>
        <w:t>I</w:t>
      </w:r>
      <w:r w:rsidR="0063329E" w:rsidRPr="0063329E">
        <w:rPr>
          <w:rFonts w:cstheme="minorHAnsi"/>
        </w:rPr>
        <w:t>nvestec Property Fund Limited v Viker X (Pty) Limited and Another (2016/07492) [2016] ZAGPJHC 108</w:t>
      </w:r>
    </w:p>
    <w:p w:rsidR="00CC18CC" w:rsidRPr="00970915" w:rsidRDefault="0063329E" w:rsidP="0063329E">
      <w:pPr>
        <w:pStyle w:val="FootnoteText"/>
        <w:rPr>
          <w:lang w:val="en-US"/>
        </w:rPr>
      </w:pPr>
      <w:r w:rsidRPr="0063329E">
        <w:rPr>
          <w:rFonts w:cstheme="minorHAnsi"/>
          <w:lang w:val="en-US"/>
        </w:rPr>
        <w:t xml:space="preserve"> </w:t>
      </w:r>
      <w:r w:rsidR="00CC18CC" w:rsidRPr="00AF135A">
        <w:rPr>
          <w:rFonts w:cstheme="minorHAnsi"/>
          <w:lang w:val="en-US"/>
        </w:rPr>
        <w:t>paragraphs 12-13; Prism supra</w:t>
      </w:r>
      <w:r w:rsidR="00CC18CC" w:rsidRPr="00AF135A">
        <w:rPr>
          <w:rFonts w:cstheme="minorHAnsi"/>
          <w:b/>
          <w:lang w:val="en-US"/>
        </w:rPr>
        <w:t xml:space="preserve"> </w:t>
      </w:r>
      <w:r w:rsidR="00CC18CC" w:rsidRPr="00AF135A">
        <w:rPr>
          <w:rFonts w:cstheme="minorHAnsi"/>
          <w:lang w:val="en-US"/>
        </w:rPr>
        <w:t>paragraph 20</w:t>
      </w:r>
      <w:r w:rsidR="00CC18CC" w:rsidRPr="00970915">
        <w:rPr>
          <w:rFonts w:ascii="Arial" w:hAnsi="Arial" w:cs="Arial"/>
          <w:lang w:val="en-US"/>
        </w:rPr>
        <w:t>.</w:t>
      </w:r>
    </w:p>
  </w:footnote>
  <w:footnote w:id="10">
    <w:p w:rsidR="00CC18CC" w:rsidRPr="00CC18CC" w:rsidRDefault="00CC18CC">
      <w:pPr>
        <w:pStyle w:val="FootnoteText"/>
        <w:rPr>
          <w:lang w:val="en-US"/>
        </w:rPr>
      </w:pPr>
      <w:r>
        <w:rPr>
          <w:rStyle w:val="FootnoteReference"/>
        </w:rPr>
        <w:footnoteRef/>
      </w:r>
      <w:r>
        <w:t xml:space="preserve"> </w:t>
      </w:r>
      <w:r w:rsidRPr="00787884">
        <w:rPr>
          <w:lang w:val="en-US"/>
        </w:rPr>
        <w:t>Consani Engineering v Anton Steinebecker Maschinenfabrik GmbH</w:t>
      </w:r>
      <w:r>
        <w:rPr>
          <w:b/>
          <w:lang w:val="en-US"/>
        </w:rPr>
        <w:t xml:space="preserve"> </w:t>
      </w:r>
      <w:r>
        <w:rPr>
          <w:lang w:val="en-US"/>
        </w:rPr>
        <w:t>1991 (1) SA 823 (T) at 824F-G</w:t>
      </w:r>
      <w:r w:rsidR="0063329E">
        <w:rPr>
          <w:lang w:val="en-US"/>
        </w:rPr>
        <w:t>.</w:t>
      </w:r>
    </w:p>
  </w:footnote>
  <w:footnote w:id="11">
    <w:p w:rsidR="00CC18CC" w:rsidRPr="00AF135A" w:rsidRDefault="00CC18CC">
      <w:pPr>
        <w:pStyle w:val="FootnoteText"/>
        <w:rPr>
          <w:rFonts w:cstheme="minorHAnsi"/>
          <w:lang w:val="en-US"/>
        </w:rPr>
      </w:pPr>
      <w:r>
        <w:rPr>
          <w:rStyle w:val="FootnoteReference"/>
        </w:rPr>
        <w:footnoteRef/>
      </w:r>
      <w:r>
        <w:t xml:space="preserve"> </w:t>
      </w:r>
      <w:r w:rsidRPr="00AF135A">
        <w:rPr>
          <w:rFonts w:cstheme="minorHAnsi"/>
        </w:rPr>
        <w:t>Trans-African Insurance Co Ltd v Maluleka</w:t>
      </w:r>
      <w:r w:rsidRPr="00AF135A">
        <w:rPr>
          <w:rFonts w:cstheme="minorHAnsi"/>
          <w:b/>
        </w:rPr>
        <w:t xml:space="preserve"> </w:t>
      </w:r>
      <w:r w:rsidRPr="00AF135A">
        <w:rPr>
          <w:rFonts w:cstheme="minorHAnsi"/>
        </w:rPr>
        <w:t>1956 (2) SA 273 (A) at 278F-G; Motlaung and another v Sheriff, Pretoria East and others</w:t>
      </w:r>
      <w:r w:rsidRPr="00AF135A">
        <w:rPr>
          <w:rFonts w:cstheme="minorHAnsi"/>
          <w:b/>
        </w:rPr>
        <w:t xml:space="preserve"> </w:t>
      </w:r>
      <w:r w:rsidRPr="00AF135A">
        <w:rPr>
          <w:rFonts w:cstheme="minorHAnsi"/>
        </w:rPr>
        <w:t>2020 (5) SA 123 (SCA) para 27.</w:t>
      </w:r>
    </w:p>
  </w:footnote>
  <w:footnote w:id="12">
    <w:p w:rsidR="00CC18CC" w:rsidRPr="00AF135A" w:rsidRDefault="00CC18CC">
      <w:pPr>
        <w:pStyle w:val="FootnoteText"/>
        <w:rPr>
          <w:rFonts w:cstheme="minorHAnsi"/>
          <w:lang w:val="en-US"/>
        </w:rPr>
      </w:pPr>
      <w:r w:rsidRPr="00AF135A">
        <w:rPr>
          <w:rStyle w:val="FootnoteReference"/>
          <w:rFonts w:cstheme="minorHAnsi"/>
        </w:rPr>
        <w:footnoteRef/>
      </w:r>
      <w:r w:rsidRPr="00AF135A">
        <w:rPr>
          <w:rFonts w:cstheme="minorHAnsi"/>
        </w:rPr>
        <w:t xml:space="preserve"> </w:t>
      </w:r>
      <w:r w:rsidRPr="00AF135A">
        <w:rPr>
          <w:rFonts w:cstheme="minorHAnsi"/>
          <w:lang w:val="en-US"/>
        </w:rPr>
        <w:t>at paragraph 24</w:t>
      </w:r>
      <w:r w:rsidR="0063329E">
        <w:rPr>
          <w:rFonts w:cstheme="minorHAnsi"/>
          <w:lang w:val="en-US"/>
        </w:rPr>
        <w:t>.</w:t>
      </w:r>
    </w:p>
  </w:footnote>
  <w:footnote w:id="13">
    <w:p w:rsidR="00CC18CC" w:rsidRDefault="00CC18CC" w:rsidP="000B1791">
      <w:pPr>
        <w:pStyle w:val="FootnoteText"/>
      </w:pPr>
      <w:r>
        <w:rPr>
          <w:rStyle w:val="FootnoteReference"/>
        </w:rPr>
        <w:footnoteRef/>
      </w:r>
      <w:r w:rsidR="0071539C">
        <w:t>“</w:t>
      </w:r>
      <w:r>
        <w:t xml:space="preserve"> </w:t>
      </w:r>
      <w:r w:rsidRPr="00832736">
        <w:rPr>
          <w:b/>
        </w:rPr>
        <w:t>11 Periods of prescription of debts</w:t>
      </w:r>
    </w:p>
    <w:p w:rsidR="00CC18CC" w:rsidRDefault="00CC18CC" w:rsidP="000B1791">
      <w:pPr>
        <w:pStyle w:val="FootnoteText"/>
      </w:pPr>
      <w:r>
        <w:t>The period of prescription of debts shall be the following:</w:t>
      </w:r>
    </w:p>
    <w:p w:rsidR="00CC18CC" w:rsidRPr="000B1791" w:rsidRDefault="002431E4" w:rsidP="002431E4">
      <w:pPr>
        <w:pStyle w:val="FootnoteText"/>
        <w:ind w:left="1080" w:hanging="360"/>
        <w:rPr>
          <w:lang w:val="en-US"/>
        </w:rPr>
        <w:pPrChange w:id="1" w:author="Mary Bruce" w:date="2023-11-10T16:34:00Z">
          <w:pPr>
            <w:pStyle w:val="FootnoteText"/>
            <w:numPr>
              <w:numId w:val="1"/>
            </w:numPr>
            <w:ind w:left="1080" w:hanging="360"/>
          </w:pPr>
        </w:pPrChange>
      </w:pPr>
      <w:r w:rsidRPr="000B1791">
        <w:rPr>
          <w:lang w:val="en-US"/>
        </w:rPr>
        <w:t>(a)</w:t>
      </w:r>
      <w:r w:rsidRPr="000B1791">
        <w:rPr>
          <w:lang w:val="en-US"/>
        </w:rPr>
        <w:tab/>
      </w:r>
      <w:r w:rsidR="00CC18CC">
        <w:t>thirty years in respect of-</w:t>
      </w:r>
    </w:p>
    <w:p w:rsidR="00CC18CC" w:rsidRPr="000B1791" w:rsidRDefault="002431E4" w:rsidP="002431E4">
      <w:pPr>
        <w:pStyle w:val="FootnoteText"/>
        <w:ind w:left="2160" w:hanging="720"/>
        <w:rPr>
          <w:lang w:val="en-US"/>
        </w:rPr>
        <w:pPrChange w:id="2" w:author="Mary Bruce" w:date="2023-11-10T16:34:00Z">
          <w:pPr>
            <w:pStyle w:val="FootnoteText"/>
            <w:numPr>
              <w:numId w:val="2"/>
            </w:numPr>
            <w:ind w:left="2160" w:hanging="720"/>
          </w:pPr>
        </w:pPrChange>
      </w:pPr>
      <w:r w:rsidRPr="000B1791">
        <w:rPr>
          <w:lang w:val="en-US"/>
        </w:rPr>
        <w:t>(i)</w:t>
      </w:r>
      <w:r w:rsidRPr="000B1791">
        <w:rPr>
          <w:lang w:val="en-US"/>
        </w:rPr>
        <w:tab/>
      </w:r>
      <w:r w:rsidR="00CC18CC">
        <w:t>any debts secured by mortgage bond;</w:t>
      </w:r>
    </w:p>
    <w:p w:rsidR="00CC18CC" w:rsidRPr="000B1791" w:rsidRDefault="002431E4" w:rsidP="002431E4">
      <w:pPr>
        <w:pStyle w:val="FootnoteText"/>
        <w:ind w:left="2160" w:hanging="720"/>
        <w:rPr>
          <w:lang w:val="en-US"/>
        </w:rPr>
        <w:pPrChange w:id="3" w:author="Mary Bruce" w:date="2023-11-10T16:34:00Z">
          <w:pPr>
            <w:pStyle w:val="FootnoteText"/>
            <w:numPr>
              <w:numId w:val="2"/>
            </w:numPr>
            <w:ind w:left="2160" w:hanging="720"/>
          </w:pPr>
        </w:pPrChange>
      </w:pPr>
      <w:r w:rsidRPr="000B1791">
        <w:rPr>
          <w:lang w:val="en-US"/>
        </w:rPr>
        <w:t>(ii)</w:t>
      </w:r>
      <w:r w:rsidRPr="000B1791">
        <w:rPr>
          <w:lang w:val="en-US"/>
        </w:rPr>
        <w:tab/>
      </w:r>
      <w:r w:rsidR="00CC18CC">
        <w:t>any judgment debt;</w:t>
      </w:r>
    </w:p>
    <w:p w:rsidR="00CC18CC" w:rsidRPr="000B1791" w:rsidRDefault="002431E4" w:rsidP="002431E4">
      <w:pPr>
        <w:pStyle w:val="FootnoteText"/>
        <w:ind w:left="2160" w:hanging="720"/>
        <w:rPr>
          <w:lang w:val="en-US"/>
        </w:rPr>
        <w:pPrChange w:id="4" w:author="Mary Bruce" w:date="2023-11-10T16:34:00Z">
          <w:pPr>
            <w:pStyle w:val="FootnoteText"/>
            <w:numPr>
              <w:numId w:val="2"/>
            </w:numPr>
            <w:ind w:left="2160" w:hanging="720"/>
          </w:pPr>
        </w:pPrChange>
      </w:pPr>
      <w:r w:rsidRPr="000B1791">
        <w:rPr>
          <w:lang w:val="en-US"/>
        </w:rPr>
        <w:t>(iii)</w:t>
      </w:r>
      <w:r w:rsidRPr="000B1791">
        <w:rPr>
          <w:lang w:val="en-US"/>
        </w:rPr>
        <w:tab/>
      </w:r>
      <w:r w:rsidR="00CC18CC">
        <w:t>any debt in respect of any taxation imposed or levied by or under any law;</w:t>
      </w:r>
    </w:p>
    <w:p w:rsidR="00CC18CC" w:rsidRPr="000B1791" w:rsidRDefault="002431E4" w:rsidP="002431E4">
      <w:pPr>
        <w:pStyle w:val="FootnoteText"/>
        <w:ind w:left="2160" w:hanging="720"/>
        <w:rPr>
          <w:lang w:val="en-US"/>
        </w:rPr>
        <w:pPrChange w:id="5" w:author="Mary Bruce" w:date="2023-11-10T16:34:00Z">
          <w:pPr>
            <w:pStyle w:val="FootnoteText"/>
            <w:numPr>
              <w:numId w:val="2"/>
            </w:numPr>
            <w:ind w:left="2160" w:hanging="720"/>
          </w:pPr>
        </w:pPrChange>
      </w:pPr>
      <w:r w:rsidRPr="000B1791">
        <w:rPr>
          <w:lang w:val="en-US"/>
        </w:rPr>
        <w:t>(iv)</w:t>
      </w:r>
      <w:r w:rsidRPr="000B1791">
        <w:rPr>
          <w:lang w:val="en-US"/>
        </w:rPr>
        <w:tab/>
      </w:r>
      <w:r w:rsidR="00CC18CC">
        <w:t>any debt owed to the State in respect of any share of the profits, royalties or any similar consideration payable in respect of the right to mine minerals or other substances;</w:t>
      </w:r>
    </w:p>
    <w:p w:rsidR="00CC18CC" w:rsidRPr="00762C23" w:rsidRDefault="002431E4" w:rsidP="002431E4">
      <w:pPr>
        <w:pStyle w:val="FootnoteText"/>
        <w:ind w:left="1080" w:hanging="360"/>
        <w:rPr>
          <w:lang w:val="en-US"/>
        </w:rPr>
        <w:pPrChange w:id="6" w:author="Mary Bruce" w:date="2023-11-10T16:34:00Z">
          <w:pPr>
            <w:pStyle w:val="FootnoteText"/>
            <w:numPr>
              <w:numId w:val="1"/>
            </w:numPr>
            <w:ind w:left="1080" w:hanging="360"/>
          </w:pPr>
        </w:pPrChange>
      </w:pPr>
      <w:r w:rsidRPr="00762C23">
        <w:rPr>
          <w:lang w:val="en-US"/>
        </w:rPr>
        <w:t>(b)</w:t>
      </w:r>
      <w:r w:rsidRPr="00762C23">
        <w:rPr>
          <w:lang w:val="en-US"/>
        </w:rPr>
        <w:tab/>
      </w:r>
      <w:r w:rsidR="00CC18CC">
        <w:t>fifteen years in respect of any debt owed to the State and arising out of an advance or loan of money or a sale or lease of land by the State to the debtor, unless a longer period applies in respect of the debt in question in terms of paragraph (a);</w:t>
      </w:r>
    </w:p>
    <w:p w:rsidR="00CC18CC" w:rsidRDefault="002431E4" w:rsidP="002431E4">
      <w:pPr>
        <w:pStyle w:val="FootnoteText"/>
        <w:ind w:left="1080" w:hanging="360"/>
        <w:rPr>
          <w:lang w:val="en-US"/>
        </w:rPr>
        <w:pPrChange w:id="7" w:author="Mary Bruce" w:date="2023-11-10T16:34:00Z">
          <w:pPr>
            <w:pStyle w:val="FootnoteText"/>
            <w:numPr>
              <w:numId w:val="1"/>
            </w:numPr>
            <w:ind w:left="1080" w:hanging="360"/>
          </w:pPr>
        </w:pPrChange>
      </w:pPr>
      <w:r>
        <w:rPr>
          <w:lang w:val="en-US"/>
        </w:rPr>
        <w:t>(c)</w:t>
      </w:r>
      <w:r>
        <w:rPr>
          <w:lang w:val="en-US"/>
        </w:rPr>
        <w:tab/>
      </w:r>
      <w:r w:rsidR="00CC18CC">
        <w:rPr>
          <w:lang w:val="en-US"/>
        </w:rPr>
        <w:t>six years in respect of a debt arising from a bill of exchange or other negotiable instrument or from a notarial contract, unless a longer period applies in respect of the debt in question in terms of paragraph (a) and ();</w:t>
      </w:r>
    </w:p>
    <w:p w:rsidR="00CC18CC" w:rsidRPr="000B1791" w:rsidRDefault="002431E4" w:rsidP="002431E4">
      <w:pPr>
        <w:pStyle w:val="FootnoteText"/>
        <w:ind w:left="1080" w:hanging="360"/>
        <w:rPr>
          <w:lang w:val="en-US"/>
        </w:rPr>
        <w:pPrChange w:id="8" w:author="Mary Bruce" w:date="2023-11-10T16:34:00Z">
          <w:pPr>
            <w:pStyle w:val="FootnoteText"/>
            <w:numPr>
              <w:numId w:val="1"/>
            </w:numPr>
            <w:ind w:left="1080" w:hanging="360"/>
          </w:pPr>
        </w:pPrChange>
      </w:pPr>
      <w:r w:rsidRPr="000B1791">
        <w:rPr>
          <w:lang w:val="en-US"/>
        </w:rPr>
        <w:t>(d)</w:t>
      </w:r>
      <w:r w:rsidRPr="000B1791">
        <w:rPr>
          <w:lang w:val="en-US"/>
        </w:rPr>
        <w:tab/>
      </w:r>
      <w:r w:rsidR="00CC18CC">
        <w:rPr>
          <w:lang w:val="en-US"/>
        </w:rPr>
        <w:t>save where an Act of Parliament provides otherwise, three years in respect of any other debt.</w:t>
      </w:r>
      <w:r w:rsidR="0071539C">
        <w:rPr>
          <w:lang w:val="en-US"/>
        </w:rPr>
        <w:t>”</w:t>
      </w:r>
    </w:p>
    <w:p w:rsidR="00CC18CC" w:rsidRPr="000B1791" w:rsidRDefault="00CC18CC">
      <w:pPr>
        <w:pStyle w:val="FootnoteText"/>
        <w:rPr>
          <w:lang w:val="en-US"/>
        </w:rPr>
      </w:pPr>
    </w:p>
  </w:footnote>
  <w:footnote w:id="14">
    <w:p w:rsidR="00CC18CC" w:rsidRPr="00424D89" w:rsidRDefault="00CC18CC">
      <w:pPr>
        <w:pStyle w:val="FootnoteText"/>
        <w:rPr>
          <w:lang w:val="en-US"/>
        </w:rPr>
      </w:pPr>
      <w:r>
        <w:rPr>
          <w:rStyle w:val="FootnoteReference"/>
        </w:rPr>
        <w:footnoteRef/>
      </w:r>
      <w:r>
        <w:t xml:space="preserve"> </w:t>
      </w:r>
      <w:r>
        <w:rPr>
          <w:lang w:val="en-US"/>
        </w:rPr>
        <w:t>At paras 87 to 88</w:t>
      </w:r>
    </w:p>
  </w:footnote>
  <w:footnote w:id="15">
    <w:p w:rsidR="00CC18CC" w:rsidRPr="00157BE6" w:rsidRDefault="00CC18CC">
      <w:pPr>
        <w:pStyle w:val="FootnoteText"/>
        <w:rPr>
          <w:lang w:val="en-US"/>
        </w:rPr>
      </w:pPr>
      <w:r>
        <w:rPr>
          <w:rStyle w:val="FootnoteReference"/>
        </w:rPr>
        <w:footnoteRef/>
      </w:r>
      <w:r>
        <w:t xml:space="preserve"> </w:t>
      </w:r>
      <w:r w:rsidR="00157BE6" w:rsidRPr="00787884">
        <w:t>Independent Institute of Education (Pty) Limited v Kwazulu-Natal Law Society and others</w:t>
      </w:r>
      <w:r w:rsidR="00157BE6">
        <w:rPr>
          <w:b/>
        </w:rPr>
        <w:t xml:space="preserve"> </w:t>
      </w:r>
      <w:r w:rsidR="00157BE6">
        <w:t>2020 (2) SA 325 (CC) at para 2</w:t>
      </w:r>
    </w:p>
  </w:footnote>
  <w:footnote w:id="16">
    <w:p w:rsidR="00CC18CC" w:rsidRPr="00157BE6" w:rsidRDefault="00CC18CC">
      <w:pPr>
        <w:pStyle w:val="FootnoteText"/>
        <w:rPr>
          <w:lang w:val="en-US"/>
        </w:rPr>
      </w:pPr>
      <w:r>
        <w:rPr>
          <w:rStyle w:val="FootnoteReference"/>
        </w:rPr>
        <w:footnoteRef/>
      </w:r>
      <w:r w:rsidR="00687060">
        <w:t xml:space="preserve"> </w:t>
      </w:r>
      <w:r w:rsidR="00157BE6" w:rsidRPr="00787884">
        <w:t>Investigating Directorate: Serious Economic Offences and others v Hyundai Motor Distributors (Pty) Ltd and others; In re Hyundai Motor Distributors (Pty) Ltd and others v Smit NO and others</w:t>
      </w:r>
      <w:r w:rsidR="00157BE6">
        <w:rPr>
          <w:b/>
        </w:rPr>
        <w:t xml:space="preserve"> </w:t>
      </w:r>
      <w:r w:rsidR="00157BE6">
        <w:t xml:space="preserve">2000 (10) BCLR 1079 (2000) (1) SA 545 (CC) paras 22-26. In </w:t>
      </w:r>
      <w:r w:rsidR="00157BE6" w:rsidRPr="00787884">
        <w:t>University of Stellenbosch Legal Aid Clinic v Minister of Justice</w:t>
      </w:r>
      <w:r w:rsidR="00157BE6">
        <w:rPr>
          <w:b/>
        </w:rPr>
        <w:t xml:space="preserve"> </w:t>
      </w:r>
      <w:r w:rsidR="00157BE6">
        <w:t xml:space="preserve">2016 (6) SA596 (CC) at para 135, Cameron J, writing on behalf of the majority of the Court, referred to this principle as </w:t>
      </w:r>
      <w:r w:rsidR="00157BE6">
        <w:rPr>
          <w:i/>
        </w:rPr>
        <w:t>“gold-plate doctrine”</w:t>
      </w:r>
      <w:r w:rsidR="00157BE6">
        <w:t xml:space="preserve"> in the Constitutional Court</w:t>
      </w:r>
    </w:p>
  </w:footnote>
  <w:footnote w:id="17">
    <w:p w:rsidR="00CC18CC" w:rsidRPr="009405C4" w:rsidRDefault="00CC18CC">
      <w:pPr>
        <w:pStyle w:val="FootnoteText"/>
        <w:rPr>
          <w:lang w:val="en-US"/>
        </w:rPr>
      </w:pPr>
      <w:r>
        <w:rPr>
          <w:rStyle w:val="FootnoteReference"/>
        </w:rPr>
        <w:footnoteRef/>
      </w:r>
      <w:r>
        <w:t xml:space="preserve"> </w:t>
      </w:r>
      <w:r w:rsidR="009405C4" w:rsidRPr="00787884">
        <w:t>Makate,</w:t>
      </w:r>
      <w:r w:rsidR="009405C4">
        <w:rPr>
          <w:b/>
        </w:rPr>
        <w:t xml:space="preserve"> </w:t>
      </w:r>
      <w:r w:rsidR="009405C4">
        <w:t xml:space="preserve">at para 89, read together with </w:t>
      </w:r>
      <w:r w:rsidR="009405C4" w:rsidRPr="00787884">
        <w:t>Wary Holdings (Pty) Ltd v Stalwo (Pty) Ltd and Another</w:t>
      </w:r>
      <w:r w:rsidR="009405C4">
        <w:rPr>
          <w:b/>
        </w:rPr>
        <w:t xml:space="preserve"> </w:t>
      </w:r>
      <w:r w:rsidR="009405C4">
        <w:t>2009</w:t>
      </w:r>
    </w:p>
  </w:footnote>
  <w:footnote w:id="18">
    <w:p w:rsidR="00CC18CC" w:rsidRPr="0079585E" w:rsidRDefault="00CC18CC" w:rsidP="00710C32">
      <w:pPr>
        <w:pStyle w:val="FootnoteText"/>
        <w:rPr>
          <w:lang w:val="en-US"/>
        </w:rPr>
      </w:pPr>
      <w:r>
        <w:rPr>
          <w:rStyle w:val="FootnoteReference"/>
        </w:rPr>
        <w:footnoteRef/>
      </w:r>
      <w:r>
        <w:t xml:space="preserve"> </w:t>
      </w:r>
      <w:r w:rsidRPr="00787884">
        <w:rPr>
          <w:lang w:val="en-US"/>
        </w:rPr>
        <w:t>Rikhoteso v Premier Limpopo Province and others</w:t>
      </w:r>
      <w:r>
        <w:rPr>
          <w:b/>
          <w:lang w:val="en-US"/>
        </w:rPr>
        <w:t xml:space="preserve"> </w:t>
      </w:r>
      <w:r>
        <w:rPr>
          <w:lang w:val="en-US"/>
        </w:rPr>
        <w:t>2021(4) BCLR 436 (CC) at paragraph 16</w:t>
      </w:r>
    </w:p>
  </w:footnote>
  <w:footnote w:id="19">
    <w:p w:rsidR="00CC18CC" w:rsidRPr="00FD5B2C" w:rsidRDefault="00CC18CC">
      <w:pPr>
        <w:pStyle w:val="FootnoteText"/>
        <w:rPr>
          <w:lang w:val="en-US"/>
        </w:rPr>
      </w:pPr>
      <w:r>
        <w:rPr>
          <w:rStyle w:val="FootnoteReference"/>
        </w:rPr>
        <w:footnoteRef/>
      </w:r>
      <w:r>
        <w:t xml:space="preserve"> </w:t>
      </w:r>
      <w:r>
        <w:rPr>
          <w:lang w:val="en-US"/>
        </w:rPr>
        <w:t>At para 7</w:t>
      </w:r>
    </w:p>
  </w:footnote>
  <w:footnote w:id="20">
    <w:p w:rsidR="00CC18CC" w:rsidRPr="00EA7D87" w:rsidRDefault="00CC18CC">
      <w:pPr>
        <w:pStyle w:val="FootnoteText"/>
        <w:rPr>
          <w:lang w:val="en-US"/>
        </w:rPr>
      </w:pPr>
      <w:r>
        <w:rPr>
          <w:rStyle w:val="FootnoteReference"/>
        </w:rPr>
        <w:footnoteRef/>
      </w:r>
      <w:r>
        <w:t xml:space="preserve"> </w:t>
      </w:r>
      <w:r>
        <w:rPr>
          <w:lang w:val="en-US"/>
        </w:rPr>
        <w:t>At paras 85 -92</w:t>
      </w:r>
    </w:p>
  </w:footnote>
  <w:footnote w:id="21">
    <w:p w:rsidR="00CC18CC" w:rsidRPr="006D5E86" w:rsidRDefault="00CC18CC">
      <w:pPr>
        <w:pStyle w:val="FootnoteText"/>
        <w:rPr>
          <w:lang w:val="en-US"/>
        </w:rPr>
      </w:pPr>
      <w:r>
        <w:rPr>
          <w:rStyle w:val="FootnoteReference"/>
        </w:rPr>
        <w:footnoteRef/>
      </w:r>
      <w:r>
        <w:t xml:space="preserve"> </w:t>
      </w:r>
      <w:r>
        <w:rPr>
          <w:lang w:val="en-US"/>
        </w:rPr>
        <w:t>Desai N.O. v Desai and others 1996(1) SA141(A) at 1461</w:t>
      </w:r>
    </w:p>
  </w:footnote>
  <w:footnote w:id="22">
    <w:p w:rsidR="00071A26" w:rsidRDefault="00071A26">
      <w:pPr>
        <w:pStyle w:val="FootnoteText"/>
        <w:rPr>
          <w:lang w:val="en-US"/>
        </w:rPr>
      </w:pPr>
      <w:r>
        <w:rPr>
          <w:rStyle w:val="FootnoteReference"/>
        </w:rPr>
        <w:footnoteRef/>
      </w:r>
      <w:r>
        <w:t xml:space="preserve"> </w:t>
      </w:r>
      <w:r>
        <w:rPr>
          <w:lang w:val="en-US"/>
        </w:rPr>
        <w:t>2008(4)</w:t>
      </w:r>
      <w:r w:rsidR="00624B34">
        <w:rPr>
          <w:lang w:val="en-US"/>
        </w:rPr>
        <w:t xml:space="preserve"> </w:t>
      </w:r>
      <w:r>
        <w:rPr>
          <w:lang w:val="en-US"/>
        </w:rPr>
        <w:t>SA237(CC) at para 42</w:t>
      </w:r>
    </w:p>
    <w:p w:rsidR="006C2EBA" w:rsidRPr="006C2EBA" w:rsidRDefault="004857A7">
      <w:pPr>
        <w:pStyle w:val="FootnoteText"/>
        <w:rPr>
          <w:lang w:val="en-US"/>
        </w:rPr>
      </w:pPr>
      <w:r>
        <w:rPr>
          <w:lang w:val="en-US"/>
        </w:rPr>
        <w:t>23</w:t>
      </w:r>
      <w:r w:rsidR="006C2EBA" w:rsidRPr="006C2EBA">
        <w:rPr>
          <w:lang w:val="en-US"/>
        </w:rPr>
        <w:t xml:space="preserve"> at para 42</w:t>
      </w:r>
    </w:p>
  </w:footnote>
  <w:footnote w:id="23">
    <w:p w:rsidR="00CC18CC" w:rsidRPr="0019352A" w:rsidRDefault="00CC18CC">
      <w:pPr>
        <w:pStyle w:val="FootnoteText"/>
        <w:rPr>
          <w:lang w:val="en-US"/>
        </w:rPr>
      </w:pPr>
    </w:p>
  </w:footnote>
  <w:footnote w:id="24">
    <w:p w:rsidR="00CC18CC" w:rsidRPr="006D3B4C" w:rsidRDefault="00CC18CC" w:rsidP="00A361F3">
      <w:pPr>
        <w:pStyle w:val="FootnoteText"/>
        <w:rPr>
          <w:lang w:val="en-US"/>
        </w:rPr>
      </w:pPr>
      <w:r>
        <w:rPr>
          <w:rStyle w:val="FootnoteReference"/>
        </w:rPr>
        <w:footnoteRef/>
      </w:r>
      <w:r>
        <w:t xml:space="preserve"> </w:t>
      </w:r>
      <w:r w:rsidRPr="00787884">
        <w:rPr>
          <w:lang w:val="en-US"/>
        </w:rPr>
        <w:t>Bwanya v Master of the High Court, Cape Town and others</w:t>
      </w:r>
      <w:r>
        <w:rPr>
          <w:lang w:val="en-US"/>
        </w:rPr>
        <w:t xml:space="preserve"> 2022(3) SA 250 (CC) at paragraph 74. </w:t>
      </w:r>
    </w:p>
  </w:footnote>
  <w:footnote w:id="25">
    <w:p w:rsidR="00CC18CC" w:rsidRPr="006D3B4C" w:rsidRDefault="00CC18CC" w:rsidP="00A361F3">
      <w:pPr>
        <w:pStyle w:val="FootnoteText"/>
        <w:rPr>
          <w:lang w:val="en-US"/>
        </w:rPr>
      </w:pPr>
      <w:r>
        <w:rPr>
          <w:rStyle w:val="FootnoteReference"/>
        </w:rPr>
        <w:footnoteRef/>
      </w:r>
      <w:r>
        <w:t xml:space="preserve"> </w:t>
      </w:r>
      <w:r>
        <w:rPr>
          <w:lang w:val="en-US"/>
        </w:rPr>
        <w:t>2005(5) BCLR 446 (CC)</w:t>
      </w:r>
      <w:r w:rsidR="009D52EB">
        <w:rPr>
          <w:lang w:val="en-US"/>
        </w:rPr>
        <w:t>.</w:t>
      </w:r>
    </w:p>
  </w:footnote>
  <w:footnote w:id="26">
    <w:p w:rsidR="00CC18CC" w:rsidRPr="006D3B4C" w:rsidRDefault="00CC18CC" w:rsidP="00A361F3">
      <w:pPr>
        <w:pStyle w:val="FootnoteText"/>
        <w:rPr>
          <w:lang w:val="en-US"/>
        </w:rPr>
      </w:pPr>
      <w:r>
        <w:rPr>
          <w:rStyle w:val="FootnoteReference"/>
        </w:rPr>
        <w:footnoteRef/>
      </w:r>
      <w:r>
        <w:t xml:space="preserve"> </w:t>
      </w:r>
      <w:r>
        <w:rPr>
          <w:lang w:val="en-US"/>
        </w:rPr>
        <w:t>2004(5) SA 331 (CC) at paragraph 22</w:t>
      </w:r>
      <w:r w:rsidR="009D52EB">
        <w:rPr>
          <w:lang w:val="en-US"/>
        </w:rPr>
        <w:t>.</w:t>
      </w:r>
    </w:p>
  </w:footnote>
  <w:footnote w:id="27">
    <w:p w:rsidR="00CC18CC" w:rsidRPr="00DD3EF5" w:rsidRDefault="00CC18CC" w:rsidP="00B330B1">
      <w:pPr>
        <w:pStyle w:val="FootnoteText"/>
        <w:rPr>
          <w:lang w:val="en-US"/>
        </w:rPr>
      </w:pPr>
      <w:r w:rsidRPr="009D52EB">
        <w:rPr>
          <w:rStyle w:val="FootnoteReference"/>
        </w:rPr>
        <w:footnoteRef/>
      </w:r>
      <w:r w:rsidRPr="009D52EB">
        <w:t xml:space="preserve"> </w:t>
      </w:r>
      <w:r w:rsidRPr="00AF135A">
        <w:rPr>
          <w:lang w:val="en-US"/>
        </w:rPr>
        <w:t>SA v JHA</w:t>
      </w:r>
      <w:r w:rsidRPr="00AE410A">
        <w:rPr>
          <w:b/>
          <w:lang w:val="en-US"/>
        </w:rPr>
        <w:t xml:space="preserve"> </w:t>
      </w:r>
      <w:r>
        <w:rPr>
          <w:lang w:val="en-US"/>
        </w:rPr>
        <w:t>2021(1) SA 541 (WCC) (JHA) at paragraph 30</w:t>
      </w:r>
      <w:r w:rsidR="009D52EB">
        <w:rPr>
          <w:lang w:val="en-US"/>
        </w:rPr>
        <w:t>.</w:t>
      </w:r>
    </w:p>
  </w:footnote>
  <w:footnote w:id="28">
    <w:p w:rsidR="00CC18CC" w:rsidRDefault="00CC18CC">
      <w:pPr>
        <w:pStyle w:val="FootnoteText"/>
      </w:pPr>
      <w:r>
        <w:rPr>
          <w:rStyle w:val="FootnoteReference"/>
        </w:rPr>
        <w:footnoteRef/>
      </w:r>
      <w:r>
        <w:t xml:space="preserve"> 27. Health care, food, water and social security.-</w:t>
      </w:r>
    </w:p>
    <w:p w:rsidR="00CC18CC" w:rsidRDefault="00CC18CC">
      <w:pPr>
        <w:pStyle w:val="FootnoteText"/>
      </w:pPr>
      <w:r>
        <w:t>(1) Everyone has the right to have access to-</w:t>
      </w:r>
    </w:p>
    <w:p w:rsidR="00CC18CC" w:rsidRDefault="00CC18CC" w:rsidP="0066245A">
      <w:pPr>
        <w:pStyle w:val="FootnoteText"/>
        <w:ind w:firstLine="720"/>
      </w:pPr>
      <w:r>
        <w:t>(a) health care services, including reproductive health care;</w:t>
      </w:r>
    </w:p>
    <w:p w:rsidR="00CC18CC" w:rsidRDefault="00CC18CC" w:rsidP="0066245A">
      <w:pPr>
        <w:pStyle w:val="FootnoteText"/>
        <w:ind w:firstLine="720"/>
      </w:pPr>
      <w:r>
        <w:t xml:space="preserve">(b) sufficient food and water; and </w:t>
      </w:r>
    </w:p>
    <w:p w:rsidR="00CC18CC" w:rsidRDefault="00CC18CC" w:rsidP="0066245A">
      <w:pPr>
        <w:pStyle w:val="FootnoteText"/>
        <w:ind w:left="720"/>
      </w:pPr>
      <w:r>
        <w:t xml:space="preserve">(c) social security, including, if they are unable to support themselves and their dependants, appropriate social assistance. </w:t>
      </w:r>
    </w:p>
    <w:p w:rsidR="00CC18CC" w:rsidRDefault="00CC18CC" w:rsidP="0066245A">
      <w:pPr>
        <w:pStyle w:val="FootnoteText"/>
      </w:pPr>
      <w:r>
        <w:t xml:space="preserve">(2) The state must take reasonable legislative and other measures, within its available resources, to achieve the progressive realisation of each of these rights. </w:t>
      </w:r>
    </w:p>
    <w:p w:rsidR="00CC18CC" w:rsidRPr="001811B8" w:rsidRDefault="00CC18CC" w:rsidP="0066245A">
      <w:pPr>
        <w:pStyle w:val="FootnoteText"/>
        <w:rPr>
          <w:lang w:val="en-US"/>
        </w:rPr>
      </w:pPr>
      <w:r>
        <w:t>(3) No one may be refused emergency medical treatment.</w:t>
      </w:r>
    </w:p>
  </w:footnote>
  <w:footnote w:id="29">
    <w:p w:rsidR="00CC18CC" w:rsidRPr="00185B1E" w:rsidRDefault="00CC18CC">
      <w:pPr>
        <w:pStyle w:val="FootnoteText"/>
        <w:rPr>
          <w:lang w:val="en-US"/>
        </w:rPr>
      </w:pPr>
      <w:r>
        <w:rPr>
          <w:rStyle w:val="FootnoteReference"/>
        </w:rPr>
        <w:footnoteRef/>
      </w:r>
      <w:r>
        <w:t xml:space="preserve"> </w:t>
      </w:r>
      <w:r w:rsidRPr="00AF135A">
        <w:rPr>
          <w:rFonts w:cstheme="minorHAnsi"/>
          <w:lang w:val="en-US"/>
        </w:rPr>
        <w:t>1991 (1) SA 525 at 532 G-I</w:t>
      </w:r>
      <w:r w:rsidR="009D52EB">
        <w:rPr>
          <w:rFonts w:cstheme="minorHAnsi"/>
          <w:lang w:val="en-US"/>
        </w:rPr>
        <w:t>.</w:t>
      </w:r>
    </w:p>
  </w:footnote>
  <w:footnote w:id="30">
    <w:p w:rsidR="00CC18CC" w:rsidRPr="00185B1E" w:rsidRDefault="00CC18CC">
      <w:pPr>
        <w:pStyle w:val="FootnoteText"/>
        <w:rPr>
          <w:lang w:val="en-US"/>
        </w:rPr>
      </w:pPr>
      <w:r>
        <w:rPr>
          <w:rStyle w:val="FootnoteReference"/>
        </w:rPr>
        <w:footnoteRef/>
      </w:r>
      <w:r>
        <w:t xml:space="preserve"> </w:t>
      </w:r>
      <w:r>
        <w:rPr>
          <w:lang w:val="en-US"/>
        </w:rPr>
        <w:t>2007 (2) SA 334 SCA</w:t>
      </w:r>
      <w:r w:rsidR="009D52EB">
        <w:rPr>
          <w:lang w:val="en-US"/>
        </w:rPr>
        <w:t>.</w:t>
      </w:r>
    </w:p>
  </w:footnote>
  <w:footnote w:id="31">
    <w:p w:rsidR="00CC18CC" w:rsidRPr="00CF48B6" w:rsidRDefault="00CC18CC">
      <w:pPr>
        <w:pStyle w:val="FootnoteText"/>
        <w:rPr>
          <w:lang w:val="en-US"/>
        </w:rPr>
      </w:pPr>
      <w:r>
        <w:rPr>
          <w:rStyle w:val="FootnoteReference"/>
        </w:rPr>
        <w:footnoteRef/>
      </w:r>
      <w:r>
        <w:t xml:space="preserve"> </w:t>
      </w:r>
      <w:r>
        <w:rPr>
          <w:lang w:val="en-US"/>
        </w:rPr>
        <w:t>2021 JDR1119 (WCC)at [11]</w:t>
      </w:r>
      <w:r w:rsidR="009D52EB">
        <w:rPr>
          <w:lang w:val="en-US"/>
        </w:rPr>
        <w:t>.</w:t>
      </w:r>
    </w:p>
  </w:footnote>
  <w:footnote w:id="32">
    <w:p w:rsidR="00CC18CC" w:rsidRPr="00AF135A" w:rsidRDefault="00CC18CC">
      <w:pPr>
        <w:pStyle w:val="FootnoteText"/>
        <w:rPr>
          <w:rFonts w:cstheme="minorHAnsi"/>
          <w:lang w:val="en-US"/>
        </w:rPr>
      </w:pPr>
      <w:r>
        <w:rPr>
          <w:rStyle w:val="FootnoteReference"/>
        </w:rPr>
        <w:footnoteRef/>
      </w:r>
      <w:r>
        <w:t xml:space="preserve"> </w:t>
      </w:r>
      <w:r w:rsidRPr="00AF135A">
        <w:rPr>
          <w:rFonts w:cstheme="minorHAnsi"/>
          <w:lang w:val="en-US"/>
        </w:rPr>
        <w:t>2017(5) SA 9 (CC) at paras 31 -34</w:t>
      </w:r>
      <w:r w:rsidR="009D52EB">
        <w:rPr>
          <w:rFonts w:cstheme="minorHAnsi"/>
          <w:lang w:val="en-US"/>
        </w:rPr>
        <w:t>.</w:t>
      </w:r>
    </w:p>
  </w:footnote>
  <w:footnote w:id="33">
    <w:p w:rsidR="00CC18CC" w:rsidRPr="009A5821" w:rsidRDefault="00CC18CC" w:rsidP="00433458">
      <w:pPr>
        <w:pStyle w:val="FootnoteText"/>
        <w:rPr>
          <w:lang w:val="en-US"/>
        </w:rPr>
      </w:pPr>
      <w:r>
        <w:rPr>
          <w:rStyle w:val="FootnoteReference"/>
        </w:rPr>
        <w:footnoteRef/>
      </w:r>
      <w:r>
        <w:t xml:space="preserve"> 2007 (6) SA313 SCA at paras 19 to 21</w:t>
      </w:r>
    </w:p>
  </w:footnote>
  <w:footnote w:id="34">
    <w:p w:rsidR="00CC18CC" w:rsidRPr="009A5821" w:rsidRDefault="00CC18CC">
      <w:pPr>
        <w:pStyle w:val="FootnoteText"/>
        <w:rPr>
          <w:lang w:val="en-US"/>
        </w:rPr>
      </w:pPr>
      <w:r>
        <w:rPr>
          <w:rStyle w:val="FootnoteReference"/>
        </w:rPr>
        <w:footnoteRef/>
      </w:r>
      <w:r>
        <w:t xml:space="preserve"> Makate supra at para 192</w:t>
      </w:r>
    </w:p>
  </w:footnote>
  <w:footnote w:id="35">
    <w:p w:rsidR="00CC18CC" w:rsidRPr="00532799" w:rsidRDefault="00CC18CC">
      <w:pPr>
        <w:pStyle w:val="FootnoteText"/>
        <w:rPr>
          <w:lang w:val="en-US"/>
        </w:rPr>
      </w:pPr>
      <w:r>
        <w:rPr>
          <w:rStyle w:val="FootnoteReference"/>
        </w:rPr>
        <w:footnoteRef/>
      </w:r>
      <w:r>
        <w:t xml:space="preserve"> </w:t>
      </w:r>
      <w:r>
        <w:rPr>
          <w:lang w:val="en-US"/>
        </w:rPr>
        <w:t>2010 (6) SA 19 (SCA)</w:t>
      </w:r>
    </w:p>
  </w:footnote>
  <w:footnote w:id="36">
    <w:p w:rsidR="006269C7" w:rsidRDefault="00CC18CC">
      <w:pPr>
        <w:pStyle w:val="FootnoteText"/>
        <w:rPr>
          <w:b/>
        </w:rPr>
      </w:pPr>
      <w:r>
        <w:rPr>
          <w:rStyle w:val="FootnoteReference"/>
        </w:rPr>
        <w:footnoteRef/>
      </w:r>
      <w:r>
        <w:t xml:space="preserve">  </w:t>
      </w:r>
      <w:r w:rsidR="006269C7">
        <w:t>“</w:t>
      </w:r>
      <w:r>
        <w:t xml:space="preserve">13 </w:t>
      </w:r>
      <w:r w:rsidR="006269C7" w:rsidRPr="00C566F2">
        <w:t>Completion of prescription delayed in certain circumstances</w:t>
      </w:r>
    </w:p>
    <w:p w:rsidR="00CC18CC" w:rsidRDefault="00CC18CC">
      <w:pPr>
        <w:pStyle w:val="FootnoteText"/>
      </w:pPr>
      <w:r>
        <w:t xml:space="preserve">(1) </w:t>
      </w:r>
      <w:r w:rsidR="006269C7">
        <w:t xml:space="preserve"> If-</w:t>
      </w:r>
      <w:r>
        <w:t xml:space="preserve"> </w:t>
      </w:r>
    </w:p>
    <w:p w:rsidR="00F052A4" w:rsidRDefault="006269C7">
      <w:pPr>
        <w:pStyle w:val="FootnoteText"/>
      </w:pPr>
      <w:r>
        <w:t>(g)</w:t>
      </w:r>
      <w:r w:rsidR="00CC18CC">
        <w:t xml:space="preserve">the debt is the object of a claim filed against the estate of a debtor who is deceased or against the insolvent estate of the debtor or against a company in liquidation or against an applicant under the Agricultural Credit Act, of 1966, or </w:t>
      </w:r>
    </w:p>
    <w:p w:rsidR="00F052A4" w:rsidRDefault="00F052A4">
      <w:pPr>
        <w:pStyle w:val="FootnoteText"/>
      </w:pPr>
      <w:r>
        <w:t>(h)</w:t>
      </w:r>
    </w:p>
    <w:p w:rsidR="00CC18CC" w:rsidRDefault="00F052A4">
      <w:pPr>
        <w:pStyle w:val="FootnoteText"/>
      </w:pPr>
      <w:r>
        <w:t>(i)</w:t>
      </w:r>
      <w:r w:rsidR="00CC18CC">
        <w:t xml:space="preserve"> . . .</w:t>
      </w:r>
    </w:p>
    <w:p w:rsidR="006269C7" w:rsidRPr="0023107E" w:rsidRDefault="006269C7">
      <w:pPr>
        <w:pStyle w:val="FootnoteText"/>
        <w:rPr>
          <w:lang w:val="en-US"/>
        </w:rPr>
      </w:pPr>
      <w:r>
        <w:t>The period of prescription shall not be completed</w:t>
      </w:r>
      <w:r w:rsidR="00F052A4">
        <w:t xml:space="preserve"> </w:t>
      </w:r>
      <w:r>
        <w:t>before a year has elapsed after the day</w:t>
      </w:r>
      <w:r w:rsidR="00E326AE">
        <w:t xml:space="preserve"> </w:t>
      </w:r>
      <w:r>
        <w:t>referred to</w:t>
      </w:r>
      <w:r w:rsidR="00E326AE">
        <w:t xml:space="preserve"> </w:t>
      </w:r>
      <w:r>
        <w:t xml:space="preserve">in paragraph </w:t>
      </w:r>
      <w:r w:rsidR="00F052A4">
        <w:t>(</w:t>
      </w:r>
      <w:r>
        <w:t>i</w:t>
      </w:r>
      <w:r w:rsidR="00F052A4">
        <w:t>)</w:t>
      </w:r>
    </w:p>
  </w:footnote>
  <w:footnote w:id="37">
    <w:p w:rsidR="00CC18CC" w:rsidRPr="0070253D" w:rsidRDefault="00CC18CC">
      <w:pPr>
        <w:pStyle w:val="FootnoteText"/>
        <w:rPr>
          <w:lang w:val="en-US"/>
        </w:rPr>
      </w:pPr>
      <w:r>
        <w:rPr>
          <w:rStyle w:val="FootnoteReference"/>
        </w:rPr>
        <w:footnoteRef/>
      </w:r>
      <w:r>
        <w:t xml:space="preserve"> </w:t>
      </w:r>
      <w:r w:rsidRPr="006E6FC7">
        <w:rPr>
          <w:rFonts w:ascii="Arial" w:hAnsi="Arial" w:cs="Arial"/>
          <w:lang w:val="en-US"/>
        </w:rPr>
        <w:t xml:space="preserve">See </w:t>
      </w:r>
      <w:r w:rsidRPr="00C566F2">
        <w:rPr>
          <w:rFonts w:ascii="Arial" w:hAnsi="Arial" w:cs="Arial"/>
          <w:i/>
          <w:lang w:val="en-US"/>
        </w:rPr>
        <w:t>Wingate-Pierce v SARS</w:t>
      </w:r>
      <w:r w:rsidRPr="006E6FC7">
        <w:rPr>
          <w:rFonts w:ascii="Arial" w:hAnsi="Arial" w:cs="Arial"/>
          <w:b/>
          <w:lang w:val="en-US"/>
        </w:rPr>
        <w:t xml:space="preserve"> </w:t>
      </w:r>
      <w:r w:rsidRPr="006E6FC7">
        <w:rPr>
          <w:rFonts w:ascii="Arial" w:hAnsi="Arial" w:cs="Arial"/>
          <w:lang w:val="en-US"/>
        </w:rPr>
        <w:t>2019(6) SA 196 (GJ) paragraph 81-84.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030829"/>
      <w:docPartObj>
        <w:docPartGallery w:val="Page Numbers (Top of Page)"/>
        <w:docPartUnique/>
      </w:docPartObj>
    </w:sdtPr>
    <w:sdtEndPr>
      <w:rPr>
        <w:noProof/>
      </w:rPr>
    </w:sdtEndPr>
    <w:sdtContent>
      <w:p w:rsidR="00CC18CC" w:rsidRDefault="00CC18CC">
        <w:pPr>
          <w:pStyle w:val="Header"/>
          <w:jc w:val="center"/>
        </w:pPr>
        <w:r>
          <w:fldChar w:fldCharType="begin"/>
        </w:r>
        <w:r>
          <w:instrText xml:space="preserve"> PAGE   \* MERGEFORMAT </w:instrText>
        </w:r>
        <w:r>
          <w:fldChar w:fldCharType="separate"/>
        </w:r>
        <w:r w:rsidR="002431E4">
          <w:rPr>
            <w:noProof/>
          </w:rPr>
          <w:t>1</w:t>
        </w:r>
        <w:r>
          <w:rPr>
            <w:noProof/>
          </w:rPr>
          <w:fldChar w:fldCharType="end"/>
        </w:r>
      </w:p>
    </w:sdtContent>
  </w:sdt>
  <w:p w:rsidR="00CC18CC" w:rsidRDefault="00CC18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773A2"/>
    <w:multiLevelType w:val="hybridMultilevel"/>
    <w:tmpl w:val="FB8E09BE"/>
    <w:lvl w:ilvl="0" w:tplc="7ACA32B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4ED055C5"/>
    <w:multiLevelType w:val="hybridMultilevel"/>
    <w:tmpl w:val="63A421EA"/>
    <w:lvl w:ilvl="0" w:tplc="9918A85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Bruce">
    <w15:presenceInfo w15:providerId="None" w15:userId="Mary Bru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61"/>
    <w:rsid w:val="00012B07"/>
    <w:rsid w:val="000431BC"/>
    <w:rsid w:val="00067117"/>
    <w:rsid w:val="00071A26"/>
    <w:rsid w:val="00071EB4"/>
    <w:rsid w:val="000A1767"/>
    <w:rsid w:val="000B1791"/>
    <w:rsid w:val="000B4A98"/>
    <w:rsid w:val="000C029C"/>
    <w:rsid w:val="000C5C44"/>
    <w:rsid w:val="000D4120"/>
    <w:rsid w:val="000E6A41"/>
    <w:rsid w:val="000E6DC4"/>
    <w:rsid w:val="000F072D"/>
    <w:rsid w:val="000F2B11"/>
    <w:rsid w:val="001010BA"/>
    <w:rsid w:val="001049CB"/>
    <w:rsid w:val="00106B95"/>
    <w:rsid w:val="001107BB"/>
    <w:rsid w:val="00120981"/>
    <w:rsid w:val="00132455"/>
    <w:rsid w:val="00132E48"/>
    <w:rsid w:val="00157BE6"/>
    <w:rsid w:val="001612E0"/>
    <w:rsid w:val="0017009F"/>
    <w:rsid w:val="0017237E"/>
    <w:rsid w:val="001766D2"/>
    <w:rsid w:val="001800FC"/>
    <w:rsid w:val="001811B8"/>
    <w:rsid w:val="001819BD"/>
    <w:rsid w:val="00182CD0"/>
    <w:rsid w:val="00182E75"/>
    <w:rsid w:val="00184FC8"/>
    <w:rsid w:val="00185B1E"/>
    <w:rsid w:val="00190AE3"/>
    <w:rsid w:val="0019352A"/>
    <w:rsid w:val="00193ACD"/>
    <w:rsid w:val="00195901"/>
    <w:rsid w:val="001A0924"/>
    <w:rsid w:val="001A0A53"/>
    <w:rsid w:val="001A2CEE"/>
    <w:rsid w:val="001B2261"/>
    <w:rsid w:val="001B4F71"/>
    <w:rsid w:val="001B7A84"/>
    <w:rsid w:val="001C0C20"/>
    <w:rsid w:val="001C1B2F"/>
    <w:rsid w:val="001C32A7"/>
    <w:rsid w:val="001C5CE3"/>
    <w:rsid w:val="001D4234"/>
    <w:rsid w:val="001E0B80"/>
    <w:rsid w:val="001E5C4B"/>
    <w:rsid w:val="001F4BD8"/>
    <w:rsid w:val="001F6ED3"/>
    <w:rsid w:val="00205D52"/>
    <w:rsid w:val="0021716E"/>
    <w:rsid w:val="002175F4"/>
    <w:rsid w:val="00225FAC"/>
    <w:rsid w:val="0023107E"/>
    <w:rsid w:val="002431E4"/>
    <w:rsid w:val="00243C08"/>
    <w:rsid w:val="0025274C"/>
    <w:rsid w:val="002652C9"/>
    <w:rsid w:val="002818F9"/>
    <w:rsid w:val="00283911"/>
    <w:rsid w:val="00294E37"/>
    <w:rsid w:val="00295868"/>
    <w:rsid w:val="002A3194"/>
    <w:rsid w:val="002A695C"/>
    <w:rsid w:val="002A78FA"/>
    <w:rsid w:val="002B2D5E"/>
    <w:rsid w:val="002B661B"/>
    <w:rsid w:val="002C19B4"/>
    <w:rsid w:val="002D3EDD"/>
    <w:rsid w:val="002E10C1"/>
    <w:rsid w:val="002E44E8"/>
    <w:rsid w:val="00304444"/>
    <w:rsid w:val="003513C2"/>
    <w:rsid w:val="00353849"/>
    <w:rsid w:val="00360116"/>
    <w:rsid w:val="00363E64"/>
    <w:rsid w:val="00365F46"/>
    <w:rsid w:val="0037067F"/>
    <w:rsid w:val="0037173B"/>
    <w:rsid w:val="00372F7E"/>
    <w:rsid w:val="00376FC7"/>
    <w:rsid w:val="003829BD"/>
    <w:rsid w:val="00382DD6"/>
    <w:rsid w:val="00385DB7"/>
    <w:rsid w:val="00393C3A"/>
    <w:rsid w:val="00397B10"/>
    <w:rsid w:val="003A6399"/>
    <w:rsid w:val="003B2399"/>
    <w:rsid w:val="003B38F3"/>
    <w:rsid w:val="003B6A15"/>
    <w:rsid w:val="003C4C5F"/>
    <w:rsid w:val="00405D88"/>
    <w:rsid w:val="00414F2E"/>
    <w:rsid w:val="00415021"/>
    <w:rsid w:val="0041514D"/>
    <w:rsid w:val="00424D89"/>
    <w:rsid w:val="00427040"/>
    <w:rsid w:val="00432FCA"/>
    <w:rsid w:val="00433458"/>
    <w:rsid w:val="00433FE5"/>
    <w:rsid w:val="00435D52"/>
    <w:rsid w:val="004637D8"/>
    <w:rsid w:val="0046583B"/>
    <w:rsid w:val="0046622E"/>
    <w:rsid w:val="0047091A"/>
    <w:rsid w:val="004763EF"/>
    <w:rsid w:val="004857A7"/>
    <w:rsid w:val="004865DB"/>
    <w:rsid w:val="00486DC8"/>
    <w:rsid w:val="0049408F"/>
    <w:rsid w:val="004B050D"/>
    <w:rsid w:val="004B460D"/>
    <w:rsid w:val="004D4794"/>
    <w:rsid w:val="004D5C07"/>
    <w:rsid w:val="004D679B"/>
    <w:rsid w:val="004E2276"/>
    <w:rsid w:val="005034A4"/>
    <w:rsid w:val="0051063E"/>
    <w:rsid w:val="0051446F"/>
    <w:rsid w:val="00526C0D"/>
    <w:rsid w:val="00532799"/>
    <w:rsid w:val="00535B06"/>
    <w:rsid w:val="005541EB"/>
    <w:rsid w:val="00554379"/>
    <w:rsid w:val="0055587B"/>
    <w:rsid w:val="0055639C"/>
    <w:rsid w:val="0057698E"/>
    <w:rsid w:val="005832EE"/>
    <w:rsid w:val="005A01DE"/>
    <w:rsid w:val="005A37DF"/>
    <w:rsid w:val="005B5D9E"/>
    <w:rsid w:val="005B756F"/>
    <w:rsid w:val="005C3B96"/>
    <w:rsid w:val="005C5F01"/>
    <w:rsid w:val="005E2EE8"/>
    <w:rsid w:val="005E5DC8"/>
    <w:rsid w:val="005F4D2B"/>
    <w:rsid w:val="00624B34"/>
    <w:rsid w:val="006251E4"/>
    <w:rsid w:val="006269C7"/>
    <w:rsid w:val="006305DC"/>
    <w:rsid w:val="00631369"/>
    <w:rsid w:val="0063329E"/>
    <w:rsid w:val="0066245A"/>
    <w:rsid w:val="00663146"/>
    <w:rsid w:val="00666774"/>
    <w:rsid w:val="00674C08"/>
    <w:rsid w:val="00682FA1"/>
    <w:rsid w:val="00687060"/>
    <w:rsid w:val="0069619F"/>
    <w:rsid w:val="006969BD"/>
    <w:rsid w:val="006A1700"/>
    <w:rsid w:val="006A4C02"/>
    <w:rsid w:val="006B6B19"/>
    <w:rsid w:val="006C2EBA"/>
    <w:rsid w:val="006D3B4C"/>
    <w:rsid w:val="006D5E86"/>
    <w:rsid w:val="006D6BBD"/>
    <w:rsid w:val="006D7C5A"/>
    <w:rsid w:val="006E1A2F"/>
    <w:rsid w:val="006E6FC7"/>
    <w:rsid w:val="0070253D"/>
    <w:rsid w:val="007075A6"/>
    <w:rsid w:val="00710C32"/>
    <w:rsid w:val="007114E3"/>
    <w:rsid w:val="0071539C"/>
    <w:rsid w:val="007162FC"/>
    <w:rsid w:val="00720714"/>
    <w:rsid w:val="007459E5"/>
    <w:rsid w:val="0074654E"/>
    <w:rsid w:val="00762C23"/>
    <w:rsid w:val="00773D07"/>
    <w:rsid w:val="00787884"/>
    <w:rsid w:val="007938F9"/>
    <w:rsid w:val="0079585E"/>
    <w:rsid w:val="007A4BC6"/>
    <w:rsid w:val="007B3559"/>
    <w:rsid w:val="007C4C34"/>
    <w:rsid w:val="007C635D"/>
    <w:rsid w:val="007D12DB"/>
    <w:rsid w:val="007D2495"/>
    <w:rsid w:val="007D41F6"/>
    <w:rsid w:val="007D5B61"/>
    <w:rsid w:val="007E0C74"/>
    <w:rsid w:val="007E0EA2"/>
    <w:rsid w:val="007E5165"/>
    <w:rsid w:val="00832736"/>
    <w:rsid w:val="008612AE"/>
    <w:rsid w:val="008707A3"/>
    <w:rsid w:val="0087112C"/>
    <w:rsid w:val="00891A2A"/>
    <w:rsid w:val="00892806"/>
    <w:rsid w:val="00895645"/>
    <w:rsid w:val="008A198F"/>
    <w:rsid w:val="008B3F66"/>
    <w:rsid w:val="008B4BB6"/>
    <w:rsid w:val="008B7050"/>
    <w:rsid w:val="008C0B23"/>
    <w:rsid w:val="008C0EBE"/>
    <w:rsid w:val="008C19C9"/>
    <w:rsid w:val="008C1C2D"/>
    <w:rsid w:val="008C7CB3"/>
    <w:rsid w:val="008D4E29"/>
    <w:rsid w:val="008E4A19"/>
    <w:rsid w:val="008E6C07"/>
    <w:rsid w:val="008F2D37"/>
    <w:rsid w:val="008F51F4"/>
    <w:rsid w:val="009045D0"/>
    <w:rsid w:val="00926048"/>
    <w:rsid w:val="00931AA1"/>
    <w:rsid w:val="00933755"/>
    <w:rsid w:val="00936D4C"/>
    <w:rsid w:val="009405C4"/>
    <w:rsid w:val="00946BFD"/>
    <w:rsid w:val="00947FF7"/>
    <w:rsid w:val="00951194"/>
    <w:rsid w:val="00955EE5"/>
    <w:rsid w:val="009566A2"/>
    <w:rsid w:val="00967610"/>
    <w:rsid w:val="00970915"/>
    <w:rsid w:val="00981C44"/>
    <w:rsid w:val="00983139"/>
    <w:rsid w:val="00983B96"/>
    <w:rsid w:val="00985685"/>
    <w:rsid w:val="009920C3"/>
    <w:rsid w:val="009950AE"/>
    <w:rsid w:val="00995B6A"/>
    <w:rsid w:val="009A1728"/>
    <w:rsid w:val="009A2A4E"/>
    <w:rsid w:val="009A51FB"/>
    <w:rsid w:val="009A5796"/>
    <w:rsid w:val="009A5821"/>
    <w:rsid w:val="009B73A8"/>
    <w:rsid w:val="009C4D57"/>
    <w:rsid w:val="009C52AA"/>
    <w:rsid w:val="009D065A"/>
    <w:rsid w:val="009D52EB"/>
    <w:rsid w:val="009F1BBF"/>
    <w:rsid w:val="00A13A2D"/>
    <w:rsid w:val="00A16BD6"/>
    <w:rsid w:val="00A17D1A"/>
    <w:rsid w:val="00A252F7"/>
    <w:rsid w:val="00A26E47"/>
    <w:rsid w:val="00A35F51"/>
    <w:rsid w:val="00A361F3"/>
    <w:rsid w:val="00A43791"/>
    <w:rsid w:val="00A701D4"/>
    <w:rsid w:val="00A91C25"/>
    <w:rsid w:val="00AA138D"/>
    <w:rsid w:val="00AA5A11"/>
    <w:rsid w:val="00AB1E6D"/>
    <w:rsid w:val="00AB395D"/>
    <w:rsid w:val="00AB3D57"/>
    <w:rsid w:val="00AC3496"/>
    <w:rsid w:val="00AC460F"/>
    <w:rsid w:val="00AC74BC"/>
    <w:rsid w:val="00AD0C35"/>
    <w:rsid w:val="00AE3102"/>
    <w:rsid w:val="00AE410A"/>
    <w:rsid w:val="00AE7A20"/>
    <w:rsid w:val="00AF0D89"/>
    <w:rsid w:val="00AF135A"/>
    <w:rsid w:val="00AF471A"/>
    <w:rsid w:val="00B05726"/>
    <w:rsid w:val="00B06780"/>
    <w:rsid w:val="00B11435"/>
    <w:rsid w:val="00B14C86"/>
    <w:rsid w:val="00B150A0"/>
    <w:rsid w:val="00B330B1"/>
    <w:rsid w:val="00B41327"/>
    <w:rsid w:val="00B511EB"/>
    <w:rsid w:val="00B53CBC"/>
    <w:rsid w:val="00B54B41"/>
    <w:rsid w:val="00B60F74"/>
    <w:rsid w:val="00B75DEE"/>
    <w:rsid w:val="00B97772"/>
    <w:rsid w:val="00BA4242"/>
    <w:rsid w:val="00BB3C0E"/>
    <w:rsid w:val="00BB5B76"/>
    <w:rsid w:val="00BC1826"/>
    <w:rsid w:val="00BC3872"/>
    <w:rsid w:val="00BC608D"/>
    <w:rsid w:val="00BE181E"/>
    <w:rsid w:val="00BE2ADA"/>
    <w:rsid w:val="00BE6647"/>
    <w:rsid w:val="00BF244A"/>
    <w:rsid w:val="00C0403E"/>
    <w:rsid w:val="00C07D8F"/>
    <w:rsid w:val="00C15D3A"/>
    <w:rsid w:val="00C20EEC"/>
    <w:rsid w:val="00C22863"/>
    <w:rsid w:val="00C273DC"/>
    <w:rsid w:val="00C31CD2"/>
    <w:rsid w:val="00C3212D"/>
    <w:rsid w:val="00C33FBF"/>
    <w:rsid w:val="00C344C7"/>
    <w:rsid w:val="00C42B21"/>
    <w:rsid w:val="00C566F2"/>
    <w:rsid w:val="00C72347"/>
    <w:rsid w:val="00C76FC3"/>
    <w:rsid w:val="00C801C4"/>
    <w:rsid w:val="00C85CBE"/>
    <w:rsid w:val="00C867BB"/>
    <w:rsid w:val="00C963C3"/>
    <w:rsid w:val="00CA1AB2"/>
    <w:rsid w:val="00CA2156"/>
    <w:rsid w:val="00CA7160"/>
    <w:rsid w:val="00CB3030"/>
    <w:rsid w:val="00CB610C"/>
    <w:rsid w:val="00CC0FBD"/>
    <w:rsid w:val="00CC18CC"/>
    <w:rsid w:val="00CC7041"/>
    <w:rsid w:val="00CE4DCD"/>
    <w:rsid w:val="00CE5EC3"/>
    <w:rsid w:val="00CE6F5F"/>
    <w:rsid w:val="00CE78D6"/>
    <w:rsid w:val="00CF2805"/>
    <w:rsid w:val="00CF48B6"/>
    <w:rsid w:val="00D123C5"/>
    <w:rsid w:val="00D27138"/>
    <w:rsid w:val="00D27B92"/>
    <w:rsid w:val="00D35DE0"/>
    <w:rsid w:val="00D41B86"/>
    <w:rsid w:val="00D61F0D"/>
    <w:rsid w:val="00D65A1D"/>
    <w:rsid w:val="00D65AE4"/>
    <w:rsid w:val="00D84CC8"/>
    <w:rsid w:val="00D97A85"/>
    <w:rsid w:val="00DA4D2C"/>
    <w:rsid w:val="00DB5939"/>
    <w:rsid w:val="00DB7AC4"/>
    <w:rsid w:val="00DD04A7"/>
    <w:rsid w:val="00DD1B09"/>
    <w:rsid w:val="00DD33B8"/>
    <w:rsid w:val="00DD3EF5"/>
    <w:rsid w:val="00DD6BDB"/>
    <w:rsid w:val="00DD71C4"/>
    <w:rsid w:val="00DE021B"/>
    <w:rsid w:val="00DF62F6"/>
    <w:rsid w:val="00E1051B"/>
    <w:rsid w:val="00E11F4B"/>
    <w:rsid w:val="00E204F3"/>
    <w:rsid w:val="00E25EAE"/>
    <w:rsid w:val="00E26CCF"/>
    <w:rsid w:val="00E326AE"/>
    <w:rsid w:val="00E359B8"/>
    <w:rsid w:val="00E44E1D"/>
    <w:rsid w:val="00E51BDE"/>
    <w:rsid w:val="00E5433D"/>
    <w:rsid w:val="00E55F27"/>
    <w:rsid w:val="00E6749D"/>
    <w:rsid w:val="00E85D4A"/>
    <w:rsid w:val="00EA0DD3"/>
    <w:rsid w:val="00EA3FD9"/>
    <w:rsid w:val="00EA46BC"/>
    <w:rsid w:val="00EA7D87"/>
    <w:rsid w:val="00EC5C3F"/>
    <w:rsid w:val="00ED2622"/>
    <w:rsid w:val="00EE0E43"/>
    <w:rsid w:val="00F00A6B"/>
    <w:rsid w:val="00F0280C"/>
    <w:rsid w:val="00F04A25"/>
    <w:rsid w:val="00F052A4"/>
    <w:rsid w:val="00F07557"/>
    <w:rsid w:val="00F1056E"/>
    <w:rsid w:val="00F146FC"/>
    <w:rsid w:val="00F3129C"/>
    <w:rsid w:val="00F35A8D"/>
    <w:rsid w:val="00F5220B"/>
    <w:rsid w:val="00F56B66"/>
    <w:rsid w:val="00F67425"/>
    <w:rsid w:val="00F746D4"/>
    <w:rsid w:val="00F776F5"/>
    <w:rsid w:val="00F9780C"/>
    <w:rsid w:val="00FA2DF0"/>
    <w:rsid w:val="00FB53B5"/>
    <w:rsid w:val="00FC6967"/>
    <w:rsid w:val="00FD5B2C"/>
    <w:rsid w:val="00FE6C29"/>
    <w:rsid w:val="00FE7CA1"/>
    <w:rsid w:val="00FF19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1F5B7-2C2A-4B5B-91E5-C4472621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332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50D"/>
  </w:style>
  <w:style w:type="paragraph" w:styleId="Footer">
    <w:name w:val="footer"/>
    <w:basedOn w:val="Normal"/>
    <w:link w:val="FooterChar"/>
    <w:uiPriority w:val="99"/>
    <w:unhideWhenUsed/>
    <w:rsid w:val="004B0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50D"/>
  </w:style>
  <w:style w:type="paragraph" w:styleId="FootnoteText">
    <w:name w:val="footnote text"/>
    <w:basedOn w:val="Normal"/>
    <w:link w:val="FootnoteTextChar"/>
    <w:uiPriority w:val="99"/>
    <w:unhideWhenUsed/>
    <w:rsid w:val="006D5E86"/>
    <w:pPr>
      <w:spacing w:after="0" w:line="240" w:lineRule="auto"/>
    </w:pPr>
    <w:rPr>
      <w:sz w:val="20"/>
      <w:szCs w:val="20"/>
    </w:rPr>
  </w:style>
  <w:style w:type="character" w:customStyle="1" w:styleId="FootnoteTextChar">
    <w:name w:val="Footnote Text Char"/>
    <w:basedOn w:val="DefaultParagraphFont"/>
    <w:link w:val="FootnoteText"/>
    <w:uiPriority w:val="99"/>
    <w:rsid w:val="006D5E86"/>
    <w:rPr>
      <w:sz w:val="20"/>
      <w:szCs w:val="20"/>
    </w:rPr>
  </w:style>
  <w:style w:type="character" w:styleId="FootnoteReference">
    <w:name w:val="footnote reference"/>
    <w:basedOn w:val="DefaultParagraphFont"/>
    <w:uiPriority w:val="99"/>
    <w:semiHidden/>
    <w:unhideWhenUsed/>
    <w:rsid w:val="006D5E86"/>
    <w:rPr>
      <w:vertAlign w:val="superscript"/>
    </w:rPr>
  </w:style>
  <w:style w:type="paragraph" w:styleId="BalloonText">
    <w:name w:val="Balloon Text"/>
    <w:basedOn w:val="Normal"/>
    <w:link w:val="BalloonTextChar"/>
    <w:uiPriority w:val="99"/>
    <w:semiHidden/>
    <w:unhideWhenUsed/>
    <w:rsid w:val="00217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16E"/>
    <w:rPr>
      <w:rFonts w:ascii="Segoe UI" w:hAnsi="Segoe UI" w:cs="Segoe UI"/>
      <w:sz w:val="18"/>
      <w:szCs w:val="18"/>
    </w:rPr>
  </w:style>
  <w:style w:type="paragraph" w:styleId="EndnoteText">
    <w:name w:val="endnote text"/>
    <w:basedOn w:val="Normal"/>
    <w:link w:val="EndnoteTextChar"/>
    <w:uiPriority w:val="99"/>
    <w:semiHidden/>
    <w:unhideWhenUsed/>
    <w:rsid w:val="00970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0915"/>
    <w:rPr>
      <w:sz w:val="20"/>
      <w:szCs w:val="20"/>
    </w:rPr>
  </w:style>
  <w:style w:type="character" w:styleId="EndnoteReference">
    <w:name w:val="endnote reference"/>
    <w:basedOn w:val="DefaultParagraphFont"/>
    <w:uiPriority w:val="99"/>
    <w:semiHidden/>
    <w:unhideWhenUsed/>
    <w:rsid w:val="00970915"/>
    <w:rPr>
      <w:vertAlign w:val="superscript"/>
    </w:rPr>
  </w:style>
  <w:style w:type="character" w:customStyle="1" w:styleId="Heading2Char">
    <w:name w:val="Heading 2 Char"/>
    <w:basedOn w:val="DefaultParagraphFont"/>
    <w:link w:val="Heading2"/>
    <w:uiPriority w:val="9"/>
    <w:semiHidden/>
    <w:rsid w:val="0063329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5D88"/>
    <w:rPr>
      <w:sz w:val="16"/>
      <w:szCs w:val="16"/>
    </w:rPr>
  </w:style>
  <w:style w:type="paragraph" w:styleId="CommentText">
    <w:name w:val="annotation text"/>
    <w:basedOn w:val="Normal"/>
    <w:link w:val="CommentTextChar"/>
    <w:uiPriority w:val="99"/>
    <w:semiHidden/>
    <w:unhideWhenUsed/>
    <w:rsid w:val="00405D88"/>
    <w:pPr>
      <w:spacing w:line="240" w:lineRule="auto"/>
    </w:pPr>
    <w:rPr>
      <w:sz w:val="20"/>
      <w:szCs w:val="20"/>
    </w:rPr>
  </w:style>
  <w:style w:type="character" w:customStyle="1" w:styleId="CommentTextChar">
    <w:name w:val="Comment Text Char"/>
    <w:basedOn w:val="DefaultParagraphFont"/>
    <w:link w:val="CommentText"/>
    <w:uiPriority w:val="99"/>
    <w:semiHidden/>
    <w:rsid w:val="00405D88"/>
    <w:rPr>
      <w:sz w:val="20"/>
      <w:szCs w:val="20"/>
    </w:rPr>
  </w:style>
  <w:style w:type="paragraph" w:styleId="CommentSubject">
    <w:name w:val="annotation subject"/>
    <w:basedOn w:val="CommentText"/>
    <w:next w:val="CommentText"/>
    <w:link w:val="CommentSubjectChar"/>
    <w:uiPriority w:val="99"/>
    <w:semiHidden/>
    <w:unhideWhenUsed/>
    <w:rsid w:val="00405D88"/>
    <w:rPr>
      <w:b/>
      <w:bCs/>
    </w:rPr>
  </w:style>
  <w:style w:type="character" w:customStyle="1" w:styleId="CommentSubjectChar">
    <w:name w:val="Comment Subject Char"/>
    <w:basedOn w:val="CommentTextChar"/>
    <w:link w:val="CommentSubject"/>
    <w:uiPriority w:val="99"/>
    <w:semiHidden/>
    <w:rsid w:val="00405D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09525">
      <w:bodyDiv w:val="1"/>
      <w:marLeft w:val="0"/>
      <w:marRight w:val="0"/>
      <w:marTop w:val="0"/>
      <w:marBottom w:val="0"/>
      <w:divBdr>
        <w:top w:val="none" w:sz="0" w:space="0" w:color="auto"/>
        <w:left w:val="none" w:sz="0" w:space="0" w:color="auto"/>
        <w:bottom w:val="none" w:sz="0" w:space="0" w:color="auto"/>
        <w:right w:val="none" w:sz="0" w:space="0" w:color="auto"/>
      </w:divBdr>
    </w:div>
    <w:div w:id="854029881">
      <w:bodyDiv w:val="1"/>
      <w:marLeft w:val="0"/>
      <w:marRight w:val="0"/>
      <w:marTop w:val="0"/>
      <w:marBottom w:val="0"/>
      <w:divBdr>
        <w:top w:val="none" w:sz="0" w:space="0" w:color="auto"/>
        <w:left w:val="none" w:sz="0" w:space="0" w:color="auto"/>
        <w:bottom w:val="none" w:sz="0" w:space="0" w:color="auto"/>
        <w:right w:val="none" w:sz="0" w:space="0" w:color="auto"/>
      </w:divBdr>
    </w:div>
    <w:div w:id="162870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7B0035D40A14B95F6F76D770ECA8B" ma:contentTypeVersion="8" ma:contentTypeDescription="Create a new document." ma:contentTypeScope="" ma:versionID="17f6ab8a85325e1cc72668455b4e244f">
  <xsd:schema xmlns:xsd="http://www.w3.org/2001/XMLSchema" xmlns:xs="http://www.w3.org/2001/XMLSchema" xmlns:p="http://schemas.microsoft.com/office/2006/metadata/properties" xmlns:ns3="da7c55be-2862-49ea-a69a-82bf28a5f3de" targetNamespace="http://schemas.microsoft.com/office/2006/metadata/properties" ma:root="true" ma:fieldsID="8d552a54e8d91e7c33e8e5653a64adc7" ns3:_="">
    <xsd:import namespace="da7c55be-2862-49ea-a69a-82bf28a5f3d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LengthInSeconds" minOccurs="0"/>
                <xsd:element ref="ns3:MediaServiceGenerationTime" minOccurs="0"/>
                <xsd:element ref="ns3:MediaServiceEventHashCode"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c55be-2862-49ea-a69a-82bf28a5f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AD041-C2BD-4211-BF91-6FBAD56EC01E}">
  <ds:schemaRefs>
    <ds:schemaRef ds:uri="http://schemas.microsoft.com/sharepoint/v3/contenttype/forms"/>
  </ds:schemaRefs>
</ds:datastoreItem>
</file>

<file path=customXml/itemProps2.xml><?xml version="1.0" encoding="utf-8"?>
<ds:datastoreItem xmlns:ds="http://schemas.openxmlformats.org/officeDocument/2006/customXml" ds:itemID="{48A965AA-D249-42E0-B88E-8E3083D08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c55be-2862-49ea-a69a-82bf28a5f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1E2EAE-3930-42F8-9711-B66F1C6646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0982F6-B21D-49E6-B81B-AA08DD5D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6646</Words>
  <Characters>37887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Lategan</dc:creator>
  <cp:keywords/>
  <dc:description/>
  <cp:lastModifiedBy>Mary Bruce</cp:lastModifiedBy>
  <cp:revision>3</cp:revision>
  <cp:lastPrinted>2023-11-10T10:20:00Z</cp:lastPrinted>
  <dcterms:created xsi:type="dcterms:W3CDTF">2023-11-10T10:40:00Z</dcterms:created>
  <dcterms:modified xsi:type="dcterms:W3CDTF">2023-11-10T14:34:00Z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0x0101001857B0035D40A14B95F6F76D770ECA8B</vt:lpwstr>
  </property>
</Properties>
</file>