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8A64C" w14:textId="28E5457B" w:rsidR="008970A3" w:rsidRPr="008970A3" w:rsidRDefault="008970A3" w:rsidP="008970A3">
      <w:pPr>
        <w:rPr>
          <w:rFonts w:ascii="Courier New" w:eastAsia="DengXian" w:hAnsi="Courier New"/>
          <w:color w:val="FF0000"/>
          <w:u w:val="single"/>
        </w:rPr>
      </w:pPr>
      <w:r>
        <w:rPr>
          <w:rFonts w:cs="Arial"/>
          <w:color w:val="FF0000"/>
        </w:rPr>
        <w:t>Editorial note: Certain information has been redacted from this judgment in compliance with the law.</w:t>
      </w:r>
    </w:p>
    <w:p w14:paraId="11B3D692" w14:textId="03D0D42E" w:rsidR="00505810" w:rsidRDefault="00505810" w:rsidP="00505810">
      <w:pPr>
        <w:spacing w:line="360" w:lineRule="auto"/>
        <w:jc w:val="center"/>
      </w:pP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9C1398">
        <w:rPr>
          <w:noProof/>
          <w:color w:val="1F497D"/>
          <w:sz w:val="16"/>
          <w:szCs w:val="16"/>
          <w:lang w:eastAsia="en-ZA"/>
        </w:rPr>
        <w:fldChar w:fldCharType="begin"/>
      </w:r>
      <w:r w:rsidR="009C1398">
        <w:rPr>
          <w:noProof/>
          <w:color w:val="1F497D"/>
          <w:sz w:val="16"/>
          <w:szCs w:val="16"/>
          <w:lang w:eastAsia="en-ZA"/>
        </w:rPr>
        <w:instrText xml:space="preserve"> INCLUDEPICTURE  "cid:image003.png@01D128E0.21B01BF0" \* MERGEFORMATINET </w:instrText>
      </w:r>
      <w:r w:rsidR="009C1398">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5F1B5E">
        <w:rPr>
          <w:noProof/>
          <w:color w:val="1F497D"/>
          <w:sz w:val="16"/>
          <w:szCs w:val="16"/>
          <w:lang w:eastAsia="en-ZA"/>
        </w:rPr>
        <w:fldChar w:fldCharType="begin"/>
      </w:r>
      <w:r w:rsidR="005F1B5E">
        <w:rPr>
          <w:noProof/>
          <w:color w:val="1F497D"/>
          <w:sz w:val="16"/>
          <w:szCs w:val="16"/>
          <w:lang w:eastAsia="en-ZA"/>
        </w:rPr>
        <w:instrText xml:space="preserve"> INCLUDEPICTURE  "cid:image003.png@01D128E0.21B01BF0" \* MERGEFORMATINET </w:instrText>
      </w:r>
      <w:r w:rsidR="005F1B5E">
        <w:rPr>
          <w:noProof/>
          <w:color w:val="1F497D"/>
          <w:sz w:val="16"/>
          <w:szCs w:val="16"/>
          <w:lang w:eastAsia="en-ZA"/>
        </w:rPr>
        <w:fldChar w:fldCharType="separate"/>
      </w:r>
      <w:r w:rsidR="005F1B5E">
        <w:rPr>
          <w:noProof/>
          <w:color w:val="1F497D"/>
          <w:sz w:val="16"/>
          <w:szCs w:val="16"/>
          <w:lang w:eastAsia="en-ZA"/>
        </w:rPr>
        <w:fldChar w:fldCharType="begin"/>
      </w:r>
      <w:r w:rsidR="005F1B5E">
        <w:rPr>
          <w:noProof/>
          <w:color w:val="1F497D"/>
          <w:sz w:val="16"/>
          <w:szCs w:val="16"/>
          <w:lang w:eastAsia="en-ZA"/>
        </w:rPr>
        <w:instrText xml:space="preserve"> INCLUDEPICTURE  "cid:image003.png@01D128E0.21B01BF0" \* MERGEFORMATINET </w:instrText>
      </w:r>
      <w:r w:rsidR="005F1B5E">
        <w:rPr>
          <w:noProof/>
          <w:color w:val="1F497D"/>
          <w:sz w:val="16"/>
          <w:szCs w:val="16"/>
          <w:lang w:eastAsia="en-ZA"/>
        </w:rPr>
        <w:fldChar w:fldCharType="separate"/>
      </w:r>
      <w:r w:rsidR="001B2C3C">
        <w:rPr>
          <w:noProof/>
          <w:color w:val="1F497D"/>
          <w:sz w:val="16"/>
          <w:szCs w:val="16"/>
          <w:lang w:eastAsia="en-ZA"/>
        </w:rPr>
        <w:fldChar w:fldCharType="begin"/>
      </w:r>
      <w:r w:rsidR="001B2C3C">
        <w:rPr>
          <w:noProof/>
          <w:color w:val="1F497D"/>
          <w:sz w:val="16"/>
          <w:szCs w:val="16"/>
          <w:lang w:eastAsia="en-ZA"/>
        </w:rPr>
        <w:instrText xml:space="preserve"> INCLUDEPICTURE  "cid:image003.png@01D128E0.21B01BF0" \* MERGEFORMATINET </w:instrText>
      </w:r>
      <w:r w:rsidR="001B2C3C">
        <w:rPr>
          <w:noProof/>
          <w:color w:val="1F497D"/>
          <w:sz w:val="16"/>
          <w:szCs w:val="16"/>
          <w:lang w:eastAsia="en-ZA"/>
        </w:rPr>
        <w:fldChar w:fldCharType="separate"/>
      </w:r>
      <w:r w:rsidR="008970A3">
        <w:rPr>
          <w:noProof/>
          <w:color w:val="1F497D"/>
          <w:sz w:val="16"/>
          <w:szCs w:val="16"/>
          <w:lang w:eastAsia="en-ZA"/>
        </w:rPr>
        <w:fldChar w:fldCharType="begin"/>
      </w:r>
      <w:r w:rsidR="008970A3">
        <w:rPr>
          <w:noProof/>
          <w:color w:val="1F497D"/>
          <w:sz w:val="16"/>
          <w:szCs w:val="16"/>
          <w:lang w:eastAsia="en-ZA"/>
        </w:rPr>
        <w:instrText xml:space="preserve"> INCLUDEPICTURE  "cid:image003.png@01D128E0.21B01BF0" \* MERGEFORMATINET </w:instrText>
      </w:r>
      <w:r w:rsidR="008970A3">
        <w:rPr>
          <w:noProof/>
          <w:color w:val="1F497D"/>
          <w:sz w:val="16"/>
          <w:szCs w:val="16"/>
          <w:lang w:eastAsia="en-ZA"/>
        </w:rPr>
        <w:fldChar w:fldCharType="separate"/>
      </w:r>
      <w:r w:rsidR="008970A3">
        <w:rPr>
          <w:noProof/>
          <w:color w:val="1F497D"/>
          <w:sz w:val="16"/>
          <w:szCs w:val="16"/>
          <w:lang w:eastAsia="en-ZA"/>
        </w:rPr>
        <w:pict w14:anchorId="33E92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5pt;height:106.5pt;visibility:visible;mso-width-percent:0;mso-height-percent:0;mso-width-percent:0;mso-height-percent:0">
            <v:imagedata r:id="rId8" r:href="rId9"/>
          </v:shape>
        </w:pict>
      </w:r>
      <w:r w:rsidR="008970A3">
        <w:rPr>
          <w:noProof/>
          <w:color w:val="1F497D"/>
          <w:sz w:val="16"/>
          <w:szCs w:val="16"/>
          <w:lang w:eastAsia="en-ZA"/>
        </w:rPr>
        <w:fldChar w:fldCharType="end"/>
      </w:r>
      <w:r w:rsidR="001B2C3C">
        <w:rPr>
          <w:noProof/>
          <w:color w:val="1F497D"/>
          <w:sz w:val="16"/>
          <w:szCs w:val="16"/>
          <w:lang w:eastAsia="en-ZA"/>
        </w:rPr>
        <w:fldChar w:fldCharType="end"/>
      </w:r>
      <w:r w:rsidR="005F1B5E">
        <w:rPr>
          <w:noProof/>
          <w:color w:val="1F497D"/>
          <w:sz w:val="16"/>
          <w:szCs w:val="16"/>
          <w:lang w:eastAsia="en-ZA"/>
        </w:rPr>
        <w:fldChar w:fldCharType="end"/>
      </w:r>
      <w:r w:rsidR="005F1B5E">
        <w:rPr>
          <w:noProof/>
          <w:color w:val="1F497D"/>
          <w:sz w:val="16"/>
          <w:szCs w:val="16"/>
          <w:lang w:eastAsia="en-ZA"/>
        </w:rPr>
        <w:fldChar w:fldCharType="end"/>
      </w:r>
      <w:r>
        <w:rPr>
          <w:noProof/>
          <w:color w:val="1F497D"/>
          <w:sz w:val="16"/>
          <w:szCs w:val="16"/>
          <w:lang w:eastAsia="en-ZA"/>
        </w:rPr>
        <w:fldChar w:fldCharType="end"/>
      </w:r>
      <w:r w:rsidR="009C1398">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p>
    <w:p w14:paraId="3B3B6A91" w14:textId="77777777" w:rsidR="00505810" w:rsidRPr="00882EE2" w:rsidRDefault="00505810" w:rsidP="00505810">
      <w:pPr>
        <w:spacing w:line="360" w:lineRule="auto"/>
        <w:jc w:val="center"/>
        <w:rPr>
          <w:rFonts w:cs="Arial"/>
          <w:b/>
        </w:rPr>
      </w:pPr>
      <w:r w:rsidRPr="00882EE2">
        <w:rPr>
          <w:rFonts w:cs="Arial"/>
          <w:b/>
        </w:rPr>
        <w:t>IN THE HIGH COURT OF SOUTH AFRICA</w:t>
      </w:r>
    </w:p>
    <w:p w14:paraId="71741A1C" w14:textId="77777777" w:rsidR="00505810" w:rsidRPr="00882EE2" w:rsidRDefault="00505810" w:rsidP="00505810">
      <w:pPr>
        <w:spacing w:line="360" w:lineRule="auto"/>
        <w:jc w:val="center"/>
        <w:rPr>
          <w:rFonts w:cs="Arial"/>
          <w:b/>
        </w:rPr>
      </w:pPr>
      <w:r w:rsidRPr="00882EE2">
        <w:rPr>
          <w:rFonts w:cs="Arial"/>
          <w:b/>
        </w:rPr>
        <w:t xml:space="preserve">(WESTERN CAPE </w:t>
      </w:r>
      <w:r>
        <w:rPr>
          <w:rFonts w:cs="Arial"/>
          <w:b/>
        </w:rPr>
        <w:t>DIVISION</w:t>
      </w:r>
      <w:r w:rsidRPr="00882EE2">
        <w:rPr>
          <w:rFonts w:cs="Arial"/>
          <w:b/>
        </w:rPr>
        <w:t>, CAPE TOWN)</w:t>
      </w:r>
    </w:p>
    <w:p w14:paraId="0E1A916C" w14:textId="0AF11C78" w:rsidR="00505810" w:rsidRPr="00882EE2" w:rsidRDefault="00505810" w:rsidP="00505810">
      <w:pPr>
        <w:spacing w:line="360" w:lineRule="auto"/>
        <w:jc w:val="right"/>
        <w:rPr>
          <w:rFonts w:cs="Arial"/>
          <w:bCs/>
          <w:lang w:val="en-GB"/>
        </w:rPr>
      </w:pP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t>C</w:t>
      </w:r>
      <w:r w:rsidR="00A20C37">
        <w:rPr>
          <w:rFonts w:cs="Arial"/>
        </w:rPr>
        <w:t>ase No.</w:t>
      </w:r>
      <w:r w:rsidRPr="00882EE2">
        <w:rPr>
          <w:rFonts w:cs="Arial"/>
        </w:rPr>
        <w:t xml:space="preserve">: </w:t>
      </w:r>
      <w:r w:rsidR="00A20C37">
        <w:rPr>
          <w:rFonts w:cs="Arial"/>
        </w:rPr>
        <w:t>10771/2020</w:t>
      </w:r>
    </w:p>
    <w:p w14:paraId="2C49896B" w14:textId="77777777" w:rsidR="00505810" w:rsidRDefault="00505810" w:rsidP="00505810">
      <w:pPr>
        <w:pStyle w:val="Heading1"/>
        <w:rPr>
          <w:b w:val="0"/>
          <w:caps w:val="0"/>
        </w:rPr>
      </w:pPr>
      <w:r w:rsidRPr="00ED060A">
        <w:rPr>
          <w:b w:val="0"/>
          <w:caps w:val="0"/>
        </w:rPr>
        <w:t>In the matter between:</w:t>
      </w:r>
    </w:p>
    <w:tbl>
      <w:tblPr>
        <w:tblW w:w="0" w:type="auto"/>
        <w:tblLook w:val="01E0" w:firstRow="1" w:lastRow="1" w:firstColumn="1" w:lastColumn="1" w:noHBand="0" w:noVBand="0"/>
      </w:tblPr>
      <w:tblGrid>
        <w:gridCol w:w="6178"/>
        <w:gridCol w:w="2848"/>
      </w:tblGrid>
      <w:tr w:rsidR="00505810" w:rsidRPr="00ED060A" w14:paraId="162E314B" w14:textId="77777777" w:rsidTr="008970A3">
        <w:tc>
          <w:tcPr>
            <w:tcW w:w="6178" w:type="dxa"/>
            <w:shd w:val="clear" w:color="auto" w:fill="auto"/>
          </w:tcPr>
          <w:p w14:paraId="6B81D133" w14:textId="77777777" w:rsidR="00EC2843" w:rsidRDefault="00EC2843" w:rsidP="00A20C37">
            <w:pPr>
              <w:pStyle w:val="Heading1"/>
              <w:spacing w:line="240" w:lineRule="auto"/>
            </w:pPr>
            <w:r>
              <w:t>RYAN WILLIAMS</w:t>
            </w:r>
          </w:p>
          <w:p w14:paraId="025F01F6" w14:textId="14F5FA70" w:rsidR="00505810" w:rsidRPr="00ED060A" w:rsidRDefault="00EC2843" w:rsidP="008970A3">
            <w:pPr>
              <w:pStyle w:val="Heading1"/>
              <w:spacing w:line="240" w:lineRule="auto"/>
            </w:pPr>
            <w:r>
              <w:t xml:space="preserve">ID: </w:t>
            </w:r>
            <w:r w:rsidR="008970A3">
              <w:t>[…]</w:t>
            </w:r>
            <w:bookmarkStart w:id="0" w:name="_GoBack"/>
            <w:bookmarkEnd w:id="0"/>
            <w:r w:rsidR="00505810">
              <w:t xml:space="preserve">                       </w:t>
            </w:r>
          </w:p>
        </w:tc>
        <w:tc>
          <w:tcPr>
            <w:tcW w:w="2848" w:type="dxa"/>
            <w:shd w:val="clear" w:color="auto" w:fill="auto"/>
          </w:tcPr>
          <w:p w14:paraId="11DAE920" w14:textId="51220EF7" w:rsidR="00505810" w:rsidRPr="00343E34" w:rsidRDefault="00505810" w:rsidP="008970A3">
            <w:pPr>
              <w:pStyle w:val="Heading1"/>
              <w:spacing w:line="360" w:lineRule="auto"/>
              <w:jc w:val="right"/>
            </w:pPr>
            <w:r w:rsidRPr="00ED060A">
              <w:t>A</w:t>
            </w:r>
            <w:r w:rsidRPr="00ED060A">
              <w:rPr>
                <w:caps w:val="0"/>
              </w:rPr>
              <w:t>pplicant</w:t>
            </w:r>
            <w:r w:rsidR="00EC2843">
              <w:rPr>
                <w:caps w:val="0"/>
              </w:rPr>
              <w:t>/Defendant</w:t>
            </w:r>
            <w:r w:rsidRPr="00ED060A">
              <w:t xml:space="preserve"> </w:t>
            </w:r>
          </w:p>
        </w:tc>
      </w:tr>
      <w:tr w:rsidR="00505810" w:rsidRPr="00882EE2" w14:paraId="2572BEE4" w14:textId="77777777" w:rsidTr="008970A3">
        <w:tc>
          <w:tcPr>
            <w:tcW w:w="6178" w:type="dxa"/>
            <w:shd w:val="clear" w:color="auto" w:fill="auto"/>
          </w:tcPr>
          <w:p w14:paraId="21DD1D4F" w14:textId="77777777" w:rsidR="00A20C37" w:rsidRDefault="00A20C37" w:rsidP="008970A3">
            <w:pPr>
              <w:rPr>
                <w:rFonts w:cs="Arial"/>
                <w:b/>
              </w:rPr>
            </w:pPr>
          </w:p>
          <w:p w14:paraId="0525CB5D" w14:textId="25ED7639" w:rsidR="00505810" w:rsidRPr="003D2CF0" w:rsidRDefault="00505810" w:rsidP="008970A3">
            <w:pPr>
              <w:rPr>
                <w:rFonts w:cs="Arial"/>
                <w:b/>
              </w:rPr>
            </w:pPr>
            <w:r>
              <w:rPr>
                <w:rFonts w:cs="Arial"/>
                <w:b/>
              </w:rPr>
              <w:t>a</w:t>
            </w:r>
            <w:r w:rsidRPr="003D2CF0">
              <w:rPr>
                <w:rFonts w:cs="Arial"/>
                <w:b/>
              </w:rPr>
              <w:t>nd</w:t>
            </w:r>
          </w:p>
          <w:p w14:paraId="63263CD5" w14:textId="45D4F206" w:rsidR="00F45CCA" w:rsidRDefault="00F45CCA" w:rsidP="00F45CCA">
            <w:pPr>
              <w:spacing w:line="240" w:lineRule="auto"/>
              <w:rPr>
                <w:rFonts w:cs="Arial"/>
                <w:b/>
              </w:rPr>
            </w:pPr>
            <w:r>
              <w:rPr>
                <w:rFonts w:cs="Arial"/>
                <w:b/>
              </w:rPr>
              <w:t>SHACKLETON CREDIT MANAGEMENT</w:t>
            </w:r>
          </w:p>
          <w:p w14:paraId="1555AFB7" w14:textId="6F2F2FFC" w:rsidR="00F45CCA" w:rsidRDefault="00F45CCA" w:rsidP="00F45CCA">
            <w:pPr>
              <w:spacing w:line="240" w:lineRule="auto"/>
              <w:rPr>
                <w:rFonts w:cs="Arial"/>
                <w:b/>
              </w:rPr>
            </w:pPr>
            <w:r>
              <w:rPr>
                <w:rFonts w:cs="Arial"/>
                <w:b/>
              </w:rPr>
              <w:t xml:space="preserve">(PTY) LTD </w:t>
            </w:r>
            <w:r w:rsidR="008F1E2C">
              <w:rPr>
                <w:rFonts w:cs="Arial"/>
                <w:b/>
              </w:rPr>
              <w:t>(</w:t>
            </w:r>
            <w:proofErr w:type="spellStart"/>
            <w:r w:rsidR="008F1E2C">
              <w:rPr>
                <w:rFonts w:cs="Arial"/>
                <w:b/>
              </w:rPr>
              <w:t>Reg</w:t>
            </w:r>
            <w:proofErr w:type="spellEnd"/>
            <w:r w:rsidR="008F1E2C">
              <w:rPr>
                <w:rFonts w:cs="Arial"/>
                <w:b/>
              </w:rPr>
              <w:t xml:space="preserve"> No 2002/017997/07)</w:t>
            </w:r>
          </w:p>
          <w:p w14:paraId="15F75C58" w14:textId="0B81CF13" w:rsidR="00A20C37" w:rsidRPr="003D2CF0" w:rsidRDefault="00A20C37" w:rsidP="00A20C37">
            <w:pPr>
              <w:spacing w:line="240" w:lineRule="auto"/>
              <w:rPr>
                <w:rFonts w:cs="Arial"/>
                <w:b/>
              </w:rPr>
            </w:pPr>
          </w:p>
        </w:tc>
        <w:tc>
          <w:tcPr>
            <w:tcW w:w="2848" w:type="dxa"/>
            <w:shd w:val="clear" w:color="auto" w:fill="auto"/>
          </w:tcPr>
          <w:p w14:paraId="4D9E603A" w14:textId="77777777" w:rsidR="00505810" w:rsidRPr="00DF6A2D" w:rsidRDefault="00505810" w:rsidP="008970A3">
            <w:pPr>
              <w:jc w:val="right"/>
              <w:rPr>
                <w:rFonts w:cs="Arial"/>
                <w:b/>
                <w:bCs/>
                <w:highlight w:val="yellow"/>
              </w:rPr>
            </w:pPr>
          </w:p>
          <w:p w14:paraId="126F9524" w14:textId="77777777" w:rsidR="00A20C37" w:rsidRDefault="00A20C37" w:rsidP="008970A3">
            <w:pPr>
              <w:jc w:val="right"/>
              <w:rPr>
                <w:rFonts w:cs="Arial"/>
                <w:b/>
                <w:bCs/>
              </w:rPr>
            </w:pPr>
          </w:p>
          <w:p w14:paraId="4FDE7D1E" w14:textId="3ABA26CF" w:rsidR="00505810" w:rsidRPr="009C15F1" w:rsidRDefault="00505810" w:rsidP="008970A3">
            <w:pPr>
              <w:jc w:val="right"/>
              <w:rPr>
                <w:rFonts w:cs="Arial"/>
                <w:b/>
                <w:bCs/>
              </w:rPr>
            </w:pPr>
            <w:r w:rsidRPr="00DF6A2D">
              <w:rPr>
                <w:rFonts w:cs="Arial"/>
                <w:b/>
                <w:bCs/>
              </w:rPr>
              <w:t>Responden</w:t>
            </w:r>
            <w:r>
              <w:rPr>
                <w:rFonts w:cs="Arial"/>
                <w:b/>
                <w:bCs/>
              </w:rPr>
              <w:t>t</w:t>
            </w:r>
            <w:r w:rsidR="00EC2843">
              <w:rPr>
                <w:rFonts w:cs="Arial"/>
                <w:b/>
                <w:bCs/>
              </w:rPr>
              <w:t>/Plaintiff</w:t>
            </w:r>
          </w:p>
        </w:tc>
      </w:tr>
    </w:tbl>
    <w:p w14:paraId="54867B6C" w14:textId="77777777" w:rsidR="00505810" w:rsidRDefault="00505810" w:rsidP="00505810">
      <w:pPr>
        <w:ind w:firstLine="142"/>
        <w:rPr>
          <w:rFonts w:cs="Arial"/>
          <w:sz w:val="22"/>
        </w:rPr>
      </w:pPr>
      <w:r w:rsidRPr="006155F6">
        <w:rPr>
          <w:rFonts w:cs="Arial"/>
          <w:sz w:val="22"/>
        </w:rPr>
        <w:t>Coram:</w:t>
      </w:r>
      <w:r w:rsidRPr="006155F6">
        <w:rPr>
          <w:rFonts w:cs="Arial"/>
          <w:sz w:val="22"/>
        </w:rPr>
        <w:tab/>
      </w:r>
      <w:r w:rsidRPr="006155F6">
        <w:rPr>
          <w:rFonts w:cs="Arial"/>
          <w:sz w:val="22"/>
        </w:rPr>
        <w:tab/>
      </w:r>
      <w:r>
        <w:rPr>
          <w:rFonts w:cs="Arial"/>
          <w:sz w:val="22"/>
        </w:rPr>
        <w:tab/>
        <w:t xml:space="preserve">Bishop, AJ </w:t>
      </w:r>
    </w:p>
    <w:p w14:paraId="4639C496" w14:textId="24FBD89B" w:rsidR="00505810" w:rsidRDefault="00505810" w:rsidP="00505810">
      <w:pPr>
        <w:ind w:firstLine="142"/>
        <w:rPr>
          <w:rFonts w:cs="Arial"/>
          <w:sz w:val="22"/>
        </w:rPr>
      </w:pPr>
      <w:r w:rsidRPr="006155F6">
        <w:rPr>
          <w:rFonts w:cs="Arial"/>
          <w:sz w:val="22"/>
        </w:rPr>
        <w:t>Dates of Hearing:</w:t>
      </w:r>
      <w:r>
        <w:rPr>
          <w:rFonts w:cs="Arial"/>
          <w:sz w:val="22"/>
        </w:rPr>
        <w:tab/>
      </w:r>
      <w:r>
        <w:rPr>
          <w:rFonts w:cs="Arial"/>
          <w:sz w:val="22"/>
        </w:rPr>
        <w:tab/>
      </w:r>
      <w:r w:rsidR="00A20C37">
        <w:rPr>
          <w:rFonts w:cs="Arial"/>
          <w:sz w:val="22"/>
        </w:rPr>
        <w:t>8</w:t>
      </w:r>
      <w:r>
        <w:rPr>
          <w:rFonts w:cs="Arial"/>
          <w:sz w:val="22"/>
        </w:rPr>
        <w:t xml:space="preserve"> November 2023</w:t>
      </w:r>
    </w:p>
    <w:p w14:paraId="31378CFA" w14:textId="34A99D07" w:rsidR="00505810" w:rsidRDefault="00505810" w:rsidP="00505810">
      <w:pPr>
        <w:tabs>
          <w:tab w:val="left" w:pos="0"/>
        </w:tabs>
        <w:ind w:firstLine="142"/>
        <w:rPr>
          <w:rFonts w:cs="Arial"/>
          <w:sz w:val="22"/>
        </w:rPr>
      </w:pPr>
      <w:r w:rsidRPr="006155F6">
        <w:rPr>
          <w:rFonts w:cs="Arial"/>
          <w:sz w:val="22"/>
        </w:rPr>
        <w:t>Date of Judgment:</w:t>
      </w:r>
      <w:r>
        <w:rPr>
          <w:rFonts w:cs="Arial"/>
          <w:sz w:val="22"/>
        </w:rPr>
        <w:tab/>
      </w:r>
      <w:r>
        <w:rPr>
          <w:rFonts w:cs="Arial"/>
          <w:sz w:val="22"/>
        </w:rPr>
        <w:tab/>
      </w:r>
      <w:r w:rsidR="00A20C37">
        <w:rPr>
          <w:rFonts w:cs="Arial"/>
          <w:sz w:val="22"/>
        </w:rPr>
        <w:t>10</w:t>
      </w:r>
      <w:r>
        <w:rPr>
          <w:rFonts w:cs="Arial"/>
          <w:sz w:val="22"/>
        </w:rPr>
        <w:t xml:space="preserve"> November 2023</w:t>
      </w:r>
    </w:p>
    <w:p w14:paraId="3B282E88" w14:textId="77777777" w:rsidR="00505810" w:rsidRPr="00882EE2" w:rsidRDefault="00505810" w:rsidP="00505810">
      <w:pPr>
        <w:pBdr>
          <w:top w:val="single" w:sz="4" w:space="20" w:color="auto"/>
          <w:bottom w:val="single" w:sz="4" w:space="16" w:color="auto"/>
        </w:pBdr>
        <w:spacing w:line="360" w:lineRule="auto"/>
        <w:jc w:val="center"/>
        <w:rPr>
          <w:rFonts w:cs="Arial"/>
          <w:b/>
        </w:rPr>
      </w:pPr>
      <w:r>
        <w:rPr>
          <w:rFonts w:cs="Arial"/>
          <w:b/>
        </w:rPr>
        <w:lastRenderedPageBreak/>
        <w:t>JUDGMENT</w:t>
      </w:r>
    </w:p>
    <w:p w14:paraId="6E98F7F8" w14:textId="77777777" w:rsidR="00505810" w:rsidRPr="00D81478" w:rsidRDefault="00505810" w:rsidP="00505810">
      <w:pPr>
        <w:rPr>
          <w:b/>
          <w:bCs/>
        </w:rPr>
      </w:pPr>
      <w:r w:rsidRPr="00D81478">
        <w:rPr>
          <w:b/>
          <w:bCs/>
        </w:rPr>
        <w:t>BISHOP, AJ</w:t>
      </w:r>
    </w:p>
    <w:p w14:paraId="2C92AB3B" w14:textId="16E33B12" w:rsidR="00886EA9" w:rsidRDefault="00142219" w:rsidP="00142219">
      <w:pPr>
        <w:pStyle w:val="ListParagraph"/>
      </w:pPr>
      <w:r>
        <w:rPr>
          <w:lang w:val="en-ZA"/>
        </w:rPr>
        <w:t xml:space="preserve">This is an application </w:t>
      </w:r>
      <w:r w:rsidR="007E7281">
        <w:rPr>
          <w:lang w:val="en-ZA"/>
        </w:rPr>
        <w:t xml:space="preserve">under rule 42(1)(a) and the common law </w:t>
      </w:r>
      <w:r>
        <w:rPr>
          <w:lang w:val="en-ZA"/>
        </w:rPr>
        <w:t>for</w:t>
      </w:r>
      <w:r w:rsidR="007E7281">
        <w:rPr>
          <w:lang w:val="en-ZA"/>
        </w:rPr>
        <w:t xml:space="preserve"> the</w:t>
      </w:r>
      <w:r>
        <w:rPr>
          <w:lang w:val="en-ZA"/>
        </w:rPr>
        <w:t xml:space="preserve"> rescission of </w:t>
      </w:r>
      <w:r w:rsidR="00991D48">
        <w:rPr>
          <w:lang w:val="en-ZA"/>
        </w:rPr>
        <w:t xml:space="preserve">a </w:t>
      </w:r>
      <w:r>
        <w:rPr>
          <w:lang w:val="en-ZA"/>
        </w:rPr>
        <w:t>default judgment.</w:t>
      </w:r>
      <w:r w:rsidR="00133FEA">
        <w:rPr>
          <w:lang w:val="en-ZA"/>
        </w:rPr>
        <w:t xml:space="preserve"> It raises an interesting question</w:t>
      </w:r>
      <w:r w:rsidR="00991D48">
        <w:rPr>
          <w:lang w:val="en-ZA"/>
        </w:rPr>
        <w:t>:</w:t>
      </w:r>
      <w:r w:rsidR="00133FEA">
        <w:rPr>
          <w:lang w:val="en-ZA"/>
        </w:rPr>
        <w:t xml:space="preserve"> If a credit provider fails to deliver a notice in terms of s 129(1) of the </w:t>
      </w:r>
      <w:r w:rsidR="00133FEA">
        <w:t>National Credit Act 34 of 2005 (</w:t>
      </w:r>
      <w:r w:rsidR="00133FEA">
        <w:rPr>
          <w:b/>
          <w:bCs/>
        </w:rPr>
        <w:t>NCA</w:t>
      </w:r>
      <w:r w:rsidR="00133FEA">
        <w:t>)</w:t>
      </w:r>
      <w:r w:rsidR="00F144C7">
        <w:t xml:space="preserve">, but default judgment is nonetheless granted, </w:t>
      </w:r>
      <w:r w:rsidR="00CA455E">
        <w:t>is</w:t>
      </w:r>
      <w:r w:rsidR="00F144C7">
        <w:t xml:space="preserve"> that judgment erroneously sought and granted for the purposes of rule 42(1)(a)? </w:t>
      </w:r>
      <w:r w:rsidR="00611F13">
        <w:t xml:space="preserve">If so, must a court order rescission, or does it have a discretion to refuse rescission? </w:t>
      </w:r>
      <w:r w:rsidR="00CA455E">
        <w:t xml:space="preserve">I hold that, while the practical value of rescission in these circumstances may often be minimal, </w:t>
      </w:r>
      <w:r w:rsidR="009C1398">
        <w:t xml:space="preserve">where the s 129 notice was not delivered, and did not come to the consumer’s attention before judgment, </w:t>
      </w:r>
      <w:r w:rsidR="003B67F0">
        <w:t>a court has no choice but to rescind.</w:t>
      </w:r>
    </w:p>
    <w:p w14:paraId="6F2D3707" w14:textId="77777777" w:rsidR="003B67F0" w:rsidRDefault="003B67F0" w:rsidP="003B67F0">
      <w:pPr>
        <w:pStyle w:val="ListParagraph"/>
        <w:numPr>
          <w:ilvl w:val="0"/>
          <w:numId w:val="0"/>
        </w:numPr>
      </w:pPr>
    </w:p>
    <w:p w14:paraId="7C63C803" w14:textId="35654F99" w:rsidR="003B67F0" w:rsidRPr="00142219" w:rsidRDefault="003B67F0" w:rsidP="003B67F0">
      <w:pPr>
        <w:pStyle w:val="Heading3"/>
      </w:pPr>
      <w:r>
        <w:t>The Facts</w:t>
      </w:r>
    </w:p>
    <w:p w14:paraId="10FF8E38" w14:textId="50CB6C97" w:rsidR="00AE4FB7" w:rsidRPr="00AE4FB7" w:rsidRDefault="003A6A76" w:rsidP="00142219">
      <w:pPr>
        <w:pStyle w:val="ListParagraph"/>
      </w:pPr>
      <w:r>
        <w:rPr>
          <w:lang w:val="en-ZA"/>
        </w:rPr>
        <w:t xml:space="preserve">In October 2016, the Applicant entered into a loan agreement for R85 000 with Direct Axis. </w:t>
      </w:r>
      <w:r w:rsidR="00142219">
        <w:rPr>
          <w:lang w:val="en-ZA"/>
        </w:rPr>
        <w:t xml:space="preserve">The Applicant chose </w:t>
      </w:r>
      <w:r>
        <w:rPr>
          <w:lang w:val="en-ZA"/>
        </w:rPr>
        <w:t>as the address where he would receive “legal notices” under that agreement, the place he was then resident in Philadelphia in the Western Cape.</w:t>
      </w:r>
      <w:r w:rsidR="00142219">
        <w:rPr>
          <w:lang w:val="en-ZA"/>
        </w:rPr>
        <w:t xml:space="preserve"> </w:t>
      </w:r>
      <w:r w:rsidR="00B55AAE">
        <w:rPr>
          <w:lang w:val="en-ZA"/>
        </w:rPr>
        <w:t xml:space="preserve">It is common cause this was a credit agreement as defined in the </w:t>
      </w:r>
      <w:r w:rsidR="00F144C7">
        <w:t>NCA</w:t>
      </w:r>
      <w:r w:rsidR="00B55AAE">
        <w:t>.</w:t>
      </w:r>
    </w:p>
    <w:p w14:paraId="56F42548" w14:textId="22BC942A" w:rsidR="00CE687A" w:rsidRDefault="00CE687A" w:rsidP="00142219">
      <w:pPr>
        <w:pStyle w:val="ListParagraph"/>
      </w:pPr>
      <w:r>
        <w:t>From March 2017, t</w:t>
      </w:r>
      <w:r w:rsidR="004A75EF">
        <w:t xml:space="preserve">he Applicant </w:t>
      </w:r>
      <w:r>
        <w:t xml:space="preserve">began </w:t>
      </w:r>
      <w:r w:rsidR="004A75EF">
        <w:t>default</w:t>
      </w:r>
      <w:r>
        <w:t>ing</w:t>
      </w:r>
      <w:r w:rsidR="004A75EF">
        <w:t xml:space="preserve"> on his loan. </w:t>
      </w:r>
      <w:r>
        <w:t xml:space="preserve">His last payment </w:t>
      </w:r>
      <w:r w:rsidR="00893264">
        <w:t>was on 3 September 2017.</w:t>
      </w:r>
    </w:p>
    <w:p w14:paraId="2E1A6ED8" w14:textId="25EDD2CA" w:rsidR="003A6A76" w:rsidRDefault="003A6A76" w:rsidP="00142219">
      <w:pPr>
        <w:pStyle w:val="ListParagraph"/>
      </w:pPr>
      <w:r>
        <w:t>Sometime in 2018, the Applicant moved to the Eastern Cape. He did not alter his chosen address</w:t>
      </w:r>
      <w:r w:rsidR="002241DF">
        <w:t xml:space="preserve"> under the agreement</w:t>
      </w:r>
      <w:r>
        <w:t>.</w:t>
      </w:r>
    </w:p>
    <w:p w14:paraId="126BF48B" w14:textId="77777777" w:rsidR="002241DF" w:rsidRPr="00142219" w:rsidRDefault="002241DF" w:rsidP="002241DF">
      <w:pPr>
        <w:pStyle w:val="ListParagraph"/>
      </w:pPr>
      <w:r>
        <w:rPr>
          <w:lang w:val="en-ZA"/>
        </w:rPr>
        <w:lastRenderedPageBreak/>
        <w:t>In 2019, Direct Axis ceded its rights under that agreement to the Respondent, which is based in Pietermaritzburg.</w:t>
      </w:r>
    </w:p>
    <w:p w14:paraId="117D06E9" w14:textId="2606BBFD" w:rsidR="004A75EF" w:rsidRDefault="003A6A76" w:rsidP="008970A3">
      <w:pPr>
        <w:pStyle w:val="ListParagraph"/>
      </w:pPr>
      <w:r>
        <w:t>On 15 July</w:t>
      </w:r>
      <w:r w:rsidR="00F942B7">
        <w:t xml:space="preserve"> 2020, the Respondent sent a notice under s 129(1)(a) </w:t>
      </w:r>
      <w:r w:rsidR="004A75EF">
        <w:t xml:space="preserve">of the </w:t>
      </w:r>
      <w:r w:rsidR="00B55AAE">
        <w:t xml:space="preserve">NCA </w:t>
      </w:r>
      <w:r w:rsidR="00C434F2">
        <w:t xml:space="preserve">to the applicant </w:t>
      </w:r>
      <w:r w:rsidR="00F942B7">
        <w:t>to</w:t>
      </w:r>
      <w:r w:rsidR="00F942B7">
        <w:rPr>
          <w:b/>
          <w:bCs/>
        </w:rPr>
        <w:t xml:space="preserve"> </w:t>
      </w:r>
      <w:r w:rsidR="00F942B7">
        <w:t>inform him he was in</w:t>
      </w:r>
      <w:r w:rsidR="004A75EF">
        <w:t xml:space="preserve"> default</w:t>
      </w:r>
      <w:r w:rsidR="00F942B7">
        <w:t xml:space="preserve"> and afford him an opportunity to remedy the default</w:t>
      </w:r>
      <w:r w:rsidR="004A75EF">
        <w:t xml:space="preserve">. The notice was sent by registered post to </w:t>
      </w:r>
      <w:r w:rsidR="00F942B7">
        <w:t xml:space="preserve">the address he chose in the agreement. </w:t>
      </w:r>
      <w:r w:rsidR="00AE4FB7">
        <w:t>However, it does not seem to have e</w:t>
      </w:r>
      <w:r w:rsidR="00D852E7">
        <w:t>ver left KwaZulu-Natal</w:t>
      </w:r>
      <w:r w:rsidR="004D3110">
        <w:t>, where the Respondent is based</w:t>
      </w:r>
      <w:r w:rsidR="00D852E7">
        <w:t>. The last evidence of its whereabout</w:t>
      </w:r>
      <w:r w:rsidR="00C434F2">
        <w:t>s</w:t>
      </w:r>
      <w:r w:rsidR="00D852E7">
        <w:t xml:space="preserve"> was </w:t>
      </w:r>
      <w:r w:rsidR="004E04FC">
        <w:t xml:space="preserve">that it was </w:t>
      </w:r>
      <w:r w:rsidR="00C434F2">
        <w:t xml:space="preserve">“in transit” </w:t>
      </w:r>
      <w:r w:rsidR="004E04FC">
        <w:t xml:space="preserve">at </w:t>
      </w:r>
      <w:proofErr w:type="spellStart"/>
      <w:r w:rsidR="004E04FC">
        <w:t>Durmail</w:t>
      </w:r>
      <w:proofErr w:type="spellEnd"/>
      <w:r w:rsidR="004E04FC">
        <w:t xml:space="preserve"> post office on 24 July 2020.</w:t>
      </w:r>
    </w:p>
    <w:p w14:paraId="34009B6A" w14:textId="040FF1D4" w:rsidR="004E04FC" w:rsidRDefault="004E04FC" w:rsidP="008970A3">
      <w:pPr>
        <w:pStyle w:val="ListParagraph"/>
      </w:pPr>
      <w:r>
        <w:t>On</w:t>
      </w:r>
      <w:r w:rsidR="00D31C14">
        <w:t xml:space="preserve"> </w:t>
      </w:r>
      <w:r>
        <w:t>11 August 2020, the Respondent issued summons against the Applicant for repayment of the debt</w:t>
      </w:r>
      <w:r w:rsidR="00D31C14">
        <w:t xml:space="preserve">, which was then R103 421.01 plus interest. The Sheriff served the summons at the </w:t>
      </w:r>
      <w:r w:rsidR="00455A93">
        <w:t xml:space="preserve">Applicant’s chosen address on </w:t>
      </w:r>
      <w:r w:rsidR="00430954">
        <w:t xml:space="preserve">25 August 2020. The return was provided to a </w:t>
      </w:r>
      <w:proofErr w:type="spellStart"/>
      <w:r w:rsidR="00430954">
        <w:t>Mrs</w:t>
      </w:r>
      <w:proofErr w:type="spellEnd"/>
      <w:r w:rsidR="00430954">
        <w:t xml:space="preserve"> West who informed the Sheriff that the Applicant “only rented at given address, but left long time ago”.</w:t>
      </w:r>
      <w:r w:rsidR="000A3CA7">
        <w:t xml:space="preserve"> The Applicant </w:t>
      </w:r>
      <w:r w:rsidR="004D3110">
        <w:t>aver</w:t>
      </w:r>
      <w:r w:rsidR="000A3CA7">
        <w:t>s that he was not aware the summons was issued against him.</w:t>
      </w:r>
    </w:p>
    <w:p w14:paraId="18B3A1F1" w14:textId="4378EF4D" w:rsidR="00430954" w:rsidRPr="004A75EF" w:rsidRDefault="00CD3416" w:rsidP="008970A3">
      <w:pPr>
        <w:pStyle w:val="ListParagraph"/>
      </w:pPr>
      <w:r>
        <w:t xml:space="preserve">Having received no opposition, on 26 January 2021, the Respondent applied for default judgment. </w:t>
      </w:r>
      <w:r w:rsidR="00C21ADF">
        <w:t xml:space="preserve">It is not clear how that was served, but </w:t>
      </w:r>
      <w:r w:rsidR="005B6AAF">
        <w:t>it was common cause it did not come to the Applicant’s attention. The Registrar granted default judgment</w:t>
      </w:r>
      <w:r w:rsidR="00365A43">
        <w:t xml:space="preserve"> on 15 February 2021.</w:t>
      </w:r>
    </w:p>
    <w:p w14:paraId="2236A123" w14:textId="5E934CF8" w:rsidR="00365A43" w:rsidRDefault="00365A43" w:rsidP="00142219">
      <w:pPr>
        <w:pStyle w:val="ListParagraph"/>
      </w:pPr>
      <w:r>
        <w:t xml:space="preserve">The Applicant remained blissfully unaware of what had occurred. </w:t>
      </w:r>
      <w:r w:rsidR="00F903AD">
        <w:t>H</w:t>
      </w:r>
      <w:r>
        <w:t xml:space="preserve">e had, by this point, taken up residence in </w:t>
      </w:r>
      <w:proofErr w:type="spellStart"/>
      <w:r>
        <w:t>Gqeberha</w:t>
      </w:r>
      <w:proofErr w:type="spellEnd"/>
      <w:r>
        <w:t>.</w:t>
      </w:r>
      <w:r w:rsidR="005D4479">
        <w:t xml:space="preserve"> He first learnt of the action and the default judgment on </w:t>
      </w:r>
      <w:r w:rsidR="00276E2D">
        <w:t>12 April 2022 when his bank manager contacted him about an attachment order on his bank account. There was then a flurry of activity as he instructed his then attorney to find out what had happened.</w:t>
      </w:r>
      <w:r w:rsidR="003A1277">
        <w:t xml:space="preserve"> He </w:t>
      </w:r>
      <w:r w:rsidR="00DB6DAD">
        <w:t>ultimately obtained the court file on 25 April 2022.</w:t>
      </w:r>
    </w:p>
    <w:p w14:paraId="4E8D3558" w14:textId="34B889FA" w:rsidR="00DB6DAD" w:rsidRDefault="00DB6DAD" w:rsidP="00142219">
      <w:pPr>
        <w:pStyle w:val="ListParagraph"/>
      </w:pPr>
      <w:r>
        <w:lastRenderedPageBreak/>
        <w:t xml:space="preserve">There followed a string of correspondence between the Applicant’s and the Respondent’s attorneys. Only one of those letters is before me. It was written by the Applicant’s attorney on 15 June 2022. </w:t>
      </w:r>
      <w:r w:rsidR="00A042CD">
        <w:t xml:space="preserve">It disputes </w:t>
      </w:r>
      <w:r w:rsidR="00ED6F0D">
        <w:t>the amount owing, and whether there had been proper service. It does not deny that a debt is owed. It proposes settlement of R50 000, paid in instalments. It seems that offer was not accepted.</w:t>
      </w:r>
    </w:p>
    <w:p w14:paraId="49EBED62" w14:textId="0A6D058A" w:rsidR="00ED6F0D" w:rsidRDefault="008D436E" w:rsidP="00142219">
      <w:pPr>
        <w:pStyle w:val="ListParagraph"/>
      </w:pPr>
      <w:r>
        <w:t xml:space="preserve">From June 2022, the Applicant went dormant until 23 November 2022 when he instructed his current attorneys. </w:t>
      </w:r>
      <w:r w:rsidR="007E516D">
        <w:t xml:space="preserve">There </w:t>
      </w:r>
      <w:r w:rsidR="00F903AD">
        <w:t>was</w:t>
      </w:r>
      <w:r w:rsidR="007E516D">
        <w:t xml:space="preserve"> some unexplained difficulty with his previous attorney. </w:t>
      </w:r>
      <w:r>
        <w:t xml:space="preserve">They then took until </w:t>
      </w:r>
      <w:r w:rsidR="009C2950">
        <w:t>10 January 2023 to launch this application for rescission</w:t>
      </w:r>
      <w:r w:rsidR="00194C0B">
        <w:t xml:space="preserve"> of the default judgment</w:t>
      </w:r>
      <w:r w:rsidR="009C2950">
        <w:t>.</w:t>
      </w:r>
    </w:p>
    <w:p w14:paraId="43603722" w14:textId="76F07E1F" w:rsidR="00C81232" w:rsidRDefault="00C30AA6" w:rsidP="00142219">
      <w:pPr>
        <w:pStyle w:val="ListParagraph"/>
      </w:pPr>
      <w:r>
        <w:t>The application is brought in terms of rule 42</w:t>
      </w:r>
      <w:r w:rsidR="008E22EC">
        <w:t xml:space="preserve">(1)(a), alternatively the common law. </w:t>
      </w:r>
      <w:r w:rsidR="009E7650">
        <w:t xml:space="preserve">It is not brought in terms of rule 31(2)(b). </w:t>
      </w:r>
      <w:r w:rsidR="007E516D">
        <w:t>The Applicant</w:t>
      </w:r>
      <w:r w:rsidR="00C81232">
        <w:t xml:space="preserve"> argues that his late launching of the application should be overlooked because it was the result of his </w:t>
      </w:r>
      <w:r w:rsidR="00F903AD">
        <w:t xml:space="preserve">erstwhile </w:t>
      </w:r>
      <w:r w:rsidR="00C81232">
        <w:t>attorney’s negligence, not a reflection that he did not intend to bring a rescission application.</w:t>
      </w:r>
    </w:p>
    <w:p w14:paraId="0215C895" w14:textId="0CA820B4" w:rsidR="00C30AA6" w:rsidRDefault="00712B34" w:rsidP="00142219">
      <w:pPr>
        <w:pStyle w:val="ListParagraph"/>
      </w:pPr>
      <w:r>
        <w:t>He</w:t>
      </w:r>
      <w:r w:rsidR="008E22EC">
        <w:t xml:space="preserve"> contends that the </w:t>
      </w:r>
      <w:r w:rsidR="00194C0B">
        <w:t xml:space="preserve">judgment was erroneously granted because he was no longer resident at </w:t>
      </w:r>
      <w:r w:rsidR="0045435F">
        <w:t xml:space="preserve">the Philadelphia address, and this was made clear to the Sheriff when he served the summons. The result, he contends, is that there was no proper service, prescription was not interrupted, and he therefore has a bona fide </w:t>
      </w:r>
      <w:r w:rsidR="00F903AD">
        <w:t xml:space="preserve">prescription </w:t>
      </w:r>
      <w:proofErr w:type="spellStart"/>
      <w:r w:rsidR="0045435F">
        <w:t>defence</w:t>
      </w:r>
      <w:proofErr w:type="spellEnd"/>
      <w:r w:rsidR="0045435F">
        <w:t xml:space="preserve"> to the Respondent’s claim.</w:t>
      </w:r>
    </w:p>
    <w:p w14:paraId="3CDE91A1" w14:textId="61361DE1" w:rsidR="00BE0F2A" w:rsidRDefault="00BE0F2A" w:rsidP="00142219">
      <w:pPr>
        <w:pStyle w:val="ListParagraph"/>
      </w:pPr>
      <w:r>
        <w:t>The Applicant also contends that the s 129 notice was not delivered to him in compliance with the requirements of the NCA.</w:t>
      </w:r>
      <w:r w:rsidR="000039EF">
        <w:t xml:space="preserve"> This, he argues, was a </w:t>
      </w:r>
      <w:proofErr w:type="spellStart"/>
      <w:r w:rsidR="000039EF">
        <w:t>defence</w:t>
      </w:r>
      <w:proofErr w:type="spellEnd"/>
      <w:r w:rsidR="000039EF">
        <w:t xml:space="preserve"> to the Respondent’s action, which could not have proceeded until there was proper delivery of the s 129 notice.</w:t>
      </w:r>
      <w:r w:rsidR="00A00D13">
        <w:t xml:space="preserve"> It also meant that the order was erroneously granted as envisaged in rule 42(1)(a).</w:t>
      </w:r>
    </w:p>
    <w:p w14:paraId="2A594719" w14:textId="273D9E24" w:rsidR="000039EF" w:rsidRDefault="00C81232" w:rsidP="00142219">
      <w:pPr>
        <w:pStyle w:val="ListParagraph"/>
      </w:pPr>
      <w:r>
        <w:lastRenderedPageBreak/>
        <w:t>The Applicant</w:t>
      </w:r>
      <w:r w:rsidR="00055623">
        <w:t xml:space="preserve"> raises two further </w:t>
      </w:r>
      <w:proofErr w:type="spellStart"/>
      <w:r w:rsidR="00055623">
        <w:t>defences</w:t>
      </w:r>
      <w:proofErr w:type="spellEnd"/>
      <w:r>
        <w:t xml:space="preserve"> he contends justify rescission:</w:t>
      </w:r>
    </w:p>
    <w:p w14:paraId="5FD99E97" w14:textId="04E1793C" w:rsidR="00055623" w:rsidRDefault="000039EF" w:rsidP="000039EF">
      <w:pPr>
        <w:pStyle w:val="ListParagraph"/>
        <w:numPr>
          <w:ilvl w:val="1"/>
          <w:numId w:val="13"/>
        </w:numPr>
      </w:pPr>
      <w:r>
        <w:t>H</w:t>
      </w:r>
      <w:r w:rsidR="00055623">
        <w:t xml:space="preserve">e claims </w:t>
      </w:r>
      <w:r w:rsidR="00BE0F2A">
        <w:t xml:space="preserve">that the Court lacks </w:t>
      </w:r>
      <w:r>
        <w:t>jurisdiction because he is no longer resident in the Western Cape; and</w:t>
      </w:r>
    </w:p>
    <w:p w14:paraId="5AA50D04" w14:textId="3ECBA265" w:rsidR="000039EF" w:rsidRDefault="000039EF" w:rsidP="000039EF">
      <w:pPr>
        <w:pStyle w:val="ListParagraph"/>
        <w:numPr>
          <w:ilvl w:val="1"/>
          <w:numId w:val="13"/>
        </w:numPr>
      </w:pPr>
      <w:r>
        <w:t>He disputes the authority of Direct Axis to have ceded its rights under the credit agreement to the Respondent.</w:t>
      </w:r>
    </w:p>
    <w:p w14:paraId="5D090C4E" w14:textId="314D190D" w:rsidR="00A5500B" w:rsidRDefault="00C81232" w:rsidP="008970A3">
      <w:pPr>
        <w:pStyle w:val="ListParagraph"/>
      </w:pPr>
      <w:r>
        <w:t xml:space="preserve">For its part, the Respondent is willing to overlook the delay and does not oppose condonation. However, it claims that the delay </w:t>
      </w:r>
      <w:r w:rsidR="00A5500B">
        <w:t>supports a conclusion that the</w:t>
      </w:r>
      <w:r w:rsidR="00B36071">
        <w:t xml:space="preserve"> Applicant’s</w:t>
      </w:r>
      <w:r w:rsidR="00A5500B">
        <w:t xml:space="preserve"> </w:t>
      </w:r>
      <w:proofErr w:type="spellStart"/>
      <w:r w:rsidR="00A5500B">
        <w:t>defences</w:t>
      </w:r>
      <w:proofErr w:type="spellEnd"/>
      <w:r w:rsidR="00A5500B">
        <w:t xml:space="preserve"> are not raised bona fide, but with an intention to delay the inevitable.</w:t>
      </w:r>
      <w:r w:rsidR="00B36071">
        <w:t xml:space="preserve"> </w:t>
      </w:r>
      <w:r w:rsidR="00A5500B">
        <w:t xml:space="preserve">On the </w:t>
      </w:r>
      <w:r w:rsidR="00004E67">
        <w:t>Applicant’s four</w:t>
      </w:r>
      <w:r w:rsidR="00A5500B">
        <w:t xml:space="preserve"> </w:t>
      </w:r>
      <w:proofErr w:type="spellStart"/>
      <w:r w:rsidR="00A5500B">
        <w:t>defences</w:t>
      </w:r>
      <w:proofErr w:type="spellEnd"/>
      <w:r w:rsidR="00A5500B">
        <w:t>, the Respondent answers as follows:</w:t>
      </w:r>
    </w:p>
    <w:p w14:paraId="244504F4" w14:textId="4116C557" w:rsidR="00A5500B" w:rsidRDefault="00A5500B" w:rsidP="00A5500B">
      <w:pPr>
        <w:pStyle w:val="ListParagraph"/>
        <w:numPr>
          <w:ilvl w:val="1"/>
          <w:numId w:val="13"/>
        </w:numPr>
      </w:pPr>
      <w:r>
        <w:t xml:space="preserve">Service was at the Applicant’s chosen </w:t>
      </w:r>
      <w:proofErr w:type="spellStart"/>
      <w:r>
        <w:rPr>
          <w:i/>
          <w:iCs/>
        </w:rPr>
        <w:t>domicilium</w:t>
      </w:r>
      <w:proofErr w:type="spellEnd"/>
      <w:r>
        <w:t xml:space="preserve"> and so his presence there was not required to interrupt prescription;</w:t>
      </w:r>
    </w:p>
    <w:p w14:paraId="308BEAF5" w14:textId="4489F87D" w:rsidR="00A5500B" w:rsidRDefault="00A5500B" w:rsidP="00A5500B">
      <w:pPr>
        <w:pStyle w:val="ListParagraph"/>
        <w:numPr>
          <w:ilvl w:val="1"/>
          <w:numId w:val="13"/>
        </w:numPr>
      </w:pPr>
      <w:r>
        <w:t xml:space="preserve">The s 129 notice was not properly delivered, but </w:t>
      </w:r>
      <w:r w:rsidR="00382CC6">
        <w:t xml:space="preserve">it </w:t>
      </w:r>
      <w:r>
        <w:t>has since come to his notice and its improper delivery is not a reason to grant rescission</w:t>
      </w:r>
      <w:r w:rsidR="00004E67">
        <w:t xml:space="preserve"> under rule 42(1)(a)</w:t>
      </w:r>
      <w:r>
        <w:t>;</w:t>
      </w:r>
    </w:p>
    <w:p w14:paraId="431ED9AE" w14:textId="762C5EA4" w:rsidR="00A5500B" w:rsidRDefault="00A5500B" w:rsidP="00A5500B">
      <w:pPr>
        <w:pStyle w:val="ListParagraph"/>
        <w:numPr>
          <w:ilvl w:val="1"/>
          <w:numId w:val="13"/>
        </w:numPr>
      </w:pPr>
      <w:r>
        <w:t xml:space="preserve">The </w:t>
      </w:r>
      <w:r w:rsidR="00B55AAE">
        <w:t>Court has jurisdiction because the credit agreement was concluded in the Western Cape; and</w:t>
      </w:r>
    </w:p>
    <w:p w14:paraId="0000DE00" w14:textId="38C362BB" w:rsidR="00B55AAE" w:rsidRDefault="00B55AAE" w:rsidP="00B55AAE">
      <w:pPr>
        <w:pStyle w:val="ListParagraph"/>
        <w:numPr>
          <w:ilvl w:val="1"/>
          <w:numId w:val="13"/>
        </w:numPr>
      </w:pPr>
      <w:r>
        <w:t>The complaint about authority to cede was not properly raised, and no evidence exists to support it.</w:t>
      </w:r>
    </w:p>
    <w:p w14:paraId="5DCAAADD" w14:textId="075C5BE3" w:rsidR="00B765B8" w:rsidRDefault="00B765B8" w:rsidP="00B765B8">
      <w:pPr>
        <w:pStyle w:val="ListParagraph"/>
      </w:pPr>
      <w:r>
        <w:t xml:space="preserve">I first set out the relevant principles of rescission. I then dispatch the various arguments which, in my view, are without merit – prescription, jurisdiction and cession. </w:t>
      </w:r>
      <w:r w:rsidR="00382CC6">
        <w:t>Lastly, I address</w:t>
      </w:r>
      <w:r>
        <w:t xml:space="preserve"> the </w:t>
      </w:r>
      <w:r w:rsidR="00AA4850">
        <w:t>failure to deliver the s 129 notice.</w:t>
      </w:r>
    </w:p>
    <w:p w14:paraId="75E2D500" w14:textId="77777777" w:rsidR="00B55AAE" w:rsidRDefault="00B55AAE" w:rsidP="00B55AAE"/>
    <w:p w14:paraId="007611F9" w14:textId="3316963C" w:rsidR="00B55AAE" w:rsidRDefault="00B55AAE" w:rsidP="00B55AAE">
      <w:pPr>
        <w:pStyle w:val="Heading3"/>
      </w:pPr>
      <w:r>
        <w:t>Principles of Rescission</w:t>
      </w:r>
    </w:p>
    <w:p w14:paraId="49341995" w14:textId="4BB09E73" w:rsidR="00CE4C5E" w:rsidRDefault="00E72C22" w:rsidP="005F1382">
      <w:pPr>
        <w:pStyle w:val="ListParagraph"/>
      </w:pPr>
      <w:r>
        <w:t>There are three bases for rescission of a default judgment – rule 3</w:t>
      </w:r>
      <w:r w:rsidR="00975307">
        <w:t>1</w:t>
      </w:r>
      <w:r>
        <w:t>(</w:t>
      </w:r>
      <w:r w:rsidR="00975307">
        <w:t>2</w:t>
      </w:r>
      <w:r>
        <w:t xml:space="preserve">)(b), rule 42(1)(a), and the common law. </w:t>
      </w:r>
      <w:r w:rsidR="009E7650">
        <w:t>This matters because, on my understanding of the law, the substantive requirements for rescission are different</w:t>
      </w:r>
      <w:r w:rsidR="006F581F">
        <w:t xml:space="preserve"> under rule 42(1)(a) compared to rule 31(2)(b) and the common law</w:t>
      </w:r>
      <w:r w:rsidR="009E7650">
        <w:t xml:space="preserve">. </w:t>
      </w:r>
    </w:p>
    <w:p w14:paraId="2794432A" w14:textId="2BD5D2CB" w:rsidR="005F1382" w:rsidRDefault="009E7650" w:rsidP="005F1382">
      <w:pPr>
        <w:pStyle w:val="ListParagraph"/>
      </w:pPr>
      <w:r>
        <w:t>Under rule 31(2)(b)</w:t>
      </w:r>
      <w:r w:rsidR="003A6C9B">
        <w:t xml:space="preserve"> and the common law</w:t>
      </w:r>
      <w:bookmarkStart w:id="1" w:name="_Ref150755342"/>
      <w:r w:rsidR="003A6C9B">
        <w:rPr>
          <w:rStyle w:val="FootnoteReference"/>
        </w:rPr>
        <w:footnoteReference w:id="1"/>
      </w:r>
      <w:bookmarkEnd w:id="1"/>
      <w:r>
        <w:t xml:space="preserve"> a court has a general discretion </w:t>
      </w:r>
      <w:r w:rsidR="004B5056">
        <w:t>to rescind. It will consider</w:t>
      </w:r>
      <w:r w:rsidR="00CE4C5E">
        <w:t>: (a)</w:t>
      </w:r>
      <w:r w:rsidR="004B5056">
        <w:t xml:space="preserve"> whether the </w:t>
      </w:r>
      <w:r w:rsidR="00EF0A7D">
        <w:t>applicant for rescission</w:t>
      </w:r>
      <w:r w:rsidR="004B5056">
        <w:t xml:space="preserve"> was in </w:t>
      </w:r>
      <w:proofErr w:type="spellStart"/>
      <w:r w:rsidR="004B5056">
        <w:t>wilful</w:t>
      </w:r>
      <w:proofErr w:type="spellEnd"/>
      <w:r w:rsidR="004B5056">
        <w:t xml:space="preserve"> default</w:t>
      </w:r>
      <w:r w:rsidR="00CE4C5E">
        <w:t>; (b)</w:t>
      </w:r>
      <w:r w:rsidR="004B5056">
        <w:t xml:space="preserve"> </w:t>
      </w:r>
      <w:r w:rsidR="00342773">
        <w:t>whether the rescission is brought in good faith</w:t>
      </w:r>
      <w:r w:rsidR="00CE4C5E">
        <w:t>;</w:t>
      </w:r>
      <w:r w:rsidR="00342773">
        <w:t xml:space="preserve"> and</w:t>
      </w:r>
      <w:r w:rsidR="00CE4C5E">
        <w:t xml:space="preserve"> (c)</w:t>
      </w:r>
      <w:r w:rsidR="00342773">
        <w:t xml:space="preserve"> whether the defendant has a bona fide </w:t>
      </w:r>
      <w:proofErr w:type="spellStart"/>
      <w:r w:rsidR="00342773">
        <w:t>defence</w:t>
      </w:r>
      <w:proofErr w:type="spellEnd"/>
      <w:r w:rsidR="00342773">
        <w:t xml:space="preserve"> to the claim.</w:t>
      </w:r>
      <w:r w:rsidR="00342773">
        <w:rPr>
          <w:rStyle w:val="FootnoteReference"/>
        </w:rPr>
        <w:footnoteReference w:id="2"/>
      </w:r>
      <w:r w:rsidR="00A700F2">
        <w:t xml:space="preserve"> </w:t>
      </w:r>
      <w:r w:rsidR="00EC61C7">
        <w:t>These are not formal requirements – the court retains a wide discretion.</w:t>
      </w:r>
      <w:r w:rsidR="00EC61C7">
        <w:rPr>
          <w:rStyle w:val="FootnoteReference"/>
        </w:rPr>
        <w:footnoteReference w:id="3"/>
      </w:r>
    </w:p>
    <w:p w14:paraId="7236CA03" w14:textId="7C544AFB" w:rsidR="00EF0A7D" w:rsidRDefault="00EF0A7D" w:rsidP="005F1382">
      <w:pPr>
        <w:pStyle w:val="ListParagraph"/>
      </w:pPr>
      <w:r>
        <w:t xml:space="preserve">But rule 42(1)(a) is different. To succeed in a rescission under this rule, an applicant must show </w:t>
      </w:r>
      <w:r w:rsidR="00274084">
        <w:t xml:space="preserve">that the judgment was </w:t>
      </w:r>
      <w:r w:rsidR="00342036">
        <w:t>“erroneously sought or erroneously granted in the absence of any party affected thereby”.</w:t>
      </w:r>
      <w:r w:rsidR="003A7E62">
        <w:t xml:space="preserve"> </w:t>
      </w:r>
      <w:r w:rsidR="003A6C9B">
        <w:t>An order will be erroneously granted</w:t>
      </w:r>
      <w:r w:rsidR="005D7057">
        <w:t xml:space="preserve"> “if there existed at the time of its issue a fact which the court was unaware of, which would have precluded the granting of the judgment and which would have induced the court, if aware of it, not to grant the judgment</w:t>
      </w:r>
      <w:r w:rsidR="00D8395E">
        <w:t>.</w:t>
      </w:r>
      <w:r w:rsidR="005D7057">
        <w:t>”</w:t>
      </w:r>
      <w:bookmarkStart w:id="2" w:name="_Ref150755327"/>
      <w:r w:rsidR="0006532A">
        <w:rPr>
          <w:rStyle w:val="FootnoteReference"/>
        </w:rPr>
        <w:footnoteReference w:id="4"/>
      </w:r>
      <w:bookmarkEnd w:id="2"/>
      <w:r w:rsidR="0006532A">
        <w:t xml:space="preserve"> </w:t>
      </w:r>
      <w:r w:rsidR="00F646DB">
        <w:t xml:space="preserve">I deal </w:t>
      </w:r>
      <w:r w:rsidR="00367905">
        <w:t xml:space="preserve">below </w:t>
      </w:r>
      <w:r w:rsidR="00F646DB">
        <w:t xml:space="preserve">with the specific case law on whether the failure to deliver a s 129 notice </w:t>
      </w:r>
      <w:r w:rsidR="00367905">
        <w:t>means an order is erroneously granted.</w:t>
      </w:r>
    </w:p>
    <w:p w14:paraId="20B90260" w14:textId="2D0BD567" w:rsidR="00F36C42" w:rsidRDefault="00F36C42" w:rsidP="005F1382">
      <w:pPr>
        <w:pStyle w:val="ListParagraph"/>
      </w:pPr>
      <w:r>
        <w:lastRenderedPageBreak/>
        <w:t xml:space="preserve">Importantly, once an applicant establishes the judgment was erroneously granted, it is not necessary to show a bona fide </w:t>
      </w:r>
      <w:proofErr w:type="spellStart"/>
      <w:r>
        <w:t>defence</w:t>
      </w:r>
      <w:proofErr w:type="spellEnd"/>
      <w:r>
        <w:t xml:space="preserve">. </w:t>
      </w:r>
      <w:r w:rsidR="008F763A">
        <w:t xml:space="preserve">As the Court held in </w:t>
      </w:r>
      <w:proofErr w:type="spellStart"/>
      <w:r>
        <w:rPr>
          <w:i/>
          <w:iCs/>
        </w:rPr>
        <w:t>Kgomo</w:t>
      </w:r>
      <w:proofErr w:type="spellEnd"/>
      <w:r>
        <w:t>: “the applicant for rescission [in terms of rule 42(1)(a)] is not required to show, over and above the error, that there is good cause for the rescission as contemplated in rule 31(2)</w:t>
      </w:r>
      <w:r w:rsidRPr="00671395">
        <w:t>(b)</w:t>
      </w:r>
      <w:r>
        <w:t>.”</w:t>
      </w:r>
      <w:bookmarkStart w:id="3" w:name="_Ref150755425"/>
      <w:r>
        <w:rPr>
          <w:rStyle w:val="FootnoteReference"/>
        </w:rPr>
        <w:footnoteReference w:id="5"/>
      </w:r>
      <w:bookmarkEnd w:id="3"/>
      <w:r>
        <w:t xml:space="preserve"> </w:t>
      </w:r>
      <w:r w:rsidR="008F763A">
        <w:t>T</w:t>
      </w:r>
      <w:r>
        <w:t>hat is</w:t>
      </w:r>
      <w:r w:rsidR="008F763A">
        <w:t xml:space="preserve"> also</w:t>
      </w:r>
      <w:r>
        <w:t xml:space="preserve"> the holding of the Constitutional Court in </w:t>
      </w:r>
      <w:r>
        <w:rPr>
          <w:i/>
          <w:iCs/>
        </w:rPr>
        <w:t>Ferris</w:t>
      </w:r>
      <w:r>
        <w:t xml:space="preserve">: “good cause (including a bona fide </w:t>
      </w:r>
      <w:proofErr w:type="spellStart"/>
      <w:r>
        <w:t>defence</w:t>
      </w:r>
      <w:proofErr w:type="spellEnd"/>
      <w:r>
        <w:t>) is not required for rescission under rule 42(1)</w:t>
      </w:r>
      <w:r w:rsidRPr="00367756">
        <w:t>(a)</w:t>
      </w:r>
      <w:r>
        <w:t>”.</w:t>
      </w:r>
      <w:bookmarkStart w:id="4" w:name="_Ref150755439"/>
      <w:r>
        <w:rPr>
          <w:rStyle w:val="FootnoteReference"/>
        </w:rPr>
        <w:footnoteReference w:id="6"/>
      </w:r>
      <w:bookmarkEnd w:id="4"/>
      <w:r>
        <w:t xml:space="preserve"> </w:t>
      </w:r>
    </w:p>
    <w:p w14:paraId="51152C5D" w14:textId="2E1639B6" w:rsidR="00587F42" w:rsidRPr="00B33249" w:rsidRDefault="00D758F5" w:rsidP="005A7C79">
      <w:pPr>
        <w:pStyle w:val="ListParagraph"/>
        <w:rPr>
          <w:i/>
          <w:iCs/>
        </w:rPr>
      </w:pPr>
      <w:r>
        <w:t>Surprisingly, on my reading of the authorities, i</w:t>
      </w:r>
      <w:r w:rsidR="00587F42">
        <w:t xml:space="preserve">t </w:t>
      </w:r>
      <w:r>
        <w:t xml:space="preserve">remains </w:t>
      </w:r>
      <w:r w:rsidR="00587F42">
        <w:t xml:space="preserve">unclear whether </w:t>
      </w:r>
      <w:r w:rsidR="001B1E1D">
        <w:t xml:space="preserve">a court that concludes an earlier order was erroneously sought and granted has a discretion to refuse rescission. In </w:t>
      </w:r>
      <w:proofErr w:type="spellStart"/>
      <w:r w:rsidR="001B1E1D">
        <w:rPr>
          <w:i/>
          <w:iCs/>
        </w:rPr>
        <w:t>Tshi</w:t>
      </w:r>
      <w:r w:rsidR="003A634D">
        <w:rPr>
          <w:i/>
          <w:iCs/>
        </w:rPr>
        <w:t>vh</w:t>
      </w:r>
      <w:r w:rsidR="001B1E1D">
        <w:rPr>
          <w:i/>
          <w:iCs/>
        </w:rPr>
        <w:t>ase</w:t>
      </w:r>
      <w:proofErr w:type="spellEnd"/>
      <w:r w:rsidR="002C4AFB">
        <w:t>,</w:t>
      </w:r>
      <w:r w:rsidR="001B1E1D" w:rsidRPr="001B1E1D">
        <w:rPr>
          <w:i/>
          <w:iCs/>
        </w:rPr>
        <w:t xml:space="preserve"> </w:t>
      </w:r>
      <w:proofErr w:type="spellStart"/>
      <w:r w:rsidR="001B1E1D">
        <w:t>Nestadt</w:t>
      </w:r>
      <w:proofErr w:type="spellEnd"/>
      <w:r w:rsidR="001B1E1D">
        <w:t xml:space="preserve"> JA held t</w:t>
      </w:r>
      <w:r w:rsidR="005A7C79">
        <w:t xml:space="preserve">hat “the </w:t>
      </w:r>
      <w:r w:rsidR="001B1E1D" w:rsidRPr="005A7C79">
        <w:t xml:space="preserve">Court has </w:t>
      </w:r>
      <w:r w:rsidR="005A7C79" w:rsidRPr="005A7C79">
        <w:t xml:space="preserve">a </w:t>
      </w:r>
      <w:r w:rsidR="001B1E1D" w:rsidRPr="005A7C79">
        <w:t>discretion whether or not to grant an application for rescission under Rule 42(1).</w:t>
      </w:r>
      <w:r w:rsidR="005A7C79" w:rsidRPr="005A7C79">
        <w:t>”</w:t>
      </w:r>
      <w:r w:rsidR="004E2BF0">
        <w:rPr>
          <w:rStyle w:val="FootnoteReference"/>
        </w:rPr>
        <w:footnoteReference w:id="7"/>
      </w:r>
      <w:r w:rsidR="008C3370">
        <w:t xml:space="preserve"> But later cases</w:t>
      </w:r>
      <w:r w:rsidR="007C0D5C">
        <w:t xml:space="preserve"> suggest that, if an order was erroneously granted, a court must rescind.</w:t>
      </w:r>
      <w:r w:rsidR="00D70B33">
        <w:t xml:space="preserve"> </w:t>
      </w:r>
      <w:proofErr w:type="spellStart"/>
      <w:r w:rsidR="003A634D">
        <w:t>Mbha</w:t>
      </w:r>
      <w:proofErr w:type="spellEnd"/>
      <w:r w:rsidR="003A634D">
        <w:t xml:space="preserve"> JA</w:t>
      </w:r>
      <w:r w:rsidR="002C4AFB">
        <w:t>,</w:t>
      </w:r>
      <w:r w:rsidR="003A634D">
        <w:t xml:space="preserve"> </w:t>
      </w:r>
      <w:r w:rsidR="002C4AFB">
        <w:t xml:space="preserve">in </w:t>
      </w:r>
      <w:proofErr w:type="spellStart"/>
      <w:r w:rsidR="002C4AFB">
        <w:rPr>
          <w:i/>
          <w:iCs/>
        </w:rPr>
        <w:t>Rossiter</w:t>
      </w:r>
      <w:proofErr w:type="spellEnd"/>
      <w:r w:rsidR="002C4AFB">
        <w:t>, wrote</w:t>
      </w:r>
      <w:r w:rsidR="003A634D">
        <w:t xml:space="preserve">: “If the default judgment was erroneously sought or granted, a court </w:t>
      </w:r>
      <w:r w:rsidR="003A634D">
        <w:lastRenderedPageBreak/>
        <w:t>should, without more, grant the order for rescission.”</w:t>
      </w:r>
      <w:r w:rsidR="007C0D5C">
        <w:rPr>
          <w:rStyle w:val="FootnoteReference"/>
        </w:rPr>
        <w:footnoteReference w:id="8"/>
      </w:r>
      <w:r w:rsidRPr="00D758F5">
        <w:t xml:space="preserve"> </w:t>
      </w:r>
      <w:proofErr w:type="spellStart"/>
      <w:r w:rsidRPr="00CB06AC">
        <w:rPr>
          <w:i/>
          <w:iCs/>
        </w:rPr>
        <w:t>Herbstein</w:t>
      </w:r>
      <w:proofErr w:type="spellEnd"/>
      <w:r w:rsidRPr="00CB06AC">
        <w:rPr>
          <w:i/>
          <w:iCs/>
        </w:rPr>
        <w:t xml:space="preserve"> </w:t>
      </w:r>
      <w:r w:rsidR="00CB06AC">
        <w:rPr>
          <w:i/>
          <w:iCs/>
        </w:rPr>
        <w:t>&amp;</w:t>
      </w:r>
      <w:r w:rsidRPr="00CB06AC">
        <w:rPr>
          <w:i/>
          <w:iCs/>
        </w:rPr>
        <w:t xml:space="preserve"> Van </w:t>
      </w:r>
      <w:proofErr w:type="spellStart"/>
      <w:r w:rsidRPr="00CB06AC">
        <w:rPr>
          <w:i/>
          <w:iCs/>
        </w:rPr>
        <w:t>Winsen</w:t>
      </w:r>
      <w:proofErr w:type="spellEnd"/>
      <w:r>
        <w:t xml:space="preserve"> note</w:t>
      </w:r>
      <w:r w:rsidR="00CB06AC">
        <w:t>s</w:t>
      </w:r>
      <w:r>
        <w:t xml:space="preserve"> the same tension in the authorities.</w:t>
      </w:r>
      <w:r w:rsidR="00394928">
        <w:rPr>
          <w:rStyle w:val="FootnoteReference"/>
        </w:rPr>
        <w:footnoteReference w:id="9"/>
      </w:r>
    </w:p>
    <w:p w14:paraId="75373612" w14:textId="1D17F4BD" w:rsidR="00B33249" w:rsidRPr="005A7C79" w:rsidRDefault="00D758F5" w:rsidP="005A7C79">
      <w:pPr>
        <w:pStyle w:val="ListParagraph"/>
        <w:rPr>
          <w:i/>
          <w:iCs/>
        </w:rPr>
      </w:pPr>
      <w:r>
        <w:t xml:space="preserve">My view is that a court does not have a discretion. </w:t>
      </w:r>
      <w:r w:rsidR="00112958">
        <w:t>If an order was erroneously granted in the narrow meaning of rule 42(1)(a), it must be rescinded. Th</w:t>
      </w:r>
      <w:r w:rsidR="009C1EBA">
        <w:t>e only exception, it seems to me, is that a court may not consider a rescission application that was brought an inordinate time after the applicant became aware of the judgment. But</w:t>
      </w:r>
      <w:r w:rsidR="00611F0F">
        <w:t>, as the legal position seems uncertain,</w:t>
      </w:r>
      <w:r w:rsidR="009C1EBA">
        <w:t xml:space="preserve"> I justify the order on both </w:t>
      </w:r>
      <w:r w:rsidR="003A7E62">
        <w:t>possibilities.</w:t>
      </w:r>
    </w:p>
    <w:p w14:paraId="34282EB2" w14:textId="77777777" w:rsidR="009379BA" w:rsidRDefault="009379BA" w:rsidP="009379BA"/>
    <w:p w14:paraId="79F9DB8E" w14:textId="0B9D5FE3" w:rsidR="009379BA" w:rsidRDefault="009379BA" w:rsidP="009379BA">
      <w:pPr>
        <w:pStyle w:val="Heading3"/>
      </w:pPr>
      <w:r>
        <w:t>Prescription</w:t>
      </w:r>
    </w:p>
    <w:p w14:paraId="2C394AD2" w14:textId="577EF6F0" w:rsidR="009379BA" w:rsidRDefault="009379BA" w:rsidP="009379BA">
      <w:pPr>
        <w:pStyle w:val="ListParagraph"/>
      </w:pPr>
      <w:r>
        <w:t>The Applicant’s ingenious argument is t</w:t>
      </w:r>
      <w:r w:rsidR="00B561DF">
        <w:t xml:space="preserve">his: The service on his </w:t>
      </w:r>
      <w:proofErr w:type="spellStart"/>
      <w:r w:rsidR="00B561DF">
        <w:t>domicilium</w:t>
      </w:r>
      <w:proofErr w:type="spellEnd"/>
      <w:r w:rsidR="00B561DF">
        <w:t xml:space="preserve"> did not come to his notice. </w:t>
      </w:r>
      <w:proofErr w:type="spellStart"/>
      <w:r w:rsidR="00611F0F">
        <w:t>Mrs</w:t>
      </w:r>
      <w:proofErr w:type="spellEnd"/>
      <w:r w:rsidR="00611F0F">
        <w:t xml:space="preserve"> West told the Sheriff he no longer resided there, who recorded that in the return of service. </w:t>
      </w:r>
      <w:r w:rsidR="00B561DF">
        <w:t xml:space="preserve">Therefore, </w:t>
      </w:r>
      <w:r w:rsidR="00AE1D7D">
        <w:t>there</w:t>
      </w:r>
      <w:r w:rsidR="00B561DF">
        <w:t xml:space="preserve"> was not proper service. Therefore, it did not interrupt prescription. </w:t>
      </w:r>
      <w:proofErr w:type="gramStart"/>
      <w:r w:rsidR="00B561DF">
        <w:t>Therefore</w:t>
      </w:r>
      <w:proofErr w:type="gramEnd"/>
      <w:r w:rsidR="00B561DF">
        <w:t xml:space="preserve"> his claim has prescribed.</w:t>
      </w:r>
    </w:p>
    <w:p w14:paraId="03A52989" w14:textId="6CC3B6A6" w:rsidR="00B561DF" w:rsidRDefault="00B561DF" w:rsidP="009379BA">
      <w:pPr>
        <w:pStyle w:val="ListParagraph"/>
      </w:pPr>
      <w:r>
        <w:t>The flaw lies in the second proposition</w:t>
      </w:r>
      <w:r w:rsidR="00AE1D7D">
        <w:t xml:space="preserve"> that there was not proper service</w:t>
      </w:r>
      <w:r>
        <w:t xml:space="preserve">. Service at a chosen </w:t>
      </w:r>
      <w:proofErr w:type="spellStart"/>
      <w:r>
        <w:t>domicilium</w:t>
      </w:r>
      <w:proofErr w:type="spellEnd"/>
      <w:r>
        <w:t xml:space="preserve"> </w:t>
      </w:r>
      <w:r w:rsidR="000B44E0">
        <w:t>“is good service, whether or not the addressee is present at the time.”</w:t>
      </w:r>
      <w:r w:rsidR="000B44E0">
        <w:rPr>
          <w:rStyle w:val="FootnoteReference"/>
        </w:rPr>
        <w:footnoteReference w:id="10"/>
      </w:r>
    </w:p>
    <w:p w14:paraId="455B7117" w14:textId="1908FE67" w:rsidR="002543FC" w:rsidRDefault="002543FC" w:rsidP="009379BA">
      <w:pPr>
        <w:pStyle w:val="ListParagraph"/>
      </w:pPr>
      <w:r>
        <w:lastRenderedPageBreak/>
        <w:t xml:space="preserve">That is the end of the prescription </w:t>
      </w:r>
      <w:proofErr w:type="spellStart"/>
      <w:r>
        <w:t>defence</w:t>
      </w:r>
      <w:proofErr w:type="spellEnd"/>
      <w:r>
        <w:t>.</w:t>
      </w:r>
      <w:r w:rsidR="00296A2F">
        <w:t xml:space="preserve"> If there was proper service on </w:t>
      </w:r>
      <w:r w:rsidR="009C3E85">
        <w:t xml:space="preserve">25 </w:t>
      </w:r>
      <w:r w:rsidR="00FA3F5E">
        <w:t>A</w:t>
      </w:r>
      <w:r w:rsidR="009C3E85">
        <w:t>ugust 2020</w:t>
      </w:r>
      <w:r w:rsidR="00296A2F">
        <w:t>, prescription was interrupted. It is still interrupted.</w:t>
      </w:r>
    </w:p>
    <w:p w14:paraId="1E0C115E" w14:textId="569C8EB9" w:rsidR="00296A2F" w:rsidRDefault="00FA3F5E" w:rsidP="009379BA">
      <w:pPr>
        <w:pStyle w:val="ListParagraph"/>
      </w:pPr>
      <w:r>
        <w:t>S</w:t>
      </w:r>
      <w:r w:rsidR="00296A2F">
        <w:t>ervice interrupts prescription even if</w:t>
      </w:r>
      <w:r w:rsidR="008706BB">
        <w:t xml:space="preserve">, </w:t>
      </w:r>
      <w:r>
        <w:t xml:space="preserve">as </w:t>
      </w:r>
      <w:r w:rsidR="008706BB">
        <w:t>here,</w:t>
      </w:r>
      <w:r>
        <w:t xml:space="preserve"> </w:t>
      </w:r>
      <w:r w:rsidR="00296A2F">
        <w:t>the</w:t>
      </w:r>
      <w:r w:rsidR="00B32835">
        <w:t xml:space="preserve"> s 129 notice was not properly delivered to the Applicant. The remedy for failing to properly deliver a s 129 notice lies in s 130(4) of the NCA</w:t>
      </w:r>
      <w:r>
        <w:t xml:space="preserve"> </w:t>
      </w:r>
      <w:r w:rsidR="008706BB">
        <w:t>–</w:t>
      </w:r>
      <w:r>
        <w:t xml:space="preserve"> t</w:t>
      </w:r>
      <w:r w:rsidR="008706BB">
        <w:t>o which I return below</w:t>
      </w:r>
      <w:r w:rsidR="00B32835">
        <w:t>. It does not undo service of the summons, nor displace the interruption of prescription.</w:t>
      </w:r>
    </w:p>
    <w:p w14:paraId="30E3E157" w14:textId="67663BBC" w:rsidR="00B32835" w:rsidRDefault="00B32835" w:rsidP="00B32835">
      <w:pPr>
        <w:pStyle w:val="Heading3"/>
      </w:pPr>
      <w:r>
        <w:t>Agency</w:t>
      </w:r>
    </w:p>
    <w:p w14:paraId="3660BB74" w14:textId="77777777" w:rsidR="003F28F3" w:rsidRDefault="00B32835" w:rsidP="009379BA">
      <w:pPr>
        <w:pStyle w:val="ListParagraph"/>
      </w:pPr>
      <w:r>
        <w:t xml:space="preserve">In reply, the Applicant attempted to take the point that there had been no valid cession from </w:t>
      </w:r>
      <w:proofErr w:type="spellStart"/>
      <w:r>
        <w:t>Wesbank</w:t>
      </w:r>
      <w:proofErr w:type="spellEnd"/>
      <w:r>
        <w:t xml:space="preserve"> to </w:t>
      </w:r>
      <w:r w:rsidR="00D9383C">
        <w:t>the Respondent because there was no proof that, when it ceded the credit agreement, Dire</w:t>
      </w:r>
      <w:r w:rsidR="00CB3DF8">
        <w:t xml:space="preserve">ct Axis was indeed acting on behalf of </w:t>
      </w:r>
      <w:proofErr w:type="spellStart"/>
      <w:r w:rsidR="00CB3DF8">
        <w:t>Wesbank</w:t>
      </w:r>
      <w:proofErr w:type="spellEnd"/>
      <w:r w:rsidR="007D49B6">
        <w:t xml:space="preserve">. </w:t>
      </w:r>
    </w:p>
    <w:p w14:paraId="33567FA1" w14:textId="1B9BC94A" w:rsidR="007D49B6" w:rsidRDefault="007D49B6" w:rsidP="008970A3">
      <w:pPr>
        <w:pStyle w:val="ListParagraph"/>
      </w:pPr>
      <w:r>
        <w:t>The point is bad for two reasons.</w:t>
      </w:r>
      <w:r w:rsidR="003F28F3">
        <w:t xml:space="preserve"> </w:t>
      </w:r>
      <w:r>
        <w:t xml:space="preserve">First, it was only taken in reply, affording the Respondent no opportunity to address it to demonstrate that Direct Axis was in fact </w:t>
      </w:r>
      <w:proofErr w:type="spellStart"/>
      <w:r>
        <w:t>authori</w:t>
      </w:r>
      <w:r w:rsidR="00252CCC">
        <w:t>s</w:t>
      </w:r>
      <w:r>
        <w:t>ed</w:t>
      </w:r>
      <w:proofErr w:type="spellEnd"/>
      <w:r>
        <w:t xml:space="preserve"> by </w:t>
      </w:r>
      <w:proofErr w:type="spellStart"/>
      <w:r>
        <w:t>Wesbank</w:t>
      </w:r>
      <w:proofErr w:type="spellEnd"/>
      <w:r>
        <w:t xml:space="preserve"> to cede the credit agreement. Second, </w:t>
      </w:r>
      <w:r w:rsidR="00ED3D5E">
        <w:t>t</w:t>
      </w:r>
      <w:r w:rsidR="00424EBF">
        <w:t>he allegation that Dire</w:t>
      </w:r>
      <w:r w:rsidR="00186FBA">
        <w:t>c</w:t>
      </w:r>
      <w:r w:rsidR="00424EBF">
        <w:t xml:space="preserve">t Axis acted on behalf of </w:t>
      </w:r>
      <w:proofErr w:type="spellStart"/>
      <w:r w:rsidR="00424EBF">
        <w:t>Wesbank</w:t>
      </w:r>
      <w:proofErr w:type="spellEnd"/>
      <w:r w:rsidR="00424EBF">
        <w:t xml:space="preserve"> is clearly made in the summons. There was no obligation to prove that averment in the summons. That would have been a matter for trial, not for pleading. Absent some evidence from the Applicant that Direct Axis in fact lacked that authority</w:t>
      </w:r>
      <w:r w:rsidR="00186FBA">
        <w:t xml:space="preserve"> – and there is none – </w:t>
      </w:r>
      <w:r w:rsidR="00424EBF">
        <w:t xml:space="preserve"> the failure to prove it discloses no </w:t>
      </w:r>
      <w:proofErr w:type="spellStart"/>
      <w:r w:rsidR="00424EBF">
        <w:t>defence</w:t>
      </w:r>
      <w:proofErr w:type="spellEnd"/>
      <w:r w:rsidR="00424EBF">
        <w:t>.</w:t>
      </w:r>
    </w:p>
    <w:p w14:paraId="2E8D45CC" w14:textId="305E8757" w:rsidR="009C3932" w:rsidRDefault="009C3932" w:rsidP="009C3932">
      <w:pPr>
        <w:pStyle w:val="Heading3"/>
      </w:pPr>
      <w:r>
        <w:t>Jurisdiction</w:t>
      </w:r>
    </w:p>
    <w:p w14:paraId="5F46F5D2" w14:textId="0FA3218D" w:rsidR="00424EBF" w:rsidRDefault="009C3932" w:rsidP="009379BA">
      <w:pPr>
        <w:pStyle w:val="ListParagraph"/>
      </w:pPr>
      <w:r>
        <w:t xml:space="preserve">The </w:t>
      </w:r>
      <w:r w:rsidR="003F28F3">
        <w:t xml:space="preserve">third supposed </w:t>
      </w:r>
      <w:proofErr w:type="spellStart"/>
      <w:r w:rsidR="003F28F3">
        <w:t>defence</w:t>
      </w:r>
      <w:proofErr w:type="spellEnd"/>
      <w:r>
        <w:t xml:space="preserve"> is that this Court lacked jurisdiction to determine the action or to grant default judgment because the Applicant was not resident in the Western Cape when the summons was issued.</w:t>
      </w:r>
      <w:r w:rsidR="003F28F3">
        <w:t xml:space="preserve"> He had decamped to </w:t>
      </w:r>
      <w:proofErr w:type="spellStart"/>
      <w:r w:rsidR="003F28F3">
        <w:t>Gqeberha</w:t>
      </w:r>
      <w:proofErr w:type="spellEnd"/>
      <w:r w:rsidR="003F28F3">
        <w:t>.</w:t>
      </w:r>
    </w:p>
    <w:p w14:paraId="67949DB5" w14:textId="473EE75F" w:rsidR="009B1C16" w:rsidRDefault="009B1C16" w:rsidP="009379BA">
      <w:pPr>
        <w:pStyle w:val="ListParagraph"/>
      </w:pPr>
      <w:r>
        <w:lastRenderedPageBreak/>
        <w:t xml:space="preserve">But, as the Respondent points out, that is not the only basis on which this Court can assert jurisdiction. </w:t>
      </w:r>
      <w:r w:rsidR="000B7889">
        <w:t>It also has jurisdiction o</w:t>
      </w:r>
      <w:r w:rsidR="003F28F3">
        <w:t>ver</w:t>
      </w:r>
      <w:r w:rsidR="000B7889">
        <w:t xml:space="preserve"> causes of action that arise within its area of jurisdiction. Here, the application for credit, the consideration by Direct Axis, the offer of credit, and the acceptance of credit all occurred in the Western Cape. The contract which the Respondent sought to enforce was concluded in the Western Cape. That </w:t>
      </w:r>
      <w:r w:rsidR="005B022F">
        <w:t>affords</w:t>
      </w:r>
      <w:r w:rsidR="000B7889">
        <w:t xml:space="preserve"> this Court jurisdiction, even if the Applicant is now resident elsewhere.</w:t>
      </w:r>
    </w:p>
    <w:p w14:paraId="331B48C1" w14:textId="313BDE45" w:rsidR="000B7889" w:rsidRDefault="00B57B84" w:rsidP="009379BA">
      <w:pPr>
        <w:pStyle w:val="ListParagraph"/>
      </w:pPr>
      <w:r>
        <w:t xml:space="preserve">The Applicant objected that these facts establishing that the </w:t>
      </w:r>
      <w:r w:rsidR="006B6F39">
        <w:t xml:space="preserve">contract was concluded in the Western Cape were not pleaded in the summons. That is so. The summons assumes jurisdiction on the basis that the Respondent believed the Applicant was resident at his chosen </w:t>
      </w:r>
      <w:proofErr w:type="spellStart"/>
      <w:r w:rsidR="006B6F39">
        <w:rPr>
          <w:i/>
          <w:iCs/>
        </w:rPr>
        <w:t>domicilium</w:t>
      </w:r>
      <w:proofErr w:type="spellEnd"/>
      <w:r w:rsidR="006B6F39">
        <w:t xml:space="preserve">. But it does not matter. Jurisdiction is a question of fact. </w:t>
      </w:r>
      <w:r w:rsidR="00176329">
        <w:t>The Applicant did not dispute the facts giving rise to jurisdiction on the basis that the cause of action arose here. The failure to plead those facts would not deprive this Court of its jurisdiction.</w:t>
      </w:r>
    </w:p>
    <w:p w14:paraId="67A1C2A9" w14:textId="1D091235" w:rsidR="009379BA" w:rsidRDefault="009379BA" w:rsidP="00A239EC">
      <w:pPr>
        <w:tabs>
          <w:tab w:val="left" w:pos="1077"/>
        </w:tabs>
      </w:pPr>
    </w:p>
    <w:p w14:paraId="5351A2ED" w14:textId="4013305B" w:rsidR="00042DC3" w:rsidRDefault="00042DC3" w:rsidP="00042DC3">
      <w:pPr>
        <w:pStyle w:val="Heading3"/>
      </w:pPr>
      <w:r>
        <w:t>Delivery of the s 129 Notice</w:t>
      </w:r>
    </w:p>
    <w:p w14:paraId="286AF977" w14:textId="0355EA7B" w:rsidR="00042DC3" w:rsidRDefault="00042DC3" w:rsidP="008970A3">
      <w:pPr>
        <w:pStyle w:val="ListParagraph"/>
      </w:pPr>
      <w:r>
        <w:t xml:space="preserve">Section 129(1)(a) of the NCA permits a credit provider to draw a consumer’s default to their attention in writing and “propose that the consumer refer the credit agreement to a debt counsellor, alternative dispute resolution agent, consumer court or </w:t>
      </w:r>
      <w:proofErr w:type="spellStart"/>
      <w:r>
        <w:t>ombud</w:t>
      </w:r>
      <w:proofErr w:type="spellEnd"/>
      <w:r>
        <w:t xml:space="preserve"> with jurisdiction, with the intent that the parties resolve any dispute under the agreement or develop and agree on a plan to bring the payments under the agreement up to date”. Under s 129(1)(b)(</w:t>
      </w:r>
      <w:proofErr w:type="spellStart"/>
      <w:r>
        <w:t>i</w:t>
      </w:r>
      <w:proofErr w:type="spellEnd"/>
      <w:r>
        <w:t>), a credit provider “may not commence any legal proceedings to enforce the agreement before</w:t>
      </w:r>
      <w:r w:rsidR="00567464">
        <w:t xml:space="preserve"> </w:t>
      </w:r>
      <w:r>
        <w:t>- (</w:t>
      </w:r>
      <w:proofErr w:type="spellStart"/>
      <w:r>
        <w:t>i</w:t>
      </w:r>
      <w:proofErr w:type="spellEnd"/>
      <w:r>
        <w:t>) first providing notice to the consumer, as contemplated in paragraph (a)”.</w:t>
      </w:r>
    </w:p>
    <w:p w14:paraId="421D0A06" w14:textId="133B9826" w:rsidR="00E36652" w:rsidRDefault="00E36652" w:rsidP="008970A3">
      <w:pPr>
        <w:pStyle w:val="ListParagraph"/>
      </w:pPr>
      <w:r>
        <w:lastRenderedPageBreak/>
        <w:t>Section 130(4)</w:t>
      </w:r>
      <w:r w:rsidR="004D3675">
        <w:t>(b)</w:t>
      </w:r>
      <w:r>
        <w:t xml:space="preserve"> regulates what happens if a credit provider commences legal proceedings without complying with s 129.</w:t>
      </w:r>
      <w:r w:rsidR="004D3675">
        <w:t xml:space="preserve"> In those circumstances, “the court must-   </w:t>
      </w:r>
      <w:proofErr w:type="gramStart"/>
      <w:r w:rsidR="004D3675">
        <w:t xml:space="preserve">   (</w:t>
      </w:r>
      <w:proofErr w:type="spellStart"/>
      <w:proofErr w:type="gramEnd"/>
      <w:r w:rsidR="004D3675">
        <w:t>i</w:t>
      </w:r>
      <w:proofErr w:type="spellEnd"/>
      <w:r w:rsidR="004D3675">
        <w:t>) adjourn the matter before it; and (ii) make an appropriate order setting out the steps the credit provider must complete before the matter may be resumed”.</w:t>
      </w:r>
      <w:r w:rsidR="003E6188">
        <w:t xml:space="preserve"> This is important. In the absence of a s 129 notice, the court </w:t>
      </w:r>
      <w:r w:rsidR="003E6188">
        <w:rPr>
          <w:u w:val="single"/>
        </w:rPr>
        <w:t>cannot</w:t>
      </w:r>
      <w:r w:rsidR="003E6188">
        <w:t xml:space="preserve"> grant judgment.</w:t>
      </w:r>
      <w:r w:rsidR="00DA2DCB">
        <w:t xml:space="preserve"> Its only option is to adjourn, a</w:t>
      </w:r>
      <w:r w:rsidR="00BE21F1">
        <w:t>nd order the credit provider to take the relevant steps.</w:t>
      </w:r>
    </w:p>
    <w:p w14:paraId="297E5A20" w14:textId="4E08D641" w:rsidR="00E66789" w:rsidRDefault="007F73F9" w:rsidP="008970A3">
      <w:pPr>
        <w:pStyle w:val="ListParagraph"/>
      </w:pPr>
      <w:r>
        <w:t>The</w:t>
      </w:r>
      <w:r w:rsidR="00E66789">
        <w:t xml:space="preserve"> Constitutional Court has held that the</w:t>
      </w:r>
      <w:r>
        <w:t xml:space="preserve"> purpose of s 129 is t</w:t>
      </w:r>
      <w:r w:rsidR="00E66789">
        <w:t>hreefold:</w:t>
      </w:r>
    </w:p>
    <w:p w14:paraId="1388C0E3" w14:textId="77777777" w:rsidR="00E66789" w:rsidRDefault="00E66789" w:rsidP="00E66789">
      <w:pPr>
        <w:pStyle w:val="Quote"/>
        <w:rPr>
          <w:rFonts w:ascii="Times New Roman" w:hAnsi="Times New Roman"/>
        </w:rPr>
      </w:pPr>
      <w:r>
        <w:t>(a) It brings to the attention of the consumer the default status of her credit agreement.</w:t>
      </w:r>
    </w:p>
    <w:p w14:paraId="005C8C8D" w14:textId="77777777" w:rsidR="00E66789" w:rsidRDefault="00E66789" w:rsidP="00E66789">
      <w:pPr>
        <w:pStyle w:val="Quote"/>
      </w:pPr>
      <w:r>
        <w:t>(b) It provides the consumer with an opportunity to rectify the default status of the credit agreement in order to avoid legal action being instituted on the credit agreement or to regain possession of the asset subject to the credit agreement.</w:t>
      </w:r>
    </w:p>
    <w:p w14:paraId="7988A6A8" w14:textId="55B37190" w:rsidR="00E66789" w:rsidRDefault="00E66789" w:rsidP="00E66789">
      <w:pPr>
        <w:pStyle w:val="Quote"/>
      </w:pPr>
      <w:r>
        <w:t>(c) It is the only gateway for a credit provider to be able to institute legal action against a consumer who is in default under a credit agreement.</w:t>
      </w:r>
      <w:r w:rsidR="000F47F4">
        <w:rPr>
          <w:rStyle w:val="FootnoteReference"/>
        </w:rPr>
        <w:footnoteReference w:id="11"/>
      </w:r>
    </w:p>
    <w:p w14:paraId="4DCE1D4D" w14:textId="072DE4D3" w:rsidR="009377D4" w:rsidRDefault="00E66789" w:rsidP="008970A3">
      <w:pPr>
        <w:pStyle w:val="ListParagraph"/>
      </w:pPr>
      <w:r>
        <w:t xml:space="preserve">The whole point is to avoid litigation, and </w:t>
      </w:r>
      <w:r w:rsidR="00A259BB">
        <w:t>resolve the consumer</w:t>
      </w:r>
      <w:r w:rsidR="00931C31">
        <w:t>’</w:t>
      </w:r>
      <w:r w:rsidR="00A259BB">
        <w:t>s debt through an alternative mechanism. If the consumer does not receive the notice,</w:t>
      </w:r>
      <w:r w:rsidR="00252CCC">
        <w:t xml:space="preserve"> he cannot use those mechanisms, </w:t>
      </w:r>
      <w:proofErr w:type="gramStart"/>
      <w:r w:rsidR="00252CCC">
        <w:t xml:space="preserve">and </w:t>
      </w:r>
      <w:r w:rsidR="00A259BB">
        <w:t xml:space="preserve"> it</w:t>
      </w:r>
      <w:proofErr w:type="gramEnd"/>
      <w:r w:rsidR="00A259BB">
        <w:t xml:space="preserve"> cannot perform that purpose.</w:t>
      </w:r>
    </w:p>
    <w:p w14:paraId="3453D245" w14:textId="77777777" w:rsidR="00A259BB" w:rsidRDefault="00042DC3" w:rsidP="008970A3">
      <w:pPr>
        <w:pStyle w:val="ListParagraph"/>
      </w:pPr>
      <w:r>
        <w:t xml:space="preserve">Here, the Respondent sent a compliant s 129(1) notice by registered post to the Applicant. Did that suffice to “provide notice to the consumer” entitling it to commence litigation? No. </w:t>
      </w:r>
    </w:p>
    <w:p w14:paraId="0C9EA6A1" w14:textId="44899C9D" w:rsidR="00042DC3" w:rsidRDefault="00A259BB" w:rsidP="008970A3">
      <w:pPr>
        <w:pStyle w:val="ListParagraph"/>
      </w:pPr>
      <w:r>
        <w:lastRenderedPageBreak/>
        <w:t xml:space="preserve">The law does not require that the notice in fact come to the consumer’s knowledge. But it also does not permit the credit provider to </w:t>
      </w:r>
      <w:r w:rsidR="00C10FEE">
        <w:t>merely dispatch the notice</w:t>
      </w:r>
      <w:r w:rsidR="00313D8F">
        <w:t>.</w:t>
      </w:r>
      <w:r w:rsidR="00C10FEE">
        <w:t xml:space="preserve"> </w:t>
      </w:r>
      <w:r w:rsidR="00042DC3">
        <w:t xml:space="preserve">What was required of credit providers was originally determined by the Constitutional Court in </w:t>
      </w:r>
      <w:proofErr w:type="spellStart"/>
      <w:r w:rsidR="00042DC3">
        <w:rPr>
          <w:i/>
          <w:iCs/>
        </w:rPr>
        <w:t>Sebola</w:t>
      </w:r>
      <w:bookmarkStart w:id="5" w:name="_Ref150755409"/>
      <w:proofErr w:type="spellEnd"/>
      <w:r w:rsidR="00042DC3">
        <w:rPr>
          <w:rStyle w:val="FootnoteReference"/>
          <w:i/>
          <w:iCs/>
        </w:rPr>
        <w:footnoteReference w:id="12"/>
      </w:r>
      <w:bookmarkEnd w:id="5"/>
      <w:r w:rsidR="00042DC3">
        <w:rPr>
          <w:i/>
          <w:iCs/>
        </w:rPr>
        <w:t xml:space="preserve"> </w:t>
      </w:r>
      <w:r w:rsidR="00042DC3">
        <w:t xml:space="preserve">and </w:t>
      </w:r>
      <w:proofErr w:type="spellStart"/>
      <w:r w:rsidR="00042DC3">
        <w:rPr>
          <w:i/>
          <w:iCs/>
        </w:rPr>
        <w:t>Kubyana</w:t>
      </w:r>
      <w:proofErr w:type="spellEnd"/>
      <w:r w:rsidR="00042DC3">
        <w:t>.</w:t>
      </w:r>
      <w:r w:rsidR="00042DC3">
        <w:rPr>
          <w:rStyle w:val="FootnoteReference"/>
        </w:rPr>
        <w:footnoteReference w:id="13"/>
      </w:r>
      <w:r w:rsidR="00042DC3">
        <w:t xml:space="preserve"> </w:t>
      </w:r>
      <w:proofErr w:type="spellStart"/>
      <w:r w:rsidR="00BE21F1">
        <w:rPr>
          <w:i/>
          <w:iCs/>
        </w:rPr>
        <w:t>Kubyana</w:t>
      </w:r>
      <w:proofErr w:type="spellEnd"/>
      <w:r w:rsidR="00BE21F1">
        <w:rPr>
          <w:i/>
          <w:iCs/>
        </w:rPr>
        <w:t xml:space="preserve"> </w:t>
      </w:r>
      <w:r w:rsidR="00BE21F1">
        <w:t xml:space="preserve">made it clear that </w:t>
      </w:r>
      <w:r w:rsidR="001C4F8C">
        <w:t>a credit provider must at least establish that the s 129 notice was delivered by registered post to the post office that would send a</w:t>
      </w:r>
      <w:r w:rsidR="00A13AFF">
        <w:t xml:space="preserve"> delivery notice to the consumer.</w:t>
      </w:r>
      <w:r w:rsidR="00313D8F">
        <w:rPr>
          <w:rStyle w:val="FootnoteReference"/>
        </w:rPr>
        <w:footnoteReference w:id="14"/>
      </w:r>
      <w:r w:rsidR="00A13AFF">
        <w:t xml:space="preserve"> </w:t>
      </w:r>
      <w:r w:rsidR="00042DC3">
        <w:t xml:space="preserve">The Legislature subsequently amended the NCA to bring it in line with </w:t>
      </w:r>
      <w:proofErr w:type="spellStart"/>
      <w:r w:rsidR="00042DC3">
        <w:rPr>
          <w:i/>
          <w:iCs/>
        </w:rPr>
        <w:t>Sebola</w:t>
      </w:r>
      <w:proofErr w:type="spellEnd"/>
      <w:r w:rsidR="00A13AFF">
        <w:rPr>
          <w:i/>
          <w:iCs/>
        </w:rPr>
        <w:t xml:space="preserve"> </w:t>
      </w:r>
      <w:r w:rsidR="00A13AFF">
        <w:t xml:space="preserve">(the amendments were not updated to address </w:t>
      </w:r>
      <w:proofErr w:type="spellStart"/>
      <w:r w:rsidR="00A13AFF">
        <w:rPr>
          <w:i/>
          <w:iCs/>
        </w:rPr>
        <w:t>Kubyana</w:t>
      </w:r>
      <w:proofErr w:type="spellEnd"/>
      <w:r w:rsidR="001C53ED">
        <w:t>, but the two largely align</w:t>
      </w:r>
      <w:r w:rsidR="00A13AFF">
        <w:t>)</w:t>
      </w:r>
      <w:r w:rsidR="00042DC3">
        <w:t>.</w:t>
      </w:r>
      <w:r w:rsidR="00042DC3">
        <w:rPr>
          <w:rStyle w:val="FootnoteReference"/>
        </w:rPr>
        <w:footnoteReference w:id="15"/>
      </w:r>
      <w:r w:rsidR="00042DC3">
        <w:t xml:space="preserve"> The requirements are set in NCA </w:t>
      </w:r>
      <w:proofErr w:type="spellStart"/>
      <w:r w:rsidR="00042DC3">
        <w:t>ss</w:t>
      </w:r>
      <w:proofErr w:type="spellEnd"/>
      <w:r w:rsidR="00042DC3">
        <w:t xml:space="preserve"> 129(5) – (7), which read:</w:t>
      </w:r>
    </w:p>
    <w:p w14:paraId="54720ACB" w14:textId="4EA61BC0" w:rsidR="00042DC3" w:rsidRDefault="00042DC3" w:rsidP="00E07B64">
      <w:pPr>
        <w:pStyle w:val="Quote"/>
        <w:spacing w:before="120" w:after="120"/>
        <w:ind w:hanging="720"/>
      </w:pPr>
      <w:r>
        <w:t xml:space="preserve">(5) </w:t>
      </w:r>
      <w:r>
        <w:tab/>
        <w:t>The notice contemplated in subsection (1) (a) must be delivered to the consumer-</w:t>
      </w:r>
    </w:p>
    <w:p w14:paraId="3614E530" w14:textId="2E2AE90C" w:rsidR="00042DC3" w:rsidRDefault="00042DC3" w:rsidP="00E07B64">
      <w:pPr>
        <w:pStyle w:val="Quote"/>
        <w:spacing w:before="120" w:after="120"/>
        <w:ind w:left="720"/>
      </w:pPr>
      <w:r>
        <w:t xml:space="preserve">   </w:t>
      </w:r>
      <w:r>
        <w:tab/>
        <w:t xml:space="preserve">(a)   </w:t>
      </w:r>
      <w:r>
        <w:tab/>
        <w:t>by registered mail; or</w:t>
      </w:r>
    </w:p>
    <w:p w14:paraId="5AA93B4D" w14:textId="5D681BBD" w:rsidR="00042DC3" w:rsidRDefault="00042DC3" w:rsidP="00E07B64">
      <w:pPr>
        <w:pStyle w:val="Quote"/>
        <w:spacing w:before="120" w:after="120"/>
        <w:ind w:left="720"/>
      </w:pPr>
      <w:r>
        <w:t xml:space="preserve">   </w:t>
      </w:r>
      <w:r>
        <w:tab/>
        <w:t xml:space="preserve">(b)   </w:t>
      </w:r>
      <w:r>
        <w:tab/>
        <w:t>to an adult person at the location designated by the consumer.</w:t>
      </w:r>
    </w:p>
    <w:p w14:paraId="389AEB0B" w14:textId="7DFCFB7F" w:rsidR="00042DC3" w:rsidRDefault="00042DC3" w:rsidP="00E07B64">
      <w:pPr>
        <w:pStyle w:val="Quote"/>
        <w:spacing w:before="120" w:after="120"/>
        <w:ind w:hanging="720"/>
      </w:pPr>
      <w:r>
        <w:t xml:space="preserve">(6) </w:t>
      </w:r>
      <w:r>
        <w:tab/>
        <w:t>The consumer must in writing indicate the preferred manner of delivery contemplated in subsection (5).</w:t>
      </w:r>
    </w:p>
    <w:p w14:paraId="39F425DE" w14:textId="6D492F2B" w:rsidR="00042DC3" w:rsidRDefault="00042DC3" w:rsidP="00E07B64">
      <w:pPr>
        <w:pStyle w:val="Quote"/>
        <w:spacing w:before="120" w:after="120"/>
        <w:ind w:left="720"/>
      </w:pPr>
      <w:r>
        <w:t xml:space="preserve">(7) </w:t>
      </w:r>
      <w:r>
        <w:tab/>
        <w:t>Proof of delivery contemplated in subsection (5) is satisfied by-</w:t>
      </w:r>
    </w:p>
    <w:p w14:paraId="665D80F3" w14:textId="2F21D4CD" w:rsidR="00042DC3" w:rsidRDefault="00042DC3" w:rsidP="00E07B64">
      <w:pPr>
        <w:pStyle w:val="Quote"/>
        <w:spacing w:before="120" w:after="120"/>
        <w:ind w:left="2160" w:hanging="720"/>
      </w:pPr>
      <w:r>
        <w:t xml:space="preserve">(a)   </w:t>
      </w:r>
      <w:r>
        <w:tab/>
        <w:t>written confirmation by the postal service or its authorised agent, of delivery to the relevant post office or postal agency; or</w:t>
      </w:r>
    </w:p>
    <w:p w14:paraId="3367A8AF" w14:textId="67AD3C2D" w:rsidR="00042DC3" w:rsidRDefault="00042DC3" w:rsidP="00E07B64">
      <w:pPr>
        <w:pStyle w:val="Quote"/>
        <w:spacing w:before="120"/>
        <w:ind w:left="2160" w:hanging="720"/>
      </w:pPr>
      <w:r>
        <w:lastRenderedPageBreak/>
        <w:t xml:space="preserve">(b)   </w:t>
      </w:r>
      <w:r>
        <w:tab/>
        <w:t>the signature or identifying mark of the recipient contemplated in subsection (5) (b).</w:t>
      </w:r>
    </w:p>
    <w:p w14:paraId="73CBAE07" w14:textId="2D1EFA5E" w:rsidR="00740DB6" w:rsidRDefault="00042DC3" w:rsidP="008970A3">
      <w:pPr>
        <w:pStyle w:val="ListParagraph"/>
      </w:pPr>
      <w:r>
        <w:t xml:space="preserve">The notice </w:t>
      </w:r>
      <w:r w:rsidR="00471921">
        <w:t xml:space="preserve">in this matter </w:t>
      </w:r>
      <w:r>
        <w:t>was sent by registered mail</w:t>
      </w:r>
      <w:r w:rsidR="00740DB6">
        <w:t xml:space="preserve"> on 17 July 2020</w:t>
      </w:r>
      <w:r>
        <w:t>, to the address chosen by the Applicant. But the Respondent has not complied with s</w:t>
      </w:r>
      <w:r w:rsidR="00471921">
        <w:t> </w:t>
      </w:r>
      <w:r>
        <w:t>129(7)(a)</w:t>
      </w:r>
      <w:r w:rsidR="00471921">
        <w:t xml:space="preserve"> or with the first requirement of </w:t>
      </w:r>
      <w:proofErr w:type="spellStart"/>
      <w:r w:rsidR="00471921">
        <w:rPr>
          <w:i/>
          <w:iCs/>
        </w:rPr>
        <w:t>Kubyana</w:t>
      </w:r>
      <w:proofErr w:type="spellEnd"/>
      <w:r>
        <w:t>. The track and trace receipt</w:t>
      </w:r>
      <w:r w:rsidR="00740DB6">
        <w:t xml:space="preserve"> attached to the summons was generated at 08:51 on 24 July 2020.</w:t>
      </w:r>
      <w:r>
        <w:t xml:space="preserve"> </w:t>
      </w:r>
      <w:r w:rsidR="00740DB6">
        <w:t xml:space="preserve">It </w:t>
      </w:r>
      <w:r>
        <w:t xml:space="preserve">indicates that the last location of the registered letter, on 24 July 2020, was </w:t>
      </w:r>
      <w:proofErr w:type="spellStart"/>
      <w:r>
        <w:t>Durmail</w:t>
      </w:r>
      <w:proofErr w:type="spellEnd"/>
      <w:r>
        <w:t xml:space="preserve"> Post Office. The letter was still </w:t>
      </w:r>
      <w:r w:rsidR="00740DB6">
        <w:t>“</w:t>
      </w:r>
      <w:r>
        <w:t>in transit</w:t>
      </w:r>
      <w:r w:rsidR="00740DB6">
        <w:t>”</w:t>
      </w:r>
      <w:r>
        <w:t xml:space="preserve">. </w:t>
      </w:r>
    </w:p>
    <w:p w14:paraId="56DE5838" w14:textId="3C33727B" w:rsidR="00740DB6" w:rsidRDefault="00042DC3" w:rsidP="008970A3">
      <w:pPr>
        <w:pStyle w:val="ListParagraph"/>
      </w:pPr>
      <w:proofErr w:type="spellStart"/>
      <w:r>
        <w:t>Durmail</w:t>
      </w:r>
      <w:proofErr w:type="spellEnd"/>
      <w:r>
        <w:t xml:space="preserve"> Post Office is in Durban. In accordance with the Applicant’s chosen address, the s 129 notice had to be sent to </w:t>
      </w:r>
      <w:proofErr w:type="spellStart"/>
      <w:r w:rsidR="00740DB6">
        <w:t>Philapdelphia</w:t>
      </w:r>
      <w:proofErr w:type="spellEnd"/>
      <w:r w:rsidR="00740DB6">
        <w:t xml:space="preserve">, which is north of Cape Town. </w:t>
      </w:r>
      <w:r w:rsidR="007755A0">
        <w:t xml:space="preserve">While it was not clear which post office ought to have received the notice, it certainly was not </w:t>
      </w:r>
      <w:proofErr w:type="spellStart"/>
      <w:r w:rsidR="00740DB6">
        <w:t>Durmail</w:t>
      </w:r>
      <w:proofErr w:type="spellEnd"/>
      <w:r w:rsidR="007755A0">
        <w:t xml:space="preserve">. </w:t>
      </w:r>
      <w:r w:rsidR="00740DB6">
        <w:t xml:space="preserve">What happened to the registered letter after 24 July 2020, we do not </w:t>
      </w:r>
      <w:proofErr w:type="gramStart"/>
      <w:r w:rsidR="00740DB6">
        <w:t>know.</w:t>
      </w:r>
      <w:proofErr w:type="gramEnd"/>
      <w:r w:rsidR="00740DB6">
        <w:t xml:space="preserve"> The Respondent has not provided an updated track and trace report to demonstrate that, thereafter, the letter made its way to the “relevant post office”.</w:t>
      </w:r>
    </w:p>
    <w:p w14:paraId="294F6E2C" w14:textId="4EA60011" w:rsidR="00740DB6" w:rsidRDefault="007F3CA7" w:rsidP="008970A3">
      <w:pPr>
        <w:pStyle w:val="ListParagraph"/>
      </w:pPr>
      <w:proofErr w:type="spellStart"/>
      <w:r>
        <w:t>Mr</w:t>
      </w:r>
      <w:proofErr w:type="spellEnd"/>
      <w:r>
        <w:t xml:space="preserve"> </w:t>
      </w:r>
      <w:r w:rsidR="00D70E1C">
        <w:t xml:space="preserve">Du </w:t>
      </w:r>
      <w:proofErr w:type="spellStart"/>
      <w:r w:rsidR="00D70E1C">
        <w:t>Preez</w:t>
      </w:r>
      <w:proofErr w:type="spellEnd"/>
      <w:r w:rsidR="00D70E1C">
        <w:t xml:space="preserve">, who appeared for the Respondent, accepted that his client had not delivered a s 129(1) notice as required by the NCA. But he argued that this did not disclose a substantial </w:t>
      </w:r>
      <w:proofErr w:type="spellStart"/>
      <w:r w:rsidR="00D70E1C">
        <w:t>defence</w:t>
      </w:r>
      <w:proofErr w:type="spellEnd"/>
      <w:r w:rsidR="00D70E1C">
        <w:t xml:space="preserve"> warranting rescission. All it would allow the Applicant would be the right to an adjournment under s 130(4), </w:t>
      </w:r>
      <w:r w:rsidR="00441F02">
        <w:t xml:space="preserve">and the opportunity to take advantage of the options </w:t>
      </w:r>
      <w:r w:rsidR="00B5149A">
        <w:t xml:space="preserve">s 129(1) envisages. That would serve no purpose, he contended where the Applicant had been in possession of the s 129 </w:t>
      </w:r>
      <w:r w:rsidR="00AF3DAA">
        <w:t>notice since April 2022</w:t>
      </w:r>
      <w:r w:rsidR="00044D9C">
        <w:t xml:space="preserve"> (when he obtained a copy of the court file)</w:t>
      </w:r>
      <w:r w:rsidR="00AF3DAA">
        <w:t xml:space="preserve">, and had unsuccessfully attempted to negotiate a settlement. He urged that s 129 does not disclose a substantive </w:t>
      </w:r>
      <w:proofErr w:type="spellStart"/>
      <w:r w:rsidR="00AF3DAA">
        <w:t>defence</w:t>
      </w:r>
      <w:proofErr w:type="spellEnd"/>
      <w:r w:rsidR="00AF3DAA">
        <w:t xml:space="preserve">, and that I should exercise my discretion against </w:t>
      </w:r>
      <w:r w:rsidR="00481BF9">
        <w:t>rescinding the default judgment.</w:t>
      </w:r>
    </w:p>
    <w:p w14:paraId="781A0CBF" w14:textId="16BDF87C" w:rsidR="00481BF9" w:rsidRDefault="00481BF9" w:rsidP="008970A3">
      <w:pPr>
        <w:pStyle w:val="ListParagraph"/>
      </w:pPr>
      <w:proofErr w:type="spellStart"/>
      <w:r>
        <w:lastRenderedPageBreak/>
        <w:t>Mr</w:t>
      </w:r>
      <w:proofErr w:type="spellEnd"/>
      <w:r>
        <w:t xml:space="preserve"> </w:t>
      </w:r>
      <w:proofErr w:type="spellStart"/>
      <w:r>
        <w:t>Laubscher</w:t>
      </w:r>
      <w:proofErr w:type="spellEnd"/>
      <w:r>
        <w:t xml:space="preserve"> pointed out that, in his founding affidavit, the Applicant </w:t>
      </w:r>
      <w:r w:rsidR="00015C91">
        <w:t>claimed that, had he received the s 129 notice, he “definitely would have referred to mediation as I do not believe that I owe monies to the Respondent”. He argued that the Applicant was entitled to that procedural remedy.</w:t>
      </w:r>
    </w:p>
    <w:p w14:paraId="51FA6BF5" w14:textId="77777777" w:rsidR="00A52515" w:rsidRDefault="005130A9" w:rsidP="00A52515">
      <w:pPr>
        <w:pStyle w:val="ListParagraph"/>
      </w:pPr>
      <w:r>
        <w:t xml:space="preserve">There is a significant </w:t>
      </w:r>
      <w:r w:rsidR="00A52515">
        <w:t xml:space="preserve">amount of case law on the question of whether the failure to deliver a s 129 notice constitutes grounds for rescission. It starts with </w:t>
      </w:r>
      <w:proofErr w:type="spellStart"/>
      <w:r w:rsidR="00F572D1" w:rsidRPr="00A52515">
        <w:rPr>
          <w:i/>
          <w:iCs/>
        </w:rPr>
        <w:t>Sebola</w:t>
      </w:r>
      <w:proofErr w:type="spellEnd"/>
      <w:r w:rsidR="00F572D1">
        <w:t xml:space="preserve">. </w:t>
      </w:r>
    </w:p>
    <w:p w14:paraId="79D5CFCD" w14:textId="2E24B9D8" w:rsidR="00604ADC" w:rsidRDefault="00F572D1" w:rsidP="00A52515">
      <w:pPr>
        <w:pStyle w:val="ListParagraph"/>
      </w:pPr>
      <w:proofErr w:type="spellStart"/>
      <w:r w:rsidRPr="00A52515">
        <w:rPr>
          <w:i/>
          <w:iCs/>
        </w:rPr>
        <w:t>Sebola</w:t>
      </w:r>
      <w:proofErr w:type="spellEnd"/>
      <w:r w:rsidRPr="00A52515">
        <w:rPr>
          <w:i/>
          <w:iCs/>
        </w:rPr>
        <w:t xml:space="preserve"> </w:t>
      </w:r>
      <w:r>
        <w:t xml:space="preserve">was an appeal against the refusal of rescission </w:t>
      </w:r>
      <w:r w:rsidR="005E3115">
        <w:t xml:space="preserve">of default judgment for non-payment of </w:t>
      </w:r>
      <w:r w:rsidR="004E655A">
        <w:t xml:space="preserve">a mortgage. The </w:t>
      </w:r>
      <w:proofErr w:type="spellStart"/>
      <w:r w:rsidR="004E655A">
        <w:t>Sebolas</w:t>
      </w:r>
      <w:proofErr w:type="spellEnd"/>
      <w:r w:rsidR="004E655A">
        <w:t xml:space="preserve"> admitted that they had fallen behind on their mortgage payments</w:t>
      </w:r>
      <w:r w:rsidR="00F144DE">
        <w:t>. They sought rescission</w:t>
      </w:r>
      <w:r w:rsidR="004E655A">
        <w:t xml:space="preserve"> </w:t>
      </w:r>
      <w:r>
        <w:t>because the</w:t>
      </w:r>
      <w:r w:rsidR="00F144DE">
        <w:t>y</w:t>
      </w:r>
      <w:r>
        <w:t xml:space="preserve"> had not received the s 129 notice.</w:t>
      </w:r>
      <w:r w:rsidR="005E3115">
        <w:t xml:space="preserve"> </w:t>
      </w:r>
      <w:r w:rsidR="00563723">
        <w:t xml:space="preserve">Standard Bank had sent the </w:t>
      </w:r>
      <w:r w:rsidR="00F144DE">
        <w:t xml:space="preserve">notice, but </w:t>
      </w:r>
      <w:r w:rsidR="00563723">
        <w:t xml:space="preserve">it </w:t>
      </w:r>
      <w:r w:rsidR="000447C8">
        <w:t>was</w:t>
      </w:r>
      <w:r w:rsidR="00F144DE">
        <w:t xml:space="preserve"> inadvertently delivered to the wrong post office.</w:t>
      </w:r>
    </w:p>
    <w:p w14:paraId="0EA7AC42" w14:textId="7AB6C279" w:rsidR="00237A74" w:rsidRDefault="00237A74" w:rsidP="008970A3">
      <w:pPr>
        <w:pStyle w:val="ListParagraph"/>
      </w:pPr>
      <w:r>
        <w:t>The Constitutional Court held that Standard Bank had not complied with s 129, and therefore upheld the appeal against the re</w:t>
      </w:r>
      <w:r w:rsidR="00E32971">
        <w:t>fusal of rescission.</w:t>
      </w:r>
      <w:r w:rsidR="00A05D5B">
        <w:t xml:space="preserve"> Cameron J explained that the NCA obliged Standard Bank “to show that the notice actually reached the correct post office.  That did not happen.  The </w:t>
      </w:r>
      <w:proofErr w:type="spellStart"/>
      <w:r w:rsidR="00A05D5B">
        <w:t>Sebolas</w:t>
      </w:r>
      <w:proofErr w:type="spellEnd"/>
      <w:r w:rsidR="00A05D5B">
        <w:t xml:space="preserve"> were therefore entitled to rescission of the judgment granted against them.  The proceedings against them should have been adjourned to allow the Bank to rectify the omission in regard to the notice.</w:t>
      </w:r>
      <w:r w:rsidR="007470EA">
        <w:t>”</w:t>
      </w:r>
      <w:r w:rsidR="007470EA">
        <w:rPr>
          <w:rStyle w:val="FootnoteReference"/>
        </w:rPr>
        <w:footnoteReference w:id="16"/>
      </w:r>
      <w:r w:rsidR="007C480A">
        <w:t xml:space="preserve"> The Court granted rescission.</w:t>
      </w:r>
    </w:p>
    <w:p w14:paraId="42BDAD1A" w14:textId="2B74B541" w:rsidR="00967BBF" w:rsidRDefault="00967BBF" w:rsidP="00967BBF">
      <w:pPr>
        <w:pStyle w:val="ListParagraph"/>
      </w:pPr>
      <w:r>
        <w:t xml:space="preserve">This line of reasoning aligns with the holding of the Supreme Court of Appeal </w:t>
      </w:r>
      <w:r w:rsidR="007C480A">
        <w:t xml:space="preserve">in </w:t>
      </w:r>
      <w:r w:rsidR="007C480A">
        <w:rPr>
          <w:i/>
          <w:iCs/>
        </w:rPr>
        <w:t>Blue Ch</w:t>
      </w:r>
      <w:r w:rsidR="008E3EB7">
        <w:rPr>
          <w:i/>
          <w:iCs/>
        </w:rPr>
        <w:t>i</w:t>
      </w:r>
      <w:r w:rsidR="007C480A">
        <w:rPr>
          <w:i/>
          <w:iCs/>
        </w:rPr>
        <w:t xml:space="preserve">p 2 </w:t>
      </w:r>
      <w:r>
        <w:t>that the delivery of a s 129 notice is not merely a procedural step, but a</w:t>
      </w:r>
      <w:r w:rsidR="00641311">
        <w:t>n element of the cause of action:</w:t>
      </w:r>
    </w:p>
    <w:p w14:paraId="01A69AD6" w14:textId="77777777" w:rsidR="00967BBF" w:rsidRDefault="00967BBF" w:rsidP="00967BBF">
      <w:pPr>
        <w:pStyle w:val="Quote"/>
        <w:ind w:left="720"/>
      </w:pPr>
      <w:r>
        <w:rPr>
          <w:lang w:val="en-GB"/>
        </w:rPr>
        <w:lastRenderedPageBreak/>
        <w:t>In order to disclose a cause of action to enforce a claim emanating from a default of a credit agreement, an averment of compliance with s 129 must be contained in the summons and proved. Delivery of a s 129 notice forms part of the cause of action.</w:t>
      </w:r>
      <w:r>
        <w:rPr>
          <w:rStyle w:val="FootnoteReference"/>
          <w:lang w:val="en-GB"/>
        </w:rPr>
        <w:footnoteReference w:id="17"/>
      </w:r>
      <w:r>
        <w:rPr>
          <w:lang w:val="en-GB"/>
        </w:rPr>
        <w:t xml:space="preserve"> It is an essential component of a plaintiff’s cause of action. It must occur before a cause of action can be said to have arisen. Absent compliance therewith, there would be no cause of action.</w:t>
      </w:r>
      <w:r>
        <w:rPr>
          <w:rStyle w:val="FootnoteReference"/>
          <w:lang w:val="en-GB"/>
        </w:rPr>
        <w:footnoteReference w:id="18"/>
      </w:r>
    </w:p>
    <w:p w14:paraId="77EB8712" w14:textId="5EE370A5" w:rsidR="004B36DA" w:rsidRDefault="004B36DA" w:rsidP="008970A3">
      <w:pPr>
        <w:pStyle w:val="ListParagraph"/>
      </w:pPr>
      <w:r>
        <w:t>It also aligns with s 130(4) – if the credit provider did not comply with s 129, the court “must” adjourn. It cannot grant judgment.</w:t>
      </w:r>
    </w:p>
    <w:p w14:paraId="277E6660" w14:textId="2C440F06" w:rsidR="00F96A7F" w:rsidRDefault="006A5E5A" w:rsidP="008970A3">
      <w:pPr>
        <w:pStyle w:val="ListParagraph"/>
      </w:pPr>
      <w:r>
        <w:t xml:space="preserve">The Constitutional Court </w:t>
      </w:r>
      <w:r w:rsidR="00C22F20">
        <w:t xml:space="preserve">in </w:t>
      </w:r>
      <w:proofErr w:type="spellStart"/>
      <w:r w:rsidR="00C22F20">
        <w:rPr>
          <w:i/>
          <w:iCs/>
        </w:rPr>
        <w:t>Sebola</w:t>
      </w:r>
      <w:proofErr w:type="spellEnd"/>
      <w:r w:rsidR="00C22F20">
        <w:rPr>
          <w:i/>
          <w:iCs/>
        </w:rPr>
        <w:t xml:space="preserve"> </w:t>
      </w:r>
      <w:r>
        <w:t xml:space="preserve">did not expressly consider whether, having concluded that the s 129 notice was defective, rescission </w:t>
      </w:r>
      <w:r w:rsidR="009B7EA5">
        <w:t xml:space="preserve">must inevitably </w:t>
      </w:r>
      <w:r>
        <w:t xml:space="preserve">be granted. </w:t>
      </w:r>
      <w:r w:rsidR="00E75D79">
        <w:t>Cameron J</w:t>
      </w:r>
      <w:r w:rsidR="008E3EB7">
        <w:t xml:space="preserve"> appeared to assume that was the natural and inevitable consequence of finding there had not been </w:t>
      </w:r>
      <w:r w:rsidR="00C22F20">
        <w:t xml:space="preserve">delivery of the s 129 notice. </w:t>
      </w:r>
      <w:r>
        <w:t>But t</w:t>
      </w:r>
      <w:r w:rsidR="00403FAF">
        <w:t xml:space="preserve">he </w:t>
      </w:r>
      <w:r w:rsidR="00DD5584">
        <w:t>High Court</w:t>
      </w:r>
      <w:r w:rsidR="00C22F20">
        <w:t xml:space="preserve"> has.</w:t>
      </w:r>
      <w:r w:rsidR="00F96A7F">
        <w:t xml:space="preserve"> </w:t>
      </w:r>
      <w:r w:rsidR="00E8712B">
        <w:t>I begin with the position in Gauteng, and then consider the position in this Division.</w:t>
      </w:r>
    </w:p>
    <w:p w14:paraId="7A5002A4" w14:textId="54E3DA9A" w:rsidR="00403FAF" w:rsidRDefault="00DD5584" w:rsidP="008970A3">
      <w:pPr>
        <w:pStyle w:val="ListParagraph"/>
      </w:pPr>
      <w:proofErr w:type="spellStart"/>
      <w:r w:rsidRPr="00DD5584">
        <w:rPr>
          <w:i/>
          <w:iCs/>
        </w:rPr>
        <w:t>Kgomo</w:t>
      </w:r>
      <w:proofErr w:type="spellEnd"/>
      <w:r w:rsidRPr="00DD5584">
        <w:rPr>
          <w:i/>
          <w:iCs/>
        </w:rPr>
        <w:t xml:space="preserve"> </w:t>
      </w:r>
      <w:r>
        <w:rPr>
          <w:i/>
          <w:iCs/>
        </w:rPr>
        <w:t>a</w:t>
      </w:r>
      <w:r w:rsidRPr="00DD5584">
        <w:rPr>
          <w:i/>
          <w:iCs/>
        </w:rPr>
        <w:t xml:space="preserve">nd Another </w:t>
      </w:r>
      <w:r>
        <w:rPr>
          <w:i/>
          <w:iCs/>
        </w:rPr>
        <w:t>v</w:t>
      </w:r>
      <w:r w:rsidRPr="00DD5584">
        <w:rPr>
          <w:i/>
          <w:iCs/>
        </w:rPr>
        <w:t xml:space="preserve"> Standard Bank </w:t>
      </w:r>
      <w:r>
        <w:rPr>
          <w:i/>
          <w:iCs/>
        </w:rPr>
        <w:t>o</w:t>
      </w:r>
      <w:r w:rsidRPr="00DD5584">
        <w:rPr>
          <w:i/>
          <w:iCs/>
        </w:rPr>
        <w:t xml:space="preserve">f South Africa </w:t>
      </w:r>
      <w:r>
        <w:rPr>
          <w:i/>
          <w:iCs/>
        </w:rPr>
        <w:t>a</w:t>
      </w:r>
      <w:r w:rsidRPr="00DD5584">
        <w:rPr>
          <w:i/>
          <w:iCs/>
        </w:rPr>
        <w:t>nd Others</w:t>
      </w:r>
      <w:r>
        <w:rPr>
          <w:rStyle w:val="FootnoteReference"/>
        </w:rPr>
        <w:footnoteReference w:id="19"/>
      </w:r>
      <w:r w:rsidR="00E8712B">
        <w:rPr>
          <w:i/>
          <w:iCs/>
        </w:rPr>
        <w:t xml:space="preserve"> –</w:t>
      </w:r>
      <w:r w:rsidR="006A5E5A">
        <w:t xml:space="preserve"> </w:t>
      </w:r>
      <w:r w:rsidR="00E8712B">
        <w:t xml:space="preserve">like </w:t>
      </w:r>
      <w:proofErr w:type="spellStart"/>
      <w:r w:rsidR="006A5E5A">
        <w:rPr>
          <w:i/>
          <w:iCs/>
        </w:rPr>
        <w:t>Sebola</w:t>
      </w:r>
      <w:proofErr w:type="spellEnd"/>
      <w:r w:rsidR="006A5E5A">
        <w:rPr>
          <w:i/>
          <w:iCs/>
        </w:rPr>
        <w:t xml:space="preserve"> </w:t>
      </w:r>
      <w:r w:rsidR="006A5E5A">
        <w:t xml:space="preserve">and this </w:t>
      </w:r>
      <w:r w:rsidR="009B7EA5">
        <w:t>case</w:t>
      </w:r>
      <w:r w:rsidR="006A5E5A">
        <w:t xml:space="preserve"> – concerned a rescission application based on a defective s 129 notice.</w:t>
      </w:r>
      <w:r w:rsidRPr="00DD5584">
        <w:rPr>
          <w:i/>
          <w:iCs/>
        </w:rPr>
        <w:t xml:space="preserve"> </w:t>
      </w:r>
      <w:r w:rsidR="00B25466">
        <w:t xml:space="preserve">Dodson </w:t>
      </w:r>
      <w:r w:rsidR="00C420AB">
        <w:t>A</w:t>
      </w:r>
      <w:r w:rsidR="00B25466">
        <w:t xml:space="preserve">J considered the judgments in </w:t>
      </w:r>
      <w:proofErr w:type="spellStart"/>
      <w:r w:rsidR="00B25466">
        <w:rPr>
          <w:i/>
          <w:iCs/>
        </w:rPr>
        <w:t>Sebola</w:t>
      </w:r>
      <w:proofErr w:type="spellEnd"/>
      <w:r w:rsidR="00B25466">
        <w:t xml:space="preserve">, </w:t>
      </w:r>
      <w:proofErr w:type="spellStart"/>
      <w:r w:rsidR="00B25466">
        <w:rPr>
          <w:i/>
          <w:iCs/>
        </w:rPr>
        <w:t>Kubyana</w:t>
      </w:r>
      <w:proofErr w:type="spellEnd"/>
      <w:r w:rsidR="00B25466">
        <w:rPr>
          <w:i/>
          <w:iCs/>
        </w:rPr>
        <w:t xml:space="preserve"> </w:t>
      </w:r>
      <w:r w:rsidR="00B25466">
        <w:t xml:space="preserve">and a potentially </w:t>
      </w:r>
      <w:r w:rsidR="005078F9">
        <w:t xml:space="preserve">divergent dictum in </w:t>
      </w:r>
      <w:r w:rsidR="005078F9">
        <w:rPr>
          <w:i/>
          <w:iCs/>
        </w:rPr>
        <w:t>Ferris</w:t>
      </w:r>
      <w:r w:rsidR="005078F9" w:rsidRPr="005078F9">
        <w:t>.</w:t>
      </w:r>
      <w:r w:rsidR="005078F9" w:rsidRPr="005078F9">
        <w:rPr>
          <w:rStyle w:val="FootnoteReference"/>
        </w:rPr>
        <w:footnoteReference w:id="20"/>
      </w:r>
      <w:r w:rsidR="005078F9">
        <w:t xml:space="preserve"> He held that, if the failure to deliver a s 129(1) notice was merely a </w:t>
      </w:r>
      <w:r w:rsidR="005078F9">
        <w:lastRenderedPageBreak/>
        <w:t xml:space="preserve">dilatory </w:t>
      </w:r>
      <w:proofErr w:type="spellStart"/>
      <w:r w:rsidR="005078F9">
        <w:t>defence</w:t>
      </w:r>
      <w:proofErr w:type="spellEnd"/>
      <w:r w:rsidR="005078F9">
        <w:t>, it would not entitle a consumer to rescission. But the non-delivery was not merely dilatory, it was a required procedure. As he put it:</w:t>
      </w:r>
    </w:p>
    <w:p w14:paraId="32492B5D" w14:textId="384C2EE6" w:rsidR="005078F9" w:rsidRDefault="005078F9" w:rsidP="00C802EA">
      <w:pPr>
        <w:pStyle w:val="Quote"/>
        <w:ind w:left="720"/>
      </w:pPr>
      <w:r>
        <w:t>The bank, as plaintiff, pleaded delivery of the notice to the applicants as defendants in its particulars of claim. Yet it is clear that its pleading was erroneous and that there was no such delivery. In terms of s 129(1)(b), the first respondent was precluded from commencing any legal proceedings without delivering a s 129(1) notice beforehand. </w:t>
      </w:r>
      <w:r>
        <w:rPr>
          <w:rStyle w:val="mc"/>
        </w:rPr>
        <w:t xml:space="preserve"> </w:t>
      </w:r>
      <w:r>
        <w:t>In terms of s 130(1)(a), 10 business days had to have elapsed after any notice, before legal proceedings were commenced. That too was not complied with. The judgment was therefore erroneously sought.</w:t>
      </w:r>
      <w:r>
        <w:rPr>
          <w:rStyle w:val="FootnoteReference"/>
        </w:rPr>
        <w:footnoteReference w:id="21"/>
      </w:r>
    </w:p>
    <w:p w14:paraId="78FEB008" w14:textId="36F579DE" w:rsidR="005078F9" w:rsidRDefault="001C024B" w:rsidP="008970A3">
      <w:pPr>
        <w:pStyle w:val="ListParagraph"/>
      </w:pPr>
      <w:proofErr w:type="spellStart"/>
      <w:r>
        <w:t>Mabuse</w:t>
      </w:r>
      <w:proofErr w:type="spellEnd"/>
      <w:r>
        <w:t xml:space="preserve"> J reached the same conclusion in an application for rescission in </w:t>
      </w:r>
      <w:r w:rsidRPr="00102A1A">
        <w:rPr>
          <w:i/>
          <w:iCs/>
        </w:rPr>
        <w:t>More v BMW Financial Services</w:t>
      </w:r>
      <w:r>
        <w:t>.</w:t>
      </w:r>
      <w:r>
        <w:rPr>
          <w:rStyle w:val="FootnoteReference"/>
        </w:rPr>
        <w:footnoteReference w:id="22"/>
      </w:r>
      <w:r w:rsidRPr="00102A1A">
        <w:t xml:space="preserve"> </w:t>
      </w:r>
      <w:r w:rsidR="007B33F7">
        <w:t xml:space="preserve">Although not in the context of rescission, this aligns with the approach taken in </w:t>
      </w:r>
      <w:r w:rsidR="001F70F5">
        <w:rPr>
          <w:i/>
          <w:iCs/>
        </w:rPr>
        <w:t xml:space="preserve">African Bank Ltd v </w:t>
      </w:r>
      <w:proofErr w:type="spellStart"/>
      <w:r w:rsidR="001F70F5">
        <w:rPr>
          <w:i/>
          <w:iCs/>
        </w:rPr>
        <w:t>Myambo</w:t>
      </w:r>
      <w:proofErr w:type="spellEnd"/>
      <w:r w:rsidR="001F70F5">
        <w:rPr>
          <w:i/>
          <w:iCs/>
        </w:rPr>
        <w:t xml:space="preserve"> NO and Others</w:t>
      </w:r>
      <w:r w:rsidR="001F70F5">
        <w:t>,</w:t>
      </w:r>
      <w:r w:rsidR="001F70F5">
        <w:rPr>
          <w:rStyle w:val="FootnoteReference"/>
        </w:rPr>
        <w:footnoteReference w:id="23"/>
      </w:r>
      <w:r w:rsidR="001F70F5" w:rsidRPr="005C57C7">
        <w:rPr>
          <w:i/>
          <w:iCs/>
        </w:rPr>
        <w:t xml:space="preserve"> </w:t>
      </w:r>
      <w:proofErr w:type="spellStart"/>
      <w:r w:rsidR="005C57C7" w:rsidRPr="005C57C7">
        <w:rPr>
          <w:i/>
          <w:iCs/>
        </w:rPr>
        <w:t>Firstrand</w:t>
      </w:r>
      <w:proofErr w:type="spellEnd"/>
      <w:r w:rsidR="005C57C7" w:rsidRPr="005C57C7">
        <w:rPr>
          <w:i/>
          <w:iCs/>
        </w:rPr>
        <w:t xml:space="preserve"> Bank Ltd </w:t>
      </w:r>
      <w:r w:rsidR="005C57C7">
        <w:rPr>
          <w:i/>
          <w:iCs/>
        </w:rPr>
        <w:t>t/a</w:t>
      </w:r>
      <w:r w:rsidR="005C57C7" w:rsidRPr="005C57C7">
        <w:rPr>
          <w:i/>
          <w:iCs/>
        </w:rPr>
        <w:t xml:space="preserve"> First National Bank </w:t>
      </w:r>
      <w:r w:rsidR="005C57C7">
        <w:rPr>
          <w:i/>
          <w:iCs/>
        </w:rPr>
        <w:t>v</w:t>
      </w:r>
      <w:r w:rsidR="005C57C7" w:rsidRPr="005C57C7">
        <w:rPr>
          <w:i/>
          <w:iCs/>
        </w:rPr>
        <w:t xml:space="preserve"> </w:t>
      </w:r>
      <w:proofErr w:type="spellStart"/>
      <w:r w:rsidR="005C57C7" w:rsidRPr="005C57C7">
        <w:rPr>
          <w:i/>
          <w:iCs/>
        </w:rPr>
        <w:t>Moonsammy</w:t>
      </w:r>
      <w:proofErr w:type="spellEnd"/>
      <w:r w:rsidR="005C57C7" w:rsidRPr="005C57C7">
        <w:rPr>
          <w:i/>
          <w:iCs/>
        </w:rPr>
        <w:t xml:space="preserve"> </w:t>
      </w:r>
      <w:r w:rsidR="005C57C7">
        <w:rPr>
          <w:i/>
          <w:iCs/>
        </w:rPr>
        <w:t>t/a</w:t>
      </w:r>
      <w:r w:rsidR="005C57C7" w:rsidRPr="005C57C7">
        <w:rPr>
          <w:i/>
          <w:iCs/>
        </w:rPr>
        <w:t xml:space="preserve"> </w:t>
      </w:r>
      <w:proofErr w:type="spellStart"/>
      <w:r w:rsidR="005C57C7" w:rsidRPr="005C57C7">
        <w:rPr>
          <w:i/>
          <w:iCs/>
        </w:rPr>
        <w:t>Synka</w:t>
      </w:r>
      <w:proofErr w:type="spellEnd"/>
      <w:r w:rsidR="005C57C7" w:rsidRPr="005C57C7">
        <w:rPr>
          <w:i/>
          <w:iCs/>
        </w:rPr>
        <w:t xml:space="preserve"> Liquors</w:t>
      </w:r>
      <w:r w:rsidR="005C57C7" w:rsidRPr="005C57C7">
        <w:rPr>
          <w:rStyle w:val="FootnoteReference"/>
        </w:rPr>
        <w:footnoteReference w:id="24"/>
      </w:r>
      <w:r w:rsidR="007B33F7">
        <w:t xml:space="preserve"> and</w:t>
      </w:r>
      <w:r w:rsidR="00E75D79">
        <w:t xml:space="preserve"> in the Eastern Cape in</w:t>
      </w:r>
      <w:r w:rsidR="007B33F7">
        <w:t xml:space="preserve"> </w:t>
      </w:r>
      <w:proofErr w:type="spellStart"/>
      <w:r w:rsidR="005C57C7" w:rsidRPr="005C57C7">
        <w:rPr>
          <w:i/>
          <w:iCs/>
        </w:rPr>
        <w:t>Wesbank</w:t>
      </w:r>
      <w:proofErr w:type="spellEnd"/>
      <w:r w:rsidR="005C57C7" w:rsidRPr="005C57C7">
        <w:rPr>
          <w:i/>
          <w:iCs/>
        </w:rPr>
        <w:t xml:space="preserve"> </w:t>
      </w:r>
      <w:r w:rsidR="005C57C7">
        <w:rPr>
          <w:i/>
          <w:iCs/>
        </w:rPr>
        <w:t>v</w:t>
      </w:r>
      <w:r w:rsidR="005C57C7" w:rsidRPr="005C57C7">
        <w:rPr>
          <w:i/>
          <w:iCs/>
        </w:rPr>
        <w:t xml:space="preserve"> </w:t>
      </w:r>
      <w:proofErr w:type="spellStart"/>
      <w:r w:rsidR="005C57C7" w:rsidRPr="005C57C7">
        <w:rPr>
          <w:i/>
          <w:iCs/>
        </w:rPr>
        <w:t>Ralushe</w:t>
      </w:r>
      <w:proofErr w:type="spellEnd"/>
      <w:r w:rsidR="005C57C7">
        <w:t>.</w:t>
      </w:r>
      <w:r w:rsidR="005C57C7" w:rsidRPr="005C57C7">
        <w:rPr>
          <w:rStyle w:val="FootnoteReference"/>
        </w:rPr>
        <w:footnoteReference w:id="25"/>
      </w:r>
      <w:r w:rsidR="005C57C7">
        <w:t xml:space="preserve"> </w:t>
      </w:r>
      <w:r w:rsidR="00E75D79">
        <w:t>The bottom line of these judgments is that c</w:t>
      </w:r>
      <w:r w:rsidR="005C57C7">
        <w:t xml:space="preserve">ompliance with s 129 is compulsory. No judgment can stand when </w:t>
      </w:r>
      <w:r w:rsidR="002E5E5A">
        <w:t xml:space="preserve">it is granted without a </w:t>
      </w:r>
      <w:r w:rsidR="00E33353">
        <w:t xml:space="preserve">s 129 notice that was delivered in conformity with the requirements of </w:t>
      </w:r>
      <w:proofErr w:type="spellStart"/>
      <w:r w:rsidR="00E33353">
        <w:t>ss</w:t>
      </w:r>
      <w:proofErr w:type="spellEnd"/>
      <w:r w:rsidR="00E33353">
        <w:t xml:space="preserve"> 129(</w:t>
      </w:r>
      <w:proofErr w:type="gramStart"/>
      <w:r w:rsidR="00E33353">
        <w:t>5)-(</w:t>
      </w:r>
      <w:proofErr w:type="gramEnd"/>
      <w:r w:rsidR="00E33353">
        <w:t xml:space="preserve">7), read with </w:t>
      </w:r>
      <w:proofErr w:type="spellStart"/>
      <w:r w:rsidR="00E33353">
        <w:rPr>
          <w:i/>
          <w:iCs/>
        </w:rPr>
        <w:t>Sebola</w:t>
      </w:r>
      <w:proofErr w:type="spellEnd"/>
      <w:r w:rsidR="00E33353">
        <w:rPr>
          <w:i/>
          <w:iCs/>
        </w:rPr>
        <w:t xml:space="preserve"> </w:t>
      </w:r>
      <w:r w:rsidR="00E33353">
        <w:t xml:space="preserve">and </w:t>
      </w:r>
      <w:proofErr w:type="spellStart"/>
      <w:r w:rsidR="00E33353">
        <w:rPr>
          <w:i/>
          <w:iCs/>
        </w:rPr>
        <w:t>Kubyana</w:t>
      </w:r>
      <w:proofErr w:type="spellEnd"/>
      <w:r w:rsidR="00E33353">
        <w:t>.</w:t>
      </w:r>
    </w:p>
    <w:p w14:paraId="5A64B2B5" w14:textId="5CB4A359" w:rsidR="00456D85" w:rsidRDefault="00456D85" w:rsidP="008970A3">
      <w:pPr>
        <w:pStyle w:val="ListParagraph"/>
      </w:pPr>
      <w:r>
        <w:lastRenderedPageBreak/>
        <w:t xml:space="preserve">A Full Bench seemed to reach a different conclusion in </w:t>
      </w:r>
      <w:r w:rsidRPr="00456D85">
        <w:rPr>
          <w:i/>
          <w:iCs/>
        </w:rPr>
        <w:t xml:space="preserve">Benson </w:t>
      </w:r>
      <w:r>
        <w:rPr>
          <w:i/>
          <w:iCs/>
        </w:rPr>
        <w:t>a</w:t>
      </w:r>
      <w:r w:rsidRPr="00456D85">
        <w:rPr>
          <w:i/>
          <w:iCs/>
        </w:rPr>
        <w:t xml:space="preserve">nd Another </w:t>
      </w:r>
      <w:r>
        <w:rPr>
          <w:i/>
          <w:iCs/>
        </w:rPr>
        <w:t>v</w:t>
      </w:r>
      <w:r w:rsidRPr="00456D85">
        <w:rPr>
          <w:i/>
          <w:iCs/>
        </w:rPr>
        <w:t xml:space="preserve"> Standard Bank </w:t>
      </w:r>
      <w:r w:rsidR="00696D15">
        <w:rPr>
          <w:i/>
          <w:iCs/>
        </w:rPr>
        <w:t>o</w:t>
      </w:r>
      <w:r w:rsidRPr="00456D85">
        <w:rPr>
          <w:i/>
          <w:iCs/>
        </w:rPr>
        <w:t>f South Africa (Pty) Ltd And Others</w:t>
      </w:r>
      <w:r>
        <w:t>.</w:t>
      </w:r>
      <w:r>
        <w:rPr>
          <w:rStyle w:val="FootnoteReference"/>
        </w:rPr>
        <w:footnoteReference w:id="26"/>
      </w:r>
      <w:r>
        <w:t xml:space="preserve"> </w:t>
      </w:r>
      <w:proofErr w:type="spellStart"/>
      <w:r w:rsidR="00C420AB">
        <w:t>Unterhalter</w:t>
      </w:r>
      <w:proofErr w:type="spellEnd"/>
      <w:r w:rsidR="00C420AB">
        <w:t xml:space="preserve"> J held </w:t>
      </w:r>
      <w:r w:rsidR="00696D15">
        <w:t xml:space="preserve">that consumers were not entitled to rescission of judgment when they had not received the s 129 notice prior to the service of summons, </w:t>
      </w:r>
      <w:r w:rsidR="00B92015">
        <w:t>provided</w:t>
      </w:r>
      <w:r w:rsidR="00696D15">
        <w:t xml:space="preserve"> they received it sufficiently long before the hearing in court that they could exercise their statutory rights.</w:t>
      </w:r>
    </w:p>
    <w:p w14:paraId="24D9677D" w14:textId="1AC1DBE9" w:rsidR="00696D15" w:rsidRDefault="00696D15" w:rsidP="008970A3">
      <w:pPr>
        <w:pStyle w:val="ListParagraph"/>
      </w:pPr>
      <w:r>
        <w:t xml:space="preserve">To my mind, </w:t>
      </w:r>
      <w:r>
        <w:rPr>
          <w:i/>
          <w:iCs/>
        </w:rPr>
        <w:t xml:space="preserve">Benson </w:t>
      </w:r>
      <w:r>
        <w:t>addresses a different issue</w:t>
      </w:r>
      <w:r w:rsidR="008C43A7">
        <w:t xml:space="preserve">. It concerns a situation where the s 129 notice is delivered to a consumer </w:t>
      </w:r>
      <w:r w:rsidR="008C43A7">
        <w:rPr>
          <w:i/>
          <w:iCs/>
        </w:rPr>
        <w:t xml:space="preserve">before </w:t>
      </w:r>
      <w:r w:rsidR="008C43A7">
        <w:t xml:space="preserve">judgment. </w:t>
      </w:r>
      <w:proofErr w:type="spellStart"/>
      <w:r w:rsidR="008C43A7">
        <w:rPr>
          <w:i/>
          <w:iCs/>
        </w:rPr>
        <w:t>Sebola</w:t>
      </w:r>
      <w:proofErr w:type="spellEnd"/>
      <w:r w:rsidR="008C43A7">
        <w:rPr>
          <w:i/>
          <w:iCs/>
        </w:rPr>
        <w:t xml:space="preserve"> </w:t>
      </w:r>
      <w:r w:rsidR="008C43A7">
        <w:t xml:space="preserve">and </w:t>
      </w:r>
      <w:proofErr w:type="spellStart"/>
      <w:r w:rsidR="008C43A7">
        <w:rPr>
          <w:i/>
          <w:iCs/>
        </w:rPr>
        <w:t>Kgomo</w:t>
      </w:r>
      <w:proofErr w:type="spellEnd"/>
      <w:r w:rsidR="005C3E3E">
        <w:t xml:space="preserve"> – like </w:t>
      </w:r>
      <w:r w:rsidR="008C43A7">
        <w:t xml:space="preserve">this case – </w:t>
      </w:r>
      <w:r w:rsidR="005C3E3E">
        <w:t xml:space="preserve">arose </w:t>
      </w:r>
      <w:r w:rsidR="008C43A7">
        <w:t>when the consumer s</w:t>
      </w:r>
      <w:r w:rsidR="002644C6">
        <w:t>aw</w:t>
      </w:r>
      <w:r w:rsidR="008C43A7">
        <w:t xml:space="preserve"> </w:t>
      </w:r>
      <w:r w:rsidR="002644C6">
        <w:t xml:space="preserve">first </w:t>
      </w:r>
      <w:r w:rsidR="008C43A7">
        <w:t xml:space="preserve">the s 129 notice </w:t>
      </w:r>
      <w:r w:rsidR="008C43A7">
        <w:rPr>
          <w:i/>
          <w:iCs/>
        </w:rPr>
        <w:t xml:space="preserve">after </w:t>
      </w:r>
      <w:r w:rsidR="008C43A7">
        <w:t xml:space="preserve">judgment. </w:t>
      </w:r>
      <w:r w:rsidR="00DC20D7">
        <w:t>It is one thing to make use of s 129 opportunities</w:t>
      </w:r>
      <w:r w:rsidR="002644C6">
        <w:t xml:space="preserve"> after summons but</w:t>
      </w:r>
      <w:r w:rsidR="00DC20D7">
        <w:t xml:space="preserve"> before a court grants judgment. But those opportunities have little value after judgment has been granted in </w:t>
      </w:r>
      <w:proofErr w:type="spellStart"/>
      <w:r w:rsidR="00DC20D7">
        <w:t>favour</w:t>
      </w:r>
      <w:proofErr w:type="spellEnd"/>
      <w:r w:rsidR="00DC20D7">
        <w:t xml:space="preserve"> of the credit provider.</w:t>
      </w:r>
    </w:p>
    <w:p w14:paraId="0DA37D59" w14:textId="2AC3DDEF" w:rsidR="00473857" w:rsidRDefault="00E8712B" w:rsidP="008970A3">
      <w:pPr>
        <w:pStyle w:val="ListParagraph"/>
      </w:pPr>
      <w:r>
        <w:t xml:space="preserve">What is the position in this </w:t>
      </w:r>
      <w:r w:rsidR="007E5AE4">
        <w:t>D</w:t>
      </w:r>
      <w:r>
        <w:t xml:space="preserve">ivision? There seem to be two conflicting judgments. First, </w:t>
      </w:r>
      <w:proofErr w:type="spellStart"/>
      <w:r w:rsidR="006C19A1">
        <w:t>Mr</w:t>
      </w:r>
      <w:proofErr w:type="spellEnd"/>
      <w:r w:rsidR="006C19A1">
        <w:t xml:space="preserve"> Du </w:t>
      </w:r>
      <w:proofErr w:type="spellStart"/>
      <w:r w:rsidR="006C19A1">
        <w:t>Preez</w:t>
      </w:r>
      <w:proofErr w:type="spellEnd"/>
      <w:r w:rsidR="006C19A1">
        <w:t xml:space="preserve">, who appeared for the Respondent, referred me </w:t>
      </w:r>
      <w:r w:rsidR="00D963F4">
        <w:t xml:space="preserve">in a note filed </w:t>
      </w:r>
      <w:r w:rsidR="006C19A1">
        <w:t>after the hearing to</w:t>
      </w:r>
      <w:r>
        <w:t xml:space="preserve"> </w:t>
      </w:r>
      <w:r w:rsidRPr="0051381A">
        <w:rPr>
          <w:i/>
          <w:iCs/>
        </w:rPr>
        <w:t>Petersen</w:t>
      </w:r>
      <w:r w:rsidR="006C19A1">
        <w:t>.</w:t>
      </w:r>
      <w:bookmarkStart w:id="6" w:name="_Ref150755489"/>
      <w:r w:rsidR="006C19A1">
        <w:rPr>
          <w:rStyle w:val="FootnoteReference"/>
        </w:rPr>
        <w:footnoteReference w:id="27"/>
      </w:r>
      <w:bookmarkEnd w:id="6"/>
      <w:r w:rsidR="006C19A1" w:rsidRPr="0051381A">
        <w:rPr>
          <w:i/>
          <w:iCs/>
        </w:rPr>
        <w:t xml:space="preserve"> </w:t>
      </w:r>
      <w:r w:rsidR="006C19A1">
        <w:t xml:space="preserve">There, </w:t>
      </w:r>
      <w:proofErr w:type="spellStart"/>
      <w:r>
        <w:t>Binns</w:t>
      </w:r>
      <w:proofErr w:type="spellEnd"/>
      <w:r>
        <w:t xml:space="preserve">-Ward J refused to grant rescission </w:t>
      </w:r>
      <w:r w:rsidR="0099695B">
        <w:t>in terms of rule 31(2)(b)</w:t>
      </w:r>
      <w:r w:rsidR="00D963F4">
        <w:t>.</w:t>
      </w:r>
      <w:r w:rsidR="0099695B">
        <w:t xml:space="preserve"> </w:t>
      </w:r>
      <w:r w:rsidR="00D963F4">
        <w:t>The credit provider had delivered a</w:t>
      </w:r>
      <w:r>
        <w:t xml:space="preserve"> </w:t>
      </w:r>
      <w:r w:rsidR="006C19A1">
        <w:t>s 129 notice to the relevant post office, but the evidence suggested it had not been collected.</w:t>
      </w:r>
      <w:r w:rsidR="0051381A">
        <w:rPr>
          <w:rStyle w:val="FootnoteReference"/>
        </w:rPr>
        <w:footnoteReference w:id="28"/>
      </w:r>
      <w:r w:rsidR="005478F0">
        <w:t xml:space="preserve"> </w:t>
      </w:r>
      <w:r w:rsidR="00FF5422">
        <w:t xml:space="preserve">As in this case, </w:t>
      </w:r>
      <w:r w:rsidR="005564BF">
        <w:t xml:space="preserve">it seems </w:t>
      </w:r>
      <w:r w:rsidR="005478F0">
        <w:t>the consumer</w:t>
      </w:r>
      <w:r w:rsidR="00E919CC">
        <w:t xml:space="preserve"> </w:t>
      </w:r>
      <w:r w:rsidR="00FF5422">
        <w:t>learnt of the s 129 notice only when he learnt of the default judgment.</w:t>
      </w:r>
      <w:r w:rsidR="005D0FC7">
        <w:t xml:space="preserve"> </w:t>
      </w:r>
    </w:p>
    <w:p w14:paraId="7B4A4403" w14:textId="17F3C424" w:rsidR="001C024B" w:rsidRDefault="005D0FC7" w:rsidP="008970A3">
      <w:pPr>
        <w:pStyle w:val="ListParagraph"/>
      </w:pPr>
      <w:proofErr w:type="spellStart"/>
      <w:r>
        <w:t>Binns</w:t>
      </w:r>
      <w:proofErr w:type="spellEnd"/>
      <w:r>
        <w:t xml:space="preserve">-Ward J held </w:t>
      </w:r>
      <w:r w:rsidR="0099695B">
        <w:t xml:space="preserve">that merely because the default judgment “might not have been lawfully granted does not, by itself and without more, afford good cause for it to </w:t>
      </w:r>
      <w:r w:rsidR="0099695B">
        <w:lastRenderedPageBreak/>
        <w:t>be set aside.”</w:t>
      </w:r>
      <w:r w:rsidR="0099695B">
        <w:rPr>
          <w:rStyle w:val="FootnoteReference"/>
        </w:rPr>
        <w:footnoteReference w:id="29"/>
      </w:r>
      <w:r w:rsidR="00473857">
        <w:t xml:space="preserve"> </w:t>
      </w:r>
      <w:r>
        <w:t>He ultimately concluded that</w:t>
      </w:r>
      <w:r w:rsidR="00DC6857">
        <w:t>,</w:t>
      </w:r>
      <w:r>
        <w:t xml:space="preserve"> because it did not “appear probable that the defendant would have been in a position to avail himself effectively of the options in terms of s 129 of the NCA, even had notice been received by him”, </w:t>
      </w:r>
      <w:r w:rsidR="00961AA9">
        <w:t>any infringements of his rights “</w:t>
      </w:r>
      <w:r>
        <w:t>has not been established to have been material.</w:t>
      </w:r>
      <w:r w:rsidR="00961AA9">
        <w:t>”</w:t>
      </w:r>
      <w:r w:rsidR="00961AA9">
        <w:rPr>
          <w:rStyle w:val="FootnoteReference"/>
        </w:rPr>
        <w:footnoteReference w:id="30"/>
      </w:r>
    </w:p>
    <w:p w14:paraId="79CD8EBF" w14:textId="06F9C039" w:rsidR="00473857" w:rsidRDefault="00473857" w:rsidP="008970A3">
      <w:pPr>
        <w:pStyle w:val="ListParagraph"/>
      </w:pPr>
      <w:r>
        <w:rPr>
          <w:i/>
          <w:iCs/>
        </w:rPr>
        <w:t xml:space="preserve">Petersen </w:t>
      </w:r>
      <w:r>
        <w:t>must be contrasted with</w:t>
      </w:r>
      <w:r w:rsidR="00CB5A88">
        <w:t xml:space="preserve"> </w:t>
      </w:r>
      <w:proofErr w:type="spellStart"/>
      <w:r w:rsidR="00CB5A88">
        <w:t>Ndita</w:t>
      </w:r>
      <w:proofErr w:type="spellEnd"/>
      <w:r w:rsidR="00CB5A88">
        <w:t xml:space="preserve"> J’s judgment in</w:t>
      </w:r>
      <w:r>
        <w:t xml:space="preserve"> </w:t>
      </w:r>
      <w:r>
        <w:rPr>
          <w:i/>
          <w:iCs/>
        </w:rPr>
        <w:t>Buys</w:t>
      </w:r>
      <w:r>
        <w:t>.</w:t>
      </w:r>
      <w:r>
        <w:rPr>
          <w:rStyle w:val="FootnoteReference"/>
        </w:rPr>
        <w:footnoteReference w:id="31"/>
      </w:r>
      <w:r w:rsidR="007E5AE4">
        <w:t xml:space="preserve"> There the consumer sought rescission in terms of rule 42(1)(a). </w:t>
      </w:r>
      <w:r w:rsidR="006E74E9">
        <w:t xml:space="preserve">The s 129 notice had been sent by registered post, but there was no </w:t>
      </w:r>
      <w:r w:rsidR="00ED4F55">
        <w:t>track and trace report at all, so it was impossible to know whether it had made its way to the relevant post office.</w:t>
      </w:r>
      <w:r w:rsidR="004B1D6D">
        <w:t xml:space="preserve"> </w:t>
      </w:r>
      <w:proofErr w:type="spellStart"/>
      <w:r w:rsidR="004B1D6D">
        <w:t>Ndita</w:t>
      </w:r>
      <w:proofErr w:type="spellEnd"/>
      <w:r w:rsidR="004B1D6D">
        <w:t xml:space="preserve"> J concluded that “</w:t>
      </w:r>
      <w:r w:rsidR="004B1D6D" w:rsidRPr="004B1D6D">
        <w:t>failure to produce the requisite track and trace report indicating that the s 129 notice was dispatched to the relevant post office leads to the inescapable conclusion that the judgment was erroneously sought and erroneously granted.</w:t>
      </w:r>
      <w:r w:rsidR="004B1D6D">
        <w:t>”</w:t>
      </w:r>
      <w:r w:rsidR="004B1D6D">
        <w:rPr>
          <w:rStyle w:val="FootnoteReference"/>
        </w:rPr>
        <w:footnoteReference w:id="32"/>
      </w:r>
      <w:r w:rsidR="00EF25E2">
        <w:t xml:space="preserve"> She granted rescission</w:t>
      </w:r>
      <w:r w:rsidR="00DC6857">
        <w:t>, without considering whether she had a discretion to refuse.</w:t>
      </w:r>
    </w:p>
    <w:p w14:paraId="29AE00DF" w14:textId="1348B8DB" w:rsidR="004B1D6D" w:rsidRDefault="00EF25E2" w:rsidP="008970A3">
      <w:pPr>
        <w:pStyle w:val="ListParagraph"/>
      </w:pPr>
      <w:proofErr w:type="spellStart"/>
      <w:r>
        <w:t>Ndita</w:t>
      </w:r>
      <w:proofErr w:type="spellEnd"/>
      <w:r>
        <w:t xml:space="preserve"> J</w:t>
      </w:r>
      <w:r w:rsidR="004B1D6D" w:rsidRPr="004B1D6D">
        <w:t xml:space="preserve"> d</w:t>
      </w:r>
      <w:r w:rsidR="004B1D6D">
        <w:t xml:space="preserve">istinguished </w:t>
      </w:r>
      <w:r w:rsidR="004B1D6D">
        <w:rPr>
          <w:i/>
          <w:iCs/>
        </w:rPr>
        <w:t xml:space="preserve">Petersen </w:t>
      </w:r>
      <w:r w:rsidR="004B1D6D">
        <w:t xml:space="preserve">on two bases. First, </w:t>
      </w:r>
      <w:proofErr w:type="spellStart"/>
      <w:r w:rsidR="00EF5180">
        <w:t>Binns</w:t>
      </w:r>
      <w:proofErr w:type="spellEnd"/>
      <w:r w:rsidR="00EF5180">
        <w:t>-Ward J had refused rescission because there was no good cause for the relief. Second, the s 129 notice had at least been delivered to the post office.</w:t>
      </w:r>
      <w:r w:rsidR="00F642CC">
        <w:t xml:space="preserve"> She explained that she did not understand </w:t>
      </w:r>
      <w:r w:rsidR="00F642CC">
        <w:rPr>
          <w:i/>
          <w:iCs/>
        </w:rPr>
        <w:t xml:space="preserve">Petersen </w:t>
      </w:r>
      <w:r w:rsidR="00F642CC">
        <w:t>“</w:t>
      </w:r>
      <w:r w:rsidR="00F642CC" w:rsidRPr="00F642CC">
        <w:t xml:space="preserve">to suggest that there must be good cause shown where the </w:t>
      </w:r>
      <w:r w:rsidR="00F642CC" w:rsidRPr="00F642CC">
        <w:lastRenderedPageBreak/>
        <w:t>credit provider failed to comply with a statutory obligation.</w:t>
      </w:r>
      <w:r w:rsidR="00F642CC">
        <w:t>”</w:t>
      </w:r>
      <w:r w:rsidR="00F642CC">
        <w:rPr>
          <w:rStyle w:val="FootnoteReference"/>
        </w:rPr>
        <w:footnoteReference w:id="33"/>
      </w:r>
      <w:r w:rsidR="006E65EB">
        <w:t xml:space="preserve"> An additional </w:t>
      </w:r>
      <w:r w:rsidR="00DE0B60">
        <w:t xml:space="preserve">ground is that </w:t>
      </w:r>
      <w:r w:rsidR="00DE0B60">
        <w:rPr>
          <w:i/>
          <w:iCs/>
        </w:rPr>
        <w:t xml:space="preserve">Petersen </w:t>
      </w:r>
      <w:r w:rsidR="00DE0B60">
        <w:t xml:space="preserve">was brought under rule 31(2)(b), while </w:t>
      </w:r>
      <w:r w:rsidR="00DE0B60">
        <w:rPr>
          <w:i/>
          <w:iCs/>
        </w:rPr>
        <w:t xml:space="preserve">Buys </w:t>
      </w:r>
      <w:r w:rsidR="00DE0B60">
        <w:t>was decided under rule 42(1)(a). As I explained above, the requirements and the extent of discretion differ markedly.</w:t>
      </w:r>
      <w:r w:rsidR="00DE0B60">
        <w:rPr>
          <w:rStyle w:val="FootnoteReference"/>
        </w:rPr>
        <w:footnoteReference w:id="34"/>
      </w:r>
    </w:p>
    <w:p w14:paraId="5AD0CD50" w14:textId="6157D0D1" w:rsidR="00F642CC" w:rsidRDefault="0058240A" w:rsidP="008970A3">
      <w:pPr>
        <w:pStyle w:val="ListParagraph"/>
      </w:pPr>
      <w:r>
        <w:t>While there are differences in the particular facts in all these cases, in truth</w:t>
      </w:r>
      <w:r w:rsidR="00FC3615">
        <w:t xml:space="preserve"> </w:t>
      </w:r>
      <w:r>
        <w:t>there is a debate of judicial philosophy. There is</w:t>
      </w:r>
      <w:r w:rsidR="00FC3615">
        <w:t xml:space="preserve"> a formal approach and a pragmatic approach. The formal approach – followed in </w:t>
      </w:r>
      <w:proofErr w:type="spellStart"/>
      <w:r w:rsidR="00FC3615">
        <w:rPr>
          <w:i/>
          <w:iCs/>
        </w:rPr>
        <w:t>Kgomo</w:t>
      </w:r>
      <w:proofErr w:type="spellEnd"/>
      <w:r w:rsidR="00FC3615">
        <w:rPr>
          <w:i/>
          <w:iCs/>
        </w:rPr>
        <w:t xml:space="preserve"> </w:t>
      </w:r>
      <w:r w:rsidR="00FC3615">
        <w:t xml:space="preserve">and </w:t>
      </w:r>
      <w:r w:rsidR="00FC3615">
        <w:rPr>
          <w:i/>
          <w:iCs/>
        </w:rPr>
        <w:t xml:space="preserve">Buys </w:t>
      </w:r>
      <w:r w:rsidR="00FC3615">
        <w:t xml:space="preserve">– is that </w:t>
      </w:r>
      <w:r>
        <w:t>the failure to establish proper delivery of the s 129 notice taints the process</w:t>
      </w:r>
      <w:r w:rsidR="00EF25E2">
        <w:t xml:space="preserve"> and means judgment was erroneously granted</w:t>
      </w:r>
      <w:r w:rsidR="00560037">
        <w:t>, end of enquiry</w:t>
      </w:r>
      <w:r w:rsidR="00EF25E2">
        <w:t xml:space="preserve">. The pragmatic approach – </w:t>
      </w:r>
      <w:proofErr w:type="spellStart"/>
      <w:r w:rsidR="00EF25E2">
        <w:t>epitomi</w:t>
      </w:r>
      <w:r w:rsidR="00D43633">
        <w:t>s</w:t>
      </w:r>
      <w:r w:rsidR="00EF25E2">
        <w:t>ed</w:t>
      </w:r>
      <w:proofErr w:type="spellEnd"/>
      <w:r w:rsidR="00EF25E2">
        <w:t xml:space="preserve"> by </w:t>
      </w:r>
      <w:r w:rsidR="00EF25E2">
        <w:rPr>
          <w:i/>
          <w:iCs/>
        </w:rPr>
        <w:t xml:space="preserve">Petersen </w:t>
      </w:r>
      <w:r w:rsidR="00EF25E2">
        <w:t xml:space="preserve">but also present in </w:t>
      </w:r>
      <w:r w:rsidR="00D43633">
        <w:rPr>
          <w:i/>
          <w:iCs/>
        </w:rPr>
        <w:t>Benson</w:t>
      </w:r>
      <w:r w:rsidR="00D43633">
        <w:t xml:space="preserve"> – is that there is no point rescinding a judgment solely for improper delivery of a s 129 notice when the consumer </w:t>
      </w:r>
      <w:r w:rsidR="00703295">
        <w:t>has</w:t>
      </w:r>
      <w:r w:rsidR="003B3670">
        <w:t>, in fact,</w:t>
      </w:r>
      <w:r w:rsidR="00703295">
        <w:t xml:space="preserve"> received</w:t>
      </w:r>
      <w:r w:rsidR="003B3670">
        <w:t xml:space="preserve"> it.</w:t>
      </w:r>
    </w:p>
    <w:p w14:paraId="4E43C055" w14:textId="354D6566" w:rsidR="00ED4844" w:rsidRDefault="00ED4844" w:rsidP="008970A3">
      <w:pPr>
        <w:pStyle w:val="ListParagraph"/>
      </w:pPr>
      <w:r>
        <w:t xml:space="preserve">This schism seems to align with the difference of opinion about whether a court has a discretion under rule 42(1)(a) to refuse rescission once it concludes a judgment was erroneously granted. The pragmatists say </w:t>
      </w:r>
      <w:r w:rsidR="003F7F2B">
        <w:t>Y</w:t>
      </w:r>
      <w:r>
        <w:t xml:space="preserve">es, the formalists say </w:t>
      </w:r>
      <w:r w:rsidR="003F7F2B">
        <w:t>N</w:t>
      </w:r>
      <w:r>
        <w:t>o.</w:t>
      </w:r>
    </w:p>
    <w:p w14:paraId="378D4769" w14:textId="48FA96FE" w:rsidR="00E01945" w:rsidRDefault="00A90DCA" w:rsidP="008970A3">
      <w:pPr>
        <w:pStyle w:val="ListParagraph"/>
      </w:pPr>
      <w:r>
        <w:t xml:space="preserve">I have great sympathy with the pragmatic approach. Rescission for the sake of rescission serves nobody. </w:t>
      </w:r>
      <w:r w:rsidR="007F7B02">
        <w:t xml:space="preserve">The creditor is put to additional time and expense to recover its debt when there is no good </w:t>
      </w:r>
      <w:proofErr w:type="spellStart"/>
      <w:r w:rsidR="007F7B02">
        <w:t>defence</w:t>
      </w:r>
      <w:proofErr w:type="spellEnd"/>
      <w:r w:rsidR="007F7B02">
        <w:t xml:space="preserve">. The consumer </w:t>
      </w:r>
      <w:r w:rsidR="0077054C">
        <w:t xml:space="preserve">may buy a few more </w:t>
      </w:r>
      <w:proofErr w:type="gramStart"/>
      <w:r w:rsidR="0077054C">
        <w:t>months</w:t>
      </w:r>
      <w:proofErr w:type="gramEnd"/>
      <w:r w:rsidR="0077054C">
        <w:t xml:space="preserve"> grace, but if he cannot pay up, settle or raise a good </w:t>
      </w:r>
      <w:proofErr w:type="spellStart"/>
      <w:r w:rsidR="0077054C">
        <w:t>defence</w:t>
      </w:r>
      <w:proofErr w:type="spellEnd"/>
      <w:r w:rsidR="0077054C">
        <w:t>, he will only end up paying more in interest and costs in the long run.</w:t>
      </w:r>
      <w:r w:rsidR="00113EE0">
        <w:t xml:space="preserve"> In this case, I am of the view that </w:t>
      </w:r>
      <w:r w:rsidR="00113EE0">
        <w:lastRenderedPageBreak/>
        <w:t xml:space="preserve">little </w:t>
      </w:r>
      <w:r w:rsidR="00732F3B">
        <w:t xml:space="preserve">is likely to </w:t>
      </w:r>
      <w:r w:rsidR="00113EE0">
        <w:t>be served by rescission. The Applicant has no</w:t>
      </w:r>
      <w:r w:rsidR="00732F3B">
        <w:t>t yet identified any</w:t>
      </w:r>
      <w:r w:rsidR="00113EE0">
        <w:t xml:space="preserve"> substantive </w:t>
      </w:r>
      <w:proofErr w:type="spellStart"/>
      <w:r w:rsidR="00113EE0">
        <w:t>defence</w:t>
      </w:r>
      <w:proofErr w:type="spellEnd"/>
      <w:r w:rsidR="00113EE0">
        <w:t xml:space="preserve">. He has already had an opportunity to </w:t>
      </w:r>
      <w:r w:rsidR="00B10816">
        <w:t xml:space="preserve">settle (albeit after judgment), and that has failed. It seems </w:t>
      </w:r>
      <w:r w:rsidR="006D4896">
        <w:t>likely</w:t>
      </w:r>
      <w:r w:rsidR="00B10816">
        <w:t xml:space="preserve"> that rescission will merely delay the inevitable</w:t>
      </w:r>
      <w:r w:rsidR="00827666">
        <w:t>, at great cost to the parties</w:t>
      </w:r>
      <w:r w:rsidR="000807C4">
        <w:t>’</w:t>
      </w:r>
      <w:r w:rsidR="00827666">
        <w:t xml:space="preserve"> pockets and the court’s time.</w:t>
      </w:r>
    </w:p>
    <w:p w14:paraId="49E32ED9" w14:textId="5300E9BA" w:rsidR="00B10816" w:rsidRDefault="00B10816" w:rsidP="008970A3">
      <w:pPr>
        <w:pStyle w:val="ListParagraph"/>
      </w:pPr>
      <w:r>
        <w:t xml:space="preserve">And yet I find myself constrained to grant it. </w:t>
      </w:r>
      <w:r w:rsidR="008C1CF9">
        <w:t xml:space="preserve">My understanding of rule 42(1)(a) is that if there was an error that is evident from the papers that precluded the grant of </w:t>
      </w:r>
      <w:r w:rsidR="00D608ED">
        <w:t xml:space="preserve">default judgment, then the judgment was erroneously sought and erroneously granted. </w:t>
      </w:r>
      <w:r w:rsidR="00B810D0">
        <w:t xml:space="preserve">Rescission must follow. </w:t>
      </w:r>
      <w:r w:rsidR="00256D41">
        <w:t xml:space="preserve">The absence of a </w:t>
      </w:r>
      <w:proofErr w:type="spellStart"/>
      <w:r w:rsidR="00256D41">
        <w:t>defence</w:t>
      </w:r>
      <w:proofErr w:type="spellEnd"/>
      <w:r w:rsidR="00256D41">
        <w:t xml:space="preserve"> is irrelevant, and I have no discretion to refuse rescission. </w:t>
      </w:r>
    </w:p>
    <w:p w14:paraId="7C4BAF2F" w14:textId="04B1EC47" w:rsidR="00DD18F9" w:rsidRDefault="00DD18F9" w:rsidP="008970A3">
      <w:pPr>
        <w:pStyle w:val="ListParagraph"/>
      </w:pPr>
      <w:r>
        <w:t>In this case, it was apparent from the summons itself</w:t>
      </w:r>
      <w:r w:rsidR="00EB3103">
        <w:t>, and the application for default judgment,</w:t>
      </w:r>
      <w:r>
        <w:t xml:space="preserve"> that the s 129 notice had not been delivered to the relevant post office as s 129(7) and </w:t>
      </w:r>
      <w:proofErr w:type="spellStart"/>
      <w:r>
        <w:rPr>
          <w:i/>
          <w:iCs/>
        </w:rPr>
        <w:t>Kubyana</w:t>
      </w:r>
      <w:proofErr w:type="spellEnd"/>
      <w:r>
        <w:rPr>
          <w:i/>
          <w:iCs/>
        </w:rPr>
        <w:t xml:space="preserve"> </w:t>
      </w:r>
      <w:r>
        <w:t xml:space="preserve">require. </w:t>
      </w:r>
      <w:r w:rsidR="003F7F2B">
        <w:t xml:space="preserve">Section 130(4) prohibited the registrar from granting the default judgment. </w:t>
      </w:r>
      <w:r w:rsidR="00EB3103">
        <w:t>The default judgment was, therefore, erroneously sought and erroneously granted.</w:t>
      </w:r>
    </w:p>
    <w:p w14:paraId="7DD73A1A" w14:textId="2151840C" w:rsidR="00EB3103" w:rsidRDefault="00EB3103" w:rsidP="008970A3">
      <w:pPr>
        <w:pStyle w:val="ListParagraph"/>
      </w:pPr>
      <w:r>
        <w:t>The position will be different where the papers show delivery to the relevant post office, but it emerges</w:t>
      </w:r>
      <w:r w:rsidR="00212195">
        <w:t xml:space="preserve"> after judgment</w:t>
      </w:r>
      <w:r>
        <w:t xml:space="preserve"> that the consumer did not receive the notice. There, </w:t>
      </w:r>
      <w:r w:rsidR="006D4896">
        <w:t xml:space="preserve">delivery was properly made, and </w:t>
      </w:r>
      <w:r>
        <w:t>judgment was properly granted. Rescission</w:t>
      </w:r>
      <w:r w:rsidR="00E445CC">
        <w:t xml:space="preserve"> cannot be sought under rule 42(1)(a). It</w:t>
      </w:r>
      <w:r>
        <w:t xml:space="preserve"> will only be justified </w:t>
      </w:r>
      <w:r w:rsidR="00E445CC">
        <w:t xml:space="preserve">under rule 31(2)(b) or the common law </w:t>
      </w:r>
      <w:r>
        <w:t>if</w:t>
      </w:r>
      <w:r w:rsidR="00B2535E">
        <w:t xml:space="preserve"> the consumer has </w:t>
      </w:r>
      <w:r w:rsidR="006D4896">
        <w:t xml:space="preserve">a bona fide </w:t>
      </w:r>
      <w:proofErr w:type="spellStart"/>
      <w:r w:rsidR="00B2535E">
        <w:t>defence</w:t>
      </w:r>
      <w:proofErr w:type="spellEnd"/>
      <w:r w:rsidR="00B2535E">
        <w:t xml:space="preserve"> to the </w:t>
      </w:r>
      <w:r w:rsidR="00D15ABC">
        <w:t xml:space="preserve">underlying claim, or </w:t>
      </w:r>
      <w:r w:rsidR="00351C5E">
        <w:t xml:space="preserve">the court otherwise exercises its discretion to allow </w:t>
      </w:r>
      <w:r w:rsidR="000A05D5">
        <w:t xml:space="preserve">rescission so </w:t>
      </w:r>
      <w:r w:rsidR="00D15ABC">
        <w:t xml:space="preserve">the consumer </w:t>
      </w:r>
      <w:r w:rsidR="000A05D5">
        <w:t xml:space="preserve">can </w:t>
      </w:r>
      <w:r w:rsidR="00D15ABC">
        <w:t>take advantage of the options provided for in s 129.</w:t>
      </w:r>
    </w:p>
    <w:p w14:paraId="52F63E64" w14:textId="7E2F23DD" w:rsidR="00F81223" w:rsidRDefault="00F81223" w:rsidP="008970A3">
      <w:pPr>
        <w:pStyle w:val="ListParagraph"/>
      </w:pPr>
      <w:r>
        <w:t xml:space="preserve">The position may also be different when the facts show that the s 129 notice was subsequently provided to the consumer as an attachment to the summons or the application for default judgment, which the consumer in fact received, and </w:t>
      </w:r>
      <w:r w:rsidR="00050DD5">
        <w:t xml:space="preserve">that </w:t>
      </w:r>
      <w:r w:rsidR="00050DD5">
        <w:lastRenderedPageBreak/>
        <w:t xml:space="preserve">occurred at least </w:t>
      </w:r>
      <w:r w:rsidR="00887FF7">
        <w:t>twenty</w:t>
      </w:r>
      <w:r w:rsidR="00050DD5">
        <w:t xml:space="preserve"> days prior to judgment. In those cases, there </w:t>
      </w:r>
      <w:r w:rsidR="00050DD5" w:rsidRPr="009A4F90">
        <w:rPr>
          <w:i/>
          <w:iCs/>
        </w:rPr>
        <w:t>may</w:t>
      </w:r>
      <w:r w:rsidR="00050DD5">
        <w:t xml:space="preserve"> be room </w:t>
      </w:r>
      <w:r w:rsidR="009A4F90">
        <w:t xml:space="preserve">– I set it no higher than that – </w:t>
      </w:r>
      <w:r w:rsidR="00050DD5">
        <w:t xml:space="preserve">for the more pragmatic approach because the consumer </w:t>
      </w:r>
      <w:r w:rsidR="00A176BA">
        <w:t xml:space="preserve">in fact </w:t>
      </w:r>
      <w:r w:rsidR="00050DD5">
        <w:t xml:space="preserve">learnt of the s 129 notice </w:t>
      </w:r>
      <w:r w:rsidR="00050DD5">
        <w:rPr>
          <w:i/>
          <w:iCs/>
        </w:rPr>
        <w:t xml:space="preserve">before </w:t>
      </w:r>
      <w:r w:rsidR="00050DD5">
        <w:t>judgment</w:t>
      </w:r>
      <w:r w:rsidR="00A176BA">
        <w:t>, even if it was not delivered as required by law</w:t>
      </w:r>
      <w:r w:rsidR="00050DD5">
        <w:t>.</w:t>
      </w:r>
    </w:p>
    <w:p w14:paraId="04D67C02" w14:textId="5FC53A41" w:rsidR="00050DD5" w:rsidRDefault="00050DD5" w:rsidP="008970A3">
      <w:pPr>
        <w:pStyle w:val="ListParagraph"/>
      </w:pPr>
      <w:r>
        <w:t>But where, as here, the credit provider did not establish deliver</w:t>
      </w:r>
      <w:r w:rsidR="00A176BA">
        <w:t>y</w:t>
      </w:r>
      <w:r>
        <w:t xml:space="preserve"> to </w:t>
      </w:r>
      <w:r w:rsidR="009A4F90">
        <w:t xml:space="preserve">the relevant post office, and the consumer only learnt of the s 129 </w:t>
      </w:r>
      <w:r w:rsidR="006A5B25">
        <w:t xml:space="preserve">notice </w:t>
      </w:r>
      <w:r w:rsidR="002C2F77">
        <w:t xml:space="preserve">after default judgment, rescission </w:t>
      </w:r>
      <w:r w:rsidR="006A5B25">
        <w:t xml:space="preserve">sought in terms of rule 42(1)(a) </w:t>
      </w:r>
      <w:r w:rsidR="002C2F77">
        <w:t>must follow.</w:t>
      </w:r>
    </w:p>
    <w:p w14:paraId="434F4597" w14:textId="28B889A9" w:rsidR="00A16D43" w:rsidRDefault="0018047B" w:rsidP="008970A3">
      <w:pPr>
        <w:pStyle w:val="ListParagraph"/>
      </w:pPr>
      <w:r>
        <w:t>I</w:t>
      </w:r>
      <w:r w:rsidR="00CB17B0">
        <w:t>f I</w:t>
      </w:r>
      <w:r w:rsidR="006A5B25">
        <w:t xml:space="preserve"> am wrong</w:t>
      </w:r>
      <w:r>
        <w:t xml:space="preserve">, and courts do have </w:t>
      </w:r>
      <w:r w:rsidR="00CB17B0">
        <w:t xml:space="preserve">a discretion to refuse rescission, even though judgment was erroneously granted, I would rescind in this case. There are two reasons. </w:t>
      </w:r>
    </w:p>
    <w:p w14:paraId="1CDF260B" w14:textId="4C9C7A9B" w:rsidR="00CB17B0" w:rsidRDefault="00CB17B0" w:rsidP="00A16D43">
      <w:pPr>
        <w:pStyle w:val="ListParagraph"/>
        <w:numPr>
          <w:ilvl w:val="1"/>
          <w:numId w:val="13"/>
        </w:numPr>
      </w:pPr>
      <w:r>
        <w:t xml:space="preserve">The opportunity to negotiate a settlement after judgment is not </w:t>
      </w:r>
      <w:r w:rsidR="001E36C3">
        <w:t xml:space="preserve">equivalent to negotiating before judgment. The </w:t>
      </w:r>
      <w:r w:rsidR="0018047B">
        <w:t>credit provider</w:t>
      </w:r>
      <w:r w:rsidR="001E36C3">
        <w:t xml:space="preserve">, understandably, would be hesitant to compromise on what is owed to it when it has a court order in its </w:t>
      </w:r>
      <w:proofErr w:type="spellStart"/>
      <w:r w:rsidR="001E36C3">
        <w:t>favour</w:t>
      </w:r>
      <w:proofErr w:type="spellEnd"/>
      <w:r w:rsidR="001E36C3">
        <w:t xml:space="preserve">. </w:t>
      </w:r>
      <w:r w:rsidR="00CA6ED6">
        <w:t>But it may be that, when there is no judgment, the parties will be able to reach a settlement.</w:t>
      </w:r>
    </w:p>
    <w:p w14:paraId="14D962E6" w14:textId="1F73645C" w:rsidR="00A16D43" w:rsidRDefault="00A16D43" w:rsidP="00A16D43">
      <w:pPr>
        <w:pStyle w:val="ListParagraph"/>
        <w:numPr>
          <w:ilvl w:val="1"/>
          <w:numId w:val="13"/>
        </w:numPr>
      </w:pPr>
      <w:r>
        <w:t xml:space="preserve">The Applicant did indicate, in his founding affidavit, that he would have taken advantage of the opportunity presented by the s 129 notice to refer the dispute to </w:t>
      </w:r>
      <w:r w:rsidR="00AF1844">
        <w:t>mediation. That option was</w:t>
      </w:r>
      <w:r w:rsidR="00345A0F">
        <w:t xml:space="preserve"> practically</w:t>
      </w:r>
      <w:r w:rsidR="00AF1844">
        <w:t xml:space="preserve"> closed once judgment was granted. It may have failed, but the NCA entitled him to a reasonable opportunity to seek mediation.</w:t>
      </w:r>
    </w:p>
    <w:p w14:paraId="119D88C3" w14:textId="35DF995C" w:rsidR="002C60A6" w:rsidRDefault="002C60A6" w:rsidP="008970A3">
      <w:pPr>
        <w:pStyle w:val="ListParagraph"/>
      </w:pPr>
      <w:r>
        <w:t>Accordingly, with some hesitation, little sympathy for the applicant, and</w:t>
      </w:r>
      <w:r w:rsidR="00095EA6">
        <w:t xml:space="preserve"> limited </w:t>
      </w:r>
      <w:r w:rsidR="007D7AB0">
        <w:t>hope the rescission will achieve anything, I will grant the rescission.</w:t>
      </w:r>
    </w:p>
    <w:p w14:paraId="518F9EB5" w14:textId="77777777" w:rsidR="00E3009C" w:rsidRDefault="00E3009C" w:rsidP="00E3009C">
      <w:pPr>
        <w:pStyle w:val="ListParagraph"/>
        <w:numPr>
          <w:ilvl w:val="0"/>
          <w:numId w:val="0"/>
        </w:numPr>
      </w:pPr>
    </w:p>
    <w:p w14:paraId="5B47590B" w14:textId="6FE52CEA" w:rsidR="00E3009C" w:rsidRDefault="00E3009C" w:rsidP="00E3009C">
      <w:pPr>
        <w:pStyle w:val="Heading3"/>
      </w:pPr>
      <w:r>
        <w:lastRenderedPageBreak/>
        <w:t>Conclusion and Costs</w:t>
      </w:r>
    </w:p>
    <w:p w14:paraId="7CADD742" w14:textId="0BC96002" w:rsidR="00E3009C" w:rsidRDefault="00E3009C" w:rsidP="008970A3">
      <w:pPr>
        <w:pStyle w:val="ListParagraph"/>
      </w:pPr>
      <w:r>
        <w:t xml:space="preserve">The Applicant has ultimately been successful. But </w:t>
      </w:r>
      <w:r w:rsidR="00095EA6">
        <w:t xml:space="preserve">rescission remains an indulgence and the ordinary order when it is granted is that </w:t>
      </w:r>
      <w:r w:rsidR="008C6E66">
        <w:t>the successful applicant bears the costs, even in the face of opposition, if that opposition is reasonable.</w:t>
      </w:r>
      <w:r w:rsidR="00070DA9">
        <w:rPr>
          <w:rStyle w:val="FootnoteReference"/>
        </w:rPr>
        <w:footnoteReference w:id="35"/>
      </w:r>
      <w:r w:rsidR="00095EA6">
        <w:t xml:space="preserve"> </w:t>
      </w:r>
      <w:r w:rsidR="00EB3A4A">
        <w:t xml:space="preserve">In my view, the Respondent’s opposition was reasonable. But the ultimate cause of rescission was its failure to establish </w:t>
      </w:r>
      <w:r w:rsidR="00345A0F">
        <w:t xml:space="preserve">proper </w:t>
      </w:r>
      <w:r w:rsidR="00EB3A4A">
        <w:t>delivery of the s 129 notice</w:t>
      </w:r>
      <w:r w:rsidR="00210C33">
        <w:t xml:space="preserve"> in the initial summons</w:t>
      </w:r>
      <w:r w:rsidR="00EB3A4A">
        <w:t>. I therefore hold it is just for each party to pay its own costs.</w:t>
      </w:r>
    </w:p>
    <w:p w14:paraId="67BFE272" w14:textId="45F90126" w:rsidR="00E3009C" w:rsidRDefault="00E3009C" w:rsidP="008970A3">
      <w:pPr>
        <w:pStyle w:val="ListParagraph"/>
      </w:pPr>
      <w:r>
        <w:t>Accordingly, I make the following order:</w:t>
      </w:r>
    </w:p>
    <w:p w14:paraId="7ECD273F" w14:textId="34DE01D4" w:rsidR="004E1F57" w:rsidRDefault="004E1F57" w:rsidP="00735B7B">
      <w:pPr>
        <w:pStyle w:val="ListParagraph"/>
        <w:numPr>
          <w:ilvl w:val="1"/>
          <w:numId w:val="14"/>
        </w:numPr>
      </w:pPr>
      <w:r>
        <w:t>Th</w:t>
      </w:r>
      <w:r w:rsidR="00B04A65">
        <w:t>at the</w:t>
      </w:r>
      <w:r>
        <w:t xml:space="preserve"> late filing of the application for rescission is granted.</w:t>
      </w:r>
    </w:p>
    <w:p w14:paraId="1F82BFAB" w14:textId="40ADC5FA" w:rsidR="00E3009C" w:rsidRDefault="00E3009C" w:rsidP="00735B7B">
      <w:pPr>
        <w:pStyle w:val="ListParagraph"/>
        <w:numPr>
          <w:ilvl w:val="1"/>
          <w:numId w:val="14"/>
        </w:numPr>
      </w:pPr>
      <w:r>
        <w:t>Th</w:t>
      </w:r>
      <w:r w:rsidR="00B04A65">
        <w:t>at the</w:t>
      </w:r>
      <w:r>
        <w:t xml:space="preserve"> application for rescission is granted</w:t>
      </w:r>
      <w:r w:rsidR="00991D48">
        <w:t>, and the default judgment granted on 15 February 2021 is rescinded</w:t>
      </w:r>
      <w:r>
        <w:t>.</w:t>
      </w:r>
    </w:p>
    <w:p w14:paraId="69A39CB1" w14:textId="13E6B1B9" w:rsidR="00E3009C" w:rsidRDefault="00345A0F" w:rsidP="00735B7B">
      <w:pPr>
        <w:pStyle w:val="ListParagraph"/>
        <w:numPr>
          <w:ilvl w:val="1"/>
          <w:numId w:val="14"/>
        </w:numPr>
      </w:pPr>
      <w:r>
        <w:t>That e</w:t>
      </w:r>
      <w:r w:rsidR="00EB3A4A">
        <w:t xml:space="preserve">ach party shall pay its own </w:t>
      </w:r>
      <w:r w:rsidR="00332ED1">
        <w:t>costs</w:t>
      </w:r>
      <w:r w:rsidR="00E3009C">
        <w:t>.</w:t>
      </w:r>
    </w:p>
    <w:p w14:paraId="09255692" w14:textId="77777777" w:rsidR="00735B7B" w:rsidRDefault="00735B7B" w:rsidP="00735B7B"/>
    <w:p w14:paraId="014BCAB6" w14:textId="77777777" w:rsidR="00735B7B" w:rsidRDefault="00735B7B" w:rsidP="00735B7B"/>
    <w:p w14:paraId="53AC6A5A" w14:textId="77777777" w:rsidR="00735B7B" w:rsidRPr="006B314D" w:rsidRDefault="00735B7B" w:rsidP="00735B7B">
      <w:pPr>
        <w:spacing w:after="80" w:line="240" w:lineRule="auto"/>
        <w:jc w:val="right"/>
        <w:rPr>
          <w:rFonts w:cs="Arial"/>
          <w:b/>
        </w:rPr>
      </w:pPr>
      <w:r w:rsidRPr="006B314D">
        <w:rPr>
          <w:rFonts w:cs="Arial"/>
        </w:rPr>
        <w:t>____________________</w:t>
      </w:r>
    </w:p>
    <w:p w14:paraId="1878EE6B" w14:textId="77777777" w:rsidR="00735B7B" w:rsidRPr="006B314D" w:rsidRDefault="00735B7B" w:rsidP="00735B7B">
      <w:pPr>
        <w:spacing w:after="80" w:line="240" w:lineRule="auto"/>
        <w:jc w:val="right"/>
        <w:rPr>
          <w:rFonts w:cs="Arial"/>
        </w:rPr>
      </w:pPr>
      <w:r w:rsidRPr="006B314D">
        <w:rPr>
          <w:rFonts w:cs="Arial"/>
        </w:rPr>
        <w:t>M J BISHOP</w:t>
      </w:r>
    </w:p>
    <w:p w14:paraId="725F3724" w14:textId="77777777" w:rsidR="00735B7B" w:rsidRPr="006B314D" w:rsidRDefault="00735B7B" w:rsidP="00735B7B">
      <w:pPr>
        <w:spacing w:after="80" w:line="240" w:lineRule="auto"/>
        <w:jc w:val="right"/>
        <w:rPr>
          <w:rFonts w:cs="Arial"/>
        </w:rPr>
      </w:pPr>
      <w:r w:rsidRPr="006B314D">
        <w:rPr>
          <w:rFonts w:cs="Arial"/>
        </w:rPr>
        <w:t xml:space="preserve">Acting Judge of the High Court </w:t>
      </w:r>
    </w:p>
    <w:p w14:paraId="49D349BA" w14:textId="77777777" w:rsidR="00735B7B" w:rsidRPr="006B314D" w:rsidRDefault="00735B7B" w:rsidP="00735B7B">
      <w:pPr>
        <w:spacing w:after="80" w:line="240" w:lineRule="auto"/>
        <w:rPr>
          <w:rFonts w:cs="Arial"/>
        </w:rPr>
      </w:pPr>
    </w:p>
    <w:p w14:paraId="49C042E8" w14:textId="07E9911B" w:rsidR="00735B7B" w:rsidRDefault="00735B7B" w:rsidP="00735B7B">
      <w:pPr>
        <w:spacing w:after="80" w:line="240" w:lineRule="auto"/>
        <w:rPr>
          <w:rFonts w:cs="Arial"/>
          <w:b/>
        </w:rPr>
      </w:pPr>
    </w:p>
    <w:p w14:paraId="267064CB" w14:textId="7033F8F6" w:rsidR="00F45CCA" w:rsidRDefault="00F45CCA" w:rsidP="00735B7B">
      <w:pPr>
        <w:spacing w:after="80" w:line="240" w:lineRule="auto"/>
        <w:rPr>
          <w:rFonts w:cs="Arial"/>
          <w:b/>
        </w:rPr>
      </w:pPr>
    </w:p>
    <w:p w14:paraId="14E2E95C" w14:textId="684CE1D8" w:rsidR="00F45CCA" w:rsidRDefault="00F45CCA" w:rsidP="00735B7B">
      <w:pPr>
        <w:spacing w:after="80" w:line="240" w:lineRule="auto"/>
        <w:rPr>
          <w:rFonts w:cs="Arial"/>
          <w:b/>
        </w:rPr>
      </w:pPr>
    </w:p>
    <w:p w14:paraId="6881021E" w14:textId="04357394" w:rsidR="00F45CCA" w:rsidRDefault="00F45CCA" w:rsidP="00735B7B">
      <w:pPr>
        <w:spacing w:after="80" w:line="240" w:lineRule="auto"/>
        <w:rPr>
          <w:rFonts w:cs="Arial"/>
          <w:b/>
        </w:rPr>
      </w:pPr>
    </w:p>
    <w:p w14:paraId="119FB5F5" w14:textId="1B12F796" w:rsidR="00F45CCA" w:rsidRDefault="00F45CCA" w:rsidP="00735B7B">
      <w:pPr>
        <w:spacing w:after="80" w:line="240" w:lineRule="auto"/>
        <w:rPr>
          <w:rFonts w:cs="Arial"/>
          <w:b/>
        </w:rPr>
      </w:pPr>
    </w:p>
    <w:p w14:paraId="41B0FC13" w14:textId="77777777" w:rsidR="00F45CCA" w:rsidRPr="006B314D" w:rsidRDefault="00F45CCA" w:rsidP="00735B7B">
      <w:pPr>
        <w:spacing w:after="80" w:line="240" w:lineRule="auto"/>
        <w:rPr>
          <w:rFonts w:cs="Arial"/>
          <w:b/>
        </w:rPr>
      </w:pPr>
    </w:p>
    <w:p w14:paraId="6FD38C0E" w14:textId="77777777" w:rsidR="00735B7B" w:rsidRPr="006B314D" w:rsidRDefault="00735B7B" w:rsidP="00735B7B">
      <w:pPr>
        <w:spacing w:after="80" w:line="240" w:lineRule="auto"/>
        <w:rPr>
          <w:rFonts w:cs="Arial"/>
          <w:b/>
        </w:rPr>
      </w:pPr>
    </w:p>
    <w:p w14:paraId="21B0E3C2" w14:textId="60771A63" w:rsidR="00735B7B" w:rsidRPr="006B314D" w:rsidRDefault="00735B7B" w:rsidP="00735B7B">
      <w:pPr>
        <w:spacing w:after="80" w:line="240" w:lineRule="auto"/>
        <w:rPr>
          <w:rFonts w:cs="Arial"/>
          <w:b/>
        </w:rPr>
      </w:pPr>
      <w:r w:rsidRPr="006B314D">
        <w:rPr>
          <w:rFonts w:cs="Arial"/>
          <w:b/>
        </w:rPr>
        <w:t xml:space="preserve">Counsel for </w:t>
      </w:r>
      <w:r w:rsidR="00B04A65">
        <w:rPr>
          <w:rFonts w:cs="Arial"/>
          <w:b/>
        </w:rPr>
        <w:t>Applican</w:t>
      </w:r>
      <w:r>
        <w:rPr>
          <w:rFonts w:cs="Arial"/>
          <w:b/>
        </w:rPr>
        <w:t>t</w:t>
      </w:r>
      <w:r w:rsidRPr="006B314D">
        <w:rPr>
          <w:rFonts w:cs="Arial"/>
          <w:b/>
        </w:rPr>
        <w:t>:</w:t>
      </w:r>
      <w:r w:rsidRPr="006B314D">
        <w:rPr>
          <w:rFonts w:cs="Arial"/>
          <w:b/>
        </w:rPr>
        <w:tab/>
      </w:r>
      <w:r>
        <w:rPr>
          <w:rFonts w:cs="Arial"/>
          <w:b/>
        </w:rPr>
        <w:tab/>
      </w:r>
      <w:r>
        <w:rPr>
          <w:rFonts w:cs="Arial"/>
          <w:b/>
        </w:rPr>
        <w:tab/>
      </w:r>
      <w:r w:rsidR="00297B1F">
        <w:rPr>
          <w:rFonts w:cs="Arial"/>
          <w:b/>
        </w:rPr>
        <w:t xml:space="preserve">Mr S </w:t>
      </w:r>
      <w:proofErr w:type="spellStart"/>
      <w:r w:rsidR="00297B1F">
        <w:rPr>
          <w:rFonts w:cs="Arial"/>
          <w:b/>
        </w:rPr>
        <w:t>Laubscher</w:t>
      </w:r>
      <w:proofErr w:type="spellEnd"/>
      <w:r w:rsidR="00297B1F">
        <w:rPr>
          <w:rFonts w:cs="Arial"/>
          <w:b/>
        </w:rPr>
        <w:t xml:space="preserve"> (attorney)</w:t>
      </w:r>
    </w:p>
    <w:p w14:paraId="1A1E47E5" w14:textId="77777777" w:rsidR="00735B7B" w:rsidRPr="006B314D" w:rsidRDefault="00735B7B" w:rsidP="00735B7B">
      <w:pPr>
        <w:spacing w:after="80" w:line="240" w:lineRule="auto"/>
        <w:rPr>
          <w:rFonts w:cs="Arial"/>
          <w:b/>
        </w:rPr>
      </w:pPr>
      <w:r w:rsidRPr="006B314D">
        <w:rPr>
          <w:rFonts w:cs="Arial"/>
          <w:b/>
        </w:rPr>
        <w:tab/>
      </w:r>
      <w:r w:rsidRPr="006B314D">
        <w:rPr>
          <w:rFonts w:cs="Arial"/>
          <w:b/>
        </w:rPr>
        <w:tab/>
      </w:r>
      <w:r w:rsidRPr="006B314D">
        <w:rPr>
          <w:rFonts w:cs="Arial"/>
          <w:b/>
        </w:rPr>
        <w:tab/>
      </w:r>
      <w:r w:rsidRPr="006B314D">
        <w:rPr>
          <w:rFonts w:cs="Arial"/>
          <w:b/>
        </w:rPr>
        <w:tab/>
      </w:r>
      <w:r w:rsidRPr="006B314D">
        <w:rPr>
          <w:rFonts w:cs="Arial"/>
          <w:b/>
        </w:rPr>
        <w:tab/>
      </w:r>
      <w:r w:rsidRPr="006B314D">
        <w:rPr>
          <w:rFonts w:cs="Arial"/>
          <w:b/>
        </w:rPr>
        <w:tab/>
      </w:r>
    </w:p>
    <w:p w14:paraId="16B8DB6F" w14:textId="2264BDDB" w:rsidR="00735B7B" w:rsidRDefault="00735B7B" w:rsidP="00735B7B">
      <w:pPr>
        <w:spacing w:after="80" w:line="240" w:lineRule="auto"/>
        <w:rPr>
          <w:rFonts w:cs="Arial"/>
          <w:i/>
        </w:rPr>
      </w:pPr>
      <w:r w:rsidRPr="006B314D">
        <w:rPr>
          <w:rFonts w:cs="Arial"/>
          <w:i/>
        </w:rPr>
        <w:t xml:space="preserve">Attorneys for </w:t>
      </w:r>
      <w:r w:rsidR="00B04A65">
        <w:rPr>
          <w:rFonts w:cs="Arial"/>
          <w:i/>
        </w:rPr>
        <w:t>Applica</w:t>
      </w:r>
      <w:r>
        <w:rPr>
          <w:rFonts w:cs="Arial"/>
          <w:i/>
        </w:rPr>
        <w:t>nt</w:t>
      </w:r>
      <w:r w:rsidRPr="006B314D">
        <w:rPr>
          <w:rFonts w:cs="Arial"/>
          <w:i/>
        </w:rPr>
        <w:t xml:space="preserve"> </w:t>
      </w:r>
      <w:r w:rsidRPr="006B314D">
        <w:rPr>
          <w:rFonts w:cs="Arial"/>
          <w:i/>
        </w:rPr>
        <w:tab/>
      </w:r>
      <w:r w:rsidRPr="006B314D">
        <w:rPr>
          <w:rFonts w:cs="Arial"/>
          <w:i/>
        </w:rPr>
        <w:tab/>
      </w:r>
      <w:r w:rsidRPr="006B314D">
        <w:rPr>
          <w:rFonts w:cs="Arial"/>
          <w:i/>
        </w:rPr>
        <w:tab/>
      </w:r>
      <w:r w:rsidR="00B04A65">
        <w:rPr>
          <w:rFonts w:cs="Arial"/>
          <w:i/>
        </w:rPr>
        <w:t xml:space="preserve">Stuart </w:t>
      </w:r>
      <w:proofErr w:type="spellStart"/>
      <w:r w:rsidR="00B04A65">
        <w:rPr>
          <w:rFonts w:cs="Arial"/>
          <w:i/>
        </w:rPr>
        <w:t>Laubscher</w:t>
      </w:r>
      <w:proofErr w:type="spellEnd"/>
      <w:r w:rsidR="00B04A65">
        <w:rPr>
          <w:rFonts w:cs="Arial"/>
          <w:i/>
        </w:rPr>
        <w:t xml:space="preserve"> Inc.</w:t>
      </w:r>
    </w:p>
    <w:p w14:paraId="4CC6F07D" w14:textId="77777777" w:rsidR="00735B7B" w:rsidRPr="006B314D" w:rsidRDefault="00735B7B" w:rsidP="00735B7B">
      <w:pPr>
        <w:spacing w:after="80" w:line="240" w:lineRule="auto"/>
        <w:rPr>
          <w:rFonts w:cs="Arial"/>
          <w:i/>
        </w:rPr>
      </w:pPr>
      <w:r w:rsidRPr="006B314D">
        <w:rPr>
          <w:rFonts w:cs="Arial"/>
          <w:i/>
        </w:rPr>
        <w:tab/>
      </w:r>
      <w:r w:rsidRPr="006B314D">
        <w:rPr>
          <w:rFonts w:cs="Arial"/>
          <w:i/>
        </w:rPr>
        <w:tab/>
      </w:r>
      <w:r w:rsidRPr="006B314D">
        <w:rPr>
          <w:rFonts w:cs="Arial"/>
          <w:i/>
        </w:rPr>
        <w:tab/>
      </w:r>
    </w:p>
    <w:p w14:paraId="0704C9F9" w14:textId="59D43CA7" w:rsidR="00735B7B" w:rsidRPr="006B314D" w:rsidRDefault="00735B7B" w:rsidP="00735B7B">
      <w:pPr>
        <w:spacing w:after="80" w:line="240" w:lineRule="auto"/>
        <w:rPr>
          <w:rFonts w:cs="Arial"/>
          <w:b/>
        </w:rPr>
      </w:pPr>
      <w:r w:rsidRPr="006B314D">
        <w:rPr>
          <w:rFonts w:cs="Arial"/>
          <w:b/>
        </w:rPr>
        <w:t xml:space="preserve">Counsel for </w:t>
      </w:r>
      <w:r w:rsidR="00297B1F">
        <w:rPr>
          <w:rFonts w:cs="Arial"/>
          <w:b/>
        </w:rPr>
        <w:t>Respondent</w:t>
      </w:r>
      <w:r w:rsidRPr="006B314D">
        <w:rPr>
          <w:rFonts w:cs="Arial"/>
          <w:b/>
        </w:rPr>
        <w:t>:</w:t>
      </w:r>
      <w:r w:rsidRPr="006B314D">
        <w:rPr>
          <w:rFonts w:cs="Arial"/>
          <w:b/>
        </w:rPr>
        <w:tab/>
      </w:r>
      <w:r w:rsidRPr="006B314D">
        <w:rPr>
          <w:rFonts w:cs="Arial"/>
          <w:b/>
        </w:rPr>
        <w:tab/>
      </w:r>
      <w:r>
        <w:rPr>
          <w:rFonts w:cs="Arial"/>
          <w:b/>
        </w:rPr>
        <w:tab/>
      </w:r>
      <w:proofErr w:type="spellStart"/>
      <w:r w:rsidR="00F45CCA">
        <w:rPr>
          <w:rFonts w:cs="Arial"/>
          <w:b/>
        </w:rPr>
        <w:t>Adv</w:t>
      </w:r>
      <w:proofErr w:type="spellEnd"/>
      <w:r w:rsidR="00F45CCA">
        <w:rPr>
          <w:rFonts w:cs="Arial"/>
          <w:b/>
        </w:rPr>
        <w:t xml:space="preserve"> </w:t>
      </w:r>
      <w:r>
        <w:rPr>
          <w:rFonts w:cs="Arial"/>
          <w:b/>
        </w:rPr>
        <w:t xml:space="preserve">T Du </w:t>
      </w:r>
      <w:proofErr w:type="spellStart"/>
      <w:r>
        <w:rPr>
          <w:rFonts w:cs="Arial"/>
          <w:b/>
        </w:rPr>
        <w:t>Preez</w:t>
      </w:r>
      <w:proofErr w:type="spellEnd"/>
    </w:p>
    <w:p w14:paraId="5DC511C6" w14:textId="77777777" w:rsidR="00735B7B" w:rsidRPr="006B314D" w:rsidRDefault="00735B7B" w:rsidP="00735B7B">
      <w:pPr>
        <w:spacing w:after="80" w:line="240" w:lineRule="auto"/>
        <w:rPr>
          <w:rFonts w:cs="Arial"/>
          <w:b/>
        </w:rPr>
      </w:pPr>
      <w:r w:rsidRPr="006B314D">
        <w:rPr>
          <w:rFonts w:cs="Arial"/>
          <w:b/>
        </w:rPr>
        <w:tab/>
      </w:r>
      <w:r w:rsidRPr="006B314D">
        <w:rPr>
          <w:rFonts w:cs="Arial"/>
          <w:b/>
        </w:rPr>
        <w:tab/>
      </w:r>
      <w:r w:rsidRPr="006B314D">
        <w:rPr>
          <w:rFonts w:cs="Arial"/>
          <w:b/>
        </w:rPr>
        <w:tab/>
      </w:r>
      <w:r w:rsidRPr="006B314D">
        <w:rPr>
          <w:rFonts w:cs="Arial"/>
          <w:b/>
        </w:rPr>
        <w:tab/>
      </w:r>
      <w:r w:rsidRPr="006B314D">
        <w:rPr>
          <w:rFonts w:cs="Arial"/>
          <w:b/>
        </w:rPr>
        <w:tab/>
      </w:r>
      <w:r w:rsidRPr="006B314D">
        <w:rPr>
          <w:rFonts w:cs="Arial"/>
          <w:b/>
        </w:rPr>
        <w:tab/>
      </w:r>
    </w:p>
    <w:p w14:paraId="6C47BB3C" w14:textId="42AD57E1" w:rsidR="00735B7B" w:rsidRPr="006B314D" w:rsidRDefault="00735B7B" w:rsidP="00735B7B">
      <w:pPr>
        <w:spacing w:after="80" w:line="240" w:lineRule="auto"/>
        <w:rPr>
          <w:rFonts w:cs="Arial"/>
          <w:i/>
        </w:rPr>
      </w:pPr>
      <w:r w:rsidRPr="006B314D">
        <w:rPr>
          <w:rFonts w:cs="Arial"/>
          <w:i/>
        </w:rPr>
        <w:t xml:space="preserve">Attorneys for </w:t>
      </w:r>
      <w:r w:rsidR="00297B1F">
        <w:rPr>
          <w:rFonts w:cs="Arial"/>
          <w:i/>
        </w:rPr>
        <w:t>Respondent</w:t>
      </w:r>
      <w:r w:rsidRPr="006B314D">
        <w:rPr>
          <w:rFonts w:cs="Arial"/>
          <w:i/>
        </w:rPr>
        <w:tab/>
      </w:r>
      <w:r w:rsidRPr="006B314D">
        <w:rPr>
          <w:rFonts w:cs="Arial"/>
          <w:i/>
        </w:rPr>
        <w:tab/>
      </w:r>
      <w:r w:rsidRPr="006B314D">
        <w:rPr>
          <w:rFonts w:cs="Arial"/>
          <w:i/>
        </w:rPr>
        <w:tab/>
      </w:r>
      <w:r w:rsidR="00297B1F">
        <w:rPr>
          <w:rFonts w:cs="Arial"/>
          <w:i/>
        </w:rPr>
        <w:t>Lynn &amp; Main Incorporated</w:t>
      </w:r>
    </w:p>
    <w:p w14:paraId="16E6D2A1" w14:textId="77777777" w:rsidR="00735B7B" w:rsidRPr="006B314D" w:rsidRDefault="00735B7B" w:rsidP="00735B7B">
      <w:pPr>
        <w:spacing w:after="80" w:line="240" w:lineRule="auto"/>
        <w:rPr>
          <w:rFonts w:cs="Arial"/>
          <w:i/>
        </w:rPr>
      </w:pPr>
    </w:p>
    <w:p w14:paraId="656C281D" w14:textId="77777777" w:rsidR="00735B7B" w:rsidRDefault="00735B7B" w:rsidP="00735B7B"/>
    <w:sectPr w:rsidR="00735B7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4A51" w14:textId="77777777" w:rsidR="00352393" w:rsidRDefault="00352393" w:rsidP="00BF2152">
      <w:pPr>
        <w:spacing w:after="0" w:line="240" w:lineRule="auto"/>
      </w:pPr>
      <w:r>
        <w:separator/>
      </w:r>
    </w:p>
  </w:endnote>
  <w:endnote w:type="continuationSeparator" w:id="0">
    <w:p w14:paraId="2D4B6F52" w14:textId="77777777" w:rsidR="00352393" w:rsidRDefault="00352393" w:rsidP="00B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D2AB0" w14:textId="77777777" w:rsidR="00352393" w:rsidRDefault="00352393" w:rsidP="00BF2152">
      <w:pPr>
        <w:spacing w:after="0" w:line="240" w:lineRule="auto"/>
      </w:pPr>
      <w:r>
        <w:separator/>
      </w:r>
    </w:p>
  </w:footnote>
  <w:footnote w:type="continuationSeparator" w:id="0">
    <w:p w14:paraId="248B6299" w14:textId="77777777" w:rsidR="00352393" w:rsidRDefault="00352393" w:rsidP="00BF2152">
      <w:pPr>
        <w:spacing w:after="0" w:line="240" w:lineRule="auto"/>
      </w:pPr>
      <w:r>
        <w:continuationSeparator/>
      </w:r>
    </w:p>
  </w:footnote>
  <w:footnote w:id="1">
    <w:p w14:paraId="3E97519E" w14:textId="77777777" w:rsidR="008970A3" w:rsidRDefault="008970A3" w:rsidP="003A6C9B">
      <w:pPr>
        <w:pStyle w:val="FootnoteText"/>
      </w:pPr>
      <w:r>
        <w:rPr>
          <w:rStyle w:val="FootnoteReference"/>
        </w:rPr>
        <w:footnoteRef/>
      </w:r>
      <w:r>
        <w:t xml:space="preserve"> </w:t>
      </w:r>
      <w:proofErr w:type="spellStart"/>
      <w:r>
        <w:rPr>
          <w:rFonts w:cs="Arial"/>
          <w:i/>
          <w:iCs/>
          <w:color w:val="000000"/>
          <w:lang w:val="en-US"/>
        </w:rPr>
        <w:t>Colyn</w:t>
      </w:r>
      <w:proofErr w:type="spellEnd"/>
      <w:r>
        <w:rPr>
          <w:rFonts w:cs="Arial"/>
          <w:i/>
          <w:iCs/>
          <w:color w:val="000000"/>
          <w:lang w:val="en-US"/>
        </w:rPr>
        <w:t xml:space="preserve"> v Tiger Food Industries Ltd t/a Meadow Feed Mills </w:t>
      </w:r>
      <w:r>
        <w:rPr>
          <w:rFonts w:cs="Arial"/>
          <w:color w:val="000000"/>
          <w:lang w:val="en-US"/>
        </w:rPr>
        <w:t>(</w:t>
      </w:r>
      <w:r>
        <w:rPr>
          <w:rFonts w:cs="Arial"/>
          <w:i/>
          <w:iCs/>
          <w:color w:val="000000"/>
          <w:lang w:val="en-US"/>
        </w:rPr>
        <w:t>Cape</w:t>
      </w:r>
      <w:r>
        <w:rPr>
          <w:rFonts w:cs="Arial"/>
          <w:color w:val="000000"/>
          <w:lang w:val="en-US"/>
        </w:rPr>
        <w:t>) 2003 (6) SA 1 (SCA) at 9E–F.</w:t>
      </w:r>
    </w:p>
  </w:footnote>
  <w:footnote w:id="2">
    <w:p w14:paraId="214CF78F" w14:textId="5D84BCEA" w:rsidR="008970A3" w:rsidRPr="00B02429" w:rsidRDefault="008970A3">
      <w:pPr>
        <w:pStyle w:val="FootnoteText"/>
        <w:rPr>
          <w:i/>
          <w:iCs/>
        </w:rPr>
      </w:pPr>
      <w:r>
        <w:rPr>
          <w:rStyle w:val="FootnoteReference"/>
        </w:rPr>
        <w:footnoteRef/>
      </w:r>
      <w:r>
        <w:t xml:space="preserve"> See, for example, </w:t>
      </w:r>
      <w:r w:rsidRPr="00A700F2">
        <w:rPr>
          <w:i/>
          <w:iCs/>
        </w:rPr>
        <w:t xml:space="preserve">EH </w:t>
      </w:r>
      <w:proofErr w:type="spellStart"/>
      <w:r w:rsidRPr="00A700F2">
        <w:rPr>
          <w:i/>
          <w:iCs/>
        </w:rPr>
        <w:t>Hassim</w:t>
      </w:r>
      <w:proofErr w:type="spellEnd"/>
      <w:r w:rsidRPr="00A700F2">
        <w:rPr>
          <w:i/>
          <w:iCs/>
        </w:rPr>
        <w:t xml:space="preserve"> Hardware (Pty) Ltd v Fab Tanks CC</w:t>
      </w:r>
      <w:r w:rsidRPr="00A700F2">
        <w:t xml:space="preserve"> [2017] ZASCA 145</w:t>
      </w:r>
      <w:r>
        <w:t xml:space="preserve"> at para 12.</w:t>
      </w:r>
    </w:p>
  </w:footnote>
  <w:footnote w:id="3">
    <w:p w14:paraId="53345789" w14:textId="516E3F4D" w:rsidR="008970A3" w:rsidRPr="00EC61C7" w:rsidRDefault="008970A3">
      <w:pPr>
        <w:pStyle w:val="FootnoteText"/>
      </w:pPr>
      <w:r>
        <w:rPr>
          <w:rStyle w:val="FootnoteReference"/>
        </w:rPr>
        <w:footnoteRef/>
      </w:r>
      <w:r>
        <w:t xml:space="preserve"> </w:t>
      </w:r>
      <w:r>
        <w:rPr>
          <w:i/>
          <w:iCs/>
        </w:rPr>
        <w:t xml:space="preserve">Wahl v </w:t>
      </w:r>
      <w:proofErr w:type="spellStart"/>
      <w:r>
        <w:rPr>
          <w:i/>
          <w:iCs/>
        </w:rPr>
        <w:t>Prinswill</w:t>
      </w:r>
      <w:proofErr w:type="spellEnd"/>
      <w:r>
        <w:rPr>
          <w:i/>
          <w:iCs/>
        </w:rPr>
        <w:t xml:space="preserve"> </w:t>
      </w:r>
      <w:proofErr w:type="spellStart"/>
      <w:r>
        <w:rPr>
          <w:i/>
          <w:iCs/>
        </w:rPr>
        <w:t>Beleggings</w:t>
      </w:r>
      <w:proofErr w:type="spellEnd"/>
      <w:r>
        <w:rPr>
          <w:i/>
          <w:iCs/>
        </w:rPr>
        <w:t xml:space="preserve"> (</w:t>
      </w:r>
      <w:proofErr w:type="spellStart"/>
      <w:r>
        <w:rPr>
          <w:i/>
          <w:iCs/>
        </w:rPr>
        <w:t>Edms</w:t>
      </w:r>
      <w:proofErr w:type="spellEnd"/>
      <w:r>
        <w:rPr>
          <w:i/>
          <w:iCs/>
        </w:rPr>
        <w:t xml:space="preserve">) </w:t>
      </w:r>
      <w:proofErr w:type="spellStart"/>
      <w:r>
        <w:rPr>
          <w:i/>
          <w:iCs/>
        </w:rPr>
        <w:t>Bpk</w:t>
      </w:r>
      <w:proofErr w:type="spellEnd"/>
      <w:r>
        <w:rPr>
          <w:i/>
          <w:iCs/>
        </w:rPr>
        <w:t xml:space="preserve"> </w:t>
      </w:r>
      <w:r>
        <w:t>1984 (1) SA 457 (T).</w:t>
      </w:r>
    </w:p>
  </w:footnote>
  <w:footnote w:id="4">
    <w:p w14:paraId="12FDA7F3" w14:textId="5FE95817" w:rsidR="008970A3" w:rsidRPr="005D7057" w:rsidRDefault="008970A3">
      <w:pPr>
        <w:pStyle w:val="FootnoteText"/>
      </w:pPr>
      <w:r>
        <w:rPr>
          <w:rStyle w:val="FootnoteReference"/>
        </w:rPr>
        <w:footnoteRef/>
      </w:r>
      <w:r>
        <w:t xml:space="preserve"> </w:t>
      </w:r>
      <w:proofErr w:type="spellStart"/>
      <w:r w:rsidRPr="003A634D">
        <w:rPr>
          <w:i/>
          <w:iCs/>
        </w:rPr>
        <w:t>Rossitter</w:t>
      </w:r>
      <w:proofErr w:type="spellEnd"/>
      <w:r w:rsidRPr="003A634D">
        <w:rPr>
          <w:i/>
          <w:iCs/>
        </w:rPr>
        <w:t xml:space="preserve"> &amp; Others v Nedbank Ltd</w:t>
      </w:r>
      <w:r w:rsidRPr="003A634D">
        <w:t xml:space="preserve"> [2015] ZASCA 196</w:t>
      </w:r>
      <w:r>
        <w:rPr>
          <w:i/>
          <w:iCs/>
        </w:rPr>
        <w:t xml:space="preserve"> </w:t>
      </w:r>
      <w:r>
        <w:t>at para 15.</w:t>
      </w:r>
    </w:p>
  </w:footnote>
  <w:footnote w:id="5">
    <w:p w14:paraId="0A7A930F" w14:textId="177EE94F" w:rsidR="008970A3" w:rsidRPr="004D61DB" w:rsidRDefault="008970A3" w:rsidP="00F36C42">
      <w:pPr>
        <w:pStyle w:val="FootnoteText"/>
      </w:pPr>
      <w:r>
        <w:rPr>
          <w:rStyle w:val="FootnoteReference"/>
        </w:rPr>
        <w:footnoteRef/>
      </w:r>
      <w:r>
        <w:t xml:space="preserve"> </w:t>
      </w:r>
      <w:proofErr w:type="spellStart"/>
      <w:r w:rsidRPr="00DD5584">
        <w:rPr>
          <w:i/>
          <w:iCs/>
        </w:rPr>
        <w:t>Kgomo</w:t>
      </w:r>
      <w:proofErr w:type="spellEnd"/>
      <w:r w:rsidRPr="00DD5584">
        <w:rPr>
          <w:i/>
          <w:iCs/>
        </w:rPr>
        <w:t xml:space="preserve"> </w:t>
      </w:r>
      <w:r>
        <w:rPr>
          <w:i/>
          <w:iCs/>
        </w:rPr>
        <w:t>a</w:t>
      </w:r>
      <w:r w:rsidRPr="00DD5584">
        <w:rPr>
          <w:i/>
          <w:iCs/>
        </w:rPr>
        <w:t xml:space="preserve">nd Another </w:t>
      </w:r>
      <w:proofErr w:type="gramStart"/>
      <w:r>
        <w:rPr>
          <w:i/>
          <w:iCs/>
        </w:rPr>
        <w:t>v</w:t>
      </w:r>
      <w:proofErr w:type="gramEnd"/>
      <w:r w:rsidRPr="00DD5584">
        <w:rPr>
          <w:i/>
          <w:iCs/>
        </w:rPr>
        <w:t xml:space="preserve"> Standard Bank </w:t>
      </w:r>
      <w:r>
        <w:rPr>
          <w:i/>
          <w:iCs/>
        </w:rPr>
        <w:t>o</w:t>
      </w:r>
      <w:r w:rsidRPr="00DD5584">
        <w:rPr>
          <w:i/>
          <w:iCs/>
        </w:rPr>
        <w:t xml:space="preserve">f South Africa </w:t>
      </w:r>
      <w:r>
        <w:rPr>
          <w:i/>
          <w:iCs/>
        </w:rPr>
        <w:t>a</w:t>
      </w:r>
      <w:r w:rsidRPr="00DD5584">
        <w:rPr>
          <w:i/>
          <w:iCs/>
        </w:rPr>
        <w:t>nd Others</w:t>
      </w:r>
      <w:r w:rsidRPr="00DD5584">
        <w:t xml:space="preserve"> 2016 (2) SA 184 (GP)</w:t>
      </w:r>
      <w:r>
        <w:t xml:space="preserve"> at para 11.7.</w:t>
      </w:r>
    </w:p>
  </w:footnote>
  <w:footnote w:id="6">
    <w:p w14:paraId="1B685F3F" w14:textId="58E42C98" w:rsidR="008970A3" w:rsidRPr="006212D2" w:rsidRDefault="008970A3" w:rsidP="00F36C42">
      <w:pPr>
        <w:pStyle w:val="FootnoteText"/>
      </w:pPr>
      <w:r>
        <w:rPr>
          <w:rStyle w:val="FootnoteReference"/>
        </w:rPr>
        <w:footnoteRef/>
      </w:r>
      <w:r>
        <w:t xml:space="preserve"> </w:t>
      </w:r>
      <w:r>
        <w:rPr>
          <w:i/>
          <w:iCs/>
        </w:rPr>
        <w:t>Ferris and Another v FirstRand Bank Ltd</w:t>
      </w:r>
      <w:r>
        <w:t xml:space="preserve"> [2013] ZACC 46; </w:t>
      </w:r>
      <w:r w:rsidRPr="008000CA">
        <w:t>2014 (3) SA 39 (CC)</w:t>
      </w:r>
      <w:r>
        <w:t>; 2014 (3) BCLR 321 (CC)</w:t>
      </w:r>
      <w:r>
        <w:rPr>
          <w:i/>
          <w:iCs/>
        </w:rPr>
        <w:t xml:space="preserve"> </w:t>
      </w:r>
      <w:r>
        <w:t xml:space="preserve">at </w:t>
      </w:r>
      <w:proofErr w:type="spellStart"/>
      <w:r>
        <w:t>fn</w:t>
      </w:r>
      <w:proofErr w:type="spellEnd"/>
      <w:r>
        <w:t xml:space="preserve"> 19. It is also the position of the Supreme Court of Appeal. </w:t>
      </w:r>
      <w:proofErr w:type="spellStart"/>
      <w:r w:rsidRPr="008F763A">
        <w:rPr>
          <w:i/>
          <w:iCs/>
        </w:rPr>
        <w:t>Rossitter</w:t>
      </w:r>
      <w:proofErr w:type="spellEnd"/>
      <w:r w:rsidRPr="008F763A">
        <w:rPr>
          <w:i/>
          <w:iCs/>
        </w:rPr>
        <w:t xml:space="preserve"> </w:t>
      </w:r>
      <w:r>
        <w:t xml:space="preserve">(n </w:t>
      </w:r>
      <w:r>
        <w:fldChar w:fldCharType="begin"/>
      </w:r>
      <w:r>
        <w:instrText xml:space="preserve"> NOTEREF _Ref150755327 \h </w:instrText>
      </w:r>
      <w:r>
        <w:fldChar w:fldCharType="separate"/>
      </w:r>
      <w:r>
        <w:t>4</w:t>
      </w:r>
      <w:r>
        <w:fldChar w:fldCharType="end"/>
      </w:r>
      <w:r>
        <w:t xml:space="preserve"> above) at para 16: “It is not necessary for a party to show good cause under the </w:t>
      </w:r>
      <w:proofErr w:type="spellStart"/>
      <w:r>
        <w:t>subrule</w:t>
      </w:r>
      <w:proofErr w:type="spellEnd"/>
      <w:r>
        <w:t>.”</w:t>
      </w:r>
    </w:p>
  </w:footnote>
  <w:footnote w:id="7">
    <w:p w14:paraId="70DDE6BA" w14:textId="57FB926B" w:rsidR="008970A3" w:rsidRPr="004E2BF0" w:rsidRDefault="008970A3" w:rsidP="004E2BF0">
      <w:pPr>
        <w:pStyle w:val="FootnoteText"/>
      </w:pPr>
      <w:r>
        <w:rPr>
          <w:rStyle w:val="FootnoteReference"/>
        </w:rPr>
        <w:footnoteRef/>
      </w:r>
      <w:r>
        <w:t xml:space="preserve"> </w:t>
      </w:r>
      <w:proofErr w:type="spellStart"/>
      <w:r w:rsidRPr="004E2BF0">
        <w:rPr>
          <w:i/>
          <w:iCs/>
        </w:rPr>
        <w:t>Tshivhase</w:t>
      </w:r>
      <w:proofErr w:type="spellEnd"/>
      <w:r w:rsidRPr="004E2BF0">
        <w:rPr>
          <w:i/>
          <w:iCs/>
        </w:rPr>
        <w:t xml:space="preserve"> Royal Council </w:t>
      </w:r>
      <w:r>
        <w:rPr>
          <w:i/>
          <w:iCs/>
        </w:rPr>
        <w:t>a</w:t>
      </w:r>
      <w:r w:rsidRPr="004E2BF0">
        <w:rPr>
          <w:i/>
          <w:iCs/>
        </w:rPr>
        <w:t xml:space="preserve">nd Another </w:t>
      </w:r>
      <w:r>
        <w:rPr>
          <w:i/>
          <w:iCs/>
        </w:rPr>
        <w:t>v</w:t>
      </w:r>
      <w:r w:rsidRPr="004E2BF0">
        <w:rPr>
          <w:i/>
          <w:iCs/>
        </w:rPr>
        <w:t xml:space="preserve"> </w:t>
      </w:r>
      <w:proofErr w:type="spellStart"/>
      <w:r w:rsidRPr="004E2BF0">
        <w:rPr>
          <w:i/>
          <w:iCs/>
        </w:rPr>
        <w:t>Tshivhase</w:t>
      </w:r>
      <w:proofErr w:type="spellEnd"/>
      <w:r w:rsidRPr="004E2BF0">
        <w:rPr>
          <w:i/>
          <w:iCs/>
        </w:rPr>
        <w:t xml:space="preserve"> </w:t>
      </w:r>
      <w:proofErr w:type="gramStart"/>
      <w:r w:rsidRPr="004E2BF0">
        <w:rPr>
          <w:i/>
          <w:iCs/>
        </w:rPr>
        <w:t>And</w:t>
      </w:r>
      <w:proofErr w:type="gramEnd"/>
      <w:r w:rsidRPr="004E2BF0">
        <w:rPr>
          <w:i/>
          <w:iCs/>
        </w:rPr>
        <w:t xml:space="preserve"> Another; </w:t>
      </w:r>
      <w:proofErr w:type="spellStart"/>
      <w:r w:rsidRPr="004E2BF0">
        <w:rPr>
          <w:i/>
          <w:iCs/>
        </w:rPr>
        <w:t>Tshivhase</w:t>
      </w:r>
      <w:proofErr w:type="spellEnd"/>
      <w:r w:rsidRPr="004E2BF0">
        <w:rPr>
          <w:i/>
          <w:iCs/>
        </w:rPr>
        <w:t xml:space="preserve"> </w:t>
      </w:r>
      <w:r>
        <w:rPr>
          <w:i/>
          <w:iCs/>
        </w:rPr>
        <w:t>a</w:t>
      </w:r>
      <w:r w:rsidRPr="004E2BF0">
        <w:rPr>
          <w:i/>
          <w:iCs/>
        </w:rPr>
        <w:t xml:space="preserve">nd Another V </w:t>
      </w:r>
      <w:proofErr w:type="spellStart"/>
      <w:r w:rsidRPr="004E2BF0">
        <w:rPr>
          <w:i/>
          <w:iCs/>
        </w:rPr>
        <w:t>Tshivhase</w:t>
      </w:r>
      <w:proofErr w:type="spellEnd"/>
      <w:r w:rsidRPr="004E2BF0">
        <w:rPr>
          <w:i/>
          <w:iCs/>
        </w:rPr>
        <w:t xml:space="preserve"> </w:t>
      </w:r>
      <w:r>
        <w:rPr>
          <w:i/>
          <w:iCs/>
        </w:rPr>
        <w:t>a</w:t>
      </w:r>
      <w:r w:rsidRPr="004E2BF0">
        <w:rPr>
          <w:i/>
          <w:iCs/>
        </w:rPr>
        <w:t>nd Another</w:t>
      </w:r>
      <w:r>
        <w:t xml:space="preserve"> 1992 (4) SA 852 (A) at 862J-863A. See also </w:t>
      </w:r>
      <w:proofErr w:type="spellStart"/>
      <w:r>
        <w:rPr>
          <w:i/>
          <w:iCs/>
        </w:rPr>
        <w:t>Colyn</w:t>
      </w:r>
      <w:proofErr w:type="spellEnd"/>
      <w:r>
        <w:rPr>
          <w:i/>
          <w:iCs/>
        </w:rPr>
        <w:t xml:space="preserve"> </w:t>
      </w:r>
      <w:r>
        <w:t xml:space="preserve">(n </w:t>
      </w:r>
      <w:r>
        <w:fldChar w:fldCharType="begin"/>
      </w:r>
      <w:r>
        <w:instrText xml:space="preserve"> NOTEREF _Ref150755342 \h </w:instrText>
      </w:r>
      <w:r>
        <w:fldChar w:fldCharType="separate"/>
      </w:r>
      <w:r>
        <w:t>1</w:t>
      </w:r>
      <w:r>
        <w:fldChar w:fldCharType="end"/>
      </w:r>
      <w:r>
        <w:t xml:space="preserve"> above)</w:t>
      </w:r>
      <w:r>
        <w:rPr>
          <w:i/>
          <w:iCs/>
        </w:rPr>
        <w:t xml:space="preserve"> </w:t>
      </w:r>
      <w:r>
        <w:t>at para 5 (“The Rule gives the Courts a discretion to order [rescission], which must be exercised judicially”).</w:t>
      </w:r>
    </w:p>
  </w:footnote>
  <w:footnote w:id="8">
    <w:p w14:paraId="2A01A427" w14:textId="7B903324" w:rsidR="008970A3" w:rsidRDefault="008970A3">
      <w:pPr>
        <w:pStyle w:val="FootnoteText"/>
      </w:pPr>
      <w:r>
        <w:rPr>
          <w:rStyle w:val="FootnoteReference"/>
        </w:rPr>
        <w:footnoteRef/>
      </w:r>
      <w:r>
        <w:t xml:space="preserve"> </w:t>
      </w:r>
      <w:proofErr w:type="spellStart"/>
      <w:r w:rsidRPr="003A634D">
        <w:rPr>
          <w:i/>
          <w:iCs/>
        </w:rPr>
        <w:t>Rossitter</w:t>
      </w:r>
      <w:proofErr w:type="spellEnd"/>
      <w:r w:rsidRPr="003A634D">
        <w:rPr>
          <w:i/>
          <w:iCs/>
        </w:rPr>
        <w:t xml:space="preserve"> </w:t>
      </w:r>
      <w:r>
        <w:t xml:space="preserve">(n </w:t>
      </w:r>
      <w:r>
        <w:fldChar w:fldCharType="begin"/>
      </w:r>
      <w:r>
        <w:instrText xml:space="preserve"> NOTEREF _Ref150755327 \h </w:instrText>
      </w:r>
      <w:r>
        <w:fldChar w:fldCharType="separate"/>
      </w:r>
      <w:r>
        <w:t>4</w:t>
      </w:r>
      <w:r>
        <w:fldChar w:fldCharType="end"/>
      </w:r>
      <w:r>
        <w:t xml:space="preserve"> above) at para 16. The Constitutional Court’s judgment </w:t>
      </w:r>
      <w:r w:rsidRPr="00F6572E">
        <w:t>in</w:t>
      </w:r>
      <w:r w:rsidRPr="00F6572E">
        <w:rPr>
          <w:i/>
          <w:iCs/>
        </w:rPr>
        <w:t xml:space="preserve"> Occupiers of Erven 87 and 88 Berea v De Wet N.O. and Another</w:t>
      </w:r>
      <w:r w:rsidRPr="00F6572E">
        <w:t xml:space="preserve"> [2017] ZACC 18; 2017 (8) BCLR 1015 (CC); 2017 (5) SA 346 (CC)</w:t>
      </w:r>
      <w:r>
        <w:t xml:space="preserve"> at paras 68-71 also seems to treat rescission under the common law as discretionary, but not rescission under rule 42(1)(a).</w:t>
      </w:r>
    </w:p>
  </w:footnote>
  <w:footnote w:id="9">
    <w:p w14:paraId="180EBDA7" w14:textId="21A9B4F3" w:rsidR="008970A3" w:rsidRPr="00330983" w:rsidRDefault="008970A3">
      <w:pPr>
        <w:pStyle w:val="FootnoteText"/>
      </w:pPr>
      <w:r>
        <w:rPr>
          <w:rStyle w:val="FootnoteReference"/>
        </w:rPr>
        <w:footnoteRef/>
      </w:r>
      <w:r>
        <w:t xml:space="preserve"> A </w:t>
      </w:r>
      <w:proofErr w:type="spellStart"/>
      <w:r>
        <w:t>Cilliers</w:t>
      </w:r>
      <w:proofErr w:type="spellEnd"/>
      <w:r>
        <w:t xml:space="preserve">, C Loots &amp; HC </w:t>
      </w:r>
      <w:proofErr w:type="spellStart"/>
      <w:r>
        <w:t>Nel</w:t>
      </w:r>
      <w:proofErr w:type="spellEnd"/>
      <w:r>
        <w:t xml:space="preserve"> </w:t>
      </w:r>
      <w:proofErr w:type="spellStart"/>
      <w:r>
        <w:rPr>
          <w:i/>
          <w:iCs/>
        </w:rPr>
        <w:t>Herbstein</w:t>
      </w:r>
      <w:proofErr w:type="spellEnd"/>
      <w:r>
        <w:rPr>
          <w:i/>
          <w:iCs/>
        </w:rPr>
        <w:t xml:space="preserve"> &amp; Van </w:t>
      </w:r>
      <w:proofErr w:type="spellStart"/>
      <w:r>
        <w:rPr>
          <w:i/>
          <w:iCs/>
        </w:rPr>
        <w:t>Winsen</w:t>
      </w:r>
      <w:proofErr w:type="spellEnd"/>
      <w:r>
        <w:rPr>
          <w:i/>
          <w:iCs/>
        </w:rPr>
        <w:t xml:space="preserve">: The Civil Practice of the High Courts and the Supreme Court of Appeal of South Africa </w:t>
      </w:r>
      <w:r w:rsidRPr="00B0635E">
        <w:t>Vol 1</w:t>
      </w:r>
      <w:r>
        <w:rPr>
          <w:i/>
          <w:iCs/>
        </w:rPr>
        <w:t xml:space="preserve"> </w:t>
      </w:r>
      <w:r>
        <w:t xml:space="preserve">(5 </w:t>
      </w:r>
      <w:proofErr w:type="spellStart"/>
      <w:r>
        <w:t>ed</w:t>
      </w:r>
      <w:proofErr w:type="spellEnd"/>
      <w:r>
        <w:t xml:space="preserve">, 2009) at 933 and the authorities cited in </w:t>
      </w:r>
      <w:proofErr w:type="spellStart"/>
      <w:r>
        <w:t>fns</w:t>
      </w:r>
      <w:proofErr w:type="spellEnd"/>
      <w:r>
        <w:t xml:space="preserve"> 137</w:t>
      </w:r>
      <w:r>
        <w:noBreakHyphen/>
        <w:t>9.</w:t>
      </w:r>
    </w:p>
  </w:footnote>
  <w:footnote w:id="10">
    <w:p w14:paraId="7DE5C869" w14:textId="7FA3D159" w:rsidR="008970A3" w:rsidRDefault="008970A3" w:rsidP="000B44E0">
      <w:pPr>
        <w:pStyle w:val="FootnoteText"/>
      </w:pPr>
      <w:r>
        <w:rPr>
          <w:rStyle w:val="FootnoteReference"/>
        </w:rPr>
        <w:footnoteRef/>
      </w:r>
      <w:r>
        <w:t xml:space="preserve"> </w:t>
      </w:r>
      <w:proofErr w:type="spellStart"/>
      <w:r>
        <w:rPr>
          <w:i/>
          <w:iCs/>
        </w:rPr>
        <w:t>Amcoal</w:t>
      </w:r>
      <w:proofErr w:type="spellEnd"/>
      <w:r>
        <w:rPr>
          <w:i/>
          <w:iCs/>
        </w:rPr>
        <w:t xml:space="preserve"> Collieries Ltd v </w:t>
      </w:r>
      <w:proofErr w:type="spellStart"/>
      <w:r>
        <w:rPr>
          <w:i/>
          <w:iCs/>
        </w:rPr>
        <w:t>Truter</w:t>
      </w:r>
      <w:proofErr w:type="spellEnd"/>
      <w:r>
        <w:rPr>
          <w:i/>
          <w:iCs/>
        </w:rPr>
        <w:t xml:space="preserve"> </w:t>
      </w:r>
      <w:r>
        <w:t>1990 (1) SA 1 (A) at 6A-D.</w:t>
      </w:r>
    </w:p>
  </w:footnote>
  <w:footnote w:id="11">
    <w:p w14:paraId="60188EB5" w14:textId="1EB99952" w:rsidR="008970A3" w:rsidRDefault="008970A3">
      <w:pPr>
        <w:pStyle w:val="FootnoteText"/>
      </w:pPr>
      <w:r>
        <w:rPr>
          <w:rStyle w:val="FootnoteReference"/>
        </w:rPr>
        <w:footnoteRef/>
      </w:r>
      <w:r>
        <w:t xml:space="preserve"> </w:t>
      </w:r>
      <w:proofErr w:type="spellStart"/>
      <w:r w:rsidRPr="00931C31">
        <w:rPr>
          <w:i/>
          <w:iCs/>
        </w:rPr>
        <w:t>Amardien</w:t>
      </w:r>
      <w:proofErr w:type="spellEnd"/>
      <w:r w:rsidRPr="00931C31">
        <w:rPr>
          <w:i/>
          <w:iCs/>
        </w:rPr>
        <w:t xml:space="preserve"> and Others </w:t>
      </w:r>
      <w:proofErr w:type="gramStart"/>
      <w:r w:rsidRPr="00931C31">
        <w:rPr>
          <w:i/>
          <w:iCs/>
        </w:rPr>
        <w:t>v</w:t>
      </w:r>
      <w:proofErr w:type="gramEnd"/>
      <w:r w:rsidRPr="00931C31">
        <w:rPr>
          <w:i/>
          <w:iCs/>
        </w:rPr>
        <w:t xml:space="preserve"> Registrar of Deeds and Others</w:t>
      </w:r>
      <w:r w:rsidRPr="00931C31">
        <w:t xml:space="preserve"> [2018] ZACC 47; 2019 (2) BCLR 193 (CC); 2019 (3) SA 341 (CC)</w:t>
      </w:r>
      <w:r>
        <w:t xml:space="preserve"> at para 56.</w:t>
      </w:r>
    </w:p>
  </w:footnote>
  <w:footnote w:id="12">
    <w:p w14:paraId="298B519F" w14:textId="65E604AF" w:rsidR="008970A3" w:rsidRDefault="008970A3">
      <w:pPr>
        <w:pStyle w:val="FootnoteText"/>
      </w:pPr>
      <w:r>
        <w:rPr>
          <w:rStyle w:val="FootnoteReference"/>
        </w:rPr>
        <w:footnoteRef/>
      </w:r>
      <w:r>
        <w:t xml:space="preserve"> </w:t>
      </w:r>
      <w:proofErr w:type="spellStart"/>
      <w:r w:rsidRPr="00042DC3">
        <w:rPr>
          <w:i/>
          <w:iCs/>
        </w:rPr>
        <w:t>Sebola</w:t>
      </w:r>
      <w:proofErr w:type="spellEnd"/>
      <w:r w:rsidRPr="00042DC3">
        <w:rPr>
          <w:i/>
          <w:iCs/>
        </w:rPr>
        <w:t xml:space="preserve"> and Another </w:t>
      </w:r>
      <w:proofErr w:type="gramStart"/>
      <w:r w:rsidRPr="00042DC3">
        <w:rPr>
          <w:i/>
          <w:iCs/>
        </w:rPr>
        <w:t>v</w:t>
      </w:r>
      <w:proofErr w:type="gramEnd"/>
      <w:r w:rsidRPr="00042DC3">
        <w:rPr>
          <w:i/>
          <w:iCs/>
        </w:rPr>
        <w:t xml:space="preserve"> Standard Bank of South Africa Ltd and Another</w:t>
      </w:r>
      <w:r w:rsidRPr="00042DC3">
        <w:t xml:space="preserve"> [2012] ZACC 11; 2012 (5) SA 142 (CC); 2012 (8) BCLR 785 (CC)</w:t>
      </w:r>
      <w:r>
        <w:t>.</w:t>
      </w:r>
    </w:p>
  </w:footnote>
  <w:footnote w:id="13">
    <w:p w14:paraId="33C8615B" w14:textId="4137941E" w:rsidR="008970A3" w:rsidRDefault="008970A3">
      <w:pPr>
        <w:pStyle w:val="FootnoteText"/>
      </w:pPr>
      <w:r>
        <w:rPr>
          <w:rStyle w:val="FootnoteReference"/>
        </w:rPr>
        <w:footnoteRef/>
      </w:r>
      <w:r>
        <w:t xml:space="preserve"> </w:t>
      </w:r>
      <w:proofErr w:type="spellStart"/>
      <w:r w:rsidRPr="00042DC3">
        <w:rPr>
          <w:i/>
          <w:iCs/>
        </w:rPr>
        <w:t>Kubyana</w:t>
      </w:r>
      <w:proofErr w:type="spellEnd"/>
      <w:r w:rsidRPr="00042DC3">
        <w:rPr>
          <w:i/>
          <w:iCs/>
        </w:rPr>
        <w:t xml:space="preserve"> v Standard Bank of South Africa Ltd </w:t>
      </w:r>
      <w:r w:rsidRPr="00042DC3">
        <w:t>[2014] ZACC 1; 2014 (3) SA 56 (CC); 2014 (4) BCLR 400 (CC)</w:t>
      </w:r>
      <w:r>
        <w:t>.</w:t>
      </w:r>
    </w:p>
  </w:footnote>
  <w:footnote w:id="14">
    <w:p w14:paraId="2132202F" w14:textId="49217FA0" w:rsidR="008970A3" w:rsidRPr="006763D6" w:rsidRDefault="008970A3">
      <w:pPr>
        <w:pStyle w:val="FootnoteText"/>
      </w:pPr>
      <w:r>
        <w:rPr>
          <w:rStyle w:val="FootnoteReference"/>
        </w:rPr>
        <w:footnoteRef/>
      </w:r>
      <w:r>
        <w:t xml:space="preserve"> Ibid at para 54.</w:t>
      </w:r>
    </w:p>
  </w:footnote>
  <w:footnote w:id="15">
    <w:p w14:paraId="55DD10A0" w14:textId="7A7274BE" w:rsidR="008970A3" w:rsidRDefault="008970A3">
      <w:pPr>
        <w:pStyle w:val="FootnoteText"/>
      </w:pPr>
      <w:r>
        <w:rPr>
          <w:rStyle w:val="FootnoteReference"/>
        </w:rPr>
        <w:footnoteRef/>
      </w:r>
      <w:r>
        <w:t xml:space="preserve"> National Credit Act Amendment</w:t>
      </w:r>
      <w:r w:rsidRPr="00042DC3">
        <w:t xml:space="preserve"> Act 19 of 2014</w:t>
      </w:r>
      <w:r>
        <w:t xml:space="preserve">. For a discussion of the development of the requirements for delivery, see S </w:t>
      </w:r>
      <w:proofErr w:type="spellStart"/>
      <w:r>
        <w:t>Govender</w:t>
      </w:r>
      <w:proofErr w:type="spellEnd"/>
      <w:r>
        <w:t xml:space="preserve"> &amp; M Kelly-</w:t>
      </w:r>
      <w:proofErr w:type="spellStart"/>
      <w:r>
        <w:t>Louw</w:t>
      </w:r>
      <w:proofErr w:type="spellEnd"/>
      <w:r>
        <w:t xml:space="preserve"> ‘</w:t>
      </w:r>
      <w:r w:rsidRPr="00740DB6">
        <w:t>Delivery of the Compulsory Section 129(1) Notice as required by the National Credit Act of 2005</w:t>
      </w:r>
      <w:r>
        <w:t>’</w:t>
      </w:r>
      <w:r w:rsidRPr="00740DB6">
        <w:t xml:space="preserve"> [2018]</w:t>
      </w:r>
      <w:r>
        <w:t xml:space="preserve"> 21</w:t>
      </w:r>
      <w:r w:rsidRPr="00740DB6">
        <w:t xml:space="preserve"> </w:t>
      </w:r>
      <w:r w:rsidRPr="00740DB6">
        <w:rPr>
          <w:i/>
          <w:iCs/>
        </w:rPr>
        <w:t>Potchefstroom Electronic Law Journal</w:t>
      </w:r>
      <w:r>
        <w:t xml:space="preserve"> </w:t>
      </w:r>
      <w:r w:rsidRPr="00740DB6">
        <w:t>21</w:t>
      </w:r>
      <w:r>
        <w:t>.</w:t>
      </w:r>
    </w:p>
  </w:footnote>
  <w:footnote w:id="16">
    <w:p w14:paraId="781ED151" w14:textId="2F7B9C52" w:rsidR="008970A3" w:rsidRPr="007470EA" w:rsidRDefault="008970A3">
      <w:pPr>
        <w:pStyle w:val="FootnoteText"/>
      </w:pPr>
      <w:r>
        <w:rPr>
          <w:rStyle w:val="FootnoteReference"/>
        </w:rPr>
        <w:footnoteRef/>
      </w:r>
      <w:r>
        <w:t xml:space="preserve"> </w:t>
      </w:r>
      <w:proofErr w:type="spellStart"/>
      <w:r>
        <w:rPr>
          <w:i/>
          <w:iCs/>
        </w:rPr>
        <w:t>Sebola</w:t>
      </w:r>
      <w:proofErr w:type="spellEnd"/>
      <w:r>
        <w:rPr>
          <w:i/>
          <w:iCs/>
        </w:rPr>
        <w:t xml:space="preserve"> </w:t>
      </w:r>
      <w:r>
        <w:t xml:space="preserve">(n </w:t>
      </w:r>
      <w:r>
        <w:fldChar w:fldCharType="begin"/>
      </w:r>
      <w:r>
        <w:instrText xml:space="preserve"> NOTEREF _Ref150755409 \h </w:instrText>
      </w:r>
      <w:r>
        <w:fldChar w:fldCharType="separate"/>
      </w:r>
      <w:r>
        <w:t>12</w:t>
      </w:r>
      <w:r>
        <w:fldChar w:fldCharType="end"/>
      </w:r>
      <w:r>
        <w:t xml:space="preserve"> above) at para 81.</w:t>
      </w:r>
    </w:p>
  </w:footnote>
  <w:footnote w:id="17">
    <w:p w14:paraId="50E11379" w14:textId="77777777" w:rsidR="008970A3" w:rsidRDefault="008970A3" w:rsidP="00967BBF">
      <w:pPr>
        <w:pStyle w:val="FootnoteText"/>
      </w:pPr>
      <w:r>
        <w:rPr>
          <w:rStyle w:val="FootnoteReference"/>
        </w:rPr>
        <w:footnoteRef/>
      </w:r>
      <w:r>
        <w:t xml:space="preserve"> </w:t>
      </w:r>
      <w:proofErr w:type="spellStart"/>
      <w:r w:rsidRPr="00740DB6">
        <w:rPr>
          <w:i/>
          <w:iCs/>
        </w:rPr>
        <w:t>Rossouw</w:t>
      </w:r>
      <w:proofErr w:type="spellEnd"/>
      <w:r w:rsidRPr="00740DB6">
        <w:rPr>
          <w:i/>
          <w:iCs/>
        </w:rPr>
        <w:t xml:space="preserve"> &amp; another v First Rand Bank Ltd</w:t>
      </w:r>
      <w:r w:rsidRPr="00740DB6">
        <w:t xml:space="preserve"> [2010] ZASCA 130; 2010 (6) SA 439 (SCA) para 38</w:t>
      </w:r>
      <w:r>
        <w:t xml:space="preserve"> (original footnote)</w:t>
      </w:r>
      <w:r w:rsidRPr="00740DB6">
        <w:t>.</w:t>
      </w:r>
    </w:p>
  </w:footnote>
  <w:footnote w:id="18">
    <w:p w14:paraId="65B4EF88" w14:textId="77777777" w:rsidR="008970A3" w:rsidRDefault="008970A3" w:rsidP="00967BBF">
      <w:pPr>
        <w:pStyle w:val="FootnoteText"/>
      </w:pPr>
      <w:r>
        <w:rPr>
          <w:rStyle w:val="FootnoteReference"/>
        </w:rPr>
        <w:footnoteRef/>
      </w:r>
      <w:r>
        <w:t xml:space="preserve"> </w:t>
      </w:r>
      <w:r w:rsidRPr="00740DB6">
        <w:rPr>
          <w:i/>
          <w:iCs/>
        </w:rPr>
        <w:t xml:space="preserve">Blue Chip 2 (Pty) Ltd t/a Blue Chip 49 v </w:t>
      </w:r>
      <w:proofErr w:type="spellStart"/>
      <w:r w:rsidRPr="00740DB6">
        <w:rPr>
          <w:i/>
          <w:iCs/>
        </w:rPr>
        <w:t>Ryneveldt</w:t>
      </w:r>
      <w:proofErr w:type="spellEnd"/>
      <w:r w:rsidRPr="00740DB6">
        <w:rPr>
          <w:i/>
          <w:iCs/>
        </w:rPr>
        <w:t xml:space="preserve"> and Others</w:t>
      </w:r>
      <w:r w:rsidRPr="00740DB6">
        <w:t xml:space="preserve"> [2016] ZASCA 98; 2016 (6) SA 102 (SCA)</w:t>
      </w:r>
      <w:r>
        <w:t xml:space="preserve"> at para 20.</w:t>
      </w:r>
    </w:p>
  </w:footnote>
  <w:footnote w:id="19">
    <w:p w14:paraId="4DB7C3DE" w14:textId="1A08E3D0" w:rsidR="008970A3" w:rsidRDefault="008970A3">
      <w:pPr>
        <w:pStyle w:val="FootnoteText"/>
      </w:pPr>
      <w:r>
        <w:rPr>
          <w:rStyle w:val="FootnoteReference"/>
        </w:rPr>
        <w:footnoteRef/>
      </w:r>
      <w:r>
        <w:t xml:space="preserve"> </w:t>
      </w:r>
      <w:r w:rsidRPr="00DD5584">
        <w:t xml:space="preserve"> </w:t>
      </w:r>
      <w:proofErr w:type="spellStart"/>
      <w:r w:rsidRPr="00DD5584">
        <w:rPr>
          <w:i/>
          <w:iCs/>
        </w:rPr>
        <w:t>Kgomo</w:t>
      </w:r>
      <w:proofErr w:type="spellEnd"/>
      <w:r>
        <w:rPr>
          <w:i/>
          <w:iCs/>
        </w:rPr>
        <w:t xml:space="preserve"> </w:t>
      </w:r>
      <w:r>
        <w:t xml:space="preserve">(n </w:t>
      </w:r>
      <w:r>
        <w:fldChar w:fldCharType="begin"/>
      </w:r>
      <w:r>
        <w:instrText xml:space="preserve"> NOTEREF _Ref150755425 \h </w:instrText>
      </w:r>
      <w:r>
        <w:fldChar w:fldCharType="separate"/>
      </w:r>
      <w:r>
        <w:t>5</w:t>
      </w:r>
      <w:r>
        <w:fldChar w:fldCharType="end"/>
      </w:r>
      <w:r>
        <w:t xml:space="preserve"> above).</w:t>
      </w:r>
    </w:p>
  </w:footnote>
  <w:footnote w:id="20">
    <w:p w14:paraId="10735483" w14:textId="1960783B" w:rsidR="008970A3" w:rsidRPr="00680121" w:rsidRDefault="008970A3">
      <w:pPr>
        <w:pStyle w:val="FootnoteText"/>
      </w:pPr>
      <w:r>
        <w:rPr>
          <w:rStyle w:val="FootnoteReference"/>
        </w:rPr>
        <w:footnoteRef/>
      </w:r>
      <w:r>
        <w:t xml:space="preserve"> </w:t>
      </w:r>
      <w:r>
        <w:rPr>
          <w:i/>
          <w:iCs/>
        </w:rPr>
        <w:t xml:space="preserve">Ferris </w:t>
      </w:r>
      <w:r>
        <w:t xml:space="preserve">(n </w:t>
      </w:r>
      <w:r w:rsidRPr="00331A76">
        <w:fldChar w:fldCharType="begin"/>
      </w:r>
      <w:r w:rsidRPr="00331A76">
        <w:instrText xml:space="preserve"> NOTEREF _Ref150755439 \h </w:instrText>
      </w:r>
      <w:r>
        <w:instrText xml:space="preserve"> \* MERGEFORMAT </w:instrText>
      </w:r>
      <w:r w:rsidRPr="00331A76">
        <w:fldChar w:fldCharType="separate"/>
      </w:r>
      <w:r>
        <w:t>6</w:t>
      </w:r>
      <w:r w:rsidRPr="00331A76">
        <w:fldChar w:fldCharType="end"/>
      </w:r>
      <w:r>
        <w:t xml:space="preserve"> above) at </w:t>
      </w:r>
      <w:proofErr w:type="spellStart"/>
      <w:r>
        <w:t>fn</w:t>
      </w:r>
      <w:proofErr w:type="spellEnd"/>
      <w:r>
        <w:t xml:space="preserve"> 19. The relevant dictum reads: “</w:t>
      </w:r>
      <w:r w:rsidRPr="00E516B7">
        <w:t xml:space="preserve">'However, even if further notice were required, its absence is a purely dilatory </w:t>
      </w:r>
      <w:proofErr w:type="gramStart"/>
      <w:r w:rsidRPr="00E516B7">
        <w:t>defence  —</w:t>
      </w:r>
      <w:proofErr w:type="gramEnd"/>
      <w:r w:rsidRPr="00E516B7">
        <w:t xml:space="preserve"> a defence that suspends proceedings rather than precludes a cause of action — and is not an irregularity that establishes that a judgment has been erroneously granted, justifying rescission under rule 42(1)(a).</w:t>
      </w:r>
      <w:r>
        <w:t xml:space="preserve">” (footnote omitted). Dodson J distinguished </w:t>
      </w:r>
      <w:r>
        <w:rPr>
          <w:i/>
          <w:iCs/>
        </w:rPr>
        <w:t xml:space="preserve">Ferris </w:t>
      </w:r>
      <w:r>
        <w:t xml:space="preserve">on the basis that it concerned a notice under s 86(10), not s 129(1). He pointed out that the statement was, in any event, </w:t>
      </w:r>
      <w:r>
        <w:rPr>
          <w:i/>
          <w:iCs/>
        </w:rPr>
        <w:t>obiter dictum</w:t>
      </w:r>
      <w:r>
        <w:t xml:space="preserve"> and seemed to conflict with the finding in </w:t>
      </w:r>
      <w:proofErr w:type="spellStart"/>
      <w:r>
        <w:rPr>
          <w:i/>
          <w:iCs/>
        </w:rPr>
        <w:t>Sebola</w:t>
      </w:r>
      <w:proofErr w:type="spellEnd"/>
      <w:r>
        <w:t xml:space="preserve">. </w:t>
      </w:r>
      <w:proofErr w:type="spellStart"/>
      <w:r>
        <w:rPr>
          <w:i/>
          <w:iCs/>
        </w:rPr>
        <w:t>Kgomo</w:t>
      </w:r>
      <w:proofErr w:type="spellEnd"/>
      <w:r>
        <w:rPr>
          <w:i/>
          <w:iCs/>
        </w:rPr>
        <w:t xml:space="preserve"> </w:t>
      </w:r>
      <w:r>
        <w:t xml:space="preserve">(n </w:t>
      </w:r>
      <w:r>
        <w:fldChar w:fldCharType="begin"/>
      </w:r>
      <w:r>
        <w:instrText xml:space="preserve"> NOTEREF _Ref150755425 \h </w:instrText>
      </w:r>
      <w:r>
        <w:fldChar w:fldCharType="separate"/>
      </w:r>
      <w:r>
        <w:t>5</w:t>
      </w:r>
      <w:r>
        <w:fldChar w:fldCharType="end"/>
      </w:r>
      <w:r>
        <w:t xml:space="preserve"> above) at paras 42-52.</w:t>
      </w:r>
    </w:p>
  </w:footnote>
  <w:footnote w:id="21">
    <w:p w14:paraId="5DAFED8B" w14:textId="5558CDD6" w:rsidR="008970A3" w:rsidRPr="005078F9" w:rsidRDefault="008970A3">
      <w:pPr>
        <w:pStyle w:val="FootnoteText"/>
      </w:pPr>
      <w:r>
        <w:rPr>
          <w:rStyle w:val="FootnoteReference"/>
        </w:rPr>
        <w:footnoteRef/>
      </w:r>
      <w:r>
        <w:t xml:space="preserve"> </w:t>
      </w:r>
      <w:proofErr w:type="spellStart"/>
      <w:r>
        <w:rPr>
          <w:i/>
          <w:iCs/>
        </w:rPr>
        <w:t>Kgomo</w:t>
      </w:r>
      <w:proofErr w:type="spellEnd"/>
      <w:r>
        <w:rPr>
          <w:i/>
          <w:iCs/>
        </w:rPr>
        <w:t xml:space="preserve"> </w:t>
      </w:r>
      <w:r>
        <w:t xml:space="preserve">(n </w:t>
      </w:r>
      <w:r>
        <w:fldChar w:fldCharType="begin"/>
      </w:r>
      <w:r>
        <w:instrText xml:space="preserve"> NOTEREF _Ref150755425 \h </w:instrText>
      </w:r>
      <w:r>
        <w:fldChar w:fldCharType="separate"/>
      </w:r>
      <w:r>
        <w:t>5</w:t>
      </w:r>
      <w:r>
        <w:fldChar w:fldCharType="end"/>
      </w:r>
      <w:r>
        <w:t xml:space="preserve"> above) at para 55.</w:t>
      </w:r>
    </w:p>
  </w:footnote>
  <w:footnote w:id="22">
    <w:p w14:paraId="4015D1F9" w14:textId="29784523" w:rsidR="008970A3" w:rsidRDefault="008970A3">
      <w:pPr>
        <w:pStyle w:val="FootnoteText"/>
      </w:pPr>
      <w:r>
        <w:rPr>
          <w:rStyle w:val="FootnoteReference"/>
        </w:rPr>
        <w:footnoteRef/>
      </w:r>
      <w:r>
        <w:t xml:space="preserve"> </w:t>
      </w:r>
      <w:r w:rsidRPr="00102A1A">
        <w:t>[2018] ZAGPPHC 583</w:t>
      </w:r>
      <w:r>
        <w:t>.</w:t>
      </w:r>
    </w:p>
  </w:footnote>
  <w:footnote w:id="23">
    <w:p w14:paraId="6BA77B5C" w14:textId="4309F15F" w:rsidR="008970A3" w:rsidRDefault="008970A3">
      <w:pPr>
        <w:pStyle w:val="FootnoteText"/>
      </w:pPr>
      <w:r>
        <w:rPr>
          <w:rStyle w:val="FootnoteReference"/>
        </w:rPr>
        <w:footnoteRef/>
      </w:r>
      <w:r>
        <w:t xml:space="preserve"> </w:t>
      </w:r>
      <w:r w:rsidRPr="001F70F5">
        <w:t>2010 (6) SA 298 (GNP)</w:t>
      </w:r>
      <w:r>
        <w:t>.</w:t>
      </w:r>
    </w:p>
  </w:footnote>
  <w:footnote w:id="24">
    <w:p w14:paraId="47105DEC" w14:textId="23AF3A94" w:rsidR="008970A3" w:rsidRDefault="008970A3">
      <w:pPr>
        <w:pStyle w:val="FootnoteText"/>
      </w:pPr>
      <w:r>
        <w:rPr>
          <w:rStyle w:val="FootnoteReference"/>
        </w:rPr>
        <w:footnoteRef/>
      </w:r>
      <w:r>
        <w:t xml:space="preserve"> 2021 (1) SA 225 (GJ).</w:t>
      </w:r>
    </w:p>
  </w:footnote>
  <w:footnote w:id="25">
    <w:p w14:paraId="610B89E1" w14:textId="3777D116" w:rsidR="008970A3" w:rsidRDefault="008970A3">
      <w:pPr>
        <w:pStyle w:val="FootnoteText"/>
      </w:pPr>
      <w:r>
        <w:rPr>
          <w:rStyle w:val="FootnoteReference"/>
        </w:rPr>
        <w:footnoteRef/>
      </w:r>
      <w:r>
        <w:t xml:space="preserve"> 2022 (2) SA 626 (ECG).</w:t>
      </w:r>
    </w:p>
  </w:footnote>
  <w:footnote w:id="26">
    <w:p w14:paraId="2022E0BC" w14:textId="356FC049" w:rsidR="008970A3" w:rsidRDefault="008970A3">
      <w:pPr>
        <w:pStyle w:val="FootnoteText"/>
      </w:pPr>
      <w:r>
        <w:rPr>
          <w:rStyle w:val="FootnoteReference"/>
        </w:rPr>
        <w:footnoteRef/>
      </w:r>
      <w:r>
        <w:t xml:space="preserve"> 2019 (5) SA 152 (GJ).</w:t>
      </w:r>
    </w:p>
  </w:footnote>
  <w:footnote w:id="27">
    <w:p w14:paraId="274C5C84" w14:textId="1F3AE9FB" w:rsidR="008970A3" w:rsidRDefault="008970A3">
      <w:pPr>
        <w:pStyle w:val="FootnoteText"/>
      </w:pPr>
      <w:r>
        <w:rPr>
          <w:rStyle w:val="FootnoteReference"/>
        </w:rPr>
        <w:footnoteRef/>
      </w:r>
      <w:r>
        <w:t xml:space="preserve"> </w:t>
      </w:r>
      <w:r w:rsidRPr="00540EE1">
        <w:rPr>
          <w:i/>
          <w:iCs/>
        </w:rPr>
        <w:t xml:space="preserve">Absa Bank Ltd </w:t>
      </w:r>
      <w:r>
        <w:rPr>
          <w:i/>
          <w:iCs/>
        </w:rPr>
        <w:t>v</w:t>
      </w:r>
      <w:r w:rsidRPr="00540EE1">
        <w:rPr>
          <w:i/>
          <w:iCs/>
        </w:rPr>
        <w:t xml:space="preserve"> Petersen</w:t>
      </w:r>
      <w:r w:rsidRPr="00540EE1">
        <w:t xml:space="preserve"> 2013 (1) SA 481 (WCC)</w:t>
      </w:r>
      <w:r>
        <w:t>.</w:t>
      </w:r>
    </w:p>
  </w:footnote>
  <w:footnote w:id="28">
    <w:p w14:paraId="6B82952B" w14:textId="0509487C" w:rsidR="008970A3" w:rsidRDefault="008970A3">
      <w:pPr>
        <w:pStyle w:val="FootnoteText"/>
      </w:pPr>
      <w:r>
        <w:rPr>
          <w:rStyle w:val="FootnoteReference"/>
        </w:rPr>
        <w:footnoteRef/>
      </w:r>
      <w:r>
        <w:t xml:space="preserve"> The case was decided before </w:t>
      </w:r>
      <w:proofErr w:type="spellStart"/>
      <w:r w:rsidRPr="0051381A">
        <w:rPr>
          <w:i/>
          <w:iCs/>
        </w:rPr>
        <w:t>Kubyana</w:t>
      </w:r>
      <w:proofErr w:type="spellEnd"/>
      <w:r w:rsidRPr="0051381A">
        <w:rPr>
          <w:i/>
          <w:iCs/>
        </w:rPr>
        <w:t xml:space="preserve"> </w:t>
      </w:r>
      <w:r>
        <w:t>which established that delivery to the post office was sufficient.</w:t>
      </w:r>
    </w:p>
  </w:footnote>
  <w:footnote w:id="29">
    <w:p w14:paraId="06A6C3FC" w14:textId="2C82019E" w:rsidR="008970A3" w:rsidRDefault="008970A3">
      <w:pPr>
        <w:pStyle w:val="FootnoteText"/>
      </w:pPr>
      <w:r>
        <w:rPr>
          <w:rStyle w:val="FootnoteReference"/>
        </w:rPr>
        <w:footnoteRef/>
      </w:r>
      <w:r>
        <w:t xml:space="preserve"> </w:t>
      </w:r>
      <w:r>
        <w:rPr>
          <w:i/>
          <w:iCs/>
        </w:rPr>
        <w:t>Petersen</w:t>
      </w:r>
      <w:r>
        <w:t xml:space="preserve"> (n </w:t>
      </w:r>
      <w:r>
        <w:fldChar w:fldCharType="begin"/>
      </w:r>
      <w:r>
        <w:instrText xml:space="preserve"> NOTEREF _Ref150755489 \h </w:instrText>
      </w:r>
      <w:r>
        <w:fldChar w:fldCharType="separate"/>
      </w:r>
      <w:r>
        <w:t>27</w:t>
      </w:r>
      <w:r>
        <w:fldChar w:fldCharType="end"/>
      </w:r>
      <w:r>
        <w:t xml:space="preserve"> above) at para 23. The Court relied on </w:t>
      </w:r>
      <w:proofErr w:type="spellStart"/>
      <w:r>
        <w:rPr>
          <w:i/>
          <w:iCs/>
        </w:rPr>
        <w:t>Gundwana</w:t>
      </w:r>
      <w:proofErr w:type="spellEnd"/>
      <w:r>
        <w:rPr>
          <w:i/>
          <w:iCs/>
        </w:rPr>
        <w:t xml:space="preserve"> v </w:t>
      </w:r>
      <w:proofErr w:type="spellStart"/>
      <w:r>
        <w:rPr>
          <w:i/>
          <w:iCs/>
        </w:rPr>
        <w:t>Steko</w:t>
      </w:r>
      <w:proofErr w:type="spellEnd"/>
      <w:r>
        <w:rPr>
          <w:i/>
          <w:iCs/>
        </w:rPr>
        <w:t xml:space="preserve"> Development and Others</w:t>
      </w:r>
      <w:r>
        <w:t xml:space="preserve"> [2011] ZACC 14; </w:t>
      </w:r>
      <w:r w:rsidRPr="00236453">
        <w:t>2011 (3) SA 608 (CC)</w:t>
      </w:r>
      <w:r>
        <w:t>; 2011 (8) BCLR 792 (CC) at para 58. The Constitutional Court had declared the rules permitting registrars to allow execution of residential immovable property unconstitutional with retrospective effect. Only a court, it held, could declare residential property executable (hence our current rule 46A). It explained this would not cause undue disruption in cases where execution had been granted because a debtor would have to bring a rescission application, explain her delay, and put up a defence. The implication was that the mere fact the default judgment had been granted by the registrar, and not a court, would be insufficient.</w:t>
      </w:r>
    </w:p>
  </w:footnote>
  <w:footnote w:id="30">
    <w:p w14:paraId="5C2ED99C" w14:textId="0EA2306E" w:rsidR="008970A3" w:rsidRDefault="008970A3">
      <w:pPr>
        <w:pStyle w:val="FootnoteText"/>
      </w:pPr>
      <w:r>
        <w:rPr>
          <w:rStyle w:val="FootnoteReference"/>
        </w:rPr>
        <w:footnoteRef/>
      </w:r>
      <w:r>
        <w:t xml:space="preserve"> </w:t>
      </w:r>
      <w:r>
        <w:rPr>
          <w:i/>
          <w:iCs/>
        </w:rPr>
        <w:t xml:space="preserve">Petersen </w:t>
      </w:r>
      <w:r>
        <w:t xml:space="preserve">(n </w:t>
      </w:r>
      <w:r>
        <w:fldChar w:fldCharType="begin"/>
      </w:r>
      <w:r>
        <w:instrText xml:space="preserve"> NOTEREF _Ref150755489 \h </w:instrText>
      </w:r>
      <w:r>
        <w:fldChar w:fldCharType="separate"/>
      </w:r>
      <w:r>
        <w:t>27</w:t>
      </w:r>
      <w:r>
        <w:fldChar w:fldCharType="end"/>
      </w:r>
      <w:r>
        <w:t xml:space="preserve"> above) at para 29.</w:t>
      </w:r>
    </w:p>
  </w:footnote>
  <w:footnote w:id="31">
    <w:p w14:paraId="084375F7" w14:textId="6842832F" w:rsidR="008970A3" w:rsidRDefault="008970A3">
      <w:pPr>
        <w:pStyle w:val="FootnoteText"/>
      </w:pPr>
      <w:r>
        <w:rPr>
          <w:rStyle w:val="FootnoteReference"/>
        </w:rPr>
        <w:footnoteRef/>
      </w:r>
      <w:r>
        <w:t xml:space="preserve"> </w:t>
      </w:r>
      <w:r w:rsidRPr="00657400">
        <w:rPr>
          <w:i/>
          <w:iCs/>
        </w:rPr>
        <w:t>Buys v Changing Tides 17 (Pty) Ltd NO and Others</w:t>
      </w:r>
      <w:r w:rsidRPr="00657400">
        <w:t xml:space="preserve"> [2013] ZAWCHC 150</w:t>
      </w:r>
      <w:r>
        <w:t>.</w:t>
      </w:r>
    </w:p>
  </w:footnote>
  <w:footnote w:id="32">
    <w:p w14:paraId="0590B71C" w14:textId="61F28A6A" w:rsidR="008970A3" w:rsidRDefault="008970A3">
      <w:pPr>
        <w:pStyle w:val="FootnoteText"/>
      </w:pPr>
      <w:r>
        <w:rPr>
          <w:rStyle w:val="FootnoteReference"/>
        </w:rPr>
        <w:footnoteRef/>
      </w:r>
      <w:r>
        <w:t xml:space="preserve"> Ibid at para 15.</w:t>
      </w:r>
    </w:p>
  </w:footnote>
  <w:footnote w:id="33">
    <w:p w14:paraId="58E18A98" w14:textId="2880FC2C" w:rsidR="008970A3" w:rsidRDefault="008970A3">
      <w:pPr>
        <w:pStyle w:val="FootnoteText"/>
      </w:pPr>
      <w:r>
        <w:rPr>
          <w:rStyle w:val="FootnoteReference"/>
        </w:rPr>
        <w:footnoteRef/>
      </w:r>
      <w:r>
        <w:t xml:space="preserve"> Ibid at para 13.</w:t>
      </w:r>
    </w:p>
  </w:footnote>
  <w:footnote w:id="34">
    <w:p w14:paraId="67E858FC" w14:textId="57285E73" w:rsidR="008970A3" w:rsidRPr="00DE0B60" w:rsidRDefault="008970A3">
      <w:pPr>
        <w:pStyle w:val="FootnoteText"/>
      </w:pPr>
      <w:r>
        <w:rPr>
          <w:rStyle w:val="FootnoteReference"/>
        </w:rPr>
        <w:footnoteRef/>
      </w:r>
      <w:r>
        <w:t xml:space="preserve"> </w:t>
      </w:r>
      <w:proofErr w:type="spellStart"/>
      <w:r>
        <w:t>Binns</w:t>
      </w:r>
      <w:proofErr w:type="spellEnd"/>
      <w:r>
        <w:t xml:space="preserve">-Ward J appeared to hold that it did not matter which rule was relied on. </w:t>
      </w:r>
      <w:r>
        <w:rPr>
          <w:i/>
          <w:iCs/>
        </w:rPr>
        <w:t xml:space="preserve">Petersen </w:t>
      </w:r>
      <w:r>
        <w:t xml:space="preserve">(n </w:t>
      </w:r>
      <w:r>
        <w:fldChar w:fldCharType="begin"/>
      </w:r>
      <w:r>
        <w:instrText xml:space="preserve"> NOTEREF _Ref150755489 \h </w:instrText>
      </w:r>
      <w:r>
        <w:fldChar w:fldCharType="separate"/>
      </w:r>
      <w:r>
        <w:t>27</w:t>
      </w:r>
      <w:r>
        <w:fldChar w:fldCharType="end"/>
      </w:r>
      <w:r>
        <w:t xml:space="preserve"> above) at </w:t>
      </w:r>
      <w:proofErr w:type="spellStart"/>
      <w:r>
        <w:t>fn</w:t>
      </w:r>
      <w:proofErr w:type="spellEnd"/>
      <w:r>
        <w:t xml:space="preserve"> 1. For the reasons given above, I disagree. But if I do have a discretion, I would exercise it to grant rescission for the reasons that follow.</w:t>
      </w:r>
    </w:p>
  </w:footnote>
  <w:footnote w:id="35">
    <w:p w14:paraId="39DC17AB" w14:textId="54998CA5" w:rsidR="008970A3" w:rsidRDefault="008970A3">
      <w:pPr>
        <w:pStyle w:val="FootnoteText"/>
      </w:pPr>
      <w:r>
        <w:rPr>
          <w:rStyle w:val="FootnoteReference"/>
        </w:rPr>
        <w:footnoteRef/>
      </w:r>
      <w:r>
        <w:t xml:space="preserve"> </w:t>
      </w:r>
      <w:r w:rsidRPr="00EB3A4A">
        <w:rPr>
          <w:i/>
          <w:iCs/>
        </w:rPr>
        <w:t xml:space="preserve">Phillips </w:t>
      </w:r>
      <w:r>
        <w:rPr>
          <w:i/>
          <w:iCs/>
        </w:rPr>
        <w:t>t/a</w:t>
      </w:r>
      <w:r w:rsidRPr="00EB3A4A">
        <w:rPr>
          <w:i/>
          <w:iCs/>
        </w:rPr>
        <w:t xml:space="preserve"> Southern Cross Optical </w:t>
      </w:r>
      <w:r>
        <w:rPr>
          <w:i/>
          <w:iCs/>
        </w:rPr>
        <w:t>v</w:t>
      </w:r>
      <w:r w:rsidRPr="00EB3A4A">
        <w:rPr>
          <w:i/>
          <w:iCs/>
        </w:rPr>
        <w:t xml:space="preserve"> S</w:t>
      </w:r>
      <w:r>
        <w:rPr>
          <w:i/>
          <w:iCs/>
        </w:rPr>
        <w:t>A</w:t>
      </w:r>
      <w:r w:rsidRPr="00EB3A4A">
        <w:rPr>
          <w:i/>
          <w:iCs/>
        </w:rPr>
        <w:t xml:space="preserve"> Vision Care (Pty) Ltd</w:t>
      </w:r>
      <w:r w:rsidRPr="00EB3A4A">
        <w:t xml:space="preserve"> 2000 (2) SA 1007 (C)</w:t>
      </w:r>
      <w:r>
        <w:t xml:space="preserve"> at 1015H.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96079"/>
      <w:docPartObj>
        <w:docPartGallery w:val="Page Numbers (Top of Page)"/>
        <w:docPartUnique/>
      </w:docPartObj>
    </w:sdtPr>
    <w:sdtEndPr>
      <w:rPr>
        <w:noProof/>
      </w:rPr>
    </w:sdtEndPr>
    <w:sdtContent>
      <w:p w14:paraId="2DAF253A" w14:textId="5DBF2592" w:rsidR="008970A3" w:rsidRDefault="008970A3">
        <w:pPr>
          <w:pStyle w:val="Header"/>
          <w:jc w:val="right"/>
        </w:pPr>
        <w:r>
          <w:fldChar w:fldCharType="begin"/>
        </w:r>
        <w:r>
          <w:instrText xml:space="preserve"> PAGE   \* MERGEFORMAT </w:instrText>
        </w:r>
        <w:r>
          <w:fldChar w:fldCharType="separate"/>
        </w:r>
        <w:r w:rsidR="00021719">
          <w:rPr>
            <w:noProof/>
          </w:rPr>
          <w:t>1</w:t>
        </w:r>
        <w:r>
          <w:rPr>
            <w:noProof/>
          </w:rPr>
          <w:fldChar w:fldCharType="end"/>
        </w:r>
      </w:p>
    </w:sdtContent>
  </w:sdt>
  <w:p w14:paraId="5E392949" w14:textId="77777777" w:rsidR="008970A3" w:rsidRDefault="008970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4228"/>
    <w:multiLevelType w:val="multilevel"/>
    <w:tmpl w:val="CB38DE18"/>
    <w:lvl w:ilvl="0">
      <w:start w:val="1"/>
      <w:numFmt w:val="decimal"/>
      <w:lvlText w:val="[%1]"/>
      <w:lvlJc w:val="left"/>
      <w:pPr>
        <w:ind w:left="0" w:firstLine="0"/>
      </w:pPr>
      <w:rPr>
        <w:rFonts w:hint="default"/>
        <w:i w:val="0"/>
        <w:iCs w:val="0"/>
      </w:rPr>
    </w:lvl>
    <w:lvl w:ilvl="1">
      <w:start w:val="1"/>
      <w:numFmt w:val="decimal"/>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53330394"/>
    <w:multiLevelType w:val="multilevel"/>
    <w:tmpl w:val="6E2C2116"/>
    <w:lvl w:ilvl="0">
      <w:start w:val="1"/>
      <w:numFmt w:val="decimal"/>
      <w:lvlText w:val="%1."/>
      <w:lvlJc w:val="left"/>
      <w:pPr>
        <w:ind w:left="720" w:hanging="720"/>
      </w:pPr>
      <w:rPr>
        <w:rFonts w:hint="default"/>
        <w:b w:val="0"/>
        <w:i w:val="0"/>
        <w:iCs w:val="0"/>
        <w:sz w:val="24"/>
        <w:szCs w:val="24"/>
      </w:rPr>
    </w:lvl>
    <w:lvl w:ilvl="1">
      <w:start w:val="1"/>
      <w:numFmt w:val="decimal"/>
      <w:lvlText w:val="%1.%2."/>
      <w:lvlJc w:val="left"/>
      <w:pPr>
        <w:ind w:left="1440" w:hanging="720"/>
      </w:pPr>
      <w:rPr>
        <w:rFonts w:ascii="Arial" w:hAnsi="Arial" w:cs="Arial"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542D002C"/>
    <w:multiLevelType w:val="multilevel"/>
    <w:tmpl w:val="6986A8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6BF0335A"/>
    <w:multiLevelType w:val="multilevel"/>
    <w:tmpl w:val="AA1EC7E6"/>
    <w:lvl w:ilvl="0">
      <w:start w:val="1"/>
      <w:numFmt w:val="decimal"/>
      <w:lvlText w:val="%1."/>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6E9A49FF"/>
    <w:multiLevelType w:val="multilevel"/>
    <w:tmpl w:val="C95A351A"/>
    <w:lvl w:ilvl="0">
      <w:start w:val="1"/>
      <w:numFmt w:val="decimal"/>
      <w:pStyle w:val="ListParagraph"/>
      <w:lvlText w:val="[%1]"/>
      <w:lvlJc w:val="left"/>
      <w:pPr>
        <w:ind w:left="0" w:firstLine="0"/>
      </w:pPr>
      <w:rPr>
        <w:rFonts w:hint="default"/>
        <w:i w:val="0"/>
        <w:iCs w:val="0"/>
      </w:rPr>
    </w:lvl>
    <w:lvl w:ilvl="1">
      <w:start w:val="1"/>
      <w:numFmt w:val="decimal"/>
      <w:lvlText w:val="[%1.%2]"/>
      <w:lvlJc w:val="left"/>
      <w:pPr>
        <w:ind w:left="720" w:firstLine="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num>
  <w:num w:numId="8">
    <w:abstractNumId w:val="2"/>
  </w:num>
  <w:num w:numId="9">
    <w:abstractNumId w:val="2"/>
  </w:num>
  <w:num w:numId="10">
    <w:abstractNumId w:val="2"/>
  </w:num>
  <w:num w:numId="11">
    <w:abstractNumId w:val="1"/>
  </w:num>
  <w:num w:numId="12">
    <w:abstractNumId w:val="4"/>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19"/>
    <w:rsid w:val="00001E00"/>
    <w:rsid w:val="000039EF"/>
    <w:rsid w:val="00004E67"/>
    <w:rsid w:val="00015C91"/>
    <w:rsid w:val="00021719"/>
    <w:rsid w:val="000230B0"/>
    <w:rsid w:val="0003787B"/>
    <w:rsid w:val="00042DC3"/>
    <w:rsid w:val="000447C8"/>
    <w:rsid w:val="00044D9C"/>
    <w:rsid w:val="00050DD5"/>
    <w:rsid w:val="00055623"/>
    <w:rsid w:val="0006532A"/>
    <w:rsid w:val="00070DA9"/>
    <w:rsid w:val="000807C4"/>
    <w:rsid w:val="000815E5"/>
    <w:rsid w:val="00084814"/>
    <w:rsid w:val="00095EA6"/>
    <w:rsid w:val="000A05D5"/>
    <w:rsid w:val="000A3CA7"/>
    <w:rsid w:val="000A6AB0"/>
    <w:rsid w:val="000B44E0"/>
    <w:rsid w:val="000B7889"/>
    <w:rsid w:val="000C69CC"/>
    <w:rsid w:val="000F47F4"/>
    <w:rsid w:val="001021BB"/>
    <w:rsid w:val="00102A1A"/>
    <w:rsid w:val="00104392"/>
    <w:rsid w:val="00112958"/>
    <w:rsid w:val="00113EE0"/>
    <w:rsid w:val="00133FEA"/>
    <w:rsid w:val="00142219"/>
    <w:rsid w:val="001667E2"/>
    <w:rsid w:val="00176329"/>
    <w:rsid w:val="00176A70"/>
    <w:rsid w:val="00177DAE"/>
    <w:rsid w:val="0018047B"/>
    <w:rsid w:val="001827BD"/>
    <w:rsid w:val="00186FBA"/>
    <w:rsid w:val="00194C0B"/>
    <w:rsid w:val="001A3E65"/>
    <w:rsid w:val="001B1E1D"/>
    <w:rsid w:val="001B2C3C"/>
    <w:rsid w:val="001C024B"/>
    <w:rsid w:val="001C3FEC"/>
    <w:rsid w:val="001C4F8C"/>
    <w:rsid w:val="001C53ED"/>
    <w:rsid w:val="001D3270"/>
    <w:rsid w:val="001E36C3"/>
    <w:rsid w:val="001E7CA6"/>
    <w:rsid w:val="001F70F5"/>
    <w:rsid w:val="001F73DA"/>
    <w:rsid w:val="00210C33"/>
    <w:rsid w:val="002114D0"/>
    <w:rsid w:val="00212195"/>
    <w:rsid w:val="002241DF"/>
    <w:rsid w:val="00236453"/>
    <w:rsid w:val="00237A74"/>
    <w:rsid w:val="00252CCC"/>
    <w:rsid w:val="002543FC"/>
    <w:rsid w:val="00256D41"/>
    <w:rsid w:val="002644C6"/>
    <w:rsid w:val="00274084"/>
    <w:rsid w:val="00276E2D"/>
    <w:rsid w:val="00296A2F"/>
    <w:rsid w:val="00297B1F"/>
    <w:rsid w:val="002B2026"/>
    <w:rsid w:val="002C2F77"/>
    <w:rsid w:val="002C4777"/>
    <w:rsid w:val="002C4AFB"/>
    <w:rsid w:val="002C60A6"/>
    <w:rsid w:val="002D7E32"/>
    <w:rsid w:val="002E5E5A"/>
    <w:rsid w:val="002E6FDE"/>
    <w:rsid w:val="002F076C"/>
    <w:rsid w:val="002F2694"/>
    <w:rsid w:val="00313D8F"/>
    <w:rsid w:val="00330983"/>
    <w:rsid w:val="00331A76"/>
    <w:rsid w:val="00332ED1"/>
    <w:rsid w:val="00342036"/>
    <w:rsid w:val="00342773"/>
    <w:rsid w:val="00345A0F"/>
    <w:rsid w:val="00351C5E"/>
    <w:rsid w:val="00352393"/>
    <w:rsid w:val="0035748C"/>
    <w:rsid w:val="003611D3"/>
    <w:rsid w:val="00365A43"/>
    <w:rsid w:val="00367756"/>
    <w:rsid w:val="00367905"/>
    <w:rsid w:val="0037427E"/>
    <w:rsid w:val="00375BE3"/>
    <w:rsid w:val="00382CC6"/>
    <w:rsid w:val="00392CDB"/>
    <w:rsid w:val="00394928"/>
    <w:rsid w:val="003A1277"/>
    <w:rsid w:val="003A634D"/>
    <w:rsid w:val="003A6A76"/>
    <w:rsid w:val="003A6C9B"/>
    <w:rsid w:val="003A7E62"/>
    <w:rsid w:val="003B3670"/>
    <w:rsid w:val="003B67F0"/>
    <w:rsid w:val="003B742D"/>
    <w:rsid w:val="003D61C1"/>
    <w:rsid w:val="003E6188"/>
    <w:rsid w:val="003F28F3"/>
    <w:rsid w:val="003F7F2B"/>
    <w:rsid w:val="00403FAF"/>
    <w:rsid w:val="00416954"/>
    <w:rsid w:val="00424EBF"/>
    <w:rsid w:val="00430954"/>
    <w:rsid w:val="00441F02"/>
    <w:rsid w:val="00453192"/>
    <w:rsid w:val="0045435F"/>
    <w:rsid w:val="00455A93"/>
    <w:rsid w:val="00456D85"/>
    <w:rsid w:val="00471921"/>
    <w:rsid w:val="00473857"/>
    <w:rsid w:val="00481BF9"/>
    <w:rsid w:val="00496BD6"/>
    <w:rsid w:val="004A75EF"/>
    <w:rsid w:val="004B1D6D"/>
    <w:rsid w:val="004B36DA"/>
    <w:rsid w:val="004B5056"/>
    <w:rsid w:val="004D3110"/>
    <w:rsid w:val="004D3675"/>
    <w:rsid w:val="004D61DB"/>
    <w:rsid w:val="004E04FC"/>
    <w:rsid w:val="004E1F57"/>
    <w:rsid w:val="004E2BF0"/>
    <w:rsid w:val="004E655A"/>
    <w:rsid w:val="00505810"/>
    <w:rsid w:val="005078F9"/>
    <w:rsid w:val="00507CC3"/>
    <w:rsid w:val="00510B36"/>
    <w:rsid w:val="005130A9"/>
    <w:rsid w:val="0051381A"/>
    <w:rsid w:val="005143EF"/>
    <w:rsid w:val="0053688C"/>
    <w:rsid w:val="00540EE1"/>
    <w:rsid w:val="005478F0"/>
    <w:rsid w:val="005564BF"/>
    <w:rsid w:val="00560037"/>
    <w:rsid w:val="00563723"/>
    <w:rsid w:val="00567464"/>
    <w:rsid w:val="0058240A"/>
    <w:rsid w:val="00587F42"/>
    <w:rsid w:val="005A7C79"/>
    <w:rsid w:val="005B022F"/>
    <w:rsid w:val="005B4A6C"/>
    <w:rsid w:val="005B6AAF"/>
    <w:rsid w:val="005C3E3E"/>
    <w:rsid w:val="005C57C7"/>
    <w:rsid w:val="005D0FC7"/>
    <w:rsid w:val="005D4479"/>
    <w:rsid w:val="005D7057"/>
    <w:rsid w:val="005E287F"/>
    <w:rsid w:val="005E3115"/>
    <w:rsid w:val="005F1382"/>
    <w:rsid w:val="005F1B5E"/>
    <w:rsid w:val="00604ADC"/>
    <w:rsid w:val="00610190"/>
    <w:rsid w:val="00611F0F"/>
    <w:rsid w:val="00611F13"/>
    <w:rsid w:val="006212D2"/>
    <w:rsid w:val="006264A2"/>
    <w:rsid w:val="00641311"/>
    <w:rsid w:val="006513CB"/>
    <w:rsid w:val="00657400"/>
    <w:rsid w:val="00671395"/>
    <w:rsid w:val="006763D6"/>
    <w:rsid w:val="00680121"/>
    <w:rsid w:val="00680F0C"/>
    <w:rsid w:val="00694AB6"/>
    <w:rsid w:val="00696D15"/>
    <w:rsid w:val="006A0D27"/>
    <w:rsid w:val="006A5B25"/>
    <w:rsid w:val="006A5E5A"/>
    <w:rsid w:val="006B6F39"/>
    <w:rsid w:val="006C19A1"/>
    <w:rsid w:val="006C599B"/>
    <w:rsid w:val="006D38E1"/>
    <w:rsid w:val="006D42C4"/>
    <w:rsid w:val="006D4896"/>
    <w:rsid w:val="006E65EB"/>
    <w:rsid w:val="006E74E9"/>
    <w:rsid w:val="006F581F"/>
    <w:rsid w:val="00703295"/>
    <w:rsid w:val="00712B34"/>
    <w:rsid w:val="00723EB9"/>
    <w:rsid w:val="00724618"/>
    <w:rsid w:val="00732F3B"/>
    <w:rsid w:val="00735B7B"/>
    <w:rsid w:val="00740DB6"/>
    <w:rsid w:val="007416E9"/>
    <w:rsid w:val="007470EA"/>
    <w:rsid w:val="00757782"/>
    <w:rsid w:val="0077054C"/>
    <w:rsid w:val="00772C2C"/>
    <w:rsid w:val="007735F0"/>
    <w:rsid w:val="007755A0"/>
    <w:rsid w:val="00781330"/>
    <w:rsid w:val="00795A9A"/>
    <w:rsid w:val="007A59DA"/>
    <w:rsid w:val="007B33F7"/>
    <w:rsid w:val="007B4093"/>
    <w:rsid w:val="007C0D5C"/>
    <w:rsid w:val="007C3AD8"/>
    <w:rsid w:val="007C480A"/>
    <w:rsid w:val="007C629D"/>
    <w:rsid w:val="007D49B6"/>
    <w:rsid w:val="007D7AB0"/>
    <w:rsid w:val="007E516D"/>
    <w:rsid w:val="007E5AE4"/>
    <w:rsid w:val="007E7281"/>
    <w:rsid w:val="007F3CA7"/>
    <w:rsid w:val="007F73F9"/>
    <w:rsid w:val="007F7B02"/>
    <w:rsid w:val="008000CA"/>
    <w:rsid w:val="00815E6E"/>
    <w:rsid w:val="008275F0"/>
    <w:rsid w:val="00827666"/>
    <w:rsid w:val="00832B71"/>
    <w:rsid w:val="00832E25"/>
    <w:rsid w:val="00845438"/>
    <w:rsid w:val="00867ED7"/>
    <w:rsid w:val="008706BB"/>
    <w:rsid w:val="008766EB"/>
    <w:rsid w:val="00886EA9"/>
    <w:rsid w:val="008871E0"/>
    <w:rsid w:val="00887FF7"/>
    <w:rsid w:val="0089203E"/>
    <w:rsid w:val="00893264"/>
    <w:rsid w:val="008970A3"/>
    <w:rsid w:val="008A5879"/>
    <w:rsid w:val="008B25AE"/>
    <w:rsid w:val="008C1CF9"/>
    <w:rsid w:val="008C3370"/>
    <w:rsid w:val="008C3D45"/>
    <w:rsid w:val="008C43A7"/>
    <w:rsid w:val="008C6E66"/>
    <w:rsid w:val="008C7234"/>
    <w:rsid w:val="008D436E"/>
    <w:rsid w:val="008E134A"/>
    <w:rsid w:val="008E22EC"/>
    <w:rsid w:val="008E3EB7"/>
    <w:rsid w:val="008F1E2C"/>
    <w:rsid w:val="008F763A"/>
    <w:rsid w:val="00907039"/>
    <w:rsid w:val="00931C31"/>
    <w:rsid w:val="009377D4"/>
    <w:rsid w:val="009379BA"/>
    <w:rsid w:val="00946C33"/>
    <w:rsid w:val="00951ABF"/>
    <w:rsid w:val="0095325E"/>
    <w:rsid w:val="00961AA9"/>
    <w:rsid w:val="00967BBF"/>
    <w:rsid w:val="00975307"/>
    <w:rsid w:val="00991D48"/>
    <w:rsid w:val="0099695B"/>
    <w:rsid w:val="009A4F90"/>
    <w:rsid w:val="009B1C16"/>
    <w:rsid w:val="009B3358"/>
    <w:rsid w:val="009B7EA5"/>
    <w:rsid w:val="009C136D"/>
    <w:rsid w:val="009C1398"/>
    <w:rsid w:val="009C1EBA"/>
    <w:rsid w:val="009C2950"/>
    <w:rsid w:val="009C3932"/>
    <w:rsid w:val="009C3E85"/>
    <w:rsid w:val="009C5C10"/>
    <w:rsid w:val="009E7650"/>
    <w:rsid w:val="009F2F66"/>
    <w:rsid w:val="00A00D13"/>
    <w:rsid w:val="00A042CD"/>
    <w:rsid w:val="00A05D5B"/>
    <w:rsid w:val="00A13AFF"/>
    <w:rsid w:val="00A16D43"/>
    <w:rsid w:val="00A176BA"/>
    <w:rsid w:val="00A20C37"/>
    <w:rsid w:val="00A239EC"/>
    <w:rsid w:val="00A259BB"/>
    <w:rsid w:val="00A44DC9"/>
    <w:rsid w:val="00A52515"/>
    <w:rsid w:val="00A5500B"/>
    <w:rsid w:val="00A550B5"/>
    <w:rsid w:val="00A700F2"/>
    <w:rsid w:val="00A856E1"/>
    <w:rsid w:val="00A90DCA"/>
    <w:rsid w:val="00AA4850"/>
    <w:rsid w:val="00AE1D7D"/>
    <w:rsid w:val="00AE4FB7"/>
    <w:rsid w:val="00AE58F8"/>
    <w:rsid w:val="00AF1844"/>
    <w:rsid w:val="00AF3DAA"/>
    <w:rsid w:val="00AF4583"/>
    <w:rsid w:val="00B02429"/>
    <w:rsid w:val="00B04A65"/>
    <w:rsid w:val="00B0635E"/>
    <w:rsid w:val="00B1024F"/>
    <w:rsid w:val="00B10816"/>
    <w:rsid w:val="00B2535E"/>
    <w:rsid w:val="00B25466"/>
    <w:rsid w:val="00B32835"/>
    <w:rsid w:val="00B33249"/>
    <w:rsid w:val="00B36071"/>
    <w:rsid w:val="00B407E9"/>
    <w:rsid w:val="00B4389D"/>
    <w:rsid w:val="00B5149A"/>
    <w:rsid w:val="00B53285"/>
    <w:rsid w:val="00B55AAE"/>
    <w:rsid w:val="00B561DF"/>
    <w:rsid w:val="00B57B84"/>
    <w:rsid w:val="00B74916"/>
    <w:rsid w:val="00B75A0B"/>
    <w:rsid w:val="00B75E4B"/>
    <w:rsid w:val="00B765B8"/>
    <w:rsid w:val="00B810D0"/>
    <w:rsid w:val="00B92015"/>
    <w:rsid w:val="00BB6F65"/>
    <w:rsid w:val="00BC1404"/>
    <w:rsid w:val="00BC74DE"/>
    <w:rsid w:val="00BD47AD"/>
    <w:rsid w:val="00BE0F2A"/>
    <w:rsid w:val="00BE21F1"/>
    <w:rsid w:val="00BF2152"/>
    <w:rsid w:val="00BF6C59"/>
    <w:rsid w:val="00C02B1F"/>
    <w:rsid w:val="00C07783"/>
    <w:rsid w:val="00C10FEE"/>
    <w:rsid w:val="00C21ADF"/>
    <w:rsid w:val="00C22F20"/>
    <w:rsid w:val="00C30AA6"/>
    <w:rsid w:val="00C409E8"/>
    <w:rsid w:val="00C420AB"/>
    <w:rsid w:val="00C434F2"/>
    <w:rsid w:val="00C540A2"/>
    <w:rsid w:val="00C802EA"/>
    <w:rsid w:val="00C81232"/>
    <w:rsid w:val="00C83CF4"/>
    <w:rsid w:val="00CA455E"/>
    <w:rsid w:val="00CA6ED6"/>
    <w:rsid w:val="00CB06AC"/>
    <w:rsid w:val="00CB17B0"/>
    <w:rsid w:val="00CB27B7"/>
    <w:rsid w:val="00CB2A6A"/>
    <w:rsid w:val="00CB3DF8"/>
    <w:rsid w:val="00CB536C"/>
    <w:rsid w:val="00CB5A88"/>
    <w:rsid w:val="00CD3416"/>
    <w:rsid w:val="00CE2C7C"/>
    <w:rsid w:val="00CE4C5E"/>
    <w:rsid w:val="00CE61D2"/>
    <w:rsid w:val="00CE687A"/>
    <w:rsid w:val="00CF1273"/>
    <w:rsid w:val="00D004FF"/>
    <w:rsid w:val="00D05CD1"/>
    <w:rsid w:val="00D15ABC"/>
    <w:rsid w:val="00D31C14"/>
    <w:rsid w:val="00D43633"/>
    <w:rsid w:val="00D448A0"/>
    <w:rsid w:val="00D45307"/>
    <w:rsid w:val="00D608ED"/>
    <w:rsid w:val="00D70B33"/>
    <w:rsid w:val="00D70E1C"/>
    <w:rsid w:val="00D758F5"/>
    <w:rsid w:val="00D8395E"/>
    <w:rsid w:val="00D852E7"/>
    <w:rsid w:val="00D9383C"/>
    <w:rsid w:val="00D963F4"/>
    <w:rsid w:val="00DA2DCB"/>
    <w:rsid w:val="00DB6DAD"/>
    <w:rsid w:val="00DB7C94"/>
    <w:rsid w:val="00DC20D7"/>
    <w:rsid w:val="00DC6668"/>
    <w:rsid w:val="00DC6857"/>
    <w:rsid w:val="00DD18F9"/>
    <w:rsid w:val="00DD5584"/>
    <w:rsid w:val="00DE0B60"/>
    <w:rsid w:val="00DE613C"/>
    <w:rsid w:val="00DF2D30"/>
    <w:rsid w:val="00E01945"/>
    <w:rsid w:val="00E07B64"/>
    <w:rsid w:val="00E270B9"/>
    <w:rsid w:val="00E3009C"/>
    <w:rsid w:val="00E32971"/>
    <w:rsid w:val="00E33353"/>
    <w:rsid w:val="00E36652"/>
    <w:rsid w:val="00E445CC"/>
    <w:rsid w:val="00E45FF7"/>
    <w:rsid w:val="00E516B7"/>
    <w:rsid w:val="00E52BA6"/>
    <w:rsid w:val="00E53778"/>
    <w:rsid w:val="00E66789"/>
    <w:rsid w:val="00E72C22"/>
    <w:rsid w:val="00E75D79"/>
    <w:rsid w:val="00E81638"/>
    <w:rsid w:val="00E82CCE"/>
    <w:rsid w:val="00E8712B"/>
    <w:rsid w:val="00E919CC"/>
    <w:rsid w:val="00EA0088"/>
    <w:rsid w:val="00EA7DEB"/>
    <w:rsid w:val="00EB23FA"/>
    <w:rsid w:val="00EB3103"/>
    <w:rsid w:val="00EB3A4A"/>
    <w:rsid w:val="00EC2843"/>
    <w:rsid w:val="00EC61C7"/>
    <w:rsid w:val="00ED3D5E"/>
    <w:rsid w:val="00ED4844"/>
    <w:rsid w:val="00ED4F55"/>
    <w:rsid w:val="00ED6F0D"/>
    <w:rsid w:val="00EF0A7D"/>
    <w:rsid w:val="00EF25E2"/>
    <w:rsid w:val="00EF5180"/>
    <w:rsid w:val="00F13CC7"/>
    <w:rsid w:val="00F144C7"/>
    <w:rsid w:val="00F144DE"/>
    <w:rsid w:val="00F36C42"/>
    <w:rsid w:val="00F372F2"/>
    <w:rsid w:val="00F45CCA"/>
    <w:rsid w:val="00F572D1"/>
    <w:rsid w:val="00F642CC"/>
    <w:rsid w:val="00F646DB"/>
    <w:rsid w:val="00F6572E"/>
    <w:rsid w:val="00F81223"/>
    <w:rsid w:val="00F82E5B"/>
    <w:rsid w:val="00F903AD"/>
    <w:rsid w:val="00F942B7"/>
    <w:rsid w:val="00F96A7F"/>
    <w:rsid w:val="00FA3F5E"/>
    <w:rsid w:val="00FA76FF"/>
    <w:rsid w:val="00FB06B7"/>
    <w:rsid w:val="00FB458F"/>
    <w:rsid w:val="00FB4BA0"/>
    <w:rsid w:val="00FC3615"/>
    <w:rsid w:val="00FC5F80"/>
    <w:rsid w:val="00FF35B1"/>
    <w:rsid w:val="00FF38BE"/>
    <w:rsid w:val="00FF54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A65F"/>
  <w15:chartTrackingRefBased/>
  <w15:docId w15:val="{17BFC9A2-DAA8-4D47-A959-58B70264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5CD1"/>
    <w:pPr>
      <w:spacing w:after="240" w:line="48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B407E9"/>
    <w:pPr>
      <w:keepNext/>
      <w:keepLines/>
      <w:outlineLvl w:val="0"/>
    </w:pPr>
    <w:rPr>
      <w:rFonts w:eastAsiaTheme="majorEastAsia" w:cstheme="majorBidi"/>
      <w:b/>
      <w:caps/>
      <w:szCs w:val="32"/>
    </w:rPr>
  </w:style>
  <w:style w:type="paragraph" w:styleId="Heading2">
    <w:name w:val="heading 2"/>
    <w:basedOn w:val="Heading1"/>
    <w:next w:val="Normal"/>
    <w:link w:val="Heading2Char"/>
    <w:uiPriority w:val="9"/>
    <w:unhideWhenUsed/>
    <w:qFormat/>
    <w:rsid w:val="007735F0"/>
    <w:pPr>
      <w:outlineLvl w:val="1"/>
    </w:pPr>
    <w:rPr>
      <w:caps w:val="0"/>
      <w:smallCaps/>
      <w:u w:val="single"/>
      <w:lang w:val="en-US"/>
    </w:rPr>
  </w:style>
  <w:style w:type="paragraph" w:styleId="Heading3">
    <w:name w:val="heading 3"/>
    <w:basedOn w:val="Heading2"/>
    <w:next w:val="Normal"/>
    <w:link w:val="Heading3Char"/>
    <w:uiPriority w:val="9"/>
    <w:unhideWhenUsed/>
    <w:qFormat/>
    <w:rsid w:val="007735F0"/>
    <w:pPr>
      <w:outlineLvl w:val="2"/>
    </w:pPr>
    <w:rPr>
      <w:smallCaps w:val="0"/>
    </w:rPr>
  </w:style>
  <w:style w:type="paragraph" w:styleId="Heading4">
    <w:name w:val="heading 4"/>
    <w:basedOn w:val="Heading3"/>
    <w:next w:val="Normal"/>
    <w:link w:val="Heading4Char"/>
    <w:uiPriority w:val="9"/>
    <w:unhideWhenUsed/>
    <w:qFormat/>
    <w:rsid w:val="007735F0"/>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5F0"/>
    <w:rPr>
      <w:rFonts w:ascii="Garamond" w:eastAsiaTheme="majorEastAsia" w:hAnsi="Garamond" w:cstheme="majorBidi"/>
      <w:b/>
      <w:smallCaps/>
      <w:sz w:val="24"/>
      <w:szCs w:val="32"/>
      <w:u w:val="single"/>
      <w:lang w:val="en-US"/>
    </w:rPr>
  </w:style>
  <w:style w:type="character" w:customStyle="1" w:styleId="Heading1Char">
    <w:name w:val="Heading 1 Char"/>
    <w:basedOn w:val="DefaultParagraphFont"/>
    <w:link w:val="Heading1"/>
    <w:uiPriority w:val="9"/>
    <w:rsid w:val="00B407E9"/>
    <w:rPr>
      <w:rFonts w:ascii="Arial" w:eastAsiaTheme="majorEastAsia" w:hAnsi="Arial" w:cstheme="majorBidi"/>
      <w:b/>
      <w:caps/>
      <w:sz w:val="24"/>
      <w:szCs w:val="32"/>
    </w:rPr>
  </w:style>
  <w:style w:type="character" w:customStyle="1" w:styleId="Heading3Char">
    <w:name w:val="Heading 3 Char"/>
    <w:basedOn w:val="DefaultParagraphFont"/>
    <w:link w:val="Heading3"/>
    <w:uiPriority w:val="9"/>
    <w:rsid w:val="007735F0"/>
    <w:rPr>
      <w:rFonts w:ascii="Garamond" w:eastAsiaTheme="majorEastAsia" w:hAnsi="Garamond" w:cstheme="majorBidi"/>
      <w:b/>
      <w:sz w:val="24"/>
      <w:szCs w:val="32"/>
      <w:u w:val="single"/>
      <w:lang w:val="en-US"/>
    </w:rPr>
  </w:style>
  <w:style w:type="character" w:customStyle="1" w:styleId="Heading4Char">
    <w:name w:val="Heading 4 Char"/>
    <w:basedOn w:val="DefaultParagraphFont"/>
    <w:link w:val="Heading4"/>
    <w:uiPriority w:val="9"/>
    <w:rsid w:val="007735F0"/>
    <w:rPr>
      <w:rFonts w:ascii="Garamond" w:eastAsiaTheme="majorEastAsia" w:hAnsi="Garamond" w:cstheme="majorBidi"/>
      <w:i/>
      <w:sz w:val="24"/>
      <w:szCs w:val="32"/>
      <w:u w:val="single"/>
      <w:lang w:val="en-US"/>
    </w:rPr>
  </w:style>
  <w:style w:type="paragraph" w:styleId="ListParagraph">
    <w:name w:val="List Paragraph"/>
    <w:aliases w:val="Numbered Para"/>
    <w:basedOn w:val="Normal"/>
    <w:uiPriority w:val="34"/>
    <w:qFormat/>
    <w:rsid w:val="00177DAE"/>
    <w:pPr>
      <w:numPr>
        <w:numId w:val="13"/>
      </w:numPr>
      <w:suppressAutoHyphens/>
    </w:pPr>
    <w:rPr>
      <w:rFonts w:eastAsia="Times New Roman" w:cs="Arial"/>
      <w:color w:val="000000"/>
      <w:szCs w:val="24"/>
      <w:lang w:val="en-US" w:eastAsia="en-ZA"/>
    </w:rPr>
  </w:style>
  <w:style w:type="paragraph" w:styleId="FootnoteText">
    <w:name w:val="footnote text"/>
    <w:basedOn w:val="Normal"/>
    <w:link w:val="FootnoteTextChar"/>
    <w:uiPriority w:val="99"/>
    <w:unhideWhenUsed/>
    <w:rsid w:val="00694AB6"/>
    <w:pPr>
      <w:spacing w:after="120" w:line="360" w:lineRule="auto"/>
    </w:pPr>
    <w:rPr>
      <w:sz w:val="20"/>
      <w:szCs w:val="20"/>
    </w:rPr>
  </w:style>
  <w:style w:type="character" w:customStyle="1" w:styleId="FootnoteTextChar">
    <w:name w:val="Footnote Text Char"/>
    <w:basedOn w:val="DefaultParagraphFont"/>
    <w:link w:val="FootnoteText"/>
    <w:uiPriority w:val="99"/>
    <w:rsid w:val="00694AB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F2152"/>
    <w:rPr>
      <w:vertAlign w:val="superscript"/>
    </w:rPr>
  </w:style>
  <w:style w:type="paragraph" w:styleId="Quote">
    <w:name w:val="Quote"/>
    <w:basedOn w:val="Normal"/>
    <w:next w:val="Normal"/>
    <w:link w:val="QuoteChar"/>
    <w:uiPriority w:val="29"/>
    <w:qFormat/>
    <w:rsid w:val="00867ED7"/>
    <w:pPr>
      <w:spacing w:before="240" w:after="360" w:line="360" w:lineRule="auto"/>
      <w:ind w:left="1440"/>
    </w:pPr>
    <w:rPr>
      <w:i/>
      <w:iCs/>
      <w:sz w:val="22"/>
    </w:rPr>
  </w:style>
  <w:style w:type="character" w:customStyle="1" w:styleId="QuoteChar">
    <w:name w:val="Quote Char"/>
    <w:basedOn w:val="DefaultParagraphFont"/>
    <w:link w:val="Quote"/>
    <w:uiPriority w:val="29"/>
    <w:rsid w:val="00867ED7"/>
    <w:rPr>
      <w:rFonts w:ascii="Arial" w:eastAsia="Calibri" w:hAnsi="Arial" w:cs="Times New Roman"/>
      <w:i/>
      <w:iCs/>
    </w:rPr>
  </w:style>
  <w:style w:type="paragraph" w:customStyle="1" w:styleId="Default">
    <w:name w:val="Default"/>
    <w:rsid w:val="008766E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740DB6"/>
    <w:rPr>
      <w:color w:val="0000FF"/>
      <w:u w:val="single"/>
    </w:rPr>
  </w:style>
  <w:style w:type="character" w:customStyle="1" w:styleId="mc">
    <w:name w:val="mc"/>
    <w:basedOn w:val="DefaultParagraphFont"/>
    <w:rsid w:val="005078F9"/>
  </w:style>
  <w:style w:type="paragraph" w:styleId="Header">
    <w:name w:val="header"/>
    <w:basedOn w:val="Normal"/>
    <w:link w:val="HeaderChar"/>
    <w:uiPriority w:val="99"/>
    <w:unhideWhenUsed/>
    <w:rsid w:val="008E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34A"/>
    <w:rPr>
      <w:rFonts w:ascii="Arial" w:eastAsia="Calibri" w:hAnsi="Arial" w:cs="Times New Roman"/>
      <w:sz w:val="24"/>
    </w:rPr>
  </w:style>
  <w:style w:type="paragraph" w:styleId="Footer">
    <w:name w:val="footer"/>
    <w:basedOn w:val="Normal"/>
    <w:link w:val="FooterChar"/>
    <w:uiPriority w:val="99"/>
    <w:unhideWhenUsed/>
    <w:rsid w:val="008E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34A"/>
    <w:rPr>
      <w:rFonts w:ascii="Arial" w:eastAsia="Calibri" w:hAnsi="Arial" w:cs="Times New Roman"/>
      <w:sz w:val="24"/>
    </w:rPr>
  </w:style>
  <w:style w:type="paragraph" w:styleId="EndnoteText">
    <w:name w:val="endnote text"/>
    <w:basedOn w:val="Normal"/>
    <w:link w:val="EndnoteTextChar"/>
    <w:uiPriority w:val="99"/>
    <w:semiHidden/>
    <w:unhideWhenUsed/>
    <w:rsid w:val="003949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928"/>
    <w:rPr>
      <w:rFonts w:ascii="Arial" w:eastAsia="Calibri" w:hAnsi="Arial" w:cs="Times New Roman"/>
      <w:sz w:val="20"/>
      <w:szCs w:val="20"/>
    </w:rPr>
  </w:style>
  <w:style w:type="character" w:styleId="EndnoteReference">
    <w:name w:val="endnote reference"/>
    <w:basedOn w:val="DefaultParagraphFont"/>
    <w:uiPriority w:val="99"/>
    <w:semiHidden/>
    <w:unhideWhenUsed/>
    <w:rsid w:val="00394928"/>
    <w:rPr>
      <w:vertAlign w:val="superscript"/>
    </w:rPr>
  </w:style>
  <w:style w:type="paragraph" w:styleId="NormalWeb">
    <w:name w:val="Normal (Web)"/>
    <w:basedOn w:val="Normal"/>
    <w:uiPriority w:val="99"/>
    <w:semiHidden/>
    <w:unhideWhenUsed/>
    <w:rsid w:val="00E66789"/>
    <w:pPr>
      <w:spacing w:before="100" w:beforeAutospacing="1" w:after="100" w:afterAutospacing="1" w:line="240" w:lineRule="auto"/>
      <w:jc w:val="left"/>
    </w:pPr>
    <w:rPr>
      <w:rFonts w:ascii="Times New Roman" w:eastAsia="Times New Roman" w:hAnsi="Times New Roman"/>
      <w:szCs w:val="24"/>
      <w:lang w:eastAsia="en-ZA"/>
    </w:rPr>
  </w:style>
  <w:style w:type="paragraph" w:styleId="BalloonText">
    <w:name w:val="Balloon Text"/>
    <w:basedOn w:val="Normal"/>
    <w:link w:val="BalloonTextChar"/>
    <w:uiPriority w:val="99"/>
    <w:semiHidden/>
    <w:unhideWhenUsed/>
    <w:rsid w:val="008F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3450">
      <w:bodyDiv w:val="1"/>
      <w:marLeft w:val="0"/>
      <w:marRight w:val="0"/>
      <w:marTop w:val="0"/>
      <w:marBottom w:val="0"/>
      <w:divBdr>
        <w:top w:val="none" w:sz="0" w:space="0" w:color="auto"/>
        <w:left w:val="none" w:sz="0" w:space="0" w:color="auto"/>
        <w:bottom w:val="none" w:sz="0" w:space="0" w:color="auto"/>
        <w:right w:val="none" w:sz="0" w:space="0" w:color="auto"/>
      </w:divBdr>
      <w:divsChild>
        <w:div w:id="726152931">
          <w:marLeft w:val="0"/>
          <w:marRight w:val="0"/>
          <w:marTop w:val="0"/>
          <w:marBottom w:val="0"/>
          <w:divBdr>
            <w:top w:val="none" w:sz="0" w:space="0" w:color="auto"/>
            <w:left w:val="none" w:sz="0" w:space="0" w:color="auto"/>
            <w:bottom w:val="none" w:sz="0" w:space="0" w:color="auto"/>
            <w:right w:val="none" w:sz="0" w:space="0" w:color="auto"/>
          </w:divBdr>
        </w:div>
        <w:div w:id="1114864170">
          <w:marLeft w:val="0"/>
          <w:marRight w:val="0"/>
          <w:marTop w:val="0"/>
          <w:marBottom w:val="0"/>
          <w:divBdr>
            <w:top w:val="none" w:sz="0" w:space="0" w:color="auto"/>
            <w:left w:val="none" w:sz="0" w:space="0" w:color="auto"/>
            <w:bottom w:val="none" w:sz="0" w:space="0" w:color="auto"/>
            <w:right w:val="none" w:sz="0" w:space="0" w:color="auto"/>
          </w:divBdr>
        </w:div>
        <w:div w:id="1070812742">
          <w:marLeft w:val="0"/>
          <w:marRight w:val="0"/>
          <w:marTop w:val="0"/>
          <w:marBottom w:val="0"/>
          <w:divBdr>
            <w:top w:val="none" w:sz="0" w:space="0" w:color="auto"/>
            <w:left w:val="none" w:sz="0" w:space="0" w:color="auto"/>
            <w:bottom w:val="none" w:sz="0" w:space="0" w:color="auto"/>
            <w:right w:val="none" w:sz="0" w:space="0" w:color="auto"/>
          </w:divBdr>
        </w:div>
        <w:div w:id="1656105874">
          <w:marLeft w:val="0"/>
          <w:marRight w:val="0"/>
          <w:marTop w:val="0"/>
          <w:marBottom w:val="0"/>
          <w:divBdr>
            <w:top w:val="none" w:sz="0" w:space="0" w:color="auto"/>
            <w:left w:val="none" w:sz="0" w:space="0" w:color="auto"/>
            <w:bottom w:val="none" w:sz="0" w:space="0" w:color="auto"/>
            <w:right w:val="none" w:sz="0" w:space="0" w:color="auto"/>
          </w:divBdr>
        </w:div>
      </w:divsChild>
    </w:div>
    <w:div w:id="124199193">
      <w:bodyDiv w:val="1"/>
      <w:marLeft w:val="0"/>
      <w:marRight w:val="0"/>
      <w:marTop w:val="0"/>
      <w:marBottom w:val="0"/>
      <w:divBdr>
        <w:top w:val="none" w:sz="0" w:space="0" w:color="auto"/>
        <w:left w:val="none" w:sz="0" w:space="0" w:color="auto"/>
        <w:bottom w:val="none" w:sz="0" w:space="0" w:color="auto"/>
        <w:right w:val="none" w:sz="0" w:space="0" w:color="auto"/>
      </w:divBdr>
    </w:div>
    <w:div w:id="229006130">
      <w:bodyDiv w:val="1"/>
      <w:marLeft w:val="0"/>
      <w:marRight w:val="0"/>
      <w:marTop w:val="0"/>
      <w:marBottom w:val="0"/>
      <w:divBdr>
        <w:top w:val="none" w:sz="0" w:space="0" w:color="auto"/>
        <w:left w:val="none" w:sz="0" w:space="0" w:color="auto"/>
        <w:bottom w:val="none" w:sz="0" w:space="0" w:color="auto"/>
        <w:right w:val="none" w:sz="0" w:space="0" w:color="auto"/>
      </w:divBdr>
    </w:div>
    <w:div w:id="294795605">
      <w:bodyDiv w:val="1"/>
      <w:marLeft w:val="0"/>
      <w:marRight w:val="0"/>
      <w:marTop w:val="0"/>
      <w:marBottom w:val="0"/>
      <w:divBdr>
        <w:top w:val="none" w:sz="0" w:space="0" w:color="auto"/>
        <w:left w:val="none" w:sz="0" w:space="0" w:color="auto"/>
        <w:bottom w:val="none" w:sz="0" w:space="0" w:color="auto"/>
        <w:right w:val="none" w:sz="0" w:space="0" w:color="auto"/>
      </w:divBdr>
    </w:div>
    <w:div w:id="380793122">
      <w:bodyDiv w:val="1"/>
      <w:marLeft w:val="0"/>
      <w:marRight w:val="0"/>
      <w:marTop w:val="0"/>
      <w:marBottom w:val="0"/>
      <w:divBdr>
        <w:top w:val="none" w:sz="0" w:space="0" w:color="auto"/>
        <w:left w:val="none" w:sz="0" w:space="0" w:color="auto"/>
        <w:bottom w:val="none" w:sz="0" w:space="0" w:color="auto"/>
        <w:right w:val="none" w:sz="0" w:space="0" w:color="auto"/>
      </w:divBdr>
    </w:div>
    <w:div w:id="412777825">
      <w:bodyDiv w:val="1"/>
      <w:marLeft w:val="0"/>
      <w:marRight w:val="0"/>
      <w:marTop w:val="0"/>
      <w:marBottom w:val="0"/>
      <w:divBdr>
        <w:top w:val="none" w:sz="0" w:space="0" w:color="auto"/>
        <w:left w:val="none" w:sz="0" w:space="0" w:color="auto"/>
        <w:bottom w:val="none" w:sz="0" w:space="0" w:color="auto"/>
        <w:right w:val="none" w:sz="0" w:space="0" w:color="auto"/>
      </w:divBdr>
    </w:div>
    <w:div w:id="686635478">
      <w:bodyDiv w:val="1"/>
      <w:marLeft w:val="0"/>
      <w:marRight w:val="0"/>
      <w:marTop w:val="0"/>
      <w:marBottom w:val="0"/>
      <w:divBdr>
        <w:top w:val="none" w:sz="0" w:space="0" w:color="auto"/>
        <w:left w:val="none" w:sz="0" w:space="0" w:color="auto"/>
        <w:bottom w:val="none" w:sz="0" w:space="0" w:color="auto"/>
        <w:right w:val="none" w:sz="0" w:space="0" w:color="auto"/>
      </w:divBdr>
    </w:div>
    <w:div w:id="687219635">
      <w:bodyDiv w:val="1"/>
      <w:marLeft w:val="0"/>
      <w:marRight w:val="0"/>
      <w:marTop w:val="0"/>
      <w:marBottom w:val="0"/>
      <w:divBdr>
        <w:top w:val="none" w:sz="0" w:space="0" w:color="auto"/>
        <w:left w:val="none" w:sz="0" w:space="0" w:color="auto"/>
        <w:bottom w:val="none" w:sz="0" w:space="0" w:color="auto"/>
        <w:right w:val="none" w:sz="0" w:space="0" w:color="auto"/>
      </w:divBdr>
    </w:div>
    <w:div w:id="720523920">
      <w:bodyDiv w:val="1"/>
      <w:marLeft w:val="0"/>
      <w:marRight w:val="0"/>
      <w:marTop w:val="0"/>
      <w:marBottom w:val="0"/>
      <w:divBdr>
        <w:top w:val="none" w:sz="0" w:space="0" w:color="auto"/>
        <w:left w:val="none" w:sz="0" w:space="0" w:color="auto"/>
        <w:bottom w:val="none" w:sz="0" w:space="0" w:color="auto"/>
        <w:right w:val="none" w:sz="0" w:space="0" w:color="auto"/>
      </w:divBdr>
    </w:div>
    <w:div w:id="1254703281">
      <w:bodyDiv w:val="1"/>
      <w:marLeft w:val="0"/>
      <w:marRight w:val="0"/>
      <w:marTop w:val="0"/>
      <w:marBottom w:val="0"/>
      <w:divBdr>
        <w:top w:val="none" w:sz="0" w:space="0" w:color="auto"/>
        <w:left w:val="none" w:sz="0" w:space="0" w:color="auto"/>
        <w:bottom w:val="none" w:sz="0" w:space="0" w:color="auto"/>
        <w:right w:val="none" w:sz="0" w:space="0" w:color="auto"/>
      </w:divBdr>
    </w:div>
    <w:div w:id="1294404665">
      <w:bodyDiv w:val="1"/>
      <w:marLeft w:val="0"/>
      <w:marRight w:val="0"/>
      <w:marTop w:val="0"/>
      <w:marBottom w:val="0"/>
      <w:divBdr>
        <w:top w:val="none" w:sz="0" w:space="0" w:color="auto"/>
        <w:left w:val="none" w:sz="0" w:space="0" w:color="auto"/>
        <w:bottom w:val="none" w:sz="0" w:space="0" w:color="auto"/>
        <w:right w:val="none" w:sz="0" w:space="0" w:color="auto"/>
      </w:divBdr>
    </w:div>
    <w:div w:id="1345791243">
      <w:bodyDiv w:val="1"/>
      <w:marLeft w:val="0"/>
      <w:marRight w:val="0"/>
      <w:marTop w:val="0"/>
      <w:marBottom w:val="0"/>
      <w:divBdr>
        <w:top w:val="none" w:sz="0" w:space="0" w:color="auto"/>
        <w:left w:val="none" w:sz="0" w:space="0" w:color="auto"/>
        <w:bottom w:val="none" w:sz="0" w:space="0" w:color="auto"/>
        <w:right w:val="none" w:sz="0" w:space="0" w:color="auto"/>
      </w:divBdr>
      <w:divsChild>
        <w:div w:id="925961848">
          <w:marLeft w:val="0"/>
          <w:marRight w:val="0"/>
          <w:marTop w:val="0"/>
          <w:marBottom w:val="0"/>
          <w:divBdr>
            <w:top w:val="none" w:sz="0" w:space="0" w:color="auto"/>
            <w:left w:val="none" w:sz="0" w:space="0" w:color="auto"/>
            <w:bottom w:val="none" w:sz="0" w:space="0" w:color="auto"/>
            <w:right w:val="none" w:sz="0" w:space="0" w:color="auto"/>
          </w:divBdr>
        </w:div>
        <w:div w:id="567501656">
          <w:marLeft w:val="0"/>
          <w:marRight w:val="0"/>
          <w:marTop w:val="0"/>
          <w:marBottom w:val="0"/>
          <w:divBdr>
            <w:top w:val="none" w:sz="0" w:space="0" w:color="auto"/>
            <w:left w:val="none" w:sz="0" w:space="0" w:color="auto"/>
            <w:bottom w:val="none" w:sz="0" w:space="0" w:color="auto"/>
            <w:right w:val="none" w:sz="0" w:space="0" w:color="auto"/>
          </w:divBdr>
        </w:div>
        <w:div w:id="1018431697">
          <w:marLeft w:val="0"/>
          <w:marRight w:val="0"/>
          <w:marTop w:val="0"/>
          <w:marBottom w:val="0"/>
          <w:divBdr>
            <w:top w:val="none" w:sz="0" w:space="0" w:color="auto"/>
            <w:left w:val="none" w:sz="0" w:space="0" w:color="auto"/>
            <w:bottom w:val="none" w:sz="0" w:space="0" w:color="auto"/>
            <w:right w:val="none" w:sz="0" w:space="0" w:color="auto"/>
          </w:divBdr>
        </w:div>
      </w:divsChild>
    </w:div>
    <w:div w:id="1522549564">
      <w:bodyDiv w:val="1"/>
      <w:marLeft w:val="0"/>
      <w:marRight w:val="0"/>
      <w:marTop w:val="0"/>
      <w:marBottom w:val="0"/>
      <w:divBdr>
        <w:top w:val="none" w:sz="0" w:space="0" w:color="auto"/>
        <w:left w:val="none" w:sz="0" w:space="0" w:color="auto"/>
        <w:bottom w:val="none" w:sz="0" w:space="0" w:color="auto"/>
        <w:right w:val="none" w:sz="0" w:space="0" w:color="auto"/>
      </w:divBdr>
    </w:div>
    <w:div w:id="1656029397">
      <w:bodyDiv w:val="1"/>
      <w:marLeft w:val="0"/>
      <w:marRight w:val="0"/>
      <w:marTop w:val="0"/>
      <w:marBottom w:val="0"/>
      <w:divBdr>
        <w:top w:val="none" w:sz="0" w:space="0" w:color="auto"/>
        <w:left w:val="none" w:sz="0" w:space="0" w:color="auto"/>
        <w:bottom w:val="none" w:sz="0" w:space="0" w:color="auto"/>
        <w:right w:val="none" w:sz="0" w:space="0" w:color="auto"/>
      </w:divBdr>
      <w:divsChild>
        <w:div w:id="1973712723">
          <w:marLeft w:val="0"/>
          <w:marRight w:val="0"/>
          <w:marTop w:val="0"/>
          <w:marBottom w:val="0"/>
          <w:divBdr>
            <w:top w:val="none" w:sz="0" w:space="0" w:color="auto"/>
            <w:left w:val="none" w:sz="0" w:space="0" w:color="auto"/>
            <w:bottom w:val="none" w:sz="0" w:space="0" w:color="auto"/>
            <w:right w:val="none" w:sz="0" w:space="0" w:color="auto"/>
          </w:divBdr>
        </w:div>
        <w:div w:id="1409040900">
          <w:marLeft w:val="0"/>
          <w:marRight w:val="0"/>
          <w:marTop w:val="0"/>
          <w:marBottom w:val="0"/>
          <w:divBdr>
            <w:top w:val="none" w:sz="0" w:space="0" w:color="auto"/>
            <w:left w:val="none" w:sz="0" w:space="0" w:color="auto"/>
            <w:bottom w:val="none" w:sz="0" w:space="0" w:color="auto"/>
            <w:right w:val="none" w:sz="0" w:space="0" w:color="auto"/>
          </w:divBdr>
        </w:div>
        <w:div w:id="512112334">
          <w:marLeft w:val="0"/>
          <w:marRight w:val="0"/>
          <w:marTop w:val="0"/>
          <w:marBottom w:val="0"/>
          <w:divBdr>
            <w:top w:val="none" w:sz="0" w:space="0" w:color="auto"/>
            <w:left w:val="none" w:sz="0" w:space="0" w:color="auto"/>
            <w:bottom w:val="none" w:sz="0" w:space="0" w:color="auto"/>
            <w:right w:val="none" w:sz="0" w:space="0" w:color="auto"/>
          </w:divBdr>
        </w:div>
        <w:div w:id="591663136">
          <w:marLeft w:val="0"/>
          <w:marRight w:val="0"/>
          <w:marTop w:val="0"/>
          <w:marBottom w:val="0"/>
          <w:divBdr>
            <w:top w:val="none" w:sz="0" w:space="0" w:color="auto"/>
            <w:left w:val="none" w:sz="0" w:space="0" w:color="auto"/>
            <w:bottom w:val="none" w:sz="0" w:space="0" w:color="auto"/>
            <w:right w:val="none" w:sz="0" w:space="0" w:color="auto"/>
          </w:divBdr>
        </w:div>
        <w:div w:id="957109002">
          <w:marLeft w:val="0"/>
          <w:marRight w:val="0"/>
          <w:marTop w:val="0"/>
          <w:marBottom w:val="0"/>
          <w:divBdr>
            <w:top w:val="none" w:sz="0" w:space="0" w:color="auto"/>
            <w:left w:val="none" w:sz="0" w:space="0" w:color="auto"/>
            <w:bottom w:val="none" w:sz="0" w:space="0" w:color="auto"/>
            <w:right w:val="none" w:sz="0" w:space="0" w:color="auto"/>
          </w:divBdr>
        </w:div>
        <w:div w:id="1166899499">
          <w:marLeft w:val="0"/>
          <w:marRight w:val="0"/>
          <w:marTop w:val="0"/>
          <w:marBottom w:val="0"/>
          <w:divBdr>
            <w:top w:val="none" w:sz="0" w:space="0" w:color="auto"/>
            <w:left w:val="none" w:sz="0" w:space="0" w:color="auto"/>
            <w:bottom w:val="none" w:sz="0" w:space="0" w:color="auto"/>
            <w:right w:val="none" w:sz="0" w:space="0" w:color="auto"/>
          </w:divBdr>
        </w:div>
        <w:div w:id="206723274">
          <w:marLeft w:val="0"/>
          <w:marRight w:val="0"/>
          <w:marTop w:val="0"/>
          <w:marBottom w:val="0"/>
          <w:divBdr>
            <w:top w:val="none" w:sz="0" w:space="0" w:color="auto"/>
            <w:left w:val="none" w:sz="0" w:space="0" w:color="auto"/>
            <w:bottom w:val="none" w:sz="0" w:space="0" w:color="auto"/>
            <w:right w:val="none" w:sz="0" w:space="0" w:color="auto"/>
          </w:divBdr>
        </w:div>
        <w:div w:id="1868253903">
          <w:marLeft w:val="0"/>
          <w:marRight w:val="0"/>
          <w:marTop w:val="0"/>
          <w:marBottom w:val="0"/>
          <w:divBdr>
            <w:top w:val="none" w:sz="0" w:space="0" w:color="auto"/>
            <w:left w:val="none" w:sz="0" w:space="0" w:color="auto"/>
            <w:bottom w:val="none" w:sz="0" w:space="0" w:color="auto"/>
            <w:right w:val="none" w:sz="0" w:space="0" w:color="auto"/>
          </w:divBdr>
        </w:div>
        <w:div w:id="360401467">
          <w:marLeft w:val="0"/>
          <w:marRight w:val="0"/>
          <w:marTop w:val="0"/>
          <w:marBottom w:val="0"/>
          <w:divBdr>
            <w:top w:val="none" w:sz="0" w:space="0" w:color="auto"/>
            <w:left w:val="none" w:sz="0" w:space="0" w:color="auto"/>
            <w:bottom w:val="none" w:sz="0" w:space="0" w:color="auto"/>
            <w:right w:val="none" w:sz="0" w:space="0" w:color="auto"/>
          </w:divBdr>
        </w:div>
      </w:divsChild>
    </w:div>
    <w:div w:id="1675063009">
      <w:bodyDiv w:val="1"/>
      <w:marLeft w:val="0"/>
      <w:marRight w:val="0"/>
      <w:marTop w:val="0"/>
      <w:marBottom w:val="0"/>
      <w:divBdr>
        <w:top w:val="none" w:sz="0" w:space="0" w:color="auto"/>
        <w:left w:val="none" w:sz="0" w:space="0" w:color="auto"/>
        <w:bottom w:val="none" w:sz="0" w:space="0" w:color="auto"/>
        <w:right w:val="none" w:sz="0" w:space="0" w:color="auto"/>
      </w:divBdr>
    </w:div>
    <w:div w:id="1884252123">
      <w:bodyDiv w:val="1"/>
      <w:marLeft w:val="0"/>
      <w:marRight w:val="0"/>
      <w:marTop w:val="0"/>
      <w:marBottom w:val="0"/>
      <w:divBdr>
        <w:top w:val="none" w:sz="0" w:space="0" w:color="auto"/>
        <w:left w:val="none" w:sz="0" w:space="0" w:color="auto"/>
        <w:bottom w:val="none" w:sz="0" w:space="0" w:color="auto"/>
        <w:right w:val="none" w:sz="0" w:space="0" w:color="auto"/>
      </w:divBdr>
      <w:divsChild>
        <w:div w:id="1822307899">
          <w:marLeft w:val="0"/>
          <w:marRight w:val="0"/>
          <w:marTop w:val="0"/>
          <w:marBottom w:val="0"/>
          <w:divBdr>
            <w:top w:val="none" w:sz="0" w:space="0" w:color="auto"/>
            <w:left w:val="none" w:sz="0" w:space="0" w:color="auto"/>
            <w:bottom w:val="none" w:sz="0" w:space="0" w:color="auto"/>
            <w:right w:val="none" w:sz="0" w:space="0" w:color="auto"/>
          </w:divBdr>
        </w:div>
        <w:div w:id="302346674">
          <w:marLeft w:val="0"/>
          <w:marRight w:val="0"/>
          <w:marTop w:val="0"/>
          <w:marBottom w:val="0"/>
          <w:divBdr>
            <w:top w:val="none" w:sz="0" w:space="0" w:color="auto"/>
            <w:left w:val="none" w:sz="0" w:space="0" w:color="auto"/>
            <w:bottom w:val="none" w:sz="0" w:space="0" w:color="auto"/>
            <w:right w:val="none" w:sz="0" w:space="0" w:color="auto"/>
          </w:divBdr>
        </w:div>
      </w:divsChild>
    </w:div>
    <w:div w:id="2109544676">
      <w:bodyDiv w:val="1"/>
      <w:marLeft w:val="0"/>
      <w:marRight w:val="0"/>
      <w:marTop w:val="0"/>
      <w:marBottom w:val="0"/>
      <w:divBdr>
        <w:top w:val="none" w:sz="0" w:space="0" w:color="auto"/>
        <w:left w:val="none" w:sz="0" w:space="0" w:color="auto"/>
        <w:bottom w:val="none" w:sz="0" w:space="0" w:color="auto"/>
        <w:right w:val="none" w:sz="0" w:space="0" w:color="auto"/>
      </w:divBdr>
    </w:div>
    <w:div w:id="21215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28E0.21B01BF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is\OneDrive\Desktop\Standard%20Leg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D66B-ED3C-4D8E-B9C3-B20B6483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Legal Template</Template>
  <TotalTime>185</TotalTime>
  <Pages>23</Pages>
  <Words>4713</Words>
  <Characters>26867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Mary Bruce</cp:lastModifiedBy>
  <cp:revision>4</cp:revision>
  <cp:lastPrinted>2023-11-13T09:52:00Z</cp:lastPrinted>
  <dcterms:created xsi:type="dcterms:W3CDTF">2023-11-13T09:42:00Z</dcterms:created>
  <dcterms:modified xsi:type="dcterms:W3CDTF">2023-11-14T16:12:00Z</dcterms:modified>
</cp:coreProperties>
</file>