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9D0B8" w14:textId="742883EC" w:rsidR="004C26C2" w:rsidRDefault="004C26C2" w:rsidP="004C26C2">
      <w:pPr>
        <w:jc w:val="center"/>
      </w:pPr>
      <w:r>
        <w:rPr>
          <w:noProof/>
        </w:rPr>
        <w:drawing>
          <wp:inline distT="0" distB="0" distL="0" distR="0" wp14:anchorId="3EA570D2" wp14:editId="6BE61109">
            <wp:extent cx="841375"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1097280"/>
                    </a:xfrm>
                    <a:prstGeom prst="rect">
                      <a:avLst/>
                    </a:prstGeom>
                    <a:noFill/>
                  </pic:spPr>
                </pic:pic>
              </a:graphicData>
            </a:graphic>
          </wp:inline>
        </w:drawing>
      </w:r>
    </w:p>
    <w:p w14:paraId="35379F3E" w14:textId="77777777" w:rsidR="004C26C2" w:rsidRPr="00E44850" w:rsidRDefault="004C26C2" w:rsidP="004C26C2">
      <w:pPr>
        <w:spacing w:after="0" w:line="240" w:lineRule="auto"/>
        <w:jc w:val="center"/>
        <w:rPr>
          <w:rFonts w:ascii="Arial" w:eastAsia="Times New Roman" w:hAnsi="Arial" w:cs="Arial"/>
          <w:b/>
          <w:bCs/>
          <w:sz w:val="24"/>
          <w:szCs w:val="24"/>
        </w:rPr>
      </w:pPr>
      <w:r w:rsidRPr="00E44850">
        <w:rPr>
          <w:rFonts w:ascii="Arial" w:eastAsia="Times New Roman" w:hAnsi="Arial" w:cs="Arial"/>
          <w:b/>
          <w:bCs/>
          <w:sz w:val="24"/>
          <w:szCs w:val="24"/>
        </w:rPr>
        <w:t>IN THE HIGH COURT OF SOUTH AFRICA</w:t>
      </w:r>
    </w:p>
    <w:p w14:paraId="5E1B14DC" w14:textId="0E06271F" w:rsidR="009E0386" w:rsidRPr="0007599B" w:rsidRDefault="004C26C2" w:rsidP="004C26C2">
      <w:pPr>
        <w:rPr>
          <w:rFonts w:ascii="Arial" w:hAnsi="Arial" w:cs="Arial"/>
          <w:b/>
          <w:bCs/>
          <w:sz w:val="16"/>
          <w:szCs w:val="16"/>
        </w:rPr>
      </w:pPr>
      <w:r>
        <w:rPr>
          <w:rFonts w:ascii="Arial" w:hAnsi="Arial" w:cs="Arial"/>
          <w:b/>
          <w:bCs/>
          <w:sz w:val="24"/>
          <w:szCs w:val="24"/>
        </w:rPr>
        <w:t xml:space="preserve">                                  </w:t>
      </w:r>
      <w:r w:rsidRPr="00E44850">
        <w:rPr>
          <w:rFonts w:ascii="Arial" w:hAnsi="Arial" w:cs="Arial"/>
          <w:b/>
          <w:bCs/>
          <w:sz w:val="24"/>
          <w:szCs w:val="24"/>
        </w:rPr>
        <w:t>[WESTERN CAPE DIVISION, CAPE TOWN]</w:t>
      </w:r>
      <w:r>
        <w:rPr>
          <w:rFonts w:ascii="Arial" w:hAnsi="Arial" w:cs="Arial"/>
          <w:b/>
          <w:bCs/>
          <w:sz w:val="24"/>
          <w:szCs w:val="24"/>
        </w:rPr>
        <w:t xml:space="preserve">      </w:t>
      </w:r>
      <w:r w:rsidR="0007599B">
        <w:rPr>
          <w:rFonts w:ascii="Arial" w:hAnsi="Arial" w:cs="Arial"/>
          <w:b/>
          <w:bCs/>
          <w:sz w:val="24"/>
          <w:szCs w:val="24"/>
        </w:rPr>
        <w:t xml:space="preserve">     </w:t>
      </w:r>
      <w:r>
        <w:rPr>
          <w:rFonts w:ascii="Arial" w:hAnsi="Arial" w:cs="Arial"/>
          <w:b/>
          <w:bCs/>
          <w:sz w:val="24"/>
          <w:szCs w:val="24"/>
        </w:rPr>
        <w:t xml:space="preserve">  </w:t>
      </w:r>
      <w:r w:rsidR="0007599B">
        <w:rPr>
          <w:rFonts w:ascii="Arial" w:hAnsi="Arial" w:cs="Arial"/>
          <w:b/>
          <w:bCs/>
          <w:sz w:val="16"/>
          <w:szCs w:val="16"/>
        </w:rPr>
        <w:t>[REPORTABLE]</w:t>
      </w:r>
    </w:p>
    <w:p w14:paraId="31E4DB4D" w14:textId="060A8EF6" w:rsidR="004C26C2" w:rsidRPr="00624B56" w:rsidRDefault="004C26C2" w:rsidP="004C26C2">
      <w:pPr>
        <w:rPr>
          <w:rFonts w:ascii="Arial" w:hAnsi="Arial" w:cs="Arial"/>
          <w:b/>
          <w:bCs/>
          <w:sz w:val="16"/>
          <w:szCs w:val="16"/>
        </w:rPr>
      </w:pPr>
      <w:r>
        <w:rPr>
          <w:rFonts w:ascii="Arial" w:hAnsi="Arial" w:cs="Arial"/>
          <w:b/>
          <w:bCs/>
          <w:sz w:val="24"/>
          <w:szCs w:val="24"/>
        </w:rPr>
        <w:t xml:space="preserve">      </w:t>
      </w:r>
    </w:p>
    <w:p w14:paraId="7D74CF07" w14:textId="5C1BF82E" w:rsidR="004C26C2" w:rsidRPr="004C26C2" w:rsidRDefault="00E76C9C" w:rsidP="004C26C2">
      <w:pPr>
        <w:spacing w:after="0"/>
        <w:ind w:left="6480" w:firstLine="720"/>
        <w:rPr>
          <w:rFonts w:ascii="Arial" w:eastAsia="Calibri" w:hAnsi="Arial" w:cs="Arial"/>
          <w:bCs/>
          <w:sz w:val="24"/>
          <w:szCs w:val="24"/>
          <w:lang w:val="en-GB"/>
        </w:rPr>
      </w:pPr>
      <w:r>
        <w:rPr>
          <w:rFonts w:ascii="Arial" w:eastAsia="Calibri" w:hAnsi="Arial" w:cs="Arial"/>
          <w:bCs/>
          <w:sz w:val="24"/>
          <w:szCs w:val="24"/>
          <w:lang w:val="en-GB"/>
        </w:rPr>
        <w:t xml:space="preserve">     </w:t>
      </w:r>
      <w:r w:rsidR="004C26C2" w:rsidRPr="004C26C2">
        <w:rPr>
          <w:rFonts w:ascii="Arial" w:eastAsia="Calibri" w:hAnsi="Arial" w:cs="Arial"/>
          <w:bCs/>
          <w:sz w:val="24"/>
          <w:szCs w:val="24"/>
          <w:lang w:val="en-GB"/>
        </w:rPr>
        <w:t xml:space="preserve">Case no: </w:t>
      </w:r>
      <w:r w:rsidR="004C26C2">
        <w:rPr>
          <w:rFonts w:ascii="Arial" w:eastAsia="Calibri" w:hAnsi="Arial" w:cs="Arial"/>
          <w:bCs/>
          <w:sz w:val="24"/>
          <w:szCs w:val="24"/>
          <w:lang w:val="en-GB"/>
        </w:rPr>
        <w:t>A15</w:t>
      </w:r>
      <w:r w:rsidR="004C26C2" w:rsidRPr="004C26C2">
        <w:rPr>
          <w:rFonts w:ascii="Arial" w:eastAsia="Calibri" w:hAnsi="Arial" w:cs="Arial"/>
          <w:bCs/>
          <w:sz w:val="24"/>
          <w:szCs w:val="24"/>
          <w:lang w:val="en-GB"/>
        </w:rPr>
        <w:t>/2</w:t>
      </w:r>
      <w:r w:rsidR="004C26C2">
        <w:rPr>
          <w:rFonts w:ascii="Arial" w:eastAsia="Calibri" w:hAnsi="Arial" w:cs="Arial"/>
          <w:bCs/>
          <w:sz w:val="24"/>
          <w:szCs w:val="24"/>
          <w:lang w:val="en-GB"/>
        </w:rPr>
        <w:t>2</w:t>
      </w:r>
      <w:r w:rsidR="004C26C2" w:rsidRPr="004C26C2">
        <w:rPr>
          <w:rFonts w:ascii="Arial" w:eastAsia="Calibri" w:hAnsi="Arial" w:cs="Arial"/>
          <w:bCs/>
          <w:sz w:val="24"/>
          <w:szCs w:val="24"/>
          <w:lang w:val="en-GB"/>
        </w:rPr>
        <w:t xml:space="preserve">                                                                                               </w:t>
      </w:r>
    </w:p>
    <w:p w14:paraId="05374033" w14:textId="77777777" w:rsidR="004C26C2" w:rsidRPr="004C26C2" w:rsidRDefault="004C26C2" w:rsidP="004C26C2">
      <w:pPr>
        <w:spacing w:line="240" w:lineRule="auto"/>
        <w:rPr>
          <w:rFonts w:ascii="Arial" w:eastAsia="Calibri" w:hAnsi="Arial" w:cs="Arial"/>
          <w:bCs/>
          <w:sz w:val="24"/>
          <w:szCs w:val="24"/>
          <w:lang w:val="en-GB"/>
        </w:rPr>
      </w:pPr>
      <w:r w:rsidRPr="004C26C2">
        <w:rPr>
          <w:rFonts w:ascii="Arial" w:eastAsia="Calibri" w:hAnsi="Arial" w:cs="Arial"/>
          <w:bCs/>
          <w:sz w:val="24"/>
          <w:szCs w:val="24"/>
          <w:lang w:val="en-GB"/>
        </w:rPr>
        <w:t xml:space="preserve">                                                                     </w:t>
      </w:r>
    </w:p>
    <w:p w14:paraId="33A6935C" w14:textId="77777777" w:rsidR="004C26C2" w:rsidRPr="004C26C2" w:rsidRDefault="004C26C2" w:rsidP="004C26C2">
      <w:pPr>
        <w:spacing w:after="0" w:line="240" w:lineRule="auto"/>
        <w:rPr>
          <w:rFonts w:ascii="Arial" w:eastAsia="Calibri" w:hAnsi="Arial" w:cs="Arial"/>
          <w:sz w:val="24"/>
          <w:szCs w:val="24"/>
          <w:lang w:val="en-GB"/>
        </w:rPr>
      </w:pPr>
      <w:bookmarkStart w:id="0" w:name="_Hlk120021438"/>
      <w:r w:rsidRPr="004C26C2">
        <w:rPr>
          <w:rFonts w:ascii="Arial" w:eastAsia="Calibri" w:hAnsi="Arial" w:cs="Arial"/>
          <w:sz w:val="24"/>
          <w:szCs w:val="24"/>
          <w:lang w:val="en-GB"/>
        </w:rPr>
        <w:t>In the matter between:</w:t>
      </w:r>
    </w:p>
    <w:bookmarkEnd w:id="0"/>
    <w:p w14:paraId="186FF80E" w14:textId="77777777" w:rsidR="004C26C2" w:rsidRPr="004C26C2" w:rsidRDefault="004C26C2" w:rsidP="004C26C2">
      <w:pPr>
        <w:spacing w:after="0" w:line="240" w:lineRule="auto"/>
        <w:rPr>
          <w:rFonts w:ascii="Arial" w:eastAsia="Calibri" w:hAnsi="Arial" w:cs="Arial"/>
          <w:b/>
          <w:bCs/>
          <w:sz w:val="24"/>
          <w:szCs w:val="24"/>
          <w:lang w:val="en-GB"/>
        </w:rPr>
      </w:pPr>
    </w:p>
    <w:p w14:paraId="1A8BFD71" w14:textId="11F0FD14" w:rsidR="004C26C2" w:rsidRPr="004C26C2" w:rsidRDefault="004C26C2" w:rsidP="004C26C2">
      <w:pPr>
        <w:spacing w:after="0" w:line="240" w:lineRule="auto"/>
        <w:rPr>
          <w:rFonts w:ascii="Arial" w:eastAsia="Calibri" w:hAnsi="Arial" w:cs="Arial"/>
          <w:b/>
          <w:bCs/>
          <w:sz w:val="24"/>
          <w:szCs w:val="24"/>
          <w:lang w:val="en-GB"/>
        </w:rPr>
      </w:pPr>
      <w:bookmarkStart w:id="1" w:name="_Hlk120022196"/>
      <w:r w:rsidRPr="004C26C2">
        <w:rPr>
          <w:rFonts w:ascii="Arial" w:eastAsia="Calibri" w:hAnsi="Arial" w:cs="Arial"/>
          <w:b/>
          <w:bCs/>
          <w:sz w:val="24"/>
          <w:szCs w:val="24"/>
          <w:lang w:val="en-GB"/>
        </w:rPr>
        <w:t>COLIN STUART BLACHER</w:t>
      </w:r>
      <w:r>
        <w:rPr>
          <w:rFonts w:ascii="Arial" w:eastAsia="Calibri" w:hAnsi="Arial" w:cs="Arial"/>
          <w:sz w:val="24"/>
          <w:szCs w:val="24"/>
          <w:lang w:val="en-GB"/>
        </w:rPr>
        <w:t xml:space="preserve"> </w:t>
      </w:r>
      <w:r w:rsidRPr="004C26C2">
        <w:rPr>
          <w:rFonts w:ascii="Arial" w:eastAsia="Calibri" w:hAnsi="Arial" w:cs="Arial"/>
          <w:sz w:val="24"/>
          <w:szCs w:val="24"/>
          <w:lang w:val="en-GB"/>
        </w:rPr>
        <w:t xml:space="preserve">                                       </w:t>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Pr>
          <w:rFonts w:ascii="Arial" w:eastAsia="Calibri" w:hAnsi="Arial" w:cs="Arial"/>
          <w:sz w:val="24"/>
          <w:szCs w:val="24"/>
          <w:lang w:val="en-GB"/>
        </w:rPr>
        <w:tab/>
      </w:r>
      <w:r w:rsidR="00EC4135">
        <w:rPr>
          <w:rFonts w:ascii="Arial" w:eastAsia="Calibri" w:hAnsi="Arial" w:cs="Arial"/>
          <w:sz w:val="24"/>
          <w:szCs w:val="24"/>
          <w:lang w:val="en-GB"/>
        </w:rPr>
        <w:t xml:space="preserve">      </w:t>
      </w:r>
      <w:r w:rsidRPr="004C26C2">
        <w:rPr>
          <w:rFonts w:ascii="Arial" w:eastAsia="Calibri" w:hAnsi="Arial" w:cs="Arial"/>
          <w:sz w:val="24"/>
          <w:szCs w:val="24"/>
          <w:lang w:val="en-GB"/>
        </w:rPr>
        <w:t>App</w:t>
      </w:r>
      <w:r>
        <w:rPr>
          <w:rFonts w:ascii="Arial" w:eastAsia="Calibri" w:hAnsi="Arial" w:cs="Arial"/>
          <w:sz w:val="24"/>
          <w:szCs w:val="24"/>
          <w:lang w:val="en-GB"/>
        </w:rPr>
        <w:t>ellant</w:t>
      </w:r>
      <w:r w:rsidRPr="004C26C2">
        <w:rPr>
          <w:rFonts w:ascii="Arial" w:eastAsia="Calibri" w:hAnsi="Arial" w:cs="Arial"/>
          <w:sz w:val="24"/>
          <w:szCs w:val="24"/>
          <w:lang w:val="en-GB"/>
        </w:rPr>
        <w:t xml:space="preserve"> </w:t>
      </w:r>
    </w:p>
    <w:p w14:paraId="07868F0D" w14:textId="77777777" w:rsidR="004C26C2" w:rsidRPr="004C26C2" w:rsidRDefault="004C26C2" w:rsidP="004C26C2">
      <w:pPr>
        <w:spacing w:after="0" w:line="240" w:lineRule="auto"/>
        <w:rPr>
          <w:rFonts w:ascii="Arial" w:eastAsia="Calibri" w:hAnsi="Arial" w:cs="Arial"/>
          <w:b/>
          <w:bCs/>
          <w:sz w:val="24"/>
          <w:szCs w:val="24"/>
          <w:lang w:val="en-GB"/>
        </w:rPr>
      </w:pPr>
      <w:r w:rsidRPr="004C26C2">
        <w:rPr>
          <w:rFonts w:ascii="Arial" w:eastAsia="Calibri" w:hAnsi="Arial" w:cs="Arial"/>
          <w:b/>
          <w:bCs/>
          <w:sz w:val="24"/>
          <w:szCs w:val="24"/>
          <w:lang w:val="en-GB"/>
        </w:rPr>
        <w:t xml:space="preserve">                                                                                     </w:t>
      </w:r>
    </w:p>
    <w:bookmarkEnd w:id="1"/>
    <w:p w14:paraId="63469FC3" w14:textId="77777777" w:rsidR="004C26C2" w:rsidRPr="004C26C2" w:rsidRDefault="004C26C2" w:rsidP="004C26C2">
      <w:pPr>
        <w:spacing w:after="0" w:line="240" w:lineRule="auto"/>
        <w:rPr>
          <w:rFonts w:ascii="Arial" w:eastAsia="Calibri" w:hAnsi="Arial" w:cs="Arial"/>
          <w:sz w:val="24"/>
          <w:szCs w:val="24"/>
          <w:lang w:val="en-ZA"/>
        </w:rPr>
      </w:pPr>
      <w:r w:rsidRPr="004C26C2">
        <w:rPr>
          <w:rFonts w:ascii="Arial" w:eastAsia="Calibri" w:hAnsi="Arial" w:cs="Arial"/>
          <w:sz w:val="24"/>
          <w:szCs w:val="24"/>
          <w:lang w:val="en-ZA"/>
        </w:rPr>
        <w:t>and</w:t>
      </w:r>
    </w:p>
    <w:p w14:paraId="276BE7BD" w14:textId="77777777" w:rsidR="004C26C2" w:rsidRPr="004C26C2" w:rsidRDefault="004C26C2" w:rsidP="004C26C2">
      <w:pPr>
        <w:spacing w:after="0" w:line="240" w:lineRule="auto"/>
        <w:rPr>
          <w:rFonts w:ascii="Arial" w:eastAsia="Calibri" w:hAnsi="Arial" w:cs="Arial"/>
          <w:b/>
          <w:sz w:val="24"/>
          <w:szCs w:val="24"/>
        </w:rPr>
      </w:pPr>
    </w:p>
    <w:p w14:paraId="71A606B6" w14:textId="0D1D6E86" w:rsidR="004C26C2" w:rsidRPr="004C26C2" w:rsidRDefault="004C26C2" w:rsidP="004C26C2">
      <w:pPr>
        <w:spacing w:after="0" w:line="240" w:lineRule="auto"/>
        <w:rPr>
          <w:rFonts w:ascii="Arial" w:eastAsia="Calibri" w:hAnsi="Arial" w:cs="Arial"/>
          <w:b/>
          <w:bCs/>
          <w:sz w:val="24"/>
          <w:szCs w:val="24"/>
        </w:rPr>
      </w:pPr>
      <w:bookmarkStart w:id="2" w:name="_Hlk120021644"/>
      <w:r w:rsidRPr="004C26C2">
        <w:rPr>
          <w:rFonts w:ascii="Arial" w:eastAsia="Calibri" w:hAnsi="Arial" w:cs="Arial"/>
          <w:b/>
          <w:bCs/>
          <w:sz w:val="24"/>
          <w:szCs w:val="24"/>
        </w:rPr>
        <w:t xml:space="preserve">DAVID </w:t>
      </w:r>
      <w:bookmarkStart w:id="3" w:name="_GoBack"/>
      <w:r w:rsidR="00CC1D03" w:rsidRPr="004C26C2">
        <w:rPr>
          <w:rFonts w:ascii="Arial" w:eastAsia="Calibri" w:hAnsi="Arial" w:cs="Arial"/>
          <w:b/>
          <w:bCs/>
          <w:sz w:val="24"/>
          <w:szCs w:val="24"/>
        </w:rPr>
        <w:t>JOSEPHSON</w:t>
      </w:r>
      <w:bookmarkEnd w:id="3"/>
      <w:r w:rsidR="00CC1D03" w:rsidRPr="004C26C2">
        <w:rPr>
          <w:rFonts w:ascii="Arial" w:eastAsia="Calibri" w:hAnsi="Arial" w:cs="Arial"/>
          <w:sz w:val="24"/>
          <w:szCs w:val="24"/>
        </w:rPr>
        <w:t xml:space="preserve"> </w:t>
      </w:r>
      <w:r w:rsidR="00CC1D03" w:rsidRPr="004C26C2">
        <w:rPr>
          <w:rFonts w:ascii="Arial" w:eastAsia="Calibri" w:hAnsi="Arial" w:cs="Arial"/>
          <w:bCs/>
          <w:sz w:val="24"/>
          <w:szCs w:val="24"/>
        </w:rPr>
        <w:tab/>
      </w:r>
      <w:r w:rsidRPr="004C26C2">
        <w:rPr>
          <w:rFonts w:ascii="Arial" w:eastAsia="Calibri" w:hAnsi="Arial" w:cs="Arial"/>
          <w:bCs/>
          <w:sz w:val="24"/>
          <w:szCs w:val="24"/>
        </w:rPr>
        <w:tab/>
        <w:t xml:space="preserve">    </w:t>
      </w:r>
      <w:r>
        <w:rPr>
          <w:rFonts w:ascii="Arial" w:eastAsia="Calibri" w:hAnsi="Arial" w:cs="Arial"/>
          <w:bCs/>
          <w:sz w:val="24"/>
          <w:szCs w:val="24"/>
        </w:rPr>
        <w:t xml:space="preserve">                                                        </w:t>
      </w:r>
      <w:r w:rsidR="00EC4135">
        <w:rPr>
          <w:rFonts w:ascii="Arial" w:eastAsia="Calibri" w:hAnsi="Arial" w:cs="Arial"/>
          <w:bCs/>
          <w:sz w:val="24"/>
          <w:szCs w:val="24"/>
        </w:rPr>
        <w:t xml:space="preserve">    </w:t>
      </w:r>
      <w:r>
        <w:rPr>
          <w:rFonts w:ascii="Arial" w:eastAsia="Calibri" w:hAnsi="Arial" w:cs="Arial"/>
          <w:bCs/>
          <w:sz w:val="24"/>
          <w:szCs w:val="24"/>
        </w:rPr>
        <w:t xml:space="preserve">  </w:t>
      </w:r>
      <w:r w:rsidRPr="004C26C2">
        <w:rPr>
          <w:rFonts w:ascii="Arial" w:eastAsia="Calibri" w:hAnsi="Arial" w:cs="Arial"/>
          <w:bCs/>
          <w:sz w:val="24"/>
          <w:szCs w:val="24"/>
        </w:rPr>
        <w:t>R</w:t>
      </w:r>
      <w:r w:rsidRPr="004C26C2">
        <w:rPr>
          <w:rFonts w:ascii="Arial" w:eastAsia="Calibri" w:hAnsi="Arial" w:cs="Arial"/>
          <w:sz w:val="24"/>
          <w:szCs w:val="24"/>
          <w:lang w:val="en-GB"/>
        </w:rPr>
        <w:t>espondent</w:t>
      </w:r>
    </w:p>
    <w:bookmarkEnd w:id="2"/>
    <w:p w14:paraId="5045784A" w14:textId="77777777" w:rsidR="004C26C2" w:rsidRPr="004C26C2" w:rsidRDefault="004C26C2" w:rsidP="004C26C2">
      <w:pPr>
        <w:pBdr>
          <w:bottom w:val="single" w:sz="12" w:space="1" w:color="auto"/>
        </w:pBdr>
        <w:adjustRightInd w:val="0"/>
        <w:spacing w:after="0" w:line="240" w:lineRule="auto"/>
        <w:jc w:val="both"/>
        <w:textAlignment w:val="baseline"/>
        <w:rPr>
          <w:rFonts w:ascii="Arial" w:eastAsia="Times New Roman" w:hAnsi="Arial" w:cs="Arial"/>
          <w:snapToGrid w:val="0"/>
          <w:sz w:val="24"/>
          <w:szCs w:val="24"/>
          <w:lang w:val="en-GB"/>
        </w:rPr>
      </w:pPr>
    </w:p>
    <w:p w14:paraId="210A3EDF" w14:textId="77777777" w:rsidR="004C26C2" w:rsidRPr="004C26C2" w:rsidRDefault="004C26C2" w:rsidP="004C26C2">
      <w:pPr>
        <w:pBdr>
          <w:bottom w:val="single" w:sz="12" w:space="1" w:color="auto"/>
        </w:pBdr>
        <w:adjustRightInd w:val="0"/>
        <w:spacing w:after="0" w:line="240" w:lineRule="auto"/>
        <w:jc w:val="both"/>
        <w:textAlignment w:val="baseline"/>
        <w:rPr>
          <w:rFonts w:ascii="Arial" w:eastAsia="Times New Roman" w:hAnsi="Arial" w:cs="Arial"/>
          <w:b/>
          <w:bCs/>
          <w:snapToGrid w:val="0"/>
          <w:sz w:val="24"/>
          <w:szCs w:val="24"/>
          <w:lang w:val="en-GB"/>
        </w:rPr>
      </w:pPr>
    </w:p>
    <w:p w14:paraId="211AB340" w14:textId="77777777" w:rsidR="004C26C2" w:rsidRPr="004C26C2" w:rsidRDefault="004C26C2" w:rsidP="004C26C2">
      <w:pPr>
        <w:adjustRightInd w:val="0"/>
        <w:spacing w:after="0" w:line="240" w:lineRule="auto"/>
        <w:jc w:val="both"/>
        <w:textAlignment w:val="baseline"/>
        <w:rPr>
          <w:rFonts w:ascii="Arial" w:eastAsia="Times New Roman" w:hAnsi="Arial" w:cs="Arial"/>
          <w:b/>
          <w:bCs/>
          <w:snapToGrid w:val="0"/>
          <w:sz w:val="24"/>
          <w:szCs w:val="24"/>
          <w:lang w:val="en-GB"/>
        </w:rPr>
      </w:pPr>
    </w:p>
    <w:p w14:paraId="185B679C" w14:textId="03A73787" w:rsidR="004C26C2" w:rsidRPr="004C26C2" w:rsidRDefault="004C26C2" w:rsidP="004C26C2">
      <w:pPr>
        <w:adjustRightInd w:val="0"/>
        <w:spacing w:after="0" w:line="240" w:lineRule="auto"/>
        <w:jc w:val="center"/>
        <w:textAlignment w:val="baseline"/>
        <w:rPr>
          <w:rFonts w:ascii="Arial" w:eastAsia="Times New Roman" w:hAnsi="Arial" w:cs="Arial"/>
          <w:b/>
          <w:bCs/>
          <w:snapToGrid w:val="0"/>
          <w:sz w:val="24"/>
          <w:szCs w:val="24"/>
          <w:lang w:val="en-GB"/>
        </w:rPr>
      </w:pPr>
      <w:r w:rsidRPr="004C26C2">
        <w:rPr>
          <w:rFonts w:ascii="Arial" w:eastAsia="Times New Roman" w:hAnsi="Arial" w:cs="Arial"/>
          <w:b/>
          <w:bCs/>
          <w:snapToGrid w:val="0"/>
          <w:sz w:val="24"/>
          <w:szCs w:val="24"/>
          <w:lang w:val="en-GB"/>
        </w:rPr>
        <w:t xml:space="preserve">JUDGMENT DELIVERED (VIA EMAIL) ON </w:t>
      </w:r>
      <w:r w:rsidR="00F31DE6">
        <w:rPr>
          <w:rFonts w:ascii="Arial" w:eastAsia="Times New Roman" w:hAnsi="Arial" w:cs="Arial"/>
          <w:b/>
          <w:bCs/>
          <w:snapToGrid w:val="0"/>
          <w:sz w:val="24"/>
          <w:szCs w:val="24"/>
          <w:lang w:val="en-GB"/>
        </w:rPr>
        <w:t>14</w:t>
      </w:r>
      <w:r w:rsidRPr="004C26C2">
        <w:rPr>
          <w:rFonts w:ascii="Arial" w:eastAsia="Times New Roman" w:hAnsi="Arial" w:cs="Arial"/>
          <w:b/>
          <w:bCs/>
          <w:snapToGrid w:val="0"/>
          <w:sz w:val="24"/>
          <w:szCs w:val="24"/>
          <w:lang w:val="en-GB"/>
        </w:rPr>
        <w:t xml:space="preserve"> </w:t>
      </w:r>
      <w:r w:rsidR="00400888">
        <w:rPr>
          <w:rFonts w:ascii="Arial" w:eastAsia="Times New Roman" w:hAnsi="Arial" w:cs="Arial"/>
          <w:b/>
          <w:bCs/>
          <w:snapToGrid w:val="0"/>
          <w:sz w:val="24"/>
          <w:szCs w:val="24"/>
          <w:lang w:val="en-GB"/>
        </w:rPr>
        <w:t>FEBR</w:t>
      </w:r>
      <w:r>
        <w:rPr>
          <w:rFonts w:ascii="Arial" w:eastAsia="Times New Roman" w:hAnsi="Arial" w:cs="Arial"/>
          <w:b/>
          <w:bCs/>
          <w:snapToGrid w:val="0"/>
          <w:sz w:val="24"/>
          <w:szCs w:val="24"/>
          <w:lang w:val="en-GB"/>
        </w:rPr>
        <w:t>UARY</w:t>
      </w:r>
      <w:r w:rsidRPr="004C26C2">
        <w:rPr>
          <w:rFonts w:ascii="Arial" w:eastAsia="Times New Roman" w:hAnsi="Arial" w:cs="Arial"/>
          <w:b/>
          <w:bCs/>
          <w:snapToGrid w:val="0"/>
          <w:sz w:val="24"/>
          <w:szCs w:val="24"/>
          <w:lang w:val="en-GB"/>
        </w:rPr>
        <w:t xml:space="preserve"> 202</w:t>
      </w:r>
      <w:r>
        <w:rPr>
          <w:rFonts w:ascii="Arial" w:eastAsia="Times New Roman" w:hAnsi="Arial" w:cs="Arial"/>
          <w:b/>
          <w:bCs/>
          <w:snapToGrid w:val="0"/>
          <w:sz w:val="24"/>
          <w:szCs w:val="24"/>
          <w:lang w:val="en-GB"/>
        </w:rPr>
        <w:t>3</w:t>
      </w:r>
      <w:r w:rsidRPr="004C26C2">
        <w:rPr>
          <w:rFonts w:ascii="Arial" w:eastAsia="Times New Roman" w:hAnsi="Arial" w:cs="Arial"/>
          <w:b/>
          <w:bCs/>
          <w:snapToGrid w:val="0"/>
          <w:sz w:val="24"/>
          <w:szCs w:val="24"/>
          <w:lang w:val="en-GB"/>
        </w:rPr>
        <w:t xml:space="preserve">   </w:t>
      </w:r>
    </w:p>
    <w:p w14:paraId="05A2787C" w14:textId="77777777" w:rsidR="004C26C2" w:rsidRPr="004C26C2" w:rsidRDefault="004C26C2" w:rsidP="004C26C2">
      <w:pPr>
        <w:adjustRightInd w:val="0"/>
        <w:spacing w:after="0" w:line="240" w:lineRule="auto"/>
        <w:jc w:val="both"/>
        <w:textAlignment w:val="baseline"/>
        <w:rPr>
          <w:rFonts w:ascii="Arial" w:eastAsia="Times New Roman" w:hAnsi="Arial" w:cs="Arial"/>
          <w:b/>
          <w:bCs/>
          <w:snapToGrid w:val="0"/>
          <w:sz w:val="24"/>
          <w:szCs w:val="24"/>
          <w:lang w:val="en-GB"/>
        </w:rPr>
      </w:pPr>
      <w:r w:rsidRPr="004C26C2">
        <w:rPr>
          <w:rFonts w:ascii="Arial" w:eastAsia="Times New Roman" w:hAnsi="Arial" w:cs="Arial"/>
          <w:b/>
          <w:bCs/>
          <w:snapToGrid w:val="0"/>
          <w:sz w:val="24"/>
          <w:szCs w:val="24"/>
          <w:lang w:val="en-GB"/>
        </w:rPr>
        <w:t>______________________________________________________________________</w:t>
      </w:r>
    </w:p>
    <w:p w14:paraId="44F4D1FD" w14:textId="77777777" w:rsidR="004C26C2" w:rsidRPr="004C26C2" w:rsidRDefault="004C26C2" w:rsidP="004C26C2">
      <w:pPr>
        <w:adjustRightInd w:val="0"/>
        <w:spacing w:line="360" w:lineRule="auto"/>
        <w:jc w:val="both"/>
        <w:textAlignment w:val="baseline"/>
        <w:rPr>
          <w:rFonts w:ascii="Arial" w:eastAsia="Times New Roman" w:hAnsi="Arial" w:cs="Arial"/>
          <w:b/>
          <w:bCs/>
          <w:sz w:val="24"/>
          <w:szCs w:val="24"/>
          <w:lang w:val="en-GB"/>
        </w:rPr>
      </w:pPr>
    </w:p>
    <w:p w14:paraId="7F289F70" w14:textId="0281CFC6" w:rsidR="004C26C2" w:rsidRPr="004C26C2" w:rsidRDefault="004C26C2" w:rsidP="004C26C2">
      <w:pPr>
        <w:adjustRightInd w:val="0"/>
        <w:spacing w:line="360" w:lineRule="auto"/>
        <w:jc w:val="both"/>
        <w:textAlignment w:val="baseline"/>
        <w:rPr>
          <w:rFonts w:ascii="Arial" w:eastAsia="Times New Roman" w:hAnsi="Arial" w:cs="Arial"/>
          <w:b/>
          <w:bCs/>
          <w:sz w:val="24"/>
          <w:szCs w:val="24"/>
          <w:lang w:val="en-GB"/>
        </w:rPr>
      </w:pPr>
      <w:r w:rsidRPr="004C26C2">
        <w:rPr>
          <w:rFonts w:ascii="Arial" w:eastAsia="Times New Roman" w:hAnsi="Arial" w:cs="Arial"/>
          <w:b/>
          <w:bCs/>
          <w:sz w:val="24"/>
          <w:szCs w:val="24"/>
          <w:lang w:val="en-GB"/>
        </w:rPr>
        <w:t>SHER, J</w:t>
      </w:r>
      <w:r>
        <w:rPr>
          <w:rFonts w:ascii="Arial" w:eastAsia="Times New Roman" w:hAnsi="Arial" w:cs="Arial"/>
          <w:b/>
          <w:bCs/>
          <w:sz w:val="24"/>
          <w:szCs w:val="24"/>
          <w:lang w:val="en-GB"/>
        </w:rPr>
        <w:t xml:space="preserve"> (LE GRANGE J </w:t>
      </w:r>
      <w:r w:rsidR="00096E7C">
        <w:rPr>
          <w:rFonts w:ascii="Arial" w:eastAsia="Times New Roman" w:hAnsi="Arial" w:cs="Arial"/>
          <w:b/>
          <w:bCs/>
          <w:sz w:val="24"/>
          <w:szCs w:val="24"/>
          <w:lang w:val="en-GB"/>
        </w:rPr>
        <w:t xml:space="preserve">et GAMBLE J </w:t>
      </w:r>
      <w:r>
        <w:rPr>
          <w:rFonts w:ascii="Arial" w:eastAsia="Times New Roman" w:hAnsi="Arial" w:cs="Arial"/>
          <w:b/>
          <w:bCs/>
          <w:sz w:val="24"/>
          <w:szCs w:val="24"/>
          <w:lang w:val="en-GB"/>
        </w:rPr>
        <w:t xml:space="preserve">concurring) </w:t>
      </w:r>
    </w:p>
    <w:p w14:paraId="73FFEC46" w14:textId="2DB60D28" w:rsidR="00340ABD" w:rsidRPr="00ED035A" w:rsidRDefault="00601627" w:rsidP="00601627">
      <w:pPr>
        <w:adjustRightInd w:val="0"/>
        <w:spacing w:after="0" w:line="360" w:lineRule="auto"/>
        <w:ind w:left="720" w:hanging="720"/>
        <w:contextualSpacing/>
        <w:jc w:val="both"/>
        <w:textAlignment w:val="baseline"/>
        <w:rPr>
          <w:rFonts w:ascii="Arial" w:eastAsia="Calibri" w:hAnsi="Arial" w:cs="Arial"/>
          <w:sz w:val="24"/>
        </w:rPr>
      </w:pPr>
      <w:r w:rsidRPr="00ED035A">
        <w:rPr>
          <w:rFonts w:ascii="Arial" w:eastAsia="Calibri" w:hAnsi="Arial" w:cs="Arial"/>
          <w:sz w:val="24"/>
        </w:rPr>
        <w:t>1.</w:t>
      </w:r>
      <w:r w:rsidRPr="00ED035A">
        <w:rPr>
          <w:rFonts w:ascii="Arial" w:eastAsia="Calibri" w:hAnsi="Arial" w:cs="Arial"/>
          <w:sz w:val="24"/>
        </w:rPr>
        <w:tab/>
      </w:r>
      <w:r w:rsidR="00340ABD">
        <w:rPr>
          <w:rFonts w:ascii="Arial" w:eastAsia="Times New Roman" w:hAnsi="Arial" w:cs="Arial"/>
          <w:bCs/>
          <w:sz w:val="24"/>
          <w:szCs w:val="24"/>
          <w:lang w:val="en-GB"/>
        </w:rPr>
        <w:t>This is an appeal against a judgment of this Court whereby an arbitral award</w:t>
      </w:r>
      <w:r w:rsidR="0068405C">
        <w:rPr>
          <w:rFonts w:ascii="Arial" w:eastAsia="Times New Roman" w:hAnsi="Arial" w:cs="Arial"/>
          <w:bCs/>
          <w:sz w:val="24"/>
          <w:szCs w:val="24"/>
          <w:lang w:val="en-GB"/>
        </w:rPr>
        <w:t>,</w:t>
      </w:r>
      <w:r w:rsidR="00340ABD">
        <w:rPr>
          <w:rFonts w:ascii="Arial" w:eastAsia="Times New Roman" w:hAnsi="Arial" w:cs="Arial"/>
          <w:bCs/>
          <w:sz w:val="24"/>
          <w:szCs w:val="24"/>
          <w:lang w:val="en-GB"/>
        </w:rPr>
        <w:t xml:space="preserve"> which directed the appellant to make payment to the respondent of the sum of </w:t>
      </w:r>
      <w:r w:rsidR="00402062">
        <w:rPr>
          <w:rFonts w:ascii="Arial" w:eastAsia="Times New Roman" w:hAnsi="Arial" w:cs="Arial"/>
          <w:bCs/>
          <w:sz w:val="24"/>
          <w:szCs w:val="24"/>
          <w:lang w:val="en-GB"/>
        </w:rPr>
        <w:t xml:space="preserve">  </w:t>
      </w:r>
      <w:r w:rsidR="00981116">
        <w:rPr>
          <w:rFonts w:ascii="Arial" w:eastAsia="Times New Roman" w:hAnsi="Arial" w:cs="Arial"/>
          <w:bCs/>
          <w:sz w:val="24"/>
          <w:szCs w:val="24"/>
          <w:lang w:val="en-GB"/>
        </w:rPr>
        <w:t xml:space="preserve">   </w:t>
      </w:r>
      <w:r w:rsidR="00402062">
        <w:rPr>
          <w:rFonts w:ascii="Arial" w:eastAsia="Times New Roman" w:hAnsi="Arial" w:cs="Arial"/>
          <w:bCs/>
          <w:sz w:val="24"/>
          <w:szCs w:val="24"/>
          <w:lang w:val="en-GB"/>
        </w:rPr>
        <w:t xml:space="preserve">                 </w:t>
      </w:r>
      <w:r w:rsidR="00340ABD">
        <w:rPr>
          <w:rFonts w:ascii="Arial" w:eastAsia="Times New Roman" w:hAnsi="Arial" w:cs="Arial"/>
          <w:bCs/>
          <w:sz w:val="24"/>
          <w:szCs w:val="24"/>
          <w:lang w:val="en-GB"/>
        </w:rPr>
        <w:t>R</w:t>
      </w:r>
      <w:r w:rsidR="00981116">
        <w:rPr>
          <w:rFonts w:ascii="Arial" w:eastAsia="Times New Roman" w:hAnsi="Arial" w:cs="Arial"/>
          <w:bCs/>
          <w:sz w:val="24"/>
          <w:szCs w:val="24"/>
          <w:lang w:val="en-GB"/>
        </w:rPr>
        <w:t xml:space="preserve"> </w:t>
      </w:r>
      <w:r w:rsidR="00340ABD">
        <w:rPr>
          <w:rFonts w:ascii="Arial" w:eastAsia="Times New Roman" w:hAnsi="Arial" w:cs="Arial"/>
          <w:bCs/>
          <w:sz w:val="24"/>
          <w:szCs w:val="24"/>
          <w:lang w:val="en-GB"/>
        </w:rPr>
        <w:t xml:space="preserve">1 535 000 together with interest and costs on the attorney-client scale, was made </w:t>
      </w:r>
      <w:r w:rsidR="001F41AC">
        <w:rPr>
          <w:rFonts w:ascii="Arial" w:eastAsia="Times New Roman" w:hAnsi="Arial" w:cs="Arial"/>
          <w:bCs/>
          <w:sz w:val="24"/>
          <w:szCs w:val="24"/>
          <w:lang w:val="en-GB"/>
        </w:rPr>
        <w:t xml:space="preserve">enforceable by </w:t>
      </w:r>
      <w:r w:rsidR="00340ABD">
        <w:rPr>
          <w:rFonts w:ascii="Arial" w:eastAsia="Times New Roman" w:hAnsi="Arial" w:cs="Arial"/>
          <w:bCs/>
          <w:sz w:val="24"/>
          <w:szCs w:val="24"/>
          <w:lang w:val="en-GB"/>
        </w:rPr>
        <w:t xml:space="preserve">an order of court. </w:t>
      </w:r>
    </w:p>
    <w:p w14:paraId="659BA04C" w14:textId="6B63A476" w:rsidR="00ED035A" w:rsidRPr="00ED035A" w:rsidRDefault="00ED035A" w:rsidP="00ED035A">
      <w:pPr>
        <w:adjustRightInd w:val="0"/>
        <w:spacing w:after="0" w:line="360" w:lineRule="auto"/>
        <w:contextualSpacing/>
        <w:jc w:val="both"/>
        <w:textAlignment w:val="baseline"/>
        <w:rPr>
          <w:rFonts w:ascii="Arial" w:eastAsia="Calibri" w:hAnsi="Arial" w:cs="Arial"/>
          <w:b/>
          <w:sz w:val="24"/>
        </w:rPr>
      </w:pPr>
      <w:r w:rsidRPr="00ED035A">
        <w:rPr>
          <w:rFonts w:ascii="Arial" w:eastAsia="Times New Roman" w:hAnsi="Arial" w:cs="Arial"/>
          <w:b/>
          <w:sz w:val="24"/>
          <w:szCs w:val="24"/>
          <w:lang w:val="en-GB"/>
        </w:rPr>
        <w:t>The facts</w:t>
      </w:r>
    </w:p>
    <w:p w14:paraId="749BFFA8" w14:textId="6ADFFB3C" w:rsidR="00340ABD" w:rsidRPr="00340ABD" w:rsidRDefault="00601627" w:rsidP="00601627">
      <w:pPr>
        <w:adjustRightInd w:val="0"/>
        <w:spacing w:after="0" w:line="360" w:lineRule="auto"/>
        <w:ind w:left="720" w:hanging="720"/>
        <w:contextualSpacing/>
        <w:jc w:val="both"/>
        <w:textAlignment w:val="baseline"/>
        <w:rPr>
          <w:rFonts w:ascii="Arial" w:eastAsia="Calibri" w:hAnsi="Arial" w:cs="Arial"/>
          <w:sz w:val="24"/>
        </w:rPr>
      </w:pPr>
      <w:r w:rsidRPr="00340ABD">
        <w:rPr>
          <w:rFonts w:ascii="Arial" w:eastAsia="Calibri" w:hAnsi="Arial" w:cs="Arial"/>
          <w:sz w:val="24"/>
        </w:rPr>
        <w:t>2.</w:t>
      </w:r>
      <w:r w:rsidRPr="00340ABD">
        <w:rPr>
          <w:rFonts w:ascii="Arial" w:eastAsia="Calibri" w:hAnsi="Arial" w:cs="Arial"/>
          <w:sz w:val="24"/>
        </w:rPr>
        <w:tab/>
      </w:r>
      <w:r w:rsidR="00340ABD">
        <w:rPr>
          <w:rFonts w:ascii="Arial" w:eastAsia="Times New Roman" w:hAnsi="Arial" w:cs="Arial"/>
          <w:bCs/>
          <w:sz w:val="24"/>
          <w:szCs w:val="24"/>
          <w:lang w:val="en-GB"/>
        </w:rPr>
        <w:t xml:space="preserve">The award was based on an </w:t>
      </w:r>
      <w:r w:rsidR="0013495F">
        <w:rPr>
          <w:rFonts w:ascii="Arial" w:eastAsia="Times New Roman" w:hAnsi="Arial" w:cs="Arial"/>
          <w:bCs/>
          <w:sz w:val="24"/>
          <w:szCs w:val="24"/>
          <w:lang w:val="en-GB"/>
        </w:rPr>
        <w:t xml:space="preserve">acknowledgment of debt (‘AOD’) </w:t>
      </w:r>
      <w:r w:rsidR="00340ABD">
        <w:rPr>
          <w:rFonts w:ascii="Arial" w:eastAsia="Times New Roman" w:hAnsi="Arial" w:cs="Arial"/>
          <w:bCs/>
          <w:sz w:val="24"/>
          <w:szCs w:val="24"/>
          <w:lang w:val="en-GB"/>
        </w:rPr>
        <w:t>which was signed on 28 August 2019</w:t>
      </w:r>
      <w:r w:rsidR="0013495F">
        <w:rPr>
          <w:rFonts w:ascii="Arial" w:eastAsia="Times New Roman" w:hAnsi="Arial" w:cs="Arial"/>
          <w:bCs/>
          <w:sz w:val="24"/>
          <w:szCs w:val="24"/>
          <w:lang w:val="en-GB"/>
        </w:rPr>
        <w:t>,</w:t>
      </w:r>
      <w:r w:rsidR="00340ABD">
        <w:rPr>
          <w:rFonts w:ascii="Arial" w:eastAsia="Times New Roman" w:hAnsi="Arial" w:cs="Arial"/>
          <w:bCs/>
          <w:sz w:val="24"/>
          <w:szCs w:val="24"/>
          <w:lang w:val="en-GB"/>
        </w:rPr>
        <w:t xml:space="preserve"> in terms of which the appellant </w:t>
      </w:r>
      <w:r w:rsidR="0054454C">
        <w:rPr>
          <w:rFonts w:ascii="Arial" w:eastAsia="Times New Roman" w:hAnsi="Arial" w:cs="Arial"/>
          <w:bCs/>
          <w:sz w:val="24"/>
          <w:szCs w:val="24"/>
          <w:lang w:val="en-GB"/>
        </w:rPr>
        <w:t>declared</w:t>
      </w:r>
      <w:r w:rsidR="00340ABD">
        <w:rPr>
          <w:rFonts w:ascii="Arial" w:eastAsia="Times New Roman" w:hAnsi="Arial" w:cs="Arial"/>
          <w:bCs/>
          <w:sz w:val="24"/>
          <w:szCs w:val="24"/>
          <w:lang w:val="en-GB"/>
        </w:rPr>
        <w:t xml:space="preserve"> that he was ‘truly </w:t>
      </w:r>
      <w:r w:rsidR="0054454C">
        <w:rPr>
          <w:rFonts w:ascii="Arial" w:eastAsia="Times New Roman" w:hAnsi="Arial" w:cs="Arial"/>
          <w:bCs/>
          <w:sz w:val="24"/>
          <w:szCs w:val="24"/>
          <w:lang w:val="en-GB"/>
        </w:rPr>
        <w:t xml:space="preserve">and </w:t>
      </w:r>
      <w:r w:rsidR="00340ABD">
        <w:rPr>
          <w:rFonts w:ascii="Arial" w:eastAsia="Times New Roman" w:hAnsi="Arial" w:cs="Arial"/>
          <w:bCs/>
          <w:sz w:val="24"/>
          <w:szCs w:val="24"/>
          <w:lang w:val="en-GB"/>
        </w:rPr>
        <w:t>lawfully’ indebted to the respondent in the amount of R</w:t>
      </w:r>
      <w:r w:rsidR="0054454C">
        <w:rPr>
          <w:rFonts w:ascii="Arial" w:eastAsia="Times New Roman" w:hAnsi="Arial" w:cs="Arial"/>
          <w:bCs/>
          <w:sz w:val="24"/>
          <w:szCs w:val="24"/>
          <w:lang w:val="en-GB"/>
        </w:rPr>
        <w:t xml:space="preserve"> </w:t>
      </w:r>
      <w:r w:rsidR="00340ABD">
        <w:rPr>
          <w:rFonts w:ascii="Arial" w:eastAsia="Times New Roman" w:hAnsi="Arial" w:cs="Arial"/>
          <w:bCs/>
          <w:sz w:val="24"/>
          <w:szCs w:val="24"/>
          <w:lang w:val="en-GB"/>
        </w:rPr>
        <w:t>2.5 million</w:t>
      </w:r>
      <w:r w:rsidR="009E0386">
        <w:rPr>
          <w:rFonts w:ascii="Arial" w:eastAsia="Times New Roman" w:hAnsi="Arial" w:cs="Arial"/>
          <w:bCs/>
          <w:sz w:val="24"/>
          <w:szCs w:val="24"/>
          <w:lang w:val="en-GB"/>
        </w:rPr>
        <w:t>,</w:t>
      </w:r>
      <w:r w:rsidR="00340ABD">
        <w:rPr>
          <w:rFonts w:ascii="Arial" w:eastAsia="Times New Roman" w:hAnsi="Arial" w:cs="Arial"/>
          <w:bCs/>
          <w:sz w:val="24"/>
          <w:szCs w:val="24"/>
          <w:lang w:val="en-GB"/>
        </w:rPr>
        <w:t xml:space="preserve"> </w:t>
      </w:r>
      <w:r w:rsidR="00ED035A">
        <w:rPr>
          <w:rFonts w:ascii="Arial" w:eastAsia="Times New Roman" w:hAnsi="Arial" w:cs="Arial"/>
          <w:bCs/>
          <w:sz w:val="24"/>
          <w:szCs w:val="24"/>
          <w:lang w:val="en-GB"/>
        </w:rPr>
        <w:t xml:space="preserve">which he </w:t>
      </w:r>
      <w:r w:rsidR="00340ABD">
        <w:rPr>
          <w:rFonts w:ascii="Arial" w:eastAsia="Times New Roman" w:hAnsi="Arial" w:cs="Arial"/>
          <w:bCs/>
          <w:sz w:val="24"/>
          <w:szCs w:val="24"/>
          <w:lang w:val="en-GB"/>
        </w:rPr>
        <w:t>undertook to pay in full or in part</w:t>
      </w:r>
      <w:r w:rsidR="00981116">
        <w:rPr>
          <w:rFonts w:ascii="Arial" w:eastAsia="Times New Roman" w:hAnsi="Arial" w:cs="Arial"/>
          <w:bCs/>
          <w:sz w:val="24"/>
          <w:szCs w:val="24"/>
          <w:lang w:val="en-GB"/>
        </w:rPr>
        <w:t xml:space="preserve"> a month later i.e.</w:t>
      </w:r>
      <w:r w:rsidR="00340ABD">
        <w:rPr>
          <w:rFonts w:ascii="Arial" w:eastAsia="Times New Roman" w:hAnsi="Arial" w:cs="Arial"/>
          <w:bCs/>
          <w:sz w:val="24"/>
          <w:szCs w:val="24"/>
          <w:lang w:val="en-GB"/>
        </w:rPr>
        <w:t xml:space="preserve"> </w:t>
      </w:r>
      <w:r w:rsidR="00981116">
        <w:rPr>
          <w:rFonts w:ascii="Arial" w:eastAsia="Times New Roman" w:hAnsi="Arial" w:cs="Arial"/>
          <w:bCs/>
          <w:sz w:val="24"/>
          <w:szCs w:val="24"/>
          <w:lang w:val="en-GB"/>
        </w:rPr>
        <w:t xml:space="preserve">by </w:t>
      </w:r>
      <w:r w:rsidR="00340ABD">
        <w:rPr>
          <w:rFonts w:ascii="Arial" w:eastAsia="Times New Roman" w:hAnsi="Arial" w:cs="Arial"/>
          <w:bCs/>
          <w:sz w:val="24"/>
          <w:szCs w:val="24"/>
          <w:lang w:val="en-GB"/>
        </w:rPr>
        <w:t>30 September 2019. In the event that the amount was only paid in part</w:t>
      </w:r>
      <w:r w:rsidR="00CC1D03">
        <w:rPr>
          <w:rFonts w:ascii="Arial" w:eastAsia="Times New Roman" w:hAnsi="Arial" w:cs="Arial"/>
          <w:bCs/>
          <w:sz w:val="24"/>
          <w:szCs w:val="24"/>
          <w:lang w:val="en-GB"/>
        </w:rPr>
        <w:t>,</w:t>
      </w:r>
      <w:r w:rsidR="00340ABD">
        <w:rPr>
          <w:rFonts w:ascii="Arial" w:eastAsia="Times New Roman" w:hAnsi="Arial" w:cs="Arial"/>
          <w:bCs/>
          <w:sz w:val="24"/>
          <w:szCs w:val="24"/>
          <w:lang w:val="en-GB"/>
        </w:rPr>
        <w:t xml:space="preserve"> the balance was to be paid over an </w:t>
      </w:r>
      <w:r w:rsidR="00340ABD">
        <w:rPr>
          <w:rFonts w:ascii="Arial" w:eastAsia="Times New Roman" w:hAnsi="Arial" w:cs="Arial"/>
          <w:bCs/>
          <w:sz w:val="24"/>
          <w:szCs w:val="24"/>
          <w:lang w:val="en-GB"/>
        </w:rPr>
        <w:lastRenderedPageBreak/>
        <w:t>agreed period of time. The circumstances which gave rise to t</w:t>
      </w:r>
      <w:r w:rsidR="0013495F">
        <w:rPr>
          <w:rFonts w:ascii="Arial" w:eastAsia="Times New Roman" w:hAnsi="Arial" w:cs="Arial"/>
          <w:bCs/>
          <w:sz w:val="24"/>
          <w:szCs w:val="24"/>
          <w:lang w:val="en-GB"/>
        </w:rPr>
        <w:t>he AOD</w:t>
      </w:r>
      <w:r w:rsidR="00340ABD">
        <w:rPr>
          <w:rFonts w:ascii="Arial" w:eastAsia="Times New Roman" w:hAnsi="Arial" w:cs="Arial"/>
          <w:bCs/>
          <w:sz w:val="24"/>
          <w:szCs w:val="24"/>
          <w:lang w:val="en-GB"/>
        </w:rPr>
        <w:t xml:space="preserve"> </w:t>
      </w:r>
      <w:r w:rsidR="00ED035A">
        <w:rPr>
          <w:rFonts w:ascii="Arial" w:eastAsia="Times New Roman" w:hAnsi="Arial" w:cs="Arial"/>
          <w:bCs/>
          <w:sz w:val="24"/>
          <w:szCs w:val="24"/>
          <w:lang w:val="en-GB"/>
        </w:rPr>
        <w:t>we</w:t>
      </w:r>
      <w:r w:rsidR="00340ABD">
        <w:rPr>
          <w:rFonts w:ascii="Arial" w:eastAsia="Times New Roman" w:hAnsi="Arial" w:cs="Arial"/>
          <w:bCs/>
          <w:sz w:val="24"/>
          <w:szCs w:val="24"/>
          <w:lang w:val="en-GB"/>
        </w:rPr>
        <w:t>re as follows.</w:t>
      </w:r>
    </w:p>
    <w:p w14:paraId="644EB25F" w14:textId="2DC49DA1" w:rsidR="00340ABD" w:rsidRPr="00340ABD" w:rsidRDefault="00601627" w:rsidP="00601627">
      <w:pPr>
        <w:adjustRightInd w:val="0"/>
        <w:spacing w:after="0" w:line="360" w:lineRule="auto"/>
        <w:ind w:left="720" w:hanging="720"/>
        <w:contextualSpacing/>
        <w:jc w:val="both"/>
        <w:textAlignment w:val="baseline"/>
        <w:rPr>
          <w:rFonts w:ascii="Arial" w:eastAsia="Calibri" w:hAnsi="Arial" w:cs="Arial"/>
          <w:sz w:val="24"/>
        </w:rPr>
      </w:pPr>
      <w:r w:rsidRPr="00340ABD">
        <w:rPr>
          <w:rFonts w:ascii="Arial" w:eastAsia="Calibri" w:hAnsi="Arial" w:cs="Arial"/>
          <w:sz w:val="24"/>
        </w:rPr>
        <w:t>3.</w:t>
      </w:r>
      <w:r w:rsidRPr="00340ABD">
        <w:rPr>
          <w:rFonts w:ascii="Arial" w:eastAsia="Calibri" w:hAnsi="Arial" w:cs="Arial"/>
          <w:sz w:val="24"/>
        </w:rPr>
        <w:tab/>
      </w:r>
      <w:r w:rsidR="00340ABD">
        <w:rPr>
          <w:rFonts w:ascii="Arial" w:eastAsia="Times New Roman" w:hAnsi="Arial" w:cs="Arial"/>
          <w:bCs/>
          <w:sz w:val="24"/>
          <w:szCs w:val="24"/>
          <w:lang w:val="en-GB"/>
        </w:rPr>
        <w:t>The parties were previously close and long-standing friends. The appellant, who is an admitted but non-practising advocate</w:t>
      </w:r>
      <w:r w:rsidR="0013495F">
        <w:rPr>
          <w:rFonts w:ascii="Arial" w:eastAsia="Times New Roman" w:hAnsi="Arial" w:cs="Arial"/>
          <w:bCs/>
          <w:sz w:val="24"/>
          <w:szCs w:val="24"/>
          <w:lang w:val="en-GB"/>
        </w:rPr>
        <w:t>,</w:t>
      </w:r>
      <w:r w:rsidR="00340ABD">
        <w:rPr>
          <w:rFonts w:ascii="Arial" w:eastAsia="Times New Roman" w:hAnsi="Arial" w:cs="Arial"/>
          <w:bCs/>
          <w:sz w:val="24"/>
          <w:szCs w:val="24"/>
          <w:lang w:val="en-GB"/>
        </w:rPr>
        <w:t xml:space="preserve"> served as trustee of the respondent’s personal trust between 2013 and June 2019. </w:t>
      </w:r>
      <w:r w:rsidR="0013495F">
        <w:rPr>
          <w:rFonts w:ascii="Arial" w:eastAsia="Times New Roman" w:hAnsi="Arial" w:cs="Arial"/>
          <w:bCs/>
          <w:sz w:val="24"/>
          <w:szCs w:val="24"/>
          <w:lang w:val="en-GB"/>
        </w:rPr>
        <w:t xml:space="preserve">Early in </w:t>
      </w:r>
      <w:r w:rsidR="00340ABD">
        <w:rPr>
          <w:rFonts w:ascii="Arial" w:eastAsia="Times New Roman" w:hAnsi="Arial" w:cs="Arial"/>
          <w:bCs/>
          <w:sz w:val="24"/>
          <w:szCs w:val="24"/>
          <w:lang w:val="en-GB"/>
        </w:rPr>
        <w:t>2015 he approached the respondent</w:t>
      </w:r>
      <w:r w:rsidR="009E0386">
        <w:rPr>
          <w:rFonts w:ascii="Arial" w:eastAsia="Times New Roman" w:hAnsi="Arial" w:cs="Arial"/>
          <w:bCs/>
          <w:sz w:val="24"/>
          <w:szCs w:val="24"/>
          <w:lang w:val="en-GB"/>
        </w:rPr>
        <w:t>, who had recently sold his house,</w:t>
      </w:r>
      <w:r w:rsidR="00340ABD">
        <w:rPr>
          <w:rFonts w:ascii="Arial" w:eastAsia="Times New Roman" w:hAnsi="Arial" w:cs="Arial"/>
          <w:bCs/>
          <w:sz w:val="24"/>
          <w:szCs w:val="24"/>
          <w:lang w:val="en-GB"/>
        </w:rPr>
        <w:t xml:space="preserve"> </w:t>
      </w:r>
      <w:r w:rsidR="00F22EE2">
        <w:rPr>
          <w:rFonts w:ascii="Arial" w:eastAsia="Times New Roman" w:hAnsi="Arial" w:cs="Arial"/>
          <w:bCs/>
          <w:sz w:val="24"/>
          <w:szCs w:val="24"/>
          <w:lang w:val="en-GB"/>
        </w:rPr>
        <w:t>to</w:t>
      </w:r>
      <w:r w:rsidR="00340ABD">
        <w:rPr>
          <w:rFonts w:ascii="Arial" w:eastAsia="Times New Roman" w:hAnsi="Arial" w:cs="Arial"/>
          <w:bCs/>
          <w:sz w:val="24"/>
          <w:szCs w:val="24"/>
          <w:lang w:val="en-GB"/>
        </w:rPr>
        <w:t xml:space="preserve"> borrow money from him.</w:t>
      </w:r>
    </w:p>
    <w:p w14:paraId="5F915585" w14:textId="3F86B46D" w:rsidR="00340ABD" w:rsidRPr="00340ABD" w:rsidRDefault="00601627" w:rsidP="00601627">
      <w:pPr>
        <w:adjustRightInd w:val="0"/>
        <w:spacing w:after="0" w:line="360" w:lineRule="auto"/>
        <w:ind w:left="720" w:hanging="720"/>
        <w:contextualSpacing/>
        <w:jc w:val="both"/>
        <w:textAlignment w:val="baseline"/>
        <w:rPr>
          <w:rFonts w:ascii="Arial" w:eastAsia="Calibri" w:hAnsi="Arial" w:cs="Arial"/>
          <w:sz w:val="24"/>
        </w:rPr>
      </w:pPr>
      <w:r w:rsidRPr="00340ABD">
        <w:rPr>
          <w:rFonts w:ascii="Arial" w:eastAsia="Calibri" w:hAnsi="Arial" w:cs="Arial"/>
          <w:sz w:val="24"/>
        </w:rPr>
        <w:t>4.</w:t>
      </w:r>
      <w:r w:rsidRPr="00340ABD">
        <w:rPr>
          <w:rFonts w:ascii="Arial" w:eastAsia="Calibri" w:hAnsi="Arial" w:cs="Arial"/>
          <w:sz w:val="24"/>
        </w:rPr>
        <w:tab/>
      </w:r>
      <w:r w:rsidR="00340ABD">
        <w:rPr>
          <w:rFonts w:ascii="Arial" w:eastAsia="Times New Roman" w:hAnsi="Arial" w:cs="Arial"/>
          <w:bCs/>
          <w:sz w:val="24"/>
          <w:szCs w:val="24"/>
          <w:lang w:val="en-GB"/>
        </w:rPr>
        <w:t xml:space="preserve">Between 26 February and 1 July </w:t>
      </w:r>
      <w:r w:rsidR="0013495F">
        <w:rPr>
          <w:rFonts w:ascii="Arial" w:eastAsia="Times New Roman" w:hAnsi="Arial" w:cs="Arial"/>
          <w:bCs/>
          <w:sz w:val="24"/>
          <w:szCs w:val="24"/>
          <w:lang w:val="en-GB"/>
        </w:rPr>
        <w:t xml:space="preserve">of </w:t>
      </w:r>
      <w:r w:rsidR="00340ABD">
        <w:rPr>
          <w:rFonts w:ascii="Arial" w:eastAsia="Times New Roman" w:hAnsi="Arial" w:cs="Arial"/>
          <w:bCs/>
          <w:sz w:val="24"/>
          <w:szCs w:val="24"/>
          <w:lang w:val="en-GB"/>
        </w:rPr>
        <w:t xml:space="preserve">that year </w:t>
      </w:r>
      <w:r w:rsidR="0013495F">
        <w:rPr>
          <w:rFonts w:ascii="Arial" w:eastAsia="Times New Roman" w:hAnsi="Arial" w:cs="Arial"/>
          <w:bCs/>
          <w:sz w:val="24"/>
          <w:szCs w:val="24"/>
          <w:lang w:val="en-GB"/>
        </w:rPr>
        <w:t xml:space="preserve">the </w:t>
      </w:r>
      <w:r w:rsidR="00340ABD">
        <w:rPr>
          <w:rFonts w:ascii="Arial" w:eastAsia="Times New Roman" w:hAnsi="Arial" w:cs="Arial"/>
          <w:bCs/>
          <w:sz w:val="24"/>
          <w:szCs w:val="24"/>
          <w:lang w:val="en-GB"/>
        </w:rPr>
        <w:t>respondent advanced a total of R</w:t>
      </w:r>
      <w:r w:rsidR="00D42E6E">
        <w:rPr>
          <w:rFonts w:ascii="Arial" w:eastAsia="Times New Roman" w:hAnsi="Arial" w:cs="Arial"/>
          <w:bCs/>
          <w:sz w:val="24"/>
          <w:szCs w:val="24"/>
          <w:lang w:val="en-GB"/>
        </w:rPr>
        <w:t xml:space="preserve"> </w:t>
      </w:r>
      <w:r w:rsidR="00340ABD">
        <w:rPr>
          <w:rFonts w:ascii="Arial" w:eastAsia="Times New Roman" w:hAnsi="Arial" w:cs="Arial"/>
          <w:bCs/>
          <w:sz w:val="24"/>
          <w:szCs w:val="24"/>
          <w:lang w:val="en-GB"/>
        </w:rPr>
        <w:t xml:space="preserve">2.5 million </w:t>
      </w:r>
      <w:r w:rsidR="0013495F">
        <w:rPr>
          <w:rFonts w:ascii="Arial" w:eastAsia="Times New Roman" w:hAnsi="Arial" w:cs="Arial"/>
          <w:bCs/>
          <w:sz w:val="24"/>
          <w:szCs w:val="24"/>
          <w:lang w:val="en-GB"/>
        </w:rPr>
        <w:t xml:space="preserve">to him, </w:t>
      </w:r>
      <w:r w:rsidR="00340ABD">
        <w:rPr>
          <w:rFonts w:ascii="Arial" w:eastAsia="Times New Roman" w:hAnsi="Arial" w:cs="Arial"/>
          <w:bCs/>
          <w:sz w:val="24"/>
          <w:szCs w:val="24"/>
          <w:lang w:val="en-GB"/>
        </w:rPr>
        <w:t xml:space="preserve">by way of 5 </w:t>
      </w:r>
      <w:r w:rsidR="0013495F">
        <w:rPr>
          <w:rFonts w:ascii="Arial" w:eastAsia="Times New Roman" w:hAnsi="Arial" w:cs="Arial"/>
          <w:bCs/>
          <w:sz w:val="24"/>
          <w:szCs w:val="24"/>
          <w:lang w:val="en-GB"/>
        </w:rPr>
        <w:t>un</w:t>
      </w:r>
      <w:r w:rsidR="00340ABD">
        <w:rPr>
          <w:rFonts w:ascii="Arial" w:eastAsia="Times New Roman" w:hAnsi="Arial" w:cs="Arial"/>
          <w:bCs/>
          <w:sz w:val="24"/>
          <w:szCs w:val="24"/>
          <w:lang w:val="en-GB"/>
        </w:rPr>
        <w:t>equal instalments. The appellant drew up an acknowledgement of debt (‘</w:t>
      </w:r>
      <w:r w:rsidR="0013495F">
        <w:rPr>
          <w:rFonts w:ascii="Arial" w:eastAsia="Times New Roman" w:hAnsi="Arial" w:cs="Arial"/>
          <w:bCs/>
          <w:sz w:val="24"/>
          <w:szCs w:val="24"/>
          <w:lang w:val="en-GB"/>
        </w:rPr>
        <w:t>the first</w:t>
      </w:r>
      <w:r w:rsidR="00340ABD">
        <w:rPr>
          <w:rFonts w:ascii="Arial" w:eastAsia="Times New Roman" w:hAnsi="Arial" w:cs="Arial"/>
          <w:bCs/>
          <w:sz w:val="24"/>
          <w:szCs w:val="24"/>
          <w:lang w:val="en-GB"/>
        </w:rPr>
        <w:t xml:space="preserve"> AOD’) which covered the</w:t>
      </w:r>
      <w:r w:rsidR="0013495F">
        <w:rPr>
          <w:rFonts w:ascii="Arial" w:eastAsia="Times New Roman" w:hAnsi="Arial" w:cs="Arial"/>
          <w:bCs/>
          <w:sz w:val="24"/>
          <w:szCs w:val="24"/>
          <w:lang w:val="en-GB"/>
        </w:rPr>
        <w:t xml:space="preserve"> first</w:t>
      </w:r>
      <w:r w:rsidR="00340ABD">
        <w:rPr>
          <w:rFonts w:ascii="Arial" w:eastAsia="Times New Roman" w:hAnsi="Arial" w:cs="Arial"/>
          <w:bCs/>
          <w:sz w:val="24"/>
          <w:szCs w:val="24"/>
          <w:lang w:val="en-GB"/>
        </w:rPr>
        <w:t xml:space="preserve"> 2 </w:t>
      </w:r>
      <w:r w:rsidR="00D81214">
        <w:rPr>
          <w:rFonts w:ascii="Arial" w:eastAsia="Times New Roman" w:hAnsi="Arial" w:cs="Arial"/>
          <w:bCs/>
          <w:sz w:val="24"/>
          <w:szCs w:val="24"/>
          <w:lang w:val="en-GB"/>
        </w:rPr>
        <w:t>advances</w:t>
      </w:r>
      <w:r w:rsidR="00340ABD">
        <w:rPr>
          <w:rFonts w:ascii="Arial" w:eastAsia="Times New Roman" w:hAnsi="Arial" w:cs="Arial"/>
          <w:bCs/>
          <w:sz w:val="24"/>
          <w:szCs w:val="24"/>
          <w:lang w:val="en-GB"/>
        </w:rPr>
        <w:t xml:space="preserve"> </w:t>
      </w:r>
      <w:r w:rsidR="0013495F">
        <w:rPr>
          <w:rFonts w:ascii="Arial" w:eastAsia="Times New Roman" w:hAnsi="Arial" w:cs="Arial"/>
          <w:bCs/>
          <w:sz w:val="24"/>
          <w:szCs w:val="24"/>
          <w:lang w:val="en-GB"/>
        </w:rPr>
        <w:t xml:space="preserve">which </w:t>
      </w:r>
      <w:r w:rsidR="00981116">
        <w:rPr>
          <w:rFonts w:ascii="Arial" w:eastAsia="Times New Roman" w:hAnsi="Arial" w:cs="Arial"/>
          <w:bCs/>
          <w:sz w:val="24"/>
          <w:szCs w:val="24"/>
          <w:lang w:val="en-GB"/>
        </w:rPr>
        <w:t>amounted</w:t>
      </w:r>
      <w:r w:rsidR="009E0386">
        <w:rPr>
          <w:rFonts w:ascii="Arial" w:eastAsia="Times New Roman" w:hAnsi="Arial" w:cs="Arial"/>
          <w:bCs/>
          <w:sz w:val="24"/>
          <w:szCs w:val="24"/>
          <w:lang w:val="en-GB"/>
        </w:rPr>
        <w:t xml:space="preserve"> to</w:t>
      </w:r>
      <w:r w:rsidR="00340ABD">
        <w:rPr>
          <w:rFonts w:ascii="Arial" w:eastAsia="Times New Roman" w:hAnsi="Arial" w:cs="Arial"/>
          <w:bCs/>
          <w:sz w:val="24"/>
          <w:szCs w:val="24"/>
          <w:lang w:val="en-GB"/>
        </w:rPr>
        <w:t xml:space="preserve"> R1.2 million, which </w:t>
      </w:r>
      <w:r w:rsidR="0013495F">
        <w:rPr>
          <w:rFonts w:ascii="Arial" w:eastAsia="Times New Roman" w:hAnsi="Arial" w:cs="Arial"/>
          <w:bCs/>
          <w:sz w:val="24"/>
          <w:szCs w:val="24"/>
          <w:lang w:val="en-GB"/>
        </w:rPr>
        <w:t>he</w:t>
      </w:r>
      <w:r w:rsidR="00340ABD">
        <w:rPr>
          <w:rFonts w:ascii="Arial" w:eastAsia="Times New Roman" w:hAnsi="Arial" w:cs="Arial"/>
          <w:bCs/>
          <w:sz w:val="24"/>
          <w:szCs w:val="24"/>
          <w:lang w:val="en-GB"/>
        </w:rPr>
        <w:t xml:space="preserve"> signed on 2 March 2015. A </w:t>
      </w:r>
      <w:r w:rsidR="0013495F">
        <w:rPr>
          <w:rFonts w:ascii="Arial" w:eastAsia="Times New Roman" w:hAnsi="Arial" w:cs="Arial"/>
          <w:bCs/>
          <w:sz w:val="24"/>
          <w:szCs w:val="24"/>
          <w:lang w:val="en-GB"/>
        </w:rPr>
        <w:t xml:space="preserve">second </w:t>
      </w:r>
      <w:r w:rsidR="00340ABD">
        <w:rPr>
          <w:rFonts w:ascii="Arial" w:eastAsia="Times New Roman" w:hAnsi="Arial" w:cs="Arial"/>
          <w:bCs/>
          <w:sz w:val="24"/>
          <w:szCs w:val="24"/>
          <w:lang w:val="en-GB"/>
        </w:rPr>
        <w:t xml:space="preserve">AOD which incorporated the </w:t>
      </w:r>
      <w:r w:rsidR="0013495F">
        <w:rPr>
          <w:rFonts w:ascii="Arial" w:eastAsia="Times New Roman" w:hAnsi="Arial" w:cs="Arial"/>
          <w:bCs/>
          <w:sz w:val="24"/>
          <w:szCs w:val="24"/>
          <w:lang w:val="en-GB"/>
        </w:rPr>
        <w:t>total</w:t>
      </w:r>
      <w:r w:rsidR="00340ABD">
        <w:rPr>
          <w:rFonts w:ascii="Arial" w:eastAsia="Times New Roman" w:hAnsi="Arial" w:cs="Arial"/>
          <w:bCs/>
          <w:sz w:val="24"/>
          <w:szCs w:val="24"/>
          <w:lang w:val="en-GB"/>
        </w:rPr>
        <w:t xml:space="preserve"> amount which had been advanced to him and which essentially repeated the material terms which were set out in the </w:t>
      </w:r>
      <w:r w:rsidR="0013495F">
        <w:rPr>
          <w:rFonts w:ascii="Arial" w:eastAsia="Times New Roman" w:hAnsi="Arial" w:cs="Arial"/>
          <w:bCs/>
          <w:sz w:val="24"/>
          <w:szCs w:val="24"/>
          <w:lang w:val="en-GB"/>
        </w:rPr>
        <w:t>first</w:t>
      </w:r>
      <w:r w:rsidR="00340ABD">
        <w:rPr>
          <w:rFonts w:ascii="Arial" w:eastAsia="Times New Roman" w:hAnsi="Arial" w:cs="Arial"/>
          <w:bCs/>
          <w:sz w:val="24"/>
          <w:szCs w:val="24"/>
          <w:lang w:val="en-GB"/>
        </w:rPr>
        <w:t xml:space="preserve"> AOD, was </w:t>
      </w:r>
      <w:r w:rsidR="0013495F">
        <w:rPr>
          <w:rFonts w:ascii="Arial" w:eastAsia="Times New Roman" w:hAnsi="Arial" w:cs="Arial"/>
          <w:bCs/>
          <w:sz w:val="24"/>
          <w:szCs w:val="24"/>
          <w:lang w:val="en-GB"/>
        </w:rPr>
        <w:t xml:space="preserve">prepared and </w:t>
      </w:r>
      <w:r w:rsidR="00340ABD">
        <w:rPr>
          <w:rFonts w:ascii="Arial" w:eastAsia="Times New Roman" w:hAnsi="Arial" w:cs="Arial"/>
          <w:bCs/>
          <w:sz w:val="24"/>
          <w:szCs w:val="24"/>
          <w:lang w:val="en-GB"/>
        </w:rPr>
        <w:t xml:space="preserve">signed </w:t>
      </w:r>
      <w:r w:rsidR="0013495F">
        <w:rPr>
          <w:rFonts w:ascii="Arial" w:eastAsia="Times New Roman" w:hAnsi="Arial" w:cs="Arial"/>
          <w:bCs/>
          <w:sz w:val="24"/>
          <w:szCs w:val="24"/>
          <w:lang w:val="en-GB"/>
        </w:rPr>
        <w:t xml:space="preserve">by him </w:t>
      </w:r>
      <w:r w:rsidR="00340ABD">
        <w:rPr>
          <w:rFonts w:ascii="Arial" w:eastAsia="Times New Roman" w:hAnsi="Arial" w:cs="Arial"/>
          <w:bCs/>
          <w:sz w:val="24"/>
          <w:szCs w:val="24"/>
          <w:lang w:val="en-GB"/>
        </w:rPr>
        <w:t>on 15 October 2015.</w:t>
      </w:r>
    </w:p>
    <w:p w14:paraId="373B26B8" w14:textId="014B4445" w:rsidR="00340ABD" w:rsidRPr="00340ABD" w:rsidRDefault="00601627" w:rsidP="00601627">
      <w:pPr>
        <w:adjustRightInd w:val="0"/>
        <w:spacing w:after="0" w:line="360" w:lineRule="auto"/>
        <w:ind w:left="720" w:hanging="720"/>
        <w:contextualSpacing/>
        <w:jc w:val="both"/>
        <w:textAlignment w:val="baseline"/>
        <w:rPr>
          <w:rFonts w:ascii="Arial" w:eastAsia="Calibri" w:hAnsi="Arial" w:cs="Arial"/>
          <w:sz w:val="24"/>
        </w:rPr>
      </w:pPr>
      <w:r w:rsidRPr="00340ABD">
        <w:rPr>
          <w:rFonts w:ascii="Arial" w:eastAsia="Calibri" w:hAnsi="Arial" w:cs="Arial"/>
          <w:sz w:val="24"/>
        </w:rPr>
        <w:t>5.</w:t>
      </w:r>
      <w:r w:rsidRPr="00340ABD">
        <w:rPr>
          <w:rFonts w:ascii="Arial" w:eastAsia="Calibri" w:hAnsi="Arial" w:cs="Arial"/>
          <w:sz w:val="24"/>
        </w:rPr>
        <w:tab/>
      </w:r>
      <w:r w:rsidR="00340ABD">
        <w:rPr>
          <w:rFonts w:ascii="Arial" w:eastAsia="Times New Roman" w:hAnsi="Arial" w:cs="Arial"/>
          <w:bCs/>
          <w:sz w:val="24"/>
          <w:szCs w:val="24"/>
          <w:lang w:val="en-GB"/>
        </w:rPr>
        <w:t>The AODs provided that the capital amount</w:t>
      </w:r>
      <w:r w:rsidR="0013495F">
        <w:rPr>
          <w:rFonts w:ascii="Arial" w:eastAsia="Times New Roman" w:hAnsi="Arial" w:cs="Arial"/>
          <w:bCs/>
          <w:sz w:val="24"/>
          <w:szCs w:val="24"/>
          <w:lang w:val="en-GB"/>
        </w:rPr>
        <w:t>s</w:t>
      </w:r>
      <w:r w:rsidR="00340ABD">
        <w:rPr>
          <w:rFonts w:ascii="Arial" w:eastAsia="Times New Roman" w:hAnsi="Arial" w:cs="Arial"/>
          <w:bCs/>
          <w:sz w:val="24"/>
          <w:szCs w:val="24"/>
          <w:lang w:val="en-GB"/>
        </w:rPr>
        <w:t xml:space="preserve"> which had been loaned and advanced were repayable on demand </w:t>
      </w:r>
      <w:r w:rsidR="0013495F">
        <w:rPr>
          <w:rFonts w:ascii="Arial" w:eastAsia="Times New Roman" w:hAnsi="Arial" w:cs="Arial"/>
          <w:bCs/>
          <w:sz w:val="24"/>
          <w:szCs w:val="24"/>
          <w:lang w:val="en-GB"/>
        </w:rPr>
        <w:t>(</w:t>
      </w:r>
      <w:r w:rsidR="00340ABD">
        <w:rPr>
          <w:rFonts w:ascii="Arial" w:eastAsia="Times New Roman" w:hAnsi="Arial" w:cs="Arial"/>
          <w:bCs/>
          <w:sz w:val="24"/>
          <w:szCs w:val="24"/>
          <w:lang w:val="en-GB"/>
        </w:rPr>
        <w:t xml:space="preserve">subject to 45 </w:t>
      </w:r>
      <w:r w:rsidR="0013495F">
        <w:rPr>
          <w:rFonts w:ascii="Arial" w:eastAsia="Times New Roman" w:hAnsi="Arial" w:cs="Arial"/>
          <w:bCs/>
          <w:sz w:val="24"/>
          <w:szCs w:val="24"/>
          <w:lang w:val="en-GB"/>
        </w:rPr>
        <w:t>days’ notice)</w:t>
      </w:r>
      <w:r w:rsidR="00340ABD">
        <w:rPr>
          <w:rFonts w:ascii="Arial" w:eastAsia="Times New Roman" w:hAnsi="Arial" w:cs="Arial"/>
          <w:bCs/>
          <w:sz w:val="24"/>
          <w:szCs w:val="24"/>
          <w:lang w:val="en-GB"/>
        </w:rPr>
        <w:t xml:space="preserve"> and attracted interest at the rate of 2.5% per month. Thus, the effective </w:t>
      </w:r>
      <w:r w:rsidR="00F446AD">
        <w:rPr>
          <w:rFonts w:ascii="Arial" w:eastAsia="Times New Roman" w:hAnsi="Arial" w:cs="Arial"/>
          <w:bCs/>
          <w:sz w:val="24"/>
          <w:szCs w:val="24"/>
          <w:lang w:val="en-GB"/>
        </w:rPr>
        <w:t xml:space="preserve">annual </w:t>
      </w:r>
      <w:r w:rsidR="00340ABD">
        <w:rPr>
          <w:rFonts w:ascii="Arial" w:eastAsia="Times New Roman" w:hAnsi="Arial" w:cs="Arial"/>
          <w:bCs/>
          <w:sz w:val="24"/>
          <w:szCs w:val="24"/>
          <w:lang w:val="en-GB"/>
        </w:rPr>
        <w:t>compound rate of interest was 30%.</w:t>
      </w:r>
    </w:p>
    <w:p w14:paraId="54FB86F4" w14:textId="0A267B0C" w:rsidR="004C26C2" w:rsidRPr="00340ABD" w:rsidRDefault="00601627" w:rsidP="00601627">
      <w:pPr>
        <w:adjustRightInd w:val="0"/>
        <w:spacing w:after="0" w:line="360" w:lineRule="auto"/>
        <w:ind w:left="720" w:hanging="720"/>
        <w:contextualSpacing/>
        <w:jc w:val="both"/>
        <w:textAlignment w:val="baseline"/>
        <w:rPr>
          <w:rFonts w:ascii="Arial" w:eastAsia="Calibri" w:hAnsi="Arial" w:cs="Arial"/>
          <w:sz w:val="24"/>
        </w:rPr>
      </w:pPr>
      <w:r w:rsidRPr="00340ABD">
        <w:rPr>
          <w:rFonts w:ascii="Arial" w:eastAsia="Calibri" w:hAnsi="Arial" w:cs="Arial"/>
          <w:sz w:val="24"/>
        </w:rPr>
        <w:t>6.</w:t>
      </w:r>
      <w:r w:rsidRPr="00340ABD">
        <w:rPr>
          <w:rFonts w:ascii="Arial" w:eastAsia="Calibri" w:hAnsi="Arial" w:cs="Arial"/>
          <w:sz w:val="24"/>
        </w:rPr>
        <w:tab/>
      </w:r>
      <w:r w:rsidR="0013495F">
        <w:rPr>
          <w:rFonts w:ascii="Arial" w:eastAsia="Times New Roman" w:hAnsi="Arial" w:cs="Arial"/>
          <w:bCs/>
          <w:sz w:val="24"/>
          <w:szCs w:val="24"/>
          <w:lang w:val="en-GB"/>
        </w:rPr>
        <w:t>Aside from the loans, in</w:t>
      </w:r>
      <w:r w:rsidR="00340ABD">
        <w:rPr>
          <w:rFonts w:ascii="Arial" w:eastAsia="Times New Roman" w:hAnsi="Arial" w:cs="Arial"/>
          <w:bCs/>
          <w:sz w:val="24"/>
          <w:szCs w:val="24"/>
          <w:lang w:val="en-GB"/>
        </w:rPr>
        <w:t xml:space="preserve"> October 2015 </w:t>
      </w:r>
      <w:r w:rsidR="0013495F">
        <w:rPr>
          <w:rFonts w:ascii="Arial" w:eastAsia="Times New Roman" w:hAnsi="Arial" w:cs="Arial"/>
          <w:bCs/>
          <w:sz w:val="24"/>
          <w:szCs w:val="24"/>
          <w:lang w:val="en-GB"/>
        </w:rPr>
        <w:t xml:space="preserve">the </w:t>
      </w:r>
      <w:r w:rsidR="00340ABD">
        <w:rPr>
          <w:rFonts w:ascii="Arial" w:eastAsia="Times New Roman" w:hAnsi="Arial" w:cs="Arial"/>
          <w:bCs/>
          <w:sz w:val="24"/>
          <w:szCs w:val="24"/>
          <w:lang w:val="en-GB"/>
        </w:rPr>
        <w:t xml:space="preserve">respondent </w:t>
      </w:r>
      <w:r w:rsidR="0013495F">
        <w:rPr>
          <w:rFonts w:ascii="Arial" w:eastAsia="Times New Roman" w:hAnsi="Arial" w:cs="Arial"/>
          <w:bCs/>
          <w:sz w:val="24"/>
          <w:szCs w:val="24"/>
          <w:lang w:val="en-GB"/>
        </w:rPr>
        <w:t xml:space="preserve">also </w:t>
      </w:r>
      <w:r w:rsidR="00340ABD">
        <w:rPr>
          <w:rFonts w:ascii="Arial" w:eastAsia="Times New Roman" w:hAnsi="Arial" w:cs="Arial"/>
          <w:bCs/>
          <w:sz w:val="24"/>
          <w:szCs w:val="24"/>
          <w:lang w:val="en-GB"/>
        </w:rPr>
        <w:t xml:space="preserve">paid </w:t>
      </w:r>
      <w:r w:rsidR="002001CA">
        <w:rPr>
          <w:rFonts w:ascii="Arial" w:eastAsia="Times New Roman" w:hAnsi="Arial" w:cs="Arial"/>
          <w:bCs/>
          <w:sz w:val="24"/>
          <w:szCs w:val="24"/>
          <w:lang w:val="en-GB"/>
        </w:rPr>
        <w:t>over</w:t>
      </w:r>
      <w:r w:rsidR="00340ABD">
        <w:rPr>
          <w:rFonts w:ascii="Arial" w:eastAsia="Times New Roman" w:hAnsi="Arial" w:cs="Arial"/>
          <w:bCs/>
          <w:sz w:val="24"/>
          <w:szCs w:val="24"/>
          <w:lang w:val="en-GB"/>
        </w:rPr>
        <w:t xml:space="preserve"> an amount of R</w:t>
      </w:r>
      <w:r w:rsidR="002001CA">
        <w:rPr>
          <w:rFonts w:ascii="Arial" w:eastAsia="Times New Roman" w:hAnsi="Arial" w:cs="Arial"/>
          <w:bCs/>
          <w:sz w:val="24"/>
          <w:szCs w:val="24"/>
          <w:lang w:val="en-GB"/>
        </w:rPr>
        <w:t xml:space="preserve"> </w:t>
      </w:r>
      <w:r w:rsidR="00340ABD">
        <w:rPr>
          <w:rFonts w:ascii="Arial" w:eastAsia="Times New Roman" w:hAnsi="Arial" w:cs="Arial"/>
          <w:bCs/>
          <w:sz w:val="24"/>
          <w:szCs w:val="24"/>
          <w:lang w:val="en-GB"/>
        </w:rPr>
        <w:t>750</w:t>
      </w:r>
      <w:r w:rsidR="0013495F">
        <w:rPr>
          <w:rFonts w:ascii="Arial" w:eastAsia="Times New Roman" w:hAnsi="Arial" w:cs="Arial"/>
          <w:bCs/>
          <w:sz w:val="24"/>
          <w:szCs w:val="24"/>
          <w:lang w:val="en-GB"/>
        </w:rPr>
        <w:t xml:space="preserve"> </w:t>
      </w:r>
      <w:r w:rsidR="00340ABD">
        <w:rPr>
          <w:rFonts w:ascii="Arial" w:eastAsia="Times New Roman" w:hAnsi="Arial" w:cs="Arial"/>
          <w:bCs/>
          <w:sz w:val="24"/>
          <w:szCs w:val="24"/>
          <w:lang w:val="en-GB"/>
        </w:rPr>
        <w:t>000</w:t>
      </w:r>
      <w:r w:rsidR="0013495F">
        <w:rPr>
          <w:rFonts w:ascii="Arial" w:eastAsia="Times New Roman" w:hAnsi="Arial" w:cs="Arial"/>
          <w:bCs/>
          <w:sz w:val="24"/>
          <w:szCs w:val="24"/>
          <w:lang w:val="en-GB"/>
        </w:rPr>
        <w:t xml:space="preserve"> to </w:t>
      </w:r>
      <w:r w:rsidR="00540499">
        <w:rPr>
          <w:rFonts w:ascii="Arial" w:eastAsia="Times New Roman" w:hAnsi="Arial" w:cs="Arial"/>
          <w:bCs/>
          <w:sz w:val="24"/>
          <w:szCs w:val="24"/>
          <w:lang w:val="en-GB"/>
        </w:rPr>
        <w:t>Axium Finance</w:t>
      </w:r>
      <w:r w:rsidR="00340ABD">
        <w:rPr>
          <w:rFonts w:ascii="Arial" w:eastAsia="Times New Roman" w:hAnsi="Arial" w:cs="Arial"/>
          <w:bCs/>
          <w:sz w:val="24"/>
          <w:szCs w:val="24"/>
          <w:lang w:val="en-GB"/>
        </w:rPr>
        <w:t xml:space="preserve">, an entity which was controlled by </w:t>
      </w:r>
      <w:r w:rsidR="00540499">
        <w:rPr>
          <w:rFonts w:ascii="Arial" w:eastAsia="Times New Roman" w:hAnsi="Arial" w:cs="Arial"/>
          <w:bCs/>
          <w:sz w:val="24"/>
          <w:szCs w:val="24"/>
          <w:lang w:val="en-GB"/>
        </w:rPr>
        <w:t xml:space="preserve">the appellant, </w:t>
      </w:r>
      <w:r w:rsidR="0013495F">
        <w:rPr>
          <w:rFonts w:ascii="Arial" w:eastAsia="Times New Roman" w:hAnsi="Arial" w:cs="Arial"/>
          <w:bCs/>
          <w:sz w:val="24"/>
          <w:szCs w:val="24"/>
          <w:lang w:val="en-GB"/>
        </w:rPr>
        <w:t>for it to</w:t>
      </w:r>
      <w:r w:rsidR="00340ABD">
        <w:rPr>
          <w:rFonts w:ascii="Arial" w:eastAsia="Times New Roman" w:hAnsi="Arial" w:cs="Arial"/>
          <w:bCs/>
          <w:sz w:val="24"/>
          <w:szCs w:val="24"/>
          <w:lang w:val="en-GB"/>
        </w:rPr>
        <w:t xml:space="preserve"> be invested in a company which was to be formed by </w:t>
      </w:r>
      <w:r w:rsidR="007776F9">
        <w:rPr>
          <w:rFonts w:ascii="Arial" w:eastAsia="Times New Roman" w:hAnsi="Arial" w:cs="Arial"/>
          <w:bCs/>
          <w:sz w:val="24"/>
          <w:szCs w:val="24"/>
          <w:lang w:val="en-GB"/>
        </w:rPr>
        <w:t xml:space="preserve">one </w:t>
      </w:r>
      <w:r w:rsidR="0013495F">
        <w:rPr>
          <w:rFonts w:ascii="Arial" w:eastAsia="Times New Roman" w:hAnsi="Arial" w:cs="Arial"/>
          <w:bCs/>
          <w:sz w:val="24"/>
          <w:szCs w:val="24"/>
          <w:lang w:val="en-GB"/>
        </w:rPr>
        <w:t>Panico Protopapa</w:t>
      </w:r>
      <w:r w:rsidR="007776F9">
        <w:rPr>
          <w:rFonts w:ascii="Arial" w:eastAsia="Times New Roman" w:hAnsi="Arial" w:cs="Arial"/>
          <w:bCs/>
          <w:sz w:val="24"/>
          <w:szCs w:val="24"/>
          <w:lang w:val="en-GB"/>
        </w:rPr>
        <w:t xml:space="preserve"> (the ‘Panico investment’)</w:t>
      </w:r>
      <w:r w:rsidR="0013495F">
        <w:rPr>
          <w:rFonts w:ascii="Arial" w:eastAsia="Times New Roman" w:hAnsi="Arial" w:cs="Arial"/>
          <w:bCs/>
          <w:sz w:val="24"/>
          <w:szCs w:val="24"/>
          <w:lang w:val="en-GB"/>
        </w:rPr>
        <w:t>,</w:t>
      </w:r>
      <w:r w:rsidR="00340ABD">
        <w:rPr>
          <w:rFonts w:ascii="Arial" w:eastAsia="Times New Roman" w:hAnsi="Arial" w:cs="Arial"/>
          <w:bCs/>
          <w:sz w:val="24"/>
          <w:szCs w:val="24"/>
          <w:lang w:val="en-GB"/>
        </w:rPr>
        <w:t xml:space="preserve"> for the purposes of a property development</w:t>
      </w:r>
      <w:r w:rsidR="00540499">
        <w:rPr>
          <w:rFonts w:ascii="Arial" w:eastAsia="Times New Roman" w:hAnsi="Arial" w:cs="Arial"/>
          <w:bCs/>
          <w:sz w:val="24"/>
          <w:szCs w:val="24"/>
          <w:lang w:val="en-GB"/>
        </w:rPr>
        <w:t xml:space="preserve"> in Gauteng</w:t>
      </w:r>
      <w:r w:rsidR="0013495F">
        <w:rPr>
          <w:rFonts w:ascii="Arial" w:eastAsia="Times New Roman" w:hAnsi="Arial" w:cs="Arial"/>
          <w:bCs/>
          <w:sz w:val="24"/>
          <w:szCs w:val="24"/>
          <w:lang w:val="en-GB"/>
        </w:rPr>
        <w:t>, i</w:t>
      </w:r>
      <w:r w:rsidR="00340ABD">
        <w:rPr>
          <w:rFonts w:ascii="Arial" w:eastAsia="Times New Roman" w:hAnsi="Arial" w:cs="Arial"/>
          <w:bCs/>
          <w:sz w:val="24"/>
          <w:szCs w:val="24"/>
          <w:lang w:val="en-GB"/>
        </w:rPr>
        <w:t xml:space="preserve">n return </w:t>
      </w:r>
      <w:r w:rsidR="0013495F">
        <w:rPr>
          <w:rFonts w:ascii="Arial" w:eastAsia="Times New Roman" w:hAnsi="Arial" w:cs="Arial"/>
          <w:bCs/>
          <w:sz w:val="24"/>
          <w:szCs w:val="24"/>
          <w:lang w:val="en-GB"/>
        </w:rPr>
        <w:t xml:space="preserve">for which </w:t>
      </w:r>
      <w:r w:rsidR="00340ABD">
        <w:rPr>
          <w:rFonts w:ascii="Arial" w:eastAsia="Times New Roman" w:hAnsi="Arial" w:cs="Arial"/>
          <w:bCs/>
          <w:sz w:val="24"/>
          <w:szCs w:val="24"/>
          <w:lang w:val="en-GB"/>
        </w:rPr>
        <w:t xml:space="preserve">the respondent was to acquire </w:t>
      </w:r>
      <w:r w:rsidR="0013495F">
        <w:rPr>
          <w:rFonts w:ascii="Arial" w:eastAsia="Times New Roman" w:hAnsi="Arial" w:cs="Arial"/>
          <w:bCs/>
          <w:sz w:val="24"/>
          <w:szCs w:val="24"/>
          <w:lang w:val="en-GB"/>
        </w:rPr>
        <w:t xml:space="preserve">a </w:t>
      </w:r>
      <w:r w:rsidR="00340ABD">
        <w:rPr>
          <w:rFonts w:ascii="Arial" w:eastAsia="Times New Roman" w:hAnsi="Arial" w:cs="Arial"/>
          <w:bCs/>
          <w:sz w:val="24"/>
          <w:szCs w:val="24"/>
          <w:lang w:val="en-GB"/>
        </w:rPr>
        <w:t>20% shareholding</w:t>
      </w:r>
      <w:r w:rsidR="0013495F">
        <w:rPr>
          <w:rFonts w:ascii="Arial" w:eastAsia="Times New Roman" w:hAnsi="Arial" w:cs="Arial"/>
          <w:bCs/>
          <w:sz w:val="24"/>
          <w:szCs w:val="24"/>
          <w:lang w:val="en-GB"/>
        </w:rPr>
        <w:t xml:space="preserve"> therein</w:t>
      </w:r>
      <w:r w:rsidR="00340ABD">
        <w:rPr>
          <w:rFonts w:ascii="Arial" w:eastAsia="Times New Roman" w:hAnsi="Arial" w:cs="Arial"/>
          <w:bCs/>
          <w:sz w:val="24"/>
          <w:szCs w:val="24"/>
          <w:lang w:val="en-GB"/>
        </w:rPr>
        <w:t>.</w:t>
      </w:r>
    </w:p>
    <w:p w14:paraId="2FDD9D60" w14:textId="401BEB81" w:rsidR="00340ABD" w:rsidRDefault="00601627" w:rsidP="00601627">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7.</w:t>
      </w:r>
      <w:r>
        <w:rPr>
          <w:rFonts w:ascii="Arial" w:eastAsia="Calibri" w:hAnsi="Arial" w:cs="Arial"/>
          <w:sz w:val="24"/>
        </w:rPr>
        <w:tab/>
      </w:r>
      <w:r w:rsidR="00340ABD">
        <w:rPr>
          <w:rFonts w:ascii="Arial" w:eastAsia="Calibri" w:hAnsi="Arial" w:cs="Arial"/>
          <w:sz w:val="24"/>
        </w:rPr>
        <w:t xml:space="preserve">It is common cause that without the loans having been </w:t>
      </w:r>
      <w:r w:rsidR="0013495F">
        <w:rPr>
          <w:rFonts w:ascii="Arial" w:eastAsia="Calibri" w:hAnsi="Arial" w:cs="Arial"/>
          <w:sz w:val="24"/>
        </w:rPr>
        <w:t xml:space="preserve">formally </w:t>
      </w:r>
      <w:r w:rsidR="00340ABD">
        <w:rPr>
          <w:rFonts w:ascii="Arial" w:eastAsia="Calibri" w:hAnsi="Arial" w:cs="Arial"/>
          <w:sz w:val="24"/>
        </w:rPr>
        <w:t xml:space="preserve">called up the appellant made certain </w:t>
      </w:r>
      <w:r w:rsidR="0013495F">
        <w:rPr>
          <w:rFonts w:ascii="Arial" w:eastAsia="Calibri" w:hAnsi="Arial" w:cs="Arial"/>
          <w:sz w:val="24"/>
        </w:rPr>
        <w:t>re</w:t>
      </w:r>
      <w:r w:rsidR="00340ABD">
        <w:rPr>
          <w:rFonts w:ascii="Arial" w:eastAsia="Calibri" w:hAnsi="Arial" w:cs="Arial"/>
          <w:sz w:val="24"/>
        </w:rPr>
        <w:t xml:space="preserve">payments in respect </w:t>
      </w:r>
      <w:r w:rsidR="0048400B">
        <w:rPr>
          <w:rFonts w:ascii="Arial" w:eastAsia="Calibri" w:hAnsi="Arial" w:cs="Arial"/>
          <w:sz w:val="24"/>
        </w:rPr>
        <w:t>there</w:t>
      </w:r>
      <w:r w:rsidR="00340ABD">
        <w:rPr>
          <w:rFonts w:ascii="Arial" w:eastAsia="Calibri" w:hAnsi="Arial" w:cs="Arial"/>
          <w:sz w:val="24"/>
        </w:rPr>
        <w:t>of over the course of the ensuing 4 years</w:t>
      </w:r>
      <w:r w:rsidR="0013495F">
        <w:rPr>
          <w:rFonts w:ascii="Arial" w:eastAsia="Calibri" w:hAnsi="Arial" w:cs="Arial"/>
          <w:sz w:val="24"/>
        </w:rPr>
        <w:t>,</w:t>
      </w:r>
      <w:r w:rsidR="00FE1DC7">
        <w:rPr>
          <w:rFonts w:ascii="Arial" w:eastAsia="Calibri" w:hAnsi="Arial" w:cs="Arial"/>
          <w:sz w:val="24"/>
        </w:rPr>
        <w:t xml:space="preserve"> </w:t>
      </w:r>
      <w:r w:rsidR="00340ABD">
        <w:rPr>
          <w:rFonts w:ascii="Arial" w:eastAsia="Calibri" w:hAnsi="Arial" w:cs="Arial"/>
          <w:sz w:val="24"/>
        </w:rPr>
        <w:t xml:space="preserve">and by 29 October 2018 he had paid </w:t>
      </w:r>
      <w:r w:rsidR="007776F9">
        <w:rPr>
          <w:rFonts w:ascii="Arial" w:eastAsia="Calibri" w:hAnsi="Arial" w:cs="Arial"/>
          <w:sz w:val="24"/>
        </w:rPr>
        <w:t xml:space="preserve">over </w:t>
      </w:r>
      <w:r w:rsidR="00340ABD">
        <w:rPr>
          <w:rFonts w:ascii="Arial" w:eastAsia="Calibri" w:hAnsi="Arial" w:cs="Arial"/>
          <w:sz w:val="24"/>
        </w:rPr>
        <w:t>a total of R</w:t>
      </w:r>
      <w:r w:rsidR="00F446AD">
        <w:rPr>
          <w:rFonts w:ascii="Arial" w:eastAsia="Calibri" w:hAnsi="Arial" w:cs="Arial"/>
          <w:sz w:val="24"/>
        </w:rPr>
        <w:t xml:space="preserve"> </w:t>
      </w:r>
      <w:r w:rsidR="00340ABD">
        <w:rPr>
          <w:rFonts w:ascii="Arial" w:eastAsia="Calibri" w:hAnsi="Arial" w:cs="Arial"/>
          <w:sz w:val="24"/>
        </w:rPr>
        <w:t>2</w:t>
      </w:r>
      <w:r w:rsidR="0013495F">
        <w:rPr>
          <w:rFonts w:ascii="Arial" w:eastAsia="Calibri" w:hAnsi="Arial" w:cs="Arial"/>
          <w:sz w:val="24"/>
        </w:rPr>
        <w:t xml:space="preserve"> </w:t>
      </w:r>
      <w:r w:rsidR="00340ABD">
        <w:rPr>
          <w:rFonts w:ascii="Arial" w:eastAsia="Calibri" w:hAnsi="Arial" w:cs="Arial"/>
          <w:sz w:val="24"/>
        </w:rPr>
        <w:t>121</w:t>
      </w:r>
      <w:r w:rsidR="0013495F">
        <w:rPr>
          <w:rFonts w:ascii="Arial" w:eastAsia="Calibri" w:hAnsi="Arial" w:cs="Arial"/>
          <w:sz w:val="24"/>
        </w:rPr>
        <w:t xml:space="preserve"> </w:t>
      </w:r>
      <w:r w:rsidR="00340ABD">
        <w:rPr>
          <w:rFonts w:ascii="Arial" w:eastAsia="Calibri" w:hAnsi="Arial" w:cs="Arial"/>
          <w:sz w:val="24"/>
        </w:rPr>
        <w:t xml:space="preserve">500 </w:t>
      </w:r>
      <w:r w:rsidR="00FE1DC7">
        <w:rPr>
          <w:rFonts w:ascii="Arial" w:eastAsia="Calibri" w:hAnsi="Arial" w:cs="Arial"/>
          <w:sz w:val="24"/>
        </w:rPr>
        <w:t xml:space="preserve">to </w:t>
      </w:r>
      <w:r w:rsidR="00340ABD">
        <w:rPr>
          <w:rFonts w:ascii="Arial" w:eastAsia="Calibri" w:hAnsi="Arial" w:cs="Arial"/>
          <w:sz w:val="24"/>
        </w:rPr>
        <w:t>the respondent.</w:t>
      </w:r>
    </w:p>
    <w:p w14:paraId="6752F4B0" w14:textId="6325E701" w:rsidR="00FE1DC7" w:rsidRDefault="00601627" w:rsidP="00601627">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8.</w:t>
      </w:r>
      <w:r>
        <w:rPr>
          <w:rFonts w:ascii="Arial" w:eastAsia="Calibri" w:hAnsi="Arial" w:cs="Arial"/>
          <w:sz w:val="24"/>
        </w:rPr>
        <w:tab/>
      </w:r>
      <w:r w:rsidR="00FE1DC7">
        <w:rPr>
          <w:rFonts w:ascii="Arial" w:eastAsia="Calibri" w:hAnsi="Arial" w:cs="Arial"/>
          <w:sz w:val="24"/>
        </w:rPr>
        <w:t xml:space="preserve">In 2018 the appellant requested that he be granted a discount on what was owing. The respondent offered to reduce his indebtedness by </w:t>
      </w:r>
      <w:r w:rsidR="007776F9">
        <w:rPr>
          <w:rFonts w:ascii="Arial" w:eastAsia="Calibri" w:hAnsi="Arial" w:cs="Arial"/>
          <w:sz w:val="24"/>
        </w:rPr>
        <w:t xml:space="preserve">R </w:t>
      </w:r>
      <w:r w:rsidR="00FE1DC7">
        <w:rPr>
          <w:rFonts w:ascii="Arial" w:eastAsia="Calibri" w:hAnsi="Arial" w:cs="Arial"/>
          <w:sz w:val="24"/>
        </w:rPr>
        <w:t xml:space="preserve">1.4 million if he settled the amount which was </w:t>
      </w:r>
      <w:r w:rsidR="00F22EE2">
        <w:rPr>
          <w:rFonts w:ascii="Arial" w:eastAsia="Calibri" w:hAnsi="Arial" w:cs="Arial"/>
          <w:sz w:val="24"/>
        </w:rPr>
        <w:t>outstanding</w:t>
      </w:r>
      <w:r w:rsidR="007776F9">
        <w:rPr>
          <w:rFonts w:ascii="Arial" w:eastAsia="Calibri" w:hAnsi="Arial" w:cs="Arial"/>
          <w:sz w:val="24"/>
        </w:rPr>
        <w:t xml:space="preserve"> in a lump sum,</w:t>
      </w:r>
      <w:r w:rsidR="00FE1DC7">
        <w:rPr>
          <w:rFonts w:ascii="Arial" w:eastAsia="Calibri" w:hAnsi="Arial" w:cs="Arial"/>
          <w:sz w:val="24"/>
        </w:rPr>
        <w:t xml:space="preserve"> by a certain date, but the proposal was not acceptable to the appellant. A similar request </w:t>
      </w:r>
      <w:r w:rsidR="00B6120B">
        <w:rPr>
          <w:rFonts w:ascii="Arial" w:eastAsia="Calibri" w:hAnsi="Arial" w:cs="Arial"/>
          <w:sz w:val="24"/>
        </w:rPr>
        <w:t>early in</w:t>
      </w:r>
      <w:r w:rsidR="00FE1DC7">
        <w:rPr>
          <w:rFonts w:ascii="Arial" w:eastAsia="Calibri" w:hAnsi="Arial" w:cs="Arial"/>
          <w:sz w:val="24"/>
        </w:rPr>
        <w:t xml:space="preserve"> 2019 went the same way.</w:t>
      </w:r>
    </w:p>
    <w:p w14:paraId="3D5D4D90" w14:textId="55C434AE" w:rsidR="00FE1DC7" w:rsidRDefault="00601627" w:rsidP="00601627">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lastRenderedPageBreak/>
        <w:t>9.</w:t>
      </w:r>
      <w:r>
        <w:rPr>
          <w:rFonts w:ascii="Arial" w:eastAsia="Calibri" w:hAnsi="Arial" w:cs="Arial"/>
          <w:sz w:val="24"/>
        </w:rPr>
        <w:tab/>
      </w:r>
      <w:r w:rsidR="00FE1DC7">
        <w:rPr>
          <w:rFonts w:ascii="Arial" w:eastAsia="Calibri" w:hAnsi="Arial" w:cs="Arial"/>
          <w:sz w:val="24"/>
        </w:rPr>
        <w:t xml:space="preserve">By May 2019 the </w:t>
      </w:r>
      <w:r w:rsidR="007776F9">
        <w:rPr>
          <w:rFonts w:ascii="Arial" w:eastAsia="Calibri" w:hAnsi="Arial" w:cs="Arial"/>
          <w:sz w:val="24"/>
        </w:rPr>
        <w:t xml:space="preserve">appellant was in default despite repeated requests to make payment, and the </w:t>
      </w:r>
      <w:r w:rsidR="00FE1DC7">
        <w:rPr>
          <w:rFonts w:ascii="Arial" w:eastAsia="Calibri" w:hAnsi="Arial" w:cs="Arial"/>
          <w:sz w:val="24"/>
        </w:rPr>
        <w:t>respondent was ‘at his wits end’</w:t>
      </w:r>
      <w:r w:rsidR="007776F9">
        <w:rPr>
          <w:rFonts w:ascii="Arial" w:eastAsia="Calibri" w:hAnsi="Arial" w:cs="Arial"/>
          <w:sz w:val="24"/>
        </w:rPr>
        <w:t>. He accordingly</w:t>
      </w:r>
      <w:r w:rsidR="00FE1DC7">
        <w:rPr>
          <w:rFonts w:ascii="Arial" w:eastAsia="Calibri" w:hAnsi="Arial" w:cs="Arial"/>
          <w:sz w:val="24"/>
        </w:rPr>
        <w:t xml:space="preserve"> instructed his attorneys to put the appellant </w:t>
      </w:r>
      <w:r w:rsidR="007776F9">
        <w:rPr>
          <w:rFonts w:ascii="Arial" w:eastAsia="Calibri" w:hAnsi="Arial" w:cs="Arial"/>
          <w:sz w:val="24"/>
        </w:rPr>
        <w:t xml:space="preserve">to </w:t>
      </w:r>
      <w:r w:rsidR="00FE1DC7">
        <w:rPr>
          <w:rFonts w:ascii="Arial" w:eastAsia="Calibri" w:hAnsi="Arial" w:cs="Arial"/>
          <w:sz w:val="24"/>
        </w:rPr>
        <w:t xml:space="preserve">terms. On 28 June 2019 they called upon the appellant to repay </w:t>
      </w:r>
      <w:r w:rsidR="008379E4">
        <w:rPr>
          <w:rFonts w:ascii="Arial" w:eastAsia="Calibri" w:hAnsi="Arial" w:cs="Arial"/>
          <w:sz w:val="24"/>
        </w:rPr>
        <w:t xml:space="preserve">what </w:t>
      </w:r>
      <w:r w:rsidR="007776F9">
        <w:rPr>
          <w:rFonts w:ascii="Arial" w:eastAsia="Calibri" w:hAnsi="Arial" w:cs="Arial"/>
          <w:sz w:val="24"/>
        </w:rPr>
        <w:t xml:space="preserve">was </w:t>
      </w:r>
      <w:r w:rsidR="00FE1DC7">
        <w:rPr>
          <w:rFonts w:ascii="Arial" w:eastAsia="Calibri" w:hAnsi="Arial" w:cs="Arial"/>
          <w:sz w:val="24"/>
        </w:rPr>
        <w:t xml:space="preserve">outstanding </w:t>
      </w:r>
      <w:r w:rsidR="007776F9">
        <w:rPr>
          <w:rFonts w:ascii="Arial" w:eastAsia="Calibri" w:hAnsi="Arial" w:cs="Arial"/>
          <w:sz w:val="24"/>
        </w:rPr>
        <w:t xml:space="preserve">at the time </w:t>
      </w:r>
      <w:r w:rsidR="00FE1DC7">
        <w:rPr>
          <w:rFonts w:ascii="Arial" w:eastAsia="Calibri" w:hAnsi="Arial" w:cs="Arial"/>
          <w:sz w:val="24"/>
        </w:rPr>
        <w:t xml:space="preserve">in respect of the loan and </w:t>
      </w:r>
      <w:r w:rsidR="007776F9">
        <w:rPr>
          <w:rFonts w:ascii="Arial" w:eastAsia="Calibri" w:hAnsi="Arial" w:cs="Arial"/>
          <w:sz w:val="24"/>
        </w:rPr>
        <w:t xml:space="preserve">the </w:t>
      </w:r>
      <w:r w:rsidR="00FE1DC7">
        <w:rPr>
          <w:rFonts w:ascii="Arial" w:eastAsia="Calibri" w:hAnsi="Arial" w:cs="Arial"/>
          <w:sz w:val="24"/>
        </w:rPr>
        <w:t>interest thereon, in the amount of R</w:t>
      </w:r>
      <w:r w:rsidR="00E36DF6">
        <w:rPr>
          <w:rFonts w:ascii="Arial" w:eastAsia="Calibri" w:hAnsi="Arial" w:cs="Arial"/>
          <w:sz w:val="24"/>
        </w:rPr>
        <w:t xml:space="preserve"> </w:t>
      </w:r>
      <w:r w:rsidR="00FE1DC7">
        <w:rPr>
          <w:rFonts w:ascii="Arial" w:eastAsia="Calibri" w:hAnsi="Arial" w:cs="Arial"/>
          <w:sz w:val="24"/>
        </w:rPr>
        <w:t>3</w:t>
      </w:r>
      <w:r w:rsidR="007776F9">
        <w:rPr>
          <w:rFonts w:ascii="Arial" w:eastAsia="Calibri" w:hAnsi="Arial" w:cs="Arial"/>
          <w:sz w:val="24"/>
        </w:rPr>
        <w:t xml:space="preserve"> </w:t>
      </w:r>
      <w:r w:rsidR="00FE1DC7">
        <w:rPr>
          <w:rFonts w:ascii="Arial" w:eastAsia="Calibri" w:hAnsi="Arial" w:cs="Arial"/>
          <w:sz w:val="24"/>
        </w:rPr>
        <w:t>861</w:t>
      </w:r>
      <w:r w:rsidR="007776F9">
        <w:rPr>
          <w:rFonts w:ascii="Arial" w:eastAsia="Calibri" w:hAnsi="Arial" w:cs="Arial"/>
          <w:sz w:val="24"/>
        </w:rPr>
        <w:t xml:space="preserve"> </w:t>
      </w:r>
      <w:r w:rsidR="00FE1DC7">
        <w:rPr>
          <w:rFonts w:ascii="Arial" w:eastAsia="Calibri" w:hAnsi="Arial" w:cs="Arial"/>
          <w:sz w:val="24"/>
        </w:rPr>
        <w:t>500, as well as the R</w:t>
      </w:r>
      <w:r w:rsidR="007776F9">
        <w:rPr>
          <w:rFonts w:ascii="Arial" w:eastAsia="Calibri" w:hAnsi="Arial" w:cs="Arial"/>
          <w:sz w:val="24"/>
        </w:rPr>
        <w:t xml:space="preserve"> </w:t>
      </w:r>
      <w:r w:rsidR="00FE1DC7">
        <w:rPr>
          <w:rFonts w:ascii="Arial" w:eastAsia="Calibri" w:hAnsi="Arial" w:cs="Arial"/>
          <w:sz w:val="24"/>
        </w:rPr>
        <w:t>750</w:t>
      </w:r>
      <w:r w:rsidR="007776F9">
        <w:rPr>
          <w:rFonts w:ascii="Arial" w:eastAsia="Calibri" w:hAnsi="Arial" w:cs="Arial"/>
          <w:sz w:val="24"/>
        </w:rPr>
        <w:t xml:space="preserve"> </w:t>
      </w:r>
      <w:r w:rsidR="00FE1DC7">
        <w:rPr>
          <w:rFonts w:ascii="Arial" w:eastAsia="Calibri" w:hAnsi="Arial" w:cs="Arial"/>
          <w:sz w:val="24"/>
        </w:rPr>
        <w:t xml:space="preserve">000 which had been paid </w:t>
      </w:r>
      <w:r w:rsidR="007776F9">
        <w:rPr>
          <w:rFonts w:ascii="Arial" w:eastAsia="Calibri" w:hAnsi="Arial" w:cs="Arial"/>
          <w:sz w:val="24"/>
        </w:rPr>
        <w:t xml:space="preserve">in </w:t>
      </w:r>
      <w:r w:rsidR="00FE1DC7">
        <w:rPr>
          <w:rFonts w:ascii="Arial" w:eastAsia="Calibri" w:hAnsi="Arial" w:cs="Arial"/>
          <w:sz w:val="24"/>
        </w:rPr>
        <w:t xml:space="preserve">respect of the </w:t>
      </w:r>
      <w:r w:rsidR="007776F9">
        <w:rPr>
          <w:rFonts w:ascii="Arial" w:eastAsia="Calibri" w:hAnsi="Arial" w:cs="Arial"/>
          <w:sz w:val="24"/>
        </w:rPr>
        <w:t xml:space="preserve">Panico </w:t>
      </w:r>
      <w:r w:rsidR="00FE1DC7">
        <w:rPr>
          <w:rFonts w:ascii="Arial" w:eastAsia="Calibri" w:hAnsi="Arial" w:cs="Arial"/>
          <w:sz w:val="24"/>
        </w:rPr>
        <w:t>investment.</w:t>
      </w:r>
    </w:p>
    <w:p w14:paraId="4135C642" w14:textId="136CF373" w:rsidR="00FE1DC7" w:rsidRDefault="00601627" w:rsidP="00601627">
      <w:pPr>
        <w:adjustRightInd w:val="0"/>
        <w:spacing w:after="0" w:line="360" w:lineRule="auto"/>
        <w:ind w:left="720" w:hanging="720"/>
        <w:contextualSpacing/>
        <w:jc w:val="both"/>
        <w:textAlignment w:val="baseline"/>
        <w:rPr>
          <w:rFonts w:ascii="Arial" w:eastAsia="Calibri" w:hAnsi="Arial" w:cs="Arial"/>
          <w:sz w:val="24"/>
        </w:rPr>
      </w:pPr>
      <w:r>
        <w:rPr>
          <w:rFonts w:ascii="Arial" w:eastAsia="Calibri" w:hAnsi="Arial" w:cs="Arial"/>
          <w:sz w:val="24"/>
        </w:rPr>
        <w:t>10.</w:t>
      </w:r>
      <w:r>
        <w:rPr>
          <w:rFonts w:ascii="Arial" w:eastAsia="Calibri" w:hAnsi="Arial" w:cs="Arial"/>
          <w:sz w:val="24"/>
        </w:rPr>
        <w:tab/>
      </w:r>
      <w:r w:rsidR="002001CA">
        <w:rPr>
          <w:rFonts w:ascii="Arial" w:eastAsia="Calibri" w:hAnsi="Arial" w:cs="Arial"/>
          <w:sz w:val="24"/>
        </w:rPr>
        <w:t>T</w:t>
      </w:r>
      <w:r w:rsidR="00FE1DC7">
        <w:rPr>
          <w:rFonts w:ascii="Arial" w:eastAsia="Calibri" w:hAnsi="Arial" w:cs="Arial"/>
          <w:sz w:val="24"/>
        </w:rPr>
        <w:t xml:space="preserve">he appellant denied liability in respect of the </w:t>
      </w:r>
      <w:r w:rsidR="007776F9">
        <w:rPr>
          <w:rFonts w:ascii="Arial" w:eastAsia="Calibri" w:hAnsi="Arial" w:cs="Arial"/>
          <w:sz w:val="24"/>
        </w:rPr>
        <w:t xml:space="preserve">Panico </w:t>
      </w:r>
      <w:r w:rsidR="002D3317">
        <w:rPr>
          <w:rFonts w:ascii="Arial" w:eastAsia="Calibri" w:hAnsi="Arial" w:cs="Arial"/>
          <w:sz w:val="24"/>
        </w:rPr>
        <w:t>investment</w:t>
      </w:r>
      <w:r w:rsidR="007776F9">
        <w:rPr>
          <w:rFonts w:ascii="Arial" w:eastAsia="Calibri" w:hAnsi="Arial" w:cs="Arial"/>
          <w:sz w:val="24"/>
        </w:rPr>
        <w:t xml:space="preserve"> and </w:t>
      </w:r>
      <w:r w:rsidR="00FE1DC7">
        <w:rPr>
          <w:rFonts w:ascii="Arial" w:eastAsia="Calibri" w:hAnsi="Arial" w:cs="Arial"/>
          <w:sz w:val="24"/>
        </w:rPr>
        <w:t xml:space="preserve">raised </w:t>
      </w:r>
      <w:r w:rsidR="007776F9">
        <w:rPr>
          <w:rFonts w:ascii="Arial" w:eastAsia="Calibri" w:hAnsi="Arial" w:cs="Arial"/>
          <w:sz w:val="24"/>
        </w:rPr>
        <w:t>two</w:t>
      </w:r>
      <w:r w:rsidR="00FE1DC7">
        <w:rPr>
          <w:rFonts w:ascii="Arial" w:eastAsia="Calibri" w:hAnsi="Arial" w:cs="Arial"/>
          <w:sz w:val="24"/>
        </w:rPr>
        <w:t xml:space="preserve"> </w:t>
      </w:r>
      <w:r w:rsidR="005A69B1">
        <w:rPr>
          <w:rFonts w:ascii="Arial" w:eastAsia="Calibri" w:hAnsi="Arial" w:cs="Arial"/>
          <w:sz w:val="24"/>
        </w:rPr>
        <w:t>queries</w:t>
      </w:r>
      <w:r w:rsidR="00FE1DC7">
        <w:rPr>
          <w:rFonts w:ascii="Arial" w:eastAsia="Calibri" w:hAnsi="Arial" w:cs="Arial"/>
          <w:sz w:val="24"/>
        </w:rPr>
        <w:t xml:space="preserve"> in regard to the loan</w:t>
      </w:r>
      <w:r w:rsidR="007776F9">
        <w:rPr>
          <w:rFonts w:ascii="Arial" w:eastAsia="Calibri" w:hAnsi="Arial" w:cs="Arial"/>
          <w:sz w:val="24"/>
        </w:rPr>
        <w:t>s which had been advanced to him</w:t>
      </w:r>
      <w:r w:rsidR="00FE1DC7">
        <w:rPr>
          <w:rFonts w:ascii="Arial" w:eastAsia="Calibri" w:hAnsi="Arial" w:cs="Arial"/>
          <w:sz w:val="24"/>
        </w:rPr>
        <w:t xml:space="preserve"> </w:t>
      </w:r>
      <w:r w:rsidR="007776F9">
        <w:rPr>
          <w:rFonts w:ascii="Arial" w:eastAsia="Calibri" w:hAnsi="Arial" w:cs="Arial"/>
          <w:sz w:val="24"/>
        </w:rPr>
        <w:t>viz</w:t>
      </w:r>
      <w:r w:rsidR="00FE1DC7">
        <w:rPr>
          <w:rFonts w:ascii="Arial" w:eastAsia="Calibri" w:hAnsi="Arial" w:cs="Arial"/>
          <w:sz w:val="24"/>
        </w:rPr>
        <w:t xml:space="preserve"> whether the respondent </w:t>
      </w:r>
      <w:r w:rsidR="007776F9">
        <w:rPr>
          <w:rFonts w:ascii="Arial" w:eastAsia="Calibri" w:hAnsi="Arial" w:cs="Arial"/>
          <w:sz w:val="24"/>
        </w:rPr>
        <w:t>had been</w:t>
      </w:r>
      <w:r w:rsidR="00FE1DC7">
        <w:rPr>
          <w:rFonts w:ascii="Arial" w:eastAsia="Calibri" w:hAnsi="Arial" w:cs="Arial"/>
          <w:sz w:val="24"/>
        </w:rPr>
        <w:t xml:space="preserve"> registered as a credit provider in terms of the National </w:t>
      </w:r>
      <w:r w:rsidR="007776F9">
        <w:rPr>
          <w:rFonts w:ascii="Arial" w:eastAsia="Calibri" w:hAnsi="Arial" w:cs="Arial"/>
          <w:sz w:val="24"/>
        </w:rPr>
        <w:t>C</w:t>
      </w:r>
      <w:r w:rsidR="00FE1DC7">
        <w:rPr>
          <w:rFonts w:ascii="Arial" w:eastAsia="Calibri" w:hAnsi="Arial" w:cs="Arial"/>
          <w:sz w:val="24"/>
        </w:rPr>
        <w:t xml:space="preserve">redit </w:t>
      </w:r>
      <w:r w:rsidR="007776F9">
        <w:rPr>
          <w:rFonts w:ascii="Arial" w:eastAsia="Calibri" w:hAnsi="Arial" w:cs="Arial"/>
          <w:sz w:val="24"/>
        </w:rPr>
        <w:t>A</w:t>
      </w:r>
      <w:r w:rsidR="00FE1DC7">
        <w:rPr>
          <w:rFonts w:ascii="Arial" w:eastAsia="Calibri" w:hAnsi="Arial" w:cs="Arial"/>
          <w:sz w:val="24"/>
        </w:rPr>
        <w:t>ct (the ‘NCA’)</w:t>
      </w:r>
      <w:r w:rsidR="00FE1DC7">
        <w:rPr>
          <w:rStyle w:val="FootnoteReference"/>
          <w:rFonts w:ascii="Arial" w:eastAsia="Calibri" w:hAnsi="Arial" w:cs="Arial"/>
          <w:sz w:val="24"/>
        </w:rPr>
        <w:footnoteReference w:id="1"/>
      </w:r>
      <w:r w:rsidR="00FE1DC7">
        <w:rPr>
          <w:rFonts w:ascii="Arial" w:eastAsia="Calibri" w:hAnsi="Arial" w:cs="Arial"/>
          <w:sz w:val="24"/>
        </w:rPr>
        <w:t xml:space="preserve"> at the time of the </w:t>
      </w:r>
      <w:r w:rsidR="007776F9">
        <w:rPr>
          <w:rFonts w:ascii="Arial" w:eastAsia="Calibri" w:hAnsi="Arial" w:cs="Arial"/>
          <w:sz w:val="24"/>
        </w:rPr>
        <w:t>conc</w:t>
      </w:r>
      <w:r w:rsidR="00FE1DC7">
        <w:rPr>
          <w:rFonts w:ascii="Arial" w:eastAsia="Calibri" w:hAnsi="Arial" w:cs="Arial"/>
          <w:sz w:val="24"/>
        </w:rPr>
        <w:t xml:space="preserve">lusion of the agreements in terms of which the monies were advanced, and whether </w:t>
      </w:r>
      <w:r w:rsidR="002D3317">
        <w:rPr>
          <w:rFonts w:ascii="Arial" w:eastAsia="Calibri" w:hAnsi="Arial" w:cs="Arial"/>
          <w:sz w:val="24"/>
        </w:rPr>
        <w:t xml:space="preserve">the respondent </w:t>
      </w:r>
      <w:r w:rsidR="00FE1DC7">
        <w:rPr>
          <w:rFonts w:ascii="Arial" w:eastAsia="Calibri" w:hAnsi="Arial" w:cs="Arial"/>
          <w:sz w:val="24"/>
        </w:rPr>
        <w:t xml:space="preserve">had conducted a credit assessment </w:t>
      </w:r>
      <w:r w:rsidR="007776F9">
        <w:rPr>
          <w:rFonts w:ascii="Arial" w:eastAsia="Calibri" w:hAnsi="Arial" w:cs="Arial"/>
          <w:sz w:val="24"/>
        </w:rPr>
        <w:t xml:space="preserve">of </w:t>
      </w:r>
      <w:r w:rsidR="002D3317">
        <w:rPr>
          <w:rFonts w:ascii="Arial" w:eastAsia="Calibri" w:hAnsi="Arial" w:cs="Arial"/>
          <w:sz w:val="24"/>
        </w:rPr>
        <w:t>him</w:t>
      </w:r>
      <w:r w:rsidR="007776F9">
        <w:rPr>
          <w:rFonts w:ascii="Arial" w:eastAsia="Calibri" w:hAnsi="Arial" w:cs="Arial"/>
          <w:sz w:val="24"/>
        </w:rPr>
        <w:t xml:space="preserve">, </w:t>
      </w:r>
      <w:r w:rsidR="00FE1DC7">
        <w:rPr>
          <w:rFonts w:ascii="Arial" w:eastAsia="Calibri" w:hAnsi="Arial" w:cs="Arial"/>
          <w:sz w:val="24"/>
        </w:rPr>
        <w:t>prior thereto.</w:t>
      </w:r>
    </w:p>
    <w:p w14:paraId="2375AA7E" w14:textId="02B9227E" w:rsidR="00CE7901" w:rsidRPr="008379E4" w:rsidRDefault="00601627" w:rsidP="00601627">
      <w:pPr>
        <w:adjustRightInd w:val="0"/>
        <w:spacing w:after="0" w:line="360" w:lineRule="auto"/>
        <w:ind w:left="720" w:hanging="720"/>
        <w:contextualSpacing/>
        <w:jc w:val="both"/>
        <w:textAlignment w:val="baseline"/>
        <w:rPr>
          <w:rFonts w:ascii="Arial" w:eastAsia="Calibri" w:hAnsi="Arial" w:cs="Arial"/>
          <w:sz w:val="24"/>
        </w:rPr>
      </w:pPr>
      <w:r w:rsidRPr="008379E4">
        <w:rPr>
          <w:rFonts w:ascii="Arial" w:eastAsia="Calibri" w:hAnsi="Arial" w:cs="Arial"/>
          <w:sz w:val="24"/>
        </w:rPr>
        <w:t>11.</w:t>
      </w:r>
      <w:r w:rsidRPr="008379E4">
        <w:rPr>
          <w:rFonts w:ascii="Arial" w:eastAsia="Calibri" w:hAnsi="Arial" w:cs="Arial"/>
          <w:sz w:val="24"/>
        </w:rPr>
        <w:tab/>
      </w:r>
      <w:r w:rsidR="00FE1DC7" w:rsidRPr="008379E4">
        <w:rPr>
          <w:rFonts w:ascii="Arial" w:eastAsia="Calibri" w:hAnsi="Arial" w:cs="Arial"/>
          <w:sz w:val="24"/>
        </w:rPr>
        <w:t xml:space="preserve">The implication </w:t>
      </w:r>
      <w:r w:rsidR="007776F9" w:rsidRPr="008379E4">
        <w:rPr>
          <w:rFonts w:ascii="Arial" w:eastAsia="Calibri" w:hAnsi="Arial" w:cs="Arial"/>
          <w:sz w:val="24"/>
        </w:rPr>
        <w:t xml:space="preserve">in </w:t>
      </w:r>
      <w:r w:rsidR="00FE1DC7" w:rsidRPr="008379E4">
        <w:rPr>
          <w:rFonts w:ascii="Arial" w:eastAsia="Calibri" w:hAnsi="Arial" w:cs="Arial"/>
          <w:sz w:val="24"/>
        </w:rPr>
        <w:t xml:space="preserve">these queries was that the loans constituted credit agreements in terms of </w:t>
      </w:r>
      <w:r w:rsidR="00100700" w:rsidRPr="008379E4">
        <w:rPr>
          <w:rFonts w:ascii="Arial" w:eastAsia="Calibri" w:hAnsi="Arial" w:cs="Arial"/>
          <w:sz w:val="24"/>
        </w:rPr>
        <w:t xml:space="preserve">the </w:t>
      </w:r>
      <w:r w:rsidR="00D656BA">
        <w:rPr>
          <w:rFonts w:ascii="Arial" w:eastAsia="Calibri" w:hAnsi="Arial" w:cs="Arial"/>
          <w:sz w:val="24"/>
        </w:rPr>
        <w:t>NCA</w:t>
      </w:r>
      <w:r w:rsidR="007F54DF" w:rsidRPr="008379E4">
        <w:rPr>
          <w:rFonts w:ascii="Arial" w:eastAsia="Calibri" w:hAnsi="Arial" w:cs="Arial"/>
          <w:sz w:val="24"/>
        </w:rPr>
        <w:t xml:space="preserve"> </w:t>
      </w:r>
      <w:r w:rsidR="00100700">
        <w:rPr>
          <w:rStyle w:val="FootnoteReference"/>
          <w:rFonts w:ascii="Arial" w:eastAsia="Calibri" w:hAnsi="Arial" w:cs="Arial"/>
          <w:sz w:val="24"/>
        </w:rPr>
        <w:footnoteReference w:id="2"/>
      </w:r>
      <w:r w:rsidR="00FE1DC7" w:rsidRPr="008379E4">
        <w:rPr>
          <w:rFonts w:ascii="Arial" w:eastAsia="Calibri" w:hAnsi="Arial" w:cs="Arial"/>
          <w:sz w:val="24"/>
        </w:rPr>
        <w:t xml:space="preserve"> and as such the respondent </w:t>
      </w:r>
      <w:r w:rsidR="007776F9" w:rsidRPr="008379E4">
        <w:rPr>
          <w:rFonts w:ascii="Arial" w:eastAsia="Calibri" w:hAnsi="Arial" w:cs="Arial"/>
          <w:sz w:val="24"/>
        </w:rPr>
        <w:t>was</w:t>
      </w:r>
      <w:r w:rsidR="00FE1DC7" w:rsidRPr="008379E4">
        <w:rPr>
          <w:rFonts w:ascii="Arial" w:eastAsia="Calibri" w:hAnsi="Arial" w:cs="Arial"/>
          <w:sz w:val="24"/>
        </w:rPr>
        <w:t xml:space="preserve"> obliged </w:t>
      </w:r>
      <w:r w:rsidR="007776F9" w:rsidRPr="008379E4">
        <w:rPr>
          <w:rFonts w:ascii="Arial" w:eastAsia="Calibri" w:hAnsi="Arial" w:cs="Arial"/>
          <w:sz w:val="24"/>
        </w:rPr>
        <w:t>to be registered as a credit provider with the National Credit Regulator</w:t>
      </w:r>
      <w:r w:rsidR="00100700">
        <w:rPr>
          <w:rStyle w:val="FootnoteReference"/>
          <w:rFonts w:ascii="Arial" w:eastAsia="Calibri" w:hAnsi="Arial" w:cs="Arial"/>
          <w:sz w:val="24"/>
        </w:rPr>
        <w:footnoteReference w:id="3"/>
      </w:r>
      <w:r w:rsidR="007776F9" w:rsidRPr="008379E4">
        <w:rPr>
          <w:rFonts w:ascii="Arial" w:eastAsia="Calibri" w:hAnsi="Arial" w:cs="Arial"/>
          <w:sz w:val="24"/>
        </w:rPr>
        <w:t xml:space="preserve"> and </w:t>
      </w:r>
      <w:r w:rsidR="00FE1DC7" w:rsidRPr="008379E4">
        <w:rPr>
          <w:rFonts w:ascii="Arial" w:eastAsia="Calibri" w:hAnsi="Arial" w:cs="Arial"/>
          <w:sz w:val="24"/>
        </w:rPr>
        <w:t>to conduct a</w:t>
      </w:r>
      <w:r w:rsidR="00B6120B" w:rsidRPr="008379E4">
        <w:rPr>
          <w:rFonts w:ascii="Arial" w:eastAsia="Calibri" w:hAnsi="Arial" w:cs="Arial"/>
          <w:sz w:val="24"/>
        </w:rPr>
        <w:t xml:space="preserve"> </w:t>
      </w:r>
      <w:r w:rsidR="00987DCF" w:rsidRPr="008379E4">
        <w:rPr>
          <w:rFonts w:ascii="Arial" w:eastAsia="Calibri" w:hAnsi="Arial" w:cs="Arial"/>
          <w:sz w:val="24"/>
        </w:rPr>
        <w:t xml:space="preserve">prior </w:t>
      </w:r>
      <w:r w:rsidR="00B6120B" w:rsidRPr="008379E4">
        <w:rPr>
          <w:rFonts w:ascii="Arial" w:eastAsia="Calibri" w:hAnsi="Arial" w:cs="Arial"/>
          <w:sz w:val="24"/>
        </w:rPr>
        <w:t>credit</w:t>
      </w:r>
      <w:r w:rsidR="00FE1DC7" w:rsidRPr="008379E4">
        <w:rPr>
          <w:rFonts w:ascii="Arial" w:eastAsia="Calibri" w:hAnsi="Arial" w:cs="Arial"/>
          <w:sz w:val="24"/>
        </w:rPr>
        <w:t xml:space="preserve"> assessment of the appellant i.e. </w:t>
      </w:r>
      <w:r w:rsidR="007739C3" w:rsidRPr="008379E4">
        <w:rPr>
          <w:rFonts w:ascii="Arial" w:eastAsia="Calibri" w:hAnsi="Arial" w:cs="Arial"/>
          <w:sz w:val="24"/>
        </w:rPr>
        <w:t xml:space="preserve">to determine </w:t>
      </w:r>
      <w:r w:rsidR="00FE1DC7" w:rsidRPr="008379E4">
        <w:rPr>
          <w:rFonts w:ascii="Arial" w:eastAsia="Calibri" w:hAnsi="Arial" w:cs="Arial"/>
          <w:sz w:val="24"/>
        </w:rPr>
        <w:t xml:space="preserve">whether </w:t>
      </w:r>
      <w:r w:rsidR="00B6120B" w:rsidRPr="008379E4">
        <w:rPr>
          <w:rFonts w:ascii="Arial" w:eastAsia="Calibri" w:hAnsi="Arial" w:cs="Arial"/>
          <w:sz w:val="24"/>
        </w:rPr>
        <w:t xml:space="preserve">he </w:t>
      </w:r>
      <w:r w:rsidR="00FE1DC7" w:rsidRPr="008379E4">
        <w:rPr>
          <w:rFonts w:ascii="Arial" w:eastAsia="Calibri" w:hAnsi="Arial" w:cs="Arial"/>
          <w:sz w:val="24"/>
        </w:rPr>
        <w:t xml:space="preserve">was in a financial position to </w:t>
      </w:r>
      <w:r w:rsidR="00B6120B" w:rsidRPr="008379E4">
        <w:rPr>
          <w:rFonts w:ascii="Arial" w:eastAsia="Calibri" w:hAnsi="Arial" w:cs="Arial"/>
          <w:sz w:val="24"/>
        </w:rPr>
        <w:t xml:space="preserve">enter into such loans and to </w:t>
      </w:r>
      <w:r w:rsidR="00FE1DC7" w:rsidRPr="008379E4">
        <w:rPr>
          <w:rFonts w:ascii="Arial" w:eastAsia="Calibri" w:hAnsi="Arial" w:cs="Arial"/>
          <w:sz w:val="24"/>
        </w:rPr>
        <w:t xml:space="preserve">repay them. </w:t>
      </w:r>
      <w:r w:rsidR="00253D55" w:rsidRPr="008379E4">
        <w:rPr>
          <w:rFonts w:ascii="Arial" w:eastAsia="Calibri" w:hAnsi="Arial" w:cs="Arial"/>
          <w:sz w:val="24"/>
        </w:rPr>
        <w:t>In this regard</w:t>
      </w:r>
      <w:r w:rsidR="00FE1DC7" w:rsidRPr="008379E4">
        <w:rPr>
          <w:rFonts w:ascii="Arial" w:eastAsia="Calibri" w:hAnsi="Arial" w:cs="Arial"/>
          <w:sz w:val="24"/>
        </w:rPr>
        <w:t xml:space="preserve">, the </w:t>
      </w:r>
      <w:r w:rsidR="00D656BA">
        <w:rPr>
          <w:rFonts w:ascii="Arial" w:eastAsia="Calibri" w:hAnsi="Arial" w:cs="Arial"/>
          <w:sz w:val="24"/>
        </w:rPr>
        <w:t>NCA</w:t>
      </w:r>
      <w:r w:rsidR="00FE1DC7" w:rsidRPr="008379E4">
        <w:rPr>
          <w:rFonts w:ascii="Arial" w:eastAsia="Calibri" w:hAnsi="Arial" w:cs="Arial"/>
          <w:sz w:val="24"/>
        </w:rPr>
        <w:t xml:space="preserve"> </w:t>
      </w:r>
      <w:r w:rsidR="008379E4" w:rsidRPr="008379E4">
        <w:rPr>
          <w:rFonts w:ascii="Arial" w:eastAsia="Calibri" w:hAnsi="Arial" w:cs="Arial"/>
          <w:sz w:val="24"/>
        </w:rPr>
        <w:t>provides</w:t>
      </w:r>
      <w:r w:rsidR="008379E4">
        <w:rPr>
          <w:rStyle w:val="FootnoteReference"/>
          <w:rFonts w:ascii="Arial" w:eastAsia="Calibri" w:hAnsi="Arial" w:cs="Arial"/>
          <w:sz w:val="24"/>
        </w:rPr>
        <w:footnoteReference w:id="4"/>
      </w:r>
      <w:r w:rsidR="008379E4" w:rsidRPr="008379E4">
        <w:rPr>
          <w:rFonts w:ascii="Arial" w:eastAsia="Calibri" w:hAnsi="Arial" w:cs="Arial"/>
          <w:sz w:val="24"/>
        </w:rPr>
        <w:t xml:space="preserve"> that a credit agreement is unlawful if, at the time when the agreement was ‘made’ the credit provider was unregistered, in circumstances where the Act requires that he/she be registered</w:t>
      </w:r>
      <w:r w:rsidR="005A69B1">
        <w:rPr>
          <w:rFonts w:ascii="Arial" w:eastAsia="Calibri" w:hAnsi="Arial" w:cs="Arial"/>
          <w:sz w:val="24"/>
        </w:rPr>
        <w:t>,</w:t>
      </w:r>
      <w:r w:rsidR="008379E4">
        <w:rPr>
          <w:rFonts w:ascii="Arial" w:eastAsia="Calibri" w:hAnsi="Arial" w:cs="Arial"/>
          <w:sz w:val="24"/>
        </w:rPr>
        <w:t xml:space="preserve"> and if</w:t>
      </w:r>
      <w:r w:rsidR="00FE1DC7" w:rsidRPr="008379E4">
        <w:rPr>
          <w:rFonts w:ascii="Arial" w:eastAsia="Calibri" w:hAnsi="Arial" w:cs="Arial"/>
          <w:sz w:val="24"/>
        </w:rPr>
        <w:t xml:space="preserve"> a credit provider concludes </w:t>
      </w:r>
      <w:r w:rsidR="007776F9" w:rsidRPr="008379E4">
        <w:rPr>
          <w:rFonts w:ascii="Arial" w:eastAsia="Calibri" w:hAnsi="Arial" w:cs="Arial"/>
          <w:sz w:val="24"/>
        </w:rPr>
        <w:t xml:space="preserve">a </w:t>
      </w:r>
      <w:r w:rsidR="00FE1DC7" w:rsidRPr="008379E4">
        <w:rPr>
          <w:rFonts w:ascii="Arial" w:eastAsia="Calibri" w:hAnsi="Arial" w:cs="Arial"/>
          <w:sz w:val="24"/>
        </w:rPr>
        <w:t xml:space="preserve">credit agreement with a consumer without a credit assessment </w:t>
      </w:r>
      <w:r w:rsidR="007776F9" w:rsidRPr="008379E4">
        <w:rPr>
          <w:rFonts w:ascii="Arial" w:eastAsia="Calibri" w:hAnsi="Arial" w:cs="Arial"/>
          <w:sz w:val="24"/>
        </w:rPr>
        <w:t xml:space="preserve">having been performed </w:t>
      </w:r>
      <w:r w:rsidR="00FE1DC7" w:rsidRPr="008379E4">
        <w:rPr>
          <w:rFonts w:ascii="Arial" w:eastAsia="Calibri" w:hAnsi="Arial" w:cs="Arial"/>
          <w:sz w:val="24"/>
        </w:rPr>
        <w:t>this may constitute the provision of reckless credit</w:t>
      </w:r>
      <w:r w:rsidR="005A69B1">
        <w:rPr>
          <w:rFonts w:ascii="Arial" w:eastAsia="Calibri" w:hAnsi="Arial" w:cs="Arial"/>
          <w:sz w:val="24"/>
        </w:rPr>
        <w:t>, which is liable to be set aside by a court</w:t>
      </w:r>
      <w:r w:rsidR="00FE1DC7" w:rsidRPr="008379E4">
        <w:rPr>
          <w:rFonts w:ascii="Arial" w:eastAsia="Calibri" w:hAnsi="Arial" w:cs="Arial"/>
          <w:sz w:val="24"/>
        </w:rPr>
        <w:t>.</w:t>
      </w:r>
      <w:r w:rsidR="007776F9" w:rsidRPr="008379E4">
        <w:rPr>
          <w:rFonts w:ascii="Arial" w:eastAsia="Calibri" w:hAnsi="Arial" w:cs="Arial"/>
          <w:sz w:val="24"/>
        </w:rPr>
        <w:t xml:space="preserve"> </w:t>
      </w:r>
    </w:p>
    <w:p w14:paraId="5B84A245" w14:textId="48871EE5" w:rsidR="002D3317" w:rsidRPr="002D3317" w:rsidRDefault="00601627" w:rsidP="00601627">
      <w:pPr>
        <w:adjustRightInd w:val="0"/>
        <w:spacing w:after="0" w:line="360" w:lineRule="auto"/>
        <w:ind w:left="720" w:hanging="720"/>
        <w:contextualSpacing/>
        <w:jc w:val="both"/>
        <w:textAlignment w:val="baseline"/>
      </w:pPr>
      <w:r w:rsidRPr="002D3317">
        <w:rPr>
          <w:rFonts w:ascii="Arial" w:hAnsi="Arial" w:cs="Arial"/>
        </w:rPr>
        <w:t>12.</w:t>
      </w:r>
      <w:r w:rsidRPr="002D3317">
        <w:rPr>
          <w:rFonts w:ascii="Arial" w:hAnsi="Arial" w:cs="Arial"/>
        </w:rPr>
        <w:tab/>
      </w:r>
      <w:r w:rsidR="00FE1DC7" w:rsidRPr="002D3317">
        <w:rPr>
          <w:rFonts w:ascii="Arial" w:eastAsia="Calibri" w:hAnsi="Arial" w:cs="Arial"/>
          <w:sz w:val="24"/>
        </w:rPr>
        <w:t xml:space="preserve">The appellant avers that, having been made aware that he had failed to comply with the NCA at the time when </w:t>
      </w:r>
      <w:r w:rsidR="00100700" w:rsidRPr="002D3317">
        <w:rPr>
          <w:rFonts w:ascii="Arial" w:eastAsia="Calibri" w:hAnsi="Arial" w:cs="Arial"/>
          <w:sz w:val="24"/>
        </w:rPr>
        <w:t>he</w:t>
      </w:r>
      <w:r w:rsidR="00FE1DC7" w:rsidRPr="002D3317">
        <w:rPr>
          <w:rFonts w:ascii="Arial" w:eastAsia="Calibri" w:hAnsi="Arial" w:cs="Arial"/>
          <w:sz w:val="24"/>
        </w:rPr>
        <w:t xml:space="preserve"> granted the loans, the respondent </w:t>
      </w:r>
      <w:r w:rsidR="00100700" w:rsidRPr="002D3317">
        <w:rPr>
          <w:rFonts w:ascii="Arial" w:eastAsia="Calibri" w:hAnsi="Arial" w:cs="Arial"/>
          <w:sz w:val="24"/>
        </w:rPr>
        <w:t xml:space="preserve">sought to </w:t>
      </w:r>
      <w:r w:rsidR="00FE1DC7" w:rsidRPr="002D3317">
        <w:rPr>
          <w:rFonts w:ascii="Arial" w:eastAsia="Calibri" w:hAnsi="Arial" w:cs="Arial"/>
          <w:sz w:val="24"/>
        </w:rPr>
        <w:t xml:space="preserve">press for a further AOD to be </w:t>
      </w:r>
      <w:r w:rsidR="00100700" w:rsidRPr="002D3317">
        <w:rPr>
          <w:rFonts w:ascii="Arial" w:eastAsia="Calibri" w:hAnsi="Arial" w:cs="Arial"/>
          <w:sz w:val="24"/>
        </w:rPr>
        <w:t>furnished</w:t>
      </w:r>
      <w:r w:rsidR="00FE1DC7" w:rsidRPr="002D3317">
        <w:rPr>
          <w:rFonts w:ascii="Arial" w:eastAsia="Calibri" w:hAnsi="Arial" w:cs="Arial"/>
          <w:sz w:val="24"/>
        </w:rPr>
        <w:t xml:space="preserve">, </w:t>
      </w:r>
      <w:r w:rsidR="00253D55">
        <w:rPr>
          <w:rFonts w:ascii="Arial" w:eastAsia="Calibri" w:hAnsi="Arial" w:cs="Arial"/>
          <w:sz w:val="24"/>
        </w:rPr>
        <w:t xml:space="preserve">in order </w:t>
      </w:r>
      <w:r w:rsidR="007739C3">
        <w:rPr>
          <w:rFonts w:ascii="Arial" w:eastAsia="Calibri" w:hAnsi="Arial" w:cs="Arial"/>
          <w:sz w:val="24"/>
        </w:rPr>
        <w:t>that he might</w:t>
      </w:r>
      <w:r w:rsidR="00193C1B">
        <w:rPr>
          <w:rFonts w:ascii="Arial" w:eastAsia="Calibri" w:hAnsi="Arial" w:cs="Arial"/>
          <w:sz w:val="24"/>
        </w:rPr>
        <w:t xml:space="preserve"> thereby </w:t>
      </w:r>
      <w:r w:rsidR="00FE1DC7" w:rsidRPr="002D3317">
        <w:rPr>
          <w:rFonts w:ascii="Arial" w:eastAsia="Calibri" w:hAnsi="Arial" w:cs="Arial"/>
          <w:sz w:val="24"/>
        </w:rPr>
        <w:t>‘</w:t>
      </w:r>
      <w:r w:rsidR="00100700" w:rsidRPr="002D3317">
        <w:rPr>
          <w:rFonts w:ascii="Arial" w:eastAsia="Calibri" w:hAnsi="Arial" w:cs="Arial"/>
          <w:sz w:val="24"/>
        </w:rPr>
        <w:t>regularize</w:t>
      </w:r>
      <w:r w:rsidR="00FE1DC7" w:rsidRPr="002D3317">
        <w:rPr>
          <w:rFonts w:ascii="Arial" w:eastAsia="Calibri" w:hAnsi="Arial" w:cs="Arial"/>
          <w:sz w:val="24"/>
        </w:rPr>
        <w:t>’ the</w:t>
      </w:r>
      <w:r w:rsidR="00B6120B">
        <w:rPr>
          <w:rFonts w:ascii="Arial" w:eastAsia="Calibri" w:hAnsi="Arial" w:cs="Arial"/>
          <w:sz w:val="24"/>
        </w:rPr>
        <w:t>m</w:t>
      </w:r>
      <w:r w:rsidR="00FE1DC7" w:rsidRPr="002D3317">
        <w:rPr>
          <w:rFonts w:ascii="Arial" w:eastAsia="Calibri" w:hAnsi="Arial" w:cs="Arial"/>
          <w:sz w:val="24"/>
        </w:rPr>
        <w:t xml:space="preserve">. The respondent also began </w:t>
      </w:r>
      <w:r w:rsidR="00100700" w:rsidRPr="002D3317">
        <w:rPr>
          <w:rFonts w:ascii="Arial" w:eastAsia="Calibri" w:hAnsi="Arial" w:cs="Arial"/>
          <w:sz w:val="24"/>
        </w:rPr>
        <w:t>pressurizing</w:t>
      </w:r>
      <w:r w:rsidR="00FE1DC7" w:rsidRPr="002D3317">
        <w:rPr>
          <w:rFonts w:ascii="Arial" w:eastAsia="Calibri" w:hAnsi="Arial" w:cs="Arial"/>
          <w:sz w:val="24"/>
        </w:rPr>
        <w:t xml:space="preserve"> </w:t>
      </w:r>
      <w:r w:rsidR="00E36DF6">
        <w:rPr>
          <w:rFonts w:ascii="Arial" w:eastAsia="Calibri" w:hAnsi="Arial" w:cs="Arial"/>
          <w:sz w:val="24"/>
        </w:rPr>
        <w:t>him</w:t>
      </w:r>
      <w:r w:rsidR="00FE1DC7" w:rsidRPr="002D3317">
        <w:rPr>
          <w:rFonts w:ascii="Arial" w:eastAsia="Calibri" w:hAnsi="Arial" w:cs="Arial"/>
          <w:sz w:val="24"/>
        </w:rPr>
        <w:t xml:space="preserve"> to make payment of what was outstanding.</w:t>
      </w:r>
      <w:r w:rsidR="002D3317">
        <w:rPr>
          <w:rFonts w:ascii="Arial" w:eastAsia="Calibri" w:hAnsi="Arial" w:cs="Arial"/>
          <w:sz w:val="24"/>
        </w:rPr>
        <w:t xml:space="preserve"> </w:t>
      </w:r>
      <w:r w:rsidR="00FE1DC7" w:rsidRPr="002D3317">
        <w:rPr>
          <w:rFonts w:ascii="Arial" w:eastAsia="Calibri" w:hAnsi="Arial" w:cs="Arial"/>
          <w:sz w:val="24"/>
        </w:rPr>
        <w:t xml:space="preserve">The appellant claims that he was not amenable to signing a further AOD and was in fact advised by his attorney not to do so. </w:t>
      </w:r>
    </w:p>
    <w:p w14:paraId="0F8FA73A" w14:textId="48F70BA9" w:rsidR="00100700" w:rsidRPr="00100700" w:rsidRDefault="00601627" w:rsidP="00601627">
      <w:pPr>
        <w:adjustRightInd w:val="0"/>
        <w:spacing w:after="0" w:line="360" w:lineRule="auto"/>
        <w:ind w:left="720" w:hanging="720"/>
        <w:contextualSpacing/>
        <w:jc w:val="both"/>
        <w:textAlignment w:val="baseline"/>
      </w:pPr>
      <w:r w:rsidRPr="00100700">
        <w:rPr>
          <w:rFonts w:ascii="Arial" w:hAnsi="Arial" w:cs="Arial"/>
        </w:rPr>
        <w:lastRenderedPageBreak/>
        <w:t>13.</w:t>
      </w:r>
      <w:r w:rsidRPr="00100700">
        <w:rPr>
          <w:rFonts w:ascii="Arial" w:hAnsi="Arial" w:cs="Arial"/>
        </w:rPr>
        <w:tab/>
      </w:r>
      <w:r w:rsidR="007739C3">
        <w:rPr>
          <w:rFonts w:ascii="Arial" w:eastAsia="Calibri" w:hAnsi="Arial" w:cs="Arial"/>
          <w:sz w:val="24"/>
        </w:rPr>
        <w:t>However, o</w:t>
      </w:r>
      <w:r w:rsidR="00FE1DC7" w:rsidRPr="002D3317">
        <w:rPr>
          <w:rFonts w:ascii="Arial" w:eastAsia="Calibri" w:hAnsi="Arial" w:cs="Arial"/>
          <w:sz w:val="24"/>
        </w:rPr>
        <w:t xml:space="preserve">n 16 July 2019 </w:t>
      </w:r>
      <w:r w:rsidR="00776772">
        <w:rPr>
          <w:rFonts w:ascii="Arial" w:eastAsia="Calibri" w:hAnsi="Arial" w:cs="Arial"/>
          <w:sz w:val="24"/>
        </w:rPr>
        <w:t>the appellant</w:t>
      </w:r>
      <w:r w:rsidR="00FE1DC7" w:rsidRPr="002D3317">
        <w:rPr>
          <w:rFonts w:ascii="Arial" w:eastAsia="Calibri" w:hAnsi="Arial" w:cs="Arial"/>
          <w:sz w:val="24"/>
        </w:rPr>
        <w:t xml:space="preserve"> made a</w:t>
      </w:r>
      <w:r w:rsidR="002D3317">
        <w:rPr>
          <w:rFonts w:ascii="Arial" w:eastAsia="Calibri" w:hAnsi="Arial" w:cs="Arial"/>
          <w:sz w:val="24"/>
        </w:rPr>
        <w:t xml:space="preserve"> written</w:t>
      </w:r>
      <w:r w:rsidR="00FE1DC7" w:rsidRPr="002D3317">
        <w:rPr>
          <w:rFonts w:ascii="Arial" w:eastAsia="Calibri" w:hAnsi="Arial" w:cs="Arial"/>
          <w:sz w:val="24"/>
        </w:rPr>
        <w:t xml:space="preserve"> offer </w:t>
      </w:r>
      <w:r w:rsidR="00193C1B">
        <w:rPr>
          <w:rFonts w:ascii="Arial" w:eastAsia="Calibri" w:hAnsi="Arial" w:cs="Arial"/>
          <w:sz w:val="24"/>
        </w:rPr>
        <w:t xml:space="preserve">via his attorneys </w:t>
      </w:r>
      <w:r w:rsidR="00FE1DC7" w:rsidRPr="002D3317">
        <w:rPr>
          <w:rFonts w:ascii="Arial" w:eastAsia="Calibri" w:hAnsi="Arial" w:cs="Arial"/>
          <w:sz w:val="24"/>
        </w:rPr>
        <w:t xml:space="preserve">to pay </w:t>
      </w:r>
      <w:r w:rsidR="00100700" w:rsidRPr="002D3317">
        <w:rPr>
          <w:rFonts w:ascii="Arial" w:eastAsia="Calibri" w:hAnsi="Arial" w:cs="Arial"/>
          <w:sz w:val="24"/>
        </w:rPr>
        <w:t>the</w:t>
      </w:r>
      <w:r w:rsidR="00FE1DC7" w:rsidRPr="002D3317">
        <w:rPr>
          <w:rFonts w:ascii="Arial" w:eastAsia="Calibri" w:hAnsi="Arial" w:cs="Arial"/>
          <w:sz w:val="24"/>
        </w:rPr>
        <w:t xml:space="preserve"> amount of R</w:t>
      </w:r>
      <w:r w:rsidR="00E36DF6">
        <w:rPr>
          <w:rFonts w:ascii="Arial" w:eastAsia="Calibri" w:hAnsi="Arial" w:cs="Arial"/>
          <w:sz w:val="24"/>
        </w:rPr>
        <w:t xml:space="preserve"> </w:t>
      </w:r>
      <w:r w:rsidR="00FE1DC7" w:rsidRPr="002D3317">
        <w:rPr>
          <w:rFonts w:ascii="Arial" w:eastAsia="Calibri" w:hAnsi="Arial" w:cs="Arial"/>
          <w:sz w:val="24"/>
        </w:rPr>
        <w:t>2.5 million</w:t>
      </w:r>
      <w:r w:rsidR="001B66C0" w:rsidRPr="002D3317">
        <w:rPr>
          <w:rFonts w:ascii="Arial" w:eastAsia="Calibri" w:hAnsi="Arial" w:cs="Arial"/>
          <w:sz w:val="24"/>
        </w:rPr>
        <w:t xml:space="preserve"> </w:t>
      </w:r>
      <w:r w:rsidR="002D3317">
        <w:rPr>
          <w:rFonts w:ascii="Arial" w:eastAsia="Calibri" w:hAnsi="Arial" w:cs="Arial"/>
          <w:sz w:val="24"/>
        </w:rPr>
        <w:t xml:space="preserve">to the respondent </w:t>
      </w:r>
      <w:r w:rsidR="001B66C0" w:rsidRPr="002D3317">
        <w:rPr>
          <w:rFonts w:ascii="Arial" w:eastAsia="Calibri" w:hAnsi="Arial" w:cs="Arial"/>
          <w:sz w:val="24"/>
        </w:rPr>
        <w:t xml:space="preserve">by 31 December 2019, subject to the respondent acknowledging that he was not liable </w:t>
      </w:r>
      <w:r w:rsidR="00100700" w:rsidRPr="002D3317">
        <w:rPr>
          <w:rFonts w:ascii="Arial" w:eastAsia="Calibri" w:hAnsi="Arial" w:cs="Arial"/>
          <w:sz w:val="24"/>
        </w:rPr>
        <w:t xml:space="preserve">for </w:t>
      </w:r>
      <w:r w:rsidR="001B66C0" w:rsidRPr="002D3317">
        <w:rPr>
          <w:rFonts w:ascii="Arial" w:eastAsia="Calibri" w:hAnsi="Arial" w:cs="Arial"/>
          <w:sz w:val="24"/>
        </w:rPr>
        <w:t xml:space="preserve">the amount claimed in respect of the </w:t>
      </w:r>
      <w:r w:rsidR="002D3317">
        <w:rPr>
          <w:rFonts w:ascii="Arial" w:eastAsia="Calibri" w:hAnsi="Arial" w:cs="Arial"/>
          <w:sz w:val="24"/>
        </w:rPr>
        <w:t xml:space="preserve">alleged </w:t>
      </w:r>
      <w:r w:rsidR="00100700" w:rsidRPr="002D3317">
        <w:rPr>
          <w:rFonts w:ascii="Arial" w:eastAsia="Calibri" w:hAnsi="Arial" w:cs="Arial"/>
          <w:sz w:val="24"/>
        </w:rPr>
        <w:t>Panico debt</w:t>
      </w:r>
      <w:r w:rsidR="001B66C0" w:rsidRPr="002D3317">
        <w:rPr>
          <w:rFonts w:ascii="Arial" w:eastAsia="Calibri" w:hAnsi="Arial" w:cs="Arial"/>
          <w:sz w:val="24"/>
        </w:rPr>
        <w:t xml:space="preserve">. </w:t>
      </w:r>
    </w:p>
    <w:p w14:paraId="3B453463" w14:textId="03680792" w:rsidR="00100700" w:rsidRPr="00100700" w:rsidRDefault="00601627" w:rsidP="00601627">
      <w:pPr>
        <w:adjustRightInd w:val="0"/>
        <w:spacing w:after="0" w:line="360" w:lineRule="auto"/>
        <w:ind w:left="720" w:hanging="720"/>
        <w:contextualSpacing/>
        <w:jc w:val="both"/>
        <w:textAlignment w:val="baseline"/>
      </w:pPr>
      <w:r w:rsidRPr="00100700">
        <w:rPr>
          <w:rFonts w:ascii="Arial" w:hAnsi="Arial" w:cs="Arial"/>
        </w:rPr>
        <w:t>14.</w:t>
      </w:r>
      <w:r w:rsidRPr="00100700">
        <w:rPr>
          <w:rFonts w:ascii="Arial" w:hAnsi="Arial" w:cs="Arial"/>
        </w:rPr>
        <w:tab/>
      </w:r>
      <w:r w:rsidR="001B66C0" w:rsidRPr="001B66C0">
        <w:rPr>
          <w:rFonts w:ascii="Arial" w:eastAsia="Calibri" w:hAnsi="Arial" w:cs="Arial"/>
          <w:sz w:val="24"/>
        </w:rPr>
        <w:t xml:space="preserve">The respondent was amenable to the </w:t>
      </w:r>
      <w:r w:rsidR="007F54DF">
        <w:rPr>
          <w:rFonts w:ascii="Arial" w:eastAsia="Calibri" w:hAnsi="Arial" w:cs="Arial"/>
          <w:sz w:val="24"/>
        </w:rPr>
        <w:t>proposal</w:t>
      </w:r>
      <w:r w:rsidR="001B66C0" w:rsidRPr="001B66C0">
        <w:rPr>
          <w:rFonts w:ascii="Arial" w:eastAsia="Calibri" w:hAnsi="Arial" w:cs="Arial"/>
          <w:sz w:val="24"/>
        </w:rPr>
        <w:t xml:space="preserve"> provided that the appellant signed a fresh AOD for the amount </w:t>
      </w:r>
      <w:r w:rsidR="00100700">
        <w:rPr>
          <w:rFonts w:ascii="Arial" w:eastAsia="Calibri" w:hAnsi="Arial" w:cs="Arial"/>
          <w:sz w:val="24"/>
        </w:rPr>
        <w:t>proposed</w:t>
      </w:r>
      <w:r w:rsidR="002D3317">
        <w:rPr>
          <w:rFonts w:ascii="Arial" w:eastAsia="Calibri" w:hAnsi="Arial" w:cs="Arial"/>
          <w:sz w:val="24"/>
        </w:rPr>
        <w:t xml:space="preserve"> by him</w:t>
      </w:r>
      <w:r w:rsidR="001B66C0" w:rsidRPr="001B66C0">
        <w:rPr>
          <w:rFonts w:ascii="Arial" w:eastAsia="Calibri" w:hAnsi="Arial" w:cs="Arial"/>
          <w:sz w:val="24"/>
        </w:rPr>
        <w:t xml:space="preserve">. </w:t>
      </w:r>
      <w:r w:rsidR="0053527B">
        <w:rPr>
          <w:rFonts w:ascii="Arial" w:eastAsia="Calibri" w:hAnsi="Arial" w:cs="Arial"/>
          <w:sz w:val="24"/>
        </w:rPr>
        <w:t xml:space="preserve">He accordingly </w:t>
      </w:r>
      <w:r w:rsidR="001B66C0" w:rsidRPr="001B66C0">
        <w:rPr>
          <w:rFonts w:ascii="Arial" w:eastAsia="Calibri" w:hAnsi="Arial" w:cs="Arial"/>
          <w:sz w:val="24"/>
        </w:rPr>
        <w:t>instructed his attorneys to prepare a draft which was forwarded to the appellant who, after making certain amendments to it,</w:t>
      </w:r>
      <w:r w:rsidR="00100700">
        <w:rPr>
          <w:rFonts w:ascii="Arial" w:eastAsia="Calibri" w:hAnsi="Arial" w:cs="Arial"/>
          <w:sz w:val="24"/>
        </w:rPr>
        <w:t xml:space="preserve"> duly </w:t>
      </w:r>
      <w:r w:rsidR="001B66C0" w:rsidRPr="001B66C0">
        <w:rPr>
          <w:rFonts w:ascii="Arial" w:eastAsia="Calibri" w:hAnsi="Arial" w:cs="Arial"/>
          <w:sz w:val="24"/>
        </w:rPr>
        <w:t xml:space="preserve">signed </w:t>
      </w:r>
      <w:r w:rsidR="002D3317">
        <w:rPr>
          <w:rFonts w:ascii="Arial" w:eastAsia="Calibri" w:hAnsi="Arial" w:cs="Arial"/>
          <w:sz w:val="24"/>
        </w:rPr>
        <w:t>i</w:t>
      </w:r>
      <w:r w:rsidR="001B66C0" w:rsidRPr="001B66C0">
        <w:rPr>
          <w:rFonts w:ascii="Arial" w:eastAsia="Calibri" w:hAnsi="Arial" w:cs="Arial"/>
          <w:sz w:val="24"/>
        </w:rPr>
        <w:t xml:space="preserve">t on 28 August 2019. </w:t>
      </w:r>
      <w:r w:rsidR="001B66C0">
        <w:rPr>
          <w:rFonts w:ascii="Arial" w:eastAsia="Calibri" w:hAnsi="Arial" w:cs="Arial"/>
          <w:sz w:val="24"/>
        </w:rPr>
        <w:t xml:space="preserve"> </w:t>
      </w:r>
      <w:r w:rsidR="00100700">
        <w:rPr>
          <w:rFonts w:ascii="Arial" w:eastAsia="Calibri" w:hAnsi="Arial" w:cs="Arial"/>
          <w:sz w:val="24"/>
        </w:rPr>
        <w:t xml:space="preserve">It is </w:t>
      </w:r>
      <w:r w:rsidR="001B66C0">
        <w:rPr>
          <w:rFonts w:ascii="Arial" w:eastAsia="Calibri" w:hAnsi="Arial" w:cs="Arial"/>
          <w:sz w:val="24"/>
        </w:rPr>
        <w:t>this AOD</w:t>
      </w:r>
      <w:r w:rsidR="00100700">
        <w:rPr>
          <w:rFonts w:ascii="Arial" w:eastAsia="Calibri" w:hAnsi="Arial" w:cs="Arial"/>
          <w:sz w:val="24"/>
        </w:rPr>
        <w:t xml:space="preserve"> (‘the third AOD’) </w:t>
      </w:r>
      <w:r w:rsidR="001B66C0">
        <w:rPr>
          <w:rFonts w:ascii="Arial" w:eastAsia="Calibri" w:hAnsi="Arial" w:cs="Arial"/>
          <w:sz w:val="24"/>
        </w:rPr>
        <w:t>which form</w:t>
      </w:r>
      <w:r w:rsidR="00100700">
        <w:rPr>
          <w:rFonts w:ascii="Arial" w:eastAsia="Calibri" w:hAnsi="Arial" w:cs="Arial"/>
          <w:sz w:val="24"/>
        </w:rPr>
        <w:t xml:space="preserve">s </w:t>
      </w:r>
      <w:r w:rsidR="001B66C0">
        <w:rPr>
          <w:rFonts w:ascii="Arial" w:eastAsia="Calibri" w:hAnsi="Arial" w:cs="Arial"/>
          <w:sz w:val="24"/>
        </w:rPr>
        <w:t>the subject of th</w:t>
      </w:r>
      <w:r w:rsidR="00100700">
        <w:rPr>
          <w:rFonts w:ascii="Arial" w:eastAsia="Calibri" w:hAnsi="Arial" w:cs="Arial"/>
          <w:sz w:val="24"/>
        </w:rPr>
        <w:t>e</w:t>
      </w:r>
      <w:r w:rsidR="001B66C0">
        <w:rPr>
          <w:rFonts w:ascii="Arial" w:eastAsia="Calibri" w:hAnsi="Arial" w:cs="Arial"/>
          <w:sz w:val="24"/>
        </w:rPr>
        <w:t xml:space="preserve"> appeal. </w:t>
      </w:r>
    </w:p>
    <w:p w14:paraId="1778394B" w14:textId="26A78362" w:rsidR="001B66C0"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15.</w:t>
      </w:r>
      <w:r>
        <w:rPr>
          <w:rFonts w:ascii="Arial" w:hAnsi="Arial" w:cs="Arial"/>
          <w:sz w:val="24"/>
          <w:szCs w:val="24"/>
        </w:rPr>
        <w:tab/>
      </w:r>
      <w:r w:rsidR="00F36B76">
        <w:rPr>
          <w:rFonts w:ascii="Arial" w:hAnsi="Arial" w:cs="Arial"/>
          <w:sz w:val="24"/>
          <w:szCs w:val="24"/>
        </w:rPr>
        <w:t>As previously indicated t</w:t>
      </w:r>
      <w:r w:rsidR="001B66C0">
        <w:rPr>
          <w:rFonts w:ascii="Arial" w:hAnsi="Arial" w:cs="Arial"/>
          <w:sz w:val="24"/>
          <w:szCs w:val="24"/>
        </w:rPr>
        <w:t xml:space="preserve">he appellant acknowledged </w:t>
      </w:r>
      <w:r w:rsidR="00776772">
        <w:rPr>
          <w:rFonts w:ascii="Arial" w:hAnsi="Arial" w:cs="Arial"/>
          <w:sz w:val="24"/>
          <w:szCs w:val="24"/>
        </w:rPr>
        <w:t>therein that he was</w:t>
      </w:r>
      <w:r w:rsidR="001B66C0">
        <w:rPr>
          <w:rFonts w:ascii="Arial" w:hAnsi="Arial" w:cs="Arial"/>
          <w:sz w:val="24"/>
          <w:szCs w:val="24"/>
        </w:rPr>
        <w:t xml:space="preserve"> indebted to the respondent for payment of </w:t>
      </w:r>
      <w:r w:rsidR="00193C1B">
        <w:rPr>
          <w:rFonts w:ascii="Arial" w:hAnsi="Arial" w:cs="Arial"/>
          <w:sz w:val="24"/>
          <w:szCs w:val="24"/>
        </w:rPr>
        <w:t>an</w:t>
      </w:r>
      <w:r w:rsidR="001B66C0">
        <w:rPr>
          <w:rFonts w:ascii="Arial" w:hAnsi="Arial" w:cs="Arial"/>
          <w:sz w:val="24"/>
          <w:szCs w:val="24"/>
        </w:rPr>
        <w:t xml:space="preserve"> amount of R</w:t>
      </w:r>
      <w:r w:rsidR="007F54DF">
        <w:rPr>
          <w:rFonts w:ascii="Arial" w:hAnsi="Arial" w:cs="Arial"/>
          <w:sz w:val="24"/>
          <w:szCs w:val="24"/>
        </w:rPr>
        <w:t xml:space="preserve"> </w:t>
      </w:r>
      <w:r w:rsidR="001B66C0">
        <w:rPr>
          <w:rFonts w:ascii="Arial" w:hAnsi="Arial" w:cs="Arial"/>
          <w:sz w:val="24"/>
          <w:szCs w:val="24"/>
        </w:rPr>
        <w:t xml:space="preserve">2.5 million, which he undertook to </w:t>
      </w:r>
      <w:r w:rsidR="00E24F02">
        <w:rPr>
          <w:rFonts w:ascii="Arial" w:hAnsi="Arial" w:cs="Arial"/>
          <w:sz w:val="24"/>
          <w:szCs w:val="24"/>
        </w:rPr>
        <w:t>settle</w:t>
      </w:r>
      <w:r w:rsidR="00CC20C8">
        <w:rPr>
          <w:rFonts w:ascii="Arial" w:hAnsi="Arial" w:cs="Arial"/>
          <w:sz w:val="24"/>
          <w:szCs w:val="24"/>
        </w:rPr>
        <w:t>,</w:t>
      </w:r>
      <w:r w:rsidR="001B66C0">
        <w:rPr>
          <w:rFonts w:ascii="Arial" w:hAnsi="Arial" w:cs="Arial"/>
          <w:sz w:val="24"/>
          <w:szCs w:val="24"/>
        </w:rPr>
        <w:t xml:space="preserve"> in full or in part</w:t>
      </w:r>
      <w:r w:rsidR="00CC20C8">
        <w:rPr>
          <w:rFonts w:ascii="Arial" w:hAnsi="Arial" w:cs="Arial"/>
          <w:sz w:val="24"/>
          <w:szCs w:val="24"/>
        </w:rPr>
        <w:t>,</w:t>
      </w:r>
      <w:r w:rsidR="001B66C0">
        <w:rPr>
          <w:rFonts w:ascii="Arial" w:hAnsi="Arial" w:cs="Arial"/>
          <w:sz w:val="24"/>
          <w:szCs w:val="24"/>
        </w:rPr>
        <w:t xml:space="preserve"> on or before 30 September 2019. Unlike the previous AOD’s th</w:t>
      </w:r>
      <w:r w:rsidR="00F36B76">
        <w:rPr>
          <w:rFonts w:ascii="Arial" w:hAnsi="Arial" w:cs="Arial"/>
          <w:sz w:val="24"/>
          <w:szCs w:val="24"/>
        </w:rPr>
        <w:t>e third AOD</w:t>
      </w:r>
      <w:r w:rsidR="001B66C0">
        <w:rPr>
          <w:rFonts w:ascii="Arial" w:hAnsi="Arial" w:cs="Arial"/>
          <w:sz w:val="24"/>
          <w:szCs w:val="24"/>
        </w:rPr>
        <w:t xml:space="preserve"> made no provision for</w:t>
      </w:r>
      <w:r w:rsidR="002D3317">
        <w:rPr>
          <w:rFonts w:ascii="Arial" w:hAnsi="Arial" w:cs="Arial"/>
          <w:sz w:val="24"/>
          <w:szCs w:val="24"/>
        </w:rPr>
        <w:t xml:space="preserve"> the levying of</w:t>
      </w:r>
      <w:r w:rsidR="001B66C0">
        <w:rPr>
          <w:rFonts w:ascii="Arial" w:hAnsi="Arial" w:cs="Arial"/>
          <w:sz w:val="24"/>
          <w:szCs w:val="24"/>
        </w:rPr>
        <w:t xml:space="preserve"> interest.</w:t>
      </w:r>
    </w:p>
    <w:p w14:paraId="0554B29D" w14:textId="6ED96FEB" w:rsidR="001B66C0" w:rsidRPr="00400888" w:rsidRDefault="00601627" w:rsidP="00601627">
      <w:pPr>
        <w:adjustRightInd w:val="0"/>
        <w:spacing w:after="0" w:line="360" w:lineRule="auto"/>
        <w:ind w:left="720" w:hanging="720"/>
        <w:contextualSpacing/>
        <w:jc w:val="both"/>
        <w:textAlignment w:val="baseline"/>
        <w:rPr>
          <w:rFonts w:ascii="Arial" w:hAnsi="Arial" w:cs="Arial"/>
          <w:sz w:val="24"/>
          <w:szCs w:val="24"/>
        </w:rPr>
      </w:pPr>
      <w:r w:rsidRPr="00400888">
        <w:rPr>
          <w:rFonts w:ascii="Arial" w:hAnsi="Arial" w:cs="Arial"/>
          <w:sz w:val="24"/>
          <w:szCs w:val="24"/>
        </w:rPr>
        <w:t>16.</w:t>
      </w:r>
      <w:r w:rsidRPr="00400888">
        <w:rPr>
          <w:rFonts w:ascii="Arial" w:hAnsi="Arial" w:cs="Arial"/>
          <w:sz w:val="24"/>
          <w:szCs w:val="24"/>
        </w:rPr>
        <w:tab/>
      </w:r>
      <w:r w:rsidR="001B66C0" w:rsidRPr="00400888">
        <w:rPr>
          <w:rFonts w:ascii="Arial" w:hAnsi="Arial" w:cs="Arial"/>
          <w:sz w:val="24"/>
          <w:szCs w:val="24"/>
        </w:rPr>
        <w:t>According to the appellant</w:t>
      </w:r>
      <w:r w:rsidR="002D3317" w:rsidRPr="00400888">
        <w:rPr>
          <w:rFonts w:ascii="Arial" w:hAnsi="Arial" w:cs="Arial"/>
          <w:sz w:val="24"/>
          <w:szCs w:val="24"/>
        </w:rPr>
        <w:t>, by</w:t>
      </w:r>
      <w:r w:rsidR="001B66C0" w:rsidRPr="00400888">
        <w:rPr>
          <w:rFonts w:ascii="Arial" w:hAnsi="Arial" w:cs="Arial"/>
          <w:sz w:val="24"/>
          <w:szCs w:val="24"/>
        </w:rPr>
        <w:t xml:space="preserve"> providing the</w:t>
      </w:r>
      <w:r w:rsidR="002D3317" w:rsidRPr="00400888">
        <w:rPr>
          <w:rFonts w:ascii="Arial" w:hAnsi="Arial" w:cs="Arial"/>
          <w:sz w:val="24"/>
          <w:szCs w:val="24"/>
        </w:rPr>
        <w:t xml:space="preserve"> third</w:t>
      </w:r>
      <w:r w:rsidR="001B66C0" w:rsidRPr="00400888">
        <w:rPr>
          <w:rFonts w:ascii="Arial" w:hAnsi="Arial" w:cs="Arial"/>
          <w:sz w:val="24"/>
          <w:szCs w:val="24"/>
        </w:rPr>
        <w:t xml:space="preserve"> AOD </w:t>
      </w:r>
      <w:r w:rsidR="002D3317" w:rsidRPr="00400888">
        <w:rPr>
          <w:rFonts w:ascii="Arial" w:hAnsi="Arial" w:cs="Arial"/>
          <w:sz w:val="24"/>
          <w:szCs w:val="24"/>
        </w:rPr>
        <w:t xml:space="preserve">he </w:t>
      </w:r>
      <w:r w:rsidR="001B66C0" w:rsidRPr="00400888">
        <w:rPr>
          <w:rFonts w:ascii="Arial" w:hAnsi="Arial" w:cs="Arial"/>
          <w:sz w:val="24"/>
          <w:szCs w:val="24"/>
        </w:rPr>
        <w:t xml:space="preserve">intended simply to acknowledge that he was liable to the respondent in the capital sum of R2 .5 million which had </w:t>
      </w:r>
      <w:r w:rsidR="00B6120B" w:rsidRPr="00400888">
        <w:rPr>
          <w:rFonts w:ascii="Arial" w:hAnsi="Arial" w:cs="Arial"/>
          <w:sz w:val="24"/>
          <w:szCs w:val="24"/>
        </w:rPr>
        <w:t xml:space="preserve">previously </w:t>
      </w:r>
      <w:r w:rsidR="001B66C0" w:rsidRPr="00400888">
        <w:rPr>
          <w:rFonts w:ascii="Arial" w:hAnsi="Arial" w:cs="Arial"/>
          <w:sz w:val="24"/>
          <w:szCs w:val="24"/>
        </w:rPr>
        <w:t>been advanced to him, and no more than that.</w:t>
      </w:r>
      <w:r w:rsidR="00776772" w:rsidRPr="00400888">
        <w:rPr>
          <w:rFonts w:ascii="Arial" w:hAnsi="Arial" w:cs="Arial"/>
          <w:sz w:val="24"/>
          <w:szCs w:val="24"/>
        </w:rPr>
        <w:t xml:space="preserve"> Thus, he </w:t>
      </w:r>
      <w:r w:rsidR="00987DCF" w:rsidRPr="00400888">
        <w:rPr>
          <w:rFonts w:ascii="Arial" w:hAnsi="Arial" w:cs="Arial"/>
          <w:sz w:val="24"/>
          <w:szCs w:val="24"/>
        </w:rPr>
        <w:t xml:space="preserve">claimed that he </w:t>
      </w:r>
      <w:r w:rsidR="00776772" w:rsidRPr="00400888">
        <w:rPr>
          <w:rFonts w:ascii="Arial" w:hAnsi="Arial" w:cs="Arial"/>
          <w:sz w:val="24"/>
          <w:szCs w:val="24"/>
        </w:rPr>
        <w:t xml:space="preserve">did not intend to bind himself to make payment of an additional </w:t>
      </w:r>
      <w:r w:rsidR="00CC20C8" w:rsidRPr="00400888">
        <w:rPr>
          <w:rFonts w:ascii="Arial" w:hAnsi="Arial" w:cs="Arial"/>
          <w:sz w:val="24"/>
          <w:szCs w:val="24"/>
        </w:rPr>
        <w:t>sum</w:t>
      </w:r>
      <w:r w:rsidR="00776772" w:rsidRPr="00400888">
        <w:rPr>
          <w:rFonts w:ascii="Arial" w:hAnsi="Arial" w:cs="Arial"/>
          <w:sz w:val="24"/>
          <w:szCs w:val="24"/>
        </w:rPr>
        <w:t xml:space="preserve"> of R 2.5 million. </w:t>
      </w:r>
      <w:r w:rsidR="002D3317" w:rsidRPr="00400888">
        <w:rPr>
          <w:rFonts w:ascii="Arial" w:hAnsi="Arial" w:cs="Arial"/>
          <w:sz w:val="24"/>
          <w:szCs w:val="24"/>
        </w:rPr>
        <w:t>He</w:t>
      </w:r>
      <w:r w:rsidR="00965677" w:rsidRPr="00400888">
        <w:rPr>
          <w:rFonts w:ascii="Arial" w:eastAsia="Calibri" w:hAnsi="Arial" w:cs="Arial"/>
          <w:sz w:val="24"/>
        </w:rPr>
        <w:t xml:space="preserve"> signed th</w:t>
      </w:r>
      <w:r w:rsidR="002D3317" w:rsidRPr="00400888">
        <w:rPr>
          <w:rFonts w:ascii="Arial" w:eastAsia="Calibri" w:hAnsi="Arial" w:cs="Arial"/>
          <w:sz w:val="24"/>
        </w:rPr>
        <w:t>e</w:t>
      </w:r>
      <w:r w:rsidR="00965677" w:rsidRPr="00400888">
        <w:rPr>
          <w:rFonts w:ascii="Arial" w:eastAsia="Calibri" w:hAnsi="Arial" w:cs="Arial"/>
          <w:sz w:val="24"/>
        </w:rPr>
        <w:t xml:space="preserve"> AOD notwithstanding the advice he had received from his attorney because he was desperate to maintain his friendship with the respondent.</w:t>
      </w:r>
      <w:r w:rsidR="007F54DF" w:rsidRPr="00400888">
        <w:rPr>
          <w:rFonts w:ascii="Arial" w:eastAsia="Calibri" w:hAnsi="Arial" w:cs="Arial"/>
          <w:sz w:val="24"/>
        </w:rPr>
        <w:t xml:space="preserve"> </w:t>
      </w:r>
      <w:r w:rsidR="001B66C0" w:rsidRPr="00400888">
        <w:rPr>
          <w:rFonts w:ascii="Arial" w:hAnsi="Arial" w:cs="Arial"/>
          <w:sz w:val="24"/>
          <w:szCs w:val="24"/>
        </w:rPr>
        <w:t>The respondent on the other hand understood that the appellant intended to bind himself to make payment of a further R</w:t>
      </w:r>
      <w:r w:rsidR="00F36B76" w:rsidRPr="00400888">
        <w:rPr>
          <w:rFonts w:ascii="Arial" w:hAnsi="Arial" w:cs="Arial"/>
          <w:sz w:val="24"/>
          <w:szCs w:val="24"/>
        </w:rPr>
        <w:t xml:space="preserve"> </w:t>
      </w:r>
      <w:r w:rsidR="001B66C0" w:rsidRPr="00400888">
        <w:rPr>
          <w:rFonts w:ascii="Arial" w:hAnsi="Arial" w:cs="Arial"/>
          <w:sz w:val="24"/>
          <w:szCs w:val="24"/>
        </w:rPr>
        <w:t>2.5 million over and above what he had already paid (R</w:t>
      </w:r>
      <w:r w:rsidR="00FF697A" w:rsidRPr="00400888">
        <w:rPr>
          <w:rFonts w:ascii="Arial" w:hAnsi="Arial" w:cs="Arial"/>
          <w:sz w:val="24"/>
          <w:szCs w:val="24"/>
        </w:rPr>
        <w:t xml:space="preserve"> </w:t>
      </w:r>
      <w:r w:rsidR="001B66C0" w:rsidRPr="00400888">
        <w:rPr>
          <w:rFonts w:ascii="Arial" w:hAnsi="Arial" w:cs="Arial"/>
          <w:sz w:val="24"/>
          <w:szCs w:val="24"/>
        </w:rPr>
        <w:t>2 121</w:t>
      </w:r>
      <w:r w:rsidR="00965677" w:rsidRPr="00400888">
        <w:rPr>
          <w:rFonts w:ascii="Arial" w:hAnsi="Arial" w:cs="Arial"/>
          <w:sz w:val="24"/>
          <w:szCs w:val="24"/>
        </w:rPr>
        <w:t xml:space="preserve"> </w:t>
      </w:r>
      <w:r w:rsidR="001B66C0" w:rsidRPr="00400888">
        <w:rPr>
          <w:rFonts w:ascii="Arial" w:hAnsi="Arial" w:cs="Arial"/>
          <w:sz w:val="24"/>
          <w:szCs w:val="24"/>
        </w:rPr>
        <w:t>500).</w:t>
      </w:r>
    </w:p>
    <w:p w14:paraId="4B74DD27" w14:textId="50F1FF3C" w:rsidR="00965677"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17.</w:t>
      </w:r>
      <w:r>
        <w:rPr>
          <w:rFonts w:ascii="Arial" w:hAnsi="Arial" w:cs="Arial"/>
          <w:sz w:val="24"/>
          <w:szCs w:val="24"/>
        </w:rPr>
        <w:tab/>
      </w:r>
      <w:r w:rsidR="001B66C0">
        <w:rPr>
          <w:rFonts w:ascii="Arial" w:hAnsi="Arial" w:cs="Arial"/>
          <w:sz w:val="24"/>
          <w:szCs w:val="24"/>
        </w:rPr>
        <w:t xml:space="preserve">Contrary to the </w:t>
      </w:r>
      <w:r w:rsidR="00776772">
        <w:rPr>
          <w:rFonts w:ascii="Arial" w:hAnsi="Arial" w:cs="Arial"/>
          <w:sz w:val="24"/>
          <w:szCs w:val="24"/>
        </w:rPr>
        <w:t>terms</w:t>
      </w:r>
      <w:r w:rsidR="001B66C0">
        <w:rPr>
          <w:rFonts w:ascii="Arial" w:hAnsi="Arial" w:cs="Arial"/>
          <w:sz w:val="24"/>
          <w:szCs w:val="24"/>
        </w:rPr>
        <w:t xml:space="preserve"> of the </w:t>
      </w:r>
      <w:r w:rsidR="007739C3">
        <w:rPr>
          <w:rFonts w:ascii="Arial" w:hAnsi="Arial" w:cs="Arial"/>
          <w:sz w:val="24"/>
          <w:szCs w:val="24"/>
        </w:rPr>
        <w:t xml:space="preserve">third </w:t>
      </w:r>
      <w:r w:rsidR="001B66C0">
        <w:rPr>
          <w:rFonts w:ascii="Arial" w:hAnsi="Arial" w:cs="Arial"/>
          <w:sz w:val="24"/>
          <w:szCs w:val="24"/>
        </w:rPr>
        <w:t>AOD the appellant did not make any payment by 30 September 2019</w:t>
      </w:r>
      <w:r w:rsidR="00776772">
        <w:rPr>
          <w:rFonts w:ascii="Arial" w:hAnsi="Arial" w:cs="Arial"/>
          <w:sz w:val="24"/>
          <w:szCs w:val="24"/>
        </w:rPr>
        <w:t>,</w:t>
      </w:r>
      <w:r w:rsidR="001B66C0">
        <w:rPr>
          <w:rFonts w:ascii="Arial" w:hAnsi="Arial" w:cs="Arial"/>
          <w:sz w:val="24"/>
          <w:szCs w:val="24"/>
        </w:rPr>
        <w:t xml:space="preserve"> not even the </w:t>
      </w:r>
      <w:r w:rsidR="00965677">
        <w:rPr>
          <w:rFonts w:ascii="Arial" w:hAnsi="Arial" w:cs="Arial"/>
          <w:sz w:val="24"/>
          <w:szCs w:val="24"/>
        </w:rPr>
        <w:t>amount of</w:t>
      </w:r>
      <w:r w:rsidR="001B66C0">
        <w:rPr>
          <w:rFonts w:ascii="Arial" w:hAnsi="Arial" w:cs="Arial"/>
          <w:sz w:val="24"/>
          <w:szCs w:val="24"/>
        </w:rPr>
        <w:t xml:space="preserve"> R</w:t>
      </w:r>
      <w:r w:rsidR="00965677">
        <w:rPr>
          <w:rFonts w:ascii="Arial" w:hAnsi="Arial" w:cs="Arial"/>
          <w:sz w:val="24"/>
          <w:szCs w:val="24"/>
        </w:rPr>
        <w:t xml:space="preserve"> </w:t>
      </w:r>
      <w:r w:rsidR="001B66C0">
        <w:rPr>
          <w:rFonts w:ascii="Arial" w:hAnsi="Arial" w:cs="Arial"/>
          <w:sz w:val="24"/>
          <w:szCs w:val="24"/>
        </w:rPr>
        <w:t>378</w:t>
      </w:r>
      <w:r w:rsidR="00965677">
        <w:rPr>
          <w:rFonts w:ascii="Arial" w:hAnsi="Arial" w:cs="Arial"/>
          <w:sz w:val="24"/>
          <w:szCs w:val="24"/>
        </w:rPr>
        <w:t xml:space="preserve"> </w:t>
      </w:r>
      <w:r w:rsidR="001B66C0">
        <w:rPr>
          <w:rFonts w:ascii="Arial" w:hAnsi="Arial" w:cs="Arial"/>
          <w:sz w:val="24"/>
          <w:szCs w:val="24"/>
        </w:rPr>
        <w:t>500 which</w:t>
      </w:r>
      <w:r w:rsidR="00B6120B">
        <w:rPr>
          <w:rFonts w:ascii="Arial" w:hAnsi="Arial" w:cs="Arial"/>
          <w:sz w:val="24"/>
          <w:szCs w:val="24"/>
        </w:rPr>
        <w:t>,</w:t>
      </w:r>
      <w:r w:rsidR="001B66C0">
        <w:rPr>
          <w:rFonts w:ascii="Arial" w:hAnsi="Arial" w:cs="Arial"/>
          <w:sz w:val="24"/>
          <w:szCs w:val="24"/>
        </w:rPr>
        <w:t xml:space="preserve"> on his version</w:t>
      </w:r>
      <w:r w:rsidR="00B6120B">
        <w:rPr>
          <w:rFonts w:ascii="Arial" w:hAnsi="Arial" w:cs="Arial"/>
          <w:sz w:val="24"/>
          <w:szCs w:val="24"/>
        </w:rPr>
        <w:t>,</w:t>
      </w:r>
      <w:r w:rsidR="001B66C0">
        <w:rPr>
          <w:rFonts w:ascii="Arial" w:hAnsi="Arial" w:cs="Arial"/>
          <w:sz w:val="24"/>
          <w:szCs w:val="24"/>
        </w:rPr>
        <w:t xml:space="preserve"> w</w:t>
      </w:r>
      <w:r w:rsidR="00400888">
        <w:rPr>
          <w:rFonts w:ascii="Arial" w:hAnsi="Arial" w:cs="Arial"/>
          <w:sz w:val="24"/>
          <w:szCs w:val="24"/>
        </w:rPr>
        <w:t>ould be</w:t>
      </w:r>
      <w:r w:rsidR="001B66C0">
        <w:rPr>
          <w:rFonts w:ascii="Arial" w:hAnsi="Arial" w:cs="Arial"/>
          <w:sz w:val="24"/>
          <w:szCs w:val="24"/>
        </w:rPr>
        <w:t xml:space="preserve"> </w:t>
      </w:r>
      <w:r w:rsidR="00965677">
        <w:rPr>
          <w:rFonts w:ascii="Arial" w:hAnsi="Arial" w:cs="Arial"/>
          <w:sz w:val="24"/>
          <w:szCs w:val="24"/>
        </w:rPr>
        <w:t xml:space="preserve">the balance </w:t>
      </w:r>
      <w:r w:rsidR="001B66C0">
        <w:rPr>
          <w:rFonts w:ascii="Arial" w:hAnsi="Arial" w:cs="Arial"/>
          <w:sz w:val="24"/>
          <w:szCs w:val="24"/>
        </w:rPr>
        <w:t xml:space="preserve">owing in respect of the capital </w:t>
      </w:r>
      <w:r w:rsidR="00965677">
        <w:rPr>
          <w:rFonts w:ascii="Arial" w:hAnsi="Arial" w:cs="Arial"/>
          <w:sz w:val="24"/>
          <w:szCs w:val="24"/>
        </w:rPr>
        <w:t xml:space="preserve">sum </w:t>
      </w:r>
      <w:r w:rsidR="001B66C0">
        <w:rPr>
          <w:rFonts w:ascii="Arial" w:hAnsi="Arial" w:cs="Arial"/>
          <w:sz w:val="24"/>
          <w:szCs w:val="24"/>
        </w:rPr>
        <w:t>of R</w:t>
      </w:r>
      <w:r w:rsidR="007739C3">
        <w:rPr>
          <w:rFonts w:ascii="Arial" w:hAnsi="Arial" w:cs="Arial"/>
          <w:sz w:val="24"/>
          <w:szCs w:val="24"/>
        </w:rPr>
        <w:t xml:space="preserve"> </w:t>
      </w:r>
      <w:r w:rsidR="001B66C0">
        <w:rPr>
          <w:rFonts w:ascii="Arial" w:hAnsi="Arial" w:cs="Arial"/>
          <w:sz w:val="24"/>
          <w:szCs w:val="24"/>
        </w:rPr>
        <w:t xml:space="preserve">2.5 million which had been advanced. </w:t>
      </w:r>
      <w:r w:rsidR="00965677">
        <w:rPr>
          <w:rFonts w:ascii="Arial" w:hAnsi="Arial" w:cs="Arial"/>
          <w:sz w:val="24"/>
          <w:szCs w:val="24"/>
        </w:rPr>
        <w:t>But</w:t>
      </w:r>
      <w:r w:rsidR="002D3317">
        <w:rPr>
          <w:rFonts w:ascii="Arial" w:hAnsi="Arial" w:cs="Arial"/>
          <w:sz w:val="24"/>
          <w:szCs w:val="24"/>
        </w:rPr>
        <w:t>,</w:t>
      </w:r>
      <w:r w:rsidR="00965677">
        <w:rPr>
          <w:rFonts w:ascii="Arial" w:hAnsi="Arial" w:cs="Arial"/>
          <w:sz w:val="24"/>
          <w:szCs w:val="24"/>
        </w:rPr>
        <w:t xml:space="preserve"> </w:t>
      </w:r>
      <w:r w:rsidR="00826FC6">
        <w:rPr>
          <w:rFonts w:ascii="Arial" w:hAnsi="Arial" w:cs="Arial"/>
          <w:sz w:val="24"/>
          <w:szCs w:val="24"/>
        </w:rPr>
        <w:t xml:space="preserve">curiously, </w:t>
      </w:r>
      <w:r w:rsidR="00965677">
        <w:rPr>
          <w:rFonts w:ascii="Arial" w:hAnsi="Arial" w:cs="Arial"/>
          <w:sz w:val="24"/>
          <w:szCs w:val="24"/>
        </w:rPr>
        <w:t>o</w:t>
      </w:r>
      <w:r w:rsidR="001B66C0">
        <w:rPr>
          <w:rFonts w:ascii="Arial" w:hAnsi="Arial" w:cs="Arial"/>
          <w:sz w:val="24"/>
          <w:szCs w:val="24"/>
        </w:rPr>
        <w:t>n 8 November 2019 he p</w:t>
      </w:r>
      <w:r w:rsidR="00965677">
        <w:rPr>
          <w:rFonts w:ascii="Arial" w:hAnsi="Arial" w:cs="Arial"/>
          <w:sz w:val="24"/>
          <w:szCs w:val="24"/>
        </w:rPr>
        <w:t>roceeded to pay over to</w:t>
      </w:r>
      <w:r w:rsidR="001B66C0">
        <w:rPr>
          <w:rFonts w:ascii="Arial" w:hAnsi="Arial" w:cs="Arial"/>
          <w:sz w:val="24"/>
          <w:szCs w:val="24"/>
        </w:rPr>
        <w:t xml:space="preserve"> the respondent an amount </w:t>
      </w:r>
      <w:r w:rsidR="00CC20C8">
        <w:rPr>
          <w:rFonts w:ascii="Arial" w:hAnsi="Arial" w:cs="Arial"/>
          <w:sz w:val="24"/>
          <w:szCs w:val="24"/>
        </w:rPr>
        <w:t xml:space="preserve">well </w:t>
      </w:r>
      <w:r w:rsidR="00965677">
        <w:rPr>
          <w:rFonts w:ascii="Arial" w:hAnsi="Arial" w:cs="Arial"/>
          <w:sz w:val="24"/>
          <w:szCs w:val="24"/>
        </w:rPr>
        <w:t xml:space="preserve">in excess of that viz </w:t>
      </w:r>
      <w:r w:rsidR="001B66C0">
        <w:rPr>
          <w:rFonts w:ascii="Arial" w:hAnsi="Arial" w:cs="Arial"/>
          <w:sz w:val="24"/>
          <w:szCs w:val="24"/>
        </w:rPr>
        <w:t>R</w:t>
      </w:r>
      <w:r w:rsidR="00965677">
        <w:rPr>
          <w:rFonts w:ascii="Arial" w:hAnsi="Arial" w:cs="Arial"/>
          <w:sz w:val="24"/>
          <w:szCs w:val="24"/>
        </w:rPr>
        <w:t xml:space="preserve"> </w:t>
      </w:r>
      <w:r w:rsidR="001B66C0">
        <w:rPr>
          <w:rFonts w:ascii="Arial" w:hAnsi="Arial" w:cs="Arial"/>
          <w:sz w:val="24"/>
          <w:szCs w:val="24"/>
        </w:rPr>
        <w:t>965</w:t>
      </w:r>
      <w:r w:rsidR="00965677">
        <w:rPr>
          <w:rFonts w:ascii="Arial" w:hAnsi="Arial" w:cs="Arial"/>
          <w:sz w:val="24"/>
          <w:szCs w:val="24"/>
        </w:rPr>
        <w:t xml:space="preserve"> </w:t>
      </w:r>
      <w:r w:rsidR="001B66C0">
        <w:rPr>
          <w:rFonts w:ascii="Arial" w:hAnsi="Arial" w:cs="Arial"/>
          <w:sz w:val="24"/>
          <w:szCs w:val="24"/>
        </w:rPr>
        <w:t>000</w:t>
      </w:r>
      <w:r w:rsidR="00965677">
        <w:rPr>
          <w:rFonts w:ascii="Arial" w:hAnsi="Arial" w:cs="Arial"/>
          <w:sz w:val="24"/>
          <w:szCs w:val="24"/>
        </w:rPr>
        <w:t>. H</w:t>
      </w:r>
      <w:r w:rsidR="001B66C0">
        <w:rPr>
          <w:rFonts w:ascii="Arial" w:hAnsi="Arial" w:cs="Arial"/>
          <w:sz w:val="24"/>
          <w:szCs w:val="24"/>
        </w:rPr>
        <w:t xml:space="preserve">is explanation for doing so was that the respondent was desperate for </w:t>
      </w:r>
      <w:r w:rsidR="002D3317">
        <w:rPr>
          <w:rFonts w:ascii="Arial" w:hAnsi="Arial" w:cs="Arial"/>
          <w:sz w:val="24"/>
          <w:szCs w:val="24"/>
        </w:rPr>
        <w:t>money,</w:t>
      </w:r>
      <w:r w:rsidR="001B66C0">
        <w:rPr>
          <w:rFonts w:ascii="Arial" w:hAnsi="Arial" w:cs="Arial"/>
          <w:sz w:val="24"/>
          <w:szCs w:val="24"/>
        </w:rPr>
        <w:t xml:space="preserve"> and he was desperate to maintain their friendship. This was the last amount the appellant paid to the respondent. </w:t>
      </w:r>
    </w:p>
    <w:p w14:paraId="072C0A37" w14:textId="56C7FAEB" w:rsidR="001B66C0"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lastRenderedPageBreak/>
        <w:t>18.</w:t>
      </w:r>
      <w:r>
        <w:rPr>
          <w:rFonts w:ascii="Arial" w:hAnsi="Arial" w:cs="Arial"/>
          <w:sz w:val="24"/>
          <w:szCs w:val="24"/>
        </w:rPr>
        <w:tab/>
      </w:r>
      <w:r w:rsidR="001B66C0">
        <w:rPr>
          <w:rFonts w:ascii="Arial" w:hAnsi="Arial" w:cs="Arial"/>
          <w:sz w:val="24"/>
          <w:szCs w:val="24"/>
        </w:rPr>
        <w:t xml:space="preserve">Thus, it is common cause that </w:t>
      </w:r>
      <w:r w:rsidR="002D3317">
        <w:rPr>
          <w:rFonts w:ascii="Arial" w:hAnsi="Arial" w:cs="Arial"/>
          <w:sz w:val="24"/>
          <w:szCs w:val="24"/>
        </w:rPr>
        <w:t xml:space="preserve">in total </w:t>
      </w:r>
      <w:r w:rsidR="001B66C0">
        <w:rPr>
          <w:rFonts w:ascii="Arial" w:hAnsi="Arial" w:cs="Arial"/>
          <w:sz w:val="24"/>
          <w:szCs w:val="24"/>
        </w:rPr>
        <w:t>the appellant paid the respondent</w:t>
      </w:r>
      <w:r w:rsidR="002D3317">
        <w:rPr>
          <w:rFonts w:ascii="Arial" w:hAnsi="Arial" w:cs="Arial"/>
          <w:sz w:val="24"/>
          <w:szCs w:val="24"/>
        </w:rPr>
        <w:t xml:space="preserve"> </w:t>
      </w:r>
      <w:r w:rsidR="00AE4531">
        <w:rPr>
          <w:rFonts w:ascii="Arial" w:hAnsi="Arial" w:cs="Arial"/>
          <w:sz w:val="24"/>
          <w:szCs w:val="24"/>
        </w:rPr>
        <w:t xml:space="preserve">                     </w:t>
      </w:r>
      <w:r w:rsidR="001B66C0">
        <w:rPr>
          <w:rFonts w:ascii="Arial" w:hAnsi="Arial" w:cs="Arial"/>
          <w:sz w:val="24"/>
          <w:szCs w:val="24"/>
        </w:rPr>
        <w:t>R</w:t>
      </w:r>
      <w:r w:rsidR="00965677">
        <w:rPr>
          <w:rFonts w:ascii="Arial" w:hAnsi="Arial" w:cs="Arial"/>
          <w:sz w:val="24"/>
          <w:szCs w:val="24"/>
        </w:rPr>
        <w:t xml:space="preserve"> </w:t>
      </w:r>
      <w:r w:rsidR="001B66C0">
        <w:rPr>
          <w:rFonts w:ascii="Arial" w:hAnsi="Arial" w:cs="Arial"/>
          <w:sz w:val="24"/>
          <w:szCs w:val="24"/>
        </w:rPr>
        <w:t>3</w:t>
      </w:r>
      <w:r w:rsidR="00965677">
        <w:rPr>
          <w:rFonts w:ascii="Arial" w:hAnsi="Arial" w:cs="Arial"/>
          <w:sz w:val="24"/>
          <w:szCs w:val="24"/>
        </w:rPr>
        <w:t xml:space="preserve"> </w:t>
      </w:r>
      <w:r w:rsidR="001B66C0">
        <w:rPr>
          <w:rFonts w:ascii="Arial" w:hAnsi="Arial" w:cs="Arial"/>
          <w:sz w:val="24"/>
          <w:szCs w:val="24"/>
        </w:rPr>
        <w:t>086</w:t>
      </w:r>
      <w:r w:rsidR="00965677">
        <w:rPr>
          <w:rFonts w:ascii="Arial" w:hAnsi="Arial" w:cs="Arial"/>
          <w:sz w:val="24"/>
          <w:szCs w:val="24"/>
        </w:rPr>
        <w:t xml:space="preserve"> </w:t>
      </w:r>
      <w:r w:rsidR="001B66C0">
        <w:rPr>
          <w:rFonts w:ascii="Arial" w:hAnsi="Arial" w:cs="Arial"/>
          <w:sz w:val="24"/>
          <w:szCs w:val="24"/>
        </w:rPr>
        <w:t>500. If one deducts the capital value of the loan</w:t>
      </w:r>
      <w:r w:rsidR="00965677">
        <w:rPr>
          <w:rFonts w:ascii="Arial" w:hAnsi="Arial" w:cs="Arial"/>
          <w:sz w:val="24"/>
          <w:szCs w:val="24"/>
        </w:rPr>
        <w:t xml:space="preserve"> </w:t>
      </w:r>
      <w:r w:rsidR="001B66C0">
        <w:rPr>
          <w:rFonts w:ascii="Arial" w:hAnsi="Arial" w:cs="Arial"/>
          <w:sz w:val="24"/>
          <w:szCs w:val="24"/>
        </w:rPr>
        <w:t>this means that he</w:t>
      </w:r>
      <w:r w:rsidR="00965677">
        <w:rPr>
          <w:rFonts w:ascii="Arial" w:hAnsi="Arial" w:cs="Arial"/>
          <w:sz w:val="24"/>
          <w:szCs w:val="24"/>
        </w:rPr>
        <w:t xml:space="preserve"> </w:t>
      </w:r>
      <w:r w:rsidR="001B66C0">
        <w:rPr>
          <w:rFonts w:ascii="Arial" w:hAnsi="Arial" w:cs="Arial"/>
          <w:sz w:val="24"/>
          <w:szCs w:val="24"/>
        </w:rPr>
        <w:t>effectively paid R</w:t>
      </w:r>
      <w:r w:rsidR="00965677">
        <w:rPr>
          <w:rFonts w:ascii="Arial" w:hAnsi="Arial" w:cs="Arial"/>
          <w:sz w:val="24"/>
          <w:szCs w:val="24"/>
        </w:rPr>
        <w:t xml:space="preserve"> </w:t>
      </w:r>
      <w:r w:rsidR="001B66C0">
        <w:rPr>
          <w:rFonts w:ascii="Arial" w:hAnsi="Arial" w:cs="Arial"/>
          <w:sz w:val="24"/>
          <w:szCs w:val="24"/>
        </w:rPr>
        <w:t>586</w:t>
      </w:r>
      <w:r w:rsidR="00965677">
        <w:rPr>
          <w:rFonts w:ascii="Arial" w:hAnsi="Arial" w:cs="Arial"/>
          <w:sz w:val="24"/>
          <w:szCs w:val="24"/>
        </w:rPr>
        <w:t xml:space="preserve"> </w:t>
      </w:r>
      <w:r w:rsidR="001B66C0">
        <w:rPr>
          <w:rFonts w:ascii="Arial" w:hAnsi="Arial" w:cs="Arial"/>
          <w:sz w:val="24"/>
          <w:szCs w:val="24"/>
        </w:rPr>
        <w:t xml:space="preserve">500 in lieu of interest, which equates to </w:t>
      </w:r>
      <w:r w:rsidR="00965677">
        <w:rPr>
          <w:rFonts w:ascii="Arial" w:hAnsi="Arial" w:cs="Arial"/>
          <w:sz w:val="24"/>
          <w:szCs w:val="24"/>
        </w:rPr>
        <w:t xml:space="preserve">a </w:t>
      </w:r>
      <w:r w:rsidR="001B66C0">
        <w:rPr>
          <w:rFonts w:ascii="Arial" w:hAnsi="Arial" w:cs="Arial"/>
          <w:sz w:val="24"/>
          <w:szCs w:val="24"/>
        </w:rPr>
        <w:t xml:space="preserve">return of approximately 23.46% over </w:t>
      </w:r>
      <w:r w:rsidR="00A567DD">
        <w:rPr>
          <w:rFonts w:ascii="Arial" w:hAnsi="Arial" w:cs="Arial"/>
          <w:sz w:val="24"/>
          <w:szCs w:val="24"/>
        </w:rPr>
        <w:t>a</w:t>
      </w:r>
      <w:r w:rsidR="001B66C0">
        <w:rPr>
          <w:rFonts w:ascii="Arial" w:hAnsi="Arial" w:cs="Arial"/>
          <w:sz w:val="24"/>
          <w:szCs w:val="24"/>
        </w:rPr>
        <w:t xml:space="preserve"> period of 4 years</w:t>
      </w:r>
      <w:r w:rsidR="00A567DD">
        <w:rPr>
          <w:rFonts w:ascii="Arial" w:hAnsi="Arial" w:cs="Arial"/>
          <w:sz w:val="24"/>
          <w:szCs w:val="24"/>
        </w:rPr>
        <w:t>,</w:t>
      </w:r>
      <w:r w:rsidR="00965677">
        <w:rPr>
          <w:rFonts w:ascii="Arial" w:hAnsi="Arial" w:cs="Arial"/>
          <w:sz w:val="24"/>
          <w:szCs w:val="24"/>
        </w:rPr>
        <w:t xml:space="preserve"> </w:t>
      </w:r>
      <w:r w:rsidR="005E33A1">
        <w:rPr>
          <w:rFonts w:ascii="Arial" w:hAnsi="Arial" w:cs="Arial"/>
          <w:sz w:val="24"/>
          <w:szCs w:val="24"/>
        </w:rPr>
        <w:t>from the beginning of 2015</w:t>
      </w:r>
      <w:r w:rsidR="00B0569D">
        <w:rPr>
          <w:rFonts w:ascii="Arial" w:hAnsi="Arial" w:cs="Arial"/>
          <w:sz w:val="24"/>
          <w:szCs w:val="24"/>
        </w:rPr>
        <w:t xml:space="preserve"> to the date of the last payment</w:t>
      </w:r>
      <w:r w:rsidR="001B66C0">
        <w:rPr>
          <w:rFonts w:ascii="Arial" w:hAnsi="Arial" w:cs="Arial"/>
          <w:sz w:val="24"/>
          <w:szCs w:val="24"/>
        </w:rPr>
        <w:t>.</w:t>
      </w:r>
    </w:p>
    <w:p w14:paraId="4CC58056" w14:textId="79308E17" w:rsidR="00045BD3"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19.</w:t>
      </w:r>
      <w:r>
        <w:rPr>
          <w:rFonts w:ascii="Arial" w:hAnsi="Arial" w:cs="Arial"/>
          <w:sz w:val="24"/>
          <w:szCs w:val="24"/>
        </w:rPr>
        <w:tab/>
      </w:r>
      <w:r w:rsidR="001B66C0">
        <w:rPr>
          <w:rFonts w:ascii="Arial" w:hAnsi="Arial" w:cs="Arial"/>
          <w:sz w:val="24"/>
          <w:szCs w:val="24"/>
        </w:rPr>
        <w:t xml:space="preserve">In January 2020 the respondent declared a dispute </w:t>
      </w:r>
      <w:r w:rsidR="00965677">
        <w:rPr>
          <w:rFonts w:ascii="Arial" w:hAnsi="Arial" w:cs="Arial"/>
          <w:sz w:val="24"/>
          <w:szCs w:val="24"/>
        </w:rPr>
        <w:t xml:space="preserve">which </w:t>
      </w:r>
      <w:r w:rsidR="001B66C0">
        <w:rPr>
          <w:rFonts w:ascii="Arial" w:hAnsi="Arial" w:cs="Arial"/>
          <w:sz w:val="24"/>
          <w:szCs w:val="24"/>
        </w:rPr>
        <w:t xml:space="preserve">he referred to arbitration, in terms of </w:t>
      </w:r>
      <w:r w:rsidR="00680501">
        <w:rPr>
          <w:rFonts w:ascii="Arial" w:hAnsi="Arial" w:cs="Arial"/>
          <w:sz w:val="24"/>
          <w:szCs w:val="24"/>
        </w:rPr>
        <w:t xml:space="preserve">a </w:t>
      </w:r>
      <w:r w:rsidR="001B66C0">
        <w:rPr>
          <w:rFonts w:ascii="Arial" w:hAnsi="Arial" w:cs="Arial"/>
          <w:sz w:val="24"/>
          <w:szCs w:val="24"/>
        </w:rPr>
        <w:t xml:space="preserve">clause </w:t>
      </w:r>
      <w:r w:rsidR="00680501">
        <w:rPr>
          <w:rFonts w:ascii="Arial" w:hAnsi="Arial" w:cs="Arial"/>
          <w:sz w:val="24"/>
          <w:szCs w:val="24"/>
        </w:rPr>
        <w:t xml:space="preserve">in </w:t>
      </w:r>
      <w:r w:rsidR="001B66C0">
        <w:rPr>
          <w:rFonts w:ascii="Arial" w:hAnsi="Arial" w:cs="Arial"/>
          <w:sz w:val="24"/>
          <w:szCs w:val="24"/>
        </w:rPr>
        <w:t xml:space="preserve">the </w:t>
      </w:r>
      <w:r w:rsidR="00B0569D">
        <w:rPr>
          <w:rFonts w:ascii="Arial" w:hAnsi="Arial" w:cs="Arial"/>
          <w:sz w:val="24"/>
          <w:szCs w:val="24"/>
        </w:rPr>
        <w:t>third</w:t>
      </w:r>
      <w:r w:rsidR="001B66C0">
        <w:rPr>
          <w:rFonts w:ascii="Arial" w:hAnsi="Arial" w:cs="Arial"/>
          <w:sz w:val="24"/>
          <w:szCs w:val="24"/>
        </w:rPr>
        <w:t xml:space="preserve"> AOD</w:t>
      </w:r>
      <w:r w:rsidR="00965677">
        <w:rPr>
          <w:rFonts w:ascii="Arial" w:hAnsi="Arial" w:cs="Arial"/>
          <w:sz w:val="24"/>
          <w:szCs w:val="24"/>
        </w:rPr>
        <w:t xml:space="preserve">. In response, </w:t>
      </w:r>
      <w:r w:rsidR="001B66C0">
        <w:rPr>
          <w:rFonts w:ascii="Arial" w:hAnsi="Arial" w:cs="Arial"/>
          <w:sz w:val="24"/>
          <w:szCs w:val="24"/>
        </w:rPr>
        <w:t xml:space="preserve">on 21 January 2020 the appellant instituted an action out of this </w:t>
      </w:r>
      <w:r w:rsidR="00965677">
        <w:rPr>
          <w:rFonts w:ascii="Arial" w:hAnsi="Arial" w:cs="Arial"/>
          <w:sz w:val="24"/>
          <w:szCs w:val="24"/>
        </w:rPr>
        <w:t>C</w:t>
      </w:r>
      <w:r w:rsidR="001B66C0">
        <w:rPr>
          <w:rFonts w:ascii="Arial" w:hAnsi="Arial" w:cs="Arial"/>
          <w:sz w:val="24"/>
          <w:szCs w:val="24"/>
        </w:rPr>
        <w:t>ourt</w:t>
      </w:r>
      <w:r w:rsidR="001B66C0">
        <w:rPr>
          <w:rStyle w:val="FootnoteReference"/>
          <w:rFonts w:ascii="Arial" w:hAnsi="Arial" w:cs="Arial"/>
          <w:sz w:val="24"/>
          <w:szCs w:val="24"/>
        </w:rPr>
        <w:footnoteReference w:id="5"/>
      </w:r>
      <w:r w:rsidR="001B66C0">
        <w:rPr>
          <w:rFonts w:ascii="Arial" w:hAnsi="Arial" w:cs="Arial"/>
          <w:sz w:val="24"/>
          <w:szCs w:val="24"/>
        </w:rPr>
        <w:t xml:space="preserve"> in which he sought an order declaring that the various </w:t>
      </w:r>
      <w:r w:rsidR="00EA0033">
        <w:rPr>
          <w:rFonts w:ascii="Arial" w:hAnsi="Arial" w:cs="Arial"/>
          <w:sz w:val="24"/>
          <w:szCs w:val="24"/>
        </w:rPr>
        <w:t xml:space="preserve">oral </w:t>
      </w:r>
      <w:r w:rsidR="001B66C0">
        <w:rPr>
          <w:rFonts w:ascii="Arial" w:hAnsi="Arial" w:cs="Arial"/>
          <w:sz w:val="24"/>
          <w:szCs w:val="24"/>
        </w:rPr>
        <w:t xml:space="preserve">loan agreements and </w:t>
      </w:r>
      <w:r w:rsidR="00965677">
        <w:rPr>
          <w:rFonts w:ascii="Arial" w:hAnsi="Arial" w:cs="Arial"/>
          <w:sz w:val="24"/>
          <w:szCs w:val="24"/>
        </w:rPr>
        <w:t xml:space="preserve">the three </w:t>
      </w:r>
      <w:r w:rsidR="001B66C0">
        <w:rPr>
          <w:rFonts w:ascii="Arial" w:hAnsi="Arial" w:cs="Arial"/>
          <w:sz w:val="24"/>
          <w:szCs w:val="24"/>
        </w:rPr>
        <w:t>AOD’s which gave effect to them,</w:t>
      </w:r>
      <w:r w:rsidR="00045BD3">
        <w:rPr>
          <w:rFonts w:ascii="Arial" w:hAnsi="Arial" w:cs="Arial"/>
          <w:sz w:val="24"/>
          <w:szCs w:val="24"/>
        </w:rPr>
        <w:t xml:space="preserve"> constituted unlawful credit agreements in terms of the NCA and were accordingly void</w:t>
      </w:r>
      <w:r w:rsidR="00965677">
        <w:rPr>
          <w:rFonts w:ascii="Arial" w:hAnsi="Arial" w:cs="Arial"/>
          <w:sz w:val="24"/>
          <w:szCs w:val="24"/>
        </w:rPr>
        <w:t>,</w:t>
      </w:r>
      <w:r w:rsidR="00045BD3">
        <w:rPr>
          <w:rFonts w:ascii="Arial" w:hAnsi="Arial" w:cs="Arial"/>
          <w:sz w:val="24"/>
          <w:szCs w:val="24"/>
        </w:rPr>
        <w:t xml:space="preserve"> and </w:t>
      </w:r>
      <w:r w:rsidR="00253D55">
        <w:rPr>
          <w:rFonts w:ascii="Arial" w:hAnsi="Arial" w:cs="Arial"/>
          <w:sz w:val="24"/>
          <w:szCs w:val="24"/>
        </w:rPr>
        <w:t xml:space="preserve">consequently </w:t>
      </w:r>
      <w:r w:rsidR="00045BD3">
        <w:rPr>
          <w:rFonts w:ascii="Arial" w:hAnsi="Arial" w:cs="Arial"/>
          <w:sz w:val="24"/>
          <w:szCs w:val="24"/>
        </w:rPr>
        <w:t xml:space="preserve">the respondent should be directed to repay the full amount </w:t>
      </w:r>
      <w:r w:rsidR="00965677">
        <w:rPr>
          <w:rFonts w:ascii="Arial" w:hAnsi="Arial" w:cs="Arial"/>
          <w:sz w:val="24"/>
          <w:szCs w:val="24"/>
        </w:rPr>
        <w:t xml:space="preserve">which had </w:t>
      </w:r>
      <w:r w:rsidR="00B6120B">
        <w:rPr>
          <w:rFonts w:ascii="Arial" w:hAnsi="Arial" w:cs="Arial"/>
          <w:sz w:val="24"/>
          <w:szCs w:val="24"/>
        </w:rPr>
        <w:t xml:space="preserve">been </w:t>
      </w:r>
      <w:r w:rsidR="00045BD3">
        <w:rPr>
          <w:rFonts w:ascii="Arial" w:hAnsi="Arial" w:cs="Arial"/>
          <w:sz w:val="24"/>
          <w:szCs w:val="24"/>
        </w:rPr>
        <w:t>paid to him i.e. R</w:t>
      </w:r>
      <w:r w:rsidR="00965677">
        <w:rPr>
          <w:rFonts w:ascii="Arial" w:hAnsi="Arial" w:cs="Arial"/>
          <w:sz w:val="24"/>
          <w:szCs w:val="24"/>
        </w:rPr>
        <w:t xml:space="preserve"> </w:t>
      </w:r>
      <w:r w:rsidR="00045BD3">
        <w:rPr>
          <w:rFonts w:ascii="Arial" w:hAnsi="Arial" w:cs="Arial"/>
          <w:sz w:val="24"/>
          <w:szCs w:val="24"/>
        </w:rPr>
        <w:t>3</w:t>
      </w:r>
      <w:r w:rsidR="00965677">
        <w:rPr>
          <w:rFonts w:ascii="Arial" w:hAnsi="Arial" w:cs="Arial"/>
          <w:sz w:val="24"/>
          <w:szCs w:val="24"/>
        </w:rPr>
        <w:t xml:space="preserve"> </w:t>
      </w:r>
      <w:r w:rsidR="00045BD3">
        <w:rPr>
          <w:rFonts w:ascii="Arial" w:hAnsi="Arial" w:cs="Arial"/>
          <w:sz w:val="24"/>
          <w:szCs w:val="24"/>
        </w:rPr>
        <w:t>086</w:t>
      </w:r>
      <w:r w:rsidR="00965677">
        <w:rPr>
          <w:rFonts w:ascii="Arial" w:hAnsi="Arial" w:cs="Arial"/>
          <w:sz w:val="24"/>
          <w:szCs w:val="24"/>
        </w:rPr>
        <w:t xml:space="preserve"> </w:t>
      </w:r>
      <w:r w:rsidR="00045BD3">
        <w:rPr>
          <w:rFonts w:ascii="Arial" w:hAnsi="Arial" w:cs="Arial"/>
          <w:sz w:val="24"/>
          <w:szCs w:val="24"/>
        </w:rPr>
        <w:t>500.</w:t>
      </w:r>
    </w:p>
    <w:p w14:paraId="30D0EBC6" w14:textId="63F2EB0F" w:rsidR="007F54DF"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20.</w:t>
      </w:r>
      <w:r>
        <w:rPr>
          <w:rFonts w:ascii="Arial" w:hAnsi="Arial" w:cs="Arial"/>
          <w:sz w:val="24"/>
          <w:szCs w:val="24"/>
        </w:rPr>
        <w:tab/>
      </w:r>
      <w:r w:rsidR="000416DE">
        <w:rPr>
          <w:rFonts w:ascii="Arial" w:hAnsi="Arial" w:cs="Arial"/>
          <w:sz w:val="24"/>
          <w:szCs w:val="24"/>
        </w:rPr>
        <w:t xml:space="preserve">The respondent delivered </w:t>
      </w:r>
      <w:r w:rsidR="00253D55">
        <w:rPr>
          <w:rFonts w:ascii="Arial" w:hAnsi="Arial" w:cs="Arial"/>
          <w:sz w:val="24"/>
          <w:szCs w:val="24"/>
        </w:rPr>
        <w:t>a</w:t>
      </w:r>
      <w:r w:rsidR="000416DE">
        <w:rPr>
          <w:rFonts w:ascii="Arial" w:hAnsi="Arial" w:cs="Arial"/>
          <w:sz w:val="24"/>
          <w:szCs w:val="24"/>
        </w:rPr>
        <w:t xml:space="preserve"> statement of claim </w:t>
      </w:r>
      <w:r w:rsidR="00E76C9C">
        <w:rPr>
          <w:rFonts w:ascii="Arial" w:hAnsi="Arial" w:cs="Arial"/>
          <w:sz w:val="24"/>
          <w:szCs w:val="24"/>
        </w:rPr>
        <w:t xml:space="preserve">in the arbitration </w:t>
      </w:r>
      <w:r w:rsidR="000416DE">
        <w:rPr>
          <w:rFonts w:ascii="Arial" w:hAnsi="Arial" w:cs="Arial"/>
          <w:sz w:val="24"/>
          <w:szCs w:val="24"/>
        </w:rPr>
        <w:t>on 21 February 2020</w:t>
      </w:r>
      <w:r w:rsidR="00E76C9C">
        <w:rPr>
          <w:rFonts w:ascii="Arial" w:hAnsi="Arial" w:cs="Arial"/>
          <w:sz w:val="24"/>
          <w:szCs w:val="24"/>
        </w:rPr>
        <w:t>,</w:t>
      </w:r>
      <w:r w:rsidR="000416DE">
        <w:rPr>
          <w:rFonts w:ascii="Arial" w:hAnsi="Arial" w:cs="Arial"/>
          <w:sz w:val="24"/>
          <w:szCs w:val="24"/>
        </w:rPr>
        <w:t xml:space="preserve"> in which he sought an award in his favour for R 1 535 000 being the balance owing in respect of the R</w:t>
      </w:r>
      <w:r w:rsidR="00E76C9C">
        <w:rPr>
          <w:rFonts w:ascii="Arial" w:hAnsi="Arial" w:cs="Arial"/>
          <w:sz w:val="24"/>
          <w:szCs w:val="24"/>
        </w:rPr>
        <w:t xml:space="preserve"> </w:t>
      </w:r>
      <w:r w:rsidR="000416DE">
        <w:rPr>
          <w:rFonts w:ascii="Arial" w:hAnsi="Arial" w:cs="Arial"/>
          <w:sz w:val="24"/>
          <w:szCs w:val="24"/>
        </w:rPr>
        <w:t xml:space="preserve">2.5 million referred to in the </w:t>
      </w:r>
      <w:r w:rsidR="00253D55">
        <w:rPr>
          <w:rFonts w:ascii="Arial" w:hAnsi="Arial" w:cs="Arial"/>
          <w:sz w:val="24"/>
          <w:szCs w:val="24"/>
        </w:rPr>
        <w:t>third</w:t>
      </w:r>
      <w:r w:rsidR="000416DE">
        <w:rPr>
          <w:rFonts w:ascii="Arial" w:hAnsi="Arial" w:cs="Arial"/>
          <w:sz w:val="24"/>
          <w:szCs w:val="24"/>
        </w:rPr>
        <w:t xml:space="preserve"> AOD, less the </w:t>
      </w:r>
      <w:r w:rsidR="00680501">
        <w:rPr>
          <w:rFonts w:ascii="Arial" w:hAnsi="Arial" w:cs="Arial"/>
          <w:sz w:val="24"/>
          <w:szCs w:val="24"/>
        </w:rPr>
        <w:t xml:space="preserve"> </w:t>
      </w:r>
      <w:r w:rsidR="00472321">
        <w:rPr>
          <w:rFonts w:ascii="Arial" w:hAnsi="Arial" w:cs="Arial"/>
          <w:sz w:val="24"/>
          <w:szCs w:val="24"/>
        </w:rPr>
        <w:t xml:space="preserve">                   </w:t>
      </w:r>
      <w:r w:rsidR="000416DE">
        <w:rPr>
          <w:rFonts w:ascii="Arial" w:hAnsi="Arial" w:cs="Arial"/>
          <w:sz w:val="24"/>
          <w:szCs w:val="24"/>
        </w:rPr>
        <w:t>R</w:t>
      </w:r>
      <w:r w:rsidR="00253D55">
        <w:rPr>
          <w:rFonts w:ascii="Arial" w:hAnsi="Arial" w:cs="Arial"/>
          <w:sz w:val="24"/>
          <w:szCs w:val="24"/>
        </w:rPr>
        <w:t xml:space="preserve"> </w:t>
      </w:r>
      <w:r w:rsidR="000416DE">
        <w:rPr>
          <w:rFonts w:ascii="Arial" w:hAnsi="Arial" w:cs="Arial"/>
          <w:sz w:val="24"/>
          <w:szCs w:val="24"/>
        </w:rPr>
        <w:t>965</w:t>
      </w:r>
      <w:r w:rsidR="00253D55">
        <w:rPr>
          <w:rFonts w:ascii="Arial" w:hAnsi="Arial" w:cs="Arial"/>
          <w:sz w:val="24"/>
          <w:szCs w:val="24"/>
        </w:rPr>
        <w:t xml:space="preserve"> </w:t>
      </w:r>
      <w:r w:rsidR="000416DE">
        <w:rPr>
          <w:rFonts w:ascii="Arial" w:hAnsi="Arial" w:cs="Arial"/>
          <w:sz w:val="24"/>
          <w:szCs w:val="24"/>
        </w:rPr>
        <w:t xml:space="preserve">000 the appellant had paid in lieu thereof. </w:t>
      </w:r>
    </w:p>
    <w:p w14:paraId="40781B38" w14:textId="1CCC4800" w:rsidR="000416DE"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21.</w:t>
      </w:r>
      <w:r>
        <w:rPr>
          <w:rFonts w:ascii="Arial" w:hAnsi="Arial" w:cs="Arial"/>
          <w:sz w:val="24"/>
          <w:szCs w:val="24"/>
        </w:rPr>
        <w:tab/>
      </w:r>
      <w:r w:rsidR="00400888">
        <w:rPr>
          <w:rFonts w:ascii="Arial" w:hAnsi="Arial" w:cs="Arial"/>
          <w:sz w:val="24"/>
          <w:szCs w:val="24"/>
        </w:rPr>
        <w:t>In response, t</w:t>
      </w:r>
      <w:r w:rsidR="000416DE">
        <w:rPr>
          <w:rFonts w:ascii="Arial" w:hAnsi="Arial" w:cs="Arial"/>
          <w:sz w:val="24"/>
          <w:szCs w:val="24"/>
        </w:rPr>
        <w:t xml:space="preserve">he appellant </w:t>
      </w:r>
      <w:r w:rsidR="00400888">
        <w:rPr>
          <w:rFonts w:ascii="Arial" w:hAnsi="Arial" w:cs="Arial"/>
          <w:sz w:val="24"/>
          <w:szCs w:val="24"/>
        </w:rPr>
        <w:t>f</w:t>
      </w:r>
      <w:r w:rsidR="000416DE">
        <w:rPr>
          <w:rFonts w:ascii="Arial" w:hAnsi="Arial" w:cs="Arial"/>
          <w:sz w:val="24"/>
          <w:szCs w:val="24"/>
        </w:rPr>
        <w:t>iled a statement of defence in which he pleaded (by way of 2 special plea</w:t>
      </w:r>
      <w:r w:rsidR="00253D55">
        <w:rPr>
          <w:rFonts w:ascii="Arial" w:hAnsi="Arial" w:cs="Arial"/>
          <w:sz w:val="24"/>
          <w:szCs w:val="24"/>
        </w:rPr>
        <w:t>s</w:t>
      </w:r>
      <w:r w:rsidR="000416DE">
        <w:rPr>
          <w:rFonts w:ascii="Arial" w:hAnsi="Arial" w:cs="Arial"/>
          <w:sz w:val="24"/>
          <w:szCs w:val="24"/>
        </w:rPr>
        <w:t xml:space="preserve"> and </w:t>
      </w:r>
      <w:r w:rsidR="00253D55">
        <w:rPr>
          <w:rFonts w:ascii="Arial" w:hAnsi="Arial" w:cs="Arial"/>
          <w:sz w:val="24"/>
          <w:szCs w:val="24"/>
        </w:rPr>
        <w:t xml:space="preserve">a </w:t>
      </w:r>
      <w:r w:rsidR="000416DE">
        <w:rPr>
          <w:rFonts w:ascii="Arial" w:hAnsi="Arial" w:cs="Arial"/>
          <w:sz w:val="24"/>
          <w:szCs w:val="24"/>
        </w:rPr>
        <w:t>plea over) that the arbitration should be stayed pending the adjudication of his action in the High Court and</w:t>
      </w:r>
      <w:r w:rsidR="00253D55">
        <w:rPr>
          <w:rFonts w:ascii="Arial" w:hAnsi="Arial" w:cs="Arial"/>
          <w:sz w:val="24"/>
          <w:szCs w:val="24"/>
        </w:rPr>
        <w:t>, failing this, that it should be declared</w:t>
      </w:r>
      <w:r w:rsidR="000416DE">
        <w:rPr>
          <w:rFonts w:ascii="Arial" w:hAnsi="Arial" w:cs="Arial"/>
          <w:sz w:val="24"/>
          <w:szCs w:val="24"/>
        </w:rPr>
        <w:t xml:space="preserve"> that the </w:t>
      </w:r>
      <w:r w:rsidR="00253D55">
        <w:rPr>
          <w:rFonts w:ascii="Arial" w:hAnsi="Arial" w:cs="Arial"/>
          <w:sz w:val="24"/>
          <w:szCs w:val="24"/>
        </w:rPr>
        <w:t>third</w:t>
      </w:r>
      <w:r w:rsidR="000416DE">
        <w:rPr>
          <w:rFonts w:ascii="Arial" w:hAnsi="Arial" w:cs="Arial"/>
          <w:sz w:val="24"/>
          <w:szCs w:val="24"/>
        </w:rPr>
        <w:t xml:space="preserve"> AOD was a reckless credit agreement and that his obligations thereunder should consequently be set </w:t>
      </w:r>
      <w:r w:rsidR="00253D55">
        <w:rPr>
          <w:rFonts w:ascii="Arial" w:hAnsi="Arial" w:cs="Arial"/>
          <w:sz w:val="24"/>
          <w:szCs w:val="24"/>
        </w:rPr>
        <w:t>aside,</w:t>
      </w:r>
      <w:r w:rsidR="000416DE">
        <w:rPr>
          <w:rFonts w:ascii="Arial" w:hAnsi="Arial" w:cs="Arial"/>
          <w:sz w:val="24"/>
          <w:szCs w:val="24"/>
        </w:rPr>
        <w:t xml:space="preserve"> and the respondent</w:t>
      </w:r>
      <w:r w:rsidR="00253D55">
        <w:rPr>
          <w:rFonts w:ascii="Arial" w:hAnsi="Arial" w:cs="Arial"/>
          <w:sz w:val="24"/>
          <w:szCs w:val="24"/>
        </w:rPr>
        <w:t>’s</w:t>
      </w:r>
      <w:r w:rsidR="000416DE">
        <w:rPr>
          <w:rFonts w:ascii="Arial" w:hAnsi="Arial" w:cs="Arial"/>
          <w:sz w:val="24"/>
          <w:szCs w:val="24"/>
        </w:rPr>
        <w:t xml:space="preserve"> claim dismissed. He also sought to counterclaim for an order directing the respondent to re</w:t>
      </w:r>
      <w:r w:rsidR="00EA0033">
        <w:rPr>
          <w:rFonts w:ascii="Arial" w:hAnsi="Arial" w:cs="Arial"/>
          <w:sz w:val="24"/>
          <w:szCs w:val="24"/>
        </w:rPr>
        <w:t>fund</w:t>
      </w:r>
      <w:r w:rsidR="000416DE">
        <w:rPr>
          <w:rFonts w:ascii="Arial" w:hAnsi="Arial" w:cs="Arial"/>
          <w:sz w:val="24"/>
          <w:szCs w:val="24"/>
        </w:rPr>
        <w:t xml:space="preserve"> </w:t>
      </w:r>
      <w:r w:rsidR="00253D55">
        <w:rPr>
          <w:rFonts w:ascii="Arial" w:hAnsi="Arial" w:cs="Arial"/>
          <w:sz w:val="24"/>
          <w:szCs w:val="24"/>
        </w:rPr>
        <w:t>t</w:t>
      </w:r>
      <w:r w:rsidR="000416DE">
        <w:rPr>
          <w:rFonts w:ascii="Arial" w:hAnsi="Arial" w:cs="Arial"/>
          <w:sz w:val="24"/>
          <w:szCs w:val="24"/>
        </w:rPr>
        <w:t>he R</w:t>
      </w:r>
      <w:r w:rsidR="00253D55">
        <w:rPr>
          <w:rFonts w:ascii="Arial" w:hAnsi="Arial" w:cs="Arial"/>
          <w:sz w:val="24"/>
          <w:szCs w:val="24"/>
        </w:rPr>
        <w:t xml:space="preserve"> </w:t>
      </w:r>
      <w:r w:rsidR="000416DE">
        <w:rPr>
          <w:rFonts w:ascii="Arial" w:hAnsi="Arial" w:cs="Arial"/>
          <w:sz w:val="24"/>
          <w:szCs w:val="24"/>
        </w:rPr>
        <w:t>586</w:t>
      </w:r>
      <w:r w:rsidR="00253D55">
        <w:rPr>
          <w:rFonts w:ascii="Arial" w:hAnsi="Arial" w:cs="Arial"/>
          <w:sz w:val="24"/>
          <w:szCs w:val="24"/>
        </w:rPr>
        <w:t xml:space="preserve"> </w:t>
      </w:r>
      <w:r w:rsidR="000416DE">
        <w:rPr>
          <w:rFonts w:ascii="Arial" w:hAnsi="Arial" w:cs="Arial"/>
          <w:sz w:val="24"/>
          <w:szCs w:val="24"/>
        </w:rPr>
        <w:t>500 which had been paid in lieu of interest, on the grounds that the respondent had been unjustly enriched thereby.</w:t>
      </w:r>
    </w:p>
    <w:p w14:paraId="6DA92091" w14:textId="42644C34" w:rsidR="00400888"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22.</w:t>
      </w:r>
      <w:r>
        <w:rPr>
          <w:rFonts w:ascii="Arial" w:hAnsi="Arial" w:cs="Arial"/>
          <w:sz w:val="24"/>
          <w:szCs w:val="24"/>
        </w:rPr>
        <w:tab/>
      </w:r>
      <w:r w:rsidR="000416DE" w:rsidRPr="0026075E">
        <w:rPr>
          <w:rFonts w:ascii="Arial" w:hAnsi="Arial" w:cs="Arial"/>
          <w:sz w:val="24"/>
          <w:szCs w:val="24"/>
        </w:rPr>
        <w:t xml:space="preserve">The matter proceeded to arbitration on 7-8 July and 30 August 2020. On 4 November 2020 the arbitrator delivered her award. </w:t>
      </w:r>
      <w:r w:rsidR="0026075E" w:rsidRPr="0026075E">
        <w:rPr>
          <w:rFonts w:ascii="Arial" w:hAnsi="Arial" w:cs="Arial"/>
          <w:sz w:val="24"/>
          <w:szCs w:val="24"/>
        </w:rPr>
        <w:t>S</w:t>
      </w:r>
      <w:r w:rsidR="000416DE" w:rsidRPr="0026075E">
        <w:rPr>
          <w:rFonts w:ascii="Arial" w:hAnsi="Arial" w:cs="Arial"/>
          <w:sz w:val="24"/>
          <w:szCs w:val="24"/>
        </w:rPr>
        <w:t>he held</w:t>
      </w:r>
      <w:r w:rsidR="0026075E" w:rsidRPr="0026075E">
        <w:rPr>
          <w:rFonts w:ascii="Arial" w:hAnsi="Arial" w:cs="Arial"/>
          <w:sz w:val="24"/>
          <w:szCs w:val="24"/>
        </w:rPr>
        <w:t xml:space="preserve"> </w:t>
      </w:r>
      <w:r w:rsidR="000416DE" w:rsidRPr="0026075E">
        <w:rPr>
          <w:rFonts w:ascii="Arial" w:hAnsi="Arial" w:cs="Arial"/>
          <w:sz w:val="24"/>
          <w:szCs w:val="24"/>
        </w:rPr>
        <w:t xml:space="preserve">that </w:t>
      </w:r>
      <w:r w:rsidR="008B4FF8" w:rsidRPr="0026075E">
        <w:rPr>
          <w:rFonts w:ascii="Arial" w:hAnsi="Arial" w:cs="Arial"/>
          <w:sz w:val="24"/>
          <w:szCs w:val="24"/>
        </w:rPr>
        <w:t xml:space="preserve">she could not grant </w:t>
      </w:r>
      <w:r w:rsidR="0026075E" w:rsidRPr="0026075E">
        <w:rPr>
          <w:rFonts w:ascii="Arial" w:hAnsi="Arial" w:cs="Arial"/>
          <w:sz w:val="24"/>
          <w:szCs w:val="24"/>
        </w:rPr>
        <w:t>a stay</w:t>
      </w:r>
      <w:r w:rsidR="008B4FF8" w:rsidRPr="0026075E">
        <w:rPr>
          <w:rFonts w:ascii="Arial" w:hAnsi="Arial" w:cs="Arial"/>
          <w:sz w:val="24"/>
          <w:szCs w:val="24"/>
        </w:rPr>
        <w:t xml:space="preserve"> because </w:t>
      </w:r>
      <w:r w:rsidR="000416DE" w:rsidRPr="0026075E">
        <w:rPr>
          <w:rFonts w:ascii="Arial" w:hAnsi="Arial" w:cs="Arial"/>
          <w:sz w:val="24"/>
          <w:szCs w:val="24"/>
        </w:rPr>
        <w:t xml:space="preserve">in terms of the arbitral agreement she was obliged to proceed to determine the matter </w:t>
      </w:r>
      <w:r w:rsidR="00E76C9C" w:rsidRPr="0026075E">
        <w:rPr>
          <w:rFonts w:ascii="Arial" w:hAnsi="Arial" w:cs="Arial"/>
          <w:sz w:val="24"/>
          <w:szCs w:val="24"/>
        </w:rPr>
        <w:t>and, in any event,</w:t>
      </w:r>
      <w:r w:rsidR="000416DE" w:rsidRPr="0026075E">
        <w:rPr>
          <w:rFonts w:ascii="Arial" w:hAnsi="Arial" w:cs="Arial"/>
          <w:sz w:val="24"/>
          <w:szCs w:val="24"/>
        </w:rPr>
        <w:t xml:space="preserve"> </w:t>
      </w:r>
      <w:r w:rsidR="00711E94" w:rsidRPr="0026075E">
        <w:rPr>
          <w:rFonts w:ascii="Arial" w:hAnsi="Arial" w:cs="Arial"/>
          <w:sz w:val="24"/>
          <w:szCs w:val="24"/>
        </w:rPr>
        <w:t>in terms of the Arbitration Act</w:t>
      </w:r>
      <w:r w:rsidR="00CC1D03">
        <w:rPr>
          <w:rStyle w:val="FootnoteReference"/>
          <w:rFonts w:ascii="Arial" w:hAnsi="Arial" w:cs="Arial"/>
          <w:sz w:val="24"/>
          <w:szCs w:val="24"/>
        </w:rPr>
        <w:footnoteReference w:id="6"/>
      </w:r>
      <w:r w:rsidR="00711E94" w:rsidRPr="0026075E">
        <w:rPr>
          <w:rFonts w:ascii="Arial" w:hAnsi="Arial" w:cs="Arial"/>
          <w:sz w:val="24"/>
          <w:szCs w:val="24"/>
        </w:rPr>
        <w:t xml:space="preserve"> </w:t>
      </w:r>
      <w:r w:rsidR="008B4FF8" w:rsidRPr="0026075E">
        <w:rPr>
          <w:rFonts w:ascii="Arial" w:hAnsi="Arial" w:cs="Arial"/>
          <w:sz w:val="24"/>
          <w:szCs w:val="24"/>
        </w:rPr>
        <w:t xml:space="preserve">the grant of a stay </w:t>
      </w:r>
      <w:r w:rsidR="00711E94" w:rsidRPr="0026075E">
        <w:rPr>
          <w:rFonts w:ascii="Arial" w:hAnsi="Arial" w:cs="Arial"/>
          <w:sz w:val="24"/>
          <w:szCs w:val="24"/>
        </w:rPr>
        <w:t>f</w:t>
      </w:r>
      <w:r w:rsidR="00193C1B" w:rsidRPr="0026075E">
        <w:rPr>
          <w:rFonts w:ascii="Arial" w:hAnsi="Arial" w:cs="Arial"/>
          <w:sz w:val="24"/>
          <w:szCs w:val="24"/>
        </w:rPr>
        <w:t>e</w:t>
      </w:r>
      <w:r w:rsidR="000416DE" w:rsidRPr="0026075E">
        <w:rPr>
          <w:rFonts w:ascii="Arial" w:hAnsi="Arial" w:cs="Arial"/>
          <w:sz w:val="24"/>
          <w:szCs w:val="24"/>
        </w:rPr>
        <w:t xml:space="preserve">ll within the </w:t>
      </w:r>
      <w:r w:rsidR="008B4FF8" w:rsidRPr="0026075E">
        <w:rPr>
          <w:rFonts w:ascii="Arial" w:hAnsi="Arial" w:cs="Arial"/>
          <w:sz w:val="24"/>
          <w:szCs w:val="24"/>
        </w:rPr>
        <w:t>jurisdiction</w:t>
      </w:r>
      <w:r w:rsidR="000416DE" w:rsidRPr="0026075E">
        <w:rPr>
          <w:rFonts w:ascii="Arial" w:hAnsi="Arial" w:cs="Arial"/>
          <w:sz w:val="24"/>
          <w:szCs w:val="24"/>
        </w:rPr>
        <w:t xml:space="preserve"> of the High Court</w:t>
      </w:r>
      <w:r w:rsidR="008B4FF8" w:rsidRPr="0026075E">
        <w:rPr>
          <w:rFonts w:ascii="Arial" w:hAnsi="Arial" w:cs="Arial"/>
          <w:sz w:val="24"/>
          <w:szCs w:val="24"/>
        </w:rPr>
        <w:t xml:space="preserve"> and an arbitrator d</w:t>
      </w:r>
      <w:r w:rsidR="00193C1B" w:rsidRPr="0026075E">
        <w:rPr>
          <w:rFonts w:ascii="Arial" w:hAnsi="Arial" w:cs="Arial"/>
          <w:sz w:val="24"/>
          <w:szCs w:val="24"/>
        </w:rPr>
        <w:t>id</w:t>
      </w:r>
      <w:r w:rsidR="008B4FF8" w:rsidRPr="0026075E">
        <w:rPr>
          <w:rFonts w:ascii="Arial" w:hAnsi="Arial" w:cs="Arial"/>
          <w:sz w:val="24"/>
          <w:szCs w:val="24"/>
        </w:rPr>
        <w:t xml:space="preserve"> not enjoy </w:t>
      </w:r>
      <w:r w:rsidR="008B4FF8" w:rsidRPr="0026075E">
        <w:rPr>
          <w:rFonts w:ascii="Arial" w:hAnsi="Arial" w:cs="Arial"/>
          <w:sz w:val="24"/>
          <w:szCs w:val="24"/>
        </w:rPr>
        <w:lastRenderedPageBreak/>
        <w:t xml:space="preserve">such a power, unless it </w:t>
      </w:r>
      <w:r w:rsidR="00193C1B" w:rsidRPr="0026075E">
        <w:rPr>
          <w:rFonts w:ascii="Arial" w:hAnsi="Arial" w:cs="Arial"/>
          <w:sz w:val="24"/>
          <w:szCs w:val="24"/>
        </w:rPr>
        <w:t>wa</w:t>
      </w:r>
      <w:r w:rsidR="008B4FF8" w:rsidRPr="0026075E">
        <w:rPr>
          <w:rFonts w:ascii="Arial" w:hAnsi="Arial" w:cs="Arial"/>
          <w:sz w:val="24"/>
          <w:szCs w:val="24"/>
        </w:rPr>
        <w:t>s expressly confer</w:t>
      </w:r>
      <w:r w:rsidR="005901B9" w:rsidRPr="0026075E">
        <w:rPr>
          <w:rFonts w:ascii="Arial" w:hAnsi="Arial" w:cs="Arial"/>
          <w:sz w:val="24"/>
          <w:szCs w:val="24"/>
        </w:rPr>
        <w:t>red in terms of the arbitration agreement</w:t>
      </w:r>
      <w:r w:rsidR="00711E94" w:rsidRPr="0026075E">
        <w:rPr>
          <w:rFonts w:ascii="Arial" w:hAnsi="Arial" w:cs="Arial"/>
          <w:sz w:val="24"/>
          <w:szCs w:val="24"/>
        </w:rPr>
        <w:t>.</w:t>
      </w:r>
      <w:r w:rsidR="000416DE" w:rsidRPr="0026075E">
        <w:rPr>
          <w:rFonts w:ascii="Arial" w:hAnsi="Arial" w:cs="Arial"/>
          <w:sz w:val="24"/>
          <w:szCs w:val="24"/>
        </w:rPr>
        <w:t xml:space="preserve"> </w:t>
      </w:r>
    </w:p>
    <w:p w14:paraId="416000B1" w14:textId="1AE79C4F" w:rsidR="00253D55" w:rsidRPr="0026075E" w:rsidRDefault="00601627" w:rsidP="00601627">
      <w:pPr>
        <w:adjustRightInd w:val="0"/>
        <w:spacing w:after="0" w:line="360" w:lineRule="auto"/>
        <w:ind w:left="720" w:hanging="720"/>
        <w:contextualSpacing/>
        <w:jc w:val="both"/>
        <w:textAlignment w:val="baseline"/>
        <w:rPr>
          <w:rFonts w:ascii="Arial" w:hAnsi="Arial" w:cs="Arial"/>
          <w:sz w:val="24"/>
          <w:szCs w:val="24"/>
        </w:rPr>
      </w:pPr>
      <w:r w:rsidRPr="0026075E">
        <w:rPr>
          <w:rFonts w:ascii="Arial" w:hAnsi="Arial" w:cs="Arial"/>
          <w:sz w:val="24"/>
          <w:szCs w:val="24"/>
        </w:rPr>
        <w:t>23.</w:t>
      </w:r>
      <w:r w:rsidRPr="0026075E">
        <w:rPr>
          <w:rFonts w:ascii="Arial" w:hAnsi="Arial" w:cs="Arial"/>
          <w:sz w:val="24"/>
          <w:szCs w:val="24"/>
        </w:rPr>
        <w:tab/>
      </w:r>
      <w:r w:rsidR="000416DE" w:rsidRPr="0026075E">
        <w:rPr>
          <w:rFonts w:ascii="Arial" w:hAnsi="Arial" w:cs="Arial"/>
          <w:sz w:val="24"/>
          <w:szCs w:val="24"/>
        </w:rPr>
        <w:t xml:space="preserve">As far as the merits were </w:t>
      </w:r>
      <w:r w:rsidR="00711E94" w:rsidRPr="0026075E">
        <w:rPr>
          <w:rFonts w:ascii="Arial" w:hAnsi="Arial" w:cs="Arial"/>
          <w:sz w:val="24"/>
          <w:szCs w:val="24"/>
        </w:rPr>
        <w:t>concerned</w:t>
      </w:r>
      <w:r w:rsidR="000416DE" w:rsidRPr="0026075E">
        <w:rPr>
          <w:rFonts w:ascii="Arial" w:hAnsi="Arial" w:cs="Arial"/>
          <w:sz w:val="24"/>
          <w:szCs w:val="24"/>
        </w:rPr>
        <w:t xml:space="preserve"> </w:t>
      </w:r>
      <w:r w:rsidR="00193C1B" w:rsidRPr="0026075E">
        <w:rPr>
          <w:rFonts w:ascii="Arial" w:hAnsi="Arial" w:cs="Arial"/>
          <w:sz w:val="24"/>
          <w:szCs w:val="24"/>
        </w:rPr>
        <w:t>the arbitrator</w:t>
      </w:r>
      <w:r w:rsidR="000416DE" w:rsidRPr="0026075E">
        <w:rPr>
          <w:rFonts w:ascii="Arial" w:hAnsi="Arial" w:cs="Arial"/>
          <w:sz w:val="24"/>
          <w:szCs w:val="24"/>
        </w:rPr>
        <w:t xml:space="preserve"> held that the </w:t>
      </w:r>
      <w:r w:rsidR="00253D55" w:rsidRPr="0026075E">
        <w:rPr>
          <w:rFonts w:ascii="Arial" w:hAnsi="Arial" w:cs="Arial"/>
          <w:sz w:val="24"/>
          <w:szCs w:val="24"/>
        </w:rPr>
        <w:t>third</w:t>
      </w:r>
      <w:r w:rsidR="000416DE" w:rsidRPr="0026075E">
        <w:rPr>
          <w:rFonts w:ascii="Arial" w:hAnsi="Arial" w:cs="Arial"/>
          <w:sz w:val="24"/>
          <w:szCs w:val="24"/>
        </w:rPr>
        <w:t xml:space="preserve"> AOD was intended to be a compromise i.e. a settlement of</w:t>
      </w:r>
      <w:r w:rsidR="005901B9" w:rsidRPr="0026075E">
        <w:rPr>
          <w:rFonts w:ascii="Arial" w:hAnsi="Arial" w:cs="Arial"/>
          <w:sz w:val="24"/>
          <w:szCs w:val="24"/>
        </w:rPr>
        <w:t xml:space="preserve"> both</w:t>
      </w:r>
      <w:r w:rsidR="000416DE" w:rsidRPr="0026075E">
        <w:rPr>
          <w:rFonts w:ascii="Arial" w:hAnsi="Arial" w:cs="Arial"/>
          <w:sz w:val="24"/>
          <w:szCs w:val="24"/>
        </w:rPr>
        <w:t xml:space="preserve"> the </w:t>
      </w:r>
      <w:r w:rsidR="00B54CB2" w:rsidRPr="0026075E">
        <w:rPr>
          <w:rFonts w:ascii="Arial" w:hAnsi="Arial" w:cs="Arial"/>
          <w:sz w:val="24"/>
          <w:szCs w:val="24"/>
        </w:rPr>
        <w:t xml:space="preserve">claim in respect of the </w:t>
      </w:r>
      <w:r w:rsidR="000416DE" w:rsidRPr="0026075E">
        <w:rPr>
          <w:rFonts w:ascii="Arial" w:hAnsi="Arial" w:cs="Arial"/>
          <w:sz w:val="24"/>
          <w:szCs w:val="24"/>
        </w:rPr>
        <w:t xml:space="preserve">loans which had been advanced and the claim in respect of the Panico transaction and, as such, the provisions of the NCA did not apply to it. </w:t>
      </w:r>
    </w:p>
    <w:p w14:paraId="381B2CE9" w14:textId="10DA1F18" w:rsidR="000416DE"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24.</w:t>
      </w:r>
      <w:r>
        <w:rPr>
          <w:rFonts w:ascii="Arial" w:hAnsi="Arial" w:cs="Arial"/>
          <w:sz w:val="24"/>
          <w:szCs w:val="24"/>
        </w:rPr>
        <w:tab/>
      </w:r>
      <w:r w:rsidR="000416DE">
        <w:rPr>
          <w:rFonts w:ascii="Arial" w:hAnsi="Arial" w:cs="Arial"/>
          <w:sz w:val="24"/>
          <w:szCs w:val="24"/>
        </w:rPr>
        <w:t xml:space="preserve">The arbitrator did not </w:t>
      </w:r>
      <w:r w:rsidR="00253D55">
        <w:rPr>
          <w:rFonts w:ascii="Arial" w:hAnsi="Arial" w:cs="Arial"/>
          <w:sz w:val="24"/>
          <w:szCs w:val="24"/>
        </w:rPr>
        <w:t>entertain</w:t>
      </w:r>
      <w:r w:rsidR="000416DE">
        <w:rPr>
          <w:rFonts w:ascii="Arial" w:hAnsi="Arial" w:cs="Arial"/>
          <w:sz w:val="24"/>
          <w:szCs w:val="24"/>
        </w:rPr>
        <w:t xml:space="preserve"> </w:t>
      </w:r>
      <w:r w:rsidR="00711E94">
        <w:rPr>
          <w:rFonts w:ascii="Arial" w:hAnsi="Arial" w:cs="Arial"/>
          <w:sz w:val="24"/>
          <w:szCs w:val="24"/>
        </w:rPr>
        <w:t>a</w:t>
      </w:r>
      <w:r w:rsidR="000416DE">
        <w:rPr>
          <w:rFonts w:ascii="Arial" w:hAnsi="Arial" w:cs="Arial"/>
          <w:sz w:val="24"/>
          <w:szCs w:val="24"/>
        </w:rPr>
        <w:t xml:space="preserve"> defence of </w:t>
      </w:r>
      <w:r w:rsidR="00711E94">
        <w:rPr>
          <w:rFonts w:ascii="Arial" w:hAnsi="Arial" w:cs="Arial"/>
          <w:sz w:val="24"/>
          <w:szCs w:val="24"/>
        </w:rPr>
        <w:t xml:space="preserve">mutual mistake </w:t>
      </w:r>
      <w:r w:rsidR="000416DE">
        <w:rPr>
          <w:rFonts w:ascii="Arial" w:hAnsi="Arial" w:cs="Arial"/>
          <w:sz w:val="24"/>
          <w:szCs w:val="24"/>
        </w:rPr>
        <w:t xml:space="preserve">which was raised </w:t>
      </w:r>
      <w:r w:rsidR="00711E94">
        <w:rPr>
          <w:rFonts w:ascii="Arial" w:hAnsi="Arial" w:cs="Arial"/>
          <w:sz w:val="24"/>
          <w:szCs w:val="24"/>
        </w:rPr>
        <w:t xml:space="preserve">by the appellant </w:t>
      </w:r>
      <w:r w:rsidR="000416DE">
        <w:rPr>
          <w:rFonts w:ascii="Arial" w:hAnsi="Arial" w:cs="Arial"/>
          <w:sz w:val="24"/>
          <w:szCs w:val="24"/>
        </w:rPr>
        <w:t xml:space="preserve">for the </w:t>
      </w:r>
      <w:r w:rsidR="00711E94">
        <w:rPr>
          <w:rFonts w:ascii="Arial" w:hAnsi="Arial" w:cs="Arial"/>
          <w:sz w:val="24"/>
          <w:szCs w:val="24"/>
        </w:rPr>
        <w:t>first</w:t>
      </w:r>
      <w:r w:rsidR="000416DE">
        <w:rPr>
          <w:rFonts w:ascii="Arial" w:hAnsi="Arial" w:cs="Arial"/>
          <w:sz w:val="24"/>
          <w:szCs w:val="24"/>
        </w:rPr>
        <w:t xml:space="preserve"> time in </w:t>
      </w:r>
      <w:r w:rsidR="0026075E">
        <w:rPr>
          <w:rFonts w:ascii="Arial" w:hAnsi="Arial" w:cs="Arial"/>
          <w:sz w:val="24"/>
          <w:szCs w:val="24"/>
        </w:rPr>
        <w:t xml:space="preserve">argument </w:t>
      </w:r>
      <w:r w:rsidR="00400888">
        <w:rPr>
          <w:rFonts w:ascii="Arial" w:hAnsi="Arial" w:cs="Arial"/>
          <w:sz w:val="24"/>
          <w:szCs w:val="24"/>
        </w:rPr>
        <w:t xml:space="preserve">before </w:t>
      </w:r>
      <w:r w:rsidR="009F7988">
        <w:rPr>
          <w:rFonts w:ascii="Arial" w:hAnsi="Arial" w:cs="Arial"/>
          <w:sz w:val="24"/>
          <w:szCs w:val="24"/>
        </w:rPr>
        <w:t>her</w:t>
      </w:r>
      <w:r w:rsidR="00C8675C">
        <w:rPr>
          <w:rFonts w:ascii="Arial" w:hAnsi="Arial" w:cs="Arial"/>
          <w:sz w:val="24"/>
          <w:szCs w:val="24"/>
        </w:rPr>
        <w:t>,</w:t>
      </w:r>
      <w:r w:rsidR="009F7988">
        <w:rPr>
          <w:rFonts w:ascii="Arial" w:hAnsi="Arial" w:cs="Arial"/>
          <w:sz w:val="24"/>
          <w:szCs w:val="24"/>
        </w:rPr>
        <w:t xml:space="preserve"> but</w:t>
      </w:r>
      <w:r w:rsidR="00711E94">
        <w:rPr>
          <w:rFonts w:ascii="Arial" w:hAnsi="Arial" w:cs="Arial"/>
          <w:sz w:val="24"/>
          <w:szCs w:val="24"/>
        </w:rPr>
        <w:t xml:space="preserve"> </w:t>
      </w:r>
      <w:r w:rsidR="00E24F02">
        <w:rPr>
          <w:rFonts w:ascii="Arial" w:hAnsi="Arial" w:cs="Arial"/>
          <w:sz w:val="24"/>
          <w:szCs w:val="24"/>
        </w:rPr>
        <w:t xml:space="preserve">which </w:t>
      </w:r>
      <w:r w:rsidR="00711E94">
        <w:rPr>
          <w:rFonts w:ascii="Arial" w:hAnsi="Arial" w:cs="Arial"/>
          <w:sz w:val="24"/>
          <w:szCs w:val="24"/>
        </w:rPr>
        <w:t>had never been pleaded</w:t>
      </w:r>
      <w:r w:rsidR="000416DE">
        <w:rPr>
          <w:rFonts w:ascii="Arial" w:hAnsi="Arial" w:cs="Arial"/>
          <w:sz w:val="24"/>
          <w:szCs w:val="24"/>
        </w:rPr>
        <w:t xml:space="preserve">. In this regard the appellant contended that whereas he had signed the AOD </w:t>
      </w:r>
      <w:r w:rsidR="004000C5">
        <w:rPr>
          <w:rFonts w:ascii="Arial" w:hAnsi="Arial" w:cs="Arial"/>
          <w:sz w:val="24"/>
          <w:szCs w:val="24"/>
        </w:rPr>
        <w:t>o</w:t>
      </w:r>
      <w:r w:rsidR="000416DE">
        <w:rPr>
          <w:rFonts w:ascii="Arial" w:hAnsi="Arial" w:cs="Arial"/>
          <w:sz w:val="24"/>
          <w:szCs w:val="24"/>
        </w:rPr>
        <w:t xml:space="preserve">n the </w:t>
      </w:r>
      <w:r w:rsidR="004000C5">
        <w:rPr>
          <w:rFonts w:ascii="Arial" w:hAnsi="Arial" w:cs="Arial"/>
          <w:sz w:val="24"/>
          <w:szCs w:val="24"/>
        </w:rPr>
        <w:t xml:space="preserve">mistaken </w:t>
      </w:r>
      <w:r w:rsidR="000416DE">
        <w:rPr>
          <w:rFonts w:ascii="Arial" w:hAnsi="Arial" w:cs="Arial"/>
          <w:sz w:val="24"/>
          <w:szCs w:val="24"/>
        </w:rPr>
        <w:t xml:space="preserve">understanding that he was merely </w:t>
      </w:r>
      <w:r w:rsidR="00711E94">
        <w:rPr>
          <w:rFonts w:ascii="Arial" w:hAnsi="Arial" w:cs="Arial"/>
          <w:sz w:val="24"/>
          <w:szCs w:val="24"/>
        </w:rPr>
        <w:t>in</w:t>
      </w:r>
      <w:r w:rsidR="000416DE">
        <w:rPr>
          <w:rFonts w:ascii="Arial" w:hAnsi="Arial" w:cs="Arial"/>
          <w:sz w:val="24"/>
          <w:szCs w:val="24"/>
        </w:rPr>
        <w:t xml:space="preserve">tending thereby to confirm his original indebtedness in respect of the capital sum which had been advanced </w:t>
      </w:r>
      <w:r w:rsidR="00253D55">
        <w:rPr>
          <w:rFonts w:ascii="Arial" w:hAnsi="Arial" w:cs="Arial"/>
          <w:sz w:val="24"/>
          <w:szCs w:val="24"/>
        </w:rPr>
        <w:t xml:space="preserve">to </w:t>
      </w:r>
      <w:r w:rsidR="000416DE">
        <w:rPr>
          <w:rFonts w:ascii="Arial" w:hAnsi="Arial" w:cs="Arial"/>
          <w:sz w:val="24"/>
          <w:szCs w:val="24"/>
        </w:rPr>
        <w:t xml:space="preserve">him, the respondent was under the </w:t>
      </w:r>
      <w:r w:rsidR="004000C5">
        <w:rPr>
          <w:rFonts w:ascii="Arial" w:hAnsi="Arial" w:cs="Arial"/>
          <w:sz w:val="24"/>
          <w:szCs w:val="24"/>
        </w:rPr>
        <w:t xml:space="preserve">mistaken </w:t>
      </w:r>
      <w:r w:rsidR="000416DE">
        <w:rPr>
          <w:rFonts w:ascii="Arial" w:hAnsi="Arial" w:cs="Arial"/>
          <w:sz w:val="24"/>
          <w:szCs w:val="24"/>
        </w:rPr>
        <w:t>impression that the appellant intended to bind himself in respect of an additional sum</w:t>
      </w:r>
      <w:r w:rsidR="00253D55">
        <w:rPr>
          <w:rFonts w:ascii="Arial" w:hAnsi="Arial" w:cs="Arial"/>
          <w:sz w:val="24"/>
          <w:szCs w:val="24"/>
        </w:rPr>
        <w:t xml:space="preserve"> of R 2.5 million</w:t>
      </w:r>
      <w:r w:rsidR="000416DE">
        <w:rPr>
          <w:rFonts w:ascii="Arial" w:hAnsi="Arial" w:cs="Arial"/>
          <w:sz w:val="24"/>
          <w:szCs w:val="24"/>
        </w:rPr>
        <w:t>.</w:t>
      </w:r>
    </w:p>
    <w:p w14:paraId="1C918FDE" w14:textId="1202CF5F" w:rsidR="005901B9"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25.</w:t>
      </w:r>
      <w:r>
        <w:rPr>
          <w:rFonts w:ascii="Arial" w:hAnsi="Arial" w:cs="Arial"/>
          <w:sz w:val="24"/>
          <w:szCs w:val="24"/>
        </w:rPr>
        <w:tab/>
      </w:r>
      <w:r w:rsidR="000416DE">
        <w:rPr>
          <w:rFonts w:ascii="Arial" w:hAnsi="Arial" w:cs="Arial"/>
          <w:sz w:val="24"/>
          <w:szCs w:val="24"/>
        </w:rPr>
        <w:t>The arbitrator rightly rejected this contention</w:t>
      </w:r>
      <w:r w:rsidR="00711E94">
        <w:rPr>
          <w:rFonts w:ascii="Arial" w:hAnsi="Arial" w:cs="Arial"/>
          <w:sz w:val="24"/>
          <w:szCs w:val="24"/>
        </w:rPr>
        <w:t>. She</w:t>
      </w:r>
      <w:r w:rsidR="000416DE">
        <w:rPr>
          <w:rFonts w:ascii="Arial" w:hAnsi="Arial" w:cs="Arial"/>
          <w:sz w:val="24"/>
          <w:szCs w:val="24"/>
        </w:rPr>
        <w:t xml:space="preserve"> pointed out that the appellant’s claim that he thought he was merely affirming his original liability was not borne out by the contents of the various settlement proposals he had made to the respondent in which he had </w:t>
      </w:r>
      <w:r w:rsidR="00253D55">
        <w:rPr>
          <w:rFonts w:ascii="Arial" w:hAnsi="Arial" w:cs="Arial"/>
          <w:sz w:val="24"/>
          <w:szCs w:val="24"/>
        </w:rPr>
        <w:t xml:space="preserve">first </w:t>
      </w:r>
      <w:r w:rsidR="000416DE">
        <w:rPr>
          <w:rFonts w:ascii="Arial" w:hAnsi="Arial" w:cs="Arial"/>
          <w:sz w:val="24"/>
          <w:szCs w:val="24"/>
        </w:rPr>
        <w:t>asked for a discount</w:t>
      </w:r>
      <w:r w:rsidR="004E0A98">
        <w:rPr>
          <w:rFonts w:ascii="Arial" w:hAnsi="Arial" w:cs="Arial"/>
          <w:sz w:val="24"/>
          <w:szCs w:val="24"/>
        </w:rPr>
        <w:t xml:space="preserve"> on the R</w:t>
      </w:r>
      <w:r w:rsidR="00711E94">
        <w:rPr>
          <w:rFonts w:ascii="Arial" w:hAnsi="Arial" w:cs="Arial"/>
          <w:sz w:val="24"/>
          <w:szCs w:val="24"/>
        </w:rPr>
        <w:t xml:space="preserve"> </w:t>
      </w:r>
      <w:r w:rsidR="004E0A98">
        <w:rPr>
          <w:rFonts w:ascii="Arial" w:hAnsi="Arial" w:cs="Arial"/>
          <w:sz w:val="24"/>
          <w:szCs w:val="24"/>
        </w:rPr>
        <w:t>3</w:t>
      </w:r>
      <w:r w:rsidR="00711E94">
        <w:rPr>
          <w:rFonts w:ascii="Arial" w:hAnsi="Arial" w:cs="Arial"/>
          <w:sz w:val="24"/>
          <w:szCs w:val="24"/>
        </w:rPr>
        <w:t xml:space="preserve"> </w:t>
      </w:r>
      <w:r w:rsidR="004E0A98">
        <w:rPr>
          <w:rFonts w:ascii="Arial" w:hAnsi="Arial" w:cs="Arial"/>
          <w:sz w:val="24"/>
          <w:szCs w:val="24"/>
        </w:rPr>
        <w:t>861</w:t>
      </w:r>
      <w:r w:rsidR="00711E94">
        <w:rPr>
          <w:rFonts w:ascii="Arial" w:hAnsi="Arial" w:cs="Arial"/>
          <w:sz w:val="24"/>
          <w:szCs w:val="24"/>
        </w:rPr>
        <w:t xml:space="preserve"> </w:t>
      </w:r>
      <w:r w:rsidR="004E0A98">
        <w:rPr>
          <w:rFonts w:ascii="Arial" w:hAnsi="Arial" w:cs="Arial"/>
          <w:sz w:val="24"/>
          <w:szCs w:val="24"/>
        </w:rPr>
        <w:t xml:space="preserve">500 which the respondent had called upon </w:t>
      </w:r>
      <w:r w:rsidR="00711E94">
        <w:rPr>
          <w:rFonts w:ascii="Arial" w:hAnsi="Arial" w:cs="Arial"/>
          <w:sz w:val="24"/>
          <w:szCs w:val="24"/>
        </w:rPr>
        <w:t xml:space="preserve">him </w:t>
      </w:r>
      <w:r w:rsidR="004E0A98">
        <w:rPr>
          <w:rFonts w:ascii="Arial" w:hAnsi="Arial" w:cs="Arial"/>
          <w:sz w:val="24"/>
          <w:szCs w:val="24"/>
        </w:rPr>
        <w:t xml:space="preserve">to pay, and </w:t>
      </w:r>
      <w:r w:rsidR="00711E94">
        <w:rPr>
          <w:rFonts w:ascii="Arial" w:hAnsi="Arial" w:cs="Arial"/>
          <w:sz w:val="24"/>
          <w:szCs w:val="24"/>
        </w:rPr>
        <w:t xml:space="preserve">when this failed </w:t>
      </w:r>
      <w:r w:rsidR="004E0A98">
        <w:rPr>
          <w:rFonts w:ascii="Arial" w:hAnsi="Arial" w:cs="Arial"/>
          <w:sz w:val="24"/>
          <w:szCs w:val="24"/>
        </w:rPr>
        <w:t xml:space="preserve">had </w:t>
      </w:r>
      <w:r w:rsidR="00711E94">
        <w:rPr>
          <w:rFonts w:ascii="Arial" w:hAnsi="Arial" w:cs="Arial"/>
          <w:sz w:val="24"/>
          <w:szCs w:val="24"/>
        </w:rPr>
        <w:t xml:space="preserve">then </w:t>
      </w:r>
      <w:r w:rsidR="004E0A98">
        <w:rPr>
          <w:rFonts w:ascii="Arial" w:hAnsi="Arial" w:cs="Arial"/>
          <w:sz w:val="24"/>
          <w:szCs w:val="24"/>
        </w:rPr>
        <w:t>offered to pay an amount of R</w:t>
      </w:r>
      <w:r w:rsidR="004000C5">
        <w:rPr>
          <w:rFonts w:ascii="Arial" w:hAnsi="Arial" w:cs="Arial"/>
          <w:sz w:val="24"/>
          <w:szCs w:val="24"/>
        </w:rPr>
        <w:t xml:space="preserve"> </w:t>
      </w:r>
      <w:r w:rsidR="004E0A98">
        <w:rPr>
          <w:rFonts w:ascii="Arial" w:hAnsi="Arial" w:cs="Arial"/>
          <w:sz w:val="24"/>
          <w:szCs w:val="24"/>
        </w:rPr>
        <w:t>2.5 million to the respondent on or before the end of September 2</w:t>
      </w:r>
      <w:r w:rsidR="00253D55">
        <w:rPr>
          <w:rFonts w:ascii="Arial" w:hAnsi="Arial" w:cs="Arial"/>
          <w:sz w:val="24"/>
          <w:szCs w:val="24"/>
        </w:rPr>
        <w:t>01</w:t>
      </w:r>
      <w:r w:rsidR="004E0A98">
        <w:rPr>
          <w:rFonts w:ascii="Arial" w:hAnsi="Arial" w:cs="Arial"/>
          <w:sz w:val="24"/>
          <w:szCs w:val="24"/>
        </w:rPr>
        <w:t>9. She pointed out that</w:t>
      </w:r>
      <w:r w:rsidR="00E725A1">
        <w:rPr>
          <w:rFonts w:ascii="Arial" w:hAnsi="Arial" w:cs="Arial"/>
          <w:sz w:val="24"/>
          <w:szCs w:val="24"/>
        </w:rPr>
        <w:t>,</w:t>
      </w:r>
      <w:r w:rsidR="004E0A98">
        <w:rPr>
          <w:rFonts w:ascii="Arial" w:hAnsi="Arial" w:cs="Arial"/>
          <w:sz w:val="24"/>
          <w:szCs w:val="24"/>
        </w:rPr>
        <w:t xml:space="preserve"> </w:t>
      </w:r>
      <w:r w:rsidR="00E725A1">
        <w:rPr>
          <w:rFonts w:ascii="Arial" w:hAnsi="Arial" w:cs="Arial"/>
          <w:sz w:val="24"/>
          <w:szCs w:val="24"/>
        </w:rPr>
        <w:t xml:space="preserve">having already paid R 2 121 500 by that time, </w:t>
      </w:r>
      <w:r w:rsidR="004E0A98">
        <w:rPr>
          <w:rFonts w:ascii="Arial" w:hAnsi="Arial" w:cs="Arial"/>
          <w:sz w:val="24"/>
          <w:szCs w:val="24"/>
        </w:rPr>
        <w:t xml:space="preserve">had the appellant merely intended </w:t>
      </w:r>
      <w:r w:rsidR="00711E94">
        <w:rPr>
          <w:rFonts w:ascii="Arial" w:hAnsi="Arial" w:cs="Arial"/>
          <w:sz w:val="24"/>
          <w:szCs w:val="24"/>
        </w:rPr>
        <w:t>to af</w:t>
      </w:r>
      <w:r w:rsidR="004E0A98">
        <w:rPr>
          <w:rFonts w:ascii="Arial" w:hAnsi="Arial" w:cs="Arial"/>
          <w:sz w:val="24"/>
          <w:szCs w:val="24"/>
        </w:rPr>
        <w:t xml:space="preserve">firm his original </w:t>
      </w:r>
      <w:r w:rsidR="00F43C12">
        <w:rPr>
          <w:rFonts w:ascii="Arial" w:hAnsi="Arial" w:cs="Arial"/>
          <w:sz w:val="24"/>
          <w:szCs w:val="24"/>
        </w:rPr>
        <w:t xml:space="preserve">capital </w:t>
      </w:r>
      <w:r w:rsidR="004E0A98">
        <w:rPr>
          <w:rFonts w:ascii="Arial" w:hAnsi="Arial" w:cs="Arial"/>
          <w:sz w:val="24"/>
          <w:szCs w:val="24"/>
        </w:rPr>
        <w:t>indebtedness of R</w:t>
      </w:r>
      <w:r w:rsidR="00711E94">
        <w:rPr>
          <w:rFonts w:ascii="Arial" w:hAnsi="Arial" w:cs="Arial"/>
          <w:sz w:val="24"/>
          <w:szCs w:val="24"/>
        </w:rPr>
        <w:t xml:space="preserve"> </w:t>
      </w:r>
      <w:r w:rsidR="004E0A98">
        <w:rPr>
          <w:rFonts w:ascii="Arial" w:hAnsi="Arial" w:cs="Arial"/>
          <w:sz w:val="24"/>
          <w:szCs w:val="24"/>
        </w:rPr>
        <w:t>2</w:t>
      </w:r>
      <w:r w:rsidR="00711E94">
        <w:rPr>
          <w:rFonts w:ascii="Arial" w:hAnsi="Arial" w:cs="Arial"/>
          <w:sz w:val="24"/>
          <w:szCs w:val="24"/>
        </w:rPr>
        <w:t>.</w:t>
      </w:r>
      <w:r w:rsidR="004E0A98">
        <w:rPr>
          <w:rFonts w:ascii="Arial" w:hAnsi="Arial" w:cs="Arial"/>
          <w:sz w:val="24"/>
          <w:szCs w:val="24"/>
        </w:rPr>
        <w:t>5 million</w:t>
      </w:r>
      <w:r w:rsidR="00711E94">
        <w:rPr>
          <w:rFonts w:ascii="Arial" w:hAnsi="Arial" w:cs="Arial"/>
          <w:sz w:val="24"/>
          <w:szCs w:val="24"/>
        </w:rPr>
        <w:t xml:space="preserve"> </w:t>
      </w:r>
      <w:r w:rsidR="004E0A98">
        <w:rPr>
          <w:rFonts w:ascii="Arial" w:hAnsi="Arial" w:cs="Arial"/>
          <w:sz w:val="24"/>
          <w:szCs w:val="24"/>
        </w:rPr>
        <w:t xml:space="preserve">he would surely have indicated that he was only accepting liability for the balance </w:t>
      </w:r>
      <w:r w:rsidR="00AD2C61">
        <w:rPr>
          <w:rFonts w:ascii="Arial" w:hAnsi="Arial" w:cs="Arial"/>
          <w:sz w:val="24"/>
          <w:szCs w:val="24"/>
        </w:rPr>
        <w:t xml:space="preserve">owing </w:t>
      </w:r>
      <w:r w:rsidR="00400888">
        <w:rPr>
          <w:rFonts w:ascii="Arial" w:hAnsi="Arial" w:cs="Arial"/>
          <w:sz w:val="24"/>
          <w:szCs w:val="24"/>
        </w:rPr>
        <w:t xml:space="preserve">thereon </w:t>
      </w:r>
      <w:r w:rsidR="00711E94">
        <w:rPr>
          <w:rFonts w:ascii="Arial" w:hAnsi="Arial" w:cs="Arial"/>
          <w:sz w:val="24"/>
          <w:szCs w:val="24"/>
        </w:rPr>
        <w:t xml:space="preserve">viz </w:t>
      </w:r>
      <w:r w:rsidR="004E0A98">
        <w:rPr>
          <w:rFonts w:ascii="Arial" w:hAnsi="Arial" w:cs="Arial"/>
          <w:sz w:val="24"/>
          <w:szCs w:val="24"/>
        </w:rPr>
        <w:t>R</w:t>
      </w:r>
      <w:r w:rsidR="00DD794C">
        <w:rPr>
          <w:rFonts w:ascii="Arial" w:hAnsi="Arial" w:cs="Arial"/>
          <w:sz w:val="24"/>
          <w:szCs w:val="24"/>
        </w:rPr>
        <w:t xml:space="preserve"> </w:t>
      </w:r>
      <w:r w:rsidR="004E0A98">
        <w:rPr>
          <w:rFonts w:ascii="Arial" w:hAnsi="Arial" w:cs="Arial"/>
          <w:sz w:val="24"/>
          <w:szCs w:val="24"/>
        </w:rPr>
        <w:t>378</w:t>
      </w:r>
      <w:r w:rsidR="00711E94">
        <w:rPr>
          <w:rFonts w:ascii="Arial" w:hAnsi="Arial" w:cs="Arial"/>
          <w:sz w:val="24"/>
          <w:szCs w:val="24"/>
        </w:rPr>
        <w:t xml:space="preserve"> </w:t>
      </w:r>
      <w:r w:rsidR="004E0A98">
        <w:rPr>
          <w:rFonts w:ascii="Arial" w:hAnsi="Arial" w:cs="Arial"/>
          <w:sz w:val="24"/>
          <w:szCs w:val="24"/>
        </w:rPr>
        <w:t>500</w:t>
      </w:r>
      <w:r w:rsidR="00711E94">
        <w:rPr>
          <w:rFonts w:ascii="Arial" w:hAnsi="Arial" w:cs="Arial"/>
          <w:sz w:val="24"/>
          <w:szCs w:val="24"/>
        </w:rPr>
        <w:t xml:space="preserve">. </w:t>
      </w:r>
      <w:r w:rsidR="009702C5">
        <w:rPr>
          <w:rFonts w:ascii="Arial" w:hAnsi="Arial" w:cs="Arial"/>
          <w:sz w:val="24"/>
          <w:szCs w:val="24"/>
        </w:rPr>
        <w:t>T</w:t>
      </w:r>
      <w:r w:rsidR="00711E94">
        <w:rPr>
          <w:rFonts w:ascii="Arial" w:hAnsi="Arial" w:cs="Arial"/>
          <w:sz w:val="24"/>
          <w:szCs w:val="24"/>
        </w:rPr>
        <w:t xml:space="preserve">he terms of the </w:t>
      </w:r>
      <w:r w:rsidR="00DD794C">
        <w:rPr>
          <w:rFonts w:ascii="Arial" w:hAnsi="Arial" w:cs="Arial"/>
          <w:sz w:val="24"/>
          <w:szCs w:val="24"/>
        </w:rPr>
        <w:t xml:space="preserve">third </w:t>
      </w:r>
      <w:r w:rsidR="00711E94">
        <w:rPr>
          <w:rFonts w:ascii="Arial" w:hAnsi="Arial" w:cs="Arial"/>
          <w:sz w:val="24"/>
          <w:szCs w:val="24"/>
        </w:rPr>
        <w:t>AOD were inconsistent with this version in that</w:t>
      </w:r>
      <w:r w:rsidR="0048400B">
        <w:rPr>
          <w:rFonts w:ascii="Arial" w:hAnsi="Arial" w:cs="Arial"/>
          <w:sz w:val="24"/>
          <w:szCs w:val="24"/>
        </w:rPr>
        <w:t>,</w:t>
      </w:r>
      <w:r w:rsidR="00711E94">
        <w:rPr>
          <w:rFonts w:ascii="Arial" w:hAnsi="Arial" w:cs="Arial"/>
          <w:sz w:val="24"/>
          <w:szCs w:val="24"/>
        </w:rPr>
        <w:t xml:space="preserve"> not only did the appellant declare therein that he was indebted to the respondent in the sum of R 2.5 million, but he undertook to make payment of such amount, in full or in part, by 30 September 2019. </w:t>
      </w:r>
      <w:r w:rsidR="005901B9">
        <w:rPr>
          <w:rFonts w:ascii="Arial" w:hAnsi="Arial" w:cs="Arial"/>
          <w:sz w:val="24"/>
          <w:szCs w:val="24"/>
        </w:rPr>
        <w:t xml:space="preserve">To this end </w:t>
      </w:r>
      <w:r w:rsidR="004000C5">
        <w:rPr>
          <w:rFonts w:ascii="Arial" w:hAnsi="Arial" w:cs="Arial"/>
          <w:sz w:val="24"/>
          <w:szCs w:val="24"/>
        </w:rPr>
        <w:t>t</w:t>
      </w:r>
      <w:r w:rsidR="00DD794C">
        <w:rPr>
          <w:rFonts w:ascii="Arial" w:hAnsi="Arial" w:cs="Arial"/>
          <w:sz w:val="24"/>
          <w:szCs w:val="24"/>
        </w:rPr>
        <w:t xml:space="preserve">he appellant had amended the </w:t>
      </w:r>
      <w:r w:rsidR="001F2745">
        <w:rPr>
          <w:rFonts w:ascii="Arial" w:hAnsi="Arial" w:cs="Arial"/>
          <w:sz w:val="24"/>
          <w:szCs w:val="24"/>
        </w:rPr>
        <w:t xml:space="preserve">draft </w:t>
      </w:r>
      <w:r w:rsidR="00DD794C">
        <w:rPr>
          <w:rFonts w:ascii="Arial" w:hAnsi="Arial" w:cs="Arial"/>
          <w:sz w:val="24"/>
          <w:szCs w:val="24"/>
        </w:rPr>
        <w:t xml:space="preserve">AOD to provide that in the event that only part of </w:t>
      </w:r>
      <w:r w:rsidR="004000C5">
        <w:rPr>
          <w:rFonts w:ascii="Arial" w:hAnsi="Arial" w:cs="Arial"/>
          <w:sz w:val="24"/>
          <w:szCs w:val="24"/>
        </w:rPr>
        <w:t xml:space="preserve">the R 2.5 million </w:t>
      </w:r>
      <w:r w:rsidR="00DD794C">
        <w:rPr>
          <w:rFonts w:ascii="Arial" w:hAnsi="Arial" w:cs="Arial"/>
          <w:sz w:val="24"/>
          <w:szCs w:val="24"/>
        </w:rPr>
        <w:t xml:space="preserve">was paid by the due date, the balance thereof would be paid over an agreed period. </w:t>
      </w:r>
    </w:p>
    <w:p w14:paraId="2E0BB618" w14:textId="13572A6A" w:rsidR="00250B97"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26.</w:t>
      </w:r>
      <w:r>
        <w:rPr>
          <w:rFonts w:ascii="Arial" w:hAnsi="Arial" w:cs="Arial"/>
          <w:sz w:val="24"/>
          <w:szCs w:val="24"/>
        </w:rPr>
        <w:tab/>
      </w:r>
      <w:r w:rsidR="00DD794C">
        <w:rPr>
          <w:rFonts w:ascii="Arial" w:hAnsi="Arial" w:cs="Arial"/>
          <w:sz w:val="24"/>
          <w:szCs w:val="24"/>
        </w:rPr>
        <w:t>Thus,</w:t>
      </w:r>
      <w:r w:rsidR="00E725A1">
        <w:rPr>
          <w:rFonts w:ascii="Arial" w:hAnsi="Arial" w:cs="Arial"/>
          <w:sz w:val="24"/>
          <w:szCs w:val="24"/>
        </w:rPr>
        <w:t xml:space="preserve"> </w:t>
      </w:r>
      <w:r w:rsidR="00400888">
        <w:rPr>
          <w:rFonts w:ascii="Arial" w:hAnsi="Arial" w:cs="Arial"/>
          <w:sz w:val="24"/>
          <w:szCs w:val="24"/>
        </w:rPr>
        <w:t>the arbitrator</w:t>
      </w:r>
      <w:r w:rsidR="00E725A1">
        <w:rPr>
          <w:rFonts w:ascii="Arial" w:hAnsi="Arial" w:cs="Arial"/>
          <w:sz w:val="24"/>
          <w:szCs w:val="24"/>
        </w:rPr>
        <w:t xml:space="preserve"> was of the view that</w:t>
      </w:r>
      <w:r w:rsidR="00DD794C">
        <w:rPr>
          <w:rFonts w:ascii="Arial" w:hAnsi="Arial" w:cs="Arial"/>
          <w:sz w:val="24"/>
          <w:szCs w:val="24"/>
        </w:rPr>
        <w:t xml:space="preserve"> on a proper interpretation of the terms of the </w:t>
      </w:r>
      <w:r w:rsidR="005901B9">
        <w:rPr>
          <w:rFonts w:ascii="Arial" w:hAnsi="Arial" w:cs="Arial"/>
          <w:sz w:val="24"/>
          <w:szCs w:val="24"/>
        </w:rPr>
        <w:t xml:space="preserve">third </w:t>
      </w:r>
      <w:r w:rsidR="00DD794C">
        <w:rPr>
          <w:rFonts w:ascii="Arial" w:hAnsi="Arial" w:cs="Arial"/>
          <w:sz w:val="24"/>
          <w:szCs w:val="24"/>
        </w:rPr>
        <w:t xml:space="preserve">AOD it was clear that the appellant intended to bind himself to make </w:t>
      </w:r>
      <w:r w:rsidR="00DD794C">
        <w:rPr>
          <w:rFonts w:ascii="Arial" w:hAnsi="Arial" w:cs="Arial"/>
          <w:sz w:val="24"/>
          <w:szCs w:val="24"/>
        </w:rPr>
        <w:lastRenderedPageBreak/>
        <w:t xml:space="preserve">payment of an additional R 2.5 million, and the parties were </w:t>
      </w:r>
      <w:r w:rsidR="00DD794C" w:rsidRPr="00DD794C">
        <w:rPr>
          <w:rFonts w:ascii="Arial" w:hAnsi="Arial" w:cs="Arial"/>
          <w:i/>
          <w:iCs/>
          <w:sz w:val="24"/>
          <w:szCs w:val="24"/>
        </w:rPr>
        <w:t>ad idem</w:t>
      </w:r>
      <w:r w:rsidR="00DD794C">
        <w:rPr>
          <w:rFonts w:ascii="Arial" w:hAnsi="Arial" w:cs="Arial"/>
          <w:sz w:val="24"/>
          <w:szCs w:val="24"/>
        </w:rPr>
        <w:t xml:space="preserve"> in this regard</w:t>
      </w:r>
      <w:r w:rsidR="004000C5">
        <w:rPr>
          <w:rFonts w:ascii="Arial" w:hAnsi="Arial" w:cs="Arial"/>
          <w:sz w:val="24"/>
          <w:szCs w:val="24"/>
        </w:rPr>
        <w:t xml:space="preserve"> and did not labour under any mis</w:t>
      </w:r>
      <w:r w:rsidR="00AD2C61">
        <w:rPr>
          <w:rFonts w:ascii="Arial" w:hAnsi="Arial" w:cs="Arial"/>
          <w:sz w:val="24"/>
          <w:szCs w:val="24"/>
        </w:rPr>
        <w:t>apprehension</w:t>
      </w:r>
      <w:r w:rsidR="004000C5">
        <w:rPr>
          <w:rFonts w:ascii="Arial" w:hAnsi="Arial" w:cs="Arial"/>
          <w:sz w:val="24"/>
          <w:szCs w:val="24"/>
        </w:rPr>
        <w:t xml:space="preserve"> as to what was agreed</w:t>
      </w:r>
      <w:r w:rsidR="00DD794C">
        <w:rPr>
          <w:rFonts w:ascii="Arial" w:hAnsi="Arial" w:cs="Arial"/>
          <w:sz w:val="24"/>
          <w:szCs w:val="24"/>
        </w:rPr>
        <w:t>.</w:t>
      </w:r>
      <w:r w:rsidR="00250B97">
        <w:rPr>
          <w:rFonts w:ascii="Arial" w:hAnsi="Arial" w:cs="Arial"/>
          <w:sz w:val="24"/>
          <w:szCs w:val="24"/>
        </w:rPr>
        <w:t xml:space="preserve"> Consequently, </w:t>
      </w:r>
      <w:r w:rsidR="005901B9">
        <w:rPr>
          <w:rFonts w:ascii="Arial" w:hAnsi="Arial" w:cs="Arial"/>
          <w:sz w:val="24"/>
          <w:szCs w:val="24"/>
        </w:rPr>
        <w:t xml:space="preserve">on 2 November 2020 </w:t>
      </w:r>
      <w:r w:rsidR="00250B97">
        <w:rPr>
          <w:rFonts w:ascii="Arial" w:hAnsi="Arial" w:cs="Arial"/>
          <w:sz w:val="24"/>
          <w:szCs w:val="24"/>
        </w:rPr>
        <w:t>the arbitrator made an award in favour of the respondent in the sum claimed by him.</w:t>
      </w:r>
    </w:p>
    <w:p w14:paraId="154491C3" w14:textId="1A038021" w:rsidR="005901B9"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27.</w:t>
      </w:r>
      <w:r>
        <w:rPr>
          <w:rFonts w:ascii="Arial" w:hAnsi="Arial" w:cs="Arial"/>
          <w:sz w:val="24"/>
          <w:szCs w:val="24"/>
        </w:rPr>
        <w:tab/>
      </w:r>
      <w:r w:rsidR="00250B97">
        <w:rPr>
          <w:rFonts w:ascii="Arial" w:hAnsi="Arial" w:cs="Arial"/>
          <w:sz w:val="24"/>
          <w:szCs w:val="24"/>
        </w:rPr>
        <w:t>S</w:t>
      </w:r>
      <w:r w:rsidR="005901B9">
        <w:rPr>
          <w:rFonts w:ascii="Arial" w:hAnsi="Arial" w:cs="Arial"/>
          <w:sz w:val="24"/>
          <w:szCs w:val="24"/>
        </w:rPr>
        <w:t xml:space="preserve">hortly </w:t>
      </w:r>
      <w:r w:rsidR="00250B97">
        <w:rPr>
          <w:rFonts w:ascii="Arial" w:hAnsi="Arial" w:cs="Arial"/>
          <w:sz w:val="24"/>
          <w:szCs w:val="24"/>
        </w:rPr>
        <w:t>after the award was delivered the respondent’s attorneys enquired when payment would be made. No response was forthcoming</w:t>
      </w:r>
      <w:r w:rsidR="005901B9">
        <w:rPr>
          <w:rFonts w:ascii="Arial" w:hAnsi="Arial" w:cs="Arial"/>
          <w:sz w:val="24"/>
          <w:szCs w:val="24"/>
        </w:rPr>
        <w:t>.</w:t>
      </w:r>
      <w:r w:rsidR="00250B97">
        <w:rPr>
          <w:rFonts w:ascii="Arial" w:hAnsi="Arial" w:cs="Arial"/>
          <w:sz w:val="24"/>
          <w:szCs w:val="24"/>
        </w:rPr>
        <w:t xml:space="preserve"> </w:t>
      </w:r>
      <w:r w:rsidR="005901B9">
        <w:rPr>
          <w:rFonts w:ascii="Arial" w:hAnsi="Arial" w:cs="Arial"/>
          <w:sz w:val="24"/>
          <w:szCs w:val="24"/>
        </w:rPr>
        <w:t>O</w:t>
      </w:r>
      <w:r w:rsidR="00250B97">
        <w:rPr>
          <w:rFonts w:ascii="Arial" w:hAnsi="Arial" w:cs="Arial"/>
          <w:sz w:val="24"/>
          <w:szCs w:val="24"/>
        </w:rPr>
        <w:t>n 16 November 2020 the respondent sought to have the award made an order of court via a chamber</w:t>
      </w:r>
      <w:r w:rsidR="005901B9">
        <w:rPr>
          <w:rFonts w:ascii="Arial" w:hAnsi="Arial" w:cs="Arial"/>
          <w:sz w:val="24"/>
          <w:szCs w:val="24"/>
        </w:rPr>
        <w:t>-</w:t>
      </w:r>
      <w:r w:rsidR="00250B97">
        <w:rPr>
          <w:rFonts w:ascii="Arial" w:hAnsi="Arial" w:cs="Arial"/>
          <w:sz w:val="24"/>
          <w:szCs w:val="24"/>
        </w:rPr>
        <w:t xml:space="preserve"> book application. On receipt thereof the appellant gave notice that he intended to launch an application to review the arbitration proceedings. This prompted the respondent to withdraw the chamber</w:t>
      </w:r>
      <w:r w:rsidR="005901B9">
        <w:rPr>
          <w:rFonts w:ascii="Arial" w:hAnsi="Arial" w:cs="Arial"/>
          <w:sz w:val="24"/>
          <w:szCs w:val="24"/>
        </w:rPr>
        <w:t>-</w:t>
      </w:r>
      <w:r w:rsidR="00250B97">
        <w:rPr>
          <w:rFonts w:ascii="Arial" w:hAnsi="Arial" w:cs="Arial"/>
          <w:sz w:val="24"/>
          <w:szCs w:val="24"/>
        </w:rPr>
        <w:t xml:space="preserve">book application and to make application by way of motion proceedings for the award to be made an order of court. </w:t>
      </w:r>
    </w:p>
    <w:p w14:paraId="5CCCBC2A" w14:textId="4A6EDC3A" w:rsidR="00250B97"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28.</w:t>
      </w:r>
      <w:r>
        <w:rPr>
          <w:rFonts w:ascii="Arial" w:hAnsi="Arial" w:cs="Arial"/>
          <w:sz w:val="24"/>
          <w:szCs w:val="24"/>
        </w:rPr>
        <w:tab/>
      </w:r>
      <w:r w:rsidR="00250B97">
        <w:rPr>
          <w:rFonts w:ascii="Arial" w:hAnsi="Arial" w:cs="Arial"/>
          <w:sz w:val="24"/>
          <w:szCs w:val="24"/>
        </w:rPr>
        <w:t>On 14 December 2020 the appellant</w:t>
      </w:r>
      <w:r w:rsidR="005901B9">
        <w:rPr>
          <w:rFonts w:ascii="Arial" w:hAnsi="Arial" w:cs="Arial"/>
          <w:sz w:val="24"/>
          <w:szCs w:val="24"/>
        </w:rPr>
        <w:t xml:space="preserve"> duly</w:t>
      </w:r>
      <w:r w:rsidR="00697EE4">
        <w:rPr>
          <w:rFonts w:ascii="Arial" w:hAnsi="Arial" w:cs="Arial"/>
          <w:sz w:val="24"/>
          <w:szCs w:val="24"/>
        </w:rPr>
        <w:t xml:space="preserve"> filed </w:t>
      </w:r>
      <w:r w:rsidR="005901B9">
        <w:rPr>
          <w:rFonts w:ascii="Arial" w:hAnsi="Arial" w:cs="Arial"/>
          <w:sz w:val="24"/>
          <w:szCs w:val="24"/>
        </w:rPr>
        <w:t>his</w:t>
      </w:r>
      <w:r w:rsidR="00697EE4">
        <w:rPr>
          <w:rFonts w:ascii="Arial" w:hAnsi="Arial" w:cs="Arial"/>
          <w:sz w:val="24"/>
          <w:szCs w:val="24"/>
        </w:rPr>
        <w:t xml:space="preserve"> application for</w:t>
      </w:r>
      <w:r w:rsidR="005901B9">
        <w:rPr>
          <w:rFonts w:ascii="Arial" w:hAnsi="Arial" w:cs="Arial"/>
          <w:sz w:val="24"/>
          <w:szCs w:val="24"/>
        </w:rPr>
        <w:t xml:space="preserve"> </w:t>
      </w:r>
      <w:r w:rsidR="00697EE4">
        <w:rPr>
          <w:rFonts w:ascii="Arial" w:hAnsi="Arial" w:cs="Arial"/>
          <w:sz w:val="24"/>
          <w:szCs w:val="24"/>
        </w:rPr>
        <w:t>review. On 19 February 202</w:t>
      </w:r>
      <w:r w:rsidR="005901B9">
        <w:rPr>
          <w:rFonts w:ascii="Arial" w:hAnsi="Arial" w:cs="Arial"/>
          <w:sz w:val="24"/>
          <w:szCs w:val="24"/>
        </w:rPr>
        <w:t>1</w:t>
      </w:r>
      <w:r w:rsidR="00697EE4">
        <w:rPr>
          <w:rFonts w:ascii="Arial" w:hAnsi="Arial" w:cs="Arial"/>
          <w:sz w:val="24"/>
          <w:szCs w:val="24"/>
        </w:rPr>
        <w:t xml:space="preserve"> an order was made directing that the </w:t>
      </w:r>
      <w:r w:rsidR="005901B9">
        <w:rPr>
          <w:rFonts w:ascii="Arial" w:hAnsi="Arial" w:cs="Arial"/>
          <w:sz w:val="24"/>
          <w:szCs w:val="24"/>
        </w:rPr>
        <w:t>two</w:t>
      </w:r>
      <w:r w:rsidR="00697EE4">
        <w:rPr>
          <w:rFonts w:ascii="Arial" w:hAnsi="Arial" w:cs="Arial"/>
          <w:sz w:val="24"/>
          <w:szCs w:val="24"/>
        </w:rPr>
        <w:t xml:space="preserve"> applications</w:t>
      </w:r>
      <w:r w:rsidR="005901B9">
        <w:rPr>
          <w:rFonts w:ascii="Arial" w:hAnsi="Arial" w:cs="Arial"/>
          <w:sz w:val="24"/>
          <w:szCs w:val="24"/>
        </w:rPr>
        <w:t xml:space="preserve"> i</w:t>
      </w:r>
      <w:r w:rsidR="00B54CB2">
        <w:rPr>
          <w:rFonts w:ascii="Arial" w:hAnsi="Arial" w:cs="Arial"/>
          <w:sz w:val="24"/>
          <w:szCs w:val="24"/>
        </w:rPr>
        <w:t>.</w:t>
      </w:r>
      <w:r w:rsidR="005901B9">
        <w:rPr>
          <w:rFonts w:ascii="Arial" w:hAnsi="Arial" w:cs="Arial"/>
          <w:sz w:val="24"/>
          <w:szCs w:val="24"/>
        </w:rPr>
        <w:t>e. the application for the enforcement of the award and the application for the review of the arbitration proceedings,</w:t>
      </w:r>
      <w:r w:rsidR="00697EE4">
        <w:rPr>
          <w:rFonts w:ascii="Arial" w:hAnsi="Arial" w:cs="Arial"/>
          <w:sz w:val="24"/>
          <w:szCs w:val="24"/>
        </w:rPr>
        <w:t xml:space="preserve"> should be heard together.</w:t>
      </w:r>
    </w:p>
    <w:p w14:paraId="3FD3E9B3" w14:textId="20C07C4C" w:rsidR="0068405C" w:rsidRPr="0068405C" w:rsidRDefault="0068405C" w:rsidP="0068405C">
      <w:pPr>
        <w:adjustRightInd w:val="0"/>
        <w:spacing w:after="0" w:line="360" w:lineRule="auto"/>
        <w:contextualSpacing/>
        <w:jc w:val="both"/>
        <w:textAlignment w:val="baseline"/>
        <w:rPr>
          <w:rFonts w:ascii="Arial" w:hAnsi="Arial" w:cs="Arial"/>
          <w:b/>
          <w:bCs/>
          <w:sz w:val="24"/>
          <w:szCs w:val="24"/>
        </w:rPr>
      </w:pPr>
      <w:r w:rsidRPr="0068405C">
        <w:rPr>
          <w:rFonts w:ascii="Arial" w:hAnsi="Arial" w:cs="Arial"/>
          <w:b/>
          <w:bCs/>
          <w:sz w:val="24"/>
          <w:szCs w:val="24"/>
        </w:rPr>
        <w:t xml:space="preserve">The proceedings before the Court a </w:t>
      </w:r>
      <w:r w:rsidRPr="0068405C">
        <w:rPr>
          <w:rFonts w:ascii="Arial" w:hAnsi="Arial" w:cs="Arial"/>
          <w:b/>
          <w:bCs/>
          <w:i/>
          <w:iCs/>
          <w:sz w:val="24"/>
          <w:szCs w:val="24"/>
        </w:rPr>
        <w:t>quo</w:t>
      </w:r>
    </w:p>
    <w:p w14:paraId="49AC0BB4" w14:textId="04E11853" w:rsidR="00697EE4" w:rsidRPr="002D7B58" w:rsidRDefault="00601627" w:rsidP="00601627">
      <w:pPr>
        <w:adjustRightInd w:val="0"/>
        <w:spacing w:after="0" w:line="360" w:lineRule="auto"/>
        <w:ind w:left="720" w:hanging="720"/>
        <w:contextualSpacing/>
        <w:jc w:val="both"/>
        <w:textAlignment w:val="baseline"/>
        <w:rPr>
          <w:rFonts w:ascii="Arial" w:hAnsi="Arial" w:cs="Arial"/>
          <w:sz w:val="24"/>
          <w:szCs w:val="24"/>
        </w:rPr>
      </w:pPr>
      <w:r w:rsidRPr="002D7B58">
        <w:rPr>
          <w:rFonts w:ascii="Arial" w:hAnsi="Arial" w:cs="Arial"/>
          <w:sz w:val="24"/>
          <w:szCs w:val="24"/>
        </w:rPr>
        <w:t>29.</w:t>
      </w:r>
      <w:r w:rsidRPr="002D7B58">
        <w:rPr>
          <w:rFonts w:ascii="Arial" w:hAnsi="Arial" w:cs="Arial"/>
          <w:sz w:val="24"/>
          <w:szCs w:val="24"/>
        </w:rPr>
        <w:tab/>
      </w:r>
      <w:r w:rsidR="00AA5F39" w:rsidRPr="002D7B58">
        <w:rPr>
          <w:rFonts w:ascii="Arial" w:hAnsi="Arial" w:cs="Arial"/>
          <w:sz w:val="24"/>
          <w:szCs w:val="24"/>
        </w:rPr>
        <w:t>In</w:t>
      </w:r>
      <w:r w:rsidR="00697EE4" w:rsidRPr="002D7B58">
        <w:rPr>
          <w:rFonts w:ascii="Arial" w:hAnsi="Arial" w:cs="Arial"/>
          <w:sz w:val="24"/>
          <w:szCs w:val="24"/>
        </w:rPr>
        <w:t xml:space="preserve"> his grounds of review the appellant </w:t>
      </w:r>
      <w:r w:rsidR="005901B9" w:rsidRPr="002D7B58">
        <w:rPr>
          <w:rFonts w:ascii="Arial" w:hAnsi="Arial" w:cs="Arial"/>
          <w:sz w:val="24"/>
          <w:szCs w:val="24"/>
        </w:rPr>
        <w:t>contended</w:t>
      </w:r>
      <w:r w:rsidR="00AA5F39" w:rsidRPr="002D7B58">
        <w:rPr>
          <w:rFonts w:ascii="Arial" w:hAnsi="Arial" w:cs="Arial"/>
          <w:sz w:val="24"/>
          <w:szCs w:val="24"/>
        </w:rPr>
        <w:t>, principally,</w:t>
      </w:r>
      <w:r w:rsidR="00697EE4" w:rsidRPr="002D7B58">
        <w:rPr>
          <w:rFonts w:ascii="Arial" w:hAnsi="Arial" w:cs="Arial"/>
          <w:sz w:val="24"/>
          <w:szCs w:val="24"/>
        </w:rPr>
        <w:t xml:space="preserve"> that the arbitrator had made herself </w:t>
      </w:r>
      <w:r w:rsidR="005901B9" w:rsidRPr="002D7B58">
        <w:rPr>
          <w:rFonts w:ascii="Arial" w:hAnsi="Arial" w:cs="Arial"/>
          <w:sz w:val="24"/>
          <w:szCs w:val="24"/>
        </w:rPr>
        <w:t xml:space="preserve">guilty of </w:t>
      </w:r>
      <w:r w:rsidR="00AA5F39" w:rsidRPr="002D7B58">
        <w:rPr>
          <w:rFonts w:ascii="Arial" w:hAnsi="Arial" w:cs="Arial"/>
          <w:sz w:val="24"/>
          <w:szCs w:val="24"/>
        </w:rPr>
        <w:t>misconduct in her conduct of the proceedings,</w:t>
      </w:r>
      <w:r w:rsidR="00697EE4" w:rsidRPr="002D7B58">
        <w:rPr>
          <w:rFonts w:ascii="Arial" w:hAnsi="Arial" w:cs="Arial"/>
          <w:sz w:val="24"/>
          <w:szCs w:val="24"/>
        </w:rPr>
        <w:t xml:space="preserve"> a</w:t>
      </w:r>
      <w:r w:rsidR="005901B9" w:rsidRPr="002D7B58">
        <w:rPr>
          <w:rFonts w:ascii="Arial" w:hAnsi="Arial" w:cs="Arial"/>
          <w:sz w:val="24"/>
          <w:szCs w:val="24"/>
        </w:rPr>
        <w:t>s a result of which the</w:t>
      </w:r>
      <w:r w:rsidR="00AA5F39" w:rsidRPr="002D7B58">
        <w:rPr>
          <w:rFonts w:ascii="Arial" w:hAnsi="Arial" w:cs="Arial"/>
          <w:sz w:val="24"/>
          <w:szCs w:val="24"/>
        </w:rPr>
        <w:t>y</w:t>
      </w:r>
      <w:r w:rsidR="005901B9" w:rsidRPr="002D7B58">
        <w:rPr>
          <w:rFonts w:ascii="Arial" w:hAnsi="Arial" w:cs="Arial"/>
          <w:sz w:val="24"/>
          <w:szCs w:val="24"/>
        </w:rPr>
        <w:t xml:space="preserve"> </w:t>
      </w:r>
      <w:r w:rsidR="00AA5F39" w:rsidRPr="002D7B58">
        <w:rPr>
          <w:rFonts w:ascii="Arial" w:hAnsi="Arial" w:cs="Arial"/>
          <w:sz w:val="24"/>
          <w:szCs w:val="24"/>
        </w:rPr>
        <w:t>were</w:t>
      </w:r>
      <w:r w:rsidR="005901B9" w:rsidRPr="002D7B58">
        <w:rPr>
          <w:rFonts w:ascii="Arial" w:hAnsi="Arial" w:cs="Arial"/>
          <w:sz w:val="24"/>
          <w:szCs w:val="24"/>
        </w:rPr>
        <w:t xml:space="preserve"> vitiated by </w:t>
      </w:r>
      <w:r w:rsidR="00697EE4" w:rsidRPr="002D7B58">
        <w:rPr>
          <w:rFonts w:ascii="Arial" w:hAnsi="Arial" w:cs="Arial"/>
          <w:sz w:val="24"/>
          <w:szCs w:val="24"/>
        </w:rPr>
        <w:t>gross irregularit</w:t>
      </w:r>
      <w:r w:rsidR="00AA5F39" w:rsidRPr="002D7B58">
        <w:rPr>
          <w:rFonts w:ascii="Arial" w:hAnsi="Arial" w:cs="Arial"/>
          <w:sz w:val="24"/>
          <w:szCs w:val="24"/>
        </w:rPr>
        <w:t>y</w:t>
      </w:r>
      <w:r w:rsidR="00697EE4" w:rsidRPr="002D7B58">
        <w:rPr>
          <w:rFonts w:ascii="Arial" w:hAnsi="Arial" w:cs="Arial"/>
          <w:sz w:val="24"/>
          <w:szCs w:val="24"/>
        </w:rPr>
        <w:t xml:space="preserve">. After </w:t>
      </w:r>
      <w:r w:rsidR="005901B9" w:rsidRPr="002D7B58">
        <w:rPr>
          <w:rFonts w:ascii="Arial" w:hAnsi="Arial" w:cs="Arial"/>
          <w:sz w:val="24"/>
          <w:szCs w:val="24"/>
        </w:rPr>
        <w:t xml:space="preserve">a </w:t>
      </w:r>
      <w:r w:rsidR="00697EE4" w:rsidRPr="002D7B58">
        <w:rPr>
          <w:rFonts w:ascii="Arial" w:hAnsi="Arial" w:cs="Arial"/>
          <w:sz w:val="24"/>
          <w:szCs w:val="24"/>
        </w:rPr>
        <w:t xml:space="preserve">detailed and careful consideration of the </w:t>
      </w:r>
      <w:r w:rsidR="00EF5E7A" w:rsidRPr="002D7B58">
        <w:rPr>
          <w:rFonts w:ascii="Arial" w:hAnsi="Arial" w:cs="Arial"/>
          <w:sz w:val="24"/>
          <w:szCs w:val="24"/>
        </w:rPr>
        <w:t>circumstances</w:t>
      </w:r>
      <w:r w:rsidR="00697EE4" w:rsidRPr="002D7B58">
        <w:rPr>
          <w:rFonts w:ascii="Arial" w:hAnsi="Arial" w:cs="Arial"/>
          <w:sz w:val="24"/>
          <w:szCs w:val="24"/>
        </w:rPr>
        <w:t xml:space="preserve"> the </w:t>
      </w:r>
      <w:r w:rsidR="005901B9" w:rsidRPr="002D7B58">
        <w:rPr>
          <w:rFonts w:ascii="Arial" w:hAnsi="Arial" w:cs="Arial"/>
          <w:sz w:val="24"/>
          <w:szCs w:val="24"/>
        </w:rPr>
        <w:t>C</w:t>
      </w:r>
      <w:r w:rsidR="00697EE4" w:rsidRPr="002D7B58">
        <w:rPr>
          <w:rFonts w:ascii="Arial" w:hAnsi="Arial" w:cs="Arial"/>
          <w:sz w:val="24"/>
          <w:szCs w:val="24"/>
        </w:rPr>
        <w:t xml:space="preserve">ourt a </w:t>
      </w:r>
      <w:r w:rsidR="00697EE4" w:rsidRPr="002D7B58">
        <w:rPr>
          <w:rFonts w:ascii="Arial" w:hAnsi="Arial" w:cs="Arial"/>
          <w:i/>
          <w:iCs/>
          <w:sz w:val="24"/>
          <w:szCs w:val="24"/>
        </w:rPr>
        <w:t>quo</w:t>
      </w:r>
      <w:r w:rsidR="00697EE4" w:rsidRPr="002D7B58">
        <w:rPr>
          <w:rFonts w:ascii="Arial" w:hAnsi="Arial" w:cs="Arial"/>
          <w:sz w:val="24"/>
          <w:szCs w:val="24"/>
        </w:rPr>
        <w:t xml:space="preserve"> held, quite correctly, that there was no substance or merit to these </w:t>
      </w:r>
      <w:r w:rsidR="005901B9" w:rsidRPr="002D7B58">
        <w:rPr>
          <w:rFonts w:ascii="Arial" w:hAnsi="Arial" w:cs="Arial"/>
          <w:sz w:val="24"/>
          <w:szCs w:val="24"/>
        </w:rPr>
        <w:t xml:space="preserve">allegations. </w:t>
      </w:r>
      <w:r w:rsidR="00B90690" w:rsidRPr="002D7B58">
        <w:rPr>
          <w:rFonts w:ascii="Arial" w:hAnsi="Arial" w:cs="Arial"/>
          <w:sz w:val="24"/>
          <w:szCs w:val="24"/>
        </w:rPr>
        <w:t xml:space="preserve">Consequently, the review was dismissed. </w:t>
      </w:r>
      <w:r w:rsidR="00E24F02">
        <w:rPr>
          <w:rFonts w:ascii="Arial" w:hAnsi="Arial" w:cs="Arial"/>
          <w:sz w:val="24"/>
          <w:szCs w:val="24"/>
        </w:rPr>
        <w:t>T</w:t>
      </w:r>
      <w:r w:rsidR="00697EE4" w:rsidRPr="002D7B58">
        <w:rPr>
          <w:rFonts w:ascii="Arial" w:hAnsi="Arial" w:cs="Arial"/>
          <w:sz w:val="24"/>
          <w:szCs w:val="24"/>
        </w:rPr>
        <w:t xml:space="preserve">he appellant has not sought to appeal </w:t>
      </w:r>
      <w:r w:rsidR="004106D2" w:rsidRPr="002D7B58">
        <w:rPr>
          <w:rFonts w:ascii="Arial" w:hAnsi="Arial" w:cs="Arial"/>
          <w:sz w:val="24"/>
          <w:szCs w:val="24"/>
        </w:rPr>
        <w:t xml:space="preserve">the dismissal of the review </w:t>
      </w:r>
      <w:r w:rsidR="00E24F02">
        <w:rPr>
          <w:rFonts w:ascii="Arial" w:hAnsi="Arial" w:cs="Arial"/>
          <w:sz w:val="24"/>
          <w:szCs w:val="24"/>
        </w:rPr>
        <w:t xml:space="preserve">and </w:t>
      </w:r>
      <w:r w:rsidR="00697EE4" w:rsidRPr="002D7B58">
        <w:rPr>
          <w:rFonts w:ascii="Arial" w:hAnsi="Arial" w:cs="Arial"/>
          <w:sz w:val="24"/>
          <w:szCs w:val="24"/>
        </w:rPr>
        <w:t>there is no need to spend any further time on th</w:t>
      </w:r>
      <w:r w:rsidR="00202F93">
        <w:rPr>
          <w:rFonts w:ascii="Arial" w:hAnsi="Arial" w:cs="Arial"/>
          <w:sz w:val="24"/>
          <w:szCs w:val="24"/>
        </w:rPr>
        <w:t>is aspect</w:t>
      </w:r>
      <w:r w:rsidR="00697EE4" w:rsidRPr="002D7B58">
        <w:rPr>
          <w:rFonts w:ascii="Arial" w:hAnsi="Arial" w:cs="Arial"/>
          <w:sz w:val="24"/>
          <w:szCs w:val="24"/>
        </w:rPr>
        <w:t>.</w:t>
      </w:r>
      <w:r w:rsidR="00B90690" w:rsidRPr="002D7B58">
        <w:rPr>
          <w:rFonts w:ascii="Arial" w:hAnsi="Arial" w:cs="Arial"/>
          <w:sz w:val="24"/>
          <w:szCs w:val="24"/>
        </w:rPr>
        <w:t xml:space="preserve"> </w:t>
      </w:r>
    </w:p>
    <w:p w14:paraId="0F3244BC" w14:textId="5F5617EF" w:rsidR="00697EE4"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30.</w:t>
      </w:r>
      <w:r>
        <w:rPr>
          <w:rFonts w:ascii="Arial" w:hAnsi="Arial" w:cs="Arial"/>
          <w:sz w:val="24"/>
          <w:szCs w:val="24"/>
        </w:rPr>
        <w:tab/>
      </w:r>
      <w:r w:rsidR="00B90690">
        <w:rPr>
          <w:rFonts w:ascii="Arial" w:hAnsi="Arial" w:cs="Arial"/>
          <w:sz w:val="24"/>
          <w:szCs w:val="24"/>
        </w:rPr>
        <w:t>I may point out</w:t>
      </w:r>
      <w:r w:rsidR="004106D2">
        <w:rPr>
          <w:rFonts w:ascii="Arial" w:hAnsi="Arial" w:cs="Arial"/>
          <w:sz w:val="24"/>
          <w:szCs w:val="24"/>
        </w:rPr>
        <w:t>, in pas</w:t>
      </w:r>
      <w:r w:rsidR="00290001">
        <w:rPr>
          <w:rFonts w:ascii="Arial" w:hAnsi="Arial" w:cs="Arial"/>
          <w:sz w:val="24"/>
          <w:szCs w:val="24"/>
        </w:rPr>
        <w:t>s</w:t>
      </w:r>
      <w:r w:rsidR="004106D2">
        <w:rPr>
          <w:rFonts w:ascii="Arial" w:hAnsi="Arial" w:cs="Arial"/>
          <w:sz w:val="24"/>
          <w:szCs w:val="24"/>
        </w:rPr>
        <w:t>ing,</w:t>
      </w:r>
      <w:r w:rsidR="00B90690">
        <w:rPr>
          <w:rFonts w:ascii="Arial" w:hAnsi="Arial" w:cs="Arial"/>
          <w:sz w:val="24"/>
          <w:szCs w:val="24"/>
        </w:rPr>
        <w:t xml:space="preserve"> that t</w:t>
      </w:r>
      <w:r w:rsidR="00697EE4">
        <w:rPr>
          <w:rFonts w:ascii="Arial" w:hAnsi="Arial" w:cs="Arial"/>
          <w:sz w:val="24"/>
          <w:szCs w:val="24"/>
        </w:rPr>
        <w:t xml:space="preserve">he </w:t>
      </w:r>
      <w:r w:rsidR="004106D2">
        <w:rPr>
          <w:rFonts w:ascii="Arial" w:hAnsi="Arial" w:cs="Arial"/>
          <w:sz w:val="24"/>
          <w:szCs w:val="24"/>
        </w:rPr>
        <w:t xml:space="preserve">sole </w:t>
      </w:r>
      <w:r w:rsidR="00B90690">
        <w:rPr>
          <w:rFonts w:ascii="Arial" w:hAnsi="Arial" w:cs="Arial"/>
          <w:sz w:val="24"/>
          <w:szCs w:val="24"/>
        </w:rPr>
        <w:t xml:space="preserve">‘non-misconduct’ </w:t>
      </w:r>
      <w:r w:rsidR="00697EE4">
        <w:rPr>
          <w:rFonts w:ascii="Arial" w:hAnsi="Arial" w:cs="Arial"/>
          <w:sz w:val="24"/>
          <w:szCs w:val="24"/>
        </w:rPr>
        <w:t>ground of review i.e. that the award was one obtained and made improperly</w:t>
      </w:r>
      <w:r w:rsidR="00697EE4">
        <w:rPr>
          <w:rStyle w:val="FootnoteReference"/>
          <w:rFonts w:ascii="Arial" w:hAnsi="Arial" w:cs="Arial"/>
          <w:sz w:val="24"/>
          <w:szCs w:val="24"/>
        </w:rPr>
        <w:footnoteReference w:id="7"/>
      </w:r>
      <w:r w:rsidR="00697EE4">
        <w:rPr>
          <w:rFonts w:ascii="Arial" w:hAnsi="Arial" w:cs="Arial"/>
          <w:sz w:val="24"/>
          <w:szCs w:val="24"/>
        </w:rPr>
        <w:t xml:space="preserve"> in that it fell foul of the NCA, also formed the central basis of the appellant’s opposition to the application to enforce the award</w:t>
      </w:r>
      <w:r w:rsidR="009A01F9">
        <w:rPr>
          <w:rFonts w:ascii="Arial" w:hAnsi="Arial" w:cs="Arial"/>
          <w:sz w:val="24"/>
          <w:szCs w:val="24"/>
        </w:rPr>
        <w:t xml:space="preserve"> and is the focus of the appeal which is before us</w:t>
      </w:r>
      <w:r w:rsidR="00697EE4">
        <w:rPr>
          <w:rFonts w:ascii="Arial" w:hAnsi="Arial" w:cs="Arial"/>
          <w:sz w:val="24"/>
          <w:szCs w:val="24"/>
        </w:rPr>
        <w:t>.</w:t>
      </w:r>
      <w:r w:rsidR="00AA5F39">
        <w:rPr>
          <w:rFonts w:ascii="Arial" w:hAnsi="Arial" w:cs="Arial"/>
          <w:sz w:val="24"/>
          <w:szCs w:val="24"/>
        </w:rPr>
        <w:t xml:space="preserve"> As such,</w:t>
      </w:r>
      <w:r w:rsidR="009A01F9">
        <w:rPr>
          <w:rFonts w:ascii="Arial" w:hAnsi="Arial" w:cs="Arial"/>
          <w:sz w:val="24"/>
          <w:szCs w:val="24"/>
        </w:rPr>
        <w:t xml:space="preserve"> as the Court a </w:t>
      </w:r>
      <w:r w:rsidR="009A01F9" w:rsidRPr="009A01F9">
        <w:rPr>
          <w:rFonts w:ascii="Arial" w:hAnsi="Arial" w:cs="Arial"/>
          <w:i/>
          <w:iCs/>
          <w:sz w:val="24"/>
          <w:szCs w:val="24"/>
        </w:rPr>
        <w:t xml:space="preserve">quo </w:t>
      </w:r>
      <w:r w:rsidR="009A01F9">
        <w:rPr>
          <w:rFonts w:ascii="Arial" w:hAnsi="Arial" w:cs="Arial"/>
          <w:sz w:val="24"/>
          <w:szCs w:val="24"/>
        </w:rPr>
        <w:t>did,</w:t>
      </w:r>
      <w:r w:rsidR="00AA5F39">
        <w:rPr>
          <w:rFonts w:ascii="Arial" w:hAnsi="Arial" w:cs="Arial"/>
          <w:sz w:val="24"/>
          <w:szCs w:val="24"/>
        </w:rPr>
        <w:t xml:space="preserve"> </w:t>
      </w:r>
      <w:r w:rsidR="004F544D">
        <w:rPr>
          <w:rFonts w:ascii="Arial" w:hAnsi="Arial" w:cs="Arial"/>
          <w:sz w:val="24"/>
          <w:szCs w:val="24"/>
        </w:rPr>
        <w:t>we</w:t>
      </w:r>
      <w:r w:rsidR="00AA5F39">
        <w:rPr>
          <w:rFonts w:ascii="Arial" w:hAnsi="Arial" w:cs="Arial"/>
          <w:sz w:val="24"/>
          <w:szCs w:val="24"/>
        </w:rPr>
        <w:t xml:space="preserve"> deal with </w:t>
      </w:r>
      <w:r w:rsidR="009A01F9">
        <w:rPr>
          <w:rFonts w:ascii="Arial" w:hAnsi="Arial" w:cs="Arial"/>
          <w:sz w:val="24"/>
          <w:szCs w:val="24"/>
        </w:rPr>
        <w:t>it</w:t>
      </w:r>
      <w:r w:rsidR="00AA5F39">
        <w:rPr>
          <w:rFonts w:ascii="Arial" w:hAnsi="Arial" w:cs="Arial"/>
          <w:sz w:val="24"/>
          <w:szCs w:val="24"/>
        </w:rPr>
        <w:t xml:space="preserve"> as part of </w:t>
      </w:r>
      <w:r w:rsidR="009A01F9">
        <w:rPr>
          <w:rFonts w:ascii="Arial" w:hAnsi="Arial" w:cs="Arial"/>
          <w:sz w:val="24"/>
          <w:szCs w:val="24"/>
        </w:rPr>
        <w:t>our</w:t>
      </w:r>
      <w:r w:rsidR="00AA5F39">
        <w:rPr>
          <w:rFonts w:ascii="Arial" w:hAnsi="Arial" w:cs="Arial"/>
          <w:sz w:val="24"/>
          <w:szCs w:val="24"/>
        </w:rPr>
        <w:t xml:space="preserve"> consideration of the </w:t>
      </w:r>
      <w:r w:rsidR="009A01F9">
        <w:rPr>
          <w:rFonts w:ascii="Arial" w:hAnsi="Arial" w:cs="Arial"/>
          <w:sz w:val="24"/>
          <w:szCs w:val="24"/>
        </w:rPr>
        <w:t>appeal</w:t>
      </w:r>
      <w:r w:rsidR="00B90690">
        <w:rPr>
          <w:rFonts w:ascii="Arial" w:hAnsi="Arial" w:cs="Arial"/>
          <w:sz w:val="24"/>
          <w:szCs w:val="24"/>
        </w:rPr>
        <w:t xml:space="preserve">, as it was also raised as a </w:t>
      </w:r>
      <w:r w:rsidR="004106D2">
        <w:rPr>
          <w:rFonts w:ascii="Arial" w:hAnsi="Arial" w:cs="Arial"/>
          <w:sz w:val="24"/>
          <w:szCs w:val="24"/>
        </w:rPr>
        <w:t xml:space="preserve">principal </w:t>
      </w:r>
      <w:r w:rsidR="00B90690">
        <w:rPr>
          <w:rFonts w:ascii="Arial" w:hAnsi="Arial" w:cs="Arial"/>
          <w:sz w:val="24"/>
          <w:szCs w:val="24"/>
        </w:rPr>
        <w:t>ground to resist the enforcement application</w:t>
      </w:r>
      <w:r w:rsidR="00AA5F39">
        <w:rPr>
          <w:rFonts w:ascii="Arial" w:hAnsi="Arial" w:cs="Arial"/>
          <w:sz w:val="24"/>
          <w:szCs w:val="24"/>
        </w:rPr>
        <w:t xml:space="preserve">. </w:t>
      </w:r>
    </w:p>
    <w:p w14:paraId="5E0CABBA" w14:textId="1C72132B" w:rsidR="00B90690"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lastRenderedPageBreak/>
        <w:t>31.</w:t>
      </w:r>
      <w:r>
        <w:rPr>
          <w:rFonts w:ascii="Arial" w:hAnsi="Arial" w:cs="Arial"/>
          <w:sz w:val="24"/>
          <w:szCs w:val="24"/>
        </w:rPr>
        <w:tab/>
      </w:r>
      <w:r w:rsidR="00697EE4">
        <w:rPr>
          <w:rFonts w:ascii="Arial" w:hAnsi="Arial" w:cs="Arial"/>
          <w:sz w:val="24"/>
          <w:szCs w:val="24"/>
        </w:rPr>
        <w:t>In this regard</w:t>
      </w:r>
      <w:r w:rsidR="0044716A">
        <w:rPr>
          <w:rFonts w:ascii="Arial" w:hAnsi="Arial" w:cs="Arial"/>
          <w:sz w:val="24"/>
          <w:szCs w:val="24"/>
        </w:rPr>
        <w:t>, as in the arbitration proceedings</w:t>
      </w:r>
      <w:r w:rsidR="00697EE4">
        <w:rPr>
          <w:rFonts w:ascii="Arial" w:hAnsi="Arial" w:cs="Arial"/>
          <w:sz w:val="24"/>
          <w:szCs w:val="24"/>
        </w:rPr>
        <w:t xml:space="preserve"> the appellant </w:t>
      </w:r>
      <w:r w:rsidR="00AA5F39">
        <w:rPr>
          <w:rFonts w:ascii="Arial" w:hAnsi="Arial" w:cs="Arial"/>
          <w:sz w:val="24"/>
          <w:szCs w:val="24"/>
        </w:rPr>
        <w:t>submit</w:t>
      </w:r>
      <w:r w:rsidR="009A01F9">
        <w:rPr>
          <w:rFonts w:ascii="Arial" w:hAnsi="Arial" w:cs="Arial"/>
          <w:sz w:val="24"/>
          <w:szCs w:val="24"/>
        </w:rPr>
        <w:t>ted</w:t>
      </w:r>
      <w:r w:rsidR="00697EE4">
        <w:rPr>
          <w:rFonts w:ascii="Arial" w:hAnsi="Arial" w:cs="Arial"/>
          <w:sz w:val="24"/>
          <w:szCs w:val="24"/>
        </w:rPr>
        <w:t xml:space="preserve"> </w:t>
      </w:r>
      <w:r w:rsidR="009A01F9">
        <w:rPr>
          <w:rFonts w:ascii="Arial" w:hAnsi="Arial" w:cs="Arial"/>
          <w:sz w:val="24"/>
          <w:szCs w:val="24"/>
        </w:rPr>
        <w:t xml:space="preserve">before the Court a </w:t>
      </w:r>
      <w:r w:rsidR="009A01F9" w:rsidRPr="009A01F9">
        <w:rPr>
          <w:rFonts w:ascii="Arial" w:hAnsi="Arial" w:cs="Arial"/>
          <w:i/>
          <w:iCs/>
          <w:sz w:val="24"/>
          <w:szCs w:val="24"/>
        </w:rPr>
        <w:t>quo</w:t>
      </w:r>
      <w:r w:rsidR="009A01F9">
        <w:rPr>
          <w:rFonts w:ascii="Arial" w:hAnsi="Arial" w:cs="Arial"/>
          <w:sz w:val="24"/>
          <w:szCs w:val="24"/>
        </w:rPr>
        <w:t xml:space="preserve"> </w:t>
      </w:r>
      <w:r w:rsidR="00697EE4">
        <w:rPr>
          <w:rFonts w:ascii="Arial" w:hAnsi="Arial" w:cs="Arial"/>
          <w:sz w:val="24"/>
          <w:szCs w:val="24"/>
        </w:rPr>
        <w:t xml:space="preserve">that the </w:t>
      </w:r>
      <w:r w:rsidR="0044716A">
        <w:rPr>
          <w:rFonts w:ascii="Arial" w:hAnsi="Arial" w:cs="Arial"/>
          <w:sz w:val="24"/>
          <w:szCs w:val="24"/>
        </w:rPr>
        <w:t>two</w:t>
      </w:r>
      <w:r w:rsidR="00697EE4">
        <w:rPr>
          <w:rFonts w:ascii="Arial" w:hAnsi="Arial" w:cs="Arial"/>
          <w:sz w:val="24"/>
          <w:szCs w:val="24"/>
        </w:rPr>
        <w:t xml:space="preserve"> AODs which were entered into in 2015 were </w:t>
      </w:r>
      <w:r w:rsidR="00AA5F39">
        <w:rPr>
          <w:rFonts w:ascii="Arial" w:hAnsi="Arial" w:cs="Arial"/>
          <w:sz w:val="24"/>
          <w:szCs w:val="24"/>
        </w:rPr>
        <w:t xml:space="preserve">unlawful </w:t>
      </w:r>
      <w:r w:rsidR="00697EE4">
        <w:rPr>
          <w:rFonts w:ascii="Arial" w:hAnsi="Arial" w:cs="Arial"/>
          <w:sz w:val="24"/>
          <w:szCs w:val="24"/>
        </w:rPr>
        <w:t xml:space="preserve">credit agreements in terms of the NCA, </w:t>
      </w:r>
      <w:r w:rsidR="00AA5F39">
        <w:rPr>
          <w:rFonts w:ascii="Arial" w:hAnsi="Arial" w:cs="Arial"/>
          <w:sz w:val="24"/>
          <w:szCs w:val="24"/>
        </w:rPr>
        <w:t xml:space="preserve">as they </w:t>
      </w:r>
      <w:r w:rsidR="00697EE4">
        <w:rPr>
          <w:rFonts w:ascii="Arial" w:hAnsi="Arial" w:cs="Arial"/>
          <w:sz w:val="24"/>
          <w:szCs w:val="24"/>
        </w:rPr>
        <w:t xml:space="preserve">had been concluded without due and proper compliance with certain of the </w:t>
      </w:r>
      <w:r w:rsidR="0044716A">
        <w:rPr>
          <w:rFonts w:ascii="Arial" w:hAnsi="Arial" w:cs="Arial"/>
          <w:sz w:val="24"/>
          <w:szCs w:val="24"/>
        </w:rPr>
        <w:t>A</w:t>
      </w:r>
      <w:r w:rsidR="00697EE4">
        <w:rPr>
          <w:rFonts w:ascii="Arial" w:hAnsi="Arial" w:cs="Arial"/>
          <w:sz w:val="24"/>
          <w:szCs w:val="24"/>
        </w:rPr>
        <w:t>ct</w:t>
      </w:r>
      <w:r w:rsidR="0044716A">
        <w:rPr>
          <w:rFonts w:ascii="Arial" w:hAnsi="Arial" w:cs="Arial"/>
          <w:sz w:val="24"/>
          <w:szCs w:val="24"/>
        </w:rPr>
        <w:t>’</w:t>
      </w:r>
      <w:r w:rsidR="00697EE4">
        <w:rPr>
          <w:rFonts w:ascii="Arial" w:hAnsi="Arial" w:cs="Arial"/>
          <w:sz w:val="24"/>
          <w:szCs w:val="24"/>
        </w:rPr>
        <w:t xml:space="preserve">s </w:t>
      </w:r>
      <w:r w:rsidR="0044716A">
        <w:rPr>
          <w:rFonts w:ascii="Arial" w:hAnsi="Arial" w:cs="Arial"/>
          <w:sz w:val="24"/>
          <w:szCs w:val="24"/>
        </w:rPr>
        <w:t>statutory pr</w:t>
      </w:r>
      <w:r w:rsidR="00697EE4">
        <w:rPr>
          <w:rFonts w:ascii="Arial" w:hAnsi="Arial" w:cs="Arial"/>
          <w:sz w:val="24"/>
          <w:szCs w:val="24"/>
        </w:rPr>
        <w:t>e</w:t>
      </w:r>
      <w:r w:rsidR="009C665C">
        <w:rPr>
          <w:rFonts w:ascii="Arial" w:hAnsi="Arial" w:cs="Arial"/>
          <w:sz w:val="24"/>
          <w:szCs w:val="24"/>
        </w:rPr>
        <w:t>re</w:t>
      </w:r>
      <w:r w:rsidR="00697EE4">
        <w:rPr>
          <w:rFonts w:ascii="Arial" w:hAnsi="Arial" w:cs="Arial"/>
          <w:sz w:val="24"/>
          <w:szCs w:val="24"/>
        </w:rPr>
        <w:t>quisites</w:t>
      </w:r>
      <w:r w:rsidR="00AA5F39">
        <w:rPr>
          <w:rFonts w:ascii="Arial" w:hAnsi="Arial" w:cs="Arial"/>
          <w:sz w:val="24"/>
          <w:szCs w:val="24"/>
        </w:rPr>
        <w:t xml:space="preserve">, and as such they were not capable of being enforced. </w:t>
      </w:r>
      <w:r w:rsidR="00B90690">
        <w:rPr>
          <w:rFonts w:ascii="Arial" w:hAnsi="Arial" w:cs="Arial"/>
          <w:sz w:val="24"/>
          <w:szCs w:val="24"/>
        </w:rPr>
        <w:t xml:space="preserve">The appellant </w:t>
      </w:r>
      <w:r w:rsidR="004106D2">
        <w:rPr>
          <w:rFonts w:ascii="Arial" w:hAnsi="Arial" w:cs="Arial"/>
          <w:sz w:val="24"/>
          <w:szCs w:val="24"/>
        </w:rPr>
        <w:t xml:space="preserve">further </w:t>
      </w:r>
      <w:r w:rsidR="00B90690">
        <w:rPr>
          <w:rFonts w:ascii="Arial" w:hAnsi="Arial" w:cs="Arial"/>
          <w:sz w:val="24"/>
          <w:szCs w:val="24"/>
        </w:rPr>
        <w:t>contended that i</w:t>
      </w:r>
      <w:r w:rsidR="00AA5F39">
        <w:rPr>
          <w:rFonts w:ascii="Arial" w:hAnsi="Arial" w:cs="Arial"/>
          <w:sz w:val="24"/>
          <w:szCs w:val="24"/>
        </w:rPr>
        <w:t xml:space="preserve">nasmuch as the third AOD </w:t>
      </w:r>
      <w:r w:rsidR="009A01F9">
        <w:rPr>
          <w:rFonts w:ascii="Arial" w:hAnsi="Arial" w:cs="Arial"/>
          <w:sz w:val="24"/>
          <w:szCs w:val="24"/>
        </w:rPr>
        <w:t>perpetuated the underlying illegality inherent in the</w:t>
      </w:r>
      <w:r w:rsidR="00B90690">
        <w:rPr>
          <w:rFonts w:ascii="Arial" w:hAnsi="Arial" w:cs="Arial"/>
          <w:sz w:val="24"/>
          <w:szCs w:val="24"/>
        </w:rPr>
        <w:t xml:space="preserve"> </w:t>
      </w:r>
      <w:r w:rsidR="009A01F9">
        <w:rPr>
          <w:rFonts w:ascii="Arial" w:hAnsi="Arial" w:cs="Arial"/>
          <w:sz w:val="24"/>
          <w:szCs w:val="24"/>
        </w:rPr>
        <w:t>earlier AODs</w:t>
      </w:r>
      <w:r w:rsidR="0048400B">
        <w:rPr>
          <w:rFonts w:ascii="Arial" w:hAnsi="Arial" w:cs="Arial"/>
          <w:sz w:val="24"/>
          <w:szCs w:val="24"/>
        </w:rPr>
        <w:t>,</w:t>
      </w:r>
      <w:r w:rsidR="009A01F9">
        <w:rPr>
          <w:rFonts w:ascii="Arial" w:hAnsi="Arial" w:cs="Arial"/>
          <w:sz w:val="24"/>
          <w:szCs w:val="24"/>
        </w:rPr>
        <w:t xml:space="preserve"> it</w:t>
      </w:r>
      <w:r w:rsidR="00AA5F39">
        <w:rPr>
          <w:rFonts w:ascii="Arial" w:hAnsi="Arial" w:cs="Arial"/>
          <w:sz w:val="24"/>
          <w:szCs w:val="24"/>
        </w:rPr>
        <w:t xml:space="preserve"> would be contrary to public policy to enforce it.</w:t>
      </w:r>
    </w:p>
    <w:p w14:paraId="30D230F3" w14:textId="300DCCAF" w:rsidR="008750AD"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32.</w:t>
      </w:r>
      <w:r>
        <w:rPr>
          <w:rFonts w:ascii="Arial" w:hAnsi="Arial" w:cs="Arial"/>
          <w:sz w:val="24"/>
          <w:szCs w:val="24"/>
        </w:rPr>
        <w:tab/>
      </w:r>
      <w:r w:rsidR="008A17C2">
        <w:rPr>
          <w:rFonts w:ascii="Arial" w:hAnsi="Arial" w:cs="Arial"/>
          <w:sz w:val="24"/>
          <w:szCs w:val="24"/>
        </w:rPr>
        <w:t xml:space="preserve">The </w:t>
      </w:r>
      <w:r w:rsidR="00D47F7C">
        <w:rPr>
          <w:rFonts w:ascii="Arial" w:hAnsi="Arial" w:cs="Arial"/>
          <w:sz w:val="24"/>
          <w:szCs w:val="24"/>
        </w:rPr>
        <w:t>C</w:t>
      </w:r>
      <w:r w:rsidR="008A17C2">
        <w:rPr>
          <w:rFonts w:ascii="Arial" w:hAnsi="Arial" w:cs="Arial"/>
          <w:sz w:val="24"/>
          <w:szCs w:val="24"/>
        </w:rPr>
        <w:t xml:space="preserve">ourt a </w:t>
      </w:r>
      <w:r w:rsidR="008A17C2" w:rsidRPr="00125758">
        <w:rPr>
          <w:rFonts w:ascii="Arial" w:hAnsi="Arial" w:cs="Arial"/>
          <w:i/>
          <w:iCs/>
          <w:sz w:val="24"/>
          <w:szCs w:val="24"/>
        </w:rPr>
        <w:t>quo</w:t>
      </w:r>
      <w:r w:rsidR="008A17C2">
        <w:rPr>
          <w:rFonts w:ascii="Arial" w:hAnsi="Arial" w:cs="Arial"/>
          <w:sz w:val="24"/>
          <w:szCs w:val="24"/>
        </w:rPr>
        <w:t xml:space="preserve"> </w:t>
      </w:r>
      <w:r w:rsidR="00D47F7C">
        <w:rPr>
          <w:rFonts w:ascii="Arial" w:hAnsi="Arial" w:cs="Arial"/>
          <w:sz w:val="24"/>
          <w:szCs w:val="24"/>
        </w:rPr>
        <w:t>‘</w:t>
      </w:r>
      <w:r w:rsidR="008A17C2">
        <w:rPr>
          <w:rFonts w:ascii="Arial" w:hAnsi="Arial" w:cs="Arial"/>
          <w:sz w:val="24"/>
          <w:szCs w:val="24"/>
        </w:rPr>
        <w:t>could find no difficulties</w:t>
      </w:r>
      <w:r w:rsidR="00D47F7C">
        <w:rPr>
          <w:rFonts w:ascii="Arial" w:hAnsi="Arial" w:cs="Arial"/>
          <w:sz w:val="24"/>
          <w:szCs w:val="24"/>
        </w:rPr>
        <w:t>’</w:t>
      </w:r>
      <w:r w:rsidR="008A17C2">
        <w:rPr>
          <w:rFonts w:ascii="Arial" w:hAnsi="Arial" w:cs="Arial"/>
          <w:sz w:val="24"/>
          <w:szCs w:val="24"/>
        </w:rPr>
        <w:t xml:space="preserve"> </w:t>
      </w:r>
      <w:r w:rsidR="00400888">
        <w:rPr>
          <w:rFonts w:ascii="Arial" w:hAnsi="Arial" w:cs="Arial"/>
          <w:sz w:val="24"/>
          <w:szCs w:val="24"/>
        </w:rPr>
        <w:t xml:space="preserve">(sic) </w:t>
      </w:r>
      <w:r w:rsidR="008A17C2">
        <w:rPr>
          <w:rFonts w:ascii="Arial" w:hAnsi="Arial" w:cs="Arial"/>
          <w:sz w:val="24"/>
          <w:szCs w:val="24"/>
        </w:rPr>
        <w:t>with the arbitrator’s finding</w:t>
      </w:r>
      <w:r w:rsidR="00400888">
        <w:rPr>
          <w:rFonts w:ascii="Arial" w:hAnsi="Arial" w:cs="Arial"/>
          <w:sz w:val="24"/>
          <w:szCs w:val="24"/>
        </w:rPr>
        <w:t>s</w:t>
      </w:r>
      <w:r w:rsidR="008A17C2">
        <w:rPr>
          <w:rFonts w:ascii="Arial" w:hAnsi="Arial" w:cs="Arial"/>
          <w:sz w:val="24"/>
          <w:szCs w:val="24"/>
        </w:rPr>
        <w:t xml:space="preserve"> that the </w:t>
      </w:r>
      <w:r w:rsidR="00D47F7C">
        <w:rPr>
          <w:rFonts w:ascii="Arial" w:hAnsi="Arial" w:cs="Arial"/>
          <w:sz w:val="24"/>
          <w:szCs w:val="24"/>
        </w:rPr>
        <w:t>third</w:t>
      </w:r>
      <w:r w:rsidR="008A17C2">
        <w:rPr>
          <w:rFonts w:ascii="Arial" w:hAnsi="Arial" w:cs="Arial"/>
          <w:sz w:val="24"/>
          <w:szCs w:val="24"/>
        </w:rPr>
        <w:t xml:space="preserve"> AOD constitute</w:t>
      </w:r>
      <w:r w:rsidR="004F544D">
        <w:rPr>
          <w:rFonts w:ascii="Arial" w:hAnsi="Arial" w:cs="Arial"/>
          <w:sz w:val="24"/>
          <w:szCs w:val="24"/>
        </w:rPr>
        <w:t>d</w:t>
      </w:r>
      <w:r w:rsidR="008A17C2">
        <w:rPr>
          <w:rFonts w:ascii="Arial" w:hAnsi="Arial" w:cs="Arial"/>
          <w:sz w:val="24"/>
          <w:szCs w:val="24"/>
        </w:rPr>
        <w:t xml:space="preserve"> a compromise and that the provisions of the NCA did not apply to it</w:t>
      </w:r>
      <w:r w:rsidR="00D47F7C">
        <w:rPr>
          <w:rFonts w:ascii="Arial" w:hAnsi="Arial" w:cs="Arial"/>
          <w:sz w:val="24"/>
          <w:szCs w:val="24"/>
        </w:rPr>
        <w:t>,</w:t>
      </w:r>
      <w:r w:rsidR="008A17C2">
        <w:rPr>
          <w:rFonts w:ascii="Arial" w:hAnsi="Arial" w:cs="Arial"/>
          <w:sz w:val="24"/>
          <w:szCs w:val="24"/>
        </w:rPr>
        <w:t xml:space="preserve"> and it held that </w:t>
      </w:r>
      <w:r w:rsidR="002B7B78">
        <w:rPr>
          <w:rFonts w:ascii="Arial" w:hAnsi="Arial" w:cs="Arial"/>
          <w:sz w:val="24"/>
          <w:szCs w:val="24"/>
        </w:rPr>
        <w:t xml:space="preserve">in the circumstances </w:t>
      </w:r>
      <w:r w:rsidR="008A17C2">
        <w:rPr>
          <w:rFonts w:ascii="Arial" w:hAnsi="Arial" w:cs="Arial"/>
          <w:sz w:val="24"/>
          <w:szCs w:val="24"/>
        </w:rPr>
        <w:t>there was no basis to find that it</w:t>
      </w:r>
      <w:r w:rsidR="00D47F7C">
        <w:rPr>
          <w:rFonts w:ascii="Arial" w:hAnsi="Arial" w:cs="Arial"/>
          <w:sz w:val="24"/>
          <w:szCs w:val="24"/>
        </w:rPr>
        <w:t>s</w:t>
      </w:r>
      <w:r w:rsidR="008A17C2">
        <w:rPr>
          <w:rFonts w:ascii="Arial" w:hAnsi="Arial" w:cs="Arial"/>
          <w:sz w:val="24"/>
          <w:szCs w:val="24"/>
        </w:rPr>
        <w:t xml:space="preserve"> enforcement would therefore perpetuate any unlawful prior agreement</w:t>
      </w:r>
      <w:r w:rsidR="00D47F7C">
        <w:rPr>
          <w:rFonts w:ascii="Arial" w:hAnsi="Arial" w:cs="Arial"/>
          <w:sz w:val="24"/>
          <w:szCs w:val="24"/>
        </w:rPr>
        <w:t>s, or that it would be contrary to public policy.</w:t>
      </w:r>
    </w:p>
    <w:p w14:paraId="2885D3E0" w14:textId="23594690" w:rsidR="00D81214" w:rsidRPr="00D81214" w:rsidRDefault="00D81214" w:rsidP="00D81214">
      <w:pPr>
        <w:adjustRightInd w:val="0"/>
        <w:spacing w:after="0" w:line="360" w:lineRule="auto"/>
        <w:contextualSpacing/>
        <w:jc w:val="both"/>
        <w:textAlignment w:val="baseline"/>
        <w:rPr>
          <w:rFonts w:ascii="Arial" w:hAnsi="Arial" w:cs="Arial"/>
          <w:b/>
          <w:bCs/>
          <w:sz w:val="24"/>
          <w:szCs w:val="24"/>
        </w:rPr>
      </w:pPr>
      <w:r w:rsidRPr="00D81214">
        <w:rPr>
          <w:rFonts w:ascii="Arial" w:hAnsi="Arial" w:cs="Arial"/>
          <w:b/>
          <w:bCs/>
          <w:sz w:val="24"/>
          <w:szCs w:val="24"/>
        </w:rPr>
        <w:t>The applicable principles</w:t>
      </w:r>
    </w:p>
    <w:p w14:paraId="4C052B9F" w14:textId="137CA68B" w:rsidR="00043E87"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33.</w:t>
      </w:r>
      <w:r>
        <w:rPr>
          <w:rFonts w:ascii="Arial" w:hAnsi="Arial" w:cs="Arial"/>
          <w:sz w:val="24"/>
          <w:szCs w:val="24"/>
        </w:rPr>
        <w:tab/>
      </w:r>
      <w:r w:rsidR="008750AD" w:rsidRPr="00043E87">
        <w:rPr>
          <w:rFonts w:ascii="Arial" w:hAnsi="Arial" w:cs="Arial"/>
          <w:sz w:val="24"/>
          <w:szCs w:val="24"/>
        </w:rPr>
        <w:t xml:space="preserve">It is a basic principle </w:t>
      </w:r>
      <w:r w:rsidR="0093544F">
        <w:rPr>
          <w:rFonts w:ascii="Arial" w:hAnsi="Arial" w:cs="Arial"/>
          <w:sz w:val="24"/>
          <w:szCs w:val="24"/>
        </w:rPr>
        <w:t xml:space="preserve">of our law </w:t>
      </w:r>
      <w:r w:rsidR="008750AD" w:rsidRPr="00043E87">
        <w:rPr>
          <w:rFonts w:ascii="Arial" w:hAnsi="Arial" w:cs="Arial"/>
          <w:sz w:val="24"/>
          <w:szCs w:val="24"/>
        </w:rPr>
        <w:t xml:space="preserve">that </w:t>
      </w:r>
      <w:r w:rsidR="00EB7022" w:rsidRPr="00043E87">
        <w:rPr>
          <w:rFonts w:ascii="Arial" w:hAnsi="Arial" w:cs="Arial"/>
          <w:sz w:val="24"/>
          <w:szCs w:val="24"/>
        </w:rPr>
        <w:t>to</w:t>
      </w:r>
      <w:r w:rsidR="008750AD" w:rsidRPr="00043E87">
        <w:rPr>
          <w:rFonts w:ascii="Arial" w:hAnsi="Arial" w:cs="Arial"/>
          <w:sz w:val="24"/>
          <w:szCs w:val="24"/>
        </w:rPr>
        <w:t xml:space="preserve"> be valid an agreement must be lawful.</w:t>
      </w:r>
      <w:r w:rsidR="00463BC1">
        <w:rPr>
          <w:rStyle w:val="FootnoteReference"/>
          <w:rFonts w:ascii="Arial" w:hAnsi="Arial" w:cs="Arial"/>
          <w:sz w:val="24"/>
          <w:szCs w:val="24"/>
        </w:rPr>
        <w:footnoteReference w:id="8"/>
      </w:r>
      <w:r w:rsidR="008750AD" w:rsidRPr="00043E87">
        <w:rPr>
          <w:rFonts w:ascii="Arial" w:hAnsi="Arial" w:cs="Arial"/>
          <w:sz w:val="24"/>
          <w:szCs w:val="24"/>
        </w:rPr>
        <w:t xml:space="preserve"> </w:t>
      </w:r>
      <w:r w:rsidR="00043E87">
        <w:rPr>
          <w:rFonts w:ascii="Arial" w:hAnsi="Arial" w:cs="Arial"/>
          <w:sz w:val="24"/>
          <w:szCs w:val="24"/>
        </w:rPr>
        <w:t>A</w:t>
      </w:r>
      <w:r w:rsidR="008750AD" w:rsidRPr="00043E87">
        <w:rPr>
          <w:rFonts w:ascii="Arial" w:hAnsi="Arial" w:cs="Arial"/>
          <w:sz w:val="24"/>
          <w:szCs w:val="24"/>
        </w:rPr>
        <w:t xml:space="preserve">t common law a contract which is unlawful is generally considered to be void </w:t>
      </w:r>
      <w:r w:rsidR="008750AD" w:rsidRPr="00043E87">
        <w:rPr>
          <w:rFonts w:ascii="Arial" w:hAnsi="Arial" w:cs="Arial"/>
          <w:i/>
          <w:iCs/>
          <w:sz w:val="24"/>
          <w:szCs w:val="24"/>
        </w:rPr>
        <w:t>ab initio</w:t>
      </w:r>
      <w:r w:rsidR="008750AD" w:rsidRPr="00043E87">
        <w:rPr>
          <w:rFonts w:ascii="Arial" w:hAnsi="Arial" w:cs="Arial"/>
          <w:sz w:val="24"/>
          <w:szCs w:val="24"/>
        </w:rPr>
        <w:t xml:space="preserve"> (from the outset) and of no effect, as it is a nullity, and cannot be enforced. Thus, no party can acquire rights under it and if a party fails to perform in terms of such an agreement the other cannot compel him/her to do so by way of a contractual claim for specific performance or damages. This is expressed in the maxim</w:t>
      </w:r>
      <w:r w:rsidR="00607CFA">
        <w:rPr>
          <w:rFonts w:ascii="Arial" w:hAnsi="Arial" w:cs="Arial"/>
          <w:sz w:val="24"/>
          <w:szCs w:val="24"/>
        </w:rPr>
        <w:t xml:space="preserve"> </w:t>
      </w:r>
      <w:r w:rsidR="008750AD" w:rsidRPr="00043E87">
        <w:rPr>
          <w:rFonts w:ascii="Arial" w:hAnsi="Arial" w:cs="Arial"/>
          <w:i/>
          <w:iCs/>
          <w:sz w:val="24"/>
          <w:szCs w:val="24"/>
        </w:rPr>
        <w:t>ex turpi causa non oritur actio</w:t>
      </w:r>
      <w:r w:rsidR="00D81214" w:rsidRPr="00043E87">
        <w:rPr>
          <w:rFonts w:ascii="Arial" w:hAnsi="Arial" w:cs="Arial"/>
          <w:sz w:val="24"/>
          <w:szCs w:val="24"/>
        </w:rPr>
        <w:t>: no action arises from a cause that is turpitudinous.</w:t>
      </w:r>
      <w:r w:rsidR="008750AD" w:rsidRPr="00043E87">
        <w:rPr>
          <w:rFonts w:ascii="Arial" w:hAnsi="Arial" w:cs="Arial"/>
          <w:i/>
          <w:iCs/>
          <w:sz w:val="24"/>
          <w:szCs w:val="24"/>
        </w:rPr>
        <w:t xml:space="preserve"> </w:t>
      </w:r>
      <w:r w:rsidR="00043E87" w:rsidRPr="00043E87">
        <w:rPr>
          <w:rFonts w:ascii="Arial" w:hAnsi="Arial" w:cs="Arial"/>
          <w:sz w:val="24"/>
          <w:szCs w:val="24"/>
        </w:rPr>
        <w:t>The exception to this principle is where</w:t>
      </w:r>
      <w:r w:rsidR="00043E87">
        <w:rPr>
          <w:rFonts w:ascii="Arial" w:hAnsi="Arial" w:cs="Arial"/>
          <w:sz w:val="24"/>
          <w:szCs w:val="24"/>
        </w:rPr>
        <w:t xml:space="preserve"> </w:t>
      </w:r>
      <w:r w:rsidR="00981BBB">
        <w:rPr>
          <w:rFonts w:ascii="Arial" w:hAnsi="Arial" w:cs="Arial"/>
          <w:sz w:val="24"/>
          <w:szCs w:val="24"/>
        </w:rPr>
        <w:t xml:space="preserve">it </w:t>
      </w:r>
      <w:r w:rsidR="00043E87" w:rsidRPr="00043E87">
        <w:rPr>
          <w:rFonts w:ascii="Arial" w:hAnsi="Arial" w:cs="Arial"/>
          <w:sz w:val="24"/>
          <w:szCs w:val="24"/>
        </w:rPr>
        <w:t xml:space="preserve">is </w:t>
      </w:r>
      <w:r w:rsidR="007C42C4">
        <w:rPr>
          <w:rFonts w:ascii="Arial" w:hAnsi="Arial" w:cs="Arial"/>
          <w:sz w:val="24"/>
          <w:szCs w:val="24"/>
        </w:rPr>
        <w:t>apparent</w:t>
      </w:r>
      <w:r w:rsidR="00043E87" w:rsidRPr="00043E87">
        <w:rPr>
          <w:rFonts w:ascii="Arial" w:hAnsi="Arial" w:cs="Arial"/>
          <w:sz w:val="24"/>
          <w:szCs w:val="24"/>
        </w:rPr>
        <w:t xml:space="preserve"> from the language of a statutory injunction from which the unlawfulness originates, that an </w:t>
      </w:r>
      <w:r w:rsidR="00981BBB">
        <w:rPr>
          <w:rFonts w:ascii="Arial" w:hAnsi="Arial" w:cs="Arial"/>
          <w:sz w:val="24"/>
          <w:szCs w:val="24"/>
        </w:rPr>
        <w:t xml:space="preserve">agreement or </w:t>
      </w:r>
      <w:r w:rsidR="00043E87" w:rsidRPr="00043E87">
        <w:rPr>
          <w:rFonts w:ascii="Arial" w:hAnsi="Arial" w:cs="Arial"/>
          <w:sz w:val="24"/>
          <w:szCs w:val="24"/>
        </w:rPr>
        <w:t>act performed contrary thereto will not be invalid.</w:t>
      </w:r>
      <w:r w:rsidR="00981BBB">
        <w:rPr>
          <w:rStyle w:val="FootnoteReference"/>
          <w:rFonts w:ascii="Arial" w:hAnsi="Arial" w:cs="Arial"/>
          <w:sz w:val="24"/>
          <w:szCs w:val="24"/>
        </w:rPr>
        <w:footnoteReference w:id="9"/>
      </w:r>
    </w:p>
    <w:p w14:paraId="6B76995F" w14:textId="2993504F" w:rsidR="0093544F" w:rsidRPr="00281E8E" w:rsidRDefault="00601627" w:rsidP="00601627">
      <w:pPr>
        <w:adjustRightInd w:val="0"/>
        <w:spacing w:after="0" w:line="360" w:lineRule="auto"/>
        <w:ind w:left="720" w:hanging="720"/>
        <w:contextualSpacing/>
        <w:jc w:val="both"/>
        <w:textAlignment w:val="baseline"/>
        <w:rPr>
          <w:rFonts w:ascii="Arial" w:hAnsi="Arial" w:cs="Arial"/>
          <w:sz w:val="24"/>
          <w:szCs w:val="24"/>
        </w:rPr>
      </w:pPr>
      <w:r w:rsidRPr="00281E8E">
        <w:rPr>
          <w:rFonts w:ascii="Arial" w:hAnsi="Arial" w:cs="Arial"/>
          <w:sz w:val="24"/>
          <w:szCs w:val="24"/>
        </w:rPr>
        <w:t>34.</w:t>
      </w:r>
      <w:r w:rsidRPr="00281E8E">
        <w:rPr>
          <w:rFonts w:ascii="Arial" w:hAnsi="Arial" w:cs="Arial"/>
          <w:sz w:val="24"/>
          <w:szCs w:val="24"/>
        </w:rPr>
        <w:tab/>
      </w:r>
      <w:r w:rsidR="00043E87" w:rsidRPr="00281E8E">
        <w:rPr>
          <w:rFonts w:ascii="Arial" w:hAnsi="Arial" w:cs="Arial"/>
          <w:sz w:val="24"/>
          <w:szCs w:val="24"/>
        </w:rPr>
        <w:t xml:space="preserve">A party who has transferred money or goods under an unlawful agreement </w:t>
      </w:r>
      <w:r w:rsidR="00E5048D" w:rsidRPr="00281E8E">
        <w:rPr>
          <w:rFonts w:ascii="Arial" w:hAnsi="Arial" w:cs="Arial"/>
          <w:sz w:val="24"/>
          <w:szCs w:val="24"/>
        </w:rPr>
        <w:t xml:space="preserve">and </w:t>
      </w:r>
      <w:r w:rsidR="00043E87" w:rsidRPr="00281E8E">
        <w:rPr>
          <w:rFonts w:ascii="Arial" w:hAnsi="Arial" w:cs="Arial"/>
          <w:sz w:val="24"/>
          <w:szCs w:val="24"/>
        </w:rPr>
        <w:t xml:space="preserve">who wants to claim restitution accordingly cannot do so under and in terms </w:t>
      </w:r>
      <w:r w:rsidR="0093544F" w:rsidRPr="00281E8E">
        <w:rPr>
          <w:rFonts w:ascii="Arial" w:hAnsi="Arial" w:cs="Arial"/>
          <w:sz w:val="24"/>
          <w:szCs w:val="24"/>
        </w:rPr>
        <w:t>there</w:t>
      </w:r>
      <w:r w:rsidR="00043E87" w:rsidRPr="00281E8E">
        <w:rPr>
          <w:rFonts w:ascii="Arial" w:hAnsi="Arial" w:cs="Arial"/>
          <w:sz w:val="24"/>
          <w:szCs w:val="24"/>
        </w:rPr>
        <w:t xml:space="preserve">of and must resort to an enrichment action, specifically the </w:t>
      </w:r>
      <w:r w:rsidR="0085256A" w:rsidRPr="00281E8E">
        <w:rPr>
          <w:rFonts w:ascii="Arial" w:hAnsi="Arial" w:cs="Arial"/>
          <w:i/>
          <w:iCs/>
          <w:sz w:val="24"/>
          <w:szCs w:val="24"/>
        </w:rPr>
        <w:t>condictio</w:t>
      </w:r>
      <w:r w:rsidR="00043E87" w:rsidRPr="00281E8E">
        <w:rPr>
          <w:rFonts w:ascii="Arial" w:hAnsi="Arial" w:cs="Arial"/>
          <w:i/>
          <w:iCs/>
          <w:sz w:val="24"/>
          <w:szCs w:val="24"/>
        </w:rPr>
        <w:t xml:space="preserve"> ob turpem vel iniusta causa</w:t>
      </w:r>
      <w:r w:rsidR="00043E87" w:rsidRPr="00281E8E">
        <w:rPr>
          <w:rFonts w:ascii="Arial" w:hAnsi="Arial" w:cs="Arial"/>
          <w:sz w:val="24"/>
          <w:szCs w:val="24"/>
        </w:rPr>
        <w:t>.</w:t>
      </w:r>
      <w:r w:rsidR="00981BBB">
        <w:rPr>
          <w:rStyle w:val="FootnoteReference"/>
          <w:rFonts w:ascii="Arial" w:hAnsi="Arial" w:cs="Arial"/>
          <w:sz w:val="24"/>
          <w:szCs w:val="24"/>
        </w:rPr>
        <w:footnoteReference w:id="10"/>
      </w:r>
      <w:r w:rsidR="00281E8E">
        <w:rPr>
          <w:rFonts w:ascii="Arial" w:hAnsi="Arial" w:cs="Arial"/>
          <w:sz w:val="24"/>
          <w:szCs w:val="24"/>
        </w:rPr>
        <w:t xml:space="preserve"> </w:t>
      </w:r>
      <w:r w:rsidR="00043E87" w:rsidRPr="00281E8E">
        <w:rPr>
          <w:rFonts w:ascii="Arial" w:hAnsi="Arial" w:cs="Arial"/>
          <w:sz w:val="24"/>
          <w:szCs w:val="24"/>
        </w:rPr>
        <w:t xml:space="preserve">However, in doing so he/she may come up against the so-called </w:t>
      </w:r>
      <w:r w:rsidR="00043E87" w:rsidRPr="00281E8E">
        <w:rPr>
          <w:rFonts w:ascii="Arial" w:hAnsi="Arial" w:cs="Arial"/>
          <w:i/>
          <w:iCs/>
          <w:sz w:val="24"/>
          <w:szCs w:val="24"/>
        </w:rPr>
        <w:lastRenderedPageBreak/>
        <w:t>par delictum</w:t>
      </w:r>
      <w:r w:rsidR="00043E87" w:rsidRPr="00281E8E">
        <w:rPr>
          <w:rFonts w:ascii="Arial" w:hAnsi="Arial" w:cs="Arial"/>
          <w:sz w:val="24"/>
          <w:szCs w:val="24"/>
        </w:rPr>
        <w:t xml:space="preserve"> rule, which is expressed in the maxim </w:t>
      </w:r>
      <w:r w:rsidR="00043E87" w:rsidRPr="00281E8E">
        <w:rPr>
          <w:rFonts w:ascii="Arial" w:hAnsi="Arial" w:cs="Arial"/>
          <w:i/>
          <w:iCs/>
          <w:sz w:val="24"/>
          <w:szCs w:val="24"/>
        </w:rPr>
        <w:t xml:space="preserve">in pari delicto potior est conditio defendetis, </w:t>
      </w:r>
      <w:r w:rsidR="00043E87" w:rsidRPr="00281E8E">
        <w:rPr>
          <w:rFonts w:ascii="Arial" w:hAnsi="Arial" w:cs="Arial"/>
          <w:sz w:val="24"/>
          <w:szCs w:val="24"/>
        </w:rPr>
        <w:t>which</w:t>
      </w:r>
      <w:r w:rsidR="00043E87" w:rsidRPr="00281E8E">
        <w:rPr>
          <w:rFonts w:ascii="Arial" w:hAnsi="Arial" w:cs="Arial"/>
          <w:i/>
          <w:iCs/>
          <w:sz w:val="24"/>
          <w:szCs w:val="24"/>
        </w:rPr>
        <w:t xml:space="preserve"> </w:t>
      </w:r>
      <w:r w:rsidR="00043E87" w:rsidRPr="00281E8E">
        <w:rPr>
          <w:rFonts w:ascii="Arial" w:hAnsi="Arial" w:cs="Arial"/>
          <w:sz w:val="24"/>
          <w:szCs w:val="24"/>
        </w:rPr>
        <w:t xml:space="preserve">on a literal translation </w:t>
      </w:r>
      <w:r w:rsidR="00463BC1" w:rsidRPr="00281E8E">
        <w:rPr>
          <w:rFonts w:ascii="Arial" w:hAnsi="Arial" w:cs="Arial"/>
          <w:sz w:val="24"/>
          <w:szCs w:val="24"/>
        </w:rPr>
        <w:t>means</w:t>
      </w:r>
      <w:r w:rsidR="00043E87" w:rsidRPr="00281E8E">
        <w:rPr>
          <w:rFonts w:ascii="Arial" w:hAnsi="Arial" w:cs="Arial"/>
          <w:i/>
          <w:iCs/>
          <w:sz w:val="24"/>
          <w:szCs w:val="24"/>
        </w:rPr>
        <w:t xml:space="preserve"> </w:t>
      </w:r>
      <w:r w:rsidR="00463BC1" w:rsidRPr="00281E8E">
        <w:rPr>
          <w:rFonts w:ascii="Arial" w:hAnsi="Arial" w:cs="Arial"/>
          <w:sz w:val="24"/>
          <w:szCs w:val="24"/>
        </w:rPr>
        <w:t>‘w</w:t>
      </w:r>
      <w:r w:rsidR="00043E87" w:rsidRPr="00281E8E">
        <w:rPr>
          <w:rFonts w:ascii="Arial" w:hAnsi="Arial" w:cs="Arial"/>
          <w:sz w:val="24"/>
          <w:szCs w:val="24"/>
        </w:rPr>
        <w:t xml:space="preserve">here both parties are </w:t>
      </w:r>
      <w:r w:rsidR="006D1BCF" w:rsidRPr="00281E8E">
        <w:rPr>
          <w:rFonts w:ascii="Arial" w:hAnsi="Arial" w:cs="Arial"/>
          <w:sz w:val="24"/>
          <w:szCs w:val="24"/>
        </w:rPr>
        <w:t>at</w:t>
      </w:r>
      <w:r w:rsidR="00043E87" w:rsidRPr="00281E8E">
        <w:rPr>
          <w:rFonts w:ascii="Arial" w:hAnsi="Arial" w:cs="Arial"/>
          <w:sz w:val="24"/>
          <w:szCs w:val="24"/>
        </w:rPr>
        <w:t xml:space="preserve"> fault, the defendant’s position is stronger</w:t>
      </w:r>
      <w:r w:rsidR="00463BC1" w:rsidRPr="00281E8E">
        <w:rPr>
          <w:rFonts w:ascii="Arial" w:hAnsi="Arial" w:cs="Arial"/>
          <w:sz w:val="24"/>
          <w:szCs w:val="24"/>
        </w:rPr>
        <w:t xml:space="preserve">’. </w:t>
      </w:r>
    </w:p>
    <w:p w14:paraId="22E8847B" w14:textId="516EFAAB" w:rsidR="00043E87"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35.</w:t>
      </w:r>
      <w:r>
        <w:rPr>
          <w:rFonts w:ascii="Arial" w:hAnsi="Arial" w:cs="Arial"/>
          <w:sz w:val="24"/>
          <w:szCs w:val="24"/>
        </w:rPr>
        <w:tab/>
      </w:r>
      <w:r w:rsidR="00463BC1">
        <w:rPr>
          <w:rFonts w:ascii="Arial" w:hAnsi="Arial" w:cs="Arial"/>
          <w:sz w:val="24"/>
          <w:szCs w:val="24"/>
        </w:rPr>
        <w:t xml:space="preserve">Thus, </w:t>
      </w:r>
      <w:r w:rsidR="0093544F">
        <w:rPr>
          <w:rFonts w:ascii="Arial" w:hAnsi="Arial" w:cs="Arial"/>
          <w:sz w:val="24"/>
          <w:szCs w:val="24"/>
        </w:rPr>
        <w:t xml:space="preserve">just </w:t>
      </w:r>
      <w:r w:rsidR="00463BC1">
        <w:rPr>
          <w:rFonts w:ascii="Arial" w:hAnsi="Arial" w:cs="Arial"/>
          <w:sz w:val="24"/>
          <w:szCs w:val="24"/>
        </w:rPr>
        <w:t xml:space="preserve">as the </w:t>
      </w:r>
      <w:r w:rsidR="00463BC1" w:rsidRPr="006D1BCF">
        <w:rPr>
          <w:rFonts w:ascii="Arial" w:hAnsi="Arial" w:cs="Arial"/>
          <w:i/>
          <w:iCs/>
          <w:sz w:val="24"/>
          <w:szCs w:val="24"/>
        </w:rPr>
        <w:t>ex turpi</w:t>
      </w:r>
      <w:r w:rsidR="00463BC1">
        <w:rPr>
          <w:rFonts w:ascii="Arial" w:hAnsi="Arial" w:cs="Arial"/>
          <w:sz w:val="24"/>
          <w:szCs w:val="24"/>
        </w:rPr>
        <w:t xml:space="preserve"> </w:t>
      </w:r>
      <w:r w:rsidR="0093544F">
        <w:rPr>
          <w:rFonts w:ascii="Arial" w:hAnsi="Arial" w:cs="Arial"/>
          <w:sz w:val="24"/>
          <w:szCs w:val="24"/>
        </w:rPr>
        <w:t xml:space="preserve">principle </w:t>
      </w:r>
      <w:r w:rsidR="00463BC1">
        <w:rPr>
          <w:rFonts w:ascii="Arial" w:hAnsi="Arial" w:cs="Arial"/>
          <w:sz w:val="24"/>
          <w:szCs w:val="24"/>
        </w:rPr>
        <w:t xml:space="preserve">serves to defeat </w:t>
      </w:r>
      <w:r w:rsidR="006D1BCF">
        <w:rPr>
          <w:rFonts w:ascii="Arial" w:hAnsi="Arial" w:cs="Arial"/>
          <w:sz w:val="24"/>
          <w:szCs w:val="24"/>
        </w:rPr>
        <w:t xml:space="preserve">a </w:t>
      </w:r>
      <w:r w:rsidR="00463BC1">
        <w:rPr>
          <w:rFonts w:ascii="Arial" w:hAnsi="Arial" w:cs="Arial"/>
          <w:sz w:val="24"/>
          <w:szCs w:val="24"/>
        </w:rPr>
        <w:t>contractual claim arising from, or in terms of</w:t>
      </w:r>
      <w:r w:rsidR="0093544F">
        <w:rPr>
          <w:rFonts w:ascii="Arial" w:hAnsi="Arial" w:cs="Arial"/>
          <w:sz w:val="24"/>
          <w:szCs w:val="24"/>
        </w:rPr>
        <w:t>,</w:t>
      </w:r>
      <w:r w:rsidR="00463BC1">
        <w:rPr>
          <w:rFonts w:ascii="Arial" w:hAnsi="Arial" w:cs="Arial"/>
          <w:sz w:val="24"/>
          <w:szCs w:val="24"/>
        </w:rPr>
        <w:t xml:space="preserve"> an unlawful contract</w:t>
      </w:r>
      <w:r w:rsidR="0048400B">
        <w:rPr>
          <w:rFonts w:ascii="Arial" w:hAnsi="Arial" w:cs="Arial"/>
          <w:sz w:val="24"/>
          <w:szCs w:val="24"/>
        </w:rPr>
        <w:t>,</w:t>
      </w:r>
      <w:r w:rsidR="00463BC1">
        <w:rPr>
          <w:rFonts w:ascii="Arial" w:hAnsi="Arial" w:cs="Arial"/>
          <w:sz w:val="24"/>
          <w:szCs w:val="24"/>
        </w:rPr>
        <w:t xml:space="preserve"> the </w:t>
      </w:r>
      <w:r w:rsidR="00463BC1" w:rsidRPr="006D1BCF">
        <w:rPr>
          <w:rFonts w:ascii="Arial" w:hAnsi="Arial" w:cs="Arial"/>
          <w:i/>
          <w:iCs/>
          <w:sz w:val="24"/>
          <w:szCs w:val="24"/>
        </w:rPr>
        <w:t>par delictum</w:t>
      </w:r>
      <w:r w:rsidR="00463BC1">
        <w:rPr>
          <w:rFonts w:ascii="Arial" w:hAnsi="Arial" w:cs="Arial"/>
          <w:sz w:val="24"/>
          <w:szCs w:val="24"/>
        </w:rPr>
        <w:t xml:space="preserve"> rule may do so in respect of an enrichment action which is resorted to in place thereof. But the important qualification to the operation of the </w:t>
      </w:r>
      <w:r w:rsidR="00463BC1" w:rsidRPr="006D1BCF">
        <w:rPr>
          <w:rFonts w:ascii="Arial" w:hAnsi="Arial" w:cs="Arial"/>
          <w:i/>
          <w:iCs/>
          <w:sz w:val="24"/>
          <w:szCs w:val="24"/>
        </w:rPr>
        <w:t>par delictum</w:t>
      </w:r>
      <w:r w:rsidR="00463BC1">
        <w:rPr>
          <w:rFonts w:ascii="Arial" w:hAnsi="Arial" w:cs="Arial"/>
          <w:sz w:val="24"/>
          <w:szCs w:val="24"/>
        </w:rPr>
        <w:t xml:space="preserve"> rule in enrichment actions is that pursuant to the decision in </w:t>
      </w:r>
      <w:r w:rsidR="00463BC1" w:rsidRPr="006D1BCF">
        <w:rPr>
          <w:rFonts w:ascii="Arial" w:hAnsi="Arial" w:cs="Arial"/>
          <w:i/>
          <w:iCs/>
          <w:sz w:val="24"/>
          <w:szCs w:val="24"/>
        </w:rPr>
        <w:t>Jajbhay</w:t>
      </w:r>
      <w:r w:rsidR="009441BA">
        <w:rPr>
          <w:rFonts w:ascii="Arial" w:hAnsi="Arial" w:cs="Arial"/>
          <w:i/>
          <w:iCs/>
          <w:sz w:val="24"/>
          <w:szCs w:val="24"/>
        </w:rPr>
        <w:t xml:space="preserve"> </w:t>
      </w:r>
      <w:r w:rsidR="00463BC1">
        <w:rPr>
          <w:rStyle w:val="FootnoteReference"/>
          <w:rFonts w:ascii="Arial" w:hAnsi="Arial" w:cs="Arial"/>
          <w:sz w:val="24"/>
          <w:szCs w:val="24"/>
        </w:rPr>
        <w:footnoteReference w:id="11"/>
      </w:r>
      <w:r w:rsidR="009441BA">
        <w:rPr>
          <w:rFonts w:ascii="Arial" w:hAnsi="Arial" w:cs="Arial"/>
          <w:i/>
          <w:iCs/>
          <w:sz w:val="24"/>
          <w:szCs w:val="24"/>
        </w:rPr>
        <w:t xml:space="preserve"> </w:t>
      </w:r>
      <w:r w:rsidR="00CF28DE">
        <w:rPr>
          <w:rFonts w:ascii="Arial" w:hAnsi="Arial" w:cs="Arial"/>
          <w:sz w:val="24"/>
          <w:szCs w:val="24"/>
        </w:rPr>
        <w:t xml:space="preserve">it has been attenuated by the recognition of an equitable discretionary power by the court, </w:t>
      </w:r>
      <w:r w:rsidR="009441BA" w:rsidRPr="009441BA">
        <w:rPr>
          <w:rFonts w:ascii="Arial" w:hAnsi="Arial" w:cs="Arial"/>
          <w:sz w:val="24"/>
          <w:szCs w:val="24"/>
        </w:rPr>
        <w:t>so that it may do</w:t>
      </w:r>
      <w:r w:rsidR="009441BA">
        <w:rPr>
          <w:rFonts w:ascii="Arial" w:hAnsi="Arial" w:cs="Arial"/>
          <w:sz w:val="24"/>
          <w:szCs w:val="24"/>
        </w:rPr>
        <w:t xml:space="preserve"> ‘simple justice between man and man’.</w:t>
      </w:r>
    </w:p>
    <w:p w14:paraId="3AFBD35C" w14:textId="48F09AC9" w:rsidR="0093544F"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36.</w:t>
      </w:r>
      <w:r>
        <w:rPr>
          <w:rFonts w:ascii="Arial" w:hAnsi="Arial" w:cs="Arial"/>
          <w:sz w:val="24"/>
          <w:szCs w:val="24"/>
        </w:rPr>
        <w:tab/>
      </w:r>
      <w:r w:rsidR="00033894" w:rsidRPr="0093544F">
        <w:rPr>
          <w:rFonts w:ascii="Arial" w:hAnsi="Arial" w:cs="Arial"/>
          <w:sz w:val="24"/>
          <w:szCs w:val="24"/>
        </w:rPr>
        <w:t xml:space="preserve">As pointed out by </w:t>
      </w:r>
      <w:r w:rsidR="00E76D4C" w:rsidRPr="0093544F">
        <w:rPr>
          <w:rFonts w:ascii="Arial" w:hAnsi="Arial" w:cs="Arial"/>
          <w:sz w:val="24"/>
          <w:szCs w:val="24"/>
        </w:rPr>
        <w:t>Botha</w:t>
      </w:r>
      <w:r w:rsidR="00033894" w:rsidRPr="0093544F">
        <w:rPr>
          <w:rFonts w:ascii="Arial" w:hAnsi="Arial" w:cs="Arial"/>
          <w:sz w:val="24"/>
          <w:szCs w:val="24"/>
        </w:rPr>
        <w:t xml:space="preserve"> in his </w:t>
      </w:r>
      <w:r w:rsidR="0048400B">
        <w:rPr>
          <w:rFonts w:ascii="Arial" w:hAnsi="Arial" w:cs="Arial"/>
          <w:sz w:val="24"/>
          <w:szCs w:val="24"/>
        </w:rPr>
        <w:t>dissertation</w:t>
      </w:r>
      <w:r w:rsidR="00E76D4C" w:rsidRPr="0093544F">
        <w:rPr>
          <w:rFonts w:ascii="Arial" w:hAnsi="Arial" w:cs="Arial"/>
          <w:sz w:val="24"/>
          <w:szCs w:val="24"/>
        </w:rPr>
        <w:t xml:space="preserve"> on the consequences of illegal contracts,</w:t>
      </w:r>
      <w:r w:rsidR="00033894">
        <w:rPr>
          <w:rStyle w:val="FootnoteReference"/>
          <w:rFonts w:ascii="Arial" w:hAnsi="Arial" w:cs="Arial"/>
          <w:sz w:val="24"/>
          <w:szCs w:val="24"/>
        </w:rPr>
        <w:footnoteReference w:id="12"/>
      </w:r>
      <w:r w:rsidR="00E76D4C" w:rsidRPr="0093544F">
        <w:rPr>
          <w:rFonts w:ascii="Arial" w:hAnsi="Arial" w:cs="Arial"/>
          <w:sz w:val="24"/>
          <w:szCs w:val="24"/>
        </w:rPr>
        <w:t xml:space="preserve"> there are no fixed and determinate criteria which our </w:t>
      </w:r>
      <w:r w:rsidR="00AE17BB">
        <w:rPr>
          <w:rFonts w:ascii="Arial" w:hAnsi="Arial" w:cs="Arial"/>
          <w:sz w:val="24"/>
          <w:szCs w:val="24"/>
        </w:rPr>
        <w:t>c</w:t>
      </w:r>
      <w:r w:rsidR="00E76D4C" w:rsidRPr="0093544F">
        <w:rPr>
          <w:rFonts w:ascii="Arial" w:hAnsi="Arial" w:cs="Arial"/>
          <w:sz w:val="24"/>
          <w:szCs w:val="24"/>
        </w:rPr>
        <w:t xml:space="preserve">ourts have applied in the exercise of this equitable power. Most commonly these include a consideration of the purpose of the </w:t>
      </w:r>
      <w:r w:rsidR="0093544F" w:rsidRPr="0093544F">
        <w:rPr>
          <w:rFonts w:ascii="Arial" w:hAnsi="Arial" w:cs="Arial"/>
          <w:sz w:val="24"/>
          <w:szCs w:val="24"/>
        </w:rPr>
        <w:t xml:space="preserve">statutory </w:t>
      </w:r>
      <w:r w:rsidR="00E76D4C" w:rsidRPr="0093544F">
        <w:rPr>
          <w:rFonts w:ascii="Arial" w:hAnsi="Arial" w:cs="Arial"/>
          <w:sz w:val="24"/>
          <w:szCs w:val="24"/>
        </w:rPr>
        <w:t>provision that was contravened, the class of persons it was intended to benefit and whether there is a need to protect a particular group of vulnerable persons,</w:t>
      </w:r>
      <w:r w:rsidR="00E76D4C">
        <w:rPr>
          <w:rStyle w:val="FootnoteReference"/>
          <w:rFonts w:ascii="Arial" w:hAnsi="Arial" w:cs="Arial"/>
          <w:sz w:val="24"/>
          <w:szCs w:val="24"/>
        </w:rPr>
        <w:footnoteReference w:id="13"/>
      </w:r>
      <w:r w:rsidR="00E76D4C" w:rsidRPr="0093544F">
        <w:rPr>
          <w:rFonts w:ascii="Arial" w:hAnsi="Arial" w:cs="Arial"/>
          <w:sz w:val="24"/>
          <w:szCs w:val="24"/>
        </w:rPr>
        <w:t xml:space="preserve"> the state of mind of the parties </w:t>
      </w:r>
      <w:r w:rsidR="00281E8E">
        <w:rPr>
          <w:rFonts w:ascii="Arial" w:hAnsi="Arial" w:cs="Arial"/>
          <w:sz w:val="24"/>
          <w:szCs w:val="24"/>
        </w:rPr>
        <w:t>(</w:t>
      </w:r>
      <w:r w:rsidR="00E76D4C" w:rsidRPr="0093544F">
        <w:rPr>
          <w:rFonts w:ascii="Arial" w:hAnsi="Arial" w:cs="Arial"/>
          <w:sz w:val="24"/>
          <w:szCs w:val="24"/>
        </w:rPr>
        <w:t>i.e. whether they were aware of the illegality</w:t>
      </w:r>
      <w:r w:rsidR="00281E8E">
        <w:rPr>
          <w:rFonts w:ascii="Arial" w:hAnsi="Arial" w:cs="Arial"/>
          <w:sz w:val="24"/>
          <w:szCs w:val="24"/>
        </w:rPr>
        <w:t>)</w:t>
      </w:r>
      <w:r w:rsidR="00E76D4C" w:rsidRPr="0093544F">
        <w:rPr>
          <w:rFonts w:ascii="Arial" w:hAnsi="Arial" w:cs="Arial"/>
          <w:sz w:val="24"/>
          <w:szCs w:val="24"/>
        </w:rPr>
        <w:t>, and the extent to which performance under the agreement has taken place.</w:t>
      </w:r>
      <w:r w:rsidR="0093544F">
        <w:rPr>
          <w:rFonts w:ascii="Arial" w:hAnsi="Arial" w:cs="Arial"/>
          <w:sz w:val="24"/>
          <w:szCs w:val="24"/>
        </w:rPr>
        <w:t xml:space="preserve"> W</w:t>
      </w:r>
      <w:r w:rsidR="0093544F" w:rsidRPr="0093544F">
        <w:rPr>
          <w:rFonts w:ascii="Arial" w:hAnsi="Arial" w:cs="Arial"/>
          <w:sz w:val="24"/>
          <w:szCs w:val="24"/>
        </w:rPr>
        <w:t xml:space="preserve">here both parties have fully or substantively performed in terms of an illegal agreement the </w:t>
      </w:r>
      <w:r w:rsidR="0093544F">
        <w:rPr>
          <w:rFonts w:ascii="Arial" w:hAnsi="Arial" w:cs="Arial"/>
          <w:sz w:val="24"/>
          <w:szCs w:val="24"/>
        </w:rPr>
        <w:t>c</w:t>
      </w:r>
      <w:r w:rsidR="0093544F" w:rsidRPr="0093544F">
        <w:rPr>
          <w:rFonts w:ascii="Arial" w:hAnsi="Arial" w:cs="Arial"/>
          <w:sz w:val="24"/>
          <w:szCs w:val="24"/>
        </w:rPr>
        <w:t xml:space="preserve">ourt will be more reluctant to relax the </w:t>
      </w:r>
      <w:r w:rsidR="0093544F" w:rsidRPr="0093544F">
        <w:rPr>
          <w:rFonts w:ascii="Arial" w:hAnsi="Arial" w:cs="Arial"/>
          <w:i/>
          <w:iCs/>
          <w:sz w:val="24"/>
          <w:szCs w:val="24"/>
        </w:rPr>
        <w:t>par delictum</w:t>
      </w:r>
      <w:r w:rsidR="0093544F" w:rsidRPr="0093544F">
        <w:rPr>
          <w:rFonts w:ascii="Arial" w:hAnsi="Arial" w:cs="Arial"/>
          <w:sz w:val="24"/>
          <w:szCs w:val="24"/>
        </w:rPr>
        <w:t xml:space="preserve"> rule.</w:t>
      </w:r>
      <w:r w:rsidR="0093544F">
        <w:rPr>
          <w:rStyle w:val="FootnoteReference"/>
          <w:rFonts w:ascii="Arial" w:hAnsi="Arial" w:cs="Arial"/>
          <w:sz w:val="24"/>
          <w:szCs w:val="24"/>
        </w:rPr>
        <w:footnoteReference w:id="14"/>
      </w:r>
      <w:r w:rsidR="0093544F">
        <w:rPr>
          <w:rFonts w:ascii="Arial" w:hAnsi="Arial" w:cs="Arial"/>
          <w:sz w:val="24"/>
          <w:szCs w:val="24"/>
        </w:rPr>
        <w:t xml:space="preserve"> Conversely, where there has only been partial performance the need to award restitution may be more acute, </w:t>
      </w:r>
      <w:r w:rsidR="00EB7022">
        <w:rPr>
          <w:rFonts w:ascii="Arial" w:hAnsi="Arial" w:cs="Arial"/>
          <w:sz w:val="24"/>
          <w:szCs w:val="24"/>
        </w:rPr>
        <w:t>to</w:t>
      </w:r>
      <w:r w:rsidR="0093544F">
        <w:rPr>
          <w:rFonts w:ascii="Arial" w:hAnsi="Arial" w:cs="Arial"/>
          <w:sz w:val="24"/>
          <w:szCs w:val="24"/>
        </w:rPr>
        <w:t xml:space="preserve"> prevent the defendant from receiving an ‘unwarranted windfall’.</w:t>
      </w:r>
      <w:r w:rsidR="0093544F">
        <w:rPr>
          <w:rStyle w:val="FootnoteReference"/>
          <w:rFonts w:ascii="Arial" w:hAnsi="Arial" w:cs="Arial"/>
          <w:sz w:val="24"/>
          <w:szCs w:val="24"/>
        </w:rPr>
        <w:footnoteReference w:id="15"/>
      </w:r>
    </w:p>
    <w:p w14:paraId="4AEEE3B2" w14:textId="07A7BC54" w:rsidR="00A66D96"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37.</w:t>
      </w:r>
      <w:r>
        <w:rPr>
          <w:rFonts w:ascii="Arial" w:hAnsi="Arial" w:cs="Arial"/>
          <w:sz w:val="24"/>
          <w:szCs w:val="24"/>
        </w:rPr>
        <w:tab/>
      </w:r>
      <w:r w:rsidR="0031136F" w:rsidRPr="00A66D96">
        <w:rPr>
          <w:rFonts w:ascii="Arial" w:hAnsi="Arial" w:cs="Arial"/>
          <w:sz w:val="24"/>
          <w:szCs w:val="24"/>
        </w:rPr>
        <w:t xml:space="preserve">Before proceeding it is necessary to emphasize </w:t>
      </w:r>
      <w:r w:rsidR="00607CFA" w:rsidRPr="00A66D96">
        <w:rPr>
          <w:rFonts w:ascii="Arial" w:hAnsi="Arial" w:cs="Arial"/>
          <w:sz w:val="24"/>
          <w:szCs w:val="24"/>
        </w:rPr>
        <w:t>two</w:t>
      </w:r>
      <w:r w:rsidR="0031136F" w:rsidRPr="00A66D96">
        <w:rPr>
          <w:rFonts w:ascii="Arial" w:hAnsi="Arial" w:cs="Arial"/>
          <w:sz w:val="24"/>
          <w:szCs w:val="24"/>
        </w:rPr>
        <w:t xml:space="preserve"> aspects which flow from the preceding discussion. In the </w:t>
      </w:r>
      <w:r w:rsidR="00531603" w:rsidRPr="00A66D96">
        <w:rPr>
          <w:rFonts w:ascii="Arial" w:hAnsi="Arial" w:cs="Arial"/>
          <w:sz w:val="24"/>
          <w:szCs w:val="24"/>
        </w:rPr>
        <w:t xml:space="preserve">first </w:t>
      </w:r>
      <w:r w:rsidR="0031136F" w:rsidRPr="00A66D96">
        <w:rPr>
          <w:rFonts w:ascii="Arial" w:hAnsi="Arial" w:cs="Arial"/>
          <w:sz w:val="24"/>
          <w:szCs w:val="24"/>
        </w:rPr>
        <w:t xml:space="preserve">place, a court can only exercise an equitable discretion in enrichment </w:t>
      </w:r>
      <w:r w:rsidR="00CF28DE">
        <w:rPr>
          <w:rFonts w:ascii="Arial" w:hAnsi="Arial" w:cs="Arial"/>
          <w:sz w:val="24"/>
          <w:szCs w:val="24"/>
        </w:rPr>
        <w:t xml:space="preserve">(and not contractual) </w:t>
      </w:r>
      <w:r w:rsidR="0031136F" w:rsidRPr="00A66D96">
        <w:rPr>
          <w:rFonts w:ascii="Arial" w:hAnsi="Arial" w:cs="Arial"/>
          <w:sz w:val="24"/>
          <w:szCs w:val="24"/>
        </w:rPr>
        <w:t>actions</w:t>
      </w:r>
      <w:r w:rsidR="00CF28DE">
        <w:rPr>
          <w:rFonts w:ascii="Arial" w:hAnsi="Arial" w:cs="Arial"/>
          <w:sz w:val="24"/>
          <w:szCs w:val="24"/>
        </w:rPr>
        <w:t>,</w:t>
      </w:r>
      <w:r w:rsidR="0031136F" w:rsidRPr="00A66D96">
        <w:rPr>
          <w:rFonts w:ascii="Arial" w:hAnsi="Arial" w:cs="Arial"/>
          <w:sz w:val="24"/>
          <w:szCs w:val="24"/>
        </w:rPr>
        <w:t xml:space="preserve"> where there is an acknowledged illegality which rendered an agreement between the parties unlawful and void.</w:t>
      </w:r>
      <w:r w:rsidR="00A66D96">
        <w:rPr>
          <w:rFonts w:ascii="Arial" w:hAnsi="Arial" w:cs="Arial"/>
          <w:sz w:val="24"/>
          <w:szCs w:val="24"/>
        </w:rPr>
        <w:t xml:space="preserve"> </w:t>
      </w:r>
      <w:r w:rsidR="004B3279">
        <w:rPr>
          <w:rFonts w:ascii="Arial" w:hAnsi="Arial" w:cs="Arial"/>
          <w:sz w:val="24"/>
          <w:szCs w:val="24"/>
        </w:rPr>
        <w:t>Thus, w</w:t>
      </w:r>
      <w:r w:rsidR="0031136F" w:rsidRPr="00A66D96">
        <w:rPr>
          <w:rFonts w:ascii="Arial" w:hAnsi="Arial" w:cs="Arial"/>
          <w:sz w:val="24"/>
          <w:szCs w:val="24"/>
        </w:rPr>
        <w:t xml:space="preserve">here an agreement is not illegal or unlawful it will </w:t>
      </w:r>
      <w:r w:rsidR="0031136F" w:rsidRPr="00A66D96">
        <w:rPr>
          <w:rFonts w:ascii="Arial" w:hAnsi="Arial" w:cs="Arial"/>
          <w:sz w:val="24"/>
          <w:szCs w:val="24"/>
        </w:rPr>
        <w:lastRenderedPageBreak/>
        <w:t xml:space="preserve">axiomatically be valid and no enrichment claim can arise from or because of it, as its validity </w:t>
      </w:r>
      <w:r w:rsidR="004B3279">
        <w:rPr>
          <w:rFonts w:ascii="Arial" w:hAnsi="Arial" w:cs="Arial"/>
          <w:sz w:val="24"/>
          <w:szCs w:val="24"/>
        </w:rPr>
        <w:t>may</w:t>
      </w:r>
      <w:r w:rsidR="0031136F" w:rsidRPr="00A66D96">
        <w:rPr>
          <w:rFonts w:ascii="Arial" w:hAnsi="Arial" w:cs="Arial"/>
          <w:sz w:val="24"/>
          <w:szCs w:val="24"/>
        </w:rPr>
        <w:t xml:space="preserve"> provide the defendant with </w:t>
      </w:r>
      <w:r w:rsidR="00607CFA" w:rsidRPr="00A66D96">
        <w:rPr>
          <w:rFonts w:ascii="Arial" w:hAnsi="Arial" w:cs="Arial"/>
          <w:sz w:val="24"/>
          <w:szCs w:val="24"/>
        </w:rPr>
        <w:t>a</w:t>
      </w:r>
      <w:r w:rsidR="0031136F" w:rsidRPr="00A66D96">
        <w:rPr>
          <w:rFonts w:ascii="Arial" w:hAnsi="Arial" w:cs="Arial"/>
          <w:sz w:val="24"/>
          <w:szCs w:val="24"/>
        </w:rPr>
        <w:t xml:space="preserve"> basis for retaining</w:t>
      </w:r>
      <w:r w:rsidR="00531603" w:rsidRPr="00A66D96">
        <w:rPr>
          <w:rFonts w:ascii="Arial" w:hAnsi="Arial" w:cs="Arial"/>
          <w:sz w:val="24"/>
          <w:szCs w:val="24"/>
        </w:rPr>
        <w:t xml:space="preserve"> any performance which was made by the plaintiff</w:t>
      </w:r>
      <w:r w:rsidR="004B3279">
        <w:rPr>
          <w:rFonts w:ascii="Arial" w:hAnsi="Arial" w:cs="Arial"/>
          <w:sz w:val="24"/>
          <w:szCs w:val="24"/>
        </w:rPr>
        <w:t xml:space="preserve">, at least in the context of any alleged impoverishment of the plaintiff. </w:t>
      </w:r>
      <w:r w:rsidR="000E5DE7" w:rsidRPr="00A66D96">
        <w:rPr>
          <w:rFonts w:ascii="Arial" w:hAnsi="Arial" w:cs="Arial"/>
          <w:sz w:val="24"/>
          <w:szCs w:val="24"/>
        </w:rPr>
        <w:t xml:space="preserve"> </w:t>
      </w:r>
    </w:p>
    <w:p w14:paraId="47BEF864" w14:textId="2C139E2C" w:rsidR="000E5DE7" w:rsidRPr="00A66D96" w:rsidRDefault="00601627" w:rsidP="00601627">
      <w:pPr>
        <w:adjustRightInd w:val="0"/>
        <w:spacing w:after="0" w:line="360" w:lineRule="auto"/>
        <w:ind w:left="720" w:hanging="720"/>
        <w:contextualSpacing/>
        <w:jc w:val="both"/>
        <w:textAlignment w:val="baseline"/>
        <w:rPr>
          <w:rFonts w:ascii="Arial" w:hAnsi="Arial" w:cs="Arial"/>
          <w:sz w:val="24"/>
          <w:szCs w:val="24"/>
        </w:rPr>
      </w:pPr>
      <w:r w:rsidRPr="00A66D96">
        <w:rPr>
          <w:rFonts w:ascii="Arial" w:hAnsi="Arial" w:cs="Arial"/>
          <w:sz w:val="24"/>
          <w:szCs w:val="24"/>
        </w:rPr>
        <w:t>38.</w:t>
      </w:r>
      <w:r w:rsidRPr="00A66D96">
        <w:rPr>
          <w:rFonts w:ascii="Arial" w:hAnsi="Arial" w:cs="Arial"/>
          <w:sz w:val="24"/>
          <w:szCs w:val="24"/>
        </w:rPr>
        <w:tab/>
      </w:r>
      <w:r w:rsidR="00A66D96" w:rsidRPr="00A66D96">
        <w:rPr>
          <w:rFonts w:ascii="Arial" w:hAnsi="Arial" w:cs="Arial"/>
          <w:sz w:val="24"/>
          <w:szCs w:val="24"/>
        </w:rPr>
        <w:t xml:space="preserve">In the second place, and </w:t>
      </w:r>
      <w:r w:rsidR="000E5DE7" w:rsidRPr="00A66D96">
        <w:rPr>
          <w:rFonts w:ascii="Arial" w:hAnsi="Arial" w:cs="Arial"/>
          <w:sz w:val="24"/>
          <w:szCs w:val="24"/>
        </w:rPr>
        <w:t xml:space="preserve">somewhat anomalously, although </w:t>
      </w:r>
      <w:r w:rsidR="00A66D96" w:rsidRPr="00A66D96">
        <w:rPr>
          <w:rFonts w:ascii="Arial" w:hAnsi="Arial" w:cs="Arial"/>
          <w:sz w:val="24"/>
          <w:szCs w:val="24"/>
        </w:rPr>
        <w:t>an agreement</w:t>
      </w:r>
      <w:r w:rsidR="000E5DE7" w:rsidRPr="00A66D96">
        <w:rPr>
          <w:rFonts w:ascii="Arial" w:hAnsi="Arial" w:cs="Arial"/>
          <w:sz w:val="24"/>
          <w:szCs w:val="24"/>
        </w:rPr>
        <w:t xml:space="preserve"> may be valid it may nonetheless be unenforceable.</w:t>
      </w:r>
      <w:r w:rsidR="00A66D96">
        <w:rPr>
          <w:rFonts w:ascii="Arial" w:hAnsi="Arial" w:cs="Arial"/>
          <w:sz w:val="24"/>
          <w:szCs w:val="24"/>
        </w:rPr>
        <w:t xml:space="preserve"> </w:t>
      </w:r>
      <w:r w:rsidR="000E5DE7" w:rsidRPr="00A66D96">
        <w:rPr>
          <w:rFonts w:ascii="Arial" w:hAnsi="Arial" w:cs="Arial"/>
          <w:sz w:val="24"/>
          <w:szCs w:val="24"/>
        </w:rPr>
        <w:t xml:space="preserve">The most well-known example of such agreements are wagers or betting/gambling agreements, which, since the decision in </w:t>
      </w:r>
      <w:r w:rsidR="000E5DE7" w:rsidRPr="00A66D96">
        <w:rPr>
          <w:rFonts w:ascii="Arial" w:hAnsi="Arial" w:cs="Arial"/>
          <w:i/>
          <w:iCs/>
          <w:sz w:val="24"/>
          <w:szCs w:val="24"/>
        </w:rPr>
        <w:t>Gibson</w:t>
      </w:r>
      <w:r w:rsidR="000E5DE7" w:rsidRPr="00A66D96">
        <w:rPr>
          <w:rStyle w:val="FootnoteReference"/>
          <w:rFonts w:ascii="Arial" w:hAnsi="Arial" w:cs="Arial"/>
          <w:sz w:val="24"/>
          <w:szCs w:val="24"/>
        </w:rPr>
        <w:footnoteReference w:id="16"/>
      </w:r>
      <w:r w:rsidR="000E5DE7" w:rsidRPr="00A66D96">
        <w:rPr>
          <w:rFonts w:ascii="Arial" w:hAnsi="Arial" w:cs="Arial"/>
          <w:sz w:val="24"/>
          <w:szCs w:val="24"/>
        </w:rPr>
        <w:t xml:space="preserve"> in 1952 have consistently been held to be unenforceable because of public policy</w:t>
      </w:r>
      <w:r w:rsidR="00607CFA" w:rsidRPr="00A66D96">
        <w:rPr>
          <w:rFonts w:ascii="Arial" w:hAnsi="Arial" w:cs="Arial"/>
          <w:sz w:val="24"/>
          <w:szCs w:val="24"/>
        </w:rPr>
        <w:t>, but not illegal</w:t>
      </w:r>
      <w:r w:rsidR="000E5DE7" w:rsidRPr="00A66D96">
        <w:rPr>
          <w:rFonts w:ascii="Arial" w:hAnsi="Arial" w:cs="Arial"/>
          <w:sz w:val="24"/>
          <w:szCs w:val="24"/>
        </w:rPr>
        <w:t xml:space="preserve">. </w:t>
      </w:r>
      <w:r w:rsidR="00034EBA">
        <w:rPr>
          <w:rFonts w:ascii="Arial" w:hAnsi="Arial" w:cs="Arial"/>
          <w:sz w:val="24"/>
          <w:szCs w:val="24"/>
        </w:rPr>
        <w:t xml:space="preserve">Because of this </w:t>
      </w:r>
      <w:r w:rsidR="000E5DE7" w:rsidRPr="00A66D96">
        <w:rPr>
          <w:rFonts w:ascii="Arial" w:hAnsi="Arial" w:cs="Arial"/>
          <w:sz w:val="24"/>
          <w:szCs w:val="24"/>
        </w:rPr>
        <w:t>they can be executed and performed</w:t>
      </w:r>
      <w:r w:rsidR="00607CFA" w:rsidRPr="00A66D96">
        <w:rPr>
          <w:rFonts w:ascii="Arial" w:hAnsi="Arial" w:cs="Arial"/>
          <w:sz w:val="24"/>
          <w:szCs w:val="24"/>
        </w:rPr>
        <w:t xml:space="preserve"> </w:t>
      </w:r>
      <w:r w:rsidR="00034EBA" w:rsidRPr="00A66D96">
        <w:rPr>
          <w:rFonts w:ascii="Arial" w:hAnsi="Arial" w:cs="Arial"/>
          <w:sz w:val="24"/>
          <w:szCs w:val="24"/>
        </w:rPr>
        <w:t>voluntarily,</w:t>
      </w:r>
      <w:r w:rsidR="00B16BC6">
        <w:rPr>
          <w:rFonts w:ascii="Arial" w:hAnsi="Arial" w:cs="Arial"/>
          <w:sz w:val="24"/>
          <w:szCs w:val="24"/>
        </w:rPr>
        <w:t xml:space="preserve"> and</w:t>
      </w:r>
      <w:r w:rsidR="00CF28DE">
        <w:rPr>
          <w:rFonts w:ascii="Arial" w:hAnsi="Arial" w:cs="Arial"/>
          <w:sz w:val="24"/>
          <w:szCs w:val="24"/>
        </w:rPr>
        <w:t xml:space="preserve"> </w:t>
      </w:r>
      <w:r w:rsidR="000E5DE7" w:rsidRPr="00A66D96">
        <w:rPr>
          <w:rFonts w:ascii="Arial" w:hAnsi="Arial" w:cs="Arial"/>
          <w:sz w:val="24"/>
          <w:szCs w:val="24"/>
        </w:rPr>
        <w:t xml:space="preserve">they can be </w:t>
      </w:r>
      <w:r w:rsidR="00EB7022">
        <w:rPr>
          <w:rFonts w:ascii="Arial" w:hAnsi="Arial" w:cs="Arial"/>
          <w:sz w:val="24"/>
          <w:szCs w:val="24"/>
        </w:rPr>
        <w:t>settled</w:t>
      </w:r>
      <w:r w:rsidR="00B16BC6">
        <w:rPr>
          <w:rFonts w:ascii="Arial" w:hAnsi="Arial" w:cs="Arial"/>
          <w:sz w:val="24"/>
          <w:szCs w:val="24"/>
        </w:rPr>
        <w:t xml:space="preserve"> </w:t>
      </w:r>
      <w:r w:rsidR="00034EBA">
        <w:rPr>
          <w:rFonts w:ascii="Arial" w:hAnsi="Arial" w:cs="Arial"/>
          <w:sz w:val="24"/>
          <w:szCs w:val="24"/>
        </w:rPr>
        <w:t>or</w:t>
      </w:r>
      <w:r w:rsidR="000E5DE7" w:rsidRPr="00A66D96">
        <w:rPr>
          <w:rFonts w:ascii="Arial" w:hAnsi="Arial" w:cs="Arial"/>
          <w:sz w:val="24"/>
          <w:szCs w:val="24"/>
        </w:rPr>
        <w:t xml:space="preserve"> set off against other obligations.</w:t>
      </w:r>
      <w:r w:rsidR="000E5DE7">
        <w:rPr>
          <w:rStyle w:val="FootnoteReference"/>
          <w:rFonts w:ascii="Arial" w:hAnsi="Arial" w:cs="Arial"/>
          <w:sz w:val="24"/>
          <w:szCs w:val="24"/>
        </w:rPr>
        <w:footnoteReference w:id="17"/>
      </w:r>
      <w:r w:rsidR="000E5DE7" w:rsidRPr="00A66D96">
        <w:rPr>
          <w:rFonts w:ascii="Arial" w:hAnsi="Arial" w:cs="Arial"/>
          <w:sz w:val="24"/>
          <w:szCs w:val="24"/>
        </w:rPr>
        <w:t xml:space="preserve"> For the same reason</w:t>
      </w:r>
      <w:r w:rsidR="00607CFA" w:rsidRPr="00A66D96">
        <w:rPr>
          <w:rFonts w:ascii="Arial" w:hAnsi="Arial" w:cs="Arial"/>
          <w:sz w:val="24"/>
          <w:szCs w:val="24"/>
        </w:rPr>
        <w:t>,</w:t>
      </w:r>
      <w:r w:rsidR="000E5DE7" w:rsidRPr="00A66D96">
        <w:rPr>
          <w:rFonts w:ascii="Arial" w:hAnsi="Arial" w:cs="Arial"/>
          <w:sz w:val="24"/>
          <w:szCs w:val="24"/>
        </w:rPr>
        <w:t xml:space="preserve"> collateral or ancillary agreements flowing from them will be capable of being enforced as long as they do not serve as a means </w:t>
      </w:r>
      <w:r w:rsidR="004B3279">
        <w:rPr>
          <w:rFonts w:ascii="Arial" w:hAnsi="Arial" w:cs="Arial"/>
          <w:sz w:val="24"/>
          <w:szCs w:val="24"/>
        </w:rPr>
        <w:t>of</w:t>
      </w:r>
      <w:r w:rsidR="000E5DE7" w:rsidRPr="00A66D96">
        <w:rPr>
          <w:rFonts w:ascii="Arial" w:hAnsi="Arial" w:cs="Arial"/>
          <w:sz w:val="24"/>
          <w:szCs w:val="24"/>
        </w:rPr>
        <w:t xml:space="preserve"> enforc</w:t>
      </w:r>
      <w:r w:rsidR="004B3279">
        <w:rPr>
          <w:rFonts w:ascii="Arial" w:hAnsi="Arial" w:cs="Arial"/>
          <w:sz w:val="24"/>
          <w:szCs w:val="24"/>
        </w:rPr>
        <w:t>ing</w:t>
      </w:r>
      <w:r w:rsidR="000E5DE7" w:rsidRPr="00A66D96">
        <w:rPr>
          <w:rFonts w:ascii="Arial" w:hAnsi="Arial" w:cs="Arial"/>
          <w:sz w:val="24"/>
          <w:szCs w:val="24"/>
        </w:rPr>
        <w:t xml:space="preserve"> the underlying </w:t>
      </w:r>
      <w:r w:rsidR="00C0664F">
        <w:rPr>
          <w:rFonts w:ascii="Arial" w:hAnsi="Arial" w:cs="Arial"/>
          <w:sz w:val="24"/>
          <w:szCs w:val="24"/>
        </w:rPr>
        <w:t xml:space="preserve">gambling </w:t>
      </w:r>
      <w:r w:rsidR="000E5DE7" w:rsidRPr="00A66D96">
        <w:rPr>
          <w:rFonts w:ascii="Arial" w:hAnsi="Arial" w:cs="Arial"/>
          <w:sz w:val="24"/>
          <w:szCs w:val="24"/>
        </w:rPr>
        <w:t>debt itself.</w:t>
      </w:r>
      <w:r w:rsidR="000E5DE7">
        <w:rPr>
          <w:rStyle w:val="FootnoteReference"/>
          <w:rFonts w:ascii="Arial" w:hAnsi="Arial" w:cs="Arial"/>
          <w:sz w:val="24"/>
          <w:szCs w:val="24"/>
        </w:rPr>
        <w:footnoteReference w:id="18"/>
      </w:r>
    </w:p>
    <w:p w14:paraId="3463196C" w14:textId="50677580" w:rsidR="00607CFA"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39.</w:t>
      </w:r>
      <w:r>
        <w:rPr>
          <w:rFonts w:ascii="Arial" w:hAnsi="Arial" w:cs="Arial"/>
          <w:sz w:val="24"/>
          <w:szCs w:val="24"/>
        </w:rPr>
        <w:tab/>
      </w:r>
      <w:r w:rsidR="002B7B78">
        <w:rPr>
          <w:rFonts w:ascii="Arial" w:hAnsi="Arial" w:cs="Arial"/>
          <w:sz w:val="24"/>
          <w:szCs w:val="24"/>
        </w:rPr>
        <w:t>D</w:t>
      </w:r>
      <w:r w:rsidR="00607CFA">
        <w:rPr>
          <w:rFonts w:ascii="Arial" w:hAnsi="Arial" w:cs="Arial"/>
          <w:sz w:val="24"/>
          <w:szCs w:val="24"/>
        </w:rPr>
        <w:t>etermining whether statutory provisions which do not expressly declare a contract</w:t>
      </w:r>
      <w:r w:rsidR="00D05573">
        <w:rPr>
          <w:rFonts w:ascii="Arial" w:hAnsi="Arial" w:cs="Arial"/>
          <w:sz w:val="24"/>
          <w:szCs w:val="24"/>
        </w:rPr>
        <w:t xml:space="preserve"> or</w:t>
      </w:r>
      <w:r w:rsidR="00607CFA">
        <w:rPr>
          <w:rFonts w:ascii="Arial" w:hAnsi="Arial" w:cs="Arial"/>
          <w:sz w:val="24"/>
          <w:szCs w:val="24"/>
        </w:rPr>
        <w:t xml:space="preserve"> agreement to be unlawful or illegal nonetheless </w:t>
      </w:r>
      <w:r w:rsidR="00A66D96">
        <w:rPr>
          <w:rFonts w:ascii="Arial" w:hAnsi="Arial" w:cs="Arial"/>
          <w:sz w:val="24"/>
          <w:szCs w:val="24"/>
        </w:rPr>
        <w:t>do so</w:t>
      </w:r>
      <w:r w:rsidR="00607CFA">
        <w:rPr>
          <w:rFonts w:ascii="Arial" w:hAnsi="Arial" w:cs="Arial"/>
          <w:sz w:val="24"/>
          <w:szCs w:val="24"/>
        </w:rPr>
        <w:t xml:space="preserve"> </w:t>
      </w:r>
      <w:r w:rsidR="006D5688">
        <w:rPr>
          <w:rFonts w:ascii="Arial" w:hAnsi="Arial" w:cs="Arial"/>
          <w:sz w:val="24"/>
          <w:szCs w:val="24"/>
        </w:rPr>
        <w:t>impliedly, thereby</w:t>
      </w:r>
      <w:r w:rsidR="00A66D96">
        <w:rPr>
          <w:rFonts w:ascii="Arial" w:hAnsi="Arial" w:cs="Arial"/>
          <w:sz w:val="24"/>
          <w:szCs w:val="24"/>
        </w:rPr>
        <w:t xml:space="preserve"> </w:t>
      </w:r>
      <w:r w:rsidR="00607CFA">
        <w:rPr>
          <w:rFonts w:ascii="Arial" w:hAnsi="Arial" w:cs="Arial"/>
          <w:sz w:val="24"/>
          <w:szCs w:val="24"/>
        </w:rPr>
        <w:t xml:space="preserve">rendering </w:t>
      </w:r>
      <w:r w:rsidR="00AE17BB">
        <w:rPr>
          <w:rFonts w:ascii="Arial" w:hAnsi="Arial" w:cs="Arial"/>
          <w:sz w:val="24"/>
          <w:szCs w:val="24"/>
        </w:rPr>
        <w:t>it</w:t>
      </w:r>
      <w:r w:rsidR="00607CFA">
        <w:rPr>
          <w:rFonts w:ascii="Arial" w:hAnsi="Arial" w:cs="Arial"/>
          <w:sz w:val="24"/>
          <w:szCs w:val="24"/>
        </w:rPr>
        <w:t xml:space="preserve"> null and void, or whether they merely render </w:t>
      </w:r>
      <w:r w:rsidR="006D5688">
        <w:rPr>
          <w:rFonts w:ascii="Arial" w:hAnsi="Arial" w:cs="Arial"/>
          <w:sz w:val="24"/>
          <w:szCs w:val="24"/>
        </w:rPr>
        <w:t>it</w:t>
      </w:r>
      <w:r w:rsidR="00607CFA">
        <w:rPr>
          <w:rFonts w:ascii="Arial" w:hAnsi="Arial" w:cs="Arial"/>
          <w:sz w:val="24"/>
          <w:szCs w:val="24"/>
        </w:rPr>
        <w:t xml:space="preserve"> unenforceable, </w:t>
      </w:r>
      <w:r w:rsidR="00A66D96">
        <w:rPr>
          <w:rFonts w:ascii="Arial" w:hAnsi="Arial" w:cs="Arial"/>
          <w:sz w:val="24"/>
          <w:szCs w:val="24"/>
        </w:rPr>
        <w:t>i</w:t>
      </w:r>
      <w:r w:rsidR="00607CFA">
        <w:rPr>
          <w:rFonts w:ascii="Arial" w:hAnsi="Arial" w:cs="Arial"/>
          <w:sz w:val="24"/>
          <w:szCs w:val="24"/>
        </w:rPr>
        <w:t>s a matter of interpretation which may give rise to difficulties.</w:t>
      </w:r>
    </w:p>
    <w:p w14:paraId="7744758E" w14:textId="0B081703" w:rsidR="00307C9E"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40.</w:t>
      </w:r>
      <w:r>
        <w:rPr>
          <w:rFonts w:ascii="Arial" w:hAnsi="Arial" w:cs="Arial"/>
          <w:sz w:val="24"/>
          <w:szCs w:val="24"/>
        </w:rPr>
        <w:tab/>
      </w:r>
      <w:r w:rsidR="00607CFA">
        <w:rPr>
          <w:rFonts w:ascii="Arial" w:hAnsi="Arial" w:cs="Arial"/>
          <w:sz w:val="24"/>
          <w:szCs w:val="24"/>
        </w:rPr>
        <w:t xml:space="preserve">In </w:t>
      </w:r>
      <w:r w:rsidR="00A66D96" w:rsidRPr="00A66D96">
        <w:rPr>
          <w:rFonts w:ascii="Arial" w:hAnsi="Arial" w:cs="Arial"/>
          <w:i/>
          <w:iCs/>
          <w:sz w:val="24"/>
          <w:szCs w:val="24"/>
        </w:rPr>
        <w:t>C</w:t>
      </w:r>
      <w:r w:rsidR="00607CFA" w:rsidRPr="00A66D96">
        <w:rPr>
          <w:rFonts w:ascii="Arial" w:hAnsi="Arial" w:cs="Arial"/>
          <w:i/>
          <w:iCs/>
          <w:sz w:val="24"/>
          <w:szCs w:val="24"/>
        </w:rPr>
        <w:t xml:space="preserve">ool </w:t>
      </w:r>
      <w:r w:rsidR="00A66D96" w:rsidRPr="00A66D96">
        <w:rPr>
          <w:rFonts w:ascii="Arial" w:hAnsi="Arial" w:cs="Arial"/>
          <w:i/>
          <w:iCs/>
          <w:sz w:val="24"/>
          <w:szCs w:val="24"/>
        </w:rPr>
        <w:t>I</w:t>
      </w:r>
      <w:r w:rsidR="00607CFA" w:rsidRPr="00A66D96">
        <w:rPr>
          <w:rFonts w:ascii="Arial" w:hAnsi="Arial" w:cs="Arial"/>
          <w:i/>
          <w:iCs/>
          <w:sz w:val="24"/>
          <w:szCs w:val="24"/>
        </w:rPr>
        <w:t>deas</w:t>
      </w:r>
      <w:r w:rsidR="00A66D96">
        <w:rPr>
          <w:rStyle w:val="FootnoteReference"/>
          <w:rFonts w:ascii="Arial" w:hAnsi="Arial" w:cs="Arial"/>
          <w:sz w:val="24"/>
          <w:szCs w:val="24"/>
        </w:rPr>
        <w:footnoteReference w:id="19"/>
      </w:r>
      <w:r w:rsidR="006D5688">
        <w:rPr>
          <w:rFonts w:ascii="Arial" w:hAnsi="Arial" w:cs="Arial"/>
          <w:sz w:val="24"/>
          <w:szCs w:val="24"/>
        </w:rPr>
        <w:t xml:space="preserve"> </w:t>
      </w:r>
      <w:r w:rsidR="00607CFA">
        <w:rPr>
          <w:rFonts w:ascii="Arial" w:hAnsi="Arial" w:cs="Arial"/>
          <w:sz w:val="24"/>
          <w:szCs w:val="24"/>
        </w:rPr>
        <w:t>certain provisions</w:t>
      </w:r>
      <w:r w:rsidR="00AE17BB">
        <w:rPr>
          <w:rStyle w:val="FootnoteReference"/>
          <w:rFonts w:ascii="Arial" w:hAnsi="Arial" w:cs="Arial"/>
          <w:sz w:val="24"/>
          <w:szCs w:val="24"/>
        </w:rPr>
        <w:footnoteReference w:id="20"/>
      </w:r>
      <w:r w:rsidR="00607CFA">
        <w:rPr>
          <w:rFonts w:ascii="Arial" w:hAnsi="Arial" w:cs="Arial"/>
          <w:sz w:val="24"/>
          <w:szCs w:val="24"/>
        </w:rPr>
        <w:t xml:space="preserve"> of the </w:t>
      </w:r>
      <w:r w:rsidR="006D5688">
        <w:rPr>
          <w:rFonts w:ascii="Arial" w:hAnsi="Arial" w:cs="Arial"/>
          <w:sz w:val="24"/>
          <w:szCs w:val="24"/>
        </w:rPr>
        <w:t>H</w:t>
      </w:r>
      <w:r w:rsidR="00607CFA">
        <w:rPr>
          <w:rFonts w:ascii="Arial" w:hAnsi="Arial" w:cs="Arial"/>
          <w:sz w:val="24"/>
          <w:szCs w:val="24"/>
        </w:rPr>
        <w:t xml:space="preserve">ousing </w:t>
      </w:r>
      <w:r w:rsidR="006D5688">
        <w:rPr>
          <w:rFonts w:ascii="Arial" w:hAnsi="Arial" w:cs="Arial"/>
          <w:sz w:val="24"/>
          <w:szCs w:val="24"/>
        </w:rPr>
        <w:t>C</w:t>
      </w:r>
      <w:r w:rsidR="00607CFA">
        <w:rPr>
          <w:rFonts w:ascii="Arial" w:hAnsi="Arial" w:cs="Arial"/>
          <w:sz w:val="24"/>
          <w:szCs w:val="24"/>
        </w:rPr>
        <w:t xml:space="preserve">onsumers </w:t>
      </w:r>
      <w:r w:rsidR="006D5688">
        <w:rPr>
          <w:rFonts w:ascii="Arial" w:hAnsi="Arial" w:cs="Arial"/>
          <w:sz w:val="24"/>
          <w:szCs w:val="24"/>
        </w:rPr>
        <w:t>P</w:t>
      </w:r>
      <w:r w:rsidR="00607CFA">
        <w:rPr>
          <w:rFonts w:ascii="Arial" w:hAnsi="Arial" w:cs="Arial"/>
          <w:sz w:val="24"/>
          <w:szCs w:val="24"/>
        </w:rPr>
        <w:t xml:space="preserve">rotection </w:t>
      </w:r>
      <w:r w:rsidR="006D5688">
        <w:rPr>
          <w:rFonts w:ascii="Arial" w:hAnsi="Arial" w:cs="Arial"/>
          <w:sz w:val="24"/>
          <w:szCs w:val="24"/>
        </w:rPr>
        <w:t>M</w:t>
      </w:r>
      <w:r w:rsidR="00607CFA">
        <w:rPr>
          <w:rFonts w:ascii="Arial" w:hAnsi="Arial" w:cs="Arial"/>
          <w:sz w:val="24"/>
          <w:szCs w:val="24"/>
        </w:rPr>
        <w:t xml:space="preserve">easures </w:t>
      </w:r>
      <w:r w:rsidR="006D5688">
        <w:rPr>
          <w:rFonts w:ascii="Arial" w:hAnsi="Arial" w:cs="Arial"/>
          <w:sz w:val="24"/>
          <w:szCs w:val="24"/>
        </w:rPr>
        <w:t>A</w:t>
      </w:r>
      <w:r w:rsidR="00607CFA">
        <w:rPr>
          <w:rFonts w:ascii="Arial" w:hAnsi="Arial" w:cs="Arial"/>
          <w:sz w:val="24"/>
          <w:szCs w:val="24"/>
        </w:rPr>
        <w:t>ct</w:t>
      </w:r>
      <w:r w:rsidR="00FB6138">
        <w:rPr>
          <w:rFonts w:ascii="Arial" w:hAnsi="Arial" w:cs="Arial"/>
          <w:sz w:val="24"/>
          <w:szCs w:val="24"/>
        </w:rPr>
        <w:t xml:space="preserve"> (the ‘HCPMA’)</w:t>
      </w:r>
      <w:r w:rsidR="00607CFA">
        <w:rPr>
          <w:rStyle w:val="FootnoteReference"/>
          <w:rFonts w:ascii="Arial" w:hAnsi="Arial" w:cs="Arial"/>
          <w:sz w:val="24"/>
          <w:szCs w:val="24"/>
        </w:rPr>
        <w:footnoteReference w:id="21"/>
      </w:r>
      <w:r w:rsidR="00607CFA">
        <w:rPr>
          <w:rFonts w:ascii="Arial" w:hAnsi="Arial" w:cs="Arial"/>
          <w:sz w:val="24"/>
          <w:szCs w:val="24"/>
        </w:rPr>
        <w:t xml:space="preserve"> </w:t>
      </w:r>
      <w:r w:rsidR="006D5688">
        <w:rPr>
          <w:rFonts w:ascii="Arial" w:hAnsi="Arial" w:cs="Arial"/>
          <w:sz w:val="24"/>
          <w:szCs w:val="24"/>
        </w:rPr>
        <w:t xml:space="preserve">which </w:t>
      </w:r>
      <w:r w:rsidR="00AE17BB">
        <w:rPr>
          <w:rFonts w:ascii="Arial" w:hAnsi="Arial" w:cs="Arial"/>
          <w:sz w:val="24"/>
          <w:szCs w:val="24"/>
        </w:rPr>
        <w:t>stipulate</w:t>
      </w:r>
      <w:r w:rsidR="00607CFA">
        <w:rPr>
          <w:rFonts w:ascii="Arial" w:hAnsi="Arial" w:cs="Arial"/>
          <w:sz w:val="24"/>
          <w:szCs w:val="24"/>
        </w:rPr>
        <w:t xml:space="preserve"> that no person shall carry on the business of a home</w:t>
      </w:r>
      <w:r w:rsidR="006D5688">
        <w:rPr>
          <w:rFonts w:ascii="Arial" w:hAnsi="Arial" w:cs="Arial"/>
          <w:sz w:val="24"/>
          <w:szCs w:val="24"/>
        </w:rPr>
        <w:t xml:space="preserve"> </w:t>
      </w:r>
      <w:r w:rsidR="00607CFA">
        <w:rPr>
          <w:rFonts w:ascii="Arial" w:hAnsi="Arial" w:cs="Arial"/>
          <w:sz w:val="24"/>
          <w:szCs w:val="24"/>
        </w:rPr>
        <w:t xml:space="preserve">builder or receive any consideration in terms of any agreement with </w:t>
      </w:r>
      <w:r w:rsidR="006D5688">
        <w:rPr>
          <w:rFonts w:ascii="Arial" w:hAnsi="Arial" w:cs="Arial"/>
          <w:sz w:val="24"/>
          <w:szCs w:val="24"/>
        </w:rPr>
        <w:t>a</w:t>
      </w:r>
      <w:r w:rsidR="00607CFA">
        <w:rPr>
          <w:rFonts w:ascii="Arial" w:hAnsi="Arial" w:cs="Arial"/>
          <w:sz w:val="24"/>
          <w:szCs w:val="24"/>
        </w:rPr>
        <w:t xml:space="preserve"> housing consumer in respect of the sale or construction of a home</w:t>
      </w:r>
      <w:r w:rsidR="006D5688">
        <w:rPr>
          <w:rFonts w:ascii="Arial" w:hAnsi="Arial" w:cs="Arial"/>
          <w:sz w:val="24"/>
          <w:szCs w:val="24"/>
        </w:rPr>
        <w:t>,</w:t>
      </w:r>
      <w:r w:rsidR="00607CFA">
        <w:rPr>
          <w:rFonts w:ascii="Arial" w:hAnsi="Arial" w:cs="Arial"/>
          <w:sz w:val="24"/>
          <w:szCs w:val="24"/>
        </w:rPr>
        <w:t xml:space="preserve"> unless they are registered as such</w:t>
      </w:r>
      <w:r w:rsidR="006D5688">
        <w:rPr>
          <w:rFonts w:ascii="Arial" w:hAnsi="Arial" w:cs="Arial"/>
          <w:sz w:val="24"/>
          <w:szCs w:val="24"/>
        </w:rPr>
        <w:t>,</w:t>
      </w:r>
      <w:r w:rsidR="00607CFA">
        <w:rPr>
          <w:rFonts w:ascii="Arial" w:hAnsi="Arial" w:cs="Arial"/>
          <w:sz w:val="24"/>
          <w:szCs w:val="24"/>
        </w:rPr>
        <w:t xml:space="preserve"> and </w:t>
      </w:r>
      <w:r w:rsidR="006D5688">
        <w:rPr>
          <w:rFonts w:ascii="Arial" w:hAnsi="Arial" w:cs="Arial"/>
          <w:sz w:val="24"/>
          <w:szCs w:val="24"/>
        </w:rPr>
        <w:t xml:space="preserve">a related provision that a </w:t>
      </w:r>
      <w:r w:rsidR="00607CFA">
        <w:rPr>
          <w:rFonts w:ascii="Arial" w:hAnsi="Arial" w:cs="Arial"/>
          <w:sz w:val="24"/>
          <w:szCs w:val="24"/>
        </w:rPr>
        <w:t xml:space="preserve">failure to comply </w:t>
      </w:r>
      <w:r w:rsidR="00307C9E">
        <w:rPr>
          <w:rFonts w:ascii="Arial" w:hAnsi="Arial" w:cs="Arial"/>
          <w:sz w:val="24"/>
          <w:szCs w:val="24"/>
        </w:rPr>
        <w:t>the</w:t>
      </w:r>
      <w:r w:rsidR="00EB7022">
        <w:rPr>
          <w:rFonts w:ascii="Arial" w:hAnsi="Arial" w:cs="Arial"/>
          <w:sz w:val="24"/>
          <w:szCs w:val="24"/>
        </w:rPr>
        <w:t>rewith</w:t>
      </w:r>
      <w:r w:rsidR="00307C9E">
        <w:rPr>
          <w:rFonts w:ascii="Arial" w:hAnsi="Arial" w:cs="Arial"/>
          <w:sz w:val="24"/>
          <w:szCs w:val="24"/>
        </w:rPr>
        <w:t xml:space="preserve"> constitutes</w:t>
      </w:r>
      <w:r w:rsidR="00607CFA">
        <w:rPr>
          <w:rFonts w:ascii="Arial" w:hAnsi="Arial" w:cs="Arial"/>
          <w:sz w:val="24"/>
          <w:szCs w:val="24"/>
        </w:rPr>
        <w:t xml:space="preserve"> an offence</w:t>
      </w:r>
      <w:r w:rsidR="005D16DA">
        <w:rPr>
          <w:rFonts w:ascii="Arial" w:hAnsi="Arial" w:cs="Arial"/>
          <w:sz w:val="24"/>
          <w:szCs w:val="24"/>
        </w:rPr>
        <w:t>,</w:t>
      </w:r>
      <w:r w:rsidR="006D5688">
        <w:rPr>
          <w:rFonts w:ascii="Arial" w:hAnsi="Arial" w:cs="Arial"/>
          <w:sz w:val="24"/>
          <w:szCs w:val="24"/>
        </w:rPr>
        <w:t xml:space="preserve"> </w:t>
      </w:r>
      <w:r w:rsidR="00607CFA">
        <w:rPr>
          <w:rStyle w:val="FootnoteReference"/>
          <w:rFonts w:ascii="Arial" w:hAnsi="Arial" w:cs="Arial"/>
          <w:sz w:val="24"/>
          <w:szCs w:val="24"/>
        </w:rPr>
        <w:footnoteReference w:id="22"/>
      </w:r>
      <w:r w:rsidR="00307C9E">
        <w:rPr>
          <w:rFonts w:ascii="Arial" w:hAnsi="Arial" w:cs="Arial"/>
          <w:sz w:val="24"/>
          <w:szCs w:val="24"/>
        </w:rPr>
        <w:t xml:space="preserve"> came up for interpretation.</w:t>
      </w:r>
    </w:p>
    <w:p w14:paraId="2472689D" w14:textId="1E85B89D" w:rsidR="00307C9E"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lastRenderedPageBreak/>
        <w:t>41.</w:t>
      </w:r>
      <w:r>
        <w:rPr>
          <w:rFonts w:ascii="Arial" w:hAnsi="Arial" w:cs="Arial"/>
          <w:sz w:val="24"/>
          <w:szCs w:val="24"/>
        </w:rPr>
        <w:tab/>
      </w:r>
      <w:r w:rsidR="00307C9E">
        <w:rPr>
          <w:rFonts w:ascii="Arial" w:hAnsi="Arial" w:cs="Arial"/>
          <w:sz w:val="24"/>
          <w:szCs w:val="24"/>
        </w:rPr>
        <w:t xml:space="preserve">Cool </w:t>
      </w:r>
      <w:r w:rsidR="00711419">
        <w:rPr>
          <w:rFonts w:ascii="Arial" w:hAnsi="Arial" w:cs="Arial"/>
          <w:sz w:val="24"/>
          <w:szCs w:val="24"/>
        </w:rPr>
        <w:t>I</w:t>
      </w:r>
      <w:r w:rsidR="00307C9E">
        <w:rPr>
          <w:rFonts w:ascii="Arial" w:hAnsi="Arial" w:cs="Arial"/>
          <w:sz w:val="24"/>
          <w:szCs w:val="24"/>
        </w:rPr>
        <w:t xml:space="preserve">deas CC had undertaken to perform certain building works for Mrs Hubbard at </w:t>
      </w:r>
      <w:r w:rsidR="00D12803">
        <w:rPr>
          <w:rFonts w:ascii="Arial" w:hAnsi="Arial" w:cs="Arial"/>
          <w:sz w:val="24"/>
          <w:szCs w:val="24"/>
        </w:rPr>
        <w:t>a</w:t>
      </w:r>
      <w:r w:rsidR="00307C9E">
        <w:rPr>
          <w:rFonts w:ascii="Arial" w:hAnsi="Arial" w:cs="Arial"/>
          <w:sz w:val="24"/>
          <w:szCs w:val="24"/>
        </w:rPr>
        <w:t xml:space="preserve"> time when it was not registered as a homebuilder. However</w:t>
      </w:r>
      <w:r w:rsidR="00FB6138">
        <w:rPr>
          <w:rFonts w:ascii="Arial" w:hAnsi="Arial" w:cs="Arial"/>
          <w:sz w:val="24"/>
          <w:szCs w:val="24"/>
        </w:rPr>
        <w:t>,</w:t>
      </w:r>
      <w:r w:rsidR="00307C9E">
        <w:rPr>
          <w:rFonts w:ascii="Arial" w:hAnsi="Arial" w:cs="Arial"/>
          <w:sz w:val="24"/>
          <w:szCs w:val="24"/>
        </w:rPr>
        <w:t xml:space="preserve"> it </w:t>
      </w:r>
      <w:r w:rsidR="00FB6138">
        <w:rPr>
          <w:rFonts w:ascii="Arial" w:hAnsi="Arial" w:cs="Arial"/>
          <w:sz w:val="24"/>
          <w:szCs w:val="24"/>
        </w:rPr>
        <w:t xml:space="preserve">had </w:t>
      </w:r>
      <w:r w:rsidR="00307C9E">
        <w:rPr>
          <w:rFonts w:ascii="Arial" w:hAnsi="Arial" w:cs="Arial"/>
          <w:sz w:val="24"/>
          <w:szCs w:val="24"/>
        </w:rPr>
        <w:t xml:space="preserve">subcontracted the works to a </w:t>
      </w:r>
      <w:r w:rsidR="00FB6138">
        <w:rPr>
          <w:rFonts w:ascii="Arial" w:hAnsi="Arial" w:cs="Arial"/>
          <w:sz w:val="24"/>
          <w:szCs w:val="24"/>
        </w:rPr>
        <w:t xml:space="preserve">building </w:t>
      </w:r>
      <w:r w:rsidR="00307C9E">
        <w:rPr>
          <w:rFonts w:ascii="Arial" w:hAnsi="Arial" w:cs="Arial"/>
          <w:sz w:val="24"/>
          <w:szCs w:val="24"/>
        </w:rPr>
        <w:t>contractor who was</w:t>
      </w:r>
      <w:r w:rsidR="0048400B">
        <w:rPr>
          <w:rFonts w:ascii="Arial" w:hAnsi="Arial" w:cs="Arial"/>
          <w:sz w:val="24"/>
          <w:szCs w:val="24"/>
        </w:rPr>
        <w:t xml:space="preserve"> registered</w:t>
      </w:r>
      <w:r w:rsidR="00307C9E">
        <w:rPr>
          <w:rFonts w:ascii="Arial" w:hAnsi="Arial" w:cs="Arial"/>
          <w:sz w:val="24"/>
          <w:szCs w:val="24"/>
        </w:rPr>
        <w:t>. On practical completion of</w:t>
      </w:r>
      <w:r w:rsidR="00FB6138">
        <w:rPr>
          <w:rFonts w:ascii="Arial" w:hAnsi="Arial" w:cs="Arial"/>
          <w:sz w:val="24"/>
          <w:szCs w:val="24"/>
        </w:rPr>
        <w:t xml:space="preserve"> the works </w:t>
      </w:r>
      <w:r w:rsidR="00307C9E">
        <w:rPr>
          <w:rFonts w:ascii="Arial" w:hAnsi="Arial" w:cs="Arial"/>
          <w:sz w:val="24"/>
          <w:szCs w:val="24"/>
        </w:rPr>
        <w:t>Hubbard refused to make the final payment which was due</w:t>
      </w:r>
      <w:r w:rsidR="00992E80">
        <w:rPr>
          <w:rFonts w:ascii="Arial" w:hAnsi="Arial" w:cs="Arial"/>
          <w:sz w:val="24"/>
          <w:szCs w:val="24"/>
        </w:rPr>
        <w:t>,</w:t>
      </w:r>
      <w:r w:rsidR="00307C9E">
        <w:rPr>
          <w:rFonts w:ascii="Arial" w:hAnsi="Arial" w:cs="Arial"/>
          <w:sz w:val="24"/>
          <w:szCs w:val="24"/>
        </w:rPr>
        <w:t xml:space="preserve"> on the basis </w:t>
      </w:r>
      <w:r w:rsidR="00FB6138">
        <w:rPr>
          <w:rFonts w:ascii="Arial" w:hAnsi="Arial" w:cs="Arial"/>
          <w:sz w:val="24"/>
          <w:szCs w:val="24"/>
        </w:rPr>
        <w:t>that</w:t>
      </w:r>
      <w:r w:rsidR="00307C9E">
        <w:rPr>
          <w:rFonts w:ascii="Arial" w:hAnsi="Arial" w:cs="Arial"/>
          <w:sz w:val="24"/>
          <w:szCs w:val="24"/>
        </w:rPr>
        <w:t xml:space="preserve"> the</w:t>
      </w:r>
      <w:r w:rsidR="00992E80">
        <w:rPr>
          <w:rFonts w:ascii="Arial" w:hAnsi="Arial" w:cs="Arial"/>
          <w:sz w:val="24"/>
          <w:szCs w:val="24"/>
        </w:rPr>
        <w:t xml:space="preserve"> works</w:t>
      </w:r>
      <w:r w:rsidR="00FB6138">
        <w:rPr>
          <w:rFonts w:ascii="Arial" w:hAnsi="Arial" w:cs="Arial"/>
          <w:sz w:val="24"/>
          <w:szCs w:val="24"/>
        </w:rPr>
        <w:t xml:space="preserve"> were</w:t>
      </w:r>
      <w:r w:rsidR="00307C9E">
        <w:rPr>
          <w:rFonts w:ascii="Arial" w:hAnsi="Arial" w:cs="Arial"/>
          <w:sz w:val="24"/>
          <w:szCs w:val="24"/>
        </w:rPr>
        <w:t xml:space="preserve"> defective and required remedia</w:t>
      </w:r>
      <w:r w:rsidR="00992E80">
        <w:rPr>
          <w:rFonts w:ascii="Arial" w:hAnsi="Arial" w:cs="Arial"/>
          <w:sz w:val="24"/>
          <w:szCs w:val="24"/>
        </w:rPr>
        <w:t>tion</w:t>
      </w:r>
      <w:r w:rsidR="00307C9E">
        <w:rPr>
          <w:rFonts w:ascii="Arial" w:hAnsi="Arial" w:cs="Arial"/>
          <w:sz w:val="24"/>
          <w:szCs w:val="24"/>
        </w:rPr>
        <w:t xml:space="preserve"> to the value of R</w:t>
      </w:r>
      <w:r w:rsidR="00FB6138">
        <w:rPr>
          <w:rFonts w:ascii="Arial" w:hAnsi="Arial" w:cs="Arial"/>
          <w:sz w:val="24"/>
          <w:szCs w:val="24"/>
        </w:rPr>
        <w:t xml:space="preserve"> </w:t>
      </w:r>
      <w:r w:rsidR="00307C9E">
        <w:rPr>
          <w:rFonts w:ascii="Arial" w:hAnsi="Arial" w:cs="Arial"/>
          <w:sz w:val="24"/>
          <w:szCs w:val="24"/>
        </w:rPr>
        <w:t>1.2 million</w:t>
      </w:r>
      <w:r w:rsidR="00FB6138">
        <w:rPr>
          <w:rFonts w:ascii="Arial" w:hAnsi="Arial" w:cs="Arial"/>
          <w:sz w:val="24"/>
          <w:szCs w:val="24"/>
        </w:rPr>
        <w:t>,</w:t>
      </w:r>
      <w:r w:rsidR="00307C9E">
        <w:rPr>
          <w:rFonts w:ascii="Arial" w:hAnsi="Arial" w:cs="Arial"/>
          <w:sz w:val="24"/>
          <w:szCs w:val="24"/>
        </w:rPr>
        <w:t xml:space="preserve"> which she sought to claim </w:t>
      </w:r>
      <w:r w:rsidR="00711419">
        <w:rPr>
          <w:rFonts w:ascii="Arial" w:hAnsi="Arial" w:cs="Arial"/>
          <w:sz w:val="24"/>
          <w:szCs w:val="24"/>
        </w:rPr>
        <w:t>via</w:t>
      </w:r>
      <w:r w:rsidR="00307C9E">
        <w:rPr>
          <w:rFonts w:ascii="Arial" w:hAnsi="Arial" w:cs="Arial"/>
          <w:sz w:val="24"/>
          <w:szCs w:val="24"/>
        </w:rPr>
        <w:t xml:space="preserve"> a</w:t>
      </w:r>
      <w:r w:rsidR="00FB6138">
        <w:rPr>
          <w:rFonts w:ascii="Arial" w:hAnsi="Arial" w:cs="Arial"/>
          <w:sz w:val="24"/>
          <w:szCs w:val="24"/>
        </w:rPr>
        <w:t>n</w:t>
      </w:r>
      <w:r w:rsidR="00307C9E">
        <w:rPr>
          <w:rFonts w:ascii="Arial" w:hAnsi="Arial" w:cs="Arial"/>
          <w:sz w:val="24"/>
          <w:szCs w:val="24"/>
        </w:rPr>
        <w:t xml:space="preserve"> arbitration </w:t>
      </w:r>
      <w:r w:rsidR="00FB6138">
        <w:rPr>
          <w:rFonts w:ascii="Arial" w:hAnsi="Arial" w:cs="Arial"/>
          <w:sz w:val="24"/>
          <w:szCs w:val="24"/>
        </w:rPr>
        <w:t xml:space="preserve">process, </w:t>
      </w:r>
      <w:r w:rsidR="00307C9E">
        <w:rPr>
          <w:rFonts w:ascii="Arial" w:hAnsi="Arial" w:cs="Arial"/>
          <w:sz w:val="24"/>
          <w:szCs w:val="24"/>
        </w:rPr>
        <w:t>as provided for in the building contract.</w:t>
      </w:r>
    </w:p>
    <w:p w14:paraId="603D830D" w14:textId="0BD2514D" w:rsidR="00307C9E"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42.</w:t>
      </w:r>
      <w:r>
        <w:rPr>
          <w:rFonts w:ascii="Arial" w:hAnsi="Arial" w:cs="Arial"/>
          <w:sz w:val="24"/>
          <w:szCs w:val="24"/>
        </w:rPr>
        <w:tab/>
      </w:r>
      <w:r w:rsidR="00307C9E">
        <w:rPr>
          <w:rFonts w:ascii="Arial" w:hAnsi="Arial" w:cs="Arial"/>
          <w:sz w:val="24"/>
          <w:szCs w:val="24"/>
        </w:rPr>
        <w:t xml:space="preserve">The arbitrator found in favour of </w:t>
      </w:r>
      <w:r w:rsidR="00FB6138">
        <w:rPr>
          <w:rFonts w:ascii="Arial" w:hAnsi="Arial" w:cs="Arial"/>
          <w:sz w:val="24"/>
          <w:szCs w:val="24"/>
        </w:rPr>
        <w:t>C</w:t>
      </w:r>
      <w:r w:rsidR="00307C9E">
        <w:rPr>
          <w:rFonts w:ascii="Arial" w:hAnsi="Arial" w:cs="Arial"/>
          <w:sz w:val="24"/>
          <w:szCs w:val="24"/>
        </w:rPr>
        <w:t xml:space="preserve">ool </w:t>
      </w:r>
      <w:r w:rsidR="00FB6138">
        <w:rPr>
          <w:rFonts w:ascii="Arial" w:hAnsi="Arial" w:cs="Arial"/>
          <w:sz w:val="24"/>
          <w:szCs w:val="24"/>
        </w:rPr>
        <w:t>I</w:t>
      </w:r>
      <w:r w:rsidR="00307C9E">
        <w:rPr>
          <w:rFonts w:ascii="Arial" w:hAnsi="Arial" w:cs="Arial"/>
          <w:sz w:val="24"/>
          <w:szCs w:val="24"/>
        </w:rPr>
        <w:t>deas</w:t>
      </w:r>
      <w:r w:rsidR="00FB6138">
        <w:rPr>
          <w:rFonts w:ascii="Arial" w:hAnsi="Arial" w:cs="Arial"/>
          <w:sz w:val="24"/>
          <w:szCs w:val="24"/>
        </w:rPr>
        <w:t xml:space="preserve"> CC</w:t>
      </w:r>
      <w:r w:rsidR="00307C9E">
        <w:rPr>
          <w:rFonts w:ascii="Arial" w:hAnsi="Arial" w:cs="Arial"/>
          <w:sz w:val="24"/>
          <w:szCs w:val="24"/>
        </w:rPr>
        <w:t>, holding that Hubbard was liable to it for the balance of the contract price, in an amount of approximately R 550</w:t>
      </w:r>
      <w:r w:rsidR="00FB6138">
        <w:rPr>
          <w:rFonts w:ascii="Arial" w:hAnsi="Arial" w:cs="Arial"/>
          <w:sz w:val="24"/>
          <w:szCs w:val="24"/>
        </w:rPr>
        <w:t xml:space="preserve"> </w:t>
      </w:r>
      <w:r w:rsidR="00307C9E">
        <w:rPr>
          <w:rFonts w:ascii="Arial" w:hAnsi="Arial" w:cs="Arial"/>
          <w:sz w:val="24"/>
          <w:szCs w:val="24"/>
        </w:rPr>
        <w:t xml:space="preserve">000. </w:t>
      </w:r>
      <w:r w:rsidR="005F1DE1">
        <w:rPr>
          <w:rFonts w:ascii="Arial" w:hAnsi="Arial" w:cs="Arial"/>
          <w:sz w:val="24"/>
          <w:szCs w:val="24"/>
        </w:rPr>
        <w:t>In the absence of</w:t>
      </w:r>
      <w:r w:rsidR="00307C9E">
        <w:rPr>
          <w:rFonts w:ascii="Arial" w:hAnsi="Arial" w:cs="Arial"/>
          <w:sz w:val="24"/>
          <w:szCs w:val="24"/>
        </w:rPr>
        <w:t xml:space="preserve"> payment </w:t>
      </w:r>
      <w:r w:rsidR="00FB6138">
        <w:rPr>
          <w:rFonts w:ascii="Arial" w:hAnsi="Arial" w:cs="Arial"/>
          <w:sz w:val="24"/>
          <w:szCs w:val="24"/>
        </w:rPr>
        <w:t>C</w:t>
      </w:r>
      <w:r w:rsidR="00307C9E">
        <w:rPr>
          <w:rFonts w:ascii="Arial" w:hAnsi="Arial" w:cs="Arial"/>
          <w:sz w:val="24"/>
          <w:szCs w:val="24"/>
        </w:rPr>
        <w:t xml:space="preserve">ool </w:t>
      </w:r>
      <w:r w:rsidR="00FB6138">
        <w:rPr>
          <w:rFonts w:ascii="Arial" w:hAnsi="Arial" w:cs="Arial"/>
          <w:sz w:val="24"/>
          <w:szCs w:val="24"/>
        </w:rPr>
        <w:t>I</w:t>
      </w:r>
      <w:r w:rsidR="00307C9E">
        <w:rPr>
          <w:rFonts w:ascii="Arial" w:hAnsi="Arial" w:cs="Arial"/>
          <w:sz w:val="24"/>
          <w:szCs w:val="24"/>
        </w:rPr>
        <w:t xml:space="preserve">deas </w:t>
      </w:r>
      <w:r w:rsidR="00FB6138">
        <w:rPr>
          <w:rFonts w:ascii="Arial" w:hAnsi="Arial" w:cs="Arial"/>
          <w:sz w:val="24"/>
          <w:szCs w:val="24"/>
        </w:rPr>
        <w:t xml:space="preserve">CC </w:t>
      </w:r>
      <w:r w:rsidR="00307C9E">
        <w:rPr>
          <w:rFonts w:ascii="Arial" w:hAnsi="Arial" w:cs="Arial"/>
          <w:sz w:val="24"/>
          <w:szCs w:val="24"/>
        </w:rPr>
        <w:t xml:space="preserve">applied for the award to be made an order of court, which was opposed by Hubbard on the grounds that the award was </w:t>
      </w:r>
      <w:r w:rsidR="00FB6138">
        <w:rPr>
          <w:rFonts w:ascii="Arial" w:hAnsi="Arial" w:cs="Arial"/>
          <w:sz w:val="24"/>
          <w:szCs w:val="24"/>
        </w:rPr>
        <w:t xml:space="preserve">unlawful and </w:t>
      </w:r>
      <w:r w:rsidR="00D12803">
        <w:rPr>
          <w:rFonts w:ascii="Arial" w:hAnsi="Arial" w:cs="Arial"/>
          <w:sz w:val="24"/>
          <w:szCs w:val="24"/>
        </w:rPr>
        <w:t xml:space="preserve">therefore </w:t>
      </w:r>
      <w:r w:rsidR="00307C9E">
        <w:rPr>
          <w:rFonts w:ascii="Arial" w:hAnsi="Arial" w:cs="Arial"/>
          <w:sz w:val="24"/>
          <w:szCs w:val="24"/>
        </w:rPr>
        <w:t>void</w:t>
      </w:r>
      <w:r w:rsidR="00FB6138">
        <w:rPr>
          <w:rFonts w:ascii="Arial" w:hAnsi="Arial" w:cs="Arial"/>
          <w:sz w:val="24"/>
          <w:szCs w:val="24"/>
        </w:rPr>
        <w:t xml:space="preserve"> because at</w:t>
      </w:r>
      <w:r w:rsidR="00307C9E">
        <w:rPr>
          <w:rFonts w:ascii="Arial" w:hAnsi="Arial" w:cs="Arial"/>
          <w:sz w:val="24"/>
          <w:szCs w:val="24"/>
        </w:rPr>
        <w:t xml:space="preserve"> the time </w:t>
      </w:r>
      <w:r w:rsidR="0048400B">
        <w:rPr>
          <w:rFonts w:ascii="Arial" w:hAnsi="Arial" w:cs="Arial"/>
          <w:sz w:val="24"/>
          <w:szCs w:val="24"/>
        </w:rPr>
        <w:t xml:space="preserve">that </w:t>
      </w:r>
      <w:r w:rsidR="00307C9E">
        <w:rPr>
          <w:rFonts w:ascii="Arial" w:hAnsi="Arial" w:cs="Arial"/>
          <w:sz w:val="24"/>
          <w:szCs w:val="24"/>
        </w:rPr>
        <w:t xml:space="preserve">the works had been </w:t>
      </w:r>
      <w:r w:rsidR="00FB6138">
        <w:rPr>
          <w:rFonts w:ascii="Arial" w:hAnsi="Arial" w:cs="Arial"/>
          <w:sz w:val="24"/>
          <w:szCs w:val="24"/>
        </w:rPr>
        <w:t>performed</w:t>
      </w:r>
      <w:r w:rsidR="00307C9E">
        <w:rPr>
          <w:rFonts w:ascii="Arial" w:hAnsi="Arial" w:cs="Arial"/>
          <w:sz w:val="24"/>
          <w:szCs w:val="24"/>
        </w:rPr>
        <w:t xml:space="preserve"> </w:t>
      </w:r>
      <w:r w:rsidR="00FB6138">
        <w:rPr>
          <w:rFonts w:ascii="Arial" w:hAnsi="Arial" w:cs="Arial"/>
          <w:sz w:val="24"/>
          <w:szCs w:val="24"/>
        </w:rPr>
        <w:t>C</w:t>
      </w:r>
      <w:r w:rsidR="00307C9E">
        <w:rPr>
          <w:rFonts w:ascii="Arial" w:hAnsi="Arial" w:cs="Arial"/>
          <w:sz w:val="24"/>
          <w:szCs w:val="24"/>
        </w:rPr>
        <w:t xml:space="preserve">ool </w:t>
      </w:r>
      <w:r w:rsidR="00FB6138">
        <w:rPr>
          <w:rFonts w:ascii="Arial" w:hAnsi="Arial" w:cs="Arial"/>
          <w:sz w:val="24"/>
          <w:szCs w:val="24"/>
        </w:rPr>
        <w:t>I</w:t>
      </w:r>
      <w:r w:rsidR="00307C9E">
        <w:rPr>
          <w:rFonts w:ascii="Arial" w:hAnsi="Arial" w:cs="Arial"/>
          <w:sz w:val="24"/>
          <w:szCs w:val="24"/>
        </w:rPr>
        <w:t>deas</w:t>
      </w:r>
      <w:r w:rsidR="005F1DE1">
        <w:rPr>
          <w:rFonts w:ascii="Arial" w:hAnsi="Arial" w:cs="Arial"/>
          <w:sz w:val="24"/>
          <w:szCs w:val="24"/>
        </w:rPr>
        <w:t xml:space="preserve"> CC</w:t>
      </w:r>
      <w:r w:rsidR="00307C9E">
        <w:rPr>
          <w:rFonts w:ascii="Arial" w:hAnsi="Arial" w:cs="Arial"/>
          <w:sz w:val="24"/>
          <w:szCs w:val="24"/>
        </w:rPr>
        <w:t xml:space="preserve"> </w:t>
      </w:r>
      <w:r w:rsidR="00FB6138">
        <w:rPr>
          <w:rFonts w:ascii="Arial" w:hAnsi="Arial" w:cs="Arial"/>
          <w:sz w:val="24"/>
          <w:szCs w:val="24"/>
        </w:rPr>
        <w:t xml:space="preserve">was </w:t>
      </w:r>
      <w:r w:rsidR="005F1DE1">
        <w:rPr>
          <w:rFonts w:ascii="Arial" w:hAnsi="Arial" w:cs="Arial"/>
          <w:sz w:val="24"/>
          <w:szCs w:val="24"/>
        </w:rPr>
        <w:t>not registered</w:t>
      </w:r>
      <w:r w:rsidR="00307C9E">
        <w:rPr>
          <w:rFonts w:ascii="Arial" w:hAnsi="Arial" w:cs="Arial"/>
          <w:sz w:val="24"/>
          <w:szCs w:val="24"/>
        </w:rPr>
        <w:t xml:space="preserve"> as a homebuilder. </w:t>
      </w:r>
      <w:r w:rsidR="00FB6138">
        <w:rPr>
          <w:rFonts w:ascii="Arial" w:hAnsi="Arial" w:cs="Arial"/>
          <w:sz w:val="24"/>
          <w:szCs w:val="24"/>
        </w:rPr>
        <w:t xml:space="preserve">The </w:t>
      </w:r>
      <w:r w:rsidR="00307C9E">
        <w:rPr>
          <w:rFonts w:ascii="Arial" w:hAnsi="Arial" w:cs="Arial"/>
          <w:sz w:val="24"/>
          <w:szCs w:val="24"/>
        </w:rPr>
        <w:t xml:space="preserve">High Court held that inasmuch as the </w:t>
      </w:r>
      <w:r w:rsidR="00FB6138">
        <w:rPr>
          <w:rFonts w:ascii="Arial" w:hAnsi="Arial" w:cs="Arial"/>
          <w:sz w:val="24"/>
          <w:szCs w:val="24"/>
        </w:rPr>
        <w:t>HCPMA</w:t>
      </w:r>
      <w:r w:rsidR="00307C9E">
        <w:rPr>
          <w:rFonts w:ascii="Arial" w:hAnsi="Arial" w:cs="Arial"/>
          <w:sz w:val="24"/>
          <w:szCs w:val="24"/>
        </w:rPr>
        <w:t xml:space="preserve"> allowed for late registration and </w:t>
      </w:r>
      <w:r w:rsidR="00FB6138">
        <w:rPr>
          <w:rFonts w:ascii="Arial" w:hAnsi="Arial" w:cs="Arial"/>
          <w:sz w:val="24"/>
          <w:szCs w:val="24"/>
        </w:rPr>
        <w:t>Cool Ideas</w:t>
      </w:r>
      <w:r w:rsidR="00307C9E">
        <w:rPr>
          <w:rFonts w:ascii="Arial" w:hAnsi="Arial" w:cs="Arial"/>
          <w:sz w:val="24"/>
          <w:szCs w:val="24"/>
        </w:rPr>
        <w:t xml:space="preserve"> </w:t>
      </w:r>
      <w:r w:rsidR="005F1DE1">
        <w:rPr>
          <w:rFonts w:ascii="Arial" w:hAnsi="Arial" w:cs="Arial"/>
          <w:sz w:val="24"/>
          <w:szCs w:val="24"/>
        </w:rPr>
        <w:t xml:space="preserve">CC </w:t>
      </w:r>
      <w:r w:rsidR="00FB6138">
        <w:rPr>
          <w:rFonts w:ascii="Arial" w:hAnsi="Arial" w:cs="Arial"/>
          <w:sz w:val="24"/>
          <w:szCs w:val="24"/>
        </w:rPr>
        <w:t xml:space="preserve">was </w:t>
      </w:r>
      <w:r w:rsidR="00307C9E">
        <w:rPr>
          <w:rFonts w:ascii="Arial" w:hAnsi="Arial" w:cs="Arial"/>
          <w:sz w:val="24"/>
          <w:szCs w:val="24"/>
        </w:rPr>
        <w:t>registered by the time the matter</w:t>
      </w:r>
      <w:r w:rsidR="00AE17BB">
        <w:rPr>
          <w:rFonts w:ascii="Arial" w:hAnsi="Arial" w:cs="Arial"/>
          <w:sz w:val="24"/>
          <w:szCs w:val="24"/>
        </w:rPr>
        <w:t xml:space="preserve"> </w:t>
      </w:r>
      <w:r w:rsidR="00FB6138">
        <w:rPr>
          <w:rFonts w:ascii="Arial" w:hAnsi="Arial" w:cs="Arial"/>
          <w:sz w:val="24"/>
          <w:szCs w:val="24"/>
        </w:rPr>
        <w:t>came before it</w:t>
      </w:r>
      <w:r w:rsidR="00307C9E">
        <w:rPr>
          <w:rFonts w:ascii="Arial" w:hAnsi="Arial" w:cs="Arial"/>
          <w:sz w:val="24"/>
          <w:szCs w:val="24"/>
        </w:rPr>
        <w:t xml:space="preserve">, the </w:t>
      </w:r>
      <w:r w:rsidR="00FB6138">
        <w:rPr>
          <w:rFonts w:ascii="Arial" w:hAnsi="Arial" w:cs="Arial"/>
          <w:sz w:val="24"/>
          <w:szCs w:val="24"/>
        </w:rPr>
        <w:t xml:space="preserve">arbitral </w:t>
      </w:r>
      <w:r w:rsidR="00307C9E">
        <w:rPr>
          <w:rFonts w:ascii="Arial" w:hAnsi="Arial" w:cs="Arial"/>
          <w:sz w:val="24"/>
          <w:szCs w:val="24"/>
        </w:rPr>
        <w:t>award could be enforced.</w:t>
      </w:r>
    </w:p>
    <w:p w14:paraId="13D70CD3" w14:textId="40C2CA29" w:rsidR="00607CFA" w:rsidRPr="00FB6138" w:rsidRDefault="00601627" w:rsidP="00601627">
      <w:pPr>
        <w:adjustRightInd w:val="0"/>
        <w:spacing w:after="0" w:line="360" w:lineRule="auto"/>
        <w:ind w:left="720" w:hanging="720"/>
        <w:contextualSpacing/>
        <w:jc w:val="both"/>
        <w:textAlignment w:val="baseline"/>
        <w:rPr>
          <w:rFonts w:ascii="Arial" w:hAnsi="Arial" w:cs="Arial"/>
          <w:sz w:val="24"/>
          <w:szCs w:val="24"/>
        </w:rPr>
      </w:pPr>
      <w:r w:rsidRPr="00FB6138">
        <w:rPr>
          <w:rFonts w:ascii="Arial" w:hAnsi="Arial" w:cs="Arial"/>
          <w:sz w:val="24"/>
          <w:szCs w:val="24"/>
        </w:rPr>
        <w:t>43.</w:t>
      </w:r>
      <w:r w:rsidRPr="00FB6138">
        <w:rPr>
          <w:rFonts w:ascii="Arial" w:hAnsi="Arial" w:cs="Arial"/>
          <w:sz w:val="24"/>
          <w:szCs w:val="24"/>
        </w:rPr>
        <w:tab/>
      </w:r>
      <w:r w:rsidR="00307C9E" w:rsidRPr="00FB6138">
        <w:rPr>
          <w:rFonts w:ascii="Arial" w:hAnsi="Arial" w:cs="Arial"/>
          <w:sz w:val="24"/>
          <w:szCs w:val="24"/>
        </w:rPr>
        <w:t xml:space="preserve">On appeal the SCA disagreed. It held that the provisions of the </w:t>
      </w:r>
      <w:r w:rsidR="00FB6138" w:rsidRPr="00FB6138">
        <w:rPr>
          <w:rFonts w:ascii="Arial" w:hAnsi="Arial" w:cs="Arial"/>
          <w:sz w:val="24"/>
          <w:szCs w:val="24"/>
        </w:rPr>
        <w:t xml:space="preserve">HCPMA </w:t>
      </w:r>
      <w:r w:rsidR="00307C9E" w:rsidRPr="00FB6138">
        <w:rPr>
          <w:rFonts w:ascii="Arial" w:hAnsi="Arial" w:cs="Arial"/>
          <w:sz w:val="24"/>
          <w:szCs w:val="24"/>
        </w:rPr>
        <w:t xml:space="preserve">required that both </w:t>
      </w:r>
      <w:r w:rsidR="00FB6138" w:rsidRPr="00FB6138">
        <w:rPr>
          <w:rFonts w:ascii="Arial" w:hAnsi="Arial" w:cs="Arial"/>
          <w:sz w:val="24"/>
          <w:szCs w:val="24"/>
        </w:rPr>
        <w:t>C</w:t>
      </w:r>
      <w:r w:rsidR="00307C9E" w:rsidRPr="00FB6138">
        <w:rPr>
          <w:rFonts w:ascii="Arial" w:hAnsi="Arial" w:cs="Arial"/>
          <w:sz w:val="24"/>
          <w:szCs w:val="24"/>
        </w:rPr>
        <w:t xml:space="preserve">ool </w:t>
      </w:r>
      <w:r w:rsidR="00FB6138" w:rsidRPr="00FB6138">
        <w:rPr>
          <w:rFonts w:ascii="Arial" w:hAnsi="Arial" w:cs="Arial"/>
          <w:sz w:val="24"/>
          <w:szCs w:val="24"/>
        </w:rPr>
        <w:t>I</w:t>
      </w:r>
      <w:r w:rsidR="00307C9E" w:rsidRPr="00FB6138">
        <w:rPr>
          <w:rFonts w:ascii="Arial" w:hAnsi="Arial" w:cs="Arial"/>
          <w:sz w:val="24"/>
          <w:szCs w:val="24"/>
        </w:rPr>
        <w:t xml:space="preserve">deas </w:t>
      </w:r>
      <w:r w:rsidR="00FB6138" w:rsidRPr="00FB6138">
        <w:rPr>
          <w:rFonts w:ascii="Arial" w:hAnsi="Arial" w:cs="Arial"/>
          <w:sz w:val="24"/>
          <w:szCs w:val="24"/>
        </w:rPr>
        <w:t xml:space="preserve">CC </w:t>
      </w:r>
      <w:r w:rsidR="00307C9E" w:rsidRPr="00FB6138">
        <w:rPr>
          <w:rFonts w:ascii="Arial" w:hAnsi="Arial" w:cs="Arial"/>
          <w:sz w:val="24"/>
          <w:szCs w:val="24"/>
        </w:rPr>
        <w:t xml:space="preserve">and </w:t>
      </w:r>
      <w:r w:rsidR="00FB6138" w:rsidRPr="00FB6138">
        <w:rPr>
          <w:rFonts w:ascii="Arial" w:hAnsi="Arial" w:cs="Arial"/>
          <w:sz w:val="24"/>
          <w:szCs w:val="24"/>
        </w:rPr>
        <w:t xml:space="preserve">its </w:t>
      </w:r>
      <w:r w:rsidR="00307C9E" w:rsidRPr="00FB6138">
        <w:rPr>
          <w:rFonts w:ascii="Arial" w:hAnsi="Arial" w:cs="Arial"/>
          <w:sz w:val="24"/>
          <w:szCs w:val="24"/>
        </w:rPr>
        <w:t>subcontractor had to be registered a</w:t>
      </w:r>
      <w:r w:rsidR="00FB6138" w:rsidRPr="00FB6138">
        <w:rPr>
          <w:rFonts w:ascii="Arial" w:hAnsi="Arial" w:cs="Arial"/>
          <w:sz w:val="24"/>
          <w:szCs w:val="24"/>
        </w:rPr>
        <w:t>t</w:t>
      </w:r>
      <w:r w:rsidR="00307C9E" w:rsidRPr="00FB6138">
        <w:rPr>
          <w:rFonts w:ascii="Arial" w:hAnsi="Arial" w:cs="Arial"/>
          <w:sz w:val="24"/>
          <w:szCs w:val="24"/>
        </w:rPr>
        <w:t xml:space="preserve"> </w:t>
      </w:r>
      <w:r w:rsidR="00FB6138" w:rsidRPr="00FB6138">
        <w:rPr>
          <w:rFonts w:ascii="Arial" w:hAnsi="Arial" w:cs="Arial"/>
          <w:sz w:val="24"/>
          <w:szCs w:val="24"/>
        </w:rPr>
        <w:t>the</w:t>
      </w:r>
      <w:r w:rsidR="00307C9E" w:rsidRPr="00FB6138">
        <w:rPr>
          <w:rFonts w:ascii="Arial" w:hAnsi="Arial" w:cs="Arial"/>
          <w:sz w:val="24"/>
          <w:szCs w:val="24"/>
        </w:rPr>
        <w:t xml:space="preserve"> time when the works were performed.</w:t>
      </w:r>
      <w:r w:rsidR="00307C9E">
        <w:rPr>
          <w:rStyle w:val="FootnoteReference"/>
          <w:rFonts w:ascii="Arial" w:hAnsi="Arial" w:cs="Arial"/>
          <w:sz w:val="24"/>
          <w:szCs w:val="24"/>
        </w:rPr>
        <w:footnoteReference w:id="23"/>
      </w:r>
      <w:r w:rsidR="00307C9E" w:rsidRPr="00FB6138">
        <w:rPr>
          <w:rFonts w:ascii="Arial" w:hAnsi="Arial" w:cs="Arial"/>
          <w:sz w:val="24"/>
          <w:szCs w:val="24"/>
        </w:rPr>
        <w:t xml:space="preserve"> </w:t>
      </w:r>
      <w:r w:rsidR="00D12803">
        <w:rPr>
          <w:rFonts w:ascii="Arial" w:hAnsi="Arial" w:cs="Arial"/>
          <w:sz w:val="24"/>
          <w:szCs w:val="24"/>
        </w:rPr>
        <w:t>I</w:t>
      </w:r>
      <w:r w:rsidR="00D12803" w:rsidRPr="00FB6138">
        <w:rPr>
          <w:rFonts w:ascii="Arial" w:hAnsi="Arial" w:cs="Arial"/>
          <w:sz w:val="24"/>
          <w:szCs w:val="24"/>
        </w:rPr>
        <w:t>n its view</w:t>
      </w:r>
      <w:r w:rsidR="00D12803">
        <w:rPr>
          <w:rFonts w:ascii="Arial" w:hAnsi="Arial" w:cs="Arial"/>
          <w:sz w:val="24"/>
          <w:szCs w:val="24"/>
        </w:rPr>
        <w:t>,</w:t>
      </w:r>
      <w:r w:rsidR="00D12803" w:rsidRPr="00FB6138">
        <w:rPr>
          <w:rFonts w:ascii="Arial" w:hAnsi="Arial" w:cs="Arial"/>
          <w:sz w:val="24"/>
          <w:szCs w:val="24"/>
        </w:rPr>
        <w:t xml:space="preserve"> </w:t>
      </w:r>
      <w:r w:rsidR="00307C9E" w:rsidRPr="00FB6138">
        <w:rPr>
          <w:rFonts w:ascii="Arial" w:hAnsi="Arial" w:cs="Arial"/>
          <w:sz w:val="24"/>
          <w:szCs w:val="24"/>
        </w:rPr>
        <w:t xml:space="preserve">the provisions </w:t>
      </w:r>
      <w:r w:rsidR="00D12803">
        <w:rPr>
          <w:rFonts w:ascii="Arial" w:hAnsi="Arial" w:cs="Arial"/>
          <w:sz w:val="24"/>
          <w:szCs w:val="24"/>
        </w:rPr>
        <w:t xml:space="preserve">under interpretation </w:t>
      </w:r>
      <w:r w:rsidR="00307C9E" w:rsidRPr="00FB6138">
        <w:rPr>
          <w:rFonts w:ascii="Arial" w:hAnsi="Arial" w:cs="Arial"/>
          <w:sz w:val="24"/>
          <w:szCs w:val="24"/>
        </w:rPr>
        <w:t xml:space="preserve">did not nullify </w:t>
      </w:r>
      <w:r w:rsidR="00C0664F">
        <w:rPr>
          <w:rFonts w:ascii="Arial" w:hAnsi="Arial" w:cs="Arial"/>
          <w:sz w:val="24"/>
          <w:szCs w:val="24"/>
        </w:rPr>
        <w:t>the</w:t>
      </w:r>
      <w:r w:rsidR="00307C9E" w:rsidRPr="00FB6138">
        <w:rPr>
          <w:rFonts w:ascii="Arial" w:hAnsi="Arial" w:cs="Arial"/>
          <w:sz w:val="24"/>
          <w:szCs w:val="24"/>
        </w:rPr>
        <w:t xml:space="preserve"> building contract</w:t>
      </w:r>
      <w:r w:rsidR="00FB6138">
        <w:rPr>
          <w:rFonts w:ascii="Arial" w:hAnsi="Arial" w:cs="Arial"/>
          <w:sz w:val="24"/>
          <w:szCs w:val="24"/>
        </w:rPr>
        <w:t xml:space="preserve"> which had been entered into by </w:t>
      </w:r>
      <w:r w:rsidR="00C0664F">
        <w:rPr>
          <w:rFonts w:ascii="Arial" w:hAnsi="Arial" w:cs="Arial"/>
          <w:sz w:val="24"/>
          <w:szCs w:val="24"/>
        </w:rPr>
        <w:t>the</w:t>
      </w:r>
      <w:r w:rsidR="00FB6138">
        <w:rPr>
          <w:rFonts w:ascii="Arial" w:hAnsi="Arial" w:cs="Arial"/>
          <w:sz w:val="24"/>
          <w:szCs w:val="24"/>
        </w:rPr>
        <w:t xml:space="preserve"> </w:t>
      </w:r>
      <w:r w:rsidR="00FB6138" w:rsidRPr="00FB6138">
        <w:rPr>
          <w:rFonts w:ascii="Arial" w:hAnsi="Arial" w:cs="Arial"/>
          <w:sz w:val="24"/>
          <w:szCs w:val="24"/>
        </w:rPr>
        <w:t xml:space="preserve">unregistered homebuilder </w:t>
      </w:r>
      <w:r w:rsidR="00FB6138">
        <w:rPr>
          <w:rFonts w:ascii="Arial" w:hAnsi="Arial" w:cs="Arial"/>
          <w:sz w:val="24"/>
          <w:szCs w:val="24"/>
        </w:rPr>
        <w:t>contrary thereto</w:t>
      </w:r>
      <w:r w:rsidR="00992E80">
        <w:rPr>
          <w:rFonts w:ascii="Arial" w:hAnsi="Arial" w:cs="Arial"/>
          <w:sz w:val="24"/>
          <w:szCs w:val="24"/>
        </w:rPr>
        <w:t>,</w:t>
      </w:r>
      <w:r w:rsidR="00EB7022">
        <w:rPr>
          <w:rFonts w:ascii="Arial" w:hAnsi="Arial" w:cs="Arial"/>
          <w:sz w:val="24"/>
          <w:szCs w:val="24"/>
        </w:rPr>
        <w:t xml:space="preserve"> and merely</w:t>
      </w:r>
      <w:r w:rsidR="00307C9E" w:rsidRPr="00FB6138">
        <w:rPr>
          <w:rFonts w:ascii="Arial" w:hAnsi="Arial" w:cs="Arial"/>
          <w:sz w:val="24"/>
          <w:szCs w:val="24"/>
        </w:rPr>
        <w:t xml:space="preserve"> </w:t>
      </w:r>
      <w:r w:rsidR="00FB6138">
        <w:rPr>
          <w:rFonts w:ascii="Arial" w:hAnsi="Arial" w:cs="Arial"/>
          <w:sz w:val="24"/>
          <w:szCs w:val="24"/>
        </w:rPr>
        <w:t>dis</w:t>
      </w:r>
      <w:r w:rsidR="00307C9E" w:rsidRPr="00FB6138">
        <w:rPr>
          <w:rFonts w:ascii="Arial" w:hAnsi="Arial" w:cs="Arial"/>
          <w:sz w:val="24"/>
          <w:szCs w:val="24"/>
        </w:rPr>
        <w:t xml:space="preserve">entitled </w:t>
      </w:r>
      <w:r w:rsidR="00FB6138">
        <w:rPr>
          <w:rFonts w:ascii="Arial" w:hAnsi="Arial" w:cs="Arial"/>
          <w:sz w:val="24"/>
          <w:szCs w:val="24"/>
        </w:rPr>
        <w:t xml:space="preserve">it </w:t>
      </w:r>
      <w:r w:rsidR="00307C9E" w:rsidRPr="00FB6138">
        <w:rPr>
          <w:rFonts w:ascii="Arial" w:hAnsi="Arial" w:cs="Arial"/>
          <w:sz w:val="24"/>
          <w:szCs w:val="24"/>
        </w:rPr>
        <w:t xml:space="preserve">from receiving any consideration in terms thereof. The majority </w:t>
      </w:r>
      <w:r w:rsidR="00D12803">
        <w:rPr>
          <w:rFonts w:ascii="Arial" w:hAnsi="Arial" w:cs="Arial"/>
          <w:sz w:val="24"/>
          <w:szCs w:val="24"/>
        </w:rPr>
        <w:t xml:space="preserve">further </w:t>
      </w:r>
      <w:r w:rsidR="00307C9E" w:rsidRPr="00FB6138">
        <w:rPr>
          <w:rFonts w:ascii="Arial" w:hAnsi="Arial" w:cs="Arial"/>
          <w:sz w:val="24"/>
          <w:szCs w:val="24"/>
        </w:rPr>
        <w:t xml:space="preserve">held that inasmuch as the </w:t>
      </w:r>
      <w:r w:rsidR="00FB6138">
        <w:rPr>
          <w:rFonts w:ascii="Arial" w:hAnsi="Arial" w:cs="Arial"/>
          <w:sz w:val="24"/>
          <w:szCs w:val="24"/>
        </w:rPr>
        <w:t>HCPMA</w:t>
      </w:r>
      <w:r w:rsidR="00307C9E" w:rsidRPr="00FB6138">
        <w:rPr>
          <w:rFonts w:ascii="Arial" w:hAnsi="Arial" w:cs="Arial"/>
          <w:sz w:val="24"/>
          <w:szCs w:val="24"/>
        </w:rPr>
        <w:t xml:space="preserve"> </w:t>
      </w:r>
      <w:r w:rsidR="00FB6138">
        <w:rPr>
          <w:rFonts w:ascii="Arial" w:hAnsi="Arial" w:cs="Arial"/>
          <w:sz w:val="24"/>
          <w:szCs w:val="24"/>
        </w:rPr>
        <w:t xml:space="preserve">provided </w:t>
      </w:r>
      <w:r w:rsidR="00307C9E" w:rsidRPr="00FB6138">
        <w:rPr>
          <w:rFonts w:ascii="Arial" w:hAnsi="Arial" w:cs="Arial"/>
          <w:sz w:val="24"/>
          <w:szCs w:val="24"/>
        </w:rPr>
        <w:t>that a failure to comply with the provisions in question constituted a criminal offence, enforcing the arbitral award would effectively sanction the very mischief which the Act sought to avoid, in breach of a statutory prohibition.</w:t>
      </w:r>
      <w:r w:rsidR="00C0664F">
        <w:rPr>
          <w:rFonts w:ascii="Arial" w:hAnsi="Arial" w:cs="Arial"/>
          <w:sz w:val="24"/>
          <w:szCs w:val="24"/>
        </w:rPr>
        <w:t xml:space="preserve"> Thus, it reversed the decision of the court a </w:t>
      </w:r>
      <w:r w:rsidR="00C0664F" w:rsidRPr="00C0664F">
        <w:rPr>
          <w:rFonts w:ascii="Arial" w:hAnsi="Arial" w:cs="Arial"/>
          <w:i/>
          <w:iCs/>
          <w:sz w:val="24"/>
          <w:szCs w:val="24"/>
        </w:rPr>
        <w:t>quo</w:t>
      </w:r>
      <w:r w:rsidR="00C0664F">
        <w:rPr>
          <w:rFonts w:ascii="Arial" w:hAnsi="Arial" w:cs="Arial"/>
          <w:i/>
          <w:iCs/>
          <w:sz w:val="24"/>
          <w:szCs w:val="24"/>
        </w:rPr>
        <w:t>.</w:t>
      </w:r>
    </w:p>
    <w:p w14:paraId="0A0A4121" w14:textId="22C37DEE" w:rsidR="00307C9E"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44.</w:t>
      </w:r>
      <w:r>
        <w:rPr>
          <w:rFonts w:ascii="Arial" w:hAnsi="Arial" w:cs="Arial"/>
          <w:sz w:val="24"/>
          <w:szCs w:val="24"/>
        </w:rPr>
        <w:tab/>
      </w:r>
      <w:r w:rsidR="00307C9E">
        <w:rPr>
          <w:rFonts w:ascii="Arial" w:hAnsi="Arial" w:cs="Arial"/>
          <w:sz w:val="24"/>
          <w:szCs w:val="24"/>
        </w:rPr>
        <w:t>The Constitutional Court endorsed the principal findings of the majority</w:t>
      </w:r>
      <w:r w:rsidR="00C0664F">
        <w:rPr>
          <w:rFonts w:ascii="Arial" w:hAnsi="Arial" w:cs="Arial"/>
          <w:sz w:val="24"/>
          <w:szCs w:val="24"/>
        </w:rPr>
        <w:t xml:space="preserve"> in the SCA</w:t>
      </w:r>
      <w:r w:rsidR="00307C9E">
        <w:rPr>
          <w:rFonts w:ascii="Arial" w:hAnsi="Arial" w:cs="Arial"/>
          <w:sz w:val="24"/>
          <w:szCs w:val="24"/>
        </w:rPr>
        <w:t xml:space="preserve">. </w:t>
      </w:r>
      <w:r w:rsidR="00FB6138">
        <w:rPr>
          <w:rFonts w:ascii="Arial" w:hAnsi="Arial" w:cs="Arial"/>
          <w:sz w:val="24"/>
          <w:szCs w:val="24"/>
        </w:rPr>
        <w:t>It agreed that</w:t>
      </w:r>
      <w:r w:rsidR="00EC4845">
        <w:rPr>
          <w:rFonts w:ascii="Arial" w:hAnsi="Arial" w:cs="Arial"/>
          <w:sz w:val="24"/>
          <w:szCs w:val="24"/>
        </w:rPr>
        <w:t>,</w:t>
      </w:r>
      <w:r w:rsidR="00307C9E">
        <w:rPr>
          <w:rFonts w:ascii="Arial" w:hAnsi="Arial" w:cs="Arial"/>
          <w:sz w:val="24"/>
          <w:szCs w:val="24"/>
        </w:rPr>
        <w:t xml:space="preserve"> inasmuch as the </w:t>
      </w:r>
      <w:r w:rsidR="00FB6138">
        <w:rPr>
          <w:rFonts w:ascii="Arial" w:hAnsi="Arial" w:cs="Arial"/>
          <w:sz w:val="24"/>
          <w:szCs w:val="24"/>
        </w:rPr>
        <w:t>HCPMA</w:t>
      </w:r>
      <w:r w:rsidR="00307C9E">
        <w:rPr>
          <w:rFonts w:ascii="Arial" w:hAnsi="Arial" w:cs="Arial"/>
          <w:sz w:val="24"/>
          <w:szCs w:val="24"/>
        </w:rPr>
        <w:t xml:space="preserve"> was aimed at protecting </w:t>
      </w:r>
      <w:r w:rsidR="00FB6138">
        <w:rPr>
          <w:rFonts w:ascii="Arial" w:hAnsi="Arial" w:cs="Arial"/>
          <w:sz w:val="24"/>
          <w:szCs w:val="24"/>
        </w:rPr>
        <w:t>h</w:t>
      </w:r>
      <w:r w:rsidR="00307C9E">
        <w:rPr>
          <w:rFonts w:ascii="Arial" w:hAnsi="Arial" w:cs="Arial"/>
          <w:sz w:val="24"/>
          <w:szCs w:val="24"/>
        </w:rPr>
        <w:t>ousing consumers</w:t>
      </w:r>
      <w:r w:rsidR="00EC4845">
        <w:rPr>
          <w:rFonts w:ascii="Arial" w:hAnsi="Arial" w:cs="Arial"/>
          <w:sz w:val="24"/>
          <w:szCs w:val="24"/>
        </w:rPr>
        <w:t>,</w:t>
      </w:r>
      <w:r w:rsidR="00307C9E">
        <w:rPr>
          <w:rFonts w:ascii="Arial" w:hAnsi="Arial" w:cs="Arial"/>
          <w:sz w:val="24"/>
          <w:szCs w:val="24"/>
        </w:rPr>
        <w:t xml:space="preserve"> the provisions in question envisaged that a homebuilder should be registered before performing any building works, either directly or via a </w:t>
      </w:r>
      <w:r w:rsidR="00307C9E">
        <w:rPr>
          <w:rFonts w:ascii="Arial" w:hAnsi="Arial" w:cs="Arial"/>
          <w:sz w:val="24"/>
          <w:szCs w:val="24"/>
        </w:rPr>
        <w:lastRenderedPageBreak/>
        <w:t xml:space="preserve">subcontractor. It </w:t>
      </w:r>
      <w:r w:rsidR="00FB6138">
        <w:rPr>
          <w:rFonts w:ascii="Arial" w:hAnsi="Arial" w:cs="Arial"/>
          <w:sz w:val="24"/>
          <w:szCs w:val="24"/>
        </w:rPr>
        <w:t xml:space="preserve">also </w:t>
      </w:r>
      <w:r w:rsidR="00307C9E">
        <w:rPr>
          <w:rFonts w:ascii="Arial" w:hAnsi="Arial" w:cs="Arial"/>
          <w:sz w:val="24"/>
          <w:szCs w:val="24"/>
        </w:rPr>
        <w:t xml:space="preserve">agreed that </w:t>
      </w:r>
      <w:r w:rsidR="00C0664F">
        <w:rPr>
          <w:rFonts w:ascii="Arial" w:hAnsi="Arial" w:cs="Arial"/>
          <w:sz w:val="24"/>
          <w:szCs w:val="24"/>
        </w:rPr>
        <w:t xml:space="preserve">although </w:t>
      </w:r>
      <w:r w:rsidR="00307C9E">
        <w:rPr>
          <w:rFonts w:ascii="Arial" w:hAnsi="Arial" w:cs="Arial"/>
          <w:sz w:val="24"/>
          <w:szCs w:val="24"/>
        </w:rPr>
        <w:t xml:space="preserve">the provisions did not render the building contract invalid, for the reasons advanced by the majority in the SCA public policy required that the court </w:t>
      </w:r>
      <w:r w:rsidR="009D7277">
        <w:rPr>
          <w:rFonts w:ascii="Arial" w:hAnsi="Arial" w:cs="Arial"/>
          <w:sz w:val="24"/>
          <w:szCs w:val="24"/>
        </w:rPr>
        <w:t xml:space="preserve">should </w:t>
      </w:r>
      <w:r w:rsidR="00307C9E">
        <w:rPr>
          <w:rFonts w:ascii="Arial" w:hAnsi="Arial" w:cs="Arial"/>
          <w:sz w:val="24"/>
          <w:szCs w:val="24"/>
        </w:rPr>
        <w:t>decline to make the arbitral award enforceable by means of an order of court, for doing so would result in the contravention of a statutory criminal prohibition which had been enacted for the laudable an</w:t>
      </w:r>
      <w:r w:rsidR="00162720">
        <w:rPr>
          <w:rFonts w:ascii="Arial" w:hAnsi="Arial" w:cs="Arial"/>
          <w:sz w:val="24"/>
          <w:szCs w:val="24"/>
        </w:rPr>
        <w:t>d</w:t>
      </w:r>
      <w:r w:rsidR="00307C9E">
        <w:rPr>
          <w:rFonts w:ascii="Arial" w:hAnsi="Arial" w:cs="Arial"/>
          <w:sz w:val="24"/>
          <w:szCs w:val="24"/>
        </w:rPr>
        <w:t xml:space="preserve"> important purpose of protecting </w:t>
      </w:r>
      <w:r w:rsidR="00162720">
        <w:rPr>
          <w:rFonts w:ascii="Arial" w:hAnsi="Arial" w:cs="Arial"/>
          <w:sz w:val="24"/>
          <w:szCs w:val="24"/>
        </w:rPr>
        <w:t>h</w:t>
      </w:r>
      <w:r w:rsidR="00307C9E">
        <w:rPr>
          <w:rFonts w:ascii="Arial" w:hAnsi="Arial" w:cs="Arial"/>
          <w:sz w:val="24"/>
          <w:szCs w:val="24"/>
        </w:rPr>
        <w:t>ousing consumers.</w:t>
      </w:r>
    </w:p>
    <w:p w14:paraId="4AE8E6E3" w14:textId="47AF14F3" w:rsidR="00307C9E" w:rsidRPr="00DD6BF6" w:rsidRDefault="00601627" w:rsidP="00601627">
      <w:pPr>
        <w:adjustRightInd w:val="0"/>
        <w:spacing w:after="0" w:line="360" w:lineRule="auto"/>
        <w:ind w:left="720" w:hanging="720"/>
        <w:contextualSpacing/>
        <w:jc w:val="both"/>
        <w:textAlignment w:val="baseline"/>
        <w:rPr>
          <w:rFonts w:ascii="Arial" w:hAnsi="Arial" w:cs="Arial"/>
          <w:sz w:val="24"/>
          <w:szCs w:val="24"/>
        </w:rPr>
      </w:pPr>
      <w:r w:rsidRPr="00DD6BF6">
        <w:rPr>
          <w:rFonts w:ascii="Arial" w:hAnsi="Arial" w:cs="Arial"/>
          <w:sz w:val="24"/>
          <w:szCs w:val="24"/>
        </w:rPr>
        <w:t>45.</w:t>
      </w:r>
      <w:r w:rsidRPr="00DD6BF6">
        <w:rPr>
          <w:rFonts w:ascii="Arial" w:hAnsi="Arial" w:cs="Arial"/>
          <w:sz w:val="24"/>
          <w:szCs w:val="24"/>
        </w:rPr>
        <w:tab/>
      </w:r>
      <w:r w:rsidR="00711419" w:rsidRPr="00DD6BF6">
        <w:rPr>
          <w:rFonts w:ascii="Arial" w:hAnsi="Arial" w:cs="Arial"/>
          <w:sz w:val="24"/>
          <w:szCs w:val="24"/>
        </w:rPr>
        <w:t xml:space="preserve">Ironically, notwithstanding the outcome in </w:t>
      </w:r>
      <w:r w:rsidR="00711419" w:rsidRPr="00DD6BF6">
        <w:rPr>
          <w:rFonts w:ascii="Arial" w:hAnsi="Arial" w:cs="Arial"/>
          <w:i/>
          <w:iCs/>
          <w:sz w:val="24"/>
          <w:szCs w:val="24"/>
        </w:rPr>
        <w:t>Cool Ideas</w:t>
      </w:r>
      <w:r w:rsidR="00711419" w:rsidRPr="00DD6BF6">
        <w:rPr>
          <w:rFonts w:ascii="Arial" w:hAnsi="Arial" w:cs="Arial"/>
          <w:sz w:val="24"/>
          <w:szCs w:val="24"/>
        </w:rPr>
        <w:t xml:space="preserve"> t</w:t>
      </w:r>
      <w:r w:rsidR="00307C9E" w:rsidRPr="00DD6BF6">
        <w:rPr>
          <w:rFonts w:ascii="Arial" w:hAnsi="Arial" w:cs="Arial"/>
          <w:sz w:val="24"/>
          <w:szCs w:val="24"/>
        </w:rPr>
        <w:t xml:space="preserve">he </w:t>
      </w:r>
      <w:r w:rsidR="00711419" w:rsidRPr="00DD6BF6">
        <w:rPr>
          <w:rFonts w:ascii="Arial" w:hAnsi="Arial" w:cs="Arial"/>
          <w:sz w:val="24"/>
          <w:szCs w:val="24"/>
        </w:rPr>
        <w:t>respondent</w:t>
      </w:r>
      <w:r w:rsidR="001B4926" w:rsidRPr="00DD6BF6">
        <w:rPr>
          <w:rFonts w:ascii="Arial" w:hAnsi="Arial" w:cs="Arial"/>
          <w:sz w:val="24"/>
          <w:szCs w:val="24"/>
        </w:rPr>
        <w:t xml:space="preserve"> </w:t>
      </w:r>
      <w:r w:rsidR="006D1BFE" w:rsidRPr="00DD6BF6">
        <w:rPr>
          <w:rFonts w:ascii="Arial" w:hAnsi="Arial" w:cs="Arial"/>
          <w:sz w:val="24"/>
          <w:szCs w:val="24"/>
        </w:rPr>
        <w:t>relies on a dictum in the judgment of the majority in the CC,</w:t>
      </w:r>
      <w:r w:rsidR="006D1BFE">
        <w:rPr>
          <w:rStyle w:val="FootnoteReference"/>
          <w:rFonts w:ascii="Arial" w:hAnsi="Arial" w:cs="Arial"/>
          <w:sz w:val="24"/>
          <w:szCs w:val="24"/>
        </w:rPr>
        <w:footnoteReference w:id="24"/>
      </w:r>
      <w:r w:rsidR="006D1BFE" w:rsidRPr="00DD6BF6">
        <w:rPr>
          <w:rFonts w:ascii="Arial" w:hAnsi="Arial" w:cs="Arial"/>
          <w:sz w:val="24"/>
          <w:szCs w:val="24"/>
        </w:rPr>
        <w:t xml:space="preserve"> wh</w:t>
      </w:r>
      <w:r w:rsidR="009D7277" w:rsidRPr="00DD6BF6">
        <w:rPr>
          <w:rFonts w:ascii="Arial" w:hAnsi="Arial" w:cs="Arial"/>
          <w:sz w:val="24"/>
          <w:szCs w:val="24"/>
        </w:rPr>
        <w:t>ich</w:t>
      </w:r>
      <w:r w:rsidR="006D1BFE" w:rsidRPr="00DD6BF6">
        <w:rPr>
          <w:rFonts w:ascii="Arial" w:hAnsi="Arial" w:cs="Arial"/>
          <w:sz w:val="24"/>
          <w:szCs w:val="24"/>
        </w:rPr>
        <w:t xml:space="preserve"> </w:t>
      </w:r>
      <w:r w:rsidR="00307C9E" w:rsidRPr="00DD6BF6">
        <w:rPr>
          <w:rFonts w:ascii="Arial" w:hAnsi="Arial" w:cs="Arial"/>
          <w:sz w:val="24"/>
          <w:szCs w:val="24"/>
        </w:rPr>
        <w:t>held that it is not inevitable that a court will never enforce an arbitral award</w:t>
      </w:r>
      <w:r w:rsidR="0045213F" w:rsidRPr="00DD6BF6">
        <w:rPr>
          <w:rFonts w:ascii="Arial" w:hAnsi="Arial" w:cs="Arial"/>
          <w:sz w:val="24"/>
          <w:szCs w:val="24"/>
        </w:rPr>
        <w:t xml:space="preserve"> which is at odds with </w:t>
      </w:r>
      <w:r w:rsidR="001B4926" w:rsidRPr="00DD6BF6">
        <w:rPr>
          <w:rFonts w:ascii="Arial" w:hAnsi="Arial" w:cs="Arial"/>
          <w:sz w:val="24"/>
          <w:szCs w:val="24"/>
        </w:rPr>
        <w:t>a</w:t>
      </w:r>
      <w:r w:rsidR="0045213F" w:rsidRPr="00DD6BF6">
        <w:rPr>
          <w:rFonts w:ascii="Arial" w:hAnsi="Arial" w:cs="Arial"/>
          <w:sz w:val="24"/>
          <w:szCs w:val="24"/>
        </w:rPr>
        <w:t xml:space="preserve"> statutory prohibition</w:t>
      </w:r>
      <w:r w:rsidR="00AE1F4C" w:rsidRPr="00DD6BF6">
        <w:rPr>
          <w:rFonts w:ascii="Arial" w:hAnsi="Arial" w:cs="Arial"/>
          <w:sz w:val="24"/>
          <w:szCs w:val="24"/>
        </w:rPr>
        <w:t>,</w:t>
      </w:r>
      <w:r w:rsidR="005B5F84" w:rsidRPr="00DD6BF6">
        <w:rPr>
          <w:rFonts w:ascii="Arial" w:hAnsi="Arial" w:cs="Arial"/>
          <w:sz w:val="24"/>
          <w:szCs w:val="24"/>
        </w:rPr>
        <w:t xml:space="preserve"> and</w:t>
      </w:r>
      <w:r w:rsidR="00711419" w:rsidRPr="00DD6BF6">
        <w:rPr>
          <w:rFonts w:ascii="Arial" w:hAnsi="Arial" w:cs="Arial"/>
          <w:sz w:val="24"/>
          <w:szCs w:val="24"/>
        </w:rPr>
        <w:t xml:space="preserve"> c</w:t>
      </w:r>
      <w:r w:rsidR="0045213F" w:rsidRPr="00DD6BF6">
        <w:rPr>
          <w:rFonts w:ascii="Arial" w:hAnsi="Arial" w:cs="Arial"/>
          <w:sz w:val="24"/>
          <w:szCs w:val="24"/>
        </w:rPr>
        <w:t>onstitutional values required courts to be careful not to undermine the achievement of the aims and goals of private arbitration</w:t>
      </w:r>
      <w:r w:rsidR="005B5F84" w:rsidRPr="00DD6BF6">
        <w:rPr>
          <w:rFonts w:ascii="Arial" w:hAnsi="Arial" w:cs="Arial"/>
          <w:sz w:val="24"/>
          <w:szCs w:val="24"/>
        </w:rPr>
        <w:t>. Consequently,</w:t>
      </w:r>
      <w:r w:rsidR="0045213F" w:rsidRPr="00DD6BF6">
        <w:rPr>
          <w:rFonts w:ascii="Arial" w:hAnsi="Arial" w:cs="Arial"/>
          <w:sz w:val="24"/>
          <w:szCs w:val="24"/>
        </w:rPr>
        <w:t xml:space="preserve"> </w:t>
      </w:r>
      <w:r w:rsidR="00487D76">
        <w:rPr>
          <w:rFonts w:ascii="Arial" w:hAnsi="Arial" w:cs="Arial"/>
          <w:sz w:val="24"/>
          <w:szCs w:val="24"/>
        </w:rPr>
        <w:t>courts</w:t>
      </w:r>
      <w:r w:rsidR="0045213F" w:rsidRPr="00DD6BF6">
        <w:rPr>
          <w:rFonts w:ascii="Arial" w:hAnsi="Arial" w:cs="Arial"/>
          <w:sz w:val="24"/>
          <w:szCs w:val="24"/>
        </w:rPr>
        <w:t xml:space="preserve"> should ordinarily respect litigants</w:t>
      </w:r>
      <w:r w:rsidR="001B4926" w:rsidRPr="00DD6BF6">
        <w:rPr>
          <w:rFonts w:ascii="Arial" w:hAnsi="Arial" w:cs="Arial"/>
          <w:sz w:val="24"/>
          <w:szCs w:val="24"/>
        </w:rPr>
        <w:t>’</w:t>
      </w:r>
      <w:r w:rsidR="0045213F" w:rsidRPr="00DD6BF6">
        <w:rPr>
          <w:rFonts w:ascii="Arial" w:hAnsi="Arial" w:cs="Arial"/>
          <w:sz w:val="24"/>
          <w:szCs w:val="24"/>
        </w:rPr>
        <w:t xml:space="preserve"> choice to have their disputes resolved by way of alternative dispute resolution procedures</w:t>
      </w:r>
      <w:r w:rsidR="00487D76">
        <w:rPr>
          <w:rFonts w:ascii="Arial" w:hAnsi="Arial" w:cs="Arial"/>
          <w:sz w:val="24"/>
          <w:szCs w:val="24"/>
        </w:rPr>
        <w:t>.</w:t>
      </w:r>
      <w:r w:rsidR="0045213F">
        <w:rPr>
          <w:rStyle w:val="FootnoteReference"/>
          <w:rFonts w:ascii="Arial" w:hAnsi="Arial" w:cs="Arial"/>
          <w:sz w:val="24"/>
          <w:szCs w:val="24"/>
        </w:rPr>
        <w:footnoteReference w:id="25"/>
      </w:r>
      <w:r w:rsidR="00F8255A" w:rsidRPr="00DD6BF6">
        <w:rPr>
          <w:rFonts w:ascii="Arial" w:hAnsi="Arial" w:cs="Arial"/>
          <w:sz w:val="24"/>
          <w:szCs w:val="24"/>
        </w:rPr>
        <w:t xml:space="preserve"> </w:t>
      </w:r>
      <w:r w:rsidR="00487D76">
        <w:rPr>
          <w:rFonts w:ascii="Arial" w:hAnsi="Arial" w:cs="Arial"/>
          <w:sz w:val="24"/>
          <w:szCs w:val="24"/>
        </w:rPr>
        <w:t>If they</w:t>
      </w:r>
      <w:r w:rsidR="00F8255A" w:rsidRPr="00DD6BF6">
        <w:rPr>
          <w:rFonts w:ascii="Arial" w:hAnsi="Arial" w:cs="Arial"/>
          <w:sz w:val="24"/>
          <w:szCs w:val="24"/>
        </w:rPr>
        <w:t xml:space="preserve"> refused ‘too freely’ to enforce arbitral award</w:t>
      </w:r>
      <w:r w:rsidR="009D7277" w:rsidRPr="00DD6BF6">
        <w:rPr>
          <w:rFonts w:ascii="Arial" w:hAnsi="Arial" w:cs="Arial"/>
          <w:sz w:val="24"/>
          <w:szCs w:val="24"/>
        </w:rPr>
        <w:t>s</w:t>
      </w:r>
      <w:r w:rsidR="00F8255A" w:rsidRPr="00DD6BF6">
        <w:rPr>
          <w:rFonts w:ascii="Arial" w:hAnsi="Arial" w:cs="Arial"/>
          <w:sz w:val="24"/>
          <w:szCs w:val="24"/>
        </w:rPr>
        <w:t xml:space="preserve"> it would erode the</w:t>
      </w:r>
      <w:r w:rsidR="00411A29" w:rsidRPr="00DD6BF6">
        <w:rPr>
          <w:rFonts w:ascii="Arial" w:hAnsi="Arial" w:cs="Arial"/>
          <w:sz w:val="24"/>
          <w:szCs w:val="24"/>
        </w:rPr>
        <w:t xml:space="preserve"> utility of arbitration as an expeditious means of resolving disputes.</w:t>
      </w:r>
      <w:r w:rsidR="00411A29">
        <w:rPr>
          <w:rStyle w:val="FootnoteReference"/>
          <w:rFonts w:ascii="Arial" w:hAnsi="Arial" w:cs="Arial"/>
          <w:sz w:val="24"/>
          <w:szCs w:val="24"/>
        </w:rPr>
        <w:footnoteReference w:id="26"/>
      </w:r>
      <w:r w:rsidR="00F8255A" w:rsidRPr="00DD6BF6">
        <w:rPr>
          <w:rFonts w:ascii="Arial" w:hAnsi="Arial" w:cs="Arial"/>
          <w:sz w:val="24"/>
          <w:szCs w:val="24"/>
        </w:rPr>
        <w:t xml:space="preserve"> </w:t>
      </w:r>
      <w:r w:rsidR="00411A29" w:rsidRPr="00DD6BF6">
        <w:rPr>
          <w:rFonts w:ascii="Arial" w:hAnsi="Arial" w:cs="Arial"/>
          <w:sz w:val="24"/>
          <w:szCs w:val="24"/>
        </w:rPr>
        <w:t xml:space="preserve">Thus, courts </w:t>
      </w:r>
      <w:r w:rsidR="00470B14">
        <w:rPr>
          <w:rFonts w:ascii="Arial" w:hAnsi="Arial" w:cs="Arial"/>
          <w:sz w:val="24"/>
          <w:szCs w:val="24"/>
        </w:rPr>
        <w:t>a</w:t>
      </w:r>
      <w:r w:rsidR="00411A29" w:rsidRPr="00DD6BF6">
        <w:rPr>
          <w:rFonts w:ascii="Arial" w:hAnsi="Arial" w:cs="Arial"/>
          <w:sz w:val="24"/>
          <w:szCs w:val="24"/>
        </w:rPr>
        <w:t xml:space="preserve">re required to weigh up the force of </w:t>
      </w:r>
      <w:r w:rsidR="009D7277" w:rsidRPr="00DD6BF6">
        <w:rPr>
          <w:rFonts w:ascii="Arial" w:hAnsi="Arial" w:cs="Arial"/>
          <w:sz w:val="24"/>
          <w:szCs w:val="24"/>
        </w:rPr>
        <w:t>a particular</w:t>
      </w:r>
      <w:r w:rsidR="00411A29" w:rsidRPr="00DD6BF6">
        <w:rPr>
          <w:rFonts w:ascii="Arial" w:hAnsi="Arial" w:cs="Arial"/>
          <w:sz w:val="24"/>
          <w:szCs w:val="24"/>
        </w:rPr>
        <w:t xml:space="preserve"> statutory prohibition </w:t>
      </w:r>
      <w:r w:rsidR="001F58BA" w:rsidRPr="00DD6BF6">
        <w:rPr>
          <w:rFonts w:ascii="Arial" w:hAnsi="Arial" w:cs="Arial"/>
          <w:sz w:val="24"/>
          <w:szCs w:val="24"/>
        </w:rPr>
        <w:t xml:space="preserve">or injunction </w:t>
      </w:r>
      <w:r w:rsidR="00411A29" w:rsidRPr="00DD6BF6">
        <w:rPr>
          <w:rFonts w:ascii="Arial" w:hAnsi="Arial" w:cs="Arial"/>
          <w:sz w:val="24"/>
          <w:szCs w:val="24"/>
        </w:rPr>
        <w:t>against the goals of private arbitration</w:t>
      </w:r>
      <w:r w:rsidR="00711419" w:rsidRPr="00DD6BF6">
        <w:rPr>
          <w:rFonts w:ascii="Arial" w:hAnsi="Arial" w:cs="Arial"/>
          <w:sz w:val="24"/>
          <w:szCs w:val="24"/>
        </w:rPr>
        <w:t>, when considering whether to enforce an arbitral award</w:t>
      </w:r>
      <w:r w:rsidR="00411A29" w:rsidRPr="00DD6BF6">
        <w:rPr>
          <w:rFonts w:ascii="Arial" w:hAnsi="Arial" w:cs="Arial"/>
          <w:sz w:val="24"/>
          <w:szCs w:val="24"/>
        </w:rPr>
        <w:t>.</w:t>
      </w:r>
      <w:r w:rsidR="00411A29">
        <w:rPr>
          <w:rStyle w:val="FootnoteReference"/>
          <w:rFonts w:ascii="Arial" w:hAnsi="Arial" w:cs="Arial"/>
          <w:sz w:val="24"/>
          <w:szCs w:val="24"/>
        </w:rPr>
        <w:footnoteReference w:id="27"/>
      </w:r>
      <w:r w:rsidR="00F8255A" w:rsidRPr="00DD6BF6">
        <w:rPr>
          <w:rFonts w:ascii="Arial" w:hAnsi="Arial" w:cs="Arial"/>
          <w:sz w:val="24"/>
          <w:szCs w:val="24"/>
        </w:rPr>
        <w:t xml:space="preserve"> </w:t>
      </w:r>
      <w:r w:rsidR="009D7277" w:rsidRPr="00DD6BF6">
        <w:rPr>
          <w:rFonts w:ascii="Arial" w:hAnsi="Arial" w:cs="Arial"/>
          <w:sz w:val="24"/>
          <w:szCs w:val="24"/>
        </w:rPr>
        <w:t>T</w:t>
      </w:r>
      <w:r w:rsidR="00044159" w:rsidRPr="00DD6BF6">
        <w:rPr>
          <w:rFonts w:ascii="Arial" w:hAnsi="Arial" w:cs="Arial"/>
          <w:sz w:val="24"/>
          <w:szCs w:val="24"/>
        </w:rPr>
        <w:t>hat said</w:t>
      </w:r>
      <w:r w:rsidR="009D7277" w:rsidRPr="00DD6BF6">
        <w:rPr>
          <w:rFonts w:ascii="Arial" w:hAnsi="Arial" w:cs="Arial"/>
          <w:sz w:val="24"/>
          <w:szCs w:val="24"/>
        </w:rPr>
        <w:t>,</w:t>
      </w:r>
      <w:r w:rsidR="00044159" w:rsidRPr="00DD6BF6">
        <w:rPr>
          <w:rFonts w:ascii="Arial" w:hAnsi="Arial" w:cs="Arial"/>
          <w:sz w:val="24"/>
          <w:szCs w:val="24"/>
        </w:rPr>
        <w:t xml:space="preserve"> </w:t>
      </w:r>
      <w:r w:rsidR="00711419" w:rsidRPr="00DD6BF6">
        <w:rPr>
          <w:rFonts w:ascii="Arial" w:hAnsi="Arial" w:cs="Arial"/>
          <w:sz w:val="24"/>
          <w:szCs w:val="24"/>
        </w:rPr>
        <w:t xml:space="preserve">the </w:t>
      </w:r>
      <w:r w:rsidR="005B5F84" w:rsidRPr="00DD6BF6">
        <w:rPr>
          <w:rFonts w:ascii="Arial" w:hAnsi="Arial" w:cs="Arial"/>
          <w:sz w:val="24"/>
          <w:szCs w:val="24"/>
        </w:rPr>
        <w:t xml:space="preserve">Constitutional </w:t>
      </w:r>
      <w:r w:rsidR="00711419" w:rsidRPr="00DD6BF6">
        <w:rPr>
          <w:rFonts w:ascii="Arial" w:hAnsi="Arial" w:cs="Arial"/>
          <w:sz w:val="24"/>
          <w:szCs w:val="24"/>
        </w:rPr>
        <w:t xml:space="preserve">Court </w:t>
      </w:r>
      <w:r w:rsidR="00BC55FE" w:rsidRPr="00DD6BF6">
        <w:rPr>
          <w:rFonts w:ascii="Arial" w:hAnsi="Arial" w:cs="Arial"/>
          <w:sz w:val="24"/>
          <w:szCs w:val="24"/>
        </w:rPr>
        <w:t>confirmed</w:t>
      </w:r>
      <w:r w:rsidR="00711419" w:rsidRPr="00DD6BF6">
        <w:rPr>
          <w:rFonts w:ascii="Arial" w:hAnsi="Arial" w:cs="Arial"/>
          <w:sz w:val="24"/>
          <w:szCs w:val="24"/>
        </w:rPr>
        <w:t xml:space="preserve"> that, if</w:t>
      </w:r>
      <w:r w:rsidR="00044159" w:rsidRPr="00DD6BF6">
        <w:rPr>
          <w:rFonts w:ascii="Arial" w:hAnsi="Arial" w:cs="Arial"/>
          <w:sz w:val="24"/>
          <w:szCs w:val="24"/>
        </w:rPr>
        <w:t xml:space="preserve"> making an arbitral award </w:t>
      </w:r>
      <w:r w:rsidR="009D7277" w:rsidRPr="00DD6BF6">
        <w:rPr>
          <w:rFonts w:ascii="Arial" w:hAnsi="Arial" w:cs="Arial"/>
          <w:sz w:val="24"/>
          <w:szCs w:val="24"/>
        </w:rPr>
        <w:t xml:space="preserve">enforceable by an </w:t>
      </w:r>
      <w:r w:rsidR="00044159" w:rsidRPr="00DD6BF6">
        <w:rPr>
          <w:rFonts w:ascii="Arial" w:hAnsi="Arial" w:cs="Arial"/>
          <w:sz w:val="24"/>
          <w:szCs w:val="24"/>
        </w:rPr>
        <w:t xml:space="preserve">order of court would sanction </w:t>
      </w:r>
      <w:r w:rsidR="009D7277" w:rsidRPr="00DD6BF6">
        <w:rPr>
          <w:rFonts w:ascii="Arial" w:hAnsi="Arial" w:cs="Arial"/>
          <w:sz w:val="24"/>
          <w:szCs w:val="24"/>
        </w:rPr>
        <w:t xml:space="preserve">a </w:t>
      </w:r>
      <w:r w:rsidR="00044159" w:rsidRPr="00DD6BF6">
        <w:rPr>
          <w:rFonts w:ascii="Arial" w:hAnsi="Arial" w:cs="Arial"/>
          <w:sz w:val="24"/>
          <w:szCs w:val="24"/>
        </w:rPr>
        <w:t xml:space="preserve">statutory prohibition or facilitate </w:t>
      </w:r>
      <w:r w:rsidR="009D7277" w:rsidRPr="00DD6BF6">
        <w:rPr>
          <w:rFonts w:ascii="Arial" w:hAnsi="Arial" w:cs="Arial"/>
          <w:sz w:val="24"/>
          <w:szCs w:val="24"/>
        </w:rPr>
        <w:t xml:space="preserve">an </w:t>
      </w:r>
      <w:r w:rsidR="00044159" w:rsidRPr="00DD6BF6">
        <w:rPr>
          <w:rFonts w:ascii="Arial" w:hAnsi="Arial" w:cs="Arial"/>
          <w:sz w:val="24"/>
          <w:szCs w:val="24"/>
        </w:rPr>
        <w:t>illegality</w:t>
      </w:r>
      <w:r w:rsidR="00711419" w:rsidRPr="00DD6BF6">
        <w:rPr>
          <w:rFonts w:ascii="Arial" w:hAnsi="Arial" w:cs="Arial"/>
          <w:sz w:val="24"/>
          <w:szCs w:val="24"/>
        </w:rPr>
        <w:t>,</w:t>
      </w:r>
      <w:r w:rsidR="00044159">
        <w:rPr>
          <w:rStyle w:val="FootnoteReference"/>
          <w:rFonts w:ascii="Arial" w:hAnsi="Arial" w:cs="Arial"/>
          <w:sz w:val="24"/>
          <w:szCs w:val="24"/>
        </w:rPr>
        <w:footnoteReference w:id="28"/>
      </w:r>
      <w:r w:rsidR="00044159" w:rsidRPr="00DD6BF6">
        <w:rPr>
          <w:rFonts w:ascii="Arial" w:hAnsi="Arial" w:cs="Arial"/>
          <w:sz w:val="24"/>
          <w:szCs w:val="24"/>
        </w:rPr>
        <w:t xml:space="preserve"> it would be contrary to public policy to do so.</w:t>
      </w:r>
      <w:r w:rsidR="00044159">
        <w:rPr>
          <w:rStyle w:val="FootnoteReference"/>
          <w:rFonts w:ascii="Arial" w:hAnsi="Arial" w:cs="Arial"/>
          <w:sz w:val="24"/>
          <w:szCs w:val="24"/>
        </w:rPr>
        <w:footnoteReference w:id="29"/>
      </w:r>
    </w:p>
    <w:p w14:paraId="48D8FF28" w14:textId="734F63A8" w:rsidR="00636543" w:rsidRPr="00B96898" w:rsidRDefault="00601627" w:rsidP="00601627">
      <w:pPr>
        <w:adjustRightInd w:val="0"/>
        <w:spacing w:after="0" w:line="360" w:lineRule="auto"/>
        <w:ind w:left="720" w:hanging="720"/>
        <w:contextualSpacing/>
        <w:jc w:val="both"/>
        <w:textAlignment w:val="baseline"/>
        <w:rPr>
          <w:rFonts w:ascii="Arial" w:hAnsi="Arial" w:cs="Arial"/>
          <w:sz w:val="24"/>
          <w:szCs w:val="24"/>
        </w:rPr>
      </w:pPr>
      <w:r w:rsidRPr="00B96898">
        <w:rPr>
          <w:rFonts w:ascii="Arial" w:hAnsi="Arial" w:cs="Arial"/>
          <w:sz w:val="24"/>
          <w:szCs w:val="24"/>
        </w:rPr>
        <w:t>46.</w:t>
      </w:r>
      <w:r w:rsidRPr="00B96898">
        <w:rPr>
          <w:rFonts w:ascii="Arial" w:hAnsi="Arial" w:cs="Arial"/>
          <w:sz w:val="24"/>
          <w:szCs w:val="24"/>
        </w:rPr>
        <w:tab/>
      </w:r>
      <w:r w:rsidR="009D7277" w:rsidRPr="00B96898">
        <w:rPr>
          <w:rFonts w:ascii="Arial" w:hAnsi="Arial" w:cs="Arial"/>
          <w:sz w:val="24"/>
          <w:szCs w:val="24"/>
        </w:rPr>
        <w:t>T</w:t>
      </w:r>
      <w:r w:rsidR="00044159" w:rsidRPr="00B96898">
        <w:rPr>
          <w:rFonts w:ascii="Arial" w:hAnsi="Arial" w:cs="Arial"/>
          <w:sz w:val="24"/>
          <w:szCs w:val="24"/>
        </w:rPr>
        <w:t xml:space="preserve">he </w:t>
      </w:r>
      <w:r w:rsidR="00711419" w:rsidRPr="00B96898">
        <w:rPr>
          <w:rFonts w:ascii="Arial" w:hAnsi="Arial" w:cs="Arial"/>
          <w:sz w:val="24"/>
          <w:szCs w:val="24"/>
        </w:rPr>
        <w:t>respondent</w:t>
      </w:r>
      <w:r w:rsidR="00044159" w:rsidRPr="00B96898">
        <w:rPr>
          <w:rFonts w:ascii="Arial" w:hAnsi="Arial" w:cs="Arial"/>
          <w:sz w:val="24"/>
          <w:szCs w:val="24"/>
        </w:rPr>
        <w:t xml:space="preserve"> seeks to distinguish </w:t>
      </w:r>
      <w:r w:rsidR="009D7277" w:rsidRPr="00B96898">
        <w:rPr>
          <w:rFonts w:ascii="Arial" w:hAnsi="Arial" w:cs="Arial"/>
          <w:i/>
          <w:iCs/>
          <w:sz w:val="24"/>
          <w:szCs w:val="24"/>
        </w:rPr>
        <w:t>C</w:t>
      </w:r>
      <w:r w:rsidR="00044159" w:rsidRPr="00B96898">
        <w:rPr>
          <w:rFonts w:ascii="Arial" w:hAnsi="Arial" w:cs="Arial"/>
          <w:i/>
          <w:iCs/>
          <w:sz w:val="24"/>
          <w:szCs w:val="24"/>
        </w:rPr>
        <w:t xml:space="preserve">ool </w:t>
      </w:r>
      <w:r w:rsidR="009D7277" w:rsidRPr="00B96898">
        <w:rPr>
          <w:rFonts w:ascii="Arial" w:hAnsi="Arial" w:cs="Arial"/>
          <w:i/>
          <w:iCs/>
          <w:sz w:val="24"/>
          <w:szCs w:val="24"/>
        </w:rPr>
        <w:t>I</w:t>
      </w:r>
      <w:r w:rsidR="00044159" w:rsidRPr="00B96898">
        <w:rPr>
          <w:rFonts w:ascii="Arial" w:hAnsi="Arial" w:cs="Arial"/>
          <w:i/>
          <w:iCs/>
          <w:sz w:val="24"/>
          <w:szCs w:val="24"/>
        </w:rPr>
        <w:t>deas</w:t>
      </w:r>
      <w:r w:rsidR="00044159" w:rsidRPr="00B96898">
        <w:rPr>
          <w:rFonts w:ascii="Arial" w:hAnsi="Arial" w:cs="Arial"/>
          <w:sz w:val="24"/>
          <w:szCs w:val="24"/>
        </w:rPr>
        <w:t xml:space="preserve"> from this matter</w:t>
      </w:r>
      <w:r w:rsidR="009D7277" w:rsidRPr="00B96898">
        <w:rPr>
          <w:rFonts w:ascii="Arial" w:hAnsi="Arial" w:cs="Arial"/>
          <w:sz w:val="24"/>
          <w:szCs w:val="24"/>
        </w:rPr>
        <w:t xml:space="preserve"> on </w:t>
      </w:r>
      <w:r w:rsidR="005B5F84" w:rsidRPr="00B96898">
        <w:rPr>
          <w:rFonts w:ascii="Arial" w:hAnsi="Arial" w:cs="Arial"/>
          <w:sz w:val="24"/>
          <w:szCs w:val="24"/>
        </w:rPr>
        <w:t>several</w:t>
      </w:r>
      <w:r w:rsidR="009D7277" w:rsidRPr="00B96898">
        <w:rPr>
          <w:rFonts w:ascii="Arial" w:hAnsi="Arial" w:cs="Arial"/>
          <w:sz w:val="24"/>
          <w:szCs w:val="24"/>
        </w:rPr>
        <w:t xml:space="preserve"> </w:t>
      </w:r>
      <w:r w:rsidR="00DC1CE6">
        <w:rPr>
          <w:rFonts w:ascii="Arial" w:hAnsi="Arial" w:cs="Arial"/>
          <w:sz w:val="24"/>
          <w:szCs w:val="24"/>
        </w:rPr>
        <w:t>bases</w:t>
      </w:r>
      <w:r w:rsidR="00044159" w:rsidRPr="00B96898">
        <w:rPr>
          <w:rFonts w:ascii="Arial" w:hAnsi="Arial" w:cs="Arial"/>
          <w:sz w:val="24"/>
          <w:szCs w:val="24"/>
        </w:rPr>
        <w:t>. He contends that unlike the provisions of the HPCM</w:t>
      </w:r>
      <w:r w:rsidR="009D7277" w:rsidRPr="00B96898">
        <w:rPr>
          <w:rFonts w:ascii="Arial" w:hAnsi="Arial" w:cs="Arial"/>
          <w:sz w:val="24"/>
          <w:szCs w:val="24"/>
        </w:rPr>
        <w:t>A which were applicable in that matter, the</w:t>
      </w:r>
      <w:r w:rsidR="00044159" w:rsidRPr="00B96898">
        <w:rPr>
          <w:rFonts w:ascii="Arial" w:hAnsi="Arial" w:cs="Arial"/>
          <w:sz w:val="24"/>
          <w:szCs w:val="24"/>
        </w:rPr>
        <w:t xml:space="preserve"> provisions of the NCA which are under consideration </w:t>
      </w:r>
      <w:r w:rsidR="009D7277" w:rsidRPr="00B96898">
        <w:rPr>
          <w:rFonts w:ascii="Arial" w:hAnsi="Arial" w:cs="Arial"/>
          <w:sz w:val="24"/>
          <w:szCs w:val="24"/>
        </w:rPr>
        <w:t>here</w:t>
      </w:r>
      <w:r w:rsidR="00044159" w:rsidRPr="00B96898">
        <w:rPr>
          <w:rFonts w:ascii="Arial" w:hAnsi="Arial" w:cs="Arial"/>
          <w:sz w:val="24"/>
          <w:szCs w:val="24"/>
        </w:rPr>
        <w:t xml:space="preserve"> do not provide that a failure to comply with </w:t>
      </w:r>
      <w:r w:rsidR="009D7277" w:rsidRPr="00B96898">
        <w:rPr>
          <w:rFonts w:ascii="Arial" w:hAnsi="Arial" w:cs="Arial"/>
          <w:sz w:val="24"/>
          <w:szCs w:val="24"/>
        </w:rPr>
        <w:t xml:space="preserve">them will </w:t>
      </w:r>
      <w:r w:rsidR="00044159" w:rsidRPr="00B96898">
        <w:rPr>
          <w:rFonts w:ascii="Arial" w:hAnsi="Arial" w:cs="Arial"/>
          <w:sz w:val="24"/>
          <w:szCs w:val="24"/>
        </w:rPr>
        <w:t>constitute a criminal offence</w:t>
      </w:r>
      <w:r w:rsidR="009D7277" w:rsidRPr="00B96898">
        <w:rPr>
          <w:rFonts w:ascii="Arial" w:hAnsi="Arial" w:cs="Arial"/>
          <w:sz w:val="24"/>
          <w:szCs w:val="24"/>
        </w:rPr>
        <w:t>,</w:t>
      </w:r>
      <w:r w:rsidR="00044159" w:rsidRPr="00B96898">
        <w:rPr>
          <w:rFonts w:ascii="Arial" w:hAnsi="Arial" w:cs="Arial"/>
          <w:sz w:val="24"/>
          <w:szCs w:val="24"/>
        </w:rPr>
        <w:t xml:space="preserve"> nor do they </w:t>
      </w:r>
      <w:r w:rsidR="009D7277" w:rsidRPr="00B96898">
        <w:rPr>
          <w:rFonts w:ascii="Arial" w:hAnsi="Arial" w:cs="Arial"/>
          <w:sz w:val="24"/>
          <w:szCs w:val="24"/>
        </w:rPr>
        <w:t xml:space="preserve">expressly </w:t>
      </w:r>
      <w:r w:rsidR="00711419" w:rsidRPr="00B96898">
        <w:rPr>
          <w:rFonts w:ascii="Arial" w:hAnsi="Arial" w:cs="Arial"/>
          <w:sz w:val="24"/>
          <w:szCs w:val="24"/>
        </w:rPr>
        <w:t xml:space="preserve">or impliedly </w:t>
      </w:r>
      <w:r w:rsidR="00044159" w:rsidRPr="00B96898">
        <w:rPr>
          <w:rFonts w:ascii="Arial" w:hAnsi="Arial" w:cs="Arial"/>
          <w:sz w:val="24"/>
          <w:szCs w:val="24"/>
        </w:rPr>
        <w:t xml:space="preserve">provide that </w:t>
      </w:r>
      <w:r w:rsidR="009D7277" w:rsidRPr="00B96898">
        <w:rPr>
          <w:rFonts w:ascii="Arial" w:hAnsi="Arial" w:cs="Arial"/>
          <w:sz w:val="24"/>
          <w:szCs w:val="24"/>
        </w:rPr>
        <w:t xml:space="preserve">as a party to the </w:t>
      </w:r>
      <w:r w:rsidR="00C8675C">
        <w:rPr>
          <w:rFonts w:ascii="Arial" w:hAnsi="Arial" w:cs="Arial"/>
          <w:sz w:val="24"/>
          <w:szCs w:val="24"/>
        </w:rPr>
        <w:t>third</w:t>
      </w:r>
      <w:r w:rsidR="009D7277" w:rsidRPr="00B96898">
        <w:rPr>
          <w:rFonts w:ascii="Arial" w:hAnsi="Arial" w:cs="Arial"/>
          <w:sz w:val="24"/>
          <w:szCs w:val="24"/>
        </w:rPr>
        <w:t xml:space="preserve"> AOD the </w:t>
      </w:r>
      <w:r w:rsidR="00044159" w:rsidRPr="00B96898">
        <w:rPr>
          <w:rFonts w:ascii="Arial" w:hAnsi="Arial" w:cs="Arial"/>
          <w:sz w:val="24"/>
          <w:szCs w:val="24"/>
        </w:rPr>
        <w:t>respondent</w:t>
      </w:r>
      <w:r w:rsidR="009D7277" w:rsidRPr="00B96898">
        <w:rPr>
          <w:rFonts w:ascii="Arial" w:hAnsi="Arial" w:cs="Arial"/>
          <w:sz w:val="24"/>
          <w:szCs w:val="24"/>
        </w:rPr>
        <w:t>, as creditor,</w:t>
      </w:r>
      <w:r w:rsidR="00044159" w:rsidRPr="00B96898">
        <w:rPr>
          <w:rFonts w:ascii="Arial" w:hAnsi="Arial" w:cs="Arial"/>
          <w:sz w:val="24"/>
          <w:szCs w:val="24"/>
        </w:rPr>
        <w:t xml:space="preserve"> </w:t>
      </w:r>
      <w:r w:rsidR="00D05573">
        <w:rPr>
          <w:rFonts w:ascii="Arial" w:hAnsi="Arial" w:cs="Arial"/>
          <w:sz w:val="24"/>
          <w:szCs w:val="24"/>
        </w:rPr>
        <w:t>i</w:t>
      </w:r>
      <w:r w:rsidR="009D7277" w:rsidRPr="00B96898">
        <w:rPr>
          <w:rFonts w:ascii="Arial" w:hAnsi="Arial" w:cs="Arial"/>
          <w:sz w:val="24"/>
          <w:szCs w:val="24"/>
        </w:rPr>
        <w:t xml:space="preserve">s not entitled to </w:t>
      </w:r>
      <w:r w:rsidR="00044159" w:rsidRPr="00B96898">
        <w:rPr>
          <w:rFonts w:ascii="Arial" w:hAnsi="Arial" w:cs="Arial"/>
          <w:sz w:val="24"/>
          <w:szCs w:val="24"/>
        </w:rPr>
        <w:t xml:space="preserve">receive </w:t>
      </w:r>
      <w:r w:rsidR="009D7277" w:rsidRPr="00B96898">
        <w:rPr>
          <w:rFonts w:ascii="Arial" w:hAnsi="Arial" w:cs="Arial"/>
          <w:sz w:val="24"/>
          <w:szCs w:val="24"/>
        </w:rPr>
        <w:t xml:space="preserve">any </w:t>
      </w:r>
      <w:r w:rsidR="00044159" w:rsidRPr="00B96898">
        <w:rPr>
          <w:rFonts w:ascii="Arial" w:hAnsi="Arial" w:cs="Arial"/>
          <w:sz w:val="24"/>
          <w:szCs w:val="24"/>
        </w:rPr>
        <w:t>consideration under</w:t>
      </w:r>
      <w:r w:rsidR="00EC4845">
        <w:rPr>
          <w:rFonts w:ascii="Arial" w:hAnsi="Arial" w:cs="Arial"/>
          <w:sz w:val="24"/>
          <w:szCs w:val="24"/>
        </w:rPr>
        <w:t>,</w:t>
      </w:r>
      <w:r w:rsidR="00044159" w:rsidRPr="00B96898">
        <w:rPr>
          <w:rFonts w:ascii="Arial" w:hAnsi="Arial" w:cs="Arial"/>
          <w:sz w:val="24"/>
          <w:szCs w:val="24"/>
        </w:rPr>
        <w:t xml:space="preserve"> or in terms of</w:t>
      </w:r>
      <w:r w:rsidR="00EC4845">
        <w:rPr>
          <w:rFonts w:ascii="Arial" w:hAnsi="Arial" w:cs="Arial"/>
          <w:sz w:val="24"/>
          <w:szCs w:val="24"/>
        </w:rPr>
        <w:t>,</w:t>
      </w:r>
      <w:r w:rsidR="00044159" w:rsidRPr="00B96898">
        <w:rPr>
          <w:rFonts w:ascii="Arial" w:hAnsi="Arial" w:cs="Arial"/>
          <w:sz w:val="24"/>
          <w:szCs w:val="24"/>
        </w:rPr>
        <w:t xml:space="preserve"> </w:t>
      </w:r>
      <w:r w:rsidR="00DD6BF6">
        <w:rPr>
          <w:rFonts w:ascii="Arial" w:hAnsi="Arial" w:cs="Arial"/>
          <w:sz w:val="24"/>
          <w:szCs w:val="24"/>
        </w:rPr>
        <w:t>it</w:t>
      </w:r>
      <w:r w:rsidR="009D7277" w:rsidRPr="00B96898">
        <w:rPr>
          <w:rFonts w:ascii="Arial" w:hAnsi="Arial" w:cs="Arial"/>
          <w:sz w:val="24"/>
          <w:szCs w:val="24"/>
        </w:rPr>
        <w:t>.</w:t>
      </w:r>
      <w:r w:rsidR="00044159" w:rsidRPr="00B96898">
        <w:rPr>
          <w:rFonts w:ascii="Arial" w:hAnsi="Arial" w:cs="Arial"/>
          <w:sz w:val="24"/>
          <w:szCs w:val="24"/>
        </w:rPr>
        <w:t xml:space="preserve"> </w:t>
      </w:r>
      <w:r w:rsidR="001D2645">
        <w:rPr>
          <w:rFonts w:ascii="Arial" w:hAnsi="Arial" w:cs="Arial"/>
          <w:sz w:val="24"/>
          <w:szCs w:val="24"/>
        </w:rPr>
        <w:t>Furthermore,</w:t>
      </w:r>
      <w:r w:rsidR="00044159" w:rsidRPr="00B96898">
        <w:rPr>
          <w:rFonts w:ascii="Arial" w:hAnsi="Arial" w:cs="Arial"/>
          <w:sz w:val="24"/>
          <w:szCs w:val="24"/>
        </w:rPr>
        <w:t xml:space="preserve"> unlike </w:t>
      </w:r>
      <w:r w:rsidR="0027121F" w:rsidRPr="00B96898">
        <w:rPr>
          <w:rFonts w:ascii="Arial" w:hAnsi="Arial" w:cs="Arial"/>
          <w:sz w:val="24"/>
          <w:szCs w:val="24"/>
        </w:rPr>
        <w:t xml:space="preserve">in </w:t>
      </w:r>
      <w:r w:rsidR="0027121F" w:rsidRPr="00B96898">
        <w:rPr>
          <w:rFonts w:ascii="Arial" w:hAnsi="Arial" w:cs="Arial"/>
          <w:i/>
          <w:iCs/>
          <w:sz w:val="24"/>
          <w:szCs w:val="24"/>
        </w:rPr>
        <w:t>C</w:t>
      </w:r>
      <w:r w:rsidR="00044159" w:rsidRPr="00B96898">
        <w:rPr>
          <w:rFonts w:ascii="Arial" w:hAnsi="Arial" w:cs="Arial"/>
          <w:i/>
          <w:iCs/>
          <w:sz w:val="24"/>
          <w:szCs w:val="24"/>
        </w:rPr>
        <w:t xml:space="preserve">ool </w:t>
      </w:r>
      <w:r w:rsidR="0027121F" w:rsidRPr="00B96898">
        <w:rPr>
          <w:rFonts w:ascii="Arial" w:hAnsi="Arial" w:cs="Arial"/>
          <w:i/>
          <w:iCs/>
          <w:sz w:val="24"/>
          <w:szCs w:val="24"/>
        </w:rPr>
        <w:t>I</w:t>
      </w:r>
      <w:r w:rsidR="00044159" w:rsidRPr="00B96898">
        <w:rPr>
          <w:rFonts w:ascii="Arial" w:hAnsi="Arial" w:cs="Arial"/>
          <w:i/>
          <w:iCs/>
          <w:sz w:val="24"/>
          <w:szCs w:val="24"/>
        </w:rPr>
        <w:t>deas</w:t>
      </w:r>
      <w:r w:rsidR="00044159" w:rsidRPr="00B96898">
        <w:rPr>
          <w:rFonts w:ascii="Arial" w:hAnsi="Arial" w:cs="Arial"/>
          <w:sz w:val="24"/>
          <w:szCs w:val="24"/>
        </w:rPr>
        <w:t xml:space="preserve"> the arbitral award in this matter </w:t>
      </w:r>
      <w:r w:rsidR="00D05573">
        <w:rPr>
          <w:rFonts w:ascii="Arial" w:hAnsi="Arial" w:cs="Arial"/>
          <w:sz w:val="24"/>
          <w:szCs w:val="24"/>
        </w:rPr>
        <w:t>i</w:t>
      </w:r>
      <w:r w:rsidR="00487D76">
        <w:rPr>
          <w:rFonts w:ascii="Arial" w:hAnsi="Arial" w:cs="Arial"/>
          <w:sz w:val="24"/>
          <w:szCs w:val="24"/>
        </w:rPr>
        <w:t>s based on</w:t>
      </w:r>
      <w:r w:rsidR="00044159" w:rsidRPr="00B96898">
        <w:rPr>
          <w:rFonts w:ascii="Arial" w:hAnsi="Arial" w:cs="Arial"/>
          <w:sz w:val="24"/>
          <w:szCs w:val="24"/>
        </w:rPr>
        <w:t xml:space="preserve"> a </w:t>
      </w:r>
      <w:r w:rsidR="00044159" w:rsidRPr="00B96898">
        <w:rPr>
          <w:rFonts w:ascii="Arial" w:hAnsi="Arial" w:cs="Arial"/>
          <w:sz w:val="24"/>
          <w:szCs w:val="24"/>
        </w:rPr>
        <w:lastRenderedPageBreak/>
        <w:t>settlement agreement which constituted a compromise</w:t>
      </w:r>
      <w:r w:rsidR="00DD6BF6">
        <w:rPr>
          <w:rFonts w:ascii="Arial" w:hAnsi="Arial" w:cs="Arial"/>
          <w:sz w:val="24"/>
          <w:szCs w:val="24"/>
        </w:rPr>
        <w:t>,</w:t>
      </w:r>
      <w:r w:rsidR="00044159" w:rsidRPr="00B96898">
        <w:rPr>
          <w:rFonts w:ascii="Arial" w:hAnsi="Arial" w:cs="Arial"/>
          <w:sz w:val="24"/>
          <w:szCs w:val="24"/>
        </w:rPr>
        <w:t xml:space="preserve"> and not a</w:t>
      </w:r>
      <w:r w:rsidR="00487D76">
        <w:rPr>
          <w:rFonts w:ascii="Arial" w:hAnsi="Arial" w:cs="Arial"/>
          <w:sz w:val="24"/>
          <w:szCs w:val="24"/>
        </w:rPr>
        <w:t xml:space="preserve">n </w:t>
      </w:r>
      <w:r w:rsidR="0012757A">
        <w:rPr>
          <w:rFonts w:ascii="Arial" w:hAnsi="Arial" w:cs="Arial"/>
          <w:sz w:val="24"/>
          <w:szCs w:val="24"/>
        </w:rPr>
        <w:t>underlying</w:t>
      </w:r>
      <w:r w:rsidR="0012757A" w:rsidRPr="00B96898">
        <w:rPr>
          <w:rFonts w:ascii="Arial" w:hAnsi="Arial" w:cs="Arial"/>
          <w:sz w:val="24"/>
          <w:szCs w:val="24"/>
        </w:rPr>
        <w:t xml:space="preserve"> agreement</w:t>
      </w:r>
      <w:r w:rsidR="00487D76">
        <w:rPr>
          <w:rFonts w:ascii="Arial" w:hAnsi="Arial" w:cs="Arial"/>
          <w:sz w:val="24"/>
          <w:szCs w:val="24"/>
        </w:rPr>
        <w:t xml:space="preserve"> which conflict</w:t>
      </w:r>
      <w:r w:rsidR="00470B14">
        <w:rPr>
          <w:rFonts w:ascii="Arial" w:hAnsi="Arial" w:cs="Arial"/>
          <w:sz w:val="24"/>
          <w:szCs w:val="24"/>
        </w:rPr>
        <w:t>s</w:t>
      </w:r>
      <w:r w:rsidR="00487D76">
        <w:rPr>
          <w:rFonts w:ascii="Arial" w:hAnsi="Arial" w:cs="Arial"/>
          <w:sz w:val="24"/>
          <w:szCs w:val="24"/>
        </w:rPr>
        <w:t xml:space="preserve"> with a statutory injunction</w:t>
      </w:r>
      <w:r w:rsidR="00044159" w:rsidRPr="00B96898">
        <w:rPr>
          <w:rFonts w:ascii="Arial" w:hAnsi="Arial" w:cs="Arial"/>
          <w:sz w:val="24"/>
          <w:szCs w:val="24"/>
        </w:rPr>
        <w:t xml:space="preserve">, </w:t>
      </w:r>
      <w:r w:rsidR="00487D76">
        <w:rPr>
          <w:rFonts w:ascii="Arial" w:hAnsi="Arial" w:cs="Arial"/>
          <w:sz w:val="24"/>
          <w:szCs w:val="24"/>
        </w:rPr>
        <w:t xml:space="preserve">or which </w:t>
      </w:r>
      <w:r w:rsidR="00470B14">
        <w:rPr>
          <w:rFonts w:ascii="Arial" w:hAnsi="Arial" w:cs="Arial"/>
          <w:sz w:val="24"/>
          <w:szCs w:val="24"/>
        </w:rPr>
        <w:t>i</w:t>
      </w:r>
      <w:r w:rsidR="00D05573">
        <w:rPr>
          <w:rFonts w:ascii="Arial" w:hAnsi="Arial" w:cs="Arial"/>
          <w:sz w:val="24"/>
          <w:szCs w:val="24"/>
        </w:rPr>
        <w:t>s</w:t>
      </w:r>
      <w:r w:rsidR="00487D76">
        <w:rPr>
          <w:rFonts w:ascii="Arial" w:hAnsi="Arial" w:cs="Arial"/>
          <w:sz w:val="24"/>
          <w:szCs w:val="24"/>
        </w:rPr>
        <w:t xml:space="preserve"> </w:t>
      </w:r>
      <w:r w:rsidR="00044159" w:rsidRPr="00B96898">
        <w:rPr>
          <w:rFonts w:ascii="Arial" w:hAnsi="Arial" w:cs="Arial"/>
          <w:sz w:val="24"/>
          <w:szCs w:val="24"/>
        </w:rPr>
        <w:t>unlawful.</w:t>
      </w:r>
      <w:r w:rsidR="00BC55FE">
        <w:rPr>
          <w:rFonts w:ascii="Arial" w:hAnsi="Arial" w:cs="Arial"/>
          <w:sz w:val="24"/>
          <w:szCs w:val="24"/>
        </w:rPr>
        <w:t xml:space="preserve"> </w:t>
      </w:r>
      <w:r w:rsidR="00DD6BF6">
        <w:rPr>
          <w:rFonts w:ascii="Arial" w:hAnsi="Arial" w:cs="Arial"/>
          <w:sz w:val="24"/>
          <w:szCs w:val="24"/>
        </w:rPr>
        <w:t>Accordingly, the respondent contend</w:t>
      </w:r>
      <w:r w:rsidR="00D05573">
        <w:rPr>
          <w:rFonts w:ascii="Arial" w:hAnsi="Arial" w:cs="Arial"/>
          <w:sz w:val="24"/>
          <w:szCs w:val="24"/>
        </w:rPr>
        <w:t>s</w:t>
      </w:r>
      <w:r w:rsidR="00DD6BF6">
        <w:rPr>
          <w:rFonts w:ascii="Arial" w:hAnsi="Arial" w:cs="Arial"/>
          <w:sz w:val="24"/>
          <w:szCs w:val="24"/>
        </w:rPr>
        <w:t xml:space="preserve"> that a</w:t>
      </w:r>
      <w:r w:rsidR="005B5F84">
        <w:rPr>
          <w:rFonts w:ascii="Arial" w:hAnsi="Arial" w:cs="Arial"/>
          <w:sz w:val="24"/>
          <w:szCs w:val="24"/>
        </w:rPr>
        <w:t>s a matter of law t</w:t>
      </w:r>
      <w:r w:rsidR="00BC55FE">
        <w:rPr>
          <w:rFonts w:ascii="Arial" w:hAnsi="Arial" w:cs="Arial"/>
          <w:sz w:val="24"/>
          <w:szCs w:val="24"/>
        </w:rPr>
        <w:t xml:space="preserve">his </w:t>
      </w:r>
      <w:r w:rsidR="001D2645">
        <w:rPr>
          <w:rFonts w:ascii="Arial" w:hAnsi="Arial" w:cs="Arial"/>
          <w:sz w:val="24"/>
          <w:szCs w:val="24"/>
        </w:rPr>
        <w:t>serve</w:t>
      </w:r>
      <w:r w:rsidR="00D05573">
        <w:rPr>
          <w:rFonts w:ascii="Arial" w:hAnsi="Arial" w:cs="Arial"/>
          <w:sz w:val="24"/>
          <w:szCs w:val="24"/>
        </w:rPr>
        <w:t>s</w:t>
      </w:r>
      <w:r w:rsidR="00BC55FE">
        <w:rPr>
          <w:rFonts w:ascii="Arial" w:hAnsi="Arial" w:cs="Arial"/>
          <w:sz w:val="24"/>
          <w:szCs w:val="24"/>
        </w:rPr>
        <w:t xml:space="preserve"> to distinguish the two matters and constitute</w:t>
      </w:r>
      <w:r w:rsidR="00D05573">
        <w:rPr>
          <w:rFonts w:ascii="Arial" w:hAnsi="Arial" w:cs="Arial"/>
          <w:sz w:val="24"/>
          <w:szCs w:val="24"/>
        </w:rPr>
        <w:t>s</w:t>
      </w:r>
      <w:r w:rsidR="00BC55FE">
        <w:rPr>
          <w:rFonts w:ascii="Arial" w:hAnsi="Arial" w:cs="Arial"/>
          <w:sz w:val="24"/>
          <w:szCs w:val="24"/>
        </w:rPr>
        <w:t xml:space="preserve"> an important reason why the award should be enforced.</w:t>
      </w:r>
    </w:p>
    <w:p w14:paraId="12A36755" w14:textId="707FD65B" w:rsidR="006D1BFE"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47.</w:t>
      </w:r>
      <w:r>
        <w:rPr>
          <w:rFonts w:ascii="Arial" w:hAnsi="Arial" w:cs="Arial"/>
          <w:sz w:val="24"/>
          <w:szCs w:val="24"/>
        </w:rPr>
        <w:tab/>
      </w:r>
      <w:r w:rsidR="00B96898">
        <w:rPr>
          <w:rFonts w:ascii="Arial" w:hAnsi="Arial" w:cs="Arial"/>
          <w:sz w:val="24"/>
          <w:szCs w:val="24"/>
        </w:rPr>
        <w:t>In this regard, a</w:t>
      </w:r>
      <w:r w:rsidR="00636543">
        <w:rPr>
          <w:rFonts w:ascii="Arial" w:hAnsi="Arial" w:cs="Arial"/>
          <w:sz w:val="24"/>
          <w:szCs w:val="24"/>
        </w:rPr>
        <w:t>s did the</w:t>
      </w:r>
      <w:r w:rsidR="00044159">
        <w:rPr>
          <w:rFonts w:ascii="Arial" w:hAnsi="Arial" w:cs="Arial"/>
          <w:sz w:val="24"/>
          <w:szCs w:val="24"/>
        </w:rPr>
        <w:t xml:space="preserve"> </w:t>
      </w:r>
      <w:r w:rsidR="002463BB">
        <w:rPr>
          <w:rFonts w:ascii="Arial" w:hAnsi="Arial" w:cs="Arial"/>
          <w:sz w:val="24"/>
          <w:szCs w:val="24"/>
        </w:rPr>
        <w:t>C</w:t>
      </w:r>
      <w:r w:rsidR="00044159">
        <w:rPr>
          <w:rFonts w:ascii="Arial" w:hAnsi="Arial" w:cs="Arial"/>
          <w:sz w:val="24"/>
          <w:szCs w:val="24"/>
        </w:rPr>
        <w:t xml:space="preserve">ourt a </w:t>
      </w:r>
      <w:r w:rsidR="00044159" w:rsidRPr="00044159">
        <w:rPr>
          <w:rFonts w:ascii="Arial" w:hAnsi="Arial" w:cs="Arial"/>
          <w:i/>
          <w:iCs/>
          <w:sz w:val="24"/>
          <w:szCs w:val="24"/>
        </w:rPr>
        <w:t>quo</w:t>
      </w:r>
      <w:r w:rsidR="00044159">
        <w:rPr>
          <w:rFonts w:ascii="Arial" w:hAnsi="Arial" w:cs="Arial"/>
          <w:sz w:val="24"/>
          <w:szCs w:val="24"/>
        </w:rPr>
        <w:t xml:space="preserve">, </w:t>
      </w:r>
      <w:r w:rsidR="00636543">
        <w:rPr>
          <w:rFonts w:ascii="Arial" w:hAnsi="Arial" w:cs="Arial"/>
          <w:sz w:val="24"/>
          <w:szCs w:val="24"/>
        </w:rPr>
        <w:t>the respondent relies on the decision</w:t>
      </w:r>
      <w:r w:rsidR="00044159">
        <w:rPr>
          <w:rFonts w:ascii="Arial" w:hAnsi="Arial" w:cs="Arial"/>
          <w:sz w:val="24"/>
          <w:szCs w:val="24"/>
        </w:rPr>
        <w:t xml:space="preserve"> in </w:t>
      </w:r>
      <w:r w:rsidR="00044159" w:rsidRPr="00044159">
        <w:rPr>
          <w:rFonts w:ascii="Arial" w:hAnsi="Arial" w:cs="Arial"/>
          <w:i/>
          <w:iCs/>
          <w:sz w:val="24"/>
          <w:szCs w:val="24"/>
        </w:rPr>
        <w:t>Benefeld</w:t>
      </w:r>
      <w:r w:rsidR="00636543">
        <w:rPr>
          <w:rFonts w:ascii="Arial" w:hAnsi="Arial" w:cs="Arial"/>
          <w:i/>
          <w:iCs/>
          <w:sz w:val="24"/>
          <w:szCs w:val="24"/>
        </w:rPr>
        <w:t>,</w:t>
      </w:r>
      <w:r w:rsidR="00044159">
        <w:rPr>
          <w:rStyle w:val="FootnoteReference"/>
          <w:rFonts w:ascii="Arial" w:hAnsi="Arial" w:cs="Arial"/>
          <w:sz w:val="24"/>
          <w:szCs w:val="24"/>
        </w:rPr>
        <w:footnoteReference w:id="30"/>
      </w:r>
      <w:r w:rsidR="00044159">
        <w:rPr>
          <w:rFonts w:ascii="Arial" w:hAnsi="Arial" w:cs="Arial"/>
          <w:sz w:val="24"/>
          <w:szCs w:val="24"/>
        </w:rPr>
        <w:t xml:space="preserve"> </w:t>
      </w:r>
      <w:r w:rsidR="00636543">
        <w:rPr>
          <w:rFonts w:ascii="Arial" w:hAnsi="Arial" w:cs="Arial"/>
          <w:sz w:val="24"/>
          <w:szCs w:val="24"/>
        </w:rPr>
        <w:t xml:space="preserve">which held </w:t>
      </w:r>
      <w:r w:rsidR="00044159">
        <w:rPr>
          <w:rFonts w:ascii="Arial" w:hAnsi="Arial" w:cs="Arial"/>
          <w:sz w:val="24"/>
          <w:szCs w:val="24"/>
        </w:rPr>
        <w:t>that a compromise is a self</w:t>
      </w:r>
      <w:r w:rsidR="00B96898">
        <w:rPr>
          <w:rFonts w:ascii="Arial" w:hAnsi="Arial" w:cs="Arial"/>
          <w:sz w:val="24"/>
          <w:szCs w:val="24"/>
        </w:rPr>
        <w:t>-</w:t>
      </w:r>
      <w:r w:rsidR="00044159">
        <w:rPr>
          <w:rFonts w:ascii="Arial" w:hAnsi="Arial" w:cs="Arial"/>
          <w:sz w:val="24"/>
          <w:szCs w:val="24"/>
        </w:rPr>
        <w:t>standing, substantive agreement of settlement of litigation or envisaged litigation</w:t>
      </w:r>
      <w:r w:rsidR="00636543">
        <w:rPr>
          <w:rFonts w:ascii="Arial" w:hAnsi="Arial" w:cs="Arial"/>
          <w:sz w:val="24"/>
          <w:szCs w:val="24"/>
        </w:rPr>
        <w:t>,</w:t>
      </w:r>
      <w:r w:rsidR="00044159">
        <w:rPr>
          <w:rFonts w:ascii="Arial" w:hAnsi="Arial" w:cs="Arial"/>
          <w:sz w:val="24"/>
          <w:szCs w:val="24"/>
        </w:rPr>
        <w:t xml:space="preserve"> which s</w:t>
      </w:r>
      <w:r w:rsidR="00E1644F">
        <w:rPr>
          <w:rFonts w:ascii="Arial" w:hAnsi="Arial" w:cs="Arial"/>
          <w:sz w:val="24"/>
          <w:szCs w:val="24"/>
        </w:rPr>
        <w:t>tands</w:t>
      </w:r>
      <w:r w:rsidR="00044159">
        <w:rPr>
          <w:rFonts w:ascii="Arial" w:hAnsi="Arial" w:cs="Arial"/>
          <w:sz w:val="24"/>
          <w:szCs w:val="24"/>
        </w:rPr>
        <w:t xml:space="preserve"> independent of the </w:t>
      </w:r>
      <w:r w:rsidR="00636543">
        <w:rPr>
          <w:rFonts w:ascii="Arial" w:hAnsi="Arial" w:cs="Arial"/>
          <w:sz w:val="24"/>
          <w:szCs w:val="24"/>
        </w:rPr>
        <w:t xml:space="preserve">underlying </w:t>
      </w:r>
      <w:r w:rsidR="00044159" w:rsidRPr="002463BB">
        <w:rPr>
          <w:rFonts w:ascii="Arial" w:hAnsi="Arial" w:cs="Arial"/>
          <w:i/>
          <w:iCs/>
          <w:sz w:val="24"/>
          <w:szCs w:val="24"/>
        </w:rPr>
        <w:t>caus</w:t>
      </w:r>
      <w:r w:rsidR="002463BB" w:rsidRPr="002463BB">
        <w:rPr>
          <w:rFonts w:ascii="Arial" w:hAnsi="Arial" w:cs="Arial"/>
          <w:i/>
          <w:iCs/>
          <w:sz w:val="24"/>
          <w:szCs w:val="24"/>
        </w:rPr>
        <w:t>a</w:t>
      </w:r>
      <w:r w:rsidR="00044159">
        <w:rPr>
          <w:rFonts w:ascii="Arial" w:hAnsi="Arial" w:cs="Arial"/>
          <w:sz w:val="24"/>
          <w:szCs w:val="24"/>
        </w:rPr>
        <w:t xml:space="preserve"> that g</w:t>
      </w:r>
      <w:r w:rsidR="00317EDA">
        <w:rPr>
          <w:rFonts w:ascii="Arial" w:hAnsi="Arial" w:cs="Arial"/>
          <w:sz w:val="24"/>
          <w:szCs w:val="24"/>
        </w:rPr>
        <w:t>ives</w:t>
      </w:r>
      <w:r w:rsidR="00044159">
        <w:rPr>
          <w:rFonts w:ascii="Arial" w:hAnsi="Arial" w:cs="Arial"/>
          <w:sz w:val="24"/>
          <w:szCs w:val="24"/>
        </w:rPr>
        <w:t xml:space="preserve"> rise to it. As </w:t>
      </w:r>
      <w:r w:rsidR="00DD6BF6">
        <w:rPr>
          <w:rFonts w:ascii="Arial" w:hAnsi="Arial" w:cs="Arial"/>
          <w:sz w:val="24"/>
          <w:szCs w:val="24"/>
        </w:rPr>
        <w:t>a result, so</w:t>
      </w:r>
      <w:r w:rsidR="00044159">
        <w:rPr>
          <w:rFonts w:ascii="Arial" w:hAnsi="Arial" w:cs="Arial"/>
          <w:sz w:val="24"/>
          <w:szCs w:val="24"/>
        </w:rPr>
        <w:t xml:space="preserve"> </w:t>
      </w:r>
      <w:r w:rsidR="00636543">
        <w:rPr>
          <w:rFonts w:ascii="Arial" w:hAnsi="Arial" w:cs="Arial"/>
          <w:sz w:val="24"/>
          <w:szCs w:val="24"/>
        </w:rPr>
        <w:t xml:space="preserve">the respondent </w:t>
      </w:r>
      <w:r w:rsidR="00317EDA">
        <w:rPr>
          <w:rFonts w:ascii="Arial" w:hAnsi="Arial" w:cs="Arial"/>
          <w:sz w:val="24"/>
          <w:szCs w:val="24"/>
        </w:rPr>
        <w:t>contends</w:t>
      </w:r>
      <w:r w:rsidR="00DD6BF6">
        <w:rPr>
          <w:rFonts w:ascii="Arial" w:hAnsi="Arial" w:cs="Arial"/>
          <w:sz w:val="24"/>
          <w:szCs w:val="24"/>
        </w:rPr>
        <w:t>,</w:t>
      </w:r>
      <w:r w:rsidR="00636543">
        <w:rPr>
          <w:rFonts w:ascii="Arial" w:hAnsi="Arial" w:cs="Arial"/>
          <w:sz w:val="24"/>
          <w:szCs w:val="24"/>
        </w:rPr>
        <w:t xml:space="preserve"> </w:t>
      </w:r>
      <w:r w:rsidR="00044159">
        <w:rPr>
          <w:rFonts w:ascii="Arial" w:hAnsi="Arial" w:cs="Arial"/>
          <w:sz w:val="24"/>
          <w:szCs w:val="24"/>
        </w:rPr>
        <w:t xml:space="preserve">it </w:t>
      </w:r>
      <w:r w:rsidR="00B96898">
        <w:rPr>
          <w:rFonts w:ascii="Arial" w:hAnsi="Arial" w:cs="Arial"/>
          <w:sz w:val="24"/>
          <w:szCs w:val="24"/>
        </w:rPr>
        <w:t>i</w:t>
      </w:r>
      <w:r w:rsidR="00636543">
        <w:rPr>
          <w:rFonts w:ascii="Arial" w:hAnsi="Arial" w:cs="Arial"/>
          <w:sz w:val="24"/>
          <w:szCs w:val="24"/>
        </w:rPr>
        <w:t>s</w:t>
      </w:r>
      <w:r w:rsidR="00044159">
        <w:rPr>
          <w:rFonts w:ascii="Arial" w:hAnsi="Arial" w:cs="Arial"/>
          <w:sz w:val="24"/>
          <w:szCs w:val="24"/>
        </w:rPr>
        <w:t xml:space="preserve"> not affected by the </w:t>
      </w:r>
      <w:r w:rsidR="00636543">
        <w:rPr>
          <w:rFonts w:ascii="Arial" w:hAnsi="Arial" w:cs="Arial"/>
          <w:sz w:val="24"/>
          <w:szCs w:val="24"/>
        </w:rPr>
        <w:t xml:space="preserve">possible </w:t>
      </w:r>
      <w:r w:rsidR="00044159">
        <w:rPr>
          <w:rFonts w:ascii="Arial" w:hAnsi="Arial" w:cs="Arial"/>
          <w:sz w:val="24"/>
          <w:szCs w:val="24"/>
        </w:rPr>
        <w:t xml:space="preserve">invalidity or illegality of the original </w:t>
      </w:r>
      <w:r w:rsidR="00636543">
        <w:rPr>
          <w:rFonts w:ascii="Arial" w:hAnsi="Arial" w:cs="Arial"/>
          <w:sz w:val="24"/>
          <w:szCs w:val="24"/>
        </w:rPr>
        <w:t xml:space="preserve">agreements as contained in the </w:t>
      </w:r>
      <w:r w:rsidR="00B96898">
        <w:rPr>
          <w:rFonts w:ascii="Arial" w:hAnsi="Arial" w:cs="Arial"/>
          <w:sz w:val="24"/>
          <w:szCs w:val="24"/>
        </w:rPr>
        <w:t xml:space="preserve">various </w:t>
      </w:r>
      <w:r w:rsidR="00636543">
        <w:rPr>
          <w:rFonts w:ascii="Arial" w:hAnsi="Arial" w:cs="Arial"/>
          <w:sz w:val="24"/>
          <w:szCs w:val="24"/>
        </w:rPr>
        <w:t xml:space="preserve">AODs, and the </w:t>
      </w:r>
      <w:r w:rsidR="00DD6BF6">
        <w:rPr>
          <w:rFonts w:ascii="Arial" w:hAnsi="Arial" w:cs="Arial"/>
          <w:sz w:val="24"/>
          <w:szCs w:val="24"/>
        </w:rPr>
        <w:t xml:space="preserve">underlying </w:t>
      </w:r>
      <w:r w:rsidR="00044159">
        <w:rPr>
          <w:rFonts w:ascii="Arial" w:hAnsi="Arial" w:cs="Arial"/>
          <w:sz w:val="24"/>
          <w:szCs w:val="24"/>
        </w:rPr>
        <w:t>obligation</w:t>
      </w:r>
      <w:r w:rsidR="00B96898">
        <w:rPr>
          <w:rFonts w:ascii="Arial" w:hAnsi="Arial" w:cs="Arial"/>
          <w:sz w:val="24"/>
          <w:szCs w:val="24"/>
        </w:rPr>
        <w:t xml:space="preserve">s </w:t>
      </w:r>
      <w:r w:rsidR="00044159">
        <w:rPr>
          <w:rFonts w:ascii="Arial" w:hAnsi="Arial" w:cs="Arial"/>
          <w:sz w:val="24"/>
          <w:szCs w:val="24"/>
        </w:rPr>
        <w:t xml:space="preserve">which </w:t>
      </w:r>
      <w:r w:rsidR="00636543">
        <w:rPr>
          <w:rFonts w:ascii="Arial" w:hAnsi="Arial" w:cs="Arial"/>
          <w:sz w:val="24"/>
          <w:szCs w:val="24"/>
        </w:rPr>
        <w:t>arose from them.</w:t>
      </w:r>
      <w:r w:rsidR="00044159">
        <w:rPr>
          <w:rFonts w:ascii="Arial" w:hAnsi="Arial" w:cs="Arial"/>
          <w:sz w:val="24"/>
          <w:szCs w:val="24"/>
        </w:rPr>
        <w:t xml:space="preserve"> Consequently, the </w:t>
      </w:r>
      <w:r w:rsidR="00636543">
        <w:rPr>
          <w:rFonts w:ascii="Arial" w:hAnsi="Arial" w:cs="Arial"/>
          <w:sz w:val="24"/>
          <w:szCs w:val="24"/>
        </w:rPr>
        <w:t>respondent</w:t>
      </w:r>
      <w:r w:rsidR="00044159">
        <w:rPr>
          <w:rFonts w:ascii="Arial" w:hAnsi="Arial" w:cs="Arial"/>
          <w:sz w:val="24"/>
          <w:szCs w:val="24"/>
        </w:rPr>
        <w:t xml:space="preserve"> </w:t>
      </w:r>
      <w:r w:rsidR="00317EDA">
        <w:rPr>
          <w:rFonts w:ascii="Arial" w:hAnsi="Arial" w:cs="Arial"/>
          <w:sz w:val="24"/>
          <w:szCs w:val="24"/>
        </w:rPr>
        <w:t>submits</w:t>
      </w:r>
      <w:r w:rsidR="00720B5A">
        <w:rPr>
          <w:rFonts w:ascii="Arial" w:hAnsi="Arial" w:cs="Arial"/>
          <w:sz w:val="24"/>
          <w:szCs w:val="24"/>
        </w:rPr>
        <w:t xml:space="preserve"> that</w:t>
      </w:r>
      <w:r w:rsidR="00044159">
        <w:rPr>
          <w:rFonts w:ascii="Arial" w:hAnsi="Arial" w:cs="Arial"/>
          <w:sz w:val="24"/>
          <w:szCs w:val="24"/>
        </w:rPr>
        <w:t xml:space="preserve"> the </w:t>
      </w:r>
      <w:r w:rsidR="0099770B">
        <w:rPr>
          <w:rFonts w:ascii="Arial" w:hAnsi="Arial" w:cs="Arial"/>
          <w:sz w:val="24"/>
          <w:szCs w:val="24"/>
        </w:rPr>
        <w:t>C</w:t>
      </w:r>
      <w:r w:rsidR="00044159">
        <w:rPr>
          <w:rFonts w:ascii="Arial" w:hAnsi="Arial" w:cs="Arial"/>
          <w:sz w:val="24"/>
          <w:szCs w:val="24"/>
        </w:rPr>
        <w:t xml:space="preserve">ourt should yield to the principle of party autonomy </w:t>
      </w:r>
      <w:r w:rsidR="00636543">
        <w:rPr>
          <w:rFonts w:ascii="Arial" w:hAnsi="Arial" w:cs="Arial"/>
          <w:sz w:val="24"/>
          <w:szCs w:val="24"/>
        </w:rPr>
        <w:t xml:space="preserve">which was given effect to </w:t>
      </w:r>
      <w:r w:rsidR="0099770B">
        <w:rPr>
          <w:rFonts w:ascii="Arial" w:hAnsi="Arial" w:cs="Arial"/>
          <w:sz w:val="24"/>
          <w:szCs w:val="24"/>
        </w:rPr>
        <w:t xml:space="preserve">in the resolution of the instant dispute by way of arbitration, </w:t>
      </w:r>
      <w:r w:rsidR="00044159">
        <w:rPr>
          <w:rFonts w:ascii="Arial" w:hAnsi="Arial" w:cs="Arial"/>
          <w:sz w:val="24"/>
          <w:szCs w:val="24"/>
        </w:rPr>
        <w:t xml:space="preserve">as </w:t>
      </w:r>
      <w:r w:rsidR="00B96898">
        <w:rPr>
          <w:rFonts w:ascii="Arial" w:hAnsi="Arial" w:cs="Arial"/>
          <w:sz w:val="24"/>
          <w:szCs w:val="24"/>
        </w:rPr>
        <w:t xml:space="preserve">firmly </w:t>
      </w:r>
      <w:r w:rsidR="0099770B">
        <w:rPr>
          <w:rFonts w:ascii="Arial" w:hAnsi="Arial" w:cs="Arial"/>
          <w:sz w:val="24"/>
          <w:szCs w:val="24"/>
        </w:rPr>
        <w:t xml:space="preserve">endorsed by the CC </w:t>
      </w:r>
      <w:r w:rsidR="00044159">
        <w:rPr>
          <w:rFonts w:ascii="Arial" w:hAnsi="Arial" w:cs="Arial"/>
          <w:sz w:val="24"/>
          <w:szCs w:val="24"/>
        </w:rPr>
        <w:t xml:space="preserve">in </w:t>
      </w:r>
      <w:r w:rsidR="00044159" w:rsidRPr="00DF6456">
        <w:rPr>
          <w:rFonts w:ascii="Arial" w:hAnsi="Arial" w:cs="Arial"/>
          <w:i/>
          <w:iCs/>
          <w:sz w:val="24"/>
          <w:szCs w:val="24"/>
        </w:rPr>
        <w:t>Lufuno</w:t>
      </w:r>
      <w:r w:rsidR="00044159">
        <w:rPr>
          <w:rStyle w:val="FootnoteReference"/>
          <w:rFonts w:ascii="Arial" w:hAnsi="Arial" w:cs="Arial"/>
          <w:sz w:val="24"/>
          <w:szCs w:val="24"/>
        </w:rPr>
        <w:footnoteReference w:id="31"/>
      </w:r>
      <w:r w:rsidR="00DF6456">
        <w:rPr>
          <w:rFonts w:ascii="Arial" w:hAnsi="Arial" w:cs="Arial"/>
          <w:i/>
          <w:iCs/>
          <w:sz w:val="24"/>
          <w:szCs w:val="24"/>
        </w:rPr>
        <w:t xml:space="preserve"> </w:t>
      </w:r>
      <w:r w:rsidR="00DF6456" w:rsidRPr="00DF6456">
        <w:rPr>
          <w:rFonts w:ascii="Arial" w:hAnsi="Arial" w:cs="Arial"/>
          <w:sz w:val="24"/>
          <w:szCs w:val="24"/>
        </w:rPr>
        <w:t>and</w:t>
      </w:r>
      <w:r w:rsidR="00DF6456">
        <w:rPr>
          <w:rFonts w:ascii="Arial" w:hAnsi="Arial" w:cs="Arial"/>
          <w:sz w:val="24"/>
          <w:szCs w:val="24"/>
        </w:rPr>
        <w:t xml:space="preserve"> </w:t>
      </w:r>
      <w:r w:rsidR="00DF6456" w:rsidRPr="00DF6456">
        <w:rPr>
          <w:rFonts w:ascii="Arial" w:hAnsi="Arial" w:cs="Arial"/>
          <w:i/>
          <w:iCs/>
          <w:sz w:val="24"/>
          <w:szCs w:val="24"/>
        </w:rPr>
        <w:t>Cool Ideas</w:t>
      </w:r>
      <w:r w:rsidR="00636543">
        <w:rPr>
          <w:rFonts w:ascii="Arial" w:hAnsi="Arial" w:cs="Arial"/>
          <w:i/>
          <w:iCs/>
          <w:sz w:val="24"/>
          <w:szCs w:val="24"/>
        </w:rPr>
        <w:t>.</w:t>
      </w:r>
      <w:r w:rsidR="00DF6456" w:rsidRPr="00DF6456">
        <w:rPr>
          <w:rStyle w:val="FootnoteReference"/>
          <w:rFonts w:ascii="Arial" w:hAnsi="Arial" w:cs="Arial"/>
          <w:sz w:val="24"/>
          <w:szCs w:val="24"/>
        </w:rPr>
        <w:footnoteReference w:id="32"/>
      </w:r>
      <w:r w:rsidR="0099770B">
        <w:rPr>
          <w:rFonts w:ascii="Arial" w:hAnsi="Arial" w:cs="Arial"/>
          <w:sz w:val="24"/>
          <w:szCs w:val="24"/>
        </w:rPr>
        <w:t xml:space="preserve"> </w:t>
      </w:r>
    </w:p>
    <w:p w14:paraId="6249E3C4" w14:textId="79092FE8" w:rsidR="00636543" w:rsidRPr="001D2645" w:rsidRDefault="00601627" w:rsidP="00601627">
      <w:pPr>
        <w:adjustRightInd w:val="0"/>
        <w:spacing w:after="0" w:line="360" w:lineRule="auto"/>
        <w:ind w:left="720" w:hanging="720"/>
        <w:contextualSpacing/>
        <w:jc w:val="both"/>
        <w:textAlignment w:val="baseline"/>
        <w:rPr>
          <w:rFonts w:ascii="Arial" w:hAnsi="Arial" w:cs="Arial"/>
          <w:sz w:val="24"/>
          <w:szCs w:val="24"/>
        </w:rPr>
      </w:pPr>
      <w:r w:rsidRPr="001D2645">
        <w:rPr>
          <w:rFonts w:ascii="Arial" w:hAnsi="Arial" w:cs="Arial"/>
          <w:sz w:val="24"/>
          <w:szCs w:val="24"/>
        </w:rPr>
        <w:t>48.</w:t>
      </w:r>
      <w:r w:rsidRPr="001D2645">
        <w:rPr>
          <w:rFonts w:ascii="Arial" w:hAnsi="Arial" w:cs="Arial"/>
          <w:sz w:val="24"/>
          <w:szCs w:val="24"/>
        </w:rPr>
        <w:tab/>
      </w:r>
      <w:r w:rsidR="00636543" w:rsidRPr="001D2645">
        <w:rPr>
          <w:rFonts w:ascii="Arial" w:hAnsi="Arial" w:cs="Arial"/>
          <w:sz w:val="24"/>
          <w:szCs w:val="24"/>
        </w:rPr>
        <w:t xml:space="preserve">In </w:t>
      </w:r>
      <w:r w:rsidR="005B5F84" w:rsidRPr="001D2645">
        <w:rPr>
          <w:rFonts w:ascii="Arial" w:hAnsi="Arial" w:cs="Arial"/>
          <w:sz w:val="24"/>
          <w:szCs w:val="24"/>
        </w:rPr>
        <w:t>determining</w:t>
      </w:r>
      <w:r w:rsidR="00636543" w:rsidRPr="001D2645">
        <w:rPr>
          <w:rFonts w:ascii="Arial" w:hAnsi="Arial" w:cs="Arial"/>
          <w:sz w:val="24"/>
          <w:szCs w:val="24"/>
        </w:rPr>
        <w:t xml:space="preserve"> the cogency of the respondent’s </w:t>
      </w:r>
      <w:r w:rsidR="001D2645" w:rsidRPr="001D2645">
        <w:rPr>
          <w:rFonts w:ascii="Arial" w:hAnsi="Arial" w:cs="Arial"/>
          <w:sz w:val="24"/>
          <w:szCs w:val="24"/>
        </w:rPr>
        <w:t>submissions,</w:t>
      </w:r>
      <w:r w:rsidR="00636543" w:rsidRPr="001D2645">
        <w:rPr>
          <w:rFonts w:ascii="Arial" w:hAnsi="Arial" w:cs="Arial"/>
          <w:sz w:val="24"/>
          <w:szCs w:val="24"/>
        </w:rPr>
        <w:t xml:space="preserve"> it is necessary to </w:t>
      </w:r>
      <w:r w:rsidR="005B5F84" w:rsidRPr="001D2645">
        <w:rPr>
          <w:rFonts w:ascii="Arial" w:hAnsi="Arial" w:cs="Arial"/>
          <w:sz w:val="24"/>
          <w:szCs w:val="24"/>
        </w:rPr>
        <w:t>consider the import of the</w:t>
      </w:r>
      <w:r w:rsidR="00BC55FE" w:rsidRPr="001D2645">
        <w:rPr>
          <w:rFonts w:ascii="Arial" w:hAnsi="Arial" w:cs="Arial"/>
          <w:sz w:val="24"/>
          <w:szCs w:val="24"/>
        </w:rPr>
        <w:t xml:space="preserve"> decision in </w:t>
      </w:r>
      <w:r w:rsidR="00BC55FE" w:rsidRPr="001D2645">
        <w:rPr>
          <w:rFonts w:ascii="Arial" w:hAnsi="Arial" w:cs="Arial"/>
          <w:i/>
          <w:iCs/>
          <w:sz w:val="24"/>
          <w:szCs w:val="24"/>
        </w:rPr>
        <w:t>Benefeld</w:t>
      </w:r>
      <w:r w:rsidR="005B5F84" w:rsidRPr="001D2645">
        <w:rPr>
          <w:rFonts w:ascii="Arial" w:hAnsi="Arial" w:cs="Arial"/>
          <w:sz w:val="24"/>
          <w:szCs w:val="24"/>
        </w:rPr>
        <w:t>. It is also necessary to consider</w:t>
      </w:r>
      <w:r w:rsidR="00BC55FE" w:rsidRPr="001D2645">
        <w:rPr>
          <w:rFonts w:ascii="Arial" w:hAnsi="Arial" w:cs="Arial"/>
          <w:sz w:val="24"/>
          <w:szCs w:val="24"/>
        </w:rPr>
        <w:t xml:space="preserve"> whether</w:t>
      </w:r>
      <w:r w:rsidR="007E0DFE">
        <w:rPr>
          <w:rFonts w:ascii="Arial" w:hAnsi="Arial" w:cs="Arial"/>
          <w:sz w:val="24"/>
          <w:szCs w:val="24"/>
        </w:rPr>
        <w:t>-</w:t>
      </w:r>
      <w:r w:rsidR="00BC55FE" w:rsidRPr="001D2645">
        <w:rPr>
          <w:rFonts w:ascii="Arial" w:hAnsi="Arial" w:cs="Arial"/>
          <w:sz w:val="24"/>
          <w:szCs w:val="24"/>
        </w:rPr>
        <w:t xml:space="preserve"> </w:t>
      </w:r>
      <w:r w:rsidR="00B96898" w:rsidRPr="001D2645">
        <w:rPr>
          <w:rFonts w:ascii="Arial" w:hAnsi="Arial" w:cs="Arial"/>
          <w:sz w:val="24"/>
          <w:szCs w:val="24"/>
        </w:rPr>
        <w:t>given</w:t>
      </w:r>
      <w:r w:rsidR="00636543" w:rsidRPr="001D2645">
        <w:rPr>
          <w:rFonts w:ascii="Arial" w:hAnsi="Arial" w:cs="Arial"/>
          <w:sz w:val="24"/>
          <w:szCs w:val="24"/>
        </w:rPr>
        <w:t xml:space="preserve"> that the rights and obligations which the respondent seeks to enforce ar</w:t>
      </w:r>
      <w:r w:rsidR="005B5F84" w:rsidRPr="001D2645">
        <w:rPr>
          <w:rFonts w:ascii="Arial" w:hAnsi="Arial" w:cs="Arial"/>
          <w:sz w:val="24"/>
          <w:szCs w:val="24"/>
        </w:rPr>
        <w:t>i</w:t>
      </w:r>
      <w:r w:rsidR="00636543" w:rsidRPr="001D2645">
        <w:rPr>
          <w:rFonts w:ascii="Arial" w:hAnsi="Arial" w:cs="Arial"/>
          <w:sz w:val="24"/>
          <w:szCs w:val="24"/>
        </w:rPr>
        <w:t xml:space="preserve">se </w:t>
      </w:r>
      <w:r w:rsidR="007E0DFE">
        <w:rPr>
          <w:rFonts w:ascii="Arial" w:hAnsi="Arial" w:cs="Arial"/>
          <w:sz w:val="24"/>
          <w:szCs w:val="24"/>
        </w:rPr>
        <w:t xml:space="preserve">directly </w:t>
      </w:r>
      <w:r w:rsidR="00636543" w:rsidRPr="001D2645">
        <w:rPr>
          <w:rFonts w:ascii="Arial" w:hAnsi="Arial" w:cs="Arial"/>
          <w:sz w:val="24"/>
          <w:szCs w:val="24"/>
        </w:rPr>
        <w:t>from an arbitral award as opposed to prior underlying agreements which may have been unlawful in terms of the NCA</w:t>
      </w:r>
      <w:r w:rsidR="007E0DFE">
        <w:rPr>
          <w:rFonts w:ascii="Arial" w:hAnsi="Arial" w:cs="Arial"/>
          <w:sz w:val="24"/>
          <w:szCs w:val="24"/>
        </w:rPr>
        <w:t>-</w:t>
      </w:r>
      <w:r w:rsidR="00636543" w:rsidRPr="001D2645">
        <w:rPr>
          <w:rFonts w:ascii="Arial" w:hAnsi="Arial" w:cs="Arial"/>
          <w:sz w:val="24"/>
          <w:szCs w:val="24"/>
        </w:rPr>
        <w:t xml:space="preserve"> </w:t>
      </w:r>
      <w:r w:rsidR="00C62E81">
        <w:rPr>
          <w:rFonts w:ascii="Arial" w:hAnsi="Arial" w:cs="Arial"/>
          <w:sz w:val="24"/>
          <w:szCs w:val="24"/>
        </w:rPr>
        <w:t>the award</w:t>
      </w:r>
      <w:r w:rsidR="00B96898" w:rsidRPr="001D2645">
        <w:rPr>
          <w:rFonts w:ascii="Arial" w:hAnsi="Arial" w:cs="Arial"/>
          <w:sz w:val="24"/>
          <w:szCs w:val="24"/>
        </w:rPr>
        <w:t xml:space="preserve"> </w:t>
      </w:r>
      <w:r w:rsidR="00287907" w:rsidRPr="001D2645">
        <w:rPr>
          <w:rFonts w:ascii="Arial" w:hAnsi="Arial" w:cs="Arial"/>
          <w:sz w:val="24"/>
          <w:szCs w:val="24"/>
        </w:rPr>
        <w:t>constitute</w:t>
      </w:r>
      <w:r w:rsidR="0012757A">
        <w:rPr>
          <w:rFonts w:ascii="Arial" w:hAnsi="Arial" w:cs="Arial"/>
          <w:sz w:val="24"/>
          <w:szCs w:val="24"/>
        </w:rPr>
        <w:t>s</w:t>
      </w:r>
      <w:r w:rsidR="00287907" w:rsidRPr="001D2645">
        <w:rPr>
          <w:rFonts w:ascii="Arial" w:hAnsi="Arial" w:cs="Arial"/>
          <w:sz w:val="24"/>
          <w:szCs w:val="24"/>
        </w:rPr>
        <w:t xml:space="preserve"> a fresh and </w:t>
      </w:r>
      <w:r w:rsidR="00B96898" w:rsidRPr="001D2645">
        <w:rPr>
          <w:rFonts w:ascii="Arial" w:hAnsi="Arial" w:cs="Arial"/>
          <w:sz w:val="24"/>
          <w:szCs w:val="24"/>
        </w:rPr>
        <w:t xml:space="preserve">independent </w:t>
      </w:r>
      <w:r w:rsidR="00287907" w:rsidRPr="001D2645">
        <w:rPr>
          <w:rFonts w:ascii="Arial" w:hAnsi="Arial" w:cs="Arial"/>
          <w:i/>
          <w:iCs/>
          <w:sz w:val="24"/>
          <w:szCs w:val="24"/>
        </w:rPr>
        <w:t>causa</w:t>
      </w:r>
      <w:r w:rsidR="00287907" w:rsidRPr="001D2645">
        <w:rPr>
          <w:rFonts w:ascii="Arial" w:hAnsi="Arial" w:cs="Arial"/>
          <w:sz w:val="24"/>
          <w:szCs w:val="24"/>
        </w:rPr>
        <w:t xml:space="preserve"> which </w:t>
      </w:r>
      <w:r w:rsidR="00B96898" w:rsidRPr="001D2645">
        <w:rPr>
          <w:rFonts w:ascii="Arial" w:hAnsi="Arial" w:cs="Arial"/>
          <w:sz w:val="24"/>
          <w:szCs w:val="24"/>
        </w:rPr>
        <w:t xml:space="preserve">is </w:t>
      </w:r>
      <w:r w:rsidR="00BC55FE" w:rsidRPr="001D2645">
        <w:rPr>
          <w:rFonts w:ascii="Arial" w:hAnsi="Arial" w:cs="Arial"/>
          <w:sz w:val="24"/>
          <w:szCs w:val="24"/>
        </w:rPr>
        <w:t>divorced</w:t>
      </w:r>
      <w:r w:rsidR="00B96898" w:rsidRPr="001D2645">
        <w:rPr>
          <w:rFonts w:ascii="Arial" w:hAnsi="Arial" w:cs="Arial"/>
          <w:sz w:val="24"/>
          <w:szCs w:val="24"/>
        </w:rPr>
        <w:t xml:space="preserve"> from </w:t>
      </w:r>
      <w:r w:rsidR="00D05573">
        <w:rPr>
          <w:rFonts w:ascii="Arial" w:hAnsi="Arial" w:cs="Arial"/>
          <w:sz w:val="24"/>
          <w:szCs w:val="24"/>
        </w:rPr>
        <w:t>such</w:t>
      </w:r>
      <w:r w:rsidR="00C62E81">
        <w:rPr>
          <w:rFonts w:ascii="Arial" w:hAnsi="Arial" w:cs="Arial"/>
          <w:sz w:val="24"/>
          <w:szCs w:val="24"/>
        </w:rPr>
        <w:t xml:space="preserve"> agreements</w:t>
      </w:r>
      <w:r w:rsidR="007E0DFE">
        <w:rPr>
          <w:rFonts w:ascii="Arial" w:hAnsi="Arial" w:cs="Arial"/>
          <w:sz w:val="24"/>
          <w:szCs w:val="24"/>
        </w:rPr>
        <w:t>,</w:t>
      </w:r>
      <w:r w:rsidR="00B96898" w:rsidRPr="001D2645">
        <w:rPr>
          <w:rFonts w:ascii="Arial" w:hAnsi="Arial" w:cs="Arial"/>
          <w:sz w:val="24"/>
          <w:szCs w:val="24"/>
        </w:rPr>
        <w:t xml:space="preserve"> thereby </w:t>
      </w:r>
      <w:r w:rsidR="00636543" w:rsidRPr="001D2645">
        <w:rPr>
          <w:rFonts w:ascii="Arial" w:hAnsi="Arial" w:cs="Arial"/>
          <w:sz w:val="24"/>
          <w:szCs w:val="24"/>
        </w:rPr>
        <w:t>allow</w:t>
      </w:r>
      <w:r w:rsidR="00B96898" w:rsidRPr="001D2645">
        <w:rPr>
          <w:rFonts w:ascii="Arial" w:hAnsi="Arial" w:cs="Arial"/>
          <w:sz w:val="24"/>
          <w:szCs w:val="24"/>
        </w:rPr>
        <w:t>ing</w:t>
      </w:r>
      <w:r w:rsidR="00636543" w:rsidRPr="001D2645">
        <w:rPr>
          <w:rFonts w:ascii="Arial" w:hAnsi="Arial" w:cs="Arial"/>
          <w:sz w:val="24"/>
          <w:szCs w:val="24"/>
        </w:rPr>
        <w:t xml:space="preserve"> for </w:t>
      </w:r>
      <w:r w:rsidR="00C62E81">
        <w:rPr>
          <w:rFonts w:ascii="Arial" w:hAnsi="Arial" w:cs="Arial"/>
          <w:sz w:val="24"/>
          <w:szCs w:val="24"/>
        </w:rPr>
        <w:t>it to be enforced</w:t>
      </w:r>
      <w:r w:rsidR="00636543" w:rsidRPr="001D2645">
        <w:rPr>
          <w:rFonts w:ascii="Arial" w:hAnsi="Arial" w:cs="Arial"/>
          <w:sz w:val="24"/>
          <w:szCs w:val="24"/>
        </w:rPr>
        <w:t xml:space="preserve">. </w:t>
      </w:r>
      <w:r w:rsidR="00287907" w:rsidRPr="001D2645">
        <w:rPr>
          <w:rFonts w:ascii="Arial" w:hAnsi="Arial" w:cs="Arial"/>
          <w:sz w:val="24"/>
          <w:szCs w:val="24"/>
        </w:rPr>
        <w:t xml:space="preserve">This is an important aspect </w:t>
      </w:r>
      <w:r w:rsidR="00B96898" w:rsidRPr="001D2645">
        <w:rPr>
          <w:rFonts w:ascii="Arial" w:hAnsi="Arial" w:cs="Arial"/>
          <w:sz w:val="24"/>
          <w:szCs w:val="24"/>
        </w:rPr>
        <w:t xml:space="preserve">which </w:t>
      </w:r>
      <w:r w:rsidR="00287907" w:rsidRPr="001D2645">
        <w:rPr>
          <w:rFonts w:ascii="Arial" w:hAnsi="Arial" w:cs="Arial"/>
          <w:sz w:val="24"/>
          <w:szCs w:val="24"/>
        </w:rPr>
        <w:t xml:space="preserve">was not considered in the arbitration or in the Court a </w:t>
      </w:r>
      <w:r w:rsidR="00287907" w:rsidRPr="001D2645">
        <w:rPr>
          <w:rFonts w:ascii="Arial" w:hAnsi="Arial" w:cs="Arial"/>
          <w:i/>
          <w:iCs/>
          <w:sz w:val="24"/>
          <w:szCs w:val="24"/>
        </w:rPr>
        <w:t>quo</w:t>
      </w:r>
      <w:r w:rsidR="00287907" w:rsidRPr="001D2645">
        <w:rPr>
          <w:rFonts w:ascii="Arial" w:hAnsi="Arial" w:cs="Arial"/>
          <w:sz w:val="24"/>
          <w:szCs w:val="24"/>
        </w:rPr>
        <w:t xml:space="preserve">.   </w:t>
      </w:r>
      <w:r w:rsidR="00636543" w:rsidRPr="001D2645">
        <w:rPr>
          <w:rFonts w:ascii="Arial" w:hAnsi="Arial" w:cs="Arial"/>
          <w:sz w:val="24"/>
          <w:szCs w:val="24"/>
        </w:rPr>
        <w:t xml:space="preserve">   </w:t>
      </w:r>
    </w:p>
    <w:p w14:paraId="6F99E238" w14:textId="2E0460FA" w:rsidR="00C14FB3"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49.</w:t>
      </w:r>
      <w:r>
        <w:rPr>
          <w:rFonts w:ascii="Arial" w:hAnsi="Arial" w:cs="Arial"/>
          <w:sz w:val="24"/>
          <w:szCs w:val="24"/>
        </w:rPr>
        <w:tab/>
      </w:r>
      <w:r w:rsidR="0099770B">
        <w:rPr>
          <w:rFonts w:ascii="Arial" w:hAnsi="Arial" w:cs="Arial"/>
          <w:sz w:val="24"/>
          <w:szCs w:val="24"/>
        </w:rPr>
        <w:t xml:space="preserve">In an article which he wrote on </w:t>
      </w:r>
      <w:r w:rsidR="00DD0627" w:rsidRPr="00DD0627">
        <w:rPr>
          <w:rFonts w:ascii="Arial" w:hAnsi="Arial" w:cs="Arial"/>
          <w:i/>
          <w:iCs/>
          <w:sz w:val="24"/>
          <w:szCs w:val="24"/>
        </w:rPr>
        <w:t>C</w:t>
      </w:r>
      <w:r w:rsidR="0099770B" w:rsidRPr="00DD0627">
        <w:rPr>
          <w:rFonts w:ascii="Arial" w:hAnsi="Arial" w:cs="Arial"/>
          <w:i/>
          <w:iCs/>
          <w:sz w:val="24"/>
          <w:szCs w:val="24"/>
        </w:rPr>
        <w:t xml:space="preserve">ool </w:t>
      </w:r>
      <w:r w:rsidR="00DD0627" w:rsidRPr="00DD0627">
        <w:rPr>
          <w:rFonts w:ascii="Arial" w:hAnsi="Arial" w:cs="Arial"/>
          <w:i/>
          <w:iCs/>
          <w:sz w:val="24"/>
          <w:szCs w:val="24"/>
        </w:rPr>
        <w:t>I</w:t>
      </w:r>
      <w:r w:rsidR="0099770B" w:rsidRPr="00DD0627">
        <w:rPr>
          <w:rFonts w:ascii="Arial" w:hAnsi="Arial" w:cs="Arial"/>
          <w:i/>
          <w:iCs/>
          <w:sz w:val="24"/>
          <w:szCs w:val="24"/>
        </w:rPr>
        <w:t>deas</w:t>
      </w:r>
      <w:r w:rsidR="00DD0627">
        <w:rPr>
          <w:rStyle w:val="FootnoteReference"/>
          <w:rFonts w:ascii="Arial" w:hAnsi="Arial" w:cs="Arial"/>
          <w:sz w:val="24"/>
          <w:szCs w:val="24"/>
        </w:rPr>
        <w:footnoteReference w:id="33"/>
      </w:r>
      <w:r w:rsidR="00B96898">
        <w:rPr>
          <w:rFonts w:ascii="Arial" w:hAnsi="Arial" w:cs="Arial"/>
          <w:sz w:val="24"/>
          <w:szCs w:val="24"/>
        </w:rPr>
        <w:t xml:space="preserve"> </w:t>
      </w:r>
      <w:r w:rsidR="002463BB">
        <w:rPr>
          <w:rFonts w:ascii="Arial" w:hAnsi="Arial" w:cs="Arial"/>
          <w:sz w:val="24"/>
          <w:szCs w:val="24"/>
        </w:rPr>
        <w:t>(</w:t>
      </w:r>
      <w:r w:rsidR="00B96898">
        <w:rPr>
          <w:rFonts w:ascii="Arial" w:hAnsi="Arial" w:cs="Arial"/>
          <w:sz w:val="24"/>
          <w:szCs w:val="24"/>
        </w:rPr>
        <w:t xml:space="preserve">in which this aspect was also not pertinently considered </w:t>
      </w:r>
      <w:r w:rsidR="002463BB">
        <w:rPr>
          <w:rFonts w:ascii="Arial" w:hAnsi="Arial" w:cs="Arial"/>
          <w:sz w:val="24"/>
          <w:szCs w:val="24"/>
        </w:rPr>
        <w:t xml:space="preserve">by any of the Courts </w:t>
      </w:r>
      <w:r w:rsidR="00B96898">
        <w:rPr>
          <w:rFonts w:ascii="Arial" w:hAnsi="Arial" w:cs="Arial"/>
          <w:sz w:val="24"/>
          <w:szCs w:val="24"/>
        </w:rPr>
        <w:t>a</w:t>
      </w:r>
      <w:r w:rsidR="00586593">
        <w:rPr>
          <w:rFonts w:ascii="Arial" w:hAnsi="Arial" w:cs="Arial"/>
          <w:sz w:val="24"/>
          <w:szCs w:val="24"/>
        </w:rPr>
        <w:t>nd</w:t>
      </w:r>
      <w:r w:rsidR="0099770B">
        <w:rPr>
          <w:rFonts w:ascii="Arial" w:hAnsi="Arial" w:cs="Arial"/>
          <w:sz w:val="24"/>
          <w:szCs w:val="24"/>
        </w:rPr>
        <w:t xml:space="preserve"> </w:t>
      </w:r>
      <w:r w:rsidR="00B96898">
        <w:rPr>
          <w:rFonts w:ascii="Arial" w:hAnsi="Arial" w:cs="Arial"/>
          <w:sz w:val="24"/>
          <w:szCs w:val="24"/>
        </w:rPr>
        <w:t>the matter was</w:t>
      </w:r>
      <w:r w:rsidR="002463BB">
        <w:rPr>
          <w:rFonts w:ascii="Arial" w:hAnsi="Arial" w:cs="Arial"/>
          <w:sz w:val="24"/>
          <w:szCs w:val="24"/>
        </w:rPr>
        <w:t xml:space="preserve"> ultimately </w:t>
      </w:r>
      <w:r w:rsidR="00B96898">
        <w:rPr>
          <w:rFonts w:ascii="Arial" w:hAnsi="Arial" w:cs="Arial"/>
          <w:sz w:val="24"/>
          <w:szCs w:val="24"/>
        </w:rPr>
        <w:t xml:space="preserve">decided </w:t>
      </w:r>
      <w:r w:rsidR="002463BB">
        <w:rPr>
          <w:rFonts w:ascii="Arial" w:hAnsi="Arial" w:cs="Arial"/>
          <w:sz w:val="24"/>
          <w:szCs w:val="24"/>
        </w:rPr>
        <w:t xml:space="preserve"> </w:t>
      </w:r>
      <w:r w:rsidR="00B96898">
        <w:rPr>
          <w:rFonts w:ascii="Arial" w:hAnsi="Arial" w:cs="Arial"/>
          <w:sz w:val="24"/>
          <w:szCs w:val="24"/>
        </w:rPr>
        <w:t>with reference to constitutional principles as opposed to those of the common law</w:t>
      </w:r>
      <w:r w:rsidR="002463BB">
        <w:rPr>
          <w:rFonts w:ascii="Arial" w:hAnsi="Arial" w:cs="Arial"/>
          <w:sz w:val="24"/>
          <w:szCs w:val="24"/>
        </w:rPr>
        <w:t>)</w:t>
      </w:r>
      <w:r w:rsidR="00B96898">
        <w:rPr>
          <w:rFonts w:ascii="Arial" w:hAnsi="Arial" w:cs="Arial"/>
          <w:sz w:val="24"/>
          <w:szCs w:val="24"/>
        </w:rPr>
        <w:t xml:space="preserve">, </w:t>
      </w:r>
      <w:r w:rsidR="0099770B">
        <w:rPr>
          <w:rFonts w:ascii="Arial" w:hAnsi="Arial" w:cs="Arial"/>
          <w:sz w:val="24"/>
          <w:szCs w:val="24"/>
        </w:rPr>
        <w:t>Wall</w:t>
      </w:r>
      <w:r w:rsidR="00DD0627">
        <w:rPr>
          <w:rFonts w:ascii="Arial" w:hAnsi="Arial" w:cs="Arial"/>
          <w:sz w:val="24"/>
          <w:szCs w:val="24"/>
        </w:rPr>
        <w:t>is</w:t>
      </w:r>
      <w:r w:rsidR="0099770B">
        <w:rPr>
          <w:rFonts w:ascii="Arial" w:hAnsi="Arial" w:cs="Arial"/>
          <w:sz w:val="24"/>
          <w:szCs w:val="24"/>
        </w:rPr>
        <w:t xml:space="preserve"> JA pointed out that, depending on the circumstances, </w:t>
      </w:r>
      <w:r w:rsidR="00DD0627">
        <w:rPr>
          <w:rFonts w:ascii="Arial" w:hAnsi="Arial" w:cs="Arial"/>
          <w:sz w:val="24"/>
          <w:szCs w:val="24"/>
        </w:rPr>
        <w:t xml:space="preserve">an </w:t>
      </w:r>
      <w:r w:rsidR="0099770B">
        <w:rPr>
          <w:rFonts w:ascii="Arial" w:hAnsi="Arial" w:cs="Arial"/>
          <w:sz w:val="24"/>
          <w:szCs w:val="24"/>
        </w:rPr>
        <w:t xml:space="preserve">arbitral award may </w:t>
      </w:r>
      <w:r w:rsidR="0099770B">
        <w:rPr>
          <w:rFonts w:ascii="Arial" w:hAnsi="Arial" w:cs="Arial"/>
          <w:sz w:val="24"/>
          <w:szCs w:val="24"/>
        </w:rPr>
        <w:lastRenderedPageBreak/>
        <w:t xml:space="preserve">have one of </w:t>
      </w:r>
      <w:r w:rsidR="00317EDA">
        <w:rPr>
          <w:rFonts w:ascii="Arial" w:hAnsi="Arial" w:cs="Arial"/>
          <w:sz w:val="24"/>
          <w:szCs w:val="24"/>
        </w:rPr>
        <w:t>two</w:t>
      </w:r>
      <w:r w:rsidR="0099770B">
        <w:rPr>
          <w:rFonts w:ascii="Arial" w:hAnsi="Arial" w:cs="Arial"/>
          <w:sz w:val="24"/>
          <w:szCs w:val="24"/>
        </w:rPr>
        <w:t xml:space="preserve"> consequences as far as the underlying claim</w:t>
      </w:r>
      <w:r w:rsidR="00B96898">
        <w:rPr>
          <w:rFonts w:ascii="Arial" w:hAnsi="Arial" w:cs="Arial"/>
          <w:sz w:val="24"/>
          <w:szCs w:val="24"/>
        </w:rPr>
        <w:t xml:space="preserve"> or </w:t>
      </w:r>
      <w:r w:rsidR="00B96898" w:rsidRPr="00B96898">
        <w:rPr>
          <w:rFonts w:ascii="Arial" w:hAnsi="Arial" w:cs="Arial"/>
          <w:i/>
          <w:iCs/>
          <w:sz w:val="24"/>
          <w:szCs w:val="24"/>
        </w:rPr>
        <w:t>causa</w:t>
      </w:r>
      <w:r w:rsidR="0099770B">
        <w:rPr>
          <w:rFonts w:ascii="Arial" w:hAnsi="Arial" w:cs="Arial"/>
          <w:sz w:val="24"/>
          <w:szCs w:val="24"/>
        </w:rPr>
        <w:t xml:space="preserve"> on which it is based is concerned.</w:t>
      </w:r>
      <w:r w:rsidR="00DD0627">
        <w:rPr>
          <w:rFonts w:ascii="Arial" w:hAnsi="Arial" w:cs="Arial"/>
          <w:sz w:val="24"/>
          <w:szCs w:val="24"/>
        </w:rPr>
        <w:t xml:space="preserve"> </w:t>
      </w:r>
      <w:r w:rsidR="00BC55FE">
        <w:rPr>
          <w:rFonts w:ascii="Arial" w:hAnsi="Arial" w:cs="Arial"/>
          <w:sz w:val="24"/>
          <w:szCs w:val="24"/>
        </w:rPr>
        <w:t>I</w:t>
      </w:r>
      <w:r w:rsidR="000C1D31">
        <w:rPr>
          <w:rFonts w:ascii="Arial" w:hAnsi="Arial" w:cs="Arial"/>
          <w:sz w:val="24"/>
          <w:szCs w:val="24"/>
        </w:rPr>
        <w:t>n the first instance i</w:t>
      </w:r>
      <w:r w:rsidR="00FB1353">
        <w:rPr>
          <w:rFonts w:ascii="Arial" w:hAnsi="Arial" w:cs="Arial"/>
          <w:sz w:val="24"/>
          <w:szCs w:val="24"/>
        </w:rPr>
        <w:t>t may replace it, thereby giving rise to an entirely separate and new i.e independent cause of action</w:t>
      </w:r>
      <w:r w:rsidR="00C14FB3">
        <w:rPr>
          <w:rFonts w:ascii="Arial" w:hAnsi="Arial" w:cs="Arial"/>
          <w:sz w:val="24"/>
          <w:szCs w:val="24"/>
        </w:rPr>
        <w:t xml:space="preserve"> </w:t>
      </w:r>
      <w:r w:rsidR="00EC4845">
        <w:rPr>
          <w:rFonts w:ascii="Arial" w:hAnsi="Arial" w:cs="Arial"/>
          <w:sz w:val="24"/>
          <w:szCs w:val="24"/>
        </w:rPr>
        <w:t xml:space="preserve">on </w:t>
      </w:r>
      <w:r w:rsidR="00C14FB3">
        <w:rPr>
          <w:rFonts w:ascii="Arial" w:hAnsi="Arial" w:cs="Arial"/>
          <w:sz w:val="24"/>
          <w:szCs w:val="24"/>
        </w:rPr>
        <w:t xml:space="preserve">which </w:t>
      </w:r>
      <w:r w:rsidR="00EC4845">
        <w:rPr>
          <w:rFonts w:ascii="Arial" w:hAnsi="Arial" w:cs="Arial"/>
          <w:sz w:val="24"/>
          <w:szCs w:val="24"/>
        </w:rPr>
        <w:t xml:space="preserve">it </w:t>
      </w:r>
      <w:r w:rsidR="00C14FB3">
        <w:rPr>
          <w:rFonts w:ascii="Arial" w:hAnsi="Arial" w:cs="Arial"/>
          <w:sz w:val="24"/>
          <w:szCs w:val="24"/>
        </w:rPr>
        <w:t xml:space="preserve">is based. </w:t>
      </w:r>
    </w:p>
    <w:p w14:paraId="394505C1" w14:textId="6B5EC6FA" w:rsidR="002A6300"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50.</w:t>
      </w:r>
      <w:r>
        <w:rPr>
          <w:rFonts w:ascii="Arial" w:hAnsi="Arial" w:cs="Arial"/>
          <w:sz w:val="24"/>
          <w:szCs w:val="24"/>
        </w:rPr>
        <w:tab/>
      </w:r>
      <w:r w:rsidR="00C14FB3">
        <w:rPr>
          <w:rFonts w:ascii="Arial" w:hAnsi="Arial" w:cs="Arial"/>
          <w:sz w:val="24"/>
          <w:szCs w:val="24"/>
        </w:rPr>
        <w:t>Alternatively</w:t>
      </w:r>
      <w:r w:rsidR="00BC55FE">
        <w:rPr>
          <w:rFonts w:ascii="Arial" w:hAnsi="Arial" w:cs="Arial"/>
          <w:sz w:val="24"/>
          <w:szCs w:val="24"/>
        </w:rPr>
        <w:t>,</w:t>
      </w:r>
      <w:r w:rsidR="00C14FB3">
        <w:rPr>
          <w:rFonts w:ascii="Arial" w:hAnsi="Arial" w:cs="Arial"/>
          <w:sz w:val="24"/>
          <w:szCs w:val="24"/>
        </w:rPr>
        <w:t xml:space="preserve"> </w:t>
      </w:r>
      <w:r w:rsidR="00FB1353">
        <w:rPr>
          <w:rFonts w:ascii="Arial" w:hAnsi="Arial" w:cs="Arial"/>
          <w:sz w:val="24"/>
          <w:szCs w:val="24"/>
        </w:rPr>
        <w:t>it</w:t>
      </w:r>
      <w:r w:rsidR="0099770B">
        <w:rPr>
          <w:rFonts w:ascii="Arial" w:hAnsi="Arial" w:cs="Arial"/>
          <w:sz w:val="24"/>
          <w:szCs w:val="24"/>
        </w:rPr>
        <w:t xml:space="preserve"> may</w:t>
      </w:r>
      <w:r w:rsidR="004F035D">
        <w:rPr>
          <w:rFonts w:ascii="Arial" w:hAnsi="Arial" w:cs="Arial"/>
          <w:sz w:val="24"/>
          <w:szCs w:val="24"/>
        </w:rPr>
        <w:t xml:space="preserve"> leave</w:t>
      </w:r>
      <w:r w:rsidR="0099770B">
        <w:rPr>
          <w:rFonts w:ascii="Arial" w:hAnsi="Arial" w:cs="Arial"/>
          <w:sz w:val="24"/>
          <w:szCs w:val="24"/>
        </w:rPr>
        <w:t xml:space="preserve"> it intact and </w:t>
      </w:r>
      <w:r w:rsidR="00BC55FE">
        <w:rPr>
          <w:rFonts w:ascii="Arial" w:hAnsi="Arial" w:cs="Arial"/>
          <w:sz w:val="24"/>
          <w:szCs w:val="24"/>
        </w:rPr>
        <w:t xml:space="preserve">merely </w:t>
      </w:r>
      <w:r w:rsidR="0099770B">
        <w:rPr>
          <w:rFonts w:ascii="Arial" w:hAnsi="Arial" w:cs="Arial"/>
          <w:sz w:val="24"/>
          <w:szCs w:val="24"/>
        </w:rPr>
        <w:t>strengthen the enforceability thereof</w:t>
      </w:r>
      <w:r w:rsidR="00C14FB3">
        <w:rPr>
          <w:rFonts w:ascii="Arial" w:hAnsi="Arial" w:cs="Arial"/>
          <w:sz w:val="24"/>
          <w:szCs w:val="24"/>
        </w:rPr>
        <w:t>,</w:t>
      </w:r>
      <w:r w:rsidR="00DD0627">
        <w:rPr>
          <w:rFonts w:ascii="Arial" w:hAnsi="Arial" w:cs="Arial"/>
          <w:sz w:val="24"/>
          <w:szCs w:val="24"/>
        </w:rPr>
        <w:t xml:space="preserve"> resulting in a </w:t>
      </w:r>
      <w:r w:rsidR="00287907">
        <w:rPr>
          <w:rFonts w:ascii="Arial" w:hAnsi="Arial" w:cs="Arial"/>
          <w:sz w:val="24"/>
          <w:szCs w:val="24"/>
        </w:rPr>
        <w:t xml:space="preserve">so-called </w:t>
      </w:r>
      <w:r w:rsidR="00DD0627">
        <w:rPr>
          <w:rFonts w:ascii="Arial" w:hAnsi="Arial" w:cs="Arial"/>
          <w:i/>
          <w:iCs/>
          <w:sz w:val="24"/>
          <w:szCs w:val="24"/>
        </w:rPr>
        <w:t>novatio necessaria (</w:t>
      </w:r>
      <w:r w:rsidR="00DD0627" w:rsidRPr="00DD0627">
        <w:rPr>
          <w:rFonts w:ascii="Arial" w:hAnsi="Arial" w:cs="Arial"/>
          <w:sz w:val="24"/>
          <w:szCs w:val="24"/>
        </w:rPr>
        <w:t xml:space="preserve">a </w:t>
      </w:r>
      <w:r w:rsidR="00DD0627">
        <w:rPr>
          <w:rFonts w:ascii="Arial" w:hAnsi="Arial" w:cs="Arial"/>
          <w:sz w:val="24"/>
          <w:szCs w:val="24"/>
        </w:rPr>
        <w:t xml:space="preserve">type of compulsory, judicial novation as </w:t>
      </w:r>
      <w:r w:rsidR="00720B5A">
        <w:rPr>
          <w:rFonts w:ascii="Arial" w:hAnsi="Arial" w:cs="Arial"/>
          <w:sz w:val="24"/>
          <w:szCs w:val="24"/>
        </w:rPr>
        <w:t>compared</w:t>
      </w:r>
      <w:r w:rsidR="00DD0627">
        <w:rPr>
          <w:rFonts w:ascii="Arial" w:hAnsi="Arial" w:cs="Arial"/>
          <w:sz w:val="24"/>
          <w:szCs w:val="24"/>
        </w:rPr>
        <w:t xml:space="preserve"> to a voluntary, party-based one</w:t>
      </w:r>
      <w:r w:rsidR="003D094B">
        <w:rPr>
          <w:rStyle w:val="FootnoteReference"/>
          <w:rFonts w:ascii="Arial" w:hAnsi="Arial" w:cs="Arial"/>
          <w:sz w:val="24"/>
          <w:szCs w:val="24"/>
        </w:rPr>
        <w:footnoteReference w:id="34"/>
      </w:r>
      <w:r w:rsidR="00DD0627">
        <w:rPr>
          <w:rFonts w:ascii="Arial" w:hAnsi="Arial" w:cs="Arial"/>
          <w:sz w:val="24"/>
          <w:szCs w:val="24"/>
        </w:rPr>
        <w:t xml:space="preserve">), which serves to strengthen the underlying claim by rendering it enforceable by </w:t>
      </w:r>
      <w:r w:rsidR="00DD6BF6">
        <w:rPr>
          <w:rFonts w:ascii="Arial" w:hAnsi="Arial" w:cs="Arial"/>
          <w:sz w:val="24"/>
          <w:szCs w:val="24"/>
        </w:rPr>
        <w:t>way</w:t>
      </w:r>
      <w:r w:rsidR="00DD0627">
        <w:rPr>
          <w:rFonts w:ascii="Arial" w:hAnsi="Arial" w:cs="Arial"/>
          <w:sz w:val="24"/>
          <w:szCs w:val="24"/>
        </w:rPr>
        <w:t xml:space="preserve"> of execution</w:t>
      </w:r>
      <w:r w:rsidR="00BC55FE">
        <w:rPr>
          <w:rFonts w:ascii="Arial" w:hAnsi="Arial" w:cs="Arial"/>
          <w:sz w:val="24"/>
          <w:szCs w:val="24"/>
        </w:rPr>
        <w:t>,</w:t>
      </w:r>
      <w:r w:rsidR="00DD0627">
        <w:rPr>
          <w:rFonts w:ascii="Arial" w:hAnsi="Arial" w:cs="Arial"/>
          <w:sz w:val="24"/>
          <w:szCs w:val="24"/>
        </w:rPr>
        <w:t xml:space="preserve"> </w:t>
      </w:r>
      <w:r w:rsidR="00BC55FE">
        <w:rPr>
          <w:rFonts w:ascii="Arial" w:hAnsi="Arial" w:cs="Arial"/>
          <w:sz w:val="24"/>
          <w:szCs w:val="24"/>
        </w:rPr>
        <w:t>after</w:t>
      </w:r>
      <w:r w:rsidR="00DD0627">
        <w:rPr>
          <w:rFonts w:ascii="Arial" w:hAnsi="Arial" w:cs="Arial"/>
          <w:sz w:val="24"/>
          <w:szCs w:val="24"/>
        </w:rPr>
        <w:t xml:space="preserve"> the award is made an order of court. In such a case the essential nature and character of the original, underlying claim</w:t>
      </w:r>
      <w:r w:rsidR="00B96898">
        <w:rPr>
          <w:rFonts w:ascii="Arial" w:hAnsi="Arial" w:cs="Arial"/>
          <w:sz w:val="24"/>
          <w:szCs w:val="24"/>
        </w:rPr>
        <w:t xml:space="preserve"> or </w:t>
      </w:r>
      <w:r w:rsidR="00B96898" w:rsidRPr="00B96898">
        <w:rPr>
          <w:rFonts w:ascii="Arial" w:hAnsi="Arial" w:cs="Arial"/>
          <w:i/>
          <w:iCs/>
          <w:sz w:val="24"/>
          <w:szCs w:val="24"/>
        </w:rPr>
        <w:t>causa</w:t>
      </w:r>
      <w:r w:rsidR="00DD0627">
        <w:rPr>
          <w:rFonts w:ascii="Arial" w:hAnsi="Arial" w:cs="Arial"/>
          <w:sz w:val="24"/>
          <w:szCs w:val="24"/>
        </w:rPr>
        <w:t xml:space="preserve"> remains the same, notwithstanding the award. Thus,</w:t>
      </w:r>
      <w:r w:rsidR="000A7A2C">
        <w:rPr>
          <w:rFonts w:ascii="Arial" w:hAnsi="Arial" w:cs="Arial"/>
          <w:sz w:val="24"/>
          <w:szCs w:val="24"/>
        </w:rPr>
        <w:t xml:space="preserve"> </w:t>
      </w:r>
      <w:r w:rsidR="00DD0627">
        <w:rPr>
          <w:rFonts w:ascii="Arial" w:hAnsi="Arial" w:cs="Arial"/>
          <w:sz w:val="24"/>
          <w:szCs w:val="24"/>
        </w:rPr>
        <w:t xml:space="preserve">if the original claim or cause of action </w:t>
      </w:r>
      <w:r w:rsidR="00C14FB3">
        <w:rPr>
          <w:rFonts w:ascii="Arial" w:hAnsi="Arial" w:cs="Arial"/>
          <w:sz w:val="24"/>
          <w:szCs w:val="24"/>
        </w:rPr>
        <w:t>i</w:t>
      </w:r>
      <w:r w:rsidR="00DD0627">
        <w:rPr>
          <w:rFonts w:ascii="Arial" w:hAnsi="Arial" w:cs="Arial"/>
          <w:sz w:val="24"/>
          <w:szCs w:val="24"/>
        </w:rPr>
        <w:t xml:space="preserve">s hit by </w:t>
      </w:r>
      <w:r w:rsidR="004F035D">
        <w:rPr>
          <w:rFonts w:ascii="Arial" w:hAnsi="Arial" w:cs="Arial"/>
          <w:sz w:val="24"/>
          <w:szCs w:val="24"/>
        </w:rPr>
        <w:t xml:space="preserve">a </w:t>
      </w:r>
      <w:r w:rsidR="00DD0627">
        <w:rPr>
          <w:rFonts w:ascii="Arial" w:hAnsi="Arial" w:cs="Arial"/>
          <w:sz w:val="24"/>
          <w:szCs w:val="24"/>
        </w:rPr>
        <w:t xml:space="preserve">statutory prohibition </w:t>
      </w:r>
      <w:r w:rsidR="00317106">
        <w:rPr>
          <w:rFonts w:ascii="Arial" w:hAnsi="Arial" w:cs="Arial"/>
          <w:sz w:val="24"/>
          <w:szCs w:val="24"/>
        </w:rPr>
        <w:t>which render</w:t>
      </w:r>
      <w:r w:rsidR="00C14FB3">
        <w:rPr>
          <w:rFonts w:ascii="Arial" w:hAnsi="Arial" w:cs="Arial"/>
          <w:sz w:val="24"/>
          <w:szCs w:val="24"/>
        </w:rPr>
        <w:t>s</w:t>
      </w:r>
      <w:r w:rsidR="00317106">
        <w:rPr>
          <w:rFonts w:ascii="Arial" w:hAnsi="Arial" w:cs="Arial"/>
          <w:sz w:val="24"/>
          <w:szCs w:val="24"/>
        </w:rPr>
        <w:t xml:space="preserve"> it </w:t>
      </w:r>
      <w:r w:rsidR="004F035D">
        <w:rPr>
          <w:rFonts w:ascii="Arial" w:hAnsi="Arial" w:cs="Arial"/>
          <w:sz w:val="24"/>
          <w:szCs w:val="24"/>
        </w:rPr>
        <w:t>(</w:t>
      </w:r>
      <w:r w:rsidR="00317106">
        <w:rPr>
          <w:rFonts w:ascii="Arial" w:hAnsi="Arial" w:cs="Arial"/>
          <w:sz w:val="24"/>
          <w:szCs w:val="24"/>
        </w:rPr>
        <w:t>or any agreement arising therefrom</w:t>
      </w:r>
      <w:r w:rsidR="004F035D">
        <w:rPr>
          <w:rFonts w:ascii="Arial" w:hAnsi="Arial" w:cs="Arial"/>
          <w:sz w:val="24"/>
          <w:szCs w:val="24"/>
        </w:rPr>
        <w:t>)</w:t>
      </w:r>
      <w:r w:rsidR="00317106">
        <w:rPr>
          <w:rFonts w:ascii="Arial" w:hAnsi="Arial" w:cs="Arial"/>
          <w:sz w:val="24"/>
          <w:szCs w:val="24"/>
        </w:rPr>
        <w:t xml:space="preserve"> illegal, </w:t>
      </w:r>
      <w:r w:rsidR="00B96898">
        <w:rPr>
          <w:rFonts w:ascii="Arial" w:hAnsi="Arial" w:cs="Arial"/>
          <w:sz w:val="24"/>
          <w:szCs w:val="24"/>
        </w:rPr>
        <w:t>this</w:t>
      </w:r>
      <w:r w:rsidR="00DD0627">
        <w:rPr>
          <w:rFonts w:ascii="Arial" w:hAnsi="Arial" w:cs="Arial"/>
          <w:sz w:val="24"/>
          <w:szCs w:val="24"/>
        </w:rPr>
        <w:t xml:space="preserve"> will permeate </w:t>
      </w:r>
      <w:r w:rsidR="004F035D">
        <w:rPr>
          <w:rFonts w:ascii="Arial" w:hAnsi="Arial" w:cs="Arial"/>
          <w:sz w:val="24"/>
          <w:szCs w:val="24"/>
        </w:rPr>
        <w:t xml:space="preserve">through </w:t>
      </w:r>
      <w:r w:rsidR="00DD0627">
        <w:rPr>
          <w:rFonts w:ascii="Arial" w:hAnsi="Arial" w:cs="Arial"/>
          <w:sz w:val="24"/>
          <w:szCs w:val="24"/>
        </w:rPr>
        <w:t>to the award</w:t>
      </w:r>
      <w:r w:rsidR="00B96898">
        <w:rPr>
          <w:rFonts w:ascii="Arial" w:hAnsi="Arial" w:cs="Arial"/>
          <w:sz w:val="24"/>
          <w:szCs w:val="24"/>
        </w:rPr>
        <w:t>, rendering it unenforceable</w:t>
      </w:r>
      <w:r w:rsidR="00DD0627">
        <w:rPr>
          <w:rFonts w:ascii="Arial" w:hAnsi="Arial" w:cs="Arial"/>
          <w:sz w:val="24"/>
          <w:szCs w:val="24"/>
        </w:rPr>
        <w:t>.</w:t>
      </w:r>
      <w:r w:rsidR="007E0DFE">
        <w:rPr>
          <w:rStyle w:val="FootnoteReference"/>
          <w:rFonts w:ascii="Arial" w:hAnsi="Arial" w:cs="Arial"/>
          <w:sz w:val="24"/>
          <w:szCs w:val="24"/>
        </w:rPr>
        <w:footnoteReference w:id="35"/>
      </w:r>
      <w:r w:rsidR="00DD0627">
        <w:rPr>
          <w:rFonts w:ascii="Arial" w:hAnsi="Arial" w:cs="Arial"/>
          <w:sz w:val="24"/>
          <w:szCs w:val="24"/>
        </w:rPr>
        <w:t xml:space="preserve"> </w:t>
      </w:r>
    </w:p>
    <w:p w14:paraId="027E32ED" w14:textId="3EC6CACC" w:rsidR="00317EDA"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51.</w:t>
      </w:r>
      <w:r>
        <w:rPr>
          <w:rFonts w:ascii="Arial" w:hAnsi="Arial" w:cs="Arial"/>
          <w:sz w:val="24"/>
          <w:szCs w:val="24"/>
        </w:rPr>
        <w:tab/>
      </w:r>
      <w:r w:rsidR="00D84C5B">
        <w:rPr>
          <w:rFonts w:ascii="Arial" w:hAnsi="Arial" w:cs="Arial"/>
          <w:sz w:val="24"/>
          <w:szCs w:val="24"/>
        </w:rPr>
        <w:t xml:space="preserve">The learned </w:t>
      </w:r>
      <w:r w:rsidR="00317EDA">
        <w:rPr>
          <w:rFonts w:ascii="Arial" w:hAnsi="Arial" w:cs="Arial"/>
          <w:sz w:val="24"/>
          <w:szCs w:val="24"/>
        </w:rPr>
        <w:t>j</w:t>
      </w:r>
      <w:r w:rsidR="00D84C5B">
        <w:rPr>
          <w:rFonts w:ascii="Arial" w:hAnsi="Arial" w:cs="Arial"/>
          <w:sz w:val="24"/>
          <w:szCs w:val="24"/>
        </w:rPr>
        <w:t xml:space="preserve">udge of appeal </w:t>
      </w:r>
      <w:r w:rsidR="00756487">
        <w:rPr>
          <w:rFonts w:ascii="Arial" w:hAnsi="Arial" w:cs="Arial"/>
          <w:sz w:val="24"/>
          <w:szCs w:val="24"/>
        </w:rPr>
        <w:t>noted</w:t>
      </w:r>
      <w:r w:rsidR="00D84C5B">
        <w:rPr>
          <w:rFonts w:ascii="Arial" w:hAnsi="Arial" w:cs="Arial"/>
          <w:sz w:val="24"/>
          <w:szCs w:val="24"/>
        </w:rPr>
        <w:t xml:space="preserve"> that </w:t>
      </w:r>
      <w:r w:rsidR="00317EDA">
        <w:rPr>
          <w:rFonts w:ascii="Arial" w:hAnsi="Arial" w:cs="Arial"/>
          <w:sz w:val="24"/>
          <w:szCs w:val="24"/>
        </w:rPr>
        <w:t>o</w:t>
      </w:r>
      <w:r w:rsidR="00D84C5B">
        <w:rPr>
          <w:rFonts w:ascii="Arial" w:hAnsi="Arial" w:cs="Arial"/>
          <w:sz w:val="24"/>
          <w:szCs w:val="24"/>
        </w:rPr>
        <w:t xml:space="preserve">ur authorities on the point </w:t>
      </w:r>
      <w:r w:rsidR="00317EDA">
        <w:rPr>
          <w:rFonts w:ascii="Arial" w:hAnsi="Arial" w:cs="Arial"/>
          <w:sz w:val="24"/>
          <w:szCs w:val="24"/>
        </w:rPr>
        <w:t xml:space="preserve">are </w:t>
      </w:r>
      <w:r w:rsidR="00D84C5B">
        <w:rPr>
          <w:rFonts w:ascii="Arial" w:hAnsi="Arial" w:cs="Arial"/>
          <w:sz w:val="24"/>
          <w:szCs w:val="24"/>
        </w:rPr>
        <w:t xml:space="preserve">not consistent or harmonious, </w:t>
      </w:r>
      <w:r w:rsidR="00317EDA">
        <w:rPr>
          <w:rFonts w:ascii="Arial" w:hAnsi="Arial" w:cs="Arial"/>
          <w:sz w:val="24"/>
          <w:szCs w:val="24"/>
        </w:rPr>
        <w:t xml:space="preserve">and in </w:t>
      </w:r>
      <w:r w:rsidR="00D84C5B">
        <w:rPr>
          <w:rFonts w:ascii="Arial" w:hAnsi="Arial" w:cs="Arial"/>
          <w:sz w:val="24"/>
          <w:szCs w:val="24"/>
        </w:rPr>
        <w:t xml:space="preserve">each instance which </w:t>
      </w:r>
      <w:r w:rsidR="00317EDA">
        <w:rPr>
          <w:rFonts w:ascii="Arial" w:hAnsi="Arial" w:cs="Arial"/>
          <w:sz w:val="24"/>
          <w:szCs w:val="24"/>
        </w:rPr>
        <w:t xml:space="preserve">of the two situations </w:t>
      </w:r>
      <w:r w:rsidR="00D84C5B">
        <w:rPr>
          <w:rFonts w:ascii="Arial" w:hAnsi="Arial" w:cs="Arial"/>
          <w:sz w:val="24"/>
          <w:szCs w:val="24"/>
        </w:rPr>
        <w:t xml:space="preserve">we are dealing with </w:t>
      </w:r>
      <w:r w:rsidR="007E0DFE">
        <w:rPr>
          <w:rFonts w:ascii="Arial" w:hAnsi="Arial" w:cs="Arial"/>
          <w:sz w:val="24"/>
          <w:szCs w:val="24"/>
        </w:rPr>
        <w:t>must</w:t>
      </w:r>
      <w:r w:rsidR="00317EDA">
        <w:rPr>
          <w:rFonts w:ascii="Arial" w:hAnsi="Arial" w:cs="Arial"/>
          <w:sz w:val="24"/>
          <w:szCs w:val="24"/>
        </w:rPr>
        <w:t xml:space="preserve"> be </w:t>
      </w:r>
      <w:r w:rsidR="00D84C5B">
        <w:rPr>
          <w:rFonts w:ascii="Arial" w:hAnsi="Arial" w:cs="Arial"/>
          <w:sz w:val="24"/>
          <w:szCs w:val="24"/>
        </w:rPr>
        <w:t xml:space="preserve">determined by careful consideration of the relevant facts, the nature of the proceedings </w:t>
      </w:r>
      <w:r w:rsidR="007E0DFE">
        <w:rPr>
          <w:rFonts w:ascii="Arial" w:hAnsi="Arial" w:cs="Arial"/>
          <w:sz w:val="24"/>
          <w:szCs w:val="24"/>
        </w:rPr>
        <w:t xml:space="preserve">at hand, </w:t>
      </w:r>
      <w:r w:rsidR="00D84C5B">
        <w:rPr>
          <w:rFonts w:ascii="Arial" w:hAnsi="Arial" w:cs="Arial"/>
          <w:sz w:val="24"/>
          <w:szCs w:val="24"/>
        </w:rPr>
        <w:t xml:space="preserve">and the contents of the arbitral award. </w:t>
      </w:r>
    </w:p>
    <w:p w14:paraId="2BF2CB3F" w14:textId="1EEB2A69" w:rsidR="0099770B"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52.</w:t>
      </w:r>
      <w:r>
        <w:rPr>
          <w:rFonts w:ascii="Arial" w:hAnsi="Arial" w:cs="Arial"/>
          <w:sz w:val="24"/>
          <w:szCs w:val="24"/>
        </w:rPr>
        <w:tab/>
      </w:r>
      <w:r w:rsidR="00317EDA">
        <w:rPr>
          <w:rFonts w:ascii="Arial" w:hAnsi="Arial" w:cs="Arial"/>
          <w:sz w:val="24"/>
          <w:szCs w:val="24"/>
        </w:rPr>
        <w:t>Where i</w:t>
      </w:r>
      <w:r w:rsidR="00D84C5B">
        <w:rPr>
          <w:rFonts w:ascii="Arial" w:hAnsi="Arial" w:cs="Arial"/>
          <w:sz w:val="24"/>
          <w:szCs w:val="24"/>
        </w:rPr>
        <w:t xml:space="preserve">t is apparent </w:t>
      </w:r>
      <w:r w:rsidR="00317EDA">
        <w:rPr>
          <w:rFonts w:ascii="Arial" w:hAnsi="Arial" w:cs="Arial"/>
          <w:sz w:val="24"/>
          <w:szCs w:val="24"/>
        </w:rPr>
        <w:t xml:space="preserve">that </w:t>
      </w:r>
      <w:r w:rsidR="00D84C5B">
        <w:rPr>
          <w:rFonts w:ascii="Arial" w:hAnsi="Arial" w:cs="Arial"/>
          <w:sz w:val="24"/>
          <w:szCs w:val="24"/>
        </w:rPr>
        <w:t xml:space="preserve">the real purpose of </w:t>
      </w:r>
      <w:r w:rsidR="00487D76">
        <w:rPr>
          <w:rFonts w:ascii="Arial" w:hAnsi="Arial" w:cs="Arial"/>
          <w:sz w:val="24"/>
          <w:szCs w:val="24"/>
        </w:rPr>
        <w:t>an arbitral</w:t>
      </w:r>
      <w:r w:rsidR="00D84C5B">
        <w:rPr>
          <w:rFonts w:ascii="Arial" w:hAnsi="Arial" w:cs="Arial"/>
          <w:sz w:val="24"/>
          <w:szCs w:val="24"/>
        </w:rPr>
        <w:t xml:space="preserve"> award is to enforce contractual rights </w:t>
      </w:r>
      <w:r w:rsidR="00317EDA">
        <w:rPr>
          <w:rFonts w:ascii="Arial" w:hAnsi="Arial" w:cs="Arial"/>
          <w:sz w:val="24"/>
          <w:szCs w:val="24"/>
        </w:rPr>
        <w:t xml:space="preserve">by means of execution, </w:t>
      </w:r>
      <w:r w:rsidR="00D84C5B">
        <w:rPr>
          <w:rFonts w:ascii="Arial" w:hAnsi="Arial" w:cs="Arial"/>
          <w:sz w:val="24"/>
          <w:szCs w:val="24"/>
        </w:rPr>
        <w:t xml:space="preserve">without affecting other/ancillary rights which arise out of </w:t>
      </w:r>
      <w:r w:rsidR="00DA11AE">
        <w:rPr>
          <w:rFonts w:ascii="Arial" w:hAnsi="Arial" w:cs="Arial"/>
          <w:sz w:val="24"/>
          <w:szCs w:val="24"/>
        </w:rPr>
        <w:t>the</w:t>
      </w:r>
      <w:r w:rsidR="00487D76">
        <w:rPr>
          <w:rFonts w:ascii="Arial" w:hAnsi="Arial" w:cs="Arial"/>
          <w:sz w:val="24"/>
          <w:szCs w:val="24"/>
        </w:rPr>
        <w:t xml:space="preserve"> underlying</w:t>
      </w:r>
      <w:r w:rsidR="00D84C5B">
        <w:rPr>
          <w:rFonts w:ascii="Arial" w:hAnsi="Arial" w:cs="Arial"/>
          <w:sz w:val="24"/>
          <w:szCs w:val="24"/>
        </w:rPr>
        <w:t xml:space="preserve"> contract</w:t>
      </w:r>
      <w:r w:rsidR="00317EDA">
        <w:rPr>
          <w:rFonts w:ascii="Arial" w:hAnsi="Arial" w:cs="Arial"/>
          <w:sz w:val="24"/>
          <w:szCs w:val="24"/>
        </w:rPr>
        <w:t>, it</w:t>
      </w:r>
      <w:r w:rsidR="00D84C5B">
        <w:rPr>
          <w:rFonts w:ascii="Arial" w:hAnsi="Arial" w:cs="Arial"/>
          <w:sz w:val="24"/>
          <w:szCs w:val="24"/>
        </w:rPr>
        <w:t xml:space="preserve"> may be ‘more realistic’</w:t>
      </w:r>
      <w:r w:rsidR="007E0DFE">
        <w:rPr>
          <w:rStyle w:val="FootnoteReference"/>
          <w:rFonts w:ascii="Arial" w:hAnsi="Arial" w:cs="Arial"/>
          <w:sz w:val="24"/>
          <w:szCs w:val="24"/>
        </w:rPr>
        <w:footnoteReference w:id="36"/>
      </w:r>
      <w:r w:rsidR="00D84C5B">
        <w:rPr>
          <w:rFonts w:ascii="Arial" w:hAnsi="Arial" w:cs="Arial"/>
          <w:sz w:val="24"/>
          <w:szCs w:val="24"/>
        </w:rPr>
        <w:t xml:space="preserve"> </w:t>
      </w:r>
      <w:r w:rsidR="00317EDA">
        <w:rPr>
          <w:rFonts w:ascii="Arial" w:hAnsi="Arial" w:cs="Arial"/>
          <w:sz w:val="24"/>
          <w:szCs w:val="24"/>
        </w:rPr>
        <w:t xml:space="preserve">to </w:t>
      </w:r>
      <w:r w:rsidR="00D84C5B">
        <w:rPr>
          <w:rFonts w:ascii="Arial" w:hAnsi="Arial" w:cs="Arial"/>
          <w:sz w:val="24"/>
          <w:szCs w:val="24"/>
        </w:rPr>
        <w:t xml:space="preserve">regard the award not as novating, but strengthening or reinforcing the original, underlying </w:t>
      </w:r>
      <w:r w:rsidR="00DD6BF6">
        <w:rPr>
          <w:rFonts w:ascii="Arial" w:hAnsi="Arial" w:cs="Arial"/>
          <w:sz w:val="24"/>
          <w:szCs w:val="24"/>
        </w:rPr>
        <w:t xml:space="preserve">contractual </w:t>
      </w:r>
      <w:r w:rsidR="00D84C5B">
        <w:rPr>
          <w:rFonts w:ascii="Arial" w:hAnsi="Arial" w:cs="Arial"/>
          <w:sz w:val="24"/>
          <w:szCs w:val="24"/>
        </w:rPr>
        <w:t>claim or cause of action</w:t>
      </w:r>
      <w:r w:rsidR="00317EDA">
        <w:rPr>
          <w:rFonts w:ascii="Arial" w:hAnsi="Arial" w:cs="Arial"/>
          <w:sz w:val="24"/>
          <w:szCs w:val="24"/>
        </w:rPr>
        <w:t>. In</w:t>
      </w:r>
      <w:r w:rsidR="00D84C5B">
        <w:rPr>
          <w:rFonts w:ascii="Arial" w:hAnsi="Arial" w:cs="Arial"/>
          <w:sz w:val="24"/>
          <w:szCs w:val="24"/>
        </w:rPr>
        <w:t xml:space="preserve"> such an instance all that happens in effect is that the original right of action </w:t>
      </w:r>
      <w:r w:rsidR="00317EDA">
        <w:rPr>
          <w:rFonts w:ascii="Arial" w:hAnsi="Arial" w:cs="Arial"/>
          <w:sz w:val="24"/>
          <w:szCs w:val="24"/>
        </w:rPr>
        <w:t>i</w:t>
      </w:r>
      <w:r w:rsidR="00D84C5B">
        <w:rPr>
          <w:rFonts w:ascii="Arial" w:hAnsi="Arial" w:cs="Arial"/>
          <w:sz w:val="24"/>
          <w:szCs w:val="24"/>
        </w:rPr>
        <w:t xml:space="preserve">s replaced by a right to execute </w:t>
      </w:r>
      <w:r w:rsidR="009F7988">
        <w:rPr>
          <w:rFonts w:ascii="Arial" w:hAnsi="Arial" w:cs="Arial"/>
          <w:sz w:val="24"/>
          <w:szCs w:val="24"/>
        </w:rPr>
        <w:t xml:space="preserve">but </w:t>
      </w:r>
      <w:r w:rsidR="00D84C5B">
        <w:rPr>
          <w:rFonts w:ascii="Arial" w:hAnsi="Arial" w:cs="Arial"/>
          <w:sz w:val="24"/>
          <w:szCs w:val="24"/>
        </w:rPr>
        <w:t xml:space="preserve">the underlying, original </w:t>
      </w:r>
      <w:r w:rsidR="009F7988">
        <w:rPr>
          <w:rFonts w:ascii="Arial" w:hAnsi="Arial" w:cs="Arial"/>
          <w:sz w:val="24"/>
          <w:szCs w:val="24"/>
        </w:rPr>
        <w:t xml:space="preserve">claim </w:t>
      </w:r>
      <w:r w:rsidR="00D84C5B">
        <w:rPr>
          <w:rFonts w:ascii="Arial" w:hAnsi="Arial" w:cs="Arial"/>
          <w:sz w:val="24"/>
          <w:szCs w:val="24"/>
        </w:rPr>
        <w:t xml:space="preserve">rights </w:t>
      </w:r>
      <w:r w:rsidR="00317EDA">
        <w:rPr>
          <w:rFonts w:ascii="Arial" w:hAnsi="Arial" w:cs="Arial"/>
          <w:sz w:val="24"/>
          <w:szCs w:val="24"/>
        </w:rPr>
        <w:t xml:space="preserve">on which it is based, </w:t>
      </w:r>
      <w:r w:rsidR="00D84C5B">
        <w:rPr>
          <w:rFonts w:ascii="Arial" w:hAnsi="Arial" w:cs="Arial"/>
          <w:sz w:val="24"/>
          <w:szCs w:val="24"/>
        </w:rPr>
        <w:t>remain</w:t>
      </w:r>
      <w:r w:rsidR="00317EDA">
        <w:rPr>
          <w:rFonts w:ascii="Arial" w:hAnsi="Arial" w:cs="Arial"/>
          <w:sz w:val="24"/>
          <w:szCs w:val="24"/>
        </w:rPr>
        <w:t>,</w:t>
      </w:r>
      <w:r w:rsidR="00D84C5B">
        <w:rPr>
          <w:rFonts w:ascii="Arial" w:hAnsi="Arial" w:cs="Arial"/>
          <w:sz w:val="24"/>
          <w:szCs w:val="24"/>
        </w:rPr>
        <w:t xml:space="preserve"> and are not transformed. </w:t>
      </w:r>
    </w:p>
    <w:p w14:paraId="7C331FF1" w14:textId="11A9172F" w:rsidR="004E74F4"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53.</w:t>
      </w:r>
      <w:r>
        <w:rPr>
          <w:rFonts w:ascii="Arial" w:hAnsi="Arial" w:cs="Arial"/>
          <w:sz w:val="24"/>
          <w:szCs w:val="24"/>
        </w:rPr>
        <w:tab/>
      </w:r>
      <w:r w:rsidR="008E7A21">
        <w:rPr>
          <w:rFonts w:ascii="Arial" w:hAnsi="Arial" w:cs="Arial"/>
          <w:sz w:val="24"/>
          <w:szCs w:val="24"/>
        </w:rPr>
        <w:t>A</w:t>
      </w:r>
      <w:r w:rsidR="00D84C5B">
        <w:rPr>
          <w:rFonts w:ascii="Arial" w:hAnsi="Arial" w:cs="Arial"/>
          <w:sz w:val="24"/>
          <w:szCs w:val="24"/>
        </w:rPr>
        <w:t xml:space="preserve">s Wallis JA </w:t>
      </w:r>
      <w:r w:rsidR="00756487">
        <w:rPr>
          <w:rFonts w:ascii="Arial" w:hAnsi="Arial" w:cs="Arial"/>
          <w:sz w:val="24"/>
          <w:szCs w:val="24"/>
        </w:rPr>
        <w:t>concluded</w:t>
      </w:r>
      <w:r w:rsidR="00B11683">
        <w:rPr>
          <w:rFonts w:ascii="Arial" w:hAnsi="Arial" w:cs="Arial"/>
          <w:sz w:val="24"/>
          <w:szCs w:val="24"/>
        </w:rPr>
        <w:t>,</w:t>
      </w:r>
      <w:r w:rsidR="007E0DFE">
        <w:rPr>
          <w:rStyle w:val="FootnoteReference"/>
          <w:rFonts w:ascii="Arial" w:hAnsi="Arial" w:cs="Arial"/>
          <w:sz w:val="24"/>
          <w:szCs w:val="24"/>
        </w:rPr>
        <w:footnoteReference w:id="37"/>
      </w:r>
      <w:r w:rsidR="00D84C5B">
        <w:rPr>
          <w:rFonts w:ascii="Arial" w:hAnsi="Arial" w:cs="Arial"/>
          <w:sz w:val="24"/>
          <w:szCs w:val="24"/>
        </w:rPr>
        <w:t xml:space="preserve"> the arbitrator’s award in </w:t>
      </w:r>
      <w:r w:rsidR="008E7A21" w:rsidRPr="008E7A21">
        <w:rPr>
          <w:rFonts w:ascii="Arial" w:hAnsi="Arial" w:cs="Arial"/>
          <w:i/>
          <w:iCs/>
          <w:sz w:val="24"/>
          <w:szCs w:val="24"/>
        </w:rPr>
        <w:t>Co</w:t>
      </w:r>
      <w:r w:rsidR="00D84C5B" w:rsidRPr="008E7A21">
        <w:rPr>
          <w:rFonts w:ascii="Arial" w:hAnsi="Arial" w:cs="Arial"/>
          <w:i/>
          <w:iCs/>
          <w:sz w:val="24"/>
          <w:szCs w:val="24"/>
        </w:rPr>
        <w:t xml:space="preserve">ol </w:t>
      </w:r>
      <w:r w:rsidR="008E7A21" w:rsidRPr="008E7A21">
        <w:rPr>
          <w:rFonts w:ascii="Arial" w:hAnsi="Arial" w:cs="Arial"/>
          <w:i/>
          <w:iCs/>
          <w:sz w:val="24"/>
          <w:szCs w:val="24"/>
        </w:rPr>
        <w:t>I</w:t>
      </w:r>
      <w:r w:rsidR="00D84C5B" w:rsidRPr="008E7A21">
        <w:rPr>
          <w:rFonts w:ascii="Arial" w:hAnsi="Arial" w:cs="Arial"/>
          <w:i/>
          <w:iCs/>
          <w:sz w:val="24"/>
          <w:szCs w:val="24"/>
        </w:rPr>
        <w:t>deas</w:t>
      </w:r>
      <w:r w:rsidR="00D84C5B">
        <w:rPr>
          <w:rFonts w:ascii="Arial" w:hAnsi="Arial" w:cs="Arial"/>
          <w:sz w:val="24"/>
          <w:szCs w:val="24"/>
        </w:rPr>
        <w:t xml:space="preserve"> </w:t>
      </w:r>
      <w:r w:rsidR="008E7A21">
        <w:rPr>
          <w:rFonts w:ascii="Arial" w:hAnsi="Arial" w:cs="Arial"/>
          <w:sz w:val="24"/>
          <w:szCs w:val="24"/>
        </w:rPr>
        <w:t xml:space="preserve">amounted to a </w:t>
      </w:r>
      <w:r w:rsidR="008E7A21" w:rsidRPr="008E7A21">
        <w:rPr>
          <w:rFonts w:ascii="Arial" w:hAnsi="Arial" w:cs="Arial"/>
          <w:i/>
          <w:iCs/>
          <w:sz w:val="24"/>
          <w:szCs w:val="24"/>
        </w:rPr>
        <w:t>novatio necessaria</w:t>
      </w:r>
      <w:r w:rsidR="008E7A21">
        <w:rPr>
          <w:rFonts w:ascii="Arial" w:hAnsi="Arial" w:cs="Arial"/>
          <w:sz w:val="24"/>
          <w:szCs w:val="24"/>
        </w:rPr>
        <w:t xml:space="preserve"> </w:t>
      </w:r>
      <w:r w:rsidR="00D84C5B">
        <w:rPr>
          <w:rFonts w:ascii="Arial" w:hAnsi="Arial" w:cs="Arial"/>
          <w:sz w:val="24"/>
          <w:szCs w:val="24"/>
        </w:rPr>
        <w:t>which reinforced</w:t>
      </w:r>
      <w:r w:rsidR="008E7A21">
        <w:rPr>
          <w:rFonts w:ascii="Arial" w:hAnsi="Arial" w:cs="Arial"/>
          <w:sz w:val="24"/>
          <w:szCs w:val="24"/>
        </w:rPr>
        <w:t xml:space="preserve"> </w:t>
      </w:r>
      <w:r w:rsidR="00D84C5B">
        <w:rPr>
          <w:rFonts w:ascii="Arial" w:hAnsi="Arial" w:cs="Arial"/>
          <w:sz w:val="24"/>
          <w:szCs w:val="24"/>
        </w:rPr>
        <w:t>the underlying claim</w:t>
      </w:r>
      <w:r w:rsidR="008E7A21">
        <w:rPr>
          <w:rFonts w:ascii="Arial" w:hAnsi="Arial" w:cs="Arial"/>
          <w:sz w:val="24"/>
          <w:szCs w:val="24"/>
        </w:rPr>
        <w:t xml:space="preserve"> and </w:t>
      </w:r>
      <w:r w:rsidR="00720B5A">
        <w:rPr>
          <w:rFonts w:ascii="Arial" w:hAnsi="Arial" w:cs="Arial"/>
          <w:sz w:val="24"/>
          <w:szCs w:val="24"/>
        </w:rPr>
        <w:t>re</w:t>
      </w:r>
      <w:r w:rsidR="00D84C5B">
        <w:rPr>
          <w:rFonts w:ascii="Arial" w:hAnsi="Arial" w:cs="Arial"/>
          <w:sz w:val="24"/>
          <w:szCs w:val="24"/>
        </w:rPr>
        <w:t xml:space="preserve">placed the right to sue </w:t>
      </w:r>
      <w:r w:rsidR="008E7A21">
        <w:rPr>
          <w:rFonts w:ascii="Arial" w:hAnsi="Arial" w:cs="Arial"/>
          <w:sz w:val="24"/>
          <w:szCs w:val="24"/>
        </w:rPr>
        <w:t>on</w:t>
      </w:r>
      <w:r w:rsidR="00D84C5B">
        <w:rPr>
          <w:rFonts w:ascii="Arial" w:hAnsi="Arial" w:cs="Arial"/>
          <w:sz w:val="24"/>
          <w:szCs w:val="24"/>
        </w:rPr>
        <w:t xml:space="preserve"> it</w:t>
      </w:r>
      <w:r w:rsidR="008E7A21">
        <w:rPr>
          <w:rFonts w:ascii="Arial" w:hAnsi="Arial" w:cs="Arial"/>
          <w:sz w:val="24"/>
          <w:szCs w:val="24"/>
        </w:rPr>
        <w:t>, with a</w:t>
      </w:r>
      <w:r w:rsidR="00D84C5B">
        <w:rPr>
          <w:rFonts w:ascii="Arial" w:hAnsi="Arial" w:cs="Arial"/>
          <w:sz w:val="24"/>
          <w:szCs w:val="24"/>
        </w:rPr>
        <w:t xml:space="preserve"> right to sue on </w:t>
      </w:r>
      <w:r w:rsidR="008E7A21">
        <w:rPr>
          <w:rFonts w:ascii="Arial" w:hAnsi="Arial" w:cs="Arial"/>
          <w:sz w:val="24"/>
          <w:szCs w:val="24"/>
        </w:rPr>
        <w:t xml:space="preserve">and </w:t>
      </w:r>
      <w:r w:rsidR="00D84C5B">
        <w:rPr>
          <w:rFonts w:ascii="Arial" w:hAnsi="Arial" w:cs="Arial"/>
          <w:sz w:val="24"/>
          <w:szCs w:val="24"/>
        </w:rPr>
        <w:t>enforce the award</w:t>
      </w:r>
      <w:r w:rsidR="008E7A21">
        <w:rPr>
          <w:rFonts w:ascii="Arial" w:hAnsi="Arial" w:cs="Arial"/>
          <w:sz w:val="24"/>
          <w:szCs w:val="24"/>
        </w:rPr>
        <w:t>,</w:t>
      </w:r>
      <w:r w:rsidR="00D84C5B">
        <w:rPr>
          <w:rFonts w:ascii="Arial" w:hAnsi="Arial" w:cs="Arial"/>
          <w:sz w:val="24"/>
          <w:szCs w:val="24"/>
        </w:rPr>
        <w:t xml:space="preserve"> by </w:t>
      </w:r>
      <w:r w:rsidR="008E7A21">
        <w:rPr>
          <w:rFonts w:ascii="Arial" w:hAnsi="Arial" w:cs="Arial"/>
          <w:sz w:val="24"/>
          <w:szCs w:val="24"/>
        </w:rPr>
        <w:t xml:space="preserve">way of </w:t>
      </w:r>
      <w:r w:rsidR="00D84C5B">
        <w:rPr>
          <w:rFonts w:ascii="Arial" w:hAnsi="Arial" w:cs="Arial"/>
          <w:sz w:val="24"/>
          <w:szCs w:val="24"/>
        </w:rPr>
        <w:t xml:space="preserve">execution. The </w:t>
      </w:r>
      <w:r w:rsidR="00D84C5B">
        <w:rPr>
          <w:rFonts w:ascii="Arial" w:hAnsi="Arial" w:cs="Arial"/>
          <w:sz w:val="24"/>
          <w:szCs w:val="24"/>
        </w:rPr>
        <w:lastRenderedPageBreak/>
        <w:t>essential nature of the underlying claim was however not altered</w:t>
      </w:r>
      <w:r w:rsidR="008E7A21">
        <w:rPr>
          <w:rFonts w:ascii="Arial" w:hAnsi="Arial" w:cs="Arial"/>
          <w:sz w:val="24"/>
          <w:szCs w:val="24"/>
        </w:rPr>
        <w:t xml:space="preserve">-it </w:t>
      </w:r>
      <w:r w:rsidR="00D84C5B">
        <w:rPr>
          <w:rFonts w:ascii="Arial" w:hAnsi="Arial" w:cs="Arial"/>
          <w:sz w:val="24"/>
          <w:szCs w:val="24"/>
        </w:rPr>
        <w:t>remain</w:t>
      </w:r>
      <w:r w:rsidR="008E7A21">
        <w:rPr>
          <w:rFonts w:ascii="Arial" w:hAnsi="Arial" w:cs="Arial"/>
          <w:sz w:val="24"/>
          <w:szCs w:val="24"/>
        </w:rPr>
        <w:t>ed a</w:t>
      </w:r>
      <w:r w:rsidR="00D84C5B">
        <w:rPr>
          <w:rFonts w:ascii="Arial" w:hAnsi="Arial" w:cs="Arial"/>
          <w:sz w:val="24"/>
          <w:szCs w:val="24"/>
        </w:rPr>
        <w:t xml:space="preserve"> claim for payment </w:t>
      </w:r>
      <w:r w:rsidR="008E7A21">
        <w:rPr>
          <w:rFonts w:ascii="Arial" w:hAnsi="Arial" w:cs="Arial"/>
          <w:sz w:val="24"/>
          <w:szCs w:val="24"/>
        </w:rPr>
        <w:t>under a</w:t>
      </w:r>
      <w:r w:rsidR="00D84C5B">
        <w:rPr>
          <w:rFonts w:ascii="Arial" w:hAnsi="Arial" w:cs="Arial"/>
          <w:sz w:val="24"/>
          <w:szCs w:val="24"/>
        </w:rPr>
        <w:t xml:space="preserve"> building conduct</w:t>
      </w:r>
      <w:r w:rsidR="00DA11AE">
        <w:rPr>
          <w:rFonts w:ascii="Arial" w:hAnsi="Arial" w:cs="Arial"/>
          <w:sz w:val="24"/>
          <w:szCs w:val="24"/>
        </w:rPr>
        <w:t>-</w:t>
      </w:r>
      <w:r w:rsidR="00D84C5B">
        <w:rPr>
          <w:rFonts w:ascii="Arial" w:hAnsi="Arial" w:cs="Arial"/>
          <w:sz w:val="24"/>
          <w:szCs w:val="24"/>
        </w:rPr>
        <w:t xml:space="preserve"> and as such </w:t>
      </w:r>
      <w:r w:rsidR="008E7A21">
        <w:rPr>
          <w:rFonts w:ascii="Arial" w:hAnsi="Arial" w:cs="Arial"/>
          <w:sz w:val="24"/>
          <w:szCs w:val="24"/>
        </w:rPr>
        <w:t xml:space="preserve">the </w:t>
      </w:r>
      <w:r w:rsidR="00D84C5B">
        <w:rPr>
          <w:rFonts w:ascii="Arial" w:hAnsi="Arial" w:cs="Arial"/>
          <w:sz w:val="24"/>
          <w:szCs w:val="24"/>
        </w:rPr>
        <w:t>statut</w:t>
      </w:r>
      <w:r w:rsidR="008E7A21">
        <w:rPr>
          <w:rFonts w:ascii="Arial" w:hAnsi="Arial" w:cs="Arial"/>
          <w:sz w:val="24"/>
          <w:szCs w:val="24"/>
        </w:rPr>
        <w:t>ory p</w:t>
      </w:r>
      <w:r w:rsidR="00720B5A">
        <w:rPr>
          <w:rFonts w:ascii="Arial" w:hAnsi="Arial" w:cs="Arial"/>
          <w:sz w:val="24"/>
          <w:szCs w:val="24"/>
        </w:rPr>
        <w:t>r</w:t>
      </w:r>
      <w:r w:rsidR="008E7A21">
        <w:rPr>
          <w:rFonts w:ascii="Arial" w:hAnsi="Arial" w:cs="Arial"/>
          <w:sz w:val="24"/>
          <w:szCs w:val="24"/>
        </w:rPr>
        <w:t>ovisions</w:t>
      </w:r>
      <w:r w:rsidR="00D84C5B">
        <w:rPr>
          <w:rFonts w:ascii="Arial" w:hAnsi="Arial" w:cs="Arial"/>
          <w:sz w:val="24"/>
          <w:szCs w:val="24"/>
        </w:rPr>
        <w:t xml:space="preserve"> </w:t>
      </w:r>
      <w:r w:rsidR="004E74F4">
        <w:rPr>
          <w:rFonts w:ascii="Arial" w:hAnsi="Arial" w:cs="Arial"/>
          <w:sz w:val="24"/>
          <w:szCs w:val="24"/>
        </w:rPr>
        <w:t xml:space="preserve">which were applicable to it </w:t>
      </w:r>
      <w:r w:rsidR="00D84C5B">
        <w:rPr>
          <w:rFonts w:ascii="Arial" w:hAnsi="Arial" w:cs="Arial"/>
          <w:sz w:val="24"/>
          <w:szCs w:val="24"/>
        </w:rPr>
        <w:t xml:space="preserve">prohibited </w:t>
      </w:r>
      <w:r w:rsidR="008E7A21">
        <w:rPr>
          <w:rFonts w:ascii="Arial" w:hAnsi="Arial" w:cs="Arial"/>
          <w:sz w:val="24"/>
          <w:szCs w:val="24"/>
        </w:rPr>
        <w:t>C</w:t>
      </w:r>
      <w:r w:rsidR="00D84C5B">
        <w:rPr>
          <w:rFonts w:ascii="Arial" w:hAnsi="Arial" w:cs="Arial"/>
          <w:sz w:val="24"/>
          <w:szCs w:val="24"/>
        </w:rPr>
        <w:t xml:space="preserve">ool </w:t>
      </w:r>
      <w:r w:rsidR="008E7A21">
        <w:rPr>
          <w:rFonts w:ascii="Arial" w:hAnsi="Arial" w:cs="Arial"/>
          <w:sz w:val="24"/>
          <w:szCs w:val="24"/>
        </w:rPr>
        <w:t>I</w:t>
      </w:r>
      <w:r w:rsidR="00D84C5B">
        <w:rPr>
          <w:rFonts w:ascii="Arial" w:hAnsi="Arial" w:cs="Arial"/>
          <w:sz w:val="24"/>
          <w:szCs w:val="24"/>
        </w:rPr>
        <w:t>deas</w:t>
      </w:r>
      <w:r w:rsidR="00720B5A">
        <w:rPr>
          <w:rFonts w:ascii="Arial" w:hAnsi="Arial" w:cs="Arial"/>
          <w:sz w:val="24"/>
          <w:szCs w:val="24"/>
        </w:rPr>
        <w:t xml:space="preserve"> CC</w:t>
      </w:r>
      <w:r w:rsidR="00D84C5B">
        <w:rPr>
          <w:rFonts w:ascii="Arial" w:hAnsi="Arial" w:cs="Arial"/>
          <w:sz w:val="24"/>
          <w:szCs w:val="24"/>
        </w:rPr>
        <w:t xml:space="preserve"> from </w:t>
      </w:r>
      <w:r w:rsidR="008E7A21">
        <w:rPr>
          <w:rFonts w:ascii="Arial" w:hAnsi="Arial" w:cs="Arial"/>
          <w:sz w:val="24"/>
          <w:szCs w:val="24"/>
        </w:rPr>
        <w:t>receiving</w:t>
      </w:r>
      <w:r w:rsidR="00D84C5B">
        <w:rPr>
          <w:rFonts w:ascii="Arial" w:hAnsi="Arial" w:cs="Arial"/>
          <w:sz w:val="24"/>
          <w:szCs w:val="24"/>
        </w:rPr>
        <w:t xml:space="preserve"> payment under it. In the circumstances the arbitration did not materially a</w:t>
      </w:r>
      <w:r w:rsidR="008E7A21">
        <w:rPr>
          <w:rFonts w:ascii="Arial" w:hAnsi="Arial" w:cs="Arial"/>
          <w:sz w:val="24"/>
          <w:szCs w:val="24"/>
        </w:rPr>
        <w:t>lter</w:t>
      </w:r>
      <w:r w:rsidR="00D84C5B">
        <w:rPr>
          <w:rFonts w:ascii="Arial" w:hAnsi="Arial" w:cs="Arial"/>
          <w:sz w:val="24"/>
          <w:szCs w:val="24"/>
        </w:rPr>
        <w:t xml:space="preserve"> or transform the underlying </w:t>
      </w:r>
      <w:r w:rsidR="00720B5A">
        <w:rPr>
          <w:rFonts w:ascii="Arial" w:hAnsi="Arial" w:cs="Arial"/>
          <w:sz w:val="24"/>
          <w:szCs w:val="24"/>
        </w:rPr>
        <w:t>obligations</w:t>
      </w:r>
      <w:r w:rsidR="008E7A21">
        <w:rPr>
          <w:rFonts w:ascii="Arial" w:hAnsi="Arial" w:cs="Arial"/>
          <w:sz w:val="24"/>
          <w:szCs w:val="24"/>
        </w:rPr>
        <w:t>, and</w:t>
      </w:r>
      <w:r w:rsidR="00D84C5B">
        <w:rPr>
          <w:rFonts w:ascii="Arial" w:hAnsi="Arial" w:cs="Arial"/>
          <w:sz w:val="24"/>
          <w:szCs w:val="24"/>
        </w:rPr>
        <w:t xml:space="preserve"> served merely to quantify the payment which was due to be made under the original agreement</w:t>
      </w:r>
      <w:r w:rsidR="008E7A21">
        <w:rPr>
          <w:rFonts w:ascii="Arial" w:hAnsi="Arial" w:cs="Arial"/>
          <w:sz w:val="24"/>
          <w:szCs w:val="24"/>
        </w:rPr>
        <w:t>,</w:t>
      </w:r>
      <w:r w:rsidR="00D84C5B">
        <w:rPr>
          <w:rFonts w:ascii="Arial" w:hAnsi="Arial" w:cs="Arial"/>
          <w:sz w:val="24"/>
          <w:szCs w:val="24"/>
        </w:rPr>
        <w:t xml:space="preserve"> and that was the purpose and effect of the award which ensued. </w:t>
      </w:r>
    </w:p>
    <w:p w14:paraId="1AF80E1B" w14:textId="63AA270D" w:rsidR="009B1EFE"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54.</w:t>
      </w:r>
      <w:r>
        <w:rPr>
          <w:rFonts w:ascii="Arial" w:hAnsi="Arial" w:cs="Arial"/>
          <w:sz w:val="24"/>
          <w:szCs w:val="24"/>
        </w:rPr>
        <w:tab/>
      </w:r>
      <w:r w:rsidR="004E74F4">
        <w:rPr>
          <w:rFonts w:ascii="Arial" w:hAnsi="Arial" w:cs="Arial"/>
          <w:sz w:val="24"/>
          <w:szCs w:val="24"/>
        </w:rPr>
        <w:t xml:space="preserve">As far as the decision in </w:t>
      </w:r>
      <w:r w:rsidR="009B1EFE" w:rsidRPr="009B1EFE">
        <w:rPr>
          <w:rFonts w:ascii="Arial" w:hAnsi="Arial" w:cs="Arial"/>
          <w:i/>
          <w:iCs/>
          <w:sz w:val="24"/>
          <w:szCs w:val="24"/>
        </w:rPr>
        <w:t>Benefeld</w:t>
      </w:r>
      <w:r w:rsidR="009B1EFE">
        <w:rPr>
          <w:rFonts w:ascii="Arial" w:hAnsi="Arial" w:cs="Arial"/>
          <w:sz w:val="24"/>
          <w:szCs w:val="24"/>
        </w:rPr>
        <w:t xml:space="preserve"> </w:t>
      </w:r>
      <w:r w:rsidR="004E74F4">
        <w:rPr>
          <w:rFonts w:ascii="Arial" w:hAnsi="Arial" w:cs="Arial"/>
          <w:sz w:val="24"/>
          <w:szCs w:val="24"/>
        </w:rPr>
        <w:t xml:space="preserve">is concerned, the following. The matter concerned a special plea which was taken to </w:t>
      </w:r>
      <w:r w:rsidR="009B1EFE">
        <w:rPr>
          <w:rFonts w:ascii="Arial" w:hAnsi="Arial" w:cs="Arial"/>
          <w:sz w:val="24"/>
          <w:szCs w:val="24"/>
        </w:rPr>
        <w:t xml:space="preserve">a </w:t>
      </w:r>
      <w:r w:rsidR="004E74F4">
        <w:rPr>
          <w:rFonts w:ascii="Arial" w:hAnsi="Arial" w:cs="Arial"/>
          <w:sz w:val="24"/>
          <w:szCs w:val="24"/>
        </w:rPr>
        <w:t xml:space="preserve">contractual claim </w:t>
      </w:r>
      <w:r w:rsidR="009B1EFE">
        <w:rPr>
          <w:rFonts w:ascii="Arial" w:hAnsi="Arial" w:cs="Arial"/>
          <w:sz w:val="24"/>
          <w:szCs w:val="24"/>
        </w:rPr>
        <w:t>which arose</w:t>
      </w:r>
      <w:r w:rsidR="004E74F4">
        <w:rPr>
          <w:rFonts w:ascii="Arial" w:hAnsi="Arial" w:cs="Arial"/>
          <w:sz w:val="24"/>
          <w:szCs w:val="24"/>
        </w:rPr>
        <w:t xml:space="preserve"> out of a compromise which had been concluded in settlement of an action</w:t>
      </w:r>
      <w:r w:rsidR="009B1EFE">
        <w:rPr>
          <w:rFonts w:ascii="Arial" w:hAnsi="Arial" w:cs="Arial"/>
          <w:sz w:val="24"/>
          <w:szCs w:val="24"/>
        </w:rPr>
        <w:t xml:space="preserve"> in </w:t>
      </w:r>
      <w:r w:rsidR="004E74F4">
        <w:rPr>
          <w:rFonts w:ascii="Arial" w:hAnsi="Arial" w:cs="Arial"/>
          <w:sz w:val="24"/>
          <w:szCs w:val="24"/>
        </w:rPr>
        <w:t>the magistrates</w:t>
      </w:r>
      <w:r w:rsidR="009B1EFE">
        <w:rPr>
          <w:rFonts w:ascii="Arial" w:hAnsi="Arial" w:cs="Arial"/>
          <w:sz w:val="24"/>
          <w:szCs w:val="24"/>
        </w:rPr>
        <w:t>’</w:t>
      </w:r>
      <w:r w:rsidR="004E74F4">
        <w:rPr>
          <w:rFonts w:ascii="Arial" w:hAnsi="Arial" w:cs="Arial"/>
          <w:sz w:val="24"/>
          <w:szCs w:val="24"/>
        </w:rPr>
        <w:t xml:space="preserve"> court. The defendant contended that the compromise was </w:t>
      </w:r>
      <w:r w:rsidR="004E74F4" w:rsidRPr="009B1EFE">
        <w:rPr>
          <w:rFonts w:ascii="Arial" w:hAnsi="Arial" w:cs="Arial"/>
          <w:i/>
          <w:iCs/>
          <w:sz w:val="24"/>
          <w:szCs w:val="24"/>
        </w:rPr>
        <w:t>contra</w:t>
      </w:r>
      <w:r w:rsidR="004E74F4">
        <w:rPr>
          <w:rFonts w:ascii="Arial" w:hAnsi="Arial" w:cs="Arial"/>
          <w:sz w:val="24"/>
          <w:szCs w:val="24"/>
        </w:rPr>
        <w:t xml:space="preserve"> </w:t>
      </w:r>
      <w:r w:rsidR="009B1EFE" w:rsidRPr="009B1EFE">
        <w:rPr>
          <w:rFonts w:ascii="Arial" w:hAnsi="Arial" w:cs="Arial"/>
          <w:i/>
          <w:iCs/>
          <w:sz w:val="24"/>
          <w:szCs w:val="24"/>
        </w:rPr>
        <w:t>b</w:t>
      </w:r>
      <w:r w:rsidR="004E74F4" w:rsidRPr="009B1EFE">
        <w:rPr>
          <w:rFonts w:ascii="Arial" w:hAnsi="Arial" w:cs="Arial"/>
          <w:i/>
          <w:iCs/>
          <w:sz w:val="24"/>
          <w:szCs w:val="24"/>
        </w:rPr>
        <w:t>onos mores</w:t>
      </w:r>
      <w:r w:rsidR="004E74F4">
        <w:rPr>
          <w:rFonts w:ascii="Arial" w:hAnsi="Arial" w:cs="Arial"/>
          <w:sz w:val="24"/>
          <w:szCs w:val="24"/>
        </w:rPr>
        <w:t xml:space="preserve"> and thus void and unenforceable. </w:t>
      </w:r>
    </w:p>
    <w:p w14:paraId="6EC6BD2C" w14:textId="18A74260" w:rsidR="002A0DF9"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55.</w:t>
      </w:r>
      <w:r>
        <w:rPr>
          <w:rFonts w:ascii="Arial" w:hAnsi="Arial" w:cs="Arial"/>
          <w:sz w:val="24"/>
          <w:szCs w:val="24"/>
        </w:rPr>
        <w:tab/>
      </w:r>
      <w:r w:rsidR="004E74F4">
        <w:rPr>
          <w:rFonts w:ascii="Arial" w:hAnsi="Arial" w:cs="Arial"/>
          <w:sz w:val="24"/>
          <w:szCs w:val="24"/>
        </w:rPr>
        <w:t xml:space="preserve">The parties had been involved in an adulterous relationship out of which </w:t>
      </w:r>
      <w:r w:rsidR="009B1EFE">
        <w:rPr>
          <w:rFonts w:ascii="Arial" w:hAnsi="Arial" w:cs="Arial"/>
          <w:sz w:val="24"/>
          <w:szCs w:val="24"/>
        </w:rPr>
        <w:t>two</w:t>
      </w:r>
      <w:r w:rsidR="004E74F4">
        <w:rPr>
          <w:rFonts w:ascii="Arial" w:hAnsi="Arial" w:cs="Arial"/>
          <w:sz w:val="24"/>
          <w:szCs w:val="24"/>
        </w:rPr>
        <w:t xml:space="preserve"> children were born. </w:t>
      </w:r>
      <w:r w:rsidR="00DA11AE">
        <w:rPr>
          <w:rFonts w:ascii="Arial" w:hAnsi="Arial" w:cs="Arial"/>
          <w:sz w:val="24"/>
          <w:szCs w:val="24"/>
        </w:rPr>
        <w:t>During the relationship t</w:t>
      </w:r>
      <w:r w:rsidR="009B1EFE">
        <w:rPr>
          <w:rFonts w:ascii="Arial" w:hAnsi="Arial" w:cs="Arial"/>
          <w:sz w:val="24"/>
          <w:szCs w:val="24"/>
        </w:rPr>
        <w:t>he</w:t>
      </w:r>
      <w:r w:rsidR="004E74F4">
        <w:rPr>
          <w:rFonts w:ascii="Arial" w:hAnsi="Arial" w:cs="Arial"/>
          <w:sz w:val="24"/>
          <w:szCs w:val="24"/>
        </w:rPr>
        <w:t xml:space="preserve"> defendant had promised to marry the plaintiff once his existing marriage was </w:t>
      </w:r>
      <w:r w:rsidR="00E1644F">
        <w:rPr>
          <w:rFonts w:ascii="Arial" w:hAnsi="Arial" w:cs="Arial"/>
          <w:sz w:val="24"/>
          <w:szCs w:val="24"/>
        </w:rPr>
        <w:t>terminated</w:t>
      </w:r>
      <w:r w:rsidR="00756487">
        <w:rPr>
          <w:rFonts w:ascii="Arial" w:hAnsi="Arial" w:cs="Arial"/>
          <w:sz w:val="24"/>
          <w:szCs w:val="24"/>
        </w:rPr>
        <w:t>,</w:t>
      </w:r>
      <w:r w:rsidR="00E1644F">
        <w:rPr>
          <w:rFonts w:ascii="Arial" w:hAnsi="Arial" w:cs="Arial"/>
          <w:sz w:val="24"/>
          <w:szCs w:val="24"/>
        </w:rPr>
        <w:t xml:space="preserve"> but</w:t>
      </w:r>
      <w:r w:rsidR="004E74F4">
        <w:rPr>
          <w:rFonts w:ascii="Arial" w:hAnsi="Arial" w:cs="Arial"/>
          <w:sz w:val="24"/>
          <w:szCs w:val="24"/>
        </w:rPr>
        <w:t xml:space="preserve"> </w:t>
      </w:r>
      <w:r w:rsidR="00756487">
        <w:rPr>
          <w:rFonts w:ascii="Arial" w:hAnsi="Arial" w:cs="Arial"/>
          <w:sz w:val="24"/>
          <w:szCs w:val="24"/>
        </w:rPr>
        <w:t xml:space="preserve">he </w:t>
      </w:r>
      <w:r w:rsidR="004E74F4">
        <w:rPr>
          <w:rFonts w:ascii="Arial" w:hAnsi="Arial" w:cs="Arial"/>
          <w:sz w:val="24"/>
          <w:szCs w:val="24"/>
        </w:rPr>
        <w:t>failed to do so</w:t>
      </w:r>
      <w:r w:rsidR="009177CA">
        <w:rPr>
          <w:rFonts w:ascii="Arial" w:hAnsi="Arial" w:cs="Arial"/>
          <w:sz w:val="24"/>
          <w:szCs w:val="24"/>
        </w:rPr>
        <w:t>. A</w:t>
      </w:r>
      <w:r w:rsidR="004E74F4">
        <w:rPr>
          <w:rFonts w:ascii="Arial" w:hAnsi="Arial" w:cs="Arial"/>
          <w:sz w:val="24"/>
          <w:szCs w:val="24"/>
        </w:rPr>
        <w:t>s a result</w:t>
      </w:r>
      <w:r w:rsidR="009177CA">
        <w:rPr>
          <w:rFonts w:ascii="Arial" w:hAnsi="Arial" w:cs="Arial"/>
          <w:sz w:val="24"/>
          <w:szCs w:val="24"/>
        </w:rPr>
        <w:t xml:space="preserve">, </w:t>
      </w:r>
      <w:r w:rsidR="004E74F4">
        <w:rPr>
          <w:rFonts w:ascii="Arial" w:hAnsi="Arial" w:cs="Arial"/>
          <w:sz w:val="24"/>
          <w:szCs w:val="24"/>
        </w:rPr>
        <w:t xml:space="preserve">the plaintiff instituted action against him for breach of promise. In settlement thereof </w:t>
      </w:r>
      <w:r w:rsidR="009177CA">
        <w:rPr>
          <w:rFonts w:ascii="Arial" w:hAnsi="Arial" w:cs="Arial"/>
          <w:sz w:val="24"/>
          <w:szCs w:val="24"/>
        </w:rPr>
        <w:t xml:space="preserve">the </w:t>
      </w:r>
      <w:r w:rsidR="004E74F4">
        <w:rPr>
          <w:rFonts w:ascii="Arial" w:hAnsi="Arial" w:cs="Arial"/>
          <w:sz w:val="24"/>
          <w:szCs w:val="24"/>
        </w:rPr>
        <w:t xml:space="preserve">defendant agreed to pay the plaintiff </w:t>
      </w:r>
      <w:r w:rsidR="009177CA">
        <w:rPr>
          <w:rFonts w:ascii="Arial" w:hAnsi="Arial" w:cs="Arial"/>
          <w:sz w:val="24"/>
          <w:szCs w:val="24"/>
        </w:rPr>
        <w:t xml:space="preserve">an amount </w:t>
      </w:r>
      <w:r w:rsidR="004E74F4">
        <w:rPr>
          <w:rFonts w:ascii="Arial" w:hAnsi="Arial" w:cs="Arial"/>
          <w:sz w:val="24"/>
          <w:szCs w:val="24"/>
        </w:rPr>
        <w:t>of R</w:t>
      </w:r>
      <w:r w:rsidR="004F4889">
        <w:rPr>
          <w:rFonts w:ascii="Arial" w:hAnsi="Arial" w:cs="Arial"/>
          <w:sz w:val="24"/>
          <w:szCs w:val="24"/>
        </w:rPr>
        <w:t xml:space="preserve"> </w:t>
      </w:r>
      <w:r w:rsidR="004E74F4">
        <w:rPr>
          <w:rFonts w:ascii="Arial" w:hAnsi="Arial" w:cs="Arial"/>
          <w:sz w:val="24"/>
          <w:szCs w:val="24"/>
        </w:rPr>
        <w:t>1.5 million</w:t>
      </w:r>
      <w:r w:rsidR="00DA11AE">
        <w:rPr>
          <w:rFonts w:ascii="Arial" w:hAnsi="Arial" w:cs="Arial"/>
          <w:sz w:val="24"/>
          <w:szCs w:val="24"/>
        </w:rPr>
        <w:t>,</w:t>
      </w:r>
      <w:r w:rsidR="004E74F4">
        <w:rPr>
          <w:rFonts w:ascii="Arial" w:hAnsi="Arial" w:cs="Arial"/>
          <w:sz w:val="24"/>
          <w:szCs w:val="24"/>
        </w:rPr>
        <w:t xml:space="preserve"> in respect of </w:t>
      </w:r>
      <w:r w:rsidR="00C8675C">
        <w:rPr>
          <w:rFonts w:ascii="Arial" w:hAnsi="Arial" w:cs="Arial"/>
          <w:sz w:val="24"/>
          <w:szCs w:val="24"/>
        </w:rPr>
        <w:t xml:space="preserve">both </w:t>
      </w:r>
      <w:r w:rsidR="004E74F4">
        <w:rPr>
          <w:rFonts w:ascii="Arial" w:hAnsi="Arial" w:cs="Arial"/>
          <w:sz w:val="24"/>
          <w:szCs w:val="24"/>
        </w:rPr>
        <w:t xml:space="preserve">the breach of promise and the </w:t>
      </w:r>
      <w:r w:rsidR="009177CA">
        <w:rPr>
          <w:rFonts w:ascii="Arial" w:hAnsi="Arial" w:cs="Arial"/>
          <w:sz w:val="24"/>
          <w:szCs w:val="24"/>
        </w:rPr>
        <w:t>‘</w:t>
      </w:r>
      <w:r w:rsidR="004E74F4">
        <w:rPr>
          <w:rFonts w:ascii="Arial" w:hAnsi="Arial" w:cs="Arial"/>
          <w:sz w:val="24"/>
          <w:szCs w:val="24"/>
        </w:rPr>
        <w:t>years of dedication</w:t>
      </w:r>
      <w:r w:rsidR="009177CA">
        <w:rPr>
          <w:rFonts w:ascii="Arial" w:hAnsi="Arial" w:cs="Arial"/>
          <w:sz w:val="24"/>
          <w:szCs w:val="24"/>
        </w:rPr>
        <w:t>’</w:t>
      </w:r>
      <w:r w:rsidR="004E74F4">
        <w:rPr>
          <w:rFonts w:ascii="Arial" w:hAnsi="Arial" w:cs="Arial"/>
          <w:sz w:val="24"/>
          <w:szCs w:val="24"/>
        </w:rPr>
        <w:t xml:space="preserve"> </w:t>
      </w:r>
      <w:r w:rsidR="009177CA">
        <w:rPr>
          <w:rFonts w:ascii="Arial" w:hAnsi="Arial" w:cs="Arial"/>
          <w:sz w:val="24"/>
          <w:szCs w:val="24"/>
        </w:rPr>
        <w:t xml:space="preserve">which </w:t>
      </w:r>
      <w:r w:rsidR="004E74F4">
        <w:rPr>
          <w:rFonts w:ascii="Arial" w:hAnsi="Arial" w:cs="Arial"/>
          <w:sz w:val="24"/>
          <w:szCs w:val="24"/>
        </w:rPr>
        <w:t xml:space="preserve">the plaintiff had </w:t>
      </w:r>
      <w:r w:rsidR="009177CA">
        <w:rPr>
          <w:rFonts w:ascii="Arial" w:hAnsi="Arial" w:cs="Arial"/>
          <w:sz w:val="24"/>
          <w:szCs w:val="24"/>
        </w:rPr>
        <w:t>devoted</w:t>
      </w:r>
      <w:r w:rsidR="004E74F4">
        <w:rPr>
          <w:rFonts w:ascii="Arial" w:hAnsi="Arial" w:cs="Arial"/>
          <w:sz w:val="24"/>
          <w:szCs w:val="24"/>
        </w:rPr>
        <w:t xml:space="preserve"> to him and their children.</w:t>
      </w:r>
    </w:p>
    <w:p w14:paraId="259B28EA" w14:textId="100B32C4" w:rsidR="00756487"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56.</w:t>
      </w:r>
      <w:r>
        <w:rPr>
          <w:rFonts w:ascii="Arial" w:hAnsi="Arial" w:cs="Arial"/>
          <w:sz w:val="24"/>
          <w:szCs w:val="24"/>
        </w:rPr>
        <w:tab/>
      </w:r>
      <w:r w:rsidR="004E74F4" w:rsidRPr="00D05573">
        <w:rPr>
          <w:rFonts w:ascii="Arial" w:hAnsi="Arial" w:cs="Arial"/>
          <w:sz w:val="24"/>
          <w:szCs w:val="24"/>
        </w:rPr>
        <w:t xml:space="preserve">Coppin J held that whereas the original agreement i.e. the promise to marry was </w:t>
      </w:r>
      <w:r w:rsidR="004E74F4" w:rsidRPr="00D05573">
        <w:rPr>
          <w:rFonts w:ascii="Arial" w:hAnsi="Arial" w:cs="Arial"/>
          <w:i/>
          <w:iCs/>
          <w:sz w:val="24"/>
          <w:szCs w:val="24"/>
        </w:rPr>
        <w:t xml:space="preserve">contra </w:t>
      </w:r>
      <w:r w:rsidR="009177CA" w:rsidRPr="00D05573">
        <w:rPr>
          <w:rFonts w:ascii="Arial" w:hAnsi="Arial" w:cs="Arial"/>
          <w:i/>
          <w:iCs/>
          <w:sz w:val="24"/>
          <w:szCs w:val="24"/>
        </w:rPr>
        <w:t>bonos</w:t>
      </w:r>
      <w:r w:rsidR="004E74F4" w:rsidRPr="00D05573">
        <w:rPr>
          <w:rFonts w:ascii="Arial" w:hAnsi="Arial" w:cs="Arial"/>
          <w:i/>
          <w:iCs/>
          <w:sz w:val="24"/>
          <w:szCs w:val="24"/>
        </w:rPr>
        <w:t xml:space="preserve"> mores</w:t>
      </w:r>
      <w:r w:rsidR="00D05573" w:rsidRPr="00D05573">
        <w:rPr>
          <w:rFonts w:ascii="Arial" w:hAnsi="Arial" w:cs="Arial"/>
          <w:i/>
          <w:iCs/>
          <w:sz w:val="24"/>
          <w:szCs w:val="24"/>
        </w:rPr>
        <w:t>,</w:t>
      </w:r>
      <w:r w:rsidR="004E74F4" w:rsidRPr="00D05573">
        <w:rPr>
          <w:rFonts w:ascii="Arial" w:hAnsi="Arial" w:cs="Arial"/>
          <w:sz w:val="24"/>
          <w:szCs w:val="24"/>
        </w:rPr>
        <w:t xml:space="preserve"> as it contemplated or promoted the dissolution of the defendant</w:t>
      </w:r>
      <w:r w:rsidR="009177CA" w:rsidRPr="00D05573">
        <w:rPr>
          <w:rFonts w:ascii="Arial" w:hAnsi="Arial" w:cs="Arial"/>
          <w:sz w:val="24"/>
          <w:szCs w:val="24"/>
        </w:rPr>
        <w:t>’</w:t>
      </w:r>
      <w:r w:rsidR="004E74F4" w:rsidRPr="00D05573">
        <w:rPr>
          <w:rFonts w:ascii="Arial" w:hAnsi="Arial" w:cs="Arial"/>
          <w:sz w:val="24"/>
          <w:szCs w:val="24"/>
        </w:rPr>
        <w:t xml:space="preserve">s existing marriage, the same could not be said of the compromise. It did not seek to promote or foster any unlawfulness </w:t>
      </w:r>
      <w:r w:rsidR="009177CA" w:rsidRPr="00D05573">
        <w:rPr>
          <w:rFonts w:ascii="Arial" w:hAnsi="Arial" w:cs="Arial"/>
          <w:sz w:val="24"/>
          <w:szCs w:val="24"/>
        </w:rPr>
        <w:t xml:space="preserve">and </w:t>
      </w:r>
      <w:r w:rsidR="004E74F4" w:rsidRPr="00D05573">
        <w:rPr>
          <w:rFonts w:ascii="Arial" w:hAnsi="Arial" w:cs="Arial"/>
          <w:sz w:val="24"/>
          <w:szCs w:val="24"/>
        </w:rPr>
        <w:t>could not be said to</w:t>
      </w:r>
      <w:r w:rsidR="00D05573" w:rsidRPr="00D05573">
        <w:rPr>
          <w:rFonts w:ascii="Arial" w:hAnsi="Arial" w:cs="Arial"/>
          <w:sz w:val="24"/>
          <w:szCs w:val="24"/>
        </w:rPr>
        <w:t xml:space="preserve"> otherwise</w:t>
      </w:r>
      <w:r w:rsidR="004E74F4" w:rsidRPr="00D05573">
        <w:rPr>
          <w:rFonts w:ascii="Arial" w:hAnsi="Arial" w:cs="Arial"/>
          <w:sz w:val="24"/>
          <w:szCs w:val="24"/>
        </w:rPr>
        <w:t xml:space="preserve"> be illegal or </w:t>
      </w:r>
      <w:r w:rsidR="004E74F4" w:rsidRPr="00D05573">
        <w:rPr>
          <w:rFonts w:ascii="Arial" w:hAnsi="Arial" w:cs="Arial"/>
          <w:i/>
          <w:iCs/>
          <w:sz w:val="24"/>
          <w:szCs w:val="24"/>
        </w:rPr>
        <w:t xml:space="preserve">contra </w:t>
      </w:r>
      <w:r w:rsidR="009177CA" w:rsidRPr="00D05573">
        <w:rPr>
          <w:rFonts w:ascii="Arial" w:hAnsi="Arial" w:cs="Arial"/>
          <w:i/>
          <w:iCs/>
          <w:sz w:val="24"/>
          <w:szCs w:val="24"/>
        </w:rPr>
        <w:t>b</w:t>
      </w:r>
      <w:r w:rsidR="004E74F4" w:rsidRPr="00D05573">
        <w:rPr>
          <w:rFonts w:ascii="Arial" w:hAnsi="Arial" w:cs="Arial"/>
          <w:i/>
          <w:iCs/>
          <w:sz w:val="24"/>
          <w:szCs w:val="24"/>
        </w:rPr>
        <w:t xml:space="preserve">onos </w:t>
      </w:r>
      <w:r w:rsidR="009177CA" w:rsidRPr="00D05573">
        <w:rPr>
          <w:rFonts w:ascii="Arial" w:hAnsi="Arial" w:cs="Arial"/>
          <w:i/>
          <w:iCs/>
          <w:sz w:val="24"/>
          <w:szCs w:val="24"/>
        </w:rPr>
        <w:t>mores</w:t>
      </w:r>
      <w:r w:rsidR="00DA11AE" w:rsidRPr="00D05573">
        <w:rPr>
          <w:rFonts w:ascii="Arial" w:hAnsi="Arial" w:cs="Arial"/>
          <w:i/>
          <w:iCs/>
          <w:sz w:val="24"/>
          <w:szCs w:val="24"/>
        </w:rPr>
        <w:t>,</w:t>
      </w:r>
      <w:r w:rsidR="009177CA" w:rsidRPr="00D05573">
        <w:rPr>
          <w:rFonts w:ascii="Arial" w:hAnsi="Arial" w:cs="Arial"/>
          <w:sz w:val="24"/>
          <w:szCs w:val="24"/>
        </w:rPr>
        <w:t xml:space="preserve"> and </w:t>
      </w:r>
      <w:r w:rsidR="004E74F4" w:rsidRPr="00D05573">
        <w:rPr>
          <w:rFonts w:ascii="Arial" w:hAnsi="Arial" w:cs="Arial"/>
          <w:sz w:val="24"/>
          <w:szCs w:val="24"/>
        </w:rPr>
        <w:t xml:space="preserve">public policy </w:t>
      </w:r>
      <w:r w:rsidR="009F7988">
        <w:rPr>
          <w:rFonts w:ascii="Arial" w:hAnsi="Arial" w:cs="Arial"/>
          <w:sz w:val="24"/>
          <w:szCs w:val="24"/>
        </w:rPr>
        <w:t xml:space="preserve">therefore </w:t>
      </w:r>
      <w:r w:rsidR="004E74F4" w:rsidRPr="00D05573">
        <w:rPr>
          <w:rFonts w:ascii="Arial" w:hAnsi="Arial" w:cs="Arial"/>
          <w:sz w:val="24"/>
          <w:szCs w:val="24"/>
        </w:rPr>
        <w:t>did not require</w:t>
      </w:r>
      <w:r w:rsidR="0025403F" w:rsidRPr="00D05573">
        <w:rPr>
          <w:rFonts w:ascii="Arial" w:hAnsi="Arial" w:cs="Arial"/>
          <w:sz w:val="24"/>
          <w:szCs w:val="24"/>
        </w:rPr>
        <w:t xml:space="preserve"> </w:t>
      </w:r>
      <w:r w:rsidR="009177CA" w:rsidRPr="00D05573">
        <w:rPr>
          <w:rFonts w:ascii="Arial" w:hAnsi="Arial" w:cs="Arial"/>
          <w:sz w:val="24"/>
          <w:szCs w:val="24"/>
        </w:rPr>
        <w:t xml:space="preserve">that </w:t>
      </w:r>
      <w:r w:rsidR="00DA11AE" w:rsidRPr="00D05573">
        <w:rPr>
          <w:rFonts w:ascii="Arial" w:hAnsi="Arial" w:cs="Arial"/>
          <w:sz w:val="24"/>
          <w:szCs w:val="24"/>
        </w:rPr>
        <w:t xml:space="preserve">it be </w:t>
      </w:r>
      <w:r w:rsidR="0025403F" w:rsidRPr="00D05573">
        <w:rPr>
          <w:rFonts w:ascii="Arial" w:hAnsi="Arial" w:cs="Arial"/>
          <w:sz w:val="24"/>
          <w:szCs w:val="24"/>
        </w:rPr>
        <w:t>declared to be such</w:t>
      </w:r>
      <w:r w:rsidR="00DA11AE" w:rsidRPr="00D05573">
        <w:rPr>
          <w:rFonts w:ascii="Arial" w:hAnsi="Arial" w:cs="Arial"/>
          <w:sz w:val="24"/>
          <w:szCs w:val="24"/>
        </w:rPr>
        <w:t>, so</w:t>
      </w:r>
      <w:r w:rsidR="0025403F" w:rsidRPr="00D05573">
        <w:rPr>
          <w:rFonts w:ascii="Arial" w:hAnsi="Arial" w:cs="Arial"/>
          <w:sz w:val="24"/>
          <w:szCs w:val="24"/>
        </w:rPr>
        <w:t xml:space="preserve"> that it </w:t>
      </w:r>
      <w:r w:rsidR="00DA11AE" w:rsidRPr="00D05573">
        <w:rPr>
          <w:rFonts w:ascii="Arial" w:hAnsi="Arial" w:cs="Arial"/>
          <w:sz w:val="24"/>
          <w:szCs w:val="24"/>
        </w:rPr>
        <w:t xml:space="preserve">could </w:t>
      </w:r>
      <w:r w:rsidR="0025403F" w:rsidRPr="00D05573">
        <w:rPr>
          <w:rFonts w:ascii="Arial" w:hAnsi="Arial" w:cs="Arial"/>
          <w:sz w:val="24"/>
          <w:szCs w:val="24"/>
        </w:rPr>
        <w:t>not be</w:t>
      </w:r>
      <w:r w:rsidR="009177CA" w:rsidRPr="00D05573">
        <w:rPr>
          <w:rFonts w:ascii="Arial" w:hAnsi="Arial" w:cs="Arial"/>
          <w:sz w:val="24"/>
          <w:szCs w:val="24"/>
        </w:rPr>
        <w:t xml:space="preserve"> </w:t>
      </w:r>
      <w:r w:rsidR="0025403F" w:rsidRPr="00D05573">
        <w:rPr>
          <w:rFonts w:ascii="Arial" w:hAnsi="Arial" w:cs="Arial"/>
          <w:sz w:val="24"/>
          <w:szCs w:val="24"/>
        </w:rPr>
        <w:t xml:space="preserve">enforced. </w:t>
      </w:r>
    </w:p>
    <w:p w14:paraId="7CFD4D2C" w14:textId="1EE9F290" w:rsidR="004E74F4" w:rsidRPr="00D05573" w:rsidRDefault="00601627" w:rsidP="00601627">
      <w:pPr>
        <w:adjustRightInd w:val="0"/>
        <w:spacing w:after="0" w:line="360" w:lineRule="auto"/>
        <w:ind w:left="720" w:hanging="720"/>
        <w:contextualSpacing/>
        <w:jc w:val="both"/>
        <w:textAlignment w:val="baseline"/>
        <w:rPr>
          <w:rFonts w:ascii="Arial" w:hAnsi="Arial" w:cs="Arial"/>
          <w:sz w:val="24"/>
          <w:szCs w:val="24"/>
        </w:rPr>
      </w:pPr>
      <w:r w:rsidRPr="00D05573">
        <w:rPr>
          <w:rFonts w:ascii="Arial" w:hAnsi="Arial" w:cs="Arial"/>
          <w:sz w:val="24"/>
          <w:szCs w:val="24"/>
        </w:rPr>
        <w:t>57.</w:t>
      </w:r>
      <w:r w:rsidRPr="00D05573">
        <w:rPr>
          <w:rFonts w:ascii="Arial" w:hAnsi="Arial" w:cs="Arial"/>
          <w:sz w:val="24"/>
          <w:szCs w:val="24"/>
        </w:rPr>
        <w:tab/>
      </w:r>
      <w:r w:rsidR="0025403F" w:rsidRPr="00D05573">
        <w:rPr>
          <w:rFonts w:ascii="Arial" w:hAnsi="Arial" w:cs="Arial"/>
          <w:sz w:val="24"/>
          <w:szCs w:val="24"/>
        </w:rPr>
        <w:t>The decision was undoubtedly correct</w:t>
      </w:r>
      <w:r w:rsidR="009177CA" w:rsidRPr="00D05573">
        <w:rPr>
          <w:rFonts w:ascii="Arial" w:hAnsi="Arial" w:cs="Arial"/>
          <w:sz w:val="24"/>
          <w:szCs w:val="24"/>
        </w:rPr>
        <w:t>,</w:t>
      </w:r>
      <w:r w:rsidR="00F37ABB" w:rsidRPr="00D05573">
        <w:rPr>
          <w:rFonts w:ascii="Arial" w:hAnsi="Arial" w:cs="Arial"/>
          <w:sz w:val="24"/>
          <w:szCs w:val="24"/>
        </w:rPr>
        <w:t xml:space="preserve"> </w:t>
      </w:r>
      <w:r w:rsidR="0025403F" w:rsidRPr="00D05573">
        <w:rPr>
          <w:rFonts w:ascii="Arial" w:hAnsi="Arial" w:cs="Arial"/>
          <w:sz w:val="24"/>
          <w:szCs w:val="24"/>
        </w:rPr>
        <w:t xml:space="preserve">given that the settlement agreement was aimed at compensating the plaintiff for the wrongs which had been done to her by the defendant and was not aimed at promoting or enforcing the original agreement. That said, </w:t>
      </w:r>
      <w:r w:rsidR="009177CA" w:rsidRPr="00D05573">
        <w:rPr>
          <w:rFonts w:ascii="Arial" w:hAnsi="Arial" w:cs="Arial"/>
          <w:sz w:val="24"/>
          <w:szCs w:val="24"/>
        </w:rPr>
        <w:t xml:space="preserve">certain of </w:t>
      </w:r>
      <w:r w:rsidR="0025403F" w:rsidRPr="00D05573">
        <w:rPr>
          <w:rFonts w:ascii="Arial" w:hAnsi="Arial" w:cs="Arial"/>
          <w:sz w:val="24"/>
          <w:szCs w:val="24"/>
        </w:rPr>
        <w:t xml:space="preserve">the comments which </w:t>
      </w:r>
      <w:r w:rsidR="009177CA" w:rsidRPr="00D05573">
        <w:rPr>
          <w:rFonts w:ascii="Arial" w:hAnsi="Arial" w:cs="Arial"/>
          <w:sz w:val="24"/>
          <w:szCs w:val="24"/>
        </w:rPr>
        <w:t>wer</w:t>
      </w:r>
      <w:r w:rsidR="0025403F" w:rsidRPr="00D05573">
        <w:rPr>
          <w:rFonts w:ascii="Arial" w:hAnsi="Arial" w:cs="Arial"/>
          <w:sz w:val="24"/>
          <w:szCs w:val="24"/>
        </w:rPr>
        <w:t xml:space="preserve">e made in </w:t>
      </w:r>
      <w:r w:rsidR="00F37ABB" w:rsidRPr="00D05573">
        <w:rPr>
          <w:rFonts w:ascii="Arial" w:hAnsi="Arial" w:cs="Arial"/>
          <w:sz w:val="24"/>
          <w:szCs w:val="24"/>
        </w:rPr>
        <w:t>the</w:t>
      </w:r>
      <w:r w:rsidR="0025403F" w:rsidRPr="00D05573">
        <w:rPr>
          <w:rFonts w:ascii="Arial" w:hAnsi="Arial" w:cs="Arial"/>
          <w:sz w:val="24"/>
          <w:szCs w:val="24"/>
        </w:rPr>
        <w:t xml:space="preserve"> judgment, on which both the respondent and the court a </w:t>
      </w:r>
      <w:r w:rsidR="0025403F" w:rsidRPr="00D05573">
        <w:rPr>
          <w:rFonts w:ascii="Arial" w:hAnsi="Arial" w:cs="Arial"/>
          <w:i/>
          <w:iCs/>
          <w:sz w:val="24"/>
          <w:szCs w:val="24"/>
        </w:rPr>
        <w:t>quo</w:t>
      </w:r>
      <w:r w:rsidR="0025403F" w:rsidRPr="00D05573">
        <w:rPr>
          <w:rFonts w:ascii="Arial" w:hAnsi="Arial" w:cs="Arial"/>
          <w:sz w:val="24"/>
          <w:szCs w:val="24"/>
        </w:rPr>
        <w:t xml:space="preserve"> </w:t>
      </w:r>
      <w:r w:rsidR="00D05573">
        <w:rPr>
          <w:rFonts w:ascii="Arial" w:hAnsi="Arial" w:cs="Arial"/>
          <w:sz w:val="24"/>
          <w:szCs w:val="24"/>
        </w:rPr>
        <w:t>rely/</w:t>
      </w:r>
      <w:r w:rsidR="0025403F" w:rsidRPr="00D05573">
        <w:rPr>
          <w:rFonts w:ascii="Arial" w:hAnsi="Arial" w:cs="Arial"/>
          <w:sz w:val="24"/>
          <w:szCs w:val="24"/>
        </w:rPr>
        <w:t>relied</w:t>
      </w:r>
      <w:r w:rsidR="009177CA" w:rsidRPr="00D05573">
        <w:rPr>
          <w:rFonts w:ascii="Arial" w:hAnsi="Arial" w:cs="Arial"/>
          <w:sz w:val="24"/>
          <w:szCs w:val="24"/>
        </w:rPr>
        <w:t>,</w:t>
      </w:r>
      <w:r w:rsidR="0025403F" w:rsidRPr="00D05573">
        <w:rPr>
          <w:rFonts w:ascii="Arial" w:hAnsi="Arial" w:cs="Arial"/>
          <w:sz w:val="24"/>
          <w:szCs w:val="24"/>
        </w:rPr>
        <w:t xml:space="preserve"> require consideration.</w:t>
      </w:r>
    </w:p>
    <w:p w14:paraId="7EB7E062" w14:textId="34A451FC" w:rsidR="009177CA"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lastRenderedPageBreak/>
        <w:t>58.</w:t>
      </w:r>
      <w:r>
        <w:rPr>
          <w:rFonts w:ascii="Arial" w:hAnsi="Arial" w:cs="Arial"/>
          <w:sz w:val="24"/>
          <w:szCs w:val="24"/>
        </w:rPr>
        <w:tab/>
      </w:r>
      <w:r w:rsidR="0025403F">
        <w:rPr>
          <w:rFonts w:ascii="Arial" w:hAnsi="Arial" w:cs="Arial"/>
          <w:sz w:val="24"/>
          <w:szCs w:val="24"/>
        </w:rPr>
        <w:t>As a general proposition it is correct</w:t>
      </w:r>
      <w:r w:rsidR="009177CA">
        <w:rPr>
          <w:rFonts w:ascii="Arial" w:hAnsi="Arial" w:cs="Arial"/>
          <w:sz w:val="24"/>
          <w:szCs w:val="24"/>
        </w:rPr>
        <w:t>, as was pointed out by the Court</w:t>
      </w:r>
      <w:r w:rsidR="009177CA">
        <w:rPr>
          <w:rStyle w:val="FootnoteReference"/>
          <w:rFonts w:ascii="Arial" w:hAnsi="Arial" w:cs="Arial"/>
          <w:sz w:val="24"/>
          <w:szCs w:val="24"/>
        </w:rPr>
        <w:footnoteReference w:id="38"/>
      </w:r>
      <w:r w:rsidR="0025403F">
        <w:rPr>
          <w:rFonts w:ascii="Arial" w:hAnsi="Arial" w:cs="Arial"/>
          <w:sz w:val="24"/>
          <w:szCs w:val="24"/>
        </w:rPr>
        <w:t xml:space="preserve"> that, as a </w:t>
      </w:r>
      <w:r w:rsidR="009177CA">
        <w:rPr>
          <w:rFonts w:ascii="Arial" w:hAnsi="Arial" w:cs="Arial"/>
          <w:sz w:val="24"/>
          <w:szCs w:val="24"/>
        </w:rPr>
        <w:t>matter</w:t>
      </w:r>
      <w:r w:rsidR="0025403F">
        <w:rPr>
          <w:rFonts w:ascii="Arial" w:hAnsi="Arial" w:cs="Arial"/>
          <w:sz w:val="24"/>
          <w:szCs w:val="24"/>
        </w:rPr>
        <w:t xml:space="preserve"> of law, a compromise </w:t>
      </w:r>
      <w:r w:rsidR="009177CA">
        <w:rPr>
          <w:rFonts w:ascii="Arial" w:hAnsi="Arial" w:cs="Arial"/>
          <w:sz w:val="24"/>
          <w:szCs w:val="24"/>
        </w:rPr>
        <w:t>i</w:t>
      </w:r>
      <w:r w:rsidR="0025403F">
        <w:rPr>
          <w:rFonts w:ascii="Arial" w:hAnsi="Arial" w:cs="Arial"/>
          <w:sz w:val="24"/>
          <w:szCs w:val="24"/>
        </w:rPr>
        <w:t xml:space="preserve">s </w:t>
      </w:r>
      <w:r w:rsidR="00B11683">
        <w:rPr>
          <w:rFonts w:ascii="Arial" w:hAnsi="Arial" w:cs="Arial"/>
          <w:sz w:val="24"/>
          <w:szCs w:val="24"/>
        </w:rPr>
        <w:t xml:space="preserve">considered to be </w:t>
      </w:r>
      <w:r w:rsidR="0025403F">
        <w:rPr>
          <w:rFonts w:ascii="Arial" w:hAnsi="Arial" w:cs="Arial"/>
          <w:sz w:val="24"/>
          <w:szCs w:val="24"/>
        </w:rPr>
        <w:t>a self</w:t>
      </w:r>
      <w:r w:rsidR="00EC4845">
        <w:rPr>
          <w:rFonts w:ascii="Arial" w:hAnsi="Arial" w:cs="Arial"/>
          <w:sz w:val="24"/>
          <w:szCs w:val="24"/>
        </w:rPr>
        <w:t>-</w:t>
      </w:r>
      <w:r w:rsidR="0025403F">
        <w:rPr>
          <w:rFonts w:ascii="Arial" w:hAnsi="Arial" w:cs="Arial"/>
          <w:sz w:val="24"/>
          <w:szCs w:val="24"/>
        </w:rPr>
        <w:t xml:space="preserve">standing </w:t>
      </w:r>
      <w:r w:rsidR="009177CA">
        <w:rPr>
          <w:rFonts w:ascii="Arial" w:hAnsi="Arial" w:cs="Arial"/>
          <w:sz w:val="24"/>
          <w:szCs w:val="24"/>
        </w:rPr>
        <w:t>agreement</w:t>
      </w:r>
      <w:r w:rsidR="0025403F">
        <w:rPr>
          <w:rFonts w:ascii="Arial" w:hAnsi="Arial" w:cs="Arial"/>
          <w:sz w:val="24"/>
          <w:szCs w:val="24"/>
        </w:rPr>
        <w:t xml:space="preserve"> which stands independent of the underlying claim or </w:t>
      </w:r>
      <w:r w:rsidR="0025403F" w:rsidRPr="009177CA">
        <w:rPr>
          <w:rFonts w:ascii="Arial" w:hAnsi="Arial" w:cs="Arial"/>
          <w:i/>
          <w:iCs/>
          <w:sz w:val="24"/>
          <w:szCs w:val="24"/>
        </w:rPr>
        <w:t>causa</w:t>
      </w:r>
      <w:r w:rsidR="009177CA">
        <w:rPr>
          <w:rFonts w:ascii="Arial" w:hAnsi="Arial" w:cs="Arial"/>
          <w:i/>
          <w:iCs/>
          <w:sz w:val="24"/>
          <w:szCs w:val="24"/>
        </w:rPr>
        <w:t xml:space="preserve"> </w:t>
      </w:r>
      <w:r w:rsidR="009177CA">
        <w:rPr>
          <w:rFonts w:ascii="Arial" w:hAnsi="Arial" w:cs="Arial"/>
          <w:sz w:val="24"/>
          <w:szCs w:val="24"/>
        </w:rPr>
        <w:t>from which it arises</w:t>
      </w:r>
      <w:r w:rsidR="009177CA">
        <w:rPr>
          <w:rFonts w:ascii="Arial" w:hAnsi="Arial" w:cs="Arial"/>
          <w:i/>
          <w:iCs/>
          <w:sz w:val="24"/>
          <w:szCs w:val="24"/>
        </w:rPr>
        <w:t xml:space="preserve">, </w:t>
      </w:r>
      <w:r w:rsidR="009177CA" w:rsidRPr="009177CA">
        <w:rPr>
          <w:rFonts w:ascii="Arial" w:hAnsi="Arial" w:cs="Arial"/>
          <w:sz w:val="24"/>
          <w:szCs w:val="24"/>
        </w:rPr>
        <w:t xml:space="preserve">which may be </w:t>
      </w:r>
      <w:r w:rsidR="009177CA">
        <w:rPr>
          <w:rFonts w:ascii="Arial" w:hAnsi="Arial" w:cs="Arial"/>
          <w:sz w:val="24"/>
          <w:szCs w:val="24"/>
        </w:rPr>
        <w:t xml:space="preserve">contractual i.e. a claim </w:t>
      </w:r>
      <w:r w:rsidR="00A06577">
        <w:rPr>
          <w:rFonts w:ascii="Arial" w:hAnsi="Arial" w:cs="Arial"/>
          <w:sz w:val="24"/>
          <w:szCs w:val="24"/>
        </w:rPr>
        <w:t xml:space="preserve">or </w:t>
      </w:r>
      <w:r w:rsidR="00A06577" w:rsidRPr="00A06577">
        <w:rPr>
          <w:rFonts w:ascii="Arial" w:hAnsi="Arial" w:cs="Arial"/>
          <w:i/>
          <w:iCs/>
          <w:sz w:val="24"/>
          <w:szCs w:val="24"/>
        </w:rPr>
        <w:t xml:space="preserve">causa </w:t>
      </w:r>
      <w:r w:rsidR="009177CA">
        <w:rPr>
          <w:rFonts w:ascii="Arial" w:hAnsi="Arial" w:cs="Arial"/>
          <w:sz w:val="24"/>
          <w:szCs w:val="24"/>
        </w:rPr>
        <w:t xml:space="preserve">which arises out of an earlier </w:t>
      </w:r>
      <w:r w:rsidR="009177CA" w:rsidRPr="009177CA">
        <w:rPr>
          <w:rFonts w:ascii="Arial" w:hAnsi="Arial" w:cs="Arial"/>
          <w:sz w:val="24"/>
          <w:szCs w:val="24"/>
        </w:rPr>
        <w:t>agreement</w:t>
      </w:r>
      <w:r w:rsidR="00B11683">
        <w:rPr>
          <w:rFonts w:ascii="Arial" w:hAnsi="Arial" w:cs="Arial"/>
          <w:sz w:val="24"/>
          <w:szCs w:val="24"/>
        </w:rPr>
        <w:t>.</w:t>
      </w:r>
      <w:r w:rsidR="0025403F">
        <w:rPr>
          <w:rFonts w:ascii="Arial" w:hAnsi="Arial" w:cs="Arial"/>
          <w:sz w:val="24"/>
          <w:szCs w:val="24"/>
        </w:rPr>
        <w:t xml:space="preserve"> </w:t>
      </w:r>
    </w:p>
    <w:p w14:paraId="5CB27EA6" w14:textId="22F5394F" w:rsidR="0069642D"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59.</w:t>
      </w:r>
      <w:r>
        <w:rPr>
          <w:rFonts w:ascii="Arial" w:hAnsi="Arial" w:cs="Arial"/>
          <w:sz w:val="24"/>
          <w:szCs w:val="24"/>
        </w:rPr>
        <w:tab/>
      </w:r>
      <w:r w:rsidR="00A06577">
        <w:rPr>
          <w:rFonts w:ascii="Arial" w:hAnsi="Arial" w:cs="Arial"/>
          <w:sz w:val="24"/>
          <w:szCs w:val="24"/>
        </w:rPr>
        <w:t>It</w:t>
      </w:r>
      <w:r w:rsidR="009177CA">
        <w:rPr>
          <w:rFonts w:ascii="Arial" w:hAnsi="Arial" w:cs="Arial"/>
          <w:sz w:val="24"/>
          <w:szCs w:val="24"/>
        </w:rPr>
        <w:t xml:space="preserve"> is commonly defined as an agreement in terms of which </w:t>
      </w:r>
      <w:r w:rsidR="00A06577">
        <w:rPr>
          <w:rFonts w:ascii="Arial" w:hAnsi="Arial" w:cs="Arial"/>
          <w:sz w:val="24"/>
          <w:szCs w:val="24"/>
        </w:rPr>
        <w:t xml:space="preserve">the </w:t>
      </w:r>
      <w:r w:rsidR="009177CA">
        <w:rPr>
          <w:rFonts w:ascii="Arial" w:hAnsi="Arial" w:cs="Arial"/>
          <w:sz w:val="24"/>
          <w:szCs w:val="24"/>
        </w:rPr>
        <w:t>parties to a dispute</w:t>
      </w:r>
      <w:r w:rsidR="00F37ABB">
        <w:rPr>
          <w:rFonts w:ascii="Arial" w:hAnsi="Arial" w:cs="Arial"/>
          <w:sz w:val="24"/>
          <w:szCs w:val="24"/>
        </w:rPr>
        <w:t>,</w:t>
      </w:r>
      <w:r w:rsidR="009177CA">
        <w:rPr>
          <w:rFonts w:ascii="Arial" w:hAnsi="Arial" w:cs="Arial"/>
          <w:sz w:val="24"/>
          <w:szCs w:val="24"/>
        </w:rPr>
        <w:t xml:space="preserve"> </w:t>
      </w:r>
      <w:r w:rsidR="0025403F">
        <w:rPr>
          <w:rFonts w:ascii="Arial" w:hAnsi="Arial" w:cs="Arial"/>
          <w:sz w:val="24"/>
          <w:szCs w:val="24"/>
        </w:rPr>
        <w:t>th</w:t>
      </w:r>
      <w:r w:rsidR="00A06577">
        <w:rPr>
          <w:rFonts w:ascii="Arial" w:hAnsi="Arial" w:cs="Arial"/>
          <w:sz w:val="24"/>
          <w:szCs w:val="24"/>
        </w:rPr>
        <w:t>e outcome of which is uncertain, agree to settle it on terms whereby each of them recedes from their positions</w:t>
      </w:r>
      <w:r w:rsidR="00F37ABB">
        <w:rPr>
          <w:rFonts w:ascii="Arial" w:hAnsi="Arial" w:cs="Arial"/>
          <w:sz w:val="24"/>
          <w:szCs w:val="24"/>
        </w:rPr>
        <w:t xml:space="preserve"> </w:t>
      </w:r>
      <w:r w:rsidR="00A06577">
        <w:rPr>
          <w:rFonts w:ascii="Arial" w:hAnsi="Arial" w:cs="Arial"/>
          <w:sz w:val="24"/>
          <w:szCs w:val="24"/>
        </w:rPr>
        <w:t>by conceding something</w:t>
      </w:r>
      <w:r w:rsidR="00F37ABB">
        <w:rPr>
          <w:rFonts w:ascii="Arial" w:hAnsi="Arial" w:cs="Arial"/>
          <w:sz w:val="24"/>
          <w:szCs w:val="24"/>
        </w:rPr>
        <w:t>,</w:t>
      </w:r>
      <w:r w:rsidR="00A06577">
        <w:rPr>
          <w:rFonts w:ascii="Arial" w:hAnsi="Arial" w:cs="Arial"/>
          <w:sz w:val="24"/>
          <w:szCs w:val="24"/>
        </w:rPr>
        <w:t xml:space="preserve"> thereby achieving or receiving less than they </w:t>
      </w:r>
      <w:r w:rsidR="00F37ABB">
        <w:rPr>
          <w:rFonts w:ascii="Arial" w:hAnsi="Arial" w:cs="Arial"/>
          <w:sz w:val="24"/>
          <w:szCs w:val="24"/>
        </w:rPr>
        <w:t>intended</w:t>
      </w:r>
      <w:r w:rsidR="00A06577">
        <w:rPr>
          <w:rFonts w:ascii="Arial" w:hAnsi="Arial" w:cs="Arial"/>
          <w:sz w:val="24"/>
          <w:szCs w:val="24"/>
        </w:rPr>
        <w:t>.</w:t>
      </w:r>
      <w:r w:rsidR="00A06577">
        <w:rPr>
          <w:rStyle w:val="FootnoteReference"/>
          <w:rFonts w:ascii="Arial" w:hAnsi="Arial" w:cs="Arial"/>
          <w:sz w:val="24"/>
          <w:szCs w:val="24"/>
        </w:rPr>
        <w:footnoteReference w:id="39"/>
      </w:r>
      <w:r w:rsidR="00A06577">
        <w:rPr>
          <w:rFonts w:ascii="Arial" w:hAnsi="Arial" w:cs="Arial"/>
          <w:sz w:val="24"/>
          <w:szCs w:val="24"/>
        </w:rPr>
        <w:t xml:space="preserve"> </w:t>
      </w:r>
      <w:r w:rsidR="00D05573">
        <w:rPr>
          <w:rFonts w:ascii="Arial" w:hAnsi="Arial" w:cs="Arial"/>
          <w:sz w:val="24"/>
          <w:szCs w:val="24"/>
        </w:rPr>
        <w:t xml:space="preserve">It has the effect of </w:t>
      </w:r>
      <w:r w:rsidR="00D05573" w:rsidRPr="00470B14">
        <w:rPr>
          <w:rFonts w:ascii="Arial" w:hAnsi="Arial" w:cs="Arial"/>
          <w:i/>
          <w:iCs/>
          <w:sz w:val="24"/>
          <w:szCs w:val="24"/>
        </w:rPr>
        <w:t>res judicata</w:t>
      </w:r>
      <w:r w:rsidR="00D05573">
        <w:rPr>
          <w:rFonts w:ascii="Arial" w:hAnsi="Arial" w:cs="Arial"/>
          <w:sz w:val="24"/>
          <w:szCs w:val="24"/>
        </w:rPr>
        <w:t xml:space="preserve"> and consequently a party to it </w:t>
      </w:r>
      <w:r w:rsidR="00470B14">
        <w:rPr>
          <w:rFonts w:ascii="Arial" w:hAnsi="Arial" w:cs="Arial"/>
          <w:sz w:val="24"/>
          <w:szCs w:val="24"/>
        </w:rPr>
        <w:t xml:space="preserve">ordinarily </w:t>
      </w:r>
      <w:r w:rsidR="00D05573">
        <w:rPr>
          <w:rFonts w:ascii="Arial" w:hAnsi="Arial" w:cs="Arial"/>
          <w:sz w:val="24"/>
          <w:szCs w:val="24"/>
        </w:rPr>
        <w:t>cannot go behind it and sue on the original</w:t>
      </w:r>
      <w:r w:rsidR="00470B14">
        <w:rPr>
          <w:rFonts w:ascii="Arial" w:hAnsi="Arial" w:cs="Arial"/>
          <w:sz w:val="24"/>
          <w:szCs w:val="24"/>
        </w:rPr>
        <w:t>, disputed</w:t>
      </w:r>
      <w:r w:rsidR="00D05573">
        <w:rPr>
          <w:rFonts w:ascii="Arial" w:hAnsi="Arial" w:cs="Arial"/>
          <w:sz w:val="24"/>
          <w:szCs w:val="24"/>
        </w:rPr>
        <w:t xml:space="preserve"> contract or agreement which</w:t>
      </w:r>
      <w:r w:rsidR="00470B14">
        <w:rPr>
          <w:rFonts w:ascii="Arial" w:hAnsi="Arial" w:cs="Arial"/>
          <w:sz w:val="24"/>
          <w:szCs w:val="24"/>
        </w:rPr>
        <w:t xml:space="preserve"> gave rise to it. But the fact that a party may be bound to it and </w:t>
      </w:r>
      <w:r w:rsidR="005D234D">
        <w:rPr>
          <w:rFonts w:ascii="Arial" w:hAnsi="Arial" w:cs="Arial"/>
          <w:sz w:val="24"/>
          <w:szCs w:val="24"/>
        </w:rPr>
        <w:t xml:space="preserve">thus </w:t>
      </w:r>
      <w:r w:rsidR="00470B14">
        <w:rPr>
          <w:rFonts w:ascii="Arial" w:hAnsi="Arial" w:cs="Arial"/>
          <w:sz w:val="24"/>
          <w:szCs w:val="24"/>
        </w:rPr>
        <w:t xml:space="preserve">cannot resort to a prior agreement </w:t>
      </w:r>
      <w:r w:rsidR="003E4836">
        <w:rPr>
          <w:rFonts w:ascii="Arial" w:hAnsi="Arial" w:cs="Arial"/>
          <w:sz w:val="24"/>
          <w:szCs w:val="24"/>
        </w:rPr>
        <w:t xml:space="preserve">or obligation </w:t>
      </w:r>
      <w:r w:rsidR="00470B14">
        <w:rPr>
          <w:rFonts w:ascii="Arial" w:hAnsi="Arial" w:cs="Arial"/>
          <w:sz w:val="24"/>
          <w:szCs w:val="24"/>
        </w:rPr>
        <w:t xml:space="preserve">that gave rise to it, does not mean that it is necessarily and always the case that a compromise is not affected by </w:t>
      </w:r>
      <w:r w:rsidR="0025403F">
        <w:rPr>
          <w:rFonts w:ascii="Arial" w:hAnsi="Arial" w:cs="Arial"/>
          <w:sz w:val="24"/>
          <w:szCs w:val="24"/>
        </w:rPr>
        <w:t xml:space="preserve">a defect which attaches to the </w:t>
      </w:r>
      <w:r w:rsidR="00470B14">
        <w:rPr>
          <w:rFonts w:ascii="Arial" w:hAnsi="Arial" w:cs="Arial"/>
          <w:sz w:val="24"/>
          <w:szCs w:val="24"/>
        </w:rPr>
        <w:t xml:space="preserve">prior, </w:t>
      </w:r>
      <w:r w:rsidR="0025403F">
        <w:rPr>
          <w:rFonts w:ascii="Arial" w:hAnsi="Arial" w:cs="Arial"/>
          <w:sz w:val="24"/>
          <w:szCs w:val="24"/>
        </w:rPr>
        <w:t xml:space="preserve">underlying claim or </w:t>
      </w:r>
      <w:r w:rsidR="0025403F" w:rsidRPr="00470B14">
        <w:rPr>
          <w:rFonts w:ascii="Arial" w:hAnsi="Arial" w:cs="Arial"/>
          <w:i/>
          <w:iCs/>
          <w:sz w:val="24"/>
          <w:szCs w:val="24"/>
        </w:rPr>
        <w:t>causa</w:t>
      </w:r>
      <w:r w:rsidR="0069642D">
        <w:rPr>
          <w:rFonts w:ascii="Arial" w:hAnsi="Arial" w:cs="Arial"/>
          <w:i/>
          <w:iCs/>
          <w:sz w:val="24"/>
          <w:szCs w:val="24"/>
        </w:rPr>
        <w:t>,</w:t>
      </w:r>
      <w:r w:rsidR="00470B14">
        <w:rPr>
          <w:rFonts w:ascii="Arial" w:hAnsi="Arial" w:cs="Arial"/>
          <w:i/>
          <w:iCs/>
          <w:sz w:val="24"/>
          <w:szCs w:val="24"/>
        </w:rPr>
        <w:t xml:space="preserve"> </w:t>
      </w:r>
      <w:r w:rsidR="00470B14">
        <w:rPr>
          <w:rFonts w:ascii="Arial" w:hAnsi="Arial" w:cs="Arial"/>
          <w:sz w:val="24"/>
          <w:szCs w:val="24"/>
        </w:rPr>
        <w:t>as the Court seems to have suggested</w:t>
      </w:r>
      <w:r w:rsidR="004F4889">
        <w:rPr>
          <w:rFonts w:ascii="Arial" w:hAnsi="Arial" w:cs="Arial"/>
          <w:sz w:val="24"/>
          <w:szCs w:val="24"/>
        </w:rPr>
        <w:t>,</w:t>
      </w:r>
      <w:r w:rsidR="00470B14">
        <w:rPr>
          <w:rStyle w:val="FootnoteReference"/>
          <w:rFonts w:ascii="Arial" w:hAnsi="Arial" w:cs="Arial"/>
          <w:sz w:val="24"/>
          <w:szCs w:val="24"/>
        </w:rPr>
        <w:footnoteReference w:id="40"/>
      </w:r>
      <w:r w:rsidR="0069642D">
        <w:rPr>
          <w:rFonts w:ascii="Arial" w:hAnsi="Arial" w:cs="Arial"/>
          <w:sz w:val="24"/>
          <w:szCs w:val="24"/>
        </w:rPr>
        <w:t xml:space="preserve"> and neither of the two decisions on which </w:t>
      </w:r>
      <w:r w:rsidR="0013555B">
        <w:rPr>
          <w:rFonts w:ascii="Arial" w:hAnsi="Arial" w:cs="Arial"/>
          <w:sz w:val="24"/>
          <w:szCs w:val="24"/>
        </w:rPr>
        <w:t>it</w:t>
      </w:r>
      <w:r w:rsidR="0069642D">
        <w:rPr>
          <w:rFonts w:ascii="Arial" w:hAnsi="Arial" w:cs="Arial"/>
          <w:sz w:val="24"/>
          <w:szCs w:val="24"/>
        </w:rPr>
        <w:t xml:space="preserve"> sought to rely in this regard serve as authority for such a proposition.</w:t>
      </w:r>
    </w:p>
    <w:p w14:paraId="60B88649" w14:textId="1B5EE7F4" w:rsidR="00F71D8F"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60.</w:t>
      </w:r>
      <w:r>
        <w:rPr>
          <w:rFonts w:ascii="Arial" w:hAnsi="Arial" w:cs="Arial"/>
          <w:sz w:val="24"/>
          <w:szCs w:val="24"/>
        </w:rPr>
        <w:tab/>
      </w:r>
      <w:r w:rsidR="0069642D">
        <w:rPr>
          <w:rFonts w:ascii="Arial" w:hAnsi="Arial" w:cs="Arial"/>
          <w:sz w:val="24"/>
          <w:szCs w:val="24"/>
        </w:rPr>
        <w:t xml:space="preserve">In </w:t>
      </w:r>
      <w:r w:rsidR="0069642D" w:rsidRPr="0069642D">
        <w:rPr>
          <w:rFonts w:ascii="Arial" w:hAnsi="Arial" w:cs="Arial"/>
          <w:i/>
          <w:iCs/>
          <w:sz w:val="24"/>
          <w:szCs w:val="24"/>
        </w:rPr>
        <w:t>Dennis Peters</w:t>
      </w:r>
      <w:r w:rsidR="005E74A0">
        <w:rPr>
          <w:rFonts w:ascii="Arial" w:hAnsi="Arial" w:cs="Arial"/>
          <w:i/>
          <w:iCs/>
          <w:sz w:val="24"/>
          <w:szCs w:val="24"/>
        </w:rPr>
        <w:t xml:space="preserve"> </w:t>
      </w:r>
      <w:r w:rsidR="005E74A0" w:rsidRPr="005E74A0">
        <w:rPr>
          <w:rStyle w:val="FootnoteReference"/>
          <w:rFonts w:ascii="Arial" w:hAnsi="Arial" w:cs="Arial"/>
          <w:sz w:val="24"/>
          <w:szCs w:val="24"/>
        </w:rPr>
        <w:footnoteReference w:id="41"/>
      </w:r>
      <w:r w:rsidR="0069642D">
        <w:rPr>
          <w:rFonts w:ascii="Arial" w:hAnsi="Arial" w:cs="Arial"/>
          <w:sz w:val="24"/>
          <w:szCs w:val="24"/>
        </w:rPr>
        <w:t xml:space="preserve"> the plaintiff applied for provisional sentence on an AOD which had been tendered in settlement of a disput</w:t>
      </w:r>
      <w:r w:rsidR="00260713">
        <w:rPr>
          <w:rFonts w:ascii="Arial" w:hAnsi="Arial" w:cs="Arial"/>
          <w:sz w:val="24"/>
          <w:szCs w:val="24"/>
        </w:rPr>
        <w:t>ed claim for monies allegedly loaned and advanced</w:t>
      </w:r>
      <w:r w:rsidR="0069642D">
        <w:rPr>
          <w:rFonts w:ascii="Arial" w:hAnsi="Arial" w:cs="Arial"/>
          <w:sz w:val="24"/>
          <w:szCs w:val="24"/>
        </w:rPr>
        <w:t xml:space="preserve">. </w:t>
      </w:r>
      <w:r w:rsidR="00260713">
        <w:rPr>
          <w:rFonts w:ascii="Arial" w:hAnsi="Arial" w:cs="Arial"/>
          <w:sz w:val="24"/>
          <w:szCs w:val="24"/>
        </w:rPr>
        <w:t xml:space="preserve">The defendants alleged that </w:t>
      </w:r>
      <w:r w:rsidR="004F4889">
        <w:rPr>
          <w:rFonts w:ascii="Arial" w:hAnsi="Arial" w:cs="Arial"/>
          <w:sz w:val="24"/>
          <w:szCs w:val="24"/>
        </w:rPr>
        <w:t xml:space="preserve">the </w:t>
      </w:r>
      <w:r w:rsidR="00260713">
        <w:rPr>
          <w:rFonts w:ascii="Arial" w:hAnsi="Arial" w:cs="Arial"/>
          <w:sz w:val="24"/>
          <w:szCs w:val="24"/>
        </w:rPr>
        <w:t xml:space="preserve">advances were money-lending transactions in respect of which the plaintiff had sought usurious rates of interest.   </w:t>
      </w:r>
      <w:r w:rsidR="0069642D">
        <w:rPr>
          <w:rFonts w:ascii="Arial" w:hAnsi="Arial" w:cs="Arial"/>
          <w:sz w:val="24"/>
          <w:szCs w:val="24"/>
        </w:rPr>
        <w:t xml:space="preserve">The </w:t>
      </w:r>
      <w:r w:rsidR="00260713">
        <w:rPr>
          <w:rFonts w:ascii="Arial" w:hAnsi="Arial" w:cs="Arial"/>
          <w:sz w:val="24"/>
          <w:szCs w:val="24"/>
        </w:rPr>
        <w:t>C</w:t>
      </w:r>
      <w:r w:rsidR="0069642D">
        <w:rPr>
          <w:rFonts w:ascii="Arial" w:hAnsi="Arial" w:cs="Arial"/>
          <w:sz w:val="24"/>
          <w:szCs w:val="24"/>
        </w:rPr>
        <w:t xml:space="preserve">ourt </w:t>
      </w:r>
      <w:r w:rsidR="00756487">
        <w:rPr>
          <w:rFonts w:ascii="Arial" w:hAnsi="Arial" w:cs="Arial"/>
          <w:sz w:val="24"/>
          <w:szCs w:val="24"/>
        </w:rPr>
        <w:t>reiterated</w:t>
      </w:r>
      <w:r w:rsidR="0069642D">
        <w:rPr>
          <w:rFonts w:ascii="Arial" w:hAnsi="Arial" w:cs="Arial"/>
          <w:sz w:val="24"/>
          <w:szCs w:val="24"/>
        </w:rPr>
        <w:t xml:space="preserve"> the general principles applicable to </w:t>
      </w:r>
      <w:r w:rsidR="00756487">
        <w:rPr>
          <w:rFonts w:ascii="Arial" w:hAnsi="Arial" w:cs="Arial"/>
          <w:sz w:val="24"/>
          <w:szCs w:val="24"/>
        </w:rPr>
        <w:t xml:space="preserve">a </w:t>
      </w:r>
      <w:r w:rsidR="0069642D">
        <w:rPr>
          <w:rFonts w:ascii="Arial" w:hAnsi="Arial" w:cs="Arial"/>
          <w:sz w:val="24"/>
          <w:szCs w:val="24"/>
        </w:rPr>
        <w:t xml:space="preserve">compromise </w:t>
      </w:r>
      <w:r w:rsidR="006D1A16">
        <w:rPr>
          <w:rFonts w:ascii="Arial" w:hAnsi="Arial" w:cs="Arial"/>
          <w:sz w:val="24"/>
          <w:szCs w:val="24"/>
        </w:rPr>
        <w:t>by</w:t>
      </w:r>
      <w:r w:rsidR="0069642D">
        <w:rPr>
          <w:rFonts w:ascii="Arial" w:hAnsi="Arial" w:cs="Arial"/>
          <w:sz w:val="24"/>
          <w:szCs w:val="24"/>
        </w:rPr>
        <w:t xml:space="preserve"> pointing out that, inasmuch as it is accepted that it has the effect of </w:t>
      </w:r>
      <w:r w:rsidR="0069642D" w:rsidRPr="006D1A16">
        <w:rPr>
          <w:rFonts w:ascii="Arial" w:hAnsi="Arial" w:cs="Arial"/>
          <w:i/>
          <w:iCs/>
          <w:sz w:val="24"/>
          <w:szCs w:val="24"/>
        </w:rPr>
        <w:t>res judicata</w:t>
      </w:r>
      <w:r w:rsidR="00EC4845">
        <w:rPr>
          <w:rFonts w:ascii="Arial" w:hAnsi="Arial" w:cs="Arial"/>
          <w:i/>
          <w:iCs/>
          <w:sz w:val="24"/>
          <w:szCs w:val="24"/>
        </w:rPr>
        <w:t>,</w:t>
      </w:r>
      <w:r w:rsidR="0069642D">
        <w:rPr>
          <w:rFonts w:ascii="Arial" w:hAnsi="Arial" w:cs="Arial"/>
          <w:sz w:val="24"/>
          <w:szCs w:val="24"/>
        </w:rPr>
        <w:t xml:space="preserve"> it provides an absolute defence to an action based on </w:t>
      </w:r>
      <w:r w:rsidR="00260713">
        <w:rPr>
          <w:rFonts w:ascii="Arial" w:hAnsi="Arial" w:cs="Arial"/>
          <w:sz w:val="24"/>
          <w:szCs w:val="24"/>
        </w:rPr>
        <w:t>an earlier contractual</w:t>
      </w:r>
      <w:r w:rsidR="0069642D">
        <w:rPr>
          <w:rFonts w:ascii="Arial" w:hAnsi="Arial" w:cs="Arial"/>
          <w:sz w:val="24"/>
          <w:szCs w:val="24"/>
        </w:rPr>
        <w:t xml:space="preserve"> </w:t>
      </w:r>
      <w:r w:rsidR="0069642D" w:rsidRPr="006D1A16">
        <w:rPr>
          <w:rFonts w:ascii="Arial" w:hAnsi="Arial" w:cs="Arial"/>
          <w:i/>
          <w:iCs/>
          <w:sz w:val="24"/>
          <w:szCs w:val="24"/>
        </w:rPr>
        <w:t>causa</w:t>
      </w:r>
      <w:r w:rsidR="0069642D">
        <w:rPr>
          <w:rFonts w:ascii="Arial" w:hAnsi="Arial" w:cs="Arial"/>
          <w:sz w:val="24"/>
          <w:szCs w:val="24"/>
        </w:rPr>
        <w:t xml:space="preserve">, such as an earlier agreement. </w:t>
      </w:r>
      <w:r w:rsidR="00260713">
        <w:rPr>
          <w:rFonts w:ascii="Arial" w:hAnsi="Arial" w:cs="Arial"/>
          <w:sz w:val="24"/>
          <w:szCs w:val="24"/>
        </w:rPr>
        <w:t>As the Court was of the view that the defendants had failed to establish on a balance of probabilities that the proceedings which were before it were for the recovery of a debt in respect of money-lending transactions</w:t>
      </w:r>
      <w:r w:rsidR="005E713B">
        <w:rPr>
          <w:rFonts w:ascii="Arial" w:hAnsi="Arial" w:cs="Arial"/>
          <w:sz w:val="24"/>
          <w:szCs w:val="24"/>
        </w:rPr>
        <w:t>,</w:t>
      </w:r>
      <w:r w:rsidR="00260713">
        <w:rPr>
          <w:rFonts w:ascii="Arial" w:hAnsi="Arial" w:cs="Arial"/>
          <w:sz w:val="24"/>
          <w:szCs w:val="24"/>
        </w:rPr>
        <w:t xml:space="preserve"> or that finance charges at an excessive rate </w:t>
      </w:r>
      <w:r w:rsidR="00E61154">
        <w:rPr>
          <w:rFonts w:ascii="Arial" w:hAnsi="Arial" w:cs="Arial"/>
          <w:sz w:val="24"/>
          <w:szCs w:val="24"/>
        </w:rPr>
        <w:t>had been</w:t>
      </w:r>
      <w:r w:rsidR="00260713">
        <w:rPr>
          <w:rFonts w:ascii="Arial" w:hAnsi="Arial" w:cs="Arial"/>
          <w:sz w:val="24"/>
          <w:szCs w:val="24"/>
        </w:rPr>
        <w:t xml:space="preserve"> levied</w:t>
      </w:r>
      <w:r w:rsidR="004F4889">
        <w:rPr>
          <w:rFonts w:ascii="Arial" w:hAnsi="Arial" w:cs="Arial"/>
          <w:sz w:val="24"/>
          <w:szCs w:val="24"/>
        </w:rPr>
        <w:t xml:space="preserve">, </w:t>
      </w:r>
      <w:r w:rsidR="005E713B">
        <w:rPr>
          <w:rFonts w:ascii="Arial" w:hAnsi="Arial" w:cs="Arial"/>
          <w:sz w:val="24"/>
          <w:szCs w:val="24"/>
        </w:rPr>
        <w:t>the</w:t>
      </w:r>
      <w:r w:rsidR="0014759E">
        <w:rPr>
          <w:rFonts w:ascii="Arial" w:hAnsi="Arial" w:cs="Arial"/>
          <w:sz w:val="24"/>
          <w:szCs w:val="24"/>
        </w:rPr>
        <w:t xml:space="preserve"> defendants</w:t>
      </w:r>
      <w:r w:rsidR="005E713B">
        <w:rPr>
          <w:rFonts w:ascii="Arial" w:hAnsi="Arial" w:cs="Arial"/>
          <w:sz w:val="24"/>
          <w:szCs w:val="24"/>
        </w:rPr>
        <w:t xml:space="preserve"> were unable to rely on these earlier transactions and the Court</w:t>
      </w:r>
      <w:r w:rsidR="00260713">
        <w:rPr>
          <w:rFonts w:ascii="Arial" w:hAnsi="Arial" w:cs="Arial"/>
          <w:sz w:val="24"/>
          <w:szCs w:val="24"/>
        </w:rPr>
        <w:t xml:space="preserve"> granted judgment on the AOD</w:t>
      </w:r>
      <w:r w:rsidR="00E61154">
        <w:rPr>
          <w:rFonts w:ascii="Arial" w:hAnsi="Arial" w:cs="Arial"/>
          <w:sz w:val="24"/>
          <w:szCs w:val="24"/>
        </w:rPr>
        <w:t>,</w:t>
      </w:r>
      <w:r w:rsidR="00260713">
        <w:rPr>
          <w:rFonts w:ascii="Arial" w:hAnsi="Arial" w:cs="Arial"/>
          <w:sz w:val="24"/>
          <w:szCs w:val="24"/>
        </w:rPr>
        <w:t xml:space="preserve"> </w:t>
      </w:r>
      <w:r w:rsidR="00260713">
        <w:rPr>
          <w:rFonts w:ascii="Arial" w:hAnsi="Arial" w:cs="Arial"/>
          <w:sz w:val="24"/>
          <w:szCs w:val="24"/>
        </w:rPr>
        <w:lastRenderedPageBreak/>
        <w:t>as sought. In the circumstances, the remark which the Court made</w:t>
      </w:r>
      <w:r w:rsidR="00F71D8F">
        <w:rPr>
          <w:rFonts w:ascii="Arial" w:hAnsi="Arial" w:cs="Arial"/>
          <w:sz w:val="24"/>
          <w:szCs w:val="24"/>
        </w:rPr>
        <w:t>,</w:t>
      </w:r>
      <w:r w:rsidR="00F71D8F">
        <w:rPr>
          <w:rStyle w:val="FootnoteReference"/>
          <w:rFonts w:ascii="Arial" w:hAnsi="Arial" w:cs="Arial"/>
          <w:sz w:val="24"/>
          <w:szCs w:val="24"/>
        </w:rPr>
        <w:footnoteReference w:id="42"/>
      </w:r>
      <w:r w:rsidR="00260713">
        <w:rPr>
          <w:rFonts w:ascii="Arial" w:hAnsi="Arial" w:cs="Arial"/>
          <w:sz w:val="24"/>
          <w:szCs w:val="24"/>
        </w:rPr>
        <w:t xml:space="preserve"> with reference to </w:t>
      </w:r>
      <w:r w:rsidR="00F71D8F">
        <w:rPr>
          <w:rFonts w:ascii="Arial" w:hAnsi="Arial" w:cs="Arial"/>
          <w:sz w:val="24"/>
          <w:szCs w:val="24"/>
        </w:rPr>
        <w:t xml:space="preserve">text-book </w:t>
      </w:r>
      <w:r w:rsidR="00260713">
        <w:rPr>
          <w:rFonts w:ascii="Arial" w:hAnsi="Arial" w:cs="Arial"/>
          <w:sz w:val="24"/>
          <w:szCs w:val="24"/>
        </w:rPr>
        <w:t xml:space="preserve">commentary </w:t>
      </w:r>
      <w:r w:rsidR="00F71D8F">
        <w:rPr>
          <w:rFonts w:ascii="Arial" w:hAnsi="Arial" w:cs="Arial"/>
          <w:sz w:val="24"/>
          <w:szCs w:val="24"/>
        </w:rPr>
        <w:t>by Wessels</w:t>
      </w:r>
      <w:r w:rsidR="00F71D8F">
        <w:rPr>
          <w:rStyle w:val="FootnoteReference"/>
          <w:rFonts w:ascii="Arial" w:hAnsi="Arial" w:cs="Arial"/>
          <w:sz w:val="24"/>
          <w:szCs w:val="24"/>
        </w:rPr>
        <w:footnoteReference w:id="43"/>
      </w:r>
      <w:r w:rsidR="00260713">
        <w:rPr>
          <w:rFonts w:ascii="Arial" w:hAnsi="Arial" w:cs="Arial"/>
          <w:sz w:val="24"/>
          <w:szCs w:val="24"/>
        </w:rPr>
        <w:t xml:space="preserve"> </w:t>
      </w:r>
      <w:r w:rsidR="00F71D8F">
        <w:rPr>
          <w:rFonts w:ascii="Arial" w:hAnsi="Arial" w:cs="Arial"/>
          <w:sz w:val="24"/>
          <w:szCs w:val="24"/>
        </w:rPr>
        <w:t>and Wille,</w:t>
      </w:r>
      <w:r w:rsidR="00F71D8F">
        <w:rPr>
          <w:rStyle w:val="FootnoteReference"/>
          <w:rFonts w:ascii="Arial" w:hAnsi="Arial" w:cs="Arial"/>
          <w:sz w:val="24"/>
          <w:szCs w:val="24"/>
        </w:rPr>
        <w:footnoteReference w:id="44"/>
      </w:r>
      <w:r w:rsidR="00F71D8F">
        <w:rPr>
          <w:rFonts w:ascii="Arial" w:hAnsi="Arial" w:cs="Arial"/>
          <w:sz w:val="24"/>
          <w:szCs w:val="24"/>
        </w:rPr>
        <w:t xml:space="preserve">  </w:t>
      </w:r>
      <w:r w:rsidR="00260713">
        <w:rPr>
          <w:rFonts w:ascii="Arial" w:hAnsi="Arial" w:cs="Arial"/>
          <w:sz w:val="24"/>
          <w:szCs w:val="24"/>
        </w:rPr>
        <w:t xml:space="preserve">that even if it were established that the original </w:t>
      </w:r>
      <w:r w:rsidR="00260713" w:rsidRPr="00CC684B">
        <w:rPr>
          <w:rFonts w:ascii="Arial" w:hAnsi="Arial" w:cs="Arial"/>
          <w:i/>
          <w:iCs/>
          <w:sz w:val="24"/>
          <w:szCs w:val="24"/>
        </w:rPr>
        <w:t>caus</w:t>
      </w:r>
      <w:r w:rsidR="00CC684B" w:rsidRPr="00CC684B">
        <w:rPr>
          <w:rFonts w:ascii="Arial" w:hAnsi="Arial" w:cs="Arial"/>
          <w:i/>
          <w:iCs/>
          <w:sz w:val="24"/>
          <w:szCs w:val="24"/>
        </w:rPr>
        <w:t>a</w:t>
      </w:r>
      <w:r w:rsidR="00260713">
        <w:rPr>
          <w:rFonts w:ascii="Arial" w:hAnsi="Arial" w:cs="Arial"/>
          <w:sz w:val="24"/>
          <w:szCs w:val="24"/>
        </w:rPr>
        <w:t xml:space="preserve"> was invalid</w:t>
      </w:r>
      <w:r w:rsidR="00F71D8F">
        <w:rPr>
          <w:rFonts w:ascii="Arial" w:hAnsi="Arial" w:cs="Arial"/>
          <w:sz w:val="24"/>
          <w:szCs w:val="24"/>
        </w:rPr>
        <w:t xml:space="preserve"> this would not affect </w:t>
      </w:r>
      <w:r w:rsidR="00756487">
        <w:rPr>
          <w:rFonts w:ascii="Arial" w:hAnsi="Arial" w:cs="Arial"/>
          <w:sz w:val="24"/>
          <w:szCs w:val="24"/>
        </w:rPr>
        <w:t>a</w:t>
      </w:r>
      <w:r w:rsidR="00F71D8F">
        <w:rPr>
          <w:rFonts w:ascii="Arial" w:hAnsi="Arial" w:cs="Arial"/>
          <w:sz w:val="24"/>
          <w:szCs w:val="24"/>
        </w:rPr>
        <w:t xml:space="preserve"> subsequent compromise, was </w:t>
      </w:r>
      <w:r w:rsidR="004F4889" w:rsidRPr="004F4889">
        <w:rPr>
          <w:rFonts w:ascii="Arial" w:hAnsi="Arial" w:cs="Arial"/>
          <w:i/>
          <w:iCs/>
          <w:sz w:val="24"/>
          <w:szCs w:val="24"/>
        </w:rPr>
        <w:t>obiter</w:t>
      </w:r>
      <w:r w:rsidR="004F4889">
        <w:rPr>
          <w:rFonts w:ascii="Arial" w:hAnsi="Arial" w:cs="Arial"/>
          <w:sz w:val="24"/>
          <w:szCs w:val="24"/>
        </w:rPr>
        <w:t xml:space="preserve"> and </w:t>
      </w:r>
      <w:r w:rsidR="00F71D8F">
        <w:rPr>
          <w:rFonts w:ascii="Arial" w:hAnsi="Arial" w:cs="Arial"/>
          <w:sz w:val="24"/>
          <w:szCs w:val="24"/>
        </w:rPr>
        <w:t xml:space="preserve">not part of the </w:t>
      </w:r>
      <w:r w:rsidR="00F71D8F" w:rsidRPr="00F71D8F">
        <w:rPr>
          <w:rFonts w:ascii="Arial" w:hAnsi="Arial" w:cs="Arial"/>
          <w:i/>
          <w:iCs/>
          <w:sz w:val="24"/>
          <w:szCs w:val="24"/>
        </w:rPr>
        <w:t>ratio</w:t>
      </w:r>
      <w:r w:rsidR="00F71D8F">
        <w:rPr>
          <w:rFonts w:ascii="Arial" w:hAnsi="Arial" w:cs="Arial"/>
          <w:sz w:val="24"/>
          <w:szCs w:val="24"/>
        </w:rPr>
        <w:t>.</w:t>
      </w:r>
    </w:p>
    <w:p w14:paraId="138D7EE1" w14:textId="46754182" w:rsidR="00BB7BAE"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61.</w:t>
      </w:r>
      <w:r>
        <w:rPr>
          <w:rFonts w:ascii="Arial" w:hAnsi="Arial" w:cs="Arial"/>
          <w:sz w:val="24"/>
          <w:szCs w:val="24"/>
        </w:rPr>
        <w:tab/>
      </w:r>
      <w:r w:rsidR="005E74A0">
        <w:rPr>
          <w:rFonts w:ascii="Arial" w:hAnsi="Arial" w:cs="Arial"/>
          <w:sz w:val="24"/>
          <w:szCs w:val="24"/>
        </w:rPr>
        <w:t xml:space="preserve">In </w:t>
      </w:r>
      <w:r w:rsidR="005E74A0" w:rsidRPr="005E74A0">
        <w:rPr>
          <w:rFonts w:ascii="Arial" w:hAnsi="Arial" w:cs="Arial"/>
          <w:i/>
          <w:iCs/>
          <w:sz w:val="24"/>
          <w:szCs w:val="24"/>
        </w:rPr>
        <w:t>Weltmans</w:t>
      </w:r>
      <w:r w:rsidR="005E74A0">
        <w:rPr>
          <w:rFonts w:ascii="Arial" w:hAnsi="Arial" w:cs="Arial"/>
          <w:sz w:val="24"/>
          <w:szCs w:val="24"/>
        </w:rPr>
        <w:t xml:space="preserve"> </w:t>
      </w:r>
      <w:r w:rsidR="005E74A0">
        <w:rPr>
          <w:rStyle w:val="FootnoteReference"/>
          <w:rFonts w:ascii="Arial" w:hAnsi="Arial" w:cs="Arial"/>
          <w:sz w:val="24"/>
          <w:szCs w:val="24"/>
        </w:rPr>
        <w:footnoteReference w:id="45"/>
      </w:r>
      <w:r w:rsidR="00F71D8F">
        <w:rPr>
          <w:rFonts w:ascii="Arial" w:hAnsi="Arial" w:cs="Arial"/>
          <w:sz w:val="24"/>
          <w:szCs w:val="24"/>
        </w:rPr>
        <w:t xml:space="preserve"> </w:t>
      </w:r>
      <w:r w:rsidR="005E74A0">
        <w:rPr>
          <w:rFonts w:ascii="Arial" w:hAnsi="Arial" w:cs="Arial"/>
          <w:sz w:val="24"/>
          <w:szCs w:val="24"/>
        </w:rPr>
        <w:t>the parties had entered into a compromise which constituted a full and final settlement of their differences and disputes, arising from or related to the purchase of a business and various actions which were pending in the magistrate’s court. Once again, in dealing with the compromise the Court reiterated</w:t>
      </w:r>
      <w:r w:rsidR="005E74A0">
        <w:rPr>
          <w:rStyle w:val="FootnoteReference"/>
          <w:rFonts w:ascii="Arial" w:hAnsi="Arial" w:cs="Arial"/>
          <w:sz w:val="24"/>
          <w:szCs w:val="24"/>
        </w:rPr>
        <w:footnoteReference w:id="46"/>
      </w:r>
      <w:r w:rsidR="005E74A0">
        <w:rPr>
          <w:rFonts w:ascii="Arial" w:hAnsi="Arial" w:cs="Arial"/>
          <w:sz w:val="24"/>
          <w:szCs w:val="24"/>
        </w:rPr>
        <w:t xml:space="preserve"> </w:t>
      </w:r>
      <w:r w:rsidR="00CC684B">
        <w:rPr>
          <w:rFonts w:ascii="Arial" w:hAnsi="Arial" w:cs="Arial"/>
          <w:sz w:val="24"/>
          <w:szCs w:val="24"/>
        </w:rPr>
        <w:t xml:space="preserve">the general principle </w:t>
      </w:r>
      <w:r w:rsidR="005E74A0">
        <w:rPr>
          <w:rFonts w:ascii="Arial" w:hAnsi="Arial" w:cs="Arial"/>
          <w:sz w:val="24"/>
          <w:szCs w:val="24"/>
        </w:rPr>
        <w:t>that it prevent</w:t>
      </w:r>
      <w:r w:rsidR="00F473E9">
        <w:rPr>
          <w:rFonts w:ascii="Arial" w:hAnsi="Arial" w:cs="Arial"/>
          <w:sz w:val="24"/>
          <w:szCs w:val="24"/>
        </w:rPr>
        <w:t>s</w:t>
      </w:r>
      <w:r w:rsidR="005E74A0">
        <w:rPr>
          <w:rFonts w:ascii="Arial" w:hAnsi="Arial" w:cs="Arial"/>
          <w:sz w:val="24"/>
          <w:szCs w:val="24"/>
        </w:rPr>
        <w:t xml:space="preserve"> parties from falling back on their original agreement, out of which some of the</w:t>
      </w:r>
      <w:r w:rsidR="00E61154">
        <w:rPr>
          <w:rFonts w:ascii="Arial" w:hAnsi="Arial" w:cs="Arial"/>
          <w:sz w:val="24"/>
          <w:szCs w:val="24"/>
        </w:rPr>
        <w:t>ir</w:t>
      </w:r>
      <w:r w:rsidR="005E74A0">
        <w:rPr>
          <w:rFonts w:ascii="Arial" w:hAnsi="Arial" w:cs="Arial"/>
          <w:sz w:val="24"/>
          <w:szCs w:val="24"/>
        </w:rPr>
        <w:t xml:space="preserve"> disputes ha</w:t>
      </w:r>
      <w:r w:rsidR="00F473E9">
        <w:rPr>
          <w:rFonts w:ascii="Arial" w:hAnsi="Arial" w:cs="Arial"/>
          <w:sz w:val="24"/>
          <w:szCs w:val="24"/>
        </w:rPr>
        <w:t>ve</w:t>
      </w:r>
      <w:r w:rsidR="005E74A0">
        <w:rPr>
          <w:rFonts w:ascii="Arial" w:hAnsi="Arial" w:cs="Arial"/>
          <w:sz w:val="24"/>
          <w:szCs w:val="24"/>
        </w:rPr>
        <w:t xml:space="preserve"> arisen.</w:t>
      </w:r>
      <w:r w:rsidR="00CC684B">
        <w:rPr>
          <w:rFonts w:ascii="Arial" w:hAnsi="Arial" w:cs="Arial"/>
          <w:sz w:val="24"/>
          <w:szCs w:val="24"/>
        </w:rPr>
        <w:t xml:space="preserve"> On a consideration of the nature and contents of the compromise and the earlier agreement, </w:t>
      </w:r>
      <w:r w:rsidR="00E61154">
        <w:rPr>
          <w:rFonts w:ascii="Arial" w:hAnsi="Arial" w:cs="Arial"/>
          <w:sz w:val="24"/>
          <w:szCs w:val="24"/>
        </w:rPr>
        <w:t>Melunsky AJA</w:t>
      </w:r>
      <w:r w:rsidR="00CC684B">
        <w:rPr>
          <w:rFonts w:ascii="Arial" w:hAnsi="Arial" w:cs="Arial"/>
          <w:sz w:val="24"/>
          <w:szCs w:val="24"/>
        </w:rPr>
        <w:t xml:space="preserve"> concluded</w:t>
      </w:r>
      <w:r w:rsidR="00E61154">
        <w:rPr>
          <w:rStyle w:val="FootnoteReference"/>
          <w:rFonts w:ascii="Arial" w:hAnsi="Arial" w:cs="Arial"/>
          <w:sz w:val="24"/>
          <w:szCs w:val="24"/>
        </w:rPr>
        <w:footnoteReference w:id="47"/>
      </w:r>
      <w:r w:rsidR="00CC684B">
        <w:rPr>
          <w:rFonts w:ascii="Arial" w:hAnsi="Arial" w:cs="Arial"/>
          <w:sz w:val="24"/>
          <w:szCs w:val="24"/>
        </w:rPr>
        <w:t xml:space="preserve"> that the compromise had not altered or changed the essential nature of the underlying claim</w:t>
      </w:r>
      <w:r w:rsidR="00E61154">
        <w:rPr>
          <w:rFonts w:ascii="Arial" w:hAnsi="Arial" w:cs="Arial"/>
          <w:sz w:val="24"/>
          <w:szCs w:val="24"/>
        </w:rPr>
        <w:t>,</w:t>
      </w:r>
      <w:r w:rsidR="00CC684B">
        <w:rPr>
          <w:rFonts w:ascii="Arial" w:hAnsi="Arial" w:cs="Arial"/>
          <w:sz w:val="24"/>
          <w:szCs w:val="24"/>
        </w:rPr>
        <w:t xml:space="preserve"> which pertained to the purchase price of the business. The compromise only differed in relation to the amount which was payable and the method of payment. Consequently, the proceedings which the respondent had instituted prior to the transfer of the business were</w:t>
      </w:r>
      <w:r w:rsidR="00F473E9">
        <w:rPr>
          <w:rFonts w:ascii="Arial" w:hAnsi="Arial" w:cs="Arial"/>
          <w:sz w:val="24"/>
          <w:szCs w:val="24"/>
        </w:rPr>
        <w:t xml:space="preserve"> </w:t>
      </w:r>
      <w:r w:rsidR="00CC684B">
        <w:rPr>
          <w:rFonts w:ascii="Arial" w:hAnsi="Arial" w:cs="Arial"/>
          <w:sz w:val="24"/>
          <w:szCs w:val="24"/>
        </w:rPr>
        <w:t xml:space="preserve">sufficiently closely connected to its claim under the settlement agreement, such </w:t>
      </w:r>
      <w:r w:rsidR="00E61154">
        <w:rPr>
          <w:rFonts w:ascii="Arial" w:hAnsi="Arial" w:cs="Arial"/>
          <w:sz w:val="24"/>
          <w:szCs w:val="24"/>
        </w:rPr>
        <w:t xml:space="preserve">that </w:t>
      </w:r>
      <w:r w:rsidR="00CC684B">
        <w:rPr>
          <w:rFonts w:ascii="Arial" w:hAnsi="Arial" w:cs="Arial"/>
          <w:sz w:val="24"/>
          <w:szCs w:val="24"/>
        </w:rPr>
        <w:t xml:space="preserve">the transfer was </w:t>
      </w:r>
      <w:r w:rsidR="00E61154">
        <w:rPr>
          <w:rFonts w:ascii="Arial" w:hAnsi="Arial" w:cs="Arial"/>
          <w:sz w:val="24"/>
          <w:szCs w:val="24"/>
        </w:rPr>
        <w:t>held</w:t>
      </w:r>
      <w:r w:rsidR="00CC684B">
        <w:rPr>
          <w:rFonts w:ascii="Arial" w:hAnsi="Arial" w:cs="Arial"/>
          <w:sz w:val="24"/>
          <w:szCs w:val="24"/>
        </w:rPr>
        <w:t xml:space="preserve"> t</w:t>
      </w:r>
      <w:r w:rsidR="00E61154">
        <w:rPr>
          <w:rFonts w:ascii="Arial" w:hAnsi="Arial" w:cs="Arial"/>
          <w:sz w:val="24"/>
          <w:szCs w:val="24"/>
        </w:rPr>
        <w:t>o</w:t>
      </w:r>
      <w:r w:rsidR="00CC684B">
        <w:rPr>
          <w:rFonts w:ascii="Arial" w:hAnsi="Arial" w:cs="Arial"/>
          <w:sz w:val="24"/>
          <w:szCs w:val="24"/>
        </w:rPr>
        <w:t xml:space="preserve"> be void in terms of a provision in the Insolvency Act</w:t>
      </w:r>
      <w:r w:rsidR="00E61154">
        <w:rPr>
          <w:rFonts w:ascii="Arial" w:hAnsi="Arial" w:cs="Arial"/>
          <w:sz w:val="24"/>
          <w:szCs w:val="24"/>
        </w:rPr>
        <w:t>.</w:t>
      </w:r>
      <w:r w:rsidR="00E61154">
        <w:rPr>
          <w:rStyle w:val="FootnoteReference"/>
          <w:rFonts w:ascii="Arial" w:hAnsi="Arial" w:cs="Arial"/>
          <w:sz w:val="24"/>
          <w:szCs w:val="24"/>
        </w:rPr>
        <w:footnoteReference w:id="48"/>
      </w:r>
      <w:r w:rsidR="00E61154">
        <w:rPr>
          <w:rFonts w:ascii="Arial" w:hAnsi="Arial" w:cs="Arial"/>
          <w:sz w:val="24"/>
          <w:szCs w:val="24"/>
        </w:rPr>
        <w:t xml:space="preserve"> </w:t>
      </w:r>
    </w:p>
    <w:p w14:paraId="7355E1DA" w14:textId="28725D62" w:rsidR="00BB0BCD"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62.</w:t>
      </w:r>
      <w:r>
        <w:rPr>
          <w:rFonts w:ascii="Arial" w:hAnsi="Arial" w:cs="Arial"/>
          <w:sz w:val="24"/>
          <w:szCs w:val="24"/>
        </w:rPr>
        <w:tab/>
      </w:r>
      <w:r w:rsidR="00E61154">
        <w:rPr>
          <w:rFonts w:ascii="Arial" w:hAnsi="Arial" w:cs="Arial"/>
          <w:sz w:val="24"/>
          <w:szCs w:val="24"/>
        </w:rPr>
        <w:t xml:space="preserve">I was unable to find any reference in </w:t>
      </w:r>
      <w:r w:rsidR="0014759E">
        <w:rPr>
          <w:rFonts w:ascii="Arial" w:hAnsi="Arial" w:cs="Arial"/>
          <w:sz w:val="24"/>
          <w:szCs w:val="24"/>
        </w:rPr>
        <w:t xml:space="preserve">any of </w:t>
      </w:r>
      <w:r w:rsidR="00E61154">
        <w:rPr>
          <w:rFonts w:ascii="Arial" w:hAnsi="Arial" w:cs="Arial"/>
          <w:sz w:val="24"/>
          <w:szCs w:val="24"/>
        </w:rPr>
        <w:t xml:space="preserve">the </w:t>
      </w:r>
      <w:r w:rsidR="0014759E">
        <w:rPr>
          <w:rFonts w:ascii="Arial" w:hAnsi="Arial" w:cs="Arial"/>
          <w:sz w:val="24"/>
          <w:szCs w:val="24"/>
        </w:rPr>
        <w:t xml:space="preserve">three, </w:t>
      </w:r>
      <w:r w:rsidR="006702A0">
        <w:rPr>
          <w:rFonts w:ascii="Arial" w:hAnsi="Arial" w:cs="Arial"/>
          <w:sz w:val="24"/>
          <w:szCs w:val="24"/>
        </w:rPr>
        <w:t>separate judgments</w:t>
      </w:r>
      <w:r w:rsidR="00E61154">
        <w:rPr>
          <w:rFonts w:ascii="Arial" w:hAnsi="Arial" w:cs="Arial"/>
          <w:sz w:val="24"/>
          <w:szCs w:val="24"/>
        </w:rPr>
        <w:t xml:space="preserve"> which were handed down in </w:t>
      </w:r>
      <w:r w:rsidR="0014759E">
        <w:rPr>
          <w:rFonts w:ascii="Arial" w:hAnsi="Arial" w:cs="Arial"/>
          <w:i/>
          <w:iCs/>
          <w:sz w:val="24"/>
          <w:szCs w:val="24"/>
        </w:rPr>
        <w:t>Weltmans</w:t>
      </w:r>
      <w:r w:rsidR="00E61154">
        <w:rPr>
          <w:rFonts w:ascii="Arial" w:hAnsi="Arial" w:cs="Arial"/>
          <w:sz w:val="24"/>
          <w:szCs w:val="24"/>
        </w:rPr>
        <w:t xml:space="preserve">, to the </w:t>
      </w:r>
      <w:r w:rsidR="004F1B8E" w:rsidRPr="00BB7BAE">
        <w:rPr>
          <w:rFonts w:ascii="Arial" w:hAnsi="Arial" w:cs="Arial"/>
          <w:i/>
          <w:iCs/>
          <w:sz w:val="24"/>
          <w:szCs w:val="24"/>
        </w:rPr>
        <w:t>obiter</w:t>
      </w:r>
      <w:r w:rsidR="004F1B8E">
        <w:rPr>
          <w:rFonts w:ascii="Arial" w:hAnsi="Arial" w:cs="Arial"/>
          <w:sz w:val="24"/>
          <w:szCs w:val="24"/>
        </w:rPr>
        <w:t xml:space="preserve"> remark</w:t>
      </w:r>
      <w:r w:rsidR="00E61154">
        <w:rPr>
          <w:rFonts w:ascii="Arial" w:hAnsi="Arial" w:cs="Arial"/>
          <w:sz w:val="24"/>
          <w:szCs w:val="24"/>
        </w:rPr>
        <w:t xml:space="preserve"> by Coppin J in</w:t>
      </w:r>
      <w:r w:rsidR="00CC684B">
        <w:rPr>
          <w:rFonts w:ascii="Arial" w:hAnsi="Arial" w:cs="Arial"/>
          <w:sz w:val="24"/>
          <w:szCs w:val="24"/>
        </w:rPr>
        <w:t xml:space="preserve"> </w:t>
      </w:r>
      <w:r w:rsidR="00BB7BAE" w:rsidRPr="00BB7BAE">
        <w:rPr>
          <w:rFonts w:ascii="Arial" w:hAnsi="Arial" w:cs="Arial"/>
          <w:i/>
          <w:iCs/>
          <w:sz w:val="24"/>
          <w:szCs w:val="24"/>
        </w:rPr>
        <w:t xml:space="preserve">Benefeld </w:t>
      </w:r>
      <w:r w:rsidR="00BB7BAE">
        <w:rPr>
          <w:rFonts w:ascii="Arial" w:hAnsi="Arial" w:cs="Arial"/>
          <w:sz w:val="24"/>
          <w:szCs w:val="24"/>
        </w:rPr>
        <w:t xml:space="preserve">that a compromise or </w:t>
      </w:r>
      <w:r w:rsidR="00BB7BAE" w:rsidRPr="00BB7BAE">
        <w:rPr>
          <w:rFonts w:ascii="Arial" w:hAnsi="Arial" w:cs="Arial"/>
          <w:i/>
          <w:iCs/>
          <w:sz w:val="24"/>
          <w:szCs w:val="24"/>
        </w:rPr>
        <w:t>transactio</w:t>
      </w:r>
      <w:r w:rsidR="00BB7BAE">
        <w:rPr>
          <w:rFonts w:ascii="Arial" w:hAnsi="Arial" w:cs="Arial"/>
          <w:sz w:val="24"/>
          <w:szCs w:val="24"/>
        </w:rPr>
        <w:t>, as it is also known, is not affected by the invalidity of the original obligation from which it arises, and from my reading thereof none of the</w:t>
      </w:r>
      <w:r w:rsidR="00CB43FE">
        <w:rPr>
          <w:rFonts w:ascii="Arial" w:hAnsi="Arial" w:cs="Arial"/>
          <w:sz w:val="24"/>
          <w:szCs w:val="24"/>
        </w:rPr>
        <w:t>m</w:t>
      </w:r>
      <w:r w:rsidR="00BB7BAE">
        <w:rPr>
          <w:rFonts w:ascii="Arial" w:hAnsi="Arial" w:cs="Arial"/>
          <w:sz w:val="24"/>
          <w:szCs w:val="24"/>
        </w:rPr>
        <w:t xml:space="preserve"> dealt with this aspect. If anything, it seems to me that the </w:t>
      </w:r>
      <w:r w:rsidR="00CB43FE">
        <w:rPr>
          <w:rFonts w:ascii="Arial" w:hAnsi="Arial" w:cs="Arial"/>
          <w:sz w:val="24"/>
          <w:szCs w:val="24"/>
        </w:rPr>
        <w:t>approach</w:t>
      </w:r>
      <w:r w:rsidR="00BB7BAE">
        <w:rPr>
          <w:rFonts w:ascii="Arial" w:hAnsi="Arial" w:cs="Arial"/>
          <w:sz w:val="24"/>
          <w:szCs w:val="24"/>
        </w:rPr>
        <w:t xml:space="preserve"> of Melunsky </w:t>
      </w:r>
      <w:r w:rsidR="0024317B">
        <w:rPr>
          <w:rFonts w:ascii="Arial" w:hAnsi="Arial" w:cs="Arial"/>
          <w:sz w:val="24"/>
          <w:szCs w:val="24"/>
        </w:rPr>
        <w:t>A</w:t>
      </w:r>
      <w:r w:rsidR="00BB7BAE">
        <w:rPr>
          <w:rFonts w:ascii="Arial" w:hAnsi="Arial" w:cs="Arial"/>
          <w:sz w:val="24"/>
          <w:szCs w:val="24"/>
        </w:rPr>
        <w:t>JA</w:t>
      </w:r>
      <w:r w:rsidR="00CB43FE">
        <w:rPr>
          <w:rStyle w:val="FootnoteReference"/>
          <w:rFonts w:ascii="Arial" w:hAnsi="Arial" w:cs="Arial"/>
          <w:sz w:val="24"/>
          <w:szCs w:val="24"/>
        </w:rPr>
        <w:footnoteReference w:id="49"/>
      </w:r>
      <w:r w:rsidR="004F1B8E">
        <w:rPr>
          <w:rFonts w:ascii="Arial" w:hAnsi="Arial" w:cs="Arial"/>
          <w:sz w:val="24"/>
          <w:szCs w:val="24"/>
        </w:rPr>
        <w:t xml:space="preserve"> </w:t>
      </w:r>
      <w:r w:rsidR="00BB7BAE">
        <w:rPr>
          <w:rFonts w:ascii="Arial" w:hAnsi="Arial" w:cs="Arial"/>
          <w:sz w:val="24"/>
          <w:szCs w:val="24"/>
        </w:rPr>
        <w:t xml:space="preserve">of considering the true nature of the compromise in order to determine whether it constituted a separate, new agreement with fresh obligations, </w:t>
      </w:r>
      <w:r w:rsidR="00BB7BAE">
        <w:rPr>
          <w:rFonts w:ascii="Arial" w:hAnsi="Arial" w:cs="Arial"/>
          <w:sz w:val="24"/>
          <w:szCs w:val="24"/>
        </w:rPr>
        <w:lastRenderedPageBreak/>
        <w:t xml:space="preserve">or whether it was one which merely gave effect to an existing, prior </w:t>
      </w:r>
      <w:r w:rsidR="00BB7BAE" w:rsidRPr="004F1B8E">
        <w:rPr>
          <w:rFonts w:ascii="Arial" w:hAnsi="Arial" w:cs="Arial"/>
          <w:i/>
          <w:iCs/>
          <w:sz w:val="24"/>
          <w:szCs w:val="24"/>
        </w:rPr>
        <w:t>causa</w:t>
      </w:r>
      <w:r w:rsidR="004F1B8E">
        <w:rPr>
          <w:rFonts w:ascii="Arial" w:hAnsi="Arial" w:cs="Arial"/>
          <w:sz w:val="24"/>
          <w:szCs w:val="24"/>
        </w:rPr>
        <w:t>, is one which goes against the proposition that a compromise stands on its own and is never affected by any prior agreement which led to it</w:t>
      </w:r>
      <w:r w:rsidR="00BB0BCD">
        <w:rPr>
          <w:rFonts w:ascii="Arial" w:hAnsi="Arial" w:cs="Arial"/>
          <w:sz w:val="24"/>
          <w:szCs w:val="24"/>
        </w:rPr>
        <w:t xml:space="preserve"> being concluded</w:t>
      </w:r>
      <w:r w:rsidR="004F1B8E">
        <w:rPr>
          <w:rFonts w:ascii="Arial" w:hAnsi="Arial" w:cs="Arial"/>
          <w:sz w:val="24"/>
          <w:szCs w:val="24"/>
        </w:rPr>
        <w:t>.</w:t>
      </w:r>
    </w:p>
    <w:p w14:paraId="63962CF1" w14:textId="6D8BD4DF" w:rsidR="00276DFA"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63.</w:t>
      </w:r>
      <w:r>
        <w:rPr>
          <w:rFonts w:ascii="Arial" w:hAnsi="Arial" w:cs="Arial"/>
          <w:sz w:val="24"/>
          <w:szCs w:val="24"/>
        </w:rPr>
        <w:tab/>
      </w:r>
      <w:r w:rsidR="003E4836">
        <w:rPr>
          <w:rFonts w:ascii="Arial" w:hAnsi="Arial" w:cs="Arial"/>
          <w:sz w:val="24"/>
          <w:szCs w:val="24"/>
        </w:rPr>
        <w:t xml:space="preserve">In addition, </w:t>
      </w:r>
      <w:r w:rsidR="00CB60BE">
        <w:rPr>
          <w:rFonts w:ascii="Arial" w:hAnsi="Arial" w:cs="Arial"/>
          <w:sz w:val="24"/>
          <w:szCs w:val="24"/>
        </w:rPr>
        <w:t xml:space="preserve">it </w:t>
      </w:r>
      <w:r w:rsidR="00E24F02">
        <w:rPr>
          <w:rFonts w:ascii="Arial" w:hAnsi="Arial" w:cs="Arial"/>
          <w:sz w:val="24"/>
          <w:szCs w:val="24"/>
        </w:rPr>
        <w:t>must</w:t>
      </w:r>
      <w:r w:rsidR="00CB60BE">
        <w:rPr>
          <w:rFonts w:ascii="Arial" w:hAnsi="Arial" w:cs="Arial"/>
          <w:sz w:val="24"/>
          <w:szCs w:val="24"/>
        </w:rPr>
        <w:t xml:space="preserve"> be pointed out that Coppin J’s</w:t>
      </w:r>
      <w:r w:rsidR="003E4836">
        <w:rPr>
          <w:rFonts w:ascii="Arial" w:hAnsi="Arial" w:cs="Arial"/>
          <w:sz w:val="24"/>
          <w:szCs w:val="24"/>
        </w:rPr>
        <w:t xml:space="preserve"> remarks </w:t>
      </w:r>
      <w:r w:rsidR="00CB60BE">
        <w:rPr>
          <w:rFonts w:ascii="Arial" w:hAnsi="Arial" w:cs="Arial"/>
          <w:sz w:val="24"/>
          <w:szCs w:val="24"/>
        </w:rPr>
        <w:t xml:space="preserve">in </w:t>
      </w:r>
      <w:r w:rsidR="00CB60BE" w:rsidRPr="003E4836">
        <w:rPr>
          <w:rFonts w:ascii="Arial" w:hAnsi="Arial" w:cs="Arial"/>
          <w:i/>
          <w:iCs/>
          <w:sz w:val="24"/>
          <w:szCs w:val="24"/>
        </w:rPr>
        <w:t>Benefeld</w:t>
      </w:r>
      <w:r w:rsidR="00CB60BE">
        <w:rPr>
          <w:rFonts w:ascii="Arial" w:hAnsi="Arial" w:cs="Arial"/>
          <w:i/>
          <w:iCs/>
          <w:sz w:val="24"/>
          <w:szCs w:val="24"/>
        </w:rPr>
        <w:t>,</w:t>
      </w:r>
      <w:r w:rsidR="00CB60BE" w:rsidRPr="00CB60BE">
        <w:rPr>
          <w:rStyle w:val="FootnoteReference"/>
          <w:rFonts w:ascii="Arial" w:hAnsi="Arial" w:cs="Arial"/>
          <w:sz w:val="24"/>
          <w:szCs w:val="24"/>
        </w:rPr>
        <w:footnoteReference w:id="50"/>
      </w:r>
      <w:r w:rsidR="00CB60BE">
        <w:rPr>
          <w:rFonts w:ascii="Arial" w:hAnsi="Arial" w:cs="Arial"/>
          <w:sz w:val="24"/>
          <w:szCs w:val="24"/>
        </w:rPr>
        <w:t xml:space="preserve"> particularly those he made in relation to a compromise which ar</w:t>
      </w:r>
      <w:r w:rsidR="004C47E9">
        <w:rPr>
          <w:rFonts w:ascii="Arial" w:hAnsi="Arial" w:cs="Arial"/>
          <w:sz w:val="24"/>
          <w:szCs w:val="24"/>
        </w:rPr>
        <w:t>i</w:t>
      </w:r>
      <w:r w:rsidR="00CB60BE">
        <w:rPr>
          <w:rFonts w:ascii="Arial" w:hAnsi="Arial" w:cs="Arial"/>
          <w:sz w:val="24"/>
          <w:szCs w:val="24"/>
        </w:rPr>
        <w:t>se</w:t>
      </w:r>
      <w:r w:rsidR="004C47E9">
        <w:rPr>
          <w:rFonts w:ascii="Arial" w:hAnsi="Arial" w:cs="Arial"/>
          <w:sz w:val="24"/>
          <w:szCs w:val="24"/>
        </w:rPr>
        <w:t>s</w:t>
      </w:r>
      <w:r w:rsidR="00CB60BE">
        <w:rPr>
          <w:rFonts w:ascii="Arial" w:hAnsi="Arial" w:cs="Arial"/>
          <w:sz w:val="24"/>
          <w:szCs w:val="24"/>
        </w:rPr>
        <w:t xml:space="preserve"> out of a prior agreement or obligation which was illegal, as opposed to one which was invalid, were qualified. Thus, he pointed out that the enforcement of a compromise may be met by a defence that </w:t>
      </w:r>
      <w:r w:rsidR="00AB0306">
        <w:rPr>
          <w:rFonts w:ascii="Arial" w:hAnsi="Arial" w:cs="Arial"/>
          <w:sz w:val="24"/>
          <w:szCs w:val="24"/>
        </w:rPr>
        <w:t xml:space="preserve">it is illegal, or that </w:t>
      </w:r>
      <w:r w:rsidR="00CB60BE">
        <w:rPr>
          <w:rFonts w:ascii="Arial" w:hAnsi="Arial" w:cs="Arial"/>
          <w:sz w:val="24"/>
          <w:szCs w:val="24"/>
        </w:rPr>
        <w:t>its terms</w:t>
      </w:r>
      <w:r w:rsidR="00AB0306">
        <w:rPr>
          <w:rFonts w:ascii="Arial" w:hAnsi="Arial" w:cs="Arial"/>
          <w:sz w:val="24"/>
          <w:szCs w:val="24"/>
        </w:rPr>
        <w:t xml:space="preserve"> are </w:t>
      </w:r>
      <w:r w:rsidR="00AB0306" w:rsidRPr="00AB0306">
        <w:rPr>
          <w:rFonts w:ascii="Arial" w:hAnsi="Arial" w:cs="Arial"/>
          <w:i/>
          <w:iCs/>
          <w:sz w:val="24"/>
          <w:szCs w:val="24"/>
        </w:rPr>
        <w:t>contra bonos mores</w:t>
      </w:r>
      <w:r w:rsidR="00AB0306">
        <w:rPr>
          <w:rFonts w:ascii="Arial" w:hAnsi="Arial" w:cs="Arial"/>
          <w:sz w:val="24"/>
          <w:szCs w:val="24"/>
        </w:rPr>
        <w:t xml:space="preserve">. As he put it, a compromise is not illegal ‘merely because the cause’ (sic) which gave rise to it was illegal or </w:t>
      </w:r>
      <w:r w:rsidR="00AB0306" w:rsidRPr="00AB0306">
        <w:rPr>
          <w:rFonts w:ascii="Arial" w:hAnsi="Arial" w:cs="Arial"/>
          <w:i/>
          <w:iCs/>
          <w:sz w:val="24"/>
          <w:szCs w:val="24"/>
        </w:rPr>
        <w:t>contra bonos mores</w:t>
      </w:r>
      <w:r w:rsidR="00AB0306">
        <w:rPr>
          <w:rFonts w:ascii="Arial" w:hAnsi="Arial" w:cs="Arial"/>
          <w:sz w:val="24"/>
          <w:szCs w:val="24"/>
        </w:rPr>
        <w:t xml:space="preserve">. Thus, the learned judge recognized that in certain instances the illegality of a prior agreement or obligation on which a compromise is based, may </w:t>
      </w:r>
      <w:r w:rsidR="004C47E9">
        <w:rPr>
          <w:rFonts w:ascii="Arial" w:hAnsi="Arial" w:cs="Arial"/>
          <w:sz w:val="24"/>
          <w:szCs w:val="24"/>
        </w:rPr>
        <w:t xml:space="preserve">well </w:t>
      </w:r>
      <w:r w:rsidR="00AB0306">
        <w:rPr>
          <w:rFonts w:ascii="Arial" w:hAnsi="Arial" w:cs="Arial"/>
          <w:sz w:val="24"/>
          <w:szCs w:val="24"/>
        </w:rPr>
        <w:t>render it unenforceable.</w:t>
      </w:r>
    </w:p>
    <w:p w14:paraId="5D676B6F" w14:textId="68039C30" w:rsidR="004C47E9"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64.</w:t>
      </w:r>
      <w:r>
        <w:rPr>
          <w:rFonts w:ascii="Arial" w:hAnsi="Arial" w:cs="Arial"/>
          <w:sz w:val="24"/>
          <w:szCs w:val="24"/>
        </w:rPr>
        <w:tab/>
      </w:r>
      <w:r w:rsidR="00F00013">
        <w:rPr>
          <w:rFonts w:ascii="Arial" w:hAnsi="Arial" w:cs="Arial"/>
          <w:sz w:val="24"/>
          <w:szCs w:val="24"/>
        </w:rPr>
        <w:t xml:space="preserve">Whatever the earlier position may have been in terms of our common law, the general proposition that a compromise is not affected by the invalidity of an earlier </w:t>
      </w:r>
      <w:r w:rsidR="00756487" w:rsidRPr="00F473E9">
        <w:rPr>
          <w:rFonts w:ascii="Arial" w:hAnsi="Arial" w:cs="Arial"/>
          <w:i/>
          <w:iCs/>
          <w:sz w:val="24"/>
          <w:szCs w:val="24"/>
        </w:rPr>
        <w:t>causa</w:t>
      </w:r>
      <w:r w:rsidR="00F00013">
        <w:rPr>
          <w:rFonts w:ascii="Arial" w:hAnsi="Arial" w:cs="Arial"/>
          <w:sz w:val="24"/>
          <w:szCs w:val="24"/>
        </w:rPr>
        <w:t xml:space="preserve"> because it is a self</w:t>
      </w:r>
      <w:r w:rsidR="00DD486C">
        <w:rPr>
          <w:rFonts w:ascii="Arial" w:hAnsi="Arial" w:cs="Arial"/>
          <w:sz w:val="24"/>
          <w:szCs w:val="24"/>
        </w:rPr>
        <w:t>-</w:t>
      </w:r>
      <w:r w:rsidR="00F00013">
        <w:rPr>
          <w:rFonts w:ascii="Arial" w:hAnsi="Arial" w:cs="Arial"/>
          <w:sz w:val="24"/>
          <w:szCs w:val="24"/>
        </w:rPr>
        <w:t xml:space="preserve">standing agreement, as stated in </w:t>
      </w:r>
      <w:r w:rsidR="00F00013" w:rsidRPr="00F00013">
        <w:rPr>
          <w:rFonts w:ascii="Arial" w:hAnsi="Arial" w:cs="Arial"/>
          <w:i/>
          <w:iCs/>
          <w:sz w:val="24"/>
          <w:szCs w:val="24"/>
        </w:rPr>
        <w:t>Benefeld</w:t>
      </w:r>
      <w:r w:rsidR="00F00013">
        <w:rPr>
          <w:rFonts w:ascii="Arial" w:hAnsi="Arial" w:cs="Arial"/>
          <w:i/>
          <w:iCs/>
          <w:sz w:val="24"/>
          <w:szCs w:val="24"/>
        </w:rPr>
        <w:t>,</w:t>
      </w:r>
      <w:r w:rsidR="00F00013">
        <w:rPr>
          <w:rFonts w:ascii="Arial" w:hAnsi="Arial" w:cs="Arial"/>
          <w:sz w:val="24"/>
          <w:szCs w:val="24"/>
        </w:rPr>
        <w:t xml:space="preserve"> does not reflect the current state of our law, since the decision of the Constitutional Court in </w:t>
      </w:r>
      <w:r w:rsidR="00F00013" w:rsidRPr="00045A5B">
        <w:rPr>
          <w:rFonts w:ascii="Arial" w:hAnsi="Arial" w:cs="Arial"/>
          <w:i/>
          <w:iCs/>
          <w:sz w:val="24"/>
          <w:szCs w:val="24"/>
        </w:rPr>
        <w:t>Sh</w:t>
      </w:r>
      <w:r w:rsidR="00045A5B" w:rsidRPr="00045A5B">
        <w:rPr>
          <w:rFonts w:ascii="Arial" w:hAnsi="Arial" w:cs="Arial"/>
          <w:i/>
          <w:iCs/>
          <w:sz w:val="24"/>
          <w:szCs w:val="24"/>
        </w:rPr>
        <w:t>a</w:t>
      </w:r>
      <w:r w:rsidR="00F00013" w:rsidRPr="00045A5B">
        <w:rPr>
          <w:rFonts w:ascii="Arial" w:hAnsi="Arial" w:cs="Arial"/>
          <w:i/>
          <w:iCs/>
          <w:sz w:val="24"/>
          <w:szCs w:val="24"/>
        </w:rPr>
        <w:t>bangu</w:t>
      </w:r>
      <w:r w:rsidR="00F00013">
        <w:rPr>
          <w:rFonts w:ascii="Arial" w:hAnsi="Arial" w:cs="Arial"/>
          <w:sz w:val="24"/>
          <w:szCs w:val="24"/>
        </w:rPr>
        <w:t>.</w:t>
      </w:r>
      <w:r w:rsidR="00F00013">
        <w:rPr>
          <w:rStyle w:val="FootnoteReference"/>
          <w:rFonts w:ascii="Arial" w:hAnsi="Arial" w:cs="Arial"/>
          <w:sz w:val="24"/>
          <w:szCs w:val="24"/>
        </w:rPr>
        <w:footnoteReference w:id="51"/>
      </w:r>
      <w:r w:rsidR="00AB0306">
        <w:rPr>
          <w:rFonts w:ascii="Arial" w:hAnsi="Arial" w:cs="Arial"/>
          <w:sz w:val="24"/>
          <w:szCs w:val="24"/>
        </w:rPr>
        <w:t xml:space="preserve">  </w:t>
      </w:r>
    </w:p>
    <w:p w14:paraId="755D4558" w14:textId="13BA2AAB" w:rsidR="00045A5B"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65.</w:t>
      </w:r>
      <w:r>
        <w:rPr>
          <w:rFonts w:ascii="Arial" w:hAnsi="Arial" w:cs="Arial"/>
          <w:sz w:val="24"/>
          <w:szCs w:val="24"/>
        </w:rPr>
        <w:tab/>
      </w:r>
      <w:r w:rsidR="004C47E9">
        <w:rPr>
          <w:rFonts w:ascii="Arial" w:hAnsi="Arial" w:cs="Arial"/>
          <w:sz w:val="24"/>
          <w:szCs w:val="24"/>
        </w:rPr>
        <w:t>I</w:t>
      </w:r>
      <w:r w:rsidR="00045A5B">
        <w:rPr>
          <w:rFonts w:ascii="Arial" w:hAnsi="Arial" w:cs="Arial"/>
          <w:sz w:val="24"/>
          <w:szCs w:val="24"/>
        </w:rPr>
        <w:t xml:space="preserve">n that matter the </w:t>
      </w:r>
      <w:r w:rsidR="004C47E9">
        <w:rPr>
          <w:rFonts w:ascii="Arial" w:hAnsi="Arial" w:cs="Arial"/>
          <w:sz w:val="24"/>
          <w:szCs w:val="24"/>
        </w:rPr>
        <w:t>L</w:t>
      </w:r>
      <w:r w:rsidR="00045A5B">
        <w:rPr>
          <w:rFonts w:ascii="Arial" w:hAnsi="Arial" w:cs="Arial"/>
          <w:sz w:val="24"/>
          <w:szCs w:val="24"/>
        </w:rPr>
        <w:t xml:space="preserve">and </w:t>
      </w:r>
      <w:r w:rsidR="004C47E9">
        <w:rPr>
          <w:rFonts w:ascii="Arial" w:hAnsi="Arial" w:cs="Arial"/>
          <w:sz w:val="24"/>
          <w:szCs w:val="24"/>
        </w:rPr>
        <w:t>B</w:t>
      </w:r>
      <w:r w:rsidR="00045A5B">
        <w:rPr>
          <w:rFonts w:ascii="Arial" w:hAnsi="Arial" w:cs="Arial"/>
          <w:sz w:val="24"/>
          <w:szCs w:val="24"/>
        </w:rPr>
        <w:t xml:space="preserve">ank had made loans to </w:t>
      </w:r>
      <w:r w:rsidR="004C47E9">
        <w:rPr>
          <w:rFonts w:ascii="Arial" w:hAnsi="Arial" w:cs="Arial"/>
          <w:sz w:val="24"/>
          <w:szCs w:val="24"/>
        </w:rPr>
        <w:t xml:space="preserve">a </w:t>
      </w:r>
      <w:r w:rsidR="00756487">
        <w:rPr>
          <w:rFonts w:ascii="Arial" w:hAnsi="Arial" w:cs="Arial"/>
          <w:sz w:val="24"/>
          <w:szCs w:val="24"/>
        </w:rPr>
        <w:t xml:space="preserve">property </w:t>
      </w:r>
      <w:r w:rsidR="00045A5B">
        <w:rPr>
          <w:rFonts w:ascii="Arial" w:hAnsi="Arial" w:cs="Arial"/>
          <w:sz w:val="24"/>
          <w:szCs w:val="24"/>
        </w:rPr>
        <w:t xml:space="preserve">developer for the development of </w:t>
      </w:r>
      <w:r w:rsidR="004C47E9">
        <w:rPr>
          <w:rFonts w:ascii="Arial" w:hAnsi="Arial" w:cs="Arial"/>
          <w:sz w:val="24"/>
          <w:szCs w:val="24"/>
        </w:rPr>
        <w:t xml:space="preserve">immovable </w:t>
      </w:r>
      <w:r w:rsidR="00045A5B">
        <w:rPr>
          <w:rFonts w:ascii="Arial" w:hAnsi="Arial" w:cs="Arial"/>
          <w:sz w:val="24"/>
          <w:szCs w:val="24"/>
        </w:rPr>
        <w:t xml:space="preserve">property </w:t>
      </w:r>
      <w:r w:rsidR="004C47E9">
        <w:rPr>
          <w:rFonts w:ascii="Arial" w:hAnsi="Arial" w:cs="Arial"/>
          <w:sz w:val="24"/>
          <w:szCs w:val="24"/>
        </w:rPr>
        <w:t xml:space="preserve">which </w:t>
      </w:r>
      <w:r w:rsidR="00756487">
        <w:rPr>
          <w:rFonts w:ascii="Arial" w:hAnsi="Arial" w:cs="Arial"/>
          <w:sz w:val="24"/>
          <w:szCs w:val="24"/>
        </w:rPr>
        <w:t xml:space="preserve">was </w:t>
      </w:r>
      <w:r w:rsidR="00045A5B">
        <w:rPr>
          <w:rFonts w:ascii="Arial" w:hAnsi="Arial" w:cs="Arial"/>
          <w:sz w:val="24"/>
          <w:szCs w:val="24"/>
        </w:rPr>
        <w:t>situated in an urban area. In doing so it exceeded its statutory powers</w:t>
      </w:r>
      <w:r w:rsidR="004C47E9">
        <w:rPr>
          <w:rFonts w:ascii="Arial" w:hAnsi="Arial" w:cs="Arial"/>
          <w:sz w:val="24"/>
          <w:szCs w:val="24"/>
        </w:rPr>
        <w:t>,</w:t>
      </w:r>
      <w:r w:rsidR="00045A5B">
        <w:rPr>
          <w:rFonts w:ascii="Arial" w:hAnsi="Arial" w:cs="Arial"/>
          <w:sz w:val="24"/>
          <w:szCs w:val="24"/>
        </w:rPr>
        <w:t xml:space="preserve"> which were confined to promoting and facilitating the development of agricultural land.</w:t>
      </w:r>
    </w:p>
    <w:p w14:paraId="4B91AFF3" w14:textId="1E5DE8D6" w:rsidR="00045A5B"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66.</w:t>
      </w:r>
      <w:r>
        <w:rPr>
          <w:rFonts w:ascii="Arial" w:hAnsi="Arial" w:cs="Arial"/>
          <w:sz w:val="24"/>
          <w:szCs w:val="24"/>
        </w:rPr>
        <w:tab/>
      </w:r>
      <w:r w:rsidR="00045A5B">
        <w:rPr>
          <w:rFonts w:ascii="Arial" w:hAnsi="Arial" w:cs="Arial"/>
          <w:sz w:val="24"/>
          <w:szCs w:val="24"/>
        </w:rPr>
        <w:t xml:space="preserve">The </w:t>
      </w:r>
      <w:r w:rsidR="004C47E9">
        <w:rPr>
          <w:rFonts w:ascii="Arial" w:hAnsi="Arial" w:cs="Arial"/>
          <w:sz w:val="24"/>
          <w:szCs w:val="24"/>
        </w:rPr>
        <w:t>B</w:t>
      </w:r>
      <w:r w:rsidR="00045A5B">
        <w:rPr>
          <w:rFonts w:ascii="Arial" w:hAnsi="Arial" w:cs="Arial"/>
          <w:sz w:val="24"/>
          <w:szCs w:val="24"/>
        </w:rPr>
        <w:t>ank subsequently instituted action against the developer for repayment of some R 95 million</w:t>
      </w:r>
      <w:r w:rsidR="004C47E9">
        <w:rPr>
          <w:rFonts w:ascii="Arial" w:hAnsi="Arial" w:cs="Arial"/>
          <w:sz w:val="24"/>
          <w:szCs w:val="24"/>
        </w:rPr>
        <w:t>,</w:t>
      </w:r>
      <w:r w:rsidR="00045A5B">
        <w:rPr>
          <w:rFonts w:ascii="Arial" w:hAnsi="Arial" w:cs="Arial"/>
          <w:sz w:val="24"/>
          <w:szCs w:val="24"/>
        </w:rPr>
        <w:t xml:space="preserve"> being the amount allegedly owing in respect of the capital advanced and interest </w:t>
      </w:r>
      <w:r w:rsidR="004C47E9">
        <w:rPr>
          <w:rFonts w:ascii="Arial" w:hAnsi="Arial" w:cs="Arial"/>
          <w:sz w:val="24"/>
          <w:szCs w:val="24"/>
        </w:rPr>
        <w:t>and</w:t>
      </w:r>
      <w:r w:rsidR="00045A5B">
        <w:rPr>
          <w:rFonts w:ascii="Arial" w:hAnsi="Arial" w:cs="Arial"/>
          <w:sz w:val="24"/>
          <w:szCs w:val="24"/>
        </w:rPr>
        <w:t xml:space="preserve"> professional fees. The developer disputed that it was indebted in this amount. Despite this, </w:t>
      </w:r>
      <w:r w:rsidR="00A752EF">
        <w:rPr>
          <w:rFonts w:ascii="Arial" w:hAnsi="Arial" w:cs="Arial"/>
          <w:sz w:val="24"/>
          <w:szCs w:val="24"/>
        </w:rPr>
        <w:t>and notwithstanding that both parties had been advised that the loan agreement was invalid</w:t>
      </w:r>
      <w:r w:rsidR="004C47E9">
        <w:rPr>
          <w:rFonts w:ascii="Arial" w:hAnsi="Arial" w:cs="Arial"/>
          <w:sz w:val="24"/>
          <w:szCs w:val="24"/>
        </w:rPr>
        <w:t xml:space="preserve"> for wont of statutory compliance</w:t>
      </w:r>
      <w:r w:rsidR="00A752EF">
        <w:rPr>
          <w:rFonts w:ascii="Arial" w:hAnsi="Arial" w:cs="Arial"/>
          <w:sz w:val="24"/>
          <w:szCs w:val="24"/>
        </w:rPr>
        <w:t xml:space="preserve">, </w:t>
      </w:r>
      <w:r w:rsidR="00045A5B">
        <w:rPr>
          <w:rFonts w:ascii="Arial" w:hAnsi="Arial" w:cs="Arial"/>
          <w:sz w:val="24"/>
          <w:szCs w:val="24"/>
        </w:rPr>
        <w:t xml:space="preserve">its financial director signed an AOD in which </w:t>
      </w:r>
      <w:r w:rsidR="00A752EF">
        <w:rPr>
          <w:rFonts w:ascii="Arial" w:hAnsi="Arial" w:cs="Arial"/>
          <w:sz w:val="24"/>
          <w:szCs w:val="24"/>
        </w:rPr>
        <w:t>the Bank</w:t>
      </w:r>
      <w:r w:rsidR="00045A5B">
        <w:rPr>
          <w:rFonts w:ascii="Arial" w:hAnsi="Arial" w:cs="Arial"/>
          <w:sz w:val="24"/>
          <w:szCs w:val="24"/>
        </w:rPr>
        <w:t xml:space="preserve"> accepted liability to repay a lesser amount of R 82 million, in full and final settlement. The developer failed to repay the agreed amount and was subsequently liquidated. </w:t>
      </w:r>
      <w:r w:rsidR="00A752EF">
        <w:rPr>
          <w:rFonts w:ascii="Arial" w:hAnsi="Arial" w:cs="Arial"/>
          <w:sz w:val="24"/>
          <w:szCs w:val="24"/>
        </w:rPr>
        <w:t>T</w:t>
      </w:r>
      <w:r w:rsidR="00045A5B">
        <w:rPr>
          <w:rFonts w:ascii="Arial" w:hAnsi="Arial" w:cs="Arial"/>
          <w:sz w:val="24"/>
          <w:szCs w:val="24"/>
        </w:rPr>
        <w:t xml:space="preserve">he </w:t>
      </w:r>
      <w:r w:rsidR="00A752EF">
        <w:rPr>
          <w:rFonts w:ascii="Arial" w:hAnsi="Arial" w:cs="Arial"/>
          <w:sz w:val="24"/>
          <w:szCs w:val="24"/>
        </w:rPr>
        <w:t>B</w:t>
      </w:r>
      <w:r w:rsidR="00045A5B">
        <w:rPr>
          <w:rFonts w:ascii="Arial" w:hAnsi="Arial" w:cs="Arial"/>
          <w:sz w:val="24"/>
          <w:szCs w:val="24"/>
        </w:rPr>
        <w:t xml:space="preserve">ank sought to </w:t>
      </w:r>
      <w:r w:rsidR="00045A5B">
        <w:rPr>
          <w:rFonts w:ascii="Arial" w:hAnsi="Arial" w:cs="Arial"/>
          <w:sz w:val="24"/>
          <w:szCs w:val="24"/>
        </w:rPr>
        <w:lastRenderedPageBreak/>
        <w:t>recover its indebtedness in terms of the settlement agreement</w:t>
      </w:r>
      <w:r w:rsidR="00A752EF">
        <w:rPr>
          <w:rFonts w:ascii="Arial" w:hAnsi="Arial" w:cs="Arial"/>
          <w:sz w:val="24"/>
          <w:szCs w:val="24"/>
        </w:rPr>
        <w:t>,</w:t>
      </w:r>
      <w:r w:rsidR="00045A5B">
        <w:rPr>
          <w:rFonts w:ascii="Arial" w:hAnsi="Arial" w:cs="Arial"/>
          <w:sz w:val="24"/>
          <w:szCs w:val="24"/>
        </w:rPr>
        <w:t xml:space="preserve"> from the suret</w:t>
      </w:r>
      <w:r w:rsidR="00A752EF">
        <w:rPr>
          <w:rFonts w:ascii="Arial" w:hAnsi="Arial" w:cs="Arial"/>
          <w:sz w:val="24"/>
          <w:szCs w:val="24"/>
        </w:rPr>
        <w:t>ies</w:t>
      </w:r>
      <w:r w:rsidR="00045A5B">
        <w:rPr>
          <w:rFonts w:ascii="Arial" w:hAnsi="Arial" w:cs="Arial"/>
          <w:sz w:val="24"/>
          <w:szCs w:val="24"/>
        </w:rPr>
        <w:t xml:space="preserve">. It succeeded in the High Court on the basis that the fact that the original loan agreement may have been invalid (it appears it was not contended that the loan agreement </w:t>
      </w:r>
      <w:r w:rsidR="004C47E9">
        <w:rPr>
          <w:rFonts w:ascii="Arial" w:hAnsi="Arial" w:cs="Arial"/>
          <w:sz w:val="24"/>
          <w:szCs w:val="24"/>
        </w:rPr>
        <w:t>was</w:t>
      </w:r>
      <w:r w:rsidR="00045A5B">
        <w:rPr>
          <w:rFonts w:ascii="Arial" w:hAnsi="Arial" w:cs="Arial"/>
          <w:sz w:val="24"/>
          <w:szCs w:val="24"/>
        </w:rPr>
        <w:t xml:space="preserve"> illegal), did not necessarily mean that the ancillary agreements of suretyship were also</w:t>
      </w:r>
      <w:r w:rsidR="004C47E9">
        <w:rPr>
          <w:rFonts w:ascii="Arial" w:hAnsi="Arial" w:cs="Arial"/>
          <w:sz w:val="24"/>
          <w:szCs w:val="24"/>
        </w:rPr>
        <w:t xml:space="preserve"> so</w:t>
      </w:r>
      <w:r w:rsidR="00045A5B">
        <w:rPr>
          <w:rFonts w:ascii="Arial" w:hAnsi="Arial" w:cs="Arial"/>
          <w:sz w:val="24"/>
          <w:szCs w:val="24"/>
        </w:rPr>
        <w:t>.</w:t>
      </w:r>
      <w:r w:rsidR="004C47E9">
        <w:rPr>
          <w:rFonts w:ascii="Arial" w:hAnsi="Arial" w:cs="Arial"/>
          <w:sz w:val="24"/>
          <w:szCs w:val="24"/>
        </w:rPr>
        <w:t xml:space="preserve"> Leave to appeal to the SCA was refused. </w:t>
      </w:r>
    </w:p>
    <w:p w14:paraId="07403BF7" w14:textId="220113B6" w:rsidR="00A752EF"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67.</w:t>
      </w:r>
      <w:r>
        <w:rPr>
          <w:rFonts w:ascii="Arial" w:hAnsi="Arial" w:cs="Arial"/>
          <w:sz w:val="24"/>
          <w:szCs w:val="24"/>
        </w:rPr>
        <w:tab/>
      </w:r>
      <w:r w:rsidR="00045A5B">
        <w:rPr>
          <w:rFonts w:ascii="Arial" w:hAnsi="Arial" w:cs="Arial"/>
          <w:sz w:val="24"/>
          <w:szCs w:val="24"/>
        </w:rPr>
        <w:t xml:space="preserve">On appeal before the Constitutional Court </w:t>
      </w:r>
      <w:r w:rsidR="00A752EF">
        <w:rPr>
          <w:rFonts w:ascii="Arial" w:hAnsi="Arial" w:cs="Arial"/>
          <w:sz w:val="24"/>
          <w:szCs w:val="24"/>
        </w:rPr>
        <w:t>the B</w:t>
      </w:r>
      <w:r w:rsidR="00045A5B">
        <w:rPr>
          <w:rFonts w:ascii="Arial" w:hAnsi="Arial" w:cs="Arial"/>
          <w:sz w:val="24"/>
          <w:szCs w:val="24"/>
        </w:rPr>
        <w:t>ank contended that, inasmuch as the AOD was a compromise and not a</w:t>
      </w:r>
      <w:r w:rsidR="00A752EF">
        <w:rPr>
          <w:rFonts w:ascii="Arial" w:hAnsi="Arial" w:cs="Arial"/>
          <w:sz w:val="24"/>
          <w:szCs w:val="24"/>
        </w:rPr>
        <w:t xml:space="preserve"> </w:t>
      </w:r>
      <w:r w:rsidR="00045A5B">
        <w:rPr>
          <w:rFonts w:ascii="Arial" w:hAnsi="Arial" w:cs="Arial"/>
          <w:sz w:val="24"/>
          <w:szCs w:val="24"/>
        </w:rPr>
        <w:t xml:space="preserve">novation it was not tainted by the invalidity of the prior loan agreement. It sought to rely on the decision of the SCA in </w:t>
      </w:r>
      <w:r w:rsidR="00045A5B" w:rsidRPr="00045A5B">
        <w:rPr>
          <w:rFonts w:ascii="Arial" w:hAnsi="Arial" w:cs="Arial"/>
          <w:i/>
          <w:iCs/>
          <w:sz w:val="24"/>
          <w:szCs w:val="24"/>
        </w:rPr>
        <w:t>Panamo</w:t>
      </w:r>
      <w:r w:rsidR="004C47E9">
        <w:rPr>
          <w:rStyle w:val="FootnoteReference"/>
          <w:rFonts w:ascii="Arial" w:hAnsi="Arial" w:cs="Arial"/>
          <w:sz w:val="24"/>
          <w:szCs w:val="24"/>
        </w:rPr>
        <w:footnoteReference w:id="52"/>
      </w:r>
      <w:r w:rsidR="004C47E9">
        <w:rPr>
          <w:rFonts w:ascii="Arial" w:hAnsi="Arial" w:cs="Arial"/>
          <w:i/>
          <w:iCs/>
          <w:sz w:val="24"/>
          <w:szCs w:val="24"/>
        </w:rPr>
        <w:t xml:space="preserve"> </w:t>
      </w:r>
      <w:r w:rsidR="00045A5B">
        <w:rPr>
          <w:rFonts w:ascii="Arial" w:hAnsi="Arial" w:cs="Arial"/>
          <w:sz w:val="24"/>
          <w:szCs w:val="24"/>
        </w:rPr>
        <w:t>wh</w:t>
      </w:r>
      <w:r w:rsidR="00A752EF">
        <w:rPr>
          <w:rFonts w:ascii="Arial" w:hAnsi="Arial" w:cs="Arial"/>
          <w:sz w:val="24"/>
          <w:szCs w:val="24"/>
        </w:rPr>
        <w:t>ich</w:t>
      </w:r>
      <w:r w:rsidR="00045A5B">
        <w:rPr>
          <w:rFonts w:ascii="Arial" w:hAnsi="Arial" w:cs="Arial"/>
          <w:sz w:val="24"/>
          <w:szCs w:val="24"/>
        </w:rPr>
        <w:t xml:space="preserve"> held that the terms of a mortgage bond which ha</w:t>
      </w:r>
      <w:r w:rsidR="00A752EF">
        <w:rPr>
          <w:rFonts w:ascii="Arial" w:hAnsi="Arial" w:cs="Arial"/>
          <w:sz w:val="24"/>
          <w:szCs w:val="24"/>
        </w:rPr>
        <w:t>d</w:t>
      </w:r>
      <w:r w:rsidR="00045A5B">
        <w:rPr>
          <w:rFonts w:ascii="Arial" w:hAnsi="Arial" w:cs="Arial"/>
          <w:sz w:val="24"/>
          <w:szCs w:val="24"/>
        </w:rPr>
        <w:t xml:space="preserve"> been passed </w:t>
      </w:r>
      <w:r w:rsidR="003D0E32">
        <w:rPr>
          <w:rFonts w:ascii="Arial" w:hAnsi="Arial" w:cs="Arial"/>
          <w:sz w:val="24"/>
          <w:szCs w:val="24"/>
        </w:rPr>
        <w:t>as an a</w:t>
      </w:r>
      <w:r w:rsidR="00F473E9">
        <w:rPr>
          <w:rFonts w:ascii="Arial" w:hAnsi="Arial" w:cs="Arial"/>
          <w:sz w:val="24"/>
          <w:szCs w:val="24"/>
        </w:rPr>
        <w:t>ncillary</w:t>
      </w:r>
      <w:r w:rsidR="003D0E32">
        <w:rPr>
          <w:rFonts w:ascii="Arial" w:hAnsi="Arial" w:cs="Arial"/>
          <w:sz w:val="24"/>
          <w:szCs w:val="24"/>
        </w:rPr>
        <w:t xml:space="preserve"> agreement</w:t>
      </w:r>
      <w:r w:rsidR="00F473E9">
        <w:rPr>
          <w:rFonts w:ascii="Arial" w:hAnsi="Arial" w:cs="Arial"/>
          <w:sz w:val="24"/>
          <w:szCs w:val="24"/>
        </w:rPr>
        <w:t>,</w:t>
      </w:r>
      <w:r w:rsidR="003D0E32">
        <w:rPr>
          <w:rFonts w:ascii="Arial" w:hAnsi="Arial" w:cs="Arial"/>
          <w:sz w:val="24"/>
          <w:szCs w:val="24"/>
        </w:rPr>
        <w:t xml:space="preserve"> </w:t>
      </w:r>
      <w:r w:rsidR="00045A5B">
        <w:rPr>
          <w:rFonts w:ascii="Arial" w:hAnsi="Arial" w:cs="Arial"/>
          <w:sz w:val="24"/>
          <w:szCs w:val="24"/>
        </w:rPr>
        <w:t xml:space="preserve">to secure a loan agreement which </w:t>
      </w:r>
      <w:r w:rsidR="00A752EF">
        <w:rPr>
          <w:rFonts w:ascii="Arial" w:hAnsi="Arial" w:cs="Arial"/>
          <w:sz w:val="24"/>
          <w:szCs w:val="24"/>
        </w:rPr>
        <w:t xml:space="preserve">was </w:t>
      </w:r>
      <w:r w:rsidR="00045A5B">
        <w:rPr>
          <w:rFonts w:ascii="Arial" w:hAnsi="Arial" w:cs="Arial"/>
          <w:sz w:val="24"/>
          <w:szCs w:val="24"/>
        </w:rPr>
        <w:t>invalid for lac</w:t>
      </w:r>
      <w:r w:rsidR="00A752EF">
        <w:rPr>
          <w:rFonts w:ascii="Arial" w:hAnsi="Arial" w:cs="Arial"/>
          <w:sz w:val="24"/>
          <w:szCs w:val="24"/>
        </w:rPr>
        <w:t>k</w:t>
      </w:r>
      <w:r w:rsidR="00045A5B">
        <w:rPr>
          <w:rFonts w:ascii="Arial" w:hAnsi="Arial" w:cs="Arial"/>
          <w:sz w:val="24"/>
          <w:szCs w:val="24"/>
        </w:rPr>
        <w:t xml:space="preserve"> of compliance with the necessary formalities</w:t>
      </w:r>
      <w:r w:rsidR="00A752EF">
        <w:rPr>
          <w:rFonts w:ascii="Arial" w:hAnsi="Arial" w:cs="Arial"/>
          <w:sz w:val="24"/>
          <w:szCs w:val="24"/>
        </w:rPr>
        <w:t>,</w:t>
      </w:r>
      <w:r w:rsidR="00045A5B">
        <w:rPr>
          <w:rFonts w:ascii="Arial" w:hAnsi="Arial" w:cs="Arial"/>
          <w:sz w:val="24"/>
          <w:szCs w:val="24"/>
        </w:rPr>
        <w:t xml:space="preserve"> </w:t>
      </w:r>
      <w:r w:rsidR="00A752EF">
        <w:rPr>
          <w:rFonts w:ascii="Arial" w:hAnsi="Arial" w:cs="Arial"/>
          <w:sz w:val="24"/>
          <w:szCs w:val="24"/>
        </w:rPr>
        <w:t>we</w:t>
      </w:r>
      <w:r w:rsidR="00045A5B">
        <w:rPr>
          <w:rFonts w:ascii="Arial" w:hAnsi="Arial" w:cs="Arial"/>
          <w:sz w:val="24"/>
          <w:szCs w:val="24"/>
        </w:rPr>
        <w:t xml:space="preserve">re wide enough to provide for the accessory liability of </w:t>
      </w:r>
      <w:r w:rsidR="00A752EF">
        <w:rPr>
          <w:rFonts w:ascii="Arial" w:hAnsi="Arial" w:cs="Arial"/>
          <w:sz w:val="24"/>
          <w:szCs w:val="24"/>
        </w:rPr>
        <w:t xml:space="preserve">the </w:t>
      </w:r>
      <w:r w:rsidR="00045A5B">
        <w:rPr>
          <w:rFonts w:ascii="Arial" w:hAnsi="Arial" w:cs="Arial"/>
          <w:sz w:val="24"/>
          <w:szCs w:val="24"/>
        </w:rPr>
        <w:t>sureties</w:t>
      </w:r>
      <w:r w:rsidR="00756487">
        <w:rPr>
          <w:rFonts w:ascii="Arial" w:hAnsi="Arial" w:cs="Arial"/>
          <w:sz w:val="24"/>
          <w:szCs w:val="24"/>
        </w:rPr>
        <w:t>. But</w:t>
      </w:r>
      <w:r w:rsidR="003D0E32">
        <w:rPr>
          <w:rFonts w:ascii="Arial" w:hAnsi="Arial" w:cs="Arial"/>
          <w:sz w:val="24"/>
          <w:szCs w:val="24"/>
        </w:rPr>
        <w:t>, importantly,</w:t>
      </w:r>
      <w:r w:rsidR="00756487">
        <w:rPr>
          <w:rFonts w:ascii="Arial" w:hAnsi="Arial" w:cs="Arial"/>
          <w:sz w:val="24"/>
          <w:szCs w:val="24"/>
        </w:rPr>
        <w:t xml:space="preserve"> this was</w:t>
      </w:r>
      <w:r w:rsidR="00045A5B">
        <w:rPr>
          <w:rFonts w:ascii="Arial" w:hAnsi="Arial" w:cs="Arial"/>
          <w:sz w:val="24"/>
          <w:szCs w:val="24"/>
        </w:rPr>
        <w:t xml:space="preserve"> </w:t>
      </w:r>
      <w:r w:rsidR="00A752EF">
        <w:rPr>
          <w:rFonts w:ascii="Arial" w:hAnsi="Arial" w:cs="Arial"/>
          <w:sz w:val="24"/>
          <w:szCs w:val="24"/>
        </w:rPr>
        <w:t xml:space="preserve">on </w:t>
      </w:r>
      <w:r w:rsidR="00F473E9">
        <w:rPr>
          <w:rFonts w:ascii="Arial" w:hAnsi="Arial" w:cs="Arial"/>
          <w:sz w:val="24"/>
          <w:szCs w:val="24"/>
        </w:rPr>
        <w:t>the grounds that they were</w:t>
      </w:r>
      <w:r w:rsidR="00756487">
        <w:rPr>
          <w:rFonts w:ascii="Arial" w:hAnsi="Arial" w:cs="Arial"/>
          <w:sz w:val="24"/>
          <w:szCs w:val="24"/>
        </w:rPr>
        <w:t xml:space="preserve"> possibly liable on the</w:t>
      </w:r>
      <w:r w:rsidR="008C14B6">
        <w:rPr>
          <w:rFonts w:ascii="Arial" w:hAnsi="Arial" w:cs="Arial"/>
          <w:sz w:val="24"/>
          <w:szCs w:val="24"/>
        </w:rPr>
        <w:t xml:space="preserve"> basis of an enrichment action, not </w:t>
      </w:r>
      <w:r w:rsidR="003D0E32">
        <w:rPr>
          <w:rFonts w:ascii="Arial" w:hAnsi="Arial" w:cs="Arial"/>
          <w:sz w:val="24"/>
          <w:szCs w:val="24"/>
        </w:rPr>
        <w:t>an action</w:t>
      </w:r>
      <w:r w:rsidR="008C14B6">
        <w:rPr>
          <w:rFonts w:ascii="Arial" w:hAnsi="Arial" w:cs="Arial"/>
          <w:sz w:val="24"/>
          <w:szCs w:val="24"/>
        </w:rPr>
        <w:t xml:space="preserve"> based on the original loan contract.</w:t>
      </w:r>
    </w:p>
    <w:p w14:paraId="6D660F42" w14:textId="68AF23E6" w:rsidR="00A752EF"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68.</w:t>
      </w:r>
      <w:r>
        <w:rPr>
          <w:rFonts w:ascii="Arial" w:hAnsi="Arial" w:cs="Arial"/>
          <w:sz w:val="24"/>
          <w:szCs w:val="24"/>
        </w:rPr>
        <w:tab/>
      </w:r>
      <w:r w:rsidR="00A752EF">
        <w:rPr>
          <w:rFonts w:ascii="Arial" w:hAnsi="Arial" w:cs="Arial"/>
          <w:sz w:val="24"/>
          <w:szCs w:val="24"/>
        </w:rPr>
        <w:t xml:space="preserve">The CC held that inasmuch as </w:t>
      </w:r>
      <w:r w:rsidR="008C14B6">
        <w:rPr>
          <w:rFonts w:ascii="Arial" w:hAnsi="Arial" w:cs="Arial"/>
          <w:sz w:val="24"/>
          <w:szCs w:val="24"/>
        </w:rPr>
        <w:t xml:space="preserve">the </w:t>
      </w:r>
      <w:r w:rsidR="00A752EF">
        <w:rPr>
          <w:rFonts w:ascii="Arial" w:hAnsi="Arial" w:cs="Arial"/>
          <w:sz w:val="24"/>
          <w:szCs w:val="24"/>
        </w:rPr>
        <w:t xml:space="preserve">AOD constituted an offer in full and final settlement of the developer’s ‘indebtedness’ to the Bank in respect of the ‘loan balance’ which was outstanding at January 2009, </w:t>
      </w:r>
      <w:r w:rsidR="008C14B6">
        <w:rPr>
          <w:rFonts w:ascii="Arial" w:hAnsi="Arial" w:cs="Arial"/>
          <w:sz w:val="24"/>
          <w:szCs w:val="24"/>
        </w:rPr>
        <w:t xml:space="preserve">it was evident that </w:t>
      </w:r>
      <w:r w:rsidR="00A752EF">
        <w:rPr>
          <w:rFonts w:ascii="Arial" w:hAnsi="Arial" w:cs="Arial"/>
          <w:sz w:val="24"/>
          <w:szCs w:val="24"/>
        </w:rPr>
        <w:t xml:space="preserve">the parties had </w:t>
      </w:r>
      <w:r w:rsidR="008C14B6">
        <w:rPr>
          <w:rFonts w:ascii="Arial" w:hAnsi="Arial" w:cs="Arial"/>
          <w:sz w:val="24"/>
          <w:szCs w:val="24"/>
        </w:rPr>
        <w:t>sought</w:t>
      </w:r>
      <w:r w:rsidR="00A752EF">
        <w:rPr>
          <w:rFonts w:ascii="Arial" w:hAnsi="Arial" w:cs="Arial"/>
          <w:sz w:val="24"/>
          <w:szCs w:val="24"/>
        </w:rPr>
        <w:t xml:space="preserve"> to compromise the original claim by agreeing on the payment of a reduced amount </w:t>
      </w:r>
      <w:r w:rsidR="008C14B6">
        <w:rPr>
          <w:rFonts w:ascii="Arial" w:hAnsi="Arial" w:cs="Arial"/>
          <w:sz w:val="24"/>
          <w:szCs w:val="24"/>
        </w:rPr>
        <w:t xml:space="preserve">owing </w:t>
      </w:r>
      <w:r w:rsidR="00A752EF">
        <w:rPr>
          <w:rFonts w:ascii="Arial" w:hAnsi="Arial" w:cs="Arial"/>
          <w:sz w:val="24"/>
          <w:szCs w:val="24"/>
        </w:rPr>
        <w:t xml:space="preserve">under the loan agreement, which </w:t>
      </w:r>
      <w:r w:rsidR="003D0E32">
        <w:rPr>
          <w:rFonts w:ascii="Arial" w:hAnsi="Arial" w:cs="Arial"/>
          <w:sz w:val="24"/>
          <w:szCs w:val="24"/>
        </w:rPr>
        <w:t xml:space="preserve">agreement </w:t>
      </w:r>
      <w:r w:rsidR="00A752EF">
        <w:rPr>
          <w:rFonts w:ascii="Arial" w:hAnsi="Arial" w:cs="Arial"/>
          <w:sz w:val="24"/>
          <w:szCs w:val="24"/>
        </w:rPr>
        <w:t xml:space="preserve">was invalid. </w:t>
      </w:r>
      <w:r w:rsidR="008C14B6">
        <w:rPr>
          <w:rFonts w:ascii="Arial" w:hAnsi="Arial" w:cs="Arial"/>
          <w:sz w:val="24"/>
          <w:szCs w:val="24"/>
        </w:rPr>
        <w:t>T</w:t>
      </w:r>
      <w:r w:rsidR="00A752EF">
        <w:rPr>
          <w:rFonts w:ascii="Arial" w:hAnsi="Arial" w:cs="Arial"/>
          <w:sz w:val="24"/>
          <w:szCs w:val="24"/>
        </w:rPr>
        <w:t xml:space="preserve">he compromise had not intended to settle any dispute about the invalidity of the loan agreement and the bank was claiming an amount in the AOD which </w:t>
      </w:r>
      <w:r w:rsidR="00DD486C">
        <w:rPr>
          <w:rFonts w:ascii="Arial" w:hAnsi="Arial" w:cs="Arial"/>
          <w:sz w:val="24"/>
          <w:szCs w:val="24"/>
        </w:rPr>
        <w:t>it</w:t>
      </w:r>
      <w:r w:rsidR="00A752EF">
        <w:rPr>
          <w:rFonts w:ascii="Arial" w:hAnsi="Arial" w:cs="Arial"/>
          <w:sz w:val="24"/>
          <w:szCs w:val="24"/>
        </w:rPr>
        <w:t xml:space="preserve"> had advanced</w:t>
      </w:r>
      <w:r w:rsidR="008C14B6">
        <w:rPr>
          <w:rFonts w:ascii="Arial" w:hAnsi="Arial" w:cs="Arial"/>
          <w:sz w:val="24"/>
          <w:szCs w:val="24"/>
        </w:rPr>
        <w:t>,</w:t>
      </w:r>
      <w:r w:rsidR="00A752EF">
        <w:rPr>
          <w:rFonts w:ascii="Arial" w:hAnsi="Arial" w:cs="Arial"/>
          <w:sz w:val="24"/>
          <w:szCs w:val="24"/>
        </w:rPr>
        <w:t xml:space="preserve"> in terms of the loan agreement. In essence therefore what the bank sought to achieve in terms of the AOD was a benefit from a</w:t>
      </w:r>
      <w:r w:rsidR="008C14B6">
        <w:rPr>
          <w:rFonts w:ascii="Arial" w:hAnsi="Arial" w:cs="Arial"/>
          <w:sz w:val="24"/>
          <w:szCs w:val="24"/>
        </w:rPr>
        <w:t xml:space="preserve"> prior,</w:t>
      </w:r>
      <w:r w:rsidR="00A752EF">
        <w:rPr>
          <w:rFonts w:ascii="Arial" w:hAnsi="Arial" w:cs="Arial"/>
          <w:sz w:val="24"/>
          <w:szCs w:val="24"/>
        </w:rPr>
        <w:t xml:space="preserve"> invalid contract.</w:t>
      </w:r>
    </w:p>
    <w:p w14:paraId="27171512" w14:textId="11078612" w:rsidR="00333BB1"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69.</w:t>
      </w:r>
      <w:r>
        <w:rPr>
          <w:rFonts w:ascii="Arial" w:hAnsi="Arial" w:cs="Arial"/>
          <w:sz w:val="24"/>
          <w:szCs w:val="24"/>
        </w:rPr>
        <w:tab/>
      </w:r>
      <w:r w:rsidR="00A752EF">
        <w:rPr>
          <w:rFonts w:ascii="Arial" w:hAnsi="Arial" w:cs="Arial"/>
          <w:sz w:val="24"/>
          <w:szCs w:val="24"/>
        </w:rPr>
        <w:t xml:space="preserve">The CC </w:t>
      </w:r>
      <w:r w:rsidR="000A003E">
        <w:rPr>
          <w:rFonts w:ascii="Arial" w:hAnsi="Arial" w:cs="Arial"/>
          <w:sz w:val="24"/>
          <w:szCs w:val="24"/>
        </w:rPr>
        <w:t>did not accept the argument that</w:t>
      </w:r>
      <w:r w:rsidR="00DD486C">
        <w:rPr>
          <w:rFonts w:ascii="Arial" w:hAnsi="Arial" w:cs="Arial"/>
          <w:sz w:val="24"/>
          <w:szCs w:val="24"/>
        </w:rPr>
        <w:t>,</w:t>
      </w:r>
      <w:r w:rsidR="000A003E" w:rsidRPr="000A003E">
        <w:rPr>
          <w:rFonts w:ascii="Arial" w:hAnsi="Arial" w:cs="Arial"/>
          <w:sz w:val="24"/>
          <w:szCs w:val="24"/>
        </w:rPr>
        <w:t xml:space="preserve"> </w:t>
      </w:r>
      <w:r w:rsidR="000A003E">
        <w:rPr>
          <w:rFonts w:ascii="Arial" w:hAnsi="Arial" w:cs="Arial"/>
          <w:sz w:val="24"/>
          <w:szCs w:val="24"/>
        </w:rPr>
        <w:t>because it was a compromise and not a novation</w:t>
      </w:r>
      <w:r w:rsidR="00DD486C">
        <w:rPr>
          <w:rFonts w:ascii="Arial" w:hAnsi="Arial" w:cs="Arial"/>
          <w:sz w:val="24"/>
          <w:szCs w:val="24"/>
        </w:rPr>
        <w:t>,</w:t>
      </w:r>
      <w:r w:rsidR="000A003E" w:rsidRPr="000A003E">
        <w:rPr>
          <w:rFonts w:ascii="Arial" w:hAnsi="Arial" w:cs="Arial"/>
          <w:sz w:val="24"/>
          <w:szCs w:val="24"/>
        </w:rPr>
        <w:t xml:space="preserve"> </w:t>
      </w:r>
      <w:r w:rsidR="000A003E">
        <w:rPr>
          <w:rFonts w:ascii="Arial" w:hAnsi="Arial" w:cs="Arial"/>
          <w:sz w:val="24"/>
          <w:szCs w:val="24"/>
        </w:rPr>
        <w:t>the AOD was immune to the original invalidity and</w:t>
      </w:r>
      <w:r w:rsidR="00A752EF">
        <w:rPr>
          <w:rFonts w:ascii="Arial" w:hAnsi="Arial" w:cs="Arial"/>
          <w:sz w:val="24"/>
          <w:szCs w:val="24"/>
        </w:rPr>
        <w:t xml:space="preserve"> </w:t>
      </w:r>
      <w:r w:rsidR="000A003E">
        <w:rPr>
          <w:rFonts w:ascii="Arial" w:hAnsi="Arial" w:cs="Arial"/>
          <w:sz w:val="24"/>
          <w:szCs w:val="24"/>
        </w:rPr>
        <w:t xml:space="preserve">it held, </w:t>
      </w:r>
      <w:r w:rsidR="00A752EF">
        <w:rPr>
          <w:rFonts w:ascii="Arial" w:hAnsi="Arial" w:cs="Arial"/>
          <w:sz w:val="24"/>
          <w:szCs w:val="24"/>
        </w:rPr>
        <w:t xml:space="preserve">with reference to the decision in </w:t>
      </w:r>
      <w:r w:rsidR="00A752EF" w:rsidRPr="004C47E9">
        <w:rPr>
          <w:rFonts w:ascii="Arial" w:hAnsi="Arial" w:cs="Arial"/>
          <w:i/>
          <w:iCs/>
          <w:sz w:val="24"/>
          <w:szCs w:val="24"/>
        </w:rPr>
        <w:t>Gibson</w:t>
      </w:r>
      <w:r w:rsidR="000A003E">
        <w:rPr>
          <w:rFonts w:ascii="Arial" w:hAnsi="Arial" w:cs="Arial"/>
          <w:i/>
          <w:iCs/>
          <w:sz w:val="24"/>
          <w:szCs w:val="24"/>
        </w:rPr>
        <w:t>,</w:t>
      </w:r>
      <w:r w:rsidR="00A752EF">
        <w:rPr>
          <w:rFonts w:ascii="Arial" w:hAnsi="Arial" w:cs="Arial"/>
          <w:sz w:val="24"/>
          <w:szCs w:val="24"/>
        </w:rPr>
        <w:t xml:space="preserve"> that </w:t>
      </w:r>
      <w:r w:rsidR="008C14B6">
        <w:rPr>
          <w:rFonts w:ascii="Arial" w:hAnsi="Arial" w:cs="Arial"/>
          <w:sz w:val="24"/>
          <w:szCs w:val="24"/>
        </w:rPr>
        <w:t>a</w:t>
      </w:r>
      <w:r w:rsidR="00A752EF">
        <w:rPr>
          <w:rFonts w:ascii="Arial" w:hAnsi="Arial" w:cs="Arial"/>
          <w:sz w:val="24"/>
          <w:szCs w:val="24"/>
        </w:rPr>
        <w:t xml:space="preserve">s </w:t>
      </w:r>
      <w:r w:rsidR="000A003E">
        <w:rPr>
          <w:rFonts w:ascii="Arial" w:hAnsi="Arial" w:cs="Arial"/>
          <w:sz w:val="24"/>
          <w:szCs w:val="24"/>
        </w:rPr>
        <w:t>it</w:t>
      </w:r>
      <w:r w:rsidR="00A752EF">
        <w:rPr>
          <w:rFonts w:ascii="Arial" w:hAnsi="Arial" w:cs="Arial"/>
          <w:sz w:val="24"/>
          <w:szCs w:val="24"/>
        </w:rPr>
        <w:t xml:space="preserve"> constituted a device for enforcing the original claim, which was invalid</w:t>
      </w:r>
      <w:r w:rsidR="004C47E9">
        <w:rPr>
          <w:rFonts w:ascii="Arial" w:hAnsi="Arial" w:cs="Arial"/>
          <w:sz w:val="24"/>
          <w:szCs w:val="24"/>
        </w:rPr>
        <w:t>,</w:t>
      </w:r>
      <w:r w:rsidR="00333BB1">
        <w:rPr>
          <w:rFonts w:ascii="Arial" w:hAnsi="Arial" w:cs="Arial"/>
          <w:sz w:val="24"/>
          <w:szCs w:val="24"/>
        </w:rPr>
        <w:t xml:space="preserve"> it was tainted with such invalidity. It </w:t>
      </w:r>
      <w:r w:rsidR="008C14B6">
        <w:rPr>
          <w:rFonts w:ascii="Arial" w:hAnsi="Arial" w:cs="Arial"/>
          <w:sz w:val="24"/>
          <w:szCs w:val="24"/>
        </w:rPr>
        <w:t>was of the view that</w:t>
      </w:r>
      <w:r w:rsidR="000A003E">
        <w:rPr>
          <w:rFonts w:ascii="Arial" w:hAnsi="Arial" w:cs="Arial"/>
          <w:sz w:val="24"/>
          <w:szCs w:val="24"/>
        </w:rPr>
        <w:t>,</w:t>
      </w:r>
      <w:r w:rsidR="00333BB1">
        <w:rPr>
          <w:rFonts w:ascii="Arial" w:hAnsi="Arial" w:cs="Arial"/>
          <w:sz w:val="24"/>
          <w:szCs w:val="24"/>
        </w:rPr>
        <w:t xml:space="preserve"> as in </w:t>
      </w:r>
      <w:r w:rsidR="000A003E" w:rsidRPr="000A003E">
        <w:rPr>
          <w:rFonts w:ascii="Arial" w:hAnsi="Arial" w:cs="Arial"/>
          <w:i/>
          <w:iCs/>
          <w:sz w:val="24"/>
          <w:szCs w:val="24"/>
        </w:rPr>
        <w:t>W</w:t>
      </w:r>
      <w:r w:rsidR="00333BB1" w:rsidRPr="000A003E">
        <w:rPr>
          <w:rFonts w:ascii="Arial" w:hAnsi="Arial" w:cs="Arial"/>
          <w:i/>
          <w:iCs/>
          <w:sz w:val="24"/>
          <w:szCs w:val="24"/>
        </w:rPr>
        <w:t>eltmans</w:t>
      </w:r>
      <w:r w:rsidR="008C14B6">
        <w:rPr>
          <w:rFonts w:ascii="Arial" w:hAnsi="Arial" w:cs="Arial"/>
          <w:i/>
          <w:iCs/>
          <w:sz w:val="24"/>
          <w:szCs w:val="24"/>
        </w:rPr>
        <w:t>,</w:t>
      </w:r>
      <w:r w:rsidR="00333BB1">
        <w:rPr>
          <w:rFonts w:ascii="Arial" w:hAnsi="Arial" w:cs="Arial"/>
          <w:sz w:val="24"/>
          <w:szCs w:val="24"/>
        </w:rPr>
        <w:t xml:space="preserve"> the compromise </w:t>
      </w:r>
      <w:r w:rsidR="000A003E">
        <w:rPr>
          <w:rFonts w:ascii="Arial" w:hAnsi="Arial" w:cs="Arial"/>
          <w:sz w:val="24"/>
          <w:szCs w:val="24"/>
        </w:rPr>
        <w:t>d</w:t>
      </w:r>
      <w:r w:rsidR="00333BB1">
        <w:rPr>
          <w:rFonts w:ascii="Arial" w:hAnsi="Arial" w:cs="Arial"/>
          <w:sz w:val="24"/>
          <w:szCs w:val="24"/>
        </w:rPr>
        <w:t>iffered from the original agreement only in regard to the amount which was payable and the method of payment</w:t>
      </w:r>
      <w:r w:rsidR="000A003E">
        <w:rPr>
          <w:rFonts w:ascii="Arial" w:hAnsi="Arial" w:cs="Arial"/>
          <w:sz w:val="24"/>
          <w:szCs w:val="24"/>
        </w:rPr>
        <w:t>,</w:t>
      </w:r>
      <w:r w:rsidR="00333BB1">
        <w:rPr>
          <w:rFonts w:ascii="Arial" w:hAnsi="Arial" w:cs="Arial"/>
          <w:sz w:val="24"/>
          <w:szCs w:val="24"/>
        </w:rPr>
        <w:t xml:space="preserve"> and it had not altered the essence of the underlying claim</w:t>
      </w:r>
      <w:r w:rsidR="000A003E">
        <w:rPr>
          <w:rFonts w:ascii="Arial" w:hAnsi="Arial" w:cs="Arial"/>
          <w:sz w:val="24"/>
          <w:szCs w:val="24"/>
        </w:rPr>
        <w:t xml:space="preserve"> on which it rested</w:t>
      </w:r>
      <w:r w:rsidR="00333BB1">
        <w:rPr>
          <w:rFonts w:ascii="Arial" w:hAnsi="Arial" w:cs="Arial"/>
          <w:sz w:val="24"/>
          <w:szCs w:val="24"/>
        </w:rPr>
        <w:t xml:space="preserve">. As such, the </w:t>
      </w:r>
      <w:r w:rsidR="00333BB1">
        <w:rPr>
          <w:rFonts w:ascii="Arial" w:hAnsi="Arial" w:cs="Arial"/>
          <w:sz w:val="24"/>
          <w:szCs w:val="24"/>
        </w:rPr>
        <w:lastRenderedPageBreak/>
        <w:t xml:space="preserve">AOD was merely a </w:t>
      </w:r>
      <w:r w:rsidR="008C14B6">
        <w:rPr>
          <w:rFonts w:ascii="Arial" w:hAnsi="Arial" w:cs="Arial"/>
          <w:sz w:val="24"/>
          <w:szCs w:val="24"/>
        </w:rPr>
        <w:t>‘</w:t>
      </w:r>
      <w:r w:rsidR="00333BB1">
        <w:rPr>
          <w:rFonts w:ascii="Arial" w:hAnsi="Arial" w:cs="Arial"/>
          <w:sz w:val="24"/>
          <w:szCs w:val="24"/>
        </w:rPr>
        <w:t>resuscitation</w:t>
      </w:r>
      <w:r w:rsidR="008C14B6">
        <w:rPr>
          <w:rFonts w:ascii="Arial" w:hAnsi="Arial" w:cs="Arial"/>
          <w:sz w:val="24"/>
          <w:szCs w:val="24"/>
        </w:rPr>
        <w:t>’</w:t>
      </w:r>
      <w:r w:rsidR="00333BB1">
        <w:rPr>
          <w:rFonts w:ascii="Arial" w:hAnsi="Arial" w:cs="Arial"/>
          <w:sz w:val="24"/>
          <w:szCs w:val="24"/>
        </w:rPr>
        <w:t xml:space="preserve"> of the earl</w:t>
      </w:r>
      <w:r w:rsidR="00F473E9">
        <w:rPr>
          <w:rFonts w:ascii="Arial" w:hAnsi="Arial" w:cs="Arial"/>
          <w:sz w:val="24"/>
          <w:szCs w:val="24"/>
        </w:rPr>
        <w:t>ier</w:t>
      </w:r>
      <w:r w:rsidR="00333BB1">
        <w:rPr>
          <w:rFonts w:ascii="Arial" w:hAnsi="Arial" w:cs="Arial"/>
          <w:sz w:val="24"/>
          <w:szCs w:val="24"/>
        </w:rPr>
        <w:t xml:space="preserve"> invalid agreement</w:t>
      </w:r>
      <w:r w:rsidR="000A003E">
        <w:rPr>
          <w:rFonts w:ascii="Arial" w:hAnsi="Arial" w:cs="Arial"/>
          <w:sz w:val="24"/>
          <w:szCs w:val="24"/>
        </w:rPr>
        <w:t>,</w:t>
      </w:r>
      <w:r w:rsidR="00333BB1">
        <w:rPr>
          <w:rFonts w:ascii="Arial" w:hAnsi="Arial" w:cs="Arial"/>
          <w:sz w:val="24"/>
          <w:szCs w:val="24"/>
        </w:rPr>
        <w:t xml:space="preserve"> and the acknowledgement of a lesser sum which was owing did not ‘transform’ the nature of the original invalid agreement into one which was new </w:t>
      </w:r>
      <w:r w:rsidR="000A003E">
        <w:rPr>
          <w:rFonts w:ascii="Arial" w:hAnsi="Arial" w:cs="Arial"/>
          <w:sz w:val="24"/>
          <w:szCs w:val="24"/>
        </w:rPr>
        <w:t xml:space="preserve">and </w:t>
      </w:r>
      <w:r w:rsidR="00333BB1">
        <w:rPr>
          <w:rFonts w:ascii="Arial" w:hAnsi="Arial" w:cs="Arial"/>
          <w:sz w:val="24"/>
          <w:szCs w:val="24"/>
        </w:rPr>
        <w:t>valid</w:t>
      </w:r>
      <w:r w:rsidR="00F473E9">
        <w:rPr>
          <w:rFonts w:ascii="Arial" w:hAnsi="Arial" w:cs="Arial"/>
          <w:sz w:val="24"/>
          <w:szCs w:val="24"/>
        </w:rPr>
        <w:t>. Consequently, the</w:t>
      </w:r>
      <w:r w:rsidR="00333BB1">
        <w:rPr>
          <w:rFonts w:ascii="Arial" w:hAnsi="Arial" w:cs="Arial"/>
          <w:sz w:val="24"/>
          <w:szCs w:val="24"/>
        </w:rPr>
        <w:t xml:space="preserve"> terms of </w:t>
      </w:r>
      <w:r w:rsidR="008C14B6">
        <w:rPr>
          <w:rFonts w:ascii="Arial" w:hAnsi="Arial" w:cs="Arial"/>
          <w:sz w:val="24"/>
          <w:szCs w:val="24"/>
        </w:rPr>
        <w:t xml:space="preserve">the </w:t>
      </w:r>
      <w:r w:rsidR="00333BB1">
        <w:rPr>
          <w:rFonts w:ascii="Arial" w:hAnsi="Arial" w:cs="Arial"/>
          <w:sz w:val="24"/>
          <w:szCs w:val="24"/>
        </w:rPr>
        <w:t>AOD perpetuated the original invalidity.</w:t>
      </w:r>
    </w:p>
    <w:p w14:paraId="492A89E9" w14:textId="1426012B" w:rsidR="00F473E9"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70.</w:t>
      </w:r>
      <w:r>
        <w:rPr>
          <w:rFonts w:ascii="Arial" w:hAnsi="Arial" w:cs="Arial"/>
          <w:sz w:val="24"/>
          <w:szCs w:val="24"/>
        </w:rPr>
        <w:tab/>
      </w:r>
      <w:r w:rsidR="00333BB1">
        <w:rPr>
          <w:rFonts w:ascii="Arial" w:hAnsi="Arial" w:cs="Arial"/>
          <w:sz w:val="24"/>
          <w:szCs w:val="24"/>
        </w:rPr>
        <w:t>The C</w:t>
      </w:r>
      <w:r w:rsidR="008C14B6">
        <w:rPr>
          <w:rFonts w:ascii="Arial" w:hAnsi="Arial" w:cs="Arial"/>
          <w:sz w:val="24"/>
          <w:szCs w:val="24"/>
        </w:rPr>
        <w:t xml:space="preserve">onstitutional </w:t>
      </w:r>
      <w:r w:rsidR="00333BB1">
        <w:rPr>
          <w:rFonts w:ascii="Arial" w:hAnsi="Arial" w:cs="Arial"/>
          <w:sz w:val="24"/>
          <w:szCs w:val="24"/>
        </w:rPr>
        <w:t>C</w:t>
      </w:r>
      <w:r w:rsidR="008C14B6">
        <w:rPr>
          <w:rFonts w:ascii="Arial" w:hAnsi="Arial" w:cs="Arial"/>
          <w:sz w:val="24"/>
          <w:szCs w:val="24"/>
        </w:rPr>
        <w:t>ourt</w:t>
      </w:r>
      <w:r w:rsidR="00333BB1">
        <w:rPr>
          <w:rFonts w:ascii="Arial" w:hAnsi="Arial" w:cs="Arial"/>
          <w:sz w:val="24"/>
          <w:szCs w:val="24"/>
        </w:rPr>
        <w:t xml:space="preserve"> held that a subsequent agreement of compromise in respect of a prior invalid agreement, </w:t>
      </w:r>
      <w:r w:rsidR="003D0E32">
        <w:rPr>
          <w:rFonts w:ascii="Arial" w:hAnsi="Arial" w:cs="Arial"/>
          <w:sz w:val="24"/>
          <w:szCs w:val="24"/>
        </w:rPr>
        <w:t>will</w:t>
      </w:r>
      <w:r w:rsidR="00333BB1">
        <w:rPr>
          <w:rFonts w:ascii="Arial" w:hAnsi="Arial" w:cs="Arial"/>
          <w:sz w:val="24"/>
          <w:szCs w:val="24"/>
        </w:rPr>
        <w:t xml:space="preserve"> be valid</w:t>
      </w:r>
      <w:r w:rsidR="00AB0306">
        <w:rPr>
          <w:rFonts w:ascii="Arial" w:hAnsi="Arial" w:cs="Arial"/>
          <w:sz w:val="24"/>
          <w:szCs w:val="24"/>
        </w:rPr>
        <w:t xml:space="preserve"> </w:t>
      </w:r>
      <w:r w:rsidR="00333BB1">
        <w:rPr>
          <w:rFonts w:ascii="Arial" w:hAnsi="Arial" w:cs="Arial"/>
          <w:sz w:val="24"/>
          <w:szCs w:val="24"/>
        </w:rPr>
        <w:t>if the original invalidity is ‘overcome in one way or another’.</w:t>
      </w:r>
      <w:r w:rsidR="0044687D">
        <w:rPr>
          <w:rStyle w:val="FootnoteReference"/>
          <w:rFonts w:ascii="Arial" w:hAnsi="Arial" w:cs="Arial"/>
          <w:sz w:val="24"/>
          <w:szCs w:val="24"/>
        </w:rPr>
        <w:footnoteReference w:id="53"/>
      </w:r>
      <w:r w:rsidR="00333BB1">
        <w:rPr>
          <w:rFonts w:ascii="Arial" w:hAnsi="Arial" w:cs="Arial"/>
          <w:sz w:val="24"/>
          <w:szCs w:val="24"/>
        </w:rPr>
        <w:t xml:space="preserve"> In the case of organs of </w:t>
      </w:r>
      <w:r w:rsidR="00DD486C">
        <w:rPr>
          <w:rFonts w:ascii="Arial" w:hAnsi="Arial" w:cs="Arial"/>
          <w:sz w:val="24"/>
          <w:szCs w:val="24"/>
        </w:rPr>
        <w:t>S</w:t>
      </w:r>
      <w:r w:rsidR="00333BB1">
        <w:rPr>
          <w:rFonts w:ascii="Arial" w:hAnsi="Arial" w:cs="Arial"/>
          <w:sz w:val="24"/>
          <w:szCs w:val="24"/>
        </w:rPr>
        <w:t xml:space="preserve">tate this </w:t>
      </w:r>
      <w:r w:rsidR="008C14B6">
        <w:rPr>
          <w:rFonts w:ascii="Arial" w:hAnsi="Arial" w:cs="Arial"/>
          <w:sz w:val="24"/>
          <w:szCs w:val="24"/>
        </w:rPr>
        <w:t>can</w:t>
      </w:r>
      <w:r w:rsidR="00333BB1">
        <w:rPr>
          <w:rFonts w:ascii="Arial" w:hAnsi="Arial" w:cs="Arial"/>
          <w:sz w:val="24"/>
          <w:szCs w:val="24"/>
        </w:rPr>
        <w:t xml:space="preserve"> </w:t>
      </w:r>
      <w:r w:rsidR="008C14B6">
        <w:rPr>
          <w:rFonts w:ascii="Arial" w:hAnsi="Arial" w:cs="Arial"/>
          <w:sz w:val="24"/>
          <w:szCs w:val="24"/>
        </w:rPr>
        <w:t>be done</w:t>
      </w:r>
      <w:r w:rsidR="00333BB1">
        <w:rPr>
          <w:rFonts w:ascii="Arial" w:hAnsi="Arial" w:cs="Arial"/>
          <w:sz w:val="24"/>
          <w:szCs w:val="24"/>
        </w:rPr>
        <w:t xml:space="preserve"> by </w:t>
      </w:r>
      <w:r w:rsidR="008C14B6">
        <w:rPr>
          <w:rFonts w:ascii="Arial" w:hAnsi="Arial" w:cs="Arial"/>
          <w:sz w:val="24"/>
          <w:szCs w:val="24"/>
        </w:rPr>
        <w:t>removing</w:t>
      </w:r>
      <w:r w:rsidR="00333BB1">
        <w:rPr>
          <w:rFonts w:ascii="Arial" w:hAnsi="Arial" w:cs="Arial"/>
          <w:sz w:val="24"/>
          <w:szCs w:val="24"/>
        </w:rPr>
        <w:t xml:space="preserve"> the legality impediment</w:t>
      </w:r>
      <w:r w:rsidR="008C14B6">
        <w:rPr>
          <w:rFonts w:ascii="Arial" w:hAnsi="Arial" w:cs="Arial"/>
          <w:sz w:val="24"/>
          <w:szCs w:val="24"/>
        </w:rPr>
        <w:t xml:space="preserve">, by way of a legislative </w:t>
      </w:r>
      <w:r w:rsidR="003D0E32">
        <w:rPr>
          <w:rFonts w:ascii="Arial" w:hAnsi="Arial" w:cs="Arial"/>
          <w:sz w:val="24"/>
          <w:szCs w:val="24"/>
        </w:rPr>
        <w:t xml:space="preserve">or executive </w:t>
      </w:r>
      <w:r w:rsidR="008C14B6">
        <w:rPr>
          <w:rFonts w:ascii="Arial" w:hAnsi="Arial" w:cs="Arial"/>
          <w:sz w:val="24"/>
          <w:szCs w:val="24"/>
        </w:rPr>
        <w:t>act</w:t>
      </w:r>
      <w:r w:rsidR="00333BB1">
        <w:rPr>
          <w:rFonts w:ascii="Arial" w:hAnsi="Arial" w:cs="Arial"/>
          <w:sz w:val="24"/>
          <w:szCs w:val="24"/>
        </w:rPr>
        <w:t xml:space="preserve">. </w:t>
      </w:r>
    </w:p>
    <w:p w14:paraId="0A63EBF7" w14:textId="5582C0A9" w:rsidR="00333BB1"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71.</w:t>
      </w:r>
      <w:r>
        <w:rPr>
          <w:rFonts w:ascii="Arial" w:hAnsi="Arial" w:cs="Arial"/>
          <w:sz w:val="24"/>
          <w:szCs w:val="24"/>
        </w:rPr>
        <w:tab/>
      </w:r>
      <w:r w:rsidR="008C14B6">
        <w:rPr>
          <w:rFonts w:ascii="Arial" w:hAnsi="Arial" w:cs="Arial"/>
          <w:sz w:val="24"/>
          <w:szCs w:val="24"/>
        </w:rPr>
        <w:t xml:space="preserve">It </w:t>
      </w:r>
      <w:r w:rsidR="005E41B2">
        <w:rPr>
          <w:rFonts w:ascii="Arial" w:hAnsi="Arial" w:cs="Arial"/>
          <w:sz w:val="24"/>
          <w:szCs w:val="24"/>
        </w:rPr>
        <w:t>c</w:t>
      </w:r>
      <w:r w:rsidR="008C14B6">
        <w:rPr>
          <w:rFonts w:ascii="Arial" w:hAnsi="Arial" w:cs="Arial"/>
          <w:sz w:val="24"/>
          <w:szCs w:val="24"/>
        </w:rPr>
        <w:t>an</w:t>
      </w:r>
      <w:r w:rsidR="005E41B2">
        <w:rPr>
          <w:rFonts w:ascii="Arial" w:hAnsi="Arial" w:cs="Arial"/>
          <w:sz w:val="24"/>
          <w:szCs w:val="24"/>
        </w:rPr>
        <w:t xml:space="preserve"> </w:t>
      </w:r>
      <w:r w:rsidR="008C14B6">
        <w:rPr>
          <w:rFonts w:ascii="Arial" w:hAnsi="Arial" w:cs="Arial"/>
          <w:sz w:val="24"/>
          <w:szCs w:val="24"/>
        </w:rPr>
        <w:t xml:space="preserve">also </w:t>
      </w:r>
      <w:r w:rsidR="005E41B2">
        <w:rPr>
          <w:rFonts w:ascii="Arial" w:hAnsi="Arial" w:cs="Arial"/>
          <w:sz w:val="24"/>
          <w:szCs w:val="24"/>
        </w:rPr>
        <w:t xml:space="preserve">be effected </w:t>
      </w:r>
      <w:r w:rsidR="00F473E9">
        <w:rPr>
          <w:rFonts w:ascii="Arial" w:hAnsi="Arial" w:cs="Arial"/>
          <w:sz w:val="24"/>
          <w:szCs w:val="24"/>
        </w:rPr>
        <w:t xml:space="preserve">in disputes of a contractual nature </w:t>
      </w:r>
      <w:r w:rsidR="00333BB1">
        <w:rPr>
          <w:rFonts w:ascii="Arial" w:hAnsi="Arial" w:cs="Arial"/>
          <w:sz w:val="24"/>
          <w:szCs w:val="24"/>
        </w:rPr>
        <w:t>by pr</w:t>
      </w:r>
      <w:r w:rsidR="00803720">
        <w:rPr>
          <w:rFonts w:ascii="Arial" w:hAnsi="Arial" w:cs="Arial"/>
          <w:sz w:val="24"/>
          <w:szCs w:val="24"/>
        </w:rPr>
        <w:t>e</w:t>
      </w:r>
      <w:r w:rsidR="00333BB1">
        <w:rPr>
          <w:rFonts w:ascii="Arial" w:hAnsi="Arial" w:cs="Arial"/>
          <w:sz w:val="24"/>
          <w:szCs w:val="24"/>
        </w:rPr>
        <w:t xml:space="preserve">mising the </w:t>
      </w:r>
      <w:r w:rsidR="000A003E">
        <w:rPr>
          <w:rFonts w:ascii="Arial" w:hAnsi="Arial" w:cs="Arial"/>
          <w:sz w:val="24"/>
          <w:szCs w:val="24"/>
        </w:rPr>
        <w:t xml:space="preserve">compromise </w:t>
      </w:r>
      <w:r w:rsidR="00333BB1">
        <w:rPr>
          <w:rFonts w:ascii="Arial" w:hAnsi="Arial" w:cs="Arial"/>
          <w:sz w:val="24"/>
          <w:szCs w:val="24"/>
        </w:rPr>
        <w:t xml:space="preserve">on an acknowledgement </w:t>
      </w:r>
      <w:r w:rsidR="008C14B6">
        <w:rPr>
          <w:rFonts w:ascii="Arial" w:hAnsi="Arial" w:cs="Arial"/>
          <w:sz w:val="24"/>
          <w:szCs w:val="24"/>
        </w:rPr>
        <w:t xml:space="preserve">(this can surely be either express or tacit), </w:t>
      </w:r>
      <w:r w:rsidR="00333BB1">
        <w:rPr>
          <w:rFonts w:ascii="Arial" w:hAnsi="Arial" w:cs="Arial"/>
          <w:sz w:val="24"/>
          <w:szCs w:val="24"/>
        </w:rPr>
        <w:t>that the original debt and the agreement from which it arose was invalid</w:t>
      </w:r>
      <w:r w:rsidR="008C14B6">
        <w:rPr>
          <w:rFonts w:ascii="Arial" w:hAnsi="Arial" w:cs="Arial"/>
          <w:sz w:val="24"/>
          <w:szCs w:val="24"/>
        </w:rPr>
        <w:t xml:space="preserve"> and</w:t>
      </w:r>
      <w:r w:rsidR="005E41B2">
        <w:rPr>
          <w:rFonts w:ascii="Arial" w:hAnsi="Arial" w:cs="Arial"/>
          <w:sz w:val="24"/>
          <w:szCs w:val="24"/>
        </w:rPr>
        <w:t xml:space="preserve"> </w:t>
      </w:r>
      <w:r w:rsidR="003D0E32">
        <w:rPr>
          <w:rFonts w:ascii="Arial" w:hAnsi="Arial" w:cs="Arial"/>
          <w:sz w:val="24"/>
          <w:szCs w:val="24"/>
        </w:rPr>
        <w:t xml:space="preserve">that </w:t>
      </w:r>
      <w:r w:rsidR="00333BB1">
        <w:rPr>
          <w:rFonts w:ascii="Arial" w:hAnsi="Arial" w:cs="Arial"/>
          <w:sz w:val="24"/>
          <w:szCs w:val="24"/>
        </w:rPr>
        <w:t xml:space="preserve">there accordingly </w:t>
      </w:r>
      <w:r w:rsidR="008C14B6">
        <w:rPr>
          <w:rFonts w:ascii="Arial" w:hAnsi="Arial" w:cs="Arial"/>
          <w:sz w:val="24"/>
          <w:szCs w:val="24"/>
        </w:rPr>
        <w:t xml:space="preserve">was </w:t>
      </w:r>
      <w:r w:rsidR="00333BB1">
        <w:rPr>
          <w:rFonts w:ascii="Arial" w:hAnsi="Arial" w:cs="Arial"/>
          <w:sz w:val="24"/>
          <w:szCs w:val="24"/>
        </w:rPr>
        <w:t xml:space="preserve">an ‘absence of a relationship of legal indebtedness’. This would allow for </w:t>
      </w:r>
      <w:r w:rsidR="005E41B2">
        <w:rPr>
          <w:rFonts w:ascii="Arial" w:hAnsi="Arial" w:cs="Arial"/>
          <w:sz w:val="24"/>
          <w:szCs w:val="24"/>
        </w:rPr>
        <w:t xml:space="preserve">a </w:t>
      </w:r>
      <w:r w:rsidR="00333BB1">
        <w:rPr>
          <w:rFonts w:ascii="Arial" w:hAnsi="Arial" w:cs="Arial"/>
          <w:sz w:val="24"/>
          <w:szCs w:val="24"/>
        </w:rPr>
        <w:t>claim by way of an enrichment action</w:t>
      </w:r>
      <w:r w:rsidR="000A003E">
        <w:rPr>
          <w:rFonts w:ascii="Arial" w:hAnsi="Arial" w:cs="Arial"/>
          <w:sz w:val="24"/>
          <w:szCs w:val="24"/>
        </w:rPr>
        <w:t xml:space="preserve"> to be pu</w:t>
      </w:r>
      <w:r w:rsidR="00A50414">
        <w:rPr>
          <w:rFonts w:ascii="Arial" w:hAnsi="Arial" w:cs="Arial"/>
          <w:sz w:val="24"/>
          <w:szCs w:val="24"/>
        </w:rPr>
        <w:t>t forward</w:t>
      </w:r>
      <w:r w:rsidR="00333BB1">
        <w:rPr>
          <w:rFonts w:ascii="Arial" w:hAnsi="Arial" w:cs="Arial"/>
          <w:sz w:val="24"/>
          <w:szCs w:val="24"/>
        </w:rPr>
        <w:t>.</w:t>
      </w:r>
    </w:p>
    <w:p w14:paraId="3FF19C86" w14:textId="321B1F0B" w:rsidR="00333BB1"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72.</w:t>
      </w:r>
      <w:r>
        <w:rPr>
          <w:rFonts w:ascii="Arial" w:hAnsi="Arial" w:cs="Arial"/>
          <w:sz w:val="24"/>
          <w:szCs w:val="24"/>
        </w:rPr>
        <w:tab/>
      </w:r>
      <w:r w:rsidR="00333BB1">
        <w:rPr>
          <w:rFonts w:ascii="Arial" w:hAnsi="Arial" w:cs="Arial"/>
          <w:sz w:val="24"/>
          <w:szCs w:val="24"/>
        </w:rPr>
        <w:t>In summary therefore</w:t>
      </w:r>
      <w:r w:rsidR="00A50414">
        <w:rPr>
          <w:rFonts w:ascii="Arial" w:hAnsi="Arial" w:cs="Arial"/>
          <w:sz w:val="24"/>
          <w:szCs w:val="24"/>
        </w:rPr>
        <w:t>,</w:t>
      </w:r>
      <w:r w:rsidR="00333BB1">
        <w:rPr>
          <w:rFonts w:ascii="Arial" w:hAnsi="Arial" w:cs="Arial"/>
          <w:sz w:val="24"/>
          <w:szCs w:val="24"/>
        </w:rPr>
        <w:t xml:space="preserve"> the CC held that a subsequent compromise in relation to an invalid early agreement may be </w:t>
      </w:r>
      <w:r w:rsidR="00A50414">
        <w:rPr>
          <w:rFonts w:ascii="Arial" w:hAnsi="Arial" w:cs="Arial"/>
          <w:sz w:val="24"/>
          <w:szCs w:val="24"/>
        </w:rPr>
        <w:t xml:space="preserve">upheld as valid </w:t>
      </w:r>
      <w:r w:rsidR="008C14B6">
        <w:rPr>
          <w:rFonts w:ascii="Arial" w:hAnsi="Arial" w:cs="Arial"/>
          <w:sz w:val="24"/>
          <w:szCs w:val="24"/>
        </w:rPr>
        <w:t xml:space="preserve">and enforceable </w:t>
      </w:r>
      <w:r w:rsidR="00333BB1">
        <w:rPr>
          <w:rFonts w:ascii="Arial" w:hAnsi="Arial" w:cs="Arial"/>
          <w:sz w:val="24"/>
          <w:szCs w:val="24"/>
        </w:rPr>
        <w:t xml:space="preserve">if it relates to </w:t>
      </w:r>
      <w:r w:rsidR="002628F6">
        <w:rPr>
          <w:rFonts w:ascii="Arial" w:hAnsi="Arial" w:cs="Arial"/>
          <w:sz w:val="24"/>
          <w:szCs w:val="24"/>
        </w:rPr>
        <w:t xml:space="preserve">an </w:t>
      </w:r>
      <w:r w:rsidR="00333BB1">
        <w:rPr>
          <w:rFonts w:ascii="Arial" w:hAnsi="Arial" w:cs="Arial"/>
          <w:sz w:val="24"/>
          <w:szCs w:val="24"/>
        </w:rPr>
        <w:t>enrichment claim, but not if it seeks to enforce an indebtedness which is based on</w:t>
      </w:r>
      <w:r w:rsidR="00123C1E">
        <w:rPr>
          <w:rFonts w:ascii="Arial" w:hAnsi="Arial" w:cs="Arial"/>
          <w:sz w:val="24"/>
          <w:szCs w:val="24"/>
        </w:rPr>
        <w:t>,</w:t>
      </w:r>
      <w:r w:rsidR="00333BB1">
        <w:rPr>
          <w:rFonts w:ascii="Arial" w:hAnsi="Arial" w:cs="Arial"/>
          <w:sz w:val="24"/>
          <w:szCs w:val="24"/>
        </w:rPr>
        <w:t xml:space="preserve"> </w:t>
      </w:r>
      <w:r w:rsidR="002628F6">
        <w:rPr>
          <w:rFonts w:ascii="Arial" w:hAnsi="Arial" w:cs="Arial"/>
          <w:sz w:val="24"/>
          <w:szCs w:val="24"/>
        </w:rPr>
        <w:t>and</w:t>
      </w:r>
      <w:r w:rsidR="00333BB1">
        <w:rPr>
          <w:rFonts w:ascii="Arial" w:hAnsi="Arial" w:cs="Arial"/>
          <w:sz w:val="24"/>
          <w:szCs w:val="24"/>
        </w:rPr>
        <w:t xml:space="preserve"> arises from</w:t>
      </w:r>
      <w:r w:rsidR="002628F6">
        <w:rPr>
          <w:rFonts w:ascii="Arial" w:hAnsi="Arial" w:cs="Arial"/>
          <w:sz w:val="24"/>
          <w:szCs w:val="24"/>
        </w:rPr>
        <w:t>,</w:t>
      </w:r>
      <w:r w:rsidR="00333BB1">
        <w:rPr>
          <w:rFonts w:ascii="Arial" w:hAnsi="Arial" w:cs="Arial"/>
          <w:sz w:val="24"/>
          <w:szCs w:val="24"/>
        </w:rPr>
        <w:t xml:space="preserve"> </w:t>
      </w:r>
      <w:r w:rsidR="00A50414">
        <w:rPr>
          <w:rFonts w:ascii="Arial" w:hAnsi="Arial" w:cs="Arial"/>
          <w:sz w:val="24"/>
          <w:szCs w:val="24"/>
        </w:rPr>
        <w:t xml:space="preserve">the earlier invalid </w:t>
      </w:r>
      <w:r w:rsidR="00333BB1">
        <w:rPr>
          <w:rFonts w:ascii="Arial" w:hAnsi="Arial" w:cs="Arial"/>
          <w:sz w:val="24"/>
          <w:szCs w:val="24"/>
        </w:rPr>
        <w:t>agreement.</w:t>
      </w:r>
    </w:p>
    <w:p w14:paraId="6CCA0FD0" w14:textId="0E356973" w:rsidR="00385E7C" w:rsidRPr="00385E7C" w:rsidRDefault="00601627" w:rsidP="00601627">
      <w:pPr>
        <w:adjustRightInd w:val="0"/>
        <w:spacing w:after="0" w:line="360" w:lineRule="auto"/>
        <w:ind w:left="720" w:hanging="720"/>
        <w:contextualSpacing/>
        <w:jc w:val="both"/>
        <w:textAlignment w:val="baseline"/>
        <w:rPr>
          <w:rFonts w:ascii="Arial" w:hAnsi="Arial" w:cs="Arial"/>
          <w:sz w:val="24"/>
          <w:szCs w:val="24"/>
        </w:rPr>
      </w:pPr>
      <w:r w:rsidRPr="00385E7C">
        <w:rPr>
          <w:rFonts w:ascii="Arial" w:hAnsi="Arial" w:cs="Arial"/>
          <w:sz w:val="24"/>
          <w:szCs w:val="24"/>
        </w:rPr>
        <w:t>73.</w:t>
      </w:r>
      <w:r w:rsidRPr="00385E7C">
        <w:rPr>
          <w:rFonts w:ascii="Arial" w:hAnsi="Arial" w:cs="Arial"/>
          <w:sz w:val="24"/>
          <w:szCs w:val="24"/>
        </w:rPr>
        <w:tab/>
      </w:r>
      <w:r w:rsidR="00385E7C">
        <w:rPr>
          <w:rFonts w:ascii="Arial" w:hAnsi="Arial" w:cs="Arial"/>
          <w:sz w:val="24"/>
          <w:szCs w:val="24"/>
        </w:rPr>
        <w:t xml:space="preserve">The decision in </w:t>
      </w:r>
      <w:r w:rsidR="00385E7C" w:rsidRPr="00385E7C">
        <w:rPr>
          <w:rFonts w:ascii="Arial" w:hAnsi="Arial" w:cs="Arial"/>
          <w:i/>
          <w:iCs/>
          <w:sz w:val="24"/>
          <w:szCs w:val="24"/>
        </w:rPr>
        <w:t>Shabangu</w:t>
      </w:r>
      <w:r w:rsidR="00385E7C">
        <w:rPr>
          <w:rFonts w:ascii="Arial" w:hAnsi="Arial" w:cs="Arial"/>
          <w:sz w:val="24"/>
          <w:szCs w:val="24"/>
        </w:rPr>
        <w:t xml:space="preserve"> was recently endorsed by the SCA in </w:t>
      </w:r>
      <w:r w:rsidR="00385E7C" w:rsidRPr="00385E7C">
        <w:rPr>
          <w:rFonts w:ascii="Arial" w:hAnsi="Arial" w:cs="Arial"/>
          <w:i/>
          <w:iCs/>
          <w:sz w:val="24"/>
          <w:szCs w:val="24"/>
        </w:rPr>
        <w:t>Valor-IT</w:t>
      </w:r>
      <w:r w:rsidR="00385E7C">
        <w:rPr>
          <w:rFonts w:ascii="Arial" w:hAnsi="Arial" w:cs="Arial"/>
          <w:i/>
          <w:iCs/>
          <w:sz w:val="24"/>
          <w:szCs w:val="24"/>
        </w:rPr>
        <w:t xml:space="preserve"> </w:t>
      </w:r>
      <w:r w:rsidR="00385E7C" w:rsidRPr="00385E7C">
        <w:rPr>
          <w:rStyle w:val="FootnoteReference"/>
          <w:rFonts w:ascii="Arial" w:hAnsi="Arial" w:cs="Arial"/>
          <w:sz w:val="24"/>
          <w:szCs w:val="24"/>
        </w:rPr>
        <w:footnoteReference w:id="54"/>
      </w:r>
      <w:r w:rsidR="00385E7C">
        <w:rPr>
          <w:rFonts w:ascii="Arial" w:hAnsi="Arial" w:cs="Arial"/>
          <w:i/>
          <w:iCs/>
          <w:sz w:val="24"/>
          <w:szCs w:val="24"/>
        </w:rPr>
        <w:t xml:space="preserve"> </w:t>
      </w:r>
      <w:r w:rsidR="00385E7C">
        <w:rPr>
          <w:rFonts w:ascii="Arial" w:hAnsi="Arial" w:cs="Arial"/>
          <w:sz w:val="24"/>
          <w:szCs w:val="24"/>
        </w:rPr>
        <w:t xml:space="preserve">where the Court declined to make a settlement agreement which the parties had entered into in respect of the award of an unlawful tender for the supply of computer equipment, contrary to procurement legislation, enforceable by means of an order. It held that calling the agreement a ‘transversal term contract’ did not alter the fact that it was unlawful. This followed on a similar outcome in the public law sphere in </w:t>
      </w:r>
      <w:r w:rsidR="00385E7C" w:rsidRPr="00385E7C">
        <w:rPr>
          <w:rFonts w:ascii="Arial" w:hAnsi="Arial" w:cs="Arial"/>
          <w:i/>
          <w:iCs/>
          <w:sz w:val="24"/>
          <w:szCs w:val="24"/>
        </w:rPr>
        <w:t>Buffalo City</w:t>
      </w:r>
      <w:r w:rsidR="00385E7C">
        <w:rPr>
          <w:rFonts w:ascii="Arial" w:hAnsi="Arial" w:cs="Arial"/>
          <w:sz w:val="24"/>
          <w:szCs w:val="24"/>
        </w:rPr>
        <w:t>,</w:t>
      </w:r>
      <w:r w:rsidR="00385E7C">
        <w:rPr>
          <w:rStyle w:val="FootnoteReference"/>
          <w:rFonts w:ascii="Arial" w:hAnsi="Arial" w:cs="Arial"/>
          <w:sz w:val="24"/>
          <w:szCs w:val="24"/>
        </w:rPr>
        <w:footnoteReference w:id="55"/>
      </w:r>
      <w:r w:rsidR="00385E7C">
        <w:rPr>
          <w:rFonts w:ascii="Arial" w:hAnsi="Arial" w:cs="Arial"/>
          <w:sz w:val="24"/>
          <w:szCs w:val="24"/>
        </w:rPr>
        <w:t xml:space="preserve"> in relation to a compromise which had been entered into in regard to a contract which had also been concluded contrary to procurement legislation.     </w:t>
      </w:r>
    </w:p>
    <w:p w14:paraId="472140F7" w14:textId="6A9518F5" w:rsidR="00803720" w:rsidRPr="00803720" w:rsidRDefault="00803720" w:rsidP="00803720">
      <w:pPr>
        <w:adjustRightInd w:val="0"/>
        <w:spacing w:after="0" w:line="360" w:lineRule="auto"/>
        <w:contextualSpacing/>
        <w:jc w:val="both"/>
        <w:textAlignment w:val="baseline"/>
        <w:rPr>
          <w:rFonts w:ascii="Arial" w:hAnsi="Arial" w:cs="Arial"/>
          <w:b/>
          <w:bCs/>
          <w:sz w:val="24"/>
          <w:szCs w:val="24"/>
        </w:rPr>
      </w:pPr>
      <w:r w:rsidRPr="00803720">
        <w:rPr>
          <w:rFonts w:ascii="Arial" w:hAnsi="Arial" w:cs="Arial"/>
          <w:b/>
          <w:bCs/>
          <w:sz w:val="24"/>
          <w:szCs w:val="24"/>
        </w:rPr>
        <w:t>Towards a conclusion</w:t>
      </w:r>
    </w:p>
    <w:p w14:paraId="7650B6F2" w14:textId="72785A84" w:rsidR="00644602"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74.</w:t>
      </w:r>
      <w:r>
        <w:rPr>
          <w:rFonts w:ascii="Arial" w:hAnsi="Arial" w:cs="Arial"/>
          <w:sz w:val="24"/>
          <w:szCs w:val="24"/>
        </w:rPr>
        <w:tab/>
      </w:r>
      <w:r w:rsidR="00644602">
        <w:rPr>
          <w:rFonts w:ascii="Arial" w:hAnsi="Arial" w:cs="Arial"/>
          <w:sz w:val="24"/>
          <w:szCs w:val="24"/>
        </w:rPr>
        <w:t xml:space="preserve">As was pointed out in </w:t>
      </w:r>
      <w:r w:rsidR="00644602" w:rsidRPr="00644602">
        <w:rPr>
          <w:rFonts w:ascii="Arial" w:hAnsi="Arial" w:cs="Arial"/>
          <w:i/>
          <w:iCs/>
          <w:sz w:val="24"/>
          <w:szCs w:val="24"/>
        </w:rPr>
        <w:t>MV</w:t>
      </w:r>
      <w:r w:rsidR="00644602">
        <w:rPr>
          <w:rFonts w:ascii="Arial" w:hAnsi="Arial" w:cs="Arial"/>
          <w:sz w:val="24"/>
          <w:szCs w:val="24"/>
        </w:rPr>
        <w:t xml:space="preserve"> </w:t>
      </w:r>
      <w:r w:rsidR="00644602" w:rsidRPr="00644602">
        <w:rPr>
          <w:rFonts w:ascii="Arial" w:hAnsi="Arial" w:cs="Arial"/>
          <w:i/>
          <w:iCs/>
          <w:sz w:val="24"/>
          <w:szCs w:val="24"/>
        </w:rPr>
        <w:t>Yu Long Shan</w:t>
      </w:r>
      <w:r w:rsidR="00644602">
        <w:rPr>
          <w:rFonts w:ascii="Arial" w:hAnsi="Arial" w:cs="Arial"/>
          <w:i/>
          <w:iCs/>
          <w:sz w:val="24"/>
          <w:szCs w:val="24"/>
        </w:rPr>
        <w:t xml:space="preserve"> </w:t>
      </w:r>
      <w:r w:rsidR="00644602">
        <w:rPr>
          <w:rStyle w:val="FootnoteReference"/>
          <w:rFonts w:ascii="Arial" w:hAnsi="Arial" w:cs="Arial"/>
          <w:sz w:val="24"/>
          <w:szCs w:val="24"/>
        </w:rPr>
        <w:footnoteReference w:id="56"/>
      </w:r>
      <w:r w:rsidR="00644602">
        <w:rPr>
          <w:rFonts w:ascii="Arial" w:hAnsi="Arial" w:cs="Arial"/>
          <w:sz w:val="24"/>
          <w:szCs w:val="24"/>
        </w:rPr>
        <w:t xml:space="preserve"> a cause of action which is based on an arbitral award (or a judgment or order of court) is entirely derivative, in the sense </w:t>
      </w:r>
      <w:r w:rsidR="00644602">
        <w:rPr>
          <w:rFonts w:ascii="Arial" w:hAnsi="Arial" w:cs="Arial"/>
          <w:sz w:val="24"/>
          <w:szCs w:val="24"/>
        </w:rPr>
        <w:lastRenderedPageBreak/>
        <w:t xml:space="preserve">that it owes its existence to the prior existence of an antecedent cause of action, which is ‘good in fact and law’. </w:t>
      </w:r>
    </w:p>
    <w:p w14:paraId="217CAF3C" w14:textId="5239121A" w:rsidR="005C6514"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75.</w:t>
      </w:r>
      <w:r>
        <w:rPr>
          <w:rFonts w:ascii="Arial" w:hAnsi="Arial" w:cs="Arial"/>
          <w:sz w:val="24"/>
          <w:szCs w:val="24"/>
        </w:rPr>
        <w:tab/>
      </w:r>
      <w:r w:rsidR="00644602">
        <w:rPr>
          <w:rFonts w:ascii="Arial" w:hAnsi="Arial" w:cs="Arial"/>
          <w:sz w:val="24"/>
          <w:szCs w:val="24"/>
        </w:rPr>
        <w:t xml:space="preserve">The </w:t>
      </w:r>
      <w:r w:rsidR="00910542">
        <w:rPr>
          <w:rFonts w:ascii="Arial" w:hAnsi="Arial" w:cs="Arial"/>
          <w:sz w:val="24"/>
          <w:szCs w:val="24"/>
        </w:rPr>
        <w:t xml:space="preserve">antecedent cause of action of the </w:t>
      </w:r>
      <w:r w:rsidR="00644602">
        <w:rPr>
          <w:rFonts w:ascii="Arial" w:hAnsi="Arial" w:cs="Arial"/>
          <w:sz w:val="24"/>
          <w:szCs w:val="24"/>
        </w:rPr>
        <w:t xml:space="preserve">award in this matter </w:t>
      </w:r>
      <w:r w:rsidR="00715329">
        <w:rPr>
          <w:rFonts w:ascii="Arial" w:hAnsi="Arial" w:cs="Arial"/>
          <w:sz w:val="24"/>
          <w:szCs w:val="24"/>
        </w:rPr>
        <w:t>i</w:t>
      </w:r>
      <w:r w:rsidR="00644602">
        <w:rPr>
          <w:rFonts w:ascii="Arial" w:hAnsi="Arial" w:cs="Arial"/>
          <w:sz w:val="24"/>
          <w:szCs w:val="24"/>
        </w:rPr>
        <w:t xml:space="preserve">s </w:t>
      </w:r>
      <w:r w:rsidR="00910542">
        <w:rPr>
          <w:rFonts w:ascii="Arial" w:hAnsi="Arial" w:cs="Arial"/>
          <w:sz w:val="24"/>
          <w:szCs w:val="24"/>
        </w:rPr>
        <w:t>the</w:t>
      </w:r>
      <w:r w:rsidR="00644602">
        <w:rPr>
          <w:rFonts w:ascii="Arial" w:hAnsi="Arial" w:cs="Arial"/>
          <w:sz w:val="24"/>
          <w:szCs w:val="24"/>
        </w:rPr>
        <w:t xml:space="preserve"> compromise in the form of the third AOD, which was </w:t>
      </w:r>
      <w:r w:rsidR="00FA0D17">
        <w:rPr>
          <w:rFonts w:ascii="Arial" w:hAnsi="Arial" w:cs="Arial"/>
          <w:sz w:val="24"/>
          <w:szCs w:val="24"/>
        </w:rPr>
        <w:t>concluded</w:t>
      </w:r>
      <w:r w:rsidR="00910542">
        <w:rPr>
          <w:rFonts w:ascii="Arial" w:hAnsi="Arial" w:cs="Arial"/>
          <w:sz w:val="24"/>
          <w:szCs w:val="24"/>
        </w:rPr>
        <w:t xml:space="preserve"> </w:t>
      </w:r>
      <w:r w:rsidR="00644602">
        <w:rPr>
          <w:rFonts w:ascii="Arial" w:hAnsi="Arial" w:cs="Arial"/>
          <w:sz w:val="24"/>
          <w:szCs w:val="24"/>
        </w:rPr>
        <w:t xml:space="preserve">by agreement </w:t>
      </w:r>
      <w:r w:rsidR="00910542">
        <w:rPr>
          <w:rFonts w:ascii="Arial" w:hAnsi="Arial" w:cs="Arial"/>
          <w:sz w:val="24"/>
          <w:szCs w:val="24"/>
        </w:rPr>
        <w:t xml:space="preserve">between the parties, </w:t>
      </w:r>
      <w:r w:rsidR="00644602">
        <w:rPr>
          <w:rFonts w:ascii="Arial" w:hAnsi="Arial" w:cs="Arial"/>
          <w:sz w:val="24"/>
          <w:szCs w:val="24"/>
        </w:rPr>
        <w:t xml:space="preserve">in </w:t>
      </w:r>
      <w:r w:rsidR="00910542">
        <w:rPr>
          <w:rFonts w:ascii="Arial" w:hAnsi="Arial" w:cs="Arial"/>
          <w:sz w:val="24"/>
          <w:szCs w:val="24"/>
        </w:rPr>
        <w:t xml:space="preserve">August 2019. On either of </w:t>
      </w:r>
      <w:r w:rsidR="005C6514">
        <w:rPr>
          <w:rFonts w:ascii="Arial" w:hAnsi="Arial" w:cs="Arial"/>
          <w:sz w:val="24"/>
          <w:szCs w:val="24"/>
        </w:rPr>
        <w:t xml:space="preserve">the </w:t>
      </w:r>
      <w:r w:rsidR="00910542">
        <w:rPr>
          <w:rFonts w:ascii="Arial" w:hAnsi="Arial" w:cs="Arial"/>
          <w:sz w:val="24"/>
          <w:szCs w:val="24"/>
        </w:rPr>
        <w:t xml:space="preserve">parties’ versions of how it came to be provided, it in turn was </w:t>
      </w:r>
      <w:r w:rsidR="005C6514">
        <w:rPr>
          <w:rFonts w:ascii="Arial" w:hAnsi="Arial" w:cs="Arial"/>
          <w:sz w:val="24"/>
          <w:szCs w:val="24"/>
        </w:rPr>
        <w:t xml:space="preserve">related to, or </w:t>
      </w:r>
      <w:r w:rsidR="00910542">
        <w:rPr>
          <w:rFonts w:ascii="Arial" w:hAnsi="Arial" w:cs="Arial"/>
          <w:sz w:val="24"/>
          <w:szCs w:val="24"/>
        </w:rPr>
        <w:t>derived from, the earlier AODs</w:t>
      </w:r>
      <w:r w:rsidR="005C6514">
        <w:rPr>
          <w:rFonts w:ascii="Arial" w:hAnsi="Arial" w:cs="Arial"/>
          <w:sz w:val="24"/>
          <w:szCs w:val="24"/>
        </w:rPr>
        <w:t xml:space="preserve">, to a lesser or greater extent, depending on which version one considers. </w:t>
      </w:r>
    </w:p>
    <w:p w14:paraId="5D623075" w14:textId="3650BB95" w:rsidR="00FA0D17"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76.</w:t>
      </w:r>
      <w:r>
        <w:rPr>
          <w:rFonts w:ascii="Arial" w:hAnsi="Arial" w:cs="Arial"/>
          <w:sz w:val="24"/>
          <w:szCs w:val="24"/>
        </w:rPr>
        <w:tab/>
      </w:r>
      <w:r w:rsidR="005C6514">
        <w:rPr>
          <w:rFonts w:ascii="Arial" w:hAnsi="Arial" w:cs="Arial"/>
          <w:sz w:val="24"/>
          <w:szCs w:val="24"/>
        </w:rPr>
        <w:t xml:space="preserve">On the strength of the principles which </w:t>
      </w:r>
      <w:r w:rsidR="00FA0D17">
        <w:rPr>
          <w:rFonts w:ascii="Arial" w:hAnsi="Arial" w:cs="Arial"/>
          <w:sz w:val="24"/>
          <w:szCs w:val="24"/>
        </w:rPr>
        <w:t>a</w:t>
      </w:r>
      <w:r w:rsidR="005C6514">
        <w:rPr>
          <w:rFonts w:ascii="Arial" w:hAnsi="Arial" w:cs="Arial"/>
          <w:sz w:val="24"/>
          <w:szCs w:val="24"/>
        </w:rPr>
        <w:t>re set out in the preceding section, it follows that the fact that the award was based on a compromise, which in law constitutes a self</w:t>
      </w:r>
      <w:r w:rsidR="00AC4FDF">
        <w:rPr>
          <w:rFonts w:ascii="Arial" w:hAnsi="Arial" w:cs="Arial"/>
          <w:sz w:val="24"/>
          <w:szCs w:val="24"/>
        </w:rPr>
        <w:t>-</w:t>
      </w:r>
      <w:r w:rsidR="005C6514">
        <w:rPr>
          <w:rFonts w:ascii="Arial" w:hAnsi="Arial" w:cs="Arial"/>
          <w:sz w:val="24"/>
          <w:szCs w:val="24"/>
        </w:rPr>
        <w:t>standing agreement, does not necessarily mean that it was immune to any invalidity or illegality which affected the earlier AODs</w:t>
      </w:r>
      <w:r w:rsidR="00E92ACE">
        <w:rPr>
          <w:rFonts w:ascii="Arial" w:hAnsi="Arial" w:cs="Arial"/>
          <w:sz w:val="24"/>
          <w:szCs w:val="24"/>
        </w:rPr>
        <w:t xml:space="preserve">, and both the arbitrator and the Court a </w:t>
      </w:r>
      <w:r w:rsidR="00E92ACE" w:rsidRPr="00E92ACE">
        <w:rPr>
          <w:rFonts w:ascii="Arial" w:hAnsi="Arial" w:cs="Arial"/>
          <w:i/>
          <w:iCs/>
          <w:sz w:val="24"/>
          <w:szCs w:val="24"/>
        </w:rPr>
        <w:t>quo</w:t>
      </w:r>
      <w:r w:rsidR="00E92ACE">
        <w:rPr>
          <w:rFonts w:ascii="Arial" w:hAnsi="Arial" w:cs="Arial"/>
          <w:sz w:val="24"/>
          <w:szCs w:val="24"/>
        </w:rPr>
        <w:t xml:space="preserve"> erred in this regard</w:t>
      </w:r>
      <w:r w:rsidR="005C6514">
        <w:rPr>
          <w:rFonts w:ascii="Arial" w:hAnsi="Arial" w:cs="Arial"/>
          <w:sz w:val="24"/>
          <w:szCs w:val="24"/>
        </w:rPr>
        <w:t xml:space="preserve">. Depending on the nature and extent of the </w:t>
      </w:r>
      <w:r w:rsidR="0098709F">
        <w:rPr>
          <w:rFonts w:ascii="Arial" w:hAnsi="Arial" w:cs="Arial"/>
          <w:sz w:val="24"/>
          <w:szCs w:val="24"/>
        </w:rPr>
        <w:t xml:space="preserve">disability </w:t>
      </w:r>
      <w:r w:rsidR="00E92ACE">
        <w:rPr>
          <w:rFonts w:ascii="Arial" w:hAnsi="Arial" w:cs="Arial"/>
          <w:sz w:val="24"/>
          <w:szCs w:val="24"/>
        </w:rPr>
        <w:t xml:space="preserve">(i.e the invalidity/illegality) </w:t>
      </w:r>
      <w:r w:rsidR="005C6514">
        <w:rPr>
          <w:rFonts w:ascii="Arial" w:hAnsi="Arial" w:cs="Arial"/>
          <w:sz w:val="24"/>
          <w:szCs w:val="24"/>
        </w:rPr>
        <w:t xml:space="preserve">applicable, it may have infected the third AOD, and in turn the compromise on which it was based. </w:t>
      </w:r>
    </w:p>
    <w:p w14:paraId="5E49F5E2" w14:textId="41F02F3B" w:rsidR="00A6180F"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77.</w:t>
      </w:r>
      <w:r>
        <w:rPr>
          <w:rFonts w:ascii="Arial" w:hAnsi="Arial" w:cs="Arial"/>
          <w:sz w:val="24"/>
          <w:szCs w:val="24"/>
        </w:rPr>
        <w:tab/>
      </w:r>
      <w:r w:rsidR="00715329">
        <w:rPr>
          <w:rFonts w:ascii="Arial" w:hAnsi="Arial" w:cs="Arial"/>
          <w:sz w:val="24"/>
          <w:szCs w:val="24"/>
        </w:rPr>
        <w:t xml:space="preserve">This </w:t>
      </w:r>
      <w:r w:rsidR="00E92ACE">
        <w:rPr>
          <w:rFonts w:ascii="Arial" w:hAnsi="Arial" w:cs="Arial"/>
          <w:sz w:val="24"/>
          <w:szCs w:val="24"/>
        </w:rPr>
        <w:t xml:space="preserve">in </w:t>
      </w:r>
      <w:r w:rsidR="00715329">
        <w:rPr>
          <w:rFonts w:ascii="Arial" w:hAnsi="Arial" w:cs="Arial"/>
          <w:sz w:val="24"/>
          <w:szCs w:val="24"/>
        </w:rPr>
        <w:t xml:space="preserve">turn </w:t>
      </w:r>
      <w:r w:rsidR="0098709F">
        <w:rPr>
          <w:rFonts w:ascii="Arial" w:hAnsi="Arial" w:cs="Arial"/>
          <w:sz w:val="24"/>
          <w:szCs w:val="24"/>
        </w:rPr>
        <w:t>impact</w:t>
      </w:r>
      <w:r w:rsidR="00E92ACE">
        <w:rPr>
          <w:rFonts w:ascii="Arial" w:hAnsi="Arial" w:cs="Arial"/>
          <w:sz w:val="24"/>
          <w:szCs w:val="24"/>
        </w:rPr>
        <w:t xml:space="preserve">ed </w:t>
      </w:r>
      <w:r w:rsidR="0098709F">
        <w:rPr>
          <w:rFonts w:ascii="Arial" w:hAnsi="Arial" w:cs="Arial"/>
          <w:sz w:val="24"/>
          <w:szCs w:val="24"/>
        </w:rPr>
        <w:t>upon</w:t>
      </w:r>
      <w:r w:rsidR="00715329">
        <w:rPr>
          <w:rFonts w:ascii="Arial" w:hAnsi="Arial" w:cs="Arial"/>
          <w:sz w:val="24"/>
          <w:szCs w:val="24"/>
        </w:rPr>
        <w:t xml:space="preserve"> the </w:t>
      </w:r>
      <w:r w:rsidR="00A6180F">
        <w:rPr>
          <w:rFonts w:ascii="Arial" w:hAnsi="Arial" w:cs="Arial"/>
          <w:sz w:val="24"/>
          <w:szCs w:val="24"/>
        </w:rPr>
        <w:t xml:space="preserve">determination which the </w:t>
      </w:r>
      <w:r w:rsidR="00715329">
        <w:rPr>
          <w:rFonts w:ascii="Arial" w:hAnsi="Arial" w:cs="Arial"/>
          <w:sz w:val="24"/>
          <w:szCs w:val="24"/>
        </w:rPr>
        <w:t xml:space="preserve">Court </w:t>
      </w:r>
      <w:r w:rsidR="00E92ACE">
        <w:rPr>
          <w:rFonts w:ascii="Arial" w:hAnsi="Arial" w:cs="Arial"/>
          <w:sz w:val="24"/>
          <w:szCs w:val="24"/>
        </w:rPr>
        <w:t>had to</w:t>
      </w:r>
      <w:r w:rsidR="00715329">
        <w:rPr>
          <w:rFonts w:ascii="Arial" w:hAnsi="Arial" w:cs="Arial"/>
          <w:sz w:val="24"/>
          <w:szCs w:val="24"/>
        </w:rPr>
        <w:t xml:space="preserve"> </w:t>
      </w:r>
      <w:r w:rsidR="00A6180F">
        <w:rPr>
          <w:rFonts w:ascii="Arial" w:hAnsi="Arial" w:cs="Arial"/>
          <w:sz w:val="24"/>
          <w:szCs w:val="24"/>
        </w:rPr>
        <w:t xml:space="preserve">make in terms of </w:t>
      </w:r>
      <w:r w:rsidR="00A6180F" w:rsidRPr="00A6180F">
        <w:rPr>
          <w:rFonts w:ascii="Arial" w:hAnsi="Arial" w:cs="Arial"/>
          <w:i/>
          <w:iCs/>
          <w:sz w:val="24"/>
          <w:szCs w:val="24"/>
        </w:rPr>
        <w:t>Cool Ideas</w:t>
      </w:r>
      <w:r w:rsidR="00A6180F">
        <w:rPr>
          <w:rFonts w:ascii="Arial" w:hAnsi="Arial" w:cs="Arial"/>
          <w:sz w:val="24"/>
          <w:szCs w:val="24"/>
        </w:rPr>
        <w:t>, as to whether or not to give effect to the award in the interests of party autonomy, or whether it should be held that the enforcement of the award w</w:t>
      </w:r>
      <w:r w:rsidR="00FA0D17">
        <w:rPr>
          <w:rFonts w:ascii="Arial" w:hAnsi="Arial" w:cs="Arial"/>
          <w:sz w:val="24"/>
          <w:szCs w:val="24"/>
        </w:rPr>
        <w:t>as</w:t>
      </w:r>
      <w:r w:rsidR="00A6180F">
        <w:rPr>
          <w:rFonts w:ascii="Arial" w:hAnsi="Arial" w:cs="Arial"/>
          <w:sz w:val="24"/>
          <w:szCs w:val="24"/>
        </w:rPr>
        <w:t xml:space="preserve"> against public policy.</w:t>
      </w:r>
      <w:r w:rsidR="00715329">
        <w:rPr>
          <w:rFonts w:ascii="Arial" w:hAnsi="Arial" w:cs="Arial"/>
          <w:sz w:val="24"/>
          <w:szCs w:val="24"/>
        </w:rPr>
        <w:t xml:space="preserve"> </w:t>
      </w:r>
      <w:r w:rsidR="003D0E32">
        <w:rPr>
          <w:rFonts w:ascii="Arial" w:hAnsi="Arial" w:cs="Arial"/>
          <w:sz w:val="24"/>
          <w:szCs w:val="24"/>
        </w:rPr>
        <w:t xml:space="preserve">The Court a </w:t>
      </w:r>
      <w:r w:rsidR="003D0E32" w:rsidRPr="003D0E32">
        <w:rPr>
          <w:rFonts w:ascii="Arial" w:hAnsi="Arial" w:cs="Arial"/>
          <w:i/>
          <w:iCs/>
          <w:sz w:val="24"/>
          <w:szCs w:val="24"/>
        </w:rPr>
        <w:t>quo</w:t>
      </w:r>
      <w:r w:rsidR="00E92ACE">
        <w:rPr>
          <w:rFonts w:ascii="Arial" w:hAnsi="Arial" w:cs="Arial"/>
          <w:sz w:val="24"/>
          <w:szCs w:val="24"/>
        </w:rPr>
        <w:t xml:space="preserve"> did not </w:t>
      </w:r>
      <w:r w:rsidR="0044687D">
        <w:rPr>
          <w:rFonts w:ascii="Arial" w:hAnsi="Arial" w:cs="Arial"/>
          <w:sz w:val="24"/>
          <w:szCs w:val="24"/>
        </w:rPr>
        <w:t>come to</w:t>
      </w:r>
      <w:r w:rsidR="00E92ACE">
        <w:rPr>
          <w:rFonts w:ascii="Arial" w:hAnsi="Arial" w:cs="Arial"/>
          <w:sz w:val="24"/>
          <w:szCs w:val="24"/>
        </w:rPr>
        <w:t xml:space="preserve"> such a determination because it was of the view that as the third AOD constituted a compromise</w:t>
      </w:r>
      <w:r w:rsidR="003D0E32">
        <w:rPr>
          <w:rFonts w:ascii="Arial" w:hAnsi="Arial" w:cs="Arial"/>
          <w:sz w:val="24"/>
          <w:szCs w:val="24"/>
        </w:rPr>
        <w:t>,</w:t>
      </w:r>
      <w:r w:rsidR="003D0E32" w:rsidRPr="003D0E32">
        <w:rPr>
          <w:rFonts w:ascii="Arial" w:hAnsi="Arial" w:cs="Arial"/>
          <w:sz w:val="24"/>
          <w:szCs w:val="24"/>
        </w:rPr>
        <w:t xml:space="preserve"> </w:t>
      </w:r>
      <w:r w:rsidR="003D0E32">
        <w:rPr>
          <w:rFonts w:ascii="Arial" w:hAnsi="Arial" w:cs="Arial"/>
          <w:sz w:val="24"/>
          <w:szCs w:val="24"/>
        </w:rPr>
        <w:t xml:space="preserve">in terms of the decision in </w:t>
      </w:r>
      <w:r w:rsidR="003D0E32" w:rsidRPr="00E92ACE">
        <w:rPr>
          <w:rFonts w:ascii="Arial" w:hAnsi="Arial" w:cs="Arial"/>
          <w:i/>
          <w:iCs/>
          <w:sz w:val="24"/>
          <w:szCs w:val="24"/>
        </w:rPr>
        <w:t>Benefeld</w:t>
      </w:r>
      <w:r w:rsidR="00E92ACE">
        <w:rPr>
          <w:rFonts w:ascii="Arial" w:hAnsi="Arial" w:cs="Arial"/>
          <w:sz w:val="24"/>
          <w:szCs w:val="24"/>
        </w:rPr>
        <w:t xml:space="preserve"> it was an independent agreement which was unaffected by what preceded it, and what public policy required did not come into </w:t>
      </w:r>
      <w:r w:rsidR="00825C44">
        <w:rPr>
          <w:rFonts w:ascii="Arial" w:hAnsi="Arial" w:cs="Arial"/>
          <w:sz w:val="24"/>
          <w:szCs w:val="24"/>
        </w:rPr>
        <w:t>play</w:t>
      </w:r>
      <w:r w:rsidR="00E92ACE">
        <w:rPr>
          <w:rFonts w:ascii="Arial" w:hAnsi="Arial" w:cs="Arial"/>
          <w:sz w:val="24"/>
          <w:szCs w:val="24"/>
        </w:rPr>
        <w:t xml:space="preserve">. </w:t>
      </w:r>
    </w:p>
    <w:p w14:paraId="3F63690D" w14:textId="7B06762A" w:rsidR="00420F9A" w:rsidRPr="00A6180F" w:rsidRDefault="00601627" w:rsidP="00601627">
      <w:pPr>
        <w:adjustRightInd w:val="0"/>
        <w:spacing w:after="0" w:line="360" w:lineRule="auto"/>
        <w:ind w:left="720" w:hanging="720"/>
        <w:contextualSpacing/>
        <w:jc w:val="both"/>
        <w:textAlignment w:val="baseline"/>
        <w:rPr>
          <w:rFonts w:ascii="Arial" w:hAnsi="Arial" w:cs="Arial"/>
          <w:sz w:val="24"/>
          <w:szCs w:val="24"/>
        </w:rPr>
      </w:pPr>
      <w:r w:rsidRPr="00A6180F">
        <w:rPr>
          <w:rFonts w:ascii="Arial" w:hAnsi="Arial" w:cs="Arial"/>
          <w:sz w:val="24"/>
          <w:szCs w:val="24"/>
        </w:rPr>
        <w:t>78.</w:t>
      </w:r>
      <w:r w:rsidRPr="00A6180F">
        <w:rPr>
          <w:rFonts w:ascii="Arial" w:hAnsi="Arial" w:cs="Arial"/>
          <w:sz w:val="24"/>
          <w:szCs w:val="24"/>
        </w:rPr>
        <w:tab/>
      </w:r>
      <w:r w:rsidR="00A6180F" w:rsidRPr="00A6180F">
        <w:rPr>
          <w:rFonts w:ascii="Arial" w:hAnsi="Arial" w:cs="Arial"/>
          <w:sz w:val="24"/>
          <w:szCs w:val="24"/>
        </w:rPr>
        <w:t>In the circumstances</w:t>
      </w:r>
      <w:r w:rsidR="005C6514" w:rsidRPr="00A6180F">
        <w:rPr>
          <w:rFonts w:ascii="Arial" w:hAnsi="Arial" w:cs="Arial"/>
          <w:sz w:val="24"/>
          <w:szCs w:val="24"/>
        </w:rPr>
        <w:t xml:space="preserve"> one is required</w:t>
      </w:r>
      <w:r w:rsidR="00A6180F" w:rsidRPr="00A6180F">
        <w:rPr>
          <w:rFonts w:ascii="Arial" w:hAnsi="Arial" w:cs="Arial"/>
          <w:sz w:val="24"/>
          <w:szCs w:val="24"/>
        </w:rPr>
        <w:t>, of necessity,</w:t>
      </w:r>
      <w:r w:rsidR="005C6514" w:rsidRPr="00A6180F">
        <w:rPr>
          <w:rFonts w:ascii="Arial" w:hAnsi="Arial" w:cs="Arial"/>
          <w:sz w:val="24"/>
          <w:szCs w:val="24"/>
        </w:rPr>
        <w:t xml:space="preserve"> to start with the first two AODs, and to evaluate them.</w:t>
      </w:r>
      <w:r w:rsidR="00A6180F">
        <w:rPr>
          <w:rFonts w:ascii="Arial" w:hAnsi="Arial" w:cs="Arial"/>
          <w:sz w:val="24"/>
          <w:szCs w:val="24"/>
        </w:rPr>
        <w:t xml:space="preserve"> </w:t>
      </w:r>
      <w:r w:rsidR="00420F9A" w:rsidRPr="00A6180F">
        <w:rPr>
          <w:rFonts w:ascii="Arial" w:hAnsi="Arial" w:cs="Arial"/>
          <w:sz w:val="24"/>
          <w:szCs w:val="24"/>
        </w:rPr>
        <w:t>It is common cause that inasmuch as the</w:t>
      </w:r>
      <w:r w:rsidR="00A6180F">
        <w:rPr>
          <w:rFonts w:ascii="Arial" w:hAnsi="Arial" w:cs="Arial"/>
          <w:sz w:val="24"/>
          <w:szCs w:val="24"/>
        </w:rPr>
        <w:t xml:space="preserve">y </w:t>
      </w:r>
      <w:r w:rsidR="00420F9A" w:rsidRPr="00A6180F">
        <w:rPr>
          <w:rFonts w:ascii="Arial" w:hAnsi="Arial" w:cs="Arial"/>
          <w:sz w:val="24"/>
          <w:szCs w:val="24"/>
        </w:rPr>
        <w:t xml:space="preserve">were agreements </w:t>
      </w:r>
      <w:r w:rsidR="00A6180F">
        <w:rPr>
          <w:rFonts w:ascii="Arial" w:hAnsi="Arial" w:cs="Arial"/>
          <w:sz w:val="24"/>
          <w:szCs w:val="24"/>
        </w:rPr>
        <w:t>whereby</w:t>
      </w:r>
      <w:r w:rsidR="00420F9A" w:rsidRPr="00A6180F">
        <w:rPr>
          <w:rFonts w:ascii="Arial" w:hAnsi="Arial" w:cs="Arial"/>
          <w:sz w:val="24"/>
          <w:szCs w:val="24"/>
        </w:rPr>
        <w:t xml:space="preserve"> payment of the amounts which were owing </w:t>
      </w:r>
      <w:r w:rsidR="00A6180F">
        <w:rPr>
          <w:rFonts w:ascii="Arial" w:hAnsi="Arial" w:cs="Arial"/>
          <w:sz w:val="24"/>
          <w:szCs w:val="24"/>
        </w:rPr>
        <w:t>in terms thereof</w:t>
      </w:r>
      <w:r w:rsidR="00420F9A" w:rsidRPr="00A6180F">
        <w:rPr>
          <w:rFonts w:ascii="Arial" w:hAnsi="Arial" w:cs="Arial"/>
          <w:sz w:val="24"/>
          <w:szCs w:val="24"/>
        </w:rPr>
        <w:t xml:space="preserve"> were deferred and charges and fees were levied thereon, they constituted credit agreements in terms of the NCA.</w:t>
      </w:r>
      <w:r w:rsidR="00420F9A">
        <w:rPr>
          <w:rStyle w:val="FootnoteReference"/>
          <w:rFonts w:ascii="Arial" w:hAnsi="Arial" w:cs="Arial"/>
          <w:sz w:val="24"/>
          <w:szCs w:val="24"/>
        </w:rPr>
        <w:footnoteReference w:id="57"/>
      </w:r>
      <w:r w:rsidR="005C6514" w:rsidRPr="00A6180F">
        <w:rPr>
          <w:rFonts w:ascii="Arial" w:hAnsi="Arial" w:cs="Arial"/>
          <w:sz w:val="24"/>
          <w:szCs w:val="24"/>
        </w:rPr>
        <w:t xml:space="preserve"> </w:t>
      </w:r>
    </w:p>
    <w:p w14:paraId="4B21A27B" w14:textId="04242E07" w:rsidR="00CF3C8D"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79.</w:t>
      </w:r>
      <w:r>
        <w:rPr>
          <w:rFonts w:ascii="Arial" w:hAnsi="Arial" w:cs="Arial"/>
          <w:sz w:val="24"/>
          <w:szCs w:val="24"/>
        </w:rPr>
        <w:tab/>
      </w:r>
      <w:r w:rsidR="00420F9A">
        <w:rPr>
          <w:rFonts w:ascii="Arial" w:hAnsi="Arial" w:cs="Arial"/>
          <w:sz w:val="24"/>
          <w:szCs w:val="24"/>
        </w:rPr>
        <w:t xml:space="preserve">The NCA provides that a credit agreement is unlawful if at the time when it was made </w:t>
      </w:r>
      <w:r w:rsidR="00715329">
        <w:rPr>
          <w:rFonts w:ascii="Arial" w:hAnsi="Arial" w:cs="Arial"/>
          <w:sz w:val="24"/>
          <w:szCs w:val="24"/>
        </w:rPr>
        <w:t xml:space="preserve">the </w:t>
      </w:r>
      <w:r w:rsidR="00420F9A">
        <w:rPr>
          <w:rFonts w:ascii="Arial" w:hAnsi="Arial" w:cs="Arial"/>
          <w:sz w:val="24"/>
          <w:szCs w:val="24"/>
        </w:rPr>
        <w:t xml:space="preserve">credit provider was unregistered, </w:t>
      </w:r>
      <w:r w:rsidR="00715329">
        <w:rPr>
          <w:rFonts w:ascii="Arial" w:hAnsi="Arial" w:cs="Arial"/>
          <w:sz w:val="24"/>
          <w:szCs w:val="24"/>
        </w:rPr>
        <w:t>when the A</w:t>
      </w:r>
      <w:r w:rsidR="00420F9A">
        <w:rPr>
          <w:rFonts w:ascii="Arial" w:hAnsi="Arial" w:cs="Arial"/>
          <w:sz w:val="24"/>
          <w:szCs w:val="24"/>
        </w:rPr>
        <w:t xml:space="preserve">ct required him/her to be registered. In this regard, </w:t>
      </w:r>
      <w:r w:rsidR="00CF3C8D">
        <w:rPr>
          <w:rFonts w:ascii="Arial" w:hAnsi="Arial" w:cs="Arial"/>
          <w:sz w:val="24"/>
          <w:szCs w:val="24"/>
        </w:rPr>
        <w:t>when the loans were advanced</w:t>
      </w:r>
      <w:r w:rsidR="00420F9A">
        <w:rPr>
          <w:rFonts w:ascii="Arial" w:hAnsi="Arial" w:cs="Arial"/>
          <w:sz w:val="24"/>
          <w:szCs w:val="24"/>
        </w:rPr>
        <w:t xml:space="preserve"> </w:t>
      </w:r>
      <w:r w:rsidR="00CF3C8D">
        <w:rPr>
          <w:rFonts w:ascii="Arial" w:hAnsi="Arial" w:cs="Arial"/>
          <w:sz w:val="24"/>
          <w:szCs w:val="24"/>
        </w:rPr>
        <w:t xml:space="preserve">in 2015 the </w:t>
      </w:r>
      <w:r w:rsidR="00715329">
        <w:rPr>
          <w:rFonts w:ascii="Arial" w:hAnsi="Arial" w:cs="Arial"/>
          <w:sz w:val="24"/>
          <w:szCs w:val="24"/>
        </w:rPr>
        <w:t>A</w:t>
      </w:r>
      <w:r w:rsidR="00420F9A">
        <w:rPr>
          <w:rFonts w:ascii="Arial" w:hAnsi="Arial" w:cs="Arial"/>
          <w:sz w:val="24"/>
          <w:szCs w:val="24"/>
        </w:rPr>
        <w:t xml:space="preserve">ct provided </w:t>
      </w:r>
      <w:r w:rsidR="00420F9A">
        <w:rPr>
          <w:rFonts w:ascii="Arial" w:hAnsi="Arial" w:cs="Arial"/>
          <w:sz w:val="24"/>
          <w:szCs w:val="24"/>
        </w:rPr>
        <w:lastRenderedPageBreak/>
        <w:t xml:space="preserve">that a credit provider was to be registered if the total outstanding principal debt owing in terms of </w:t>
      </w:r>
      <w:r w:rsidR="00715329">
        <w:rPr>
          <w:rFonts w:ascii="Arial" w:hAnsi="Arial" w:cs="Arial"/>
          <w:sz w:val="24"/>
          <w:szCs w:val="24"/>
        </w:rPr>
        <w:t>a</w:t>
      </w:r>
      <w:r w:rsidR="00420F9A">
        <w:rPr>
          <w:rFonts w:ascii="Arial" w:hAnsi="Arial" w:cs="Arial"/>
          <w:sz w:val="24"/>
          <w:szCs w:val="24"/>
        </w:rPr>
        <w:t xml:space="preserve"> credit agreement exceeded </w:t>
      </w:r>
      <w:r w:rsidR="00715329">
        <w:rPr>
          <w:rFonts w:ascii="Arial" w:hAnsi="Arial" w:cs="Arial"/>
          <w:sz w:val="24"/>
          <w:szCs w:val="24"/>
        </w:rPr>
        <w:t>a</w:t>
      </w:r>
      <w:r w:rsidR="00420F9A">
        <w:rPr>
          <w:rFonts w:ascii="Arial" w:hAnsi="Arial" w:cs="Arial"/>
          <w:sz w:val="24"/>
          <w:szCs w:val="24"/>
        </w:rPr>
        <w:t xml:space="preserve"> prescribed threshold</w:t>
      </w:r>
      <w:r w:rsidR="0098709F">
        <w:rPr>
          <w:rFonts w:ascii="Arial" w:hAnsi="Arial" w:cs="Arial"/>
          <w:sz w:val="24"/>
          <w:szCs w:val="24"/>
        </w:rPr>
        <w:t xml:space="preserve"> of R 500 000</w:t>
      </w:r>
      <w:r w:rsidR="00CF3C8D">
        <w:rPr>
          <w:rFonts w:ascii="Arial" w:hAnsi="Arial" w:cs="Arial"/>
          <w:sz w:val="24"/>
          <w:szCs w:val="24"/>
        </w:rPr>
        <w:t xml:space="preserve">. As the capital value of the loans advanced by the respondent exceeded the statutory threshold, he was </w:t>
      </w:r>
      <w:r w:rsidR="00FA0D17">
        <w:rPr>
          <w:rFonts w:ascii="Arial" w:hAnsi="Arial" w:cs="Arial"/>
          <w:sz w:val="24"/>
          <w:szCs w:val="24"/>
        </w:rPr>
        <w:t xml:space="preserve">thus </w:t>
      </w:r>
      <w:r w:rsidR="00CF3C8D">
        <w:rPr>
          <w:rFonts w:ascii="Arial" w:hAnsi="Arial" w:cs="Arial"/>
          <w:sz w:val="24"/>
          <w:szCs w:val="24"/>
        </w:rPr>
        <w:t>required to be registered as a credit provider.</w:t>
      </w:r>
    </w:p>
    <w:p w14:paraId="6E0FB4E5" w14:textId="307E9B9A" w:rsidR="00420F9A" w:rsidRPr="00CF3C8D" w:rsidRDefault="00601627" w:rsidP="00601627">
      <w:pPr>
        <w:adjustRightInd w:val="0"/>
        <w:spacing w:after="0" w:line="360" w:lineRule="auto"/>
        <w:ind w:left="720" w:hanging="720"/>
        <w:contextualSpacing/>
        <w:jc w:val="both"/>
        <w:textAlignment w:val="baseline"/>
        <w:rPr>
          <w:rFonts w:ascii="Arial" w:hAnsi="Arial" w:cs="Arial"/>
          <w:sz w:val="24"/>
          <w:szCs w:val="24"/>
        </w:rPr>
      </w:pPr>
      <w:r w:rsidRPr="00CF3C8D">
        <w:rPr>
          <w:rFonts w:ascii="Arial" w:hAnsi="Arial" w:cs="Arial"/>
          <w:sz w:val="24"/>
          <w:szCs w:val="24"/>
        </w:rPr>
        <w:t>80.</w:t>
      </w:r>
      <w:r w:rsidRPr="00CF3C8D">
        <w:rPr>
          <w:rFonts w:ascii="Arial" w:hAnsi="Arial" w:cs="Arial"/>
          <w:sz w:val="24"/>
          <w:szCs w:val="24"/>
        </w:rPr>
        <w:tab/>
      </w:r>
      <w:r w:rsidR="00CF3C8D" w:rsidRPr="00CF3C8D">
        <w:rPr>
          <w:rFonts w:ascii="Arial" w:hAnsi="Arial" w:cs="Arial"/>
          <w:sz w:val="24"/>
          <w:szCs w:val="24"/>
        </w:rPr>
        <w:t>T</w:t>
      </w:r>
      <w:r w:rsidR="00420F9A" w:rsidRPr="00CF3C8D">
        <w:rPr>
          <w:rFonts w:ascii="Arial" w:hAnsi="Arial" w:cs="Arial"/>
          <w:sz w:val="24"/>
          <w:szCs w:val="24"/>
        </w:rPr>
        <w:t>h</w:t>
      </w:r>
      <w:r w:rsidR="00CF3C8D" w:rsidRPr="00CF3C8D">
        <w:rPr>
          <w:rFonts w:ascii="Arial" w:hAnsi="Arial" w:cs="Arial"/>
          <w:sz w:val="24"/>
          <w:szCs w:val="24"/>
        </w:rPr>
        <w:t>e threshold</w:t>
      </w:r>
      <w:r w:rsidR="00420F9A" w:rsidRPr="00CF3C8D">
        <w:rPr>
          <w:rFonts w:ascii="Arial" w:hAnsi="Arial" w:cs="Arial"/>
          <w:sz w:val="24"/>
          <w:szCs w:val="24"/>
        </w:rPr>
        <w:t xml:space="preserve"> requirement was subsequently removed </w:t>
      </w:r>
      <w:r w:rsidR="00715329" w:rsidRPr="00CF3C8D">
        <w:rPr>
          <w:rFonts w:ascii="Arial" w:hAnsi="Arial" w:cs="Arial"/>
          <w:sz w:val="24"/>
          <w:szCs w:val="24"/>
        </w:rPr>
        <w:t xml:space="preserve">by way of </w:t>
      </w:r>
      <w:r w:rsidR="00420F9A" w:rsidRPr="00CF3C8D">
        <w:rPr>
          <w:rFonts w:ascii="Arial" w:hAnsi="Arial" w:cs="Arial"/>
          <w:sz w:val="24"/>
          <w:szCs w:val="24"/>
        </w:rPr>
        <w:t>legislative amendment on 11 May 2016</w:t>
      </w:r>
      <w:r w:rsidR="001746CC">
        <w:rPr>
          <w:rFonts w:ascii="Arial" w:hAnsi="Arial" w:cs="Arial"/>
          <w:sz w:val="24"/>
          <w:szCs w:val="24"/>
        </w:rPr>
        <w:t>,</w:t>
      </w:r>
      <w:r w:rsidR="00CF3C8D" w:rsidRPr="00CF3C8D">
        <w:rPr>
          <w:rFonts w:ascii="Arial" w:hAnsi="Arial" w:cs="Arial"/>
          <w:sz w:val="24"/>
          <w:szCs w:val="24"/>
        </w:rPr>
        <w:t xml:space="preserve"> </w:t>
      </w:r>
      <w:r w:rsidR="00420F9A">
        <w:rPr>
          <w:rStyle w:val="FootnoteReference"/>
          <w:rFonts w:ascii="Arial" w:hAnsi="Arial" w:cs="Arial"/>
          <w:sz w:val="24"/>
          <w:szCs w:val="24"/>
        </w:rPr>
        <w:footnoteReference w:id="58"/>
      </w:r>
      <w:r w:rsidR="005C6514" w:rsidRPr="00CF3C8D">
        <w:rPr>
          <w:rFonts w:ascii="Arial" w:hAnsi="Arial" w:cs="Arial"/>
          <w:sz w:val="24"/>
          <w:szCs w:val="24"/>
        </w:rPr>
        <w:t xml:space="preserve"> </w:t>
      </w:r>
      <w:r w:rsidR="00420F9A" w:rsidRPr="00CF3C8D">
        <w:rPr>
          <w:rFonts w:ascii="Arial" w:hAnsi="Arial" w:cs="Arial"/>
          <w:sz w:val="24"/>
          <w:szCs w:val="24"/>
        </w:rPr>
        <w:t xml:space="preserve"> </w:t>
      </w:r>
      <w:r w:rsidR="00CF3C8D" w:rsidRPr="00CF3C8D">
        <w:rPr>
          <w:rFonts w:ascii="Arial" w:hAnsi="Arial" w:cs="Arial"/>
          <w:sz w:val="24"/>
          <w:szCs w:val="24"/>
        </w:rPr>
        <w:t xml:space="preserve">from which time </w:t>
      </w:r>
      <w:r w:rsidR="00420F9A" w:rsidRPr="00CF3C8D">
        <w:rPr>
          <w:rFonts w:ascii="Arial" w:hAnsi="Arial" w:cs="Arial"/>
          <w:sz w:val="24"/>
          <w:szCs w:val="24"/>
        </w:rPr>
        <w:t>in the case of non-commercial loans between natural persons, save for certain exceptions</w:t>
      </w:r>
      <w:r w:rsidR="00CF3C8D" w:rsidRPr="00CF3C8D">
        <w:rPr>
          <w:rFonts w:ascii="Arial" w:hAnsi="Arial" w:cs="Arial"/>
          <w:sz w:val="24"/>
          <w:szCs w:val="24"/>
        </w:rPr>
        <w:t>,</w:t>
      </w:r>
      <w:r w:rsidR="00715329">
        <w:rPr>
          <w:rStyle w:val="FootnoteReference"/>
          <w:rFonts w:ascii="Arial" w:hAnsi="Arial" w:cs="Arial"/>
          <w:sz w:val="24"/>
          <w:szCs w:val="24"/>
        </w:rPr>
        <w:footnoteReference w:id="59"/>
      </w:r>
      <w:r w:rsidR="00420F9A" w:rsidRPr="00CF3C8D">
        <w:rPr>
          <w:rFonts w:ascii="Arial" w:hAnsi="Arial" w:cs="Arial"/>
          <w:sz w:val="24"/>
          <w:szCs w:val="24"/>
        </w:rPr>
        <w:t xml:space="preserve"> registration </w:t>
      </w:r>
      <w:r w:rsidR="001746CC">
        <w:rPr>
          <w:rFonts w:ascii="Arial" w:hAnsi="Arial" w:cs="Arial"/>
          <w:sz w:val="24"/>
          <w:szCs w:val="24"/>
        </w:rPr>
        <w:t>i</w:t>
      </w:r>
      <w:r w:rsidR="00CF3C8D" w:rsidRPr="00CF3C8D">
        <w:rPr>
          <w:rFonts w:ascii="Arial" w:hAnsi="Arial" w:cs="Arial"/>
          <w:sz w:val="24"/>
          <w:szCs w:val="24"/>
        </w:rPr>
        <w:t>s</w:t>
      </w:r>
      <w:r w:rsidR="00420F9A" w:rsidRPr="00CF3C8D">
        <w:rPr>
          <w:rFonts w:ascii="Arial" w:hAnsi="Arial" w:cs="Arial"/>
          <w:sz w:val="24"/>
          <w:szCs w:val="24"/>
        </w:rPr>
        <w:t xml:space="preserve"> required</w:t>
      </w:r>
      <w:r w:rsidR="00CF3C8D" w:rsidRPr="00CF3C8D">
        <w:rPr>
          <w:rFonts w:ascii="Arial" w:hAnsi="Arial" w:cs="Arial"/>
          <w:sz w:val="24"/>
          <w:szCs w:val="24"/>
        </w:rPr>
        <w:t xml:space="preserve"> </w:t>
      </w:r>
      <w:r w:rsidR="00420F9A" w:rsidRPr="00CF3C8D">
        <w:rPr>
          <w:rFonts w:ascii="Arial" w:hAnsi="Arial" w:cs="Arial"/>
          <w:sz w:val="24"/>
          <w:szCs w:val="24"/>
        </w:rPr>
        <w:t>for all credit providers, even those extending credit on a once</w:t>
      </w:r>
      <w:r w:rsidR="00A6180F" w:rsidRPr="00CF3C8D">
        <w:rPr>
          <w:rFonts w:ascii="Arial" w:hAnsi="Arial" w:cs="Arial"/>
          <w:sz w:val="24"/>
          <w:szCs w:val="24"/>
        </w:rPr>
        <w:t>-</w:t>
      </w:r>
      <w:r w:rsidR="00420F9A" w:rsidRPr="00CF3C8D">
        <w:rPr>
          <w:rFonts w:ascii="Arial" w:hAnsi="Arial" w:cs="Arial"/>
          <w:sz w:val="24"/>
          <w:szCs w:val="24"/>
        </w:rPr>
        <w:t>off basis.</w:t>
      </w:r>
      <w:r w:rsidR="008024EC">
        <w:rPr>
          <w:rStyle w:val="FootnoteReference"/>
          <w:rFonts w:ascii="Arial" w:hAnsi="Arial" w:cs="Arial"/>
          <w:sz w:val="24"/>
          <w:szCs w:val="24"/>
        </w:rPr>
        <w:footnoteReference w:id="60"/>
      </w:r>
      <w:r w:rsidR="0098709F" w:rsidRPr="00CF3C8D">
        <w:rPr>
          <w:rFonts w:ascii="Arial" w:hAnsi="Arial" w:cs="Arial"/>
          <w:sz w:val="24"/>
          <w:szCs w:val="24"/>
        </w:rPr>
        <w:t xml:space="preserve"> </w:t>
      </w:r>
      <w:r w:rsidR="00CF3C8D" w:rsidRPr="00CF3C8D">
        <w:rPr>
          <w:rFonts w:ascii="Arial" w:hAnsi="Arial" w:cs="Arial"/>
          <w:sz w:val="24"/>
          <w:szCs w:val="24"/>
        </w:rPr>
        <w:t xml:space="preserve"> </w:t>
      </w:r>
    </w:p>
    <w:p w14:paraId="20F0737B" w14:textId="291BF479" w:rsidR="0044687D"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81.</w:t>
      </w:r>
      <w:r>
        <w:rPr>
          <w:rFonts w:ascii="Arial" w:hAnsi="Arial" w:cs="Arial"/>
          <w:sz w:val="24"/>
          <w:szCs w:val="24"/>
        </w:rPr>
        <w:tab/>
      </w:r>
      <w:r w:rsidR="00420F9A">
        <w:rPr>
          <w:rFonts w:ascii="Arial" w:hAnsi="Arial" w:cs="Arial"/>
          <w:sz w:val="24"/>
          <w:szCs w:val="24"/>
        </w:rPr>
        <w:t xml:space="preserve">In the circumstances, </w:t>
      </w:r>
      <w:r w:rsidR="00CF3C8D">
        <w:rPr>
          <w:rFonts w:ascii="Arial" w:hAnsi="Arial" w:cs="Arial"/>
          <w:sz w:val="24"/>
          <w:szCs w:val="24"/>
        </w:rPr>
        <w:t xml:space="preserve">on this basis alone </w:t>
      </w:r>
      <w:r w:rsidR="00420F9A">
        <w:rPr>
          <w:rFonts w:ascii="Arial" w:hAnsi="Arial" w:cs="Arial"/>
          <w:sz w:val="24"/>
          <w:szCs w:val="24"/>
        </w:rPr>
        <w:t xml:space="preserve">the </w:t>
      </w:r>
      <w:r w:rsidR="00A6180F">
        <w:rPr>
          <w:rFonts w:ascii="Arial" w:hAnsi="Arial" w:cs="Arial"/>
          <w:sz w:val="24"/>
          <w:szCs w:val="24"/>
        </w:rPr>
        <w:t>first two</w:t>
      </w:r>
      <w:r w:rsidR="00420F9A">
        <w:rPr>
          <w:rFonts w:ascii="Arial" w:hAnsi="Arial" w:cs="Arial"/>
          <w:sz w:val="24"/>
          <w:szCs w:val="24"/>
        </w:rPr>
        <w:t xml:space="preserve"> AOD</w:t>
      </w:r>
      <w:r w:rsidR="003D0E32">
        <w:rPr>
          <w:rFonts w:ascii="Arial" w:hAnsi="Arial" w:cs="Arial"/>
          <w:sz w:val="24"/>
          <w:szCs w:val="24"/>
        </w:rPr>
        <w:t>s</w:t>
      </w:r>
      <w:r w:rsidR="00420F9A">
        <w:rPr>
          <w:rFonts w:ascii="Arial" w:hAnsi="Arial" w:cs="Arial"/>
          <w:sz w:val="24"/>
          <w:szCs w:val="24"/>
        </w:rPr>
        <w:t xml:space="preserve"> </w:t>
      </w:r>
      <w:r w:rsidR="00A6180F">
        <w:rPr>
          <w:rFonts w:ascii="Arial" w:hAnsi="Arial" w:cs="Arial"/>
          <w:sz w:val="24"/>
          <w:szCs w:val="24"/>
        </w:rPr>
        <w:t>were</w:t>
      </w:r>
      <w:r w:rsidR="00420F9A">
        <w:rPr>
          <w:rFonts w:ascii="Arial" w:hAnsi="Arial" w:cs="Arial"/>
          <w:sz w:val="24"/>
          <w:szCs w:val="24"/>
        </w:rPr>
        <w:t xml:space="preserve"> unlawful agreements.</w:t>
      </w:r>
      <w:r w:rsidR="00420F9A">
        <w:rPr>
          <w:rStyle w:val="FootnoteReference"/>
          <w:rFonts w:ascii="Arial" w:hAnsi="Arial" w:cs="Arial"/>
          <w:sz w:val="24"/>
          <w:szCs w:val="24"/>
        </w:rPr>
        <w:footnoteReference w:id="61"/>
      </w:r>
      <w:r w:rsidR="005C6514">
        <w:rPr>
          <w:rFonts w:ascii="Arial" w:hAnsi="Arial" w:cs="Arial"/>
          <w:sz w:val="24"/>
          <w:szCs w:val="24"/>
        </w:rPr>
        <w:t xml:space="preserve"> </w:t>
      </w:r>
      <w:r w:rsidR="00A6180F">
        <w:rPr>
          <w:rFonts w:ascii="Arial" w:hAnsi="Arial" w:cs="Arial"/>
          <w:sz w:val="24"/>
          <w:szCs w:val="24"/>
        </w:rPr>
        <w:t xml:space="preserve">As such, they were obviously also invalid. However, as they were given effect to voluntarily by the parties, no issue arose at the time as to their enforceability. When the appellant began defaulting on his obligations in terms thereof, the respondent </w:t>
      </w:r>
      <w:r w:rsidR="003D0E32">
        <w:rPr>
          <w:rFonts w:ascii="Arial" w:hAnsi="Arial" w:cs="Arial"/>
          <w:sz w:val="24"/>
          <w:szCs w:val="24"/>
        </w:rPr>
        <w:t>made a claim</w:t>
      </w:r>
      <w:r w:rsidR="00A6180F">
        <w:rPr>
          <w:rFonts w:ascii="Arial" w:hAnsi="Arial" w:cs="Arial"/>
          <w:sz w:val="24"/>
          <w:szCs w:val="24"/>
        </w:rPr>
        <w:t xml:space="preserve"> against him, based on the agreements, which was resisted. </w:t>
      </w:r>
    </w:p>
    <w:p w14:paraId="70DA81EF" w14:textId="34833884" w:rsidR="0098709F" w:rsidRPr="0098709F" w:rsidRDefault="00601627" w:rsidP="00601627">
      <w:pPr>
        <w:adjustRightInd w:val="0"/>
        <w:spacing w:after="0" w:line="360" w:lineRule="auto"/>
        <w:ind w:left="720" w:hanging="720"/>
        <w:contextualSpacing/>
        <w:jc w:val="both"/>
        <w:textAlignment w:val="baseline"/>
        <w:rPr>
          <w:rFonts w:ascii="Arial" w:hAnsi="Arial" w:cs="Arial"/>
          <w:sz w:val="24"/>
          <w:szCs w:val="24"/>
        </w:rPr>
      </w:pPr>
      <w:r w:rsidRPr="0098709F">
        <w:rPr>
          <w:rFonts w:ascii="Arial" w:hAnsi="Arial" w:cs="Arial"/>
          <w:sz w:val="24"/>
          <w:szCs w:val="24"/>
        </w:rPr>
        <w:t>82.</w:t>
      </w:r>
      <w:r w:rsidRPr="0098709F">
        <w:rPr>
          <w:rFonts w:ascii="Arial" w:hAnsi="Arial" w:cs="Arial"/>
          <w:sz w:val="24"/>
          <w:szCs w:val="24"/>
        </w:rPr>
        <w:tab/>
      </w:r>
      <w:r w:rsidR="00A6180F">
        <w:rPr>
          <w:rFonts w:ascii="Arial" w:hAnsi="Arial" w:cs="Arial"/>
          <w:sz w:val="24"/>
          <w:szCs w:val="24"/>
        </w:rPr>
        <w:t xml:space="preserve">Both parties were clearly advised at the time </w:t>
      </w:r>
      <w:r w:rsidR="004B4DDD">
        <w:rPr>
          <w:rFonts w:ascii="Arial" w:hAnsi="Arial" w:cs="Arial"/>
          <w:sz w:val="24"/>
          <w:szCs w:val="24"/>
        </w:rPr>
        <w:t xml:space="preserve">that, </w:t>
      </w:r>
      <w:r w:rsidR="00A6180F">
        <w:rPr>
          <w:rFonts w:ascii="Arial" w:hAnsi="Arial" w:cs="Arial"/>
          <w:sz w:val="24"/>
          <w:szCs w:val="24"/>
        </w:rPr>
        <w:t xml:space="preserve">given their failure to comply with the </w:t>
      </w:r>
      <w:r w:rsidR="004B4DDD">
        <w:rPr>
          <w:rFonts w:ascii="Arial" w:hAnsi="Arial" w:cs="Arial"/>
          <w:sz w:val="24"/>
          <w:szCs w:val="24"/>
        </w:rPr>
        <w:t>statutory formalities required in terms of the Act, the agreements were ‘invalid’</w:t>
      </w:r>
      <w:r w:rsidR="001746CC">
        <w:rPr>
          <w:rFonts w:ascii="Arial" w:hAnsi="Arial" w:cs="Arial"/>
          <w:sz w:val="24"/>
          <w:szCs w:val="24"/>
        </w:rPr>
        <w:t>. In the context of the provisions in question this must mean</w:t>
      </w:r>
      <w:r w:rsidR="004B4DDD">
        <w:rPr>
          <w:rFonts w:ascii="Arial" w:hAnsi="Arial" w:cs="Arial"/>
          <w:sz w:val="24"/>
          <w:szCs w:val="24"/>
        </w:rPr>
        <w:t xml:space="preserve"> </w:t>
      </w:r>
      <w:r w:rsidR="001746CC">
        <w:rPr>
          <w:rFonts w:ascii="Arial" w:hAnsi="Arial" w:cs="Arial"/>
          <w:sz w:val="24"/>
          <w:szCs w:val="24"/>
        </w:rPr>
        <w:t>that</w:t>
      </w:r>
      <w:r w:rsidR="004B4DDD">
        <w:rPr>
          <w:rFonts w:ascii="Arial" w:hAnsi="Arial" w:cs="Arial"/>
          <w:sz w:val="24"/>
          <w:szCs w:val="24"/>
        </w:rPr>
        <w:t xml:space="preserve"> they were </w:t>
      </w:r>
      <w:r w:rsidR="001746CC">
        <w:rPr>
          <w:rFonts w:ascii="Arial" w:hAnsi="Arial" w:cs="Arial"/>
          <w:sz w:val="24"/>
          <w:szCs w:val="24"/>
        </w:rPr>
        <w:t xml:space="preserve">advised that they were </w:t>
      </w:r>
      <w:r w:rsidR="004B4DDD">
        <w:rPr>
          <w:rFonts w:ascii="Arial" w:hAnsi="Arial" w:cs="Arial"/>
          <w:sz w:val="24"/>
          <w:szCs w:val="24"/>
        </w:rPr>
        <w:t>illegal and could not be enforced.</w:t>
      </w:r>
      <w:r w:rsidR="00073382">
        <w:rPr>
          <w:rFonts w:ascii="Arial" w:hAnsi="Arial" w:cs="Arial"/>
          <w:sz w:val="24"/>
          <w:szCs w:val="24"/>
        </w:rPr>
        <w:t xml:space="preserve"> Nonetheless, the respondent continued to seek payment of what was owing to him under</w:t>
      </w:r>
      <w:r w:rsidR="00AC4FDF">
        <w:rPr>
          <w:rFonts w:ascii="Arial" w:hAnsi="Arial" w:cs="Arial"/>
          <w:sz w:val="24"/>
          <w:szCs w:val="24"/>
        </w:rPr>
        <w:t>,</w:t>
      </w:r>
      <w:r w:rsidR="00073382">
        <w:rPr>
          <w:rFonts w:ascii="Arial" w:hAnsi="Arial" w:cs="Arial"/>
          <w:sz w:val="24"/>
          <w:szCs w:val="24"/>
        </w:rPr>
        <w:t xml:space="preserve"> and in terms of the two AODs, which he averred</w:t>
      </w:r>
      <w:r w:rsidR="0098709F">
        <w:rPr>
          <w:rFonts w:ascii="Arial" w:hAnsi="Arial" w:cs="Arial"/>
          <w:sz w:val="24"/>
          <w:szCs w:val="24"/>
        </w:rPr>
        <w:t>,</w:t>
      </w:r>
      <w:r w:rsidR="00073382">
        <w:rPr>
          <w:rFonts w:ascii="Arial" w:hAnsi="Arial" w:cs="Arial"/>
          <w:sz w:val="24"/>
          <w:szCs w:val="24"/>
        </w:rPr>
        <w:t xml:space="preserve"> together with interest</w:t>
      </w:r>
      <w:r w:rsidR="0098709F">
        <w:rPr>
          <w:rFonts w:ascii="Arial" w:hAnsi="Arial" w:cs="Arial"/>
          <w:sz w:val="24"/>
          <w:szCs w:val="24"/>
        </w:rPr>
        <w:t>,</w:t>
      </w:r>
      <w:r w:rsidR="00073382">
        <w:rPr>
          <w:rFonts w:ascii="Arial" w:hAnsi="Arial" w:cs="Arial"/>
          <w:sz w:val="24"/>
          <w:szCs w:val="24"/>
        </w:rPr>
        <w:t xml:space="preserve"> came to </w:t>
      </w:r>
      <w:r w:rsidR="00CF3C8D">
        <w:rPr>
          <w:rFonts w:ascii="Arial" w:hAnsi="Arial" w:cs="Arial"/>
          <w:sz w:val="24"/>
          <w:szCs w:val="24"/>
        </w:rPr>
        <w:t xml:space="preserve">the amount of </w:t>
      </w:r>
      <w:r w:rsidR="00F054FE">
        <w:rPr>
          <w:rFonts w:ascii="Arial" w:eastAsia="Calibri" w:hAnsi="Arial" w:cs="Arial"/>
          <w:sz w:val="24"/>
        </w:rPr>
        <w:t xml:space="preserve">R 3 861 500. </w:t>
      </w:r>
    </w:p>
    <w:p w14:paraId="5D9D8F90" w14:textId="134AB80B" w:rsidR="0098709F" w:rsidRPr="0098709F" w:rsidRDefault="00601627" w:rsidP="00601627">
      <w:pPr>
        <w:adjustRightInd w:val="0"/>
        <w:spacing w:after="0" w:line="360" w:lineRule="auto"/>
        <w:ind w:left="720" w:hanging="720"/>
        <w:contextualSpacing/>
        <w:jc w:val="both"/>
        <w:textAlignment w:val="baseline"/>
        <w:rPr>
          <w:rFonts w:ascii="Arial" w:hAnsi="Arial" w:cs="Arial"/>
          <w:sz w:val="24"/>
          <w:szCs w:val="24"/>
        </w:rPr>
      </w:pPr>
      <w:r w:rsidRPr="0098709F">
        <w:rPr>
          <w:rFonts w:ascii="Arial" w:hAnsi="Arial" w:cs="Arial"/>
          <w:sz w:val="24"/>
          <w:szCs w:val="24"/>
        </w:rPr>
        <w:t>83.</w:t>
      </w:r>
      <w:r w:rsidRPr="0098709F">
        <w:rPr>
          <w:rFonts w:ascii="Arial" w:hAnsi="Arial" w:cs="Arial"/>
          <w:sz w:val="24"/>
          <w:szCs w:val="24"/>
        </w:rPr>
        <w:tab/>
      </w:r>
      <w:r w:rsidR="00F054FE">
        <w:rPr>
          <w:rFonts w:ascii="Arial" w:eastAsia="Calibri" w:hAnsi="Arial" w:cs="Arial"/>
          <w:sz w:val="24"/>
        </w:rPr>
        <w:t xml:space="preserve">There </w:t>
      </w:r>
      <w:r w:rsidR="0098709F">
        <w:rPr>
          <w:rFonts w:ascii="Arial" w:eastAsia="Calibri" w:hAnsi="Arial" w:cs="Arial"/>
          <w:sz w:val="24"/>
        </w:rPr>
        <w:t>i</w:t>
      </w:r>
      <w:r w:rsidR="00F054FE">
        <w:rPr>
          <w:rFonts w:ascii="Arial" w:eastAsia="Calibri" w:hAnsi="Arial" w:cs="Arial"/>
          <w:sz w:val="24"/>
        </w:rPr>
        <w:t xml:space="preserve">s no indication that the respondent acknowledged or accepted at the time that he was unable to claim under the AODs and </w:t>
      </w:r>
      <w:r w:rsidR="00C73F88">
        <w:rPr>
          <w:rFonts w:ascii="Arial" w:eastAsia="Calibri" w:hAnsi="Arial" w:cs="Arial"/>
          <w:sz w:val="24"/>
        </w:rPr>
        <w:t xml:space="preserve">therefore sought to </w:t>
      </w:r>
      <w:r w:rsidR="001746CC">
        <w:rPr>
          <w:rFonts w:ascii="Arial" w:eastAsia="Calibri" w:hAnsi="Arial" w:cs="Arial"/>
          <w:sz w:val="24"/>
        </w:rPr>
        <w:t xml:space="preserve">recover </w:t>
      </w:r>
      <w:r w:rsidR="00C73F88">
        <w:rPr>
          <w:rFonts w:ascii="Arial" w:eastAsia="Calibri" w:hAnsi="Arial" w:cs="Arial"/>
          <w:sz w:val="24"/>
        </w:rPr>
        <w:t>what was allegedly owing, on the basis of</w:t>
      </w:r>
      <w:r w:rsidR="00F054FE">
        <w:rPr>
          <w:rFonts w:ascii="Arial" w:eastAsia="Calibri" w:hAnsi="Arial" w:cs="Arial"/>
          <w:sz w:val="24"/>
        </w:rPr>
        <w:t xml:space="preserve"> enrichment, nor could there be, given that the appellant had by that time made payment of an amount of </w:t>
      </w:r>
      <w:r w:rsidR="00021B94">
        <w:rPr>
          <w:rFonts w:ascii="Arial" w:eastAsia="Calibri" w:hAnsi="Arial" w:cs="Arial"/>
          <w:sz w:val="24"/>
        </w:rPr>
        <w:t xml:space="preserve">R 2 121 500 </w:t>
      </w:r>
      <w:r w:rsidR="00CF3C8D">
        <w:rPr>
          <w:rFonts w:ascii="Arial" w:eastAsia="Calibri" w:hAnsi="Arial" w:cs="Arial"/>
          <w:sz w:val="24"/>
        </w:rPr>
        <w:t xml:space="preserve">and the </w:t>
      </w:r>
      <w:r w:rsidR="00CF3C8D">
        <w:rPr>
          <w:rFonts w:ascii="Arial" w:eastAsia="Calibri" w:hAnsi="Arial" w:cs="Arial"/>
          <w:sz w:val="24"/>
        </w:rPr>
        <w:lastRenderedPageBreak/>
        <w:t xml:space="preserve">balance owing in respect of the capital </w:t>
      </w:r>
      <w:r w:rsidR="001746CC">
        <w:rPr>
          <w:rFonts w:ascii="Arial" w:eastAsia="Calibri" w:hAnsi="Arial" w:cs="Arial"/>
          <w:sz w:val="24"/>
        </w:rPr>
        <w:t>amount of R 2.5 million which had been advanced w</w:t>
      </w:r>
      <w:r w:rsidR="00CF3C8D">
        <w:rPr>
          <w:rFonts w:ascii="Arial" w:eastAsia="Calibri" w:hAnsi="Arial" w:cs="Arial"/>
          <w:sz w:val="24"/>
        </w:rPr>
        <w:t xml:space="preserve">as </w:t>
      </w:r>
      <w:r w:rsidR="00CF3C8D">
        <w:rPr>
          <w:rFonts w:ascii="Arial" w:hAnsi="Arial" w:cs="Arial"/>
          <w:sz w:val="24"/>
          <w:szCs w:val="24"/>
        </w:rPr>
        <w:t xml:space="preserve">R 378 500, </w:t>
      </w:r>
      <w:r w:rsidR="00021B94">
        <w:rPr>
          <w:rFonts w:ascii="Arial" w:eastAsia="Calibri" w:hAnsi="Arial" w:cs="Arial"/>
          <w:sz w:val="24"/>
        </w:rPr>
        <w:t xml:space="preserve">and the amount claimed </w:t>
      </w:r>
      <w:r w:rsidR="0098709F">
        <w:rPr>
          <w:rFonts w:ascii="Arial" w:eastAsia="Calibri" w:hAnsi="Arial" w:cs="Arial"/>
          <w:sz w:val="24"/>
        </w:rPr>
        <w:t>by the respondent was way in excess of th</w:t>
      </w:r>
      <w:r w:rsidR="001746CC">
        <w:rPr>
          <w:rFonts w:ascii="Arial" w:eastAsia="Calibri" w:hAnsi="Arial" w:cs="Arial"/>
          <w:sz w:val="24"/>
        </w:rPr>
        <w:t>is</w:t>
      </w:r>
      <w:r w:rsidR="0098709F">
        <w:rPr>
          <w:rFonts w:ascii="Arial" w:eastAsia="Calibri" w:hAnsi="Arial" w:cs="Arial"/>
          <w:sz w:val="24"/>
        </w:rPr>
        <w:t xml:space="preserve">. Put simply, it is common cause that the </w:t>
      </w:r>
      <w:r w:rsidR="0044687D">
        <w:rPr>
          <w:rFonts w:ascii="Arial" w:eastAsia="Calibri" w:hAnsi="Arial" w:cs="Arial"/>
          <w:sz w:val="24"/>
        </w:rPr>
        <w:t>claim</w:t>
      </w:r>
      <w:r w:rsidR="0098709F">
        <w:rPr>
          <w:rFonts w:ascii="Arial" w:eastAsia="Calibri" w:hAnsi="Arial" w:cs="Arial"/>
          <w:sz w:val="24"/>
        </w:rPr>
        <w:t xml:space="preserve"> which was advanced by the respondent at the time</w:t>
      </w:r>
      <w:r w:rsidR="00CF3C8D">
        <w:rPr>
          <w:rFonts w:ascii="Arial" w:eastAsia="Calibri" w:hAnsi="Arial" w:cs="Arial"/>
          <w:sz w:val="24"/>
        </w:rPr>
        <w:t>,</w:t>
      </w:r>
      <w:r w:rsidR="0098709F">
        <w:rPr>
          <w:rFonts w:ascii="Arial" w:eastAsia="Calibri" w:hAnsi="Arial" w:cs="Arial"/>
          <w:sz w:val="24"/>
        </w:rPr>
        <w:t xml:space="preserve"> was based squarely on the alleged balance owing in terms of the AODs. It was not a restitutionary claim, based on an alleged enrichment of the appellant at the expense of the respondent</w:t>
      </w:r>
      <w:r w:rsidR="001746CC">
        <w:rPr>
          <w:rFonts w:ascii="Arial" w:eastAsia="Calibri" w:hAnsi="Arial" w:cs="Arial"/>
          <w:sz w:val="24"/>
        </w:rPr>
        <w:t>,</w:t>
      </w:r>
      <w:r w:rsidR="00CF3C8D">
        <w:rPr>
          <w:rFonts w:ascii="Arial" w:eastAsia="Calibri" w:hAnsi="Arial" w:cs="Arial"/>
          <w:sz w:val="24"/>
        </w:rPr>
        <w:t xml:space="preserve"> if this was at all possible</w:t>
      </w:r>
      <w:r w:rsidR="0098709F">
        <w:rPr>
          <w:rFonts w:ascii="Arial" w:eastAsia="Calibri" w:hAnsi="Arial" w:cs="Arial"/>
          <w:sz w:val="24"/>
        </w:rPr>
        <w:t>.</w:t>
      </w:r>
    </w:p>
    <w:p w14:paraId="5245311E" w14:textId="321CBB50" w:rsidR="004B4DDD"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84.</w:t>
      </w:r>
      <w:r>
        <w:rPr>
          <w:rFonts w:ascii="Arial" w:hAnsi="Arial" w:cs="Arial"/>
          <w:sz w:val="24"/>
          <w:szCs w:val="24"/>
        </w:rPr>
        <w:tab/>
      </w:r>
      <w:r w:rsidR="0098709F">
        <w:rPr>
          <w:rFonts w:ascii="Arial" w:eastAsia="Calibri" w:hAnsi="Arial" w:cs="Arial"/>
          <w:sz w:val="24"/>
        </w:rPr>
        <w:t>It was this contractual claim under</w:t>
      </w:r>
      <w:r w:rsidR="00AC4FDF">
        <w:rPr>
          <w:rFonts w:ascii="Arial" w:eastAsia="Calibri" w:hAnsi="Arial" w:cs="Arial"/>
          <w:sz w:val="24"/>
        </w:rPr>
        <w:t>,</w:t>
      </w:r>
      <w:r w:rsidR="0098709F">
        <w:rPr>
          <w:rFonts w:ascii="Arial" w:eastAsia="Calibri" w:hAnsi="Arial" w:cs="Arial"/>
          <w:sz w:val="24"/>
        </w:rPr>
        <w:t xml:space="preserve"> and in terms of</w:t>
      </w:r>
      <w:r w:rsidR="00AC4FDF">
        <w:rPr>
          <w:rFonts w:ascii="Arial" w:eastAsia="Calibri" w:hAnsi="Arial" w:cs="Arial"/>
          <w:sz w:val="24"/>
        </w:rPr>
        <w:t>,</w:t>
      </w:r>
      <w:r w:rsidR="0098709F">
        <w:rPr>
          <w:rFonts w:ascii="Arial" w:eastAsia="Calibri" w:hAnsi="Arial" w:cs="Arial"/>
          <w:sz w:val="24"/>
        </w:rPr>
        <w:t xml:space="preserve"> the two AODs which the parties sought to compromise, together with </w:t>
      </w:r>
      <w:r w:rsidR="00E92ACE">
        <w:rPr>
          <w:rFonts w:ascii="Arial" w:eastAsia="Calibri" w:hAnsi="Arial" w:cs="Arial"/>
          <w:sz w:val="24"/>
        </w:rPr>
        <w:t xml:space="preserve">the </w:t>
      </w:r>
      <w:r w:rsidR="0098709F">
        <w:rPr>
          <w:rFonts w:ascii="Arial" w:eastAsia="Calibri" w:hAnsi="Arial" w:cs="Arial"/>
          <w:sz w:val="24"/>
        </w:rPr>
        <w:t>claim in respect of the alleged Panico debt</w:t>
      </w:r>
      <w:r w:rsidR="001746CC">
        <w:rPr>
          <w:rFonts w:ascii="Arial" w:eastAsia="Calibri" w:hAnsi="Arial" w:cs="Arial"/>
          <w:sz w:val="24"/>
        </w:rPr>
        <w:t xml:space="preserve"> </w:t>
      </w:r>
      <w:r w:rsidR="00CB5E32">
        <w:rPr>
          <w:rFonts w:ascii="Arial" w:eastAsia="Calibri" w:hAnsi="Arial" w:cs="Arial"/>
          <w:sz w:val="24"/>
        </w:rPr>
        <w:t>(</w:t>
      </w:r>
      <w:r w:rsidR="001746CC">
        <w:rPr>
          <w:rFonts w:ascii="Arial" w:eastAsia="Calibri" w:hAnsi="Arial" w:cs="Arial"/>
          <w:sz w:val="24"/>
        </w:rPr>
        <w:t xml:space="preserve">in respect of which it was </w:t>
      </w:r>
      <w:r w:rsidR="00E92ACE">
        <w:rPr>
          <w:rFonts w:ascii="Arial" w:eastAsia="Calibri" w:hAnsi="Arial" w:cs="Arial"/>
          <w:sz w:val="24"/>
        </w:rPr>
        <w:t>not contended that there was any illegality or invalidity attendant</w:t>
      </w:r>
      <w:r w:rsidR="00CB5E32">
        <w:rPr>
          <w:rFonts w:ascii="Arial" w:eastAsia="Calibri" w:hAnsi="Arial" w:cs="Arial"/>
          <w:sz w:val="24"/>
        </w:rPr>
        <w:t>)</w:t>
      </w:r>
      <w:r w:rsidR="00E92ACE">
        <w:rPr>
          <w:rFonts w:ascii="Arial" w:eastAsia="Calibri" w:hAnsi="Arial" w:cs="Arial"/>
          <w:sz w:val="24"/>
        </w:rPr>
        <w:t>.</w:t>
      </w:r>
      <w:r w:rsidR="0098709F">
        <w:rPr>
          <w:rFonts w:ascii="Arial" w:eastAsia="Calibri" w:hAnsi="Arial" w:cs="Arial"/>
          <w:sz w:val="24"/>
        </w:rPr>
        <w:t xml:space="preserve">       </w:t>
      </w:r>
      <w:r w:rsidR="00073382">
        <w:rPr>
          <w:rFonts w:ascii="Arial" w:hAnsi="Arial" w:cs="Arial"/>
          <w:sz w:val="24"/>
          <w:szCs w:val="24"/>
        </w:rPr>
        <w:t xml:space="preserve"> </w:t>
      </w:r>
      <w:r w:rsidR="004B4DDD">
        <w:rPr>
          <w:rFonts w:ascii="Arial" w:hAnsi="Arial" w:cs="Arial"/>
          <w:sz w:val="24"/>
          <w:szCs w:val="24"/>
        </w:rPr>
        <w:t xml:space="preserve"> </w:t>
      </w:r>
    </w:p>
    <w:p w14:paraId="20F63CE6" w14:textId="3DBDB6DB" w:rsidR="00825C44"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85.</w:t>
      </w:r>
      <w:r>
        <w:rPr>
          <w:rFonts w:ascii="Arial" w:hAnsi="Arial" w:cs="Arial"/>
          <w:sz w:val="24"/>
          <w:szCs w:val="24"/>
        </w:rPr>
        <w:tab/>
      </w:r>
      <w:r w:rsidR="00825C44">
        <w:rPr>
          <w:rFonts w:ascii="Arial" w:hAnsi="Arial" w:cs="Arial"/>
          <w:sz w:val="24"/>
          <w:szCs w:val="24"/>
        </w:rPr>
        <w:t>Even if one were to assume</w:t>
      </w:r>
      <w:r w:rsidR="0044687D">
        <w:rPr>
          <w:rFonts w:ascii="Arial" w:hAnsi="Arial" w:cs="Arial"/>
          <w:sz w:val="24"/>
          <w:szCs w:val="24"/>
        </w:rPr>
        <w:t xml:space="preserve"> in </w:t>
      </w:r>
      <w:r w:rsidR="001746CC">
        <w:rPr>
          <w:rFonts w:ascii="Arial" w:hAnsi="Arial" w:cs="Arial"/>
          <w:sz w:val="24"/>
          <w:szCs w:val="24"/>
        </w:rPr>
        <w:t>the appellant’s</w:t>
      </w:r>
      <w:r w:rsidR="0044687D">
        <w:rPr>
          <w:rFonts w:ascii="Arial" w:hAnsi="Arial" w:cs="Arial"/>
          <w:sz w:val="24"/>
          <w:szCs w:val="24"/>
        </w:rPr>
        <w:t xml:space="preserve"> favour</w:t>
      </w:r>
      <w:r w:rsidR="00825C44">
        <w:rPr>
          <w:rFonts w:ascii="Arial" w:hAnsi="Arial" w:cs="Arial"/>
          <w:sz w:val="24"/>
          <w:szCs w:val="24"/>
        </w:rPr>
        <w:t xml:space="preserve"> that in his offer of R 2.5 million </w:t>
      </w:r>
      <w:r w:rsidR="001746CC">
        <w:rPr>
          <w:rFonts w:ascii="Arial" w:hAnsi="Arial" w:cs="Arial"/>
          <w:sz w:val="24"/>
          <w:szCs w:val="24"/>
        </w:rPr>
        <w:t xml:space="preserve">he </w:t>
      </w:r>
      <w:r w:rsidR="00825C44">
        <w:rPr>
          <w:rFonts w:ascii="Arial" w:hAnsi="Arial" w:cs="Arial"/>
          <w:sz w:val="24"/>
          <w:szCs w:val="24"/>
        </w:rPr>
        <w:t>allowed for the full amount of R 750 000 which was allegedly owing in respect of the Panico claim, this means that the balance of R 1</w:t>
      </w:r>
      <w:r w:rsidR="0044687D">
        <w:rPr>
          <w:rFonts w:ascii="Arial" w:hAnsi="Arial" w:cs="Arial"/>
          <w:sz w:val="24"/>
          <w:szCs w:val="24"/>
        </w:rPr>
        <w:t xml:space="preserve"> </w:t>
      </w:r>
      <w:r w:rsidR="00825C44">
        <w:rPr>
          <w:rFonts w:ascii="Arial" w:hAnsi="Arial" w:cs="Arial"/>
          <w:sz w:val="24"/>
          <w:szCs w:val="24"/>
        </w:rPr>
        <w:t xml:space="preserve">750 000 </w:t>
      </w:r>
      <w:r w:rsidR="0044687D">
        <w:rPr>
          <w:rFonts w:ascii="Arial" w:hAnsi="Arial" w:cs="Arial"/>
          <w:sz w:val="24"/>
          <w:szCs w:val="24"/>
        </w:rPr>
        <w:t>which he</w:t>
      </w:r>
      <w:r w:rsidR="00825C44">
        <w:rPr>
          <w:rFonts w:ascii="Arial" w:hAnsi="Arial" w:cs="Arial"/>
          <w:sz w:val="24"/>
          <w:szCs w:val="24"/>
        </w:rPr>
        <w:t xml:space="preserve"> offered </w:t>
      </w:r>
      <w:r w:rsidR="0044687D">
        <w:rPr>
          <w:rFonts w:ascii="Arial" w:hAnsi="Arial" w:cs="Arial"/>
          <w:sz w:val="24"/>
          <w:szCs w:val="24"/>
        </w:rPr>
        <w:t xml:space="preserve">was </w:t>
      </w:r>
      <w:r w:rsidR="00825C44">
        <w:rPr>
          <w:rFonts w:ascii="Arial" w:hAnsi="Arial" w:cs="Arial"/>
          <w:sz w:val="24"/>
          <w:szCs w:val="24"/>
        </w:rPr>
        <w:t>in respect of the claim for monies outstanding on the loans which had been advanced in terms of the unlawful credit agreements.</w:t>
      </w:r>
    </w:p>
    <w:p w14:paraId="79AFF97D" w14:textId="14A29F15" w:rsidR="00825C44"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86.</w:t>
      </w:r>
      <w:r>
        <w:rPr>
          <w:rFonts w:ascii="Arial" w:hAnsi="Arial" w:cs="Arial"/>
          <w:sz w:val="24"/>
          <w:szCs w:val="24"/>
        </w:rPr>
        <w:tab/>
      </w:r>
      <w:r w:rsidR="00825C44">
        <w:rPr>
          <w:rFonts w:ascii="Arial" w:hAnsi="Arial" w:cs="Arial"/>
          <w:sz w:val="24"/>
          <w:szCs w:val="24"/>
        </w:rPr>
        <w:t>Th</w:t>
      </w:r>
      <w:r w:rsidR="00CF3C8D">
        <w:rPr>
          <w:rFonts w:ascii="Arial" w:hAnsi="Arial" w:cs="Arial"/>
          <w:sz w:val="24"/>
          <w:szCs w:val="24"/>
        </w:rPr>
        <w:t>at</w:t>
      </w:r>
      <w:r w:rsidR="00825C44">
        <w:rPr>
          <w:rFonts w:ascii="Arial" w:hAnsi="Arial" w:cs="Arial"/>
          <w:sz w:val="24"/>
          <w:szCs w:val="24"/>
        </w:rPr>
        <w:t xml:space="preserve"> offer was accepted and incorporated in the third AOD. Although the AOD </w:t>
      </w:r>
      <w:r w:rsidR="0044687D">
        <w:rPr>
          <w:rFonts w:ascii="Arial" w:hAnsi="Arial" w:cs="Arial"/>
          <w:sz w:val="24"/>
          <w:szCs w:val="24"/>
        </w:rPr>
        <w:t>wa</w:t>
      </w:r>
      <w:r w:rsidR="00825C44">
        <w:rPr>
          <w:rFonts w:ascii="Arial" w:hAnsi="Arial" w:cs="Arial"/>
          <w:sz w:val="24"/>
          <w:szCs w:val="24"/>
        </w:rPr>
        <w:t xml:space="preserve">s silent as to how the R 2.5 million </w:t>
      </w:r>
      <w:r w:rsidR="0044687D">
        <w:rPr>
          <w:rFonts w:ascii="Arial" w:hAnsi="Arial" w:cs="Arial"/>
          <w:sz w:val="24"/>
          <w:szCs w:val="24"/>
        </w:rPr>
        <w:t xml:space="preserve">referred to therein </w:t>
      </w:r>
      <w:r w:rsidR="00825C44">
        <w:rPr>
          <w:rFonts w:ascii="Arial" w:hAnsi="Arial" w:cs="Arial"/>
          <w:sz w:val="24"/>
          <w:szCs w:val="24"/>
        </w:rPr>
        <w:t>was made up, once again</w:t>
      </w:r>
      <w:r w:rsidR="0044687D">
        <w:rPr>
          <w:rFonts w:ascii="Arial" w:hAnsi="Arial" w:cs="Arial"/>
          <w:sz w:val="24"/>
          <w:szCs w:val="24"/>
        </w:rPr>
        <w:t>,</w:t>
      </w:r>
      <w:r w:rsidR="00825C44">
        <w:rPr>
          <w:rFonts w:ascii="Arial" w:hAnsi="Arial" w:cs="Arial"/>
          <w:sz w:val="24"/>
          <w:szCs w:val="24"/>
        </w:rPr>
        <w:t xml:space="preserve"> </w:t>
      </w:r>
      <w:r w:rsidR="00CF3C8D">
        <w:rPr>
          <w:rFonts w:ascii="Arial" w:hAnsi="Arial" w:cs="Arial"/>
          <w:sz w:val="24"/>
          <w:szCs w:val="24"/>
        </w:rPr>
        <w:t xml:space="preserve">on </w:t>
      </w:r>
      <w:r w:rsidR="00825C44">
        <w:rPr>
          <w:rFonts w:ascii="Arial" w:hAnsi="Arial" w:cs="Arial"/>
          <w:sz w:val="24"/>
          <w:szCs w:val="24"/>
        </w:rPr>
        <w:t>neither party’s version</w:t>
      </w:r>
      <w:r w:rsidR="00CF3C8D">
        <w:rPr>
          <w:rFonts w:ascii="Arial" w:hAnsi="Arial" w:cs="Arial"/>
          <w:sz w:val="24"/>
          <w:szCs w:val="24"/>
        </w:rPr>
        <w:t xml:space="preserve"> was it</w:t>
      </w:r>
      <w:r w:rsidR="00825C44">
        <w:rPr>
          <w:rFonts w:ascii="Arial" w:hAnsi="Arial" w:cs="Arial"/>
          <w:sz w:val="24"/>
          <w:szCs w:val="24"/>
        </w:rPr>
        <w:t xml:space="preserve"> suggested that it was </w:t>
      </w:r>
      <w:r w:rsidR="00CF3C8D">
        <w:rPr>
          <w:rFonts w:ascii="Arial" w:hAnsi="Arial" w:cs="Arial"/>
          <w:sz w:val="24"/>
          <w:szCs w:val="24"/>
        </w:rPr>
        <w:t>(</w:t>
      </w:r>
      <w:r w:rsidR="00825C44">
        <w:rPr>
          <w:rFonts w:ascii="Arial" w:hAnsi="Arial" w:cs="Arial"/>
          <w:sz w:val="24"/>
          <w:szCs w:val="24"/>
        </w:rPr>
        <w:t>even partially</w:t>
      </w:r>
      <w:r w:rsidR="00CF3C8D">
        <w:rPr>
          <w:rFonts w:ascii="Arial" w:hAnsi="Arial" w:cs="Arial"/>
          <w:sz w:val="24"/>
          <w:szCs w:val="24"/>
        </w:rPr>
        <w:t>)</w:t>
      </w:r>
      <w:r w:rsidR="00825C44">
        <w:rPr>
          <w:rFonts w:ascii="Arial" w:hAnsi="Arial" w:cs="Arial"/>
          <w:sz w:val="24"/>
          <w:szCs w:val="24"/>
        </w:rPr>
        <w:t xml:space="preserve"> an amount for and in respect of an alleged indebtedness on the basis of </w:t>
      </w:r>
      <w:r w:rsidR="001746CC">
        <w:rPr>
          <w:rFonts w:ascii="Arial" w:hAnsi="Arial" w:cs="Arial"/>
          <w:sz w:val="24"/>
          <w:szCs w:val="24"/>
        </w:rPr>
        <w:t>the</w:t>
      </w:r>
      <w:r w:rsidR="00825C44">
        <w:rPr>
          <w:rFonts w:ascii="Arial" w:hAnsi="Arial" w:cs="Arial"/>
          <w:sz w:val="24"/>
          <w:szCs w:val="24"/>
        </w:rPr>
        <w:t xml:space="preserve"> enrichment of the appellant</w:t>
      </w:r>
      <w:r w:rsidR="00CF3C8D">
        <w:rPr>
          <w:rFonts w:ascii="Arial" w:hAnsi="Arial" w:cs="Arial"/>
          <w:sz w:val="24"/>
          <w:szCs w:val="24"/>
        </w:rPr>
        <w:t>,</w:t>
      </w:r>
      <w:r w:rsidR="00825C44">
        <w:rPr>
          <w:rFonts w:ascii="Arial" w:hAnsi="Arial" w:cs="Arial"/>
          <w:sz w:val="24"/>
          <w:szCs w:val="24"/>
        </w:rPr>
        <w:t xml:space="preserve"> at the expense of the respondent.</w:t>
      </w:r>
    </w:p>
    <w:p w14:paraId="246BAA3F" w14:textId="4B90FF65" w:rsidR="00331894"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87.</w:t>
      </w:r>
      <w:r>
        <w:rPr>
          <w:rFonts w:ascii="Arial" w:hAnsi="Arial" w:cs="Arial"/>
          <w:sz w:val="24"/>
          <w:szCs w:val="24"/>
        </w:rPr>
        <w:tab/>
      </w:r>
      <w:r w:rsidR="00825C44">
        <w:rPr>
          <w:rFonts w:ascii="Arial" w:hAnsi="Arial" w:cs="Arial"/>
          <w:sz w:val="24"/>
          <w:szCs w:val="24"/>
        </w:rPr>
        <w:t xml:space="preserve">In the circumstances, as was the case in </w:t>
      </w:r>
      <w:r w:rsidR="00825C44" w:rsidRPr="00CF3C8D">
        <w:rPr>
          <w:rFonts w:ascii="Arial" w:hAnsi="Arial" w:cs="Arial"/>
          <w:i/>
          <w:iCs/>
          <w:sz w:val="24"/>
          <w:szCs w:val="24"/>
        </w:rPr>
        <w:t>Shabangu</w:t>
      </w:r>
      <w:r w:rsidR="00825C44">
        <w:rPr>
          <w:rFonts w:ascii="Arial" w:hAnsi="Arial" w:cs="Arial"/>
          <w:sz w:val="24"/>
          <w:szCs w:val="24"/>
        </w:rPr>
        <w:t xml:space="preserve"> the bulk of the amount offered in the compromise was in respect of amounts advanced in terms of </w:t>
      </w:r>
      <w:r w:rsidR="00FA0D17">
        <w:rPr>
          <w:rFonts w:ascii="Arial" w:hAnsi="Arial" w:cs="Arial"/>
          <w:sz w:val="24"/>
          <w:szCs w:val="24"/>
        </w:rPr>
        <w:t xml:space="preserve">earlier, </w:t>
      </w:r>
      <w:r w:rsidR="00825C44">
        <w:rPr>
          <w:rFonts w:ascii="Arial" w:hAnsi="Arial" w:cs="Arial"/>
          <w:sz w:val="24"/>
          <w:szCs w:val="24"/>
        </w:rPr>
        <w:t xml:space="preserve">unlawful agreements </w:t>
      </w:r>
      <w:r w:rsidR="00CF3C8D">
        <w:rPr>
          <w:rFonts w:ascii="Arial" w:hAnsi="Arial" w:cs="Arial"/>
          <w:sz w:val="24"/>
          <w:szCs w:val="24"/>
        </w:rPr>
        <w:t>and</w:t>
      </w:r>
      <w:r w:rsidR="00AC4FDF">
        <w:rPr>
          <w:rFonts w:ascii="Arial" w:hAnsi="Arial" w:cs="Arial"/>
          <w:sz w:val="24"/>
          <w:szCs w:val="24"/>
        </w:rPr>
        <w:t>,</w:t>
      </w:r>
      <w:r w:rsidR="00CF3C8D">
        <w:rPr>
          <w:rFonts w:ascii="Arial" w:hAnsi="Arial" w:cs="Arial"/>
          <w:sz w:val="24"/>
          <w:szCs w:val="24"/>
        </w:rPr>
        <w:t xml:space="preserve"> </w:t>
      </w:r>
      <w:r w:rsidR="00825C44">
        <w:rPr>
          <w:rFonts w:ascii="Arial" w:hAnsi="Arial" w:cs="Arial"/>
          <w:sz w:val="24"/>
          <w:szCs w:val="24"/>
        </w:rPr>
        <w:t xml:space="preserve">to paraphrase Froneman J </w:t>
      </w:r>
      <w:r w:rsidR="00CF3C8D">
        <w:rPr>
          <w:rFonts w:ascii="Arial" w:hAnsi="Arial" w:cs="Arial"/>
          <w:sz w:val="24"/>
          <w:szCs w:val="24"/>
        </w:rPr>
        <w:t xml:space="preserve">in </w:t>
      </w:r>
      <w:r w:rsidR="00825C44" w:rsidRPr="00CF3C8D">
        <w:rPr>
          <w:rFonts w:ascii="Arial" w:hAnsi="Arial" w:cs="Arial"/>
          <w:i/>
          <w:iCs/>
          <w:sz w:val="24"/>
          <w:szCs w:val="24"/>
        </w:rPr>
        <w:t>Shabangu</w:t>
      </w:r>
      <w:r w:rsidR="0044687D">
        <w:rPr>
          <w:rFonts w:ascii="Arial" w:hAnsi="Arial" w:cs="Arial"/>
          <w:i/>
          <w:iCs/>
          <w:sz w:val="24"/>
          <w:szCs w:val="24"/>
        </w:rPr>
        <w:t>,</w:t>
      </w:r>
      <w:r w:rsidR="00331894">
        <w:rPr>
          <w:rFonts w:ascii="Arial" w:hAnsi="Arial" w:cs="Arial"/>
          <w:i/>
          <w:iCs/>
          <w:sz w:val="24"/>
          <w:szCs w:val="24"/>
        </w:rPr>
        <w:t xml:space="preserve"> </w:t>
      </w:r>
      <w:r w:rsidR="00331894" w:rsidRPr="00331894">
        <w:rPr>
          <w:rStyle w:val="FootnoteReference"/>
          <w:rFonts w:ascii="Arial" w:hAnsi="Arial" w:cs="Arial"/>
          <w:sz w:val="24"/>
          <w:szCs w:val="24"/>
        </w:rPr>
        <w:footnoteReference w:id="62"/>
      </w:r>
      <w:r w:rsidR="00331894">
        <w:rPr>
          <w:rFonts w:ascii="Arial" w:hAnsi="Arial" w:cs="Arial"/>
          <w:i/>
          <w:iCs/>
          <w:sz w:val="24"/>
          <w:szCs w:val="24"/>
        </w:rPr>
        <w:t xml:space="preserve"> </w:t>
      </w:r>
      <w:r w:rsidR="00825C44">
        <w:rPr>
          <w:rFonts w:ascii="Arial" w:hAnsi="Arial" w:cs="Arial"/>
          <w:sz w:val="24"/>
          <w:szCs w:val="24"/>
        </w:rPr>
        <w:t xml:space="preserve"> the </w:t>
      </w:r>
      <w:r w:rsidR="00331894">
        <w:rPr>
          <w:rFonts w:ascii="Arial" w:hAnsi="Arial" w:cs="Arial"/>
          <w:sz w:val="24"/>
          <w:szCs w:val="24"/>
        </w:rPr>
        <w:t>third</w:t>
      </w:r>
      <w:r w:rsidR="00825C44">
        <w:rPr>
          <w:rFonts w:ascii="Arial" w:hAnsi="Arial" w:cs="Arial"/>
          <w:sz w:val="24"/>
          <w:szCs w:val="24"/>
        </w:rPr>
        <w:t xml:space="preserve"> AOD did not transform the un</w:t>
      </w:r>
      <w:r w:rsidR="00331894">
        <w:rPr>
          <w:rFonts w:ascii="Arial" w:hAnsi="Arial" w:cs="Arial"/>
          <w:sz w:val="24"/>
          <w:szCs w:val="24"/>
        </w:rPr>
        <w:t>lawful</w:t>
      </w:r>
      <w:r w:rsidR="00825C44">
        <w:rPr>
          <w:rFonts w:ascii="Arial" w:hAnsi="Arial" w:cs="Arial"/>
          <w:sz w:val="24"/>
          <w:szCs w:val="24"/>
        </w:rPr>
        <w:t xml:space="preserve"> nature of </w:t>
      </w:r>
      <w:r w:rsidR="00FA0D17">
        <w:rPr>
          <w:rFonts w:ascii="Arial" w:hAnsi="Arial" w:cs="Arial"/>
          <w:sz w:val="24"/>
          <w:szCs w:val="24"/>
        </w:rPr>
        <w:t>such</w:t>
      </w:r>
      <w:r w:rsidR="00825C44">
        <w:rPr>
          <w:rFonts w:ascii="Arial" w:hAnsi="Arial" w:cs="Arial"/>
          <w:sz w:val="24"/>
          <w:szCs w:val="24"/>
        </w:rPr>
        <w:t xml:space="preserve"> agreements</w:t>
      </w:r>
      <w:r w:rsidR="00331894">
        <w:rPr>
          <w:rFonts w:ascii="Arial" w:hAnsi="Arial" w:cs="Arial"/>
          <w:sz w:val="24"/>
          <w:szCs w:val="24"/>
        </w:rPr>
        <w:t>,</w:t>
      </w:r>
      <w:r w:rsidR="00825C44">
        <w:rPr>
          <w:rFonts w:ascii="Arial" w:hAnsi="Arial" w:cs="Arial"/>
          <w:sz w:val="24"/>
          <w:szCs w:val="24"/>
        </w:rPr>
        <w:t xml:space="preserve"> as embodied in the </w:t>
      </w:r>
      <w:r w:rsidR="00331894">
        <w:rPr>
          <w:rFonts w:ascii="Arial" w:hAnsi="Arial" w:cs="Arial"/>
          <w:sz w:val="24"/>
          <w:szCs w:val="24"/>
        </w:rPr>
        <w:t xml:space="preserve">first two </w:t>
      </w:r>
      <w:r w:rsidR="00825C44">
        <w:rPr>
          <w:rFonts w:ascii="Arial" w:hAnsi="Arial" w:cs="Arial"/>
          <w:sz w:val="24"/>
          <w:szCs w:val="24"/>
        </w:rPr>
        <w:t>AODs</w:t>
      </w:r>
      <w:r w:rsidR="00331894">
        <w:rPr>
          <w:rFonts w:ascii="Arial" w:hAnsi="Arial" w:cs="Arial"/>
          <w:sz w:val="24"/>
          <w:szCs w:val="24"/>
        </w:rPr>
        <w:t>,</w:t>
      </w:r>
      <w:r w:rsidR="00825C44">
        <w:rPr>
          <w:rFonts w:ascii="Arial" w:hAnsi="Arial" w:cs="Arial"/>
          <w:sz w:val="24"/>
          <w:szCs w:val="24"/>
        </w:rPr>
        <w:t xml:space="preserve"> into ‘something new and valid’. </w:t>
      </w:r>
      <w:r w:rsidR="00331894">
        <w:rPr>
          <w:rFonts w:ascii="Arial" w:hAnsi="Arial" w:cs="Arial"/>
          <w:sz w:val="24"/>
          <w:szCs w:val="24"/>
        </w:rPr>
        <w:t>It</w:t>
      </w:r>
      <w:r w:rsidR="00825C44">
        <w:rPr>
          <w:rFonts w:ascii="Arial" w:hAnsi="Arial" w:cs="Arial"/>
          <w:sz w:val="24"/>
          <w:szCs w:val="24"/>
        </w:rPr>
        <w:t xml:space="preserve"> </w:t>
      </w:r>
      <w:r w:rsidR="00331894">
        <w:rPr>
          <w:rFonts w:ascii="Arial" w:hAnsi="Arial" w:cs="Arial"/>
          <w:sz w:val="24"/>
          <w:szCs w:val="24"/>
        </w:rPr>
        <w:t xml:space="preserve">merely </w:t>
      </w:r>
      <w:r w:rsidR="00825C44">
        <w:rPr>
          <w:rFonts w:ascii="Arial" w:hAnsi="Arial" w:cs="Arial"/>
          <w:sz w:val="24"/>
          <w:szCs w:val="24"/>
        </w:rPr>
        <w:t>constituted an agreement to repay a lesser amount than that which was claimed on the prior, existing indebtedness</w:t>
      </w:r>
      <w:r w:rsidR="00331894">
        <w:rPr>
          <w:rFonts w:ascii="Arial" w:hAnsi="Arial" w:cs="Arial"/>
          <w:sz w:val="24"/>
          <w:szCs w:val="24"/>
        </w:rPr>
        <w:t>,</w:t>
      </w:r>
      <w:r w:rsidR="00825C44">
        <w:rPr>
          <w:rFonts w:ascii="Arial" w:hAnsi="Arial" w:cs="Arial"/>
          <w:sz w:val="24"/>
          <w:szCs w:val="24"/>
        </w:rPr>
        <w:t xml:space="preserve"> and set out fresh terms </w:t>
      </w:r>
      <w:r w:rsidR="00331894">
        <w:rPr>
          <w:rFonts w:ascii="Arial" w:hAnsi="Arial" w:cs="Arial"/>
          <w:sz w:val="24"/>
          <w:szCs w:val="24"/>
        </w:rPr>
        <w:t xml:space="preserve">as to </w:t>
      </w:r>
      <w:r w:rsidR="00825C44">
        <w:rPr>
          <w:rFonts w:ascii="Arial" w:hAnsi="Arial" w:cs="Arial"/>
          <w:sz w:val="24"/>
          <w:szCs w:val="24"/>
        </w:rPr>
        <w:t>when this was to occur.</w:t>
      </w:r>
    </w:p>
    <w:p w14:paraId="1CC9C46A" w14:textId="3491770D" w:rsidR="00331894"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88.</w:t>
      </w:r>
      <w:r>
        <w:rPr>
          <w:rFonts w:ascii="Arial" w:hAnsi="Arial" w:cs="Arial"/>
          <w:sz w:val="24"/>
          <w:szCs w:val="24"/>
        </w:rPr>
        <w:tab/>
      </w:r>
      <w:r w:rsidR="00331894">
        <w:rPr>
          <w:rFonts w:ascii="Arial" w:hAnsi="Arial" w:cs="Arial"/>
          <w:sz w:val="24"/>
          <w:szCs w:val="24"/>
        </w:rPr>
        <w:t xml:space="preserve">This means that the arbitral award in turn, did not serve to replace the original, underlying cause of action. In the main, it constituted a </w:t>
      </w:r>
      <w:r w:rsidR="00331894" w:rsidRPr="00331894">
        <w:rPr>
          <w:rFonts w:ascii="Arial" w:hAnsi="Arial" w:cs="Arial"/>
          <w:i/>
          <w:iCs/>
          <w:sz w:val="24"/>
          <w:szCs w:val="24"/>
        </w:rPr>
        <w:t>novatio necessaria</w:t>
      </w:r>
      <w:r w:rsidR="00331894">
        <w:rPr>
          <w:rFonts w:ascii="Arial" w:hAnsi="Arial" w:cs="Arial"/>
          <w:sz w:val="24"/>
          <w:szCs w:val="24"/>
        </w:rPr>
        <w:t xml:space="preserve">, which </w:t>
      </w:r>
      <w:r w:rsidR="00331894">
        <w:rPr>
          <w:rFonts w:ascii="Arial" w:hAnsi="Arial" w:cs="Arial"/>
          <w:sz w:val="24"/>
          <w:szCs w:val="24"/>
        </w:rPr>
        <w:lastRenderedPageBreak/>
        <w:t xml:space="preserve">attempted to strengthen the underlying contractual </w:t>
      </w:r>
      <w:r w:rsidR="00331894" w:rsidRPr="00FA0D17">
        <w:rPr>
          <w:rFonts w:ascii="Arial" w:hAnsi="Arial" w:cs="Arial"/>
          <w:i/>
          <w:iCs/>
          <w:sz w:val="24"/>
          <w:szCs w:val="24"/>
        </w:rPr>
        <w:t>causa</w:t>
      </w:r>
      <w:r w:rsidR="00331894">
        <w:rPr>
          <w:rFonts w:ascii="Arial" w:hAnsi="Arial" w:cs="Arial"/>
          <w:sz w:val="24"/>
          <w:szCs w:val="24"/>
        </w:rPr>
        <w:t>, which was derived from the original, unlawful agreements</w:t>
      </w:r>
      <w:r w:rsidR="00FA0D17">
        <w:rPr>
          <w:rFonts w:ascii="Arial" w:hAnsi="Arial" w:cs="Arial"/>
          <w:sz w:val="24"/>
          <w:szCs w:val="24"/>
        </w:rPr>
        <w:t>,</w:t>
      </w:r>
      <w:r w:rsidR="00331894">
        <w:rPr>
          <w:rFonts w:ascii="Arial" w:hAnsi="Arial" w:cs="Arial"/>
          <w:sz w:val="24"/>
          <w:szCs w:val="24"/>
        </w:rPr>
        <w:t xml:space="preserve"> and </w:t>
      </w:r>
      <w:r w:rsidR="0044687D">
        <w:rPr>
          <w:rFonts w:ascii="Arial" w:hAnsi="Arial" w:cs="Arial"/>
          <w:sz w:val="24"/>
          <w:szCs w:val="24"/>
        </w:rPr>
        <w:t xml:space="preserve">it </w:t>
      </w:r>
      <w:r w:rsidR="00331894">
        <w:rPr>
          <w:rFonts w:ascii="Arial" w:hAnsi="Arial" w:cs="Arial"/>
          <w:sz w:val="24"/>
          <w:szCs w:val="24"/>
        </w:rPr>
        <w:t>did not transform or replace the</w:t>
      </w:r>
      <w:r w:rsidR="00CB5E32">
        <w:rPr>
          <w:rFonts w:ascii="Arial" w:hAnsi="Arial" w:cs="Arial"/>
          <w:sz w:val="24"/>
          <w:szCs w:val="24"/>
        </w:rPr>
        <w:t xml:space="preserve"> contractual obligations arising from them</w:t>
      </w:r>
      <w:r w:rsidR="00331894">
        <w:rPr>
          <w:rFonts w:ascii="Arial" w:hAnsi="Arial" w:cs="Arial"/>
          <w:sz w:val="24"/>
          <w:szCs w:val="24"/>
        </w:rPr>
        <w:t xml:space="preserve">. </w:t>
      </w:r>
      <w:r w:rsidR="0044687D">
        <w:rPr>
          <w:rFonts w:ascii="Arial" w:hAnsi="Arial" w:cs="Arial"/>
          <w:sz w:val="24"/>
          <w:szCs w:val="24"/>
        </w:rPr>
        <w:t>It simply sought to replace the right to sue on the underlying claims, with a right to execute once the award w</w:t>
      </w:r>
      <w:r w:rsidR="001746CC">
        <w:rPr>
          <w:rFonts w:ascii="Arial" w:hAnsi="Arial" w:cs="Arial"/>
          <w:sz w:val="24"/>
          <w:szCs w:val="24"/>
        </w:rPr>
        <w:t>a</w:t>
      </w:r>
      <w:r w:rsidR="0044687D">
        <w:rPr>
          <w:rFonts w:ascii="Arial" w:hAnsi="Arial" w:cs="Arial"/>
          <w:sz w:val="24"/>
          <w:szCs w:val="24"/>
        </w:rPr>
        <w:t>s made an order of court</w:t>
      </w:r>
      <w:r w:rsidR="001746CC">
        <w:rPr>
          <w:rFonts w:ascii="Arial" w:hAnsi="Arial" w:cs="Arial"/>
          <w:sz w:val="24"/>
          <w:szCs w:val="24"/>
        </w:rPr>
        <w:t>.</w:t>
      </w:r>
      <w:r w:rsidR="0044687D">
        <w:rPr>
          <w:rFonts w:ascii="Arial" w:hAnsi="Arial" w:cs="Arial"/>
          <w:sz w:val="24"/>
          <w:szCs w:val="24"/>
        </w:rPr>
        <w:t xml:space="preserve">  </w:t>
      </w:r>
    </w:p>
    <w:p w14:paraId="5B451598" w14:textId="161812AF" w:rsidR="002A639D"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89.</w:t>
      </w:r>
      <w:r>
        <w:rPr>
          <w:rFonts w:ascii="Arial" w:hAnsi="Arial" w:cs="Arial"/>
          <w:sz w:val="24"/>
          <w:szCs w:val="24"/>
        </w:rPr>
        <w:tab/>
      </w:r>
      <w:r w:rsidR="00331894">
        <w:rPr>
          <w:rFonts w:ascii="Arial" w:hAnsi="Arial" w:cs="Arial"/>
          <w:sz w:val="24"/>
          <w:szCs w:val="24"/>
        </w:rPr>
        <w:t xml:space="preserve">In </w:t>
      </w:r>
      <w:r w:rsidR="00331894" w:rsidRPr="00331894">
        <w:rPr>
          <w:rFonts w:ascii="Arial" w:hAnsi="Arial" w:cs="Arial"/>
          <w:i/>
          <w:iCs/>
          <w:sz w:val="24"/>
          <w:szCs w:val="24"/>
        </w:rPr>
        <w:t>Opperman</w:t>
      </w:r>
      <w:r w:rsidR="00331894">
        <w:rPr>
          <w:rFonts w:ascii="Arial" w:hAnsi="Arial" w:cs="Arial"/>
          <w:sz w:val="24"/>
          <w:szCs w:val="24"/>
        </w:rPr>
        <w:t xml:space="preserve"> the Constitutional Court set out what the important aims and purposes of the NCA are viz. to promote and advance the social and economic welfare of South Africans in order to achieve a fair, transparent, competitive, sustainable, responsible, efficient, effective and accessible credit market and industry</w:t>
      </w:r>
      <w:r w:rsidR="00FA0D17">
        <w:rPr>
          <w:rFonts w:ascii="Arial" w:hAnsi="Arial" w:cs="Arial"/>
          <w:sz w:val="24"/>
          <w:szCs w:val="24"/>
        </w:rPr>
        <w:t>,</w:t>
      </w:r>
      <w:r w:rsidR="00331894">
        <w:rPr>
          <w:rFonts w:ascii="Arial" w:hAnsi="Arial" w:cs="Arial"/>
          <w:sz w:val="24"/>
          <w:szCs w:val="24"/>
        </w:rPr>
        <w:t xml:space="preserve"> and to protect consumers. As was said in </w:t>
      </w:r>
      <w:r w:rsidR="00EF008F" w:rsidRPr="00EF008F">
        <w:rPr>
          <w:rFonts w:ascii="Arial" w:hAnsi="Arial" w:cs="Arial"/>
          <w:i/>
          <w:iCs/>
          <w:sz w:val="24"/>
          <w:szCs w:val="24"/>
        </w:rPr>
        <w:t>C</w:t>
      </w:r>
      <w:r w:rsidR="00331894" w:rsidRPr="00EF008F">
        <w:rPr>
          <w:rFonts w:ascii="Arial" w:hAnsi="Arial" w:cs="Arial"/>
          <w:i/>
          <w:iCs/>
          <w:sz w:val="24"/>
          <w:szCs w:val="24"/>
        </w:rPr>
        <w:t xml:space="preserve">ool </w:t>
      </w:r>
      <w:r w:rsidR="00EF008F" w:rsidRPr="00EF008F">
        <w:rPr>
          <w:rFonts w:ascii="Arial" w:hAnsi="Arial" w:cs="Arial"/>
          <w:i/>
          <w:iCs/>
          <w:sz w:val="24"/>
          <w:szCs w:val="24"/>
        </w:rPr>
        <w:t>I</w:t>
      </w:r>
      <w:r w:rsidR="00331894" w:rsidRPr="00EF008F">
        <w:rPr>
          <w:rFonts w:ascii="Arial" w:hAnsi="Arial" w:cs="Arial"/>
          <w:i/>
          <w:iCs/>
          <w:sz w:val="24"/>
          <w:szCs w:val="24"/>
        </w:rPr>
        <w:t>deas</w:t>
      </w:r>
      <w:r w:rsidR="00CB5E32">
        <w:rPr>
          <w:rFonts w:ascii="Arial" w:hAnsi="Arial" w:cs="Arial"/>
          <w:i/>
          <w:iCs/>
          <w:sz w:val="24"/>
          <w:szCs w:val="24"/>
        </w:rPr>
        <w:t xml:space="preserve"> </w:t>
      </w:r>
      <w:r w:rsidR="00CB5E32">
        <w:rPr>
          <w:rFonts w:ascii="Arial" w:hAnsi="Arial" w:cs="Arial"/>
          <w:sz w:val="24"/>
          <w:szCs w:val="24"/>
        </w:rPr>
        <w:t>in relation to the HCMPA,</w:t>
      </w:r>
      <w:r w:rsidR="00A6180F">
        <w:rPr>
          <w:rFonts w:ascii="Arial" w:hAnsi="Arial" w:cs="Arial"/>
          <w:sz w:val="24"/>
          <w:szCs w:val="24"/>
        </w:rPr>
        <w:t xml:space="preserve"> </w:t>
      </w:r>
      <w:r w:rsidR="00331894">
        <w:rPr>
          <w:rFonts w:ascii="Arial" w:hAnsi="Arial" w:cs="Arial"/>
          <w:sz w:val="24"/>
          <w:szCs w:val="24"/>
        </w:rPr>
        <w:t>these are important and laudable aims.</w:t>
      </w:r>
      <w:r w:rsidR="00A6180F">
        <w:rPr>
          <w:rFonts w:ascii="Arial" w:hAnsi="Arial" w:cs="Arial"/>
          <w:sz w:val="24"/>
          <w:szCs w:val="24"/>
        </w:rPr>
        <w:t xml:space="preserve"> </w:t>
      </w:r>
    </w:p>
    <w:p w14:paraId="4F83D1C7" w14:textId="7177A594" w:rsidR="00FA0D17"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90.</w:t>
      </w:r>
      <w:r>
        <w:rPr>
          <w:rFonts w:ascii="Arial" w:hAnsi="Arial" w:cs="Arial"/>
          <w:sz w:val="24"/>
          <w:szCs w:val="24"/>
        </w:rPr>
        <w:tab/>
      </w:r>
      <w:r w:rsidR="00EF008F">
        <w:rPr>
          <w:rFonts w:ascii="Arial" w:hAnsi="Arial" w:cs="Arial"/>
          <w:sz w:val="24"/>
          <w:szCs w:val="24"/>
        </w:rPr>
        <w:t>The requirement that  credit provider</w:t>
      </w:r>
      <w:r w:rsidR="00846E98">
        <w:rPr>
          <w:rFonts w:ascii="Arial" w:hAnsi="Arial" w:cs="Arial"/>
          <w:sz w:val="24"/>
          <w:szCs w:val="24"/>
        </w:rPr>
        <w:t>s</w:t>
      </w:r>
      <w:r w:rsidR="00EF008F">
        <w:rPr>
          <w:rFonts w:ascii="Arial" w:hAnsi="Arial" w:cs="Arial"/>
          <w:sz w:val="24"/>
          <w:szCs w:val="24"/>
        </w:rPr>
        <w:t xml:space="preserve"> must be registered allows for their control and regulation, </w:t>
      </w:r>
      <w:r w:rsidR="001746CC">
        <w:rPr>
          <w:rFonts w:ascii="Arial" w:hAnsi="Arial" w:cs="Arial"/>
          <w:sz w:val="24"/>
          <w:szCs w:val="24"/>
        </w:rPr>
        <w:t>especially in re</w:t>
      </w:r>
      <w:r w:rsidR="00CB5E32">
        <w:rPr>
          <w:rFonts w:ascii="Arial" w:hAnsi="Arial" w:cs="Arial"/>
          <w:sz w:val="24"/>
          <w:szCs w:val="24"/>
        </w:rPr>
        <w:t>lation</w:t>
      </w:r>
      <w:r w:rsidR="001746CC">
        <w:rPr>
          <w:rFonts w:ascii="Arial" w:hAnsi="Arial" w:cs="Arial"/>
          <w:sz w:val="24"/>
          <w:szCs w:val="24"/>
        </w:rPr>
        <w:t xml:space="preserve"> to their </w:t>
      </w:r>
      <w:r w:rsidR="00EF008F">
        <w:rPr>
          <w:rFonts w:ascii="Arial" w:hAnsi="Arial" w:cs="Arial"/>
          <w:sz w:val="24"/>
          <w:szCs w:val="24"/>
        </w:rPr>
        <w:t xml:space="preserve">financial probity and integrity, thereby avoiding the unscrupulous exploitation of credit consumers by </w:t>
      </w:r>
      <w:r w:rsidR="002A639D">
        <w:rPr>
          <w:rFonts w:ascii="Arial" w:hAnsi="Arial" w:cs="Arial"/>
          <w:sz w:val="24"/>
          <w:szCs w:val="24"/>
        </w:rPr>
        <w:t xml:space="preserve">so-called </w:t>
      </w:r>
      <w:r w:rsidR="00EF008F">
        <w:rPr>
          <w:rFonts w:ascii="Arial" w:hAnsi="Arial" w:cs="Arial"/>
          <w:sz w:val="24"/>
          <w:szCs w:val="24"/>
        </w:rPr>
        <w:t xml:space="preserve">fly-by-night </w:t>
      </w:r>
      <w:r w:rsidR="002A639D">
        <w:rPr>
          <w:rFonts w:ascii="Arial" w:hAnsi="Arial" w:cs="Arial"/>
          <w:sz w:val="24"/>
          <w:szCs w:val="24"/>
        </w:rPr>
        <w:t xml:space="preserve">operators and </w:t>
      </w:r>
      <w:r w:rsidR="00EF008F">
        <w:rPr>
          <w:rFonts w:ascii="Arial" w:hAnsi="Arial" w:cs="Arial"/>
          <w:sz w:val="24"/>
          <w:szCs w:val="24"/>
        </w:rPr>
        <w:t xml:space="preserve">loan sharks. </w:t>
      </w:r>
      <w:r w:rsidR="002A639D">
        <w:rPr>
          <w:rFonts w:ascii="Arial" w:hAnsi="Arial" w:cs="Arial"/>
          <w:sz w:val="24"/>
          <w:szCs w:val="24"/>
        </w:rPr>
        <w:t>In the event that th</w:t>
      </w:r>
      <w:r w:rsidR="00D93869">
        <w:rPr>
          <w:rFonts w:ascii="Arial" w:hAnsi="Arial" w:cs="Arial"/>
          <w:sz w:val="24"/>
          <w:szCs w:val="24"/>
        </w:rPr>
        <w:t>is</w:t>
      </w:r>
      <w:r w:rsidR="002A639D">
        <w:rPr>
          <w:rFonts w:ascii="Arial" w:hAnsi="Arial" w:cs="Arial"/>
          <w:sz w:val="24"/>
          <w:szCs w:val="24"/>
        </w:rPr>
        <w:t xml:space="preserve"> award is enforced the appellant would end up paying the respondent an amount, in total of R 4 621 500, on a capital advance of R 2.5 million</w:t>
      </w:r>
      <w:r w:rsidR="00D93869">
        <w:rPr>
          <w:rFonts w:ascii="Arial" w:hAnsi="Arial" w:cs="Arial"/>
          <w:sz w:val="24"/>
          <w:szCs w:val="24"/>
        </w:rPr>
        <w:t>, which by my rough (and possibly inaccurate reckoning), equates to an 84% return on investment</w:t>
      </w:r>
      <w:r w:rsidR="002A639D">
        <w:rPr>
          <w:rFonts w:ascii="Arial" w:hAnsi="Arial" w:cs="Arial"/>
          <w:sz w:val="24"/>
          <w:szCs w:val="24"/>
        </w:rPr>
        <w:t xml:space="preserve">. </w:t>
      </w:r>
    </w:p>
    <w:p w14:paraId="1838F699" w14:textId="04133F7F" w:rsidR="00D93869"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91.</w:t>
      </w:r>
      <w:r>
        <w:rPr>
          <w:rFonts w:ascii="Arial" w:hAnsi="Arial" w:cs="Arial"/>
          <w:sz w:val="24"/>
          <w:szCs w:val="24"/>
        </w:rPr>
        <w:tab/>
      </w:r>
      <w:r w:rsidR="00EF008F">
        <w:rPr>
          <w:rFonts w:ascii="Arial" w:hAnsi="Arial" w:cs="Arial"/>
          <w:sz w:val="24"/>
          <w:szCs w:val="24"/>
        </w:rPr>
        <w:t xml:space="preserve">In my view, enforcing </w:t>
      </w:r>
      <w:r w:rsidR="002A639D">
        <w:rPr>
          <w:rFonts w:ascii="Arial" w:hAnsi="Arial" w:cs="Arial"/>
          <w:sz w:val="24"/>
          <w:szCs w:val="24"/>
        </w:rPr>
        <w:t xml:space="preserve">such an award would </w:t>
      </w:r>
      <w:r w:rsidR="00EF008F">
        <w:rPr>
          <w:rFonts w:ascii="Arial" w:hAnsi="Arial" w:cs="Arial"/>
          <w:sz w:val="24"/>
          <w:szCs w:val="24"/>
        </w:rPr>
        <w:t xml:space="preserve">encourage credit providers </w:t>
      </w:r>
      <w:r w:rsidR="002A639D">
        <w:rPr>
          <w:rFonts w:ascii="Arial" w:hAnsi="Arial" w:cs="Arial"/>
          <w:sz w:val="24"/>
          <w:szCs w:val="24"/>
        </w:rPr>
        <w:t xml:space="preserve">not to register, and </w:t>
      </w:r>
      <w:r w:rsidR="00D93869">
        <w:rPr>
          <w:rFonts w:ascii="Arial" w:hAnsi="Arial" w:cs="Arial"/>
          <w:sz w:val="24"/>
          <w:szCs w:val="24"/>
        </w:rPr>
        <w:t xml:space="preserve">to </w:t>
      </w:r>
      <w:r w:rsidR="002A639D">
        <w:rPr>
          <w:rFonts w:ascii="Arial" w:hAnsi="Arial" w:cs="Arial"/>
          <w:sz w:val="24"/>
          <w:szCs w:val="24"/>
        </w:rPr>
        <w:t xml:space="preserve">subvert the regulation and control of their activities which the NCA seeks to achieve. It would </w:t>
      </w:r>
      <w:r w:rsidR="00CB5E32">
        <w:rPr>
          <w:rFonts w:ascii="Arial" w:hAnsi="Arial" w:cs="Arial"/>
          <w:sz w:val="24"/>
          <w:szCs w:val="24"/>
        </w:rPr>
        <w:t>encourage</w:t>
      </w:r>
      <w:r w:rsidR="002A639D">
        <w:rPr>
          <w:rFonts w:ascii="Arial" w:hAnsi="Arial" w:cs="Arial"/>
          <w:sz w:val="24"/>
          <w:szCs w:val="24"/>
        </w:rPr>
        <w:t xml:space="preserve"> them to subvert the Act </w:t>
      </w:r>
      <w:r w:rsidR="00D93869">
        <w:rPr>
          <w:rFonts w:ascii="Arial" w:hAnsi="Arial" w:cs="Arial"/>
          <w:sz w:val="24"/>
          <w:szCs w:val="24"/>
        </w:rPr>
        <w:t xml:space="preserve">simply </w:t>
      </w:r>
      <w:r w:rsidR="002A639D">
        <w:rPr>
          <w:rFonts w:ascii="Arial" w:hAnsi="Arial" w:cs="Arial"/>
          <w:sz w:val="24"/>
          <w:szCs w:val="24"/>
        </w:rPr>
        <w:t xml:space="preserve">by getting the consumers to whom they provide credit, at excessive rates of interest, </w:t>
      </w:r>
      <w:r w:rsidR="00D93869">
        <w:rPr>
          <w:rFonts w:ascii="Arial" w:hAnsi="Arial" w:cs="Arial"/>
          <w:sz w:val="24"/>
          <w:szCs w:val="24"/>
        </w:rPr>
        <w:t>to sign agreements whereby any dispute would be referred to arbitration.</w:t>
      </w:r>
    </w:p>
    <w:p w14:paraId="548C6CD4" w14:textId="44BF9065" w:rsidR="002A639D"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92.</w:t>
      </w:r>
      <w:r>
        <w:rPr>
          <w:rFonts w:ascii="Arial" w:hAnsi="Arial" w:cs="Arial"/>
          <w:sz w:val="24"/>
          <w:szCs w:val="24"/>
        </w:rPr>
        <w:tab/>
      </w:r>
      <w:r w:rsidR="00D93869">
        <w:rPr>
          <w:rFonts w:ascii="Arial" w:hAnsi="Arial" w:cs="Arial"/>
          <w:sz w:val="24"/>
          <w:szCs w:val="24"/>
        </w:rPr>
        <w:t xml:space="preserve">In the circumstances, </w:t>
      </w:r>
      <w:r w:rsidR="002A639D">
        <w:rPr>
          <w:rFonts w:ascii="Arial" w:hAnsi="Arial" w:cs="Arial"/>
          <w:sz w:val="24"/>
          <w:szCs w:val="24"/>
        </w:rPr>
        <w:t xml:space="preserve">giving effect to party autonomy by enforcing an arbitral award which serves to </w:t>
      </w:r>
      <w:r w:rsidR="00B066E2">
        <w:rPr>
          <w:rFonts w:ascii="Arial" w:hAnsi="Arial" w:cs="Arial"/>
          <w:sz w:val="24"/>
          <w:szCs w:val="24"/>
        </w:rPr>
        <w:t xml:space="preserve">1) </w:t>
      </w:r>
      <w:r w:rsidR="002A639D">
        <w:rPr>
          <w:rFonts w:ascii="Arial" w:hAnsi="Arial" w:cs="Arial"/>
          <w:sz w:val="24"/>
          <w:szCs w:val="24"/>
        </w:rPr>
        <w:t>uphold and e</w:t>
      </w:r>
      <w:r w:rsidR="00B066E2">
        <w:rPr>
          <w:rFonts w:ascii="Arial" w:hAnsi="Arial" w:cs="Arial"/>
          <w:sz w:val="24"/>
          <w:szCs w:val="24"/>
        </w:rPr>
        <w:t>ndorse</w:t>
      </w:r>
      <w:r w:rsidR="002A639D">
        <w:rPr>
          <w:rFonts w:ascii="Arial" w:hAnsi="Arial" w:cs="Arial"/>
          <w:sz w:val="24"/>
          <w:szCs w:val="24"/>
        </w:rPr>
        <w:t xml:space="preserve"> credit agreements which </w:t>
      </w:r>
      <w:r w:rsidR="00B066E2">
        <w:rPr>
          <w:rFonts w:ascii="Arial" w:hAnsi="Arial" w:cs="Arial"/>
          <w:sz w:val="24"/>
          <w:szCs w:val="24"/>
        </w:rPr>
        <w:t>a</w:t>
      </w:r>
      <w:r w:rsidR="00D93869">
        <w:rPr>
          <w:rFonts w:ascii="Arial" w:hAnsi="Arial" w:cs="Arial"/>
          <w:sz w:val="24"/>
          <w:szCs w:val="24"/>
        </w:rPr>
        <w:t>re</w:t>
      </w:r>
      <w:r w:rsidR="002A639D">
        <w:rPr>
          <w:rFonts w:ascii="Arial" w:hAnsi="Arial" w:cs="Arial"/>
          <w:sz w:val="24"/>
          <w:szCs w:val="24"/>
        </w:rPr>
        <w:t xml:space="preserve"> unlawful</w:t>
      </w:r>
      <w:r w:rsidR="00D93869">
        <w:rPr>
          <w:rFonts w:ascii="Arial" w:hAnsi="Arial" w:cs="Arial"/>
          <w:sz w:val="24"/>
          <w:szCs w:val="24"/>
        </w:rPr>
        <w:t xml:space="preserve"> and </w:t>
      </w:r>
      <w:r w:rsidR="00B066E2">
        <w:rPr>
          <w:rFonts w:ascii="Arial" w:hAnsi="Arial" w:cs="Arial"/>
          <w:sz w:val="24"/>
          <w:szCs w:val="24"/>
        </w:rPr>
        <w:t xml:space="preserve">2) </w:t>
      </w:r>
      <w:r w:rsidR="00D93869">
        <w:rPr>
          <w:rFonts w:ascii="Arial" w:hAnsi="Arial" w:cs="Arial"/>
          <w:sz w:val="24"/>
          <w:szCs w:val="24"/>
        </w:rPr>
        <w:t>to subvert the Act and encourage non-compliance therewith by credit providers</w:t>
      </w:r>
      <w:r w:rsidR="002A639D">
        <w:rPr>
          <w:rFonts w:ascii="Arial" w:hAnsi="Arial" w:cs="Arial"/>
          <w:sz w:val="24"/>
          <w:szCs w:val="24"/>
        </w:rPr>
        <w:t xml:space="preserve">, would be against public policy. </w:t>
      </w:r>
    </w:p>
    <w:p w14:paraId="22B24EA1" w14:textId="3EC91F39" w:rsidR="00C740E7"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93.</w:t>
      </w:r>
      <w:r>
        <w:rPr>
          <w:rFonts w:ascii="Arial" w:hAnsi="Arial" w:cs="Arial"/>
          <w:sz w:val="24"/>
          <w:szCs w:val="24"/>
        </w:rPr>
        <w:tab/>
      </w:r>
      <w:r w:rsidR="00D93869">
        <w:rPr>
          <w:rFonts w:ascii="Arial" w:hAnsi="Arial" w:cs="Arial"/>
          <w:sz w:val="24"/>
          <w:szCs w:val="24"/>
        </w:rPr>
        <w:t xml:space="preserve">For the aforegoing reasons, I would hold that the judgment and order of the Court a </w:t>
      </w:r>
      <w:r w:rsidR="00D93869" w:rsidRPr="00D93869">
        <w:rPr>
          <w:rFonts w:ascii="Arial" w:hAnsi="Arial" w:cs="Arial"/>
          <w:i/>
          <w:iCs/>
          <w:sz w:val="24"/>
          <w:szCs w:val="24"/>
        </w:rPr>
        <w:t>quo</w:t>
      </w:r>
      <w:r w:rsidR="00D93869">
        <w:rPr>
          <w:rFonts w:ascii="Arial" w:hAnsi="Arial" w:cs="Arial"/>
          <w:sz w:val="24"/>
          <w:szCs w:val="24"/>
        </w:rPr>
        <w:t xml:space="preserve">, should be set aside. Before concluding, some final remarks as to issues of equity and fairness which arise in matters such as these, </w:t>
      </w:r>
      <w:r w:rsidR="00B066E2">
        <w:rPr>
          <w:rFonts w:ascii="Arial" w:hAnsi="Arial" w:cs="Arial"/>
          <w:sz w:val="24"/>
          <w:szCs w:val="24"/>
        </w:rPr>
        <w:t>may be</w:t>
      </w:r>
      <w:r w:rsidR="00D93869">
        <w:rPr>
          <w:rFonts w:ascii="Arial" w:hAnsi="Arial" w:cs="Arial"/>
          <w:sz w:val="24"/>
          <w:szCs w:val="24"/>
        </w:rPr>
        <w:t xml:space="preserve"> apposite</w:t>
      </w:r>
      <w:r w:rsidR="00CB5E32">
        <w:rPr>
          <w:rFonts w:ascii="Arial" w:hAnsi="Arial" w:cs="Arial"/>
          <w:sz w:val="24"/>
          <w:szCs w:val="24"/>
        </w:rPr>
        <w:t>;</w:t>
      </w:r>
      <w:r w:rsidR="00C740E7">
        <w:rPr>
          <w:rFonts w:ascii="Arial" w:hAnsi="Arial" w:cs="Arial"/>
          <w:sz w:val="24"/>
          <w:szCs w:val="24"/>
        </w:rPr>
        <w:t xml:space="preserve"> given that one may feel a measure of sympathy for the respondent, who was clearly </w:t>
      </w:r>
      <w:r w:rsidR="00C740E7">
        <w:rPr>
          <w:rFonts w:ascii="Arial" w:hAnsi="Arial" w:cs="Arial"/>
          <w:sz w:val="24"/>
          <w:szCs w:val="24"/>
        </w:rPr>
        <w:lastRenderedPageBreak/>
        <w:t>treated unfairly by the appellant in relation to the third AOD, the terms of which were proposed by him in lieu of a supposed settlement, only to be dishonoured</w:t>
      </w:r>
      <w:r w:rsidR="00D93869">
        <w:rPr>
          <w:rFonts w:ascii="Arial" w:hAnsi="Arial" w:cs="Arial"/>
          <w:sz w:val="24"/>
          <w:szCs w:val="24"/>
        </w:rPr>
        <w:t>.</w:t>
      </w:r>
    </w:p>
    <w:p w14:paraId="282D42CE" w14:textId="0371C617" w:rsidR="00C740E7"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94.</w:t>
      </w:r>
      <w:r>
        <w:rPr>
          <w:rFonts w:ascii="Arial" w:hAnsi="Arial" w:cs="Arial"/>
          <w:sz w:val="24"/>
          <w:szCs w:val="24"/>
        </w:rPr>
        <w:tab/>
      </w:r>
      <w:r w:rsidR="00C740E7">
        <w:rPr>
          <w:rFonts w:ascii="Arial" w:hAnsi="Arial" w:cs="Arial"/>
          <w:sz w:val="24"/>
          <w:szCs w:val="24"/>
        </w:rPr>
        <w:t>Had the matter come before the Court on the credit agreements, in addition to declaring them unlawful and setting them aside it would have had the power</w:t>
      </w:r>
      <w:r w:rsidR="00FA0D17">
        <w:rPr>
          <w:rFonts w:ascii="Arial" w:hAnsi="Arial" w:cs="Arial"/>
          <w:sz w:val="24"/>
          <w:szCs w:val="24"/>
        </w:rPr>
        <w:t>,</w:t>
      </w:r>
      <w:r w:rsidR="00C740E7">
        <w:rPr>
          <w:rFonts w:ascii="Arial" w:hAnsi="Arial" w:cs="Arial"/>
          <w:sz w:val="24"/>
          <w:szCs w:val="24"/>
        </w:rPr>
        <w:t xml:space="preserve"> </w:t>
      </w:r>
      <w:r w:rsidR="008024EC">
        <w:rPr>
          <w:rFonts w:ascii="Arial" w:hAnsi="Arial" w:cs="Arial"/>
          <w:sz w:val="24"/>
          <w:szCs w:val="24"/>
        </w:rPr>
        <w:t>in terms of the NCA</w:t>
      </w:r>
      <w:r w:rsidR="00FA0D17">
        <w:rPr>
          <w:rFonts w:ascii="Arial" w:hAnsi="Arial" w:cs="Arial"/>
          <w:sz w:val="24"/>
          <w:szCs w:val="24"/>
        </w:rPr>
        <w:t>,</w:t>
      </w:r>
      <w:r w:rsidR="008024EC">
        <w:rPr>
          <w:rFonts w:ascii="Arial" w:hAnsi="Arial" w:cs="Arial"/>
          <w:sz w:val="24"/>
          <w:szCs w:val="24"/>
        </w:rPr>
        <w:t xml:space="preserve"> </w:t>
      </w:r>
      <w:r w:rsidR="00C740E7">
        <w:rPr>
          <w:rFonts w:ascii="Arial" w:hAnsi="Arial" w:cs="Arial"/>
          <w:sz w:val="24"/>
          <w:szCs w:val="24"/>
        </w:rPr>
        <w:t>to make an order that was ‘just and equitable’.</w:t>
      </w:r>
      <w:r w:rsidR="00C740E7">
        <w:rPr>
          <w:rStyle w:val="FootnoteReference"/>
          <w:rFonts w:ascii="Arial" w:hAnsi="Arial" w:cs="Arial"/>
          <w:sz w:val="24"/>
          <w:szCs w:val="24"/>
        </w:rPr>
        <w:footnoteReference w:id="63"/>
      </w:r>
      <w:r w:rsidR="00C740E7">
        <w:rPr>
          <w:rFonts w:ascii="Arial" w:hAnsi="Arial" w:cs="Arial"/>
          <w:sz w:val="24"/>
          <w:szCs w:val="24"/>
        </w:rPr>
        <w:t xml:space="preserve"> Such an order is unfortunately not open to a court which deals with a settlement agreement which constitutes a compromise arising from earlier credit agreements</w:t>
      </w:r>
      <w:r w:rsidR="00FA0D17">
        <w:rPr>
          <w:rFonts w:ascii="Arial" w:hAnsi="Arial" w:cs="Arial"/>
          <w:sz w:val="24"/>
          <w:szCs w:val="24"/>
        </w:rPr>
        <w:t>, but which is not itself a credit agreement</w:t>
      </w:r>
      <w:r w:rsidR="00C740E7">
        <w:rPr>
          <w:rFonts w:ascii="Arial" w:hAnsi="Arial" w:cs="Arial"/>
          <w:sz w:val="24"/>
          <w:szCs w:val="24"/>
        </w:rPr>
        <w:t xml:space="preserve">. In </w:t>
      </w:r>
      <w:r w:rsidR="00C740E7" w:rsidRPr="00C740E7">
        <w:rPr>
          <w:rFonts w:ascii="Arial" w:hAnsi="Arial" w:cs="Arial"/>
          <w:i/>
          <w:iCs/>
          <w:sz w:val="24"/>
          <w:szCs w:val="24"/>
        </w:rPr>
        <w:t>Ratlou</w:t>
      </w:r>
      <w:r w:rsidR="00C740E7">
        <w:rPr>
          <w:rFonts w:ascii="Arial" w:hAnsi="Arial" w:cs="Arial"/>
          <w:sz w:val="24"/>
          <w:szCs w:val="24"/>
        </w:rPr>
        <w:t xml:space="preserve"> </w:t>
      </w:r>
      <w:r w:rsidR="00C740E7">
        <w:rPr>
          <w:rStyle w:val="FootnoteReference"/>
          <w:rFonts w:ascii="Arial" w:hAnsi="Arial" w:cs="Arial"/>
          <w:sz w:val="24"/>
          <w:szCs w:val="24"/>
        </w:rPr>
        <w:footnoteReference w:id="64"/>
      </w:r>
      <w:r w:rsidR="00C740E7">
        <w:rPr>
          <w:rFonts w:ascii="Arial" w:hAnsi="Arial" w:cs="Arial"/>
          <w:sz w:val="24"/>
          <w:szCs w:val="24"/>
        </w:rPr>
        <w:t xml:space="preserve"> the SCA warned that it was never intended that the NCA would be applicable to all settlement agreements, simply because in form they compl</w:t>
      </w:r>
      <w:r w:rsidR="00FA0D17">
        <w:rPr>
          <w:rFonts w:ascii="Arial" w:hAnsi="Arial" w:cs="Arial"/>
          <w:sz w:val="24"/>
          <w:szCs w:val="24"/>
        </w:rPr>
        <w:t>y</w:t>
      </w:r>
      <w:r w:rsidR="00C740E7">
        <w:rPr>
          <w:rFonts w:ascii="Arial" w:hAnsi="Arial" w:cs="Arial"/>
          <w:sz w:val="24"/>
          <w:szCs w:val="24"/>
        </w:rPr>
        <w:t xml:space="preserve"> with the definition of a credit agreement in terms of the NCA.</w:t>
      </w:r>
    </w:p>
    <w:p w14:paraId="5C0F19D1" w14:textId="72AA1EF0" w:rsidR="00CB5E32"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95.</w:t>
      </w:r>
      <w:r>
        <w:rPr>
          <w:rFonts w:ascii="Arial" w:hAnsi="Arial" w:cs="Arial"/>
          <w:sz w:val="24"/>
          <w:szCs w:val="24"/>
        </w:rPr>
        <w:tab/>
      </w:r>
      <w:r w:rsidR="00D93869">
        <w:rPr>
          <w:rFonts w:ascii="Arial" w:hAnsi="Arial" w:cs="Arial"/>
          <w:sz w:val="24"/>
          <w:szCs w:val="24"/>
        </w:rPr>
        <w:t>In the decision of both the SCA</w:t>
      </w:r>
      <w:r w:rsidR="00D93869">
        <w:rPr>
          <w:rStyle w:val="FootnoteReference"/>
          <w:rFonts w:ascii="Arial" w:hAnsi="Arial" w:cs="Arial"/>
          <w:sz w:val="24"/>
          <w:szCs w:val="24"/>
        </w:rPr>
        <w:footnoteReference w:id="65"/>
      </w:r>
      <w:r w:rsidR="00D93869">
        <w:rPr>
          <w:rFonts w:ascii="Arial" w:hAnsi="Arial" w:cs="Arial"/>
          <w:sz w:val="24"/>
          <w:szCs w:val="24"/>
        </w:rPr>
        <w:t xml:space="preserve"> (per Ponnan J) and the Constitutional Court</w:t>
      </w:r>
      <w:r w:rsidR="001746CC">
        <w:rPr>
          <w:rStyle w:val="FootnoteReference"/>
          <w:rFonts w:ascii="Arial" w:hAnsi="Arial" w:cs="Arial"/>
          <w:sz w:val="24"/>
          <w:szCs w:val="24"/>
        </w:rPr>
        <w:footnoteReference w:id="66"/>
      </w:r>
      <w:r w:rsidR="00D93869">
        <w:rPr>
          <w:rFonts w:ascii="Arial" w:hAnsi="Arial" w:cs="Arial"/>
          <w:sz w:val="24"/>
          <w:szCs w:val="24"/>
        </w:rPr>
        <w:t xml:space="preserve"> (per Majiedt J) in </w:t>
      </w:r>
      <w:r w:rsidR="00D93869" w:rsidRPr="00D93869">
        <w:rPr>
          <w:rFonts w:ascii="Arial" w:hAnsi="Arial" w:cs="Arial"/>
          <w:i/>
          <w:iCs/>
          <w:sz w:val="24"/>
          <w:szCs w:val="24"/>
        </w:rPr>
        <w:t>Cool Ideas</w:t>
      </w:r>
      <w:r w:rsidR="00D93869">
        <w:rPr>
          <w:rFonts w:ascii="Arial" w:hAnsi="Arial" w:cs="Arial"/>
          <w:i/>
          <w:iCs/>
          <w:sz w:val="24"/>
          <w:szCs w:val="24"/>
        </w:rPr>
        <w:t>,</w:t>
      </w:r>
      <w:r w:rsidR="00D93869">
        <w:rPr>
          <w:rFonts w:ascii="Arial" w:hAnsi="Arial" w:cs="Arial"/>
          <w:sz w:val="24"/>
          <w:szCs w:val="24"/>
        </w:rPr>
        <w:t xml:space="preserve"> the </w:t>
      </w:r>
      <w:r w:rsidR="00FA0D17">
        <w:rPr>
          <w:rFonts w:ascii="Arial" w:hAnsi="Arial" w:cs="Arial"/>
          <w:sz w:val="24"/>
          <w:szCs w:val="24"/>
        </w:rPr>
        <w:t xml:space="preserve">higher </w:t>
      </w:r>
      <w:r w:rsidR="00D93869">
        <w:rPr>
          <w:rFonts w:ascii="Arial" w:hAnsi="Arial" w:cs="Arial"/>
          <w:sz w:val="24"/>
          <w:szCs w:val="24"/>
        </w:rPr>
        <w:t>Courts eschewed appeals to notions</w:t>
      </w:r>
      <w:r w:rsidR="0000742A">
        <w:rPr>
          <w:rFonts w:ascii="Arial" w:hAnsi="Arial" w:cs="Arial"/>
          <w:sz w:val="24"/>
          <w:szCs w:val="24"/>
        </w:rPr>
        <w:t xml:space="preserve"> </w:t>
      </w:r>
      <w:r w:rsidR="008024EC">
        <w:rPr>
          <w:rFonts w:ascii="Arial" w:hAnsi="Arial" w:cs="Arial"/>
          <w:sz w:val="24"/>
          <w:szCs w:val="24"/>
        </w:rPr>
        <w:t xml:space="preserve">of fairness and equity </w:t>
      </w:r>
      <w:r w:rsidR="0000742A">
        <w:rPr>
          <w:rFonts w:ascii="Arial" w:hAnsi="Arial" w:cs="Arial"/>
          <w:sz w:val="24"/>
          <w:szCs w:val="24"/>
        </w:rPr>
        <w:t>in relation to the enforcement of arbitral award</w:t>
      </w:r>
      <w:r w:rsidR="008024EC">
        <w:rPr>
          <w:rFonts w:ascii="Arial" w:hAnsi="Arial" w:cs="Arial"/>
          <w:sz w:val="24"/>
          <w:szCs w:val="24"/>
        </w:rPr>
        <w:t>s</w:t>
      </w:r>
      <w:r w:rsidR="00D93869">
        <w:rPr>
          <w:rFonts w:ascii="Arial" w:hAnsi="Arial" w:cs="Arial"/>
          <w:sz w:val="24"/>
          <w:szCs w:val="24"/>
        </w:rPr>
        <w:t xml:space="preserve">.  </w:t>
      </w:r>
    </w:p>
    <w:p w14:paraId="274E2DF4" w14:textId="08EC7751" w:rsidR="0000742A"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96.</w:t>
      </w:r>
      <w:r>
        <w:rPr>
          <w:rFonts w:ascii="Arial" w:hAnsi="Arial" w:cs="Arial"/>
          <w:sz w:val="24"/>
          <w:szCs w:val="24"/>
        </w:rPr>
        <w:tab/>
      </w:r>
      <w:r w:rsidR="0000742A">
        <w:rPr>
          <w:rFonts w:ascii="Arial" w:hAnsi="Arial" w:cs="Arial"/>
          <w:sz w:val="24"/>
          <w:szCs w:val="24"/>
        </w:rPr>
        <w:t xml:space="preserve">As </w:t>
      </w:r>
      <w:r w:rsidR="00B066E2">
        <w:rPr>
          <w:rFonts w:ascii="Arial" w:hAnsi="Arial" w:cs="Arial"/>
          <w:sz w:val="24"/>
          <w:szCs w:val="24"/>
        </w:rPr>
        <w:t>Wallis JA</w:t>
      </w:r>
      <w:r w:rsidR="0000742A">
        <w:rPr>
          <w:rFonts w:ascii="Arial" w:hAnsi="Arial" w:cs="Arial"/>
          <w:sz w:val="24"/>
          <w:szCs w:val="24"/>
        </w:rPr>
        <w:t xml:space="preserve"> pointed out</w:t>
      </w:r>
      <w:r w:rsidR="00846E98">
        <w:rPr>
          <w:rFonts w:ascii="Arial" w:hAnsi="Arial" w:cs="Arial"/>
          <w:sz w:val="24"/>
          <w:szCs w:val="24"/>
        </w:rPr>
        <w:t xml:space="preserve"> in his article</w:t>
      </w:r>
      <w:r w:rsidR="00CB5E32">
        <w:rPr>
          <w:rFonts w:ascii="Arial" w:hAnsi="Arial" w:cs="Arial"/>
          <w:sz w:val="24"/>
          <w:szCs w:val="24"/>
        </w:rPr>
        <w:t>,</w:t>
      </w:r>
      <w:r w:rsidR="0000742A">
        <w:rPr>
          <w:rFonts w:ascii="Arial" w:hAnsi="Arial" w:cs="Arial"/>
          <w:sz w:val="24"/>
          <w:szCs w:val="24"/>
        </w:rPr>
        <w:t xml:space="preserve"> </w:t>
      </w:r>
      <w:r w:rsidR="00B066E2">
        <w:rPr>
          <w:rFonts w:ascii="Arial" w:hAnsi="Arial" w:cs="Arial"/>
          <w:sz w:val="24"/>
          <w:szCs w:val="24"/>
        </w:rPr>
        <w:t xml:space="preserve">where </w:t>
      </w:r>
      <w:r w:rsidR="0000742A">
        <w:rPr>
          <w:rFonts w:ascii="Arial" w:hAnsi="Arial" w:cs="Arial"/>
          <w:sz w:val="24"/>
          <w:szCs w:val="24"/>
        </w:rPr>
        <w:t>the enforcement of</w:t>
      </w:r>
      <w:r w:rsidR="00B066E2">
        <w:rPr>
          <w:rFonts w:ascii="Arial" w:hAnsi="Arial" w:cs="Arial"/>
          <w:sz w:val="24"/>
          <w:szCs w:val="24"/>
        </w:rPr>
        <w:t xml:space="preserve"> an arbitral award involves the perpetuation of an unlawful act one cannot disguise or overlook the illegality by saying the parties have chosen arbitration as the</w:t>
      </w:r>
      <w:r w:rsidR="00CB5E32">
        <w:rPr>
          <w:rFonts w:ascii="Arial" w:hAnsi="Arial" w:cs="Arial"/>
          <w:sz w:val="24"/>
          <w:szCs w:val="24"/>
        </w:rPr>
        <w:t>ir</w:t>
      </w:r>
      <w:r w:rsidR="00B066E2">
        <w:rPr>
          <w:rFonts w:ascii="Arial" w:hAnsi="Arial" w:cs="Arial"/>
          <w:sz w:val="24"/>
          <w:szCs w:val="24"/>
        </w:rPr>
        <w:t xml:space="preserve"> dispute resolution medium</w:t>
      </w:r>
      <w:r w:rsidR="00FA0D17">
        <w:rPr>
          <w:rFonts w:ascii="Arial" w:hAnsi="Arial" w:cs="Arial"/>
          <w:sz w:val="24"/>
          <w:szCs w:val="24"/>
        </w:rPr>
        <w:t>,</w:t>
      </w:r>
      <w:r w:rsidR="00B066E2">
        <w:rPr>
          <w:rFonts w:ascii="Arial" w:hAnsi="Arial" w:cs="Arial"/>
          <w:sz w:val="24"/>
          <w:szCs w:val="24"/>
        </w:rPr>
        <w:t xml:space="preserve"> and fairness dic</w:t>
      </w:r>
      <w:r w:rsidR="0000742A">
        <w:rPr>
          <w:rFonts w:ascii="Arial" w:hAnsi="Arial" w:cs="Arial"/>
          <w:sz w:val="24"/>
          <w:szCs w:val="24"/>
        </w:rPr>
        <w:t>t</w:t>
      </w:r>
      <w:r w:rsidR="00B066E2">
        <w:rPr>
          <w:rFonts w:ascii="Arial" w:hAnsi="Arial" w:cs="Arial"/>
          <w:sz w:val="24"/>
          <w:szCs w:val="24"/>
        </w:rPr>
        <w:t xml:space="preserve">ates </w:t>
      </w:r>
      <w:r w:rsidR="00846E98">
        <w:rPr>
          <w:rFonts w:ascii="Arial" w:hAnsi="Arial" w:cs="Arial"/>
          <w:sz w:val="24"/>
          <w:szCs w:val="24"/>
        </w:rPr>
        <w:t xml:space="preserve">that </w:t>
      </w:r>
      <w:r w:rsidR="00B066E2">
        <w:rPr>
          <w:rFonts w:ascii="Arial" w:hAnsi="Arial" w:cs="Arial"/>
          <w:sz w:val="24"/>
          <w:szCs w:val="24"/>
        </w:rPr>
        <w:t>they should be held to that choice</w:t>
      </w:r>
      <w:r w:rsidR="0000742A">
        <w:rPr>
          <w:rFonts w:ascii="Arial" w:hAnsi="Arial" w:cs="Arial"/>
          <w:sz w:val="24"/>
          <w:szCs w:val="24"/>
        </w:rPr>
        <w:t>. S</w:t>
      </w:r>
      <w:r w:rsidR="00B066E2">
        <w:rPr>
          <w:rFonts w:ascii="Arial" w:hAnsi="Arial" w:cs="Arial"/>
          <w:sz w:val="24"/>
          <w:szCs w:val="24"/>
        </w:rPr>
        <w:t>uch a result</w:t>
      </w:r>
      <w:r w:rsidR="0000742A">
        <w:rPr>
          <w:rFonts w:ascii="Arial" w:hAnsi="Arial" w:cs="Arial"/>
          <w:sz w:val="24"/>
          <w:szCs w:val="24"/>
        </w:rPr>
        <w:t xml:space="preserve"> would be </w:t>
      </w:r>
      <w:r w:rsidR="00B066E2">
        <w:rPr>
          <w:rFonts w:ascii="Arial" w:hAnsi="Arial" w:cs="Arial"/>
          <w:sz w:val="24"/>
          <w:szCs w:val="24"/>
        </w:rPr>
        <w:t xml:space="preserve">inconsistent with the notion of public policy as reflected in the spirit, purport and objects of the Constitution and </w:t>
      </w:r>
      <w:r w:rsidR="0000742A">
        <w:rPr>
          <w:rFonts w:ascii="Arial" w:hAnsi="Arial" w:cs="Arial"/>
          <w:sz w:val="24"/>
          <w:szCs w:val="24"/>
        </w:rPr>
        <w:t xml:space="preserve">would </w:t>
      </w:r>
      <w:r w:rsidR="00B066E2">
        <w:rPr>
          <w:rFonts w:ascii="Arial" w:hAnsi="Arial" w:cs="Arial"/>
          <w:sz w:val="24"/>
          <w:szCs w:val="24"/>
        </w:rPr>
        <w:t xml:space="preserve">undermine the principle of legality. </w:t>
      </w:r>
      <w:r w:rsidR="00B066E2">
        <w:rPr>
          <w:rStyle w:val="FootnoteReference"/>
          <w:rFonts w:ascii="Arial" w:hAnsi="Arial" w:cs="Arial"/>
          <w:sz w:val="24"/>
          <w:szCs w:val="24"/>
        </w:rPr>
        <w:footnoteReference w:id="67"/>
      </w:r>
    </w:p>
    <w:p w14:paraId="34D1F942" w14:textId="0F809C04" w:rsidR="0085256A"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97.</w:t>
      </w:r>
      <w:r>
        <w:rPr>
          <w:rFonts w:ascii="Arial" w:hAnsi="Arial" w:cs="Arial"/>
          <w:sz w:val="24"/>
          <w:szCs w:val="24"/>
        </w:rPr>
        <w:tab/>
      </w:r>
      <w:r w:rsidR="00C740E7">
        <w:rPr>
          <w:rFonts w:ascii="Arial" w:hAnsi="Arial" w:cs="Arial"/>
          <w:sz w:val="24"/>
          <w:szCs w:val="24"/>
        </w:rPr>
        <w:t>Of course, as set out above, in the case of an enrichment claim arising from an illegal agreement the Court has a discretionary power to make</w:t>
      </w:r>
      <w:r w:rsidR="00894799">
        <w:rPr>
          <w:rFonts w:ascii="Arial" w:hAnsi="Arial" w:cs="Arial"/>
          <w:sz w:val="24"/>
          <w:szCs w:val="24"/>
        </w:rPr>
        <w:t xml:space="preserve"> an order which allow</w:t>
      </w:r>
      <w:r w:rsidR="004816EF">
        <w:rPr>
          <w:rFonts w:ascii="Arial" w:hAnsi="Arial" w:cs="Arial"/>
          <w:sz w:val="24"/>
          <w:szCs w:val="24"/>
        </w:rPr>
        <w:t xml:space="preserve">s for </w:t>
      </w:r>
      <w:r w:rsidR="00894799">
        <w:rPr>
          <w:rFonts w:ascii="Arial" w:hAnsi="Arial" w:cs="Arial"/>
          <w:sz w:val="24"/>
          <w:szCs w:val="24"/>
        </w:rPr>
        <w:t xml:space="preserve">‘simple justice between man and man’, by relaxing the </w:t>
      </w:r>
      <w:r w:rsidR="00894799" w:rsidRPr="00894799">
        <w:rPr>
          <w:rFonts w:ascii="Arial" w:hAnsi="Arial" w:cs="Arial"/>
          <w:i/>
          <w:iCs/>
          <w:sz w:val="24"/>
          <w:szCs w:val="24"/>
        </w:rPr>
        <w:t>par delictum</w:t>
      </w:r>
      <w:r w:rsidR="00894799">
        <w:rPr>
          <w:rFonts w:ascii="Arial" w:hAnsi="Arial" w:cs="Arial"/>
          <w:sz w:val="24"/>
          <w:szCs w:val="24"/>
        </w:rPr>
        <w:t xml:space="preserve"> rule. But, given that the matter </w:t>
      </w:r>
      <w:r w:rsidR="00FA0D17">
        <w:rPr>
          <w:rFonts w:ascii="Arial" w:hAnsi="Arial" w:cs="Arial"/>
          <w:sz w:val="24"/>
          <w:szCs w:val="24"/>
        </w:rPr>
        <w:t xml:space="preserve">before us </w:t>
      </w:r>
      <w:r w:rsidR="00894799">
        <w:rPr>
          <w:rFonts w:ascii="Arial" w:hAnsi="Arial" w:cs="Arial"/>
          <w:sz w:val="24"/>
          <w:szCs w:val="24"/>
        </w:rPr>
        <w:t xml:space="preserve">concerns an application for </w:t>
      </w:r>
      <w:r w:rsidR="00FA0D17">
        <w:rPr>
          <w:rFonts w:ascii="Arial" w:hAnsi="Arial" w:cs="Arial"/>
          <w:sz w:val="24"/>
          <w:szCs w:val="24"/>
        </w:rPr>
        <w:t xml:space="preserve">the </w:t>
      </w:r>
      <w:r w:rsidR="00894799">
        <w:rPr>
          <w:rFonts w:ascii="Arial" w:hAnsi="Arial" w:cs="Arial"/>
          <w:sz w:val="24"/>
          <w:szCs w:val="24"/>
        </w:rPr>
        <w:t xml:space="preserve">enforcement of an arbitral </w:t>
      </w:r>
      <w:r w:rsidR="00FA0D17">
        <w:rPr>
          <w:rFonts w:ascii="Arial" w:hAnsi="Arial" w:cs="Arial"/>
          <w:sz w:val="24"/>
          <w:szCs w:val="24"/>
        </w:rPr>
        <w:t>award, neither</w:t>
      </w:r>
      <w:r w:rsidR="00894799">
        <w:rPr>
          <w:rFonts w:ascii="Arial" w:hAnsi="Arial" w:cs="Arial"/>
          <w:sz w:val="24"/>
          <w:szCs w:val="24"/>
        </w:rPr>
        <w:t xml:space="preserve"> the Court a </w:t>
      </w:r>
      <w:r w:rsidR="00894799" w:rsidRPr="00FA0D17">
        <w:rPr>
          <w:rFonts w:ascii="Arial" w:hAnsi="Arial" w:cs="Arial"/>
          <w:i/>
          <w:iCs/>
          <w:sz w:val="24"/>
          <w:szCs w:val="24"/>
        </w:rPr>
        <w:t>quo</w:t>
      </w:r>
      <w:r w:rsidR="00894799">
        <w:rPr>
          <w:rFonts w:ascii="Arial" w:hAnsi="Arial" w:cs="Arial"/>
          <w:sz w:val="24"/>
          <w:szCs w:val="24"/>
        </w:rPr>
        <w:t xml:space="preserve"> nor this Court had/has </w:t>
      </w:r>
      <w:r w:rsidR="00FA0D17">
        <w:rPr>
          <w:rFonts w:ascii="Arial" w:hAnsi="Arial" w:cs="Arial"/>
          <w:sz w:val="24"/>
          <w:szCs w:val="24"/>
        </w:rPr>
        <w:t>the</w:t>
      </w:r>
      <w:r w:rsidR="00894799">
        <w:rPr>
          <w:rFonts w:ascii="Arial" w:hAnsi="Arial" w:cs="Arial"/>
          <w:sz w:val="24"/>
          <w:szCs w:val="24"/>
        </w:rPr>
        <w:t xml:space="preserve"> power to make an </w:t>
      </w:r>
      <w:r w:rsidR="00846E98">
        <w:rPr>
          <w:rFonts w:ascii="Arial" w:hAnsi="Arial" w:cs="Arial"/>
          <w:sz w:val="24"/>
          <w:szCs w:val="24"/>
        </w:rPr>
        <w:t>o</w:t>
      </w:r>
      <w:r w:rsidR="00894799">
        <w:rPr>
          <w:rFonts w:ascii="Arial" w:hAnsi="Arial" w:cs="Arial"/>
          <w:sz w:val="24"/>
          <w:szCs w:val="24"/>
        </w:rPr>
        <w:t>rder based</w:t>
      </w:r>
      <w:r w:rsidR="00FA0D17">
        <w:rPr>
          <w:rFonts w:ascii="Arial" w:hAnsi="Arial" w:cs="Arial"/>
          <w:sz w:val="24"/>
          <w:szCs w:val="24"/>
        </w:rPr>
        <w:t xml:space="preserve"> </w:t>
      </w:r>
      <w:r w:rsidR="00894799">
        <w:rPr>
          <w:rFonts w:ascii="Arial" w:hAnsi="Arial" w:cs="Arial"/>
          <w:sz w:val="24"/>
          <w:szCs w:val="24"/>
        </w:rPr>
        <w:t xml:space="preserve">on fairness or </w:t>
      </w:r>
      <w:r w:rsidR="00FA0D17">
        <w:rPr>
          <w:rFonts w:ascii="Arial" w:hAnsi="Arial" w:cs="Arial"/>
          <w:sz w:val="24"/>
          <w:szCs w:val="24"/>
        </w:rPr>
        <w:t>equity, whereby the appellant could be directed to make a payment in some amount which is considered to be fair.</w:t>
      </w:r>
    </w:p>
    <w:p w14:paraId="7629F9E0" w14:textId="4537FA0D" w:rsidR="0000742A"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lastRenderedPageBreak/>
        <w:t>98.</w:t>
      </w:r>
      <w:r>
        <w:rPr>
          <w:rFonts w:ascii="Arial" w:hAnsi="Arial" w:cs="Arial"/>
          <w:sz w:val="24"/>
          <w:szCs w:val="24"/>
        </w:rPr>
        <w:tab/>
      </w:r>
      <w:r w:rsidR="0085256A">
        <w:rPr>
          <w:rFonts w:ascii="Arial" w:hAnsi="Arial" w:cs="Arial"/>
          <w:sz w:val="24"/>
          <w:szCs w:val="24"/>
        </w:rPr>
        <w:t xml:space="preserve">Although, given that he will succeed in setting aside the </w:t>
      </w:r>
      <w:r w:rsidR="00846E98">
        <w:rPr>
          <w:rFonts w:ascii="Arial" w:hAnsi="Arial" w:cs="Arial"/>
          <w:sz w:val="24"/>
          <w:szCs w:val="24"/>
        </w:rPr>
        <w:t>o</w:t>
      </w:r>
      <w:r w:rsidR="0085256A">
        <w:rPr>
          <w:rFonts w:ascii="Arial" w:hAnsi="Arial" w:cs="Arial"/>
          <w:sz w:val="24"/>
          <w:szCs w:val="24"/>
        </w:rPr>
        <w:t xml:space="preserve">rder of the Court a </w:t>
      </w:r>
      <w:r w:rsidR="0085256A" w:rsidRPr="0085256A">
        <w:rPr>
          <w:rFonts w:ascii="Arial" w:hAnsi="Arial" w:cs="Arial"/>
          <w:i/>
          <w:iCs/>
          <w:sz w:val="24"/>
          <w:szCs w:val="24"/>
        </w:rPr>
        <w:t xml:space="preserve">quo </w:t>
      </w:r>
      <w:r w:rsidR="0085256A">
        <w:rPr>
          <w:rFonts w:ascii="Arial" w:hAnsi="Arial" w:cs="Arial"/>
          <w:sz w:val="24"/>
          <w:szCs w:val="24"/>
        </w:rPr>
        <w:t xml:space="preserve"> the appellant would ordinarily be entitled to an order in his favour in respect of both the costs of the appeal</w:t>
      </w:r>
      <w:r w:rsidR="00894799">
        <w:rPr>
          <w:rFonts w:ascii="Arial" w:hAnsi="Arial" w:cs="Arial"/>
          <w:sz w:val="24"/>
          <w:szCs w:val="24"/>
        </w:rPr>
        <w:t xml:space="preserve"> </w:t>
      </w:r>
      <w:r w:rsidR="0085256A">
        <w:rPr>
          <w:rFonts w:ascii="Arial" w:hAnsi="Arial" w:cs="Arial"/>
          <w:sz w:val="24"/>
          <w:szCs w:val="24"/>
        </w:rPr>
        <w:t xml:space="preserve">and the costs a </w:t>
      </w:r>
      <w:r w:rsidR="0085256A" w:rsidRPr="0085256A">
        <w:rPr>
          <w:rFonts w:ascii="Arial" w:hAnsi="Arial" w:cs="Arial"/>
          <w:i/>
          <w:iCs/>
          <w:sz w:val="24"/>
          <w:szCs w:val="24"/>
        </w:rPr>
        <w:t>quo</w:t>
      </w:r>
      <w:r w:rsidR="0085256A">
        <w:rPr>
          <w:rFonts w:ascii="Arial" w:hAnsi="Arial" w:cs="Arial"/>
          <w:sz w:val="24"/>
          <w:szCs w:val="24"/>
        </w:rPr>
        <w:t>, the appellant’s counsel indicated that in the light of the longstanding relationship between the parties</w:t>
      </w:r>
      <w:r w:rsidR="00F55DE2">
        <w:rPr>
          <w:rFonts w:ascii="Arial" w:hAnsi="Arial" w:cs="Arial"/>
          <w:sz w:val="24"/>
          <w:szCs w:val="24"/>
        </w:rPr>
        <w:t xml:space="preserve"> and the fact that the respondent had assisted </w:t>
      </w:r>
      <w:r w:rsidR="0085256A">
        <w:rPr>
          <w:rFonts w:ascii="Arial" w:hAnsi="Arial" w:cs="Arial"/>
          <w:sz w:val="24"/>
          <w:szCs w:val="24"/>
        </w:rPr>
        <w:t xml:space="preserve">the appellant </w:t>
      </w:r>
      <w:r w:rsidR="00F55DE2">
        <w:rPr>
          <w:rFonts w:ascii="Arial" w:hAnsi="Arial" w:cs="Arial"/>
          <w:sz w:val="24"/>
          <w:szCs w:val="24"/>
        </w:rPr>
        <w:t>financially by means of the loans which he advanced</w:t>
      </w:r>
      <w:r w:rsidR="00846E98">
        <w:rPr>
          <w:rFonts w:ascii="Arial" w:hAnsi="Arial" w:cs="Arial"/>
          <w:sz w:val="24"/>
          <w:szCs w:val="24"/>
        </w:rPr>
        <w:t xml:space="preserve"> to</w:t>
      </w:r>
      <w:r w:rsidR="00F55DE2">
        <w:rPr>
          <w:rFonts w:ascii="Arial" w:hAnsi="Arial" w:cs="Arial"/>
          <w:sz w:val="24"/>
          <w:szCs w:val="24"/>
        </w:rPr>
        <w:t xml:space="preserve"> him, at a time when he needed help, the appellant proposed that in the event he were to be successful we should direct that the parties should each be liable for their own costs, in respect of the proceedings in both Courts. The respondent’s counsel indicated that </w:t>
      </w:r>
      <w:r w:rsidR="004816EF">
        <w:rPr>
          <w:rFonts w:ascii="Arial" w:hAnsi="Arial" w:cs="Arial"/>
          <w:sz w:val="24"/>
          <w:szCs w:val="24"/>
        </w:rPr>
        <w:t>the respondent</w:t>
      </w:r>
      <w:r w:rsidR="00F55DE2">
        <w:rPr>
          <w:rFonts w:ascii="Arial" w:hAnsi="Arial" w:cs="Arial"/>
          <w:sz w:val="24"/>
          <w:szCs w:val="24"/>
        </w:rPr>
        <w:t xml:space="preserve"> was amenable to such an </w:t>
      </w:r>
      <w:r w:rsidR="00846E98">
        <w:rPr>
          <w:rFonts w:ascii="Arial" w:hAnsi="Arial" w:cs="Arial"/>
          <w:sz w:val="24"/>
          <w:szCs w:val="24"/>
        </w:rPr>
        <w:t>o</w:t>
      </w:r>
      <w:r w:rsidR="00F55DE2">
        <w:rPr>
          <w:rFonts w:ascii="Arial" w:hAnsi="Arial" w:cs="Arial"/>
          <w:sz w:val="24"/>
          <w:szCs w:val="24"/>
        </w:rPr>
        <w:t xml:space="preserve">rder being made and it seems to </w:t>
      </w:r>
      <w:r w:rsidR="00943B82">
        <w:rPr>
          <w:rFonts w:ascii="Arial" w:hAnsi="Arial" w:cs="Arial"/>
          <w:sz w:val="24"/>
          <w:szCs w:val="24"/>
        </w:rPr>
        <w:t xml:space="preserve">be </w:t>
      </w:r>
      <w:r w:rsidR="00F55DE2">
        <w:rPr>
          <w:rFonts w:ascii="Arial" w:hAnsi="Arial" w:cs="Arial"/>
          <w:sz w:val="24"/>
          <w:szCs w:val="24"/>
        </w:rPr>
        <w:t xml:space="preserve">one which is fair and appropriate, given the circumstances.     </w:t>
      </w:r>
      <w:r w:rsidR="0085256A">
        <w:rPr>
          <w:rFonts w:ascii="Arial" w:hAnsi="Arial" w:cs="Arial"/>
          <w:sz w:val="24"/>
          <w:szCs w:val="24"/>
        </w:rPr>
        <w:t xml:space="preserve"> </w:t>
      </w:r>
      <w:r w:rsidR="00894799">
        <w:rPr>
          <w:rFonts w:ascii="Arial" w:hAnsi="Arial" w:cs="Arial"/>
          <w:sz w:val="24"/>
          <w:szCs w:val="24"/>
        </w:rPr>
        <w:t xml:space="preserve">  </w:t>
      </w:r>
      <w:r w:rsidR="00C740E7">
        <w:rPr>
          <w:rFonts w:ascii="Arial" w:hAnsi="Arial" w:cs="Arial"/>
          <w:sz w:val="24"/>
          <w:szCs w:val="24"/>
        </w:rPr>
        <w:t xml:space="preserve">     </w:t>
      </w:r>
      <w:r w:rsidR="0000742A">
        <w:rPr>
          <w:rFonts w:ascii="Arial" w:hAnsi="Arial" w:cs="Arial"/>
          <w:sz w:val="24"/>
          <w:szCs w:val="24"/>
        </w:rPr>
        <w:t xml:space="preserve">  </w:t>
      </w:r>
    </w:p>
    <w:p w14:paraId="124656BC" w14:textId="62AF8BBB" w:rsidR="00B066E2" w:rsidRPr="0000742A" w:rsidRDefault="0000742A" w:rsidP="0000742A">
      <w:pPr>
        <w:adjustRightInd w:val="0"/>
        <w:spacing w:after="0" w:line="360" w:lineRule="auto"/>
        <w:contextualSpacing/>
        <w:jc w:val="both"/>
        <w:textAlignment w:val="baseline"/>
        <w:rPr>
          <w:rFonts w:ascii="Arial" w:hAnsi="Arial" w:cs="Arial"/>
          <w:b/>
          <w:bCs/>
          <w:sz w:val="24"/>
          <w:szCs w:val="24"/>
        </w:rPr>
      </w:pPr>
      <w:r w:rsidRPr="0000742A">
        <w:rPr>
          <w:rFonts w:ascii="Arial" w:hAnsi="Arial" w:cs="Arial"/>
          <w:b/>
          <w:bCs/>
          <w:sz w:val="24"/>
          <w:szCs w:val="24"/>
        </w:rPr>
        <w:t>Order</w:t>
      </w:r>
      <w:r w:rsidR="00B066E2" w:rsidRPr="0000742A">
        <w:rPr>
          <w:rFonts w:ascii="Arial" w:hAnsi="Arial" w:cs="Arial"/>
          <w:b/>
          <w:bCs/>
          <w:sz w:val="24"/>
          <w:szCs w:val="24"/>
        </w:rPr>
        <w:t xml:space="preserve">     </w:t>
      </w:r>
    </w:p>
    <w:p w14:paraId="4DBEBFE9" w14:textId="34D407B2" w:rsidR="0000742A" w:rsidRDefault="00601627" w:rsidP="00601627">
      <w:pPr>
        <w:adjustRightInd w:val="0"/>
        <w:spacing w:after="0" w:line="360" w:lineRule="auto"/>
        <w:ind w:left="720" w:hanging="720"/>
        <w:contextualSpacing/>
        <w:jc w:val="both"/>
        <w:textAlignment w:val="baseline"/>
        <w:rPr>
          <w:rFonts w:ascii="Arial" w:hAnsi="Arial" w:cs="Arial"/>
          <w:sz w:val="24"/>
          <w:szCs w:val="24"/>
        </w:rPr>
      </w:pPr>
      <w:r>
        <w:rPr>
          <w:rFonts w:ascii="Arial" w:hAnsi="Arial" w:cs="Arial"/>
          <w:sz w:val="24"/>
          <w:szCs w:val="24"/>
        </w:rPr>
        <w:t>99.</w:t>
      </w:r>
      <w:r>
        <w:rPr>
          <w:rFonts w:ascii="Arial" w:hAnsi="Arial" w:cs="Arial"/>
          <w:sz w:val="24"/>
          <w:szCs w:val="24"/>
        </w:rPr>
        <w:tab/>
      </w:r>
      <w:r w:rsidR="0000742A">
        <w:rPr>
          <w:rFonts w:ascii="Arial" w:hAnsi="Arial" w:cs="Arial"/>
          <w:sz w:val="24"/>
          <w:szCs w:val="24"/>
        </w:rPr>
        <w:t xml:space="preserve">In the result I would make the following </w:t>
      </w:r>
      <w:r w:rsidR="00743A26">
        <w:rPr>
          <w:rFonts w:ascii="Arial" w:hAnsi="Arial" w:cs="Arial"/>
          <w:sz w:val="24"/>
          <w:szCs w:val="24"/>
        </w:rPr>
        <w:t>O</w:t>
      </w:r>
      <w:r w:rsidR="0000742A">
        <w:rPr>
          <w:rFonts w:ascii="Arial" w:hAnsi="Arial" w:cs="Arial"/>
          <w:sz w:val="24"/>
          <w:szCs w:val="24"/>
        </w:rPr>
        <w:t xml:space="preserve">rder: </w:t>
      </w:r>
      <w:r w:rsidR="00D93869">
        <w:rPr>
          <w:rFonts w:ascii="Arial" w:hAnsi="Arial" w:cs="Arial"/>
          <w:sz w:val="24"/>
          <w:szCs w:val="24"/>
        </w:rPr>
        <w:t xml:space="preserve"> </w:t>
      </w:r>
    </w:p>
    <w:p w14:paraId="6906DEF5" w14:textId="6743F327" w:rsidR="0000742A" w:rsidRPr="00601627" w:rsidRDefault="00601627" w:rsidP="00601627">
      <w:pPr>
        <w:adjustRightInd w:val="0"/>
        <w:spacing w:after="0" w:line="360" w:lineRule="auto"/>
        <w:ind w:left="1440" w:hanging="720"/>
        <w:jc w:val="both"/>
        <w:textAlignment w:val="baseline"/>
        <w:rPr>
          <w:rFonts w:ascii="Arial" w:hAnsi="Arial" w:cs="Arial"/>
          <w:sz w:val="24"/>
          <w:szCs w:val="24"/>
        </w:rPr>
      </w:pPr>
      <w:r w:rsidRPr="00FA0D17">
        <w:rPr>
          <w:rFonts w:ascii="Arial" w:hAnsi="Arial" w:cs="Arial"/>
          <w:sz w:val="24"/>
          <w:szCs w:val="24"/>
        </w:rPr>
        <w:t>1.</w:t>
      </w:r>
      <w:r w:rsidRPr="00FA0D17">
        <w:rPr>
          <w:rFonts w:ascii="Arial" w:hAnsi="Arial" w:cs="Arial"/>
          <w:sz w:val="24"/>
          <w:szCs w:val="24"/>
        </w:rPr>
        <w:tab/>
      </w:r>
      <w:r w:rsidR="0000742A" w:rsidRPr="00601627">
        <w:rPr>
          <w:rFonts w:ascii="Arial" w:hAnsi="Arial" w:cs="Arial"/>
          <w:sz w:val="24"/>
          <w:szCs w:val="24"/>
        </w:rPr>
        <w:t>The appeal is upheld.</w:t>
      </w:r>
    </w:p>
    <w:p w14:paraId="156062ED" w14:textId="433BBBF9" w:rsidR="00F55DE2" w:rsidRPr="00601627" w:rsidRDefault="00601627" w:rsidP="00601627">
      <w:pPr>
        <w:adjustRightInd w:val="0"/>
        <w:spacing w:after="0" w:line="360" w:lineRule="auto"/>
        <w:ind w:left="1440" w:hanging="720"/>
        <w:jc w:val="both"/>
        <w:textAlignment w:val="baseline"/>
        <w:rPr>
          <w:rFonts w:ascii="Arial" w:hAnsi="Arial" w:cs="Arial"/>
          <w:sz w:val="24"/>
          <w:szCs w:val="24"/>
        </w:rPr>
      </w:pPr>
      <w:r>
        <w:rPr>
          <w:rFonts w:ascii="Arial" w:hAnsi="Arial" w:cs="Arial"/>
          <w:sz w:val="24"/>
          <w:szCs w:val="24"/>
        </w:rPr>
        <w:t>2.</w:t>
      </w:r>
      <w:r>
        <w:rPr>
          <w:rFonts w:ascii="Arial" w:hAnsi="Arial" w:cs="Arial"/>
          <w:sz w:val="24"/>
          <w:szCs w:val="24"/>
        </w:rPr>
        <w:tab/>
      </w:r>
      <w:r w:rsidR="00FA0D17" w:rsidRPr="00601627">
        <w:rPr>
          <w:rFonts w:ascii="Arial" w:hAnsi="Arial" w:cs="Arial"/>
          <w:sz w:val="24"/>
          <w:szCs w:val="24"/>
        </w:rPr>
        <w:t xml:space="preserve">The </w:t>
      </w:r>
      <w:r w:rsidR="00846E98" w:rsidRPr="00601627">
        <w:rPr>
          <w:rFonts w:ascii="Arial" w:hAnsi="Arial" w:cs="Arial"/>
          <w:sz w:val="24"/>
          <w:szCs w:val="24"/>
        </w:rPr>
        <w:t>o</w:t>
      </w:r>
      <w:r w:rsidR="00FA0D17" w:rsidRPr="00601627">
        <w:rPr>
          <w:rFonts w:ascii="Arial" w:hAnsi="Arial" w:cs="Arial"/>
          <w:sz w:val="24"/>
          <w:szCs w:val="24"/>
        </w:rPr>
        <w:t xml:space="preserve">rder of the Court a </w:t>
      </w:r>
      <w:r w:rsidR="00FA0D17" w:rsidRPr="00601627">
        <w:rPr>
          <w:rFonts w:ascii="Arial" w:hAnsi="Arial" w:cs="Arial"/>
          <w:i/>
          <w:iCs/>
          <w:sz w:val="24"/>
          <w:szCs w:val="24"/>
        </w:rPr>
        <w:t>quo</w:t>
      </w:r>
      <w:r w:rsidR="00FA0D17" w:rsidRPr="00601627">
        <w:rPr>
          <w:rFonts w:ascii="Arial" w:hAnsi="Arial" w:cs="Arial"/>
          <w:sz w:val="24"/>
          <w:szCs w:val="24"/>
        </w:rPr>
        <w:t xml:space="preserve"> is set aside and replaced with an </w:t>
      </w:r>
      <w:r w:rsidR="00846E98" w:rsidRPr="00601627">
        <w:rPr>
          <w:rFonts w:ascii="Arial" w:hAnsi="Arial" w:cs="Arial"/>
          <w:sz w:val="24"/>
          <w:szCs w:val="24"/>
        </w:rPr>
        <w:t>o</w:t>
      </w:r>
      <w:r w:rsidR="00FA0D17" w:rsidRPr="00601627">
        <w:rPr>
          <w:rFonts w:ascii="Arial" w:hAnsi="Arial" w:cs="Arial"/>
          <w:sz w:val="24"/>
          <w:szCs w:val="24"/>
        </w:rPr>
        <w:t xml:space="preserve">rder as follows: </w:t>
      </w:r>
    </w:p>
    <w:p w14:paraId="2802DE50" w14:textId="326B6AF6" w:rsidR="00F55DE2" w:rsidRPr="00F55DE2" w:rsidRDefault="00FA0D17" w:rsidP="00F55DE2">
      <w:pPr>
        <w:adjustRightInd w:val="0"/>
        <w:spacing w:after="0" w:line="360" w:lineRule="auto"/>
        <w:ind w:left="720" w:firstLine="720"/>
        <w:jc w:val="both"/>
        <w:textAlignment w:val="baseline"/>
        <w:rPr>
          <w:rFonts w:ascii="Arial" w:hAnsi="Arial" w:cs="Arial"/>
          <w:sz w:val="24"/>
          <w:szCs w:val="24"/>
        </w:rPr>
      </w:pPr>
      <w:r w:rsidRPr="00F55DE2">
        <w:rPr>
          <w:rFonts w:ascii="Arial" w:hAnsi="Arial" w:cs="Arial"/>
          <w:sz w:val="24"/>
          <w:szCs w:val="24"/>
        </w:rPr>
        <w:t>‘</w:t>
      </w:r>
      <w:r w:rsidRPr="00F55DE2">
        <w:rPr>
          <w:rFonts w:ascii="Arial" w:hAnsi="Arial" w:cs="Arial"/>
          <w:i/>
          <w:iCs/>
          <w:sz w:val="24"/>
          <w:szCs w:val="24"/>
        </w:rPr>
        <w:t xml:space="preserve">The application for the enforcement of the arbitral award is </w:t>
      </w:r>
      <w:r w:rsidR="00F55DE2" w:rsidRPr="00F55DE2">
        <w:rPr>
          <w:rFonts w:ascii="Arial" w:hAnsi="Arial" w:cs="Arial"/>
          <w:i/>
          <w:iCs/>
          <w:sz w:val="24"/>
          <w:szCs w:val="24"/>
        </w:rPr>
        <w:t>dismissed’</w:t>
      </w:r>
      <w:r w:rsidRPr="00F55DE2">
        <w:rPr>
          <w:rFonts w:ascii="Arial" w:hAnsi="Arial" w:cs="Arial"/>
          <w:sz w:val="24"/>
          <w:szCs w:val="24"/>
        </w:rPr>
        <w:t>.</w:t>
      </w:r>
    </w:p>
    <w:p w14:paraId="62D33DC8" w14:textId="5D53488B" w:rsidR="00FA0D17" w:rsidRPr="00601627" w:rsidRDefault="00601627" w:rsidP="00601627">
      <w:pPr>
        <w:adjustRightInd w:val="0"/>
        <w:spacing w:after="0" w:line="360" w:lineRule="auto"/>
        <w:ind w:left="1440" w:hanging="720"/>
        <w:jc w:val="both"/>
        <w:textAlignment w:val="baseline"/>
        <w:rPr>
          <w:rFonts w:ascii="Arial" w:hAnsi="Arial" w:cs="Arial"/>
          <w:sz w:val="24"/>
          <w:szCs w:val="24"/>
        </w:rPr>
      </w:pPr>
      <w:r>
        <w:rPr>
          <w:rFonts w:ascii="Arial" w:hAnsi="Arial" w:cs="Arial"/>
          <w:sz w:val="24"/>
          <w:szCs w:val="24"/>
        </w:rPr>
        <w:t>3.</w:t>
      </w:r>
      <w:r>
        <w:rPr>
          <w:rFonts w:ascii="Arial" w:hAnsi="Arial" w:cs="Arial"/>
          <w:sz w:val="24"/>
          <w:szCs w:val="24"/>
        </w:rPr>
        <w:tab/>
      </w:r>
      <w:r w:rsidR="00F55DE2" w:rsidRPr="00601627">
        <w:rPr>
          <w:rFonts w:ascii="Arial" w:hAnsi="Arial" w:cs="Arial"/>
          <w:sz w:val="24"/>
          <w:szCs w:val="24"/>
        </w:rPr>
        <w:t xml:space="preserve">The parties shall each be liable for their own costs, both </w:t>
      </w:r>
      <w:r w:rsidR="004816EF" w:rsidRPr="00601627">
        <w:rPr>
          <w:rFonts w:ascii="Arial" w:hAnsi="Arial" w:cs="Arial"/>
          <w:sz w:val="24"/>
          <w:szCs w:val="24"/>
        </w:rPr>
        <w:t xml:space="preserve">in the Court a </w:t>
      </w:r>
      <w:r w:rsidR="004816EF" w:rsidRPr="00601627">
        <w:rPr>
          <w:rFonts w:ascii="Arial" w:hAnsi="Arial" w:cs="Arial"/>
          <w:i/>
          <w:iCs/>
          <w:sz w:val="24"/>
          <w:szCs w:val="24"/>
        </w:rPr>
        <w:t>quo</w:t>
      </w:r>
      <w:r w:rsidR="004816EF" w:rsidRPr="00601627">
        <w:rPr>
          <w:rFonts w:ascii="Arial" w:hAnsi="Arial" w:cs="Arial"/>
          <w:sz w:val="24"/>
          <w:szCs w:val="24"/>
        </w:rPr>
        <w:t xml:space="preserve"> and </w:t>
      </w:r>
      <w:r w:rsidR="00F55DE2" w:rsidRPr="00601627">
        <w:rPr>
          <w:rFonts w:ascii="Arial" w:hAnsi="Arial" w:cs="Arial"/>
          <w:sz w:val="24"/>
          <w:szCs w:val="24"/>
        </w:rPr>
        <w:t>in the appeal.</w:t>
      </w:r>
    </w:p>
    <w:p w14:paraId="3C0AB78C" w14:textId="0DCE14ED" w:rsidR="00FA0D17" w:rsidRDefault="00FA0D17" w:rsidP="00FA0D17">
      <w:pPr>
        <w:adjustRightInd w:val="0"/>
        <w:spacing w:after="0" w:line="360" w:lineRule="auto"/>
        <w:ind w:left="720"/>
        <w:jc w:val="both"/>
        <w:textAlignment w:val="baseline"/>
        <w:rPr>
          <w:rFonts w:ascii="Arial" w:hAnsi="Arial" w:cs="Arial"/>
          <w:sz w:val="24"/>
          <w:szCs w:val="24"/>
        </w:rPr>
      </w:pPr>
    </w:p>
    <w:p w14:paraId="3605840B" w14:textId="0CA75977" w:rsidR="00FA0D17" w:rsidRDefault="00FA0D17" w:rsidP="00FA0D17">
      <w:pPr>
        <w:adjustRightInd w:val="0"/>
        <w:spacing w:after="0" w:line="360" w:lineRule="auto"/>
        <w:ind w:left="720"/>
        <w:jc w:val="both"/>
        <w:textAlignment w:val="baseline"/>
        <w:rPr>
          <w:rFonts w:ascii="Arial" w:hAnsi="Arial" w:cs="Arial"/>
          <w:sz w:val="24"/>
          <w:szCs w:val="24"/>
        </w:rPr>
      </w:pPr>
    </w:p>
    <w:p w14:paraId="0B1FD7F1" w14:textId="5FABE462" w:rsidR="00FA0D17" w:rsidRDefault="00FA0D17" w:rsidP="00FA0D17">
      <w:pPr>
        <w:adjustRightInd w:val="0"/>
        <w:spacing w:after="0" w:line="360" w:lineRule="auto"/>
        <w:ind w:left="720"/>
        <w:jc w:val="both"/>
        <w:textAlignment w:val="baseline"/>
        <w:rPr>
          <w:rFonts w:ascii="Arial" w:hAnsi="Arial" w:cs="Arial"/>
          <w:sz w:val="24"/>
          <w:szCs w:val="24"/>
        </w:rPr>
      </w:pPr>
    </w:p>
    <w:p w14:paraId="60656768" w14:textId="2D3CD886" w:rsidR="00FA0D17" w:rsidRDefault="00FA0D17" w:rsidP="00FA0D17">
      <w:pPr>
        <w:adjustRightInd w:val="0"/>
        <w:spacing w:after="0" w:line="360" w:lineRule="auto"/>
        <w:ind w:left="720"/>
        <w:jc w:val="both"/>
        <w:textAlignment w:val="baseline"/>
        <w:rPr>
          <w:rFonts w:ascii="Arial" w:hAnsi="Arial" w:cs="Arial"/>
          <w:sz w:val="24"/>
          <w:szCs w:val="24"/>
        </w:rPr>
      </w:pPr>
    </w:p>
    <w:p w14:paraId="124B5B0F" w14:textId="51E727F3" w:rsidR="00FA0D17" w:rsidRPr="00FA0D17" w:rsidRDefault="00FA0D17" w:rsidP="00FA0D17">
      <w:pPr>
        <w:adjustRightInd w:val="0"/>
        <w:spacing w:after="0" w:line="360" w:lineRule="auto"/>
        <w:ind w:left="6480"/>
        <w:jc w:val="both"/>
        <w:textAlignment w:val="baseline"/>
        <w:rPr>
          <w:rFonts w:ascii="Arial" w:hAnsi="Arial" w:cs="Arial"/>
          <w:b/>
          <w:bCs/>
          <w:sz w:val="24"/>
          <w:szCs w:val="24"/>
        </w:rPr>
      </w:pPr>
      <w:r w:rsidRPr="00FA0D17">
        <w:rPr>
          <w:rFonts w:ascii="Arial" w:hAnsi="Arial" w:cs="Arial"/>
          <w:b/>
          <w:bCs/>
          <w:sz w:val="24"/>
          <w:szCs w:val="24"/>
        </w:rPr>
        <w:t>M SHER</w:t>
      </w:r>
    </w:p>
    <w:p w14:paraId="25FF2679" w14:textId="71AD716A" w:rsidR="00FA0D17" w:rsidRDefault="00FA0D17" w:rsidP="00FA0D17">
      <w:pPr>
        <w:adjustRightInd w:val="0"/>
        <w:spacing w:after="0" w:line="360" w:lineRule="auto"/>
        <w:ind w:left="6480"/>
        <w:jc w:val="both"/>
        <w:textAlignment w:val="baseline"/>
        <w:rPr>
          <w:rFonts w:ascii="Arial" w:hAnsi="Arial" w:cs="Arial"/>
          <w:sz w:val="24"/>
          <w:szCs w:val="24"/>
        </w:rPr>
      </w:pPr>
      <w:r w:rsidRPr="00FA0D17">
        <w:rPr>
          <w:rFonts w:ascii="Arial" w:hAnsi="Arial" w:cs="Arial"/>
          <w:b/>
          <w:bCs/>
          <w:sz w:val="24"/>
          <w:szCs w:val="24"/>
        </w:rPr>
        <w:t>Judge of the High Court</w:t>
      </w:r>
    </w:p>
    <w:p w14:paraId="797FD600" w14:textId="3841C3AC" w:rsidR="003B4847" w:rsidRDefault="003B4847" w:rsidP="00FA0D17">
      <w:pPr>
        <w:adjustRightInd w:val="0"/>
        <w:spacing w:after="0" w:line="360" w:lineRule="auto"/>
        <w:ind w:left="6480"/>
        <w:jc w:val="both"/>
        <w:textAlignment w:val="baseline"/>
        <w:rPr>
          <w:rFonts w:ascii="Arial" w:hAnsi="Arial" w:cs="Arial"/>
          <w:sz w:val="24"/>
          <w:szCs w:val="24"/>
        </w:rPr>
      </w:pPr>
    </w:p>
    <w:p w14:paraId="4DFC791F" w14:textId="77777777" w:rsidR="003B4847" w:rsidRDefault="003B4847" w:rsidP="00FA0D17">
      <w:pPr>
        <w:adjustRightInd w:val="0"/>
        <w:spacing w:after="0" w:line="360" w:lineRule="auto"/>
        <w:ind w:left="6480"/>
        <w:jc w:val="both"/>
        <w:textAlignment w:val="baseline"/>
        <w:rPr>
          <w:rFonts w:ascii="Arial" w:hAnsi="Arial" w:cs="Arial"/>
          <w:sz w:val="24"/>
          <w:szCs w:val="24"/>
        </w:rPr>
      </w:pPr>
    </w:p>
    <w:p w14:paraId="18404044" w14:textId="25E4ED17" w:rsidR="00FA0D17" w:rsidRDefault="00FA0D17" w:rsidP="00FA0D17">
      <w:pPr>
        <w:adjustRightInd w:val="0"/>
        <w:spacing w:after="0" w:line="360" w:lineRule="auto"/>
        <w:jc w:val="both"/>
        <w:textAlignment w:val="baseline"/>
        <w:rPr>
          <w:rFonts w:ascii="Arial" w:hAnsi="Arial" w:cs="Arial"/>
          <w:sz w:val="24"/>
          <w:szCs w:val="24"/>
        </w:rPr>
      </w:pPr>
      <w:r>
        <w:rPr>
          <w:rFonts w:ascii="Arial" w:hAnsi="Arial" w:cs="Arial"/>
          <w:sz w:val="24"/>
          <w:szCs w:val="24"/>
        </w:rPr>
        <w:t>I agree, and it is so ordered.</w:t>
      </w:r>
    </w:p>
    <w:p w14:paraId="5A684F50" w14:textId="6EB7A699" w:rsidR="003B4847" w:rsidRDefault="003B4847" w:rsidP="00FA0D17">
      <w:pPr>
        <w:adjustRightInd w:val="0"/>
        <w:spacing w:after="0" w:line="360" w:lineRule="auto"/>
        <w:jc w:val="both"/>
        <w:textAlignment w:val="baseline"/>
        <w:rPr>
          <w:rFonts w:ascii="Arial" w:hAnsi="Arial" w:cs="Arial"/>
          <w:sz w:val="24"/>
          <w:szCs w:val="24"/>
        </w:rPr>
      </w:pPr>
    </w:p>
    <w:p w14:paraId="167F2310" w14:textId="2670CA72" w:rsidR="003B4847" w:rsidRDefault="003B4847" w:rsidP="00FA0D17">
      <w:pPr>
        <w:adjustRightInd w:val="0"/>
        <w:spacing w:after="0" w:line="360" w:lineRule="auto"/>
        <w:jc w:val="both"/>
        <w:textAlignment w:val="baseline"/>
        <w:rPr>
          <w:rFonts w:ascii="Arial" w:hAnsi="Arial" w:cs="Arial"/>
          <w:sz w:val="24"/>
          <w:szCs w:val="24"/>
        </w:rPr>
      </w:pPr>
    </w:p>
    <w:p w14:paraId="501342A4" w14:textId="78CBF12C" w:rsidR="003B4847" w:rsidRDefault="003B4847" w:rsidP="00FA0D17">
      <w:pPr>
        <w:adjustRightInd w:val="0"/>
        <w:spacing w:after="0" w:line="360" w:lineRule="auto"/>
        <w:jc w:val="both"/>
        <w:textAlignment w:val="baseline"/>
        <w:rPr>
          <w:rFonts w:ascii="Arial" w:hAnsi="Arial" w:cs="Arial"/>
          <w:sz w:val="24"/>
          <w:szCs w:val="24"/>
        </w:rPr>
      </w:pPr>
    </w:p>
    <w:p w14:paraId="42F02590" w14:textId="11DDD377" w:rsidR="00F55DE2" w:rsidRDefault="00F55DE2" w:rsidP="00FA0D17">
      <w:pPr>
        <w:adjustRightInd w:val="0"/>
        <w:spacing w:after="0" w:line="360" w:lineRule="auto"/>
        <w:jc w:val="both"/>
        <w:textAlignment w:val="baseline"/>
        <w:rPr>
          <w:rFonts w:ascii="Arial" w:hAnsi="Arial" w:cs="Arial"/>
          <w:sz w:val="24"/>
          <w:szCs w:val="24"/>
        </w:rPr>
      </w:pPr>
    </w:p>
    <w:p w14:paraId="06064105" w14:textId="38F9068D" w:rsidR="00F55DE2" w:rsidRDefault="00F55DE2" w:rsidP="00FA0D17">
      <w:pPr>
        <w:adjustRightInd w:val="0"/>
        <w:spacing w:after="0" w:line="360" w:lineRule="auto"/>
        <w:jc w:val="both"/>
        <w:textAlignment w:val="baseline"/>
        <w:rPr>
          <w:rFonts w:ascii="Arial" w:hAnsi="Arial" w:cs="Arial"/>
          <w:sz w:val="24"/>
          <w:szCs w:val="24"/>
        </w:rPr>
      </w:pPr>
    </w:p>
    <w:p w14:paraId="447D2FBB" w14:textId="77777777" w:rsidR="00F55DE2" w:rsidRDefault="00F55DE2" w:rsidP="00FA0D17">
      <w:pPr>
        <w:adjustRightInd w:val="0"/>
        <w:spacing w:after="0" w:line="360" w:lineRule="auto"/>
        <w:jc w:val="both"/>
        <w:textAlignment w:val="baseline"/>
        <w:rPr>
          <w:rFonts w:ascii="Arial" w:hAnsi="Arial" w:cs="Arial"/>
          <w:sz w:val="24"/>
          <w:szCs w:val="24"/>
        </w:rPr>
      </w:pPr>
    </w:p>
    <w:p w14:paraId="5CD8AD3A" w14:textId="77777777" w:rsidR="003B4847" w:rsidRDefault="003B4847" w:rsidP="00FA0D17">
      <w:pPr>
        <w:adjustRightInd w:val="0"/>
        <w:spacing w:after="0" w:line="360" w:lineRule="auto"/>
        <w:jc w:val="both"/>
        <w:textAlignment w:val="baseline"/>
        <w:rPr>
          <w:rFonts w:ascii="Arial" w:hAnsi="Arial" w:cs="Arial"/>
          <w:sz w:val="24"/>
          <w:szCs w:val="24"/>
        </w:rPr>
      </w:pPr>
    </w:p>
    <w:p w14:paraId="5A0E4630" w14:textId="1780D5E6" w:rsidR="00FA0D17" w:rsidRPr="00FA0D17" w:rsidRDefault="00FA0D17" w:rsidP="00FA0D17">
      <w:pPr>
        <w:adjustRightInd w:val="0"/>
        <w:spacing w:after="0" w:line="360" w:lineRule="auto"/>
        <w:jc w:val="both"/>
        <w:textAlignment w:val="baseline"/>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A0D17">
        <w:rPr>
          <w:rFonts w:ascii="Arial" w:hAnsi="Arial" w:cs="Arial"/>
          <w:b/>
          <w:bCs/>
          <w:sz w:val="24"/>
          <w:szCs w:val="24"/>
        </w:rPr>
        <w:t xml:space="preserve">A LE GRANGE </w:t>
      </w:r>
    </w:p>
    <w:p w14:paraId="64E741DB" w14:textId="27D9DBE1" w:rsidR="003B4847" w:rsidRDefault="00FA0D17" w:rsidP="00FA0D17">
      <w:pPr>
        <w:adjustRightInd w:val="0"/>
        <w:spacing w:after="0" w:line="360" w:lineRule="auto"/>
        <w:ind w:left="6480"/>
        <w:jc w:val="both"/>
        <w:textAlignment w:val="baseline"/>
        <w:rPr>
          <w:rFonts w:ascii="Arial" w:hAnsi="Arial" w:cs="Arial"/>
          <w:b/>
          <w:bCs/>
          <w:sz w:val="24"/>
          <w:szCs w:val="24"/>
        </w:rPr>
      </w:pPr>
      <w:r w:rsidRPr="00FA0D17">
        <w:rPr>
          <w:rFonts w:ascii="Arial" w:hAnsi="Arial" w:cs="Arial"/>
          <w:b/>
          <w:bCs/>
          <w:sz w:val="24"/>
          <w:szCs w:val="24"/>
        </w:rPr>
        <w:t>Judge of the High Court</w:t>
      </w:r>
    </w:p>
    <w:p w14:paraId="371A17AF" w14:textId="7F0B5921" w:rsidR="003B4847" w:rsidRDefault="003B4847" w:rsidP="00FA0D17">
      <w:pPr>
        <w:adjustRightInd w:val="0"/>
        <w:spacing w:after="0" w:line="360" w:lineRule="auto"/>
        <w:ind w:left="6480"/>
        <w:jc w:val="both"/>
        <w:textAlignment w:val="baseline"/>
        <w:rPr>
          <w:rFonts w:ascii="Arial" w:hAnsi="Arial" w:cs="Arial"/>
          <w:b/>
          <w:bCs/>
          <w:sz w:val="24"/>
          <w:szCs w:val="24"/>
        </w:rPr>
      </w:pPr>
    </w:p>
    <w:p w14:paraId="71674EE8" w14:textId="234B074E" w:rsidR="003B4847" w:rsidRDefault="003B4847" w:rsidP="00FA0D17">
      <w:pPr>
        <w:adjustRightInd w:val="0"/>
        <w:spacing w:after="0" w:line="360" w:lineRule="auto"/>
        <w:ind w:left="6480"/>
        <w:jc w:val="both"/>
        <w:textAlignment w:val="baseline"/>
        <w:rPr>
          <w:rFonts w:ascii="Arial" w:hAnsi="Arial" w:cs="Arial"/>
          <w:b/>
          <w:bCs/>
          <w:sz w:val="24"/>
          <w:szCs w:val="24"/>
        </w:rPr>
      </w:pPr>
    </w:p>
    <w:p w14:paraId="38D77DDF" w14:textId="6BD515DC" w:rsidR="003B4847" w:rsidRDefault="003B4847" w:rsidP="003B4847">
      <w:pPr>
        <w:adjustRightInd w:val="0"/>
        <w:spacing w:after="0" w:line="360" w:lineRule="auto"/>
        <w:jc w:val="both"/>
        <w:textAlignment w:val="baseline"/>
        <w:rPr>
          <w:rFonts w:ascii="Arial" w:hAnsi="Arial" w:cs="Arial"/>
          <w:sz w:val="24"/>
          <w:szCs w:val="24"/>
        </w:rPr>
      </w:pPr>
      <w:r w:rsidRPr="003B4847">
        <w:rPr>
          <w:rFonts w:ascii="Arial" w:hAnsi="Arial" w:cs="Arial"/>
          <w:sz w:val="24"/>
          <w:szCs w:val="24"/>
        </w:rPr>
        <w:t>I agree.</w:t>
      </w:r>
    </w:p>
    <w:p w14:paraId="68B491EE" w14:textId="724F3EC9" w:rsidR="003B4847" w:rsidRDefault="003B4847" w:rsidP="003B4847">
      <w:pPr>
        <w:adjustRightInd w:val="0"/>
        <w:spacing w:after="0" w:line="360" w:lineRule="auto"/>
        <w:jc w:val="both"/>
        <w:textAlignment w:val="baseline"/>
        <w:rPr>
          <w:rFonts w:ascii="Arial" w:hAnsi="Arial" w:cs="Arial"/>
          <w:sz w:val="24"/>
          <w:szCs w:val="24"/>
        </w:rPr>
      </w:pPr>
    </w:p>
    <w:p w14:paraId="6528915D" w14:textId="605D8FCC" w:rsidR="003B4847" w:rsidRDefault="003B4847" w:rsidP="003B4847">
      <w:pPr>
        <w:adjustRightInd w:val="0"/>
        <w:spacing w:after="0" w:line="360" w:lineRule="auto"/>
        <w:jc w:val="both"/>
        <w:textAlignment w:val="baseline"/>
        <w:rPr>
          <w:rFonts w:ascii="Arial" w:hAnsi="Arial" w:cs="Arial"/>
          <w:sz w:val="24"/>
          <w:szCs w:val="24"/>
        </w:rPr>
      </w:pPr>
    </w:p>
    <w:p w14:paraId="00627E59" w14:textId="5D95CBC3" w:rsidR="003B4847" w:rsidRDefault="003B4847" w:rsidP="003B4847">
      <w:pPr>
        <w:adjustRightInd w:val="0"/>
        <w:spacing w:after="0" w:line="360" w:lineRule="auto"/>
        <w:jc w:val="both"/>
        <w:textAlignment w:val="baseline"/>
        <w:rPr>
          <w:rFonts w:ascii="Arial" w:hAnsi="Arial" w:cs="Arial"/>
          <w:sz w:val="24"/>
          <w:szCs w:val="24"/>
        </w:rPr>
      </w:pPr>
    </w:p>
    <w:p w14:paraId="56B6D0DB" w14:textId="77777777" w:rsidR="003B4847" w:rsidRPr="003B4847" w:rsidRDefault="003B4847" w:rsidP="003B4847">
      <w:pPr>
        <w:adjustRightInd w:val="0"/>
        <w:spacing w:after="0" w:line="360" w:lineRule="auto"/>
        <w:jc w:val="both"/>
        <w:textAlignment w:val="baseline"/>
        <w:rPr>
          <w:rFonts w:ascii="Arial" w:hAnsi="Arial" w:cs="Arial"/>
          <w:sz w:val="24"/>
          <w:szCs w:val="24"/>
        </w:rPr>
      </w:pPr>
    </w:p>
    <w:p w14:paraId="50F39F61" w14:textId="4F62CAC8" w:rsidR="003B4847" w:rsidRPr="00FA0D17" w:rsidRDefault="003B4847" w:rsidP="00FA0D17">
      <w:pPr>
        <w:adjustRightInd w:val="0"/>
        <w:spacing w:after="0" w:line="360" w:lineRule="auto"/>
        <w:ind w:left="6480"/>
        <w:jc w:val="both"/>
        <w:textAlignment w:val="baseline"/>
        <w:rPr>
          <w:rFonts w:ascii="Arial" w:hAnsi="Arial" w:cs="Arial"/>
          <w:b/>
          <w:bCs/>
          <w:sz w:val="24"/>
          <w:szCs w:val="24"/>
        </w:rPr>
      </w:pPr>
      <w:r>
        <w:rPr>
          <w:rFonts w:ascii="Arial" w:hAnsi="Arial" w:cs="Arial"/>
          <w:b/>
          <w:bCs/>
          <w:sz w:val="24"/>
          <w:szCs w:val="24"/>
        </w:rPr>
        <w:t xml:space="preserve">PA GAMBLE </w:t>
      </w:r>
    </w:p>
    <w:p w14:paraId="4DB12742" w14:textId="77777777" w:rsidR="003B4847" w:rsidRDefault="003B4847" w:rsidP="003B4847">
      <w:pPr>
        <w:adjustRightInd w:val="0"/>
        <w:spacing w:after="0" w:line="360" w:lineRule="auto"/>
        <w:ind w:left="6480"/>
        <w:jc w:val="both"/>
        <w:textAlignment w:val="baseline"/>
        <w:rPr>
          <w:rFonts w:ascii="Arial" w:hAnsi="Arial" w:cs="Arial"/>
          <w:b/>
          <w:bCs/>
          <w:sz w:val="24"/>
          <w:szCs w:val="24"/>
        </w:rPr>
      </w:pPr>
      <w:r w:rsidRPr="00FA0D17">
        <w:rPr>
          <w:rFonts w:ascii="Arial" w:hAnsi="Arial" w:cs="Arial"/>
          <w:b/>
          <w:bCs/>
          <w:sz w:val="24"/>
          <w:szCs w:val="24"/>
        </w:rPr>
        <w:t>Judge of the High Court</w:t>
      </w:r>
    </w:p>
    <w:p w14:paraId="322F7C1A" w14:textId="7F6148EF" w:rsidR="00FA0D17" w:rsidRPr="00FA0D17" w:rsidRDefault="00FA0D17" w:rsidP="00FA0D17">
      <w:pPr>
        <w:adjustRightInd w:val="0"/>
        <w:spacing w:after="0" w:line="360" w:lineRule="auto"/>
        <w:ind w:left="6480"/>
        <w:jc w:val="both"/>
        <w:textAlignment w:val="baseline"/>
        <w:rPr>
          <w:rFonts w:ascii="Arial" w:hAnsi="Arial" w:cs="Arial"/>
          <w:b/>
          <w:bCs/>
          <w:sz w:val="24"/>
          <w:szCs w:val="24"/>
        </w:rPr>
      </w:pPr>
      <w:r>
        <w:rPr>
          <w:rFonts w:ascii="Arial" w:hAnsi="Arial" w:cs="Arial"/>
          <w:sz w:val="24"/>
          <w:szCs w:val="24"/>
        </w:rPr>
        <w:t xml:space="preserve"> </w:t>
      </w:r>
    </w:p>
    <w:p w14:paraId="052FB40D" w14:textId="121B016F" w:rsidR="00980084" w:rsidRDefault="00980084" w:rsidP="00FA0D17">
      <w:pPr>
        <w:adjustRightInd w:val="0"/>
        <w:spacing w:after="0" w:line="360" w:lineRule="auto"/>
        <w:ind w:left="6480"/>
        <w:textAlignment w:val="baseline"/>
        <w:rPr>
          <w:rFonts w:ascii="Arial" w:hAnsi="Arial" w:cs="Arial"/>
          <w:sz w:val="24"/>
          <w:szCs w:val="24"/>
        </w:rPr>
      </w:pPr>
    </w:p>
    <w:p w14:paraId="3112C755" w14:textId="3875D0B6" w:rsidR="00980084" w:rsidRDefault="00980084" w:rsidP="00FA0D17">
      <w:pPr>
        <w:adjustRightInd w:val="0"/>
        <w:spacing w:after="0" w:line="360" w:lineRule="auto"/>
        <w:ind w:left="6480"/>
        <w:textAlignment w:val="baseline"/>
        <w:rPr>
          <w:rFonts w:ascii="Arial" w:hAnsi="Arial" w:cs="Arial"/>
          <w:sz w:val="24"/>
          <w:szCs w:val="24"/>
        </w:rPr>
      </w:pPr>
    </w:p>
    <w:p w14:paraId="1AD49EE0" w14:textId="29FAAD1C" w:rsidR="00980084" w:rsidRDefault="00980084" w:rsidP="00980084">
      <w:pPr>
        <w:adjustRightInd w:val="0"/>
        <w:spacing w:after="0" w:line="360" w:lineRule="auto"/>
        <w:jc w:val="both"/>
        <w:textAlignment w:val="baseline"/>
        <w:rPr>
          <w:rFonts w:ascii="Arial" w:hAnsi="Arial" w:cs="Arial"/>
          <w:sz w:val="20"/>
          <w:szCs w:val="20"/>
        </w:rPr>
      </w:pPr>
      <w:r w:rsidRPr="00980084">
        <w:rPr>
          <w:rFonts w:ascii="Arial" w:hAnsi="Arial" w:cs="Arial"/>
          <w:b/>
          <w:bCs/>
          <w:sz w:val="20"/>
          <w:szCs w:val="20"/>
          <w:u w:val="single"/>
        </w:rPr>
        <w:t>Appearances</w:t>
      </w:r>
      <w:r>
        <w:rPr>
          <w:rFonts w:ascii="Arial" w:hAnsi="Arial" w:cs="Arial"/>
          <w:sz w:val="20"/>
          <w:szCs w:val="20"/>
        </w:rPr>
        <w:t>:</w:t>
      </w:r>
    </w:p>
    <w:p w14:paraId="10CFCACA" w14:textId="1F246A36" w:rsidR="00980084" w:rsidRDefault="00F31DE6" w:rsidP="00980084">
      <w:pPr>
        <w:adjustRightInd w:val="0"/>
        <w:spacing w:after="0" w:line="360" w:lineRule="auto"/>
        <w:jc w:val="both"/>
        <w:textAlignment w:val="baseline"/>
        <w:rPr>
          <w:rFonts w:ascii="Arial" w:hAnsi="Arial" w:cs="Arial"/>
          <w:sz w:val="20"/>
          <w:szCs w:val="20"/>
        </w:rPr>
      </w:pPr>
      <w:r w:rsidRPr="00F31DE6">
        <w:rPr>
          <w:rFonts w:ascii="Arial" w:hAnsi="Arial" w:cs="Arial"/>
          <w:sz w:val="20"/>
          <w:szCs w:val="20"/>
        </w:rPr>
        <w:t>Appellant’s counsel</w:t>
      </w:r>
      <w:r>
        <w:rPr>
          <w:rFonts w:ascii="Arial" w:hAnsi="Arial" w:cs="Arial"/>
          <w:sz w:val="20"/>
          <w:szCs w:val="20"/>
        </w:rPr>
        <w:t xml:space="preserve">: </w:t>
      </w:r>
      <w:r w:rsidR="00135518">
        <w:rPr>
          <w:rFonts w:ascii="Arial" w:hAnsi="Arial" w:cs="Arial"/>
          <w:sz w:val="20"/>
          <w:szCs w:val="20"/>
        </w:rPr>
        <w:t xml:space="preserve"> M De Oliveira</w:t>
      </w:r>
    </w:p>
    <w:p w14:paraId="4A9CB680" w14:textId="78595FCE" w:rsidR="00F31DE6" w:rsidRDefault="00F31DE6" w:rsidP="00980084">
      <w:pPr>
        <w:adjustRightInd w:val="0"/>
        <w:spacing w:after="0" w:line="360" w:lineRule="auto"/>
        <w:jc w:val="both"/>
        <w:textAlignment w:val="baseline"/>
        <w:rPr>
          <w:rFonts w:ascii="Arial" w:hAnsi="Arial" w:cs="Arial"/>
          <w:sz w:val="20"/>
          <w:szCs w:val="20"/>
        </w:rPr>
      </w:pPr>
      <w:r>
        <w:rPr>
          <w:rFonts w:ascii="Arial" w:hAnsi="Arial" w:cs="Arial"/>
          <w:sz w:val="20"/>
          <w:szCs w:val="20"/>
        </w:rPr>
        <w:t>Appellant’s attorneys:</w:t>
      </w:r>
      <w:r w:rsidR="00135518">
        <w:rPr>
          <w:rFonts w:ascii="Arial" w:hAnsi="Arial" w:cs="Arial"/>
          <w:sz w:val="20"/>
          <w:szCs w:val="20"/>
        </w:rPr>
        <w:t xml:space="preserve"> KWA Attorneys (Johannesburg)</w:t>
      </w:r>
    </w:p>
    <w:p w14:paraId="5735277E" w14:textId="020D3FFD" w:rsidR="00F31DE6" w:rsidRDefault="00F31DE6" w:rsidP="00980084">
      <w:pPr>
        <w:adjustRightInd w:val="0"/>
        <w:spacing w:after="0" w:line="360" w:lineRule="auto"/>
        <w:jc w:val="both"/>
        <w:textAlignment w:val="baseline"/>
        <w:rPr>
          <w:rFonts w:ascii="Arial" w:hAnsi="Arial" w:cs="Arial"/>
          <w:sz w:val="20"/>
          <w:szCs w:val="20"/>
        </w:rPr>
      </w:pPr>
      <w:r>
        <w:rPr>
          <w:rFonts w:ascii="Arial" w:hAnsi="Arial" w:cs="Arial"/>
          <w:sz w:val="20"/>
          <w:szCs w:val="20"/>
        </w:rPr>
        <w:t>Respondent’s counsel: D Van Reenen</w:t>
      </w:r>
    </w:p>
    <w:p w14:paraId="515C876E" w14:textId="441EA2E7" w:rsidR="00F31DE6" w:rsidRPr="00F31DE6" w:rsidRDefault="00F31DE6" w:rsidP="00980084">
      <w:pPr>
        <w:adjustRightInd w:val="0"/>
        <w:spacing w:after="0" w:line="360" w:lineRule="auto"/>
        <w:jc w:val="both"/>
        <w:textAlignment w:val="baseline"/>
        <w:rPr>
          <w:rFonts w:ascii="Arial" w:hAnsi="Arial" w:cs="Arial"/>
          <w:sz w:val="20"/>
          <w:szCs w:val="20"/>
        </w:rPr>
      </w:pPr>
      <w:r>
        <w:rPr>
          <w:rFonts w:ascii="Arial" w:hAnsi="Arial" w:cs="Arial"/>
          <w:sz w:val="20"/>
          <w:szCs w:val="20"/>
        </w:rPr>
        <w:t xml:space="preserve">Respondent’s attorneys: </w:t>
      </w:r>
      <w:r w:rsidR="00135518">
        <w:rPr>
          <w:rFonts w:ascii="Arial" w:hAnsi="Arial" w:cs="Arial"/>
          <w:sz w:val="20"/>
          <w:szCs w:val="20"/>
        </w:rPr>
        <w:t>Hayes Inc (Cape Town)</w:t>
      </w:r>
      <w:r>
        <w:rPr>
          <w:rFonts w:ascii="Arial" w:hAnsi="Arial" w:cs="Arial"/>
          <w:sz w:val="20"/>
          <w:szCs w:val="20"/>
        </w:rPr>
        <w:t xml:space="preserve"> </w:t>
      </w:r>
    </w:p>
    <w:p w14:paraId="711D317A" w14:textId="77777777" w:rsidR="00980084" w:rsidRDefault="00980084" w:rsidP="00FA0D17">
      <w:pPr>
        <w:adjustRightInd w:val="0"/>
        <w:spacing w:after="0" w:line="360" w:lineRule="auto"/>
        <w:ind w:left="6480"/>
        <w:textAlignment w:val="baseline"/>
        <w:rPr>
          <w:rFonts w:ascii="Arial" w:hAnsi="Arial" w:cs="Arial"/>
          <w:sz w:val="24"/>
          <w:szCs w:val="24"/>
        </w:rPr>
      </w:pPr>
    </w:p>
    <w:p w14:paraId="1259259A" w14:textId="5267BF28" w:rsidR="00FA0D17" w:rsidRPr="00FA0D17" w:rsidRDefault="00FA0D17" w:rsidP="00980084">
      <w:pPr>
        <w:adjustRightInd w:val="0"/>
        <w:spacing w:after="0" w:line="360" w:lineRule="auto"/>
        <w:ind w:left="6480"/>
        <w:textAlignment w:val="baseline"/>
        <w:rPr>
          <w:rFonts w:ascii="Arial" w:hAnsi="Arial" w:cs="Arial"/>
          <w:sz w:val="24"/>
          <w:szCs w:val="24"/>
        </w:rPr>
      </w:pPr>
      <w:r>
        <w:rPr>
          <w:rFonts w:ascii="Arial" w:hAnsi="Arial" w:cs="Arial"/>
          <w:sz w:val="24"/>
          <w:szCs w:val="24"/>
        </w:rPr>
        <w:tab/>
      </w:r>
      <w:r>
        <w:rPr>
          <w:rFonts w:ascii="Arial" w:hAnsi="Arial" w:cs="Arial"/>
          <w:sz w:val="24"/>
          <w:szCs w:val="24"/>
        </w:rPr>
        <w:tab/>
      </w:r>
    </w:p>
    <w:sectPr w:rsidR="00FA0D17" w:rsidRPr="00FA0D17" w:rsidSect="00BA043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17211" w14:textId="77777777" w:rsidR="008A29E6" w:rsidRDefault="008A29E6" w:rsidP="00FE1DC7">
      <w:pPr>
        <w:spacing w:after="0" w:line="240" w:lineRule="auto"/>
      </w:pPr>
      <w:r>
        <w:separator/>
      </w:r>
    </w:p>
  </w:endnote>
  <w:endnote w:type="continuationSeparator" w:id="0">
    <w:p w14:paraId="0FCEBA06" w14:textId="77777777" w:rsidR="008A29E6" w:rsidRDefault="008A29E6" w:rsidP="00FE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AF818" w14:textId="77777777" w:rsidR="008A29E6" w:rsidRDefault="008A29E6" w:rsidP="00FE1DC7">
      <w:pPr>
        <w:spacing w:after="0" w:line="240" w:lineRule="auto"/>
      </w:pPr>
      <w:r>
        <w:separator/>
      </w:r>
    </w:p>
  </w:footnote>
  <w:footnote w:type="continuationSeparator" w:id="0">
    <w:p w14:paraId="546D1A10" w14:textId="77777777" w:rsidR="008A29E6" w:rsidRDefault="008A29E6" w:rsidP="00FE1DC7">
      <w:pPr>
        <w:spacing w:after="0" w:line="240" w:lineRule="auto"/>
      </w:pPr>
      <w:r>
        <w:continuationSeparator/>
      </w:r>
    </w:p>
  </w:footnote>
  <w:footnote w:id="1">
    <w:p w14:paraId="0BC8DAE5" w14:textId="0F46642B" w:rsidR="00FE1DC7" w:rsidRDefault="00FE1DC7">
      <w:pPr>
        <w:pStyle w:val="FootnoteText"/>
      </w:pPr>
      <w:r>
        <w:rPr>
          <w:rStyle w:val="FootnoteReference"/>
        </w:rPr>
        <w:footnoteRef/>
      </w:r>
      <w:r>
        <w:t xml:space="preserve"> </w:t>
      </w:r>
      <w:r w:rsidR="002001CA">
        <w:t>A</w:t>
      </w:r>
      <w:r>
        <w:t>ct 34 of 2005.</w:t>
      </w:r>
    </w:p>
  </w:footnote>
  <w:footnote w:id="2">
    <w:p w14:paraId="07F4F932" w14:textId="2AC6DF30" w:rsidR="00100700" w:rsidRPr="00100700" w:rsidRDefault="00100700">
      <w:pPr>
        <w:pStyle w:val="FootnoteText"/>
        <w:rPr>
          <w:lang w:val="en-ZA"/>
        </w:rPr>
      </w:pPr>
      <w:r>
        <w:rPr>
          <w:rStyle w:val="FootnoteReference"/>
        </w:rPr>
        <w:footnoteRef/>
      </w:r>
      <w:r>
        <w:t xml:space="preserve"> </w:t>
      </w:r>
      <w:r>
        <w:rPr>
          <w:lang w:val="en-ZA"/>
        </w:rPr>
        <w:t>Section 4(1)(f).</w:t>
      </w:r>
    </w:p>
  </w:footnote>
  <w:footnote w:id="3">
    <w:p w14:paraId="7B458509" w14:textId="5AA02DE2" w:rsidR="00100700" w:rsidRPr="00100700" w:rsidRDefault="00100700">
      <w:pPr>
        <w:pStyle w:val="FootnoteText"/>
        <w:rPr>
          <w:lang w:val="en-ZA"/>
        </w:rPr>
      </w:pPr>
      <w:r>
        <w:rPr>
          <w:rStyle w:val="FootnoteReference"/>
        </w:rPr>
        <w:footnoteRef/>
      </w:r>
      <w:r>
        <w:t xml:space="preserve"> </w:t>
      </w:r>
      <w:r w:rsidR="00AD18AA">
        <w:t>In terms of s</w:t>
      </w:r>
      <w:r>
        <w:t xml:space="preserve"> 40 (1) read together with s 42 (1).</w:t>
      </w:r>
    </w:p>
  </w:footnote>
  <w:footnote w:id="4">
    <w:p w14:paraId="08305E1D" w14:textId="77777777" w:rsidR="008379E4" w:rsidRPr="00100700" w:rsidRDefault="008379E4" w:rsidP="008379E4">
      <w:pPr>
        <w:pStyle w:val="FootnoteText"/>
        <w:rPr>
          <w:lang w:val="en-ZA"/>
        </w:rPr>
      </w:pPr>
      <w:r>
        <w:rPr>
          <w:rStyle w:val="FootnoteReference"/>
        </w:rPr>
        <w:footnoteRef/>
      </w:r>
      <w:r>
        <w:t xml:space="preserve"> </w:t>
      </w:r>
      <w:r>
        <w:rPr>
          <w:lang w:val="en-ZA"/>
        </w:rPr>
        <w:t>Section 89(2)(d).</w:t>
      </w:r>
    </w:p>
  </w:footnote>
  <w:footnote w:id="5">
    <w:p w14:paraId="57502F0B" w14:textId="210B594C" w:rsidR="001B66C0" w:rsidRDefault="001B66C0">
      <w:pPr>
        <w:pStyle w:val="FootnoteText"/>
      </w:pPr>
      <w:r>
        <w:rPr>
          <w:rStyle w:val="FootnoteReference"/>
        </w:rPr>
        <w:footnoteRef/>
      </w:r>
      <w:r>
        <w:t xml:space="preserve"> </w:t>
      </w:r>
      <w:r w:rsidR="00C82765">
        <w:t>U</w:t>
      </w:r>
      <w:r>
        <w:t>nder case number 1205/22.</w:t>
      </w:r>
    </w:p>
  </w:footnote>
  <w:footnote w:id="6">
    <w:p w14:paraId="6B253FE6" w14:textId="7FD6D471" w:rsidR="00CC1D03" w:rsidRPr="00CC1D03" w:rsidRDefault="00CC1D03">
      <w:pPr>
        <w:pStyle w:val="FootnoteText"/>
        <w:rPr>
          <w:lang w:val="en-ZA"/>
        </w:rPr>
      </w:pPr>
      <w:r>
        <w:rPr>
          <w:rStyle w:val="FootnoteReference"/>
        </w:rPr>
        <w:footnoteRef/>
      </w:r>
      <w:r>
        <w:t xml:space="preserve"> </w:t>
      </w:r>
      <w:r>
        <w:rPr>
          <w:lang w:val="en-ZA"/>
        </w:rPr>
        <w:t xml:space="preserve">Act 42 of </w:t>
      </w:r>
      <w:r w:rsidR="00E76C9C">
        <w:rPr>
          <w:lang w:val="en-ZA"/>
        </w:rPr>
        <w:t>196</w:t>
      </w:r>
      <w:r>
        <w:rPr>
          <w:lang w:val="en-ZA"/>
        </w:rPr>
        <w:t>5.</w:t>
      </w:r>
    </w:p>
  </w:footnote>
  <w:footnote w:id="7">
    <w:p w14:paraId="7E58651C" w14:textId="0B3E3C09" w:rsidR="00697EE4" w:rsidRDefault="00697EE4">
      <w:pPr>
        <w:pStyle w:val="FootnoteText"/>
      </w:pPr>
      <w:r>
        <w:rPr>
          <w:rStyle w:val="FootnoteReference"/>
        </w:rPr>
        <w:footnoteRef/>
      </w:r>
      <w:r>
        <w:t xml:space="preserve"> </w:t>
      </w:r>
      <w:r w:rsidR="005901B9">
        <w:t>I</w:t>
      </w:r>
      <w:r>
        <w:t xml:space="preserve">n terms of </w:t>
      </w:r>
      <w:r w:rsidR="005901B9">
        <w:t xml:space="preserve">s </w:t>
      </w:r>
      <w:r>
        <w:t>33(</w:t>
      </w:r>
      <w:r w:rsidR="005901B9">
        <w:t>1)</w:t>
      </w:r>
      <w:r>
        <w:t xml:space="preserve"> of the </w:t>
      </w:r>
      <w:r w:rsidR="009C665C">
        <w:t>Arbitration Act</w:t>
      </w:r>
      <w:r w:rsidR="00307C9E">
        <w:t>, 42 of 1965</w:t>
      </w:r>
      <w:r>
        <w:t>.</w:t>
      </w:r>
    </w:p>
  </w:footnote>
  <w:footnote w:id="8">
    <w:p w14:paraId="424A766E" w14:textId="5F5CA9E2" w:rsidR="00463BC1" w:rsidRPr="00463BC1" w:rsidRDefault="00463BC1">
      <w:pPr>
        <w:pStyle w:val="FootnoteText"/>
        <w:rPr>
          <w:lang w:val="en-ZA"/>
        </w:rPr>
      </w:pPr>
      <w:r>
        <w:rPr>
          <w:rStyle w:val="FootnoteReference"/>
        </w:rPr>
        <w:footnoteRef/>
      </w:r>
      <w:r>
        <w:t xml:space="preserve"> </w:t>
      </w:r>
      <w:r w:rsidRPr="008D73D8">
        <w:rPr>
          <w:i/>
          <w:iCs/>
          <w:lang w:val="en-ZA"/>
        </w:rPr>
        <w:t>Schierhout v Minister of Justice</w:t>
      </w:r>
      <w:r>
        <w:rPr>
          <w:lang w:val="en-ZA"/>
        </w:rPr>
        <w:t xml:space="preserve"> 1926 AD 99 at 109; </w:t>
      </w:r>
      <w:r w:rsidRPr="008D73D8">
        <w:rPr>
          <w:i/>
          <w:iCs/>
          <w:lang w:val="en-ZA"/>
        </w:rPr>
        <w:t>Pottie v Kotze</w:t>
      </w:r>
      <w:r>
        <w:rPr>
          <w:lang w:val="en-ZA"/>
        </w:rPr>
        <w:t xml:space="preserve"> 1954 (3) SA 719 (A) at 726H-727A; </w:t>
      </w:r>
      <w:r w:rsidRPr="008D73D8">
        <w:rPr>
          <w:i/>
          <w:iCs/>
          <w:lang w:val="en-ZA"/>
        </w:rPr>
        <w:t>Metro Western Cape (Pty) Ltd v Ross</w:t>
      </w:r>
      <w:r>
        <w:rPr>
          <w:lang w:val="en-ZA"/>
        </w:rPr>
        <w:t xml:space="preserve"> 1986 (3) SA 181 (A)</w:t>
      </w:r>
      <w:r w:rsidR="008D73D8">
        <w:rPr>
          <w:lang w:val="en-ZA"/>
        </w:rPr>
        <w:t xml:space="preserve"> at 188A-B; </w:t>
      </w:r>
      <w:r w:rsidR="008D73D8" w:rsidRPr="008D73D8">
        <w:rPr>
          <w:i/>
          <w:iCs/>
          <w:lang w:val="en-ZA"/>
        </w:rPr>
        <w:t>National Credit Regulator v Opperman &amp; Ors</w:t>
      </w:r>
      <w:r w:rsidR="008D73D8">
        <w:rPr>
          <w:lang w:val="en-ZA"/>
        </w:rPr>
        <w:t xml:space="preserve"> 2013 (2) SA 1 (CC) paras 14 and 36</w:t>
      </w:r>
      <w:r>
        <w:rPr>
          <w:lang w:val="en-ZA"/>
        </w:rPr>
        <w:t xml:space="preserve">. </w:t>
      </w:r>
    </w:p>
  </w:footnote>
  <w:footnote w:id="9">
    <w:p w14:paraId="7A961EED" w14:textId="554DF40A" w:rsidR="00981BBB" w:rsidRPr="00981BBB" w:rsidRDefault="00981BBB">
      <w:pPr>
        <w:pStyle w:val="FootnoteText"/>
        <w:rPr>
          <w:lang w:val="en-ZA"/>
        </w:rPr>
      </w:pPr>
      <w:r>
        <w:rPr>
          <w:rStyle w:val="FootnoteReference"/>
        </w:rPr>
        <w:footnoteRef/>
      </w:r>
      <w:r>
        <w:t xml:space="preserve"> </w:t>
      </w:r>
      <w:r w:rsidRPr="00981BBB">
        <w:rPr>
          <w:i/>
          <w:iCs/>
        </w:rPr>
        <w:t>Pottie</w:t>
      </w:r>
      <w:r>
        <w:t xml:space="preserve"> at 727H; </w:t>
      </w:r>
      <w:r w:rsidRPr="00981BBB">
        <w:rPr>
          <w:i/>
          <w:iCs/>
          <w:lang w:val="en-ZA"/>
        </w:rPr>
        <w:t>Metro</w:t>
      </w:r>
      <w:r>
        <w:rPr>
          <w:lang w:val="en-ZA"/>
        </w:rPr>
        <w:t xml:space="preserve"> at 188F-G. </w:t>
      </w:r>
    </w:p>
  </w:footnote>
  <w:footnote w:id="10">
    <w:p w14:paraId="6C5678EA" w14:textId="1FA7BDF5" w:rsidR="00981BBB" w:rsidRPr="00981BBB" w:rsidRDefault="00981BBB">
      <w:pPr>
        <w:pStyle w:val="FootnoteText"/>
        <w:rPr>
          <w:lang w:val="en-ZA"/>
        </w:rPr>
      </w:pPr>
      <w:r>
        <w:rPr>
          <w:rStyle w:val="FootnoteReference"/>
        </w:rPr>
        <w:footnoteRef/>
      </w:r>
      <w:r>
        <w:t xml:space="preserve"> </w:t>
      </w:r>
      <w:r w:rsidRPr="00981BBB">
        <w:rPr>
          <w:i/>
          <w:iCs/>
          <w:lang w:val="en-ZA"/>
        </w:rPr>
        <w:t>National Credit Regulator</w:t>
      </w:r>
      <w:r>
        <w:rPr>
          <w:lang w:val="en-ZA"/>
        </w:rPr>
        <w:t xml:space="preserve"> n 9, paras 15</w:t>
      </w:r>
      <w:r w:rsidR="00850ED2">
        <w:rPr>
          <w:lang w:val="en-ZA"/>
        </w:rPr>
        <w:t xml:space="preserve"> and</w:t>
      </w:r>
      <w:r>
        <w:rPr>
          <w:lang w:val="en-ZA"/>
        </w:rPr>
        <w:t xml:space="preserve"> 39;</w:t>
      </w:r>
      <w:r w:rsidRPr="00981BBB">
        <w:rPr>
          <w:i/>
          <w:iCs/>
          <w:lang w:val="en-ZA"/>
        </w:rPr>
        <w:t xml:space="preserve"> </w:t>
      </w:r>
      <w:r w:rsidRPr="00463BC1">
        <w:rPr>
          <w:i/>
          <w:iCs/>
          <w:lang w:val="en-ZA"/>
        </w:rPr>
        <w:t>Jajbhay v Cassim</w:t>
      </w:r>
      <w:r>
        <w:rPr>
          <w:lang w:val="en-ZA"/>
        </w:rPr>
        <w:t xml:space="preserve"> 1939 AD 537 at 545, 547-548; </w:t>
      </w:r>
      <w:r w:rsidRPr="00850ED2">
        <w:rPr>
          <w:i/>
          <w:iCs/>
          <w:lang w:val="en-ZA"/>
        </w:rPr>
        <w:t>Cool Ideas 1186</w:t>
      </w:r>
      <w:r>
        <w:rPr>
          <w:lang w:val="en-ZA"/>
        </w:rPr>
        <w:t xml:space="preserve"> </w:t>
      </w:r>
      <w:r w:rsidRPr="00850ED2">
        <w:rPr>
          <w:i/>
          <w:iCs/>
          <w:lang w:val="en-ZA"/>
        </w:rPr>
        <w:t>CC v Hubbard &amp; Ano</w:t>
      </w:r>
      <w:r>
        <w:rPr>
          <w:lang w:val="en-ZA"/>
        </w:rPr>
        <w:t xml:space="preserve"> 2014 (4) SA 474 (CC), para 142.</w:t>
      </w:r>
    </w:p>
  </w:footnote>
  <w:footnote w:id="11">
    <w:p w14:paraId="7C306F0D" w14:textId="51603173" w:rsidR="00463BC1" w:rsidRPr="00463BC1" w:rsidRDefault="00463BC1">
      <w:pPr>
        <w:pStyle w:val="FootnoteText"/>
        <w:rPr>
          <w:lang w:val="en-ZA"/>
        </w:rPr>
      </w:pPr>
      <w:r>
        <w:rPr>
          <w:rStyle w:val="FootnoteReference"/>
        </w:rPr>
        <w:footnoteRef/>
      </w:r>
      <w:r>
        <w:t xml:space="preserve"> </w:t>
      </w:r>
      <w:r>
        <w:rPr>
          <w:lang w:val="en-ZA"/>
        </w:rPr>
        <w:t xml:space="preserve"> </w:t>
      </w:r>
      <w:r w:rsidR="001B1D81" w:rsidRPr="00463BC1">
        <w:rPr>
          <w:i/>
          <w:iCs/>
          <w:lang w:val="en-ZA"/>
        </w:rPr>
        <w:t>Jajbhay</w:t>
      </w:r>
      <w:r w:rsidR="001B1D81">
        <w:rPr>
          <w:lang w:val="en-ZA"/>
        </w:rPr>
        <w:t xml:space="preserve"> </w:t>
      </w:r>
      <w:r>
        <w:rPr>
          <w:lang w:val="en-ZA"/>
        </w:rPr>
        <w:t>at 541.</w:t>
      </w:r>
    </w:p>
  </w:footnote>
  <w:footnote w:id="12">
    <w:p w14:paraId="67206D46" w14:textId="22923744" w:rsidR="00033894" w:rsidRPr="00033894" w:rsidRDefault="00033894">
      <w:pPr>
        <w:pStyle w:val="FootnoteText"/>
        <w:rPr>
          <w:i/>
          <w:iCs/>
        </w:rPr>
      </w:pPr>
      <w:r>
        <w:rPr>
          <w:rStyle w:val="FootnoteReference"/>
        </w:rPr>
        <w:footnoteRef/>
      </w:r>
      <w:r>
        <w:t xml:space="preserve"> </w:t>
      </w:r>
      <w:r w:rsidR="0093544F">
        <w:t xml:space="preserve">FM Botha </w:t>
      </w:r>
      <w:r w:rsidR="002046AF">
        <w:t>‘</w:t>
      </w:r>
      <w:r w:rsidRPr="002046AF">
        <w:rPr>
          <w:i/>
          <w:iCs/>
        </w:rPr>
        <w:t xml:space="preserve">Determining the Consequences of </w:t>
      </w:r>
      <w:r w:rsidR="002046AF" w:rsidRPr="002046AF">
        <w:rPr>
          <w:i/>
          <w:iCs/>
        </w:rPr>
        <w:t>Il</w:t>
      </w:r>
      <w:r w:rsidRPr="002046AF">
        <w:rPr>
          <w:i/>
          <w:iCs/>
        </w:rPr>
        <w:t xml:space="preserve">legal </w:t>
      </w:r>
      <w:r w:rsidR="002046AF" w:rsidRPr="002046AF">
        <w:rPr>
          <w:i/>
          <w:iCs/>
        </w:rPr>
        <w:t>C</w:t>
      </w:r>
      <w:r w:rsidRPr="002046AF">
        <w:rPr>
          <w:i/>
          <w:iCs/>
        </w:rPr>
        <w:t>ontract</w:t>
      </w:r>
      <w:r w:rsidR="002046AF" w:rsidRPr="002046AF">
        <w:rPr>
          <w:i/>
          <w:iCs/>
        </w:rPr>
        <w:t>s</w:t>
      </w:r>
      <w:r w:rsidR="002046AF">
        <w:rPr>
          <w:i/>
          <w:iCs/>
        </w:rPr>
        <w:t xml:space="preserve">’ </w:t>
      </w:r>
      <w:r w:rsidR="002046AF" w:rsidRPr="002046AF">
        <w:t>(</w:t>
      </w:r>
      <w:r w:rsidR="00E76D4C">
        <w:t xml:space="preserve">LLM, </w:t>
      </w:r>
      <w:r w:rsidR="002046AF">
        <w:t>2022)</w:t>
      </w:r>
      <w:r w:rsidR="0093544F">
        <w:t xml:space="preserve"> p   </w:t>
      </w:r>
      <w:r w:rsidR="00E76D4C">
        <w:t>.</w:t>
      </w:r>
      <w:r w:rsidR="002046AF">
        <w:t xml:space="preserve">   </w:t>
      </w:r>
    </w:p>
  </w:footnote>
  <w:footnote w:id="13">
    <w:p w14:paraId="070DD471" w14:textId="1379067F" w:rsidR="00E76D4C" w:rsidRPr="00E76D4C" w:rsidRDefault="00E76D4C">
      <w:pPr>
        <w:pStyle w:val="FootnoteText"/>
        <w:rPr>
          <w:lang w:val="en-ZA"/>
        </w:rPr>
      </w:pPr>
      <w:r>
        <w:rPr>
          <w:rStyle w:val="FootnoteReference"/>
        </w:rPr>
        <w:footnoteRef/>
      </w:r>
      <w:r>
        <w:t xml:space="preserve"> </w:t>
      </w:r>
      <w:r w:rsidRPr="00E76D4C">
        <w:rPr>
          <w:i/>
          <w:iCs/>
          <w:lang w:val="en-ZA"/>
        </w:rPr>
        <w:t>Afrisure v Watson N</w:t>
      </w:r>
      <w:r>
        <w:rPr>
          <w:i/>
          <w:iCs/>
          <w:lang w:val="en-ZA"/>
        </w:rPr>
        <w:t>.</w:t>
      </w:r>
      <w:r w:rsidRPr="00E76D4C">
        <w:rPr>
          <w:i/>
          <w:iCs/>
          <w:lang w:val="en-ZA"/>
        </w:rPr>
        <w:t>O</w:t>
      </w:r>
      <w:r>
        <w:rPr>
          <w:i/>
          <w:iCs/>
          <w:lang w:val="en-ZA"/>
        </w:rPr>
        <w:t xml:space="preserve"> </w:t>
      </w:r>
      <w:r>
        <w:rPr>
          <w:lang w:val="en-ZA"/>
        </w:rPr>
        <w:t>2019 (2) SA 127 (SCA) para 147.</w:t>
      </w:r>
    </w:p>
  </w:footnote>
  <w:footnote w:id="14">
    <w:p w14:paraId="7D49254E" w14:textId="4E12EDE7" w:rsidR="0093544F" w:rsidRDefault="0093544F">
      <w:pPr>
        <w:pStyle w:val="FootnoteText"/>
      </w:pPr>
      <w:r>
        <w:rPr>
          <w:rStyle w:val="FootnoteReference"/>
        </w:rPr>
        <w:footnoteRef/>
      </w:r>
      <w:r>
        <w:t xml:space="preserve"> </w:t>
      </w:r>
      <w:r w:rsidRPr="0093544F">
        <w:rPr>
          <w:i/>
          <w:iCs/>
        </w:rPr>
        <w:t>Id</w:t>
      </w:r>
      <w:r>
        <w:t xml:space="preserve">, para 40; </w:t>
      </w:r>
      <w:r w:rsidRPr="0093544F">
        <w:rPr>
          <w:i/>
          <w:iCs/>
          <w:lang w:val="en-ZA"/>
        </w:rPr>
        <w:t>Jajbhay</w:t>
      </w:r>
      <w:r>
        <w:rPr>
          <w:lang w:val="en-ZA"/>
        </w:rPr>
        <w:t xml:space="preserve"> n 11 p 544. </w:t>
      </w:r>
    </w:p>
  </w:footnote>
  <w:footnote w:id="15">
    <w:p w14:paraId="6231AE0E" w14:textId="4AB97D65" w:rsidR="0093544F" w:rsidRPr="0093544F" w:rsidRDefault="0093544F">
      <w:pPr>
        <w:pStyle w:val="FootnoteText"/>
        <w:rPr>
          <w:lang w:val="en-ZA"/>
        </w:rPr>
      </w:pPr>
      <w:r>
        <w:rPr>
          <w:rStyle w:val="FootnoteReference"/>
        </w:rPr>
        <w:footnoteRef/>
      </w:r>
      <w:r>
        <w:t xml:space="preserve"> </w:t>
      </w:r>
      <w:r>
        <w:rPr>
          <w:lang w:val="en-ZA"/>
        </w:rPr>
        <w:t>Botha n 13 p 19.</w:t>
      </w:r>
    </w:p>
  </w:footnote>
  <w:footnote w:id="16">
    <w:p w14:paraId="2B7D1CD5" w14:textId="027D291D" w:rsidR="000E5DE7" w:rsidRPr="000E5DE7" w:rsidRDefault="000E5DE7">
      <w:pPr>
        <w:pStyle w:val="FootnoteText"/>
        <w:rPr>
          <w:lang w:val="en-ZA"/>
        </w:rPr>
      </w:pPr>
      <w:r>
        <w:rPr>
          <w:rStyle w:val="FootnoteReference"/>
        </w:rPr>
        <w:footnoteRef/>
      </w:r>
      <w:r>
        <w:t xml:space="preserve"> </w:t>
      </w:r>
      <w:r w:rsidRPr="000E5DE7">
        <w:rPr>
          <w:i/>
          <w:iCs/>
          <w:lang w:val="en-ZA"/>
        </w:rPr>
        <w:t>Gibson v Van der Walt</w:t>
      </w:r>
      <w:r>
        <w:rPr>
          <w:lang w:val="en-ZA"/>
        </w:rPr>
        <w:t xml:space="preserve"> 1952 (1) SA 262 (A).</w:t>
      </w:r>
    </w:p>
  </w:footnote>
  <w:footnote w:id="17">
    <w:p w14:paraId="417B2A87" w14:textId="7F94F33C" w:rsidR="000E5DE7" w:rsidRDefault="000E5DE7">
      <w:pPr>
        <w:pStyle w:val="FootnoteText"/>
      </w:pPr>
      <w:r>
        <w:rPr>
          <w:rStyle w:val="FootnoteReference"/>
        </w:rPr>
        <w:footnoteRef/>
      </w:r>
      <w:r>
        <w:t xml:space="preserve"> </w:t>
      </w:r>
      <w:r w:rsidRPr="000E5DE7">
        <w:rPr>
          <w:i/>
          <w:iCs/>
        </w:rPr>
        <w:t>Nichol v Berger</w:t>
      </w:r>
      <w:r>
        <w:t xml:space="preserve"> 1990 (1) SA 231 (C).</w:t>
      </w:r>
    </w:p>
  </w:footnote>
  <w:footnote w:id="18">
    <w:p w14:paraId="6DEB94A1" w14:textId="26E5C835" w:rsidR="000E5DE7" w:rsidRDefault="000E5DE7">
      <w:pPr>
        <w:pStyle w:val="FootnoteText"/>
      </w:pPr>
      <w:r>
        <w:rPr>
          <w:rStyle w:val="FootnoteReference"/>
        </w:rPr>
        <w:footnoteRef/>
      </w:r>
      <w:r>
        <w:t xml:space="preserve"> </w:t>
      </w:r>
      <w:r w:rsidRPr="000E5DE7">
        <w:rPr>
          <w:i/>
          <w:iCs/>
        </w:rPr>
        <w:t xml:space="preserve">Gibson </w:t>
      </w:r>
      <w:r w:rsidR="00CF28DE">
        <w:t>n 1</w:t>
      </w:r>
      <w:r w:rsidR="005D234D">
        <w:t>6</w:t>
      </w:r>
      <w:r w:rsidR="00CF28DE">
        <w:t xml:space="preserve"> at </w:t>
      </w:r>
      <w:r>
        <w:t>270A</w:t>
      </w:r>
      <w:r w:rsidR="00CF28DE">
        <w:t>;</w:t>
      </w:r>
      <w:r>
        <w:t xml:space="preserve"> </w:t>
      </w:r>
      <w:r w:rsidRPr="000E5DE7">
        <w:rPr>
          <w:i/>
          <w:iCs/>
        </w:rPr>
        <w:t>Totalizator Agency Board OFS v Livranos</w:t>
      </w:r>
      <w:r>
        <w:t xml:space="preserve"> 1987 (3) SA 283 (W) at 289D, 294I-295B  </w:t>
      </w:r>
      <w:r w:rsidRPr="00CF28DE">
        <w:rPr>
          <w:i/>
          <w:iCs/>
        </w:rPr>
        <w:t xml:space="preserve">contra </w:t>
      </w:r>
      <w:r w:rsidRPr="00036169">
        <w:rPr>
          <w:i/>
          <w:iCs/>
        </w:rPr>
        <w:t>Halsey &amp; Ors v Jones</w:t>
      </w:r>
      <w:r>
        <w:t xml:space="preserve"> 1962 (3) SA 484 (A) where it was held that inasmuch</w:t>
      </w:r>
      <w:r w:rsidR="00036169">
        <w:t xml:space="preserve"> as the principal obligation flowing from a gambling (sweepstakes) competition was unenforceable, so too was an ancillary obligation to safeguard tickets for it, as was a claim for delictual damages for negligence for losing it</w:t>
      </w:r>
      <w:r w:rsidR="00CF28DE">
        <w:t xml:space="preserve">, as </w:t>
      </w:r>
      <w:r w:rsidR="009F7988">
        <w:t>they</w:t>
      </w:r>
      <w:r w:rsidR="00CF28DE">
        <w:t xml:space="preserve"> sought to enforce the principal obligation</w:t>
      </w:r>
      <w:r>
        <w:t>.</w:t>
      </w:r>
    </w:p>
  </w:footnote>
  <w:footnote w:id="19">
    <w:p w14:paraId="3BCEE501" w14:textId="6C3B77FB" w:rsidR="00A66D96" w:rsidRPr="00A66D96" w:rsidRDefault="00A66D96">
      <w:pPr>
        <w:pStyle w:val="FootnoteText"/>
        <w:rPr>
          <w:lang w:val="en-ZA"/>
        </w:rPr>
      </w:pPr>
      <w:r>
        <w:rPr>
          <w:rStyle w:val="FootnoteReference"/>
        </w:rPr>
        <w:footnoteRef/>
      </w:r>
      <w:r>
        <w:t xml:space="preserve"> </w:t>
      </w:r>
      <w:r w:rsidR="00307C9E">
        <w:t>Note 1</w:t>
      </w:r>
      <w:r w:rsidR="005D234D">
        <w:t>0</w:t>
      </w:r>
      <w:r w:rsidR="00307C9E">
        <w:t xml:space="preserve">. </w:t>
      </w:r>
    </w:p>
  </w:footnote>
  <w:footnote w:id="20">
    <w:p w14:paraId="43E68A38" w14:textId="74EA268D" w:rsidR="00AE17BB" w:rsidRPr="00AE17BB" w:rsidRDefault="00AE17BB">
      <w:pPr>
        <w:pStyle w:val="FootnoteText"/>
        <w:rPr>
          <w:lang w:val="en-ZA"/>
        </w:rPr>
      </w:pPr>
      <w:r>
        <w:rPr>
          <w:rStyle w:val="FootnoteReference"/>
        </w:rPr>
        <w:footnoteRef/>
      </w:r>
      <w:r>
        <w:t xml:space="preserve"> </w:t>
      </w:r>
      <w:r>
        <w:rPr>
          <w:lang w:val="en-ZA"/>
        </w:rPr>
        <w:t>Sections 10(1)(a) and (b).</w:t>
      </w:r>
    </w:p>
  </w:footnote>
  <w:footnote w:id="21">
    <w:p w14:paraId="46104B76" w14:textId="30C4E0BE" w:rsidR="00607CFA" w:rsidRDefault="00607CFA">
      <w:pPr>
        <w:pStyle w:val="FootnoteText"/>
      </w:pPr>
      <w:r>
        <w:rPr>
          <w:rStyle w:val="FootnoteReference"/>
        </w:rPr>
        <w:footnoteRef/>
      </w:r>
      <w:r>
        <w:t xml:space="preserve"> </w:t>
      </w:r>
      <w:r w:rsidR="00AE17BB">
        <w:t>A</w:t>
      </w:r>
      <w:r>
        <w:t>ct 95 of 1998</w:t>
      </w:r>
      <w:r w:rsidR="001B1D81">
        <w:t>.</w:t>
      </w:r>
    </w:p>
  </w:footnote>
  <w:footnote w:id="22">
    <w:p w14:paraId="6E15B191" w14:textId="3B5BBFA7" w:rsidR="00607CFA" w:rsidRDefault="00607CFA">
      <w:pPr>
        <w:pStyle w:val="FootnoteText"/>
      </w:pPr>
      <w:r>
        <w:rPr>
          <w:rStyle w:val="FootnoteReference"/>
        </w:rPr>
        <w:footnoteRef/>
      </w:r>
      <w:r>
        <w:t xml:space="preserve"> </w:t>
      </w:r>
      <w:r w:rsidR="00AE17BB">
        <w:t>I</w:t>
      </w:r>
      <w:r>
        <w:t>n terms of</w:t>
      </w:r>
      <w:r w:rsidR="00AE17BB">
        <w:t xml:space="preserve"> s 2 thereof.</w:t>
      </w:r>
    </w:p>
  </w:footnote>
  <w:footnote w:id="23">
    <w:p w14:paraId="2CBEAE58" w14:textId="02D17A27" w:rsidR="00307C9E" w:rsidRDefault="00307C9E">
      <w:pPr>
        <w:pStyle w:val="FootnoteText"/>
      </w:pPr>
      <w:r>
        <w:rPr>
          <w:rStyle w:val="FootnoteReference"/>
        </w:rPr>
        <w:footnoteRef/>
      </w:r>
      <w:r>
        <w:t xml:space="preserve"> </w:t>
      </w:r>
      <w:r w:rsidR="00DF6456">
        <w:t>I</w:t>
      </w:r>
      <w:r>
        <w:t xml:space="preserve">n terms of </w:t>
      </w:r>
      <w:r w:rsidR="003B2CC6">
        <w:t>s</w:t>
      </w:r>
      <w:r>
        <w:t xml:space="preserve"> 10(7).</w:t>
      </w:r>
    </w:p>
  </w:footnote>
  <w:footnote w:id="24">
    <w:p w14:paraId="285EADC1" w14:textId="3AF8A301" w:rsidR="006D1BFE" w:rsidRPr="006D1BFE" w:rsidRDefault="006D1BFE">
      <w:pPr>
        <w:pStyle w:val="FootnoteText"/>
        <w:rPr>
          <w:lang w:val="en-ZA"/>
        </w:rPr>
      </w:pPr>
      <w:r>
        <w:rPr>
          <w:rStyle w:val="FootnoteReference"/>
        </w:rPr>
        <w:footnoteRef/>
      </w:r>
      <w:r>
        <w:t xml:space="preserve"> </w:t>
      </w:r>
      <w:r>
        <w:rPr>
          <w:lang w:val="en-ZA"/>
        </w:rPr>
        <w:t>Per Majiedt J.</w:t>
      </w:r>
    </w:p>
  </w:footnote>
  <w:footnote w:id="25">
    <w:p w14:paraId="25CAF8FF" w14:textId="3B995AEE" w:rsidR="0045213F" w:rsidRDefault="0045213F">
      <w:pPr>
        <w:pStyle w:val="FootnoteText"/>
      </w:pPr>
      <w:r>
        <w:rPr>
          <w:rStyle w:val="FootnoteReference"/>
        </w:rPr>
        <w:footnoteRef/>
      </w:r>
      <w:r>
        <w:t xml:space="preserve"> </w:t>
      </w:r>
      <w:r w:rsidRPr="001B4926">
        <w:rPr>
          <w:i/>
          <w:iCs/>
        </w:rPr>
        <w:t>Id</w:t>
      </w:r>
      <w:r>
        <w:t>, para 56.</w:t>
      </w:r>
    </w:p>
  </w:footnote>
  <w:footnote w:id="26">
    <w:p w14:paraId="498F2A38" w14:textId="25FCF8D5" w:rsidR="00411A29" w:rsidRPr="00411A29" w:rsidRDefault="00411A29">
      <w:pPr>
        <w:pStyle w:val="FootnoteText"/>
        <w:rPr>
          <w:lang w:val="en-ZA"/>
        </w:rPr>
      </w:pPr>
      <w:r>
        <w:rPr>
          <w:rStyle w:val="FootnoteReference"/>
        </w:rPr>
        <w:footnoteRef/>
      </w:r>
      <w:r>
        <w:t xml:space="preserve"> </w:t>
      </w:r>
      <w:r>
        <w:rPr>
          <w:lang w:val="en-ZA"/>
        </w:rPr>
        <w:t>Para 55.</w:t>
      </w:r>
    </w:p>
  </w:footnote>
  <w:footnote w:id="27">
    <w:p w14:paraId="63C8BC83" w14:textId="697E8833" w:rsidR="00411A29" w:rsidRPr="00411A29" w:rsidRDefault="00411A29">
      <w:pPr>
        <w:pStyle w:val="FootnoteText"/>
        <w:rPr>
          <w:lang w:val="en-ZA"/>
        </w:rPr>
      </w:pPr>
      <w:r>
        <w:rPr>
          <w:rStyle w:val="FootnoteReference"/>
        </w:rPr>
        <w:footnoteRef/>
      </w:r>
      <w:r>
        <w:t xml:space="preserve"> </w:t>
      </w:r>
      <w:r>
        <w:rPr>
          <w:lang w:val="en-ZA"/>
        </w:rPr>
        <w:t>Para 57.</w:t>
      </w:r>
    </w:p>
  </w:footnote>
  <w:footnote w:id="28">
    <w:p w14:paraId="0E510F1B" w14:textId="66E93723" w:rsidR="00044159" w:rsidRDefault="00044159">
      <w:pPr>
        <w:pStyle w:val="FootnoteText"/>
      </w:pPr>
      <w:r>
        <w:rPr>
          <w:rStyle w:val="FootnoteReference"/>
        </w:rPr>
        <w:footnoteRef/>
      </w:r>
      <w:r>
        <w:t xml:space="preserve"> </w:t>
      </w:r>
      <w:r w:rsidR="00C1093D">
        <w:t>P</w:t>
      </w:r>
      <w:r>
        <w:t>ara 59.</w:t>
      </w:r>
    </w:p>
  </w:footnote>
  <w:footnote w:id="29">
    <w:p w14:paraId="1729EE27" w14:textId="1BF53221" w:rsidR="00044159" w:rsidRDefault="00044159">
      <w:pPr>
        <w:pStyle w:val="FootnoteText"/>
      </w:pPr>
      <w:r>
        <w:rPr>
          <w:rStyle w:val="FootnoteReference"/>
        </w:rPr>
        <w:footnoteRef/>
      </w:r>
      <w:r>
        <w:t xml:space="preserve"> </w:t>
      </w:r>
      <w:r w:rsidR="00C1093D">
        <w:t>P</w:t>
      </w:r>
      <w:r>
        <w:t>ara 6</w:t>
      </w:r>
      <w:r w:rsidR="00C1093D">
        <w:t>1</w:t>
      </w:r>
      <w:r>
        <w:t>.</w:t>
      </w:r>
    </w:p>
  </w:footnote>
  <w:footnote w:id="30">
    <w:p w14:paraId="6E14878A" w14:textId="049FFC7D" w:rsidR="00044159" w:rsidRDefault="00044159">
      <w:pPr>
        <w:pStyle w:val="FootnoteText"/>
      </w:pPr>
      <w:r>
        <w:rPr>
          <w:rStyle w:val="FootnoteReference"/>
        </w:rPr>
        <w:footnoteRef/>
      </w:r>
      <w:r>
        <w:t xml:space="preserve"> </w:t>
      </w:r>
      <w:r w:rsidRPr="00DF6456">
        <w:rPr>
          <w:i/>
          <w:iCs/>
          <w:lang w:val="en-ZA"/>
        </w:rPr>
        <w:t>Benefeld v West</w:t>
      </w:r>
      <w:r>
        <w:rPr>
          <w:lang w:val="en-ZA"/>
        </w:rPr>
        <w:t xml:space="preserve"> 2011 (2) SA 379 (GSJ) at paras 14, 16-17.  </w:t>
      </w:r>
    </w:p>
  </w:footnote>
  <w:footnote w:id="31">
    <w:p w14:paraId="72127AD8" w14:textId="7D33942C" w:rsidR="00044159" w:rsidRPr="00044159" w:rsidRDefault="00044159">
      <w:pPr>
        <w:pStyle w:val="FootnoteText"/>
        <w:rPr>
          <w:lang w:val="en-ZA"/>
        </w:rPr>
      </w:pPr>
      <w:r>
        <w:rPr>
          <w:rStyle w:val="FootnoteReference"/>
        </w:rPr>
        <w:footnoteRef/>
      </w:r>
      <w:r>
        <w:t xml:space="preserve"> </w:t>
      </w:r>
      <w:r w:rsidRPr="00DF6456">
        <w:rPr>
          <w:i/>
          <w:iCs/>
          <w:lang w:val="en-ZA"/>
        </w:rPr>
        <w:t>Lufuno Mphuphuli &amp; Ass</w:t>
      </w:r>
      <w:r w:rsidR="00DF6456" w:rsidRPr="00DF6456">
        <w:rPr>
          <w:i/>
          <w:iCs/>
          <w:lang w:val="en-ZA"/>
        </w:rPr>
        <w:t>ociates (Pty) Ltd v Andrews &amp; Ano</w:t>
      </w:r>
      <w:r w:rsidR="00DF6456">
        <w:rPr>
          <w:lang w:val="en-ZA"/>
        </w:rPr>
        <w:t xml:space="preserve"> 2009 (4) SA 529 (CC) at paras 235-236 where it was held that courts should be careful not to undermine the goals of private arbitration by enlarging their powers of scrutiny </w:t>
      </w:r>
      <w:r w:rsidR="004972C5">
        <w:rPr>
          <w:lang w:val="en-ZA"/>
        </w:rPr>
        <w:t xml:space="preserve">of arbitral awards </w:t>
      </w:r>
      <w:r w:rsidR="00DF6456">
        <w:rPr>
          <w:lang w:val="en-ZA"/>
        </w:rPr>
        <w:t>'imprudently'.</w:t>
      </w:r>
    </w:p>
  </w:footnote>
  <w:footnote w:id="32">
    <w:p w14:paraId="60ACEF5A" w14:textId="2A5DDF74" w:rsidR="00DF6456" w:rsidRPr="00DF6456" w:rsidRDefault="00DF6456">
      <w:pPr>
        <w:pStyle w:val="FootnoteText"/>
        <w:rPr>
          <w:lang w:val="en-ZA"/>
        </w:rPr>
      </w:pPr>
      <w:r>
        <w:rPr>
          <w:rStyle w:val="FootnoteReference"/>
        </w:rPr>
        <w:footnoteRef/>
      </w:r>
      <w:r>
        <w:t xml:space="preserve"> </w:t>
      </w:r>
      <w:r>
        <w:rPr>
          <w:lang w:val="en-ZA"/>
        </w:rPr>
        <w:t>Note 1</w:t>
      </w:r>
      <w:r w:rsidR="005D234D">
        <w:rPr>
          <w:lang w:val="en-ZA"/>
        </w:rPr>
        <w:t>0</w:t>
      </w:r>
      <w:r>
        <w:rPr>
          <w:lang w:val="en-ZA"/>
        </w:rPr>
        <w:t xml:space="preserve"> para 56.</w:t>
      </w:r>
    </w:p>
  </w:footnote>
  <w:footnote w:id="33">
    <w:p w14:paraId="198E6113" w14:textId="18ECC7AE" w:rsidR="00DD0627" w:rsidRPr="00DD0627" w:rsidRDefault="00DD0627">
      <w:pPr>
        <w:pStyle w:val="FootnoteText"/>
        <w:rPr>
          <w:lang w:val="en-ZA"/>
        </w:rPr>
      </w:pPr>
      <w:r>
        <w:rPr>
          <w:rStyle w:val="FootnoteReference"/>
        </w:rPr>
        <w:footnoteRef/>
      </w:r>
      <w:r>
        <w:t xml:space="preserve"> ‘</w:t>
      </w:r>
      <w:r w:rsidRPr="00DD0627">
        <w:rPr>
          <w:i/>
          <w:iCs/>
          <w:lang w:val="en-ZA"/>
        </w:rPr>
        <w:t>The Common-Law’s Cool Ideas for Dealing with Ms Hubbard’</w:t>
      </w:r>
      <w:r>
        <w:rPr>
          <w:i/>
          <w:iCs/>
          <w:lang w:val="en-ZA"/>
        </w:rPr>
        <w:t xml:space="preserve"> </w:t>
      </w:r>
      <w:r>
        <w:rPr>
          <w:lang w:val="en-ZA"/>
        </w:rPr>
        <w:t xml:space="preserve">2015 (4) </w:t>
      </w:r>
      <w:r>
        <w:rPr>
          <w:i/>
          <w:iCs/>
          <w:lang w:val="en-ZA"/>
        </w:rPr>
        <w:t xml:space="preserve">SALJ </w:t>
      </w:r>
      <w:r>
        <w:rPr>
          <w:lang w:val="en-ZA"/>
        </w:rPr>
        <w:t>940.</w:t>
      </w:r>
    </w:p>
  </w:footnote>
  <w:footnote w:id="34">
    <w:p w14:paraId="4B73946A" w14:textId="28D8CB8A" w:rsidR="003D094B" w:rsidRPr="003D094B" w:rsidRDefault="003D094B">
      <w:pPr>
        <w:pStyle w:val="FootnoteText"/>
        <w:rPr>
          <w:lang w:val="en-ZA"/>
        </w:rPr>
      </w:pPr>
      <w:r>
        <w:rPr>
          <w:rStyle w:val="FootnoteReference"/>
        </w:rPr>
        <w:footnoteRef/>
      </w:r>
      <w:r>
        <w:t xml:space="preserve"> </w:t>
      </w:r>
      <w:r w:rsidR="00CE2833">
        <w:t xml:space="preserve">It is trite that for a novated </w:t>
      </w:r>
      <w:r w:rsidR="000A7A2C">
        <w:t>agreement to</w:t>
      </w:r>
      <w:r w:rsidR="00CE2833">
        <w:t xml:space="preserve"> be valid and therefore enforceable the original agreement which is substituted by it must have been valid. In accordance with the general principles which were </w:t>
      </w:r>
      <w:r w:rsidR="000A7A2C">
        <w:t>set out</w:t>
      </w:r>
      <w:r w:rsidR="00CE2833">
        <w:t xml:space="preserve"> above, if the original agreement is tainted by illegality, it will be void, and cannot be given life to by way of a novation.    </w:t>
      </w:r>
    </w:p>
  </w:footnote>
  <w:footnote w:id="35">
    <w:p w14:paraId="1D3B51EF" w14:textId="26013173" w:rsidR="007E0DFE" w:rsidRPr="007E0DFE" w:rsidRDefault="007E0DFE">
      <w:pPr>
        <w:pStyle w:val="FootnoteText"/>
        <w:rPr>
          <w:lang w:val="en-ZA"/>
        </w:rPr>
      </w:pPr>
      <w:r>
        <w:rPr>
          <w:rStyle w:val="FootnoteReference"/>
        </w:rPr>
        <w:footnoteRef/>
      </w:r>
      <w:r>
        <w:t xml:space="preserve"> </w:t>
      </w:r>
      <w:r>
        <w:rPr>
          <w:lang w:val="en-ZA"/>
        </w:rPr>
        <w:t>Note 33 p 949.</w:t>
      </w:r>
    </w:p>
  </w:footnote>
  <w:footnote w:id="36">
    <w:p w14:paraId="45BB0D0E" w14:textId="30A404C1" w:rsidR="007E0DFE" w:rsidRPr="007E0DFE" w:rsidRDefault="007E0DFE">
      <w:pPr>
        <w:pStyle w:val="FootnoteText"/>
        <w:rPr>
          <w:lang w:val="en-ZA"/>
        </w:rPr>
      </w:pPr>
      <w:r>
        <w:rPr>
          <w:rStyle w:val="FootnoteReference"/>
        </w:rPr>
        <w:footnoteRef/>
      </w:r>
      <w:r>
        <w:t xml:space="preserve"> </w:t>
      </w:r>
      <w:r w:rsidRPr="007E0DFE">
        <w:rPr>
          <w:i/>
          <w:iCs/>
        </w:rPr>
        <w:t>Id</w:t>
      </w:r>
      <w:r>
        <w:t xml:space="preserve">, </w:t>
      </w:r>
      <w:r>
        <w:rPr>
          <w:lang w:val="en-ZA"/>
        </w:rPr>
        <w:t>p 950</w:t>
      </w:r>
      <w:r w:rsidR="00B11683" w:rsidRPr="00B11683">
        <w:t xml:space="preserve"> </w:t>
      </w:r>
      <w:r w:rsidR="00B11683">
        <w:t xml:space="preserve">with reference to the decisions in </w:t>
      </w:r>
      <w:r w:rsidR="00B11683" w:rsidRPr="00B11683">
        <w:rPr>
          <w:i/>
          <w:iCs/>
        </w:rPr>
        <w:t>Trust Bank of Africa Ltd v Dhooma</w:t>
      </w:r>
      <w:r w:rsidR="00B11683">
        <w:t xml:space="preserve"> 1970 (3) SA 304 (N) at 308A-310C, and </w:t>
      </w:r>
      <w:r w:rsidR="00B11683" w:rsidRPr="00B11683">
        <w:rPr>
          <w:i/>
          <w:iCs/>
        </w:rPr>
        <w:t>Swadif (Pty) Ltd v Dyke N.O</w:t>
      </w:r>
      <w:r w:rsidR="00B11683">
        <w:t xml:space="preserve"> 1978 (1) SA 928 (A) at 942C-E, 944G</w:t>
      </w:r>
      <w:r>
        <w:rPr>
          <w:lang w:val="en-ZA"/>
        </w:rPr>
        <w:t>.</w:t>
      </w:r>
    </w:p>
  </w:footnote>
  <w:footnote w:id="37">
    <w:p w14:paraId="6DE83A67" w14:textId="6FFEA6F1" w:rsidR="007E0DFE" w:rsidRPr="007E0DFE" w:rsidRDefault="007E0DFE">
      <w:pPr>
        <w:pStyle w:val="FootnoteText"/>
        <w:rPr>
          <w:lang w:val="en-ZA"/>
        </w:rPr>
      </w:pPr>
      <w:r>
        <w:rPr>
          <w:rStyle w:val="FootnoteReference"/>
        </w:rPr>
        <w:footnoteRef/>
      </w:r>
      <w:r>
        <w:t xml:space="preserve"> </w:t>
      </w:r>
      <w:r w:rsidR="00B11683" w:rsidRPr="00B11683">
        <w:rPr>
          <w:i/>
          <w:iCs/>
        </w:rPr>
        <w:t>Id</w:t>
      </w:r>
      <w:r w:rsidR="00B11683">
        <w:rPr>
          <w:i/>
          <w:iCs/>
        </w:rPr>
        <w:t xml:space="preserve">, </w:t>
      </w:r>
      <w:r w:rsidR="00B11683" w:rsidRPr="00B11683">
        <w:t>p 951</w:t>
      </w:r>
      <w:r w:rsidR="00B11683">
        <w:t>.</w:t>
      </w:r>
    </w:p>
  </w:footnote>
  <w:footnote w:id="38">
    <w:p w14:paraId="6B469ADD" w14:textId="269F0F54" w:rsidR="009177CA" w:rsidRPr="009177CA" w:rsidRDefault="009177CA">
      <w:pPr>
        <w:pStyle w:val="FootnoteText"/>
        <w:rPr>
          <w:lang w:val="en-ZA"/>
        </w:rPr>
      </w:pPr>
      <w:r>
        <w:rPr>
          <w:rStyle w:val="FootnoteReference"/>
        </w:rPr>
        <w:footnoteRef/>
      </w:r>
      <w:r>
        <w:t xml:space="preserve"> Para 16.</w:t>
      </w:r>
    </w:p>
  </w:footnote>
  <w:footnote w:id="39">
    <w:p w14:paraId="29EC5A9F" w14:textId="4D6C0A93" w:rsidR="00A06577" w:rsidRPr="00A06577" w:rsidRDefault="00A06577">
      <w:pPr>
        <w:pStyle w:val="FootnoteText"/>
        <w:rPr>
          <w:lang w:val="en-ZA"/>
        </w:rPr>
      </w:pPr>
      <w:r>
        <w:rPr>
          <w:rStyle w:val="FootnoteReference"/>
        </w:rPr>
        <w:footnoteRef/>
      </w:r>
      <w:r>
        <w:t xml:space="preserve"> </w:t>
      </w:r>
      <w:r w:rsidRPr="00B11683">
        <w:rPr>
          <w:i/>
          <w:iCs/>
        </w:rPr>
        <w:t xml:space="preserve">Dennis Peters </w:t>
      </w:r>
      <w:r w:rsidR="00B11683" w:rsidRPr="00B11683">
        <w:rPr>
          <w:i/>
          <w:iCs/>
        </w:rPr>
        <w:t>I</w:t>
      </w:r>
      <w:r w:rsidRPr="00B11683">
        <w:rPr>
          <w:i/>
          <w:iCs/>
        </w:rPr>
        <w:t>nvestments (Pty) Ltd v Ollerenshaw &amp; Ors</w:t>
      </w:r>
      <w:r>
        <w:t xml:space="preserve"> 1997 (1) SA 197 (W) at 202G-H.</w:t>
      </w:r>
    </w:p>
  </w:footnote>
  <w:footnote w:id="40">
    <w:p w14:paraId="6F3D1434" w14:textId="62CDAAEF" w:rsidR="00470B14" w:rsidRPr="00470B14" w:rsidRDefault="00470B14">
      <w:pPr>
        <w:pStyle w:val="FootnoteText"/>
        <w:rPr>
          <w:lang w:val="en-ZA"/>
        </w:rPr>
      </w:pPr>
      <w:r>
        <w:rPr>
          <w:rStyle w:val="FootnoteReference"/>
        </w:rPr>
        <w:footnoteRef/>
      </w:r>
      <w:r>
        <w:t xml:space="preserve"> </w:t>
      </w:r>
      <w:r w:rsidRPr="00470B14">
        <w:rPr>
          <w:i/>
          <w:iCs/>
          <w:lang w:val="en-ZA"/>
        </w:rPr>
        <w:t>Benefeld</w:t>
      </w:r>
      <w:r>
        <w:rPr>
          <w:lang w:val="en-ZA"/>
        </w:rPr>
        <w:t xml:space="preserve"> para 14.</w:t>
      </w:r>
    </w:p>
  </w:footnote>
  <w:footnote w:id="41">
    <w:p w14:paraId="12DDB3DA" w14:textId="0735EA99" w:rsidR="005E74A0" w:rsidRPr="005E74A0" w:rsidRDefault="005E74A0">
      <w:pPr>
        <w:pStyle w:val="FootnoteText"/>
        <w:rPr>
          <w:lang w:val="en-ZA"/>
        </w:rPr>
      </w:pPr>
      <w:r>
        <w:rPr>
          <w:rStyle w:val="FootnoteReference"/>
        </w:rPr>
        <w:footnoteRef/>
      </w:r>
      <w:r>
        <w:t xml:space="preserve"> </w:t>
      </w:r>
      <w:r>
        <w:rPr>
          <w:lang w:val="en-ZA"/>
        </w:rPr>
        <w:t>Note 39.</w:t>
      </w:r>
    </w:p>
  </w:footnote>
  <w:footnote w:id="42">
    <w:p w14:paraId="452E67D8" w14:textId="456C77F1" w:rsidR="00F71D8F" w:rsidRPr="00F71D8F" w:rsidRDefault="00F71D8F">
      <w:pPr>
        <w:pStyle w:val="FootnoteText"/>
        <w:rPr>
          <w:lang w:val="en-ZA"/>
        </w:rPr>
      </w:pPr>
      <w:r>
        <w:rPr>
          <w:rStyle w:val="FootnoteReference"/>
        </w:rPr>
        <w:footnoteRef/>
      </w:r>
      <w:r>
        <w:t xml:space="preserve"> </w:t>
      </w:r>
      <w:r>
        <w:rPr>
          <w:lang w:val="en-ZA"/>
        </w:rPr>
        <w:t>At p 203A.</w:t>
      </w:r>
    </w:p>
  </w:footnote>
  <w:footnote w:id="43">
    <w:p w14:paraId="79CCFD6E" w14:textId="774592C6" w:rsidR="00F71D8F" w:rsidRPr="00F71D8F" w:rsidRDefault="00F71D8F">
      <w:pPr>
        <w:pStyle w:val="FootnoteText"/>
        <w:rPr>
          <w:lang w:val="en-ZA"/>
        </w:rPr>
      </w:pPr>
      <w:r>
        <w:rPr>
          <w:rStyle w:val="FootnoteReference"/>
        </w:rPr>
        <w:footnoteRef/>
      </w:r>
      <w:r>
        <w:t xml:space="preserve"> </w:t>
      </w:r>
      <w:r w:rsidRPr="00F71D8F">
        <w:rPr>
          <w:i/>
          <w:iCs/>
          <w:lang w:val="en-ZA"/>
        </w:rPr>
        <w:t>Law of Contract in South Africa</w:t>
      </w:r>
      <w:r>
        <w:rPr>
          <w:i/>
          <w:iCs/>
          <w:lang w:val="en-ZA"/>
        </w:rPr>
        <w:t xml:space="preserve"> </w:t>
      </w:r>
      <w:r>
        <w:rPr>
          <w:lang w:val="en-ZA"/>
        </w:rPr>
        <w:t>2</w:t>
      </w:r>
      <w:r w:rsidRPr="00F71D8F">
        <w:rPr>
          <w:vertAlign w:val="superscript"/>
          <w:lang w:val="en-ZA"/>
        </w:rPr>
        <w:t>nd</w:t>
      </w:r>
      <w:r>
        <w:rPr>
          <w:lang w:val="en-ZA"/>
        </w:rPr>
        <w:t xml:space="preserve"> Ed Vol 2 para 2 458.</w:t>
      </w:r>
    </w:p>
  </w:footnote>
  <w:footnote w:id="44">
    <w:p w14:paraId="6E1A7A35" w14:textId="39E2AC73" w:rsidR="00F71D8F" w:rsidRPr="00F71D8F" w:rsidRDefault="00F71D8F">
      <w:pPr>
        <w:pStyle w:val="FootnoteText"/>
        <w:rPr>
          <w:lang w:val="en-ZA"/>
        </w:rPr>
      </w:pPr>
      <w:r>
        <w:rPr>
          <w:rStyle w:val="FootnoteReference"/>
        </w:rPr>
        <w:footnoteRef/>
      </w:r>
      <w:r>
        <w:t xml:space="preserve"> </w:t>
      </w:r>
      <w:r w:rsidRPr="00F71D8F">
        <w:rPr>
          <w:i/>
          <w:iCs/>
          <w:lang w:val="en-ZA"/>
        </w:rPr>
        <w:t>Principles of South African Law</w:t>
      </w:r>
      <w:r>
        <w:rPr>
          <w:lang w:val="en-ZA"/>
        </w:rPr>
        <w:t xml:space="preserve"> (un</w:t>
      </w:r>
      <w:r w:rsidR="0006390C">
        <w:rPr>
          <w:lang w:val="en-ZA"/>
        </w:rPr>
        <w:t>known</w:t>
      </w:r>
      <w:r>
        <w:rPr>
          <w:lang w:val="en-ZA"/>
        </w:rPr>
        <w:t xml:space="preserve"> edition), p 367. </w:t>
      </w:r>
    </w:p>
  </w:footnote>
  <w:footnote w:id="45">
    <w:p w14:paraId="04998735" w14:textId="5272A560" w:rsidR="005E74A0" w:rsidRPr="005E74A0" w:rsidRDefault="005E74A0">
      <w:pPr>
        <w:pStyle w:val="FootnoteText"/>
        <w:rPr>
          <w:lang w:val="en-ZA"/>
        </w:rPr>
      </w:pPr>
      <w:r>
        <w:rPr>
          <w:rStyle w:val="FootnoteReference"/>
        </w:rPr>
        <w:footnoteRef/>
      </w:r>
      <w:r>
        <w:t xml:space="preserve"> </w:t>
      </w:r>
      <w:r w:rsidRPr="005E74A0">
        <w:rPr>
          <w:i/>
          <w:iCs/>
          <w:lang w:val="en-ZA"/>
        </w:rPr>
        <w:t>Weltmans Custom Office Furniture (Pty) Ltd (In Liquidation) v Whistlers CC</w:t>
      </w:r>
      <w:r>
        <w:rPr>
          <w:lang w:val="en-ZA"/>
        </w:rPr>
        <w:t xml:space="preserve"> 1999 (2) SA 116 (SCA).</w:t>
      </w:r>
    </w:p>
  </w:footnote>
  <w:footnote w:id="46">
    <w:p w14:paraId="2715ABF3" w14:textId="1044843F" w:rsidR="005E74A0" w:rsidRPr="005E74A0" w:rsidRDefault="005E74A0">
      <w:pPr>
        <w:pStyle w:val="FootnoteText"/>
        <w:rPr>
          <w:lang w:val="en-ZA"/>
        </w:rPr>
      </w:pPr>
      <w:r>
        <w:rPr>
          <w:rStyle w:val="FootnoteReference"/>
        </w:rPr>
        <w:footnoteRef/>
      </w:r>
      <w:r>
        <w:t xml:space="preserve"> </w:t>
      </w:r>
      <w:r>
        <w:rPr>
          <w:lang w:val="en-ZA"/>
        </w:rPr>
        <w:t>Para 16.</w:t>
      </w:r>
    </w:p>
  </w:footnote>
  <w:footnote w:id="47">
    <w:p w14:paraId="03751BC5" w14:textId="28FBAC46" w:rsidR="00E61154" w:rsidRPr="00E61154" w:rsidRDefault="00E61154">
      <w:pPr>
        <w:pStyle w:val="FootnoteText"/>
        <w:rPr>
          <w:lang w:val="en-ZA"/>
        </w:rPr>
      </w:pPr>
      <w:r>
        <w:rPr>
          <w:rStyle w:val="FootnoteReference"/>
        </w:rPr>
        <w:footnoteRef/>
      </w:r>
      <w:r>
        <w:t xml:space="preserve"> </w:t>
      </w:r>
      <w:r w:rsidRPr="00E61154">
        <w:rPr>
          <w:i/>
          <w:iCs/>
        </w:rPr>
        <w:t>Id</w:t>
      </w:r>
      <w:r>
        <w:t>.</w:t>
      </w:r>
      <w:r>
        <w:rPr>
          <w:lang w:val="en-ZA"/>
        </w:rPr>
        <w:t xml:space="preserve"> </w:t>
      </w:r>
    </w:p>
  </w:footnote>
  <w:footnote w:id="48">
    <w:p w14:paraId="14D54ABE" w14:textId="6111C9B4" w:rsidR="00E61154" w:rsidRPr="00E61154" w:rsidRDefault="00E61154">
      <w:pPr>
        <w:pStyle w:val="FootnoteText"/>
        <w:rPr>
          <w:lang w:val="en-ZA"/>
        </w:rPr>
      </w:pPr>
      <w:r>
        <w:rPr>
          <w:rStyle w:val="FootnoteReference"/>
        </w:rPr>
        <w:footnoteRef/>
      </w:r>
      <w:r>
        <w:t xml:space="preserve"> </w:t>
      </w:r>
      <w:r>
        <w:rPr>
          <w:lang w:val="en-ZA"/>
        </w:rPr>
        <w:t>Section 34(3) of Act 24 of 1936.</w:t>
      </w:r>
    </w:p>
  </w:footnote>
  <w:footnote w:id="49">
    <w:p w14:paraId="456F8D70" w14:textId="47554548" w:rsidR="00CB43FE" w:rsidRPr="00CB43FE" w:rsidRDefault="00CB43FE">
      <w:pPr>
        <w:pStyle w:val="FootnoteText"/>
        <w:rPr>
          <w:lang w:val="en-ZA"/>
        </w:rPr>
      </w:pPr>
      <w:r>
        <w:rPr>
          <w:rStyle w:val="FootnoteReference"/>
        </w:rPr>
        <w:footnoteRef/>
      </w:r>
      <w:r>
        <w:t xml:space="preserve"> Which was </w:t>
      </w:r>
      <w:r w:rsidRPr="00CB43FE">
        <w:t xml:space="preserve">similar to that which </w:t>
      </w:r>
      <w:r>
        <w:t>was</w:t>
      </w:r>
      <w:r w:rsidRPr="00CB43FE">
        <w:t xml:space="preserve"> adopted by Wallis JA </w:t>
      </w:r>
      <w:r>
        <w:t>as</w:t>
      </w:r>
      <w:r w:rsidRPr="00CB43FE">
        <w:t xml:space="preserve"> to how the enforcement of arbitral awards is to be dealt</w:t>
      </w:r>
      <w:r>
        <w:t xml:space="preserve"> with.</w:t>
      </w:r>
    </w:p>
  </w:footnote>
  <w:footnote w:id="50">
    <w:p w14:paraId="4EA57601" w14:textId="2D78A85A" w:rsidR="00CB60BE" w:rsidRPr="00CB60BE" w:rsidRDefault="00CB60BE">
      <w:pPr>
        <w:pStyle w:val="FootnoteText"/>
        <w:rPr>
          <w:lang w:val="en-ZA"/>
        </w:rPr>
      </w:pPr>
      <w:r>
        <w:rPr>
          <w:rStyle w:val="FootnoteReference"/>
        </w:rPr>
        <w:footnoteRef/>
      </w:r>
      <w:r>
        <w:t xml:space="preserve"> </w:t>
      </w:r>
      <w:r>
        <w:rPr>
          <w:lang w:val="en-ZA"/>
        </w:rPr>
        <w:t>Not</w:t>
      </w:r>
      <w:r w:rsidR="00AB0306">
        <w:rPr>
          <w:lang w:val="en-ZA"/>
        </w:rPr>
        <w:t>e 30</w:t>
      </w:r>
      <w:r>
        <w:rPr>
          <w:lang w:val="en-ZA"/>
        </w:rPr>
        <w:t xml:space="preserve"> para 17.</w:t>
      </w:r>
    </w:p>
  </w:footnote>
  <w:footnote w:id="51">
    <w:p w14:paraId="33F06B1F" w14:textId="63C83CB1" w:rsidR="00F00013" w:rsidRPr="00F00013" w:rsidRDefault="00F00013">
      <w:pPr>
        <w:pStyle w:val="FootnoteText"/>
        <w:rPr>
          <w:lang w:val="en-ZA"/>
        </w:rPr>
      </w:pPr>
      <w:r w:rsidRPr="00F00013">
        <w:rPr>
          <w:rStyle w:val="FootnoteReference"/>
          <w:i/>
          <w:iCs/>
        </w:rPr>
        <w:footnoteRef/>
      </w:r>
      <w:r w:rsidRPr="00F00013">
        <w:rPr>
          <w:i/>
          <w:iCs/>
        </w:rPr>
        <w:t xml:space="preserve"> </w:t>
      </w:r>
      <w:r w:rsidRPr="00F00013">
        <w:rPr>
          <w:i/>
          <w:iCs/>
          <w:lang w:val="en-ZA"/>
        </w:rPr>
        <w:t>Shabangu v Land &amp; Agricultural Development Bank of SA</w:t>
      </w:r>
      <w:r>
        <w:rPr>
          <w:lang w:val="en-ZA"/>
        </w:rPr>
        <w:t xml:space="preserve"> 2020 (1) SA 305 (CC). </w:t>
      </w:r>
    </w:p>
  </w:footnote>
  <w:footnote w:id="52">
    <w:p w14:paraId="76A354DB" w14:textId="1DB22465" w:rsidR="004C47E9" w:rsidRPr="004C47E9" w:rsidRDefault="004C47E9">
      <w:pPr>
        <w:pStyle w:val="FootnoteText"/>
        <w:rPr>
          <w:lang w:val="en-ZA"/>
        </w:rPr>
      </w:pPr>
      <w:r>
        <w:rPr>
          <w:rStyle w:val="FootnoteReference"/>
        </w:rPr>
        <w:footnoteRef/>
      </w:r>
      <w:r>
        <w:t xml:space="preserve"> </w:t>
      </w:r>
      <w:r w:rsidRPr="000A003E">
        <w:rPr>
          <w:i/>
          <w:iCs/>
          <w:lang w:val="en-ZA"/>
        </w:rPr>
        <w:t>Panamo Properties (Pty) Ltd v Land &amp; Agricultural Development Bank of SA</w:t>
      </w:r>
      <w:r>
        <w:rPr>
          <w:lang w:val="en-ZA"/>
        </w:rPr>
        <w:t xml:space="preserve"> 2016 (1) SA 202 (SCA).</w:t>
      </w:r>
    </w:p>
  </w:footnote>
  <w:footnote w:id="53">
    <w:p w14:paraId="645AEF23" w14:textId="0CF1ACA8" w:rsidR="0044687D" w:rsidRPr="0044687D" w:rsidRDefault="0044687D">
      <w:pPr>
        <w:pStyle w:val="FootnoteText"/>
        <w:rPr>
          <w:lang w:val="en-ZA"/>
        </w:rPr>
      </w:pPr>
      <w:r>
        <w:rPr>
          <w:rStyle w:val="FootnoteReference"/>
        </w:rPr>
        <w:footnoteRef/>
      </w:r>
      <w:r>
        <w:t xml:space="preserve"> </w:t>
      </w:r>
      <w:r>
        <w:rPr>
          <w:lang w:val="en-ZA"/>
        </w:rPr>
        <w:t>Para 24.</w:t>
      </w:r>
    </w:p>
  </w:footnote>
  <w:footnote w:id="54">
    <w:p w14:paraId="5BC3695A" w14:textId="47E6F897" w:rsidR="00385E7C" w:rsidRPr="00385E7C" w:rsidRDefault="00385E7C">
      <w:pPr>
        <w:pStyle w:val="FootnoteText"/>
        <w:rPr>
          <w:lang w:val="en-ZA"/>
        </w:rPr>
      </w:pPr>
      <w:r>
        <w:rPr>
          <w:rStyle w:val="FootnoteReference"/>
        </w:rPr>
        <w:footnoteRef/>
      </w:r>
      <w:r>
        <w:t xml:space="preserve"> </w:t>
      </w:r>
      <w:r w:rsidRPr="00385E7C">
        <w:rPr>
          <w:i/>
          <w:iCs/>
          <w:lang w:val="en-ZA"/>
        </w:rPr>
        <w:t>Valor- IT v Premier, North</w:t>
      </w:r>
      <w:r>
        <w:rPr>
          <w:i/>
          <w:iCs/>
          <w:lang w:val="en-ZA"/>
        </w:rPr>
        <w:t>-</w:t>
      </w:r>
      <w:r w:rsidRPr="00385E7C">
        <w:rPr>
          <w:i/>
          <w:iCs/>
          <w:lang w:val="en-ZA"/>
        </w:rPr>
        <w:t>West Province &amp; Ors</w:t>
      </w:r>
      <w:r>
        <w:rPr>
          <w:lang w:val="en-ZA"/>
        </w:rPr>
        <w:t xml:space="preserve"> 2021 (1) SA 42 (SCA). </w:t>
      </w:r>
    </w:p>
  </w:footnote>
  <w:footnote w:id="55">
    <w:p w14:paraId="64C8BE8E" w14:textId="02DB8ECD" w:rsidR="00385E7C" w:rsidRPr="00385E7C" w:rsidRDefault="00385E7C">
      <w:pPr>
        <w:pStyle w:val="FootnoteText"/>
        <w:rPr>
          <w:lang w:val="en-ZA"/>
        </w:rPr>
      </w:pPr>
      <w:r>
        <w:rPr>
          <w:rStyle w:val="FootnoteReference"/>
        </w:rPr>
        <w:footnoteRef/>
      </w:r>
      <w:r>
        <w:t xml:space="preserve"> </w:t>
      </w:r>
      <w:r w:rsidRPr="00385E7C">
        <w:rPr>
          <w:i/>
          <w:iCs/>
          <w:lang w:val="en-ZA"/>
        </w:rPr>
        <w:t xml:space="preserve">Buffalo City Metropolitan Municipality v Asla Construction (Pty) Ltd </w:t>
      </w:r>
      <w:r>
        <w:rPr>
          <w:lang w:val="en-ZA"/>
        </w:rPr>
        <w:t>2019 (4) SA 331 (CC).</w:t>
      </w:r>
    </w:p>
  </w:footnote>
  <w:footnote w:id="56">
    <w:p w14:paraId="11874FFD" w14:textId="05B47CE5" w:rsidR="00644602" w:rsidRPr="00A50414" w:rsidRDefault="00644602" w:rsidP="00644602">
      <w:pPr>
        <w:pStyle w:val="FootnoteText"/>
        <w:rPr>
          <w:lang w:val="en-ZA"/>
        </w:rPr>
      </w:pPr>
      <w:r>
        <w:rPr>
          <w:rStyle w:val="FootnoteReference"/>
        </w:rPr>
        <w:footnoteRef/>
      </w:r>
      <w:r>
        <w:t xml:space="preserve"> </w:t>
      </w:r>
      <w:r w:rsidRPr="00644602">
        <w:rPr>
          <w:i/>
          <w:iCs/>
        </w:rPr>
        <w:t>MV Yu Long Shan: Drybulk SA v MV Yu Long Shan</w:t>
      </w:r>
      <w:r>
        <w:t xml:space="preserve"> 1998 (1) SA 646 </w:t>
      </w:r>
      <w:r w:rsidR="0085256A">
        <w:t>(</w:t>
      </w:r>
      <w:r>
        <w:t>SCA</w:t>
      </w:r>
      <w:r w:rsidR="0085256A">
        <w:t>)</w:t>
      </w:r>
      <w:r>
        <w:t xml:space="preserve"> at 653G-H.</w:t>
      </w:r>
    </w:p>
  </w:footnote>
  <w:footnote w:id="57">
    <w:p w14:paraId="4DEBE393" w14:textId="383C35A8" w:rsidR="00420F9A" w:rsidRPr="00420F9A" w:rsidRDefault="00420F9A">
      <w:pPr>
        <w:pStyle w:val="FootnoteText"/>
        <w:rPr>
          <w:lang w:val="en-ZA"/>
        </w:rPr>
      </w:pPr>
      <w:r>
        <w:rPr>
          <w:rStyle w:val="FootnoteReference"/>
        </w:rPr>
        <w:footnoteRef/>
      </w:r>
      <w:r>
        <w:t xml:space="preserve"> </w:t>
      </w:r>
      <w:r>
        <w:rPr>
          <w:lang w:val="en-ZA"/>
        </w:rPr>
        <w:t>Section 8(4)(f).</w:t>
      </w:r>
    </w:p>
  </w:footnote>
  <w:footnote w:id="58">
    <w:p w14:paraId="1203EE08" w14:textId="0ED1AA7B" w:rsidR="00420F9A" w:rsidRDefault="00420F9A">
      <w:pPr>
        <w:pStyle w:val="FootnoteText"/>
      </w:pPr>
      <w:r>
        <w:rPr>
          <w:rStyle w:val="FootnoteReference"/>
        </w:rPr>
        <w:footnoteRef/>
      </w:r>
      <w:r>
        <w:t xml:space="preserve"> </w:t>
      </w:r>
      <w:r w:rsidRPr="004B4DDD">
        <w:rPr>
          <w:i/>
          <w:iCs/>
        </w:rPr>
        <w:t>GG</w:t>
      </w:r>
      <w:r>
        <w:t xml:space="preserve"> 3998</w:t>
      </w:r>
      <w:r w:rsidR="008024EC">
        <w:t>1</w:t>
      </w:r>
      <w:r>
        <w:t>.</w:t>
      </w:r>
    </w:p>
  </w:footnote>
  <w:footnote w:id="59">
    <w:p w14:paraId="745B7D5F" w14:textId="53CFFB7D" w:rsidR="00715329" w:rsidRPr="00715329" w:rsidRDefault="00715329">
      <w:pPr>
        <w:pStyle w:val="FootnoteText"/>
        <w:rPr>
          <w:lang w:val="en-ZA"/>
        </w:rPr>
      </w:pPr>
      <w:r>
        <w:rPr>
          <w:rStyle w:val="FootnoteReference"/>
        </w:rPr>
        <w:footnoteRef/>
      </w:r>
      <w:r>
        <w:t xml:space="preserve"> Such as </w:t>
      </w:r>
      <w:r>
        <w:rPr>
          <w:lang w:val="en-ZA"/>
        </w:rPr>
        <w:t xml:space="preserve">agreements between persons in a familial relationship who are co-dependent on one another                  (s 4(2)(b)(ii)), as well as any other arrangement in which the parties </w:t>
      </w:r>
      <w:r w:rsidR="004B4DDD">
        <w:rPr>
          <w:lang w:val="en-ZA"/>
        </w:rPr>
        <w:t xml:space="preserve">are </w:t>
      </w:r>
      <w:r>
        <w:rPr>
          <w:lang w:val="en-ZA"/>
        </w:rPr>
        <w:t>not independent of the one another and consequently do not ‘necessarily strive to obtain the utmost possible advantage out of the transaction’</w:t>
      </w:r>
      <w:r w:rsidR="004B4DDD">
        <w:rPr>
          <w:lang w:val="en-ZA"/>
        </w:rPr>
        <w:t xml:space="preserve">                    </w:t>
      </w:r>
      <w:r>
        <w:rPr>
          <w:lang w:val="en-ZA"/>
        </w:rPr>
        <w:t>(s 4(2)(b)(iv), or an arrangement/ agreement in terms of which the parties are otherwise not dealing at arms-length</w:t>
      </w:r>
      <w:r w:rsidR="004B4DDD">
        <w:rPr>
          <w:lang w:val="en-ZA"/>
        </w:rPr>
        <w:t xml:space="preserve"> (s 4(2)(b)(v)</w:t>
      </w:r>
      <w:r w:rsidR="00F55DE2">
        <w:rPr>
          <w:lang w:val="en-ZA"/>
        </w:rPr>
        <w:t>)</w:t>
      </w:r>
      <w:r w:rsidR="004B4DDD">
        <w:rPr>
          <w:lang w:val="en-ZA"/>
        </w:rPr>
        <w:t>.</w:t>
      </w:r>
    </w:p>
  </w:footnote>
  <w:footnote w:id="60">
    <w:p w14:paraId="58EA9AEB" w14:textId="158A1CDD" w:rsidR="008024EC" w:rsidRPr="008024EC" w:rsidRDefault="008024EC">
      <w:pPr>
        <w:pStyle w:val="FootnoteText"/>
        <w:rPr>
          <w:lang w:val="en-ZA"/>
        </w:rPr>
      </w:pPr>
      <w:r>
        <w:rPr>
          <w:rStyle w:val="FootnoteReference"/>
        </w:rPr>
        <w:footnoteRef/>
      </w:r>
      <w:r>
        <w:t xml:space="preserve"> </w:t>
      </w:r>
      <w:r w:rsidRPr="00420F9A">
        <w:rPr>
          <w:i/>
          <w:iCs/>
          <w:lang w:val="en-ZA"/>
        </w:rPr>
        <w:t>De Bruyn N.O &amp; Ors v Karsten</w:t>
      </w:r>
      <w:r>
        <w:rPr>
          <w:lang w:val="en-ZA"/>
        </w:rPr>
        <w:t xml:space="preserve"> 2019 (1) SA 403 (SCA), paras 27-28.</w:t>
      </w:r>
    </w:p>
  </w:footnote>
  <w:footnote w:id="61">
    <w:p w14:paraId="0B5DCF2F" w14:textId="47EACB67" w:rsidR="00420F9A" w:rsidRDefault="00420F9A">
      <w:pPr>
        <w:pStyle w:val="FootnoteText"/>
      </w:pPr>
      <w:r>
        <w:rPr>
          <w:rStyle w:val="FootnoteReference"/>
        </w:rPr>
        <w:footnoteRef/>
      </w:r>
      <w:r w:rsidR="008024EC">
        <w:rPr>
          <w:lang w:val="en-ZA"/>
        </w:rPr>
        <w:t xml:space="preserve"> </w:t>
      </w:r>
      <w:r w:rsidR="008024EC" w:rsidRPr="008024EC">
        <w:rPr>
          <w:i/>
          <w:iCs/>
          <w:lang w:val="en-ZA"/>
        </w:rPr>
        <w:t>Id</w:t>
      </w:r>
      <w:r w:rsidR="008024EC">
        <w:rPr>
          <w:lang w:val="en-ZA"/>
        </w:rPr>
        <w:t>.</w:t>
      </w:r>
      <w:r>
        <w:rPr>
          <w:lang w:val="en-ZA"/>
        </w:rPr>
        <w:t xml:space="preserve"> </w:t>
      </w:r>
    </w:p>
  </w:footnote>
  <w:footnote w:id="62">
    <w:p w14:paraId="086FED30" w14:textId="53191432" w:rsidR="00331894" w:rsidRPr="00331894" w:rsidRDefault="00331894">
      <w:pPr>
        <w:pStyle w:val="FootnoteText"/>
        <w:rPr>
          <w:lang w:val="en-ZA"/>
        </w:rPr>
      </w:pPr>
      <w:r>
        <w:rPr>
          <w:rStyle w:val="FootnoteReference"/>
        </w:rPr>
        <w:footnoteRef/>
      </w:r>
      <w:r>
        <w:t xml:space="preserve"> At para 24.</w:t>
      </w:r>
    </w:p>
  </w:footnote>
  <w:footnote w:id="63">
    <w:p w14:paraId="1806FD4E" w14:textId="5EF0FCEA" w:rsidR="00C740E7" w:rsidRPr="00C740E7" w:rsidRDefault="00C740E7">
      <w:pPr>
        <w:pStyle w:val="FootnoteText"/>
        <w:rPr>
          <w:lang w:val="en-ZA"/>
        </w:rPr>
      </w:pPr>
      <w:r>
        <w:rPr>
          <w:rStyle w:val="FootnoteReference"/>
        </w:rPr>
        <w:footnoteRef/>
      </w:r>
      <w:r>
        <w:t xml:space="preserve"> </w:t>
      </w:r>
      <w:r>
        <w:rPr>
          <w:lang w:val="en-ZA"/>
        </w:rPr>
        <w:t>Section 89(5).</w:t>
      </w:r>
    </w:p>
  </w:footnote>
  <w:footnote w:id="64">
    <w:p w14:paraId="27B5C9E3" w14:textId="77777777" w:rsidR="00C740E7" w:rsidRPr="00C740E7" w:rsidRDefault="00C740E7" w:rsidP="00C740E7">
      <w:pPr>
        <w:pStyle w:val="FootnoteText"/>
        <w:rPr>
          <w:lang w:val="en-ZA"/>
        </w:rPr>
      </w:pPr>
      <w:r>
        <w:rPr>
          <w:rStyle w:val="FootnoteReference"/>
        </w:rPr>
        <w:footnoteRef/>
      </w:r>
      <w:r>
        <w:t xml:space="preserve"> </w:t>
      </w:r>
      <w:r w:rsidRPr="00C740E7">
        <w:rPr>
          <w:i/>
          <w:iCs/>
          <w:lang w:val="en-ZA"/>
        </w:rPr>
        <w:t>Ratlou v Man Financial Services SA (Pty) Ltd</w:t>
      </w:r>
      <w:r>
        <w:rPr>
          <w:lang w:val="en-ZA"/>
        </w:rPr>
        <w:t xml:space="preserve"> 2019 (5) SA 117 (SCA) paras 21-23.</w:t>
      </w:r>
    </w:p>
  </w:footnote>
  <w:footnote w:id="65">
    <w:p w14:paraId="3B8C77F3" w14:textId="52D8D5F5" w:rsidR="00D93869" w:rsidRPr="00D93869" w:rsidRDefault="00D93869">
      <w:pPr>
        <w:pStyle w:val="FootnoteText"/>
        <w:rPr>
          <w:lang w:val="en-ZA"/>
        </w:rPr>
      </w:pPr>
      <w:r>
        <w:rPr>
          <w:rStyle w:val="FootnoteReference"/>
        </w:rPr>
        <w:footnoteRef/>
      </w:r>
      <w:r>
        <w:t xml:space="preserve"> </w:t>
      </w:r>
      <w:r w:rsidR="001746CC" w:rsidRPr="001746CC">
        <w:rPr>
          <w:i/>
          <w:iCs/>
        </w:rPr>
        <w:t>Hubbard v Cool Ideas 1186 CC</w:t>
      </w:r>
      <w:r w:rsidR="001746CC">
        <w:t xml:space="preserve"> 2013 (5) SA 112 (SCA)</w:t>
      </w:r>
      <w:r w:rsidR="0000742A">
        <w:t xml:space="preserve"> para 14</w:t>
      </w:r>
      <w:r w:rsidR="001746CC">
        <w:t xml:space="preserve">. </w:t>
      </w:r>
    </w:p>
  </w:footnote>
  <w:footnote w:id="66">
    <w:p w14:paraId="1E01A29C" w14:textId="32801ADA" w:rsidR="001746CC" w:rsidRPr="001746CC" w:rsidRDefault="001746CC">
      <w:pPr>
        <w:pStyle w:val="FootnoteText"/>
        <w:rPr>
          <w:lang w:val="en-ZA"/>
        </w:rPr>
      </w:pPr>
      <w:r>
        <w:rPr>
          <w:rStyle w:val="FootnoteReference"/>
        </w:rPr>
        <w:footnoteRef/>
      </w:r>
      <w:r>
        <w:t xml:space="preserve"> Note </w:t>
      </w:r>
      <w:r w:rsidR="009D628B">
        <w:t>10</w:t>
      </w:r>
      <w:r>
        <w:t xml:space="preserve"> p</w:t>
      </w:r>
      <w:r>
        <w:rPr>
          <w:lang w:val="en-ZA"/>
        </w:rPr>
        <w:t>ara</w:t>
      </w:r>
      <w:r w:rsidR="0000742A">
        <w:rPr>
          <w:lang w:val="en-ZA"/>
        </w:rPr>
        <w:t xml:space="preserve"> 52</w:t>
      </w:r>
      <w:r>
        <w:rPr>
          <w:lang w:val="en-ZA"/>
        </w:rPr>
        <w:t>.</w:t>
      </w:r>
    </w:p>
  </w:footnote>
  <w:footnote w:id="67">
    <w:p w14:paraId="7931597B" w14:textId="5A51CDC4" w:rsidR="00B066E2" w:rsidRPr="00B066E2" w:rsidRDefault="00B066E2" w:rsidP="00B066E2">
      <w:pPr>
        <w:pStyle w:val="FootnoteText"/>
        <w:rPr>
          <w:lang w:val="en-ZA"/>
        </w:rPr>
      </w:pPr>
      <w:r>
        <w:rPr>
          <w:rStyle w:val="FootnoteReference"/>
        </w:rPr>
        <w:footnoteRef/>
      </w:r>
      <w:r>
        <w:t xml:space="preserve"> </w:t>
      </w:r>
      <w:r>
        <w:rPr>
          <w:lang w:val="en-ZA"/>
        </w:rPr>
        <w:t xml:space="preserve">Note </w:t>
      </w:r>
      <w:r w:rsidR="00894799">
        <w:rPr>
          <w:lang w:val="en-ZA"/>
        </w:rPr>
        <w:t>33</w:t>
      </w:r>
      <w:r>
        <w:rPr>
          <w:lang w:val="en-ZA"/>
        </w:rPr>
        <w:t xml:space="preserve"> p 958.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999141"/>
      <w:docPartObj>
        <w:docPartGallery w:val="Page Numbers (Top of Page)"/>
        <w:docPartUnique/>
      </w:docPartObj>
    </w:sdtPr>
    <w:sdtEndPr>
      <w:rPr>
        <w:noProof/>
      </w:rPr>
    </w:sdtEndPr>
    <w:sdtContent>
      <w:p w14:paraId="7A461A80" w14:textId="3D174264" w:rsidR="00BA0431" w:rsidRDefault="00BA0431">
        <w:pPr>
          <w:pStyle w:val="Header"/>
          <w:jc w:val="right"/>
        </w:pPr>
        <w:r>
          <w:fldChar w:fldCharType="begin"/>
        </w:r>
        <w:r>
          <w:instrText xml:space="preserve"> PAGE   \* MERGEFORMAT </w:instrText>
        </w:r>
        <w:r>
          <w:fldChar w:fldCharType="separate"/>
        </w:r>
        <w:r w:rsidR="00601627">
          <w:rPr>
            <w:noProof/>
          </w:rPr>
          <w:t>27</w:t>
        </w:r>
        <w:r>
          <w:rPr>
            <w:noProof/>
          </w:rPr>
          <w:fldChar w:fldCharType="end"/>
        </w:r>
      </w:p>
    </w:sdtContent>
  </w:sdt>
  <w:p w14:paraId="569D015F" w14:textId="77777777" w:rsidR="00BA0431" w:rsidRDefault="00BA0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1E3E50"/>
    <w:multiLevelType w:val="multilevel"/>
    <w:tmpl w:val="3B8A8D64"/>
    <w:lvl w:ilvl="0">
      <w:start w:val="1"/>
      <w:numFmt w:val="decimal"/>
      <w:lvlText w:val="%1."/>
      <w:lvlJc w:val="left"/>
      <w:pPr>
        <w:ind w:left="1080" w:hanging="720"/>
      </w:pPr>
      <w:rPr>
        <w:rFonts w:ascii="Arial" w:hAnsi="Arial" w:cs="Aria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7E9871F2"/>
    <w:multiLevelType w:val="hybridMultilevel"/>
    <w:tmpl w:val="56289C7E"/>
    <w:lvl w:ilvl="0" w:tplc="E800DA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5B9E46B-7A05-4F08-A4D5-12B4754F0271}"/>
    <w:docVar w:name="dgnword-eventsink" w:val="636057304"/>
  </w:docVars>
  <w:rsids>
    <w:rsidRoot w:val="004C26C2"/>
    <w:rsid w:val="0000742A"/>
    <w:rsid w:val="00021B94"/>
    <w:rsid w:val="00033894"/>
    <w:rsid w:val="00034EBA"/>
    <w:rsid w:val="00036169"/>
    <w:rsid w:val="000416DE"/>
    <w:rsid w:val="00043681"/>
    <w:rsid w:val="00043E87"/>
    <w:rsid w:val="00044159"/>
    <w:rsid w:val="00045A5B"/>
    <w:rsid w:val="00045BD3"/>
    <w:rsid w:val="0006390C"/>
    <w:rsid w:val="00073382"/>
    <w:rsid w:val="0007599B"/>
    <w:rsid w:val="000830EC"/>
    <w:rsid w:val="00096E7C"/>
    <w:rsid w:val="000A003E"/>
    <w:rsid w:val="000A7A2C"/>
    <w:rsid w:val="000C09B6"/>
    <w:rsid w:val="000C1D31"/>
    <w:rsid w:val="000D6162"/>
    <w:rsid w:val="000E5589"/>
    <w:rsid w:val="000E5DE7"/>
    <w:rsid w:val="00100700"/>
    <w:rsid w:val="001058C5"/>
    <w:rsid w:val="00123C1E"/>
    <w:rsid w:val="00125758"/>
    <w:rsid w:val="0012757A"/>
    <w:rsid w:val="0013495F"/>
    <w:rsid w:val="00135518"/>
    <w:rsid w:val="0013555B"/>
    <w:rsid w:val="0014759E"/>
    <w:rsid w:val="00162720"/>
    <w:rsid w:val="0017085A"/>
    <w:rsid w:val="001746CC"/>
    <w:rsid w:val="00184928"/>
    <w:rsid w:val="00193C1B"/>
    <w:rsid w:val="001A3C63"/>
    <w:rsid w:val="001A7195"/>
    <w:rsid w:val="001B1D81"/>
    <w:rsid w:val="001B4926"/>
    <w:rsid w:val="001B66C0"/>
    <w:rsid w:val="001D2645"/>
    <w:rsid w:val="001E032E"/>
    <w:rsid w:val="001E79CA"/>
    <w:rsid w:val="001F263D"/>
    <w:rsid w:val="001F2745"/>
    <w:rsid w:val="001F41AC"/>
    <w:rsid w:val="001F58BA"/>
    <w:rsid w:val="002001CA"/>
    <w:rsid w:val="00202F93"/>
    <w:rsid w:val="002046AF"/>
    <w:rsid w:val="0024317B"/>
    <w:rsid w:val="002463BB"/>
    <w:rsid w:val="00250B97"/>
    <w:rsid w:val="00253D55"/>
    <w:rsid w:val="0025403F"/>
    <w:rsid w:val="0025434A"/>
    <w:rsid w:val="00260713"/>
    <w:rsid w:val="0026075E"/>
    <w:rsid w:val="002628F6"/>
    <w:rsid w:val="0027121F"/>
    <w:rsid w:val="002737A9"/>
    <w:rsid w:val="00276DFA"/>
    <w:rsid w:val="00281E8E"/>
    <w:rsid w:val="00287907"/>
    <w:rsid w:val="00290001"/>
    <w:rsid w:val="00291F54"/>
    <w:rsid w:val="002A0DF9"/>
    <w:rsid w:val="002A6300"/>
    <w:rsid w:val="002A639D"/>
    <w:rsid w:val="002A7236"/>
    <w:rsid w:val="002B7B78"/>
    <w:rsid w:val="002D3317"/>
    <w:rsid w:val="002D7B58"/>
    <w:rsid w:val="00307C9E"/>
    <w:rsid w:val="0031136F"/>
    <w:rsid w:val="00317106"/>
    <w:rsid w:val="00317EDA"/>
    <w:rsid w:val="00331894"/>
    <w:rsid w:val="00333BB1"/>
    <w:rsid w:val="00340ABD"/>
    <w:rsid w:val="00385E7C"/>
    <w:rsid w:val="003914D8"/>
    <w:rsid w:val="003B2CC6"/>
    <w:rsid w:val="003B4847"/>
    <w:rsid w:val="003D094B"/>
    <w:rsid w:val="003D0E32"/>
    <w:rsid w:val="003E4836"/>
    <w:rsid w:val="004000C5"/>
    <w:rsid w:val="00400888"/>
    <w:rsid w:val="00402062"/>
    <w:rsid w:val="004106D2"/>
    <w:rsid w:val="00411A29"/>
    <w:rsid w:val="00414AE4"/>
    <w:rsid w:val="00420F9A"/>
    <w:rsid w:val="0044687D"/>
    <w:rsid w:val="0044716A"/>
    <w:rsid w:val="0045213F"/>
    <w:rsid w:val="00452F67"/>
    <w:rsid w:val="0045347C"/>
    <w:rsid w:val="00463BC1"/>
    <w:rsid w:val="00470B14"/>
    <w:rsid w:val="00472321"/>
    <w:rsid w:val="004816EF"/>
    <w:rsid w:val="0048400B"/>
    <w:rsid w:val="00487D76"/>
    <w:rsid w:val="004972C5"/>
    <w:rsid w:val="004B3279"/>
    <w:rsid w:val="004B4DDD"/>
    <w:rsid w:val="004C26C2"/>
    <w:rsid w:val="004C47E9"/>
    <w:rsid w:val="004E0A98"/>
    <w:rsid w:val="004E41F0"/>
    <w:rsid w:val="004E74F4"/>
    <w:rsid w:val="004F035D"/>
    <w:rsid w:val="004F14FA"/>
    <w:rsid w:val="004F1B8E"/>
    <w:rsid w:val="004F28DF"/>
    <w:rsid w:val="004F4889"/>
    <w:rsid w:val="004F544D"/>
    <w:rsid w:val="00530349"/>
    <w:rsid w:val="00531603"/>
    <w:rsid w:val="0053527B"/>
    <w:rsid w:val="00540499"/>
    <w:rsid w:val="00541118"/>
    <w:rsid w:val="0054454C"/>
    <w:rsid w:val="00571218"/>
    <w:rsid w:val="00586593"/>
    <w:rsid w:val="005901B9"/>
    <w:rsid w:val="005A69B1"/>
    <w:rsid w:val="005B0CD9"/>
    <w:rsid w:val="005B5F84"/>
    <w:rsid w:val="005C6514"/>
    <w:rsid w:val="005D16DA"/>
    <w:rsid w:val="005D234D"/>
    <w:rsid w:val="005D2775"/>
    <w:rsid w:val="005E33A1"/>
    <w:rsid w:val="005E41B2"/>
    <w:rsid w:val="005E713B"/>
    <w:rsid w:val="005E74A0"/>
    <w:rsid w:val="005F1DE1"/>
    <w:rsid w:val="00601627"/>
    <w:rsid w:val="00607CFA"/>
    <w:rsid w:val="00636543"/>
    <w:rsid w:val="00644602"/>
    <w:rsid w:val="00656EDF"/>
    <w:rsid w:val="006702A0"/>
    <w:rsid w:val="00680501"/>
    <w:rsid w:val="0068405C"/>
    <w:rsid w:val="0069642D"/>
    <w:rsid w:val="00697EE4"/>
    <w:rsid w:val="006A3227"/>
    <w:rsid w:val="006A7C38"/>
    <w:rsid w:val="006C537E"/>
    <w:rsid w:val="006D093B"/>
    <w:rsid w:val="006D1A16"/>
    <w:rsid w:val="006D1BCF"/>
    <w:rsid w:val="006D1BFE"/>
    <w:rsid w:val="006D5688"/>
    <w:rsid w:val="00711419"/>
    <w:rsid w:val="00711E94"/>
    <w:rsid w:val="00715329"/>
    <w:rsid w:val="00720B5A"/>
    <w:rsid w:val="00743A26"/>
    <w:rsid w:val="00756487"/>
    <w:rsid w:val="007739C3"/>
    <w:rsid w:val="00774AF4"/>
    <w:rsid w:val="00776772"/>
    <w:rsid w:val="007772C6"/>
    <w:rsid w:val="007776F9"/>
    <w:rsid w:val="007806F5"/>
    <w:rsid w:val="007B1A1A"/>
    <w:rsid w:val="007C42C4"/>
    <w:rsid w:val="007C5F1B"/>
    <w:rsid w:val="007D6E13"/>
    <w:rsid w:val="007E0DFE"/>
    <w:rsid w:val="007F54DF"/>
    <w:rsid w:val="008024EC"/>
    <w:rsid w:val="00803720"/>
    <w:rsid w:val="00825C44"/>
    <w:rsid w:val="00826FC6"/>
    <w:rsid w:val="008379E4"/>
    <w:rsid w:val="00846E98"/>
    <w:rsid w:val="00850ED2"/>
    <w:rsid w:val="0085256A"/>
    <w:rsid w:val="008750AD"/>
    <w:rsid w:val="00894799"/>
    <w:rsid w:val="008A17C2"/>
    <w:rsid w:val="008A29E6"/>
    <w:rsid w:val="008B4FF8"/>
    <w:rsid w:val="008C14B6"/>
    <w:rsid w:val="008D1E34"/>
    <w:rsid w:val="008D73D8"/>
    <w:rsid w:val="008E3846"/>
    <w:rsid w:val="008E7A21"/>
    <w:rsid w:val="00910087"/>
    <w:rsid w:val="00910542"/>
    <w:rsid w:val="009177CA"/>
    <w:rsid w:val="009352CA"/>
    <w:rsid w:val="0093544F"/>
    <w:rsid w:val="00943B82"/>
    <w:rsid w:val="009441BA"/>
    <w:rsid w:val="00965677"/>
    <w:rsid w:val="009702C5"/>
    <w:rsid w:val="00980084"/>
    <w:rsid w:val="00981116"/>
    <w:rsid w:val="00981BBB"/>
    <w:rsid w:val="0098709F"/>
    <w:rsid w:val="00987DCF"/>
    <w:rsid w:val="00992E80"/>
    <w:rsid w:val="0099770B"/>
    <w:rsid w:val="009A01F9"/>
    <w:rsid w:val="009A73A6"/>
    <w:rsid w:val="009B1EFE"/>
    <w:rsid w:val="009C14D4"/>
    <w:rsid w:val="009C665C"/>
    <w:rsid w:val="009D628B"/>
    <w:rsid w:val="009D7277"/>
    <w:rsid w:val="009E0386"/>
    <w:rsid w:val="009E2E3B"/>
    <w:rsid w:val="009F7988"/>
    <w:rsid w:val="00A06577"/>
    <w:rsid w:val="00A50414"/>
    <w:rsid w:val="00A567DD"/>
    <w:rsid w:val="00A6180F"/>
    <w:rsid w:val="00A66D96"/>
    <w:rsid w:val="00A752EF"/>
    <w:rsid w:val="00AA5F39"/>
    <w:rsid w:val="00AB0306"/>
    <w:rsid w:val="00AC4FDF"/>
    <w:rsid w:val="00AD18AA"/>
    <w:rsid w:val="00AD24B0"/>
    <w:rsid w:val="00AD2C61"/>
    <w:rsid w:val="00AD60B2"/>
    <w:rsid w:val="00AE164C"/>
    <w:rsid w:val="00AE17BB"/>
    <w:rsid w:val="00AE1F4C"/>
    <w:rsid w:val="00AE4531"/>
    <w:rsid w:val="00B0569D"/>
    <w:rsid w:val="00B066E2"/>
    <w:rsid w:val="00B11683"/>
    <w:rsid w:val="00B16BC6"/>
    <w:rsid w:val="00B54CB2"/>
    <w:rsid w:val="00B6120B"/>
    <w:rsid w:val="00B7455A"/>
    <w:rsid w:val="00B90690"/>
    <w:rsid w:val="00B96898"/>
    <w:rsid w:val="00BA0431"/>
    <w:rsid w:val="00BA1ABE"/>
    <w:rsid w:val="00BB0BCD"/>
    <w:rsid w:val="00BB7BAE"/>
    <w:rsid w:val="00BC55FE"/>
    <w:rsid w:val="00BD44B1"/>
    <w:rsid w:val="00BE05EB"/>
    <w:rsid w:val="00C0664F"/>
    <w:rsid w:val="00C1093D"/>
    <w:rsid w:val="00C14FB3"/>
    <w:rsid w:val="00C62E81"/>
    <w:rsid w:val="00C73F88"/>
    <w:rsid w:val="00C740E7"/>
    <w:rsid w:val="00C82765"/>
    <w:rsid w:val="00C8675C"/>
    <w:rsid w:val="00C97EE8"/>
    <w:rsid w:val="00CA4960"/>
    <w:rsid w:val="00CB237F"/>
    <w:rsid w:val="00CB43FE"/>
    <w:rsid w:val="00CB5E32"/>
    <w:rsid w:val="00CB60BE"/>
    <w:rsid w:val="00CC1D03"/>
    <w:rsid w:val="00CC20C8"/>
    <w:rsid w:val="00CC684B"/>
    <w:rsid w:val="00CE2833"/>
    <w:rsid w:val="00CE7901"/>
    <w:rsid w:val="00CF28DE"/>
    <w:rsid w:val="00CF3C8D"/>
    <w:rsid w:val="00D05573"/>
    <w:rsid w:val="00D12803"/>
    <w:rsid w:val="00D42E6E"/>
    <w:rsid w:val="00D47F7C"/>
    <w:rsid w:val="00D656BA"/>
    <w:rsid w:val="00D75D68"/>
    <w:rsid w:val="00D81214"/>
    <w:rsid w:val="00D84C5B"/>
    <w:rsid w:val="00D93869"/>
    <w:rsid w:val="00DA11AE"/>
    <w:rsid w:val="00DB3BB6"/>
    <w:rsid w:val="00DC1CE6"/>
    <w:rsid w:val="00DD0627"/>
    <w:rsid w:val="00DD486C"/>
    <w:rsid w:val="00DD6BF6"/>
    <w:rsid w:val="00DD794C"/>
    <w:rsid w:val="00DE113F"/>
    <w:rsid w:val="00DE2C62"/>
    <w:rsid w:val="00DE4D83"/>
    <w:rsid w:val="00DF4926"/>
    <w:rsid w:val="00DF6456"/>
    <w:rsid w:val="00E1644F"/>
    <w:rsid w:val="00E24F02"/>
    <w:rsid w:val="00E36DF6"/>
    <w:rsid w:val="00E45363"/>
    <w:rsid w:val="00E5048D"/>
    <w:rsid w:val="00E61154"/>
    <w:rsid w:val="00E6128A"/>
    <w:rsid w:val="00E725A1"/>
    <w:rsid w:val="00E76C9C"/>
    <w:rsid w:val="00E76D4C"/>
    <w:rsid w:val="00E84BEB"/>
    <w:rsid w:val="00E92ACE"/>
    <w:rsid w:val="00EA0033"/>
    <w:rsid w:val="00EB7022"/>
    <w:rsid w:val="00EC4135"/>
    <w:rsid w:val="00EC4845"/>
    <w:rsid w:val="00ED035A"/>
    <w:rsid w:val="00EE39C9"/>
    <w:rsid w:val="00EF008F"/>
    <w:rsid w:val="00EF5E7A"/>
    <w:rsid w:val="00F00013"/>
    <w:rsid w:val="00F054FE"/>
    <w:rsid w:val="00F22EE2"/>
    <w:rsid w:val="00F31DE6"/>
    <w:rsid w:val="00F36B76"/>
    <w:rsid w:val="00F37ABB"/>
    <w:rsid w:val="00F43C12"/>
    <w:rsid w:val="00F446AD"/>
    <w:rsid w:val="00F473E9"/>
    <w:rsid w:val="00F55DE2"/>
    <w:rsid w:val="00F71D8F"/>
    <w:rsid w:val="00F8255A"/>
    <w:rsid w:val="00FA0D17"/>
    <w:rsid w:val="00FB1353"/>
    <w:rsid w:val="00FB6138"/>
    <w:rsid w:val="00FC4170"/>
    <w:rsid w:val="00FD24CB"/>
    <w:rsid w:val="00FD5854"/>
    <w:rsid w:val="00FD5CFA"/>
    <w:rsid w:val="00FD6D9F"/>
    <w:rsid w:val="00FD793D"/>
    <w:rsid w:val="00FE1DC7"/>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1288"/>
  <w15:chartTrackingRefBased/>
  <w15:docId w15:val="{1FBFBD02-B2ED-4FD3-85DA-41359435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1D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DC7"/>
    <w:rPr>
      <w:sz w:val="20"/>
      <w:szCs w:val="20"/>
    </w:rPr>
  </w:style>
  <w:style w:type="character" w:styleId="FootnoteReference">
    <w:name w:val="footnote reference"/>
    <w:basedOn w:val="DefaultParagraphFont"/>
    <w:uiPriority w:val="99"/>
    <w:semiHidden/>
    <w:unhideWhenUsed/>
    <w:rsid w:val="00FE1DC7"/>
    <w:rPr>
      <w:vertAlign w:val="superscript"/>
    </w:rPr>
  </w:style>
  <w:style w:type="paragraph" w:styleId="Header">
    <w:name w:val="header"/>
    <w:basedOn w:val="Normal"/>
    <w:link w:val="HeaderChar"/>
    <w:uiPriority w:val="99"/>
    <w:unhideWhenUsed/>
    <w:rsid w:val="00BA0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431"/>
  </w:style>
  <w:style w:type="paragraph" w:styleId="Footer">
    <w:name w:val="footer"/>
    <w:basedOn w:val="Normal"/>
    <w:link w:val="FooterChar"/>
    <w:uiPriority w:val="99"/>
    <w:unhideWhenUsed/>
    <w:rsid w:val="00BA0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431"/>
  </w:style>
  <w:style w:type="paragraph" w:styleId="ListParagraph">
    <w:name w:val="List Paragraph"/>
    <w:basedOn w:val="Normal"/>
    <w:uiPriority w:val="34"/>
    <w:qFormat/>
    <w:rsid w:val="00FA0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8190</Words>
  <Characters>46689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Sher</dc:creator>
  <cp:keywords/>
  <dc:description/>
  <cp:lastModifiedBy>Mokone</cp:lastModifiedBy>
  <cp:revision>3</cp:revision>
  <dcterms:created xsi:type="dcterms:W3CDTF">2023-02-17T07:17:00Z</dcterms:created>
  <dcterms:modified xsi:type="dcterms:W3CDTF">2023-02-17T07:21:00Z</dcterms:modified>
</cp:coreProperties>
</file>