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26788" w14:textId="77777777" w:rsidR="006724F1" w:rsidRPr="00725C7B" w:rsidRDefault="006724F1" w:rsidP="006724F1">
      <w:pPr>
        <w:spacing w:line="360" w:lineRule="auto"/>
        <w:ind w:left="720"/>
        <w:jc w:val="both"/>
        <w:rPr>
          <w:noProof/>
          <w:color w:val="1F497D"/>
          <w:sz w:val="16"/>
          <w:szCs w:val="16"/>
          <w:lang w:eastAsia="en-ZA"/>
        </w:rPr>
      </w:pPr>
      <w:bookmarkStart w:id="0" w:name="_GoBack"/>
      <w:bookmarkEnd w:id="0"/>
      <w:r>
        <w:rPr>
          <w:noProof/>
          <w:lang w:eastAsia="en-ZA"/>
        </w:rPr>
        <w:drawing>
          <wp:anchor distT="0" distB="0" distL="114300" distR="114300" simplePos="0" relativeHeight="251659264" behindDoc="1" locked="0" layoutInCell="1" allowOverlap="1" wp14:anchorId="0EC5B416" wp14:editId="519A6903">
            <wp:simplePos x="0" y="0"/>
            <wp:positionH relativeFrom="column">
              <wp:posOffset>2131695</wp:posOffset>
            </wp:positionH>
            <wp:positionV relativeFrom="paragraph">
              <wp:posOffset>-696595</wp:posOffset>
            </wp:positionV>
            <wp:extent cx="1247775" cy="1247775"/>
            <wp:effectExtent l="0" t="0" r="9525" b="9525"/>
            <wp:wrapNone/>
            <wp:docPr id="1" name="Picture 1" descr="cid:image005.png@01D12061.663682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png@01D12061.663682A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6ACF3B" w14:textId="77777777" w:rsidR="006724F1" w:rsidRPr="00725C7B" w:rsidRDefault="006724F1" w:rsidP="006724F1">
      <w:pPr>
        <w:spacing w:line="360" w:lineRule="auto"/>
        <w:ind w:left="720"/>
        <w:jc w:val="both"/>
        <w:rPr>
          <w:b/>
          <w:bCs/>
        </w:rPr>
      </w:pPr>
    </w:p>
    <w:p w14:paraId="739CE9F7" w14:textId="77777777" w:rsidR="006724F1" w:rsidRDefault="006724F1" w:rsidP="006724F1">
      <w:pPr>
        <w:spacing w:line="360" w:lineRule="auto"/>
        <w:ind w:left="720"/>
        <w:jc w:val="both"/>
        <w:rPr>
          <w:b/>
          <w:bCs/>
        </w:rPr>
      </w:pPr>
    </w:p>
    <w:p w14:paraId="65C89945" w14:textId="77777777" w:rsidR="006724F1" w:rsidRPr="003B461A" w:rsidRDefault="006724F1" w:rsidP="00F4257E">
      <w:pPr>
        <w:spacing w:line="360" w:lineRule="auto"/>
        <w:jc w:val="center"/>
      </w:pPr>
      <w:r w:rsidRPr="003B461A">
        <w:rPr>
          <w:b/>
          <w:bCs/>
        </w:rPr>
        <w:t>IN THE HIGH COURT OF SOUTH AFRICA</w:t>
      </w:r>
    </w:p>
    <w:p w14:paraId="5BACE5AC" w14:textId="77777777" w:rsidR="006724F1" w:rsidRPr="003B461A" w:rsidRDefault="006724F1" w:rsidP="00F4257E">
      <w:pPr>
        <w:spacing w:line="276" w:lineRule="auto"/>
        <w:jc w:val="center"/>
        <w:rPr>
          <w:b/>
          <w:bCs/>
        </w:rPr>
      </w:pPr>
      <w:r w:rsidRPr="003B461A">
        <w:rPr>
          <w:b/>
          <w:bCs/>
        </w:rPr>
        <w:t>(WESTERN CAPE DIVISION, CAPE TOWN)</w:t>
      </w:r>
    </w:p>
    <w:p w14:paraId="12F3F01F" w14:textId="77777777" w:rsidR="008A5E0B" w:rsidRDefault="008A5E0B" w:rsidP="008A5E0B">
      <w:pPr>
        <w:spacing w:line="360" w:lineRule="auto"/>
        <w:rPr>
          <w:b/>
          <w:bCs/>
        </w:rPr>
      </w:pPr>
    </w:p>
    <w:p w14:paraId="20FA6083" w14:textId="61532EB4" w:rsidR="007F1B92" w:rsidRPr="00633F4F" w:rsidRDefault="008A5E0B" w:rsidP="007F1B92">
      <w:pPr>
        <w:tabs>
          <w:tab w:val="right" w:pos="8373"/>
        </w:tabs>
        <w:ind w:right="-11"/>
        <w:jc w:val="right"/>
      </w:pPr>
      <w:r>
        <w:rPr>
          <w:b/>
        </w:rPr>
        <w:t xml:space="preserve"> </w:t>
      </w:r>
      <w:r w:rsidR="00092029">
        <w:rPr>
          <w:b/>
        </w:rPr>
        <w:t xml:space="preserve">                                                                            </w:t>
      </w:r>
      <w:r w:rsidRPr="006F6785">
        <w:t xml:space="preserve">                      </w:t>
      </w:r>
      <w:r w:rsidR="006944F8">
        <w:t xml:space="preserve">  </w:t>
      </w:r>
      <w:r w:rsidR="007F1B92" w:rsidRPr="00633F4F">
        <w:t xml:space="preserve">Case No: </w:t>
      </w:r>
      <w:r w:rsidR="0090195C">
        <w:rPr>
          <w:b/>
          <w:bCs/>
        </w:rPr>
        <w:t>16768</w:t>
      </w:r>
      <w:r w:rsidR="007F1B92" w:rsidRPr="00633F4F">
        <w:rPr>
          <w:b/>
          <w:bCs/>
        </w:rPr>
        <w:t>/202</w:t>
      </w:r>
      <w:r w:rsidR="007F1B92">
        <w:rPr>
          <w:b/>
          <w:bCs/>
        </w:rPr>
        <w:t>3</w:t>
      </w:r>
    </w:p>
    <w:p w14:paraId="7CAC1820" w14:textId="7C77F4E1" w:rsidR="006944F8" w:rsidRDefault="006944F8" w:rsidP="006944F8">
      <w:pPr>
        <w:tabs>
          <w:tab w:val="right" w:pos="8373"/>
        </w:tabs>
        <w:jc w:val="right"/>
        <w:rPr>
          <w:b/>
          <w:bCs/>
        </w:rPr>
      </w:pPr>
    </w:p>
    <w:p w14:paraId="442E40B3" w14:textId="77777777" w:rsidR="005E4ACC" w:rsidRDefault="005E4ACC" w:rsidP="006944F8">
      <w:pPr>
        <w:tabs>
          <w:tab w:val="right" w:pos="8373"/>
        </w:tabs>
        <w:jc w:val="right"/>
        <w:rPr>
          <w:b/>
          <w:bCs/>
        </w:rPr>
      </w:pPr>
    </w:p>
    <w:p w14:paraId="63F25839" w14:textId="30FE7F40" w:rsidR="005E4ACC" w:rsidRPr="00633F4F" w:rsidRDefault="005E4ACC" w:rsidP="005E4ACC">
      <w:pPr>
        <w:tabs>
          <w:tab w:val="right" w:pos="8373"/>
        </w:tabs>
      </w:pPr>
      <w:r>
        <w:t xml:space="preserve">In the </w:t>
      </w:r>
      <w:r w:rsidR="0090195C">
        <w:t>Rule 30 application</w:t>
      </w:r>
      <w:r>
        <w:t xml:space="preserve"> between:</w:t>
      </w:r>
    </w:p>
    <w:p w14:paraId="71267956" w14:textId="77777777" w:rsidR="006944F8" w:rsidRDefault="006944F8" w:rsidP="006944F8"/>
    <w:p w14:paraId="32922CAF" w14:textId="134A8955" w:rsidR="0090195C" w:rsidRDefault="00A83906" w:rsidP="007F1B92">
      <w:r>
        <w:rPr>
          <w:b/>
        </w:rPr>
        <w:t>IP</w:t>
      </w:r>
      <w:r w:rsidR="0090195C" w:rsidRPr="0090195C">
        <w:t xml:space="preserve"> </w:t>
      </w:r>
      <w:r w:rsidR="0090195C">
        <w:t xml:space="preserve">                                                                               </w:t>
      </w:r>
      <w:r>
        <w:tab/>
      </w:r>
      <w:r>
        <w:tab/>
      </w:r>
      <w:r>
        <w:tab/>
      </w:r>
      <w:r>
        <w:tab/>
        <w:t xml:space="preserve">  </w:t>
      </w:r>
      <w:r w:rsidR="0090195C">
        <w:t xml:space="preserve">Applicant    </w:t>
      </w:r>
    </w:p>
    <w:p w14:paraId="37F6CBF7" w14:textId="11FB9B26" w:rsidR="0090195C" w:rsidRDefault="0090195C" w:rsidP="007F1B92"/>
    <w:p w14:paraId="7C7BC12A" w14:textId="32AE6996" w:rsidR="0090195C" w:rsidRDefault="0090195C" w:rsidP="007F1B92"/>
    <w:p w14:paraId="0CAB4318" w14:textId="77777777" w:rsidR="0090195C" w:rsidRPr="003B461A" w:rsidRDefault="0090195C" w:rsidP="0090195C">
      <w:pPr>
        <w:tabs>
          <w:tab w:val="right" w:pos="8460"/>
        </w:tabs>
        <w:spacing w:line="360" w:lineRule="auto"/>
        <w:jc w:val="both"/>
      </w:pPr>
      <w:r w:rsidRPr="003B461A">
        <w:t>and</w:t>
      </w:r>
    </w:p>
    <w:p w14:paraId="681566BF" w14:textId="1813A3A0" w:rsidR="0090195C" w:rsidRDefault="0090195C" w:rsidP="007F1B92"/>
    <w:p w14:paraId="1EFCEC95" w14:textId="77777777" w:rsidR="0090195C" w:rsidRPr="00633F4F" w:rsidRDefault="0090195C" w:rsidP="007F1B92"/>
    <w:p w14:paraId="400499B9" w14:textId="4026971C" w:rsidR="0090195C" w:rsidRDefault="0090195C" w:rsidP="0090195C">
      <w:pPr>
        <w:tabs>
          <w:tab w:val="right" w:pos="10421"/>
        </w:tabs>
        <w:spacing w:line="360" w:lineRule="auto"/>
        <w:jc w:val="both"/>
      </w:pPr>
      <w:r>
        <w:rPr>
          <w:b/>
        </w:rPr>
        <w:t>NP</w:t>
      </w:r>
      <w:r w:rsidRPr="003B461A">
        <w:rPr>
          <w:b/>
        </w:rPr>
        <w:tab/>
        <w:t xml:space="preserve">      </w:t>
      </w:r>
      <w:r>
        <w:rPr>
          <w:b/>
        </w:rPr>
        <w:t xml:space="preserve">            </w:t>
      </w:r>
      <w:r>
        <w:t xml:space="preserve">Respondent   </w:t>
      </w:r>
    </w:p>
    <w:p w14:paraId="50542D54" w14:textId="2E649451" w:rsidR="0090195C" w:rsidRDefault="0090195C" w:rsidP="0090195C">
      <w:pPr>
        <w:tabs>
          <w:tab w:val="left" w:pos="-1076"/>
          <w:tab w:val="left" w:pos="-720"/>
          <w:tab w:val="left" w:pos="0"/>
          <w:tab w:val="left" w:pos="720"/>
          <w:tab w:val="left" w:pos="1440"/>
          <w:tab w:val="left" w:pos="2160"/>
          <w:tab w:val="left" w:pos="2880"/>
          <w:tab w:val="left" w:pos="3600"/>
          <w:tab w:val="left" w:pos="4320"/>
          <w:tab w:val="left" w:pos="5040"/>
          <w:tab w:val="left" w:pos="5817"/>
          <w:tab w:val="left" w:pos="6237"/>
          <w:tab w:val="left" w:pos="6859"/>
          <w:tab w:val="left" w:pos="7920"/>
        </w:tabs>
        <w:spacing w:line="480" w:lineRule="auto"/>
        <w:rPr>
          <w:b/>
        </w:rPr>
      </w:pPr>
    </w:p>
    <w:p w14:paraId="639AA7A3" w14:textId="133A6013" w:rsidR="0090195C" w:rsidRDefault="0090195C" w:rsidP="0090195C">
      <w:pPr>
        <w:tabs>
          <w:tab w:val="left" w:pos="-1076"/>
          <w:tab w:val="left" w:pos="-720"/>
          <w:tab w:val="left" w:pos="0"/>
          <w:tab w:val="left" w:pos="720"/>
          <w:tab w:val="left" w:pos="1440"/>
          <w:tab w:val="left" w:pos="2160"/>
          <w:tab w:val="left" w:pos="2880"/>
          <w:tab w:val="left" w:pos="3600"/>
          <w:tab w:val="left" w:pos="4320"/>
          <w:tab w:val="left" w:pos="5040"/>
          <w:tab w:val="left" w:pos="5817"/>
          <w:tab w:val="left" w:pos="6237"/>
          <w:tab w:val="left" w:pos="6859"/>
          <w:tab w:val="left" w:pos="7920"/>
        </w:tabs>
        <w:spacing w:line="480" w:lineRule="auto"/>
        <w:rPr>
          <w:b/>
          <w:u w:val="single"/>
        </w:rPr>
      </w:pPr>
      <w:r>
        <w:rPr>
          <w:b/>
          <w:u w:val="single"/>
        </w:rPr>
        <w:t>IN RE</w:t>
      </w:r>
    </w:p>
    <w:p w14:paraId="4EC107AF" w14:textId="77777777" w:rsidR="0090195C" w:rsidRDefault="0090195C" w:rsidP="0090195C">
      <w:pPr>
        <w:tabs>
          <w:tab w:val="left" w:pos="-1076"/>
          <w:tab w:val="left" w:pos="-720"/>
          <w:tab w:val="left" w:pos="0"/>
          <w:tab w:val="left" w:pos="720"/>
          <w:tab w:val="left" w:pos="1440"/>
          <w:tab w:val="left" w:pos="2160"/>
          <w:tab w:val="left" w:pos="2880"/>
          <w:tab w:val="left" w:pos="3600"/>
          <w:tab w:val="left" w:pos="4320"/>
          <w:tab w:val="left" w:pos="5040"/>
          <w:tab w:val="left" w:pos="5817"/>
          <w:tab w:val="left" w:pos="6237"/>
          <w:tab w:val="left" w:pos="6859"/>
          <w:tab w:val="left" w:pos="7920"/>
        </w:tabs>
        <w:spacing w:line="480" w:lineRule="auto"/>
      </w:pPr>
    </w:p>
    <w:p w14:paraId="41846E1A" w14:textId="0259EC0B" w:rsidR="0090195C" w:rsidRDefault="0090195C" w:rsidP="0090195C">
      <w:pPr>
        <w:tabs>
          <w:tab w:val="left" w:pos="-1076"/>
          <w:tab w:val="left" w:pos="-720"/>
          <w:tab w:val="left" w:pos="0"/>
          <w:tab w:val="left" w:pos="720"/>
          <w:tab w:val="left" w:pos="1440"/>
          <w:tab w:val="left" w:pos="2160"/>
          <w:tab w:val="left" w:pos="2880"/>
          <w:tab w:val="left" w:pos="3600"/>
          <w:tab w:val="left" w:pos="4320"/>
          <w:tab w:val="left" w:pos="5040"/>
          <w:tab w:val="left" w:pos="5817"/>
          <w:tab w:val="left" w:pos="6237"/>
          <w:tab w:val="left" w:pos="6859"/>
          <w:tab w:val="left" w:pos="7920"/>
        </w:tabs>
        <w:spacing w:line="480" w:lineRule="auto"/>
      </w:pPr>
      <w:r>
        <w:t>In the Rule 43 application between:</w:t>
      </w:r>
    </w:p>
    <w:p w14:paraId="516105F2" w14:textId="5D5ACAB4" w:rsidR="0090195C" w:rsidRDefault="0090195C" w:rsidP="0090195C">
      <w:r>
        <w:rPr>
          <w:b/>
        </w:rPr>
        <w:t>NP</w:t>
      </w:r>
      <w:r w:rsidR="00A83906">
        <w:rPr>
          <w:b/>
        </w:rPr>
        <w:t xml:space="preserve">                                               </w:t>
      </w:r>
      <w:r w:rsidRPr="0090195C">
        <w:t xml:space="preserve"> </w:t>
      </w:r>
      <w:r>
        <w:t xml:space="preserve">                                                                    Applicant    </w:t>
      </w:r>
    </w:p>
    <w:p w14:paraId="122DE9F6" w14:textId="77777777" w:rsidR="0090195C" w:rsidRDefault="0090195C" w:rsidP="0090195C"/>
    <w:p w14:paraId="06753C11" w14:textId="77777777" w:rsidR="0090195C" w:rsidRDefault="0090195C" w:rsidP="0090195C"/>
    <w:p w14:paraId="5A8E0668" w14:textId="77777777" w:rsidR="0090195C" w:rsidRPr="003B461A" w:rsidRDefault="0090195C" w:rsidP="0090195C">
      <w:pPr>
        <w:tabs>
          <w:tab w:val="right" w:pos="8460"/>
        </w:tabs>
        <w:spacing w:line="360" w:lineRule="auto"/>
        <w:jc w:val="both"/>
      </w:pPr>
      <w:r w:rsidRPr="003B461A">
        <w:t>and</w:t>
      </w:r>
    </w:p>
    <w:p w14:paraId="1598A065" w14:textId="77777777" w:rsidR="0090195C" w:rsidRDefault="0090195C" w:rsidP="0090195C"/>
    <w:p w14:paraId="1BD4FFAC" w14:textId="429BAA84" w:rsidR="0090195C" w:rsidRDefault="0090195C" w:rsidP="0090195C">
      <w:r>
        <w:rPr>
          <w:b/>
        </w:rPr>
        <w:t>IP</w:t>
      </w:r>
      <w:r w:rsidR="00A83906">
        <w:rPr>
          <w:b/>
        </w:rPr>
        <w:t xml:space="preserve"> </w:t>
      </w:r>
      <w:r>
        <w:rPr>
          <w:b/>
        </w:rPr>
        <w:t xml:space="preserve">                                                          </w:t>
      </w:r>
      <w:r w:rsidRPr="003B461A">
        <w:rPr>
          <w:b/>
        </w:rPr>
        <w:t xml:space="preserve">      </w:t>
      </w:r>
      <w:r>
        <w:rPr>
          <w:b/>
        </w:rPr>
        <w:t xml:space="preserve">            </w:t>
      </w:r>
      <w:r w:rsidR="00A83906">
        <w:rPr>
          <w:b/>
        </w:rPr>
        <w:t xml:space="preserve">                                    </w:t>
      </w:r>
      <w:r>
        <w:t xml:space="preserve">Respondent   </w:t>
      </w:r>
    </w:p>
    <w:p w14:paraId="34010B0C" w14:textId="2711A32D" w:rsidR="0090195C" w:rsidRDefault="0090195C" w:rsidP="0090195C">
      <w:pPr>
        <w:tabs>
          <w:tab w:val="left" w:pos="-1076"/>
          <w:tab w:val="left" w:pos="-720"/>
          <w:tab w:val="left" w:pos="0"/>
          <w:tab w:val="left" w:pos="720"/>
          <w:tab w:val="left" w:pos="1440"/>
          <w:tab w:val="left" w:pos="2160"/>
          <w:tab w:val="left" w:pos="2880"/>
          <w:tab w:val="left" w:pos="3600"/>
          <w:tab w:val="left" w:pos="4320"/>
          <w:tab w:val="left" w:pos="5040"/>
          <w:tab w:val="left" w:pos="5817"/>
          <w:tab w:val="left" w:pos="6237"/>
          <w:tab w:val="left" w:pos="6859"/>
          <w:tab w:val="left" w:pos="7920"/>
        </w:tabs>
        <w:spacing w:line="480" w:lineRule="auto"/>
      </w:pPr>
    </w:p>
    <w:p w14:paraId="6AADCAB0" w14:textId="77777777" w:rsidR="0090195C" w:rsidRPr="0090195C" w:rsidRDefault="0090195C" w:rsidP="0090195C">
      <w:pPr>
        <w:tabs>
          <w:tab w:val="left" w:pos="-1076"/>
          <w:tab w:val="left" w:pos="-720"/>
          <w:tab w:val="left" w:pos="0"/>
          <w:tab w:val="left" w:pos="720"/>
          <w:tab w:val="left" w:pos="1440"/>
          <w:tab w:val="left" w:pos="2160"/>
          <w:tab w:val="left" w:pos="2880"/>
          <w:tab w:val="left" w:pos="3600"/>
          <w:tab w:val="left" w:pos="4320"/>
          <w:tab w:val="left" w:pos="5040"/>
          <w:tab w:val="left" w:pos="5817"/>
          <w:tab w:val="left" w:pos="6237"/>
          <w:tab w:val="left" w:pos="6859"/>
          <w:tab w:val="left" w:pos="7920"/>
        </w:tabs>
        <w:spacing w:line="480" w:lineRule="auto"/>
      </w:pPr>
    </w:p>
    <w:p w14:paraId="16065D65" w14:textId="0B8A365C" w:rsidR="007E0C13" w:rsidRPr="00E4144F" w:rsidRDefault="00D77613" w:rsidP="0090195C">
      <w:pPr>
        <w:tabs>
          <w:tab w:val="left" w:pos="-1076"/>
          <w:tab w:val="left" w:pos="-720"/>
          <w:tab w:val="left" w:pos="0"/>
          <w:tab w:val="left" w:pos="720"/>
          <w:tab w:val="left" w:pos="1440"/>
          <w:tab w:val="left" w:pos="2160"/>
          <w:tab w:val="left" w:pos="2880"/>
          <w:tab w:val="left" w:pos="3600"/>
          <w:tab w:val="left" w:pos="4320"/>
          <w:tab w:val="left" w:pos="5040"/>
          <w:tab w:val="left" w:pos="5817"/>
          <w:tab w:val="left" w:pos="6237"/>
          <w:tab w:val="left" w:pos="6859"/>
          <w:tab w:val="left" w:pos="7920"/>
        </w:tabs>
        <w:spacing w:line="480" w:lineRule="auto"/>
      </w:pPr>
      <w:r w:rsidRPr="00E33BD4">
        <w:rPr>
          <w:b/>
        </w:rPr>
        <w:t>Coram:</w:t>
      </w:r>
      <w:r w:rsidR="00166F0F">
        <w:t xml:space="preserve"> </w:t>
      </w:r>
      <w:r w:rsidR="00AF631F">
        <w:t>Justice J Cloete</w:t>
      </w:r>
    </w:p>
    <w:p w14:paraId="0D39AB4F" w14:textId="346D3A66" w:rsidR="007E0C13" w:rsidRDefault="00D77613" w:rsidP="004C3172">
      <w:pPr>
        <w:tabs>
          <w:tab w:val="right" w:pos="9072"/>
        </w:tabs>
        <w:spacing w:line="480" w:lineRule="auto"/>
        <w:jc w:val="both"/>
      </w:pPr>
      <w:r w:rsidRPr="00E33BD4">
        <w:rPr>
          <w:b/>
        </w:rPr>
        <w:t>Heard:</w:t>
      </w:r>
      <w:r w:rsidR="00166F0F">
        <w:t xml:space="preserve"> </w:t>
      </w:r>
      <w:r w:rsidR="004E1D8B">
        <w:t>17</w:t>
      </w:r>
      <w:r w:rsidR="003B4C36">
        <w:t xml:space="preserve"> November </w:t>
      </w:r>
      <w:r w:rsidR="005E4ACC">
        <w:t>2023</w:t>
      </w:r>
    </w:p>
    <w:p w14:paraId="786DB157" w14:textId="528E48EC" w:rsidR="00313AFF" w:rsidRDefault="00313AFF" w:rsidP="004C3172">
      <w:pPr>
        <w:tabs>
          <w:tab w:val="right" w:pos="9072"/>
        </w:tabs>
        <w:spacing w:line="480" w:lineRule="auto"/>
        <w:jc w:val="both"/>
      </w:pPr>
      <w:r>
        <w:rPr>
          <w:b/>
        </w:rPr>
        <w:t>Delivered</w:t>
      </w:r>
      <w:r w:rsidR="001B7B6F">
        <w:rPr>
          <w:b/>
        </w:rPr>
        <w:t xml:space="preserve"> electronically</w:t>
      </w:r>
      <w:r>
        <w:rPr>
          <w:b/>
        </w:rPr>
        <w:t>:</w:t>
      </w:r>
      <w:r>
        <w:t xml:space="preserve"> </w:t>
      </w:r>
      <w:r w:rsidR="00C6728C">
        <w:t>20 November 2023</w:t>
      </w:r>
    </w:p>
    <w:p w14:paraId="7AF70037" w14:textId="70D047B2" w:rsidR="003B4C36" w:rsidRDefault="003B4C36" w:rsidP="004C3172">
      <w:pPr>
        <w:tabs>
          <w:tab w:val="right" w:pos="9072"/>
        </w:tabs>
        <w:spacing w:line="480" w:lineRule="auto"/>
        <w:jc w:val="both"/>
      </w:pPr>
    </w:p>
    <w:p w14:paraId="015B727A" w14:textId="77777777" w:rsidR="003B4C36" w:rsidRDefault="003B4C36" w:rsidP="004C3172">
      <w:pPr>
        <w:tabs>
          <w:tab w:val="right" w:pos="9072"/>
        </w:tabs>
        <w:spacing w:line="480" w:lineRule="auto"/>
        <w:jc w:val="both"/>
      </w:pPr>
    </w:p>
    <w:p w14:paraId="233946ED" w14:textId="77777777" w:rsidR="007E0C13" w:rsidRPr="003B461A" w:rsidRDefault="007E0C13" w:rsidP="003B461A">
      <w:pPr>
        <w:pBdr>
          <w:bottom w:val="single" w:sz="4" w:space="1" w:color="auto"/>
        </w:pBdr>
        <w:tabs>
          <w:tab w:val="right" w:pos="8400"/>
        </w:tabs>
        <w:spacing w:before="60" w:after="60"/>
        <w:jc w:val="both"/>
        <w:rPr>
          <w:sz w:val="26"/>
          <w:szCs w:val="26"/>
        </w:rPr>
      </w:pPr>
    </w:p>
    <w:p w14:paraId="6762B05C" w14:textId="77777777" w:rsidR="007E0C13" w:rsidRPr="003B461A" w:rsidRDefault="007E0C13" w:rsidP="003B461A">
      <w:pPr>
        <w:tabs>
          <w:tab w:val="right" w:pos="8400"/>
        </w:tabs>
        <w:spacing w:before="60" w:after="60"/>
        <w:jc w:val="both"/>
        <w:rPr>
          <w:sz w:val="26"/>
          <w:szCs w:val="26"/>
        </w:rPr>
      </w:pPr>
    </w:p>
    <w:p w14:paraId="5014B773" w14:textId="2C87BB93" w:rsidR="007E0C13" w:rsidRPr="003B461A" w:rsidRDefault="002D1856" w:rsidP="00D77613">
      <w:pPr>
        <w:tabs>
          <w:tab w:val="right" w:pos="8400"/>
        </w:tabs>
        <w:spacing w:before="60" w:after="60"/>
        <w:jc w:val="center"/>
        <w:rPr>
          <w:b/>
          <w:sz w:val="26"/>
          <w:szCs w:val="26"/>
        </w:rPr>
      </w:pPr>
      <w:r>
        <w:rPr>
          <w:b/>
          <w:sz w:val="26"/>
          <w:szCs w:val="26"/>
        </w:rPr>
        <w:t xml:space="preserve">JUDGMENT </w:t>
      </w:r>
    </w:p>
    <w:p w14:paraId="45CEA48C" w14:textId="77777777" w:rsidR="007E0C13" w:rsidRPr="003B461A" w:rsidRDefault="007E0C13" w:rsidP="003B461A">
      <w:pPr>
        <w:pBdr>
          <w:bottom w:val="single" w:sz="4" w:space="1" w:color="auto"/>
        </w:pBdr>
        <w:tabs>
          <w:tab w:val="right" w:pos="8400"/>
        </w:tabs>
        <w:spacing w:before="60" w:after="60"/>
        <w:jc w:val="both"/>
        <w:rPr>
          <w:sz w:val="26"/>
          <w:szCs w:val="26"/>
        </w:rPr>
      </w:pPr>
    </w:p>
    <w:p w14:paraId="5F95FE8D" w14:textId="77777777" w:rsidR="00C026D6" w:rsidRDefault="00C026D6" w:rsidP="00C026D6">
      <w:pPr>
        <w:jc w:val="both"/>
        <w:rPr>
          <w:rFonts w:eastAsiaTheme="minorHAnsi"/>
          <w:b/>
          <w:u w:val="single"/>
          <w:lang w:eastAsia="en-US"/>
        </w:rPr>
      </w:pPr>
    </w:p>
    <w:p w14:paraId="36D4C5D9" w14:textId="74579903" w:rsidR="003B461A" w:rsidRDefault="00E4144F" w:rsidP="00C026D6">
      <w:pPr>
        <w:spacing w:line="360" w:lineRule="auto"/>
        <w:jc w:val="both"/>
        <w:rPr>
          <w:rFonts w:eastAsiaTheme="minorHAnsi"/>
          <w:b/>
          <w:lang w:eastAsia="en-US"/>
        </w:rPr>
      </w:pPr>
      <w:r w:rsidRPr="00FD66FB">
        <w:rPr>
          <w:rFonts w:eastAsiaTheme="minorHAnsi"/>
          <w:b/>
          <w:u w:val="single"/>
          <w:lang w:eastAsia="en-US"/>
        </w:rPr>
        <w:t>CLOETE J</w:t>
      </w:r>
      <w:r w:rsidR="003D0062">
        <w:rPr>
          <w:rFonts w:eastAsiaTheme="minorHAnsi"/>
          <w:b/>
          <w:lang w:eastAsia="en-US"/>
        </w:rPr>
        <w:t>:</w:t>
      </w:r>
    </w:p>
    <w:p w14:paraId="1BB6D4A0" w14:textId="77777777" w:rsidR="00463FFB" w:rsidRDefault="00463FFB" w:rsidP="003B461A">
      <w:pPr>
        <w:jc w:val="both"/>
        <w:rPr>
          <w:rFonts w:eastAsiaTheme="minorHAnsi"/>
          <w:b/>
          <w:lang w:eastAsia="en-US"/>
        </w:rPr>
      </w:pPr>
    </w:p>
    <w:p w14:paraId="5DCA1816" w14:textId="3C0C4024" w:rsidR="00EC2B1B" w:rsidRPr="00EC2B1B" w:rsidRDefault="00CE1DF5" w:rsidP="00CE1DF5">
      <w:pPr>
        <w:spacing w:after="480" w:line="480" w:lineRule="auto"/>
        <w:ind w:left="720" w:hanging="720"/>
        <w:jc w:val="both"/>
        <w:rPr>
          <w:b/>
        </w:rPr>
      </w:pPr>
      <w:r w:rsidRPr="00EC2B1B">
        <w:t>[1]</w:t>
      </w:r>
      <w:r w:rsidRPr="00EC2B1B">
        <w:tab/>
      </w:r>
      <w:r w:rsidR="00C57B0B">
        <w:t>Th</w:t>
      </w:r>
      <w:r w:rsidR="00EC2B1B">
        <w:t>ere are two applications before me. One is an</w:t>
      </w:r>
      <w:r w:rsidR="00C57B0B">
        <w:t xml:space="preserve"> opposed rule 30 application </w:t>
      </w:r>
      <w:r w:rsidR="00DF1CCA">
        <w:t xml:space="preserve">brought at the instance of the applicant, </w:t>
      </w:r>
      <w:r w:rsidR="00EC2B1B">
        <w:t xml:space="preserve">which </w:t>
      </w:r>
      <w:r w:rsidR="00C57B0B">
        <w:t xml:space="preserve">centres on the manner in which the respondent has approached this court in terms of rule 43. </w:t>
      </w:r>
      <w:r w:rsidR="00EC2B1B">
        <w:t xml:space="preserve">The other is the respondent’s application, to the extent necessary, for condonation for the </w:t>
      </w:r>
      <w:r w:rsidR="00F67D39">
        <w:t>prolixity</w:t>
      </w:r>
      <w:r w:rsidR="00EC2B1B">
        <w:t xml:space="preserve"> of her rule 43 papers. During argument it was accepted that should the rule 30 application succeed, then</w:t>
      </w:r>
      <w:r w:rsidR="00F72CCC">
        <w:t xml:space="preserve"> as a consequence</w:t>
      </w:r>
      <w:r w:rsidR="00EC2B1B">
        <w:t xml:space="preserve"> the condonation </w:t>
      </w:r>
      <w:r w:rsidR="00F72CCC">
        <w:t xml:space="preserve">application </w:t>
      </w:r>
      <w:r w:rsidR="00EC2B1B">
        <w:t xml:space="preserve">would fall away. </w:t>
      </w:r>
    </w:p>
    <w:p w14:paraId="37D5F57E" w14:textId="28BB7F38" w:rsidR="003B4C36" w:rsidRPr="00C57B0B" w:rsidRDefault="00CE1DF5" w:rsidP="00CE1DF5">
      <w:pPr>
        <w:spacing w:after="480" w:line="480" w:lineRule="auto"/>
        <w:ind w:left="720" w:hanging="720"/>
        <w:jc w:val="both"/>
        <w:rPr>
          <w:b/>
        </w:rPr>
      </w:pPr>
      <w:r w:rsidRPr="00C57B0B">
        <w:t>[2]</w:t>
      </w:r>
      <w:r w:rsidRPr="00C57B0B">
        <w:tab/>
      </w:r>
      <w:r w:rsidR="00C57B0B">
        <w:t>It is well-nigh impossible to sift through and deal with all the allegations and counter-allegations contained in the copious correspondence exchanged between the parties’ respective attorneys</w:t>
      </w:r>
      <w:r w:rsidR="006E0D4E">
        <w:t>, much of which was simply annexed to the papers without being properly dealt with in the affidavits themselves</w:t>
      </w:r>
      <w:r w:rsidR="00C57B0B">
        <w:t xml:space="preserve">. Suffice it to say that </w:t>
      </w:r>
      <w:r w:rsidR="00F72CCC">
        <w:t xml:space="preserve">the tone </w:t>
      </w:r>
      <w:r w:rsidR="00C6728C">
        <w:t>and content of</w:t>
      </w:r>
      <w:r w:rsidR="00F72CCC">
        <w:t xml:space="preserve"> </w:t>
      </w:r>
      <w:r w:rsidR="006F2383">
        <w:t>some</w:t>
      </w:r>
      <w:r w:rsidR="00C57B0B">
        <w:t xml:space="preserve"> of </w:t>
      </w:r>
      <w:r w:rsidR="006E0D4E">
        <w:t>that correspondence</w:t>
      </w:r>
      <w:r w:rsidR="006F2383">
        <w:t>, in particular from the respondent’s attorney,</w:t>
      </w:r>
      <w:r w:rsidR="00C57B0B">
        <w:t xml:space="preserve"> is most unfortunate </w:t>
      </w:r>
      <w:r w:rsidR="00F72CCC">
        <w:t>as well as</w:t>
      </w:r>
      <w:r w:rsidR="00C57B0B">
        <w:t xml:space="preserve"> irrelevant for present purposes.</w:t>
      </w:r>
    </w:p>
    <w:p w14:paraId="03E7176C" w14:textId="0FC58CE9" w:rsidR="009C466E" w:rsidRDefault="00CE1DF5" w:rsidP="00CE1DF5">
      <w:pPr>
        <w:spacing w:after="480" w:line="480" w:lineRule="auto"/>
        <w:ind w:left="720" w:hanging="720"/>
        <w:jc w:val="both"/>
      </w:pPr>
      <w:r>
        <w:t>[3]</w:t>
      </w:r>
      <w:r>
        <w:tab/>
      </w:r>
      <w:r w:rsidR="00C57B0B">
        <w:t xml:space="preserve">On 29 September 2023 the respondent launched her rule 43 application in which she seeks extensive and wide-ranging relief, predominantly for maintenance </w:t>
      </w:r>
      <w:r w:rsidR="00C57B0B" w:rsidRPr="00C57B0B">
        <w:rPr>
          <w:i/>
        </w:rPr>
        <w:t>pendente lite</w:t>
      </w:r>
      <w:r w:rsidR="00C57B0B">
        <w:t xml:space="preserve"> for herself and the parties’ dependant child and a substantial contribution to her costs in excess of R1 million. </w:t>
      </w:r>
      <w:r w:rsidR="00CD314B">
        <w:t xml:space="preserve">In addition, and this </w:t>
      </w:r>
      <w:r w:rsidR="00CD314B">
        <w:lastRenderedPageBreak/>
        <w:t xml:space="preserve">is the focus of the rule 30 application, she </w:t>
      </w:r>
      <w:r w:rsidR="00C6728C">
        <w:t>claims</w:t>
      </w:r>
      <w:r w:rsidR="00A61DD8">
        <w:t xml:space="preserve"> the following. First, an order compelling</w:t>
      </w:r>
      <w:r w:rsidR="00CD314B">
        <w:t xml:space="preserve"> the applica</w:t>
      </w:r>
      <w:r w:rsidR="006E0D4E">
        <w:t>nt</w:t>
      </w:r>
      <w:r w:rsidR="00CD314B">
        <w:t xml:space="preserve"> to complete what she describes as a Financial Disclosure Form (“FDF”) coupled with</w:t>
      </w:r>
      <w:r w:rsidR="00545287">
        <w:t xml:space="preserve"> the</w:t>
      </w:r>
      <w:r w:rsidR="00CD314B">
        <w:t xml:space="preserve"> </w:t>
      </w:r>
      <w:r w:rsidR="00CD314B">
        <w:rPr>
          <w:i/>
        </w:rPr>
        <w:t>‘required annexures’</w:t>
      </w:r>
      <w:r w:rsidR="00A61DD8">
        <w:t xml:space="preserve"> (</w:t>
      </w:r>
      <w:r w:rsidR="00667624">
        <w:t xml:space="preserve">which it seems is </w:t>
      </w:r>
      <w:r w:rsidR="00C6728C">
        <w:t>2</w:t>
      </w:r>
      <w:r w:rsidR="00A61DD8">
        <w:t>8 pages</w:t>
      </w:r>
      <w:r w:rsidR="00C6728C">
        <w:t xml:space="preserve"> excluding those </w:t>
      </w:r>
      <w:r w:rsidR="00FA68B0">
        <w:t>annexures</w:t>
      </w:r>
      <w:r w:rsidR="00A61DD8">
        <w:t>)</w:t>
      </w:r>
      <w:r w:rsidR="00CD314B">
        <w:t xml:space="preserve">, and until such time </w:t>
      </w:r>
      <w:r w:rsidR="00545287">
        <w:t>as</w:t>
      </w:r>
      <w:r w:rsidR="00CD314B">
        <w:t xml:space="preserve"> he has </w:t>
      </w:r>
      <w:r w:rsidR="00C6728C">
        <w:t>done so</w:t>
      </w:r>
      <w:r w:rsidR="00CD314B">
        <w:t xml:space="preserve"> </w:t>
      </w:r>
      <w:r w:rsidR="00CD314B">
        <w:rPr>
          <w:i/>
        </w:rPr>
        <w:t>‘</w:t>
      </w:r>
      <w:r w:rsidR="00A61DD8">
        <w:rPr>
          <w:i/>
        </w:rPr>
        <w:t xml:space="preserve">in full </w:t>
      </w:r>
      <w:r w:rsidR="00CD314B">
        <w:rPr>
          <w:i/>
        </w:rPr>
        <w:t>to the satisfaction’</w:t>
      </w:r>
      <w:r w:rsidR="00CD314B">
        <w:t xml:space="preserve"> of the </w:t>
      </w:r>
      <w:r w:rsidR="00545287">
        <w:t>c</w:t>
      </w:r>
      <w:r w:rsidR="00CD314B">
        <w:t>ourt</w:t>
      </w:r>
      <w:r w:rsidR="00A61DD8">
        <w:t>,</w:t>
      </w:r>
      <w:r w:rsidR="00CD314B">
        <w:t xml:space="preserve"> and the rule 43 application is </w:t>
      </w:r>
      <w:r w:rsidR="00A61DD8" w:rsidRPr="00FA68B0">
        <w:rPr>
          <w:u w:val="single"/>
        </w:rPr>
        <w:t>thereafter</w:t>
      </w:r>
      <w:r w:rsidR="00A61DD8">
        <w:t xml:space="preserve"> </w:t>
      </w:r>
      <w:r w:rsidR="00CD314B">
        <w:t>determined, he must pay</w:t>
      </w:r>
      <w:r w:rsidR="00A61DD8">
        <w:t>, i.e. in the interim,</w:t>
      </w:r>
      <w:r w:rsidR="00CD314B">
        <w:t xml:space="preserve"> </w:t>
      </w:r>
      <w:r w:rsidR="00FA68B0">
        <w:t xml:space="preserve">all the maintenance </w:t>
      </w:r>
      <w:r w:rsidR="00CD314B">
        <w:t>detailed in the rule 43 notice</w:t>
      </w:r>
      <w:r w:rsidR="00A61DD8">
        <w:t>. Second, she seeks an order</w:t>
      </w:r>
      <w:r w:rsidR="00CD314B">
        <w:t xml:space="preserve"> directing that </w:t>
      </w:r>
      <w:r w:rsidR="00FA68B0">
        <w:t xml:space="preserve">at the hearing of the rule 43 application </w:t>
      </w:r>
      <w:r w:rsidR="00A61DD8">
        <w:t>she</w:t>
      </w:r>
      <w:r w:rsidR="00CD314B">
        <w:t xml:space="preserve"> may refer to the FDF information and documentation</w:t>
      </w:r>
      <w:r w:rsidR="00A61DD8">
        <w:t>,</w:t>
      </w:r>
      <w:r w:rsidR="00CD314B">
        <w:t xml:space="preserve"> plus a bundle of other documents not yet placed before the </w:t>
      </w:r>
      <w:r w:rsidR="00545287">
        <w:t>c</w:t>
      </w:r>
      <w:r w:rsidR="00CD314B">
        <w:t>ourt but which apparently run</w:t>
      </w:r>
      <w:r w:rsidR="006F2383">
        <w:t>s</w:t>
      </w:r>
      <w:r w:rsidR="00CD314B">
        <w:t xml:space="preserve"> to 288 pages</w:t>
      </w:r>
      <w:r w:rsidR="00FA68B0">
        <w:t xml:space="preserve"> (including the FDF)</w:t>
      </w:r>
      <w:r w:rsidR="00A61DD8">
        <w:t xml:space="preserve">, </w:t>
      </w:r>
      <w:r w:rsidR="00CD314B">
        <w:rPr>
          <w:i/>
        </w:rPr>
        <w:t>‘to the extent necessary to ensure a just and expeditious decision’.</w:t>
      </w:r>
      <w:r w:rsidR="00CD314B">
        <w:t xml:space="preserve"> </w:t>
      </w:r>
      <w:r w:rsidR="00A61DD8">
        <w:t xml:space="preserve">I will refer to </w:t>
      </w:r>
      <w:r w:rsidR="00A57F62">
        <w:t>the former</w:t>
      </w:r>
      <w:r w:rsidR="00C6728C">
        <w:t xml:space="preserve"> as </w:t>
      </w:r>
      <w:r w:rsidR="00A61DD8">
        <w:t xml:space="preserve">the “FDF relief”. </w:t>
      </w:r>
    </w:p>
    <w:p w14:paraId="6B69223D" w14:textId="5C49A180" w:rsidR="00C57B0B" w:rsidRDefault="00CE1DF5" w:rsidP="00CE1DF5">
      <w:pPr>
        <w:spacing w:after="480" w:line="480" w:lineRule="auto"/>
        <w:ind w:left="720" w:hanging="720"/>
        <w:jc w:val="both"/>
      </w:pPr>
      <w:r>
        <w:t>[4]</w:t>
      </w:r>
      <w:r>
        <w:tab/>
      </w:r>
      <w:r w:rsidR="00C6728C">
        <w:t>Importantly, it</w:t>
      </w:r>
      <w:r w:rsidR="00545287">
        <w:t xml:space="preserve"> is clear from the respondent’s </w:t>
      </w:r>
      <w:r w:rsidR="00C6728C">
        <w:t xml:space="preserve">rule 43 </w:t>
      </w:r>
      <w:r w:rsidR="00545287">
        <w:t>affidavit that on her version she will not be able to prove her claims without the FDF information, which makes the issue of whether or not she is entitled to it in rule 43 proceedings integral to the determination of the other relief she seeks</w:t>
      </w:r>
      <w:r w:rsidR="00C6728C">
        <w:t xml:space="preserve"> (i.e. maintenance and the contribution towards her costs)</w:t>
      </w:r>
      <w:r w:rsidR="00545287">
        <w:t>.</w:t>
      </w:r>
    </w:p>
    <w:p w14:paraId="7124DEBD" w14:textId="06789DC7" w:rsidR="00CD314B" w:rsidRDefault="00CE1DF5" w:rsidP="00CE1DF5">
      <w:pPr>
        <w:spacing w:after="480" w:line="480" w:lineRule="auto"/>
        <w:ind w:left="720" w:hanging="720"/>
        <w:jc w:val="both"/>
      </w:pPr>
      <w:r>
        <w:t>[5]</w:t>
      </w:r>
      <w:r>
        <w:tab/>
      </w:r>
      <w:r w:rsidR="00CD314B">
        <w:t>The</w:t>
      </w:r>
      <w:r w:rsidR="00C6728C">
        <w:t>re</w:t>
      </w:r>
      <w:r w:rsidR="00CD314B">
        <w:t xml:space="preserve"> is the following single prayer in the rule 43 notice, namely </w:t>
      </w:r>
      <w:r w:rsidR="00CD314B">
        <w:rPr>
          <w:i/>
        </w:rPr>
        <w:t>‘to the extent necessary condoning the applicant’s non-compliance with the strictures of Rule 43’</w:t>
      </w:r>
      <w:r w:rsidR="00CD314B">
        <w:t>. In the affidavit deposed to by the respondent in support of the rule 43 application she deals with the issue of condonation as follows:</w:t>
      </w:r>
    </w:p>
    <w:p w14:paraId="062F3EC9" w14:textId="31B89B71" w:rsidR="00CD314B" w:rsidRDefault="00CD314B" w:rsidP="00810B5C">
      <w:pPr>
        <w:tabs>
          <w:tab w:val="left" w:pos="1440"/>
          <w:tab w:val="left" w:pos="1985"/>
        </w:tabs>
        <w:spacing w:after="240" w:line="360" w:lineRule="auto"/>
        <w:ind w:left="1985" w:hanging="545"/>
        <w:jc w:val="both"/>
        <w:rPr>
          <w:i/>
          <w:sz w:val="22"/>
          <w:szCs w:val="22"/>
        </w:rPr>
      </w:pPr>
      <w:r>
        <w:rPr>
          <w:i/>
          <w:sz w:val="22"/>
          <w:szCs w:val="22"/>
        </w:rPr>
        <w:lastRenderedPageBreak/>
        <w:t xml:space="preserve">‘18. </w:t>
      </w:r>
      <w:r w:rsidR="00FA6521">
        <w:rPr>
          <w:i/>
          <w:sz w:val="22"/>
          <w:szCs w:val="22"/>
        </w:rPr>
        <w:t xml:space="preserve"> </w:t>
      </w:r>
      <w:r w:rsidR="00FA6521">
        <w:rPr>
          <w:i/>
          <w:sz w:val="22"/>
          <w:szCs w:val="22"/>
        </w:rPr>
        <w:tab/>
      </w:r>
      <w:r>
        <w:rPr>
          <w:i/>
          <w:sz w:val="22"/>
          <w:szCs w:val="22"/>
        </w:rPr>
        <w:t xml:space="preserve">To properly advise the court regarding the reasonableness of the relief that I seek, which is novel and extensive, I am not able to simply provide a succinct summary of the respondent’s resources, with limited annexures. The issues in dispute are complex, </w:t>
      </w:r>
      <w:r w:rsidR="009E0785">
        <w:rPr>
          <w:i/>
          <w:sz w:val="22"/>
          <w:szCs w:val="22"/>
        </w:rPr>
        <w:t xml:space="preserve">the background needs to be explained and the respondent has placed the affordability of my claims in dispute. The relief that I seek is exceptional. </w:t>
      </w:r>
      <w:r w:rsidR="009E0785" w:rsidRPr="00545287">
        <w:rPr>
          <w:i/>
          <w:sz w:val="22"/>
          <w:szCs w:val="22"/>
          <w:u w:val="single"/>
        </w:rPr>
        <w:t>I accordingly seek condonation</w:t>
      </w:r>
      <w:r w:rsidR="00810B5C" w:rsidRPr="00545287">
        <w:rPr>
          <w:i/>
          <w:sz w:val="22"/>
          <w:szCs w:val="22"/>
          <w:u w:val="single"/>
        </w:rPr>
        <w:t xml:space="preserve"> to the extent that this affidavit is prolix</w:t>
      </w:r>
      <w:r w:rsidR="00810B5C">
        <w:rPr>
          <w:i/>
          <w:sz w:val="22"/>
          <w:szCs w:val="22"/>
        </w:rPr>
        <w:t xml:space="preserve">. </w:t>
      </w:r>
    </w:p>
    <w:p w14:paraId="122FFABF" w14:textId="023A76BC" w:rsidR="00810B5C" w:rsidRDefault="00810B5C" w:rsidP="00545287">
      <w:pPr>
        <w:tabs>
          <w:tab w:val="left" w:pos="1440"/>
          <w:tab w:val="left" w:pos="1985"/>
        </w:tabs>
        <w:spacing w:after="240" w:line="360" w:lineRule="auto"/>
        <w:ind w:left="1985" w:hanging="545"/>
        <w:jc w:val="both"/>
        <w:rPr>
          <w:sz w:val="22"/>
          <w:szCs w:val="22"/>
        </w:rPr>
      </w:pPr>
      <w:r>
        <w:rPr>
          <w:i/>
          <w:sz w:val="22"/>
          <w:szCs w:val="22"/>
        </w:rPr>
        <w:t>19.</w:t>
      </w:r>
      <w:r>
        <w:rPr>
          <w:i/>
          <w:sz w:val="22"/>
          <w:szCs w:val="22"/>
        </w:rPr>
        <w:tab/>
        <w:t>I also do not attach all the documents that contain the evidence to which I refer. I rather include the documents in a separate bundle (“the Bundle”) that I will serve with this application. If the respondent disputes any of the averments made by me where I refer to documents in the Bundle, I ask the court for leave in terms of Rule 43(5) to refer to the further evidence in the Bundle at the hearing, so that a just and expeditious determination of the issues can be made.’</w:t>
      </w:r>
    </w:p>
    <w:p w14:paraId="17E9CDF6" w14:textId="4D7C9368" w:rsidR="00545287" w:rsidRPr="00545287" w:rsidRDefault="00545287" w:rsidP="00810B5C">
      <w:pPr>
        <w:tabs>
          <w:tab w:val="left" w:pos="1440"/>
          <w:tab w:val="left" w:pos="1985"/>
        </w:tabs>
        <w:spacing w:after="600" w:line="360" w:lineRule="auto"/>
        <w:ind w:left="1985" w:hanging="545"/>
        <w:jc w:val="both"/>
        <w:rPr>
          <w:sz w:val="22"/>
          <w:szCs w:val="22"/>
        </w:rPr>
      </w:pPr>
      <w:r>
        <w:rPr>
          <w:sz w:val="22"/>
          <w:szCs w:val="22"/>
        </w:rPr>
        <w:t>[my emphasis]</w:t>
      </w:r>
    </w:p>
    <w:p w14:paraId="0D52AFFB" w14:textId="5827B5DC" w:rsidR="00CD314B" w:rsidRDefault="00CE1DF5" w:rsidP="00CE1DF5">
      <w:pPr>
        <w:spacing w:after="480" w:line="480" w:lineRule="auto"/>
        <w:ind w:left="720" w:hanging="720"/>
        <w:jc w:val="both"/>
      </w:pPr>
      <w:r>
        <w:t>[6]</w:t>
      </w:r>
      <w:r>
        <w:tab/>
      </w:r>
      <w:r w:rsidR="009C466E">
        <w:t>Accordingly</w:t>
      </w:r>
      <w:r w:rsidR="00F37449">
        <w:t xml:space="preserve"> no case is made out in the founding affidavit to “condone” – if indeed this were permissible – the </w:t>
      </w:r>
      <w:r w:rsidR="00C6728C">
        <w:t>FDF</w:t>
      </w:r>
      <w:r w:rsidR="00F37449">
        <w:t xml:space="preserve"> relief. The condonation sought is limited only to the </w:t>
      </w:r>
      <w:r w:rsidR="00C6728C">
        <w:t>extent that</w:t>
      </w:r>
      <w:r w:rsidR="00F37449">
        <w:t xml:space="preserve"> </w:t>
      </w:r>
      <w:r w:rsidR="007E7338">
        <w:t xml:space="preserve">the respondent’s papers in the rule 43 application </w:t>
      </w:r>
      <w:r w:rsidR="00C6728C">
        <w:t xml:space="preserve">are found to be prolix </w:t>
      </w:r>
      <w:r w:rsidR="007E7338">
        <w:t xml:space="preserve">and </w:t>
      </w:r>
      <w:r w:rsidR="00F37449">
        <w:t xml:space="preserve">nothing more. </w:t>
      </w:r>
      <w:r w:rsidR="00810B5C">
        <w:t>The</w:t>
      </w:r>
      <w:r w:rsidR="00F37449">
        <w:t xml:space="preserve"> </w:t>
      </w:r>
      <w:r w:rsidR="00C6728C">
        <w:t>FDF relief is instead pr</w:t>
      </w:r>
      <w:r w:rsidR="00F00C54">
        <w:t>e</w:t>
      </w:r>
      <w:r w:rsidR="00C6728C">
        <w:t>mised</w:t>
      </w:r>
      <w:r w:rsidR="00810B5C">
        <w:t xml:space="preserve"> on the respondent’s </w:t>
      </w:r>
      <w:r w:rsidR="00C6728C">
        <w:t>(</w:t>
      </w:r>
      <w:r w:rsidR="00C8434D">
        <w:t>separate</w:t>
      </w:r>
      <w:r w:rsidR="00C6728C">
        <w:t>)</w:t>
      </w:r>
      <w:r w:rsidR="00C8434D">
        <w:t xml:space="preserve"> </w:t>
      </w:r>
      <w:r w:rsidR="00A963AF">
        <w:t>averment that the applicant has failed to make full discovery</w:t>
      </w:r>
      <w:r w:rsidR="00C6728C">
        <w:t xml:space="preserve"> in the parties’ pending divorce action</w:t>
      </w:r>
      <w:r w:rsidR="00A963AF">
        <w:t>. Apparently for this reason</w:t>
      </w:r>
      <w:r w:rsidR="00F37449">
        <w:t>,</w:t>
      </w:r>
      <w:r w:rsidR="00A963AF">
        <w:t xml:space="preserve"> she </w:t>
      </w:r>
      <w:r w:rsidR="00F37449">
        <w:t>alleges</w:t>
      </w:r>
      <w:r w:rsidR="00C8434D">
        <w:t xml:space="preserve"> that</w:t>
      </w:r>
      <w:r w:rsidR="00A963AF">
        <w:t>:</w:t>
      </w:r>
    </w:p>
    <w:p w14:paraId="6EE55335" w14:textId="4835E045" w:rsidR="00A963AF" w:rsidRDefault="007775E2" w:rsidP="00866038">
      <w:pPr>
        <w:tabs>
          <w:tab w:val="left" w:pos="1985"/>
        </w:tabs>
        <w:spacing w:after="240" w:line="360" w:lineRule="auto"/>
        <w:ind w:left="1985" w:hanging="545"/>
        <w:jc w:val="both"/>
        <w:rPr>
          <w:i/>
          <w:sz w:val="22"/>
          <w:szCs w:val="22"/>
        </w:rPr>
      </w:pPr>
      <w:r>
        <w:rPr>
          <w:i/>
          <w:sz w:val="22"/>
          <w:szCs w:val="22"/>
        </w:rPr>
        <w:t>‘24.</w:t>
      </w:r>
      <w:r>
        <w:rPr>
          <w:i/>
          <w:sz w:val="22"/>
          <w:szCs w:val="22"/>
        </w:rPr>
        <w:tab/>
        <w:t xml:space="preserve">I am advised that because of the concerns raised </w:t>
      </w:r>
      <w:r w:rsidR="00866038">
        <w:rPr>
          <w:i/>
          <w:sz w:val="22"/>
          <w:szCs w:val="22"/>
        </w:rPr>
        <w:t xml:space="preserve">by the courts considering Rule 43 applications in Gauteng, that litigants </w:t>
      </w:r>
      <w:r w:rsidR="004A59C8">
        <w:rPr>
          <w:i/>
          <w:sz w:val="22"/>
          <w:szCs w:val="22"/>
        </w:rPr>
        <w:t xml:space="preserve">were not being frank with the court, the Judge President of the Gauteng Division issued Practice Directive 2 of 2020 (“the Directive”). Paragraph 3.5 of the Practice Manual of the Gauteng Division now includes a peremptory provision relevant only to divorce actions and Rule 43 applications for parties to </w:t>
      </w:r>
      <w:r w:rsidR="004A59C8">
        <w:rPr>
          <w:i/>
          <w:sz w:val="22"/>
          <w:szCs w:val="22"/>
        </w:rPr>
        <w:lastRenderedPageBreak/>
        <w:t>make disclosure of their financial resources by completing and exchanging a… FDF. A similar procedure is available in the Eastern Cape Division… Litigants</w:t>
      </w:r>
      <w:r w:rsidR="00FF7E40">
        <w:rPr>
          <w:i/>
          <w:sz w:val="22"/>
          <w:szCs w:val="22"/>
        </w:rPr>
        <w:t xml:space="preserve"> are directed to complete a similar disclosure form prior to the hearing of a Rule 43 application…</w:t>
      </w:r>
    </w:p>
    <w:p w14:paraId="55E99480" w14:textId="71532DF0" w:rsidR="00FF7E40" w:rsidRPr="00A963AF" w:rsidRDefault="00FF7E40" w:rsidP="00C8434D">
      <w:pPr>
        <w:tabs>
          <w:tab w:val="left" w:pos="1985"/>
        </w:tabs>
        <w:spacing w:after="600" w:line="360" w:lineRule="auto"/>
        <w:ind w:left="1985" w:hanging="545"/>
        <w:jc w:val="both"/>
        <w:rPr>
          <w:i/>
          <w:sz w:val="22"/>
          <w:szCs w:val="22"/>
        </w:rPr>
      </w:pPr>
      <w:r>
        <w:rPr>
          <w:i/>
          <w:sz w:val="22"/>
          <w:szCs w:val="22"/>
        </w:rPr>
        <w:t>28.</w:t>
      </w:r>
      <w:r>
        <w:rPr>
          <w:i/>
          <w:sz w:val="22"/>
          <w:szCs w:val="22"/>
        </w:rPr>
        <w:tab/>
        <w:t>A similar practice is not compulsory in this court. I am thus not afforded the same opportunity as litigants in Gauteng and the Eastern Cape to receive full disclosure prior to a hearing. The court is also not afforded the same advantage in adjudicating interim relief applications. I am unfairly disadvantaged and discriminated against in my access to justice. My constitutional right to a fair hearing is unfairly prejudiced by this. There is no prejudice to the respondent requiring him to properly complete the FDF.’</w:t>
      </w:r>
    </w:p>
    <w:p w14:paraId="3D824899" w14:textId="53FAD0C3" w:rsidR="00805884" w:rsidRPr="00805884" w:rsidRDefault="00CE1DF5" w:rsidP="00CE1DF5">
      <w:pPr>
        <w:spacing w:after="480" w:line="480" w:lineRule="auto"/>
        <w:ind w:left="720" w:hanging="720"/>
        <w:jc w:val="both"/>
      </w:pPr>
      <w:r w:rsidRPr="00805884">
        <w:t>[7]</w:t>
      </w:r>
      <w:r w:rsidRPr="00805884">
        <w:tab/>
      </w:r>
      <w:r w:rsidR="00805884" w:rsidRPr="00805884">
        <w:t xml:space="preserve">Excluding the separate bundle of 288 </w:t>
      </w:r>
      <w:r w:rsidR="00C8434D">
        <w:t>pages</w:t>
      </w:r>
      <w:r w:rsidR="00805884" w:rsidRPr="00805884">
        <w:t xml:space="preserve">, the respondent’s rule 43 application </w:t>
      </w:r>
      <w:r w:rsidR="00C6728C">
        <w:t>comprises of</w:t>
      </w:r>
      <w:r w:rsidR="00805884" w:rsidRPr="00805884">
        <w:t xml:space="preserve"> 117 pages.</w:t>
      </w:r>
      <w:r w:rsidR="00805884">
        <w:t xml:space="preserve"> </w:t>
      </w:r>
      <w:r w:rsidR="00C6728C">
        <w:t>It is trite that</w:t>
      </w:r>
      <w:r w:rsidR="00A366BE">
        <w:t xml:space="preserve"> where condonation is sought it must be properly motivated.</w:t>
      </w:r>
      <w:r w:rsidR="006A215A">
        <w:t xml:space="preserve"> During argument before me counsel for the respondent </w:t>
      </w:r>
      <w:r w:rsidR="00C6728C">
        <w:t xml:space="preserve">however </w:t>
      </w:r>
      <w:r w:rsidR="006A215A">
        <w:t xml:space="preserve">argued that condonation is </w:t>
      </w:r>
      <w:r w:rsidR="00C6728C">
        <w:t>no longer</w:t>
      </w:r>
      <w:r w:rsidR="006A215A">
        <w:t xml:space="preserve"> even necessary </w:t>
      </w:r>
      <w:r w:rsidR="00C6728C">
        <w:t xml:space="preserve">in light of </w:t>
      </w:r>
      <w:r w:rsidR="006A215A">
        <w:t xml:space="preserve">various recent decisions in the Gauteng High Court. </w:t>
      </w:r>
      <w:r w:rsidR="00C6728C">
        <w:t>The</w:t>
      </w:r>
      <w:r w:rsidR="006A215A">
        <w:t xml:space="preserve"> merit of that argument is not something I need determine given what follows.</w:t>
      </w:r>
    </w:p>
    <w:p w14:paraId="400FC9F4" w14:textId="72F59FA7" w:rsidR="003B4C36" w:rsidRPr="00307811" w:rsidRDefault="00CE1DF5" w:rsidP="00CE1DF5">
      <w:pPr>
        <w:spacing w:after="480" w:line="480" w:lineRule="auto"/>
        <w:ind w:left="720" w:hanging="720"/>
        <w:jc w:val="both"/>
        <w:rPr>
          <w:b/>
        </w:rPr>
      </w:pPr>
      <w:r w:rsidRPr="00307811">
        <w:t>[8]</w:t>
      </w:r>
      <w:r w:rsidRPr="00307811">
        <w:tab/>
      </w:r>
      <w:r w:rsidR="00295BAA">
        <w:t xml:space="preserve">On 13 October 2023 the applicant delivered a notice in terms of rule 30. In short, he maintained that the respondent’s rule 43 application </w:t>
      </w:r>
      <w:r w:rsidR="00307811">
        <w:t>constitute</w:t>
      </w:r>
      <w:r w:rsidR="00A366BE">
        <w:t>s</w:t>
      </w:r>
      <w:r w:rsidR="00307811">
        <w:t xml:space="preserve"> an irregular step </w:t>
      </w:r>
      <w:r w:rsidR="00C6728C">
        <w:t xml:space="preserve">(or proceeding) </w:t>
      </w:r>
      <w:r w:rsidR="00307811">
        <w:t>since she has failed to comply with rule 43(2), which directs her to deliver a sworn statement in the nature of a declaration setting out the relief claimed and the grounds therefor. He summarised the respects in which</w:t>
      </w:r>
      <w:r w:rsidR="00D04130">
        <w:t xml:space="preserve"> he alleged</w:t>
      </w:r>
      <w:r w:rsidR="00307811">
        <w:t xml:space="preserve"> the respondent had failed to do so, </w:t>
      </w:r>
      <w:r w:rsidR="00D04130">
        <w:t xml:space="preserve">and on a reading of the notice as a whole (instead of cherry-picking parts of it as the respondent would have the court do) he took issue with the FDF </w:t>
      </w:r>
      <w:r w:rsidR="000D73D2">
        <w:t>relief</w:t>
      </w:r>
      <w:r w:rsidR="00C6728C">
        <w:t xml:space="preserve">, </w:t>
      </w:r>
      <w:r w:rsidR="00307811">
        <w:t xml:space="preserve">purportedly in terms of rule 43 that </w:t>
      </w:r>
      <w:r w:rsidR="00307811">
        <w:rPr>
          <w:i/>
        </w:rPr>
        <w:lastRenderedPageBreak/>
        <w:t xml:space="preserve">‘…the applicant may refer to the financial disclosure forms (to be) completed by the parties as well as the bundle of documents referred to in paragraph 2.4 above’ </w:t>
      </w:r>
      <w:r w:rsidR="00307811">
        <w:t>[being the bundle of 288 pages].</w:t>
      </w:r>
      <w:r w:rsidR="000D73D2">
        <w:t xml:space="preserve"> As a matter of logic the respondent could only ask for the relief she seeks under rule 43(5) if the applicant is </w:t>
      </w:r>
      <w:r w:rsidR="00C659DC">
        <w:t xml:space="preserve">first </w:t>
      </w:r>
      <w:r w:rsidR="000D73D2">
        <w:t xml:space="preserve">compelled to comply with her FDF relief. </w:t>
      </w:r>
    </w:p>
    <w:p w14:paraId="1F4D5570" w14:textId="5029E9A8" w:rsidR="00307811" w:rsidRPr="00307811" w:rsidRDefault="00CE1DF5" w:rsidP="00CE1DF5">
      <w:pPr>
        <w:spacing w:after="480" w:line="480" w:lineRule="auto"/>
        <w:ind w:left="720" w:hanging="720"/>
        <w:jc w:val="both"/>
        <w:rPr>
          <w:b/>
        </w:rPr>
      </w:pPr>
      <w:r w:rsidRPr="00307811">
        <w:t>[9]</w:t>
      </w:r>
      <w:r w:rsidRPr="00307811">
        <w:tab/>
      </w:r>
      <w:r w:rsidR="00307811">
        <w:t>The respondent did not remove the cause of complaint whereafter the applicant launched the present application on 3 November 2023. The pertinent paragraphs of his founding affidavit read as follows:</w:t>
      </w:r>
    </w:p>
    <w:p w14:paraId="7A71BEA0" w14:textId="5EBFD9EB" w:rsidR="00307811" w:rsidRDefault="00307811" w:rsidP="00307811">
      <w:pPr>
        <w:tabs>
          <w:tab w:val="left" w:pos="1440"/>
          <w:tab w:val="left" w:pos="1985"/>
        </w:tabs>
        <w:spacing w:after="240" w:line="360" w:lineRule="auto"/>
        <w:ind w:left="1980" w:hanging="540"/>
        <w:jc w:val="both"/>
        <w:rPr>
          <w:i/>
          <w:sz w:val="22"/>
          <w:szCs w:val="22"/>
        </w:rPr>
      </w:pPr>
      <w:r>
        <w:rPr>
          <w:i/>
          <w:sz w:val="22"/>
          <w:szCs w:val="22"/>
        </w:rPr>
        <w:t>‘12.</w:t>
      </w:r>
      <w:r>
        <w:rPr>
          <w:i/>
          <w:sz w:val="22"/>
          <w:szCs w:val="22"/>
        </w:rPr>
        <w:tab/>
        <w:t>I am advised that there is no such</w:t>
      </w:r>
      <w:r w:rsidR="006644CF">
        <w:rPr>
          <w:i/>
          <w:sz w:val="22"/>
          <w:szCs w:val="22"/>
        </w:rPr>
        <w:t xml:space="preserve"> </w:t>
      </w:r>
      <w:r w:rsidR="006644CF">
        <w:rPr>
          <w:sz w:val="22"/>
          <w:szCs w:val="22"/>
        </w:rPr>
        <w:t>[FDF]</w:t>
      </w:r>
      <w:r>
        <w:rPr>
          <w:i/>
          <w:sz w:val="22"/>
          <w:szCs w:val="22"/>
        </w:rPr>
        <w:t xml:space="preserve"> directive in application in the Western Cape High Court…</w:t>
      </w:r>
    </w:p>
    <w:p w14:paraId="11DC3E97" w14:textId="4D6BB58B" w:rsidR="00307811" w:rsidRDefault="00307811" w:rsidP="00307811">
      <w:pPr>
        <w:tabs>
          <w:tab w:val="left" w:pos="1440"/>
          <w:tab w:val="left" w:pos="1985"/>
        </w:tabs>
        <w:spacing w:after="240" w:line="360" w:lineRule="auto"/>
        <w:ind w:left="1980" w:hanging="540"/>
        <w:jc w:val="both"/>
        <w:rPr>
          <w:i/>
          <w:sz w:val="22"/>
          <w:szCs w:val="22"/>
        </w:rPr>
      </w:pPr>
      <w:r>
        <w:rPr>
          <w:i/>
          <w:sz w:val="22"/>
          <w:szCs w:val="22"/>
        </w:rPr>
        <w:t>14.</w:t>
      </w:r>
      <w:r>
        <w:rPr>
          <w:i/>
          <w:sz w:val="22"/>
          <w:szCs w:val="22"/>
        </w:rPr>
        <w:tab/>
        <w:t>I am advised that some of the content of the financial disclosure form will result in a duplication of information of what is contained in a sworn statement and a sworn reply in rule 43 applications and that some of the information sought is irrelevant to the issues in a rule 43 application…</w:t>
      </w:r>
    </w:p>
    <w:p w14:paraId="38207F39" w14:textId="3DF8635A" w:rsidR="00307811" w:rsidRPr="00307811" w:rsidRDefault="00307811" w:rsidP="006644CF">
      <w:pPr>
        <w:tabs>
          <w:tab w:val="left" w:pos="1440"/>
          <w:tab w:val="left" w:pos="1985"/>
        </w:tabs>
        <w:spacing w:after="480" w:line="360" w:lineRule="auto"/>
        <w:ind w:left="1980" w:hanging="540"/>
        <w:jc w:val="both"/>
        <w:rPr>
          <w:i/>
          <w:sz w:val="22"/>
          <w:szCs w:val="22"/>
        </w:rPr>
      </w:pPr>
      <w:r>
        <w:rPr>
          <w:i/>
          <w:sz w:val="22"/>
          <w:szCs w:val="22"/>
        </w:rPr>
        <w:t>16.</w:t>
      </w:r>
      <w:r>
        <w:rPr>
          <w:i/>
          <w:sz w:val="22"/>
          <w:szCs w:val="22"/>
        </w:rPr>
        <w:tab/>
        <w:t>I am advised that N</w:t>
      </w:r>
      <w:r w:rsidR="006644CF">
        <w:rPr>
          <w:i/>
          <w:sz w:val="22"/>
          <w:szCs w:val="22"/>
        </w:rPr>
        <w:t>…</w:t>
      </w:r>
      <w:r>
        <w:rPr>
          <w:i/>
          <w:sz w:val="22"/>
          <w:szCs w:val="22"/>
        </w:rPr>
        <w:t xml:space="preserve"> has failed to comply with rule 43(2), which directs her to deliver a sworn statement “in the nature of a declaration setting out the relief claimed and the grounds therefor</w:t>
      </w:r>
      <w:r w:rsidR="00256C81">
        <w:rPr>
          <w:i/>
          <w:sz w:val="22"/>
          <w:szCs w:val="22"/>
        </w:rPr>
        <w:t>”</w:t>
      </w:r>
      <w:r w:rsidR="00E34B52">
        <w:rPr>
          <w:i/>
          <w:sz w:val="22"/>
          <w:szCs w:val="22"/>
        </w:rPr>
        <w:t>…’</w:t>
      </w:r>
    </w:p>
    <w:p w14:paraId="5EEF264B" w14:textId="2A4FBD9D" w:rsidR="00307811" w:rsidRDefault="00CE1DF5" w:rsidP="00CE1DF5">
      <w:pPr>
        <w:spacing w:after="480" w:line="480" w:lineRule="auto"/>
        <w:ind w:left="720" w:hanging="720"/>
        <w:jc w:val="both"/>
      </w:pPr>
      <w:r>
        <w:t>[10]</w:t>
      </w:r>
      <w:r>
        <w:tab/>
      </w:r>
      <w:r w:rsidR="00AA192E">
        <w:t xml:space="preserve">The applicant also dealt with the prejudice to him if the rule 43 application in its current form was allowed to stand. </w:t>
      </w:r>
      <w:r w:rsidR="00E34B52">
        <w:t>It would seem from correspondence</w:t>
      </w:r>
      <w:r w:rsidR="00F97566">
        <w:t xml:space="preserve"> exchanged between the parties’ attorneys prior to the launching of the </w:t>
      </w:r>
      <w:r w:rsidR="009A376F">
        <w:t>rule 30</w:t>
      </w:r>
      <w:r w:rsidR="00F97566">
        <w:t xml:space="preserve"> applicat</w:t>
      </w:r>
      <w:r w:rsidR="00CD13ED">
        <w:t>ion</w:t>
      </w:r>
      <w:r w:rsidR="00F97566">
        <w:t xml:space="preserve"> that the respondent’s refusal to remove the cause of complaint </w:t>
      </w:r>
      <w:r w:rsidR="009A376F">
        <w:t>was</w:t>
      </w:r>
      <w:r w:rsidR="00F97566">
        <w:t xml:space="preserve"> essentially based on two grounds, namely (a) the rule 30 notice is pre-emptive of her condonation application which </w:t>
      </w:r>
      <w:r w:rsidR="009A376F">
        <w:t>was</w:t>
      </w:r>
      <w:r w:rsidR="00F97566">
        <w:t xml:space="preserve"> already pending for determination at the hearing of the rule 43 application itself; and (b) the rule 30 notice is an abuse </w:t>
      </w:r>
      <w:r w:rsidR="00F97566">
        <w:lastRenderedPageBreak/>
        <w:t xml:space="preserve">of process designed </w:t>
      </w:r>
      <w:r w:rsidR="00C6728C">
        <w:t xml:space="preserve">solely </w:t>
      </w:r>
      <w:r w:rsidR="00F97566">
        <w:t xml:space="preserve">to delay and frustrate the hearing of that application. </w:t>
      </w:r>
      <w:r w:rsidR="00CD13ED">
        <w:t xml:space="preserve">As to (a) this has fallen away for the reason I </w:t>
      </w:r>
      <w:r w:rsidR="00AA192E">
        <w:t>set out</w:t>
      </w:r>
      <w:r w:rsidR="00CD13ED">
        <w:t xml:space="preserve"> later. As </w:t>
      </w:r>
      <w:r w:rsidR="009A376F">
        <w:t>to</w:t>
      </w:r>
      <w:r w:rsidR="00CD13ED">
        <w:t xml:space="preserve"> (b)</w:t>
      </w:r>
      <w:r w:rsidR="00F838FF">
        <w:t>, the following.</w:t>
      </w:r>
    </w:p>
    <w:p w14:paraId="58F0A0A6" w14:textId="2514CED6" w:rsidR="00F97566" w:rsidRDefault="00CE1DF5" w:rsidP="00CE1DF5">
      <w:pPr>
        <w:spacing w:after="480" w:line="480" w:lineRule="auto"/>
        <w:ind w:left="720" w:hanging="720"/>
        <w:jc w:val="both"/>
      </w:pPr>
      <w:r>
        <w:t>[11]</w:t>
      </w:r>
      <w:r>
        <w:tab/>
      </w:r>
      <w:r w:rsidR="00F97566">
        <w:t>As I see it</w:t>
      </w:r>
      <w:r w:rsidR="00F838FF">
        <w:t>,</w:t>
      </w:r>
      <w:r w:rsidR="00F97566">
        <w:t xml:space="preserve"> the respondent faces </w:t>
      </w:r>
      <w:r w:rsidR="00AA192E">
        <w:t xml:space="preserve">certain </w:t>
      </w:r>
      <w:r w:rsidR="00F838FF">
        <w:t>insurmountable</w:t>
      </w:r>
      <w:r w:rsidR="00F97566">
        <w:t xml:space="preserve"> hurdles which she failed to address in both her rule 43 application and her answering affidavit in the current application. </w:t>
      </w:r>
      <w:r w:rsidR="00F97566" w:rsidRPr="00764A7C">
        <w:rPr>
          <w:u w:val="single"/>
        </w:rPr>
        <w:t>First</w:t>
      </w:r>
      <w:r w:rsidR="00F97566">
        <w:t xml:space="preserve">, when one looks past the hyperbole and emotive content, what she actually seeks is for the </w:t>
      </w:r>
      <w:r w:rsidR="00F838FF">
        <w:t>c</w:t>
      </w:r>
      <w:r w:rsidR="00F97566">
        <w:t xml:space="preserve">ourt, under the guise of rule </w:t>
      </w:r>
      <w:r w:rsidR="00F838FF">
        <w:t>4</w:t>
      </w:r>
      <w:r w:rsidR="00F97566">
        <w:t>3(5), to override</w:t>
      </w:r>
      <w:r w:rsidR="009A376F">
        <w:t xml:space="preserve"> not only</w:t>
      </w:r>
      <w:r w:rsidR="00F97566">
        <w:t xml:space="preserve"> the provisions of rule</w:t>
      </w:r>
      <w:r w:rsidR="009A376F">
        <w:t> </w:t>
      </w:r>
      <w:r w:rsidR="00F97566">
        <w:t xml:space="preserve">43(2), </w:t>
      </w:r>
      <w:r w:rsidR="009A376F">
        <w:t>but</w:t>
      </w:r>
      <w:r w:rsidR="00F97566">
        <w:t xml:space="preserve"> indeed the ambit of </w:t>
      </w:r>
      <w:r w:rsidR="009A376F">
        <w:t xml:space="preserve">the </w:t>
      </w:r>
      <w:r w:rsidR="00F97566">
        <w:t xml:space="preserve">relief claimable under </w:t>
      </w:r>
      <w:r w:rsidR="00AA192E">
        <w:t>that rule</w:t>
      </w:r>
      <w:r w:rsidR="00F97566">
        <w:t xml:space="preserve"> as a whole, by importing</w:t>
      </w:r>
      <w:r w:rsidR="00F838FF">
        <w:t xml:space="preserve"> into </w:t>
      </w:r>
      <w:r w:rsidR="00AA192E">
        <w:t>it</w:t>
      </w:r>
      <w:r w:rsidR="00F97566">
        <w:t xml:space="preserve"> a practice directive of two other Divisions</w:t>
      </w:r>
      <w:r w:rsidR="00F838FF">
        <w:t>.</w:t>
      </w:r>
      <w:r w:rsidR="00F97566">
        <w:t xml:space="preserve"> </w:t>
      </w:r>
      <w:r w:rsidR="00F838FF">
        <w:t>T</w:t>
      </w:r>
      <w:r w:rsidR="00F97566">
        <w:t>he Supreme Court of Appeal has already made clear</w:t>
      </w:r>
      <w:r w:rsidR="00F838FF">
        <w:t xml:space="preserve"> that a practice directive</w:t>
      </w:r>
      <w:r w:rsidR="00F97566">
        <w:t xml:space="preserve"> </w:t>
      </w:r>
      <w:r w:rsidR="00F97566">
        <w:rPr>
          <w:i/>
        </w:rPr>
        <w:t>‘…may not derogate from legislation, the common law or rules of court that have binding force’</w:t>
      </w:r>
      <w:r w:rsidR="00F97566">
        <w:t xml:space="preserve">: </w:t>
      </w:r>
      <w:r w:rsidR="00F838FF">
        <w:t xml:space="preserve">see </w:t>
      </w:r>
      <w:r w:rsidR="00F97566">
        <w:rPr>
          <w:i/>
        </w:rPr>
        <w:t>The National Director of Public Prosecutions, (Ex Parte Application)</w:t>
      </w:r>
      <w:r w:rsidR="00B73F7E">
        <w:t>.</w:t>
      </w:r>
      <w:r w:rsidR="00B73F7E" w:rsidRPr="00B73F7E">
        <w:rPr>
          <w:rStyle w:val="FootnoteReference"/>
        </w:rPr>
        <w:footnoteReference w:id="1"/>
      </w:r>
    </w:p>
    <w:p w14:paraId="6FBF6100" w14:textId="2A694F52" w:rsidR="00B73F7E" w:rsidRDefault="00CE1DF5" w:rsidP="00CE1DF5">
      <w:pPr>
        <w:spacing w:after="480" w:line="480" w:lineRule="auto"/>
        <w:ind w:left="720" w:hanging="720"/>
        <w:jc w:val="both"/>
      </w:pPr>
      <w:r>
        <w:t>[12]</w:t>
      </w:r>
      <w:r>
        <w:tab/>
      </w:r>
      <w:r w:rsidR="00B73F7E" w:rsidRPr="00764A7C">
        <w:rPr>
          <w:u w:val="single"/>
        </w:rPr>
        <w:t>Second</w:t>
      </w:r>
      <w:r w:rsidR="00B73F7E">
        <w:t xml:space="preserve">, the respondent has paid no heed to the principle of subsidiarity. As was restated in </w:t>
      </w:r>
      <w:r w:rsidR="00B73F7E">
        <w:rPr>
          <w:i/>
        </w:rPr>
        <w:t>Mazibuko</w:t>
      </w:r>
      <w:r w:rsidR="00B73F7E">
        <w:t>:</w:t>
      </w:r>
      <w:r w:rsidR="00B73F7E" w:rsidRPr="00B73F7E">
        <w:rPr>
          <w:rStyle w:val="FootnoteReference"/>
        </w:rPr>
        <w:footnoteReference w:id="2"/>
      </w:r>
    </w:p>
    <w:p w14:paraId="53004A39" w14:textId="71C43FEB" w:rsidR="00B73F7E" w:rsidRPr="003B664C" w:rsidRDefault="003B664C" w:rsidP="00E53ADA">
      <w:pPr>
        <w:spacing w:after="600" w:line="360" w:lineRule="auto"/>
        <w:ind w:left="1440"/>
        <w:jc w:val="both"/>
        <w:rPr>
          <w:sz w:val="22"/>
          <w:szCs w:val="22"/>
        </w:rPr>
      </w:pPr>
      <w:r>
        <w:rPr>
          <w:i/>
          <w:sz w:val="22"/>
          <w:szCs w:val="22"/>
        </w:rPr>
        <w:t>‘…This court has repeatedly held that where legislation has been enacted to give effect to a right, a litigant should rely on that legislation in order to give effect to the right or alternatively challenge the legislation as being inconsistent with the Constitution.’</w:t>
      </w:r>
      <w:r w:rsidRPr="00E53ADA">
        <w:rPr>
          <w:rStyle w:val="FootnoteReference"/>
          <w:sz w:val="22"/>
          <w:szCs w:val="22"/>
        </w:rPr>
        <w:footnoteReference w:id="3"/>
      </w:r>
    </w:p>
    <w:p w14:paraId="39D879A6" w14:textId="56D45262" w:rsidR="00EC18D7" w:rsidRDefault="00CE1DF5" w:rsidP="00CE1DF5">
      <w:pPr>
        <w:spacing w:after="480" w:line="480" w:lineRule="auto"/>
        <w:ind w:left="720" w:hanging="720"/>
        <w:jc w:val="both"/>
      </w:pPr>
      <w:r>
        <w:t>[13]</w:t>
      </w:r>
      <w:r>
        <w:tab/>
      </w:r>
      <w:r w:rsidR="00EC18D7">
        <w:t>This applies</w:t>
      </w:r>
      <w:r w:rsidR="00764A7C">
        <w:t xml:space="preserve"> similarly</w:t>
      </w:r>
      <w:r w:rsidR="00F838FF">
        <w:t xml:space="preserve"> to a rule of court where condonation </w:t>
      </w:r>
      <w:r w:rsidR="00764A7C">
        <w:t xml:space="preserve">alone </w:t>
      </w:r>
      <w:r w:rsidR="00F838FF">
        <w:t>would not be an appropriate remedy.</w:t>
      </w:r>
      <w:r w:rsidR="00EC18D7">
        <w:t xml:space="preserve"> Here it is important to emphasise that I am </w:t>
      </w:r>
      <w:r w:rsidR="00EC18D7">
        <w:rPr>
          <w:u w:val="single"/>
        </w:rPr>
        <w:t>not</w:t>
      </w:r>
      <w:r w:rsidR="00EC18D7">
        <w:t xml:space="preserve"> seized </w:t>
      </w:r>
      <w:r w:rsidR="00EC18D7">
        <w:lastRenderedPageBreak/>
        <w:t xml:space="preserve">with the rule 43 application, which is the stage at which the court may consider any further evidence upon application, or indeed </w:t>
      </w:r>
      <w:r w:rsidR="00EC18D7">
        <w:rPr>
          <w:i/>
        </w:rPr>
        <w:t>mero motu</w:t>
      </w:r>
      <w:r w:rsidR="00EC18D7">
        <w:t>, to ensure a just and expeditious decision</w:t>
      </w:r>
      <w:r w:rsidR="00AA192E">
        <w:t xml:space="preserve"> under rule 43(5)</w:t>
      </w:r>
      <w:r w:rsidR="00EC18D7">
        <w:t>. It is equally important to emphasise that there is a distinction between attacking offending material in an affidavit (which is where a notice to strike out applies) and an irregular step taken in litigation (when rule 30 applies).</w:t>
      </w:r>
      <w:r w:rsidR="00764A7C">
        <w:t xml:space="preserve"> In contending that the applicant is limited to a striking out application the</w:t>
      </w:r>
      <w:r w:rsidR="00EC18D7">
        <w:t xml:space="preserve"> respondent conflates the two and misconceives the nature of some of the relief sought by the applicant. What he challenges </w:t>
      </w:r>
      <w:r w:rsidR="00EC18D7">
        <w:rPr>
          <w:u w:val="single"/>
        </w:rPr>
        <w:t>in addition to</w:t>
      </w:r>
      <w:r w:rsidR="00EC18D7">
        <w:t xml:space="preserve"> what he contends is offending material is the FDF relief under the guise of rule 43.</w:t>
      </w:r>
      <w:r w:rsidR="00F838FF">
        <w:t xml:space="preserve"> </w:t>
      </w:r>
    </w:p>
    <w:p w14:paraId="3C2B5845" w14:textId="56FA2E70" w:rsidR="003B4C36" w:rsidRDefault="00CE1DF5" w:rsidP="00CE1DF5">
      <w:pPr>
        <w:spacing w:after="480" w:line="480" w:lineRule="auto"/>
        <w:ind w:left="720" w:hanging="720"/>
        <w:jc w:val="both"/>
      </w:pPr>
      <w:r>
        <w:t>[14]</w:t>
      </w:r>
      <w:r>
        <w:tab/>
      </w:r>
      <w:r w:rsidR="00CD2EA4">
        <w:t xml:space="preserve">Although </w:t>
      </w:r>
      <w:r w:rsidR="00F838FF">
        <w:t xml:space="preserve">the respondent </w:t>
      </w:r>
      <w:r w:rsidR="00CD2EA4">
        <w:t xml:space="preserve">complains of being </w:t>
      </w:r>
      <w:r w:rsidR="00CD2EA4">
        <w:rPr>
          <w:i/>
        </w:rPr>
        <w:t>‘…unfairly disadvantaged and discriminated against in my access to justice</w:t>
      </w:r>
      <w:r w:rsidR="00F838FF">
        <w:rPr>
          <w:i/>
        </w:rPr>
        <w:t>..</w:t>
      </w:r>
      <w:r w:rsidR="00CD2EA4">
        <w:rPr>
          <w:i/>
        </w:rPr>
        <w:t xml:space="preserve">. </w:t>
      </w:r>
      <w:r w:rsidR="00F838FF">
        <w:rPr>
          <w:i/>
        </w:rPr>
        <w:t>m</w:t>
      </w:r>
      <w:r w:rsidR="00CD2EA4">
        <w:rPr>
          <w:i/>
        </w:rPr>
        <w:t>y constitutional right to a fair hearing is unfairly prejudice</w:t>
      </w:r>
      <w:r w:rsidR="00F838FF">
        <w:rPr>
          <w:i/>
        </w:rPr>
        <w:t>d</w:t>
      </w:r>
      <w:r w:rsidR="00CD2EA4">
        <w:rPr>
          <w:i/>
        </w:rPr>
        <w:t xml:space="preserve"> by this…’</w:t>
      </w:r>
      <w:r w:rsidR="00F838FF">
        <w:rPr>
          <w:i/>
        </w:rPr>
        <w:t xml:space="preserve"> </w:t>
      </w:r>
      <w:r w:rsidR="00F838FF" w:rsidRPr="00F838FF">
        <w:t>n</w:t>
      </w:r>
      <w:r w:rsidR="00CD2EA4" w:rsidRPr="00F838FF">
        <w:t>o</w:t>
      </w:r>
      <w:r w:rsidR="00CD2EA4">
        <w:t xml:space="preserve"> challenge has been </w:t>
      </w:r>
      <w:r w:rsidR="00F838FF">
        <w:t>made by her to</w:t>
      </w:r>
      <w:r w:rsidR="00CD2EA4">
        <w:t xml:space="preserve"> the constitutional</w:t>
      </w:r>
      <w:r w:rsidR="004B3EBA">
        <w:t>ity</w:t>
      </w:r>
      <w:r w:rsidR="00CD2EA4">
        <w:t xml:space="preserve"> of rule </w:t>
      </w:r>
      <w:r w:rsidR="00613628">
        <w:t>43</w:t>
      </w:r>
      <w:r w:rsidR="00F838FF">
        <w:t xml:space="preserve"> itself.</w:t>
      </w:r>
      <w:r w:rsidR="00613628">
        <w:t xml:space="preserve"> </w:t>
      </w:r>
      <w:r w:rsidR="00F838FF">
        <w:t xml:space="preserve">A different challenge to the rule on the basis that </w:t>
      </w:r>
      <w:r w:rsidR="00613628">
        <w:rPr>
          <w:i/>
        </w:rPr>
        <w:t>‘[I]t contains no guidelines, timelines, is indefinite and non-appealable’</w:t>
      </w:r>
      <w:r w:rsidR="00613628">
        <w:t xml:space="preserve"> was rejected by the </w:t>
      </w:r>
      <w:r w:rsidR="00F838FF">
        <w:t>c</w:t>
      </w:r>
      <w:r w:rsidR="00613628">
        <w:t>ourt</w:t>
      </w:r>
      <w:r w:rsidR="00F838FF">
        <w:t xml:space="preserve"> i</w:t>
      </w:r>
      <w:r w:rsidR="00613628">
        <w:t xml:space="preserve">n </w:t>
      </w:r>
      <w:r w:rsidR="00613628">
        <w:rPr>
          <w:i/>
        </w:rPr>
        <w:t>CT v MT</w:t>
      </w:r>
      <w:r w:rsidR="00613628" w:rsidRPr="00613628">
        <w:rPr>
          <w:rStyle w:val="FootnoteReference"/>
        </w:rPr>
        <w:footnoteReference w:id="4"/>
      </w:r>
      <w:r w:rsidR="00613628">
        <w:t xml:space="preserve"> </w:t>
      </w:r>
      <w:r w:rsidR="004B3EBA">
        <w:t xml:space="preserve">in </w:t>
      </w:r>
      <w:r w:rsidR="000155FC">
        <w:t>which</w:t>
      </w:r>
      <w:r w:rsidR="004B3EBA">
        <w:t xml:space="preserve"> it was </w:t>
      </w:r>
      <w:r w:rsidR="00613628">
        <w:t>found as follows:</w:t>
      </w:r>
    </w:p>
    <w:p w14:paraId="30C09272" w14:textId="3C3E3578" w:rsidR="00613628" w:rsidRDefault="00613628" w:rsidP="00613628">
      <w:pPr>
        <w:spacing w:after="240" w:line="360" w:lineRule="auto"/>
        <w:ind w:left="1440"/>
        <w:jc w:val="both"/>
        <w:rPr>
          <w:i/>
          <w:sz w:val="22"/>
          <w:szCs w:val="22"/>
        </w:rPr>
      </w:pPr>
      <w:r>
        <w:rPr>
          <w:i/>
          <w:sz w:val="22"/>
          <w:szCs w:val="22"/>
        </w:rPr>
        <w:t xml:space="preserve">‘[18]  The applicant’s statement of case does not expand upon the respects in which rule 43 is said to violate rights guaranteed in the Bill of Rights and indeed he does not expressly allege that the rule is invalid for violating these rights. In his oral submissions he confined himself to the complaint that the rule contains no guidelines or timelines and is indefinite. </w:t>
      </w:r>
    </w:p>
    <w:p w14:paraId="39960F2A" w14:textId="476801DD" w:rsidR="00613628" w:rsidRDefault="00613628" w:rsidP="00613628">
      <w:pPr>
        <w:spacing w:after="240" w:line="360" w:lineRule="auto"/>
        <w:ind w:left="1440"/>
        <w:jc w:val="both"/>
        <w:rPr>
          <w:b/>
          <w:i/>
          <w:sz w:val="22"/>
          <w:szCs w:val="22"/>
        </w:rPr>
      </w:pPr>
      <w:r>
        <w:rPr>
          <w:i/>
          <w:sz w:val="22"/>
          <w:szCs w:val="22"/>
        </w:rPr>
        <w:t xml:space="preserve">[19]  However, to the extent that the applicant intended to advance the case that the rule is invalid for violating one or more of the above sections of the Bill of Rights, I reject the argument. I remind myself at the outset that the rules of </w:t>
      </w:r>
      <w:r>
        <w:rPr>
          <w:i/>
          <w:sz w:val="22"/>
          <w:szCs w:val="22"/>
        </w:rPr>
        <w:lastRenderedPageBreak/>
        <w:t xml:space="preserve">court are concerned with the procedure by which substantive rights are enforced. They do not lay down substantive law </w:t>
      </w:r>
      <w:r>
        <w:rPr>
          <w:b/>
          <w:i/>
          <w:sz w:val="22"/>
          <w:szCs w:val="22"/>
        </w:rPr>
        <w:t>(United Reflective Converters (Pty) Ltd v Levine;</w:t>
      </w:r>
      <w:r>
        <w:rPr>
          <w:rStyle w:val="FootnoteReference"/>
          <w:b/>
          <w:i/>
          <w:sz w:val="22"/>
          <w:szCs w:val="22"/>
        </w:rPr>
        <w:footnoteReference w:id="5"/>
      </w:r>
      <w:r>
        <w:rPr>
          <w:b/>
          <w:i/>
          <w:sz w:val="22"/>
          <w:szCs w:val="22"/>
        </w:rPr>
        <w:t xml:space="preserve"> Prism Payment Technologies (Pty) Ltd v Altech Information Technologies (Pty) Ltd t/a Altech with Card Solutions and Others</w:t>
      </w:r>
      <w:r w:rsidR="00011A41">
        <w:rPr>
          <w:b/>
          <w:i/>
          <w:sz w:val="22"/>
          <w:szCs w:val="22"/>
        </w:rPr>
        <w:t>;</w:t>
      </w:r>
      <w:r w:rsidR="00011A41">
        <w:rPr>
          <w:rStyle w:val="FootnoteReference"/>
          <w:b/>
          <w:i/>
          <w:sz w:val="22"/>
          <w:szCs w:val="22"/>
        </w:rPr>
        <w:footnoteReference w:id="6"/>
      </w:r>
      <w:r w:rsidR="00011A41">
        <w:rPr>
          <w:b/>
          <w:i/>
          <w:sz w:val="22"/>
          <w:szCs w:val="22"/>
        </w:rPr>
        <w:t xml:space="preserve"> Standard Bank of South Africa Ltd v Hendricks &amp; Another and 5</w:t>
      </w:r>
      <w:r w:rsidR="002433AE">
        <w:rPr>
          <w:b/>
          <w:i/>
          <w:sz w:val="22"/>
          <w:szCs w:val="22"/>
        </w:rPr>
        <w:t> </w:t>
      </w:r>
      <w:r w:rsidR="00011A41">
        <w:rPr>
          <w:b/>
          <w:i/>
          <w:sz w:val="22"/>
          <w:szCs w:val="22"/>
        </w:rPr>
        <w:t>similar cases.</w:t>
      </w:r>
      <w:r w:rsidR="00011A41">
        <w:rPr>
          <w:rStyle w:val="FootnoteReference"/>
          <w:b/>
          <w:i/>
          <w:sz w:val="22"/>
          <w:szCs w:val="22"/>
        </w:rPr>
        <w:footnoteReference w:id="7"/>
      </w:r>
      <w:r w:rsidR="00011A41">
        <w:rPr>
          <w:i/>
          <w:sz w:val="22"/>
          <w:szCs w:val="22"/>
        </w:rPr>
        <w:t xml:space="preserve"> Specifically in relation to rule 43</w:t>
      </w:r>
      <w:r w:rsidR="002433AE">
        <w:rPr>
          <w:i/>
          <w:sz w:val="22"/>
          <w:szCs w:val="22"/>
        </w:rPr>
        <w:t>, Vos J in this Division said in</w:t>
      </w:r>
      <w:r w:rsidR="002433AE">
        <w:rPr>
          <w:b/>
          <w:i/>
          <w:sz w:val="22"/>
          <w:szCs w:val="22"/>
        </w:rPr>
        <w:t xml:space="preserve"> Harwood v Harwood</w:t>
      </w:r>
      <w:r w:rsidR="002433AE">
        <w:rPr>
          <w:rStyle w:val="FootnoteReference"/>
          <w:b/>
          <w:i/>
          <w:sz w:val="22"/>
          <w:szCs w:val="22"/>
        </w:rPr>
        <w:footnoteReference w:id="8"/>
      </w:r>
      <w:r w:rsidR="002433AE">
        <w:rPr>
          <w:b/>
          <w:i/>
          <w:sz w:val="22"/>
          <w:szCs w:val="22"/>
        </w:rPr>
        <w:t xml:space="preserve"> </w:t>
      </w:r>
      <w:r w:rsidR="002433AE">
        <w:rPr>
          <w:i/>
          <w:sz w:val="22"/>
          <w:szCs w:val="22"/>
        </w:rPr>
        <w:t xml:space="preserve">that rule 43 governs procedure and does not affect the substantive law (see also </w:t>
      </w:r>
      <w:r w:rsidR="002433AE">
        <w:rPr>
          <w:b/>
          <w:i/>
          <w:sz w:val="22"/>
          <w:szCs w:val="22"/>
        </w:rPr>
        <w:t>Jeanes v Jeanes and Another</w:t>
      </w:r>
      <w:r w:rsidR="00BC04B2">
        <w:rPr>
          <w:b/>
          <w:i/>
          <w:sz w:val="22"/>
          <w:szCs w:val="22"/>
        </w:rPr>
        <w:t>)</w:t>
      </w:r>
      <w:r w:rsidR="002433AE">
        <w:rPr>
          <w:b/>
          <w:i/>
          <w:sz w:val="22"/>
          <w:szCs w:val="22"/>
        </w:rPr>
        <w:t>.</w:t>
      </w:r>
      <w:r w:rsidR="002433AE">
        <w:rPr>
          <w:rStyle w:val="FootnoteReference"/>
          <w:b/>
          <w:i/>
          <w:sz w:val="22"/>
          <w:szCs w:val="22"/>
        </w:rPr>
        <w:footnoteReference w:id="9"/>
      </w:r>
    </w:p>
    <w:p w14:paraId="21F23033" w14:textId="47264CE6" w:rsidR="002433AE" w:rsidRDefault="002433AE" w:rsidP="00613628">
      <w:pPr>
        <w:spacing w:after="240" w:line="360" w:lineRule="auto"/>
        <w:ind w:left="1440"/>
        <w:jc w:val="both"/>
        <w:rPr>
          <w:i/>
          <w:sz w:val="22"/>
          <w:szCs w:val="22"/>
        </w:rPr>
      </w:pPr>
      <w:r>
        <w:rPr>
          <w:i/>
          <w:sz w:val="22"/>
          <w:szCs w:val="22"/>
        </w:rPr>
        <w:t xml:space="preserve">[20]  The court’s power to make pendente lite orders for maintenance, contribution to costs, and access to and custody of children, is a power which vests in it by virtue of substantive law. It is a power which was exercised for many decades before rule 43 was introduced. If rule 43 were abolished, the substantive power would not disappear. Only the procedure by which it is invoked would change </w:t>
      </w:r>
      <w:r w:rsidR="00204956">
        <w:rPr>
          <w:i/>
          <w:sz w:val="22"/>
          <w:szCs w:val="22"/>
        </w:rPr>
        <w:t>(a spouse would seek pendente lite relief by way of an ordinary application).</w:t>
      </w:r>
    </w:p>
    <w:p w14:paraId="2360ED8C" w14:textId="338464BD" w:rsidR="00204956" w:rsidRPr="00204956" w:rsidRDefault="00204956" w:rsidP="00BC04B2">
      <w:pPr>
        <w:spacing w:after="600" w:line="360" w:lineRule="auto"/>
        <w:ind w:left="1440"/>
        <w:jc w:val="both"/>
        <w:rPr>
          <w:i/>
          <w:sz w:val="22"/>
          <w:szCs w:val="22"/>
        </w:rPr>
      </w:pPr>
      <w:r>
        <w:rPr>
          <w:i/>
          <w:sz w:val="22"/>
          <w:szCs w:val="22"/>
        </w:rPr>
        <w:t>[21]  It follows that in a challenge to the constitutional validity of rule 43 one is not concerned with the notional detriment which spouses may suffer from orders made against them pendente lite in accordance with substantive law but only with such detriment as flows from the specific procedure laid down in rule 43 for obtaining such orders.’</w:t>
      </w:r>
    </w:p>
    <w:p w14:paraId="658D4336" w14:textId="670F74A1" w:rsidR="00BC04B2" w:rsidRDefault="00CE1DF5" w:rsidP="00CE1DF5">
      <w:pPr>
        <w:spacing w:after="480" w:line="480" w:lineRule="auto"/>
        <w:ind w:left="720" w:hanging="720"/>
        <w:jc w:val="both"/>
      </w:pPr>
      <w:r>
        <w:t>[15]</w:t>
      </w:r>
      <w:r>
        <w:tab/>
      </w:r>
      <w:r w:rsidR="00F00C54">
        <w:t>So too</w:t>
      </w:r>
      <w:r w:rsidR="00D54EB1">
        <w:t xml:space="preserve"> in an earlier decision of the Constitutional Court in </w:t>
      </w:r>
      <w:r w:rsidR="00D54EB1">
        <w:rPr>
          <w:i/>
        </w:rPr>
        <w:t>S v S and Another</w:t>
      </w:r>
      <w:r w:rsidR="00D54EB1" w:rsidRPr="00D54EB1">
        <w:rPr>
          <w:rStyle w:val="FootnoteReference"/>
        </w:rPr>
        <w:footnoteReference w:id="10"/>
      </w:r>
      <w:r w:rsidR="00D54EB1">
        <w:t xml:space="preserve"> the apex court recognised that a challenge to the constitutionality of rule 43 is permissible. It stated that:</w:t>
      </w:r>
    </w:p>
    <w:p w14:paraId="254EBE29" w14:textId="48719664" w:rsidR="00D54EB1" w:rsidRPr="00750650" w:rsidRDefault="008E6AAD" w:rsidP="003B43BD">
      <w:pPr>
        <w:spacing w:after="600" w:line="360" w:lineRule="auto"/>
        <w:ind w:left="1440"/>
        <w:jc w:val="both"/>
        <w:rPr>
          <w:i/>
          <w:sz w:val="22"/>
          <w:szCs w:val="22"/>
        </w:rPr>
      </w:pPr>
      <w:r>
        <w:rPr>
          <w:i/>
          <w:sz w:val="22"/>
          <w:szCs w:val="22"/>
        </w:rPr>
        <w:t xml:space="preserve">‘[53]  The root of Mr S problem lies in rule 43 rather than section 16(3). The constitutionality of rule 43 was not in issue before this Court and counsel for the </w:t>
      </w:r>
      <w:r>
        <w:rPr>
          <w:i/>
          <w:sz w:val="22"/>
          <w:szCs w:val="22"/>
        </w:rPr>
        <w:lastRenderedPageBreak/>
        <w:t>applicant made it clear that his argument was confined to the unconstitutionality of section 16(3). Rule 43 may be wanting in certain respects and there may well be grounds for a review of rule 43(6) in the future to include not only changed circumstances but also “exceptional circumstances”. However, this is not a decision this Court is called upon to make.’</w:t>
      </w:r>
    </w:p>
    <w:p w14:paraId="36933244" w14:textId="796BFB08" w:rsidR="00613628" w:rsidRDefault="00CE1DF5" w:rsidP="00CE1DF5">
      <w:pPr>
        <w:spacing w:after="480" w:line="480" w:lineRule="auto"/>
        <w:ind w:left="720" w:hanging="720"/>
        <w:jc w:val="both"/>
      </w:pPr>
      <w:r>
        <w:t>[16]</w:t>
      </w:r>
      <w:r>
        <w:tab/>
      </w:r>
      <w:r w:rsidR="00204956" w:rsidRPr="00764A7C">
        <w:rPr>
          <w:u w:val="single"/>
        </w:rPr>
        <w:t>Third</w:t>
      </w:r>
      <w:r w:rsidR="00204956">
        <w:t xml:space="preserve">, the alleged constitutional </w:t>
      </w:r>
      <w:r w:rsidR="00C82745">
        <w:t xml:space="preserve">violation identified is in reality the </w:t>
      </w:r>
      <w:r w:rsidR="00424F1E">
        <w:t>absence</w:t>
      </w:r>
      <w:r w:rsidR="00C82745">
        <w:t xml:space="preserve"> in rule 43 </w:t>
      </w:r>
      <w:r w:rsidR="00424F1E">
        <w:t>of a stipulation for</w:t>
      </w:r>
      <w:r w:rsidR="00C82745">
        <w:t xml:space="preserve"> </w:t>
      </w:r>
      <w:r w:rsidR="007949B8">
        <w:t xml:space="preserve">advance </w:t>
      </w:r>
      <w:r w:rsidR="00C82745">
        <w:t xml:space="preserve">financial disclosure in </w:t>
      </w:r>
      <w:r w:rsidR="00424F1E">
        <w:t>applications</w:t>
      </w:r>
      <w:r w:rsidR="00C82745">
        <w:t xml:space="preserve"> for relief </w:t>
      </w:r>
      <w:r w:rsidR="00C82745" w:rsidRPr="00C82745">
        <w:rPr>
          <w:i/>
        </w:rPr>
        <w:t>pendente lite</w:t>
      </w:r>
      <w:r w:rsidR="00C82745">
        <w:t xml:space="preserve">. </w:t>
      </w:r>
      <w:r w:rsidR="00764A7C">
        <w:t>However</w:t>
      </w:r>
      <w:r w:rsidR="00C82745">
        <w:t xml:space="preserve"> in the present case the respondent herself allege</w:t>
      </w:r>
      <w:r w:rsidR="00424F1E">
        <w:t>s</w:t>
      </w:r>
      <w:r w:rsidR="00C82745">
        <w:t xml:space="preserve"> in the rule 43 application that the parties have already made discovery in their pending divorce action</w:t>
      </w:r>
      <w:r w:rsidR="00424F1E">
        <w:t>,</w:t>
      </w:r>
      <w:r w:rsidR="00C82745">
        <w:t xml:space="preserve"> which is under case management; subpoenas have been served on the local banks where the applicant holds accounts; </w:t>
      </w:r>
      <w:r w:rsidR="00424F1E">
        <w:t>but,</w:t>
      </w:r>
      <w:r w:rsidR="00C82745">
        <w:t xml:space="preserve"> since most of the applicant’s financial resources are allegedly offshore</w:t>
      </w:r>
      <w:r w:rsidR="00424F1E">
        <w:t>,</w:t>
      </w:r>
      <w:r w:rsidR="00C82745">
        <w:t xml:space="preserve"> she cannot subpoena what she considers to be relevant documents</w:t>
      </w:r>
      <w:r w:rsidR="00424F1E">
        <w:t xml:space="preserve"> in relation thereto</w:t>
      </w:r>
      <w:r w:rsidR="00C82745">
        <w:t>.</w:t>
      </w:r>
      <w:r w:rsidR="00675E6E">
        <w:t xml:space="preserve"> She states that since the applicant </w:t>
      </w:r>
      <w:r w:rsidR="00675E6E">
        <w:rPr>
          <w:i/>
        </w:rPr>
        <w:t>‘…has not obliged… I will have to pursue further discovery and issue further subpoenas.’.</w:t>
      </w:r>
      <w:r w:rsidR="00675E6E">
        <w:t xml:space="preserve"> I raised this with counsel for the respondent during argument and was informed that she has subsequently invoked rule 35(3).</w:t>
      </w:r>
    </w:p>
    <w:p w14:paraId="4A295750" w14:textId="0376A386" w:rsidR="00C82745" w:rsidRDefault="00CE1DF5" w:rsidP="00CE1DF5">
      <w:pPr>
        <w:spacing w:after="480" w:line="480" w:lineRule="auto"/>
        <w:ind w:left="720" w:hanging="720"/>
        <w:jc w:val="both"/>
      </w:pPr>
      <w:r>
        <w:t>[17]</w:t>
      </w:r>
      <w:r>
        <w:tab/>
      </w:r>
      <w:r w:rsidR="00807F2A">
        <w:t>P</w:t>
      </w:r>
      <w:r w:rsidR="00C82745">
        <w:t xml:space="preserve">eculiarly, the </w:t>
      </w:r>
      <w:r w:rsidR="009F7A5F">
        <w:t xml:space="preserve">maintenance </w:t>
      </w:r>
      <w:r w:rsidR="000D2E81">
        <w:t>claimed</w:t>
      </w:r>
      <w:r w:rsidR="00C82745">
        <w:t xml:space="preserve"> in the rule 43 application appears to </w:t>
      </w:r>
      <w:r w:rsidR="000D2E81">
        <w:t>include</w:t>
      </w:r>
      <w:r w:rsidR="00C82745">
        <w:t xml:space="preserve"> some kind of “interim interim” mandatory relief – i.e. that the applicant must pay everything </w:t>
      </w:r>
      <w:r w:rsidR="009F7A5F">
        <w:t xml:space="preserve">the respondent </w:t>
      </w:r>
      <w:r w:rsidR="00C82745">
        <w:t xml:space="preserve">demands as maintenance until the </w:t>
      </w:r>
      <w:r w:rsidR="009F7A5F">
        <w:t>c</w:t>
      </w:r>
      <w:r w:rsidR="00C82745">
        <w:t xml:space="preserve">ourt is satisfied that he has made the financial disclosure which </w:t>
      </w:r>
      <w:r w:rsidR="00C82745">
        <w:rPr>
          <w:u w:val="single"/>
        </w:rPr>
        <w:t>she</w:t>
      </w:r>
      <w:r w:rsidR="00C82745">
        <w:t xml:space="preserve"> requires</w:t>
      </w:r>
      <w:r w:rsidR="00807F2A">
        <w:t>.</w:t>
      </w:r>
      <w:r w:rsidR="009F7A5F">
        <w:t xml:space="preserve"> </w:t>
      </w:r>
    </w:p>
    <w:p w14:paraId="534C6584" w14:textId="57200BEF" w:rsidR="007B79DB" w:rsidRDefault="00CE1DF5" w:rsidP="00CE1DF5">
      <w:pPr>
        <w:spacing w:after="480" w:line="480" w:lineRule="auto"/>
        <w:ind w:left="720" w:hanging="720"/>
        <w:jc w:val="both"/>
      </w:pPr>
      <w:r>
        <w:t>[18]</w:t>
      </w:r>
      <w:r>
        <w:tab/>
      </w:r>
      <w:r w:rsidR="00807F2A">
        <w:t xml:space="preserve">For </w:t>
      </w:r>
      <w:r w:rsidR="007B79DB">
        <w:t>these reasons</w:t>
      </w:r>
      <w:r w:rsidR="00EB58D3">
        <w:t xml:space="preserve">, subject to what is set out below, </w:t>
      </w:r>
      <w:r w:rsidR="00807F2A">
        <w:t xml:space="preserve">I am persuaded that </w:t>
      </w:r>
      <w:r w:rsidR="007B79DB">
        <w:t>the</w:t>
      </w:r>
      <w:r w:rsidR="009F7A5F">
        <w:t xml:space="preserve"> </w:t>
      </w:r>
      <w:r w:rsidR="000D2E81">
        <w:t xml:space="preserve">rule 30 </w:t>
      </w:r>
      <w:r w:rsidR="009F7A5F">
        <w:t>applica</w:t>
      </w:r>
      <w:r w:rsidR="00CC352D">
        <w:t>tion</w:t>
      </w:r>
      <w:r w:rsidR="007B79DB">
        <w:t xml:space="preserve"> must succeed. </w:t>
      </w:r>
      <w:r w:rsidR="009F7A5F">
        <w:t>I also agree with</w:t>
      </w:r>
      <w:r w:rsidR="007B79DB">
        <w:t xml:space="preserve"> the applicant’s submission </w:t>
      </w:r>
      <w:r w:rsidR="007B79DB">
        <w:lastRenderedPageBreak/>
        <w:t xml:space="preserve">that a punitive costs order </w:t>
      </w:r>
      <w:r w:rsidR="009F7A5F">
        <w:t>against the respondent</w:t>
      </w:r>
      <w:r w:rsidR="000D2E81">
        <w:t xml:space="preserve"> is appropriate</w:t>
      </w:r>
      <w:r w:rsidR="007B79DB">
        <w:t xml:space="preserve">. The respondent’s attorney saw fit, at an early stage of these proceedings, to threaten the applicant’s counsel and attorney with a costs order </w:t>
      </w:r>
      <w:r w:rsidR="007B79DB">
        <w:rPr>
          <w:i/>
        </w:rPr>
        <w:t>de bonis propriis</w:t>
      </w:r>
      <w:r w:rsidR="009F7A5F">
        <w:rPr>
          <w:i/>
        </w:rPr>
        <w:t>.</w:t>
      </w:r>
      <w:r w:rsidR="009F7A5F">
        <w:t xml:space="preserve"> That was entirely unwarranted. This threat</w:t>
      </w:r>
      <w:r w:rsidR="007B79DB">
        <w:t xml:space="preserve"> could only have been on the instructions of the respondent herself (indeed if this were not so it would be disturbing).</w:t>
      </w:r>
      <w:r w:rsidR="0005598E">
        <w:t xml:space="preserve"> The applicant was entitled to approach this court to set aside the irregular step </w:t>
      </w:r>
      <w:r w:rsidR="00340D29">
        <w:t xml:space="preserve">(or proceeding) </w:t>
      </w:r>
      <w:r w:rsidR="0005598E">
        <w:t xml:space="preserve">without first having to deal with the merits of the rule 43 application, and the respondent’s failure or refusal to appreciate this resulted in substantial and unnecessary costs being incurred by </w:t>
      </w:r>
      <w:r w:rsidR="00340D29">
        <w:t>him</w:t>
      </w:r>
      <w:r w:rsidR="0005598E">
        <w:t xml:space="preserve">. </w:t>
      </w:r>
    </w:p>
    <w:p w14:paraId="70A2A422" w14:textId="1522122D" w:rsidR="007B79DB" w:rsidRDefault="00CE1DF5" w:rsidP="00CE1DF5">
      <w:pPr>
        <w:spacing w:after="480" w:line="480" w:lineRule="auto"/>
        <w:ind w:left="720" w:hanging="720"/>
        <w:jc w:val="both"/>
      </w:pPr>
      <w:r>
        <w:t>[19]</w:t>
      </w:r>
      <w:r>
        <w:tab/>
      </w:r>
      <w:r w:rsidR="007B79DB">
        <w:t xml:space="preserve">Further, </w:t>
      </w:r>
      <w:r w:rsidR="0005598E">
        <w:t>apart from a bald allegation</w:t>
      </w:r>
      <w:r w:rsidR="00340D29">
        <w:t xml:space="preserve"> </w:t>
      </w:r>
      <w:r w:rsidR="0005598E">
        <w:t>of urgency</w:t>
      </w:r>
      <w:r w:rsidR="00340D29">
        <w:t xml:space="preserve"> tucked away</w:t>
      </w:r>
      <w:r w:rsidR="0005598E">
        <w:t xml:space="preserve"> </w:t>
      </w:r>
      <w:r w:rsidR="007B79DB">
        <w:t xml:space="preserve">in the rule 43 </w:t>
      </w:r>
      <w:r w:rsidR="007949B8">
        <w:t>affidavit (the notice itself is silent on this)</w:t>
      </w:r>
      <w:r w:rsidR="00B7168D">
        <w:t>,</w:t>
      </w:r>
      <w:r w:rsidR="009F7A5F">
        <w:t xml:space="preserve"> after receipt of the rule 30 notice</w:t>
      </w:r>
      <w:r w:rsidR="007B79DB">
        <w:t xml:space="preserve"> the matter suddenly </w:t>
      </w:r>
      <w:r w:rsidR="009F7A5F">
        <w:t>burgeoned</w:t>
      </w:r>
      <w:r w:rsidR="007B79DB">
        <w:t xml:space="preserve">, at the </w:t>
      </w:r>
      <w:r w:rsidR="00340D29">
        <w:t>insistence</w:t>
      </w:r>
      <w:r w:rsidR="007B79DB">
        <w:t xml:space="preserve"> of the respondent’s attorney, to one of such</w:t>
      </w:r>
      <w:r w:rsidR="009F7A5F">
        <w:t xml:space="preserve"> apparent </w:t>
      </w:r>
      <w:r w:rsidR="007B79DB">
        <w:t xml:space="preserve">dire urgency that the Acting Judge President was approached by </w:t>
      </w:r>
      <w:r w:rsidR="00340D29">
        <w:t>her</w:t>
      </w:r>
      <w:r w:rsidR="007B79DB">
        <w:t xml:space="preserve"> to allocate a special </w:t>
      </w:r>
      <w:r w:rsidR="009F7A5F">
        <w:t xml:space="preserve">preferential </w:t>
      </w:r>
      <w:r w:rsidR="007B79DB">
        <w:t xml:space="preserve">date </w:t>
      </w:r>
      <w:r w:rsidR="00247644">
        <w:t xml:space="preserve">for the hearing of these two applications </w:t>
      </w:r>
      <w:r w:rsidR="00340D29">
        <w:t>in Fourth Division</w:t>
      </w:r>
      <w:r w:rsidR="00247644">
        <w:t>,</w:t>
      </w:r>
      <w:r w:rsidR="00340D29">
        <w:t xml:space="preserve"> </w:t>
      </w:r>
      <w:r w:rsidR="00E862A9">
        <w:t xml:space="preserve">and for reasons that were not explained by counsel, </w:t>
      </w:r>
      <w:r w:rsidR="00247644">
        <w:t xml:space="preserve">by </w:t>
      </w:r>
      <w:r w:rsidR="00E862A9">
        <w:t>a Judge other than the case management Judge despite Practice Directive 41(4) of this Division. After that request was granted an order was made by the Acting Judge President (by agreement) that the respondent’s condonation application would be heard at the same time as the rule 30 application</w:t>
      </w:r>
      <w:r w:rsidR="00247644">
        <w:t xml:space="preserve"> (and indeed that heads of argument would simply be handed up at the hearing)</w:t>
      </w:r>
      <w:r w:rsidR="00E862A9">
        <w:t xml:space="preserve">. Perhaps the respondent did not give much thought to this but the effect of </w:t>
      </w:r>
      <w:r w:rsidR="00247644">
        <w:t>agreeing to a simultaneous hearing</w:t>
      </w:r>
      <w:r w:rsidR="00E862A9">
        <w:t xml:space="preserve"> was to dispense with her contention that the rule 30 notice was pre-emptive of her condonation application</w:t>
      </w:r>
      <w:r w:rsidR="00247644">
        <w:t>,</w:t>
      </w:r>
      <w:r w:rsidR="00E862A9">
        <w:t xml:space="preserve"> which </w:t>
      </w:r>
      <w:r w:rsidR="00E862A9">
        <w:lastRenderedPageBreak/>
        <w:t>the Judge seized with the rule 43 application would</w:t>
      </w:r>
      <w:r w:rsidR="00247644">
        <w:t xml:space="preserve"> in the normal course have been</w:t>
      </w:r>
      <w:r w:rsidR="00E862A9">
        <w:t xml:space="preserve"> required to consider and determine. </w:t>
      </w:r>
      <w:r w:rsidR="00B7168D">
        <w:t xml:space="preserve"> </w:t>
      </w:r>
    </w:p>
    <w:p w14:paraId="5307AFB2" w14:textId="3ABA38CE" w:rsidR="00E862A9" w:rsidRDefault="00CE1DF5" w:rsidP="00CE1DF5">
      <w:pPr>
        <w:spacing w:after="480" w:line="480" w:lineRule="auto"/>
        <w:ind w:left="720" w:hanging="720"/>
        <w:jc w:val="both"/>
      </w:pPr>
      <w:r>
        <w:t>[20]</w:t>
      </w:r>
      <w:r>
        <w:tab/>
      </w:r>
      <w:r w:rsidR="001435AE">
        <w:t>In conclusion, part of the relief sought by the applicant is an order that the rule 43 application may not be re-enrolled without compliance with the provisions o</w:t>
      </w:r>
      <w:r w:rsidR="00926A7D">
        <w:t>f</w:t>
      </w:r>
      <w:r w:rsidR="001435AE">
        <w:t xml:space="preserve"> rule 43(1) and (2). I have given this careful thought and have decided not to grant this portion of the relief for two reasons. First, the respondent may wish to launch a constitutional challenge to rule 43</w:t>
      </w:r>
      <w:r w:rsidR="00247644">
        <w:t>. In</w:t>
      </w:r>
      <w:r w:rsidR="00E862A9">
        <w:t xml:space="preserve"> my view </w:t>
      </w:r>
      <w:r w:rsidR="00247644">
        <w:t xml:space="preserve">the rule </w:t>
      </w:r>
      <w:r w:rsidR="00E862A9">
        <w:t>should have been overhauled by the Rules Board long ago</w:t>
      </w:r>
      <w:r w:rsidR="00247644">
        <w:t xml:space="preserve">. Save for </w:t>
      </w:r>
      <w:r w:rsidR="00E862A9">
        <w:t xml:space="preserve"> </w:t>
      </w:r>
      <w:r w:rsidR="00247644">
        <w:t xml:space="preserve">sub-rules 43(7) and (8), and </w:t>
      </w:r>
      <w:r w:rsidR="00E862A9">
        <w:t>despite the advent of the Bill of Rights</w:t>
      </w:r>
      <w:r w:rsidR="00247644">
        <w:t xml:space="preserve"> in the Constitution</w:t>
      </w:r>
      <w:r w:rsidR="00E862A9">
        <w:t>, it has remained unchanged since 1965</w:t>
      </w:r>
      <w:r w:rsidR="001435AE">
        <w:t xml:space="preserve">. </w:t>
      </w:r>
    </w:p>
    <w:p w14:paraId="6E4B423E" w14:textId="79CCA3F0" w:rsidR="001435AE" w:rsidRDefault="00CE1DF5" w:rsidP="00CE1DF5">
      <w:pPr>
        <w:spacing w:after="480" w:line="480" w:lineRule="auto"/>
        <w:ind w:left="720" w:hanging="720"/>
        <w:jc w:val="both"/>
      </w:pPr>
      <w:r>
        <w:t>[21]</w:t>
      </w:r>
      <w:r>
        <w:tab/>
      </w:r>
      <w:r w:rsidR="001435AE">
        <w:t>Second, given the manner in which the litigat</w:t>
      </w:r>
      <w:r w:rsidR="00926A7D">
        <w:t>ion has progressed</w:t>
      </w:r>
      <w:r w:rsidR="001435AE">
        <w:t xml:space="preserve"> thus far, if I were to grant the order sought in respect of rule 43(2) there is a real risk that another court will land up being burdened with a dispute about whether or not the respondent has complied with that sub-rule. In any event, </w:t>
      </w:r>
      <w:r w:rsidR="007949B8">
        <w:t xml:space="preserve">since </w:t>
      </w:r>
      <w:r w:rsidR="001435AE">
        <w:t xml:space="preserve">condonation is permissible in </w:t>
      </w:r>
      <w:r w:rsidR="00926A7D">
        <w:t xml:space="preserve">an </w:t>
      </w:r>
      <w:r w:rsidR="001435AE">
        <w:t>appropriate case</w:t>
      </w:r>
      <w:r w:rsidR="00926A7D">
        <w:t>,</w:t>
      </w:r>
      <w:r w:rsidR="001435AE">
        <w:t xml:space="preserve"> and </w:t>
      </w:r>
      <w:r w:rsidR="00926A7D">
        <w:t xml:space="preserve">indeed in recent times </w:t>
      </w:r>
      <w:r w:rsidR="00E862A9">
        <w:t xml:space="preserve">some </w:t>
      </w:r>
      <w:r w:rsidR="00926A7D">
        <w:t>courts have adopted a far more tolerant approach to rule 43 papers (given that often the issues are complex</w:t>
      </w:r>
      <w:r w:rsidR="00E862A9">
        <w:t xml:space="preserve"> and strict adherence to rule 43(2) is thus </w:t>
      </w:r>
      <w:r w:rsidR="00E76D75">
        <w:t>in</w:t>
      </w:r>
      <w:r w:rsidR="00E862A9">
        <w:t>appropriate</w:t>
      </w:r>
      <w:r w:rsidR="00926A7D">
        <w:t xml:space="preserve">) </w:t>
      </w:r>
      <w:r w:rsidR="001435AE">
        <w:t xml:space="preserve">it would be wrong to fetter another court’s discretion on this score. </w:t>
      </w:r>
    </w:p>
    <w:p w14:paraId="1DC9E473" w14:textId="654DC7BF" w:rsidR="005175BC" w:rsidRDefault="005175BC" w:rsidP="005175BC">
      <w:pPr>
        <w:spacing w:after="480" w:line="480" w:lineRule="auto"/>
        <w:jc w:val="both"/>
      </w:pPr>
    </w:p>
    <w:p w14:paraId="73F4DE86" w14:textId="77777777" w:rsidR="005175BC" w:rsidRDefault="005175BC" w:rsidP="005175BC">
      <w:pPr>
        <w:spacing w:after="480" w:line="480" w:lineRule="auto"/>
        <w:jc w:val="both"/>
      </w:pPr>
    </w:p>
    <w:p w14:paraId="23DF07CA" w14:textId="5E804464" w:rsidR="007B79DB" w:rsidRPr="007B79DB" w:rsidRDefault="00CE1DF5" w:rsidP="00CE1DF5">
      <w:pPr>
        <w:spacing w:after="120" w:line="480" w:lineRule="auto"/>
        <w:ind w:left="720" w:hanging="720"/>
        <w:jc w:val="both"/>
      </w:pPr>
      <w:r w:rsidRPr="007B79DB">
        <w:lastRenderedPageBreak/>
        <w:t>[22]</w:t>
      </w:r>
      <w:r w:rsidRPr="007B79DB">
        <w:tab/>
      </w:r>
      <w:r w:rsidR="007B79DB">
        <w:rPr>
          <w:b/>
        </w:rPr>
        <w:t>The following order is made:</w:t>
      </w:r>
    </w:p>
    <w:p w14:paraId="5E167EFA" w14:textId="469508D2" w:rsidR="007B79DB" w:rsidRPr="00CE1DF5" w:rsidRDefault="00CE1DF5" w:rsidP="00CE1DF5">
      <w:pPr>
        <w:spacing w:after="480" w:line="480" w:lineRule="auto"/>
        <w:ind w:left="1080" w:hanging="360"/>
        <w:jc w:val="both"/>
        <w:rPr>
          <w:b/>
        </w:rPr>
      </w:pPr>
      <w:r>
        <w:rPr>
          <w:b/>
        </w:rPr>
        <w:t>1.</w:t>
      </w:r>
      <w:r>
        <w:rPr>
          <w:b/>
        </w:rPr>
        <w:tab/>
      </w:r>
      <w:r w:rsidR="007B79DB" w:rsidRPr="00CE1DF5">
        <w:rPr>
          <w:b/>
        </w:rPr>
        <w:t>The rule 30 application is granted</w:t>
      </w:r>
      <w:r w:rsidR="001435AE" w:rsidRPr="00CE1DF5">
        <w:rPr>
          <w:b/>
        </w:rPr>
        <w:t xml:space="preserve"> to the extent set out in paragraphs 2 and 3 below</w:t>
      </w:r>
      <w:r w:rsidR="007B79DB" w:rsidRPr="00CE1DF5">
        <w:rPr>
          <w:b/>
        </w:rPr>
        <w:t>;</w:t>
      </w:r>
    </w:p>
    <w:p w14:paraId="702C69E0" w14:textId="3A8F547C" w:rsidR="007B79DB" w:rsidRPr="00CE1DF5" w:rsidRDefault="00CE1DF5" w:rsidP="00CE1DF5">
      <w:pPr>
        <w:spacing w:after="480" w:line="480" w:lineRule="auto"/>
        <w:ind w:left="1080" w:hanging="360"/>
        <w:jc w:val="both"/>
        <w:rPr>
          <w:b/>
        </w:rPr>
      </w:pPr>
      <w:r>
        <w:rPr>
          <w:b/>
        </w:rPr>
        <w:t>2.</w:t>
      </w:r>
      <w:r>
        <w:rPr>
          <w:b/>
        </w:rPr>
        <w:tab/>
      </w:r>
      <w:r w:rsidR="007B79DB" w:rsidRPr="00CE1DF5">
        <w:rPr>
          <w:b/>
        </w:rPr>
        <w:t>The respondent’s rule 43 application under the above case number is struck from the roll; and</w:t>
      </w:r>
    </w:p>
    <w:p w14:paraId="43800EE8" w14:textId="02EBE666" w:rsidR="007B79DB" w:rsidRPr="00CE1DF5" w:rsidRDefault="00CE1DF5" w:rsidP="00CE1DF5">
      <w:pPr>
        <w:spacing w:after="480" w:line="480" w:lineRule="auto"/>
        <w:ind w:left="1080" w:hanging="360"/>
        <w:jc w:val="both"/>
        <w:rPr>
          <w:b/>
        </w:rPr>
      </w:pPr>
      <w:r>
        <w:rPr>
          <w:b/>
        </w:rPr>
        <w:t>3.</w:t>
      </w:r>
      <w:r>
        <w:rPr>
          <w:b/>
        </w:rPr>
        <w:tab/>
      </w:r>
      <w:r w:rsidR="007B79DB" w:rsidRPr="00CE1DF5">
        <w:rPr>
          <w:b/>
        </w:rPr>
        <w:t>The respondent shall pay the applicant’s costs of the rule 30 application, as well as any costs incurred by him to date in respect of the rule 43 application, on the scale as between attorney and client</w:t>
      </w:r>
      <w:r w:rsidR="001435AE" w:rsidRPr="00CE1DF5">
        <w:rPr>
          <w:b/>
        </w:rPr>
        <w:t xml:space="preserve"> and including the costs of one counsel</w:t>
      </w:r>
      <w:r w:rsidR="007B79DB" w:rsidRPr="00CE1DF5">
        <w:rPr>
          <w:b/>
        </w:rPr>
        <w:t>.</w:t>
      </w:r>
    </w:p>
    <w:p w14:paraId="14B27707" w14:textId="1D8D09B5" w:rsidR="007B79DB" w:rsidRDefault="007B79DB" w:rsidP="007B79DB">
      <w:pPr>
        <w:pStyle w:val="ListParagraph"/>
        <w:spacing w:after="480" w:line="480" w:lineRule="auto"/>
        <w:ind w:left="1080"/>
        <w:jc w:val="both"/>
        <w:rPr>
          <w:b/>
        </w:rPr>
      </w:pPr>
    </w:p>
    <w:p w14:paraId="46BA2724" w14:textId="72ED24FD" w:rsidR="007B79DB" w:rsidRDefault="007B79DB" w:rsidP="007B79DB">
      <w:pPr>
        <w:pStyle w:val="ListParagraph"/>
        <w:spacing w:after="480" w:line="480" w:lineRule="auto"/>
        <w:ind w:left="5760"/>
        <w:jc w:val="both"/>
        <w:rPr>
          <w:b/>
        </w:rPr>
      </w:pPr>
      <w:r>
        <w:rPr>
          <w:b/>
        </w:rPr>
        <w:t>_______________</w:t>
      </w:r>
    </w:p>
    <w:p w14:paraId="0EB0F9EB" w14:textId="4A4CA239" w:rsidR="007B79DB" w:rsidRDefault="007B79DB" w:rsidP="007B79DB">
      <w:pPr>
        <w:pStyle w:val="ListParagraph"/>
        <w:spacing w:after="480" w:line="480" w:lineRule="auto"/>
        <w:ind w:left="5760"/>
        <w:jc w:val="both"/>
        <w:rPr>
          <w:b/>
        </w:rPr>
      </w:pPr>
      <w:r>
        <w:rPr>
          <w:b/>
        </w:rPr>
        <w:t>J I CLOETE</w:t>
      </w:r>
    </w:p>
    <w:p w14:paraId="2D19B032" w14:textId="77777777" w:rsidR="007B79DB" w:rsidRDefault="007B79DB" w:rsidP="007B79DB">
      <w:pPr>
        <w:spacing w:line="480" w:lineRule="auto"/>
        <w:jc w:val="both"/>
      </w:pPr>
    </w:p>
    <w:p w14:paraId="78F83ADF" w14:textId="05A6EB38" w:rsidR="007B79DB" w:rsidRPr="00EB79AD" w:rsidRDefault="007B79DB" w:rsidP="007B79DB">
      <w:pPr>
        <w:spacing w:line="480" w:lineRule="auto"/>
        <w:jc w:val="both"/>
        <w:rPr>
          <w:i/>
        </w:rPr>
      </w:pPr>
      <w:r w:rsidRPr="00EB79AD">
        <w:rPr>
          <w:i/>
        </w:rPr>
        <w:t>For applicant</w:t>
      </w:r>
      <w:r w:rsidR="00BE39AC" w:rsidRPr="00EB79AD">
        <w:rPr>
          <w:i/>
        </w:rPr>
        <w:t xml:space="preserve"> in the rule 30 application: Adv J Anderssen</w:t>
      </w:r>
    </w:p>
    <w:p w14:paraId="71EB9372" w14:textId="16EDE1D0" w:rsidR="007B79DB" w:rsidRPr="00EB79AD" w:rsidRDefault="007B79DB" w:rsidP="007B79DB">
      <w:pPr>
        <w:spacing w:line="480" w:lineRule="auto"/>
        <w:jc w:val="both"/>
        <w:rPr>
          <w:i/>
        </w:rPr>
      </w:pPr>
      <w:r w:rsidRPr="00EB79AD">
        <w:rPr>
          <w:i/>
        </w:rPr>
        <w:t>Instructed by</w:t>
      </w:r>
      <w:r w:rsidR="00EB79AD" w:rsidRPr="00EB79AD">
        <w:rPr>
          <w:i/>
        </w:rPr>
        <w:t>: Mandy Simpson Attorney</w:t>
      </w:r>
      <w:r w:rsidR="00DF44C9">
        <w:rPr>
          <w:i/>
        </w:rPr>
        <w:t>s</w:t>
      </w:r>
      <w:r w:rsidR="00EB79AD" w:rsidRPr="00EB79AD">
        <w:rPr>
          <w:i/>
        </w:rPr>
        <w:t xml:space="preserve"> (Ms A Simpson)</w:t>
      </w:r>
    </w:p>
    <w:p w14:paraId="61261E5F" w14:textId="77777777" w:rsidR="00E862A9" w:rsidRDefault="00E862A9" w:rsidP="007B79DB">
      <w:pPr>
        <w:spacing w:line="480" w:lineRule="auto"/>
        <w:jc w:val="both"/>
        <w:rPr>
          <w:i/>
        </w:rPr>
      </w:pPr>
    </w:p>
    <w:p w14:paraId="607A20F3" w14:textId="22D1AEA8" w:rsidR="007B79DB" w:rsidRPr="00EB79AD" w:rsidRDefault="007B79DB" w:rsidP="007B79DB">
      <w:pPr>
        <w:spacing w:line="480" w:lineRule="auto"/>
        <w:jc w:val="both"/>
        <w:rPr>
          <w:i/>
        </w:rPr>
      </w:pPr>
      <w:r w:rsidRPr="00EB79AD">
        <w:rPr>
          <w:i/>
        </w:rPr>
        <w:t>For respondent</w:t>
      </w:r>
      <w:r w:rsidR="00EB79AD">
        <w:rPr>
          <w:i/>
        </w:rPr>
        <w:t xml:space="preserve"> in the rule 30 application: Adv L Buikman SC</w:t>
      </w:r>
    </w:p>
    <w:p w14:paraId="209F9F09" w14:textId="08036390" w:rsidR="000508BD" w:rsidRPr="00DF44C9" w:rsidRDefault="007B79DB" w:rsidP="00DF44C9">
      <w:pPr>
        <w:spacing w:line="480" w:lineRule="auto"/>
        <w:jc w:val="both"/>
        <w:rPr>
          <w:i/>
        </w:rPr>
      </w:pPr>
      <w:r w:rsidRPr="00EB79AD">
        <w:rPr>
          <w:i/>
        </w:rPr>
        <w:t>Instructed by</w:t>
      </w:r>
      <w:r w:rsidR="00EB79AD">
        <w:rPr>
          <w:i/>
        </w:rPr>
        <w:t>: Catto Neethling Wiid Inc. (Ms A Catto)</w:t>
      </w:r>
    </w:p>
    <w:sectPr w:rsidR="000508BD" w:rsidRPr="00DF44C9" w:rsidSect="003D4160">
      <w:headerReference w:type="even" r:id="rId13"/>
      <w:headerReference w:type="default" r:id="rId14"/>
      <w:footerReference w:type="even" r:id="rId15"/>
      <w:footerReference w:type="default" r:id="rId16"/>
      <w:headerReference w:type="first" r:id="rId17"/>
      <w:footerReference w:type="first" r:id="rId18"/>
      <w:pgSz w:w="11906" w:h="16838"/>
      <w:pgMar w:top="1440" w:right="1416" w:bottom="1440"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224E9A" w14:textId="77777777" w:rsidR="007F06DC" w:rsidRDefault="007F06DC" w:rsidP="00F4257E">
      <w:r>
        <w:separator/>
      </w:r>
    </w:p>
  </w:endnote>
  <w:endnote w:type="continuationSeparator" w:id="0">
    <w:p w14:paraId="1C84D169" w14:textId="77777777" w:rsidR="007F06DC" w:rsidRDefault="007F06DC" w:rsidP="00F42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7BDC" w14:textId="77777777" w:rsidR="00D46F35" w:rsidRDefault="00D46F3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CFF89" w14:textId="77777777" w:rsidR="00D46F35" w:rsidRDefault="00D46F3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435E5" w14:textId="77777777" w:rsidR="00D46F35" w:rsidRDefault="00D46F3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813A9" w14:textId="77777777" w:rsidR="007F06DC" w:rsidRDefault="007F06DC" w:rsidP="00F4257E">
      <w:r>
        <w:separator/>
      </w:r>
    </w:p>
  </w:footnote>
  <w:footnote w:type="continuationSeparator" w:id="0">
    <w:p w14:paraId="3CD9B63E" w14:textId="77777777" w:rsidR="007F06DC" w:rsidRDefault="007F06DC" w:rsidP="00F4257E">
      <w:r>
        <w:continuationSeparator/>
      </w:r>
    </w:p>
  </w:footnote>
  <w:footnote w:id="1">
    <w:p w14:paraId="2F2C6C35" w14:textId="19C0275A" w:rsidR="00B73F7E" w:rsidRPr="00B73F7E" w:rsidRDefault="00B73F7E" w:rsidP="00B73F7E">
      <w:pPr>
        <w:pStyle w:val="FootnoteText"/>
        <w:tabs>
          <w:tab w:val="left" w:pos="284"/>
        </w:tabs>
      </w:pPr>
      <w:r>
        <w:rPr>
          <w:rStyle w:val="FootnoteReference"/>
        </w:rPr>
        <w:footnoteRef/>
      </w:r>
      <w:r>
        <w:t xml:space="preserve"> </w:t>
      </w:r>
      <w:r>
        <w:tab/>
        <w:t>2022 (1) SACR 1 (SCA) at para [19].</w:t>
      </w:r>
    </w:p>
  </w:footnote>
  <w:footnote w:id="2">
    <w:p w14:paraId="4607C6CF" w14:textId="6E526395" w:rsidR="00B73F7E" w:rsidRPr="00B73F7E" w:rsidRDefault="00B73F7E" w:rsidP="00B73F7E">
      <w:pPr>
        <w:pStyle w:val="FootnoteText"/>
        <w:tabs>
          <w:tab w:val="left" w:pos="284"/>
        </w:tabs>
      </w:pPr>
      <w:r>
        <w:rPr>
          <w:rStyle w:val="FootnoteReference"/>
        </w:rPr>
        <w:footnoteRef/>
      </w:r>
      <w:r>
        <w:t xml:space="preserve"> </w:t>
      </w:r>
      <w:r>
        <w:tab/>
      </w:r>
      <w:r>
        <w:rPr>
          <w:i/>
        </w:rPr>
        <w:t>Mazibuko v City of Johannesburg</w:t>
      </w:r>
      <w:r>
        <w:t xml:space="preserve"> 2010 (4) SA 1 (CC) at para [73].</w:t>
      </w:r>
    </w:p>
  </w:footnote>
  <w:footnote w:id="3">
    <w:p w14:paraId="10D51FE6" w14:textId="1FB3C8AF" w:rsidR="003B664C" w:rsidRDefault="003B664C" w:rsidP="003B664C">
      <w:pPr>
        <w:pStyle w:val="FootnoteText"/>
        <w:tabs>
          <w:tab w:val="left" w:pos="284"/>
        </w:tabs>
      </w:pPr>
      <w:r>
        <w:rPr>
          <w:rStyle w:val="FootnoteReference"/>
        </w:rPr>
        <w:footnoteRef/>
      </w:r>
      <w:r>
        <w:t xml:space="preserve"> </w:t>
      </w:r>
      <w:r>
        <w:tab/>
        <w:t>See also the long</w:t>
      </w:r>
      <w:r w:rsidR="00E53ADA">
        <w:t xml:space="preserve"> line of cases at fn 54 thereof.</w:t>
      </w:r>
    </w:p>
  </w:footnote>
  <w:footnote w:id="4">
    <w:p w14:paraId="1F2B98AC" w14:textId="302B39C0" w:rsidR="00613628" w:rsidRDefault="00613628" w:rsidP="00613628">
      <w:pPr>
        <w:pStyle w:val="FootnoteText"/>
        <w:tabs>
          <w:tab w:val="left" w:pos="284"/>
        </w:tabs>
      </w:pPr>
      <w:r>
        <w:rPr>
          <w:rStyle w:val="FootnoteReference"/>
        </w:rPr>
        <w:footnoteRef/>
      </w:r>
      <w:r>
        <w:t xml:space="preserve"> </w:t>
      </w:r>
      <w:r>
        <w:tab/>
        <w:t>2020 (3) SA 409 (WCC).</w:t>
      </w:r>
    </w:p>
  </w:footnote>
  <w:footnote w:id="5">
    <w:p w14:paraId="5F4FA1DC" w14:textId="3791F9DE" w:rsidR="00613628" w:rsidRDefault="00613628" w:rsidP="00613628">
      <w:pPr>
        <w:pStyle w:val="FootnoteText"/>
        <w:tabs>
          <w:tab w:val="left" w:pos="284"/>
        </w:tabs>
      </w:pPr>
      <w:r>
        <w:rPr>
          <w:rStyle w:val="FootnoteReference"/>
        </w:rPr>
        <w:footnoteRef/>
      </w:r>
      <w:r>
        <w:t xml:space="preserve"> </w:t>
      </w:r>
      <w:r>
        <w:tab/>
        <w:t>1988 (4) SA 460 (W) at 463B-E.</w:t>
      </w:r>
    </w:p>
  </w:footnote>
  <w:footnote w:id="6">
    <w:p w14:paraId="581E7CA7" w14:textId="4057CEAB" w:rsidR="00011A41" w:rsidRDefault="00011A41" w:rsidP="00011A41">
      <w:pPr>
        <w:pStyle w:val="FootnoteText"/>
        <w:tabs>
          <w:tab w:val="left" w:pos="284"/>
        </w:tabs>
      </w:pPr>
      <w:r>
        <w:rPr>
          <w:rStyle w:val="FootnoteReference"/>
        </w:rPr>
        <w:footnoteRef/>
      </w:r>
      <w:r>
        <w:t xml:space="preserve"> </w:t>
      </w:r>
      <w:r>
        <w:tab/>
        <w:t>2012 (5) SA 267 (GSJ) at para [21].</w:t>
      </w:r>
    </w:p>
  </w:footnote>
  <w:footnote w:id="7">
    <w:p w14:paraId="535D46EC" w14:textId="3A0852E1" w:rsidR="00011A41" w:rsidRDefault="00011A41" w:rsidP="00011A41">
      <w:pPr>
        <w:pStyle w:val="FootnoteText"/>
        <w:tabs>
          <w:tab w:val="left" w:pos="284"/>
        </w:tabs>
      </w:pPr>
      <w:r>
        <w:rPr>
          <w:rStyle w:val="FootnoteReference"/>
        </w:rPr>
        <w:footnoteRef/>
      </w:r>
      <w:r>
        <w:t xml:space="preserve"> </w:t>
      </w:r>
      <w:r>
        <w:tab/>
        <w:t>2019 (2) SA 620 (WCC) at para [26].</w:t>
      </w:r>
    </w:p>
  </w:footnote>
  <w:footnote w:id="8">
    <w:p w14:paraId="00A8F26C" w14:textId="77EAD8CD" w:rsidR="002433AE" w:rsidRDefault="002433AE" w:rsidP="002433AE">
      <w:pPr>
        <w:pStyle w:val="FootnoteText"/>
        <w:tabs>
          <w:tab w:val="left" w:pos="284"/>
        </w:tabs>
      </w:pPr>
      <w:r>
        <w:rPr>
          <w:rStyle w:val="FootnoteReference"/>
        </w:rPr>
        <w:footnoteRef/>
      </w:r>
      <w:r>
        <w:t xml:space="preserve"> </w:t>
      </w:r>
      <w:r>
        <w:tab/>
        <w:t>1976 (4) SA 586 (C) at 588E-F.</w:t>
      </w:r>
    </w:p>
  </w:footnote>
  <w:footnote w:id="9">
    <w:p w14:paraId="23CBC6F9" w14:textId="0366E356" w:rsidR="002433AE" w:rsidRDefault="002433AE" w:rsidP="002433AE">
      <w:pPr>
        <w:pStyle w:val="FootnoteText"/>
        <w:tabs>
          <w:tab w:val="left" w:pos="284"/>
        </w:tabs>
      </w:pPr>
      <w:r>
        <w:rPr>
          <w:rStyle w:val="FootnoteReference"/>
        </w:rPr>
        <w:footnoteRef/>
      </w:r>
      <w:r>
        <w:t xml:space="preserve"> </w:t>
      </w:r>
      <w:r>
        <w:tab/>
        <w:t>1977 (2) SA 703 (W) at 706F-G.</w:t>
      </w:r>
    </w:p>
  </w:footnote>
  <w:footnote w:id="10">
    <w:p w14:paraId="33DBF6AD" w14:textId="314B1C62" w:rsidR="00D54EB1" w:rsidRDefault="00D54EB1" w:rsidP="00D54EB1">
      <w:pPr>
        <w:pStyle w:val="FootnoteText"/>
        <w:tabs>
          <w:tab w:val="left" w:pos="284"/>
        </w:tabs>
      </w:pPr>
      <w:r>
        <w:rPr>
          <w:rStyle w:val="FootnoteReference"/>
        </w:rPr>
        <w:footnoteRef/>
      </w:r>
      <w:r>
        <w:t xml:space="preserve"> </w:t>
      </w:r>
      <w:r>
        <w:tab/>
        <w:t xml:space="preserve">2019 (6) SA 1 (CC).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65172" w14:textId="77777777" w:rsidR="00D46F35" w:rsidRDefault="00D46F3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6F506" w14:textId="77777777" w:rsidR="00D46F35" w:rsidRDefault="00D46F35">
    <w:pPr>
      <w:pStyle w:val="Header"/>
      <w:jc w:val="center"/>
    </w:pPr>
  </w:p>
  <w:sdt>
    <w:sdtPr>
      <w:id w:val="1185634087"/>
      <w:docPartObj>
        <w:docPartGallery w:val="Page Numbers (Top of Page)"/>
        <w:docPartUnique/>
      </w:docPartObj>
    </w:sdtPr>
    <w:sdtEndPr>
      <w:rPr>
        <w:noProof/>
      </w:rPr>
    </w:sdtEndPr>
    <w:sdtContent>
      <w:p w14:paraId="37F2A8AB" w14:textId="5BD68D57" w:rsidR="00D46F35" w:rsidRDefault="00D46F35">
        <w:pPr>
          <w:pStyle w:val="Header"/>
          <w:jc w:val="center"/>
          <w:rPr>
            <w:noProof/>
          </w:rPr>
        </w:pPr>
        <w:r>
          <w:fldChar w:fldCharType="begin"/>
        </w:r>
        <w:r>
          <w:instrText xml:space="preserve"> PAGE   \* MERGEFORMAT </w:instrText>
        </w:r>
        <w:r>
          <w:fldChar w:fldCharType="separate"/>
        </w:r>
        <w:r w:rsidR="00CE1DF5">
          <w:rPr>
            <w:noProof/>
          </w:rPr>
          <w:t>2</w:t>
        </w:r>
        <w:r>
          <w:rPr>
            <w:noProof/>
          </w:rPr>
          <w:fldChar w:fldCharType="end"/>
        </w:r>
      </w:p>
      <w:p w14:paraId="733D7884" w14:textId="77777777" w:rsidR="00D46F35" w:rsidRDefault="007F06DC">
        <w:pPr>
          <w:pStyle w:val="Header"/>
          <w:jc w:val="center"/>
        </w:pPr>
      </w:p>
    </w:sdtContent>
  </w:sdt>
  <w:p w14:paraId="18455C56" w14:textId="77777777" w:rsidR="00D46F35" w:rsidRDefault="00D46F3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FA446" w14:textId="77777777" w:rsidR="00D46F35" w:rsidRDefault="00D46F3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0212"/>
    <w:multiLevelType w:val="hybridMultilevel"/>
    <w:tmpl w:val="192CFE50"/>
    <w:lvl w:ilvl="0" w:tplc="22661F0A">
      <w:start w:val="1"/>
      <w:numFmt w:val="lowerRoman"/>
      <w:lvlText w:val="(%1)"/>
      <w:lvlJc w:val="left"/>
      <w:pPr>
        <w:ind w:left="2340" w:hanging="720"/>
      </w:pPr>
      <w:rPr>
        <w:rFonts w:hint="default"/>
      </w:rPr>
    </w:lvl>
    <w:lvl w:ilvl="1" w:tplc="1C090019" w:tentative="1">
      <w:start w:val="1"/>
      <w:numFmt w:val="lowerLetter"/>
      <w:lvlText w:val="%2."/>
      <w:lvlJc w:val="left"/>
      <w:pPr>
        <w:ind w:left="2700" w:hanging="360"/>
      </w:pPr>
    </w:lvl>
    <w:lvl w:ilvl="2" w:tplc="1C09001B" w:tentative="1">
      <w:start w:val="1"/>
      <w:numFmt w:val="lowerRoman"/>
      <w:lvlText w:val="%3."/>
      <w:lvlJc w:val="right"/>
      <w:pPr>
        <w:ind w:left="3420" w:hanging="180"/>
      </w:pPr>
    </w:lvl>
    <w:lvl w:ilvl="3" w:tplc="1C09000F" w:tentative="1">
      <w:start w:val="1"/>
      <w:numFmt w:val="decimal"/>
      <w:lvlText w:val="%4."/>
      <w:lvlJc w:val="left"/>
      <w:pPr>
        <w:ind w:left="4140" w:hanging="360"/>
      </w:pPr>
    </w:lvl>
    <w:lvl w:ilvl="4" w:tplc="1C090019" w:tentative="1">
      <w:start w:val="1"/>
      <w:numFmt w:val="lowerLetter"/>
      <w:lvlText w:val="%5."/>
      <w:lvlJc w:val="left"/>
      <w:pPr>
        <w:ind w:left="4860" w:hanging="360"/>
      </w:pPr>
    </w:lvl>
    <w:lvl w:ilvl="5" w:tplc="1C09001B" w:tentative="1">
      <w:start w:val="1"/>
      <w:numFmt w:val="lowerRoman"/>
      <w:lvlText w:val="%6."/>
      <w:lvlJc w:val="right"/>
      <w:pPr>
        <w:ind w:left="5580" w:hanging="180"/>
      </w:pPr>
    </w:lvl>
    <w:lvl w:ilvl="6" w:tplc="1C09000F" w:tentative="1">
      <w:start w:val="1"/>
      <w:numFmt w:val="decimal"/>
      <w:lvlText w:val="%7."/>
      <w:lvlJc w:val="left"/>
      <w:pPr>
        <w:ind w:left="6300" w:hanging="360"/>
      </w:pPr>
    </w:lvl>
    <w:lvl w:ilvl="7" w:tplc="1C090019" w:tentative="1">
      <w:start w:val="1"/>
      <w:numFmt w:val="lowerLetter"/>
      <w:lvlText w:val="%8."/>
      <w:lvlJc w:val="left"/>
      <w:pPr>
        <w:ind w:left="7020" w:hanging="360"/>
      </w:pPr>
    </w:lvl>
    <w:lvl w:ilvl="8" w:tplc="1C09001B" w:tentative="1">
      <w:start w:val="1"/>
      <w:numFmt w:val="lowerRoman"/>
      <w:lvlText w:val="%9."/>
      <w:lvlJc w:val="right"/>
      <w:pPr>
        <w:ind w:left="7740" w:hanging="180"/>
      </w:pPr>
    </w:lvl>
  </w:abstractNum>
  <w:abstractNum w:abstractNumId="1" w15:restartNumberingAfterBreak="0">
    <w:nsid w:val="074048AE"/>
    <w:multiLevelType w:val="hybridMultilevel"/>
    <w:tmpl w:val="7FA450E4"/>
    <w:lvl w:ilvl="0" w:tplc="860877E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09F51ACC"/>
    <w:multiLevelType w:val="hybridMultilevel"/>
    <w:tmpl w:val="0B9A5CFA"/>
    <w:lvl w:ilvl="0" w:tplc="D05A8754">
      <w:start w:val="1"/>
      <w:numFmt w:val="decimal"/>
      <w:lvlText w:val="[%1]"/>
      <w:lvlJc w:val="left"/>
      <w:pPr>
        <w:ind w:left="0" w:firstLine="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271D4B"/>
    <w:multiLevelType w:val="hybridMultilevel"/>
    <w:tmpl w:val="4A006A12"/>
    <w:lvl w:ilvl="0" w:tplc="5DF61A46">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15:restartNumberingAfterBreak="0">
    <w:nsid w:val="0E5760E8"/>
    <w:multiLevelType w:val="hybridMultilevel"/>
    <w:tmpl w:val="A06CD4D2"/>
    <w:lvl w:ilvl="0" w:tplc="134457A0">
      <w:start w:val="1"/>
      <w:numFmt w:val="decimal"/>
      <w:lvlText w:val="[%1]"/>
      <w:lvlJc w:val="left"/>
      <w:pPr>
        <w:ind w:left="720" w:hanging="360"/>
      </w:pPr>
      <w:rPr>
        <w:rFonts w:ascii="Arial" w:hAnsi="Arial"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7327ECD"/>
    <w:multiLevelType w:val="hybridMultilevel"/>
    <w:tmpl w:val="B1DE2C72"/>
    <w:lvl w:ilvl="0" w:tplc="388E0FBE">
      <w:start w:val="1"/>
      <w:numFmt w:val="decimal"/>
      <w:lvlText w:val="[%1]"/>
      <w:lvlJc w:val="left"/>
      <w:pPr>
        <w:ind w:left="720" w:hanging="360"/>
      </w:pPr>
      <w:rPr>
        <w:rFonts w:ascii="Arial" w:hAnsi="Arial" w:cs="Arial" w:hint="default"/>
        <w:b w:val="0"/>
        <w:i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CF87B45"/>
    <w:multiLevelType w:val="hybridMultilevel"/>
    <w:tmpl w:val="24F09168"/>
    <w:lvl w:ilvl="0" w:tplc="62026C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D7418C1"/>
    <w:multiLevelType w:val="hybridMultilevel"/>
    <w:tmpl w:val="70888F18"/>
    <w:lvl w:ilvl="0" w:tplc="CA6E93FA">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8" w15:restartNumberingAfterBreak="0">
    <w:nsid w:val="1E960E3A"/>
    <w:multiLevelType w:val="hybridMultilevel"/>
    <w:tmpl w:val="4CE459A0"/>
    <w:lvl w:ilvl="0" w:tplc="05C491FE">
      <w:start w:val="1"/>
      <w:numFmt w:val="lowerRoman"/>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9" w15:restartNumberingAfterBreak="0">
    <w:nsid w:val="288C4193"/>
    <w:multiLevelType w:val="hybridMultilevel"/>
    <w:tmpl w:val="AF9EDD9A"/>
    <w:lvl w:ilvl="0" w:tplc="FE361D26">
      <w:start w:val="1"/>
      <w:numFmt w:val="decimal"/>
      <w:lvlText w:val="%1."/>
      <w:lvlJc w:val="left"/>
      <w:pPr>
        <w:ind w:left="1080" w:hanging="360"/>
      </w:pPr>
      <w:rPr>
        <w:rFonts w:hint="default"/>
        <w:i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2CF02A66"/>
    <w:multiLevelType w:val="multilevel"/>
    <w:tmpl w:val="07127FF2"/>
    <w:lvl w:ilvl="0">
      <w:start w:val="1"/>
      <w:numFmt w:val="decimal"/>
      <w:lvlText w:val="%1."/>
      <w:lvlJc w:val="left"/>
      <w:pPr>
        <w:ind w:left="1080" w:hanging="360"/>
      </w:pPr>
      <w:rPr>
        <w:rFonts w:hint="default"/>
        <w:b/>
      </w:rPr>
    </w:lvl>
    <w:lvl w:ilvl="1">
      <w:start w:val="1"/>
      <w:numFmt w:val="decimal"/>
      <w:isLgl/>
      <w:lvlText w:val="%1.%2"/>
      <w:lvlJc w:val="left"/>
      <w:pPr>
        <w:ind w:left="1704" w:hanging="624"/>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11" w15:restartNumberingAfterBreak="0">
    <w:nsid w:val="2E095BB1"/>
    <w:multiLevelType w:val="hybridMultilevel"/>
    <w:tmpl w:val="C0622636"/>
    <w:lvl w:ilvl="0" w:tplc="66DC6308">
      <w:start w:val="1"/>
      <w:numFmt w:val="lowerLetter"/>
      <w:lvlText w:val="(%1)"/>
      <w:lvlJc w:val="left"/>
      <w:pPr>
        <w:ind w:left="2340" w:hanging="360"/>
      </w:pPr>
      <w:rPr>
        <w:rFonts w:hint="default"/>
      </w:rPr>
    </w:lvl>
    <w:lvl w:ilvl="1" w:tplc="1C090019" w:tentative="1">
      <w:start w:val="1"/>
      <w:numFmt w:val="lowerLetter"/>
      <w:lvlText w:val="%2."/>
      <w:lvlJc w:val="left"/>
      <w:pPr>
        <w:ind w:left="3060" w:hanging="360"/>
      </w:pPr>
    </w:lvl>
    <w:lvl w:ilvl="2" w:tplc="1C09001B" w:tentative="1">
      <w:start w:val="1"/>
      <w:numFmt w:val="lowerRoman"/>
      <w:lvlText w:val="%3."/>
      <w:lvlJc w:val="right"/>
      <w:pPr>
        <w:ind w:left="3780" w:hanging="180"/>
      </w:pPr>
    </w:lvl>
    <w:lvl w:ilvl="3" w:tplc="1C09000F" w:tentative="1">
      <w:start w:val="1"/>
      <w:numFmt w:val="decimal"/>
      <w:lvlText w:val="%4."/>
      <w:lvlJc w:val="left"/>
      <w:pPr>
        <w:ind w:left="4500" w:hanging="360"/>
      </w:pPr>
    </w:lvl>
    <w:lvl w:ilvl="4" w:tplc="1C090019" w:tentative="1">
      <w:start w:val="1"/>
      <w:numFmt w:val="lowerLetter"/>
      <w:lvlText w:val="%5."/>
      <w:lvlJc w:val="left"/>
      <w:pPr>
        <w:ind w:left="5220" w:hanging="360"/>
      </w:pPr>
    </w:lvl>
    <w:lvl w:ilvl="5" w:tplc="1C09001B" w:tentative="1">
      <w:start w:val="1"/>
      <w:numFmt w:val="lowerRoman"/>
      <w:lvlText w:val="%6."/>
      <w:lvlJc w:val="right"/>
      <w:pPr>
        <w:ind w:left="5940" w:hanging="180"/>
      </w:pPr>
    </w:lvl>
    <w:lvl w:ilvl="6" w:tplc="1C09000F" w:tentative="1">
      <w:start w:val="1"/>
      <w:numFmt w:val="decimal"/>
      <w:lvlText w:val="%7."/>
      <w:lvlJc w:val="left"/>
      <w:pPr>
        <w:ind w:left="6660" w:hanging="360"/>
      </w:pPr>
    </w:lvl>
    <w:lvl w:ilvl="7" w:tplc="1C090019" w:tentative="1">
      <w:start w:val="1"/>
      <w:numFmt w:val="lowerLetter"/>
      <w:lvlText w:val="%8."/>
      <w:lvlJc w:val="left"/>
      <w:pPr>
        <w:ind w:left="7380" w:hanging="360"/>
      </w:pPr>
    </w:lvl>
    <w:lvl w:ilvl="8" w:tplc="1C09001B" w:tentative="1">
      <w:start w:val="1"/>
      <w:numFmt w:val="lowerRoman"/>
      <w:lvlText w:val="%9."/>
      <w:lvlJc w:val="right"/>
      <w:pPr>
        <w:ind w:left="8100" w:hanging="180"/>
      </w:pPr>
    </w:lvl>
  </w:abstractNum>
  <w:abstractNum w:abstractNumId="12" w15:restartNumberingAfterBreak="0">
    <w:nsid w:val="2E2D3BB4"/>
    <w:multiLevelType w:val="hybridMultilevel"/>
    <w:tmpl w:val="AB8466AE"/>
    <w:lvl w:ilvl="0" w:tplc="F0FA42C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3BB422D5"/>
    <w:multiLevelType w:val="hybridMultilevel"/>
    <w:tmpl w:val="3C8C29FA"/>
    <w:lvl w:ilvl="0" w:tplc="987C5236">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4" w15:restartNumberingAfterBreak="0">
    <w:nsid w:val="3D5D5129"/>
    <w:multiLevelType w:val="hybridMultilevel"/>
    <w:tmpl w:val="D24A11AA"/>
    <w:lvl w:ilvl="0" w:tplc="3754E976">
      <w:start w:val="1"/>
      <w:numFmt w:val="lowerLetter"/>
      <w:lvlText w:val="(%1)"/>
      <w:lvlJc w:val="left"/>
      <w:pPr>
        <w:ind w:left="2342" w:hanging="360"/>
      </w:pPr>
      <w:rPr>
        <w:rFonts w:hint="default"/>
      </w:rPr>
    </w:lvl>
    <w:lvl w:ilvl="1" w:tplc="1C090019" w:tentative="1">
      <w:start w:val="1"/>
      <w:numFmt w:val="lowerLetter"/>
      <w:lvlText w:val="%2."/>
      <w:lvlJc w:val="left"/>
      <w:pPr>
        <w:ind w:left="3062" w:hanging="360"/>
      </w:pPr>
    </w:lvl>
    <w:lvl w:ilvl="2" w:tplc="1C09001B" w:tentative="1">
      <w:start w:val="1"/>
      <w:numFmt w:val="lowerRoman"/>
      <w:lvlText w:val="%3."/>
      <w:lvlJc w:val="right"/>
      <w:pPr>
        <w:ind w:left="3782" w:hanging="180"/>
      </w:pPr>
    </w:lvl>
    <w:lvl w:ilvl="3" w:tplc="1C09000F" w:tentative="1">
      <w:start w:val="1"/>
      <w:numFmt w:val="decimal"/>
      <w:lvlText w:val="%4."/>
      <w:lvlJc w:val="left"/>
      <w:pPr>
        <w:ind w:left="4502" w:hanging="360"/>
      </w:pPr>
    </w:lvl>
    <w:lvl w:ilvl="4" w:tplc="1C090019" w:tentative="1">
      <w:start w:val="1"/>
      <w:numFmt w:val="lowerLetter"/>
      <w:lvlText w:val="%5."/>
      <w:lvlJc w:val="left"/>
      <w:pPr>
        <w:ind w:left="5222" w:hanging="360"/>
      </w:pPr>
    </w:lvl>
    <w:lvl w:ilvl="5" w:tplc="1C09001B" w:tentative="1">
      <w:start w:val="1"/>
      <w:numFmt w:val="lowerRoman"/>
      <w:lvlText w:val="%6."/>
      <w:lvlJc w:val="right"/>
      <w:pPr>
        <w:ind w:left="5942" w:hanging="180"/>
      </w:pPr>
    </w:lvl>
    <w:lvl w:ilvl="6" w:tplc="1C09000F" w:tentative="1">
      <w:start w:val="1"/>
      <w:numFmt w:val="decimal"/>
      <w:lvlText w:val="%7."/>
      <w:lvlJc w:val="left"/>
      <w:pPr>
        <w:ind w:left="6662" w:hanging="360"/>
      </w:pPr>
    </w:lvl>
    <w:lvl w:ilvl="7" w:tplc="1C090019" w:tentative="1">
      <w:start w:val="1"/>
      <w:numFmt w:val="lowerLetter"/>
      <w:lvlText w:val="%8."/>
      <w:lvlJc w:val="left"/>
      <w:pPr>
        <w:ind w:left="7382" w:hanging="360"/>
      </w:pPr>
    </w:lvl>
    <w:lvl w:ilvl="8" w:tplc="1C09001B" w:tentative="1">
      <w:start w:val="1"/>
      <w:numFmt w:val="lowerRoman"/>
      <w:lvlText w:val="%9."/>
      <w:lvlJc w:val="right"/>
      <w:pPr>
        <w:ind w:left="8102" w:hanging="180"/>
      </w:pPr>
    </w:lvl>
  </w:abstractNum>
  <w:abstractNum w:abstractNumId="15" w15:restartNumberingAfterBreak="0">
    <w:nsid w:val="3FA97D48"/>
    <w:multiLevelType w:val="hybridMultilevel"/>
    <w:tmpl w:val="C1F0A9F4"/>
    <w:lvl w:ilvl="0" w:tplc="A860183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47670A7F"/>
    <w:multiLevelType w:val="hybridMultilevel"/>
    <w:tmpl w:val="A406E48C"/>
    <w:lvl w:ilvl="0" w:tplc="6ACED89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7" w15:restartNumberingAfterBreak="0">
    <w:nsid w:val="51241396"/>
    <w:multiLevelType w:val="hybridMultilevel"/>
    <w:tmpl w:val="12C2E4B6"/>
    <w:lvl w:ilvl="0" w:tplc="F0964DE0">
      <w:start w:val="1"/>
      <w:numFmt w:val="decimal"/>
      <w:lvlText w:val="10.%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8" w15:restartNumberingAfterBreak="0">
    <w:nsid w:val="57B90FB6"/>
    <w:multiLevelType w:val="hybridMultilevel"/>
    <w:tmpl w:val="D96CA93A"/>
    <w:lvl w:ilvl="0" w:tplc="922AC3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5DC87D23"/>
    <w:multiLevelType w:val="hybridMultilevel"/>
    <w:tmpl w:val="A698C700"/>
    <w:lvl w:ilvl="0" w:tplc="977C17C8">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0" w15:restartNumberingAfterBreak="0">
    <w:nsid w:val="61C644CA"/>
    <w:multiLevelType w:val="hybridMultilevel"/>
    <w:tmpl w:val="AADE79BE"/>
    <w:lvl w:ilvl="0" w:tplc="015EBFB8">
      <w:start w:val="1"/>
      <w:numFmt w:val="decimal"/>
      <w:lvlText w:val="%1."/>
      <w:lvlJc w:val="left"/>
      <w:pPr>
        <w:ind w:left="1785" w:hanging="360"/>
      </w:pPr>
      <w:rPr>
        <w:rFonts w:hint="default"/>
      </w:rPr>
    </w:lvl>
    <w:lvl w:ilvl="1" w:tplc="1C090019" w:tentative="1">
      <w:start w:val="1"/>
      <w:numFmt w:val="lowerLetter"/>
      <w:lvlText w:val="%2."/>
      <w:lvlJc w:val="left"/>
      <w:pPr>
        <w:ind w:left="2505" w:hanging="360"/>
      </w:pPr>
    </w:lvl>
    <w:lvl w:ilvl="2" w:tplc="1C09001B" w:tentative="1">
      <w:start w:val="1"/>
      <w:numFmt w:val="lowerRoman"/>
      <w:lvlText w:val="%3."/>
      <w:lvlJc w:val="right"/>
      <w:pPr>
        <w:ind w:left="3225" w:hanging="180"/>
      </w:pPr>
    </w:lvl>
    <w:lvl w:ilvl="3" w:tplc="1C09000F" w:tentative="1">
      <w:start w:val="1"/>
      <w:numFmt w:val="decimal"/>
      <w:lvlText w:val="%4."/>
      <w:lvlJc w:val="left"/>
      <w:pPr>
        <w:ind w:left="3945" w:hanging="360"/>
      </w:pPr>
    </w:lvl>
    <w:lvl w:ilvl="4" w:tplc="1C090019" w:tentative="1">
      <w:start w:val="1"/>
      <w:numFmt w:val="lowerLetter"/>
      <w:lvlText w:val="%5."/>
      <w:lvlJc w:val="left"/>
      <w:pPr>
        <w:ind w:left="4665" w:hanging="360"/>
      </w:pPr>
    </w:lvl>
    <w:lvl w:ilvl="5" w:tplc="1C09001B" w:tentative="1">
      <w:start w:val="1"/>
      <w:numFmt w:val="lowerRoman"/>
      <w:lvlText w:val="%6."/>
      <w:lvlJc w:val="right"/>
      <w:pPr>
        <w:ind w:left="5385" w:hanging="180"/>
      </w:pPr>
    </w:lvl>
    <w:lvl w:ilvl="6" w:tplc="1C09000F" w:tentative="1">
      <w:start w:val="1"/>
      <w:numFmt w:val="decimal"/>
      <w:lvlText w:val="%7."/>
      <w:lvlJc w:val="left"/>
      <w:pPr>
        <w:ind w:left="6105" w:hanging="360"/>
      </w:pPr>
    </w:lvl>
    <w:lvl w:ilvl="7" w:tplc="1C090019" w:tentative="1">
      <w:start w:val="1"/>
      <w:numFmt w:val="lowerLetter"/>
      <w:lvlText w:val="%8."/>
      <w:lvlJc w:val="left"/>
      <w:pPr>
        <w:ind w:left="6825" w:hanging="360"/>
      </w:pPr>
    </w:lvl>
    <w:lvl w:ilvl="8" w:tplc="1C09001B" w:tentative="1">
      <w:start w:val="1"/>
      <w:numFmt w:val="lowerRoman"/>
      <w:lvlText w:val="%9."/>
      <w:lvlJc w:val="right"/>
      <w:pPr>
        <w:ind w:left="7545" w:hanging="180"/>
      </w:pPr>
    </w:lvl>
  </w:abstractNum>
  <w:abstractNum w:abstractNumId="21" w15:restartNumberingAfterBreak="0">
    <w:nsid w:val="624D006E"/>
    <w:multiLevelType w:val="hybridMultilevel"/>
    <w:tmpl w:val="6FD81AA2"/>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3143680"/>
    <w:multiLevelType w:val="hybridMultilevel"/>
    <w:tmpl w:val="86248834"/>
    <w:lvl w:ilvl="0" w:tplc="102A57E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15:restartNumberingAfterBreak="0">
    <w:nsid w:val="6CAE1231"/>
    <w:multiLevelType w:val="hybridMultilevel"/>
    <w:tmpl w:val="0D860F38"/>
    <w:lvl w:ilvl="0" w:tplc="388E0FBE">
      <w:start w:val="1"/>
      <w:numFmt w:val="decimal"/>
      <w:lvlText w:val="[%1]"/>
      <w:lvlJc w:val="left"/>
      <w:pPr>
        <w:ind w:left="720" w:hanging="360"/>
      </w:pPr>
      <w:rPr>
        <w:rFonts w:ascii="Arial" w:hAnsi="Arial" w:cs="Arial" w:hint="default"/>
        <w:b w:val="0"/>
        <w:i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723F25C7"/>
    <w:multiLevelType w:val="hybridMultilevel"/>
    <w:tmpl w:val="62525FAC"/>
    <w:lvl w:ilvl="0" w:tplc="69E61524">
      <w:start w:val="1"/>
      <w:numFmt w:val="lowerLetter"/>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5" w15:restartNumberingAfterBreak="0">
    <w:nsid w:val="75784CDE"/>
    <w:multiLevelType w:val="hybridMultilevel"/>
    <w:tmpl w:val="3F98F78C"/>
    <w:lvl w:ilvl="0" w:tplc="F0964DE0">
      <w:start w:val="1"/>
      <w:numFmt w:val="decimal"/>
      <w:lvlText w:val="10.%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6" w15:restartNumberingAfterBreak="0">
    <w:nsid w:val="75CE2AF5"/>
    <w:multiLevelType w:val="hybridMultilevel"/>
    <w:tmpl w:val="C09489A0"/>
    <w:lvl w:ilvl="0" w:tplc="E98AD0A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15:restartNumberingAfterBreak="0">
    <w:nsid w:val="770F5059"/>
    <w:multiLevelType w:val="hybridMultilevel"/>
    <w:tmpl w:val="1D7434CA"/>
    <w:lvl w:ilvl="0" w:tplc="A704C28A">
      <w:start w:val="1"/>
      <w:numFmt w:val="decimal"/>
      <w:lvlText w:val="[%1]"/>
      <w:lvlJc w:val="left"/>
      <w:pPr>
        <w:ind w:left="720" w:hanging="360"/>
      </w:pPr>
      <w:rPr>
        <w:rFonts w:ascii="Arial"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7822123B"/>
    <w:multiLevelType w:val="hybridMultilevel"/>
    <w:tmpl w:val="D62E47A8"/>
    <w:lvl w:ilvl="0" w:tplc="2D8A919E">
      <w:start w:val="1"/>
      <w:numFmt w:val="lowerLetter"/>
      <w:lvlText w:val="(%1)"/>
      <w:lvlJc w:val="left"/>
      <w:pPr>
        <w:ind w:left="2340" w:hanging="360"/>
      </w:pPr>
      <w:rPr>
        <w:rFonts w:hint="default"/>
      </w:rPr>
    </w:lvl>
    <w:lvl w:ilvl="1" w:tplc="1C090019" w:tentative="1">
      <w:start w:val="1"/>
      <w:numFmt w:val="lowerLetter"/>
      <w:lvlText w:val="%2."/>
      <w:lvlJc w:val="left"/>
      <w:pPr>
        <w:ind w:left="3060" w:hanging="360"/>
      </w:pPr>
    </w:lvl>
    <w:lvl w:ilvl="2" w:tplc="1C09001B" w:tentative="1">
      <w:start w:val="1"/>
      <w:numFmt w:val="lowerRoman"/>
      <w:lvlText w:val="%3."/>
      <w:lvlJc w:val="right"/>
      <w:pPr>
        <w:ind w:left="3780" w:hanging="180"/>
      </w:pPr>
    </w:lvl>
    <w:lvl w:ilvl="3" w:tplc="1C09000F" w:tentative="1">
      <w:start w:val="1"/>
      <w:numFmt w:val="decimal"/>
      <w:lvlText w:val="%4."/>
      <w:lvlJc w:val="left"/>
      <w:pPr>
        <w:ind w:left="4500" w:hanging="360"/>
      </w:pPr>
    </w:lvl>
    <w:lvl w:ilvl="4" w:tplc="1C090019" w:tentative="1">
      <w:start w:val="1"/>
      <w:numFmt w:val="lowerLetter"/>
      <w:lvlText w:val="%5."/>
      <w:lvlJc w:val="left"/>
      <w:pPr>
        <w:ind w:left="5220" w:hanging="360"/>
      </w:pPr>
    </w:lvl>
    <w:lvl w:ilvl="5" w:tplc="1C09001B" w:tentative="1">
      <w:start w:val="1"/>
      <w:numFmt w:val="lowerRoman"/>
      <w:lvlText w:val="%6."/>
      <w:lvlJc w:val="right"/>
      <w:pPr>
        <w:ind w:left="5940" w:hanging="180"/>
      </w:pPr>
    </w:lvl>
    <w:lvl w:ilvl="6" w:tplc="1C09000F" w:tentative="1">
      <w:start w:val="1"/>
      <w:numFmt w:val="decimal"/>
      <w:lvlText w:val="%7."/>
      <w:lvlJc w:val="left"/>
      <w:pPr>
        <w:ind w:left="6660" w:hanging="360"/>
      </w:pPr>
    </w:lvl>
    <w:lvl w:ilvl="7" w:tplc="1C090019" w:tentative="1">
      <w:start w:val="1"/>
      <w:numFmt w:val="lowerLetter"/>
      <w:lvlText w:val="%8."/>
      <w:lvlJc w:val="left"/>
      <w:pPr>
        <w:ind w:left="7380" w:hanging="360"/>
      </w:pPr>
    </w:lvl>
    <w:lvl w:ilvl="8" w:tplc="1C09001B" w:tentative="1">
      <w:start w:val="1"/>
      <w:numFmt w:val="lowerRoman"/>
      <w:lvlText w:val="%9."/>
      <w:lvlJc w:val="right"/>
      <w:pPr>
        <w:ind w:left="8100" w:hanging="180"/>
      </w:pPr>
    </w:lvl>
  </w:abstractNum>
  <w:abstractNum w:abstractNumId="29" w15:restartNumberingAfterBreak="0">
    <w:nsid w:val="79017B15"/>
    <w:multiLevelType w:val="hybridMultilevel"/>
    <w:tmpl w:val="7AD0E4E8"/>
    <w:lvl w:ilvl="0" w:tplc="D862E464">
      <w:start w:val="1"/>
      <w:numFmt w:val="decimal"/>
      <w:lvlText w:val="%1."/>
      <w:lvlJc w:val="left"/>
      <w:pPr>
        <w:ind w:left="1080" w:hanging="360"/>
      </w:pPr>
      <w:rPr>
        <w:rFonts w:hint="default"/>
        <w:i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15:restartNumberingAfterBreak="0">
    <w:nsid w:val="7A402D96"/>
    <w:multiLevelType w:val="hybridMultilevel"/>
    <w:tmpl w:val="90FA4954"/>
    <w:lvl w:ilvl="0" w:tplc="7592D708">
      <w:start w:val="1"/>
      <w:numFmt w:val="decimal"/>
      <w:lvlText w:val="%1."/>
      <w:lvlJc w:val="left"/>
      <w:pPr>
        <w:ind w:left="1080" w:hanging="360"/>
      </w:pPr>
      <w:rPr>
        <w:rFonts w:hint="default"/>
        <w:sz w:val="22"/>
        <w:szCs w:val="22"/>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15:restartNumberingAfterBreak="0">
    <w:nsid w:val="7EF25F16"/>
    <w:multiLevelType w:val="hybridMultilevel"/>
    <w:tmpl w:val="0F56CE40"/>
    <w:lvl w:ilvl="0" w:tplc="11CAF734">
      <w:start w:val="1"/>
      <w:numFmt w:val="decimal"/>
      <w:lvlText w:val="%1."/>
      <w:lvlJc w:val="left"/>
      <w:pPr>
        <w:ind w:left="1800" w:hanging="360"/>
      </w:pPr>
      <w:rPr>
        <w:rFonts w:hint="default"/>
        <w:b w:val="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23"/>
  </w:num>
  <w:num w:numId="2">
    <w:abstractNumId w:val="14"/>
  </w:num>
  <w:num w:numId="3">
    <w:abstractNumId w:val="27"/>
  </w:num>
  <w:num w:numId="4">
    <w:abstractNumId w:val="9"/>
  </w:num>
  <w:num w:numId="5">
    <w:abstractNumId w:val="5"/>
  </w:num>
  <w:num w:numId="6">
    <w:abstractNumId w:val="4"/>
  </w:num>
  <w:num w:numId="7">
    <w:abstractNumId w:val="18"/>
  </w:num>
  <w:num w:numId="8">
    <w:abstractNumId w:val="11"/>
  </w:num>
  <w:num w:numId="9">
    <w:abstractNumId w:val="10"/>
  </w:num>
  <w:num w:numId="10">
    <w:abstractNumId w:val="24"/>
  </w:num>
  <w:num w:numId="11">
    <w:abstractNumId w:val="31"/>
  </w:num>
  <w:num w:numId="12">
    <w:abstractNumId w:val="16"/>
  </w:num>
  <w:num w:numId="13">
    <w:abstractNumId w:val="7"/>
  </w:num>
  <w:num w:numId="14">
    <w:abstractNumId w:val="19"/>
  </w:num>
  <w:num w:numId="15">
    <w:abstractNumId w:val="8"/>
  </w:num>
  <w:num w:numId="16">
    <w:abstractNumId w:val="20"/>
  </w:num>
  <w:num w:numId="17">
    <w:abstractNumId w:val="13"/>
  </w:num>
  <w:num w:numId="18">
    <w:abstractNumId w:val="30"/>
  </w:num>
  <w:num w:numId="19">
    <w:abstractNumId w:val="22"/>
  </w:num>
  <w:num w:numId="20">
    <w:abstractNumId w:val="3"/>
  </w:num>
  <w:num w:numId="21">
    <w:abstractNumId w:val="0"/>
  </w:num>
  <w:num w:numId="22">
    <w:abstractNumId w:val="6"/>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9"/>
  </w:num>
  <w:num w:numId="26">
    <w:abstractNumId w:val="26"/>
  </w:num>
  <w:num w:numId="27">
    <w:abstractNumId w:val="25"/>
  </w:num>
  <w:num w:numId="28">
    <w:abstractNumId w:val="17"/>
  </w:num>
  <w:num w:numId="29">
    <w:abstractNumId w:val="1"/>
  </w:num>
  <w:num w:numId="30">
    <w:abstractNumId w:val="28"/>
  </w:num>
  <w:num w:numId="31">
    <w:abstractNumId w:val="15"/>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A20"/>
    <w:rsid w:val="000001CD"/>
    <w:rsid w:val="00001381"/>
    <w:rsid w:val="0000283B"/>
    <w:rsid w:val="0000327A"/>
    <w:rsid w:val="00003C15"/>
    <w:rsid w:val="00005214"/>
    <w:rsid w:val="00006E2C"/>
    <w:rsid w:val="00010F26"/>
    <w:rsid w:val="00011A41"/>
    <w:rsid w:val="00013C43"/>
    <w:rsid w:val="000155FC"/>
    <w:rsid w:val="00016727"/>
    <w:rsid w:val="00017D48"/>
    <w:rsid w:val="00025518"/>
    <w:rsid w:val="00030389"/>
    <w:rsid w:val="00030442"/>
    <w:rsid w:val="00032180"/>
    <w:rsid w:val="00035F78"/>
    <w:rsid w:val="0004469E"/>
    <w:rsid w:val="00044E4A"/>
    <w:rsid w:val="00045063"/>
    <w:rsid w:val="000462A7"/>
    <w:rsid w:val="00047888"/>
    <w:rsid w:val="000504FA"/>
    <w:rsid w:val="000508BD"/>
    <w:rsid w:val="00050CBA"/>
    <w:rsid w:val="00051785"/>
    <w:rsid w:val="00052513"/>
    <w:rsid w:val="0005598E"/>
    <w:rsid w:val="000571F9"/>
    <w:rsid w:val="00057F20"/>
    <w:rsid w:val="000603C6"/>
    <w:rsid w:val="00061907"/>
    <w:rsid w:val="00061B5A"/>
    <w:rsid w:val="00062376"/>
    <w:rsid w:val="00063B2E"/>
    <w:rsid w:val="00071200"/>
    <w:rsid w:val="000728A2"/>
    <w:rsid w:val="000741FA"/>
    <w:rsid w:val="00074967"/>
    <w:rsid w:val="0007789C"/>
    <w:rsid w:val="00080E27"/>
    <w:rsid w:val="00082B97"/>
    <w:rsid w:val="00084FD7"/>
    <w:rsid w:val="00086448"/>
    <w:rsid w:val="000876F2"/>
    <w:rsid w:val="00091E0D"/>
    <w:rsid w:val="00092029"/>
    <w:rsid w:val="0009297E"/>
    <w:rsid w:val="00097268"/>
    <w:rsid w:val="000974DC"/>
    <w:rsid w:val="000A5153"/>
    <w:rsid w:val="000A595C"/>
    <w:rsid w:val="000A5FEC"/>
    <w:rsid w:val="000A7583"/>
    <w:rsid w:val="000B103A"/>
    <w:rsid w:val="000B7977"/>
    <w:rsid w:val="000C2012"/>
    <w:rsid w:val="000C272C"/>
    <w:rsid w:val="000C2D24"/>
    <w:rsid w:val="000C30A5"/>
    <w:rsid w:val="000C5A3A"/>
    <w:rsid w:val="000C5CFB"/>
    <w:rsid w:val="000C6358"/>
    <w:rsid w:val="000C68E8"/>
    <w:rsid w:val="000C6C62"/>
    <w:rsid w:val="000C7FE0"/>
    <w:rsid w:val="000D0428"/>
    <w:rsid w:val="000D1772"/>
    <w:rsid w:val="000D1823"/>
    <w:rsid w:val="000D255B"/>
    <w:rsid w:val="000D296F"/>
    <w:rsid w:val="000D2E81"/>
    <w:rsid w:val="000D3070"/>
    <w:rsid w:val="000D335D"/>
    <w:rsid w:val="000D73D2"/>
    <w:rsid w:val="000E01C4"/>
    <w:rsid w:val="000E58E8"/>
    <w:rsid w:val="000E7D51"/>
    <w:rsid w:val="000F0458"/>
    <w:rsid w:val="000F138A"/>
    <w:rsid w:val="000F1A51"/>
    <w:rsid w:val="000F26E0"/>
    <w:rsid w:val="000F6201"/>
    <w:rsid w:val="000F7DBB"/>
    <w:rsid w:val="0010279D"/>
    <w:rsid w:val="00103473"/>
    <w:rsid w:val="00103908"/>
    <w:rsid w:val="00104D05"/>
    <w:rsid w:val="00105886"/>
    <w:rsid w:val="00105DE0"/>
    <w:rsid w:val="0012219A"/>
    <w:rsid w:val="00122665"/>
    <w:rsid w:val="00122778"/>
    <w:rsid w:val="00122CDF"/>
    <w:rsid w:val="00124D8E"/>
    <w:rsid w:val="00126FD5"/>
    <w:rsid w:val="00131BD2"/>
    <w:rsid w:val="001324D2"/>
    <w:rsid w:val="001330B9"/>
    <w:rsid w:val="0013376F"/>
    <w:rsid w:val="00134343"/>
    <w:rsid w:val="001416ED"/>
    <w:rsid w:val="00141DE9"/>
    <w:rsid w:val="00142667"/>
    <w:rsid w:val="0014329E"/>
    <w:rsid w:val="001435AE"/>
    <w:rsid w:val="0014505D"/>
    <w:rsid w:val="00147849"/>
    <w:rsid w:val="00156BAD"/>
    <w:rsid w:val="00160CFC"/>
    <w:rsid w:val="00162871"/>
    <w:rsid w:val="001634F0"/>
    <w:rsid w:val="00163D0F"/>
    <w:rsid w:val="001644A8"/>
    <w:rsid w:val="001653CA"/>
    <w:rsid w:val="00166F0F"/>
    <w:rsid w:val="00167CD5"/>
    <w:rsid w:val="00172950"/>
    <w:rsid w:val="00174D05"/>
    <w:rsid w:val="00176BE7"/>
    <w:rsid w:val="001804F1"/>
    <w:rsid w:val="00180D06"/>
    <w:rsid w:val="00181416"/>
    <w:rsid w:val="00181F11"/>
    <w:rsid w:val="001852DA"/>
    <w:rsid w:val="001854A2"/>
    <w:rsid w:val="00187756"/>
    <w:rsid w:val="0019056D"/>
    <w:rsid w:val="00191096"/>
    <w:rsid w:val="00194343"/>
    <w:rsid w:val="00194BFB"/>
    <w:rsid w:val="001A1BF1"/>
    <w:rsid w:val="001A4398"/>
    <w:rsid w:val="001A4ED8"/>
    <w:rsid w:val="001B27E1"/>
    <w:rsid w:val="001B6EF9"/>
    <w:rsid w:val="001B7B6F"/>
    <w:rsid w:val="001C63D3"/>
    <w:rsid w:val="001D5E48"/>
    <w:rsid w:val="001D63ED"/>
    <w:rsid w:val="001D6819"/>
    <w:rsid w:val="001E4798"/>
    <w:rsid w:val="001E4E58"/>
    <w:rsid w:val="001E611A"/>
    <w:rsid w:val="001F100E"/>
    <w:rsid w:val="001F2E6A"/>
    <w:rsid w:val="001F391A"/>
    <w:rsid w:val="002013B4"/>
    <w:rsid w:val="002020AA"/>
    <w:rsid w:val="00204956"/>
    <w:rsid w:val="00205047"/>
    <w:rsid w:val="0020643D"/>
    <w:rsid w:val="002074E8"/>
    <w:rsid w:val="002221F1"/>
    <w:rsid w:val="002225C8"/>
    <w:rsid w:val="00223A31"/>
    <w:rsid w:val="00223C51"/>
    <w:rsid w:val="00231E96"/>
    <w:rsid w:val="00235ECD"/>
    <w:rsid w:val="00240475"/>
    <w:rsid w:val="00240E3E"/>
    <w:rsid w:val="002433AE"/>
    <w:rsid w:val="00245D23"/>
    <w:rsid w:val="0024689F"/>
    <w:rsid w:val="00247644"/>
    <w:rsid w:val="0025089F"/>
    <w:rsid w:val="00252595"/>
    <w:rsid w:val="002548BB"/>
    <w:rsid w:val="00254F7A"/>
    <w:rsid w:val="00256C81"/>
    <w:rsid w:val="00264778"/>
    <w:rsid w:val="0026490A"/>
    <w:rsid w:val="00265647"/>
    <w:rsid w:val="002660DE"/>
    <w:rsid w:val="0026774A"/>
    <w:rsid w:val="00270206"/>
    <w:rsid w:val="00270B6A"/>
    <w:rsid w:val="00275849"/>
    <w:rsid w:val="00277AAD"/>
    <w:rsid w:val="00280B77"/>
    <w:rsid w:val="00283B33"/>
    <w:rsid w:val="00283E38"/>
    <w:rsid w:val="00283E71"/>
    <w:rsid w:val="0028442C"/>
    <w:rsid w:val="00285395"/>
    <w:rsid w:val="00285B38"/>
    <w:rsid w:val="00286CC3"/>
    <w:rsid w:val="0029037C"/>
    <w:rsid w:val="00295BAA"/>
    <w:rsid w:val="002A21A1"/>
    <w:rsid w:val="002A6AF2"/>
    <w:rsid w:val="002B0569"/>
    <w:rsid w:val="002B13D9"/>
    <w:rsid w:val="002B2C3A"/>
    <w:rsid w:val="002C05D3"/>
    <w:rsid w:val="002C3960"/>
    <w:rsid w:val="002C3B6B"/>
    <w:rsid w:val="002C712C"/>
    <w:rsid w:val="002D1856"/>
    <w:rsid w:val="002D19B3"/>
    <w:rsid w:val="002D48AB"/>
    <w:rsid w:val="002D4E1A"/>
    <w:rsid w:val="002D62D3"/>
    <w:rsid w:val="002D7427"/>
    <w:rsid w:val="002E58A0"/>
    <w:rsid w:val="002E6446"/>
    <w:rsid w:val="002E7809"/>
    <w:rsid w:val="002F01CD"/>
    <w:rsid w:val="002F12E8"/>
    <w:rsid w:val="002F5101"/>
    <w:rsid w:val="002F52BA"/>
    <w:rsid w:val="002F5A94"/>
    <w:rsid w:val="00301AF2"/>
    <w:rsid w:val="00303F67"/>
    <w:rsid w:val="00304433"/>
    <w:rsid w:val="003076DD"/>
    <w:rsid w:val="00307811"/>
    <w:rsid w:val="003107FD"/>
    <w:rsid w:val="00313209"/>
    <w:rsid w:val="00313AFF"/>
    <w:rsid w:val="003161AC"/>
    <w:rsid w:val="00316863"/>
    <w:rsid w:val="00320A49"/>
    <w:rsid w:val="00321843"/>
    <w:rsid w:val="003228E2"/>
    <w:rsid w:val="0032525F"/>
    <w:rsid w:val="003253AC"/>
    <w:rsid w:val="00326B5F"/>
    <w:rsid w:val="003277FC"/>
    <w:rsid w:val="00334AAC"/>
    <w:rsid w:val="00334EE3"/>
    <w:rsid w:val="00335F69"/>
    <w:rsid w:val="00336974"/>
    <w:rsid w:val="00336CC6"/>
    <w:rsid w:val="00340803"/>
    <w:rsid w:val="00340D29"/>
    <w:rsid w:val="0034445D"/>
    <w:rsid w:val="00346CDF"/>
    <w:rsid w:val="00347FD7"/>
    <w:rsid w:val="00351732"/>
    <w:rsid w:val="00351B4D"/>
    <w:rsid w:val="00353987"/>
    <w:rsid w:val="003539CE"/>
    <w:rsid w:val="00362D4F"/>
    <w:rsid w:val="00362ECE"/>
    <w:rsid w:val="00373D7B"/>
    <w:rsid w:val="00374B26"/>
    <w:rsid w:val="0038273E"/>
    <w:rsid w:val="00383245"/>
    <w:rsid w:val="003870C3"/>
    <w:rsid w:val="00387F5A"/>
    <w:rsid w:val="0039546A"/>
    <w:rsid w:val="00395E50"/>
    <w:rsid w:val="003A2265"/>
    <w:rsid w:val="003A2E75"/>
    <w:rsid w:val="003A38FB"/>
    <w:rsid w:val="003A3EBB"/>
    <w:rsid w:val="003A7F63"/>
    <w:rsid w:val="003B0868"/>
    <w:rsid w:val="003B43BD"/>
    <w:rsid w:val="003B461A"/>
    <w:rsid w:val="003B473A"/>
    <w:rsid w:val="003B4C36"/>
    <w:rsid w:val="003B5B98"/>
    <w:rsid w:val="003B6629"/>
    <w:rsid w:val="003B664C"/>
    <w:rsid w:val="003B6DB3"/>
    <w:rsid w:val="003B7C1F"/>
    <w:rsid w:val="003C0270"/>
    <w:rsid w:val="003C3D40"/>
    <w:rsid w:val="003C58A1"/>
    <w:rsid w:val="003D0062"/>
    <w:rsid w:val="003D19E7"/>
    <w:rsid w:val="003D3356"/>
    <w:rsid w:val="003D3F3F"/>
    <w:rsid w:val="003D4160"/>
    <w:rsid w:val="003D4A9C"/>
    <w:rsid w:val="003D6C58"/>
    <w:rsid w:val="003E6BA5"/>
    <w:rsid w:val="003F040D"/>
    <w:rsid w:val="003F402D"/>
    <w:rsid w:val="003F41BF"/>
    <w:rsid w:val="003F45A7"/>
    <w:rsid w:val="003F5942"/>
    <w:rsid w:val="00411EB6"/>
    <w:rsid w:val="0041299F"/>
    <w:rsid w:val="004130EF"/>
    <w:rsid w:val="00413812"/>
    <w:rsid w:val="004149FF"/>
    <w:rsid w:val="00415010"/>
    <w:rsid w:val="00415290"/>
    <w:rsid w:val="00421FE8"/>
    <w:rsid w:val="00422758"/>
    <w:rsid w:val="0042321D"/>
    <w:rsid w:val="004234F1"/>
    <w:rsid w:val="00423895"/>
    <w:rsid w:val="00424F1E"/>
    <w:rsid w:val="00426848"/>
    <w:rsid w:val="00427E97"/>
    <w:rsid w:val="00430932"/>
    <w:rsid w:val="0043347C"/>
    <w:rsid w:val="00435CDB"/>
    <w:rsid w:val="00435F46"/>
    <w:rsid w:val="004369D7"/>
    <w:rsid w:val="00437BBF"/>
    <w:rsid w:val="004405E5"/>
    <w:rsid w:val="004441AA"/>
    <w:rsid w:val="00447F9A"/>
    <w:rsid w:val="00451E49"/>
    <w:rsid w:val="0045308D"/>
    <w:rsid w:val="00453091"/>
    <w:rsid w:val="00453306"/>
    <w:rsid w:val="00453B20"/>
    <w:rsid w:val="00456B03"/>
    <w:rsid w:val="00457BC2"/>
    <w:rsid w:val="00463FFB"/>
    <w:rsid w:val="0046468D"/>
    <w:rsid w:val="00464CD7"/>
    <w:rsid w:val="00465FC2"/>
    <w:rsid w:val="0046670C"/>
    <w:rsid w:val="00466A59"/>
    <w:rsid w:val="0047255B"/>
    <w:rsid w:val="004735F4"/>
    <w:rsid w:val="004738B9"/>
    <w:rsid w:val="004774A8"/>
    <w:rsid w:val="00480BE1"/>
    <w:rsid w:val="00482702"/>
    <w:rsid w:val="00483BF0"/>
    <w:rsid w:val="00490333"/>
    <w:rsid w:val="0049188A"/>
    <w:rsid w:val="00491AF9"/>
    <w:rsid w:val="00493BB8"/>
    <w:rsid w:val="00494AE1"/>
    <w:rsid w:val="004A2A70"/>
    <w:rsid w:val="004A59C8"/>
    <w:rsid w:val="004A671A"/>
    <w:rsid w:val="004B0EDA"/>
    <w:rsid w:val="004B3EBA"/>
    <w:rsid w:val="004B5BF5"/>
    <w:rsid w:val="004B7DE8"/>
    <w:rsid w:val="004C1AFC"/>
    <w:rsid w:val="004C1E4D"/>
    <w:rsid w:val="004C3172"/>
    <w:rsid w:val="004C3492"/>
    <w:rsid w:val="004C62C0"/>
    <w:rsid w:val="004C792E"/>
    <w:rsid w:val="004C7C9E"/>
    <w:rsid w:val="004D189C"/>
    <w:rsid w:val="004D2682"/>
    <w:rsid w:val="004D35E9"/>
    <w:rsid w:val="004D66DA"/>
    <w:rsid w:val="004D69D1"/>
    <w:rsid w:val="004E069E"/>
    <w:rsid w:val="004E0E9B"/>
    <w:rsid w:val="004E1D8B"/>
    <w:rsid w:val="004E5F25"/>
    <w:rsid w:val="004F3796"/>
    <w:rsid w:val="004F413A"/>
    <w:rsid w:val="004F466B"/>
    <w:rsid w:val="004F6535"/>
    <w:rsid w:val="004F668F"/>
    <w:rsid w:val="004F68D5"/>
    <w:rsid w:val="00500AA6"/>
    <w:rsid w:val="005028D9"/>
    <w:rsid w:val="00504CEC"/>
    <w:rsid w:val="00505381"/>
    <w:rsid w:val="00506D90"/>
    <w:rsid w:val="00510073"/>
    <w:rsid w:val="00511993"/>
    <w:rsid w:val="00511C9E"/>
    <w:rsid w:val="00511D83"/>
    <w:rsid w:val="00514AB6"/>
    <w:rsid w:val="00516A9B"/>
    <w:rsid w:val="005175BC"/>
    <w:rsid w:val="005228EB"/>
    <w:rsid w:val="00524BE9"/>
    <w:rsid w:val="005257B4"/>
    <w:rsid w:val="005259D9"/>
    <w:rsid w:val="00532EE1"/>
    <w:rsid w:val="00540A04"/>
    <w:rsid w:val="00543DC1"/>
    <w:rsid w:val="00545287"/>
    <w:rsid w:val="00546477"/>
    <w:rsid w:val="00546C4E"/>
    <w:rsid w:val="005472C3"/>
    <w:rsid w:val="005477B2"/>
    <w:rsid w:val="00553B48"/>
    <w:rsid w:val="00555257"/>
    <w:rsid w:val="00555A92"/>
    <w:rsid w:val="00556863"/>
    <w:rsid w:val="00565A7C"/>
    <w:rsid w:val="00565B0D"/>
    <w:rsid w:val="00565F00"/>
    <w:rsid w:val="00566518"/>
    <w:rsid w:val="00566CA5"/>
    <w:rsid w:val="00572662"/>
    <w:rsid w:val="00576610"/>
    <w:rsid w:val="0057775E"/>
    <w:rsid w:val="00580943"/>
    <w:rsid w:val="00581810"/>
    <w:rsid w:val="00581E00"/>
    <w:rsid w:val="00585D9D"/>
    <w:rsid w:val="00585FC1"/>
    <w:rsid w:val="0058638B"/>
    <w:rsid w:val="00586B85"/>
    <w:rsid w:val="00587B26"/>
    <w:rsid w:val="0059046B"/>
    <w:rsid w:val="00591017"/>
    <w:rsid w:val="00592C7E"/>
    <w:rsid w:val="00592E64"/>
    <w:rsid w:val="005A0CB1"/>
    <w:rsid w:val="005A12CA"/>
    <w:rsid w:val="005A3DE6"/>
    <w:rsid w:val="005A42AF"/>
    <w:rsid w:val="005A5C0D"/>
    <w:rsid w:val="005A64B0"/>
    <w:rsid w:val="005B1080"/>
    <w:rsid w:val="005B36A6"/>
    <w:rsid w:val="005B3EF2"/>
    <w:rsid w:val="005B417B"/>
    <w:rsid w:val="005C24A5"/>
    <w:rsid w:val="005C25FD"/>
    <w:rsid w:val="005C5467"/>
    <w:rsid w:val="005D0CD2"/>
    <w:rsid w:val="005D153A"/>
    <w:rsid w:val="005D2EB8"/>
    <w:rsid w:val="005D7959"/>
    <w:rsid w:val="005E0D7B"/>
    <w:rsid w:val="005E1017"/>
    <w:rsid w:val="005E1D98"/>
    <w:rsid w:val="005E4ACC"/>
    <w:rsid w:val="005E6262"/>
    <w:rsid w:val="005F035D"/>
    <w:rsid w:val="005F0C3A"/>
    <w:rsid w:val="005F149C"/>
    <w:rsid w:val="005F1A2D"/>
    <w:rsid w:val="005F260D"/>
    <w:rsid w:val="005F2757"/>
    <w:rsid w:val="005F57D4"/>
    <w:rsid w:val="005F5CB8"/>
    <w:rsid w:val="005F6493"/>
    <w:rsid w:val="005F7547"/>
    <w:rsid w:val="00600CBB"/>
    <w:rsid w:val="0060119C"/>
    <w:rsid w:val="0060122F"/>
    <w:rsid w:val="00602B8C"/>
    <w:rsid w:val="00602F26"/>
    <w:rsid w:val="00603812"/>
    <w:rsid w:val="00603925"/>
    <w:rsid w:val="00606679"/>
    <w:rsid w:val="00606DB0"/>
    <w:rsid w:val="00610F8D"/>
    <w:rsid w:val="006113AF"/>
    <w:rsid w:val="00613628"/>
    <w:rsid w:val="00614380"/>
    <w:rsid w:val="00620B00"/>
    <w:rsid w:val="00623F45"/>
    <w:rsid w:val="00627726"/>
    <w:rsid w:val="0063080A"/>
    <w:rsid w:val="006314EF"/>
    <w:rsid w:val="0063609C"/>
    <w:rsid w:val="00636995"/>
    <w:rsid w:val="00641B45"/>
    <w:rsid w:val="00643915"/>
    <w:rsid w:val="00652A06"/>
    <w:rsid w:val="006567D3"/>
    <w:rsid w:val="006579B2"/>
    <w:rsid w:val="00661D0D"/>
    <w:rsid w:val="00663D98"/>
    <w:rsid w:val="00664485"/>
    <w:rsid w:val="006644CF"/>
    <w:rsid w:val="00667624"/>
    <w:rsid w:val="00670636"/>
    <w:rsid w:val="0067096F"/>
    <w:rsid w:val="00671AAD"/>
    <w:rsid w:val="006724F1"/>
    <w:rsid w:val="00675E6E"/>
    <w:rsid w:val="00682D3D"/>
    <w:rsid w:val="00683EBF"/>
    <w:rsid w:val="00684A27"/>
    <w:rsid w:val="00685F3B"/>
    <w:rsid w:val="0068625C"/>
    <w:rsid w:val="00686904"/>
    <w:rsid w:val="00690261"/>
    <w:rsid w:val="00693403"/>
    <w:rsid w:val="006944F8"/>
    <w:rsid w:val="00695323"/>
    <w:rsid w:val="00695B1A"/>
    <w:rsid w:val="00697486"/>
    <w:rsid w:val="006A0BAC"/>
    <w:rsid w:val="006A215A"/>
    <w:rsid w:val="006A30E2"/>
    <w:rsid w:val="006A5024"/>
    <w:rsid w:val="006B0510"/>
    <w:rsid w:val="006B3610"/>
    <w:rsid w:val="006B3897"/>
    <w:rsid w:val="006B56ED"/>
    <w:rsid w:val="006C0B9B"/>
    <w:rsid w:val="006C7CCA"/>
    <w:rsid w:val="006D216F"/>
    <w:rsid w:val="006D2490"/>
    <w:rsid w:val="006D2610"/>
    <w:rsid w:val="006D2877"/>
    <w:rsid w:val="006D3546"/>
    <w:rsid w:val="006D40B8"/>
    <w:rsid w:val="006D5EF0"/>
    <w:rsid w:val="006D6544"/>
    <w:rsid w:val="006D6C51"/>
    <w:rsid w:val="006D787E"/>
    <w:rsid w:val="006E0D4E"/>
    <w:rsid w:val="006E5135"/>
    <w:rsid w:val="006E5363"/>
    <w:rsid w:val="006E716A"/>
    <w:rsid w:val="006E7F77"/>
    <w:rsid w:val="006F0DDA"/>
    <w:rsid w:val="006F2383"/>
    <w:rsid w:val="006F2F9A"/>
    <w:rsid w:val="006F4520"/>
    <w:rsid w:val="006F5833"/>
    <w:rsid w:val="006F6EAE"/>
    <w:rsid w:val="007017A2"/>
    <w:rsid w:val="007021A8"/>
    <w:rsid w:val="00702B62"/>
    <w:rsid w:val="00704D23"/>
    <w:rsid w:val="00706077"/>
    <w:rsid w:val="007062BE"/>
    <w:rsid w:val="00706A97"/>
    <w:rsid w:val="00707561"/>
    <w:rsid w:val="00712DD1"/>
    <w:rsid w:val="00713029"/>
    <w:rsid w:val="007134CF"/>
    <w:rsid w:val="0071418E"/>
    <w:rsid w:val="00714A20"/>
    <w:rsid w:val="007162DA"/>
    <w:rsid w:val="0071723C"/>
    <w:rsid w:val="0072052B"/>
    <w:rsid w:val="007229AE"/>
    <w:rsid w:val="00723EDA"/>
    <w:rsid w:val="00724983"/>
    <w:rsid w:val="00724C73"/>
    <w:rsid w:val="00725B5E"/>
    <w:rsid w:val="00725F43"/>
    <w:rsid w:val="00727AB2"/>
    <w:rsid w:val="0073189C"/>
    <w:rsid w:val="00735A90"/>
    <w:rsid w:val="00735BB8"/>
    <w:rsid w:val="00750650"/>
    <w:rsid w:val="007540E2"/>
    <w:rsid w:val="0075432B"/>
    <w:rsid w:val="0075635E"/>
    <w:rsid w:val="0076064D"/>
    <w:rsid w:val="00760657"/>
    <w:rsid w:val="007621EF"/>
    <w:rsid w:val="00763E45"/>
    <w:rsid w:val="00764447"/>
    <w:rsid w:val="00764A7C"/>
    <w:rsid w:val="007655EC"/>
    <w:rsid w:val="007668FE"/>
    <w:rsid w:val="00770F8F"/>
    <w:rsid w:val="00771E80"/>
    <w:rsid w:val="00772339"/>
    <w:rsid w:val="00773A24"/>
    <w:rsid w:val="00774364"/>
    <w:rsid w:val="00775225"/>
    <w:rsid w:val="007765D5"/>
    <w:rsid w:val="007775E2"/>
    <w:rsid w:val="007845D1"/>
    <w:rsid w:val="00784D7E"/>
    <w:rsid w:val="007863CC"/>
    <w:rsid w:val="00791750"/>
    <w:rsid w:val="00791C96"/>
    <w:rsid w:val="00792C03"/>
    <w:rsid w:val="00792C85"/>
    <w:rsid w:val="007949B8"/>
    <w:rsid w:val="00796C29"/>
    <w:rsid w:val="007A10C0"/>
    <w:rsid w:val="007B0AA7"/>
    <w:rsid w:val="007B0CB7"/>
    <w:rsid w:val="007B38ED"/>
    <w:rsid w:val="007B5E21"/>
    <w:rsid w:val="007B67AC"/>
    <w:rsid w:val="007B79DB"/>
    <w:rsid w:val="007C00F7"/>
    <w:rsid w:val="007C07A8"/>
    <w:rsid w:val="007C23AB"/>
    <w:rsid w:val="007C2CC6"/>
    <w:rsid w:val="007C384A"/>
    <w:rsid w:val="007C460B"/>
    <w:rsid w:val="007C5E37"/>
    <w:rsid w:val="007C6D01"/>
    <w:rsid w:val="007C70A6"/>
    <w:rsid w:val="007C732B"/>
    <w:rsid w:val="007D04BD"/>
    <w:rsid w:val="007D1353"/>
    <w:rsid w:val="007E0C13"/>
    <w:rsid w:val="007E4F2F"/>
    <w:rsid w:val="007E716D"/>
    <w:rsid w:val="007E7338"/>
    <w:rsid w:val="007E773E"/>
    <w:rsid w:val="007F06DC"/>
    <w:rsid w:val="007F1B92"/>
    <w:rsid w:val="007F1C4A"/>
    <w:rsid w:val="007F1E90"/>
    <w:rsid w:val="007F2E75"/>
    <w:rsid w:val="007F59CA"/>
    <w:rsid w:val="007F7B84"/>
    <w:rsid w:val="007F7CA4"/>
    <w:rsid w:val="00800D0D"/>
    <w:rsid w:val="00805884"/>
    <w:rsid w:val="008065DA"/>
    <w:rsid w:val="00807F2A"/>
    <w:rsid w:val="0081081E"/>
    <w:rsid w:val="00810B5C"/>
    <w:rsid w:val="008113CE"/>
    <w:rsid w:val="0081776F"/>
    <w:rsid w:val="00817B29"/>
    <w:rsid w:val="00817E17"/>
    <w:rsid w:val="00822FD2"/>
    <w:rsid w:val="0082427B"/>
    <w:rsid w:val="00824B4B"/>
    <w:rsid w:val="00825836"/>
    <w:rsid w:val="00826717"/>
    <w:rsid w:val="0082676E"/>
    <w:rsid w:val="00827E09"/>
    <w:rsid w:val="00830CD5"/>
    <w:rsid w:val="00830F2B"/>
    <w:rsid w:val="00831201"/>
    <w:rsid w:val="00832C68"/>
    <w:rsid w:val="00832DA8"/>
    <w:rsid w:val="00832E39"/>
    <w:rsid w:val="00833903"/>
    <w:rsid w:val="008347E3"/>
    <w:rsid w:val="008367B5"/>
    <w:rsid w:val="00840040"/>
    <w:rsid w:val="00845BA4"/>
    <w:rsid w:val="00851769"/>
    <w:rsid w:val="008520F2"/>
    <w:rsid w:val="00853793"/>
    <w:rsid w:val="00855D9E"/>
    <w:rsid w:val="00861366"/>
    <w:rsid w:val="0086172C"/>
    <w:rsid w:val="00862063"/>
    <w:rsid w:val="008620ED"/>
    <w:rsid w:val="0086258A"/>
    <w:rsid w:val="00863BC9"/>
    <w:rsid w:val="00865674"/>
    <w:rsid w:val="00866038"/>
    <w:rsid w:val="00866558"/>
    <w:rsid w:val="008666E9"/>
    <w:rsid w:val="00866EBB"/>
    <w:rsid w:val="00871213"/>
    <w:rsid w:val="0087300F"/>
    <w:rsid w:val="00876C47"/>
    <w:rsid w:val="008771CF"/>
    <w:rsid w:val="008778F6"/>
    <w:rsid w:val="00880CAE"/>
    <w:rsid w:val="00882A5F"/>
    <w:rsid w:val="00882EDD"/>
    <w:rsid w:val="00883585"/>
    <w:rsid w:val="008844B1"/>
    <w:rsid w:val="00885198"/>
    <w:rsid w:val="008909A1"/>
    <w:rsid w:val="00893768"/>
    <w:rsid w:val="00894596"/>
    <w:rsid w:val="00894928"/>
    <w:rsid w:val="00894B2B"/>
    <w:rsid w:val="00897493"/>
    <w:rsid w:val="008A13EE"/>
    <w:rsid w:val="008A1553"/>
    <w:rsid w:val="008A2BEF"/>
    <w:rsid w:val="008A5E0B"/>
    <w:rsid w:val="008A6F3D"/>
    <w:rsid w:val="008B0BD4"/>
    <w:rsid w:val="008B1592"/>
    <w:rsid w:val="008B1669"/>
    <w:rsid w:val="008B53B7"/>
    <w:rsid w:val="008B5D62"/>
    <w:rsid w:val="008B6943"/>
    <w:rsid w:val="008C1BC3"/>
    <w:rsid w:val="008C2186"/>
    <w:rsid w:val="008C3576"/>
    <w:rsid w:val="008C58F1"/>
    <w:rsid w:val="008C7B81"/>
    <w:rsid w:val="008D0EF5"/>
    <w:rsid w:val="008D1D5D"/>
    <w:rsid w:val="008E3868"/>
    <w:rsid w:val="008E55AF"/>
    <w:rsid w:val="008E650E"/>
    <w:rsid w:val="008E693E"/>
    <w:rsid w:val="008E6AAD"/>
    <w:rsid w:val="008F0D4E"/>
    <w:rsid w:val="008F2E6D"/>
    <w:rsid w:val="008F4A1C"/>
    <w:rsid w:val="008F6007"/>
    <w:rsid w:val="008F7614"/>
    <w:rsid w:val="0090195C"/>
    <w:rsid w:val="009105D9"/>
    <w:rsid w:val="00910713"/>
    <w:rsid w:val="00910B2C"/>
    <w:rsid w:val="0091184D"/>
    <w:rsid w:val="00915692"/>
    <w:rsid w:val="00915923"/>
    <w:rsid w:val="00917155"/>
    <w:rsid w:val="00917745"/>
    <w:rsid w:val="00920046"/>
    <w:rsid w:val="00921C20"/>
    <w:rsid w:val="00923670"/>
    <w:rsid w:val="00923A2F"/>
    <w:rsid w:val="00923D27"/>
    <w:rsid w:val="00924873"/>
    <w:rsid w:val="00925B30"/>
    <w:rsid w:val="00926A7D"/>
    <w:rsid w:val="00927C7A"/>
    <w:rsid w:val="00930C6B"/>
    <w:rsid w:val="009325A2"/>
    <w:rsid w:val="00932927"/>
    <w:rsid w:val="00934F8E"/>
    <w:rsid w:val="00935287"/>
    <w:rsid w:val="0094531D"/>
    <w:rsid w:val="0094706F"/>
    <w:rsid w:val="00947422"/>
    <w:rsid w:val="009475B1"/>
    <w:rsid w:val="00951F57"/>
    <w:rsid w:val="00954A58"/>
    <w:rsid w:val="009562C7"/>
    <w:rsid w:val="00962689"/>
    <w:rsid w:val="00964E96"/>
    <w:rsid w:val="00966FA3"/>
    <w:rsid w:val="0097092F"/>
    <w:rsid w:val="0097518C"/>
    <w:rsid w:val="00976686"/>
    <w:rsid w:val="00976D3C"/>
    <w:rsid w:val="00977109"/>
    <w:rsid w:val="009776DE"/>
    <w:rsid w:val="00982FAD"/>
    <w:rsid w:val="0098565A"/>
    <w:rsid w:val="009927B9"/>
    <w:rsid w:val="00993F39"/>
    <w:rsid w:val="009A035A"/>
    <w:rsid w:val="009A188B"/>
    <w:rsid w:val="009A1B14"/>
    <w:rsid w:val="009A376F"/>
    <w:rsid w:val="009A4126"/>
    <w:rsid w:val="009A4AA7"/>
    <w:rsid w:val="009A4FDF"/>
    <w:rsid w:val="009A606A"/>
    <w:rsid w:val="009A6099"/>
    <w:rsid w:val="009B1DFD"/>
    <w:rsid w:val="009B2945"/>
    <w:rsid w:val="009B3EA9"/>
    <w:rsid w:val="009C1BBA"/>
    <w:rsid w:val="009C2866"/>
    <w:rsid w:val="009C40DD"/>
    <w:rsid w:val="009C430B"/>
    <w:rsid w:val="009C466E"/>
    <w:rsid w:val="009C4F83"/>
    <w:rsid w:val="009C7D3F"/>
    <w:rsid w:val="009D01A8"/>
    <w:rsid w:val="009D0E0E"/>
    <w:rsid w:val="009D14DB"/>
    <w:rsid w:val="009D257D"/>
    <w:rsid w:val="009D346C"/>
    <w:rsid w:val="009D4045"/>
    <w:rsid w:val="009D4CF6"/>
    <w:rsid w:val="009D69D2"/>
    <w:rsid w:val="009E01AE"/>
    <w:rsid w:val="009E0227"/>
    <w:rsid w:val="009E0785"/>
    <w:rsid w:val="009E4B50"/>
    <w:rsid w:val="009F01DA"/>
    <w:rsid w:val="009F20BB"/>
    <w:rsid w:val="009F4E48"/>
    <w:rsid w:val="009F7A5F"/>
    <w:rsid w:val="00A026E6"/>
    <w:rsid w:val="00A029BE"/>
    <w:rsid w:val="00A031C2"/>
    <w:rsid w:val="00A042A3"/>
    <w:rsid w:val="00A07A58"/>
    <w:rsid w:val="00A141ED"/>
    <w:rsid w:val="00A16587"/>
    <w:rsid w:val="00A22E2B"/>
    <w:rsid w:val="00A22FCA"/>
    <w:rsid w:val="00A23089"/>
    <w:rsid w:val="00A23AD8"/>
    <w:rsid w:val="00A26396"/>
    <w:rsid w:val="00A31C95"/>
    <w:rsid w:val="00A341AD"/>
    <w:rsid w:val="00A352F8"/>
    <w:rsid w:val="00A366BE"/>
    <w:rsid w:val="00A36BCC"/>
    <w:rsid w:val="00A41B4C"/>
    <w:rsid w:val="00A42AF9"/>
    <w:rsid w:val="00A42BC9"/>
    <w:rsid w:val="00A42EC5"/>
    <w:rsid w:val="00A43789"/>
    <w:rsid w:val="00A43E81"/>
    <w:rsid w:val="00A46FAA"/>
    <w:rsid w:val="00A55CBA"/>
    <w:rsid w:val="00A561B6"/>
    <w:rsid w:val="00A57F62"/>
    <w:rsid w:val="00A61DD8"/>
    <w:rsid w:val="00A633AD"/>
    <w:rsid w:val="00A666C4"/>
    <w:rsid w:val="00A67631"/>
    <w:rsid w:val="00A701A5"/>
    <w:rsid w:val="00A708A6"/>
    <w:rsid w:val="00A71CB8"/>
    <w:rsid w:val="00A72562"/>
    <w:rsid w:val="00A72F9D"/>
    <w:rsid w:val="00A73931"/>
    <w:rsid w:val="00A73B2D"/>
    <w:rsid w:val="00A752B3"/>
    <w:rsid w:val="00A76053"/>
    <w:rsid w:val="00A76F38"/>
    <w:rsid w:val="00A7707C"/>
    <w:rsid w:val="00A8002F"/>
    <w:rsid w:val="00A802BD"/>
    <w:rsid w:val="00A80946"/>
    <w:rsid w:val="00A8215B"/>
    <w:rsid w:val="00A83906"/>
    <w:rsid w:val="00A85925"/>
    <w:rsid w:val="00A93128"/>
    <w:rsid w:val="00A963AF"/>
    <w:rsid w:val="00A9653E"/>
    <w:rsid w:val="00A96DE4"/>
    <w:rsid w:val="00AA192E"/>
    <w:rsid w:val="00AA466F"/>
    <w:rsid w:val="00AA61B1"/>
    <w:rsid w:val="00AA6716"/>
    <w:rsid w:val="00AA785A"/>
    <w:rsid w:val="00AB23CB"/>
    <w:rsid w:val="00AB29C9"/>
    <w:rsid w:val="00AB2CCC"/>
    <w:rsid w:val="00AB3817"/>
    <w:rsid w:val="00AB3AB0"/>
    <w:rsid w:val="00AB6640"/>
    <w:rsid w:val="00AC1007"/>
    <w:rsid w:val="00AC12E8"/>
    <w:rsid w:val="00AC3608"/>
    <w:rsid w:val="00AC40FA"/>
    <w:rsid w:val="00AC4370"/>
    <w:rsid w:val="00AC5CBE"/>
    <w:rsid w:val="00AD0029"/>
    <w:rsid w:val="00AD033D"/>
    <w:rsid w:val="00AD0FF8"/>
    <w:rsid w:val="00AD1704"/>
    <w:rsid w:val="00AD1AAD"/>
    <w:rsid w:val="00AD2E3C"/>
    <w:rsid w:val="00AD577D"/>
    <w:rsid w:val="00AD6871"/>
    <w:rsid w:val="00AE232D"/>
    <w:rsid w:val="00AE4108"/>
    <w:rsid w:val="00AE4843"/>
    <w:rsid w:val="00AE5A7B"/>
    <w:rsid w:val="00AE73EE"/>
    <w:rsid w:val="00AF1913"/>
    <w:rsid w:val="00AF631F"/>
    <w:rsid w:val="00AF6D9B"/>
    <w:rsid w:val="00AF7136"/>
    <w:rsid w:val="00AF7274"/>
    <w:rsid w:val="00B0020F"/>
    <w:rsid w:val="00B017AC"/>
    <w:rsid w:val="00B0256F"/>
    <w:rsid w:val="00B05690"/>
    <w:rsid w:val="00B067C9"/>
    <w:rsid w:val="00B06B86"/>
    <w:rsid w:val="00B100A8"/>
    <w:rsid w:val="00B10CA3"/>
    <w:rsid w:val="00B1569F"/>
    <w:rsid w:val="00B20D94"/>
    <w:rsid w:val="00B214BD"/>
    <w:rsid w:val="00B21AAB"/>
    <w:rsid w:val="00B2506F"/>
    <w:rsid w:val="00B26753"/>
    <w:rsid w:val="00B26955"/>
    <w:rsid w:val="00B26B60"/>
    <w:rsid w:val="00B26B94"/>
    <w:rsid w:val="00B27449"/>
    <w:rsid w:val="00B336CA"/>
    <w:rsid w:val="00B33B9E"/>
    <w:rsid w:val="00B34674"/>
    <w:rsid w:val="00B36BBC"/>
    <w:rsid w:val="00B45230"/>
    <w:rsid w:val="00B45411"/>
    <w:rsid w:val="00B46DA4"/>
    <w:rsid w:val="00B500F8"/>
    <w:rsid w:val="00B50EBF"/>
    <w:rsid w:val="00B52DC0"/>
    <w:rsid w:val="00B54517"/>
    <w:rsid w:val="00B56C4C"/>
    <w:rsid w:val="00B621E5"/>
    <w:rsid w:val="00B63E33"/>
    <w:rsid w:val="00B7032B"/>
    <w:rsid w:val="00B7168D"/>
    <w:rsid w:val="00B71EE8"/>
    <w:rsid w:val="00B730AB"/>
    <w:rsid w:val="00B73341"/>
    <w:rsid w:val="00B73F7E"/>
    <w:rsid w:val="00B7488C"/>
    <w:rsid w:val="00B765D7"/>
    <w:rsid w:val="00B81BB6"/>
    <w:rsid w:val="00B840D5"/>
    <w:rsid w:val="00B858BB"/>
    <w:rsid w:val="00B85E17"/>
    <w:rsid w:val="00B85E87"/>
    <w:rsid w:val="00B93996"/>
    <w:rsid w:val="00B958F2"/>
    <w:rsid w:val="00B967F0"/>
    <w:rsid w:val="00B96897"/>
    <w:rsid w:val="00B97833"/>
    <w:rsid w:val="00BA1CE2"/>
    <w:rsid w:val="00BA598F"/>
    <w:rsid w:val="00BA689E"/>
    <w:rsid w:val="00BB1FE8"/>
    <w:rsid w:val="00BB3F9F"/>
    <w:rsid w:val="00BB574A"/>
    <w:rsid w:val="00BC03DD"/>
    <w:rsid w:val="00BC04B2"/>
    <w:rsid w:val="00BC1BA4"/>
    <w:rsid w:val="00BC2A41"/>
    <w:rsid w:val="00BC32D0"/>
    <w:rsid w:val="00BC6AE9"/>
    <w:rsid w:val="00BD38B2"/>
    <w:rsid w:val="00BE1596"/>
    <w:rsid w:val="00BE2BFC"/>
    <w:rsid w:val="00BE327A"/>
    <w:rsid w:val="00BE372C"/>
    <w:rsid w:val="00BE3894"/>
    <w:rsid w:val="00BE39AC"/>
    <w:rsid w:val="00BE4E2B"/>
    <w:rsid w:val="00BE7C96"/>
    <w:rsid w:val="00BE7E3A"/>
    <w:rsid w:val="00BF0505"/>
    <w:rsid w:val="00BF2120"/>
    <w:rsid w:val="00BF7D44"/>
    <w:rsid w:val="00C012A1"/>
    <w:rsid w:val="00C02507"/>
    <w:rsid w:val="00C026D6"/>
    <w:rsid w:val="00C02FFD"/>
    <w:rsid w:val="00C05838"/>
    <w:rsid w:val="00C0698C"/>
    <w:rsid w:val="00C13C06"/>
    <w:rsid w:val="00C16312"/>
    <w:rsid w:val="00C17AE0"/>
    <w:rsid w:val="00C20ECD"/>
    <w:rsid w:val="00C21D52"/>
    <w:rsid w:val="00C23CB3"/>
    <w:rsid w:val="00C2548A"/>
    <w:rsid w:val="00C25E02"/>
    <w:rsid w:val="00C263FF"/>
    <w:rsid w:val="00C2780F"/>
    <w:rsid w:val="00C279F4"/>
    <w:rsid w:val="00C330E2"/>
    <w:rsid w:val="00C40BA1"/>
    <w:rsid w:val="00C4103B"/>
    <w:rsid w:val="00C418E2"/>
    <w:rsid w:val="00C45486"/>
    <w:rsid w:val="00C4650D"/>
    <w:rsid w:val="00C46793"/>
    <w:rsid w:val="00C46ECE"/>
    <w:rsid w:val="00C47C97"/>
    <w:rsid w:val="00C47D8E"/>
    <w:rsid w:val="00C50106"/>
    <w:rsid w:val="00C50649"/>
    <w:rsid w:val="00C508DC"/>
    <w:rsid w:val="00C50A6B"/>
    <w:rsid w:val="00C578B2"/>
    <w:rsid w:val="00C57B0B"/>
    <w:rsid w:val="00C62247"/>
    <w:rsid w:val="00C630BC"/>
    <w:rsid w:val="00C63685"/>
    <w:rsid w:val="00C659DC"/>
    <w:rsid w:val="00C66AA3"/>
    <w:rsid w:val="00C6728C"/>
    <w:rsid w:val="00C71353"/>
    <w:rsid w:val="00C72322"/>
    <w:rsid w:val="00C73C36"/>
    <w:rsid w:val="00C77E75"/>
    <w:rsid w:val="00C77F85"/>
    <w:rsid w:val="00C82745"/>
    <w:rsid w:val="00C8371D"/>
    <w:rsid w:val="00C83F19"/>
    <w:rsid w:val="00C8434D"/>
    <w:rsid w:val="00C84D85"/>
    <w:rsid w:val="00C8519E"/>
    <w:rsid w:val="00C85E2C"/>
    <w:rsid w:val="00C90FBF"/>
    <w:rsid w:val="00C9425C"/>
    <w:rsid w:val="00C9479E"/>
    <w:rsid w:val="00C95108"/>
    <w:rsid w:val="00C9551F"/>
    <w:rsid w:val="00C95FF5"/>
    <w:rsid w:val="00C961F9"/>
    <w:rsid w:val="00CA0208"/>
    <w:rsid w:val="00CA3826"/>
    <w:rsid w:val="00CA79D5"/>
    <w:rsid w:val="00CB04E6"/>
    <w:rsid w:val="00CB1E14"/>
    <w:rsid w:val="00CB28EE"/>
    <w:rsid w:val="00CB2D0C"/>
    <w:rsid w:val="00CC0B1B"/>
    <w:rsid w:val="00CC1D4D"/>
    <w:rsid w:val="00CC255F"/>
    <w:rsid w:val="00CC352D"/>
    <w:rsid w:val="00CC4052"/>
    <w:rsid w:val="00CC488E"/>
    <w:rsid w:val="00CC4A9E"/>
    <w:rsid w:val="00CC5B84"/>
    <w:rsid w:val="00CD0E29"/>
    <w:rsid w:val="00CD0E6E"/>
    <w:rsid w:val="00CD13ED"/>
    <w:rsid w:val="00CD19A7"/>
    <w:rsid w:val="00CD2091"/>
    <w:rsid w:val="00CD2EA4"/>
    <w:rsid w:val="00CD314B"/>
    <w:rsid w:val="00CD3A30"/>
    <w:rsid w:val="00CD62E2"/>
    <w:rsid w:val="00CD654A"/>
    <w:rsid w:val="00CD797A"/>
    <w:rsid w:val="00CE082E"/>
    <w:rsid w:val="00CE1479"/>
    <w:rsid w:val="00CE1D29"/>
    <w:rsid w:val="00CE1D54"/>
    <w:rsid w:val="00CE1DF5"/>
    <w:rsid w:val="00CE3715"/>
    <w:rsid w:val="00CE37EA"/>
    <w:rsid w:val="00CE383C"/>
    <w:rsid w:val="00CE7106"/>
    <w:rsid w:val="00CE790F"/>
    <w:rsid w:val="00CF0233"/>
    <w:rsid w:val="00CF4155"/>
    <w:rsid w:val="00CF71B9"/>
    <w:rsid w:val="00D00169"/>
    <w:rsid w:val="00D04130"/>
    <w:rsid w:val="00D0698E"/>
    <w:rsid w:val="00D079D9"/>
    <w:rsid w:val="00D11D3D"/>
    <w:rsid w:val="00D13DC1"/>
    <w:rsid w:val="00D1421D"/>
    <w:rsid w:val="00D1790F"/>
    <w:rsid w:val="00D20022"/>
    <w:rsid w:val="00D21646"/>
    <w:rsid w:val="00D257EE"/>
    <w:rsid w:val="00D25D23"/>
    <w:rsid w:val="00D268FE"/>
    <w:rsid w:val="00D272E5"/>
    <w:rsid w:val="00D4022C"/>
    <w:rsid w:val="00D40740"/>
    <w:rsid w:val="00D41EEF"/>
    <w:rsid w:val="00D43932"/>
    <w:rsid w:val="00D441BC"/>
    <w:rsid w:val="00D46F35"/>
    <w:rsid w:val="00D506EC"/>
    <w:rsid w:val="00D516F5"/>
    <w:rsid w:val="00D51FB8"/>
    <w:rsid w:val="00D54EB1"/>
    <w:rsid w:val="00D553D1"/>
    <w:rsid w:val="00D619E5"/>
    <w:rsid w:val="00D6265C"/>
    <w:rsid w:val="00D63C54"/>
    <w:rsid w:val="00D64547"/>
    <w:rsid w:val="00D6694C"/>
    <w:rsid w:val="00D67062"/>
    <w:rsid w:val="00D71096"/>
    <w:rsid w:val="00D729B7"/>
    <w:rsid w:val="00D73F7B"/>
    <w:rsid w:val="00D755EB"/>
    <w:rsid w:val="00D77613"/>
    <w:rsid w:val="00D81631"/>
    <w:rsid w:val="00D822A0"/>
    <w:rsid w:val="00D833D8"/>
    <w:rsid w:val="00D83DD4"/>
    <w:rsid w:val="00D83E64"/>
    <w:rsid w:val="00D90484"/>
    <w:rsid w:val="00D91E20"/>
    <w:rsid w:val="00D932C3"/>
    <w:rsid w:val="00D95C92"/>
    <w:rsid w:val="00DA1CBD"/>
    <w:rsid w:val="00DA2A34"/>
    <w:rsid w:val="00DA2E0B"/>
    <w:rsid w:val="00DA4F05"/>
    <w:rsid w:val="00DB04DB"/>
    <w:rsid w:val="00DB0D2F"/>
    <w:rsid w:val="00DB0DFE"/>
    <w:rsid w:val="00DB3187"/>
    <w:rsid w:val="00DB4015"/>
    <w:rsid w:val="00DC1D6B"/>
    <w:rsid w:val="00DC5CB4"/>
    <w:rsid w:val="00DD13B3"/>
    <w:rsid w:val="00DD569E"/>
    <w:rsid w:val="00DD6066"/>
    <w:rsid w:val="00DD613B"/>
    <w:rsid w:val="00DD67F9"/>
    <w:rsid w:val="00DD6954"/>
    <w:rsid w:val="00DE5211"/>
    <w:rsid w:val="00DE56FF"/>
    <w:rsid w:val="00DE76AC"/>
    <w:rsid w:val="00DE7A07"/>
    <w:rsid w:val="00DF1CCA"/>
    <w:rsid w:val="00DF2995"/>
    <w:rsid w:val="00DF44C9"/>
    <w:rsid w:val="00DF661C"/>
    <w:rsid w:val="00DF6D51"/>
    <w:rsid w:val="00E005BD"/>
    <w:rsid w:val="00E0141B"/>
    <w:rsid w:val="00E019C3"/>
    <w:rsid w:val="00E0395A"/>
    <w:rsid w:val="00E043AE"/>
    <w:rsid w:val="00E0457D"/>
    <w:rsid w:val="00E0519C"/>
    <w:rsid w:val="00E06CFA"/>
    <w:rsid w:val="00E109CF"/>
    <w:rsid w:val="00E10E07"/>
    <w:rsid w:val="00E11599"/>
    <w:rsid w:val="00E1214F"/>
    <w:rsid w:val="00E17A1D"/>
    <w:rsid w:val="00E231D6"/>
    <w:rsid w:val="00E237C6"/>
    <w:rsid w:val="00E264E1"/>
    <w:rsid w:val="00E319A4"/>
    <w:rsid w:val="00E31F35"/>
    <w:rsid w:val="00E31F75"/>
    <w:rsid w:val="00E33BD4"/>
    <w:rsid w:val="00E34B52"/>
    <w:rsid w:val="00E365ED"/>
    <w:rsid w:val="00E36689"/>
    <w:rsid w:val="00E37558"/>
    <w:rsid w:val="00E4144F"/>
    <w:rsid w:val="00E454C3"/>
    <w:rsid w:val="00E45D90"/>
    <w:rsid w:val="00E52E6B"/>
    <w:rsid w:val="00E53ADA"/>
    <w:rsid w:val="00E542DD"/>
    <w:rsid w:val="00E555AB"/>
    <w:rsid w:val="00E55BF4"/>
    <w:rsid w:val="00E56B93"/>
    <w:rsid w:val="00E62A28"/>
    <w:rsid w:val="00E63667"/>
    <w:rsid w:val="00E64FEC"/>
    <w:rsid w:val="00E6797F"/>
    <w:rsid w:val="00E729ED"/>
    <w:rsid w:val="00E72D1F"/>
    <w:rsid w:val="00E74682"/>
    <w:rsid w:val="00E754D7"/>
    <w:rsid w:val="00E76D75"/>
    <w:rsid w:val="00E818AA"/>
    <w:rsid w:val="00E83485"/>
    <w:rsid w:val="00E84258"/>
    <w:rsid w:val="00E846CB"/>
    <w:rsid w:val="00E862A9"/>
    <w:rsid w:val="00E87752"/>
    <w:rsid w:val="00E91F09"/>
    <w:rsid w:val="00E9209D"/>
    <w:rsid w:val="00E9412C"/>
    <w:rsid w:val="00E945B3"/>
    <w:rsid w:val="00EA5C72"/>
    <w:rsid w:val="00EB4AC7"/>
    <w:rsid w:val="00EB58D3"/>
    <w:rsid w:val="00EB7742"/>
    <w:rsid w:val="00EB79AD"/>
    <w:rsid w:val="00EC02B6"/>
    <w:rsid w:val="00EC18D7"/>
    <w:rsid w:val="00EC1EF5"/>
    <w:rsid w:val="00EC2B1B"/>
    <w:rsid w:val="00EC5A4F"/>
    <w:rsid w:val="00EC6C4D"/>
    <w:rsid w:val="00ED76DD"/>
    <w:rsid w:val="00EE019F"/>
    <w:rsid w:val="00EE12F9"/>
    <w:rsid w:val="00EE14EC"/>
    <w:rsid w:val="00EE3BD9"/>
    <w:rsid w:val="00EF0037"/>
    <w:rsid w:val="00EF0125"/>
    <w:rsid w:val="00EF0619"/>
    <w:rsid w:val="00EF07C2"/>
    <w:rsid w:val="00EF11BA"/>
    <w:rsid w:val="00EF2C0B"/>
    <w:rsid w:val="00EF3313"/>
    <w:rsid w:val="00F00C54"/>
    <w:rsid w:val="00F03BB2"/>
    <w:rsid w:val="00F05454"/>
    <w:rsid w:val="00F076FA"/>
    <w:rsid w:val="00F117DE"/>
    <w:rsid w:val="00F11A08"/>
    <w:rsid w:val="00F11B08"/>
    <w:rsid w:val="00F1404A"/>
    <w:rsid w:val="00F178BB"/>
    <w:rsid w:val="00F22E20"/>
    <w:rsid w:val="00F240FE"/>
    <w:rsid w:val="00F26363"/>
    <w:rsid w:val="00F267D9"/>
    <w:rsid w:val="00F27F7F"/>
    <w:rsid w:val="00F302D2"/>
    <w:rsid w:val="00F30675"/>
    <w:rsid w:val="00F33CB2"/>
    <w:rsid w:val="00F37449"/>
    <w:rsid w:val="00F40B24"/>
    <w:rsid w:val="00F41563"/>
    <w:rsid w:val="00F4257E"/>
    <w:rsid w:val="00F4490A"/>
    <w:rsid w:val="00F503AE"/>
    <w:rsid w:val="00F51698"/>
    <w:rsid w:val="00F5183A"/>
    <w:rsid w:val="00F531CA"/>
    <w:rsid w:val="00F547E3"/>
    <w:rsid w:val="00F54D06"/>
    <w:rsid w:val="00F565C2"/>
    <w:rsid w:val="00F56FC1"/>
    <w:rsid w:val="00F63921"/>
    <w:rsid w:val="00F63C99"/>
    <w:rsid w:val="00F67498"/>
    <w:rsid w:val="00F674E7"/>
    <w:rsid w:val="00F67D39"/>
    <w:rsid w:val="00F70BF8"/>
    <w:rsid w:val="00F70D05"/>
    <w:rsid w:val="00F72CCC"/>
    <w:rsid w:val="00F72D41"/>
    <w:rsid w:val="00F73042"/>
    <w:rsid w:val="00F731EC"/>
    <w:rsid w:val="00F73FA8"/>
    <w:rsid w:val="00F75BE2"/>
    <w:rsid w:val="00F83333"/>
    <w:rsid w:val="00F83739"/>
    <w:rsid w:val="00F838FF"/>
    <w:rsid w:val="00F83C07"/>
    <w:rsid w:val="00F86A0D"/>
    <w:rsid w:val="00F905B2"/>
    <w:rsid w:val="00F912FC"/>
    <w:rsid w:val="00F917CB"/>
    <w:rsid w:val="00F918AF"/>
    <w:rsid w:val="00F91BAA"/>
    <w:rsid w:val="00F91E2A"/>
    <w:rsid w:val="00F92A5D"/>
    <w:rsid w:val="00F97566"/>
    <w:rsid w:val="00F9775A"/>
    <w:rsid w:val="00F97F7C"/>
    <w:rsid w:val="00FA097F"/>
    <w:rsid w:val="00FA1723"/>
    <w:rsid w:val="00FA6009"/>
    <w:rsid w:val="00FA611A"/>
    <w:rsid w:val="00FA6312"/>
    <w:rsid w:val="00FA6521"/>
    <w:rsid w:val="00FA68B0"/>
    <w:rsid w:val="00FB4ADE"/>
    <w:rsid w:val="00FC57A7"/>
    <w:rsid w:val="00FC723B"/>
    <w:rsid w:val="00FC7CC2"/>
    <w:rsid w:val="00FD0299"/>
    <w:rsid w:val="00FD33A1"/>
    <w:rsid w:val="00FD4FAA"/>
    <w:rsid w:val="00FD66FB"/>
    <w:rsid w:val="00FD6C76"/>
    <w:rsid w:val="00FE2C97"/>
    <w:rsid w:val="00FE72DE"/>
    <w:rsid w:val="00FF652C"/>
    <w:rsid w:val="00FF7E4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8DDC0"/>
  <w15:docId w15:val="{E5071AEA-03CE-4888-9309-1DB75337B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4F1"/>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61A"/>
    <w:pPr>
      <w:ind w:left="720"/>
      <w:contextualSpacing/>
    </w:pPr>
  </w:style>
  <w:style w:type="paragraph" w:styleId="Header">
    <w:name w:val="header"/>
    <w:basedOn w:val="Normal"/>
    <w:link w:val="HeaderChar"/>
    <w:uiPriority w:val="99"/>
    <w:unhideWhenUsed/>
    <w:rsid w:val="00F4257E"/>
    <w:pPr>
      <w:tabs>
        <w:tab w:val="center" w:pos="4513"/>
        <w:tab w:val="right" w:pos="9026"/>
      </w:tabs>
    </w:pPr>
  </w:style>
  <w:style w:type="character" w:customStyle="1" w:styleId="HeaderChar">
    <w:name w:val="Header Char"/>
    <w:basedOn w:val="DefaultParagraphFont"/>
    <w:link w:val="Header"/>
    <w:uiPriority w:val="99"/>
    <w:rsid w:val="00F4257E"/>
    <w:rPr>
      <w:rFonts w:ascii="Arial" w:eastAsia="Times New Roman" w:hAnsi="Arial" w:cs="Arial"/>
      <w:sz w:val="24"/>
      <w:szCs w:val="24"/>
      <w:lang w:val="en-US" w:eastAsia="en-GB"/>
    </w:rPr>
  </w:style>
  <w:style w:type="paragraph" w:styleId="Footer">
    <w:name w:val="footer"/>
    <w:basedOn w:val="Normal"/>
    <w:link w:val="FooterChar"/>
    <w:uiPriority w:val="99"/>
    <w:unhideWhenUsed/>
    <w:rsid w:val="00F4257E"/>
    <w:pPr>
      <w:tabs>
        <w:tab w:val="center" w:pos="4513"/>
        <w:tab w:val="right" w:pos="9026"/>
      </w:tabs>
    </w:pPr>
  </w:style>
  <w:style w:type="character" w:customStyle="1" w:styleId="FooterChar">
    <w:name w:val="Footer Char"/>
    <w:basedOn w:val="DefaultParagraphFont"/>
    <w:link w:val="Footer"/>
    <w:uiPriority w:val="99"/>
    <w:rsid w:val="00F4257E"/>
    <w:rPr>
      <w:rFonts w:ascii="Arial" w:eastAsia="Times New Roman" w:hAnsi="Arial" w:cs="Arial"/>
      <w:sz w:val="24"/>
      <w:szCs w:val="24"/>
      <w:lang w:val="en-US" w:eastAsia="en-GB"/>
    </w:rPr>
  </w:style>
  <w:style w:type="paragraph" w:styleId="BalloonText">
    <w:name w:val="Balloon Text"/>
    <w:basedOn w:val="Normal"/>
    <w:link w:val="BalloonTextChar"/>
    <w:uiPriority w:val="99"/>
    <w:semiHidden/>
    <w:unhideWhenUsed/>
    <w:rsid w:val="0026490A"/>
    <w:rPr>
      <w:rFonts w:ascii="Tahoma" w:hAnsi="Tahoma" w:cs="Tahoma"/>
      <w:sz w:val="16"/>
      <w:szCs w:val="16"/>
    </w:rPr>
  </w:style>
  <w:style w:type="character" w:customStyle="1" w:styleId="BalloonTextChar">
    <w:name w:val="Balloon Text Char"/>
    <w:basedOn w:val="DefaultParagraphFont"/>
    <w:link w:val="BalloonText"/>
    <w:uiPriority w:val="99"/>
    <w:semiHidden/>
    <w:rsid w:val="0026490A"/>
    <w:rPr>
      <w:rFonts w:ascii="Tahoma" w:eastAsia="Times New Roman" w:hAnsi="Tahoma" w:cs="Tahoma"/>
      <w:sz w:val="16"/>
      <w:szCs w:val="16"/>
      <w:lang w:eastAsia="en-GB"/>
    </w:rPr>
  </w:style>
  <w:style w:type="paragraph" w:styleId="FootnoteText">
    <w:name w:val="footnote text"/>
    <w:basedOn w:val="Normal"/>
    <w:link w:val="FootnoteTextChar"/>
    <w:uiPriority w:val="99"/>
    <w:semiHidden/>
    <w:unhideWhenUsed/>
    <w:rsid w:val="00D932C3"/>
    <w:rPr>
      <w:sz w:val="20"/>
      <w:szCs w:val="20"/>
    </w:rPr>
  </w:style>
  <w:style w:type="character" w:customStyle="1" w:styleId="FootnoteTextChar">
    <w:name w:val="Footnote Text Char"/>
    <w:basedOn w:val="DefaultParagraphFont"/>
    <w:link w:val="FootnoteText"/>
    <w:uiPriority w:val="99"/>
    <w:semiHidden/>
    <w:rsid w:val="00D932C3"/>
    <w:rPr>
      <w:rFonts w:ascii="Arial" w:eastAsia="Times New Roman" w:hAnsi="Arial" w:cs="Arial"/>
      <w:sz w:val="20"/>
      <w:szCs w:val="20"/>
      <w:lang w:eastAsia="en-GB"/>
    </w:rPr>
  </w:style>
  <w:style w:type="character" w:styleId="FootnoteReference">
    <w:name w:val="footnote reference"/>
    <w:basedOn w:val="DefaultParagraphFont"/>
    <w:uiPriority w:val="99"/>
    <w:unhideWhenUsed/>
    <w:rsid w:val="00D932C3"/>
    <w:rPr>
      <w:vertAlign w:val="superscript"/>
    </w:rPr>
  </w:style>
  <w:style w:type="character" w:styleId="PlaceholderText">
    <w:name w:val="Placeholder Text"/>
    <w:basedOn w:val="DefaultParagraphFont"/>
    <w:uiPriority w:val="99"/>
    <w:semiHidden/>
    <w:rsid w:val="00D506EC"/>
    <w:rPr>
      <w:color w:val="808080"/>
    </w:rPr>
  </w:style>
  <w:style w:type="character" w:styleId="Hyperlink">
    <w:name w:val="Hyperlink"/>
    <w:basedOn w:val="DefaultParagraphFont"/>
    <w:uiPriority w:val="99"/>
    <w:unhideWhenUsed/>
    <w:rsid w:val="003B5B98"/>
    <w:rPr>
      <w:color w:val="0000FF" w:themeColor="hyperlink"/>
      <w:u w:val="single"/>
    </w:rPr>
  </w:style>
  <w:style w:type="paragraph" w:styleId="NormalWeb">
    <w:name w:val="Normal (Web)"/>
    <w:basedOn w:val="Normal"/>
    <w:uiPriority w:val="99"/>
    <w:semiHidden/>
    <w:unhideWhenUsed/>
    <w:rsid w:val="007C732B"/>
    <w:pPr>
      <w:spacing w:before="100" w:beforeAutospacing="1" w:after="100" w:afterAutospacing="1"/>
    </w:pPr>
    <w:rPr>
      <w:rFonts w:ascii="Times New Roman" w:hAnsi="Times New Roman" w:cs="Times New Roman"/>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174563">
      <w:bodyDiv w:val="1"/>
      <w:marLeft w:val="0"/>
      <w:marRight w:val="0"/>
      <w:marTop w:val="0"/>
      <w:marBottom w:val="0"/>
      <w:divBdr>
        <w:top w:val="none" w:sz="0" w:space="0" w:color="auto"/>
        <w:left w:val="none" w:sz="0" w:space="0" w:color="auto"/>
        <w:bottom w:val="none" w:sz="0" w:space="0" w:color="auto"/>
        <w:right w:val="none" w:sz="0" w:space="0" w:color="auto"/>
      </w:divBdr>
    </w:div>
    <w:div w:id="85060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5.png@01D12061.663682A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1D95C76428574B873CEE1619370A7A" ma:contentTypeVersion="14" ma:contentTypeDescription="Create a new document." ma:contentTypeScope="" ma:versionID="18e2e0272a66a14f8d58afa829977b42">
  <xsd:schema xmlns:xsd="http://www.w3.org/2001/XMLSchema" xmlns:xs="http://www.w3.org/2001/XMLSchema" xmlns:p="http://schemas.microsoft.com/office/2006/metadata/properties" xmlns:ns3="e39957ab-e58e-42eb-a911-c565ce8fefa7" xmlns:ns4="2e5d8bf4-e976-4310-89b5-20300ef8baa9" targetNamespace="http://schemas.microsoft.com/office/2006/metadata/properties" ma:root="true" ma:fieldsID="39c039440709e97aa5bcbbd262abfe09" ns3:_="" ns4:_="">
    <xsd:import namespace="e39957ab-e58e-42eb-a911-c565ce8fefa7"/>
    <xsd:import namespace="2e5d8bf4-e976-4310-89b5-20300ef8baa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_activity"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9957ab-e58e-42eb-a911-c565ce8fefa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5d8bf4-e976-4310-89b5-20300ef8baa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_activity" ma:index="15" nillable="true" ma:displayName="_activity" ma:hidden="true" ma:internalName="_activity">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e5d8bf4-e976-4310-89b5-20300ef8baa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86CD2-0708-4E1F-B27E-9C3A5753F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9957ab-e58e-42eb-a911-c565ce8fefa7"/>
    <ds:schemaRef ds:uri="2e5d8bf4-e976-4310-89b5-20300ef8ba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636463-CF3B-4319-A1B7-F3B055E97782}">
  <ds:schemaRefs>
    <ds:schemaRef ds:uri="http://schemas.microsoft.com/sharepoint/v3/contenttype/forms"/>
  </ds:schemaRefs>
</ds:datastoreItem>
</file>

<file path=customXml/itemProps3.xml><?xml version="1.0" encoding="utf-8"?>
<ds:datastoreItem xmlns:ds="http://schemas.openxmlformats.org/officeDocument/2006/customXml" ds:itemID="{575714DB-FCE4-41D0-91A7-FF679F678570}">
  <ds:schemaRefs>
    <ds:schemaRef ds:uri="http://schemas.microsoft.com/office/2006/metadata/properties"/>
    <ds:schemaRef ds:uri="http://schemas.microsoft.com/office/infopath/2007/PartnerControls"/>
    <ds:schemaRef ds:uri="2e5d8bf4-e976-4310-89b5-20300ef8baa9"/>
  </ds:schemaRefs>
</ds:datastoreItem>
</file>

<file path=customXml/itemProps4.xml><?xml version="1.0" encoding="utf-8"?>
<ds:datastoreItem xmlns:ds="http://schemas.openxmlformats.org/officeDocument/2006/customXml" ds:itemID="{CEEDD4A1-67A6-4CED-95B1-DF7E51AAA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13</Pages>
  <Words>2952</Words>
  <Characters>16827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Kay</dc:creator>
  <cp:keywords/>
  <dc:description/>
  <cp:lastModifiedBy>Mary Bruce</cp:lastModifiedBy>
  <cp:revision>55</cp:revision>
  <cp:lastPrinted>2023-11-20T07:39:00Z</cp:lastPrinted>
  <dcterms:created xsi:type="dcterms:W3CDTF">2023-11-17T06:29:00Z</dcterms:created>
  <dcterms:modified xsi:type="dcterms:W3CDTF">2023-11-20T12:39:00Z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0x010100A51D95C76428574B873CEE1619370A7A</vt:lpwstr>
  </property>
</Properties>
</file>