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C8870" w14:textId="77777777" w:rsidR="006724F1" w:rsidRPr="00725C7B" w:rsidRDefault="006724F1" w:rsidP="006724F1">
      <w:pPr>
        <w:spacing w:line="360" w:lineRule="auto"/>
        <w:ind w:left="720"/>
        <w:jc w:val="both"/>
        <w:rPr>
          <w:noProof/>
          <w:color w:val="1F497D"/>
          <w:sz w:val="16"/>
          <w:szCs w:val="16"/>
          <w:lang w:eastAsia="en-ZA"/>
        </w:rPr>
      </w:pPr>
      <w:r>
        <w:rPr>
          <w:noProof/>
          <w:lang w:eastAsia="en-ZA"/>
        </w:rPr>
        <w:drawing>
          <wp:anchor distT="0" distB="0" distL="114300" distR="114300" simplePos="0" relativeHeight="251659264" behindDoc="1" locked="0" layoutInCell="1" allowOverlap="1" wp14:anchorId="7F880AB6" wp14:editId="210FE300">
            <wp:simplePos x="0" y="0"/>
            <wp:positionH relativeFrom="column">
              <wp:posOffset>2131695</wp:posOffset>
            </wp:positionH>
            <wp:positionV relativeFrom="paragraph">
              <wp:posOffset>-696595</wp:posOffset>
            </wp:positionV>
            <wp:extent cx="1247775" cy="1247775"/>
            <wp:effectExtent l="0" t="0" r="9525" b="9525"/>
            <wp:wrapNone/>
            <wp:docPr id="1" name="Picture 1" descr="cid:image005.png@01D12061.66368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12061.663682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7ADBD9" w14:textId="77777777" w:rsidR="006724F1" w:rsidRPr="00725C7B" w:rsidRDefault="006724F1" w:rsidP="006724F1">
      <w:pPr>
        <w:spacing w:line="360" w:lineRule="auto"/>
        <w:ind w:left="720"/>
        <w:jc w:val="both"/>
        <w:rPr>
          <w:b/>
          <w:bCs/>
        </w:rPr>
      </w:pPr>
    </w:p>
    <w:p w14:paraId="7350DF48" w14:textId="77777777" w:rsidR="006724F1" w:rsidRDefault="006724F1" w:rsidP="006724F1">
      <w:pPr>
        <w:spacing w:line="360" w:lineRule="auto"/>
        <w:ind w:left="720"/>
        <w:jc w:val="both"/>
        <w:rPr>
          <w:b/>
          <w:bCs/>
        </w:rPr>
      </w:pPr>
    </w:p>
    <w:p w14:paraId="0092C9FE" w14:textId="77777777" w:rsidR="006724F1" w:rsidRPr="003B461A" w:rsidRDefault="006724F1" w:rsidP="00F4257E">
      <w:pPr>
        <w:spacing w:line="360" w:lineRule="auto"/>
        <w:jc w:val="center"/>
      </w:pPr>
      <w:r w:rsidRPr="003B461A">
        <w:rPr>
          <w:b/>
          <w:bCs/>
        </w:rPr>
        <w:t>IN THE HIGH COURT OF SOUTH AFRICA</w:t>
      </w:r>
    </w:p>
    <w:p w14:paraId="1A5BBA11" w14:textId="1E940655" w:rsidR="006724F1" w:rsidRDefault="006724F1" w:rsidP="00F4257E">
      <w:pPr>
        <w:spacing w:line="276" w:lineRule="auto"/>
        <w:jc w:val="center"/>
        <w:rPr>
          <w:b/>
          <w:bCs/>
        </w:rPr>
      </w:pPr>
      <w:r w:rsidRPr="003B461A">
        <w:rPr>
          <w:b/>
          <w:bCs/>
        </w:rPr>
        <w:t>(WESTERN CAPE DIVISION, CAPE TOWN)</w:t>
      </w:r>
    </w:p>
    <w:p w14:paraId="2FC3A639" w14:textId="77777777" w:rsidR="00D84C40" w:rsidRPr="003B461A" w:rsidRDefault="00D84C40" w:rsidP="00F4257E">
      <w:pPr>
        <w:spacing w:line="276" w:lineRule="auto"/>
        <w:jc w:val="center"/>
        <w:rPr>
          <w:b/>
          <w:bCs/>
        </w:rPr>
      </w:pPr>
    </w:p>
    <w:p w14:paraId="4BFDD8C5" w14:textId="77777777" w:rsidR="008A5E0B" w:rsidRDefault="008A5E0B" w:rsidP="008A5E0B">
      <w:pPr>
        <w:spacing w:line="360" w:lineRule="auto"/>
        <w:rPr>
          <w:b/>
          <w:bCs/>
        </w:rPr>
      </w:pPr>
    </w:p>
    <w:p w14:paraId="6471E48E" w14:textId="4B46D49F" w:rsidR="001A373E" w:rsidRPr="008F1301" w:rsidRDefault="001A373E" w:rsidP="001A373E">
      <w:pPr>
        <w:spacing w:line="276" w:lineRule="auto"/>
        <w:ind w:right="-46"/>
        <w:jc w:val="right"/>
        <w:rPr>
          <w:b/>
          <w:bCs/>
          <w:kern w:val="28"/>
          <w:lang w:eastAsia="en-ZA"/>
        </w:rPr>
      </w:pPr>
      <w:r w:rsidRPr="00117F44">
        <w:rPr>
          <w:b/>
          <w:bCs/>
          <w:kern w:val="28"/>
          <w:lang w:eastAsia="en-ZA"/>
        </w:rPr>
        <w:t>Case No:</w:t>
      </w:r>
      <w:r>
        <w:rPr>
          <w:b/>
          <w:bCs/>
          <w:kern w:val="28"/>
          <w:lang w:eastAsia="en-ZA"/>
        </w:rPr>
        <w:t xml:space="preserve"> </w:t>
      </w:r>
      <w:r w:rsidR="008F1301" w:rsidRPr="008F1301">
        <w:rPr>
          <w:b/>
          <w:bCs/>
          <w:kern w:val="28"/>
          <w:lang w:eastAsia="en-ZA"/>
        </w:rPr>
        <w:t>A2</w:t>
      </w:r>
      <w:r w:rsidR="00671173">
        <w:rPr>
          <w:b/>
          <w:bCs/>
          <w:kern w:val="28"/>
          <w:lang w:eastAsia="en-ZA"/>
        </w:rPr>
        <w:t>10</w:t>
      </w:r>
      <w:r w:rsidR="008F1301" w:rsidRPr="008F1301">
        <w:rPr>
          <w:b/>
          <w:bCs/>
          <w:kern w:val="28"/>
          <w:lang w:eastAsia="en-ZA"/>
        </w:rPr>
        <w:t>/202</w:t>
      </w:r>
      <w:r w:rsidR="00671173">
        <w:rPr>
          <w:b/>
          <w:bCs/>
          <w:kern w:val="28"/>
          <w:lang w:eastAsia="en-ZA"/>
        </w:rPr>
        <w:t>3</w:t>
      </w:r>
    </w:p>
    <w:p w14:paraId="0059FBCC" w14:textId="77777777" w:rsidR="00FA2C2F" w:rsidRDefault="00FA2C2F" w:rsidP="00FA2C2F">
      <w:pPr>
        <w:spacing w:line="276" w:lineRule="auto"/>
        <w:ind w:right="-46"/>
        <w:jc w:val="right"/>
        <w:rPr>
          <w:b/>
          <w:bCs/>
          <w:kern w:val="28"/>
          <w:lang w:eastAsia="en-ZA"/>
        </w:rPr>
      </w:pPr>
    </w:p>
    <w:p w14:paraId="171D7D48" w14:textId="77777777" w:rsidR="00165642" w:rsidRPr="00165642" w:rsidRDefault="00FA2C2F" w:rsidP="00B875EB">
      <w:pPr>
        <w:spacing w:line="600" w:lineRule="auto"/>
        <w:ind w:right="-46"/>
        <w:rPr>
          <w:bCs/>
          <w:kern w:val="28"/>
          <w:lang w:eastAsia="en-ZA"/>
        </w:rPr>
      </w:pPr>
      <w:r>
        <w:rPr>
          <w:bCs/>
          <w:kern w:val="28"/>
          <w:lang w:eastAsia="en-ZA"/>
        </w:rPr>
        <w:t>In the matter between:</w:t>
      </w:r>
      <w:r w:rsidR="00165642">
        <w:t xml:space="preserve">       </w:t>
      </w:r>
    </w:p>
    <w:p w14:paraId="615BE129" w14:textId="77777777" w:rsidR="00B875EB" w:rsidRDefault="00B875EB" w:rsidP="00B875EB">
      <w:pPr>
        <w:widowControl w:val="0"/>
        <w:overflowPunct w:val="0"/>
        <w:adjustRightInd w:val="0"/>
        <w:spacing w:line="276" w:lineRule="auto"/>
        <w:ind w:right="-46"/>
        <w:rPr>
          <w:b/>
          <w:bCs/>
          <w:kern w:val="28"/>
          <w:lang w:eastAsia="en-ZA"/>
        </w:rPr>
      </w:pPr>
    </w:p>
    <w:p w14:paraId="1CD9DE56" w14:textId="77777777" w:rsidR="001A373E" w:rsidRPr="00117F44" w:rsidRDefault="001A373E" w:rsidP="001A373E">
      <w:pPr>
        <w:widowControl w:val="0"/>
        <w:overflowPunct w:val="0"/>
        <w:adjustRightInd w:val="0"/>
        <w:spacing w:line="276" w:lineRule="auto"/>
        <w:ind w:right="-46"/>
        <w:rPr>
          <w:b/>
          <w:bCs/>
          <w:kern w:val="28"/>
          <w:lang w:eastAsia="en-ZA"/>
        </w:rPr>
      </w:pPr>
    </w:p>
    <w:p w14:paraId="6D333945" w14:textId="2AACC430" w:rsidR="001A373E" w:rsidRDefault="00671173" w:rsidP="00D84C40">
      <w:pPr>
        <w:tabs>
          <w:tab w:val="right" w:pos="10421"/>
        </w:tabs>
        <w:spacing w:line="480" w:lineRule="auto"/>
        <w:jc w:val="both"/>
      </w:pPr>
      <w:r>
        <w:rPr>
          <w:b/>
        </w:rPr>
        <w:t xml:space="preserve">JOSEPH BRIAN FELIX </w:t>
      </w:r>
      <w:r w:rsidR="001A373E" w:rsidRPr="003B461A">
        <w:rPr>
          <w:b/>
        </w:rPr>
        <w:tab/>
        <w:t xml:space="preserve">      </w:t>
      </w:r>
      <w:r w:rsidR="001A373E">
        <w:rPr>
          <w:b/>
        </w:rPr>
        <w:t xml:space="preserve">            </w:t>
      </w:r>
      <w:r w:rsidR="008F1301">
        <w:t>Appellant</w:t>
      </w:r>
      <w:r w:rsidR="001A373E">
        <w:t xml:space="preserve">    </w:t>
      </w:r>
    </w:p>
    <w:p w14:paraId="6128F676" w14:textId="77777777" w:rsidR="001A373E" w:rsidRPr="003B461A" w:rsidRDefault="001A373E" w:rsidP="001A373E">
      <w:pPr>
        <w:spacing w:line="360" w:lineRule="auto"/>
        <w:jc w:val="both"/>
      </w:pPr>
    </w:p>
    <w:p w14:paraId="7B840A5E" w14:textId="77777777" w:rsidR="001A373E" w:rsidRPr="003B461A" w:rsidRDefault="001A373E" w:rsidP="00D84C40">
      <w:pPr>
        <w:tabs>
          <w:tab w:val="right" w:pos="8460"/>
        </w:tabs>
        <w:spacing w:line="480" w:lineRule="auto"/>
        <w:jc w:val="both"/>
      </w:pPr>
      <w:r w:rsidRPr="003B461A">
        <w:t>and</w:t>
      </w:r>
    </w:p>
    <w:p w14:paraId="138EC1DF" w14:textId="77777777" w:rsidR="001A373E" w:rsidRPr="003B461A" w:rsidRDefault="001A373E" w:rsidP="001A373E">
      <w:pPr>
        <w:tabs>
          <w:tab w:val="right" w:pos="8460"/>
        </w:tabs>
        <w:spacing w:line="360" w:lineRule="auto"/>
        <w:jc w:val="both"/>
        <w:rPr>
          <w:b/>
        </w:rPr>
      </w:pPr>
    </w:p>
    <w:p w14:paraId="5723A800" w14:textId="77777777" w:rsidR="00671173" w:rsidRDefault="00671173" w:rsidP="00D84C40">
      <w:pPr>
        <w:tabs>
          <w:tab w:val="right" w:pos="10421"/>
        </w:tabs>
        <w:spacing w:line="480" w:lineRule="auto"/>
        <w:jc w:val="both"/>
        <w:rPr>
          <w:b/>
        </w:rPr>
      </w:pPr>
      <w:r>
        <w:rPr>
          <w:b/>
        </w:rPr>
        <w:t xml:space="preserve">THE DEPARTMENT OF LABOUR: </w:t>
      </w:r>
    </w:p>
    <w:p w14:paraId="66B03617" w14:textId="761E94EE" w:rsidR="001A373E" w:rsidRDefault="00671173" w:rsidP="001A373E">
      <w:pPr>
        <w:tabs>
          <w:tab w:val="right" w:pos="10421"/>
        </w:tabs>
        <w:spacing w:line="360" w:lineRule="auto"/>
        <w:jc w:val="both"/>
      </w:pPr>
      <w:r>
        <w:rPr>
          <w:b/>
        </w:rPr>
        <w:t>THE COMPENSATION COMMISSIONER</w:t>
      </w:r>
      <w:r w:rsidR="001A373E" w:rsidRPr="003B461A">
        <w:rPr>
          <w:b/>
        </w:rPr>
        <w:tab/>
        <w:t xml:space="preserve">      </w:t>
      </w:r>
      <w:r w:rsidR="001A373E">
        <w:rPr>
          <w:b/>
        </w:rPr>
        <w:t xml:space="preserve">            </w:t>
      </w:r>
      <w:r w:rsidR="008F1301">
        <w:t xml:space="preserve">Respondent </w:t>
      </w:r>
      <w:r w:rsidR="001A373E">
        <w:t xml:space="preserve">   </w:t>
      </w:r>
    </w:p>
    <w:p w14:paraId="11180566" w14:textId="77777777" w:rsidR="00B875EB" w:rsidRDefault="00B875EB" w:rsidP="008F1301">
      <w:pPr>
        <w:spacing w:line="276" w:lineRule="auto"/>
        <w:ind w:right="-46"/>
        <w:jc w:val="right"/>
        <w:rPr>
          <w:b/>
          <w:bCs/>
          <w:kern w:val="28"/>
          <w:lang w:eastAsia="en-ZA"/>
        </w:rPr>
      </w:pPr>
      <w:r>
        <w:rPr>
          <w:b/>
        </w:rPr>
        <w:t xml:space="preserve">        </w:t>
      </w:r>
    </w:p>
    <w:p w14:paraId="6193C2E4" w14:textId="77777777" w:rsidR="00FA2C2F" w:rsidRDefault="00FA2C2F" w:rsidP="00AE4108">
      <w:pPr>
        <w:tabs>
          <w:tab w:val="left" w:pos="-1076"/>
          <w:tab w:val="left" w:pos="-720"/>
          <w:tab w:val="left" w:pos="0"/>
          <w:tab w:val="left" w:pos="720"/>
          <w:tab w:val="left" w:pos="1440"/>
          <w:tab w:val="left" w:pos="2160"/>
          <w:tab w:val="left" w:pos="2880"/>
          <w:tab w:val="left" w:pos="3600"/>
          <w:tab w:val="left" w:pos="4320"/>
          <w:tab w:val="left" w:pos="5040"/>
          <w:tab w:val="left" w:pos="5817"/>
          <w:tab w:val="left" w:pos="6237"/>
          <w:tab w:val="left" w:pos="6859"/>
          <w:tab w:val="left" w:pos="7920"/>
        </w:tabs>
        <w:spacing w:line="480" w:lineRule="auto"/>
        <w:rPr>
          <w:b/>
        </w:rPr>
      </w:pPr>
    </w:p>
    <w:p w14:paraId="7CA87E70" w14:textId="6DC014A2" w:rsidR="007E0C13" w:rsidRPr="008F1301" w:rsidRDefault="00D77613" w:rsidP="00AE4108">
      <w:pPr>
        <w:tabs>
          <w:tab w:val="left" w:pos="-1076"/>
          <w:tab w:val="left" w:pos="-720"/>
          <w:tab w:val="left" w:pos="0"/>
          <w:tab w:val="left" w:pos="720"/>
          <w:tab w:val="left" w:pos="1440"/>
          <w:tab w:val="left" w:pos="2160"/>
          <w:tab w:val="left" w:pos="2880"/>
          <w:tab w:val="left" w:pos="3600"/>
          <w:tab w:val="left" w:pos="4320"/>
          <w:tab w:val="left" w:pos="5040"/>
          <w:tab w:val="left" w:pos="5817"/>
          <w:tab w:val="left" w:pos="6237"/>
          <w:tab w:val="left" w:pos="6859"/>
          <w:tab w:val="left" w:pos="7920"/>
        </w:tabs>
        <w:spacing w:line="480" w:lineRule="auto"/>
      </w:pPr>
      <w:r w:rsidRPr="00E33BD4">
        <w:rPr>
          <w:b/>
        </w:rPr>
        <w:t>Coram:</w:t>
      </w:r>
      <w:r w:rsidR="00166F0F">
        <w:t xml:space="preserve"> </w:t>
      </w:r>
      <w:r w:rsidR="00671173">
        <w:t>Cloete</w:t>
      </w:r>
      <w:r w:rsidR="008F1301">
        <w:t xml:space="preserve"> </w:t>
      </w:r>
      <w:r w:rsidR="008F1301">
        <w:rPr>
          <w:i/>
        </w:rPr>
        <w:t>et</w:t>
      </w:r>
      <w:r w:rsidR="003E4352">
        <w:t xml:space="preserve"> </w:t>
      </w:r>
      <w:r w:rsidR="00671173">
        <w:t>Kusevitsky</w:t>
      </w:r>
      <w:r w:rsidR="00B818C2">
        <w:t xml:space="preserve"> JJ</w:t>
      </w:r>
    </w:p>
    <w:p w14:paraId="6707982E" w14:textId="6B78F0A1" w:rsidR="008F1301" w:rsidRDefault="00D77613" w:rsidP="004C3172">
      <w:pPr>
        <w:tabs>
          <w:tab w:val="right" w:pos="9072"/>
        </w:tabs>
        <w:spacing w:line="480" w:lineRule="auto"/>
        <w:jc w:val="both"/>
      </w:pPr>
      <w:r w:rsidRPr="00E33BD4">
        <w:rPr>
          <w:b/>
        </w:rPr>
        <w:t>Heard:</w:t>
      </w:r>
      <w:r w:rsidR="00166F0F">
        <w:t xml:space="preserve"> </w:t>
      </w:r>
      <w:r w:rsidR="00671173">
        <w:t>24 November 2023</w:t>
      </w:r>
    </w:p>
    <w:p w14:paraId="2966028A" w14:textId="257DFCDA" w:rsidR="00313AFF" w:rsidRDefault="00313AFF" w:rsidP="004C3172">
      <w:pPr>
        <w:tabs>
          <w:tab w:val="right" w:pos="9072"/>
        </w:tabs>
        <w:spacing w:line="480" w:lineRule="auto"/>
        <w:jc w:val="both"/>
      </w:pPr>
      <w:r>
        <w:rPr>
          <w:b/>
        </w:rPr>
        <w:t>Delivered</w:t>
      </w:r>
      <w:r w:rsidR="001B7B6F">
        <w:rPr>
          <w:b/>
        </w:rPr>
        <w:t xml:space="preserve"> electronically</w:t>
      </w:r>
      <w:r>
        <w:rPr>
          <w:b/>
        </w:rPr>
        <w:t>:</w:t>
      </w:r>
      <w:r>
        <w:t xml:space="preserve"> </w:t>
      </w:r>
      <w:r w:rsidR="00D84C40">
        <w:t>28 November 2023</w:t>
      </w:r>
    </w:p>
    <w:p w14:paraId="497C3C34" w14:textId="77777777" w:rsidR="007E0C13" w:rsidRPr="003B461A" w:rsidRDefault="007E0C13" w:rsidP="003B461A">
      <w:pPr>
        <w:pBdr>
          <w:bottom w:val="single" w:sz="4" w:space="1" w:color="auto"/>
        </w:pBdr>
        <w:tabs>
          <w:tab w:val="right" w:pos="8400"/>
        </w:tabs>
        <w:spacing w:before="60" w:after="60"/>
        <w:jc w:val="both"/>
        <w:rPr>
          <w:sz w:val="26"/>
          <w:szCs w:val="26"/>
        </w:rPr>
      </w:pPr>
    </w:p>
    <w:p w14:paraId="3E1E6916" w14:textId="77777777" w:rsidR="007E0C13" w:rsidRPr="003B461A" w:rsidRDefault="007E0C13" w:rsidP="003B461A">
      <w:pPr>
        <w:tabs>
          <w:tab w:val="right" w:pos="8400"/>
        </w:tabs>
        <w:spacing w:before="60" w:after="60"/>
        <w:jc w:val="both"/>
        <w:rPr>
          <w:sz w:val="26"/>
          <w:szCs w:val="26"/>
        </w:rPr>
      </w:pPr>
    </w:p>
    <w:p w14:paraId="2FB254CC" w14:textId="3107B211" w:rsidR="007E0C13" w:rsidRPr="003B461A" w:rsidRDefault="002D1856" w:rsidP="00D77613">
      <w:pPr>
        <w:tabs>
          <w:tab w:val="right" w:pos="8400"/>
        </w:tabs>
        <w:spacing w:before="60" w:after="60"/>
        <w:jc w:val="center"/>
        <w:rPr>
          <w:b/>
          <w:sz w:val="26"/>
          <w:szCs w:val="26"/>
        </w:rPr>
      </w:pPr>
      <w:r>
        <w:rPr>
          <w:b/>
          <w:sz w:val="26"/>
          <w:szCs w:val="26"/>
        </w:rPr>
        <w:t xml:space="preserve">JUDGMENT </w:t>
      </w:r>
    </w:p>
    <w:p w14:paraId="676BEDD9" w14:textId="77777777" w:rsidR="007E0C13" w:rsidRPr="003B461A" w:rsidRDefault="007E0C13" w:rsidP="003B461A">
      <w:pPr>
        <w:pBdr>
          <w:bottom w:val="single" w:sz="4" w:space="1" w:color="auto"/>
        </w:pBdr>
        <w:tabs>
          <w:tab w:val="right" w:pos="8400"/>
        </w:tabs>
        <w:spacing w:before="60" w:after="60"/>
        <w:jc w:val="both"/>
        <w:rPr>
          <w:sz w:val="26"/>
          <w:szCs w:val="26"/>
        </w:rPr>
      </w:pPr>
    </w:p>
    <w:p w14:paraId="32909292" w14:textId="77777777" w:rsidR="003B461A" w:rsidRPr="00A46FAA" w:rsidRDefault="003B461A" w:rsidP="003B461A">
      <w:pPr>
        <w:jc w:val="both"/>
        <w:rPr>
          <w:rFonts w:eastAsiaTheme="minorHAnsi"/>
          <w:u w:val="single"/>
          <w:lang w:eastAsia="en-US"/>
        </w:rPr>
      </w:pPr>
    </w:p>
    <w:p w14:paraId="516DB37C" w14:textId="0BBA9F4B" w:rsidR="009E7606" w:rsidRDefault="009E7606" w:rsidP="007134CF">
      <w:pPr>
        <w:jc w:val="both"/>
        <w:rPr>
          <w:rFonts w:eastAsiaTheme="minorHAnsi"/>
          <w:b/>
          <w:u w:val="single"/>
          <w:lang w:eastAsia="en-US"/>
        </w:rPr>
      </w:pPr>
    </w:p>
    <w:p w14:paraId="117DAD95" w14:textId="1D78DC7C" w:rsidR="00D84C40" w:rsidRDefault="00D84C40" w:rsidP="007134CF">
      <w:pPr>
        <w:jc w:val="both"/>
        <w:rPr>
          <w:rFonts w:eastAsiaTheme="minorHAnsi"/>
          <w:b/>
          <w:u w:val="single"/>
          <w:lang w:eastAsia="en-US"/>
        </w:rPr>
      </w:pPr>
    </w:p>
    <w:p w14:paraId="40AF5318" w14:textId="21139597" w:rsidR="00D84C40" w:rsidRDefault="00D84C40" w:rsidP="007134CF">
      <w:pPr>
        <w:jc w:val="both"/>
        <w:rPr>
          <w:rFonts w:eastAsiaTheme="minorHAnsi"/>
          <w:b/>
          <w:u w:val="single"/>
          <w:lang w:eastAsia="en-US"/>
        </w:rPr>
      </w:pPr>
    </w:p>
    <w:p w14:paraId="075E7B7B" w14:textId="4EB3C4F2" w:rsidR="00D84C40" w:rsidRDefault="00D84C40" w:rsidP="007134CF">
      <w:pPr>
        <w:jc w:val="both"/>
        <w:rPr>
          <w:rFonts w:eastAsiaTheme="minorHAnsi"/>
          <w:b/>
          <w:u w:val="single"/>
          <w:lang w:eastAsia="en-US"/>
        </w:rPr>
      </w:pPr>
    </w:p>
    <w:p w14:paraId="619758A5" w14:textId="06309EE4" w:rsidR="00D84C40" w:rsidRDefault="00D84C40" w:rsidP="007134CF">
      <w:pPr>
        <w:jc w:val="both"/>
        <w:rPr>
          <w:rFonts w:eastAsiaTheme="minorHAnsi"/>
          <w:b/>
          <w:u w:val="single"/>
          <w:lang w:eastAsia="en-US"/>
        </w:rPr>
      </w:pPr>
    </w:p>
    <w:p w14:paraId="124C485A" w14:textId="13806F07" w:rsidR="00D84C40" w:rsidRDefault="00D84C40" w:rsidP="007134CF">
      <w:pPr>
        <w:jc w:val="both"/>
        <w:rPr>
          <w:rFonts w:eastAsiaTheme="minorHAnsi"/>
          <w:b/>
          <w:u w:val="single"/>
          <w:lang w:eastAsia="en-US"/>
        </w:rPr>
      </w:pPr>
    </w:p>
    <w:p w14:paraId="41301A36" w14:textId="6D6A6C12" w:rsidR="00D84C40" w:rsidRDefault="00D84C40" w:rsidP="007134CF">
      <w:pPr>
        <w:jc w:val="both"/>
        <w:rPr>
          <w:rFonts w:eastAsiaTheme="minorHAnsi"/>
          <w:b/>
          <w:u w:val="single"/>
          <w:lang w:eastAsia="en-US"/>
        </w:rPr>
      </w:pPr>
    </w:p>
    <w:p w14:paraId="6F53C4BA" w14:textId="54BF7EBB" w:rsidR="003B461A" w:rsidRDefault="00E4144F" w:rsidP="007134CF">
      <w:pPr>
        <w:jc w:val="both"/>
        <w:rPr>
          <w:rFonts w:eastAsiaTheme="minorHAnsi"/>
          <w:b/>
          <w:lang w:eastAsia="en-US"/>
        </w:rPr>
      </w:pPr>
      <w:bookmarkStart w:id="0" w:name="_GoBack"/>
      <w:bookmarkEnd w:id="0"/>
      <w:r w:rsidRPr="00FD66FB">
        <w:rPr>
          <w:rFonts w:eastAsiaTheme="minorHAnsi"/>
          <w:b/>
          <w:u w:val="single"/>
          <w:lang w:eastAsia="en-US"/>
        </w:rPr>
        <w:t>CLOETE J</w:t>
      </w:r>
      <w:r w:rsidR="0041365D">
        <w:rPr>
          <w:rFonts w:eastAsiaTheme="minorHAnsi"/>
          <w:b/>
          <w:u w:val="single"/>
          <w:lang w:eastAsia="en-US"/>
        </w:rPr>
        <w:t xml:space="preserve"> (KUSEVITSKY J concurring)</w:t>
      </w:r>
      <w:r w:rsidR="003D0062">
        <w:rPr>
          <w:rFonts w:eastAsiaTheme="minorHAnsi"/>
          <w:b/>
          <w:lang w:eastAsia="en-US"/>
        </w:rPr>
        <w:t>:</w:t>
      </w:r>
    </w:p>
    <w:p w14:paraId="7BAEFDAA" w14:textId="77777777" w:rsidR="008C53F9" w:rsidRDefault="008C53F9" w:rsidP="007134CF">
      <w:pPr>
        <w:jc w:val="both"/>
        <w:rPr>
          <w:rFonts w:eastAsiaTheme="minorHAnsi"/>
          <w:b/>
          <w:lang w:eastAsia="en-US"/>
        </w:rPr>
      </w:pPr>
    </w:p>
    <w:p w14:paraId="4F4FC286" w14:textId="77777777" w:rsidR="00463FFB" w:rsidRDefault="00463FFB" w:rsidP="003B461A">
      <w:pPr>
        <w:jc w:val="both"/>
        <w:rPr>
          <w:rFonts w:eastAsiaTheme="minorHAnsi"/>
          <w:b/>
          <w:lang w:eastAsia="en-US"/>
        </w:rPr>
      </w:pPr>
    </w:p>
    <w:p w14:paraId="40EFCF65" w14:textId="21364837" w:rsidR="00F456C5" w:rsidRDefault="00EB5C25" w:rsidP="00E03084">
      <w:pPr>
        <w:numPr>
          <w:ilvl w:val="0"/>
          <w:numId w:val="1"/>
        </w:numPr>
        <w:spacing w:after="480" w:line="480" w:lineRule="auto"/>
        <w:ind w:hanging="720"/>
        <w:jc w:val="both"/>
      </w:pPr>
      <w:r>
        <w:t>Th</w:t>
      </w:r>
      <w:r w:rsidR="008C53F9">
        <w:t xml:space="preserve">is is an </w:t>
      </w:r>
      <w:r w:rsidR="003A7EDF">
        <w:t>unopposed appeal</w:t>
      </w:r>
      <w:r w:rsidR="0041365D">
        <w:rPr>
          <w:rStyle w:val="FootnoteReference"/>
        </w:rPr>
        <w:footnoteReference w:id="1"/>
      </w:r>
      <w:r w:rsidR="003A7EDF">
        <w:t xml:space="preserve"> in terms of s 91(5) of the Compensation for Occupational Injuries and Diseases</w:t>
      </w:r>
      <w:r w:rsidR="007229F9">
        <w:t xml:space="preserve"> Act</w:t>
      </w:r>
      <w:r w:rsidR="007229F9">
        <w:rPr>
          <w:rStyle w:val="FootnoteReference"/>
        </w:rPr>
        <w:footnoteReference w:id="2"/>
      </w:r>
      <w:r w:rsidR="007229F9">
        <w:t xml:space="preserve"> (“COIDA”) against the decision of the presiding officer </w:t>
      </w:r>
      <w:r w:rsidR="009E7606">
        <w:t xml:space="preserve">sitting with </w:t>
      </w:r>
      <w:r w:rsidR="007229F9">
        <w:t>assessors (“Tribunal”) delivered on 17 May 2023, confirming an earlier award of the Compensation Commissioner (“Commissioner”) of 8 December 2021 and simultaneously dismissing the appellant’s objection lodged against that award in terms of s 91(1) thereof.</w:t>
      </w:r>
    </w:p>
    <w:p w14:paraId="07921D99" w14:textId="48A48E39" w:rsidR="007229F9" w:rsidRDefault="007229F9" w:rsidP="00E03084">
      <w:pPr>
        <w:numPr>
          <w:ilvl w:val="0"/>
          <w:numId w:val="1"/>
        </w:numPr>
        <w:spacing w:after="480" w:line="480" w:lineRule="auto"/>
        <w:ind w:hanging="720"/>
        <w:jc w:val="both"/>
      </w:pPr>
      <w:r>
        <w:t xml:space="preserve">In particular the appellant relies on s 91(5)(a)(iii), namely that the amount of compensation awarded is so inadequate that the award could not reasonably have been made. Linked to this are his contentions that the Tribunal’s decision was based on a fundamental misconception of the evidence before it as well as an incorrect interpretation of COIDA and relevant case law. </w:t>
      </w:r>
    </w:p>
    <w:p w14:paraId="6BF10961" w14:textId="2BC98988" w:rsidR="007A712B" w:rsidRDefault="007A712B" w:rsidP="00E03084">
      <w:pPr>
        <w:numPr>
          <w:ilvl w:val="0"/>
          <w:numId w:val="1"/>
        </w:numPr>
        <w:spacing w:after="480" w:line="480" w:lineRule="auto"/>
        <w:ind w:hanging="720"/>
        <w:jc w:val="both"/>
      </w:pPr>
      <w:r>
        <w:t xml:space="preserve">The appellant is a former member of the South African Police Service (“SAPS”). After experiencing a series of traumatic incidents </w:t>
      </w:r>
      <w:r w:rsidR="00751162">
        <w:t xml:space="preserve">while carrying out his duties during the period 1993 to 1998, a trigger event occurred on 22 October 1998 resulting in him being diagnosed with post traumatic stress disorder (“PTSD”). After being on occupational injury leave from 2006 he was advised by SAPS on 29 November 2011 that he would be retired on the ground of ill health as from </w:t>
      </w:r>
      <w:r w:rsidR="00751162">
        <w:lastRenderedPageBreak/>
        <w:t>28 February 2012. He has not been employed in any capacity, whether in SAPS or elsewhere, since that date.</w:t>
      </w:r>
    </w:p>
    <w:p w14:paraId="6DADF501" w14:textId="6AF2AE6C" w:rsidR="00751162" w:rsidRDefault="00751162" w:rsidP="00E03084">
      <w:pPr>
        <w:numPr>
          <w:ilvl w:val="0"/>
          <w:numId w:val="1"/>
        </w:numPr>
        <w:spacing w:after="480" w:line="480" w:lineRule="auto"/>
        <w:ind w:hanging="720"/>
        <w:jc w:val="both"/>
      </w:pPr>
      <w:r>
        <w:t>The appellant does not dispute that the Commissioner correctly: (a) accepted his diagnosis of PTSD; (b) the date of 22 October 1998 was</w:t>
      </w:r>
      <w:r w:rsidR="0076220B">
        <w:t xml:space="preserve"> that of</w:t>
      </w:r>
      <w:r>
        <w:t xml:space="preserve"> the “accident” or event giving rise thereto; (c) his permanent disablement as a result; and (d) </w:t>
      </w:r>
      <w:r w:rsidR="0076220B">
        <w:t>the assessment of</w:t>
      </w:r>
      <w:r>
        <w:t xml:space="preserve"> the appellant’s earnings for compensation purposes at R5520.25 per month. However the essence of the objection before the Tribunal, and the crux of this appeal, is the appellant’s contention that both </w:t>
      </w:r>
      <w:r w:rsidR="0076220B">
        <w:t xml:space="preserve">decision-makers </w:t>
      </w:r>
      <w:r>
        <w:t xml:space="preserve">incorrectly applied 20% to his disability for compensation purposes resulting in a lump sum award of R45 300. The appellant’s case is that his compensation award should have been based on total (or 100%) disability. </w:t>
      </w:r>
    </w:p>
    <w:p w14:paraId="3AA2A533" w14:textId="6F67E996" w:rsidR="00751162" w:rsidRDefault="00751162" w:rsidP="00E03084">
      <w:pPr>
        <w:numPr>
          <w:ilvl w:val="0"/>
          <w:numId w:val="1"/>
        </w:numPr>
        <w:spacing w:after="480" w:line="480" w:lineRule="auto"/>
        <w:ind w:hanging="720"/>
        <w:jc w:val="both"/>
      </w:pPr>
      <w:r>
        <w:t xml:space="preserve">It is settled law that the purpose of COIDA </w:t>
      </w:r>
      <w:r>
        <w:rPr>
          <w:i/>
        </w:rPr>
        <w:t>‘…is to assist workmen as far as possible… [t]he Act should therefore not be interpreted restrictively so as to prejudice a workman if it is capable of being interpreted in a manner more favourable to him’</w:t>
      </w:r>
      <w:r>
        <w:t>:</w:t>
      </w:r>
      <w:r w:rsidR="00BB6E32">
        <w:t xml:space="preserve"> see</w:t>
      </w:r>
      <w:r>
        <w:t xml:space="preserve"> </w:t>
      </w:r>
      <w:r>
        <w:rPr>
          <w:i/>
        </w:rPr>
        <w:t>Davis v Workmen’s Compensation Commissioner.</w:t>
      </w:r>
      <w:r w:rsidRPr="00E332CD">
        <w:rPr>
          <w:rStyle w:val="FootnoteReference"/>
        </w:rPr>
        <w:footnoteReference w:id="3"/>
      </w:r>
      <w:r w:rsidR="00E332CD">
        <w:t xml:space="preserve"> It is equally settled that for purposes of compensation </w:t>
      </w:r>
      <w:r w:rsidR="00E332CD">
        <w:rPr>
          <w:i/>
        </w:rPr>
        <w:t>‘…</w:t>
      </w:r>
      <w:r w:rsidR="00DD4914">
        <w:rPr>
          <w:i/>
        </w:rPr>
        <w:t>a psychiatric disorder or psychological trauma is as much a personal injury… as a physical one’</w:t>
      </w:r>
      <w:r w:rsidR="00DD4914">
        <w:t xml:space="preserve">: </w:t>
      </w:r>
      <w:r w:rsidR="00BB6E32">
        <w:t xml:space="preserve">see </w:t>
      </w:r>
      <w:r w:rsidR="00DD4914">
        <w:rPr>
          <w:i/>
        </w:rPr>
        <w:t>Urquhart v Compensation Commissioner.</w:t>
      </w:r>
      <w:r w:rsidR="00DD4914" w:rsidRPr="00DD4914">
        <w:rPr>
          <w:rStyle w:val="FootnoteReference"/>
        </w:rPr>
        <w:footnoteReference w:id="4"/>
      </w:r>
    </w:p>
    <w:p w14:paraId="25D794C3" w14:textId="4FBEDA09" w:rsidR="00DD4914" w:rsidRDefault="00550119" w:rsidP="00E03084">
      <w:pPr>
        <w:numPr>
          <w:ilvl w:val="0"/>
          <w:numId w:val="1"/>
        </w:numPr>
        <w:spacing w:after="480" w:line="480" w:lineRule="auto"/>
        <w:ind w:hanging="720"/>
        <w:jc w:val="both"/>
      </w:pPr>
      <w:r>
        <w:lastRenderedPageBreak/>
        <w:t>Although the Commissioner did not provide reasons for his award he based it on s 49(1) read with s 49(3) of COIDA. Section 49(3) is not relevant to the issue before us. Section 49(1)(a) provides that:</w:t>
      </w:r>
    </w:p>
    <w:p w14:paraId="67BF6D6C" w14:textId="374AD5DB" w:rsidR="00550119" w:rsidRPr="00C918A0" w:rsidRDefault="00C918A0" w:rsidP="00550119">
      <w:pPr>
        <w:spacing w:after="480" w:line="360" w:lineRule="auto"/>
        <w:ind w:left="1440"/>
        <w:jc w:val="both"/>
        <w:rPr>
          <w:sz w:val="22"/>
          <w:szCs w:val="22"/>
        </w:rPr>
      </w:pPr>
      <w:r>
        <w:rPr>
          <w:i/>
          <w:sz w:val="22"/>
          <w:szCs w:val="22"/>
        </w:rPr>
        <w:t>‘Compensation for permanent disablement shall be calculated on the basis set out in items 2, 3, 4 and 5 of Schedule 4 subject to the minimum and maximum amounts.’</w:t>
      </w:r>
      <w:r>
        <w:rPr>
          <w:sz w:val="22"/>
          <w:szCs w:val="22"/>
        </w:rPr>
        <w:t xml:space="preserve"> [s 49(1)(b) was deleted by s 18(b) of Act 61 of 1997].</w:t>
      </w:r>
    </w:p>
    <w:p w14:paraId="3282673A" w14:textId="37A2DC9F" w:rsidR="00550119" w:rsidRDefault="00C918A0" w:rsidP="00C918A0">
      <w:pPr>
        <w:numPr>
          <w:ilvl w:val="0"/>
          <w:numId w:val="1"/>
        </w:numPr>
        <w:spacing w:before="240" w:after="480" w:line="480" w:lineRule="auto"/>
        <w:ind w:hanging="720"/>
        <w:jc w:val="both"/>
      </w:pPr>
      <w:r>
        <w:t xml:space="preserve">One of the grounds of objection advanced by the appellant before the Tribunal was that the Commissioner failed to grasp </w:t>
      </w:r>
      <w:r w:rsidR="00BB6E32">
        <w:t>he</w:t>
      </w:r>
      <w:r>
        <w:t xml:space="preserve"> had sustained an injury which led </w:t>
      </w:r>
      <w:r w:rsidR="002862C1">
        <w:t xml:space="preserve">not only </w:t>
      </w:r>
      <w:r>
        <w:t xml:space="preserve">to permanent disablement, </w:t>
      </w:r>
      <w:r w:rsidR="002862C1">
        <w:t>but</w:t>
      </w:r>
      <w:r>
        <w:t xml:space="preserve"> which furthermore had unusually serious consequences as a result of the special nature of his occupation. Accordingly, it was contended, the Commissioner </w:t>
      </w:r>
      <w:r w:rsidR="002862C1">
        <w:t xml:space="preserve">erred in failing to </w:t>
      </w:r>
      <w:r>
        <w:t>apply s 1, s 49(2)(a), (b) and (c) read with Schedule 2</w:t>
      </w:r>
      <w:r w:rsidR="002862C1">
        <w:t>,</w:t>
      </w:r>
      <w:r>
        <w:t xml:space="preserve"> and item 6 of Schedule 2 read with s 65(6)</w:t>
      </w:r>
      <w:r w:rsidR="002862C1">
        <w:t xml:space="preserve"> of COIDA</w:t>
      </w:r>
      <w:r>
        <w:t>.</w:t>
      </w:r>
    </w:p>
    <w:p w14:paraId="7F2B767C" w14:textId="5C184631" w:rsidR="00C918A0" w:rsidRDefault="00C918A0" w:rsidP="00C918A0">
      <w:pPr>
        <w:numPr>
          <w:ilvl w:val="0"/>
          <w:numId w:val="1"/>
        </w:numPr>
        <w:spacing w:before="240" w:after="480" w:line="480" w:lineRule="auto"/>
        <w:ind w:hanging="720"/>
        <w:jc w:val="both"/>
      </w:pPr>
      <w:r>
        <w:t xml:space="preserve">Section 1 defines </w:t>
      </w:r>
      <w:r>
        <w:rPr>
          <w:i/>
        </w:rPr>
        <w:t>‘permanent disablement’</w:t>
      </w:r>
      <w:r>
        <w:t xml:space="preserve"> in relation to an employee </w:t>
      </w:r>
      <w:r w:rsidR="002862C1">
        <w:t>(</w:t>
      </w:r>
      <w:r>
        <w:t>subject to s 49</w:t>
      </w:r>
      <w:r w:rsidR="002862C1">
        <w:t>)</w:t>
      </w:r>
      <w:r>
        <w:t xml:space="preserve"> as </w:t>
      </w:r>
      <w:r>
        <w:rPr>
          <w:i/>
        </w:rPr>
        <w:t>‘the permanent inability of such employee to perform any work as a result of an accident or occupational disease for which compensation is payable’.</w:t>
      </w:r>
      <w:r>
        <w:t xml:space="preserve"> Section 49(2) reads as follows:</w:t>
      </w:r>
    </w:p>
    <w:p w14:paraId="33AE7D0C" w14:textId="1B72F7A8" w:rsidR="00C918A0" w:rsidRDefault="00262F83" w:rsidP="005E0ADC">
      <w:pPr>
        <w:tabs>
          <w:tab w:val="left" w:pos="1418"/>
          <w:tab w:val="left" w:pos="2268"/>
        </w:tabs>
        <w:spacing w:before="240" w:after="120" w:line="360" w:lineRule="auto"/>
        <w:ind w:left="2268" w:hanging="850"/>
        <w:jc w:val="both"/>
        <w:rPr>
          <w:i/>
          <w:sz w:val="22"/>
          <w:szCs w:val="22"/>
        </w:rPr>
      </w:pPr>
      <w:r>
        <w:rPr>
          <w:i/>
          <w:sz w:val="22"/>
          <w:szCs w:val="22"/>
        </w:rPr>
        <w:t xml:space="preserve">‘(2)(a) </w:t>
      </w:r>
      <w:r w:rsidR="005E0ADC">
        <w:rPr>
          <w:i/>
          <w:sz w:val="22"/>
          <w:szCs w:val="22"/>
        </w:rPr>
        <w:tab/>
      </w:r>
      <w:r>
        <w:rPr>
          <w:i/>
          <w:sz w:val="22"/>
          <w:szCs w:val="22"/>
        </w:rPr>
        <w:t xml:space="preserve">If an employee has sustained an injury set out in Schedule 2, he shall for the purposes of this Act be deemed to be permanently disabled to the degree set out in the second column of the said Schedule. </w:t>
      </w:r>
    </w:p>
    <w:p w14:paraId="16C5D972" w14:textId="7948C939" w:rsidR="00262F83" w:rsidRDefault="005E0ADC" w:rsidP="005E0ADC">
      <w:pPr>
        <w:tabs>
          <w:tab w:val="left" w:pos="1418"/>
          <w:tab w:val="left" w:pos="2268"/>
        </w:tabs>
        <w:spacing w:before="240" w:after="120" w:line="360" w:lineRule="auto"/>
        <w:ind w:left="2160" w:hanging="720"/>
        <w:jc w:val="both"/>
        <w:rPr>
          <w:i/>
          <w:sz w:val="22"/>
          <w:szCs w:val="22"/>
        </w:rPr>
      </w:pPr>
      <w:r>
        <w:rPr>
          <w:i/>
          <w:sz w:val="22"/>
          <w:szCs w:val="22"/>
        </w:rPr>
        <w:t xml:space="preserve">  </w:t>
      </w:r>
      <w:r w:rsidR="00262F83">
        <w:rPr>
          <w:i/>
          <w:sz w:val="22"/>
          <w:szCs w:val="22"/>
        </w:rPr>
        <w:t xml:space="preserve">(b) </w:t>
      </w:r>
      <w:r>
        <w:rPr>
          <w:i/>
          <w:sz w:val="22"/>
          <w:szCs w:val="22"/>
        </w:rPr>
        <w:tab/>
        <w:t>I</w:t>
      </w:r>
      <w:r w:rsidR="00262F83">
        <w:rPr>
          <w:i/>
          <w:sz w:val="22"/>
          <w:szCs w:val="22"/>
        </w:rPr>
        <w:t xml:space="preserve">f an employee has sustained an injury or serious mutilation not mentioned in Schedule 2 which leads to permanent disablement, the Director-General </w:t>
      </w:r>
      <w:r w:rsidR="002862C1">
        <w:rPr>
          <w:sz w:val="22"/>
          <w:szCs w:val="22"/>
        </w:rPr>
        <w:t xml:space="preserve">[in the present context, the Commissioner] </w:t>
      </w:r>
      <w:r w:rsidR="00262F83">
        <w:rPr>
          <w:i/>
          <w:sz w:val="22"/>
          <w:szCs w:val="22"/>
        </w:rPr>
        <w:t xml:space="preserve">shall </w:t>
      </w:r>
      <w:r w:rsidR="00262F83">
        <w:rPr>
          <w:i/>
          <w:sz w:val="22"/>
          <w:szCs w:val="22"/>
        </w:rPr>
        <w:lastRenderedPageBreak/>
        <w:t xml:space="preserve">determine such percentage of disablement in respect thereof as in his opinion will not lead to a result contrary to the guidelines of Schedule 2. </w:t>
      </w:r>
    </w:p>
    <w:p w14:paraId="076FB06D" w14:textId="18FEC7BD" w:rsidR="005E0ADC" w:rsidRPr="005E0ADC" w:rsidRDefault="005E0ADC" w:rsidP="005E0ADC">
      <w:pPr>
        <w:tabs>
          <w:tab w:val="left" w:pos="1418"/>
          <w:tab w:val="left" w:pos="2268"/>
        </w:tabs>
        <w:spacing w:before="240" w:after="600" w:line="360" w:lineRule="auto"/>
        <w:ind w:left="2160" w:hanging="720"/>
        <w:jc w:val="both"/>
        <w:rPr>
          <w:i/>
          <w:sz w:val="22"/>
          <w:szCs w:val="22"/>
        </w:rPr>
      </w:pPr>
      <w:r>
        <w:rPr>
          <w:i/>
          <w:sz w:val="22"/>
          <w:szCs w:val="22"/>
        </w:rPr>
        <w:t xml:space="preserve">  </w:t>
      </w:r>
      <w:r w:rsidR="00262F83">
        <w:rPr>
          <w:i/>
          <w:sz w:val="22"/>
          <w:szCs w:val="22"/>
        </w:rPr>
        <w:t xml:space="preserve">(c) </w:t>
      </w:r>
      <w:r>
        <w:rPr>
          <w:i/>
          <w:sz w:val="22"/>
          <w:szCs w:val="22"/>
        </w:rPr>
        <w:tab/>
        <w:t>I</w:t>
      </w:r>
      <w:r w:rsidR="00262F83">
        <w:rPr>
          <w:i/>
          <w:sz w:val="22"/>
          <w:szCs w:val="22"/>
        </w:rPr>
        <w:t>f an injury or serious mutilation contemplated in paragraph (a) or (b) has unusually serious consequences for an employee as a result of the special nature of the employee’s occupation</w:t>
      </w:r>
      <w:r>
        <w:rPr>
          <w:i/>
          <w:sz w:val="22"/>
          <w:szCs w:val="22"/>
        </w:rPr>
        <w:t>, the Director-General</w:t>
      </w:r>
      <w:r w:rsidR="002862C1">
        <w:rPr>
          <w:i/>
          <w:sz w:val="22"/>
          <w:szCs w:val="22"/>
        </w:rPr>
        <w:t xml:space="preserve"> </w:t>
      </w:r>
      <w:r w:rsidR="002862C1">
        <w:rPr>
          <w:sz w:val="22"/>
          <w:szCs w:val="22"/>
        </w:rPr>
        <w:t>[Commissioner]</w:t>
      </w:r>
      <w:r>
        <w:rPr>
          <w:i/>
          <w:sz w:val="22"/>
          <w:szCs w:val="22"/>
        </w:rPr>
        <w:t xml:space="preserve"> may determine such higher percentage as he or she deems equitable.’</w:t>
      </w:r>
    </w:p>
    <w:p w14:paraId="1AF143CE" w14:textId="3C4E77A1" w:rsidR="00C918A0" w:rsidRDefault="005E0ADC" w:rsidP="00C918A0">
      <w:pPr>
        <w:numPr>
          <w:ilvl w:val="0"/>
          <w:numId w:val="1"/>
        </w:numPr>
        <w:spacing w:before="240" w:after="480" w:line="480" w:lineRule="auto"/>
        <w:ind w:hanging="720"/>
        <w:jc w:val="both"/>
      </w:pPr>
      <w:r>
        <w:t xml:space="preserve">Item 6 of Schedule 2 is </w:t>
      </w:r>
      <w:r w:rsidR="00A40223">
        <w:rPr>
          <w:i/>
        </w:rPr>
        <w:t>‘[a]ny other injury causing permanent total disablement – 100%’</w:t>
      </w:r>
      <w:r w:rsidR="002862C1">
        <w:rPr>
          <w:i/>
        </w:rPr>
        <w:t>.</w:t>
      </w:r>
      <w:r w:rsidR="00A40223">
        <w:t xml:space="preserve"> </w:t>
      </w:r>
      <w:r w:rsidR="002862C1">
        <w:t>T</w:t>
      </w:r>
      <w:r w:rsidR="00A40223">
        <w:t xml:space="preserve">he injuries at items 1 to 5 of Schedule 2, which also </w:t>
      </w:r>
      <w:r w:rsidR="002862C1">
        <w:t>“</w:t>
      </w:r>
      <w:r w:rsidR="00A40223">
        <w:t>attract</w:t>
      </w:r>
      <w:r w:rsidR="002862C1">
        <w:t>”</w:t>
      </w:r>
      <w:r w:rsidR="00A40223">
        <w:t xml:space="preserve"> 100% disablement are loss of two limbs, loss of both hands or of all fingers and both thumbs, total loss of sight, total paralysis and injuries resulting in an employee being permanently bedridden. Section 65(6)</w:t>
      </w:r>
      <w:r w:rsidR="009C3E3D">
        <w:t xml:space="preserve"> provides that COIDA applies equally to an accident and an occupational disease </w:t>
      </w:r>
      <w:r w:rsidR="009C3E3D">
        <w:rPr>
          <w:i/>
        </w:rPr>
        <w:t>‘except where such provisions are clearly inappropriate’</w:t>
      </w:r>
      <w:r w:rsidR="009C3E3D">
        <w:t>.</w:t>
      </w:r>
      <w:r w:rsidR="00A40223">
        <w:t xml:space="preserve">. </w:t>
      </w:r>
    </w:p>
    <w:p w14:paraId="10CEF17F" w14:textId="048A1139" w:rsidR="00A40223" w:rsidRDefault="00A40223" w:rsidP="00C918A0">
      <w:pPr>
        <w:numPr>
          <w:ilvl w:val="0"/>
          <w:numId w:val="1"/>
        </w:numPr>
        <w:spacing w:before="240" w:after="480" w:line="480" w:lineRule="auto"/>
        <w:ind w:hanging="720"/>
        <w:jc w:val="both"/>
      </w:pPr>
      <w:r>
        <w:t xml:space="preserve">In </w:t>
      </w:r>
      <w:r>
        <w:rPr>
          <w:i/>
        </w:rPr>
        <w:t>Department of Labour: Compensation Commissioner v Botha</w:t>
      </w:r>
      <w:r w:rsidRPr="00A40223">
        <w:rPr>
          <w:rStyle w:val="FootnoteReference"/>
        </w:rPr>
        <w:footnoteReference w:id="5"/>
      </w:r>
      <w:r>
        <w:t xml:space="preserve"> the Supreme Court of Appeal, in dealing with item 6, stated:</w:t>
      </w:r>
    </w:p>
    <w:p w14:paraId="3FC3656A" w14:textId="03BC2CA5" w:rsidR="00A40223" w:rsidRDefault="001E27C4" w:rsidP="00BF6BBA">
      <w:pPr>
        <w:spacing w:before="240" w:after="120" w:line="360" w:lineRule="auto"/>
        <w:ind w:left="1440"/>
        <w:jc w:val="both"/>
        <w:rPr>
          <w:i/>
          <w:sz w:val="22"/>
          <w:szCs w:val="22"/>
        </w:rPr>
      </w:pPr>
      <w:r>
        <w:rPr>
          <w:i/>
          <w:sz w:val="22"/>
          <w:szCs w:val="22"/>
        </w:rPr>
        <w:t xml:space="preserve">‘[17]  …It is the sixth item in the first column on which counsel for Mr Botha relies. This provides that if an employee suffers any injury not listed in the Schedule which leads to permanent total disablement, he or she will be deemed to be 100% disabled. It is on this basis that it is contended that Mr Botha is 100% disabled. Given his incapacity, it is argued, the high court misdirected itself, with reference to Schedule 2, by declaring Mr Botha to be 60% disabled. </w:t>
      </w:r>
    </w:p>
    <w:p w14:paraId="65097853" w14:textId="76DAE2C2" w:rsidR="001E27C4" w:rsidRDefault="001E27C4" w:rsidP="00BF6BBA">
      <w:pPr>
        <w:spacing w:before="240" w:after="120" w:line="360" w:lineRule="auto"/>
        <w:ind w:left="1440"/>
        <w:jc w:val="both"/>
        <w:rPr>
          <w:i/>
          <w:sz w:val="22"/>
          <w:szCs w:val="22"/>
        </w:rPr>
      </w:pPr>
      <w:r>
        <w:rPr>
          <w:i/>
          <w:sz w:val="22"/>
          <w:szCs w:val="22"/>
        </w:rPr>
        <w:t xml:space="preserve">[18]  This argument is devoid of merit. It is inconceivable that any injury not listed in Schedule 2 should attract an award of 100% permanent disablement, </w:t>
      </w:r>
      <w:r>
        <w:rPr>
          <w:i/>
          <w:sz w:val="22"/>
          <w:szCs w:val="22"/>
        </w:rPr>
        <w:lastRenderedPageBreak/>
        <w:t>irrespective of the nature of the injury. There are countless injuries which an employee may suffer in the workplace which are not listed in the Schedule. As pointed out by this Court,</w:t>
      </w:r>
      <w:r w:rsidRPr="001E27C4">
        <w:rPr>
          <w:rStyle w:val="FootnoteReference"/>
          <w:sz w:val="22"/>
          <w:szCs w:val="22"/>
        </w:rPr>
        <w:footnoteReference w:id="6"/>
      </w:r>
      <w:r>
        <w:rPr>
          <w:i/>
          <w:sz w:val="22"/>
          <w:szCs w:val="22"/>
        </w:rPr>
        <w:t xml:space="preserve"> almost anything</w:t>
      </w:r>
      <w:r w:rsidR="00BC7E51">
        <w:rPr>
          <w:i/>
          <w:sz w:val="22"/>
          <w:szCs w:val="22"/>
        </w:rPr>
        <w:t xml:space="preserve"> which unexpectedly causes illness, injury to or death of, an employee falls within the concept of an accident. Should an injury, which is not listed in Schedule 2, befall an employee as a result of such an accident, this does not axiomatically mean that he or she is 100% disabled. The extent of the disability must be determined in light of the facts of the specific case and according to medical evidence.</w:t>
      </w:r>
    </w:p>
    <w:p w14:paraId="463A2DA7" w14:textId="64E81570" w:rsidR="00BC7E51" w:rsidRPr="00A40223" w:rsidRDefault="00BC7E51" w:rsidP="00A4431A">
      <w:pPr>
        <w:spacing w:before="240" w:after="600" w:line="360" w:lineRule="auto"/>
        <w:ind w:left="1440"/>
        <w:jc w:val="both"/>
        <w:rPr>
          <w:i/>
          <w:sz w:val="22"/>
          <w:szCs w:val="22"/>
        </w:rPr>
      </w:pPr>
      <w:r>
        <w:rPr>
          <w:i/>
          <w:sz w:val="22"/>
          <w:szCs w:val="22"/>
        </w:rPr>
        <w:t>[19]  Further, this argument ignores s 49(2)(b), which grants the Director-General a discretion to determine a percentage of permanent disablement for a serious injury not provided for in Schedule 2. The section specifically states that the result should not be contrary to the guidelines set out in Schedule 2. In applying these guidelines, courts have cautioned against applying a mechanical approach to Schedule 2.</w:t>
      </w:r>
      <w:r>
        <w:rPr>
          <w:rStyle w:val="FootnoteReference"/>
          <w:i/>
          <w:sz w:val="22"/>
          <w:szCs w:val="22"/>
        </w:rPr>
        <w:footnoteReference w:id="7"/>
      </w:r>
      <w:r>
        <w:rPr>
          <w:i/>
          <w:sz w:val="22"/>
          <w:szCs w:val="22"/>
        </w:rPr>
        <w:t xml:space="preserve"> It should also be borne in mind that the schedules are no more than a set of administrative guidelines issued by the Director-General to assist decision-makers exercising powers in terms of COIDA. Where the injuries have not been listed in Schedule 2 it has not been the approach of the courts to invoke the deeming provision. Rather, Schedule 2 has been used as a guideline in determining what is fair and reasonable compensation once the extent and nature of the permanent disablement has been established by the relevant medical experts.</w:t>
      </w:r>
      <w:r w:rsidR="001346F7">
        <w:rPr>
          <w:rStyle w:val="FootnoteReference"/>
          <w:i/>
          <w:sz w:val="22"/>
          <w:szCs w:val="22"/>
        </w:rPr>
        <w:footnoteReference w:id="8"/>
      </w:r>
      <w:r w:rsidR="00A4431A">
        <w:rPr>
          <w:i/>
          <w:sz w:val="22"/>
          <w:szCs w:val="22"/>
        </w:rPr>
        <w:t>’</w:t>
      </w:r>
    </w:p>
    <w:p w14:paraId="1223DAB5" w14:textId="50EA46AF" w:rsidR="00A40223" w:rsidRDefault="00A4431A" w:rsidP="00C918A0">
      <w:pPr>
        <w:numPr>
          <w:ilvl w:val="0"/>
          <w:numId w:val="1"/>
        </w:numPr>
        <w:spacing w:before="240" w:after="480" w:line="480" w:lineRule="auto"/>
        <w:ind w:hanging="720"/>
        <w:jc w:val="both"/>
      </w:pPr>
      <w:r>
        <w:t>Re</w:t>
      </w:r>
      <w:r w:rsidR="007A7244">
        <w:t>turning to the facts of this matter</w:t>
      </w:r>
      <w:r w:rsidR="00EC7569">
        <w:t>,</w:t>
      </w:r>
      <w:r w:rsidR="007A7244">
        <w:t xml:space="preserve"> </w:t>
      </w:r>
      <w:r w:rsidR="00EC7569">
        <w:t>i</w:t>
      </w:r>
      <w:r w:rsidR="007A7244">
        <w:t>n a pre-trial minute signed on 3 October 2022 by the parties’ representative</w:t>
      </w:r>
      <w:r w:rsidR="00EC7569">
        <w:t>s</w:t>
      </w:r>
      <w:r w:rsidR="007A7244">
        <w:t xml:space="preserve"> prior to the hearing before the Tribunal, the respondent did not challenge the content of any of the documents, exhibits or </w:t>
      </w:r>
      <w:r w:rsidR="007A7244">
        <w:lastRenderedPageBreak/>
        <w:t>medical reports in the trial bundle, which were the same documents that served before the Commissioner. The pre-trial minute records the following:</w:t>
      </w:r>
    </w:p>
    <w:p w14:paraId="7EBB7863" w14:textId="470CAEB9" w:rsidR="007A7244" w:rsidRDefault="00442EC3" w:rsidP="007A7244">
      <w:pPr>
        <w:spacing w:before="240" w:after="240" w:line="360" w:lineRule="auto"/>
        <w:ind w:left="1440"/>
        <w:jc w:val="both"/>
        <w:rPr>
          <w:i/>
          <w:sz w:val="22"/>
          <w:szCs w:val="22"/>
        </w:rPr>
      </w:pPr>
      <w:r>
        <w:rPr>
          <w:i/>
          <w:sz w:val="22"/>
          <w:szCs w:val="22"/>
        </w:rPr>
        <w:t>‘2.</w:t>
      </w:r>
      <w:r>
        <w:rPr>
          <w:i/>
          <w:sz w:val="22"/>
          <w:szCs w:val="22"/>
        </w:rPr>
        <w:tab/>
      </w:r>
      <w:r>
        <w:rPr>
          <w:i/>
          <w:sz w:val="22"/>
          <w:szCs w:val="22"/>
          <w:u w:val="single"/>
        </w:rPr>
        <w:t>Discovery of Documents</w:t>
      </w:r>
    </w:p>
    <w:p w14:paraId="4C97C560" w14:textId="621998D5" w:rsidR="00442EC3" w:rsidRDefault="00442EC3" w:rsidP="00442EC3">
      <w:pPr>
        <w:spacing w:before="240" w:after="240" w:line="360" w:lineRule="auto"/>
        <w:ind w:left="2880" w:hanging="720"/>
        <w:jc w:val="both"/>
        <w:rPr>
          <w:i/>
          <w:sz w:val="22"/>
          <w:szCs w:val="22"/>
        </w:rPr>
      </w:pPr>
      <w:r>
        <w:rPr>
          <w:i/>
          <w:sz w:val="22"/>
          <w:szCs w:val="22"/>
        </w:rPr>
        <w:t>2.1</w:t>
      </w:r>
      <w:r>
        <w:rPr>
          <w:i/>
          <w:sz w:val="22"/>
          <w:szCs w:val="22"/>
        </w:rPr>
        <w:tab/>
        <w:t>The parties have compiled a Bundle of Exhibits, containing all the exhibits they intend using</w:t>
      </w:r>
      <w:r w:rsidR="005625B3">
        <w:rPr>
          <w:i/>
          <w:sz w:val="22"/>
          <w:szCs w:val="22"/>
        </w:rPr>
        <w:t xml:space="preserve"> at the hearing… .</w:t>
      </w:r>
    </w:p>
    <w:p w14:paraId="5592C95E" w14:textId="73151CF2" w:rsidR="005625B3" w:rsidRDefault="005625B3" w:rsidP="00442EC3">
      <w:pPr>
        <w:spacing w:before="240" w:after="240" w:line="360" w:lineRule="auto"/>
        <w:ind w:left="2880" w:hanging="720"/>
        <w:jc w:val="both"/>
        <w:rPr>
          <w:i/>
          <w:sz w:val="22"/>
          <w:szCs w:val="22"/>
        </w:rPr>
      </w:pPr>
      <w:r>
        <w:rPr>
          <w:i/>
          <w:sz w:val="22"/>
          <w:szCs w:val="22"/>
        </w:rPr>
        <w:t>2.2</w:t>
      </w:r>
      <w:r>
        <w:rPr>
          <w:i/>
          <w:sz w:val="22"/>
          <w:szCs w:val="22"/>
        </w:rPr>
        <w:tab/>
        <w:t>The Bundle of Exhibits is adduced as a joint Trial Bundle, to be received into evidence, marked “Exhibit A”.</w:t>
      </w:r>
    </w:p>
    <w:p w14:paraId="0C045419" w14:textId="2F067A05" w:rsidR="005625B3" w:rsidRDefault="005625B3" w:rsidP="00442EC3">
      <w:pPr>
        <w:spacing w:before="240" w:after="240" w:line="360" w:lineRule="auto"/>
        <w:ind w:left="2880" w:hanging="720"/>
        <w:jc w:val="both"/>
        <w:rPr>
          <w:i/>
          <w:sz w:val="22"/>
          <w:szCs w:val="22"/>
        </w:rPr>
      </w:pPr>
      <w:r>
        <w:rPr>
          <w:i/>
          <w:sz w:val="22"/>
          <w:szCs w:val="22"/>
        </w:rPr>
        <w:t>2.3</w:t>
      </w:r>
      <w:r>
        <w:rPr>
          <w:i/>
          <w:sz w:val="22"/>
          <w:szCs w:val="22"/>
        </w:rPr>
        <w:tab/>
        <w:t>This Pre-trial Minute is to be received into evidence, marked “Exhibit B”.</w:t>
      </w:r>
    </w:p>
    <w:p w14:paraId="2683D3E8" w14:textId="09C7A67B" w:rsidR="005625B3" w:rsidRDefault="005625B3" w:rsidP="00442EC3">
      <w:pPr>
        <w:spacing w:before="240" w:after="240" w:line="360" w:lineRule="auto"/>
        <w:ind w:left="2880" w:hanging="720"/>
        <w:jc w:val="both"/>
        <w:rPr>
          <w:i/>
          <w:sz w:val="22"/>
          <w:szCs w:val="22"/>
        </w:rPr>
      </w:pPr>
      <w:r>
        <w:rPr>
          <w:i/>
          <w:sz w:val="22"/>
          <w:szCs w:val="22"/>
        </w:rPr>
        <w:t>2.4</w:t>
      </w:r>
      <w:r>
        <w:rPr>
          <w:i/>
          <w:sz w:val="22"/>
          <w:szCs w:val="22"/>
        </w:rPr>
        <w:tab/>
        <w:t xml:space="preserve">Respondent is required to stipulate which document/s (if any) contained in the Trial Bundle, are disputed; which portion thereof is disputed, and </w:t>
      </w:r>
      <w:r w:rsidR="00EC7569">
        <w:rPr>
          <w:i/>
          <w:sz w:val="22"/>
          <w:szCs w:val="22"/>
        </w:rPr>
        <w:t>…</w:t>
      </w:r>
      <w:r>
        <w:rPr>
          <w:i/>
          <w:sz w:val="22"/>
          <w:szCs w:val="22"/>
        </w:rPr>
        <w:t xml:space="preserve"> what the basis for such dispute is:</w:t>
      </w:r>
    </w:p>
    <w:p w14:paraId="00CBBB68" w14:textId="222963E2" w:rsidR="005625B3" w:rsidRDefault="005625B3" w:rsidP="005625B3">
      <w:pPr>
        <w:spacing w:before="240" w:after="240" w:line="360" w:lineRule="auto"/>
        <w:ind w:left="2880"/>
        <w:jc w:val="both"/>
        <w:rPr>
          <w:i/>
          <w:sz w:val="22"/>
          <w:szCs w:val="22"/>
        </w:rPr>
      </w:pPr>
      <w:r>
        <w:rPr>
          <w:i/>
          <w:sz w:val="22"/>
          <w:szCs w:val="22"/>
        </w:rPr>
        <w:t>None.</w:t>
      </w:r>
    </w:p>
    <w:p w14:paraId="28E98848" w14:textId="4DFB52EF" w:rsidR="005625B3" w:rsidRPr="00442EC3" w:rsidRDefault="005625B3" w:rsidP="00C76A76">
      <w:pPr>
        <w:spacing w:before="240" w:after="600" w:line="360" w:lineRule="auto"/>
        <w:ind w:left="2880" w:hanging="720"/>
        <w:jc w:val="both"/>
        <w:rPr>
          <w:i/>
          <w:sz w:val="22"/>
          <w:szCs w:val="22"/>
        </w:rPr>
      </w:pPr>
      <w:r>
        <w:rPr>
          <w:i/>
          <w:sz w:val="22"/>
          <w:szCs w:val="22"/>
        </w:rPr>
        <w:t>2.5</w:t>
      </w:r>
      <w:r>
        <w:rPr>
          <w:i/>
          <w:sz w:val="22"/>
          <w:szCs w:val="22"/>
        </w:rPr>
        <w:tab/>
        <w:t>A party is only required to prove the portion/s of an exhibit (or its content) which the other party has stipulated is being disputed.’</w:t>
      </w:r>
    </w:p>
    <w:p w14:paraId="07B09D2C" w14:textId="7F0E7D56" w:rsidR="00430F30" w:rsidRDefault="00DC2254" w:rsidP="00C918A0">
      <w:pPr>
        <w:numPr>
          <w:ilvl w:val="0"/>
          <w:numId w:val="1"/>
        </w:numPr>
        <w:spacing w:before="240" w:after="480" w:line="480" w:lineRule="auto"/>
        <w:ind w:hanging="720"/>
        <w:jc w:val="both"/>
      </w:pPr>
      <w:r>
        <w:t>Accordingly</w:t>
      </w:r>
      <w:r w:rsidR="00E01380">
        <w:t xml:space="preserve">, given the documentary evidence admitted at the Tribunal hearing, it was common cause that: </w:t>
      </w:r>
    </w:p>
    <w:p w14:paraId="38D54C08" w14:textId="5611A9EF" w:rsidR="00B63BFC" w:rsidRDefault="00B63BFC" w:rsidP="00B63BFC">
      <w:pPr>
        <w:pStyle w:val="ListParagraph"/>
        <w:numPr>
          <w:ilvl w:val="1"/>
          <w:numId w:val="39"/>
        </w:numPr>
        <w:tabs>
          <w:tab w:val="left" w:pos="1418"/>
        </w:tabs>
        <w:spacing w:before="240" w:after="480" w:line="480" w:lineRule="auto"/>
        <w:ind w:left="1418" w:hanging="709"/>
        <w:jc w:val="both"/>
      </w:pPr>
      <w:r>
        <w:t>I</w:t>
      </w:r>
      <w:r w:rsidR="00430F30">
        <w:t>n her report dated 23 February 2011</w:t>
      </w:r>
      <w:r>
        <w:t>, Ms C Marais (an occupational therapist) concluded</w:t>
      </w:r>
      <w:r w:rsidR="00430F30">
        <w:t xml:space="preserve"> that it was not possible to accommodate the appellant in </w:t>
      </w:r>
      <w:r>
        <w:t>the SAPS,</w:t>
      </w:r>
      <w:r w:rsidR="00430F30">
        <w:t xml:space="preserve"> as any aspect related to </w:t>
      </w:r>
      <w:r>
        <w:t>that employment</w:t>
      </w:r>
      <w:r w:rsidR="00430F30">
        <w:t xml:space="preserve"> </w:t>
      </w:r>
      <w:r w:rsidR="00430F30" w:rsidRPr="00B63BFC">
        <w:rPr>
          <w:i/>
        </w:rPr>
        <w:t>‘triggers anxiety, flashbacks, hyperarousal and causes secondary traumatisation. Resuming his duties in the SAPS will aggravate his condition and put the employee, employer and community at risk’.</w:t>
      </w:r>
      <w:r w:rsidR="00430F30">
        <w:t xml:space="preserve"> She </w:t>
      </w:r>
      <w:r>
        <w:t>continued</w:t>
      </w:r>
      <w:r w:rsidR="00430F30">
        <w:t xml:space="preserve"> that </w:t>
      </w:r>
      <w:r w:rsidR="00430F30" w:rsidRPr="00B63BFC">
        <w:rPr>
          <w:i/>
        </w:rPr>
        <w:lastRenderedPageBreak/>
        <w:t>‘[d]espite continuous psychiatric treatment and therapeutic support by the psychologist and occupational therapist</w:t>
      </w:r>
      <w:r>
        <w:rPr>
          <w:i/>
        </w:rPr>
        <w:t>…</w:t>
      </w:r>
      <w:r w:rsidR="00430F30" w:rsidRPr="00B63BFC">
        <w:rPr>
          <w:i/>
        </w:rPr>
        <w:t xml:space="preserve"> </w:t>
      </w:r>
      <w:r w:rsidR="00430F30">
        <w:t>[the appellant]</w:t>
      </w:r>
      <w:r w:rsidR="00430F30" w:rsidRPr="00B63BFC">
        <w:rPr>
          <w:i/>
        </w:rPr>
        <w:t xml:space="preserve"> </w:t>
      </w:r>
      <w:r>
        <w:rPr>
          <w:i/>
        </w:rPr>
        <w:t>…</w:t>
      </w:r>
      <w:r w:rsidR="00430F30" w:rsidRPr="00B63BFC">
        <w:rPr>
          <w:i/>
        </w:rPr>
        <w:t>remains functionally disabled due to post traumatic stress disorder with episodes of psychosis (paranoia). With his unpredictable behaviour and hypersensitivity to secondary traumatisation he will be a high risk to the employer, the community and himself should he be expected to resume his duties in the SAPS’</w:t>
      </w:r>
      <w:r w:rsidR="000E4B72">
        <w:t>;</w:t>
      </w:r>
    </w:p>
    <w:p w14:paraId="7EB11E0C" w14:textId="77777777" w:rsidR="000E4B72" w:rsidRPr="00B63BFC" w:rsidRDefault="000E4B72" w:rsidP="000E4B72">
      <w:pPr>
        <w:pStyle w:val="ListParagraph"/>
        <w:tabs>
          <w:tab w:val="left" w:pos="1418"/>
        </w:tabs>
        <w:spacing w:before="240" w:after="480" w:line="480" w:lineRule="auto"/>
        <w:ind w:left="1418"/>
        <w:jc w:val="both"/>
      </w:pPr>
    </w:p>
    <w:p w14:paraId="055D6D29" w14:textId="66A4916D" w:rsidR="00430F30" w:rsidRDefault="00B63BFC" w:rsidP="00B63BFC">
      <w:pPr>
        <w:pStyle w:val="ListParagraph"/>
        <w:numPr>
          <w:ilvl w:val="1"/>
          <w:numId w:val="39"/>
        </w:numPr>
        <w:tabs>
          <w:tab w:val="left" w:pos="1418"/>
        </w:tabs>
        <w:spacing w:before="240" w:after="480" w:line="480" w:lineRule="auto"/>
        <w:ind w:left="1418" w:hanging="709"/>
        <w:jc w:val="both"/>
      </w:pPr>
      <w:r>
        <w:t xml:space="preserve">In his report dated </w:t>
      </w:r>
      <w:r w:rsidR="00430F30" w:rsidRPr="00430F30">
        <w:t>15 November 2011</w:t>
      </w:r>
      <w:r>
        <w:t xml:space="preserve"> psychiatrist</w:t>
      </w:r>
      <w:r w:rsidR="00430F30" w:rsidRPr="00430F30">
        <w:t xml:space="preserve"> Dr</w:t>
      </w:r>
      <w:r>
        <w:t xml:space="preserve"> J </w:t>
      </w:r>
      <w:r w:rsidR="00430F30" w:rsidRPr="00430F30">
        <w:t xml:space="preserve">Van der Westhuizen </w:t>
      </w:r>
      <w:r>
        <w:t xml:space="preserve">recorded </w:t>
      </w:r>
      <w:r w:rsidR="00965BD0">
        <w:t xml:space="preserve">that the appellant had been on sick leave for psychiatric reasons since 2006 and was still not able to return to work. Although he was treated psychiatrically and </w:t>
      </w:r>
      <w:r>
        <w:t xml:space="preserve">earlier </w:t>
      </w:r>
      <w:r w:rsidR="00965BD0">
        <w:t>returned to work</w:t>
      </w:r>
      <w:r w:rsidR="009C3E3D">
        <w:t xml:space="preserve"> (in a non-operational capacity as SAPS tried to accommodate him)</w:t>
      </w:r>
      <w:r>
        <w:t>,</w:t>
      </w:r>
      <w:r w:rsidR="00965BD0">
        <w:t xml:space="preserve"> he suffered relapses of severe depression in 2004 and 2006</w:t>
      </w:r>
      <w:r>
        <w:t>,</w:t>
      </w:r>
      <w:r w:rsidR="00965BD0">
        <w:t xml:space="preserve"> and every episode </w:t>
      </w:r>
      <w:r w:rsidR="00965BD0" w:rsidRPr="00B63BFC">
        <w:rPr>
          <w:i/>
        </w:rPr>
        <w:t>‘was characterised by severe relapse symptoms’</w:t>
      </w:r>
      <w:r w:rsidR="00965BD0">
        <w:t xml:space="preserve"> of PTSD. The appellant’s functioning had deteriorated dramatically over the five years preceding 2011, to the point where he had </w:t>
      </w:r>
      <w:r>
        <w:t xml:space="preserve">completely </w:t>
      </w:r>
      <w:r w:rsidR="00965BD0">
        <w:t xml:space="preserve">withdrawn socially. He was unable to manage his own </w:t>
      </w:r>
      <w:r>
        <w:rPr>
          <w:i/>
        </w:rPr>
        <w:t xml:space="preserve">‘business’ </w:t>
      </w:r>
      <w:r w:rsidR="00965BD0">
        <w:t xml:space="preserve">and affairs and had become totally dependent on his wife. He could not make any decision, had poor concentration and </w:t>
      </w:r>
      <w:r w:rsidR="00852655">
        <w:t xml:space="preserve">cognitive abilities. He also had residual symptoms of psychosis. Furthermore the appellant had nine admissions to a psychiatric ward over the preceding twelve years. </w:t>
      </w:r>
      <w:r>
        <w:t>Dr Van der Westhuizen</w:t>
      </w:r>
      <w:r w:rsidR="00852655">
        <w:t xml:space="preserve"> concluded that the appellant would never be able to work again in the open labour market</w:t>
      </w:r>
      <w:r w:rsidR="00EC7569">
        <w:t>; and</w:t>
      </w:r>
    </w:p>
    <w:p w14:paraId="31F6B9BF" w14:textId="77777777" w:rsidR="00B63BFC" w:rsidRDefault="00B63BFC" w:rsidP="00B63BFC">
      <w:pPr>
        <w:pStyle w:val="ListParagraph"/>
        <w:tabs>
          <w:tab w:val="left" w:pos="1418"/>
        </w:tabs>
        <w:spacing w:before="240" w:after="480" w:line="480" w:lineRule="auto"/>
        <w:ind w:left="1418"/>
        <w:jc w:val="both"/>
      </w:pPr>
    </w:p>
    <w:p w14:paraId="7F919ACD" w14:textId="3E0FC682" w:rsidR="00EC7569" w:rsidRPr="00430F30" w:rsidRDefault="00EC7569" w:rsidP="00B63BFC">
      <w:pPr>
        <w:pStyle w:val="ListParagraph"/>
        <w:numPr>
          <w:ilvl w:val="1"/>
          <w:numId w:val="39"/>
        </w:numPr>
        <w:tabs>
          <w:tab w:val="left" w:pos="1418"/>
        </w:tabs>
        <w:spacing w:before="240" w:after="480" w:line="480" w:lineRule="auto"/>
        <w:ind w:left="1418" w:hanging="709"/>
        <w:jc w:val="both"/>
      </w:pPr>
      <w:r>
        <w:lastRenderedPageBreak/>
        <w:t xml:space="preserve">Dr Van der Westhuizen </w:t>
      </w:r>
      <w:r w:rsidR="00B63BFC">
        <w:t xml:space="preserve">in his final progress report to the Department of Labour of </w:t>
      </w:r>
      <w:r>
        <w:t xml:space="preserve">8 August 2014 </w:t>
      </w:r>
      <w:r w:rsidR="00B63BFC">
        <w:t>confirmed</w:t>
      </w:r>
      <w:r>
        <w:t xml:space="preserve"> the appellant was permanently disabled to work. He suffered from PTSD or Schizo-Affect</w:t>
      </w:r>
      <w:r w:rsidR="00B63BFC">
        <w:t>ive</w:t>
      </w:r>
      <w:r>
        <w:t xml:space="preserve"> Disorder (“SAD”) and </w:t>
      </w:r>
      <w:r w:rsidR="00B63BFC">
        <w:t xml:space="preserve">despite having received </w:t>
      </w:r>
      <w:r>
        <w:t>psychiatric treatment including pharmacotherapy and psychotherapy from 1998 to 2014</w:t>
      </w:r>
      <w:r w:rsidR="00B63BFC">
        <w:t xml:space="preserve">, he </w:t>
      </w:r>
      <w:r>
        <w:t>would not be able to return to his duties</w:t>
      </w:r>
      <w:r w:rsidR="000E4B72">
        <w:t>.</w:t>
      </w:r>
      <w:r>
        <w:t xml:space="preserve"> </w:t>
      </w:r>
    </w:p>
    <w:p w14:paraId="69EB488C" w14:textId="295020F3" w:rsidR="00430F30" w:rsidRDefault="00852655" w:rsidP="00C918A0">
      <w:pPr>
        <w:numPr>
          <w:ilvl w:val="0"/>
          <w:numId w:val="1"/>
        </w:numPr>
        <w:spacing w:before="240" w:after="480" w:line="480" w:lineRule="auto"/>
        <w:ind w:hanging="720"/>
        <w:jc w:val="both"/>
      </w:pPr>
      <w:r>
        <w:t xml:space="preserve">Importantly, in his report of 15 November 2011 Dr Van der Westhuizen </w:t>
      </w:r>
      <w:r w:rsidR="00550F26">
        <w:t xml:space="preserve">further </w:t>
      </w:r>
      <w:r>
        <w:t>recorded that:</w:t>
      </w:r>
    </w:p>
    <w:p w14:paraId="0F7260B8" w14:textId="6B49B365" w:rsidR="00852655" w:rsidRPr="006271CC" w:rsidRDefault="006271CC" w:rsidP="006271CC">
      <w:pPr>
        <w:spacing w:before="240" w:after="480" w:line="360" w:lineRule="auto"/>
        <w:ind w:left="1440"/>
        <w:jc w:val="both"/>
        <w:rPr>
          <w:i/>
          <w:sz w:val="22"/>
          <w:szCs w:val="22"/>
        </w:rPr>
      </w:pPr>
      <w:r>
        <w:rPr>
          <w:i/>
          <w:sz w:val="22"/>
          <w:szCs w:val="22"/>
        </w:rPr>
        <w:t>‘Although his initial diagnosis was that of Post Traumatic Stress Disorder and Major Depressive Disorder over the last couple of years it became evident that this man suffers from Schizo-Affective Disorder which became his main disability. This is a chronic condition with deterioration in all spheres of functioning which was clearly evident with Mr Felix.’</w:t>
      </w:r>
    </w:p>
    <w:p w14:paraId="0E1B7E3C" w14:textId="158245D8" w:rsidR="00852655" w:rsidRDefault="006271CC" w:rsidP="00C918A0">
      <w:pPr>
        <w:numPr>
          <w:ilvl w:val="0"/>
          <w:numId w:val="1"/>
        </w:numPr>
        <w:spacing w:before="240" w:after="480" w:line="480" w:lineRule="auto"/>
        <w:ind w:hanging="720"/>
        <w:jc w:val="both"/>
      </w:pPr>
      <w:r>
        <w:t xml:space="preserve">Dr Van der Westhuizen also </w:t>
      </w:r>
      <w:r w:rsidR="00086B74">
        <w:t>testified before the Tribunal. His expertise as a specialist psychiatrist was not disputed</w:t>
      </w:r>
      <w:r w:rsidR="00ED4D53">
        <w:t>. His evidence was that the appellant was first diagnosed with PTSD by a Dr Isabella Werkman who emigrated in 1998 whereafter he became Dr Van der Westhuizen’s patient. The latter had independently confirmed her diagnosis and the appellant still remained his patient at the time of his testimony on 23 January 2023 (i.e. just over 24 years later).</w:t>
      </w:r>
    </w:p>
    <w:p w14:paraId="41BE196E" w14:textId="618A5AAE" w:rsidR="00ED4D53" w:rsidRDefault="00ED4D53" w:rsidP="00C918A0">
      <w:pPr>
        <w:numPr>
          <w:ilvl w:val="0"/>
          <w:numId w:val="1"/>
        </w:numPr>
        <w:spacing w:before="240" w:after="480" w:line="480" w:lineRule="auto"/>
        <w:ind w:hanging="720"/>
        <w:jc w:val="both"/>
      </w:pPr>
      <w:r>
        <w:t>His evidence was further that the appellant first presented with symptomatology leading to the further diagnosis of SAD during 2010. In his opinion the appellant’s PTSD was a contributing factor to his SAD. As he put it:</w:t>
      </w:r>
    </w:p>
    <w:p w14:paraId="13C5AD70" w14:textId="0371EAF8" w:rsidR="00ED4D53" w:rsidRPr="00ED4D53" w:rsidRDefault="0007164A" w:rsidP="00ED4D53">
      <w:pPr>
        <w:spacing w:before="240" w:after="480" w:line="360" w:lineRule="auto"/>
        <w:ind w:left="1440"/>
        <w:jc w:val="both"/>
        <w:rPr>
          <w:i/>
          <w:sz w:val="22"/>
          <w:szCs w:val="22"/>
        </w:rPr>
      </w:pPr>
      <w:r>
        <w:rPr>
          <w:i/>
          <w:sz w:val="22"/>
          <w:szCs w:val="22"/>
        </w:rPr>
        <w:lastRenderedPageBreak/>
        <w:t>‘Schizo</w:t>
      </w:r>
      <w:r w:rsidR="00AC0675">
        <w:rPr>
          <w:i/>
          <w:sz w:val="22"/>
          <w:szCs w:val="22"/>
        </w:rPr>
        <w:t>-</w:t>
      </w:r>
      <w:r>
        <w:rPr>
          <w:i/>
          <w:sz w:val="22"/>
          <w:szCs w:val="22"/>
        </w:rPr>
        <w:t xml:space="preserve">affective </w:t>
      </w:r>
      <w:r w:rsidR="00AC0675">
        <w:rPr>
          <w:i/>
          <w:sz w:val="22"/>
          <w:szCs w:val="22"/>
        </w:rPr>
        <w:t>d</w:t>
      </w:r>
      <w:r>
        <w:rPr>
          <w:i/>
          <w:sz w:val="22"/>
          <w:szCs w:val="22"/>
        </w:rPr>
        <w:t>isorder</w:t>
      </w:r>
      <w:r w:rsidR="00AC0675">
        <w:rPr>
          <w:i/>
          <w:sz w:val="22"/>
          <w:szCs w:val="22"/>
        </w:rPr>
        <w:t>, often in psychiatry,</w:t>
      </w:r>
      <w:r w:rsidR="00025756">
        <w:rPr>
          <w:i/>
          <w:sz w:val="22"/>
          <w:szCs w:val="22"/>
        </w:rPr>
        <w:t xml:space="preserve"> we use diagnosis to describe symptomatology, and Mr Felix also developed symptoms of psychosis during that time, as I mentioned. Therefore, pick post-traumatic stress disorder in itself, psychotic episodes are not part of that. So that was why I made the diagnosis to address that part in treating his psychotic episodes. However, I do believe that this post-traumatic stress was a complicating factor because his delusions and hallucinations were very related to symptomatology of the post-traumatic stress disorder.’</w:t>
      </w:r>
    </w:p>
    <w:p w14:paraId="757340D0" w14:textId="68735B4C" w:rsidR="00ED4D53" w:rsidRDefault="00025756" w:rsidP="00C918A0">
      <w:pPr>
        <w:numPr>
          <w:ilvl w:val="0"/>
          <w:numId w:val="1"/>
        </w:numPr>
        <w:spacing w:before="240" w:after="480" w:line="480" w:lineRule="auto"/>
        <w:ind w:hanging="720"/>
        <w:jc w:val="both"/>
      </w:pPr>
      <w:r>
        <w:t>Dr Van der Westhuizen further testified that the first time he recommended the appellant be boarded as an employee of SAPS was in around 2007, three years prior to him developing symptoms of SAD. In 2007 already he had concluded that the appellant was permanently disabled to work as a result of his PTSD. In his opinion the appellant would never be fit to return to his normal duties. He agreed with the opinion of Ms Marais. In his expert opinion the appellant was not only permanently disable</w:t>
      </w:r>
      <w:r w:rsidR="00B63BFC">
        <w:t>d</w:t>
      </w:r>
      <w:r>
        <w:t xml:space="preserve"> to the extent of 20% but rather 100% since he is wholly unable to render work in the open labour market.</w:t>
      </w:r>
    </w:p>
    <w:p w14:paraId="4BF7BDF2" w14:textId="2536FB51" w:rsidR="00025756" w:rsidRDefault="00025756" w:rsidP="00C918A0">
      <w:pPr>
        <w:numPr>
          <w:ilvl w:val="0"/>
          <w:numId w:val="1"/>
        </w:numPr>
        <w:spacing w:before="240" w:after="480" w:line="480" w:lineRule="auto"/>
        <w:ind w:hanging="720"/>
        <w:jc w:val="both"/>
      </w:pPr>
      <w:r>
        <w:t>Given the admitted contents of the reports of Dr Van der Westhuizen and Ms Marais it is difficult to understand why the Tribunal permitted cross-examination by the Commissioner’s representative. Much of it focused on how his diagnosis fitted in with a tool known as the Global Assessment of Functioning (“GAF”). He swiftly put paid to any reliance on GAF scoring as the following passage in the record demonstrates:</w:t>
      </w:r>
    </w:p>
    <w:p w14:paraId="405A1673" w14:textId="7403838A" w:rsidR="00025756" w:rsidRDefault="005C3A1D" w:rsidP="005C3A1D">
      <w:pPr>
        <w:spacing w:before="240" w:after="240" w:line="360" w:lineRule="auto"/>
        <w:ind w:left="1440"/>
        <w:jc w:val="both"/>
        <w:rPr>
          <w:i/>
          <w:sz w:val="22"/>
          <w:szCs w:val="22"/>
        </w:rPr>
      </w:pPr>
      <w:r>
        <w:rPr>
          <w:i/>
          <w:sz w:val="22"/>
          <w:szCs w:val="22"/>
        </w:rPr>
        <w:t>‘</w:t>
      </w:r>
      <w:r>
        <w:rPr>
          <w:i/>
          <w:sz w:val="22"/>
          <w:szCs w:val="22"/>
          <w:u w:val="single"/>
        </w:rPr>
        <w:t>Adv Peter</w:t>
      </w:r>
      <w:r>
        <w:rPr>
          <w:i/>
          <w:sz w:val="22"/>
          <w:szCs w:val="22"/>
        </w:rPr>
        <w:t xml:space="preserve">: So for you, if I can say in a layman’s term… to assess a person to come up with their impaired functionality. You need to look. Then you, you assess and come up with the GAF scoring. </w:t>
      </w:r>
    </w:p>
    <w:p w14:paraId="45DA427D" w14:textId="6F513BE4" w:rsidR="005C3A1D" w:rsidRDefault="005C3A1D" w:rsidP="005C3A1D">
      <w:pPr>
        <w:spacing w:before="240" w:after="240" w:line="360" w:lineRule="auto"/>
        <w:ind w:left="1440"/>
        <w:jc w:val="both"/>
        <w:rPr>
          <w:i/>
          <w:sz w:val="22"/>
          <w:szCs w:val="22"/>
        </w:rPr>
      </w:pPr>
      <w:r>
        <w:rPr>
          <w:i/>
          <w:sz w:val="22"/>
          <w:szCs w:val="22"/>
          <w:u w:val="single"/>
        </w:rPr>
        <w:lastRenderedPageBreak/>
        <w:t>Dr Van der Westhuizen</w:t>
      </w:r>
      <w:r>
        <w:rPr>
          <w:i/>
          <w:sz w:val="22"/>
          <w:szCs w:val="22"/>
        </w:rPr>
        <w:t>: No, the GAF score is a Global Assessment of Functioning so if somebody is dead he will have a zero.</w:t>
      </w:r>
    </w:p>
    <w:p w14:paraId="1A73917E" w14:textId="6DD4FD3D" w:rsidR="005C3A1D" w:rsidRDefault="00C70F7B" w:rsidP="005C3A1D">
      <w:pPr>
        <w:spacing w:before="240" w:after="240" w:line="360" w:lineRule="auto"/>
        <w:ind w:left="1440"/>
        <w:jc w:val="both"/>
        <w:rPr>
          <w:i/>
          <w:sz w:val="22"/>
          <w:szCs w:val="22"/>
        </w:rPr>
      </w:pPr>
      <w:r>
        <w:rPr>
          <w:i/>
          <w:sz w:val="22"/>
          <w:szCs w:val="22"/>
          <w:u w:val="single"/>
        </w:rPr>
        <w:t>Adv Peter</w:t>
      </w:r>
      <w:r>
        <w:rPr>
          <w:i/>
          <w:sz w:val="22"/>
          <w:szCs w:val="22"/>
        </w:rPr>
        <w:t>: Ok.</w:t>
      </w:r>
    </w:p>
    <w:p w14:paraId="1F03FB62" w14:textId="69096E07" w:rsidR="00C70F7B" w:rsidRPr="00C70F7B" w:rsidRDefault="00C70F7B" w:rsidP="00C70F7B">
      <w:pPr>
        <w:spacing w:before="240" w:after="600" w:line="360" w:lineRule="auto"/>
        <w:ind w:left="1440"/>
        <w:jc w:val="both"/>
        <w:rPr>
          <w:i/>
          <w:sz w:val="22"/>
          <w:szCs w:val="22"/>
        </w:rPr>
      </w:pPr>
      <w:r>
        <w:rPr>
          <w:i/>
          <w:sz w:val="22"/>
          <w:szCs w:val="22"/>
          <w:u w:val="single"/>
        </w:rPr>
        <w:t>Dr Van der Westhuizen</w:t>
      </w:r>
      <w:r>
        <w:rPr>
          <w:i/>
          <w:sz w:val="22"/>
          <w:szCs w:val="22"/>
        </w:rPr>
        <w:t>:  …so this</w:t>
      </w:r>
      <w:r w:rsidR="00B63BFC">
        <w:rPr>
          <w:sz w:val="22"/>
          <w:szCs w:val="22"/>
        </w:rPr>
        <w:t xml:space="preserve"> [i.e. the GAF]</w:t>
      </w:r>
      <w:r>
        <w:rPr>
          <w:i/>
          <w:sz w:val="22"/>
          <w:szCs w:val="22"/>
        </w:rPr>
        <w:t>… doesn’t only look at his assessment for work or for the specific diagnosis, it is how he globally functions. But ye</w:t>
      </w:r>
      <w:r w:rsidR="008647CA">
        <w:rPr>
          <w:i/>
          <w:sz w:val="22"/>
          <w:szCs w:val="22"/>
        </w:rPr>
        <w:t>s</w:t>
      </w:r>
      <w:r>
        <w:rPr>
          <w:i/>
          <w:sz w:val="22"/>
          <w:szCs w:val="22"/>
        </w:rPr>
        <w:t>, it is related to the diagnosis.’</w:t>
      </w:r>
    </w:p>
    <w:p w14:paraId="61D19FE8" w14:textId="4615E985" w:rsidR="00025756" w:rsidRDefault="00C70F7B" w:rsidP="00C918A0">
      <w:pPr>
        <w:numPr>
          <w:ilvl w:val="0"/>
          <w:numId w:val="1"/>
        </w:numPr>
        <w:spacing w:before="240" w:after="480" w:line="480" w:lineRule="auto"/>
        <w:ind w:hanging="720"/>
        <w:jc w:val="both"/>
      </w:pPr>
      <w:r>
        <w:t>Dr Van der Westhuizen emphasised it was his clinical opinion</w:t>
      </w:r>
      <w:r w:rsidR="00873353">
        <w:t xml:space="preserve"> that the appellant was 100% unable to work </w:t>
      </w:r>
      <w:r w:rsidR="00873353" w:rsidRPr="00B63BFC">
        <w:rPr>
          <w:u w:val="single"/>
        </w:rPr>
        <w:t>at all</w:t>
      </w:r>
      <w:r w:rsidR="00873353">
        <w:t>. In response to a question from assessor Dr Mnyanda whether he had picked up symptoms of any pre-existing mood disorder</w:t>
      </w:r>
      <w:r w:rsidR="00B63BFC">
        <w:t>,</w:t>
      </w:r>
      <w:r w:rsidR="00873353">
        <w:t xml:space="preserve"> Dr Van der Westhuizen replied that he had not. Despite having modified his treatment of the appellant over the period 1998 to 2014 there were no signs of remission. </w:t>
      </w:r>
    </w:p>
    <w:p w14:paraId="5C811F70" w14:textId="6A481101" w:rsidR="00430F30" w:rsidRDefault="00B63BFC" w:rsidP="00C918A0">
      <w:pPr>
        <w:numPr>
          <w:ilvl w:val="0"/>
          <w:numId w:val="1"/>
        </w:numPr>
        <w:spacing w:before="240" w:after="480" w:line="480" w:lineRule="auto"/>
        <w:ind w:hanging="720"/>
        <w:jc w:val="both"/>
      </w:pPr>
      <w:r>
        <w:t xml:space="preserve">Notwithstanding all this </w:t>
      </w:r>
      <w:r w:rsidR="00F2796C">
        <w:t xml:space="preserve">compelling and materially </w:t>
      </w:r>
      <w:r>
        <w:t>un</w:t>
      </w:r>
      <w:r w:rsidR="00F2796C">
        <w:t>contested evidence the Tribunal nonetheless found as follows:</w:t>
      </w:r>
    </w:p>
    <w:p w14:paraId="775A0F4B" w14:textId="02C5DA50" w:rsidR="00F2796C" w:rsidRDefault="00B92A53" w:rsidP="00B92A53">
      <w:pPr>
        <w:spacing w:before="240" w:after="240" w:line="360" w:lineRule="auto"/>
        <w:ind w:left="2160" w:hanging="720"/>
        <w:jc w:val="both"/>
        <w:rPr>
          <w:i/>
          <w:sz w:val="22"/>
          <w:szCs w:val="22"/>
        </w:rPr>
      </w:pPr>
      <w:r>
        <w:rPr>
          <w:i/>
          <w:sz w:val="22"/>
          <w:szCs w:val="22"/>
        </w:rPr>
        <w:t>‘8.14</w:t>
      </w:r>
      <w:r>
        <w:rPr>
          <w:i/>
          <w:sz w:val="22"/>
          <w:szCs w:val="22"/>
        </w:rPr>
        <w:tab/>
        <w:t>The evidence clearly demonstrates that the findings by Van der Westhuizen (sic) on the future employability of Applicant, are inconclusive.</w:t>
      </w:r>
    </w:p>
    <w:p w14:paraId="7B54CE14" w14:textId="0AFC18F5" w:rsidR="00B92A53" w:rsidRDefault="00B92A53" w:rsidP="00B92A53">
      <w:pPr>
        <w:spacing w:before="240" w:after="240" w:line="360" w:lineRule="auto"/>
        <w:ind w:left="2160" w:hanging="720"/>
        <w:jc w:val="both"/>
        <w:rPr>
          <w:i/>
          <w:sz w:val="22"/>
          <w:szCs w:val="22"/>
        </w:rPr>
      </w:pPr>
      <w:r>
        <w:rPr>
          <w:i/>
          <w:sz w:val="22"/>
          <w:szCs w:val="22"/>
        </w:rPr>
        <w:t>8.15</w:t>
      </w:r>
      <w:r>
        <w:rPr>
          <w:i/>
          <w:sz w:val="22"/>
          <w:szCs w:val="22"/>
        </w:rPr>
        <w:tab/>
        <w:t>It is also uncertain how Van der Westhuizen could come to the conclusion that Applicant “is permanently unemployable in the open labour market” without any evidence to this effect, i.e. in the absence of a neuropsychiatric evaluation or corroborative evidence by an occupational therapist</w:t>
      </w:r>
      <w:r w:rsidR="00481987">
        <w:rPr>
          <w:i/>
          <w:sz w:val="22"/>
          <w:szCs w:val="22"/>
        </w:rPr>
        <w:t>’s report to support his assessment…</w:t>
      </w:r>
    </w:p>
    <w:p w14:paraId="0456251B" w14:textId="695170A8" w:rsidR="00481987" w:rsidRDefault="00481987" w:rsidP="00B92A53">
      <w:pPr>
        <w:spacing w:before="240" w:after="240" w:line="360" w:lineRule="auto"/>
        <w:ind w:left="2160" w:hanging="720"/>
        <w:jc w:val="both"/>
        <w:rPr>
          <w:i/>
          <w:sz w:val="22"/>
          <w:szCs w:val="22"/>
        </w:rPr>
      </w:pPr>
      <w:r>
        <w:rPr>
          <w:i/>
          <w:sz w:val="22"/>
          <w:szCs w:val="22"/>
        </w:rPr>
        <w:t>8.17</w:t>
      </w:r>
      <w:r>
        <w:rPr>
          <w:i/>
          <w:sz w:val="22"/>
          <w:szCs w:val="22"/>
        </w:rPr>
        <w:tab/>
        <w:t xml:space="preserve">The dilemma with Van der Westhuizen’s evidence is, firstly, the ambiguous nature of the method or tool used in his assessment of the Applicant’s permanent disablement, and secondly, the lack of evidence </w:t>
      </w:r>
      <w:r>
        <w:rPr>
          <w:i/>
          <w:sz w:val="22"/>
          <w:szCs w:val="22"/>
        </w:rPr>
        <w:lastRenderedPageBreak/>
        <w:t xml:space="preserve">from Werkman, who allegedly treated Applicant for PTSD that Applicant was diagnosed with PTSD before 1998, and from whom he took </w:t>
      </w:r>
      <w:r w:rsidR="00B63BFC">
        <w:rPr>
          <w:i/>
          <w:sz w:val="22"/>
          <w:szCs w:val="22"/>
        </w:rPr>
        <w:t>over</w:t>
      </w:r>
      <w:r>
        <w:rPr>
          <w:i/>
          <w:sz w:val="22"/>
          <w:szCs w:val="22"/>
        </w:rPr>
        <w:t xml:space="preserve"> the treatment of Applicant…</w:t>
      </w:r>
    </w:p>
    <w:p w14:paraId="43CC5575" w14:textId="3B724400" w:rsidR="00481987" w:rsidRDefault="00481987" w:rsidP="00B92A53">
      <w:pPr>
        <w:spacing w:before="240" w:after="240" w:line="360" w:lineRule="auto"/>
        <w:ind w:left="2160" w:hanging="720"/>
        <w:jc w:val="both"/>
        <w:rPr>
          <w:i/>
          <w:sz w:val="22"/>
          <w:szCs w:val="22"/>
        </w:rPr>
      </w:pPr>
      <w:r>
        <w:rPr>
          <w:i/>
          <w:sz w:val="22"/>
          <w:szCs w:val="22"/>
        </w:rPr>
        <w:t>8.19</w:t>
      </w:r>
      <w:r>
        <w:rPr>
          <w:i/>
          <w:sz w:val="22"/>
          <w:szCs w:val="22"/>
        </w:rPr>
        <w:tab/>
        <w:t>It must also be recognised that the courts have frequently been pointing out that direct and credible evidence of events usually carries greater weight than the opinion of an expert seeking to reconstruct those events afterwards, especially where the material on which that is based is scant…</w:t>
      </w:r>
    </w:p>
    <w:p w14:paraId="29A7860C" w14:textId="37AAA7BF" w:rsidR="00481987" w:rsidRPr="00F2796C" w:rsidRDefault="00481987" w:rsidP="00481987">
      <w:pPr>
        <w:spacing w:before="240" w:after="600" w:line="360" w:lineRule="auto"/>
        <w:ind w:left="2160" w:hanging="720"/>
        <w:jc w:val="both"/>
        <w:rPr>
          <w:i/>
          <w:sz w:val="22"/>
          <w:szCs w:val="22"/>
        </w:rPr>
      </w:pPr>
      <w:r>
        <w:rPr>
          <w:i/>
          <w:sz w:val="22"/>
          <w:szCs w:val="22"/>
        </w:rPr>
        <w:t>8.32</w:t>
      </w:r>
      <w:r>
        <w:rPr>
          <w:i/>
          <w:sz w:val="22"/>
          <w:szCs w:val="22"/>
        </w:rPr>
        <w:tab/>
        <w:t>The Applicant, relying solely on the evidence of the expert, Van der Westhuizen, failed to show that Werkman diagnosed him with PTSD.’</w:t>
      </w:r>
    </w:p>
    <w:p w14:paraId="5699BC02" w14:textId="020CCC5E" w:rsidR="00C35B56" w:rsidRDefault="00C35B56" w:rsidP="00C918A0">
      <w:pPr>
        <w:numPr>
          <w:ilvl w:val="0"/>
          <w:numId w:val="1"/>
        </w:numPr>
        <w:spacing w:before="240" w:after="480" w:line="480" w:lineRule="auto"/>
        <w:ind w:hanging="720"/>
        <w:jc w:val="both"/>
      </w:pPr>
      <w:r>
        <w:t xml:space="preserve">These findings are startling </w:t>
      </w:r>
      <w:r w:rsidR="00550F26">
        <w:t>in the circumstances</w:t>
      </w:r>
      <w:r>
        <w:t>. But it did not stop there. Equally egregious was the following finding in the decision:</w:t>
      </w:r>
    </w:p>
    <w:p w14:paraId="284CBC70" w14:textId="355AB616" w:rsidR="00C35B56" w:rsidRPr="00E40119" w:rsidRDefault="00E40119" w:rsidP="00E40119">
      <w:pPr>
        <w:spacing w:before="240" w:after="480" w:line="360" w:lineRule="auto"/>
        <w:ind w:left="2160" w:hanging="720"/>
        <w:jc w:val="both"/>
        <w:rPr>
          <w:sz w:val="22"/>
          <w:szCs w:val="22"/>
        </w:rPr>
      </w:pPr>
      <w:r>
        <w:rPr>
          <w:i/>
          <w:sz w:val="22"/>
          <w:szCs w:val="22"/>
        </w:rPr>
        <w:t>‘8.63</w:t>
      </w:r>
      <w:r>
        <w:rPr>
          <w:i/>
          <w:sz w:val="22"/>
          <w:szCs w:val="22"/>
        </w:rPr>
        <w:tab/>
        <w:t>It is the Tribunal’s view that it is therefore opaque that it ever could have been the legislature’s intention that Schedule 2 be read to include PTSD where it is not expressly provided for, as Schedule 2 does not list such injury, and read with Section 49, could therefore not be constituted as a permanent disablement as contemplated in Schedule 2.’</w:t>
      </w:r>
    </w:p>
    <w:p w14:paraId="7ACF6E84" w14:textId="7D054FDE" w:rsidR="00F2796C" w:rsidRDefault="007860D5" w:rsidP="00C918A0">
      <w:pPr>
        <w:numPr>
          <w:ilvl w:val="0"/>
          <w:numId w:val="1"/>
        </w:numPr>
        <w:spacing w:before="240" w:after="480" w:line="480" w:lineRule="auto"/>
        <w:ind w:hanging="720"/>
        <w:jc w:val="both"/>
      </w:pPr>
      <w:r>
        <w:t xml:space="preserve">Individuals in the position of </w:t>
      </w:r>
      <w:r w:rsidR="00E40119">
        <w:t>the appellant should be entitled to safely assume that members of Tribunal</w:t>
      </w:r>
      <w:r>
        <w:t>s of this nature</w:t>
      </w:r>
      <w:r w:rsidR="00E40119">
        <w:t xml:space="preserve"> have </w:t>
      </w:r>
      <w:r>
        <w:t xml:space="preserve">sufficient </w:t>
      </w:r>
      <w:r w:rsidR="00E40119">
        <w:t xml:space="preserve">experience and are </w:t>
      </w:r>
      <w:r w:rsidR="00E40119" w:rsidRPr="007860D5">
        <w:rPr>
          <w:i/>
        </w:rPr>
        <w:t>au fait</w:t>
      </w:r>
      <w:r w:rsidR="00E40119">
        <w:t xml:space="preserve"> with legal developments</w:t>
      </w:r>
      <w:r>
        <w:t xml:space="preserve"> such as </w:t>
      </w:r>
      <w:r>
        <w:rPr>
          <w:i/>
        </w:rPr>
        <w:t>Urquhart</w:t>
      </w:r>
      <w:r>
        <w:t xml:space="preserve"> which 17 years ago restated the already long established legal position about a psychiatric injury</w:t>
      </w:r>
      <w:r w:rsidR="00E40119">
        <w:t xml:space="preserve">. While it is accepted that the Commissioner would not have been aware of the decision in </w:t>
      </w:r>
      <w:r w:rsidR="00E40119">
        <w:rPr>
          <w:i/>
        </w:rPr>
        <w:t>Ramanand</w:t>
      </w:r>
      <w:r w:rsidR="00E40119" w:rsidRPr="009062D6">
        <w:rPr>
          <w:rStyle w:val="FootnoteReference"/>
        </w:rPr>
        <w:footnoteReference w:id="9"/>
      </w:r>
      <w:r w:rsidR="009062D6">
        <w:t xml:space="preserve"> given that his award was made on 8 December 2021, the Tribunal </w:t>
      </w:r>
      <w:r w:rsidR="00550F26">
        <w:t>was</w:t>
      </w:r>
      <w:r w:rsidR="009062D6">
        <w:t xml:space="preserve"> aware thereof since</w:t>
      </w:r>
      <w:r w:rsidR="00550F26">
        <w:t>: (a) </w:t>
      </w:r>
      <w:r w:rsidR="009062D6">
        <w:t xml:space="preserve">it was handed down by a Full Bench of the </w:t>
      </w:r>
      <w:r w:rsidR="009062D6">
        <w:lastRenderedPageBreak/>
        <w:t>KwaZulu-Natal High Court, Pietermaritzburg on 14 April 2023 and the Tribunal only gave its decision on 17 May 2023</w:t>
      </w:r>
      <w:r w:rsidR="00550F26">
        <w:t>; and (b) It was referred to by the Tribunal in its decision at paragraph 8.124. However the Tribunal only quoted selectively from that judgment (in relation to the scale of costs awarded) and thus appears to have deliberately refrained from heeding that court’s findings on the merits.</w:t>
      </w:r>
      <w:r w:rsidR="009062D6">
        <w:t xml:space="preserve"> The following paragraphs of </w:t>
      </w:r>
      <w:r w:rsidR="00E92BB7">
        <w:rPr>
          <w:i/>
        </w:rPr>
        <w:t>Ramanand</w:t>
      </w:r>
      <w:r w:rsidR="009062D6">
        <w:t xml:space="preserve"> are instructive</w:t>
      </w:r>
      <w:r w:rsidR="00350F57">
        <w:t>:</w:t>
      </w:r>
      <w:r w:rsidR="009062D6">
        <w:t xml:space="preserve"> </w:t>
      </w:r>
    </w:p>
    <w:p w14:paraId="6FF5CDEA" w14:textId="6F3E5036" w:rsidR="00702BBB" w:rsidRDefault="00702BBB" w:rsidP="00702BBB">
      <w:pPr>
        <w:spacing w:before="240" w:after="240" w:line="360" w:lineRule="auto"/>
        <w:ind w:left="1440"/>
        <w:jc w:val="both"/>
        <w:rPr>
          <w:i/>
          <w:sz w:val="22"/>
          <w:szCs w:val="22"/>
        </w:rPr>
      </w:pPr>
      <w:r>
        <w:rPr>
          <w:i/>
          <w:sz w:val="22"/>
          <w:szCs w:val="22"/>
        </w:rPr>
        <w:t>‘[51]  The appellant contends that it is not disputed that a medical expert… has determined him to be totally permanently disabled and that such disablement falls within the last category of classification referred to in the table above (the sixth classification)</w:t>
      </w:r>
      <w:r>
        <w:rPr>
          <w:sz w:val="22"/>
          <w:szCs w:val="22"/>
        </w:rPr>
        <w:t xml:space="preserve"> [referring to item 6 of Schedule 2]</w:t>
      </w:r>
      <w:r>
        <w:rPr>
          <w:i/>
          <w:sz w:val="22"/>
          <w:szCs w:val="22"/>
        </w:rPr>
        <w:t xml:space="preserve">. </w:t>
      </w:r>
    </w:p>
    <w:p w14:paraId="449827BF" w14:textId="04FD90C7" w:rsidR="00702BBB" w:rsidRDefault="00702BBB" w:rsidP="00702BBB">
      <w:pPr>
        <w:spacing w:before="240" w:after="240" w:line="360" w:lineRule="auto"/>
        <w:ind w:left="1440"/>
        <w:jc w:val="both"/>
        <w:rPr>
          <w:i/>
          <w:sz w:val="22"/>
          <w:szCs w:val="22"/>
        </w:rPr>
      </w:pPr>
      <w:r>
        <w:rPr>
          <w:i/>
          <w:sz w:val="22"/>
          <w:szCs w:val="22"/>
        </w:rPr>
        <w:t>[52]  Schedule 2 to the Act specifically identifies those injuries that entitle a claimant to claim total disablement. The sixth classification does not specify the nature of the injury, unlike the five classifications that appear before it. The sixth classification is dependent for its applicability not on the nature of the injury, but on the effect of that injury, whatever it may be. It stands to reason that the legislature could not have thought of every type of injury that would lead to 100 percent disablement. The range of human activity is vast and the possibility for misfortune is virtually limitless. Any injury that results in 100 percent disablement thus falls within the sixth classification, irrespective of the physical nature of the injury. It must be assumed that the sixth classification was inserted in the schedule for a purpose. It seems to me that that purpose is to cater for injuries that were not initially thought of or capable of description when the Act was conceived but which result in 100 percent disablement. A</w:t>
      </w:r>
      <w:r w:rsidR="00350F57">
        <w:rPr>
          <w:i/>
          <w:sz w:val="22"/>
          <w:szCs w:val="22"/>
        </w:rPr>
        <w:t>n</w:t>
      </w:r>
      <w:r>
        <w:rPr>
          <w:i/>
          <w:sz w:val="22"/>
          <w:szCs w:val="22"/>
        </w:rPr>
        <w:t xml:space="preserve"> excessive exposure to nuclear radiation may be one such example of this.</w:t>
      </w:r>
    </w:p>
    <w:p w14:paraId="6A48510F" w14:textId="6CD855BA" w:rsidR="00702BBB" w:rsidRDefault="00702BBB" w:rsidP="00702BBB">
      <w:pPr>
        <w:spacing w:before="240" w:after="240" w:line="360" w:lineRule="auto"/>
        <w:ind w:left="1440"/>
        <w:jc w:val="both"/>
        <w:rPr>
          <w:i/>
          <w:sz w:val="22"/>
          <w:szCs w:val="22"/>
        </w:rPr>
      </w:pPr>
      <w:r>
        <w:rPr>
          <w:i/>
          <w:sz w:val="22"/>
          <w:szCs w:val="22"/>
        </w:rPr>
        <w:t>[53]  It is so that schedule 2 was considered in …</w:t>
      </w:r>
      <w:r>
        <w:rPr>
          <w:b/>
          <w:i/>
          <w:sz w:val="22"/>
          <w:szCs w:val="22"/>
        </w:rPr>
        <w:t>Botha</w:t>
      </w:r>
      <w:r>
        <w:rPr>
          <w:i/>
          <w:sz w:val="22"/>
          <w:szCs w:val="22"/>
        </w:rPr>
        <w:t>…</w:t>
      </w:r>
    </w:p>
    <w:p w14:paraId="425DBBAA" w14:textId="550750BF" w:rsidR="00702BBB" w:rsidRDefault="00702BBB" w:rsidP="00702BBB">
      <w:pPr>
        <w:spacing w:before="240" w:after="240" w:line="360" w:lineRule="auto"/>
        <w:ind w:left="1440"/>
        <w:jc w:val="both"/>
        <w:rPr>
          <w:i/>
          <w:sz w:val="22"/>
          <w:szCs w:val="22"/>
        </w:rPr>
      </w:pPr>
      <w:r>
        <w:rPr>
          <w:i/>
          <w:sz w:val="22"/>
          <w:szCs w:val="22"/>
        </w:rPr>
        <w:t xml:space="preserve">[54]  In my view, this does not create an impediment to the success of the appeal. The appellant’s case is not that because his injury is not listed in schedule 2 he is automatically 100 percent disabled, as alluded to in </w:t>
      </w:r>
      <w:r>
        <w:rPr>
          <w:b/>
          <w:i/>
          <w:sz w:val="22"/>
          <w:szCs w:val="22"/>
        </w:rPr>
        <w:t>Botha</w:t>
      </w:r>
      <w:r>
        <w:rPr>
          <w:i/>
          <w:sz w:val="22"/>
          <w:szCs w:val="22"/>
        </w:rPr>
        <w:t xml:space="preserve">. </w:t>
      </w:r>
      <w:r>
        <w:rPr>
          <w:b/>
          <w:i/>
          <w:sz w:val="22"/>
          <w:szCs w:val="22"/>
        </w:rPr>
        <w:t>Botha</w:t>
      </w:r>
      <w:r>
        <w:rPr>
          <w:i/>
          <w:sz w:val="22"/>
          <w:szCs w:val="22"/>
        </w:rPr>
        <w:t xml:space="preserve"> makes it plain that the extent of the disablement must be determined with reference to the facts of the case, which facts would include the opinions </w:t>
      </w:r>
      <w:r>
        <w:rPr>
          <w:i/>
          <w:sz w:val="22"/>
          <w:szCs w:val="22"/>
        </w:rPr>
        <w:lastRenderedPageBreak/>
        <w:t xml:space="preserve">of the medical experts who have ventured an opinion in the matter. In this case only the appellant presented evidence, none of which was disputed by the respondent. His injury </w:t>
      </w:r>
      <w:r>
        <w:rPr>
          <w:sz w:val="22"/>
          <w:szCs w:val="22"/>
        </w:rPr>
        <w:t>[PTSD]</w:t>
      </w:r>
      <w:r>
        <w:rPr>
          <w:i/>
          <w:sz w:val="22"/>
          <w:szCs w:val="22"/>
        </w:rPr>
        <w:t>, whilst not mentioned in schedule 2, nonetheless thus falls within the sixth category mentioned in schedule 2 by virtue of the fact that he is totally permanently disabled.</w:t>
      </w:r>
    </w:p>
    <w:p w14:paraId="14B19EF5" w14:textId="5ADF0C53" w:rsidR="00702BBB" w:rsidRPr="00702BBB" w:rsidRDefault="00702BBB" w:rsidP="00702BBB">
      <w:pPr>
        <w:spacing w:before="240" w:after="600" w:line="360" w:lineRule="auto"/>
        <w:ind w:left="1440"/>
        <w:jc w:val="both"/>
        <w:rPr>
          <w:i/>
          <w:sz w:val="22"/>
          <w:szCs w:val="22"/>
        </w:rPr>
      </w:pPr>
      <w:r>
        <w:rPr>
          <w:i/>
          <w:sz w:val="22"/>
          <w:szCs w:val="22"/>
        </w:rPr>
        <w:t>[55]  I must thus find that the appellant’s contention regarding the classification of his injury as falling within the sixth classification is correct.’</w:t>
      </w:r>
    </w:p>
    <w:p w14:paraId="02A2302D" w14:textId="4FD5EC76" w:rsidR="00702BBB" w:rsidRDefault="00702BBB" w:rsidP="00C918A0">
      <w:pPr>
        <w:numPr>
          <w:ilvl w:val="0"/>
          <w:numId w:val="1"/>
        </w:numPr>
        <w:spacing w:before="240" w:after="480" w:line="480" w:lineRule="auto"/>
        <w:ind w:hanging="720"/>
        <w:jc w:val="both"/>
      </w:pPr>
      <w:r>
        <w:t xml:space="preserve">Apart from the material </w:t>
      </w:r>
      <w:r w:rsidR="00923DCE">
        <w:t xml:space="preserve">misdirections of </w:t>
      </w:r>
      <w:r w:rsidR="006851B1">
        <w:t xml:space="preserve">the Tribunal highlighted above the court’s findings in </w:t>
      </w:r>
      <w:r w:rsidR="006851B1">
        <w:rPr>
          <w:i/>
        </w:rPr>
        <w:t>Ramanand</w:t>
      </w:r>
      <w:r w:rsidR="006851B1">
        <w:t xml:space="preserve">, with which I fully agree, </w:t>
      </w:r>
      <w:r w:rsidR="00350F57">
        <w:t>demonstrate</w:t>
      </w:r>
      <w:r w:rsidR="00E92BB7">
        <w:t xml:space="preserve"> that</w:t>
      </w:r>
      <w:r w:rsidR="00350F57">
        <w:t xml:space="preserve"> </w:t>
      </w:r>
      <w:r w:rsidR="006851B1">
        <w:t>the appeal must succeed.</w:t>
      </w:r>
    </w:p>
    <w:p w14:paraId="287664C8" w14:textId="77777777" w:rsidR="00E92BB7" w:rsidRDefault="006851B1" w:rsidP="00C918A0">
      <w:pPr>
        <w:numPr>
          <w:ilvl w:val="0"/>
          <w:numId w:val="1"/>
        </w:numPr>
        <w:spacing w:before="240" w:after="480" w:line="480" w:lineRule="auto"/>
        <w:ind w:hanging="720"/>
        <w:jc w:val="both"/>
      </w:pPr>
      <w:r>
        <w:t>The appellant asks for costs on the scale as between attorney and client. Given the sheer extent of the Tribunal’s misdirections and the</w:t>
      </w:r>
      <w:r w:rsidR="008E4BF6">
        <w:t>ir</w:t>
      </w:r>
      <w:r>
        <w:t xml:space="preserve"> consequences to the appellant, coupled with the delay by both the Commissioner and the Tribunal in finalising </w:t>
      </w:r>
      <w:r w:rsidR="008E4BF6">
        <w:t>his claim</w:t>
      </w:r>
      <w:r>
        <w:t xml:space="preserve"> with the obvious attendant prejudice to </w:t>
      </w:r>
      <w:r w:rsidR="008E4BF6">
        <w:t>him</w:t>
      </w:r>
      <w:r>
        <w:t xml:space="preserve">, it is my view that such an order is appropriate. Counsel for the appellant also asked this court to make a detailed order </w:t>
      </w:r>
      <w:r w:rsidR="008E4BF6">
        <w:t xml:space="preserve">in terms of the draft provided, </w:t>
      </w:r>
      <w:r>
        <w:t xml:space="preserve">setting out how the </w:t>
      </w:r>
      <w:r w:rsidR="008E4BF6">
        <w:t xml:space="preserve">superseding </w:t>
      </w:r>
      <w:r>
        <w:t>award should be calculated. In light of the history of this matter I agree that this is warranted</w:t>
      </w:r>
      <w:r w:rsidR="00C024A8">
        <w:t xml:space="preserve"> and have no difficulty with the terms of the proposed draft, save </w:t>
      </w:r>
      <w:r w:rsidR="009A0370">
        <w:t xml:space="preserve">for that pertaining to interest claimed. </w:t>
      </w:r>
    </w:p>
    <w:p w14:paraId="67D628DE" w14:textId="20776E7F" w:rsidR="006851B1" w:rsidRDefault="009A0370" w:rsidP="00C918A0">
      <w:pPr>
        <w:numPr>
          <w:ilvl w:val="0"/>
          <w:numId w:val="1"/>
        </w:numPr>
        <w:spacing w:before="240" w:after="480" w:line="480" w:lineRule="auto"/>
        <w:ind w:hanging="720"/>
        <w:jc w:val="both"/>
      </w:pPr>
      <w:r>
        <w:t>Section 1 of the Prescribed Rate of Interest Act</w:t>
      </w:r>
      <w:r>
        <w:rPr>
          <w:rStyle w:val="FootnoteReference"/>
        </w:rPr>
        <w:footnoteReference w:id="10"/>
      </w:r>
      <w:r>
        <w:t xml:space="preserve"> provides that interest </w:t>
      </w:r>
      <w:r w:rsidR="008647CA">
        <w:t xml:space="preserve">is </w:t>
      </w:r>
      <w:r>
        <w:t xml:space="preserve">calculated at the prescribed rate at the time when such interest begins to run unless a court, on the ground of special circumstances relating to the debt, </w:t>
      </w:r>
      <w:r>
        <w:lastRenderedPageBreak/>
        <w:t xml:space="preserve">orders otherwise. Interest would have begun to run when the Commissioner made his award on 8 December 2021 and apart from the delay there are no special circumstances which could militate in favour of awarding interest from the date of the incident itself. </w:t>
      </w:r>
      <w:r w:rsidR="00E92BB7">
        <w:t xml:space="preserve">The court in </w:t>
      </w:r>
      <w:r w:rsidR="00E92BB7">
        <w:rPr>
          <w:i/>
        </w:rPr>
        <w:t>Ramanand</w:t>
      </w:r>
      <w:r w:rsidR="00E92BB7">
        <w:t xml:space="preserve"> took the same approach to interest payable in its order and counsel for the appellant indicated he had no difficulty with that. The prescribed rate of interest applicable as at December 2021 was 7%. </w:t>
      </w:r>
    </w:p>
    <w:p w14:paraId="6BB39433" w14:textId="43A42094" w:rsidR="006851B1" w:rsidRPr="006851B1" w:rsidRDefault="006851B1" w:rsidP="009A0370">
      <w:pPr>
        <w:numPr>
          <w:ilvl w:val="0"/>
          <w:numId w:val="1"/>
        </w:numPr>
        <w:spacing w:before="240" w:after="480"/>
        <w:ind w:hanging="720"/>
        <w:jc w:val="both"/>
      </w:pPr>
      <w:r>
        <w:rPr>
          <w:b/>
        </w:rPr>
        <w:t>The following order is made:</w:t>
      </w:r>
    </w:p>
    <w:p w14:paraId="0A82976C" w14:textId="5CDD4B99" w:rsidR="006851B1" w:rsidRDefault="006851B1" w:rsidP="006851B1">
      <w:pPr>
        <w:pStyle w:val="ListParagraph"/>
        <w:numPr>
          <w:ilvl w:val="0"/>
          <w:numId w:val="33"/>
        </w:numPr>
        <w:spacing w:before="240" w:after="240" w:line="480" w:lineRule="auto"/>
        <w:jc w:val="both"/>
        <w:rPr>
          <w:b/>
        </w:rPr>
      </w:pPr>
      <w:r>
        <w:rPr>
          <w:b/>
        </w:rPr>
        <w:t>The appeal succeeds with costs</w:t>
      </w:r>
      <w:r w:rsidR="002A5203">
        <w:rPr>
          <w:b/>
        </w:rPr>
        <w:t>, including those pertaining to the respondent’s opposition to the appellant’s condonation application and the respondent’s abortive application for postponement of the appeal. Such costs shall be paid</w:t>
      </w:r>
      <w:r>
        <w:rPr>
          <w:b/>
        </w:rPr>
        <w:t xml:space="preserve"> on the scale as between attorney and client</w:t>
      </w:r>
      <w:r w:rsidR="002A5203">
        <w:rPr>
          <w:b/>
        </w:rPr>
        <w:t xml:space="preserve"> and including the costs of senior counsel;</w:t>
      </w:r>
    </w:p>
    <w:p w14:paraId="19C505E4" w14:textId="30AA1987" w:rsidR="006851B1" w:rsidRDefault="006851B1" w:rsidP="009A0370">
      <w:pPr>
        <w:pStyle w:val="ListParagraph"/>
        <w:numPr>
          <w:ilvl w:val="0"/>
          <w:numId w:val="33"/>
        </w:numPr>
        <w:spacing w:before="240" w:after="120" w:line="480" w:lineRule="auto"/>
        <w:jc w:val="both"/>
        <w:rPr>
          <w:b/>
        </w:rPr>
      </w:pPr>
      <w:r>
        <w:rPr>
          <w:b/>
        </w:rPr>
        <w:t xml:space="preserve">The decision of the </w:t>
      </w:r>
      <w:r w:rsidR="002A5203">
        <w:rPr>
          <w:b/>
        </w:rPr>
        <w:t>Tribunal</w:t>
      </w:r>
      <w:r>
        <w:rPr>
          <w:b/>
        </w:rPr>
        <w:t>, dated 17 May 2023, is set aside and substituted with the following order:</w:t>
      </w:r>
    </w:p>
    <w:p w14:paraId="0AFEE79F" w14:textId="77777777" w:rsidR="003B4A69" w:rsidRDefault="003B4A69" w:rsidP="009A0370">
      <w:pPr>
        <w:pStyle w:val="ListParagraph"/>
        <w:spacing w:before="240"/>
        <w:ind w:left="1080"/>
        <w:jc w:val="both"/>
        <w:rPr>
          <w:b/>
          <w:i/>
          <w:sz w:val="22"/>
          <w:szCs w:val="22"/>
        </w:rPr>
      </w:pPr>
    </w:p>
    <w:p w14:paraId="47E56AE9" w14:textId="428B9F6A" w:rsidR="003C6AD8" w:rsidRDefault="003C6AD8" w:rsidP="00D06FC0">
      <w:pPr>
        <w:pStyle w:val="ListParagraph"/>
        <w:spacing w:before="240" w:after="240" w:line="360" w:lineRule="auto"/>
        <w:ind w:left="1134" w:hanging="54"/>
        <w:jc w:val="both"/>
        <w:rPr>
          <w:b/>
          <w:i/>
          <w:sz w:val="22"/>
          <w:szCs w:val="22"/>
        </w:rPr>
      </w:pPr>
      <w:r w:rsidRPr="003C6AD8">
        <w:rPr>
          <w:b/>
          <w:i/>
          <w:sz w:val="22"/>
          <w:szCs w:val="22"/>
        </w:rPr>
        <w:t>“The Objector’s Objection succeeds, with costs on a scale as between attorney and client, including the costs incurred in eliciting the evidence of expert witness</w:t>
      </w:r>
      <w:r w:rsidR="00C024A8">
        <w:rPr>
          <w:b/>
          <w:i/>
          <w:sz w:val="22"/>
          <w:szCs w:val="22"/>
        </w:rPr>
        <w:t>/</w:t>
      </w:r>
      <w:r w:rsidRPr="003C6AD8">
        <w:rPr>
          <w:b/>
          <w:i/>
          <w:sz w:val="22"/>
          <w:szCs w:val="22"/>
        </w:rPr>
        <w:t>es; and the Award of Compensation, dated 8</w:t>
      </w:r>
      <w:r w:rsidR="00C024A8">
        <w:rPr>
          <w:b/>
          <w:i/>
          <w:sz w:val="22"/>
          <w:szCs w:val="22"/>
        </w:rPr>
        <w:t> </w:t>
      </w:r>
      <w:r w:rsidRPr="003C6AD8">
        <w:rPr>
          <w:b/>
          <w:i/>
          <w:sz w:val="22"/>
          <w:szCs w:val="22"/>
        </w:rPr>
        <w:t>December 2021, is set aside and replaced with the following order:</w:t>
      </w:r>
    </w:p>
    <w:p w14:paraId="5165A957" w14:textId="77777777" w:rsidR="003B4A69" w:rsidRPr="003C6AD8" w:rsidRDefault="003B4A69" w:rsidP="009A0370">
      <w:pPr>
        <w:pStyle w:val="ListParagraph"/>
        <w:spacing w:before="240" w:after="240" w:line="360" w:lineRule="auto"/>
        <w:ind w:left="1080"/>
        <w:jc w:val="both"/>
        <w:rPr>
          <w:b/>
          <w:i/>
          <w:sz w:val="22"/>
          <w:szCs w:val="22"/>
        </w:rPr>
      </w:pPr>
    </w:p>
    <w:p w14:paraId="1E1D6BE5" w14:textId="016F87F8" w:rsidR="003C6AD8" w:rsidRPr="00D84219" w:rsidRDefault="003C6AD8" w:rsidP="00D84219">
      <w:pPr>
        <w:pStyle w:val="ListParagraph"/>
        <w:numPr>
          <w:ilvl w:val="0"/>
          <w:numId w:val="34"/>
        </w:numPr>
        <w:spacing w:before="240" w:after="240" w:line="360" w:lineRule="auto"/>
        <w:jc w:val="both"/>
        <w:rPr>
          <w:b/>
          <w:i/>
          <w:sz w:val="22"/>
          <w:szCs w:val="22"/>
        </w:rPr>
      </w:pPr>
      <w:r w:rsidRPr="00D84219">
        <w:rPr>
          <w:b/>
          <w:i/>
          <w:sz w:val="22"/>
          <w:szCs w:val="22"/>
        </w:rPr>
        <w:t>The Compensation Commissioner is ordered to publish to the Objector’s (appellant’s) attorneys and to his erstwhile employer (the SAPS), within twenty (20) days of this order, a written Superseding Award of Compensation, in favour of</w:t>
      </w:r>
      <w:r w:rsidR="003B4A69" w:rsidRPr="00D84219">
        <w:rPr>
          <w:b/>
          <w:i/>
          <w:sz w:val="22"/>
          <w:szCs w:val="22"/>
        </w:rPr>
        <w:t xml:space="preserve"> the</w:t>
      </w:r>
      <w:r w:rsidRPr="00D84219">
        <w:rPr>
          <w:b/>
          <w:i/>
          <w:sz w:val="22"/>
          <w:szCs w:val="22"/>
        </w:rPr>
        <w:t xml:space="preserve"> Objector in the following terms:</w:t>
      </w:r>
    </w:p>
    <w:p w14:paraId="29124ED0" w14:textId="77777777" w:rsidR="003B4A69" w:rsidRDefault="003B4A69" w:rsidP="009A0370">
      <w:pPr>
        <w:pStyle w:val="ListParagraph"/>
        <w:spacing w:before="240" w:after="240" w:line="360" w:lineRule="auto"/>
        <w:ind w:left="1440"/>
        <w:jc w:val="both"/>
        <w:rPr>
          <w:b/>
          <w:i/>
          <w:sz w:val="22"/>
          <w:szCs w:val="22"/>
        </w:rPr>
      </w:pPr>
    </w:p>
    <w:p w14:paraId="37827726" w14:textId="7BA6D8DC" w:rsidR="003C6AD8" w:rsidRPr="00D84219" w:rsidRDefault="003C6AD8" w:rsidP="00D84219">
      <w:pPr>
        <w:pStyle w:val="ListParagraph"/>
        <w:numPr>
          <w:ilvl w:val="0"/>
          <w:numId w:val="41"/>
        </w:numPr>
        <w:tabs>
          <w:tab w:val="left" w:pos="1440"/>
          <w:tab w:val="left" w:pos="1843"/>
        </w:tabs>
        <w:spacing w:before="240" w:after="240" w:line="360" w:lineRule="auto"/>
        <w:jc w:val="both"/>
        <w:rPr>
          <w:b/>
          <w:i/>
          <w:sz w:val="22"/>
          <w:szCs w:val="22"/>
        </w:rPr>
      </w:pPr>
      <w:r w:rsidRPr="00D84219">
        <w:rPr>
          <w:b/>
          <w:i/>
          <w:sz w:val="22"/>
          <w:szCs w:val="22"/>
        </w:rPr>
        <w:lastRenderedPageBreak/>
        <w:t>The following terms will remain unchanged:</w:t>
      </w:r>
    </w:p>
    <w:p w14:paraId="765D60A4" w14:textId="77777777" w:rsidR="003B4A69" w:rsidRDefault="003B4A69" w:rsidP="009A0370">
      <w:pPr>
        <w:pStyle w:val="ListParagraph"/>
        <w:tabs>
          <w:tab w:val="left" w:pos="1440"/>
          <w:tab w:val="left" w:pos="1843"/>
        </w:tabs>
        <w:spacing w:before="240" w:after="240" w:line="360" w:lineRule="auto"/>
        <w:ind w:left="1800"/>
        <w:jc w:val="both"/>
        <w:rPr>
          <w:b/>
          <w:i/>
          <w:sz w:val="22"/>
          <w:szCs w:val="22"/>
        </w:rPr>
      </w:pPr>
    </w:p>
    <w:p w14:paraId="77AD5053" w14:textId="2EBFDC22" w:rsidR="00001D87" w:rsidRDefault="002A5203" w:rsidP="009A0370">
      <w:pPr>
        <w:pStyle w:val="ListParagraph"/>
        <w:numPr>
          <w:ilvl w:val="0"/>
          <w:numId w:val="35"/>
        </w:numPr>
        <w:tabs>
          <w:tab w:val="left" w:pos="1440"/>
          <w:tab w:val="left" w:pos="1843"/>
        </w:tabs>
        <w:spacing w:before="240" w:after="240" w:line="360" w:lineRule="auto"/>
        <w:ind w:left="2268" w:hanging="468"/>
        <w:jc w:val="both"/>
        <w:rPr>
          <w:b/>
          <w:i/>
          <w:sz w:val="22"/>
          <w:szCs w:val="22"/>
        </w:rPr>
      </w:pPr>
      <w:r>
        <w:rPr>
          <w:b/>
          <w:i/>
          <w:sz w:val="22"/>
          <w:szCs w:val="22"/>
        </w:rPr>
        <w:t xml:space="preserve">His </w:t>
      </w:r>
      <w:r w:rsidR="00001D87">
        <w:rPr>
          <w:b/>
          <w:i/>
          <w:sz w:val="22"/>
          <w:szCs w:val="22"/>
        </w:rPr>
        <w:t>earnings for purposes of calculating compensation: R5 520.25;</w:t>
      </w:r>
    </w:p>
    <w:p w14:paraId="6579952B" w14:textId="116CD02F" w:rsidR="00001D87" w:rsidRDefault="00001D87" w:rsidP="009A0370">
      <w:pPr>
        <w:pStyle w:val="ListParagraph"/>
        <w:numPr>
          <w:ilvl w:val="0"/>
          <w:numId w:val="35"/>
        </w:numPr>
        <w:tabs>
          <w:tab w:val="left" w:pos="1440"/>
          <w:tab w:val="left" w:pos="1843"/>
        </w:tabs>
        <w:spacing w:before="240" w:after="240" w:line="360" w:lineRule="auto"/>
        <w:ind w:left="2268" w:hanging="468"/>
        <w:jc w:val="both"/>
        <w:rPr>
          <w:b/>
          <w:i/>
          <w:sz w:val="22"/>
          <w:szCs w:val="22"/>
        </w:rPr>
      </w:pPr>
      <w:r>
        <w:rPr>
          <w:b/>
          <w:i/>
          <w:sz w:val="22"/>
          <w:szCs w:val="22"/>
        </w:rPr>
        <w:t xml:space="preserve">The </w:t>
      </w:r>
      <w:r w:rsidR="006E0E6B">
        <w:rPr>
          <w:b/>
          <w:i/>
          <w:sz w:val="22"/>
          <w:szCs w:val="22"/>
        </w:rPr>
        <w:t>D</w:t>
      </w:r>
      <w:r>
        <w:rPr>
          <w:b/>
          <w:i/>
          <w:sz w:val="22"/>
          <w:szCs w:val="22"/>
        </w:rPr>
        <w:t xml:space="preserve">ate of the </w:t>
      </w:r>
      <w:r w:rsidR="006E0E6B">
        <w:rPr>
          <w:b/>
          <w:i/>
          <w:sz w:val="22"/>
          <w:szCs w:val="22"/>
        </w:rPr>
        <w:t>A</w:t>
      </w:r>
      <w:r>
        <w:rPr>
          <w:b/>
          <w:i/>
          <w:sz w:val="22"/>
          <w:szCs w:val="22"/>
        </w:rPr>
        <w:t xml:space="preserve">ccident: </w:t>
      </w:r>
      <w:r w:rsidR="002A5203">
        <w:rPr>
          <w:b/>
          <w:i/>
          <w:sz w:val="22"/>
          <w:szCs w:val="22"/>
        </w:rPr>
        <w:t>22 October 1998</w:t>
      </w:r>
      <w:r>
        <w:rPr>
          <w:b/>
          <w:i/>
          <w:sz w:val="22"/>
          <w:szCs w:val="22"/>
        </w:rPr>
        <w:t>;</w:t>
      </w:r>
    </w:p>
    <w:p w14:paraId="43212745" w14:textId="77777777" w:rsidR="003B4A69" w:rsidRDefault="003B4A69" w:rsidP="009A0370">
      <w:pPr>
        <w:pStyle w:val="ListParagraph"/>
        <w:tabs>
          <w:tab w:val="left" w:pos="1440"/>
          <w:tab w:val="left" w:pos="1843"/>
        </w:tabs>
        <w:spacing w:before="240" w:after="240" w:line="360" w:lineRule="auto"/>
        <w:ind w:left="2268"/>
        <w:jc w:val="both"/>
        <w:rPr>
          <w:b/>
          <w:i/>
          <w:sz w:val="22"/>
          <w:szCs w:val="22"/>
        </w:rPr>
      </w:pPr>
    </w:p>
    <w:p w14:paraId="6BCB63F3" w14:textId="69EC5C5A" w:rsidR="003C6AD8" w:rsidRDefault="003C6AD8" w:rsidP="00D84219">
      <w:pPr>
        <w:pStyle w:val="ListParagraph"/>
        <w:numPr>
          <w:ilvl w:val="0"/>
          <w:numId w:val="41"/>
        </w:numPr>
        <w:tabs>
          <w:tab w:val="left" w:pos="1440"/>
          <w:tab w:val="left" w:pos="1843"/>
        </w:tabs>
        <w:spacing w:before="240" w:after="240" w:line="360" w:lineRule="auto"/>
        <w:jc w:val="both"/>
        <w:rPr>
          <w:b/>
          <w:i/>
          <w:sz w:val="22"/>
          <w:szCs w:val="22"/>
        </w:rPr>
      </w:pPr>
      <w:r>
        <w:rPr>
          <w:b/>
          <w:i/>
          <w:sz w:val="22"/>
          <w:szCs w:val="22"/>
        </w:rPr>
        <w:t>The following terms are to be substituted:</w:t>
      </w:r>
    </w:p>
    <w:p w14:paraId="2B9FE42E" w14:textId="77777777" w:rsidR="003B4A69" w:rsidRDefault="003B4A69" w:rsidP="009A0370">
      <w:pPr>
        <w:pStyle w:val="ListParagraph"/>
        <w:tabs>
          <w:tab w:val="left" w:pos="1440"/>
          <w:tab w:val="left" w:pos="1843"/>
        </w:tabs>
        <w:spacing w:before="240" w:after="240" w:line="360" w:lineRule="auto"/>
        <w:ind w:left="1800"/>
        <w:jc w:val="both"/>
        <w:rPr>
          <w:b/>
          <w:i/>
          <w:sz w:val="22"/>
          <w:szCs w:val="22"/>
        </w:rPr>
      </w:pPr>
    </w:p>
    <w:p w14:paraId="75C7F432" w14:textId="165E3418" w:rsidR="00001D87" w:rsidRDefault="00001D87" w:rsidP="009A0370">
      <w:pPr>
        <w:pStyle w:val="ListParagraph"/>
        <w:numPr>
          <w:ilvl w:val="0"/>
          <w:numId w:val="36"/>
        </w:numPr>
        <w:tabs>
          <w:tab w:val="left" w:pos="1440"/>
          <w:tab w:val="left" w:pos="1843"/>
          <w:tab w:val="left" w:pos="2268"/>
        </w:tabs>
        <w:spacing w:before="240" w:after="240" w:line="360" w:lineRule="auto"/>
        <w:ind w:left="2268" w:hanging="468"/>
        <w:jc w:val="both"/>
        <w:rPr>
          <w:b/>
          <w:i/>
          <w:sz w:val="22"/>
          <w:szCs w:val="22"/>
        </w:rPr>
      </w:pPr>
      <w:r>
        <w:rPr>
          <w:b/>
          <w:i/>
          <w:sz w:val="22"/>
          <w:szCs w:val="22"/>
        </w:rPr>
        <w:t>The percentage of disablement is determined at 100%;</w:t>
      </w:r>
    </w:p>
    <w:p w14:paraId="37014BEB" w14:textId="49D0F434" w:rsidR="00001D87" w:rsidRDefault="00001D87" w:rsidP="009A0370">
      <w:pPr>
        <w:pStyle w:val="ListParagraph"/>
        <w:numPr>
          <w:ilvl w:val="0"/>
          <w:numId w:val="36"/>
        </w:numPr>
        <w:tabs>
          <w:tab w:val="left" w:pos="1440"/>
          <w:tab w:val="left" w:pos="1843"/>
          <w:tab w:val="left" w:pos="2268"/>
        </w:tabs>
        <w:spacing w:before="240" w:after="240" w:line="360" w:lineRule="auto"/>
        <w:ind w:left="2268" w:hanging="468"/>
        <w:jc w:val="both"/>
        <w:rPr>
          <w:b/>
          <w:i/>
          <w:sz w:val="22"/>
          <w:szCs w:val="22"/>
        </w:rPr>
      </w:pPr>
      <w:r>
        <w:rPr>
          <w:b/>
          <w:i/>
          <w:sz w:val="22"/>
          <w:szCs w:val="22"/>
        </w:rPr>
        <w:t xml:space="preserve">The </w:t>
      </w:r>
      <w:r w:rsidR="006E0E6B">
        <w:rPr>
          <w:b/>
          <w:i/>
          <w:sz w:val="22"/>
          <w:szCs w:val="22"/>
        </w:rPr>
        <w:t>C</w:t>
      </w:r>
      <w:r>
        <w:rPr>
          <w:b/>
          <w:i/>
          <w:sz w:val="22"/>
          <w:szCs w:val="22"/>
        </w:rPr>
        <w:t xml:space="preserve">ommencement </w:t>
      </w:r>
      <w:r w:rsidR="006E0E6B">
        <w:rPr>
          <w:b/>
          <w:i/>
          <w:sz w:val="22"/>
          <w:szCs w:val="22"/>
        </w:rPr>
        <w:t>R</w:t>
      </w:r>
      <w:r>
        <w:rPr>
          <w:b/>
          <w:i/>
          <w:sz w:val="22"/>
          <w:szCs w:val="22"/>
        </w:rPr>
        <w:t xml:space="preserve">ate of the </w:t>
      </w:r>
      <w:r w:rsidR="006E0E6B">
        <w:rPr>
          <w:b/>
          <w:i/>
          <w:sz w:val="22"/>
          <w:szCs w:val="22"/>
        </w:rPr>
        <w:t>P</w:t>
      </w:r>
      <w:r>
        <w:rPr>
          <w:b/>
          <w:i/>
          <w:sz w:val="22"/>
          <w:szCs w:val="22"/>
        </w:rPr>
        <w:t>ension is to reflect R4 140.19 per month</w:t>
      </w:r>
      <w:r w:rsidR="002A5203">
        <w:rPr>
          <w:b/>
          <w:i/>
          <w:sz w:val="22"/>
          <w:szCs w:val="22"/>
        </w:rPr>
        <w:t>, being 75% of the earnings set out in paragraph (A)(i) above</w:t>
      </w:r>
      <w:r>
        <w:rPr>
          <w:b/>
          <w:i/>
          <w:sz w:val="22"/>
          <w:szCs w:val="22"/>
        </w:rPr>
        <w:t>;</w:t>
      </w:r>
    </w:p>
    <w:p w14:paraId="164CE775" w14:textId="167B5329" w:rsidR="00001D87" w:rsidRDefault="00001D87" w:rsidP="009A0370">
      <w:pPr>
        <w:pStyle w:val="ListParagraph"/>
        <w:numPr>
          <w:ilvl w:val="0"/>
          <w:numId w:val="36"/>
        </w:numPr>
        <w:tabs>
          <w:tab w:val="left" w:pos="1440"/>
          <w:tab w:val="left" w:pos="1843"/>
          <w:tab w:val="left" w:pos="2268"/>
        </w:tabs>
        <w:spacing w:before="240" w:after="240" w:line="360" w:lineRule="auto"/>
        <w:ind w:left="2268" w:hanging="468"/>
        <w:jc w:val="both"/>
        <w:rPr>
          <w:b/>
          <w:i/>
          <w:sz w:val="22"/>
          <w:szCs w:val="22"/>
        </w:rPr>
      </w:pPr>
      <w:r>
        <w:rPr>
          <w:b/>
          <w:i/>
          <w:sz w:val="22"/>
          <w:szCs w:val="22"/>
        </w:rPr>
        <w:t xml:space="preserve">The </w:t>
      </w:r>
      <w:r w:rsidR="006E0E6B">
        <w:rPr>
          <w:b/>
          <w:i/>
          <w:sz w:val="22"/>
          <w:szCs w:val="22"/>
        </w:rPr>
        <w:t>C</w:t>
      </w:r>
      <w:r>
        <w:rPr>
          <w:b/>
          <w:i/>
          <w:sz w:val="22"/>
          <w:szCs w:val="22"/>
        </w:rPr>
        <w:t xml:space="preserve">ommencement </w:t>
      </w:r>
      <w:r w:rsidR="006E0E6B">
        <w:rPr>
          <w:b/>
          <w:i/>
          <w:sz w:val="22"/>
          <w:szCs w:val="22"/>
        </w:rPr>
        <w:t>D</w:t>
      </w:r>
      <w:r>
        <w:rPr>
          <w:b/>
          <w:i/>
          <w:sz w:val="22"/>
          <w:szCs w:val="22"/>
        </w:rPr>
        <w:t xml:space="preserve">ate of the </w:t>
      </w:r>
      <w:r w:rsidR="006E0E6B">
        <w:rPr>
          <w:b/>
          <w:i/>
          <w:sz w:val="22"/>
          <w:szCs w:val="22"/>
        </w:rPr>
        <w:t>P</w:t>
      </w:r>
      <w:r>
        <w:rPr>
          <w:b/>
          <w:i/>
          <w:sz w:val="22"/>
          <w:szCs w:val="22"/>
        </w:rPr>
        <w:t xml:space="preserve">ension </w:t>
      </w:r>
      <w:r w:rsidR="003B4A69">
        <w:rPr>
          <w:b/>
          <w:i/>
          <w:sz w:val="22"/>
          <w:szCs w:val="22"/>
        </w:rPr>
        <w:t xml:space="preserve">is </w:t>
      </w:r>
      <w:r>
        <w:rPr>
          <w:b/>
          <w:i/>
          <w:sz w:val="22"/>
          <w:szCs w:val="22"/>
        </w:rPr>
        <w:t xml:space="preserve">to reflect as </w:t>
      </w:r>
      <w:r w:rsidR="002A5203">
        <w:rPr>
          <w:b/>
          <w:i/>
          <w:sz w:val="22"/>
          <w:szCs w:val="22"/>
        </w:rPr>
        <w:t>22 October 1998</w:t>
      </w:r>
      <w:r>
        <w:rPr>
          <w:b/>
          <w:i/>
          <w:sz w:val="22"/>
          <w:szCs w:val="22"/>
        </w:rPr>
        <w:t>;</w:t>
      </w:r>
    </w:p>
    <w:p w14:paraId="26541851" w14:textId="5FC0C2DB" w:rsidR="00001D87" w:rsidRDefault="00001D87" w:rsidP="009A0370">
      <w:pPr>
        <w:pStyle w:val="ListParagraph"/>
        <w:numPr>
          <w:ilvl w:val="0"/>
          <w:numId w:val="36"/>
        </w:numPr>
        <w:tabs>
          <w:tab w:val="left" w:pos="1440"/>
          <w:tab w:val="left" w:pos="1843"/>
          <w:tab w:val="left" w:pos="2268"/>
        </w:tabs>
        <w:spacing w:before="240" w:after="240" w:line="360" w:lineRule="auto"/>
        <w:ind w:left="2268" w:hanging="468"/>
        <w:jc w:val="both"/>
        <w:rPr>
          <w:b/>
          <w:i/>
          <w:sz w:val="22"/>
          <w:szCs w:val="22"/>
        </w:rPr>
      </w:pPr>
      <w:r>
        <w:rPr>
          <w:b/>
          <w:i/>
          <w:sz w:val="22"/>
          <w:szCs w:val="22"/>
        </w:rPr>
        <w:t xml:space="preserve">Periodic increases to the aforesaid </w:t>
      </w:r>
      <w:r w:rsidR="006E0E6B">
        <w:rPr>
          <w:b/>
          <w:i/>
          <w:sz w:val="22"/>
          <w:szCs w:val="22"/>
        </w:rPr>
        <w:t>P</w:t>
      </w:r>
      <w:r>
        <w:rPr>
          <w:b/>
          <w:i/>
          <w:sz w:val="22"/>
          <w:szCs w:val="22"/>
        </w:rPr>
        <w:t xml:space="preserve">ension shall be calculated from </w:t>
      </w:r>
      <w:r w:rsidR="002A5203">
        <w:rPr>
          <w:b/>
          <w:i/>
          <w:sz w:val="22"/>
          <w:szCs w:val="22"/>
        </w:rPr>
        <w:t xml:space="preserve">22 October 1998 </w:t>
      </w:r>
      <w:r>
        <w:rPr>
          <w:b/>
          <w:i/>
          <w:sz w:val="22"/>
          <w:szCs w:val="22"/>
        </w:rPr>
        <w:t>onwards in terms of s 57(1)</w:t>
      </w:r>
      <w:r w:rsidR="00CF3069">
        <w:rPr>
          <w:b/>
          <w:i/>
          <w:sz w:val="22"/>
          <w:szCs w:val="22"/>
        </w:rPr>
        <w:t xml:space="preserve"> of the Compensation for Occupational Injuries &amp; Diseases Act, 1993;</w:t>
      </w:r>
    </w:p>
    <w:p w14:paraId="59150B2D" w14:textId="77777777" w:rsidR="006E0E6B" w:rsidRDefault="006E0E6B" w:rsidP="006E0E6B">
      <w:pPr>
        <w:pStyle w:val="ListParagraph"/>
        <w:tabs>
          <w:tab w:val="left" w:pos="1440"/>
          <w:tab w:val="left" w:pos="1843"/>
          <w:tab w:val="left" w:pos="2268"/>
        </w:tabs>
        <w:spacing w:before="240" w:after="240" w:line="360" w:lineRule="auto"/>
        <w:ind w:left="2268"/>
        <w:jc w:val="both"/>
        <w:rPr>
          <w:b/>
          <w:i/>
          <w:sz w:val="22"/>
          <w:szCs w:val="22"/>
        </w:rPr>
      </w:pPr>
    </w:p>
    <w:p w14:paraId="621F5C4B" w14:textId="1B2D1845" w:rsidR="006851B1" w:rsidRDefault="003C6AD8" w:rsidP="002A5203">
      <w:pPr>
        <w:pStyle w:val="ListParagraph"/>
        <w:numPr>
          <w:ilvl w:val="0"/>
          <w:numId w:val="41"/>
        </w:numPr>
        <w:tabs>
          <w:tab w:val="left" w:pos="1440"/>
          <w:tab w:val="left" w:pos="1843"/>
        </w:tabs>
        <w:spacing w:before="240" w:after="240" w:line="360" w:lineRule="auto"/>
        <w:jc w:val="both"/>
        <w:rPr>
          <w:b/>
          <w:i/>
          <w:sz w:val="22"/>
          <w:szCs w:val="22"/>
        </w:rPr>
      </w:pPr>
      <w:r>
        <w:rPr>
          <w:b/>
          <w:i/>
          <w:sz w:val="22"/>
          <w:szCs w:val="22"/>
        </w:rPr>
        <w:t>The Compensation Commissioner is ordered to clearly state that the award supersedes the Award of Compensation dated 8 December 2021</w:t>
      </w:r>
      <w:r w:rsidR="006E0E6B">
        <w:rPr>
          <w:b/>
          <w:i/>
          <w:sz w:val="22"/>
          <w:szCs w:val="22"/>
        </w:rPr>
        <w:t>.</w:t>
      </w:r>
      <w:r w:rsidR="002A5203">
        <w:rPr>
          <w:b/>
          <w:i/>
          <w:sz w:val="22"/>
          <w:szCs w:val="22"/>
        </w:rPr>
        <w:t>’</w:t>
      </w:r>
    </w:p>
    <w:p w14:paraId="7244C91B" w14:textId="77777777" w:rsidR="002A5203" w:rsidRPr="006E0E6B" w:rsidRDefault="002A5203" w:rsidP="00D84219">
      <w:pPr>
        <w:pStyle w:val="ListParagraph"/>
        <w:spacing w:line="360" w:lineRule="auto"/>
        <w:ind w:left="1800"/>
        <w:jc w:val="both"/>
        <w:rPr>
          <w:b/>
          <w:i/>
          <w:sz w:val="22"/>
          <w:szCs w:val="22"/>
        </w:rPr>
      </w:pPr>
    </w:p>
    <w:p w14:paraId="2257A1FB" w14:textId="71981BBB" w:rsidR="002A5203" w:rsidRPr="002A5203" w:rsidRDefault="002A5203" w:rsidP="00D84219">
      <w:pPr>
        <w:pStyle w:val="ListParagraph"/>
        <w:numPr>
          <w:ilvl w:val="0"/>
          <w:numId w:val="33"/>
        </w:numPr>
        <w:spacing w:line="480" w:lineRule="auto"/>
        <w:jc w:val="both"/>
        <w:rPr>
          <w:b/>
        </w:rPr>
      </w:pPr>
      <w:r w:rsidRPr="002A5203">
        <w:rPr>
          <w:b/>
        </w:rPr>
        <w:t xml:space="preserve">The </w:t>
      </w:r>
      <w:r w:rsidR="00E77870">
        <w:rPr>
          <w:b/>
        </w:rPr>
        <w:t xml:space="preserve">respondent </w:t>
      </w:r>
      <w:r w:rsidRPr="002A5203">
        <w:rPr>
          <w:b/>
        </w:rPr>
        <w:t xml:space="preserve">shall pay interest on the Compensation Award as from </w:t>
      </w:r>
      <w:r w:rsidR="00E77870">
        <w:rPr>
          <w:b/>
        </w:rPr>
        <w:t>8</w:t>
      </w:r>
      <w:r w:rsidRPr="002A5203">
        <w:rPr>
          <w:b/>
        </w:rPr>
        <w:t xml:space="preserve"> December 2021, calculated at the rate of </w:t>
      </w:r>
      <w:r w:rsidR="00E77870">
        <w:rPr>
          <w:b/>
        </w:rPr>
        <w:t>7</w:t>
      </w:r>
      <w:r w:rsidRPr="002A5203">
        <w:rPr>
          <w:b/>
        </w:rPr>
        <w:t xml:space="preserve">% per annum to date of payment. </w:t>
      </w:r>
    </w:p>
    <w:p w14:paraId="2C08D414" w14:textId="6EF660AA" w:rsidR="002A5203" w:rsidRPr="00D84219" w:rsidRDefault="002A5203" w:rsidP="00D84219">
      <w:pPr>
        <w:pStyle w:val="ListParagraph"/>
        <w:tabs>
          <w:tab w:val="left" w:pos="1440"/>
          <w:tab w:val="left" w:pos="1843"/>
        </w:tabs>
        <w:spacing w:before="240" w:after="240" w:line="360" w:lineRule="auto"/>
        <w:ind w:left="1080"/>
        <w:jc w:val="both"/>
        <w:rPr>
          <w:b/>
        </w:rPr>
      </w:pPr>
    </w:p>
    <w:p w14:paraId="2A7CA9D5" w14:textId="416DE8DE" w:rsidR="00CF3069" w:rsidRDefault="00CF3069" w:rsidP="00CF3069">
      <w:pPr>
        <w:pStyle w:val="ListParagraph"/>
        <w:spacing w:before="240" w:after="240" w:line="480" w:lineRule="auto"/>
        <w:ind w:left="5760"/>
        <w:jc w:val="both"/>
        <w:rPr>
          <w:b/>
        </w:rPr>
      </w:pPr>
      <w:r>
        <w:rPr>
          <w:b/>
        </w:rPr>
        <w:t>_________________</w:t>
      </w:r>
    </w:p>
    <w:p w14:paraId="308B63A4" w14:textId="09DBC98B" w:rsidR="00CF3069" w:rsidRDefault="00CF3069" w:rsidP="00CF3069">
      <w:pPr>
        <w:pStyle w:val="ListParagraph"/>
        <w:spacing w:before="240" w:after="240" w:line="480" w:lineRule="auto"/>
        <w:ind w:left="5760"/>
        <w:jc w:val="both"/>
        <w:rPr>
          <w:b/>
        </w:rPr>
      </w:pPr>
      <w:r>
        <w:rPr>
          <w:b/>
        </w:rPr>
        <w:t>J I CLOETE</w:t>
      </w:r>
    </w:p>
    <w:p w14:paraId="4FCF8DA5" w14:textId="2C0027AA" w:rsidR="00621BA0" w:rsidRDefault="00621BA0" w:rsidP="00621BA0">
      <w:pPr>
        <w:spacing w:before="240" w:after="240" w:line="480" w:lineRule="auto"/>
        <w:jc w:val="both"/>
        <w:rPr>
          <w:b/>
        </w:rPr>
      </w:pPr>
      <w:r>
        <w:rPr>
          <w:b/>
        </w:rPr>
        <w:t>I agree.</w:t>
      </w:r>
    </w:p>
    <w:p w14:paraId="3451A07B" w14:textId="2EE38506" w:rsidR="00621BA0" w:rsidRDefault="00621BA0" w:rsidP="00621BA0">
      <w:pPr>
        <w:pStyle w:val="ListParagraph"/>
        <w:spacing w:before="240" w:after="240" w:line="480" w:lineRule="auto"/>
        <w:ind w:left="5760"/>
        <w:jc w:val="both"/>
        <w:rPr>
          <w:b/>
        </w:rPr>
      </w:pPr>
      <w:r>
        <w:rPr>
          <w:b/>
        </w:rPr>
        <w:t>_________________</w:t>
      </w:r>
    </w:p>
    <w:p w14:paraId="1CFE7096" w14:textId="0F470408" w:rsidR="00621BA0" w:rsidRDefault="00621BA0" w:rsidP="00D84219">
      <w:pPr>
        <w:pStyle w:val="ListParagraph"/>
        <w:spacing w:before="240" w:after="240" w:line="480" w:lineRule="auto"/>
        <w:ind w:left="5760"/>
        <w:jc w:val="both"/>
        <w:rPr>
          <w:b/>
        </w:rPr>
      </w:pPr>
      <w:r>
        <w:rPr>
          <w:b/>
        </w:rPr>
        <w:t>D KUSEVITSKY</w:t>
      </w:r>
    </w:p>
    <w:p w14:paraId="32724FD1" w14:textId="16A8F939" w:rsidR="00D84C40" w:rsidRDefault="00D84C40" w:rsidP="00D84C40">
      <w:pPr>
        <w:spacing w:before="240" w:after="240"/>
        <w:jc w:val="both"/>
        <w:rPr>
          <w:i/>
        </w:rPr>
      </w:pPr>
      <w:r>
        <w:rPr>
          <w:i/>
          <w:u w:val="single"/>
        </w:rPr>
        <w:t>For appellant</w:t>
      </w:r>
      <w:r>
        <w:rPr>
          <w:i/>
        </w:rPr>
        <w:t>: Adv T P Kruger SC</w:t>
      </w:r>
    </w:p>
    <w:p w14:paraId="6B6DAADD" w14:textId="54E2CCB3" w:rsidR="00D84C40" w:rsidRDefault="00D84C40" w:rsidP="00D84C40">
      <w:pPr>
        <w:spacing w:before="240" w:after="240" w:line="480" w:lineRule="auto"/>
        <w:jc w:val="both"/>
        <w:rPr>
          <w:i/>
        </w:rPr>
      </w:pPr>
      <w:r w:rsidRPr="00D84C40">
        <w:rPr>
          <w:i/>
          <w:u w:val="single"/>
        </w:rPr>
        <w:t>Instructed by</w:t>
      </w:r>
      <w:r>
        <w:rPr>
          <w:i/>
        </w:rPr>
        <w:t>: Cornelius Boshoff Attorneys (Mr R Boshoff)</w:t>
      </w:r>
    </w:p>
    <w:p w14:paraId="1BD3DEF9" w14:textId="4308BF49" w:rsidR="00D84C40" w:rsidRDefault="00D84C40" w:rsidP="00D84C40">
      <w:pPr>
        <w:spacing w:before="240" w:after="240"/>
        <w:jc w:val="both"/>
        <w:rPr>
          <w:i/>
        </w:rPr>
      </w:pPr>
      <w:r w:rsidRPr="00D84C40">
        <w:rPr>
          <w:i/>
          <w:u w:val="single"/>
        </w:rPr>
        <w:t>For respondent in application for postponement</w:t>
      </w:r>
      <w:r>
        <w:rPr>
          <w:i/>
        </w:rPr>
        <w:t>: Adv Y Abbas</w:t>
      </w:r>
    </w:p>
    <w:p w14:paraId="419F2292" w14:textId="3EED1AEA" w:rsidR="00D84C40" w:rsidRPr="00D84C40" w:rsidRDefault="00D84C40" w:rsidP="00D84C40">
      <w:pPr>
        <w:spacing w:before="240" w:after="240" w:line="480" w:lineRule="auto"/>
        <w:jc w:val="both"/>
        <w:rPr>
          <w:i/>
        </w:rPr>
      </w:pPr>
      <w:r>
        <w:rPr>
          <w:i/>
        </w:rPr>
        <w:t>Instructed by: State Attorney (Mr S Appalsamy)</w:t>
      </w:r>
    </w:p>
    <w:sectPr w:rsidR="00D84C40" w:rsidRPr="00D84C40" w:rsidSect="00F4257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C590E" w14:textId="77777777" w:rsidR="00923DCE" w:rsidRDefault="00923DCE" w:rsidP="00F4257E">
      <w:r>
        <w:separator/>
      </w:r>
    </w:p>
  </w:endnote>
  <w:endnote w:type="continuationSeparator" w:id="0">
    <w:p w14:paraId="43616479" w14:textId="77777777" w:rsidR="00923DCE" w:rsidRDefault="00923DCE" w:rsidP="00F4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54137" w14:textId="77777777" w:rsidR="00923DCE" w:rsidRDefault="00923D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1DC85" w14:textId="77777777" w:rsidR="00923DCE" w:rsidRDefault="00923D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27D1A" w14:textId="77777777" w:rsidR="00923DCE" w:rsidRDefault="00923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6194C" w14:textId="77777777" w:rsidR="00923DCE" w:rsidRDefault="00923DCE" w:rsidP="00F4257E">
      <w:r>
        <w:separator/>
      </w:r>
    </w:p>
  </w:footnote>
  <w:footnote w:type="continuationSeparator" w:id="0">
    <w:p w14:paraId="5595640E" w14:textId="77777777" w:rsidR="00923DCE" w:rsidRDefault="00923DCE" w:rsidP="00F4257E">
      <w:r>
        <w:continuationSeparator/>
      </w:r>
    </w:p>
  </w:footnote>
  <w:footnote w:id="1">
    <w:p w14:paraId="3F294638" w14:textId="2FAD0C01" w:rsidR="0041365D" w:rsidRDefault="0041365D" w:rsidP="0041365D">
      <w:pPr>
        <w:pStyle w:val="FootnoteText"/>
        <w:tabs>
          <w:tab w:val="left" w:pos="284"/>
        </w:tabs>
        <w:ind w:left="284" w:hanging="284"/>
        <w:jc w:val="both"/>
      </w:pPr>
      <w:r>
        <w:rPr>
          <w:rStyle w:val="FootnoteReference"/>
        </w:rPr>
        <w:footnoteRef/>
      </w:r>
      <w:r>
        <w:t xml:space="preserve"> </w:t>
      </w:r>
      <w:r>
        <w:tab/>
        <w:t xml:space="preserve">The respondent only filed a notice to oppose the appellant’s application for condonation for the late request for the allocation of a date for the hearing of the appeal and late lodgement of the record, due to the tardy and inaccurate preparation of the transcript by the stenographers, and this was thus beyond his control. The respondent did not deliver an opposing affidavit and we were satisfied that condonation should be granted. </w:t>
      </w:r>
      <w:r w:rsidR="009C3E3D">
        <w:t>The respondent however brought an application for postponement of the appeal on the morning of the hearing. The affidavit filed in support thereof demonstrated the inexcusable delay in advancing opposition to the appeal and after hearing argument the postponement application was refused.</w:t>
      </w:r>
    </w:p>
  </w:footnote>
  <w:footnote w:id="2">
    <w:p w14:paraId="5A76248C" w14:textId="2EBEB178" w:rsidR="00923DCE" w:rsidRDefault="00923DCE" w:rsidP="007229F9">
      <w:pPr>
        <w:pStyle w:val="FootnoteText"/>
        <w:tabs>
          <w:tab w:val="left" w:pos="284"/>
        </w:tabs>
      </w:pPr>
      <w:r>
        <w:rPr>
          <w:rStyle w:val="FootnoteReference"/>
        </w:rPr>
        <w:footnoteRef/>
      </w:r>
      <w:r>
        <w:t xml:space="preserve"> </w:t>
      </w:r>
      <w:r>
        <w:tab/>
        <w:t>No. 130 of 1993.</w:t>
      </w:r>
    </w:p>
  </w:footnote>
  <w:footnote w:id="3">
    <w:p w14:paraId="78E77F1A" w14:textId="7608C0AE" w:rsidR="00923DCE" w:rsidRPr="00E332CD" w:rsidRDefault="00923DCE" w:rsidP="00751162">
      <w:pPr>
        <w:pStyle w:val="FootnoteText"/>
        <w:tabs>
          <w:tab w:val="left" w:pos="284"/>
        </w:tabs>
        <w:ind w:left="284" w:hanging="284"/>
        <w:jc w:val="both"/>
      </w:pPr>
      <w:r>
        <w:rPr>
          <w:rStyle w:val="FootnoteReference"/>
        </w:rPr>
        <w:footnoteRef/>
      </w:r>
      <w:r>
        <w:t xml:space="preserve"> </w:t>
      </w:r>
      <w:r>
        <w:tab/>
        <w:t xml:space="preserve">1995 (3) SA 689 (C) at 694F-G. See also </w:t>
      </w:r>
      <w:r>
        <w:rPr>
          <w:i/>
        </w:rPr>
        <w:t xml:space="preserve">Williams v Workmen’s Compensation Commissioner </w:t>
      </w:r>
      <w:r>
        <w:t xml:space="preserve">1952 (3) SA 105 (C) at 109C; </w:t>
      </w:r>
      <w:r>
        <w:rPr>
          <w:i/>
        </w:rPr>
        <w:t>Pretorius v Compensation Commissioner and Another</w:t>
      </w:r>
      <w:r>
        <w:t xml:space="preserve"> (2010) 31 ILJ 1117 (O) at para [15]; </w:t>
      </w:r>
      <w:r>
        <w:rPr>
          <w:i/>
        </w:rPr>
        <w:t xml:space="preserve">Ramanand v Department of Labour: Compensation Commissioner </w:t>
      </w:r>
      <w:r>
        <w:t>(2023) 44 ILJ 1816 (KZP) at para [46].</w:t>
      </w:r>
    </w:p>
  </w:footnote>
  <w:footnote w:id="4">
    <w:p w14:paraId="3E5DB1F9" w14:textId="14F2390D" w:rsidR="00923DCE" w:rsidRDefault="00923DCE" w:rsidP="00DD4914">
      <w:pPr>
        <w:pStyle w:val="FootnoteText"/>
        <w:tabs>
          <w:tab w:val="left" w:pos="284"/>
        </w:tabs>
      </w:pPr>
      <w:r>
        <w:rPr>
          <w:rStyle w:val="FootnoteReference"/>
        </w:rPr>
        <w:footnoteRef/>
      </w:r>
      <w:r>
        <w:t xml:space="preserve"> </w:t>
      </w:r>
      <w:r>
        <w:tab/>
      </w:r>
      <w:r w:rsidR="00BB6E32">
        <w:t xml:space="preserve">2006 (1) SA 75 (E) </w:t>
      </w:r>
      <w:r>
        <w:t>at para [14].</w:t>
      </w:r>
    </w:p>
  </w:footnote>
  <w:footnote w:id="5">
    <w:p w14:paraId="1F7059B7" w14:textId="58B69117" w:rsidR="00923DCE" w:rsidRDefault="00923DCE" w:rsidP="00A40223">
      <w:pPr>
        <w:pStyle w:val="FootnoteText"/>
        <w:tabs>
          <w:tab w:val="left" w:pos="284"/>
        </w:tabs>
      </w:pPr>
      <w:r>
        <w:rPr>
          <w:rStyle w:val="FootnoteReference"/>
        </w:rPr>
        <w:footnoteRef/>
      </w:r>
      <w:r>
        <w:t xml:space="preserve"> </w:t>
      </w:r>
      <w:r>
        <w:tab/>
        <w:t>(2022) 43 ILJ 1066 (SCA).</w:t>
      </w:r>
    </w:p>
  </w:footnote>
  <w:footnote w:id="6">
    <w:p w14:paraId="088C4274" w14:textId="089C84B6" w:rsidR="00923DCE" w:rsidRPr="001E27C4" w:rsidRDefault="00923DCE" w:rsidP="001E27C4">
      <w:pPr>
        <w:pStyle w:val="FootnoteText"/>
        <w:tabs>
          <w:tab w:val="left" w:pos="284"/>
        </w:tabs>
      </w:pPr>
      <w:r>
        <w:rPr>
          <w:rStyle w:val="FootnoteReference"/>
        </w:rPr>
        <w:footnoteRef/>
      </w:r>
      <w:r>
        <w:t xml:space="preserve"> </w:t>
      </w:r>
      <w:r>
        <w:tab/>
      </w:r>
      <w:r>
        <w:rPr>
          <w:i/>
        </w:rPr>
        <w:t>Churchill v Premier, Mpumalanga and Another</w:t>
      </w:r>
      <w:r>
        <w:t xml:space="preserve"> 2021 (4) SA 422 (SCA) at para [14].</w:t>
      </w:r>
    </w:p>
  </w:footnote>
  <w:footnote w:id="7">
    <w:p w14:paraId="120C3317" w14:textId="6AB2AE69" w:rsidR="00923DCE" w:rsidRDefault="00923DCE" w:rsidP="00BC7E51">
      <w:pPr>
        <w:pStyle w:val="FootnoteText"/>
        <w:tabs>
          <w:tab w:val="left" w:pos="284"/>
        </w:tabs>
      </w:pPr>
      <w:r>
        <w:rPr>
          <w:rStyle w:val="FootnoteReference"/>
        </w:rPr>
        <w:footnoteRef/>
      </w:r>
      <w:r>
        <w:t xml:space="preserve"> </w:t>
      </w:r>
      <w:r>
        <w:tab/>
      </w:r>
      <w:r w:rsidRPr="00BC7E51">
        <w:rPr>
          <w:i/>
        </w:rPr>
        <w:t>Healy v Compensation Commissioner and Another</w:t>
      </w:r>
      <w:r>
        <w:t xml:space="preserve"> 2010 (2) SA 470 (E) at paras [19] and [21].</w:t>
      </w:r>
    </w:p>
  </w:footnote>
  <w:footnote w:id="8">
    <w:p w14:paraId="189DB3A9" w14:textId="188AB12D" w:rsidR="00923DCE" w:rsidRPr="001346F7" w:rsidRDefault="00923DCE" w:rsidP="001346F7">
      <w:pPr>
        <w:pStyle w:val="FootnoteText"/>
        <w:tabs>
          <w:tab w:val="left" w:pos="284"/>
        </w:tabs>
        <w:ind w:left="284" w:hanging="284"/>
        <w:jc w:val="both"/>
      </w:pPr>
      <w:r>
        <w:rPr>
          <w:rStyle w:val="FootnoteReference"/>
        </w:rPr>
        <w:footnoteRef/>
      </w:r>
      <w:r>
        <w:t xml:space="preserve"> </w:t>
      </w:r>
      <w:r>
        <w:tab/>
      </w:r>
      <w:r>
        <w:rPr>
          <w:i/>
        </w:rPr>
        <w:t>Odyar v Compensation Commissioner</w:t>
      </w:r>
      <w:r>
        <w:t xml:space="preserve"> 2006 (6) SA 202 (N); </w:t>
      </w:r>
      <w:r>
        <w:rPr>
          <w:i/>
        </w:rPr>
        <w:t>Urquhart supra</w:t>
      </w:r>
      <w:r>
        <w:t xml:space="preserve">; </w:t>
      </w:r>
      <w:r>
        <w:rPr>
          <w:i/>
        </w:rPr>
        <w:t xml:space="preserve">Compensation Commissioner v Georgia Badenhorst </w:t>
      </w:r>
      <w:r>
        <w:t xml:space="preserve">[2022] ZAECHC 1 (E); </w:t>
      </w:r>
      <w:r>
        <w:rPr>
          <w:i/>
        </w:rPr>
        <w:t xml:space="preserve">Pretorius v The Compensation Commissioner and Another </w:t>
      </w:r>
      <w:r>
        <w:t xml:space="preserve">[2007] ZAFSHC 128 (FB); </w:t>
      </w:r>
      <w:r>
        <w:rPr>
          <w:i/>
        </w:rPr>
        <w:t xml:space="preserve">JL v Rand Mutual Assurance </w:t>
      </w:r>
      <w:r>
        <w:t xml:space="preserve">[2019] ZAGPJHC 392 (GJ). </w:t>
      </w:r>
    </w:p>
  </w:footnote>
  <w:footnote w:id="9">
    <w:p w14:paraId="2F90FC36" w14:textId="33449E29" w:rsidR="00923DCE" w:rsidRDefault="00923DCE" w:rsidP="009062D6">
      <w:pPr>
        <w:pStyle w:val="FootnoteText"/>
        <w:tabs>
          <w:tab w:val="left" w:pos="284"/>
        </w:tabs>
      </w:pPr>
      <w:r>
        <w:rPr>
          <w:rStyle w:val="FootnoteReference"/>
        </w:rPr>
        <w:footnoteRef/>
      </w:r>
      <w:r>
        <w:t xml:space="preserve"> </w:t>
      </w:r>
      <w:r>
        <w:tab/>
        <w:t>See f</w:t>
      </w:r>
      <w:r w:rsidR="009E7606">
        <w:t>n</w:t>
      </w:r>
      <w:r>
        <w:t xml:space="preserve"> </w:t>
      </w:r>
      <w:r w:rsidR="009E7606">
        <w:t>3</w:t>
      </w:r>
      <w:r>
        <w:t xml:space="preserve"> above.</w:t>
      </w:r>
    </w:p>
  </w:footnote>
  <w:footnote w:id="10">
    <w:p w14:paraId="64321FDF" w14:textId="55FE49BB" w:rsidR="009A0370" w:rsidRDefault="009A0370" w:rsidP="009A0370">
      <w:pPr>
        <w:pStyle w:val="FootnoteText"/>
        <w:tabs>
          <w:tab w:val="left" w:pos="284"/>
        </w:tabs>
      </w:pPr>
      <w:r>
        <w:rPr>
          <w:rStyle w:val="FootnoteReference"/>
        </w:rPr>
        <w:footnoteRef/>
      </w:r>
      <w:r>
        <w:t xml:space="preserve"> </w:t>
      </w:r>
      <w:r>
        <w:tab/>
        <w:t>No 55 of 1975.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6C8AB" w14:textId="1E1AFA07" w:rsidR="00923DCE" w:rsidRDefault="00923D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62533" w14:textId="0BF697B7" w:rsidR="00923DCE" w:rsidRDefault="00923DCE">
    <w:pPr>
      <w:pStyle w:val="Header"/>
      <w:jc w:val="center"/>
    </w:pPr>
  </w:p>
  <w:sdt>
    <w:sdtPr>
      <w:id w:val="1185634087"/>
      <w:docPartObj>
        <w:docPartGallery w:val="Page Numbers (Top of Page)"/>
        <w:docPartUnique/>
      </w:docPartObj>
    </w:sdtPr>
    <w:sdtEndPr>
      <w:rPr>
        <w:noProof/>
      </w:rPr>
    </w:sdtEndPr>
    <w:sdtContent>
      <w:p w14:paraId="013E015A" w14:textId="77777777" w:rsidR="00923DCE" w:rsidRDefault="00923DCE">
        <w:pPr>
          <w:pStyle w:val="Header"/>
          <w:jc w:val="center"/>
          <w:rPr>
            <w:noProof/>
          </w:rPr>
        </w:pPr>
        <w:r>
          <w:fldChar w:fldCharType="begin"/>
        </w:r>
        <w:r>
          <w:instrText xml:space="preserve"> PAGE   \* MERGEFORMAT </w:instrText>
        </w:r>
        <w:r>
          <w:fldChar w:fldCharType="separate"/>
        </w:r>
        <w:r>
          <w:rPr>
            <w:noProof/>
          </w:rPr>
          <w:t>2</w:t>
        </w:r>
        <w:r>
          <w:rPr>
            <w:noProof/>
          </w:rPr>
          <w:fldChar w:fldCharType="end"/>
        </w:r>
      </w:p>
      <w:p w14:paraId="42C69BC8" w14:textId="77777777" w:rsidR="00923DCE" w:rsidRDefault="00214BEB">
        <w:pPr>
          <w:pStyle w:val="Header"/>
          <w:jc w:val="center"/>
        </w:pPr>
      </w:p>
    </w:sdtContent>
  </w:sdt>
  <w:p w14:paraId="58532970" w14:textId="77777777" w:rsidR="00923DCE" w:rsidRDefault="00923D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90AB5" w14:textId="0DEB7CAF" w:rsidR="00923DCE" w:rsidRDefault="00923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212"/>
    <w:multiLevelType w:val="hybridMultilevel"/>
    <w:tmpl w:val="192CFE50"/>
    <w:lvl w:ilvl="0" w:tplc="22661F0A">
      <w:start w:val="1"/>
      <w:numFmt w:val="lowerRoman"/>
      <w:lvlText w:val="(%1)"/>
      <w:lvlJc w:val="left"/>
      <w:pPr>
        <w:ind w:left="2340" w:hanging="720"/>
      </w:pPr>
      <w:rPr>
        <w:rFonts w:hint="default"/>
      </w:r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 w15:restartNumberingAfterBreak="0">
    <w:nsid w:val="09F51ACC"/>
    <w:multiLevelType w:val="hybridMultilevel"/>
    <w:tmpl w:val="0B9A5CFA"/>
    <w:lvl w:ilvl="0" w:tplc="D05A8754">
      <w:start w:val="1"/>
      <w:numFmt w:val="decimal"/>
      <w:lvlText w:val="[%1]"/>
      <w:lvlJc w:val="left"/>
      <w:pPr>
        <w:ind w:left="0" w:firstLine="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71D4B"/>
    <w:multiLevelType w:val="hybridMultilevel"/>
    <w:tmpl w:val="4A006A12"/>
    <w:lvl w:ilvl="0" w:tplc="5DF61A4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0AD6578E"/>
    <w:multiLevelType w:val="hybridMultilevel"/>
    <w:tmpl w:val="3B86DB62"/>
    <w:lvl w:ilvl="0" w:tplc="873ED52A">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 w15:restartNumberingAfterBreak="0">
    <w:nsid w:val="0E5760E8"/>
    <w:multiLevelType w:val="hybridMultilevel"/>
    <w:tmpl w:val="A06CD4D2"/>
    <w:lvl w:ilvl="0" w:tplc="134457A0">
      <w:start w:val="1"/>
      <w:numFmt w:val="decimal"/>
      <w:lvlText w:val="[%1]"/>
      <w:lvlJc w:val="left"/>
      <w:pPr>
        <w:ind w:left="720" w:hanging="360"/>
      </w:pPr>
      <w:rPr>
        <w:rFonts w:ascii="Arial" w:hAnsi="Arial"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37B7C47"/>
    <w:multiLevelType w:val="hybridMultilevel"/>
    <w:tmpl w:val="2B18C652"/>
    <w:lvl w:ilvl="0" w:tplc="E68E90D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7327ECD"/>
    <w:multiLevelType w:val="hybridMultilevel"/>
    <w:tmpl w:val="B1DE2C72"/>
    <w:lvl w:ilvl="0" w:tplc="388E0FBE">
      <w:start w:val="1"/>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B386FD9"/>
    <w:multiLevelType w:val="hybridMultilevel"/>
    <w:tmpl w:val="F01260D6"/>
    <w:lvl w:ilvl="0" w:tplc="5636B6F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C5D5BE9"/>
    <w:multiLevelType w:val="multilevel"/>
    <w:tmpl w:val="62409FE6"/>
    <w:lvl w:ilvl="0">
      <w:start w:val="1"/>
      <w:numFmt w:val="decimal"/>
      <w:isLgl/>
      <w:lvlText w:val="[%1]     "/>
      <w:lvlJc w:val="left"/>
      <w:pPr>
        <w:tabs>
          <w:tab w:val="num" w:pos="4965"/>
        </w:tabs>
      </w:pPr>
      <w:rPr>
        <w:rFonts w:cs="Times New Roman" w:hint="default"/>
        <w:b w:val="0"/>
        <w:bCs w:val="0"/>
        <w:i w:val="0"/>
        <w:iCs w:val="0"/>
      </w:rPr>
    </w:lvl>
    <w:lvl w:ilvl="1">
      <w:start w:val="1"/>
      <w:numFmt w:val="decimal"/>
      <w:lvlText w:val="[%1.%2.]"/>
      <w:lvlJc w:val="left"/>
      <w:pPr>
        <w:tabs>
          <w:tab w:val="num" w:pos="567"/>
        </w:tabs>
      </w:pPr>
      <w:rPr>
        <w:rFonts w:cs="Times New Roman" w:hint="default"/>
      </w:rPr>
    </w:lvl>
    <w:lvl w:ilvl="2">
      <w:start w:val="1"/>
      <w:numFmt w:val="decimal"/>
      <w:lvlText w:val="[%1.%2.%3.]"/>
      <w:lvlJc w:val="left"/>
      <w:pPr>
        <w:tabs>
          <w:tab w:val="num" w:pos="567"/>
        </w:tabs>
      </w:pPr>
      <w:rPr>
        <w:rFonts w:cs="Times New Roman" w:hint="default"/>
      </w:rPr>
    </w:lvl>
    <w:lvl w:ilvl="3">
      <w:start w:val="1"/>
      <w:numFmt w:val="decimal"/>
      <w:lvlText w:val="[%1.%2.%3.%4.]"/>
      <w:lvlJc w:val="left"/>
      <w:pPr>
        <w:tabs>
          <w:tab w:val="num" w:pos="567"/>
        </w:tabs>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15:restartNumberingAfterBreak="0">
    <w:nsid w:val="1CF87B45"/>
    <w:multiLevelType w:val="hybridMultilevel"/>
    <w:tmpl w:val="24F09168"/>
    <w:lvl w:ilvl="0" w:tplc="62026C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D7418C1"/>
    <w:multiLevelType w:val="hybridMultilevel"/>
    <w:tmpl w:val="70888F18"/>
    <w:lvl w:ilvl="0" w:tplc="CA6E93F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15:restartNumberingAfterBreak="0">
    <w:nsid w:val="1E960E3A"/>
    <w:multiLevelType w:val="hybridMultilevel"/>
    <w:tmpl w:val="4CE459A0"/>
    <w:lvl w:ilvl="0" w:tplc="05C491FE">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2" w15:restartNumberingAfterBreak="0">
    <w:nsid w:val="25A55419"/>
    <w:multiLevelType w:val="hybridMultilevel"/>
    <w:tmpl w:val="4FCA8C26"/>
    <w:lvl w:ilvl="0" w:tplc="FDECCCE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288C4193"/>
    <w:multiLevelType w:val="hybridMultilevel"/>
    <w:tmpl w:val="AF9EDD9A"/>
    <w:lvl w:ilvl="0" w:tplc="FE361D26">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2CF02A66"/>
    <w:multiLevelType w:val="multilevel"/>
    <w:tmpl w:val="07127FF2"/>
    <w:lvl w:ilvl="0">
      <w:start w:val="1"/>
      <w:numFmt w:val="decimal"/>
      <w:lvlText w:val="%1."/>
      <w:lvlJc w:val="left"/>
      <w:pPr>
        <w:ind w:left="1080" w:hanging="360"/>
      </w:pPr>
      <w:rPr>
        <w:rFonts w:hint="default"/>
        <w:b/>
      </w:rPr>
    </w:lvl>
    <w:lvl w:ilvl="1">
      <w:start w:val="1"/>
      <w:numFmt w:val="decimal"/>
      <w:isLgl/>
      <w:lvlText w:val="%1.%2"/>
      <w:lvlJc w:val="left"/>
      <w:pPr>
        <w:ind w:left="1704" w:hanging="624"/>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5" w15:restartNumberingAfterBreak="0">
    <w:nsid w:val="2E095BB1"/>
    <w:multiLevelType w:val="hybridMultilevel"/>
    <w:tmpl w:val="C0622636"/>
    <w:lvl w:ilvl="0" w:tplc="66DC6308">
      <w:start w:val="1"/>
      <w:numFmt w:val="lowerLetter"/>
      <w:lvlText w:val="(%1)"/>
      <w:lvlJc w:val="left"/>
      <w:pPr>
        <w:ind w:left="2340" w:hanging="360"/>
      </w:pPr>
      <w:rPr>
        <w:rFonts w:hint="default"/>
      </w:rPr>
    </w:lvl>
    <w:lvl w:ilvl="1" w:tplc="1C090019" w:tentative="1">
      <w:start w:val="1"/>
      <w:numFmt w:val="lowerLetter"/>
      <w:lvlText w:val="%2."/>
      <w:lvlJc w:val="left"/>
      <w:pPr>
        <w:ind w:left="3060" w:hanging="360"/>
      </w:pPr>
    </w:lvl>
    <w:lvl w:ilvl="2" w:tplc="1C09001B" w:tentative="1">
      <w:start w:val="1"/>
      <w:numFmt w:val="lowerRoman"/>
      <w:lvlText w:val="%3."/>
      <w:lvlJc w:val="right"/>
      <w:pPr>
        <w:ind w:left="3780" w:hanging="180"/>
      </w:pPr>
    </w:lvl>
    <w:lvl w:ilvl="3" w:tplc="1C09000F" w:tentative="1">
      <w:start w:val="1"/>
      <w:numFmt w:val="decimal"/>
      <w:lvlText w:val="%4."/>
      <w:lvlJc w:val="left"/>
      <w:pPr>
        <w:ind w:left="4500" w:hanging="360"/>
      </w:pPr>
    </w:lvl>
    <w:lvl w:ilvl="4" w:tplc="1C090019" w:tentative="1">
      <w:start w:val="1"/>
      <w:numFmt w:val="lowerLetter"/>
      <w:lvlText w:val="%5."/>
      <w:lvlJc w:val="left"/>
      <w:pPr>
        <w:ind w:left="5220" w:hanging="360"/>
      </w:pPr>
    </w:lvl>
    <w:lvl w:ilvl="5" w:tplc="1C09001B" w:tentative="1">
      <w:start w:val="1"/>
      <w:numFmt w:val="lowerRoman"/>
      <w:lvlText w:val="%6."/>
      <w:lvlJc w:val="right"/>
      <w:pPr>
        <w:ind w:left="5940" w:hanging="180"/>
      </w:pPr>
    </w:lvl>
    <w:lvl w:ilvl="6" w:tplc="1C09000F" w:tentative="1">
      <w:start w:val="1"/>
      <w:numFmt w:val="decimal"/>
      <w:lvlText w:val="%7."/>
      <w:lvlJc w:val="left"/>
      <w:pPr>
        <w:ind w:left="6660" w:hanging="360"/>
      </w:pPr>
    </w:lvl>
    <w:lvl w:ilvl="7" w:tplc="1C090019" w:tentative="1">
      <w:start w:val="1"/>
      <w:numFmt w:val="lowerLetter"/>
      <w:lvlText w:val="%8."/>
      <w:lvlJc w:val="left"/>
      <w:pPr>
        <w:ind w:left="7380" w:hanging="360"/>
      </w:pPr>
    </w:lvl>
    <w:lvl w:ilvl="8" w:tplc="1C09001B" w:tentative="1">
      <w:start w:val="1"/>
      <w:numFmt w:val="lowerRoman"/>
      <w:lvlText w:val="%9."/>
      <w:lvlJc w:val="right"/>
      <w:pPr>
        <w:ind w:left="8100" w:hanging="180"/>
      </w:pPr>
    </w:lvl>
  </w:abstractNum>
  <w:abstractNum w:abstractNumId="16" w15:restartNumberingAfterBreak="0">
    <w:nsid w:val="3BB422D5"/>
    <w:multiLevelType w:val="hybridMultilevel"/>
    <w:tmpl w:val="3C8C29FA"/>
    <w:lvl w:ilvl="0" w:tplc="987C5236">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15:restartNumberingAfterBreak="0">
    <w:nsid w:val="3D5D5129"/>
    <w:multiLevelType w:val="hybridMultilevel"/>
    <w:tmpl w:val="D24A11AA"/>
    <w:lvl w:ilvl="0" w:tplc="3754E976">
      <w:start w:val="1"/>
      <w:numFmt w:val="lowerLetter"/>
      <w:lvlText w:val="(%1)"/>
      <w:lvlJc w:val="left"/>
      <w:pPr>
        <w:ind w:left="2342" w:hanging="360"/>
      </w:pPr>
      <w:rPr>
        <w:rFonts w:hint="default"/>
      </w:rPr>
    </w:lvl>
    <w:lvl w:ilvl="1" w:tplc="1C090019" w:tentative="1">
      <w:start w:val="1"/>
      <w:numFmt w:val="lowerLetter"/>
      <w:lvlText w:val="%2."/>
      <w:lvlJc w:val="left"/>
      <w:pPr>
        <w:ind w:left="3062" w:hanging="360"/>
      </w:pPr>
    </w:lvl>
    <w:lvl w:ilvl="2" w:tplc="1C09001B" w:tentative="1">
      <w:start w:val="1"/>
      <w:numFmt w:val="lowerRoman"/>
      <w:lvlText w:val="%3."/>
      <w:lvlJc w:val="right"/>
      <w:pPr>
        <w:ind w:left="3782" w:hanging="180"/>
      </w:pPr>
    </w:lvl>
    <w:lvl w:ilvl="3" w:tplc="1C09000F" w:tentative="1">
      <w:start w:val="1"/>
      <w:numFmt w:val="decimal"/>
      <w:lvlText w:val="%4."/>
      <w:lvlJc w:val="left"/>
      <w:pPr>
        <w:ind w:left="4502" w:hanging="360"/>
      </w:pPr>
    </w:lvl>
    <w:lvl w:ilvl="4" w:tplc="1C090019" w:tentative="1">
      <w:start w:val="1"/>
      <w:numFmt w:val="lowerLetter"/>
      <w:lvlText w:val="%5."/>
      <w:lvlJc w:val="left"/>
      <w:pPr>
        <w:ind w:left="5222" w:hanging="360"/>
      </w:pPr>
    </w:lvl>
    <w:lvl w:ilvl="5" w:tplc="1C09001B" w:tentative="1">
      <w:start w:val="1"/>
      <w:numFmt w:val="lowerRoman"/>
      <w:lvlText w:val="%6."/>
      <w:lvlJc w:val="right"/>
      <w:pPr>
        <w:ind w:left="5942" w:hanging="180"/>
      </w:pPr>
    </w:lvl>
    <w:lvl w:ilvl="6" w:tplc="1C09000F" w:tentative="1">
      <w:start w:val="1"/>
      <w:numFmt w:val="decimal"/>
      <w:lvlText w:val="%7."/>
      <w:lvlJc w:val="left"/>
      <w:pPr>
        <w:ind w:left="6662" w:hanging="360"/>
      </w:pPr>
    </w:lvl>
    <w:lvl w:ilvl="7" w:tplc="1C090019" w:tentative="1">
      <w:start w:val="1"/>
      <w:numFmt w:val="lowerLetter"/>
      <w:lvlText w:val="%8."/>
      <w:lvlJc w:val="left"/>
      <w:pPr>
        <w:ind w:left="7382" w:hanging="360"/>
      </w:pPr>
    </w:lvl>
    <w:lvl w:ilvl="8" w:tplc="1C09001B" w:tentative="1">
      <w:start w:val="1"/>
      <w:numFmt w:val="lowerRoman"/>
      <w:lvlText w:val="%9."/>
      <w:lvlJc w:val="right"/>
      <w:pPr>
        <w:ind w:left="8102" w:hanging="180"/>
      </w:pPr>
    </w:lvl>
  </w:abstractNum>
  <w:abstractNum w:abstractNumId="18" w15:restartNumberingAfterBreak="0">
    <w:nsid w:val="3E5459F6"/>
    <w:multiLevelType w:val="hybridMultilevel"/>
    <w:tmpl w:val="D22C8990"/>
    <w:lvl w:ilvl="0" w:tplc="1C090017">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9" w15:restartNumberingAfterBreak="0">
    <w:nsid w:val="47670A7F"/>
    <w:multiLevelType w:val="hybridMultilevel"/>
    <w:tmpl w:val="A406E48C"/>
    <w:lvl w:ilvl="0" w:tplc="6ACED89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0" w15:restartNumberingAfterBreak="0">
    <w:nsid w:val="4A0D1E44"/>
    <w:multiLevelType w:val="multilevel"/>
    <w:tmpl w:val="AB30EC7E"/>
    <w:lvl w:ilvl="0">
      <w:start w:val="1"/>
      <w:numFmt w:val="decimal"/>
      <w:lvlText w:val="%1"/>
      <w:lvlJc w:val="left"/>
      <w:pPr>
        <w:ind w:left="72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1" w15:restartNumberingAfterBreak="0">
    <w:nsid w:val="4AD939F4"/>
    <w:multiLevelType w:val="hybridMultilevel"/>
    <w:tmpl w:val="50E4ACD4"/>
    <w:lvl w:ilvl="0" w:tplc="9954A40E">
      <w:start w:val="1"/>
      <w:numFmt w:val="upp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2" w15:restartNumberingAfterBreak="0">
    <w:nsid w:val="57B90FB6"/>
    <w:multiLevelType w:val="hybridMultilevel"/>
    <w:tmpl w:val="D96CA93A"/>
    <w:lvl w:ilvl="0" w:tplc="922AC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5C0D2E8D"/>
    <w:multiLevelType w:val="multilevel"/>
    <w:tmpl w:val="35F08040"/>
    <w:lvl w:ilvl="0">
      <w:start w:val="12"/>
      <w:numFmt w:val="decimal"/>
      <w:lvlText w:val="%1"/>
      <w:lvlJc w:val="left"/>
      <w:pPr>
        <w:ind w:left="468" w:hanging="468"/>
      </w:pPr>
      <w:rPr>
        <w:rFonts w:hint="default"/>
      </w:rPr>
    </w:lvl>
    <w:lvl w:ilvl="1">
      <w:start w:val="1"/>
      <w:numFmt w:val="decimal"/>
      <w:lvlText w:val="%1.%2"/>
      <w:lvlJc w:val="left"/>
      <w:pPr>
        <w:ind w:left="1886" w:hanging="468"/>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24" w15:restartNumberingAfterBreak="0">
    <w:nsid w:val="5DC87D23"/>
    <w:multiLevelType w:val="hybridMultilevel"/>
    <w:tmpl w:val="A698C700"/>
    <w:lvl w:ilvl="0" w:tplc="977C17C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5" w15:restartNumberingAfterBreak="0">
    <w:nsid w:val="5F406612"/>
    <w:multiLevelType w:val="hybridMultilevel"/>
    <w:tmpl w:val="95E2985E"/>
    <w:lvl w:ilvl="0" w:tplc="993AD1C2">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6" w15:restartNumberingAfterBreak="0">
    <w:nsid w:val="61C644CA"/>
    <w:multiLevelType w:val="hybridMultilevel"/>
    <w:tmpl w:val="AADE79BE"/>
    <w:lvl w:ilvl="0" w:tplc="015EBFB8">
      <w:start w:val="1"/>
      <w:numFmt w:val="decimal"/>
      <w:lvlText w:val="%1."/>
      <w:lvlJc w:val="left"/>
      <w:pPr>
        <w:ind w:left="1785" w:hanging="360"/>
      </w:pPr>
      <w:rPr>
        <w:rFonts w:hint="default"/>
      </w:rPr>
    </w:lvl>
    <w:lvl w:ilvl="1" w:tplc="1C090019" w:tentative="1">
      <w:start w:val="1"/>
      <w:numFmt w:val="lowerLetter"/>
      <w:lvlText w:val="%2."/>
      <w:lvlJc w:val="left"/>
      <w:pPr>
        <w:ind w:left="2505" w:hanging="360"/>
      </w:pPr>
    </w:lvl>
    <w:lvl w:ilvl="2" w:tplc="1C09001B" w:tentative="1">
      <w:start w:val="1"/>
      <w:numFmt w:val="lowerRoman"/>
      <w:lvlText w:val="%3."/>
      <w:lvlJc w:val="right"/>
      <w:pPr>
        <w:ind w:left="3225" w:hanging="180"/>
      </w:pPr>
    </w:lvl>
    <w:lvl w:ilvl="3" w:tplc="1C09000F" w:tentative="1">
      <w:start w:val="1"/>
      <w:numFmt w:val="decimal"/>
      <w:lvlText w:val="%4."/>
      <w:lvlJc w:val="left"/>
      <w:pPr>
        <w:ind w:left="3945" w:hanging="360"/>
      </w:pPr>
    </w:lvl>
    <w:lvl w:ilvl="4" w:tplc="1C090019" w:tentative="1">
      <w:start w:val="1"/>
      <w:numFmt w:val="lowerLetter"/>
      <w:lvlText w:val="%5."/>
      <w:lvlJc w:val="left"/>
      <w:pPr>
        <w:ind w:left="4665" w:hanging="360"/>
      </w:pPr>
    </w:lvl>
    <w:lvl w:ilvl="5" w:tplc="1C09001B" w:tentative="1">
      <w:start w:val="1"/>
      <w:numFmt w:val="lowerRoman"/>
      <w:lvlText w:val="%6."/>
      <w:lvlJc w:val="right"/>
      <w:pPr>
        <w:ind w:left="5385" w:hanging="180"/>
      </w:pPr>
    </w:lvl>
    <w:lvl w:ilvl="6" w:tplc="1C09000F" w:tentative="1">
      <w:start w:val="1"/>
      <w:numFmt w:val="decimal"/>
      <w:lvlText w:val="%7."/>
      <w:lvlJc w:val="left"/>
      <w:pPr>
        <w:ind w:left="6105" w:hanging="360"/>
      </w:pPr>
    </w:lvl>
    <w:lvl w:ilvl="7" w:tplc="1C090019" w:tentative="1">
      <w:start w:val="1"/>
      <w:numFmt w:val="lowerLetter"/>
      <w:lvlText w:val="%8."/>
      <w:lvlJc w:val="left"/>
      <w:pPr>
        <w:ind w:left="6825" w:hanging="360"/>
      </w:pPr>
    </w:lvl>
    <w:lvl w:ilvl="8" w:tplc="1C09001B" w:tentative="1">
      <w:start w:val="1"/>
      <w:numFmt w:val="lowerRoman"/>
      <w:lvlText w:val="%9."/>
      <w:lvlJc w:val="right"/>
      <w:pPr>
        <w:ind w:left="7545" w:hanging="180"/>
      </w:pPr>
    </w:lvl>
  </w:abstractNum>
  <w:abstractNum w:abstractNumId="27" w15:restartNumberingAfterBreak="0">
    <w:nsid w:val="624D006E"/>
    <w:multiLevelType w:val="hybridMultilevel"/>
    <w:tmpl w:val="6FD81AA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3143680"/>
    <w:multiLevelType w:val="hybridMultilevel"/>
    <w:tmpl w:val="86248834"/>
    <w:lvl w:ilvl="0" w:tplc="102A57E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670F751E"/>
    <w:multiLevelType w:val="hybridMultilevel"/>
    <w:tmpl w:val="A802F088"/>
    <w:lvl w:ilvl="0" w:tplc="807A58D8">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69453A3C"/>
    <w:multiLevelType w:val="multilevel"/>
    <w:tmpl w:val="C4CA2F46"/>
    <w:lvl w:ilvl="0">
      <w:start w:val="12"/>
      <w:numFmt w:val="decimal"/>
      <w:lvlText w:val="%1"/>
      <w:lvlJc w:val="left"/>
      <w:pPr>
        <w:ind w:left="468" w:hanging="468"/>
      </w:pPr>
      <w:rPr>
        <w:rFonts w:hint="default"/>
      </w:rPr>
    </w:lvl>
    <w:lvl w:ilvl="1">
      <w:start w:val="1"/>
      <w:numFmt w:val="decimal"/>
      <w:lvlText w:val="%1.%2"/>
      <w:lvlJc w:val="left"/>
      <w:pPr>
        <w:ind w:left="1177" w:hanging="468"/>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6CAE1231"/>
    <w:multiLevelType w:val="hybridMultilevel"/>
    <w:tmpl w:val="8BE2F0E2"/>
    <w:lvl w:ilvl="0" w:tplc="388E0FBE">
      <w:start w:val="1"/>
      <w:numFmt w:val="decimal"/>
      <w:lvlText w:val="[%1]"/>
      <w:lvlJc w:val="left"/>
      <w:pPr>
        <w:ind w:left="720" w:hanging="360"/>
      </w:pPr>
      <w:rPr>
        <w:rFonts w:ascii="Arial" w:hAnsi="Arial" w:cs="Arial" w:hint="default"/>
        <w:b w:val="0"/>
        <w:i w:val="0"/>
        <w:sz w:val="24"/>
        <w:szCs w:val="24"/>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FE204B4"/>
    <w:multiLevelType w:val="multilevel"/>
    <w:tmpl w:val="BF18A91A"/>
    <w:lvl w:ilvl="0">
      <w:start w:val="1"/>
      <w:numFmt w:val="decimal"/>
      <w:pStyle w:val="StyleArialLinespacing15lines"/>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23F25C7"/>
    <w:multiLevelType w:val="hybridMultilevel"/>
    <w:tmpl w:val="62525FAC"/>
    <w:lvl w:ilvl="0" w:tplc="69E61524">
      <w:start w:val="1"/>
      <w:numFmt w:val="lowerLetter"/>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4" w15:restartNumberingAfterBreak="0">
    <w:nsid w:val="724B70A6"/>
    <w:multiLevelType w:val="multilevel"/>
    <w:tmpl w:val="C50E3440"/>
    <w:lvl w:ilvl="0">
      <w:start w:val="12"/>
      <w:numFmt w:val="decimal"/>
      <w:lvlText w:val="%1"/>
      <w:lvlJc w:val="left"/>
      <w:pPr>
        <w:ind w:left="468" w:hanging="468"/>
      </w:pPr>
      <w:rPr>
        <w:rFonts w:hint="default"/>
      </w:rPr>
    </w:lvl>
    <w:lvl w:ilvl="1">
      <w:start w:val="1"/>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4C27A6F"/>
    <w:multiLevelType w:val="hybridMultilevel"/>
    <w:tmpl w:val="D5FA5650"/>
    <w:lvl w:ilvl="0" w:tplc="8D1AAC3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6" w15:restartNumberingAfterBreak="0">
    <w:nsid w:val="75CE2AF5"/>
    <w:multiLevelType w:val="hybridMultilevel"/>
    <w:tmpl w:val="C09489A0"/>
    <w:lvl w:ilvl="0" w:tplc="E98AD0A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15:restartNumberingAfterBreak="0">
    <w:nsid w:val="770F5059"/>
    <w:multiLevelType w:val="hybridMultilevel"/>
    <w:tmpl w:val="1D7434CA"/>
    <w:lvl w:ilvl="0" w:tplc="A704C28A">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9017B15"/>
    <w:multiLevelType w:val="hybridMultilevel"/>
    <w:tmpl w:val="7AD0E4E8"/>
    <w:lvl w:ilvl="0" w:tplc="D862E464">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15:restartNumberingAfterBreak="0">
    <w:nsid w:val="7A402D96"/>
    <w:multiLevelType w:val="hybridMultilevel"/>
    <w:tmpl w:val="90FA4954"/>
    <w:lvl w:ilvl="0" w:tplc="7592D708">
      <w:start w:val="1"/>
      <w:numFmt w:val="decimal"/>
      <w:lvlText w:val="%1."/>
      <w:lvlJc w:val="left"/>
      <w:pPr>
        <w:ind w:left="1080" w:hanging="360"/>
      </w:pPr>
      <w:rPr>
        <w:rFonts w:hint="default"/>
        <w:sz w:val="22"/>
        <w:szCs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7EF25F16"/>
    <w:multiLevelType w:val="hybridMultilevel"/>
    <w:tmpl w:val="0F56CE40"/>
    <w:lvl w:ilvl="0" w:tplc="11CAF734">
      <w:start w:val="1"/>
      <w:numFmt w:val="decimal"/>
      <w:lvlText w:val="%1."/>
      <w:lvlJc w:val="left"/>
      <w:pPr>
        <w:ind w:left="1800" w:hanging="360"/>
      </w:pPr>
      <w:rPr>
        <w:rFonts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31"/>
  </w:num>
  <w:num w:numId="2">
    <w:abstractNumId w:val="17"/>
  </w:num>
  <w:num w:numId="3">
    <w:abstractNumId w:val="37"/>
  </w:num>
  <w:num w:numId="4">
    <w:abstractNumId w:val="13"/>
  </w:num>
  <w:num w:numId="5">
    <w:abstractNumId w:val="6"/>
  </w:num>
  <w:num w:numId="6">
    <w:abstractNumId w:val="4"/>
  </w:num>
  <w:num w:numId="7">
    <w:abstractNumId w:val="22"/>
  </w:num>
  <w:num w:numId="8">
    <w:abstractNumId w:val="15"/>
  </w:num>
  <w:num w:numId="9">
    <w:abstractNumId w:val="14"/>
  </w:num>
  <w:num w:numId="10">
    <w:abstractNumId w:val="33"/>
  </w:num>
  <w:num w:numId="11">
    <w:abstractNumId w:val="40"/>
  </w:num>
  <w:num w:numId="12">
    <w:abstractNumId w:val="19"/>
  </w:num>
  <w:num w:numId="13">
    <w:abstractNumId w:val="10"/>
  </w:num>
  <w:num w:numId="14">
    <w:abstractNumId w:val="24"/>
  </w:num>
  <w:num w:numId="15">
    <w:abstractNumId w:val="11"/>
  </w:num>
  <w:num w:numId="16">
    <w:abstractNumId w:val="26"/>
  </w:num>
  <w:num w:numId="17">
    <w:abstractNumId w:val="16"/>
  </w:num>
  <w:num w:numId="18">
    <w:abstractNumId w:val="39"/>
  </w:num>
  <w:num w:numId="19">
    <w:abstractNumId w:val="28"/>
  </w:num>
  <w:num w:numId="20">
    <w:abstractNumId w:val="2"/>
  </w:num>
  <w:num w:numId="21">
    <w:abstractNumId w:val="0"/>
  </w:num>
  <w:num w:numId="22">
    <w:abstractNumId w:val="9"/>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38"/>
  </w:num>
  <w:num w:numId="26">
    <w:abstractNumId w:val="36"/>
  </w:num>
  <w:num w:numId="27">
    <w:abstractNumId w:val="7"/>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8"/>
  </w:num>
  <w:num w:numId="31">
    <w:abstractNumId w:val="12"/>
  </w:num>
  <w:num w:numId="32">
    <w:abstractNumId w:val="29"/>
  </w:num>
  <w:num w:numId="33">
    <w:abstractNumId w:val="5"/>
  </w:num>
  <w:num w:numId="34">
    <w:abstractNumId w:val="35"/>
  </w:num>
  <w:num w:numId="35">
    <w:abstractNumId w:val="3"/>
  </w:num>
  <w:num w:numId="36">
    <w:abstractNumId w:val="25"/>
  </w:num>
  <w:num w:numId="37">
    <w:abstractNumId w:val="34"/>
  </w:num>
  <w:num w:numId="38">
    <w:abstractNumId w:val="30"/>
  </w:num>
  <w:num w:numId="39">
    <w:abstractNumId w:val="23"/>
  </w:num>
  <w:num w:numId="40">
    <w:abstractNumId w:val="18"/>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savePreviewPicture/>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A20"/>
    <w:rsid w:val="000001CD"/>
    <w:rsid w:val="00001381"/>
    <w:rsid w:val="00001D87"/>
    <w:rsid w:val="0000283B"/>
    <w:rsid w:val="0000327A"/>
    <w:rsid w:val="00003C15"/>
    <w:rsid w:val="00005214"/>
    <w:rsid w:val="00006D22"/>
    <w:rsid w:val="00006E2C"/>
    <w:rsid w:val="00006ED1"/>
    <w:rsid w:val="00011351"/>
    <w:rsid w:val="00013C43"/>
    <w:rsid w:val="00016245"/>
    <w:rsid w:val="00016727"/>
    <w:rsid w:val="00017D48"/>
    <w:rsid w:val="000205CD"/>
    <w:rsid w:val="00022E0B"/>
    <w:rsid w:val="000237B5"/>
    <w:rsid w:val="00025756"/>
    <w:rsid w:val="00030389"/>
    <w:rsid w:val="00030442"/>
    <w:rsid w:val="00032180"/>
    <w:rsid w:val="00035F78"/>
    <w:rsid w:val="00037FAE"/>
    <w:rsid w:val="000433D3"/>
    <w:rsid w:val="0004469E"/>
    <w:rsid w:val="00044E4A"/>
    <w:rsid w:val="00045063"/>
    <w:rsid w:val="00047888"/>
    <w:rsid w:val="000504FA"/>
    <w:rsid w:val="00050CBA"/>
    <w:rsid w:val="0005131E"/>
    <w:rsid w:val="00051785"/>
    <w:rsid w:val="00052513"/>
    <w:rsid w:val="00052CE9"/>
    <w:rsid w:val="000552DE"/>
    <w:rsid w:val="000571F9"/>
    <w:rsid w:val="00057F20"/>
    <w:rsid w:val="000603C6"/>
    <w:rsid w:val="00061907"/>
    <w:rsid w:val="00061B5A"/>
    <w:rsid w:val="00062376"/>
    <w:rsid w:val="00062D15"/>
    <w:rsid w:val="00063B2E"/>
    <w:rsid w:val="00071200"/>
    <w:rsid w:val="0007164A"/>
    <w:rsid w:val="000728A2"/>
    <w:rsid w:val="00074967"/>
    <w:rsid w:val="0007789C"/>
    <w:rsid w:val="00080E27"/>
    <w:rsid w:val="00082B97"/>
    <w:rsid w:val="00084FD7"/>
    <w:rsid w:val="00086448"/>
    <w:rsid w:val="00086B74"/>
    <w:rsid w:val="000876F2"/>
    <w:rsid w:val="00087DBB"/>
    <w:rsid w:val="00091E0D"/>
    <w:rsid w:val="00092029"/>
    <w:rsid w:val="0009297E"/>
    <w:rsid w:val="0009713B"/>
    <w:rsid w:val="00097268"/>
    <w:rsid w:val="000974DC"/>
    <w:rsid w:val="000A031F"/>
    <w:rsid w:val="000A252A"/>
    <w:rsid w:val="000A5153"/>
    <w:rsid w:val="000A595C"/>
    <w:rsid w:val="000A7583"/>
    <w:rsid w:val="000A7F3F"/>
    <w:rsid w:val="000B103A"/>
    <w:rsid w:val="000B3105"/>
    <w:rsid w:val="000B4C02"/>
    <w:rsid w:val="000B6489"/>
    <w:rsid w:val="000B7977"/>
    <w:rsid w:val="000C19C3"/>
    <w:rsid w:val="000C2012"/>
    <w:rsid w:val="000C272C"/>
    <w:rsid w:val="000C30A5"/>
    <w:rsid w:val="000C5A3A"/>
    <w:rsid w:val="000C5CFB"/>
    <w:rsid w:val="000C6358"/>
    <w:rsid w:val="000C68E8"/>
    <w:rsid w:val="000C7FE0"/>
    <w:rsid w:val="000D03CE"/>
    <w:rsid w:val="000D0428"/>
    <w:rsid w:val="000D1823"/>
    <w:rsid w:val="000D1C9F"/>
    <w:rsid w:val="000D296F"/>
    <w:rsid w:val="000D3070"/>
    <w:rsid w:val="000D335D"/>
    <w:rsid w:val="000D7B23"/>
    <w:rsid w:val="000E1432"/>
    <w:rsid w:val="000E4B72"/>
    <w:rsid w:val="000E58E8"/>
    <w:rsid w:val="000E7D51"/>
    <w:rsid w:val="000F0458"/>
    <w:rsid w:val="000F138A"/>
    <w:rsid w:val="000F1A51"/>
    <w:rsid w:val="000F1F9F"/>
    <w:rsid w:val="000F26E0"/>
    <w:rsid w:val="000F2B6E"/>
    <w:rsid w:val="000F5D64"/>
    <w:rsid w:val="000F6201"/>
    <w:rsid w:val="000F7DBB"/>
    <w:rsid w:val="0010279D"/>
    <w:rsid w:val="00104D05"/>
    <w:rsid w:val="00105886"/>
    <w:rsid w:val="00105DE0"/>
    <w:rsid w:val="00107056"/>
    <w:rsid w:val="0012219A"/>
    <w:rsid w:val="00122665"/>
    <w:rsid w:val="00122CDF"/>
    <w:rsid w:val="00126DEE"/>
    <w:rsid w:val="00126FD5"/>
    <w:rsid w:val="001310F6"/>
    <w:rsid w:val="00131178"/>
    <w:rsid w:val="00131BD2"/>
    <w:rsid w:val="001324D2"/>
    <w:rsid w:val="001330B9"/>
    <w:rsid w:val="001346F7"/>
    <w:rsid w:val="00136A2A"/>
    <w:rsid w:val="00136AB1"/>
    <w:rsid w:val="001416ED"/>
    <w:rsid w:val="00141DE9"/>
    <w:rsid w:val="00142667"/>
    <w:rsid w:val="0014329E"/>
    <w:rsid w:val="001432D5"/>
    <w:rsid w:val="0014505D"/>
    <w:rsid w:val="00146706"/>
    <w:rsid w:val="001468F4"/>
    <w:rsid w:val="0014738B"/>
    <w:rsid w:val="00147849"/>
    <w:rsid w:val="00150364"/>
    <w:rsid w:val="00156BAD"/>
    <w:rsid w:val="00162871"/>
    <w:rsid w:val="00163D0F"/>
    <w:rsid w:val="001644A8"/>
    <w:rsid w:val="001653CA"/>
    <w:rsid w:val="00165642"/>
    <w:rsid w:val="00166F0F"/>
    <w:rsid w:val="00167CD5"/>
    <w:rsid w:val="00172950"/>
    <w:rsid w:val="00176E37"/>
    <w:rsid w:val="001804F1"/>
    <w:rsid w:val="00180D06"/>
    <w:rsid w:val="00181F11"/>
    <w:rsid w:val="00182720"/>
    <w:rsid w:val="00183EA4"/>
    <w:rsid w:val="001852DA"/>
    <w:rsid w:val="001854A2"/>
    <w:rsid w:val="00186925"/>
    <w:rsid w:val="00187756"/>
    <w:rsid w:val="0019056D"/>
    <w:rsid w:val="00191096"/>
    <w:rsid w:val="00194343"/>
    <w:rsid w:val="00194BFB"/>
    <w:rsid w:val="001A1411"/>
    <w:rsid w:val="001A1BF1"/>
    <w:rsid w:val="001A373E"/>
    <w:rsid w:val="001A4398"/>
    <w:rsid w:val="001A4ED8"/>
    <w:rsid w:val="001A4F37"/>
    <w:rsid w:val="001B27E1"/>
    <w:rsid w:val="001B6EF9"/>
    <w:rsid w:val="001B721B"/>
    <w:rsid w:val="001B7B6F"/>
    <w:rsid w:val="001C63D3"/>
    <w:rsid w:val="001D53B3"/>
    <w:rsid w:val="001D5E48"/>
    <w:rsid w:val="001D63ED"/>
    <w:rsid w:val="001D6819"/>
    <w:rsid w:val="001E27C4"/>
    <w:rsid w:val="001E4798"/>
    <w:rsid w:val="001E4E58"/>
    <w:rsid w:val="001E52BC"/>
    <w:rsid w:val="001E5D59"/>
    <w:rsid w:val="001E611A"/>
    <w:rsid w:val="001F100E"/>
    <w:rsid w:val="001F391A"/>
    <w:rsid w:val="001F6013"/>
    <w:rsid w:val="002013B4"/>
    <w:rsid w:val="002020AA"/>
    <w:rsid w:val="002048A8"/>
    <w:rsid w:val="00205047"/>
    <w:rsid w:val="0020643D"/>
    <w:rsid w:val="00207330"/>
    <w:rsid w:val="002074E8"/>
    <w:rsid w:val="0021069E"/>
    <w:rsid w:val="002130A0"/>
    <w:rsid w:val="00214BEB"/>
    <w:rsid w:val="002150B4"/>
    <w:rsid w:val="002221F1"/>
    <w:rsid w:val="002225C8"/>
    <w:rsid w:val="00223A31"/>
    <w:rsid w:val="00223C51"/>
    <w:rsid w:val="00230280"/>
    <w:rsid w:val="00231E96"/>
    <w:rsid w:val="00235ECD"/>
    <w:rsid w:val="00240475"/>
    <w:rsid w:val="00240E3E"/>
    <w:rsid w:val="00242335"/>
    <w:rsid w:val="00245D23"/>
    <w:rsid w:val="0024689F"/>
    <w:rsid w:val="0025089F"/>
    <w:rsid w:val="00252595"/>
    <w:rsid w:val="002548BB"/>
    <w:rsid w:val="00254F7A"/>
    <w:rsid w:val="002575CD"/>
    <w:rsid w:val="0026237D"/>
    <w:rsid w:val="00262F83"/>
    <w:rsid w:val="00264778"/>
    <w:rsid w:val="0026490A"/>
    <w:rsid w:val="00265647"/>
    <w:rsid w:val="002660DE"/>
    <w:rsid w:val="00270206"/>
    <w:rsid w:val="00270B6A"/>
    <w:rsid w:val="00275849"/>
    <w:rsid w:val="00277AAD"/>
    <w:rsid w:val="00280482"/>
    <w:rsid w:val="00280B77"/>
    <w:rsid w:val="00280BFC"/>
    <w:rsid w:val="00282AB8"/>
    <w:rsid w:val="00283B33"/>
    <w:rsid w:val="00283E38"/>
    <w:rsid w:val="0028442C"/>
    <w:rsid w:val="00285395"/>
    <w:rsid w:val="00285B38"/>
    <w:rsid w:val="0028615C"/>
    <w:rsid w:val="002862C1"/>
    <w:rsid w:val="0029037C"/>
    <w:rsid w:val="0029260C"/>
    <w:rsid w:val="00292B98"/>
    <w:rsid w:val="002942A4"/>
    <w:rsid w:val="00295BE5"/>
    <w:rsid w:val="002A5203"/>
    <w:rsid w:val="002B00C7"/>
    <w:rsid w:val="002B0569"/>
    <w:rsid w:val="002B0C1B"/>
    <w:rsid w:val="002B10DE"/>
    <w:rsid w:val="002B2C3A"/>
    <w:rsid w:val="002B2E6B"/>
    <w:rsid w:val="002C05D3"/>
    <w:rsid w:val="002C182A"/>
    <w:rsid w:val="002C3960"/>
    <w:rsid w:val="002C3B6B"/>
    <w:rsid w:val="002C51A2"/>
    <w:rsid w:val="002C5CB0"/>
    <w:rsid w:val="002D1856"/>
    <w:rsid w:val="002D19B3"/>
    <w:rsid w:val="002D48AB"/>
    <w:rsid w:val="002D62D3"/>
    <w:rsid w:val="002D7427"/>
    <w:rsid w:val="002E17DB"/>
    <w:rsid w:val="002E3DA8"/>
    <w:rsid w:val="002E419D"/>
    <w:rsid w:val="002E58A0"/>
    <w:rsid w:val="002E6446"/>
    <w:rsid w:val="002E7809"/>
    <w:rsid w:val="002F12E8"/>
    <w:rsid w:val="002F1EF1"/>
    <w:rsid w:val="002F5101"/>
    <w:rsid w:val="002F52BA"/>
    <w:rsid w:val="002F5A94"/>
    <w:rsid w:val="002F5B2E"/>
    <w:rsid w:val="00301AF2"/>
    <w:rsid w:val="00303F67"/>
    <w:rsid w:val="00304433"/>
    <w:rsid w:val="003067A7"/>
    <w:rsid w:val="003076DD"/>
    <w:rsid w:val="00312DE7"/>
    <w:rsid w:val="00313209"/>
    <w:rsid w:val="00313AFF"/>
    <w:rsid w:val="003161AC"/>
    <w:rsid w:val="00316863"/>
    <w:rsid w:val="00320A49"/>
    <w:rsid w:val="00321843"/>
    <w:rsid w:val="003228E2"/>
    <w:rsid w:val="0032525F"/>
    <w:rsid w:val="003253AC"/>
    <w:rsid w:val="00326B5F"/>
    <w:rsid w:val="00326F7D"/>
    <w:rsid w:val="003277FC"/>
    <w:rsid w:val="0033262C"/>
    <w:rsid w:val="00334AAC"/>
    <w:rsid w:val="00334EE3"/>
    <w:rsid w:val="00335F69"/>
    <w:rsid w:val="00336974"/>
    <w:rsid w:val="00336CC6"/>
    <w:rsid w:val="00336ECC"/>
    <w:rsid w:val="00340803"/>
    <w:rsid w:val="0034445D"/>
    <w:rsid w:val="00346CDF"/>
    <w:rsid w:val="00347FD7"/>
    <w:rsid w:val="00350F57"/>
    <w:rsid w:val="00351732"/>
    <w:rsid w:val="00351B4D"/>
    <w:rsid w:val="00353987"/>
    <w:rsid w:val="003539CE"/>
    <w:rsid w:val="00355D8D"/>
    <w:rsid w:val="00362D4F"/>
    <w:rsid w:val="00362ECE"/>
    <w:rsid w:val="00363DA2"/>
    <w:rsid w:val="00373D7B"/>
    <w:rsid w:val="00374B26"/>
    <w:rsid w:val="00377E77"/>
    <w:rsid w:val="00383245"/>
    <w:rsid w:val="00387F5A"/>
    <w:rsid w:val="00392589"/>
    <w:rsid w:val="0039546A"/>
    <w:rsid w:val="00395E50"/>
    <w:rsid w:val="003A040A"/>
    <w:rsid w:val="003A2265"/>
    <w:rsid w:val="003A3EBB"/>
    <w:rsid w:val="003A5A69"/>
    <w:rsid w:val="003A7EDF"/>
    <w:rsid w:val="003A7F63"/>
    <w:rsid w:val="003B0868"/>
    <w:rsid w:val="003B461A"/>
    <w:rsid w:val="003B4A69"/>
    <w:rsid w:val="003B5B98"/>
    <w:rsid w:val="003B6629"/>
    <w:rsid w:val="003B6DB3"/>
    <w:rsid w:val="003B7C1F"/>
    <w:rsid w:val="003C0270"/>
    <w:rsid w:val="003C3D40"/>
    <w:rsid w:val="003C6AD8"/>
    <w:rsid w:val="003D0062"/>
    <w:rsid w:val="003D19E7"/>
    <w:rsid w:val="003D3356"/>
    <w:rsid w:val="003D3F3F"/>
    <w:rsid w:val="003D4A9C"/>
    <w:rsid w:val="003D6C58"/>
    <w:rsid w:val="003E4352"/>
    <w:rsid w:val="003E6BA5"/>
    <w:rsid w:val="003F040D"/>
    <w:rsid w:val="003F402D"/>
    <w:rsid w:val="003F41BF"/>
    <w:rsid w:val="003F45A7"/>
    <w:rsid w:val="003F5942"/>
    <w:rsid w:val="00405D95"/>
    <w:rsid w:val="004112AF"/>
    <w:rsid w:val="0041299F"/>
    <w:rsid w:val="004130EF"/>
    <w:rsid w:val="0041365D"/>
    <w:rsid w:val="00413812"/>
    <w:rsid w:val="004149FF"/>
    <w:rsid w:val="00415010"/>
    <w:rsid w:val="00421FE8"/>
    <w:rsid w:val="00422758"/>
    <w:rsid w:val="0042321D"/>
    <w:rsid w:val="004234F1"/>
    <w:rsid w:val="00423895"/>
    <w:rsid w:val="00426848"/>
    <w:rsid w:val="00427E97"/>
    <w:rsid w:val="00430932"/>
    <w:rsid w:val="00430CB5"/>
    <w:rsid w:val="00430F30"/>
    <w:rsid w:val="0043347C"/>
    <w:rsid w:val="00433A98"/>
    <w:rsid w:val="00435CDB"/>
    <w:rsid w:val="00435E29"/>
    <w:rsid w:val="00435F46"/>
    <w:rsid w:val="004369D7"/>
    <w:rsid w:val="00437BBF"/>
    <w:rsid w:val="004405E5"/>
    <w:rsid w:val="00442EC3"/>
    <w:rsid w:val="004441AA"/>
    <w:rsid w:val="00446D16"/>
    <w:rsid w:val="00451E49"/>
    <w:rsid w:val="0045308D"/>
    <w:rsid w:val="00453091"/>
    <w:rsid w:val="00453306"/>
    <w:rsid w:val="00453B20"/>
    <w:rsid w:val="00456B03"/>
    <w:rsid w:val="00457BC2"/>
    <w:rsid w:val="00463FFB"/>
    <w:rsid w:val="0046468D"/>
    <w:rsid w:val="00464CD7"/>
    <w:rsid w:val="00465F8D"/>
    <w:rsid w:val="00465FC2"/>
    <w:rsid w:val="0046670C"/>
    <w:rsid w:val="00466A59"/>
    <w:rsid w:val="004700A1"/>
    <w:rsid w:val="0047255B"/>
    <w:rsid w:val="004735F4"/>
    <w:rsid w:val="004738B9"/>
    <w:rsid w:val="00475749"/>
    <w:rsid w:val="004774A8"/>
    <w:rsid w:val="00481987"/>
    <w:rsid w:val="00481FA7"/>
    <w:rsid w:val="00482702"/>
    <w:rsid w:val="00483BF0"/>
    <w:rsid w:val="0048672D"/>
    <w:rsid w:val="00490333"/>
    <w:rsid w:val="0049188A"/>
    <w:rsid w:val="0049199A"/>
    <w:rsid w:val="00493BB8"/>
    <w:rsid w:val="00494AE1"/>
    <w:rsid w:val="00494F67"/>
    <w:rsid w:val="004970FC"/>
    <w:rsid w:val="00497FE0"/>
    <w:rsid w:val="004A287C"/>
    <w:rsid w:val="004A2A70"/>
    <w:rsid w:val="004A671A"/>
    <w:rsid w:val="004B077D"/>
    <w:rsid w:val="004B0EDA"/>
    <w:rsid w:val="004B5BF5"/>
    <w:rsid w:val="004B781A"/>
    <w:rsid w:val="004B7DE8"/>
    <w:rsid w:val="004C1AFC"/>
    <w:rsid w:val="004C1E4D"/>
    <w:rsid w:val="004C3172"/>
    <w:rsid w:val="004C3492"/>
    <w:rsid w:val="004C62C0"/>
    <w:rsid w:val="004C792E"/>
    <w:rsid w:val="004C7C9E"/>
    <w:rsid w:val="004D189C"/>
    <w:rsid w:val="004D2682"/>
    <w:rsid w:val="004D35E9"/>
    <w:rsid w:val="004D69D1"/>
    <w:rsid w:val="004E5F25"/>
    <w:rsid w:val="004E76E3"/>
    <w:rsid w:val="004F3796"/>
    <w:rsid w:val="004F6535"/>
    <w:rsid w:val="004F668F"/>
    <w:rsid w:val="004F68D5"/>
    <w:rsid w:val="00500AA6"/>
    <w:rsid w:val="00502326"/>
    <w:rsid w:val="005028D9"/>
    <w:rsid w:val="00503A6D"/>
    <w:rsid w:val="00504CEC"/>
    <w:rsid w:val="00506D90"/>
    <w:rsid w:val="00507B02"/>
    <w:rsid w:val="00510073"/>
    <w:rsid w:val="0051182A"/>
    <w:rsid w:val="00511993"/>
    <w:rsid w:val="00511C9E"/>
    <w:rsid w:val="00511D83"/>
    <w:rsid w:val="00514AB6"/>
    <w:rsid w:val="00516A9B"/>
    <w:rsid w:val="005228EB"/>
    <w:rsid w:val="00523E2E"/>
    <w:rsid w:val="00524BE9"/>
    <w:rsid w:val="005257B4"/>
    <w:rsid w:val="00532EE1"/>
    <w:rsid w:val="00540A04"/>
    <w:rsid w:val="00540ED5"/>
    <w:rsid w:val="00541BBB"/>
    <w:rsid w:val="00546477"/>
    <w:rsid w:val="00546C4E"/>
    <w:rsid w:val="005472C3"/>
    <w:rsid w:val="005477B2"/>
    <w:rsid w:val="00547E0F"/>
    <w:rsid w:val="00550119"/>
    <w:rsid w:val="00550F26"/>
    <w:rsid w:val="00553B48"/>
    <w:rsid w:val="00555257"/>
    <w:rsid w:val="00555A92"/>
    <w:rsid w:val="00556863"/>
    <w:rsid w:val="005625B3"/>
    <w:rsid w:val="00565A7C"/>
    <w:rsid w:val="00565B0D"/>
    <w:rsid w:val="00565F00"/>
    <w:rsid w:val="00566518"/>
    <w:rsid w:val="00566CA5"/>
    <w:rsid w:val="00572662"/>
    <w:rsid w:val="00576610"/>
    <w:rsid w:val="0057775E"/>
    <w:rsid w:val="00577B2C"/>
    <w:rsid w:val="00580943"/>
    <w:rsid w:val="00581E00"/>
    <w:rsid w:val="00584415"/>
    <w:rsid w:val="00585D9D"/>
    <w:rsid w:val="00585FC1"/>
    <w:rsid w:val="0058638B"/>
    <w:rsid w:val="00586B85"/>
    <w:rsid w:val="005878ED"/>
    <w:rsid w:val="00587B26"/>
    <w:rsid w:val="0059046B"/>
    <w:rsid w:val="005907AD"/>
    <w:rsid w:val="00591017"/>
    <w:rsid w:val="00592C7E"/>
    <w:rsid w:val="00592E64"/>
    <w:rsid w:val="00595706"/>
    <w:rsid w:val="005957AF"/>
    <w:rsid w:val="005965E2"/>
    <w:rsid w:val="005A0CB1"/>
    <w:rsid w:val="005A12CA"/>
    <w:rsid w:val="005A15F8"/>
    <w:rsid w:val="005A24CB"/>
    <w:rsid w:val="005A3DE6"/>
    <w:rsid w:val="005A42AF"/>
    <w:rsid w:val="005A440B"/>
    <w:rsid w:val="005A64B0"/>
    <w:rsid w:val="005B0176"/>
    <w:rsid w:val="005B1080"/>
    <w:rsid w:val="005B36A6"/>
    <w:rsid w:val="005B3EF2"/>
    <w:rsid w:val="005B417B"/>
    <w:rsid w:val="005C1B5F"/>
    <w:rsid w:val="005C24A5"/>
    <w:rsid w:val="005C25FD"/>
    <w:rsid w:val="005C31E4"/>
    <w:rsid w:val="005C3A1D"/>
    <w:rsid w:val="005C3F42"/>
    <w:rsid w:val="005C5467"/>
    <w:rsid w:val="005D0CD2"/>
    <w:rsid w:val="005D153A"/>
    <w:rsid w:val="005D2EB8"/>
    <w:rsid w:val="005D3DE2"/>
    <w:rsid w:val="005D7959"/>
    <w:rsid w:val="005E0ADC"/>
    <w:rsid w:val="005E1017"/>
    <w:rsid w:val="005E1D98"/>
    <w:rsid w:val="005E22C6"/>
    <w:rsid w:val="005E2B87"/>
    <w:rsid w:val="005E3214"/>
    <w:rsid w:val="005E5B0C"/>
    <w:rsid w:val="005E6262"/>
    <w:rsid w:val="005F00D0"/>
    <w:rsid w:val="005F035D"/>
    <w:rsid w:val="005F0C3A"/>
    <w:rsid w:val="005F149C"/>
    <w:rsid w:val="005F1A2D"/>
    <w:rsid w:val="005F260D"/>
    <w:rsid w:val="005F2757"/>
    <w:rsid w:val="005F3111"/>
    <w:rsid w:val="005F3A78"/>
    <w:rsid w:val="005F5CB8"/>
    <w:rsid w:val="005F7547"/>
    <w:rsid w:val="006004EC"/>
    <w:rsid w:val="00600716"/>
    <w:rsid w:val="00600CBB"/>
    <w:rsid w:val="0060119C"/>
    <w:rsid w:val="0060122F"/>
    <w:rsid w:val="00602B8C"/>
    <w:rsid w:val="00602F26"/>
    <w:rsid w:val="00603812"/>
    <w:rsid w:val="00603925"/>
    <w:rsid w:val="00606679"/>
    <w:rsid w:val="00606DB0"/>
    <w:rsid w:val="00610F8D"/>
    <w:rsid w:val="006113AF"/>
    <w:rsid w:val="00614380"/>
    <w:rsid w:val="00620B00"/>
    <w:rsid w:val="00621BA0"/>
    <w:rsid w:val="006236AE"/>
    <w:rsid w:val="00623989"/>
    <w:rsid w:val="00623F45"/>
    <w:rsid w:val="006271CC"/>
    <w:rsid w:val="00627726"/>
    <w:rsid w:val="0063080A"/>
    <w:rsid w:val="006314EF"/>
    <w:rsid w:val="00633C3E"/>
    <w:rsid w:val="0063609C"/>
    <w:rsid w:val="00636995"/>
    <w:rsid w:val="00641652"/>
    <w:rsid w:val="0064214E"/>
    <w:rsid w:val="00643915"/>
    <w:rsid w:val="0064641D"/>
    <w:rsid w:val="00646F73"/>
    <w:rsid w:val="006531C8"/>
    <w:rsid w:val="006579B2"/>
    <w:rsid w:val="00663D98"/>
    <w:rsid w:val="00664485"/>
    <w:rsid w:val="00670636"/>
    <w:rsid w:val="0067096F"/>
    <w:rsid w:val="00671173"/>
    <w:rsid w:val="00671AAD"/>
    <w:rsid w:val="006724F1"/>
    <w:rsid w:val="00684A27"/>
    <w:rsid w:val="006851B1"/>
    <w:rsid w:val="00685F3B"/>
    <w:rsid w:val="0068625C"/>
    <w:rsid w:val="00686904"/>
    <w:rsid w:val="0068733C"/>
    <w:rsid w:val="00693403"/>
    <w:rsid w:val="006935DB"/>
    <w:rsid w:val="00695323"/>
    <w:rsid w:val="00695B1A"/>
    <w:rsid w:val="00697486"/>
    <w:rsid w:val="006A0BAC"/>
    <w:rsid w:val="006A30E2"/>
    <w:rsid w:val="006A5024"/>
    <w:rsid w:val="006B0510"/>
    <w:rsid w:val="006B3610"/>
    <w:rsid w:val="006B56ED"/>
    <w:rsid w:val="006B6857"/>
    <w:rsid w:val="006C0B9B"/>
    <w:rsid w:val="006C7CCA"/>
    <w:rsid w:val="006D216F"/>
    <w:rsid w:val="006D2490"/>
    <w:rsid w:val="006D2610"/>
    <w:rsid w:val="006D3546"/>
    <w:rsid w:val="006D40B8"/>
    <w:rsid w:val="006D4829"/>
    <w:rsid w:val="006D4A90"/>
    <w:rsid w:val="006D5EF0"/>
    <w:rsid w:val="006D6544"/>
    <w:rsid w:val="006D6C51"/>
    <w:rsid w:val="006D787E"/>
    <w:rsid w:val="006E0E6B"/>
    <w:rsid w:val="006E431C"/>
    <w:rsid w:val="006E44D3"/>
    <w:rsid w:val="006E5135"/>
    <w:rsid w:val="006E5363"/>
    <w:rsid w:val="006E716A"/>
    <w:rsid w:val="006E7F77"/>
    <w:rsid w:val="006F0DDA"/>
    <w:rsid w:val="006F2F9A"/>
    <w:rsid w:val="006F4520"/>
    <w:rsid w:val="006F6EAE"/>
    <w:rsid w:val="007017A2"/>
    <w:rsid w:val="00702B62"/>
    <w:rsid w:val="00702BBB"/>
    <w:rsid w:val="00704D23"/>
    <w:rsid w:val="00706077"/>
    <w:rsid w:val="007062BE"/>
    <w:rsid w:val="00706A97"/>
    <w:rsid w:val="00707001"/>
    <w:rsid w:val="00707561"/>
    <w:rsid w:val="00713029"/>
    <w:rsid w:val="007134CF"/>
    <w:rsid w:val="0071418E"/>
    <w:rsid w:val="00714A20"/>
    <w:rsid w:val="007162DA"/>
    <w:rsid w:val="0071723C"/>
    <w:rsid w:val="0072052B"/>
    <w:rsid w:val="007229AE"/>
    <w:rsid w:val="007229F9"/>
    <w:rsid w:val="00722A51"/>
    <w:rsid w:val="00723EDA"/>
    <w:rsid w:val="007241FD"/>
    <w:rsid w:val="00724983"/>
    <w:rsid w:val="00724C73"/>
    <w:rsid w:val="00724F57"/>
    <w:rsid w:val="00725B5E"/>
    <w:rsid w:val="00725E0C"/>
    <w:rsid w:val="00725F43"/>
    <w:rsid w:val="00727AB2"/>
    <w:rsid w:val="007301F9"/>
    <w:rsid w:val="0073189C"/>
    <w:rsid w:val="00735A90"/>
    <w:rsid w:val="00735BB8"/>
    <w:rsid w:val="007424AB"/>
    <w:rsid w:val="00751162"/>
    <w:rsid w:val="007540E2"/>
    <w:rsid w:val="0075432B"/>
    <w:rsid w:val="00755199"/>
    <w:rsid w:val="0075635E"/>
    <w:rsid w:val="0076064D"/>
    <w:rsid w:val="00760657"/>
    <w:rsid w:val="007621EF"/>
    <w:rsid w:val="0076220B"/>
    <w:rsid w:val="00763E45"/>
    <w:rsid w:val="00764447"/>
    <w:rsid w:val="007655EC"/>
    <w:rsid w:val="007668FE"/>
    <w:rsid w:val="00770F8F"/>
    <w:rsid w:val="00771AD1"/>
    <w:rsid w:val="00771E80"/>
    <w:rsid w:val="00772339"/>
    <w:rsid w:val="00773A24"/>
    <w:rsid w:val="00774364"/>
    <w:rsid w:val="00774A0E"/>
    <w:rsid w:val="007765D5"/>
    <w:rsid w:val="00780928"/>
    <w:rsid w:val="00782028"/>
    <w:rsid w:val="007845D1"/>
    <w:rsid w:val="00784D7E"/>
    <w:rsid w:val="007860D5"/>
    <w:rsid w:val="007863CC"/>
    <w:rsid w:val="00787DE5"/>
    <w:rsid w:val="00791750"/>
    <w:rsid w:val="00791C96"/>
    <w:rsid w:val="00792325"/>
    <w:rsid w:val="00792C03"/>
    <w:rsid w:val="00792C85"/>
    <w:rsid w:val="00793995"/>
    <w:rsid w:val="00796C29"/>
    <w:rsid w:val="007A10C0"/>
    <w:rsid w:val="007A1987"/>
    <w:rsid w:val="007A2FF1"/>
    <w:rsid w:val="007A6370"/>
    <w:rsid w:val="007A712B"/>
    <w:rsid w:val="007A7244"/>
    <w:rsid w:val="007B0AA7"/>
    <w:rsid w:val="007B0CB7"/>
    <w:rsid w:val="007B38ED"/>
    <w:rsid w:val="007B67AC"/>
    <w:rsid w:val="007B7ECF"/>
    <w:rsid w:val="007C00F7"/>
    <w:rsid w:val="007C07A8"/>
    <w:rsid w:val="007C2161"/>
    <w:rsid w:val="007C23AB"/>
    <w:rsid w:val="007C2CC6"/>
    <w:rsid w:val="007C384A"/>
    <w:rsid w:val="007C460B"/>
    <w:rsid w:val="007C5E37"/>
    <w:rsid w:val="007C6D01"/>
    <w:rsid w:val="007C70A6"/>
    <w:rsid w:val="007C732B"/>
    <w:rsid w:val="007D0439"/>
    <w:rsid w:val="007D04BD"/>
    <w:rsid w:val="007D1353"/>
    <w:rsid w:val="007D2ED8"/>
    <w:rsid w:val="007D679F"/>
    <w:rsid w:val="007E0C13"/>
    <w:rsid w:val="007E4F2F"/>
    <w:rsid w:val="007E713D"/>
    <w:rsid w:val="007E773E"/>
    <w:rsid w:val="007F1C4A"/>
    <w:rsid w:val="007F1E90"/>
    <w:rsid w:val="007F2E75"/>
    <w:rsid w:val="007F43B7"/>
    <w:rsid w:val="007F59CA"/>
    <w:rsid w:val="007F7B84"/>
    <w:rsid w:val="007F7CA4"/>
    <w:rsid w:val="008035CF"/>
    <w:rsid w:val="00804EC5"/>
    <w:rsid w:val="00805867"/>
    <w:rsid w:val="0081081E"/>
    <w:rsid w:val="008113CE"/>
    <w:rsid w:val="00815F2B"/>
    <w:rsid w:val="00815F84"/>
    <w:rsid w:val="00817B29"/>
    <w:rsid w:val="00817E17"/>
    <w:rsid w:val="0082427B"/>
    <w:rsid w:val="008242BE"/>
    <w:rsid w:val="00824B4B"/>
    <w:rsid w:val="00825836"/>
    <w:rsid w:val="00825AFE"/>
    <w:rsid w:val="0082676E"/>
    <w:rsid w:val="00827E09"/>
    <w:rsid w:val="00830CD5"/>
    <w:rsid w:val="00830F2B"/>
    <w:rsid w:val="00831201"/>
    <w:rsid w:val="008326C0"/>
    <w:rsid w:val="00832C68"/>
    <w:rsid w:val="00832DA8"/>
    <w:rsid w:val="00832E39"/>
    <w:rsid w:val="00833903"/>
    <w:rsid w:val="0083447B"/>
    <w:rsid w:val="008347E3"/>
    <w:rsid w:val="00840040"/>
    <w:rsid w:val="00845BA4"/>
    <w:rsid w:val="00850F9C"/>
    <w:rsid w:val="00851769"/>
    <w:rsid w:val="008520F2"/>
    <w:rsid w:val="00852655"/>
    <w:rsid w:val="00855D9E"/>
    <w:rsid w:val="008576C6"/>
    <w:rsid w:val="00860D55"/>
    <w:rsid w:val="00861366"/>
    <w:rsid w:val="0086172C"/>
    <w:rsid w:val="00862063"/>
    <w:rsid w:val="008620ED"/>
    <w:rsid w:val="0086258A"/>
    <w:rsid w:val="00863BC9"/>
    <w:rsid w:val="008647CA"/>
    <w:rsid w:val="00865674"/>
    <w:rsid w:val="00866558"/>
    <w:rsid w:val="008666E9"/>
    <w:rsid w:val="00866EBB"/>
    <w:rsid w:val="00871E63"/>
    <w:rsid w:val="00873353"/>
    <w:rsid w:val="008733A0"/>
    <w:rsid w:val="00876C47"/>
    <w:rsid w:val="008771CF"/>
    <w:rsid w:val="008778F6"/>
    <w:rsid w:val="00880CAE"/>
    <w:rsid w:val="00880E7C"/>
    <w:rsid w:val="00882A5F"/>
    <w:rsid w:val="008844B1"/>
    <w:rsid w:val="00885198"/>
    <w:rsid w:val="00894596"/>
    <w:rsid w:val="00894928"/>
    <w:rsid w:val="00894B2B"/>
    <w:rsid w:val="00896F30"/>
    <w:rsid w:val="00896F85"/>
    <w:rsid w:val="00897493"/>
    <w:rsid w:val="008A13EE"/>
    <w:rsid w:val="008A1553"/>
    <w:rsid w:val="008A2BEF"/>
    <w:rsid w:val="008A5E0B"/>
    <w:rsid w:val="008B0BD4"/>
    <w:rsid w:val="008B1592"/>
    <w:rsid w:val="008B1669"/>
    <w:rsid w:val="008B53B7"/>
    <w:rsid w:val="008B5D62"/>
    <w:rsid w:val="008C122A"/>
    <w:rsid w:val="008C1BC3"/>
    <w:rsid w:val="008C2186"/>
    <w:rsid w:val="008C3576"/>
    <w:rsid w:val="008C53F9"/>
    <w:rsid w:val="008C58F1"/>
    <w:rsid w:val="008D00BB"/>
    <w:rsid w:val="008D0EEC"/>
    <w:rsid w:val="008D0EF5"/>
    <w:rsid w:val="008D1D5D"/>
    <w:rsid w:val="008D2817"/>
    <w:rsid w:val="008E3868"/>
    <w:rsid w:val="008E4BF6"/>
    <w:rsid w:val="008E55AF"/>
    <w:rsid w:val="008E650E"/>
    <w:rsid w:val="008E693E"/>
    <w:rsid w:val="008F0371"/>
    <w:rsid w:val="008F0D4E"/>
    <w:rsid w:val="008F1301"/>
    <w:rsid w:val="008F4A1C"/>
    <w:rsid w:val="008F6007"/>
    <w:rsid w:val="008F7614"/>
    <w:rsid w:val="00903B33"/>
    <w:rsid w:val="009050AD"/>
    <w:rsid w:val="00905C71"/>
    <w:rsid w:val="009062D6"/>
    <w:rsid w:val="009105D9"/>
    <w:rsid w:val="00910713"/>
    <w:rsid w:val="00910B2C"/>
    <w:rsid w:val="0091184D"/>
    <w:rsid w:val="0091552A"/>
    <w:rsid w:val="00915692"/>
    <w:rsid w:val="00915923"/>
    <w:rsid w:val="00917155"/>
    <w:rsid w:val="00917745"/>
    <w:rsid w:val="00920046"/>
    <w:rsid w:val="00923670"/>
    <w:rsid w:val="009238DB"/>
    <w:rsid w:val="00923A2F"/>
    <w:rsid w:val="00923D27"/>
    <w:rsid w:val="00923DCE"/>
    <w:rsid w:val="00924873"/>
    <w:rsid w:val="00925B30"/>
    <w:rsid w:val="00927C7A"/>
    <w:rsid w:val="00930C6B"/>
    <w:rsid w:val="00932927"/>
    <w:rsid w:val="00934F8E"/>
    <w:rsid w:val="00935287"/>
    <w:rsid w:val="00936344"/>
    <w:rsid w:val="00942ABB"/>
    <w:rsid w:val="0094399D"/>
    <w:rsid w:val="0094531D"/>
    <w:rsid w:val="0094706F"/>
    <w:rsid w:val="00947422"/>
    <w:rsid w:val="00951EE9"/>
    <w:rsid w:val="00951F57"/>
    <w:rsid w:val="0095433B"/>
    <w:rsid w:val="00954A58"/>
    <w:rsid w:val="009562C7"/>
    <w:rsid w:val="00962192"/>
    <w:rsid w:val="00962689"/>
    <w:rsid w:val="00964578"/>
    <w:rsid w:val="00964E96"/>
    <w:rsid w:val="00965BD0"/>
    <w:rsid w:val="0097092F"/>
    <w:rsid w:val="00976686"/>
    <w:rsid w:val="00976D3C"/>
    <w:rsid w:val="00977109"/>
    <w:rsid w:val="009776DE"/>
    <w:rsid w:val="00982FAD"/>
    <w:rsid w:val="009841DA"/>
    <w:rsid w:val="0098565A"/>
    <w:rsid w:val="00991E7A"/>
    <w:rsid w:val="009927B9"/>
    <w:rsid w:val="00993F39"/>
    <w:rsid w:val="00996F7E"/>
    <w:rsid w:val="009A035A"/>
    <w:rsid w:val="009A0370"/>
    <w:rsid w:val="009A188B"/>
    <w:rsid w:val="009A4126"/>
    <w:rsid w:val="009A4AA7"/>
    <w:rsid w:val="009A4FDF"/>
    <w:rsid w:val="009A606A"/>
    <w:rsid w:val="009A6099"/>
    <w:rsid w:val="009B1DFD"/>
    <w:rsid w:val="009B2945"/>
    <w:rsid w:val="009B6FB4"/>
    <w:rsid w:val="009C1BBA"/>
    <w:rsid w:val="009C3E3D"/>
    <w:rsid w:val="009C40DD"/>
    <w:rsid w:val="009C430B"/>
    <w:rsid w:val="009C4F83"/>
    <w:rsid w:val="009C7D3F"/>
    <w:rsid w:val="009D0E0E"/>
    <w:rsid w:val="009D14DB"/>
    <w:rsid w:val="009D257D"/>
    <w:rsid w:val="009D346C"/>
    <w:rsid w:val="009D4CF6"/>
    <w:rsid w:val="009D69D2"/>
    <w:rsid w:val="009E01AE"/>
    <w:rsid w:val="009E0227"/>
    <w:rsid w:val="009E23DF"/>
    <w:rsid w:val="009E5074"/>
    <w:rsid w:val="009E7606"/>
    <w:rsid w:val="009F01DA"/>
    <w:rsid w:val="009F20BB"/>
    <w:rsid w:val="009F431D"/>
    <w:rsid w:val="009F4E48"/>
    <w:rsid w:val="009F50A5"/>
    <w:rsid w:val="00A026E6"/>
    <w:rsid w:val="00A029BE"/>
    <w:rsid w:val="00A031C2"/>
    <w:rsid w:val="00A05360"/>
    <w:rsid w:val="00A07A58"/>
    <w:rsid w:val="00A141ED"/>
    <w:rsid w:val="00A16587"/>
    <w:rsid w:val="00A22E2B"/>
    <w:rsid w:val="00A22FCA"/>
    <w:rsid w:val="00A23089"/>
    <w:rsid w:val="00A23AD8"/>
    <w:rsid w:val="00A25962"/>
    <w:rsid w:val="00A26396"/>
    <w:rsid w:val="00A2707A"/>
    <w:rsid w:val="00A31C95"/>
    <w:rsid w:val="00A341AD"/>
    <w:rsid w:val="00A352F8"/>
    <w:rsid w:val="00A36BCC"/>
    <w:rsid w:val="00A40223"/>
    <w:rsid w:val="00A41B4C"/>
    <w:rsid w:val="00A42AF9"/>
    <w:rsid w:val="00A42BC9"/>
    <w:rsid w:val="00A42EC5"/>
    <w:rsid w:val="00A43789"/>
    <w:rsid w:val="00A43E81"/>
    <w:rsid w:val="00A4431A"/>
    <w:rsid w:val="00A45FC9"/>
    <w:rsid w:val="00A46FAA"/>
    <w:rsid w:val="00A53D21"/>
    <w:rsid w:val="00A55CBA"/>
    <w:rsid w:val="00A561B6"/>
    <w:rsid w:val="00A56A2E"/>
    <w:rsid w:val="00A579D4"/>
    <w:rsid w:val="00A605B2"/>
    <w:rsid w:val="00A6082F"/>
    <w:rsid w:val="00A633AD"/>
    <w:rsid w:val="00A657F9"/>
    <w:rsid w:val="00A65FC2"/>
    <w:rsid w:val="00A666C4"/>
    <w:rsid w:val="00A67631"/>
    <w:rsid w:val="00A677F2"/>
    <w:rsid w:val="00A701A5"/>
    <w:rsid w:val="00A708A6"/>
    <w:rsid w:val="00A71CB8"/>
    <w:rsid w:val="00A72562"/>
    <w:rsid w:val="00A73931"/>
    <w:rsid w:val="00A73B2D"/>
    <w:rsid w:val="00A74352"/>
    <w:rsid w:val="00A743E6"/>
    <w:rsid w:val="00A752B3"/>
    <w:rsid w:val="00A76F38"/>
    <w:rsid w:val="00A7707C"/>
    <w:rsid w:val="00A8002F"/>
    <w:rsid w:val="00A802BD"/>
    <w:rsid w:val="00A80946"/>
    <w:rsid w:val="00A81514"/>
    <w:rsid w:val="00A8215B"/>
    <w:rsid w:val="00A84553"/>
    <w:rsid w:val="00A85D13"/>
    <w:rsid w:val="00A92ACA"/>
    <w:rsid w:val="00A93128"/>
    <w:rsid w:val="00A9653E"/>
    <w:rsid w:val="00A96DE4"/>
    <w:rsid w:val="00AA466F"/>
    <w:rsid w:val="00AA61B1"/>
    <w:rsid w:val="00AA6716"/>
    <w:rsid w:val="00AA785A"/>
    <w:rsid w:val="00AB23CB"/>
    <w:rsid w:val="00AB29C9"/>
    <w:rsid w:val="00AB2A76"/>
    <w:rsid w:val="00AB3AB0"/>
    <w:rsid w:val="00AB6640"/>
    <w:rsid w:val="00AC0675"/>
    <w:rsid w:val="00AC1007"/>
    <w:rsid w:val="00AC12E8"/>
    <w:rsid w:val="00AC3608"/>
    <w:rsid w:val="00AC40FA"/>
    <w:rsid w:val="00AC4370"/>
    <w:rsid w:val="00AC5CBE"/>
    <w:rsid w:val="00AD0029"/>
    <w:rsid w:val="00AD0617"/>
    <w:rsid w:val="00AD0B0B"/>
    <w:rsid w:val="00AD0FF8"/>
    <w:rsid w:val="00AD1704"/>
    <w:rsid w:val="00AD1AAD"/>
    <w:rsid w:val="00AD2E3C"/>
    <w:rsid w:val="00AD577D"/>
    <w:rsid w:val="00AD6871"/>
    <w:rsid w:val="00AE232D"/>
    <w:rsid w:val="00AE4108"/>
    <w:rsid w:val="00AE5A7B"/>
    <w:rsid w:val="00AE6F6F"/>
    <w:rsid w:val="00AE70CF"/>
    <w:rsid w:val="00AE7EC3"/>
    <w:rsid w:val="00AF1913"/>
    <w:rsid w:val="00AF1D3C"/>
    <w:rsid w:val="00AF56FA"/>
    <w:rsid w:val="00AF5E7A"/>
    <w:rsid w:val="00AF631F"/>
    <w:rsid w:val="00AF6D9B"/>
    <w:rsid w:val="00AF7136"/>
    <w:rsid w:val="00AF7274"/>
    <w:rsid w:val="00B0020F"/>
    <w:rsid w:val="00B017AC"/>
    <w:rsid w:val="00B0256F"/>
    <w:rsid w:val="00B05690"/>
    <w:rsid w:val="00B067C9"/>
    <w:rsid w:val="00B06B86"/>
    <w:rsid w:val="00B100A8"/>
    <w:rsid w:val="00B10CA3"/>
    <w:rsid w:val="00B12182"/>
    <w:rsid w:val="00B13288"/>
    <w:rsid w:val="00B1569F"/>
    <w:rsid w:val="00B172E9"/>
    <w:rsid w:val="00B20D94"/>
    <w:rsid w:val="00B20E61"/>
    <w:rsid w:val="00B214BD"/>
    <w:rsid w:val="00B21AAB"/>
    <w:rsid w:val="00B22CF3"/>
    <w:rsid w:val="00B26753"/>
    <w:rsid w:val="00B26955"/>
    <w:rsid w:val="00B26B60"/>
    <w:rsid w:val="00B26B94"/>
    <w:rsid w:val="00B27449"/>
    <w:rsid w:val="00B336CA"/>
    <w:rsid w:val="00B33B9E"/>
    <w:rsid w:val="00B34674"/>
    <w:rsid w:val="00B36BBC"/>
    <w:rsid w:val="00B41FF9"/>
    <w:rsid w:val="00B42405"/>
    <w:rsid w:val="00B426C6"/>
    <w:rsid w:val="00B45411"/>
    <w:rsid w:val="00B46DA4"/>
    <w:rsid w:val="00B500F8"/>
    <w:rsid w:val="00B502C3"/>
    <w:rsid w:val="00B50EBF"/>
    <w:rsid w:val="00B52DC0"/>
    <w:rsid w:val="00B54517"/>
    <w:rsid w:val="00B56C4C"/>
    <w:rsid w:val="00B621E5"/>
    <w:rsid w:val="00B63BFC"/>
    <w:rsid w:val="00B63E33"/>
    <w:rsid w:val="00B71EE8"/>
    <w:rsid w:val="00B725FC"/>
    <w:rsid w:val="00B730AB"/>
    <w:rsid w:val="00B73341"/>
    <w:rsid w:val="00B75FCA"/>
    <w:rsid w:val="00B765D7"/>
    <w:rsid w:val="00B818C2"/>
    <w:rsid w:val="00B81BB6"/>
    <w:rsid w:val="00B8290E"/>
    <w:rsid w:val="00B83969"/>
    <w:rsid w:val="00B840D5"/>
    <w:rsid w:val="00B858BB"/>
    <w:rsid w:val="00B85980"/>
    <w:rsid w:val="00B85E17"/>
    <w:rsid w:val="00B875EB"/>
    <w:rsid w:val="00B92A53"/>
    <w:rsid w:val="00B93996"/>
    <w:rsid w:val="00B93C8E"/>
    <w:rsid w:val="00B958F2"/>
    <w:rsid w:val="00B964A9"/>
    <w:rsid w:val="00B96740"/>
    <w:rsid w:val="00B967F0"/>
    <w:rsid w:val="00B96897"/>
    <w:rsid w:val="00B97833"/>
    <w:rsid w:val="00B9791E"/>
    <w:rsid w:val="00BA1F9B"/>
    <w:rsid w:val="00BA2858"/>
    <w:rsid w:val="00BA598F"/>
    <w:rsid w:val="00BA689E"/>
    <w:rsid w:val="00BA7A24"/>
    <w:rsid w:val="00BB1197"/>
    <w:rsid w:val="00BB1ED1"/>
    <w:rsid w:val="00BB3F9F"/>
    <w:rsid w:val="00BB44D3"/>
    <w:rsid w:val="00BB574A"/>
    <w:rsid w:val="00BB6E32"/>
    <w:rsid w:val="00BC03DD"/>
    <w:rsid w:val="00BC6AE9"/>
    <w:rsid w:val="00BC7E51"/>
    <w:rsid w:val="00BD38B2"/>
    <w:rsid w:val="00BE1596"/>
    <w:rsid w:val="00BE2BFC"/>
    <w:rsid w:val="00BE327A"/>
    <w:rsid w:val="00BE372C"/>
    <w:rsid w:val="00BE3894"/>
    <w:rsid w:val="00BE3E5B"/>
    <w:rsid w:val="00BE4E2B"/>
    <w:rsid w:val="00BE7C96"/>
    <w:rsid w:val="00BE7E3A"/>
    <w:rsid w:val="00BF2120"/>
    <w:rsid w:val="00BF6BBA"/>
    <w:rsid w:val="00C012A1"/>
    <w:rsid w:val="00C024A8"/>
    <w:rsid w:val="00C02FFD"/>
    <w:rsid w:val="00C05838"/>
    <w:rsid w:val="00C0698C"/>
    <w:rsid w:val="00C13FF4"/>
    <w:rsid w:val="00C1630D"/>
    <w:rsid w:val="00C16EF8"/>
    <w:rsid w:val="00C17AE0"/>
    <w:rsid w:val="00C20ECD"/>
    <w:rsid w:val="00C23CB3"/>
    <w:rsid w:val="00C2548A"/>
    <w:rsid w:val="00C25E02"/>
    <w:rsid w:val="00C263FF"/>
    <w:rsid w:val="00C270E4"/>
    <w:rsid w:val="00C2780F"/>
    <w:rsid w:val="00C279F4"/>
    <w:rsid w:val="00C310EF"/>
    <w:rsid w:val="00C330E2"/>
    <w:rsid w:val="00C35B56"/>
    <w:rsid w:val="00C35C32"/>
    <w:rsid w:val="00C37248"/>
    <w:rsid w:val="00C40D77"/>
    <w:rsid w:val="00C4103B"/>
    <w:rsid w:val="00C41466"/>
    <w:rsid w:val="00C418E2"/>
    <w:rsid w:val="00C45486"/>
    <w:rsid w:val="00C4650D"/>
    <w:rsid w:val="00C46ECE"/>
    <w:rsid w:val="00C47D8E"/>
    <w:rsid w:val="00C50106"/>
    <w:rsid w:val="00C50649"/>
    <w:rsid w:val="00C508DC"/>
    <w:rsid w:val="00C50A6B"/>
    <w:rsid w:val="00C578B2"/>
    <w:rsid w:val="00C62247"/>
    <w:rsid w:val="00C630BC"/>
    <w:rsid w:val="00C63685"/>
    <w:rsid w:val="00C66AA3"/>
    <w:rsid w:val="00C70F7B"/>
    <w:rsid w:val="00C72322"/>
    <w:rsid w:val="00C73C36"/>
    <w:rsid w:val="00C76A76"/>
    <w:rsid w:val="00C77E75"/>
    <w:rsid w:val="00C77F85"/>
    <w:rsid w:val="00C8371D"/>
    <w:rsid w:val="00C83F19"/>
    <w:rsid w:val="00C84D85"/>
    <w:rsid w:val="00C8519E"/>
    <w:rsid w:val="00C85E2C"/>
    <w:rsid w:val="00C867D3"/>
    <w:rsid w:val="00C90FBF"/>
    <w:rsid w:val="00C918A0"/>
    <w:rsid w:val="00C9425C"/>
    <w:rsid w:val="00C9479E"/>
    <w:rsid w:val="00C95108"/>
    <w:rsid w:val="00C9551F"/>
    <w:rsid w:val="00C95FF5"/>
    <w:rsid w:val="00C97BC2"/>
    <w:rsid w:val="00CA0208"/>
    <w:rsid w:val="00CA3826"/>
    <w:rsid w:val="00CA79D5"/>
    <w:rsid w:val="00CB1E14"/>
    <w:rsid w:val="00CB28EE"/>
    <w:rsid w:val="00CB2D0C"/>
    <w:rsid w:val="00CC255F"/>
    <w:rsid w:val="00CC4052"/>
    <w:rsid w:val="00CC4A9E"/>
    <w:rsid w:val="00CC5B84"/>
    <w:rsid w:val="00CD0E29"/>
    <w:rsid w:val="00CD0E6E"/>
    <w:rsid w:val="00CD19A7"/>
    <w:rsid w:val="00CD3A30"/>
    <w:rsid w:val="00CD62E2"/>
    <w:rsid w:val="00CD654A"/>
    <w:rsid w:val="00CD797A"/>
    <w:rsid w:val="00CE082E"/>
    <w:rsid w:val="00CE1479"/>
    <w:rsid w:val="00CE1D29"/>
    <w:rsid w:val="00CE1D54"/>
    <w:rsid w:val="00CE3715"/>
    <w:rsid w:val="00CE37EA"/>
    <w:rsid w:val="00CE606E"/>
    <w:rsid w:val="00CE7106"/>
    <w:rsid w:val="00CE790F"/>
    <w:rsid w:val="00CF0233"/>
    <w:rsid w:val="00CF3069"/>
    <w:rsid w:val="00CF35C7"/>
    <w:rsid w:val="00CF4155"/>
    <w:rsid w:val="00CF557E"/>
    <w:rsid w:val="00CF71B9"/>
    <w:rsid w:val="00D00169"/>
    <w:rsid w:val="00D025F9"/>
    <w:rsid w:val="00D02B5D"/>
    <w:rsid w:val="00D02BBF"/>
    <w:rsid w:val="00D02E0A"/>
    <w:rsid w:val="00D0698E"/>
    <w:rsid w:val="00D06FC0"/>
    <w:rsid w:val="00D079D9"/>
    <w:rsid w:val="00D11D3D"/>
    <w:rsid w:val="00D13DC1"/>
    <w:rsid w:val="00D1421D"/>
    <w:rsid w:val="00D142E1"/>
    <w:rsid w:val="00D1569C"/>
    <w:rsid w:val="00D21646"/>
    <w:rsid w:val="00D21A24"/>
    <w:rsid w:val="00D24DF1"/>
    <w:rsid w:val="00D257EE"/>
    <w:rsid w:val="00D25D23"/>
    <w:rsid w:val="00D268FE"/>
    <w:rsid w:val="00D272E5"/>
    <w:rsid w:val="00D4022C"/>
    <w:rsid w:val="00D40740"/>
    <w:rsid w:val="00D41EEF"/>
    <w:rsid w:val="00D4266A"/>
    <w:rsid w:val="00D441BC"/>
    <w:rsid w:val="00D44A98"/>
    <w:rsid w:val="00D46F35"/>
    <w:rsid w:val="00D506EC"/>
    <w:rsid w:val="00D516F5"/>
    <w:rsid w:val="00D51FB8"/>
    <w:rsid w:val="00D553D1"/>
    <w:rsid w:val="00D619E5"/>
    <w:rsid w:val="00D6265C"/>
    <w:rsid w:val="00D63C54"/>
    <w:rsid w:val="00D6694C"/>
    <w:rsid w:val="00D67062"/>
    <w:rsid w:val="00D71096"/>
    <w:rsid w:val="00D718D0"/>
    <w:rsid w:val="00D72315"/>
    <w:rsid w:val="00D73F7B"/>
    <w:rsid w:val="00D755EB"/>
    <w:rsid w:val="00D77133"/>
    <w:rsid w:val="00D77613"/>
    <w:rsid w:val="00D800D9"/>
    <w:rsid w:val="00D80A08"/>
    <w:rsid w:val="00D81631"/>
    <w:rsid w:val="00D822A0"/>
    <w:rsid w:val="00D833D8"/>
    <w:rsid w:val="00D83DD4"/>
    <w:rsid w:val="00D83E64"/>
    <w:rsid w:val="00D84219"/>
    <w:rsid w:val="00D84C40"/>
    <w:rsid w:val="00D867F1"/>
    <w:rsid w:val="00D90484"/>
    <w:rsid w:val="00D91E20"/>
    <w:rsid w:val="00D932C3"/>
    <w:rsid w:val="00D95C92"/>
    <w:rsid w:val="00DA101D"/>
    <w:rsid w:val="00DA1CBD"/>
    <w:rsid w:val="00DA2A34"/>
    <w:rsid w:val="00DA4F05"/>
    <w:rsid w:val="00DA6AB9"/>
    <w:rsid w:val="00DB04DB"/>
    <w:rsid w:val="00DB0D2F"/>
    <w:rsid w:val="00DB0DFE"/>
    <w:rsid w:val="00DB3187"/>
    <w:rsid w:val="00DB3C61"/>
    <w:rsid w:val="00DB4015"/>
    <w:rsid w:val="00DC16AA"/>
    <w:rsid w:val="00DC1D6B"/>
    <w:rsid w:val="00DC2254"/>
    <w:rsid w:val="00DC2AB1"/>
    <w:rsid w:val="00DC458F"/>
    <w:rsid w:val="00DC5CB4"/>
    <w:rsid w:val="00DC6379"/>
    <w:rsid w:val="00DD13B3"/>
    <w:rsid w:val="00DD1A1D"/>
    <w:rsid w:val="00DD28DC"/>
    <w:rsid w:val="00DD4914"/>
    <w:rsid w:val="00DD569E"/>
    <w:rsid w:val="00DD59CA"/>
    <w:rsid w:val="00DD613B"/>
    <w:rsid w:val="00DD67F9"/>
    <w:rsid w:val="00DD6954"/>
    <w:rsid w:val="00DD6FD9"/>
    <w:rsid w:val="00DE48AC"/>
    <w:rsid w:val="00DE5211"/>
    <w:rsid w:val="00DE56FF"/>
    <w:rsid w:val="00DE6A37"/>
    <w:rsid w:val="00DE76AC"/>
    <w:rsid w:val="00DE7A07"/>
    <w:rsid w:val="00DF2995"/>
    <w:rsid w:val="00DF37AB"/>
    <w:rsid w:val="00DF661C"/>
    <w:rsid w:val="00DF68A0"/>
    <w:rsid w:val="00DF6D51"/>
    <w:rsid w:val="00DF7456"/>
    <w:rsid w:val="00E005BD"/>
    <w:rsid w:val="00E01380"/>
    <w:rsid w:val="00E0141B"/>
    <w:rsid w:val="00E019C3"/>
    <w:rsid w:val="00E03084"/>
    <w:rsid w:val="00E0395A"/>
    <w:rsid w:val="00E0457D"/>
    <w:rsid w:val="00E07A56"/>
    <w:rsid w:val="00E109CF"/>
    <w:rsid w:val="00E10E07"/>
    <w:rsid w:val="00E11599"/>
    <w:rsid w:val="00E1214F"/>
    <w:rsid w:val="00E146B3"/>
    <w:rsid w:val="00E1476A"/>
    <w:rsid w:val="00E1774D"/>
    <w:rsid w:val="00E17A1D"/>
    <w:rsid w:val="00E20C8F"/>
    <w:rsid w:val="00E231D6"/>
    <w:rsid w:val="00E237C6"/>
    <w:rsid w:val="00E264E1"/>
    <w:rsid w:val="00E319A4"/>
    <w:rsid w:val="00E31F35"/>
    <w:rsid w:val="00E31F75"/>
    <w:rsid w:val="00E332CD"/>
    <w:rsid w:val="00E33BD4"/>
    <w:rsid w:val="00E365ED"/>
    <w:rsid w:val="00E36689"/>
    <w:rsid w:val="00E366EF"/>
    <w:rsid w:val="00E37558"/>
    <w:rsid w:val="00E40119"/>
    <w:rsid w:val="00E4144F"/>
    <w:rsid w:val="00E454C3"/>
    <w:rsid w:val="00E45D90"/>
    <w:rsid w:val="00E52E6B"/>
    <w:rsid w:val="00E532EA"/>
    <w:rsid w:val="00E542DD"/>
    <w:rsid w:val="00E555AB"/>
    <w:rsid w:val="00E55BF4"/>
    <w:rsid w:val="00E56B93"/>
    <w:rsid w:val="00E62A28"/>
    <w:rsid w:val="00E67412"/>
    <w:rsid w:val="00E7038D"/>
    <w:rsid w:val="00E729ED"/>
    <w:rsid w:val="00E72D1F"/>
    <w:rsid w:val="00E74682"/>
    <w:rsid w:val="00E77870"/>
    <w:rsid w:val="00E818AA"/>
    <w:rsid w:val="00E821AD"/>
    <w:rsid w:val="00E83485"/>
    <w:rsid w:val="00E84258"/>
    <w:rsid w:val="00E852C8"/>
    <w:rsid w:val="00E85694"/>
    <w:rsid w:val="00E87752"/>
    <w:rsid w:val="00E91F09"/>
    <w:rsid w:val="00E9209D"/>
    <w:rsid w:val="00E92BB7"/>
    <w:rsid w:val="00E9412C"/>
    <w:rsid w:val="00EA5C72"/>
    <w:rsid w:val="00EA6E48"/>
    <w:rsid w:val="00EB2FFE"/>
    <w:rsid w:val="00EB4AC7"/>
    <w:rsid w:val="00EB5C25"/>
    <w:rsid w:val="00EB678F"/>
    <w:rsid w:val="00EB7742"/>
    <w:rsid w:val="00EC02B6"/>
    <w:rsid w:val="00EC1EF5"/>
    <w:rsid w:val="00EC5A4F"/>
    <w:rsid w:val="00EC7569"/>
    <w:rsid w:val="00EC7F16"/>
    <w:rsid w:val="00ED4D53"/>
    <w:rsid w:val="00ED76DD"/>
    <w:rsid w:val="00EE019F"/>
    <w:rsid w:val="00EE12F9"/>
    <w:rsid w:val="00EE14EC"/>
    <w:rsid w:val="00EE2843"/>
    <w:rsid w:val="00EE3BD9"/>
    <w:rsid w:val="00EE4381"/>
    <w:rsid w:val="00EF0037"/>
    <w:rsid w:val="00EF0125"/>
    <w:rsid w:val="00EF0619"/>
    <w:rsid w:val="00EF07C2"/>
    <w:rsid w:val="00EF11BA"/>
    <w:rsid w:val="00EF2C0B"/>
    <w:rsid w:val="00EF3313"/>
    <w:rsid w:val="00EF4C2C"/>
    <w:rsid w:val="00F03BB2"/>
    <w:rsid w:val="00F05454"/>
    <w:rsid w:val="00F076FA"/>
    <w:rsid w:val="00F117DE"/>
    <w:rsid w:val="00F11A08"/>
    <w:rsid w:val="00F11B08"/>
    <w:rsid w:val="00F1404A"/>
    <w:rsid w:val="00F178BB"/>
    <w:rsid w:val="00F207AC"/>
    <w:rsid w:val="00F2101C"/>
    <w:rsid w:val="00F22E20"/>
    <w:rsid w:val="00F240FE"/>
    <w:rsid w:val="00F24E53"/>
    <w:rsid w:val="00F26363"/>
    <w:rsid w:val="00F267D9"/>
    <w:rsid w:val="00F2796C"/>
    <w:rsid w:val="00F27F7F"/>
    <w:rsid w:val="00F302D2"/>
    <w:rsid w:val="00F30675"/>
    <w:rsid w:val="00F32119"/>
    <w:rsid w:val="00F333F5"/>
    <w:rsid w:val="00F35830"/>
    <w:rsid w:val="00F3799D"/>
    <w:rsid w:val="00F40B24"/>
    <w:rsid w:val="00F41563"/>
    <w:rsid w:val="00F4257E"/>
    <w:rsid w:val="00F4490A"/>
    <w:rsid w:val="00F456C5"/>
    <w:rsid w:val="00F503AE"/>
    <w:rsid w:val="00F51698"/>
    <w:rsid w:val="00F5183A"/>
    <w:rsid w:val="00F52B32"/>
    <w:rsid w:val="00F531CA"/>
    <w:rsid w:val="00F544B8"/>
    <w:rsid w:val="00F547E3"/>
    <w:rsid w:val="00F54D06"/>
    <w:rsid w:val="00F565C2"/>
    <w:rsid w:val="00F56FC1"/>
    <w:rsid w:val="00F63921"/>
    <w:rsid w:val="00F64D2D"/>
    <w:rsid w:val="00F67498"/>
    <w:rsid w:val="00F7091B"/>
    <w:rsid w:val="00F70BF8"/>
    <w:rsid w:val="00F70D05"/>
    <w:rsid w:val="00F72D41"/>
    <w:rsid w:val="00F73042"/>
    <w:rsid w:val="00F731EC"/>
    <w:rsid w:val="00F731F2"/>
    <w:rsid w:val="00F73FA8"/>
    <w:rsid w:val="00F75BE2"/>
    <w:rsid w:val="00F75E8A"/>
    <w:rsid w:val="00F83739"/>
    <w:rsid w:val="00F83C07"/>
    <w:rsid w:val="00F86A0D"/>
    <w:rsid w:val="00F905B2"/>
    <w:rsid w:val="00F912FC"/>
    <w:rsid w:val="00F917CB"/>
    <w:rsid w:val="00F918AF"/>
    <w:rsid w:val="00F91BAA"/>
    <w:rsid w:val="00F91DF3"/>
    <w:rsid w:val="00F9775A"/>
    <w:rsid w:val="00F97F7C"/>
    <w:rsid w:val="00FA097F"/>
    <w:rsid w:val="00FA1723"/>
    <w:rsid w:val="00FA26C4"/>
    <w:rsid w:val="00FA2C2F"/>
    <w:rsid w:val="00FA6009"/>
    <w:rsid w:val="00FA611A"/>
    <w:rsid w:val="00FA6312"/>
    <w:rsid w:val="00FB0353"/>
    <w:rsid w:val="00FB22B5"/>
    <w:rsid w:val="00FC28FF"/>
    <w:rsid w:val="00FC2ECB"/>
    <w:rsid w:val="00FC383E"/>
    <w:rsid w:val="00FC57A7"/>
    <w:rsid w:val="00FC7CC2"/>
    <w:rsid w:val="00FC7E77"/>
    <w:rsid w:val="00FD0299"/>
    <w:rsid w:val="00FD0A51"/>
    <w:rsid w:val="00FD1CDE"/>
    <w:rsid w:val="00FD33A1"/>
    <w:rsid w:val="00FD4FAA"/>
    <w:rsid w:val="00FD66FB"/>
    <w:rsid w:val="00FD6C76"/>
    <w:rsid w:val="00FE0B70"/>
    <w:rsid w:val="00FE2C97"/>
    <w:rsid w:val="00FE4952"/>
    <w:rsid w:val="00FE6C6F"/>
    <w:rsid w:val="00FE72DE"/>
    <w:rsid w:val="00FF0E58"/>
    <w:rsid w:val="00FF2E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4F85207B"/>
  <w15:docId w15:val="{1F7B34A6-08C4-4B2C-9D2A-52E0A775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4F1"/>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61A"/>
    <w:pPr>
      <w:ind w:left="720"/>
      <w:contextualSpacing/>
    </w:pPr>
  </w:style>
  <w:style w:type="paragraph" w:styleId="Header">
    <w:name w:val="header"/>
    <w:basedOn w:val="Normal"/>
    <w:link w:val="HeaderChar"/>
    <w:uiPriority w:val="99"/>
    <w:unhideWhenUsed/>
    <w:rsid w:val="00F4257E"/>
    <w:pPr>
      <w:tabs>
        <w:tab w:val="center" w:pos="4513"/>
        <w:tab w:val="right" w:pos="9026"/>
      </w:tabs>
    </w:pPr>
  </w:style>
  <w:style w:type="character" w:customStyle="1" w:styleId="HeaderChar">
    <w:name w:val="Header Char"/>
    <w:basedOn w:val="DefaultParagraphFont"/>
    <w:link w:val="Header"/>
    <w:uiPriority w:val="99"/>
    <w:rsid w:val="00F4257E"/>
    <w:rPr>
      <w:rFonts w:ascii="Arial" w:eastAsia="Times New Roman" w:hAnsi="Arial" w:cs="Arial"/>
      <w:sz w:val="24"/>
      <w:szCs w:val="24"/>
      <w:lang w:val="en-US" w:eastAsia="en-GB"/>
    </w:rPr>
  </w:style>
  <w:style w:type="paragraph" w:styleId="Footer">
    <w:name w:val="footer"/>
    <w:basedOn w:val="Normal"/>
    <w:link w:val="FooterChar"/>
    <w:uiPriority w:val="99"/>
    <w:unhideWhenUsed/>
    <w:rsid w:val="00F4257E"/>
    <w:pPr>
      <w:tabs>
        <w:tab w:val="center" w:pos="4513"/>
        <w:tab w:val="right" w:pos="9026"/>
      </w:tabs>
    </w:pPr>
  </w:style>
  <w:style w:type="character" w:customStyle="1" w:styleId="FooterChar">
    <w:name w:val="Footer Char"/>
    <w:basedOn w:val="DefaultParagraphFont"/>
    <w:link w:val="Footer"/>
    <w:uiPriority w:val="99"/>
    <w:rsid w:val="00F4257E"/>
    <w:rPr>
      <w:rFonts w:ascii="Arial" w:eastAsia="Times New Roman" w:hAnsi="Arial" w:cs="Arial"/>
      <w:sz w:val="24"/>
      <w:szCs w:val="24"/>
      <w:lang w:val="en-US" w:eastAsia="en-GB"/>
    </w:rPr>
  </w:style>
  <w:style w:type="paragraph" w:styleId="BalloonText">
    <w:name w:val="Balloon Text"/>
    <w:basedOn w:val="Normal"/>
    <w:link w:val="BalloonTextChar"/>
    <w:uiPriority w:val="99"/>
    <w:semiHidden/>
    <w:unhideWhenUsed/>
    <w:rsid w:val="0026490A"/>
    <w:rPr>
      <w:rFonts w:ascii="Tahoma" w:hAnsi="Tahoma" w:cs="Tahoma"/>
      <w:sz w:val="16"/>
      <w:szCs w:val="16"/>
    </w:rPr>
  </w:style>
  <w:style w:type="character" w:customStyle="1" w:styleId="BalloonTextChar">
    <w:name w:val="Balloon Text Char"/>
    <w:basedOn w:val="DefaultParagraphFont"/>
    <w:link w:val="BalloonText"/>
    <w:uiPriority w:val="99"/>
    <w:semiHidden/>
    <w:rsid w:val="0026490A"/>
    <w:rPr>
      <w:rFonts w:ascii="Tahoma" w:eastAsia="Times New Roman" w:hAnsi="Tahoma" w:cs="Tahoma"/>
      <w:sz w:val="16"/>
      <w:szCs w:val="16"/>
      <w:lang w:eastAsia="en-GB"/>
    </w:rPr>
  </w:style>
  <w:style w:type="paragraph" w:styleId="FootnoteText">
    <w:name w:val="footnote text"/>
    <w:basedOn w:val="Normal"/>
    <w:link w:val="FootnoteTextChar"/>
    <w:uiPriority w:val="99"/>
    <w:semiHidden/>
    <w:unhideWhenUsed/>
    <w:rsid w:val="00D932C3"/>
    <w:rPr>
      <w:sz w:val="20"/>
      <w:szCs w:val="20"/>
    </w:rPr>
  </w:style>
  <w:style w:type="character" w:customStyle="1" w:styleId="FootnoteTextChar">
    <w:name w:val="Footnote Text Char"/>
    <w:basedOn w:val="DefaultParagraphFont"/>
    <w:link w:val="FootnoteText"/>
    <w:uiPriority w:val="99"/>
    <w:semiHidden/>
    <w:rsid w:val="00D932C3"/>
    <w:rPr>
      <w:rFonts w:ascii="Arial" w:eastAsia="Times New Roman" w:hAnsi="Arial" w:cs="Arial"/>
      <w:sz w:val="20"/>
      <w:szCs w:val="20"/>
      <w:lang w:eastAsia="en-GB"/>
    </w:rPr>
  </w:style>
  <w:style w:type="character" w:styleId="FootnoteReference">
    <w:name w:val="footnote reference"/>
    <w:basedOn w:val="DefaultParagraphFont"/>
    <w:uiPriority w:val="99"/>
    <w:unhideWhenUsed/>
    <w:rsid w:val="00D932C3"/>
    <w:rPr>
      <w:vertAlign w:val="superscript"/>
    </w:rPr>
  </w:style>
  <w:style w:type="character" w:styleId="PlaceholderText">
    <w:name w:val="Placeholder Text"/>
    <w:basedOn w:val="DefaultParagraphFont"/>
    <w:uiPriority w:val="99"/>
    <w:semiHidden/>
    <w:rsid w:val="00D506EC"/>
    <w:rPr>
      <w:color w:val="808080"/>
    </w:rPr>
  </w:style>
  <w:style w:type="character" w:styleId="Hyperlink">
    <w:name w:val="Hyperlink"/>
    <w:basedOn w:val="DefaultParagraphFont"/>
    <w:uiPriority w:val="99"/>
    <w:unhideWhenUsed/>
    <w:rsid w:val="003B5B98"/>
    <w:rPr>
      <w:color w:val="0000FF" w:themeColor="hyperlink"/>
      <w:u w:val="single"/>
    </w:rPr>
  </w:style>
  <w:style w:type="paragraph" w:styleId="NormalWeb">
    <w:name w:val="Normal (Web)"/>
    <w:basedOn w:val="Normal"/>
    <w:uiPriority w:val="99"/>
    <w:semiHidden/>
    <w:unhideWhenUsed/>
    <w:rsid w:val="007C732B"/>
    <w:pPr>
      <w:spacing w:before="100" w:beforeAutospacing="1" w:after="100" w:afterAutospacing="1"/>
    </w:pPr>
    <w:rPr>
      <w:rFonts w:ascii="Times New Roman" w:hAnsi="Times New Roman" w:cs="Times New Roman"/>
      <w:lang w:eastAsia="en-ZA"/>
    </w:rPr>
  </w:style>
  <w:style w:type="paragraph" w:customStyle="1" w:styleId="StyleArialLinespacing15lines">
    <w:name w:val="Style Arial Line spacing:  1.5 lines"/>
    <w:basedOn w:val="Normal"/>
    <w:rsid w:val="00165642"/>
    <w:pPr>
      <w:widowControl w:val="0"/>
      <w:numPr>
        <w:numId w:val="28"/>
      </w:numPr>
      <w:snapToGrid w:val="0"/>
      <w:spacing w:line="480" w:lineRule="auto"/>
      <w:jc w:val="both"/>
    </w:pPr>
    <w:rPr>
      <w:rFonts w:cs="Times New Roman"/>
      <w:szCs w:val="20"/>
      <w:lang w:val="en-US" w:eastAsia="en-US"/>
    </w:rPr>
  </w:style>
  <w:style w:type="table" w:styleId="TableGrid">
    <w:name w:val="Table Grid"/>
    <w:basedOn w:val="TableNormal"/>
    <w:uiPriority w:val="59"/>
    <w:rsid w:val="00CF3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4219"/>
    <w:pPr>
      <w:spacing w:after="0" w:line="240"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66033">
      <w:bodyDiv w:val="1"/>
      <w:marLeft w:val="0"/>
      <w:marRight w:val="0"/>
      <w:marTop w:val="0"/>
      <w:marBottom w:val="0"/>
      <w:divBdr>
        <w:top w:val="none" w:sz="0" w:space="0" w:color="auto"/>
        <w:left w:val="none" w:sz="0" w:space="0" w:color="auto"/>
        <w:bottom w:val="none" w:sz="0" w:space="0" w:color="auto"/>
        <w:right w:val="none" w:sz="0" w:space="0" w:color="auto"/>
      </w:divBdr>
    </w:div>
    <w:div w:id="844174563">
      <w:bodyDiv w:val="1"/>
      <w:marLeft w:val="0"/>
      <w:marRight w:val="0"/>
      <w:marTop w:val="0"/>
      <w:marBottom w:val="0"/>
      <w:divBdr>
        <w:top w:val="none" w:sz="0" w:space="0" w:color="auto"/>
        <w:left w:val="none" w:sz="0" w:space="0" w:color="auto"/>
        <w:bottom w:val="none" w:sz="0" w:space="0" w:color="auto"/>
        <w:right w:val="none" w:sz="0" w:space="0" w:color="auto"/>
      </w:divBdr>
    </w:div>
    <w:div w:id="110325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5.png@01D12061.663682A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e5d8bf4-e976-4310-89b5-20300ef8baa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1D95C76428574B873CEE1619370A7A" ma:contentTypeVersion="14" ma:contentTypeDescription="Create a new document." ma:contentTypeScope="" ma:versionID="18e2e0272a66a14f8d58afa829977b42">
  <xsd:schema xmlns:xsd="http://www.w3.org/2001/XMLSchema" xmlns:xs="http://www.w3.org/2001/XMLSchema" xmlns:p="http://schemas.microsoft.com/office/2006/metadata/properties" xmlns:ns3="e39957ab-e58e-42eb-a911-c565ce8fefa7" xmlns:ns4="2e5d8bf4-e976-4310-89b5-20300ef8baa9" targetNamespace="http://schemas.microsoft.com/office/2006/metadata/properties" ma:root="true" ma:fieldsID="39c039440709e97aa5bcbbd262abfe09" ns3:_="" ns4:_="">
    <xsd:import namespace="e39957ab-e58e-42eb-a911-c565ce8fefa7"/>
    <xsd:import namespace="2e5d8bf4-e976-4310-89b5-20300ef8ba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_activity"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957ab-e58e-42eb-a911-c565ce8fef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5d8bf4-e976-4310-89b5-20300ef8ba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750D4-F418-4A45-AA16-874BB56AA577}">
  <ds:schemaRefs>
    <ds:schemaRef ds:uri="2e5d8bf4-e976-4310-89b5-20300ef8baa9"/>
    <ds:schemaRef ds:uri="http://purl.org/dc/terms/"/>
    <ds:schemaRef ds:uri="http://purl.org/dc/elements/1.1/"/>
    <ds:schemaRef ds:uri="http://www.w3.org/XML/1998/namespace"/>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e39957ab-e58e-42eb-a911-c565ce8fefa7"/>
  </ds:schemaRefs>
</ds:datastoreItem>
</file>

<file path=customXml/itemProps2.xml><?xml version="1.0" encoding="utf-8"?>
<ds:datastoreItem xmlns:ds="http://schemas.openxmlformats.org/officeDocument/2006/customXml" ds:itemID="{AE284764-F352-4076-B014-D1B5C30D8074}">
  <ds:schemaRefs>
    <ds:schemaRef ds:uri="http://schemas.microsoft.com/sharepoint/v3/contenttype/forms"/>
  </ds:schemaRefs>
</ds:datastoreItem>
</file>

<file path=customXml/itemProps3.xml><?xml version="1.0" encoding="utf-8"?>
<ds:datastoreItem xmlns:ds="http://schemas.openxmlformats.org/officeDocument/2006/customXml" ds:itemID="{6D2CBF46-75AC-4A22-BE55-1DE8F13EC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957ab-e58e-42eb-a911-c565ce8fefa7"/>
    <ds:schemaRef ds:uri="2e5d8bf4-e976-4310-89b5-20300ef8b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72BB27-43F2-46DB-87D9-57D44A2A3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17</Pages>
  <Words>3585</Words>
  <Characters>20441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Kay</dc:creator>
  <cp:lastModifiedBy>Gillian Kay</cp:lastModifiedBy>
  <cp:revision>68</cp:revision>
  <cp:lastPrinted>2023-11-24T09:07:00Z</cp:lastPrinted>
  <dcterms:created xsi:type="dcterms:W3CDTF">2023-11-21T09:15:00Z</dcterms:created>
  <dcterms:modified xsi:type="dcterms:W3CDTF">2023-11-28T06:37:00Z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0x010100A51D95C76428574B873CEE1619370A7A</vt:lpwstr>
  </property>
</Properties>
</file>