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0BE36" w14:textId="77777777" w:rsidR="00000E00" w:rsidRPr="00054340" w:rsidRDefault="00000E00" w:rsidP="00000E00">
      <w:pPr>
        <w:jc w:val="center"/>
        <w:rPr>
          <w:rFonts w:ascii="Arial" w:hAnsi="Arial" w:cs="Arial"/>
        </w:rPr>
      </w:pPr>
      <w:bookmarkStart w:id="0" w:name="_GoBack"/>
      <w:bookmarkEnd w:id="0"/>
      <w:r w:rsidRPr="00054340">
        <w:rPr>
          <w:rFonts w:ascii="Arial" w:hAnsi="Arial" w:cs="Arial"/>
          <w:noProof/>
          <w:color w:val="1F497D"/>
          <w:sz w:val="16"/>
          <w:szCs w:val="16"/>
          <w:lang w:eastAsia="en-ZA"/>
        </w:rPr>
        <w:drawing>
          <wp:inline distT="0" distB="0" distL="0" distR="0" wp14:anchorId="77EB0D61" wp14:editId="0F6D363B">
            <wp:extent cx="1019175" cy="1019175"/>
            <wp:effectExtent l="0" t="0" r="9525" b="9525"/>
            <wp:docPr id="1" name="Picture 1"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1214.FDB52C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6E6E1906" w14:textId="77777777" w:rsidR="00000E00" w:rsidRPr="00054340" w:rsidRDefault="00000E00" w:rsidP="00000E00">
      <w:pPr>
        <w:spacing w:after="0"/>
        <w:jc w:val="center"/>
        <w:rPr>
          <w:rFonts w:ascii="Arial" w:hAnsi="Arial" w:cs="Arial"/>
          <w:b/>
          <w:bCs/>
        </w:rPr>
      </w:pPr>
      <w:r w:rsidRPr="00054340">
        <w:rPr>
          <w:rFonts w:ascii="Arial" w:hAnsi="Arial" w:cs="Arial"/>
          <w:b/>
          <w:bCs/>
        </w:rPr>
        <w:t>IN THE HIGH COURT OF SOUTH AFRICA</w:t>
      </w:r>
    </w:p>
    <w:p w14:paraId="10C2DB3E" w14:textId="77777777" w:rsidR="00000E00" w:rsidRPr="00054340" w:rsidRDefault="00000E00" w:rsidP="00000E00">
      <w:pPr>
        <w:spacing w:after="0"/>
        <w:jc w:val="center"/>
        <w:rPr>
          <w:rFonts w:ascii="Arial" w:hAnsi="Arial" w:cs="Arial"/>
          <w:b/>
          <w:bCs/>
        </w:rPr>
      </w:pPr>
      <w:r w:rsidRPr="00054340">
        <w:rPr>
          <w:rFonts w:ascii="Arial" w:hAnsi="Arial" w:cs="Arial"/>
          <w:b/>
          <w:bCs/>
        </w:rPr>
        <w:t>(WESTERN CAPE DIVISION, CAPE TOWN)</w:t>
      </w:r>
    </w:p>
    <w:p w14:paraId="1E6187E8" w14:textId="77777777" w:rsidR="00000E00" w:rsidRPr="00054340" w:rsidRDefault="00000E00" w:rsidP="00000E00">
      <w:pPr>
        <w:jc w:val="center"/>
        <w:rPr>
          <w:rFonts w:ascii="Arial" w:hAnsi="Arial" w:cs="Arial"/>
          <w:b/>
          <w:bCs/>
        </w:rPr>
      </w:pPr>
    </w:p>
    <w:p w14:paraId="1EA79378" w14:textId="1FB51063" w:rsidR="00000E00" w:rsidRPr="00054340" w:rsidRDefault="00000E00" w:rsidP="00000E00">
      <w:pPr>
        <w:jc w:val="right"/>
        <w:rPr>
          <w:rFonts w:ascii="Arial" w:hAnsi="Arial" w:cs="Arial"/>
          <w:b/>
        </w:rPr>
      </w:pPr>
      <w:r>
        <w:rPr>
          <w:rFonts w:ascii="Arial" w:hAnsi="Arial" w:cs="Arial"/>
          <w:b/>
        </w:rPr>
        <w:t>CASE NO: 3970/2021</w:t>
      </w:r>
    </w:p>
    <w:p w14:paraId="1DD12150" w14:textId="77777777" w:rsidR="00000E00" w:rsidRPr="00054340" w:rsidRDefault="00000E00" w:rsidP="00000E00">
      <w:pPr>
        <w:jc w:val="right"/>
        <w:rPr>
          <w:rFonts w:ascii="Arial" w:hAnsi="Arial" w:cs="Arial"/>
          <w:b/>
        </w:rPr>
      </w:pPr>
    </w:p>
    <w:p w14:paraId="7AF7AECF" w14:textId="77777777" w:rsidR="00000E00" w:rsidRPr="00054340" w:rsidRDefault="00000E00" w:rsidP="00000E00">
      <w:pPr>
        <w:rPr>
          <w:rFonts w:ascii="Arial" w:hAnsi="Arial" w:cs="Arial"/>
          <w:b/>
        </w:rPr>
      </w:pPr>
      <w:r w:rsidRPr="00054340">
        <w:rPr>
          <w:rFonts w:ascii="Arial" w:hAnsi="Arial" w:cs="Arial"/>
          <w:b/>
        </w:rPr>
        <w:t>In the matter between:</w:t>
      </w:r>
    </w:p>
    <w:p w14:paraId="0AFA369C" w14:textId="77777777" w:rsidR="00000E00" w:rsidRPr="00054340" w:rsidRDefault="00000E00" w:rsidP="00000E00">
      <w:pPr>
        <w:rPr>
          <w:rFonts w:ascii="Arial" w:hAnsi="Arial" w:cs="Arial"/>
        </w:rPr>
      </w:pPr>
    </w:p>
    <w:p w14:paraId="7569A29C" w14:textId="523B9E58" w:rsidR="00000E00" w:rsidRPr="00054340" w:rsidRDefault="00000E00" w:rsidP="00000E00">
      <w:pPr>
        <w:spacing w:after="0" w:line="360" w:lineRule="auto"/>
        <w:rPr>
          <w:rFonts w:ascii="Arial" w:hAnsi="Arial" w:cs="Arial"/>
          <w:b/>
        </w:rPr>
      </w:pPr>
      <w:r>
        <w:rPr>
          <w:rFonts w:ascii="Arial" w:hAnsi="Arial" w:cs="Arial"/>
          <w:b/>
        </w:rPr>
        <w:t xml:space="preserve">TAWANDA CRISWELL MTEMACHANI                </w:t>
      </w:r>
      <w:r w:rsidRPr="00054340">
        <w:rPr>
          <w:rFonts w:ascii="Arial" w:hAnsi="Arial" w:cs="Arial"/>
          <w:b/>
        </w:rPr>
        <w:t xml:space="preserve">            </w:t>
      </w:r>
      <w:r>
        <w:rPr>
          <w:rFonts w:ascii="Arial" w:hAnsi="Arial" w:cs="Arial"/>
          <w:b/>
        </w:rPr>
        <w:t xml:space="preserve">                                       </w:t>
      </w:r>
      <w:r w:rsidRPr="00054340">
        <w:rPr>
          <w:rFonts w:ascii="Arial" w:hAnsi="Arial" w:cs="Arial"/>
          <w:b/>
        </w:rPr>
        <w:t>Applicant</w:t>
      </w:r>
    </w:p>
    <w:p w14:paraId="70903986" w14:textId="77777777" w:rsidR="00000E00" w:rsidRPr="00054340" w:rsidRDefault="00000E00" w:rsidP="00000E00">
      <w:pPr>
        <w:spacing w:after="0" w:line="360" w:lineRule="auto"/>
        <w:rPr>
          <w:rFonts w:ascii="Arial" w:hAnsi="Arial" w:cs="Arial"/>
          <w:b/>
        </w:rPr>
      </w:pPr>
    </w:p>
    <w:p w14:paraId="67FBB773" w14:textId="77777777" w:rsidR="00000E00" w:rsidRPr="00054340" w:rsidRDefault="00000E00" w:rsidP="00000E00">
      <w:pPr>
        <w:spacing w:after="0" w:line="360" w:lineRule="auto"/>
        <w:rPr>
          <w:rFonts w:ascii="Arial" w:hAnsi="Arial" w:cs="Arial"/>
          <w:b/>
        </w:rPr>
      </w:pPr>
      <w:r w:rsidRPr="00054340">
        <w:rPr>
          <w:rFonts w:ascii="Arial" w:hAnsi="Arial" w:cs="Arial"/>
          <w:b/>
        </w:rPr>
        <w:t xml:space="preserve">and </w:t>
      </w:r>
    </w:p>
    <w:p w14:paraId="3EB994AA" w14:textId="77777777" w:rsidR="00000E00" w:rsidRPr="00054340" w:rsidRDefault="00000E00" w:rsidP="00000E00">
      <w:pPr>
        <w:spacing w:after="0" w:line="360" w:lineRule="auto"/>
        <w:rPr>
          <w:rFonts w:ascii="Arial" w:hAnsi="Arial" w:cs="Arial"/>
          <w:b/>
        </w:rPr>
      </w:pPr>
    </w:p>
    <w:p w14:paraId="70890816" w14:textId="765477D2" w:rsidR="00000E00" w:rsidRPr="00054340" w:rsidRDefault="00000E00" w:rsidP="00000E00">
      <w:pPr>
        <w:spacing w:after="0" w:line="360" w:lineRule="auto"/>
        <w:rPr>
          <w:rFonts w:ascii="Arial" w:hAnsi="Arial" w:cs="Arial"/>
          <w:b/>
        </w:rPr>
      </w:pPr>
      <w:r>
        <w:rPr>
          <w:rFonts w:ascii="Arial" w:hAnsi="Arial" w:cs="Arial"/>
          <w:b/>
        </w:rPr>
        <w:t>DIRECTOR-GENERAL OF HOME AFFAIRS</w:t>
      </w:r>
      <w:r w:rsidRPr="00054340">
        <w:rPr>
          <w:rFonts w:ascii="Arial" w:hAnsi="Arial" w:cs="Arial"/>
          <w:b/>
        </w:rPr>
        <w:tab/>
      </w:r>
      <w:r w:rsidRPr="00054340">
        <w:rPr>
          <w:rFonts w:ascii="Arial" w:hAnsi="Arial" w:cs="Arial"/>
          <w:b/>
        </w:rPr>
        <w:tab/>
      </w:r>
      <w:r>
        <w:rPr>
          <w:rFonts w:ascii="Arial" w:hAnsi="Arial" w:cs="Arial"/>
          <w:b/>
        </w:rPr>
        <w:t xml:space="preserve">                       </w:t>
      </w:r>
      <w:r w:rsidRPr="00054340">
        <w:rPr>
          <w:rFonts w:ascii="Arial" w:hAnsi="Arial" w:cs="Arial"/>
          <w:b/>
        </w:rPr>
        <w:t xml:space="preserve">    1</w:t>
      </w:r>
      <w:r w:rsidRPr="00054340">
        <w:rPr>
          <w:rFonts w:ascii="Arial" w:hAnsi="Arial" w:cs="Arial"/>
          <w:b/>
          <w:vertAlign w:val="superscript"/>
        </w:rPr>
        <w:t>st</w:t>
      </w:r>
      <w:r w:rsidRPr="00054340">
        <w:rPr>
          <w:rFonts w:ascii="Arial" w:hAnsi="Arial" w:cs="Arial"/>
          <w:b/>
        </w:rPr>
        <w:t xml:space="preserve"> Respondent</w:t>
      </w:r>
    </w:p>
    <w:p w14:paraId="54081506" w14:textId="5B1A4BC4" w:rsidR="00000E00" w:rsidRPr="00054340" w:rsidRDefault="00000E00" w:rsidP="00000E00">
      <w:pPr>
        <w:spacing w:after="0" w:line="360" w:lineRule="auto"/>
        <w:rPr>
          <w:rFonts w:ascii="Arial" w:hAnsi="Arial" w:cs="Arial"/>
          <w:b/>
        </w:rPr>
      </w:pPr>
      <w:r>
        <w:rPr>
          <w:rFonts w:ascii="Arial" w:hAnsi="Arial" w:cs="Arial"/>
          <w:b/>
        </w:rPr>
        <w:t xml:space="preserve">MINISTER OF HOME AFFAIRS  </w:t>
      </w:r>
      <w:r w:rsidRPr="00054340">
        <w:rPr>
          <w:rFonts w:ascii="Arial" w:hAnsi="Arial" w:cs="Arial"/>
          <w:b/>
        </w:rPr>
        <w:t xml:space="preserve">                         </w:t>
      </w:r>
      <w:r>
        <w:rPr>
          <w:rFonts w:ascii="Arial" w:hAnsi="Arial" w:cs="Arial"/>
          <w:b/>
        </w:rPr>
        <w:t xml:space="preserve">                          </w:t>
      </w:r>
      <w:r w:rsidRPr="00054340">
        <w:rPr>
          <w:rFonts w:ascii="Arial" w:hAnsi="Arial" w:cs="Arial"/>
          <w:b/>
        </w:rPr>
        <w:t xml:space="preserve">                2</w:t>
      </w:r>
      <w:r w:rsidRPr="00054340">
        <w:rPr>
          <w:rFonts w:ascii="Arial" w:hAnsi="Arial" w:cs="Arial"/>
          <w:b/>
          <w:vertAlign w:val="superscript"/>
        </w:rPr>
        <w:t>nd</w:t>
      </w:r>
      <w:r w:rsidRPr="00054340">
        <w:rPr>
          <w:rFonts w:ascii="Arial" w:hAnsi="Arial" w:cs="Arial"/>
          <w:b/>
        </w:rPr>
        <w:t xml:space="preserve"> Respondent</w:t>
      </w:r>
    </w:p>
    <w:p w14:paraId="5297661E" w14:textId="312FA3A7" w:rsidR="00000E00" w:rsidRDefault="00000E00" w:rsidP="00000E00">
      <w:pPr>
        <w:spacing w:after="0"/>
        <w:rPr>
          <w:rFonts w:ascii="Arial" w:hAnsi="Arial" w:cs="Arial"/>
        </w:rPr>
      </w:pPr>
    </w:p>
    <w:p w14:paraId="0BA5FD6F" w14:textId="77777777" w:rsidR="00000E00" w:rsidRPr="00054340" w:rsidRDefault="00000E00" w:rsidP="00000E00">
      <w:pPr>
        <w:spacing w:after="0"/>
        <w:rPr>
          <w:rFonts w:ascii="Arial" w:hAnsi="Arial" w:cs="Arial"/>
        </w:rPr>
      </w:pPr>
    </w:p>
    <w:p w14:paraId="15356039" w14:textId="58C3AE8C" w:rsidR="00000E00" w:rsidRPr="00054340" w:rsidRDefault="00CE2793" w:rsidP="00000E00">
      <w:pPr>
        <w:spacing w:after="0"/>
        <w:rPr>
          <w:rFonts w:ascii="Arial" w:hAnsi="Arial" w:cs="Arial"/>
          <w:b/>
        </w:rPr>
      </w:pPr>
      <w:r>
        <w:rPr>
          <w:rFonts w:ascii="Arial" w:hAnsi="Arial" w:cs="Arial"/>
          <w:b/>
        </w:rPr>
        <w:t xml:space="preserve">Heard: </w:t>
      </w:r>
      <w:r>
        <w:rPr>
          <w:rFonts w:ascii="Arial" w:hAnsi="Arial" w:cs="Arial"/>
          <w:b/>
        </w:rPr>
        <w:tab/>
      </w:r>
      <w:r>
        <w:rPr>
          <w:rFonts w:ascii="Arial" w:hAnsi="Arial" w:cs="Arial"/>
          <w:b/>
        </w:rPr>
        <w:tab/>
      </w:r>
      <w:r w:rsidR="00000E00">
        <w:rPr>
          <w:rFonts w:ascii="Arial" w:hAnsi="Arial" w:cs="Arial"/>
          <w:b/>
        </w:rPr>
        <w:t>16</w:t>
      </w:r>
      <w:r w:rsidR="00000E00" w:rsidRPr="00054340">
        <w:rPr>
          <w:rFonts w:ascii="Arial" w:hAnsi="Arial" w:cs="Arial"/>
          <w:b/>
        </w:rPr>
        <w:t xml:space="preserve"> November 2023</w:t>
      </w:r>
    </w:p>
    <w:p w14:paraId="3BB91D95" w14:textId="6CE2CF25" w:rsidR="00000E00" w:rsidRPr="00054340" w:rsidRDefault="00000E00" w:rsidP="00000E00">
      <w:pPr>
        <w:spacing w:after="0"/>
        <w:rPr>
          <w:rFonts w:ascii="Arial" w:hAnsi="Arial" w:cs="Arial"/>
          <w:b/>
        </w:rPr>
      </w:pPr>
      <w:r w:rsidRPr="00054340">
        <w:rPr>
          <w:rFonts w:ascii="Arial" w:hAnsi="Arial" w:cs="Arial"/>
          <w:b/>
        </w:rPr>
        <w:t>Delivered:</w:t>
      </w:r>
      <w:r w:rsidRPr="00054340">
        <w:rPr>
          <w:rFonts w:ascii="Arial" w:hAnsi="Arial" w:cs="Arial"/>
          <w:b/>
        </w:rPr>
        <w:tab/>
      </w:r>
      <w:r w:rsidR="00CE2793">
        <w:rPr>
          <w:rFonts w:ascii="Arial" w:hAnsi="Arial" w:cs="Arial"/>
          <w:b/>
        </w:rPr>
        <w:tab/>
        <w:t>29 November 2023 (Electronically)</w:t>
      </w:r>
    </w:p>
    <w:p w14:paraId="47B0C3C8" w14:textId="77777777" w:rsidR="00000E00" w:rsidRPr="00054340" w:rsidRDefault="00000E00" w:rsidP="00000E00">
      <w:pPr>
        <w:pBdr>
          <w:bottom w:val="single" w:sz="4" w:space="1" w:color="auto"/>
        </w:pBdr>
        <w:rPr>
          <w:rFonts w:ascii="Arial" w:hAnsi="Arial" w:cs="Arial"/>
          <w:b/>
        </w:rPr>
      </w:pPr>
    </w:p>
    <w:p w14:paraId="6353A3A6" w14:textId="77777777" w:rsidR="00000E00" w:rsidRPr="00054340" w:rsidRDefault="00000E00" w:rsidP="00000E00">
      <w:pPr>
        <w:rPr>
          <w:rFonts w:ascii="Arial" w:hAnsi="Arial" w:cs="Arial"/>
          <w:b/>
        </w:rPr>
      </w:pPr>
    </w:p>
    <w:p w14:paraId="1ABA08E6" w14:textId="77777777" w:rsidR="00000E00" w:rsidRPr="00054340" w:rsidRDefault="00000E00" w:rsidP="00000E00">
      <w:pPr>
        <w:pBdr>
          <w:bottom w:val="single" w:sz="12" w:space="1" w:color="auto"/>
        </w:pBdr>
        <w:jc w:val="center"/>
        <w:rPr>
          <w:rFonts w:ascii="Arial" w:hAnsi="Arial" w:cs="Arial"/>
          <w:b/>
          <w:bCs/>
        </w:rPr>
      </w:pPr>
      <w:r w:rsidRPr="00054340">
        <w:rPr>
          <w:rFonts w:ascii="Arial" w:hAnsi="Arial" w:cs="Arial"/>
          <w:b/>
          <w:bCs/>
        </w:rPr>
        <w:t>JUDGMENT</w:t>
      </w:r>
    </w:p>
    <w:p w14:paraId="6DF4211D" w14:textId="77777777" w:rsidR="00000E00" w:rsidRPr="00054340" w:rsidRDefault="00000E00" w:rsidP="00000E00">
      <w:pPr>
        <w:pBdr>
          <w:bottom w:val="single" w:sz="12" w:space="1" w:color="auto"/>
        </w:pBdr>
        <w:jc w:val="center"/>
        <w:rPr>
          <w:rFonts w:ascii="Arial" w:hAnsi="Arial" w:cs="Arial"/>
          <w:b/>
          <w:bCs/>
        </w:rPr>
      </w:pPr>
    </w:p>
    <w:p w14:paraId="49A75344" w14:textId="77777777" w:rsidR="00000E00" w:rsidRPr="00054340" w:rsidRDefault="00000E00" w:rsidP="00000E00">
      <w:pPr>
        <w:jc w:val="both"/>
        <w:rPr>
          <w:rFonts w:ascii="Arial" w:hAnsi="Arial" w:cs="Arial"/>
          <w:b/>
          <w:bCs/>
        </w:rPr>
      </w:pPr>
    </w:p>
    <w:p w14:paraId="333229C0" w14:textId="77777777" w:rsidR="00000E00" w:rsidRPr="00000E00" w:rsidRDefault="00000E00" w:rsidP="00000E00">
      <w:pPr>
        <w:jc w:val="both"/>
        <w:rPr>
          <w:rFonts w:ascii="Arial" w:hAnsi="Arial" w:cs="Arial"/>
          <w:b/>
          <w:sz w:val="24"/>
          <w:szCs w:val="24"/>
        </w:rPr>
      </w:pPr>
      <w:r w:rsidRPr="00000E00">
        <w:rPr>
          <w:rFonts w:ascii="Arial" w:hAnsi="Arial" w:cs="Arial"/>
          <w:b/>
          <w:sz w:val="24"/>
          <w:szCs w:val="24"/>
        </w:rPr>
        <w:t>PILLAY, AJ</w:t>
      </w:r>
    </w:p>
    <w:p w14:paraId="2678809F" w14:textId="77777777" w:rsidR="00000E00" w:rsidRPr="00054340" w:rsidRDefault="00000E00" w:rsidP="00000E00">
      <w:pPr>
        <w:rPr>
          <w:rFonts w:ascii="Arial" w:hAnsi="Arial" w:cs="Arial"/>
        </w:rPr>
      </w:pPr>
    </w:p>
    <w:p w14:paraId="4B3C32A0" w14:textId="3DC7E346" w:rsidR="00285E87" w:rsidRPr="007044B7" w:rsidRDefault="00F05F13" w:rsidP="00000E00">
      <w:pPr>
        <w:spacing w:before="120" w:after="360" w:line="480" w:lineRule="auto"/>
        <w:rPr>
          <w:rFonts w:ascii="Arial" w:hAnsi="Arial" w:cs="Arial"/>
          <w:b/>
          <w:bCs/>
          <w:sz w:val="24"/>
          <w:szCs w:val="24"/>
        </w:rPr>
      </w:pPr>
      <w:r w:rsidRPr="007044B7">
        <w:rPr>
          <w:rFonts w:ascii="Arial" w:hAnsi="Arial" w:cs="Arial"/>
          <w:b/>
          <w:bCs/>
          <w:sz w:val="24"/>
          <w:szCs w:val="24"/>
        </w:rPr>
        <w:t>INTRODUCTION</w:t>
      </w:r>
    </w:p>
    <w:p w14:paraId="090FBE12" w14:textId="435151C7" w:rsidR="00BA5B17"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1.</w:t>
      </w:r>
      <w:r w:rsidRPr="007044B7">
        <w:rPr>
          <w:rFonts w:ascii="Arial" w:hAnsi="Arial" w:cs="Arial"/>
          <w:sz w:val="24"/>
          <w:szCs w:val="24"/>
        </w:rPr>
        <w:tab/>
      </w:r>
      <w:r w:rsidR="00BA5B17" w:rsidRPr="00855EE9">
        <w:rPr>
          <w:rFonts w:ascii="Arial" w:hAnsi="Arial" w:cs="Arial"/>
          <w:sz w:val="24"/>
          <w:szCs w:val="24"/>
        </w:rPr>
        <w:t>Th</w:t>
      </w:r>
      <w:r w:rsidR="00DB3138" w:rsidRPr="00855EE9">
        <w:rPr>
          <w:rFonts w:ascii="Arial" w:hAnsi="Arial" w:cs="Arial"/>
          <w:sz w:val="24"/>
          <w:szCs w:val="24"/>
        </w:rPr>
        <w:t>is</w:t>
      </w:r>
      <w:r w:rsidR="00BA5B17" w:rsidRPr="00855EE9">
        <w:rPr>
          <w:rFonts w:ascii="Arial" w:hAnsi="Arial" w:cs="Arial"/>
          <w:sz w:val="24"/>
          <w:szCs w:val="24"/>
        </w:rPr>
        <w:t xml:space="preserve"> is an application for </w:t>
      </w:r>
      <w:r w:rsidR="00E318E7" w:rsidRPr="00855EE9">
        <w:rPr>
          <w:rFonts w:ascii="Arial" w:hAnsi="Arial" w:cs="Arial"/>
          <w:sz w:val="24"/>
          <w:szCs w:val="24"/>
        </w:rPr>
        <w:t xml:space="preserve">the </w:t>
      </w:r>
      <w:r w:rsidR="002F1AA3" w:rsidRPr="00855EE9">
        <w:rPr>
          <w:rFonts w:ascii="Arial" w:hAnsi="Arial" w:cs="Arial"/>
          <w:sz w:val="24"/>
          <w:szCs w:val="24"/>
        </w:rPr>
        <w:t>review and setting aside of the first and/or second respondent’s decision to uphold the refusal of the applicant’s application for a critical skills visa in terms of section 19 (</w:t>
      </w:r>
      <w:r w:rsidR="00F92CEC" w:rsidRPr="00855EE9">
        <w:rPr>
          <w:rFonts w:ascii="Arial" w:hAnsi="Arial" w:cs="Arial"/>
          <w:sz w:val="24"/>
          <w:szCs w:val="24"/>
        </w:rPr>
        <w:t>4</w:t>
      </w:r>
      <w:r w:rsidR="002F1AA3" w:rsidRPr="00855EE9">
        <w:rPr>
          <w:rFonts w:ascii="Arial" w:hAnsi="Arial" w:cs="Arial"/>
          <w:sz w:val="24"/>
          <w:szCs w:val="24"/>
        </w:rPr>
        <w:t xml:space="preserve">) of the </w:t>
      </w:r>
      <w:r w:rsidR="00F92CEC" w:rsidRPr="00855EE9">
        <w:rPr>
          <w:rFonts w:ascii="Arial" w:hAnsi="Arial" w:cs="Arial"/>
          <w:sz w:val="24"/>
          <w:szCs w:val="24"/>
        </w:rPr>
        <w:t>I</w:t>
      </w:r>
      <w:r w:rsidR="002F1AA3" w:rsidRPr="00855EE9">
        <w:rPr>
          <w:rFonts w:ascii="Arial" w:hAnsi="Arial" w:cs="Arial"/>
          <w:sz w:val="24"/>
          <w:szCs w:val="24"/>
        </w:rPr>
        <w:t xml:space="preserve">mmigration </w:t>
      </w:r>
      <w:r w:rsidR="00F92CEC" w:rsidRPr="00855EE9">
        <w:rPr>
          <w:rFonts w:ascii="Arial" w:hAnsi="Arial" w:cs="Arial"/>
          <w:sz w:val="24"/>
          <w:szCs w:val="24"/>
        </w:rPr>
        <w:t>A</w:t>
      </w:r>
      <w:r w:rsidR="002F1AA3" w:rsidRPr="00855EE9">
        <w:rPr>
          <w:rFonts w:ascii="Arial" w:hAnsi="Arial" w:cs="Arial"/>
          <w:sz w:val="24"/>
          <w:szCs w:val="24"/>
        </w:rPr>
        <w:t xml:space="preserve">ct </w:t>
      </w:r>
      <w:r w:rsidR="00F92CEC" w:rsidRPr="00855EE9">
        <w:rPr>
          <w:rFonts w:ascii="Arial" w:hAnsi="Arial" w:cs="Arial"/>
          <w:sz w:val="24"/>
          <w:szCs w:val="24"/>
        </w:rPr>
        <w:t xml:space="preserve">No </w:t>
      </w:r>
      <w:r w:rsidR="002F1AA3" w:rsidRPr="00855EE9">
        <w:rPr>
          <w:rFonts w:ascii="Arial" w:hAnsi="Arial" w:cs="Arial"/>
          <w:sz w:val="24"/>
          <w:szCs w:val="24"/>
        </w:rPr>
        <w:t>13 of 2002</w:t>
      </w:r>
      <w:r w:rsidR="00F92CEC" w:rsidRPr="00855EE9">
        <w:rPr>
          <w:rFonts w:ascii="Arial" w:hAnsi="Arial" w:cs="Arial"/>
          <w:sz w:val="24"/>
          <w:szCs w:val="24"/>
        </w:rPr>
        <w:t xml:space="preserve"> (“</w:t>
      </w:r>
      <w:r w:rsidR="00F92CEC" w:rsidRPr="00855EE9">
        <w:rPr>
          <w:rFonts w:ascii="Arial" w:hAnsi="Arial" w:cs="Arial"/>
          <w:b/>
          <w:bCs/>
          <w:sz w:val="24"/>
          <w:szCs w:val="24"/>
        </w:rPr>
        <w:t>the Immigration Act</w:t>
      </w:r>
      <w:r w:rsidR="00F92CEC" w:rsidRPr="00855EE9">
        <w:rPr>
          <w:rFonts w:ascii="Arial" w:hAnsi="Arial" w:cs="Arial"/>
          <w:sz w:val="24"/>
          <w:szCs w:val="24"/>
        </w:rPr>
        <w:t>”)</w:t>
      </w:r>
      <w:r w:rsidR="002F1AA3" w:rsidRPr="00855EE9">
        <w:rPr>
          <w:rFonts w:ascii="Arial" w:hAnsi="Arial" w:cs="Arial"/>
          <w:sz w:val="24"/>
          <w:szCs w:val="24"/>
        </w:rPr>
        <w:t>.</w:t>
      </w:r>
    </w:p>
    <w:p w14:paraId="64502D07" w14:textId="4EC10FF5" w:rsidR="00F22112"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lastRenderedPageBreak/>
        <w:t>2.</w:t>
      </w:r>
      <w:r w:rsidRPr="007044B7">
        <w:rPr>
          <w:rFonts w:ascii="Arial" w:hAnsi="Arial" w:cs="Arial"/>
          <w:sz w:val="24"/>
          <w:szCs w:val="24"/>
        </w:rPr>
        <w:tab/>
      </w:r>
      <w:r w:rsidR="00F22112" w:rsidRPr="00855EE9">
        <w:rPr>
          <w:rFonts w:ascii="Arial" w:hAnsi="Arial" w:cs="Arial"/>
          <w:sz w:val="24"/>
          <w:szCs w:val="24"/>
        </w:rPr>
        <w:t xml:space="preserve">The applicant seeks, in the first instance, that the first and/or second respondent’s </w:t>
      </w:r>
      <w:r w:rsidR="008F0246" w:rsidRPr="00855EE9">
        <w:rPr>
          <w:rFonts w:ascii="Arial" w:hAnsi="Arial" w:cs="Arial"/>
          <w:sz w:val="24"/>
          <w:szCs w:val="24"/>
        </w:rPr>
        <w:t xml:space="preserve">respective </w:t>
      </w:r>
      <w:r w:rsidR="00F22112" w:rsidRPr="00855EE9">
        <w:rPr>
          <w:rFonts w:ascii="Arial" w:hAnsi="Arial" w:cs="Arial"/>
          <w:sz w:val="24"/>
          <w:szCs w:val="24"/>
        </w:rPr>
        <w:t>decision</w:t>
      </w:r>
      <w:r w:rsidR="008F0246" w:rsidRPr="00855EE9">
        <w:rPr>
          <w:rFonts w:ascii="Arial" w:hAnsi="Arial" w:cs="Arial"/>
          <w:sz w:val="24"/>
          <w:szCs w:val="24"/>
        </w:rPr>
        <w:t>s</w:t>
      </w:r>
      <w:r w:rsidR="00AA6044" w:rsidRPr="00855EE9">
        <w:rPr>
          <w:rFonts w:ascii="Arial" w:hAnsi="Arial" w:cs="Arial"/>
          <w:sz w:val="24"/>
          <w:szCs w:val="24"/>
        </w:rPr>
        <w:t xml:space="preserve"> be substituted with an </w:t>
      </w:r>
      <w:r w:rsidR="00DB3138" w:rsidRPr="00855EE9">
        <w:rPr>
          <w:rFonts w:ascii="Arial" w:hAnsi="Arial" w:cs="Arial"/>
          <w:sz w:val="24"/>
          <w:szCs w:val="24"/>
        </w:rPr>
        <w:t>O</w:t>
      </w:r>
      <w:r w:rsidR="00AA6044" w:rsidRPr="00855EE9">
        <w:rPr>
          <w:rFonts w:ascii="Arial" w:hAnsi="Arial" w:cs="Arial"/>
          <w:sz w:val="24"/>
          <w:szCs w:val="24"/>
        </w:rPr>
        <w:t>rder that the applicant be granted a valid critical skills visa in terms of section 19 (</w:t>
      </w:r>
      <w:r w:rsidR="00DB3138" w:rsidRPr="00855EE9">
        <w:rPr>
          <w:rFonts w:ascii="Arial" w:hAnsi="Arial" w:cs="Arial"/>
          <w:sz w:val="24"/>
          <w:szCs w:val="24"/>
        </w:rPr>
        <w:t>4</w:t>
      </w:r>
      <w:r w:rsidR="00AA6044" w:rsidRPr="00855EE9">
        <w:rPr>
          <w:rFonts w:ascii="Arial" w:hAnsi="Arial" w:cs="Arial"/>
          <w:sz w:val="24"/>
          <w:szCs w:val="24"/>
        </w:rPr>
        <w:t xml:space="preserve">) of the </w:t>
      </w:r>
      <w:r w:rsidR="00DB3138" w:rsidRPr="00855EE9">
        <w:rPr>
          <w:rFonts w:ascii="Arial" w:hAnsi="Arial" w:cs="Arial"/>
          <w:sz w:val="24"/>
          <w:szCs w:val="24"/>
        </w:rPr>
        <w:t>I</w:t>
      </w:r>
      <w:r w:rsidR="00AA6044" w:rsidRPr="00855EE9">
        <w:rPr>
          <w:rFonts w:ascii="Arial" w:hAnsi="Arial" w:cs="Arial"/>
          <w:sz w:val="24"/>
          <w:szCs w:val="24"/>
        </w:rPr>
        <w:t xml:space="preserve">mmigration </w:t>
      </w:r>
      <w:r w:rsidR="00DB3138" w:rsidRPr="00855EE9">
        <w:rPr>
          <w:rFonts w:ascii="Arial" w:hAnsi="Arial" w:cs="Arial"/>
          <w:sz w:val="24"/>
          <w:szCs w:val="24"/>
        </w:rPr>
        <w:t>A</w:t>
      </w:r>
      <w:r w:rsidR="00AA6044" w:rsidRPr="00855EE9">
        <w:rPr>
          <w:rFonts w:ascii="Arial" w:hAnsi="Arial" w:cs="Arial"/>
          <w:sz w:val="24"/>
          <w:szCs w:val="24"/>
        </w:rPr>
        <w:t>ct. In the alternative,</w:t>
      </w:r>
      <w:r w:rsidR="00B42F5A" w:rsidRPr="00855EE9">
        <w:rPr>
          <w:rFonts w:ascii="Arial" w:hAnsi="Arial" w:cs="Arial"/>
          <w:sz w:val="24"/>
          <w:szCs w:val="24"/>
        </w:rPr>
        <w:t xml:space="preserve"> an </w:t>
      </w:r>
      <w:r w:rsidR="00DB3138" w:rsidRPr="00855EE9">
        <w:rPr>
          <w:rFonts w:ascii="Arial" w:hAnsi="Arial" w:cs="Arial"/>
          <w:sz w:val="24"/>
          <w:szCs w:val="24"/>
        </w:rPr>
        <w:t>O</w:t>
      </w:r>
      <w:r w:rsidR="00B42F5A" w:rsidRPr="00855EE9">
        <w:rPr>
          <w:rFonts w:ascii="Arial" w:hAnsi="Arial" w:cs="Arial"/>
          <w:sz w:val="24"/>
          <w:szCs w:val="24"/>
        </w:rPr>
        <w:t>rder is sought that the applicant</w:t>
      </w:r>
      <w:r w:rsidR="00E958C1" w:rsidRPr="00855EE9">
        <w:rPr>
          <w:rFonts w:ascii="Arial" w:hAnsi="Arial" w:cs="Arial"/>
          <w:sz w:val="24"/>
          <w:szCs w:val="24"/>
        </w:rPr>
        <w:t>’</w:t>
      </w:r>
      <w:r w:rsidR="00B42F5A" w:rsidRPr="00855EE9">
        <w:rPr>
          <w:rFonts w:ascii="Arial" w:hAnsi="Arial" w:cs="Arial"/>
          <w:sz w:val="24"/>
          <w:szCs w:val="24"/>
        </w:rPr>
        <w:t>s appeal in terms of section 8 (</w:t>
      </w:r>
      <w:r w:rsidR="00E958C1" w:rsidRPr="00855EE9">
        <w:rPr>
          <w:rFonts w:ascii="Arial" w:hAnsi="Arial" w:cs="Arial"/>
          <w:sz w:val="24"/>
          <w:szCs w:val="24"/>
        </w:rPr>
        <w:t>6</w:t>
      </w:r>
      <w:r w:rsidR="00B42F5A" w:rsidRPr="00855EE9">
        <w:rPr>
          <w:rFonts w:ascii="Arial" w:hAnsi="Arial" w:cs="Arial"/>
          <w:sz w:val="24"/>
          <w:szCs w:val="24"/>
        </w:rPr>
        <w:t xml:space="preserve">) of the </w:t>
      </w:r>
      <w:r w:rsidR="00E958C1" w:rsidRPr="00855EE9">
        <w:rPr>
          <w:rFonts w:ascii="Arial" w:hAnsi="Arial" w:cs="Arial"/>
          <w:sz w:val="24"/>
          <w:szCs w:val="24"/>
        </w:rPr>
        <w:t>I</w:t>
      </w:r>
      <w:r w:rsidR="00B42F5A" w:rsidRPr="00855EE9">
        <w:rPr>
          <w:rFonts w:ascii="Arial" w:hAnsi="Arial" w:cs="Arial"/>
          <w:sz w:val="24"/>
          <w:szCs w:val="24"/>
        </w:rPr>
        <w:t xml:space="preserve">mmigration </w:t>
      </w:r>
      <w:r w:rsidR="00E958C1" w:rsidRPr="00855EE9">
        <w:rPr>
          <w:rFonts w:ascii="Arial" w:hAnsi="Arial" w:cs="Arial"/>
          <w:sz w:val="24"/>
          <w:szCs w:val="24"/>
        </w:rPr>
        <w:t>A</w:t>
      </w:r>
      <w:r w:rsidR="00B42F5A" w:rsidRPr="00855EE9">
        <w:rPr>
          <w:rFonts w:ascii="Arial" w:hAnsi="Arial" w:cs="Arial"/>
          <w:sz w:val="24"/>
          <w:szCs w:val="24"/>
        </w:rPr>
        <w:t xml:space="preserve">ct be remitted to the second respondent for reconsideration with such directions as this </w:t>
      </w:r>
      <w:r w:rsidR="003E4BFA" w:rsidRPr="00855EE9">
        <w:rPr>
          <w:rFonts w:ascii="Arial" w:hAnsi="Arial" w:cs="Arial"/>
          <w:sz w:val="24"/>
          <w:szCs w:val="24"/>
        </w:rPr>
        <w:t>C</w:t>
      </w:r>
      <w:r w:rsidR="00B42F5A" w:rsidRPr="00855EE9">
        <w:rPr>
          <w:rFonts w:ascii="Arial" w:hAnsi="Arial" w:cs="Arial"/>
          <w:sz w:val="24"/>
          <w:szCs w:val="24"/>
        </w:rPr>
        <w:t>ourt deems appropriate.</w:t>
      </w:r>
    </w:p>
    <w:p w14:paraId="36EA7529" w14:textId="7C93B092" w:rsidR="00E958C1"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3.</w:t>
      </w:r>
      <w:r w:rsidRPr="007044B7">
        <w:rPr>
          <w:rFonts w:ascii="Arial" w:hAnsi="Arial" w:cs="Arial"/>
          <w:sz w:val="24"/>
          <w:szCs w:val="24"/>
        </w:rPr>
        <w:tab/>
      </w:r>
      <w:r w:rsidR="00E266F1" w:rsidRPr="00855EE9">
        <w:rPr>
          <w:rFonts w:ascii="Arial" w:hAnsi="Arial" w:cs="Arial"/>
          <w:sz w:val="24"/>
          <w:szCs w:val="24"/>
        </w:rPr>
        <w:t>There are accordingly two issues that present for determination in this matter:</w:t>
      </w:r>
    </w:p>
    <w:p w14:paraId="6D78ADF8" w14:textId="17AA8B5C" w:rsidR="00E266F1"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3.1.</w:t>
      </w:r>
      <w:r w:rsidRPr="007044B7">
        <w:rPr>
          <w:rFonts w:ascii="Arial" w:hAnsi="Arial" w:cs="Arial"/>
          <w:sz w:val="24"/>
          <w:szCs w:val="24"/>
        </w:rPr>
        <w:tab/>
      </w:r>
      <w:r w:rsidR="00E266F1" w:rsidRPr="00855EE9">
        <w:rPr>
          <w:rFonts w:ascii="Arial" w:hAnsi="Arial" w:cs="Arial"/>
          <w:sz w:val="24"/>
          <w:szCs w:val="24"/>
          <w:u w:val="single"/>
        </w:rPr>
        <w:t>First</w:t>
      </w:r>
      <w:r w:rsidR="00E266F1" w:rsidRPr="00855EE9">
        <w:rPr>
          <w:rFonts w:ascii="Arial" w:hAnsi="Arial" w:cs="Arial"/>
          <w:sz w:val="24"/>
          <w:szCs w:val="24"/>
        </w:rPr>
        <w:t>, whether the applicant has succeeded in showing that the first and/or second respondents have committed a reviewable irregularity.</w:t>
      </w:r>
    </w:p>
    <w:p w14:paraId="34658409" w14:textId="2F1C8756" w:rsidR="00E266F1"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3.2.</w:t>
      </w:r>
      <w:r w:rsidRPr="007044B7">
        <w:rPr>
          <w:rFonts w:ascii="Arial" w:hAnsi="Arial" w:cs="Arial"/>
          <w:sz w:val="24"/>
          <w:szCs w:val="24"/>
        </w:rPr>
        <w:tab/>
      </w:r>
      <w:r w:rsidR="00E266F1" w:rsidRPr="00855EE9">
        <w:rPr>
          <w:rFonts w:ascii="Arial" w:hAnsi="Arial" w:cs="Arial"/>
          <w:sz w:val="24"/>
          <w:szCs w:val="24"/>
          <w:u w:val="single"/>
        </w:rPr>
        <w:t>Second</w:t>
      </w:r>
      <w:r w:rsidR="00E266F1" w:rsidRPr="00855EE9">
        <w:rPr>
          <w:rFonts w:ascii="Arial" w:hAnsi="Arial" w:cs="Arial"/>
          <w:sz w:val="24"/>
          <w:szCs w:val="24"/>
        </w:rPr>
        <w:t xml:space="preserve">, </w:t>
      </w:r>
      <w:r w:rsidR="00BE52FF" w:rsidRPr="00855EE9">
        <w:rPr>
          <w:rFonts w:ascii="Arial" w:hAnsi="Arial" w:cs="Arial"/>
          <w:sz w:val="24"/>
          <w:szCs w:val="24"/>
        </w:rPr>
        <w:t>if a reviewable irregularity has been shown, what the appropriate remedy is.</w:t>
      </w:r>
    </w:p>
    <w:p w14:paraId="0EA36899" w14:textId="0511AC66" w:rsidR="00E67465" w:rsidRPr="007044B7" w:rsidRDefault="00E67465" w:rsidP="00C6348E">
      <w:pPr>
        <w:spacing w:before="120" w:after="360" w:line="480" w:lineRule="auto"/>
        <w:jc w:val="both"/>
        <w:rPr>
          <w:rFonts w:ascii="Arial" w:hAnsi="Arial" w:cs="Arial"/>
          <w:b/>
          <w:bCs/>
          <w:sz w:val="24"/>
          <w:szCs w:val="24"/>
        </w:rPr>
      </w:pPr>
      <w:r w:rsidRPr="007044B7">
        <w:rPr>
          <w:rFonts w:ascii="Arial" w:hAnsi="Arial" w:cs="Arial"/>
          <w:b/>
          <w:bCs/>
          <w:sz w:val="24"/>
          <w:szCs w:val="24"/>
        </w:rPr>
        <w:t xml:space="preserve">THE </w:t>
      </w:r>
      <w:r w:rsidR="00921D47" w:rsidRPr="007044B7">
        <w:rPr>
          <w:rFonts w:ascii="Arial" w:hAnsi="Arial" w:cs="Arial"/>
          <w:b/>
          <w:bCs/>
          <w:sz w:val="24"/>
          <w:szCs w:val="24"/>
        </w:rPr>
        <w:t>EVIDENCE</w:t>
      </w:r>
    </w:p>
    <w:p w14:paraId="00FA7744" w14:textId="34864658" w:rsidR="00675B7D"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4.</w:t>
      </w:r>
      <w:r w:rsidRPr="007044B7">
        <w:rPr>
          <w:rFonts w:ascii="Arial" w:hAnsi="Arial" w:cs="Arial"/>
          <w:sz w:val="24"/>
          <w:szCs w:val="24"/>
        </w:rPr>
        <w:tab/>
      </w:r>
      <w:r w:rsidR="00675B7D" w:rsidRPr="00855EE9">
        <w:rPr>
          <w:rFonts w:ascii="Arial" w:hAnsi="Arial" w:cs="Arial"/>
          <w:sz w:val="24"/>
          <w:szCs w:val="24"/>
        </w:rPr>
        <w:t>According to the founding affidavit:</w:t>
      </w:r>
    </w:p>
    <w:p w14:paraId="582824F1" w14:textId="2FC2EE69" w:rsidR="00675B7D"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4.1.</w:t>
      </w:r>
      <w:r w:rsidRPr="007044B7">
        <w:rPr>
          <w:rFonts w:ascii="Arial" w:hAnsi="Arial" w:cs="Arial"/>
          <w:sz w:val="24"/>
          <w:szCs w:val="24"/>
        </w:rPr>
        <w:tab/>
      </w:r>
      <w:r w:rsidR="00DB43CB" w:rsidRPr="00855EE9">
        <w:rPr>
          <w:rFonts w:ascii="Arial" w:hAnsi="Arial" w:cs="Arial"/>
          <w:sz w:val="24"/>
          <w:szCs w:val="24"/>
        </w:rPr>
        <w:t>T</w:t>
      </w:r>
      <w:r w:rsidR="00675B7D" w:rsidRPr="00855EE9">
        <w:rPr>
          <w:rFonts w:ascii="Arial" w:hAnsi="Arial" w:cs="Arial"/>
          <w:sz w:val="24"/>
          <w:szCs w:val="24"/>
        </w:rPr>
        <w:t>he applicant is a Zimbabwean national who has been subjected to a debilitating 3 ½ years process with the Department of Home Affairs</w:t>
      </w:r>
      <w:r w:rsidR="00DB43CB" w:rsidRPr="00855EE9">
        <w:rPr>
          <w:rFonts w:ascii="Arial" w:hAnsi="Arial" w:cs="Arial"/>
          <w:sz w:val="24"/>
          <w:szCs w:val="24"/>
        </w:rPr>
        <w:t xml:space="preserve"> (“</w:t>
      </w:r>
      <w:r w:rsidR="00DB43CB" w:rsidRPr="00855EE9">
        <w:rPr>
          <w:rFonts w:ascii="Arial" w:hAnsi="Arial" w:cs="Arial"/>
          <w:b/>
          <w:bCs/>
          <w:sz w:val="24"/>
          <w:szCs w:val="24"/>
        </w:rPr>
        <w:t>the Department</w:t>
      </w:r>
      <w:r w:rsidR="00DB43CB" w:rsidRPr="00855EE9">
        <w:rPr>
          <w:rFonts w:ascii="Arial" w:hAnsi="Arial" w:cs="Arial"/>
          <w:sz w:val="24"/>
          <w:szCs w:val="24"/>
        </w:rPr>
        <w:t>”)</w:t>
      </w:r>
      <w:r w:rsidR="00675B7D" w:rsidRPr="00855EE9">
        <w:rPr>
          <w:rFonts w:ascii="Arial" w:hAnsi="Arial" w:cs="Arial"/>
          <w:sz w:val="24"/>
          <w:szCs w:val="24"/>
        </w:rPr>
        <w:t xml:space="preserve">. </w:t>
      </w:r>
    </w:p>
    <w:p w14:paraId="491810D3" w14:textId="7706A744" w:rsidR="00675B7D"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4.2.</w:t>
      </w:r>
      <w:r w:rsidRPr="007044B7">
        <w:rPr>
          <w:rFonts w:ascii="Arial" w:hAnsi="Arial" w:cs="Arial"/>
          <w:sz w:val="24"/>
          <w:szCs w:val="24"/>
        </w:rPr>
        <w:tab/>
      </w:r>
      <w:r w:rsidR="00675B7D" w:rsidRPr="00855EE9">
        <w:rPr>
          <w:rFonts w:ascii="Arial" w:hAnsi="Arial" w:cs="Arial"/>
          <w:sz w:val="24"/>
          <w:szCs w:val="24"/>
        </w:rPr>
        <w:t xml:space="preserve">The applicant cannot leave South Africa because if he departs without a valid visa, he will be declared undesirable and banned from South Africa for five years. </w:t>
      </w:r>
      <w:r w:rsidR="000945D9" w:rsidRPr="00855EE9">
        <w:rPr>
          <w:rFonts w:ascii="Arial" w:hAnsi="Arial" w:cs="Arial"/>
          <w:sz w:val="24"/>
          <w:szCs w:val="24"/>
        </w:rPr>
        <w:t xml:space="preserve"> </w:t>
      </w:r>
      <w:r w:rsidR="00675B7D" w:rsidRPr="00855EE9">
        <w:rPr>
          <w:rFonts w:ascii="Arial" w:hAnsi="Arial" w:cs="Arial"/>
          <w:sz w:val="24"/>
          <w:szCs w:val="24"/>
        </w:rPr>
        <w:t>It is common cause that the applicant</w:t>
      </w:r>
      <w:r w:rsidR="000945D9" w:rsidRPr="00855EE9">
        <w:rPr>
          <w:rFonts w:ascii="Arial" w:hAnsi="Arial" w:cs="Arial"/>
          <w:sz w:val="24"/>
          <w:szCs w:val="24"/>
        </w:rPr>
        <w:t>’</w:t>
      </w:r>
      <w:r w:rsidR="00675B7D" w:rsidRPr="00855EE9">
        <w:rPr>
          <w:rFonts w:ascii="Arial" w:hAnsi="Arial" w:cs="Arial"/>
          <w:sz w:val="24"/>
          <w:szCs w:val="24"/>
        </w:rPr>
        <w:t>s visitor</w:t>
      </w:r>
      <w:r w:rsidR="000945D9" w:rsidRPr="00855EE9">
        <w:rPr>
          <w:rFonts w:ascii="Arial" w:hAnsi="Arial" w:cs="Arial"/>
          <w:sz w:val="24"/>
          <w:szCs w:val="24"/>
        </w:rPr>
        <w:t>’</w:t>
      </w:r>
      <w:r w:rsidR="00675B7D" w:rsidRPr="00855EE9">
        <w:rPr>
          <w:rFonts w:ascii="Arial" w:hAnsi="Arial" w:cs="Arial"/>
          <w:sz w:val="24"/>
          <w:szCs w:val="24"/>
        </w:rPr>
        <w:t>s visa expired on 10 June 2017.</w:t>
      </w:r>
    </w:p>
    <w:p w14:paraId="4FC89BDC" w14:textId="44141DED" w:rsidR="00675B7D"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lastRenderedPageBreak/>
        <w:t>4.3.</w:t>
      </w:r>
      <w:r w:rsidRPr="007044B7">
        <w:rPr>
          <w:rFonts w:ascii="Arial" w:hAnsi="Arial" w:cs="Arial"/>
          <w:sz w:val="24"/>
          <w:szCs w:val="24"/>
        </w:rPr>
        <w:tab/>
      </w:r>
      <w:r w:rsidR="00675B7D" w:rsidRPr="00855EE9">
        <w:rPr>
          <w:rFonts w:ascii="Arial" w:hAnsi="Arial" w:cs="Arial"/>
          <w:sz w:val="24"/>
          <w:szCs w:val="24"/>
        </w:rPr>
        <w:t>Shortly before the expiry of the applicant</w:t>
      </w:r>
      <w:r w:rsidR="000945D9" w:rsidRPr="00855EE9">
        <w:rPr>
          <w:rFonts w:ascii="Arial" w:hAnsi="Arial" w:cs="Arial"/>
          <w:sz w:val="24"/>
          <w:szCs w:val="24"/>
        </w:rPr>
        <w:t>’</w:t>
      </w:r>
      <w:r w:rsidR="00675B7D" w:rsidRPr="00855EE9">
        <w:rPr>
          <w:rFonts w:ascii="Arial" w:hAnsi="Arial" w:cs="Arial"/>
          <w:sz w:val="24"/>
          <w:szCs w:val="24"/>
        </w:rPr>
        <w:t>s visitor</w:t>
      </w:r>
      <w:r w:rsidR="000945D9" w:rsidRPr="00855EE9">
        <w:rPr>
          <w:rFonts w:ascii="Arial" w:hAnsi="Arial" w:cs="Arial"/>
          <w:sz w:val="24"/>
          <w:szCs w:val="24"/>
        </w:rPr>
        <w:t>’</w:t>
      </w:r>
      <w:r w:rsidR="00675B7D" w:rsidRPr="00855EE9">
        <w:rPr>
          <w:rFonts w:ascii="Arial" w:hAnsi="Arial" w:cs="Arial"/>
          <w:sz w:val="24"/>
          <w:szCs w:val="24"/>
        </w:rPr>
        <w:t>s visa, he applied for a critical skills visa.</w:t>
      </w:r>
    </w:p>
    <w:p w14:paraId="5BEFFB03" w14:textId="405C57EE" w:rsidR="00675B7D"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4.4.</w:t>
      </w:r>
      <w:r w:rsidRPr="007044B7">
        <w:rPr>
          <w:rFonts w:ascii="Arial" w:hAnsi="Arial" w:cs="Arial"/>
          <w:sz w:val="24"/>
          <w:szCs w:val="24"/>
        </w:rPr>
        <w:tab/>
      </w:r>
      <w:r w:rsidR="00675B7D" w:rsidRPr="00855EE9">
        <w:rPr>
          <w:rFonts w:ascii="Arial" w:hAnsi="Arial" w:cs="Arial"/>
          <w:sz w:val="24"/>
          <w:szCs w:val="24"/>
        </w:rPr>
        <w:t xml:space="preserve">The applicant is a graduate of the University of Cape Town who holds a </w:t>
      </w:r>
      <w:r w:rsidR="00E85C32" w:rsidRPr="00855EE9">
        <w:rPr>
          <w:rFonts w:ascii="Arial" w:hAnsi="Arial" w:cs="Arial"/>
          <w:sz w:val="24"/>
          <w:szCs w:val="24"/>
        </w:rPr>
        <w:t>B</w:t>
      </w:r>
      <w:r w:rsidR="00675B7D" w:rsidRPr="00855EE9">
        <w:rPr>
          <w:rFonts w:ascii="Arial" w:hAnsi="Arial" w:cs="Arial"/>
          <w:sz w:val="24"/>
          <w:szCs w:val="24"/>
        </w:rPr>
        <w:t xml:space="preserve">achelor of </w:t>
      </w:r>
      <w:r w:rsidR="00E85C32" w:rsidRPr="00855EE9">
        <w:rPr>
          <w:rFonts w:ascii="Arial" w:hAnsi="Arial" w:cs="Arial"/>
          <w:sz w:val="24"/>
          <w:szCs w:val="24"/>
        </w:rPr>
        <w:t>S</w:t>
      </w:r>
      <w:r w:rsidR="00675B7D" w:rsidRPr="00855EE9">
        <w:rPr>
          <w:rFonts w:ascii="Arial" w:hAnsi="Arial" w:cs="Arial"/>
          <w:sz w:val="24"/>
          <w:szCs w:val="24"/>
        </w:rPr>
        <w:t xml:space="preserve">cience in </w:t>
      </w:r>
      <w:r w:rsidR="00E85C32" w:rsidRPr="00855EE9">
        <w:rPr>
          <w:rFonts w:ascii="Arial" w:hAnsi="Arial" w:cs="Arial"/>
          <w:sz w:val="24"/>
          <w:szCs w:val="24"/>
        </w:rPr>
        <w:t>C</w:t>
      </w:r>
      <w:r w:rsidR="00675B7D" w:rsidRPr="00855EE9">
        <w:rPr>
          <w:rFonts w:ascii="Arial" w:hAnsi="Arial" w:cs="Arial"/>
          <w:sz w:val="24"/>
          <w:szCs w:val="24"/>
        </w:rPr>
        <w:t xml:space="preserve">omputer </w:t>
      </w:r>
      <w:r w:rsidR="00E85C32" w:rsidRPr="00855EE9">
        <w:rPr>
          <w:rFonts w:ascii="Arial" w:hAnsi="Arial" w:cs="Arial"/>
          <w:sz w:val="24"/>
          <w:szCs w:val="24"/>
        </w:rPr>
        <w:t>S</w:t>
      </w:r>
      <w:r w:rsidR="00675B7D" w:rsidRPr="00855EE9">
        <w:rPr>
          <w:rFonts w:ascii="Arial" w:hAnsi="Arial" w:cs="Arial"/>
          <w:sz w:val="24"/>
          <w:szCs w:val="24"/>
        </w:rPr>
        <w:t xml:space="preserve">tudies. He alleges, that as of 26 May 2014, he would qualify for a critical skills </w:t>
      </w:r>
      <w:r w:rsidR="00E85C32" w:rsidRPr="00855EE9">
        <w:rPr>
          <w:rFonts w:ascii="Arial" w:hAnsi="Arial" w:cs="Arial"/>
          <w:sz w:val="24"/>
          <w:szCs w:val="24"/>
        </w:rPr>
        <w:t>v</w:t>
      </w:r>
      <w:r w:rsidR="00675B7D" w:rsidRPr="00855EE9">
        <w:rPr>
          <w:rFonts w:ascii="Arial" w:hAnsi="Arial" w:cs="Arial"/>
          <w:sz w:val="24"/>
          <w:szCs w:val="24"/>
        </w:rPr>
        <w:t>isa.</w:t>
      </w:r>
    </w:p>
    <w:p w14:paraId="048EA60A" w14:textId="4E3D95C5" w:rsidR="00675B7D"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4.5.</w:t>
      </w:r>
      <w:r w:rsidRPr="007044B7">
        <w:rPr>
          <w:rFonts w:ascii="Arial" w:hAnsi="Arial" w:cs="Arial"/>
          <w:sz w:val="24"/>
          <w:szCs w:val="24"/>
        </w:rPr>
        <w:tab/>
      </w:r>
      <w:r w:rsidR="00675B7D" w:rsidRPr="00855EE9">
        <w:rPr>
          <w:rFonts w:ascii="Arial" w:hAnsi="Arial" w:cs="Arial"/>
          <w:sz w:val="24"/>
          <w:szCs w:val="24"/>
        </w:rPr>
        <w:t xml:space="preserve">The applicant is married to a long-term spouse in terms of African </w:t>
      </w:r>
      <w:r w:rsidR="00815898" w:rsidRPr="00855EE9">
        <w:rPr>
          <w:rFonts w:ascii="Arial" w:hAnsi="Arial" w:cs="Arial"/>
          <w:sz w:val="24"/>
          <w:szCs w:val="24"/>
        </w:rPr>
        <w:t>C</w:t>
      </w:r>
      <w:r w:rsidR="00675B7D" w:rsidRPr="00855EE9">
        <w:rPr>
          <w:rFonts w:ascii="Arial" w:hAnsi="Arial" w:cs="Arial"/>
          <w:sz w:val="24"/>
          <w:szCs w:val="24"/>
        </w:rPr>
        <w:t xml:space="preserve">ustomary </w:t>
      </w:r>
      <w:r w:rsidR="00815898" w:rsidRPr="00855EE9">
        <w:rPr>
          <w:rFonts w:ascii="Arial" w:hAnsi="Arial" w:cs="Arial"/>
          <w:sz w:val="24"/>
          <w:szCs w:val="24"/>
        </w:rPr>
        <w:t>L</w:t>
      </w:r>
      <w:r w:rsidR="00675B7D" w:rsidRPr="00855EE9">
        <w:rPr>
          <w:rFonts w:ascii="Arial" w:hAnsi="Arial" w:cs="Arial"/>
          <w:sz w:val="24"/>
          <w:szCs w:val="24"/>
        </w:rPr>
        <w:t>aw for the last five years. This</w:t>
      </w:r>
      <w:r w:rsidR="00815898" w:rsidRPr="00855EE9">
        <w:rPr>
          <w:rFonts w:ascii="Arial" w:hAnsi="Arial" w:cs="Arial"/>
          <w:sz w:val="24"/>
          <w:szCs w:val="24"/>
        </w:rPr>
        <w:t>,</w:t>
      </w:r>
      <w:r w:rsidR="00675B7D" w:rsidRPr="00855EE9">
        <w:rPr>
          <w:rFonts w:ascii="Arial" w:hAnsi="Arial" w:cs="Arial"/>
          <w:sz w:val="24"/>
          <w:szCs w:val="24"/>
        </w:rPr>
        <w:t xml:space="preserve"> he explains, precipitated the need for a waiver to facilitate his application for </w:t>
      </w:r>
      <w:r w:rsidR="00815898" w:rsidRPr="00855EE9">
        <w:rPr>
          <w:rFonts w:ascii="Arial" w:hAnsi="Arial" w:cs="Arial"/>
          <w:sz w:val="24"/>
          <w:szCs w:val="24"/>
        </w:rPr>
        <w:t xml:space="preserve">a </w:t>
      </w:r>
      <w:r w:rsidR="00675B7D" w:rsidRPr="00855EE9">
        <w:rPr>
          <w:rFonts w:ascii="Arial" w:hAnsi="Arial" w:cs="Arial"/>
          <w:sz w:val="24"/>
          <w:szCs w:val="24"/>
        </w:rPr>
        <w:t xml:space="preserve">critical skills </w:t>
      </w:r>
      <w:r w:rsidR="00815898" w:rsidRPr="00855EE9">
        <w:rPr>
          <w:rFonts w:ascii="Arial" w:hAnsi="Arial" w:cs="Arial"/>
          <w:sz w:val="24"/>
          <w:szCs w:val="24"/>
        </w:rPr>
        <w:t>v</w:t>
      </w:r>
      <w:r w:rsidR="00675B7D" w:rsidRPr="00855EE9">
        <w:rPr>
          <w:rFonts w:ascii="Arial" w:hAnsi="Arial" w:cs="Arial"/>
          <w:sz w:val="24"/>
          <w:szCs w:val="24"/>
        </w:rPr>
        <w:t>isa as he did not wish to be separated from h</w:t>
      </w:r>
      <w:r w:rsidR="00815898" w:rsidRPr="00855EE9">
        <w:rPr>
          <w:rFonts w:ascii="Arial" w:hAnsi="Arial" w:cs="Arial"/>
          <w:sz w:val="24"/>
          <w:szCs w:val="24"/>
        </w:rPr>
        <w:t>is wife</w:t>
      </w:r>
      <w:r w:rsidR="00675B7D" w:rsidRPr="00855EE9">
        <w:rPr>
          <w:rFonts w:ascii="Arial" w:hAnsi="Arial" w:cs="Arial"/>
          <w:sz w:val="24"/>
          <w:szCs w:val="24"/>
        </w:rPr>
        <w:t>.</w:t>
      </w:r>
    </w:p>
    <w:p w14:paraId="3DF6E711" w14:textId="002769D8" w:rsidR="00675B7D"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4.6.</w:t>
      </w:r>
      <w:r w:rsidRPr="007044B7">
        <w:rPr>
          <w:rFonts w:ascii="Arial" w:hAnsi="Arial" w:cs="Arial"/>
          <w:sz w:val="24"/>
          <w:szCs w:val="24"/>
        </w:rPr>
        <w:tab/>
      </w:r>
      <w:r w:rsidR="00675B7D" w:rsidRPr="00855EE9">
        <w:rPr>
          <w:rFonts w:ascii="Arial" w:hAnsi="Arial" w:cs="Arial"/>
          <w:sz w:val="24"/>
          <w:szCs w:val="24"/>
        </w:rPr>
        <w:t xml:space="preserve">On 18 December 2016, the applicant applied for a waiver in order to allow him to apply for his critical skills </w:t>
      </w:r>
      <w:r w:rsidR="00C55CDB" w:rsidRPr="00855EE9">
        <w:rPr>
          <w:rFonts w:ascii="Arial" w:hAnsi="Arial" w:cs="Arial"/>
          <w:sz w:val="24"/>
          <w:szCs w:val="24"/>
        </w:rPr>
        <w:t>v</w:t>
      </w:r>
      <w:r w:rsidR="00675B7D" w:rsidRPr="00855EE9">
        <w:rPr>
          <w:rFonts w:ascii="Arial" w:hAnsi="Arial" w:cs="Arial"/>
          <w:sz w:val="24"/>
          <w:szCs w:val="24"/>
        </w:rPr>
        <w:t>isa while in South Africa. This application</w:t>
      </w:r>
      <w:r w:rsidR="00786D9B" w:rsidRPr="00855EE9">
        <w:rPr>
          <w:rFonts w:ascii="Arial" w:hAnsi="Arial" w:cs="Arial"/>
          <w:sz w:val="24"/>
          <w:szCs w:val="24"/>
        </w:rPr>
        <w:t xml:space="preserve"> </w:t>
      </w:r>
      <w:r w:rsidR="00675B7D" w:rsidRPr="00855EE9">
        <w:rPr>
          <w:rFonts w:ascii="Arial" w:hAnsi="Arial" w:cs="Arial"/>
          <w:sz w:val="24"/>
          <w:szCs w:val="24"/>
        </w:rPr>
        <w:t>was successful.</w:t>
      </w:r>
    </w:p>
    <w:p w14:paraId="3FA6273B" w14:textId="33F77E38" w:rsidR="00F47D7F"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4.7.</w:t>
      </w:r>
      <w:r w:rsidRPr="007044B7">
        <w:rPr>
          <w:rFonts w:ascii="Arial" w:hAnsi="Arial" w:cs="Arial"/>
          <w:sz w:val="24"/>
          <w:szCs w:val="24"/>
        </w:rPr>
        <w:tab/>
      </w:r>
      <w:r w:rsidR="00F47D7F" w:rsidRPr="00855EE9">
        <w:rPr>
          <w:rFonts w:ascii="Arial" w:hAnsi="Arial" w:cs="Arial"/>
          <w:sz w:val="24"/>
          <w:szCs w:val="24"/>
        </w:rPr>
        <w:t xml:space="preserve">On 9 June 2017, the applicant submitted his critical skills </w:t>
      </w:r>
      <w:r w:rsidR="002D2AE6" w:rsidRPr="00855EE9">
        <w:rPr>
          <w:rFonts w:ascii="Arial" w:hAnsi="Arial" w:cs="Arial"/>
          <w:sz w:val="24"/>
          <w:szCs w:val="24"/>
        </w:rPr>
        <w:t>v</w:t>
      </w:r>
      <w:r w:rsidR="00F47D7F" w:rsidRPr="00855EE9">
        <w:rPr>
          <w:rFonts w:ascii="Arial" w:hAnsi="Arial" w:cs="Arial"/>
          <w:sz w:val="24"/>
          <w:szCs w:val="24"/>
        </w:rPr>
        <w:t>isa application.</w:t>
      </w:r>
    </w:p>
    <w:p w14:paraId="1939A774" w14:textId="4385C339" w:rsidR="00F47D7F"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4.8.</w:t>
      </w:r>
      <w:r w:rsidRPr="007044B7">
        <w:rPr>
          <w:rFonts w:ascii="Arial" w:hAnsi="Arial" w:cs="Arial"/>
          <w:sz w:val="24"/>
          <w:szCs w:val="24"/>
        </w:rPr>
        <w:tab/>
      </w:r>
      <w:r w:rsidR="002D2AE6" w:rsidRPr="00855EE9">
        <w:rPr>
          <w:rFonts w:ascii="Arial" w:hAnsi="Arial" w:cs="Arial"/>
          <w:sz w:val="24"/>
          <w:szCs w:val="24"/>
        </w:rPr>
        <w:t>According to the applicant, u</w:t>
      </w:r>
      <w:r w:rsidR="00F47D7F" w:rsidRPr="00855EE9">
        <w:rPr>
          <w:rFonts w:ascii="Arial" w:hAnsi="Arial" w:cs="Arial"/>
          <w:sz w:val="24"/>
          <w:szCs w:val="24"/>
        </w:rPr>
        <w:t xml:space="preserve">nless he had a valid pending </w:t>
      </w:r>
      <w:r w:rsidR="002D2AE6" w:rsidRPr="00855EE9">
        <w:rPr>
          <w:rFonts w:ascii="Arial" w:hAnsi="Arial" w:cs="Arial"/>
          <w:sz w:val="24"/>
          <w:szCs w:val="24"/>
        </w:rPr>
        <w:t>v</w:t>
      </w:r>
      <w:r w:rsidR="00F47D7F" w:rsidRPr="00855EE9">
        <w:rPr>
          <w:rFonts w:ascii="Arial" w:hAnsi="Arial" w:cs="Arial"/>
          <w:sz w:val="24"/>
          <w:szCs w:val="24"/>
        </w:rPr>
        <w:t>isa application, he would not be allowed to remain in South Africa without a valid visitor</w:t>
      </w:r>
      <w:r w:rsidR="002D2AE6" w:rsidRPr="00855EE9">
        <w:rPr>
          <w:rFonts w:ascii="Arial" w:hAnsi="Arial" w:cs="Arial"/>
          <w:sz w:val="24"/>
          <w:szCs w:val="24"/>
        </w:rPr>
        <w:t>’</w:t>
      </w:r>
      <w:r w:rsidR="00F47D7F" w:rsidRPr="00855EE9">
        <w:rPr>
          <w:rFonts w:ascii="Arial" w:hAnsi="Arial" w:cs="Arial"/>
          <w:sz w:val="24"/>
          <w:szCs w:val="24"/>
        </w:rPr>
        <w:t>s visa. In addition, the applicant could not extend his visitor</w:t>
      </w:r>
      <w:r w:rsidR="002D2AE6" w:rsidRPr="00855EE9">
        <w:rPr>
          <w:rFonts w:ascii="Arial" w:hAnsi="Arial" w:cs="Arial"/>
          <w:sz w:val="24"/>
          <w:szCs w:val="24"/>
        </w:rPr>
        <w:t>’</w:t>
      </w:r>
      <w:r w:rsidR="00F47D7F" w:rsidRPr="00855EE9">
        <w:rPr>
          <w:rFonts w:ascii="Arial" w:hAnsi="Arial" w:cs="Arial"/>
          <w:sz w:val="24"/>
          <w:szCs w:val="24"/>
        </w:rPr>
        <w:t xml:space="preserve">s visa and at the same time apply for his critical skills </w:t>
      </w:r>
      <w:r w:rsidR="00EB4FD5" w:rsidRPr="00855EE9">
        <w:rPr>
          <w:rFonts w:ascii="Arial" w:hAnsi="Arial" w:cs="Arial"/>
          <w:sz w:val="24"/>
          <w:szCs w:val="24"/>
        </w:rPr>
        <w:t>v</w:t>
      </w:r>
      <w:r w:rsidR="00F47D7F" w:rsidRPr="00855EE9">
        <w:rPr>
          <w:rFonts w:ascii="Arial" w:hAnsi="Arial" w:cs="Arial"/>
          <w:sz w:val="24"/>
          <w:szCs w:val="24"/>
        </w:rPr>
        <w:t>isa, which made the process more cumbersome and difficult to predict.</w:t>
      </w:r>
    </w:p>
    <w:p w14:paraId="033B9842" w14:textId="4A1A3EE4" w:rsidR="00F47D7F"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4.9.</w:t>
      </w:r>
      <w:r w:rsidRPr="007044B7">
        <w:rPr>
          <w:rFonts w:ascii="Arial" w:hAnsi="Arial" w:cs="Arial"/>
          <w:sz w:val="24"/>
          <w:szCs w:val="24"/>
        </w:rPr>
        <w:tab/>
      </w:r>
      <w:r w:rsidR="00F47D7F" w:rsidRPr="00855EE9">
        <w:rPr>
          <w:rFonts w:ascii="Arial" w:hAnsi="Arial" w:cs="Arial"/>
          <w:sz w:val="24"/>
          <w:szCs w:val="24"/>
        </w:rPr>
        <w:t xml:space="preserve">On 20 June 2017 the Department refused the applicant’s application for a critical skills </w:t>
      </w:r>
      <w:r w:rsidR="00EB4FD5" w:rsidRPr="00855EE9">
        <w:rPr>
          <w:rFonts w:ascii="Arial" w:hAnsi="Arial" w:cs="Arial"/>
          <w:sz w:val="24"/>
          <w:szCs w:val="24"/>
        </w:rPr>
        <w:t>v</w:t>
      </w:r>
      <w:r w:rsidR="00F47D7F" w:rsidRPr="00855EE9">
        <w:rPr>
          <w:rFonts w:ascii="Arial" w:hAnsi="Arial" w:cs="Arial"/>
          <w:sz w:val="24"/>
          <w:szCs w:val="24"/>
        </w:rPr>
        <w:t>isa. The reasons for the refusal were that the applicant had failed to submit</w:t>
      </w:r>
      <w:r w:rsidR="00491E1B" w:rsidRPr="00855EE9">
        <w:rPr>
          <w:rFonts w:ascii="Arial" w:hAnsi="Arial" w:cs="Arial"/>
          <w:sz w:val="24"/>
          <w:szCs w:val="24"/>
        </w:rPr>
        <w:t>: (a)</w:t>
      </w:r>
      <w:r w:rsidR="00F47D7F" w:rsidRPr="00855EE9">
        <w:rPr>
          <w:rFonts w:ascii="Arial" w:hAnsi="Arial" w:cs="Arial"/>
          <w:sz w:val="24"/>
          <w:szCs w:val="24"/>
        </w:rPr>
        <w:t xml:space="preserve"> a certificate of registration with the recognised professional body, council or board; </w:t>
      </w:r>
      <w:r w:rsidR="00491E1B" w:rsidRPr="00855EE9">
        <w:rPr>
          <w:rFonts w:ascii="Arial" w:hAnsi="Arial" w:cs="Arial"/>
          <w:sz w:val="24"/>
          <w:szCs w:val="24"/>
        </w:rPr>
        <w:t xml:space="preserve">(b) </w:t>
      </w:r>
      <w:r w:rsidR="00F47D7F" w:rsidRPr="00855EE9">
        <w:rPr>
          <w:rFonts w:ascii="Arial" w:hAnsi="Arial" w:cs="Arial"/>
          <w:sz w:val="24"/>
          <w:szCs w:val="24"/>
        </w:rPr>
        <w:t xml:space="preserve">confirmation of the skills or qualifications of the applicant and appropriate post qualification experience; and </w:t>
      </w:r>
      <w:r w:rsidR="00491E1B" w:rsidRPr="00855EE9">
        <w:rPr>
          <w:rFonts w:ascii="Arial" w:hAnsi="Arial" w:cs="Arial"/>
          <w:sz w:val="24"/>
          <w:szCs w:val="24"/>
        </w:rPr>
        <w:t xml:space="preserve">(c) </w:t>
      </w:r>
      <w:r w:rsidR="00F47D7F" w:rsidRPr="00855EE9">
        <w:rPr>
          <w:rFonts w:ascii="Arial" w:hAnsi="Arial" w:cs="Arial"/>
          <w:sz w:val="24"/>
          <w:szCs w:val="24"/>
        </w:rPr>
        <w:t>a police clearance certificate</w:t>
      </w:r>
      <w:r w:rsidR="00B44723" w:rsidRPr="00855EE9">
        <w:rPr>
          <w:rFonts w:ascii="Arial" w:hAnsi="Arial" w:cs="Arial"/>
          <w:sz w:val="24"/>
          <w:szCs w:val="24"/>
        </w:rPr>
        <w:t xml:space="preserve"> (“</w:t>
      </w:r>
      <w:r w:rsidR="00B44723" w:rsidRPr="00855EE9">
        <w:rPr>
          <w:rFonts w:ascii="Arial" w:hAnsi="Arial" w:cs="Arial"/>
          <w:b/>
          <w:bCs/>
          <w:sz w:val="24"/>
          <w:szCs w:val="24"/>
        </w:rPr>
        <w:t>the missing documents</w:t>
      </w:r>
      <w:r w:rsidR="00B44723" w:rsidRPr="00855EE9">
        <w:rPr>
          <w:rFonts w:ascii="Arial" w:hAnsi="Arial" w:cs="Arial"/>
          <w:sz w:val="24"/>
          <w:szCs w:val="24"/>
        </w:rPr>
        <w:t>”)</w:t>
      </w:r>
      <w:r w:rsidR="00F47D7F" w:rsidRPr="00855EE9">
        <w:rPr>
          <w:rFonts w:ascii="Arial" w:hAnsi="Arial" w:cs="Arial"/>
          <w:sz w:val="24"/>
          <w:szCs w:val="24"/>
        </w:rPr>
        <w:t>.</w:t>
      </w:r>
    </w:p>
    <w:p w14:paraId="00E22CE8" w14:textId="0D5B18B0" w:rsidR="00F47D7F"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4.10.</w:t>
      </w:r>
      <w:r w:rsidRPr="007044B7">
        <w:rPr>
          <w:rFonts w:ascii="Arial" w:hAnsi="Arial" w:cs="Arial"/>
          <w:sz w:val="24"/>
          <w:szCs w:val="24"/>
        </w:rPr>
        <w:tab/>
      </w:r>
      <w:r w:rsidR="00F47D7F" w:rsidRPr="00855EE9">
        <w:rPr>
          <w:rFonts w:ascii="Arial" w:hAnsi="Arial" w:cs="Arial"/>
          <w:sz w:val="24"/>
          <w:szCs w:val="24"/>
        </w:rPr>
        <w:t xml:space="preserve">On 25 August 2017, the applicant submitted an appeal to the first respondent which contained all of the </w:t>
      </w:r>
      <w:r w:rsidR="00B44723" w:rsidRPr="00855EE9">
        <w:rPr>
          <w:rFonts w:ascii="Arial" w:hAnsi="Arial" w:cs="Arial"/>
          <w:sz w:val="24"/>
          <w:szCs w:val="24"/>
        </w:rPr>
        <w:t xml:space="preserve">missing </w:t>
      </w:r>
      <w:r w:rsidR="00F47D7F" w:rsidRPr="00855EE9">
        <w:rPr>
          <w:rFonts w:ascii="Arial" w:hAnsi="Arial" w:cs="Arial"/>
          <w:sz w:val="24"/>
          <w:szCs w:val="24"/>
        </w:rPr>
        <w:t>documents from the initial application.</w:t>
      </w:r>
    </w:p>
    <w:p w14:paraId="5410C6FC" w14:textId="0CA34C51" w:rsidR="00F47D7F"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4.11.</w:t>
      </w:r>
      <w:r w:rsidRPr="007044B7">
        <w:rPr>
          <w:rFonts w:ascii="Arial" w:hAnsi="Arial" w:cs="Arial"/>
          <w:sz w:val="24"/>
          <w:szCs w:val="24"/>
        </w:rPr>
        <w:tab/>
      </w:r>
      <w:r w:rsidR="00F47D7F" w:rsidRPr="00855EE9">
        <w:rPr>
          <w:rFonts w:ascii="Arial" w:hAnsi="Arial" w:cs="Arial"/>
          <w:sz w:val="24"/>
          <w:szCs w:val="24"/>
        </w:rPr>
        <w:t>This notwithstanding, the applicant</w:t>
      </w:r>
      <w:r w:rsidR="0078475B" w:rsidRPr="00855EE9">
        <w:rPr>
          <w:rFonts w:ascii="Arial" w:hAnsi="Arial" w:cs="Arial"/>
          <w:sz w:val="24"/>
          <w:szCs w:val="24"/>
        </w:rPr>
        <w:t>’</w:t>
      </w:r>
      <w:r w:rsidR="00F47D7F" w:rsidRPr="00855EE9">
        <w:rPr>
          <w:rFonts w:ascii="Arial" w:hAnsi="Arial" w:cs="Arial"/>
          <w:sz w:val="24"/>
          <w:szCs w:val="24"/>
        </w:rPr>
        <w:t xml:space="preserve">s appeal was not determined. </w:t>
      </w:r>
      <w:r w:rsidR="004F0193" w:rsidRPr="00855EE9">
        <w:rPr>
          <w:rFonts w:ascii="Arial" w:hAnsi="Arial" w:cs="Arial"/>
          <w:sz w:val="24"/>
          <w:szCs w:val="24"/>
        </w:rPr>
        <w:t>This necessitated an application to compel the respondents to adjudicate the applicant</w:t>
      </w:r>
      <w:r w:rsidR="00EE265B" w:rsidRPr="00855EE9">
        <w:rPr>
          <w:rFonts w:ascii="Arial" w:hAnsi="Arial" w:cs="Arial"/>
          <w:sz w:val="24"/>
          <w:szCs w:val="24"/>
        </w:rPr>
        <w:t>’</w:t>
      </w:r>
      <w:r w:rsidR="004F0193" w:rsidRPr="00855EE9">
        <w:rPr>
          <w:rFonts w:ascii="Arial" w:hAnsi="Arial" w:cs="Arial"/>
          <w:sz w:val="24"/>
          <w:szCs w:val="24"/>
        </w:rPr>
        <w:t xml:space="preserve">s appeal. </w:t>
      </w:r>
      <w:r w:rsidR="001C0E7C" w:rsidRPr="00855EE9">
        <w:rPr>
          <w:rFonts w:ascii="Arial" w:hAnsi="Arial" w:cs="Arial"/>
          <w:sz w:val="24"/>
          <w:szCs w:val="24"/>
        </w:rPr>
        <w:t>O</w:t>
      </w:r>
      <w:r w:rsidR="00F47D7F" w:rsidRPr="00855EE9">
        <w:rPr>
          <w:rFonts w:ascii="Arial" w:hAnsi="Arial" w:cs="Arial"/>
          <w:sz w:val="24"/>
          <w:szCs w:val="24"/>
        </w:rPr>
        <w:t xml:space="preserve">n 6 December 2019, a </w:t>
      </w:r>
      <w:r w:rsidR="001C0E7C" w:rsidRPr="00855EE9">
        <w:rPr>
          <w:rFonts w:ascii="Arial" w:hAnsi="Arial" w:cs="Arial"/>
          <w:sz w:val="24"/>
          <w:szCs w:val="24"/>
        </w:rPr>
        <w:t>C</w:t>
      </w:r>
      <w:r w:rsidR="00F47D7F" w:rsidRPr="00855EE9">
        <w:rPr>
          <w:rFonts w:ascii="Arial" w:hAnsi="Arial" w:cs="Arial"/>
          <w:sz w:val="24"/>
          <w:szCs w:val="24"/>
        </w:rPr>
        <w:t xml:space="preserve">ourt </w:t>
      </w:r>
      <w:r w:rsidR="001C0E7C" w:rsidRPr="00855EE9">
        <w:rPr>
          <w:rFonts w:ascii="Arial" w:hAnsi="Arial" w:cs="Arial"/>
          <w:sz w:val="24"/>
          <w:szCs w:val="24"/>
        </w:rPr>
        <w:t>O</w:t>
      </w:r>
      <w:r w:rsidR="00F47D7F" w:rsidRPr="00855EE9">
        <w:rPr>
          <w:rFonts w:ascii="Arial" w:hAnsi="Arial" w:cs="Arial"/>
          <w:sz w:val="24"/>
          <w:szCs w:val="24"/>
        </w:rPr>
        <w:t xml:space="preserve">rder </w:t>
      </w:r>
      <w:r w:rsidR="001C0E7C" w:rsidRPr="00855EE9">
        <w:rPr>
          <w:rFonts w:ascii="Arial" w:hAnsi="Arial" w:cs="Arial"/>
          <w:sz w:val="24"/>
          <w:szCs w:val="24"/>
        </w:rPr>
        <w:t xml:space="preserve">was granted </w:t>
      </w:r>
      <w:r w:rsidR="00F47D7F" w:rsidRPr="00855EE9">
        <w:rPr>
          <w:rFonts w:ascii="Arial" w:hAnsi="Arial" w:cs="Arial"/>
          <w:sz w:val="24"/>
          <w:szCs w:val="24"/>
        </w:rPr>
        <w:t xml:space="preserve">which directed that the respondents determine the applicant’s appeal within 20 days of the </w:t>
      </w:r>
      <w:r w:rsidR="00FC4E8B" w:rsidRPr="00855EE9">
        <w:rPr>
          <w:rFonts w:ascii="Arial" w:hAnsi="Arial" w:cs="Arial"/>
          <w:sz w:val="24"/>
          <w:szCs w:val="24"/>
        </w:rPr>
        <w:t>O</w:t>
      </w:r>
      <w:r w:rsidR="00F47D7F" w:rsidRPr="00855EE9">
        <w:rPr>
          <w:rFonts w:ascii="Arial" w:hAnsi="Arial" w:cs="Arial"/>
          <w:sz w:val="24"/>
          <w:szCs w:val="24"/>
        </w:rPr>
        <w:t xml:space="preserve">rder. The </w:t>
      </w:r>
      <w:r w:rsidR="00FC4E8B" w:rsidRPr="00855EE9">
        <w:rPr>
          <w:rFonts w:ascii="Arial" w:hAnsi="Arial" w:cs="Arial"/>
          <w:sz w:val="24"/>
          <w:szCs w:val="24"/>
        </w:rPr>
        <w:t>O</w:t>
      </w:r>
      <w:r w:rsidR="00F47D7F" w:rsidRPr="00855EE9">
        <w:rPr>
          <w:rFonts w:ascii="Arial" w:hAnsi="Arial" w:cs="Arial"/>
          <w:sz w:val="24"/>
          <w:szCs w:val="24"/>
        </w:rPr>
        <w:t xml:space="preserve">rder further provided that in the event that the applicant’s application was rejected, written reasons </w:t>
      </w:r>
      <w:r w:rsidR="00FC4E8B" w:rsidRPr="00855EE9">
        <w:rPr>
          <w:rFonts w:ascii="Arial" w:hAnsi="Arial" w:cs="Arial"/>
          <w:sz w:val="24"/>
          <w:szCs w:val="24"/>
        </w:rPr>
        <w:t xml:space="preserve">had </w:t>
      </w:r>
      <w:r w:rsidR="00F47D7F" w:rsidRPr="00855EE9">
        <w:rPr>
          <w:rFonts w:ascii="Arial" w:hAnsi="Arial" w:cs="Arial"/>
          <w:sz w:val="24"/>
          <w:szCs w:val="24"/>
        </w:rPr>
        <w:t xml:space="preserve">to be provided to the applicant’s attorney within 20 days of the date of the </w:t>
      </w:r>
      <w:r w:rsidR="00855953" w:rsidRPr="00855EE9">
        <w:rPr>
          <w:rFonts w:ascii="Arial" w:hAnsi="Arial" w:cs="Arial"/>
          <w:sz w:val="24"/>
          <w:szCs w:val="24"/>
        </w:rPr>
        <w:t>O</w:t>
      </w:r>
      <w:r w:rsidR="00F47D7F" w:rsidRPr="00855EE9">
        <w:rPr>
          <w:rFonts w:ascii="Arial" w:hAnsi="Arial" w:cs="Arial"/>
          <w:sz w:val="24"/>
          <w:szCs w:val="24"/>
        </w:rPr>
        <w:t>rder.</w:t>
      </w:r>
    </w:p>
    <w:p w14:paraId="0240607E" w14:textId="2C34F84B" w:rsidR="00F47D7F"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4.12.</w:t>
      </w:r>
      <w:r w:rsidRPr="007044B7">
        <w:rPr>
          <w:rFonts w:ascii="Arial" w:hAnsi="Arial" w:cs="Arial"/>
          <w:sz w:val="24"/>
          <w:szCs w:val="24"/>
        </w:rPr>
        <w:tab/>
      </w:r>
      <w:r w:rsidR="0034372A" w:rsidRPr="00855EE9">
        <w:rPr>
          <w:rFonts w:ascii="Arial" w:hAnsi="Arial" w:cs="Arial"/>
          <w:sz w:val="24"/>
          <w:szCs w:val="24"/>
        </w:rPr>
        <w:t>On 10 September 2020 the applicant</w:t>
      </w:r>
      <w:r w:rsidR="00855953" w:rsidRPr="00855EE9">
        <w:rPr>
          <w:rFonts w:ascii="Arial" w:hAnsi="Arial" w:cs="Arial"/>
          <w:sz w:val="24"/>
          <w:szCs w:val="24"/>
        </w:rPr>
        <w:t>’</w:t>
      </w:r>
      <w:r w:rsidR="0034372A" w:rsidRPr="00855EE9">
        <w:rPr>
          <w:rFonts w:ascii="Arial" w:hAnsi="Arial" w:cs="Arial"/>
          <w:sz w:val="24"/>
          <w:szCs w:val="24"/>
        </w:rPr>
        <w:t xml:space="preserve">s appeal was determined by the </w:t>
      </w:r>
      <w:r w:rsidR="00855953" w:rsidRPr="00855EE9">
        <w:rPr>
          <w:rFonts w:ascii="Arial" w:hAnsi="Arial" w:cs="Arial"/>
          <w:sz w:val="24"/>
          <w:szCs w:val="24"/>
        </w:rPr>
        <w:t>A</w:t>
      </w:r>
      <w:r w:rsidR="0034372A" w:rsidRPr="00855EE9">
        <w:rPr>
          <w:rFonts w:ascii="Arial" w:hAnsi="Arial" w:cs="Arial"/>
          <w:sz w:val="24"/>
          <w:szCs w:val="24"/>
        </w:rPr>
        <w:t xml:space="preserve">ssistant </w:t>
      </w:r>
      <w:r w:rsidR="00855953" w:rsidRPr="00855EE9">
        <w:rPr>
          <w:rFonts w:ascii="Arial" w:hAnsi="Arial" w:cs="Arial"/>
          <w:sz w:val="24"/>
          <w:szCs w:val="24"/>
        </w:rPr>
        <w:t>D</w:t>
      </w:r>
      <w:r w:rsidR="0034372A" w:rsidRPr="00855EE9">
        <w:rPr>
          <w:rFonts w:ascii="Arial" w:hAnsi="Arial" w:cs="Arial"/>
          <w:sz w:val="24"/>
          <w:szCs w:val="24"/>
        </w:rPr>
        <w:t xml:space="preserve">irector: </w:t>
      </w:r>
      <w:r w:rsidR="00855953" w:rsidRPr="00855EE9">
        <w:rPr>
          <w:rFonts w:ascii="Arial" w:hAnsi="Arial" w:cs="Arial"/>
          <w:sz w:val="24"/>
          <w:szCs w:val="24"/>
        </w:rPr>
        <w:t>A</w:t>
      </w:r>
      <w:r w:rsidR="0034372A" w:rsidRPr="00855EE9">
        <w:rPr>
          <w:rFonts w:ascii="Arial" w:hAnsi="Arial" w:cs="Arial"/>
          <w:sz w:val="24"/>
          <w:szCs w:val="24"/>
        </w:rPr>
        <w:t xml:space="preserve">ppeals. </w:t>
      </w:r>
      <w:r w:rsidR="00D84D8A" w:rsidRPr="00855EE9">
        <w:rPr>
          <w:rFonts w:ascii="Arial" w:hAnsi="Arial" w:cs="Arial"/>
          <w:sz w:val="24"/>
          <w:szCs w:val="24"/>
        </w:rPr>
        <w:t xml:space="preserve">The letter advising the applicant of the outcome </w:t>
      </w:r>
      <w:r w:rsidR="0034372A" w:rsidRPr="00855EE9">
        <w:rPr>
          <w:rFonts w:ascii="Arial" w:hAnsi="Arial" w:cs="Arial"/>
          <w:sz w:val="24"/>
          <w:szCs w:val="24"/>
        </w:rPr>
        <w:t>states as follows:</w:t>
      </w:r>
    </w:p>
    <w:p w14:paraId="542E4281" w14:textId="39969C7C" w:rsidR="0034372A" w:rsidRPr="007044B7" w:rsidRDefault="0034372A" w:rsidP="00C6348E">
      <w:pPr>
        <w:pStyle w:val="ListParagraph"/>
        <w:spacing w:before="120" w:after="360" w:line="240" w:lineRule="auto"/>
        <w:ind w:left="2160"/>
        <w:contextualSpacing w:val="0"/>
        <w:jc w:val="both"/>
        <w:rPr>
          <w:rFonts w:ascii="Arial" w:hAnsi="Arial" w:cs="Arial"/>
          <w:sz w:val="24"/>
          <w:szCs w:val="24"/>
        </w:rPr>
      </w:pPr>
      <w:r w:rsidRPr="007044B7">
        <w:rPr>
          <w:rFonts w:ascii="Arial" w:hAnsi="Arial" w:cs="Arial"/>
          <w:sz w:val="24"/>
          <w:szCs w:val="24"/>
        </w:rPr>
        <w:t>“</w:t>
      </w:r>
      <w:r w:rsidR="00855953" w:rsidRPr="007044B7">
        <w:rPr>
          <w:rFonts w:ascii="Arial" w:hAnsi="Arial" w:cs="Arial"/>
          <w:sz w:val="24"/>
          <w:szCs w:val="24"/>
        </w:rPr>
        <w:t>Y</w:t>
      </w:r>
      <w:r w:rsidRPr="007044B7">
        <w:rPr>
          <w:rFonts w:ascii="Arial" w:hAnsi="Arial" w:cs="Arial"/>
          <w:sz w:val="24"/>
          <w:szCs w:val="24"/>
        </w:rPr>
        <w:t>our letter of appeal bears reference.</w:t>
      </w:r>
    </w:p>
    <w:p w14:paraId="5B1A58E0" w14:textId="2B2187F9" w:rsidR="0034372A" w:rsidRPr="007044B7" w:rsidRDefault="0034372A" w:rsidP="00C6348E">
      <w:pPr>
        <w:pStyle w:val="ListParagraph"/>
        <w:spacing w:before="120" w:after="360" w:line="240" w:lineRule="auto"/>
        <w:ind w:left="2160"/>
        <w:contextualSpacing w:val="0"/>
        <w:jc w:val="both"/>
        <w:rPr>
          <w:rFonts w:ascii="Arial" w:hAnsi="Arial" w:cs="Arial"/>
          <w:sz w:val="24"/>
          <w:szCs w:val="24"/>
        </w:rPr>
      </w:pPr>
      <w:r w:rsidRPr="007044B7">
        <w:rPr>
          <w:rFonts w:ascii="Arial" w:hAnsi="Arial" w:cs="Arial"/>
          <w:sz w:val="24"/>
          <w:szCs w:val="24"/>
        </w:rPr>
        <w:t xml:space="preserve">I wish to inform you that I have decided to uphold the decision to reject your application for </w:t>
      </w:r>
      <w:r w:rsidR="00855953" w:rsidRPr="007044B7">
        <w:rPr>
          <w:rFonts w:ascii="Arial" w:hAnsi="Arial" w:cs="Arial"/>
          <w:sz w:val="24"/>
          <w:szCs w:val="24"/>
        </w:rPr>
        <w:t>a t</w:t>
      </w:r>
      <w:r w:rsidRPr="007044B7">
        <w:rPr>
          <w:rFonts w:ascii="Arial" w:hAnsi="Arial" w:cs="Arial"/>
          <w:sz w:val="24"/>
          <w:szCs w:val="24"/>
        </w:rPr>
        <w:t xml:space="preserve">emporary residence </w:t>
      </w:r>
      <w:r w:rsidR="00F27CBA" w:rsidRPr="007044B7">
        <w:rPr>
          <w:rFonts w:ascii="Arial" w:hAnsi="Arial" w:cs="Arial"/>
          <w:sz w:val="24"/>
          <w:szCs w:val="24"/>
        </w:rPr>
        <w:t>v</w:t>
      </w:r>
      <w:r w:rsidRPr="007044B7">
        <w:rPr>
          <w:rFonts w:ascii="Arial" w:hAnsi="Arial" w:cs="Arial"/>
          <w:sz w:val="24"/>
          <w:szCs w:val="24"/>
        </w:rPr>
        <w:t>isa in terms of section 19 (</w:t>
      </w:r>
      <w:r w:rsidR="00F27CBA" w:rsidRPr="007044B7">
        <w:rPr>
          <w:rFonts w:ascii="Arial" w:hAnsi="Arial" w:cs="Arial"/>
          <w:sz w:val="24"/>
          <w:szCs w:val="24"/>
        </w:rPr>
        <w:t>1</w:t>
      </w:r>
      <w:r w:rsidRPr="007044B7">
        <w:rPr>
          <w:rFonts w:ascii="Arial" w:hAnsi="Arial" w:cs="Arial"/>
          <w:sz w:val="24"/>
          <w:szCs w:val="24"/>
        </w:rPr>
        <w:t xml:space="preserve">) of the </w:t>
      </w:r>
      <w:r w:rsidR="00F27CBA" w:rsidRPr="007044B7">
        <w:rPr>
          <w:rFonts w:ascii="Arial" w:hAnsi="Arial" w:cs="Arial"/>
          <w:sz w:val="24"/>
          <w:szCs w:val="24"/>
        </w:rPr>
        <w:t>I</w:t>
      </w:r>
      <w:r w:rsidRPr="007044B7">
        <w:rPr>
          <w:rFonts w:ascii="Arial" w:hAnsi="Arial" w:cs="Arial"/>
          <w:sz w:val="24"/>
          <w:szCs w:val="24"/>
        </w:rPr>
        <w:t xml:space="preserve">mmigration </w:t>
      </w:r>
      <w:r w:rsidR="00F27CBA" w:rsidRPr="007044B7">
        <w:rPr>
          <w:rFonts w:ascii="Arial" w:hAnsi="Arial" w:cs="Arial"/>
          <w:sz w:val="24"/>
          <w:szCs w:val="24"/>
        </w:rPr>
        <w:t>A</w:t>
      </w:r>
      <w:r w:rsidRPr="007044B7">
        <w:rPr>
          <w:rFonts w:ascii="Arial" w:hAnsi="Arial" w:cs="Arial"/>
          <w:sz w:val="24"/>
          <w:szCs w:val="24"/>
        </w:rPr>
        <w:t>ct, 2002, (</w:t>
      </w:r>
      <w:r w:rsidR="00F27CBA" w:rsidRPr="007044B7">
        <w:rPr>
          <w:rFonts w:ascii="Arial" w:hAnsi="Arial" w:cs="Arial"/>
          <w:sz w:val="24"/>
          <w:szCs w:val="24"/>
        </w:rPr>
        <w:t>A</w:t>
      </w:r>
      <w:r w:rsidRPr="007044B7">
        <w:rPr>
          <w:rFonts w:ascii="Arial" w:hAnsi="Arial" w:cs="Arial"/>
          <w:sz w:val="24"/>
          <w:szCs w:val="24"/>
        </w:rPr>
        <w:t xml:space="preserve">ct </w:t>
      </w:r>
      <w:r w:rsidR="00F27CBA" w:rsidRPr="007044B7">
        <w:rPr>
          <w:rFonts w:ascii="Arial" w:hAnsi="Arial" w:cs="Arial"/>
          <w:sz w:val="24"/>
          <w:szCs w:val="24"/>
        </w:rPr>
        <w:t>N</w:t>
      </w:r>
      <w:r w:rsidRPr="007044B7">
        <w:rPr>
          <w:rFonts w:ascii="Arial" w:hAnsi="Arial" w:cs="Arial"/>
          <w:sz w:val="24"/>
          <w:szCs w:val="24"/>
        </w:rPr>
        <w:t xml:space="preserve">o 13 of 2002) as amended. You were supposed to have lodged </w:t>
      </w:r>
      <w:r w:rsidR="00F27CBA" w:rsidRPr="007044B7">
        <w:rPr>
          <w:rFonts w:ascii="Arial" w:hAnsi="Arial" w:cs="Arial"/>
          <w:sz w:val="24"/>
          <w:szCs w:val="24"/>
        </w:rPr>
        <w:t xml:space="preserve">a </w:t>
      </w:r>
      <w:r w:rsidRPr="007044B7">
        <w:rPr>
          <w:rFonts w:ascii="Arial" w:hAnsi="Arial" w:cs="Arial"/>
          <w:sz w:val="24"/>
          <w:szCs w:val="24"/>
        </w:rPr>
        <w:t xml:space="preserve">renewal of your </w:t>
      </w:r>
      <w:r w:rsidR="00F27CBA" w:rsidRPr="007044B7">
        <w:rPr>
          <w:rFonts w:ascii="Arial" w:hAnsi="Arial" w:cs="Arial"/>
          <w:sz w:val="24"/>
          <w:szCs w:val="24"/>
        </w:rPr>
        <w:t>v</w:t>
      </w:r>
      <w:r w:rsidRPr="007044B7">
        <w:rPr>
          <w:rFonts w:ascii="Arial" w:hAnsi="Arial" w:cs="Arial"/>
          <w:sz w:val="24"/>
          <w:szCs w:val="24"/>
        </w:rPr>
        <w:t>isa application within the stipulated period.</w:t>
      </w:r>
    </w:p>
    <w:p w14:paraId="720ED42A" w14:textId="1E5CD169" w:rsidR="0034372A" w:rsidRPr="007044B7" w:rsidRDefault="0034372A" w:rsidP="00C6348E">
      <w:pPr>
        <w:pStyle w:val="ListParagraph"/>
        <w:spacing w:before="120" w:after="360" w:line="240" w:lineRule="auto"/>
        <w:ind w:left="2160"/>
        <w:contextualSpacing w:val="0"/>
        <w:jc w:val="both"/>
        <w:rPr>
          <w:rFonts w:ascii="Arial" w:hAnsi="Arial" w:cs="Arial"/>
          <w:sz w:val="24"/>
          <w:szCs w:val="24"/>
        </w:rPr>
      </w:pPr>
      <w:r w:rsidRPr="007044B7">
        <w:rPr>
          <w:rFonts w:ascii="Arial" w:hAnsi="Arial" w:cs="Arial"/>
          <w:sz w:val="24"/>
          <w:szCs w:val="24"/>
        </w:rPr>
        <w:t>You may within 10 working days from the date of receipt of this notice make written representations for a review or appeal of the decision in terms of section 8 (</w:t>
      </w:r>
      <w:r w:rsidR="00196398" w:rsidRPr="007044B7">
        <w:rPr>
          <w:rFonts w:ascii="Arial" w:hAnsi="Arial" w:cs="Arial"/>
          <w:sz w:val="24"/>
          <w:szCs w:val="24"/>
        </w:rPr>
        <w:t>6</w:t>
      </w:r>
      <w:r w:rsidRPr="007044B7">
        <w:rPr>
          <w:rFonts w:ascii="Arial" w:hAnsi="Arial" w:cs="Arial"/>
          <w:sz w:val="24"/>
          <w:szCs w:val="24"/>
        </w:rPr>
        <w:t xml:space="preserve">) of the </w:t>
      </w:r>
      <w:r w:rsidR="00196398" w:rsidRPr="007044B7">
        <w:rPr>
          <w:rFonts w:ascii="Arial" w:hAnsi="Arial" w:cs="Arial"/>
          <w:sz w:val="24"/>
          <w:szCs w:val="24"/>
        </w:rPr>
        <w:t>I</w:t>
      </w:r>
      <w:r w:rsidRPr="007044B7">
        <w:rPr>
          <w:rFonts w:ascii="Arial" w:hAnsi="Arial" w:cs="Arial"/>
          <w:sz w:val="24"/>
          <w:szCs w:val="24"/>
        </w:rPr>
        <w:t xml:space="preserve">mmigration </w:t>
      </w:r>
      <w:r w:rsidR="00196398" w:rsidRPr="007044B7">
        <w:rPr>
          <w:rFonts w:ascii="Arial" w:hAnsi="Arial" w:cs="Arial"/>
          <w:sz w:val="24"/>
          <w:szCs w:val="24"/>
        </w:rPr>
        <w:t>A</w:t>
      </w:r>
      <w:r w:rsidRPr="007044B7">
        <w:rPr>
          <w:rFonts w:ascii="Arial" w:hAnsi="Arial" w:cs="Arial"/>
          <w:sz w:val="24"/>
          <w:szCs w:val="24"/>
        </w:rPr>
        <w:t>ct, 2002 (</w:t>
      </w:r>
      <w:r w:rsidR="00196398" w:rsidRPr="007044B7">
        <w:rPr>
          <w:rFonts w:ascii="Arial" w:hAnsi="Arial" w:cs="Arial"/>
          <w:sz w:val="24"/>
          <w:szCs w:val="24"/>
        </w:rPr>
        <w:t>A</w:t>
      </w:r>
      <w:r w:rsidRPr="007044B7">
        <w:rPr>
          <w:rFonts w:ascii="Arial" w:hAnsi="Arial" w:cs="Arial"/>
          <w:sz w:val="24"/>
          <w:szCs w:val="24"/>
        </w:rPr>
        <w:t xml:space="preserve">ct </w:t>
      </w:r>
      <w:r w:rsidR="00196398" w:rsidRPr="007044B7">
        <w:rPr>
          <w:rFonts w:ascii="Arial" w:hAnsi="Arial" w:cs="Arial"/>
          <w:sz w:val="24"/>
          <w:szCs w:val="24"/>
        </w:rPr>
        <w:t xml:space="preserve">No </w:t>
      </w:r>
      <w:r w:rsidRPr="007044B7">
        <w:rPr>
          <w:rFonts w:ascii="Arial" w:hAnsi="Arial" w:cs="Arial"/>
          <w:sz w:val="24"/>
          <w:szCs w:val="24"/>
        </w:rPr>
        <w:t xml:space="preserve">13 of 2000 </w:t>
      </w:r>
      <w:r w:rsidR="00E27674" w:rsidRPr="007044B7">
        <w:rPr>
          <w:rFonts w:ascii="Arial" w:hAnsi="Arial" w:cs="Arial"/>
          <w:sz w:val="24"/>
          <w:szCs w:val="24"/>
        </w:rPr>
        <w:t>(</w:t>
      </w:r>
      <w:r w:rsidRPr="007044B7">
        <w:rPr>
          <w:rFonts w:ascii="Arial" w:hAnsi="Arial" w:cs="Arial"/>
          <w:sz w:val="24"/>
          <w:szCs w:val="24"/>
        </w:rPr>
        <w:t>as amended</w:t>
      </w:r>
      <w:r w:rsidR="00E27674" w:rsidRPr="007044B7">
        <w:rPr>
          <w:rFonts w:ascii="Arial" w:hAnsi="Arial" w:cs="Arial"/>
          <w:sz w:val="24"/>
          <w:szCs w:val="24"/>
        </w:rPr>
        <w:t>)</w:t>
      </w:r>
      <w:r w:rsidR="003829FA">
        <w:rPr>
          <w:rFonts w:ascii="Arial" w:hAnsi="Arial" w:cs="Arial"/>
          <w:sz w:val="24"/>
          <w:szCs w:val="24"/>
        </w:rPr>
        <w:t>)</w:t>
      </w:r>
      <w:r w:rsidRPr="007044B7">
        <w:rPr>
          <w:rFonts w:ascii="Arial" w:hAnsi="Arial" w:cs="Arial"/>
          <w:sz w:val="24"/>
          <w:szCs w:val="24"/>
        </w:rPr>
        <w:t>. Should you fail to make representations, the decision set out above shall remain effective.”</w:t>
      </w:r>
    </w:p>
    <w:p w14:paraId="1277F960" w14:textId="023F926C" w:rsidR="0034372A"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4.13.</w:t>
      </w:r>
      <w:r w:rsidRPr="007044B7">
        <w:rPr>
          <w:rFonts w:ascii="Arial" w:hAnsi="Arial" w:cs="Arial"/>
          <w:sz w:val="24"/>
          <w:szCs w:val="24"/>
        </w:rPr>
        <w:tab/>
      </w:r>
      <w:r w:rsidR="0034372A" w:rsidRPr="00855EE9">
        <w:rPr>
          <w:rFonts w:ascii="Arial" w:hAnsi="Arial" w:cs="Arial"/>
          <w:sz w:val="24"/>
          <w:szCs w:val="24"/>
        </w:rPr>
        <w:t xml:space="preserve">The applicant explains that his application for a critical skills </w:t>
      </w:r>
      <w:r w:rsidR="00E27674" w:rsidRPr="00855EE9">
        <w:rPr>
          <w:rFonts w:ascii="Arial" w:hAnsi="Arial" w:cs="Arial"/>
          <w:sz w:val="24"/>
          <w:szCs w:val="24"/>
        </w:rPr>
        <w:t>v</w:t>
      </w:r>
      <w:r w:rsidR="0034372A" w:rsidRPr="00855EE9">
        <w:rPr>
          <w:rFonts w:ascii="Arial" w:hAnsi="Arial" w:cs="Arial"/>
          <w:sz w:val="24"/>
          <w:szCs w:val="24"/>
        </w:rPr>
        <w:t>isa was not submitted in accordance with section 19 (</w:t>
      </w:r>
      <w:r w:rsidR="002E497D" w:rsidRPr="00855EE9">
        <w:rPr>
          <w:rFonts w:ascii="Arial" w:hAnsi="Arial" w:cs="Arial"/>
          <w:sz w:val="24"/>
          <w:szCs w:val="24"/>
        </w:rPr>
        <w:t>1</w:t>
      </w:r>
      <w:r w:rsidR="0034372A" w:rsidRPr="00855EE9">
        <w:rPr>
          <w:rFonts w:ascii="Arial" w:hAnsi="Arial" w:cs="Arial"/>
          <w:sz w:val="24"/>
          <w:szCs w:val="24"/>
        </w:rPr>
        <w:t xml:space="preserve">) of the </w:t>
      </w:r>
      <w:r w:rsidR="002E497D" w:rsidRPr="00855EE9">
        <w:rPr>
          <w:rFonts w:ascii="Arial" w:hAnsi="Arial" w:cs="Arial"/>
          <w:sz w:val="24"/>
          <w:szCs w:val="24"/>
        </w:rPr>
        <w:t>I</w:t>
      </w:r>
      <w:r w:rsidR="0034372A" w:rsidRPr="00855EE9">
        <w:rPr>
          <w:rFonts w:ascii="Arial" w:hAnsi="Arial" w:cs="Arial"/>
          <w:sz w:val="24"/>
          <w:szCs w:val="24"/>
        </w:rPr>
        <w:t xml:space="preserve">mmigration </w:t>
      </w:r>
      <w:r w:rsidR="002E497D" w:rsidRPr="00855EE9">
        <w:rPr>
          <w:rFonts w:ascii="Arial" w:hAnsi="Arial" w:cs="Arial"/>
          <w:sz w:val="24"/>
          <w:szCs w:val="24"/>
        </w:rPr>
        <w:t>A</w:t>
      </w:r>
      <w:r w:rsidR="0034372A" w:rsidRPr="00855EE9">
        <w:rPr>
          <w:rFonts w:ascii="Arial" w:hAnsi="Arial" w:cs="Arial"/>
          <w:sz w:val="24"/>
          <w:szCs w:val="24"/>
        </w:rPr>
        <w:t>ct, which provision was repealed in 2014</w:t>
      </w:r>
      <w:r w:rsidR="002E497D" w:rsidRPr="00855EE9">
        <w:rPr>
          <w:rFonts w:ascii="Arial" w:hAnsi="Arial" w:cs="Arial"/>
          <w:sz w:val="24"/>
          <w:szCs w:val="24"/>
        </w:rPr>
        <w:t xml:space="preserve">, but that it </w:t>
      </w:r>
      <w:r w:rsidR="0034372A" w:rsidRPr="00855EE9">
        <w:rPr>
          <w:rFonts w:ascii="Arial" w:hAnsi="Arial" w:cs="Arial"/>
          <w:sz w:val="24"/>
          <w:szCs w:val="24"/>
        </w:rPr>
        <w:t>was submitted in terms of section 19 (</w:t>
      </w:r>
      <w:r w:rsidR="002E497D" w:rsidRPr="00855EE9">
        <w:rPr>
          <w:rFonts w:ascii="Arial" w:hAnsi="Arial" w:cs="Arial"/>
          <w:sz w:val="24"/>
          <w:szCs w:val="24"/>
        </w:rPr>
        <w:t>4</w:t>
      </w:r>
      <w:r w:rsidR="0034372A" w:rsidRPr="00855EE9">
        <w:rPr>
          <w:rFonts w:ascii="Arial" w:hAnsi="Arial" w:cs="Arial"/>
          <w:sz w:val="24"/>
          <w:szCs w:val="24"/>
        </w:rPr>
        <w:t xml:space="preserve">) of the </w:t>
      </w:r>
      <w:r w:rsidR="002E497D" w:rsidRPr="00855EE9">
        <w:rPr>
          <w:rFonts w:ascii="Arial" w:hAnsi="Arial" w:cs="Arial"/>
          <w:sz w:val="24"/>
          <w:szCs w:val="24"/>
        </w:rPr>
        <w:t>I</w:t>
      </w:r>
      <w:r w:rsidR="0034372A" w:rsidRPr="00855EE9">
        <w:rPr>
          <w:rFonts w:ascii="Arial" w:hAnsi="Arial" w:cs="Arial"/>
          <w:sz w:val="24"/>
          <w:szCs w:val="24"/>
        </w:rPr>
        <w:t xml:space="preserve">mmigration </w:t>
      </w:r>
      <w:r w:rsidR="002E497D" w:rsidRPr="00855EE9">
        <w:rPr>
          <w:rFonts w:ascii="Arial" w:hAnsi="Arial" w:cs="Arial"/>
          <w:sz w:val="24"/>
          <w:szCs w:val="24"/>
        </w:rPr>
        <w:t>A</w:t>
      </w:r>
      <w:r w:rsidR="0034372A" w:rsidRPr="00855EE9">
        <w:rPr>
          <w:rFonts w:ascii="Arial" w:hAnsi="Arial" w:cs="Arial"/>
          <w:sz w:val="24"/>
          <w:szCs w:val="24"/>
        </w:rPr>
        <w:t xml:space="preserve">ct. Seemingly for this reason, the applicant argues that the </w:t>
      </w:r>
      <w:r w:rsidR="00992EDB" w:rsidRPr="00855EE9">
        <w:rPr>
          <w:rFonts w:ascii="Arial" w:hAnsi="Arial" w:cs="Arial"/>
          <w:sz w:val="24"/>
          <w:szCs w:val="24"/>
        </w:rPr>
        <w:t>A</w:t>
      </w:r>
      <w:r w:rsidR="0034372A" w:rsidRPr="00855EE9">
        <w:rPr>
          <w:rFonts w:ascii="Arial" w:hAnsi="Arial" w:cs="Arial"/>
          <w:sz w:val="24"/>
          <w:szCs w:val="24"/>
        </w:rPr>
        <w:t xml:space="preserve">ssistant </w:t>
      </w:r>
      <w:r w:rsidR="00992EDB" w:rsidRPr="00855EE9">
        <w:rPr>
          <w:rFonts w:ascii="Arial" w:hAnsi="Arial" w:cs="Arial"/>
          <w:sz w:val="24"/>
          <w:szCs w:val="24"/>
        </w:rPr>
        <w:t>D</w:t>
      </w:r>
      <w:r w:rsidR="0034372A" w:rsidRPr="00855EE9">
        <w:rPr>
          <w:rFonts w:ascii="Arial" w:hAnsi="Arial" w:cs="Arial"/>
          <w:sz w:val="24"/>
          <w:szCs w:val="24"/>
        </w:rPr>
        <w:t>irector</w:t>
      </w:r>
      <w:r w:rsidR="008522B0" w:rsidRPr="00855EE9">
        <w:rPr>
          <w:rFonts w:ascii="Arial" w:hAnsi="Arial" w:cs="Arial"/>
          <w:sz w:val="24"/>
          <w:szCs w:val="24"/>
        </w:rPr>
        <w:t xml:space="preserve">: Appeals </w:t>
      </w:r>
      <w:r w:rsidR="0034372A" w:rsidRPr="00855EE9">
        <w:rPr>
          <w:rFonts w:ascii="Arial" w:hAnsi="Arial" w:cs="Arial"/>
          <w:sz w:val="24"/>
          <w:szCs w:val="24"/>
        </w:rPr>
        <w:t xml:space="preserve">suffered from a material misapprehension because his application was for a critical skills </w:t>
      </w:r>
      <w:r w:rsidR="00992EDB" w:rsidRPr="00855EE9">
        <w:rPr>
          <w:rFonts w:ascii="Arial" w:hAnsi="Arial" w:cs="Arial"/>
          <w:sz w:val="24"/>
          <w:szCs w:val="24"/>
        </w:rPr>
        <w:t>v</w:t>
      </w:r>
      <w:r w:rsidR="0034372A" w:rsidRPr="00855EE9">
        <w:rPr>
          <w:rFonts w:ascii="Arial" w:hAnsi="Arial" w:cs="Arial"/>
          <w:sz w:val="24"/>
          <w:szCs w:val="24"/>
        </w:rPr>
        <w:t>isa and not a renewal application and there was no stipulated period within which he ought to have lodged such an application.</w:t>
      </w:r>
    </w:p>
    <w:p w14:paraId="5880AD38" w14:textId="05E669F3" w:rsidR="0034372A"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4.14.</w:t>
      </w:r>
      <w:r w:rsidRPr="007044B7">
        <w:rPr>
          <w:rFonts w:ascii="Arial" w:hAnsi="Arial" w:cs="Arial"/>
          <w:sz w:val="24"/>
          <w:szCs w:val="24"/>
        </w:rPr>
        <w:tab/>
      </w:r>
      <w:r w:rsidR="0034372A" w:rsidRPr="00855EE9">
        <w:rPr>
          <w:rFonts w:ascii="Arial" w:hAnsi="Arial" w:cs="Arial"/>
          <w:sz w:val="24"/>
          <w:szCs w:val="24"/>
        </w:rPr>
        <w:t xml:space="preserve">On or about 13 October 2020, the applicant’s attorney submitted an appeal to the second respondent. The appeal raised various grounds including, </w:t>
      </w:r>
      <w:r w:rsidR="0034372A" w:rsidRPr="00855EE9">
        <w:rPr>
          <w:rFonts w:ascii="Arial" w:hAnsi="Arial" w:cs="Arial"/>
          <w:i/>
          <w:iCs/>
          <w:sz w:val="24"/>
          <w:szCs w:val="24"/>
        </w:rPr>
        <w:t>inter alia</w:t>
      </w:r>
      <w:r w:rsidR="0034372A" w:rsidRPr="00855EE9">
        <w:rPr>
          <w:rFonts w:ascii="Arial" w:hAnsi="Arial" w:cs="Arial"/>
          <w:sz w:val="24"/>
          <w:szCs w:val="24"/>
        </w:rPr>
        <w:t xml:space="preserve"> the following:</w:t>
      </w:r>
    </w:p>
    <w:p w14:paraId="26E20D84" w14:textId="6462D60D" w:rsidR="0034372A" w:rsidRPr="00855EE9" w:rsidRDefault="00855EE9" w:rsidP="00855EE9">
      <w:pPr>
        <w:tabs>
          <w:tab w:val="left" w:pos="2552"/>
        </w:tabs>
        <w:spacing w:before="120" w:after="360" w:line="480" w:lineRule="auto"/>
        <w:ind w:left="2552" w:hanging="1134"/>
        <w:jc w:val="both"/>
        <w:rPr>
          <w:rFonts w:ascii="Arial" w:hAnsi="Arial" w:cs="Arial"/>
          <w:sz w:val="24"/>
          <w:szCs w:val="24"/>
        </w:rPr>
      </w:pPr>
      <w:r w:rsidRPr="007044B7">
        <w:rPr>
          <w:rFonts w:ascii="Arial" w:hAnsi="Arial" w:cs="Arial"/>
          <w:sz w:val="24"/>
          <w:szCs w:val="24"/>
        </w:rPr>
        <w:t>4.14.1.</w:t>
      </w:r>
      <w:r w:rsidRPr="007044B7">
        <w:rPr>
          <w:rFonts w:ascii="Arial" w:hAnsi="Arial" w:cs="Arial"/>
          <w:sz w:val="24"/>
          <w:szCs w:val="24"/>
        </w:rPr>
        <w:tab/>
      </w:r>
      <w:r w:rsidR="00057143" w:rsidRPr="00855EE9">
        <w:rPr>
          <w:rFonts w:ascii="Arial" w:hAnsi="Arial" w:cs="Arial"/>
          <w:sz w:val="24"/>
          <w:szCs w:val="24"/>
        </w:rPr>
        <w:t>T</w:t>
      </w:r>
      <w:r w:rsidR="0034372A" w:rsidRPr="00855EE9">
        <w:rPr>
          <w:rFonts w:ascii="Arial" w:hAnsi="Arial" w:cs="Arial"/>
          <w:sz w:val="24"/>
          <w:szCs w:val="24"/>
        </w:rPr>
        <w:t>hat the applicant had applied in terms of section 19 (</w:t>
      </w:r>
      <w:r w:rsidR="00057143" w:rsidRPr="00855EE9">
        <w:rPr>
          <w:rFonts w:ascii="Arial" w:hAnsi="Arial" w:cs="Arial"/>
          <w:sz w:val="24"/>
          <w:szCs w:val="24"/>
        </w:rPr>
        <w:t>4</w:t>
      </w:r>
      <w:r w:rsidR="0034372A" w:rsidRPr="00855EE9">
        <w:rPr>
          <w:rFonts w:ascii="Arial" w:hAnsi="Arial" w:cs="Arial"/>
          <w:sz w:val="24"/>
          <w:szCs w:val="24"/>
        </w:rPr>
        <w:t xml:space="preserve">) of the </w:t>
      </w:r>
      <w:r w:rsidR="00BC090A" w:rsidRPr="00855EE9">
        <w:rPr>
          <w:rFonts w:ascii="Arial" w:hAnsi="Arial" w:cs="Arial"/>
          <w:sz w:val="24"/>
          <w:szCs w:val="24"/>
        </w:rPr>
        <w:t>I</w:t>
      </w:r>
      <w:r w:rsidR="0034372A" w:rsidRPr="00855EE9">
        <w:rPr>
          <w:rFonts w:ascii="Arial" w:hAnsi="Arial" w:cs="Arial"/>
          <w:sz w:val="24"/>
          <w:szCs w:val="24"/>
        </w:rPr>
        <w:t xml:space="preserve">mmigration </w:t>
      </w:r>
      <w:r w:rsidR="00BC090A" w:rsidRPr="00855EE9">
        <w:rPr>
          <w:rFonts w:ascii="Arial" w:hAnsi="Arial" w:cs="Arial"/>
          <w:sz w:val="24"/>
          <w:szCs w:val="24"/>
        </w:rPr>
        <w:t>A</w:t>
      </w:r>
      <w:r w:rsidR="0034372A" w:rsidRPr="00855EE9">
        <w:rPr>
          <w:rFonts w:ascii="Arial" w:hAnsi="Arial" w:cs="Arial"/>
          <w:sz w:val="24"/>
          <w:szCs w:val="24"/>
        </w:rPr>
        <w:t>ct and not section 19</w:t>
      </w:r>
      <w:r w:rsidR="00BC090A" w:rsidRPr="00855EE9">
        <w:rPr>
          <w:rFonts w:ascii="Arial" w:hAnsi="Arial" w:cs="Arial"/>
          <w:sz w:val="24"/>
          <w:szCs w:val="24"/>
        </w:rPr>
        <w:t>(1</w:t>
      </w:r>
      <w:r w:rsidR="0034372A" w:rsidRPr="00855EE9">
        <w:rPr>
          <w:rFonts w:ascii="Arial" w:hAnsi="Arial" w:cs="Arial"/>
          <w:sz w:val="24"/>
          <w:szCs w:val="24"/>
        </w:rPr>
        <w:t>)</w:t>
      </w:r>
      <w:r w:rsidR="00121C90" w:rsidRPr="00855EE9">
        <w:rPr>
          <w:rFonts w:ascii="Arial" w:hAnsi="Arial" w:cs="Arial"/>
          <w:sz w:val="24"/>
          <w:szCs w:val="24"/>
        </w:rPr>
        <w:t xml:space="preserve"> thereof</w:t>
      </w:r>
      <w:r w:rsidR="0034372A" w:rsidRPr="00855EE9">
        <w:rPr>
          <w:rFonts w:ascii="Arial" w:hAnsi="Arial" w:cs="Arial"/>
          <w:sz w:val="24"/>
          <w:szCs w:val="24"/>
        </w:rPr>
        <w:t>.</w:t>
      </w:r>
    </w:p>
    <w:p w14:paraId="2667AC06" w14:textId="6D5E2C3C" w:rsidR="0034372A" w:rsidRPr="00855EE9" w:rsidRDefault="00855EE9" w:rsidP="00855EE9">
      <w:pPr>
        <w:tabs>
          <w:tab w:val="left" w:pos="2552"/>
        </w:tabs>
        <w:spacing w:before="120" w:after="360" w:line="480" w:lineRule="auto"/>
        <w:ind w:left="2552" w:hanging="1134"/>
        <w:jc w:val="both"/>
        <w:rPr>
          <w:rFonts w:ascii="Arial" w:hAnsi="Arial" w:cs="Arial"/>
          <w:sz w:val="24"/>
          <w:szCs w:val="24"/>
        </w:rPr>
      </w:pPr>
      <w:r w:rsidRPr="007044B7">
        <w:rPr>
          <w:rFonts w:ascii="Arial" w:hAnsi="Arial" w:cs="Arial"/>
          <w:sz w:val="24"/>
          <w:szCs w:val="24"/>
        </w:rPr>
        <w:t>4.14.2.</w:t>
      </w:r>
      <w:r w:rsidRPr="007044B7">
        <w:rPr>
          <w:rFonts w:ascii="Arial" w:hAnsi="Arial" w:cs="Arial"/>
          <w:sz w:val="24"/>
          <w:szCs w:val="24"/>
        </w:rPr>
        <w:tab/>
      </w:r>
      <w:r w:rsidR="0034372A" w:rsidRPr="00855EE9">
        <w:rPr>
          <w:rFonts w:ascii="Arial" w:hAnsi="Arial" w:cs="Arial"/>
          <w:sz w:val="24"/>
          <w:szCs w:val="24"/>
        </w:rPr>
        <w:t>Section 19 (</w:t>
      </w:r>
      <w:r w:rsidR="00BC090A" w:rsidRPr="00855EE9">
        <w:rPr>
          <w:rFonts w:ascii="Arial" w:hAnsi="Arial" w:cs="Arial"/>
          <w:sz w:val="24"/>
          <w:szCs w:val="24"/>
        </w:rPr>
        <w:t>1</w:t>
      </w:r>
      <w:r w:rsidR="0034372A" w:rsidRPr="00855EE9">
        <w:rPr>
          <w:rFonts w:ascii="Arial" w:hAnsi="Arial" w:cs="Arial"/>
          <w:sz w:val="24"/>
          <w:szCs w:val="24"/>
        </w:rPr>
        <w:t xml:space="preserve">) of the </w:t>
      </w:r>
      <w:r w:rsidR="00BC090A" w:rsidRPr="00855EE9">
        <w:rPr>
          <w:rFonts w:ascii="Arial" w:hAnsi="Arial" w:cs="Arial"/>
          <w:sz w:val="24"/>
          <w:szCs w:val="24"/>
        </w:rPr>
        <w:t>I</w:t>
      </w:r>
      <w:r w:rsidR="0034372A" w:rsidRPr="00855EE9">
        <w:rPr>
          <w:rFonts w:ascii="Arial" w:hAnsi="Arial" w:cs="Arial"/>
          <w:sz w:val="24"/>
          <w:szCs w:val="24"/>
        </w:rPr>
        <w:t xml:space="preserve">mmigration </w:t>
      </w:r>
      <w:r w:rsidR="00BC090A" w:rsidRPr="00855EE9">
        <w:rPr>
          <w:rFonts w:ascii="Arial" w:hAnsi="Arial" w:cs="Arial"/>
          <w:sz w:val="24"/>
          <w:szCs w:val="24"/>
        </w:rPr>
        <w:t>A</w:t>
      </w:r>
      <w:r w:rsidR="0034372A" w:rsidRPr="00855EE9">
        <w:rPr>
          <w:rFonts w:ascii="Arial" w:hAnsi="Arial" w:cs="Arial"/>
          <w:sz w:val="24"/>
          <w:szCs w:val="24"/>
        </w:rPr>
        <w:t>ct had been repealed.</w:t>
      </w:r>
      <w:r w:rsidR="00BC090A" w:rsidRPr="00855EE9">
        <w:rPr>
          <w:rFonts w:ascii="Arial" w:hAnsi="Arial" w:cs="Arial"/>
          <w:sz w:val="24"/>
          <w:szCs w:val="24"/>
        </w:rPr>
        <w:t xml:space="preserve">  </w:t>
      </w:r>
      <w:r w:rsidR="0034372A" w:rsidRPr="00855EE9">
        <w:rPr>
          <w:rFonts w:ascii="Arial" w:hAnsi="Arial" w:cs="Arial"/>
          <w:sz w:val="24"/>
          <w:szCs w:val="24"/>
        </w:rPr>
        <w:t>Any reliance on that provision was therefore erroneous.</w:t>
      </w:r>
    </w:p>
    <w:p w14:paraId="679B4414" w14:textId="2C96445C" w:rsidR="0034372A" w:rsidRPr="00855EE9" w:rsidRDefault="00855EE9" w:rsidP="00855EE9">
      <w:pPr>
        <w:tabs>
          <w:tab w:val="left" w:pos="2552"/>
        </w:tabs>
        <w:spacing w:before="120" w:after="360" w:line="480" w:lineRule="auto"/>
        <w:ind w:left="2552" w:hanging="1134"/>
        <w:jc w:val="both"/>
        <w:rPr>
          <w:rFonts w:ascii="Arial" w:hAnsi="Arial" w:cs="Arial"/>
          <w:sz w:val="24"/>
          <w:szCs w:val="24"/>
        </w:rPr>
      </w:pPr>
      <w:r w:rsidRPr="007044B7">
        <w:rPr>
          <w:rFonts w:ascii="Arial" w:hAnsi="Arial" w:cs="Arial"/>
          <w:sz w:val="24"/>
          <w:szCs w:val="24"/>
        </w:rPr>
        <w:t>4.14.3.</w:t>
      </w:r>
      <w:r w:rsidRPr="007044B7">
        <w:rPr>
          <w:rFonts w:ascii="Arial" w:hAnsi="Arial" w:cs="Arial"/>
          <w:sz w:val="24"/>
          <w:szCs w:val="24"/>
        </w:rPr>
        <w:tab/>
      </w:r>
      <w:r w:rsidR="00BC090A" w:rsidRPr="00855EE9">
        <w:rPr>
          <w:rFonts w:ascii="Arial" w:hAnsi="Arial" w:cs="Arial"/>
          <w:sz w:val="24"/>
          <w:szCs w:val="24"/>
        </w:rPr>
        <w:t xml:space="preserve">The </w:t>
      </w:r>
      <w:r w:rsidR="00BE0C29" w:rsidRPr="00855EE9">
        <w:rPr>
          <w:rFonts w:ascii="Arial" w:hAnsi="Arial" w:cs="Arial"/>
          <w:sz w:val="24"/>
          <w:szCs w:val="24"/>
        </w:rPr>
        <w:t xml:space="preserve">first respondent’s </w:t>
      </w:r>
      <w:r w:rsidR="0034372A" w:rsidRPr="00855EE9">
        <w:rPr>
          <w:rFonts w:ascii="Arial" w:hAnsi="Arial" w:cs="Arial"/>
          <w:sz w:val="24"/>
          <w:szCs w:val="24"/>
        </w:rPr>
        <w:t>decision was underpinned by various mistakes of fact in that</w:t>
      </w:r>
      <w:r w:rsidR="004662A8" w:rsidRPr="00855EE9">
        <w:rPr>
          <w:rFonts w:ascii="Arial" w:hAnsi="Arial" w:cs="Arial"/>
          <w:sz w:val="24"/>
          <w:szCs w:val="24"/>
        </w:rPr>
        <w:t>: (a)</w:t>
      </w:r>
      <w:r w:rsidR="0034372A" w:rsidRPr="00855EE9">
        <w:rPr>
          <w:rFonts w:ascii="Arial" w:hAnsi="Arial" w:cs="Arial"/>
          <w:sz w:val="24"/>
          <w:szCs w:val="24"/>
        </w:rPr>
        <w:t xml:space="preserve"> the applicant had not submitted an application for renewal of his critical skills work </w:t>
      </w:r>
      <w:r w:rsidR="004662A8" w:rsidRPr="00855EE9">
        <w:rPr>
          <w:rFonts w:ascii="Arial" w:hAnsi="Arial" w:cs="Arial"/>
          <w:sz w:val="24"/>
          <w:szCs w:val="24"/>
        </w:rPr>
        <w:t>v</w:t>
      </w:r>
      <w:r w:rsidR="0034372A" w:rsidRPr="00855EE9">
        <w:rPr>
          <w:rFonts w:ascii="Arial" w:hAnsi="Arial" w:cs="Arial"/>
          <w:sz w:val="24"/>
          <w:szCs w:val="24"/>
        </w:rPr>
        <w:t>isa as he did not hold such a visa</w:t>
      </w:r>
      <w:r w:rsidR="004662A8" w:rsidRPr="00855EE9">
        <w:rPr>
          <w:rFonts w:ascii="Arial" w:hAnsi="Arial" w:cs="Arial"/>
          <w:sz w:val="24"/>
          <w:szCs w:val="24"/>
        </w:rPr>
        <w:t>; (b)</w:t>
      </w:r>
      <w:r w:rsidR="0034372A" w:rsidRPr="00855EE9">
        <w:rPr>
          <w:rFonts w:ascii="Arial" w:hAnsi="Arial" w:cs="Arial"/>
          <w:sz w:val="24"/>
          <w:szCs w:val="24"/>
        </w:rPr>
        <w:t xml:space="preserve"> the applicant had a right to apply for a change of status which he duly did.</w:t>
      </w:r>
    </w:p>
    <w:p w14:paraId="47330734" w14:textId="51E5C0A1" w:rsidR="0034372A" w:rsidRPr="00855EE9" w:rsidRDefault="00855EE9" w:rsidP="00855EE9">
      <w:pPr>
        <w:tabs>
          <w:tab w:val="left" w:pos="2552"/>
        </w:tabs>
        <w:spacing w:before="120" w:after="360" w:line="480" w:lineRule="auto"/>
        <w:ind w:left="2552" w:hanging="1134"/>
        <w:jc w:val="both"/>
        <w:rPr>
          <w:rFonts w:ascii="Arial" w:hAnsi="Arial" w:cs="Arial"/>
          <w:sz w:val="24"/>
          <w:szCs w:val="24"/>
        </w:rPr>
      </w:pPr>
      <w:r w:rsidRPr="007044B7">
        <w:rPr>
          <w:rFonts w:ascii="Arial" w:hAnsi="Arial" w:cs="Arial"/>
          <w:sz w:val="24"/>
          <w:szCs w:val="24"/>
        </w:rPr>
        <w:t>4.14.4.</w:t>
      </w:r>
      <w:r w:rsidRPr="007044B7">
        <w:rPr>
          <w:rFonts w:ascii="Arial" w:hAnsi="Arial" w:cs="Arial"/>
          <w:sz w:val="24"/>
          <w:szCs w:val="24"/>
        </w:rPr>
        <w:tab/>
      </w:r>
      <w:r w:rsidR="0034372A" w:rsidRPr="00855EE9">
        <w:rPr>
          <w:rFonts w:ascii="Arial" w:hAnsi="Arial" w:cs="Arial"/>
          <w:sz w:val="24"/>
          <w:szCs w:val="24"/>
        </w:rPr>
        <w:t xml:space="preserve">Neither the </w:t>
      </w:r>
      <w:r w:rsidR="004662A8" w:rsidRPr="00855EE9">
        <w:rPr>
          <w:rFonts w:ascii="Arial" w:hAnsi="Arial" w:cs="Arial"/>
          <w:sz w:val="24"/>
          <w:szCs w:val="24"/>
        </w:rPr>
        <w:t>I</w:t>
      </w:r>
      <w:r w:rsidR="0034372A" w:rsidRPr="00855EE9">
        <w:rPr>
          <w:rFonts w:ascii="Arial" w:hAnsi="Arial" w:cs="Arial"/>
          <w:sz w:val="24"/>
          <w:szCs w:val="24"/>
        </w:rPr>
        <w:t xml:space="preserve">mmigration </w:t>
      </w:r>
      <w:r w:rsidR="004662A8" w:rsidRPr="00855EE9">
        <w:rPr>
          <w:rFonts w:ascii="Arial" w:hAnsi="Arial" w:cs="Arial"/>
          <w:sz w:val="24"/>
          <w:szCs w:val="24"/>
        </w:rPr>
        <w:t>A</w:t>
      </w:r>
      <w:r w:rsidR="0034372A" w:rsidRPr="00855EE9">
        <w:rPr>
          <w:rFonts w:ascii="Arial" w:hAnsi="Arial" w:cs="Arial"/>
          <w:sz w:val="24"/>
          <w:szCs w:val="24"/>
        </w:rPr>
        <w:t xml:space="preserve">ct nor the </w:t>
      </w:r>
      <w:r w:rsidR="004662A8" w:rsidRPr="00855EE9">
        <w:rPr>
          <w:rFonts w:ascii="Arial" w:hAnsi="Arial" w:cs="Arial"/>
          <w:sz w:val="24"/>
          <w:szCs w:val="24"/>
        </w:rPr>
        <w:t>R</w:t>
      </w:r>
      <w:r w:rsidR="0034372A" w:rsidRPr="00855EE9">
        <w:rPr>
          <w:rFonts w:ascii="Arial" w:hAnsi="Arial" w:cs="Arial"/>
          <w:sz w:val="24"/>
          <w:szCs w:val="24"/>
        </w:rPr>
        <w:t xml:space="preserve">egulations provide for a stipulated period in which the applicant was required to apply for a critical skills work </w:t>
      </w:r>
      <w:r w:rsidR="00A32F34" w:rsidRPr="00855EE9">
        <w:rPr>
          <w:rFonts w:ascii="Arial" w:hAnsi="Arial" w:cs="Arial"/>
          <w:sz w:val="24"/>
          <w:szCs w:val="24"/>
        </w:rPr>
        <w:t>v</w:t>
      </w:r>
      <w:r w:rsidR="0034372A" w:rsidRPr="00855EE9">
        <w:rPr>
          <w:rFonts w:ascii="Arial" w:hAnsi="Arial" w:cs="Arial"/>
          <w:sz w:val="24"/>
          <w:szCs w:val="24"/>
        </w:rPr>
        <w:t>isa.</w:t>
      </w:r>
    </w:p>
    <w:p w14:paraId="0DFD2B60" w14:textId="5D8B6AE7" w:rsidR="0034372A"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4.15.</w:t>
      </w:r>
      <w:r w:rsidRPr="007044B7">
        <w:rPr>
          <w:rFonts w:ascii="Arial" w:hAnsi="Arial" w:cs="Arial"/>
          <w:sz w:val="24"/>
          <w:szCs w:val="24"/>
        </w:rPr>
        <w:tab/>
      </w:r>
      <w:r w:rsidR="0034372A" w:rsidRPr="00855EE9">
        <w:rPr>
          <w:rFonts w:ascii="Arial" w:hAnsi="Arial" w:cs="Arial"/>
          <w:sz w:val="24"/>
          <w:szCs w:val="24"/>
        </w:rPr>
        <w:t xml:space="preserve">On 2 December 2020, the second respondent duly represented by the </w:t>
      </w:r>
      <w:r w:rsidR="00A32F34" w:rsidRPr="00855EE9">
        <w:rPr>
          <w:rFonts w:ascii="Arial" w:hAnsi="Arial" w:cs="Arial"/>
          <w:sz w:val="24"/>
          <w:szCs w:val="24"/>
        </w:rPr>
        <w:t>A</w:t>
      </w:r>
      <w:r w:rsidR="0034372A" w:rsidRPr="00855EE9">
        <w:rPr>
          <w:rFonts w:ascii="Arial" w:hAnsi="Arial" w:cs="Arial"/>
          <w:sz w:val="24"/>
          <w:szCs w:val="24"/>
        </w:rPr>
        <w:t xml:space="preserve">ssistant </w:t>
      </w:r>
      <w:r w:rsidR="00A32F34" w:rsidRPr="00855EE9">
        <w:rPr>
          <w:rFonts w:ascii="Arial" w:hAnsi="Arial" w:cs="Arial"/>
          <w:sz w:val="24"/>
          <w:szCs w:val="24"/>
        </w:rPr>
        <w:t>D</w:t>
      </w:r>
      <w:r w:rsidR="0034372A" w:rsidRPr="00855EE9">
        <w:rPr>
          <w:rFonts w:ascii="Arial" w:hAnsi="Arial" w:cs="Arial"/>
          <w:sz w:val="24"/>
          <w:szCs w:val="24"/>
        </w:rPr>
        <w:t xml:space="preserve">irector: </w:t>
      </w:r>
      <w:r w:rsidR="00A32F34" w:rsidRPr="00855EE9">
        <w:rPr>
          <w:rFonts w:ascii="Arial" w:hAnsi="Arial" w:cs="Arial"/>
          <w:sz w:val="24"/>
          <w:szCs w:val="24"/>
        </w:rPr>
        <w:t>A</w:t>
      </w:r>
      <w:r w:rsidR="0034372A" w:rsidRPr="00855EE9">
        <w:rPr>
          <w:rFonts w:ascii="Arial" w:hAnsi="Arial" w:cs="Arial"/>
          <w:sz w:val="24"/>
          <w:szCs w:val="24"/>
        </w:rPr>
        <w:t xml:space="preserve">ppeals </w:t>
      </w:r>
      <w:r w:rsidR="009D5B91" w:rsidRPr="00855EE9">
        <w:rPr>
          <w:rFonts w:ascii="Arial" w:hAnsi="Arial" w:cs="Arial"/>
          <w:sz w:val="24"/>
          <w:szCs w:val="24"/>
        </w:rPr>
        <w:t xml:space="preserve">(though a different individual) </w:t>
      </w:r>
      <w:r w:rsidR="0034372A" w:rsidRPr="00855EE9">
        <w:rPr>
          <w:rFonts w:ascii="Arial" w:hAnsi="Arial" w:cs="Arial"/>
          <w:sz w:val="24"/>
          <w:szCs w:val="24"/>
        </w:rPr>
        <w:t>again refuse</w:t>
      </w:r>
      <w:r w:rsidR="00A32F34" w:rsidRPr="00855EE9">
        <w:rPr>
          <w:rFonts w:ascii="Arial" w:hAnsi="Arial" w:cs="Arial"/>
          <w:sz w:val="24"/>
          <w:szCs w:val="24"/>
        </w:rPr>
        <w:t>d</w:t>
      </w:r>
      <w:r w:rsidR="0034372A" w:rsidRPr="00855EE9">
        <w:rPr>
          <w:rFonts w:ascii="Arial" w:hAnsi="Arial" w:cs="Arial"/>
          <w:sz w:val="24"/>
          <w:szCs w:val="24"/>
        </w:rPr>
        <w:t xml:space="preserve"> the </w:t>
      </w:r>
      <w:r w:rsidR="00E14DD1" w:rsidRPr="00855EE9">
        <w:rPr>
          <w:rFonts w:ascii="Arial" w:hAnsi="Arial" w:cs="Arial"/>
          <w:sz w:val="24"/>
          <w:szCs w:val="24"/>
        </w:rPr>
        <w:t>a</w:t>
      </w:r>
      <w:r w:rsidR="0034372A" w:rsidRPr="00855EE9">
        <w:rPr>
          <w:rFonts w:ascii="Arial" w:hAnsi="Arial" w:cs="Arial"/>
          <w:sz w:val="24"/>
          <w:szCs w:val="24"/>
        </w:rPr>
        <w:t>ppeal in terms of section 8 (</w:t>
      </w:r>
      <w:r w:rsidR="00A32F34" w:rsidRPr="00855EE9">
        <w:rPr>
          <w:rFonts w:ascii="Arial" w:hAnsi="Arial" w:cs="Arial"/>
          <w:sz w:val="24"/>
          <w:szCs w:val="24"/>
        </w:rPr>
        <w:t>6</w:t>
      </w:r>
      <w:r w:rsidR="0034372A" w:rsidRPr="00855EE9">
        <w:rPr>
          <w:rFonts w:ascii="Arial" w:hAnsi="Arial" w:cs="Arial"/>
          <w:sz w:val="24"/>
          <w:szCs w:val="24"/>
        </w:rPr>
        <w:t xml:space="preserve">) of the </w:t>
      </w:r>
      <w:r w:rsidR="00A32F34" w:rsidRPr="00855EE9">
        <w:rPr>
          <w:rFonts w:ascii="Arial" w:hAnsi="Arial" w:cs="Arial"/>
          <w:sz w:val="24"/>
          <w:szCs w:val="24"/>
        </w:rPr>
        <w:t>I</w:t>
      </w:r>
      <w:r w:rsidR="0034372A" w:rsidRPr="00855EE9">
        <w:rPr>
          <w:rFonts w:ascii="Arial" w:hAnsi="Arial" w:cs="Arial"/>
          <w:sz w:val="24"/>
          <w:szCs w:val="24"/>
        </w:rPr>
        <w:t xml:space="preserve">mmigration </w:t>
      </w:r>
      <w:r w:rsidR="00A32F34" w:rsidRPr="00855EE9">
        <w:rPr>
          <w:rFonts w:ascii="Arial" w:hAnsi="Arial" w:cs="Arial"/>
          <w:sz w:val="24"/>
          <w:szCs w:val="24"/>
        </w:rPr>
        <w:t>A</w:t>
      </w:r>
      <w:r w:rsidR="0034372A" w:rsidRPr="00855EE9">
        <w:rPr>
          <w:rFonts w:ascii="Arial" w:hAnsi="Arial" w:cs="Arial"/>
          <w:sz w:val="24"/>
          <w:szCs w:val="24"/>
        </w:rPr>
        <w:t xml:space="preserve">ct. This letter </w:t>
      </w:r>
      <w:r w:rsidR="002B2F0F" w:rsidRPr="00855EE9">
        <w:rPr>
          <w:rFonts w:ascii="Arial" w:hAnsi="Arial" w:cs="Arial"/>
          <w:sz w:val="24"/>
          <w:szCs w:val="24"/>
        </w:rPr>
        <w:t xml:space="preserve">stated, </w:t>
      </w:r>
      <w:r w:rsidR="0034372A" w:rsidRPr="00855EE9">
        <w:rPr>
          <w:rFonts w:ascii="Arial" w:hAnsi="Arial" w:cs="Arial"/>
          <w:sz w:val="24"/>
          <w:szCs w:val="24"/>
        </w:rPr>
        <w:t>in relevant part</w:t>
      </w:r>
      <w:r w:rsidR="002B2F0F" w:rsidRPr="00855EE9">
        <w:rPr>
          <w:rFonts w:ascii="Arial" w:hAnsi="Arial" w:cs="Arial"/>
          <w:sz w:val="24"/>
          <w:szCs w:val="24"/>
        </w:rPr>
        <w:t>,</w:t>
      </w:r>
      <w:r w:rsidR="0034372A" w:rsidRPr="00855EE9">
        <w:rPr>
          <w:rFonts w:ascii="Arial" w:hAnsi="Arial" w:cs="Arial"/>
          <w:sz w:val="24"/>
          <w:szCs w:val="24"/>
        </w:rPr>
        <w:t xml:space="preserve"> as follows:</w:t>
      </w:r>
    </w:p>
    <w:p w14:paraId="3EC78EB1" w14:textId="6B6A2DA4" w:rsidR="0034372A" w:rsidRPr="007044B7" w:rsidRDefault="0034372A" w:rsidP="00C6348E">
      <w:pPr>
        <w:pStyle w:val="ListParagraph"/>
        <w:tabs>
          <w:tab w:val="left" w:pos="2552"/>
        </w:tabs>
        <w:spacing w:before="120" w:after="360" w:line="240" w:lineRule="auto"/>
        <w:ind w:left="1418"/>
        <w:contextualSpacing w:val="0"/>
        <w:jc w:val="both"/>
        <w:rPr>
          <w:rFonts w:ascii="Arial" w:hAnsi="Arial" w:cs="Arial"/>
          <w:sz w:val="24"/>
          <w:szCs w:val="24"/>
        </w:rPr>
      </w:pPr>
      <w:r w:rsidRPr="007044B7">
        <w:rPr>
          <w:rFonts w:ascii="Arial" w:hAnsi="Arial" w:cs="Arial"/>
          <w:sz w:val="24"/>
          <w:szCs w:val="24"/>
        </w:rPr>
        <w:tab/>
        <w:t>“</w:t>
      </w:r>
      <w:r w:rsidR="008F7BC1" w:rsidRPr="007044B7">
        <w:rPr>
          <w:rFonts w:ascii="Arial" w:hAnsi="Arial" w:cs="Arial"/>
          <w:sz w:val="24"/>
          <w:szCs w:val="24"/>
        </w:rPr>
        <w:t>Y</w:t>
      </w:r>
      <w:r w:rsidRPr="007044B7">
        <w:rPr>
          <w:rFonts w:ascii="Arial" w:hAnsi="Arial" w:cs="Arial"/>
          <w:sz w:val="24"/>
          <w:szCs w:val="24"/>
        </w:rPr>
        <w:t>our appeal dated 14/10/2020 bears reference.</w:t>
      </w:r>
    </w:p>
    <w:p w14:paraId="33F55AE9" w14:textId="6C36FC7A" w:rsidR="0034372A" w:rsidRPr="007044B7" w:rsidRDefault="0034372A" w:rsidP="00C6348E">
      <w:pPr>
        <w:pStyle w:val="ListParagraph"/>
        <w:tabs>
          <w:tab w:val="left" w:pos="2552"/>
        </w:tabs>
        <w:spacing w:before="120" w:after="360" w:line="240" w:lineRule="auto"/>
        <w:ind w:left="2552"/>
        <w:contextualSpacing w:val="0"/>
        <w:jc w:val="both"/>
        <w:rPr>
          <w:rFonts w:ascii="Arial" w:hAnsi="Arial" w:cs="Arial"/>
          <w:sz w:val="24"/>
          <w:szCs w:val="24"/>
        </w:rPr>
      </w:pPr>
      <w:r w:rsidRPr="007044B7">
        <w:rPr>
          <w:rFonts w:ascii="Arial" w:hAnsi="Arial" w:cs="Arial"/>
          <w:sz w:val="24"/>
          <w:szCs w:val="24"/>
        </w:rPr>
        <w:t>I wish to inform you that I have decided to uphold the decision to reject your application for a temporary residence visa.</w:t>
      </w:r>
      <w:r w:rsidR="00855D82" w:rsidRPr="007044B7">
        <w:rPr>
          <w:rFonts w:ascii="Arial" w:hAnsi="Arial" w:cs="Arial"/>
          <w:sz w:val="24"/>
          <w:szCs w:val="24"/>
        </w:rPr>
        <w:t xml:space="preserve"> My decision is based on the fact that you do not qualify for a temporary residence visa in terms of section 19 (</w:t>
      </w:r>
      <w:r w:rsidR="008F7BC1" w:rsidRPr="007044B7">
        <w:rPr>
          <w:rFonts w:ascii="Arial" w:hAnsi="Arial" w:cs="Arial"/>
          <w:sz w:val="24"/>
          <w:szCs w:val="24"/>
        </w:rPr>
        <w:t>1</w:t>
      </w:r>
      <w:r w:rsidR="00855D82" w:rsidRPr="007044B7">
        <w:rPr>
          <w:rFonts w:ascii="Arial" w:hAnsi="Arial" w:cs="Arial"/>
          <w:sz w:val="24"/>
          <w:szCs w:val="24"/>
        </w:rPr>
        <w:t xml:space="preserve">) of the </w:t>
      </w:r>
      <w:r w:rsidR="008F7BC1" w:rsidRPr="007044B7">
        <w:rPr>
          <w:rFonts w:ascii="Arial" w:hAnsi="Arial" w:cs="Arial"/>
          <w:sz w:val="24"/>
          <w:szCs w:val="24"/>
        </w:rPr>
        <w:t>I</w:t>
      </w:r>
      <w:r w:rsidR="00855D82" w:rsidRPr="007044B7">
        <w:rPr>
          <w:rFonts w:ascii="Arial" w:hAnsi="Arial" w:cs="Arial"/>
          <w:sz w:val="24"/>
          <w:szCs w:val="24"/>
        </w:rPr>
        <w:t xml:space="preserve">mmigration </w:t>
      </w:r>
      <w:r w:rsidR="008F7BC1" w:rsidRPr="007044B7">
        <w:rPr>
          <w:rFonts w:ascii="Arial" w:hAnsi="Arial" w:cs="Arial"/>
          <w:sz w:val="24"/>
          <w:szCs w:val="24"/>
        </w:rPr>
        <w:t>A</w:t>
      </w:r>
      <w:r w:rsidR="00855D82" w:rsidRPr="007044B7">
        <w:rPr>
          <w:rFonts w:ascii="Arial" w:hAnsi="Arial" w:cs="Arial"/>
          <w:sz w:val="24"/>
          <w:szCs w:val="24"/>
        </w:rPr>
        <w:t>ct, 2002 (</w:t>
      </w:r>
      <w:r w:rsidR="008F7BC1" w:rsidRPr="007044B7">
        <w:rPr>
          <w:rFonts w:ascii="Arial" w:hAnsi="Arial" w:cs="Arial"/>
          <w:sz w:val="24"/>
          <w:szCs w:val="24"/>
        </w:rPr>
        <w:t>A</w:t>
      </w:r>
      <w:r w:rsidR="00855D82" w:rsidRPr="007044B7">
        <w:rPr>
          <w:rFonts w:ascii="Arial" w:hAnsi="Arial" w:cs="Arial"/>
          <w:sz w:val="24"/>
          <w:szCs w:val="24"/>
        </w:rPr>
        <w:t xml:space="preserve">ct 13 of 2002) as amended, because of the following: </w:t>
      </w:r>
    </w:p>
    <w:p w14:paraId="412D6E9F" w14:textId="467FC065" w:rsidR="00855D82" w:rsidRPr="00855EE9" w:rsidRDefault="00855EE9" w:rsidP="00855EE9">
      <w:pPr>
        <w:tabs>
          <w:tab w:val="left" w:pos="2552"/>
        </w:tabs>
        <w:spacing w:before="120" w:after="360" w:line="240" w:lineRule="auto"/>
        <w:ind w:left="2918" w:hanging="360"/>
        <w:jc w:val="both"/>
        <w:rPr>
          <w:rFonts w:ascii="Arial" w:hAnsi="Arial" w:cs="Arial"/>
          <w:sz w:val="24"/>
          <w:szCs w:val="24"/>
        </w:rPr>
      </w:pPr>
      <w:r w:rsidRPr="007044B7">
        <w:rPr>
          <w:rFonts w:ascii="Arial" w:hAnsi="Arial" w:cs="Arial"/>
          <w:sz w:val="24"/>
          <w:szCs w:val="24"/>
        </w:rPr>
        <w:t>-</w:t>
      </w:r>
      <w:r w:rsidRPr="007044B7">
        <w:rPr>
          <w:rFonts w:ascii="Arial" w:hAnsi="Arial" w:cs="Arial"/>
          <w:sz w:val="24"/>
          <w:szCs w:val="24"/>
        </w:rPr>
        <w:tab/>
      </w:r>
      <w:r w:rsidR="008F7BC1" w:rsidRPr="00855EE9">
        <w:rPr>
          <w:rFonts w:ascii="Arial" w:hAnsi="Arial" w:cs="Arial"/>
          <w:sz w:val="24"/>
          <w:szCs w:val="24"/>
        </w:rPr>
        <w:t>Y</w:t>
      </w:r>
      <w:r w:rsidR="00855D82" w:rsidRPr="00855EE9">
        <w:rPr>
          <w:rFonts w:ascii="Arial" w:hAnsi="Arial" w:cs="Arial"/>
          <w:sz w:val="24"/>
          <w:szCs w:val="24"/>
        </w:rPr>
        <w:t>ou failed to address the reasons outlined in your rejection letter.</w:t>
      </w:r>
    </w:p>
    <w:p w14:paraId="3449B926" w14:textId="55F4DB58" w:rsidR="00855D82" w:rsidRPr="007044B7" w:rsidRDefault="00855D82" w:rsidP="00C6348E">
      <w:pPr>
        <w:pStyle w:val="ListParagraph"/>
        <w:tabs>
          <w:tab w:val="left" w:pos="2552"/>
        </w:tabs>
        <w:spacing w:before="120" w:after="360" w:line="240" w:lineRule="auto"/>
        <w:ind w:left="2552"/>
        <w:contextualSpacing w:val="0"/>
        <w:jc w:val="both"/>
        <w:rPr>
          <w:rFonts w:ascii="Arial" w:hAnsi="Arial" w:cs="Arial"/>
          <w:sz w:val="24"/>
          <w:szCs w:val="24"/>
        </w:rPr>
      </w:pPr>
      <w:r w:rsidRPr="007044B7">
        <w:rPr>
          <w:rFonts w:ascii="Arial" w:hAnsi="Arial" w:cs="Arial"/>
          <w:sz w:val="24"/>
          <w:szCs w:val="24"/>
        </w:rPr>
        <w:t>Comments: take note that the waiver is about the requirements as it is self</w:t>
      </w:r>
      <w:r w:rsidR="006D3D6D" w:rsidRPr="007044B7">
        <w:rPr>
          <w:rFonts w:ascii="Arial" w:hAnsi="Arial" w:cs="Arial"/>
          <w:sz w:val="24"/>
          <w:szCs w:val="24"/>
        </w:rPr>
        <w:t>-</w:t>
      </w:r>
      <w:r w:rsidRPr="007044B7">
        <w:rPr>
          <w:rFonts w:ascii="Arial" w:hAnsi="Arial" w:cs="Arial"/>
          <w:sz w:val="24"/>
          <w:szCs w:val="24"/>
        </w:rPr>
        <w:t>explained, and not for late submission as you claim, however letter of good cause was expected from you.</w:t>
      </w:r>
      <w:r w:rsidR="006D3D6D" w:rsidRPr="007044B7">
        <w:rPr>
          <w:rFonts w:ascii="Arial" w:hAnsi="Arial" w:cs="Arial"/>
          <w:sz w:val="24"/>
          <w:szCs w:val="24"/>
        </w:rPr>
        <w:t>”</w:t>
      </w:r>
    </w:p>
    <w:p w14:paraId="2852E4B8" w14:textId="6A58476C" w:rsidR="006D3D6D"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5.</w:t>
      </w:r>
      <w:r w:rsidRPr="007044B7">
        <w:rPr>
          <w:rFonts w:ascii="Arial" w:hAnsi="Arial" w:cs="Arial"/>
          <w:sz w:val="24"/>
          <w:szCs w:val="24"/>
        </w:rPr>
        <w:tab/>
      </w:r>
      <w:r w:rsidR="006D3D6D" w:rsidRPr="00855EE9">
        <w:rPr>
          <w:rFonts w:ascii="Arial" w:hAnsi="Arial" w:cs="Arial"/>
          <w:sz w:val="24"/>
          <w:szCs w:val="24"/>
        </w:rPr>
        <w:t>According to the answering affidavit:</w:t>
      </w:r>
    </w:p>
    <w:p w14:paraId="02FF1571" w14:textId="1954D376" w:rsidR="002C6E56"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5.1.</w:t>
      </w:r>
      <w:r w:rsidRPr="007044B7">
        <w:rPr>
          <w:rFonts w:ascii="Arial" w:hAnsi="Arial" w:cs="Arial"/>
          <w:sz w:val="24"/>
          <w:szCs w:val="24"/>
        </w:rPr>
        <w:tab/>
      </w:r>
      <w:r w:rsidR="009A5156" w:rsidRPr="00855EE9">
        <w:rPr>
          <w:rFonts w:ascii="Arial" w:hAnsi="Arial" w:cs="Arial"/>
          <w:sz w:val="24"/>
          <w:szCs w:val="24"/>
        </w:rPr>
        <w:t>The respondents admit t</w:t>
      </w:r>
      <w:r w:rsidR="00D74A4C" w:rsidRPr="00855EE9">
        <w:rPr>
          <w:rFonts w:ascii="Arial" w:hAnsi="Arial" w:cs="Arial"/>
          <w:sz w:val="24"/>
          <w:szCs w:val="24"/>
        </w:rPr>
        <w:t xml:space="preserve">he </w:t>
      </w:r>
      <w:r w:rsidR="0041643E" w:rsidRPr="00855EE9">
        <w:rPr>
          <w:rFonts w:ascii="Arial" w:hAnsi="Arial" w:cs="Arial"/>
          <w:sz w:val="24"/>
          <w:szCs w:val="24"/>
        </w:rPr>
        <w:t xml:space="preserve">allegations </w:t>
      </w:r>
      <w:r w:rsidR="002A3C13" w:rsidRPr="00855EE9">
        <w:rPr>
          <w:rFonts w:ascii="Arial" w:hAnsi="Arial" w:cs="Arial"/>
          <w:sz w:val="24"/>
          <w:szCs w:val="24"/>
        </w:rPr>
        <w:t>in the founding affidavit that</w:t>
      </w:r>
      <w:r w:rsidR="008E4CF7" w:rsidRPr="00855EE9">
        <w:rPr>
          <w:rFonts w:ascii="Arial" w:hAnsi="Arial" w:cs="Arial"/>
          <w:sz w:val="24"/>
          <w:szCs w:val="24"/>
        </w:rPr>
        <w:t>: (a)</w:t>
      </w:r>
      <w:r w:rsidR="002A3C13" w:rsidRPr="00855EE9">
        <w:rPr>
          <w:rFonts w:ascii="Arial" w:hAnsi="Arial" w:cs="Arial"/>
          <w:sz w:val="24"/>
          <w:szCs w:val="24"/>
        </w:rPr>
        <w:t xml:space="preserve"> unless the applicant had a valid pending visa application, he would not be allowed to remain in South Africa, without a valid visitor’s visa</w:t>
      </w:r>
      <w:r w:rsidR="00887EFB" w:rsidRPr="00855EE9">
        <w:rPr>
          <w:rFonts w:ascii="Arial" w:hAnsi="Arial" w:cs="Arial"/>
          <w:sz w:val="24"/>
          <w:szCs w:val="24"/>
        </w:rPr>
        <w:t>;</w:t>
      </w:r>
      <w:r w:rsidR="00B42066" w:rsidRPr="00855EE9">
        <w:rPr>
          <w:rFonts w:ascii="Arial" w:hAnsi="Arial" w:cs="Arial"/>
          <w:sz w:val="24"/>
          <w:szCs w:val="24"/>
        </w:rPr>
        <w:t xml:space="preserve"> and </w:t>
      </w:r>
      <w:r w:rsidR="00887EFB" w:rsidRPr="00855EE9">
        <w:rPr>
          <w:rFonts w:ascii="Arial" w:hAnsi="Arial" w:cs="Arial"/>
          <w:sz w:val="24"/>
          <w:szCs w:val="24"/>
        </w:rPr>
        <w:t xml:space="preserve">(b) </w:t>
      </w:r>
      <w:r w:rsidR="00B42066" w:rsidRPr="00855EE9">
        <w:rPr>
          <w:rFonts w:ascii="Arial" w:hAnsi="Arial" w:cs="Arial"/>
          <w:sz w:val="24"/>
          <w:szCs w:val="24"/>
        </w:rPr>
        <w:t>that he could not extend his visitor’s visa and at the same time apply for his critical skills visa</w:t>
      </w:r>
      <w:r w:rsidR="00D40A57" w:rsidRPr="00855EE9">
        <w:rPr>
          <w:rFonts w:ascii="Arial" w:hAnsi="Arial" w:cs="Arial"/>
          <w:sz w:val="24"/>
          <w:szCs w:val="24"/>
        </w:rPr>
        <w:t>.</w:t>
      </w:r>
    </w:p>
    <w:p w14:paraId="2A5A2B14" w14:textId="245541C3" w:rsidR="00271D01"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5.2.</w:t>
      </w:r>
      <w:r w:rsidRPr="007044B7">
        <w:rPr>
          <w:rFonts w:ascii="Arial" w:hAnsi="Arial" w:cs="Arial"/>
          <w:sz w:val="24"/>
          <w:szCs w:val="24"/>
        </w:rPr>
        <w:tab/>
      </w:r>
      <w:r w:rsidR="006D015E" w:rsidRPr="00855EE9">
        <w:rPr>
          <w:rFonts w:ascii="Arial" w:hAnsi="Arial" w:cs="Arial"/>
          <w:sz w:val="24"/>
          <w:szCs w:val="24"/>
        </w:rPr>
        <w:t xml:space="preserve">The respondents also admit the allegations in the founding affidavit that there is no provision in the </w:t>
      </w:r>
      <w:r w:rsidR="00887EFB" w:rsidRPr="00855EE9">
        <w:rPr>
          <w:rFonts w:ascii="Arial" w:hAnsi="Arial" w:cs="Arial"/>
          <w:sz w:val="24"/>
          <w:szCs w:val="24"/>
        </w:rPr>
        <w:t>I</w:t>
      </w:r>
      <w:r w:rsidR="006D015E" w:rsidRPr="00855EE9">
        <w:rPr>
          <w:rFonts w:ascii="Arial" w:hAnsi="Arial" w:cs="Arial"/>
          <w:sz w:val="24"/>
          <w:szCs w:val="24"/>
        </w:rPr>
        <w:t xml:space="preserve">mmigration </w:t>
      </w:r>
      <w:r w:rsidR="00887EFB" w:rsidRPr="00855EE9">
        <w:rPr>
          <w:rFonts w:ascii="Arial" w:hAnsi="Arial" w:cs="Arial"/>
          <w:sz w:val="24"/>
          <w:szCs w:val="24"/>
        </w:rPr>
        <w:t>A</w:t>
      </w:r>
      <w:r w:rsidR="006D015E" w:rsidRPr="00855EE9">
        <w:rPr>
          <w:rFonts w:ascii="Arial" w:hAnsi="Arial" w:cs="Arial"/>
          <w:sz w:val="24"/>
          <w:szCs w:val="24"/>
        </w:rPr>
        <w:t xml:space="preserve">ct or the </w:t>
      </w:r>
      <w:r w:rsidR="00271D01" w:rsidRPr="00855EE9">
        <w:rPr>
          <w:rFonts w:ascii="Arial" w:hAnsi="Arial" w:cs="Arial"/>
          <w:sz w:val="24"/>
          <w:szCs w:val="24"/>
        </w:rPr>
        <w:t>R</w:t>
      </w:r>
      <w:r w:rsidR="006D015E" w:rsidRPr="00855EE9">
        <w:rPr>
          <w:rFonts w:ascii="Arial" w:hAnsi="Arial" w:cs="Arial"/>
          <w:sz w:val="24"/>
          <w:szCs w:val="24"/>
        </w:rPr>
        <w:t>egulations that cater for the period</w:t>
      </w:r>
      <w:r w:rsidR="00E34D2C" w:rsidRPr="00855EE9">
        <w:rPr>
          <w:rFonts w:ascii="Arial" w:hAnsi="Arial" w:cs="Arial"/>
          <w:sz w:val="24"/>
          <w:szCs w:val="24"/>
        </w:rPr>
        <w:t xml:space="preserve"> in which the applicant must make an application for a change of status. </w:t>
      </w:r>
    </w:p>
    <w:p w14:paraId="611C8EDA" w14:textId="1113A15C" w:rsidR="006D015E"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5.3.</w:t>
      </w:r>
      <w:r w:rsidRPr="007044B7">
        <w:rPr>
          <w:rFonts w:ascii="Arial" w:hAnsi="Arial" w:cs="Arial"/>
          <w:sz w:val="24"/>
          <w:szCs w:val="24"/>
        </w:rPr>
        <w:tab/>
      </w:r>
      <w:r w:rsidR="00271D01" w:rsidRPr="00855EE9">
        <w:rPr>
          <w:rFonts w:ascii="Arial" w:hAnsi="Arial" w:cs="Arial"/>
          <w:sz w:val="24"/>
          <w:szCs w:val="24"/>
        </w:rPr>
        <w:t xml:space="preserve">The respondents further admit </w:t>
      </w:r>
      <w:r w:rsidR="00E34D2C" w:rsidRPr="00855EE9">
        <w:rPr>
          <w:rFonts w:ascii="Arial" w:hAnsi="Arial" w:cs="Arial"/>
          <w:sz w:val="24"/>
          <w:szCs w:val="24"/>
        </w:rPr>
        <w:t>that the waiver permitted the applicant to apply for his critical skills visa which had to be submitted while he was in South Africa</w:t>
      </w:r>
      <w:r w:rsidR="00B24530" w:rsidRPr="00855EE9">
        <w:rPr>
          <w:rFonts w:ascii="Arial" w:hAnsi="Arial" w:cs="Arial"/>
          <w:sz w:val="24"/>
          <w:szCs w:val="24"/>
        </w:rPr>
        <w:t xml:space="preserve"> and that because he only had a visitor</w:t>
      </w:r>
      <w:r w:rsidR="00AA7B67" w:rsidRPr="00855EE9">
        <w:rPr>
          <w:rFonts w:ascii="Arial" w:hAnsi="Arial" w:cs="Arial"/>
          <w:sz w:val="24"/>
          <w:szCs w:val="24"/>
        </w:rPr>
        <w:t>’</w:t>
      </w:r>
      <w:r w:rsidR="00B24530" w:rsidRPr="00855EE9">
        <w:rPr>
          <w:rFonts w:ascii="Arial" w:hAnsi="Arial" w:cs="Arial"/>
          <w:sz w:val="24"/>
          <w:szCs w:val="24"/>
        </w:rPr>
        <w:t>s visa that was for a period of 60 days or less, that he was extremely pressed for time.</w:t>
      </w:r>
    </w:p>
    <w:p w14:paraId="5295C67A" w14:textId="39203F46" w:rsidR="00E65DD3"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5.4.</w:t>
      </w:r>
      <w:r w:rsidRPr="007044B7">
        <w:rPr>
          <w:rFonts w:ascii="Arial" w:hAnsi="Arial" w:cs="Arial"/>
          <w:sz w:val="24"/>
          <w:szCs w:val="24"/>
        </w:rPr>
        <w:tab/>
      </w:r>
      <w:r w:rsidR="004841A8" w:rsidRPr="00855EE9">
        <w:rPr>
          <w:rFonts w:ascii="Arial" w:hAnsi="Arial" w:cs="Arial"/>
          <w:sz w:val="24"/>
          <w:szCs w:val="24"/>
        </w:rPr>
        <w:t>Notwithstanding the aforegoing admissions, the respondents contend that the applicant should, in light of its visitor</w:t>
      </w:r>
      <w:r w:rsidR="00AA7B67" w:rsidRPr="00855EE9">
        <w:rPr>
          <w:rFonts w:ascii="Arial" w:hAnsi="Arial" w:cs="Arial"/>
          <w:sz w:val="24"/>
          <w:szCs w:val="24"/>
        </w:rPr>
        <w:t>’</w:t>
      </w:r>
      <w:r w:rsidR="004841A8" w:rsidRPr="00855EE9">
        <w:rPr>
          <w:rFonts w:ascii="Arial" w:hAnsi="Arial" w:cs="Arial"/>
          <w:sz w:val="24"/>
          <w:szCs w:val="24"/>
        </w:rPr>
        <w:t>s visa expiring</w:t>
      </w:r>
      <w:r w:rsidR="00555543" w:rsidRPr="00855EE9">
        <w:rPr>
          <w:rFonts w:ascii="Arial" w:hAnsi="Arial" w:cs="Arial"/>
          <w:sz w:val="24"/>
          <w:szCs w:val="24"/>
        </w:rPr>
        <w:t xml:space="preserve">, </w:t>
      </w:r>
      <w:r w:rsidR="00AA7B67" w:rsidRPr="00855EE9">
        <w:rPr>
          <w:rFonts w:ascii="Arial" w:hAnsi="Arial" w:cs="Arial"/>
          <w:sz w:val="24"/>
          <w:szCs w:val="24"/>
        </w:rPr>
        <w:t xml:space="preserve">have </w:t>
      </w:r>
      <w:r w:rsidR="00555543" w:rsidRPr="00855EE9">
        <w:rPr>
          <w:rFonts w:ascii="Arial" w:hAnsi="Arial" w:cs="Arial"/>
          <w:sz w:val="24"/>
          <w:szCs w:val="24"/>
        </w:rPr>
        <w:t>applied for an extension of his visitor’s visa while waiting on the outcome of the waiver application. According to the respondents, there is no reason why the applicant did not apply for an extension of his visitor’s visa as there was no law nor any regulation deterring him from doing so</w:t>
      </w:r>
      <w:r w:rsidR="00E86ED9" w:rsidRPr="00855EE9">
        <w:rPr>
          <w:rFonts w:ascii="Arial" w:hAnsi="Arial" w:cs="Arial"/>
          <w:sz w:val="24"/>
          <w:szCs w:val="24"/>
        </w:rPr>
        <w:t xml:space="preserve"> this</w:t>
      </w:r>
      <w:r w:rsidR="00531385" w:rsidRPr="00855EE9">
        <w:rPr>
          <w:rFonts w:ascii="Arial" w:hAnsi="Arial" w:cs="Arial"/>
          <w:sz w:val="24"/>
          <w:szCs w:val="24"/>
        </w:rPr>
        <w:t xml:space="preserve">.  </w:t>
      </w:r>
      <w:r w:rsidR="001E39BC" w:rsidRPr="00855EE9">
        <w:rPr>
          <w:rFonts w:ascii="Arial" w:hAnsi="Arial" w:cs="Arial"/>
          <w:sz w:val="24"/>
          <w:szCs w:val="24"/>
        </w:rPr>
        <w:t>This, a</w:t>
      </w:r>
      <w:r w:rsidR="00E86ED9" w:rsidRPr="00855EE9">
        <w:rPr>
          <w:rFonts w:ascii="Arial" w:hAnsi="Arial" w:cs="Arial"/>
          <w:sz w:val="24"/>
          <w:szCs w:val="24"/>
        </w:rPr>
        <w:t>ccording to the respondents would have prevented him “from a precarious situation of being in the country illegally without a visa and also having his waiver application negatively adjudicated upon.</w:t>
      </w:r>
      <w:r w:rsidR="00A06F8B" w:rsidRPr="00855EE9">
        <w:rPr>
          <w:rFonts w:ascii="Arial" w:hAnsi="Arial" w:cs="Arial"/>
          <w:sz w:val="24"/>
          <w:szCs w:val="24"/>
        </w:rPr>
        <w:t>”</w:t>
      </w:r>
    </w:p>
    <w:p w14:paraId="7CC5CE60" w14:textId="50F3E2F2" w:rsidR="00A06F8B"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5.5.</w:t>
      </w:r>
      <w:r w:rsidRPr="007044B7">
        <w:rPr>
          <w:rFonts w:ascii="Arial" w:hAnsi="Arial" w:cs="Arial"/>
          <w:sz w:val="24"/>
          <w:szCs w:val="24"/>
        </w:rPr>
        <w:tab/>
      </w:r>
      <w:r w:rsidR="00A06F8B" w:rsidRPr="00855EE9">
        <w:rPr>
          <w:rFonts w:ascii="Arial" w:hAnsi="Arial" w:cs="Arial"/>
          <w:sz w:val="24"/>
          <w:szCs w:val="24"/>
        </w:rPr>
        <w:t xml:space="preserve">It is emphasised that the waiver approval, did not exempt the applicant from meeting the requirements as stipulated in section 19(4) </w:t>
      </w:r>
      <w:r w:rsidR="006104F0" w:rsidRPr="00855EE9">
        <w:rPr>
          <w:rFonts w:ascii="Arial" w:hAnsi="Arial" w:cs="Arial"/>
          <w:sz w:val="24"/>
          <w:szCs w:val="24"/>
        </w:rPr>
        <w:t>of the “</w:t>
      </w:r>
      <w:r w:rsidR="00F92EBD" w:rsidRPr="00855EE9">
        <w:rPr>
          <w:rFonts w:ascii="Arial" w:hAnsi="Arial" w:cs="Arial"/>
          <w:sz w:val="24"/>
          <w:szCs w:val="24"/>
        </w:rPr>
        <w:t>I</w:t>
      </w:r>
      <w:r w:rsidR="006104F0" w:rsidRPr="00855EE9">
        <w:rPr>
          <w:rFonts w:ascii="Arial" w:hAnsi="Arial" w:cs="Arial"/>
          <w:sz w:val="24"/>
          <w:szCs w:val="24"/>
        </w:rPr>
        <w:t xml:space="preserve">mmigration </w:t>
      </w:r>
      <w:r w:rsidR="00F92EBD" w:rsidRPr="00855EE9">
        <w:rPr>
          <w:rFonts w:ascii="Arial" w:hAnsi="Arial" w:cs="Arial"/>
          <w:sz w:val="24"/>
          <w:szCs w:val="24"/>
        </w:rPr>
        <w:t>R</w:t>
      </w:r>
      <w:r w:rsidR="006104F0" w:rsidRPr="00855EE9">
        <w:rPr>
          <w:rFonts w:ascii="Arial" w:hAnsi="Arial" w:cs="Arial"/>
          <w:sz w:val="24"/>
          <w:szCs w:val="24"/>
        </w:rPr>
        <w:t>egulations”</w:t>
      </w:r>
      <w:r w:rsidR="00612078" w:rsidRPr="00855EE9">
        <w:rPr>
          <w:rFonts w:ascii="Arial" w:hAnsi="Arial" w:cs="Arial"/>
          <w:sz w:val="24"/>
          <w:szCs w:val="24"/>
        </w:rPr>
        <w:t>.</w:t>
      </w:r>
    </w:p>
    <w:p w14:paraId="0B3CA3B9" w14:textId="0390AF14" w:rsidR="00612078"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5.6.</w:t>
      </w:r>
      <w:r w:rsidRPr="007044B7">
        <w:rPr>
          <w:rFonts w:ascii="Arial" w:hAnsi="Arial" w:cs="Arial"/>
          <w:sz w:val="24"/>
          <w:szCs w:val="24"/>
        </w:rPr>
        <w:tab/>
      </w:r>
      <w:r w:rsidR="00612078" w:rsidRPr="00855EE9">
        <w:rPr>
          <w:rFonts w:ascii="Arial" w:hAnsi="Arial" w:cs="Arial"/>
          <w:sz w:val="24"/>
          <w:szCs w:val="24"/>
        </w:rPr>
        <w:t>It is asserted that in anticipation of the positive outcome, the applicant should have familiarised himself with the requirements of section 19</w:t>
      </w:r>
      <w:r w:rsidR="00CB2225" w:rsidRPr="00855EE9">
        <w:rPr>
          <w:rFonts w:ascii="Arial" w:hAnsi="Arial" w:cs="Arial"/>
          <w:sz w:val="24"/>
          <w:szCs w:val="24"/>
        </w:rPr>
        <w:t xml:space="preserve"> of the </w:t>
      </w:r>
      <w:r w:rsidR="00F92EBD" w:rsidRPr="00855EE9">
        <w:rPr>
          <w:rFonts w:ascii="Arial" w:hAnsi="Arial" w:cs="Arial"/>
          <w:sz w:val="24"/>
          <w:szCs w:val="24"/>
        </w:rPr>
        <w:t>R</w:t>
      </w:r>
      <w:r w:rsidR="00CB2225" w:rsidRPr="00855EE9">
        <w:rPr>
          <w:rFonts w:ascii="Arial" w:hAnsi="Arial" w:cs="Arial"/>
          <w:sz w:val="24"/>
          <w:szCs w:val="24"/>
        </w:rPr>
        <w:t xml:space="preserve">egulations. Thus, it is </w:t>
      </w:r>
      <w:r w:rsidR="00821A67" w:rsidRPr="00855EE9">
        <w:rPr>
          <w:rFonts w:ascii="Arial" w:hAnsi="Arial" w:cs="Arial"/>
          <w:sz w:val="24"/>
          <w:szCs w:val="24"/>
        </w:rPr>
        <w:t xml:space="preserve">contended </w:t>
      </w:r>
      <w:r w:rsidR="00CB2225" w:rsidRPr="00855EE9">
        <w:rPr>
          <w:rFonts w:ascii="Arial" w:hAnsi="Arial" w:cs="Arial"/>
          <w:sz w:val="24"/>
          <w:szCs w:val="24"/>
        </w:rPr>
        <w:t>that the reason for not submitting all the necessary documents due to insufficient time stands to be dismissed.</w:t>
      </w:r>
    </w:p>
    <w:p w14:paraId="2979E0C3" w14:textId="701A3019" w:rsidR="003F3D89"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5.7.</w:t>
      </w:r>
      <w:r w:rsidRPr="007044B7">
        <w:rPr>
          <w:rFonts w:ascii="Arial" w:hAnsi="Arial" w:cs="Arial"/>
          <w:sz w:val="24"/>
          <w:szCs w:val="24"/>
        </w:rPr>
        <w:tab/>
      </w:r>
      <w:r w:rsidR="003F3D89" w:rsidRPr="00855EE9">
        <w:rPr>
          <w:rFonts w:ascii="Arial" w:hAnsi="Arial" w:cs="Arial"/>
          <w:sz w:val="24"/>
          <w:szCs w:val="24"/>
        </w:rPr>
        <w:t>It is accepted</w:t>
      </w:r>
      <w:r w:rsidR="009235F1" w:rsidRPr="00855EE9">
        <w:rPr>
          <w:rFonts w:ascii="Arial" w:hAnsi="Arial" w:cs="Arial"/>
          <w:sz w:val="24"/>
          <w:szCs w:val="24"/>
        </w:rPr>
        <w:t xml:space="preserve"> that there was a mistake on the part of the respondents but, this is attributed “purely on </w:t>
      </w:r>
      <w:r w:rsidR="00CA2ED3" w:rsidRPr="00855EE9">
        <w:rPr>
          <w:rFonts w:ascii="Arial" w:hAnsi="Arial" w:cs="Arial"/>
          <w:sz w:val="24"/>
          <w:szCs w:val="24"/>
        </w:rPr>
        <w:t xml:space="preserve">(sic) </w:t>
      </w:r>
      <w:r w:rsidR="009235F1" w:rsidRPr="00855EE9">
        <w:rPr>
          <w:rFonts w:ascii="Arial" w:hAnsi="Arial" w:cs="Arial"/>
          <w:sz w:val="24"/>
          <w:szCs w:val="24"/>
        </w:rPr>
        <w:t>human error.”</w:t>
      </w:r>
    </w:p>
    <w:p w14:paraId="2A28B854" w14:textId="299650EC" w:rsidR="00F54501"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5.8.</w:t>
      </w:r>
      <w:r w:rsidRPr="007044B7">
        <w:rPr>
          <w:rFonts w:ascii="Arial" w:hAnsi="Arial" w:cs="Arial"/>
          <w:sz w:val="24"/>
          <w:szCs w:val="24"/>
        </w:rPr>
        <w:tab/>
      </w:r>
      <w:r w:rsidR="00610110" w:rsidRPr="00855EE9">
        <w:rPr>
          <w:rFonts w:ascii="Arial" w:hAnsi="Arial" w:cs="Arial"/>
          <w:sz w:val="24"/>
          <w:szCs w:val="24"/>
        </w:rPr>
        <w:t>It is alleged that the threshold for a substitution order has not been met.</w:t>
      </w:r>
    </w:p>
    <w:p w14:paraId="54FA3D50" w14:textId="70803928" w:rsidR="00610110" w:rsidRPr="007044B7" w:rsidRDefault="00610110" w:rsidP="00C6348E">
      <w:pPr>
        <w:spacing w:before="120" w:after="360" w:line="240" w:lineRule="auto"/>
        <w:jc w:val="both"/>
        <w:rPr>
          <w:rFonts w:ascii="Arial" w:hAnsi="Arial" w:cs="Arial"/>
          <w:b/>
          <w:bCs/>
          <w:sz w:val="24"/>
          <w:szCs w:val="24"/>
        </w:rPr>
      </w:pPr>
      <w:r w:rsidRPr="007044B7">
        <w:rPr>
          <w:rFonts w:ascii="Arial" w:hAnsi="Arial" w:cs="Arial"/>
          <w:b/>
          <w:bCs/>
          <w:sz w:val="24"/>
          <w:szCs w:val="24"/>
        </w:rPr>
        <w:t xml:space="preserve">THE </w:t>
      </w:r>
      <w:r w:rsidR="00FE505D" w:rsidRPr="007044B7">
        <w:rPr>
          <w:rFonts w:ascii="Arial" w:hAnsi="Arial" w:cs="Arial"/>
          <w:b/>
          <w:bCs/>
          <w:sz w:val="24"/>
          <w:szCs w:val="24"/>
        </w:rPr>
        <w:t xml:space="preserve">RELEVANT </w:t>
      </w:r>
      <w:r w:rsidR="00C21823" w:rsidRPr="007044B7">
        <w:rPr>
          <w:rFonts w:ascii="Arial" w:hAnsi="Arial" w:cs="Arial"/>
          <w:b/>
          <w:bCs/>
          <w:sz w:val="24"/>
          <w:szCs w:val="24"/>
        </w:rPr>
        <w:t>PROVISIONS IN THE IMMIGRATION ACT AND THE REGULATIONS</w:t>
      </w:r>
    </w:p>
    <w:p w14:paraId="20956EE6" w14:textId="2DBB9607" w:rsidR="00610110"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6.</w:t>
      </w:r>
      <w:r w:rsidRPr="007044B7">
        <w:rPr>
          <w:rFonts w:ascii="Arial" w:hAnsi="Arial" w:cs="Arial"/>
          <w:sz w:val="24"/>
          <w:szCs w:val="24"/>
        </w:rPr>
        <w:tab/>
      </w:r>
      <w:r w:rsidR="005E2722" w:rsidRPr="00855EE9">
        <w:rPr>
          <w:rFonts w:ascii="Arial" w:hAnsi="Arial" w:cs="Arial"/>
          <w:sz w:val="24"/>
          <w:szCs w:val="24"/>
        </w:rPr>
        <w:t>It is common cause that the application at issue is one for a critical skills visa in terms of section 19(4) of the Immigration Act.</w:t>
      </w:r>
    </w:p>
    <w:p w14:paraId="518CC836" w14:textId="5A73C34B" w:rsidR="00937C4F"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7.</w:t>
      </w:r>
      <w:r w:rsidRPr="007044B7">
        <w:rPr>
          <w:rFonts w:ascii="Arial" w:hAnsi="Arial" w:cs="Arial"/>
          <w:sz w:val="24"/>
          <w:szCs w:val="24"/>
        </w:rPr>
        <w:tab/>
      </w:r>
      <w:r w:rsidR="00937C4F" w:rsidRPr="00855EE9">
        <w:rPr>
          <w:rFonts w:ascii="Arial" w:hAnsi="Arial" w:cs="Arial"/>
          <w:sz w:val="24"/>
          <w:szCs w:val="24"/>
        </w:rPr>
        <w:t>Section 19 of the Immigration Act reads as follows</w:t>
      </w:r>
      <w:r w:rsidR="001D7072" w:rsidRPr="00855EE9">
        <w:rPr>
          <w:rFonts w:ascii="Arial" w:hAnsi="Arial" w:cs="Arial"/>
          <w:sz w:val="24"/>
          <w:szCs w:val="24"/>
        </w:rPr>
        <w:t xml:space="preserve"> (in relevant part)</w:t>
      </w:r>
      <w:r w:rsidR="00937C4F" w:rsidRPr="00855EE9">
        <w:rPr>
          <w:rFonts w:ascii="Arial" w:hAnsi="Arial" w:cs="Arial"/>
          <w:sz w:val="24"/>
          <w:szCs w:val="24"/>
        </w:rPr>
        <w:t>:</w:t>
      </w:r>
    </w:p>
    <w:p w14:paraId="085C9E82" w14:textId="77777777" w:rsidR="00937C4F" w:rsidRPr="007044B7" w:rsidRDefault="00937C4F" w:rsidP="00C6348E">
      <w:pPr>
        <w:pStyle w:val="ListParagraph"/>
        <w:spacing w:before="120" w:after="360" w:line="240" w:lineRule="auto"/>
        <w:ind w:left="1080" w:firstLine="360"/>
        <w:contextualSpacing w:val="0"/>
        <w:jc w:val="both"/>
        <w:rPr>
          <w:rFonts w:ascii="Arial" w:hAnsi="Arial" w:cs="Arial"/>
          <w:sz w:val="24"/>
          <w:szCs w:val="24"/>
        </w:rPr>
      </w:pPr>
      <w:r w:rsidRPr="007044B7">
        <w:rPr>
          <w:rFonts w:ascii="Arial" w:hAnsi="Arial" w:cs="Arial"/>
          <w:sz w:val="24"/>
          <w:szCs w:val="24"/>
        </w:rPr>
        <w:t>“19  Work visa</w:t>
      </w:r>
    </w:p>
    <w:p w14:paraId="64398E68" w14:textId="42DA3177" w:rsidR="00937C4F" w:rsidRPr="007044B7" w:rsidRDefault="00937C4F" w:rsidP="00C6348E">
      <w:pPr>
        <w:pStyle w:val="ListParagraph"/>
        <w:spacing w:before="120" w:after="360" w:line="240" w:lineRule="auto"/>
        <w:ind w:firstLine="720"/>
        <w:contextualSpacing w:val="0"/>
        <w:jc w:val="both"/>
        <w:rPr>
          <w:rFonts w:ascii="Arial" w:hAnsi="Arial" w:cs="Arial"/>
          <w:sz w:val="24"/>
          <w:szCs w:val="24"/>
        </w:rPr>
      </w:pPr>
      <w:r w:rsidRPr="007044B7">
        <w:rPr>
          <w:rFonts w:ascii="Arial" w:hAnsi="Arial" w:cs="Arial"/>
          <w:sz w:val="24"/>
          <w:szCs w:val="24"/>
        </w:rPr>
        <w:t xml:space="preserve">(1) </w:t>
      </w:r>
      <w:r w:rsidRPr="007044B7">
        <w:rPr>
          <w:rFonts w:ascii="Arial" w:hAnsi="Arial" w:cs="Arial"/>
          <w:sz w:val="24"/>
          <w:szCs w:val="24"/>
        </w:rPr>
        <w:tab/>
        <w:t>......</w:t>
      </w:r>
    </w:p>
    <w:p w14:paraId="0F1919EE" w14:textId="77777777" w:rsidR="00937C4F" w:rsidRPr="007044B7" w:rsidRDefault="00937C4F" w:rsidP="00C6348E">
      <w:pPr>
        <w:pStyle w:val="ListParagraph"/>
        <w:spacing w:before="120" w:after="360" w:line="240" w:lineRule="auto"/>
        <w:ind w:left="2160"/>
        <w:contextualSpacing w:val="0"/>
        <w:jc w:val="both"/>
        <w:rPr>
          <w:rFonts w:ascii="Arial" w:hAnsi="Arial" w:cs="Arial"/>
          <w:sz w:val="24"/>
          <w:szCs w:val="24"/>
        </w:rPr>
      </w:pPr>
      <w:r w:rsidRPr="007044B7">
        <w:rPr>
          <w:rFonts w:ascii="Arial" w:hAnsi="Arial" w:cs="Arial"/>
          <w:sz w:val="24"/>
          <w:szCs w:val="24"/>
        </w:rPr>
        <w:t>[Sub-s. (1) deleted by s. 12 (a) of Act 13 of 2011 (wef 26 May 2014).]</w:t>
      </w:r>
    </w:p>
    <w:p w14:paraId="51047363" w14:textId="70768F74" w:rsidR="00937C4F" w:rsidRPr="007044B7" w:rsidRDefault="00937C4F" w:rsidP="00C6348E">
      <w:pPr>
        <w:pStyle w:val="ListParagraph"/>
        <w:spacing w:before="120" w:after="360" w:line="240" w:lineRule="auto"/>
        <w:ind w:left="2160" w:hanging="720"/>
        <w:contextualSpacing w:val="0"/>
        <w:jc w:val="both"/>
        <w:rPr>
          <w:rFonts w:ascii="Arial" w:hAnsi="Arial" w:cs="Arial"/>
          <w:sz w:val="24"/>
          <w:szCs w:val="24"/>
        </w:rPr>
      </w:pPr>
      <w:r w:rsidRPr="007044B7">
        <w:rPr>
          <w:rFonts w:ascii="Arial" w:hAnsi="Arial" w:cs="Arial"/>
          <w:sz w:val="24"/>
          <w:szCs w:val="24"/>
        </w:rPr>
        <w:t xml:space="preserve">(2) </w:t>
      </w:r>
      <w:r w:rsidR="00CF7959" w:rsidRPr="007044B7">
        <w:rPr>
          <w:rFonts w:ascii="Arial" w:hAnsi="Arial" w:cs="Arial"/>
          <w:sz w:val="24"/>
          <w:szCs w:val="24"/>
        </w:rPr>
        <w:tab/>
      </w:r>
      <w:r w:rsidRPr="007044B7">
        <w:rPr>
          <w:rFonts w:ascii="Arial" w:hAnsi="Arial" w:cs="Arial"/>
          <w:sz w:val="24"/>
          <w:szCs w:val="24"/>
        </w:rPr>
        <w:t>A general work visa may be issued by the Director-General to a foreigner not falling within a category contemplated in subsection (4) and who complies with the prescribed requirements.</w:t>
      </w:r>
    </w:p>
    <w:p w14:paraId="41E476A8" w14:textId="77777777" w:rsidR="00937C4F" w:rsidRPr="007044B7" w:rsidRDefault="00937C4F" w:rsidP="00C6348E">
      <w:pPr>
        <w:pStyle w:val="ListParagraph"/>
        <w:spacing w:before="120" w:after="360" w:line="240" w:lineRule="auto"/>
        <w:ind w:left="1080" w:firstLine="360"/>
        <w:contextualSpacing w:val="0"/>
        <w:jc w:val="both"/>
        <w:rPr>
          <w:rFonts w:ascii="Arial" w:hAnsi="Arial" w:cs="Arial"/>
          <w:sz w:val="24"/>
          <w:szCs w:val="24"/>
        </w:rPr>
      </w:pPr>
      <w:r w:rsidRPr="007044B7">
        <w:rPr>
          <w:rFonts w:ascii="Arial" w:hAnsi="Arial" w:cs="Arial"/>
          <w:sz w:val="24"/>
          <w:szCs w:val="24"/>
        </w:rPr>
        <w:t>(3) ......</w:t>
      </w:r>
    </w:p>
    <w:p w14:paraId="0CF9C0DA" w14:textId="1C8F09A8" w:rsidR="00937C4F" w:rsidRPr="007044B7" w:rsidRDefault="00937C4F" w:rsidP="00C6348E">
      <w:pPr>
        <w:pStyle w:val="ListParagraph"/>
        <w:spacing w:before="120" w:after="360" w:line="240" w:lineRule="auto"/>
        <w:ind w:left="2160" w:hanging="720"/>
        <w:contextualSpacing w:val="0"/>
        <w:jc w:val="both"/>
        <w:rPr>
          <w:rFonts w:ascii="Arial" w:hAnsi="Arial" w:cs="Arial"/>
          <w:sz w:val="24"/>
          <w:szCs w:val="24"/>
        </w:rPr>
      </w:pPr>
      <w:r w:rsidRPr="007044B7">
        <w:rPr>
          <w:rFonts w:ascii="Arial" w:hAnsi="Arial" w:cs="Arial"/>
          <w:sz w:val="24"/>
          <w:szCs w:val="24"/>
        </w:rPr>
        <w:t xml:space="preserve">(4) </w:t>
      </w:r>
      <w:r w:rsidR="00E4685E" w:rsidRPr="007044B7">
        <w:rPr>
          <w:rFonts w:ascii="Arial" w:hAnsi="Arial" w:cs="Arial"/>
          <w:sz w:val="24"/>
          <w:szCs w:val="24"/>
        </w:rPr>
        <w:tab/>
      </w:r>
      <w:r w:rsidRPr="007044B7">
        <w:rPr>
          <w:rFonts w:ascii="Arial" w:hAnsi="Arial" w:cs="Arial"/>
          <w:sz w:val="24"/>
          <w:szCs w:val="24"/>
        </w:rPr>
        <w:t>Subject to any prescribed requirements, a critical skills work visa may be issued by the Director-General to an individual possessing such skills or qualifications determined to be critical for the Republic from time to time by the Minister by notice in the Gazette and to those members of his or her immediate family determined by the Director-General under the circumstances or as may be prescribed.</w:t>
      </w:r>
    </w:p>
    <w:p w14:paraId="64682EB4" w14:textId="77777777" w:rsidR="00937C4F" w:rsidRPr="007044B7" w:rsidRDefault="00937C4F" w:rsidP="00C6348E">
      <w:pPr>
        <w:pStyle w:val="ListParagraph"/>
        <w:spacing w:before="120" w:after="360" w:line="240" w:lineRule="auto"/>
        <w:ind w:left="2160"/>
        <w:contextualSpacing w:val="0"/>
        <w:jc w:val="both"/>
        <w:rPr>
          <w:rFonts w:ascii="Arial" w:hAnsi="Arial" w:cs="Arial"/>
          <w:sz w:val="24"/>
          <w:szCs w:val="24"/>
        </w:rPr>
      </w:pPr>
      <w:r w:rsidRPr="007044B7">
        <w:rPr>
          <w:rFonts w:ascii="Arial" w:hAnsi="Arial" w:cs="Arial"/>
          <w:sz w:val="24"/>
          <w:szCs w:val="24"/>
        </w:rPr>
        <w:t>[Sub-s. (4) substituted by s. 12 (d) of Act 13 of 2011 (wef 26 May 2014).]</w:t>
      </w:r>
    </w:p>
    <w:p w14:paraId="4432FDB7" w14:textId="705C0CCB" w:rsidR="00C26724" w:rsidRPr="007044B7" w:rsidRDefault="00C26724" w:rsidP="00C6348E">
      <w:pPr>
        <w:pStyle w:val="ListParagraph"/>
        <w:spacing w:before="120" w:after="360" w:line="240" w:lineRule="auto"/>
        <w:ind w:left="2160"/>
        <w:contextualSpacing w:val="0"/>
        <w:jc w:val="both"/>
        <w:rPr>
          <w:rFonts w:ascii="Arial" w:hAnsi="Arial" w:cs="Arial"/>
          <w:sz w:val="24"/>
          <w:szCs w:val="24"/>
        </w:rPr>
      </w:pPr>
      <w:r w:rsidRPr="007044B7">
        <w:rPr>
          <w:rFonts w:ascii="Arial" w:hAnsi="Arial" w:cs="Arial"/>
          <w:sz w:val="24"/>
          <w:szCs w:val="24"/>
        </w:rPr>
        <w:t>…”</w:t>
      </w:r>
    </w:p>
    <w:p w14:paraId="1F03CA86" w14:textId="42ED38D0" w:rsidR="00C26724"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8.</w:t>
      </w:r>
      <w:r w:rsidRPr="007044B7">
        <w:rPr>
          <w:rFonts w:ascii="Arial" w:hAnsi="Arial" w:cs="Arial"/>
          <w:sz w:val="24"/>
          <w:szCs w:val="24"/>
        </w:rPr>
        <w:tab/>
      </w:r>
      <w:r w:rsidR="00937C4F" w:rsidRPr="00855EE9">
        <w:rPr>
          <w:rFonts w:ascii="Arial" w:hAnsi="Arial" w:cs="Arial"/>
          <w:sz w:val="24"/>
          <w:szCs w:val="24"/>
        </w:rPr>
        <w:t>Regulation 18(5)</w:t>
      </w:r>
      <w:r w:rsidR="0076644E" w:rsidRPr="00855EE9">
        <w:rPr>
          <w:rFonts w:ascii="Arial" w:hAnsi="Arial" w:cs="Arial"/>
          <w:sz w:val="24"/>
          <w:szCs w:val="24"/>
        </w:rPr>
        <w:t xml:space="preserve"> of the Immigration Regulations, 2014, GN R413 of 2014</w:t>
      </w:r>
      <w:r w:rsidR="00C80D18" w:rsidRPr="00855EE9">
        <w:rPr>
          <w:rFonts w:ascii="Arial" w:hAnsi="Arial" w:cs="Arial"/>
          <w:sz w:val="24"/>
          <w:szCs w:val="24"/>
        </w:rPr>
        <w:t xml:space="preserve"> published in </w:t>
      </w:r>
      <w:r w:rsidR="0076644E" w:rsidRPr="00855EE9">
        <w:rPr>
          <w:rFonts w:ascii="Arial" w:hAnsi="Arial" w:cs="Arial"/>
          <w:sz w:val="24"/>
          <w:szCs w:val="24"/>
        </w:rPr>
        <w:t>GG 37679 of</w:t>
      </w:r>
      <w:r w:rsidR="00C80D18" w:rsidRPr="00855EE9">
        <w:rPr>
          <w:rFonts w:ascii="Arial" w:hAnsi="Arial" w:cs="Arial"/>
          <w:sz w:val="24"/>
          <w:szCs w:val="24"/>
        </w:rPr>
        <w:t xml:space="preserve"> </w:t>
      </w:r>
      <w:r w:rsidR="0076644E" w:rsidRPr="00855EE9">
        <w:rPr>
          <w:rFonts w:ascii="Arial" w:hAnsi="Arial" w:cs="Arial"/>
          <w:sz w:val="24"/>
          <w:szCs w:val="24"/>
        </w:rPr>
        <w:t>22 May 2014</w:t>
      </w:r>
      <w:r w:rsidR="00372CC5" w:rsidRPr="00855EE9">
        <w:rPr>
          <w:rFonts w:ascii="Arial" w:hAnsi="Arial" w:cs="Arial"/>
          <w:sz w:val="24"/>
          <w:szCs w:val="24"/>
        </w:rPr>
        <w:t xml:space="preserve"> </w:t>
      </w:r>
      <w:r w:rsidR="005D5784" w:rsidRPr="00855EE9">
        <w:rPr>
          <w:rFonts w:ascii="Arial" w:hAnsi="Arial" w:cs="Arial"/>
          <w:sz w:val="24"/>
          <w:szCs w:val="24"/>
        </w:rPr>
        <w:t>(“</w:t>
      </w:r>
      <w:r w:rsidR="005D5784" w:rsidRPr="00855EE9">
        <w:rPr>
          <w:rFonts w:ascii="Arial" w:hAnsi="Arial" w:cs="Arial"/>
          <w:b/>
          <w:bCs/>
          <w:sz w:val="24"/>
          <w:szCs w:val="24"/>
        </w:rPr>
        <w:t>the Immigration Regulations</w:t>
      </w:r>
      <w:r w:rsidR="005D5784" w:rsidRPr="00855EE9">
        <w:rPr>
          <w:rFonts w:ascii="Arial" w:hAnsi="Arial" w:cs="Arial"/>
          <w:sz w:val="24"/>
          <w:szCs w:val="24"/>
        </w:rPr>
        <w:t xml:space="preserve">”) </w:t>
      </w:r>
      <w:r w:rsidR="00372CC5" w:rsidRPr="00855EE9">
        <w:rPr>
          <w:rFonts w:ascii="Arial" w:hAnsi="Arial" w:cs="Arial"/>
          <w:sz w:val="24"/>
          <w:szCs w:val="24"/>
        </w:rPr>
        <w:t>reads as follows:</w:t>
      </w:r>
    </w:p>
    <w:p w14:paraId="17923ED2" w14:textId="4BA41F41" w:rsidR="00372CC5" w:rsidRPr="007044B7" w:rsidRDefault="00372CC5" w:rsidP="00C6348E">
      <w:pPr>
        <w:pStyle w:val="ListParagraph"/>
        <w:spacing w:before="120" w:after="360" w:line="240" w:lineRule="auto"/>
        <w:ind w:left="2160" w:hanging="720"/>
        <w:contextualSpacing w:val="0"/>
        <w:jc w:val="both"/>
        <w:rPr>
          <w:rFonts w:ascii="Arial" w:hAnsi="Arial" w:cs="Arial"/>
          <w:sz w:val="24"/>
          <w:szCs w:val="24"/>
        </w:rPr>
      </w:pPr>
      <w:r w:rsidRPr="007044B7">
        <w:rPr>
          <w:rFonts w:ascii="Arial" w:hAnsi="Arial" w:cs="Arial"/>
          <w:sz w:val="24"/>
          <w:szCs w:val="24"/>
        </w:rPr>
        <w:t xml:space="preserve">“(5) </w:t>
      </w:r>
      <w:r w:rsidRPr="007044B7">
        <w:rPr>
          <w:rFonts w:ascii="Arial" w:hAnsi="Arial" w:cs="Arial"/>
          <w:sz w:val="24"/>
          <w:szCs w:val="24"/>
        </w:rPr>
        <w:tab/>
        <w:t>An application for a critical skills work visa shall be accompanied by proof that the applicant falls within the critical skills category in the form of-</w:t>
      </w:r>
    </w:p>
    <w:p w14:paraId="6080BAC1" w14:textId="724FD325" w:rsidR="00372CC5" w:rsidRPr="007044B7" w:rsidRDefault="00372CC5" w:rsidP="00C6348E">
      <w:pPr>
        <w:pStyle w:val="ListParagraph"/>
        <w:spacing w:before="120" w:after="360" w:line="240" w:lineRule="auto"/>
        <w:ind w:left="2880" w:hanging="720"/>
        <w:contextualSpacing w:val="0"/>
        <w:jc w:val="both"/>
        <w:rPr>
          <w:rFonts w:ascii="Arial" w:hAnsi="Arial" w:cs="Arial"/>
          <w:sz w:val="24"/>
          <w:szCs w:val="24"/>
        </w:rPr>
      </w:pPr>
      <w:r w:rsidRPr="007044B7">
        <w:rPr>
          <w:rFonts w:ascii="Arial" w:hAnsi="Arial" w:cs="Arial"/>
          <w:sz w:val="24"/>
          <w:szCs w:val="24"/>
        </w:rPr>
        <w:t>(a) </w:t>
      </w:r>
      <w:r w:rsidRPr="007044B7">
        <w:rPr>
          <w:rFonts w:ascii="Arial" w:hAnsi="Arial" w:cs="Arial"/>
          <w:sz w:val="24"/>
          <w:szCs w:val="24"/>
        </w:rPr>
        <w:tab/>
        <w:t>a confirmation, in writing, from the professional body, council or board recognised by SAQA in terms of section 13(1)(i) of the National Qualifications Framework Act, or any relevant government Department confirming the skills or qualifications of the applicant and appropriate post qualification experience;</w:t>
      </w:r>
    </w:p>
    <w:p w14:paraId="45896E5B" w14:textId="1BD42CF9" w:rsidR="00372CC5" w:rsidRPr="007044B7" w:rsidRDefault="00372CC5" w:rsidP="00C6348E">
      <w:pPr>
        <w:pStyle w:val="ListParagraph"/>
        <w:spacing w:before="120" w:after="360" w:line="240" w:lineRule="auto"/>
        <w:ind w:left="2880" w:hanging="720"/>
        <w:contextualSpacing w:val="0"/>
        <w:jc w:val="both"/>
        <w:rPr>
          <w:rFonts w:ascii="Arial" w:hAnsi="Arial" w:cs="Arial"/>
          <w:sz w:val="24"/>
          <w:szCs w:val="24"/>
        </w:rPr>
      </w:pPr>
      <w:r w:rsidRPr="007044B7">
        <w:rPr>
          <w:rFonts w:ascii="Arial" w:hAnsi="Arial" w:cs="Arial"/>
          <w:sz w:val="24"/>
          <w:szCs w:val="24"/>
        </w:rPr>
        <w:t>(b) </w:t>
      </w:r>
      <w:r w:rsidRPr="007044B7">
        <w:rPr>
          <w:rFonts w:ascii="Arial" w:hAnsi="Arial" w:cs="Arial"/>
          <w:sz w:val="24"/>
          <w:szCs w:val="24"/>
        </w:rPr>
        <w:tab/>
        <w:t>if required by law, proof of application for a certificate of registration with the professional body, council or board recognised by SAQA in terms of section 13(1)(i) of the National Qualifications Framework Act; and</w:t>
      </w:r>
    </w:p>
    <w:p w14:paraId="4B2B19EF" w14:textId="477F0790" w:rsidR="00372CC5" w:rsidRPr="007044B7" w:rsidRDefault="00372CC5" w:rsidP="00C6348E">
      <w:pPr>
        <w:pStyle w:val="ListParagraph"/>
        <w:spacing w:before="120" w:after="360" w:line="240" w:lineRule="auto"/>
        <w:ind w:left="2880" w:hanging="720"/>
        <w:contextualSpacing w:val="0"/>
        <w:jc w:val="both"/>
        <w:rPr>
          <w:rFonts w:ascii="Arial" w:hAnsi="Arial" w:cs="Arial"/>
          <w:sz w:val="24"/>
          <w:szCs w:val="24"/>
        </w:rPr>
      </w:pPr>
      <w:r w:rsidRPr="007044B7">
        <w:rPr>
          <w:rFonts w:ascii="Arial" w:hAnsi="Arial" w:cs="Arial"/>
          <w:sz w:val="24"/>
          <w:szCs w:val="24"/>
        </w:rPr>
        <w:t>(c) </w:t>
      </w:r>
      <w:r w:rsidRPr="007044B7">
        <w:rPr>
          <w:rFonts w:ascii="Arial" w:hAnsi="Arial" w:cs="Arial"/>
          <w:sz w:val="24"/>
          <w:szCs w:val="24"/>
        </w:rPr>
        <w:tab/>
        <w:t>proof of evaluation of the foreign qualification by SAQA and translated by a sworn translator into one of the official languages of the Republic.</w:t>
      </w:r>
      <w:r w:rsidR="00BA23B5" w:rsidRPr="007044B7">
        <w:rPr>
          <w:rFonts w:ascii="Arial" w:hAnsi="Arial" w:cs="Arial"/>
          <w:sz w:val="24"/>
          <w:szCs w:val="24"/>
        </w:rPr>
        <w:t>”</w:t>
      </w:r>
    </w:p>
    <w:p w14:paraId="172A88EF" w14:textId="5C4FC7E1" w:rsidR="004F1EE4" w:rsidRPr="007044B7" w:rsidRDefault="00E70B59" w:rsidP="00C6348E">
      <w:pPr>
        <w:spacing w:before="120" w:after="360" w:line="480" w:lineRule="auto"/>
        <w:jc w:val="both"/>
        <w:rPr>
          <w:rFonts w:ascii="Arial" w:hAnsi="Arial" w:cs="Arial"/>
          <w:b/>
          <w:bCs/>
          <w:sz w:val="24"/>
          <w:szCs w:val="24"/>
        </w:rPr>
      </w:pPr>
      <w:r w:rsidRPr="007044B7">
        <w:rPr>
          <w:rFonts w:ascii="Arial" w:hAnsi="Arial" w:cs="Arial"/>
          <w:b/>
          <w:bCs/>
          <w:sz w:val="24"/>
          <w:szCs w:val="24"/>
        </w:rPr>
        <w:t xml:space="preserve">THE LAW:  THE DUTY TO PROVIDE REASONS AND THE </w:t>
      </w:r>
      <w:r w:rsidR="003E4E9F" w:rsidRPr="007044B7">
        <w:rPr>
          <w:rFonts w:ascii="Arial" w:hAnsi="Arial" w:cs="Arial"/>
          <w:b/>
          <w:bCs/>
          <w:sz w:val="24"/>
          <w:szCs w:val="24"/>
        </w:rPr>
        <w:t>GROUNDS OF REVIEW</w:t>
      </w:r>
    </w:p>
    <w:p w14:paraId="3FCE382B" w14:textId="208BF0E4" w:rsidR="003E4E9F" w:rsidRPr="007044B7" w:rsidRDefault="003E4E9F" w:rsidP="00C6348E">
      <w:pPr>
        <w:spacing w:before="120" w:after="360" w:line="480" w:lineRule="auto"/>
        <w:jc w:val="both"/>
        <w:rPr>
          <w:rFonts w:ascii="Arial" w:hAnsi="Arial" w:cs="Arial"/>
          <w:b/>
          <w:bCs/>
          <w:sz w:val="24"/>
          <w:szCs w:val="24"/>
        </w:rPr>
      </w:pPr>
      <w:r w:rsidRPr="007044B7">
        <w:rPr>
          <w:rFonts w:ascii="Arial" w:hAnsi="Arial" w:cs="Arial"/>
          <w:b/>
          <w:bCs/>
          <w:sz w:val="24"/>
          <w:szCs w:val="24"/>
        </w:rPr>
        <w:t>The duty to provide reasons</w:t>
      </w:r>
    </w:p>
    <w:p w14:paraId="548A0270" w14:textId="1866791D" w:rsidR="001D73D1"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9.</w:t>
      </w:r>
      <w:r w:rsidRPr="007044B7">
        <w:rPr>
          <w:rFonts w:ascii="Arial" w:hAnsi="Arial" w:cs="Arial"/>
          <w:sz w:val="24"/>
          <w:szCs w:val="24"/>
        </w:rPr>
        <w:tab/>
      </w:r>
      <w:r w:rsidR="000A3FFB" w:rsidRPr="00855EE9">
        <w:rPr>
          <w:rFonts w:ascii="Arial" w:hAnsi="Arial" w:cs="Arial"/>
          <w:sz w:val="24"/>
          <w:szCs w:val="24"/>
        </w:rPr>
        <w:t>A significant feature of this case relates to the adequacy or otherwise of the reasons provided</w:t>
      </w:r>
      <w:r w:rsidR="003E4E9F" w:rsidRPr="00855EE9">
        <w:rPr>
          <w:rFonts w:ascii="Arial" w:hAnsi="Arial" w:cs="Arial"/>
          <w:sz w:val="24"/>
          <w:szCs w:val="24"/>
        </w:rPr>
        <w:t xml:space="preserve"> by the respondents</w:t>
      </w:r>
      <w:r w:rsidR="000A3FFB" w:rsidRPr="00855EE9">
        <w:rPr>
          <w:rFonts w:ascii="Arial" w:hAnsi="Arial" w:cs="Arial"/>
          <w:sz w:val="24"/>
          <w:szCs w:val="24"/>
        </w:rPr>
        <w:t>.</w:t>
      </w:r>
      <w:r w:rsidR="002B1F2C" w:rsidRPr="00855EE9">
        <w:rPr>
          <w:rFonts w:ascii="Arial" w:hAnsi="Arial" w:cs="Arial"/>
          <w:sz w:val="24"/>
          <w:szCs w:val="24"/>
        </w:rPr>
        <w:t xml:space="preserve">  Th</w:t>
      </w:r>
      <w:r w:rsidR="001D73D1" w:rsidRPr="00855EE9">
        <w:rPr>
          <w:rFonts w:ascii="Arial" w:hAnsi="Arial" w:cs="Arial"/>
          <w:sz w:val="24"/>
          <w:szCs w:val="24"/>
        </w:rPr>
        <w:t xml:space="preserve">e applicant raises this issue </w:t>
      </w:r>
      <w:r w:rsidR="002B1F2C" w:rsidRPr="00855EE9">
        <w:rPr>
          <w:rFonts w:ascii="Arial" w:hAnsi="Arial" w:cs="Arial"/>
          <w:sz w:val="24"/>
          <w:szCs w:val="24"/>
        </w:rPr>
        <w:t xml:space="preserve">as a self-standing ground of review </w:t>
      </w:r>
      <w:r w:rsidR="005863B3" w:rsidRPr="00855EE9">
        <w:rPr>
          <w:rFonts w:ascii="Arial" w:hAnsi="Arial" w:cs="Arial"/>
          <w:sz w:val="24"/>
          <w:szCs w:val="24"/>
        </w:rPr>
        <w:t xml:space="preserve">and as a </w:t>
      </w:r>
      <w:r w:rsidR="007A2A03" w:rsidRPr="00855EE9">
        <w:rPr>
          <w:rFonts w:ascii="Arial" w:hAnsi="Arial" w:cs="Arial"/>
          <w:sz w:val="24"/>
          <w:szCs w:val="24"/>
        </w:rPr>
        <w:t xml:space="preserve">factor that is relevant to other grounds of review.  </w:t>
      </w:r>
    </w:p>
    <w:p w14:paraId="12C7CE1B" w14:textId="4CC33252" w:rsidR="00820991"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10.</w:t>
      </w:r>
      <w:r w:rsidRPr="007044B7">
        <w:rPr>
          <w:rFonts w:ascii="Arial" w:hAnsi="Arial" w:cs="Arial"/>
          <w:sz w:val="24"/>
          <w:szCs w:val="24"/>
        </w:rPr>
        <w:tab/>
      </w:r>
      <w:r w:rsidR="007A2A03" w:rsidRPr="00855EE9">
        <w:rPr>
          <w:rFonts w:ascii="Arial" w:hAnsi="Arial" w:cs="Arial"/>
          <w:sz w:val="24"/>
          <w:szCs w:val="24"/>
        </w:rPr>
        <w:t xml:space="preserve">The legal principles in respect of the </w:t>
      </w:r>
      <w:r w:rsidR="00513FBE" w:rsidRPr="00855EE9">
        <w:rPr>
          <w:rFonts w:ascii="Arial" w:hAnsi="Arial" w:cs="Arial"/>
          <w:sz w:val="24"/>
          <w:szCs w:val="24"/>
        </w:rPr>
        <w:t xml:space="preserve">duty to provide </w:t>
      </w:r>
      <w:r w:rsidR="007A2A03" w:rsidRPr="00855EE9">
        <w:rPr>
          <w:rFonts w:ascii="Arial" w:hAnsi="Arial" w:cs="Arial"/>
          <w:sz w:val="24"/>
          <w:szCs w:val="24"/>
        </w:rPr>
        <w:t xml:space="preserve">adequate reasons </w:t>
      </w:r>
      <w:r w:rsidR="00B53C3E" w:rsidRPr="00855EE9">
        <w:rPr>
          <w:rFonts w:ascii="Arial" w:hAnsi="Arial" w:cs="Arial"/>
          <w:sz w:val="24"/>
          <w:szCs w:val="24"/>
        </w:rPr>
        <w:t>are</w:t>
      </w:r>
      <w:r w:rsidR="007A2A03" w:rsidRPr="00855EE9">
        <w:rPr>
          <w:rFonts w:ascii="Arial" w:hAnsi="Arial" w:cs="Arial"/>
          <w:sz w:val="24"/>
          <w:szCs w:val="24"/>
        </w:rPr>
        <w:t xml:space="preserve"> well established</w:t>
      </w:r>
      <w:r w:rsidR="00513FBE" w:rsidRPr="00855EE9">
        <w:rPr>
          <w:rFonts w:ascii="Arial" w:hAnsi="Arial" w:cs="Arial"/>
          <w:sz w:val="24"/>
          <w:szCs w:val="24"/>
        </w:rPr>
        <w:t>, the following aspects of which warrant reference</w:t>
      </w:r>
      <w:r w:rsidR="00820991" w:rsidRPr="00855EE9">
        <w:rPr>
          <w:rFonts w:ascii="Arial" w:hAnsi="Arial" w:cs="Arial"/>
          <w:sz w:val="24"/>
          <w:szCs w:val="24"/>
        </w:rPr>
        <w:t>:</w:t>
      </w:r>
    </w:p>
    <w:p w14:paraId="756474A5" w14:textId="671E1A8A" w:rsidR="008E5592"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10.1.</w:t>
      </w:r>
      <w:r w:rsidRPr="007044B7">
        <w:rPr>
          <w:rFonts w:ascii="Arial" w:hAnsi="Arial" w:cs="Arial"/>
          <w:sz w:val="24"/>
          <w:szCs w:val="24"/>
        </w:rPr>
        <w:tab/>
      </w:r>
      <w:r w:rsidR="00704012" w:rsidRPr="00855EE9">
        <w:rPr>
          <w:rFonts w:ascii="Arial" w:hAnsi="Arial" w:cs="Arial"/>
          <w:sz w:val="24"/>
          <w:szCs w:val="24"/>
          <w:u w:val="single"/>
        </w:rPr>
        <w:t>First</w:t>
      </w:r>
      <w:r w:rsidR="00704012" w:rsidRPr="00855EE9">
        <w:rPr>
          <w:rFonts w:ascii="Arial" w:hAnsi="Arial" w:cs="Arial"/>
          <w:sz w:val="24"/>
          <w:szCs w:val="24"/>
        </w:rPr>
        <w:t>, a</w:t>
      </w:r>
      <w:r w:rsidR="00E3796F" w:rsidRPr="00855EE9">
        <w:rPr>
          <w:rFonts w:ascii="Arial" w:hAnsi="Arial" w:cs="Arial"/>
          <w:sz w:val="24"/>
          <w:szCs w:val="24"/>
        </w:rPr>
        <w:t xml:space="preserve">s a point of departure, </w:t>
      </w:r>
      <w:r w:rsidR="00F27BED" w:rsidRPr="00855EE9">
        <w:rPr>
          <w:rFonts w:ascii="Arial" w:hAnsi="Arial" w:cs="Arial"/>
          <w:sz w:val="24"/>
          <w:szCs w:val="24"/>
        </w:rPr>
        <w:t xml:space="preserve">it is well established that the duty to provide reasons in </w:t>
      </w:r>
      <w:r w:rsidR="00704012" w:rsidRPr="00855EE9">
        <w:rPr>
          <w:rFonts w:ascii="Arial" w:hAnsi="Arial" w:cs="Arial"/>
          <w:sz w:val="24"/>
          <w:szCs w:val="24"/>
        </w:rPr>
        <w:t xml:space="preserve">the context of judicial review, occupies a central position in our </w:t>
      </w:r>
      <w:r w:rsidR="00162CBC" w:rsidRPr="00855EE9">
        <w:rPr>
          <w:rFonts w:ascii="Arial" w:hAnsi="Arial" w:cs="Arial"/>
          <w:sz w:val="24"/>
          <w:szCs w:val="24"/>
        </w:rPr>
        <w:t xml:space="preserve">constitutional </w:t>
      </w:r>
      <w:r w:rsidR="00704012" w:rsidRPr="00855EE9">
        <w:rPr>
          <w:rFonts w:ascii="Arial" w:hAnsi="Arial" w:cs="Arial"/>
          <w:sz w:val="24"/>
          <w:szCs w:val="24"/>
        </w:rPr>
        <w:t>landscape</w:t>
      </w:r>
      <w:r w:rsidR="008E5592" w:rsidRPr="00855EE9">
        <w:rPr>
          <w:rFonts w:ascii="Arial" w:hAnsi="Arial" w:cs="Arial"/>
          <w:sz w:val="24"/>
          <w:szCs w:val="24"/>
        </w:rPr>
        <w:t>:</w:t>
      </w:r>
    </w:p>
    <w:p w14:paraId="64A25D08" w14:textId="45AAE350" w:rsidR="000C76F8" w:rsidRPr="00855EE9" w:rsidRDefault="00855EE9" w:rsidP="00855EE9">
      <w:pPr>
        <w:spacing w:before="120" w:after="360" w:line="480" w:lineRule="auto"/>
        <w:ind w:left="2552" w:hanging="1134"/>
        <w:jc w:val="both"/>
        <w:rPr>
          <w:rFonts w:ascii="Arial" w:hAnsi="Arial" w:cs="Arial"/>
          <w:sz w:val="24"/>
          <w:szCs w:val="24"/>
        </w:rPr>
      </w:pPr>
      <w:r w:rsidRPr="007044B7">
        <w:rPr>
          <w:rFonts w:ascii="Arial" w:hAnsi="Arial" w:cs="Arial"/>
          <w:sz w:val="24"/>
          <w:szCs w:val="24"/>
        </w:rPr>
        <w:t>10.1.1.</w:t>
      </w:r>
      <w:r w:rsidRPr="007044B7">
        <w:rPr>
          <w:rFonts w:ascii="Arial" w:hAnsi="Arial" w:cs="Arial"/>
          <w:sz w:val="24"/>
          <w:szCs w:val="24"/>
        </w:rPr>
        <w:tab/>
      </w:r>
      <w:r w:rsidR="00F17EAC" w:rsidRPr="00855EE9">
        <w:rPr>
          <w:rFonts w:ascii="Arial" w:hAnsi="Arial" w:cs="Arial"/>
          <w:sz w:val="24"/>
          <w:szCs w:val="24"/>
        </w:rPr>
        <w:t xml:space="preserve">In  </w:t>
      </w:r>
      <w:r w:rsidR="00F17EAC" w:rsidRPr="00855EE9">
        <w:rPr>
          <w:rFonts w:ascii="Arial" w:hAnsi="Arial" w:cs="Arial"/>
          <w:b/>
          <w:bCs/>
          <w:sz w:val="24"/>
          <w:szCs w:val="24"/>
        </w:rPr>
        <w:t>Afrisun Mpumalanga (Pty) Ltd v Kunene NO and Others</w:t>
      </w:r>
      <w:r w:rsidR="00F17EAC" w:rsidRPr="00855EE9">
        <w:rPr>
          <w:rFonts w:ascii="Arial" w:hAnsi="Arial" w:cs="Arial"/>
          <w:sz w:val="24"/>
          <w:szCs w:val="24"/>
        </w:rPr>
        <w:t> 1999 (2) SA 599 (T) at 630F – J, Southwood J observed that t</w:t>
      </w:r>
      <w:r w:rsidR="00DD5F7E" w:rsidRPr="00855EE9">
        <w:rPr>
          <w:rFonts w:ascii="Arial" w:hAnsi="Arial" w:cs="Arial"/>
          <w:sz w:val="24"/>
          <w:szCs w:val="24"/>
        </w:rPr>
        <w:t>he importance of reasons cannot be over-emphasised. They show how the administrative body functioned when it took the decision and in particular show whether that body acted reasonably or unreason</w:t>
      </w:r>
      <w:r w:rsidR="0007731E" w:rsidRPr="00855EE9">
        <w:rPr>
          <w:rFonts w:ascii="Arial" w:hAnsi="Arial" w:cs="Arial"/>
          <w:sz w:val="24"/>
          <w:szCs w:val="24"/>
        </w:rPr>
        <w:t>a</w:t>
      </w:r>
      <w:r w:rsidR="00DD5F7E" w:rsidRPr="00855EE9">
        <w:rPr>
          <w:rFonts w:ascii="Arial" w:hAnsi="Arial" w:cs="Arial"/>
          <w:sz w:val="24"/>
          <w:szCs w:val="24"/>
        </w:rPr>
        <w:t>bly, lawfully or unlawfully and/or rationally or arbitrarily.</w:t>
      </w:r>
    </w:p>
    <w:p w14:paraId="6F93E2EC" w14:textId="47A34A3B" w:rsidR="009123A3" w:rsidRPr="00855EE9" w:rsidRDefault="00855EE9" w:rsidP="00855EE9">
      <w:pPr>
        <w:spacing w:before="120" w:after="360" w:line="480" w:lineRule="auto"/>
        <w:ind w:left="2552" w:hanging="1134"/>
        <w:jc w:val="both"/>
        <w:rPr>
          <w:rFonts w:ascii="Arial" w:hAnsi="Arial" w:cs="Arial"/>
          <w:sz w:val="24"/>
          <w:szCs w:val="24"/>
        </w:rPr>
      </w:pPr>
      <w:r w:rsidRPr="007044B7">
        <w:rPr>
          <w:rFonts w:ascii="Arial" w:hAnsi="Arial" w:cs="Arial"/>
          <w:sz w:val="24"/>
          <w:szCs w:val="24"/>
        </w:rPr>
        <w:t>10.1.2.</w:t>
      </w:r>
      <w:r w:rsidRPr="007044B7">
        <w:rPr>
          <w:rFonts w:ascii="Arial" w:hAnsi="Arial" w:cs="Arial"/>
          <w:sz w:val="24"/>
          <w:szCs w:val="24"/>
        </w:rPr>
        <w:tab/>
      </w:r>
      <w:r w:rsidR="00704012" w:rsidRPr="00855EE9">
        <w:rPr>
          <w:rFonts w:ascii="Arial" w:hAnsi="Arial" w:cs="Arial"/>
          <w:sz w:val="24"/>
          <w:szCs w:val="24"/>
        </w:rPr>
        <w:t xml:space="preserve">In the minority judgment in </w:t>
      </w:r>
      <w:r w:rsidR="009123A3" w:rsidRPr="00855EE9">
        <w:rPr>
          <w:rFonts w:ascii="Arial" w:hAnsi="Arial" w:cs="Arial"/>
          <w:b/>
          <w:bCs/>
          <w:sz w:val="24"/>
          <w:szCs w:val="24"/>
        </w:rPr>
        <w:t>Bel Porto SGB v Premier, WC</w:t>
      </w:r>
      <w:r w:rsidR="009123A3" w:rsidRPr="00855EE9">
        <w:rPr>
          <w:rFonts w:ascii="Arial" w:hAnsi="Arial" w:cs="Arial"/>
          <w:sz w:val="24"/>
          <w:szCs w:val="24"/>
        </w:rPr>
        <w:t> 2002 (3) SA 265 (CC) (2002 (9) BCLR 891; [2002] ZACC 2)</w:t>
      </w:r>
      <w:r w:rsidR="00704012" w:rsidRPr="00855EE9">
        <w:rPr>
          <w:rFonts w:ascii="Arial" w:hAnsi="Arial" w:cs="Arial"/>
          <w:sz w:val="24"/>
          <w:szCs w:val="24"/>
        </w:rPr>
        <w:t xml:space="preserve">, the </w:t>
      </w:r>
      <w:r w:rsidR="0007731E" w:rsidRPr="00855EE9">
        <w:rPr>
          <w:rFonts w:ascii="Arial" w:hAnsi="Arial" w:cs="Arial"/>
          <w:sz w:val="24"/>
          <w:szCs w:val="24"/>
        </w:rPr>
        <w:t xml:space="preserve">inherent value of adequate reasons </w:t>
      </w:r>
      <w:r w:rsidR="00030A12" w:rsidRPr="00855EE9">
        <w:rPr>
          <w:rFonts w:ascii="Arial" w:hAnsi="Arial" w:cs="Arial"/>
          <w:sz w:val="24"/>
          <w:szCs w:val="24"/>
        </w:rPr>
        <w:t>was recognised as follows</w:t>
      </w:r>
      <w:r w:rsidR="00704012" w:rsidRPr="00855EE9">
        <w:rPr>
          <w:rFonts w:ascii="Arial" w:hAnsi="Arial" w:cs="Arial"/>
          <w:sz w:val="24"/>
          <w:szCs w:val="24"/>
        </w:rPr>
        <w:t>:</w:t>
      </w:r>
    </w:p>
    <w:p w14:paraId="25EF6C46" w14:textId="769666D6" w:rsidR="00D63159" w:rsidRPr="007044B7" w:rsidRDefault="00704012" w:rsidP="00C6348E">
      <w:pPr>
        <w:pStyle w:val="ListParagraph"/>
        <w:spacing w:before="120" w:after="360" w:line="240" w:lineRule="auto"/>
        <w:ind w:left="2880"/>
        <w:contextualSpacing w:val="0"/>
        <w:jc w:val="both"/>
        <w:rPr>
          <w:rFonts w:ascii="Arial" w:hAnsi="Arial" w:cs="Arial"/>
          <w:sz w:val="24"/>
          <w:szCs w:val="24"/>
        </w:rPr>
      </w:pPr>
      <w:r w:rsidRPr="007044B7">
        <w:rPr>
          <w:rFonts w:ascii="Arial" w:hAnsi="Arial" w:cs="Arial"/>
          <w:sz w:val="24"/>
          <w:szCs w:val="24"/>
        </w:rPr>
        <w:t>“</w:t>
      </w:r>
      <w:r w:rsidR="00D63159" w:rsidRPr="007044B7">
        <w:rPr>
          <w:rFonts w:ascii="Arial" w:hAnsi="Arial" w:cs="Arial"/>
          <w:sz w:val="24"/>
          <w:szCs w:val="24"/>
        </w:rPr>
        <w:t xml:space="preserve">[159] </w:t>
      </w:r>
      <w:r w:rsidR="00030A12" w:rsidRPr="007044B7">
        <w:rPr>
          <w:rFonts w:ascii="Arial" w:hAnsi="Arial" w:cs="Arial"/>
          <w:sz w:val="24"/>
          <w:szCs w:val="24"/>
        </w:rPr>
        <w:tab/>
      </w:r>
      <w:r w:rsidR="00D63159" w:rsidRPr="007044B7">
        <w:rPr>
          <w:rFonts w:ascii="Arial" w:hAnsi="Arial" w:cs="Arial"/>
          <w:sz w:val="24"/>
          <w:szCs w:val="24"/>
        </w:rPr>
        <w:t>The duty to give reasons when rights or interests are affected has been stated to constitute an indispensable part of a sound system of judicial review.  Unless the person affected can discover the reason behind the decision, he or she may be  unable to tell whether it is reviewable or not and so may be deprived of the protection of the law. Yet it goes further than that. The giving of reasons satisfies the individual that his or her matter has been considered and also promotes good administrative functioning because the decision-makers know that they can be called upon to explain their decisions and thus be forced to evaluate all the relevant considerations correctly and carefully. Moreover, as in the present case, the reasons given can help to crystallise the issues should litigation arise.</w:t>
      </w:r>
      <w:r w:rsidR="000C76F8" w:rsidRPr="007044B7">
        <w:rPr>
          <w:rFonts w:ascii="Arial" w:hAnsi="Arial" w:cs="Arial"/>
          <w:sz w:val="24"/>
          <w:szCs w:val="24"/>
        </w:rPr>
        <w:t>”</w:t>
      </w:r>
    </w:p>
    <w:p w14:paraId="5EF27EFE" w14:textId="3B55F72D" w:rsidR="00173DAC" w:rsidRPr="00855EE9" w:rsidRDefault="00855EE9" w:rsidP="00855EE9">
      <w:pPr>
        <w:spacing w:before="120" w:after="360" w:line="480" w:lineRule="auto"/>
        <w:ind w:left="2552" w:hanging="1134"/>
        <w:jc w:val="both"/>
        <w:rPr>
          <w:rFonts w:ascii="Arial" w:hAnsi="Arial" w:cs="Arial"/>
          <w:sz w:val="24"/>
          <w:szCs w:val="24"/>
        </w:rPr>
      </w:pPr>
      <w:r w:rsidRPr="007044B7">
        <w:rPr>
          <w:rFonts w:ascii="Arial" w:hAnsi="Arial" w:cs="Arial"/>
          <w:sz w:val="24"/>
          <w:szCs w:val="24"/>
        </w:rPr>
        <w:t>10.1.3.</w:t>
      </w:r>
      <w:r w:rsidRPr="007044B7">
        <w:rPr>
          <w:rFonts w:ascii="Arial" w:hAnsi="Arial" w:cs="Arial"/>
          <w:sz w:val="24"/>
          <w:szCs w:val="24"/>
        </w:rPr>
        <w:tab/>
      </w:r>
      <w:r w:rsidR="00271C87" w:rsidRPr="00855EE9">
        <w:rPr>
          <w:rFonts w:ascii="Arial" w:hAnsi="Arial" w:cs="Arial"/>
          <w:sz w:val="24"/>
          <w:szCs w:val="24"/>
        </w:rPr>
        <w:t xml:space="preserve">In a concurring judgment </w:t>
      </w:r>
      <w:r w:rsidR="00173DAC" w:rsidRPr="00855EE9">
        <w:rPr>
          <w:rFonts w:ascii="Arial" w:hAnsi="Arial" w:cs="Arial"/>
          <w:b/>
          <w:bCs/>
          <w:sz w:val="24"/>
          <w:szCs w:val="24"/>
        </w:rPr>
        <w:t>SAPS v Solidarity obo Barnard (Popcru as Amicus Curiae)</w:t>
      </w:r>
      <w:r w:rsidR="00173DAC" w:rsidRPr="00855EE9">
        <w:rPr>
          <w:rFonts w:ascii="Arial" w:hAnsi="Arial" w:cs="Arial"/>
          <w:sz w:val="24"/>
          <w:szCs w:val="24"/>
        </w:rPr>
        <w:t> 2014 (6) SA 123 (CC) (2014 (10) BCLR 1195; [2014] ZACC 23) at par 105, the following observations were made:</w:t>
      </w:r>
    </w:p>
    <w:p w14:paraId="381DA179" w14:textId="4AB79199" w:rsidR="00733467" w:rsidRPr="00855EE9" w:rsidRDefault="00855EE9" w:rsidP="00855EE9">
      <w:pPr>
        <w:spacing w:before="120" w:after="360" w:line="480" w:lineRule="auto"/>
        <w:ind w:left="3402" w:hanging="850"/>
        <w:jc w:val="both"/>
        <w:rPr>
          <w:rFonts w:ascii="Arial" w:hAnsi="Arial" w:cs="Arial"/>
          <w:sz w:val="24"/>
          <w:szCs w:val="24"/>
        </w:rPr>
      </w:pPr>
      <w:r w:rsidRPr="007044B7">
        <w:rPr>
          <w:rFonts w:ascii="Arial" w:hAnsi="Arial" w:cs="Arial"/>
          <w:sz w:val="24"/>
          <w:szCs w:val="24"/>
        </w:rPr>
        <w:t>(a)</w:t>
      </w:r>
      <w:r w:rsidRPr="007044B7">
        <w:rPr>
          <w:rFonts w:ascii="Arial" w:hAnsi="Arial" w:cs="Arial"/>
          <w:sz w:val="24"/>
          <w:szCs w:val="24"/>
        </w:rPr>
        <w:tab/>
      </w:r>
      <w:r w:rsidR="00271C87" w:rsidRPr="00855EE9">
        <w:rPr>
          <w:rFonts w:ascii="Arial" w:hAnsi="Arial" w:cs="Arial"/>
          <w:sz w:val="24"/>
          <w:szCs w:val="24"/>
        </w:rPr>
        <w:t xml:space="preserve">Our constitutional values of </w:t>
      </w:r>
      <w:r w:rsidR="00555395" w:rsidRPr="00855EE9">
        <w:rPr>
          <w:rFonts w:ascii="Arial" w:hAnsi="Arial" w:cs="Arial"/>
          <w:sz w:val="24"/>
          <w:szCs w:val="24"/>
        </w:rPr>
        <w:t xml:space="preserve">accountability, </w:t>
      </w:r>
      <w:r w:rsidR="00271C87" w:rsidRPr="00855EE9">
        <w:rPr>
          <w:rFonts w:ascii="Arial" w:hAnsi="Arial" w:cs="Arial"/>
          <w:sz w:val="24"/>
          <w:szCs w:val="24"/>
        </w:rPr>
        <w:t xml:space="preserve"> transparency and openness</w:t>
      </w:r>
      <w:r w:rsidR="00DC1C97" w:rsidRPr="00855EE9">
        <w:rPr>
          <w:rFonts w:ascii="Arial" w:hAnsi="Arial" w:cs="Arial"/>
          <w:sz w:val="24"/>
          <w:szCs w:val="24"/>
        </w:rPr>
        <w:t xml:space="preserve"> reinforce the need for decision-makers to give adequate reasons for their decisions</w:t>
      </w:r>
      <w:r w:rsidR="00271C87" w:rsidRPr="00855EE9">
        <w:rPr>
          <w:rFonts w:ascii="Arial" w:hAnsi="Arial" w:cs="Arial"/>
          <w:sz w:val="24"/>
          <w:szCs w:val="24"/>
        </w:rPr>
        <w:t>.</w:t>
      </w:r>
    </w:p>
    <w:p w14:paraId="118D027F" w14:textId="047E8E62" w:rsidR="00733467" w:rsidRPr="00855EE9" w:rsidRDefault="00855EE9" w:rsidP="00855EE9">
      <w:pPr>
        <w:spacing w:before="120" w:after="360" w:line="480" w:lineRule="auto"/>
        <w:ind w:left="3402" w:hanging="850"/>
        <w:jc w:val="both"/>
        <w:rPr>
          <w:rFonts w:ascii="Arial" w:hAnsi="Arial" w:cs="Arial"/>
          <w:sz w:val="24"/>
          <w:szCs w:val="24"/>
        </w:rPr>
      </w:pPr>
      <w:r w:rsidRPr="007044B7">
        <w:rPr>
          <w:rFonts w:ascii="Arial" w:hAnsi="Arial" w:cs="Arial"/>
          <w:sz w:val="24"/>
          <w:szCs w:val="24"/>
        </w:rPr>
        <w:t>(b)</w:t>
      </w:r>
      <w:r w:rsidRPr="007044B7">
        <w:rPr>
          <w:rFonts w:ascii="Arial" w:hAnsi="Arial" w:cs="Arial"/>
          <w:sz w:val="24"/>
          <w:szCs w:val="24"/>
        </w:rPr>
        <w:tab/>
      </w:r>
      <w:r w:rsidR="00733467" w:rsidRPr="00855EE9">
        <w:rPr>
          <w:rFonts w:ascii="Arial" w:hAnsi="Arial" w:cs="Arial"/>
          <w:sz w:val="24"/>
          <w:szCs w:val="24"/>
        </w:rPr>
        <w:t>T</w:t>
      </w:r>
      <w:r w:rsidR="00271C87" w:rsidRPr="00855EE9">
        <w:rPr>
          <w:rFonts w:ascii="Arial" w:hAnsi="Arial" w:cs="Arial"/>
          <w:sz w:val="24"/>
          <w:szCs w:val="24"/>
        </w:rPr>
        <w:t xml:space="preserve">o truly qualify as reasons, they should be properly informative.  </w:t>
      </w:r>
    </w:p>
    <w:p w14:paraId="6207798C" w14:textId="13380FB1" w:rsidR="00271C87" w:rsidRPr="00855EE9" w:rsidRDefault="00855EE9" w:rsidP="00855EE9">
      <w:pPr>
        <w:spacing w:before="120" w:after="360" w:line="480" w:lineRule="auto"/>
        <w:ind w:left="2552" w:hanging="1134"/>
        <w:jc w:val="both"/>
        <w:rPr>
          <w:rFonts w:ascii="Arial" w:hAnsi="Arial" w:cs="Arial"/>
          <w:sz w:val="24"/>
          <w:szCs w:val="24"/>
        </w:rPr>
      </w:pPr>
      <w:r w:rsidRPr="007044B7">
        <w:rPr>
          <w:rFonts w:ascii="Arial" w:hAnsi="Arial" w:cs="Arial"/>
          <w:sz w:val="24"/>
          <w:szCs w:val="24"/>
        </w:rPr>
        <w:t>10.1.4.</w:t>
      </w:r>
      <w:r w:rsidRPr="007044B7">
        <w:rPr>
          <w:rFonts w:ascii="Arial" w:hAnsi="Arial" w:cs="Arial"/>
          <w:sz w:val="24"/>
          <w:szCs w:val="24"/>
        </w:rPr>
        <w:tab/>
      </w:r>
      <w:r w:rsidR="00271C87" w:rsidRPr="00855EE9">
        <w:rPr>
          <w:rFonts w:ascii="Arial" w:hAnsi="Arial" w:cs="Arial"/>
          <w:sz w:val="24"/>
          <w:szCs w:val="24"/>
        </w:rPr>
        <w:t xml:space="preserve">In </w:t>
      </w:r>
      <w:r w:rsidR="000B4781" w:rsidRPr="00855EE9">
        <w:rPr>
          <w:rFonts w:ascii="Arial" w:hAnsi="Arial" w:cs="Arial"/>
          <w:b/>
          <w:bCs/>
          <w:sz w:val="24"/>
          <w:szCs w:val="24"/>
        </w:rPr>
        <w:t>Minister of Environmental Affairs and Tourism and Others v Phambili Fisheries (Pty) Ltd; Minister of Environmental Affairs and Tourism and Others v Bato Star Fishing (Pty) Ltd</w:t>
      </w:r>
      <w:r w:rsidR="000B4781" w:rsidRPr="00855EE9">
        <w:rPr>
          <w:rFonts w:ascii="Arial" w:hAnsi="Arial" w:cs="Arial"/>
          <w:sz w:val="24"/>
          <w:szCs w:val="24"/>
        </w:rPr>
        <w:t xml:space="preserve"> 2003 (6) SA 407 (SCA) ([2003] 2 All SA 616; [2003] ZASCA 46) (Phambili Fisheries) </w:t>
      </w:r>
      <w:r w:rsidR="005F2585" w:rsidRPr="00855EE9">
        <w:rPr>
          <w:rFonts w:ascii="Arial" w:hAnsi="Arial" w:cs="Arial"/>
          <w:sz w:val="24"/>
          <w:szCs w:val="24"/>
        </w:rPr>
        <w:t xml:space="preserve">at </w:t>
      </w:r>
      <w:r w:rsidR="000B4781" w:rsidRPr="00855EE9">
        <w:rPr>
          <w:rFonts w:ascii="Arial" w:hAnsi="Arial" w:cs="Arial"/>
          <w:sz w:val="24"/>
          <w:szCs w:val="24"/>
        </w:rPr>
        <w:t xml:space="preserve">para 40 </w:t>
      </w:r>
      <w:r w:rsidR="00271C87" w:rsidRPr="00855EE9">
        <w:rPr>
          <w:rFonts w:ascii="Arial" w:hAnsi="Arial" w:cs="Arial"/>
          <w:sz w:val="24"/>
          <w:szCs w:val="24"/>
        </w:rPr>
        <w:t xml:space="preserve">the Supreme Court of Appeal </w:t>
      </w:r>
      <w:r w:rsidR="00D36337" w:rsidRPr="00855EE9">
        <w:rPr>
          <w:rFonts w:ascii="Arial" w:hAnsi="Arial" w:cs="Arial"/>
          <w:sz w:val="24"/>
          <w:szCs w:val="24"/>
        </w:rPr>
        <w:t>held</w:t>
      </w:r>
      <w:r w:rsidR="00271C87" w:rsidRPr="00855EE9">
        <w:rPr>
          <w:rFonts w:ascii="Arial" w:hAnsi="Arial" w:cs="Arial"/>
          <w:sz w:val="24"/>
          <w:szCs w:val="24"/>
        </w:rPr>
        <w:t>:</w:t>
      </w:r>
    </w:p>
    <w:p w14:paraId="6F9EC5B6" w14:textId="77777777" w:rsidR="008F5171" w:rsidRDefault="00304DAC" w:rsidP="00C6348E">
      <w:pPr>
        <w:spacing w:before="120" w:after="360" w:line="240" w:lineRule="auto"/>
        <w:ind w:left="3272"/>
        <w:jc w:val="both"/>
        <w:rPr>
          <w:rFonts w:ascii="Arial" w:hAnsi="Arial" w:cs="Arial"/>
          <w:sz w:val="24"/>
          <w:szCs w:val="24"/>
        </w:rPr>
      </w:pPr>
      <w:r w:rsidRPr="007044B7">
        <w:rPr>
          <w:rFonts w:ascii="Arial" w:hAnsi="Arial" w:cs="Arial"/>
          <w:sz w:val="24"/>
          <w:szCs w:val="24"/>
        </w:rPr>
        <w:t>“</w:t>
      </w:r>
      <w:r w:rsidR="008F5171">
        <w:rPr>
          <w:rFonts w:ascii="Arial" w:hAnsi="Arial" w:cs="Arial"/>
          <w:sz w:val="24"/>
          <w:szCs w:val="24"/>
        </w:rPr>
        <w:t>…</w:t>
      </w:r>
    </w:p>
    <w:p w14:paraId="3D89D3AA" w14:textId="3F8F1345" w:rsidR="00D36337" w:rsidRPr="007044B7" w:rsidRDefault="00B8755C" w:rsidP="008F5171">
      <w:pPr>
        <w:spacing w:before="120" w:after="360" w:line="240" w:lineRule="auto"/>
        <w:ind w:left="3600"/>
        <w:jc w:val="both"/>
        <w:rPr>
          <w:rFonts w:ascii="Arial" w:hAnsi="Arial" w:cs="Arial"/>
          <w:sz w:val="24"/>
          <w:szCs w:val="24"/>
        </w:rPr>
      </w:pPr>
      <w:r>
        <w:rPr>
          <w:rFonts w:ascii="Arial" w:hAnsi="Arial" w:cs="Arial"/>
          <w:sz w:val="24"/>
          <w:szCs w:val="24"/>
        </w:rPr>
        <w:t>‘</w:t>
      </w:r>
      <w:r w:rsidR="00304DAC" w:rsidRPr="007044B7">
        <w:rPr>
          <w:rFonts w:ascii="Arial" w:hAnsi="Arial" w:cs="Arial"/>
          <w:sz w:val="24"/>
          <w:szCs w:val="24"/>
        </w:rPr>
        <w:t>(T)he decision-maker [must] explain his decision in a way which will enable a person aggrieved to say, in effect: Even though I may not agree with it, I now understand why the decision went against me. I am now in a position to decide whether that decision has involved an unwarranted finding of fact, or an error of law, which is worth challenging.'</w:t>
      </w:r>
    </w:p>
    <w:p w14:paraId="1D3235FE" w14:textId="4A1F97DA" w:rsidR="00304DAC" w:rsidRPr="007044B7" w:rsidRDefault="00304DAC" w:rsidP="00C6348E">
      <w:pPr>
        <w:spacing w:before="120" w:after="360" w:line="240" w:lineRule="auto"/>
        <w:ind w:left="3272"/>
        <w:jc w:val="both"/>
        <w:rPr>
          <w:rFonts w:ascii="Arial" w:hAnsi="Arial" w:cs="Arial"/>
          <w:sz w:val="24"/>
          <w:szCs w:val="24"/>
        </w:rPr>
      </w:pPr>
      <w:r w:rsidRPr="007044B7">
        <w:rPr>
          <w:rFonts w:ascii="Arial" w:hAnsi="Arial" w:cs="Arial"/>
          <w:sz w:val="24"/>
          <w:szCs w:val="24"/>
        </w:rPr>
        <w:t xml:space="preserve">This requires that the decision-maker should set out his understanding </w:t>
      </w:r>
      <w:r w:rsidR="00C54C4D" w:rsidRPr="007044B7">
        <w:rPr>
          <w:rFonts w:ascii="Arial" w:hAnsi="Arial" w:cs="Arial"/>
          <w:sz w:val="24"/>
          <w:szCs w:val="24"/>
        </w:rPr>
        <w:t>o</w:t>
      </w:r>
      <w:r w:rsidRPr="007044B7">
        <w:rPr>
          <w:rFonts w:ascii="Arial" w:hAnsi="Arial" w:cs="Arial"/>
          <w:sz w:val="24"/>
          <w:szCs w:val="24"/>
        </w:rPr>
        <w:t>f the relevant law, any findings of fact on which his conclusions depend (especially if those facts have been in dispute), and the reasoning processes which led him to those conclusions. He should do so in clear and unambiguous language, not in vague generalities or the formal language of legislation. The appropriate length of the statement covering such matters will depend upon considerations such as the nature and importance of the decision, its complexity and the time available to formulate the statement.</w:t>
      </w:r>
      <w:r w:rsidR="00B8755C">
        <w:rPr>
          <w:rFonts w:ascii="Arial" w:hAnsi="Arial" w:cs="Arial"/>
          <w:sz w:val="24"/>
          <w:szCs w:val="24"/>
        </w:rPr>
        <w:t>”</w:t>
      </w:r>
    </w:p>
    <w:p w14:paraId="54743FD8" w14:textId="1D6C4E74" w:rsidR="00271C87"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10.2.</w:t>
      </w:r>
      <w:r w:rsidRPr="007044B7">
        <w:rPr>
          <w:rFonts w:ascii="Arial" w:hAnsi="Arial" w:cs="Arial"/>
          <w:sz w:val="24"/>
          <w:szCs w:val="24"/>
        </w:rPr>
        <w:tab/>
      </w:r>
      <w:r w:rsidR="00DB54B2" w:rsidRPr="00855EE9">
        <w:rPr>
          <w:rFonts w:ascii="Arial" w:hAnsi="Arial" w:cs="Arial"/>
          <w:sz w:val="24"/>
          <w:szCs w:val="24"/>
          <w:u w:val="single"/>
        </w:rPr>
        <w:t>Second</w:t>
      </w:r>
      <w:r w:rsidR="00DB54B2" w:rsidRPr="00855EE9">
        <w:rPr>
          <w:rFonts w:ascii="Arial" w:hAnsi="Arial" w:cs="Arial"/>
          <w:sz w:val="24"/>
          <w:szCs w:val="24"/>
        </w:rPr>
        <w:t xml:space="preserve">, </w:t>
      </w:r>
      <w:r w:rsidR="001F5031" w:rsidRPr="00855EE9">
        <w:rPr>
          <w:rFonts w:ascii="Arial" w:hAnsi="Arial" w:cs="Arial"/>
          <w:sz w:val="24"/>
          <w:szCs w:val="24"/>
        </w:rPr>
        <w:t>as to the sufficiency or adequacy of reasons:</w:t>
      </w:r>
    </w:p>
    <w:p w14:paraId="050DC844" w14:textId="35B83E74" w:rsidR="00CC324A" w:rsidRPr="00855EE9" w:rsidRDefault="00855EE9" w:rsidP="00855EE9">
      <w:pPr>
        <w:spacing w:before="120" w:after="360" w:line="480" w:lineRule="auto"/>
        <w:ind w:left="2552" w:hanging="1134"/>
        <w:jc w:val="both"/>
        <w:rPr>
          <w:rFonts w:ascii="Arial" w:hAnsi="Arial" w:cs="Arial"/>
          <w:sz w:val="24"/>
          <w:szCs w:val="24"/>
        </w:rPr>
      </w:pPr>
      <w:r w:rsidRPr="007044B7">
        <w:rPr>
          <w:rFonts w:ascii="Arial" w:hAnsi="Arial" w:cs="Arial"/>
          <w:sz w:val="24"/>
          <w:szCs w:val="24"/>
        </w:rPr>
        <w:t>10.2.1.</w:t>
      </w:r>
      <w:r w:rsidRPr="007044B7">
        <w:rPr>
          <w:rFonts w:ascii="Arial" w:hAnsi="Arial" w:cs="Arial"/>
          <w:sz w:val="24"/>
          <w:szCs w:val="24"/>
        </w:rPr>
        <w:tab/>
      </w:r>
      <w:r w:rsidR="00CC7FAC" w:rsidRPr="00855EE9">
        <w:rPr>
          <w:rFonts w:ascii="Arial" w:hAnsi="Arial" w:cs="Arial"/>
          <w:sz w:val="24"/>
          <w:szCs w:val="24"/>
        </w:rPr>
        <w:t xml:space="preserve">In </w:t>
      </w:r>
      <w:r w:rsidR="00C037A3" w:rsidRPr="00855EE9">
        <w:rPr>
          <w:rFonts w:ascii="Arial" w:hAnsi="Arial" w:cs="Arial"/>
          <w:b/>
          <w:bCs/>
          <w:sz w:val="24"/>
          <w:szCs w:val="24"/>
        </w:rPr>
        <w:t>Koyabe v Minister for Home Affairs (Lawyers for Human Rights as Amicus Curiae)</w:t>
      </w:r>
      <w:r w:rsidR="00C037A3" w:rsidRPr="00855EE9">
        <w:rPr>
          <w:rFonts w:ascii="Arial" w:hAnsi="Arial" w:cs="Arial"/>
          <w:sz w:val="24"/>
          <w:szCs w:val="24"/>
        </w:rPr>
        <w:t> 2010 (4) SA 327 (CC) (2009 (12) BCLR 1192; [2009] ZACC 23) a</w:t>
      </w:r>
      <w:r w:rsidR="00CC7FAC" w:rsidRPr="00855EE9">
        <w:rPr>
          <w:rFonts w:ascii="Arial" w:hAnsi="Arial" w:cs="Arial"/>
          <w:sz w:val="24"/>
          <w:szCs w:val="24"/>
        </w:rPr>
        <w:t xml:space="preserve">t par 63, </w:t>
      </w:r>
      <w:r w:rsidR="00CA61F3" w:rsidRPr="00855EE9">
        <w:rPr>
          <w:rFonts w:ascii="Arial" w:hAnsi="Arial" w:cs="Arial"/>
          <w:sz w:val="24"/>
          <w:szCs w:val="24"/>
        </w:rPr>
        <w:t xml:space="preserve">the Constitutional Court observed </w:t>
      </w:r>
      <w:r w:rsidR="00CC7FAC" w:rsidRPr="00855EE9">
        <w:rPr>
          <w:rFonts w:ascii="Arial" w:hAnsi="Arial" w:cs="Arial"/>
          <w:sz w:val="24"/>
          <w:szCs w:val="24"/>
        </w:rPr>
        <w:t>that a</w:t>
      </w:r>
      <w:r w:rsidR="00381570" w:rsidRPr="00855EE9">
        <w:rPr>
          <w:rFonts w:ascii="Arial" w:hAnsi="Arial" w:cs="Arial"/>
          <w:sz w:val="24"/>
          <w:szCs w:val="24"/>
        </w:rPr>
        <w:t>lthough the reasons must be sufficient</w:t>
      </w:r>
      <w:r w:rsidR="00C037A3" w:rsidRPr="00855EE9">
        <w:rPr>
          <w:rFonts w:ascii="Arial" w:hAnsi="Arial" w:cs="Arial"/>
          <w:sz w:val="24"/>
          <w:szCs w:val="24"/>
        </w:rPr>
        <w:t xml:space="preserve"> </w:t>
      </w:r>
      <w:r w:rsidR="00381570" w:rsidRPr="00855EE9">
        <w:rPr>
          <w:rFonts w:ascii="Arial" w:hAnsi="Arial" w:cs="Arial"/>
          <w:sz w:val="24"/>
          <w:szCs w:val="24"/>
        </w:rPr>
        <w:t xml:space="preserve">they need not be specified in minute detail, nor is it necessary to show how every relevant fact weighed in the ultimate finding. </w:t>
      </w:r>
      <w:r w:rsidR="00030D54" w:rsidRPr="00855EE9">
        <w:rPr>
          <w:rFonts w:ascii="Arial" w:hAnsi="Arial" w:cs="Arial"/>
          <w:sz w:val="24"/>
          <w:szCs w:val="24"/>
        </w:rPr>
        <w:t xml:space="preserve"> According to the Constitutional Court, w</w:t>
      </w:r>
      <w:r w:rsidR="00381570" w:rsidRPr="00855EE9">
        <w:rPr>
          <w:rFonts w:ascii="Arial" w:hAnsi="Arial" w:cs="Arial"/>
          <w:sz w:val="24"/>
          <w:szCs w:val="24"/>
        </w:rPr>
        <w:t>hat constitutes adequate reasons will therefore vary, depending on the circumstances of the particular case.   Ordinarily, reasons will be adequate if a complainant can make out a reasonably substantial case for a ministerial review or an appeal.</w:t>
      </w:r>
      <w:r w:rsidR="00000A39" w:rsidRPr="00855EE9">
        <w:rPr>
          <w:rFonts w:ascii="Arial" w:hAnsi="Arial" w:cs="Arial"/>
          <w:sz w:val="24"/>
          <w:szCs w:val="24"/>
        </w:rPr>
        <w:t xml:space="preserve">  </w:t>
      </w:r>
    </w:p>
    <w:p w14:paraId="18EB49A9" w14:textId="25A1BB01" w:rsidR="009150EB" w:rsidRPr="00855EE9" w:rsidRDefault="00855EE9" w:rsidP="00855EE9">
      <w:pPr>
        <w:spacing w:before="120" w:after="360" w:line="480" w:lineRule="auto"/>
        <w:ind w:left="2552" w:hanging="1134"/>
        <w:jc w:val="both"/>
        <w:rPr>
          <w:rFonts w:ascii="Arial" w:hAnsi="Arial" w:cs="Arial"/>
          <w:sz w:val="24"/>
          <w:szCs w:val="24"/>
        </w:rPr>
      </w:pPr>
      <w:r w:rsidRPr="007044B7">
        <w:rPr>
          <w:rFonts w:ascii="Arial" w:hAnsi="Arial" w:cs="Arial"/>
          <w:sz w:val="24"/>
          <w:szCs w:val="24"/>
        </w:rPr>
        <w:t>10.2.2.</w:t>
      </w:r>
      <w:r w:rsidRPr="007044B7">
        <w:rPr>
          <w:rFonts w:ascii="Arial" w:hAnsi="Arial" w:cs="Arial"/>
          <w:sz w:val="24"/>
          <w:szCs w:val="24"/>
        </w:rPr>
        <w:tab/>
      </w:r>
      <w:r w:rsidR="009150EB" w:rsidRPr="00855EE9">
        <w:rPr>
          <w:rFonts w:ascii="Arial" w:hAnsi="Arial" w:cs="Arial"/>
          <w:sz w:val="24"/>
          <w:szCs w:val="24"/>
        </w:rPr>
        <w:t>I</w:t>
      </w:r>
      <w:r w:rsidR="00125C4A" w:rsidRPr="00855EE9">
        <w:rPr>
          <w:rFonts w:ascii="Arial" w:hAnsi="Arial" w:cs="Arial"/>
          <w:sz w:val="24"/>
          <w:szCs w:val="24"/>
        </w:rPr>
        <w:t xml:space="preserve">n </w:t>
      </w:r>
      <w:r w:rsidR="004F75FF" w:rsidRPr="00855EE9">
        <w:rPr>
          <w:rFonts w:ascii="Arial" w:hAnsi="Arial" w:cs="Arial"/>
          <w:b/>
          <w:bCs/>
          <w:sz w:val="24"/>
          <w:szCs w:val="24"/>
        </w:rPr>
        <w:t>Commissioner, South African Police Service, and Others v Maimela and Another</w:t>
      </w:r>
      <w:r w:rsidR="004F75FF" w:rsidRPr="00855EE9">
        <w:rPr>
          <w:rFonts w:ascii="Arial" w:hAnsi="Arial" w:cs="Arial"/>
          <w:sz w:val="24"/>
          <w:szCs w:val="24"/>
        </w:rPr>
        <w:t> 2003 (5) SA 480 (T)</w:t>
      </w:r>
      <w:r w:rsidR="009150EB" w:rsidRPr="00855EE9">
        <w:rPr>
          <w:rFonts w:ascii="Arial" w:hAnsi="Arial" w:cs="Arial"/>
          <w:sz w:val="24"/>
          <w:szCs w:val="24"/>
        </w:rPr>
        <w:t xml:space="preserve"> (also referred to by the Constitutional Court in </w:t>
      </w:r>
      <w:r w:rsidR="009150EB" w:rsidRPr="00855EE9">
        <w:rPr>
          <w:rFonts w:ascii="Arial" w:hAnsi="Arial" w:cs="Arial"/>
          <w:b/>
          <w:bCs/>
          <w:sz w:val="24"/>
          <w:szCs w:val="24"/>
        </w:rPr>
        <w:t>Koyabe</w:t>
      </w:r>
      <w:r w:rsidR="009150EB" w:rsidRPr="00855EE9">
        <w:rPr>
          <w:rFonts w:ascii="Arial" w:hAnsi="Arial" w:cs="Arial"/>
          <w:sz w:val="24"/>
          <w:szCs w:val="24"/>
        </w:rPr>
        <w:t>)</w:t>
      </w:r>
      <w:r w:rsidR="00CA7C47" w:rsidRPr="00855EE9">
        <w:rPr>
          <w:rFonts w:ascii="Arial" w:hAnsi="Arial" w:cs="Arial"/>
          <w:sz w:val="24"/>
          <w:szCs w:val="24"/>
        </w:rPr>
        <w:t>, it was held</w:t>
      </w:r>
      <w:r w:rsidR="00AE048D" w:rsidRPr="00855EE9">
        <w:rPr>
          <w:rFonts w:ascii="Arial" w:hAnsi="Arial" w:cs="Arial"/>
          <w:sz w:val="24"/>
          <w:szCs w:val="24"/>
        </w:rPr>
        <w:t xml:space="preserve"> that:</w:t>
      </w:r>
    </w:p>
    <w:p w14:paraId="0DECCF42" w14:textId="62F934FA" w:rsidR="00125C4A" w:rsidRPr="00855EE9" w:rsidRDefault="00855EE9" w:rsidP="00855EE9">
      <w:pPr>
        <w:spacing w:before="120" w:after="360" w:line="480" w:lineRule="auto"/>
        <w:ind w:left="3402" w:hanging="850"/>
        <w:jc w:val="both"/>
        <w:rPr>
          <w:rFonts w:ascii="Arial" w:hAnsi="Arial" w:cs="Arial"/>
          <w:sz w:val="24"/>
          <w:szCs w:val="24"/>
        </w:rPr>
      </w:pPr>
      <w:r w:rsidRPr="007044B7">
        <w:rPr>
          <w:rFonts w:ascii="Arial" w:hAnsi="Arial" w:cs="Arial"/>
          <w:sz w:val="24"/>
          <w:szCs w:val="24"/>
        </w:rPr>
        <w:t>(a)</w:t>
      </w:r>
      <w:r w:rsidRPr="007044B7">
        <w:rPr>
          <w:rFonts w:ascii="Arial" w:hAnsi="Arial" w:cs="Arial"/>
          <w:sz w:val="24"/>
          <w:szCs w:val="24"/>
        </w:rPr>
        <w:tab/>
      </w:r>
      <w:r w:rsidR="00AE048D" w:rsidRPr="00855EE9">
        <w:rPr>
          <w:rFonts w:ascii="Arial" w:hAnsi="Arial" w:cs="Arial"/>
          <w:sz w:val="24"/>
          <w:szCs w:val="24"/>
        </w:rPr>
        <w:t>R</w:t>
      </w:r>
      <w:r w:rsidR="00E1366E" w:rsidRPr="00855EE9">
        <w:rPr>
          <w:rFonts w:ascii="Arial" w:hAnsi="Arial" w:cs="Arial"/>
          <w:sz w:val="24"/>
          <w:szCs w:val="24"/>
        </w:rPr>
        <w:t>easons “</w:t>
      </w:r>
      <w:r w:rsidR="00125C4A" w:rsidRPr="00855EE9">
        <w:rPr>
          <w:rFonts w:ascii="Arial" w:hAnsi="Arial" w:cs="Arial"/>
          <w:sz w:val="24"/>
          <w:szCs w:val="24"/>
        </w:rPr>
        <w:t>must be informative in the sense that they convey why the decision-maker thinks (or collectively think) that the administrative action is justified</w:t>
      </w:r>
      <w:r w:rsidR="00E1366E" w:rsidRPr="00855EE9">
        <w:rPr>
          <w:rFonts w:ascii="Arial" w:hAnsi="Arial" w:cs="Arial"/>
          <w:sz w:val="24"/>
          <w:szCs w:val="24"/>
        </w:rPr>
        <w:t>”</w:t>
      </w:r>
      <w:r w:rsidR="00AE048D" w:rsidRPr="00855EE9">
        <w:rPr>
          <w:rFonts w:ascii="Arial" w:hAnsi="Arial" w:cs="Arial"/>
          <w:sz w:val="24"/>
          <w:szCs w:val="24"/>
        </w:rPr>
        <w:t xml:space="preserve"> (at 480).</w:t>
      </w:r>
    </w:p>
    <w:p w14:paraId="2EAD44C1" w14:textId="4CB1CB85" w:rsidR="0058612F" w:rsidRPr="00855EE9" w:rsidRDefault="00855EE9" w:rsidP="00855EE9">
      <w:pPr>
        <w:spacing w:before="120" w:after="360" w:line="480" w:lineRule="auto"/>
        <w:ind w:left="3402" w:hanging="850"/>
        <w:jc w:val="both"/>
        <w:rPr>
          <w:rFonts w:ascii="Arial" w:hAnsi="Arial" w:cs="Arial"/>
          <w:sz w:val="24"/>
          <w:szCs w:val="24"/>
        </w:rPr>
      </w:pPr>
      <w:r w:rsidRPr="007044B7">
        <w:rPr>
          <w:rFonts w:ascii="Arial" w:hAnsi="Arial" w:cs="Arial"/>
          <w:sz w:val="24"/>
          <w:szCs w:val="24"/>
        </w:rPr>
        <w:t>(b)</w:t>
      </w:r>
      <w:r w:rsidRPr="007044B7">
        <w:rPr>
          <w:rFonts w:ascii="Arial" w:hAnsi="Arial" w:cs="Arial"/>
          <w:sz w:val="24"/>
          <w:szCs w:val="24"/>
        </w:rPr>
        <w:tab/>
      </w:r>
      <w:r w:rsidR="004A2929" w:rsidRPr="00855EE9">
        <w:rPr>
          <w:rFonts w:ascii="Arial" w:hAnsi="Arial" w:cs="Arial"/>
          <w:sz w:val="24"/>
          <w:szCs w:val="24"/>
        </w:rPr>
        <w:t>R</w:t>
      </w:r>
      <w:r w:rsidR="0058612F" w:rsidRPr="00855EE9">
        <w:rPr>
          <w:rFonts w:ascii="Arial" w:hAnsi="Arial" w:cs="Arial"/>
          <w:sz w:val="24"/>
          <w:szCs w:val="24"/>
        </w:rPr>
        <w:t>easons must</w:t>
      </w:r>
      <w:r w:rsidR="004A2929" w:rsidRPr="00855EE9">
        <w:rPr>
          <w:rFonts w:ascii="Arial" w:hAnsi="Arial" w:cs="Arial"/>
          <w:sz w:val="24"/>
          <w:szCs w:val="24"/>
        </w:rPr>
        <w:t>,</w:t>
      </w:r>
      <w:r w:rsidR="0058612F" w:rsidRPr="00855EE9">
        <w:rPr>
          <w:rFonts w:ascii="Arial" w:hAnsi="Arial" w:cs="Arial"/>
          <w:sz w:val="24"/>
          <w:szCs w:val="24"/>
        </w:rPr>
        <w:t xml:space="preserve"> from the outset </w:t>
      </w:r>
      <w:r w:rsidR="00B240D7" w:rsidRPr="00855EE9">
        <w:rPr>
          <w:rFonts w:ascii="Arial" w:hAnsi="Arial" w:cs="Arial"/>
          <w:sz w:val="24"/>
          <w:szCs w:val="24"/>
        </w:rPr>
        <w:t>(not with</w:t>
      </w:r>
      <w:r w:rsidR="00A02C85" w:rsidRPr="00855EE9">
        <w:rPr>
          <w:rFonts w:ascii="Arial" w:hAnsi="Arial" w:cs="Arial"/>
          <w:sz w:val="24"/>
          <w:szCs w:val="24"/>
        </w:rPr>
        <w:t xml:space="preserve"> the benefit of</w:t>
      </w:r>
      <w:r w:rsidR="00B240D7" w:rsidRPr="00855EE9">
        <w:rPr>
          <w:rFonts w:ascii="Arial" w:hAnsi="Arial" w:cs="Arial"/>
          <w:sz w:val="24"/>
          <w:szCs w:val="24"/>
        </w:rPr>
        <w:t xml:space="preserve"> hindsight)</w:t>
      </w:r>
      <w:r w:rsidR="004A2929" w:rsidRPr="00855EE9">
        <w:rPr>
          <w:rFonts w:ascii="Arial" w:hAnsi="Arial" w:cs="Arial"/>
          <w:sz w:val="24"/>
          <w:szCs w:val="24"/>
        </w:rPr>
        <w:t>,</w:t>
      </w:r>
      <w:r w:rsidR="00B240D7" w:rsidRPr="00855EE9">
        <w:rPr>
          <w:rFonts w:ascii="Arial" w:hAnsi="Arial" w:cs="Arial"/>
          <w:sz w:val="24"/>
          <w:szCs w:val="24"/>
        </w:rPr>
        <w:t xml:space="preserve"> </w:t>
      </w:r>
      <w:r w:rsidR="0058612F" w:rsidRPr="00855EE9">
        <w:rPr>
          <w:rFonts w:ascii="Arial" w:hAnsi="Arial" w:cs="Arial"/>
          <w:sz w:val="24"/>
          <w:szCs w:val="24"/>
        </w:rPr>
        <w:t>be intelligible and informative to the reasonable reader thereof who has knowledge of the context of the administrative action. If reasons refer to an extraneous source, that extraneous source must be identifiable to the reasonable reader</w:t>
      </w:r>
      <w:r w:rsidR="004A2929" w:rsidRPr="00855EE9">
        <w:rPr>
          <w:rFonts w:ascii="Arial" w:hAnsi="Arial" w:cs="Arial"/>
          <w:sz w:val="24"/>
          <w:szCs w:val="24"/>
        </w:rPr>
        <w:t xml:space="preserve"> (at 486F)</w:t>
      </w:r>
      <w:r w:rsidR="0058612F" w:rsidRPr="00855EE9">
        <w:rPr>
          <w:rFonts w:ascii="Arial" w:hAnsi="Arial" w:cs="Arial"/>
          <w:sz w:val="24"/>
          <w:szCs w:val="24"/>
        </w:rPr>
        <w:t>.</w:t>
      </w:r>
    </w:p>
    <w:p w14:paraId="311185DF" w14:textId="5BE351AB" w:rsidR="00A40FAE" w:rsidRPr="00855EE9" w:rsidRDefault="00855EE9" w:rsidP="00855EE9">
      <w:pPr>
        <w:spacing w:before="120" w:after="360" w:line="480" w:lineRule="auto"/>
        <w:ind w:left="2552" w:hanging="1134"/>
        <w:jc w:val="both"/>
        <w:rPr>
          <w:rFonts w:ascii="Arial" w:hAnsi="Arial" w:cs="Arial"/>
          <w:sz w:val="24"/>
          <w:szCs w:val="24"/>
        </w:rPr>
      </w:pPr>
      <w:r w:rsidRPr="007044B7">
        <w:rPr>
          <w:rFonts w:ascii="Arial" w:hAnsi="Arial" w:cs="Arial"/>
          <w:sz w:val="24"/>
          <w:szCs w:val="24"/>
        </w:rPr>
        <w:t>10.2.3.</w:t>
      </w:r>
      <w:r w:rsidRPr="007044B7">
        <w:rPr>
          <w:rFonts w:ascii="Arial" w:hAnsi="Arial" w:cs="Arial"/>
          <w:sz w:val="24"/>
          <w:szCs w:val="24"/>
        </w:rPr>
        <w:tab/>
      </w:r>
      <w:r w:rsidR="00CF44BB" w:rsidRPr="00855EE9">
        <w:rPr>
          <w:rFonts w:ascii="Arial" w:hAnsi="Arial" w:cs="Arial"/>
          <w:sz w:val="24"/>
          <w:szCs w:val="24"/>
        </w:rPr>
        <w:t>I</w:t>
      </w:r>
      <w:r w:rsidR="00A40FAE" w:rsidRPr="00855EE9">
        <w:rPr>
          <w:rFonts w:ascii="Arial" w:hAnsi="Arial" w:cs="Arial"/>
          <w:sz w:val="24"/>
          <w:szCs w:val="24"/>
        </w:rPr>
        <w:t xml:space="preserve">n </w:t>
      </w:r>
      <w:r w:rsidR="00A40FAE" w:rsidRPr="00855EE9">
        <w:rPr>
          <w:rFonts w:ascii="Arial" w:hAnsi="Arial" w:cs="Arial"/>
          <w:b/>
          <w:bCs/>
          <w:sz w:val="24"/>
          <w:szCs w:val="24"/>
        </w:rPr>
        <w:t>Director-General, Department of Home Affairs and Others v Link and Others</w:t>
      </w:r>
      <w:r w:rsidR="00A40FAE" w:rsidRPr="00855EE9">
        <w:rPr>
          <w:rFonts w:ascii="Arial" w:hAnsi="Arial" w:cs="Arial"/>
          <w:sz w:val="24"/>
          <w:szCs w:val="24"/>
        </w:rPr>
        <w:t xml:space="preserve"> 2020 (2) SA 192 (WCC) </w:t>
      </w:r>
      <w:r w:rsidR="00E518AD" w:rsidRPr="00855EE9">
        <w:rPr>
          <w:rFonts w:ascii="Arial" w:hAnsi="Arial" w:cs="Arial"/>
          <w:sz w:val="24"/>
          <w:szCs w:val="24"/>
        </w:rPr>
        <w:t xml:space="preserve">at par 29 and 30 </w:t>
      </w:r>
      <w:r w:rsidR="00A40FAE" w:rsidRPr="00855EE9">
        <w:rPr>
          <w:rFonts w:ascii="Arial" w:hAnsi="Arial" w:cs="Arial"/>
          <w:sz w:val="24"/>
          <w:szCs w:val="24"/>
        </w:rPr>
        <w:t xml:space="preserve">a Full Bench </w:t>
      </w:r>
      <w:r w:rsidR="001115E0" w:rsidRPr="00855EE9">
        <w:rPr>
          <w:rFonts w:ascii="Arial" w:hAnsi="Arial" w:cs="Arial"/>
          <w:sz w:val="24"/>
          <w:szCs w:val="24"/>
        </w:rPr>
        <w:t xml:space="preserve">of this Division </w:t>
      </w:r>
      <w:r w:rsidR="00A40FAE" w:rsidRPr="00855EE9">
        <w:rPr>
          <w:rFonts w:ascii="Arial" w:hAnsi="Arial" w:cs="Arial"/>
          <w:sz w:val="24"/>
          <w:szCs w:val="24"/>
        </w:rPr>
        <w:t>held:</w:t>
      </w:r>
    </w:p>
    <w:p w14:paraId="61F47314" w14:textId="1AE9700A" w:rsidR="001D55F0" w:rsidRPr="00855EE9" w:rsidRDefault="00855EE9" w:rsidP="00855EE9">
      <w:pPr>
        <w:spacing w:before="120" w:after="360" w:line="480" w:lineRule="auto"/>
        <w:ind w:left="3402" w:hanging="850"/>
        <w:jc w:val="both"/>
        <w:rPr>
          <w:rFonts w:ascii="Arial" w:hAnsi="Arial" w:cs="Arial"/>
          <w:sz w:val="24"/>
          <w:szCs w:val="24"/>
        </w:rPr>
      </w:pPr>
      <w:r w:rsidRPr="007044B7">
        <w:rPr>
          <w:rFonts w:ascii="Arial" w:hAnsi="Arial" w:cs="Arial"/>
          <w:sz w:val="24"/>
          <w:szCs w:val="24"/>
        </w:rPr>
        <w:t>(a)</w:t>
      </w:r>
      <w:r w:rsidRPr="007044B7">
        <w:rPr>
          <w:rFonts w:ascii="Arial" w:hAnsi="Arial" w:cs="Arial"/>
          <w:sz w:val="24"/>
          <w:szCs w:val="24"/>
        </w:rPr>
        <w:tab/>
      </w:r>
      <w:r w:rsidR="00657C2D" w:rsidRPr="00855EE9">
        <w:rPr>
          <w:rFonts w:ascii="Arial" w:hAnsi="Arial" w:cs="Arial"/>
          <w:sz w:val="24"/>
          <w:szCs w:val="24"/>
        </w:rPr>
        <w:t xml:space="preserve">Reasons must, </w:t>
      </w:r>
      <w:r w:rsidR="00CF44BB" w:rsidRPr="00855EE9">
        <w:rPr>
          <w:rFonts w:ascii="Arial" w:hAnsi="Arial" w:cs="Arial"/>
          <w:sz w:val="24"/>
          <w:szCs w:val="24"/>
        </w:rPr>
        <w:t xml:space="preserve">at least be 'intelligible and informative'.  </w:t>
      </w:r>
    </w:p>
    <w:p w14:paraId="622CE3A0" w14:textId="3847ADD6" w:rsidR="00E518AD" w:rsidRPr="00855EE9" w:rsidRDefault="00855EE9" w:rsidP="00855EE9">
      <w:pPr>
        <w:spacing w:before="120" w:after="360" w:line="480" w:lineRule="auto"/>
        <w:ind w:left="3402" w:hanging="850"/>
        <w:jc w:val="both"/>
        <w:rPr>
          <w:rFonts w:ascii="Arial" w:hAnsi="Arial" w:cs="Arial"/>
          <w:sz w:val="24"/>
          <w:szCs w:val="24"/>
        </w:rPr>
      </w:pPr>
      <w:r w:rsidRPr="007044B7">
        <w:rPr>
          <w:rFonts w:ascii="Arial" w:hAnsi="Arial" w:cs="Arial"/>
          <w:sz w:val="24"/>
          <w:szCs w:val="24"/>
        </w:rPr>
        <w:t>(b)</w:t>
      </w:r>
      <w:r w:rsidRPr="007044B7">
        <w:rPr>
          <w:rFonts w:ascii="Arial" w:hAnsi="Arial" w:cs="Arial"/>
          <w:sz w:val="24"/>
          <w:szCs w:val="24"/>
        </w:rPr>
        <w:tab/>
      </w:r>
      <w:r w:rsidR="00CF44BB" w:rsidRPr="00855EE9">
        <w:rPr>
          <w:rFonts w:ascii="Arial" w:hAnsi="Arial" w:cs="Arial"/>
          <w:sz w:val="24"/>
          <w:szCs w:val="24"/>
        </w:rPr>
        <w:t xml:space="preserve">The decision-maker should explain his decision in a way that will enable the person who is the subject thereof to understand why it went against him/her and allow them to determine whether it was based on an incorrect factual premise or an error of law. </w:t>
      </w:r>
    </w:p>
    <w:p w14:paraId="614DD43D" w14:textId="3485139E" w:rsidR="00E518AD" w:rsidRPr="00855EE9" w:rsidRDefault="00855EE9" w:rsidP="00855EE9">
      <w:pPr>
        <w:spacing w:before="120" w:after="360" w:line="480" w:lineRule="auto"/>
        <w:ind w:left="3402" w:hanging="850"/>
        <w:jc w:val="both"/>
        <w:rPr>
          <w:rFonts w:ascii="Arial" w:hAnsi="Arial" w:cs="Arial"/>
          <w:sz w:val="24"/>
          <w:szCs w:val="24"/>
        </w:rPr>
      </w:pPr>
      <w:r w:rsidRPr="007044B7">
        <w:rPr>
          <w:rFonts w:ascii="Arial" w:hAnsi="Arial" w:cs="Arial"/>
          <w:sz w:val="24"/>
          <w:szCs w:val="24"/>
        </w:rPr>
        <w:t>(c)</w:t>
      </w:r>
      <w:r w:rsidRPr="007044B7">
        <w:rPr>
          <w:rFonts w:ascii="Arial" w:hAnsi="Arial" w:cs="Arial"/>
          <w:sz w:val="24"/>
          <w:szCs w:val="24"/>
        </w:rPr>
        <w:tab/>
      </w:r>
      <w:r w:rsidR="00CF44BB" w:rsidRPr="00855EE9">
        <w:rPr>
          <w:rFonts w:ascii="Arial" w:hAnsi="Arial" w:cs="Arial"/>
          <w:sz w:val="24"/>
          <w:szCs w:val="24"/>
        </w:rPr>
        <w:t xml:space="preserve">Merely setting out the decision-maker's conclusions will not suffice.  </w:t>
      </w:r>
    </w:p>
    <w:p w14:paraId="60801709" w14:textId="5D461678" w:rsidR="00CF44BB" w:rsidRPr="00855EE9" w:rsidRDefault="00855EE9" w:rsidP="00855EE9">
      <w:pPr>
        <w:spacing w:before="120" w:after="360" w:line="480" w:lineRule="auto"/>
        <w:ind w:left="3402" w:hanging="850"/>
        <w:jc w:val="both"/>
        <w:rPr>
          <w:rFonts w:ascii="Arial" w:hAnsi="Arial" w:cs="Arial"/>
          <w:sz w:val="24"/>
          <w:szCs w:val="24"/>
        </w:rPr>
      </w:pPr>
      <w:r w:rsidRPr="007044B7">
        <w:rPr>
          <w:rFonts w:ascii="Arial" w:hAnsi="Arial" w:cs="Arial"/>
          <w:sz w:val="24"/>
          <w:szCs w:val="24"/>
        </w:rPr>
        <w:t>(d)</w:t>
      </w:r>
      <w:r w:rsidRPr="007044B7">
        <w:rPr>
          <w:rFonts w:ascii="Arial" w:hAnsi="Arial" w:cs="Arial"/>
          <w:sz w:val="24"/>
          <w:szCs w:val="24"/>
        </w:rPr>
        <w:tab/>
      </w:r>
      <w:r w:rsidR="00CF44BB" w:rsidRPr="00855EE9">
        <w:rPr>
          <w:rFonts w:ascii="Arial" w:hAnsi="Arial" w:cs="Arial"/>
          <w:sz w:val="24"/>
          <w:szCs w:val="24"/>
        </w:rPr>
        <w:t xml:space="preserve">The decision-maker should set out his understanding of the relevant law, the findings of fact on which his conclusions are based, and the reasoning process which led to them. </w:t>
      </w:r>
    </w:p>
    <w:p w14:paraId="66D00543" w14:textId="33A99EF5" w:rsidR="00C54CD9" w:rsidRPr="00855EE9" w:rsidRDefault="00855EE9" w:rsidP="00855EE9">
      <w:pPr>
        <w:spacing w:before="120" w:after="360" w:line="480" w:lineRule="auto"/>
        <w:ind w:left="3402" w:hanging="850"/>
        <w:jc w:val="both"/>
        <w:rPr>
          <w:rFonts w:ascii="Arial" w:hAnsi="Arial" w:cs="Arial"/>
          <w:sz w:val="24"/>
          <w:szCs w:val="24"/>
        </w:rPr>
      </w:pPr>
      <w:r w:rsidRPr="007044B7">
        <w:rPr>
          <w:rFonts w:ascii="Arial" w:hAnsi="Arial" w:cs="Arial"/>
          <w:sz w:val="24"/>
          <w:szCs w:val="24"/>
        </w:rPr>
        <w:t>(e)</w:t>
      </w:r>
      <w:r w:rsidRPr="007044B7">
        <w:rPr>
          <w:rFonts w:ascii="Arial" w:hAnsi="Arial" w:cs="Arial"/>
          <w:sz w:val="24"/>
          <w:szCs w:val="24"/>
        </w:rPr>
        <w:tab/>
      </w:r>
      <w:r w:rsidR="00CF44BB" w:rsidRPr="00855EE9">
        <w:rPr>
          <w:rFonts w:ascii="Arial" w:hAnsi="Arial" w:cs="Arial"/>
          <w:sz w:val="24"/>
          <w:szCs w:val="24"/>
        </w:rPr>
        <w:t>This should be done in clear and unambiguous language and not in vague generalities or legalese, i</w:t>
      </w:r>
      <w:r w:rsidR="00755A13" w:rsidRPr="00855EE9">
        <w:rPr>
          <w:rFonts w:ascii="Arial" w:hAnsi="Arial" w:cs="Arial"/>
          <w:sz w:val="24"/>
          <w:szCs w:val="24"/>
        </w:rPr>
        <w:t>.</w:t>
      </w:r>
      <w:r w:rsidR="00CF44BB" w:rsidRPr="00855EE9">
        <w:rPr>
          <w:rFonts w:ascii="Arial" w:hAnsi="Arial" w:cs="Arial"/>
          <w:sz w:val="24"/>
          <w:szCs w:val="24"/>
        </w:rPr>
        <w:t>e</w:t>
      </w:r>
      <w:r w:rsidR="00755A13" w:rsidRPr="00855EE9">
        <w:rPr>
          <w:rFonts w:ascii="Arial" w:hAnsi="Arial" w:cs="Arial"/>
          <w:sz w:val="24"/>
          <w:szCs w:val="24"/>
        </w:rPr>
        <w:t>.</w:t>
      </w:r>
      <w:r w:rsidR="00CF44BB" w:rsidRPr="00855EE9">
        <w:rPr>
          <w:rFonts w:ascii="Arial" w:hAnsi="Arial" w:cs="Arial"/>
          <w:sz w:val="24"/>
          <w:szCs w:val="24"/>
        </w:rPr>
        <w:t xml:space="preserve"> in the formal terms of the applicable legislation.  </w:t>
      </w:r>
    </w:p>
    <w:p w14:paraId="2D00AB1B" w14:textId="5D5F13DC" w:rsidR="00CF44BB" w:rsidRPr="00855EE9" w:rsidRDefault="00855EE9" w:rsidP="00855EE9">
      <w:pPr>
        <w:spacing w:before="120" w:after="360" w:line="480" w:lineRule="auto"/>
        <w:ind w:left="3402" w:hanging="850"/>
        <w:jc w:val="both"/>
        <w:rPr>
          <w:rFonts w:ascii="Arial" w:hAnsi="Arial" w:cs="Arial"/>
          <w:sz w:val="24"/>
          <w:szCs w:val="24"/>
        </w:rPr>
      </w:pPr>
      <w:r w:rsidRPr="007044B7">
        <w:rPr>
          <w:rFonts w:ascii="Arial" w:hAnsi="Arial" w:cs="Arial"/>
          <w:sz w:val="24"/>
          <w:szCs w:val="24"/>
        </w:rPr>
        <w:t>(f)</w:t>
      </w:r>
      <w:r w:rsidRPr="007044B7">
        <w:rPr>
          <w:rFonts w:ascii="Arial" w:hAnsi="Arial" w:cs="Arial"/>
          <w:sz w:val="24"/>
          <w:szCs w:val="24"/>
        </w:rPr>
        <w:tab/>
      </w:r>
      <w:r w:rsidR="00CF44BB" w:rsidRPr="00855EE9">
        <w:rPr>
          <w:rFonts w:ascii="Arial" w:hAnsi="Arial" w:cs="Arial"/>
          <w:sz w:val="24"/>
          <w:szCs w:val="24"/>
        </w:rPr>
        <w:t xml:space="preserve">Ultimately, the reasons provided should be sufficient to allow for a 'meaningful' review or appeal: the applicant should have information sufficient to place him/herself in a position to put up a 'reasonably substantial' case for a review or appeal of the decision.  </w:t>
      </w:r>
    </w:p>
    <w:p w14:paraId="69AF652C" w14:textId="6CD6E29E" w:rsidR="0087519F"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10.3.</w:t>
      </w:r>
      <w:r w:rsidRPr="007044B7">
        <w:rPr>
          <w:rFonts w:ascii="Arial" w:hAnsi="Arial" w:cs="Arial"/>
          <w:sz w:val="24"/>
          <w:szCs w:val="24"/>
        </w:rPr>
        <w:tab/>
      </w:r>
      <w:r w:rsidR="0087519F" w:rsidRPr="00855EE9">
        <w:rPr>
          <w:rFonts w:ascii="Arial" w:hAnsi="Arial" w:cs="Arial"/>
          <w:sz w:val="24"/>
          <w:szCs w:val="24"/>
          <w:u w:val="single"/>
        </w:rPr>
        <w:t>Third</w:t>
      </w:r>
      <w:r w:rsidR="0087519F" w:rsidRPr="00855EE9">
        <w:rPr>
          <w:rFonts w:ascii="Arial" w:hAnsi="Arial" w:cs="Arial"/>
          <w:sz w:val="24"/>
          <w:szCs w:val="24"/>
        </w:rPr>
        <w:t xml:space="preserve">, </w:t>
      </w:r>
      <w:r w:rsidR="00C54CD9" w:rsidRPr="00855EE9">
        <w:rPr>
          <w:rFonts w:ascii="Arial" w:hAnsi="Arial" w:cs="Arial"/>
          <w:sz w:val="24"/>
          <w:szCs w:val="24"/>
        </w:rPr>
        <w:t xml:space="preserve">specifically in the immigration context, </w:t>
      </w:r>
      <w:r w:rsidR="00845C50" w:rsidRPr="00855EE9">
        <w:rPr>
          <w:rFonts w:ascii="Arial" w:hAnsi="Arial" w:cs="Arial"/>
          <w:sz w:val="24"/>
          <w:szCs w:val="24"/>
        </w:rPr>
        <w:t>the duty to provide reasons is expressly provided for in section 8(3) of the Immigration Act which provides as follows:</w:t>
      </w:r>
      <w:r w:rsidR="0087519F" w:rsidRPr="00855EE9">
        <w:rPr>
          <w:rFonts w:ascii="Arial" w:hAnsi="Arial" w:cs="Arial"/>
          <w:sz w:val="24"/>
          <w:szCs w:val="24"/>
        </w:rPr>
        <w:t xml:space="preserve"> </w:t>
      </w:r>
    </w:p>
    <w:p w14:paraId="4AA70296" w14:textId="11B219E4" w:rsidR="0087519F" w:rsidRPr="007044B7" w:rsidRDefault="00845C50" w:rsidP="00C6348E">
      <w:pPr>
        <w:pStyle w:val="ListParagraph"/>
        <w:tabs>
          <w:tab w:val="left" w:pos="3402"/>
        </w:tabs>
        <w:spacing w:before="120" w:after="360" w:line="240" w:lineRule="auto"/>
        <w:ind w:left="2087"/>
        <w:contextualSpacing w:val="0"/>
        <w:jc w:val="both"/>
        <w:rPr>
          <w:rFonts w:ascii="Arial" w:hAnsi="Arial" w:cs="Arial"/>
          <w:sz w:val="24"/>
          <w:szCs w:val="24"/>
        </w:rPr>
      </w:pPr>
      <w:r w:rsidRPr="007044B7">
        <w:rPr>
          <w:rFonts w:ascii="Arial" w:hAnsi="Arial" w:cs="Arial"/>
          <w:sz w:val="24"/>
          <w:szCs w:val="24"/>
        </w:rPr>
        <w:t>“</w:t>
      </w:r>
      <w:r w:rsidR="0087519F" w:rsidRPr="007044B7">
        <w:rPr>
          <w:rFonts w:ascii="Arial" w:hAnsi="Arial" w:cs="Arial"/>
          <w:sz w:val="24"/>
          <w:szCs w:val="24"/>
        </w:rPr>
        <w:t>Any decision in terms of this Act, other than a decision contemplated in subsection (1), that materially and adversely affects the rights of any person, shall be communicated to that person in the prescribed manner and shall be accompanied by the reasons for that decision.</w:t>
      </w:r>
      <w:r w:rsidRPr="007044B7">
        <w:rPr>
          <w:rFonts w:ascii="Arial" w:hAnsi="Arial" w:cs="Arial"/>
          <w:sz w:val="24"/>
          <w:szCs w:val="24"/>
        </w:rPr>
        <w:t>”</w:t>
      </w:r>
    </w:p>
    <w:p w14:paraId="0693A4D5" w14:textId="72AB3DF1" w:rsidR="00F62E1B" w:rsidRPr="007044B7" w:rsidRDefault="00EB63B0" w:rsidP="00C6348E">
      <w:pPr>
        <w:spacing w:before="120" w:after="360" w:line="240" w:lineRule="auto"/>
        <w:jc w:val="both"/>
        <w:rPr>
          <w:rFonts w:ascii="Arial" w:hAnsi="Arial" w:cs="Arial"/>
          <w:b/>
          <w:bCs/>
          <w:sz w:val="24"/>
          <w:szCs w:val="24"/>
        </w:rPr>
      </w:pPr>
      <w:r w:rsidRPr="007044B7">
        <w:rPr>
          <w:rFonts w:ascii="Arial" w:hAnsi="Arial" w:cs="Arial"/>
          <w:b/>
          <w:bCs/>
          <w:sz w:val="24"/>
          <w:szCs w:val="24"/>
        </w:rPr>
        <w:t>Taking account</w:t>
      </w:r>
      <w:r w:rsidR="006024B4" w:rsidRPr="007044B7">
        <w:rPr>
          <w:rFonts w:ascii="Arial" w:hAnsi="Arial" w:cs="Arial"/>
          <w:b/>
          <w:bCs/>
          <w:sz w:val="24"/>
          <w:szCs w:val="24"/>
        </w:rPr>
        <w:t xml:space="preserve"> of irrelevant considerations and failing to consider relevant considerations, i</w:t>
      </w:r>
      <w:r w:rsidR="00E51164" w:rsidRPr="007044B7">
        <w:rPr>
          <w:rFonts w:ascii="Arial" w:hAnsi="Arial" w:cs="Arial"/>
          <w:b/>
          <w:bCs/>
          <w:sz w:val="24"/>
          <w:szCs w:val="24"/>
        </w:rPr>
        <w:t>rrationality</w:t>
      </w:r>
      <w:r w:rsidR="006D3165" w:rsidRPr="007044B7">
        <w:rPr>
          <w:rFonts w:ascii="Arial" w:hAnsi="Arial" w:cs="Arial"/>
          <w:b/>
          <w:bCs/>
          <w:sz w:val="24"/>
          <w:szCs w:val="24"/>
        </w:rPr>
        <w:t>, error of law and/or fact</w:t>
      </w:r>
    </w:p>
    <w:p w14:paraId="3429019B" w14:textId="657F0744" w:rsidR="003263C2"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11.</w:t>
      </w:r>
      <w:r w:rsidRPr="007044B7">
        <w:rPr>
          <w:rFonts w:ascii="Arial" w:hAnsi="Arial" w:cs="Arial"/>
          <w:sz w:val="24"/>
          <w:szCs w:val="24"/>
        </w:rPr>
        <w:tab/>
      </w:r>
      <w:r w:rsidR="003263C2" w:rsidRPr="00855EE9">
        <w:rPr>
          <w:rFonts w:ascii="Arial" w:hAnsi="Arial" w:cs="Arial"/>
          <w:sz w:val="24"/>
          <w:szCs w:val="24"/>
        </w:rPr>
        <w:t xml:space="preserve">The applicant has placed reliance on several grounds of review </w:t>
      </w:r>
      <w:r w:rsidR="00C852AF" w:rsidRPr="00855EE9">
        <w:rPr>
          <w:rFonts w:ascii="Arial" w:hAnsi="Arial" w:cs="Arial"/>
          <w:sz w:val="24"/>
          <w:szCs w:val="24"/>
        </w:rPr>
        <w:t xml:space="preserve">in </w:t>
      </w:r>
      <w:r w:rsidR="00E742C3" w:rsidRPr="00855EE9">
        <w:rPr>
          <w:rFonts w:ascii="Arial" w:hAnsi="Arial" w:cs="Arial"/>
          <w:sz w:val="24"/>
          <w:szCs w:val="24"/>
        </w:rPr>
        <w:t xml:space="preserve">the Promotion of Administrative Justice Act No </w:t>
      </w:r>
      <w:r w:rsidR="00CA3646" w:rsidRPr="00855EE9">
        <w:rPr>
          <w:rFonts w:ascii="Arial" w:hAnsi="Arial" w:cs="Arial"/>
          <w:sz w:val="24"/>
          <w:szCs w:val="24"/>
        </w:rPr>
        <w:t>3 of 2000 (“</w:t>
      </w:r>
      <w:r w:rsidR="003263C2" w:rsidRPr="00855EE9">
        <w:rPr>
          <w:rFonts w:ascii="Arial" w:hAnsi="Arial" w:cs="Arial"/>
          <w:b/>
          <w:bCs/>
          <w:sz w:val="24"/>
          <w:szCs w:val="24"/>
        </w:rPr>
        <w:t>PAJA</w:t>
      </w:r>
      <w:r w:rsidR="00CA3646" w:rsidRPr="00855EE9">
        <w:rPr>
          <w:rFonts w:ascii="Arial" w:hAnsi="Arial" w:cs="Arial"/>
          <w:sz w:val="24"/>
          <w:szCs w:val="24"/>
        </w:rPr>
        <w:t>”)</w:t>
      </w:r>
      <w:r w:rsidR="003263C2" w:rsidRPr="00855EE9">
        <w:rPr>
          <w:rFonts w:ascii="Arial" w:hAnsi="Arial" w:cs="Arial"/>
          <w:sz w:val="24"/>
          <w:szCs w:val="24"/>
        </w:rPr>
        <w:t>, including the following:</w:t>
      </w:r>
    </w:p>
    <w:p w14:paraId="242F5DD1" w14:textId="0712FD5B" w:rsidR="003263C2"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11.1.</w:t>
      </w:r>
      <w:r w:rsidRPr="007044B7">
        <w:rPr>
          <w:rFonts w:ascii="Arial" w:hAnsi="Arial" w:cs="Arial"/>
          <w:sz w:val="24"/>
          <w:szCs w:val="24"/>
        </w:rPr>
        <w:tab/>
      </w:r>
      <w:r w:rsidR="003263C2" w:rsidRPr="00855EE9">
        <w:rPr>
          <w:rFonts w:ascii="Arial" w:hAnsi="Arial" w:cs="Arial"/>
          <w:sz w:val="24"/>
          <w:szCs w:val="24"/>
        </w:rPr>
        <w:t>That a mandatory and material procedure or condition (i.e. that of furnishing adequate reasons) was not complied with.</w:t>
      </w:r>
    </w:p>
    <w:p w14:paraId="482EF1D8" w14:textId="35FBA5B8" w:rsidR="003263C2"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11.2.</w:t>
      </w:r>
      <w:r w:rsidRPr="007044B7">
        <w:rPr>
          <w:rFonts w:ascii="Arial" w:hAnsi="Arial" w:cs="Arial"/>
          <w:sz w:val="24"/>
          <w:szCs w:val="24"/>
        </w:rPr>
        <w:tab/>
      </w:r>
      <w:r w:rsidR="003263C2" w:rsidRPr="00855EE9">
        <w:rPr>
          <w:rFonts w:ascii="Arial" w:hAnsi="Arial" w:cs="Arial"/>
          <w:sz w:val="24"/>
          <w:szCs w:val="24"/>
        </w:rPr>
        <w:t>That the failure to provide adequate reasons rendered the impugned decision to be procedurally unfair.</w:t>
      </w:r>
    </w:p>
    <w:p w14:paraId="4C00B9EB" w14:textId="78386B85" w:rsidR="003263C2" w:rsidRPr="00855EE9" w:rsidRDefault="00855EE9" w:rsidP="00855EE9">
      <w:pPr>
        <w:spacing w:before="120" w:after="360" w:line="480" w:lineRule="auto"/>
        <w:ind w:left="792" w:hanging="225"/>
        <w:jc w:val="both"/>
        <w:rPr>
          <w:rFonts w:ascii="Arial" w:hAnsi="Arial" w:cs="Arial"/>
          <w:sz w:val="24"/>
          <w:szCs w:val="24"/>
        </w:rPr>
      </w:pPr>
      <w:r w:rsidRPr="007044B7">
        <w:rPr>
          <w:rFonts w:ascii="Arial" w:hAnsi="Arial" w:cs="Arial"/>
          <w:sz w:val="24"/>
          <w:szCs w:val="24"/>
        </w:rPr>
        <w:t>11.3.</w:t>
      </w:r>
      <w:r w:rsidRPr="007044B7">
        <w:rPr>
          <w:rFonts w:ascii="Arial" w:hAnsi="Arial" w:cs="Arial"/>
          <w:sz w:val="24"/>
          <w:szCs w:val="24"/>
        </w:rPr>
        <w:tab/>
      </w:r>
      <w:r w:rsidR="003263C2" w:rsidRPr="00855EE9">
        <w:rPr>
          <w:rFonts w:ascii="Arial" w:hAnsi="Arial" w:cs="Arial"/>
          <w:sz w:val="24"/>
          <w:szCs w:val="24"/>
        </w:rPr>
        <w:t>That the impugned decision was taken arbitrarily or capriciously.</w:t>
      </w:r>
    </w:p>
    <w:p w14:paraId="52E94D07" w14:textId="52E110F8" w:rsidR="003263C2"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11.4.</w:t>
      </w:r>
      <w:r w:rsidRPr="007044B7">
        <w:rPr>
          <w:rFonts w:ascii="Arial" w:hAnsi="Arial" w:cs="Arial"/>
          <w:sz w:val="24"/>
          <w:szCs w:val="24"/>
        </w:rPr>
        <w:tab/>
      </w:r>
      <w:r w:rsidR="003263C2" w:rsidRPr="00855EE9">
        <w:rPr>
          <w:rFonts w:ascii="Arial" w:hAnsi="Arial" w:cs="Arial"/>
          <w:sz w:val="24"/>
          <w:szCs w:val="24"/>
        </w:rPr>
        <w:t>That the impugned decision contravenes a law or is not authorised by an empowering provision.</w:t>
      </w:r>
    </w:p>
    <w:p w14:paraId="5B3CEB85" w14:textId="246AE7F3" w:rsidR="003263C2" w:rsidRPr="00855EE9" w:rsidRDefault="00855EE9" w:rsidP="00855EE9">
      <w:pPr>
        <w:spacing w:before="120" w:after="360" w:line="480" w:lineRule="auto"/>
        <w:ind w:left="792" w:hanging="225"/>
        <w:jc w:val="both"/>
        <w:rPr>
          <w:rFonts w:ascii="Arial" w:hAnsi="Arial" w:cs="Arial"/>
          <w:sz w:val="24"/>
          <w:szCs w:val="24"/>
        </w:rPr>
      </w:pPr>
      <w:r w:rsidRPr="007044B7">
        <w:rPr>
          <w:rFonts w:ascii="Arial" w:hAnsi="Arial" w:cs="Arial"/>
          <w:sz w:val="24"/>
          <w:szCs w:val="24"/>
        </w:rPr>
        <w:t>11.5.</w:t>
      </w:r>
      <w:r w:rsidRPr="007044B7">
        <w:rPr>
          <w:rFonts w:ascii="Arial" w:hAnsi="Arial" w:cs="Arial"/>
          <w:sz w:val="24"/>
          <w:szCs w:val="24"/>
        </w:rPr>
        <w:tab/>
      </w:r>
      <w:r w:rsidR="003263C2" w:rsidRPr="00855EE9">
        <w:rPr>
          <w:rFonts w:ascii="Arial" w:hAnsi="Arial" w:cs="Arial"/>
          <w:sz w:val="24"/>
          <w:szCs w:val="24"/>
        </w:rPr>
        <w:t>That the impugned decision is irrational.</w:t>
      </w:r>
    </w:p>
    <w:p w14:paraId="4B242F52" w14:textId="5178C5C7" w:rsidR="003263C2"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11.6.</w:t>
      </w:r>
      <w:r w:rsidRPr="007044B7">
        <w:rPr>
          <w:rFonts w:ascii="Arial" w:hAnsi="Arial" w:cs="Arial"/>
          <w:sz w:val="24"/>
          <w:szCs w:val="24"/>
        </w:rPr>
        <w:tab/>
      </w:r>
      <w:r w:rsidR="003263C2" w:rsidRPr="00855EE9">
        <w:rPr>
          <w:rFonts w:ascii="Arial" w:hAnsi="Arial" w:cs="Arial"/>
          <w:sz w:val="24"/>
          <w:szCs w:val="24"/>
        </w:rPr>
        <w:t xml:space="preserve">That the impugned decision </w:t>
      </w:r>
      <w:r w:rsidR="00170617" w:rsidRPr="00855EE9">
        <w:rPr>
          <w:rFonts w:ascii="Arial" w:hAnsi="Arial" w:cs="Arial"/>
          <w:sz w:val="24"/>
          <w:szCs w:val="24"/>
        </w:rPr>
        <w:t>is</w:t>
      </w:r>
      <w:r w:rsidR="003263C2" w:rsidRPr="00855EE9">
        <w:rPr>
          <w:rFonts w:ascii="Arial" w:hAnsi="Arial" w:cs="Arial"/>
          <w:sz w:val="24"/>
          <w:szCs w:val="24"/>
        </w:rPr>
        <w:t xml:space="preserve"> so unreasonable that no reasonable person could have exercised the power or performed the function.</w:t>
      </w:r>
    </w:p>
    <w:p w14:paraId="46384D1B" w14:textId="7E3AB0BA" w:rsidR="003263C2" w:rsidRPr="00855EE9" w:rsidRDefault="00855EE9" w:rsidP="00855EE9">
      <w:pPr>
        <w:spacing w:before="120" w:after="360" w:line="480" w:lineRule="auto"/>
        <w:ind w:left="792" w:hanging="225"/>
        <w:jc w:val="both"/>
        <w:rPr>
          <w:rFonts w:ascii="Arial" w:hAnsi="Arial" w:cs="Arial"/>
          <w:sz w:val="24"/>
          <w:szCs w:val="24"/>
        </w:rPr>
      </w:pPr>
      <w:r w:rsidRPr="007044B7">
        <w:rPr>
          <w:rFonts w:ascii="Arial" w:hAnsi="Arial" w:cs="Arial"/>
          <w:sz w:val="24"/>
          <w:szCs w:val="24"/>
        </w:rPr>
        <w:t>11.7.</w:t>
      </w:r>
      <w:r w:rsidRPr="007044B7">
        <w:rPr>
          <w:rFonts w:ascii="Arial" w:hAnsi="Arial" w:cs="Arial"/>
          <w:sz w:val="24"/>
          <w:szCs w:val="24"/>
        </w:rPr>
        <w:tab/>
      </w:r>
      <w:r w:rsidR="003263C2" w:rsidRPr="00855EE9">
        <w:rPr>
          <w:rFonts w:ascii="Arial" w:hAnsi="Arial" w:cs="Arial"/>
          <w:sz w:val="24"/>
          <w:szCs w:val="24"/>
        </w:rPr>
        <w:t>That the impugned decision is otherwise unconstitutional or unlawful.</w:t>
      </w:r>
    </w:p>
    <w:p w14:paraId="24D0A705" w14:textId="7D14DF63" w:rsidR="00055D3D"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12.</w:t>
      </w:r>
      <w:r w:rsidRPr="007044B7">
        <w:rPr>
          <w:rFonts w:ascii="Arial" w:hAnsi="Arial" w:cs="Arial"/>
          <w:sz w:val="24"/>
          <w:szCs w:val="24"/>
        </w:rPr>
        <w:tab/>
      </w:r>
      <w:r w:rsidR="00055D3D" w:rsidRPr="00855EE9">
        <w:rPr>
          <w:rFonts w:ascii="Arial" w:hAnsi="Arial" w:cs="Arial"/>
          <w:sz w:val="24"/>
          <w:szCs w:val="24"/>
        </w:rPr>
        <w:t>I</w:t>
      </w:r>
      <w:r w:rsidR="009C0D70" w:rsidRPr="00855EE9">
        <w:rPr>
          <w:rFonts w:ascii="Arial" w:hAnsi="Arial" w:cs="Arial"/>
          <w:sz w:val="24"/>
          <w:szCs w:val="24"/>
        </w:rPr>
        <w:t>n what follows, I address the three grounds that I consider to be most relevant.</w:t>
      </w:r>
    </w:p>
    <w:p w14:paraId="78DD84F8" w14:textId="77777777" w:rsidR="00555395" w:rsidRDefault="00555395" w:rsidP="00C6348E">
      <w:pPr>
        <w:spacing w:before="120" w:after="360" w:line="240" w:lineRule="auto"/>
        <w:jc w:val="both"/>
        <w:rPr>
          <w:rFonts w:ascii="Arial" w:hAnsi="Arial" w:cs="Arial"/>
          <w:sz w:val="24"/>
          <w:szCs w:val="24"/>
          <w:u w:val="single"/>
        </w:rPr>
      </w:pPr>
    </w:p>
    <w:p w14:paraId="690AADAA" w14:textId="42029A12" w:rsidR="00FB2D6E" w:rsidRPr="007044B7" w:rsidRDefault="00FB2D6E" w:rsidP="00C6348E">
      <w:pPr>
        <w:spacing w:before="120" w:after="360" w:line="240" w:lineRule="auto"/>
        <w:jc w:val="both"/>
        <w:rPr>
          <w:rFonts w:ascii="Arial" w:hAnsi="Arial" w:cs="Arial"/>
          <w:sz w:val="24"/>
          <w:szCs w:val="24"/>
          <w:u w:val="single"/>
        </w:rPr>
      </w:pPr>
      <w:r w:rsidRPr="007044B7">
        <w:rPr>
          <w:rFonts w:ascii="Arial" w:hAnsi="Arial" w:cs="Arial"/>
          <w:sz w:val="24"/>
          <w:szCs w:val="24"/>
          <w:u w:val="single"/>
        </w:rPr>
        <w:t>Rationality</w:t>
      </w:r>
    </w:p>
    <w:p w14:paraId="2DDA1DA1" w14:textId="4EA635BD" w:rsidR="008809FE"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13.</w:t>
      </w:r>
      <w:r w:rsidRPr="007044B7">
        <w:rPr>
          <w:rFonts w:ascii="Arial" w:hAnsi="Arial" w:cs="Arial"/>
          <w:sz w:val="24"/>
          <w:szCs w:val="24"/>
        </w:rPr>
        <w:tab/>
      </w:r>
      <w:r w:rsidR="003F3A23" w:rsidRPr="00855EE9">
        <w:rPr>
          <w:rFonts w:ascii="Arial" w:hAnsi="Arial" w:cs="Arial"/>
          <w:sz w:val="24"/>
          <w:szCs w:val="24"/>
        </w:rPr>
        <w:t xml:space="preserve">One of the grounds of review under PAJA is that the decision is </w:t>
      </w:r>
      <w:r w:rsidR="008809FE" w:rsidRPr="00855EE9">
        <w:rPr>
          <w:rFonts w:ascii="Arial" w:hAnsi="Arial" w:cs="Arial"/>
          <w:sz w:val="24"/>
          <w:szCs w:val="24"/>
        </w:rPr>
        <w:t>not rationally connected to</w:t>
      </w:r>
      <w:r w:rsidR="003F3A23" w:rsidRPr="00855EE9">
        <w:rPr>
          <w:rFonts w:ascii="Arial" w:hAnsi="Arial" w:cs="Arial"/>
          <w:sz w:val="24"/>
          <w:szCs w:val="24"/>
        </w:rPr>
        <w:t xml:space="preserve"> </w:t>
      </w:r>
      <w:r w:rsidR="008809FE" w:rsidRPr="00855EE9">
        <w:rPr>
          <w:rFonts w:ascii="Arial" w:hAnsi="Arial" w:cs="Arial"/>
          <w:sz w:val="24"/>
          <w:szCs w:val="24"/>
        </w:rPr>
        <w:t>the reasons given for it by the administrator</w:t>
      </w:r>
      <w:r w:rsidR="004E02F2" w:rsidRPr="00855EE9">
        <w:rPr>
          <w:rFonts w:ascii="Arial" w:hAnsi="Arial" w:cs="Arial"/>
          <w:sz w:val="24"/>
          <w:szCs w:val="24"/>
        </w:rPr>
        <w:t xml:space="preserve"> (section 6(2)(f)(cc)).</w:t>
      </w:r>
    </w:p>
    <w:p w14:paraId="3955D714" w14:textId="2838E89B" w:rsidR="005F6500"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14.</w:t>
      </w:r>
      <w:r w:rsidRPr="007044B7">
        <w:rPr>
          <w:rFonts w:ascii="Arial" w:hAnsi="Arial" w:cs="Arial"/>
          <w:sz w:val="24"/>
          <w:szCs w:val="24"/>
        </w:rPr>
        <w:tab/>
      </w:r>
      <w:r w:rsidR="005F6500" w:rsidRPr="00855EE9">
        <w:rPr>
          <w:rFonts w:ascii="Arial" w:hAnsi="Arial" w:cs="Arial"/>
          <w:sz w:val="24"/>
          <w:szCs w:val="24"/>
        </w:rPr>
        <w:t>It is now trite that for the exercise of public power to be valid, a decision taken must be rationally connected to the purpose for which the power was conferred.</w:t>
      </w:r>
      <w:r w:rsidR="00384ECE" w:rsidRPr="007044B7">
        <w:rPr>
          <w:rStyle w:val="FootnoteReference"/>
          <w:rFonts w:ascii="Arial" w:hAnsi="Arial" w:cs="Arial"/>
          <w:sz w:val="24"/>
          <w:szCs w:val="24"/>
        </w:rPr>
        <w:footnoteReference w:id="1"/>
      </w:r>
      <w:r w:rsidR="005F6500" w:rsidRPr="00855EE9">
        <w:rPr>
          <w:rFonts w:ascii="Arial" w:hAnsi="Arial" w:cs="Arial"/>
          <w:sz w:val="24"/>
          <w:szCs w:val="24"/>
        </w:rPr>
        <w:t xml:space="preserve"> This entails determining whether there is a rational link between that decision and the purpose sought to be achieved.</w:t>
      </w:r>
      <w:r w:rsidR="00384ECE" w:rsidRPr="007044B7">
        <w:rPr>
          <w:rStyle w:val="FootnoteReference"/>
          <w:rFonts w:ascii="Arial" w:hAnsi="Arial" w:cs="Arial"/>
          <w:sz w:val="24"/>
          <w:szCs w:val="24"/>
        </w:rPr>
        <w:footnoteReference w:id="2"/>
      </w:r>
    </w:p>
    <w:p w14:paraId="740A6F36" w14:textId="3767E05F" w:rsidR="005B6B0E"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15.</w:t>
      </w:r>
      <w:r w:rsidRPr="007044B7">
        <w:rPr>
          <w:rFonts w:ascii="Arial" w:hAnsi="Arial" w:cs="Arial"/>
          <w:sz w:val="24"/>
          <w:szCs w:val="24"/>
        </w:rPr>
        <w:tab/>
      </w:r>
      <w:r w:rsidR="005B6B0E" w:rsidRPr="00855EE9">
        <w:rPr>
          <w:rFonts w:ascii="Arial" w:hAnsi="Arial" w:cs="Arial"/>
          <w:sz w:val="24"/>
          <w:szCs w:val="24"/>
        </w:rPr>
        <w:t xml:space="preserve">In </w:t>
      </w:r>
      <w:r w:rsidR="005B6B0E" w:rsidRPr="00855EE9">
        <w:rPr>
          <w:rFonts w:ascii="Arial" w:hAnsi="Arial" w:cs="Arial"/>
          <w:b/>
          <w:bCs/>
          <w:sz w:val="24"/>
          <w:szCs w:val="24"/>
        </w:rPr>
        <w:t>Democratic Alliance v President of the Republic of South Africa and Others</w:t>
      </w:r>
      <w:r w:rsidR="005B6B0E" w:rsidRPr="00855EE9">
        <w:rPr>
          <w:rFonts w:ascii="Arial" w:hAnsi="Arial" w:cs="Arial"/>
          <w:sz w:val="24"/>
          <w:szCs w:val="24"/>
        </w:rPr>
        <w:t> 2013 (1) SA 248 (CC) (2012 (12) BCLR 1297; [2012] ZACC 24)</w:t>
      </w:r>
      <w:r w:rsidR="00063F42" w:rsidRPr="00855EE9">
        <w:rPr>
          <w:rFonts w:ascii="Arial" w:hAnsi="Arial" w:cs="Arial"/>
          <w:sz w:val="24"/>
          <w:szCs w:val="24"/>
        </w:rPr>
        <w:t xml:space="preserve"> at par 32 the Constitutional Court held:</w:t>
      </w:r>
    </w:p>
    <w:p w14:paraId="2D787545" w14:textId="4DE7359A" w:rsidR="008E0865" w:rsidRPr="007044B7" w:rsidRDefault="00063F42" w:rsidP="00C6348E">
      <w:pPr>
        <w:pStyle w:val="ListParagraph"/>
        <w:spacing w:before="120" w:after="360" w:line="240" w:lineRule="auto"/>
        <w:ind w:left="924"/>
        <w:contextualSpacing w:val="0"/>
        <w:jc w:val="both"/>
        <w:rPr>
          <w:rFonts w:ascii="Arial" w:hAnsi="Arial" w:cs="Arial"/>
          <w:sz w:val="24"/>
          <w:szCs w:val="24"/>
        </w:rPr>
      </w:pPr>
      <w:r w:rsidRPr="007044B7">
        <w:rPr>
          <w:rFonts w:ascii="Arial" w:hAnsi="Arial" w:cs="Arial"/>
          <w:sz w:val="24"/>
          <w:szCs w:val="24"/>
        </w:rPr>
        <w:t>“</w:t>
      </w:r>
      <w:r w:rsidR="00005CFE" w:rsidRPr="007044B7">
        <w:rPr>
          <w:rFonts w:ascii="Arial" w:hAnsi="Arial" w:cs="Arial"/>
          <w:sz w:val="24"/>
          <w:szCs w:val="24"/>
        </w:rPr>
        <w:t>[32] The reasoning in these cases shows tha</w:t>
      </w:r>
      <w:r w:rsidR="00555395">
        <w:rPr>
          <w:rFonts w:ascii="Arial" w:hAnsi="Arial" w:cs="Arial"/>
          <w:sz w:val="24"/>
          <w:szCs w:val="24"/>
        </w:rPr>
        <w:t xml:space="preserve">t rationality review is really </w:t>
      </w:r>
      <w:r w:rsidR="00005CFE" w:rsidRPr="007044B7">
        <w:rPr>
          <w:rFonts w:ascii="Arial" w:hAnsi="Arial" w:cs="Arial"/>
          <w:sz w:val="24"/>
          <w:szCs w:val="24"/>
        </w:rPr>
        <w:t>concerned with the evaluation of a relationship between means and ends: the relationship, connection or link (as it is variously referred to) between the means employed to achieve a particular purpose on the one hand and the purpose or end itself. The aim of the evaluation of the relationship is not to determine whether some means will achieve the purpose better than others but only whether the means employed are rationally related to the purpose for which the power was conferred</w:t>
      </w:r>
      <w:r w:rsidR="008E0865" w:rsidRPr="007044B7">
        <w:rPr>
          <w:rFonts w:ascii="Arial" w:hAnsi="Arial" w:cs="Arial"/>
          <w:sz w:val="24"/>
          <w:szCs w:val="24"/>
        </w:rPr>
        <w:t>….”</w:t>
      </w:r>
    </w:p>
    <w:p w14:paraId="66BD80CA" w14:textId="612145AB" w:rsidR="005B6B0E"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16.</w:t>
      </w:r>
      <w:r w:rsidRPr="007044B7">
        <w:rPr>
          <w:rFonts w:ascii="Arial" w:hAnsi="Arial" w:cs="Arial"/>
          <w:sz w:val="24"/>
          <w:szCs w:val="24"/>
        </w:rPr>
        <w:tab/>
      </w:r>
      <w:r w:rsidR="008E0865" w:rsidRPr="00855EE9">
        <w:rPr>
          <w:rFonts w:ascii="Arial" w:hAnsi="Arial" w:cs="Arial"/>
          <w:sz w:val="24"/>
          <w:szCs w:val="24"/>
        </w:rPr>
        <w:t>In</w:t>
      </w:r>
      <w:r w:rsidR="00C47A44" w:rsidRPr="00855EE9">
        <w:rPr>
          <w:rFonts w:ascii="Arial" w:hAnsi="Arial" w:cs="Arial"/>
          <w:sz w:val="24"/>
          <w:szCs w:val="24"/>
        </w:rPr>
        <w:t xml:space="preserve"> </w:t>
      </w:r>
      <w:r w:rsidR="000A733D" w:rsidRPr="00855EE9">
        <w:rPr>
          <w:rFonts w:ascii="Arial" w:hAnsi="Arial" w:cs="Arial"/>
          <w:b/>
          <w:bCs/>
          <w:sz w:val="24"/>
          <w:szCs w:val="24"/>
        </w:rPr>
        <w:t>Minister of Water and Sanitation v Sembcorp Siza Water (Pty) Ltd and Another</w:t>
      </w:r>
      <w:r w:rsidR="000A733D" w:rsidRPr="00855EE9">
        <w:rPr>
          <w:rFonts w:ascii="Arial" w:hAnsi="Arial" w:cs="Arial"/>
          <w:sz w:val="24"/>
          <w:szCs w:val="24"/>
        </w:rPr>
        <w:t> 2023 (1) SA 1 (CC)</w:t>
      </w:r>
      <w:r w:rsidR="00C47A44" w:rsidRPr="00855EE9">
        <w:rPr>
          <w:rFonts w:ascii="Arial" w:hAnsi="Arial" w:cs="Arial"/>
          <w:sz w:val="24"/>
          <w:szCs w:val="24"/>
        </w:rPr>
        <w:t xml:space="preserve"> at par 57 the Constitutional Court </w:t>
      </w:r>
      <w:r w:rsidR="00C36273" w:rsidRPr="00855EE9">
        <w:rPr>
          <w:rFonts w:ascii="Arial" w:hAnsi="Arial" w:cs="Arial"/>
          <w:sz w:val="24"/>
          <w:szCs w:val="24"/>
        </w:rPr>
        <w:t xml:space="preserve">explained that the rationality standard is </w:t>
      </w:r>
      <w:r w:rsidR="007B40C7" w:rsidRPr="00855EE9">
        <w:rPr>
          <w:rFonts w:ascii="Arial" w:hAnsi="Arial" w:cs="Arial"/>
          <w:sz w:val="24"/>
          <w:szCs w:val="24"/>
        </w:rPr>
        <w:t>not about the cogency of reasons furnished for a particular decision</w:t>
      </w:r>
      <w:r w:rsidR="00C36273" w:rsidRPr="00855EE9">
        <w:rPr>
          <w:rFonts w:ascii="Arial" w:hAnsi="Arial" w:cs="Arial"/>
          <w:sz w:val="24"/>
          <w:szCs w:val="24"/>
        </w:rPr>
        <w:t xml:space="preserve"> but that “</w:t>
      </w:r>
      <w:r w:rsidR="007B40C7" w:rsidRPr="00855EE9">
        <w:rPr>
          <w:rFonts w:ascii="Arial" w:hAnsi="Arial" w:cs="Arial"/>
          <w:sz w:val="24"/>
          <w:szCs w:val="24"/>
        </w:rPr>
        <w:t>it is all about whether there was a rational connection between 'the exercise of power in relation to both process and the decision itself and the purpose sought to be achieved through the exercise of that power'.</w:t>
      </w:r>
      <w:r w:rsidR="004B6C27" w:rsidRPr="00855EE9">
        <w:rPr>
          <w:rFonts w:ascii="Arial" w:hAnsi="Arial" w:cs="Arial"/>
          <w:sz w:val="24"/>
          <w:szCs w:val="24"/>
        </w:rPr>
        <w:t>”</w:t>
      </w:r>
    </w:p>
    <w:p w14:paraId="034DDD75" w14:textId="04244AE7" w:rsidR="00FB48ED" w:rsidRPr="007044B7" w:rsidRDefault="00FB48ED" w:rsidP="00C6348E">
      <w:pPr>
        <w:spacing w:before="120" w:after="360" w:line="240" w:lineRule="auto"/>
        <w:jc w:val="both"/>
        <w:rPr>
          <w:rFonts w:ascii="Arial" w:hAnsi="Arial" w:cs="Arial"/>
          <w:sz w:val="24"/>
          <w:szCs w:val="24"/>
          <w:u w:val="single"/>
        </w:rPr>
      </w:pPr>
      <w:r w:rsidRPr="007044B7">
        <w:rPr>
          <w:rFonts w:ascii="Arial" w:hAnsi="Arial" w:cs="Arial"/>
          <w:sz w:val="24"/>
          <w:szCs w:val="24"/>
          <w:u w:val="single"/>
        </w:rPr>
        <w:t>Taking account of irrelevant considerations and failing to consider relevant considerations</w:t>
      </w:r>
    </w:p>
    <w:p w14:paraId="08A0B03B" w14:textId="0BA114E3" w:rsidR="00B00555"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17.</w:t>
      </w:r>
      <w:r w:rsidRPr="007044B7">
        <w:rPr>
          <w:rFonts w:ascii="Arial" w:hAnsi="Arial" w:cs="Arial"/>
          <w:sz w:val="24"/>
          <w:szCs w:val="24"/>
        </w:rPr>
        <w:tab/>
      </w:r>
      <w:r w:rsidR="00FB48ED" w:rsidRPr="00855EE9">
        <w:rPr>
          <w:rFonts w:ascii="Arial" w:hAnsi="Arial" w:cs="Arial"/>
          <w:sz w:val="24"/>
          <w:szCs w:val="24"/>
        </w:rPr>
        <w:t xml:space="preserve">Given that the application that served before the </w:t>
      </w:r>
      <w:r w:rsidR="00C12B7F" w:rsidRPr="00855EE9">
        <w:rPr>
          <w:rFonts w:ascii="Arial" w:hAnsi="Arial" w:cs="Arial"/>
          <w:sz w:val="24"/>
          <w:szCs w:val="24"/>
        </w:rPr>
        <w:t>respondents was one for a critical skills visa, it must follow that its adjudication must occur in terms of section 19(4) of the Immigration Act read with Regulation 18(5).</w:t>
      </w:r>
      <w:r w:rsidR="001F5825" w:rsidRPr="00855EE9">
        <w:rPr>
          <w:rFonts w:ascii="Arial" w:hAnsi="Arial" w:cs="Arial"/>
          <w:sz w:val="24"/>
          <w:szCs w:val="24"/>
        </w:rPr>
        <w:t xml:space="preserve">  </w:t>
      </w:r>
      <w:r w:rsidR="00524B8F" w:rsidRPr="00855EE9">
        <w:rPr>
          <w:rFonts w:ascii="Arial" w:hAnsi="Arial" w:cs="Arial"/>
          <w:sz w:val="24"/>
          <w:szCs w:val="24"/>
        </w:rPr>
        <w:t xml:space="preserve"> The </w:t>
      </w:r>
      <w:r w:rsidR="00302B10" w:rsidRPr="00855EE9">
        <w:rPr>
          <w:rFonts w:ascii="Arial" w:hAnsi="Arial" w:cs="Arial"/>
          <w:sz w:val="24"/>
          <w:szCs w:val="24"/>
        </w:rPr>
        <w:t xml:space="preserve">relevant considerations therefore concern </w:t>
      </w:r>
      <w:r w:rsidR="00524B8F" w:rsidRPr="00855EE9">
        <w:rPr>
          <w:rFonts w:ascii="Arial" w:hAnsi="Arial" w:cs="Arial"/>
          <w:sz w:val="24"/>
          <w:szCs w:val="24"/>
        </w:rPr>
        <w:t xml:space="preserve">whether the threshold imposed by those </w:t>
      </w:r>
      <w:r w:rsidR="002F0E6E" w:rsidRPr="00855EE9">
        <w:rPr>
          <w:rFonts w:ascii="Arial" w:hAnsi="Arial" w:cs="Arial"/>
          <w:sz w:val="24"/>
          <w:szCs w:val="24"/>
        </w:rPr>
        <w:t xml:space="preserve">provisions has been met by the application or not.  </w:t>
      </w:r>
    </w:p>
    <w:p w14:paraId="3AA37047" w14:textId="486A8115" w:rsidR="00F740C1" w:rsidRPr="007044B7" w:rsidRDefault="00F740C1" w:rsidP="00C6348E">
      <w:pPr>
        <w:spacing w:before="120" w:after="360" w:line="480" w:lineRule="auto"/>
        <w:jc w:val="both"/>
        <w:rPr>
          <w:rFonts w:ascii="Arial" w:hAnsi="Arial" w:cs="Arial"/>
          <w:sz w:val="24"/>
          <w:szCs w:val="24"/>
          <w:u w:val="single"/>
        </w:rPr>
      </w:pPr>
      <w:r w:rsidRPr="007044B7">
        <w:rPr>
          <w:rFonts w:ascii="Arial" w:hAnsi="Arial" w:cs="Arial"/>
          <w:sz w:val="24"/>
          <w:szCs w:val="24"/>
          <w:u w:val="single"/>
        </w:rPr>
        <w:t xml:space="preserve">Error or law </w:t>
      </w:r>
    </w:p>
    <w:p w14:paraId="53038F64" w14:textId="6359788A" w:rsidR="00D844B1"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18.</w:t>
      </w:r>
      <w:r w:rsidRPr="007044B7">
        <w:rPr>
          <w:rFonts w:ascii="Arial" w:hAnsi="Arial" w:cs="Arial"/>
          <w:sz w:val="24"/>
          <w:szCs w:val="24"/>
        </w:rPr>
        <w:tab/>
      </w:r>
      <w:r w:rsidR="00AE0A82" w:rsidRPr="00855EE9">
        <w:rPr>
          <w:rFonts w:ascii="Arial" w:hAnsi="Arial" w:cs="Arial"/>
          <w:sz w:val="24"/>
          <w:szCs w:val="24"/>
        </w:rPr>
        <w:t xml:space="preserve">Section 6(2)(d) of the PAJA provides for the review of an administrative action if </w:t>
      </w:r>
      <w:r w:rsidR="0079465F" w:rsidRPr="00855EE9">
        <w:rPr>
          <w:rFonts w:ascii="Arial" w:hAnsi="Arial" w:cs="Arial"/>
          <w:sz w:val="24"/>
          <w:szCs w:val="24"/>
        </w:rPr>
        <w:t>“</w:t>
      </w:r>
      <w:r w:rsidR="00AE0A82" w:rsidRPr="00855EE9">
        <w:rPr>
          <w:rFonts w:ascii="Arial" w:hAnsi="Arial" w:cs="Arial"/>
          <w:sz w:val="24"/>
          <w:szCs w:val="24"/>
        </w:rPr>
        <w:t>the action was materially influenced by an error of law</w:t>
      </w:r>
      <w:r w:rsidR="0079465F" w:rsidRPr="00855EE9">
        <w:rPr>
          <w:rFonts w:ascii="Arial" w:hAnsi="Arial" w:cs="Arial"/>
          <w:sz w:val="24"/>
          <w:szCs w:val="24"/>
        </w:rPr>
        <w:t>”</w:t>
      </w:r>
      <w:r w:rsidR="00AE0A82" w:rsidRPr="00855EE9">
        <w:rPr>
          <w:rFonts w:ascii="Arial" w:hAnsi="Arial" w:cs="Arial"/>
          <w:sz w:val="24"/>
          <w:szCs w:val="24"/>
        </w:rPr>
        <w:t xml:space="preserve">. </w:t>
      </w:r>
    </w:p>
    <w:p w14:paraId="032C16B8" w14:textId="3724B5E9" w:rsidR="00503556" w:rsidRPr="00855EE9" w:rsidRDefault="00855EE9" w:rsidP="00855EE9">
      <w:pPr>
        <w:spacing w:before="120" w:after="360" w:line="480" w:lineRule="auto"/>
        <w:ind w:left="567" w:hanging="567"/>
        <w:jc w:val="both"/>
        <w:rPr>
          <w:rFonts w:ascii="Arial" w:hAnsi="Arial" w:cs="Arial"/>
          <w:sz w:val="24"/>
          <w:szCs w:val="24"/>
        </w:rPr>
      </w:pPr>
      <w:r>
        <w:rPr>
          <w:rFonts w:ascii="Arial" w:hAnsi="Arial" w:cs="Arial"/>
          <w:sz w:val="24"/>
          <w:szCs w:val="24"/>
        </w:rPr>
        <w:t>19.</w:t>
      </w:r>
      <w:r>
        <w:rPr>
          <w:rFonts w:ascii="Arial" w:hAnsi="Arial" w:cs="Arial"/>
          <w:sz w:val="24"/>
          <w:szCs w:val="24"/>
        </w:rPr>
        <w:tab/>
      </w:r>
      <w:r w:rsidR="00D844B1" w:rsidRPr="00855EE9">
        <w:rPr>
          <w:rFonts w:ascii="Arial" w:hAnsi="Arial" w:cs="Arial"/>
          <w:sz w:val="24"/>
          <w:szCs w:val="24"/>
        </w:rPr>
        <w:t xml:space="preserve">As recognised by the SCA in </w:t>
      </w:r>
      <w:r w:rsidR="00D844B1" w:rsidRPr="00855EE9">
        <w:rPr>
          <w:rFonts w:ascii="Arial" w:hAnsi="Arial" w:cs="Arial"/>
          <w:b/>
          <w:bCs/>
          <w:sz w:val="24"/>
          <w:szCs w:val="24"/>
        </w:rPr>
        <w:t>Afriforum NPC v Minister of Tourism and Others, and a Similar Matter</w:t>
      </w:r>
      <w:r w:rsidR="00D844B1" w:rsidRPr="00855EE9">
        <w:rPr>
          <w:rFonts w:ascii="Arial" w:hAnsi="Arial" w:cs="Arial"/>
          <w:sz w:val="24"/>
          <w:szCs w:val="24"/>
        </w:rPr>
        <w:t> 2022 (1) SA 359 (SCA), t</w:t>
      </w:r>
      <w:r w:rsidR="00AE0A82" w:rsidRPr="00855EE9">
        <w:rPr>
          <w:rFonts w:ascii="Arial" w:hAnsi="Arial" w:cs="Arial"/>
          <w:sz w:val="24"/>
          <w:szCs w:val="24"/>
        </w:rPr>
        <w:t xml:space="preserve">his formulation was taken from the common-law ground of review articulated in </w:t>
      </w:r>
      <w:r w:rsidR="0079465F" w:rsidRPr="00855EE9">
        <w:rPr>
          <w:rFonts w:ascii="Arial" w:hAnsi="Arial" w:cs="Arial"/>
          <w:b/>
          <w:bCs/>
          <w:sz w:val="24"/>
          <w:szCs w:val="24"/>
        </w:rPr>
        <w:t>Hira and Another v Booysen and Another</w:t>
      </w:r>
      <w:r w:rsidR="0079465F" w:rsidRPr="00855EE9">
        <w:rPr>
          <w:rFonts w:ascii="Arial" w:hAnsi="Arial" w:cs="Arial"/>
          <w:sz w:val="24"/>
          <w:szCs w:val="24"/>
        </w:rPr>
        <w:t xml:space="preserve"> 1992 (4) SA 69 (A) ([1992] ZASCA 112) </w:t>
      </w:r>
      <w:r w:rsidR="001319CD" w:rsidRPr="00855EE9">
        <w:rPr>
          <w:rFonts w:ascii="Arial" w:hAnsi="Arial" w:cs="Arial"/>
          <w:sz w:val="24"/>
          <w:szCs w:val="24"/>
        </w:rPr>
        <w:t>at 9</w:t>
      </w:r>
      <w:r w:rsidR="00FD51ED" w:rsidRPr="00855EE9">
        <w:rPr>
          <w:rFonts w:ascii="Arial" w:hAnsi="Arial" w:cs="Arial"/>
          <w:sz w:val="24"/>
          <w:szCs w:val="24"/>
        </w:rPr>
        <w:t xml:space="preserve">3 H-I </w:t>
      </w:r>
      <w:r w:rsidR="00213ED0" w:rsidRPr="00855EE9">
        <w:rPr>
          <w:rFonts w:ascii="Arial" w:hAnsi="Arial" w:cs="Arial"/>
          <w:sz w:val="24"/>
          <w:szCs w:val="24"/>
        </w:rPr>
        <w:t>where the Court held</w:t>
      </w:r>
      <w:r w:rsidR="00AE0A82" w:rsidRPr="00855EE9">
        <w:rPr>
          <w:rFonts w:ascii="Arial" w:hAnsi="Arial" w:cs="Arial"/>
          <w:sz w:val="24"/>
          <w:szCs w:val="24"/>
        </w:rPr>
        <w:t xml:space="preserve"> that an error of law will be material if it distorts the exercise of discretion of the decision-maker; if </w:t>
      </w:r>
      <w:r w:rsidR="00213ED0" w:rsidRPr="00855EE9">
        <w:rPr>
          <w:rFonts w:ascii="Arial" w:hAnsi="Arial" w:cs="Arial"/>
          <w:sz w:val="24"/>
          <w:szCs w:val="24"/>
        </w:rPr>
        <w:t>“</w:t>
      </w:r>
      <w:r w:rsidR="00AE0A82" w:rsidRPr="00855EE9">
        <w:rPr>
          <w:rFonts w:ascii="Arial" w:hAnsi="Arial" w:cs="Arial"/>
          <w:sz w:val="24"/>
          <w:szCs w:val="24"/>
        </w:rPr>
        <w:t>the tribunal "asked itself the wrong question", or "applied the wrong test'', or "based its decision on some matter not prescribed for its decision", or failed to apply its mind to the relevant issues in accordance with the behests of the statute'.</w:t>
      </w:r>
      <w:r w:rsidR="00FD51ED" w:rsidRPr="00855EE9">
        <w:rPr>
          <w:rFonts w:ascii="Arial" w:hAnsi="Arial" w:cs="Arial"/>
          <w:sz w:val="24"/>
          <w:szCs w:val="24"/>
        </w:rPr>
        <w:t xml:space="preserve">  </w:t>
      </w:r>
    </w:p>
    <w:p w14:paraId="7FC3CFAF" w14:textId="219FB4E1" w:rsidR="00EC54D5"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20.</w:t>
      </w:r>
      <w:r w:rsidRPr="007044B7">
        <w:rPr>
          <w:rFonts w:ascii="Arial" w:hAnsi="Arial" w:cs="Arial"/>
          <w:sz w:val="24"/>
          <w:szCs w:val="24"/>
        </w:rPr>
        <w:tab/>
      </w:r>
      <w:r w:rsidR="00FD51ED" w:rsidRPr="00855EE9">
        <w:rPr>
          <w:rFonts w:ascii="Arial" w:hAnsi="Arial" w:cs="Arial"/>
          <w:sz w:val="24"/>
          <w:szCs w:val="24"/>
        </w:rPr>
        <w:t xml:space="preserve">In </w:t>
      </w:r>
      <w:r w:rsidR="00FD51ED" w:rsidRPr="00855EE9">
        <w:rPr>
          <w:rFonts w:ascii="Arial" w:hAnsi="Arial" w:cs="Arial"/>
          <w:b/>
          <w:bCs/>
          <w:sz w:val="24"/>
          <w:szCs w:val="24"/>
        </w:rPr>
        <w:t>Afriforum</w:t>
      </w:r>
      <w:r w:rsidR="00FD51ED" w:rsidRPr="00855EE9">
        <w:rPr>
          <w:rFonts w:ascii="Arial" w:hAnsi="Arial" w:cs="Arial"/>
          <w:sz w:val="24"/>
          <w:szCs w:val="24"/>
        </w:rPr>
        <w:t xml:space="preserve"> the SCA found </w:t>
      </w:r>
      <w:r w:rsidR="00455D96" w:rsidRPr="00855EE9">
        <w:rPr>
          <w:rFonts w:ascii="Arial" w:hAnsi="Arial" w:cs="Arial"/>
          <w:sz w:val="24"/>
          <w:szCs w:val="24"/>
        </w:rPr>
        <w:t xml:space="preserve">(at par 54) </w:t>
      </w:r>
      <w:r w:rsidR="00FD51ED" w:rsidRPr="00855EE9">
        <w:rPr>
          <w:rFonts w:ascii="Arial" w:hAnsi="Arial" w:cs="Arial"/>
          <w:sz w:val="24"/>
          <w:szCs w:val="24"/>
        </w:rPr>
        <w:t xml:space="preserve">that the Minister had </w:t>
      </w:r>
      <w:r w:rsidR="00AE0A82" w:rsidRPr="00855EE9">
        <w:rPr>
          <w:rFonts w:ascii="Arial" w:hAnsi="Arial" w:cs="Arial"/>
          <w:sz w:val="24"/>
          <w:szCs w:val="24"/>
        </w:rPr>
        <w:t>believed erroneously that she was bound by</w:t>
      </w:r>
      <w:r w:rsidR="00455D96" w:rsidRPr="00855EE9">
        <w:rPr>
          <w:rFonts w:ascii="Arial" w:hAnsi="Arial" w:cs="Arial"/>
          <w:sz w:val="24"/>
          <w:szCs w:val="24"/>
        </w:rPr>
        <w:t xml:space="preserve"> a particular statutory provision</w:t>
      </w:r>
      <w:r w:rsidR="00EC54D5" w:rsidRPr="00855EE9">
        <w:rPr>
          <w:rFonts w:ascii="Arial" w:hAnsi="Arial" w:cs="Arial"/>
          <w:sz w:val="24"/>
          <w:szCs w:val="24"/>
        </w:rPr>
        <w:t xml:space="preserve">.  According to the SCA, the </w:t>
      </w:r>
      <w:r w:rsidR="00AE0A82" w:rsidRPr="00855EE9">
        <w:rPr>
          <w:rFonts w:ascii="Arial" w:hAnsi="Arial" w:cs="Arial"/>
          <w:sz w:val="24"/>
          <w:szCs w:val="24"/>
        </w:rPr>
        <w:t xml:space="preserve">error was material because it distorted her discretion in the sense that it caused her to fail to apply her mind properly to the criteria that should have been used for eligibility.  </w:t>
      </w:r>
    </w:p>
    <w:p w14:paraId="6F6D9B2F" w14:textId="7A5D4C59" w:rsidR="00610110" w:rsidRPr="007044B7" w:rsidRDefault="00FF3D03" w:rsidP="00C6348E">
      <w:pPr>
        <w:spacing w:before="120" w:after="360" w:line="480" w:lineRule="auto"/>
        <w:jc w:val="both"/>
        <w:rPr>
          <w:rFonts w:ascii="Arial" w:hAnsi="Arial" w:cs="Arial"/>
          <w:b/>
          <w:bCs/>
          <w:sz w:val="24"/>
          <w:szCs w:val="24"/>
        </w:rPr>
      </w:pPr>
      <w:r w:rsidRPr="007044B7">
        <w:rPr>
          <w:rFonts w:ascii="Arial" w:hAnsi="Arial" w:cs="Arial"/>
          <w:b/>
          <w:bCs/>
          <w:sz w:val="24"/>
          <w:szCs w:val="24"/>
        </w:rPr>
        <w:t>THE RESPONDENTS HAVE COMMITTED A REVIEWABLE IRREGULARITY</w:t>
      </w:r>
    </w:p>
    <w:p w14:paraId="1B0C8272" w14:textId="3C1DBE01" w:rsidR="00D17AD1"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21.</w:t>
      </w:r>
      <w:r w:rsidRPr="007044B7">
        <w:rPr>
          <w:rFonts w:ascii="Arial" w:hAnsi="Arial" w:cs="Arial"/>
          <w:sz w:val="24"/>
          <w:szCs w:val="24"/>
        </w:rPr>
        <w:tab/>
      </w:r>
      <w:r w:rsidR="00C264B2" w:rsidRPr="00855EE9">
        <w:rPr>
          <w:rFonts w:ascii="Arial" w:hAnsi="Arial" w:cs="Arial"/>
          <w:sz w:val="24"/>
          <w:szCs w:val="24"/>
        </w:rPr>
        <w:t>I have already quoted from the letters that were addressed to the applicant pursuant to</w:t>
      </w:r>
      <w:r w:rsidR="00616147" w:rsidRPr="00855EE9">
        <w:rPr>
          <w:rFonts w:ascii="Arial" w:hAnsi="Arial" w:cs="Arial"/>
          <w:sz w:val="24"/>
          <w:szCs w:val="24"/>
        </w:rPr>
        <w:t xml:space="preserve"> the determinations made under sections 8(4) and 8(</w:t>
      </w:r>
      <w:r w:rsidR="00456F76" w:rsidRPr="00855EE9">
        <w:rPr>
          <w:rFonts w:ascii="Arial" w:hAnsi="Arial" w:cs="Arial"/>
          <w:sz w:val="24"/>
          <w:szCs w:val="24"/>
        </w:rPr>
        <w:t>6</w:t>
      </w:r>
      <w:r w:rsidR="00616147" w:rsidRPr="00855EE9">
        <w:rPr>
          <w:rFonts w:ascii="Arial" w:hAnsi="Arial" w:cs="Arial"/>
          <w:sz w:val="24"/>
          <w:szCs w:val="24"/>
        </w:rPr>
        <w:t>)</w:t>
      </w:r>
      <w:r w:rsidR="00456F76" w:rsidRPr="00855EE9">
        <w:rPr>
          <w:rFonts w:ascii="Arial" w:hAnsi="Arial" w:cs="Arial"/>
          <w:sz w:val="24"/>
          <w:szCs w:val="24"/>
        </w:rPr>
        <w:t xml:space="preserve"> of the Immigration Act</w:t>
      </w:r>
      <w:r w:rsidR="00616147" w:rsidRPr="00855EE9">
        <w:rPr>
          <w:rFonts w:ascii="Arial" w:hAnsi="Arial" w:cs="Arial"/>
          <w:sz w:val="24"/>
          <w:szCs w:val="24"/>
        </w:rPr>
        <w:t>.</w:t>
      </w:r>
      <w:r w:rsidR="00DC7F4C" w:rsidRPr="00855EE9">
        <w:rPr>
          <w:rFonts w:ascii="Arial" w:hAnsi="Arial" w:cs="Arial"/>
          <w:sz w:val="24"/>
          <w:szCs w:val="24"/>
        </w:rPr>
        <w:t xml:space="preserve">  The following aspects of those letters warrant </w:t>
      </w:r>
      <w:r w:rsidR="0086275F" w:rsidRPr="00855EE9">
        <w:rPr>
          <w:rFonts w:ascii="Arial" w:hAnsi="Arial" w:cs="Arial"/>
          <w:sz w:val="24"/>
          <w:szCs w:val="24"/>
        </w:rPr>
        <w:t>emphasis</w:t>
      </w:r>
      <w:r w:rsidR="00DC7F4C" w:rsidRPr="00855EE9">
        <w:rPr>
          <w:rFonts w:ascii="Arial" w:hAnsi="Arial" w:cs="Arial"/>
          <w:sz w:val="24"/>
          <w:szCs w:val="24"/>
        </w:rPr>
        <w:t>:</w:t>
      </w:r>
    </w:p>
    <w:p w14:paraId="68D74E11" w14:textId="156165E1" w:rsidR="00DC7F4C"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21.1.</w:t>
      </w:r>
      <w:r w:rsidRPr="007044B7">
        <w:rPr>
          <w:rFonts w:ascii="Arial" w:hAnsi="Arial" w:cs="Arial"/>
          <w:sz w:val="24"/>
          <w:szCs w:val="24"/>
        </w:rPr>
        <w:tab/>
      </w:r>
      <w:r w:rsidR="00E3774B" w:rsidRPr="00855EE9">
        <w:rPr>
          <w:rFonts w:ascii="Arial" w:hAnsi="Arial" w:cs="Arial"/>
          <w:sz w:val="24"/>
          <w:szCs w:val="24"/>
          <w:u w:val="single"/>
        </w:rPr>
        <w:t>First</w:t>
      </w:r>
      <w:r w:rsidR="00E3774B" w:rsidRPr="00855EE9">
        <w:rPr>
          <w:rFonts w:ascii="Arial" w:hAnsi="Arial" w:cs="Arial"/>
          <w:sz w:val="24"/>
          <w:szCs w:val="24"/>
        </w:rPr>
        <w:t>, the letter</w:t>
      </w:r>
      <w:r w:rsidR="00A00144" w:rsidRPr="00855EE9">
        <w:rPr>
          <w:rFonts w:ascii="Arial" w:hAnsi="Arial" w:cs="Arial"/>
          <w:sz w:val="24"/>
          <w:szCs w:val="24"/>
        </w:rPr>
        <w:t>s</w:t>
      </w:r>
      <w:r w:rsidR="00E3774B" w:rsidRPr="00855EE9">
        <w:rPr>
          <w:rFonts w:ascii="Arial" w:hAnsi="Arial" w:cs="Arial"/>
          <w:sz w:val="24"/>
          <w:szCs w:val="24"/>
        </w:rPr>
        <w:t xml:space="preserve"> refer to </w:t>
      </w:r>
      <w:r w:rsidR="00BC1124" w:rsidRPr="00855EE9">
        <w:rPr>
          <w:rFonts w:ascii="Arial" w:hAnsi="Arial" w:cs="Arial"/>
          <w:sz w:val="24"/>
          <w:szCs w:val="24"/>
        </w:rPr>
        <w:t>a decision to reject the applicant’s “application for temporary residence visa</w:t>
      </w:r>
      <w:r w:rsidR="00E470A4" w:rsidRPr="00855EE9">
        <w:rPr>
          <w:rFonts w:ascii="Arial" w:hAnsi="Arial" w:cs="Arial"/>
          <w:sz w:val="24"/>
          <w:szCs w:val="24"/>
        </w:rPr>
        <w:t>”</w:t>
      </w:r>
      <w:r w:rsidR="00BC1124" w:rsidRPr="00855EE9">
        <w:rPr>
          <w:rFonts w:ascii="Arial" w:hAnsi="Arial" w:cs="Arial"/>
          <w:sz w:val="24"/>
          <w:szCs w:val="24"/>
        </w:rPr>
        <w:t>.</w:t>
      </w:r>
      <w:r w:rsidR="00E470A4" w:rsidRPr="00855EE9">
        <w:rPr>
          <w:rFonts w:ascii="Arial" w:hAnsi="Arial" w:cs="Arial"/>
          <w:sz w:val="24"/>
          <w:szCs w:val="24"/>
        </w:rPr>
        <w:t xml:space="preserve">  It is clear on the evidence that no application for a “temporary residence visa</w:t>
      </w:r>
      <w:r w:rsidR="00DB5EF6" w:rsidRPr="00855EE9">
        <w:rPr>
          <w:rFonts w:ascii="Arial" w:hAnsi="Arial" w:cs="Arial"/>
          <w:sz w:val="24"/>
          <w:szCs w:val="24"/>
        </w:rPr>
        <w:t>” was made</w:t>
      </w:r>
      <w:r w:rsidR="00011242" w:rsidRPr="00855EE9">
        <w:rPr>
          <w:rFonts w:ascii="Arial" w:hAnsi="Arial" w:cs="Arial"/>
          <w:sz w:val="24"/>
          <w:szCs w:val="24"/>
        </w:rPr>
        <w:t>; the application was for a critical skills visa</w:t>
      </w:r>
      <w:r w:rsidR="00DB5EF6" w:rsidRPr="00855EE9">
        <w:rPr>
          <w:rFonts w:ascii="Arial" w:hAnsi="Arial" w:cs="Arial"/>
          <w:sz w:val="24"/>
          <w:szCs w:val="24"/>
        </w:rPr>
        <w:t xml:space="preserve">.  </w:t>
      </w:r>
      <w:r w:rsidR="00557D1F" w:rsidRPr="00855EE9">
        <w:rPr>
          <w:rFonts w:ascii="Arial" w:hAnsi="Arial" w:cs="Arial"/>
          <w:sz w:val="24"/>
          <w:szCs w:val="24"/>
        </w:rPr>
        <w:t xml:space="preserve">While it may be that </w:t>
      </w:r>
      <w:r w:rsidR="00CE2D67" w:rsidRPr="00855EE9">
        <w:rPr>
          <w:rFonts w:ascii="Arial" w:hAnsi="Arial" w:cs="Arial"/>
          <w:sz w:val="24"/>
          <w:szCs w:val="24"/>
        </w:rPr>
        <w:t xml:space="preserve">in terms of section 10 of the Immigration Act, a critical skills visa is a form of </w:t>
      </w:r>
      <w:r w:rsidR="0043172C" w:rsidRPr="00855EE9">
        <w:rPr>
          <w:rFonts w:ascii="Arial" w:hAnsi="Arial" w:cs="Arial"/>
          <w:sz w:val="24"/>
          <w:szCs w:val="24"/>
        </w:rPr>
        <w:t xml:space="preserve">temporary residence visa, </w:t>
      </w:r>
      <w:r w:rsidR="00F6612C" w:rsidRPr="00855EE9">
        <w:rPr>
          <w:rFonts w:ascii="Arial" w:hAnsi="Arial" w:cs="Arial"/>
          <w:sz w:val="24"/>
          <w:szCs w:val="24"/>
        </w:rPr>
        <w:t xml:space="preserve">in the present instance, the application was </w:t>
      </w:r>
      <w:r w:rsidR="001A193B" w:rsidRPr="00855EE9">
        <w:rPr>
          <w:rFonts w:ascii="Arial" w:hAnsi="Arial" w:cs="Arial"/>
          <w:sz w:val="24"/>
          <w:szCs w:val="24"/>
          <w:u w:val="single"/>
        </w:rPr>
        <w:t xml:space="preserve">specifically for </w:t>
      </w:r>
      <w:r w:rsidR="00F6612C" w:rsidRPr="00855EE9">
        <w:rPr>
          <w:rFonts w:ascii="Arial" w:hAnsi="Arial" w:cs="Arial"/>
          <w:sz w:val="24"/>
          <w:szCs w:val="24"/>
          <w:u w:val="single"/>
        </w:rPr>
        <w:t>a cr</w:t>
      </w:r>
      <w:r w:rsidR="001A193B" w:rsidRPr="00855EE9">
        <w:rPr>
          <w:rFonts w:ascii="Arial" w:hAnsi="Arial" w:cs="Arial"/>
          <w:sz w:val="24"/>
          <w:szCs w:val="24"/>
          <w:u w:val="single"/>
        </w:rPr>
        <w:t xml:space="preserve">itical </w:t>
      </w:r>
      <w:r w:rsidR="00F6612C" w:rsidRPr="00855EE9">
        <w:rPr>
          <w:rFonts w:ascii="Arial" w:hAnsi="Arial" w:cs="Arial"/>
          <w:sz w:val="24"/>
          <w:szCs w:val="24"/>
          <w:u w:val="single"/>
        </w:rPr>
        <w:t>skills visa</w:t>
      </w:r>
      <w:r w:rsidR="00F6612C" w:rsidRPr="00855EE9">
        <w:rPr>
          <w:rFonts w:ascii="Arial" w:hAnsi="Arial" w:cs="Arial"/>
          <w:sz w:val="24"/>
          <w:szCs w:val="24"/>
        </w:rPr>
        <w:t xml:space="preserve">, </w:t>
      </w:r>
      <w:r w:rsidR="0074422D" w:rsidRPr="00855EE9">
        <w:rPr>
          <w:rFonts w:ascii="Arial" w:hAnsi="Arial" w:cs="Arial"/>
          <w:sz w:val="24"/>
          <w:szCs w:val="24"/>
        </w:rPr>
        <w:t>the granting of which is governed by its own specific criteria</w:t>
      </w:r>
      <w:r w:rsidR="00F71FD3" w:rsidRPr="00855EE9">
        <w:rPr>
          <w:rFonts w:ascii="Arial" w:hAnsi="Arial" w:cs="Arial"/>
          <w:sz w:val="24"/>
          <w:szCs w:val="24"/>
        </w:rPr>
        <w:t xml:space="preserve">.  </w:t>
      </w:r>
      <w:r w:rsidR="00ED370A" w:rsidRPr="00855EE9">
        <w:rPr>
          <w:rFonts w:ascii="Arial" w:hAnsi="Arial" w:cs="Arial"/>
          <w:sz w:val="24"/>
          <w:szCs w:val="24"/>
        </w:rPr>
        <w:t xml:space="preserve">The criteria applicable to a critical skills visa is not </w:t>
      </w:r>
      <w:r w:rsidR="00ED6D68" w:rsidRPr="00855EE9">
        <w:rPr>
          <w:rFonts w:ascii="Arial" w:hAnsi="Arial" w:cs="Arial"/>
          <w:sz w:val="24"/>
          <w:szCs w:val="24"/>
        </w:rPr>
        <w:t xml:space="preserve">the same as that for other </w:t>
      </w:r>
      <w:r w:rsidR="00EC1562" w:rsidRPr="00855EE9">
        <w:rPr>
          <w:rFonts w:ascii="Arial" w:hAnsi="Arial" w:cs="Arial"/>
          <w:sz w:val="24"/>
          <w:szCs w:val="24"/>
        </w:rPr>
        <w:t>temporary residence visas.  The application accordingly fell to be</w:t>
      </w:r>
      <w:r w:rsidR="00F14492" w:rsidRPr="00855EE9">
        <w:rPr>
          <w:rFonts w:ascii="Arial" w:hAnsi="Arial" w:cs="Arial"/>
          <w:sz w:val="24"/>
          <w:szCs w:val="24"/>
        </w:rPr>
        <w:t xml:space="preserve"> </w:t>
      </w:r>
      <w:r w:rsidR="00ED6D68" w:rsidRPr="00855EE9">
        <w:rPr>
          <w:rFonts w:ascii="Arial" w:hAnsi="Arial" w:cs="Arial"/>
          <w:sz w:val="24"/>
          <w:szCs w:val="24"/>
        </w:rPr>
        <w:t xml:space="preserve">considered </w:t>
      </w:r>
      <w:r w:rsidR="00F14492" w:rsidRPr="00855EE9">
        <w:rPr>
          <w:rFonts w:ascii="Arial" w:hAnsi="Arial" w:cs="Arial"/>
          <w:sz w:val="24"/>
          <w:szCs w:val="24"/>
        </w:rPr>
        <w:t xml:space="preserve">as an application for a critical skills visa. </w:t>
      </w:r>
      <w:r w:rsidR="00C61922" w:rsidRPr="00855EE9">
        <w:rPr>
          <w:rFonts w:ascii="Arial" w:hAnsi="Arial" w:cs="Arial"/>
          <w:sz w:val="24"/>
          <w:szCs w:val="24"/>
        </w:rPr>
        <w:t xml:space="preserve">The reference in the letters to </w:t>
      </w:r>
      <w:r w:rsidR="002C420C" w:rsidRPr="00855EE9">
        <w:rPr>
          <w:rFonts w:ascii="Arial" w:hAnsi="Arial" w:cs="Arial"/>
          <w:sz w:val="24"/>
          <w:szCs w:val="24"/>
        </w:rPr>
        <w:t>the application as a generic temporary residence visa</w:t>
      </w:r>
      <w:r w:rsidR="00C61922" w:rsidRPr="00855EE9">
        <w:rPr>
          <w:rFonts w:ascii="Arial" w:hAnsi="Arial" w:cs="Arial"/>
          <w:sz w:val="24"/>
          <w:szCs w:val="24"/>
        </w:rPr>
        <w:t xml:space="preserve"> is accordingly erroneous</w:t>
      </w:r>
      <w:r w:rsidR="00DB5EF6" w:rsidRPr="00855EE9">
        <w:rPr>
          <w:rFonts w:ascii="Arial" w:hAnsi="Arial" w:cs="Arial"/>
          <w:sz w:val="24"/>
          <w:szCs w:val="24"/>
        </w:rPr>
        <w:t>.</w:t>
      </w:r>
    </w:p>
    <w:p w14:paraId="43FB82DA" w14:textId="3CD8DCC0" w:rsidR="009A14E0"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21.2.</w:t>
      </w:r>
      <w:r w:rsidRPr="007044B7">
        <w:rPr>
          <w:rFonts w:ascii="Arial" w:hAnsi="Arial" w:cs="Arial"/>
          <w:sz w:val="24"/>
          <w:szCs w:val="24"/>
        </w:rPr>
        <w:tab/>
      </w:r>
      <w:r w:rsidR="00A00144" w:rsidRPr="00855EE9">
        <w:rPr>
          <w:rFonts w:ascii="Arial" w:hAnsi="Arial" w:cs="Arial"/>
          <w:sz w:val="24"/>
          <w:szCs w:val="24"/>
          <w:u w:val="single"/>
        </w:rPr>
        <w:t>Second</w:t>
      </w:r>
      <w:r w:rsidR="00A00144" w:rsidRPr="00855EE9">
        <w:rPr>
          <w:rFonts w:ascii="Arial" w:hAnsi="Arial" w:cs="Arial"/>
          <w:sz w:val="24"/>
          <w:szCs w:val="24"/>
        </w:rPr>
        <w:t xml:space="preserve">, </w:t>
      </w:r>
      <w:r w:rsidR="00482302" w:rsidRPr="00855EE9">
        <w:rPr>
          <w:rFonts w:ascii="Arial" w:hAnsi="Arial" w:cs="Arial"/>
          <w:sz w:val="24"/>
          <w:szCs w:val="24"/>
        </w:rPr>
        <w:t xml:space="preserve">the letters refer to an application in terms of section 19(1) of the Immigration Act.  It is common cause that section 19(1) of the Immigration Act has been </w:t>
      </w:r>
      <w:r w:rsidR="009A14E0" w:rsidRPr="00855EE9">
        <w:rPr>
          <w:rFonts w:ascii="Arial" w:hAnsi="Arial" w:cs="Arial"/>
          <w:sz w:val="24"/>
          <w:szCs w:val="24"/>
        </w:rPr>
        <w:t>deleted by section 12 (a) of Act 13 of 2011 (wef 26 May 2014).  This aspect of the letters is accordingly erroneous.</w:t>
      </w:r>
    </w:p>
    <w:p w14:paraId="7DF90C67" w14:textId="1191D0B8" w:rsidR="007528A0"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21.3.</w:t>
      </w:r>
      <w:r w:rsidRPr="007044B7">
        <w:rPr>
          <w:rFonts w:ascii="Arial" w:hAnsi="Arial" w:cs="Arial"/>
          <w:sz w:val="24"/>
          <w:szCs w:val="24"/>
        </w:rPr>
        <w:tab/>
      </w:r>
      <w:r w:rsidR="007528A0" w:rsidRPr="00855EE9">
        <w:rPr>
          <w:rFonts w:ascii="Arial" w:hAnsi="Arial" w:cs="Arial"/>
          <w:sz w:val="24"/>
          <w:szCs w:val="24"/>
          <w:u w:val="single"/>
        </w:rPr>
        <w:t>Third</w:t>
      </w:r>
      <w:r w:rsidR="007528A0" w:rsidRPr="00855EE9">
        <w:rPr>
          <w:rFonts w:ascii="Arial" w:hAnsi="Arial" w:cs="Arial"/>
          <w:sz w:val="24"/>
          <w:szCs w:val="24"/>
        </w:rPr>
        <w:t xml:space="preserve">, the letters advise that the applicant </w:t>
      </w:r>
      <w:r w:rsidR="006B6F4C" w:rsidRPr="00855EE9">
        <w:rPr>
          <w:rFonts w:ascii="Arial" w:hAnsi="Arial" w:cs="Arial"/>
          <w:sz w:val="24"/>
          <w:szCs w:val="24"/>
        </w:rPr>
        <w:t xml:space="preserve">was “supposed to have </w:t>
      </w:r>
      <w:r w:rsidR="00376387" w:rsidRPr="00855EE9">
        <w:rPr>
          <w:rFonts w:ascii="Arial" w:hAnsi="Arial" w:cs="Arial"/>
          <w:sz w:val="24"/>
          <w:szCs w:val="24"/>
        </w:rPr>
        <w:t xml:space="preserve">lodged </w:t>
      </w:r>
      <w:r w:rsidR="006B6F4C" w:rsidRPr="00855EE9">
        <w:rPr>
          <w:rFonts w:ascii="Arial" w:hAnsi="Arial" w:cs="Arial"/>
          <w:sz w:val="24"/>
          <w:szCs w:val="24"/>
          <w:u w:val="single"/>
        </w:rPr>
        <w:t xml:space="preserve">renewal of your </w:t>
      </w:r>
      <w:r w:rsidR="00376387" w:rsidRPr="00855EE9">
        <w:rPr>
          <w:rFonts w:ascii="Arial" w:hAnsi="Arial" w:cs="Arial"/>
          <w:sz w:val="24"/>
          <w:szCs w:val="24"/>
          <w:u w:val="single"/>
        </w:rPr>
        <w:t>v</w:t>
      </w:r>
      <w:r w:rsidR="006B6F4C" w:rsidRPr="00855EE9">
        <w:rPr>
          <w:rFonts w:ascii="Arial" w:hAnsi="Arial" w:cs="Arial"/>
          <w:sz w:val="24"/>
          <w:szCs w:val="24"/>
          <w:u w:val="single"/>
        </w:rPr>
        <w:t>isa application</w:t>
      </w:r>
      <w:r w:rsidR="006B6F4C" w:rsidRPr="00855EE9">
        <w:rPr>
          <w:rFonts w:ascii="Arial" w:hAnsi="Arial" w:cs="Arial"/>
          <w:sz w:val="24"/>
          <w:szCs w:val="24"/>
        </w:rPr>
        <w:t xml:space="preserve"> within the stipulated period”.</w:t>
      </w:r>
      <w:r w:rsidR="007F1F36" w:rsidRPr="00855EE9">
        <w:rPr>
          <w:rFonts w:ascii="Arial" w:hAnsi="Arial" w:cs="Arial"/>
          <w:sz w:val="24"/>
          <w:szCs w:val="24"/>
        </w:rPr>
        <w:t xml:space="preserve">  This aspect of the letter</w:t>
      </w:r>
      <w:r w:rsidR="00187676" w:rsidRPr="00855EE9">
        <w:rPr>
          <w:rFonts w:ascii="Arial" w:hAnsi="Arial" w:cs="Arial"/>
          <w:sz w:val="24"/>
          <w:szCs w:val="24"/>
        </w:rPr>
        <w:t>s</w:t>
      </w:r>
      <w:r w:rsidR="007F1F36" w:rsidRPr="00855EE9">
        <w:rPr>
          <w:rFonts w:ascii="Arial" w:hAnsi="Arial" w:cs="Arial"/>
          <w:sz w:val="24"/>
          <w:szCs w:val="24"/>
        </w:rPr>
        <w:t xml:space="preserve"> is vague</w:t>
      </w:r>
      <w:r w:rsidR="00EE5BBE" w:rsidRPr="00855EE9">
        <w:rPr>
          <w:rFonts w:ascii="Arial" w:hAnsi="Arial" w:cs="Arial"/>
          <w:sz w:val="24"/>
          <w:szCs w:val="24"/>
        </w:rPr>
        <w:t xml:space="preserve">, </w:t>
      </w:r>
      <w:r w:rsidR="007F1F36" w:rsidRPr="00855EE9">
        <w:rPr>
          <w:rFonts w:ascii="Arial" w:hAnsi="Arial" w:cs="Arial"/>
          <w:sz w:val="24"/>
          <w:szCs w:val="24"/>
        </w:rPr>
        <w:t xml:space="preserve">incoherent </w:t>
      </w:r>
      <w:r w:rsidR="00EE5BBE" w:rsidRPr="00855EE9">
        <w:rPr>
          <w:rFonts w:ascii="Arial" w:hAnsi="Arial" w:cs="Arial"/>
          <w:sz w:val="24"/>
          <w:szCs w:val="24"/>
        </w:rPr>
        <w:t xml:space="preserve">and erroneous </w:t>
      </w:r>
      <w:r w:rsidR="001576E2" w:rsidRPr="00855EE9">
        <w:rPr>
          <w:rFonts w:ascii="Arial" w:hAnsi="Arial" w:cs="Arial"/>
          <w:sz w:val="24"/>
          <w:szCs w:val="24"/>
        </w:rPr>
        <w:t xml:space="preserve">in that: (a) the visa application that was before the Department was for a critical skills visa; (b) </w:t>
      </w:r>
      <w:r w:rsidR="00233E9D" w:rsidRPr="00855EE9">
        <w:rPr>
          <w:rFonts w:ascii="Arial" w:hAnsi="Arial" w:cs="Arial"/>
          <w:sz w:val="24"/>
          <w:szCs w:val="24"/>
        </w:rPr>
        <w:t xml:space="preserve">there was no prior critical skills visa and therefore the question of a </w:t>
      </w:r>
      <w:r w:rsidR="00233E9D" w:rsidRPr="00855EE9">
        <w:rPr>
          <w:rFonts w:ascii="Arial" w:hAnsi="Arial" w:cs="Arial"/>
          <w:sz w:val="24"/>
          <w:szCs w:val="24"/>
          <w:u w:val="single"/>
        </w:rPr>
        <w:t>renewal</w:t>
      </w:r>
      <w:r w:rsidR="00233E9D" w:rsidRPr="00855EE9">
        <w:rPr>
          <w:rFonts w:ascii="Arial" w:hAnsi="Arial" w:cs="Arial"/>
          <w:sz w:val="24"/>
          <w:szCs w:val="24"/>
        </w:rPr>
        <w:t xml:space="preserve"> of that application did not arise</w:t>
      </w:r>
      <w:r w:rsidR="00F24213" w:rsidRPr="00855EE9">
        <w:rPr>
          <w:rFonts w:ascii="Arial" w:hAnsi="Arial" w:cs="Arial"/>
          <w:sz w:val="24"/>
          <w:szCs w:val="24"/>
        </w:rPr>
        <w:t xml:space="preserve">; (c) there is no “stipulated period” for </w:t>
      </w:r>
      <w:r w:rsidR="00CD5C35" w:rsidRPr="00855EE9">
        <w:rPr>
          <w:rFonts w:ascii="Arial" w:hAnsi="Arial" w:cs="Arial"/>
          <w:sz w:val="24"/>
          <w:szCs w:val="24"/>
        </w:rPr>
        <w:t>applying for a critical skills visa.</w:t>
      </w:r>
    </w:p>
    <w:p w14:paraId="75A2A6BF" w14:textId="6AE94004" w:rsidR="0084743C"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21.4.</w:t>
      </w:r>
      <w:r w:rsidRPr="007044B7">
        <w:rPr>
          <w:rFonts w:ascii="Arial" w:hAnsi="Arial" w:cs="Arial"/>
          <w:sz w:val="24"/>
          <w:szCs w:val="24"/>
        </w:rPr>
        <w:tab/>
      </w:r>
      <w:r w:rsidR="0084743C" w:rsidRPr="00855EE9">
        <w:rPr>
          <w:rFonts w:ascii="Arial" w:hAnsi="Arial" w:cs="Arial"/>
          <w:sz w:val="24"/>
          <w:szCs w:val="24"/>
          <w:u w:val="single"/>
        </w:rPr>
        <w:t>Fourth</w:t>
      </w:r>
      <w:r w:rsidR="0084743C" w:rsidRPr="00855EE9">
        <w:rPr>
          <w:rFonts w:ascii="Arial" w:hAnsi="Arial" w:cs="Arial"/>
          <w:sz w:val="24"/>
          <w:szCs w:val="24"/>
        </w:rPr>
        <w:t xml:space="preserve">, the letters did not refer to non-compliance with any of the peremptory requirements for </w:t>
      </w:r>
      <w:r w:rsidR="00B824E0" w:rsidRPr="00855EE9">
        <w:rPr>
          <w:rFonts w:ascii="Arial" w:hAnsi="Arial" w:cs="Arial"/>
          <w:sz w:val="24"/>
          <w:szCs w:val="24"/>
        </w:rPr>
        <w:t>a critical skills visa.</w:t>
      </w:r>
    </w:p>
    <w:p w14:paraId="3F9CCE88" w14:textId="2B88E313" w:rsidR="009A14E0"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22.</w:t>
      </w:r>
      <w:r w:rsidRPr="007044B7">
        <w:rPr>
          <w:rFonts w:ascii="Arial" w:hAnsi="Arial" w:cs="Arial"/>
          <w:sz w:val="24"/>
          <w:szCs w:val="24"/>
        </w:rPr>
        <w:tab/>
      </w:r>
      <w:r w:rsidR="000A5313" w:rsidRPr="00855EE9">
        <w:rPr>
          <w:rFonts w:ascii="Arial" w:hAnsi="Arial" w:cs="Arial"/>
          <w:sz w:val="24"/>
          <w:szCs w:val="24"/>
        </w:rPr>
        <w:t xml:space="preserve">In my view, the above difficulties with the letters </w:t>
      </w:r>
      <w:r w:rsidR="00D01FE9" w:rsidRPr="00855EE9">
        <w:rPr>
          <w:rFonts w:ascii="Arial" w:hAnsi="Arial" w:cs="Arial"/>
          <w:sz w:val="24"/>
          <w:szCs w:val="24"/>
        </w:rPr>
        <w:t xml:space="preserve">arise from an objective reading of them.  On the evidence, it is also clear that the applicant </w:t>
      </w:r>
      <w:r w:rsidR="000E0948" w:rsidRPr="00855EE9">
        <w:rPr>
          <w:rFonts w:ascii="Arial" w:hAnsi="Arial" w:cs="Arial"/>
          <w:sz w:val="24"/>
          <w:szCs w:val="24"/>
        </w:rPr>
        <w:t xml:space="preserve">was confused by </w:t>
      </w:r>
      <w:r w:rsidR="00240427" w:rsidRPr="00855EE9">
        <w:rPr>
          <w:rFonts w:ascii="Arial" w:hAnsi="Arial" w:cs="Arial"/>
          <w:sz w:val="24"/>
          <w:szCs w:val="24"/>
        </w:rPr>
        <w:t xml:space="preserve">the letter written in respect to the application under section 8(4).  </w:t>
      </w:r>
      <w:r w:rsidR="007F2E59" w:rsidRPr="00855EE9">
        <w:rPr>
          <w:rFonts w:ascii="Arial" w:hAnsi="Arial" w:cs="Arial"/>
          <w:sz w:val="24"/>
          <w:szCs w:val="24"/>
        </w:rPr>
        <w:t>In his appeal, he therefore clarified that:</w:t>
      </w:r>
    </w:p>
    <w:p w14:paraId="667C0A1C" w14:textId="53FB903F" w:rsidR="009A14E0"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22.1.</w:t>
      </w:r>
      <w:r w:rsidRPr="007044B7">
        <w:rPr>
          <w:rFonts w:ascii="Arial" w:hAnsi="Arial" w:cs="Arial"/>
          <w:sz w:val="24"/>
          <w:szCs w:val="24"/>
        </w:rPr>
        <w:tab/>
      </w:r>
      <w:r w:rsidR="00CE7420" w:rsidRPr="00855EE9">
        <w:rPr>
          <w:rFonts w:ascii="Arial" w:hAnsi="Arial" w:cs="Arial"/>
          <w:sz w:val="24"/>
          <w:szCs w:val="24"/>
        </w:rPr>
        <w:t>He had applied in terms of section 19(4)</w:t>
      </w:r>
      <w:r w:rsidR="00CB6313" w:rsidRPr="00855EE9">
        <w:rPr>
          <w:rFonts w:ascii="Arial" w:hAnsi="Arial" w:cs="Arial"/>
          <w:sz w:val="24"/>
          <w:szCs w:val="24"/>
        </w:rPr>
        <w:t xml:space="preserve"> and that section 19(1) (which the first respondent had relied on) found no application</w:t>
      </w:r>
      <w:r w:rsidR="00AD19FF" w:rsidRPr="00855EE9">
        <w:rPr>
          <w:rFonts w:ascii="Arial" w:hAnsi="Arial" w:cs="Arial"/>
          <w:sz w:val="24"/>
          <w:szCs w:val="24"/>
        </w:rPr>
        <w:t>.</w:t>
      </w:r>
    </w:p>
    <w:p w14:paraId="591CCE95" w14:textId="4ADF2DA6" w:rsidR="00AD19FF"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22.2.</w:t>
      </w:r>
      <w:r w:rsidRPr="007044B7">
        <w:rPr>
          <w:rFonts w:ascii="Arial" w:hAnsi="Arial" w:cs="Arial"/>
          <w:sz w:val="24"/>
          <w:szCs w:val="24"/>
        </w:rPr>
        <w:tab/>
      </w:r>
      <w:r w:rsidR="00777D11" w:rsidRPr="00855EE9">
        <w:rPr>
          <w:rFonts w:ascii="Arial" w:hAnsi="Arial" w:cs="Arial"/>
          <w:sz w:val="24"/>
          <w:szCs w:val="24"/>
        </w:rPr>
        <w:t>He had made no application for a renewal of a cr</w:t>
      </w:r>
      <w:r w:rsidR="001916AD" w:rsidRPr="00855EE9">
        <w:rPr>
          <w:rFonts w:ascii="Arial" w:hAnsi="Arial" w:cs="Arial"/>
          <w:sz w:val="24"/>
          <w:szCs w:val="24"/>
        </w:rPr>
        <w:t xml:space="preserve">itical </w:t>
      </w:r>
      <w:r w:rsidR="00777D11" w:rsidRPr="00855EE9">
        <w:rPr>
          <w:rFonts w:ascii="Arial" w:hAnsi="Arial" w:cs="Arial"/>
          <w:sz w:val="24"/>
          <w:szCs w:val="24"/>
        </w:rPr>
        <w:t>skills visa</w:t>
      </w:r>
      <w:r w:rsidR="00587322" w:rsidRPr="00855EE9">
        <w:rPr>
          <w:rFonts w:ascii="Arial" w:hAnsi="Arial" w:cs="Arial"/>
          <w:sz w:val="24"/>
          <w:szCs w:val="24"/>
        </w:rPr>
        <w:t>.</w:t>
      </w:r>
    </w:p>
    <w:p w14:paraId="2F6BC531" w14:textId="575AAF9B" w:rsidR="00587322"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22.3.</w:t>
      </w:r>
      <w:r w:rsidRPr="007044B7">
        <w:rPr>
          <w:rFonts w:ascii="Arial" w:hAnsi="Arial" w:cs="Arial"/>
          <w:sz w:val="24"/>
          <w:szCs w:val="24"/>
        </w:rPr>
        <w:tab/>
      </w:r>
      <w:r w:rsidR="00587322" w:rsidRPr="00855EE9">
        <w:rPr>
          <w:rFonts w:ascii="Arial" w:hAnsi="Arial" w:cs="Arial"/>
          <w:sz w:val="24"/>
          <w:szCs w:val="24"/>
        </w:rPr>
        <w:t>The legislative and regulatory framework made no reference to a “stipulated period”.</w:t>
      </w:r>
    </w:p>
    <w:p w14:paraId="65CB63B7" w14:textId="35F8F30C" w:rsidR="00DC7F4C"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23.</w:t>
      </w:r>
      <w:r w:rsidRPr="007044B7">
        <w:rPr>
          <w:rFonts w:ascii="Arial" w:hAnsi="Arial" w:cs="Arial"/>
          <w:sz w:val="24"/>
          <w:szCs w:val="24"/>
        </w:rPr>
        <w:tab/>
      </w:r>
      <w:r w:rsidR="00251189" w:rsidRPr="00855EE9">
        <w:rPr>
          <w:rFonts w:ascii="Arial" w:hAnsi="Arial" w:cs="Arial"/>
          <w:sz w:val="24"/>
          <w:szCs w:val="24"/>
        </w:rPr>
        <w:t xml:space="preserve">Notwithstanding the </w:t>
      </w:r>
      <w:r w:rsidR="00805C49" w:rsidRPr="00855EE9">
        <w:rPr>
          <w:rFonts w:ascii="Arial" w:hAnsi="Arial" w:cs="Arial"/>
          <w:sz w:val="24"/>
          <w:szCs w:val="24"/>
        </w:rPr>
        <w:t xml:space="preserve">submissions made by the applicant in his appeal, the determination pursuant to section 8(6) of the Immigration Act </w:t>
      </w:r>
      <w:r w:rsidR="00B92AA9" w:rsidRPr="00855EE9">
        <w:rPr>
          <w:rFonts w:ascii="Arial" w:hAnsi="Arial" w:cs="Arial"/>
          <w:sz w:val="24"/>
          <w:szCs w:val="24"/>
        </w:rPr>
        <w:t xml:space="preserve">does not engage with any of those issues.  Instead, </w:t>
      </w:r>
      <w:r w:rsidR="00883183" w:rsidRPr="00855EE9">
        <w:rPr>
          <w:rFonts w:ascii="Arial" w:hAnsi="Arial" w:cs="Arial"/>
          <w:sz w:val="24"/>
          <w:szCs w:val="24"/>
        </w:rPr>
        <w:t>it states:</w:t>
      </w:r>
    </w:p>
    <w:p w14:paraId="7582F907" w14:textId="4CAE3B66" w:rsidR="000A60AD" w:rsidRPr="007044B7" w:rsidRDefault="000A60AD" w:rsidP="00C6348E">
      <w:pPr>
        <w:pStyle w:val="ListParagraph"/>
        <w:spacing w:before="120" w:after="360" w:line="240" w:lineRule="auto"/>
        <w:ind w:left="1440"/>
        <w:contextualSpacing w:val="0"/>
        <w:jc w:val="both"/>
        <w:rPr>
          <w:rFonts w:ascii="Arial" w:hAnsi="Arial" w:cs="Arial"/>
          <w:sz w:val="24"/>
          <w:szCs w:val="24"/>
        </w:rPr>
      </w:pPr>
      <w:r w:rsidRPr="007044B7">
        <w:rPr>
          <w:rFonts w:ascii="Arial" w:hAnsi="Arial" w:cs="Arial"/>
          <w:sz w:val="24"/>
          <w:szCs w:val="24"/>
        </w:rPr>
        <w:t xml:space="preserve">“I wish to inform you that I have decided to uphold the decision </w:t>
      </w:r>
      <w:r w:rsidRPr="007044B7">
        <w:rPr>
          <w:rFonts w:ascii="Arial" w:hAnsi="Arial" w:cs="Arial"/>
          <w:sz w:val="24"/>
          <w:szCs w:val="24"/>
          <w:u w:val="single"/>
        </w:rPr>
        <w:t>to reject your application for a temporary residence visa. My decision is based on the fact that you do not qualify for a temporary residence visa</w:t>
      </w:r>
      <w:r w:rsidRPr="007044B7">
        <w:rPr>
          <w:rFonts w:ascii="Arial" w:hAnsi="Arial" w:cs="Arial"/>
          <w:sz w:val="24"/>
          <w:szCs w:val="24"/>
        </w:rPr>
        <w:t xml:space="preserve"> in terms of </w:t>
      </w:r>
      <w:r w:rsidRPr="00C35E9B">
        <w:rPr>
          <w:rFonts w:ascii="Arial" w:hAnsi="Arial" w:cs="Arial"/>
          <w:sz w:val="24"/>
          <w:szCs w:val="24"/>
          <w:u w:val="single"/>
        </w:rPr>
        <w:t>section 19 (1)</w:t>
      </w:r>
      <w:r w:rsidRPr="007044B7">
        <w:rPr>
          <w:rFonts w:ascii="Arial" w:hAnsi="Arial" w:cs="Arial"/>
          <w:sz w:val="24"/>
          <w:szCs w:val="24"/>
        </w:rPr>
        <w:t xml:space="preserve"> of the Immigration Act, 2002 (Act 13 of 2002) as amended, because of the following: </w:t>
      </w:r>
    </w:p>
    <w:p w14:paraId="3C986F3D" w14:textId="324E2EAF" w:rsidR="000A60AD" w:rsidRPr="007044B7" w:rsidRDefault="000A60AD" w:rsidP="00C6348E">
      <w:pPr>
        <w:spacing w:before="120" w:after="360" w:line="240" w:lineRule="auto"/>
        <w:ind w:left="720" w:firstLine="720"/>
        <w:jc w:val="both"/>
        <w:rPr>
          <w:rFonts w:ascii="Arial" w:hAnsi="Arial" w:cs="Arial"/>
          <w:sz w:val="24"/>
          <w:szCs w:val="24"/>
        </w:rPr>
      </w:pPr>
      <w:r w:rsidRPr="007044B7">
        <w:rPr>
          <w:rFonts w:ascii="Arial" w:hAnsi="Arial" w:cs="Arial"/>
          <w:sz w:val="24"/>
          <w:szCs w:val="24"/>
        </w:rPr>
        <w:t>You failed to address the reasons outlined in your rejection letter.”</w:t>
      </w:r>
    </w:p>
    <w:p w14:paraId="58FB054C" w14:textId="5536F0B1" w:rsidR="00D17AD1" w:rsidRPr="00855EE9" w:rsidRDefault="00855EE9" w:rsidP="00855EE9">
      <w:pPr>
        <w:spacing w:before="120" w:after="360" w:line="480" w:lineRule="auto"/>
        <w:ind w:left="567" w:hanging="567"/>
        <w:jc w:val="both"/>
        <w:rPr>
          <w:rFonts w:ascii="Arial" w:hAnsi="Arial" w:cs="Arial"/>
          <w:sz w:val="24"/>
          <w:szCs w:val="24"/>
        </w:rPr>
      </w:pPr>
      <w:r>
        <w:rPr>
          <w:rFonts w:ascii="Arial" w:hAnsi="Arial" w:cs="Arial"/>
          <w:sz w:val="24"/>
          <w:szCs w:val="24"/>
        </w:rPr>
        <w:t>24.</w:t>
      </w:r>
      <w:r>
        <w:rPr>
          <w:rFonts w:ascii="Arial" w:hAnsi="Arial" w:cs="Arial"/>
          <w:sz w:val="24"/>
          <w:szCs w:val="24"/>
        </w:rPr>
        <w:tab/>
      </w:r>
      <w:r w:rsidR="00F66B96" w:rsidRPr="00855EE9">
        <w:rPr>
          <w:rFonts w:ascii="Arial" w:hAnsi="Arial" w:cs="Arial"/>
          <w:sz w:val="24"/>
          <w:szCs w:val="24"/>
        </w:rPr>
        <w:t xml:space="preserve">It is notable that in the answering affidavit, </w:t>
      </w:r>
      <w:r w:rsidR="00BE3D0A" w:rsidRPr="00855EE9">
        <w:rPr>
          <w:rFonts w:ascii="Arial" w:hAnsi="Arial" w:cs="Arial"/>
          <w:sz w:val="24"/>
          <w:szCs w:val="24"/>
        </w:rPr>
        <w:t xml:space="preserve">no clarity is shed on this issue.  Instead, </w:t>
      </w:r>
      <w:r w:rsidR="00C975E3" w:rsidRPr="00855EE9">
        <w:rPr>
          <w:rFonts w:ascii="Arial" w:hAnsi="Arial" w:cs="Arial"/>
          <w:sz w:val="24"/>
          <w:szCs w:val="24"/>
        </w:rPr>
        <w:t xml:space="preserve">it is alleged that: (a) </w:t>
      </w:r>
      <w:r w:rsidR="00690EA3" w:rsidRPr="00855EE9">
        <w:rPr>
          <w:rFonts w:ascii="Arial" w:hAnsi="Arial" w:cs="Arial"/>
          <w:sz w:val="24"/>
          <w:szCs w:val="24"/>
        </w:rPr>
        <w:t xml:space="preserve">the reasons for refusal to grant the critical skills visa were furnished and conveyed to the applicant; (b) </w:t>
      </w:r>
      <w:r w:rsidR="00F4243E" w:rsidRPr="00855EE9">
        <w:rPr>
          <w:rFonts w:ascii="Arial" w:hAnsi="Arial" w:cs="Arial"/>
          <w:sz w:val="24"/>
          <w:szCs w:val="24"/>
        </w:rPr>
        <w:t xml:space="preserve">the applicant is not exempted from meeting the requirements of section 19(4) of the </w:t>
      </w:r>
      <w:r w:rsidR="00F4243E" w:rsidRPr="00855EE9">
        <w:rPr>
          <w:rFonts w:ascii="Arial" w:hAnsi="Arial" w:cs="Arial"/>
          <w:sz w:val="24"/>
          <w:szCs w:val="24"/>
          <w:u w:val="single"/>
        </w:rPr>
        <w:t>Immigration Regulations</w:t>
      </w:r>
      <w:r w:rsidR="00F4243E" w:rsidRPr="00855EE9">
        <w:rPr>
          <w:rFonts w:ascii="Arial" w:hAnsi="Arial" w:cs="Arial"/>
          <w:sz w:val="24"/>
          <w:szCs w:val="24"/>
        </w:rPr>
        <w:t xml:space="preserve"> (</w:t>
      </w:r>
      <w:r w:rsidR="00860EB6" w:rsidRPr="00855EE9">
        <w:rPr>
          <w:rFonts w:ascii="Arial" w:hAnsi="Arial" w:cs="Arial"/>
          <w:sz w:val="24"/>
          <w:szCs w:val="24"/>
        </w:rPr>
        <w:t>it being common cause that there is no Regulation 19(4) and that Regulation 19 relate</w:t>
      </w:r>
      <w:r w:rsidR="0019251F" w:rsidRPr="00855EE9">
        <w:rPr>
          <w:rFonts w:ascii="Arial" w:hAnsi="Arial" w:cs="Arial"/>
          <w:sz w:val="24"/>
          <w:szCs w:val="24"/>
        </w:rPr>
        <w:t>s</w:t>
      </w:r>
      <w:r w:rsidR="00860EB6" w:rsidRPr="00855EE9">
        <w:rPr>
          <w:rFonts w:ascii="Arial" w:hAnsi="Arial" w:cs="Arial"/>
          <w:sz w:val="24"/>
          <w:szCs w:val="24"/>
        </w:rPr>
        <w:t xml:space="preserve"> to retired persons</w:t>
      </w:r>
      <w:r w:rsidR="00AE0AEA" w:rsidRPr="00855EE9">
        <w:rPr>
          <w:rFonts w:ascii="Arial" w:hAnsi="Arial" w:cs="Arial"/>
          <w:sz w:val="24"/>
          <w:szCs w:val="24"/>
        </w:rPr>
        <w:t xml:space="preserve"> visas);</w:t>
      </w:r>
      <w:r w:rsidR="00AE2A0C" w:rsidRPr="00855EE9">
        <w:rPr>
          <w:rFonts w:ascii="Arial" w:hAnsi="Arial" w:cs="Arial"/>
          <w:sz w:val="24"/>
          <w:szCs w:val="24"/>
        </w:rPr>
        <w:t xml:space="preserve"> </w:t>
      </w:r>
      <w:r w:rsidR="00062F96" w:rsidRPr="00855EE9">
        <w:rPr>
          <w:rFonts w:ascii="Arial" w:hAnsi="Arial" w:cs="Arial"/>
          <w:sz w:val="24"/>
          <w:szCs w:val="24"/>
        </w:rPr>
        <w:t>(c) the mistakes in the letters are attributable to “human error”.</w:t>
      </w:r>
    </w:p>
    <w:p w14:paraId="566EF2C0" w14:textId="4B15E691" w:rsidR="0055614B"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25.</w:t>
      </w:r>
      <w:r w:rsidRPr="007044B7">
        <w:rPr>
          <w:rFonts w:ascii="Arial" w:hAnsi="Arial" w:cs="Arial"/>
          <w:sz w:val="24"/>
          <w:szCs w:val="24"/>
        </w:rPr>
        <w:tab/>
      </w:r>
      <w:r w:rsidR="0055614B" w:rsidRPr="00855EE9">
        <w:rPr>
          <w:rFonts w:ascii="Arial" w:hAnsi="Arial" w:cs="Arial"/>
          <w:sz w:val="24"/>
          <w:szCs w:val="24"/>
        </w:rPr>
        <w:t xml:space="preserve">For </w:t>
      </w:r>
      <w:r w:rsidR="00B83832" w:rsidRPr="00855EE9">
        <w:rPr>
          <w:rFonts w:ascii="Arial" w:hAnsi="Arial" w:cs="Arial"/>
          <w:sz w:val="24"/>
          <w:szCs w:val="24"/>
        </w:rPr>
        <w:t xml:space="preserve">all of these </w:t>
      </w:r>
      <w:r w:rsidR="0055614B" w:rsidRPr="00855EE9">
        <w:rPr>
          <w:rFonts w:ascii="Arial" w:hAnsi="Arial" w:cs="Arial"/>
          <w:sz w:val="24"/>
          <w:szCs w:val="24"/>
        </w:rPr>
        <w:t>reasons, I am of the view that respondents have committed a reviewable irregularity in that: (a) they have taken irrelevant considerations into account and failed to consider relevant considerations; (b) the impugned decision was not rationally connected to the reasons given for it; (c) they committed an error of law and/or fact.</w:t>
      </w:r>
    </w:p>
    <w:p w14:paraId="54E46A51" w14:textId="1405CA20" w:rsidR="00161E2A"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26.</w:t>
      </w:r>
      <w:r w:rsidRPr="007044B7">
        <w:rPr>
          <w:rFonts w:ascii="Arial" w:hAnsi="Arial" w:cs="Arial"/>
          <w:sz w:val="24"/>
          <w:szCs w:val="24"/>
        </w:rPr>
        <w:tab/>
      </w:r>
      <w:r w:rsidR="00161E2A" w:rsidRPr="00855EE9">
        <w:rPr>
          <w:rFonts w:ascii="Arial" w:hAnsi="Arial" w:cs="Arial"/>
          <w:sz w:val="24"/>
          <w:szCs w:val="24"/>
        </w:rPr>
        <w:t xml:space="preserve">In the course of oral argument, a novel argument was presented.  </w:t>
      </w:r>
      <w:r w:rsidR="004C0C08" w:rsidRPr="00855EE9">
        <w:rPr>
          <w:rFonts w:ascii="Arial" w:hAnsi="Arial" w:cs="Arial"/>
          <w:sz w:val="24"/>
          <w:szCs w:val="24"/>
        </w:rPr>
        <w:t xml:space="preserve">It went along these lines: the applicant </w:t>
      </w:r>
      <w:r w:rsidR="00C61CA6" w:rsidRPr="00855EE9">
        <w:rPr>
          <w:rFonts w:ascii="Arial" w:hAnsi="Arial" w:cs="Arial"/>
          <w:sz w:val="24"/>
          <w:szCs w:val="24"/>
        </w:rPr>
        <w:t xml:space="preserve">was not eligible for a critical skills visa because by the time that that application was determined on appeal (under section 8(4) and </w:t>
      </w:r>
      <w:r w:rsidR="00EF376F" w:rsidRPr="00855EE9">
        <w:rPr>
          <w:rFonts w:ascii="Arial" w:hAnsi="Arial" w:cs="Arial"/>
          <w:sz w:val="24"/>
          <w:szCs w:val="24"/>
        </w:rPr>
        <w:t xml:space="preserve">section </w:t>
      </w:r>
      <w:r w:rsidR="00C61CA6" w:rsidRPr="00855EE9">
        <w:rPr>
          <w:rFonts w:ascii="Arial" w:hAnsi="Arial" w:cs="Arial"/>
          <w:sz w:val="24"/>
          <w:szCs w:val="24"/>
        </w:rPr>
        <w:t>8(6))</w:t>
      </w:r>
      <w:r w:rsidR="002644C3" w:rsidRPr="00855EE9">
        <w:rPr>
          <w:rFonts w:ascii="Arial" w:hAnsi="Arial" w:cs="Arial"/>
          <w:sz w:val="24"/>
          <w:szCs w:val="24"/>
        </w:rPr>
        <w:t>, the applicant’s visitor’s visa had expired</w:t>
      </w:r>
      <w:r w:rsidR="00675FA1" w:rsidRPr="00855EE9">
        <w:rPr>
          <w:rFonts w:ascii="Arial" w:hAnsi="Arial" w:cs="Arial"/>
          <w:sz w:val="24"/>
          <w:szCs w:val="24"/>
        </w:rPr>
        <w:t>.  In support of this argument, the following submissions were made:</w:t>
      </w:r>
    </w:p>
    <w:p w14:paraId="5650BF77" w14:textId="5840DEE5" w:rsidR="00F17E0F"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26.1.</w:t>
      </w:r>
      <w:r w:rsidRPr="007044B7">
        <w:rPr>
          <w:rFonts w:ascii="Arial" w:hAnsi="Arial" w:cs="Arial"/>
          <w:sz w:val="24"/>
          <w:szCs w:val="24"/>
        </w:rPr>
        <w:tab/>
      </w:r>
      <w:r w:rsidR="00F17E0F" w:rsidRPr="00855EE9">
        <w:rPr>
          <w:rFonts w:ascii="Arial" w:hAnsi="Arial" w:cs="Arial"/>
          <w:sz w:val="24"/>
          <w:szCs w:val="24"/>
        </w:rPr>
        <w:t>Section 10(8) of the Immigration Act provides: “An application for a change in status does not provide a status and does not entitle the applicant to any benefit under the Act, except for those explicitly set out in the Act, or to sojourn in the Republic pending the decision in respect of that application.</w:t>
      </w:r>
      <w:r w:rsidR="00C81451" w:rsidRPr="00855EE9">
        <w:rPr>
          <w:rFonts w:ascii="Arial" w:hAnsi="Arial" w:cs="Arial"/>
          <w:sz w:val="24"/>
          <w:szCs w:val="24"/>
        </w:rPr>
        <w:t>”</w:t>
      </w:r>
      <w:r w:rsidR="00BF45B7" w:rsidRPr="00855EE9">
        <w:rPr>
          <w:rFonts w:ascii="Arial" w:hAnsi="Arial" w:cs="Arial"/>
          <w:sz w:val="24"/>
          <w:szCs w:val="24"/>
        </w:rPr>
        <w:t xml:space="preserve">  It was argued that notwithstanding the application for a critical skills visa, the applicant was not lawfully in the country </w:t>
      </w:r>
      <w:r w:rsidR="008F5B3A" w:rsidRPr="00855EE9">
        <w:rPr>
          <w:rFonts w:ascii="Arial" w:hAnsi="Arial" w:cs="Arial"/>
          <w:sz w:val="24"/>
          <w:szCs w:val="24"/>
        </w:rPr>
        <w:t>at the time of determination of that application in terms of sections 8(4) and 8(6).</w:t>
      </w:r>
    </w:p>
    <w:p w14:paraId="62E6ED93" w14:textId="48F47EE7" w:rsidR="00276A7B"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26.2.</w:t>
      </w:r>
      <w:r w:rsidRPr="007044B7">
        <w:rPr>
          <w:rFonts w:ascii="Arial" w:hAnsi="Arial" w:cs="Arial"/>
          <w:sz w:val="24"/>
          <w:szCs w:val="24"/>
        </w:rPr>
        <w:tab/>
      </w:r>
      <w:r w:rsidR="00276A7B" w:rsidRPr="00855EE9">
        <w:rPr>
          <w:rFonts w:ascii="Arial" w:hAnsi="Arial" w:cs="Arial"/>
          <w:sz w:val="24"/>
          <w:szCs w:val="24"/>
        </w:rPr>
        <w:t xml:space="preserve">Section 32 of the Immigration Act </w:t>
      </w:r>
      <w:r w:rsidR="008A37D2" w:rsidRPr="00855EE9">
        <w:rPr>
          <w:rFonts w:ascii="Arial" w:hAnsi="Arial" w:cs="Arial"/>
          <w:sz w:val="24"/>
          <w:szCs w:val="24"/>
        </w:rPr>
        <w:t>regulates the position in respect of illegal immigrants (defined as a foreigner who is in the Republic in contravention of the Immigration Act), as follows:</w:t>
      </w:r>
    </w:p>
    <w:p w14:paraId="6B79B75C" w14:textId="0B7F7EA4" w:rsidR="00276A7B" w:rsidRPr="007044B7" w:rsidRDefault="008A37D2" w:rsidP="00C6348E">
      <w:pPr>
        <w:pStyle w:val="ListParagraph"/>
        <w:spacing w:before="120" w:after="360" w:line="240" w:lineRule="auto"/>
        <w:ind w:left="1800" w:firstLine="360"/>
        <w:contextualSpacing w:val="0"/>
        <w:jc w:val="both"/>
        <w:rPr>
          <w:rFonts w:ascii="Arial" w:hAnsi="Arial" w:cs="Arial"/>
          <w:sz w:val="24"/>
          <w:szCs w:val="24"/>
        </w:rPr>
      </w:pPr>
      <w:r w:rsidRPr="007044B7">
        <w:rPr>
          <w:rFonts w:ascii="Arial" w:hAnsi="Arial" w:cs="Arial"/>
          <w:sz w:val="24"/>
          <w:szCs w:val="24"/>
        </w:rPr>
        <w:t>“</w:t>
      </w:r>
      <w:r w:rsidR="00276A7B" w:rsidRPr="007044B7">
        <w:rPr>
          <w:rFonts w:ascii="Arial" w:hAnsi="Arial" w:cs="Arial"/>
          <w:sz w:val="24"/>
          <w:szCs w:val="24"/>
        </w:rPr>
        <w:t>32  Illegal foreigners</w:t>
      </w:r>
    </w:p>
    <w:p w14:paraId="006DCC7F" w14:textId="77777777" w:rsidR="008A37D2" w:rsidRPr="007044B7" w:rsidRDefault="00276A7B" w:rsidP="00C6348E">
      <w:pPr>
        <w:pStyle w:val="ListParagraph"/>
        <w:spacing w:before="120" w:after="360" w:line="240" w:lineRule="auto"/>
        <w:ind w:left="2880" w:hanging="720"/>
        <w:contextualSpacing w:val="0"/>
        <w:jc w:val="both"/>
        <w:rPr>
          <w:rFonts w:ascii="Arial" w:hAnsi="Arial" w:cs="Arial"/>
          <w:sz w:val="24"/>
          <w:szCs w:val="24"/>
        </w:rPr>
      </w:pPr>
      <w:r w:rsidRPr="007044B7">
        <w:rPr>
          <w:rFonts w:ascii="Arial" w:hAnsi="Arial" w:cs="Arial"/>
          <w:sz w:val="24"/>
          <w:szCs w:val="24"/>
        </w:rPr>
        <w:t xml:space="preserve">(1) </w:t>
      </w:r>
      <w:r w:rsidR="008A37D2" w:rsidRPr="007044B7">
        <w:rPr>
          <w:rFonts w:ascii="Arial" w:hAnsi="Arial" w:cs="Arial"/>
          <w:sz w:val="24"/>
          <w:szCs w:val="24"/>
        </w:rPr>
        <w:tab/>
      </w:r>
      <w:r w:rsidRPr="007044B7">
        <w:rPr>
          <w:rFonts w:ascii="Arial" w:hAnsi="Arial" w:cs="Arial"/>
          <w:sz w:val="24"/>
          <w:szCs w:val="24"/>
        </w:rPr>
        <w:t>Any illegal foreigner shall depart, unless authorised by the Director-General in the prescribed manner to remain in the Republic pending his or her application for a status.</w:t>
      </w:r>
    </w:p>
    <w:p w14:paraId="08A2B552" w14:textId="619F5CB7" w:rsidR="00276A7B" w:rsidRPr="007044B7" w:rsidRDefault="00276A7B" w:rsidP="00C6348E">
      <w:pPr>
        <w:pStyle w:val="ListParagraph"/>
        <w:spacing w:before="120" w:after="360" w:line="240" w:lineRule="auto"/>
        <w:ind w:left="2880" w:hanging="720"/>
        <w:contextualSpacing w:val="0"/>
        <w:jc w:val="both"/>
        <w:rPr>
          <w:rFonts w:ascii="Arial" w:hAnsi="Arial" w:cs="Arial"/>
          <w:sz w:val="24"/>
          <w:szCs w:val="24"/>
        </w:rPr>
      </w:pPr>
      <w:r w:rsidRPr="007044B7">
        <w:rPr>
          <w:rFonts w:ascii="Arial" w:hAnsi="Arial" w:cs="Arial"/>
          <w:sz w:val="24"/>
          <w:szCs w:val="24"/>
        </w:rPr>
        <w:t xml:space="preserve">(2) </w:t>
      </w:r>
      <w:r w:rsidR="008A37D2" w:rsidRPr="007044B7">
        <w:rPr>
          <w:rFonts w:ascii="Arial" w:hAnsi="Arial" w:cs="Arial"/>
          <w:sz w:val="24"/>
          <w:szCs w:val="24"/>
        </w:rPr>
        <w:tab/>
      </w:r>
      <w:r w:rsidRPr="007044B7">
        <w:rPr>
          <w:rFonts w:ascii="Arial" w:hAnsi="Arial" w:cs="Arial"/>
          <w:sz w:val="24"/>
          <w:szCs w:val="24"/>
        </w:rPr>
        <w:t>Any illegal foreigner shall be deported.</w:t>
      </w:r>
      <w:r w:rsidR="008A37D2" w:rsidRPr="007044B7">
        <w:rPr>
          <w:rFonts w:ascii="Arial" w:hAnsi="Arial" w:cs="Arial"/>
          <w:sz w:val="24"/>
          <w:szCs w:val="24"/>
        </w:rPr>
        <w:t>”</w:t>
      </w:r>
    </w:p>
    <w:p w14:paraId="1A718F0A" w14:textId="391D176F" w:rsidR="00C81451"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26.3.</w:t>
      </w:r>
      <w:r w:rsidRPr="007044B7">
        <w:rPr>
          <w:rFonts w:ascii="Arial" w:hAnsi="Arial" w:cs="Arial"/>
          <w:sz w:val="24"/>
          <w:szCs w:val="24"/>
        </w:rPr>
        <w:tab/>
      </w:r>
      <w:r w:rsidR="006D39E0" w:rsidRPr="00855EE9">
        <w:rPr>
          <w:rFonts w:ascii="Arial" w:hAnsi="Arial" w:cs="Arial"/>
          <w:sz w:val="24"/>
          <w:szCs w:val="24"/>
        </w:rPr>
        <w:t>Absent an extension of the visitor’s visa (which the applicant had not applied for)</w:t>
      </w:r>
      <w:r w:rsidR="00AD52BC" w:rsidRPr="00855EE9">
        <w:rPr>
          <w:rFonts w:ascii="Arial" w:hAnsi="Arial" w:cs="Arial"/>
          <w:sz w:val="24"/>
          <w:szCs w:val="24"/>
        </w:rPr>
        <w:t xml:space="preserve">, the applicant was not lawfully in the country </w:t>
      </w:r>
      <w:r w:rsidR="005916D3" w:rsidRPr="00855EE9">
        <w:rPr>
          <w:rFonts w:ascii="Arial" w:hAnsi="Arial" w:cs="Arial"/>
          <w:sz w:val="24"/>
          <w:szCs w:val="24"/>
        </w:rPr>
        <w:t xml:space="preserve">and therefore </w:t>
      </w:r>
      <w:r w:rsidR="00157A7F" w:rsidRPr="00855EE9">
        <w:rPr>
          <w:rFonts w:ascii="Arial" w:hAnsi="Arial" w:cs="Arial"/>
          <w:sz w:val="24"/>
          <w:szCs w:val="24"/>
        </w:rPr>
        <w:t xml:space="preserve">was not eligible for and could not have been </w:t>
      </w:r>
      <w:r w:rsidR="005916D3" w:rsidRPr="00855EE9">
        <w:rPr>
          <w:rFonts w:ascii="Arial" w:hAnsi="Arial" w:cs="Arial"/>
          <w:sz w:val="24"/>
          <w:szCs w:val="24"/>
        </w:rPr>
        <w:t>granted, a critical skills visa.</w:t>
      </w:r>
    </w:p>
    <w:p w14:paraId="14FFBE38" w14:textId="79DB26E7" w:rsidR="00DC7402"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27.</w:t>
      </w:r>
      <w:r w:rsidRPr="007044B7">
        <w:rPr>
          <w:rFonts w:ascii="Arial" w:hAnsi="Arial" w:cs="Arial"/>
          <w:sz w:val="24"/>
          <w:szCs w:val="24"/>
        </w:rPr>
        <w:tab/>
      </w:r>
      <w:r w:rsidR="00DC7402" w:rsidRPr="00855EE9">
        <w:rPr>
          <w:rFonts w:ascii="Arial" w:hAnsi="Arial" w:cs="Arial"/>
          <w:sz w:val="24"/>
          <w:szCs w:val="24"/>
        </w:rPr>
        <w:t xml:space="preserve">I am of the view that the </w:t>
      </w:r>
      <w:r w:rsidR="00692BEA" w:rsidRPr="00855EE9">
        <w:rPr>
          <w:rFonts w:ascii="Arial" w:hAnsi="Arial" w:cs="Arial"/>
          <w:sz w:val="24"/>
          <w:szCs w:val="24"/>
        </w:rPr>
        <w:t>respondents</w:t>
      </w:r>
      <w:r w:rsidR="00157A7F" w:rsidRPr="00855EE9">
        <w:rPr>
          <w:rFonts w:ascii="Arial" w:hAnsi="Arial" w:cs="Arial"/>
          <w:sz w:val="24"/>
          <w:szCs w:val="24"/>
        </w:rPr>
        <w:t>’</w:t>
      </w:r>
      <w:r w:rsidR="00DC7402" w:rsidRPr="00855EE9">
        <w:rPr>
          <w:rFonts w:ascii="Arial" w:hAnsi="Arial" w:cs="Arial"/>
          <w:sz w:val="24"/>
          <w:szCs w:val="24"/>
        </w:rPr>
        <w:t xml:space="preserve"> arguments</w:t>
      </w:r>
      <w:r w:rsidR="003D7DE2" w:rsidRPr="00855EE9">
        <w:rPr>
          <w:rFonts w:ascii="Arial" w:hAnsi="Arial" w:cs="Arial"/>
          <w:sz w:val="24"/>
          <w:szCs w:val="24"/>
        </w:rPr>
        <w:t xml:space="preserve"> </w:t>
      </w:r>
      <w:r w:rsidR="003476BB" w:rsidRPr="00855EE9">
        <w:rPr>
          <w:rFonts w:ascii="Arial" w:hAnsi="Arial" w:cs="Arial"/>
          <w:sz w:val="24"/>
          <w:szCs w:val="24"/>
        </w:rPr>
        <w:t xml:space="preserve">on this score cannot </w:t>
      </w:r>
      <w:r w:rsidR="003D7DE2" w:rsidRPr="00855EE9">
        <w:rPr>
          <w:rFonts w:ascii="Arial" w:hAnsi="Arial" w:cs="Arial"/>
          <w:sz w:val="24"/>
          <w:szCs w:val="24"/>
        </w:rPr>
        <w:t>succeed</w:t>
      </w:r>
      <w:r w:rsidR="00157A7F" w:rsidRPr="00855EE9">
        <w:rPr>
          <w:rFonts w:ascii="Arial" w:hAnsi="Arial" w:cs="Arial"/>
          <w:sz w:val="24"/>
          <w:szCs w:val="24"/>
        </w:rPr>
        <w:t xml:space="preserve"> for the following reasons</w:t>
      </w:r>
      <w:r w:rsidR="00692BEA" w:rsidRPr="00855EE9">
        <w:rPr>
          <w:rFonts w:ascii="Arial" w:hAnsi="Arial" w:cs="Arial"/>
          <w:sz w:val="24"/>
          <w:szCs w:val="24"/>
        </w:rPr>
        <w:t>:</w:t>
      </w:r>
    </w:p>
    <w:p w14:paraId="1ECC08BE" w14:textId="55DB312E" w:rsidR="00274E84"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27.1.</w:t>
      </w:r>
      <w:r w:rsidRPr="007044B7">
        <w:rPr>
          <w:rFonts w:ascii="Arial" w:hAnsi="Arial" w:cs="Arial"/>
          <w:sz w:val="24"/>
          <w:szCs w:val="24"/>
        </w:rPr>
        <w:tab/>
      </w:r>
      <w:r w:rsidR="00692BEA" w:rsidRPr="00855EE9">
        <w:rPr>
          <w:rFonts w:ascii="Arial" w:hAnsi="Arial" w:cs="Arial"/>
          <w:sz w:val="24"/>
          <w:szCs w:val="24"/>
          <w:u w:val="single"/>
        </w:rPr>
        <w:t>First</w:t>
      </w:r>
      <w:r w:rsidR="00692BEA" w:rsidRPr="00855EE9">
        <w:rPr>
          <w:rFonts w:ascii="Arial" w:hAnsi="Arial" w:cs="Arial"/>
          <w:sz w:val="24"/>
          <w:szCs w:val="24"/>
        </w:rPr>
        <w:t xml:space="preserve">, on the evidence, </w:t>
      </w:r>
      <w:r w:rsidR="00274E84" w:rsidRPr="00855EE9">
        <w:rPr>
          <w:rFonts w:ascii="Arial" w:hAnsi="Arial" w:cs="Arial"/>
          <w:sz w:val="24"/>
          <w:szCs w:val="24"/>
        </w:rPr>
        <w:t>the respondents admit the allegations in the founding affidavit that unless the applicant had a valid pending visa application, he would not be allowed to remain in South Africa, without a valid visitor’s visa and that he could not extend his visitor’s visa and at the same time apply for his critical skills visa.</w:t>
      </w:r>
      <w:r w:rsidR="004636D8" w:rsidRPr="00855EE9">
        <w:rPr>
          <w:rFonts w:ascii="Arial" w:hAnsi="Arial" w:cs="Arial"/>
          <w:sz w:val="24"/>
          <w:szCs w:val="24"/>
        </w:rPr>
        <w:t xml:space="preserve">  Significantly, the respondents do not allege that </w:t>
      </w:r>
      <w:r w:rsidR="00983478" w:rsidRPr="00855EE9">
        <w:rPr>
          <w:rFonts w:ascii="Arial" w:hAnsi="Arial" w:cs="Arial"/>
          <w:sz w:val="24"/>
          <w:szCs w:val="24"/>
        </w:rPr>
        <w:t xml:space="preserve">the applicant’s </w:t>
      </w:r>
      <w:r w:rsidR="004636D8" w:rsidRPr="00855EE9">
        <w:rPr>
          <w:rFonts w:ascii="Arial" w:hAnsi="Arial" w:cs="Arial"/>
          <w:sz w:val="24"/>
          <w:szCs w:val="24"/>
        </w:rPr>
        <w:t xml:space="preserve">application for a critical skills visa </w:t>
      </w:r>
      <w:r w:rsidR="006B1A09" w:rsidRPr="00855EE9">
        <w:rPr>
          <w:rFonts w:ascii="Arial" w:hAnsi="Arial" w:cs="Arial"/>
          <w:sz w:val="24"/>
          <w:szCs w:val="24"/>
        </w:rPr>
        <w:t>d</w:t>
      </w:r>
      <w:r w:rsidR="006F4C5D" w:rsidRPr="00855EE9">
        <w:rPr>
          <w:rFonts w:ascii="Arial" w:hAnsi="Arial" w:cs="Arial"/>
          <w:sz w:val="24"/>
          <w:szCs w:val="24"/>
        </w:rPr>
        <w:t xml:space="preserve">id </w:t>
      </w:r>
      <w:r w:rsidR="006B1A09" w:rsidRPr="00855EE9">
        <w:rPr>
          <w:rFonts w:ascii="Arial" w:hAnsi="Arial" w:cs="Arial"/>
          <w:sz w:val="24"/>
          <w:szCs w:val="24"/>
        </w:rPr>
        <w:t>not constitute a valid pending application.</w:t>
      </w:r>
    </w:p>
    <w:p w14:paraId="6997D063" w14:textId="10F818EF" w:rsidR="006B1A09"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27.2.</w:t>
      </w:r>
      <w:r w:rsidRPr="007044B7">
        <w:rPr>
          <w:rFonts w:ascii="Arial" w:hAnsi="Arial" w:cs="Arial"/>
          <w:sz w:val="24"/>
          <w:szCs w:val="24"/>
        </w:rPr>
        <w:tab/>
      </w:r>
      <w:r w:rsidR="006B1A09" w:rsidRPr="00855EE9">
        <w:rPr>
          <w:rFonts w:ascii="Arial" w:hAnsi="Arial" w:cs="Arial"/>
          <w:sz w:val="24"/>
          <w:szCs w:val="24"/>
          <w:u w:val="single"/>
        </w:rPr>
        <w:t>Second</w:t>
      </w:r>
      <w:r w:rsidR="006B1A09" w:rsidRPr="00855EE9">
        <w:rPr>
          <w:rFonts w:ascii="Arial" w:hAnsi="Arial" w:cs="Arial"/>
          <w:sz w:val="24"/>
          <w:szCs w:val="24"/>
        </w:rPr>
        <w:t xml:space="preserve">, </w:t>
      </w:r>
      <w:r w:rsidR="000220AA" w:rsidRPr="00855EE9">
        <w:rPr>
          <w:rFonts w:ascii="Arial" w:hAnsi="Arial" w:cs="Arial"/>
          <w:sz w:val="24"/>
          <w:szCs w:val="24"/>
        </w:rPr>
        <w:t xml:space="preserve">the letters containing the respondents’ reasons </w:t>
      </w:r>
      <w:r w:rsidR="00885A90" w:rsidRPr="00855EE9">
        <w:rPr>
          <w:rFonts w:ascii="Arial" w:hAnsi="Arial" w:cs="Arial"/>
          <w:sz w:val="24"/>
          <w:szCs w:val="24"/>
        </w:rPr>
        <w:t xml:space="preserve">are replete with </w:t>
      </w:r>
      <w:r w:rsidR="00A30D24" w:rsidRPr="00855EE9">
        <w:rPr>
          <w:rFonts w:ascii="Arial" w:hAnsi="Arial" w:cs="Arial"/>
          <w:sz w:val="24"/>
          <w:szCs w:val="24"/>
        </w:rPr>
        <w:t xml:space="preserve">material errors and are vague and confusing.  </w:t>
      </w:r>
      <w:r w:rsidR="007935B3" w:rsidRPr="00855EE9">
        <w:rPr>
          <w:rFonts w:ascii="Arial" w:hAnsi="Arial" w:cs="Arial"/>
          <w:sz w:val="24"/>
          <w:szCs w:val="24"/>
        </w:rPr>
        <w:t>These errors have been identified in paragraph 2</w:t>
      </w:r>
      <w:r w:rsidR="00B606B8" w:rsidRPr="00855EE9">
        <w:rPr>
          <w:rFonts w:ascii="Arial" w:hAnsi="Arial" w:cs="Arial"/>
          <w:sz w:val="24"/>
          <w:szCs w:val="24"/>
        </w:rPr>
        <w:t>1</w:t>
      </w:r>
      <w:r w:rsidR="007935B3" w:rsidRPr="00855EE9">
        <w:rPr>
          <w:rFonts w:ascii="Arial" w:hAnsi="Arial" w:cs="Arial"/>
          <w:sz w:val="24"/>
          <w:szCs w:val="24"/>
        </w:rPr>
        <w:t xml:space="preserve"> above.  </w:t>
      </w:r>
      <w:r w:rsidR="00A30D24" w:rsidRPr="00855EE9">
        <w:rPr>
          <w:rFonts w:ascii="Arial" w:hAnsi="Arial" w:cs="Arial"/>
          <w:sz w:val="24"/>
          <w:szCs w:val="24"/>
        </w:rPr>
        <w:t>The</w:t>
      </w:r>
      <w:r w:rsidR="007935B3" w:rsidRPr="00855EE9">
        <w:rPr>
          <w:rFonts w:ascii="Arial" w:hAnsi="Arial" w:cs="Arial"/>
          <w:sz w:val="24"/>
          <w:szCs w:val="24"/>
        </w:rPr>
        <w:t xml:space="preserve"> letters </w:t>
      </w:r>
      <w:r w:rsidR="00A30D24" w:rsidRPr="00855EE9">
        <w:rPr>
          <w:rFonts w:ascii="Arial" w:hAnsi="Arial" w:cs="Arial"/>
          <w:sz w:val="24"/>
          <w:szCs w:val="24"/>
        </w:rPr>
        <w:t>do not, in my view, satisfy the threshold of adequate reasons.</w:t>
      </w:r>
    </w:p>
    <w:p w14:paraId="181AE8C6" w14:textId="7813DC89" w:rsidR="00EB3D5A"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27.3.</w:t>
      </w:r>
      <w:r w:rsidRPr="007044B7">
        <w:rPr>
          <w:rFonts w:ascii="Arial" w:hAnsi="Arial" w:cs="Arial"/>
          <w:sz w:val="24"/>
          <w:szCs w:val="24"/>
        </w:rPr>
        <w:tab/>
      </w:r>
      <w:r w:rsidR="006E7632" w:rsidRPr="00855EE9">
        <w:rPr>
          <w:rFonts w:ascii="Arial" w:hAnsi="Arial" w:cs="Arial"/>
          <w:sz w:val="24"/>
          <w:szCs w:val="24"/>
          <w:u w:val="single"/>
        </w:rPr>
        <w:t>Third</w:t>
      </w:r>
      <w:r w:rsidR="006E7632" w:rsidRPr="00855EE9">
        <w:rPr>
          <w:rFonts w:ascii="Arial" w:hAnsi="Arial" w:cs="Arial"/>
          <w:sz w:val="24"/>
          <w:szCs w:val="24"/>
        </w:rPr>
        <w:t xml:space="preserve">, the respondents have put up no reason in the affidavits that have been filed </w:t>
      </w:r>
      <w:r w:rsidR="000A15C2" w:rsidRPr="00855EE9">
        <w:rPr>
          <w:rFonts w:ascii="Arial" w:hAnsi="Arial" w:cs="Arial"/>
          <w:sz w:val="24"/>
          <w:szCs w:val="24"/>
        </w:rPr>
        <w:t xml:space="preserve">(or in the letters that were sent to the applicant) as to exactly which requirements </w:t>
      </w:r>
      <w:r w:rsidR="00EB3D5A" w:rsidRPr="00855EE9">
        <w:rPr>
          <w:rFonts w:ascii="Arial" w:hAnsi="Arial" w:cs="Arial"/>
          <w:sz w:val="24"/>
          <w:szCs w:val="24"/>
        </w:rPr>
        <w:t>for a critical skills visa were not satisfied.</w:t>
      </w:r>
    </w:p>
    <w:p w14:paraId="01D68C2B" w14:textId="17FC73D5" w:rsidR="00274E84" w:rsidRPr="00855EE9" w:rsidRDefault="00855EE9" w:rsidP="00855EE9">
      <w:pPr>
        <w:spacing w:before="120" w:after="360" w:line="480" w:lineRule="auto"/>
        <w:ind w:left="1440" w:hanging="873"/>
        <w:jc w:val="both"/>
        <w:rPr>
          <w:rFonts w:ascii="Arial" w:hAnsi="Arial" w:cs="Arial"/>
          <w:sz w:val="24"/>
          <w:szCs w:val="24"/>
        </w:rPr>
      </w:pPr>
      <w:r>
        <w:rPr>
          <w:rFonts w:ascii="Arial" w:hAnsi="Arial" w:cs="Arial"/>
          <w:sz w:val="24"/>
          <w:szCs w:val="24"/>
        </w:rPr>
        <w:t>27.4.</w:t>
      </w:r>
      <w:r>
        <w:rPr>
          <w:rFonts w:ascii="Arial" w:hAnsi="Arial" w:cs="Arial"/>
          <w:sz w:val="24"/>
          <w:szCs w:val="24"/>
        </w:rPr>
        <w:tab/>
      </w:r>
      <w:r w:rsidR="00393292" w:rsidRPr="00855EE9">
        <w:rPr>
          <w:rFonts w:ascii="Arial" w:hAnsi="Arial" w:cs="Arial"/>
          <w:sz w:val="24"/>
          <w:szCs w:val="24"/>
          <w:u w:val="single"/>
        </w:rPr>
        <w:t>Fourth</w:t>
      </w:r>
      <w:r w:rsidR="00393292" w:rsidRPr="00855EE9">
        <w:rPr>
          <w:rFonts w:ascii="Arial" w:hAnsi="Arial" w:cs="Arial"/>
          <w:sz w:val="24"/>
          <w:szCs w:val="24"/>
        </w:rPr>
        <w:t xml:space="preserve">, the new argument that was raised in oral argument </w:t>
      </w:r>
      <w:r w:rsidR="000A3FFB" w:rsidRPr="00855EE9">
        <w:rPr>
          <w:rFonts w:ascii="Arial" w:hAnsi="Arial" w:cs="Arial"/>
          <w:sz w:val="24"/>
          <w:szCs w:val="24"/>
        </w:rPr>
        <w:t>does not appear from the evidence</w:t>
      </w:r>
      <w:r w:rsidR="007262E5" w:rsidRPr="00855EE9">
        <w:rPr>
          <w:rFonts w:ascii="Arial" w:hAnsi="Arial" w:cs="Arial"/>
          <w:sz w:val="24"/>
          <w:szCs w:val="24"/>
        </w:rPr>
        <w:t xml:space="preserve"> in this matter</w:t>
      </w:r>
      <w:r w:rsidR="000A3FFB" w:rsidRPr="00855EE9">
        <w:rPr>
          <w:rFonts w:ascii="Arial" w:hAnsi="Arial" w:cs="Arial"/>
          <w:sz w:val="24"/>
          <w:szCs w:val="24"/>
        </w:rPr>
        <w:t>.</w:t>
      </w:r>
      <w:r w:rsidR="007262E5" w:rsidRPr="00855EE9">
        <w:rPr>
          <w:rFonts w:ascii="Arial" w:hAnsi="Arial" w:cs="Arial"/>
          <w:sz w:val="24"/>
          <w:szCs w:val="24"/>
        </w:rPr>
        <w:t xml:space="preserve">  In order to sustain the argument, I would </w:t>
      </w:r>
      <w:r w:rsidR="007E2CBE" w:rsidRPr="00855EE9">
        <w:rPr>
          <w:rFonts w:ascii="Arial" w:hAnsi="Arial" w:cs="Arial"/>
          <w:sz w:val="24"/>
          <w:szCs w:val="24"/>
        </w:rPr>
        <w:t>have to embark on an unacceptabl</w:t>
      </w:r>
      <w:r w:rsidR="00F825DB" w:rsidRPr="00855EE9">
        <w:rPr>
          <w:rFonts w:ascii="Arial" w:hAnsi="Arial" w:cs="Arial"/>
          <w:sz w:val="24"/>
          <w:szCs w:val="24"/>
        </w:rPr>
        <w:t>y</w:t>
      </w:r>
      <w:r w:rsidR="007E2CBE" w:rsidRPr="00855EE9">
        <w:rPr>
          <w:rFonts w:ascii="Arial" w:hAnsi="Arial" w:cs="Arial"/>
          <w:sz w:val="24"/>
          <w:szCs w:val="24"/>
        </w:rPr>
        <w:t xml:space="preserve"> strained reading of the letters.</w:t>
      </w:r>
    </w:p>
    <w:p w14:paraId="0B49D1A3" w14:textId="238A5F7B" w:rsidR="00FB1A03" w:rsidRPr="00855EE9" w:rsidRDefault="00855EE9" w:rsidP="00855EE9">
      <w:pPr>
        <w:spacing w:before="120" w:after="360" w:line="480" w:lineRule="auto"/>
        <w:ind w:left="1440" w:hanging="873"/>
        <w:jc w:val="both"/>
        <w:rPr>
          <w:rFonts w:ascii="Arial" w:hAnsi="Arial" w:cs="Arial"/>
          <w:sz w:val="24"/>
          <w:szCs w:val="24"/>
        </w:rPr>
      </w:pPr>
      <w:r w:rsidRPr="00FB1A03">
        <w:rPr>
          <w:rFonts w:ascii="Arial" w:hAnsi="Arial" w:cs="Arial"/>
          <w:sz w:val="24"/>
          <w:szCs w:val="24"/>
        </w:rPr>
        <w:t>27.5.</w:t>
      </w:r>
      <w:r w:rsidRPr="00FB1A03">
        <w:rPr>
          <w:rFonts w:ascii="Arial" w:hAnsi="Arial" w:cs="Arial"/>
          <w:sz w:val="24"/>
          <w:szCs w:val="24"/>
        </w:rPr>
        <w:tab/>
      </w:r>
      <w:r w:rsidR="00FB1A03" w:rsidRPr="00855EE9">
        <w:rPr>
          <w:rFonts w:ascii="Arial" w:hAnsi="Arial" w:cs="Arial"/>
          <w:sz w:val="24"/>
          <w:szCs w:val="24"/>
          <w:u w:val="single"/>
        </w:rPr>
        <w:t>Fifth</w:t>
      </w:r>
      <w:r w:rsidR="00FB1A03" w:rsidRPr="00855EE9">
        <w:rPr>
          <w:rFonts w:ascii="Arial" w:hAnsi="Arial" w:cs="Arial"/>
          <w:sz w:val="24"/>
          <w:szCs w:val="24"/>
        </w:rPr>
        <w:t>, in light of the new argument</w:t>
      </w:r>
      <w:r w:rsidR="00EA5BEB" w:rsidRPr="00855EE9">
        <w:rPr>
          <w:rFonts w:ascii="Arial" w:hAnsi="Arial" w:cs="Arial"/>
          <w:sz w:val="24"/>
          <w:szCs w:val="24"/>
        </w:rPr>
        <w:t xml:space="preserve"> the Court invited the pa</w:t>
      </w:r>
      <w:r w:rsidR="003F1A49" w:rsidRPr="00855EE9">
        <w:rPr>
          <w:rFonts w:ascii="Arial" w:hAnsi="Arial" w:cs="Arial"/>
          <w:sz w:val="24"/>
          <w:szCs w:val="24"/>
        </w:rPr>
        <w:t xml:space="preserve">rties to file supplementary notes in respect </w:t>
      </w:r>
      <w:r w:rsidR="00E403CE" w:rsidRPr="00855EE9">
        <w:rPr>
          <w:rFonts w:ascii="Arial" w:hAnsi="Arial" w:cs="Arial"/>
          <w:sz w:val="24"/>
          <w:szCs w:val="24"/>
        </w:rPr>
        <w:t>thereof</w:t>
      </w:r>
      <w:r w:rsidR="003F1A49" w:rsidRPr="00855EE9">
        <w:rPr>
          <w:rFonts w:ascii="Arial" w:hAnsi="Arial" w:cs="Arial"/>
          <w:sz w:val="24"/>
          <w:szCs w:val="24"/>
        </w:rPr>
        <w:t xml:space="preserve">.  </w:t>
      </w:r>
      <w:r w:rsidR="006D44D3" w:rsidRPr="00855EE9">
        <w:rPr>
          <w:rFonts w:ascii="Arial" w:hAnsi="Arial" w:cs="Arial"/>
          <w:sz w:val="24"/>
          <w:szCs w:val="24"/>
        </w:rPr>
        <w:t>It is clear from those notes that the new argument is founded</w:t>
      </w:r>
      <w:r w:rsidR="00E403CE" w:rsidRPr="00855EE9">
        <w:rPr>
          <w:rFonts w:ascii="Arial" w:hAnsi="Arial" w:cs="Arial"/>
          <w:sz w:val="24"/>
          <w:szCs w:val="24"/>
        </w:rPr>
        <w:t xml:space="preserve"> evidence that does not form part of the record.</w:t>
      </w:r>
    </w:p>
    <w:p w14:paraId="20E6680F" w14:textId="2E3BB616" w:rsidR="00DC7402"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28.</w:t>
      </w:r>
      <w:r w:rsidRPr="007044B7">
        <w:rPr>
          <w:rFonts w:ascii="Arial" w:hAnsi="Arial" w:cs="Arial"/>
          <w:sz w:val="24"/>
          <w:szCs w:val="24"/>
        </w:rPr>
        <w:tab/>
      </w:r>
      <w:r w:rsidR="00187FB8" w:rsidRPr="00855EE9">
        <w:rPr>
          <w:rFonts w:ascii="Arial" w:hAnsi="Arial" w:cs="Arial"/>
          <w:sz w:val="24"/>
          <w:szCs w:val="24"/>
        </w:rPr>
        <w:t xml:space="preserve">A further ground of challenge was raised, viz, </w:t>
      </w:r>
      <w:r w:rsidR="004F0B9C" w:rsidRPr="00855EE9">
        <w:rPr>
          <w:rFonts w:ascii="Arial" w:hAnsi="Arial" w:cs="Arial"/>
          <w:sz w:val="24"/>
          <w:szCs w:val="24"/>
        </w:rPr>
        <w:t>that the impugned decisions fall to be reviewed and set a</w:t>
      </w:r>
      <w:r w:rsidR="00457F5A" w:rsidRPr="00855EE9">
        <w:rPr>
          <w:rFonts w:ascii="Arial" w:hAnsi="Arial" w:cs="Arial"/>
          <w:sz w:val="24"/>
          <w:szCs w:val="24"/>
        </w:rPr>
        <w:t xml:space="preserve">side </w:t>
      </w:r>
      <w:r w:rsidR="004F0B9C" w:rsidRPr="00855EE9">
        <w:rPr>
          <w:rFonts w:ascii="Arial" w:hAnsi="Arial" w:cs="Arial"/>
          <w:sz w:val="24"/>
          <w:szCs w:val="24"/>
        </w:rPr>
        <w:t xml:space="preserve">because </w:t>
      </w:r>
      <w:r w:rsidR="00A653C3" w:rsidRPr="00855EE9">
        <w:rPr>
          <w:rFonts w:ascii="Arial" w:hAnsi="Arial" w:cs="Arial"/>
          <w:sz w:val="24"/>
          <w:szCs w:val="24"/>
        </w:rPr>
        <w:t>the functions of both the first respondent</w:t>
      </w:r>
      <w:r w:rsidR="00EC5263" w:rsidRPr="00855EE9">
        <w:rPr>
          <w:rFonts w:ascii="Arial" w:hAnsi="Arial" w:cs="Arial"/>
          <w:sz w:val="24"/>
          <w:szCs w:val="24"/>
        </w:rPr>
        <w:t xml:space="preserve"> and the second respondent had been designated to the </w:t>
      </w:r>
      <w:r w:rsidR="00457F5A" w:rsidRPr="00855EE9">
        <w:rPr>
          <w:rFonts w:ascii="Arial" w:hAnsi="Arial" w:cs="Arial"/>
          <w:sz w:val="24"/>
          <w:szCs w:val="24"/>
        </w:rPr>
        <w:t>A</w:t>
      </w:r>
      <w:r w:rsidR="00EC5263" w:rsidRPr="00855EE9">
        <w:rPr>
          <w:rFonts w:ascii="Arial" w:hAnsi="Arial" w:cs="Arial"/>
          <w:sz w:val="24"/>
          <w:szCs w:val="24"/>
        </w:rPr>
        <w:t xml:space="preserve">ssistant </w:t>
      </w:r>
      <w:r w:rsidR="00457F5A" w:rsidRPr="00855EE9">
        <w:rPr>
          <w:rFonts w:ascii="Arial" w:hAnsi="Arial" w:cs="Arial"/>
          <w:sz w:val="24"/>
          <w:szCs w:val="24"/>
        </w:rPr>
        <w:t>D</w:t>
      </w:r>
      <w:r w:rsidR="00EC5263" w:rsidRPr="00855EE9">
        <w:rPr>
          <w:rFonts w:ascii="Arial" w:hAnsi="Arial" w:cs="Arial"/>
          <w:sz w:val="24"/>
          <w:szCs w:val="24"/>
        </w:rPr>
        <w:t xml:space="preserve">irector: </w:t>
      </w:r>
      <w:r w:rsidR="00457F5A" w:rsidRPr="00855EE9">
        <w:rPr>
          <w:rFonts w:ascii="Arial" w:hAnsi="Arial" w:cs="Arial"/>
          <w:sz w:val="24"/>
          <w:szCs w:val="24"/>
        </w:rPr>
        <w:t>A</w:t>
      </w:r>
      <w:r w:rsidR="00EC5263" w:rsidRPr="00855EE9">
        <w:rPr>
          <w:rFonts w:ascii="Arial" w:hAnsi="Arial" w:cs="Arial"/>
          <w:sz w:val="24"/>
          <w:szCs w:val="24"/>
        </w:rPr>
        <w:t xml:space="preserve">ppeals.  </w:t>
      </w:r>
      <w:r w:rsidR="00154A30" w:rsidRPr="00855EE9">
        <w:rPr>
          <w:rFonts w:ascii="Arial" w:hAnsi="Arial" w:cs="Arial"/>
          <w:sz w:val="24"/>
          <w:szCs w:val="24"/>
        </w:rPr>
        <w:t xml:space="preserve">According to the applicants, by having the </w:t>
      </w:r>
      <w:r w:rsidR="00457F5A" w:rsidRPr="00855EE9">
        <w:rPr>
          <w:rFonts w:ascii="Arial" w:hAnsi="Arial" w:cs="Arial"/>
          <w:sz w:val="24"/>
          <w:szCs w:val="24"/>
        </w:rPr>
        <w:t>A</w:t>
      </w:r>
      <w:r w:rsidR="00154A30" w:rsidRPr="00855EE9">
        <w:rPr>
          <w:rFonts w:ascii="Arial" w:hAnsi="Arial" w:cs="Arial"/>
          <w:sz w:val="24"/>
          <w:szCs w:val="24"/>
        </w:rPr>
        <w:t xml:space="preserve">ssistant </w:t>
      </w:r>
      <w:r w:rsidR="00457F5A" w:rsidRPr="00855EE9">
        <w:rPr>
          <w:rFonts w:ascii="Arial" w:hAnsi="Arial" w:cs="Arial"/>
          <w:sz w:val="24"/>
          <w:szCs w:val="24"/>
        </w:rPr>
        <w:t>D</w:t>
      </w:r>
      <w:r w:rsidR="00154A30" w:rsidRPr="00855EE9">
        <w:rPr>
          <w:rFonts w:ascii="Arial" w:hAnsi="Arial" w:cs="Arial"/>
          <w:sz w:val="24"/>
          <w:szCs w:val="24"/>
        </w:rPr>
        <w:t xml:space="preserve">irector: </w:t>
      </w:r>
      <w:r w:rsidR="00457F5A" w:rsidRPr="00855EE9">
        <w:rPr>
          <w:rFonts w:ascii="Arial" w:hAnsi="Arial" w:cs="Arial"/>
          <w:sz w:val="24"/>
          <w:szCs w:val="24"/>
        </w:rPr>
        <w:t>A</w:t>
      </w:r>
      <w:r w:rsidR="00154A30" w:rsidRPr="00855EE9">
        <w:rPr>
          <w:rFonts w:ascii="Arial" w:hAnsi="Arial" w:cs="Arial"/>
          <w:sz w:val="24"/>
          <w:szCs w:val="24"/>
        </w:rPr>
        <w:t>ppeals adjudicat</w:t>
      </w:r>
      <w:r w:rsidR="00C50F5A" w:rsidRPr="00855EE9">
        <w:rPr>
          <w:rFonts w:ascii="Arial" w:hAnsi="Arial" w:cs="Arial"/>
          <w:sz w:val="24"/>
          <w:szCs w:val="24"/>
        </w:rPr>
        <w:t>e</w:t>
      </w:r>
      <w:r w:rsidR="00154A30" w:rsidRPr="00855EE9">
        <w:rPr>
          <w:rFonts w:ascii="Arial" w:hAnsi="Arial" w:cs="Arial"/>
          <w:sz w:val="24"/>
          <w:szCs w:val="24"/>
        </w:rPr>
        <w:t xml:space="preserve"> the applicant</w:t>
      </w:r>
      <w:r w:rsidR="00C50F5A" w:rsidRPr="00855EE9">
        <w:rPr>
          <w:rFonts w:ascii="Arial" w:hAnsi="Arial" w:cs="Arial"/>
          <w:sz w:val="24"/>
          <w:szCs w:val="24"/>
        </w:rPr>
        <w:t>’</w:t>
      </w:r>
      <w:r w:rsidR="00154A30" w:rsidRPr="00855EE9">
        <w:rPr>
          <w:rFonts w:ascii="Arial" w:hAnsi="Arial" w:cs="Arial"/>
          <w:sz w:val="24"/>
          <w:szCs w:val="24"/>
        </w:rPr>
        <w:t>s second appeal against the dismissal of h</w:t>
      </w:r>
      <w:r w:rsidR="00C50F5A" w:rsidRPr="00855EE9">
        <w:rPr>
          <w:rFonts w:ascii="Arial" w:hAnsi="Arial" w:cs="Arial"/>
          <w:sz w:val="24"/>
          <w:szCs w:val="24"/>
        </w:rPr>
        <w:t xml:space="preserve">is </w:t>
      </w:r>
      <w:r w:rsidR="00154A30" w:rsidRPr="00855EE9">
        <w:rPr>
          <w:rFonts w:ascii="Arial" w:hAnsi="Arial" w:cs="Arial"/>
          <w:sz w:val="24"/>
          <w:szCs w:val="24"/>
        </w:rPr>
        <w:t>first appeal, the second respondent had breached one of the fundamental principles of natural justice namely that it is improper to be a judge in one’s own cause.</w:t>
      </w:r>
    </w:p>
    <w:p w14:paraId="23765A90" w14:textId="1AE93DE1" w:rsidR="00154A30"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29.</w:t>
      </w:r>
      <w:r w:rsidRPr="007044B7">
        <w:rPr>
          <w:rFonts w:ascii="Arial" w:hAnsi="Arial" w:cs="Arial"/>
          <w:sz w:val="24"/>
          <w:szCs w:val="24"/>
        </w:rPr>
        <w:tab/>
      </w:r>
      <w:r w:rsidR="001337CD" w:rsidRPr="00855EE9">
        <w:rPr>
          <w:rFonts w:ascii="Arial" w:hAnsi="Arial" w:cs="Arial"/>
          <w:sz w:val="24"/>
          <w:szCs w:val="24"/>
        </w:rPr>
        <w:t xml:space="preserve">In light of the </w:t>
      </w:r>
      <w:r w:rsidR="00C50F5A" w:rsidRPr="00855EE9">
        <w:rPr>
          <w:rFonts w:ascii="Arial" w:hAnsi="Arial" w:cs="Arial"/>
          <w:sz w:val="24"/>
          <w:szCs w:val="24"/>
        </w:rPr>
        <w:t xml:space="preserve">conclusions that I have </w:t>
      </w:r>
      <w:r w:rsidR="001337CD" w:rsidRPr="00855EE9">
        <w:rPr>
          <w:rFonts w:ascii="Arial" w:hAnsi="Arial" w:cs="Arial"/>
          <w:sz w:val="24"/>
          <w:szCs w:val="24"/>
        </w:rPr>
        <w:t>reached, I do not believe that it is necessary for me to deal with this as a further ground of review.</w:t>
      </w:r>
      <w:r w:rsidR="003656B0" w:rsidRPr="00855EE9">
        <w:rPr>
          <w:rFonts w:ascii="Arial" w:hAnsi="Arial" w:cs="Arial"/>
          <w:sz w:val="24"/>
          <w:szCs w:val="24"/>
        </w:rPr>
        <w:t xml:space="preserve"> </w:t>
      </w:r>
      <w:r w:rsidR="006763F3" w:rsidRPr="00855EE9">
        <w:rPr>
          <w:rFonts w:ascii="Arial" w:hAnsi="Arial" w:cs="Arial"/>
          <w:sz w:val="24"/>
          <w:szCs w:val="24"/>
        </w:rPr>
        <w:t xml:space="preserve"> </w:t>
      </w:r>
      <w:r w:rsidR="00065177" w:rsidRPr="00855EE9">
        <w:rPr>
          <w:rFonts w:ascii="Arial" w:hAnsi="Arial" w:cs="Arial"/>
          <w:sz w:val="24"/>
          <w:szCs w:val="24"/>
        </w:rPr>
        <w:t xml:space="preserve">It is however of </w:t>
      </w:r>
      <w:r w:rsidR="00E265F6" w:rsidRPr="00855EE9">
        <w:rPr>
          <w:rFonts w:ascii="Arial" w:hAnsi="Arial" w:cs="Arial"/>
          <w:sz w:val="24"/>
          <w:szCs w:val="24"/>
        </w:rPr>
        <w:t xml:space="preserve">some concern that the Immigration Act envisages an appeal process that lies with two distinct functionaries, namely, the </w:t>
      </w:r>
      <w:r w:rsidR="006763F3" w:rsidRPr="00855EE9">
        <w:rPr>
          <w:rFonts w:ascii="Arial" w:hAnsi="Arial" w:cs="Arial"/>
          <w:sz w:val="24"/>
          <w:szCs w:val="24"/>
        </w:rPr>
        <w:t>D</w:t>
      </w:r>
      <w:r w:rsidR="00E265F6" w:rsidRPr="00855EE9">
        <w:rPr>
          <w:rFonts w:ascii="Arial" w:hAnsi="Arial" w:cs="Arial"/>
          <w:sz w:val="24"/>
          <w:szCs w:val="24"/>
        </w:rPr>
        <w:t>irector-</w:t>
      </w:r>
      <w:r w:rsidR="006763F3" w:rsidRPr="00855EE9">
        <w:rPr>
          <w:rFonts w:ascii="Arial" w:hAnsi="Arial" w:cs="Arial"/>
          <w:sz w:val="24"/>
          <w:szCs w:val="24"/>
        </w:rPr>
        <w:t>G</w:t>
      </w:r>
      <w:r w:rsidR="00E265F6" w:rsidRPr="00855EE9">
        <w:rPr>
          <w:rFonts w:ascii="Arial" w:hAnsi="Arial" w:cs="Arial"/>
          <w:sz w:val="24"/>
          <w:szCs w:val="24"/>
        </w:rPr>
        <w:t xml:space="preserve">eneral and ultimately, the Minister whereas the delegations that have been </w:t>
      </w:r>
      <w:r w:rsidR="006763F3" w:rsidRPr="00855EE9">
        <w:rPr>
          <w:rFonts w:ascii="Arial" w:hAnsi="Arial" w:cs="Arial"/>
          <w:sz w:val="24"/>
          <w:szCs w:val="24"/>
        </w:rPr>
        <w:t xml:space="preserve">adopted </w:t>
      </w:r>
      <w:r w:rsidR="00E265F6" w:rsidRPr="00855EE9">
        <w:rPr>
          <w:rFonts w:ascii="Arial" w:hAnsi="Arial" w:cs="Arial"/>
          <w:sz w:val="24"/>
          <w:szCs w:val="24"/>
        </w:rPr>
        <w:t xml:space="preserve">provide for a delegation in both instances to the </w:t>
      </w:r>
      <w:r w:rsidR="00065177" w:rsidRPr="00855EE9">
        <w:rPr>
          <w:rFonts w:ascii="Arial" w:hAnsi="Arial" w:cs="Arial"/>
          <w:sz w:val="24"/>
          <w:szCs w:val="24"/>
        </w:rPr>
        <w:t>A</w:t>
      </w:r>
      <w:r w:rsidR="00E265F6" w:rsidRPr="00855EE9">
        <w:rPr>
          <w:rFonts w:ascii="Arial" w:hAnsi="Arial" w:cs="Arial"/>
          <w:sz w:val="24"/>
          <w:szCs w:val="24"/>
        </w:rPr>
        <w:t xml:space="preserve">ssistant </w:t>
      </w:r>
      <w:r w:rsidR="00065177" w:rsidRPr="00855EE9">
        <w:rPr>
          <w:rFonts w:ascii="Arial" w:hAnsi="Arial" w:cs="Arial"/>
          <w:sz w:val="24"/>
          <w:szCs w:val="24"/>
        </w:rPr>
        <w:t>D</w:t>
      </w:r>
      <w:r w:rsidR="00E265F6" w:rsidRPr="00855EE9">
        <w:rPr>
          <w:rFonts w:ascii="Arial" w:hAnsi="Arial" w:cs="Arial"/>
          <w:sz w:val="24"/>
          <w:szCs w:val="24"/>
        </w:rPr>
        <w:t xml:space="preserve">irector: </w:t>
      </w:r>
      <w:r w:rsidR="00065177" w:rsidRPr="00855EE9">
        <w:rPr>
          <w:rFonts w:ascii="Arial" w:hAnsi="Arial" w:cs="Arial"/>
          <w:sz w:val="24"/>
          <w:szCs w:val="24"/>
        </w:rPr>
        <w:t>A</w:t>
      </w:r>
      <w:r w:rsidR="00E265F6" w:rsidRPr="00855EE9">
        <w:rPr>
          <w:rFonts w:ascii="Arial" w:hAnsi="Arial" w:cs="Arial"/>
          <w:sz w:val="24"/>
          <w:szCs w:val="24"/>
        </w:rPr>
        <w:t>ppeals.</w:t>
      </w:r>
      <w:r w:rsidR="00E869B3" w:rsidRPr="00855EE9">
        <w:rPr>
          <w:rFonts w:ascii="Arial" w:hAnsi="Arial" w:cs="Arial"/>
          <w:sz w:val="24"/>
          <w:szCs w:val="24"/>
        </w:rPr>
        <w:t xml:space="preserve">  This notwithstanding, </w:t>
      </w:r>
      <w:r w:rsidR="003656B0" w:rsidRPr="00855EE9">
        <w:rPr>
          <w:rFonts w:ascii="Arial" w:hAnsi="Arial" w:cs="Arial"/>
          <w:sz w:val="24"/>
          <w:szCs w:val="24"/>
        </w:rPr>
        <w:t xml:space="preserve">I do have reservations as to the merits of the argument </w:t>
      </w:r>
      <w:r w:rsidR="009334E4" w:rsidRPr="00855EE9">
        <w:rPr>
          <w:rFonts w:ascii="Arial" w:hAnsi="Arial" w:cs="Arial"/>
          <w:sz w:val="24"/>
          <w:szCs w:val="24"/>
        </w:rPr>
        <w:t xml:space="preserve">in this application </w:t>
      </w:r>
      <w:r w:rsidR="003656B0" w:rsidRPr="00855EE9">
        <w:rPr>
          <w:rFonts w:ascii="Arial" w:hAnsi="Arial" w:cs="Arial"/>
          <w:sz w:val="24"/>
          <w:szCs w:val="24"/>
        </w:rPr>
        <w:t>for the following reasons:</w:t>
      </w:r>
    </w:p>
    <w:p w14:paraId="567DB024" w14:textId="03FB5E7D" w:rsidR="003656B0"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29.1.</w:t>
      </w:r>
      <w:r w:rsidRPr="007044B7">
        <w:rPr>
          <w:rFonts w:ascii="Arial" w:hAnsi="Arial" w:cs="Arial"/>
          <w:sz w:val="24"/>
          <w:szCs w:val="24"/>
        </w:rPr>
        <w:tab/>
      </w:r>
      <w:r w:rsidR="00E869B3" w:rsidRPr="00855EE9">
        <w:rPr>
          <w:rFonts w:ascii="Arial" w:hAnsi="Arial" w:cs="Arial"/>
          <w:sz w:val="24"/>
          <w:szCs w:val="24"/>
          <w:u w:val="single"/>
        </w:rPr>
        <w:t>F</w:t>
      </w:r>
      <w:r w:rsidR="005F2461" w:rsidRPr="00855EE9">
        <w:rPr>
          <w:rFonts w:ascii="Arial" w:hAnsi="Arial" w:cs="Arial"/>
          <w:sz w:val="24"/>
          <w:szCs w:val="24"/>
          <w:u w:val="single"/>
        </w:rPr>
        <w:t>irst</w:t>
      </w:r>
      <w:r w:rsidR="005F2461" w:rsidRPr="00855EE9">
        <w:rPr>
          <w:rFonts w:ascii="Arial" w:hAnsi="Arial" w:cs="Arial"/>
          <w:sz w:val="24"/>
          <w:szCs w:val="24"/>
        </w:rPr>
        <w:t xml:space="preserve">, it is common cause that the functions of both the </w:t>
      </w:r>
      <w:r w:rsidR="008D54FB" w:rsidRPr="00855EE9">
        <w:rPr>
          <w:rFonts w:ascii="Arial" w:hAnsi="Arial" w:cs="Arial"/>
          <w:sz w:val="24"/>
          <w:szCs w:val="24"/>
        </w:rPr>
        <w:t>D</w:t>
      </w:r>
      <w:r w:rsidR="005F2461" w:rsidRPr="00855EE9">
        <w:rPr>
          <w:rFonts w:ascii="Arial" w:hAnsi="Arial" w:cs="Arial"/>
          <w:sz w:val="24"/>
          <w:szCs w:val="24"/>
        </w:rPr>
        <w:t>irector-</w:t>
      </w:r>
      <w:r w:rsidR="008D54FB" w:rsidRPr="00855EE9">
        <w:rPr>
          <w:rFonts w:ascii="Arial" w:hAnsi="Arial" w:cs="Arial"/>
          <w:sz w:val="24"/>
          <w:szCs w:val="24"/>
        </w:rPr>
        <w:t>G</w:t>
      </w:r>
      <w:r w:rsidR="005F2461" w:rsidRPr="00855EE9">
        <w:rPr>
          <w:rFonts w:ascii="Arial" w:hAnsi="Arial" w:cs="Arial"/>
          <w:sz w:val="24"/>
          <w:szCs w:val="24"/>
        </w:rPr>
        <w:t>eneral and the Minister ha</w:t>
      </w:r>
      <w:r w:rsidR="008D54FB" w:rsidRPr="00855EE9">
        <w:rPr>
          <w:rFonts w:ascii="Arial" w:hAnsi="Arial" w:cs="Arial"/>
          <w:sz w:val="24"/>
          <w:szCs w:val="24"/>
        </w:rPr>
        <w:t>ve</w:t>
      </w:r>
      <w:r w:rsidR="005F2461" w:rsidRPr="00855EE9">
        <w:rPr>
          <w:rFonts w:ascii="Arial" w:hAnsi="Arial" w:cs="Arial"/>
          <w:sz w:val="24"/>
          <w:szCs w:val="24"/>
        </w:rPr>
        <w:t xml:space="preserve"> been delegated to the </w:t>
      </w:r>
      <w:r w:rsidR="008D54FB" w:rsidRPr="00855EE9">
        <w:rPr>
          <w:rFonts w:ascii="Arial" w:hAnsi="Arial" w:cs="Arial"/>
          <w:sz w:val="24"/>
          <w:szCs w:val="24"/>
        </w:rPr>
        <w:t>A</w:t>
      </w:r>
      <w:r w:rsidR="005F2461" w:rsidRPr="00855EE9">
        <w:rPr>
          <w:rFonts w:ascii="Arial" w:hAnsi="Arial" w:cs="Arial"/>
          <w:sz w:val="24"/>
          <w:szCs w:val="24"/>
        </w:rPr>
        <w:t xml:space="preserve">ssistant </w:t>
      </w:r>
      <w:r w:rsidR="008D54FB" w:rsidRPr="00855EE9">
        <w:rPr>
          <w:rFonts w:ascii="Arial" w:hAnsi="Arial" w:cs="Arial"/>
          <w:sz w:val="24"/>
          <w:szCs w:val="24"/>
        </w:rPr>
        <w:t>D</w:t>
      </w:r>
      <w:r w:rsidR="005F2461" w:rsidRPr="00855EE9">
        <w:rPr>
          <w:rFonts w:ascii="Arial" w:hAnsi="Arial" w:cs="Arial"/>
          <w:sz w:val="24"/>
          <w:szCs w:val="24"/>
        </w:rPr>
        <w:t xml:space="preserve">irector: </w:t>
      </w:r>
      <w:r w:rsidR="008D54FB" w:rsidRPr="00855EE9">
        <w:rPr>
          <w:rFonts w:ascii="Arial" w:hAnsi="Arial" w:cs="Arial"/>
          <w:sz w:val="24"/>
          <w:szCs w:val="24"/>
        </w:rPr>
        <w:t>A</w:t>
      </w:r>
      <w:r w:rsidR="005F2461" w:rsidRPr="00855EE9">
        <w:rPr>
          <w:rFonts w:ascii="Arial" w:hAnsi="Arial" w:cs="Arial"/>
          <w:sz w:val="24"/>
          <w:szCs w:val="24"/>
        </w:rPr>
        <w:t>ppeals. There was no challenge</w:t>
      </w:r>
      <w:r w:rsidR="0034475E" w:rsidRPr="00855EE9">
        <w:rPr>
          <w:rFonts w:ascii="Arial" w:hAnsi="Arial" w:cs="Arial"/>
          <w:sz w:val="24"/>
          <w:szCs w:val="24"/>
        </w:rPr>
        <w:t xml:space="preserve"> to that delegation.</w:t>
      </w:r>
    </w:p>
    <w:p w14:paraId="087D6520" w14:textId="48319FE2" w:rsidR="0034475E"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29.2.</w:t>
      </w:r>
      <w:r w:rsidRPr="007044B7">
        <w:rPr>
          <w:rFonts w:ascii="Arial" w:hAnsi="Arial" w:cs="Arial"/>
          <w:sz w:val="24"/>
          <w:szCs w:val="24"/>
        </w:rPr>
        <w:tab/>
      </w:r>
      <w:r w:rsidR="0034475E" w:rsidRPr="00855EE9">
        <w:rPr>
          <w:rFonts w:ascii="Arial" w:hAnsi="Arial" w:cs="Arial"/>
          <w:sz w:val="24"/>
          <w:szCs w:val="24"/>
          <w:u w:val="single"/>
        </w:rPr>
        <w:t>Second</w:t>
      </w:r>
      <w:r w:rsidR="0034475E" w:rsidRPr="00855EE9">
        <w:rPr>
          <w:rFonts w:ascii="Arial" w:hAnsi="Arial" w:cs="Arial"/>
          <w:sz w:val="24"/>
          <w:szCs w:val="24"/>
        </w:rPr>
        <w:t>,</w:t>
      </w:r>
      <w:r w:rsidR="00137FB2" w:rsidRPr="00855EE9">
        <w:rPr>
          <w:rFonts w:ascii="Arial" w:hAnsi="Arial" w:cs="Arial"/>
          <w:sz w:val="24"/>
          <w:szCs w:val="24"/>
        </w:rPr>
        <w:t xml:space="preserve"> a determination of the matter on this ground, would have far-reaching consequences in respect of matters that ha</w:t>
      </w:r>
      <w:r w:rsidR="00276F14" w:rsidRPr="00855EE9">
        <w:rPr>
          <w:rFonts w:ascii="Arial" w:hAnsi="Arial" w:cs="Arial"/>
          <w:sz w:val="24"/>
          <w:szCs w:val="24"/>
        </w:rPr>
        <w:t>ve</w:t>
      </w:r>
      <w:r w:rsidR="00137FB2" w:rsidRPr="00855EE9">
        <w:rPr>
          <w:rFonts w:ascii="Arial" w:hAnsi="Arial" w:cs="Arial"/>
          <w:sz w:val="24"/>
          <w:szCs w:val="24"/>
        </w:rPr>
        <w:t xml:space="preserve"> already been determined in circumstances where</w:t>
      </w:r>
      <w:r w:rsidR="00E34CFA" w:rsidRPr="00855EE9">
        <w:rPr>
          <w:rFonts w:ascii="Arial" w:hAnsi="Arial" w:cs="Arial"/>
          <w:sz w:val="24"/>
          <w:szCs w:val="24"/>
        </w:rPr>
        <w:t xml:space="preserve"> this issue ha</w:t>
      </w:r>
      <w:r w:rsidR="008D4EBB" w:rsidRPr="00855EE9">
        <w:rPr>
          <w:rFonts w:ascii="Arial" w:hAnsi="Arial" w:cs="Arial"/>
          <w:sz w:val="24"/>
          <w:szCs w:val="24"/>
        </w:rPr>
        <w:t>s</w:t>
      </w:r>
      <w:r w:rsidR="00E34CFA" w:rsidRPr="00855EE9">
        <w:rPr>
          <w:rFonts w:ascii="Arial" w:hAnsi="Arial" w:cs="Arial"/>
          <w:sz w:val="24"/>
          <w:szCs w:val="24"/>
        </w:rPr>
        <w:t xml:space="preserve"> not been properly and fully ventilated on the papers.</w:t>
      </w:r>
    </w:p>
    <w:p w14:paraId="11F8FCF6" w14:textId="51C5AA3B" w:rsidR="00E869B3" w:rsidRPr="00855EE9" w:rsidRDefault="00855EE9" w:rsidP="00855EE9">
      <w:pPr>
        <w:spacing w:before="120" w:after="360" w:line="480" w:lineRule="auto"/>
        <w:ind w:left="1440" w:hanging="873"/>
        <w:jc w:val="both"/>
        <w:rPr>
          <w:rFonts w:ascii="Arial" w:hAnsi="Arial" w:cs="Arial"/>
          <w:sz w:val="24"/>
          <w:szCs w:val="24"/>
        </w:rPr>
      </w:pPr>
      <w:r>
        <w:rPr>
          <w:rFonts w:ascii="Arial" w:hAnsi="Arial" w:cs="Arial"/>
          <w:sz w:val="24"/>
          <w:szCs w:val="24"/>
        </w:rPr>
        <w:t>29.3.</w:t>
      </w:r>
      <w:r>
        <w:rPr>
          <w:rFonts w:ascii="Arial" w:hAnsi="Arial" w:cs="Arial"/>
          <w:sz w:val="24"/>
          <w:szCs w:val="24"/>
        </w:rPr>
        <w:tab/>
      </w:r>
      <w:r w:rsidR="00E34CFA" w:rsidRPr="00855EE9">
        <w:rPr>
          <w:rFonts w:ascii="Arial" w:hAnsi="Arial" w:cs="Arial"/>
          <w:sz w:val="24"/>
          <w:szCs w:val="24"/>
          <w:u w:val="single"/>
        </w:rPr>
        <w:t>Third</w:t>
      </w:r>
      <w:r w:rsidR="00E34CFA" w:rsidRPr="00855EE9">
        <w:rPr>
          <w:rFonts w:ascii="Arial" w:hAnsi="Arial" w:cs="Arial"/>
          <w:sz w:val="24"/>
          <w:szCs w:val="24"/>
        </w:rPr>
        <w:t>, in any event,</w:t>
      </w:r>
      <w:r w:rsidR="004F7C2B" w:rsidRPr="00855EE9">
        <w:rPr>
          <w:rFonts w:ascii="Arial" w:hAnsi="Arial" w:cs="Arial"/>
          <w:sz w:val="24"/>
          <w:szCs w:val="24"/>
        </w:rPr>
        <w:t xml:space="preserve"> </w:t>
      </w:r>
      <w:r w:rsidR="00E869B3" w:rsidRPr="00855EE9">
        <w:rPr>
          <w:rFonts w:ascii="Arial" w:hAnsi="Arial" w:cs="Arial"/>
          <w:sz w:val="24"/>
          <w:szCs w:val="24"/>
        </w:rPr>
        <w:t xml:space="preserve">in the present instance the two separate appeals were determined by two separate </w:t>
      </w:r>
      <w:r w:rsidR="008D4EBB" w:rsidRPr="00855EE9">
        <w:rPr>
          <w:rFonts w:ascii="Arial" w:hAnsi="Arial" w:cs="Arial"/>
          <w:sz w:val="24"/>
          <w:szCs w:val="24"/>
        </w:rPr>
        <w:t>individuals, although both occupied the same designation.</w:t>
      </w:r>
    </w:p>
    <w:p w14:paraId="753BFEE0" w14:textId="2133C622" w:rsidR="00187C1A" w:rsidRPr="00855EE9" w:rsidRDefault="00855EE9" w:rsidP="00855EE9">
      <w:pPr>
        <w:spacing w:before="120" w:after="360" w:line="480" w:lineRule="auto"/>
        <w:ind w:left="1440" w:hanging="873"/>
        <w:jc w:val="both"/>
        <w:rPr>
          <w:rFonts w:ascii="Arial" w:hAnsi="Arial" w:cs="Arial"/>
          <w:sz w:val="24"/>
          <w:szCs w:val="24"/>
        </w:rPr>
      </w:pPr>
      <w:r w:rsidRPr="00187C1A">
        <w:rPr>
          <w:rFonts w:ascii="Arial" w:hAnsi="Arial" w:cs="Arial"/>
          <w:sz w:val="24"/>
          <w:szCs w:val="24"/>
        </w:rPr>
        <w:t>29.4.</w:t>
      </w:r>
      <w:r w:rsidRPr="00187C1A">
        <w:rPr>
          <w:rFonts w:ascii="Arial" w:hAnsi="Arial" w:cs="Arial"/>
          <w:sz w:val="24"/>
          <w:szCs w:val="24"/>
        </w:rPr>
        <w:tab/>
      </w:r>
      <w:r w:rsidR="00187C1A" w:rsidRPr="00855EE9">
        <w:rPr>
          <w:rFonts w:ascii="Arial" w:hAnsi="Arial" w:cs="Arial"/>
          <w:sz w:val="24"/>
          <w:szCs w:val="24"/>
          <w:u w:val="single"/>
        </w:rPr>
        <w:t>Finally</w:t>
      </w:r>
      <w:r w:rsidR="00187C1A" w:rsidRPr="00855EE9">
        <w:rPr>
          <w:rFonts w:ascii="Arial" w:hAnsi="Arial" w:cs="Arial"/>
          <w:sz w:val="24"/>
          <w:szCs w:val="24"/>
        </w:rPr>
        <w:t>, in light of the conclusions I have reached, I do not consider it necessary to determine this issue.</w:t>
      </w:r>
    </w:p>
    <w:p w14:paraId="60D65932" w14:textId="5E97D5E3" w:rsidR="00973AD5" w:rsidRPr="007044B7" w:rsidRDefault="00973AD5" w:rsidP="00C6348E">
      <w:pPr>
        <w:spacing w:before="120" w:after="360" w:line="480" w:lineRule="auto"/>
        <w:jc w:val="both"/>
        <w:rPr>
          <w:rFonts w:ascii="Arial" w:hAnsi="Arial" w:cs="Arial"/>
          <w:b/>
          <w:bCs/>
          <w:sz w:val="24"/>
          <w:szCs w:val="24"/>
        </w:rPr>
      </w:pPr>
      <w:r w:rsidRPr="007044B7">
        <w:rPr>
          <w:rFonts w:ascii="Arial" w:hAnsi="Arial" w:cs="Arial"/>
          <w:b/>
          <w:bCs/>
          <w:sz w:val="24"/>
          <w:szCs w:val="24"/>
        </w:rPr>
        <w:t>REMEDY</w:t>
      </w:r>
    </w:p>
    <w:p w14:paraId="1CB3B004" w14:textId="35A6FC81" w:rsidR="008D4EBB"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30.</w:t>
      </w:r>
      <w:r w:rsidRPr="007044B7">
        <w:rPr>
          <w:rFonts w:ascii="Arial" w:hAnsi="Arial" w:cs="Arial"/>
          <w:sz w:val="24"/>
          <w:szCs w:val="24"/>
        </w:rPr>
        <w:tab/>
      </w:r>
      <w:r w:rsidR="00D84BF3" w:rsidRPr="00855EE9">
        <w:rPr>
          <w:rFonts w:ascii="Arial" w:hAnsi="Arial" w:cs="Arial"/>
          <w:sz w:val="24"/>
          <w:szCs w:val="24"/>
        </w:rPr>
        <w:t>Having found that there was a reviewable irregularity, it follows that the impugned decisions must be reviewed and set aside.</w:t>
      </w:r>
    </w:p>
    <w:p w14:paraId="7932180B" w14:textId="77A9250C" w:rsidR="00D84BF3"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31.</w:t>
      </w:r>
      <w:r w:rsidRPr="007044B7">
        <w:rPr>
          <w:rFonts w:ascii="Arial" w:hAnsi="Arial" w:cs="Arial"/>
          <w:sz w:val="24"/>
          <w:szCs w:val="24"/>
        </w:rPr>
        <w:tab/>
      </w:r>
      <w:r w:rsidR="00D84BF3" w:rsidRPr="00855EE9">
        <w:rPr>
          <w:rFonts w:ascii="Arial" w:hAnsi="Arial" w:cs="Arial"/>
          <w:sz w:val="24"/>
          <w:szCs w:val="24"/>
        </w:rPr>
        <w:t xml:space="preserve">Attendant on that Order, </w:t>
      </w:r>
      <w:r w:rsidR="00DD6F65" w:rsidRPr="00855EE9">
        <w:rPr>
          <w:rFonts w:ascii="Arial" w:hAnsi="Arial" w:cs="Arial"/>
          <w:sz w:val="24"/>
          <w:szCs w:val="24"/>
        </w:rPr>
        <w:t>the applicant argued for an Order of substitution.</w:t>
      </w:r>
    </w:p>
    <w:p w14:paraId="3DAC7104" w14:textId="3CE23647" w:rsidR="001B5538"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32.</w:t>
      </w:r>
      <w:r w:rsidRPr="007044B7">
        <w:rPr>
          <w:rFonts w:ascii="Arial" w:hAnsi="Arial" w:cs="Arial"/>
          <w:sz w:val="24"/>
          <w:szCs w:val="24"/>
        </w:rPr>
        <w:tab/>
      </w:r>
      <w:r w:rsidR="00DD6F65" w:rsidRPr="00855EE9">
        <w:rPr>
          <w:rFonts w:ascii="Arial" w:hAnsi="Arial" w:cs="Arial"/>
          <w:sz w:val="24"/>
          <w:szCs w:val="24"/>
        </w:rPr>
        <w:t>The legal principles in respect of substitution are well established</w:t>
      </w:r>
      <w:r w:rsidR="005517FB" w:rsidRPr="00855EE9">
        <w:rPr>
          <w:rFonts w:ascii="Arial" w:hAnsi="Arial" w:cs="Arial"/>
          <w:sz w:val="24"/>
          <w:szCs w:val="24"/>
        </w:rPr>
        <w:t>.</w:t>
      </w:r>
      <w:r w:rsidR="00B51349" w:rsidRPr="00855EE9">
        <w:rPr>
          <w:rFonts w:ascii="Arial" w:hAnsi="Arial" w:cs="Arial"/>
          <w:sz w:val="24"/>
          <w:szCs w:val="24"/>
        </w:rPr>
        <w:t xml:space="preserve">  </w:t>
      </w:r>
      <w:r w:rsidR="005517FB" w:rsidRPr="00855EE9">
        <w:rPr>
          <w:rFonts w:ascii="Arial" w:hAnsi="Arial" w:cs="Arial"/>
          <w:sz w:val="24"/>
          <w:szCs w:val="24"/>
        </w:rPr>
        <w:t>In terms of s</w:t>
      </w:r>
      <w:r w:rsidR="00AA6BC0" w:rsidRPr="00855EE9">
        <w:rPr>
          <w:rFonts w:ascii="Arial" w:hAnsi="Arial" w:cs="Arial"/>
          <w:sz w:val="24"/>
          <w:szCs w:val="24"/>
        </w:rPr>
        <w:t>ection</w:t>
      </w:r>
      <w:r w:rsidR="005517FB" w:rsidRPr="00855EE9">
        <w:rPr>
          <w:rFonts w:ascii="Arial" w:hAnsi="Arial" w:cs="Arial"/>
          <w:sz w:val="24"/>
          <w:szCs w:val="24"/>
        </w:rPr>
        <w:t xml:space="preserve"> 8(c)(ii)(aa) of PAJA, a court may substitute its own decision for that of an administrator in 'exceptional cases'. </w:t>
      </w:r>
    </w:p>
    <w:p w14:paraId="74E5001C" w14:textId="135F836A" w:rsidR="005517FB"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33.</w:t>
      </w:r>
      <w:r w:rsidRPr="007044B7">
        <w:rPr>
          <w:rFonts w:ascii="Arial" w:hAnsi="Arial" w:cs="Arial"/>
          <w:sz w:val="24"/>
          <w:szCs w:val="24"/>
        </w:rPr>
        <w:tab/>
      </w:r>
      <w:r w:rsidR="001B5538" w:rsidRPr="00855EE9">
        <w:rPr>
          <w:rFonts w:ascii="Arial" w:hAnsi="Arial" w:cs="Arial"/>
          <w:sz w:val="24"/>
          <w:szCs w:val="24"/>
        </w:rPr>
        <w:t xml:space="preserve">In </w:t>
      </w:r>
      <w:r w:rsidR="001B5538" w:rsidRPr="00855EE9">
        <w:rPr>
          <w:rFonts w:ascii="Arial" w:hAnsi="Arial" w:cs="Arial"/>
          <w:b/>
          <w:bCs/>
          <w:sz w:val="24"/>
          <w:szCs w:val="24"/>
        </w:rPr>
        <w:t>National Commissioner of Correctional Services and Another v Democratic Alliance and Others</w:t>
      </w:r>
      <w:r w:rsidR="001B5538" w:rsidRPr="00855EE9">
        <w:rPr>
          <w:rFonts w:ascii="Arial" w:hAnsi="Arial" w:cs="Arial"/>
          <w:sz w:val="24"/>
          <w:szCs w:val="24"/>
        </w:rPr>
        <w:t xml:space="preserve"> 2023 (2) SA 530 (SCA), the SCA </w:t>
      </w:r>
      <w:r w:rsidR="008C7272" w:rsidRPr="00855EE9">
        <w:rPr>
          <w:rFonts w:ascii="Arial" w:hAnsi="Arial" w:cs="Arial"/>
          <w:sz w:val="24"/>
          <w:szCs w:val="24"/>
        </w:rPr>
        <w:t>recently confirmed that t</w:t>
      </w:r>
      <w:r w:rsidR="005517FB" w:rsidRPr="00855EE9">
        <w:rPr>
          <w:rFonts w:ascii="Arial" w:hAnsi="Arial" w:cs="Arial"/>
          <w:sz w:val="24"/>
          <w:szCs w:val="24"/>
        </w:rPr>
        <w:t xml:space="preserve">he lodestar in the enquiry whether there are exceptional circumstances remains </w:t>
      </w:r>
      <w:r w:rsidR="00A378DE" w:rsidRPr="00855EE9">
        <w:rPr>
          <w:rFonts w:ascii="Arial" w:hAnsi="Arial" w:cs="Arial"/>
          <w:b/>
          <w:bCs/>
          <w:sz w:val="24"/>
          <w:szCs w:val="24"/>
        </w:rPr>
        <w:t>Trencon Construction (Pty) Ltd v Industrial Development Corporation of South Africa Ltd and Another</w:t>
      </w:r>
      <w:r w:rsidR="00A378DE" w:rsidRPr="00855EE9">
        <w:rPr>
          <w:rFonts w:ascii="Arial" w:hAnsi="Arial" w:cs="Arial"/>
          <w:sz w:val="24"/>
          <w:szCs w:val="24"/>
        </w:rPr>
        <w:t> 2015 (5) SA 245 (CC) (2015 (10) BCLR 1199; [2015] ZACC 22) at par 4</w:t>
      </w:r>
      <w:r w:rsidR="00C0767B" w:rsidRPr="00855EE9">
        <w:rPr>
          <w:rFonts w:ascii="Arial" w:hAnsi="Arial" w:cs="Arial"/>
          <w:sz w:val="24"/>
          <w:szCs w:val="24"/>
        </w:rPr>
        <w:t xml:space="preserve">7 </w:t>
      </w:r>
      <w:r w:rsidR="005517FB" w:rsidRPr="00855EE9">
        <w:rPr>
          <w:rFonts w:ascii="Arial" w:hAnsi="Arial" w:cs="Arial"/>
          <w:sz w:val="24"/>
          <w:szCs w:val="24"/>
        </w:rPr>
        <w:t>where the Constitutional Court identified the following factors:</w:t>
      </w:r>
    </w:p>
    <w:p w14:paraId="43916C2D" w14:textId="123F7EB5" w:rsidR="005517FB" w:rsidRPr="007044B7" w:rsidRDefault="008C7272" w:rsidP="00C6348E">
      <w:pPr>
        <w:pStyle w:val="ListParagraph"/>
        <w:spacing w:before="120" w:after="360" w:line="240" w:lineRule="auto"/>
        <w:ind w:left="924"/>
        <w:contextualSpacing w:val="0"/>
        <w:jc w:val="both"/>
        <w:rPr>
          <w:rFonts w:ascii="Arial" w:hAnsi="Arial" w:cs="Arial"/>
          <w:sz w:val="24"/>
          <w:szCs w:val="24"/>
        </w:rPr>
      </w:pPr>
      <w:r w:rsidRPr="007044B7">
        <w:rPr>
          <w:rFonts w:ascii="Arial" w:hAnsi="Arial" w:cs="Arial"/>
          <w:sz w:val="24"/>
          <w:szCs w:val="24"/>
        </w:rPr>
        <w:t>“</w:t>
      </w:r>
      <w:r w:rsidR="005517FB" w:rsidRPr="007044B7">
        <w:rPr>
          <w:rFonts w:ascii="Arial" w:hAnsi="Arial" w:cs="Arial"/>
          <w:sz w:val="24"/>
          <w:szCs w:val="24"/>
        </w:rPr>
        <w:t>The first is whether a court is in as good a position as the administrator to make the decision. The second is whether the decision of an administrator is a foregone conclusion. These two factors must be considered cumulatively. Thereafter, a court should still consider other</w:t>
      </w:r>
      <w:r w:rsidRPr="007044B7">
        <w:rPr>
          <w:rFonts w:ascii="Arial" w:hAnsi="Arial" w:cs="Arial"/>
          <w:sz w:val="24"/>
          <w:szCs w:val="24"/>
        </w:rPr>
        <w:t xml:space="preserve"> </w:t>
      </w:r>
      <w:r w:rsidR="005517FB" w:rsidRPr="007044B7">
        <w:rPr>
          <w:rFonts w:ascii="Arial" w:hAnsi="Arial" w:cs="Arial"/>
          <w:sz w:val="24"/>
          <w:szCs w:val="24"/>
        </w:rPr>
        <w:t>relevant factors. These may include delay, bias or the incompetence of an administrator. The ultimate consideration is whether a substitution order is just and equitable. This will involve a consideration of fairness to all implicated parties. It is prudent to emphasise that the exceptional circumstances enquiry requires an examination of each matter on a case-by-case basis that accounts for all relevant facts and circumstances.</w:t>
      </w:r>
      <w:r w:rsidR="006C5F35" w:rsidRPr="007044B7">
        <w:rPr>
          <w:rFonts w:ascii="Arial" w:hAnsi="Arial" w:cs="Arial"/>
          <w:sz w:val="24"/>
          <w:szCs w:val="24"/>
        </w:rPr>
        <w:t>”</w:t>
      </w:r>
    </w:p>
    <w:p w14:paraId="2216C0F4" w14:textId="1CE40020" w:rsidR="005A16F8"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34.</w:t>
      </w:r>
      <w:r w:rsidRPr="007044B7">
        <w:rPr>
          <w:rFonts w:ascii="Arial" w:hAnsi="Arial" w:cs="Arial"/>
          <w:sz w:val="24"/>
          <w:szCs w:val="24"/>
        </w:rPr>
        <w:tab/>
      </w:r>
      <w:r w:rsidR="008E4166" w:rsidRPr="00855EE9">
        <w:rPr>
          <w:rFonts w:ascii="Arial" w:hAnsi="Arial" w:cs="Arial"/>
          <w:sz w:val="24"/>
          <w:szCs w:val="24"/>
        </w:rPr>
        <w:t xml:space="preserve">I am mindful of: (a) the long history of this matter; (b) </w:t>
      </w:r>
      <w:r w:rsidR="00FB7B45" w:rsidRPr="00855EE9">
        <w:rPr>
          <w:rFonts w:ascii="Arial" w:hAnsi="Arial" w:cs="Arial"/>
          <w:sz w:val="24"/>
          <w:szCs w:val="24"/>
        </w:rPr>
        <w:t xml:space="preserve">the impact of the delays on the life of the applicant; (c) the inadequacy </w:t>
      </w:r>
      <w:r w:rsidR="00CF72A0" w:rsidRPr="00855EE9">
        <w:rPr>
          <w:rFonts w:ascii="Arial" w:hAnsi="Arial" w:cs="Arial"/>
          <w:sz w:val="24"/>
          <w:szCs w:val="24"/>
        </w:rPr>
        <w:t xml:space="preserve">of </w:t>
      </w:r>
      <w:r w:rsidR="00886118" w:rsidRPr="00855EE9">
        <w:rPr>
          <w:rFonts w:ascii="Arial" w:hAnsi="Arial" w:cs="Arial"/>
          <w:sz w:val="24"/>
          <w:szCs w:val="24"/>
        </w:rPr>
        <w:t xml:space="preserve">the reasons given by the respondents; and (d) </w:t>
      </w:r>
      <w:r w:rsidR="00BC0110" w:rsidRPr="00855EE9">
        <w:rPr>
          <w:rFonts w:ascii="Arial" w:hAnsi="Arial" w:cs="Arial"/>
          <w:sz w:val="24"/>
          <w:szCs w:val="24"/>
        </w:rPr>
        <w:t xml:space="preserve">that the respondents have not raised non compliance with any of the criteria for a critical skills visa.  Notwithstanding all of these factors, </w:t>
      </w:r>
      <w:r w:rsidR="00190F28" w:rsidRPr="00855EE9">
        <w:rPr>
          <w:rFonts w:ascii="Arial" w:hAnsi="Arial" w:cs="Arial"/>
          <w:sz w:val="24"/>
          <w:szCs w:val="24"/>
        </w:rPr>
        <w:t>I am of the view that it would not be appropriate for me to grant an order of substitution.  In my view</w:t>
      </w:r>
      <w:r w:rsidR="00BB72EA" w:rsidRPr="00855EE9">
        <w:rPr>
          <w:rFonts w:ascii="Arial" w:hAnsi="Arial" w:cs="Arial"/>
          <w:sz w:val="24"/>
          <w:szCs w:val="24"/>
        </w:rPr>
        <w:t>, although there were grave deficiencies in the way in which the matter was handled by the respondents</w:t>
      </w:r>
      <w:r w:rsidR="004D31E7" w:rsidRPr="00855EE9">
        <w:rPr>
          <w:rFonts w:ascii="Arial" w:hAnsi="Arial" w:cs="Arial"/>
          <w:sz w:val="24"/>
          <w:szCs w:val="24"/>
        </w:rPr>
        <w:t xml:space="preserve">: (a) they are now aware of the </w:t>
      </w:r>
      <w:r w:rsidR="00097B7D" w:rsidRPr="00855EE9">
        <w:rPr>
          <w:rFonts w:ascii="Arial" w:hAnsi="Arial" w:cs="Arial"/>
          <w:sz w:val="24"/>
          <w:szCs w:val="24"/>
        </w:rPr>
        <w:t xml:space="preserve">irregularities that have been committed to date; (b) they have given this Court an assurance that </w:t>
      </w:r>
      <w:r w:rsidR="00701F2F" w:rsidRPr="00855EE9">
        <w:rPr>
          <w:rFonts w:ascii="Arial" w:hAnsi="Arial" w:cs="Arial"/>
          <w:sz w:val="24"/>
          <w:szCs w:val="24"/>
        </w:rPr>
        <w:t xml:space="preserve">if the matter is remitted to the Second Respondent for reconsideration </w:t>
      </w:r>
      <w:r w:rsidR="007266E4" w:rsidRPr="00855EE9">
        <w:rPr>
          <w:rFonts w:ascii="Arial" w:hAnsi="Arial" w:cs="Arial"/>
          <w:sz w:val="24"/>
          <w:szCs w:val="24"/>
        </w:rPr>
        <w:t>it will be dealt with</w:t>
      </w:r>
      <w:r w:rsidR="008064EB" w:rsidRPr="00855EE9">
        <w:rPr>
          <w:rFonts w:ascii="Arial" w:hAnsi="Arial" w:cs="Arial"/>
          <w:sz w:val="24"/>
          <w:szCs w:val="24"/>
        </w:rPr>
        <w:t xml:space="preserve"> promptly </w:t>
      </w:r>
      <w:r w:rsidR="00D45CA2" w:rsidRPr="00855EE9">
        <w:rPr>
          <w:rFonts w:ascii="Arial" w:hAnsi="Arial" w:cs="Arial"/>
          <w:sz w:val="24"/>
          <w:szCs w:val="24"/>
        </w:rPr>
        <w:t xml:space="preserve">(between 30 and 45 Court days) </w:t>
      </w:r>
      <w:r w:rsidR="00951153" w:rsidRPr="00855EE9">
        <w:rPr>
          <w:rFonts w:ascii="Arial" w:hAnsi="Arial" w:cs="Arial"/>
          <w:sz w:val="24"/>
          <w:szCs w:val="24"/>
        </w:rPr>
        <w:t xml:space="preserve">and in accordance with </w:t>
      </w:r>
      <w:r w:rsidR="003D6CAE" w:rsidRPr="00855EE9">
        <w:rPr>
          <w:rFonts w:ascii="Arial" w:hAnsi="Arial" w:cs="Arial"/>
          <w:sz w:val="24"/>
          <w:szCs w:val="24"/>
        </w:rPr>
        <w:t>the timeframes provided for in the Order I make</w:t>
      </w:r>
      <w:r w:rsidR="006A3FB2" w:rsidRPr="00855EE9">
        <w:rPr>
          <w:rFonts w:ascii="Arial" w:hAnsi="Arial" w:cs="Arial"/>
          <w:sz w:val="24"/>
          <w:szCs w:val="24"/>
        </w:rPr>
        <w:t xml:space="preserve">; and (c) I have made provision in my Order as to what is to happen if the </w:t>
      </w:r>
      <w:r w:rsidR="00CB6DA2" w:rsidRPr="00855EE9">
        <w:rPr>
          <w:rFonts w:ascii="Arial" w:hAnsi="Arial" w:cs="Arial"/>
          <w:sz w:val="24"/>
          <w:szCs w:val="24"/>
        </w:rPr>
        <w:t>Second R</w:t>
      </w:r>
      <w:r w:rsidR="006A3FB2" w:rsidRPr="00855EE9">
        <w:rPr>
          <w:rFonts w:ascii="Arial" w:hAnsi="Arial" w:cs="Arial"/>
          <w:sz w:val="24"/>
          <w:szCs w:val="24"/>
        </w:rPr>
        <w:t>espondents do</w:t>
      </w:r>
      <w:r w:rsidR="00CB6DA2" w:rsidRPr="00855EE9">
        <w:rPr>
          <w:rFonts w:ascii="Arial" w:hAnsi="Arial" w:cs="Arial"/>
          <w:sz w:val="24"/>
          <w:szCs w:val="24"/>
        </w:rPr>
        <w:t>es</w:t>
      </w:r>
      <w:r w:rsidR="006A3FB2" w:rsidRPr="00855EE9">
        <w:rPr>
          <w:rFonts w:ascii="Arial" w:hAnsi="Arial" w:cs="Arial"/>
          <w:sz w:val="24"/>
          <w:szCs w:val="24"/>
        </w:rPr>
        <w:t xml:space="preserve"> not </w:t>
      </w:r>
      <w:r w:rsidR="005A16F8" w:rsidRPr="00855EE9">
        <w:rPr>
          <w:rFonts w:ascii="Arial" w:hAnsi="Arial" w:cs="Arial"/>
          <w:sz w:val="24"/>
          <w:szCs w:val="24"/>
        </w:rPr>
        <w:t>comply with the remittal Order.</w:t>
      </w:r>
    </w:p>
    <w:p w14:paraId="58DCB966" w14:textId="3B0E553F" w:rsidR="005517FB"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35.</w:t>
      </w:r>
      <w:r w:rsidRPr="007044B7">
        <w:rPr>
          <w:rFonts w:ascii="Arial" w:hAnsi="Arial" w:cs="Arial"/>
          <w:sz w:val="24"/>
          <w:szCs w:val="24"/>
        </w:rPr>
        <w:tab/>
      </w:r>
      <w:r w:rsidR="003D6CAE" w:rsidRPr="00855EE9">
        <w:rPr>
          <w:rFonts w:ascii="Arial" w:hAnsi="Arial" w:cs="Arial"/>
          <w:sz w:val="24"/>
          <w:szCs w:val="24"/>
        </w:rPr>
        <w:t xml:space="preserve">In the circumstances, I am of the view that the threshold of exceptional circumstances has not been met and that it would be just and equitable for the matter to be remitted to the </w:t>
      </w:r>
      <w:r w:rsidR="00E150B3" w:rsidRPr="00855EE9">
        <w:rPr>
          <w:rFonts w:ascii="Arial" w:hAnsi="Arial" w:cs="Arial"/>
          <w:sz w:val="24"/>
          <w:szCs w:val="24"/>
        </w:rPr>
        <w:t>Second Respondent for reconsideration.</w:t>
      </w:r>
      <w:r w:rsidR="007266E4" w:rsidRPr="00855EE9">
        <w:rPr>
          <w:rFonts w:ascii="Arial" w:hAnsi="Arial" w:cs="Arial"/>
          <w:sz w:val="24"/>
          <w:szCs w:val="24"/>
        </w:rPr>
        <w:t xml:space="preserve"> </w:t>
      </w:r>
    </w:p>
    <w:p w14:paraId="36C62156" w14:textId="72DB4B04" w:rsidR="00FA7EA0" w:rsidRPr="007044B7" w:rsidRDefault="00FA7EA0" w:rsidP="00C6348E">
      <w:pPr>
        <w:spacing w:before="120" w:after="360" w:line="480" w:lineRule="auto"/>
        <w:jc w:val="both"/>
        <w:rPr>
          <w:rFonts w:ascii="Arial" w:hAnsi="Arial" w:cs="Arial"/>
          <w:b/>
          <w:bCs/>
          <w:sz w:val="24"/>
          <w:szCs w:val="24"/>
        </w:rPr>
      </w:pPr>
      <w:r w:rsidRPr="007044B7">
        <w:rPr>
          <w:rFonts w:ascii="Arial" w:hAnsi="Arial" w:cs="Arial"/>
          <w:b/>
          <w:bCs/>
          <w:sz w:val="24"/>
          <w:szCs w:val="24"/>
        </w:rPr>
        <w:t xml:space="preserve">ORDER </w:t>
      </w:r>
    </w:p>
    <w:p w14:paraId="2D555B60" w14:textId="6D71E36D" w:rsidR="002F1AA3" w:rsidRPr="00855EE9" w:rsidRDefault="00855EE9" w:rsidP="00855EE9">
      <w:pPr>
        <w:spacing w:before="120" w:after="360" w:line="480" w:lineRule="auto"/>
        <w:ind w:left="567" w:hanging="567"/>
        <w:jc w:val="both"/>
        <w:rPr>
          <w:rFonts w:ascii="Arial" w:hAnsi="Arial" w:cs="Arial"/>
          <w:sz w:val="24"/>
          <w:szCs w:val="24"/>
        </w:rPr>
      </w:pPr>
      <w:r w:rsidRPr="007044B7">
        <w:rPr>
          <w:rFonts w:ascii="Arial" w:hAnsi="Arial" w:cs="Arial"/>
          <w:sz w:val="24"/>
          <w:szCs w:val="24"/>
        </w:rPr>
        <w:t>36.</w:t>
      </w:r>
      <w:r w:rsidRPr="007044B7">
        <w:rPr>
          <w:rFonts w:ascii="Arial" w:hAnsi="Arial" w:cs="Arial"/>
          <w:sz w:val="24"/>
          <w:szCs w:val="24"/>
        </w:rPr>
        <w:tab/>
      </w:r>
      <w:r w:rsidR="00FA7EA0" w:rsidRPr="00855EE9">
        <w:rPr>
          <w:rFonts w:ascii="Arial" w:hAnsi="Arial" w:cs="Arial"/>
          <w:sz w:val="24"/>
          <w:szCs w:val="24"/>
        </w:rPr>
        <w:t>In the circumstances, I make the following Order</w:t>
      </w:r>
      <w:r w:rsidR="002F1AA3" w:rsidRPr="00855EE9">
        <w:rPr>
          <w:rFonts w:ascii="Arial" w:hAnsi="Arial" w:cs="Arial"/>
          <w:sz w:val="24"/>
          <w:szCs w:val="24"/>
        </w:rPr>
        <w:t>:</w:t>
      </w:r>
    </w:p>
    <w:p w14:paraId="3E9F4113" w14:textId="7C3ACAD4" w:rsidR="002F1AA3"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36.1.</w:t>
      </w:r>
      <w:r w:rsidRPr="007044B7">
        <w:rPr>
          <w:rFonts w:ascii="Arial" w:hAnsi="Arial" w:cs="Arial"/>
          <w:sz w:val="24"/>
          <w:szCs w:val="24"/>
        </w:rPr>
        <w:tab/>
      </w:r>
      <w:r w:rsidR="00EF13CA" w:rsidRPr="00855EE9">
        <w:rPr>
          <w:rFonts w:ascii="Arial" w:hAnsi="Arial" w:cs="Arial"/>
          <w:sz w:val="24"/>
          <w:szCs w:val="24"/>
        </w:rPr>
        <w:t>T</w:t>
      </w:r>
      <w:r w:rsidR="002F1AA3" w:rsidRPr="00855EE9">
        <w:rPr>
          <w:rFonts w:ascii="Arial" w:hAnsi="Arial" w:cs="Arial"/>
          <w:sz w:val="24"/>
          <w:szCs w:val="24"/>
        </w:rPr>
        <w:t>he decision of the second respondent to dismiss the applicant’s appeal in terms of section 8 (6) of the Immigration Act No 13 of 2002 (“</w:t>
      </w:r>
      <w:r w:rsidR="002F1AA3" w:rsidRPr="00855EE9">
        <w:rPr>
          <w:rFonts w:ascii="Arial" w:hAnsi="Arial" w:cs="Arial"/>
          <w:b/>
          <w:bCs/>
          <w:sz w:val="24"/>
          <w:szCs w:val="24"/>
        </w:rPr>
        <w:t>the Immigration Act</w:t>
      </w:r>
      <w:r w:rsidR="002F1AA3" w:rsidRPr="00855EE9">
        <w:rPr>
          <w:rFonts w:ascii="Arial" w:hAnsi="Arial" w:cs="Arial"/>
          <w:sz w:val="24"/>
          <w:szCs w:val="24"/>
        </w:rPr>
        <w:t xml:space="preserve">”), against the refusal of his application for a critical skills visa </w:t>
      </w:r>
      <w:r w:rsidR="00CE7FFD" w:rsidRPr="00855EE9">
        <w:rPr>
          <w:rFonts w:ascii="Arial" w:hAnsi="Arial" w:cs="Arial"/>
          <w:sz w:val="24"/>
          <w:szCs w:val="24"/>
        </w:rPr>
        <w:t xml:space="preserve">is </w:t>
      </w:r>
      <w:r w:rsidR="002F1AA3" w:rsidRPr="00855EE9">
        <w:rPr>
          <w:rFonts w:ascii="Arial" w:hAnsi="Arial" w:cs="Arial"/>
          <w:sz w:val="24"/>
          <w:szCs w:val="24"/>
        </w:rPr>
        <w:t>reviewed and set aside.</w:t>
      </w:r>
    </w:p>
    <w:p w14:paraId="7E904F83" w14:textId="76AF3572" w:rsidR="002F1AA3"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36.2.</w:t>
      </w:r>
      <w:r w:rsidRPr="007044B7">
        <w:rPr>
          <w:rFonts w:ascii="Arial" w:hAnsi="Arial" w:cs="Arial"/>
          <w:sz w:val="24"/>
          <w:szCs w:val="24"/>
        </w:rPr>
        <w:tab/>
      </w:r>
      <w:r w:rsidR="002F1AA3" w:rsidRPr="00855EE9">
        <w:rPr>
          <w:rFonts w:ascii="Arial" w:hAnsi="Arial" w:cs="Arial"/>
          <w:sz w:val="24"/>
          <w:szCs w:val="24"/>
        </w:rPr>
        <w:t xml:space="preserve">The decision of the first respondent to dismiss the applicant’s appeal in terms of section 8 (4) of the Immigration Act, against the refusal of the application for a critical skills visa </w:t>
      </w:r>
      <w:r w:rsidR="00CE7FFD" w:rsidRPr="00855EE9">
        <w:rPr>
          <w:rFonts w:ascii="Arial" w:hAnsi="Arial" w:cs="Arial"/>
          <w:sz w:val="24"/>
          <w:szCs w:val="24"/>
        </w:rPr>
        <w:t xml:space="preserve">is </w:t>
      </w:r>
      <w:r w:rsidR="002F1AA3" w:rsidRPr="00855EE9">
        <w:rPr>
          <w:rFonts w:ascii="Arial" w:hAnsi="Arial" w:cs="Arial"/>
          <w:sz w:val="24"/>
          <w:szCs w:val="24"/>
        </w:rPr>
        <w:t>reviewed and set aside.</w:t>
      </w:r>
    </w:p>
    <w:p w14:paraId="647DAE6E" w14:textId="58497401" w:rsidR="004E5A7B" w:rsidRPr="00855EE9" w:rsidRDefault="00855EE9" w:rsidP="00855EE9">
      <w:pPr>
        <w:spacing w:before="120" w:after="360" w:line="480" w:lineRule="auto"/>
        <w:ind w:left="1440" w:hanging="873"/>
        <w:jc w:val="both"/>
        <w:rPr>
          <w:rFonts w:ascii="Arial" w:hAnsi="Arial" w:cs="Arial"/>
          <w:sz w:val="24"/>
          <w:szCs w:val="24"/>
        </w:rPr>
      </w:pPr>
      <w:r w:rsidRPr="007044B7">
        <w:rPr>
          <w:rFonts w:ascii="Arial" w:hAnsi="Arial" w:cs="Arial"/>
          <w:sz w:val="24"/>
          <w:szCs w:val="24"/>
        </w:rPr>
        <w:t>36.3.</w:t>
      </w:r>
      <w:r w:rsidRPr="007044B7">
        <w:rPr>
          <w:rFonts w:ascii="Arial" w:hAnsi="Arial" w:cs="Arial"/>
          <w:sz w:val="24"/>
          <w:szCs w:val="24"/>
        </w:rPr>
        <w:tab/>
      </w:r>
      <w:r w:rsidR="00495EA0" w:rsidRPr="00855EE9">
        <w:rPr>
          <w:rFonts w:ascii="Arial" w:hAnsi="Arial" w:cs="Arial"/>
          <w:sz w:val="24"/>
          <w:szCs w:val="24"/>
        </w:rPr>
        <w:t>T</w:t>
      </w:r>
      <w:r w:rsidR="002F1AA3" w:rsidRPr="00855EE9">
        <w:rPr>
          <w:rFonts w:ascii="Arial" w:hAnsi="Arial" w:cs="Arial"/>
          <w:sz w:val="24"/>
          <w:szCs w:val="24"/>
        </w:rPr>
        <w:t xml:space="preserve">he applicant’s appeal in terms of section 8 (6) of the Immigration Act </w:t>
      </w:r>
      <w:r w:rsidR="00523EF1" w:rsidRPr="00855EE9">
        <w:rPr>
          <w:rFonts w:ascii="Arial" w:hAnsi="Arial" w:cs="Arial"/>
          <w:sz w:val="24"/>
          <w:szCs w:val="24"/>
        </w:rPr>
        <w:t xml:space="preserve">is </w:t>
      </w:r>
      <w:r w:rsidR="002F1AA3" w:rsidRPr="00855EE9">
        <w:rPr>
          <w:rFonts w:ascii="Arial" w:hAnsi="Arial" w:cs="Arial"/>
          <w:sz w:val="24"/>
          <w:szCs w:val="24"/>
        </w:rPr>
        <w:t xml:space="preserve">referred back to the second respondent for reconsideration </w:t>
      </w:r>
      <w:r w:rsidR="004E5A7B" w:rsidRPr="00855EE9">
        <w:rPr>
          <w:rFonts w:ascii="Arial" w:hAnsi="Arial" w:cs="Arial"/>
          <w:sz w:val="24"/>
          <w:szCs w:val="24"/>
        </w:rPr>
        <w:t xml:space="preserve">and determination </w:t>
      </w:r>
      <w:r w:rsidR="00180B06" w:rsidRPr="00855EE9">
        <w:rPr>
          <w:rFonts w:ascii="Arial" w:hAnsi="Arial" w:cs="Arial"/>
          <w:sz w:val="24"/>
          <w:szCs w:val="24"/>
        </w:rPr>
        <w:t xml:space="preserve">by no later than </w:t>
      </w:r>
      <w:r w:rsidR="00180B06" w:rsidRPr="00855EE9">
        <w:rPr>
          <w:rFonts w:ascii="Arial" w:hAnsi="Arial" w:cs="Arial"/>
          <w:sz w:val="24"/>
          <w:szCs w:val="24"/>
          <w:u w:val="single"/>
        </w:rPr>
        <w:t>26 January 2024</w:t>
      </w:r>
      <w:r w:rsidR="007044B7" w:rsidRPr="00855EE9">
        <w:rPr>
          <w:rFonts w:ascii="Arial" w:hAnsi="Arial" w:cs="Arial"/>
          <w:sz w:val="24"/>
          <w:szCs w:val="24"/>
        </w:rPr>
        <w:t>.</w:t>
      </w:r>
    </w:p>
    <w:p w14:paraId="149F5DDC" w14:textId="30AE3550" w:rsidR="008525B0" w:rsidRPr="00855EE9" w:rsidRDefault="00855EE9" w:rsidP="00855EE9">
      <w:pPr>
        <w:spacing w:before="120" w:after="360" w:line="480" w:lineRule="auto"/>
        <w:ind w:left="1440" w:hanging="873"/>
        <w:jc w:val="both"/>
        <w:rPr>
          <w:rFonts w:ascii="Arial" w:hAnsi="Arial" w:cs="Arial"/>
          <w:sz w:val="24"/>
          <w:szCs w:val="24"/>
        </w:rPr>
      </w:pPr>
      <w:r>
        <w:rPr>
          <w:rFonts w:ascii="Arial" w:hAnsi="Arial" w:cs="Arial"/>
          <w:sz w:val="24"/>
          <w:szCs w:val="24"/>
        </w:rPr>
        <w:t>36.4.</w:t>
      </w:r>
      <w:r>
        <w:rPr>
          <w:rFonts w:ascii="Arial" w:hAnsi="Arial" w:cs="Arial"/>
          <w:sz w:val="24"/>
          <w:szCs w:val="24"/>
        </w:rPr>
        <w:tab/>
      </w:r>
      <w:r w:rsidR="007044B7" w:rsidRPr="00855EE9">
        <w:rPr>
          <w:rFonts w:ascii="Arial" w:hAnsi="Arial" w:cs="Arial"/>
          <w:sz w:val="24"/>
          <w:szCs w:val="24"/>
        </w:rPr>
        <w:t>T</w:t>
      </w:r>
      <w:r w:rsidR="002F1AA3" w:rsidRPr="00855EE9">
        <w:rPr>
          <w:rFonts w:ascii="Arial" w:hAnsi="Arial" w:cs="Arial"/>
          <w:sz w:val="24"/>
          <w:szCs w:val="24"/>
        </w:rPr>
        <w:t xml:space="preserve">he respondents </w:t>
      </w:r>
      <w:r w:rsidR="007044B7" w:rsidRPr="00855EE9">
        <w:rPr>
          <w:rFonts w:ascii="Arial" w:hAnsi="Arial" w:cs="Arial"/>
          <w:sz w:val="24"/>
          <w:szCs w:val="24"/>
        </w:rPr>
        <w:t xml:space="preserve">shall </w:t>
      </w:r>
      <w:r w:rsidR="002F1AA3" w:rsidRPr="00855EE9">
        <w:rPr>
          <w:rFonts w:ascii="Arial" w:hAnsi="Arial" w:cs="Arial"/>
          <w:sz w:val="24"/>
          <w:szCs w:val="24"/>
        </w:rPr>
        <w:t>pay the costs of this application</w:t>
      </w:r>
      <w:r w:rsidR="007044B7" w:rsidRPr="00855EE9">
        <w:rPr>
          <w:rFonts w:ascii="Arial" w:hAnsi="Arial" w:cs="Arial"/>
          <w:sz w:val="24"/>
          <w:szCs w:val="24"/>
        </w:rPr>
        <w:t>.</w:t>
      </w:r>
    </w:p>
    <w:p w14:paraId="79210719" w14:textId="0E201BEE" w:rsidR="00837FD4" w:rsidRDefault="00837FD4" w:rsidP="00837FD4">
      <w:pPr>
        <w:spacing w:before="120" w:after="0" w:line="240" w:lineRule="auto"/>
        <w:jc w:val="both"/>
        <w:rPr>
          <w:rFonts w:ascii="Arial" w:hAnsi="Arial" w:cs="Arial"/>
          <w:sz w:val="24"/>
          <w:szCs w:val="24"/>
        </w:rPr>
      </w:pPr>
    </w:p>
    <w:p w14:paraId="00DC3974" w14:textId="56E1FCCB" w:rsidR="00837FD4" w:rsidRDefault="00837FD4" w:rsidP="00837FD4">
      <w:pPr>
        <w:spacing w:before="120" w:after="0" w:line="240" w:lineRule="auto"/>
        <w:jc w:val="both"/>
        <w:rPr>
          <w:rFonts w:ascii="Arial" w:hAnsi="Arial" w:cs="Arial"/>
          <w:sz w:val="24"/>
          <w:szCs w:val="24"/>
        </w:rPr>
      </w:pPr>
    </w:p>
    <w:p w14:paraId="36ABDB07" w14:textId="6D8691A9" w:rsidR="00837FD4" w:rsidRDefault="00837FD4" w:rsidP="00837FD4">
      <w:pPr>
        <w:spacing w:before="120" w:after="0" w:line="240" w:lineRule="auto"/>
        <w:jc w:val="both"/>
        <w:rPr>
          <w:rFonts w:ascii="Arial" w:hAnsi="Arial" w:cs="Arial"/>
          <w:sz w:val="24"/>
          <w:szCs w:val="24"/>
        </w:rPr>
      </w:pPr>
    </w:p>
    <w:p w14:paraId="5E8EE2B3" w14:textId="77777777" w:rsidR="00837FD4" w:rsidRPr="00837FD4" w:rsidRDefault="00837FD4" w:rsidP="00837FD4">
      <w:pPr>
        <w:spacing w:before="120" w:after="0" w:line="240" w:lineRule="auto"/>
        <w:jc w:val="both"/>
        <w:rPr>
          <w:rFonts w:ascii="Arial" w:hAnsi="Arial" w:cs="Arial"/>
          <w:sz w:val="24"/>
          <w:szCs w:val="24"/>
        </w:rPr>
      </w:pPr>
    </w:p>
    <w:p w14:paraId="5F4CF306" w14:textId="61BF520A" w:rsidR="00837FD4" w:rsidRDefault="00837FD4" w:rsidP="00837FD4">
      <w:pPr>
        <w:spacing w:before="120" w:after="0" w:line="240" w:lineRule="auto"/>
        <w:ind w:left="5040"/>
        <w:rPr>
          <w:rFonts w:ascii="Arial" w:hAnsi="Arial" w:cs="Arial"/>
          <w:sz w:val="24"/>
          <w:szCs w:val="24"/>
        </w:rPr>
      </w:pPr>
      <w:r>
        <w:rPr>
          <w:rFonts w:ascii="Arial" w:hAnsi="Arial" w:cs="Arial"/>
          <w:sz w:val="24"/>
          <w:szCs w:val="24"/>
        </w:rPr>
        <w:t>_____________________________</w:t>
      </w:r>
    </w:p>
    <w:p w14:paraId="465831F2" w14:textId="50C8F6D6" w:rsidR="007044B7" w:rsidRDefault="00837FD4" w:rsidP="00837FD4">
      <w:pPr>
        <w:spacing w:before="120" w:after="0" w:line="240" w:lineRule="auto"/>
        <w:ind w:left="5040" w:firstLine="720"/>
        <w:rPr>
          <w:rFonts w:ascii="Arial" w:hAnsi="Arial" w:cs="Arial"/>
          <w:b/>
          <w:bCs/>
          <w:sz w:val="24"/>
          <w:szCs w:val="24"/>
        </w:rPr>
      </w:pPr>
      <w:r>
        <w:rPr>
          <w:rFonts w:ascii="Arial" w:hAnsi="Arial" w:cs="Arial"/>
          <w:b/>
          <w:bCs/>
          <w:sz w:val="24"/>
          <w:szCs w:val="24"/>
        </w:rPr>
        <w:t xml:space="preserve">             K</w:t>
      </w:r>
      <w:r w:rsidR="00C958D9" w:rsidRPr="00C958D9">
        <w:rPr>
          <w:rFonts w:ascii="Arial" w:hAnsi="Arial" w:cs="Arial"/>
          <w:b/>
          <w:bCs/>
          <w:sz w:val="24"/>
          <w:szCs w:val="24"/>
        </w:rPr>
        <w:t xml:space="preserve"> Pillay</w:t>
      </w:r>
    </w:p>
    <w:p w14:paraId="037302D2" w14:textId="26BDA18C" w:rsidR="00837FD4" w:rsidRDefault="00837FD4" w:rsidP="00837FD4">
      <w:pPr>
        <w:spacing w:before="120" w:after="0" w:line="240" w:lineRule="auto"/>
        <w:ind w:left="5040"/>
        <w:rPr>
          <w:rFonts w:ascii="Arial" w:hAnsi="Arial" w:cs="Arial"/>
          <w:b/>
          <w:bCs/>
          <w:sz w:val="24"/>
          <w:szCs w:val="24"/>
        </w:rPr>
      </w:pPr>
      <w:r>
        <w:rPr>
          <w:rFonts w:ascii="Arial" w:hAnsi="Arial" w:cs="Arial"/>
          <w:b/>
          <w:bCs/>
          <w:sz w:val="24"/>
          <w:szCs w:val="24"/>
        </w:rPr>
        <w:t xml:space="preserve">   Acting Judge of the High Court </w:t>
      </w:r>
    </w:p>
    <w:p w14:paraId="4329F86F" w14:textId="22DDDB66" w:rsidR="00837FD4" w:rsidRDefault="00837FD4" w:rsidP="00837FD4">
      <w:pPr>
        <w:spacing w:before="120" w:after="0" w:line="240" w:lineRule="auto"/>
        <w:rPr>
          <w:rFonts w:ascii="Arial" w:hAnsi="Arial" w:cs="Arial"/>
          <w:b/>
          <w:bCs/>
          <w:sz w:val="24"/>
          <w:szCs w:val="24"/>
        </w:rPr>
      </w:pPr>
    </w:p>
    <w:p w14:paraId="34368A1C" w14:textId="5AFFAAEB" w:rsidR="00837FD4" w:rsidRDefault="00837FD4" w:rsidP="00837FD4">
      <w:pPr>
        <w:spacing w:before="120" w:after="0" w:line="240" w:lineRule="auto"/>
        <w:rPr>
          <w:rFonts w:ascii="Arial" w:hAnsi="Arial" w:cs="Arial"/>
          <w:b/>
          <w:bCs/>
          <w:sz w:val="24"/>
          <w:szCs w:val="24"/>
        </w:rPr>
      </w:pPr>
    </w:p>
    <w:p w14:paraId="1D4CEB31" w14:textId="2A95CC8B" w:rsidR="00837FD4" w:rsidRDefault="00837FD4" w:rsidP="00837FD4">
      <w:pPr>
        <w:spacing w:before="120" w:after="0" w:line="240" w:lineRule="auto"/>
        <w:rPr>
          <w:rFonts w:ascii="Arial" w:hAnsi="Arial" w:cs="Arial"/>
          <w:b/>
          <w:bCs/>
          <w:sz w:val="24"/>
          <w:szCs w:val="24"/>
        </w:rPr>
      </w:pPr>
    </w:p>
    <w:p w14:paraId="4FD4ADDD" w14:textId="0B03523B" w:rsidR="00837FD4" w:rsidRDefault="00837FD4" w:rsidP="00837FD4">
      <w:pPr>
        <w:spacing w:before="120" w:after="0" w:line="240" w:lineRule="auto"/>
        <w:rPr>
          <w:rFonts w:ascii="Arial" w:hAnsi="Arial" w:cs="Arial"/>
          <w:b/>
          <w:bCs/>
          <w:sz w:val="24"/>
          <w:szCs w:val="24"/>
        </w:rPr>
      </w:pPr>
    </w:p>
    <w:p w14:paraId="197668B1" w14:textId="1690A1C2" w:rsidR="00837FD4" w:rsidRDefault="00837FD4" w:rsidP="00837FD4">
      <w:pPr>
        <w:spacing w:before="120" w:after="0" w:line="240" w:lineRule="auto"/>
        <w:rPr>
          <w:rFonts w:ascii="Arial" w:hAnsi="Arial" w:cs="Arial"/>
          <w:b/>
          <w:bCs/>
          <w:sz w:val="24"/>
          <w:szCs w:val="24"/>
        </w:rPr>
      </w:pPr>
    </w:p>
    <w:p w14:paraId="459A5935" w14:textId="29243697" w:rsidR="00837FD4" w:rsidRDefault="00837FD4" w:rsidP="00837FD4">
      <w:pPr>
        <w:spacing w:before="120" w:after="0" w:line="240" w:lineRule="auto"/>
        <w:rPr>
          <w:rFonts w:ascii="Arial" w:hAnsi="Arial" w:cs="Arial"/>
          <w:b/>
          <w:bCs/>
          <w:sz w:val="24"/>
          <w:szCs w:val="24"/>
        </w:rPr>
      </w:pPr>
    </w:p>
    <w:p w14:paraId="6D4F007D" w14:textId="4D737574" w:rsidR="00837FD4" w:rsidRDefault="00837FD4" w:rsidP="00837FD4">
      <w:pPr>
        <w:spacing w:before="120" w:after="0" w:line="240" w:lineRule="auto"/>
        <w:rPr>
          <w:rFonts w:ascii="Arial" w:hAnsi="Arial" w:cs="Arial"/>
          <w:b/>
          <w:bCs/>
          <w:sz w:val="24"/>
          <w:szCs w:val="24"/>
        </w:rPr>
      </w:pPr>
    </w:p>
    <w:p w14:paraId="616DC3B9" w14:textId="28AB36C1" w:rsidR="00837FD4" w:rsidRDefault="00837FD4" w:rsidP="00837FD4">
      <w:pPr>
        <w:spacing w:before="120" w:after="0" w:line="240" w:lineRule="auto"/>
        <w:rPr>
          <w:rFonts w:ascii="Arial" w:hAnsi="Arial" w:cs="Arial"/>
          <w:b/>
          <w:bCs/>
          <w:sz w:val="24"/>
          <w:szCs w:val="24"/>
        </w:rPr>
      </w:pPr>
    </w:p>
    <w:p w14:paraId="4B604BD3" w14:textId="4944EE13" w:rsidR="00837FD4" w:rsidRDefault="00837FD4" w:rsidP="00837FD4">
      <w:pPr>
        <w:spacing w:before="120" w:after="0" w:line="240" w:lineRule="auto"/>
        <w:rPr>
          <w:rFonts w:ascii="Arial" w:hAnsi="Arial" w:cs="Arial"/>
          <w:b/>
          <w:bCs/>
          <w:sz w:val="24"/>
          <w:szCs w:val="24"/>
        </w:rPr>
      </w:pPr>
    </w:p>
    <w:p w14:paraId="2862FF2A" w14:textId="77777777" w:rsidR="00837FD4" w:rsidRDefault="00837FD4" w:rsidP="00837FD4">
      <w:pPr>
        <w:spacing w:before="120" w:after="0" w:line="276" w:lineRule="auto"/>
        <w:jc w:val="both"/>
        <w:rPr>
          <w:rFonts w:ascii="Arial" w:hAnsi="Arial" w:cs="Arial"/>
        </w:rPr>
      </w:pPr>
      <w:r>
        <w:rPr>
          <w:rFonts w:ascii="Arial" w:hAnsi="Arial" w:cs="Arial"/>
        </w:rPr>
        <w:t>Appearances :</w:t>
      </w:r>
    </w:p>
    <w:p w14:paraId="78E3C625" w14:textId="77777777" w:rsidR="00837FD4" w:rsidRDefault="00837FD4" w:rsidP="00837FD4">
      <w:pPr>
        <w:spacing w:before="120" w:after="0" w:line="276" w:lineRule="auto"/>
        <w:jc w:val="both"/>
        <w:rPr>
          <w:rFonts w:ascii="Arial" w:hAnsi="Arial" w:cs="Arial"/>
        </w:rPr>
      </w:pPr>
    </w:p>
    <w:p w14:paraId="55357C1E" w14:textId="114D9575" w:rsidR="00837FD4" w:rsidRDefault="00837FD4" w:rsidP="00837FD4">
      <w:pPr>
        <w:spacing w:after="0" w:line="240" w:lineRule="auto"/>
        <w:jc w:val="both"/>
        <w:rPr>
          <w:rFonts w:ascii="Arial" w:hAnsi="Arial" w:cs="Arial"/>
        </w:rPr>
      </w:pPr>
      <w:r>
        <w:rPr>
          <w:rFonts w:ascii="Arial" w:hAnsi="Arial" w:cs="Arial"/>
        </w:rPr>
        <w:t>For the Applicant: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Attorney CS Smith</w:t>
      </w:r>
    </w:p>
    <w:p w14:paraId="7FE75C58" w14:textId="77777777" w:rsidR="00837FD4" w:rsidRDefault="00837FD4" w:rsidP="00837FD4">
      <w:pPr>
        <w:spacing w:after="0" w:line="240" w:lineRule="auto"/>
        <w:jc w:val="both"/>
        <w:rPr>
          <w:rFonts w:ascii="Arial" w:hAnsi="Arial" w:cs="Arial"/>
        </w:rPr>
      </w:pPr>
    </w:p>
    <w:p w14:paraId="69CE86D0" w14:textId="691226B1" w:rsidR="00837FD4" w:rsidRDefault="00837FD4" w:rsidP="00837FD4">
      <w:pPr>
        <w:spacing w:after="0" w:line="240" w:lineRule="auto"/>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Craig Smith Attorneys</w:t>
      </w:r>
    </w:p>
    <w:p w14:paraId="3316DAAA" w14:textId="25B05330" w:rsidR="00837FD4" w:rsidRDefault="00837FD4" w:rsidP="00837FD4">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(ref: Mr C Smith)</w:t>
      </w:r>
      <w:r>
        <w:rPr>
          <w:rFonts w:ascii="Arial" w:hAnsi="Arial" w:cs="Arial"/>
        </w:rPr>
        <w:tab/>
      </w:r>
      <w:r>
        <w:rPr>
          <w:rFonts w:ascii="Arial" w:hAnsi="Arial" w:cs="Arial"/>
        </w:rPr>
        <w:tab/>
      </w:r>
      <w:r>
        <w:rPr>
          <w:rFonts w:ascii="Arial" w:hAnsi="Arial" w:cs="Arial"/>
        </w:rPr>
        <w:tab/>
      </w:r>
    </w:p>
    <w:p w14:paraId="0ECF8454" w14:textId="77777777" w:rsidR="00837FD4" w:rsidRDefault="00837FD4" w:rsidP="00837FD4">
      <w:pPr>
        <w:spacing w:after="0" w:line="240" w:lineRule="auto"/>
        <w:jc w:val="both"/>
        <w:rPr>
          <w:rFonts w:ascii="Arial" w:hAnsi="Arial" w:cs="Arial"/>
        </w:rPr>
      </w:pPr>
    </w:p>
    <w:p w14:paraId="4A143274" w14:textId="77777777" w:rsidR="00837FD4" w:rsidRDefault="00837FD4" w:rsidP="00837FD4">
      <w:pPr>
        <w:spacing w:after="0" w:line="240" w:lineRule="auto"/>
        <w:jc w:val="both"/>
        <w:rPr>
          <w:rFonts w:ascii="Arial" w:hAnsi="Arial" w:cs="Arial"/>
        </w:rPr>
      </w:pPr>
    </w:p>
    <w:p w14:paraId="03E05EDE" w14:textId="77777777" w:rsidR="00837FD4" w:rsidRDefault="00837FD4" w:rsidP="00837FD4">
      <w:pPr>
        <w:spacing w:after="0" w:line="240" w:lineRule="auto"/>
        <w:jc w:val="both"/>
        <w:rPr>
          <w:rFonts w:ascii="Arial" w:hAnsi="Arial" w:cs="Arial"/>
        </w:rPr>
      </w:pPr>
    </w:p>
    <w:p w14:paraId="51A40C24" w14:textId="6DCA36C1" w:rsidR="00837FD4" w:rsidRDefault="00837FD4" w:rsidP="00837FD4">
      <w:pPr>
        <w:spacing w:after="0" w:line="240" w:lineRule="auto"/>
        <w:jc w:val="both"/>
        <w:rPr>
          <w:rFonts w:ascii="Arial" w:hAnsi="Arial" w:cs="Arial"/>
        </w:rPr>
      </w:pPr>
      <w:r>
        <w:rPr>
          <w:rFonts w:ascii="Arial" w:hAnsi="Arial" w:cs="Arial"/>
        </w:rPr>
        <w:t>For the 1</w:t>
      </w:r>
      <w:r w:rsidRPr="00837FD4">
        <w:rPr>
          <w:rFonts w:ascii="Arial" w:hAnsi="Arial" w:cs="Arial"/>
          <w:vertAlign w:val="superscript"/>
        </w:rPr>
        <w:t>st</w:t>
      </w:r>
      <w:r w:rsidR="00555395">
        <w:rPr>
          <w:rFonts w:ascii="Arial" w:hAnsi="Arial" w:cs="Arial"/>
        </w:rPr>
        <w:t xml:space="preserve"> &amp; </w:t>
      </w:r>
      <w:r>
        <w:rPr>
          <w:rFonts w:ascii="Arial" w:hAnsi="Arial" w:cs="Arial"/>
        </w:rPr>
        <w:t>2</w:t>
      </w:r>
      <w:r w:rsidRPr="00991A18">
        <w:rPr>
          <w:rFonts w:ascii="Arial" w:hAnsi="Arial" w:cs="Arial"/>
          <w:vertAlign w:val="superscript"/>
        </w:rPr>
        <w:t>nd</w:t>
      </w:r>
      <w:r>
        <w:rPr>
          <w:rFonts w:ascii="Arial" w:hAnsi="Arial" w:cs="Arial"/>
          <w:vertAlign w:val="superscript"/>
        </w:rPr>
        <w:t xml:space="preserve">  </w:t>
      </w:r>
      <w:r>
        <w:rPr>
          <w:rFonts w:ascii="Arial" w:hAnsi="Arial" w:cs="Arial"/>
        </w:rPr>
        <w:t>Respondents:</w:t>
      </w:r>
      <w:r>
        <w:rPr>
          <w:rFonts w:ascii="Arial" w:hAnsi="Arial" w:cs="Arial"/>
        </w:rPr>
        <w:tab/>
      </w:r>
      <w:r>
        <w:rPr>
          <w:rFonts w:ascii="Arial" w:hAnsi="Arial" w:cs="Arial"/>
        </w:rPr>
        <w:tab/>
      </w:r>
      <w:r>
        <w:rPr>
          <w:rFonts w:ascii="Arial" w:hAnsi="Arial" w:cs="Arial"/>
        </w:rPr>
        <w:tab/>
        <w:t>Advocate T Msuseni</w:t>
      </w:r>
    </w:p>
    <w:p w14:paraId="1D72A256" w14:textId="77777777" w:rsidR="00837FD4" w:rsidRDefault="00837FD4" w:rsidP="00837FD4">
      <w:pPr>
        <w:spacing w:after="0" w:line="240" w:lineRule="auto"/>
        <w:jc w:val="both"/>
        <w:rPr>
          <w:rFonts w:ascii="Arial" w:hAnsi="Arial" w:cs="Arial"/>
        </w:rPr>
      </w:pPr>
    </w:p>
    <w:p w14:paraId="51CA8E3D" w14:textId="26008B76" w:rsidR="00837FD4" w:rsidRDefault="00837FD4" w:rsidP="00837FD4">
      <w:pPr>
        <w:spacing w:after="0" w:line="240" w:lineRule="auto"/>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The State Attorney</w:t>
      </w:r>
    </w:p>
    <w:p w14:paraId="62BFA18F" w14:textId="02628D85" w:rsidR="00837FD4" w:rsidRPr="00991A18" w:rsidRDefault="00837FD4" w:rsidP="00837FD4">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(ref: Ms S-L Sampson)</w:t>
      </w:r>
    </w:p>
    <w:p w14:paraId="30BB4526" w14:textId="78289E23" w:rsidR="00837FD4" w:rsidRDefault="00837FD4" w:rsidP="00837FD4">
      <w:pPr>
        <w:spacing w:before="120" w:after="0" w:line="240" w:lineRule="auto"/>
        <w:rPr>
          <w:rFonts w:ascii="Arial" w:hAnsi="Arial" w:cs="Arial"/>
          <w:b/>
          <w:bCs/>
          <w:sz w:val="24"/>
          <w:szCs w:val="24"/>
        </w:rPr>
      </w:pPr>
    </w:p>
    <w:p w14:paraId="4947AFDB" w14:textId="7DBFC478" w:rsidR="009F79E0" w:rsidRDefault="009F79E0" w:rsidP="00837FD4">
      <w:pPr>
        <w:spacing w:before="120" w:after="0" w:line="240" w:lineRule="auto"/>
        <w:rPr>
          <w:rFonts w:ascii="Arial" w:hAnsi="Arial" w:cs="Arial"/>
          <w:b/>
          <w:bCs/>
          <w:sz w:val="24"/>
          <w:szCs w:val="24"/>
        </w:rPr>
      </w:pPr>
    </w:p>
    <w:p w14:paraId="40E134F7" w14:textId="60A02893" w:rsidR="009F79E0" w:rsidRDefault="009F79E0" w:rsidP="00837FD4">
      <w:pPr>
        <w:spacing w:before="120" w:after="0" w:line="240" w:lineRule="auto"/>
        <w:rPr>
          <w:rFonts w:ascii="Arial" w:hAnsi="Arial" w:cs="Arial"/>
          <w:b/>
          <w:bCs/>
          <w:sz w:val="24"/>
          <w:szCs w:val="24"/>
        </w:rPr>
      </w:pPr>
    </w:p>
    <w:p w14:paraId="7B4174B4" w14:textId="776588B4" w:rsidR="009F79E0" w:rsidRDefault="009F79E0" w:rsidP="00837FD4">
      <w:pPr>
        <w:spacing w:before="120" w:after="0" w:line="240" w:lineRule="auto"/>
        <w:rPr>
          <w:rFonts w:ascii="Arial" w:hAnsi="Arial" w:cs="Arial"/>
          <w:b/>
          <w:bCs/>
          <w:sz w:val="24"/>
          <w:szCs w:val="24"/>
        </w:rPr>
      </w:pPr>
    </w:p>
    <w:p w14:paraId="0D3A4DAA" w14:textId="45D2F786" w:rsidR="009F79E0" w:rsidRDefault="009F79E0" w:rsidP="00837FD4">
      <w:pPr>
        <w:spacing w:before="120" w:after="0" w:line="240" w:lineRule="auto"/>
        <w:rPr>
          <w:rFonts w:ascii="Arial" w:hAnsi="Arial" w:cs="Arial"/>
          <w:b/>
          <w:bCs/>
          <w:sz w:val="24"/>
          <w:szCs w:val="24"/>
        </w:rPr>
      </w:pPr>
    </w:p>
    <w:p w14:paraId="496EABD7" w14:textId="14A3297D" w:rsidR="009F79E0" w:rsidRDefault="009F79E0" w:rsidP="00837FD4">
      <w:pPr>
        <w:spacing w:before="120" w:after="0" w:line="240" w:lineRule="auto"/>
        <w:rPr>
          <w:rFonts w:ascii="Arial" w:hAnsi="Arial" w:cs="Arial"/>
          <w:b/>
          <w:bCs/>
          <w:sz w:val="24"/>
          <w:szCs w:val="24"/>
        </w:rPr>
      </w:pPr>
    </w:p>
    <w:p w14:paraId="527B4BB8" w14:textId="2CBA10EF" w:rsidR="009F79E0" w:rsidRDefault="009F79E0" w:rsidP="00837FD4">
      <w:pPr>
        <w:spacing w:before="120" w:after="0" w:line="240" w:lineRule="auto"/>
        <w:rPr>
          <w:rFonts w:ascii="Arial" w:hAnsi="Arial" w:cs="Arial"/>
          <w:b/>
          <w:bCs/>
          <w:sz w:val="24"/>
          <w:szCs w:val="24"/>
        </w:rPr>
      </w:pPr>
    </w:p>
    <w:p w14:paraId="79286CCC" w14:textId="03C75B49" w:rsidR="009F79E0" w:rsidRDefault="009F79E0" w:rsidP="00837FD4">
      <w:pPr>
        <w:spacing w:before="120" w:after="0" w:line="240" w:lineRule="auto"/>
        <w:rPr>
          <w:rFonts w:ascii="Arial" w:hAnsi="Arial" w:cs="Arial"/>
          <w:b/>
          <w:bCs/>
          <w:sz w:val="24"/>
          <w:szCs w:val="24"/>
        </w:rPr>
      </w:pPr>
    </w:p>
    <w:p w14:paraId="1205A01E" w14:textId="612EFF8F" w:rsidR="009F79E0" w:rsidRDefault="009F79E0" w:rsidP="00837FD4">
      <w:pPr>
        <w:spacing w:before="120" w:after="0" w:line="240" w:lineRule="auto"/>
        <w:rPr>
          <w:rFonts w:ascii="Arial" w:hAnsi="Arial" w:cs="Arial"/>
          <w:b/>
          <w:bCs/>
          <w:sz w:val="24"/>
          <w:szCs w:val="24"/>
        </w:rPr>
      </w:pPr>
    </w:p>
    <w:p w14:paraId="630EE8C3" w14:textId="10572C13" w:rsidR="009F79E0" w:rsidRDefault="009F79E0" w:rsidP="00837FD4">
      <w:pPr>
        <w:spacing w:before="120" w:after="0" w:line="240" w:lineRule="auto"/>
        <w:rPr>
          <w:rFonts w:ascii="Arial" w:hAnsi="Arial" w:cs="Arial"/>
          <w:b/>
          <w:bCs/>
          <w:sz w:val="24"/>
          <w:szCs w:val="24"/>
        </w:rPr>
      </w:pPr>
    </w:p>
    <w:p w14:paraId="7B428CA5" w14:textId="68F968EC" w:rsidR="009F79E0" w:rsidRDefault="009F79E0" w:rsidP="00837FD4">
      <w:pPr>
        <w:spacing w:before="120" w:after="0" w:line="240" w:lineRule="auto"/>
        <w:rPr>
          <w:rFonts w:ascii="Arial" w:hAnsi="Arial" w:cs="Arial"/>
          <w:b/>
          <w:bCs/>
          <w:sz w:val="24"/>
          <w:szCs w:val="24"/>
        </w:rPr>
      </w:pPr>
    </w:p>
    <w:p w14:paraId="433B0AF6" w14:textId="3D77B04B" w:rsidR="009F79E0" w:rsidRDefault="009F79E0" w:rsidP="00837FD4">
      <w:pPr>
        <w:spacing w:before="120" w:after="0" w:line="240" w:lineRule="auto"/>
        <w:rPr>
          <w:rFonts w:ascii="Arial" w:hAnsi="Arial" w:cs="Arial"/>
          <w:b/>
          <w:bCs/>
          <w:sz w:val="24"/>
          <w:szCs w:val="24"/>
        </w:rPr>
      </w:pPr>
    </w:p>
    <w:p w14:paraId="33B2FACC" w14:textId="78742DD9" w:rsidR="009F79E0" w:rsidRDefault="009F79E0" w:rsidP="00837FD4">
      <w:pPr>
        <w:spacing w:before="120" w:after="0" w:line="240" w:lineRule="auto"/>
        <w:rPr>
          <w:rFonts w:ascii="Arial" w:hAnsi="Arial" w:cs="Arial"/>
          <w:b/>
          <w:bCs/>
          <w:sz w:val="24"/>
          <w:szCs w:val="24"/>
        </w:rPr>
      </w:pPr>
    </w:p>
    <w:p w14:paraId="1C0FD904" w14:textId="58659C30" w:rsidR="009F79E0" w:rsidRDefault="009F79E0" w:rsidP="00837FD4">
      <w:pPr>
        <w:spacing w:before="120" w:after="0" w:line="240" w:lineRule="auto"/>
        <w:rPr>
          <w:rFonts w:ascii="Arial" w:hAnsi="Arial" w:cs="Arial"/>
          <w:b/>
          <w:bCs/>
          <w:sz w:val="24"/>
          <w:szCs w:val="24"/>
        </w:rPr>
      </w:pPr>
    </w:p>
    <w:p w14:paraId="4D25D553" w14:textId="5D27E94B" w:rsidR="009F79E0" w:rsidRDefault="009F79E0" w:rsidP="00837FD4">
      <w:pPr>
        <w:spacing w:before="120" w:after="0" w:line="240" w:lineRule="auto"/>
        <w:rPr>
          <w:rFonts w:ascii="Arial" w:hAnsi="Arial" w:cs="Arial"/>
          <w:b/>
          <w:bCs/>
          <w:sz w:val="24"/>
          <w:szCs w:val="24"/>
        </w:rPr>
      </w:pPr>
    </w:p>
    <w:p w14:paraId="5F2DDBA1" w14:textId="67A4FD8B" w:rsidR="009F79E0" w:rsidRDefault="009F79E0" w:rsidP="00837FD4">
      <w:pPr>
        <w:spacing w:before="120" w:after="0" w:line="240" w:lineRule="auto"/>
        <w:rPr>
          <w:rFonts w:ascii="Arial" w:hAnsi="Arial" w:cs="Arial"/>
          <w:b/>
          <w:bCs/>
          <w:sz w:val="24"/>
          <w:szCs w:val="24"/>
        </w:rPr>
      </w:pPr>
    </w:p>
    <w:p w14:paraId="3F9FA4D3" w14:textId="5810C4C7" w:rsidR="009F79E0" w:rsidRDefault="009F79E0" w:rsidP="00837FD4">
      <w:pPr>
        <w:spacing w:before="120" w:after="0" w:line="240" w:lineRule="auto"/>
        <w:rPr>
          <w:rFonts w:ascii="Arial" w:hAnsi="Arial" w:cs="Arial"/>
          <w:b/>
          <w:bCs/>
          <w:sz w:val="24"/>
          <w:szCs w:val="24"/>
        </w:rPr>
      </w:pPr>
    </w:p>
    <w:p w14:paraId="1659E455" w14:textId="09C0B79F" w:rsidR="009F79E0" w:rsidRDefault="009F79E0" w:rsidP="00837FD4">
      <w:pPr>
        <w:spacing w:before="120" w:after="0" w:line="240" w:lineRule="auto"/>
        <w:rPr>
          <w:rFonts w:ascii="Arial" w:hAnsi="Arial" w:cs="Arial"/>
          <w:b/>
          <w:bCs/>
          <w:sz w:val="24"/>
          <w:szCs w:val="24"/>
        </w:rPr>
      </w:pPr>
    </w:p>
    <w:p w14:paraId="4151151F" w14:textId="59E7E1E3" w:rsidR="009F79E0" w:rsidRDefault="009F79E0" w:rsidP="00837FD4">
      <w:pPr>
        <w:spacing w:before="120" w:after="0" w:line="240" w:lineRule="auto"/>
        <w:rPr>
          <w:rFonts w:ascii="Arial" w:hAnsi="Arial" w:cs="Arial"/>
          <w:b/>
          <w:bCs/>
          <w:sz w:val="24"/>
          <w:szCs w:val="24"/>
        </w:rPr>
      </w:pPr>
    </w:p>
    <w:p w14:paraId="2FD1AE7D" w14:textId="7C346807" w:rsidR="009F79E0" w:rsidRDefault="009F79E0" w:rsidP="00837FD4">
      <w:pPr>
        <w:spacing w:before="120" w:after="0" w:line="240" w:lineRule="auto"/>
        <w:rPr>
          <w:rFonts w:ascii="Arial" w:hAnsi="Arial" w:cs="Arial"/>
          <w:b/>
          <w:bCs/>
          <w:sz w:val="24"/>
          <w:szCs w:val="24"/>
        </w:rPr>
      </w:pPr>
    </w:p>
    <w:p w14:paraId="0187D9D8" w14:textId="18025E7A" w:rsidR="009F79E0" w:rsidRDefault="009F79E0" w:rsidP="00837FD4">
      <w:pPr>
        <w:spacing w:before="120" w:after="0" w:line="240" w:lineRule="auto"/>
        <w:rPr>
          <w:rFonts w:ascii="Arial" w:hAnsi="Arial" w:cs="Arial"/>
          <w:b/>
          <w:bCs/>
          <w:sz w:val="24"/>
          <w:szCs w:val="24"/>
        </w:rPr>
      </w:pPr>
    </w:p>
    <w:p w14:paraId="2DEF2924" w14:textId="3C9AF875" w:rsidR="009F79E0" w:rsidRDefault="009F79E0" w:rsidP="00837FD4">
      <w:pPr>
        <w:spacing w:before="120" w:after="0" w:line="240" w:lineRule="auto"/>
        <w:rPr>
          <w:rFonts w:ascii="Arial" w:hAnsi="Arial" w:cs="Arial"/>
          <w:b/>
          <w:bCs/>
          <w:sz w:val="24"/>
          <w:szCs w:val="24"/>
        </w:rPr>
      </w:pPr>
    </w:p>
    <w:p w14:paraId="203A6C69" w14:textId="37FC19AE" w:rsidR="009F79E0" w:rsidRDefault="009F79E0" w:rsidP="00837FD4">
      <w:pPr>
        <w:spacing w:before="120" w:after="0" w:line="240" w:lineRule="auto"/>
        <w:rPr>
          <w:rFonts w:ascii="Arial" w:hAnsi="Arial" w:cs="Arial"/>
          <w:b/>
          <w:bCs/>
          <w:sz w:val="24"/>
          <w:szCs w:val="24"/>
        </w:rPr>
      </w:pPr>
    </w:p>
    <w:p w14:paraId="5D71FDC7" w14:textId="4BBA924C" w:rsidR="009F79E0" w:rsidRDefault="009F79E0" w:rsidP="00837FD4">
      <w:pPr>
        <w:spacing w:before="120" w:after="0" w:line="240" w:lineRule="auto"/>
        <w:rPr>
          <w:rFonts w:ascii="Arial" w:hAnsi="Arial" w:cs="Arial"/>
          <w:b/>
          <w:bCs/>
          <w:sz w:val="24"/>
          <w:szCs w:val="24"/>
        </w:rPr>
      </w:pPr>
    </w:p>
    <w:p w14:paraId="4F8B4247" w14:textId="17EEDADC" w:rsidR="009F79E0" w:rsidRDefault="009F79E0" w:rsidP="00837FD4">
      <w:pPr>
        <w:spacing w:before="120" w:after="0" w:line="240" w:lineRule="auto"/>
        <w:rPr>
          <w:rFonts w:ascii="Arial" w:hAnsi="Arial" w:cs="Arial"/>
          <w:b/>
          <w:bCs/>
          <w:sz w:val="24"/>
          <w:szCs w:val="24"/>
        </w:rPr>
      </w:pPr>
    </w:p>
    <w:p w14:paraId="65836ACC" w14:textId="72761C34" w:rsidR="009F79E0" w:rsidRDefault="009F79E0" w:rsidP="00837FD4">
      <w:pPr>
        <w:spacing w:before="120" w:after="0" w:line="240" w:lineRule="auto"/>
        <w:rPr>
          <w:rFonts w:ascii="Arial" w:hAnsi="Arial" w:cs="Arial"/>
          <w:b/>
          <w:bCs/>
          <w:sz w:val="24"/>
          <w:szCs w:val="24"/>
        </w:rPr>
      </w:pPr>
    </w:p>
    <w:sectPr w:rsidR="009F79E0" w:rsidSect="004B34EE">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E0A90" w14:textId="77777777" w:rsidR="00BA3220" w:rsidRDefault="00BA3220" w:rsidP="00DA2221">
      <w:pPr>
        <w:spacing w:after="0" w:line="240" w:lineRule="auto"/>
      </w:pPr>
      <w:r>
        <w:separator/>
      </w:r>
    </w:p>
  </w:endnote>
  <w:endnote w:type="continuationSeparator" w:id="0">
    <w:p w14:paraId="359AE3C9" w14:textId="77777777" w:rsidR="00BA3220" w:rsidRDefault="00BA3220" w:rsidP="00DA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212356"/>
      <w:docPartObj>
        <w:docPartGallery w:val="Page Numbers (Bottom of Page)"/>
        <w:docPartUnique/>
      </w:docPartObj>
    </w:sdtPr>
    <w:sdtEndPr>
      <w:rPr>
        <w:noProof/>
      </w:rPr>
    </w:sdtEndPr>
    <w:sdtContent>
      <w:p w14:paraId="63AF63A0" w14:textId="20EB4899" w:rsidR="004B34EE" w:rsidRDefault="004B34EE">
        <w:pPr>
          <w:pStyle w:val="Footer"/>
          <w:jc w:val="right"/>
        </w:pPr>
        <w:r>
          <w:fldChar w:fldCharType="begin"/>
        </w:r>
        <w:r>
          <w:instrText xml:space="preserve"> PAGE   \* MERGEFORMAT </w:instrText>
        </w:r>
        <w:r>
          <w:fldChar w:fldCharType="separate"/>
        </w:r>
        <w:r w:rsidR="00855EE9">
          <w:rPr>
            <w:noProof/>
          </w:rPr>
          <w:t>2</w:t>
        </w:r>
        <w:r>
          <w:rPr>
            <w:noProof/>
          </w:rPr>
          <w:fldChar w:fldCharType="end"/>
        </w:r>
      </w:p>
    </w:sdtContent>
  </w:sdt>
  <w:p w14:paraId="3FC9ACC1" w14:textId="77777777" w:rsidR="004B34EE" w:rsidRDefault="004B34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0584A" w14:textId="77777777" w:rsidR="00BA3220" w:rsidRDefault="00BA3220" w:rsidP="00DA2221">
      <w:pPr>
        <w:spacing w:after="0" w:line="240" w:lineRule="auto"/>
      </w:pPr>
      <w:r>
        <w:separator/>
      </w:r>
    </w:p>
  </w:footnote>
  <w:footnote w:type="continuationSeparator" w:id="0">
    <w:p w14:paraId="33FF5460" w14:textId="77777777" w:rsidR="00BA3220" w:rsidRDefault="00BA3220" w:rsidP="00DA2221">
      <w:pPr>
        <w:spacing w:after="0" w:line="240" w:lineRule="auto"/>
      </w:pPr>
      <w:r>
        <w:continuationSeparator/>
      </w:r>
    </w:p>
  </w:footnote>
  <w:footnote w:id="1">
    <w:p w14:paraId="45D1011C" w14:textId="77777777" w:rsidR="00384ECE" w:rsidRPr="0003143F" w:rsidRDefault="00384ECE" w:rsidP="0003143F">
      <w:pPr>
        <w:pStyle w:val="FootnoteText"/>
        <w:jc w:val="both"/>
        <w:rPr>
          <w:rFonts w:ascii="Arial" w:hAnsi="Arial" w:cs="Arial"/>
        </w:rPr>
      </w:pPr>
      <w:r w:rsidRPr="0003143F">
        <w:rPr>
          <w:rStyle w:val="FootnoteReference"/>
          <w:rFonts w:ascii="Arial" w:hAnsi="Arial" w:cs="Arial"/>
        </w:rPr>
        <w:footnoteRef/>
      </w:r>
      <w:r w:rsidRPr="0003143F">
        <w:rPr>
          <w:rFonts w:ascii="Arial" w:hAnsi="Arial" w:cs="Arial"/>
        </w:rPr>
        <w:t xml:space="preserve"> </w:t>
      </w:r>
      <w:r w:rsidRPr="0003143F">
        <w:rPr>
          <w:rFonts w:ascii="Arial" w:hAnsi="Arial" w:cs="Arial"/>
          <w:b/>
          <w:bCs/>
        </w:rPr>
        <w:t>Pharmaceutical Manufacturers Association of SA and Another: In re Ex parte President of the Republic of South Africa and Others</w:t>
      </w:r>
      <w:r w:rsidRPr="0003143F">
        <w:rPr>
          <w:rFonts w:ascii="Arial" w:hAnsi="Arial" w:cs="Arial"/>
        </w:rPr>
        <w:t> 2000 (2) SA 674 (CC) (2000 (3) BCLR 241; [2000] ZACC 1) at par 85.</w:t>
      </w:r>
    </w:p>
  </w:footnote>
  <w:footnote w:id="2">
    <w:p w14:paraId="5AAD0EBD" w14:textId="18311FC1" w:rsidR="00384ECE" w:rsidRPr="0003143F" w:rsidRDefault="00384ECE" w:rsidP="0003143F">
      <w:pPr>
        <w:pStyle w:val="FootnoteText"/>
        <w:jc w:val="both"/>
        <w:rPr>
          <w:rFonts w:ascii="Arial" w:hAnsi="Arial" w:cs="Arial"/>
        </w:rPr>
      </w:pPr>
      <w:r w:rsidRPr="0003143F">
        <w:rPr>
          <w:rStyle w:val="FootnoteReference"/>
          <w:rFonts w:ascii="Arial" w:hAnsi="Arial" w:cs="Arial"/>
        </w:rPr>
        <w:footnoteRef/>
      </w:r>
      <w:r w:rsidRPr="0003143F">
        <w:rPr>
          <w:rFonts w:ascii="Arial" w:hAnsi="Arial" w:cs="Arial"/>
        </w:rPr>
        <w:t xml:space="preserve"> </w:t>
      </w:r>
      <w:r w:rsidRPr="0003143F">
        <w:rPr>
          <w:rFonts w:ascii="Arial" w:hAnsi="Arial" w:cs="Arial"/>
          <w:b/>
          <w:bCs/>
        </w:rPr>
        <w:t>Law Society of South Africa and Others v Minister of Transport and Another</w:t>
      </w:r>
      <w:r w:rsidRPr="0003143F">
        <w:rPr>
          <w:rFonts w:ascii="Arial" w:hAnsi="Arial" w:cs="Arial"/>
        </w:rPr>
        <w:t> 2011 (1) SA 400 (CC) (2011 (2) BCLR 150; [2010] ZACC 25) para 32.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43E7"/>
    <w:multiLevelType w:val="hybridMultilevel"/>
    <w:tmpl w:val="2152C988"/>
    <w:lvl w:ilvl="0" w:tplc="2E32B9E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19E93A5D"/>
    <w:multiLevelType w:val="hybridMultilevel"/>
    <w:tmpl w:val="FF74994E"/>
    <w:lvl w:ilvl="0" w:tplc="129C5C6C">
      <w:start w:val="45"/>
      <w:numFmt w:val="bullet"/>
      <w:lvlText w:val="-"/>
      <w:lvlJc w:val="left"/>
      <w:pPr>
        <w:ind w:left="2918" w:hanging="360"/>
      </w:pPr>
      <w:rPr>
        <w:rFonts w:ascii="Arial" w:eastAsiaTheme="minorHAnsi" w:hAnsi="Arial" w:cs="Arial" w:hint="default"/>
      </w:rPr>
    </w:lvl>
    <w:lvl w:ilvl="1" w:tplc="1C090003" w:tentative="1">
      <w:start w:val="1"/>
      <w:numFmt w:val="bullet"/>
      <w:lvlText w:val="o"/>
      <w:lvlJc w:val="left"/>
      <w:pPr>
        <w:ind w:left="3638" w:hanging="360"/>
      </w:pPr>
      <w:rPr>
        <w:rFonts w:ascii="Courier New" w:hAnsi="Courier New" w:cs="Courier New" w:hint="default"/>
      </w:rPr>
    </w:lvl>
    <w:lvl w:ilvl="2" w:tplc="1C090005" w:tentative="1">
      <w:start w:val="1"/>
      <w:numFmt w:val="bullet"/>
      <w:lvlText w:val=""/>
      <w:lvlJc w:val="left"/>
      <w:pPr>
        <w:ind w:left="4358" w:hanging="360"/>
      </w:pPr>
      <w:rPr>
        <w:rFonts w:ascii="Wingdings" w:hAnsi="Wingdings" w:hint="default"/>
      </w:rPr>
    </w:lvl>
    <w:lvl w:ilvl="3" w:tplc="1C090001" w:tentative="1">
      <w:start w:val="1"/>
      <w:numFmt w:val="bullet"/>
      <w:lvlText w:val=""/>
      <w:lvlJc w:val="left"/>
      <w:pPr>
        <w:ind w:left="5078" w:hanging="360"/>
      </w:pPr>
      <w:rPr>
        <w:rFonts w:ascii="Symbol" w:hAnsi="Symbol" w:hint="default"/>
      </w:rPr>
    </w:lvl>
    <w:lvl w:ilvl="4" w:tplc="1C090003" w:tentative="1">
      <w:start w:val="1"/>
      <w:numFmt w:val="bullet"/>
      <w:lvlText w:val="o"/>
      <w:lvlJc w:val="left"/>
      <w:pPr>
        <w:ind w:left="5798" w:hanging="360"/>
      </w:pPr>
      <w:rPr>
        <w:rFonts w:ascii="Courier New" w:hAnsi="Courier New" w:cs="Courier New" w:hint="default"/>
      </w:rPr>
    </w:lvl>
    <w:lvl w:ilvl="5" w:tplc="1C090005" w:tentative="1">
      <w:start w:val="1"/>
      <w:numFmt w:val="bullet"/>
      <w:lvlText w:val=""/>
      <w:lvlJc w:val="left"/>
      <w:pPr>
        <w:ind w:left="6518" w:hanging="360"/>
      </w:pPr>
      <w:rPr>
        <w:rFonts w:ascii="Wingdings" w:hAnsi="Wingdings" w:hint="default"/>
      </w:rPr>
    </w:lvl>
    <w:lvl w:ilvl="6" w:tplc="1C090001" w:tentative="1">
      <w:start w:val="1"/>
      <w:numFmt w:val="bullet"/>
      <w:lvlText w:val=""/>
      <w:lvlJc w:val="left"/>
      <w:pPr>
        <w:ind w:left="7238" w:hanging="360"/>
      </w:pPr>
      <w:rPr>
        <w:rFonts w:ascii="Symbol" w:hAnsi="Symbol" w:hint="default"/>
      </w:rPr>
    </w:lvl>
    <w:lvl w:ilvl="7" w:tplc="1C090003" w:tentative="1">
      <w:start w:val="1"/>
      <w:numFmt w:val="bullet"/>
      <w:lvlText w:val="o"/>
      <w:lvlJc w:val="left"/>
      <w:pPr>
        <w:ind w:left="7958" w:hanging="360"/>
      </w:pPr>
      <w:rPr>
        <w:rFonts w:ascii="Courier New" w:hAnsi="Courier New" w:cs="Courier New" w:hint="default"/>
      </w:rPr>
    </w:lvl>
    <w:lvl w:ilvl="8" w:tplc="1C090005" w:tentative="1">
      <w:start w:val="1"/>
      <w:numFmt w:val="bullet"/>
      <w:lvlText w:val=""/>
      <w:lvlJc w:val="left"/>
      <w:pPr>
        <w:ind w:left="8678" w:hanging="360"/>
      </w:pPr>
      <w:rPr>
        <w:rFonts w:ascii="Wingdings" w:hAnsi="Wingdings" w:hint="default"/>
      </w:rPr>
    </w:lvl>
  </w:abstractNum>
  <w:abstractNum w:abstractNumId="2" w15:restartNumberingAfterBreak="0">
    <w:nsid w:val="24D0740F"/>
    <w:multiLevelType w:val="hybridMultilevel"/>
    <w:tmpl w:val="10109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13DF7"/>
    <w:multiLevelType w:val="hybridMultilevel"/>
    <w:tmpl w:val="B69047DE"/>
    <w:lvl w:ilvl="0" w:tplc="E42AC978">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 w15:restartNumberingAfterBreak="0">
    <w:nsid w:val="554B5F3F"/>
    <w:multiLevelType w:val="hybridMultilevel"/>
    <w:tmpl w:val="10109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D701F"/>
    <w:multiLevelType w:val="multilevel"/>
    <w:tmpl w:val="96C443FA"/>
    <w:lvl w:ilvl="0">
      <w:start w:val="1"/>
      <w:numFmt w:val="decimal"/>
      <w:lvlText w:val="%1."/>
      <w:lvlJc w:val="left"/>
      <w:pPr>
        <w:ind w:left="360" w:hanging="360"/>
      </w:pPr>
      <w:rPr>
        <w:rFonts w:ascii="Arial" w:hAnsi="Arial" w:cs="Arial"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26324"/>
    <w:multiLevelType w:val="hybridMultilevel"/>
    <w:tmpl w:val="10109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8126D"/>
    <w:multiLevelType w:val="hybridMultilevel"/>
    <w:tmpl w:val="AFBE7748"/>
    <w:lvl w:ilvl="0" w:tplc="7D8E2764">
      <w:start w:val="1"/>
      <w:numFmt w:val="lowerLetter"/>
      <w:lvlText w:val="(%1)"/>
      <w:lvlJc w:val="left"/>
      <w:pPr>
        <w:ind w:left="3120" w:hanging="9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5"/>
  </w:num>
  <w:num w:numId="2">
    <w:abstractNumId w:val="1"/>
  </w:num>
  <w:num w:numId="3">
    <w:abstractNumId w:val="7"/>
  </w:num>
  <w:num w:numId="4">
    <w:abstractNumId w:val="0"/>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FEA0DC-3EF2-4B5C-87A9-0735830A4505}"/>
    <w:docVar w:name="dgnword-eventsink" w:val="2454949647136"/>
  </w:docVars>
  <w:rsids>
    <w:rsidRoot w:val="005A4B51"/>
    <w:rsid w:val="00000A39"/>
    <w:rsid w:val="00000E00"/>
    <w:rsid w:val="00005CFE"/>
    <w:rsid w:val="00011242"/>
    <w:rsid w:val="000220AA"/>
    <w:rsid w:val="00030A12"/>
    <w:rsid w:val="00030D54"/>
    <w:rsid w:val="0003143F"/>
    <w:rsid w:val="00044E3A"/>
    <w:rsid w:val="00050BBF"/>
    <w:rsid w:val="00055D3D"/>
    <w:rsid w:val="00057143"/>
    <w:rsid w:val="00062F96"/>
    <w:rsid w:val="00063F42"/>
    <w:rsid w:val="00065177"/>
    <w:rsid w:val="0007731E"/>
    <w:rsid w:val="00091E19"/>
    <w:rsid w:val="000945D9"/>
    <w:rsid w:val="00095BEB"/>
    <w:rsid w:val="00097B7D"/>
    <w:rsid w:val="000A15C2"/>
    <w:rsid w:val="000A3FFB"/>
    <w:rsid w:val="000A5313"/>
    <w:rsid w:val="000A60AD"/>
    <w:rsid w:val="000A733D"/>
    <w:rsid w:val="000A7A81"/>
    <w:rsid w:val="000B4781"/>
    <w:rsid w:val="000C76F8"/>
    <w:rsid w:val="000E0948"/>
    <w:rsid w:val="000E3870"/>
    <w:rsid w:val="001115E0"/>
    <w:rsid w:val="00121C90"/>
    <w:rsid w:val="00125C4A"/>
    <w:rsid w:val="001319CD"/>
    <w:rsid w:val="001337CD"/>
    <w:rsid w:val="00137FB2"/>
    <w:rsid w:val="00154A30"/>
    <w:rsid w:val="001576E2"/>
    <w:rsid w:val="00157A7F"/>
    <w:rsid w:val="00161E2A"/>
    <w:rsid w:val="00162CBC"/>
    <w:rsid w:val="00170617"/>
    <w:rsid w:val="00173DAC"/>
    <w:rsid w:val="00174351"/>
    <w:rsid w:val="00180B06"/>
    <w:rsid w:val="00185465"/>
    <w:rsid w:val="00187676"/>
    <w:rsid w:val="00187C1A"/>
    <w:rsid w:val="00187FB8"/>
    <w:rsid w:val="00190F28"/>
    <w:rsid w:val="001916AD"/>
    <w:rsid w:val="0019251F"/>
    <w:rsid w:val="00196398"/>
    <w:rsid w:val="001A193B"/>
    <w:rsid w:val="001A4B83"/>
    <w:rsid w:val="001B5538"/>
    <w:rsid w:val="001C0E7C"/>
    <w:rsid w:val="001D55F0"/>
    <w:rsid w:val="001D7072"/>
    <w:rsid w:val="001D73D1"/>
    <w:rsid w:val="001E39BC"/>
    <w:rsid w:val="001E595E"/>
    <w:rsid w:val="001F11ED"/>
    <w:rsid w:val="001F5031"/>
    <w:rsid w:val="001F5825"/>
    <w:rsid w:val="00213ED0"/>
    <w:rsid w:val="002153D7"/>
    <w:rsid w:val="00233E9D"/>
    <w:rsid w:val="00240427"/>
    <w:rsid w:val="00242D36"/>
    <w:rsid w:val="00251189"/>
    <w:rsid w:val="002604D5"/>
    <w:rsid w:val="002644C3"/>
    <w:rsid w:val="00271C87"/>
    <w:rsid w:val="00271D01"/>
    <w:rsid w:val="00274E84"/>
    <w:rsid w:val="00276A7B"/>
    <w:rsid w:val="00276F14"/>
    <w:rsid w:val="0028442F"/>
    <w:rsid w:val="00285E87"/>
    <w:rsid w:val="002A3C13"/>
    <w:rsid w:val="002B1F2C"/>
    <w:rsid w:val="002B2F0F"/>
    <w:rsid w:val="002C420C"/>
    <w:rsid w:val="002C6E56"/>
    <w:rsid w:val="002D2AE6"/>
    <w:rsid w:val="002D4F4E"/>
    <w:rsid w:val="002E497D"/>
    <w:rsid w:val="002E6DE9"/>
    <w:rsid w:val="002F0E6E"/>
    <w:rsid w:val="002F1AA3"/>
    <w:rsid w:val="002F1E7C"/>
    <w:rsid w:val="002F7271"/>
    <w:rsid w:val="002F7819"/>
    <w:rsid w:val="00302B10"/>
    <w:rsid w:val="00303AD9"/>
    <w:rsid w:val="00304DAC"/>
    <w:rsid w:val="00322A13"/>
    <w:rsid w:val="003263C2"/>
    <w:rsid w:val="00336FBD"/>
    <w:rsid w:val="0034372A"/>
    <w:rsid w:val="0034475E"/>
    <w:rsid w:val="003476BB"/>
    <w:rsid w:val="00356BF2"/>
    <w:rsid w:val="003656B0"/>
    <w:rsid w:val="00372CC5"/>
    <w:rsid w:val="00376387"/>
    <w:rsid w:val="00381570"/>
    <w:rsid w:val="003829FA"/>
    <w:rsid w:val="00384ECE"/>
    <w:rsid w:val="00393292"/>
    <w:rsid w:val="003B42D4"/>
    <w:rsid w:val="003C1C08"/>
    <w:rsid w:val="003D6CAE"/>
    <w:rsid w:val="003D7DE2"/>
    <w:rsid w:val="003E4BFA"/>
    <w:rsid w:val="003E4E9F"/>
    <w:rsid w:val="003E6A98"/>
    <w:rsid w:val="003F1A49"/>
    <w:rsid w:val="003F3A23"/>
    <w:rsid w:val="003F3D89"/>
    <w:rsid w:val="00414670"/>
    <w:rsid w:val="0041643E"/>
    <w:rsid w:val="0043172C"/>
    <w:rsid w:val="00453293"/>
    <w:rsid w:val="00455D96"/>
    <w:rsid w:val="00456F76"/>
    <w:rsid w:val="00457F5A"/>
    <w:rsid w:val="004636D8"/>
    <w:rsid w:val="004662A8"/>
    <w:rsid w:val="00482302"/>
    <w:rsid w:val="004841A8"/>
    <w:rsid w:val="00491E1B"/>
    <w:rsid w:val="00495EA0"/>
    <w:rsid w:val="004A2929"/>
    <w:rsid w:val="004B34EE"/>
    <w:rsid w:val="004B6C27"/>
    <w:rsid w:val="004C0C08"/>
    <w:rsid w:val="004D31E7"/>
    <w:rsid w:val="004D3AA5"/>
    <w:rsid w:val="004E02F2"/>
    <w:rsid w:val="004E5A7B"/>
    <w:rsid w:val="004F0193"/>
    <w:rsid w:val="004F0B9C"/>
    <w:rsid w:val="004F1EE4"/>
    <w:rsid w:val="004F75FF"/>
    <w:rsid w:val="004F7C2B"/>
    <w:rsid w:val="00503556"/>
    <w:rsid w:val="00513FBE"/>
    <w:rsid w:val="00522DA5"/>
    <w:rsid w:val="00523EF1"/>
    <w:rsid w:val="00524B8F"/>
    <w:rsid w:val="00531385"/>
    <w:rsid w:val="005517FB"/>
    <w:rsid w:val="00555395"/>
    <w:rsid w:val="00555543"/>
    <w:rsid w:val="0055614B"/>
    <w:rsid w:val="00557D1F"/>
    <w:rsid w:val="00562FC9"/>
    <w:rsid w:val="00570B6A"/>
    <w:rsid w:val="0058612F"/>
    <w:rsid w:val="005863B3"/>
    <w:rsid w:val="00587322"/>
    <w:rsid w:val="005916D3"/>
    <w:rsid w:val="005924F7"/>
    <w:rsid w:val="005A16F8"/>
    <w:rsid w:val="005A3317"/>
    <w:rsid w:val="005A4B51"/>
    <w:rsid w:val="005A5404"/>
    <w:rsid w:val="005B6B0E"/>
    <w:rsid w:val="005D5784"/>
    <w:rsid w:val="005E2722"/>
    <w:rsid w:val="005F2461"/>
    <w:rsid w:val="005F2585"/>
    <w:rsid w:val="005F6500"/>
    <w:rsid w:val="006024B4"/>
    <w:rsid w:val="00610110"/>
    <w:rsid w:val="006104F0"/>
    <w:rsid w:val="00612078"/>
    <w:rsid w:val="00616147"/>
    <w:rsid w:val="00632861"/>
    <w:rsid w:val="0064240B"/>
    <w:rsid w:val="00657C2D"/>
    <w:rsid w:val="00675B7D"/>
    <w:rsid w:val="00675FA1"/>
    <w:rsid w:val="006763F3"/>
    <w:rsid w:val="00690EA3"/>
    <w:rsid w:val="00692BEA"/>
    <w:rsid w:val="006A3AF6"/>
    <w:rsid w:val="006A3FB2"/>
    <w:rsid w:val="006B1A09"/>
    <w:rsid w:val="006B5C43"/>
    <w:rsid w:val="006B6F4C"/>
    <w:rsid w:val="006C5F35"/>
    <w:rsid w:val="006D015E"/>
    <w:rsid w:val="006D3165"/>
    <w:rsid w:val="006D39E0"/>
    <w:rsid w:val="006D3D6D"/>
    <w:rsid w:val="006D44D3"/>
    <w:rsid w:val="006D7FB3"/>
    <w:rsid w:val="006E7632"/>
    <w:rsid w:val="006F4C5D"/>
    <w:rsid w:val="006F6241"/>
    <w:rsid w:val="00701F2F"/>
    <w:rsid w:val="00704012"/>
    <w:rsid w:val="007044B7"/>
    <w:rsid w:val="00710318"/>
    <w:rsid w:val="007148DF"/>
    <w:rsid w:val="00725270"/>
    <w:rsid w:val="007262E5"/>
    <w:rsid w:val="007266E4"/>
    <w:rsid w:val="00732D9D"/>
    <w:rsid w:val="00733467"/>
    <w:rsid w:val="00743057"/>
    <w:rsid w:val="0074422D"/>
    <w:rsid w:val="007528A0"/>
    <w:rsid w:val="007534A2"/>
    <w:rsid w:val="00755A13"/>
    <w:rsid w:val="0076644E"/>
    <w:rsid w:val="00777D11"/>
    <w:rsid w:val="0078475B"/>
    <w:rsid w:val="00786D9B"/>
    <w:rsid w:val="007935B3"/>
    <w:rsid w:val="0079465F"/>
    <w:rsid w:val="00797B98"/>
    <w:rsid w:val="007A2A03"/>
    <w:rsid w:val="007B40C7"/>
    <w:rsid w:val="007D3F29"/>
    <w:rsid w:val="007E2CBE"/>
    <w:rsid w:val="007E4C41"/>
    <w:rsid w:val="007E73E8"/>
    <w:rsid w:val="007F1F36"/>
    <w:rsid w:val="007F2E59"/>
    <w:rsid w:val="00801144"/>
    <w:rsid w:val="00805C49"/>
    <w:rsid w:val="008064EB"/>
    <w:rsid w:val="00815898"/>
    <w:rsid w:val="00820991"/>
    <w:rsid w:val="00821A67"/>
    <w:rsid w:val="00837FD4"/>
    <w:rsid w:val="00841575"/>
    <w:rsid w:val="00845C50"/>
    <w:rsid w:val="0084743C"/>
    <w:rsid w:val="008522B0"/>
    <w:rsid w:val="008525B0"/>
    <w:rsid w:val="00855953"/>
    <w:rsid w:val="00855D82"/>
    <w:rsid w:val="00855EE9"/>
    <w:rsid w:val="00860EB6"/>
    <w:rsid w:val="0086275F"/>
    <w:rsid w:val="0087519F"/>
    <w:rsid w:val="008809FE"/>
    <w:rsid w:val="00883183"/>
    <w:rsid w:val="00885A62"/>
    <w:rsid w:val="00885A90"/>
    <w:rsid w:val="00886118"/>
    <w:rsid w:val="00887EFB"/>
    <w:rsid w:val="008A37D2"/>
    <w:rsid w:val="008C7272"/>
    <w:rsid w:val="008D4EBB"/>
    <w:rsid w:val="008D54FB"/>
    <w:rsid w:val="008D73E1"/>
    <w:rsid w:val="008E0865"/>
    <w:rsid w:val="008E4166"/>
    <w:rsid w:val="008E4CF7"/>
    <w:rsid w:val="008E5592"/>
    <w:rsid w:val="008F0246"/>
    <w:rsid w:val="008F5171"/>
    <w:rsid w:val="008F5B3A"/>
    <w:rsid w:val="008F78C7"/>
    <w:rsid w:val="008F7BC1"/>
    <w:rsid w:val="0090321A"/>
    <w:rsid w:val="009123A3"/>
    <w:rsid w:val="009142F2"/>
    <w:rsid w:val="009150EB"/>
    <w:rsid w:val="00921D47"/>
    <w:rsid w:val="009235F1"/>
    <w:rsid w:val="009334E4"/>
    <w:rsid w:val="00937C4F"/>
    <w:rsid w:val="00951153"/>
    <w:rsid w:val="00960F09"/>
    <w:rsid w:val="00970A28"/>
    <w:rsid w:val="00973AD5"/>
    <w:rsid w:val="009745C7"/>
    <w:rsid w:val="00983478"/>
    <w:rsid w:val="00992EDB"/>
    <w:rsid w:val="009A14E0"/>
    <w:rsid w:val="009A1540"/>
    <w:rsid w:val="009A2EC3"/>
    <w:rsid w:val="009A5156"/>
    <w:rsid w:val="009A5C4E"/>
    <w:rsid w:val="009C0D70"/>
    <w:rsid w:val="009C735C"/>
    <w:rsid w:val="009D5B91"/>
    <w:rsid w:val="009E6CE1"/>
    <w:rsid w:val="009F73BC"/>
    <w:rsid w:val="009F79E0"/>
    <w:rsid w:val="00A00144"/>
    <w:rsid w:val="00A02C85"/>
    <w:rsid w:val="00A06F8B"/>
    <w:rsid w:val="00A10F1B"/>
    <w:rsid w:val="00A216FB"/>
    <w:rsid w:val="00A223E1"/>
    <w:rsid w:val="00A26D0B"/>
    <w:rsid w:val="00A30D24"/>
    <w:rsid w:val="00A32F34"/>
    <w:rsid w:val="00A378DE"/>
    <w:rsid w:val="00A40FAE"/>
    <w:rsid w:val="00A50D22"/>
    <w:rsid w:val="00A63A4F"/>
    <w:rsid w:val="00A653C3"/>
    <w:rsid w:val="00A6770F"/>
    <w:rsid w:val="00A67DF3"/>
    <w:rsid w:val="00A86529"/>
    <w:rsid w:val="00AA105A"/>
    <w:rsid w:val="00AA56C7"/>
    <w:rsid w:val="00AA6044"/>
    <w:rsid w:val="00AA6BC0"/>
    <w:rsid w:val="00AA7B67"/>
    <w:rsid w:val="00AC2ACD"/>
    <w:rsid w:val="00AC5532"/>
    <w:rsid w:val="00AD19FF"/>
    <w:rsid w:val="00AD52BC"/>
    <w:rsid w:val="00AE048D"/>
    <w:rsid w:val="00AE0A82"/>
    <w:rsid w:val="00AE0AEA"/>
    <w:rsid w:val="00AE2A0C"/>
    <w:rsid w:val="00B00555"/>
    <w:rsid w:val="00B240D7"/>
    <w:rsid w:val="00B241BD"/>
    <w:rsid w:val="00B24530"/>
    <w:rsid w:val="00B42066"/>
    <w:rsid w:val="00B4256E"/>
    <w:rsid w:val="00B42F5A"/>
    <w:rsid w:val="00B44723"/>
    <w:rsid w:val="00B51349"/>
    <w:rsid w:val="00B53C3E"/>
    <w:rsid w:val="00B5741E"/>
    <w:rsid w:val="00B6002F"/>
    <w:rsid w:val="00B606B8"/>
    <w:rsid w:val="00B70371"/>
    <w:rsid w:val="00B824E0"/>
    <w:rsid w:val="00B83832"/>
    <w:rsid w:val="00B8755C"/>
    <w:rsid w:val="00B92AA9"/>
    <w:rsid w:val="00BA14CF"/>
    <w:rsid w:val="00BA23B5"/>
    <w:rsid w:val="00BA3220"/>
    <w:rsid w:val="00BA5B17"/>
    <w:rsid w:val="00BB1325"/>
    <w:rsid w:val="00BB72EA"/>
    <w:rsid w:val="00BC0110"/>
    <w:rsid w:val="00BC090A"/>
    <w:rsid w:val="00BC1124"/>
    <w:rsid w:val="00BD1004"/>
    <w:rsid w:val="00BE0C29"/>
    <w:rsid w:val="00BE3D0A"/>
    <w:rsid w:val="00BE52FF"/>
    <w:rsid w:val="00BF45B7"/>
    <w:rsid w:val="00C037A3"/>
    <w:rsid w:val="00C0767B"/>
    <w:rsid w:val="00C12B7F"/>
    <w:rsid w:val="00C178DC"/>
    <w:rsid w:val="00C21823"/>
    <w:rsid w:val="00C264B2"/>
    <w:rsid w:val="00C26724"/>
    <w:rsid w:val="00C3037D"/>
    <w:rsid w:val="00C35E9B"/>
    <w:rsid w:val="00C36273"/>
    <w:rsid w:val="00C47A44"/>
    <w:rsid w:val="00C50F5A"/>
    <w:rsid w:val="00C54C4D"/>
    <w:rsid w:val="00C54CD9"/>
    <w:rsid w:val="00C55CDB"/>
    <w:rsid w:val="00C61922"/>
    <w:rsid w:val="00C61CA6"/>
    <w:rsid w:val="00C6348E"/>
    <w:rsid w:val="00C80103"/>
    <w:rsid w:val="00C80D18"/>
    <w:rsid w:val="00C81451"/>
    <w:rsid w:val="00C835F6"/>
    <w:rsid w:val="00C852AF"/>
    <w:rsid w:val="00C958D9"/>
    <w:rsid w:val="00C975E3"/>
    <w:rsid w:val="00CA2ED3"/>
    <w:rsid w:val="00CA3646"/>
    <w:rsid w:val="00CA61F3"/>
    <w:rsid w:val="00CA7C47"/>
    <w:rsid w:val="00CB2225"/>
    <w:rsid w:val="00CB6313"/>
    <w:rsid w:val="00CB6DA2"/>
    <w:rsid w:val="00CC036D"/>
    <w:rsid w:val="00CC324A"/>
    <w:rsid w:val="00CC7FAC"/>
    <w:rsid w:val="00CD5C35"/>
    <w:rsid w:val="00CD7BA6"/>
    <w:rsid w:val="00CE09EA"/>
    <w:rsid w:val="00CE2793"/>
    <w:rsid w:val="00CE2D67"/>
    <w:rsid w:val="00CE7420"/>
    <w:rsid w:val="00CE7FFD"/>
    <w:rsid w:val="00CF44BB"/>
    <w:rsid w:val="00CF72A0"/>
    <w:rsid w:val="00CF7959"/>
    <w:rsid w:val="00D0156C"/>
    <w:rsid w:val="00D01FE9"/>
    <w:rsid w:val="00D07749"/>
    <w:rsid w:val="00D133EC"/>
    <w:rsid w:val="00D17AD1"/>
    <w:rsid w:val="00D36337"/>
    <w:rsid w:val="00D40A57"/>
    <w:rsid w:val="00D45CA2"/>
    <w:rsid w:val="00D45DF1"/>
    <w:rsid w:val="00D63159"/>
    <w:rsid w:val="00D74A4C"/>
    <w:rsid w:val="00D844B1"/>
    <w:rsid w:val="00D84BF3"/>
    <w:rsid w:val="00D84D8A"/>
    <w:rsid w:val="00D94075"/>
    <w:rsid w:val="00DA2221"/>
    <w:rsid w:val="00DB29E3"/>
    <w:rsid w:val="00DB3138"/>
    <w:rsid w:val="00DB43CB"/>
    <w:rsid w:val="00DB52FF"/>
    <w:rsid w:val="00DB54B2"/>
    <w:rsid w:val="00DB5EF6"/>
    <w:rsid w:val="00DC1C97"/>
    <w:rsid w:val="00DC7402"/>
    <w:rsid w:val="00DC7F4C"/>
    <w:rsid w:val="00DD049F"/>
    <w:rsid w:val="00DD5F7E"/>
    <w:rsid w:val="00DD6F65"/>
    <w:rsid w:val="00DE404B"/>
    <w:rsid w:val="00E1366E"/>
    <w:rsid w:val="00E14DD1"/>
    <w:rsid w:val="00E150B3"/>
    <w:rsid w:val="00E265F6"/>
    <w:rsid w:val="00E266F1"/>
    <w:rsid w:val="00E27674"/>
    <w:rsid w:val="00E318E7"/>
    <w:rsid w:val="00E34CFA"/>
    <w:rsid w:val="00E34D2C"/>
    <w:rsid w:val="00E34FBC"/>
    <w:rsid w:val="00E3774B"/>
    <w:rsid w:val="00E3796F"/>
    <w:rsid w:val="00E403CE"/>
    <w:rsid w:val="00E4672C"/>
    <w:rsid w:val="00E4685E"/>
    <w:rsid w:val="00E470A4"/>
    <w:rsid w:val="00E51164"/>
    <w:rsid w:val="00E518AD"/>
    <w:rsid w:val="00E65DD3"/>
    <w:rsid w:val="00E67465"/>
    <w:rsid w:val="00E70B59"/>
    <w:rsid w:val="00E742C3"/>
    <w:rsid w:val="00E75E49"/>
    <w:rsid w:val="00E80254"/>
    <w:rsid w:val="00E85C32"/>
    <w:rsid w:val="00E869B3"/>
    <w:rsid w:val="00E86ED9"/>
    <w:rsid w:val="00E9218C"/>
    <w:rsid w:val="00E94DCA"/>
    <w:rsid w:val="00E958C1"/>
    <w:rsid w:val="00EA5BEB"/>
    <w:rsid w:val="00EB3D5A"/>
    <w:rsid w:val="00EB4FD5"/>
    <w:rsid w:val="00EB63B0"/>
    <w:rsid w:val="00EC1562"/>
    <w:rsid w:val="00EC5263"/>
    <w:rsid w:val="00EC54D5"/>
    <w:rsid w:val="00EC6E73"/>
    <w:rsid w:val="00ED362C"/>
    <w:rsid w:val="00ED370A"/>
    <w:rsid w:val="00ED5A46"/>
    <w:rsid w:val="00ED6D68"/>
    <w:rsid w:val="00EE265B"/>
    <w:rsid w:val="00EE5BBE"/>
    <w:rsid w:val="00EF13CA"/>
    <w:rsid w:val="00EF376F"/>
    <w:rsid w:val="00EF5631"/>
    <w:rsid w:val="00EF5EE4"/>
    <w:rsid w:val="00F05F13"/>
    <w:rsid w:val="00F11140"/>
    <w:rsid w:val="00F14492"/>
    <w:rsid w:val="00F17E0F"/>
    <w:rsid w:val="00F17EAC"/>
    <w:rsid w:val="00F20526"/>
    <w:rsid w:val="00F22112"/>
    <w:rsid w:val="00F24213"/>
    <w:rsid w:val="00F27BED"/>
    <w:rsid w:val="00F27CBA"/>
    <w:rsid w:val="00F4243E"/>
    <w:rsid w:val="00F47D7F"/>
    <w:rsid w:val="00F54501"/>
    <w:rsid w:val="00F576AC"/>
    <w:rsid w:val="00F62E1B"/>
    <w:rsid w:val="00F6612C"/>
    <w:rsid w:val="00F66B96"/>
    <w:rsid w:val="00F71FD3"/>
    <w:rsid w:val="00F740C1"/>
    <w:rsid w:val="00F825DB"/>
    <w:rsid w:val="00F92CEC"/>
    <w:rsid w:val="00F92EBD"/>
    <w:rsid w:val="00F9436A"/>
    <w:rsid w:val="00FA7EA0"/>
    <w:rsid w:val="00FB1A03"/>
    <w:rsid w:val="00FB2D6E"/>
    <w:rsid w:val="00FB48ED"/>
    <w:rsid w:val="00FB7B45"/>
    <w:rsid w:val="00FC4E8B"/>
    <w:rsid w:val="00FD51ED"/>
    <w:rsid w:val="00FE505D"/>
    <w:rsid w:val="00FF3D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6AB8"/>
  <w15:chartTrackingRefBased/>
  <w15:docId w15:val="{7F13359A-8999-4897-9C2A-7B7D9E84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B51"/>
    <w:pPr>
      <w:ind w:left="720"/>
      <w:contextualSpacing/>
    </w:pPr>
  </w:style>
  <w:style w:type="paragraph" w:styleId="NormalWeb">
    <w:name w:val="Normal (Web)"/>
    <w:basedOn w:val="Normal"/>
    <w:uiPriority w:val="99"/>
    <w:semiHidden/>
    <w:unhideWhenUsed/>
    <w:rsid w:val="00675B7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675B7D"/>
    <w:rPr>
      <w:color w:val="0000FF"/>
      <w:u w:val="single"/>
    </w:rPr>
  </w:style>
  <w:style w:type="paragraph" w:styleId="FootnoteText">
    <w:name w:val="footnote text"/>
    <w:basedOn w:val="Normal"/>
    <w:link w:val="FootnoteTextChar"/>
    <w:uiPriority w:val="99"/>
    <w:semiHidden/>
    <w:unhideWhenUsed/>
    <w:rsid w:val="00DA22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221"/>
    <w:rPr>
      <w:sz w:val="20"/>
      <w:szCs w:val="20"/>
    </w:rPr>
  </w:style>
  <w:style w:type="character" w:styleId="FootnoteReference">
    <w:name w:val="footnote reference"/>
    <w:basedOn w:val="DefaultParagraphFont"/>
    <w:uiPriority w:val="99"/>
    <w:semiHidden/>
    <w:unhideWhenUsed/>
    <w:rsid w:val="00DA2221"/>
    <w:rPr>
      <w:vertAlign w:val="superscript"/>
    </w:rPr>
  </w:style>
  <w:style w:type="paragraph" w:styleId="Header">
    <w:name w:val="header"/>
    <w:basedOn w:val="Normal"/>
    <w:link w:val="HeaderChar"/>
    <w:uiPriority w:val="99"/>
    <w:unhideWhenUsed/>
    <w:rsid w:val="004B3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4EE"/>
  </w:style>
  <w:style w:type="paragraph" w:styleId="Footer">
    <w:name w:val="footer"/>
    <w:basedOn w:val="Normal"/>
    <w:link w:val="FooterChar"/>
    <w:uiPriority w:val="99"/>
    <w:unhideWhenUsed/>
    <w:rsid w:val="004B3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4EE"/>
  </w:style>
  <w:style w:type="paragraph" w:styleId="BalloonText">
    <w:name w:val="Balloon Text"/>
    <w:basedOn w:val="Normal"/>
    <w:link w:val="BalloonTextChar"/>
    <w:uiPriority w:val="99"/>
    <w:semiHidden/>
    <w:unhideWhenUsed/>
    <w:rsid w:val="006A3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4.png@01D11214.FDB52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79D6F-08B8-47DD-81C1-D0DD1865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5382</Words>
  <Characters>30683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Karrisha Pillay</dc:creator>
  <cp:keywords/>
  <dc:description/>
  <cp:lastModifiedBy>Mary Bruce</cp:lastModifiedBy>
  <cp:revision>7</cp:revision>
  <cp:lastPrinted>2023-11-28T15:02:00Z</cp:lastPrinted>
  <dcterms:created xsi:type="dcterms:W3CDTF">2023-11-28T14:51:00Z</dcterms:created>
  <dcterms:modified xsi:type="dcterms:W3CDTF">2023-12-01T11:54:00Z</dcterms:modified>
</cp:coreProperties>
</file>