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D3" w:rsidRDefault="00EE72D3" w:rsidP="00EE72D3">
      <w:pPr>
        <w:autoSpaceDE w:val="0"/>
        <w:autoSpaceDN w:val="0"/>
        <w:adjustRightInd w:val="0"/>
        <w:spacing w:after="0" w:line="241" w:lineRule="atLeast"/>
        <w:jc w:val="center"/>
        <w:rPr>
          <w:rFonts w:ascii="Century Gothic" w:eastAsia="Times New Roman" w:hAnsi="Century Gothic" w:cs="Arial"/>
          <w:b/>
          <w:sz w:val="28"/>
          <w:szCs w:val="28"/>
          <w:lang w:val="af-ZA"/>
        </w:rPr>
      </w:pPr>
      <w:bookmarkStart w:id="0" w:name="_GoBack"/>
      <w:bookmarkEnd w:id="0"/>
      <w:r>
        <w:rPr>
          <w:rFonts w:ascii="Arial" w:eastAsia="Times New Roman" w:hAnsi="Arial" w:cs="Times New Roman"/>
          <w:noProof/>
          <w:sz w:val="24"/>
          <w:szCs w:val="24"/>
          <w:lang w:eastAsia="en-ZA"/>
        </w:rPr>
        <w:drawing>
          <wp:anchor distT="0" distB="0" distL="114300" distR="114300" simplePos="0" relativeHeight="251659264" behindDoc="0" locked="0" layoutInCell="1" allowOverlap="1" wp14:anchorId="26BAAB9B" wp14:editId="625631CC">
            <wp:simplePos x="0" y="0"/>
            <wp:positionH relativeFrom="column">
              <wp:posOffset>2025650</wp:posOffset>
            </wp:positionH>
            <wp:positionV relativeFrom="paragraph">
              <wp:posOffset>0</wp:posOffset>
            </wp:positionV>
            <wp:extent cx="977900" cy="972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Arial"/>
          <w:b/>
          <w:sz w:val="28"/>
          <w:szCs w:val="28"/>
          <w:lang w:val="af-ZA"/>
        </w:rPr>
        <w:br w:type="textWrapping" w:clear="all"/>
      </w:r>
    </w:p>
    <w:p w:rsidR="00EE72D3" w:rsidRDefault="00EE72D3" w:rsidP="00EE72D3">
      <w:pPr>
        <w:autoSpaceDE w:val="0"/>
        <w:autoSpaceDN w:val="0"/>
        <w:adjustRightInd w:val="0"/>
        <w:spacing w:after="0" w:line="241" w:lineRule="atLeast"/>
        <w:jc w:val="center"/>
        <w:rPr>
          <w:rFonts w:ascii="Arial" w:eastAsia="Times New Roman" w:hAnsi="Arial" w:cs="Arial"/>
          <w:b/>
          <w:sz w:val="28"/>
          <w:szCs w:val="28"/>
          <w:lang w:val="af-ZA"/>
        </w:rPr>
      </w:pPr>
      <w:r>
        <w:rPr>
          <w:rFonts w:ascii="Century Gothic" w:eastAsia="Times New Roman" w:hAnsi="Century Gothic" w:cs="Arial"/>
          <w:b/>
          <w:sz w:val="28"/>
          <w:szCs w:val="28"/>
          <w:lang w:val="af-ZA"/>
        </w:rPr>
        <w:t>IN THE HIGH COURT OF SOUTH AFRICA</w:t>
      </w:r>
    </w:p>
    <w:p w:rsidR="00EE72D3" w:rsidRPr="00C61831" w:rsidRDefault="00EE72D3" w:rsidP="00EE72D3">
      <w:pPr>
        <w:autoSpaceDE w:val="0"/>
        <w:autoSpaceDN w:val="0"/>
        <w:adjustRightInd w:val="0"/>
        <w:spacing w:after="0" w:line="241" w:lineRule="atLeast"/>
        <w:jc w:val="center"/>
        <w:rPr>
          <w:rFonts w:ascii="Arial" w:eastAsia="Times New Roman" w:hAnsi="Arial" w:cs="Arial"/>
          <w:b/>
          <w:sz w:val="28"/>
          <w:szCs w:val="28"/>
          <w:lang w:val="af-ZA"/>
        </w:rPr>
      </w:pPr>
      <w:r>
        <w:rPr>
          <w:rFonts w:ascii="Century Gothic" w:eastAsia="Times New Roman" w:hAnsi="Century Gothic" w:cs="Times New Roman"/>
          <w:b/>
          <w:sz w:val="28"/>
          <w:szCs w:val="28"/>
          <w:lang w:val="af-ZA"/>
        </w:rPr>
        <w:t>(WESTERN CAPE DIVISION, CAPE TOWN)</w:t>
      </w:r>
    </w:p>
    <w:p w:rsidR="00EE72D3" w:rsidRDefault="00EE72D3" w:rsidP="00EE72D3">
      <w:pPr>
        <w:spacing w:after="0" w:line="240" w:lineRule="auto"/>
        <w:jc w:val="center"/>
        <w:rPr>
          <w:rFonts w:ascii="Century Gothic" w:eastAsia="Times New Roman" w:hAnsi="Century Gothic" w:cs="Times New Roman"/>
          <w:b/>
          <w:sz w:val="28"/>
          <w:szCs w:val="28"/>
          <w:lang w:val="af-ZA"/>
        </w:rPr>
      </w:pPr>
    </w:p>
    <w:p w:rsidR="00EE72D3" w:rsidRDefault="00EE72D3" w:rsidP="00EE72D3">
      <w:pPr>
        <w:spacing w:after="0" w:line="240" w:lineRule="auto"/>
        <w:jc w:val="center"/>
        <w:rPr>
          <w:rFonts w:ascii="Century Gothic" w:eastAsia="Times New Roman" w:hAnsi="Century Gothic" w:cs="Times New Roman"/>
          <w:b/>
          <w:sz w:val="28"/>
          <w:szCs w:val="28"/>
          <w:lang w:val="af-ZA"/>
        </w:rPr>
      </w:pPr>
    </w:p>
    <w:p w:rsidR="00EE72D3" w:rsidRPr="003374A1" w:rsidRDefault="00EE72D3" w:rsidP="001844A7">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sz w:val="28"/>
          <w:szCs w:val="28"/>
          <w:lang w:val="af-ZA"/>
        </w:rPr>
        <w:t xml:space="preserve">       </w:t>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r>
      <w:r>
        <w:rPr>
          <w:rFonts w:ascii="Century Gothic" w:eastAsia="Times New Roman" w:hAnsi="Century Gothic" w:cs="Times New Roman"/>
          <w:sz w:val="28"/>
          <w:szCs w:val="28"/>
          <w:lang w:val="af-ZA"/>
        </w:rPr>
        <w:tab/>
        <w:t xml:space="preserve">      </w:t>
      </w:r>
      <w:r>
        <w:rPr>
          <w:rFonts w:ascii="Century Gothic" w:eastAsia="Times New Roman" w:hAnsi="Century Gothic" w:cs="Times New Roman"/>
          <w:b/>
          <w:sz w:val="28"/>
          <w:szCs w:val="28"/>
          <w:lang w:val="af-ZA"/>
        </w:rPr>
        <w:t>Case no. A195/2023</w:t>
      </w:r>
    </w:p>
    <w:p w:rsidR="00EE72D3" w:rsidRPr="003374A1" w:rsidRDefault="00EE72D3" w:rsidP="001844A7">
      <w:pPr>
        <w:spacing w:after="0" w:line="240" w:lineRule="auto"/>
        <w:jc w:val="center"/>
        <w:rPr>
          <w:rFonts w:ascii="Century Gothic" w:eastAsia="Times New Roman" w:hAnsi="Century Gothic" w:cs="Times New Roman"/>
          <w:b/>
          <w:sz w:val="28"/>
          <w:szCs w:val="28"/>
          <w:lang w:val="af-ZA"/>
        </w:rPr>
      </w:pPr>
      <w:r w:rsidRPr="003374A1">
        <w:rPr>
          <w:rFonts w:ascii="Century Gothic" w:eastAsia="Times New Roman" w:hAnsi="Century Gothic" w:cs="Times New Roman"/>
          <w:b/>
          <w:sz w:val="28"/>
          <w:szCs w:val="28"/>
          <w:lang w:val="af-ZA"/>
        </w:rPr>
        <w:t xml:space="preserve">                                               </w:t>
      </w:r>
    </w:p>
    <w:p w:rsidR="00EE72D3" w:rsidRPr="00C06D6E" w:rsidRDefault="00EE72D3" w:rsidP="001844A7">
      <w:pPr>
        <w:spacing w:after="0" w:line="240" w:lineRule="auto"/>
        <w:jc w:val="center"/>
        <w:rPr>
          <w:rFonts w:ascii="Century Gothic" w:eastAsia="Times New Roman" w:hAnsi="Century Gothic" w:cs="Times New Roman"/>
          <w:b/>
          <w:sz w:val="28"/>
          <w:szCs w:val="28"/>
          <w:lang w:val="af-ZA"/>
        </w:rPr>
      </w:pPr>
      <w:r w:rsidRPr="003374A1">
        <w:rPr>
          <w:rFonts w:ascii="Century Gothic" w:eastAsia="Times New Roman" w:hAnsi="Century Gothic" w:cs="Times New Roman"/>
          <w:b/>
          <w:sz w:val="28"/>
          <w:szCs w:val="28"/>
          <w:lang w:val="af-ZA"/>
        </w:rPr>
        <w:t xml:space="preserve">                                                                   </w:t>
      </w:r>
      <w:r>
        <w:rPr>
          <w:rFonts w:ascii="Century Gothic" w:eastAsia="Times New Roman" w:hAnsi="Century Gothic" w:cs="Times New Roman"/>
          <w:sz w:val="28"/>
          <w:szCs w:val="28"/>
          <w:lang w:val="af-ZA"/>
        </w:rPr>
        <w:tab/>
      </w:r>
    </w:p>
    <w:p w:rsidR="00EE72D3" w:rsidRDefault="00EE72D3" w:rsidP="001844A7">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rsidR="00EE72D3" w:rsidRDefault="00EE72D3" w:rsidP="001844A7">
      <w:pPr>
        <w:spacing w:after="0" w:line="240" w:lineRule="auto"/>
        <w:rPr>
          <w:rFonts w:ascii="Century Gothic" w:eastAsia="Times New Roman" w:hAnsi="Century Gothic" w:cs="Times New Roman"/>
          <w:sz w:val="24"/>
          <w:szCs w:val="24"/>
          <w:lang w:val="af-ZA"/>
        </w:rPr>
      </w:pPr>
    </w:p>
    <w:p w:rsidR="00EE72D3" w:rsidRDefault="00EE72D3" w:rsidP="001844A7">
      <w:pPr>
        <w:spacing w:after="0" w:line="240" w:lineRule="auto"/>
        <w:rPr>
          <w:rFonts w:ascii="Century Gothic" w:eastAsia="Times New Roman" w:hAnsi="Century Gothic" w:cs="Times New Roman"/>
          <w:sz w:val="28"/>
          <w:szCs w:val="28"/>
          <w:lang w:val="af-ZA"/>
        </w:rPr>
      </w:pPr>
    </w:p>
    <w:p w:rsidR="00EE72D3" w:rsidRDefault="00EE72D3" w:rsidP="001844A7">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WARREN JAFTHA                                                                      Appellant</w:t>
      </w:r>
      <w:r>
        <w:rPr>
          <w:rFonts w:ascii="Century Gothic" w:eastAsia="Times New Roman" w:hAnsi="Century Gothic" w:cs="Times New Roman"/>
          <w:b/>
          <w:sz w:val="28"/>
          <w:szCs w:val="28"/>
          <w:lang w:val="af-ZA"/>
        </w:rPr>
        <w:tab/>
      </w:r>
    </w:p>
    <w:p w:rsidR="00EE72D3" w:rsidRDefault="00EE72D3" w:rsidP="001844A7">
      <w:pPr>
        <w:spacing w:after="0" w:line="240" w:lineRule="auto"/>
        <w:rPr>
          <w:rFonts w:ascii="Century Gothic" w:eastAsia="Times New Roman" w:hAnsi="Century Gothic" w:cs="Times New Roman"/>
          <w:sz w:val="28"/>
          <w:szCs w:val="28"/>
          <w:lang w:val="af-ZA"/>
        </w:rPr>
      </w:pPr>
    </w:p>
    <w:p w:rsidR="00EE72D3" w:rsidRDefault="00EE72D3" w:rsidP="001844A7">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rsidR="00EE72D3" w:rsidRDefault="00EE72D3" w:rsidP="001844A7">
      <w:pPr>
        <w:spacing w:after="0" w:line="240" w:lineRule="auto"/>
        <w:rPr>
          <w:rFonts w:ascii="Century Gothic" w:eastAsia="Times New Roman" w:hAnsi="Century Gothic" w:cs="Times New Roman"/>
          <w:b/>
          <w:sz w:val="28"/>
          <w:szCs w:val="28"/>
          <w:lang w:val="af-ZA"/>
        </w:rPr>
      </w:pPr>
    </w:p>
    <w:p w:rsidR="00EE72D3" w:rsidRDefault="00EE72D3" w:rsidP="001844A7">
      <w:pPr>
        <w:spacing w:after="0" w:line="240" w:lineRule="auto"/>
        <w:jc w:val="right"/>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THE STATE</w:t>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r>
      <w:r>
        <w:rPr>
          <w:rFonts w:ascii="Century Gothic" w:eastAsia="Times New Roman" w:hAnsi="Century Gothic" w:cs="Times New Roman"/>
          <w:b/>
          <w:sz w:val="28"/>
          <w:szCs w:val="28"/>
          <w:lang w:val="af-ZA"/>
        </w:rPr>
        <w:tab/>
        <w:t xml:space="preserve">  Respondent</w:t>
      </w:r>
    </w:p>
    <w:p w:rsidR="001844A7" w:rsidRDefault="001844A7" w:rsidP="001844A7">
      <w:pPr>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 xml:space="preserve">________________________________________________________________ </w:t>
      </w:r>
    </w:p>
    <w:p w:rsidR="001844A7" w:rsidRPr="00D76BA5" w:rsidRDefault="001844A7" w:rsidP="001844A7">
      <w:pPr>
        <w:spacing w:after="0" w:line="240" w:lineRule="auto"/>
        <w:rPr>
          <w:rFonts w:ascii="Arial" w:eastAsia="Times New Roman" w:hAnsi="Arial" w:cs="Arial"/>
          <w:b/>
          <w:sz w:val="24"/>
          <w:szCs w:val="24"/>
          <w:lang w:val="af-ZA"/>
        </w:rPr>
      </w:pPr>
    </w:p>
    <w:p w:rsidR="00D76BA5" w:rsidRDefault="00D76BA5" w:rsidP="00D76BA5">
      <w:pPr>
        <w:spacing w:after="0" w:line="240" w:lineRule="auto"/>
        <w:jc w:val="center"/>
        <w:rPr>
          <w:rFonts w:ascii="Arial" w:eastAsia="Times New Roman" w:hAnsi="Arial" w:cs="Arial"/>
          <w:b/>
          <w:sz w:val="24"/>
          <w:szCs w:val="24"/>
          <w:lang w:val="af-ZA"/>
        </w:rPr>
      </w:pPr>
    </w:p>
    <w:p w:rsidR="00EE72D3" w:rsidRPr="00D76BA5" w:rsidRDefault="001D4B5F" w:rsidP="00D76BA5">
      <w:pPr>
        <w:spacing w:after="0" w:line="240" w:lineRule="auto"/>
        <w:jc w:val="center"/>
        <w:rPr>
          <w:rFonts w:ascii="Arial" w:eastAsia="Times New Roman" w:hAnsi="Arial" w:cs="Arial"/>
          <w:b/>
          <w:sz w:val="24"/>
          <w:szCs w:val="24"/>
          <w:lang w:val="af-ZA"/>
        </w:rPr>
      </w:pPr>
      <w:r w:rsidRPr="00D76BA5">
        <w:rPr>
          <w:rFonts w:ascii="Arial" w:eastAsia="Times New Roman" w:hAnsi="Arial" w:cs="Arial"/>
          <w:b/>
          <w:sz w:val="24"/>
          <w:szCs w:val="24"/>
          <w:lang w:val="af-ZA"/>
        </w:rPr>
        <w:t>JUDGMENT</w:t>
      </w:r>
      <w:r w:rsidR="00D76BA5" w:rsidRPr="00D76BA5">
        <w:rPr>
          <w:rFonts w:ascii="Arial" w:eastAsia="Times New Roman" w:hAnsi="Arial" w:cs="Arial"/>
          <w:b/>
          <w:sz w:val="24"/>
          <w:szCs w:val="24"/>
          <w:lang w:val="af-ZA"/>
        </w:rPr>
        <w:t xml:space="preserve"> DELIVERED ON THIS 8TH DAY OF NOVEMBER 2023</w:t>
      </w:r>
    </w:p>
    <w:p w:rsidR="001D4B5F" w:rsidRDefault="001D4B5F" w:rsidP="00D76BA5">
      <w:pPr>
        <w:spacing w:after="0" w:line="240" w:lineRule="auto"/>
        <w:jc w:val="center"/>
        <w:rPr>
          <w:rFonts w:ascii="Century Gothic" w:eastAsia="Times New Roman" w:hAnsi="Century Gothic" w:cs="Times New Roman"/>
          <w:b/>
          <w:sz w:val="36"/>
          <w:szCs w:val="36"/>
          <w:lang w:val="af-ZA"/>
        </w:rPr>
      </w:pPr>
    </w:p>
    <w:p w:rsidR="00EE72D3" w:rsidRDefault="00D76BA5" w:rsidP="00EE72D3">
      <w:r>
        <w:t>__________________________________________________________________________________</w:t>
      </w:r>
    </w:p>
    <w:p w:rsidR="00D76BA5" w:rsidRPr="00D76BA5" w:rsidRDefault="00D76BA5" w:rsidP="00EE72D3">
      <w:pPr>
        <w:spacing w:line="360" w:lineRule="auto"/>
        <w:rPr>
          <w:rFonts w:ascii="Arial" w:hAnsi="Arial" w:cs="Arial"/>
          <w:b/>
          <w:sz w:val="24"/>
          <w:szCs w:val="24"/>
          <w:u w:val="single"/>
        </w:rPr>
      </w:pPr>
      <w:r w:rsidRPr="00D76BA5">
        <w:rPr>
          <w:rFonts w:ascii="Arial" w:hAnsi="Arial" w:cs="Arial"/>
          <w:b/>
          <w:sz w:val="24"/>
          <w:szCs w:val="24"/>
          <w:u w:val="single"/>
        </w:rPr>
        <w:t xml:space="preserve">ANDREWS AJ:   </w:t>
      </w:r>
    </w:p>
    <w:p w:rsidR="00D76BA5" w:rsidRDefault="00D76BA5" w:rsidP="00EE72D3">
      <w:pPr>
        <w:spacing w:line="360" w:lineRule="auto"/>
        <w:rPr>
          <w:rFonts w:ascii="Arial" w:hAnsi="Arial" w:cs="Arial"/>
          <w:b/>
          <w:sz w:val="24"/>
          <w:szCs w:val="24"/>
        </w:rPr>
      </w:pPr>
    </w:p>
    <w:p w:rsidR="00FD52C8" w:rsidRPr="0033756B" w:rsidRDefault="00FD52C8" w:rsidP="00EE72D3">
      <w:pPr>
        <w:spacing w:line="360" w:lineRule="auto"/>
        <w:rPr>
          <w:rFonts w:ascii="Arial" w:hAnsi="Arial" w:cs="Arial"/>
          <w:b/>
          <w:sz w:val="24"/>
          <w:szCs w:val="24"/>
        </w:rPr>
      </w:pPr>
      <w:r>
        <w:rPr>
          <w:rFonts w:ascii="Arial" w:hAnsi="Arial" w:cs="Arial"/>
          <w:b/>
          <w:sz w:val="24"/>
          <w:szCs w:val="24"/>
        </w:rPr>
        <w:t>Introduction</w:t>
      </w:r>
    </w:p>
    <w:p w:rsidR="00EE72D3" w:rsidRPr="00F01561" w:rsidRDefault="00F01561" w:rsidP="00F01561">
      <w:pPr>
        <w:tabs>
          <w:tab w:val="left" w:pos="657"/>
        </w:tabs>
        <w:spacing w:line="480" w:lineRule="auto"/>
        <w:ind w:left="9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C9477F" w:rsidRPr="00F01561">
        <w:rPr>
          <w:rFonts w:ascii="Arial" w:hAnsi="Arial" w:cs="Arial"/>
          <w:sz w:val="24"/>
          <w:szCs w:val="24"/>
        </w:rPr>
        <w:t xml:space="preserve">The Appellant, Mr Warren Jaftha, was convicted in Oudtshoorn Regional Court </w:t>
      </w:r>
      <w:r w:rsidR="00233076" w:rsidRPr="00F01561">
        <w:rPr>
          <w:rFonts w:ascii="Arial" w:hAnsi="Arial" w:cs="Arial"/>
          <w:sz w:val="24"/>
          <w:szCs w:val="24"/>
        </w:rPr>
        <w:t>o</w:t>
      </w:r>
      <w:r w:rsidR="00FD429D" w:rsidRPr="00F01561">
        <w:rPr>
          <w:rFonts w:ascii="Arial" w:hAnsi="Arial" w:cs="Arial"/>
          <w:sz w:val="24"/>
          <w:szCs w:val="24"/>
        </w:rPr>
        <w:t>n one count of attempted murder, in that the accused unlawfully and intentionally attempted to kill the complainant by hitting him with a panga.</w:t>
      </w:r>
      <w:r w:rsidR="00233076" w:rsidRPr="00F01561">
        <w:rPr>
          <w:rFonts w:ascii="Arial" w:hAnsi="Arial" w:cs="Arial"/>
          <w:sz w:val="24"/>
          <w:szCs w:val="24"/>
        </w:rPr>
        <w:t xml:space="preserve"> Following his conviction, the Appellant was sentenced to 10 years’ imprisonment. The court </w:t>
      </w:r>
      <w:r w:rsidR="00233076" w:rsidRPr="00F01561">
        <w:rPr>
          <w:rFonts w:ascii="Arial" w:hAnsi="Arial" w:cs="Arial"/>
          <w:i/>
          <w:sz w:val="24"/>
          <w:szCs w:val="24"/>
        </w:rPr>
        <w:t>a quo</w:t>
      </w:r>
      <w:r w:rsidR="00233076" w:rsidRPr="00F01561">
        <w:rPr>
          <w:rFonts w:ascii="Arial" w:hAnsi="Arial" w:cs="Arial"/>
          <w:sz w:val="24"/>
          <w:szCs w:val="24"/>
        </w:rPr>
        <w:t xml:space="preserve"> refus</w:t>
      </w:r>
      <w:r w:rsidR="001A08F3" w:rsidRPr="00F01561">
        <w:rPr>
          <w:rFonts w:ascii="Arial" w:hAnsi="Arial" w:cs="Arial"/>
          <w:sz w:val="24"/>
          <w:szCs w:val="24"/>
        </w:rPr>
        <w:t>ed the Appellant leave to appeal</w:t>
      </w:r>
      <w:r w:rsidR="00233076" w:rsidRPr="00F01561">
        <w:rPr>
          <w:rFonts w:ascii="Arial" w:hAnsi="Arial" w:cs="Arial"/>
          <w:sz w:val="24"/>
          <w:szCs w:val="24"/>
        </w:rPr>
        <w:t xml:space="preserve"> against sentence.</w:t>
      </w:r>
      <w:r w:rsidR="00F26282" w:rsidRPr="00F01561">
        <w:rPr>
          <w:rFonts w:ascii="Arial" w:hAnsi="Arial" w:cs="Arial"/>
          <w:sz w:val="24"/>
          <w:szCs w:val="24"/>
        </w:rPr>
        <w:t xml:space="preserve"> On 15 June 2023,</w:t>
      </w:r>
      <w:r w:rsidR="00D22394" w:rsidRPr="00F01561">
        <w:rPr>
          <w:rFonts w:ascii="Arial" w:hAnsi="Arial" w:cs="Arial"/>
          <w:sz w:val="24"/>
          <w:szCs w:val="24"/>
        </w:rPr>
        <w:t xml:space="preserve"> the Appellant was granted</w:t>
      </w:r>
      <w:r w:rsidR="00F26282" w:rsidRPr="00F01561">
        <w:rPr>
          <w:rFonts w:ascii="Arial" w:hAnsi="Arial" w:cs="Arial"/>
          <w:sz w:val="24"/>
          <w:szCs w:val="24"/>
        </w:rPr>
        <w:t xml:space="preserve"> </w:t>
      </w:r>
      <w:r w:rsidR="00BB56F4" w:rsidRPr="00F01561">
        <w:rPr>
          <w:rFonts w:ascii="Arial" w:hAnsi="Arial" w:cs="Arial"/>
          <w:sz w:val="24"/>
          <w:szCs w:val="24"/>
        </w:rPr>
        <w:t>Leave to A</w:t>
      </w:r>
      <w:r w:rsidR="00786D7F" w:rsidRPr="00F01561">
        <w:rPr>
          <w:rFonts w:ascii="Arial" w:hAnsi="Arial" w:cs="Arial"/>
          <w:sz w:val="24"/>
          <w:szCs w:val="24"/>
        </w:rPr>
        <w:t xml:space="preserve">ppeal against sentence </w:t>
      </w:r>
      <w:r w:rsidR="00F26282" w:rsidRPr="00F01561">
        <w:rPr>
          <w:rFonts w:ascii="Arial" w:hAnsi="Arial" w:cs="Arial"/>
          <w:sz w:val="24"/>
          <w:szCs w:val="24"/>
        </w:rPr>
        <w:t>on petition</w:t>
      </w:r>
      <w:r w:rsidR="00786D7F" w:rsidRPr="00F01561">
        <w:rPr>
          <w:rFonts w:ascii="Arial" w:hAnsi="Arial" w:cs="Arial"/>
          <w:sz w:val="24"/>
          <w:szCs w:val="24"/>
        </w:rPr>
        <w:t>.</w:t>
      </w:r>
    </w:p>
    <w:p w:rsidR="006F3AF3" w:rsidRPr="00F01561" w:rsidRDefault="00F01561" w:rsidP="00F01561">
      <w:pPr>
        <w:tabs>
          <w:tab w:val="left" w:pos="657"/>
        </w:tabs>
        <w:spacing w:line="480" w:lineRule="auto"/>
        <w:ind w:left="90"/>
        <w:jc w:val="both"/>
        <w:rPr>
          <w:rFonts w:ascii="Arial" w:hAnsi="Arial" w:cs="Arial"/>
          <w:sz w:val="24"/>
          <w:szCs w:val="24"/>
        </w:rPr>
      </w:pPr>
      <w:r w:rsidRPr="00FD429D">
        <w:rPr>
          <w:rFonts w:ascii="Arial" w:hAnsi="Arial" w:cs="Arial"/>
          <w:sz w:val="24"/>
          <w:szCs w:val="24"/>
        </w:rPr>
        <w:lastRenderedPageBreak/>
        <w:t xml:space="preserve">[2]     </w:t>
      </w:r>
      <w:r w:rsidRPr="00FD429D">
        <w:rPr>
          <w:rFonts w:ascii="Arial" w:hAnsi="Arial" w:cs="Arial"/>
          <w:sz w:val="24"/>
          <w:szCs w:val="24"/>
        </w:rPr>
        <w:tab/>
      </w:r>
      <w:r w:rsidR="00154C31" w:rsidRPr="00F01561">
        <w:rPr>
          <w:rFonts w:ascii="Arial" w:hAnsi="Arial" w:cs="Arial"/>
          <w:sz w:val="24"/>
          <w:szCs w:val="24"/>
        </w:rPr>
        <w:t>The Appellant pleaded not guilty to the charge of attempted murder and guilty to assault with intent to do grievous bodily harm</w:t>
      </w:r>
      <w:r w:rsidR="001527E8" w:rsidRPr="00F01561">
        <w:rPr>
          <w:rFonts w:ascii="Arial" w:hAnsi="Arial" w:cs="Arial"/>
          <w:sz w:val="24"/>
          <w:szCs w:val="24"/>
        </w:rPr>
        <w:t>; however</w:t>
      </w:r>
      <w:r w:rsidR="004819B9" w:rsidRPr="00F01561">
        <w:rPr>
          <w:rFonts w:ascii="Arial" w:hAnsi="Arial" w:cs="Arial"/>
          <w:sz w:val="24"/>
          <w:szCs w:val="24"/>
        </w:rPr>
        <w:t>, after the statement in terms of Section 112(2) of the Criminal Procedure Act</w:t>
      </w:r>
      <w:r w:rsidR="004819B9">
        <w:rPr>
          <w:rStyle w:val="FootnoteReference"/>
          <w:rFonts w:ascii="Arial" w:hAnsi="Arial" w:cs="Arial"/>
          <w:sz w:val="24"/>
          <w:szCs w:val="24"/>
        </w:rPr>
        <w:footnoteReference w:id="1"/>
      </w:r>
      <w:r w:rsidR="001A078D" w:rsidRPr="00F01561">
        <w:rPr>
          <w:rFonts w:ascii="Arial" w:hAnsi="Arial" w:cs="Arial"/>
          <w:sz w:val="24"/>
          <w:szCs w:val="24"/>
        </w:rPr>
        <w:t xml:space="preserve"> </w:t>
      </w:r>
      <w:r w:rsidR="004819B9" w:rsidRPr="00F01561">
        <w:rPr>
          <w:rFonts w:ascii="Arial" w:hAnsi="Arial" w:cs="Arial"/>
          <w:sz w:val="24"/>
          <w:szCs w:val="24"/>
        </w:rPr>
        <w:t>(“CPA”), was read into the record, the Appellant indicated that it was not his intention to assault the complainant.  The court</w:t>
      </w:r>
      <w:r w:rsidR="002A3037" w:rsidRPr="00F01561">
        <w:rPr>
          <w:rFonts w:ascii="Arial" w:hAnsi="Arial" w:cs="Arial"/>
          <w:sz w:val="24"/>
          <w:szCs w:val="24"/>
        </w:rPr>
        <w:t xml:space="preserve"> thereafter</w:t>
      </w:r>
      <w:r w:rsidR="004819B9" w:rsidRPr="00F01561">
        <w:rPr>
          <w:rFonts w:ascii="Arial" w:hAnsi="Arial" w:cs="Arial"/>
          <w:sz w:val="24"/>
          <w:szCs w:val="24"/>
        </w:rPr>
        <w:t xml:space="preserve"> applied the S</w:t>
      </w:r>
      <w:r w:rsidR="00917137" w:rsidRPr="00F01561">
        <w:rPr>
          <w:rFonts w:ascii="Arial" w:hAnsi="Arial" w:cs="Arial"/>
          <w:sz w:val="24"/>
          <w:szCs w:val="24"/>
        </w:rPr>
        <w:t>ection 113 of the CPA and changed the Appellant’s plea to one</w:t>
      </w:r>
      <w:r w:rsidR="004819B9" w:rsidRPr="00F01561">
        <w:rPr>
          <w:rFonts w:ascii="Arial" w:hAnsi="Arial" w:cs="Arial"/>
          <w:sz w:val="24"/>
          <w:szCs w:val="24"/>
        </w:rPr>
        <w:t xml:space="preserve"> of not guilty.</w:t>
      </w:r>
      <w:r w:rsidR="00FF5B77" w:rsidRPr="00F01561">
        <w:rPr>
          <w:rFonts w:ascii="Arial" w:hAnsi="Arial" w:cs="Arial"/>
          <w:sz w:val="24"/>
          <w:szCs w:val="24"/>
        </w:rPr>
        <w:t xml:space="preserve"> </w:t>
      </w:r>
      <w:r w:rsidR="00EE72D3" w:rsidRPr="00F01561">
        <w:rPr>
          <w:rFonts w:ascii="Arial" w:hAnsi="Arial" w:cs="Arial"/>
          <w:sz w:val="24"/>
          <w:szCs w:val="24"/>
        </w:rPr>
        <w:t>T</w:t>
      </w:r>
      <w:r w:rsidR="00FF5B77" w:rsidRPr="00F01561">
        <w:rPr>
          <w:rFonts w:ascii="Arial" w:hAnsi="Arial" w:cs="Arial"/>
          <w:sz w:val="24"/>
          <w:szCs w:val="24"/>
        </w:rPr>
        <w:t xml:space="preserve">he court, after hearing the </w:t>
      </w:r>
      <w:r w:rsidR="00FF5B77" w:rsidRPr="00F01561">
        <w:rPr>
          <w:rFonts w:ascii="Arial" w:hAnsi="Arial" w:cs="Arial"/>
          <w:i/>
          <w:sz w:val="24"/>
          <w:szCs w:val="24"/>
        </w:rPr>
        <w:t>viva voce</w:t>
      </w:r>
      <w:r w:rsidR="00FF5B77" w:rsidRPr="00F01561">
        <w:rPr>
          <w:rFonts w:ascii="Arial" w:hAnsi="Arial" w:cs="Arial"/>
          <w:sz w:val="24"/>
          <w:szCs w:val="24"/>
        </w:rPr>
        <w:t xml:space="preserve"> evidence of the complainant, th</w:t>
      </w:r>
      <w:r w:rsidR="00E43D74" w:rsidRPr="00F01561">
        <w:rPr>
          <w:rFonts w:ascii="Arial" w:hAnsi="Arial" w:cs="Arial"/>
          <w:sz w:val="24"/>
          <w:szCs w:val="24"/>
        </w:rPr>
        <w:t>e medical doctor and the Appellant</w:t>
      </w:r>
      <w:r w:rsidR="00FF5B77" w:rsidRPr="00F01561">
        <w:rPr>
          <w:rFonts w:ascii="Arial" w:hAnsi="Arial" w:cs="Arial"/>
          <w:sz w:val="24"/>
          <w:szCs w:val="24"/>
        </w:rPr>
        <w:t xml:space="preserve">, </w:t>
      </w:r>
      <w:r w:rsidR="00E43D74" w:rsidRPr="00F01561">
        <w:rPr>
          <w:rFonts w:ascii="Arial" w:hAnsi="Arial" w:cs="Arial"/>
          <w:sz w:val="24"/>
          <w:szCs w:val="24"/>
        </w:rPr>
        <w:t>found the Appellant guilty of at</w:t>
      </w:r>
      <w:r w:rsidR="00FA6D85" w:rsidRPr="00F01561">
        <w:rPr>
          <w:rFonts w:ascii="Arial" w:hAnsi="Arial" w:cs="Arial"/>
          <w:sz w:val="24"/>
          <w:szCs w:val="24"/>
        </w:rPr>
        <w:t>tempted murder</w:t>
      </w:r>
      <w:r w:rsidR="00FD429D" w:rsidRPr="00F01561">
        <w:rPr>
          <w:rFonts w:ascii="Arial" w:hAnsi="Arial" w:cs="Arial"/>
          <w:sz w:val="24"/>
          <w:szCs w:val="24"/>
        </w:rPr>
        <w:t xml:space="preserve">. </w:t>
      </w:r>
    </w:p>
    <w:p w:rsidR="007108EE" w:rsidRDefault="007108EE" w:rsidP="006F3AF3">
      <w:pPr>
        <w:pStyle w:val="ListParagraph"/>
        <w:spacing w:line="480" w:lineRule="auto"/>
        <w:ind w:left="0"/>
        <w:jc w:val="both"/>
        <w:rPr>
          <w:rFonts w:ascii="Arial" w:hAnsi="Arial" w:cs="Arial"/>
          <w:b/>
          <w:sz w:val="24"/>
          <w:szCs w:val="24"/>
        </w:rPr>
      </w:pPr>
    </w:p>
    <w:p w:rsidR="00D76BA5" w:rsidRDefault="00D76BA5" w:rsidP="006F3AF3">
      <w:pPr>
        <w:pStyle w:val="ListParagraph"/>
        <w:spacing w:line="480" w:lineRule="auto"/>
        <w:ind w:left="0"/>
        <w:jc w:val="both"/>
        <w:rPr>
          <w:rFonts w:ascii="Arial" w:hAnsi="Arial" w:cs="Arial"/>
          <w:b/>
          <w:sz w:val="24"/>
          <w:szCs w:val="24"/>
        </w:rPr>
      </w:pPr>
    </w:p>
    <w:p w:rsidR="006F3AF3" w:rsidRPr="006F3AF3" w:rsidRDefault="00875156" w:rsidP="006F3AF3">
      <w:pPr>
        <w:pStyle w:val="ListParagraph"/>
        <w:spacing w:line="480" w:lineRule="auto"/>
        <w:ind w:left="0"/>
        <w:jc w:val="both"/>
        <w:rPr>
          <w:rFonts w:ascii="Arial" w:hAnsi="Arial" w:cs="Arial"/>
          <w:sz w:val="24"/>
          <w:szCs w:val="24"/>
        </w:rPr>
      </w:pPr>
      <w:r>
        <w:rPr>
          <w:rFonts w:ascii="Arial" w:hAnsi="Arial" w:cs="Arial"/>
          <w:b/>
          <w:sz w:val="24"/>
          <w:szCs w:val="24"/>
        </w:rPr>
        <w:t>The incident</w:t>
      </w:r>
    </w:p>
    <w:p w:rsidR="00875156" w:rsidRPr="00F01561" w:rsidRDefault="00F01561" w:rsidP="00F01561">
      <w:pPr>
        <w:tabs>
          <w:tab w:val="left" w:pos="657"/>
        </w:tabs>
        <w:spacing w:line="480" w:lineRule="auto"/>
        <w:ind w:left="9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7108EE" w:rsidRPr="00F01561">
        <w:rPr>
          <w:rFonts w:ascii="Arial" w:hAnsi="Arial" w:cs="Arial"/>
          <w:sz w:val="24"/>
          <w:szCs w:val="24"/>
        </w:rPr>
        <w:t>T</w:t>
      </w:r>
      <w:r w:rsidR="0051208C" w:rsidRPr="00F01561">
        <w:rPr>
          <w:rFonts w:ascii="Arial" w:hAnsi="Arial" w:cs="Arial"/>
          <w:sz w:val="24"/>
          <w:szCs w:val="24"/>
        </w:rPr>
        <w:t>he factual matrix of the incident</w:t>
      </w:r>
      <w:r w:rsidR="007108EE" w:rsidRPr="00F01561">
        <w:rPr>
          <w:rFonts w:ascii="Arial" w:hAnsi="Arial" w:cs="Arial"/>
          <w:sz w:val="24"/>
          <w:szCs w:val="24"/>
        </w:rPr>
        <w:t>, upon which the Appellant was convicted</w:t>
      </w:r>
      <w:r w:rsidR="0051208C" w:rsidRPr="00F01561">
        <w:rPr>
          <w:rFonts w:ascii="Arial" w:hAnsi="Arial" w:cs="Arial"/>
          <w:sz w:val="24"/>
          <w:szCs w:val="24"/>
        </w:rPr>
        <w:t xml:space="preserve"> can be summarised as follows. </w:t>
      </w:r>
      <w:r w:rsidR="00127F3D" w:rsidRPr="00F01561">
        <w:rPr>
          <w:rFonts w:ascii="Arial" w:hAnsi="Arial" w:cs="Arial"/>
          <w:sz w:val="24"/>
          <w:szCs w:val="24"/>
        </w:rPr>
        <w:t>The complainant went over to Michelle’s house looking for her</w:t>
      </w:r>
      <w:r w:rsidR="007108EE" w:rsidRPr="00F01561">
        <w:rPr>
          <w:rFonts w:ascii="Arial" w:hAnsi="Arial" w:cs="Arial"/>
          <w:sz w:val="24"/>
          <w:szCs w:val="24"/>
        </w:rPr>
        <w:t xml:space="preserve"> as he wanted to give her money for food</w:t>
      </w:r>
      <w:r w:rsidR="00127F3D" w:rsidRPr="00F01561">
        <w:rPr>
          <w:rFonts w:ascii="Arial" w:hAnsi="Arial" w:cs="Arial"/>
          <w:sz w:val="24"/>
          <w:szCs w:val="24"/>
        </w:rPr>
        <w:t>. He enquired from the Appellant where she was. The Appellant</w:t>
      </w:r>
      <w:r w:rsidR="007108EE" w:rsidRPr="00F01561">
        <w:rPr>
          <w:rFonts w:ascii="Arial" w:hAnsi="Arial" w:cs="Arial"/>
          <w:sz w:val="24"/>
          <w:szCs w:val="24"/>
        </w:rPr>
        <w:t xml:space="preserve"> informed him that Michelle was not home,</w:t>
      </w:r>
      <w:r w:rsidR="00127F3D" w:rsidRPr="00F01561">
        <w:rPr>
          <w:rFonts w:ascii="Arial" w:hAnsi="Arial" w:cs="Arial"/>
          <w:sz w:val="24"/>
          <w:szCs w:val="24"/>
        </w:rPr>
        <w:t xml:space="preserve"> swore at the complainant and called him a “moffie”. The complainant </w:t>
      </w:r>
      <w:r w:rsidR="007108EE" w:rsidRPr="00F01561">
        <w:rPr>
          <w:rFonts w:ascii="Arial" w:hAnsi="Arial" w:cs="Arial"/>
          <w:sz w:val="24"/>
          <w:szCs w:val="24"/>
        </w:rPr>
        <w:t>whilst walking away</w:t>
      </w:r>
      <w:r w:rsidR="004204D6" w:rsidRPr="00F01561">
        <w:rPr>
          <w:rFonts w:ascii="Arial" w:hAnsi="Arial" w:cs="Arial"/>
          <w:sz w:val="24"/>
          <w:szCs w:val="24"/>
        </w:rPr>
        <w:t>,</w:t>
      </w:r>
      <w:r w:rsidR="007108EE" w:rsidRPr="00F01561">
        <w:rPr>
          <w:rFonts w:ascii="Arial" w:hAnsi="Arial" w:cs="Arial"/>
          <w:sz w:val="24"/>
          <w:szCs w:val="24"/>
        </w:rPr>
        <w:t xml:space="preserve"> </w:t>
      </w:r>
      <w:r w:rsidR="004204D6" w:rsidRPr="00F01561">
        <w:rPr>
          <w:rFonts w:ascii="Arial" w:hAnsi="Arial" w:cs="Arial"/>
          <w:sz w:val="24"/>
          <w:szCs w:val="24"/>
        </w:rPr>
        <w:t xml:space="preserve">was struck </w:t>
      </w:r>
      <w:r w:rsidR="007108EE" w:rsidRPr="00F01561">
        <w:rPr>
          <w:rFonts w:ascii="Arial" w:hAnsi="Arial" w:cs="Arial"/>
          <w:sz w:val="24"/>
          <w:szCs w:val="24"/>
        </w:rPr>
        <w:t xml:space="preserve">over </w:t>
      </w:r>
      <w:r w:rsidR="00127F3D" w:rsidRPr="00F01561">
        <w:rPr>
          <w:rFonts w:ascii="Arial" w:hAnsi="Arial" w:cs="Arial"/>
          <w:sz w:val="24"/>
          <w:szCs w:val="24"/>
        </w:rPr>
        <w:t>the head</w:t>
      </w:r>
      <w:r w:rsidR="004204D6" w:rsidRPr="00F01561">
        <w:rPr>
          <w:rFonts w:ascii="Arial" w:hAnsi="Arial" w:cs="Arial"/>
          <w:sz w:val="24"/>
          <w:szCs w:val="24"/>
        </w:rPr>
        <w:t xml:space="preserve"> once</w:t>
      </w:r>
      <w:r w:rsidR="00127F3D" w:rsidRPr="00F01561">
        <w:rPr>
          <w:rFonts w:ascii="Arial" w:hAnsi="Arial" w:cs="Arial"/>
          <w:sz w:val="24"/>
          <w:szCs w:val="24"/>
        </w:rPr>
        <w:t xml:space="preserve"> with a panga</w:t>
      </w:r>
      <w:r w:rsidR="007108EE" w:rsidRPr="00F01561">
        <w:rPr>
          <w:rFonts w:ascii="Arial" w:hAnsi="Arial" w:cs="Arial"/>
          <w:sz w:val="24"/>
          <w:szCs w:val="24"/>
        </w:rPr>
        <w:t xml:space="preserve"> by the Appellant</w:t>
      </w:r>
      <w:r w:rsidR="00127F3D" w:rsidRPr="00F01561">
        <w:rPr>
          <w:rFonts w:ascii="Arial" w:hAnsi="Arial" w:cs="Arial"/>
          <w:sz w:val="24"/>
          <w:szCs w:val="24"/>
        </w:rPr>
        <w:t xml:space="preserve">. </w:t>
      </w:r>
      <w:r w:rsidR="007108EE" w:rsidRPr="00F01561">
        <w:rPr>
          <w:rFonts w:ascii="Arial" w:hAnsi="Arial" w:cs="Arial"/>
          <w:sz w:val="24"/>
          <w:szCs w:val="24"/>
        </w:rPr>
        <w:t xml:space="preserve">The Appellant </w:t>
      </w:r>
      <w:r w:rsidR="00127F3D" w:rsidRPr="00F01561">
        <w:rPr>
          <w:rFonts w:ascii="Arial" w:hAnsi="Arial" w:cs="Arial"/>
          <w:sz w:val="24"/>
          <w:szCs w:val="24"/>
        </w:rPr>
        <w:t>was thereafter taken to Groote Schuur</w:t>
      </w:r>
      <w:r w:rsidR="00875156" w:rsidRPr="00F01561">
        <w:rPr>
          <w:rFonts w:ascii="Arial" w:hAnsi="Arial" w:cs="Arial"/>
          <w:sz w:val="24"/>
          <w:szCs w:val="24"/>
        </w:rPr>
        <w:t xml:space="preserve"> where he underwent an emergency operation.</w:t>
      </w:r>
    </w:p>
    <w:p w:rsidR="00875156" w:rsidRDefault="00875156" w:rsidP="00875156">
      <w:pPr>
        <w:pStyle w:val="ListParagraph"/>
        <w:spacing w:line="480" w:lineRule="auto"/>
        <w:ind w:left="0"/>
        <w:jc w:val="both"/>
        <w:rPr>
          <w:rFonts w:ascii="Arial" w:hAnsi="Arial" w:cs="Arial"/>
          <w:b/>
          <w:sz w:val="24"/>
          <w:szCs w:val="24"/>
        </w:rPr>
      </w:pPr>
    </w:p>
    <w:p w:rsidR="00D76BA5" w:rsidRDefault="00D76BA5" w:rsidP="00875156">
      <w:pPr>
        <w:pStyle w:val="ListParagraph"/>
        <w:spacing w:line="480" w:lineRule="auto"/>
        <w:ind w:left="0"/>
        <w:jc w:val="both"/>
        <w:rPr>
          <w:rFonts w:ascii="Arial" w:hAnsi="Arial" w:cs="Arial"/>
          <w:b/>
          <w:sz w:val="24"/>
          <w:szCs w:val="24"/>
        </w:rPr>
      </w:pPr>
    </w:p>
    <w:p w:rsidR="00875156" w:rsidRPr="009B10EC" w:rsidRDefault="00F54F7C" w:rsidP="00875156">
      <w:pPr>
        <w:pStyle w:val="ListParagraph"/>
        <w:spacing w:line="480" w:lineRule="auto"/>
        <w:ind w:left="0"/>
        <w:jc w:val="both"/>
        <w:rPr>
          <w:rFonts w:ascii="Arial" w:hAnsi="Arial" w:cs="Arial"/>
          <w:b/>
          <w:sz w:val="24"/>
          <w:szCs w:val="24"/>
        </w:rPr>
      </w:pPr>
      <w:r>
        <w:rPr>
          <w:rFonts w:ascii="Arial" w:hAnsi="Arial" w:cs="Arial"/>
          <w:b/>
          <w:sz w:val="24"/>
          <w:szCs w:val="24"/>
        </w:rPr>
        <w:t>Summary of the address</w:t>
      </w:r>
      <w:r w:rsidR="00875156">
        <w:rPr>
          <w:rFonts w:ascii="Arial" w:hAnsi="Arial" w:cs="Arial"/>
          <w:b/>
          <w:sz w:val="24"/>
          <w:szCs w:val="24"/>
        </w:rPr>
        <w:t xml:space="preserve"> on Sentence</w:t>
      </w:r>
    </w:p>
    <w:p w:rsidR="007D3226" w:rsidRPr="00F01561" w:rsidRDefault="00F01561" w:rsidP="00F01561">
      <w:pPr>
        <w:tabs>
          <w:tab w:val="left" w:pos="657"/>
        </w:tabs>
        <w:spacing w:line="480" w:lineRule="auto"/>
        <w:ind w:left="9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047954" w:rsidRPr="00F01561">
        <w:rPr>
          <w:rFonts w:ascii="Arial" w:hAnsi="Arial" w:cs="Arial"/>
          <w:sz w:val="24"/>
          <w:szCs w:val="24"/>
        </w:rPr>
        <w:t xml:space="preserve">The Appellant’s legal representative placed </w:t>
      </w:r>
      <w:r w:rsidR="007D3226" w:rsidRPr="00F01561">
        <w:rPr>
          <w:rFonts w:ascii="Arial" w:hAnsi="Arial" w:cs="Arial"/>
          <w:sz w:val="24"/>
          <w:szCs w:val="24"/>
        </w:rPr>
        <w:t xml:space="preserve">the Appellants personal circumstances </w:t>
      </w:r>
      <w:r w:rsidR="00047954" w:rsidRPr="00F01561">
        <w:rPr>
          <w:rFonts w:ascii="Arial" w:hAnsi="Arial" w:cs="Arial"/>
          <w:sz w:val="24"/>
          <w:szCs w:val="24"/>
        </w:rPr>
        <w:t>on record</w:t>
      </w:r>
      <w:r w:rsidR="007D3226" w:rsidRPr="00F01561">
        <w:rPr>
          <w:rFonts w:ascii="Arial" w:hAnsi="Arial" w:cs="Arial"/>
          <w:sz w:val="24"/>
          <w:szCs w:val="24"/>
        </w:rPr>
        <w:t>, namely</w:t>
      </w:r>
      <w:r w:rsidR="00047954" w:rsidRPr="00F01561">
        <w:rPr>
          <w:rFonts w:ascii="Arial" w:hAnsi="Arial" w:cs="Arial"/>
          <w:sz w:val="24"/>
          <w:szCs w:val="24"/>
        </w:rPr>
        <w:t xml:space="preserve"> that he w</w:t>
      </w:r>
      <w:r w:rsidR="007D3226" w:rsidRPr="00F01561">
        <w:rPr>
          <w:rFonts w:ascii="Arial" w:hAnsi="Arial" w:cs="Arial"/>
          <w:sz w:val="24"/>
          <w:szCs w:val="24"/>
        </w:rPr>
        <w:t xml:space="preserve">as a 26 years old, unmarried and had </w:t>
      </w:r>
      <w:r w:rsidR="00047954" w:rsidRPr="00F01561">
        <w:rPr>
          <w:rFonts w:ascii="Arial" w:hAnsi="Arial" w:cs="Arial"/>
          <w:sz w:val="24"/>
          <w:szCs w:val="24"/>
        </w:rPr>
        <w:lastRenderedPageBreak/>
        <w:t>passed grade 8 at school. The Appellant was unemployed at the time with no dependents. He was residing with his mother.</w:t>
      </w:r>
      <w:r w:rsidR="007D3226" w:rsidRPr="00F01561">
        <w:rPr>
          <w:rFonts w:ascii="Arial" w:hAnsi="Arial" w:cs="Arial"/>
          <w:sz w:val="24"/>
          <w:szCs w:val="24"/>
        </w:rPr>
        <w:t xml:space="preserve"> </w:t>
      </w:r>
    </w:p>
    <w:p w:rsidR="00875156" w:rsidRPr="00F01561" w:rsidRDefault="00F01561" w:rsidP="00F01561">
      <w:pPr>
        <w:tabs>
          <w:tab w:val="left" w:pos="657"/>
        </w:tabs>
        <w:spacing w:line="480" w:lineRule="auto"/>
        <w:ind w:left="9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7D3226" w:rsidRPr="00F01561">
        <w:rPr>
          <w:rFonts w:ascii="Arial" w:hAnsi="Arial" w:cs="Arial"/>
          <w:sz w:val="24"/>
          <w:szCs w:val="24"/>
        </w:rPr>
        <w:t>It was further pla</w:t>
      </w:r>
      <w:r w:rsidR="00D13298" w:rsidRPr="00F01561">
        <w:rPr>
          <w:rFonts w:ascii="Arial" w:hAnsi="Arial" w:cs="Arial"/>
          <w:sz w:val="24"/>
          <w:szCs w:val="24"/>
        </w:rPr>
        <w:t>ced on record that the incident was not premeditated. Submissions pertaining to</w:t>
      </w:r>
      <w:r w:rsidR="00BD0AF6" w:rsidRPr="00F01561">
        <w:rPr>
          <w:rFonts w:ascii="Arial" w:hAnsi="Arial" w:cs="Arial"/>
          <w:sz w:val="24"/>
          <w:szCs w:val="24"/>
        </w:rPr>
        <w:t xml:space="preserve"> the</w:t>
      </w:r>
      <w:r w:rsidR="00D13298" w:rsidRPr="00F01561">
        <w:rPr>
          <w:rFonts w:ascii="Arial" w:hAnsi="Arial" w:cs="Arial"/>
          <w:sz w:val="24"/>
          <w:szCs w:val="24"/>
        </w:rPr>
        <w:t xml:space="preserve"> rights of the accused and the victim were made with a view to reminding the court to ensure that a balance is maintained and that justice is done when imposing an appropriate sentence.</w:t>
      </w:r>
      <w:r w:rsidR="00BD0AF6" w:rsidRPr="00F01561">
        <w:rPr>
          <w:rFonts w:ascii="Arial" w:hAnsi="Arial" w:cs="Arial"/>
          <w:sz w:val="24"/>
          <w:szCs w:val="24"/>
        </w:rPr>
        <w:t xml:space="preserve"> It was conceded that the offence was serious</w:t>
      </w:r>
      <w:r w:rsidR="002C31E0" w:rsidRPr="00F01561">
        <w:rPr>
          <w:rFonts w:ascii="Arial" w:hAnsi="Arial" w:cs="Arial"/>
          <w:sz w:val="24"/>
          <w:szCs w:val="24"/>
        </w:rPr>
        <w:t xml:space="preserve">. </w:t>
      </w:r>
      <w:r w:rsidR="00D13298" w:rsidRPr="00F01561">
        <w:rPr>
          <w:rFonts w:ascii="Arial" w:hAnsi="Arial" w:cs="Arial"/>
          <w:sz w:val="24"/>
          <w:szCs w:val="24"/>
        </w:rPr>
        <w:t>The court was implored to consider a sentence that would allow the Appellant to rehabilitate in the c</w:t>
      </w:r>
      <w:r w:rsidR="00BD0AF6" w:rsidRPr="00F01561">
        <w:rPr>
          <w:rFonts w:ascii="Arial" w:hAnsi="Arial" w:cs="Arial"/>
          <w:sz w:val="24"/>
          <w:szCs w:val="24"/>
        </w:rPr>
        <w:t>ommunity, notwithstanding his one relevant previous conviction</w:t>
      </w:r>
      <w:r w:rsidR="002C31E0" w:rsidRPr="00F01561">
        <w:rPr>
          <w:rFonts w:ascii="Arial" w:hAnsi="Arial" w:cs="Arial"/>
          <w:sz w:val="24"/>
          <w:szCs w:val="24"/>
        </w:rPr>
        <w:t>.</w:t>
      </w:r>
    </w:p>
    <w:p w:rsidR="00D76BA5" w:rsidRDefault="00D76BA5" w:rsidP="00D76BA5">
      <w:pPr>
        <w:pStyle w:val="ListParagraph"/>
        <w:tabs>
          <w:tab w:val="left" w:pos="720"/>
        </w:tabs>
        <w:spacing w:line="480" w:lineRule="auto"/>
        <w:ind w:left="0"/>
        <w:jc w:val="both"/>
        <w:rPr>
          <w:rFonts w:ascii="Arial" w:hAnsi="Arial" w:cs="Arial"/>
          <w:sz w:val="24"/>
          <w:szCs w:val="24"/>
        </w:rPr>
      </w:pPr>
    </w:p>
    <w:p w:rsidR="002C31E0" w:rsidRPr="002C31E0" w:rsidRDefault="002C31E0" w:rsidP="002C31E0">
      <w:pPr>
        <w:pStyle w:val="ListParagraph"/>
        <w:rPr>
          <w:rFonts w:ascii="Arial" w:hAnsi="Arial" w:cs="Arial"/>
          <w:sz w:val="24"/>
          <w:szCs w:val="24"/>
        </w:rPr>
      </w:pPr>
    </w:p>
    <w:p w:rsidR="002C31E0" w:rsidRPr="00F01561" w:rsidRDefault="00F01561" w:rsidP="00F01561">
      <w:pPr>
        <w:tabs>
          <w:tab w:val="left" w:pos="657"/>
        </w:tabs>
        <w:spacing w:line="480" w:lineRule="auto"/>
        <w:ind w:left="90"/>
        <w:jc w:val="both"/>
        <w:rPr>
          <w:rFonts w:ascii="Arial" w:hAnsi="Arial" w:cs="Arial"/>
          <w:sz w:val="24"/>
          <w:szCs w:val="24"/>
        </w:rPr>
      </w:pPr>
      <w:r w:rsidRPr="00875156">
        <w:rPr>
          <w:rFonts w:ascii="Arial" w:hAnsi="Arial" w:cs="Arial"/>
          <w:sz w:val="24"/>
          <w:szCs w:val="24"/>
        </w:rPr>
        <w:t xml:space="preserve">[6]     </w:t>
      </w:r>
      <w:r w:rsidRPr="00875156">
        <w:rPr>
          <w:rFonts w:ascii="Arial" w:hAnsi="Arial" w:cs="Arial"/>
          <w:sz w:val="24"/>
          <w:szCs w:val="24"/>
        </w:rPr>
        <w:tab/>
      </w:r>
      <w:r w:rsidR="00782A52" w:rsidRPr="00F01561">
        <w:rPr>
          <w:rFonts w:ascii="Arial" w:hAnsi="Arial" w:cs="Arial"/>
          <w:sz w:val="24"/>
          <w:szCs w:val="24"/>
        </w:rPr>
        <w:t>The prosecution emphasised</w:t>
      </w:r>
      <w:r w:rsidR="002C31E0" w:rsidRPr="00F01561">
        <w:rPr>
          <w:rFonts w:ascii="Arial" w:hAnsi="Arial" w:cs="Arial"/>
          <w:sz w:val="24"/>
          <w:szCs w:val="24"/>
        </w:rPr>
        <w:t xml:space="preserve"> the</w:t>
      </w:r>
      <w:r w:rsidR="00782A52" w:rsidRPr="00F01561">
        <w:rPr>
          <w:rFonts w:ascii="Arial" w:hAnsi="Arial" w:cs="Arial"/>
          <w:sz w:val="24"/>
          <w:szCs w:val="24"/>
        </w:rPr>
        <w:t xml:space="preserve"> unprovoked nature and seriousness of the offence which culminated in the complainant ending up in hospital and had it not been for the swift medical intervention</w:t>
      </w:r>
      <w:r w:rsidR="001F0371" w:rsidRPr="00F01561">
        <w:rPr>
          <w:rFonts w:ascii="Arial" w:hAnsi="Arial" w:cs="Arial"/>
          <w:sz w:val="24"/>
          <w:szCs w:val="24"/>
        </w:rPr>
        <w:t>,</w:t>
      </w:r>
      <w:r w:rsidR="00782A52" w:rsidRPr="00F01561">
        <w:rPr>
          <w:rFonts w:ascii="Arial" w:hAnsi="Arial" w:cs="Arial"/>
          <w:sz w:val="24"/>
          <w:szCs w:val="24"/>
        </w:rPr>
        <w:t xml:space="preserve"> the possibility existed that the complainant could have succumbed to his injuries. </w:t>
      </w:r>
      <w:r w:rsidR="001F0371" w:rsidRPr="00F01561">
        <w:rPr>
          <w:rFonts w:ascii="Arial" w:hAnsi="Arial" w:cs="Arial"/>
          <w:sz w:val="24"/>
          <w:szCs w:val="24"/>
        </w:rPr>
        <w:t xml:space="preserve">It was also </w:t>
      </w:r>
      <w:r w:rsidR="00782A52" w:rsidRPr="00F01561">
        <w:rPr>
          <w:rFonts w:ascii="Arial" w:hAnsi="Arial" w:cs="Arial"/>
          <w:sz w:val="24"/>
          <w:szCs w:val="24"/>
        </w:rPr>
        <w:t xml:space="preserve">highlighted </w:t>
      </w:r>
      <w:r w:rsidR="00F60B3E" w:rsidRPr="00F01561">
        <w:rPr>
          <w:rFonts w:ascii="Arial" w:hAnsi="Arial" w:cs="Arial"/>
          <w:sz w:val="24"/>
          <w:szCs w:val="24"/>
        </w:rPr>
        <w:t xml:space="preserve">that </w:t>
      </w:r>
      <w:r w:rsidR="00782A52" w:rsidRPr="00F01561">
        <w:rPr>
          <w:rFonts w:ascii="Arial" w:hAnsi="Arial" w:cs="Arial"/>
          <w:sz w:val="24"/>
          <w:szCs w:val="24"/>
        </w:rPr>
        <w:t>the concession by the Appellant that he felt humiliated</w:t>
      </w:r>
      <w:r w:rsidR="001F0371" w:rsidRPr="00F01561">
        <w:rPr>
          <w:rFonts w:ascii="Arial" w:hAnsi="Arial" w:cs="Arial"/>
          <w:sz w:val="24"/>
          <w:szCs w:val="24"/>
        </w:rPr>
        <w:t xml:space="preserve"> should be viewed as an aggravating</w:t>
      </w:r>
      <w:r w:rsidR="00782A52" w:rsidRPr="00F01561">
        <w:rPr>
          <w:rFonts w:ascii="Arial" w:hAnsi="Arial" w:cs="Arial"/>
          <w:sz w:val="24"/>
          <w:szCs w:val="24"/>
        </w:rPr>
        <w:t xml:space="preserve">. It was mooted that if someone could so easily have been humiliated, such person does not belong in the community and that society in general should be protected from people such as the Appellant. </w:t>
      </w:r>
      <w:r w:rsidR="001F0371" w:rsidRPr="00F01561">
        <w:rPr>
          <w:rFonts w:ascii="Arial" w:hAnsi="Arial" w:cs="Arial"/>
          <w:sz w:val="24"/>
          <w:szCs w:val="24"/>
        </w:rPr>
        <w:t>The Prosecution also contended that the Appellant was not deterred by the condition of his one relevant previous conviction and as such he is not suitable to be rehabilitated in the community and requested the court to impose a lengthy custodial sentence n</w:t>
      </w:r>
      <w:r w:rsidR="00845346" w:rsidRPr="00F01561">
        <w:rPr>
          <w:rFonts w:ascii="Arial" w:hAnsi="Arial" w:cs="Arial"/>
          <w:sz w:val="24"/>
          <w:szCs w:val="24"/>
        </w:rPr>
        <w:t>ot shorter than 7</w:t>
      </w:r>
      <w:r w:rsidR="001F0371" w:rsidRPr="00F01561">
        <w:rPr>
          <w:rFonts w:ascii="Arial" w:hAnsi="Arial" w:cs="Arial"/>
          <w:sz w:val="24"/>
          <w:szCs w:val="24"/>
        </w:rPr>
        <w:t xml:space="preserve"> years.</w:t>
      </w:r>
    </w:p>
    <w:p w:rsidR="00FD52C8" w:rsidRPr="00FD52C8" w:rsidRDefault="00FD52C8" w:rsidP="00FD52C8">
      <w:pPr>
        <w:pStyle w:val="ListParagraph"/>
        <w:rPr>
          <w:rFonts w:ascii="Arial" w:hAnsi="Arial" w:cs="Arial"/>
          <w:sz w:val="24"/>
          <w:szCs w:val="24"/>
        </w:rPr>
      </w:pPr>
    </w:p>
    <w:p w:rsidR="006E5247" w:rsidRDefault="006E5247" w:rsidP="00875156">
      <w:pPr>
        <w:pStyle w:val="ListParagraph"/>
        <w:spacing w:line="480" w:lineRule="auto"/>
        <w:ind w:left="0"/>
        <w:jc w:val="both"/>
        <w:rPr>
          <w:rFonts w:ascii="Arial" w:hAnsi="Arial" w:cs="Arial"/>
          <w:b/>
          <w:sz w:val="24"/>
          <w:szCs w:val="24"/>
        </w:rPr>
      </w:pPr>
    </w:p>
    <w:p w:rsidR="00917E0B" w:rsidRPr="00875156" w:rsidRDefault="00FD52C8" w:rsidP="00875156">
      <w:pPr>
        <w:pStyle w:val="ListParagraph"/>
        <w:spacing w:line="480" w:lineRule="auto"/>
        <w:ind w:left="0"/>
        <w:jc w:val="both"/>
        <w:rPr>
          <w:rFonts w:ascii="Arial" w:hAnsi="Arial" w:cs="Arial"/>
          <w:b/>
          <w:sz w:val="24"/>
          <w:szCs w:val="24"/>
        </w:rPr>
      </w:pPr>
      <w:r>
        <w:rPr>
          <w:rFonts w:ascii="Arial" w:hAnsi="Arial" w:cs="Arial"/>
          <w:b/>
          <w:sz w:val="24"/>
          <w:szCs w:val="24"/>
        </w:rPr>
        <w:t>Grounds of Appeal on Sentence</w:t>
      </w:r>
    </w:p>
    <w:p w:rsidR="00917E0B" w:rsidRPr="00F01561" w:rsidRDefault="00F01561" w:rsidP="00F01561">
      <w:pPr>
        <w:tabs>
          <w:tab w:val="left" w:pos="657"/>
        </w:tabs>
        <w:spacing w:line="480" w:lineRule="auto"/>
        <w:ind w:left="90"/>
        <w:jc w:val="both"/>
        <w:rPr>
          <w:rFonts w:ascii="Arial" w:hAnsi="Arial" w:cs="Arial"/>
          <w:sz w:val="24"/>
          <w:szCs w:val="24"/>
        </w:rPr>
      </w:pPr>
      <w:r>
        <w:rPr>
          <w:rFonts w:ascii="Arial" w:hAnsi="Arial" w:cs="Arial"/>
          <w:sz w:val="24"/>
          <w:szCs w:val="24"/>
        </w:rPr>
        <w:lastRenderedPageBreak/>
        <w:t xml:space="preserve">[7]     </w:t>
      </w:r>
      <w:r>
        <w:rPr>
          <w:rFonts w:ascii="Arial" w:hAnsi="Arial" w:cs="Arial"/>
          <w:sz w:val="24"/>
          <w:szCs w:val="24"/>
        </w:rPr>
        <w:tab/>
      </w:r>
      <w:r w:rsidR="00FD52C8" w:rsidRPr="00F01561">
        <w:rPr>
          <w:rFonts w:ascii="Arial" w:hAnsi="Arial" w:cs="Arial"/>
          <w:sz w:val="24"/>
          <w:szCs w:val="24"/>
        </w:rPr>
        <w:t>T</w:t>
      </w:r>
      <w:r w:rsidR="00551E66" w:rsidRPr="00F01561">
        <w:rPr>
          <w:rFonts w:ascii="Arial" w:hAnsi="Arial" w:cs="Arial"/>
          <w:sz w:val="24"/>
          <w:szCs w:val="24"/>
        </w:rPr>
        <w:t>he Appellant contended</w:t>
      </w:r>
      <w:r w:rsidR="004366AC" w:rsidRPr="00F01561">
        <w:rPr>
          <w:rFonts w:ascii="Arial" w:hAnsi="Arial" w:cs="Arial"/>
          <w:sz w:val="24"/>
          <w:szCs w:val="24"/>
        </w:rPr>
        <w:t xml:space="preserve"> </w:t>
      </w:r>
      <w:r w:rsidR="004366AC" w:rsidRPr="00F01561">
        <w:rPr>
          <w:rFonts w:ascii="Arial" w:hAnsi="Arial" w:cs="Arial"/>
          <w:i/>
          <w:sz w:val="24"/>
          <w:szCs w:val="24"/>
        </w:rPr>
        <w:t>inter alia</w:t>
      </w:r>
      <w:r w:rsidR="00917E0B" w:rsidRPr="00F01561">
        <w:rPr>
          <w:rFonts w:ascii="Arial" w:hAnsi="Arial" w:cs="Arial"/>
          <w:sz w:val="24"/>
          <w:szCs w:val="24"/>
        </w:rPr>
        <w:t xml:space="preserve"> that the Court </w:t>
      </w:r>
      <w:r w:rsidR="00917E0B" w:rsidRPr="00F01561">
        <w:rPr>
          <w:rFonts w:ascii="Arial" w:hAnsi="Arial" w:cs="Arial"/>
          <w:i/>
          <w:sz w:val="24"/>
          <w:szCs w:val="24"/>
        </w:rPr>
        <w:t xml:space="preserve">a quo </w:t>
      </w:r>
      <w:r w:rsidR="004366AC" w:rsidRPr="00F01561">
        <w:rPr>
          <w:rFonts w:ascii="Arial" w:hAnsi="Arial" w:cs="Arial"/>
          <w:sz w:val="24"/>
          <w:szCs w:val="24"/>
        </w:rPr>
        <w:t>erred</w:t>
      </w:r>
      <w:r w:rsidR="00917E0B" w:rsidRPr="00F01561">
        <w:rPr>
          <w:rFonts w:ascii="Arial" w:hAnsi="Arial" w:cs="Arial"/>
          <w:sz w:val="24"/>
          <w:szCs w:val="24"/>
        </w:rPr>
        <w:t>:</w:t>
      </w:r>
    </w:p>
    <w:p w:rsidR="00917E0B" w:rsidRPr="00917E0B" w:rsidRDefault="00917E0B" w:rsidP="00917E0B">
      <w:pPr>
        <w:pStyle w:val="ListParagraph"/>
        <w:rPr>
          <w:rFonts w:ascii="Arial" w:hAnsi="Arial" w:cs="Arial"/>
          <w:sz w:val="24"/>
          <w:szCs w:val="24"/>
        </w:rPr>
      </w:pPr>
    </w:p>
    <w:p w:rsidR="00917E0B" w:rsidRPr="00F01561" w:rsidRDefault="00F01561" w:rsidP="00F01561">
      <w:pPr>
        <w:spacing w:line="48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366AC" w:rsidRPr="00F01561">
        <w:rPr>
          <w:rFonts w:ascii="Arial" w:hAnsi="Arial" w:cs="Arial"/>
          <w:sz w:val="24"/>
          <w:szCs w:val="24"/>
        </w:rPr>
        <w:t>in imposing a sentence that was not appropriately individualised to fit the crime, the Appellant and the circumstances of the case;</w:t>
      </w:r>
    </w:p>
    <w:p w:rsidR="004366AC" w:rsidRPr="00F01561" w:rsidRDefault="00F01561" w:rsidP="00F01561">
      <w:pPr>
        <w:spacing w:line="48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4366AC" w:rsidRPr="00F01561">
        <w:rPr>
          <w:rFonts w:ascii="Arial" w:hAnsi="Arial" w:cs="Arial"/>
          <w:sz w:val="24"/>
          <w:szCs w:val="24"/>
        </w:rPr>
        <w:t>in overemphasising the interest of society and the retributive consideration and took no consideration of the restorative aims of punishment;</w:t>
      </w:r>
    </w:p>
    <w:p w:rsidR="00712E52" w:rsidRPr="00F01561" w:rsidRDefault="00F01561" w:rsidP="00F01561">
      <w:pPr>
        <w:spacing w:line="48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712E52" w:rsidRPr="00F01561">
        <w:rPr>
          <w:rFonts w:ascii="Arial" w:hAnsi="Arial" w:cs="Arial"/>
          <w:sz w:val="24"/>
          <w:szCs w:val="24"/>
        </w:rPr>
        <w:t>by failing to inform itself of all the relevant factors needed to reach a balanced sentence, including factors that may reduce the severity of the crime;</w:t>
      </w:r>
    </w:p>
    <w:p w:rsidR="004366AC" w:rsidRPr="00F01561" w:rsidRDefault="00F01561" w:rsidP="00F01561">
      <w:pPr>
        <w:spacing w:line="480" w:lineRule="auto"/>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4366AC" w:rsidRPr="00F01561">
        <w:rPr>
          <w:rFonts w:ascii="Arial" w:hAnsi="Arial" w:cs="Arial"/>
          <w:sz w:val="24"/>
          <w:szCs w:val="24"/>
        </w:rPr>
        <w:t>in finding that long term direct imprisonment was the only appropriate sentence for the crime of attemp</w:t>
      </w:r>
      <w:r w:rsidR="005C0D6D" w:rsidRPr="00F01561">
        <w:rPr>
          <w:rFonts w:ascii="Arial" w:hAnsi="Arial" w:cs="Arial"/>
          <w:sz w:val="24"/>
          <w:szCs w:val="24"/>
        </w:rPr>
        <w:t>ted murder and not consid</w:t>
      </w:r>
      <w:r w:rsidR="00712E52" w:rsidRPr="00F01561">
        <w:rPr>
          <w:rFonts w:ascii="Arial" w:hAnsi="Arial" w:cs="Arial"/>
          <w:sz w:val="24"/>
          <w:szCs w:val="24"/>
        </w:rPr>
        <w:t>ering other forms of punishment and</w:t>
      </w:r>
    </w:p>
    <w:p w:rsidR="00047954" w:rsidRPr="00F01561" w:rsidRDefault="00F01561" w:rsidP="00F01561">
      <w:pPr>
        <w:spacing w:after="0" w:line="480" w:lineRule="auto"/>
        <w:ind w:left="720" w:hanging="360"/>
        <w:jc w:val="both"/>
        <w:rPr>
          <w:rFonts w:ascii="Arial" w:hAnsi="Arial" w:cs="Arial"/>
          <w:sz w:val="24"/>
          <w:szCs w:val="24"/>
        </w:rPr>
      </w:pPr>
      <w:r w:rsidRPr="009B7D3F">
        <w:rPr>
          <w:rFonts w:ascii="Arial" w:hAnsi="Arial" w:cs="Arial"/>
          <w:sz w:val="24"/>
          <w:szCs w:val="24"/>
        </w:rPr>
        <w:t>(e)</w:t>
      </w:r>
      <w:r w:rsidRPr="009B7D3F">
        <w:rPr>
          <w:rFonts w:ascii="Arial" w:hAnsi="Arial" w:cs="Arial"/>
          <w:sz w:val="24"/>
          <w:szCs w:val="24"/>
        </w:rPr>
        <w:tab/>
      </w:r>
      <w:r w:rsidR="00712E52" w:rsidRPr="00F01561">
        <w:rPr>
          <w:rFonts w:ascii="Arial" w:hAnsi="Arial" w:cs="Arial"/>
          <w:sz w:val="24"/>
          <w:szCs w:val="24"/>
        </w:rPr>
        <w:t>in finding that the attack was homophobic in nature.</w:t>
      </w:r>
    </w:p>
    <w:p w:rsidR="009B7D3F" w:rsidRDefault="009B7D3F" w:rsidP="009B7D3F">
      <w:pPr>
        <w:pStyle w:val="ListParagraph"/>
        <w:spacing w:after="0" w:line="480" w:lineRule="auto"/>
        <w:ind w:left="0"/>
        <w:jc w:val="both"/>
        <w:rPr>
          <w:rFonts w:ascii="Arial" w:hAnsi="Arial" w:cs="Arial"/>
          <w:b/>
          <w:sz w:val="24"/>
          <w:szCs w:val="24"/>
        </w:rPr>
      </w:pPr>
    </w:p>
    <w:p w:rsidR="00D76BA5" w:rsidRDefault="00D76BA5" w:rsidP="009B7D3F">
      <w:pPr>
        <w:pStyle w:val="ListParagraph"/>
        <w:spacing w:after="0" w:line="480" w:lineRule="auto"/>
        <w:ind w:left="0"/>
        <w:jc w:val="both"/>
        <w:rPr>
          <w:rFonts w:ascii="Arial" w:hAnsi="Arial" w:cs="Arial"/>
          <w:b/>
          <w:sz w:val="24"/>
          <w:szCs w:val="24"/>
        </w:rPr>
      </w:pPr>
    </w:p>
    <w:p w:rsidR="009B10EC" w:rsidRPr="009B10EC" w:rsidRDefault="009B10EC" w:rsidP="009B7D3F">
      <w:pPr>
        <w:pStyle w:val="ListParagraph"/>
        <w:spacing w:after="0" w:line="480" w:lineRule="auto"/>
        <w:ind w:left="0"/>
        <w:jc w:val="both"/>
        <w:rPr>
          <w:rFonts w:ascii="Arial" w:hAnsi="Arial" w:cs="Arial"/>
          <w:b/>
          <w:sz w:val="24"/>
          <w:szCs w:val="24"/>
        </w:rPr>
      </w:pPr>
      <w:r w:rsidRPr="009B10EC">
        <w:rPr>
          <w:rFonts w:ascii="Arial" w:hAnsi="Arial" w:cs="Arial"/>
          <w:b/>
          <w:sz w:val="24"/>
          <w:szCs w:val="24"/>
        </w:rPr>
        <w:t>Grounds for opposing appeal</w:t>
      </w:r>
    </w:p>
    <w:p w:rsidR="009B7D3F" w:rsidRPr="00F01561" w:rsidRDefault="00F01561" w:rsidP="00F01561">
      <w:pPr>
        <w:tabs>
          <w:tab w:val="left" w:pos="657"/>
        </w:tabs>
        <w:spacing w:after="0" w:line="480" w:lineRule="auto"/>
        <w:ind w:left="90"/>
        <w:jc w:val="both"/>
        <w:rPr>
          <w:rFonts w:ascii="Arial" w:hAnsi="Arial" w:cs="Arial"/>
          <w:b/>
          <w:sz w:val="24"/>
          <w:szCs w:val="24"/>
          <w:u w:val="single"/>
        </w:rPr>
      </w:pPr>
      <w:r w:rsidRPr="00F16AA0">
        <w:rPr>
          <w:rFonts w:ascii="Arial" w:hAnsi="Arial" w:cs="Arial"/>
          <w:sz w:val="24"/>
          <w:szCs w:val="24"/>
        </w:rPr>
        <w:t xml:space="preserve">[8]     </w:t>
      </w:r>
      <w:r w:rsidRPr="00F16AA0">
        <w:rPr>
          <w:rFonts w:ascii="Arial" w:hAnsi="Arial" w:cs="Arial"/>
          <w:sz w:val="24"/>
          <w:szCs w:val="24"/>
        </w:rPr>
        <w:tab/>
      </w:r>
      <w:r w:rsidR="00976862" w:rsidRPr="00F01561">
        <w:rPr>
          <w:rFonts w:ascii="Arial" w:hAnsi="Arial" w:cs="Arial"/>
          <w:sz w:val="24"/>
          <w:szCs w:val="24"/>
        </w:rPr>
        <w:t xml:space="preserve">The Respondent contended that the court </w:t>
      </w:r>
      <w:r w:rsidR="00976862" w:rsidRPr="00F01561">
        <w:rPr>
          <w:rFonts w:ascii="Arial" w:hAnsi="Arial" w:cs="Arial"/>
          <w:i/>
          <w:sz w:val="24"/>
          <w:szCs w:val="24"/>
        </w:rPr>
        <w:t>a quo</w:t>
      </w:r>
      <w:r w:rsidR="00976862" w:rsidRPr="00F01561">
        <w:rPr>
          <w:rFonts w:ascii="Arial" w:hAnsi="Arial" w:cs="Arial"/>
          <w:sz w:val="24"/>
          <w:szCs w:val="24"/>
        </w:rPr>
        <w:t xml:space="preserve"> considered all the factors of the triad together with the aims of sentence. It was argued that the court rejected the version of the Appellant as being false and that the Appellant was found guilty of a very serious offence, highlighting in aggravation, that a serious injury was inflicted. </w:t>
      </w:r>
      <w:r w:rsidR="000B5D51" w:rsidRPr="00F01561">
        <w:rPr>
          <w:rFonts w:ascii="Arial" w:hAnsi="Arial" w:cs="Arial"/>
          <w:sz w:val="24"/>
          <w:szCs w:val="24"/>
        </w:rPr>
        <w:t xml:space="preserve">The Respondent submitted that the sentence imposed by the court </w:t>
      </w:r>
      <w:r w:rsidR="000B5D51" w:rsidRPr="00F01561">
        <w:rPr>
          <w:rFonts w:ascii="Arial" w:hAnsi="Arial" w:cs="Arial"/>
          <w:i/>
          <w:sz w:val="24"/>
          <w:szCs w:val="24"/>
        </w:rPr>
        <w:t xml:space="preserve">a quo </w:t>
      </w:r>
      <w:r w:rsidR="000B5D51" w:rsidRPr="00F01561">
        <w:rPr>
          <w:rFonts w:ascii="Arial" w:hAnsi="Arial" w:cs="Arial"/>
          <w:sz w:val="24"/>
          <w:szCs w:val="24"/>
        </w:rPr>
        <w:t>was an appropriate sentence and was not shockingly inappropriate.</w:t>
      </w:r>
      <w:r w:rsidR="00EF051B" w:rsidRPr="00F01561">
        <w:rPr>
          <w:rFonts w:ascii="Arial" w:hAnsi="Arial" w:cs="Arial"/>
          <w:sz w:val="24"/>
          <w:szCs w:val="24"/>
        </w:rPr>
        <w:t xml:space="preserve"> It was submitted that the Appellant has a propensity to commit violent crime and has shown no remorse.</w:t>
      </w:r>
    </w:p>
    <w:p w:rsidR="00F16AA0" w:rsidRDefault="00F16AA0" w:rsidP="009B7D3F">
      <w:pPr>
        <w:pStyle w:val="ListParagraph"/>
        <w:spacing w:after="0" w:line="480" w:lineRule="auto"/>
        <w:ind w:left="0"/>
        <w:jc w:val="both"/>
        <w:rPr>
          <w:rFonts w:ascii="Arial" w:hAnsi="Arial" w:cs="Arial"/>
          <w:b/>
          <w:sz w:val="24"/>
          <w:szCs w:val="24"/>
        </w:rPr>
      </w:pPr>
    </w:p>
    <w:p w:rsidR="00350B8B" w:rsidRDefault="00350B8B" w:rsidP="009B7D3F">
      <w:pPr>
        <w:pStyle w:val="ListParagraph"/>
        <w:spacing w:after="0" w:line="480" w:lineRule="auto"/>
        <w:ind w:left="0"/>
        <w:jc w:val="both"/>
        <w:rPr>
          <w:rFonts w:ascii="Arial" w:hAnsi="Arial" w:cs="Arial"/>
          <w:b/>
          <w:sz w:val="24"/>
          <w:szCs w:val="24"/>
        </w:rPr>
      </w:pPr>
    </w:p>
    <w:p w:rsidR="00EE72D3" w:rsidRPr="00313650" w:rsidRDefault="00753FF9" w:rsidP="009B7D3F">
      <w:pPr>
        <w:pStyle w:val="ListParagraph"/>
        <w:spacing w:after="0" w:line="480" w:lineRule="auto"/>
        <w:ind w:left="0"/>
        <w:jc w:val="both"/>
        <w:rPr>
          <w:rFonts w:ascii="Arial" w:hAnsi="Arial" w:cs="Arial"/>
          <w:b/>
          <w:sz w:val="24"/>
          <w:szCs w:val="24"/>
          <w:u w:val="single"/>
        </w:rPr>
      </w:pPr>
      <w:r>
        <w:rPr>
          <w:rFonts w:ascii="Arial" w:hAnsi="Arial" w:cs="Arial"/>
          <w:b/>
          <w:sz w:val="24"/>
          <w:szCs w:val="24"/>
        </w:rPr>
        <w:lastRenderedPageBreak/>
        <w:t>The Legal Fra</w:t>
      </w:r>
      <w:r w:rsidR="00FD5DA4">
        <w:rPr>
          <w:rFonts w:ascii="Arial" w:hAnsi="Arial" w:cs="Arial"/>
          <w:b/>
          <w:sz w:val="24"/>
          <w:szCs w:val="24"/>
        </w:rPr>
        <w:t>mework</w:t>
      </w:r>
    </w:p>
    <w:p w:rsidR="00EF1B81" w:rsidRPr="00F01561" w:rsidRDefault="00F01561" w:rsidP="00F01561">
      <w:pPr>
        <w:tabs>
          <w:tab w:val="left" w:pos="657"/>
          <w:tab w:val="num" w:pos="720"/>
        </w:tabs>
        <w:spacing w:line="480" w:lineRule="auto"/>
        <w:ind w:left="90"/>
        <w:jc w:val="both"/>
        <w:rPr>
          <w:rFonts w:ascii="Arial" w:hAnsi="Arial" w:cs="Arial"/>
          <w:b/>
          <w:sz w:val="24"/>
          <w:szCs w:val="24"/>
        </w:rPr>
      </w:pPr>
      <w:r w:rsidRPr="00091D46">
        <w:rPr>
          <w:rFonts w:ascii="Arial" w:hAnsi="Arial" w:cs="Arial"/>
          <w:sz w:val="24"/>
          <w:szCs w:val="24"/>
        </w:rPr>
        <w:t xml:space="preserve">[9]     </w:t>
      </w:r>
      <w:r w:rsidRPr="00091D46">
        <w:rPr>
          <w:rFonts w:ascii="Arial" w:hAnsi="Arial" w:cs="Arial"/>
          <w:sz w:val="24"/>
          <w:szCs w:val="24"/>
        </w:rPr>
        <w:tab/>
      </w:r>
      <w:r w:rsidR="00FD5DA4" w:rsidRPr="00F01561">
        <w:rPr>
          <w:rFonts w:ascii="Arial" w:hAnsi="Arial" w:cs="Arial"/>
          <w:color w:val="000000"/>
          <w:sz w:val="24"/>
          <w:szCs w:val="24"/>
        </w:rPr>
        <w:t xml:space="preserve">The guiding principles for an appeal court has been succinctly set out by Davis AJA in </w:t>
      </w:r>
      <w:r w:rsidR="00FD5DA4" w:rsidRPr="00F01561">
        <w:rPr>
          <w:rFonts w:ascii="Arial" w:hAnsi="Arial" w:cs="Arial"/>
          <w:b/>
          <w:i/>
          <w:iCs/>
          <w:color w:val="000000"/>
          <w:sz w:val="24"/>
          <w:szCs w:val="24"/>
        </w:rPr>
        <w:t>R v Dhumayo and Another</w:t>
      </w:r>
      <w:r w:rsidR="00FD5DA4">
        <w:rPr>
          <w:rStyle w:val="FootnoteReference"/>
          <w:rFonts w:ascii="Arial" w:hAnsi="Arial" w:cs="Arial"/>
          <w:b/>
          <w:i/>
          <w:iCs/>
          <w:color w:val="000000"/>
          <w:sz w:val="24"/>
          <w:szCs w:val="24"/>
        </w:rPr>
        <w:footnoteReference w:id="2"/>
      </w:r>
      <w:r w:rsidR="00EF1B81" w:rsidRPr="00F01561">
        <w:rPr>
          <w:rFonts w:ascii="Arial" w:hAnsi="Arial" w:cs="Arial"/>
          <w:iCs/>
          <w:color w:val="000000"/>
          <w:sz w:val="24"/>
          <w:szCs w:val="24"/>
        </w:rPr>
        <w:t xml:space="preserve"> as follows:</w:t>
      </w:r>
    </w:p>
    <w:p w:rsidR="00D76BA5" w:rsidRDefault="00D76BA5" w:rsidP="0072029C">
      <w:pPr>
        <w:spacing w:line="360" w:lineRule="auto"/>
        <w:ind w:left="720" w:right="720"/>
        <w:jc w:val="both"/>
        <w:rPr>
          <w:rFonts w:ascii="Arial" w:hAnsi="Arial" w:cs="Arial"/>
          <w:i/>
          <w:szCs w:val="20"/>
        </w:rPr>
      </w:pPr>
      <w:r>
        <w:rPr>
          <w:rFonts w:ascii="Arial" w:hAnsi="Arial" w:cs="Arial"/>
          <w:i/>
          <w:szCs w:val="20"/>
        </w:rPr>
        <w:t>“ …</w:t>
      </w:r>
      <w:r>
        <w:rPr>
          <w:rFonts w:ascii="Arial" w:hAnsi="Arial" w:cs="Arial"/>
          <w:i/>
          <w:szCs w:val="20"/>
        </w:rPr>
        <w:tab/>
      </w:r>
    </w:p>
    <w:p w:rsidR="0072029C" w:rsidRPr="0072029C" w:rsidRDefault="0072029C" w:rsidP="0072029C">
      <w:pPr>
        <w:spacing w:line="360" w:lineRule="auto"/>
        <w:ind w:left="720" w:right="720"/>
        <w:jc w:val="both"/>
        <w:rPr>
          <w:rFonts w:ascii="Arial" w:hAnsi="Arial" w:cs="Arial"/>
          <w:i/>
          <w:szCs w:val="20"/>
        </w:rPr>
      </w:pPr>
      <w:r w:rsidRPr="0072029C">
        <w:rPr>
          <w:rFonts w:ascii="Arial" w:hAnsi="Arial" w:cs="Arial"/>
          <w:i/>
          <w:szCs w:val="20"/>
        </w:rPr>
        <w:t>3. The trial Judge has advantages- which the appellate court cannot have- in seeing and hearing the witnesses and in being steeped in the atmosphere of the trial. Not only has he had the opportunity of observing their demeanour, but also their appearance and whole personality. This should never be overlooked.</w:t>
      </w:r>
    </w:p>
    <w:p w:rsidR="0072029C" w:rsidRPr="0072029C" w:rsidRDefault="0072029C" w:rsidP="0072029C">
      <w:pPr>
        <w:spacing w:line="360" w:lineRule="auto"/>
        <w:ind w:left="720" w:right="720"/>
        <w:jc w:val="both"/>
        <w:rPr>
          <w:rFonts w:ascii="Arial" w:hAnsi="Arial" w:cs="Arial"/>
          <w:i/>
          <w:szCs w:val="20"/>
        </w:rPr>
      </w:pPr>
      <w:r w:rsidRPr="0072029C">
        <w:rPr>
          <w:rFonts w:ascii="Arial" w:hAnsi="Arial" w:cs="Arial"/>
          <w:i/>
          <w:szCs w:val="20"/>
        </w:rPr>
        <w:t>4. Consequently the appellate court is very reluctant to upset the findings of the trial Judge.</w:t>
      </w:r>
    </w:p>
    <w:p w:rsidR="00D76BA5" w:rsidRDefault="0072029C" w:rsidP="0072029C">
      <w:pPr>
        <w:spacing w:line="360" w:lineRule="auto"/>
        <w:ind w:left="720" w:right="720"/>
        <w:jc w:val="both"/>
        <w:rPr>
          <w:rFonts w:ascii="Arial" w:hAnsi="Arial" w:cs="Arial"/>
          <w:i/>
          <w:szCs w:val="20"/>
        </w:rPr>
      </w:pPr>
      <w:r w:rsidRPr="0072029C">
        <w:rPr>
          <w:rFonts w:ascii="Arial" w:hAnsi="Arial" w:cs="Arial"/>
          <w:i/>
          <w:szCs w:val="20"/>
        </w:rPr>
        <w:t>…</w:t>
      </w:r>
    </w:p>
    <w:p w:rsidR="0072029C" w:rsidRPr="0072029C" w:rsidRDefault="0072029C" w:rsidP="0072029C">
      <w:pPr>
        <w:spacing w:line="360" w:lineRule="auto"/>
        <w:ind w:left="720" w:right="720"/>
        <w:jc w:val="both"/>
        <w:rPr>
          <w:rFonts w:ascii="Arial" w:hAnsi="Arial" w:cs="Arial"/>
          <w:i/>
          <w:szCs w:val="20"/>
        </w:rPr>
      </w:pPr>
      <w:r w:rsidRPr="0072029C">
        <w:rPr>
          <w:rFonts w:ascii="Arial" w:hAnsi="Arial" w:cs="Arial"/>
          <w:i/>
          <w:szCs w:val="20"/>
        </w:rPr>
        <w:t>8. Where there has been no misdirection on fact by the trial Judge, the presumption is that his conclusion is correct; the appellate court will only reverse it where it is convinced that it is wrong.</w:t>
      </w:r>
    </w:p>
    <w:p w:rsidR="0072029C" w:rsidRPr="0072029C" w:rsidRDefault="0072029C" w:rsidP="0072029C">
      <w:pPr>
        <w:spacing w:line="360" w:lineRule="auto"/>
        <w:ind w:left="720" w:right="720"/>
        <w:jc w:val="both"/>
        <w:rPr>
          <w:rFonts w:ascii="Arial" w:hAnsi="Arial" w:cs="Arial"/>
          <w:i/>
          <w:szCs w:val="20"/>
        </w:rPr>
      </w:pPr>
      <w:r w:rsidRPr="0072029C">
        <w:rPr>
          <w:rFonts w:ascii="Arial" w:hAnsi="Arial" w:cs="Arial"/>
          <w:i/>
          <w:szCs w:val="20"/>
        </w:rPr>
        <w:t>9. In such a case, if the appellate court is merely left in doubt as to the correctness of the conclusion, then it will uphold it.</w:t>
      </w:r>
    </w:p>
    <w:p w:rsidR="0072029C" w:rsidRPr="0072029C" w:rsidRDefault="0072029C" w:rsidP="0072029C">
      <w:pPr>
        <w:spacing w:line="360" w:lineRule="auto"/>
        <w:ind w:left="720" w:right="720"/>
        <w:jc w:val="both"/>
        <w:rPr>
          <w:rFonts w:ascii="Arial" w:hAnsi="Arial" w:cs="Arial"/>
          <w:i/>
          <w:szCs w:val="20"/>
        </w:rPr>
      </w:pPr>
      <w:r w:rsidRPr="0072029C">
        <w:rPr>
          <w:rFonts w:ascii="Arial" w:hAnsi="Arial" w:cs="Arial"/>
          <w:i/>
          <w:szCs w:val="20"/>
        </w:rPr>
        <w:t>10. There may be a misdirection on fact by the trial Judge where the reasons are either on their face unsatisfactory or where the record shows them to be such; there may be such a misdirection also where, though the reasons as far as they go are satisfactory, he is shown to have overlooked other facts or probabilities.</w:t>
      </w:r>
    </w:p>
    <w:p w:rsidR="0072029C" w:rsidRPr="0072029C" w:rsidRDefault="0072029C" w:rsidP="0072029C">
      <w:pPr>
        <w:spacing w:after="0" w:line="360" w:lineRule="auto"/>
        <w:ind w:left="720" w:right="720"/>
        <w:jc w:val="both"/>
        <w:rPr>
          <w:rFonts w:ascii="Arial" w:hAnsi="Arial" w:cs="Arial"/>
          <w:i/>
          <w:szCs w:val="20"/>
        </w:rPr>
      </w:pPr>
      <w:r w:rsidRPr="0072029C">
        <w:rPr>
          <w:rFonts w:ascii="Arial" w:hAnsi="Arial" w:cs="Arial"/>
          <w:i/>
          <w:szCs w:val="20"/>
        </w:rPr>
        <w:t>11. The appellate court is then at large to disregard his findings on fact, even though based on credibility, in whole or in part according to the nature of the misdirection and the circumstances of the particular case, and so come to its own conclusion on the matter.</w:t>
      </w:r>
    </w:p>
    <w:p w:rsidR="0072029C" w:rsidRPr="0072029C" w:rsidRDefault="0072029C" w:rsidP="0072029C">
      <w:pPr>
        <w:spacing w:after="0" w:line="360" w:lineRule="auto"/>
        <w:ind w:left="720" w:right="720"/>
        <w:jc w:val="both"/>
        <w:rPr>
          <w:rFonts w:ascii="Arial" w:hAnsi="Arial" w:cs="Arial"/>
          <w:i/>
          <w:szCs w:val="20"/>
        </w:rPr>
      </w:pPr>
    </w:p>
    <w:p w:rsidR="0072029C" w:rsidRPr="0072029C" w:rsidRDefault="0072029C" w:rsidP="0072029C">
      <w:pPr>
        <w:spacing w:line="360" w:lineRule="auto"/>
        <w:ind w:left="720" w:right="720"/>
        <w:jc w:val="both"/>
        <w:rPr>
          <w:rFonts w:ascii="Arial" w:hAnsi="Arial" w:cs="Arial"/>
          <w:i/>
          <w:szCs w:val="20"/>
        </w:rPr>
      </w:pPr>
      <w:r w:rsidRPr="0072029C">
        <w:rPr>
          <w:rFonts w:ascii="Arial" w:hAnsi="Arial" w:cs="Arial"/>
          <w:i/>
          <w:szCs w:val="20"/>
        </w:rPr>
        <w:t>12. An appellate court should not seek anxiously to discover reasons adverse to the conclusions of the trial Judge. No judgment can ever be perfect and all-</w:t>
      </w:r>
      <w:r w:rsidRPr="0072029C">
        <w:rPr>
          <w:rFonts w:ascii="Arial" w:hAnsi="Arial" w:cs="Arial"/>
          <w:i/>
          <w:szCs w:val="20"/>
        </w:rPr>
        <w:lastRenderedPageBreak/>
        <w:t>embracing, and it does not necessarily follow that, because something has not been mentioned, therefore it has not been considered.</w:t>
      </w:r>
    </w:p>
    <w:p w:rsidR="00EF1B81" w:rsidRDefault="0072029C" w:rsidP="004E64D0">
      <w:pPr>
        <w:spacing w:line="360" w:lineRule="auto"/>
        <w:ind w:left="720" w:right="720"/>
        <w:jc w:val="both"/>
        <w:rPr>
          <w:rFonts w:ascii="Arial" w:hAnsi="Arial" w:cs="Arial"/>
          <w:i/>
          <w:szCs w:val="20"/>
        </w:rPr>
      </w:pPr>
      <w:r w:rsidRPr="0072029C">
        <w:rPr>
          <w:rFonts w:ascii="Arial" w:hAnsi="Arial" w:cs="Arial"/>
          <w:i/>
          <w:szCs w:val="20"/>
        </w:rPr>
        <w:t>13. Where the appellate court is constrained to decide the case purely on the record, the question of onus becomes all-important, whether in a civil or criminal case</w:t>
      </w:r>
      <w:r w:rsidR="00D76BA5">
        <w:rPr>
          <w:rFonts w:ascii="Arial" w:hAnsi="Arial" w:cs="Arial"/>
          <w:i/>
          <w:szCs w:val="20"/>
        </w:rPr>
        <w:t xml:space="preserve"> </w:t>
      </w:r>
      <w:r w:rsidRPr="0072029C">
        <w:rPr>
          <w:rFonts w:ascii="Arial" w:hAnsi="Arial" w:cs="Arial"/>
          <w:i/>
          <w:szCs w:val="20"/>
        </w:rPr>
        <w:t>…</w:t>
      </w:r>
      <w:r w:rsidR="00D76BA5">
        <w:rPr>
          <w:rFonts w:ascii="Arial" w:hAnsi="Arial" w:cs="Arial"/>
          <w:i/>
          <w:szCs w:val="20"/>
        </w:rPr>
        <w:t>”</w:t>
      </w:r>
      <w:r w:rsidRPr="0072029C">
        <w:rPr>
          <w:rStyle w:val="FootnoteReference"/>
          <w:rFonts w:ascii="Arial" w:hAnsi="Arial" w:cs="Arial"/>
          <w:szCs w:val="20"/>
        </w:rPr>
        <w:footnoteReference w:id="3"/>
      </w:r>
    </w:p>
    <w:p w:rsidR="008127B7" w:rsidRPr="00F01561" w:rsidRDefault="00F01561" w:rsidP="00F01561">
      <w:pPr>
        <w:tabs>
          <w:tab w:val="left" w:pos="657"/>
          <w:tab w:val="num" w:pos="851"/>
        </w:tabs>
        <w:spacing w:line="480" w:lineRule="auto"/>
        <w:ind w:left="90"/>
        <w:jc w:val="both"/>
        <w:rPr>
          <w:rFonts w:ascii="Arial" w:hAnsi="Arial" w:cs="Arial"/>
          <w:b/>
          <w:sz w:val="24"/>
          <w:szCs w:val="24"/>
        </w:rPr>
      </w:pPr>
      <w:r w:rsidRPr="000C44AE">
        <w:rPr>
          <w:rFonts w:ascii="Arial" w:hAnsi="Arial" w:cs="Arial"/>
          <w:sz w:val="24"/>
          <w:szCs w:val="24"/>
        </w:rPr>
        <w:t xml:space="preserve">[10]     </w:t>
      </w:r>
      <w:r w:rsidRPr="000C44AE">
        <w:rPr>
          <w:rFonts w:ascii="Arial" w:hAnsi="Arial" w:cs="Arial"/>
          <w:sz w:val="24"/>
          <w:szCs w:val="24"/>
        </w:rPr>
        <w:tab/>
      </w:r>
      <w:r w:rsidR="0072029C" w:rsidRPr="00F01561">
        <w:rPr>
          <w:rFonts w:ascii="Arial" w:hAnsi="Arial" w:cs="Arial"/>
          <w:sz w:val="24"/>
          <w:szCs w:val="24"/>
        </w:rPr>
        <w:t xml:space="preserve">It </w:t>
      </w:r>
      <w:r w:rsidR="00EE72D3" w:rsidRPr="00F01561">
        <w:rPr>
          <w:rFonts w:ascii="Arial" w:hAnsi="Arial" w:cs="Arial"/>
          <w:sz w:val="24"/>
          <w:szCs w:val="24"/>
        </w:rPr>
        <w:t>is trite that sentencing is within the discretion of the trial court and that a court of appeal will not lightly interfere with the sentence imposed. The powers of the court of appeal are relatively limited to those instances where the sentence is vitiated by irregularity or misdirection or where there is a striking disparity between the sentence passed and that which this court have imposed.</w:t>
      </w:r>
      <w:r w:rsidR="007977DD">
        <w:rPr>
          <w:rStyle w:val="FootnoteReference"/>
          <w:rFonts w:ascii="Arial" w:hAnsi="Arial" w:cs="Arial"/>
          <w:sz w:val="24"/>
          <w:szCs w:val="24"/>
        </w:rPr>
        <w:footnoteReference w:id="4"/>
      </w:r>
      <w:r w:rsidR="000C44AE" w:rsidRPr="00F01561">
        <w:rPr>
          <w:rFonts w:ascii="Arial" w:hAnsi="Arial" w:cs="Arial"/>
          <w:sz w:val="24"/>
          <w:szCs w:val="24"/>
        </w:rPr>
        <w:t xml:space="preserve"> In </w:t>
      </w:r>
      <w:r w:rsidR="000C44AE" w:rsidRPr="00F01561">
        <w:rPr>
          <w:rFonts w:ascii="Arial" w:hAnsi="Arial" w:cs="Arial"/>
          <w:b/>
          <w:i/>
          <w:sz w:val="24"/>
          <w:szCs w:val="24"/>
        </w:rPr>
        <w:t>S v Pillay</w:t>
      </w:r>
      <w:r w:rsidR="000C44AE">
        <w:rPr>
          <w:rStyle w:val="FootnoteReference"/>
          <w:rFonts w:ascii="Arial" w:hAnsi="Arial" w:cs="Arial"/>
          <w:b/>
          <w:i/>
          <w:sz w:val="24"/>
          <w:szCs w:val="24"/>
        </w:rPr>
        <w:footnoteReference w:id="5"/>
      </w:r>
      <w:r w:rsidR="000C44AE" w:rsidRPr="00F01561">
        <w:rPr>
          <w:rFonts w:ascii="Arial" w:hAnsi="Arial" w:cs="Arial"/>
          <w:sz w:val="24"/>
          <w:szCs w:val="24"/>
        </w:rPr>
        <w:t>, the court set out the correct approach to an appeal against sentence:</w:t>
      </w:r>
    </w:p>
    <w:p w:rsidR="000C44AE" w:rsidRPr="000C44AE" w:rsidRDefault="00D76BA5" w:rsidP="000C44AE">
      <w:pPr>
        <w:pStyle w:val="ListParagraph"/>
        <w:spacing w:line="360" w:lineRule="auto"/>
        <w:ind w:right="720"/>
        <w:jc w:val="both"/>
        <w:rPr>
          <w:rFonts w:ascii="Arial" w:hAnsi="Arial" w:cs="Arial"/>
          <w:i/>
        </w:rPr>
      </w:pPr>
      <w:r>
        <w:rPr>
          <w:rFonts w:ascii="Arial" w:hAnsi="Arial" w:cs="Arial"/>
          <w:i/>
        </w:rPr>
        <w:t>“</w:t>
      </w:r>
      <w:r w:rsidR="000C44AE">
        <w:rPr>
          <w:rFonts w:ascii="Arial" w:hAnsi="Arial" w:cs="Arial"/>
          <w:i/>
        </w:rPr>
        <w:t>As the essential enquiry in an appeal against sentence, however, is not whether the sentence was right or wrong, but whether the Court in imposing it exercised its discretion properly or judicially, a mere misdirection is not by itself sufficient to entitle the Appeal Court to interfere with the sentence; it must be of such a nature, degree or seriousness that it shows directly or inferentially, that the Court did not exercise its discretion at all or exercised it improperly or unreasonably. Such a misdirection is usually and conveniently termed one that vitiates the Court’s decision on sentence.</w:t>
      </w:r>
      <w:r>
        <w:rPr>
          <w:rFonts w:ascii="Arial" w:hAnsi="Arial" w:cs="Arial"/>
          <w:i/>
        </w:rPr>
        <w:t>”</w:t>
      </w:r>
    </w:p>
    <w:p w:rsidR="004E64D0" w:rsidRPr="00091D46" w:rsidRDefault="004E64D0" w:rsidP="004E64D0">
      <w:pPr>
        <w:pStyle w:val="ListParagraph"/>
        <w:spacing w:line="480" w:lineRule="auto"/>
        <w:ind w:left="0"/>
        <w:jc w:val="both"/>
        <w:rPr>
          <w:rFonts w:ascii="Arial" w:hAnsi="Arial" w:cs="Arial"/>
          <w:b/>
          <w:sz w:val="24"/>
          <w:szCs w:val="24"/>
        </w:rPr>
      </w:pPr>
    </w:p>
    <w:p w:rsidR="00C90BE3" w:rsidRPr="00F01561" w:rsidRDefault="00F01561" w:rsidP="00F01561">
      <w:pPr>
        <w:tabs>
          <w:tab w:val="left" w:pos="657"/>
          <w:tab w:val="num" w:pos="851"/>
        </w:tabs>
        <w:spacing w:line="480" w:lineRule="auto"/>
        <w:ind w:left="90"/>
        <w:jc w:val="both"/>
        <w:rPr>
          <w:rFonts w:ascii="Arial" w:hAnsi="Arial" w:cs="Arial"/>
          <w:b/>
          <w:sz w:val="24"/>
          <w:szCs w:val="24"/>
        </w:rPr>
      </w:pPr>
      <w:r w:rsidRPr="00B14C03">
        <w:rPr>
          <w:rFonts w:ascii="Arial" w:hAnsi="Arial" w:cs="Arial"/>
          <w:sz w:val="24"/>
          <w:szCs w:val="24"/>
        </w:rPr>
        <w:lastRenderedPageBreak/>
        <w:t xml:space="preserve">[11]     </w:t>
      </w:r>
      <w:r w:rsidRPr="00B14C03">
        <w:rPr>
          <w:rFonts w:ascii="Arial" w:hAnsi="Arial" w:cs="Arial"/>
          <w:sz w:val="24"/>
          <w:szCs w:val="24"/>
        </w:rPr>
        <w:tab/>
      </w:r>
      <w:r w:rsidR="00C90BE3" w:rsidRPr="00F01561">
        <w:rPr>
          <w:rFonts w:ascii="Arial" w:eastAsia="Times New Roman" w:hAnsi="Arial" w:cs="Arial"/>
          <w:sz w:val="24"/>
          <w:szCs w:val="24"/>
          <w:lang w:eastAsia="en-ZA"/>
        </w:rPr>
        <w:t>In sentencing the accused, the court is to have regard to the nature and seriousness of the offences, the personal circumstances of the accused as well as the interest of society</w:t>
      </w:r>
      <w:r w:rsidR="00C90BE3">
        <w:rPr>
          <w:rStyle w:val="FootnoteReference"/>
          <w:rFonts w:ascii="Arial" w:eastAsia="Times New Roman" w:hAnsi="Arial" w:cs="Arial"/>
          <w:sz w:val="24"/>
          <w:szCs w:val="24"/>
          <w:lang w:eastAsia="en-ZA"/>
        </w:rPr>
        <w:footnoteReference w:id="6"/>
      </w:r>
      <w:r w:rsidR="00C90BE3" w:rsidRPr="00F01561">
        <w:rPr>
          <w:rFonts w:ascii="Arial" w:hAnsi="Arial" w:cs="Arial"/>
          <w:sz w:val="24"/>
          <w:szCs w:val="24"/>
        </w:rPr>
        <w:t xml:space="preserve">. In </w:t>
      </w:r>
      <w:r w:rsidR="00C90BE3" w:rsidRPr="00F01561">
        <w:rPr>
          <w:rFonts w:ascii="Arial" w:hAnsi="Arial" w:cs="Arial"/>
          <w:b/>
          <w:i/>
          <w:sz w:val="24"/>
          <w:szCs w:val="24"/>
        </w:rPr>
        <w:t>S v Banda and Others</w:t>
      </w:r>
      <w:r w:rsidR="00C90BE3">
        <w:rPr>
          <w:rStyle w:val="FootnoteReference"/>
          <w:rFonts w:ascii="Arial" w:hAnsi="Arial" w:cs="Arial"/>
          <w:b/>
          <w:i/>
          <w:sz w:val="24"/>
          <w:szCs w:val="24"/>
        </w:rPr>
        <w:footnoteReference w:id="7"/>
      </w:r>
      <w:r w:rsidR="00C90BE3" w:rsidRPr="00F01561">
        <w:rPr>
          <w:rFonts w:ascii="Arial" w:hAnsi="Arial" w:cs="Arial"/>
          <w:sz w:val="24"/>
          <w:szCs w:val="24"/>
        </w:rPr>
        <w:t>, Friedman J stated the following:</w:t>
      </w:r>
    </w:p>
    <w:p w:rsidR="00D76BA5" w:rsidRDefault="00D76BA5" w:rsidP="00C90BE3">
      <w:pPr>
        <w:pStyle w:val="ListParagraph"/>
        <w:spacing w:line="360" w:lineRule="auto"/>
        <w:ind w:right="720"/>
        <w:jc w:val="both"/>
        <w:rPr>
          <w:rFonts w:ascii="Arial" w:hAnsi="Arial" w:cs="Arial"/>
          <w:i/>
        </w:rPr>
      </w:pPr>
      <w:r>
        <w:rPr>
          <w:rFonts w:ascii="Arial" w:hAnsi="Arial" w:cs="Arial"/>
          <w:i/>
        </w:rPr>
        <w:t>“</w:t>
      </w:r>
      <w:r w:rsidR="00C90BE3">
        <w:rPr>
          <w:rFonts w:ascii="Arial" w:hAnsi="Arial" w:cs="Arial"/>
          <w:i/>
        </w:rPr>
        <w:t>The elements of the triad</w:t>
      </w:r>
      <w:r w:rsidR="00D76E3F">
        <w:rPr>
          <w:rFonts w:ascii="Arial" w:hAnsi="Arial" w:cs="Arial"/>
          <w:i/>
        </w:rPr>
        <w:t xml:space="preserve"> contain an equilibrium and a tension. A court should when determining sentence, strive to accomplish and arrive at a judicious counterbalance between these elements in order to ensure that one element is not unduly accentuated at the expense of and to the exclusion of others. What is necessary</w:t>
      </w:r>
      <w:r w:rsidR="00C72BCE">
        <w:rPr>
          <w:rFonts w:ascii="Arial" w:hAnsi="Arial" w:cs="Arial"/>
          <w:i/>
        </w:rPr>
        <w:t xml:space="preserve"> is that the court shall consider, and try to balance evenly, the nature and circumstances of the offence, the characteristics of the offender and his circumstances and the impact of the crime on the community; its welfare and concern.</w:t>
      </w:r>
      <w:r>
        <w:rPr>
          <w:rFonts w:ascii="Arial" w:hAnsi="Arial" w:cs="Arial"/>
          <w:i/>
        </w:rPr>
        <w:t>”</w:t>
      </w:r>
    </w:p>
    <w:p w:rsidR="00D76BA5" w:rsidRDefault="00D76BA5" w:rsidP="00D76BA5">
      <w:pPr>
        <w:tabs>
          <w:tab w:val="num" w:pos="720"/>
        </w:tabs>
        <w:spacing w:line="480" w:lineRule="auto"/>
        <w:jc w:val="both"/>
        <w:rPr>
          <w:rFonts w:ascii="Arial" w:hAnsi="Arial" w:cs="Arial"/>
          <w:sz w:val="24"/>
          <w:szCs w:val="24"/>
        </w:rPr>
      </w:pPr>
    </w:p>
    <w:p w:rsidR="00C90BE3" w:rsidRPr="00D76BA5" w:rsidRDefault="00D76BA5" w:rsidP="00D76BA5">
      <w:pPr>
        <w:tabs>
          <w:tab w:val="num" w:pos="720"/>
        </w:tabs>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127B7" w:rsidRPr="00D76BA5">
        <w:rPr>
          <w:rFonts w:ascii="Arial" w:hAnsi="Arial" w:cs="Arial"/>
          <w:sz w:val="24"/>
          <w:szCs w:val="24"/>
        </w:rPr>
        <w:t>In determining a fair, just and proportionate sentence, a court should have regard and be mindful of the foundational sentencing principles that the punishment should fit the crime, as well as the criminal, be fair to society and be blended with a measure of mercy.</w:t>
      </w:r>
      <w:r w:rsidR="008127B7">
        <w:rPr>
          <w:rStyle w:val="FootnoteReference"/>
          <w:rFonts w:ascii="Arial" w:hAnsi="Arial" w:cs="Arial"/>
          <w:sz w:val="24"/>
          <w:szCs w:val="24"/>
        </w:rPr>
        <w:footnoteReference w:id="8"/>
      </w:r>
      <w:r w:rsidR="0011366F" w:rsidRPr="00D76BA5">
        <w:rPr>
          <w:rFonts w:ascii="Arial" w:hAnsi="Arial" w:cs="Arial"/>
          <w:sz w:val="24"/>
          <w:szCs w:val="24"/>
        </w:rPr>
        <w:t xml:space="preserve"> </w:t>
      </w:r>
      <w:r w:rsidR="00CF23B4" w:rsidRPr="00D76BA5">
        <w:rPr>
          <w:rFonts w:ascii="Arial" w:hAnsi="Arial" w:cs="Arial"/>
          <w:sz w:val="24"/>
          <w:szCs w:val="24"/>
        </w:rPr>
        <w:t xml:space="preserve">The concept of mercy was </w:t>
      </w:r>
      <w:r w:rsidR="00EC7191" w:rsidRPr="00D76BA5">
        <w:rPr>
          <w:rFonts w:ascii="Arial" w:hAnsi="Arial" w:cs="Arial"/>
          <w:sz w:val="24"/>
          <w:szCs w:val="24"/>
        </w:rPr>
        <w:t>articulately</w:t>
      </w:r>
      <w:r w:rsidR="00CF23B4" w:rsidRPr="00D76BA5">
        <w:rPr>
          <w:rFonts w:ascii="Arial" w:hAnsi="Arial" w:cs="Arial"/>
          <w:sz w:val="24"/>
          <w:szCs w:val="24"/>
        </w:rPr>
        <w:t xml:space="preserve"> </w:t>
      </w:r>
      <w:r w:rsidR="00EC7191" w:rsidRPr="00D76BA5">
        <w:rPr>
          <w:rFonts w:ascii="Arial" w:hAnsi="Arial" w:cs="Arial"/>
          <w:sz w:val="24"/>
          <w:szCs w:val="24"/>
        </w:rPr>
        <w:t xml:space="preserve">and concisely </w:t>
      </w:r>
      <w:r w:rsidR="00CF23B4" w:rsidRPr="00D76BA5">
        <w:rPr>
          <w:rFonts w:ascii="Arial" w:hAnsi="Arial" w:cs="Arial"/>
          <w:sz w:val="24"/>
          <w:szCs w:val="24"/>
        </w:rPr>
        <w:t xml:space="preserve">enunciated by Holmes JA in </w:t>
      </w:r>
      <w:r w:rsidR="00CF23B4" w:rsidRPr="00D76BA5">
        <w:rPr>
          <w:rFonts w:ascii="Arial" w:hAnsi="Arial" w:cs="Arial"/>
          <w:b/>
          <w:i/>
          <w:sz w:val="24"/>
          <w:szCs w:val="24"/>
        </w:rPr>
        <w:t xml:space="preserve">Rabie </w:t>
      </w:r>
      <w:r w:rsidR="00CF23B4" w:rsidRPr="00D76BA5">
        <w:rPr>
          <w:rFonts w:ascii="Arial" w:hAnsi="Arial" w:cs="Arial"/>
          <w:i/>
          <w:sz w:val="24"/>
          <w:szCs w:val="24"/>
        </w:rPr>
        <w:t>(supra)</w:t>
      </w:r>
      <w:r w:rsidR="00CF23B4">
        <w:rPr>
          <w:rStyle w:val="FootnoteReference"/>
          <w:rFonts w:ascii="Arial" w:hAnsi="Arial" w:cs="Arial"/>
          <w:i/>
          <w:sz w:val="24"/>
          <w:szCs w:val="24"/>
        </w:rPr>
        <w:footnoteReference w:id="9"/>
      </w:r>
      <w:r w:rsidR="00CF23B4" w:rsidRPr="00D76BA5">
        <w:rPr>
          <w:rFonts w:ascii="Arial" w:hAnsi="Arial" w:cs="Arial"/>
          <w:sz w:val="24"/>
          <w:szCs w:val="24"/>
        </w:rPr>
        <w:t xml:space="preserve"> as follows:</w:t>
      </w:r>
    </w:p>
    <w:p w:rsidR="00CF23B4" w:rsidRDefault="00D76BA5" w:rsidP="00CF23B4">
      <w:pPr>
        <w:pStyle w:val="ListParagraph"/>
        <w:spacing w:line="360" w:lineRule="auto"/>
        <w:ind w:right="720"/>
        <w:jc w:val="both"/>
        <w:rPr>
          <w:rFonts w:ascii="Arial" w:hAnsi="Arial" w:cs="Arial"/>
          <w:i/>
        </w:rPr>
      </w:pPr>
      <w:r>
        <w:rPr>
          <w:rFonts w:ascii="Arial" w:hAnsi="Arial" w:cs="Arial"/>
          <w:i/>
        </w:rPr>
        <w:t>“</w:t>
      </w:r>
      <w:r w:rsidR="00CF23B4">
        <w:rPr>
          <w:rFonts w:ascii="Arial" w:hAnsi="Arial" w:cs="Arial"/>
          <w:i/>
        </w:rPr>
        <w:t xml:space="preserve">(i) </w:t>
      </w:r>
      <w:r w:rsidR="00CF23B4">
        <w:rPr>
          <w:rFonts w:ascii="Arial" w:hAnsi="Arial" w:cs="Arial"/>
          <w:i/>
        </w:rPr>
        <w:tab/>
        <w:t>it is balanced and humane state of thought.</w:t>
      </w:r>
    </w:p>
    <w:p w:rsidR="00CF23B4" w:rsidRDefault="00CF23B4" w:rsidP="00CF23B4">
      <w:pPr>
        <w:pStyle w:val="ListParagraph"/>
        <w:spacing w:line="360" w:lineRule="auto"/>
        <w:ind w:right="720"/>
        <w:jc w:val="both"/>
        <w:rPr>
          <w:rFonts w:ascii="Arial" w:hAnsi="Arial" w:cs="Arial"/>
          <w:i/>
        </w:rPr>
      </w:pPr>
      <w:r>
        <w:rPr>
          <w:rFonts w:ascii="Arial" w:hAnsi="Arial" w:cs="Arial"/>
          <w:i/>
        </w:rPr>
        <w:t>(ii)</w:t>
      </w:r>
      <w:r>
        <w:rPr>
          <w:rFonts w:ascii="Arial" w:hAnsi="Arial" w:cs="Arial"/>
          <w:i/>
        </w:rPr>
        <w:tab/>
        <w:t xml:space="preserve">it tempers one’s approach to the factors to be considered in arriving at </w:t>
      </w:r>
      <w:r>
        <w:rPr>
          <w:rFonts w:ascii="Arial" w:hAnsi="Arial" w:cs="Arial"/>
          <w:i/>
        </w:rPr>
        <w:tab/>
        <w:t>an appropriate sentence.</w:t>
      </w:r>
    </w:p>
    <w:p w:rsidR="00CF23B4" w:rsidRDefault="00CF23B4" w:rsidP="00CF23B4">
      <w:pPr>
        <w:pStyle w:val="ListParagraph"/>
        <w:spacing w:line="360" w:lineRule="auto"/>
        <w:ind w:right="720"/>
        <w:jc w:val="both"/>
        <w:rPr>
          <w:rFonts w:ascii="Arial" w:hAnsi="Arial" w:cs="Arial"/>
          <w:i/>
        </w:rPr>
      </w:pPr>
      <w:r>
        <w:rPr>
          <w:rFonts w:ascii="Arial" w:hAnsi="Arial" w:cs="Arial"/>
          <w:i/>
        </w:rPr>
        <w:t>(iii)</w:t>
      </w:r>
      <w:r>
        <w:rPr>
          <w:rFonts w:ascii="Arial" w:hAnsi="Arial" w:cs="Arial"/>
          <w:i/>
        </w:rPr>
        <w:tab/>
        <w:t>it has nothing in common with maudlin sympathy for the accused;</w:t>
      </w:r>
    </w:p>
    <w:p w:rsidR="00CF23B4" w:rsidRDefault="00CF23B4" w:rsidP="00CF23B4">
      <w:pPr>
        <w:pStyle w:val="ListParagraph"/>
        <w:spacing w:line="360" w:lineRule="auto"/>
        <w:ind w:right="720"/>
        <w:jc w:val="both"/>
        <w:rPr>
          <w:rFonts w:ascii="Arial" w:hAnsi="Arial" w:cs="Arial"/>
          <w:i/>
        </w:rPr>
      </w:pPr>
      <w:r>
        <w:rPr>
          <w:rFonts w:ascii="Arial" w:hAnsi="Arial" w:cs="Arial"/>
          <w:i/>
        </w:rPr>
        <w:t>(iv)</w:t>
      </w:r>
      <w:r>
        <w:rPr>
          <w:rFonts w:ascii="Arial" w:hAnsi="Arial" w:cs="Arial"/>
          <w:i/>
        </w:rPr>
        <w:tab/>
        <w:t>it recognises that fair punishment may sometimes have to be robust.</w:t>
      </w:r>
    </w:p>
    <w:p w:rsidR="00CF23B4" w:rsidRDefault="00CF23B4" w:rsidP="00CF23B4">
      <w:pPr>
        <w:pStyle w:val="ListParagraph"/>
        <w:spacing w:line="360" w:lineRule="auto"/>
        <w:ind w:right="720"/>
        <w:jc w:val="both"/>
        <w:rPr>
          <w:rFonts w:ascii="Arial" w:hAnsi="Arial" w:cs="Arial"/>
          <w:i/>
        </w:rPr>
      </w:pPr>
      <w:r>
        <w:rPr>
          <w:rFonts w:ascii="Arial" w:hAnsi="Arial" w:cs="Arial"/>
          <w:i/>
        </w:rPr>
        <w:t>(v)</w:t>
      </w:r>
      <w:r>
        <w:rPr>
          <w:rFonts w:ascii="Arial" w:hAnsi="Arial" w:cs="Arial"/>
          <w:i/>
        </w:rPr>
        <w:tab/>
      </w:r>
      <w:r w:rsidR="00EC30C3">
        <w:rPr>
          <w:rFonts w:ascii="Arial" w:hAnsi="Arial" w:cs="Arial"/>
          <w:i/>
        </w:rPr>
        <w:t xml:space="preserve">it eschews insensitive censoriousness in sentencing a fellow mortal, </w:t>
      </w:r>
      <w:r w:rsidR="00EC30C3">
        <w:rPr>
          <w:rFonts w:ascii="Arial" w:hAnsi="Arial" w:cs="Arial"/>
          <w:i/>
        </w:rPr>
        <w:tab/>
        <w:t>and so avoid severity in anger.</w:t>
      </w:r>
    </w:p>
    <w:p w:rsidR="00EC30C3" w:rsidRPr="00CF23B4" w:rsidRDefault="00EC30C3" w:rsidP="00CF23B4">
      <w:pPr>
        <w:pStyle w:val="ListParagraph"/>
        <w:spacing w:line="360" w:lineRule="auto"/>
        <w:ind w:right="720"/>
        <w:jc w:val="both"/>
        <w:rPr>
          <w:rFonts w:ascii="Arial" w:hAnsi="Arial" w:cs="Arial"/>
          <w:i/>
        </w:rPr>
      </w:pPr>
      <w:r>
        <w:rPr>
          <w:rFonts w:ascii="Arial" w:hAnsi="Arial" w:cs="Arial"/>
          <w:i/>
        </w:rPr>
        <w:t>(vi)</w:t>
      </w:r>
      <w:r>
        <w:rPr>
          <w:rFonts w:ascii="Arial" w:hAnsi="Arial" w:cs="Arial"/>
          <w:i/>
        </w:rPr>
        <w:tab/>
        <w:t xml:space="preserve">the measure of the scope of mercy depends upon the circumstances of </w:t>
      </w:r>
      <w:r>
        <w:rPr>
          <w:rFonts w:ascii="Arial" w:hAnsi="Arial" w:cs="Arial"/>
          <w:i/>
        </w:rPr>
        <w:tab/>
        <w:t>each case.</w:t>
      </w:r>
      <w:r w:rsidR="00D76BA5">
        <w:rPr>
          <w:rFonts w:ascii="Arial" w:hAnsi="Arial" w:cs="Arial"/>
          <w:i/>
        </w:rPr>
        <w:t>”</w:t>
      </w:r>
    </w:p>
    <w:p w:rsidR="00A42E5E" w:rsidRPr="00A42E5E" w:rsidRDefault="00A42E5E" w:rsidP="00A42E5E">
      <w:pPr>
        <w:pStyle w:val="ListParagraph"/>
        <w:rPr>
          <w:rFonts w:ascii="Arial" w:hAnsi="Arial" w:cs="Arial"/>
          <w:b/>
          <w:sz w:val="24"/>
          <w:szCs w:val="24"/>
        </w:rPr>
      </w:pPr>
    </w:p>
    <w:p w:rsidR="00D76BA5" w:rsidRDefault="00D76BA5" w:rsidP="00753FF9">
      <w:pPr>
        <w:pStyle w:val="ListParagraph"/>
        <w:spacing w:line="480" w:lineRule="auto"/>
        <w:ind w:left="0"/>
        <w:jc w:val="both"/>
        <w:rPr>
          <w:rFonts w:ascii="Arial" w:hAnsi="Arial" w:cs="Arial"/>
          <w:b/>
          <w:sz w:val="24"/>
          <w:szCs w:val="24"/>
        </w:rPr>
      </w:pPr>
    </w:p>
    <w:p w:rsidR="00753FF9" w:rsidRPr="00753FF9" w:rsidRDefault="00753FF9" w:rsidP="00753FF9">
      <w:pPr>
        <w:pStyle w:val="ListParagraph"/>
        <w:spacing w:line="480" w:lineRule="auto"/>
        <w:ind w:left="0"/>
        <w:jc w:val="both"/>
        <w:rPr>
          <w:rFonts w:ascii="Arial" w:hAnsi="Arial" w:cs="Arial"/>
          <w:b/>
          <w:sz w:val="24"/>
          <w:szCs w:val="24"/>
          <w:u w:val="single"/>
        </w:rPr>
      </w:pPr>
      <w:r>
        <w:rPr>
          <w:rFonts w:ascii="Arial" w:hAnsi="Arial" w:cs="Arial"/>
          <w:b/>
          <w:sz w:val="24"/>
          <w:szCs w:val="24"/>
        </w:rPr>
        <w:t>Issue to be decided</w:t>
      </w:r>
    </w:p>
    <w:p w:rsidR="002079CE" w:rsidRPr="002079CE" w:rsidRDefault="00323978" w:rsidP="00323978">
      <w:pPr>
        <w:pStyle w:val="ListParagraph"/>
        <w:tabs>
          <w:tab w:val="left" w:pos="720"/>
        </w:tabs>
        <w:spacing w:line="480" w:lineRule="auto"/>
        <w:ind w:left="0"/>
        <w:jc w:val="both"/>
        <w:rPr>
          <w:rFonts w:ascii="Arial" w:hAnsi="Arial" w:cs="Arial"/>
          <w:b/>
          <w:sz w:val="24"/>
          <w:szCs w:val="24"/>
          <w:u w:val="single"/>
        </w:rPr>
      </w:pPr>
      <w:r>
        <w:rPr>
          <w:rFonts w:ascii="Arial" w:hAnsi="Arial" w:cs="Arial"/>
          <w:sz w:val="24"/>
          <w:szCs w:val="24"/>
        </w:rPr>
        <w:t>[13]</w:t>
      </w:r>
      <w:r>
        <w:rPr>
          <w:rFonts w:ascii="Arial" w:hAnsi="Arial" w:cs="Arial"/>
          <w:sz w:val="24"/>
          <w:szCs w:val="24"/>
        </w:rPr>
        <w:tab/>
      </w:r>
      <w:r w:rsidR="002079CE">
        <w:rPr>
          <w:rFonts w:ascii="Arial" w:hAnsi="Arial" w:cs="Arial"/>
          <w:sz w:val="24"/>
          <w:szCs w:val="24"/>
        </w:rPr>
        <w:t>The crisp issues to be decided is whether:</w:t>
      </w:r>
    </w:p>
    <w:p w:rsidR="002079CE" w:rsidRPr="00F01561" w:rsidRDefault="00F01561" w:rsidP="00F01561">
      <w:pPr>
        <w:spacing w:line="480" w:lineRule="auto"/>
        <w:ind w:left="720" w:hanging="360"/>
        <w:jc w:val="both"/>
        <w:rPr>
          <w:rFonts w:ascii="Arial" w:hAnsi="Arial" w:cs="Arial"/>
          <w:b/>
          <w:sz w:val="24"/>
          <w:szCs w:val="24"/>
          <w:u w:val="single"/>
        </w:rPr>
      </w:pPr>
      <w:r w:rsidRPr="002079CE">
        <w:rPr>
          <w:rFonts w:ascii="Arial" w:hAnsi="Arial" w:cs="Arial"/>
          <w:sz w:val="24"/>
          <w:szCs w:val="24"/>
        </w:rPr>
        <w:t>(a)</w:t>
      </w:r>
      <w:r w:rsidRPr="002079CE">
        <w:rPr>
          <w:rFonts w:ascii="Arial" w:hAnsi="Arial" w:cs="Arial"/>
          <w:sz w:val="24"/>
          <w:szCs w:val="24"/>
        </w:rPr>
        <w:tab/>
      </w:r>
      <w:r w:rsidR="002079CE" w:rsidRPr="00F01561">
        <w:rPr>
          <w:rFonts w:ascii="Arial" w:hAnsi="Arial" w:cs="Arial"/>
          <w:sz w:val="24"/>
          <w:szCs w:val="24"/>
        </w:rPr>
        <w:t xml:space="preserve">there is any evidence that the victim </w:t>
      </w:r>
      <w:r w:rsidR="00EF051B" w:rsidRPr="00F01561">
        <w:rPr>
          <w:rFonts w:ascii="Arial" w:hAnsi="Arial" w:cs="Arial"/>
          <w:sz w:val="24"/>
          <w:szCs w:val="24"/>
        </w:rPr>
        <w:t>was assaulted because of his sexuality</w:t>
      </w:r>
      <w:r w:rsidR="002079CE" w:rsidRPr="00F01561">
        <w:rPr>
          <w:rFonts w:ascii="Arial" w:hAnsi="Arial" w:cs="Arial"/>
          <w:sz w:val="24"/>
          <w:szCs w:val="24"/>
        </w:rPr>
        <w:t xml:space="preserve"> and</w:t>
      </w:r>
    </w:p>
    <w:p w:rsidR="007A6071" w:rsidRPr="00F01561" w:rsidRDefault="00F01561" w:rsidP="00F01561">
      <w:pPr>
        <w:spacing w:line="480" w:lineRule="auto"/>
        <w:ind w:left="720" w:hanging="360"/>
        <w:jc w:val="both"/>
        <w:rPr>
          <w:rFonts w:ascii="Arial" w:hAnsi="Arial" w:cs="Arial"/>
          <w:b/>
          <w:sz w:val="24"/>
          <w:szCs w:val="24"/>
          <w:u w:val="single"/>
        </w:rPr>
      </w:pPr>
      <w:r w:rsidRPr="00EF051B">
        <w:rPr>
          <w:rFonts w:ascii="Arial" w:hAnsi="Arial" w:cs="Arial"/>
          <w:sz w:val="24"/>
          <w:szCs w:val="24"/>
        </w:rPr>
        <w:t>(b)</w:t>
      </w:r>
      <w:r w:rsidRPr="00EF051B">
        <w:rPr>
          <w:rFonts w:ascii="Arial" w:hAnsi="Arial" w:cs="Arial"/>
          <w:sz w:val="24"/>
          <w:szCs w:val="24"/>
        </w:rPr>
        <w:tab/>
      </w:r>
      <w:r w:rsidR="00753FF9" w:rsidRPr="00F01561">
        <w:rPr>
          <w:rFonts w:ascii="Arial" w:hAnsi="Arial" w:cs="Arial"/>
          <w:sz w:val="24"/>
          <w:szCs w:val="24"/>
        </w:rPr>
        <w:t xml:space="preserve"> the sentence imposed by the court </w:t>
      </w:r>
      <w:r w:rsidR="00753FF9" w:rsidRPr="00F01561">
        <w:rPr>
          <w:rFonts w:ascii="Arial" w:hAnsi="Arial" w:cs="Arial"/>
          <w:i/>
          <w:sz w:val="24"/>
          <w:szCs w:val="24"/>
        </w:rPr>
        <w:t>a quo</w:t>
      </w:r>
      <w:r w:rsidR="00753FF9" w:rsidRPr="00F01561">
        <w:rPr>
          <w:rFonts w:ascii="Arial" w:hAnsi="Arial" w:cs="Arial"/>
          <w:sz w:val="24"/>
          <w:szCs w:val="24"/>
        </w:rPr>
        <w:t xml:space="preserve"> is disturbingly inappropriate or is vitiated by a misdirection.</w:t>
      </w:r>
    </w:p>
    <w:p w:rsidR="004A49F5" w:rsidRDefault="004A49F5" w:rsidP="007A6071">
      <w:pPr>
        <w:pStyle w:val="ListParagraph"/>
        <w:spacing w:line="480" w:lineRule="auto"/>
        <w:ind w:left="0"/>
        <w:jc w:val="both"/>
        <w:rPr>
          <w:rFonts w:ascii="Arial" w:hAnsi="Arial" w:cs="Arial"/>
          <w:b/>
          <w:sz w:val="24"/>
          <w:szCs w:val="24"/>
        </w:rPr>
      </w:pPr>
    </w:p>
    <w:p w:rsidR="007A6071" w:rsidRPr="009B10EC" w:rsidRDefault="007A6071" w:rsidP="007A6071">
      <w:pPr>
        <w:pStyle w:val="ListParagraph"/>
        <w:spacing w:line="480" w:lineRule="auto"/>
        <w:ind w:left="0"/>
        <w:jc w:val="both"/>
        <w:rPr>
          <w:rFonts w:ascii="Arial" w:hAnsi="Arial" w:cs="Arial"/>
          <w:b/>
          <w:sz w:val="24"/>
          <w:szCs w:val="24"/>
        </w:rPr>
      </w:pPr>
      <w:r>
        <w:rPr>
          <w:rFonts w:ascii="Arial" w:hAnsi="Arial" w:cs="Arial"/>
          <w:b/>
          <w:sz w:val="24"/>
          <w:szCs w:val="24"/>
        </w:rPr>
        <w:t xml:space="preserve">Considerations of the court </w:t>
      </w:r>
      <w:r w:rsidRPr="009B10EC">
        <w:rPr>
          <w:rFonts w:ascii="Arial" w:hAnsi="Arial" w:cs="Arial"/>
          <w:b/>
          <w:i/>
          <w:sz w:val="24"/>
          <w:szCs w:val="24"/>
        </w:rPr>
        <w:t>a quo</w:t>
      </w:r>
    </w:p>
    <w:p w:rsidR="00B47046" w:rsidRPr="00B47046" w:rsidRDefault="00323978" w:rsidP="00323978">
      <w:pPr>
        <w:pStyle w:val="ListParagraph"/>
        <w:spacing w:line="480" w:lineRule="auto"/>
        <w:ind w:left="0"/>
        <w:jc w:val="both"/>
        <w:rPr>
          <w:rFonts w:ascii="Arial" w:hAnsi="Arial" w:cs="Arial"/>
          <w:b/>
          <w:sz w:val="24"/>
          <w:szCs w:val="24"/>
          <w:u w:val="single"/>
        </w:rPr>
      </w:pPr>
      <w:r>
        <w:rPr>
          <w:rFonts w:ascii="Arial" w:hAnsi="Arial" w:cs="Arial"/>
          <w:sz w:val="24"/>
          <w:szCs w:val="24"/>
        </w:rPr>
        <w:t>[14]</w:t>
      </w:r>
      <w:r>
        <w:rPr>
          <w:rFonts w:ascii="Arial" w:hAnsi="Arial" w:cs="Arial"/>
          <w:sz w:val="24"/>
          <w:szCs w:val="24"/>
        </w:rPr>
        <w:tab/>
      </w:r>
      <w:r w:rsidR="00B47046">
        <w:rPr>
          <w:rFonts w:ascii="Arial" w:hAnsi="Arial" w:cs="Arial"/>
          <w:sz w:val="24"/>
          <w:szCs w:val="24"/>
        </w:rPr>
        <w:t xml:space="preserve">The court </w:t>
      </w:r>
      <w:r w:rsidR="00B47046">
        <w:rPr>
          <w:rFonts w:ascii="Arial" w:hAnsi="Arial" w:cs="Arial"/>
          <w:i/>
          <w:sz w:val="24"/>
          <w:szCs w:val="24"/>
        </w:rPr>
        <w:t xml:space="preserve">a </w:t>
      </w:r>
      <w:r w:rsidR="00B47046" w:rsidRPr="00B47046">
        <w:rPr>
          <w:rFonts w:ascii="Arial" w:hAnsi="Arial" w:cs="Arial"/>
          <w:sz w:val="24"/>
          <w:szCs w:val="24"/>
        </w:rPr>
        <w:t>quo</w:t>
      </w:r>
      <w:r w:rsidR="00B47046">
        <w:rPr>
          <w:rFonts w:ascii="Arial" w:hAnsi="Arial" w:cs="Arial"/>
          <w:sz w:val="24"/>
          <w:szCs w:val="24"/>
        </w:rPr>
        <w:t>, in its sentence judgment remarked as follows:</w:t>
      </w:r>
    </w:p>
    <w:p w:rsidR="00B47046" w:rsidRDefault="00323978" w:rsidP="00B47046">
      <w:pPr>
        <w:pStyle w:val="ListParagraph"/>
        <w:spacing w:line="480" w:lineRule="auto"/>
        <w:ind w:right="720"/>
        <w:jc w:val="both"/>
        <w:rPr>
          <w:rFonts w:ascii="Arial" w:hAnsi="Arial" w:cs="Arial"/>
          <w:i/>
        </w:rPr>
      </w:pPr>
      <w:r>
        <w:rPr>
          <w:rFonts w:ascii="Arial" w:hAnsi="Arial" w:cs="Arial"/>
          <w:i/>
        </w:rPr>
        <w:t>“</w:t>
      </w:r>
      <w:r w:rsidR="00B47046">
        <w:rPr>
          <w:rFonts w:ascii="Arial" w:hAnsi="Arial" w:cs="Arial"/>
          <w:i/>
        </w:rPr>
        <w:t>The court in sentencing will look at the triad which is your personal circumstances, the seriousness of the crime, the society’s interest</w:t>
      </w:r>
      <w:r>
        <w:rPr>
          <w:rFonts w:ascii="Arial" w:hAnsi="Arial" w:cs="Arial"/>
          <w:i/>
        </w:rPr>
        <w:t xml:space="preserve"> </w:t>
      </w:r>
      <w:r w:rsidR="00B47046">
        <w:rPr>
          <w:rFonts w:ascii="Arial" w:hAnsi="Arial" w:cs="Arial"/>
          <w:i/>
        </w:rPr>
        <w:t>…</w:t>
      </w:r>
      <w:r>
        <w:rPr>
          <w:rFonts w:ascii="Arial" w:hAnsi="Arial" w:cs="Arial"/>
          <w:i/>
        </w:rPr>
        <w:t>”</w:t>
      </w:r>
    </w:p>
    <w:p w:rsidR="00B47046" w:rsidRPr="00B47046" w:rsidRDefault="00B47046" w:rsidP="00B47046">
      <w:pPr>
        <w:pStyle w:val="ListParagraph"/>
        <w:spacing w:line="480" w:lineRule="auto"/>
        <w:ind w:right="720"/>
        <w:jc w:val="both"/>
        <w:rPr>
          <w:rFonts w:ascii="Arial" w:hAnsi="Arial" w:cs="Arial"/>
          <w:i/>
        </w:rPr>
      </w:pPr>
    </w:p>
    <w:p w:rsidR="007A6071" w:rsidRPr="00B47046" w:rsidRDefault="00323978" w:rsidP="00323978">
      <w:pPr>
        <w:pStyle w:val="ListParagraph"/>
        <w:spacing w:line="480" w:lineRule="auto"/>
        <w:ind w:left="0"/>
        <w:jc w:val="both"/>
        <w:rPr>
          <w:rFonts w:ascii="Arial" w:hAnsi="Arial" w:cs="Arial"/>
          <w:b/>
          <w:sz w:val="24"/>
          <w:szCs w:val="24"/>
          <w:u w:val="single"/>
        </w:rPr>
      </w:pPr>
      <w:r>
        <w:rPr>
          <w:rFonts w:ascii="Arial" w:hAnsi="Arial" w:cs="Arial"/>
          <w:sz w:val="24"/>
          <w:szCs w:val="24"/>
        </w:rPr>
        <w:t>[15]</w:t>
      </w:r>
      <w:r>
        <w:rPr>
          <w:rFonts w:ascii="Arial" w:hAnsi="Arial" w:cs="Arial"/>
          <w:sz w:val="24"/>
          <w:szCs w:val="24"/>
        </w:rPr>
        <w:tab/>
      </w:r>
      <w:r w:rsidR="007A6071" w:rsidRPr="00B47046">
        <w:rPr>
          <w:rFonts w:ascii="Arial" w:hAnsi="Arial" w:cs="Arial"/>
          <w:sz w:val="24"/>
          <w:szCs w:val="24"/>
        </w:rPr>
        <w:t>The court further took into account that the Appellant was not a first offender as he was previously convicted f</w:t>
      </w:r>
      <w:r w:rsidR="000427DC" w:rsidRPr="00B47046">
        <w:rPr>
          <w:rFonts w:ascii="Arial" w:hAnsi="Arial" w:cs="Arial"/>
          <w:sz w:val="24"/>
          <w:szCs w:val="24"/>
        </w:rPr>
        <w:t>or a similar offence. It is furthermore apparen</w:t>
      </w:r>
      <w:r w:rsidR="007A6071" w:rsidRPr="00B47046">
        <w:rPr>
          <w:rFonts w:ascii="Arial" w:hAnsi="Arial" w:cs="Arial"/>
          <w:sz w:val="24"/>
          <w:szCs w:val="24"/>
        </w:rPr>
        <w:t xml:space="preserve">t that the court </w:t>
      </w:r>
      <w:r w:rsidR="000427DC" w:rsidRPr="00B47046">
        <w:rPr>
          <w:rFonts w:ascii="Arial" w:hAnsi="Arial" w:cs="Arial"/>
          <w:i/>
          <w:sz w:val="24"/>
          <w:szCs w:val="24"/>
        </w:rPr>
        <w:t>a quo</w:t>
      </w:r>
      <w:r w:rsidR="000427DC" w:rsidRPr="00B47046">
        <w:rPr>
          <w:rFonts w:ascii="Arial" w:hAnsi="Arial" w:cs="Arial"/>
          <w:sz w:val="24"/>
          <w:szCs w:val="24"/>
        </w:rPr>
        <w:t xml:space="preserve"> </w:t>
      </w:r>
      <w:r w:rsidR="007A6071" w:rsidRPr="00B47046">
        <w:rPr>
          <w:rFonts w:ascii="Arial" w:hAnsi="Arial" w:cs="Arial"/>
          <w:sz w:val="24"/>
          <w:szCs w:val="24"/>
        </w:rPr>
        <w:t>considered the prospect of rehabilitation.</w:t>
      </w:r>
      <w:r w:rsidR="007A6071">
        <w:rPr>
          <w:rStyle w:val="FootnoteReference"/>
          <w:rFonts w:ascii="Arial" w:hAnsi="Arial" w:cs="Arial"/>
          <w:sz w:val="24"/>
          <w:szCs w:val="24"/>
        </w:rPr>
        <w:footnoteReference w:id="10"/>
      </w:r>
      <w:r w:rsidR="007A6071" w:rsidRPr="00B47046">
        <w:rPr>
          <w:rFonts w:ascii="Arial" w:hAnsi="Arial" w:cs="Arial"/>
          <w:sz w:val="24"/>
          <w:szCs w:val="24"/>
        </w:rPr>
        <w:t xml:space="preserve">  The court dealt with the rehabilitation </w:t>
      </w:r>
      <w:r w:rsidRPr="00B47046">
        <w:rPr>
          <w:rFonts w:ascii="Arial" w:hAnsi="Arial" w:cs="Arial"/>
          <w:sz w:val="24"/>
          <w:szCs w:val="24"/>
        </w:rPr>
        <w:t>consideration within</w:t>
      </w:r>
      <w:r w:rsidR="007A6071" w:rsidRPr="00B47046">
        <w:rPr>
          <w:rFonts w:ascii="Arial" w:hAnsi="Arial" w:cs="Arial"/>
          <w:sz w:val="24"/>
          <w:szCs w:val="24"/>
        </w:rPr>
        <w:t xml:space="preserve"> the context of whether accepting responsibility and showing remorse.</w:t>
      </w:r>
    </w:p>
    <w:p w:rsidR="007A6071" w:rsidRPr="00BF23F0" w:rsidRDefault="007A6071" w:rsidP="007A6071">
      <w:pPr>
        <w:pStyle w:val="ListParagraph"/>
        <w:rPr>
          <w:rFonts w:ascii="Arial" w:hAnsi="Arial" w:cs="Arial"/>
          <w:b/>
          <w:sz w:val="24"/>
          <w:szCs w:val="24"/>
          <w:u w:val="single"/>
        </w:rPr>
      </w:pPr>
    </w:p>
    <w:p w:rsidR="007A6071" w:rsidRPr="00323978" w:rsidRDefault="00323978" w:rsidP="00323978">
      <w:pPr>
        <w:spacing w:line="480" w:lineRule="auto"/>
        <w:jc w:val="both"/>
        <w:rPr>
          <w:rFonts w:ascii="Arial" w:hAnsi="Arial" w:cs="Arial"/>
          <w:b/>
          <w:sz w:val="24"/>
          <w:szCs w:val="24"/>
          <w:u w:val="single"/>
        </w:rPr>
      </w:pPr>
      <w:r>
        <w:rPr>
          <w:rFonts w:ascii="Arial" w:hAnsi="Arial" w:cs="Arial"/>
          <w:sz w:val="24"/>
          <w:szCs w:val="24"/>
        </w:rPr>
        <w:t>[16]</w:t>
      </w:r>
      <w:r>
        <w:rPr>
          <w:rFonts w:ascii="Arial" w:hAnsi="Arial" w:cs="Arial"/>
          <w:sz w:val="24"/>
          <w:szCs w:val="24"/>
        </w:rPr>
        <w:tab/>
      </w:r>
      <w:r w:rsidR="007A6071" w:rsidRPr="00323978">
        <w:rPr>
          <w:rFonts w:ascii="Arial" w:hAnsi="Arial" w:cs="Arial"/>
          <w:sz w:val="24"/>
          <w:szCs w:val="24"/>
        </w:rPr>
        <w:t xml:space="preserve">The court </w:t>
      </w:r>
      <w:r w:rsidR="007A6071" w:rsidRPr="00323978">
        <w:rPr>
          <w:rFonts w:ascii="Arial" w:hAnsi="Arial" w:cs="Arial"/>
          <w:i/>
          <w:sz w:val="24"/>
          <w:szCs w:val="24"/>
        </w:rPr>
        <w:t>a quo</w:t>
      </w:r>
      <w:r w:rsidR="007A6071" w:rsidRPr="00323978">
        <w:rPr>
          <w:rFonts w:ascii="Arial" w:hAnsi="Arial" w:cs="Arial"/>
          <w:sz w:val="24"/>
          <w:szCs w:val="24"/>
        </w:rPr>
        <w:t xml:space="preserve"> took into account the objectives of sentence in reference to decided case authorities on this point. The court considered the seriousness of the </w:t>
      </w:r>
      <w:r w:rsidR="007A6071" w:rsidRPr="00323978">
        <w:rPr>
          <w:rFonts w:ascii="Arial" w:hAnsi="Arial" w:cs="Arial"/>
          <w:sz w:val="24"/>
          <w:szCs w:val="24"/>
        </w:rPr>
        <w:lastRenderedPageBreak/>
        <w:t>offence and was alive to the fundamental legal principal referred to in a plethora of case law that the punishment must fit the crime.</w:t>
      </w:r>
    </w:p>
    <w:p w:rsidR="00323978" w:rsidRDefault="00323978" w:rsidP="00323978">
      <w:pPr>
        <w:pStyle w:val="ListParagraph"/>
        <w:spacing w:line="480" w:lineRule="auto"/>
        <w:ind w:left="0"/>
        <w:jc w:val="both"/>
        <w:rPr>
          <w:rFonts w:ascii="Arial" w:hAnsi="Arial" w:cs="Arial"/>
          <w:b/>
          <w:sz w:val="24"/>
          <w:szCs w:val="24"/>
          <w:u w:val="single"/>
        </w:rPr>
      </w:pPr>
    </w:p>
    <w:p w:rsidR="007A6071" w:rsidRPr="000106A4" w:rsidRDefault="00323978" w:rsidP="00323978">
      <w:pPr>
        <w:pStyle w:val="ListParagraph"/>
        <w:spacing w:line="480" w:lineRule="auto"/>
        <w:ind w:left="0"/>
        <w:jc w:val="both"/>
        <w:rPr>
          <w:rFonts w:ascii="Arial" w:hAnsi="Arial" w:cs="Arial"/>
          <w:b/>
          <w:sz w:val="24"/>
          <w:szCs w:val="24"/>
          <w:u w:val="single"/>
        </w:rPr>
      </w:pPr>
      <w:r w:rsidRPr="00323978">
        <w:rPr>
          <w:rFonts w:ascii="Arial" w:hAnsi="Arial" w:cs="Arial"/>
          <w:sz w:val="24"/>
          <w:szCs w:val="24"/>
        </w:rPr>
        <w:t>[17]</w:t>
      </w:r>
      <w:r>
        <w:rPr>
          <w:rFonts w:ascii="Arial" w:hAnsi="Arial" w:cs="Arial"/>
          <w:sz w:val="24"/>
          <w:szCs w:val="24"/>
        </w:rPr>
        <w:tab/>
        <w:t>The court a</w:t>
      </w:r>
      <w:r w:rsidR="000427DC" w:rsidRPr="000427DC">
        <w:rPr>
          <w:rFonts w:ascii="Arial" w:hAnsi="Arial" w:cs="Arial"/>
          <w:i/>
          <w:sz w:val="24"/>
          <w:szCs w:val="24"/>
        </w:rPr>
        <w:t xml:space="preserve"> quo</w:t>
      </w:r>
      <w:r w:rsidR="000427DC">
        <w:rPr>
          <w:rFonts w:ascii="Arial" w:hAnsi="Arial" w:cs="Arial"/>
          <w:sz w:val="24"/>
          <w:szCs w:val="24"/>
        </w:rPr>
        <w:t xml:space="preserve"> also referring to </w:t>
      </w:r>
      <w:r w:rsidR="000427DC" w:rsidRPr="00FD52C8">
        <w:rPr>
          <w:rFonts w:ascii="Arial" w:hAnsi="Arial" w:cs="Arial"/>
          <w:b/>
          <w:i/>
          <w:sz w:val="24"/>
          <w:szCs w:val="24"/>
        </w:rPr>
        <w:t>S v Matyityi</w:t>
      </w:r>
      <w:r w:rsidR="000427DC">
        <w:rPr>
          <w:rStyle w:val="FootnoteReference"/>
          <w:rFonts w:ascii="Arial" w:hAnsi="Arial" w:cs="Arial"/>
          <w:b/>
          <w:i/>
          <w:sz w:val="24"/>
          <w:szCs w:val="24"/>
        </w:rPr>
        <w:footnoteReference w:id="11"/>
      </w:r>
      <w:r w:rsidR="000427DC">
        <w:rPr>
          <w:rFonts w:ascii="Arial" w:hAnsi="Arial" w:cs="Arial"/>
          <w:b/>
          <w:i/>
          <w:sz w:val="24"/>
          <w:szCs w:val="24"/>
        </w:rPr>
        <w:t xml:space="preserve"> </w:t>
      </w:r>
      <w:r w:rsidR="000427DC">
        <w:rPr>
          <w:rFonts w:ascii="Arial" w:hAnsi="Arial" w:cs="Arial"/>
          <w:sz w:val="24"/>
          <w:szCs w:val="24"/>
        </w:rPr>
        <w:t>considered what was referred to as the fourth principle, namely that sentences have to be victim centred.</w:t>
      </w:r>
      <w:r w:rsidR="00FB2F31" w:rsidRPr="00FB2F31">
        <w:rPr>
          <w:rStyle w:val="FootnoteReference"/>
          <w:rFonts w:ascii="Arial" w:hAnsi="Arial" w:cs="Arial"/>
          <w:sz w:val="24"/>
          <w:szCs w:val="24"/>
        </w:rPr>
        <w:t xml:space="preserve"> </w:t>
      </w:r>
      <w:r w:rsidR="00FB2F31">
        <w:rPr>
          <w:rStyle w:val="FootnoteReference"/>
          <w:rFonts w:ascii="Arial" w:hAnsi="Arial" w:cs="Arial"/>
          <w:sz w:val="24"/>
          <w:szCs w:val="24"/>
        </w:rPr>
        <w:footnoteReference w:id="12"/>
      </w:r>
      <w:r w:rsidR="00FB2F31">
        <w:rPr>
          <w:rFonts w:ascii="Arial" w:hAnsi="Arial" w:cs="Arial"/>
          <w:sz w:val="24"/>
          <w:szCs w:val="24"/>
        </w:rPr>
        <w:t xml:space="preserve"> </w:t>
      </w:r>
      <w:r w:rsidR="007A6071" w:rsidRPr="000106A4">
        <w:rPr>
          <w:rFonts w:ascii="Arial" w:hAnsi="Arial" w:cs="Arial"/>
          <w:sz w:val="24"/>
          <w:szCs w:val="24"/>
        </w:rPr>
        <w:t>In this regard the court considered that the victim still suffers with constant headaches</w:t>
      </w:r>
      <w:r>
        <w:rPr>
          <w:rFonts w:ascii="Arial" w:hAnsi="Arial" w:cs="Arial"/>
          <w:sz w:val="24"/>
          <w:szCs w:val="24"/>
        </w:rPr>
        <w:t>.</w:t>
      </w:r>
      <w:r w:rsidR="007A6071" w:rsidRPr="000106A4">
        <w:rPr>
          <w:rFonts w:ascii="Arial" w:hAnsi="Arial" w:cs="Arial"/>
          <w:sz w:val="24"/>
          <w:szCs w:val="24"/>
        </w:rPr>
        <w:t xml:space="preserve"> Additionally, the injury has caused disfigurement that could not be corrected through plastic surgery and the traumatic effect this has on the moral and confidence of the complainant. </w:t>
      </w:r>
    </w:p>
    <w:p w:rsidR="007A6071" w:rsidRPr="00850C9F" w:rsidRDefault="007A6071" w:rsidP="007A6071">
      <w:pPr>
        <w:pStyle w:val="ListParagraph"/>
        <w:rPr>
          <w:rFonts w:ascii="Arial" w:hAnsi="Arial" w:cs="Arial"/>
          <w:b/>
          <w:sz w:val="24"/>
          <w:szCs w:val="24"/>
          <w:u w:val="single"/>
        </w:rPr>
      </w:pPr>
    </w:p>
    <w:p w:rsidR="007A6071" w:rsidRPr="000106A4" w:rsidRDefault="00323978" w:rsidP="00323978">
      <w:pPr>
        <w:pStyle w:val="ListParagraph"/>
        <w:tabs>
          <w:tab w:val="left" w:pos="720"/>
        </w:tabs>
        <w:spacing w:line="480" w:lineRule="auto"/>
        <w:ind w:left="0"/>
        <w:jc w:val="both"/>
        <w:rPr>
          <w:rFonts w:ascii="Arial" w:hAnsi="Arial" w:cs="Arial"/>
          <w:b/>
          <w:sz w:val="24"/>
          <w:szCs w:val="24"/>
          <w:u w:val="single"/>
        </w:rPr>
      </w:pPr>
      <w:r>
        <w:rPr>
          <w:rFonts w:ascii="Arial" w:hAnsi="Arial" w:cs="Arial"/>
          <w:sz w:val="24"/>
          <w:szCs w:val="24"/>
        </w:rPr>
        <w:t>[18]</w:t>
      </w:r>
      <w:r>
        <w:rPr>
          <w:rFonts w:ascii="Arial" w:hAnsi="Arial" w:cs="Arial"/>
          <w:sz w:val="24"/>
          <w:szCs w:val="24"/>
        </w:rPr>
        <w:tab/>
      </w:r>
      <w:r w:rsidR="007A6071">
        <w:rPr>
          <w:rFonts w:ascii="Arial" w:hAnsi="Arial" w:cs="Arial"/>
          <w:sz w:val="24"/>
          <w:szCs w:val="24"/>
        </w:rPr>
        <w:t xml:space="preserve">The court </w:t>
      </w:r>
      <w:r w:rsidR="007A6071" w:rsidRPr="00850C9F">
        <w:rPr>
          <w:rFonts w:ascii="Arial" w:hAnsi="Arial" w:cs="Arial"/>
          <w:i/>
          <w:sz w:val="24"/>
          <w:szCs w:val="24"/>
        </w:rPr>
        <w:t>a quo</w:t>
      </w:r>
      <w:r w:rsidR="007A6071">
        <w:rPr>
          <w:rFonts w:ascii="Arial" w:hAnsi="Arial" w:cs="Arial"/>
          <w:i/>
          <w:sz w:val="24"/>
          <w:szCs w:val="24"/>
        </w:rPr>
        <w:t xml:space="preserve"> </w:t>
      </w:r>
      <w:r w:rsidR="007A6071">
        <w:rPr>
          <w:rFonts w:ascii="Arial" w:hAnsi="Arial" w:cs="Arial"/>
          <w:sz w:val="24"/>
          <w:szCs w:val="24"/>
        </w:rPr>
        <w:t>found that the only sentence which will “balance or address or deter” the Appellant would be direct imprisonment.</w:t>
      </w:r>
      <w:r w:rsidR="007A6071">
        <w:rPr>
          <w:rStyle w:val="FootnoteReference"/>
          <w:rFonts w:ascii="Arial" w:hAnsi="Arial" w:cs="Arial"/>
          <w:sz w:val="24"/>
          <w:szCs w:val="24"/>
        </w:rPr>
        <w:footnoteReference w:id="13"/>
      </w:r>
    </w:p>
    <w:p w:rsidR="006F7754" w:rsidRDefault="006F7754" w:rsidP="007A6071">
      <w:pPr>
        <w:pStyle w:val="ListParagraph"/>
        <w:spacing w:line="480" w:lineRule="auto"/>
        <w:ind w:left="0"/>
        <w:jc w:val="both"/>
        <w:rPr>
          <w:rFonts w:ascii="Arial" w:hAnsi="Arial" w:cs="Arial"/>
          <w:b/>
          <w:sz w:val="24"/>
          <w:szCs w:val="24"/>
        </w:rPr>
      </w:pPr>
    </w:p>
    <w:p w:rsidR="00323978" w:rsidRDefault="00323978" w:rsidP="007A6071">
      <w:pPr>
        <w:pStyle w:val="ListParagraph"/>
        <w:spacing w:line="480" w:lineRule="auto"/>
        <w:ind w:left="0"/>
        <w:jc w:val="both"/>
        <w:rPr>
          <w:rFonts w:ascii="Arial" w:hAnsi="Arial" w:cs="Arial"/>
          <w:b/>
          <w:sz w:val="24"/>
          <w:szCs w:val="24"/>
        </w:rPr>
      </w:pPr>
    </w:p>
    <w:p w:rsidR="007A6071" w:rsidRPr="00BF0AFA" w:rsidRDefault="007A6071" w:rsidP="007A6071">
      <w:pPr>
        <w:pStyle w:val="ListParagraph"/>
        <w:spacing w:line="480" w:lineRule="auto"/>
        <w:ind w:left="0"/>
        <w:jc w:val="both"/>
        <w:rPr>
          <w:rFonts w:ascii="Arial" w:hAnsi="Arial" w:cs="Arial"/>
          <w:b/>
          <w:sz w:val="24"/>
          <w:szCs w:val="24"/>
          <w:u w:val="single"/>
        </w:rPr>
      </w:pPr>
      <w:r>
        <w:rPr>
          <w:rFonts w:ascii="Arial" w:hAnsi="Arial" w:cs="Arial"/>
          <w:b/>
          <w:sz w:val="24"/>
          <w:szCs w:val="24"/>
        </w:rPr>
        <w:t>Seriousness of the offence</w:t>
      </w:r>
    </w:p>
    <w:p w:rsidR="007A6071" w:rsidRPr="00323978" w:rsidRDefault="00323978" w:rsidP="00323978">
      <w:pPr>
        <w:spacing w:line="480" w:lineRule="auto"/>
        <w:jc w:val="both"/>
        <w:rPr>
          <w:rFonts w:ascii="Arial" w:hAnsi="Arial" w:cs="Arial"/>
          <w:b/>
          <w:sz w:val="24"/>
          <w:szCs w:val="24"/>
          <w:u w:val="single"/>
        </w:rPr>
      </w:pPr>
      <w:r>
        <w:rPr>
          <w:rFonts w:ascii="Arial" w:hAnsi="Arial" w:cs="Arial"/>
          <w:sz w:val="24"/>
          <w:szCs w:val="24"/>
        </w:rPr>
        <w:t>[19]</w:t>
      </w:r>
      <w:r>
        <w:rPr>
          <w:rFonts w:ascii="Arial" w:hAnsi="Arial" w:cs="Arial"/>
          <w:sz w:val="24"/>
          <w:szCs w:val="24"/>
        </w:rPr>
        <w:tab/>
      </w:r>
      <w:r w:rsidR="007A6071" w:rsidRPr="00323978">
        <w:rPr>
          <w:rFonts w:ascii="Arial" w:hAnsi="Arial" w:cs="Arial"/>
          <w:sz w:val="24"/>
          <w:szCs w:val="24"/>
        </w:rPr>
        <w:t xml:space="preserve">The complainant sustained a serious injury. In this regard, Dr De Klerk testified that the complainant had an open wound on his forehead, measuring 5cm in length with some bony fragments in the wound.  According to Dr De Klerk, there was a depression in the skull which suggested a skull fracture. The doctor further orated that the injury was an open skull fracture, which was life-threatening with what she termed a </w:t>
      </w:r>
      <w:r w:rsidR="007A6071" w:rsidRPr="00323978">
        <w:rPr>
          <w:rFonts w:ascii="Arial" w:hAnsi="Arial" w:cs="Arial"/>
          <w:i/>
          <w:sz w:val="24"/>
          <w:szCs w:val="24"/>
        </w:rPr>
        <w:t>“lot of life threatening complications.”</w:t>
      </w:r>
      <w:r w:rsidR="007A6071">
        <w:rPr>
          <w:rStyle w:val="FootnoteReference"/>
          <w:rFonts w:ascii="Arial" w:hAnsi="Arial" w:cs="Arial"/>
          <w:i/>
          <w:sz w:val="24"/>
          <w:szCs w:val="24"/>
        </w:rPr>
        <w:footnoteReference w:id="14"/>
      </w:r>
      <w:r w:rsidR="007A6071" w:rsidRPr="00323978">
        <w:rPr>
          <w:rFonts w:ascii="Arial" w:hAnsi="Arial" w:cs="Arial"/>
          <w:sz w:val="24"/>
          <w:szCs w:val="24"/>
        </w:rPr>
        <w:t xml:space="preserve"> Dr De Klerk further opined that if there had been a delay in administering the necessary medical care, the likelihood existed that </w:t>
      </w:r>
      <w:r w:rsidR="007A6071" w:rsidRPr="00323978">
        <w:rPr>
          <w:rFonts w:ascii="Arial" w:hAnsi="Arial" w:cs="Arial"/>
          <w:sz w:val="24"/>
          <w:szCs w:val="24"/>
        </w:rPr>
        <w:lastRenderedPageBreak/>
        <w:t>the complainant may have died.</w:t>
      </w:r>
      <w:r w:rsidR="007A6071">
        <w:rPr>
          <w:rStyle w:val="FootnoteReference"/>
          <w:rFonts w:ascii="Arial" w:hAnsi="Arial" w:cs="Arial"/>
          <w:sz w:val="24"/>
          <w:szCs w:val="24"/>
        </w:rPr>
        <w:footnoteReference w:id="15"/>
      </w:r>
      <w:r w:rsidR="007A6071" w:rsidRPr="00323978">
        <w:rPr>
          <w:rFonts w:ascii="Arial" w:hAnsi="Arial" w:cs="Arial"/>
          <w:sz w:val="24"/>
          <w:szCs w:val="24"/>
        </w:rPr>
        <w:t xml:space="preserve"> Further evident from Dr De Klerk’s testimony is that a lot of force was used to cause the injury which has left the complainant disfigured. From this the doctor deduced that the object that caused the injury would have been heavy.</w:t>
      </w:r>
    </w:p>
    <w:p w:rsidR="007A6071" w:rsidRPr="009947BC" w:rsidRDefault="007A6071" w:rsidP="007A6071">
      <w:pPr>
        <w:pStyle w:val="ListParagraph"/>
        <w:spacing w:line="480" w:lineRule="auto"/>
        <w:ind w:left="0"/>
        <w:jc w:val="both"/>
        <w:rPr>
          <w:rFonts w:ascii="Arial" w:hAnsi="Arial" w:cs="Arial"/>
          <w:b/>
          <w:sz w:val="24"/>
          <w:szCs w:val="24"/>
          <w:u w:val="single"/>
        </w:rPr>
      </w:pPr>
    </w:p>
    <w:p w:rsidR="00FF1A53" w:rsidRPr="00127FAF" w:rsidRDefault="00323978" w:rsidP="00323978">
      <w:pPr>
        <w:pStyle w:val="ListParagraph"/>
        <w:spacing w:after="0" w:line="480" w:lineRule="auto"/>
        <w:ind w:left="0"/>
        <w:rPr>
          <w:rFonts w:ascii="Arial" w:eastAsia="Times New Roman" w:hAnsi="Arial" w:cs="Arial"/>
          <w:sz w:val="24"/>
          <w:szCs w:val="24"/>
          <w:shd w:val="clear" w:color="auto" w:fill="FFFFFF"/>
          <w:lang w:eastAsia="en-GB"/>
        </w:rPr>
      </w:pPr>
      <w:r>
        <w:rPr>
          <w:rFonts w:ascii="Arial" w:eastAsia="Times New Roman" w:hAnsi="Arial" w:cs="Arial"/>
          <w:sz w:val="24"/>
          <w:szCs w:val="24"/>
          <w:lang w:val="en-GB" w:eastAsia="en-GB"/>
        </w:rPr>
        <w:t>[20]</w:t>
      </w:r>
      <w:r>
        <w:rPr>
          <w:rFonts w:ascii="Arial" w:eastAsia="Times New Roman" w:hAnsi="Arial" w:cs="Arial"/>
          <w:sz w:val="24"/>
          <w:szCs w:val="24"/>
          <w:lang w:val="en-GB" w:eastAsia="en-GB"/>
        </w:rPr>
        <w:tab/>
      </w:r>
      <w:r w:rsidR="00FF1A53" w:rsidRPr="00F6662F">
        <w:rPr>
          <w:rFonts w:ascii="Arial" w:eastAsia="Times New Roman" w:hAnsi="Arial" w:cs="Arial"/>
          <w:sz w:val="24"/>
          <w:szCs w:val="24"/>
          <w:lang w:val="en-GB" w:eastAsia="en-GB"/>
        </w:rPr>
        <w:t xml:space="preserve">The nature of the injury was such that the complainant had to undergo an emergency skull operation. The depression in the skull was suggestive of a skull </w:t>
      </w:r>
      <w:r>
        <w:rPr>
          <w:rFonts w:ascii="Arial" w:eastAsia="Times New Roman" w:hAnsi="Arial" w:cs="Arial"/>
          <w:sz w:val="24"/>
          <w:szCs w:val="24"/>
          <w:lang w:val="en-GB" w:eastAsia="en-GB"/>
        </w:rPr>
        <w:t>f</w:t>
      </w:r>
      <w:r w:rsidR="00FF1A53" w:rsidRPr="00F6662F">
        <w:rPr>
          <w:rFonts w:ascii="Arial" w:eastAsia="Times New Roman" w:hAnsi="Arial" w:cs="Arial"/>
          <w:sz w:val="24"/>
          <w:szCs w:val="24"/>
          <w:lang w:val="en-GB" w:eastAsia="en-GB"/>
        </w:rPr>
        <w:t xml:space="preserve">racture. </w:t>
      </w:r>
      <w:r w:rsidR="00FF1A53">
        <w:rPr>
          <w:rFonts w:ascii="Arial" w:eastAsia="Times New Roman" w:hAnsi="Arial" w:cs="Arial"/>
          <w:sz w:val="24"/>
          <w:szCs w:val="24"/>
          <w:lang w:val="en-GB" w:eastAsia="en-GB"/>
        </w:rPr>
        <w:t>The life threatening nature of the injury was explained by the doctor who orated that:</w:t>
      </w:r>
    </w:p>
    <w:p w:rsidR="00FF1A53" w:rsidRPr="00127FAF" w:rsidRDefault="00FF1A53" w:rsidP="00FF1A53">
      <w:pPr>
        <w:pStyle w:val="ListParagraph"/>
        <w:rPr>
          <w:rFonts w:ascii="Arial" w:eastAsia="Times New Roman" w:hAnsi="Arial" w:cs="Arial"/>
          <w:sz w:val="24"/>
          <w:szCs w:val="24"/>
          <w:shd w:val="clear" w:color="auto" w:fill="FFFFFF"/>
          <w:lang w:eastAsia="en-GB"/>
        </w:rPr>
      </w:pPr>
    </w:p>
    <w:p w:rsidR="00FF1A53" w:rsidRDefault="00323978" w:rsidP="00F75677">
      <w:pPr>
        <w:pStyle w:val="ListParagraph"/>
        <w:spacing w:after="0" w:line="360" w:lineRule="auto"/>
        <w:ind w:right="864"/>
        <w:rPr>
          <w:rFonts w:ascii="Arial" w:eastAsia="Times New Roman" w:hAnsi="Arial" w:cs="Arial"/>
          <w:i/>
          <w:shd w:val="clear" w:color="auto" w:fill="FFFFFF"/>
          <w:lang w:eastAsia="en-GB"/>
        </w:rPr>
      </w:pPr>
      <w:r>
        <w:rPr>
          <w:rFonts w:ascii="Arial" w:eastAsia="Times New Roman" w:hAnsi="Arial" w:cs="Arial"/>
          <w:i/>
          <w:shd w:val="clear" w:color="auto" w:fill="FFFFFF"/>
          <w:lang w:eastAsia="en-GB"/>
        </w:rPr>
        <w:t>“</w:t>
      </w:r>
      <w:r w:rsidR="00FF1A53">
        <w:rPr>
          <w:rFonts w:ascii="Arial" w:eastAsia="Times New Roman" w:hAnsi="Arial" w:cs="Arial"/>
          <w:i/>
          <w:shd w:val="clear" w:color="auto" w:fill="FFFFFF"/>
          <w:lang w:eastAsia="en-GB"/>
        </w:rPr>
        <w:t>There are clinical signs that you look for and obviously I felt that clinical signs were there and that is why he qualified for a CT brain. And the risk we have there is bleeding on the brain. Brain contusions which need then urgent surgery. So once again this patient needs to get to George and if the patient has got a brain bleed it might me (sic) number 1 it might be large and number 2 it might be an expanded bleed. So you don’t know how much time you have for surgical intervention to drain the bleeding and to reduce the swelling on the brain. And then also afterwards, after an injury  like that like any open fracture, so my initial management in casualty was also that of an open fracture, is your risk for infection with an exposed fracture and also the exposure of the brain, the risk for infection, brain abscesses, meningitis, which are also life threatening illnesses, also exist.</w:t>
      </w:r>
      <w:r>
        <w:rPr>
          <w:rFonts w:ascii="Arial" w:eastAsia="Times New Roman" w:hAnsi="Arial" w:cs="Arial"/>
          <w:i/>
          <w:shd w:val="clear" w:color="auto" w:fill="FFFFFF"/>
          <w:lang w:eastAsia="en-GB"/>
        </w:rPr>
        <w:t>”</w:t>
      </w:r>
      <w:r w:rsidR="00FF1A53">
        <w:rPr>
          <w:rStyle w:val="FootnoteReference"/>
          <w:rFonts w:ascii="Arial" w:eastAsia="Times New Roman" w:hAnsi="Arial" w:cs="Arial"/>
          <w:i/>
          <w:shd w:val="clear" w:color="auto" w:fill="FFFFFF"/>
          <w:lang w:eastAsia="en-GB"/>
        </w:rPr>
        <w:footnoteReference w:id="16"/>
      </w:r>
    </w:p>
    <w:p w:rsidR="00C27A45" w:rsidRPr="00F75677" w:rsidRDefault="00C27A45" w:rsidP="00F75677">
      <w:pPr>
        <w:pStyle w:val="ListParagraph"/>
        <w:spacing w:after="0" w:line="360" w:lineRule="auto"/>
        <w:ind w:right="864"/>
        <w:rPr>
          <w:rFonts w:ascii="Arial" w:eastAsia="Times New Roman" w:hAnsi="Arial" w:cs="Arial"/>
          <w:i/>
          <w:shd w:val="clear" w:color="auto" w:fill="FFFFFF"/>
          <w:lang w:eastAsia="en-GB"/>
        </w:rPr>
      </w:pPr>
    </w:p>
    <w:p w:rsidR="007A6071" w:rsidRPr="00B47046" w:rsidRDefault="00323978" w:rsidP="00323978">
      <w:pPr>
        <w:pStyle w:val="ListParagraph"/>
        <w:spacing w:line="480" w:lineRule="auto"/>
        <w:ind w:left="0"/>
        <w:jc w:val="both"/>
        <w:rPr>
          <w:rFonts w:ascii="Arial" w:hAnsi="Arial" w:cs="Arial"/>
          <w:b/>
          <w:sz w:val="24"/>
          <w:szCs w:val="24"/>
          <w:u w:val="single"/>
        </w:rPr>
      </w:pPr>
      <w:r>
        <w:rPr>
          <w:rFonts w:ascii="Arial" w:hAnsi="Arial" w:cs="Arial"/>
          <w:sz w:val="24"/>
          <w:szCs w:val="24"/>
        </w:rPr>
        <w:t>[21]</w:t>
      </w:r>
      <w:r>
        <w:rPr>
          <w:rFonts w:ascii="Arial" w:hAnsi="Arial" w:cs="Arial"/>
          <w:sz w:val="24"/>
          <w:szCs w:val="24"/>
        </w:rPr>
        <w:tab/>
      </w:r>
      <w:r w:rsidR="007A6071">
        <w:rPr>
          <w:rFonts w:ascii="Arial" w:hAnsi="Arial" w:cs="Arial"/>
          <w:sz w:val="24"/>
          <w:szCs w:val="24"/>
        </w:rPr>
        <w:t>The complainant attended at Oudtshoorn and then George for a CT brain scan and was later transferred to Groote Schuur Hospital where he received in patient treatment for a period of 5 days.</w:t>
      </w:r>
    </w:p>
    <w:p w:rsidR="00B47046" w:rsidRDefault="00B47046" w:rsidP="00B47046">
      <w:pPr>
        <w:pStyle w:val="ListParagraph"/>
        <w:spacing w:line="480" w:lineRule="auto"/>
        <w:ind w:left="0"/>
        <w:jc w:val="both"/>
        <w:rPr>
          <w:rFonts w:ascii="Arial" w:hAnsi="Arial" w:cs="Arial"/>
          <w:sz w:val="24"/>
          <w:szCs w:val="24"/>
        </w:rPr>
      </w:pPr>
    </w:p>
    <w:p w:rsidR="00323978" w:rsidRDefault="00323978" w:rsidP="00B47046">
      <w:pPr>
        <w:pStyle w:val="ListParagraph"/>
        <w:spacing w:line="480" w:lineRule="auto"/>
        <w:ind w:left="0"/>
        <w:jc w:val="both"/>
        <w:rPr>
          <w:rFonts w:ascii="Arial" w:hAnsi="Arial" w:cs="Arial"/>
          <w:sz w:val="24"/>
          <w:szCs w:val="24"/>
        </w:rPr>
      </w:pPr>
    </w:p>
    <w:p w:rsidR="007A6071" w:rsidRPr="00D169BD" w:rsidRDefault="00495975" w:rsidP="007A6071">
      <w:pPr>
        <w:pStyle w:val="ListParagraph"/>
        <w:spacing w:line="480" w:lineRule="auto"/>
        <w:ind w:left="0"/>
        <w:jc w:val="both"/>
        <w:rPr>
          <w:rFonts w:ascii="Arial" w:hAnsi="Arial" w:cs="Arial"/>
          <w:b/>
          <w:sz w:val="24"/>
          <w:szCs w:val="24"/>
          <w:u w:val="single"/>
        </w:rPr>
      </w:pPr>
      <w:r>
        <w:rPr>
          <w:rFonts w:ascii="Arial" w:hAnsi="Arial" w:cs="Arial"/>
          <w:b/>
          <w:sz w:val="24"/>
          <w:szCs w:val="24"/>
        </w:rPr>
        <w:lastRenderedPageBreak/>
        <w:t>H</w:t>
      </w:r>
      <w:r w:rsidR="005D22F5">
        <w:rPr>
          <w:rFonts w:ascii="Arial" w:hAnsi="Arial" w:cs="Arial"/>
          <w:b/>
          <w:sz w:val="24"/>
          <w:szCs w:val="24"/>
        </w:rPr>
        <w:t>omophobic attack</w:t>
      </w:r>
    </w:p>
    <w:p w:rsidR="00495975" w:rsidRPr="00323978" w:rsidRDefault="00323978" w:rsidP="00323978">
      <w:pPr>
        <w:spacing w:line="480" w:lineRule="auto"/>
        <w:jc w:val="both"/>
        <w:rPr>
          <w:rFonts w:ascii="Arial" w:hAnsi="Arial" w:cs="Arial"/>
          <w:b/>
          <w:sz w:val="24"/>
          <w:szCs w:val="24"/>
          <w:u w:val="single"/>
        </w:rPr>
      </w:pPr>
      <w:r>
        <w:rPr>
          <w:rFonts w:ascii="Arial" w:hAnsi="Arial" w:cs="Arial"/>
          <w:sz w:val="24"/>
          <w:szCs w:val="24"/>
        </w:rPr>
        <w:t>[22]</w:t>
      </w:r>
      <w:r>
        <w:rPr>
          <w:rFonts w:ascii="Arial" w:hAnsi="Arial" w:cs="Arial"/>
          <w:sz w:val="24"/>
          <w:szCs w:val="24"/>
        </w:rPr>
        <w:tab/>
      </w:r>
      <w:r w:rsidR="00495975" w:rsidRPr="00323978">
        <w:rPr>
          <w:rFonts w:ascii="Arial" w:hAnsi="Arial" w:cs="Arial"/>
          <w:sz w:val="24"/>
          <w:szCs w:val="24"/>
        </w:rPr>
        <w:t xml:space="preserve">The Appellant submitted that the court </w:t>
      </w:r>
      <w:r w:rsidR="00495975" w:rsidRPr="00323978">
        <w:rPr>
          <w:rFonts w:ascii="Arial" w:hAnsi="Arial" w:cs="Arial"/>
          <w:i/>
          <w:sz w:val="24"/>
          <w:szCs w:val="24"/>
        </w:rPr>
        <w:t>a quo</w:t>
      </w:r>
      <w:r w:rsidR="00495975" w:rsidRPr="00323978">
        <w:rPr>
          <w:rFonts w:ascii="Arial" w:hAnsi="Arial" w:cs="Arial"/>
          <w:sz w:val="24"/>
          <w:szCs w:val="24"/>
        </w:rPr>
        <w:t xml:space="preserve"> misdirected in finding that the attack was homophobic in nature. In amplification it was contended that no mention thereof was made in the complainant’s statement. It was furthermore mooted that in order for an attack to qualify as homophobia, adequate evidence should be presented to court. In this regard, it was argued that calling someone a name is not sufficient proof of hatred of another’s sexuality.  </w:t>
      </w:r>
    </w:p>
    <w:p w:rsidR="00495975" w:rsidRPr="00323978" w:rsidRDefault="00323978" w:rsidP="00323978">
      <w:pPr>
        <w:spacing w:line="480" w:lineRule="auto"/>
        <w:jc w:val="both"/>
        <w:rPr>
          <w:rFonts w:ascii="Arial" w:hAnsi="Arial" w:cs="Arial"/>
          <w:b/>
          <w:sz w:val="24"/>
          <w:szCs w:val="24"/>
          <w:u w:val="single"/>
        </w:rPr>
      </w:pPr>
      <w:r>
        <w:rPr>
          <w:rFonts w:ascii="Arial" w:hAnsi="Arial" w:cs="Arial"/>
          <w:sz w:val="24"/>
          <w:szCs w:val="24"/>
        </w:rPr>
        <w:t>[23]</w:t>
      </w:r>
      <w:r>
        <w:rPr>
          <w:rFonts w:ascii="Arial" w:hAnsi="Arial" w:cs="Arial"/>
          <w:sz w:val="24"/>
          <w:szCs w:val="24"/>
        </w:rPr>
        <w:tab/>
      </w:r>
      <w:r w:rsidR="00495975" w:rsidRPr="00323978">
        <w:rPr>
          <w:rFonts w:ascii="Arial" w:hAnsi="Arial" w:cs="Arial"/>
          <w:sz w:val="24"/>
          <w:szCs w:val="24"/>
        </w:rPr>
        <w:t xml:space="preserve">The evidence on record is that the Appellant swore at the complainant and made certain derogatory remarks about his sexuality. The Appellant thereafter attacked the complainant with a panga. The Respondent contended that the only conclusion that can be drawn from the accepted facts is that this was a homophobic attack and that the court </w:t>
      </w:r>
      <w:r w:rsidR="00495975" w:rsidRPr="00323978">
        <w:rPr>
          <w:rFonts w:ascii="Arial" w:hAnsi="Arial" w:cs="Arial"/>
          <w:i/>
          <w:sz w:val="24"/>
          <w:szCs w:val="24"/>
        </w:rPr>
        <w:t>a quo</w:t>
      </w:r>
      <w:r w:rsidR="00495975" w:rsidRPr="00323978">
        <w:rPr>
          <w:rFonts w:ascii="Arial" w:hAnsi="Arial" w:cs="Arial"/>
          <w:sz w:val="24"/>
          <w:szCs w:val="24"/>
        </w:rPr>
        <w:t xml:space="preserve"> was correct in describing the attack as homophobic. The Respondent submitted that this attack is analogous to racism and that an attack motivated by homophobia is aggravating for the same reasons.</w:t>
      </w:r>
      <w:r w:rsidR="00495975">
        <w:rPr>
          <w:rStyle w:val="FootnoteReference"/>
          <w:rFonts w:ascii="Arial" w:hAnsi="Arial" w:cs="Arial"/>
          <w:sz w:val="24"/>
          <w:szCs w:val="24"/>
        </w:rPr>
        <w:footnoteReference w:id="17"/>
      </w:r>
      <w:r w:rsidR="00495975" w:rsidRPr="00323978">
        <w:rPr>
          <w:rFonts w:ascii="Arial" w:hAnsi="Arial" w:cs="Arial"/>
          <w:sz w:val="24"/>
          <w:szCs w:val="24"/>
        </w:rPr>
        <w:t xml:space="preserve"> </w:t>
      </w:r>
      <w:r w:rsidR="005D22F5" w:rsidRPr="00323978">
        <w:rPr>
          <w:rFonts w:ascii="Arial" w:hAnsi="Arial" w:cs="Arial"/>
          <w:sz w:val="24"/>
          <w:szCs w:val="24"/>
        </w:rPr>
        <w:t xml:space="preserve">It was submitted on behalf of the Appellant that the court </w:t>
      </w:r>
      <w:r w:rsidR="005D22F5" w:rsidRPr="00323978">
        <w:rPr>
          <w:rFonts w:ascii="Arial" w:hAnsi="Arial" w:cs="Arial"/>
          <w:i/>
          <w:sz w:val="24"/>
          <w:szCs w:val="24"/>
        </w:rPr>
        <w:t>a quo</w:t>
      </w:r>
      <w:r w:rsidR="005D22F5" w:rsidRPr="00323978">
        <w:rPr>
          <w:rFonts w:ascii="Arial" w:hAnsi="Arial" w:cs="Arial"/>
          <w:sz w:val="24"/>
          <w:szCs w:val="24"/>
        </w:rPr>
        <w:t xml:space="preserve"> elevated the nature of the offence to homophobia.</w:t>
      </w:r>
      <w:r w:rsidR="005D22F5">
        <w:rPr>
          <w:rStyle w:val="FootnoteReference"/>
          <w:rFonts w:ascii="Arial" w:hAnsi="Arial" w:cs="Arial"/>
          <w:sz w:val="24"/>
          <w:szCs w:val="24"/>
        </w:rPr>
        <w:footnoteReference w:id="18"/>
      </w:r>
      <w:r w:rsidR="00495975" w:rsidRPr="00323978">
        <w:rPr>
          <w:rFonts w:ascii="Arial" w:hAnsi="Arial" w:cs="Arial"/>
          <w:sz w:val="24"/>
          <w:szCs w:val="24"/>
        </w:rPr>
        <w:t xml:space="preserve"> </w:t>
      </w:r>
    </w:p>
    <w:p w:rsidR="00495975" w:rsidRPr="00495975" w:rsidRDefault="00495975" w:rsidP="00495975">
      <w:pPr>
        <w:pStyle w:val="ListParagraph"/>
        <w:rPr>
          <w:rFonts w:ascii="Arial" w:hAnsi="Arial" w:cs="Arial"/>
          <w:b/>
          <w:sz w:val="24"/>
          <w:szCs w:val="24"/>
          <w:u w:val="single"/>
        </w:rPr>
      </w:pPr>
    </w:p>
    <w:p w:rsidR="00495975" w:rsidRPr="002B21B8" w:rsidRDefault="00323978" w:rsidP="00323978">
      <w:pPr>
        <w:pStyle w:val="ListParagraph"/>
        <w:spacing w:line="480" w:lineRule="auto"/>
        <w:ind w:left="90"/>
        <w:jc w:val="both"/>
        <w:rPr>
          <w:rFonts w:ascii="Arial" w:hAnsi="Arial" w:cs="Arial"/>
          <w:b/>
          <w:sz w:val="24"/>
          <w:szCs w:val="24"/>
          <w:u w:val="single"/>
        </w:rPr>
      </w:pPr>
      <w:r>
        <w:rPr>
          <w:rFonts w:ascii="Arial" w:hAnsi="Arial" w:cs="Arial"/>
          <w:sz w:val="24"/>
          <w:szCs w:val="24"/>
        </w:rPr>
        <w:t>[24]</w:t>
      </w:r>
      <w:r>
        <w:rPr>
          <w:rFonts w:ascii="Arial" w:hAnsi="Arial" w:cs="Arial"/>
          <w:sz w:val="24"/>
          <w:szCs w:val="24"/>
        </w:rPr>
        <w:tab/>
      </w:r>
      <w:r w:rsidR="00495975">
        <w:rPr>
          <w:rFonts w:ascii="Arial" w:hAnsi="Arial" w:cs="Arial"/>
          <w:sz w:val="24"/>
          <w:szCs w:val="24"/>
        </w:rPr>
        <w:t xml:space="preserve">I pause here to deal with the exchange between the Magistrate and the legal representative of the Appellant. </w:t>
      </w:r>
    </w:p>
    <w:p w:rsidR="00495975" w:rsidRPr="00ED44E0" w:rsidRDefault="00323978" w:rsidP="00495975">
      <w:pPr>
        <w:pStyle w:val="ListParagraph"/>
        <w:spacing w:line="360" w:lineRule="auto"/>
        <w:ind w:right="720"/>
        <w:jc w:val="both"/>
        <w:rPr>
          <w:rFonts w:ascii="Arial" w:hAnsi="Arial" w:cs="Arial"/>
          <w:i/>
        </w:rPr>
      </w:pPr>
      <w:r>
        <w:rPr>
          <w:rFonts w:ascii="Arial" w:hAnsi="Arial" w:cs="Arial"/>
          <w:i/>
        </w:rPr>
        <w:t>“</w:t>
      </w:r>
      <w:r w:rsidR="00495975">
        <w:rPr>
          <w:rFonts w:ascii="Arial" w:hAnsi="Arial" w:cs="Arial"/>
          <w:i/>
        </w:rPr>
        <w:t>Your Worship I can just say to the court this is the impression I got from my own client I have actually asked him upfront if this is the position with regards to and he has not told this to me before but my impression of client self Your Worship is that he is also homosexual, so they are both homosexual even the accused is homosexual Your Worship.</w:t>
      </w:r>
      <w:r>
        <w:rPr>
          <w:rFonts w:ascii="Arial" w:hAnsi="Arial" w:cs="Arial"/>
          <w:i/>
        </w:rPr>
        <w:t>”</w:t>
      </w:r>
      <w:r w:rsidR="00495975">
        <w:rPr>
          <w:rStyle w:val="FootnoteReference"/>
          <w:rFonts w:ascii="Arial" w:hAnsi="Arial" w:cs="Arial"/>
          <w:i/>
        </w:rPr>
        <w:footnoteReference w:id="19"/>
      </w:r>
    </w:p>
    <w:p w:rsidR="00495975" w:rsidRPr="00ED44E0" w:rsidRDefault="00495975" w:rsidP="00495975">
      <w:pPr>
        <w:pStyle w:val="ListParagraph"/>
        <w:rPr>
          <w:rFonts w:ascii="Arial" w:hAnsi="Arial" w:cs="Arial"/>
          <w:b/>
          <w:sz w:val="24"/>
          <w:szCs w:val="24"/>
          <w:u w:val="single"/>
        </w:rPr>
      </w:pPr>
    </w:p>
    <w:p w:rsidR="00495975" w:rsidRPr="00880CCB" w:rsidRDefault="00323978" w:rsidP="00323978">
      <w:pPr>
        <w:pStyle w:val="ListParagraph"/>
        <w:spacing w:line="480" w:lineRule="auto"/>
        <w:ind w:left="90"/>
        <w:jc w:val="both"/>
        <w:rPr>
          <w:rFonts w:ascii="Arial" w:hAnsi="Arial" w:cs="Arial"/>
          <w:b/>
          <w:sz w:val="24"/>
          <w:szCs w:val="24"/>
          <w:u w:val="single"/>
        </w:rPr>
      </w:pPr>
      <w:r>
        <w:rPr>
          <w:rFonts w:ascii="Arial" w:hAnsi="Arial" w:cs="Arial"/>
          <w:sz w:val="24"/>
          <w:szCs w:val="24"/>
        </w:rPr>
        <w:t>[25]</w:t>
      </w:r>
      <w:r>
        <w:rPr>
          <w:rFonts w:ascii="Arial" w:hAnsi="Arial" w:cs="Arial"/>
          <w:sz w:val="24"/>
          <w:szCs w:val="24"/>
        </w:rPr>
        <w:tab/>
      </w:r>
      <w:r w:rsidR="00495975">
        <w:rPr>
          <w:rFonts w:ascii="Arial" w:hAnsi="Arial" w:cs="Arial"/>
          <w:sz w:val="24"/>
          <w:szCs w:val="24"/>
        </w:rPr>
        <w:t>The sexual orientation of the Appellant, prior to this moment, was never raised.  In fact, the complainant testified that it was the Appellant who uttered words to the effect:</w:t>
      </w:r>
    </w:p>
    <w:p w:rsidR="00495975" w:rsidRDefault="00323978" w:rsidP="00495975">
      <w:pPr>
        <w:pStyle w:val="ListParagraph"/>
        <w:spacing w:line="360" w:lineRule="auto"/>
        <w:ind w:right="720"/>
        <w:jc w:val="both"/>
        <w:rPr>
          <w:rFonts w:ascii="Arial" w:hAnsi="Arial" w:cs="Arial"/>
          <w:i/>
          <w:color w:val="333333"/>
          <w:shd w:val="clear" w:color="auto" w:fill="FFFFFF"/>
        </w:rPr>
      </w:pPr>
      <w:r>
        <w:rPr>
          <w:rFonts w:ascii="Arial" w:hAnsi="Arial" w:cs="Arial"/>
          <w:i/>
          <w:sz w:val="24"/>
          <w:szCs w:val="24"/>
        </w:rPr>
        <w:t>“</w:t>
      </w:r>
      <w:r w:rsidR="00495975" w:rsidRPr="003E529E">
        <w:rPr>
          <w:rFonts w:ascii="Arial" w:hAnsi="Arial" w:cs="Arial"/>
          <w:i/>
        </w:rPr>
        <w:t>H</w:t>
      </w:r>
      <w:r w:rsidR="00495975">
        <w:rPr>
          <w:rFonts w:ascii="Arial" w:hAnsi="Arial" w:cs="Arial"/>
          <w:i/>
        </w:rPr>
        <w:t xml:space="preserve">y het vir my </w:t>
      </w:r>
      <w:r w:rsidR="00495975" w:rsidRPr="003E529E">
        <w:rPr>
          <w:rFonts w:ascii="Arial" w:hAnsi="Arial" w:cs="Arial"/>
          <w:color w:val="333333"/>
          <w:shd w:val="clear" w:color="auto" w:fill="FFFFFF"/>
        </w:rPr>
        <w:t>sê</w:t>
      </w:r>
      <w:r w:rsidR="00495975">
        <w:rPr>
          <w:rFonts w:ascii="Arial" w:hAnsi="Arial" w:cs="Arial"/>
          <w:color w:val="333333"/>
          <w:shd w:val="clear" w:color="auto" w:fill="FFFFFF"/>
        </w:rPr>
        <w:t xml:space="preserve"> </w:t>
      </w:r>
      <w:r w:rsidR="00495975">
        <w:rPr>
          <w:rFonts w:ascii="Arial" w:hAnsi="Arial" w:cs="Arial"/>
          <w:i/>
          <w:color w:val="333333"/>
          <w:shd w:val="clear" w:color="auto" w:fill="FFFFFF"/>
        </w:rPr>
        <w:t>hey jou moffie fok hier, sorry vir die w</w:t>
      </w:r>
      <w:r w:rsidR="001A078D">
        <w:rPr>
          <w:rFonts w:ascii="Arial" w:hAnsi="Arial" w:cs="Arial"/>
          <w:i/>
          <w:color w:val="333333"/>
          <w:shd w:val="clear" w:color="auto" w:fill="FFFFFF"/>
        </w:rPr>
        <w:t>o</w:t>
      </w:r>
      <w:r w:rsidR="00495975">
        <w:rPr>
          <w:rFonts w:ascii="Arial" w:hAnsi="Arial" w:cs="Arial"/>
          <w:i/>
          <w:color w:val="333333"/>
          <w:shd w:val="clear" w:color="auto" w:fill="FFFFFF"/>
        </w:rPr>
        <w:t>ord, fok hier weg van die huis af jy kan mos sien Michelle is nie hier nie.</w:t>
      </w:r>
      <w:r>
        <w:rPr>
          <w:rFonts w:ascii="Arial" w:hAnsi="Arial" w:cs="Arial"/>
          <w:i/>
          <w:color w:val="333333"/>
          <w:shd w:val="clear" w:color="auto" w:fill="FFFFFF"/>
        </w:rPr>
        <w:t>”</w:t>
      </w:r>
      <w:r w:rsidR="00495975">
        <w:rPr>
          <w:rStyle w:val="FootnoteReference"/>
          <w:rFonts w:ascii="Arial" w:hAnsi="Arial" w:cs="Arial"/>
          <w:i/>
          <w:color w:val="333333"/>
          <w:shd w:val="clear" w:color="auto" w:fill="FFFFFF"/>
        </w:rPr>
        <w:footnoteReference w:id="20"/>
      </w:r>
    </w:p>
    <w:p w:rsidR="00323978" w:rsidRPr="00495975" w:rsidRDefault="00323978" w:rsidP="00495975">
      <w:pPr>
        <w:pStyle w:val="ListParagraph"/>
        <w:spacing w:line="360" w:lineRule="auto"/>
        <w:ind w:right="720"/>
        <w:jc w:val="both"/>
        <w:rPr>
          <w:rFonts w:ascii="Arial" w:hAnsi="Arial" w:cs="Arial"/>
          <w:b/>
          <w:sz w:val="24"/>
          <w:szCs w:val="24"/>
          <w:u w:val="single"/>
        </w:rPr>
      </w:pPr>
    </w:p>
    <w:p w:rsidR="00495975" w:rsidRPr="00495975" w:rsidRDefault="00495975" w:rsidP="00495975">
      <w:pPr>
        <w:pStyle w:val="ListParagraph"/>
        <w:rPr>
          <w:rFonts w:ascii="Arial" w:hAnsi="Arial" w:cs="Arial"/>
          <w:sz w:val="24"/>
          <w:szCs w:val="24"/>
        </w:rPr>
      </w:pPr>
    </w:p>
    <w:p w:rsidR="00495975" w:rsidRPr="00495975" w:rsidRDefault="00323978" w:rsidP="00323978">
      <w:pPr>
        <w:pStyle w:val="ListParagraph"/>
        <w:spacing w:line="480" w:lineRule="auto"/>
        <w:ind w:left="90"/>
        <w:jc w:val="both"/>
        <w:rPr>
          <w:rFonts w:ascii="Arial" w:hAnsi="Arial" w:cs="Arial"/>
          <w:b/>
          <w:sz w:val="24"/>
          <w:szCs w:val="24"/>
          <w:u w:val="single"/>
        </w:rPr>
      </w:pPr>
      <w:r>
        <w:rPr>
          <w:rFonts w:ascii="Arial" w:hAnsi="Arial" w:cs="Arial"/>
          <w:sz w:val="24"/>
          <w:szCs w:val="24"/>
        </w:rPr>
        <w:t>[26]</w:t>
      </w:r>
      <w:r>
        <w:rPr>
          <w:rFonts w:ascii="Arial" w:hAnsi="Arial" w:cs="Arial"/>
          <w:sz w:val="24"/>
          <w:szCs w:val="24"/>
        </w:rPr>
        <w:tab/>
      </w:r>
      <w:r w:rsidR="00495975" w:rsidRPr="00495975">
        <w:rPr>
          <w:rFonts w:ascii="Arial" w:hAnsi="Arial" w:cs="Arial"/>
          <w:sz w:val="24"/>
          <w:szCs w:val="24"/>
        </w:rPr>
        <w:t>The question to be answered in this regard is</w:t>
      </w:r>
      <w:r w:rsidR="00AF4DE2">
        <w:rPr>
          <w:rFonts w:ascii="Arial" w:hAnsi="Arial" w:cs="Arial"/>
          <w:sz w:val="24"/>
          <w:szCs w:val="24"/>
        </w:rPr>
        <w:t xml:space="preserve"> whether</w:t>
      </w:r>
      <w:r w:rsidR="00495975" w:rsidRPr="00495975">
        <w:rPr>
          <w:rFonts w:ascii="Arial" w:hAnsi="Arial" w:cs="Arial"/>
          <w:sz w:val="24"/>
          <w:szCs w:val="24"/>
        </w:rPr>
        <w:t xml:space="preserve"> there is any evidence on record that the victim was assaulted because of his sexuality.</w:t>
      </w:r>
      <w:r w:rsidR="00047A86">
        <w:rPr>
          <w:rFonts w:ascii="Arial" w:hAnsi="Arial" w:cs="Arial"/>
          <w:sz w:val="24"/>
          <w:szCs w:val="24"/>
        </w:rPr>
        <w:t xml:space="preserve"> The Respondent </w:t>
      </w:r>
      <w:r>
        <w:rPr>
          <w:rFonts w:ascii="Arial" w:hAnsi="Arial" w:cs="Arial"/>
          <w:sz w:val="24"/>
          <w:szCs w:val="24"/>
        </w:rPr>
        <w:t>conceded</w:t>
      </w:r>
      <w:r w:rsidR="00047A86">
        <w:rPr>
          <w:rFonts w:ascii="Arial" w:hAnsi="Arial" w:cs="Arial"/>
          <w:sz w:val="24"/>
          <w:szCs w:val="24"/>
        </w:rPr>
        <w:t xml:space="preserve"> that there is no evidence that the victim was assaulted because of his sexual orientation. The record is silent on this aspect.</w:t>
      </w:r>
    </w:p>
    <w:p w:rsidR="00495975" w:rsidRPr="00495975" w:rsidRDefault="00495975" w:rsidP="00495975">
      <w:pPr>
        <w:pStyle w:val="ListParagraph"/>
        <w:rPr>
          <w:rFonts w:ascii="Arial" w:hAnsi="Arial" w:cs="Arial"/>
          <w:sz w:val="24"/>
          <w:szCs w:val="24"/>
        </w:rPr>
      </w:pPr>
    </w:p>
    <w:p w:rsidR="00495975" w:rsidRPr="00047A86" w:rsidRDefault="00323978" w:rsidP="00323978">
      <w:pPr>
        <w:pStyle w:val="ListParagraph"/>
        <w:spacing w:line="480" w:lineRule="auto"/>
        <w:ind w:left="90"/>
        <w:jc w:val="both"/>
        <w:rPr>
          <w:rFonts w:ascii="Arial" w:hAnsi="Arial" w:cs="Arial"/>
          <w:b/>
          <w:sz w:val="24"/>
          <w:szCs w:val="24"/>
          <w:u w:val="single"/>
        </w:rPr>
      </w:pPr>
      <w:r>
        <w:rPr>
          <w:rFonts w:ascii="Arial" w:hAnsi="Arial" w:cs="Arial"/>
          <w:sz w:val="24"/>
          <w:szCs w:val="24"/>
        </w:rPr>
        <w:t>[27]</w:t>
      </w:r>
      <w:r>
        <w:rPr>
          <w:rFonts w:ascii="Arial" w:hAnsi="Arial" w:cs="Arial"/>
          <w:sz w:val="24"/>
          <w:szCs w:val="24"/>
        </w:rPr>
        <w:tab/>
      </w:r>
      <w:r w:rsidR="005D22F5" w:rsidRPr="00495975">
        <w:rPr>
          <w:rFonts w:ascii="Arial" w:hAnsi="Arial" w:cs="Arial"/>
          <w:sz w:val="24"/>
          <w:szCs w:val="24"/>
        </w:rPr>
        <w:t xml:space="preserve"> In light hereof it be</w:t>
      </w:r>
      <w:r w:rsidR="00AF4DE2">
        <w:rPr>
          <w:rFonts w:ascii="Arial" w:hAnsi="Arial" w:cs="Arial"/>
          <w:sz w:val="24"/>
          <w:szCs w:val="24"/>
        </w:rPr>
        <w:t>hoves this court to deal with</w:t>
      </w:r>
      <w:r w:rsidR="005D22F5" w:rsidRPr="00495975">
        <w:rPr>
          <w:rFonts w:ascii="Arial" w:hAnsi="Arial" w:cs="Arial"/>
          <w:sz w:val="24"/>
          <w:szCs w:val="24"/>
        </w:rPr>
        <w:t xml:space="preserve"> the court </w:t>
      </w:r>
      <w:r w:rsidR="005D22F5" w:rsidRPr="00495975">
        <w:rPr>
          <w:rFonts w:ascii="Arial" w:hAnsi="Arial" w:cs="Arial"/>
          <w:i/>
          <w:sz w:val="24"/>
          <w:szCs w:val="24"/>
        </w:rPr>
        <w:t xml:space="preserve">a quo’s </w:t>
      </w:r>
      <w:r w:rsidR="004A49F5">
        <w:rPr>
          <w:rFonts w:ascii="Arial" w:hAnsi="Arial" w:cs="Arial"/>
          <w:sz w:val="24"/>
          <w:szCs w:val="24"/>
        </w:rPr>
        <w:t>remarks</w:t>
      </w:r>
      <w:r w:rsidR="005D22F5" w:rsidRPr="00495975">
        <w:rPr>
          <w:rFonts w:ascii="Arial" w:hAnsi="Arial" w:cs="Arial"/>
          <w:sz w:val="24"/>
          <w:szCs w:val="24"/>
        </w:rPr>
        <w:t xml:space="preserve"> in this regard.</w:t>
      </w:r>
    </w:p>
    <w:p w:rsidR="00F579C1" w:rsidRDefault="00323978" w:rsidP="0042676F">
      <w:pPr>
        <w:pStyle w:val="ListParagraph"/>
        <w:spacing w:line="360" w:lineRule="auto"/>
        <w:ind w:right="720"/>
        <w:jc w:val="both"/>
        <w:rPr>
          <w:rFonts w:ascii="Arial" w:hAnsi="Arial" w:cs="Arial"/>
          <w:i/>
        </w:rPr>
      </w:pPr>
      <w:r>
        <w:rPr>
          <w:rFonts w:ascii="Arial" w:hAnsi="Arial" w:cs="Arial"/>
          <w:i/>
        </w:rPr>
        <w:t>“</w:t>
      </w:r>
      <w:r w:rsidR="007A6071">
        <w:rPr>
          <w:rFonts w:ascii="Arial" w:hAnsi="Arial" w:cs="Arial"/>
          <w:i/>
        </w:rPr>
        <w:t>The offence itself is serious and it is coupled with hatred which this country is facing. Violence against gay lesbian and other…We have lost many of our members of the community due to this hatred. We are living in a democratic society. South Africa is a democratic society one can practice whatever they want to practice especially with my body. You cannot hate me because I am lesbian. I cannot hate you because you are gay that is your personal choice and those are the thing we need to address in our community.</w:t>
      </w:r>
      <w:r>
        <w:rPr>
          <w:rFonts w:ascii="Arial" w:hAnsi="Arial" w:cs="Arial"/>
          <w:i/>
        </w:rPr>
        <w:t>”</w:t>
      </w:r>
      <w:r w:rsidR="007A6071">
        <w:rPr>
          <w:rStyle w:val="FootnoteReference"/>
          <w:rFonts w:ascii="Arial" w:hAnsi="Arial" w:cs="Arial"/>
          <w:i/>
        </w:rPr>
        <w:footnoteReference w:id="21"/>
      </w:r>
    </w:p>
    <w:p w:rsidR="0042676F" w:rsidRPr="0042676F" w:rsidRDefault="0042676F" w:rsidP="0042676F">
      <w:pPr>
        <w:pStyle w:val="ListParagraph"/>
        <w:spacing w:line="360" w:lineRule="auto"/>
        <w:ind w:right="720"/>
        <w:jc w:val="both"/>
        <w:rPr>
          <w:rFonts w:ascii="Arial" w:hAnsi="Arial" w:cs="Arial"/>
          <w:i/>
        </w:rPr>
      </w:pPr>
    </w:p>
    <w:p w:rsidR="00323978" w:rsidRDefault="00323978" w:rsidP="007A6071">
      <w:pPr>
        <w:pStyle w:val="ListParagraph"/>
        <w:spacing w:line="480" w:lineRule="auto"/>
        <w:ind w:left="0"/>
        <w:jc w:val="both"/>
        <w:rPr>
          <w:rFonts w:ascii="Arial" w:hAnsi="Arial" w:cs="Arial"/>
          <w:b/>
          <w:sz w:val="24"/>
          <w:szCs w:val="24"/>
        </w:rPr>
      </w:pPr>
    </w:p>
    <w:p w:rsidR="007A6071" w:rsidRPr="00A226A1" w:rsidRDefault="007A6071" w:rsidP="007A6071">
      <w:pPr>
        <w:pStyle w:val="ListParagraph"/>
        <w:spacing w:line="480" w:lineRule="auto"/>
        <w:ind w:left="0"/>
        <w:jc w:val="both"/>
        <w:rPr>
          <w:rFonts w:ascii="Arial" w:hAnsi="Arial" w:cs="Arial"/>
          <w:b/>
          <w:sz w:val="24"/>
          <w:szCs w:val="24"/>
        </w:rPr>
      </w:pPr>
      <w:r w:rsidRPr="007056CF">
        <w:rPr>
          <w:rFonts w:ascii="Arial" w:hAnsi="Arial" w:cs="Arial"/>
          <w:b/>
          <w:sz w:val="24"/>
          <w:szCs w:val="24"/>
        </w:rPr>
        <w:t>Judicial Notice</w:t>
      </w:r>
    </w:p>
    <w:p w:rsidR="007A6071" w:rsidRPr="00447D83" w:rsidRDefault="00323978" w:rsidP="00323978">
      <w:pPr>
        <w:pStyle w:val="ListParagraph"/>
        <w:spacing w:line="480" w:lineRule="auto"/>
        <w:ind w:left="90"/>
        <w:jc w:val="both"/>
        <w:rPr>
          <w:rFonts w:ascii="Arial" w:hAnsi="Arial" w:cs="Arial"/>
          <w:b/>
          <w:sz w:val="24"/>
          <w:szCs w:val="24"/>
        </w:rPr>
      </w:pPr>
      <w:r>
        <w:rPr>
          <w:rFonts w:ascii="Arial" w:hAnsi="Arial" w:cs="Arial"/>
          <w:sz w:val="24"/>
          <w:szCs w:val="24"/>
        </w:rPr>
        <w:t>[28]</w:t>
      </w:r>
      <w:r>
        <w:rPr>
          <w:rFonts w:ascii="Arial" w:hAnsi="Arial" w:cs="Arial"/>
          <w:sz w:val="24"/>
          <w:szCs w:val="24"/>
        </w:rPr>
        <w:tab/>
      </w:r>
      <w:r w:rsidR="00DF0AA9">
        <w:rPr>
          <w:rFonts w:ascii="Arial" w:hAnsi="Arial" w:cs="Arial"/>
          <w:sz w:val="24"/>
          <w:szCs w:val="24"/>
        </w:rPr>
        <w:t>The Appellant contended, as a ground</w:t>
      </w:r>
      <w:r w:rsidR="007A6071">
        <w:rPr>
          <w:rFonts w:ascii="Arial" w:hAnsi="Arial" w:cs="Arial"/>
          <w:sz w:val="24"/>
          <w:szCs w:val="24"/>
        </w:rPr>
        <w:t xml:space="preserve"> of appeal</w:t>
      </w:r>
      <w:r w:rsidR="00DF0AA9">
        <w:rPr>
          <w:rFonts w:ascii="Arial" w:hAnsi="Arial" w:cs="Arial"/>
          <w:sz w:val="24"/>
          <w:szCs w:val="24"/>
        </w:rPr>
        <w:t>,</w:t>
      </w:r>
      <w:r w:rsidR="007A6071">
        <w:rPr>
          <w:rFonts w:ascii="Arial" w:hAnsi="Arial" w:cs="Arial"/>
          <w:sz w:val="24"/>
          <w:szCs w:val="24"/>
        </w:rPr>
        <w:t xml:space="preserve"> that the court could not have taken notice of the fact that </w:t>
      </w:r>
      <w:r w:rsidR="007A6071">
        <w:rPr>
          <w:rFonts w:ascii="Arial" w:hAnsi="Arial" w:cs="Arial"/>
          <w:i/>
          <w:sz w:val="24"/>
          <w:szCs w:val="24"/>
        </w:rPr>
        <w:t>‘[w]e have lost many members of our community due to this hatred.’</w:t>
      </w:r>
      <w:r w:rsidR="007A6071">
        <w:rPr>
          <w:rStyle w:val="FootnoteReference"/>
          <w:rFonts w:ascii="Arial" w:hAnsi="Arial" w:cs="Arial"/>
          <w:i/>
          <w:sz w:val="24"/>
          <w:szCs w:val="24"/>
        </w:rPr>
        <w:footnoteReference w:id="22"/>
      </w:r>
      <w:r w:rsidR="007A6071">
        <w:rPr>
          <w:rFonts w:ascii="Arial" w:hAnsi="Arial" w:cs="Arial"/>
          <w:i/>
          <w:sz w:val="24"/>
          <w:szCs w:val="24"/>
        </w:rPr>
        <w:t xml:space="preserve"> </w:t>
      </w:r>
      <w:r w:rsidR="007A6071">
        <w:rPr>
          <w:rFonts w:ascii="Arial" w:hAnsi="Arial" w:cs="Arial"/>
          <w:sz w:val="24"/>
          <w:szCs w:val="24"/>
        </w:rPr>
        <w:t xml:space="preserve">It is trite that facts may be judicially noticed even if they are not general </w:t>
      </w:r>
      <w:r w:rsidR="007A6071">
        <w:rPr>
          <w:rFonts w:ascii="Arial" w:hAnsi="Arial" w:cs="Arial"/>
          <w:sz w:val="24"/>
          <w:szCs w:val="24"/>
        </w:rPr>
        <w:lastRenderedPageBreak/>
        <w:t>knowledge. There is a</w:t>
      </w:r>
      <w:r w:rsidR="00DF0AA9">
        <w:rPr>
          <w:rFonts w:ascii="Arial" w:hAnsi="Arial" w:cs="Arial"/>
          <w:sz w:val="24"/>
          <w:szCs w:val="24"/>
        </w:rPr>
        <w:t>n</w:t>
      </w:r>
      <w:r w:rsidR="007A6071">
        <w:rPr>
          <w:rFonts w:ascii="Arial" w:hAnsi="Arial" w:cs="Arial"/>
          <w:sz w:val="24"/>
          <w:szCs w:val="24"/>
        </w:rPr>
        <w:t xml:space="preserve"> </w:t>
      </w:r>
      <w:r w:rsidR="00DF0AA9">
        <w:rPr>
          <w:rFonts w:ascii="Arial" w:hAnsi="Arial" w:cs="Arial"/>
          <w:sz w:val="24"/>
          <w:szCs w:val="24"/>
        </w:rPr>
        <w:t>overabundance</w:t>
      </w:r>
      <w:r w:rsidR="007A6071">
        <w:rPr>
          <w:rFonts w:ascii="Arial" w:hAnsi="Arial" w:cs="Arial"/>
          <w:sz w:val="24"/>
          <w:szCs w:val="24"/>
        </w:rPr>
        <w:t xml:space="preserve"> of case law and judicial writings dealing with the doctrine of judicial notice, which does not require restating save to reiterate that </w:t>
      </w:r>
      <w:r w:rsidR="00DF0AA9">
        <w:rPr>
          <w:rFonts w:ascii="Arial" w:hAnsi="Arial" w:cs="Arial"/>
          <w:sz w:val="24"/>
          <w:szCs w:val="24"/>
        </w:rPr>
        <w:t xml:space="preserve">judicial notice can be taken </w:t>
      </w:r>
      <w:r w:rsidR="007A6071">
        <w:rPr>
          <w:rFonts w:ascii="Arial" w:hAnsi="Arial" w:cs="Arial"/>
          <w:sz w:val="24"/>
          <w:szCs w:val="24"/>
        </w:rPr>
        <w:t>even in circumstances where facts which are not generally known but which is readily and easily ascertainable from sources of indisputable authority. It was also correctly pointed out by the Respondent that the court may take judicial notice of social conditions and crime.</w:t>
      </w:r>
      <w:r w:rsidR="007A6071">
        <w:rPr>
          <w:rStyle w:val="FootnoteReference"/>
          <w:rFonts w:ascii="Arial" w:hAnsi="Arial" w:cs="Arial"/>
          <w:sz w:val="24"/>
          <w:szCs w:val="24"/>
        </w:rPr>
        <w:footnoteReference w:id="23"/>
      </w:r>
    </w:p>
    <w:p w:rsidR="007F758C" w:rsidRDefault="00323978" w:rsidP="00323978">
      <w:pPr>
        <w:pStyle w:val="ListParagraph"/>
        <w:spacing w:line="480" w:lineRule="auto"/>
        <w:ind w:left="90"/>
        <w:jc w:val="both"/>
        <w:rPr>
          <w:rFonts w:ascii="Arial" w:hAnsi="Arial" w:cs="Arial"/>
          <w:b/>
          <w:sz w:val="24"/>
          <w:szCs w:val="24"/>
        </w:rPr>
      </w:pPr>
      <w:r>
        <w:rPr>
          <w:rFonts w:ascii="Arial" w:hAnsi="Arial" w:cs="Arial"/>
          <w:sz w:val="24"/>
          <w:szCs w:val="24"/>
        </w:rPr>
        <w:t>[29]</w:t>
      </w:r>
      <w:r>
        <w:rPr>
          <w:rFonts w:ascii="Arial" w:hAnsi="Arial" w:cs="Arial"/>
          <w:sz w:val="24"/>
          <w:szCs w:val="24"/>
        </w:rPr>
        <w:tab/>
      </w:r>
      <w:r w:rsidR="007F758C">
        <w:rPr>
          <w:rFonts w:ascii="Arial" w:hAnsi="Arial" w:cs="Arial"/>
          <w:sz w:val="24"/>
          <w:szCs w:val="24"/>
        </w:rPr>
        <w:t>Even if the court may take judicial notice of social conditions and crime</w:t>
      </w:r>
      <w:r w:rsidR="00EC6891">
        <w:rPr>
          <w:rFonts w:ascii="Arial" w:hAnsi="Arial" w:cs="Arial"/>
          <w:sz w:val="24"/>
          <w:szCs w:val="24"/>
        </w:rPr>
        <w:t>, I am of the view that</w:t>
      </w:r>
      <w:r w:rsidR="007F758C">
        <w:rPr>
          <w:rFonts w:ascii="Arial" w:hAnsi="Arial" w:cs="Arial"/>
          <w:sz w:val="24"/>
          <w:szCs w:val="24"/>
        </w:rPr>
        <w:t xml:space="preserve"> emphasis on homophobic attacks</w:t>
      </w:r>
      <w:r w:rsidR="00EC6891">
        <w:rPr>
          <w:rFonts w:ascii="Arial" w:hAnsi="Arial" w:cs="Arial"/>
          <w:sz w:val="24"/>
          <w:szCs w:val="24"/>
        </w:rPr>
        <w:t xml:space="preserve"> were not</w:t>
      </w:r>
      <w:r w:rsidR="007F758C">
        <w:rPr>
          <w:rFonts w:ascii="Arial" w:hAnsi="Arial" w:cs="Arial"/>
          <w:sz w:val="24"/>
          <w:szCs w:val="24"/>
        </w:rPr>
        <w:t xml:space="preserve"> pertinent to the facts</w:t>
      </w:r>
      <w:r w:rsidR="00EC6891">
        <w:rPr>
          <w:rFonts w:ascii="Arial" w:hAnsi="Arial" w:cs="Arial"/>
          <w:sz w:val="24"/>
          <w:szCs w:val="24"/>
        </w:rPr>
        <w:t xml:space="preserve"> and or factual findings</w:t>
      </w:r>
      <w:r w:rsidR="007F758C">
        <w:rPr>
          <w:rFonts w:ascii="Arial" w:hAnsi="Arial" w:cs="Arial"/>
          <w:sz w:val="24"/>
          <w:szCs w:val="24"/>
        </w:rPr>
        <w:t xml:space="preserve"> of this particular case</w:t>
      </w:r>
      <w:r w:rsidR="00EC6891">
        <w:rPr>
          <w:rFonts w:ascii="Arial" w:hAnsi="Arial" w:cs="Arial"/>
          <w:sz w:val="24"/>
          <w:szCs w:val="24"/>
        </w:rPr>
        <w:t xml:space="preserve"> </w:t>
      </w:r>
      <w:r w:rsidR="00EC6891" w:rsidRPr="00EC6891">
        <w:rPr>
          <w:rFonts w:ascii="Arial" w:hAnsi="Arial" w:cs="Arial"/>
          <w:i/>
          <w:sz w:val="24"/>
          <w:szCs w:val="24"/>
        </w:rPr>
        <w:t>in causu</w:t>
      </w:r>
      <w:r w:rsidR="007F758C">
        <w:rPr>
          <w:rFonts w:ascii="Arial" w:hAnsi="Arial" w:cs="Arial"/>
          <w:sz w:val="24"/>
          <w:szCs w:val="24"/>
        </w:rPr>
        <w:t>.</w:t>
      </w:r>
      <w:r w:rsidR="00EC6891">
        <w:rPr>
          <w:rFonts w:ascii="Arial" w:hAnsi="Arial" w:cs="Arial"/>
          <w:sz w:val="24"/>
          <w:szCs w:val="24"/>
        </w:rPr>
        <w:t xml:space="preserve"> </w:t>
      </w:r>
    </w:p>
    <w:p w:rsidR="00EC6891" w:rsidRDefault="00EC6891" w:rsidP="00091D46">
      <w:pPr>
        <w:pStyle w:val="ListParagraph"/>
        <w:spacing w:line="480" w:lineRule="auto"/>
        <w:ind w:left="0"/>
        <w:jc w:val="both"/>
        <w:rPr>
          <w:rFonts w:ascii="Arial" w:hAnsi="Arial" w:cs="Arial"/>
          <w:b/>
          <w:sz w:val="24"/>
          <w:szCs w:val="24"/>
        </w:rPr>
      </w:pPr>
    </w:p>
    <w:p w:rsidR="00323978" w:rsidRDefault="00323978" w:rsidP="00091D46">
      <w:pPr>
        <w:pStyle w:val="ListParagraph"/>
        <w:spacing w:line="480" w:lineRule="auto"/>
        <w:ind w:left="0"/>
        <w:jc w:val="both"/>
        <w:rPr>
          <w:rFonts w:ascii="Arial" w:hAnsi="Arial" w:cs="Arial"/>
          <w:b/>
          <w:sz w:val="24"/>
          <w:szCs w:val="24"/>
        </w:rPr>
      </w:pPr>
    </w:p>
    <w:p w:rsidR="00091D46" w:rsidRPr="00091D46" w:rsidRDefault="00753FF9" w:rsidP="00091D46">
      <w:pPr>
        <w:pStyle w:val="ListParagraph"/>
        <w:spacing w:line="480" w:lineRule="auto"/>
        <w:ind w:left="0"/>
        <w:jc w:val="both"/>
        <w:rPr>
          <w:rFonts w:ascii="Arial" w:hAnsi="Arial" w:cs="Arial"/>
          <w:b/>
          <w:sz w:val="24"/>
          <w:szCs w:val="24"/>
        </w:rPr>
      </w:pPr>
      <w:r>
        <w:rPr>
          <w:rFonts w:ascii="Arial" w:hAnsi="Arial" w:cs="Arial"/>
          <w:b/>
          <w:sz w:val="24"/>
          <w:szCs w:val="24"/>
        </w:rPr>
        <w:t>Discussion</w:t>
      </w:r>
    </w:p>
    <w:p w:rsidR="007A70E0" w:rsidRPr="00323978" w:rsidRDefault="00323978" w:rsidP="00323978">
      <w:pPr>
        <w:spacing w:line="480" w:lineRule="auto"/>
        <w:ind w:left="90"/>
        <w:jc w:val="both"/>
        <w:rPr>
          <w:rFonts w:ascii="Arial" w:hAnsi="Arial" w:cs="Arial"/>
          <w:b/>
          <w:sz w:val="24"/>
          <w:szCs w:val="24"/>
        </w:rPr>
      </w:pPr>
      <w:r w:rsidRPr="00323978">
        <w:rPr>
          <w:rFonts w:ascii="Arial" w:hAnsi="Arial" w:cs="Arial"/>
          <w:sz w:val="24"/>
          <w:szCs w:val="24"/>
        </w:rPr>
        <w:t>[30]</w:t>
      </w:r>
      <w:r>
        <w:rPr>
          <w:rFonts w:ascii="Arial" w:hAnsi="Arial" w:cs="Arial"/>
          <w:sz w:val="24"/>
          <w:szCs w:val="24"/>
        </w:rPr>
        <w:tab/>
      </w:r>
      <w:r w:rsidR="007A70E0" w:rsidRPr="00323978">
        <w:rPr>
          <w:rFonts w:ascii="Arial" w:hAnsi="Arial" w:cs="Arial"/>
          <w:sz w:val="24"/>
          <w:szCs w:val="24"/>
        </w:rPr>
        <w:t>The Appellant is not a first offender. He was convicted on 30 October 2016 on a count of assault to do serious bodily harm and sentenced to pay a fine of R1500 (One Thousand Five Hundred Rand) or eight (8) months imprisonment. In addition, he was sentenced to a further six (6) months imprisonment, which was wholly suspended for a period of five (5) years on condition that he is not again found guilty of a crime involving violent crime during the period of suspension. It is evident that the Appellant committed this offence during the period of suspension. No application was made to put the suspended sentence into operation.</w:t>
      </w:r>
    </w:p>
    <w:p w:rsidR="007A70E0" w:rsidRPr="00E87B56" w:rsidRDefault="007A70E0" w:rsidP="007A70E0">
      <w:pPr>
        <w:pStyle w:val="ListParagraph"/>
        <w:spacing w:line="480" w:lineRule="auto"/>
        <w:ind w:left="0"/>
        <w:jc w:val="both"/>
        <w:rPr>
          <w:rFonts w:ascii="Arial" w:hAnsi="Arial" w:cs="Arial"/>
          <w:b/>
          <w:sz w:val="24"/>
          <w:szCs w:val="24"/>
        </w:rPr>
      </w:pPr>
    </w:p>
    <w:p w:rsidR="00272757" w:rsidRPr="001732BE" w:rsidRDefault="00323978" w:rsidP="00323978">
      <w:pPr>
        <w:pStyle w:val="ListParagraph"/>
        <w:spacing w:line="480" w:lineRule="auto"/>
        <w:ind w:left="90"/>
        <w:jc w:val="both"/>
        <w:rPr>
          <w:rFonts w:ascii="Arial" w:hAnsi="Arial" w:cs="Arial"/>
          <w:b/>
          <w:sz w:val="24"/>
          <w:szCs w:val="24"/>
        </w:rPr>
      </w:pPr>
      <w:r>
        <w:rPr>
          <w:rFonts w:ascii="Arial" w:hAnsi="Arial" w:cs="Arial"/>
          <w:sz w:val="24"/>
          <w:szCs w:val="24"/>
        </w:rPr>
        <w:t>[31]</w:t>
      </w:r>
      <w:r>
        <w:rPr>
          <w:rFonts w:ascii="Arial" w:hAnsi="Arial" w:cs="Arial"/>
          <w:sz w:val="24"/>
          <w:szCs w:val="24"/>
        </w:rPr>
        <w:tab/>
      </w:r>
      <w:r w:rsidR="007F758C">
        <w:rPr>
          <w:rFonts w:ascii="Arial" w:hAnsi="Arial" w:cs="Arial"/>
          <w:sz w:val="24"/>
          <w:szCs w:val="24"/>
        </w:rPr>
        <w:t>I</w:t>
      </w:r>
      <w:r w:rsidR="000106A4">
        <w:rPr>
          <w:rFonts w:ascii="Arial" w:hAnsi="Arial" w:cs="Arial"/>
          <w:sz w:val="24"/>
          <w:szCs w:val="24"/>
        </w:rPr>
        <w:t xml:space="preserve">t was contended on behalf of the Appellant that the court </w:t>
      </w:r>
      <w:r w:rsidR="000106A4" w:rsidRPr="004F53DE">
        <w:rPr>
          <w:rFonts w:ascii="Arial" w:hAnsi="Arial" w:cs="Arial"/>
          <w:i/>
          <w:sz w:val="24"/>
          <w:szCs w:val="24"/>
        </w:rPr>
        <w:t>a quo</w:t>
      </w:r>
      <w:r w:rsidR="000106A4">
        <w:rPr>
          <w:rFonts w:ascii="Arial" w:hAnsi="Arial" w:cs="Arial"/>
          <w:sz w:val="24"/>
          <w:szCs w:val="24"/>
        </w:rPr>
        <w:t xml:space="preserve"> disregarded the A</w:t>
      </w:r>
      <w:r w:rsidR="007F758C">
        <w:rPr>
          <w:rFonts w:ascii="Arial" w:hAnsi="Arial" w:cs="Arial"/>
          <w:sz w:val="24"/>
          <w:szCs w:val="24"/>
        </w:rPr>
        <w:t>ppellants personal circumstance. T</w:t>
      </w:r>
      <w:r w:rsidR="00272757">
        <w:rPr>
          <w:rFonts w:ascii="Arial" w:hAnsi="Arial" w:cs="Arial"/>
          <w:sz w:val="24"/>
          <w:szCs w:val="24"/>
        </w:rPr>
        <w:t xml:space="preserve">he personal circumstances of the Appellant </w:t>
      </w:r>
      <w:r w:rsidR="00272757">
        <w:rPr>
          <w:rFonts w:ascii="Arial" w:hAnsi="Arial" w:cs="Arial"/>
          <w:sz w:val="24"/>
          <w:szCs w:val="24"/>
        </w:rPr>
        <w:lastRenderedPageBreak/>
        <w:t>were placed on record by his legal representative</w:t>
      </w:r>
      <w:r w:rsidR="007F758C">
        <w:rPr>
          <w:rFonts w:ascii="Arial" w:hAnsi="Arial" w:cs="Arial"/>
          <w:sz w:val="24"/>
          <w:szCs w:val="24"/>
        </w:rPr>
        <w:t xml:space="preserve"> however, the </w:t>
      </w:r>
      <w:r w:rsidR="00C6084E">
        <w:rPr>
          <w:rFonts w:ascii="Arial" w:hAnsi="Arial" w:cs="Arial"/>
          <w:sz w:val="24"/>
          <w:szCs w:val="24"/>
        </w:rPr>
        <w:t xml:space="preserve">court </w:t>
      </w:r>
      <w:r w:rsidR="007F758C">
        <w:rPr>
          <w:rFonts w:ascii="Arial" w:hAnsi="Arial" w:cs="Arial"/>
          <w:i/>
          <w:sz w:val="24"/>
          <w:szCs w:val="24"/>
        </w:rPr>
        <w:t xml:space="preserve">a quo </w:t>
      </w:r>
      <w:r w:rsidR="007F758C">
        <w:rPr>
          <w:rFonts w:ascii="Arial" w:hAnsi="Arial" w:cs="Arial"/>
          <w:sz w:val="24"/>
          <w:szCs w:val="24"/>
        </w:rPr>
        <w:t xml:space="preserve">simply </w:t>
      </w:r>
      <w:r w:rsidR="001732BE">
        <w:rPr>
          <w:rFonts w:ascii="Arial" w:hAnsi="Arial" w:cs="Arial"/>
          <w:sz w:val="24"/>
          <w:szCs w:val="24"/>
        </w:rPr>
        <w:t xml:space="preserve">remarked, </w:t>
      </w:r>
      <w:r w:rsidR="001732BE" w:rsidRPr="001732BE">
        <w:rPr>
          <w:rFonts w:ascii="Arial" w:hAnsi="Arial" w:cs="Arial"/>
          <w:i/>
          <w:sz w:val="24"/>
          <w:szCs w:val="24"/>
        </w:rPr>
        <w:t>“</w:t>
      </w:r>
      <w:r w:rsidR="00C6084E" w:rsidRPr="001732BE">
        <w:rPr>
          <w:rFonts w:ascii="Arial" w:hAnsi="Arial" w:cs="Arial"/>
          <w:i/>
          <w:sz w:val="24"/>
          <w:szCs w:val="24"/>
        </w:rPr>
        <w:t>Looking at your personal circumstance</w:t>
      </w:r>
      <w:r w:rsidR="001732BE" w:rsidRPr="001732BE">
        <w:rPr>
          <w:rFonts w:ascii="Arial" w:hAnsi="Arial" w:cs="Arial"/>
          <w:i/>
          <w:sz w:val="24"/>
          <w:szCs w:val="24"/>
        </w:rPr>
        <w:t>s, the seriousness of the crime, society’s interest</w:t>
      </w:r>
      <w:r w:rsidR="00C6084E" w:rsidRPr="001732BE">
        <w:rPr>
          <w:rFonts w:ascii="Arial" w:hAnsi="Arial" w:cs="Arial"/>
          <w:i/>
          <w:sz w:val="24"/>
          <w:szCs w:val="24"/>
        </w:rPr>
        <w:t>…”</w:t>
      </w:r>
      <w:r w:rsidR="00C6084E">
        <w:rPr>
          <w:rStyle w:val="FootnoteReference"/>
          <w:rFonts w:ascii="Arial" w:hAnsi="Arial" w:cs="Arial"/>
          <w:sz w:val="24"/>
          <w:szCs w:val="24"/>
        </w:rPr>
        <w:footnoteReference w:id="24"/>
      </w:r>
      <w:r w:rsidR="007F758C">
        <w:rPr>
          <w:rFonts w:ascii="Arial" w:hAnsi="Arial" w:cs="Arial"/>
          <w:sz w:val="24"/>
          <w:szCs w:val="24"/>
        </w:rPr>
        <w:t xml:space="preserve"> </w:t>
      </w:r>
      <w:r w:rsidR="00272757">
        <w:rPr>
          <w:rFonts w:ascii="Arial" w:hAnsi="Arial" w:cs="Arial"/>
          <w:sz w:val="24"/>
          <w:szCs w:val="24"/>
        </w:rPr>
        <w:t xml:space="preserve">The fact that the court </w:t>
      </w:r>
      <w:r w:rsidR="00272757" w:rsidRPr="004F53DE">
        <w:rPr>
          <w:rFonts w:ascii="Arial" w:hAnsi="Arial" w:cs="Arial"/>
          <w:i/>
          <w:sz w:val="24"/>
          <w:szCs w:val="24"/>
        </w:rPr>
        <w:t>a quo</w:t>
      </w:r>
      <w:r w:rsidR="00272757">
        <w:rPr>
          <w:rFonts w:ascii="Arial" w:hAnsi="Arial" w:cs="Arial"/>
          <w:sz w:val="24"/>
          <w:szCs w:val="24"/>
        </w:rPr>
        <w:t xml:space="preserve"> did not restate it, does not </w:t>
      </w:r>
      <w:r w:rsidR="001732BE">
        <w:rPr>
          <w:rFonts w:ascii="Arial" w:hAnsi="Arial" w:cs="Arial"/>
          <w:sz w:val="24"/>
          <w:szCs w:val="24"/>
        </w:rPr>
        <w:t>mean that it was not considered as was aptly enunciated i</w:t>
      </w:r>
      <w:r w:rsidR="00272757" w:rsidRPr="001732BE">
        <w:rPr>
          <w:rFonts w:ascii="Arial" w:hAnsi="Arial" w:cs="Arial"/>
          <w:sz w:val="24"/>
          <w:szCs w:val="24"/>
        </w:rPr>
        <w:t xml:space="preserve">n </w:t>
      </w:r>
      <w:r w:rsidR="00272757" w:rsidRPr="001732BE">
        <w:rPr>
          <w:rFonts w:ascii="Arial" w:hAnsi="Arial" w:cs="Arial"/>
          <w:b/>
          <w:i/>
          <w:sz w:val="24"/>
          <w:szCs w:val="24"/>
        </w:rPr>
        <w:t>Rex versus Dhlumayo and Others</w:t>
      </w:r>
      <w:r w:rsidR="00272757">
        <w:rPr>
          <w:rStyle w:val="FootnoteReference"/>
          <w:rFonts w:ascii="Arial" w:hAnsi="Arial" w:cs="Arial"/>
          <w:b/>
          <w:i/>
          <w:sz w:val="24"/>
          <w:szCs w:val="24"/>
        </w:rPr>
        <w:footnoteReference w:id="25"/>
      </w:r>
      <w:r w:rsidR="0030007A" w:rsidRPr="001732BE">
        <w:rPr>
          <w:rFonts w:ascii="Arial" w:hAnsi="Arial" w:cs="Arial"/>
          <w:i/>
          <w:sz w:val="24"/>
          <w:szCs w:val="24"/>
        </w:rPr>
        <w:t xml:space="preserve"> </w:t>
      </w:r>
      <w:r w:rsidR="001732BE">
        <w:rPr>
          <w:rFonts w:ascii="Arial" w:hAnsi="Arial" w:cs="Arial"/>
          <w:sz w:val="24"/>
          <w:szCs w:val="24"/>
        </w:rPr>
        <w:t>that</w:t>
      </w:r>
      <w:r w:rsidR="0030007A" w:rsidRPr="001732BE">
        <w:rPr>
          <w:rFonts w:ascii="Arial" w:hAnsi="Arial" w:cs="Arial"/>
          <w:sz w:val="24"/>
          <w:szCs w:val="24"/>
        </w:rPr>
        <w:t>:</w:t>
      </w:r>
    </w:p>
    <w:p w:rsidR="0030007A" w:rsidRPr="001732BE" w:rsidRDefault="00323978" w:rsidP="0030007A">
      <w:pPr>
        <w:pStyle w:val="ListParagraph"/>
        <w:spacing w:line="360" w:lineRule="auto"/>
        <w:ind w:right="720"/>
        <w:jc w:val="both"/>
        <w:rPr>
          <w:rFonts w:ascii="Arial" w:hAnsi="Arial" w:cs="Arial"/>
          <w:i/>
        </w:rPr>
      </w:pPr>
      <w:r>
        <w:rPr>
          <w:rFonts w:ascii="Arial" w:hAnsi="Arial" w:cs="Arial"/>
          <w:i/>
        </w:rPr>
        <w:t>“</w:t>
      </w:r>
      <w:r w:rsidR="0030007A" w:rsidRPr="001732BE">
        <w:rPr>
          <w:rFonts w:ascii="Arial" w:hAnsi="Arial" w:cs="Arial"/>
          <w:i/>
        </w:rPr>
        <w:t xml:space="preserve">An Appellate Court should not seek anxiously to discover reasons adverse to the conclusions of the trial Judge. No judgment can ever be perfect and all-embracing and it does </w:t>
      </w:r>
      <w:r w:rsidR="00E26103" w:rsidRPr="001732BE">
        <w:rPr>
          <w:rFonts w:ascii="Arial" w:hAnsi="Arial" w:cs="Arial"/>
          <w:i/>
        </w:rPr>
        <w:t>not necessarily follow that, because something has not been mentioned, therefore it has not been considered.</w:t>
      </w:r>
      <w:r>
        <w:rPr>
          <w:rFonts w:ascii="Arial" w:hAnsi="Arial" w:cs="Arial"/>
          <w:i/>
        </w:rPr>
        <w:t>”</w:t>
      </w:r>
    </w:p>
    <w:p w:rsidR="0030007A" w:rsidRPr="0030007A" w:rsidRDefault="0030007A" w:rsidP="0030007A">
      <w:pPr>
        <w:pStyle w:val="ListParagraph"/>
        <w:spacing w:line="360" w:lineRule="auto"/>
        <w:ind w:right="720"/>
        <w:jc w:val="both"/>
        <w:rPr>
          <w:rFonts w:ascii="Arial" w:hAnsi="Arial" w:cs="Arial"/>
          <w:b/>
          <w:i/>
          <w:sz w:val="24"/>
          <w:szCs w:val="24"/>
        </w:rPr>
      </w:pPr>
    </w:p>
    <w:p w:rsidR="007A70E0" w:rsidRPr="002410BD" w:rsidRDefault="00323978" w:rsidP="00323978">
      <w:pPr>
        <w:pStyle w:val="ListParagraph"/>
        <w:spacing w:line="480" w:lineRule="auto"/>
        <w:ind w:left="90"/>
        <w:jc w:val="both"/>
        <w:rPr>
          <w:rFonts w:ascii="Arial" w:hAnsi="Arial" w:cs="Arial"/>
          <w:b/>
          <w:sz w:val="24"/>
          <w:szCs w:val="24"/>
        </w:rPr>
      </w:pPr>
      <w:r>
        <w:rPr>
          <w:rFonts w:ascii="Arial" w:hAnsi="Arial" w:cs="Arial"/>
          <w:sz w:val="24"/>
          <w:szCs w:val="24"/>
        </w:rPr>
        <w:t>[32]</w:t>
      </w:r>
      <w:r>
        <w:rPr>
          <w:rFonts w:ascii="Arial" w:hAnsi="Arial" w:cs="Arial"/>
          <w:sz w:val="24"/>
          <w:szCs w:val="24"/>
        </w:rPr>
        <w:tab/>
      </w:r>
      <w:r w:rsidR="001732BE" w:rsidRPr="002410BD">
        <w:rPr>
          <w:rFonts w:ascii="Arial" w:hAnsi="Arial" w:cs="Arial"/>
          <w:sz w:val="24"/>
          <w:szCs w:val="24"/>
        </w:rPr>
        <w:t xml:space="preserve">It is however apposite to mention that the court </w:t>
      </w:r>
      <w:r w:rsidR="001732BE" w:rsidRPr="002410BD">
        <w:rPr>
          <w:rFonts w:ascii="Arial" w:hAnsi="Arial" w:cs="Arial"/>
          <w:i/>
          <w:sz w:val="24"/>
          <w:szCs w:val="24"/>
        </w:rPr>
        <w:t>a quo’s</w:t>
      </w:r>
      <w:r w:rsidR="001732BE" w:rsidRPr="002410BD">
        <w:rPr>
          <w:rFonts w:ascii="Arial" w:hAnsi="Arial" w:cs="Arial"/>
          <w:sz w:val="24"/>
          <w:szCs w:val="24"/>
        </w:rPr>
        <w:t xml:space="preserve"> judgment on sentence comprised of approximately 4 pages. The court dedicated at least one page on remarks that were unrelated to the accepted facts and evide</w:t>
      </w:r>
      <w:r w:rsidR="00C24EB4" w:rsidRPr="002410BD">
        <w:rPr>
          <w:rFonts w:ascii="Arial" w:hAnsi="Arial" w:cs="Arial"/>
          <w:sz w:val="24"/>
          <w:szCs w:val="24"/>
        </w:rPr>
        <w:t>nce that were placed before it. The Presiding Officer has to be criticised for wondering</w:t>
      </w:r>
      <w:r w:rsidR="002410BD" w:rsidRPr="002410BD">
        <w:rPr>
          <w:rFonts w:ascii="Arial" w:hAnsi="Arial" w:cs="Arial"/>
          <w:sz w:val="24"/>
          <w:szCs w:val="24"/>
        </w:rPr>
        <w:t xml:space="preserve"> off into territory that were</w:t>
      </w:r>
      <w:r w:rsidR="00C24EB4" w:rsidRPr="002410BD">
        <w:rPr>
          <w:rFonts w:ascii="Arial" w:hAnsi="Arial" w:cs="Arial"/>
          <w:sz w:val="24"/>
          <w:szCs w:val="24"/>
        </w:rPr>
        <w:t xml:space="preserve"> not chartered during the trial. </w:t>
      </w:r>
    </w:p>
    <w:p w:rsidR="00852F92" w:rsidRDefault="00852F92" w:rsidP="008D659D">
      <w:pPr>
        <w:pStyle w:val="ListParagraph"/>
        <w:spacing w:after="0" w:line="480" w:lineRule="auto"/>
        <w:ind w:left="0"/>
        <w:rPr>
          <w:rFonts w:ascii="Arial" w:eastAsia="Times New Roman" w:hAnsi="Arial" w:cs="Arial"/>
          <w:sz w:val="24"/>
          <w:szCs w:val="24"/>
          <w:shd w:val="clear" w:color="auto" w:fill="FFFFFF"/>
          <w:lang w:eastAsia="en-GB"/>
        </w:rPr>
      </w:pPr>
    </w:p>
    <w:p w:rsidR="00852F92" w:rsidRDefault="00852F92" w:rsidP="008D659D">
      <w:pPr>
        <w:pStyle w:val="ListParagraph"/>
        <w:spacing w:after="0" w:line="480" w:lineRule="auto"/>
        <w:ind w:left="0"/>
        <w:rPr>
          <w:rFonts w:ascii="Arial" w:eastAsia="Times New Roman" w:hAnsi="Arial" w:cs="Arial"/>
          <w:sz w:val="24"/>
          <w:szCs w:val="24"/>
          <w:shd w:val="clear" w:color="auto" w:fill="FFFFFF"/>
          <w:lang w:eastAsia="en-GB"/>
        </w:rPr>
      </w:pPr>
    </w:p>
    <w:p w:rsidR="008D659D" w:rsidRPr="008D659D" w:rsidRDefault="004C74CC" w:rsidP="001A078D">
      <w:pPr>
        <w:pStyle w:val="ListParagraph"/>
        <w:spacing w:after="0" w:line="480" w:lineRule="auto"/>
        <w:ind w:left="0"/>
        <w:jc w:val="both"/>
        <w:rPr>
          <w:rFonts w:ascii="Arial" w:hAnsi="Arial" w:cs="Arial"/>
          <w:b/>
          <w:sz w:val="24"/>
          <w:szCs w:val="24"/>
        </w:rPr>
      </w:pPr>
      <w:r>
        <w:rPr>
          <w:rFonts w:ascii="Arial" w:hAnsi="Arial" w:cs="Arial"/>
          <w:b/>
          <w:sz w:val="24"/>
          <w:szCs w:val="24"/>
        </w:rPr>
        <w:t>Conclusion</w:t>
      </w:r>
    </w:p>
    <w:p w:rsidR="00C77092" w:rsidRPr="00E817F9" w:rsidRDefault="00323978" w:rsidP="001A078D">
      <w:pPr>
        <w:pStyle w:val="ListParagraph"/>
        <w:spacing w:line="480" w:lineRule="auto"/>
        <w:ind w:left="9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C77092" w:rsidRPr="009B0AE9">
        <w:rPr>
          <w:rFonts w:ascii="Arial" w:hAnsi="Arial" w:cs="Arial"/>
          <w:sz w:val="24"/>
          <w:szCs w:val="24"/>
        </w:rPr>
        <w:t xml:space="preserve">This court on appeal cannot simply </w:t>
      </w:r>
      <w:r w:rsidR="00C77092" w:rsidRPr="009B0AE9">
        <w:rPr>
          <w:rFonts w:ascii="Arial" w:hAnsi="Arial" w:cs="Arial"/>
          <w:i/>
          <w:sz w:val="24"/>
          <w:szCs w:val="24"/>
        </w:rPr>
        <w:t>juxtapose</w:t>
      </w:r>
      <w:r w:rsidR="00C77092" w:rsidRPr="009B0AE9">
        <w:rPr>
          <w:rFonts w:ascii="Arial" w:hAnsi="Arial" w:cs="Arial"/>
          <w:sz w:val="24"/>
          <w:szCs w:val="24"/>
        </w:rPr>
        <w:t xml:space="preserve"> its views and opinions on sentence and then conclude that the sentence of the court </w:t>
      </w:r>
      <w:r w:rsidR="00C77092" w:rsidRPr="002A7D1A">
        <w:rPr>
          <w:rFonts w:ascii="Arial" w:hAnsi="Arial" w:cs="Arial"/>
          <w:i/>
          <w:sz w:val="24"/>
          <w:szCs w:val="24"/>
        </w:rPr>
        <w:t>a quo</w:t>
      </w:r>
      <w:r w:rsidR="00C77092" w:rsidRPr="009B0AE9">
        <w:rPr>
          <w:rFonts w:ascii="Arial" w:hAnsi="Arial" w:cs="Arial"/>
          <w:sz w:val="24"/>
          <w:szCs w:val="24"/>
        </w:rPr>
        <w:t xml:space="preserve"> is inappropriate if it differs from what this court would have done. It is only when the trial court has exercised its discretion in an improper manner or misdirected itself that interference will be warranted.</w:t>
      </w:r>
      <w:r w:rsidR="00C77092" w:rsidRPr="009B0AE9">
        <w:rPr>
          <w:rStyle w:val="FootnoteReference"/>
          <w:rFonts w:ascii="Arial" w:hAnsi="Arial" w:cs="Arial"/>
          <w:sz w:val="24"/>
          <w:szCs w:val="24"/>
        </w:rPr>
        <w:footnoteReference w:id="26"/>
      </w:r>
      <w:r w:rsidR="00C77092" w:rsidRPr="009B0AE9">
        <w:rPr>
          <w:rFonts w:ascii="Arial" w:hAnsi="Arial" w:cs="Arial"/>
          <w:sz w:val="24"/>
          <w:szCs w:val="24"/>
        </w:rPr>
        <w:t xml:space="preserve"> </w:t>
      </w:r>
      <w:r w:rsidR="00C77092" w:rsidRPr="009B0AE9">
        <w:rPr>
          <w:rFonts w:ascii="Arial" w:hAnsi="Arial" w:cs="Arial"/>
          <w:sz w:val="24"/>
          <w:szCs w:val="24"/>
          <w:lang w:val="en-GB"/>
        </w:rPr>
        <w:t xml:space="preserve">It is trite that an appeal court will not </w:t>
      </w:r>
      <w:r w:rsidR="001A078D" w:rsidRPr="009B0AE9">
        <w:rPr>
          <w:rFonts w:ascii="Arial" w:hAnsi="Arial" w:cs="Arial"/>
          <w:sz w:val="24"/>
          <w:szCs w:val="24"/>
          <w:lang w:val="en-GB"/>
        </w:rPr>
        <w:t>interfere with</w:t>
      </w:r>
      <w:r w:rsidR="00C77092" w:rsidRPr="009B0AE9">
        <w:rPr>
          <w:rFonts w:ascii="Arial" w:hAnsi="Arial" w:cs="Arial"/>
          <w:sz w:val="24"/>
          <w:szCs w:val="24"/>
          <w:lang w:val="en-GB"/>
        </w:rPr>
        <w:t xml:space="preserve"> the trial court’s exercise of its discretion in relation to sentence.</w:t>
      </w:r>
      <w:r w:rsidR="00C77092" w:rsidRPr="009B0AE9">
        <w:rPr>
          <w:vertAlign w:val="superscript"/>
          <w:lang w:val="en-GB"/>
        </w:rPr>
        <w:footnoteReference w:id="27"/>
      </w:r>
      <w:r w:rsidR="00C77092" w:rsidRPr="009B0AE9">
        <w:rPr>
          <w:rFonts w:ascii="Arial" w:hAnsi="Arial" w:cs="Arial"/>
          <w:sz w:val="24"/>
          <w:szCs w:val="24"/>
          <w:lang w:val="en-GB"/>
        </w:rPr>
        <w:t xml:space="preserve"> </w:t>
      </w:r>
    </w:p>
    <w:p w:rsidR="00E817F9" w:rsidRPr="00F72CB5" w:rsidRDefault="00E817F9" w:rsidP="001A078D">
      <w:pPr>
        <w:pStyle w:val="ListParagraph"/>
        <w:spacing w:line="480" w:lineRule="auto"/>
        <w:ind w:left="0"/>
        <w:jc w:val="both"/>
        <w:rPr>
          <w:rFonts w:ascii="Arial" w:hAnsi="Arial" w:cs="Arial"/>
          <w:sz w:val="24"/>
          <w:szCs w:val="24"/>
        </w:rPr>
      </w:pPr>
    </w:p>
    <w:p w:rsidR="006F09E2" w:rsidRPr="002410BD" w:rsidRDefault="001A078D" w:rsidP="001A078D">
      <w:pPr>
        <w:pStyle w:val="ListParagraph"/>
        <w:spacing w:line="480" w:lineRule="auto"/>
        <w:ind w:left="90"/>
        <w:jc w:val="both"/>
        <w:rPr>
          <w:rFonts w:ascii="Arial" w:hAnsi="Arial" w:cs="Arial"/>
          <w:b/>
          <w:sz w:val="24"/>
          <w:szCs w:val="24"/>
        </w:rPr>
      </w:pPr>
      <w:r>
        <w:rPr>
          <w:rFonts w:ascii="Arial" w:hAnsi="Arial" w:cs="Arial"/>
          <w:sz w:val="24"/>
          <w:szCs w:val="24"/>
        </w:rPr>
        <w:t>[34]</w:t>
      </w:r>
      <w:r>
        <w:rPr>
          <w:rFonts w:ascii="Arial" w:hAnsi="Arial" w:cs="Arial"/>
          <w:sz w:val="24"/>
          <w:szCs w:val="24"/>
        </w:rPr>
        <w:tab/>
      </w:r>
      <w:r w:rsidR="006F09E2" w:rsidRPr="005C457D">
        <w:rPr>
          <w:rFonts w:ascii="Arial" w:hAnsi="Arial" w:cs="Arial"/>
          <w:sz w:val="24"/>
          <w:szCs w:val="24"/>
        </w:rPr>
        <w:t>The test to be applied is whether the trial court in imposing the sentence exercised its discretion properly or not.</w:t>
      </w:r>
      <w:r w:rsidR="006F09E2" w:rsidRPr="009B0AE9">
        <w:rPr>
          <w:rStyle w:val="FootnoteReference"/>
          <w:rFonts w:ascii="Arial" w:hAnsi="Arial" w:cs="Arial"/>
          <w:sz w:val="24"/>
          <w:szCs w:val="24"/>
        </w:rPr>
        <w:footnoteReference w:id="28"/>
      </w:r>
      <w:r w:rsidR="00E834EE">
        <w:rPr>
          <w:rFonts w:ascii="Arial" w:hAnsi="Arial" w:cs="Arial"/>
          <w:sz w:val="24"/>
          <w:szCs w:val="24"/>
        </w:rPr>
        <w:t xml:space="preserve"> I am therefore of the view that t</w:t>
      </w:r>
      <w:r w:rsidR="006F09E2" w:rsidRPr="005C457D">
        <w:rPr>
          <w:rFonts w:ascii="Arial" w:hAnsi="Arial" w:cs="Arial"/>
          <w:sz w:val="24"/>
          <w:szCs w:val="24"/>
        </w:rPr>
        <w:t>he court</w:t>
      </w:r>
      <w:r w:rsidR="00E834EE">
        <w:rPr>
          <w:rFonts w:ascii="Arial" w:hAnsi="Arial" w:cs="Arial"/>
          <w:sz w:val="24"/>
          <w:szCs w:val="24"/>
        </w:rPr>
        <w:t xml:space="preserve"> </w:t>
      </w:r>
      <w:r w:rsidR="00E834EE" w:rsidRPr="00E834EE">
        <w:rPr>
          <w:rFonts w:ascii="Arial" w:hAnsi="Arial" w:cs="Arial"/>
          <w:i/>
          <w:sz w:val="24"/>
          <w:szCs w:val="24"/>
        </w:rPr>
        <w:t>a quo</w:t>
      </w:r>
      <w:r w:rsidR="006F09E2" w:rsidRPr="005C457D">
        <w:rPr>
          <w:rFonts w:ascii="Arial" w:hAnsi="Arial" w:cs="Arial"/>
          <w:sz w:val="24"/>
          <w:szCs w:val="24"/>
        </w:rPr>
        <w:t xml:space="preserve"> misdirected itself</w:t>
      </w:r>
      <w:r w:rsidR="00E834EE">
        <w:rPr>
          <w:rFonts w:ascii="Arial" w:hAnsi="Arial" w:cs="Arial"/>
          <w:sz w:val="24"/>
          <w:szCs w:val="24"/>
        </w:rPr>
        <w:t xml:space="preserve"> in</w:t>
      </w:r>
      <w:r w:rsidR="00E834EE" w:rsidRPr="00E834EE">
        <w:rPr>
          <w:rFonts w:ascii="Arial" w:hAnsi="Arial" w:cs="Arial"/>
          <w:sz w:val="24"/>
          <w:szCs w:val="24"/>
        </w:rPr>
        <w:t xml:space="preserve"> </w:t>
      </w:r>
      <w:r w:rsidR="00E834EE">
        <w:rPr>
          <w:rFonts w:ascii="Arial" w:hAnsi="Arial" w:cs="Arial"/>
          <w:sz w:val="24"/>
          <w:szCs w:val="24"/>
        </w:rPr>
        <w:t>overemphasis</w:t>
      </w:r>
      <w:r w:rsidR="00687511">
        <w:rPr>
          <w:rFonts w:ascii="Arial" w:hAnsi="Arial" w:cs="Arial"/>
          <w:sz w:val="24"/>
          <w:szCs w:val="24"/>
        </w:rPr>
        <w:t>ing the</w:t>
      </w:r>
      <w:r w:rsidR="00E834EE">
        <w:rPr>
          <w:rFonts w:ascii="Arial" w:hAnsi="Arial" w:cs="Arial"/>
          <w:sz w:val="24"/>
          <w:szCs w:val="24"/>
        </w:rPr>
        <w:t xml:space="preserve"> homophobic undertones as a reason for the assault, which was not raised in evidence.</w:t>
      </w:r>
      <w:r w:rsidR="002410BD" w:rsidRPr="002410BD">
        <w:rPr>
          <w:rFonts w:ascii="Arial" w:hAnsi="Arial" w:cs="Arial"/>
          <w:sz w:val="24"/>
          <w:szCs w:val="24"/>
        </w:rPr>
        <w:t xml:space="preserve"> </w:t>
      </w:r>
      <w:r w:rsidR="002410BD">
        <w:rPr>
          <w:rFonts w:ascii="Arial" w:hAnsi="Arial" w:cs="Arial"/>
          <w:sz w:val="24"/>
          <w:szCs w:val="24"/>
        </w:rPr>
        <w:t xml:space="preserve">It is manifest that the court </w:t>
      </w:r>
      <w:r w:rsidR="002410BD" w:rsidRPr="00C24EB4">
        <w:rPr>
          <w:rFonts w:ascii="Arial" w:hAnsi="Arial" w:cs="Arial"/>
          <w:i/>
          <w:sz w:val="24"/>
          <w:szCs w:val="24"/>
        </w:rPr>
        <w:t>a quo</w:t>
      </w:r>
      <w:r w:rsidR="002410BD">
        <w:rPr>
          <w:rFonts w:ascii="Arial" w:hAnsi="Arial" w:cs="Arial"/>
          <w:sz w:val="24"/>
          <w:szCs w:val="24"/>
        </w:rPr>
        <w:t xml:space="preserve"> placed disproportionate emphasis on evidence that were not traversed during the trial. This is a clear misdirection and is deserving of censure. </w:t>
      </w:r>
      <w:r w:rsidR="00F00667" w:rsidRPr="002410BD">
        <w:rPr>
          <w:rFonts w:ascii="Arial" w:hAnsi="Arial" w:cs="Arial"/>
          <w:sz w:val="24"/>
          <w:szCs w:val="24"/>
        </w:rPr>
        <w:t>As a result, t</w:t>
      </w:r>
      <w:r w:rsidR="006F09E2" w:rsidRPr="002410BD">
        <w:rPr>
          <w:rFonts w:ascii="Arial" w:hAnsi="Arial" w:cs="Arial"/>
          <w:sz w:val="24"/>
          <w:szCs w:val="24"/>
        </w:rPr>
        <w:t xml:space="preserve">he sentence imposed by the court </w:t>
      </w:r>
      <w:r w:rsidR="006F09E2" w:rsidRPr="002410BD">
        <w:rPr>
          <w:rFonts w:ascii="Arial" w:hAnsi="Arial" w:cs="Arial"/>
          <w:i/>
          <w:sz w:val="24"/>
          <w:szCs w:val="24"/>
        </w:rPr>
        <w:t>a quo</w:t>
      </w:r>
      <w:r w:rsidR="00687511" w:rsidRPr="002410BD">
        <w:rPr>
          <w:rFonts w:ascii="Arial" w:hAnsi="Arial" w:cs="Arial"/>
          <w:sz w:val="24"/>
          <w:szCs w:val="24"/>
        </w:rPr>
        <w:t xml:space="preserve"> is disturbingly inappropriate and warrants interference.</w:t>
      </w:r>
    </w:p>
    <w:p w:rsidR="002410BD" w:rsidRPr="002410BD" w:rsidRDefault="002410BD" w:rsidP="002410BD">
      <w:pPr>
        <w:pStyle w:val="ListParagraph"/>
        <w:rPr>
          <w:rFonts w:ascii="Arial" w:hAnsi="Arial" w:cs="Arial"/>
          <w:b/>
          <w:sz w:val="24"/>
          <w:szCs w:val="24"/>
        </w:rPr>
      </w:pPr>
    </w:p>
    <w:p w:rsidR="006272D2" w:rsidRPr="00133369" w:rsidRDefault="001A078D" w:rsidP="001A078D">
      <w:pPr>
        <w:pStyle w:val="ListParagraph"/>
        <w:spacing w:after="0" w:line="480" w:lineRule="auto"/>
        <w:ind w:left="90"/>
        <w:rPr>
          <w:rFonts w:ascii="Arial" w:eastAsia="Times New Roman" w:hAnsi="Arial" w:cs="Arial"/>
          <w:sz w:val="24"/>
          <w:szCs w:val="24"/>
          <w:lang w:val="af-ZA" w:eastAsia="en-GB"/>
        </w:rPr>
      </w:pPr>
      <w:r>
        <w:rPr>
          <w:rFonts w:ascii="Arial" w:hAnsi="Arial" w:cs="Arial"/>
          <w:sz w:val="24"/>
          <w:szCs w:val="24"/>
        </w:rPr>
        <w:t>[35]</w:t>
      </w:r>
      <w:r>
        <w:rPr>
          <w:rFonts w:ascii="Arial" w:hAnsi="Arial" w:cs="Arial"/>
          <w:sz w:val="24"/>
          <w:szCs w:val="24"/>
        </w:rPr>
        <w:tab/>
      </w:r>
      <w:r w:rsidR="006272D2">
        <w:rPr>
          <w:rFonts w:ascii="Arial" w:hAnsi="Arial" w:cs="Arial"/>
          <w:sz w:val="24"/>
          <w:szCs w:val="24"/>
        </w:rPr>
        <w:t>It is further pellucid</w:t>
      </w:r>
      <w:r w:rsidR="006272D2" w:rsidRPr="00617464">
        <w:rPr>
          <w:rFonts w:ascii="Arial" w:hAnsi="Arial" w:cs="Arial"/>
          <w:sz w:val="24"/>
          <w:szCs w:val="24"/>
        </w:rPr>
        <w:t xml:space="preserve"> that the Appellant has not</w:t>
      </w:r>
      <w:r w:rsidR="006272D2">
        <w:rPr>
          <w:rFonts w:ascii="Arial" w:hAnsi="Arial" w:cs="Arial"/>
          <w:sz w:val="24"/>
          <w:szCs w:val="24"/>
        </w:rPr>
        <w:t xml:space="preserve"> shown any remorse and his</w:t>
      </w:r>
      <w:r w:rsidR="004D3A3D">
        <w:rPr>
          <w:rFonts w:ascii="Arial" w:hAnsi="Arial" w:cs="Arial"/>
          <w:sz w:val="24"/>
          <w:szCs w:val="24"/>
        </w:rPr>
        <w:t xml:space="preserve"> attempt</w:t>
      </w:r>
      <w:r w:rsidR="006272D2" w:rsidRPr="00617464">
        <w:rPr>
          <w:rFonts w:ascii="Arial" w:hAnsi="Arial" w:cs="Arial"/>
          <w:sz w:val="24"/>
          <w:szCs w:val="24"/>
        </w:rPr>
        <w:t xml:space="preserve"> to plead guilty on a lesser charge of assault with in</w:t>
      </w:r>
      <w:r w:rsidR="006272D2">
        <w:rPr>
          <w:rFonts w:ascii="Arial" w:hAnsi="Arial" w:cs="Arial"/>
          <w:sz w:val="24"/>
          <w:szCs w:val="24"/>
        </w:rPr>
        <w:t>tent to do grievous bodily harm is not indicative that he was remorseful but merely an attempt at getting a lesser sentence.</w:t>
      </w:r>
      <w:r w:rsidR="006272D2" w:rsidRPr="00617464">
        <w:rPr>
          <w:rFonts w:ascii="Arial" w:hAnsi="Arial" w:cs="Arial"/>
          <w:sz w:val="24"/>
          <w:szCs w:val="24"/>
        </w:rPr>
        <w:t xml:space="preserve"> The Appellant </w:t>
      </w:r>
      <w:r w:rsidR="006272D2">
        <w:rPr>
          <w:rFonts w:ascii="Arial" w:hAnsi="Arial" w:cs="Arial"/>
          <w:sz w:val="24"/>
          <w:szCs w:val="24"/>
        </w:rPr>
        <w:t xml:space="preserve">throughout the trial, </w:t>
      </w:r>
      <w:r w:rsidR="006272D2" w:rsidRPr="00617464">
        <w:rPr>
          <w:rFonts w:ascii="Arial" w:hAnsi="Arial" w:cs="Arial"/>
          <w:sz w:val="24"/>
          <w:szCs w:val="24"/>
        </w:rPr>
        <w:t>failed to accept responsibility</w:t>
      </w:r>
      <w:r w:rsidR="006272D2">
        <w:rPr>
          <w:rFonts w:ascii="Arial" w:hAnsi="Arial" w:cs="Arial"/>
          <w:sz w:val="24"/>
          <w:szCs w:val="24"/>
        </w:rPr>
        <w:t>.</w:t>
      </w:r>
    </w:p>
    <w:p w:rsidR="00C63EC4" w:rsidRPr="00C63EC4" w:rsidRDefault="006272D2" w:rsidP="00C63EC4">
      <w:pPr>
        <w:pStyle w:val="ListParagraph"/>
        <w:spacing w:after="0" w:line="480" w:lineRule="auto"/>
        <w:ind w:left="0"/>
        <w:rPr>
          <w:rFonts w:ascii="Arial" w:hAnsi="Arial" w:cs="Arial"/>
          <w:sz w:val="24"/>
          <w:szCs w:val="24"/>
        </w:rPr>
      </w:pPr>
      <w:r w:rsidRPr="008D659D">
        <w:rPr>
          <w:rFonts w:ascii="Arial" w:hAnsi="Arial" w:cs="Arial"/>
          <w:sz w:val="24"/>
          <w:szCs w:val="24"/>
        </w:rPr>
        <w:t>At no stage did the Appellant express any compassion towards the compla</w:t>
      </w:r>
      <w:r w:rsidR="000A17CB">
        <w:rPr>
          <w:rFonts w:ascii="Arial" w:hAnsi="Arial" w:cs="Arial"/>
          <w:sz w:val="24"/>
          <w:szCs w:val="24"/>
        </w:rPr>
        <w:t>inant for what had happened and/</w:t>
      </w:r>
      <w:r w:rsidRPr="008D659D">
        <w:rPr>
          <w:rFonts w:ascii="Arial" w:hAnsi="Arial" w:cs="Arial"/>
          <w:sz w:val="24"/>
          <w:szCs w:val="24"/>
        </w:rPr>
        <w:t>or for leaving him with a life-long stark reminder of that fateful, vicious and unsolicited attack.</w:t>
      </w:r>
      <w:r w:rsidRPr="008D659D">
        <w:rPr>
          <w:rFonts w:ascii="Arial" w:hAnsi="Arial" w:cs="Arial"/>
          <w:b/>
          <w:sz w:val="24"/>
          <w:szCs w:val="24"/>
        </w:rPr>
        <w:t xml:space="preserve"> </w:t>
      </w:r>
      <w:r w:rsidRPr="008D659D">
        <w:rPr>
          <w:rFonts w:ascii="Arial" w:hAnsi="Arial" w:cs="Arial"/>
          <w:sz w:val="24"/>
          <w:szCs w:val="24"/>
        </w:rPr>
        <w:t>The victim will forever carry a life</w:t>
      </w:r>
      <w:r w:rsidR="00F1491C">
        <w:rPr>
          <w:rFonts w:ascii="Arial" w:hAnsi="Arial" w:cs="Arial"/>
          <w:sz w:val="24"/>
          <w:szCs w:val="24"/>
        </w:rPr>
        <w:t>-</w:t>
      </w:r>
      <w:r w:rsidRPr="008D659D">
        <w:rPr>
          <w:rFonts w:ascii="Arial" w:hAnsi="Arial" w:cs="Arial"/>
          <w:sz w:val="24"/>
          <w:szCs w:val="24"/>
        </w:rPr>
        <w:t xml:space="preserve">long scar as he has been disfigured to such an extent that no amount of plastic surgery will be able to fix.  I am in agreement with the Respondent that the moral blameworthiness </w:t>
      </w:r>
      <w:r w:rsidRPr="008D659D">
        <w:rPr>
          <w:rFonts w:ascii="Arial" w:hAnsi="Arial" w:cs="Arial"/>
          <w:sz w:val="24"/>
          <w:szCs w:val="24"/>
        </w:rPr>
        <w:lastRenderedPageBreak/>
        <w:t xml:space="preserve">of the unprovoked </w:t>
      </w:r>
      <w:r w:rsidR="001A078D" w:rsidRPr="008D659D">
        <w:rPr>
          <w:rFonts w:ascii="Arial" w:hAnsi="Arial" w:cs="Arial"/>
          <w:sz w:val="24"/>
          <w:szCs w:val="24"/>
        </w:rPr>
        <w:t>attack and</w:t>
      </w:r>
      <w:r w:rsidRPr="008D659D">
        <w:rPr>
          <w:rFonts w:ascii="Arial" w:hAnsi="Arial" w:cs="Arial"/>
          <w:sz w:val="24"/>
          <w:szCs w:val="24"/>
        </w:rPr>
        <w:t xml:space="preserve"> the seriousness o</w:t>
      </w:r>
      <w:r w:rsidR="00C63EC4">
        <w:rPr>
          <w:rFonts w:ascii="Arial" w:hAnsi="Arial" w:cs="Arial"/>
          <w:sz w:val="24"/>
          <w:szCs w:val="24"/>
        </w:rPr>
        <w:t xml:space="preserve">f the injuries sustained by the </w:t>
      </w:r>
      <w:r w:rsidRPr="008D659D">
        <w:rPr>
          <w:rFonts w:ascii="Arial" w:hAnsi="Arial" w:cs="Arial"/>
          <w:sz w:val="24"/>
          <w:szCs w:val="24"/>
        </w:rPr>
        <w:t>complainant cannot be overemphasised.</w:t>
      </w:r>
      <w:r>
        <w:rPr>
          <w:rStyle w:val="FootnoteReference"/>
          <w:rFonts w:ascii="Arial" w:hAnsi="Arial" w:cs="Arial"/>
          <w:sz w:val="24"/>
          <w:szCs w:val="24"/>
        </w:rPr>
        <w:footnoteReference w:id="29"/>
      </w:r>
      <w:r>
        <w:rPr>
          <w:rFonts w:ascii="Arial" w:hAnsi="Arial" w:cs="Arial"/>
          <w:sz w:val="24"/>
          <w:szCs w:val="24"/>
        </w:rPr>
        <w:t xml:space="preserve"> </w:t>
      </w:r>
    </w:p>
    <w:p w:rsidR="007A70E0" w:rsidRPr="006F09E2" w:rsidRDefault="007A70E0" w:rsidP="007A70E0">
      <w:pPr>
        <w:pStyle w:val="ListParagraph"/>
        <w:spacing w:after="0" w:line="480" w:lineRule="auto"/>
        <w:ind w:left="0"/>
        <w:rPr>
          <w:rFonts w:ascii="Arial" w:eastAsia="Times New Roman" w:hAnsi="Arial" w:cs="Arial"/>
          <w:sz w:val="24"/>
          <w:szCs w:val="24"/>
          <w:shd w:val="clear" w:color="auto" w:fill="FFFFFF"/>
          <w:lang w:eastAsia="en-GB"/>
        </w:rPr>
      </w:pPr>
    </w:p>
    <w:p w:rsidR="00C63EC4" w:rsidRPr="001841BD" w:rsidRDefault="001A078D" w:rsidP="001A078D">
      <w:pPr>
        <w:pStyle w:val="ListParagraph"/>
        <w:spacing w:after="0" w:line="480" w:lineRule="auto"/>
        <w:ind w:left="90"/>
        <w:jc w:val="both"/>
        <w:rPr>
          <w:rFonts w:ascii="Arial" w:hAnsi="Arial" w:cs="Arial"/>
          <w:b/>
          <w:sz w:val="24"/>
          <w:szCs w:val="24"/>
        </w:rPr>
      </w:pPr>
      <w:r>
        <w:rPr>
          <w:rFonts w:ascii="Arial" w:hAnsi="Arial" w:cs="Arial"/>
          <w:sz w:val="24"/>
          <w:szCs w:val="24"/>
        </w:rPr>
        <w:t>[36]</w:t>
      </w:r>
      <w:r>
        <w:rPr>
          <w:rFonts w:ascii="Arial" w:hAnsi="Arial" w:cs="Arial"/>
          <w:sz w:val="24"/>
          <w:szCs w:val="24"/>
        </w:rPr>
        <w:tab/>
      </w:r>
      <w:r w:rsidR="00C63EC4">
        <w:rPr>
          <w:rFonts w:ascii="Arial" w:hAnsi="Arial" w:cs="Arial"/>
          <w:sz w:val="24"/>
          <w:szCs w:val="24"/>
        </w:rPr>
        <w:t>This court has regard that the Appe</w:t>
      </w:r>
      <w:r w:rsidR="003D1BD9">
        <w:rPr>
          <w:rFonts w:ascii="Arial" w:hAnsi="Arial" w:cs="Arial"/>
          <w:sz w:val="24"/>
          <w:szCs w:val="24"/>
        </w:rPr>
        <w:t>llant is still relatively young. H</w:t>
      </w:r>
      <w:r w:rsidR="00C63EC4">
        <w:rPr>
          <w:rFonts w:ascii="Arial" w:hAnsi="Arial" w:cs="Arial"/>
          <w:sz w:val="24"/>
          <w:szCs w:val="24"/>
        </w:rPr>
        <w:t xml:space="preserve">owever, I am of the view that </w:t>
      </w:r>
      <w:r w:rsidR="001547F5">
        <w:rPr>
          <w:rFonts w:ascii="Arial" w:hAnsi="Arial" w:cs="Arial"/>
          <w:sz w:val="24"/>
          <w:szCs w:val="24"/>
        </w:rPr>
        <w:t>a sentence proportionate to the gravity of the offence and the degree of responsibility of the Appellant in this matter demands</w:t>
      </w:r>
      <w:r w:rsidR="00C63EC4">
        <w:rPr>
          <w:rFonts w:ascii="Arial" w:hAnsi="Arial" w:cs="Arial"/>
          <w:sz w:val="24"/>
          <w:szCs w:val="24"/>
        </w:rPr>
        <w:t xml:space="preserve"> </w:t>
      </w:r>
      <w:r w:rsidR="001547F5">
        <w:rPr>
          <w:rFonts w:ascii="Arial" w:hAnsi="Arial" w:cs="Arial"/>
          <w:sz w:val="24"/>
          <w:szCs w:val="24"/>
        </w:rPr>
        <w:t>a punitive sanction of</w:t>
      </w:r>
      <w:r w:rsidR="00C63EC4">
        <w:rPr>
          <w:rFonts w:ascii="Arial" w:hAnsi="Arial" w:cs="Arial"/>
          <w:sz w:val="24"/>
          <w:szCs w:val="24"/>
        </w:rPr>
        <w:t xml:space="preserve"> direct imprisonment, which is to</w:t>
      </w:r>
      <w:r w:rsidR="00691B62">
        <w:rPr>
          <w:rFonts w:ascii="Arial" w:hAnsi="Arial" w:cs="Arial"/>
          <w:sz w:val="24"/>
          <w:szCs w:val="24"/>
        </w:rPr>
        <w:t xml:space="preserve"> be</w:t>
      </w:r>
      <w:r w:rsidR="00C63EC4">
        <w:rPr>
          <w:rFonts w:ascii="Arial" w:hAnsi="Arial" w:cs="Arial"/>
          <w:sz w:val="24"/>
          <w:szCs w:val="24"/>
        </w:rPr>
        <w:t xml:space="preserve"> blended with </w:t>
      </w:r>
      <w:r w:rsidR="00C63EC4" w:rsidRPr="001841BD">
        <w:rPr>
          <w:rFonts w:ascii="Arial" w:hAnsi="Arial" w:cs="Arial"/>
          <w:sz w:val="24"/>
          <w:szCs w:val="24"/>
        </w:rPr>
        <w:t>consider</w:t>
      </w:r>
      <w:r w:rsidR="00C63EC4">
        <w:rPr>
          <w:rFonts w:ascii="Arial" w:hAnsi="Arial" w:cs="Arial"/>
          <w:sz w:val="24"/>
          <w:szCs w:val="24"/>
        </w:rPr>
        <w:t>ations of</w:t>
      </w:r>
      <w:r w:rsidR="00C63EC4" w:rsidRPr="001841BD">
        <w:rPr>
          <w:rFonts w:ascii="Arial" w:hAnsi="Arial" w:cs="Arial"/>
          <w:sz w:val="24"/>
          <w:szCs w:val="24"/>
        </w:rPr>
        <w:t xml:space="preserve"> the main purpose of punishment which are deterrent; preventative, reformative and retributive.</w:t>
      </w:r>
      <w:r w:rsidR="00C63EC4">
        <w:rPr>
          <w:rStyle w:val="FootnoteReference"/>
          <w:rFonts w:ascii="Arial" w:hAnsi="Arial" w:cs="Arial"/>
          <w:sz w:val="24"/>
          <w:szCs w:val="24"/>
        </w:rPr>
        <w:footnoteReference w:id="30"/>
      </w:r>
      <w:r w:rsidR="00C63EC4" w:rsidRPr="001841BD">
        <w:rPr>
          <w:rFonts w:ascii="Arial" w:hAnsi="Arial" w:cs="Arial"/>
          <w:sz w:val="24"/>
          <w:szCs w:val="24"/>
        </w:rPr>
        <w:t xml:space="preserve"> </w:t>
      </w:r>
    </w:p>
    <w:p w:rsidR="00C63EC4" w:rsidRPr="00C63EC4" w:rsidRDefault="00C63EC4" w:rsidP="00C63EC4">
      <w:pPr>
        <w:pStyle w:val="ListParagraph"/>
        <w:spacing w:line="480" w:lineRule="auto"/>
        <w:ind w:left="0"/>
        <w:jc w:val="both"/>
        <w:rPr>
          <w:rFonts w:ascii="Arial" w:hAnsi="Arial" w:cs="Arial"/>
          <w:b/>
          <w:sz w:val="24"/>
          <w:szCs w:val="24"/>
        </w:rPr>
      </w:pPr>
    </w:p>
    <w:p w:rsidR="00EE72D3" w:rsidRPr="00FD44DE" w:rsidRDefault="001A078D" w:rsidP="001A078D">
      <w:pPr>
        <w:pStyle w:val="ListParagraph"/>
        <w:tabs>
          <w:tab w:val="num" w:pos="851"/>
        </w:tabs>
        <w:spacing w:line="480" w:lineRule="auto"/>
        <w:ind w:left="90"/>
        <w:jc w:val="both"/>
        <w:rPr>
          <w:rFonts w:ascii="Arial" w:hAnsi="Arial" w:cs="Arial"/>
          <w:b/>
          <w:sz w:val="24"/>
          <w:szCs w:val="24"/>
        </w:rPr>
      </w:pPr>
      <w:r>
        <w:rPr>
          <w:rFonts w:ascii="Arial" w:hAnsi="Arial" w:cs="Arial"/>
          <w:sz w:val="24"/>
          <w:szCs w:val="24"/>
        </w:rPr>
        <w:t>[37]</w:t>
      </w:r>
      <w:r>
        <w:rPr>
          <w:rFonts w:ascii="Arial" w:hAnsi="Arial" w:cs="Arial"/>
          <w:sz w:val="24"/>
          <w:szCs w:val="24"/>
        </w:rPr>
        <w:tab/>
      </w:r>
      <w:r w:rsidR="00C63EC4">
        <w:rPr>
          <w:rFonts w:ascii="Arial" w:hAnsi="Arial" w:cs="Arial"/>
          <w:sz w:val="24"/>
          <w:szCs w:val="24"/>
        </w:rPr>
        <w:t xml:space="preserve">In </w:t>
      </w:r>
      <w:r w:rsidR="007A70E0">
        <w:rPr>
          <w:rFonts w:ascii="Arial" w:hAnsi="Arial" w:cs="Arial"/>
          <w:sz w:val="24"/>
          <w:szCs w:val="24"/>
        </w:rPr>
        <w:t>the circumstances</w:t>
      </w:r>
      <w:r w:rsidR="00FD44DE">
        <w:rPr>
          <w:rFonts w:ascii="Arial" w:hAnsi="Arial" w:cs="Arial"/>
          <w:sz w:val="24"/>
          <w:szCs w:val="24"/>
        </w:rPr>
        <w:t xml:space="preserve"> I would uphold</w:t>
      </w:r>
      <w:r w:rsidR="00EE72D3" w:rsidRPr="00FB47FB">
        <w:rPr>
          <w:rFonts w:ascii="Arial" w:hAnsi="Arial" w:cs="Arial"/>
          <w:sz w:val="24"/>
          <w:szCs w:val="24"/>
        </w:rPr>
        <w:t xml:space="preserve"> the appeal</w:t>
      </w:r>
      <w:r w:rsidR="000C47C0">
        <w:rPr>
          <w:rFonts w:ascii="Arial" w:hAnsi="Arial" w:cs="Arial"/>
          <w:sz w:val="24"/>
          <w:szCs w:val="24"/>
        </w:rPr>
        <w:t xml:space="preserve">. The sentence imposed by the court </w:t>
      </w:r>
      <w:r w:rsidR="000C47C0" w:rsidRPr="000C47C0">
        <w:rPr>
          <w:rFonts w:ascii="Arial" w:hAnsi="Arial" w:cs="Arial"/>
          <w:i/>
          <w:sz w:val="24"/>
          <w:szCs w:val="24"/>
        </w:rPr>
        <w:t>a quo</w:t>
      </w:r>
      <w:r w:rsidR="000C47C0">
        <w:rPr>
          <w:rFonts w:ascii="Arial" w:hAnsi="Arial" w:cs="Arial"/>
          <w:sz w:val="24"/>
          <w:szCs w:val="24"/>
        </w:rPr>
        <w:t xml:space="preserve"> is accordingly set aside and replaced with the following sentence:</w:t>
      </w:r>
    </w:p>
    <w:p w:rsidR="00FD44DE" w:rsidRPr="00FD44DE" w:rsidRDefault="00FD44DE" w:rsidP="00FD44DE">
      <w:pPr>
        <w:pStyle w:val="ListParagraph"/>
        <w:rPr>
          <w:rFonts w:ascii="Arial" w:hAnsi="Arial" w:cs="Arial"/>
          <w:b/>
          <w:sz w:val="24"/>
          <w:szCs w:val="24"/>
        </w:rPr>
      </w:pPr>
    </w:p>
    <w:p w:rsidR="00FD44DE" w:rsidRPr="00FB47FB" w:rsidRDefault="00FD44DE" w:rsidP="000C47C0">
      <w:pPr>
        <w:pStyle w:val="ListParagraph"/>
        <w:spacing w:line="480" w:lineRule="auto"/>
        <w:ind w:left="432" w:right="432"/>
        <w:jc w:val="both"/>
        <w:rPr>
          <w:rFonts w:ascii="Arial" w:hAnsi="Arial" w:cs="Arial"/>
          <w:b/>
          <w:sz w:val="24"/>
          <w:szCs w:val="24"/>
        </w:rPr>
      </w:pPr>
      <w:r>
        <w:rPr>
          <w:rFonts w:ascii="Arial" w:hAnsi="Arial" w:cs="Arial"/>
          <w:b/>
          <w:sz w:val="24"/>
          <w:szCs w:val="24"/>
        </w:rPr>
        <w:t>The accused is sentenced to ten (10) yea</w:t>
      </w:r>
      <w:r w:rsidR="000C47C0">
        <w:rPr>
          <w:rFonts w:ascii="Arial" w:hAnsi="Arial" w:cs="Arial"/>
          <w:b/>
          <w:sz w:val="24"/>
          <w:szCs w:val="24"/>
        </w:rPr>
        <w:t>rs imprisonment of which five (5</w:t>
      </w:r>
      <w:r>
        <w:rPr>
          <w:rFonts w:ascii="Arial" w:hAnsi="Arial" w:cs="Arial"/>
          <w:b/>
          <w:sz w:val="24"/>
          <w:szCs w:val="24"/>
        </w:rPr>
        <w:t xml:space="preserve">) years imprisonment is wholly suspended for a period of five (5) years on condition that the accused is not again convicted of murder or attempted murder or </w:t>
      </w:r>
      <w:r w:rsidR="000C47C0">
        <w:rPr>
          <w:rFonts w:ascii="Arial" w:hAnsi="Arial" w:cs="Arial"/>
          <w:b/>
          <w:sz w:val="24"/>
          <w:szCs w:val="24"/>
        </w:rPr>
        <w:t>assault with intent to do grievous bodily harm or attempt thereto or assault or attempt thereto</w:t>
      </w:r>
      <w:r>
        <w:rPr>
          <w:rFonts w:ascii="Arial" w:hAnsi="Arial" w:cs="Arial"/>
          <w:b/>
          <w:sz w:val="24"/>
          <w:szCs w:val="24"/>
        </w:rPr>
        <w:t xml:space="preserve">, committed during the period of </w:t>
      </w:r>
      <w:r w:rsidR="0037132C">
        <w:rPr>
          <w:rFonts w:ascii="Arial" w:hAnsi="Arial" w:cs="Arial"/>
          <w:b/>
          <w:sz w:val="24"/>
          <w:szCs w:val="24"/>
        </w:rPr>
        <w:t>suspension.  The sentence</w:t>
      </w:r>
      <w:r w:rsidR="00176AD9">
        <w:rPr>
          <w:rFonts w:ascii="Arial" w:hAnsi="Arial" w:cs="Arial"/>
          <w:b/>
          <w:sz w:val="24"/>
          <w:szCs w:val="24"/>
        </w:rPr>
        <w:t xml:space="preserve"> is to run retrospectively from the date that sentence was imposed, namely 25 November 2022.</w:t>
      </w:r>
    </w:p>
    <w:p w:rsidR="00EE72D3" w:rsidRDefault="00EE72D3" w:rsidP="00EE72D3">
      <w:pPr>
        <w:pStyle w:val="Default"/>
        <w:jc w:val="both"/>
        <w:rPr>
          <w:rFonts w:ascii="Arial" w:hAnsi="Arial" w:cs="Arial"/>
        </w:rPr>
      </w:pPr>
    </w:p>
    <w:p w:rsidR="00581519" w:rsidRDefault="00581519" w:rsidP="00EE72D3">
      <w:pPr>
        <w:pStyle w:val="Default"/>
        <w:jc w:val="both"/>
        <w:rPr>
          <w:rFonts w:ascii="Arial" w:hAnsi="Arial" w:cs="Arial"/>
        </w:rPr>
      </w:pPr>
    </w:p>
    <w:p w:rsidR="00581519" w:rsidRDefault="00581519" w:rsidP="00EE72D3">
      <w:pPr>
        <w:pStyle w:val="Default"/>
        <w:jc w:val="both"/>
        <w:rPr>
          <w:rFonts w:ascii="Arial" w:hAnsi="Arial" w:cs="Arial"/>
        </w:rPr>
      </w:pPr>
    </w:p>
    <w:p w:rsidR="00EE72D3" w:rsidRDefault="00EE72D3" w:rsidP="00EE72D3">
      <w:pPr>
        <w:pStyle w:val="Default"/>
        <w:jc w:val="both"/>
        <w:rPr>
          <w:rFonts w:ascii="Arial" w:hAnsi="Arial" w:cs="Arial"/>
        </w:rPr>
      </w:pPr>
    </w:p>
    <w:p w:rsidR="00EE72D3" w:rsidRDefault="00EE72D3" w:rsidP="00EE72D3">
      <w:pPr>
        <w:pStyle w:val="Defaul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EE72D3" w:rsidRPr="00E828B4" w:rsidRDefault="00EE72D3" w:rsidP="00EE72D3">
      <w:pPr>
        <w:pStyle w:val="Default"/>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28B4">
        <w:rPr>
          <w:rFonts w:ascii="Arial" w:hAnsi="Arial" w:cs="Arial"/>
          <w:b/>
        </w:rPr>
        <w:t>ANDREWS, AJ</w:t>
      </w:r>
    </w:p>
    <w:p w:rsidR="00EE72D3" w:rsidRDefault="00EE72D3" w:rsidP="00EE72D3">
      <w:pPr>
        <w:pStyle w:val="Default"/>
        <w:jc w:val="both"/>
        <w:rPr>
          <w:rFonts w:ascii="Arial" w:hAnsi="Arial" w:cs="Arial"/>
        </w:rPr>
      </w:pPr>
    </w:p>
    <w:p w:rsidR="00EE72D3" w:rsidRDefault="00EE72D3" w:rsidP="00EE72D3">
      <w:pPr>
        <w:pStyle w:val="Default"/>
        <w:jc w:val="both"/>
        <w:rPr>
          <w:rFonts w:ascii="Arial" w:hAnsi="Arial" w:cs="Arial"/>
        </w:rPr>
      </w:pPr>
    </w:p>
    <w:p w:rsidR="00EE72D3" w:rsidRDefault="00EE72D3" w:rsidP="00EE72D3">
      <w:pPr>
        <w:pStyle w:val="Default"/>
        <w:jc w:val="both"/>
        <w:rPr>
          <w:rFonts w:ascii="Arial" w:hAnsi="Arial" w:cs="Arial"/>
        </w:rPr>
      </w:pPr>
    </w:p>
    <w:p w:rsidR="00EE72D3" w:rsidRDefault="00EE72D3" w:rsidP="00EE72D3">
      <w:pPr>
        <w:pStyle w:val="Default"/>
        <w:jc w:val="both"/>
        <w:rPr>
          <w:rFonts w:ascii="Arial" w:hAnsi="Arial" w:cs="Arial"/>
        </w:rPr>
      </w:pPr>
      <w:r>
        <w:rPr>
          <w:rFonts w:ascii="Arial" w:hAnsi="Arial" w:cs="Arial"/>
        </w:rPr>
        <w:t>I agree and it is so ordered.</w:t>
      </w:r>
    </w:p>
    <w:p w:rsidR="00EE72D3" w:rsidRDefault="00EE72D3" w:rsidP="00EE72D3">
      <w:pPr>
        <w:pStyle w:val="Default"/>
        <w:jc w:val="both"/>
        <w:rPr>
          <w:rFonts w:ascii="Arial" w:hAnsi="Arial" w:cs="Arial"/>
        </w:rPr>
      </w:pPr>
    </w:p>
    <w:p w:rsidR="00EE72D3" w:rsidRDefault="00EE72D3" w:rsidP="00EE72D3">
      <w:pPr>
        <w:pStyle w:val="Default"/>
        <w:jc w:val="both"/>
        <w:rPr>
          <w:rFonts w:ascii="Arial" w:hAnsi="Arial" w:cs="Arial"/>
        </w:rPr>
      </w:pPr>
    </w:p>
    <w:p w:rsidR="00EE72D3" w:rsidRDefault="00EE72D3" w:rsidP="00EE72D3">
      <w:pPr>
        <w:pStyle w:val="Default"/>
        <w:jc w:val="both"/>
        <w:rPr>
          <w:rFonts w:ascii="Arial" w:hAnsi="Arial" w:cs="Arial"/>
        </w:rPr>
      </w:pPr>
    </w:p>
    <w:p w:rsidR="00EE72D3" w:rsidRDefault="00EE72D3" w:rsidP="00EE72D3">
      <w:pPr>
        <w:pStyle w:val="Default"/>
        <w:jc w:val="both"/>
        <w:rPr>
          <w:rFonts w:ascii="Arial" w:hAnsi="Arial" w:cs="Arial"/>
        </w:rPr>
      </w:pPr>
    </w:p>
    <w:p w:rsidR="00EE72D3" w:rsidRDefault="00EE72D3" w:rsidP="00EE72D3">
      <w:pPr>
        <w:pStyle w:val="Default"/>
        <w:ind w:left="4320" w:firstLine="720"/>
        <w:jc w:val="both"/>
        <w:rPr>
          <w:rFonts w:ascii="Arial" w:hAnsi="Arial" w:cs="Arial"/>
        </w:rPr>
      </w:pPr>
      <w:r>
        <w:rPr>
          <w:rFonts w:ascii="Arial" w:hAnsi="Arial" w:cs="Arial"/>
        </w:rPr>
        <w:t xml:space="preserve">     _________________________</w:t>
      </w:r>
    </w:p>
    <w:p w:rsidR="00B20338" w:rsidRPr="001A078D" w:rsidRDefault="00EE72D3" w:rsidP="00EE72D3">
      <w:pPr>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0136A3">
        <w:rPr>
          <w:rFonts w:ascii="Arial" w:hAnsi="Arial" w:cs="Arial"/>
          <w:b/>
        </w:rPr>
        <w:t xml:space="preserve">               </w:t>
      </w:r>
      <w:r w:rsidR="00712E52" w:rsidRPr="001A078D">
        <w:rPr>
          <w:rFonts w:ascii="Arial" w:hAnsi="Arial" w:cs="Arial"/>
          <w:b/>
          <w:sz w:val="24"/>
          <w:szCs w:val="24"/>
        </w:rPr>
        <w:t>FORTUIN, J</w:t>
      </w:r>
    </w:p>
    <w:p w:rsidR="007A70E0" w:rsidRPr="008C4DA1" w:rsidRDefault="007A70E0" w:rsidP="007A70E0">
      <w:pPr>
        <w:pStyle w:val="ListParagraph"/>
        <w:spacing w:line="360" w:lineRule="auto"/>
        <w:ind w:right="720"/>
        <w:jc w:val="both"/>
        <w:rPr>
          <w:rFonts w:ascii="Arial" w:hAnsi="Arial" w:cs="Arial"/>
          <w:i/>
        </w:rPr>
      </w:pPr>
    </w:p>
    <w:p w:rsidR="007A70E0" w:rsidRPr="008C4DA1" w:rsidRDefault="007A70E0" w:rsidP="007A70E0">
      <w:pPr>
        <w:pStyle w:val="ListParagraph"/>
        <w:rPr>
          <w:rFonts w:ascii="Arial" w:hAnsi="Arial" w:cs="Arial"/>
          <w:b/>
          <w:sz w:val="24"/>
          <w:szCs w:val="24"/>
        </w:rPr>
      </w:pPr>
    </w:p>
    <w:p w:rsidR="001A078D" w:rsidRDefault="001A078D" w:rsidP="00C259BB">
      <w:pPr>
        <w:rPr>
          <w:rFonts w:ascii="Arial" w:hAnsi="Arial" w:cs="Arial"/>
          <w:b/>
          <w:sz w:val="24"/>
          <w:szCs w:val="24"/>
        </w:rPr>
      </w:pPr>
    </w:p>
    <w:p w:rsidR="00C259BB" w:rsidRPr="00C259BB" w:rsidRDefault="00C259BB" w:rsidP="00C259BB">
      <w:pPr>
        <w:rPr>
          <w:rFonts w:ascii="Arial" w:hAnsi="Arial" w:cs="Arial"/>
          <w:sz w:val="24"/>
          <w:szCs w:val="24"/>
        </w:rPr>
      </w:pPr>
      <w:r w:rsidRPr="00C259BB">
        <w:rPr>
          <w:rFonts w:ascii="Arial" w:hAnsi="Arial" w:cs="Arial"/>
          <w:b/>
          <w:sz w:val="24"/>
          <w:szCs w:val="24"/>
        </w:rPr>
        <w:t>APPEARANCES</w:t>
      </w:r>
      <w:r>
        <w:rPr>
          <w:rFonts w:ascii="Arial" w:hAnsi="Arial" w:cs="Arial"/>
          <w:sz w:val="24"/>
          <w:szCs w:val="24"/>
        </w:rPr>
        <w:t>:</w:t>
      </w:r>
      <w:r>
        <w:rPr>
          <w:rFonts w:ascii="Arial" w:hAnsi="Arial" w:cs="Arial"/>
          <w:b/>
        </w:rPr>
        <w:t xml:space="preserve"> </w:t>
      </w:r>
    </w:p>
    <w:p w:rsidR="00C259BB" w:rsidRDefault="00C259BB" w:rsidP="00C259BB">
      <w:pPr>
        <w:pStyle w:val="Default"/>
        <w:jc w:val="both"/>
        <w:rPr>
          <w:rFonts w:ascii="Arial" w:hAnsi="Arial" w:cs="Arial"/>
          <w:b/>
        </w:rPr>
      </w:pPr>
    </w:p>
    <w:p w:rsidR="00C259BB" w:rsidRDefault="00C259BB" w:rsidP="00C259BB">
      <w:pPr>
        <w:pStyle w:val="Default"/>
        <w:jc w:val="both"/>
        <w:rPr>
          <w:rFonts w:ascii="Arial" w:hAnsi="Arial" w:cs="Arial"/>
        </w:rPr>
      </w:pPr>
      <w:r>
        <w:rPr>
          <w:rFonts w:ascii="Arial" w:hAnsi="Arial" w:cs="Arial"/>
        </w:rPr>
        <w:t>Counsel for the Appellant:</w:t>
      </w:r>
      <w:r>
        <w:rPr>
          <w:rFonts w:ascii="Arial" w:hAnsi="Arial" w:cs="Arial"/>
        </w:rPr>
        <w:tab/>
      </w:r>
      <w:r>
        <w:rPr>
          <w:rFonts w:ascii="Arial" w:hAnsi="Arial" w:cs="Arial"/>
        </w:rPr>
        <w:tab/>
      </w:r>
      <w:r>
        <w:rPr>
          <w:rFonts w:ascii="Arial" w:hAnsi="Arial" w:cs="Arial"/>
        </w:rPr>
        <w:tab/>
      </w:r>
      <w:r>
        <w:rPr>
          <w:rFonts w:ascii="Arial" w:hAnsi="Arial" w:cs="Arial"/>
        </w:rPr>
        <w:tab/>
        <w:t>Susanna Kuun</w:t>
      </w:r>
    </w:p>
    <w:p w:rsidR="00C259BB" w:rsidRDefault="00C259BB" w:rsidP="00C259BB">
      <w:pPr>
        <w:pStyle w:val="Default"/>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Legal-Aid South Africa</w:t>
      </w:r>
    </w:p>
    <w:p w:rsidR="00C259BB" w:rsidRDefault="00C259BB" w:rsidP="00C259BB">
      <w:pPr>
        <w:pStyle w:val="Defaul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Cape Town Justice Centre</w:t>
      </w:r>
    </w:p>
    <w:p w:rsidR="00C259BB" w:rsidRDefault="00C259BB" w:rsidP="00C259BB">
      <w:pPr>
        <w:pStyle w:val="Default"/>
        <w:jc w:val="both"/>
        <w:rPr>
          <w:rFonts w:ascii="Arial" w:hAnsi="Arial" w:cs="Arial"/>
        </w:rPr>
      </w:pPr>
    </w:p>
    <w:p w:rsidR="00C259BB" w:rsidRDefault="00C259BB" w:rsidP="00C259BB">
      <w:pPr>
        <w:pStyle w:val="Default"/>
        <w:jc w:val="both"/>
        <w:rPr>
          <w:rFonts w:ascii="Arial" w:hAnsi="Arial" w:cs="Arial"/>
        </w:rPr>
      </w:pPr>
      <w:r>
        <w:rPr>
          <w:rFonts w:ascii="Arial" w:hAnsi="Arial" w:cs="Arial"/>
        </w:rPr>
        <w:t xml:space="preserve">Counsel for the Respondent: </w:t>
      </w:r>
      <w:r>
        <w:rPr>
          <w:rFonts w:ascii="Arial" w:hAnsi="Arial" w:cs="Arial"/>
        </w:rPr>
        <w:tab/>
      </w:r>
      <w:r>
        <w:rPr>
          <w:rFonts w:ascii="Arial" w:hAnsi="Arial" w:cs="Arial"/>
        </w:rPr>
        <w:tab/>
      </w:r>
      <w:r>
        <w:rPr>
          <w:rFonts w:ascii="Arial" w:hAnsi="Arial" w:cs="Arial"/>
        </w:rPr>
        <w:tab/>
        <w:t>Advocate S Mhlana</w:t>
      </w:r>
    </w:p>
    <w:p w:rsidR="00C259BB" w:rsidRDefault="00C259BB" w:rsidP="00C259BB">
      <w:pPr>
        <w:pStyle w:val="Defaul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Office of the Director of Public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Prosecutions</w:t>
      </w:r>
    </w:p>
    <w:p w:rsidR="00C259BB" w:rsidRPr="00C259BB" w:rsidRDefault="00C259BB" w:rsidP="00EE72D3">
      <w:pPr>
        <w:rPr>
          <w:rFonts w:ascii="Arial" w:hAnsi="Arial" w:cs="Arial"/>
          <w:sz w:val="24"/>
          <w:szCs w:val="24"/>
        </w:rPr>
      </w:pPr>
    </w:p>
    <w:p w:rsidR="00D76BA5" w:rsidRDefault="00D76BA5" w:rsidP="00D76BA5">
      <w:pPr>
        <w:spacing w:after="0" w:line="240" w:lineRule="auto"/>
        <w:rPr>
          <w:rFonts w:ascii="Century Gothic" w:eastAsia="Times New Roman" w:hAnsi="Century Gothic" w:cs="Times New Roman"/>
          <w:sz w:val="24"/>
          <w:szCs w:val="24"/>
          <w:lang w:val="af-ZA"/>
        </w:rPr>
      </w:pPr>
      <w:r w:rsidRPr="001844A7">
        <w:rPr>
          <w:rFonts w:ascii="Century Gothic" w:eastAsia="Times New Roman" w:hAnsi="Century Gothic" w:cs="Times New Roman"/>
          <w:i/>
          <w:sz w:val="24"/>
          <w:szCs w:val="24"/>
          <w:lang w:val="af-ZA"/>
        </w:rPr>
        <w:t>Heard on</w:t>
      </w:r>
      <w:r w:rsidRPr="001844A7">
        <w:rPr>
          <w:rFonts w:ascii="Century Gothic" w:eastAsia="Times New Roman" w:hAnsi="Century Gothic" w:cs="Times New Roman"/>
          <w:sz w:val="24"/>
          <w:szCs w:val="24"/>
          <w:lang w:val="af-ZA"/>
        </w:rPr>
        <w:t xml:space="preserve">: </w:t>
      </w:r>
      <w:r w:rsidRPr="001844A7">
        <w:rPr>
          <w:rFonts w:ascii="Century Gothic" w:eastAsia="Times New Roman" w:hAnsi="Century Gothic" w:cs="Times New Roman"/>
          <w:sz w:val="24"/>
          <w:szCs w:val="24"/>
          <w:lang w:val="af-ZA"/>
        </w:rPr>
        <w:tab/>
        <w:t>20 October 2023</w:t>
      </w:r>
    </w:p>
    <w:p w:rsidR="00D76BA5" w:rsidRDefault="00D76BA5" w:rsidP="00D76BA5">
      <w:pPr>
        <w:spacing w:after="0" w:line="240" w:lineRule="auto"/>
        <w:rPr>
          <w:rFonts w:ascii="Century Gothic" w:eastAsia="Times New Roman" w:hAnsi="Century Gothic" w:cs="Times New Roman"/>
          <w:sz w:val="24"/>
          <w:szCs w:val="24"/>
          <w:lang w:val="af-ZA"/>
        </w:rPr>
      </w:pPr>
    </w:p>
    <w:p w:rsidR="00FD5DA4" w:rsidRPr="00FD5DA4" w:rsidRDefault="00D76BA5" w:rsidP="001A078D">
      <w:pPr>
        <w:spacing w:after="0" w:line="240" w:lineRule="auto"/>
        <w:rPr>
          <w:rFonts w:ascii="Arial" w:hAnsi="Arial" w:cs="Arial"/>
          <w:sz w:val="24"/>
          <w:szCs w:val="24"/>
        </w:rPr>
      </w:pPr>
      <w:r w:rsidRPr="001844A7">
        <w:rPr>
          <w:rFonts w:ascii="Century Gothic" w:eastAsia="Times New Roman" w:hAnsi="Century Gothic" w:cs="Times New Roman"/>
          <w:i/>
          <w:sz w:val="24"/>
          <w:szCs w:val="24"/>
          <w:lang w:val="af-ZA"/>
        </w:rPr>
        <w:t>Delivered</w:t>
      </w:r>
      <w:r>
        <w:rPr>
          <w:rFonts w:ascii="Century Gothic" w:eastAsia="Times New Roman" w:hAnsi="Century Gothic" w:cs="Times New Roman"/>
          <w:sz w:val="24"/>
          <w:szCs w:val="24"/>
          <w:lang w:val="af-ZA"/>
        </w:rPr>
        <w:t>:</w:t>
      </w:r>
      <w:r>
        <w:rPr>
          <w:rFonts w:ascii="Century Gothic" w:eastAsia="Times New Roman" w:hAnsi="Century Gothic" w:cs="Times New Roman"/>
          <w:sz w:val="24"/>
          <w:szCs w:val="24"/>
          <w:lang w:val="af-ZA"/>
        </w:rPr>
        <w:tab/>
        <w:t xml:space="preserve">08 November 2023 – This judgment was handed down </w:t>
      </w:r>
      <w:r>
        <w:rPr>
          <w:rFonts w:ascii="Century Gothic" w:eastAsia="Times New Roman" w:hAnsi="Century Gothic" w:cs="Times New Roman"/>
          <w:sz w:val="24"/>
          <w:szCs w:val="24"/>
          <w:lang w:val="af-ZA"/>
        </w:rPr>
        <w:tab/>
      </w:r>
      <w:r>
        <w:rPr>
          <w:rFonts w:ascii="Century Gothic" w:eastAsia="Times New Roman" w:hAnsi="Century Gothic" w:cs="Times New Roman"/>
          <w:sz w:val="24"/>
          <w:szCs w:val="24"/>
          <w:lang w:val="af-ZA"/>
        </w:rPr>
        <w:tab/>
      </w:r>
      <w:r>
        <w:rPr>
          <w:rFonts w:ascii="Century Gothic" w:eastAsia="Times New Roman" w:hAnsi="Century Gothic" w:cs="Times New Roman"/>
          <w:sz w:val="24"/>
          <w:szCs w:val="24"/>
          <w:lang w:val="af-ZA"/>
        </w:rPr>
        <w:tab/>
      </w:r>
      <w:r>
        <w:rPr>
          <w:rFonts w:ascii="Century Gothic" w:eastAsia="Times New Roman" w:hAnsi="Century Gothic" w:cs="Times New Roman"/>
          <w:sz w:val="24"/>
          <w:szCs w:val="24"/>
          <w:lang w:val="af-ZA"/>
        </w:rPr>
        <w:tab/>
        <w:t xml:space="preserve">electronically by circulation to the parties’ representatives by </w:t>
      </w:r>
      <w:r>
        <w:rPr>
          <w:rFonts w:ascii="Century Gothic" w:eastAsia="Times New Roman" w:hAnsi="Century Gothic" w:cs="Times New Roman"/>
          <w:sz w:val="24"/>
          <w:szCs w:val="24"/>
          <w:lang w:val="af-ZA"/>
        </w:rPr>
        <w:tab/>
      </w:r>
      <w:r>
        <w:rPr>
          <w:rFonts w:ascii="Century Gothic" w:eastAsia="Times New Roman" w:hAnsi="Century Gothic" w:cs="Times New Roman"/>
          <w:sz w:val="24"/>
          <w:szCs w:val="24"/>
          <w:lang w:val="af-ZA"/>
        </w:rPr>
        <w:tab/>
      </w:r>
      <w:r>
        <w:rPr>
          <w:rFonts w:ascii="Century Gothic" w:eastAsia="Times New Roman" w:hAnsi="Century Gothic" w:cs="Times New Roman"/>
          <w:sz w:val="24"/>
          <w:szCs w:val="24"/>
          <w:lang w:val="af-ZA"/>
        </w:rPr>
        <w:tab/>
        <w:t>email</w:t>
      </w:r>
    </w:p>
    <w:sectPr w:rsidR="00FD5DA4" w:rsidRPr="00FD5DA4" w:rsidSect="003856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32" w:rsidRDefault="00431A32" w:rsidP="00EE72D3">
      <w:pPr>
        <w:spacing w:after="0" w:line="240" w:lineRule="auto"/>
      </w:pPr>
      <w:r>
        <w:separator/>
      </w:r>
    </w:p>
  </w:endnote>
  <w:endnote w:type="continuationSeparator" w:id="0">
    <w:p w:rsidR="00431A32" w:rsidRDefault="00431A32" w:rsidP="00EE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79" w:rsidRDefault="003856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73691"/>
      <w:docPartObj>
        <w:docPartGallery w:val="Page Numbers (Bottom of Page)"/>
        <w:docPartUnique/>
      </w:docPartObj>
    </w:sdtPr>
    <w:sdtEndPr>
      <w:rPr>
        <w:noProof/>
      </w:rPr>
    </w:sdtEndPr>
    <w:sdtContent>
      <w:p w:rsidR="00880CCB" w:rsidRDefault="00880CCB">
        <w:pPr>
          <w:pStyle w:val="Footer"/>
          <w:jc w:val="right"/>
        </w:pPr>
        <w:r>
          <w:fldChar w:fldCharType="begin"/>
        </w:r>
        <w:r>
          <w:instrText xml:space="preserve"> PAGE   \* MERGEFORMAT </w:instrText>
        </w:r>
        <w:r>
          <w:fldChar w:fldCharType="separate"/>
        </w:r>
        <w:r w:rsidR="00F01561">
          <w:rPr>
            <w:noProof/>
          </w:rPr>
          <w:t>1</w:t>
        </w:r>
        <w:r>
          <w:rPr>
            <w:noProof/>
          </w:rPr>
          <w:fldChar w:fldCharType="end"/>
        </w:r>
      </w:p>
    </w:sdtContent>
  </w:sdt>
  <w:p w:rsidR="00880CCB" w:rsidRDefault="00880C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79" w:rsidRDefault="003856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32" w:rsidRDefault="00431A32" w:rsidP="00EE72D3">
      <w:pPr>
        <w:spacing w:after="0" w:line="240" w:lineRule="auto"/>
      </w:pPr>
      <w:r>
        <w:separator/>
      </w:r>
    </w:p>
  </w:footnote>
  <w:footnote w:type="continuationSeparator" w:id="0">
    <w:p w:rsidR="00431A32" w:rsidRDefault="00431A32" w:rsidP="00EE72D3">
      <w:pPr>
        <w:spacing w:after="0" w:line="240" w:lineRule="auto"/>
      </w:pPr>
      <w:r>
        <w:continuationSeparator/>
      </w:r>
    </w:p>
  </w:footnote>
  <w:footnote w:id="1">
    <w:p w:rsidR="00880CCB" w:rsidRPr="004819B9" w:rsidRDefault="00880CCB">
      <w:pPr>
        <w:pStyle w:val="FootnoteText"/>
        <w:rPr>
          <w:lang w:val="en-ZA"/>
        </w:rPr>
      </w:pPr>
      <w:r>
        <w:rPr>
          <w:rStyle w:val="FootnoteReference"/>
        </w:rPr>
        <w:footnoteRef/>
      </w:r>
      <w:r>
        <w:t xml:space="preserve"> </w:t>
      </w:r>
      <w:r>
        <w:rPr>
          <w:lang w:val="en-ZA"/>
        </w:rPr>
        <w:t>Act 51 of 1977.</w:t>
      </w:r>
    </w:p>
  </w:footnote>
  <w:footnote w:id="2">
    <w:p w:rsidR="00880CCB" w:rsidRPr="00FD5DA4" w:rsidRDefault="00880CCB">
      <w:pPr>
        <w:pStyle w:val="FootnoteText"/>
        <w:rPr>
          <w:lang w:val="en-ZA"/>
        </w:rPr>
      </w:pPr>
      <w:r>
        <w:rPr>
          <w:rStyle w:val="FootnoteReference"/>
        </w:rPr>
        <w:footnoteRef/>
      </w:r>
      <w:r>
        <w:t xml:space="preserve"> </w:t>
      </w:r>
      <w:r w:rsidRPr="00FD5DA4">
        <w:rPr>
          <w:rFonts w:asciiTheme="minorHAnsi" w:hAnsiTheme="minorHAnsi" w:cstheme="minorHAnsi"/>
        </w:rPr>
        <w:t>1948 (2) SA 677 (A).</w:t>
      </w:r>
      <w:r>
        <w:t xml:space="preserve">  </w:t>
      </w:r>
    </w:p>
  </w:footnote>
  <w:footnote w:id="3">
    <w:p w:rsidR="00880CCB" w:rsidRDefault="00880CCB" w:rsidP="0072029C">
      <w:pPr>
        <w:pStyle w:val="FootnoteText"/>
        <w:jc w:val="both"/>
        <w:rPr>
          <w:rFonts w:asciiTheme="minorHAnsi" w:hAnsiTheme="minorHAnsi" w:cstheme="minorBidi"/>
        </w:rPr>
      </w:pPr>
      <w:r>
        <w:rPr>
          <w:rStyle w:val="FootnoteReference"/>
        </w:rPr>
        <w:footnoteRef/>
      </w:r>
      <w:r>
        <w:t xml:space="preserve"> At 705-6.</w:t>
      </w:r>
    </w:p>
  </w:footnote>
  <w:footnote w:id="4">
    <w:p w:rsidR="00880CCB" w:rsidRDefault="00880CCB">
      <w:pPr>
        <w:pStyle w:val="FootnoteText"/>
        <w:rPr>
          <w:lang w:val="en-ZA"/>
        </w:rPr>
      </w:pPr>
      <w:r>
        <w:rPr>
          <w:rStyle w:val="FootnoteReference"/>
        </w:rPr>
        <w:footnoteRef/>
      </w:r>
      <w:r>
        <w:t xml:space="preserve"> </w:t>
      </w:r>
      <w:r>
        <w:rPr>
          <w:i/>
          <w:lang w:val="en-ZA"/>
        </w:rPr>
        <w:t xml:space="preserve">State v Steyn </w:t>
      </w:r>
      <w:r>
        <w:rPr>
          <w:lang w:val="en-ZA"/>
        </w:rPr>
        <w:t>2014 JDR 0596 (SCA) para 11 where Mhlantla JA stated:</w:t>
      </w:r>
    </w:p>
    <w:p w:rsidR="00880CCB" w:rsidRPr="007977DD" w:rsidRDefault="00880CCB">
      <w:pPr>
        <w:pStyle w:val="FootnoteText"/>
        <w:rPr>
          <w:i/>
          <w:lang w:val="en-ZA"/>
        </w:rPr>
      </w:pPr>
      <w:r>
        <w:rPr>
          <w:i/>
          <w:lang w:val="en-ZA"/>
        </w:rPr>
        <w:t>‘The imposition of sentence is pre-eminently within the discretion of the trial court. The court of appeal will be entitled to interfere with the sentence imposed by the trial court if the sentence is disturbingly inappropriate or so totally out of proportion to the magnitude of the offence, sufficiently disparate, vitiated by misdirection showing that the trial court exercised its discretion unreasonably or is otherwise such that no reasonable court would have imposed it.’</w:t>
      </w:r>
    </w:p>
  </w:footnote>
  <w:footnote w:id="5">
    <w:p w:rsidR="00880CCB" w:rsidRPr="000C44AE" w:rsidRDefault="00880CCB">
      <w:pPr>
        <w:pStyle w:val="FootnoteText"/>
        <w:rPr>
          <w:lang w:val="en-ZA"/>
        </w:rPr>
      </w:pPr>
      <w:r>
        <w:rPr>
          <w:rStyle w:val="FootnoteReference"/>
        </w:rPr>
        <w:footnoteRef/>
      </w:r>
      <w:r>
        <w:t xml:space="preserve"> </w:t>
      </w:r>
      <w:r>
        <w:rPr>
          <w:lang w:val="en-ZA"/>
        </w:rPr>
        <w:t>[1977] 4 All SA 713 (A) 717; 1977 (4) SA 531 (A) 535E-G.</w:t>
      </w:r>
    </w:p>
  </w:footnote>
  <w:footnote w:id="6">
    <w:p w:rsidR="00880CCB" w:rsidRPr="00C90BE3" w:rsidRDefault="00880CCB">
      <w:pPr>
        <w:pStyle w:val="FootnoteText"/>
        <w:rPr>
          <w:lang w:val="en-ZA"/>
        </w:rPr>
      </w:pPr>
      <w:r>
        <w:rPr>
          <w:rStyle w:val="FootnoteReference"/>
        </w:rPr>
        <w:footnoteRef/>
      </w:r>
      <w:r>
        <w:t xml:space="preserve"> </w:t>
      </w:r>
      <w:r w:rsidRPr="00C90BE3">
        <w:rPr>
          <w:rFonts w:asciiTheme="minorHAnsi" w:hAnsiTheme="minorHAnsi" w:cstheme="minorHAnsi"/>
        </w:rPr>
        <w:t xml:space="preserve">See </w:t>
      </w:r>
      <w:r w:rsidRPr="00C90BE3">
        <w:rPr>
          <w:rFonts w:asciiTheme="minorHAnsi" w:hAnsiTheme="minorHAnsi" w:cstheme="minorHAnsi"/>
          <w:i/>
        </w:rPr>
        <w:t>S v Zinn</w:t>
      </w:r>
      <w:r w:rsidRPr="00C90BE3">
        <w:rPr>
          <w:rFonts w:asciiTheme="minorHAnsi" w:hAnsiTheme="minorHAnsi" w:cstheme="minorHAnsi"/>
        </w:rPr>
        <w:t xml:space="preserve"> 1969 (2) SA 537 (A) and </w:t>
      </w:r>
      <w:r w:rsidRPr="00C90BE3">
        <w:rPr>
          <w:rFonts w:asciiTheme="minorHAnsi" w:hAnsiTheme="minorHAnsi" w:cstheme="minorHAnsi"/>
          <w:i/>
        </w:rPr>
        <w:t>Fredericks v S</w:t>
      </w:r>
      <w:r w:rsidRPr="00C90BE3">
        <w:rPr>
          <w:rFonts w:asciiTheme="minorHAnsi" w:hAnsiTheme="minorHAnsi" w:cstheme="minorHAnsi"/>
          <w:b/>
          <w:i/>
        </w:rPr>
        <w:t xml:space="preserve"> </w:t>
      </w:r>
      <w:r w:rsidRPr="00C90BE3">
        <w:rPr>
          <w:rFonts w:asciiTheme="minorHAnsi" w:hAnsiTheme="minorHAnsi" w:cstheme="minorHAnsi"/>
        </w:rPr>
        <w:t>[208/11] [2011] ZASCA 177 (29 September 2011)</w:t>
      </w:r>
      <w:r>
        <w:rPr>
          <w:rFonts w:asciiTheme="minorHAnsi" w:hAnsiTheme="minorHAnsi" w:cstheme="minorHAnsi"/>
        </w:rPr>
        <w:t>.</w:t>
      </w:r>
    </w:p>
  </w:footnote>
  <w:footnote w:id="7">
    <w:p w:rsidR="00880CCB" w:rsidRPr="00C90BE3" w:rsidRDefault="00880CCB">
      <w:pPr>
        <w:pStyle w:val="FootnoteText"/>
        <w:rPr>
          <w:lang w:val="en-ZA"/>
        </w:rPr>
      </w:pPr>
      <w:r>
        <w:rPr>
          <w:rStyle w:val="FootnoteReference"/>
        </w:rPr>
        <w:footnoteRef/>
      </w:r>
      <w:r>
        <w:t xml:space="preserve"> </w:t>
      </w:r>
      <w:r>
        <w:rPr>
          <w:i/>
          <w:lang w:val="en-ZA"/>
        </w:rPr>
        <w:t xml:space="preserve">S v Banda and Others </w:t>
      </w:r>
      <w:r>
        <w:rPr>
          <w:lang w:val="en-ZA"/>
        </w:rPr>
        <w:t>1991 (2) SA 352 (BGD) at 355 A – B.</w:t>
      </w:r>
    </w:p>
  </w:footnote>
  <w:footnote w:id="8">
    <w:p w:rsidR="00880CCB" w:rsidRPr="008127B7" w:rsidRDefault="00880CCB">
      <w:pPr>
        <w:pStyle w:val="FootnoteText"/>
        <w:rPr>
          <w:lang w:val="en-ZA"/>
        </w:rPr>
      </w:pPr>
      <w:r>
        <w:rPr>
          <w:rStyle w:val="FootnoteReference"/>
        </w:rPr>
        <w:footnoteRef/>
      </w:r>
      <w:r>
        <w:t xml:space="preserve"> </w:t>
      </w:r>
      <w:r>
        <w:rPr>
          <w:lang w:val="en-ZA"/>
        </w:rPr>
        <w:t xml:space="preserve">See </w:t>
      </w:r>
      <w:r w:rsidRPr="0011366F">
        <w:rPr>
          <w:i/>
          <w:lang w:val="en-ZA"/>
        </w:rPr>
        <w:t>S v Rabie</w:t>
      </w:r>
      <w:r>
        <w:rPr>
          <w:lang w:val="en-ZA"/>
        </w:rPr>
        <w:t xml:space="preserve"> 19975 94) SA 855 (A) at 862 G-H.</w:t>
      </w:r>
    </w:p>
  </w:footnote>
  <w:footnote w:id="9">
    <w:p w:rsidR="00880CCB" w:rsidRPr="00CF23B4" w:rsidRDefault="00880CCB">
      <w:pPr>
        <w:pStyle w:val="FootnoteText"/>
        <w:rPr>
          <w:lang w:val="en-ZA"/>
        </w:rPr>
      </w:pPr>
      <w:r>
        <w:rPr>
          <w:rStyle w:val="FootnoteReference"/>
        </w:rPr>
        <w:footnoteRef/>
      </w:r>
      <w:r>
        <w:t xml:space="preserve"> </w:t>
      </w:r>
      <w:r>
        <w:rPr>
          <w:lang w:val="en-ZA"/>
        </w:rPr>
        <w:t>At page 862D.</w:t>
      </w:r>
    </w:p>
  </w:footnote>
  <w:footnote w:id="10">
    <w:p w:rsidR="007A6071" w:rsidRPr="00145110" w:rsidRDefault="007A6071" w:rsidP="007A6071">
      <w:pPr>
        <w:pStyle w:val="FootnoteText"/>
        <w:rPr>
          <w:i/>
          <w:lang w:val="en-ZA"/>
        </w:rPr>
      </w:pPr>
      <w:r>
        <w:rPr>
          <w:rStyle w:val="FootnoteReference"/>
        </w:rPr>
        <w:footnoteRef/>
      </w:r>
      <w:r>
        <w:t xml:space="preserve"> Sentence </w:t>
      </w:r>
      <w:r>
        <w:rPr>
          <w:lang w:val="en-ZA"/>
        </w:rPr>
        <w:t xml:space="preserve">Record page 32, page 198 of Appeal bundle at line 20 </w:t>
      </w:r>
      <w:r>
        <w:rPr>
          <w:i/>
          <w:lang w:val="en-ZA"/>
        </w:rPr>
        <w:t xml:space="preserve">‘You have come before this court and you have a right as I have mentioned to silence however in S versus Jantjie of 2011 (sic) says it is easy to learn from the behaviour of the accused person during the trial that a certain type of a sentence will achieve the objective of rehabilitating the said offender.’ </w:t>
      </w:r>
    </w:p>
  </w:footnote>
  <w:footnote w:id="11">
    <w:p w:rsidR="000427DC" w:rsidRPr="00FD52C8" w:rsidRDefault="000427DC" w:rsidP="000427DC">
      <w:pPr>
        <w:pStyle w:val="FootnoteText"/>
        <w:rPr>
          <w:lang w:val="en-ZA"/>
        </w:rPr>
      </w:pPr>
      <w:r>
        <w:rPr>
          <w:rStyle w:val="FootnoteReference"/>
        </w:rPr>
        <w:footnoteRef/>
      </w:r>
      <w:r>
        <w:t xml:space="preserve"> </w:t>
      </w:r>
      <w:r>
        <w:rPr>
          <w:lang w:val="en-ZA"/>
        </w:rPr>
        <w:t>2011 (1) SACR 40 (SCA).</w:t>
      </w:r>
    </w:p>
  </w:footnote>
  <w:footnote w:id="12">
    <w:p w:rsidR="00FB2F31" w:rsidRPr="000106A4" w:rsidRDefault="00FB2F31" w:rsidP="00FB2F31">
      <w:pPr>
        <w:pStyle w:val="FootnoteText"/>
        <w:rPr>
          <w:i/>
          <w:lang w:val="en-ZA"/>
        </w:rPr>
      </w:pPr>
      <w:r>
        <w:rPr>
          <w:rStyle w:val="FootnoteReference"/>
        </w:rPr>
        <w:footnoteRef/>
      </w:r>
      <w:r>
        <w:t xml:space="preserve"> </w:t>
      </w:r>
      <w:r>
        <w:rPr>
          <w:lang w:val="en-ZA"/>
        </w:rPr>
        <w:t xml:space="preserve">Appeal record, </w:t>
      </w:r>
      <w:r>
        <w:rPr>
          <w:i/>
          <w:lang w:val="en-ZA"/>
        </w:rPr>
        <w:t>‘For a long time the victims of crime were kind of not considered or rather ignored when sentence is considered’.</w:t>
      </w:r>
    </w:p>
  </w:footnote>
  <w:footnote w:id="13">
    <w:p w:rsidR="007A6071" w:rsidRPr="00D169BD" w:rsidRDefault="007A6071" w:rsidP="007A6071">
      <w:pPr>
        <w:pStyle w:val="FootnoteText"/>
        <w:rPr>
          <w:lang w:val="en-ZA"/>
        </w:rPr>
      </w:pPr>
      <w:r>
        <w:rPr>
          <w:rStyle w:val="FootnoteReference"/>
        </w:rPr>
        <w:footnoteRef/>
      </w:r>
      <w:r>
        <w:t xml:space="preserve"> </w:t>
      </w:r>
      <w:r>
        <w:rPr>
          <w:lang w:val="en-ZA"/>
        </w:rPr>
        <w:t>Sentence Record at page 36, Appeal Record paginated page 202.</w:t>
      </w:r>
    </w:p>
  </w:footnote>
  <w:footnote w:id="14">
    <w:p w:rsidR="007A6071" w:rsidRPr="00852863" w:rsidRDefault="007A6071" w:rsidP="007A6071">
      <w:pPr>
        <w:pStyle w:val="FootnoteText"/>
        <w:rPr>
          <w:lang w:val="en-ZA"/>
        </w:rPr>
      </w:pPr>
      <w:r>
        <w:rPr>
          <w:rStyle w:val="FootnoteReference"/>
        </w:rPr>
        <w:footnoteRef/>
      </w:r>
      <w:r>
        <w:t xml:space="preserve"> </w:t>
      </w:r>
      <w:r>
        <w:rPr>
          <w:lang w:val="en-ZA"/>
        </w:rPr>
        <w:t>Appeal Record, page 98, lines 3 – 5.</w:t>
      </w:r>
    </w:p>
  </w:footnote>
  <w:footnote w:id="15">
    <w:p w:rsidR="007A6071" w:rsidRPr="00D72DDA" w:rsidRDefault="007A6071" w:rsidP="007A6071">
      <w:pPr>
        <w:pStyle w:val="FootnoteText"/>
        <w:rPr>
          <w:lang w:val="en-ZA"/>
        </w:rPr>
      </w:pPr>
      <w:r>
        <w:rPr>
          <w:rStyle w:val="FootnoteReference"/>
        </w:rPr>
        <w:footnoteRef/>
      </w:r>
      <w:r>
        <w:t xml:space="preserve"> </w:t>
      </w:r>
      <w:r>
        <w:rPr>
          <w:lang w:val="en-ZA"/>
        </w:rPr>
        <w:t>Appeal Record, page 101, lines 10 – 15.</w:t>
      </w:r>
    </w:p>
  </w:footnote>
  <w:footnote w:id="16">
    <w:p w:rsidR="00FF1A53" w:rsidRPr="00127FAF" w:rsidRDefault="00FF1A53" w:rsidP="00FF1A53">
      <w:pPr>
        <w:pStyle w:val="FootnoteText"/>
        <w:rPr>
          <w:lang w:val="en-ZA"/>
        </w:rPr>
      </w:pPr>
      <w:r>
        <w:rPr>
          <w:rStyle w:val="FootnoteReference"/>
        </w:rPr>
        <w:footnoteRef/>
      </w:r>
      <w:r>
        <w:t xml:space="preserve"> </w:t>
      </w:r>
      <w:r>
        <w:rPr>
          <w:lang w:val="en-ZA"/>
        </w:rPr>
        <w:t>Appeal record, pages 101 – 102.</w:t>
      </w:r>
    </w:p>
  </w:footnote>
  <w:footnote w:id="17">
    <w:p w:rsidR="00495975" w:rsidRPr="00167045" w:rsidRDefault="00495975" w:rsidP="00495975">
      <w:pPr>
        <w:pStyle w:val="FootnoteText"/>
        <w:rPr>
          <w:lang w:val="en-ZA"/>
        </w:rPr>
      </w:pPr>
      <w:r>
        <w:rPr>
          <w:rStyle w:val="FootnoteReference"/>
        </w:rPr>
        <w:footnoteRef/>
      </w:r>
      <w:r>
        <w:t xml:space="preserve"> </w:t>
      </w:r>
      <w:r>
        <w:rPr>
          <w:lang w:val="en-ZA"/>
        </w:rPr>
        <w:t>Respondent’s Heads of Argument, paras 40 – 4.</w:t>
      </w:r>
    </w:p>
  </w:footnote>
  <w:footnote w:id="18">
    <w:p w:rsidR="005D22F5" w:rsidRPr="007E69D6" w:rsidRDefault="005D22F5" w:rsidP="005D22F5">
      <w:pPr>
        <w:pStyle w:val="FootnoteText"/>
        <w:rPr>
          <w:lang w:val="en-ZA"/>
        </w:rPr>
      </w:pPr>
      <w:r>
        <w:rPr>
          <w:rStyle w:val="FootnoteReference"/>
        </w:rPr>
        <w:footnoteRef/>
      </w:r>
      <w:r>
        <w:t xml:space="preserve"> </w:t>
      </w:r>
      <w:r>
        <w:rPr>
          <w:lang w:val="en-ZA"/>
        </w:rPr>
        <w:t>Appellant’s Heads of Argument, para 16, page 5.</w:t>
      </w:r>
    </w:p>
  </w:footnote>
  <w:footnote w:id="19">
    <w:p w:rsidR="00495975" w:rsidRPr="00ED44E0" w:rsidRDefault="00495975" w:rsidP="00495975">
      <w:pPr>
        <w:pStyle w:val="FootnoteText"/>
        <w:rPr>
          <w:lang w:val="en-ZA"/>
        </w:rPr>
      </w:pPr>
      <w:r>
        <w:rPr>
          <w:rStyle w:val="FootnoteReference"/>
        </w:rPr>
        <w:footnoteRef/>
      </w:r>
      <w:r>
        <w:t xml:space="preserve"> </w:t>
      </w:r>
      <w:r>
        <w:rPr>
          <w:lang w:val="en-ZA"/>
        </w:rPr>
        <w:t>Appeal Record, page 191, line 20.</w:t>
      </w:r>
    </w:p>
  </w:footnote>
  <w:footnote w:id="20">
    <w:p w:rsidR="00495975" w:rsidRPr="009D5C22" w:rsidRDefault="00495975" w:rsidP="00495975">
      <w:pPr>
        <w:pStyle w:val="FootnoteText"/>
        <w:rPr>
          <w:lang w:val="en-ZA"/>
        </w:rPr>
      </w:pPr>
      <w:r>
        <w:rPr>
          <w:rStyle w:val="FootnoteReference"/>
        </w:rPr>
        <w:footnoteRef/>
      </w:r>
      <w:r>
        <w:t xml:space="preserve"> </w:t>
      </w:r>
      <w:r>
        <w:rPr>
          <w:lang w:val="en-ZA"/>
        </w:rPr>
        <w:t>Appeal record, pages 55 – 56, line 20.</w:t>
      </w:r>
    </w:p>
  </w:footnote>
  <w:footnote w:id="21">
    <w:p w:rsidR="007A6071" w:rsidRPr="00174798" w:rsidRDefault="007A6071" w:rsidP="007A6071">
      <w:pPr>
        <w:pStyle w:val="FootnoteText"/>
        <w:rPr>
          <w:lang w:val="en-ZA"/>
        </w:rPr>
      </w:pPr>
      <w:r>
        <w:rPr>
          <w:rStyle w:val="FootnoteReference"/>
        </w:rPr>
        <w:footnoteRef/>
      </w:r>
      <w:r>
        <w:t xml:space="preserve"> </w:t>
      </w:r>
      <w:r>
        <w:rPr>
          <w:lang w:val="en-ZA"/>
        </w:rPr>
        <w:t>Appeal Record, pages 199, line 20 – 200 line 10.</w:t>
      </w:r>
    </w:p>
  </w:footnote>
  <w:footnote w:id="22">
    <w:p w:rsidR="007A6071" w:rsidRPr="00311728" w:rsidRDefault="007A6071" w:rsidP="007A6071">
      <w:pPr>
        <w:pStyle w:val="FootnoteText"/>
        <w:rPr>
          <w:lang w:val="en-ZA"/>
        </w:rPr>
      </w:pPr>
      <w:r>
        <w:rPr>
          <w:rStyle w:val="FootnoteReference"/>
        </w:rPr>
        <w:footnoteRef/>
      </w:r>
      <w:r>
        <w:t xml:space="preserve"> </w:t>
      </w:r>
      <w:r>
        <w:rPr>
          <w:lang w:val="en-ZA"/>
        </w:rPr>
        <w:t>Appeal record, page 200.</w:t>
      </w:r>
    </w:p>
  </w:footnote>
  <w:footnote w:id="23">
    <w:p w:rsidR="007A6071" w:rsidRPr="00CF4C0F" w:rsidRDefault="007A6071" w:rsidP="007A6071">
      <w:pPr>
        <w:pStyle w:val="FootnoteText"/>
        <w:rPr>
          <w:lang w:val="en-ZA"/>
        </w:rPr>
      </w:pPr>
      <w:r>
        <w:rPr>
          <w:rStyle w:val="FootnoteReference"/>
        </w:rPr>
        <w:footnoteRef/>
      </w:r>
      <w:r>
        <w:t xml:space="preserve"> </w:t>
      </w:r>
      <w:r>
        <w:rPr>
          <w:lang w:val="en-ZA"/>
        </w:rPr>
        <w:t xml:space="preserve">Respondent’s Heads of Argument, paras 46 and 48; Schwikkard PJ and Van der Merwe SE </w:t>
      </w:r>
      <w:r>
        <w:rPr>
          <w:i/>
          <w:lang w:val="en-ZA"/>
        </w:rPr>
        <w:t xml:space="preserve">‘Principles of Evidence’ </w:t>
      </w:r>
      <w:r>
        <w:rPr>
          <w:lang w:val="en-ZA"/>
        </w:rPr>
        <w:t>(Fourth Ed) page 526 – 527.</w:t>
      </w:r>
    </w:p>
  </w:footnote>
  <w:footnote w:id="24">
    <w:p w:rsidR="00C6084E" w:rsidRPr="00C6084E" w:rsidRDefault="00C6084E">
      <w:pPr>
        <w:pStyle w:val="FootnoteText"/>
        <w:rPr>
          <w:lang w:val="en-ZA"/>
        </w:rPr>
      </w:pPr>
      <w:r>
        <w:rPr>
          <w:rStyle w:val="FootnoteReference"/>
        </w:rPr>
        <w:footnoteRef/>
      </w:r>
      <w:r>
        <w:t xml:space="preserve"> </w:t>
      </w:r>
      <w:r>
        <w:rPr>
          <w:lang w:val="en-ZA"/>
        </w:rPr>
        <w:t>Appeal record, page 198, line 15.</w:t>
      </w:r>
    </w:p>
  </w:footnote>
  <w:footnote w:id="25">
    <w:p w:rsidR="00272757" w:rsidRPr="00272757" w:rsidRDefault="00272757">
      <w:pPr>
        <w:pStyle w:val="FootnoteText"/>
        <w:rPr>
          <w:lang w:val="en-ZA"/>
        </w:rPr>
      </w:pPr>
      <w:r>
        <w:rPr>
          <w:rStyle w:val="FootnoteReference"/>
        </w:rPr>
        <w:footnoteRef/>
      </w:r>
      <w:r>
        <w:t xml:space="preserve"> </w:t>
      </w:r>
      <w:r>
        <w:rPr>
          <w:lang w:val="en-ZA"/>
        </w:rPr>
        <w:t>1948 (2) SA 677 (AD) at 760.</w:t>
      </w:r>
    </w:p>
  </w:footnote>
  <w:footnote w:id="26">
    <w:p w:rsidR="00C77092" w:rsidRDefault="00C77092" w:rsidP="00C77092">
      <w:pPr>
        <w:pStyle w:val="FootnoteText"/>
      </w:pPr>
      <w:r>
        <w:rPr>
          <w:rStyle w:val="FootnoteReference"/>
        </w:rPr>
        <w:footnoteRef/>
      </w:r>
      <w:r>
        <w:t xml:space="preserve"> </w:t>
      </w:r>
      <w:r w:rsidRPr="003E32FF">
        <w:rPr>
          <w:i/>
        </w:rPr>
        <w:t>S v Rabie</w:t>
      </w:r>
      <w:r>
        <w:t xml:space="preserve"> 1975 (4) SA 855 (A); See also </w:t>
      </w:r>
      <w:r w:rsidRPr="003E32FF">
        <w:rPr>
          <w:i/>
        </w:rPr>
        <w:t>S v Pieterse</w:t>
      </w:r>
      <w:r>
        <w:t xml:space="preserve"> 1987 (3) SA 717 (A).</w:t>
      </w:r>
    </w:p>
  </w:footnote>
  <w:footnote w:id="27">
    <w:p w:rsidR="00C77092" w:rsidRDefault="00C77092" w:rsidP="00C77092">
      <w:pPr>
        <w:pStyle w:val="FootnoteText"/>
        <w:jc w:val="both"/>
      </w:pPr>
      <w:r>
        <w:rPr>
          <w:rStyle w:val="FootnoteReference"/>
        </w:rPr>
        <w:footnoteRef/>
      </w:r>
      <w:r>
        <w:t xml:space="preserve"> See </w:t>
      </w:r>
      <w:r>
        <w:rPr>
          <w:i/>
          <w:iCs/>
        </w:rPr>
        <w:t>S v Romer</w:t>
      </w:r>
      <w:r>
        <w:t xml:space="preserve"> 2011 (2) SACR 153 (SCA) at para 22 Petse AJA stated </w:t>
      </w:r>
    </w:p>
    <w:p w:rsidR="00C77092" w:rsidRDefault="00C77092" w:rsidP="00C77092">
      <w:pPr>
        <w:pStyle w:val="FootnoteText"/>
        <w:jc w:val="both"/>
        <w:rPr>
          <w:i/>
        </w:rPr>
      </w:pPr>
      <w:r>
        <w:rPr>
          <w:i/>
        </w:rPr>
        <w:t>‘It has been held in a long line of cases that the imposition of sentence is pre-eminently within the discretion of the trial court. The appellate court will be entitled to interfere with the sentence imposes by the trial court only if one or more of the recognised grounds justify interference on appeal has been shown to exist. Only then will the appellate court be justified in interfering. These grounds are that the sentence is</w:t>
      </w:r>
    </w:p>
    <w:p w:rsidR="00C77092" w:rsidRDefault="00F01561" w:rsidP="00F01561">
      <w:pPr>
        <w:pStyle w:val="FootnoteText"/>
        <w:ind w:left="720" w:hanging="360"/>
        <w:jc w:val="both"/>
        <w:rPr>
          <w:i/>
        </w:rPr>
      </w:pPr>
      <w:r>
        <w:rPr>
          <w:i/>
        </w:rPr>
        <w:t>(a)</w:t>
      </w:r>
      <w:r>
        <w:rPr>
          <w:i/>
        </w:rPr>
        <w:tab/>
      </w:r>
      <w:r w:rsidR="00C77092">
        <w:rPr>
          <w:i/>
        </w:rPr>
        <w:t>Disturbingly inappropriate;</w:t>
      </w:r>
    </w:p>
    <w:p w:rsidR="00C77092" w:rsidRDefault="00F01561" w:rsidP="00F01561">
      <w:pPr>
        <w:pStyle w:val="FootnoteText"/>
        <w:ind w:left="720" w:hanging="360"/>
        <w:jc w:val="both"/>
        <w:rPr>
          <w:i/>
        </w:rPr>
      </w:pPr>
      <w:r>
        <w:rPr>
          <w:i/>
        </w:rPr>
        <w:t>(b)</w:t>
      </w:r>
      <w:r>
        <w:rPr>
          <w:i/>
        </w:rPr>
        <w:tab/>
      </w:r>
      <w:r w:rsidR="00C77092">
        <w:rPr>
          <w:i/>
        </w:rPr>
        <w:t>So totally out of proportion to the magnitude of the offence;</w:t>
      </w:r>
    </w:p>
    <w:p w:rsidR="00C77092" w:rsidRDefault="00F01561" w:rsidP="00F01561">
      <w:pPr>
        <w:pStyle w:val="FootnoteText"/>
        <w:ind w:left="720" w:hanging="360"/>
        <w:jc w:val="both"/>
        <w:rPr>
          <w:i/>
        </w:rPr>
      </w:pPr>
      <w:r>
        <w:rPr>
          <w:i/>
        </w:rPr>
        <w:t>(c)</w:t>
      </w:r>
      <w:r>
        <w:rPr>
          <w:i/>
        </w:rPr>
        <w:tab/>
      </w:r>
      <w:r w:rsidR="00C77092">
        <w:rPr>
          <w:i/>
        </w:rPr>
        <w:t>Sufficiently disparate;</w:t>
      </w:r>
    </w:p>
    <w:p w:rsidR="00C77092" w:rsidRDefault="00F01561" w:rsidP="00F01561">
      <w:pPr>
        <w:pStyle w:val="FootnoteText"/>
        <w:ind w:left="720" w:hanging="360"/>
        <w:jc w:val="both"/>
        <w:rPr>
          <w:i/>
        </w:rPr>
      </w:pPr>
      <w:r>
        <w:rPr>
          <w:i/>
        </w:rPr>
        <w:t>(d)</w:t>
      </w:r>
      <w:r>
        <w:rPr>
          <w:i/>
        </w:rPr>
        <w:tab/>
      </w:r>
      <w:r w:rsidR="00C77092">
        <w:rPr>
          <w:i/>
        </w:rPr>
        <w:t xml:space="preserve">Vitiated by misdirections showing that the trial court exercised its discretion unreasonably; and </w:t>
      </w:r>
    </w:p>
    <w:p w:rsidR="00C77092" w:rsidRPr="009B0AE9" w:rsidRDefault="00F01561" w:rsidP="00F01561">
      <w:pPr>
        <w:pStyle w:val="FootnoteText"/>
        <w:ind w:left="720" w:hanging="360"/>
        <w:jc w:val="both"/>
        <w:rPr>
          <w:i/>
        </w:rPr>
      </w:pPr>
      <w:r w:rsidRPr="009B0AE9">
        <w:rPr>
          <w:i/>
        </w:rPr>
        <w:t>(e)</w:t>
      </w:r>
      <w:r w:rsidRPr="009B0AE9">
        <w:rPr>
          <w:i/>
        </w:rPr>
        <w:tab/>
      </w:r>
      <w:r w:rsidR="00C77092">
        <w:rPr>
          <w:i/>
        </w:rPr>
        <w:t xml:space="preserve">Is otherwise such that no reasonable court would have imposed it.’ </w:t>
      </w:r>
    </w:p>
    <w:p w:rsidR="00C77092" w:rsidRDefault="00C77092" w:rsidP="00C77092">
      <w:pPr>
        <w:pStyle w:val="FootnoteText"/>
        <w:jc w:val="both"/>
        <w:rPr>
          <w:rFonts w:asciiTheme="minorHAnsi" w:hAnsiTheme="minorHAnsi" w:cstheme="minorBidi"/>
        </w:rPr>
      </w:pPr>
      <w:r>
        <w:t xml:space="preserve">See also </w:t>
      </w:r>
      <w:r>
        <w:rPr>
          <w:i/>
          <w:iCs/>
        </w:rPr>
        <w:t>S v Hewitt</w:t>
      </w:r>
      <w:r>
        <w:t xml:space="preserve"> 2017 (1) SACR 309 (SCA); and </w:t>
      </w:r>
      <w:r>
        <w:rPr>
          <w:i/>
          <w:iCs/>
        </w:rPr>
        <w:t>S v Livanje</w:t>
      </w:r>
      <w:r>
        <w:t xml:space="preserve"> 2020 (2) SACR 451 (SCA).</w:t>
      </w:r>
    </w:p>
  </w:footnote>
  <w:footnote w:id="28">
    <w:p w:rsidR="00880CCB" w:rsidRPr="00DF6DF9" w:rsidRDefault="00880CCB" w:rsidP="006F09E2">
      <w:pPr>
        <w:pStyle w:val="FootnoteText"/>
        <w:rPr>
          <w:lang w:val="en-ZA"/>
        </w:rPr>
      </w:pPr>
      <w:r>
        <w:rPr>
          <w:rStyle w:val="FootnoteReference"/>
        </w:rPr>
        <w:footnoteRef/>
      </w:r>
      <w:r>
        <w:t xml:space="preserve"> </w:t>
      </w:r>
      <w:r>
        <w:rPr>
          <w:i/>
          <w:lang w:val="en-ZA"/>
        </w:rPr>
        <w:t xml:space="preserve">S v Matlala </w:t>
      </w:r>
      <w:r>
        <w:rPr>
          <w:lang w:val="en-ZA"/>
        </w:rPr>
        <w:t xml:space="preserve">2003 (1) SACR 80 (SCA) at 83d-e; </w:t>
      </w:r>
      <w:r>
        <w:rPr>
          <w:i/>
          <w:lang w:val="en-ZA"/>
        </w:rPr>
        <w:t xml:space="preserve">S v Shapiro </w:t>
      </w:r>
      <w:r>
        <w:rPr>
          <w:lang w:val="en-ZA"/>
        </w:rPr>
        <w:t xml:space="preserve">1994 (1) SACR 112(A) at 123c-f and </w:t>
      </w:r>
      <w:r>
        <w:rPr>
          <w:i/>
          <w:lang w:val="en-ZA"/>
        </w:rPr>
        <w:t xml:space="preserve">S v Sandler </w:t>
      </w:r>
      <w:r>
        <w:rPr>
          <w:lang w:val="en-ZA"/>
        </w:rPr>
        <w:t xml:space="preserve">2000 (1) SACR 331 (SCA) paras 6 – 9. </w:t>
      </w:r>
    </w:p>
  </w:footnote>
  <w:footnote w:id="29">
    <w:p w:rsidR="006272D2" w:rsidRPr="002A7A83" w:rsidRDefault="006272D2" w:rsidP="006272D2">
      <w:pPr>
        <w:pStyle w:val="FootnoteText"/>
        <w:rPr>
          <w:lang w:val="en-ZA"/>
        </w:rPr>
      </w:pPr>
      <w:r>
        <w:rPr>
          <w:rStyle w:val="FootnoteReference"/>
        </w:rPr>
        <w:footnoteRef/>
      </w:r>
      <w:r>
        <w:t xml:space="preserve"> </w:t>
      </w:r>
      <w:r>
        <w:rPr>
          <w:lang w:val="en-ZA"/>
        </w:rPr>
        <w:t>Respondent’s Heads of Argument, para 32.</w:t>
      </w:r>
    </w:p>
  </w:footnote>
  <w:footnote w:id="30">
    <w:p w:rsidR="00C63EC4" w:rsidRPr="0011366F" w:rsidRDefault="00C63EC4" w:rsidP="00C63EC4">
      <w:pPr>
        <w:pStyle w:val="FootnoteText"/>
        <w:rPr>
          <w:lang w:val="en-ZA"/>
        </w:rPr>
      </w:pPr>
      <w:r>
        <w:rPr>
          <w:rStyle w:val="FootnoteReference"/>
        </w:rPr>
        <w:footnoteRef/>
      </w:r>
      <w:r>
        <w:t xml:space="preserve"> </w:t>
      </w:r>
      <w:r>
        <w:rPr>
          <w:lang w:val="en-ZA"/>
        </w:rPr>
        <w:t xml:space="preserve">See </w:t>
      </w:r>
      <w:r w:rsidRPr="00706398">
        <w:rPr>
          <w:i/>
          <w:lang w:val="en-ZA"/>
        </w:rPr>
        <w:t>R v Swanepoel</w:t>
      </w:r>
      <w:r w:rsidRPr="00706398">
        <w:rPr>
          <w:lang w:val="en-ZA"/>
        </w:rPr>
        <w:t xml:space="preserve"> 1945 AD 444 at p455</w:t>
      </w:r>
      <w:r>
        <w:rPr>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79" w:rsidRDefault="003856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79" w:rsidRPr="00385679" w:rsidRDefault="00385679" w:rsidP="00385679">
    <w:pPr>
      <w:pStyle w:val="Header"/>
      <w:jc w:val="right"/>
      <w:rPr>
        <w:b/>
        <w:sz w:val="28"/>
        <w:lang w:val="en-US"/>
      </w:rPr>
    </w:pPr>
    <w:r w:rsidRPr="00385679">
      <w:rPr>
        <w:b/>
        <w:sz w:val="28"/>
        <w:lang w:val="en-US"/>
      </w:rPr>
      <w:t>REPORTABLE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79" w:rsidRDefault="003856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BE9"/>
    <w:multiLevelType w:val="multilevel"/>
    <w:tmpl w:val="C890E19A"/>
    <w:lvl w:ilvl="0">
      <w:start w:val="1"/>
      <w:numFmt w:val="decimal"/>
      <w:isLgl/>
      <w:lvlText w:val="[%1]     "/>
      <w:lvlJc w:val="left"/>
      <w:pPr>
        <w:tabs>
          <w:tab w:val="num" w:pos="657"/>
        </w:tabs>
        <w:ind w:left="90" w:firstLine="0"/>
      </w:pPr>
      <w:rPr>
        <w:rFonts w:hint="default"/>
        <w:b w:val="0"/>
        <w:i w:val="0"/>
        <w:sz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2509190"/>
    <w:multiLevelType w:val="hybridMultilevel"/>
    <w:tmpl w:val="B15BCD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F8452F"/>
    <w:multiLevelType w:val="hybridMultilevel"/>
    <w:tmpl w:val="1384231A"/>
    <w:lvl w:ilvl="0" w:tplc="48BCC6E6">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4805B7"/>
    <w:multiLevelType w:val="hybridMultilevel"/>
    <w:tmpl w:val="4F4A3E60"/>
    <w:lvl w:ilvl="0" w:tplc="152C83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5044DE"/>
    <w:multiLevelType w:val="hybridMultilevel"/>
    <w:tmpl w:val="6330BA6A"/>
    <w:lvl w:ilvl="0" w:tplc="B5E0D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5FC7B35"/>
    <w:multiLevelType w:val="hybridMultilevel"/>
    <w:tmpl w:val="E9E578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5F8D888"/>
    <w:multiLevelType w:val="hybridMultilevel"/>
    <w:tmpl w:val="91BDA0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EBEC84"/>
    <w:multiLevelType w:val="hybridMultilevel"/>
    <w:tmpl w:val="3CFB8B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D3"/>
    <w:rsid w:val="000106A4"/>
    <w:rsid w:val="000136A3"/>
    <w:rsid w:val="000144B1"/>
    <w:rsid w:val="00034CC5"/>
    <w:rsid w:val="000427DC"/>
    <w:rsid w:val="00045E13"/>
    <w:rsid w:val="00047954"/>
    <w:rsid w:val="00047A86"/>
    <w:rsid w:val="00055719"/>
    <w:rsid w:val="00073762"/>
    <w:rsid w:val="0007478D"/>
    <w:rsid w:val="000829B4"/>
    <w:rsid w:val="00091D46"/>
    <w:rsid w:val="000A109B"/>
    <w:rsid w:val="000A17CB"/>
    <w:rsid w:val="000B5D51"/>
    <w:rsid w:val="000C13D1"/>
    <w:rsid w:val="000C44AE"/>
    <w:rsid w:val="000C47C0"/>
    <w:rsid w:val="000D3A08"/>
    <w:rsid w:val="0010399E"/>
    <w:rsid w:val="0011366F"/>
    <w:rsid w:val="00127F3D"/>
    <w:rsid w:val="00127FAF"/>
    <w:rsid w:val="00133369"/>
    <w:rsid w:val="00145110"/>
    <w:rsid w:val="001527E8"/>
    <w:rsid w:val="001546CF"/>
    <w:rsid w:val="001547F5"/>
    <w:rsid w:val="00154C31"/>
    <w:rsid w:val="00167045"/>
    <w:rsid w:val="001732BE"/>
    <w:rsid w:val="00174798"/>
    <w:rsid w:val="00176AD1"/>
    <w:rsid w:val="00176AD9"/>
    <w:rsid w:val="001841BD"/>
    <w:rsid w:val="001844A7"/>
    <w:rsid w:val="001919DC"/>
    <w:rsid w:val="001979E5"/>
    <w:rsid w:val="001A078D"/>
    <w:rsid w:val="001A08F3"/>
    <w:rsid w:val="001D4B5F"/>
    <w:rsid w:val="001F0371"/>
    <w:rsid w:val="001F0A67"/>
    <w:rsid w:val="001F6EE1"/>
    <w:rsid w:val="002045A5"/>
    <w:rsid w:val="00205F17"/>
    <w:rsid w:val="00206595"/>
    <w:rsid w:val="002079CE"/>
    <w:rsid w:val="00217A13"/>
    <w:rsid w:val="00223676"/>
    <w:rsid w:val="00233076"/>
    <w:rsid w:val="00240A1F"/>
    <w:rsid w:val="002410BD"/>
    <w:rsid w:val="00254004"/>
    <w:rsid w:val="00272757"/>
    <w:rsid w:val="00287519"/>
    <w:rsid w:val="002A3037"/>
    <w:rsid w:val="002A7A83"/>
    <w:rsid w:val="002A7D1A"/>
    <w:rsid w:val="002B21B8"/>
    <w:rsid w:val="002C31E0"/>
    <w:rsid w:val="002C3FD5"/>
    <w:rsid w:val="002D524F"/>
    <w:rsid w:val="002E2135"/>
    <w:rsid w:val="002F0EA1"/>
    <w:rsid w:val="002F1E38"/>
    <w:rsid w:val="0030007A"/>
    <w:rsid w:val="003102E7"/>
    <w:rsid w:val="00311728"/>
    <w:rsid w:val="00313650"/>
    <w:rsid w:val="00315B0B"/>
    <w:rsid w:val="003178A0"/>
    <w:rsid w:val="00323978"/>
    <w:rsid w:val="00324F6E"/>
    <w:rsid w:val="00325609"/>
    <w:rsid w:val="00342B6C"/>
    <w:rsid w:val="00350B8B"/>
    <w:rsid w:val="00351049"/>
    <w:rsid w:val="0037132C"/>
    <w:rsid w:val="0037277D"/>
    <w:rsid w:val="0038495C"/>
    <w:rsid w:val="00385679"/>
    <w:rsid w:val="00391F7F"/>
    <w:rsid w:val="003946AA"/>
    <w:rsid w:val="003A4BCA"/>
    <w:rsid w:val="003B3227"/>
    <w:rsid w:val="003C5136"/>
    <w:rsid w:val="003D0D82"/>
    <w:rsid w:val="003D1BD9"/>
    <w:rsid w:val="003D5FBF"/>
    <w:rsid w:val="003E529E"/>
    <w:rsid w:val="003E6226"/>
    <w:rsid w:val="00416E4A"/>
    <w:rsid w:val="004204D6"/>
    <w:rsid w:val="00425E90"/>
    <w:rsid w:val="0042676F"/>
    <w:rsid w:val="00431A32"/>
    <w:rsid w:val="004366AC"/>
    <w:rsid w:val="00447D83"/>
    <w:rsid w:val="004500E1"/>
    <w:rsid w:val="004523B5"/>
    <w:rsid w:val="004819B9"/>
    <w:rsid w:val="00495975"/>
    <w:rsid w:val="004A0B95"/>
    <w:rsid w:val="004A49F5"/>
    <w:rsid w:val="004B56E6"/>
    <w:rsid w:val="004C74CC"/>
    <w:rsid w:val="004D3A3D"/>
    <w:rsid w:val="004D5AC1"/>
    <w:rsid w:val="004E64D0"/>
    <w:rsid w:val="004F53DE"/>
    <w:rsid w:val="0051208C"/>
    <w:rsid w:val="00525A6B"/>
    <w:rsid w:val="00535242"/>
    <w:rsid w:val="00551E66"/>
    <w:rsid w:val="00581519"/>
    <w:rsid w:val="005B4581"/>
    <w:rsid w:val="005B77E3"/>
    <w:rsid w:val="005C0D6D"/>
    <w:rsid w:val="005C457D"/>
    <w:rsid w:val="005D22F5"/>
    <w:rsid w:val="005D2F9E"/>
    <w:rsid w:val="005F2C70"/>
    <w:rsid w:val="005F6F23"/>
    <w:rsid w:val="00617464"/>
    <w:rsid w:val="006272D2"/>
    <w:rsid w:val="00642FC7"/>
    <w:rsid w:val="0065490D"/>
    <w:rsid w:val="00657113"/>
    <w:rsid w:val="00687511"/>
    <w:rsid w:val="00691B62"/>
    <w:rsid w:val="006B4D3E"/>
    <w:rsid w:val="006C13C8"/>
    <w:rsid w:val="006C5C41"/>
    <w:rsid w:val="006D266D"/>
    <w:rsid w:val="006E0600"/>
    <w:rsid w:val="006E5247"/>
    <w:rsid w:val="006F0049"/>
    <w:rsid w:val="006F09E2"/>
    <w:rsid w:val="006F3AF3"/>
    <w:rsid w:val="006F7754"/>
    <w:rsid w:val="006F7E57"/>
    <w:rsid w:val="007056CF"/>
    <w:rsid w:val="007108EE"/>
    <w:rsid w:val="00712E52"/>
    <w:rsid w:val="00713416"/>
    <w:rsid w:val="0072029C"/>
    <w:rsid w:val="00732A37"/>
    <w:rsid w:val="00734248"/>
    <w:rsid w:val="00753FF9"/>
    <w:rsid w:val="007542FC"/>
    <w:rsid w:val="007602A4"/>
    <w:rsid w:val="0076131E"/>
    <w:rsid w:val="00766364"/>
    <w:rsid w:val="007805F8"/>
    <w:rsid w:val="00782A52"/>
    <w:rsid w:val="00786D7F"/>
    <w:rsid w:val="007977DD"/>
    <w:rsid w:val="007A26D8"/>
    <w:rsid w:val="007A6071"/>
    <w:rsid w:val="007A70E0"/>
    <w:rsid w:val="007D3226"/>
    <w:rsid w:val="007E13A0"/>
    <w:rsid w:val="007E2AD0"/>
    <w:rsid w:val="007E69D6"/>
    <w:rsid w:val="007F73BE"/>
    <w:rsid w:val="007F758C"/>
    <w:rsid w:val="007F76BE"/>
    <w:rsid w:val="008127B7"/>
    <w:rsid w:val="00817F36"/>
    <w:rsid w:val="00826C9E"/>
    <w:rsid w:val="0083423C"/>
    <w:rsid w:val="008423FE"/>
    <w:rsid w:val="00843D2B"/>
    <w:rsid w:val="00844862"/>
    <w:rsid w:val="00845346"/>
    <w:rsid w:val="00846FF9"/>
    <w:rsid w:val="00850C9F"/>
    <w:rsid w:val="00852863"/>
    <w:rsid w:val="00852F92"/>
    <w:rsid w:val="0086704D"/>
    <w:rsid w:val="0087305E"/>
    <w:rsid w:val="00875156"/>
    <w:rsid w:val="00880CCB"/>
    <w:rsid w:val="0088559F"/>
    <w:rsid w:val="00896581"/>
    <w:rsid w:val="008A4B6A"/>
    <w:rsid w:val="008C4DA1"/>
    <w:rsid w:val="008D659D"/>
    <w:rsid w:val="008D680C"/>
    <w:rsid w:val="008E061A"/>
    <w:rsid w:val="00917137"/>
    <w:rsid w:val="00917E0B"/>
    <w:rsid w:val="009535EC"/>
    <w:rsid w:val="00967D58"/>
    <w:rsid w:val="00976862"/>
    <w:rsid w:val="009947BC"/>
    <w:rsid w:val="009A5E68"/>
    <w:rsid w:val="009B0AE9"/>
    <w:rsid w:val="009B10EC"/>
    <w:rsid w:val="009B5EA1"/>
    <w:rsid w:val="009B7D3F"/>
    <w:rsid w:val="009C0AA0"/>
    <w:rsid w:val="009D5C22"/>
    <w:rsid w:val="009D6A0A"/>
    <w:rsid w:val="00A226A1"/>
    <w:rsid w:val="00A42E5E"/>
    <w:rsid w:val="00A440BE"/>
    <w:rsid w:val="00AA633E"/>
    <w:rsid w:val="00AB0356"/>
    <w:rsid w:val="00AB566D"/>
    <w:rsid w:val="00AD41C8"/>
    <w:rsid w:val="00AF4909"/>
    <w:rsid w:val="00AF4DE2"/>
    <w:rsid w:val="00B031B4"/>
    <w:rsid w:val="00B0414C"/>
    <w:rsid w:val="00B12F6F"/>
    <w:rsid w:val="00B14C03"/>
    <w:rsid w:val="00B20338"/>
    <w:rsid w:val="00B26541"/>
    <w:rsid w:val="00B33D44"/>
    <w:rsid w:val="00B47046"/>
    <w:rsid w:val="00B5092F"/>
    <w:rsid w:val="00B60708"/>
    <w:rsid w:val="00BB0D7F"/>
    <w:rsid w:val="00BB1E20"/>
    <w:rsid w:val="00BB56F4"/>
    <w:rsid w:val="00BD0094"/>
    <w:rsid w:val="00BD0AF6"/>
    <w:rsid w:val="00BF0AFA"/>
    <w:rsid w:val="00BF23F0"/>
    <w:rsid w:val="00C02247"/>
    <w:rsid w:val="00C06D6E"/>
    <w:rsid w:val="00C077AD"/>
    <w:rsid w:val="00C24EB4"/>
    <w:rsid w:val="00C259BB"/>
    <w:rsid w:val="00C25B4E"/>
    <w:rsid w:val="00C26AAB"/>
    <w:rsid w:val="00C27A45"/>
    <w:rsid w:val="00C6084E"/>
    <w:rsid w:val="00C63EC4"/>
    <w:rsid w:val="00C72BCE"/>
    <w:rsid w:val="00C77092"/>
    <w:rsid w:val="00C90BE3"/>
    <w:rsid w:val="00C9477F"/>
    <w:rsid w:val="00CC77BD"/>
    <w:rsid w:val="00CF0360"/>
    <w:rsid w:val="00CF23B4"/>
    <w:rsid w:val="00CF2BBA"/>
    <w:rsid w:val="00CF4C0F"/>
    <w:rsid w:val="00D13298"/>
    <w:rsid w:val="00D169BD"/>
    <w:rsid w:val="00D22394"/>
    <w:rsid w:val="00D274A8"/>
    <w:rsid w:val="00D3414F"/>
    <w:rsid w:val="00D666C0"/>
    <w:rsid w:val="00D72DDA"/>
    <w:rsid w:val="00D7304A"/>
    <w:rsid w:val="00D76BA5"/>
    <w:rsid w:val="00D76E3F"/>
    <w:rsid w:val="00DA3F9A"/>
    <w:rsid w:val="00DA48BD"/>
    <w:rsid w:val="00DB01E0"/>
    <w:rsid w:val="00DB064F"/>
    <w:rsid w:val="00DB3470"/>
    <w:rsid w:val="00DD6D87"/>
    <w:rsid w:val="00DE688A"/>
    <w:rsid w:val="00DF0AA9"/>
    <w:rsid w:val="00DF6DF9"/>
    <w:rsid w:val="00E20451"/>
    <w:rsid w:val="00E26103"/>
    <w:rsid w:val="00E43D74"/>
    <w:rsid w:val="00E513BB"/>
    <w:rsid w:val="00E66F55"/>
    <w:rsid w:val="00E72892"/>
    <w:rsid w:val="00E7452B"/>
    <w:rsid w:val="00E77F30"/>
    <w:rsid w:val="00E80A08"/>
    <w:rsid w:val="00E817F9"/>
    <w:rsid w:val="00E828B4"/>
    <w:rsid w:val="00E834EE"/>
    <w:rsid w:val="00E87B56"/>
    <w:rsid w:val="00EB502A"/>
    <w:rsid w:val="00EC0D80"/>
    <w:rsid w:val="00EC30C3"/>
    <w:rsid w:val="00EC6891"/>
    <w:rsid w:val="00EC7191"/>
    <w:rsid w:val="00ED44E0"/>
    <w:rsid w:val="00EE72D3"/>
    <w:rsid w:val="00EF051B"/>
    <w:rsid w:val="00EF1B81"/>
    <w:rsid w:val="00F00667"/>
    <w:rsid w:val="00F01561"/>
    <w:rsid w:val="00F1491C"/>
    <w:rsid w:val="00F16AA0"/>
    <w:rsid w:val="00F24CEE"/>
    <w:rsid w:val="00F26282"/>
    <w:rsid w:val="00F54F7C"/>
    <w:rsid w:val="00F579C1"/>
    <w:rsid w:val="00F60B3E"/>
    <w:rsid w:val="00F6662F"/>
    <w:rsid w:val="00F72CB5"/>
    <w:rsid w:val="00F75677"/>
    <w:rsid w:val="00F827C6"/>
    <w:rsid w:val="00F97A79"/>
    <w:rsid w:val="00FA401B"/>
    <w:rsid w:val="00FA6D85"/>
    <w:rsid w:val="00FB2F31"/>
    <w:rsid w:val="00FD429D"/>
    <w:rsid w:val="00FD44DE"/>
    <w:rsid w:val="00FD52C8"/>
    <w:rsid w:val="00FD5DA4"/>
    <w:rsid w:val="00FD6F60"/>
    <w:rsid w:val="00FF1A53"/>
    <w:rsid w:val="00FF5B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38211-4048-4CE5-9D76-A9F86DAC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D3"/>
    <w:pPr>
      <w:spacing w:after="200" w:line="276" w:lineRule="auto"/>
    </w:pPr>
  </w:style>
  <w:style w:type="paragraph" w:styleId="Heading2">
    <w:name w:val="heading 2"/>
    <w:basedOn w:val="Normal"/>
    <w:link w:val="Heading2Char"/>
    <w:uiPriority w:val="9"/>
    <w:qFormat/>
    <w:rsid w:val="006F09E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D3"/>
    <w:pPr>
      <w:ind w:left="720"/>
      <w:contextualSpacing/>
    </w:pPr>
  </w:style>
  <w:style w:type="paragraph" w:styleId="FootnoteText">
    <w:name w:val="footnote text"/>
    <w:basedOn w:val="Normal"/>
    <w:link w:val="FootnoteTextChar"/>
    <w:uiPriority w:val="99"/>
    <w:unhideWhenUsed/>
    <w:rsid w:val="00EE72D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E72D3"/>
    <w:rPr>
      <w:rFonts w:ascii="Times New Roman" w:eastAsia="Times New Roman" w:hAnsi="Times New Roman" w:cs="Times New Roman"/>
      <w:sz w:val="20"/>
      <w:szCs w:val="20"/>
      <w:lang w:val="en-US"/>
    </w:rPr>
  </w:style>
  <w:style w:type="character" w:styleId="FootnoteReference">
    <w:name w:val="footnote reference"/>
    <w:uiPriority w:val="99"/>
    <w:unhideWhenUsed/>
    <w:rsid w:val="00EE72D3"/>
    <w:rPr>
      <w:vertAlign w:val="superscript"/>
    </w:rPr>
  </w:style>
  <w:style w:type="paragraph" w:customStyle="1" w:styleId="Default">
    <w:name w:val="Default"/>
    <w:rsid w:val="00EE72D3"/>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154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C31"/>
  </w:style>
  <w:style w:type="paragraph" w:styleId="Footer">
    <w:name w:val="footer"/>
    <w:basedOn w:val="Normal"/>
    <w:link w:val="FooterChar"/>
    <w:uiPriority w:val="99"/>
    <w:unhideWhenUsed/>
    <w:rsid w:val="00154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C31"/>
  </w:style>
  <w:style w:type="character" w:customStyle="1" w:styleId="Heading2Char">
    <w:name w:val="Heading 2 Char"/>
    <w:basedOn w:val="DefaultParagraphFont"/>
    <w:link w:val="Heading2"/>
    <w:uiPriority w:val="9"/>
    <w:rsid w:val="006F09E2"/>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2577">
      <w:bodyDiv w:val="1"/>
      <w:marLeft w:val="0"/>
      <w:marRight w:val="0"/>
      <w:marTop w:val="0"/>
      <w:marBottom w:val="0"/>
      <w:divBdr>
        <w:top w:val="none" w:sz="0" w:space="0" w:color="auto"/>
        <w:left w:val="none" w:sz="0" w:space="0" w:color="auto"/>
        <w:bottom w:val="none" w:sz="0" w:space="0" w:color="auto"/>
        <w:right w:val="none" w:sz="0" w:space="0" w:color="auto"/>
      </w:divBdr>
    </w:div>
    <w:div w:id="1153832196">
      <w:bodyDiv w:val="1"/>
      <w:marLeft w:val="0"/>
      <w:marRight w:val="0"/>
      <w:marTop w:val="0"/>
      <w:marBottom w:val="0"/>
      <w:divBdr>
        <w:top w:val="none" w:sz="0" w:space="0" w:color="auto"/>
        <w:left w:val="none" w:sz="0" w:space="0" w:color="auto"/>
        <w:bottom w:val="none" w:sz="0" w:space="0" w:color="auto"/>
        <w:right w:val="none" w:sz="0" w:space="0" w:color="auto"/>
      </w:divBdr>
    </w:div>
    <w:div w:id="20989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5C7C-363D-44D2-97E2-D42B5A5C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Mary Bruce</cp:lastModifiedBy>
  <cp:revision>3</cp:revision>
  <dcterms:created xsi:type="dcterms:W3CDTF">2023-12-07T08:30:00Z</dcterms:created>
  <dcterms:modified xsi:type="dcterms:W3CDTF">2023-12-07T15:16:00Z</dcterms:modified>
</cp:coreProperties>
</file>