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449A8" w14:textId="77777777" w:rsidR="005B2AA3" w:rsidRDefault="005B2AA3" w:rsidP="005B2AA3">
      <w:pPr>
        <w:autoSpaceDE w:val="0"/>
        <w:autoSpaceDN w:val="0"/>
        <w:adjustRightInd w:val="0"/>
        <w:spacing w:after="0" w:line="241" w:lineRule="atLeast"/>
        <w:jc w:val="center"/>
        <w:rPr>
          <w:rFonts w:ascii="Century Gothic" w:eastAsia="Times New Roman" w:hAnsi="Century Gothic" w:cs="Arial"/>
          <w:b/>
          <w:sz w:val="28"/>
          <w:szCs w:val="28"/>
          <w:lang w:val="af-ZA"/>
        </w:rPr>
      </w:pPr>
      <w:r>
        <w:rPr>
          <w:b/>
          <w:noProof/>
        </w:rPr>
        <w:drawing>
          <wp:inline distT="0" distB="0" distL="0" distR="0" wp14:anchorId="3D05D450" wp14:editId="23AED0B7">
            <wp:extent cx="984250" cy="10604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4250" cy="1060450"/>
                    </a:xfrm>
                    <a:prstGeom prst="rect">
                      <a:avLst/>
                    </a:prstGeom>
                    <a:noFill/>
                    <a:ln>
                      <a:noFill/>
                    </a:ln>
                  </pic:spPr>
                </pic:pic>
              </a:graphicData>
            </a:graphic>
          </wp:inline>
        </w:drawing>
      </w:r>
    </w:p>
    <w:p w14:paraId="12AA7219" w14:textId="77777777" w:rsidR="005B2AA3" w:rsidRDefault="005B2AA3" w:rsidP="005B2AA3">
      <w:pPr>
        <w:autoSpaceDE w:val="0"/>
        <w:autoSpaceDN w:val="0"/>
        <w:adjustRightInd w:val="0"/>
        <w:spacing w:after="0" w:line="241" w:lineRule="atLeast"/>
        <w:jc w:val="center"/>
        <w:rPr>
          <w:rFonts w:ascii="Arial" w:eastAsia="Times New Roman" w:hAnsi="Arial" w:cs="Arial"/>
          <w:b/>
          <w:sz w:val="24"/>
          <w:szCs w:val="24"/>
          <w:lang w:val="af-ZA"/>
        </w:rPr>
      </w:pPr>
      <w:r>
        <w:rPr>
          <w:rFonts w:ascii="Arial" w:eastAsia="Times New Roman" w:hAnsi="Arial" w:cs="Arial"/>
          <w:b/>
          <w:sz w:val="24"/>
          <w:szCs w:val="24"/>
          <w:lang w:val="af-ZA"/>
        </w:rPr>
        <w:t>IN THE HIGH COURT OF SOUTH AFRICA</w:t>
      </w:r>
    </w:p>
    <w:p w14:paraId="2FE7E82C" w14:textId="63126E82" w:rsidR="005B2AA3" w:rsidRDefault="005B2AA3" w:rsidP="005B2AA3">
      <w:pPr>
        <w:autoSpaceDE w:val="0"/>
        <w:autoSpaceDN w:val="0"/>
        <w:adjustRightInd w:val="0"/>
        <w:spacing w:after="0" w:line="241" w:lineRule="atLeast"/>
        <w:jc w:val="center"/>
        <w:rPr>
          <w:rFonts w:ascii="Arial" w:eastAsia="Times New Roman" w:hAnsi="Arial" w:cs="Arial"/>
          <w:b/>
          <w:sz w:val="24"/>
          <w:szCs w:val="24"/>
          <w:lang w:val="af-ZA"/>
        </w:rPr>
      </w:pPr>
      <w:r>
        <w:rPr>
          <w:rFonts w:ascii="Arial" w:eastAsia="Times New Roman" w:hAnsi="Arial" w:cs="Arial"/>
          <w:b/>
          <w:sz w:val="24"/>
          <w:szCs w:val="24"/>
          <w:lang w:val="af-ZA"/>
        </w:rPr>
        <w:t>(WESTERN CAPE DIVISION, CAPE TOWN)</w:t>
      </w:r>
    </w:p>
    <w:p w14:paraId="55266883" w14:textId="1928017F" w:rsidR="00AD007A" w:rsidRDefault="00AD007A" w:rsidP="00AD007A">
      <w:pPr>
        <w:autoSpaceDE w:val="0"/>
        <w:autoSpaceDN w:val="0"/>
        <w:adjustRightInd w:val="0"/>
        <w:spacing w:after="0" w:line="241" w:lineRule="atLeast"/>
        <w:jc w:val="right"/>
        <w:rPr>
          <w:rFonts w:ascii="Arial" w:eastAsia="Times New Roman" w:hAnsi="Arial" w:cs="Arial"/>
          <w:b/>
          <w:sz w:val="24"/>
          <w:szCs w:val="24"/>
          <w:lang w:val="af-ZA"/>
        </w:rPr>
      </w:pPr>
    </w:p>
    <w:p w14:paraId="6EC2B793" w14:textId="77777777" w:rsidR="005B2AA3" w:rsidRDefault="005B2AA3" w:rsidP="005B2AA3">
      <w:pPr>
        <w:spacing w:after="0" w:line="240" w:lineRule="auto"/>
        <w:rPr>
          <w:rFonts w:ascii="Arial" w:eastAsia="Times New Roman" w:hAnsi="Arial" w:cs="Arial"/>
          <w:b/>
          <w:sz w:val="24"/>
          <w:szCs w:val="24"/>
          <w:lang w:val="af-ZA"/>
        </w:rPr>
      </w:pPr>
    </w:p>
    <w:p w14:paraId="3F096934" w14:textId="741352C5" w:rsidR="005B2AA3" w:rsidRDefault="005B2AA3" w:rsidP="005B2AA3">
      <w:pPr>
        <w:spacing w:after="0" w:line="240" w:lineRule="auto"/>
        <w:jc w:val="right"/>
        <w:rPr>
          <w:rFonts w:ascii="Arial" w:eastAsia="Times New Roman" w:hAnsi="Arial" w:cs="Arial"/>
          <w:b/>
          <w:sz w:val="24"/>
          <w:szCs w:val="24"/>
          <w:lang w:val="af-ZA"/>
        </w:rPr>
      </w:pPr>
      <w:r>
        <w:rPr>
          <w:rFonts w:ascii="Arial" w:eastAsia="Times New Roman" w:hAnsi="Arial" w:cs="Arial"/>
          <w:sz w:val="24"/>
          <w:szCs w:val="24"/>
          <w:lang w:val="af-ZA"/>
        </w:rPr>
        <w:t xml:space="preserve">                                                </w:t>
      </w:r>
      <w:r w:rsidR="00AF3E97">
        <w:rPr>
          <w:rFonts w:ascii="Arial" w:eastAsia="Times New Roman" w:hAnsi="Arial" w:cs="Arial"/>
          <w:b/>
          <w:sz w:val="24"/>
          <w:szCs w:val="24"/>
          <w:lang w:val="af-ZA"/>
        </w:rPr>
        <w:t>Case Number: 14263/2023</w:t>
      </w:r>
    </w:p>
    <w:p w14:paraId="4B1F4EA3" w14:textId="2F8F4F15" w:rsidR="005B2AA3" w:rsidRPr="00157BCB" w:rsidRDefault="005B2AA3" w:rsidP="005B2AA3">
      <w:pPr>
        <w:spacing w:after="0" w:line="240" w:lineRule="auto"/>
        <w:jc w:val="right"/>
        <w:rPr>
          <w:rFonts w:ascii="Arial" w:eastAsia="Times New Roman" w:hAnsi="Arial" w:cs="Arial"/>
          <w:i/>
          <w:sz w:val="24"/>
          <w:szCs w:val="24"/>
          <w:u w:val="single"/>
          <w:lang w:val="af-ZA"/>
        </w:rPr>
      </w:pPr>
    </w:p>
    <w:p w14:paraId="0B18ABE5" w14:textId="77777777" w:rsidR="005B2AA3" w:rsidRDefault="005B2AA3" w:rsidP="005B2AA3">
      <w:pPr>
        <w:spacing w:after="0" w:line="240" w:lineRule="auto"/>
        <w:jc w:val="center"/>
        <w:rPr>
          <w:rFonts w:ascii="Arial" w:eastAsia="Times New Roman" w:hAnsi="Arial" w:cs="Arial"/>
          <w:b/>
          <w:sz w:val="24"/>
          <w:szCs w:val="24"/>
          <w:lang w:val="af-ZA"/>
        </w:rPr>
      </w:pPr>
      <w:r>
        <w:rPr>
          <w:rFonts w:ascii="Arial" w:eastAsia="Times New Roman" w:hAnsi="Arial" w:cs="Arial"/>
          <w:b/>
          <w:sz w:val="24"/>
          <w:szCs w:val="24"/>
          <w:lang w:val="af-ZA"/>
        </w:rPr>
        <w:t xml:space="preserve">                                               </w:t>
      </w:r>
    </w:p>
    <w:p w14:paraId="4C871A27" w14:textId="77777777" w:rsidR="005B2AA3" w:rsidRDefault="005B2AA3" w:rsidP="005B2AA3">
      <w:pPr>
        <w:spacing w:after="0" w:line="240" w:lineRule="auto"/>
        <w:jc w:val="center"/>
        <w:rPr>
          <w:rFonts w:ascii="Arial" w:eastAsia="Times New Roman" w:hAnsi="Arial" w:cs="Arial"/>
          <w:b/>
          <w:sz w:val="24"/>
          <w:szCs w:val="24"/>
          <w:lang w:val="af-ZA"/>
        </w:rPr>
      </w:pPr>
      <w:r>
        <w:rPr>
          <w:rFonts w:ascii="Arial" w:eastAsia="Times New Roman" w:hAnsi="Arial" w:cs="Arial"/>
          <w:b/>
          <w:sz w:val="24"/>
          <w:szCs w:val="24"/>
          <w:lang w:val="af-ZA"/>
        </w:rPr>
        <w:t xml:space="preserve">                                                                   </w:t>
      </w:r>
    </w:p>
    <w:p w14:paraId="76031937" w14:textId="77777777" w:rsidR="005B2AA3" w:rsidRDefault="005B2AA3" w:rsidP="00187A86">
      <w:pPr>
        <w:spacing w:after="0"/>
        <w:jc w:val="both"/>
        <w:rPr>
          <w:rFonts w:ascii="Arial" w:eastAsia="Times New Roman" w:hAnsi="Arial" w:cs="Arial"/>
          <w:sz w:val="24"/>
          <w:szCs w:val="24"/>
          <w:lang w:val="af-ZA"/>
        </w:rPr>
      </w:pPr>
      <w:r>
        <w:rPr>
          <w:rFonts w:ascii="Arial" w:eastAsia="Times New Roman" w:hAnsi="Arial" w:cs="Arial"/>
          <w:sz w:val="24"/>
          <w:szCs w:val="24"/>
          <w:lang w:val="af-ZA"/>
        </w:rPr>
        <w:t>In the matter between:</w:t>
      </w:r>
    </w:p>
    <w:p w14:paraId="6FEB4505" w14:textId="77777777" w:rsidR="005B2AA3" w:rsidRDefault="005B2AA3" w:rsidP="00187A86">
      <w:pPr>
        <w:spacing w:after="0"/>
        <w:jc w:val="both"/>
        <w:rPr>
          <w:rFonts w:ascii="Arial" w:eastAsia="Times New Roman" w:hAnsi="Arial" w:cs="Arial"/>
          <w:sz w:val="24"/>
          <w:szCs w:val="24"/>
          <w:lang w:val="af-ZA"/>
        </w:rPr>
      </w:pPr>
    </w:p>
    <w:p w14:paraId="2805D509" w14:textId="53DB0D8A" w:rsidR="00AF3E97" w:rsidRDefault="00AF3E97" w:rsidP="00187A86">
      <w:pPr>
        <w:tabs>
          <w:tab w:val="right" w:pos="9480"/>
        </w:tabs>
        <w:spacing w:after="0"/>
        <w:jc w:val="both"/>
        <w:rPr>
          <w:rFonts w:ascii="Arial" w:eastAsia="Times New Roman" w:hAnsi="Arial" w:cs="Arial"/>
          <w:b/>
          <w:sz w:val="24"/>
          <w:szCs w:val="24"/>
          <w:lang w:val="af-ZA"/>
        </w:rPr>
      </w:pPr>
      <w:r>
        <w:rPr>
          <w:rFonts w:ascii="Arial" w:eastAsia="Times New Roman" w:hAnsi="Arial" w:cs="Arial"/>
          <w:b/>
          <w:sz w:val="24"/>
          <w:szCs w:val="24"/>
          <w:lang w:val="af-ZA"/>
        </w:rPr>
        <w:t>YZERFONTEIN CURESMITHS (PTY) LTD T/A FLYING PIG</w:t>
      </w:r>
    </w:p>
    <w:p w14:paraId="2FC3BC57" w14:textId="273FF84C" w:rsidR="005B2AA3" w:rsidRDefault="00AF3E97" w:rsidP="00187A86">
      <w:pPr>
        <w:tabs>
          <w:tab w:val="right" w:pos="9480"/>
        </w:tabs>
        <w:spacing w:after="0"/>
        <w:jc w:val="both"/>
        <w:rPr>
          <w:rFonts w:ascii="Arial" w:eastAsia="Times New Roman" w:hAnsi="Arial" w:cs="Arial"/>
          <w:sz w:val="24"/>
          <w:szCs w:val="24"/>
          <w:lang w:val="af-ZA"/>
        </w:rPr>
      </w:pPr>
      <w:r>
        <w:rPr>
          <w:rFonts w:ascii="Arial" w:eastAsia="Times New Roman" w:hAnsi="Arial" w:cs="Arial"/>
          <w:b/>
          <w:sz w:val="24"/>
          <w:szCs w:val="24"/>
          <w:lang w:val="af-ZA"/>
        </w:rPr>
        <w:t>(IN LIQUIDATION)</w:t>
      </w:r>
      <w:r w:rsidR="005B2AA3">
        <w:rPr>
          <w:rFonts w:ascii="Arial" w:eastAsia="Times New Roman" w:hAnsi="Arial" w:cs="Arial"/>
          <w:b/>
          <w:sz w:val="24"/>
          <w:szCs w:val="24"/>
          <w:lang w:val="af-ZA"/>
        </w:rPr>
        <w:tab/>
        <w:t xml:space="preserve">        </w:t>
      </w:r>
      <w:r>
        <w:rPr>
          <w:rFonts w:ascii="Arial" w:eastAsia="Times New Roman" w:hAnsi="Arial" w:cs="Arial"/>
          <w:sz w:val="24"/>
          <w:szCs w:val="24"/>
          <w:lang w:val="af-ZA"/>
        </w:rPr>
        <w:t>First Applicant</w:t>
      </w:r>
    </w:p>
    <w:p w14:paraId="5C253740" w14:textId="598D43C6" w:rsidR="00AF3E97" w:rsidRPr="005B2AA3" w:rsidRDefault="00AF3E97" w:rsidP="00187A86">
      <w:pPr>
        <w:tabs>
          <w:tab w:val="right" w:pos="9480"/>
        </w:tabs>
        <w:spacing w:after="0"/>
        <w:jc w:val="both"/>
        <w:rPr>
          <w:rFonts w:ascii="Arial" w:eastAsia="Times New Roman" w:hAnsi="Arial" w:cs="Arial"/>
          <w:sz w:val="24"/>
          <w:szCs w:val="24"/>
          <w:lang w:val="af-ZA"/>
        </w:rPr>
      </w:pPr>
      <w:r>
        <w:rPr>
          <w:rFonts w:ascii="Arial" w:eastAsia="Times New Roman" w:hAnsi="Arial" w:cs="Arial"/>
          <w:sz w:val="24"/>
          <w:szCs w:val="24"/>
          <w:lang w:val="af-ZA"/>
        </w:rPr>
        <w:t>(Registration number 2015/183652/07)</w:t>
      </w:r>
    </w:p>
    <w:p w14:paraId="18760F90" w14:textId="6D0AAF69" w:rsidR="00AF3E97" w:rsidRDefault="00AF3E97" w:rsidP="00187A86">
      <w:pPr>
        <w:tabs>
          <w:tab w:val="right" w:pos="9480"/>
        </w:tabs>
        <w:spacing w:after="0"/>
        <w:jc w:val="both"/>
        <w:rPr>
          <w:rFonts w:ascii="Arial" w:eastAsia="Times New Roman" w:hAnsi="Arial" w:cs="Arial"/>
          <w:b/>
          <w:sz w:val="24"/>
          <w:szCs w:val="24"/>
          <w:lang w:val="af-ZA"/>
        </w:rPr>
      </w:pPr>
    </w:p>
    <w:p w14:paraId="043FD0AC" w14:textId="4B0C90A9" w:rsidR="00AF3E97" w:rsidRDefault="00187A86" w:rsidP="00187A86">
      <w:pPr>
        <w:tabs>
          <w:tab w:val="right" w:pos="9480"/>
        </w:tabs>
        <w:spacing w:after="0"/>
        <w:jc w:val="both"/>
        <w:rPr>
          <w:rFonts w:ascii="Arial" w:eastAsia="Times New Roman" w:hAnsi="Arial" w:cs="Arial"/>
          <w:sz w:val="24"/>
          <w:szCs w:val="24"/>
          <w:lang w:val="af-ZA"/>
        </w:rPr>
      </w:pPr>
      <w:r>
        <w:rPr>
          <w:rFonts w:ascii="Arial" w:eastAsia="Times New Roman" w:hAnsi="Arial" w:cs="Arial"/>
          <w:b/>
          <w:sz w:val="24"/>
          <w:szCs w:val="24"/>
          <w:lang w:val="af-ZA"/>
        </w:rPr>
        <w:t>SHONA EDNA LE ROUX-MARX N.O.</w:t>
      </w:r>
      <w:r w:rsidR="00AF3E97">
        <w:rPr>
          <w:rFonts w:ascii="Arial" w:eastAsia="Times New Roman" w:hAnsi="Arial" w:cs="Arial"/>
          <w:b/>
          <w:sz w:val="24"/>
          <w:szCs w:val="24"/>
          <w:lang w:val="af-ZA"/>
        </w:rPr>
        <w:tab/>
        <w:t xml:space="preserve">        </w:t>
      </w:r>
      <w:r w:rsidR="00AF3E97">
        <w:rPr>
          <w:rFonts w:ascii="Arial" w:eastAsia="Times New Roman" w:hAnsi="Arial" w:cs="Arial"/>
          <w:sz w:val="24"/>
          <w:szCs w:val="24"/>
          <w:lang w:val="af-ZA"/>
        </w:rPr>
        <w:t>Second Applicant</w:t>
      </w:r>
    </w:p>
    <w:p w14:paraId="1F3AD71E" w14:textId="54B40D16" w:rsidR="00187A86" w:rsidRDefault="00187A86" w:rsidP="00187A86">
      <w:pPr>
        <w:tabs>
          <w:tab w:val="right" w:pos="9480"/>
        </w:tabs>
        <w:spacing w:after="0"/>
        <w:jc w:val="both"/>
        <w:rPr>
          <w:rFonts w:ascii="Arial" w:eastAsia="Times New Roman" w:hAnsi="Arial" w:cs="Arial"/>
          <w:b/>
          <w:sz w:val="24"/>
          <w:szCs w:val="24"/>
          <w:lang w:val="af-ZA"/>
        </w:rPr>
      </w:pPr>
    </w:p>
    <w:p w14:paraId="2F5B6A39" w14:textId="24D13F2E" w:rsidR="00187A86" w:rsidRDefault="00187A86" w:rsidP="00187A86">
      <w:pPr>
        <w:tabs>
          <w:tab w:val="right" w:pos="9480"/>
        </w:tabs>
        <w:spacing w:after="0"/>
        <w:jc w:val="both"/>
        <w:rPr>
          <w:rFonts w:ascii="Arial" w:eastAsia="Times New Roman" w:hAnsi="Arial" w:cs="Arial"/>
          <w:sz w:val="24"/>
          <w:szCs w:val="24"/>
          <w:lang w:val="af-ZA"/>
        </w:rPr>
      </w:pPr>
      <w:r>
        <w:rPr>
          <w:rFonts w:ascii="Arial" w:eastAsia="Times New Roman" w:hAnsi="Arial" w:cs="Arial"/>
          <w:b/>
          <w:sz w:val="24"/>
          <w:szCs w:val="24"/>
          <w:lang w:val="af-ZA"/>
        </w:rPr>
        <w:t>JOHHNY BASSON N.O.</w:t>
      </w:r>
      <w:r>
        <w:rPr>
          <w:rFonts w:ascii="Arial" w:eastAsia="Times New Roman" w:hAnsi="Arial" w:cs="Arial"/>
          <w:b/>
          <w:sz w:val="24"/>
          <w:szCs w:val="24"/>
          <w:lang w:val="af-ZA"/>
        </w:rPr>
        <w:tab/>
        <w:t xml:space="preserve">        </w:t>
      </w:r>
      <w:r>
        <w:rPr>
          <w:rFonts w:ascii="Arial" w:eastAsia="Times New Roman" w:hAnsi="Arial" w:cs="Arial"/>
          <w:sz w:val="24"/>
          <w:szCs w:val="24"/>
          <w:lang w:val="af-ZA"/>
        </w:rPr>
        <w:t>Third Applicant</w:t>
      </w:r>
    </w:p>
    <w:p w14:paraId="0A718AED" w14:textId="440E08A0" w:rsidR="00187A86" w:rsidRDefault="00187A86" w:rsidP="00187A86">
      <w:pPr>
        <w:tabs>
          <w:tab w:val="right" w:pos="9480"/>
        </w:tabs>
        <w:spacing w:after="0"/>
        <w:jc w:val="both"/>
        <w:rPr>
          <w:rFonts w:ascii="Arial" w:eastAsia="Times New Roman" w:hAnsi="Arial" w:cs="Arial"/>
          <w:sz w:val="24"/>
          <w:szCs w:val="24"/>
          <w:lang w:val="af-ZA"/>
        </w:rPr>
      </w:pPr>
      <w:r>
        <w:rPr>
          <w:rFonts w:ascii="Arial" w:eastAsia="Times New Roman" w:hAnsi="Arial" w:cs="Arial"/>
          <w:sz w:val="24"/>
          <w:szCs w:val="24"/>
          <w:lang w:val="af-ZA"/>
        </w:rPr>
        <w:t>(in their capacity as trustees in the insolvent estate</w:t>
      </w:r>
    </w:p>
    <w:p w14:paraId="696DB6DE" w14:textId="5B0CC2F4" w:rsidR="00187A86" w:rsidRDefault="00187A86" w:rsidP="00187A86">
      <w:pPr>
        <w:tabs>
          <w:tab w:val="right" w:pos="9480"/>
        </w:tabs>
        <w:spacing w:after="0"/>
        <w:jc w:val="both"/>
        <w:rPr>
          <w:rFonts w:ascii="Arial" w:eastAsia="Times New Roman" w:hAnsi="Arial" w:cs="Arial"/>
          <w:sz w:val="24"/>
          <w:szCs w:val="24"/>
          <w:lang w:val="af-ZA"/>
        </w:rPr>
      </w:pPr>
      <w:r>
        <w:rPr>
          <w:rFonts w:ascii="Arial" w:eastAsia="Times New Roman" w:hAnsi="Arial" w:cs="Arial"/>
          <w:sz w:val="24"/>
          <w:szCs w:val="24"/>
          <w:lang w:val="af-ZA"/>
        </w:rPr>
        <w:t>GILBERT HERMANUS FERREIRA, C420/2019)</w:t>
      </w:r>
    </w:p>
    <w:p w14:paraId="236B2AA1" w14:textId="4F2CEB66" w:rsidR="005B2AA3" w:rsidRDefault="005B2AA3" w:rsidP="00187A86">
      <w:pPr>
        <w:spacing w:after="0"/>
        <w:jc w:val="both"/>
        <w:rPr>
          <w:rFonts w:ascii="Arial" w:eastAsia="Times New Roman" w:hAnsi="Arial" w:cs="Arial"/>
          <w:sz w:val="24"/>
          <w:szCs w:val="24"/>
          <w:lang w:val="af-ZA"/>
        </w:rPr>
      </w:pPr>
    </w:p>
    <w:p w14:paraId="614F2C24" w14:textId="77777777" w:rsidR="005B2AA3" w:rsidRDefault="005B2AA3" w:rsidP="00187A86">
      <w:pPr>
        <w:spacing w:after="0"/>
        <w:jc w:val="both"/>
        <w:rPr>
          <w:rFonts w:ascii="Arial" w:eastAsia="Times New Roman" w:hAnsi="Arial" w:cs="Arial"/>
          <w:sz w:val="24"/>
          <w:szCs w:val="24"/>
          <w:lang w:val="af-ZA"/>
        </w:rPr>
      </w:pPr>
      <w:r>
        <w:rPr>
          <w:rFonts w:ascii="Arial" w:eastAsia="Times New Roman" w:hAnsi="Arial" w:cs="Arial"/>
          <w:sz w:val="24"/>
          <w:szCs w:val="24"/>
          <w:lang w:val="af-ZA"/>
        </w:rPr>
        <w:t>and</w:t>
      </w:r>
    </w:p>
    <w:p w14:paraId="68BA6C87" w14:textId="56D1D4AA" w:rsidR="00187A86" w:rsidRDefault="00187A86" w:rsidP="00187A86">
      <w:pPr>
        <w:tabs>
          <w:tab w:val="right" w:pos="9480"/>
        </w:tabs>
        <w:spacing w:after="0"/>
        <w:jc w:val="both"/>
        <w:rPr>
          <w:rFonts w:ascii="Arial" w:eastAsia="Times New Roman" w:hAnsi="Arial" w:cs="Arial"/>
          <w:b/>
          <w:sz w:val="24"/>
          <w:szCs w:val="24"/>
          <w:lang w:val="af-ZA"/>
        </w:rPr>
      </w:pPr>
    </w:p>
    <w:p w14:paraId="52E275BF" w14:textId="3CDE0C6F" w:rsidR="00187A86" w:rsidRDefault="00187A86" w:rsidP="00187A86">
      <w:pPr>
        <w:tabs>
          <w:tab w:val="right" w:pos="9480"/>
        </w:tabs>
        <w:spacing w:after="0"/>
        <w:jc w:val="both"/>
        <w:rPr>
          <w:rFonts w:ascii="Arial" w:eastAsia="Times New Roman" w:hAnsi="Arial" w:cs="Arial"/>
          <w:sz w:val="24"/>
          <w:szCs w:val="24"/>
          <w:lang w:val="af-ZA"/>
        </w:rPr>
      </w:pPr>
      <w:r>
        <w:rPr>
          <w:rFonts w:ascii="Arial" w:eastAsia="Times New Roman" w:hAnsi="Arial" w:cs="Arial"/>
          <w:b/>
          <w:sz w:val="24"/>
          <w:szCs w:val="24"/>
          <w:lang w:val="af-ZA"/>
        </w:rPr>
        <w:t>ALETTA HELENE LAUBSCHER</w:t>
      </w:r>
      <w:r>
        <w:rPr>
          <w:rFonts w:ascii="Arial" w:eastAsia="Times New Roman" w:hAnsi="Arial" w:cs="Arial"/>
          <w:b/>
          <w:sz w:val="24"/>
          <w:szCs w:val="24"/>
          <w:lang w:val="af-ZA"/>
        </w:rPr>
        <w:tab/>
        <w:t xml:space="preserve">        </w:t>
      </w:r>
      <w:r>
        <w:rPr>
          <w:rFonts w:ascii="Arial" w:eastAsia="Times New Roman" w:hAnsi="Arial" w:cs="Arial"/>
          <w:sz w:val="24"/>
          <w:szCs w:val="24"/>
          <w:lang w:val="af-ZA"/>
        </w:rPr>
        <w:t>First Respondent</w:t>
      </w:r>
    </w:p>
    <w:p w14:paraId="2D8FD505" w14:textId="4BAC82D2" w:rsidR="00187A86" w:rsidRDefault="00187A86" w:rsidP="00187A86">
      <w:pPr>
        <w:tabs>
          <w:tab w:val="right" w:pos="9480"/>
        </w:tabs>
        <w:spacing w:after="0"/>
        <w:jc w:val="both"/>
        <w:rPr>
          <w:rFonts w:ascii="Arial" w:eastAsia="Times New Roman" w:hAnsi="Arial" w:cs="Arial"/>
          <w:sz w:val="24"/>
          <w:szCs w:val="24"/>
          <w:lang w:val="af-ZA"/>
        </w:rPr>
      </w:pPr>
    </w:p>
    <w:p w14:paraId="3104FAED" w14:textId="7E5AEA10" w:rsidR="00187A86" w:rsidRDefault="00187A86" w:rsidP="00187A86">
      <w:pPr>
        <w:tabs>
          <w:tab w:val="right" w:pos="9480"/>
        </w:tabs>
        <w:spacing w:after="0"/>
        <w:jc w:val="both"/>
        <w:rPr>
          <w:rFonts w:ascii="Arial" w:eastAsia="Times New Roman" w:hAnsi="Arial" w:cs="Arial"/>
          <w:b/>
          <w:sz w:val="24"/>
          <w:szCs w:val="24"/>
          <w:lang w:val="af-ZA"/>
        </w:rPr>
      </w:pPr>
    </w:p>
    <w:p w14:paraId="271B2DEA" w14:textId="346B8F20" w:rsidR="00187A86" w:rsidRDefault="00187A86" w:rsidP="00187A86">
      <w:pPr>
        <w:tabs>
          <w:tab w:val="right" w:pos="9480"/>
        </w:tabs>
        <w:spacing w:after="0"/>
        <w:jc w:val="both"/>
        <w:rPr>
          <w:rFonts w:ascii="Arial" w:eastAsia="Times New Roman" w:hAnsi="Arial" w:cs="Arial"/>
          <w:sz w:val="24"/>
          <w:szCs w:val="24"/>
          <w:lang w:val="af-ZA"/>
        </w:rPr>
      </w:pPr>
      <w:r>
        <w:rPr>
          <w:rFonts w:ascii="Arial" w:eastAsia="Times New Roman" w:hAnsi="Arial" w:cs="Arial"/>
          <w:b/>
          <w:sz w:val="24"/>
          <w:szCs w:val="24"/>
          <w:lang w:val="af-ZA"/>
        </w:rPr>
        <w:t>ABSA BANK LIMITED</w:t>
      </w:r>
      <w:r>
        <w:rPr>
          <w:rFonts w:ascii="Arial" w:eastAsia="Times New Roman" w:hAnsi="Arial" w:cs="Arial"/>
          <w:b/>
          <w:sz w:val="24"/>
          <w:szCs w:val="24"/>
          <w:lang w:val="af-ZA"/>
        </w:rPr>
        <w:tab/>
        <w:t xml:space="preserve">        </w:t>
      </w:r>
      <w:r>
        <w:rPr>
          <w:rFonts w:ascii="Arial" w:eastAsia="Times New Roman" w:hAnsi="Arial" w:cs="Arial"/>
          <w:sz w:val="24"/>
          <w:szCs w:val="24"/>
          <w:lang w:val="af-ZA"/>
        </w:rPr>
        <w:t>Second Respondent</w:t>
      </w:r>
    </w:p>
    <w:p w14:paraId="58BD3F5A" w14:textId="76F0DE02" w:rsidR="00187A86" w:rsidRPr="005B2AA3" w:rsidRDefault="00187A86" w:rsidP="00187A86">
      <w:pPr>
        <w:tabs>
          <w:tab w:val="right" w:pos="9480"/>
        </w:tabs>
        <w:spacing w:after="0"/>
        <w:jc w:val="both"/>
        <w:rPr>
          <w:rFonts w:ascii="Arial" w:eastAsia="Times New Roman" w:hAnsi="Arial" w:cs="Arial"/>
          <w:sz w:val="24"/>
          <w:szCs w:val="24"/>
          <w:lang w:val="af-ZA"/>
        </w:rPr>
      </w:pPr>
    </w:p>
    <w:p w14:paraId="4E699572" w14:textId="197B9F08" w:rsidR="005B2AA3" w:rsidRDefault="005B2AA3" w:rsidP="005B2AA3">
      <w:pPr>
        <w:spacing w:after="0" w:line="240" w:lineRule="auto"/>
        <w:rPr>
          <w:rFonts w:ascii="Century Gothic" w:eastAsia="Times New Roman" w:hAnsi="Century Gothic" w:cs="Times New Roman"/>
          <w:sz w:val="28"/>
          <w:szCs w:val="28"/>
          <w:lang w:val="af-ZA"/>
        </w:rPr>
      </w:pPr>
    </w:p>
    <w:p w14:paraId="439704CA" w14:textId="77777777" w:rsidR="005B2AA3" w:rsidRDefault="005B2AA3" w:rsidP="005B2AA3">
      <w:pPr>
        <w:pBdr>
          <w:top w:val="single" w:sz="4" w:space="1" w:color="auto"/>
          <w:left w:val="single" w:sz="4" w:space="4" w:color="auto"/>
          <w:bottom w:val="single" w:sz="4" w:space="0" w:color="auto"/>
          <w:right w:val="single" w:sz="4" w:space="4" w:color="auto"/>
        </w:pBdr>
        <w:spacing w:after="0" w:line="240" w:lineRule="auto"/>
        <w:rPr>
          <w:rFonts w:ascii="Century Gothic" w:eastAsia="Times New Roman" w:hAnsi="Century Gothic" w:cs="Times New Roman"/>
          <w:b/>
          <w:sz w:val="36"/>
          <w:szCs w:val="36"/>
          <w:lang w:val="af-ZA"/>
        </w:rPr>
      </w:pPr>
      <w:r>
        <w:rPr>
          <w:rFonts w:ascii="Century Gothic" w:eastAsia="Times New Roman" w:hAnsi="Century Gothic" w:cs="Times New Roman"/>
          <w:b/>
          <w:sz w:val="36"/>
          <w:szCs w:val="36"/>
          <w:lang w:val="af-ZA"/>
        </w:rPr>
        <w:t xml:space="preserve">                          </w:t>
      </w:r>
    </w:p>
    <w:p w14:paraId="139F9313" w14:textId="176B68AD" w:rsidR="005B2AA3" w:rsidRPr="00F24911" w:rsidRDefault="005B2AA3" w:rsidP="005B2AA3">
      <w:pPr>
        <w:pBdr>
          <w:top w:val="single" w:sz="4" w:space="1" w:color="auto"/>
          <w:left w:val="single" w:sz="4" w:space="4" w:color="auto"/>
          <w:bottom w:val="single" w:sz="4" w:space="0" w:color="auto"/>
          <w:right w:val="single" w:sz="4" w:space="4" w:color="auto"/>
        </w:pBdr>
        <w:spacing w:after="0" w:line="240" w:lineRule="auto"/>
        <w:jc w:val="center"/>
        <w:rPr>
          <w:rFonts w:ascii="Arial" w:eastAsia="Times New Roman" w:hAnsi="Arial" w:cs="Arial"/>
          <w:b/>
          <w:sz w:val="24"/>
          <w:szCs w:val="24"/>
          <w:lang w:val="af-ZA"/>
        </w:rPr>
      </w:pPr>
      <w:r w:rsidRPr="00F24911">
        <w:rPr>
          <w:rFonts w:ascii="Arial" w:eastAsia="Times New Roman" w:hAnsi="Arial" w:cs="Arial"/>
          <w:b/>
          <w:sz w:val="24"/>
          <w:szCs w:val="24"/>
          <w:lang w:val="af-ZA"/>
        </w:rPr>
        <w:t xml:space="preserve">JUDGMENT </w:t>
      </w:r>
      <w:r w:rsidR="00F24911" w:rsidRPr="00F24911">
        <w:rPr>
          <w:rFonts w:ascii="Arial" w:eastAsia="Times New Roman" w:hAnsi="Arial" w:cs="Arial"/>
          <w:b/>
          <w:sz w:val="24"/>
          <w:szCs w:val="24"/>
          <w:lang w:val="af-ZA"/>
        </w:rPr>
        <w:t>DELI</w:t>
      </w:r>
      <w:r w:rsidR="00B078B4">
        <w:rPr>
          <w:rFonts w:ascii="Arial" w:eastAsia="Times New Roman" w:hAnsi="Arial" w:cs="Arial"/>
          <w:b/>
          <w:sz w:val="24"/>
          <w:szCs w:val="24"/>
          <w:lang w:val="af-ZA"/>
        </w:rPr>
        <w:t xml:space="preserve">VERED ON THIS THE </w:t>
      </w:r>
      <w:r w:rsidR="00CF63B9" w:rsidRPr="00CF63B9">
        <w:rPr>
          <w:rFonts w:ascii="Arial" w:eastAsia="Times New Roman" w:hAnsi="Arial" w:cs="Arial"/>
          <w:b/>
          <w:sz w:val="24"/>
          <w:szCs w:val="24"/>
          <w:lang w:val="af-ZA"/>
        </w:rPr>
        <w:t>6th</w:t>
      </w:r>
      <w:r w:rsidR="00B078B4">
        <w:rPr>
          <w:rFonts w:ascii="Arial" w:eastAsia="Times New Roman" w:hAnsi="Arial" w:cs="Arial"/>
          <w:b/>
          <w:sz w:val="24"/>
          <w:szCs w:val="24"/>
          <w:lang w:val="af-ZA"/>
        </w:rPr>
        <w:t xml:space="preserve"> DAY OF DECEMBER</w:t>
      </w:r>
      <w:r w:rsidR="00F24911" w:rsidRPr="00F24911">
        <w:rPr>
          <w:rFonts w:ascii="Arial" w:eastAsia="Times New Roman" w:hAnsi="Arial" w:cs="Arial"/>
          <w:b/>
          <w:sz w:val="24"/>
          <w:szCs w:val="24"/>
          <w:lang w:val="af-ZA"/>
        </w:rPr>
        <w:t xml:space="preserve"> 2023</w:t>
      </w:r>
    </w:p>
    <w:p w14:paraId="25CA65D9" w14:textId="222328F5" w:rsidR="005B2AA3" w:rsidRPr="00187A86" w:rsidRDefault="005B2AA3" w:rsidP="00187A86">
      <w:pPr>
        <w:pBdr>
          <w:top w:val="single" w:sz="4" w:space="1" w:color="auto"/>
          <w:left w:val="single" w:sz="4" w:space="4" w:color="auto"/>
          <w:bottom w:val="single" w:sz="4" w:space="0" w:color="auto"/>
          <w:right w:val="single" w:sz="4" w:space="4" w:color="auto"/>
        </w:pBdr>
        <w:spacing w:after="0" w:line="240" w:lineRule="auto"/>
        <w:rPr>
          <w:rFonts w:ascii="Arial" w:eastAsia="Times New Roman" w:hAnsi="Arial" w:cs="Arial"/>
          <w:sz w:val="32"/>
          <w:szCs w:val="32"/>
        </w:rPr>
      </w:pPr>
      <w:r>
        <w:rPr>
          <w:rFonts w:ascii="Arial" w:eastAsia="Times New Roman" w:hAnsi="Arial" w:cs="Arial"/>
          <w:sz w:val="32"/>
          <w:szCs w:val="32"/>
        </w:rPr>
        <w:t xml:space="preserve">      </w:t>
      </w:r>
      <w:r>
        <w:rPr>
          <w:rFonts w:ascii="Arial" w:eastAsia="Times New Roman" w:hAnsi="Arial" w:cs="Arial"/>
          <w:b/>
          <w:sz w:val="32"/>
          <w:szCs w:val="32"/>
        </w:rPr>
        <w:t xml:space="preserve">                             </w:t>
      </w:r>
    </w:p>
    <w:p w14:paraId="3C21EDC5" w14:textId="77777777" w:rsidR="00187A86" w:rsidRDefault="00187A86" w:rsidP="005B2AA3">
      <w:pPr>
        <w:rPr>
          <w:rFonts w:ascii="Arial" w:hAnsi="Arial" w:cs="Arial"/>
          <w:b/>
          <w:sz w:val="24"/>
          <w:szCs w:val="24"/>
        </w:rPr>
      </w:pPr>
    </w:p>
    <w:p w14:paraId="60B20362" w14:textId="337F77C1" w:rsidR="005B2AA3" w:rsidRDefault="005B2AA3" w:rsidP="005B2AA3">
      <w:pPr>
        <w:rPr>
          <w:rFonts w:ascii="Arial" w:hAnsi="Arial" w:cs="Arial"/>
          <w:b/>
          <w:sz w:val="24"/>
          <w:szCs w:val="24"/>
        </w:rPr>
      </w:pPr>
      <w:r>
        <w:rPr>
          <w:rFonts w:ascii="Arial" w:hAnsi="Arial" w:cs="Arial"/>
          <w:b/>
          <w:sz w:val="24"/>
          <w:szCs w:val="24"/>
        </w:rPr>
        <w:t>Andrews AJ</w:t>
      </w:r>
    </w:p>
    <w:p w14:paraId="65490C40" w14:textId="63857018" w:rsidR="009B22E1" w:rsidRPr="00630473" w:rsidRDefault="005B2AA3" w:rsidP="00630473">
      <w:pPr>
        <w:rPr>
          <w:rFonts w:ascii="Arial" w:hAnsi="Arial" w:cs="Arial"/>
          <w:b/>
          <w:sz w:val="24"/>
          <w:szCs w:val="24"/>
        </w:rPr>
      </w:pPr>
      <w:r>
        <w:rPr>
          <w:rFonts w:ascii="Arial" w:hAnsi="Arial" w:cs="Arial"/>
          <w:b/>
          <w:sz w:val="24"/>
          <w:szCs w:val="24"/>
        </w:rPr>
        <w:t>Introduction</w:t>
      </w:r>
    </w:p>
    <w:p w14:paraId="16235F7D" w14:textId="05663394" w:rsidR="00A8105A" w:rsidRPr="004825CC" w:rsidRDefault="00756F94" w:rsidP="004825CC">
      <w:pPr>
        <w:pStyle w:val="ListParagraph"/>
        <w:numPr>
          <w:ilvl w:val="0"/>
          <w:numId w:val="1"/>
        </w:numPr>
        <w:spacing w:after="0" w:line="480" w:lineRule="auto"/>
        <w:jc w:val="both"/>
        <w:rPr>
          <w:rFonts w:ascii="Arial" w:hAnsi="Arial" w:cs="Arial"/>
          <w:b/>
          <w:sz w:val="24"/>
          <w:szCs w:val="24"/>
        </w:rPr>
      </w:pPr>
      <w:r w:rsidRPr="004825CC">
        <w:rPr>
          <w:rFonts w:ascii="Arial" w:hAnsi="Arial" w:cs="Arial"/>
          <w:sz w:val="24"/>
          <w:szCs w:val="24"/>
        </w:rPr>
        <w:t xml:space="preserve">This is the return date of an urgent </w:t>
      </w:r>
      <w:r w:rsidRPr="004825CC">
        <w:rPr>
          <w:rFonts w:ascii="Arial" w:hAnsi="Arial" w:cs="Arial"/>
          <w:i/>
          <w:sz w:val="24"/>
          <w:szCs w:val="24"/>
        </w:rPr>
        <w:t>ex parte</w:t>
      </w:r>
      <w:r w:rsidRPr="004825CC">
        <w:rPr>
          <w:rFonts w:ascii="Arial" w:hAnsi="Arial" w:cs="Arial"/>
          <w:sz w:val="24"/>
          <w:szCs w:val="24"/>
        </w:rPr>
        <w:t xml:space="preserve"> application in terms of which the Applicants seeks an order confirming the </w:t>
      </w:r>
      <w:r w:rsidRPr="004825CC">
        <w:rPr>
          <w:rFonts w:ascii="Arial" w:hAnsi="Arial" w:cs="Arial"/>
          <w:i/>
          <w:sz w:val="24"/>
          <w:szCs w:val="24"/>
        </w:rPr>
        <w:t>rule nisi</w:t>
      </w:r>
      <w:r w:rsidR="004825CC" w:rsidRPr="004825CC">
        <w:rPr>
          <w:rFonts w:ascii="Arial" w:hAnsi="Arial" w:cs="Arial"/>
          <w:sz w:val="24"/>
          <w:szCs w:val="24"/>
        </w:rPr>
        <w:t xml:space="preserve"> grant</w:t>
      </w:r>
      <w:r w:rsidR="003A4BF3">
        <w:rPr>
          <w:rFonts w:ascii="Arial" w:hAnsi="Arial" w:cs="Arial"/>
          <w:sz w:val="24"/>
          <w:szCs w:val="24"/>
        </w:rPr>
        <w:t>ed on 24</w:t>
      </w:r>
      <w:r w:rsidR="004825CC" w:rsidRPr="004825CC">
        <w:rPr>
          <w:rFonts w:ascii="Arial" w:hAnsi="Arial" w:cs="Arial"/>
          <w:sz w:val="24"/>
          <w:szCs w:val="24"/>
        </w:rPr>
        <w:t xml:space="preserve"> August 2023. In the </w:t>
      </w:r>
      <w:r w:rsidR="004825CC" w:rsidRPr="004825CC">
        <w:rPr>
          <w:rFonts w:ascii="Arial" w:hAnsi="Arial" w:cs="Arial"/>
          <w:sz w:val="24"/>
          <w:szCs w:val="24"/>
        </w:rPr>
        <w:lastRenderedPageBreak/>
        <w:t xml:space="preserve">alternative, to the attachment to confirm jurisdiction, the Applicants seek an order that the First Respondent be interdicted from transferring the funds held with the Second Respondent, pending the final outcome of the action proceedings.  </w:t>
      </w:r>
      <w:r w:rsidR="004825CC">
        <w:rPr>
          <w:rFonts w:ascii="Arial" w:hAnsi="Arial" w:cs="Arial"/>
          <w:sz w:val="24"/>
          <w:szCs w:val="24"/>
        </w:rPr>
        <w:t>The application is opposed.</w:t>
      </w:r>
      <w:r w:rsidR="004825CC">
        <w:rPr>
          <w:rFonts w:ascii="Arial" w:hAnsi="Arial" w:cs="Arial"/>
          <w:b/>
          <w:sz w:val="24"/>
          <w:szCs w:val="24"/>
        </w:rPr>
        <w:t xml:space="preserve"> </w:t>
      </w:r>
      <w:r w:rsidR="009B22E1" w:rsidRPr="004825CC">
        <w:rPr>
          <w:rFonts w:ascii="Arial" w:hAnsi="Arial" w:cs="Arial"/>
          <w:sz w:val="24"/>
          <w:szCs w:val="24"/>
        </w:rPr>
        <w:t>No relief is sought against the Second Respondent, other than the implementation of the relief applied for, namely the attachment of the funds belonging to the First Respondent, which is held in an account with the Second Respondent.</w:t>
      </w:r>
    </w:p>
    <w:p w14:paraId="33C688B5" w14:textId="2092D4EA" w:rsidR="003F21D2" w:rsidRDefault="003F21D2" w:rsidP="006102C8">
      <w:pPr>
        <w:pStyle w:val="ListParagraph"/>
        <w:spacing w:after="0" w:line="480" w:lineRule="auto"/>
        <w:ind w:left="0"/>
        <w:rPr>
          <w:rFonts w:ascii="Arial" w:hAnsi="Arial" w:cs="Arial"/>
          <w:b/>
          <w:sz w:val="24"/>
          <w:szCs w:val="24"/>
        </w:rPr>
      </w:pPr>
    </w:p>
    <w:p w14:paraId="6277559A" w14:textId="77777777" w:rsidR="003F21D2" w:rsidRPr="003F21D2" w:rsidRDefault="003F21D2" w:rsidP="006102C8">
      <w:pPr>
        <w:pStyle w:val="ListParagraph"/>
        <w:spacing w:after="0" w:line="480" w:lineRule="auto"/>
        <w:ind w:left="0"/>
      </w:pPr>
      <w:r>
        <w:rPr>
          <w:rFonts w:ascii="Arial" w:hAnsi="Arial" w:cs="Arial"/>
          <w:b/>
          <w:sz w:val="24"/>
          <w:szCs w:val="24"/>
        </w:rPr>
        <w:t>Factual Background</w:t>
      </w:r>
    </w:p>
    <w:p w14:paraId="6BF28CCA" w14:textId="58730716" w:rsidR="00C67D0C" w:rsidRPr="006102C8" w:rsidRDefault="00C67D0C" w:rsidP="003156FB">
      <w:pPr>
        <w:pStyle w:val="ListParagraph"/>
        <w:numPr>
          <w:ilvl w:val="0"/>
          <w:numId w:val="1"/>
        </w:numPr>
        <w:spacing w:after="0" w:line="480" w:lineRule="auto"/>
      </w:pPr>
      <w:r>
        <w:rPr>
          <w:rFonts w:ascii="Arial" w:hAnsi="Arial" w:cs="Arial"/>
          <w:sz w:val="24"/>
          <w:szCs w:val="24"/>
        </w:rPr>
        <w:t>The First Applicant was placed under final liquidation on 26 June 2019. The busin</w:t>
      </w:r>
      <w:r w:rsidR="00FE122C">
        <w:rPr>
          <w:rFonts w:ascii="Arial" w:hAnsi="Arial" w:cs="Arial"/>
          <w:sz w:val="24"/>
          <w:szCs w:val="24"/>
        </w:rPr>
        <w:t xml:space="preserve">ess was operated by Mr. </w:t>
      </w:r>
      <w:r w:rsidR="00FE122C" w:rsidRPr="00FE122C">
        <w:rPr>
          <w:rFonts w:ascii="Arial" w:hAnsi="Arial" w:cs="Arial"/>
          <w:sz w:val="24"/>
          <w:szCs w:val="24"/>
        </w:rPr>
        <w:t>Gilbert Hermanus Ferreira</w:t>
      </w:r>
      <w:r w:rsidR="00FE122C">
        <w:rPr>
          <w:rFonts w:ascii="Arial" w:hAnsi="Arial" w:cs="Arial"/>
          <w:sz w:val="24"/>
          <w:szCs w:val="24"/>
        </w:rPr>
        <w:t xml:space="preserve"> (“Mr. Ferreira”), who is the son of the First Respondent</w:t>
      </w:r>
      <w:r>
        <w:rPr>
          <w:rFonts w:ascii="Arial" w:hAnsi="Arial" w:cs="Arial"/>
          <w:sz w:val="24"/>
          <w:szCs w:val="24"/>
        </w:rPr>
        <w:t xml:space="preserve">. Mr Ferreira’s estate was sequestrated on 26 August 2019, because he stood surety for certain obligations of the First Applicant. </w:t>
      </w:r>
      <w:r w:rsidR="003156FB">
        <w:t xml:space="preserve"> </w:t>
      </w:r>
      <w:r w:rsidR="003156FB" w:rsidRPr="003156FB">
        <w:rPr>
          <w:rFonts w:ascii="Arial" w:hAnsi="Arial" w:cs="Arial"/>
          <w:sz w:val="24"/>
          <w:szCs w:val="24"/>
        </w:rPr>
        <w:t>The Applicants allege that during or about 2018, while the First Respondent was the owner of the property situated at 28 High Street, Darling (“the property”), Mr Ferreira renovated and improved the property with funds received from the First Applicant, which funds were supposed to have been used to pay the First Applicant’s creditors but were not.</w:t>
      </w:r>
    </w:p>
    <w:p w14:paraId="4FE3AEF5" w14:textId="77777777" w:rsidR="006102C8" w:rsidRPr="006102C8" w:rsidRDefault="006102C8" w:rsidP="006102C8">
      <w:pPr>
        <w:pStyle w:val="ListParagraph"/>
        <w:spacing w:after="0" w:line="480" w:lineRule="auto"/>
        <w:ind w:left="0"/>
      </w:pPr>
    </w:p>
    <w:p w14:paraId="75C9CA62" w14:textId="7B9C22B5" w:rsidR="009860C9" w:rsidRPr="006102C8" w:rsidRDefault="006102C8" w:rsidP="003156FB">
      <w:pPr>
        <w:pStyle w:val="ListParagraph"/>
        <w:numPr>
          <w:ilvl w:val="0"/>
          <w:numId w:val="1"/>
        </w:numPr>
        <w:spacing w:after="0" w:line="480" w:lineRule="auto"/>
      </w:pPr>
      <w:r>
        <w:rPr>
          <w:rFonts w:ascii="Arial" w:hAnsi="Arial" w:cs="Arial"/>
          <w:sz w:val="24"/>
          <w:szCs w:val="24"/>
        </w:rPr>
        <w:t>The Applicants had previously sought a similar order under case number 13828/2023 against the First Respondent and the Conveyancing Attorneys who were attending to the transfer of her property. An order was obtained</w:t>
      </w:r>
      <w:r w:rsidR="00B47ED1">
        <w:rPr>
          <w:rFonts w:ascii="Arial" w:hAnsi="Arial" w:cs="Arial"/>
          <w:sz w:val="24"/>
          <w:szCs w:val="24"/>
        </w:rPr>
        <w:t>.</w:t>
      </w:r>
      <w:r>
        <w:rPr>
          <w:rFonts w:ascii="Arial" w:hAnsi="Arial" w:cs="Arial"/>
          <w:sz w:val="24"/>
          <w:szCs w:val="24"/>
        </w:rPr>
        <w:t xml:space="preserve"> </w:t>
      </w:r>
      <w:r w:rsidR="00B47ED1">
        <w:rPr>
          <w:rFonts w:ascii="Arial" w:hAnsi="Arial" w:cs="Arial"/>
          <w:sz w:val="24"/>
          <w:szCs w:val="24"/>
        </w:rPr>
        <w:t>H</w:t>
      </w:r>
      <w:r>
        <w:rPr>
          <w:rFonts w:ascii="Arial" w:hAnsi="Arial" w:cs="Arial"/>
          <w:sz w:val="24"/>
          <w:szCs w:val="24"/>
        </w:rPr>
        <w:t>owever</w:t>
      </w:r>
      <w:r w:rsidR="00B47ED1">
        <w:rPr>
          <w:rFonts w:ascii="Arial" w:hAnsi="Arial" w:cs="Arial"/>
          <w:sz w:val="24"/>
          <w:szCs w:val="24"/>
        </w:rPr>
        <w:t>,</w:t>
      </w:r>
      <w:r>
        <w:rPr>
          <w:rFonts w:ascii="Arial" w:hAnsi="Arial" w:cs="Arial"/>
          <w:sz w:val="24"/>
          <w:szCs w:val="24"/>
        </w:rPr>
        <w:t xml:space="preserve"> it was subsequently established that the Conveyancing Attorneys had paid over the proceeds of the sale of the property to ABSA Bank, the Second Respondent </w:t>
      </w:r>
      <w:r w:rsidRPr="009F5490">
        <w:rPr>
          <w:rFonts w:ascii="Arial" w:hAnsi="Arial" w:cs="Arial"/>
          <w:i/>
          <w:sz w:val="24"/>
          <w:szCs w:val="24"/>
        </w:rPr>
        <w:t>in casu</w:t>
      </w:r>
      <w:r>
        <w:rPr>
          <w:rFonts w:ascii="Arial" w:hAnsi="Arial" w:cs="Arial"/>
          <w:sz w:val="24"/>
          <w:szCs w:val="24"/>
        </w:rPr>
        <w:t xml:space="preserve">. </w:t>
      </w:r>
    </w:p>
    <w:p w14:paraId="5FC6D1BA" w14:textId="77777777" w:rsidR="001C7FF1" w:rsidRDefault="001C7FF1" w:rsidP="003156FB">
      <w:pPr>
        <w:pStyle w:val="ListParagraph"/>
        <w:spacing w:after="0" w:line="480" w:lineRule="auto"/>
        <w:ind w:left="0"/>
        <w:rPr>
          <w:rFonts w:ascii="Arial" w:hAnsi="Arial" w:cs="Arial"/>
          <w:b/>
          <w:sz w:val="24"/>
          <w:szCs w:val="24"/>
        </w:rPr>
      </w:pPr>
    </w:p>
    <w:p w14:paraId="3CEC0C52" w14:textId="2FEC7D08" w:rsidR="00630473" w:rsidRPr="00630473" w:rsidRDefault="00630473" w:rsidP="00630473">
      <w:pPr>
        <w:pStyle w:val="ListParagraph"/>
        <w:numPr>
          <w:ilvl w:val="0"/>
          <w:numId w:val="1"/>
        </w:numPr>
        <w:spacing w:line="480" w:lineRule="auto"/>
      </w:pPr>
      <w:r>
        <w:rPr>
          <w:rFonts w:ascii="Arial" w:hAnsi="Arial" w:cs="Arial"/>
          <w:sz w:val="24"/>
          <w:szCs w:val="24"/>
        </w:rPr>
        <w:lastRenderedPageBreak/>
        <w:t xml:space="preserve">The Applicant launched an urgent </w:t>
      </w:r>
      <w:r w:rsidRPr="009B22E1">
        <w:rPr>
          <w:rFonts w:ascii="Arial" w:hAnsi="Arial" w:cs="Arial"/>
          <w:i/>
          <w:sz w:val="24"/>
          <w:szCs w:val="24"/>
        </w:rPr>
        <w:t>ex parte</w:t>
      </w:r>
      <w:r>
        <w:rPr>
          <w:rFonts w:ascii="Arial" w:hAnsi="Arial" w:cs="Arial"/>
          <w:sz w:val="24"/>
          <w:szCs w:val="24"/>
        </w:rPr>
        <w:t xml:space="preserve"> application to attach funds of the First Respondent situated within the Republic of South Africa, and specifically being held in a bank account by the Second Respondent or such other investment, savings or other account in the name of the First Respondent held with the Second Respondent</w:t>
      </w:r>
      <w:r w:rsidR="00B47ED1">
        <w:rPr>
          <w:rFonts w:ascii="Arial" w:hAnsi="Arial" w:cs="Arial"/>
          <w:sz w:val="24"/>
          <w:szCs w:val="24"/>
        </w:rPr>
        <w:t>. The purpose of the application is</w:t>
      </w:r>
      <w:r>
        <w:rPr>
          <w:rFonts w:ascii="Arial" w:hAnsi="Arial" w:cs="Arial"/>
          <w:sz w:val="24"/>
          <w:szCs w:val="24"/>
        </w:rPr>
        <w:t xml:space="preserve">  to confirm jurisdiction in respect of the action instituted against the First Respondent and Mr. Ferreira for payment of damages and/or recovery of assets allegedly misappropriated pursuant to various dispositions without value and collusive dealings committed by the First Respondent and Mr. Ferreira against the Applicants. </w:t>
      </w:r>
    </w:p>
    <w:p w14:paraId="7870A7F8" w14:textId="172279A6" w:rsidR="00630473" w:rsidRPr="009B22E1" w:rsidRDefault="00630473" w:rsidP="00630473">
      <w:pPr>
        <w:pStyle w:val="ListParagraph"/>
        <w:spacing w:line="480" w:lineRule="auto"/>
        <w:ind w:left="0"/>
      </w:pPr>
    </w:p>
    <w:p w14:paraId="33227C0F" w14:textId="60F4E83A" w:rsidR="00630473" w:rsidRPr="00A8105A" w:rsidRDefault="00630473" w:rsidP="00630473">
      <w:pPr>
        <w:pStyle w:val="ListParagraph"/>
        <w:numPr>
          <w:ilvl w:val="0"/>
          <w:numId w:val="1"/>
        </w:numPr>
        <w:spacing w:line="480" w:lineRule="auto"/>
      </w:pPr>
      <w:r>
        <w:rPr>
          <w:rFonts w:ascii="Arial" w:hAnsi="Arial" w:cs="Arial"/>
          <w:sz w:val="24"/>
          <w:szCs w:val="24"/>
        </w:rPr>
        <w:t>An interim order was obt</w:t>
      </w:r>
      <w:r w:rsidR="00FC0158">
        <w:rPr>
          <w:rFonts w:ascii="Arial" w:hAnsi="Arial" w:cs="Arial"/>
          <w:sz w:val="24"/>
          <w:szCs w:val="24"/>
        </w:rPr>
        <w:t>ained on 24</w:t>
      </w:r>
      <w:r>
        <w:rPr>
          <w:rFonts w:ascii="Arial" w:hAnsi="Arial" w:cs="Arial"/>
          <w:sz w:val="24"/>
          <w:szCs w:val="24"/>
        </w:rPr>
        <w:t xml:space="preserve"> August 2023 in the following terms:</w:t>
      </w:r>
    </w:p>
    <w:p w14:paraId="4CFE1B8C" w14:textId="77777777" w:rsidR="00630473" w:rsidRDefault="00630473" w:rsidP="00630473">
      <w:pPr>
        <w:pStyle w:val="ListParagraph"/>
        <w:spacing w:line="480" w:lineRule="auto"/>
        <w:ind w:right="720"/>
        <w:rPr>
          <w:rFonts w:ascii="Arial" w:hAnsi="Arial" w:cs="Arial"/>
          <w:i/>
        </w:rPr>
      </w:pPr>
      <w:r>
        <w:rPr>
          <w:rFonts w:ascii="Arial" w:hAnsi="Arial" w:cs="Arial"/>
          <w:i/>
        </w:rPr>
        <w:t>‘1.</w:t>
      </w:r>
      <w:r>
        <w:rPr>
          <w:rFonts w:ascii="Arial" w:hAnsi="Arial" w:cs="Arial"/>
          <w:i/>
        </w:rPr>
        <w:tab/>
        <w:t xml:space="preserve">The proceeds of the sale of the property, being Unit 22 Villa Fontana, </w:t>
      </w:r>
      <w:r>
        <w:rPr>
          <w:rFonts w:ascii="Arial" w:hAnsi="Arial" w:cs="Arial"/>
          <w:i/>
        </w:rPr>
        <w:tab/>
        <w:t xml:space="preserve">Yzerfontein, 7351 or such amount as may be retained in the bank </w:t>
      </w:r>
      <w:r>
        <w:rPr>
          <w:rFonts w:ascii="Arial" w:hAnsi="Arial" w:cs="Arial"/>
          <w:i/>
        </w:rPr>
        <w:tab/>
        <w:t xml:space="preserve">account of the First Respondent held with the Second Respondent, </w:t>
      </w:r>
      <w:r>
        <w:rPr>
          <w:rFonts w:ascii="Arial" w:hAnsi="Arial" w:cs="Arial"/>
          <w:i/>
        </w:rPr>
        <w:tab/>
        <w:t xml:space="preserve">with account number 730320809, or any other investment, savings or </w:t>
      </w:r>
      <w:r>
        <w:rPr>
          <w:rFonts w:ascii="Arial" w:hAnsi="Arial" w:cs="Arial"/>
          <w:i/>
        </w:rPr>
        <w:tab/>
        <w:t xml:space="preserve">other account the First Respondent holds with the Second </w:t>
      </w:r>
      <w:r>
        <w:rPr>
          <w:rFonts w:ascii="Arial" w:hAnsi="Arial" w:cs="Arial"/>
          <w:i/>
        </w:rPr>
        <w:tab/>
        <w:t xml:space="preserve">Respondent, into which the First Respondent may have deposited the </w:t>
      </w:r>
      <w:r>
        <w:rPr>
          <w:rFonts w:ascii="Arial" w:hAnsi="Arial" w:cs="Arial"/>
          <w:i/>
        </w:rPr>
        <w:tab/>
        <w:t xml:space="preserve">funds from the sale of the property, limited to the amount of </w:t>
      </w:r>
      <w:r>
        <w:rPr>
          <w:rFonts w:ascii="Arial" w:hAnsi="Arial" w:cs="Arial"/>
          <w:i/>
        </w:rPr>
        <w:tab/>
        <w:t xml:space="preserve">R2 250 000.00 </w:t>
      </w:r>
      <w:r>
        <w:rPr>
          <w:rFonts w:ascii="Arial" w:hAnsi="Arial" w:cs="Arial"/>
          <w:b/>
          <w:i/>
        </w:rPr>
        <w:t>(“the funds”)</w:t>
      </w:r>
      <w:r>
        <w:rPr>
          <w:rFonts w:ascii="Arial" w:hAnsi="Arial" w:cs="Arial"/>
          <w:i/>
        </w:rPr>
        <w:t xml:space="preserve">, are attached to confirm jurisdiction in </w:t>
      </w:r>
      <w:r>
        <w:rPr>
          <w:rFonts w:ascii="Arial" w:hAnsi="Arial" w:cs="Arial"/>
          <w:i/>
        </w:rPr>
        <w:tab/>
        <w:t xml:space="preserve">respect of the action instituted by the Applicant against the First </w:t>
      </w:r>
      <w:r>
        <w:rPr>
          <w:rFonts w:ascii="Arial" w:hAnsi="Arial" w:cs="Arial"/>
          <w:i/>
        </w:rPr>
        <w:tab/>
        <w:t xml:space="preserve">Respondent and Mr. Gilbert Hermanus Ferreira, under Western Cape </w:t>
      </w:r>
      <w:r>
        <w:rPr>
          <w:rFonts w:ascii="Arial" w:hAnsi="Arial" w:cs="Arial"/>
          <w:i/>
        </w:rPr>
        <w:tab/>
        <w:t xml:space="preserve">High Court case number 12070/23 or such similar proceedings to be </w:t>
      </w:r>
      <w:r>
        <w:rPr>
          <w:rFonts w:ascii="Arial" w:hAnsi="Arial" w:cs="Arial"/>
          <w:i/>
        </w:rPr>
        <w:tab/>
        <w:t xml:space="preserve">instituted in due course </w:t>
      </w:r>
      <w:r>
        <w:rPr>
          <w:rFonts w:ascii="Arial" w:hAnsi="Arial" w:cs="Arial"/>
          <w:b/>
          <w:i/>
        </w:rPr>
        <w:t>(“the action proceedings”)</w:t>
      </w:r>
      <w:r>
        <w:rPr>
          <w:rFonts w:ascii="Arial" w:hAnsi="Arial" w:cs="Arial"/>
          <w:i/>
        </w:rPr>
        <w:t>.</w:t>
      </w:r>
    </w:p>
    <w:p w14:paraId="4B73AA5E" w14:textId="77777777" w:rsidR="00630473" w:rsidRDefault="00630473" w:rsidP="00630473">
      <w:pPr>
        <w:pStyle w:val="ListParagraph"/>
        <w:spacing w:line="480" w:lineRule="auto"/>
        <w:ind w:right="720"/>
        <w:rPr>
          <w:rFonts w:ascii="Arial" w:hAnsi="Arial" w:cs="Arial"/>
          <w:i/>
        </w:rPr>
      </w:pPr>
    </w:p>
    <w:p w14:paraId="2F5BB031" w14:textId="77777777" w:rsidR="00630473" w:rsidRDefault="00630473" w:rsidP="00630473">
      <w:pPr>
        <w:pStyle w:val="ListParagraph"/>
        <w:spacing w:line="480" w:lineRule="auto"/>
        <w:ind w:right="720"/>
        <w:rPr>
          <w:rFonts w:ascii="Arial" w:hAnsi="Arial" w:cs="Arial"/>
          <w:i/>
        </w:rPr>
      </w:pPr>
      <w:r>
        <w:rPr>
          <w:rFonts w:ascii="Arial" w:hAnsi="Arial" w:cs="Arial"/>
          <w:i/>
        </w:rPr>
        <w:t>2.</w:t>
      </w:r>
      <w:r>
        <w:rPr>
          <w:rFonts w:ascii="Arial" w:hAnsi="Arial" w:cs="Arial"/>
          <w:i/>
        </w:rPr>
        <w:tab/>
        <w:t xml:space="preserve">The Second Respondent is directed, as soon as possible, to furnish to </w:t>
      </w:r>
      <w:r>
        <w:rPr>
          <w:rFonts w:ascii="Arial" w:hAnsi="Arial" w:cs="Arial"/>
          <w:i/>
        </w:rPr>
        <w:tab/>
        <w:t xml:space="preserve">the Sheriff of this Court all such information pertaining to the funds as </w:t>
      </w:r>
      <w:r>
        <w:rPr>
          <w:rFonts w:ascii="Arial" w:hAnsi="Arial" w:cs="Arial"/>
          <w:i/>
        </w:rPr>
        <w:lastRenderedPageBreak/>
        <w:tab/>
        <w:t xml:space="preserve">may assist the Sheriff to effect an attachment without impacting the </w:t>
      </w:r>
      <w:r>
        <w:rPr>
          <w:rFonts w:ascii="Arial" w:hAnsi="Arial" w:cs="Arial"/>
          <w:i/>
        </w:rPr>
        <w:tab/>
        <w:t>Second Respondent’s operation of its accounts….</w:t>
      </w:r>
    </w:p>
    <w:p w14:paraId="042A7782" w14:textId="2D76879A" w:rsidR="001C7FF1" w:rsidRDefault="001C7FF1" w:rsidP="003156FB">
      <w:pPr>
        <w:pStyle w:val="ListParagraph"/>
        <w:spacing w:after="0" w:line="480" w:lineRule="auto"/>
        <w:ind w:left="0"/>
        <w:rPr>
          <w:rFonts w:ascii="Arial" w:hAnsi="Arial" w:cs="Arial"/>
          <w:b/>
          <w:sz w:val="24"/>
          <w:szCs w:val="24"/>
        </w:rPr>
      </w:pPr>
    </w:p>
    <w:p w14:paraId="4B1B46E3" w14:textId="3B2916E2" w:rsidR="003156FB" w:rsidRPr="009860C9" w:rsidRDefault="001C7FF1" w:rsidP="003156FB">
      <w:pPr>
        <w:pStyle w:val="ListParagraph"/>
        <w:spacing w:after="0" w:line="480" w:lineRule="auto"/>
        <w:ind w:left="0"/>
        <w:rPr>
          <w:rFonts w:ascii="Arial" w:hAnsi="Arial" w:cs="Arial"/>
          <w:b/>
          <w:sz w:val="24"/>
          <w:szCs w:val="24"/>
        </w:rPr>
      </w:pPr>
      <w:r>
        <w:rPr>
          <w:rFonts w:ascii="Arial" w:hAnsi="Arial" w:cs="Arial"/>
          <w:b/>
          <w:sz w:val="24"/>
          <w:szCs w:val="24"/>
        </w:rPr>
        <w:t xml:space="preserve">The </w:t>
      </w:r>
      <w:r w:rsidR="009860C9">
        <w:rPr>
          <w:rFonts w:ascii="Arial" w:hAnsi="Arial" w:cs="Arial"/>
          <w:b/>
          <w:sz w:val="24"/>
          <w:szCs w:val="24"/>
        </w:rPr>
        <w:t>Applicants</w:t>
      </w:r>
      <w:r w:rsidR="00F54BEB">
        <w:rPr>
          <w:rFonts w:ascii="Arial" w:hAnsi="Arial" w:cs="Arial"/>
          <w:b/>
          <w:sz w:val="24"/>
          <w:szCs w:val="24"/>
        </w:rPr>
        <w:t>’</w:t>
      </w:r>
      <w:r w:rsidR="009860C9">
        <w:rPr>
          <w:rFonts w:ascii="Arial" w:hAnsi="Arial" w:cs="Arial"/>
          <w:b/>
          <w:sz w:val="24"/>
          <w:szCs w:val="24"/>
        </w:rPr>
        <w:t xml:space="preserve"> principal submissions</w:t>
      </w:r>
    </w:p>
    <w:p w14:paraId="7C57E5B9" w14:textId="77777777" w:rsidR="00AE74B6" w:rsidRPr="00AE74B6" w:rsidRDefault="0068290C" w:rsidP="003156FB">
      <w:pPr>
        <w:pStyle w:val="ListParagraph"/>
        <w:numPr>
          <w:ilvl w:val="0"/>
          <w:numId w:val="1"/>
        </w:numPr>
        <w:spacing w:after="0" w:line="480" w:lineRule="auto"/>
      </w:pPr>
      <w:r>
        <w:rPr>
          <w:rFonts w:ascii="Arial" w:hAnsi="Arial" w:cs="Arial"/>
          <w:sz w:val="24"/>
          <w:szCs w:val="24"/>
        </w:rPr>
        <w:t xml:space="preserve">The Applicants </w:t>
      </w:r>
      <w:r w:rsidR="003156FB">
        <w:rPr>
          <w:rFonts w:ascii="Arial" w:hAnsi="Arial" w:cs="Arial"/>
          <w:sz w:val="24"/>
          <w:szCs w:val="24"/>
        </w:rPr>
        <w:t>allege, that during the said renovations, the First Respondent</w:t>
      </w:r>
      <w:r w:rsidR="000C0152">
        <w:rPr>
          <w:rFonts w:ascii="Arial" w:hAnsi="Arial" w:cs="Arial"/>
          <w:sz w:val="24"/>
          <w:szCs w:val="24"/>
        </w:rPr>
        <w:t xml:space="preserve"> paid Mr. Ferreira various amounts on separate occasions which totalled </w:t>
      </w:r>
      <w:r w:rsidR="003156FB">
        <w:rPr>
          <w:rFonts w:ascii="Arial" w:hAnsi="Arial" w:cs="Arial"/>
          <w:sz w:val="24"/>
          <w:szCs w:val="24"/>
        </w:rPr>
        <w:t>R250 000 for the renovations, while being aware at all material times</w:t>
      </w:r>
      <w:r w:rsidR="00AE74B6">
        <w:rPr>
          <w:rFonts w:ascii="Arial" w:hAnsi="Arial" w:cs="Arial"/>
          <w:sz w:val="24"/>
          <w:szCs w:val="24"/>
        </w:rPr>
        <w:t>:</w:t>
      </w:r>
    </w:p>
    <w:p w14:paraId="38019715" w14:textId="56FD5AB3" w:rsidR="00AE74B6" w:rsidRPr="00AE74B6" w:rsidRDefault="003156FB" w:rsidP="00AE74B6">
      <w:pPr>
        <w:pStyle w:val="ListParagraph"/>
        <w:numPr>
          <w:ilvl w:val="0"/>
          <w:numId w:val="35"/>
        </w:numPr>
        <w:spacing w:after="0" w:line="480" w:lineRule="auto"/>
      </w:pPr>
      <w:r>
        <w:rPr>
          <w:rFonts w:ascii="Arial" w:hAnsi="Arial" w:cs="Arial"/>
          <w:sz w:val="24"/>
          <w:szCs w:val="24"/>
        </w:rPr>
        <w:t>of his commercial and factu</w:t>
      </w:r>
      <w:r w:rsidR="00AE74B6">
        <w:rPr>
          <w:rFonts w:ascii="Arial" w:hAnsi="Arial" w:cs="Arial"/>
          <w:sz w:val="24"/>
          <w:szCs w:val="24"/>
        </w:rPr>
        <w:t>al insolvency;</w:t>
      </w:r>
    </w:p>
    <w:p w14:paraId="36E4A815" w14:textId="1E855860" w:rsidR="00AE74B6" w:rsidRPr="00AE74B6" w:rsidRDefault="005320E4" w:rsidP="00AE74B6">
      <w:pPr>
        <w:pStyle w:val="ListParagraph"/>
        <w:numPr>
          <w:ilvl w:val="0"/>
          <w:numId w:val="35"/>
        </w:numPr>
        <w:spacing w:after="0" w:line="480" w:lineRule="auto"/>
      </w:pPr>
      <w:r>
        <w:rPr>
          <w:rFonts w:ascii="Arial" w:hAnsi="Arial" w:cs="Arial"/>
          <w:sz w:val="24"/>
          <w:szCs w:val="24"/>
        </w:rPr>
        <w:t>that his</w:t>
      </w:r>
      <w:r w:rsidR="00AE74B6">
        <w:rPr>
          <w:rFonts w:ascii="Arial" w:hAnsi="Arial" w:cs="Arial"/>
          <w:sz w:val="24"/>
          <w:szCs w:val="24"/>
        </w:rPr>
        <w:t xml:space="preserve"> estate was under sequestration;</w:t>
      </w:r>
    </w:p>
    <w:p w14:paraId="6908F608" w14:textId="7C9C24C0" w:rsidR="00AE74B6" w:rsidRPr="00AE74B6" w:rsidRDefault="005320E4" w:rsidP="00AE74B6">
      <w:pPr>
        <w:pStyle w:val="ListParagraph"/>
        <w:numPr>
          <w:ilvl w:val="0"/>
          <w:numId w:val="35"/>
        </w:numPr>
        <w:spacing w:after="0" w:line="480" w:lineRule="auto"/>
      </w:pPr>
      <w:r>
        <w:rPr>
          <w:rFonts w:ascii="Arial" w:hAnsi="Arial" w:cs="Arial"/>
          <w:sz w:val="24"/>
          <w:szCs w:val="24"/>
        </w:rPr>
        <w:t xml:space="preserve">that his company was in liquidation, and </w:t>
      </w:r>
    </w:p>
    <w:p w14:paraId="03A6BD81" w14:textId="162A20C9" w:rsidR="00AE74B6" w:rsidRDefault="00F54BEB" w:rsidP="00AE74B6">
      <w:pPr>
        <w:pStyle w:val="ListParagraph"/>
        <w:numPr>
          <w:ilvl w:val="0"/>
          <w:numId w:val="35"/>
        </w:numPr>
        <w:spacing w:after="0" w:line="480" w:lineRule="auto"/>
      </w:pPr>
      <w:r>
        <w:rPr>
          <w:rFonts w:ascii="Arial" w:hAnsi="Arial" w:cs="Arial"/>
          <w:sz w:val="24"/>
          <w:szCs w:val="24"/>
        </w:rPr>
        <w:t xml:space="preserve"> </w:t>
      </w:r>
      <w:r w:rsidR="005320E4">
        <w:rPr>
          <w:rFonts w:ascii="Arial" w:hAnsi="Arial" w:cs="Arial"/>
          <w:sz w:val="24"/>
          <w:szCs w:val="24"/>
        </w:rPr>
        <w:t xml:space="preserve">that he was indebted to Darling Brewery (Pty) Ltd, being the owner of the premises which his company rented for about R1 125 117.49. </w:t>
      </w:r>
    </w:p>
    <w:p w14:paraId="27244D16" w14:textId="77777777" w:rsidR="00AE74B6" w:rsidRPr="00AE74B6" w:rsidRDefault="00AE74B6" w:rsidP="00AE74B6">
      <w:pPr>
        <w:pStyle w:val="ListParagraph"/>
        <w:spacing w:after="0" w:line="480" w:lineRule="auto"/>
      </w:pPr>
    </w:p>
    <w:p w14:paraId="1B571422" w14:textId="0D3ADDB4" w:rsidR="003156FB" w:rsidRPr="005320E4" w:rsidRDefault="005320E4" w:rsidP="003156FB">
      <w:pPr>
        <w:pStyle w:val="ListParagraph"/>
        <w:numPr>
          <w:ilvl w:val="0"/>
          <w:numId w:val="1"/>
        </w:numPr>
        <w:spacing w:after="0" w:line="480" w:lineRule="auto"/>
      </w:pPr>
      <w:r>
        <w:rPr>
          <w:rFonts w:ascii="Arial" w:hAnsi="Arial" w:cs="Arial"/>
          <w:sz w:val="24"/>
          <w:szCs w:val="24"/>
        </w:rPr>
        <w:t>The Applicants furthermore allege that the First Respondent sold the property for a substantial profit based on the renovation effected and used the proceeds to advance a loan of R2 000 000 to Mr. Ferreira’s wife.</w:t>
      </w:r>
    </w:p>
    <w:p w14:paraId="5FE7AA16" w14:textId="77777777" w:rsidR="005320E4" w:rsidRDefault="005320E4" w:rsidP="005320E4">
      <w:pPr>
        <w:pStyle w:val="ListParagraph"/>
      </w:pPr>
    </w:p>
    <w:p w14:paraId="52A1970E" w14:textId="73C52B61" w:rsidR="005320E4" w:rsidRPr="003156FB" w:rsidRDefault="005320E4" w:rsidP="003156FB">
      <w:pPr>
        <w:pStyle w:val="ListParagraph"/>
        <w:numPr>
          <w:ilvl w:val="0"/>
          <w:numId w:val="1"/>
        </w:numPr>
        <w:spacing w:after="0" w:line="480" w:lineRule="auto"/>
      </w:pPr>
      <w:r>
        <w:rPr>
          <w:rFonts w:ascii="Arial" w:hAnsi="Arial" w:cs="Arial"/>
          <w:sz w:val="24"/>
          <w:szCs w:val="24"/>
        </w:rPr>
        <w:t>According to the Applicants, this was a sham transaction, to effectively channel money to Mr Ferreira and was never intended to be repaid as those</w:t>
      </w:r>
      <w:r w:rsidR="002C0137">
        <w:rPr>
          <w:rFonts w:ascii="Arial" w:hAnsi="Arial" w:cs="Arial"/>
          <w:sz w:val="24"/>
          <w:szCs w:val="24"/>
        </w:rPr>
        <w:t xml:space="preserve"> transactions were designed to move funds from Mr Ferreira and the First Applicant to other family members, such as the First Respondent to defraud creditors.</w:t>
      </w:r>
    </w:p>
    <w:p w14:paraId="1F1149C8" w14:textId="065F4CEB" w:rsidR="00176C97" w:rsidRDefault="00176C97" w:rsidP="00176C97">
      <w:pPr>
        <w:pStyle w:val="ListParagraph"/>
        <w:spacing w:after="0" w:line="480" w:lineRule="auto"/>
        <w:ind w:left="0"/>
        <w:rPr>
          <w:rFonts w:ascii="Arial" w:hAnsi="Arial" w:cs="Arial"/>
          <w:b/>
          <w:sz w:val="24"/>
          <w:szCs w:val="24"/>
        </w:rPr>
      </w:pPr>
    </w:p>
    <w:p w14:paraId="33061DC6" w14:textId="3A95927C" w:rsidR="008E35BD" w:rsidRPr="00A23C22" w:rsidRDefault="001C7FF1" w:rsidP="00176C97">
      <w:pPr>
        <w:pStyle w:val="ListParagraph"/>
        <w:spacing w:after="0" w:line="480" w:lineRule="auto"/>
        <w:ind w:left="0"/>
      </w:pPr>
      <w:r>
        <w:rPr>
          <w:rFonts w:ascii="Arial" w:hAnsi="Arial" w:cs="Arial"/>
          <w:b/>
          <w:sz w:val="24"/>
          <w:szCs w:val="24"/>
        </w:rPr>
        <w:t xml:space="preserve">The </w:t>
      </w:r>
      <w:r w:rsidR="00D0547F">
        <w:rPr>
          <w:rFonts w:ascii="Arial" w:hAnsi="Arial" w:cs="Arial"/>
          <w:b/>
          <w:sz w:val="24"/>
          <w:szCs w:val="24"/>
        </w:rPr>
        <w:t>First Res</w:t>
      </w:r>
      <w:r w:rsidR="006102C8">
        <w:rPr>
          <w:rFonts w:ascii="Arial" w:hAnsi="Arial" w:cs="Arial"/>
          <w:b/>
          <w:sz w:val="24"/>
          <w:szCs w:val="24"/>
        </w:rPr>
        <w:t>pondent’s principal submissions</w:t>
      </w:r>
    </w:p>
    <w:p w14:paraId="22A3DF90" w14:textId="1BDEE167" w:rsidR="004E0835" w:rsidRPr="004E0835" w:rsidRDefault="004E0835" w:rsidP="002A3A8C">
      <w:pPr>
        <w:pStyle w:val="ListParagraph"/>
        <w:numPr>
          <w:ilvl w:val="0"/>
          <w:numId w:val="1"/>
        </w:numPr>
        <w:spacing w:line="480" w:lineRule="auto"/>
        <w:jc w:val="both"/>
        <w:rPr>
          <w:rFonts w:ascii="Arial" w:hAnsi="Arial" w:cs="Arial"/>
          <w:b/>
          <w:sz w:val="24"/>
          <w:szCs w:val="24"/>
        </w:rPr>
      </w:pPr>
      <w:r>
        <w:rPr>
          <w:rFonts w:ascii="Arial" w:hAnsi="Arial" w:cs="Arial"/>
          <w:sz w:val="24"/>
          <w:szCs w:val="24"/>
        </w:rPr>
        <w:t>The</w:t>
      </w:r>
      <w:r w:rsidR="00317B6D">
        <w:rPr>
          <w:rFonts w:ascii="Arial" w:hAnsi="Arial" w:cs="Arial"/>
          <w:sz w:val="24"/>
          <w:szCs w:val="24"/>
        </w:rPr>
        <w:t xml:space="preserve"> principal submissions of the</w:t>
      </w:r>
      <w:r>
        <w:rPr>
          <w:rFonts w:ascii="Arial" w:hAnsi="Arial" w:cs="Arial"/>
          <w:sz w:val="24"/>
          <w:szCs w:val="24"/>
        </w:rPr>
        <w:t xml:space="preserve"> First Respondent</w:t>
      </w:r>
      <w:r w:rsidR="000F3BF8">
        <w:rPr>
          <w:rFonts w:ascii="Arial" w:hAnsi="Arial" w:cs="Arial"/>
          <w:sz w:val="24"/>
          <w:szCs w:val="24"/>
        </w:rPr>
        <w:t xml:space="preserve"> can be summarised as follows. The First Respondent</w:t>
      </w:r>
      <w:r>
        <w:rPr>
          <w:rFonts w:ascii="Arial" w:hAnsi="Arial" w:cs="Arial"/>
          <w:sz w:val="24"/>
          <w:szCs w:val="24"/>
        </w:rPr>
        <w:t xml:space="preserve"> denies:</w:t>
      </w:r>
    </w:p>
    <w:p w14:paraId="5267ECFA" w14:textId="69D813C0" w:rsidR="002A3A8C" w:rsidRPr="004E0835" w:rsidRDefault="00AD2D18" w:rsidP="00AD2D18">
      <w:pPr>
        <w:pStyle w:val="ListParagraph"/>
        <w:numPr>
          <w:ilvl w:val="0"/>
          <w:numId w:val="13"/>
        </w:numPr>
        <w:spacing w:line="480" w:lineRule="auto"/>
        <w:jc w:val="both"/>
        <w:rPr>
          <w:rFonts w:ascii="Arial" w:hAnsi="Arial" w:cs="Arial"/>
          <w:b/>
          <w:sz w:val="24"/>
          <w:szCs w:val="24"/>
        </w:rPr>
      </w:pPr>
      <w:r>
        <w:rPr>
          <w:rFonts w:ascii="Arial" w:hAnsi="Arial" w:cs="Arial"/>
          <w:sz w:val="24"/>
          <w:szCs w:val="24"/>
        </w:rPr>
        <w:t xml:space="preserve">that </w:t>
      </w:r>
      <w:r w:rsidR="00EE5582">
        <w:rPr>
          <w:rFonts w:ascii="Arial" w:hAnsi="Arial" w:cs="Arial"/>
          <w:sz w:val="24"/>
          <w:szCs w:val="24"/>
        </w:rPr>
        <w:t>the Applicants have any legitimate or enforceable claim against</w:t>
      </w:r>
      <w:r>
        <w:rPr>
          <w:rFonts w:ascii="Arial" w:hAnsi="Arial" w:cs="Arial"/>
          <w:sz w:val="24"/>
          <w:szCs w:val="24"/>
        </w:rPr>
        <w:t xml:space="preserve"> her;  </w:t>
      </w:r>
    </w:p>
    <w:p w14:paraId="21B6188B" w14:textId="46047AC7" w:rsidR="002A3A8C" w:rsidRPr="002A3A8C" w:rsidRDefault="00AD2D18" w:rsidP="004E0835">
      <w:pPr>
        <w:pStyle w:val="ListParagraph"/>
        <w:numPr>
          <w:ilvl w:val="0"/>
          <w:numId w:val="13"/>
        </w:numPr>
        <w:spacing w:line="480" w:lineRule="auto"/>
        <w:jc w:val="both"/>
        <w:rPr>
          <w:rFonts w:ascii="Arial" w:hAnsi="Arial" w:cs="Arial"/>
          <w:b/>
          <w:sz w:val="24"/>
          <w:szCs w:val="24"/>
        </w:rPr>
      </w:pPr>
      <w:r>
        <w:rPr>
          <w:rFonts w:ascii="Arial" w:hAnsi="Arial" w:cs="Arial"/>
          <w:sz w:val="24"/>
          <w:szCs w:val="24"/>
        </w:rPr>
        <w:lastRenderedPageBreak/>
        <w:t xml:space="preserve">that </w:t>
      </w:r>
      <w:r w:rsidR="00B91214" w:rsidRPr="002A3A8C">
        <w:rPr>
          <w:rFonts w:ascii="Arial" w:hAnsi="Arial" w:cs="Arial"/>
          <w:sz w:val="24"/>
          <w:szCs w:val="24"/>
        </w:rPr>
        <w:t>there were any paym</w:t>
      </w:r>
      <w:r>
        <w:rPr>
          <w:rFonts w:ascii="Arial" w:hAnsi="Arial" w:cs="Arial"/>
          <w:sz w:val="24"/>
          <w:szCs w:val="24"/>
        </w:rPr>
        <w:t>ents made by Mr Ferreira to her;</w:t>
      </w:r>
    </w:p>
    <w:p w14:paraId="29C086BE" w14:textId="2657F0EC" w:rsidR="002A3A8C" w:rsidRPr="002A3A8C" w:rsidRDefault="00B91214" w:rsidP="004E0835">
      <w:pPr>
        <w:pStyle w:val="ListParagraph"/>
        <w:numPr>
          <w:ilvl w:val="0"/>
          <w:numId w:val="13"/>
        </w:numPr>
        <w:spacing w:line="480" w:lineRule="auto"/>
        <w:jc w:val="both"/>
        <w:rPr>
          <w:rFonts w:ascii="Arial" w:hAnsi="Arial" w:cs="Arial"/>
          <w:b/>
          <w:sz w:val="24"/>
          <w:szCs w:val="24"/>
        </w:rPr>
      </w:pPr>
      <w:r w:rsidRPr="002A3A8C">
        <w:rPr>
          <w:rFonts w:ascii="Arial" w:hAnsi="Arial" w:cs="Arial"/>
          <w:sz w:val="24"/>
          <w:szCs w:val="24"/>
        </w:rPr>
        <w:t>having received any money directly or indirectly fro</w:t>
      </w:r>
      <w:r w:rsidR="007A380A">
        <w:rPr>
          <w:rFonts w:ascii="Arial" w:hAnsi="Arial" w:cs="Arial"/>
          <w:sz w:val="24"/>
          <w:szCs w:val="24"/>
        </w:rPr>
        <w:t>m the First Applicant</w:t>
      </w:r>
      <w:r w:rsidR="00C55AC2">
        <w:rPr>
          <w:rFonts w:ascii="Arial" w:hAnsi="Arial" w:cs="Arial"/>
          <w:sz w:val="24"/>
          <w:szCs w:val="24"/>
        </w:rPr>
        <w:t>;</w:t>
      </w:r>
    </w:p>
    <w:p w14:paraId="64BD7FDF" w14:textId="5CC5148A" w:rsidR="002A3A8C" w:rsidRDefault="00B91214" w:rsidP="004E0835">
      <w:pPr>
        <w:pStyle w:val="ListParagraph"/>
        <w:numPr>
          <w:ilvl w:val="0"/>
          <w:numId w:val="13"/>
        </w:numPr>
        <w:spacing w:line="480" w:lineRule="auto"/>
        <w:jc w:val="both"/>
        <w:rPr>
          <w:rFonts w:ascii="Arial" w:hAnsi="Arial" w:cs="Arial"/>
          <w:b/>
          <w:sz w:val="24"/>
          <w:szCs w:val="24"/>
        </w:rPr>
      </w:pPr>
      <w:r w:rsidRPr="002A3A8C">
        <w:rPr>
          <w:rFonts w:ascii="Arial" w:hAnsi="Arial" w:cs="Arial"/>
          <w:sz w:val="24"/>
          <w:szCs w:val="24"/>
        </w:rPr>
        <w:t>that an</w:t>
      </w:r>
      <w:r w:rsidR="00646334">
        <w:rPr>
          <w:rFonts w:ascii="Arial" w:hAnsi="Arial" w:cs="Arial"/>
          <w:sz w:val="24"/>
          <w:szCs w:val="24"/>
        </w:rPr>
        <w:t>y dispositions were made to her and</w:t>
      </w:r>
    </w:p>
    <w:p w14:paraId="6687F5AD" w14:textId="683811B2" w:rsidR="00BD7FA6" w:rsidRPr="0068290C" w:rsidRDefault="00C6475C" w:rsidP="00BD7FA6">
      <w:pPr>
        <w:pStyle w:val="ListParagraph"/>
        <w:numPr>
          <w:ilvl w:val="0"/>
          <w:numId w:val="13"/>
        </w:numPr>
        <w:spacing w:line="480" w:lineRule="auto"/>
        <w:jc w:val="both"/>
        <w:rPr>
          <w:rFonts w:ascii="Arial" w:hAnsi="Arial" w:cs="Arial"/>
          <w:b/>
          <w:sz w:val="24"/>
          <w:szCs w:val="24"/>
        </w:rPr>
      </w:pPr>
      <w:r w:rsidRPr="002A3A8C">
        <w:rPr>
          <w:rFonts w:ascii="Arial" w:hAnsi="Arial" w:cs="Arial"/>
          <w:sz w:val="24"/>
          <w:szCs w:val="24"/>
        </w:rPr>
        <w:t>that the loan made to</w:t>
      </w:r>
      <w:r w:rsidR="00EA1008">
        <w:rPr>
          <w:rFonts w:ascii="Arial" w:hAnsi="Arial" w:cs="Arial"/>
          <w:sz w:val="24"/>
          <w:szCs w:val="24"/>
        </w:rPr>
        <w:t xml:space="preserve"> he</w:t>
      </w:r>
      <w:r w:rsidR="00377D5B">
        <w:rPr>
          <w:rFonts w:ascii="Arial" w:hAnsi="Arial" w:cs="Arial"/>
          <w:sz w:val="24"/>
          <w:szCs w:val="24"/>
        </w:rPr>
        <w:t xml:space="preserve">r daughter-in-law </w:t>
      </w:r>
      <w:r w:rsidRPr="002A3A8C">
        <w:rPr>
          <w:rFonts w:ascii="Arial" w:hAnsi="Arial" w:cs="Arial"/>
          <w:sz w:val="24"/>
          <w:szCs w:val="24"/>
        </w:rPr>
        <w:t>was designed to move funds away from the insolvent</w:t>
      </w:r>
      <w:r w:rsidR="00377D5B">
        <w:rPr>
          <w:rFonts w:ascii="Arial" w:hAnsi="Arial" w:cs="Arial"/>
          <w:sz w:val="24"/>
          <w:szCs w:val="24"/>
        </w:rPr>
        <w:t>, Mr Ferreira</w:t>
      </w:r>
      <w:r w:rsidRPr="002A3A8C">
        <w:rPr>
          <w:rFonts w:ascii="Arial" w:hAnsi="Arial" w:cs="Arial"/>
          <w:sz w:val="24"/>
          <w:szCs w:val="24"/>
        </w:rPr>
        <w:t xml:space="preserve"> and the liquidated company</w:t>
      </w:r>
      <w:r w:rsidR="00377D5B">
        <w:rPr>
          <w:rFonts w:ascii="Arial" w:hAnsi="Arial" w:cs="Arial"/>
          <w:sz w:val="24"/>
          <w:szCs w:val="24"/>
        </w:rPr>
        <w:t>, the First Applicant,</w:t>
      </w:r>
      <w:r w:rsidRPr="002A3A8C">
        <w:rPr>
          <w:rFonts w:ascii="Arial" w:hAnsi="Arial" w:cs="Arial"/>
          <w:sz w:val="24"/>
          <w:szCs w:val="24"/>
        </w:rPr>
        <w:t xml:space="preserve"> where neither of them have or had a claim against the First Respondent arising from the alleged profit realised on the sale of the property which was sold in April 2019.</w:t>
      </w:r>
    </w:p>
    <w:p w14:paraId="4A0BBA52" w14:textId="77777777" w:rsidR="0068290C" w:rsidRPr="005133AD" w:rsidRDefault="0068290C" w:rsidP="0068290C">
      <w:pPr>
        <w:pStyle w:val="ListParagraph"/>
        <w:spacing w:line="480" w:lineRule="auto"/>
        <w:jc w:val="both"/>
        <w:rPr>
          <w:rFonts w:ascii="Arial" w:hAnsi="Arial" w:cs="Arial"/>
          <w:b/>
          <w:sz w:val="24"/>
          <w:szCs w:val="24"/>
        </w:rPr>
      </w:pPr>
    </w:p>
    <w:p w14:paraId="210A331F" w14:textId="5640BAF4" w:rsidR="00AD2D18" w:rsidRPr="00AD2D18" w:rsidRDefault="00AD2D18" w:rsidP="00AD2D18">
      <w:pPr>
        <w:pStyle w:val="ListParagraph"/>
        <w:numPr>
          <w:ilvl w:val="0"/>
          <w:numId w:val="1"/>
        </w:numPr>
        <w:spacing w:line="480" w:lineRule="auto"/>
        <w:jc w:val="both"/>
        <w:rPr>
          <w:rFonts w:ascii="Arial" w:hAnsi="Arial" w:cs="Arial"/>
          <w:b/>
          <w:sz w:val="24"/>
          <w:szCs w:val="24"/>
        </w:rPr>
      </w:pPr>
      <w:r>
        <w:rPr>
          <w:rFonts w:ascii="Arial" w:hAnsi="Arial" w:cs="Arial"/>
          <w:sz w:val="24"/>
          <w:szCs w:val="24"/>
        </w:rPr>
        <w:t>The First Resp</w:t>
      </w:r>
      <w:r w:rsidR="000F3BF8">
        <w:rPr>
          <w:rFonts w:ascii="Arial" w:hAnsi="Arial" w:cs="Arial"/>
          <w:sz w:val="24"/>
          <w:szCs w:val="24"/>
        </w:rPr>
        <w:t>ondent contended</w:t>
      </w:r>
      <w:r>
        <w:rPr>
          <w:rFonts w:ascii="Arial" w:hAnsi="Arial" w:cs="Arial"/>
          <w:sz w:val="24"/>
          <w:szCs w:val="24"/>
        </w:rPr>
        <w:t xml:space="preserve"> that:</w:t>
      </w:r>
    </w:p>
    <w:p w14:paraId="6146D4BF" w14:textId="13A7C361" w:rsidR="00AD2D18" w:rsidRPr="00AD2D18" w:rsidRDefault="00AD2D18" w:rsidP="00AD2D18">
      <w:pPr>
        <w:pStyle w:val="ListParagraph"/>
        <w:numPr>
          <w:ilvl w:val="0"/>
          <w:numId w:val="26"/>
        </w:numPr>
        <w:spacing w:line="480" w:lineRule="auto"/>
        <w:jc w:val="both"/>
        <w:rPr>
          <w:rFonts w:ascii="Arial" w:hAnsi="Arial" w:cs="Arial"/>
          <w:b/>
          <w:sz w:val="24"/>
          <w:szCs w:val="24"/>
        </w:rPr>
      </w:pPr>
      <w:r>
        <w:rPr>
          <w:rFonts w:ascii="Arial" w:hAnsi="Arial" w:cs="Arial"/>
          <w:sz w:val="24"/>
          <w:szCs w:val="24"/>
        </w:rPr>
        <w:t xml:space="preserve">any claim against Mr Ferreira, arose before </w:t>
      </w:r>
      <w:r w:rsidR="001762F9">
        <w:rPr>
          <w:rFonts w:ascii="Arial" w:hAnsi="Arial" w:cs="Arial"/>
          <w:sz w:val="24"/>
          <w:szCs w:val="24"/>
        </w:rPr>
        <w:t>the sequestration of his estate;</w:t>
      </w:r>
    </w:p>
    <w:p w14:paraId="7F6F1261" w14:textId="71523C55" w:rsidR="00AD2D18" w:rsidRPr="00AD2D18" w:rsidRDefault="00BD7FA6" w:rsidP="00AD2D18">
      <w:pPr>
        <w:pStyle w:val="ListParagraph"/>
        <w:numPr>
          <w:ilvl w:val="0"/>
          <w:numId w:val="26"/>
        </w:numPr>
        <w:spacing w:line="480" w:lineRule="auto"/>
        <w:jc w:val="both"/>
        <w:rPr>
          <w:rFonts w:ascii="Arial" w:hAnsi="Arial" w:cs="Arial"/>
          <w:b/>
          <w:sz w:val="24"/>
          <w:szCs w:val="24"/>
        </w:rPr>
      </w:pPr>
      <w:r w:rsidRPr="00AD2D18">
        <w:rPr>
          <w:rFonts w:ascii="Arial" w:hAnsi="Arial" w:cs="Arial"/>
          <w:sz w:val="24"/>
          <w:szCs w:val="24"/>
        </w:rPr>
        <w:t>the application is an abuse of</w:t>
      </w:r>
      <w:r w:rsidR="001762F9">
        <w:rPr>
          <w:rFonts w:ascii="Arial" w:hAnsi="Arial" w:cs="Arial"/>
          <w:sz w:val="24"/>
          <w:szCs w:val="24"/>
        </w:rPr>
        <w:t xml:space="preserve"> the process</w:t>
      </w:r>
      <w:r w:rsidR="00AD2D18">
        <w:rPr>
          <w:rFonts w:ascii="Arial" w:hAnsi="Arial" w:cs="Arial"/>
          <w:sz w:val="24"/>
          <w:szCs w:val="24"/>
        </w:rPr>
        <w:t>;</w:t>
      </w:r>
    </w:p>
    <w:p w14:paraId="3EE3B082" w14:textId="548F018B" w:rsidR="00AD2D18" w:rsidRPr="00AD2D18" w:rsidRDefault="002A3A8C" w:rsidP="00AD2D18">
      <w:pPr>
        <w:pStyle w:val="ListParagraph"/>
        <w:numPr>
          <w:ilvl w:val="0"/>
          <w:numId w:val="26"/>
        </w:numPr>
        <w:spacing w:line="480" w:lineRule="auto"/>
        <w:jc w:val="both"/>
        <w:rPr>
          <w:rFonts w:ascii="Arial" w:hAnsi="Arial" w:cs="Arial"/>
          <w:b/>
          <w:sz w:val="24"/>
          <w:szCs w:val="24"/>
        </w:rPr>
      </w:pPr>
      <w:r w:rsidRPr="00AD2D18">
        <w:rPr>
          <w:rFonts w:ascii="Arial" w:hAnsi="Arial" w:cs="Arial"/>
          <w:sz w:val="24"/>
          <w:szCs w:val="24"/>
        </w:rPr>
        <w:t>the Particulars of Claim are vague and embarrassing and do not disclose</w:t>
      </w:r>
      <w:r w:rsidR="00AD2D18">
        <w:rPr>
          <w:rFonts w:ascii="Arial" w:hAnsi="Arial" w:cs="Arial"/>
          <w:sz w:val="24"/>
          <w:szCs w:val="24"/>
        </w:rPr>
        <w:t xml:space="preserve"> a cause of action against her;</w:t>
      </w:r>
    </w:p>
    <w:p w14:paraId="3F317B37" w14:textId="16C25FDC" w:rsidR="002A3A8C" w:rsidRPr="00AD2D18" w:rsidRDefault="008B190E" w:rsidP="00AD2D18">
      <w:pPr>
        <w:pStyle w:val="ListParagraph"/>
        <w:numPr>
          <w:ilvl w:val="0"/>
          <w:numId w:val="26"/>
        </w:numPr>
        <w:spacing w:line="480" w:lineRule="auto"/>
        <w:jc w:val="both"/>
        <w:rPr>
          <w:rFonts w:ascii="Arial" w:hAnsi="Arial" w:cs="Arial"/>
          <w:b/>
          <w:sz w:val="24"/>
          <w:szCs w:val="24"/>
        </w:rPr>
      </w:pPr>
      <w:r w:rsidRPr="00AD2D18">
        <w:rPr>
          <w:rFonts w:ascii="Arial" w:hAnsi="Arial" w:cs="Arial"/>
          <w:sz w:val="24"/>
          <w:szCs w:val="24"/>
        </w:rPr>
        <w:t>t</w:t>
      </w:r>
      <w:r w:rsidR="002A3A8C" w:rsidRPr="00AD2D18">
        <w:rPr>
          <w:rFonts w:ascii="Arial" w:hAnsi="Arial" w:cs="Arial"/>
          <w:sz w:val="24"/>
          <w:szCs w:val="24"/>
        </w:rPr>
        <w:t>he claim of the Applicants</w:t>
      </w:r>
      <w:r w:rsidR="00AD2D18">
        <w:rPr>
          <w:rFonts w:ascii="Arial" w:hAnsi="Arial" w:cs="Arial"/>
          <w:sz w:val="24"/>
          <w:szCs w:val="24"/>
        </w:rPr>
        <w:t xml:space="preserve"> against  her has prescribed;</w:t>
      </w:r>
    </w:p>
    <w:p w14:paraId="0B7D0322" w14:textId="0247CB8F" w:rsidR="00AD2D18" w:rsidRDefault="00AD2D18" w:rsidP="004F6E8C">
      <w:pPr>
        <w:pStyle w:val="ListParagraph"/>
        <w:numPr>
          <w:ilvl w:val="0"/>
          <w:numId w:val="26"/>
        </w:numPr>
        <w:spacing w:line="480" w:lineRule="auto"/>
        <w:jc w:val="both"/>
        <w:rPr>
          <w:rFonts w:ascii="Arial" w:hAnsi="Arial" w:cs="Arial"/>
          <w:b/>
          <w:sz w:val="24"/>
          <w:szCs w:val="24"/>
        </w:rPr>
      </w:pPr>
      <w:r w:rsidRPr="00AD2D18">
        <w:rPr>
          <w:rFonts w:ascii="Arial" w:hAnsi="Arial" w:cs="Arial"/>
          <w:sz w:val="24"/>
          <w:szCs w:val="24"/>
        </w:rPr>
        <w:t>the full transcript of the evidence that First Respondent gave on 26 August 2020 at the Insolvency Enquiry was not attached to the application</w:t>
      </w:r>
      <w:r>
        <w:rPr>
          <w:rFonts w:ascii="Arial" w:hAnsi="Arial" w:cs="Arial"/>
          <w:sz w:val="24"/>
          <w:szCs w:val="24"/>
        </w:rPr>
        <w:t xml:space="preserve"> which amounts to </w:t>
      </w:r>
      <w:r w:rsidRPr="00AD2D18">
        <w:rPr>
          <w:rFonts w:ascii="Arial" w:hAnsi="Arial" w:cs="Arial"/>
          <w:sz w:val="24"/>
          <w:szCs w:val="24"/>
        </w:rPr>
        <w:t xml:space="preserve">material non-disclosure  at the </w:t>
      </w:r>
      <w:r w:rsidRPr="00AD2D18">
        <w:rPr>
          <w:rFonts w:ascii="Arial" w:hAnsi="Arial" w:cs="Arial"/>
          <w:i/>
          <w:sz w:val="24"/>
          <w:szCs w:val="24"/>
        </w:rPr>
        <w:t>ex parte</w:t>
      </w:r>
      <w:r w:rsidRPr="00AD2D18">
        <w:rPr>
          <w:rFonts w:ascii="Arial" w:hAnsi="Arial" w:cs="Arial"/>
          <w:sz w:val="24"/>
          <w:szCs w:val="24"/>
        </w:rPr>
        <w:t xml:space="preserve"> hearing</w:t>
      </w:r>
      <w:r w:rsidR="00596AA7">
        <w:rPr>
          <w:rFonts w:ascii="Arial" w:hAnsi="Arial" w:cs="Arial"/>
          <w:sz w:val="24"/>
          <w:szCs w:val="24"/>
        </w:rPr>
        <w:t>,</w:t>
      </w:r>
      <w:r w:rsidRPr="00AD2D18">
        <w:rPr>
          <w:rFonts w:ascii="Arial" w:hAnsi="Arial" w:cs="Arial"/>
          <w:sz w:val="24"/>
          <w:szCs w:val="24"/>
        </w:rPr>
        <w:t xml:space="preserve"> which in itself</w:t>
      </w:r>
      <w:r w:rsidR="00596AA7">
        <w:rPr>
          <w:rFonts w:ascii="Arial" w:hAnsi="Arial" w:cs="Arial"/>
          <w:sz w:val="24"/>
          <w:szCs w:val="24"/>
        </w:rPr>
        <w:t>,</w:t>
      </w:r>
      <w:r w:rsidRPr="00AD2D18">
        <w:rPr>
          <w:rFonts w:ascii="Arial" w:hAnsi="Arial" w:cs="Arial"/>
          <w:sz w:val="24"/>
          <w:szCs w:val="24"/>
        </w:rPr>
        <w:t xml:space="preserve"> is </w:t>
      </w:r>
      <w:r w:rsidR="00596AA7">
        <w:rPr>
          <w:rFonts w:ascii="Arial" w:hAnsi="Arial" w:cs="Arial"/>
          <w:sz w:val="24"/>
          <w:szCs w:val="24"/>
        </w:rPr>
        <w:t xml:space="preserve">a </w:t>
      </w:r>
      <w:r w:rsidRPr="00AD2D18">
        <w:rPr>
          <w:rFonts w:ascii="Arial" w:hAnsi="Arial" w:cs="Arial"/>
          <w:sz w:val="24"/>
          <w:szCs w:val="24"/>
        </w:rPr>
        <w:t>sufficient ground to set aside the interim order granted by Sher J</w:t>
      </w:r>
      <w:r w:rsidR="004F6E8C">
        <w:rPr>
          <w:rFonts w:ascii="Arial" w:hAnsi="Arial" w:cs="Arial"/>
          <w:sz w:val="24"/>
          <w:szCs w:val="24"/>
        </w:rPr>
        <w:t xml:space="preserve">. </w:t>
      </w:r>
      <w:r w:rsidRPr="00AD2D18">
        <w:rPr>
          <w:rFonts w:ascii="Arial" w:hAnsi="Arial" w:cs="Arial"/>
          <w:sz w:val="24"/>
          <w:szCs w:val="24"/>
        </w:rPr>
        <w:t xml:space="preserve"> </w:t>
      </w:r>
    </w:p>
    <w:p w14:paraId="3B57DE58" w14:textId="77777777" w:rsidR="004F6E8C" w:rsidRDefault="004F6E8C" w:rsidP="00A42EB2">
      <w:pPr>
        <w:pStyle w:val="ListParagraph"/>
        <w:spacing w:after="0" w:line="480" w:lineRule="auto"/>
        <w:ind w:left="0"/>
        <w:jc w:val="both"/>
        <w:rPr>
          <w:rFonts w:ascii="Arial" w:hAnsi="Arial" w:cs="Arial"/>
          <w:b/>
          <w:sz w:val="24"/>
          <w:szCs w:val="24"/>
        </w:rPr>
      </w:pPr>
    </w:p>
    <w:p w14:paraId="7F679122" w14:textId="4463A2D4" w:rsidR="005A6D01" w:rsidRDefault="005A6D01" w:rsidP="00A42EB2">
      <w:pPr>
        <w:pStyle w:val="ListParagraph"/>
        <w:spacing w:after="0" w:line="480" w:lineRule="auto"/>
        <w:ind w:left="0"/>
        <w:jc w:val="both"/>
        <w:rPr>
          <w:rFonts w:ascii="Arial" w:hAnsi="Arial" w:cs="Arial"/>
          <w:b/>
          <w:sz w:val="24"/>
          <w:szCs w:val="24"/>
        </w:rPr>
      </w:pPr>
      <w:r>
        <w:rPr>
          <w:rFonts w:ascii="Arial" w:hAnsi="Arial" w:cs="Arial"/>
          <w:b/>
          <w:sz w:val="24"/>
          <w:szCs w:val="24"/>
        </w:rPr>
        <w:t>L</w:t>
      </w:r>
      <w:r w:rsidR="002E511F">
        <w:rPr>
          <w:rFonts w:ascii="Arial" w:hAnsi="Arial" w:cs="Arial"/>
          <w:b/>
          <w:sz w:val="24"/>
          <w:szCs w:val="24"/>
        </w:rPr>
        <w:t>egal Framework</w:t>
      </w:r>
    </w:p>
    <w:p w14:paraId="215850E5" w14:textId="02C140B8" w:rsidR="00D159C6" w:rsidRPr="0013425F" w:rsidRDefault="00740271" w:rsidP="0013425F">
      <w:pPr>
        <w:pStyle w:val="ListParagraph"/>
        <w:numPr>
          <w:ilvl w:val="0"/>
          <w:numId w:val="1"/>
        </w:numPr>
        <w:spacing w:after="0" w:line="480" w:lineRule="auto"/>
        <w:jc w:val="both"/>
        <w:rPr>
          <w:rFonts w:ascii="Arial" w:hAnsi="Arial" w:cs="Arial"/>
          <w:b/>
          <w:sz w:val="24"/>
          <w:szCs w:val="24"/>
        </w:rPr>
      </w:pPr>
      <w:r>
        <w:rPr>
          <w:rFonts w:ascii="Arial" w:hAnsi="Arial" w:cs="Arial"/>
          <w:sz w:val="24"/>
          <w:szCs w:val="24"/>
        </w:rPr>
        <w:t>Section 21(3) of the Superior Courts Act</w:t>
      </w:r>
      <w:r>
        <w:rPr>
          <w:rStyle w:val="FootnoteReference"/>
          <w:rFonts w:ascii="Arial" w:hAnsi="Arial" w:cs="Arial"/>
          <w:sz w:val="24"/>
          <w:szCs w:val="24"/>
        </w:rPr>
        <w:footnoteReference w:id="1"/>
      </w:r>
      <w:r w:rsidR="00CB1B6D">
        <w:rPr>
          <w:rFonts w:ascii="Arial" w:hAnsi="Arial" w:cs="Arial"/>
          <w:sz w:val="24"/>
          <w:szCs w:val="24"/>
        </w:rPr>
        <w:t xml:space="preserve"> provides that any Division may issue an order for attachment to confirm jurisdiction. </w:t>
      </w:r>
      <w:r w:rsidR="004E7E4A">
        <w:rPr>
          <w:rFonts w:ascii="Arial" w:hAnsi="Arial" w:cs="Arial"/>
          <w:sz w:val="24"/>
          <w:szCs w:val="24"/>
        </w:rPr>
        <w:t xml:space="preserve">It is trite that where an attachment is sought to confirm jurisdiction some ground for that jurisdiction, other than the </w:t>
      </w:r>
      <w:r w:rsidR="004E7E4A">
        <w:rPr>
          <w:rFonts w:ascii="Arial" w:hAnsi="Arial" w:cs="Arial"/>
          <w:sz w:val="24"/>
          <w:szCs w:val="24"/>
        </w:rPr>
        <w:lastRenderedPageBreak/>
        <w:t xml:space="preserve">attachment, must be present. Ordinarily, an attachment is made by an </w:t>
      </w:r>
      <w:r w:rsidR="004E7E4A" w:rsidRPr="004E7E4A">
        <w:rPr>
          <w:rFonts w:ascii="Arial" w:hAnsi="Arial" w:cs="Arial"/>
          <w:i/>
          <w:sz w:val="24"/>
          <w:szCs w:val="24"/>
        </w:rPr>
        <w:t>incola</w:t>
      </w:r>
      <w:r w:rsidR="004E7E4A">
        <w:rPr>
          <w:rFonts w:ascii="Arial" w:hAnsi="Arial" w:cs="Arial"/>
          <w:i/>
          <w:sz w:val="24"/>
          <w:szCs w:val="24"/>
        </w:rPr>
        <w:t xml:space="preserve"> </w:t>
      </w:r>
      <w:r w:rsidR="004E7E4A">
        <w:rPr>
          <w:rFonts w:ascii="Arial" w:hAnsi="Arial" w:cs="Arial"/>
          <w:sz w:val="24"/>
          <w:szCs w:val="24"/>
        </w:rPr>
        <w:t xml:space="preserve">who is desirous to bring a </w:t>
      </w:r>
      <w:r w:rsidR="004E7E4A" w:rsidRPr="004E7E4A">
        <w:rPr>
          <w:rFonts w:ascii="Arial" w:hAnsi="Arial" w:cs="Arial"/>
          <w:i/>
          <w:sz w:val="24"/>
          <w:szCs w:val="24"/>
        </w:rPr>
        <w:t>peregrinus</w:t>
      </w:r>
      <w:r w:rsidR="004E7E4A">
        <w:rPr>
          <w:rFonts w:ascii="Arial" w:hAnsi="Arial" w:cs="Arial"/>
          <w:sz w:val="24"/>
          <w:szCs w:val="24"/>
        </w:rPr>
        <w:t xml:space="preserve"> before that court.</w:t>
      </w:r>
      <w:r w:rsidR="00AD1402">
        <w:rPr>
          <w:rStyle w:val="FootnoteReference"/>
          <w:rFonts w:ascii="Arial" w:hAnsi="Arial" w:cs="Arial"/>
          <w:sz w:val="24"/>
          <w:szCs w:val="24"/>
        </w:rPr>
        <w:footnoteReference w:id="2"/>
      </w:r>
    </w:p>
    <w:p w14:paraId="4ADC8917" w14:textId="77777777" w:rsidR="0013425F" w:rsidRPr="00E23673" w:rsidRDefault="0013425F" w:rsidP="0013425F">
      <w:pPr>
        <w:pStyle w:val="ListParagraph"/>
        <w:spacing w:after="0" w:line="480" w:lineRule="auto"/>
        <w:ind w:left="0"/>
        <w:jc w:val="both"/>
        <w:rPr>
          <w:rFonts w:ascii="Arial" w:hAnsi="Arial" w:cs="Arial"/>
          <w:b/>
          <w:sz w:val="24"/>
          <w:szCs w:val="24"/>
        </w:rPr>
      </w:pPr>
    </w:p>
    <w:p w14:paraId="068564E9" w14:textId="4C6785B2" w:rsidR="00D159C6" w:rsidRPr="00D159C6" w:rsidRDefault="00D159C6" w:rsidP="0013425F">
      <w:pPr>
        <w:pStyle w:val="ListParagraph"/>
        <w:numPr>
          <w:ilvl w:val="0"/>
          <w:numId w:val="1"/>
        </w:numPr>
        <w:spacing w:after="0" w:line="480" w:lineRule="auto"/>
        <w:jc w:val="both"/>
        <w:rPr>
          <w:rFonts w:ascii="Arial" w:hAnsi="Arial" w:cs="Arial"/>
          <w:b/>
          <w:sz w:val="24"/>
          <w:szCs w:val="24"/>
        </w:rPr>
      </w:pPr>
      <w:r>
        <w:rPr>
          <w:rFonts w:ascii="Arial" w:hAnsi="Arial" w:cs="Arial"/>
          <w:b/>
          <w:i/>
          <w:sz w:val="24"/>
          <w:szCs w:val="24"/>
        </w:rPr>
        <w:t xml:space="preserve">Tsung and Another v Industrial Development Corporation of South Africa Ltd. And Another </w:t>
      </w:r>
      <w:r>
        <w:rPr>
          <w:rStyle w:val="FootnoteReference"/>
          <w:rFonts w:ascii="Arial" w:hAnsi="Arial" w:cs="Arial"/>
          <w:b/>
          <w:i/>
          <w:sz w:val="24"/>
          <w:szCs w:val="24"/>
        </w:rPr>
        <w:footnoteReference w:id="3"/>
      </w:r>
      <w:r>
        <w:rPr>
          <w:rFonts w:ascii="Arial" w:hAnsi="Arial" w:cs="Arial"/>
          <w:b/>
          <w:i/>
          <w:sz w:val="24"/>
          <w:szCs w:val="24"/>
        </w:rPr>
        <w:t xml:space="preserve"> </w:t>
      </w:r>
      <w:r>
        <w:rPr>
          <w:rFonts w:ascii="Arial" w:hAnsi="Arial" w:cs="Arial"/>
          <w:sz w:val="24"/>
          <w:szCs w:val="24"/>
        </w:rPr>
        <w:t>distils the historical legal significance of the practice of attachment to confirm jurisdiction.</w:t>
      </w:r>
    </w:p>
    <w:p w14:paraId="161B38DB" w14:textId="41AD896A" w:rsidR="0061040E" w:rsidRPr="0068290C" w:rsidRDefault="00D159C6" w:rsidP="0068290C">
      <w:pPr>
        <w:pStyle w:val="ListParagraph"/>
        <w:spacing w:line="360" w:lineRule="auto"/>
        <w:ind w:right="720"/>
        <w:jc w:val="both"/>
        <w:rPr>
          <w:rFonts w:ascii="Arial" w:hAnsi="Arial" w:cs="Arial"/>
          <w:i/>
        </w:rPr>
      </w:pPr>
      <w:r w:rsidRPr="00D159C6">
        <w:rPr>
          <w:rFonts w:ascii="Arial" w:hAnsi="Arial" w:cs="Arial"/>
          <w:i/>
        </w:rPr>
        <w:t>[4]</w:t>
      </w:r>
      <w:r w:rsidRPr="00D159C6">
        <w:rPr>
          <w:rFonts w:ascii="Arial" w:hAnsi="Arial" w:cs="Arial"/>
          <w:i/>
        </w:rPr>
        <w:tab/>
        <w:t>The practice of arrest or attachment to found or confirm jurisdiction was firmly established in Holland by the 17th Century in the interest of incolae and from considerations of commercial convenience. It enabled them to proceed in local courts against peregrini who were for the time being physically within the jurisdiction area of the court or possessed property there.</w:t>
      </w:r>
      <w:r w:rsidRPr="00D159C6">
        <w:rPr>
          <w:rFonts w:ascii="Arial" w:hAnsi="Arial" w:cs="Arial"/>
          <w:i/>
          <w:vertAlign w:val="superscript"/>
        </w:rPr>
        <w:footnoteReference w:id="4"/>
      </w:r>
      <w:r w:rsidRPr="00D159C6">
        <w:rPr>
          <w:rFonts w:ascii="Arial" w:hAnsi="Arial" w:cs="Arial"/>
          <w:i/>
        </w:rPr>
        <w:t xml:space="preserve"> In addition to founding or confirming jurisdiction and to commence proceedings, an attachment had since those days an additional function and that was the provision of security enabling the plaintiff, eventually, to execute in his own jurisdiction. Pending the finalisation of the proceedings, the defendant could not alienate or encumber the attached property.</w:t>
      </w:r>
      <w:r w:rsidRPr="00D159C6">
        <w:rPr>
          <w:rFonts w:ascii="Arial" w:hAnsi="Arial" w:cs="Arial"/>
          <w:i/>
          <w:vertAlign w:val="superscript"/>
        </w:rPr>
        <w:footnoteReference w:id="5"/>
      </w:r>
      <w:r w:rsidRPr="00D159C6">
        <w:rPr>
          <w:rFonts w:ascii="Arial" w:hAnsi="Arial" w:cs="Arial"/>
          <w:i/>
        </w:rPr>
        <w:t xml:space="preserve"> This function of attachment has since repeatedly been highlighted by our courts, including by this Court some months ago.</w:t>
      </w:r>
      <w:r w:rsidRPr="00D159C6">
        <w:rPr>
          <w:rFonts w:ascii="Arial" w:hAnsi="Arial" w:cs="Arial"/>
          <w:i/>
          <w:vertAlign w:val="superscript"/>
        </w:rPr>
        <w:footnoteReference w:id="6"/>
      </w:r>
      <w:r w:rsidRPr="00D159C6">
        <w:rPr>
          <w:rFonts w:ascii="Arial" w:hAnsi="Arial" w:cs="Arial"/>
          <w:i/>
        </w:rPr>
        <w:t xml:space="preserve"> </w:t>
      </w:r>
    </w:p>
    <w:p w14:paraId="620EF4B4" w14:textId="77777777" w:rsidR="0068290C" w:rsidRDefault="0068290C" w:rsidP="0061040E">
      <w:pPr>
        <w:pStyle w:val="ListParagraph"/>
        <w:spacing w:after="0" w:line="480" w:lineRule="auto"/>
        <w:ind w:left="0"/>
        <w:jc w:val="both"/>
        <w:rPr>
          <w:rFonts w:ascii="Arial" w:hAnsi="Arial" w:cs="Arial"/>
          <w:b/>
          <w:sz w:val="24"/>
          <w:szCs w:val="24"/>
        </w:rPr>
      </w:pPr>
    </w:p>
    <w:p w14:paraId="1318D536" w14:textId="362C22D3" w:rsidR="0068290C" w:rsidRPr="0068290C" w:rsidRDefault="0061040E" w:rsidP="0068290C">
      <w:pPr>
        <w:pStyle w:val="ListParagraph"/>
        <w:spacing w:after="0" w:line="480" w:lineRule="auto"/>
        <w:ind w:left="0"/>
        <w:jc w:val="both"/>
        <w:rPr>
          <w:rFonts w:ascii="Arial" w:hAnsi="Arial" w:cs="Arial"/>
          <w:b/>
          <w:sz w:val="24"/>
          <w:szCs w:val="24"/>
        </w:rPr>
      </w:pPr>
      <w:r w:rsidRPr="004E6D02">
        <w:rPr>
          <w:rFonts w:ascii="Arial" w:hAnsi="Arial" w:cs="Arial"/>
          <w:b/>
          <w:sz w:val="24"/>
          <w:szCs w:val="24"/>
        </w:rPr>
        <w:t>Jurisdictional Requirements</w:t>
      </w:r>
    </w:p>
    <w:p w14:paraId="04439E01" w14:textId="77777777" w:rsidR="0061040E" w:rsidRPr="004C341A" w:rsidRDefault="0061040E" w:rsidP="0061040E">
      <w:pPr>
        <w:pStyle w:val="ListParagraph"/>
        <w:numPr>
          <w:ilvl w:val="0"/>
          <w:numId w:val="1"/>
        </w:numPr>
        <w:spacing w:after="0" w:line="480" w:lineRule="auto"/>
        <w:jc w:val="both"/>
        <w:rPr>
          <w:rFonts w:ascii="Arial" w:hAnsi="Arial" w:cs="Arial"/>
          <w:b/>
          <w:sz w:val="24"/>
          <w:szCs w:val="24"/>
        </w:rPr>
      </w:pPr>
      <w:r>
        <w:rPr>
          <w:rFonts w:ascii="Arial" w:hAnsi="Arial" w:cs="Arial"/>
          <w:sz w:val="24"/>
          <w:szCs w:val="24"/>
        </w:rPr>
        <w:t>It is trite that the onus rests on the Applicant on the return date to:</w:t>
      </w:r>
    </w:p>
    <w:p w14:paraId="31113E91" w14:textId="77777777" w:rsidR="0061040E" w:rsidRPr="00FE6A50" w:rsidRDefault="0061040E" w:rsidP="0061040E">
      <w:pPr>
        <w:pStyle w:val="ListParagraph"/>
        <w:numPr>
          <w:ilvl w:val="0"/>
          <w:numId w:val="14"/>
        </w:numPr>
        <w:spacing w:after="0" w:line="480" w:lineRule="auto"/>
        <w:jc w:val="both"/>
        <w:rPr>
          <w:rFonts w:ascii="Arial" w:hAnsi="Arial" w:cs="Arial"/>
          <w:b/>
          <w:sz w:val="24"/>
          <w:szCs w:val="24"/>
        </w:rPr>
      </w:pPr>
      <w:r>
        <w:rPr>
          <w:rFonts w:ascii="Arial" w:hAnsi="Arial" w:cs="Arial"/>
          <w:sz w:val="24"/>
          <w:szCs w:val="24"/>
        </w:rPr>
        <w:t xml:space="preserve"> satisfy the court that it has a </w:t>
      </w:r>
      <w:r w:rsidRPr="00FE6A50">
        <w:rPr>
          <w:rFonts w:ascii="Arial" w:hAnsi="Arial" w:cs="Arial"/>
          <w:i/>
          <w:sz w:val="24"/>
          <w:szCs w:val="24"/>
        </w:rPr>
        <w:t>prima facie</w:t>
      </w:r>
      <w:r>
        <w:rPr>
          <w:rFonts w:ascii="Arial" w:hAnsi="Arial" w:cs="Arial"/>
          <w:sz w:val="24"/>
          <w:szCs w:val="24"/>
        </w:rPr>
        <w:t xml:space="preserve"> case against the Respondent in respect of the relief sought;</w:t>
      </w:r>
    </w:p>
    <w:p w14:paraId="7D9A0EF9" w14:textId="77777777" w:rsidR="0061040E" w:rsidRPr="00FE6A50" w:rsidRDefault="0061040E" w:rsidP="0061040E">
      <w:pPr>
        <w:pStyle w:val="ListParagraph"/>
        <w:numPr>
          <w:ilvl w:val="0"/>
          <w:numId w:val="14"/>
        </w:numPr>
        <w:spacing w:after="0" w:line="480" w:lineRule="auto"/>
        <w:jc w:val="both"/>
        <w:rPr>
          <w:rFonts w:ascii="Arial" w:hAnsi="Arial" w:cs="Arial"/>
          <w:b/>
          <w:sz w:val="24"/>
          <w:szCs w:val="24"/>
        </w:rPr>
      </w:pPr>
      <w:r>
        <w:rPr>
          <w:rFonts w:ascii="Arial" w:hAnsi="Arial" w:cs="Arial"/>
          <w:sz w:val="24"/>
          <w:szCs w:val="24"/>
        </w:rPr>
        <w:t xml:space="preserve">That on a balance of probabilities, the Applicant is an </w:t>
      </w:r>
      <w:r w:rsidRPr="00FE6A50">
        <w:rPr>
          <w:rFonts w:ascii="Arial" w:hAnsi="Arial" w:cs="Arial"/>
          <w:i/>
          <w:sz w:val="24"/>
          <w:szCs w:val="24"/>
        </w:rPr>
        <w:t>incola</w:t>
      </w:r>
      <w:r>
        <w:rPr>
          <w:rFonts w:ascii="Arial" w:hAnsi="Arial" w:cs="Arial"/>
          <w:sz w:val="24"/>
          <w:szCs w:val="24"/>
        </w:rPr>
        <w:t xml:space="preserve"> and the Respondent is a peregrinus;</w:t>
      </w:r>
    </w:p>
    <w:p w14:paraId="3F871F5A" w14:textId="7E4EC849" w:rsidR="0061040E" w:rsidRPr="004975BE" w:rsidRDefault="0061040E" w:rsidP="004975BE">
      <w:pPr>
        <w:pStyle w:val="ListParagraph"/>
        <w:numPr>
          <w:ilvl w:val="0"/>
          <w:numId w:val="14"/>
        </w:numPr>
        <w:spacing w:after="0" w:line="480" w:lineRule="auto"/>
        <w:jc w:val="both"/>
        <w:rPr>
          <w:rFonts w:ascii="Arial" w:hAnsi="Arial" w:cs="Arial"/>
          <w:b/>
          <w:sz w:val="24"/>
          <w:szCs w:val="24"/>
        </w:rPr>
      </w:pPr>
      <w:r>
        <w:rPr>
          <w:rFonts w:ascii="Arial" w:hAnsi="Arial" w:cs="Arial"/>
          <w:sz w:val="24"/>
          <w:szCs w:val="24"/>
        </w:rPr>
        <w:lastRenderedPageBreak/>
        <w:t>that the property sought to be attached is that of the Respondent.</w:t>
      </w:r>
      <w:r w:rsidR="0068290C">
        <w:rPr>
          <w:rStyle w:val="FootnoteReference"/>
          <w:rFonts w:ascii="Arial" w:hAnsi="Arial" w:cs="Arial"/>
          <w:sz w:val="24"/>
          <w:szCs w:val="24"/>
        </w:rPr>
        <w:footnoteReference w:id="7"/>
      </w:r>
    </w:p>
    <w:p w14:paraId="47E6147A" w14:textId="77777777" w:rsidR="00F31DE7" w:rsidRDefault="00F31DE7" w:rsidP="004410A7">
      <w:pPr>
        <w:spacing w:after="0" w:line="480" w:lineRule="auto"/>
        <w:jc w:val="both"/>
        <w:rPr>
          <w:rFonts w:ascii="Arial" w:hAnsi="Arial" w:cs="Arial"/>
          <w:b/>
          <w:sz w:val="24"/>
          <w:szCs w:val="24"/>
        </w:rPr>
      </w:pPr>
    </w:p>
    <w:p w14:paraId="7098F710" w14:textId="2BA72FEB" w:rsidR="00A50ED9" w:rsidRPr="00B3380A" w:rsidRDefault="00502FB7" w:rsidP="004410A7">
      <w:pPr>
        <w:spacing w:after="0" w:line="480" w:lineRule="auto"/>
        <w:jc w:val="both"/>
        <w:rPr>
          <w:rFonts w:ascii="Arial" w:hAnsi="Arial" w:cs="Arial"/>
          <w:b/>
          <w:sz w:val="24"/>
          <w:szCs w:val="24"/>
        </w:rPr>
      </w:pPr>
      <w:r>
        <w:rPr>
          <w:rFonts w:ascii="Arial" w:hAnsi="Arial" w:cs="Arial"/>
          <w:b/>
          <w:sz w:val="24"/>
          <w:szCs w:val="24"/>
        </w:rPr>
        <w:t xml:space="preserve">Point </w:t>
      </w:r>
      <w:r w:rsidRPr="00991C5A">
        <w:rPr>
          <w:rFonts w:ascii="Arial" w:hAnsi="Arial" w:cs="Arial"/>
          <w:b/>
          <w:i/>
          <w:sz w:val="24"/>
          <w:szCs w:val="24"/>
        </w:rPr>
        <w:t>in limine</w:t>
      </w:r>
    </w:p>
    <w:p w14:paraId="43464061" w14:textId="7BD6592C" w:rsidR="0028202E" w:rsidRPr="00991C5A" w:rsidRDefault="0028202E" w:rsidP="0028202E">
      <w:pPr>
        <w:pStyle w:val="ListParagraph"/>
        <w:numPr>
          <w:ilvl w:val="0"/>
          <w:numId w:val="1"/>
        </w:numPr>
        <w:spacing w:line="480" w:lineRule="auto"/>
        <w:jc w:val="both"/>
        <w:rPr>
          <w:rFonts w:ascii="Arial" w:hAnsi="Arial" w:cs="Arial"/>
          <w:b/>
          <w:sz w:val="24"/>
          <w:szCs w:val="24"/>
        </w:rPr>
      </w:pPr>
      <w:r>
        <w:rPr>
          <w:rFonts w:ascii="Arial" w:hAnsi="Arial" w:cs="Arial"/>
          <w:sz w:val="24"/>
          <w:szCs w:val="24"/>
        </w:rPr>
        <w:t xml:space="preserve">The First Respondent denies that Mr </w:t>
      </w:r>
      <w:r w:rsidR="00327283">
        <w:rPr>
          <w:rFonts w:ascii="Arial" w:hAnsi="Arial" w:cs="Arial"/>
          <w:sz w:val="24"/>
          <w:szCs w:val="24"/>
        </w:rPr>
        <w:t xml:space="preserve">Etienne Jan </w:t>
      </w:r>
      <w:r>
        <w:rPr>
          <w:rFonts w:ascii="Arial" w:hAnsi="Arial" w:cs="Arial"/>
          <w:sz w:val="24"/>
          <w:szCs w:val="24"/>
        </w:rPr>
        <w:t>Marx</w:t>
      </w:r>
      <w:r w:rsidR="00327283">
        <w:rPr>
          <w:rFonts w:ascii="Arial" w:hAnsi="Arial" w:cs="Arial"/>
          <w:sz w:val="24"/>
          <w:szCs w:val="24"/>
        </w:rPr>
        <w:t xml:space="preserve"> (“Mr Marx”)</w:t>
      </w:r>
      <w:r>
        <w:rPr>
          <w:rFonts w:ascii="Arial" w:hAnsi="Arial" w:cs="Arial"/>
          <w:sz w:val="24"/>
          <w:szCs w:val="24"/>
        </w:rPr>
        <w:t>, the deponent</w:t>
      </w:r>
      <w:r w:rsidR="00327283">
        <w:rPr>
          <w:rFonts w:ascii="Arial" w:hAnsi="Arial" w:cs="Arial"/>
          <w:sz w:val="24"/>
          <w:szCs w:val="24"/>
        </w:rPr>
        <w:t xml:space="preserve"> to the Applicants</w:t>
      </w:r>
      <w:r w:rsidR="00A358FF">
        <w:rPr>
          <w:rFonts w:ascii="Arial" w:hAnsi="Arial" w:cs="Arial"/>
          <w:sz w:val="24"/>
          <w:szCs w:val="24"/>
        </w:rPr>
        <w:t>’</w:t>
      </w:r>
      <w:r w:rsidR="00327283">
        <w:rPr>
          <w:rFonts w:ascii="Arial" w:hAnsi="Arial" w:cs="Arial"/>
          <w:sz w:val="24"/>
          <w:szCs w:val="24"/>
        </w:rPr>
        <w:t xml:space="preserve"> Founding Affidavit,</w:t>
      </w:r>
      <w:r>
        <w:rPr>
          <w:rFonts w:ascii="Arial" w:hAnsi="Arial" w:cs="Arial"/>
          <w:sz w:val="24"/>
          <w:szCs w:val="24"/>
        </w:rPr>
        <w:t xml:space="preserve"> has personal knowledge of the relevant facts</w:t>
      </w:r>
      <w:r w:rsidR="00327283">
        <w:rPr>
          <w:rFonts w:ascii="Arial" w:hAnsi="Arial" w:cs="Arial"/>
          <w:sz w:val="24"/>
          <w:szCs w:val="24"/>
        </w:rPr>
        <w:t>. It was contended that Mr Marx</w:t>
      </w:r>
      <w:r>
        <w:rPr>
          <w:rFonts w:ascii="Arial" w:hAnsi="Arial" w:cs="Arial"/>
          <w:sz w:val="24"/>
          <w:szCs w:val="24"/>
        </w:rPr>
        <w:t xml:space="preserve"> does not have personal knowledge of the central facts put up in order to support a cause of actio</w:t>
      </w:r>
      <w:r w:rsidR="00A70886">
        <w:rPr>
          <w:rFonts w:ascii="Arial" w:hAnsi="Arial" w:cs="Arial"/>
          <w:sz w:val="24"/>
          <w:szCs w:val="24"/>
        </w:rPr>
        <w:t xml:space="preserve">n against the First Respondent, more particularly </w:t>
      </w:r>
      <w:r>
        <w:rPr>
          <w:rFonts w:ascii="Arial" w:hAnsi="Arial" w:cs="Arial"/>
          <w:sz w:val="24"/>
          <w:szCs w:val="24"/>
        </w:rPr>
        <w:t>in re</w:t>
      </w:r>
      <w:r w:rsidR="00991C5A">
        <w:rPr>
          <w:rFonts w:ascii="Arial" w:hAnsi="Arial" w:cs="Arial"/>
          <w:sz w:val="24"/>
          <w:szCs w:val="24"/>
        </w:rPr>
        <w:t>spect of the allegations which h</w:t>
      </w:r>
      <w:r>
        <w:rPr>
          <w:rFonts w:ascii="Arial" w:hAnsi="Arial" w:cs="Arial"/>
          <w:sz w:val="24"/>
          <w:szCs w:val="24"/>
        </w:rPr>
        <w:t xml:space="preserve">e makes in paragraphs 20 to 23 of </w:t>
      </w:r>
      <w:r w:rsidR="00327283">
        <w:rPr>
          <w:rFonts w:ascii="Arial" w:hAnsi="Arial" w:cs="Arial"/>
          <w:sz w:val="24"/>
          <w:szCs w:val="24"/>
        </w:rPr>
        <w:t>the Founding A</w:t>
      </w:r>
      <w:r>
        <w:rPr>
          <w:rFonts w:ascii="Arial" w:hAnsi="Arial" w:cs="Arial"/>
          <w:sz w:val="24"/>
          <w:szCs w:val="24"/>
        </w:rPr>
        <w:t>ffidavit.</w:t>
      </w:r>
      <w:r>
        <w:rPr>
          <w:rStyle w:val="FootnoteReference"/>
          <w:rFonts w:ascii="Arial" w:hAnsi="Arial" w:cs="Arial"/>
          <w:sz w:val="24"/>
          <w:szCs w:val="24"/>
        </w:rPr>
        <w:footnoteReference w:id="8"/>
      </w:r>
      <w:r>
        <w:rPr>
          <w:rFonts w:ascii="Arial" w:hAnsi="Arial" w:cs="Arial"/>
          <w:sz w:val="24"/>
          <w:szCs w:val="24"/>
        </w:rPr>
        <w:t xml:space="preserve"> </w:t>
      </w:r>
    </w:p>
    <w:p w14:paraId="3DC29E4F" w14:textId="77777777" w:rsidR="00991C5A" w:rsidRPr="00A5784C" w:rsidRDefault="00991C5A" w:rsidP="00991C5A">
      <w:pPr>
        <w:pStyle w:val="ListParagraph"/>
        <w:spacing w:line="480" w:lineRule="auto"/>
        <w:ind w:left="0"/>
        <w:jc w:val="both"/>
        <w:rPr>
          <w:rFonts w:ascii="Arial" w:hAnsi="Arial" w:cs="Arial"/>
          <w:b/>
          <w:sz w:val="24"/>
          <w:szCs w:val="24"/>
        </w:rPr>
      </w:pPr>
    </w:p>
    <w:p w14:paraId="7450C59B" w14:textId="749368F5" w:rsidR="0028202E" w:rsidRPr="00A54183" w:rsidRDefault="0028202E" w:rsidP="005350F0">
      <w:pPr>
        <w:pStyle w:val="ListParagraph"/>
        <w:numPr>
          <w:ilvl w:val="0"/>
          <w:numId w:val="1"/>
        </w:numPr>
        <w:spacing w:line="480" w:lineRule="auto"/>
        <w:jc w:val="both"/>
        <w:rPr>
          <w:rFonts w:ascii="Arial" w:hAnsi="Arial" w:cs="Arial"/>
          <w:b/>
          <w:sz w:val="24"/>
          <w:szCs w:val="24"/>
        </w:rPr>
      </w:pPr>
      <w:r w:rsidRPr="00502FB7">
        <w:rPr>
          <w:rFonts w:ascii="Arial" w:hAnsi="Arial" w:cs="Arial"/>
          <w:sz w:val="24"/>
          <w:szCs w:val="24"/>
        </w:rPr>
        <w:lastRenderedPageBreak/>
        <w:t>The First Respond</w:t>
      </w:r>
      <w:r w:rsidR="0089412F">
        <w:rPr>
          <w:rFonts w:ascii="Arial" w:hAnsi="Arial" w:cs="Arial"/>
          <w:sz w:val="24"/>
          <w:szCs w:val="24"/>
        </w:rPr>
        <w:t>ent further submitted</w:t>
      </w:r>
      <w:r w:rsidR="00632226">
        <w:rPr>
          <w:rFonts w:ascii="Arial" w:hAnsi="Arial" w:cs="Arial"/>
          <w:sz w:val="24"/>
          <w:szCs w:val="24"/>
        </w:rPr>
        <w:t xml:space="preserve"> that the Confirmatory A</w:t>
      </w:r>
      <w:r w:rsidRPr="00502FB7">
        <w:rPr>
          <w:rFonts w:ascii="Arial" w:hAnsi="Arial" w:cs="Arial"/>
          <w:sz w:val="24"/>
          <w:szCs w:val="24"/>
        </w:rPr>
        <w:t xml:space="preserve">ffidavit </w:t>
      </w:r>
      <w:r w:rsidR="0089412F">
        <w:rPr>
          <w:rFonts w:ascii="Arial" w:hAnsi="Arial" w:cs="Arial"/>
          <w:sz w:val="24"/>
          <w:szCs w:val="24"/>
        </w:rPr>
        <w:t xml:space="preserve">deposed to </w:t>
      </w:r>
      <w:r w:rsidRPr="00502FB7">
        <w:rPr>
          <w:rFonts w:ascii="Arial" w:hAnsi="Arial" w:cs="Arial"/>
          <w:sz w:val="24"/>
          <w:szCs w:val="24"/>
        </w:rPr>
        <w:t>by the Second Applicant, who is an Insolvency Practitioner, can also not have personal knowledge of the central facts relating to the A</w:t>
      </w:r>
      <w:r w:rsidR="0089412F">
        <w:rPr>
          <w:rFonts w:ascii="Arial" w:hAnsi="Arial" w:cs="Arial"/>
          <w:sz w:val="24"/>
          <w:szCs w:val="24"/>
        </w:rPr>
        <w:t>pplicants</w:t>
      </w:r>
      <w:r w:rsidR="002E1BB9">
        <w:rPr>
          <w:rFonts w:ascii="Arial" w:hAnsi="Arial" w:cs="Arial"/>
          <w:sz w:val="24"/>
          <w:szCs w:val="24"/>
        </w:rPr>
        <w:t>’</w:t>
      </w:r>
      <w:r w:rsidR="0089412F">
        <w:rPr>
          <w:rFonts w:ascii="Arial" w:hAnsi="Arial" w:cs="Arial"/>
          <w:sz w:val="24"/>
          <w:szCs w:val="24"/>
        </w:rPr>
        <w:t xml:space="preserve"> case. It was mooted</w:t>
      </w:r>
      <w:r w:rsidRPr="00502FB7">
        <w:rPr>
          <w:rFonts w:ascii="Arial" w:hAnsi="Arial" w:cs="Arial"/>
          <w:sz w:val="24"/>
          <w:szCs w:val="24"/>
        </w:rPr>
        <w:t xml:space="preserve"> that if regard is had to t</w:t>
      </w:r>
      <w:r w:rsidR="00B4613D">
        <w:rPr>
          <w:rFonts w:ascii="Arial" w:hAnsi="Arial" w:cs="Arial"/>
          <w:sz w:val="24"/>
          <w:szCs w:val="24"/>
        </w:rPr>
        <w:t>h</w:t>
      </w:r>
      <w:r w:rsidRPr="00502FB7">
        <w:rPr>
          <w:rFonts w:ascii="Arial" w:hAnsi="Arial" w:cs="Arial"/>
          <w:sz w:val="24"/>
          <w:szCs w:val="24"/>
        </w:rPr>
        <w:t xml:space="preserve">e content of the affidavit, even on a </w:t>
      </w:r>
      <w:r w:rsidRPr="00502FB7">
        <w:rPr>
          <w:rFonts w:ascii="Arial" w:hAnsi="Arial" w:cs="Arial"/>
          <w:i/>
          <w:sz w:val="24"/>
          <w:szCs w:val="24"/>
        </w:rPr>
        <w:t>prima facie</w:t>
      </w:r>
      <w:r w:rsidRPr="00502FB7">
        <w:rPr>
          <w:rFonts w:ascii="Arial" w:hAnsi="Arial" w:cs="Arial"/>
          <w:sz w:val="24"/>
          <w:szCs w:val="24"/>
        </w:rPr>
        <w:t xml:space="preserve"> basis, same does not support the central factual allegatio</w:t>
      </w:r>
      <w:r w:rsidR="009C1565">
        <w:rPr>
          <w:rFonts w:ascii="Arial" w:hAnsi="Arial" w:cs="Arial"/>
          <w:sz w:val="24"/>
          <w:szCs w:val="24"/>
        </w:rPr>
        <w:t>ns made by the deponent to the Founding A</w:t>
      </w:r>
      <w:r w:rsidRPr="00502FB7">
        <w:rPr>
          <w:rFonts w:ascii="Arial" w:hAnsi="Arial" w:cs="Arial"/>
          <w:sz w:val="24"/>
          <w:szCs w:val="24"/>
        </w:rPr>
        <w:t>ffidavit. First Respond</w:t>
      </w:r>
      <w:r w:rsidR="002B74EE">
        <w:rPr>
          <w:rFonts w:ascii="Arial" w:hAnsi="Arial" w:cs="Arial"/>
          <w:sz w:val="24"/>
          <w:szCs w:val="24"/>
        </w:rPr>
        <w:t>ent further</w:t>
      </w:r>
      <w:r w:rsidR="0089412F">
        <w:rPr>
          <w:rFonts w:ascii="Arial" w:hAnsi="Arial" w:cs="Arial"/>
          <w:sz w:val="24"/>
          <w:szCs w:val="24"/>
        </w:rPr>
        <w:t>more argued</w:t>
      </w:r>
      <w:r w:rsidR="002B74EE">
        <w:rPr>
          <w:rFonts w:ascii="Arial" w:hAnsi="Arial" w:cs="Arial"/>
          <w:sz w:val="24"/>
          <w:szCs w:val="24"/>
        </w:rPr>
        <w:t xml:space="preserve"> that the Confirmatory A</w:t>
      </w:r>
      <w:r w:rsidRPr="00502FB7">
        <w:rPr>
          <w:rFonts w:ascii="Arial" w:hAnsi="Arial" w:cs="Arial"/>
          <w:sz w:val="24"/>
          <w:szCs w:val="24"/>
        </w:rPr>
        <w:t>ffidavit attested to by Ma</w:t>
      </w:r>
      <w:r w:rsidR="00A97D08">
        <w:rPr>
          <w:rFonts w:ascii="Arial" w:hAnsi="Arial" w:cs="Arial"/>
          <w:sz w:val="24"/>
          <w:szCs w:val="24"/>
        </w:rPr>
        <w:t>ttheus Hendrikus Roos</w:t>
      </w:r>
      <w:r w:rsidR="00683323">
        <w:rPr>
          <w:rFonts w:ascii="Arial" w:hAnsi="Arial" w:cs="Arial"/>
          <w:sz w:val="24"/>
          <w:szCs w:val="24"/>
        </w:rPr>
        <w:t xml:space="preserve"> (Mr Roos”)</w:t>
      </w:r>
      <w:r w:rsidR="00A97D08">
        <w:rPr>
          <w:rFonts w:ascii="Arial" w:hAnsi="Arial" w:cs="Arial"/>
          <w:sz w:val="24"/>
          <w:szCs w:val="24"/>
        </w:rPr>
        <w:t>, together with the Applicant</w:t>
      </w:r>
      <w:r w:rsidRPr="00502FB7">
        <w:rPr>
          <w:rFonts w:ascii="Arial" w:hAnsi="Arial" w:cs="Arial"/>
          <w:sz w:val="24"/>
          <w:szCs w:val="24"/>
        </w:rPr>
        <w:t>s</w:t>
      </w:r>
      <w:r w:rsidR="002E1BB9">
        <w:rPr>
          <w:rFonts w:ascii="Arial" w:hAnsi="Arial" w:cs="Arial"/>
          <w:sz w:val="24"/>
          <w:szCs w:val="24"/>
        </w:rPr>
        <w:t>’</w:t>
      </w:r>
      <w:r w:rsidRPr="00502FB7">
        <w:rPr>
          <w:rFonts w:ascii="Arial" w:hAnsi="Arial" w:cs="Arial"/>
          <w:sz w:val="24"/>
          <w:szCs w:val="24"/>
        </w:rPr>
        <w:t xml:space="preserve"> Replying Affidavit, is of no assistance to the Applicants</w:t>
      </w:r>
      <w:r w:rsidR="00525D67">
        <w:rPr>
          <w:rFonts w:ascii="Arial" w:hAnsi="Arial" w:cs="Arial"/>
          <w:sz w:val="24"/>
          <w:szCs w:val="24"/>
        </w:rPr>
        <w:t>. In this regard, Mr Roos, the Managing D</w:t>
      </w:r>
      <w:r w:rsidRPr="00502FB7">
        <w:rPr>
          <w:rFonts w:ascii="Arial" w:hAnsi="Arial" w:cs="Arial"/>
          <w:sz w:val="24"/>
          <w:szCs w:val="24"/>
        </w:rPr>
        <w:t>irector of Darling Brewery (Pty) Ltd, merely confirms that Darling Brewery (Pty) Ltd is a credito</w:t>
      </w:r>
      <w:r w:rsidR="00C20851">
        <w:rPr>
          <w:rFonts w:ascii="Arial" w:hAnsi="Arial" w:cs="Arial"/>
          <w:sz w:val="24"/>
          <w:szCs w:val="24"/>
        </w:rPr>
        <w:t>r of the First Applicant and Mr</w:t>
      </w:r>
      <w:r w:rsidRPr="00502FB7">
        <w:rPr>
          <w:rFonts w:ascii="Arial" w:hAnsi="Arial" w:cs="Arial"/>
          <w:sz w:val="24"/>
          <w:szCs w:val="24"/>
        </w:rPr>
        <w:t xml:space="preserve"> Ferreira; that it brought  respective liquidation and sequestr</w:t>
      </w:r>
      <w:r w:rsidR="008445E0">
        <w:rPr>
          <w:rFonts w:ascii="Arial" w:hAnsi="Arial" w:cs="Arial"/>
          <w:sz w:val="24"/>
          <w:szCs w:val="24"/>
        </w:rPr>
        <w:t>ation applications; and that Mr</w:t>
      </w:r>
      <w:r w:rsidRPr="00502FB7">
        <w:rPr>
          <w:rFonts w:ascii="Arial" w:hAnsi="Arial" w:cs="Arial"/>
          <w:sz w:val="24"/>
          <w:szCs w:val="24"/>
        </w:rPr>
        <w:t xml:space="preserve"> Roos confirms the Founding Affidav</w:t>
      </w:r>
      <w:r w:rsidR="008445E0">
        <w:rPr>
          <w:rFonts w:ascii="Arial" w:hAnsi="Arial" w:cs="Arial"/>
          <w:sz w:val="24"/>
          <w:szCs w:val="24"/>
        </w:rPr>
        <w:t>it and Replying Affidavit of Mr</w:t>
      </w:r>
      <w:r w:rsidRPr="00502FB7">
        <w:rPr>
          <w:rFonts w:ascii="Arial" w:hAnsi="Arial" w:cs="Arial"/>
          <w:sz w:val="24"/>
          <w:szCs w:val="24"/>
        </w:rPr>
        <w:t xml:space="preserve"> Marx, confirming the correctness thereof insofar as it relates to “any dealing of Da</w:t>
      </w:r>
      <w:r w:rsidR="008445E0">
        <w:rPr>
          <w:rFonts w:ascii="Arial" w:hAnsi="Arial" w:cs="Arial"/>
          <w:sz w:val="24"/>
          <w:szCs w:val="24"/>
        </w:rPr>
        <w:t>rling Brewery (Pty) Ltd with Mr.</w:t>
      </w:r>
      <w:r w:rsidRPr="00502FB7">
        <w:rPr>
          <w:rFonts w:ascii="Arial" w:hAnsi="Arial" w:cs="Arial"/>
          <w:sz w:val="24"/>
          <w:szCs w:val="24"/>
        </w:rPr>
        <w:t xml:space="preserve"> Ferreira and the First Applicant and any information which was in my possession that was conveyed to Mr. Marx”.</w:t>
      </w:r>
      <w:r>
        <w:rPr>
          <w:rStyle w:val="FootnoteReference"/>
          <w:rFonts w:ascii="Arial" w:hAnsi="Arial" w:cs="Arial"/>
          <w:sz w:val="24"/>
          <w:szCs w:val="24"/>
        </w:rPr>
        <w:footnoteReference w:id="9"/>
      </w:r>
      <w:r w:rsidRPr="00502FB7">
        <w:rPr>
          <w:rFonts w:ascii="Arial" w:hAnsi="Arial" w:cs="Arial"/>
          <w:sz w:val="24"/>
          <w:szCs w:val="24"/>
        </w:rPr>
        <w:t xml:space="preserve"> </w:t>
      </w:r>
    </w:p>
    <w:p w14:paraId="19A64F5A" w14:textId="77777777" w:rsidR="00A54183" w:rsidRPr="00A54183" w:rsidRDefault="00A54183" w:rsidP="00A54183">
      <w:pPr>
        <w:pStyle w:val="ListParagraph"/>
        <w:spacing w:line="480" w:lineRule="auto"/>
        <w:ind w:left="0"/>
        <w:jc w:val="both"/>
        <w:rPr>
          <w:rFonts w:ascii="Arial" w:hAnsi="Arial" w:cs="Arial"/>
          <w:b/>
          <w:sz w:val="24"/>
          <w:szCs w:val="24"/>
        </w:rPr>
      </w:pPr>
    </w:p>
    <w:p w14:paraId="61831A97" w14:textId="4715224F" w:rsidR="00A54183" w:rsidRPr="00C42388" w:rsidRDefault="00A54183" w:rsidP="005350F0">
      <w:pPr>
        <w:pStyle w:val="ListParagraph"/>
        <w:numPr>
          <w:ilvl w:val="0"/>
          <w:numId w:val="1"/>
        </w:numPr>
        <w:spacing w:line="480" w:lineRule="auto"/>
        <w:jc w:val="both"/>
        <w:rPr>
          <w:rFonts w:ascii="Arial" w:hAnsi="Arial" w:cs="Arial"/>
          <w:b/>
          <w:sz w:val="24"/>
          <w:szCs w:val="24"/>
        </w:rPr>
      </w:pPr>
      <w:r>
        <w:rPr>
          <w:rFonts w:ascii="Arial" w:hAnsi="Arial" w:cs="Arial"/>
          <w:sz w:val="24"/>
          <w:szCs w:val="24"/>
        </w:rPr>
        <w:t>The Applicant</w:t>
      </w:r>
      <w:r w:rsidR="00B52F37">
        <w:rPr>
          <w:rFonts w:ascii="Arial" w:hAnsi="Arial" w:cs="Arial"/>
          <w:sz w:val="24"/>
          <w:szCs w:val="24"/>
        </w:rPr>
        <w:t>s,</w:t>
      </w:r>
      <w:r w:rsidR="00067802">
        <w:rPr>
          <w:rFonts w:ascii="Arial" w:hAnsi="Arial" w:cs="Arial"/>
          <w:sz w:val="24"/>
          <w:szCs w:val="24"/>
        </w:rPr>
        <w:t xml:space="preserve"> on the other hand</w:t>
      </w:r>
      <w:r w:rsidR="00B52F37">
        <w:rPr>
          <w:rFonts w:ascii="Arial" w:hAnsi="Arial" w:cs="Arial"/>
          <w:sz w:val="24"/>
          <w:szCs w:val="24"/>
        </w:rPr>
        <w:t>,</w:t>
      </w:r>
      <w:r>
        <w:rPr>
          <w:rFonts w:ascii="Arial" w:hAnsi="Arial" w:cs="Arial"/>
          <w:sz w:val="24"/>
          <w:szCs w:val="24"/>
        </w:rPr>
        <w:t xml:space="preserve"> contended that the Founding Affidavit is to be read in conjunction with the Particulars of Claim.</w:t>
      </w:r>
      <w:r w:rsidR="00C42388">
        <w:rPr>
          <w:rFonts w:ascii="Arial" w:hAnsi="Arial" w:cs="Arial"/>
          <w:sz w:val="24"/>
          <w:szCs w:val="24"/>
        </w:rPr>
        <w:t xml:space="preserve"> In addition, it is submitted that the Replying Affidavit attaches a Confirmatory Affidavit of Mr Roos who is the Managing Director of Darling Brewery (Pty) Ltd.</w:t>
      </w:r>
    </w:p>
    <w:p w14:paraId="5EE7D8E8" w14:textId="77777777" w:rsidR="00C42388" w:rsidRPr="00C42388" w:rsidRDefault="00C42388" w:rsidP="00C42388">
      <w:pPr>
        <w:pStyle w:val="ListParagraph"/>
        <w:rPr>
          <w:rFonts w:ascii="Arial" w:hAnsi="Arial" w:cs="Arial"/>
          <w:b/>
          <w:sz w:val="24"/>
          <w:szCs w:val="24"/>
        </w:rPr>
      </w:pPr>
    </w:p>
    <w:p w14:paraId="6F3A2AA0" w14:textId="5D9E5F06" w:rsidR="00C42388" w:rsidRPr="00502FB7" w:rsidRDefault="00C42388" w:rsidP="005E0468">
      <w:pPr>
        <w:pStyle w:val="ListParagraph"/>
        <w:numPr>
          <w:ilvl w:val="0"/>
          <w:numId w:val="1"/>
        </w:numPr>
        <w:spacing w:line="480" w:lineRule="auto"/>
        <w:jc w:val="both"/>
        <w:rPr>
          <w:rFonts w:ascii="Arial" w:hAnsi="Arial" w:cs="Arial"/>
          <w:b/>
          <w:sz w:val="24"/>
          <w:szCs w:val="24"/>
        </w:rPr>
      </w:pPr>
      <w:r>
        <w:rPr>
          <w:rFonts w:ascii="Arial" w:hAnsi="Arial" w:cs="Arial"/>
          <w:sz w:val="24"/>
          <w:szCs w:val="24"/>
        </w:rPr>
        <w:t xml:space="preserve">It is apparent that Mr Marx had since deposing to the Founding Affidavit, become an admitted legal practitioner and is enrolled as an attorney. I am satisfied that the Confirmatory Affidavit in which Mr Roos confirms having read the Founding </w:t>
      </w:r>
      <w:r>
        <w:rPr>
          <w:rFonts w:ascii="Arial" w:hAnsi="Arial" w:cs="Arial"/>
          <w:sz w:val="24"/>
          <w:szCs w:val="24"/>
        </w:rPr>
        <w:lastRenderedPageBreak/>
        <w:t>Affidavit and Replying Affidavit deposed to by Mr Marx and confirmed under oath the correctness thereof insofar as it relates to any dealings of Darling Brewery (Pty) Ltd with Mr Ferreira and the First Applicant and any information which was in his possession that was conveyed to Mr Marx.</w:t>
      </w:r>
      <w:r w:rsidR="00CB70AB">
        <w:rPr>
          <w:rFonts w:ascii="Arial" w:hAnsi="Arial" w:cs="Arial"/>
          <w:sz w:val="24"/>
          <w:szCs w:val="24"/>
        </w:rPr>
        <w:t xml:space="preserve"> Consequently, I </w:t>
      </w:r>
      <w:r w:rsidR="005E0468">
        <w:rPr>
          <w:rFonts w:ascii="Arial" w:hAnsi="Arial" w:cs="Arial"/>
          <w:sz w:val="24"/>
          <w:szCs w:val="24"/>
        </w:rPr>
        <w:t xml:space="preserve">find that </w:t>
      </w:r>
      <w:r w:rsidR="005E0468" w:rsidRPr="00502FB7">
        <w:rPr>
          <w:rFonts w:ascii="Arial" w:hAnsi="Arial" w:cs="Arial"/>
          <w:sz w:val="24"/>
          <w:szCs w:val="24"/>
        </w:rPr>
        <w:t>central factual allegatio</w:t>
      </w:r>
      <w:r w:rsidR="005E0468">
        <w:rPr>
          <w:rFonts w:ascii="Arial" w:hAnsi="Arial" w:cs="Arial"/>
          <w:sz w:val="24"/>
          <w:szCs w:val="24"/>
        </w:rPr>
        <w:t>ns are sufficiently verified.</w:t>
      </w:r>
    </w:p>
    <w:p w14:paraId="2309897C" w14:textId="29A22486" w:rsidR="00CB70AB" w:rsidRDefault="00CB70AB" w:rsidP="004410A7">
      <w:pPr>
        <w:pStyle w:val="ListParagraph"/>
        <w:spacing w:after="0" w:line="480" w:lineRule="auto"/>
        <w:ind w:left="0"/>
        <w:jc w:val="both"/>
        <w:rPr>
          <w:rFonts w:ascii="Arial" w:hAnsi="Arial" w:cs="Arial"/>
          <w:b/>
          <w:sz w:val="24"/>
          <w:szCs w:val="24"/>
        </w:rPr>
      </w:pPr>
    </w:p>
    <w:p w14:paraId="32C2FA03" w14:textId="24F340CC" w:rsidR="004410A7" w:rsidRPr="00A50ED9" w:rsidRDefault="004410A7" w:rsidP="004410A7">
      <w:pPr>
        <w:pStyle w:val="ListParagraph"/>
        <w:spacing w:after="0" w:line="480" w:lineRule="auto"/>
        <w:ind w:left="0"/>
        <w:jc w:val="both"/>
        <w:rPr>
          <w:rFonts w:ascii="Arial" w:hAnsi="Arial" w:cs="Arial"/>
          <w:b/>
          <w:sz w:val="24"/>
          <w:szCs w:val="24"/>
        </w:rPr>
      </w:pPr>
      <w:r>
        <w:rPr>
          <w:rFonts w:ascii="Arial" w:hAnsi="Arial" w:cs="Arial"/>
          <w:b/>
          <w:sz w:val="24"/>
          <w:szCs w:val="24"/>
        </w:rPr>
        <w:t>Consent to jurisdiction</w:t>
      </w:r>
    </w:p>
    <w:p w14:paraId="7CFE2452" w14:textId="17AC58BC" w:rsidR="004410A7" w:rsidRPr="001F3C50" w:rsidRDefault="004410A7" w:rsidP="004410A7">
      <w:pPr>
        <w:pStyle w:val="ListParagraph"/>
        <w:numPr>
          <w:ilvl w:val="0"/>
          <w:numId w:val="1"/>
        </w:numPr>
        <w:spacing w:after="0" w:line="480" w:lineRule="auto"/>
        <w:jc w:val="both"/>
        <w:rPr>
          <w:rFonts w:ascii="Arial" w:hAnsi="Arial" w:cs="Arial"/>
          <w:b/>
          <w:sz w:val="24"/>
          <w:szCs w:val="24"/>
        </w:rPr>
      </w:pPr>
      <w:r>
        <w:rPr>
          <w:rFonts w:ascii="Arial" w:hAnsi="Arial" w:cs="Arial"/>
          <w:sz w:val="24"/>
          <w:szCs w:val="24"/>
        </w:rPr>
        <w:t>It is trite that for an application to confirm jurisdiction to be brought, it is incumbent on an Applicant to demonstrate that th</w:t>
      </w:r>
      <w:r w:rsidR="006D1F30">
        <w:rPr>
          <w:rFonts w:ascii="Arial" w:hAnsi="Arial" w:cs="Arial"/>
          <w:sz w:val="24"/>
          <w:szCs w:val="24"/>
        </w:rPr>
        <w:t>ere is some basis on which the C</w:t>
      </w:r>
      <w:r>
        <w:rPr>
          <w:rFonts w:ascii="Arial" w:hAnsi="Arial" w:cs="Arial"/>
          <w:sz w:val="24"/>
          <w:szCs w:val="24"/>
        </w:rPr>
        <w:t xml:space="preserve">ourt can have jurisdiction. </w:t>
      </w:r>
      <w:r>
        <w:rPr>
          <w:rFonts w:ascii="Arial" w:hAnsi="Arial" w:cs="Arial"/>
          <w:i/>
          <w:sz w:val="24"/>
          <w:szCs w:val="24"/>
        </w:rPr>
        <w:t xml:space="preserve">In casu </w:t>
      </w:r>
      <w:r>
        <w:rPr>
          <w:rFonts w:ascii="Arial" w:hAnsi="Arial" w:cs="Arial"/>
          <w:sz w:val="24"/>
          <w:szCs w:val="24"/>
        </w:rPr>
        <w:t>the First Respondent does not dispute that this Court has jurisdiction. However, t</w:t>
      </w:r>
      <w:r w:rsidRPr="00D159C6">
        <w:rPr>
          <w:rFonts w:ascii="Arial" w:hAnsi="Arial" w:cs="Arial"/>
          <w:sz w:val="24"/>
          <w:szCs w:val="24"/>
        </w:rPr>
        <w:t>he Applicants contend</w:t>
      </w:r>
      <w:r w:rsidR="00BF1AE5">
        <w:rPr>
          <w:rFonts w:ascii="Arial" w:hAnsi="Arial" w:cs="Arial"/>
          <w:sz w:val="24"/>
          <w:szCs w:val="24"/>
        </w:rPr>
        <w:t>ed</w:t>
      </w:r>
      <w:r w:rsidRPr="00D159C6">
        <w:rPr>
          <w:rFonts w:ascii="Arial" w:hAnsi="Arial" w:cs="Arial"/>
          <w:sz w:val="24"/>
          <w:szCs w:val="24"/>
        </w:rPr>
        <w:t xml:space="preserve"> that a consent to jurisdiction after the attachment has been made, is not a ground for the attachment to be discharged. </w:t>
      </w:r>
    </w:p>
    <w:p w14:paraId="3CC458D2" w14:textId="77777777" w:rsidR="004410A7" w:rsidRPr="00B236CD" w:rsidRDefault="004410A7" w:rsidP="004410A7">
      <w:pPr>
        <w:pStyle w:val="ListParagraph"/>
        <w:spacing w:after="0" w:line="480" w:lineRule="auto"/>
        <w:ind w:left="0"/>
        <w:jc w:val="both"/>
        <w:rPr>
          <w:rFonts w:ascii="Arial" w:hAnsi="Arial" w:cs="Arial"/>
          <w:b/>
          <w:i/>
          <w:sz w:val="24"/>
          <w:szCs w:val="24"/>
        </w:rPr>
      </w:pPr>
    </w:p>
    <w:p w14:paraId="0A0FB274" w14:textId="6FA6C2E3" w:rsidR="00280DC2" w:rsidRPr="00280DC2" w:rsidRDefault="004410A7" w:rsidP="00280DC2">
      <w:pPr>
        <w:pStyle w:val="ListParagraph"/>
        <w:numPr>
          <w:ilvl w:val="0"/>
          <w:numId w:val="1"/>
        </w:numPr>
        <w:spacing w:after="0" w:line="480" w:lineRule="auto"/>
        <w:jc w:val="both"/>
        <w:rPr>
          <w:rFonts w:ascii="Arial" w:hAnsi="Arial" w:cs="Arial"/>
          <w:sz w:val="24"/>
          <w:szCs w:val="24"/>
        </w:rPr>
      </w:pPr>
      <w:r>
        <w:rPr>
          <w:rFonts w:ascii="Arial" w:hAnsi="Arial" w:cs="Arial"/>
          <w:sz w:val="24"/>
          <w:szCs w:val="24"/>
        </w:rPr>
        <w:t xml:space="preserve"> </w:t>
      </w:r>
      <w:r w:rsidR="00525D67">
        <w:rPr>
          <w:rFonts w:ascii="Arial" w:hAnsi="Arial" w:cs="Arial"/>
          <w:sz w:val="24"/>
          <w:szCs w:val="24"/>
        </w:rPr>
        <w:t xml:space="preserve">Consent on its own cannot confer jurisdiction unless the Plaintiff is an </w:t>
      </w:r>
      <w:r w:rsidR="00525D67" w:rsidRPr="00525D67">
        <w:rPr>
          <w:rFonts w:ascii="Arial" w:hAnsi="Arial" w:cs="Arial"/>
          <w:i/>
          <w:sz w:val="24"/>
          <w:szCs w:val="24"/>
        </w:rPr>
        <w:t>incola</w:t>
      </w:r>
      <w:r w:rsidR="00525D67">
        <w:rPr>
          <w:rFonts w:ascii="Arial" w:hAnsi="Arial" w:cs="Arial"/>
          <w:sz w:val="24"/>
          <w:szCs w:val="24"/>
        </w:rPr>
        <w:t xml:space="preserve">. The matter of </w:t>
      </w:r>
      <w:r w:rsidR="00525D67">
        <w:rPr>
          <w:rFonts w:ascii="Arial" w:hAnsi="Arial" w:cs="Arial"/>
          <w:b/>
          <w:i/>
          <w:sz w:val="24"/>
          <w:szCs w:val="24"/>
        </w:rPr>
        <w:t xml:space="preserve">Tsung and Another v Industrial Development Corporation of South Africa Ltd. And Another </w:t>
      </w:r>
      <w:r w:rsidR="00280DC2">
        <w:rPr>
          <w:rStyle w:val="FootnoteReference"/>
          <w:rFonts w:ascii="Arial" w:hAnsi="Arial" w:cs="Arial"/>
          <w:b/>
          <w:i/>
          <w:sz w:val="24"/>
          <w:szCs w:val="24"/>
        </w:rPr>
        <w:footnoteReference w:id="10"/>
      </w:r>
      <w:r>
        <w:rPr>
          <w:rFonts w:ascii="Arial" w:hAnsi="Arial" w:cs="Arial"/>
          <w:b/>
          <w:i/>
          <w:sz w:val="24"/>
          <w:szCs w:val="24"/>
        </w:rPr>
        <w:t xml:space="preserve"> </w:t>
      </w:r>
      <w:r w:rsidRPr="00B236CD">
        <w:rPr>
          <w:rFonts w:ascii="Arial" w:hAnsi="Arial" w:cs="Arial"/>
          <w:i/>
          <w:sz w:val="24"/>
          <w:szCs w:val="24"/>
        </w:rPr>
        <w:t>(supra)</w:t>
      </w:r>
      <w:r w:rsidR="000C3AAE">
        <w:rPr>
          <w:rFonts w:ascii="Arial" w:hAnsi="Arial" w:cs="Arial"/>
          <w:sz w:val="24"/>
          <w:szCs w:val="24"/>
        </w:rPr>
        <w:t xml:space="preserve"> deals with the rationale for jurisdiction as follows:</w:t>
      </w:r>
    </w:p>
    <w:p w14:paraId="43C88DAF" w14:textId="61086479" w:rsidR="00280DC2" w:rsidRPr="00F35A3D" w:rsidRDefault="00525D67" w:rsidP="00280DC2">
      <w:pPr>
        <w:spacing w:line="360" w:lineRule="auto"/>
        <w:ind w:left="720" w:right="720"/>
        <w:jc w:val="both"/>
        <w:rPr>
          <w:rFonts w:ascii="Arial" w:hAnsi="Arial" w:cs="Arial"/>
          <w:i/>
        </w:rPr>
      </w:pPr>
      <w:r>
        <w:rPr>
          <w:rFonts w:ascii="Arial" w:hAnsi="Arial" w:cs="Arial"/>
          <w:i/>
        </w:rPr>
        <w:t>‘</w:t>
      </w:r>
      <w:r w:rsidR="00280DC2" w:rsidRPr="00F35A3D">
        <w:rPr>
          <w:rFonts w:ascii="Arial" w:hAnsi="Arial" w:cs="Arial"/>
          <w:i/>
        </w:rPr>
        <w:t>The rationale for jurisdiction is often said to be one of effectiveness, and attachment is historically and logically closely related to this principle; but not only has the principle of effectiveness been eroded</w:t>
      </w:r>
      <w:r w:rsidR="00280DC2" w:rsidRPr="00F35A3D">
        <w:rPr>
          <w:rFonts w:ascii="Arial" w:hAnsi="Arial" w:cs="Arial"/>
          <w:i/>
          <w:vertAlign w:val="superscript"/>
        </w:rPr>
        <w:footnoteReference w:id="11"/>
      </w:r>
      <w:r w:rsidR="00280DC2" w:rsidRPr="00F35A3D">
        <w:rPr>
          <w:rFonts w:ascii="Arial" w:hAnsi="Arial" w:cs="Arial"/>
          <w:i/>
        </w:rPr>
        <w:t xml:space="preserve"> (Forsyth says ‘it is artificial and conceptual rather than realistic’),</w:t>
      </w:r>
      <w:r w:rsidR="00280DC2" w:rsidRPr="00F35A3D">
        <w:rPr>
          <w:rFonts w:ascii="Arial" w:hAnsi="Arial" w:cs="Arial"/>
          <w:i/>
          <w:vertAlign w:val="superscript"/>
        </w:rPr>
        <w:footnoteReference w:id="12"/>
      </w:r>
      <w:r w:rsidR="00280DC2" w:rsidRPr="00F35A3D">
        <w:rPr>
          <w:rFonts w:ascii="Arial" w:hAnsi="Arial" w:cs="Arial"/>
          <w:i/>
        </w:rPr>
        <w:t xml:space="preserve"> effectiveness is also not necessarily a criterion for the existence of jurisdiction.</w:t>
      </w:r>
      <w:r w:rsidR="00280DC2" w:rsidRPr="00F35A3D">
        <w:rPr>
          <w:rFonts w:ascii="Arial" w:hAnsi="Arial" w:cs="Arial"/>
          <w:i/>
          <w:vertAlign w:val="superscript"/>
        </w:rPr>
        <w:footnoteReference w:id="13"/>
      </w:r>
      <w:r w:rsidR="00280DC2" w:rsidRPr="00F35A3D">
        <w:rPr>
          <w:rFonts w:ascii="Arial" w:hAnsi="Arial" w:cs="Arial"/>
          <w:i/>
        </w:rPr>
        <w:t xml:space="preserve"> In one instance effectiveness is non-existent and that is in the case of submission to jurisdiction (also referred to as prorogation). The reason is this: if a peregrine defendant has submitted – whether unilaterally or by agreement – to the jurisdiction of the court of the </w:t>
      </w:r>
      <w:r w:rsidR="00280DC2" w:rsidRPr="00F35A3D">
        <w:rPr>
          <w:rFonts w:ascii="Arial" w:hAnsi="Arial" w:cs="Arial"/>
          <w:i/>
        </w:rPr>
        <w:lastRenderedPageBreak/>
        <w:t>incola, an attachment or arrest to found or confirm jurisdiction is not only unnecessary, it is not permitted.</w:t>
      </w:r>
      <w:r w:rsidR="00280DC2" w:rsidRPr="00F35A3D">
        <w:rPr>
          <w:rFonts w:ascii="Arial" w:hAnsi="Arial" w:cs="Arial"/>
          <w:i/>
          <w:vertAlign w:val="superscript"/>
        </w:rPr>
        <w:footnoteReference w:id="14"/>
      </w:r>
      <w:r w:rsidR="00280DC2" w:rsidRPr="00F35A3D">
        <w:rPr>
          <w:rFonts w:ascii="Arial" w:hAnsi="Arial" w:cs="Arial"/>
          <w:i/>
        </w:rPr>
        <w:t xml:space="preserve"> (Consent on its own cannot confer jurisdiction unless the plaintiff is an incola.)</w:t>
      </w:r>
      <w:r w:rsidR="00280DC2" w:rsidRPr="00F35A3D">
        <w:rPr>
          <w:rFonts w:ascii="Arial" w:hAnsi="Arial" w:cs="Arial"/>
          <w:i/>
          <w:vertAlign w:val="superscript"/>
        </w:rPr>
        <w:footnoteReference w:id="15"/>
      </w:r>
      <w:r w:rsidR="00280DC2" w:rsidRPr="00F35A3D">
        <w:rPr>
          <w:rFonts w:ascii="Arial" w:hAnsi="Arial" w:cs="Arial"/>
          <w:i/>
        </w:rPr>
        <w:t xml:space="preserve"> There are good commercial reasons for this.</w:t>
      </w:r>
      <w:r w:rsidR="00280DC2" w:rsidRPr="00F35A3D">
        <w:rPr>
          <w:rFonts w:ascii="Arial" w:hAnsi="Arial" w:cs="Arial"/>
          <w:i/>
          <w:vertAlign w:val="superscript"/>
        </w:rPr>
        <w:footnoteReference w:id="16"/>
      </w:r>
      <w:r w:rsidR="00280DC2" w:rsidRPr="00F35A3D">
        <w:rPr>
          <w:rFonts w:ascii="Arial" w:hAnsi="Arial" w:cs="Arial"/>
          <w:i/>
        </w:rPr>
        <w:t xml:space="preserve"> </w:t>
      </w:r>
    </w:p>
    <w:p w14:paraId="7FF0448B" w14:textId="77777777" w:rsidR="00280DC2" w:rsidRPr="00F35A3D" w:rsidRDefault="00280DC2" w:rsidP="00280DC2">
      <w:pPr>
        <w:spacing w:line="360" w:lineRule="auto"/>
        <w:ind w:left="1440" w:right="1440"/>
        <w:jc w:val="both"/>
        <w:rPr>
          <w:rFonts w:ascii="Arial" w:hAnsi="Arial" w:cs="Arial"/>
          <w:i/>
          <w:sz w:val="20"/>
          <w:szCs w:val="20"/>
        </w:rPr>
      </w:pPr>
      <w:r w:rsidRPr="00F35A3D">
        <w:rPr>
          <w:rFonts w:ascii="Arial" w:hAnsi="Arial" w:cs="Arial"/>
          <w:i/>
          <w:sz w:val="20"/>
          <w:szCs w:val="20"/>
        </w:rPr>
        <w:t>‘Foreigners who submit voluntarily to the jurisdiction of our Courts should not have to fear that thereafter they or their property are at any time and without notice subject to attachment whenever an incola can satisfy a Court that he has a prima facie case against them.’</w:t>
      </w:r>
      <w:r w:rsidRPr="00F35A3D">
        <w:rPr>
          <w:rFonts w:ascii="Arial" w:hAnsi="Arial" w:cs="Arial"/>
          <w:i/>
          <w:sz w:val="20"/>
          <w:szCs w:val="20"/>
          <w:vertAlign w:val="superscript"/>
        </w:rPr>
        <w:footnoteReference w:id="17"/>
      </w:r>
    </w:p>
    <w:p w14:paraId="3548F099" w14:textId="43ACCC41" w:rsidR="00280DC2" w:rsidRPr="00280DC2" w:rsidRDefault="00280DC2" w:rsidP="00280DC2">
      <w:pPr>
        <w:spacing w:line="360" w:lineRule="auto"/>
        <w:ind w:left="720" w:right="720"/>
        <w:jc w:val="both"/>
        <w:rPr>
          <w:rFonts w:ascii="Arial" w:hAnsi="Arial" w:cs="Arial"/>
          <w:i/>
        </w:rPr>
      </w:pPr>
      <w:r w:rsidRPr="00F35A3D">
        <w:rPr>
          <w:rFonts w:ascii="Arial" w:hAnsi="Arial" w:cs="Arial"/>
          <w:i/>
        </w:rPr>
        <w:t xml:space="preserve"> In addition, the ensuing judgment will be internationally enforceable; will be recognised by the courts of the defendant’s domicile; and binds the whole property of the defendant.</w:t>
      </w:r>
      <w:r w:rsidRPr="00F35A3D">
        <w:rPr>
          <w:rFonts w:ascii="Arial" w:hAnsi="Arial" w:cs="Arial"/>
          <w:i/>
          <w:vertAlign w:val="superscript"/>
        </w:rPr>
        <w:footnoteReference w:id="18"/>
      </w:r>
      <w:r w:rsidRPr="00F35A3D">
        <w:rPr>
          <w:rFonts w:ascii="Arial" w:hAnsi="Arial" w:cs="Arial"/>
          <w:i/>
        </w:rPr>
        <w:t xml:space="preserve"> The downside is that the plaintiff will have to pursue the defendant in order to have the judgment enforced.</w:t>
      </w:r>
      <w:r w:rsidR="00195166">
        <w:rPr>
          <w:rFonts w:ascii="Arial" w:hAnsi="Arial" w:cs="Arial"/>
          <w:i/>
        </w:rPr>
        <w:t>’</w:t>
      </w:r>
      <w:r w:rsidRPr="00F35A3D">
        <w:rPr>
          <w:rFonts w:ascii="Arial" w:hAnsi="Arial" w:cs="Arial"/>
          <w:i/>
          <w:vertAlign w:val="superscript"/>
        </w:rPr>
        <w:footnoteReference w:id="19"/>
      </w:r>
    </w:p>
    <w:p w14:paraId="469B8A54" w14:textId="77777777" w:rsidR="00280DC2" w:rsidRPr="00280DC2" w:rsidRDefault="00280DC2" w:rsidP="00280DC2">
      <w:pPr>
        <w:pStyle w:val="ListParagraph"/>
        <w:rPr>
          <w:rFonts w:ascii="Arial" w:hAnsi="Arial" w:cs="Arial"/>
          <w:sz w:val="24"/>
          <w:szCs w:val="24"/>
        </w:rPr>
      </w:pPr>
    </w:p>
    <w:p w14:paraId="53905405" w14:textId="02CAEA5B" w:rsidR="004410A7" w:rsidRPr="00280DC2" w:rsidRDefault="00280DC2" w:rsidP="00280DC2">
      <w:pPr>
        <w:pStyle w:val="ListParagraph"/>
        <w:numPr>
          <w:ilvl w:val="0"/>
          <w:numId w:val="1"/>
        </w:numPr>
        <w:spacing w:after="0" w:line="480" w:lineRule="auto"/>
        <w:jc w:val="both"/>
        <w:rPr>
          <w:rFonts w:ascii="Arial" w:hAnsi="Arial" w:cs="Arial"/>
          <w:sz w:val="24"/>
          <w:szCs w:val="24"/>
        </w:rPr>
      </w:pPr>
      <w:r>
        <w:rPr>
          <w:rFonts w:ascii="Arial" w:hAnsi="Arial" w:cs="Arial"/>
          <w:sz w:val="24"/>
          <w:szCs w:val="24"/>
        </w:rPr>
        <w:t xml:space="preserve">The matter of </w:t>
      </w:r>
      <w:r w:rsidRPr="00DF71DD">
        <w:rPr>
          <w:rFonts w:ascii="Arial" w:hAnsi="Arial" w:cs="Arial"/>
          <w:sz w:val="24"/>
          <w:szCs w:val="24"/>
        </w:rPr>
        <w:t xml:space="preserve"> </w:t>
      </w:r>
      <w:r w:rsidRPr="00DF71DD">
        <w:rPr>
          <w:rFonts w:ascii="Arial" w:hAnsi="Arial" w:cs="Arial"/>
          <w:b/>
          <w:i/>
          <w:sz w:val="24"/>
          <w:szCs w:val="24"/>
        </w:rPr>
        <w:t>Bettencourt v Kom</w:t>
      </w:r>
      <w:r w:rsidR="00DA3352">
        <w:rPr>
          <w:rFonts w:ascii="Arial" w:hAnsi="Arial" w:cs="Arial"/>
          <w:b/>
          <w:i/>
          <w:sz w:val="24"/>
          <w:szCs w:val="24"/>
        </w:rPr>
        <w:t xml:space="preserve"> and Another (National Airways Corporation (Pty) Ltd Intervening)</w:t>
      </w:r>
      <w:r>
        <w:rPr>
          <w:rStyle w:val="FootnoteReference"/>
          <w:rFonts w:ascii="Arial" w:hAnsi="Arial" w:cs="Arial"/>
          <w:b/>
          <w:i/>
          <w:sz w:val="24"/>
          <w:szCs w:val="24"/>
        </w:rPr>
        <w:footnoteReference w:id="20"/>
      </w:r>
      <w:r>
        <w:rPr>
          <w:rFonts w:ascii="Arial" w:hAnsi="Arial" w:cs="Arial"/>
          <w:sz w:val="24"/>
          <w:szCs w:val="24"/>
        </w:rPr>
        <w:t xml:space="preserve"> was referenced in </w:t>
      </w:r>
      <w:r>
        <w:rPr>
          <w:rFonts w:ascii="Arial" w:hAnsi="Arial" w:cs="Arial"/>
          <w:b/>
          <w:i/>
          <w:sz w:val="24"/>
          <w:szCs w:val="24"/>
        </w:rPr>
        <w:t xml:space="preserve">Tsung and Another </w:t>
      </w:r>
      <w:r w:rsidRPr="00B236CD">
        <w:rPr>
          <w:rFonts w:ascii="Arial" w:hAnsi="Arial" w:cs="Arial"/>
          <w:i/>
          <w:sz w:val="24"/>
          <w:szCs w:val="24"/>
        </w:rPr>
        <w:t>(supra)</w:t>
      </w:r>
      <w:r>
        <w:rPr>
          <w:rFonts w:ascii="Arial" w:hAnsi="Arial" w:cs="Arial"/>
          <w:sz w:val="24"/>
          <w:szCs w:val="24"/>
        </w:rPr>
        <w:t xml:space="preserve">, </w:t>
      </w:r>
      <w:r w:rsidR="004410A7" w:rsidRPr="00280DC2">
        <w:rPr>
          <w:rFonts w:ascii="Arial" w:hAnsi="Arial" w:cs="Arial"/>
          <w:sz w:val="24"/>
          <w:szCs w:val="24"/>
        </w:rPr>
        <w:t xml:space="preserve">where it was held that a late consent cannot undo an attachment but added that the </w:t>
      </w:r>
      <w:r w:rsidR="004410A7" w:rsidRPr="00280DC2">
        <w:rPr>
          <w:rFonts w:ascii="Arial" w:hAnsi="Arial" w:cs="Arial"/>
          <w:i/>
          <w:sz w:val="24"/>
          <w:szCs w:val="24"/>
        </w:rPr>
        <w:t>peregrinus</w:t>
      </w:r>
      <w:r w:rsidR="004410A7" w:rsidRPr="00280DC2">
        <w:rPr>
          <w:rFonts w:ascii="Arial" w:hAnsi="Arial" w:cs="Arial"/>
          <w:sz w:val="24"/>
          <w:szCs w:val="24"/>
        </w:rPr>
        <w:t xml:space="preserve"> who belatedly consents is not necessarily without redress. Hartzenberg J stated as follows:</w:t>
      </w:r>
    </w:p>
    <w:p w14:paraId="62F41496" w14:textId="562E6295" w:rsidR="004410A7" w:rsidRDefault="004410A7" w:rsidP="004410A7">
      <w:pPr>
        <w:pStyle w:val="ListParagraph"/>
        <w:spacing w:after="0" w:line="360" w:lineRule="auto"/>
        <w:ind w:right="720"/>
        <w:jc w:val="both"/>
        <w:rPr>
          <w:rFonts w:ascii="Arial" w:hAnsi="Arial" w:cs="Arial"/>
          <w:i/>
        </w:rPr>
      </w:pPr>
      <w:r w:rsidRPr="001F3C50">
        <w:rPr>
          <w:rFonts w:ascii="Arial" w:hAnsi="Arial" w:cs="Arial"/>
          <w:i/>
        </w:rPr>
        <w:t>‘I consider myself not to be entitled to set aside the attachment which was validly made in this case. It is any event my view that the correct way to relieve the position of a defendant, who consents to jurisdiction after an attachment and who is inequitably extorted by the attachment, even if he has a good defence, is by an application, as was done in the case of Banks v Henshaw 196</w:t>
      </w:r>
      <w:r w:rsidR="0099591E">
        <w:rPr>
          <w:rFonts w:ascii="Arial" w:hAnsi="Arial" w:cs="Arial"/>
          <w:i/>
        </w:rPr>
        <w:t>2</w:t>
      </w:r>
      <w:r w:rsidRPr="001F3C50">
        <w:rPr>
          <w:rFonts w:ascii="Arial" w:hAnsi="Arial" w:cs="Arial"/>
          <w:i/>
        </w:rPr>
        <w:t xml:space="preserve"> (3) SA 464 (D). In such an application a Court ought to be at large to look at all the circumstances of the case, such as the amount of the claim, the likelihood of the plaintiff succeeding, the financial position of the defendant, the </w:t>
      </w:r>
      <w:r w:rsidRPr="001F3C50">
        <w:rPr>
          <w:rFonts w:ascii="Arial" w:hAnsi="Arial" w:cs="Arial"/>
          <w:i/>
        </w:rPr>
        <w:lastRenderedPageBreak/>
        <w:t>ease or otherwise of executing on a judgment in the country of domicile of the defendant, the hardship to the defendant if the attachment remains and similar considerations. The Court can then decide if the attachment is to remain unaltered or if it is to be reduced, set aside, or substituted with some other form of attachment or security.’</w:t>
      </w:r>
      <w:r w:rsidRPr="001F3C50">
        <w:rPr>
          <w:rStyle w:val="FootnoteReference"/>
          <w:rFonts w:ascii="Arial" w:hAnsi="Arial" w:cs="Arial"/>
          <w:i/>
        </w:rPr>
        <w:footnoteReference w:id="21"/>
      </w:r>
    </w:p>
    <w:p w14:paraId="48C6B75A" w14:textId="77777777" w:rsidR="004410A7" w:rsidRPr="001F3C50" w:rsidRDefault="004410A7" w:rsidP="004410A7">
      <w:pPr>
        <w:pStyle w:val="ListParagraph"/>
        <w:spacing w:after="0" w:line="360" w:lineRule="auto"/>
        <w:ind w:right="720"/>
        <w:jc w:val="both"/>
        <w:rPr>
          <w:rFonts w:ascii="Arial" w:hAnsi="Arial" w:cs="Arial"/>
          <w:i/>
        </w:rPr>
      </w:pPr>
    </w:p>
    <w:p w14:paraId="4F7C821B" w14:textId="1066EC8A" w:rsidR="00502FB7" w:rsidRPr="009844C3" w:rsidRDefault="009844C3" w:rsidP="0028202E">
      <w:pPr>
        <w:pStyle w:val="ListParagraph"/>
        <w:numPr>
          <w:ilvl w:val="0"/>
          <w:numId w:val="1"/>
        </w:numPr>
        <w:spacing w:after="0" w:line="480" w:lineRule="auto"/>
        <w:jc w:val="both"/>
        <w:rPr>
          <w:rFonts w:ascii="Arial" w:hAnsi="Arial" w:cs="Arial"/>
          <w:sz w:val="24"/>
          <w:szCs w:val="24"/>
        </w:rPr>
      </w:pPr>
      <w:r>
        <w:rPr>
          <w:rFonts w:ascii="Arial" w:hAnsi="Arial" w:cs="Arial"/>
          <w:sz w:val="24"/>
          <w:szCs w:val="24"/>
        </w:rPr>
        <w:t>I am of the view that that the First Respondent’s consent to jurisdiction is not dispositive of this matter. The attachment cannot in the mili</w:t>
      </w:r>
      <w:r w:rsidR="00FF38E9">
        <w:rPr>
          <w:rFonts w:ascii="Arial" w:hAnsi="Arial" w:cs="Arial"/>
          <w:sz w:val="24"/>
          <w:szCs w:val="24"/>
        </w:rPr>
        <w:t>eu of the factual matrix of the m</w:t>
      </w:r>
      <w:r>
        <w:rPr>
          <w:rFonts w:ascii="Arial" w:hAnsi="Arial" w:cs="Arial"/>
          <w:sz w:val="24"/>
          <w:szCs w:val="24"/>
        </w:rPr>
        <w:t xml:space="preserve">atter </w:t>
      </w:r>
      <w:r w:rsidRPr="009844C3">
        <w:rPr>
          <w:rFonts w:ascii="Arial" w:hAnsi="Arial" w:cs="Arial"/>
          <w:i/>
          <w:sz w:val="24"/>
          <w:szCs w:val="24"/>
        </w:rPr>
        <w:t xml:space="preserve">in casu </w:t>
      </w:r>
      <w:r>
        <w:rPr>
          <w:rFonts w:ascii="Arial" w:hAnsi="Arial" w:cs="Arial"/>
          <w:sz w:val="24"/>
          <w:szCs w:val="24"/>
        </w:rPr>
        <w:t>be undone without considering the matter in its entirety</w:t>
      </w:r>
      <w:r w:rsidR="006778B3">
        <w:rPr>
          <w:rFonts w:ascii="Arial" w:hAnsi="Arial" w:cs="Arial"/>
          <w:sz w:val="24"/>
          <w:szCs w:val="24"/>
        </w:rPr>
        <w:t>. T</w:t>
      </w:r>
      <w:r w:rsidR="00C47F98">
        <w:rPr>
          <w:rFonts w:ascii="Arial" w:hAnsi="Arial" w:cs="Arial"/>
          <w:sz w:val="24"/>
          <w:szCs w:val="24"/>
        </w:rPr>
        <w:t>his Court is bidden</w:t>
      </w:r>
      <w:r>
        <w:rPr>
          <w:rFonts w:ascii="Arial" w:hAnsi="Arial" w:cs="Arial"/>
          <w:sz w:val="24"/>
          <w:szCs w:val="24"/>
        </w:rPr>
        <w:t xml:space="preserve"> to consider all the </w:t>
      </w:r>
      <w:r w:rsidR="006778B3">
        <w:rPr>
          <w:rFonts w:ascii="Arial" w:hAnsi="Arial" w:cs="Arial"/>
          <w:sz w:val="24"/>
          <w:szCs w:val="24"/>
        </w:rPr>
        <w:t>unique circumstances of this particular</w:t>
      </w:r>
      <w:r>
        <w:rPr>
          <w:rFonts w:ascii="Arial" w:hAnsi="Arial" w:cs="Arial"/>
          <w:sz w:val="24"/>
          <w:szCs w:val="24"/>
        </w:rPr>
        <w:t xml:space="preserve"> case</w:t>
      </w:r>
      <w:r w:rsidR="006778B3">
        <w:rPr>
          <w:rFonts w:ascii="Arial" w:hAnsi="Arial" w:cs="Arial"/>
          <w:sz w:val="24"/>
          <w:szCs w:val="24"/>
        </w:rPr>
        <w:t xml:space="preserve"> in order to make a determination as to whether the attachment is to remain unaltered or if it is to be set aside or substituted with the alternative relief sought.</w:t>
      </w:r>
    </w:p>
    <w:p w14:paraId="1F25315E" w14:textId="77777777" w:rsidR="00A56494" w:rsidRDefault="00A56494" w:rsidP="00A56494">
      <w:pPr>
        <w:pStyle w:val="ListParagraph"/>
        <w:spacing w:line="480" w:lineRule="auto"/>
        <w:ind w:left="0"/>
        <w:jc w:val="both"/>
        <w:rPr>
          <w:rFonts w:ascii="Arial" w:hAnsi="Arial" w:cs="Arial"/>
          <w:b/>
          <w:sz w:val="24"/>
          <w:szCs w:val="24"/>
        </w:rPr>
      </w:pPr>
    </w:p>
    <w:p w14:paraId="3018679B" w14:textId="5F1E0EA8" w:rsidR="00A56494" w:rsidRDefault="00A56494" w:rsidP="00A56494">
      <w:pPr>
        <w:pStyle w:val="ListParagraph"/>
        <w:spacing w:line="480" w:lineRule="auto"/>
        <w:ind w:left="0"/>
        <w:jc w:val="both"/>
        <w:rPr>
          <w:rFonts w:ascii="Arial" w:hAnsi="Arial" w:cs="Arial"/>
          <w:b/>
          <w:sz w:val="24"/>
          <w:szCs w:val="24"/>
        </w:rPr>
      </w:pPr>
      <w:r>
        <w:rPr>
          <w:rFonts w:ascii="Arial" w:hAnsi="Arial" w:cs="Arial"/>
          <w:b/>
          <w:sz w:val="24"/>
          <w:szCs w:val="24"/>
        </w:rPr>
        <w:t>Prescription of the Claim</w:t>
      </w:r>
    </w:p>
    <w:p w14:paraId="334B6CDE" w14:textId="4C88D767" w:rsidR="00A56494" w:rsidRPr="00584B8F" w:rsidRDefault="00A56494" w:rsidP="00A56494">
      <w:pPr>
        <w:pStyle w:val="ListParagraph"/>
        <w:numPr>
          <w:ilvl w:val="0"/>
          <w:numId w:val="1"/>
        </w:numPr>
        <w:spacing w:line="480" w:lineRule="auto"/>
        <w:jc w:val="both"/>
        <w:rPr>
          <w:rFonts w:ascii="Arial" w:hAnsi="Arial" w:cs="Arial"/>
          <w:b/>
          <w:sz w:val="24"/>
          <w:szCs w:val="24"/>
        </w:rPr>
      </w:pPr>
      <w:r>
        <w:rPr>
          <w:rFonts w:ascii="Arial" w:hAnsi="Arial" w:cs="Arial"/>
          <w:sz w:val="24"/>
          <w:szCs w:val="24"/>
        </w:rPr>
        <w:t>The First Respondent has stated that the claim against her has prescribed. It is apparent that she has not set out the b</w:t>
      </w:r>
      <w:r w:rsidR="000F31A6">
        <w:rPr>
          <w:rFonts w:ascii="Arial" w:hAnsi="Arial" w:cs="Arial"/>
          <w:sz w:val="24"/>
          <w:szCs w:val="24"/>
        </w:rPr>
        <w:t>asis for the allegation in the Answering A</w:t>
      </w:r>
      <w:r>
        <w:rPr>
          <w:rFonts w:ascii="Arial" w:hAnsi="Arial" w:cs="Arial"/>
          <w:sz w:val="24"/>
          <w:szCs w:val="24"/>
        </w:rPr>
        <w:t>ffidavit. The onus rests o</w:t>
      </w:r>
      <w:r w:rsidR="00EE1586">
        <w:rPr>
          <w:rFonts w:ascii="Arial" w:hAnsi="Arial" w:cs="Arial"/>
          <w:sz w:val="24"/>
          <w:szCs w:val="24"/>
        </w:rPr>
        <w:t>n</w:t>
      </w:r>
      <w:r>
        <w:rPr>
          <w:rFonts w:ascii="Arial" w:hAnsi="Arial" w:cs="Arial"/>
          <w:sz w:val="24"/>
          <w:szCs w:val="24"/>
        </w:rPr>
        <w:t xml:space="preserve"> the First Respondent to demonstrate the basis for submitting that the claim has prescribed. In this regard, there is no submission as to the date on which prescription would begin. According to the Applicants they aver that they only became aware of the various claims against the First Respondent shortly before the insolvency interrogation in August 2020 and as such any claims would ordinarily prescribe in August 2023.</w:t>
      </w:r>
    </w:p>
    <w:p w14:paraId="6F9C4608" w14:textId="77777777" w:rsidR="00A56494" w:rsidRPr="00584B8F" w:rsidRDefault="00A56494" w:rsidP="00A56494">
      <w:pPr>
        <w:pStyle w:val="ListParagraph"/>
        <w:spacing w:line="480" w:lineRule="auto"/>
        <w:ind w:left="0"/>
        <w:jc w:val="both"/>
        <w:rPr>
          <w:rFonts w:ascii="Arial" w:hAnsi="Arial" w:cs="Arial"/>
          <w:b/>
          <w:sz w:val="24"/>
          <w:szCs w:val="24"/>
        </w:rPr>
      </w:pPr>
    </w:p>
    <w:p w14:paraId="59378263" w14:textId="38BC6C20" w:rsidR="00A56494" w:rsidRPr="00CF38C7" w:rsidRDefault="00A56494" w:rsidP="00A56494">
      <w:pPr>
        <w:pStyle w:val="ListParagraph"/>
        <w:numPr>
          <w:ilvl w:val="0"/>
          <w:numId w:val="1"/>
        </w:numPr>
        <w:spacing w:line="480" w:lineRule="auto"/>
        <w:jc w:val="both"/>
        <w:rPr>
          <w:rFonts w:ascii="Arial" w:hAnsi="Arial" w:cs="Arial"/>
          <w:b/>
          <w:sz w:val="24"/>
          <w:szCs w:val="24"/>
        </w:rPr>
      </w:pPr>
      <w:r>
        <w:rPr>
          <w:rFonts w:ascii="Arial" w:hAnsi="Arial" w:cs="Arial"/>
          <w:sz w:val="24"/>
          <w:szCs w:val="24"/>
        </w:rPr>
        <w:t xml:space="preserve">It must be borne in mind that the First Respondent left South Africa in February 2023 which would delay prescription as set out in Section 13 of the </w:t>
      </w:r>
      <w:r>
        <w:rPr>
          <w:rFonts w:ascii="Arial" w:hAnsi="Arial" w:cs="Arial"/>
          <w:sz w:val="24"/>
          <w:szCs w:val="24"/>
        </w:rPr>
        <w:lastRenderedPageBreak/>
        <w:t>Prescription Act</w:t>
      </w:r>
      <w:r>
        <w:rPr>
          <w:rStyle w:val="FootnoteReference"/>
          <w:rFonts w:ascii="Arial" w:hAnsi="Arial" w:cs="Arial"/>
          <w:sz w:val="24"/>
          <w:szCs w:val="24"/>
        </w:rPr>
        <w:footnoteReference w:id="22"/>
      </w:r>
      <w:r w:rsidR="00EE1586">
        <w:rPr>
          <w:rFonts w:ascii="Arial" w:hAnsi="Arial" w:cs="Arial"/>
          <w:sz w:val="24"/>
          <w:szCs w:val="24"/>
        </w:rPr>
        <w:t>,</w:t>
      </w:r>
      <w:r>
        <w:rPr>
          <w:rStyle w:val="FootnoteReference"/>
          <w:rFonts w:ascii="Arial" w:hAnsi="Arial" w:cs="Arial"/>
          <w:sz w:val="24"/>
          <w:szCs w:val="24"/>
        </w:rPr>
        <w:footnoteReference w:id="23"/>
      </w:r>
      <w:r w:rsidR="00EE1586">
        <w:rPr>
          <w:rFonts w:ascii="Arial" w:hAnsi="Arial" w:cs="Arial"/>
          <w:sz w:val="24"/>
          <w:szCs w:val="24"/>
        </w:rPr>
        <w:t>.</w:t>
      </w:r>
      <w:r>
        <w:rPr>
          <w:rFonts w:ascii="Arial" w:hAnsi="Arial" w:cs="Arial"/>
          <w:sz w:val="24"/>
          <w:szCs w:val="24"/>
        </w:rPr>
        <w:t xml:space="preserve"> It is uncontroverted that Mr Ferreira left for Poland in 2019. In terms of the Prescription Act, the period of prescription has been interrupted in respect of the First Respondent and would only run upon he</w:t>
      </w:r>
      <w:r w:rsidR="00EC08FB">
        <w:rPr>
          <w:rFonts w:ascii="Arial" w:hAnsi="Arial" w:cs="Arial"/>
          <w:sz w:val="24"/>
          <w:szCs w:val="24"/>
        </w:rPr>
        <w:t>r return to South Africa. It is apposite to note</w:t>
      </w:r>
      <w:r>
        <w:rPr>
          <w:rFonts w:ascii="Arial" w:hAnsi="Arial" w:cs="Arial"/>
          <w:sz w:val="24"/>
          <w:szCs w:val="24"/>
        </w:rPr>
        <w:t xml:space="preserve"> that the First Respondent is aware of the claim against her.</w:t>
      </w:r>
    </w:p>
    <w:p w14:paraId="027C6D32" w14:textId="77777777" w:rsidR="00CF38C7" w:rsidRPr="00CF38C7" w:rsidRDefault="00CF38C7" w:rsidP="00CF38C7">
      <w:pPr>
        <w:pStyle w:val="ListParagraph"/>
        <w:rPr>
          <w:rFonts w:ascii="Arial" w:hAnsi="Arial" w:cs="Arial"/>
          <w:b/>
          <w:sz w:val="24"/>
          <w:szCs w:val="24"/>
        </w:rPr>
      </w:pPr>
    </w:p>
    <w:p w14:paraId="32B0FDDA" w14:textId="76130FEA" w:rsidR="00CF38C7" w:rsidRDefault="00CF38C7" w:rsidP="00A56494">
      <w:pPr>
        <w:pStyle w:val="ListParagraph"/>
        <w:numPr>
          <w:ilvl w:val="0"/>
          <w:numId w:val="1"/>
        </w:numPr>
        <w:spacing w:line="480" w:lineRule="auto"/>
        <w:jc w:val="both"/>
        <w:rPr>
          <w:rFonts w:ascii="Arial" w:hAnsi="Arial" w:cs="Arial"/>
          <w:b/>
          <w:sz w:val="24"/>
          <w:szCs w:val="24"/>
        </w:rPr>
      </w:pPr>
      <w:r>
        <w:rPr>
          <w:rFonts w:ascii="Arial" w:hAnsi="Arial" w:cs="Arial"/>
          <w:sz w:val="24"/>
          <w:szCs w:val="24"/>
        </w:rPr>
        <w:t>Consequently, I am not persuaded that the First Respondent has demonstrated any reasons in suppo</w:t>
      </w:r>
      <w:r w:rsidR="004E4AB3">
        <w:rPr>
          <w:rFonts w:ascii="Arial" w:hAnsi="Arial" w:cs="Arial"/>
          <w:sz w:val="24"/>
          <w:szCs w:val="24"/>
        </w:rPr>
        <w:t xml:space="preserve">rt of this ground of opposition and </w:t>
      </w:r>
      <w:r>
        <w:rPr>
          <w:rFonts w:ascii="Arial" w:hAnsi="Arial" w:cs="Arial"/>
          <w:sz w:val="24"/>
          <w:szCs w:val="24"/>
        </w:rPr>
        <w:t>am satisfied that the period of prescription has been interrupted in terms of the Prescription Act.</w:t>
      </w:r>
    </w:p>
    <w:p w14:paraId="42E58168" w14:textId="77777777" w:rsidR="003A2BBE" w:rsidRDefault="003A2BBE" w:rsidP="0028202E">
      <w:pPr>
        <w:pStyle w:val="ListParagraph"/>
        <w:spacing w:line="480" w:lineRule="auto"/>
        <w:ind w:left="0"/>
        <w:jc w:val="both"/>
        <w:rPr>
          <w:rFonts w:ascii="Arial" w:hAnsi="Arial" w:cs="Arial"/>
          <w:sz w:val="24"/>
          <w:szCs w:val="24"/>
        </w:rPr>
      </w:pPr>
    </w:p>
    <w:p w14:paraId="59B9CD9C" w14:textId="16407C19" w:rsidR="0028202E" w:rsidRDefault="00502FB7" w:rsidP="0028202E">
      <w:pPr>
        <w:pStyle w:val="ListParagraph"/>
        <w:spacing w:line="480" w:lineRule="auto"/>
        <w:ind w:left="0"/>
        <w:jc w:val="both"/>
        <w:rPr>
          <w:rFonts w:ascii="Arial" w:hAnsi="Arial" w:cs="Arial"/>
          <w:b/>
          <w:sz w:val="24"/>
          <w:szCs w:val="24"/>
        </w:rPr>
      </w:pPr>
      <w:r w:rsidRPr="00434E8A">
        <w:rPr>
          <w:rFonts w:ascii="Arial" w:hAnsi="Arial" w:cs="Arial"/>
          <w:b/>
          <w:i/>
          <w:sz w:val="24"/>
          <w:szCs w:val="24"/>
        </w:rPr>
        <w:t>Prima facie</w:t>
      </w:r>
      <w:r>
        <w:rPr>
          <w:rFonts w:ascii="Arial" w:hAnsi="Arial" w:cs="Arial"/>
          <w:b/>
          <w:sz w:val="24"/>
          <w:szCs w:val="24"/>
        </w:rPr>
        <w:t xml:space="preserve"> case</w:t>
      </w:r>
    </w:p>
    <w:p w14:paraId="19798C6E" w14:textId="52B09A76" w:rsidR="00C817A7" w:rsidRPr="00991C5A" w:rsidRDefault="00C817A7" w:rsidP="00C817A7">
      <w:pPr>
        <w:pStyle w:val="ListParagraph"/>
        <w:numPr>
          <w:ilvl w:val="0"/>
          <w:numId w:val="1"/>
        </w:numPr>
        <w:spacing w:after="0" w:line="480" w:lineRule="auto"/>
        <w:jc w:val="both"/>
        <w:rPr>
          <w:rFonts w:ascii="Arial" w:hAnsi="Arial" w:cs="Arial"/>
          <w:b/>
          <w:sz w:val="24"/>
          <w:szCs w:val="24"/>
        </w:rPr>
      </w:pPr>
      <w:r>
        <w:rPr>
          <w:rFonts w:ascii="Arial" w:hAnsi="Arial" w:cs="Arial"/>
          <w:sz w:val="24"/>
          <w:szCs w:val="24"/>
        </w:rPr>
        <w:t>It is required that the Applicant is to provide evidence</w:t>
      </w:r>
      <w:r w:rsidR="003A2BBE">
        <w:rPr>
          <w:rFonts w:ascii="Arial" w:hAnsi="Arial" w:cs="Arial"/>
          <w:sz w:val="24"/>
          <w:szCs w:val="24"/>
        </w:rPr>
        <w:t>, which if accepted will establish and/or</w:t>
      </w:r>
      <w:r>
        <w:rPr>
          <w:rFonts w:ascii="Arial" w:hAnsi="Arial" w:cs="Arial"/>
          <w:sz w:val="24"/>
          <w:szCs w:val="24"/>
        </w:rPr>
        <w:t xml:space="preserve"> which supports its alleged cause of action</w:t>
      </w:r>
      <w:r>
        <w:rPr>
          <w:rFonts w:ascii="Arial" w:hAnsi="Arial" w:cs="Arial"/>
          <w:b/>
          <w:sz w:val="24"/>
          <w:szCs w:val="24"/>
        </w:rPr>
        <w:t xml:space="preserve">. </w:t>
      </w:r>
      <w:r w:rsidRPr="00B62EE1">
        <w:rPr>
          <w:rFonts w:ascii="Arial" w:eastAsia="Times New Roman" w:hAnsi="Arial" w:cs="Arial"/>
          <w:b/>
          <w:i/>
          <w:sz w:val="24"/>
          <w:szCs w:val="24"/>
          <w:lang w:eastAsia="en-ZA"/>
        </w:rPr>
        <w:t>Hulse-Reutter and Others v Godde</w:t>
      </w:r>
      <w:r>
        <w:rPr>
          <w:rStyle w:val="FootnoteReference"/>
          <w:rFonts w:ascii="Arial" w:eastAsia="Times New Roman" w:hAnsi="Arial" w:cs="Arial"/>
          <w:b/>
          <w:i/>
          <w:sz w:val="24"/>
          <w:szCs w:val="24"/>
          <w:lang w:eastAsia="en-ZA"/>
        </w:rPr>
        <w:footnoteReference w:id="24"/>
      </w:r>
      <w:r w:rsidRPr="00B62EE1">
        <w:rPr>
          <w:rFonts w:ascii="Arial" w:eastAsia="Times New Roman" w:hAnsi="Arial" w:cs="Arial"/>
          <w:sz w:val="24"/>
          <w:szCs w:val="24"/>
          <w:lang w:eastAsia="en-ZA"/>
        </w:rPr>
        <w:t xml:space="preserve"> is instructive on the requirements.</w:t>
      </w:r>
    </w:p>
    <w:p w14:paraId="670D1780" w14:textId="77777777" w:rsidR="00C817A7" w:rsidRPr="00B3380A" w:rsidRDefault="00C817A7" w:rsidP="00C817A7">
      <w:pPr>
        <w:spacing w:line="360" w:lineRule="auto"/>
        <w:ind w:left="720" w:right="720"/>
        <w:rPr>
          <w:rFonts w:ascii="Arial" w:hAnsi="Arial" w:cs="Arial"/>
          <w:i/>
          <w:lang w:val="en-GB"/>
        </w:rPr>
      </w:pPr>
      <w:r>
        <w:rPr>
          <w:rFonts w:ascii="Arial" w:hAnsi="Arial" w:cs="Arial"/>
          <w:i/>
        </w:rPr>
        <w:t>‘</w:t>
      </w:r>
      <w:r w:rsidRPr="00B3380A">
        <w:rPr>
          <w:rFonts w:ascii="Arial" w:hAnsi="Arial" w:cs="Arial"/>
          <w:i/>
        </w:rPr>
        <w:t>[12]</w:t>
      </w:r>
      <w:r w:rsidRPr="00B3380A">
        <w:rPr>
          <w:rFonts w:ascii="Arial" w:hAnsi="Arial" w:cs="Arial"/>
          <w:i/>
        </w:rPr>
        <w:tab/>
      </w:r>
      <w:r w:rsidRPr="00B3380A">
        <w:rPr>
          <w:rFonts w:ascii="Arial" w:hAnsi="Arial" w:cs="Arial"/>
          <w:i/>
        </w:rPr>
        <w:tab/>
        <w:t xml:space="preserve">The requirement of a prima facie case in relation to attachments to found or confirm jurisdictions has over the years been said to be satisfied if an applicant shows that there is evidence which, if accepted, will establish a cause of action and that the mere fact that such evidence is contradicted will not disentitle the applicant to relief – not even if the probabilities are against him; it is only where it is quite clear that the applicant has no action, or cannot succeed, that an attachment should be refused.  This formulation of the test by Steyn J in Bradbury Gretorex Co (Colonial) Ltd v </w:t>
      </w:r>
      <w:r w:rsidRPr="00B3380A">
        <w:rPr>
          <w:rFonts w:ascii="Arial" w:hAnsi="Arial" w:cs="Arial"/>
          <w:i/>
        </w:rPr>
        <w:lastRenderedPageBreak/>
        <w:t>Standard Trading Co (Pty) Ltd 1953 (3) SA 529 (W) at 533 C – D has been applied both by this Court and the Provincial Divisions.  (See eg Cargo Laden and Lately Laden on Board the MV Thalassini Avgi v MV Dimitris 1989 (3</w:t>
      </w:r>
      <w:r>
        <w:rPr>
          <w:rFonts w:ascii="Arial" w:hAnsi="Arial" w:cs="Arial"/>
          <w:i/>
        </w:rPr>
        <w:t xml:space="preserve">) SA 820 (A) at 831 F – 832 B; </w:t>
      </w:r>
      <w:r w:rsidRPr="00B3380A">
        <w:rPr>
          <w:rFonts w:ascii="Arial" w:hAnsi="Arial" w:cs="Arial"/>
          <w:i/>
        </w:rPr>
        <w:t>Weissglass NO v Savonnerie Establishment 1992 (3) SA 928 (A) at 936 E – H.)   One of the considerations justifying what has been described as generally speaking a low-level test (MT Tigr : Owners of the MT Tigr and Another v Transnet Ltd t/a Portnet (Bouygues Offshore SA and Another Intervening)  1998 (3) SA 861 (SCA) at 868 I) is that the primary object of an attachment is to establish jurisdiction;  once that is done the cause of action will in due course have to be established in accordance with the ordinary standard of proof in subsequent proceedings.   (See the Bradbury Gretorex case, supra, at 531 H – 532 A.) No doubt for this reason Nestadt JA, in the Weissglass</w:t>
      </w:r>
      <w:r>
        <w:rPr>
          <w:rFonts w:ascii="Arial" w:hAnsi="Arial" w:cs="Arial"/>
          <w:i/>
        </w:rPr>
        <w:t xml:space="preserve"> case, </w:t>
      </w:r>
      <w:r w:rsidRPr="00B3380A">
        <w:rPr>
          <w:rFonts w:ascii="Arial" w:hAnsi="Arial" w:cs="Arial"/>
          <w:i/>
        </w:rPr>
        <w:t>supra, at 938 H, warned that a court “must be careful not to enter into the merits of the case or at this stage to attempt to adjudicate on credibility, pro</w:t>
      </w:r>
      <w:r>
        <w:rPr>
          <w:rFonts w:ascii="Arial" w:hAnsi="Arial" w:cs="Arial"/>
          <w:i/>
        </w:rPr>
        <w:t xml:space="preserve">babilities or the prospects of </w:t>
      </w:r>
      <w:r w:rsidRPr="00B3380A">
        <w:rPr>
          <w:rFonts w:ascii="Arial" w:hAnsi="Arial" w:cs="Arial"/>
          <w:i/>
        </w:rPr>
        <w:t>success.”</w:t>
      </w:r>
    </w:p>
    <w:p w14:paraId="7C4B7B8A" w14:textId="62FEE91F" w:rsidR="00C817A7" w:rsidRPr="00B3380A" w:rsidRDefault="00C817A7" w:rsidP="00C817A7">
      <w:pPr>
        <w:spacing w:line="360" w:lineRule="auto"/>
        <w:ind w:left="720" w:right="720"/>
        <w:rPr>
          <w:rFonts w:ascii="Arial" w:hAnsi="Arial" w:cs="Arial"/>
          <w:i/>
        </w:rPr>
      </w:pPr>
      <w:r w:rsidRPr="00B3380A">
        <w:rPr>
          <w:rFonts w:ascii="Arial" w:hAnsi="Arial" w:cs="Arial"/>
          <w:i/>
        </w:rPr>
        <w:t>[13]</w:t>
      </w:r>
      <w:r w:rsidRPr="00B3380A">
        <w:rPr>
          <w:rFonts w:ascii="Arial" w:hAnsi="Arial" w:cs="Arial"/>
          <w:i/>
        </w:rPr>
        <w:tab/>
      </w:r>
      <w:r w:rsidRPr="00B3380A">
        <w:rPr>
          <w:rFonts w:ascii="Arial" w:hAnsi="Arial" w:cs="Arial"/>
          <w:i/>
        </w:rPr>
        <w:tab/>
        <w:t>Nonetheless, the remedy is of an exceptional nature and may have far-reaching consequences for the owner of the property attached.   It has accordingly been stressed that the remedy is one that should be applied with care and caution.  (See Thermo Radiant Oven Sales (Pty) Ltd v Nelspruit Bakeries (Pty) Ltd 196</w:t>
      </w:r>
      <w:r>
        <w:rPr>
          <w:rFonts w:ascii="Arial" w:hAnsi="Arial" w:cs="Arial"/>
          <w:i/>
        </w:rPr>
        <w:t xml:space="preserve">9 (2) SA 295 (A) at 302 C – D; </w:t>
      </w:r>
      <w:r w:rsidRPr="00B3380A">
        <w:rPr>
          <w:rFonts w:ascii="Arial" w:hAnsi="Arial" w:cs="Arial"/>
          <w:i/>
        </w:rPr>
        <w:t>Simon NO v Air Operations of Europe AB and Others 1999</w:t>
      </w:r>
      <w:r w:rsidR="00291A6A">
        <w:rPr>
          <w:rFonts w:ascii="Arial" w:hAnsi="Arial" w:cs="Arial"/>
          <w:i/>
        </w:rPr>
        <w:t xml:space="preserve"> </w:t>
      </w:r>
      <w:r w:rsidRPr="00B3380A">
        <w:rPr>
          <w:rFonts w:ascii="Arial" w:hAnsi="Arial" w:cs="Arial"/>
          <w:i/>
        </w:rPr>
        <w:t>(1) SA 217 (SCA) at 228 E – F.)  More recently, in Dabelstein and Others v Lane and Fey NNO 2001 (1) SA 1222 (SCA) at 1227 H – 1228 A, it was suggested that the time may come to reconsider the approach adopted in the past and to have regard also, in the assessment of the evidence, to the allegations in the respondent’s answering affidavit which the applicant cannot contradict.  In the present case, however, the affidavits filed on behalf of the appellants are such that the issue does not arise and it is unnecessary to consider whether the test should be refined in the manner suggested.</w:t>
      </w:r>
    </w:p>
    <w:p w14:paraId="76CF4881" w14:textId="77777777" w:rsidR="00C817A7" w:rsidRDefault="00C817A7" w:rsidP="00C817A7">
      <w:pPr>
        <w:spacing w:after="0" w:line="360" w:lineRule="auto"/>
        <w:ind w:left="720" w:right="720"/>
        <w:rPr>
          <w:rFonts w:ascii="Arial" w:hAnsi="Arial" w:cs="Arial"/>
          <w:i/>
        </w:rPr>
      </w:pPr>
      <w:r w:rsidRPr="00B3380A">
        <w:rPr>
          <w:rFonts w:ascii="Arial" w:hAnsi="Arial" w:cs="Arial"/>
          <w:i/>
        </w:rPr>
        <w:t>[14]</w:t>
      </w:r>
      <w:r w:rsidRPr="00B3380A">
        <w:rPr>
          <w:rFonts w:ascii="Arial" w:hAnsi="Arial" w:cs="Arial"/>
          <w:i/>
        </w:rPr>
        <w:tab/>
      </w:r>
      <w:r w:rsidRPr="00B3380A">
        <w:rPr>
          <w:rFonts w:ascii="Arial" w:hAnsi="Arial" w:cs="Arial"/>
          <w:i/>
        </w:rPr>
        <w:tab/>
        <w:t>What is clear is that the “evidence” on which an applicant relies, save in exceptional cases, must consist of allegations of fact as opposed to mere assertions.     It is only when the assertion amounts to an inference which may reasonably be drawn from the facts alleged that it can have any relevance.  In other words, although some latitude may be allowed, the ordinary principles involved in reasoning by inference cannot simply be ignored.  The inquiry</w:t>
      </w:r>
      <w:r>
        <w:rPr>
          <w:rFonts w:ascii="Arial" w:hAnsi="Arial" w:cs="Arial"/>
          <w:i/>
        </w:rPr>
        <w:t xml:space="preserve"> in civil cases is, of course, </w:t>
      </w:r>
      <w:r w:rsidRPr="00B3380A">
        <w:rPr>
          <w:rFonts w:ascii="Arial" w:hAnsi="Arial" w:cs="Arial"/>
          <w:i/>
        </w:rPr>
        <w:t xml:space="preserve">whether the inference sought </w:t>
      </w:r>
      <w:r w:rsidRPr="00B3380A">
        <w:rPr>
          <w:rFonts w:ascii="Arial" w:hAnsi="Arial" w:cs="Arial"/>
          <w:i/>
        </w:rPr>
        <w:lastRenderedPageBreak/>
        <w:t xml:space="preserve">to be drawn from the facts proved is one which by balancing probabilities is the one which seems to be the more natural or acceptable from several conceivable ones.  (See Govan v Skidmore 1952 (1) SA 732 (N) at 734 B – D as explained by Holmes JA in Ocean Accident and Guarantee Corporation Ltd v Koch 1963 (4) SA 147 (A) at 159 B – D.)    While there need not be rigid compliance with this standard, the inference sought to be drawn, as I have said, must at least be one which may reasonably be drawn from the facts alleged.   If the position were otherwise the requirement of a prima facie </w:t>
      </w:r>
      <w:r>
        <w:rPr>
          <w:rFonts w:ascii="Arial" w:hAnsi="Arial" w:cs="Arial"/>
          <w:i/>
        </w:rPr>
        <w:t xml:space="preserve">case would be rendered all but </w:t>
      </w:r>
      <w:r w:rsidRPr="00B3380A">
        <w:rPr>
          <w:rFonts w:ascii="Arial" w:hAnsi="Arial" w:cs="Arial"/>
          <w:i/>
        </w:rPr>
        <w:t>nugatory.   As previously indicated, there are exceptional cases where the requirement may be relaxed, such as for example where a defendant seeks to attach the property of a peregrine alleged by the defendant, in the alternative to a denial of liability, to be a joint wrongdoer (</w:t>
      </w:r>
      <w:r>
        <w:rPr>
          <w:rFonts w:ascii="Arial" w:hAnsi="Arial" w:cs="Arial"/>
          <w:i/>
        </w:rPr>
        <w:t>cf</w:t>
      </w:r>
      <w:r w:rsidRPr="00B3380A">
        <w:rPr>
          <w:rFonts w:ascii="Arial" w:hAnsi="Arial" w:cs="Arial"/>
          <w:i/>
        </w:rPr>
        <w:t xml:space="preserve"> the MT Tigr case, supra, at 868 I – 871 B).  But nothing like that arises in the present case and the ordinary principles must apply.</w:t>
      </w:r>
      <w:r>
        <w:rPr>
          <w:rFonts w:ascii="Arial" w:hAnsi="Arial" w:cs="Arial"/>
          <w:i/>
        </w:rPr>
        <w:t>’</w:t>
      </w:r>
    </w:p>
    <w:p w14:paraId="091D61F2" w14:textId="77777777" w:rsidR="00C817A7" w:rsidRPr="004410A7" w:rsidRDefault="00C817A7" w:rsidP="00C817A7">
      <w:pPr>
        <w:spacing w:after="0" w:line="360" w:lineRule="auto"/>
        <w:ind w:left="720" w:right="720"/>
        <w:rPr>
          <w:rFonts w:ascii="Arial" w:hAnsi="Arial" w:cs="Arial"/>
          <w:i/>
        </w:rPr>
      </w:pPr>
    </w:p>
    <w:p w14:paraId="09C04442" w14:textId="66137BCB" w:rsidR="00486A18" w:rsidRPr="00DC7702" w:rsidRDefault="00C82751" w:rsidP="00486A18">
      <w:pPr>
        <w:pStyle w:val="ListParagraph"/>
        <w:numPr>
          <w:ilvl w:val="0"/>
          <w:numId w:val="1"/>
        </w:numPr>
        <w:spacing w:line="480" w:lineRule="auto"/>
        <w:jc w:val="both"/>
        <w:rPr>
          <w:rFonts w:ascii="Arial" w:hAnsi="Arial" w:cs="Arial"/>
          <w:b/>
          <w:sz w:val="24"/>
          <w:szCs w:val="24"/>
        </w:rPr>
      </w:pPr>
      <w:r>
        <w:rPr>
          <w:rFonts w:ascii="Arial" w:hAnsi="Arial" w:cs="Arial"/>
          <w:sz w:val="24"/>
          <w:szCs w:val="24"/>
        </w:rPr>
        <w:t xml:space="preserve">The matter of </w:t>
      </w:r>
      <w:r w:rsidR="00823AD0">
        <w:rPr>
          <w:rFonts w:ascii="Arial" w:hAnsi="Arial" w:cs="Arial"/>
          <w:b/>
          <w:i/>
          <w:sz w:val="24"/>
          <w:szCs w:val="24"/>
        </w:rPr>
        <w:t>Obiang v Van Rensburg and Others</w:t>
      </w:r>
      <w:r w:rsidR="00823AD0">
        <w:rPr>
          <w:rStyle w:val="FootnoteReference"/>
          <w:rFonts w:ascii="Arial" w:hAnsi="Arial" w:cs="Arial"/>
          <w:b/>
          <w:i/>
          <w:sz w:val="24"/>
          <w:szCs w:val="24"/>
        </w:rPr>
        <w:footnoteReference w:id="25"/>
      </w:r>
      <w:r w:rsidR="009C169B">
        <w:rPr>
          <w:rFonts w:ascii="Arial" w:hAnsi="Arial" w:cs="Arial"/>
          <w:b/>
          <w:i/>
          <w:sz w:val="24"/>
          <w:szCs w:val="24"/>
        </w:rPr>
        <w:t xml:space="preserve"> </w:t>
      </w:r>
      <w:r w:rsidR="00486A18">
        <w:rPr>
          <w:rFonts w:ascii="Arial" w:hAnsi="Arial" w:cs="Arial"/>
          <w:sz w:val="24"/>
          <w:szCs w:val="24"/>
        </w:rPr>
        <w:t>also</w:t>
      </w:r>
      <w:r w:rsidR="009C169B">
        <w:rPr>
          <w:rFonts w:ascii="Arial" w:hAnsi="Arial" w:cs="Arial"/>
          <w:sz w:val="24"/>
          <w:szCs w:val="24"/>
        </w:rPr>
        <w:t xml:space="preserve"> crystallises what constitutes </w:t>
      </w:r>
      <w:r w:rsidR="00157010">
        <w:rPr>
          <w:rFonts w:ascii="Arial" w:hAnsi="Arial" w:cs="Arial"/>
          <w:sz w:val="24"/>
          <w:szCs w:val="24"/>
        </w:rPr>
        <w:t xml:space="preserve">a </w:t>
      </w:r>
      <w:r w:rsidR="00157010" w:rsidRPr="00157010">
        <w:rPr>
          <w:rFonts w:ascii="Arial" w:hAnsi="Arial" w:cs="Arial"/>
          <w:i/>
          <w:sz w:val="24"/>
          <w:szCs w:val="24"/>
        </w:rPr>
        <w:t>prima facie</w:t>
      </w:r>
      <w:r w:rsidR="003A2D9F">
        <w:rPr>
          <w:rFonts w:ascii="Arial" w:hAnsi="Arial" w:cs="Arial"/>
          <w:sz w:val="24"/>
          <w:szCs w:val="24"/>
        </w:rPr>
        <w:t xml:space="preserve"> case</w:t>
      </w:r>
      <w:r w:rsidR="002A34C4">
        <w:rPr>
          <w:rFonts w:ascii="Arial" w:hAnsi="Arial" w:cs="Arial"/>
          <w:sz w:val="24"/>
          <w:szCs w:val="24"/>
        </w:rPr>
        <w:t>, wherein reference was made to the case</w:t>
      </w:r>
      <w:r w:rsidR="00E566D0">
        <w:rPr>
          <w:rFonts w:ascii="Arial" w:hAnsi="Arial" w:cs="Arial"/>
          <w:sz w:val="24"/>
          <w:szCs w:val="24"/>
        </w:rPr>
        <w:t xml:space="preserve"> of </w:t>
      </w:r>
      <w:r w:rsidR="00E566D0">
        <w:rPr>
          <w:rFonts w:ascii="Arial" w:hAnsi="Arial" w:cs="Arial"/>
          <w:b/>
          <w:i/>
          <w:sz w:val="24"/>
          <w:szCs w:val="24"/>
        </w:rPr>
        <w:t>Inter-Science Research and Development Services (Pty) Ltd v Republica Popular de Mocambique</w:t>
      </w:r>
      <w:r w:rsidR="00E566D0">
        <w:rPr>
          <w:rStyle w:val="FootnoteReference"/>
          <w:rFonts w:ascii="Arial" w:hAnsi="Arial" w:cs="Arial"/>
          <w:b/>
          <w:i/>
          <w:sz w:val="24"/>
          <w:szCs w:val="24"/>
        </w:rPr>
        <w:footnoteReference w:id="26"/>
      </w:r>
      <w:r w:rsidR="00486A18">
        <w:rPr>
          <w:rFonts w:ascii="Arial" w:hAnsi="Arial" w:cs="Arial"/>
          <w:b/>
          <w:i/>
          <w:sz w:val="24"/>
          <w:szCs w:val="24"/>
        </w:rPr>
        <w:t>.</w:t>
      </w:r>
      <w:r w:rsidR="00E566D0">
        <w:rPr>
          <w:rFonts w:ascii="Arial" w:hAnsi="Arial" w:cs="Arial"/>
          <w:b/>
          <w:i/>
          <w:sz w:val="24"/>
          <w:szCs w:val="24"/>
        </w:rPr>
        <w:t xml:space="preserve"> </w:t>
      </w:r>
      <w:r w:rsidR="00E566D0">
        <w:rPr>
          <w:rFonts w:ascii="Arial" w:hAnsi="Arial" w:cs="Arial"/>
          <w:sz w:val="24"/>
          <w:szCs w:val="24"/>
        </w:rPr>
        <w:t xml:space="preserve"> </w:t>
      </w:r>
    </w:p>
    <w:p w14:paraId="1481029A" w14:textId="77777777" w:rsidR="00DC7702" w:rsidRPr="00967FF8" w:rsidRDefault="00DC7702" w:rsidP="00DC7702">
      <w:pPr>
        <w:pStyle w:val="ListParagraph"/>
        <w:spacing w:line="480" w:lineRule="auto"/>
        <w:ind w:left="0"/>
        <w:jc w:val="both"/>
        <w:rPr>
          <w:rFonts w:ascii="Arial" w:hAnsi="Arial" w:cs="Arial"/>
          <w:b/>
          <w:sz w:val="24"/>
          <w:szCs w:val="24"/>
        </w:rPr>
      </w:pPr>
    </w:p>
    <w:p w14:paraId="5449CB3A" w14:textId="65DC621F" w:rsidR="00ED3AC2" w:rsidRPr="00AD0C57" w:rsidRDefault="00FE6A50" w:rsidP="00C414F8">
      <w:pPr>
        <w:pStyle w:val="ListParagraph"/>
        <w:numPr>
          <w:ilvl w:val="0"/>
          <w:numId w:val="1"/>
        </w:numPr>
        <w:spacing w:line="480" w:lineRule="auto"/>
        <w:jc w:val="both"/>
        <w:rPr>
          <w:rFonts w:ascii="Arial" w:hAnsi="Arial" w:cs="Arial"/>
          <w:b/>
          <w:sz w:val="24"/>
          <w:szCs w:val="24"/>
        </w:rPr>
      </w:pPr>
      <w:r w:rsidRPr="002D30B7">
        <w:rPr>
          <w:rFonts w:ascii="Arial" w:hAnsi="Arial" w:cs="Arial"/>
          <w:sz w:val="24"/>
          <w:szCs w:val="24"/>
        </w:rPr>
        <w:t>The Applicant</w:t>
      </w:r>
      <w:r w:rsidR="006A772B">
        <w:rPr>
          <w:rFonts w:ascii="Arial" w:hAnsi="Arial" w:cs="Arial"/>
          <w:sz w:val="24"/>
          <w:szCs w:val="24"/>
        </w:rPr>
        <w:t>s</w:t>
      </w:r>
      <w:r w:rsidRPr="002D30B7">
        <w:rPr>
          <w:rFonts w:ascii="Arial" w:hAnsi="Arial" w:cs="Arial"/>
          <w:sz w:val="24"/>
          <w:szCs w:val="24"/>
        </w:rPr>
        <w:t xml:space="preserve"> submitted that they have a </w:t>
      </w:r>
      <w:r w:rsidRPr="002D30B7">
        <w:rPr>
          <w:rFonts w:ascii="Arial" w:hAnsi="Arial" w:cs="Arial"/>
          <w:i/>
          <w:sz w:val="24"/>
          <w:szCs w:val="24"/>
        </w:rPr>
        <w:t>prima facie</w:t>
      </w:r>
      <w:r w:rsidRPr="002D30B7">
        <w:rPr>
          <w:rFonts w:ascii="Arial" w:hAnsi="Arial" w:cs="Arial"/>
          <w:sz w:val="24"/>
          <w:szCs w:val="24"/>
        </w:rPr>
        <w:t xml:space="preserve"> case against the First Respondent</w:t>
      </w:r>
      <w:r w:rsidR="006A772B">
        <w:rPr>
          <w:rFonts w:ascii="Arial" w:hAnsi="Arial" w:cs="Arial"/>
          <w:sz w:val="24"/>
          <w:szCs w:val="24"/>
        </w:rPr>
        <w:t xml:space="preserve"> as is evident </w:t>
      </w:r>
      <w:r w:rsidR="00A159D6">
        <w:rPr>
          <w:rFonts w:ascii="Arial" w:hAnsi="Arial" w:cs="Arial"/>
          <w:sz w:val="24"/>
          <w:szCs w:val="24"/>
        </w:rPr>
        <w:t>from the Founding A</w:t>
      </w:r>
      <w:r w:rsidR="00C12400">
        <w:rPr>
          <w:rFonts w:ascii="Arial" w:hAnsi="Arial" w:cs="Arial"/>
          <w:sz w:val="24"/>
          <w:szCs w:val="24"/>
        </w:rPr>
        <w:t>ffidavit and Particulars of C</w:t>
      </w:r>
      <w:r w:rsidR="006A772B">
        <w:rPr>
          <w:rFonts w:ascii="Arial" w:hAnsi="Arial" w:cs="Arial"/>
          <w:sz w:val="24"/>
          <w:szCs w:val="24"/>
        </w:rPr>
        <w:t>laim.</w:t>
      </w:r>
      <w:r w:rsidR="009E6AFA">
        <w:rPr>
          <w:rFonts w:ascii="Arial" w:hAnsi="Arial" w:cs="Arial"/>
          <w:sz w:val="24"/>
          <w:szCs w:val="24"/>
        </w:rPr>
        <w:t xml:space="preserve"> The First Respondent contended that the summons which is attached cannot itself be regarded as “evidence” for the purposes of the application as it merely sets out the </w:t>
      </w:r>
      <w:r w:rsidR="009E6AFA">
        <w:rPr>
          <w:rFonts w:ascii="Arial" w:hAnsi="Arial" w:cs="Arial"/>
          <w:sz w:val="24"/>
          <w:szCs w:val="24"/>
        </w:rPr>
        <w:lastRenderedPageBreak/>
        <w:t xml:space="preserve">Applicants case as formulated by their legal representatives, and does not provide the necessary evidence even on a </w:t>
      </w:r>
      <w:r w:rsidR="009E6AFA" w:rsidRPr="008A537C">
        <w:rPr>
          <w:rFonts w:ascii="Arial" w:hAnsi="Arial" w:cs="Arial"/>
          <w:i/>
          <w:sz w:val="24"/>
          <w:szCs w:val="24"/>
        </w:rPr>
        <w:t>prima facie</w:t>
      </w:r>
      <w:r w:rsidR="009E6AFA">
        <w:rPr>
          <w:rFonts w:ascii="Arial" w:hAnsi="Arial" w:cs="Arial"/>
          <w:sz w:val="24"/>
          <w:szCs w:val="24"/>
        </w:rPr>
        <w:t xml:space="preserve"> basis.</w:t>
      </w:r>
      <w:r w:rsidR="009E6AFA">
        <w:rPr>
          <w:rStyle w:val="FootnoteReference"/>
          <w:rFonts w:ascii="Arial" w:hAnsi="Arial" w:cs="Arial"/>
          <w:sz w:val="24"/>
          <w:szCs w:val="24"/>
        </w:rPr>
        <w:footnoteReference w:id="27"/>
      </w:r>
      <w:r w:rsidR="006A772B">
        <w:rPr>
          <w:rFonts w:ascii="Arial" w:hAnsi="Arial" w:cs="Arial"/>
          <w:sz w:val="24"/>
          <w:szCs w:val="24"/>
        </w:rPr>
        <w:t xml:space="preserve"> The Applicants further contended that the First Respondent’s denials that she was party to any fraudulent activity or that the funds which were used to renovate her property came from Mr Ferreira do not disturb that </w:t>
      </w:r>
      <w:r w:rsidR="006A772B" w:rsidRPr="006A772B">
        <w:rPr>
          <w:rFonts w:ascii="Arial" w:hAnsi="Arial" w:cs="Arial"/>
          <w:i/>
          <w:sz w:val="24"/>
          <w:szCs w:val="24"/>
        </w:rPr>
        <w:t>prima facie</w:t>
      </w:r>
      <w:r w:rsidR="006A772B">
        <w:rPr>
          <w:rFonts w:ascii="Arial" w:hAnsi="Arial" w:cs="Arial"/>
          <w:sz w:val="24"/>
          <w:szCs w:val="24"/>
        </w:rPr>
        <w:t xml:space="preserve"> case.</w:t>
      </w:r>
      <w:r w:rsidR="00F5450C">
        <w:rPr>
          <w:rFonts w:ascii="Arial" w:hAnsi="Arial" w:cs="Arial"/>
          <w:sz w:val="24"/>
          <w:szCs w:val="24"/>
        </w:rPr>
        <w:t xml:space="preserve"> In addition, the Applicants argued that the denial by the First Respondent that the R2 million loan she made to Mr Ferreira’s wife was a sham does not bear scrutiny is difficult to reconcile </w:t>
      </w:r>
      <w:r w:rsidR="00AD0C57">
        <w:rPr>
          <w:rFonts w:ascii="Arial" w:hAnsi="Arial" w:cs="Arial"/>
          <w:sz w:val="24"/>
          <w:szCs w:val="24"/>
        </w:rPr>
        <w:t>with her evidence given in the Insolvency E</w:t>
      </w:r>
      <w:r w:rsidR="00F5450C">
        <w:rPr>
          <w:rFonts w:ascii="Arial" w:hAnsi="Arial" w:cs="Arial"/>
          <w:sz w:val="24"/>
          <w:szCs w:val="24"/>
        </w:rPr>
        <w:t>nquiry. In this regard, it was mooted that the First Respondent has not indicated what the terms of the loa</w:t>
      </w:r>
      <w:r w:rsidR="00AD0C57">
        <w:rPr>
          <w:rFonts w:ascii="Arial" w:hAnsi="Arial" w:cs="Arial"/>
          <w:sz w:val="24"/>
          <w:szCs w:val="24"/>
        </w:rPr>
        <w:t>n were and her evidence in the Insolvency E</w:t>
      </w:r>
      <w:r w:rsidR="00F5450C">
        <w:rPr>
          <w:rFonts w:ascii="Arial" w:hAnsi="Arial" w:cs="Arial"/>
          <w:sz w:val="24"/>
          <w:szCs w:val="24"/>
        </w:rPr>
        <w:t>nquiry was that it was for the benefit of her son and his children. It is the Applicants</w:t>
      </w:r>
      <w:r w:rsidR="00D65984">
        <w:rPr>
          <w:rFonts w:ascii="Arial" w:hAnsi="Arial" w:cs="Arial"/>
          <w:sz w:val="24"/>
          <w:szCs w:val="24"/>
        </w:rPr>
        <w:t>’</w:t>
      </w:r>
      <w:r w:rsidR="00F5450C">
        <w:rPr>
          <w:rFonts w:ascii="Arial" w:hAnsi="Arial" w:cs="Arial"/>
          <w:sz w:val="24"/>
          <w:szCs w:val="24"/>
        </w:rPr>
        <w:t xml:space="preserve"> case that when those facts are considered, the rather implausible denials of the First Respondent, together with the facts which the First Respondent cannot deny, demonstrate a fraudulent scheme in order to defraud the company and its creditors.</w:t>
      </w:r>
    </w:p>
    <w:p w14:paraId="5FE995EC" w14:textId="77777777" w:rsidR="00AD0C57" w:rsidRPr="002D30B7" w:rsidRDefault="00AD0C57" w:rsidP="00AD0C57">
      <w:pPr>
        <w:pStyle w:val="ListParagraph"/>
        <w:spacing w:line="480" w:lineRule="auto"/>
        <w:ind w:left="0"/>
        <w:jc w:val="both"/>
        <w:rPr>
          <w:rFonts w:ascii="Arial" w:hAnsi="Arial" w:cs="Arial"/>
          <w:b/>
          <w:sz w:val="24"/>
          <w:szCs w:val="24"/>
        </w:rPr>
      </w:pPr>
    </w:p>
    <w:p w14:paraId="0071BE3F" w14:textId="199D0096" w:rsidR="00EF65A3" w:rsidRPr="00B44E35" w:rsidRDefault="00F5450C" w:rsidP="00EF65A3">
      <w:pPr>
        <w:pStyle w:val="ListParagraph"/>
        <w:numPr>
          <w:ilvl w:val="0"/>
          <w:numId w:val="1"/>
        </w:numPr>
        <w:spacing w:line="480" w:lineRule="auto"/>
        <w:jc w:val="both"/>
        <w:rPr>
          <w:rFonts w:ascii="Arial" w:hAnsi="Arial" w:cs="Arial"/>
          <w:b/>
          <w:sz w:val="24"/>
          <w:szCs w:val="24"/>
        </w:rPr>
      </w:pPr>
      <w:r>
        <w:rPr>
          <w:rFonts w:ascii="Arial" w:hAnsi="Arial" w:cs="Arial"/>
          <w:sz w:val="24"/>
          <w:szCs w:val="24"/>
        </w:rPr>
        <w:t>F</w:t>
      </w:r>
      <w:r w:rsidR="00B02430">
        <w:rPr>
          <w:rFonts w:ascii="Arial" w:hAnsi="Arial" w:cs="Arial"/>
          <w:sz w:val="24"/>
          <w:szCs w:val="24"/>
        </w:rPr>
        <w:t>urthermore, the Applicants submitted that</w:t>
      </w:r>
      <w:r>
        <w:rPr>
          <w:rFonts w:ascii="Arial" w:hAnsi="Arial" w:cs="Arial"/>
          <w:sz w:val="24"/>
          <w:szCs w:val="24"/>
        </w:rPr>
        <w:t xml:space="preserve"> the First Respondent</w:t>
      </w:r>
      <w:r w:rsidR="00B02430">
        <w:rPr>
          <w:rFonts w:ascii="Arial" w:hAnsi="Arial" w:cs="Arial"/>
          <w:sz w:val="24"/>
          <w:szCs w:val="24"/>
        </w:rPr>
        <w:t>’s denials are</w:t>
      </w:r>
      <w:r>
        <w:rPr>
          <w:rFonts w:ascii="Arial" w:hAnsi="Arial" w:cs="Arial"/>
          <w:sz w:val="24"/>
          <w:szCs w:val="24"/>
        </w:rPr>
        <w:t xml:space="preserve"> not sufficient to demonstrate that the Applicants have no claim whatsoever against her. In ad</w:t>
      </w:r>
      <w:r w:rsidR="00E56F70">
        <w:rPr>
          <w:rFonts w:ascii="Arial" w:hAnsi="Arial" w:cs="Arial"/>
          <w:sz w:val="24"/>
          <w:szCs w:val="24"/>
        </w:rPr>
        <w:t>dition, it was contended</w:t>
      </w:r>
      <w:r>
        <w:rPr>
          <w:rFonts w:ascii="Arial" w:hAnsi="Arial" w:cs="Arial"/>
          <w:sz w:val="24"/>
          <w:szCs w:val="24"/>
        </w:rPr>
        <w:t xml:space="preserve"> that the fact</w:t>
      </w:r>
      <w:r w:rsidR="00E56F70">
        <w:rPr>
          <w:rFonts w:ascii="Arial" w:hAnsi="Arial" w:cs="Arial"/>
          <w:sz w:val="24"/>
          <w:szCs w:val="24"/>
        </w:rPr>
        <w:t xml:space="preserve">ual disputes are indicative </w:t>
      </w:r>
      <w:r>
        <w:rPr>
          <w:rFonts w:ascii="Arial" w:hAnsi="Arial" w:cs="Arial"/>
          <w:sz w:val="24"/>
          <w:szCs w:val="24"/>
        </w:rPr>
        <w:t>that the action should proceed and that these issues should be resolved at that stage</w:t>
      </w:r>
      <w:r w:rsidR="00E56F70">
        <w:rPr>
          <w:rFonts w:ascii="Arial" w:hAnsi="Arial" w:cs="Arial"/>
          <w:sz w:val="24"/>
          <w:szCs w:val="24"/>
        </w:rPr>
        <w:t>; more particularly as the First Applicant</w:t>
      </w:r>
      <w:r>
        <w:rPr>
          <w:rFonts w:ascii="Arial" w:hAnsi="Arial" w:cs="Arial"/>
          <w:sz w:val="24"/>
          <w:szCs w:val="24"/>
        </w:rPr>
        <w:t xml:space="preserve"> has not demonstrated that there </w:t>
      </w:r>
      <w:r w:rsidR="0028202E">
        <w:rPr>
          <w:rFonts w:ascii="Arial" w:hAnsi="Arial" w:cs="Arial"/>
          <w:sz w:val="24"/>
          <w:szCs w:val="24"/>
        </w:rPr>
        <w:t>are</w:t>
      </w:r>
      <w:r>
        <w:rPr>
          <w:rFonts w:ascii="Arial" w:hAnsi="Arial" w:cs="Arial"/>
          <w:sz w:val="24"/>
          <w:szCs w:val="24"/>
        </w:rPr>
        <w:t xml:space="preserve"> no claims against her. </w:t>
      </w:r>
    </w:p>
    <w:p w14:paraId="372C2AF9" w14:textId="19CD1A9E" w:rsidR="00B44E35" w:rsidRPr="000312DE" w:rsidRDefault="00B44E35" w:rsidP="00B44E35">
      <w:pPr>
        <w:pStyle w:val="ListParagraph"/>
        <w:spacing w:line="480" w:lineRule="auto"/>
        <w:ind w:left="0"/>
        <w:jc w:val="both"/>
        <w:rPr>
          <w:rFonts w:ascii="Arial" w:hAnsi="Arial" w:cs="Arial"/>
          <w:b/>
          <w:sz w:val="24"/>
          <w:szCs w:val="24"/>
        </w:rPr>
      </w:pPr>
    </w:p>
    <w:p w14:paraId="6D267031" w14:textId="205F2824" w:rsidR="0028202E" w:rsidRPr="004D7F40" w:rsidRDefault="00B940EA" w:rsidP="00FE6A50">
      <w:pPr>
        <w:pStyle w:val="ListParagraph"/>
        <w:numPr>
          <w:ilvl w:val="0"/>
          <w:numId w:val="1"/>
        </w:numPr>
        <w:spacing w:line="480" w:lineRule="auto"/>
        <w:jc w:val="both"/>
        <w:rPr>
          <w:rFonts w:ascii="Arial" w:hAnsi="Arial" w:cs="Arial"/>
          <w:b/>
          <w:sz w:val="24"/>
          <w:szCs w:val="24"/>
        </w:rPr>
      </w:pPr>
      <w:r>
        <w:rPr>
          <w:rFonts w:ascii="Arial" w:hAnsi="Arial" w:cs="Arial"/>
          <w:sz w:val="24"/>
          <w:szCs w:val="24"/>
        </w:rPr>
        <w:t>The First Respondent contended that the allegations put up in the Applicants Founding Affidavit</w:t>
      </w:r>
      <w:r w:rsidR="00EF65A3">
        <w:rPr>
          <w:rFonts w:ascii="Arial" w:hAnsi="Arial" w:cs="Arial"/>
          <w:sz w:val="24"/>
          <w:szCs w:val="24"/>
        </w:rPr>
        <w:t xml:space="preserve"> as earlier stated,</w:t>
      </w:r>
      <w:r>
        <w:rPr>
          <w:rFonts w:ascii="Arial" w:hAnsi="Arial" w:cs="Arial"/>
          <w:sz w:val="24"/>
          <w:szCs w:val="24"/>
        </w:rPr>
        <w:t xml:space="preserve"> to support the averment that the Applicants have a </w:t>
      </w:r>
      <w:r w:rsidRPr="00B940EA">
        <w:rPr>
          <w:rFonts w:ascii="Arial" w:hAnsi="Arial" w:cs="Arial"/>
          <w:i/>
          <w:sz w:val="24"/>
          <w:szCs w:val="24"/>
        </w:rPr>
        <w:t>prima facie</w:t>
      </w:r>
      <w:r>
        <w:rPr>
          <w:rFonts w:ascii="Arial" w:hAnsi="Arial" w:cs="Arial"/>
          <w:sz w:val="24"/>
          <w:szCs w:val="24"/>
        </w:rPr>
        <w:t xml:space="preserve"> claim</w:t>
      </w:r>
      <w:r w:rsidR="00EF65A3">
        <w:rPr>
          <w:rFonts w:ascii="Arial" w:hAnsi="Arial" w:cs="Arial"/>
          <w:sz w:val="24"/>
          <w:szCs w:val="24"/>
        </w:rPr>
        <w:t xml:space="preserve"> against the First R</w:t>
      </w:r>
      <w:r w:rsidR="00A666BB">
        <w:rPr>
          <w:rFonts w:ascii="Arial" w:hAnsi="Arial" w:cs="Arial"/>
          <w:sz w:val="24"/>
          <w:szCs w:val="24"/>
        </w:rPr>
        <w:t xml:space="preserve">espondent, as set out in their </w:t>
      </w:r>
      <w:r w:rsidR="00A666BB">
        <w:rPr>
          <w:rFonts w:ascii="Arial" w:hAnsi="Arial" w:cs="Arial"/>
          <w:sz w:val="24"/>
          <w:szCs w:val="24"/>
        </w:rPr>
        <w:lastRenderedPageBreak/>
        <w:t>S</w:t>
      </w:r>
      <w:r w:rsidR="00EF65A3">
        <w:rPr>
          <w:rFonts w:ascii="Arial" w:hAnsi="Arial" w:cs="Arial"/>
          <w:sz w:val="24"/>
          <w:szCs w:val="24"/>
        </w:rPr>
        <w:t>ummons which is used to support the conclusions based on the provisions of Sections 22, 26 and 31 of the Insolvency Act 24 of 1936 and Section 424 of the Companies Act 61 of 1973, are without merit.</w:t>
      </w:r>
    </w:p>
    <w:p w14:paraId="593835B8" w14:textId="77777777" w:rsidR="004D7F40" w:rsidRPr="004D7F40" w:rsidRDefault="004D7F40" w:rsidP="004D7F40">
      <w:pPr>
        <w:pStyle w:val="ListParagraph"/>
        <w:rPr>
          <w:rFonts w:ascii="Arial" w:hAnsi="Arial" w:cs="Arial"/>
          <w:b/>
          <w:sz w:val="24"/>
          <w:szCs w:val="24"/>
        </w:rPr>
      </w:pPr>
    </w:p>
    <w:p w14:paraId="79EF73F2" w14:textId="2F8CDC12" w:rsidR="00A666BB" w:rsidRPr="00253C7D" w:rsidRDefault="004D7F40" w:rsidP="00253C7D">
      <w:pPr>
        <w:pStyle w:val="ListParagraph"/>
        <w:numPr>
          <w:ilvl w:val="0"/>
          <w:numId w:val="1"/>
        </w:numPr>
        <w:spacing w:line="480" w:lineRule="auto"/>
        <w:jc w:val="both"/>
        <w:rPr>
          <w:rFonts w:ascii="Arial" w:hAnsi="Arial" w:cs="Arial"/>
          <w:b/>
          <w:sz w:val="24"/>
          <w:szCs w:val="24"/>
        </w:rPr>
      </w:pPr>
      <w:r>
        <w:rPr>
          <w:rFonts w:ascii="Arial" w:hAnsi="Arial" w:cs="Arial"/>
          <w:sz w:val="24"/>
          <w:szCs w:val="24"/>
        </w:rPr>
        <w:t xml:space="preserve">The First Respondent furthermore contended that various general statements were made by the Applicants in the Heads of Argument that they have established a </w:t>
      </w:r>
      <w:r>
        <w:rPr>
          <w:rFonts w:ascii="Arial" w:hAnsi="Arial" w:cs="Arial"/>
          <w:i/>
          <w:sz w:val="24"/>
          <w:szCs w:val="24"/>
        </w:rPr>
        <w:t xml:space="preserve">prima facie </w:t>
      </w:r>
      <w:r>
        <w:rPr>
          <w:rFonts w:ascii="Arial" w:hAnsi="Arial" w:cs="Arial"/>
          <w:sz w:val="24"/>
          <w:szCs w:val="24"/>
        </w:rPr>
        <w:t xml:space="preserve">case and what such case comprises, but fails to engage with the relevant evidence by pointing out where evidence of this nature is to be found. In addition, the First Respondent submitted that the Particulars of Claim do not constitute evidence, even on a </w:t>
      </w:r>
      <w:r w:rsidRPr="004D7F40">
        <w:rPr>
          <w:rFonts w:ascii="Arial" w:hAnsi="Arial" w:cs="Arial"/>
          <w:i/>
          <w:sz w:val="24"/>
          <w:szCs w:val="24"/>
        </w:rPr>
        <w:t>prima facie</w:t>
      </w:r>
      <w:r>
        <w:rPr>
          <w:rFonts w:ascii="Arial" w:hAnsi="Arial" w:cs="Arial"/>
          <w:sz w:val="24"/>
          <w:szCs w:val="24"/>
        </w:rPr>
        <w:t xml:space="preserve"> basis.</w:t>
      </w:r>
      <w:r w:rsidR="00253C7D">
        <w:rPr>
          <w:rFonts w:ascii="Arial" w:hAnsi="Arial" w:cs="Arial"/>
          <w:sz w:val="24"/>
          <w:szCs w:val="24"/>
        </w:rPr>
        <w:t xml:space="preserve"> The First Respondent correctly elucidated that the Particulars of Claim</w:t>
      </w:r>
      <w:r w:rsidR="000B11E3">
        <w:rPr>
          <w:rFonts w:ascii="Arial" w:hAnsi="Arial" w:cs="Arial"/>
          <w:sz w:val="24"/>
          <w:szCs w:val="24"/>
        </w:rPr>
        <w:t xml:space="preserve"> merely reflect the </w:t>
      </w:r>
      <w:r w:rsidR="00791B70">
        <w:rPr>
          <w:rFonts w:ascii="Arial" w:hAnsi="Arial" w:cs="Arial"/>
          <w:sz w:val="24"/>
          <w:szCs w:val="24"/>
        </w:rPr>
        <w:t>averments made on the Applicant</w:t>
      </w:r>
      <w:r w:rsidR="000B11E3">
        <w:rPr>
          <w:rFonts w:ascii="Arial" w:hAnsi="Arial" w:cs="Arial"/>
          <w:sz w:val="24"/>
          <w:szCs w:val="24"/>
        </w:rPr>
        <w:t>s</w:t>
      </w:r>
      <w:r w:rsidR="00791B70">
        <w:rPr>
          <w:rFonts w:ascii="Arial" w:hAnsi="Arial" w:cs="Arial"/>
          <w:sz w:val="24"/>
          <w:szCs w:val="24"/>
        </w:rPr>
        <w:t>’</w:t>
      </w:r>
      <w:r w:rsidR="000B11E3">
        <w:rPr>
          <w:rFonts w:ascii="Arial" w:hAnsi="Arial" w:cs="Arial"/>
          <w:sz w:val="24"/>
          <w:szCs w:val="24"/>
        </w:rPr>
        <w:t xml:space="preserve"> behalf by their legal representatives.</w:t>
      </w:r>
    </w:p>
    <w:p w14:paraId="6312CFAA" w14:textId="77777777" w:rsidR="002718B3" w:rsidRPr="002718B3" w:rsidRDefault="002718B3" w:rsidP="002718B3">
      <w:pPr>
        <w:pStyle w:val="ListParagraph"/>
        <w:rPr>
          <w:rFonts w:ascii="Arial" w:hAnsi="Arial" w:cs="Arial"/>
          <w:b/>
          <w:sz w:val="24"/>
          <w:szCs w:val="24"/>
        </w:rPr>
      </w:pPr>
    </w:p>
    <w:p w14:paraId="109DCF5B" w14:textId="5CC81500" w:rsidR="009F22A4" w:rsidRPr="009F22A4" w:rsidRDefault="009F22A4" w:rsidP="00E722E6">
      <w:pPr>
        <w:pStyle w:val="ListParagraph"/>
        <w:numPr>
          <w:ilvl w:val="0"/>
          <w:numId w:val="1"/>
        </w:numPr>
        <w:spacing w:line="480" w:lineRule="auto"/>
        <w:jc w:val="both"/>
        <w:rPr>
          <w:rFonts w:ascii="Arial" w:hAnsi="Arial" w:cs="Arial"/>
          <w:b/>
          <w:sz w:val="24"/>
          <w:szCs w:val="24"/>
        </w:rPr>
      </w:pPr>
      <w:r>
        <w:rPr>
          <w:rFonts w:ascii="Arial" w:hAnsi="Arial" w:cs="Arial"/>
          <w:sz w:val="24"/>
          <w:szCs w:val="24"/>
        </w:rPr>
        <w:t>In order to make a determination on whether the Applicants have discharged the onus by s</w:t>
      </w:r>
      <w:r w:rsidR="00580DCA">
        <w:rPr>
          <w:rFonts w:ascii="Arial" w:hAnsi="Arial" w:cs="Arial"/>
          <w:sz w:val="24"/>
          <w:szCs w:val="24"/>
        </w:rPr>
        <w:t xml:space="preserve">atisfying the court that </w:t>
      </w:r>
      <w:r>
        <w:rPr>
          <w:rFonts w:ascii="Arial" w:hAnsi="Arial" w:cs="Arial"/>
          <w:sz w:val="24"/>
          <w:szCs w:val="24"/>
        </w:rPr>
        <w:t xml:space="preserve">a </w:t>
      </w:r>
      <w:r w:rsidRPr="009F22A4">
        <w:rPr>
          <w:rFonts w:ascii="Arial" w:hAnsi="Arial" w:cs="Arial"/>
          <w:i/>
          <w:sz w:val="24"/>
          <w:szCs w:val="24"/>
        </w:rPr>
        <w:t>prima facie</w:t>
      </w:r>
      <w:r>
        <w:rPr>
          <w:rFonts w:ascii="Arial" w:hAnsi="Arial" w:cs="Arial"/>
          <w:sz w:val="24"/>
          <w:szCs w:val="24"/>
        </w:rPr>
        <w:t xml:space="preserve"> case</w:t>
      </w:r>
      <w:r w:rsidR="00580DCA">
        <w:rPr>
          <w:rFonts w:ascii="Arial" w:hAnsi="Arial" w:cs="Arial"/>
          <w:sz w:val="24"/>
          <w:szCs w:val="24"/>
        </w:rPr>
        <w:t xml:space="preserve"> has been established</w:t>
      </w:r>
      <w:r>
        <w:rPr>
          <w:rFonts w:ascii="Arial" w:hAnsi="Arial" w:cs="Arial"/>
          <w:sz w:val="24"/>
          <w:szCs w:val="24"/>
        </w:rPr>
        <w:t xml:space="preserve"> against the First Respondent, it will be apposite to consider the following factors:</w:t>
      </w:r>
    </w:p>
    <w:p w14:paraId="4B34EA99" w14:textId="77777777" w:rsidR="009F22A4" w:rsidRPr="009F22A4" w:rsidRDefault="009F22A4" w:rsidP="009F22A4">
      <w:pPr>
        <w:pStyle w:val="ListParagraph"/>
        <w:rPr>
          <w:rFonts w:ascii="Arial" w:hAnsi="Arial" w:cs="Arial"/>
          <w:b/>
          <w:sz w:val="24"/>
          <w:szCs w:val="24"/>
        </w:rPr>
      </w:pPr>
    </w:p>
    <w:p w14:paraId="68528293" w14:textId="101BDF45" w:rsidR="009F22A4" w:rsidRDefault="009F22A4" w:rsidP="00834194">
      <w:pPr>
        <w:pStyle w:val="ListParagraph"/>
        <w:numPr>
          <w:ilvl w:val="0"/>
          <w:numId w:val="28"/>
        </w:numPr>
        <w:spacing w:line="480" w:lineRule="auto"/>
        <w:jc w:val="both"/>
        <w:rPr>
          <w:rFonts w:ascii="Arial" w:hAnsi="Arial" w:cs="Arial"/>
          <w:sz w:val="24"/>
          <w:szCs w:val="24"/>
        </w:rPr>
      </w:pPr>
      <w:r>
        <w:rPr>
          <w:rFonts w:ascii="Arial" w:hAnsi="Arial" w:cs="Arial"/>
          <w:sz w:val="24"/>
          <w:szCs w:val="24"/>
        </w:rPr>
        <w:t xml:space="preserve">The </w:t>
      </w:r>
      <w:r w:rsidR="00AA7199">
        <w:rPr>
          <w:rFonts w:ascii="Arial" w:hAnsi="Arial" w:cs="Arial"/>
          <w:sz w:val="24"/>
          <w:szCs w:val="24"/>
        </w:rPr>
        <w:t xml:space="preserve">basis of the </w:t>
      </w:r>
      <w:r>
        <w:rPr>
          <w:rFonts w:ascii="Arial" w:hAnsi="Arial" w:cs="Arial"/>
          <w:sz w:val="24"/>
          <w:szCs w:val="24"/>
        </w:rPr>
        <w:t>Applicants</w:t>
      </w:r>
      <w:r w:rsidR="00B73AC7">
        <w:rPr>
          <w:rFonts w:ascii="Arial" w:hAnsi="Arial" w:cs="Arial"/>
          <w:sz w:val="24"/>
          <w:szCs w:val="24"/>
        </w:rPr>
        <w:t>’</w:t>
      </w:r>
      <w:r>
        <w:rPr>
          <w:rFonts w:ascii="Arial" w:hAnsi="Arial" w:cs="Arial"/>
          <w:sz w:val="24"/>
          <w:szCs w:val="24"/>
        </w:rPr>
        <w:t xml:space="preserve"> </w:t>
      </w:r>
      <w:r w:rsidR="00ED3407">
        <w:rPr>
          <w:rFonts w:ascii="Arial" w:hAnsi="Arial" w:cs="Arial"/>
          <w:sz w:val="24"/>
          <w:szCs w:val="24"/>
        </w:rPr>
        <w:t>claims</w:t>
      </w:r>
      <w:r w:rsidR="00AA7199">
        <w:rPr>
          <w:rFonts w:ascii="Arial" w:hAnsi="Arial" w:cs="Arial"/>
          <w:sz w:val="24"/>
          <w:szCs w:val="24"/>
        </w:rPr>
        <w:t xml:space="preserve"> against the First Respondent and</w:t>
      </w:r>
      <w:r w:rsidR="000D64F0">
        <w:rPr>
          <w:rFonts w:ascii="Arial" w:hAnsi="Arial" w:cs="Arial"/>
          <w:sz w:val="24"/>
          <w:szCs w:val="24"/>
        </w:rPr>
        <w:t>/or</w:t>
      </w:r>
    </w:p>
    <w:p w14:paraId="5A2A1E78" w14:textId="1415093D" w:rsidR="002718B3" w:rsidRPr="009F22A4" w:rsidRDefault="00E722E6" w:rsidP="009F22A4">
      <w:pPr>
        <w:pStyle w:val="ListParagraph"/>
        <w:numPr>
          <w:ilvl w:val="0"/>
          <w:numId w:val="28"/>
        </w:numPr>
        <w:spacing w:line="480" w:lineRule="auto"/>
        <w:jc w:val="both"/>
        <w:rPr>
          <w:rFonts w:ascii="Arial" w:hAnsi="Arial" w:cs="Arial"/>
          <w:sz w:val="24"/>
          <w:szCs w:val="24"/>
        </w:rPr>
      </w:pPr>
      <w:r w:rsidRPr="009F22A4">
        <w:rPr>
          <w:rFonts w:ascii="Arial" w:hAnsi="Arial" w:cs="Arial"/>
          <w:sz w:val="24"/>
          <w:szCs w:val="24"/>
        </w:rPr>
        <w:t>whether there may have been a material non-disclosure by the Applicants when they approached the court for the interim order</w:t>
      </w:r>
      <w:r w:rsidR="002718B3" w:rsidRPr="009F22A4">
        <w:rPr>
          <w:rFonts w:ascii="Arial" w:hAnsi="Arial" w:cs="Arial"/>
          <w:sz w:val="24"/>
          <w:szCs w:val="24"/>
        </w:rPr>
        <w:t>.</w:t>
      </w:r>
    </w:p>
    <w:p w14:paraId="13A76448" w14:textId="3EADBC49" w:rsidR="002D30B7" w:rsidRDefault="002D30B7" w:rsidP="002D30B7">
      <w:pPr>
        <w:pStyle w:val="ListParagraph"/>
        <w:spacing w:line="480" w:lineRule="auto"/>
        <w:ind w:left="0"/>
        <w:jc w:val="both"/>
        <w:rPr>
          <w:rFonts w:ascii="Arial" w:hAnsi="Arial" w:cs="Arial"/>
          <w:b/>
          <w:sz w:val="24"/>
          <w:szCs w:val="24"/>
        </w:rPr>
      </w:pPr>
    </w:p>
    <w:p w14:paraId="1D1D70EE" w14:textId="1D83E68A" w:rsidR="009C6325" w:rsidRPr="009C6325" w:rsidRDefault="005B1C7F" w:rsidP="00834194">
      <w:pPr>
        <w:pStyle w:val="ListParagraph"/>
        <w:numPr>
          <w:ilvl w:val="0"/>
          <w:numId w:val="31"/>
        </w:numPr>
        <w:spacing w:line="480" w:lineRule="auto"/>
        <w:jc w:val="both"/>
        <w:rPr>
          <w:rFonts w:ascii="Arial" w:hAnsi="Arial" w:cs="Arial"/>
          <w:b/>
          <w:sz w:val="24"/>
          <w:szCs w:val="24"/>
        </w:rPr>
      </w:pPr>
      <w:r>
        <w:rPr>
          <w:rFonts w:ascii="Arial" w:hAnsi="Arial" w:cs="Arial"/>
          <w:b/>
          <w:sz w:val="24"/>
          <w:szCs w:val="24"/>
        </w:rPr>
        <w:t>The claim against the First Respondent</w:t>
      </w:r>
    </w:p>
    <w:p w14:paraId="145AC1ED" w14:textId="47D18390" w:rsidR="00194E47" w:rsidRPr="00C91A01" w:rsidRDefault="0092457F" w:rsidP="00194E47">
      <w:pPr>
        <w:pStyle w:val="ListParagraph"/>
        <w:numPr>
          <w:ilvl w:val="0"/>
          <w:numId w:val="1"/>
        </w:numPr>
        <w:spacing w:line="480" w:lineRule="auto"/>
        <w:jc w:val="both"/>
        <w:rPr>
          <w:rFonts w:ascii="Arial" w:hAnsi="Arial" w:cs="Arial"/>
          <w:b/>
          <w:sz w:val="24"/>
          <w:szCs w:val="24"/>
        </w:rPr>
      </w:pPr>
      <w:r w:rsidRPr="00724373">
        <w:rPr>
          <w:rFonts w:ascii="Arial" w:hAnsi="Arial" w:cs="Arial"/>
          <w:sz w:val="24"/>
          <w:szCs w:val="24"/>
        </w:rPr>
        <w:t xml:space="preserve">The </w:t>
      </w:r>
      <w:r w:rsidR="00194E47" w:rsidRPr="00724373">
        <w:rPr>
          <w:rFonts w:ascii="Arial" w:hAnsi="Arial" w:cs="Arial"/>
          <w:sz w:val="24"/>
          <w:szCs w:val="24"/>
        </w:rPr>
        <w:t xml:space="preserve">Applicants claims against the First Respondent are </w:t>
      </w:r>
      <w:r w:rsidR="00D42C6D">
        <w:rPr>
          <w:rFonts w:ascii="Arial" w:hAnsi="Arial" w:cs="Arial"/>
          <w:sz w:val="24"/>
          <w:szCs w:val="24"/>
        </w:rPr>
        <w:t xml:space="preserve">essentially </w:t>
      </w:r>
      <w:r w:rsidR="00194E47" w:rsidRPr="00724373">
        <w:rPr>
          <w:rFonts w:ascii="Arial" w:hAnsi="Arial" w:cs="Arial"/>
          <w:sz w:val="24"/>
          <w:szCs w:val="24"/>
        </w:rPr>
        <w:t>based on:</w:t>
      </w:r>
    </w:p>
    <w:p w14:paraId="38EC156B" w14:textId="2804DF5B" w:rsidR="00194E47" w:rsidRDefault="00194E47" w:rsidP="00194E47">
      <w:pPr>
        <w:pStyle w:val="ListParagraph"/>
        <w:numPr>
          <w:ilvl w:val="0"/>
          <w:numId w:val="15"/>
        </w:numPr>
        <w:spacing w:line="480" w:lineRule="auto"/>
        <w:jc w:val="both"/>
        <w:rPr>
          <w:rFonts w:ascii="Arial" w:hAnsi="Arial" w:cs="Arial"/>
          <w:sz w:val="24"/>
          <w:szCs w:val="24"/>
        </w:rPr>
      </w:pPr>
      <w:r>
        <w:rPr>
          <w:rFonts w:ascii="Arial" w:hAnsi="Arial" w:cs="Arial"/>
          <w:sz w:val="24"/>
          <w:szCs w:val="24"/>
        </w:rPr>
        <w:t>Section 26 and/or 31 of the Insolvency Act;</w:t>
      </w:r>
    </w:p>
    <w:p w14:paraId="4FF30D29" w14:textId="4AE3A0F7" w:rsidR="00194E47" w:rsidRDefault="00194E47" w:rsidP="00194E47">
      <w:pPr>
        <w:pStyle w:val="ListParagraph"/>
        <w:numPr>
          <w:ilvl w:val="0"/>
          <w:numId w:val="15"/>
        </w:numPr>
        <w:spacing w:line="480" w:lineRule="auto"/>
        <w:jc w:val="both"/>
        <w:rPr>
          <w:rFonts w:ascii="Arial" w:hAnsi="Arial" w:cs="Arial"/>
          <w:sz w:val="24"/>
          <w:szCs w:val="24"/>
        </w:rPr>
      </w:pPr>
      <w:r>
        <w:rPr>
          <w:rFonts w:ascii="Arial" w:hAnsi="Arial" w:cs="Arial"/>
          <w:sz w:val="24"/>
          <w:szCs w:val="24"/>
        </w:rPr>
        <w:t xml:space="preserve">The </w:t>
      </w:r>
      <w:r>
        <w:rPr>
          <w:rFonts w:ascii="Arial" w:hAnsi="Arial" w:cs="Arial"/>
          <w:i/>
          <w:sz w:val="24"/>
          <w:szCs w:val="24"/>
        </w:rPr>
        <w:t>actio pauliana;</w:t>
      </w:r>
    </w:p>
    <w:p w14:paraId="19A303B7" w14:textId="19563361" w:rsidR="00194E47" w:rsidRPr="00194E47" w:rsidRDefault="00194E47" w:rsidP="00194E47">
      <w:pPr>
        <w:pStyle w:val="ListParagraph"/>
        <w:numPr>
          <w:ilvl w:val="0"/>
          <w:numId w:val="15"/>
        </w:numPr>
        <w:spacing w:line="480" w:lineRule="auto"/>
        <w:jc w:val="both"/>
        <w:rPr>
          <w:rFonts w:ascii="Arial" w:hAnsi="Arial" w:cs="Arial"/>
          <w:sz w:val="24"/>
          <w:szCs w:val="24"/>
        </w:rPr>
      </w:pPr>
      <w:r>
        <w:rPr>
          <w:rFonts w:ascii="Arial" w:hAnsi="Arial" w:cs="Arial"/>
          <w:sz w:val="24"/>
          <w:szCs w:val="24"/>
        </w:rPr>
        <w:lastRenderedPageBreak/>
        <w:t>Section 424 of the Companies Act.</w:t>
      </w:r>
    </w:p>
    <w:p w14:paraId="334D60AD" w14:textId="31D85477" w:rsidR="00194E47" w:rsidRDefault="00194E47" w:rsidP="00194E47">
      <w:pPr>
        <w:pStyle w:val="ListParagraph"/>
        <w:rPr>
          <w:rFonts w:ascii="Arial" w:hAnsi="Arial" w:cs="Arial"/>
          <w:b/>
          <w:sz w:val="24"/>
          <w:szCs w:val="24"/>
        </w:rPr>
      </w:pPr>
    </w:p>
    <w:p w14:paraId="4D766E77" w14:textId="422769AB" w:rsidR="0058718B" w:rsidRPr="00BF6EE8" w:rsidRDefault="0058718B" w:rsidP="0058718B">
      <w:pPr>
        <w:pStyle w:val="ListParagraph"/>
        <w:numPr>
          <w:ilvl w:val="0"/>
          <w:numId w:val="1"/>
        </w:numPr>
        <w:spacing w:line="480" w:lineRule="auto"/>
        <w:jc w:val="both"/>
        <w:rPr>
          <w:rFonts w:ascii="Arial" w:hAnsi="Arial" w:cs="Arial"/>
          <w:b/>
          <w:sz w:val="24"/>
          <w:szCs w:val="24"/>
        </w:rPr>
      </w:pPr>
      <w:r>
        <w:rPr>
          <w:rFonts w:ascii="Arial" w:hAnsi="Arial" w:cs="Arial"/>
          <w:sz w:val="24"/>
          <w:szCs w:val="24"/>
        </w:rPr>
        <w:t xml:space="preserve">The First Respondent contended that the Applicants have not established they have a claim against the First Respondent, despite reliance being placed on the aforementioned common law and legislative provisions. </w:t>
      </w:r>
    </w:p>
    <w:p w14:paraId="532D256F" w14:textId="0B184CEF" w:rsidR="0058718B" w:rsidRPr="00194E47" w:rsidRDefault="0058718B" w:rsidP="00194E47">
      <w:pPr>
        <w:pStyle w:val="ListParagraph"/>
        <w:rPr>
          <w:rFonts w:ascii="Arial" w:hAnsi="Arial" w:cs="Arial"/>
          <w:b/>
          <w:sz w:val="24"/>
          <w:szCs w:val="24"/>
        </w:rPr>
      </w:pPr>
    </w:p>
    <w:p w14:paraId="47B8A07B" w14:textId="49E36D37" w:rsidR="00AA59F8" w:rsidRDefault="00E913A6" w:rsidP="00AA59F8">
      <w:pPr>
        <w:pStyle w:val="ListParagraph"/>
        <w:numPr>
          <w:ilvl w:val="0"/>
          <w:numId w:val="29"/>
        </w:numPr>
        <w:spacing w:line="480" w:lineRule="auto"/>
        <w:ind w:left="360"/>
        <w:jc w:val="both"/>
        <w:rPr>
          <w:rFonts w:ascii="Arial" w:hAnsi="Arial" w:cs="Arial"/>
          <w:b/>
          <w:i/>
          <w:sz w:val="24"/>
          <w:szCs w:val="24"/>
        </w:rPr>
      </w:pPr>
      <w:r w:rsidRPr="00AA59F8">
        <w:rPr>
          <w:rFonts w:ascii="Arial" w:hAnsi="Arial" w:cs="Arial"/>
          <w:b/>
          <w:i/>
          <w:sz w:val="24"/>
          <w:szCs w:val="24"/>
        </w:rPr>
        <w:t>The Insolvency Act</w:t>
      </w:r>
      <w:r w:rsidR="00CF0320" w:rsidRPr="00AA59F8">
        <w:rPr>
          <w:rFonts w:ascii="Arial" w:hAnsi="Arial" w:cs="Arial"/>
          <w:b/>
          <w:i/>
          <w:sz w:val="24"/>
          <w:szCs w:val="24"/>
        </w:rPr>
        <w:t xml:space="preserve"> 24, </w:t>
      </w:r>
      <w:r w:rsidR="00B73AC7">
        <w:rPr>
          <w:rFonts w:ascii="Arial" w:hAnsi="Arial" w:cs="Arial"/>
          <w:b/>
          <w:i/>
          <w:sz w:val="24"/>
          <w:szCs w:val="24"/>
        </w:rPr>
        <w:t>of</w:t>
      </w:r>
      <w:r w:rsidR="00CF0320" w:rsidRPr="00AA59F8">
        <w:rPr>
          <w:rFonts w:ascii="Arial" w:hAnsi="Arial" w:cs="Arial"/>
          <w:b/>
          <w:i/>
          <w:sz w:val="24"/>
          <w:szCs w:val="24"/>
        </w:rPr>
        <w:t xml:space="preserve"> 1936</w:t>
      </w:r>
      <w:r w:rsidR="00AA59F8">
        <w:rPr>
          <w:rFonts w:ascii="Arial" w:hAnsi="Arial" w:cs="Arial"/>
          <w:b/>
          <w:i/>
          <w:sz w:val="24"/>
          <w:szCs w:val="24"/>
        </w:rPr>
        <w:t xml:space="preserve"> </w:t>
      </w:r>
    </w:p>
    <w:p w14:paraId="71DD3079" w14:textId="1B436E62" w:rsidR="00194E47" w:rsidRPr="00AA59F8" w:rsidRDefault="00AA59F8" w:rsidP="00AA59F8">
      <w:pPr>
        <w:pStyle w:val="ListParagraph"/>
        <w:numPr>
          <w:ilvl w:val="0"/>
          <w:numId w:val="30"/>
        </w:numPr>
        <w:spacing w:line="480" w:lineRule="auto"/>
        <w:jc w:val="both"/>
        <w:rPr>
          <w:rFonts w:ascii="Arial" w:hAnsi="Arial" w:cs="Arial"/>
          <w:b/>
          <w:sz w:val="24"/>
          <w:szCs w:val="24"/>
        </w:rPr>
      </w:pPr>
      <w:r w:rsidRPr="00AA59F8">
        <w:rPr>
          <w:rFonts w:ascii="Arial" w:hAnsi="Arial" w:cs="Arial"/>
          <w:b/>
          <w:sz w:val="24"/>
          <w:szCs w:val="24"/>
        </w:rPr>
        <w:t>Disposition without value</w:t>
      </w:r>
    </w:p>
    <w:p w14:paraId="74DFF487" w14:textId="5FCF4903" w:rsidR="000859CB" w:rsidRPr="000859CB" w:rsidRDefault="000859CB" w:rsidP="000859CB">
      <w:pPr>
        <w:pStyle w:val="ListParagraph"/>
        <w:numPr>
          <w:ilvl w:val="0"/>
          <w:numId w:val="1"/>
        </w:numPr>
        <w:spacing w:line="480" w:lineRule="auto"/>
        <w:jc w:val="both"/>
        <w:rPr>
          <w:rFonts w:ascii="Arial" w:hAnsi="Arial" w:cs="Arial"/>
          <w:b/>
          <w:sz w:val="24"/>
          <w:szCs w:val="24"/>
        </w:rPr>
      </w:pPr>
      <w:r w:rsidRPr="000859CB">
        <w:rPr>
          <w:rFonts w:ascii="Arial" w:hAnsi="Arial" w:cs="Arial"/>
          <w:sz w:val="24"/>
          <w:szCs w:val="24"/>
        </w:rPr>
        <w:t xml:space="preserve">Section 26 of the Insolvency Act deals with disposition without value and states that: </w:t>
      </w:r>
    </w:p>
    <w:p w14:paraId="4EB4DB80" w14:textId="77777777" w:rsidR="000859CB" w:rsidRPr="00727363" w:rsidRDefault="000859CB" w:rsidP="000859CB">
      <w:pPr>
        <w:pStyle w:val="NormalWeb"/>
        <w:shd w:val="clear" w:color="auto" w:fill="FFFFFF"/>
        <w:spacing w:before="0" w:beforeAutospacing="0" w:after="0" w:afterAutospacing="0" w:line="360" w:lineRule="auto"/>
        <w:ind w:left="720" w:right="720"/>
        <w:jc w:val="both"/>
        <w:rPr>
          <w:rFonts w:ascii="Arial" w:hAnsi="Arial" w:cs="Arial"/>
          <w:i/>
          <w:color w:val="000000"/>
          <w:sz w:val="22"/>
          <w:szCs w:val="22"/>
        </w:rPr>
      </w:pPr>
      <w:r w:rsidRPr="00727363">
        <w:rPr>
          <w:rFonts w:ascii="Arial" w:hAnsi="Arial" w:cs="Arial"/>
          <w:i/>
          <w:color w:val="000000"/>
          <w:sz w:val="22"/>
          <w:szCs w:val="22"/>
        </w:rPr>
        <w:t xml:space="preserve">(1) </w:t>
      </w:r>
      <w:r>
        <w:rPr>
          <w:rFonts w:ascii="Arial" w:hAnsi="Arial" w:cs="Arial"/>
          <w:i/>
          <w:color w:val="000000"/>
          <w:sz w:val="22"/>
          <w:szCs w:val="22"/>
        </w:rPr>
        <w:tab/>
      </w:r>
      <w:r w:rsidRPr="00727363">
        <w:rPr>
          <w:rFonts w:ascii="Arial" w:hAnsi="Arial" w:cs="Arial"/>
          <w:i/>
          <w:color w:val="000000"/>
          <w:sz w:val="22"/>
          <w:szCs w:val="22"/>
        </w:rPr>
        <w:t xml:space="preserve">Every disposition of property not made for value may be set aside by </w:t>
      </w:r>
      <w:r>
        <w:rPr>
          <w:rFonts w:ascii="Arial" w:hAnsi="Arial" w:cs="Arial"/>
          <w:i/>
          <w:color w:val="000000"/>
          <w:sz w:val="22"/>
          <w:szCs w:val="22"/>
        </w:rPr>
        <w:tab/>
      </w:r>
      <w:r w:rsidRPr="00727363">
        <w:rPr>
          <w:rFonts w:ascii="Arial" w:hAnsi="Arial" w:cs="Arial"/>
          <w:i/>
          <w:color w:val="000000"/>
          <w:sz w:val="22"/>
          <w:szCs w:val="22"/>
        </w:rPr>
        <w:t>the court if such disposition was made by an insolvent -</w:t>
      </w:r>
    </w:p>
    <w:p w14:paraId="0B558C1A" w14:textId="77777777" w:rsidR="000859CB" w:rsidRPr="00727363" w:rsidRDefault="000859CB" w:rsidP="000859CB">
      <w:pPr>
        <w:pStyle w:val="NormalWeb"/>
        <w:shd w:val="clear" w:color="auto" w:fill="FFFFFF"/>
        <w:spacing w:before="0" w:beforeAutospacing="0" w:after="0" w:afterAutospacing="0" w:line="360" w:lineRule="auto"/>
        <w:ind w:left="1440" w:right="720"/>
        <w:jc w:val="both"/>
        <w:rPr>
          <w:rFonts w:ascii="Arial" w:hAnsi="Arial" w:cs="Arial"/>
          <w:i/>
          <w:color w:val="000000"/>
          <w:sz w:val="22"/>
          <w:szCs w:val="22"/>
        </w:rPr>
      </w:pPr>
      <w:r w:rsidRPr="00727363">
        <w:rPr>
          <w:rFonts w:ascii="Arial" w:hAnsi="Arial" w:cs="Arial"/>
          <w:i/>
          <w:color w:val="000000"/>
          <w:sz w:val="22"/>
          <w:szCs w:val="22"/>
        </w:rPr>
        <w:t xml:space="preserve">(a) </w:t>
      </w:r>
      <w:r>
        <w:rPr>
          <w:rFonts w:ascii="Arial" w:hAnsi="Arial" w:cs="Arial"/>
          <w:i/>
          <w:color w:val="000000"/>
          <w:sz w:val="22"/>
          <w:szCs w:val="22"/>
        </w:rPr>
        <w:tab/>
      </w:r>
      <w:r w:rsidRPr="00727363">
        <w:rPr>
          <w:rFonts w:ascii="Arial" w:hAnsi="Arial" w:cs="Arial"/>
          <w:i/>
          <w:color w:val="000000"/>
          <w:sz w:val="22"/>
          <w:szCs w:val="22"/>
        </w:rPr>
        <w:t xml:space="preserve">more than two years before the sequestration of his estate, </w:t>
      </w:r>
      <w:r>
        <w:rPr>
          <w:rFonts w:ascii="Arial" w:hAnsi="Arial" w:cs="Arial"/>
          <w:i/>
          <w:color w:val="000000"/>
          <w:sz w:val="22"/>
          <w:szCs w:val="22"/>
        </w:rPr>
        <w:tab/>
      </w:r>
      <w:r w:rsidRPr="00727363">
        <w:rPr>
          <w:rFonts w:ascii="Arial" w:hAnsi="Arial" w:cs="Arial"/>
          <w:i/>
          <w:color w:val="000000"/>
          <w:sz w:val="22"/>
          <w:szCs w:val="22"/>
        </w:rPr>
        <w:t xml:space="preserve">and it </w:t>
      </w:r>
      <w:r>
        <w:rPr>
          <w:rFonts w:ascii="Arial" w:hAnsi="Arial" w:cs="Arial"/>
          <w:i/>
          <w:color w:val="000000"/>
          <w:sz w:val="22"/>
          <w:szCs w:val="22"/>
        </w:rPr>
        <w:tab/>
      </w:r>
      <w:r w:rsidRPr="00727363">
        <w:rPr>
          <w:rFonts w:ascii="Arial" w:hAnsi="Arial" w:cs="Arial"/>
          <w:i/>
          <w:color w:val="000000"/>
          <w:sz w:val="22"/>
          <w:szCs w:val="22"/>
        </w:rPr>
        <w:t xml:space="preserve">is proved that, immediately after the disposition was </w:t>
      </w:r>
      <w:r>
        <w:rPr>
          <w:rFonts w:ascii="Arial" w:hAnsi="Arial" w:cs="Arial"/>
          <w:i/>
          <w:color w:val="000000"/>
          <w:sz w:val="22"/>
          <w:szCs w:val="22"/>
        </w:rPr>
        <w:tab/>
      </w:r>
      <w:r w:rsidRPr="00727363">
        <w:rPr>
          <w:rFonts w:ascii="Arial" w:hAnsi="Arial" w:cs="Arial"/>
          <w:i/>
          <w:color w:val="000000"/>
          <w:sz w:val="22"/>
          <w:szCs w:val="22"/>
        </w:rPr>
        <w:t>made, the liabilities of the insolvent exceeded his assets;</w:t>
      </w:r>
    </w:p>
    <w:p w14:paraId="6BEC89AD" w14:textId="77777777" w:rsidR="000859CB" w:rsidRDefault="000859CB" w:rsidP="000859CB">
      <w:pPr>
        <w:pStyle w:val="NormalWeb"/>
        <w:shd w:val="clear" w:color="auto" w:fill="FFFFFF"/>
        <w:spacing w:before="0" w:beforeAutospacing="0" w:after="0" w:afterAutospacing="0" w:line="360" w:lineRule="auto"/>
        <w:ind w:left="1440" w:right="720"/>
        <w:jc w:val="both"/>
        <w:rPr>
          <w:rFonts w:ascii="Arial" w:hAnsi="Arial" w:cs="Arial"/>
          <w:i/>
          <w:color w:val="000000"/>
          <w:sz w:val="22"/>
          <w:szCs w:val="22"/>
        </w:rPr>
      </w:pPr>
      <w:r w:rsidRPr="00727363">
        <w:rPr>
          <w:rFonts w:ascii="Arial" w:hAnsi="Arial" w:cs="Arial"/>
          <w:i/>
          <w:color w:val="000000"/>
          <w:sz w:val="22"/>
          <w:szCs w:val="22"/>
        </w:rPr>
        <w:t xml:space="preserve">(b) </w:t>
      </w:r>
      <w:r>
        <w:rPr>
          <w:rFonts w:ascii="Arial" w:hAnsi="Arial" w:cs="Arial"/>
          <w:i/>
          <w:color w:val="000000"/>
          <w:sz w:val="22"/>
          <w:szCs w:val="22"/>
        </w:rPr>
        <w:tab/>
      </w:r>
      <w:r w:rsidRPr="00727363">
        <w:rPr>
          <w:rFonts w:ascii="Arial" w:hAnsi="Arial" w:cs="Arial"/>
          <w:i/>
          <w:color w:val="000000"/>
          <w:sz w:val="22"/>
          <w:szCs w:val="22"/>
        </w:rPr>
        <w:t xml:space="preserve">within two years of the sequestration of his estate, and the </w:t>
      </w:r>
      <w:r>
        <w:rPr>
          <w:rFonts w:ascii="Arial" w:hAnsi="Arial" w:cs="Arial"/>
          <w:i/>
          <w:color w:val="000000"/>
          <w:sz w:val="22"/>
          <w:szCs w:val="22"/>
        </w:rPr>
        <w:tab/>
      </w:r>
      <w:r w:rsidRPr="00727363">
        <w:rPr>
          <w:rFonts w:ascii="Arial" w:hAnsi="Arial" w:cs="Arial"/>
          <w:i/>
          <w:color w:val="000000"/>
          <w:sz w:val="22"/>
          <w:szCs w:val="22"/>
        </w:rPr>
        <w:t xml:space="preserve">person claiming under or benefited by the disposition is unable </w:t>
      </w:r>
      <w:r>
        <w:rPr>
          <w:rFonts w:ascii="Arial" w:hAnsi="Arial" w:cs="Arial"/>
          <w:i/>
          <w:color w:val="000000"/>
          <w:sz w:val="22"/>
          <w:szCs w:val="22"/>
        </w:rPr>
        <w:tab/>
      </w:r>
      <w:r w:rsidRPr="00727363">
        <w:rPr>
          <w:rFonts w:ascii="Arial" w:hAnsi="Arial" w:cs="Arial"/>
          <w:i/>
          <w:color w:val="000000"/>
          <w:sz w:val="22"/>
          <w:szCs w:val="22"/>
        </w:rPr>
        <w:t xml:space="preserve">to prove that, immediately after the disposition was made, the </w:t>
      </w:r>
      <w:r>
        <w:rPr>
          <w:rFonts w:ascii="Arial" w:hAnsi="Arial" w:cs="Arial"/>
          <w:i/>
          <w:color w:val="000000"/>
          <w:sz w:val="22"/>
          <w:szCs w:val="22"/>
        </w:rPr>
        <w:tab/>
      </w:r>
      <w:r w:rsidRPr="00727363">
        <w:rPr>
          <w:rFonts w:ascii="Arial" w:hAnsi="Arial" w:cs="Arial"/>
          <w:i/>
          <w:color w:val="000000"/>
          <w:sz w:val="22"/>
          <w:szCs w:val="22"/>
        </w:rPr>
        <w:t>assets of the inso</w:t>
      </w:r>
      <w:r>
        <w:rPr>
          <w:rFonts w:ascii="Arial" w:hAnsi="Arial" w:cs="Arial"/>
          <w:i/>
          <w:color w:val="000000"/>
          <w:sz w:val="22"/>
          <w:szCs w:val="22"/>
        </w:rPr>
        <w:t>lvent exceeded his liabilities:</w:t>
      </w:r>
    </w:p>
    <w:p w14:paraId="6C6A8F95" w14:textId="77777777" w:rsidR="000859CB" w:rsidRDefault="000859CB" w:rsidP="000859CB">
      <w:pPr>
        <w:pStyle w:val="NormalWeb"/>
        <w:shd w:val="clear" w:color="auto" w:fill="FFFFFF"/>
        <w:spacing w:before="0" w:beforeAutospacing="0" w:after="0" w:afterAutospacing="0" w:line="360" w:lineRule="auto"/>
        <w:ind w:left="1440" w:right="720"/>
        <w:jc w:val="both"/>
        <w:rPr>
          <w:rFonts w:ascii="Arial" w:hAnsi="Arial" w:cs="Arial"/>
          <w:i/>
          <w:color w:val="000000"/>
          <w:sz w:val="22"/>
          <w:szCs w:val="22"/>
        </w:rPr>
      </w:pPr>
      <w:r>
        <w:rPr>
          <w:rFonts w:ascii="Arial" w:hAnsi="Arial" w:cs="Arial"/>
          <w:i/>
          <w:color w:val="000000"/>
          <w:sz w:val="22"/>
          <w:szCs w:val="22"/>
        </w:rPr>
        <w:tab/>
      </w:r>
      <w:r w:rsidRPr="00727363">
        <w:rPr>
          <w:rFonts w:ascii="Arial" w:hAnsi="Arial" w:cs="Arial"/>
          <w:i/>
          <w:color w:val="000000"/>
          <w:sz w:val="22"/>
          <w:szCs w:val="22"/>
        </w:rPr>
        <w:t xml:space="preserve">Provided that if it is proved that the liabilities of the insolvent at </w:t>
      </w:r>
      <w:r>
        <w:rPr>
          <w:rFonts w:ascii="Arial" w:hAnsi="Arial" w:cs="Arial"/>
          <w:i/>
          <w:color w:val="000000"/>
          <w:sz w:val="22"/>
          <w:szCs w:val="22"/>
        </w:rPr>
        <w:tab/>
      </w:r>
      <w:r w:rsidRPr="00727363">
        <w:rPr>
          <w:rFonts w:ascii="Arial" w:hAnsi="Arial" w:cs="Arial"/>
          <w:i/>
          <w:color w:val="000000"/>
          <w:sz w:val="22"/>
          <w:szCs w:val="22"/>
        </w:rPr>
        <w:t xml:space="preserve">any time after the making of the disposition exceeded his </w:t>
      </w:r>
      <w:r>
        <w:rPr>
          <w:rFonts w:ascii="Arial" w:hAnsi="Arial" w:cs="Arial"/>
          <w:i/>
          <w:color w:val="000000"/>
          <w:sz w:val="22"/>
          <w:szCs w:val="22"/>
        </w:rPr>
        <w:tab/>
      </w:r>
      <w:r w:rsidRPr="00727363">
        <w:rPr>
          <w:rFonts w:ascii="Arial" w:hAnsi="Arial" w:cs="Arial"/>
          <w:i/>
          <w:color w:val="000000"/>
          <w:sz w:val="22"/>
          <w:szCs w:val="22"/>
        </w:rPr>
        <w:t xml:space="preserve">assets by less than the value of the property disposed of, it </w:t>
      </w:r>
      <w:r>
        <w:rPr>
          <w:rFonts w:ascii="Arial" w:hAnsi="Arial" w:cs="Arial"/>
          <w:i/>
          <w:color w:val="000000"/>
          <w:sz w:val="22"/>
          <w:szCs w:val="22"/>
        </w:rPr>
        <w:tab/>
      </w:r>
      <w:r w:rsidRPr="00727363">
        <w:rPr>
          <w:rFonts w:ascii="Arial" w:hAnsi="Arial" w:cs="Arial"/>
          <w:i/>
          <w:color w:val="000000"/>
          <w:sz w:val="22"/>
          <w:szCs w:val="22"/>
        </w:rPr>
        <w:t>may be set aside only to the extent of such excess.</w:t>
      </w:r>
    </w:p>
    <w:p w14:paraId="4F1329F5" w14:textId="77777777" w:rsidR="000859CB" w:rsidRDefault="000859CB" w:rsidP="000859CB">
      <w:pPr>
        <w:pStyle w:val="NormalWeb"/>
        <w:shd w:val="clear" w:color="auto" w:fill="FFFFFF"/>
        <w:spacing w:before="0" w:beforeAutospacing="0" w:after="0" w:afterAutospacing="0" w:line="360" w:lineRule="auto"/>
        <w:ind w:left="720" w:right="720"/>
        <w:jc w:val="both"/>
        <w:rPr>
          <w:rFonts w:ascii="Arial" w:hAnsi="Arial" w:cs="Arial"/>
          <w:i/>
          <w:color w:val="000000"/>
          <w:sz w:val="22"/>
          <w:szCs w:val="22"/>
        </w:rPr>
      </w:pPr>
      <w:r>
        <w:rPr>
          <w:rFonts w:ascii="Arial" w:hAnsi="Arial" w:cs="Arial"/>
          <w:i/>
          <w:color w:val="000000"/>
          <w:sz w:val="22"/>
          <w:szCs w:val="22"/>
        </w:rPr>
        <w:t xml:space="preserve">(2) </w:t>
      </w:r>
      <w:r>
        <w:rPr>
          <w:rFonts w:ascii="Arial" w:hAnsi="Arial" w:cs="Arial"/>
          <w:i/>
          <w:color w:val="000000"/>
          <w:sz w:val="22"/>
          <w:szCs w:val="22"/>
        </w:rPr>
        <w:tab/>
        <w:t xml:space="preserve">A disposition of property not made for value, which was set aside under </w:t>
      </w:r>
      <w:r>
        <w:rPr>
          <w:rFonts w:ascii="Arial" w:hAnsi="Arial" w:cs="Arial"/>
          <w:i/>
          <w:color w:val="000000"/>
          <w:sz w:val="22"/>
          <w:szCs w:val="22"/>
        </w:rPr>
        <w:tab/>
        <w:t xml:space="preserve">subsection (1) or which was uncompleted by the insolvent, shall not </w:t>
      </w:r>
      <w:r>
        <w:rPr>
          <w:rFonts w:ascii="Arial" w:hAnsi="Arial" w:cs="Arial"/>
          <w:i/>
          <w:color w:val="000000"/>
          <w:sz w:val="22"/>
          <w:szCs w:val="22"/>
        </w:rPr>
        <w:tab/>
        <w:t xml:space="preserve">give rise to any claim in competition with the creditors of the insolvent’s </w:t>
      </w:r>
      <w:r>
        <w:rPr>
          <w:rFonts w:ascii="Arial" w:hAnsi="Arial" w:cs="Arial"/>
          <w:i/>
          <w:color w:val="000000"/>
          <w:sz w:val="22"/>
          <w:szCs w:val="22"/>
        </w:rPr>
        <w:tab/>
        <w:t xml:space="preserve">estate: Provided that in the case of a disposition of property not made </w:t>
      </w:r>
      <w:r>
        <w:rPr>
          <w:rFonts w:ascii="Arial" w:hAnsi="Arial" w:cs="Arial"/>
          <w:i/>
          <w:color w:val="000000"/>
          <w:sz w:val="22"/>
          <w:szCs w:val="22"/>
        </w:rPr>
        <w:tab/>
        <w:t>for value, which was uncompleted by the insolvent, and which-</w:t>
      </w:r>
    </w:p>
    <w:p w14:paraId="2D3D8C53" w14:textId="77777777" w:rsidR="000859CB" w:rsidRDefault="000859CB" w:rsidP="000859CB">
      <w:pPr>
        <w:pStyle w:val="NormalWeb"/>
        <w:shd w:val="clear" w:color="auto" w:fill="FFFFFF"/>
        <w:spacing w:before="0" w:beforeAutospacing="0" w:after="0" w:afterAutospacing="0" w:line="360" w:lineRule="auto"/>
        <w:ind w:left="1440" w:right="720"/>
        <w:jc w:val="both"/>
        <w:rPr>
          <w:rFonts w:ascii="Arial" w:hAnsi="Arial" w:cs="Arial"/>
          <w:i/>
          <w:color w:val="000000"/>
          <w:sz w:val="22"/>
          <w:szCs w:val="22"/>
        </w:rPr>
      </w:pPr>
      <w:r>
        <w:rPr>
          <w:rFonts w:ascii="Arial" w:hAnsi="Arial" w:cs="Arial"/>
          <w:i/>
          <w:color w:val="000000"/>
          <w:sz w:val="22"/>
          <w:szCs w:val="22"/>
        </w:rPr>
        <w:t>(a) was made by way of suretyship, guarantee or indemnity; and</w:t>
      </w:r>
    </w:p>
    <w:p w14:paraId="2D3D0A58" w14:textId="77777777" w:rsidR="000859CB" w:rsidRDefault="000859CB" w:rsidP="000859CB">
      <w:pPr>
        <w:pStyle w:val="NormalWeb"/>
        <w:shd w:val="clear" w:color="auto" w:fill="FFFFFF"/>
        <w:spacing w:before="0" w:beforeAutospacing="0" w:after="0" w:afterAutospacing="0" w:line="360" w:lineRule="auto"/>
        <w:ind w:left="1440" w:right="720"/>
        <w:jc w:val="both"/>
        <w:rPr>
          <w:rFonts w:ascii="Arial" w:hAnsi="Arial" w:cs="Arial"/>
          <w:i/>
          <w:color w:val="000000"/>
          <w:sz w:val="22"/>
          <w:szCs w:val="22"/>
        </w:rPr>
      </w:pPr>
      <w:r>
        <w:rPr>
          <w:rFonts w:ascii="Arial" w:hAnsi="Arial" w:cs="Arial"/>
          <w:i/>
          <w:color w:val="000000"/>
          <w:sz w:val="22"/>
          <w:szCs w:val="22"/>
        </w:rPr>
        <w:t xml:space="preserve">(b) has not been set aside under subsection (1). </w:t>
      </w:r>
    </w:p>
    <w:p w14:paraId="0AF5656A" w14:textId="75F53B26" w:rsidR="000859CB" w:rsidRPr="00A43F77" w:rsidRDefault="000859CB" w:rsidP="00A43F77">
      <w:pPr>
        <w:pStyle w:val="NormalWeb"/>
        <w:shd w:val="clear" w:color="auto" w:fill="FFFFFF"/>
        <w:spacing w:before="0" w:beforeAutospacing="0" w:after="0" w:afterAutospacing="0" w:line="360" w:lineRule="auto"/>
        <w:ind w:left="1440" w:right="720"/>
        <w:jc w:val="both"/>
        <w:rPr>
          <w:rFonts w:ascii="Arial" w:hAnsi="Arial" w:cs="Arial"/>
          <w:i/>
          <w:color w:val="000000"/>
          <w:sz w:val="22"/>
          <w:szCs w:val="22"/>
        </w:rPr>
      </w:pPr>
      <w:r>
        <w:rPr>
          <w:rFonts w:ascii="Arial" w:hAnsi="Arial" w:cs="Arial"/>
          <w:i/>
          <w:color w:val="000000"/>
          <w:sz w:val="22"/>
          <w:szCs w:val="22"/>
        </w:rPr>
        <w:t xml:space="preserve">the beneficiary concerned may compete with the creditors of the insolvent’s estate for an amount not exceeding the amount by which the </w:t>
      </w:r>
      <w:r>
        <w:rPr>
          <w:rFonts w:ascii="Arial" w:hAnsi="Arial" w:cs="Arial"/>
          <w:i/>
          <w:color w:val="000000"/>
          <w:sz w:val="22"/>
          <w:szCs w:val="22"/>
        </w:rPr>
        <w:lastRenderedPageBreak/>
        <w:t>value of the insolvent’s assets exceeded his liabilities immediately before the making of that disposition.’</w:t>
      </w:r>
    </w:p>
    <w:p w14:paraId="3C2CD820" w14:textId="71DF88DB" w:rsidR="00C414F8" w:rsidRPr="00C414F8" w:rsidRDefault="00C414F8" w:rsidP="00C414F8">
      <w:pPr>
        <w:pStyle w:val="ListParagraph"/>
        <w:numPr>
          <w:ilvl w:val="0"/>
          <w:numId w:val="1"/>
        </w:numPr>
        <w:spacing w:line="480" w:lineRule="auto"/>
        <w:jc w:val="both"/>
        <w:rPr>
          <w:rFonts w:ascii="Arial" w:hAnsi="Arial" w:cs="Arial"/>
          <w:b/>
          <w:sz w:val="24"/>
          <w:szCs w:val="24"/>
        </w:rPr>
      </w:pPr>
      <w:r>
        <w:rPr>
          <w:rFonts w:ascii="Arial" w:hAnsi="Arial" w:cs="Arial"/>
          <w:sz w:val="24"/>
          <w:szCs w:val="24"/>
        </w:rPr>
        <w:t xml:space="preserve">The Applicants contended that the claim based on Section 26 of the Insolvency Act arises from the fact that money </w:t>
      </w:r>
      <w:r w:rsidR="001926BE">
        <w:rPr>
          <w:rFonts w:ascii="Arial" w:hAnsi="Arial" w:cs="Arial"/>
          <w:sz w:val="24"/>
          <w:szCs w:val="24"/>
        </w:rPr>
        <w:t>flowed from Mr Ferreira</w:t>
      </w:r>
      <w:r w:rsidR="0063713C">
        <w:rPr>
          <w:rFonts w:ascii="Arial" w:hAnsi="Arial" w:cs="Arial"/>
          <w:sz w:val="24"/>
          <w:szCs w:val="24"/>
        </w:rPr>
        <w:t xml:space="preserve"> to the First Respondent as a consequence</w:t>
      </w:r>
      <w:r w:rsidR="00572541">
        <w:rPr>
          <w:rFonts w:ascii="Arial" w:hAnsi="Arial" w:cs="Arial"/>
          <w:sz w:val="24"/>
          <w:szCs w:val="24"/>
        </w:rPr>
        <w:t xml:space="preserve"> of</w:t>
      </w:r>
      <w:r w:rsidR="0063713C">
        <w:rPr>
          <w:rFonts w:ascii="Arial" w:hAnsi="Arial" w:cs="Arial"/>
          <w:sz w:val="24"/>
          <w:szCs w:val="24"/>
        </w:rPr>
        <w:t xml:space="preserve"> the renovations done to</w:t>
      </w:r>
      <w:r>
        <w:rPr>
          <w:rFonts w:ascii="Arial" w:hAnsi="Arial" w:cs="Arial"/>
          <w:sz w:val="24"/>
          <w:szCs w:val="24"/>
        </w:rPr>
        <w:t xml:space="preserve"> her property. The Applicants maintain that there was no value to that disposition as that disposition occurred while Mr Ferreira has a liability of R1125 117.49 and R695 865.36</w:t>
      </w:r>
      <w:r w:rsidR="001F4B51">
        <w:rPr>
          <w:rFonts w:ascii="Arial" w:hAnsi="Arial" w:cs="Arial"/>
          <w:sz w:val="24"/>
          <w:szCs w:val="24"/>
        </w:rPr>
        <w:t xml:space="preserve"> respectively,</w:t>
      </w:r>
      <w:r>
        <w:rPr>
          <w:rFonts w:ascii="Arial" w:hAnsi="Arial" w:cs="Arial"/>
          <w:sz w:val="24"/>
          <w:szCs w:val="24"/>
        </w:rPr>
        <w:t xml:space="preserve"> in respect of his suretyship obligations. It is the Applicants contention that it is reasonable to assume that Mr Ferreira’s liabilities exceeded his assets as he was sequestrated based on that debt. The Applicants argued that the extent of those dispositions falls to be set aside in terms of Section 26 of the Insolvency Act.</w:t>
      </w:r>
    </w:p>
    <w:p w14:paraId="5BFA99D0" w14:textId="47EC94A0" w:rsidR="00C414F8" w:rsidRPr="00C414F8" w:rsidRDefault="00C414F8" w:rsidP="00C414F8">
      <w:pPr>
        <w:pStyle w:val="ListParagraph"/>
        <w:spacing w:line="480" w:lineRule="auto"/>
        <w:ind w:left="0"/>
        <w:jc w:val="both"/>
        <w:rPr>
          <w:rFonts w:ascii="Arial" w:hAnsi="Arial" w:cs="Arial"/>
          <w:b/>
          <w:sz w:val="24"/>
          <w:szCs w:val="24"/>
        </w:rPr>
      </w:pPr>
    </w:p>
    <w:p w14:paraId="6178E631" w14:textId="0F6AEA7B" w:rsidR="0042601A" w:rsidRPr="00BA15F1" w:rsidRDefault="00407944" w:rsidP="0042601A">
      <w:pPr>
        <w:pStyle w:val="ListParagraph"/>
        <w:numPr>
          <w:ilvl w:val="0"/>
          <w:numId w:val="1"/>
        </w:numPr>
        <w:spacing w:line="480" w:lineRule="auto"/>
        <w:jc w:val="both"/>
        <w:rPr>
          <w:rFonts w:ascii="Arial" w:hAnsi="Arial" w:cs="Arial"/>
          <w:b/>
          <w:sz w:val="24"/>
          <w:szCs w:val="24"/>
        </w:rPr>
      </w:pPr>
      <w:r w:rsidRPr="0042601A">
        <w:rPr>
          <w:rFonts w:ascii="Arial" w:hAnsi="Arial" w:cs="Arial"/>
          <w:color w:val="000000"/>
          <w:sz w:val="24"/>
          <w:szCs w:val="24"/>
          <w:shd w:val="clear" w:color="auto" w:fill="FFFFFF"/>
        </w:rPr>
        <w:t xml:space="preserve">The First Respondent submitted that the payment made by the First Respondent to Mr Ferreira cannot be regarded as a voidable disposition by Mr Ferreira in terms of the relevant provisions of the Insolvency Act as the provisions relied upon by the Applicants essentially involve disposition by an insolvent. It is the First Respondent’s contention </w:t>
      </w:r>
      <w:r w:rsidR="00BD18EC" w:rsidRPr="0042601A">
        <w:rPr>
          <w:rFonts w:ascii="Arial" w:hAnsi="Arial" w:cs="Arial"/>
          <w:color w:val="000000"/>
          <w:sz w:val="24"/>
          <w:szCs w:val="24"/>
          <w:shd w:val="clear" w:color="auto" w:fill="FFFFFF"/>
        </w:rPr>
        <w:t>that the facts</w:t>
      </w:r>
      <w:r w:rsidR="00D95A1A">
        <w:rPr>
          <w:rFonts w:ascii="Arial" w:hAnsi="Arial" w:cs="Arial"/>
          <w:color w:val="000000"/>
          <w:sz w:val="24"/>
          <w:szCs w:val="24"/>
          <w:shd w:val="clear" w:color="auto" w:fill="FFFFFF"/>
        </w:rPr>
        <w:t xml:space="preserve"> </w:t>
      </w:r>
      <w:r w:rsidR="00D95A1A" w:rsidRPr="0042601A">
        <w:rPr>
          <w:rFonts w:ascii="Arial" w:hAnsi="Arial" w:cs="Arial"/>
          <w:color w:val="000000"/>
          <w:sz w:val="24"/>
          <w:szCs w:val="24"/>
          <w:shd w:val="clear" w:color="auto" w:fill="FFFFFF"/>
        </w:rPr>
        <w:t>as described by the First Respondent during the Insolvency Enquiry</w:t>
      </w:r>
      <w:r w:rsidR="00D95A1A">
        <w:rPr>
          <w:rFonts w:ascii="Arial" w:hAnsi="Arial" w:cs="Arial"/>
          <w:color w:val="000000"/>
          <w:sz w:val="24"/>
          <w:szCs w:val="24"/>
          <w:shd w:val="clear" w:color="auto" w:fill="FFFFFF"/>
        </w:rPr>
        <w:t>,</w:t>
      </w:r>
      <w:r w:rsidR="00BD18EC" w:rsidRPr="0042601A">
        <w:rPr>
          <w:rFonts w:ascii="Arial" w:hAnsi="Arial" w:cs="Arial"/>
          <w:color w:val="000000"/>
          <w:sz w:val="24"/>
          <w:szCs w:val="24"/>
          <w:shd w:val="clear" w:color="auto" w:fill="FFFFFF"/>
        </w:rPr>
        <w:t xml:space="preserve"> do not fall within the ambit of Se</w:t>
      </w:r>
      <w:r w:rsidR="006A7E01" w:rsidRPr="0042601A">
        <w:rPr>
          <w:rFonts w:ascii="Arial" w:hAnsi="Arial" w:cs="Arial"/>
          <w:color w:val="000000"/>
          <w:sz w:val="24"/>
          <w:szCs w:val="24"/>
          <w:shd w:val="clear" w:color="auto" w:fill="FFFFFF"/>
        </w:rPr>
        <w:t xml:space="preserve">ction 26 of the Insolvency Act as this section relates to dispositions made by an insolvent; more particularly, dispositions “not made for value”.  </w:t>
      </w:r>
      <w:r w:rsidR="00681DF4">
        <w:rPr>
          <w:rFonts w:ascii="Arial" w:hAnsi="Arial" w:cs="Arial"/>
          <w:color w:val="000000"/>
          <w:sz w:val="24"/>
          <w:szCs w:val="24"/>
          <w:shd w:val="clear" w:color="auto" w:fill="FFFFFF"/>
        </w:rPr>
        <w:t>According to the First Respondent, t</w:t>
      </w:r>
      <w:r w:rsidR="006A7E01" w:rsidRPr="0042601A">
        <w:rPr>
          <w:rFonts w:ascii="Arial" w:hAnsi="Arial" w:cs="Arial"/>
          <w:color w:val="000000"/>
          <w:sz w:val="24"/>
          <w:szCs w:val="24"/>
          <w:shd w:val="clear" w:color="auto" w:fill="FFFFFF"/>
        </w:rPr>
        <w:t xml:space="preserve">he facts show that Mr Ferreira received payment in the sum of R250 000 for his work in respect of the First Respondent’s property. </w:t>
      </w:r>
      <w:r w:rsidR="00681DF4">
        <w:rPr>
          <w:rFonts w:ascii="Arial" w:hAnsi="Arial" w:cs="Arial"/>
          <w:color w:val="000000"/>
          <w:sz w:val="24"/>
          <w:szCs w:val="24"/>
          <w:shd w:val="clear" w:color="auto" w:fill="FFFFFF"/>
        </w:rPr>
        <w:t>The contention, by the First Respondent is that t</w:t>
      </w:r>
      <w:r w:rsidR="006A7E01" w:rsidRPr="0042601A">
        <w:rPr>
          <w:rFonts w:ascii="Arial" w:hAnsi="Arial" w:cs="Arial"/>
          <w:color w:val="000000"/>
          <w:sz w:val="24"/>
          <w:szCs w:val="24"/>
          <w:shd w:val="clear" w:color="auto" w:fill="FFFFFF"/>
        </w:rPr>
        <w:t xml:space="preserve">his work was therefore “for value”, and as such does not fall within the ambit of Section 26 of the Insolvency Act. </w:t>
      </w:r>
    </w:p>
    <w:p w14:paraId="13B22104" w14:textId="23B26F02" w:rsidR="00BA15F1" w:rsidRPr="00681DF4" w:rsidRDefault="00BA15F1" w:rsidP="00BA15F1">
      <w:pPr>
        <w:pStyle w:val="ListParagraph"/>
        <w:spacing w:line="480" w:lineRule="auto"/>
        <w:ind w:left="0"/>
        <w:jc w:val="both"/>
        <w:rPr>
          <w:rFonts w:ascii="Arial" w:hAnsi="Arial" w:cs="Arial"/>
          <w:b/>
          <w:sz w:val="24"/>
          <w:szCs w:val="24"/>
        </w:rPr>
      </w:pPr>
    </w:p>
    <w:p w14:paraId="21F1D43F" w14:textId="77777777" w:rsidR="0042601A" w:rsidRPr="00BD18EC" w:rsidRDefault="0042601A" w:rsidP="0042601A">
      <w:pPr>
        <w:pStyle w:val="ListParagraph"/>
        <w:numPr>
          <w:ilvl w:val="0"/>
          <w:numId w:val="1"/>
        </w:numPr>
        <w:spacing w:line="480" w:lineRule="auto"/>
        <w:jc w:val="both"/>
        <w:rPr>
          <w:rFonts w:ascii="Arial" w:hAnsi="Arial" w:cs="Arial"/>
          <w:b/>
          <w:sz w:val="24"/>
          <w:szCs w:val="24"/>
        </w:rPr>
      </w:pPr>
      <w:r w:rsidRPr="008A176F">
        <w:rPr>
          <w:rFonts w:ascii="Arial" w:hAnsi="Arial" w:cs="Arial"/>
          <w:color w:val="000000"/>
          <w:sz w:val="24"/>
          <w:szCs w:val="24"/>
          <w:shd w:val="clear" w:color="auto" w:fill="FFFFFF"/>
        </w:rPr>
        <w:lastRenderedPageBreak/>
        <w:t>It is trite that a disposition by the insolvent person must have been made not for value either within or after two years and the trustee or liquidator must prove that immediately after the disposition was made the assets of the insolvent exceeded the insolvent's liabilities.</w:t>
      </w:r>
      <w:r>
        <w:rPr>
          <w:rStyle w:val="FootnoteReference"/>
          <w:rFonts w:ascii="Arial" w:hAnsi="Arial" w:cs="Arial"/>
          <w:color w:val="000000"/>
          <w:sz w:val="24"/>
          <w:szCs w:val="24"/>
          <w:shd w:val="clear" w:color="auto" w:fill="FFFFFF"/>
        </w:rPr>
        <w:footnoteReference w:id="28"/>
      </w:r>
      <w:r>
        <w:rPr>
          <w:rFonts w:ascii="Arial" w:hAnsi="Arial" w:cs="Arial"/>
          <w:b/>
          <w:sz w:val="24"/>
          <w:szCs w:val="24"/>
        </w:rPr>
        <w:t xml:space="preserve"> </w:t>
      </w:r>
      <w:r w:rsidRPr="008A176F">
        <w:rPr>
          <w:rFonts w:ascii="Arial" w:hAnsi="Arial" w:cs="Arial"/>
          <w:color w:val="000000"/>
          <w:sz w:val="24"/>
          <w:szCs w:val="24"/>
          <w:shd w:val="clear" w:color="auto" w:fill="FFFFFF"/>
        </w:rPr>
        <w:t xml:space="preserve">Section 26 of the Insolvency Act is aimed at protecting the interests of creditors through powers provided to trustees to approach courts to set aside pre-sequestration transactions that were made without insolvent persons deriving value in return. </w:t>
      </w:r>
    </w:p>
    <w:p w14:paraId="156B759F" w14:textId="7F73A4D8" w:rsidR="00317A1F" w:rsidRDefault="00317A1F" w:rsidP="004D2E5B">
      <w:pPr>
        <w:pStyle w:val="ListParagraph"/>
        <w:spacing w:after="0" w:line="480" w:lineRule="auto"/>
        <w:ind w:left="0"/>
        <w:jc w:val="both"/>
        <w:rPr>
          <w:rFonts w:ascii="Arial" w:hAnsi="Arial" w:cs="Arial"/>
          <w:b/>
          <w:color w:val="000000"/>
          <w:sz w:val="24"/>
          <w:szCs w:val="24"/>
          <w:shd w:val="clear" w:color="auto" w:fill="FFFFFF"/>
        </w:rPr>
      </w:pPr>
    </w:p>
    <w:p w14:paraId="039AE0BA" w14:textId="2E6ACBB1" w:rsidR="00BA068A" w:rsidRPr="00BA068A" w:rsidRDefault="00BA068A" w:rsidP="00AA59F8">
      <w:pPr>
        <w:pStyle w:val="ListParagraph"/>
        <w:numPr>
          <w:ilvl w:val="0"/>
          <w:numId w:val="30"/>
        </w:numPr>
        <w:spacing w:after="0" w:line="480" w:lineRule="auto"/>
        <w:jc w:val="both"/>
        <w:rPr>
          <w:rFonts w:ascii="Arial" w:hAnsi="Arial" w:cs="Arial"/>
          <w:b/>
          <w:sz w:val="24"/>
          <w:szCs w:val="24"/>
        </w:rPr>
      </w:pPr>
      <w:r>
        <w:rPr>
          <w:rFonts w:ascii="Arial" w:hAnsi="Arial" w:cs="Arial"/>
          <w:b/>
          <w:color w:val="000000"/>
          <w:sz w:val="24"/>
          <w:szCs w:val="24"/>
          <w:shd w:val="clear" w:color="auto" w:fill="FFFFFF"/>
        </w:rPr>
        <w:t>Collusive dealings before sequestration</w:t>
      </w:r>
    </w:p>
    <w:p w14:paraId="792AAD29" w14:textId="6C57C3C4" w:rsidR="001B239A" w:rsidRPr="001B239A" w:rsidRDefault="001B239A" w:rsidP="001B239A">
      <w:pPr>
        <w:pStyle w:val="ListParagraph"/>
        <w:numPr>
          <w:ilvl w:val="0"/>
          <w:numId w:val="1"/>
        </w:numPr>
        <w:spacing w:after="0" w:line="480" w:lineRule="auto"/>
        <w:jc w:val="both"/>
        <w:rPr>
          <w:rFonts w:ascii="Arial" w:hAnsi="Arial" w:cs="Arial"/>
          <w:b/>
          <w:sz w:val="24"/>
          <w:szCs w:val="24"/>
        </w:rPr>
      </w:pPr>
      <w:r w:rsidRPr="001B239A">
        <w:rPr>
          <w:rFonts w:ascii="Arial" w:hAnsi="Arial" w:cs="Arial"/>
          <w:sz w:val="24"/>
          <w:szCs w:val="24"/>
        </w:rPr>
        <w:t>Section 31 of the Insolvency Act states as follows:</w:t>
      </w:r>
    </w:p>
    <w:p w14:paraId="7541FCD2" w14:textId="77777777" w:rsidR="001B239A" w:rsidRDefault="001B239A" w:rsidP="001B239A">
      <w:pPr>
        <w:pStyle w:val="ListParagraph"/>
        <w:spacing w:after="0" w:line="360" w:lineRule="auto"/>
        <w:ind w:right="720"/>
        <w:jc w:val="both"/>
        <w:rPr>
          <w:rFonts w:ascii="Arial" w:hAnsi="Arial" w:cs="Arial"/>
          <w:i/>
        </w:rPr>
      </w:pPr>
      <w:r>
        <w:rPr>
          <w:rFonts w:ascii="Arial" w:hAnsi="Arial" w:cs="Arial"/>
          <w:i/>
        </w:rPr>
        <w:t>‘Collusive dealings before sequestration-</w:t>
      </w:r>
    </w:p>
    <w:p w14:paraId="7F8CF919" w14:textId="77777777" w:rsidR="001B239A" w:rsidRDefault="001B239A" w:rsidP="001B239A">
      <w:pPr>
        <w:pStyle w:val="ListParagraph"/>
        <w:numPr>
          <w:ilvl w:val="0"/>
          <w:numId w:val="16"/>
        </w:numPr>
        <w:spacing w:after="0" w:line="360" w:lineRule="auto"/>
        <w:ind w:right="720"/>
        <w:jc w:val="both"/>
        <w:rPr>
          <w:rFonts w:ascii="Arial" w:hAnsi="Arial" w:cs="Arial"/>
          <w:i/>
        </w:rPr>
      </w:pPr>
      <w:r>
        <w:rPr>
          <w:rFonts w:ascii="Arial" w:hAnsi="Arial" w:cs="Arial"/>
          <w:i/>
        </w:rPr>
        <w:t>After the sequestration of a debtor’s estate the court may set aside any transaction entered into by the debtor before the sequestration, whereby he, in collusion with another person, disposed of property belonging to him in a manner which had the effect of prejudicing his creditors or of preferring one of his creditors above another.</w:t>
      </w:r>
    </w:p>
    <w:p w14:paraId="5E3D3B2D" w14:textId="77777777" w:rsidR="001B239A" w:rsidRDefault="001B239A" w:rsidP="001B239A">
      <w:pPr>
        <w:pStyle w:val="ListParagraph"/>
        <w:spacing w:after="0" w:line="360" w:lineRule="auto"/>
        <w:ind w:left="1080" w:right="720"/>
        <w:jc w:val="both"/>
        <w:rPr>
          <w:rFonts w:ascii="Arial" w:hAnsi="Arial" w:cs="Arial"/>
          <w:i/>
        </w:rPr>
      </w:pPr>
    </w:p>
    <w:p w14:paraId="6E141A5E" w14:textId="77777777" w:rsidR="001B239A" w:rsidRDefault="001B239A" w:rsidP="001B239A">
      <w:pPr>
        <w:pStyle w:val="ListParagraph"/>
        <w:numPr>
          <w:ilvl w:val="0"/>
          <w:numId w:val="16"/>
        </w:numPr>
        <w:spacing w:after="0" w:line="360" w:lineRule="auto"/>
        <w:ind w:right="720"/>
        <w:jc w:val="both"/>
        <w:rPr>
          <w:rFonts w:ascii="Arial" w:hAnsi="Arial" w:cs="Arial"/>
          <w:i/>
        </w:rPr>
      </w:pPr>
      <w:r>
        <w:rPr>
          <w:rFonts w:ascii="Arial" w:hAnsi="Arial" w:cs="Arial"/>
          <w:i/>
        </w:rPr>
        <w:t>Any person who was a party to such collusive disposition shall be liable to make good any loss thereby caused to the insolvent estate in question and shall pay for the benefit of the estate, by way of penalty, such sum as the court may adjudge, not exceeding the amount by which he would have benefited by such dealing if it had not been set aside; ad if he is a creditor he shall also forfeit his claim against the estate.</w:t>
      </w:r>
    </w:p>
    <w:p w14:paraId="14446D01" w14:textId="77777777" w:rsidR="001B239A" w:rsidRDefault="001B239A" w:rsidP="001B239A">
      <w:pPr>
        <w:pStyle w:val="ListParagraph"/>
        <w:spacing w:after="0" w:line="360" w:lineRule="auto"/>
        <w:ind w:left="1080" w:right="720"/>
        <w:jc w:val="both"/>
        <w:rPr>
          <w:rFonts w:ascii="Arial" w:hAnsi="Arial" w:cs="Arial"/>
          <w:i/>
        </w:rPr>
      </w:pPr>
    </w:p>
    <w:p w14:paraId="201685B9" w14:textId="77777777" w:rsidR="001B239A" w:rsidRDefault="001B239A" w:rsidP="001B239A">
      <w:pPr>
        <w:pStyle w:val="ListParagraph"/>
        <w:numPr>
          <w:ilvl w:val="0"/>
          <w:numId w:val="16"/>
        </w:numPr>
        <w:spacing w:after="0" w:line="360" w:lineRule="auto"/>
        <w:ind w:right="720"/>
        <w:jc w:val="both"/>
        <w:rPr>
          <w:rFonts w:ascii="Arial" w:hAnsi="Arial" w:cs="Arial"/>
          <w:i/>
        </w:rPr>
      </w:pPr>
      <w:r>
        <w:rPr>
          <w:rFonts w:ascii="Arial" w:hAnsi="Arial" w:cs="Arial"/>
          <w:i/>
        </w:rPr>
        <w:t>Such compensation and penalty may be recovered in any action to set aside the transaction in question.’</w:t>
      </w:r>
    </w:p>
    <w:p w14:paraId="13B23A5D" w14:textId="77777777" w:rsidR="001B239A" w:rsidRPr="001B239A" w:rsidRDefault="001B239A" w:rsidP="00D371FA">
      <w:pPr>
        <w:pStyle w:val="ListParagraph"/>
        <w:spacing w:after="0" w:line="480" w:lineRule="auto"/>
        <w:ind w:left="0"/>
        <w:jc w:val="both"/>
        <w:rPr>
          <w:rFonts w:ascii="Arial" w:hAnsi="Arial" w:cs="Arial"/>
          <w:b/>
          <w:sz w:val="24"/>
          <w:szCs w:val="24"/>
        </w:rPr>
      </w:pPr>
    </w:p>
    <w:p w14:paraId="55CA5514" w14:textId="0096B13B" w:rsidR="00BA068A" w:rsidRPr="007A5178" w:rsidRDefault="00BA068A" w:rsidP="00802233">
      <w:pPr>
        <w:pStyle w:val="ListParagraph"/>
        <w:numPr>
          <w:ilvl w:val="0"/>
          <w:numId w:val="1"/>
        </w:numPr>
        <w:spacing w:after="0" w:line="480" w:lineRule="auto"/>
        <w:jc w:val="both"/>
        <w:rPr>
          <w:rFonts w:ascii="Arial" w:hAnsi="Arial" w:cs="Arial"/>
          <w:b/>
          <w:sz w:val="24"/>
          <w:szCs w:val="24"/>
        </w:rPr>
      </w:pPr>
      <w:r>
        <w:rPr>
          <w:rFonts w:ascii="Arial" w:hAnsi="Arial" w:cs="Arial"/>
          <w:sz w:val="24"/>
          <w:szCs w:val="24"/>
        </w:rPr>
        <w:t>It is the Applicants</w:t>
      </w:r>
      <w:r w:rsidR="00EA13FE">
        <w:rPr>
          <w:rFonts w:ascii="Arial" w:hAnsi="Arial" w:cs="Arial"/>
          <w:sz w:val="24"/>
          <w:szCs w:val="24"/>
        </w:rPr>
        <w:t>’</w:t>
      </w:r>
      <w:r>
        <w:rPr>
          <w:rFonts w:ascii="Arial" w:hAnsi="Arial" w:cs="Arial"/>
          <w:sz w:val="24"/>
          <w:szCs w:val="24"/>
        </w:rPr>
        <w:t xml:space="preserve"> contention that the claim based on Section 31 of the Insolvency Act is premised on the transactions which caused Mr Ferreira to dispose </w:t>
      </w:r>
      <w:r>
        <w:rPr>
          <w:rFonts w:ascii="Arial" w:hAnsi="Arial" w:cs="Arial"/>
          <w:sz w:val="24"/>
          <w:szCs w:val="24"/>
        </w:rPr>
        <w:lastRenderedPageBreak/>
        <w:t>of property belonging to him to the First Respondent in order to prejudice his creditors. In augmentation, the Applicants submitted that the First Respondent was a party to those dealings and that the Trustees of Mr Ferreira are entitled to claim the loss which was incurred in the amount of at least R250 000.</w:t>
      </w:r>
    </w:p>
    <w:p w14:paraId="7A252E30" w14:textId="77777777" w:rsidR="00F94C89" w:rsidRPr="00BA068A" w:rsidRDefault="00F94C89" w:rsidP="00802233">
      <w:pPr>
        <w:pStyle w:val="ListParagraph"/>
        <w:spacing w:after="0" w:line="360" w:lineRule="auto"/>
        <w:ind w:left="1080" w:right="720"/>
        <w:jc w:val="both"/>
        <w:rPr>
          <w:rFonts w:ascii="Arial" w:hAnsi="Arial" w:cs="Arial"/>
          <w:i/>
        </w:rPr>
      </w:pPr>
    </w:p>
    <w:p w14:paraId="01D3A093" w14:textId="2231276D" w:rsidR="00BA068A" w:rsidRPr="001F1FCA" w:rsidRDefault="00F94C89" w:rsidP="00EC5259">
      <w:pPr>
        <w:pStyle w:val="ListParagraph"/>
        <w:numPr>
          <w:ilvl w:val="0"/>
          <w:numId w:val="1"/>
        </w:numPr>
        <w:spacing w:after="0" w:line="480" w:lineRule="auto"/>
        <w:jc w:val="both"/>
        <w:rPr>
          <w:rFonts w:ascii="Arial" w:hAnsi="Arial" w:cs="Arial"/>
          <w:b/>
          <w:sz w:val="24"/>
          <w:szCs w:val="24"/>
        </w:rPr>
      </w:pPr>
      <w:r>
        <w:rPr>
          <w:rFonts w:ascii="Arial" w:hAnsi="Arial" w:cs="Arial"/>
          <w:sz w:val="24"/>
          <w:szCs w:val="24"/>
        </w:rPr>
        <w:t xml:space="preserve">The First Respondent </w:t>
      </w:r>
      <w:r w:rsidR="005F2507">
        <w:rPr>
          <w:rFonts w:ascii="Arial" w:hAnsi="Arial" w:cs="Arial"/>
          <w:sz w:val="24"/>
          <w:szCs w:val="24"/>
        </w:rPr>
        <w:t xml:space="preserve">submitted that there is no factual basis provided by the Applicants to support the conjecture that there </w:t>
      </w:r>
      <w:r w:rsidR="00EC5259">
        <w:rPr>
          <w:rFonts w:ascii="Arial" w:hAnsi="Arial" w:cs="Arial"/>
          <w:sz w:val="24"/>
          <w:szCs w:val="24"/>
        </w:rPr>
        <w:t>have</w:t>
      </w:r>
      <w:r w:rsidR="005F2507">
        <w:rPr>
          <w:rFonts w:ascii="Arial" w:hAnsi="Arial" w:cs="Arial"/>
          <w:sz w:val="24"/>
          <w:szCs w:val="24"/>
        </w:rPr>
        <w:t xml:space="preserve"> been collusive dealings between the First Respondent and Mr Ferreira. </w:t>
      </w:r>
    </w:p>
    <w:p w14:paraId="1A3428FF" w14:textId="2652D8F1" w:rsidR="00317A1F" w:rsidRDefault="00317A1F" w:rsidP="00EC5259">
      <w:pPr>
        <w:pStyle w:val="ListParagraph"/>
        <w:spacing w:after="0" w:line="480" w:lineRule="auto"/>
        <w:ind w:left="0"/>
        <w:jc w:val="both"/>
        <w:rPr>
          <w:rFonts w:ascii="Arial" w:hAnsi="Arial" w:cs="Arial"/>
          <w:b/>
          <w:sz w:val="24"/>
          <w:szCs w:val="24"/>
        </w:rPr>
      </w:pPr>
    </w:p>
    <w:p w14:paraId="631C3C2F" w14:textId="3424C9AB" w:rsidR="001F1FCA" w:rsidRPr="00AA59F8" w:rsidRDefault="001F1FCA" w:rsidP="00AA59F8">
      <w:pPr>
        <w:pStyle w:val="ListParagraph"/>
        <w:numPr>
          <w:ilvl w:val="0"/>
          <w:numId w:val="29"/>
        </w:numPr>
        <w:spacing w:after="0" w:line="480" w:lineRule="auto"/>
        <w:ind w:left="360"/>
        <w:jc w:val="both"/>
        <w:rPr>
          <w:rFonts w:ascii="Arial" w:hAnsi="Arial" w:cs="Arial"/>
          <w:b/>
          <w:i/>
          <w:sz w:val="24"/>
          <w:szCs w:val="24"/>
        </w:rPr>
      </w:pPr>
      <w:r w:rsidRPr="00AA59F8">
        <w:rPr>
          <w:rFonts w:ascii="Arial" w:hAnsi="Arial" w:cs="Arial"/>
          <w:b/>
          <w:i/>
          <w:sz w:val="24"/>
          <w:szCs w:val="24"/>
        </w:rPr>
        <w:t>The Actio Pauli</w:t>
      </w:r>
      <w:r w:rsidR="008C7E6A">
        <w:rPr>
          <w:rFonts w:ascii="Arial" w:hAnsi="Arial" w:cs="Arial"/>
          <w:b/>
          <w:i/>
          <w:sz w:val="24"/>
          <w:szCs w:val="24"/>
        </w:rPr>
        <w:t>a</w:t>
      </w:r>
      <w:r w:rsidRPr="00AA59F8">
        <w:rPr>
          <w:rFonts w:ascii="Arial" w:hAnsi="Arial" w:cs="Arial"/>
          <w:b/>
          <w:i/>
          <w:sz w:val="24"/>
          <w:szCs w:val="24"/>
        </w:rPr>
        <w:t>na</w:t>
      </w:r>
    </w:p>
    <w:p w14:paraId="64E90313" w14:textId="4DA831A0" w:rsidR="008D0C33" w:rsidRPr="009C3DE1" w:rsidRDefault="008D0C33" w:rsidP="008D0C33">
      <w:pPr>
        <w:pStyle w:val="ListParagraph"/>
        <w:numPr>
          <w:ilvl w:val="0"/>
          <w:numId w:val="1"/>
        </w:numPr>
        <w:spacing w:line="480" w:lineRule="auto"/>
        <w:jc w:val="both"/>
        <w:rPr>
          <w:rFonts w:ascii="Arial" w:hAnsi="Arial" w:cs="Arial"/>
          <w:b/>
          <w:sz w:val="24"/>
          <w:szCs w:val="24"/>
        </w:rPr>
      </w:pPr>
      <w:r>
        <w:rPr>
          <w:rFonts w:ascii="Arial" w:hAnsi="Arial" w:cs="Arial"/>
          <w:sz w:val="24"/>
          <w:szCs w:val="24"/>
        </w:rPr>
        <w:t xml:space="preserve">The common law remedy of </w:t>
      </w:r>
      <w:r w:rsidRPr="004605E9">
        <w:rPr>
          <w:rFonts w:ascii="Arial" w:hAnsi="Arial" w:cs="Arial"/>
          <w:i/>
          <w:sz w:val="24"/>
          <w:szCs w:val="24"/>
        </w:rPr>
        <w:t>Actio Paulia</w:t>
      </w:r>
      <w:r w:rsidR="008C7E6A">
        <w:rPr>
          <w:rFonts w:ascii="Arial" w:hAnsi="Arial" w:cs="Arial"/>
          <w:i/>
          <w:sz w:val="24"/>
          <w:szCs w:val="24"/>
        </w:rPr>
        <w:t>na</w:t>
      </w:r>
      <w:r>
        <w:rPr>
          <w:rFonts w:ascii="Arial" w:hAnsi="Arial" w:cs="Arial"/>
          <w:sz w:val="24"/>
          <w:szCs w:val="24"/>
        </w:rPr>
        <w:t xml:space="preserve"> was succinctly dealt with by </w:t>
      </w:r>
      <w:r w:rsidRPr="009C3DE1">
        <w:rPr>
          <w:rFonts w:ascii="Arial" w:hAnsi="Arial" w:cs="Arial"/>
          <w:sz w:val="24"/>
          <w:szCs w:val="24"/>
        </w:rPr>
        <w:t>Steyn J</w:t>
      </w:r>
      <w:r>
        <w:rPr>
          <w:rFonts w:ascii="Arial" w:hAnsi="Arial" w:cs="Arial"/>
          <w:sz w:val="24"/>
          <w:szCs w:val="24"/>
        </w:rPr>
        <w:t xml:space="preserve"> in</w:t>
      </w:r>
      <w:r>
        <w:rPr>
          <w:rFonts w:ascii="Arial" w:hAnsi="Arial" w:cs="Arial"/>
          <w:b/>
          <w:sz w:val="24"/>
          <w:szCs w:val="24"/>
        </w:rPr>
        <w:t xml:space="preserve">  </w:t>
      </w:r>
      <w:r>
        <w:rPr>
          <w:rFonts w:ascii="Arial" w:hAnsi="Arial" w:cs="Arial"/>
          <w:b/>
          <w:i/>
          <w:sz w:val="24"/>
          <w:szCs w:val="24"/>
        </w:rPr>
        <w:t>Ameropa Commodities (Pty) Limited v Benchimol N.O. and Others</w:t>
      </w:r>
      <w:r>
        <w:rPr>
          <w:rStyle w:val="FootnoteReference"/>
          <w:rFonts w:ascii="Arial" w:hAnsi="Arial" w:cs="Arial"/>
          <w:b/>
          <w:i/>
          <w:sz w:val="24"/>
          <w:szCs w:val="24"/>
        </w:rPr>
        <w:footnoteReference w:id="29"/>
      </w:r>
      <w:r>
        <w:rPr>
          <w:rFonts w:ascii="Arial" w:hAnsi="Arial" w:cs="Arial"/>
          <w:b/>
          <w:i/>
          <w:sz w:val="24"/>
          <w:szCs w:val="24"/>
        </w:rPr>
        <w:t>:</w:t>
      </w:r>
    </w:p>
    <w:p w14:paraId="5A27D129" w14:textId="04574C10" w:rsidR="008D0C33" w:rsidRDefault="004A4F0B" w:rsidP="008D0C33">
      <w:pPr>
        <w:pStyle w:val="ListParagraph"/>
        <w:spacing w:after="0" w:line="360" w:lineRule="auto"/>
        <w:ind w:right="720"/>
        <w:jc w:val="both"/>
        <w:rPr>
          <w:rFonts w:ascii="Arial" w:hAnsi="Arial" w:cs="Arial"/>
          <w:i/>
        </w:rPr>
      </w:pPr>
      <w:r>
        <w:rPr>
          <w:rFonts w:ascii="Arial" w:hAnsi="Arial" w:cs="Arial"/>
          <w:i/>
        </w:rPr>
        <w:t>‘</w:t>
      </w:r>
      <w:r w:rsidR="008D0C33" w:rsidRPr="009C3DE1">
        <w:rPr>
          <w:rFonts w:ascii="Arial" w:hAnsi="Arial" w:cs="Arial"/>
          <w:i/>
        </w:rPr>
        <w:t>The requirements for the actio Pauliana were set out in Fenhalls v Ebrahim &amp; others:</w:t>
      </w:r>
      <w:r w:rsidR="008D0C33" w:rsidRPr="009C3DE1">
        <w:rPr>
          <w:rStyle w:val="FootnoteReference"/>
          <w:rFonts w:ascii="Arial" w:hAnsi="Arial" w:cs="Arial"/>
          <w:i/>
        </w:rPr>
        <w:footnoteReference w:id="30"/>
      </w:r>
    </w:p>
    <w:p w14:paraId="448FF9E5" w14:textId="77777777" w:rsidR="008D0C33" w:rsidRPr="009C3DE1" w:rsidRDefault="008D0C33" w:rsidP="008D0C33">
      <w:pPr>
        <w:pStyle w:val="ListParagraph"/>
        <w:spacing w:after="0" w:line="360" w:lineRule="auto"/>
        <w:ind w:right="720"/>
        <w:jc w:val="both"/>
        <w:rPr>
          <w:rFonts w:ascii="Arial" w:hAnsi="Arial" w:cs="Arial"/>
          <w:b/>
          <w:i/>
          <w:sz w:val="24"/>
          <w:szCs w:val="24"/>
        </w:rPr>
      </w:pPr>
    </w:p>
    <w:p w14:paraId="6272A486" w14:textId="02869471" w:rsidR="008D0C33" w:rsidRPr="009C3DE1" w:rsidRDefault="008D0C33" w:rsidP="008D0C33">
      <w:pPr>
        <w:pStyle w:val="ListParagraph"/>
        <w:spacing w:after="0" w:line="360" w:lineRule="auto"/>
        <w:ind w:right="720"/>
        <w:jc w:val="both"/>
        <w:rPr>
          <w:rFonts w:ascii="Arial" w:hAnsi="Arial" w:cs="Arial"/>
          <w:i/>
          <w:color w:val="000000"/>
          <w:lang w:eastAsia="en-ZA"/>
        </w:rPr>
      </w:pPr>
      <w:r w:rsidRPr="009C3DE1">
        <w:rPr>
          <w:rFonts w:ascii="Arial" w:hAnsi="Arial" w:cs="Arial"/>
          <w:i/>
          <w:color w:val="000000"/>
          <w:lang w:eastAsia="en-ZA"/>
        </w:rPr>
        <w:t>The common law on the subject of rescinding alienations made </w:t>
      </w:r>
      <w:r w:rsidRPr="009C3DE1">
        <w:rPr>
          <w:rFonts w:ascii="Arial" w:hAnsi="Arial" w:cs="Arial"/>
          <w:i/>
          <w:iCs/>
          <w:color w:val="000000"/>
          <w:lang w:eastAsia="en-ZA"/>
        </w:rPr>
        <w:t>in fraudem creditorum</w:t>
      </w:r>
      <w:r w:rsidRPr="009C3DE1">
        <w:rPr>
          <w:rFonts w:ascii="Arial" w:hAnsi="Arial" w:cs="Arial"/>
          <w:i/>
          <w:color w:val="000000"/>
          <w:lang w:eastAsia="en-ZA"/>
        </w:rPr>
        <w:t> is derived from the civil law. One of the actions by which this relief might be sought was the </w:t>
      </w:r>
      <w:r w:rsidRPr="009C3DE1">
        <w:rPr>
          <w:rFonts w:ascii="Arial" w:hAnsi="Arial" w:cs="Arial"/>
          <w:i/>
          <w:iCs/>
          <w:color w:val="000000"/>
          <w:lang w:eastAsia="en-ZA"/>
        </w:rPr>
        <w:t>actio Pauliana</w:t>
      </w:r>
      <w:r w:rsidRPr="009C3DE1">
        <w:rPr>
          <w:rFonts w:ascii="Arial" w:hAnsi="Arial" w:cs="Arial"/>
          <w:i/>
          <w:color w:val="000000"/>
          <w:lang w:eastAsia="en-ZA"/>
        </w:rPr>
        <w:t>, which is recognised in the Roman-Dutch authorities. Pothier on the </w:t>
      </w:r>
      <w:r w:rsidRPr="009C3DE1">
        <w:rPr>
          <w:rFonts w:ascii="Arial" w:hAnsi="Arial" w:cs="Arial"/>
          <w:i/>
          <w:iCs/>
          <w:color w:val="000000"/>
          <w:lang w:eastAsia="en-ZA"/>
        </w:rPr>
        <w:t>Pandects,</w:t>
      </w:r>
      <w:r w:rsidRPr="009C3DE1">
        <w:rPr>
          <w:rFonts w:ascii="Arial" w:hAnsi="Arial" w:cs="Arial"/>
          <w:i/>
          <w:color w:val="000000"/>
          <w:lang w:eastAsia="en-ZA"/>
        </w:rPr>
        <w:t> 42.8.2 says: “In order that a transaction may be rescinded under this edict the following factors must be present:</w:t>
      </w:r>
    </w:p>
    <w:p w14:paraId="631E9CD1" w14:textId="77777777" w:rsidR="008D0C33" w:rsidRPr="009C3DE1" w:rsidRDefault="008D0C33" w:rsidP="008D0C33">
      <w:pPr>
        <w:pStyle w:val="ListParagraph"/>
        <w:spacing w:after="0" w:line="360" w:lineRule="auto"/>
        <w:ind w:left="1440" w:right="1296"/>
        <w:jc w:val="both"/>
        <w:rPr>
          <w:rFonts w:ascii="Arial" w:hAnsi="Arial" w:cs="Arial"/>
          <w:i/>
          <w:color w:val="000000"/>
          <w:lang w:eastAsia="en-ZA"/>
        </w:rPr>
      </w:pPr>
      <w:r w:rsidRPr="009C3DE1">
        <w:rPr>
          <w:rFonts w:ascii="Arial" w:hAnsi="Arial" w:cs="Arial"/>
          <w:i/>
          <w:color w:val="000000"/>
          <w:lang w:eastAsia="en-ZA"/>
        </w:rPr>
        <w:t>1.</w:t>
      </w:r>
      <w:r w:rsidRPr="009C3DE1">
        <w:rPr>
          <w:rFonts w:ascii="Arial" w:hAnsi="Arial" w:cs="Arial"/>
          <w:i/>
          <w:color w:val="000000"/>
          <w:lang w:eastAsia="en-ZA"/>
        </w:rPr>
        <w:tab/>
        <w:t xml:space="preserve">That it should be of such a nature that the debtor's assets </w:t>
      </w:r>
      <w:r>
        <w:rPr>
          <w:rFonts w:ascii="Arial" w:hAnsi="Arial" w:cs="Arial"/>
          <w:i/>
          <w:color w:val="000000"/>
          <w:lang w:eastAsia="en-ZA"/>
        </w:rPr>
        <w:tab/>
      </w:r>
      <w:r w:rsidRPr="009C3DE1">
        <w:rPr>
          <w:rFonts w:ascii="Arial" w:hAnsi="Arial" w:cs="Arial"/>
          <w:i/>
          <w:color w:val="000000"/>
          <w:lang w:eastAsia="en-ZA"/>
        </w:rPr>
        <w:t>are diminished thereby (secs. 6 and 7).</w:t>
      </w:r>
    </w:p>
    <w:p w14:paraId="2872EC99" w14:textId="77777777" w:rsidR="008D0C33" w:rsidRPr="009C3DE1" w:rsidRDefault="008D0C33" w:rsidP="008D0C33">
      <w:pPr>
        <w:pStyle w:val="ListParagraph"/>
        <w:spacing w:after="0" w:line="360" w:lineRule="auto"/>
        <w:ind w:left="1440" w:right="1296"/>
        <w:jc w:val="both"/>
        <w:rPr>
          <w:rFonts w:ascii="Arial" w:hAnsi="Arial" w:cs="Arial"/>
          <w:i/>
          <w:color w:val="000000"/>
          <w:lang w:eastAsia="en-ZA"/>
        </w:rPr>
      </w:pPr>
      <w:r w:rsidRPr="009C3DE1">
        <w:rPr>
          <w:rFonts w:ascii="Arial" w:hAnsi="Arial" w:cs="Arial"/>
          <w:i/>
          <w:color w:val="000000"/>
          <w:lang w:eastAsia="en-ZA"/>
        </w:rPr>
        <w:t>2.</w:t>
      </w:r>
      <w:r w:rsidRPr="009C3DE1">
        <w:rPr>
          <w:rFonts w:ascii="Arial" w:hAnsi="Arial" w:cs="Arial"/>
          <w:i/>
          <w:color w:val="000000"/>
          <w:lang w:eastAsia="en-ZA"/>
        </w:rPr>
        <w:tab/>
        <w:t xml:space="preserve">That the person who receives from the debtor does not </w:t>
      </w:r>
      <w:r>
        <w:rPr>
          <w:rFonts w:ascii="Arial" w:hAnsi="Arial" w:cs="Arial"/>
          <w:i/>
          <w:color w:val="000000"/>
          <w:lang w:eastAsia="en-ZA"/>
        </w:rPr>
        <w:tab/>
      </w:r>
      <w:r w:rsidRPr="009C3DE1">
        <w:rPr>
          <w:rFonts w:ascii="Arial" w:hAnsi="Arial" w:cs="Arial"/>
          <w:i/>
          <w:color w:val="000000"/>
          <w:lang w:eastAsia="en-ZA"/>
        </w:rPr>
        <w:t>receive his own property (secs. 8 to 12),</w:t>
      </w:r>
    </w:p>
    <w:p w14:paraId="5BEB67EC" w14:textId="77777777" w:rsidR="008D0C33" w:rsidRPr="009C3DE1" w:rsidRDefault="008D0C33" w:rsidP="008D0C33">
      <w:pPr>
        <w:pStyle w:val="ListParagraph"/>
        <w:spacing w:after="0" w:line="360" w:lineRule="auto"/>
        <w:ind w:left="1440" w:right="1296"/>
        <w:jc w:val="both"/>
        <w:rPr>
          <w:rFonts w:ascii="Arial" w:hAnsi="Arial" w:cs="Arial"/>
          <w:i/>
          <w:color w:val="000000"/>
          <w:lang w:eastAsia="en-ZA"/>
        </w:rPr>
      </w:pPr>
      <w:r w:rsidRPr="009C3DE1">
        <w:rPr>
          <w:rFonts w:ascii="Arial" w:hAnsi="Arial" w:cs="Arial"/>
          <w:i/>
          <w:color w:val="000000"/>
          <w:lang w:eastAsia="en-ZA"/>
        </w:rPr>
        <w:t>3.</w:t>
      </w:r>
      <w:r w:rsidRPr="009C3DE1">
        <w:rPr>
          <w:rFonts w:ascii="Arial" w:hAnsi="Arial" w:cs="Arial"/>
          <w:i/>
          <w:color w:val="000000"/>
          <w:lang w:eastAsia="en-ZA"/>
        </w:rPr>
        <w:tab/>
        <w:t xml:space="preserve">That there should be the intention to defraud (sec. 13 and </w:t>
      </w:r>
      <w:r>
        <w:rPr>
          <w:rFonts w:ascii="Arial" w:hAnsi="Arial" w:cs="Arial"/>
          <w:i/>
          <w:color w:val="000000"/>
          <w:lang w:eastAsia="en-ZA"/>
        </w:rPr>
        <w:tab/>
      </w:r>
      <w:r w:rsidRPr="009C3DE1">
        <w:rPr>
          <w:rFonts w:ascii="Arial" w:hAnsi="Arial" w:cs="Arial"/>
          <w:i/>
          <w:color w:val="000000"/>
          <w:lang w:eastAsia="en-ZA"/>
        </w:rPr>
        <w:t>following),</w:t>
      </w:r>
    </w:p>
    <w:p w14:paraId="70FEA75E" w14:textId="77777777" w:rsidR="008D0C33" w:rsidRPr="009C3DE1" w:rsidRDefault="008D0C33" w:rsidP="008D0C33">
      <w:pPr>
        <w:pStyle w:val="ListParagraph"/>
        <w:spacing w:after="0" w:line="360" w:lineRule="auto"/>
        <w:ind w:left="1440" w:right="1296"/>
        <w:jc w:val="both"/>
        <w:rPr>
          <w:rFonts w:ascii="Arial" w:hAnsi="Arial" w:cs="Arial"/>
          <w:i/>
        </w:rPr>
      </w:pPr>
      <w:r w:rsidRPr="009C3DE1">
        <w:rPr>
          <w:rFonts w:ascii="Arial" w:hAnsi="Arial" w:cs="Arial"/>
          <w:i/>
          <w:color w:val="000000"/>
          <w:lang w:eastAsia="en-ZA"/>
        </w:rPr>
        <w:t>4.</w:t>
      </w:r>
      <w:r w:rsidRPr="009C3DE1">
        <w:rPr>
          <w:rFonts w:ascii="Arial" w:hAnsi="Arial" w:cs="Arial"/>
          <w:i/>
          <w:color w:val="000000"/>
          <w:lang w:eastAsia="en-ZA"/>
        </w:rPr>
        <w:tab/>
        <w:t>That the fraud should have its effect (sec. 22).</w:t>
      </w:r>
      <w:r w:rsidRPr="009C3DE1">
        <w:rPr>
          <w:rFonts w:ascii="Arial" w:hAnsi="Arial" w:cs="Arial"/>
          <w:i/>
        </w:rPr>
        <w:t>”’</w:t>
      </w:r>
    </w:p>
    <w:p w14:paraId="7467AACB" w14:textId="77777777" w:rsidR="008D0C33" w:rsidRPr="008727EC" w:rsidRDefault="008D0C33" w:rsidP="008D0C33">
      <w:pPr>
        <w:pStyle w:val="ListParagraph"/>
        <w:spacing w:line="480" w:lineRule="auto"/>
        <w:ind w:left="0"/>
        <w:jc w:val="both"/>
        <w:rPr>
          <w:rFonts w:ascii="Arial" w:hAnsi="Arial" w:cs="Arial"/>
          <w:b/>
          <w:sz w:val="24"/>
          <w:szCs w:val="24"/>
        </w:rPr>
      </w:pPr>
    </w:p>
    <w:p w14:paraId="48103272" w14:textId="77777777" w:rsidR="008D0C33" w:rsidRPr="00972966" w:rsidRDefault="008D0C33" w:rsidP="008D0C33">
      <w:pPr>
        <w:pStyle w:val="ListParagraph"/>
        <w:numPr>
          <w:ilvl w:val="0"/>
          <w:numId w:val="1"/>
        </w:numPr>
        <w:spacing w:after="0" w:line="480" w:lineRule="auto"/>
        <w:jc w:val="both"/>
        <w:rPr>
          <w:rFonts w:ascii="Arial" w:hAnsi="Arial" w:cs="Arial"/>
          <w:sz w:val="24"/>
          <w:szCs w:val="24"/>
        </w:rPr>
      </w:pPr>
      <w:r w:rsidRPr="00972966">
        <w:rPr>
          <w:rFonts w:ascii="Arial" w:hAnsi="Arial" w:cs="Arial"/>
          <w:sz w:val="24"/>
          <w:szCs w:val="24"/>
        </w:rPr>
        <w:lastRenderedPageBreak/>
        <w:t xml:space="preserve">In </w:t>
      </w:r>
      <w:r w:rsidRPr="00972966">
        <w:rPr>
          <w:rFonts w:ascii="Arial" w:hAnsi="Arial" w:cs="Arial"/>
          <w:b/>
          <w:i/>
          <w:sz w:val="24"/>
          <w:szCs w:val="24"/>
        </w:rPr>
        <w:t>Commissioner of Customs and Excise v Bank of Lisbon International Ltd &amp; another</w:t>
      </w:r>
      <w:r w:rsidRPr="00972966">
        <w:rPr>
          <w:rFonts w:ascii="Arial" w:hAnsi="Arial" w:cs="Arial"/>
          <w:sz w:val="24"/>
          <w:szCs w:val="24"/>
        </w:rPr>
        <w:t>,</w:t>
      </w:r>
      <w:r w:rsidRPr="00972966">
        <w:rPr>
          <w:rStyle w:val="FootnoteReference"/>
          <w:rFonts w:ascii="Arial" w:hAnsi="Arial" w:cs="Arial"/>
          <w:sz w:val="24"/>
          <w:szCs w:val="24"/>
        </w:rPr>
        <w:footnoteReference w:id="31"/>
      </w:r>
      <w:r w:rsidRPr="00972966">
        <w:rPr>
          <w:rFonts w:ascii="Arial" w:hAnsi="Arial" w:cs="Arial"/>
          <w:sz w:val="24"/>
          <w:szCs w:val="24"/>
        </w:rPr>
        <w:t xml:space="preserve">  the </w:t>
      </w:r>
      <w:r w:rsidRPr="004605E9">
        <w:rPr>
          <w:rFonts w:ascii="Arial" w:hAnsi="Arial" w:cs="Arial"/>
          <w:i/>
          <w:sz w:val="24"/>
          <w:szCs w:val="24"/>
        </w:rPr>
        <w:t>Actio Pauliana</w:t>
      </w:r>
      <w:r w:rsidRPr="00972966">
        <w:rPr>
          <w:rFonts w:ascii="Arial" w:hAnsi="Arial" w:cs="Arial"/>
          <w:sz w:val="24"/>
          <w:szCs w:val="24"/>
        </w:rPr>
        <w:t xml:space="preserve"> </w:t>
      </w:r>
      <w:r>
        <w:rPr>
          <w:rFonts w:ascii="Arial" w:hAnsi="Arial" w:cs="Arial"/>
          <w:sz w:val="24"/>
          <w:szCs w:val="24"/>
        </w:rPr>
        <w:t>w</w:t>
      </w:r>
      <w:r w:rsidRPr="00972966">
        <w:rPr>
          <w:rFonts w:ascii="Arial" w:hAnsi="Arial" w:cs="Arial"/>
          <w:sz w:val="24"/>
          <w:szCs w:val="24"/>
        </w:rPr>
        <w:t xml:space="preserve">as </w:t>
      </w:r>
      <w:r>
        <w:rPr>
          <w:rFonts w:ascii="Arial" w:hAnsi="Arial" w:cs="Arial"/>
          <w:sz w:val="24"/>
          <w:szCs w:val="24"/>
        </w:rPr>
        <w:t xml:space="preserve">described as </w:t>
      </w:r>
      <w:r w:rsidRPr="00972966">
        <w:rPr>
          <w:rFonts w:ascii="Arial" w:hAnsi="Arial" w:cs="Arial"/>
          <w:sz w:val="24"/>
          <w:szCs w:val="24"/>
        </w:rPr>
        <w:t>follows:</w:t>
      </w:r>
    </w:p>
    <w:p w14:paraId="306C0D44" w14:textId="77777777" w:rsidR="008D0C33" w:rsidRPr="00972966" w:rsidRDefault="008D0C33" w:rsidP="008D0C33">
      <w:pPr>
        <w:spacing w:after="0" w:line="360" w:lineRule="auto"/>
        <w:ind w:left="720" w:right="720"/>
        <w:jc w:val="both"/>
        <w:rPr>
          <w:rFonts w:ascii="Arial" w:hAnsi="Arial" w:cs="Arial"/>
          <w:i/>
          <w:iCs/>
        </w:rPr>
      </w:pPr>
      <w:r w:rsidRPr="00972966">
        <w:rPr>
          <w:rFonts w:ascii="Arial" w:hAnsi="Arial" w:cs="Arial"/>
          <w:i/>
          <w:iCs/>
        </w:rPr>
        <w:t xml:space="preserve">‘. . .a personal action of general application which even an individual creditor could invoke to recover from third persons, property which the debtor had alienated in </w:t>
      </w:r>
      <w:r w:rsidRPr="00972966">
        <w:rPr>
          <w:rFonts w:ascii="Arial" w:hAnsi="Arial" w:cs="Arial"/>
          <w:i/>
        </w:rPr>
        <w:t>fraudem creditorum</w:t>
      </w:r>
      <w:r w:rsidRPr="00972966">
        <w:rPr>
          <w:rFonts w:ascii="Arial" w:hAnsi="Arial" w:cs="Arial"/>
          <w:i/>
          <w:iCs/>
        </w:rPr>
        <w:t xml:space="preserve"> and where the third party had received the property with knowledge of the fraud or had not given value for the property.’</w:t>
      </w:r>
    </w:p>
    <w:p w14:paraId="3C45B8FA" w14:textId="77777777" w:rsidR="008D0C33" w:rsidRPr="00984685" w:rsidRDefault="008D0C33" w:rsidP="008D0C33">
      <w:pPr>
        <w:pStyle w:val="ListParagraph"/>
        <w:spacing w:after="0" w:line="360" w:lineRule="auto"/>
        <w:ind w:left="0"/>
        <w:jc w:val="both"/>
      </w:pPr>
    </w:p>
    <w:p w14:paraId="59D62F67" w14:textId="77777777" w:rsidR="008D0C33" w:rsidRPr="00972966" w:rsidRDefault="008D0C33" w:rsidP="008D0C33">
      <w:pPr>
        <w:pStyle w:val="ListParagraph"/>
        <w:numPr>
          <w:ilvl w:val="0"/>
          <w:numId w:val="1"/>
        </w:numPr>
        <w:spacing w:line="480" w:lineRule="auto"/>
        <w:jc w:val="both"/>
        <w:rPr>
          <w:rFonts w:ascii="Arial" w:hAnsi="Arial" w:cs="Arial"/>
          <w:b/>
          <w:sz w:val="24"/>
          <w:szCs w:val="24"/>
        </w:rPr>
      </w:pPr>
      <w:r w:rsidRPr="008727EC">
        <w:rPr>
          <w:rFonts w:ascii="Arial" w:hAnsi="Arial" w:cs="Arial"/>
          <w:sz w:val="24"/>
          <w:szCs w:val="24"/>
        </w:rPr>
        <w:t xml:space="preserve">It is trite that the </w:t>
      </w:r>
      <w:r w:rsidRPr="008727EC">
        <w:rPr>
          <w:rFonts w:ascii="Arial" w:hAnsi="Arial" w:cs="Arial"/>
          <w:i/>
          <w:sz w:val="24"/>
          <w:szCs w:val="24"/>
        </w:rPr>
        <w:t>actio Pauliana</w:t>
      </w:r>
      <w:r w:rsidRPr="008727EC">
        <w:rPr>
          <w:rFonts w:ascii="Arial" w:hAnsi="Arial" w:cs="Arial"/>
          <w:sz w:val="24"/>
          <w:szCs w:val="24"/>
        </w:rPr>
        <w:t xml:space="preserve"> may be used to recover assets even after liquidation</w:t>
      </w:r>
      <w:r>
        <w:rPr>
          <w:rFonts w:ascii="Arial" w:hAnsi="Arial" w:cs="Arial"/>
          <w:sz w:val="24"/>
          <w:szCs w:val="24"/>
        </w:rPr>
        <w:t>.</w:t>
      </w:r>
      <w:r>
        <w:rPr>
          <w:rStyle w:val="FootnoteReference"/>
          <w:rFonts w:ascii="Arial" w:hAnsi="Arial" w:cs="Arial"/>
          <w:sz w:val="24"/>
          <w:szCs w:val="24"/>
        </w:rPr>
        <w:footnoteReference w:id="32"/>
      </w:r>
      <w:r>
        <w:rPr>
          <w:rFonts w:ascii="Arial" w:hAnsi="Arial" w:cs="Arial"/>
          <w:sz w:val="24"/>
          <w:szCs w:val="24"/>
        </w:rPr>
        <w:t xml:space="preserve"> In order to succeed in a claim based on the </w:t>
      </w:r>
      <w:r w:rsidRPr="00270E91">
        <w:rPr>
          <w:rFonts w:ascii="Arial" w:hAnsi="Arial" w:cs="Arial"/>
          <w:i/>
          <w:sz w:val="24"/>
          <w:szCs w:val="24"/>
        </w:rPr>
        <w:t>Actio Pauliana</w:t>
      </w:r>
      <w:r>
        <w:rPr>
          <w:rFonts w:ascii="Arial" w:hAnsi="Arial" w:cs="Arial"/>
          <w:sz w:val="24"/>
          <w:szCs w:val="24"/>
        </w:rPr>
        <w:t xml:space="preserve">, </w:t>
      </w:r>
      <w:r w:rsidRPr="00972966">
        <w:rPr>
          <w:rFonts w:ascii="Arial" w:hAnsi="Arial" w:cs="Arial"/>
          <w:sz w:val="24"/>
          <w:szCs w:val="24"/>
        </w:rPr>
        <w:t>Boraine</w:t>
      </w:r>
      <w:r>
        <w:rPr>
          <w:rStyle w:val="FootnoteReference"/>
          <w:rFonts w:ascii="Arial" w:hAnsi="Arial" w:cs="Arial"/>
          <w:sz w:val="24"/>
          <w:szCs w:val="24"/>
        </w:rPr>
        <w:footnoteReference w:id="33"/>
      </w:r>
      <w:r w:rsidRPr="00972966">
        <w:rPr>
          <w:rFonts w:ascii="Arial" w:hAnsi="Arial" w:cs="Arial"/>
          <w:sz w:val="24"/>
          <w:szCs w:val="24"/>
        </w:rPr>
        <w:t xml:space="preserve"> states that the following must be proved</w:t>
      </w:r>
      <w:r>
        <w:t>:</w:t>
      </w:r>
    </w:p>
    <w:p w14:paraId="08E5616E" w14:textId="77777777" w:rsidR="008D0C33" w:rsidRPr="00972966" w:rsidRDefault="008D0C33" w:rsidP="008D0C33">
      <w:pPr>
        <w:pStyle w:val="ListParagraph"/>
        <w:numPr>
          <w:ilvl w:val="0"/>
          <w:numId w:val="17"/>
        </w:numPr>
        <w:spacing w:line="480" w:lineRule="auto"/>
        <w:jc w:val="both"/>
        <w:rPr>
          <w:rFonts w:ascii="Arial" w:hAnsi="Arial" w:cs="Arial"/>
          <w:b/>
          <w:sz w:val="24"/>
          <w:szCs w:val="24"/>
        </w:rPr>
      </w:pPr>
      <w:r w:rsidRPr="00972966">
        <w:rPr>
          <w:rFonts w:ascii="Arial" w:hAnsi="Arial" w:cs="Arial"/>
          <w:sz w:val="24"/>
          <w:szCs w:val="24"/>
        </w:rPr>
        <w:t>the alienation must have diminished the debtor's assets;</w:t>
      </w:r>
    </w:p>
    <w:p w14:paraId="62D778B9" w14:textId="77777777" w:rsidR="008D0C33" w:rsidRPr="00972966" w:rsidRDefault="008D0C33" w:rsidP="008D0C33">
      <w:pPr>
        <w:pStyle w:val="ListParagraph"/>
        <w:numPr>
          <w:ilvl w:val="0"/>
          <w:numId w:val="17"/>
        </w:numPr>
        <w:spacing w:line="480" w:lineRule="auto"/>
        <w:jc w:val="both"/>
        <w:rPr>
          <w:rFonts w:ascii="Arial" w:hAnsi="Arial" w:cs="Arial"/>
          <w:b/>
          <w:sz w:val="24"/>
          <w:szCs w:val="24"/>
        </w:rPr>
      </w:pPr>
      <w:r w:rsidRPr="00972966">
        <w:rPr>
          <w:rFonts w:ascii="Arial" w:hAnsi="Arial" w:cs="Arial"/>
          <w:sz w:val="24"/>
          <w:szCs w:val="24"/>
        </w:rPr>
        <w:t xml:space="preserve"> the recipient must not have received his own property or something owing to him; </w:t>
      </w:r>
    </w:p>
    <w:p w14:paraId="7F3F4125" w14:textId="77777777" w:rsidR="008D0C33" w:rsidRPr="00972966" w:rsidRDefault="008D0C33" w:rsidP="008D0C33">
      <w:pPr>
        <w:pStyle w:val="ListParagraph"/>
        <w:numPr>
          <w:ilvl w:val="0"/>
          <w:numId w:val="17"/>
        </w:numPr>
        <w:spacing w:line="480" w:lineRule="auto"/>
        <w:jc w:val="both"/>
        <w:rPr>
          <w:rFonts w:ascii="Arial" w:hAnsi="Arial" w:cs="Arial"/>
          <w:b/>
          <w:sz w:val="24"/>
          <w:szCs w:val="24"/>
        </w:rPr>
      </w:pPr>
      <w:r w:rsidRPr="00972966">
        <w:rPr>
          <w:rFonts w:ascii="Arial" w:hAnsi="Arial" w:cs="Arial"/>
          <w:sz w:val="24"/>
          <w:szCs w:val="24"/>
        </w:rPr>
        <w:t>the debtor or alienator must have intended to defraud his creditors (if he received value in respect of the alienation, the recipient must also have been aware of the debtor's intention);</w:t>
      </w:r>
    </w:p>
    <w:p w14:paraId="4E4D3B1E" w14:textId="201975C4" w:rsidR="008D0C33" w:rsidRPr="005F4256" w:rsidRDefault="008D0C33" w:rsidP="008D0C33">
      <w:pPr>
        <w:pStyle w:val="ListParagraph"/>
        <w:numPr>
          <w:ilvl w:val="0"/>
          <w:numId w:val="17"/>
        </w:numPr>
        <w:spacing w:line="480" w:lineRule="auto"/>
        <w:jc w:val="both"/>
        <w:rPr>
          <w:rFonts w:ascii="Arial" w:hAnsi="Arial" w:cs="Arial"/>
          <w:b/>
          <w:sz w:val="24"/>
          <w:szCs w:val="24"/>
        </w:rPr>
      </w:pPr>
      <w:r w:rsidRPr="00972966">
        <w:rPr>
          <w:rFonts w:ascii="Arial" w:hAnsi="Arial" w:cs="Arial"/>
          <w:sz w:val="24"/>
          <w:szCs w:val="24"/>
        </w:rPr>
        <w:t xml:space="preserve"> The fraud must have caused the loss suffered by the creditors. </w:t>
      </w:r>
    </w:p>
    <w:p w14:paraId="0BC7A5E4" w14:textId="77777777" w:rsidR="005F4256" w:rsidRPr="008D0C33" w:rsidRDefault="005F4256" w:rsidP="005F4256">
      <w:pPr>
        <w:pStyle w:val="ListParagraph"/>
        <w:spacing w:line="480" w:lineRule="auto"/>
        <w:ind w:left="410"/>
        <w:jc w:val="both"/>
        <w:rPr>
          <w:rFonts w:ascii="Arial" w:hAnsi="Arial" w:cs="Arial"/>
          <w:b/>
          <w:sz w:val="24"/>
          <w:szCs w:val="24"/>
        </w:rPr>
      </w:pPr>
    </w:p>
    <w:p w14:paraId="4E69CA89" w14:textId="08958429" w:rsidR="001F1FCA" w:rsidRPr="009C3DE1" w:rsidRDefault="00B86973" w:rsidP="008A176F">
      <w:pPr>
        <w:pStyle w:val="ListParagraph"/>
        <w:numPr>
          <w:ilvl w:val="0"/>
          <w:numId w:val="1"/>
        </w:numPr>
        <w:spacing w:line="480" w:lineRule="auto"/>
        <w:jc w:val="both"/>
        <w:rPr>
          <w:rFonts w:ascii="Arial" w:hAnsi="Arial" w:cs="Arial"/>
          <w:b/>
          <w:sz w:val="24"/>
          <w:szCs w:val="24"/>
        </w:rPr>
      </w:pPr>
      <w:r>
        <w:rPr>
          <w:rFonts w:ascii="Arial" w:hAnsi="Arial" w:cs="Arial"/>
          <w:sz w:val="24"/>
          <w:szCs w:val="24"/>
        </w:rPr>
        <w:t xml:space="preserve">The Applicants contended that the First Respondent received funds from the First Applicant to which she was not entitled and which was in part a repayment of loans she made to Mr Ferreira. </w:t>
      </w:r>
      <w:r w:rsidR="00385709">
        <w:rPr>
          <w:rFonts w:ascii="Arial" w:hAnsi="Arial" w:cs="Arial"/>
          <w:sz w:val="24"/>
          <w:szCs w:val="24"/>
        </w:rPr>
        <w:t>It is submitted that the First Respondent’s property increased in value and that the value of the First Applicant’s property was reduced as was t</w:t>
      </w:r>
      <w:r w:rsidR="008D0C33">
        <w:rPr>
          <w:rFonts w:ascii="Arial" w:hAnsi="Arial" w:cs="Arial"/>
          <w:sz w:val="24"/>
          <w:szCs w:val="24"/>
        </w:rPr>
        <w:t>he estate of Mr Ferreira. In addition</w:t>
      </w:r>
      <w:r w:rsidR="0032723C">
        <w:rPr>
          <w:rFonts w:ascii="Arial" w:hAnsi="Arial" w:cs="Arial"/>
          <w:sz w:val="24"/>
          <w:szCs w:val="24"/>
        </w:rPr>
        <w:t>,</w:t>
      </w:r>
      <w:r w:rsidR="008D0C33">
        <w:rPr>
          <w:rFonts w:ascii="Arial" w:hAnsi="Arial" w:cs="Arial"/>
          <w:sz w:val="24"/>
          <w:szCs w:val="24"/>
        </w:rPr>
        <w:t xml:space="preserve"> it is contended </w:t>
      </w:r>
      <w:r w:rsidR="00385709">
        <w:rPr>
          <w:rFonts w:ascii="Arial" w:hAnsi="Arial" w:cs="Arial"/>
          <w:sz w:val="24"/>
          <w:szCs w:val="24"/>
        </w:rPr>
        <w:t xml:space="preserve">that the intention of the First Respondent and Mr Ferreira were to divert money from the First Applicant and its creditors to the First Respondent, which is supported by the fact that the First </w:t>
      </w:r>
      <w:r w:rsidR="00385709">
        <w:rPr>
          <w:rFonts w:ascii="Arial" w:hAnsi="Arial" w:cs="Arial"/>
          <w:sz w:val="24"/>
          <w:szCs w:val="24"/>
        </w:rPr>
        <w:lastRenderedPageBreak/>
        <w:t>Respondent, for no apparent reason, lent Mr Ferreira’s wife an amount of R2 million which was for the benefit of Mr Ferreira and to place those funds out of reach of his creditors.</w:t>
      </w:r>
    </w:p>
    <w:p w14:paraId="0E572E0F" w14:textId="77777777" w:rsidR="009C3DE1" w:rsidRPr="009C3DE1" w:rsidRDefault="009C3DE1" w:rsidP="009C3DE1">
      <w:pPr>
        <w:pStyle w:val="ListParagraph"/>
        <w:spacing w:line="480" w:lineRule="auto"/>
        <w:ind w:left="0"/>
        <w:jc w:val="both"/>
        <w:rPr>
          <w:rFonts w:ascii="Arial" w:hAnsi="Arial" w:cs="Arial"/>
          <w:b/>
          <w:sz w:val="24"/>
          <w:szCs w:val="24"/>
        </w:rPr>
      </w:pPr>
    </w:p>
    <w:p w14:paraId="0898532B" w14:textId="56D770AD" w:rsidR="00122298" w:rsidRPr="000A769E" w:rsidRDefault="00122298" w:rsidP="00122298">
      <w:pPr>
        <w:pStyle w:val="ListParagraph"/>
        <w:numPr>
          <w:ilvl w:val="0"/>
          <w:numId w:val="1"/>
        </w:numPr>
        <w:spacing w:line="480" w:lineRule="auto"/>
        <w:jc w:val="both"/>
        <w:rPr>
          <w:rFonts w:ascii="Arial" w:hAnsi="Arial" w:cs="Arial"/>
          <w:b/>
          <w:sz w:val="24"/>
          <w:szCs w:val="24"/>
        </w:rPr>
      </w:pPr>
      <w:r>
        <w:rPr>
          <w:rFonts w:ascii="Arial" w:hAnsi="Arial" w:cs="Arial"/>
          <w:sz w:val="24"/>
          <w:szCs w:val="24"/>
        </w:rPr>
        <w:t>The First Respondent contended that in in order</w:t>
      </w:r>
      <w:r w:rsidR="00FB2F36">
        <w:rPr>
          <w:rFonts w:ascii="Arial" w:hAnsi="Arial" w:cs="Arial"/>
          <w:sz w:val="24"/>
          <w:szCs w:val="24"/>
        </w:rPr>
        <w:t xml:space="preserve"> for the Applicants to successfully rely on the common law </w:t>
      </w:r>
      <w:r w:rsidR="00FB2F36" w:rsidRPr="00FB2F36">
        <w:rPr>
          <w:rFonts w:ascii="Arial" w:hAnsi="Arial" w:cs="Arial"/>
          <w:i/>
          <w:sz w:val="24"/>
          <w:szCs w:val="24"/>
        </w:rPr>
        <w:t>Actio Pauliana</w:t>
      </w:r>
      <w:r w:rsidR="00FB2F36">
        <w:rPr>
          <w:rFonts w:ascii="Arial" w:hAnsi="Arial" w:cs="Arial"/>
          <w:sz w:val="24"/>
          <w:szCs w:val="24"/>
        </w:rPr>
        <w:t xml:space="preserve">, </w:t>
      </w:r>
      <w:r w:rsidR="005D63B5">
        <w:rPr>
          <w:rFonts w:ascii="Arial" w:hAnsi="Arial" w:cs="Arial"/>
          <w:sz w:val="24"/>
          <w:szCs w:val="24"/>
        </w:rPr>
        <w:t>the relevant authorities indicate that proof of alienation of assets by the insolvent to another with the intention to defraud creditors needs to be proved. It is the First Respondent’s contention that there is no factual basis which is provided by the Applicants in order to support such an averment. The Applicants make a bald statement in their Heads of Argument that the facts “demonstrate that the First Respondent received funds from Yzerfontein Curesmiths (Pty) Ltd to which she is not entitled and which was in part a repayment of loans she made to the Second Defendant”.</w:t>
      </w:r>
      <w:r w:rsidR="005D63B5">
        <w:rPr>
          <w:rStyle w:val="FootnoteReference"/>
          <w:rFonts w:ascii="Arial" w:hAnsi="Arial" w:cs="Arial"/>
          <w:sz w:val="24"/>
          <w:szCs w:val="24"/>
        </w:rPr>
        <w:footnoteReference w:id="34"/>
      </w:r>
      <w:r w:rsidR="00F017A1">
        <w:rPr>
          <w:rFonts w:ascii="Arial" w:hAnsi="Arial" w:cs="Arial"/>
          <w:sz w:val="24"/>
          <w:szCs w:val="24"/>
        </w:rPr>
        <w:t xml:space="preserve"> The Respondent submitted that there is no reference to where these facts might appear as it is not apparent from the portion of the transcript </w:t>
      </w:r>
      <w:r w:rsidR="00EA2A12">
        <w:rPr>
          <w:rFonts w:ascii="Arial" w:hAnsi="Arial" w:cs="Arial"/>
          <w:sz w:val="24"/>
          <w:szCs w:val="24"/>
        </w:rPr>
        <w:t xml:space="preserve">of the Insolvency Enquiry </w:t>
      </w:r>
      <w:r w:rsidR="00F017A1">
        <w:rPr>
          <w:rFonts w:ascii="Arial" w:hAnsi="Arial" w:cs="Arial"/>
          <w:sz w:val="24"/>
          <w:szCs w:val="24"/>
        </w:rPr>
        <w:t xml:space="preserve">put up by the Applicants in support of the application </w:t>
      </w:r>
      <w:r w:rsidR="00F017A1">
        <w:rPr>
          <w:rFonts w:ascii="Arial" w:hAnsi="Arial" w:cs="Arial"/>
          <w:i/>
          <w:sz w:val="24"/>
          <w:szCs w:val="24"/>
        </w:rPr>
        <w:t>in casu.</w:t>
      </w:r>
    </w:p>
    <w:p w14:paraId="220A7D5C" w14:textId="2DDC33D0" w:rsidR="000A769E" w:rsidRPr="005D63B5" w:rsidRDefault="000A769E" w:rsidP="000A769E">
      <w:pPr>
        <w:pStyle w:val="ListParagraph"/>
        <w:spacing w:line="480" w:lineRule="auto"/>
        <w:ind w:left="0"/>
        <w:jc w:val="both"/>
        <w:rPr>
          <w:rFonts w:ascii="Arial" w:hAnsi="Arial" w:cs="Arial"/>
          <w:b/>
          <w:sz w:val="24"/>
          <w:szCs w:val="24"/>
        </w:rPr>
      </w:pPr>
    </w:p>
    <w:p w14:paraId="44C3B48D" w14:textId="34E1A62E" w:rsidR="001C3D83" w:rsidRPr="004C5E1A" w:rsidRDefault="000A769E" w:rsidP="001C3D83">
      <w:pPr>
        <w:pStyle w:val="ListParagraph"/>
        <w:numPr>
          <w:ilvl w:val="0"/>
          <w:numId w:val="1"/>
        </w:numPr>
        <w:spacing w:line="480" w:lineRule="auto"/>
        <w:jc w:val="both"/>
        <w:rPr>
          <w:rFonts w:ascii="Arial" w:hAnsi="Arial" w:cs="Arial"/>
          <w:b/>
          <w:sz w:val="24"/>
          <w:szCs w:val="24"/>
        </w:rPr>
      </w:pPr>
      <w:r w:rsidRPr="004C5E1A">
        <w:rPr>
          <w:rFonts w:ascii="Arial" w:hAnsi="Arial" w:cs="Arial"/>
          <w:sz w:val="24"/>
          <w:szCs w:val="24"/>
        </w:rPr>
        <w:t>T</w:t>
      </w:r>
      <w:r w:rsidR="001C3D83" w:rsidRPr="004C5E1A">
        <w:rPr>
          <w:rFonts w:ascii="Arial" w:hAnsi="Arial" w:cs="Arial"/>
          <w:sz w:val="24"/>
          <w:szCs w:val="24"/>
        </w:rPr>
        <w:t xml:space="preserve">he Applicants argued that the claim based against the First Respondent on the </w:t>
      </w:r>
      <w:r w:rsidR="001C3D83" w:rsidRPr="004C5E1A">
        <w:rPr>
          <w:rFonts w:ascii="Arial" w:hAnsi="Arial" w:cs="Arial"/>
          <w:i/>
          <w:sz w:val="24"/>
          <w:szCs w:val="24"/>
        </w:rPr>
        <w:t xml:space="preserve">actio pauliana </w:t>
      </w:r>
      <w:r w:rsidR="001C3D83" w:rsidRPr="004C5E1A">
        <w:rPr>
          <w:rFonts w:ascii="Arial" w:hAnsi="Arial" w:cs="Arial"/>
          <w:sz w:val="24"/>
          <w:szCs w:val="24"/>
        </w:rPr>
        <w:t>is strong as there can be no plausible explanation for the conduct of the First Respondent but for the intention to defraud creditors. The Applicants further contended that, together with the facts which have been admitted by the First Respondent, demonstrates that the proceeds of the sale of her property will be disposed of with the intention of frustrating any possible claim against her.</w:t>
      </w:r>
    </w:p>
    <w:p w14:paraId="09098514" w14:textId="77777777" w:rsidR="005D63B5" w:rsidRPr="00122298" w:rsidRDefault="005D63B5" w:rsidP="005D63B5">
      <w:pPr>
        <w:pStyle w:val="ListParagraph"/>
        <w:spacing w:line="480" w:lineRule="auto"/>
        <w:ind w:left="0"/>
        <w:jc w:val="both"/>
        <w:rPr>
          <w:rFonts w:ascii="Arial" w:hAnsi="Arial" w:cs="Arial"/>
          <w:b/>
          <w:sz w:val="24"/>
          <w:szCs w:val="24"/>
        </w:rPr>
      </w:pPr>
    </w:p>
    <w:p w14:paraId="6FE0CD44" w14:textId="23832021" w:rsidR="00B22C6E" w:rsidRPr="00B22C6E" w:rsidRDefault="003D4C1C" w:rsidP="00EA404A">
      <w:pPr>
        <w:pStyle w:val="ListParagraph"/>
        <w:numPr>
          <w:ilvl w:val="0"/>
          <w:numId w:val="29"/>
        </w:numPr>
        <w:spacing w:line="480" w:lineRule="auto"/>
        <w:ind w:left="360"/>
        <w:jc w:val="both"/>
        <w:rPr>
          <w:rFonts w:ascii="Arial" w:hAnsi="Arial" w:cs="Arial"/>
          <w:b/>
          <w:i/>
          <w:sz w:val="24"/>
          <w:szCs w:val="24"/>
        </w:rPr>
      </w:pPr>
      <w:r w:rsidRPr="00AA59F8">
        <w:rPr>
          <w:rFonts w:ascii="Arial" w:hAnsi="Arial" w:cs="Arial"/>
          <w:b/>
          <w:i/>
          <w:sz w:val="24"/>
          <w:szCs w:val="24"/>
        </w:rPr>
        <w:lastRenderedPageBreak/>
        <w:t>The Companie</w:t>
      </w:r>
      <w:r w:rsidR="00AA57BA">
        <w:rPr>
          <w:rFonts w:ascii="Arial" w:hAnsi="Arial" w:cs="Arial"/>
          <w:b/>
          <w:i/>
          <w:sz w:val="24"/>
          <w:szCs w:val="24"/>
        </w:rPr>
        <w:t>s Act, 1973</w:t>
      </w:r>
      <w:r w:rsidR="006F5F0B">
        <w:rPr>
          <w:rStyle w:val="FootnoteReference"/>
          <w:rFonts w:ascii="Arial" w:hAnsi="Arial" w:cs="Arial"/>
          <w:b/>
          <w:i/>
          <w:sz w:val="24"/>
          <w:szCs w:val="24"/>
        </w:rPr>
        <w:footnoteReference w:id="35"/>
      </w:r>
      <w:r w:rsidR="00EA404A">
        <w:rPr>
          <w:rFonts w:ascii="Arial" w:hAnsi="Arial" w:cs="Arial"/>
          <w:sz w:val="24"/>
          <w:szCs w:val="24"/>
        </w:rPr>
        <w:t xml:space="preserve"> </w:t>
      </w:r>
      <w:r w:rsidR="002B18A2">
        <w:rPr>
          <w:rFonts w:ascii="Arial" w:hAnsi="Arial" w:cs="Arial"/>
          <w:sz w:val="24"/>
          <w:szCs w:val="24"/>
        </w:rPr>
        <w:t>(the “Companies</w:t>
      </w:r>
      <w:r w:rsidR="00EA404A">
        <w:rPr>
          <w:rFonts w:ascii="Arial" w:hAnsi="Arial" w:cs="Arial"/>
          <w:sz w:val="24"/>
          <w:szCs w:val="24"/>
        </w:rPr>
        <w:t xml:space="preserve"> Act”)</w:t>
      </w:r>
    </w:p>
    <w:p w14:paraId="2E05BC6F" w14:textId="77777777" w:rsidR="00B22C6E" w:rsidRPr="003D4C1C" w:rsidRDefault="00B22C6E" w:rsidP="00B22C6E">
      <w:pPr>
        <w:pStyle w:val="ListParagraph"/>
        <w:numPr>
          <w:ilvl w:val="0"/>
          <w:numId w:val="1"/>
        </w:numPr>
        <w:spacing w:after="0" w:line="480" w:lineRule="auto"/>
        <w:jc w:val="both"/>
        <w:rPr>
          <w:rFonts w:ascii="Arial" w:hAnsi="Arial" w:cs="Arial"/>
          <w:b/>
          <w:sz w:val="24"/>
          <w:szCs w:val="24"/>
        </w:rPr>
      </w:pPr>
      <w:r>
        <w:rPr>
          <w:rFonts w:ascii="Arial" w:hAnsi="Arial" w:cs="Arial"/>
          <w:sz w:val="24"/>
          <w:szCs w:val="24"/>
        </w:rPr>
        <w:t>Section 424 states that:</w:t>
      </w:r>
    </w:p>
    <w:p w14:paraId="2D1ABC53" w14:textId="77777777" w:rsidR="00B22C6E" w:rsidRDefault="00B22C6E" w:rsidP="00B22C6E">
      <w:pPr>
        <w:pStyle w:val="ListParagraph"/>
        <w:numPr>
          <w:ilvl w:val="0"/>
          <w:numId w:val="18"/>
        </w:numPr>
        <w:spacing w:line="360" w:lineRule="auto"/>
        <w:ind w:right="720"/>
        <w:jc w:val="both"/>
        <w:rPr>
          <w:rFonts w:ascii="Arial" w:hAnsi="Arial" w:cs="Arial"/>
          <w:i/>
        </w:rPr>
      </w:pPr>
      <w:r>
        <w:rPr>
          <w:rFonts w:ascii="Arial" w:hAnsi="Arial" w:cs="Arial"/>
          <w:i/>
        </w:rPr>
        <w:t>When it appears, whether it be in a winding-up, judicial management or otherwise, that any business of the company was or is being carried on recklessly or with intent to defraud creditors of the company or creditors of any other person of for any fraudulent purpose, the Court may, in the application of the Master, the liquidator, the judicial manager, any creditor or member or contributory of the company, declare that any person who was knowingly a party to the carrying on of the business in the manner aforesaid, shall be personally responsible, without any limitation of liability, for all or any of the debts or other liabilities of the company as the Court may direct.</w:t>
      </w:r>
    </w:p>
    <w:p w14:paraId="75B7995C" w14:textId="77777777" w:rsidR="00B22C6E" w:rsidRDefault="00B22C6E" w:rsidP="00B22C6E">
      <w:pPr>
        <w:pStyle w:val="ListParagraph"/>
        <w:numPr>
          <w:ilvl w:val="0"/>
          <w:numId w:val="18"/>
        </w:numPr>
        <w:spacing w:line="360" w:lineRule="auto"/>
        <w:ind w:right="720"/>
        <w:jc w:val="both"/>
        <w:rPr>
          <w:rFonts w:ascii="Arial" w:hAnsi="Arial" w:cs="Arial"/>
          <w:i/>
        </w:rPr>
      </w:pPr>
      <w:r>
        <w:rPr>
          <w:rFonts w:ascii="Arial" w:hAnsi="Arial" w:cs="Arial"/>
          <w:i/>
        </w:rPr>
        <w:t>….</w:t>
      </w:r>
    </w:p>
    <w:p w14:paraId="1F835D21" w14:textId="77777777" w:rsidR="00B22C6E" w:rsidRDefault="00B22C6E" w:rsidP="00B22C6E">
      <w:pPr>
        <w:pStyle w:val="ListParagraph"/>
        <w:numPr>
          <w:ilvl w:val="0"/>
          <w:numId w:val="19"/>
        </w:numPr>
        <w:spacing w:line="360" w:lineRule="auto"/>
        <w:ind w:right="720"/>
        <w:jc w:val="both"/>
        <w:rPr>
          <w:rFonts w:ascii="Arial" w:hAnsi="Arial" w:cs="Arial"/>
          <w:i/>
        </w:rPr>
      </w:pPr>
      <w:r>
        <w:rPr>
          <w:rFonts w:ascii="Arial" w:hAnsi="Arial" w:cs="Arial"/>
          <w:i/>
        </w:rPr>
        <w:t>Where the Court makes any such declaration, it may give such further directions as it thinks proper, for the purpose of giving effect to the declaration, and in particular may make provision for making the liability of any such person under the declaration a charge on any debt or obligation due from the company to him, or on any mortgage or charge or any interest in any mortgage or charge on any assets of the company held by or vested in him or any company or person on his behalf or any person claiming as assignee from or through the person liable or any company or person acting of his behalf, and may from time to time make such further orders as may be necessary for the purpose of enforcing any charge imposed under this subsection.</w:t>
      </w:r>
    </w:p>
    <w:p w14:paraId="0D987476" w14:textId="77777777" w:rsidR="00B22C6E" w:rsidRPr="003D4C1C" w:rsidRDefault="00B22C6E" w:rsidP="00B22C6E">
      <w:pPr>
        <w:pStyle w:val="ListParagraph"/>
        <w:spacing w:line="360" w:lineRule="auto"/>
        <w:ind w:left="1440" w:right="720"/>
        <w:jc w:val="both"/>
        <w:rPr>
          <w:rFonts w:ascii="Arial" w:hAnsi="Arial" w:cs="Arial"/>
          <w:i/>
        </w:rPr>
      </w:pPr>
    </w:p>
    <w:p w14:paraId="2CB8928F" w14:textId="2DE19821" w:rsidR="00B22C6E" w:rsidRPr="009D4CEB" w:rsidRDefault="00B22C6E" w:rsidP="00B22C6E">
      <w:pPr>
        <w:pStyle w:val="ListParagraph"/>
        <w:numPr>
          <w:ilvl w:val="0"/>
          <w:numId w:val="1"/>
        </w:numPr>
        <w:spacing w:line="480" w:lineRule="auto"/>
        <w:jc w:val="both"/>
        <w:rPr>
          <w:rFonts w:ascii="Arial" w:hAnsi="Arial" w:cs="Arial"/>
          <w:b/>
          <w:sz w:val="24"/>
          <w:szCs w:val="24"/>
        </w:rPr>
      </w:pPr>
      <w:r>
        <w:rPr>
          <w:rFonts w:ascii="Arial" w:hAnsi="Arial" w:cs="Arial"/>
          <w:sz w:val="24"/>
          <w:szCs w:val="24"/>
        </w:rPr>
        <w:t>Section 424 of the Companies Act is crystallised in Henochsberg</w:t>
      </w:r>
      <w:r>
        <w:rPr>
          <w:rStyle w:val="FootnoteReference"/>
          <w:rFonts w:ascii="Arial" w:hAnsi="Arial" w:cs="Arial"/>
          <w:sz w:val="24"/>
          <w:szCs w:val="24"/>
        </w:rPr>
        <w:footnoteReference w:id="36"/>
      </w:r>
      <w:r>
        <w:rPr>
          <w:rFonts w:ascii="Arial" w:hAnsi="Arial" w:cs="Arial"/>
          <w:sz w:val="24"/>
          <w:szCs w:val="24"/>
        </w:rPr>
        <w:t xml:space="preserve"> on the Companies </w:t>
      </w:r>
      <w:r w:rsidR="00AB5F6D">
        <w:rPr>
          <w:rFonts w:ascii="Arial" w:hAnsi="Arial" w:cs="Arial"/>
          <w:sz w:val="24"/>
          <w:szCs w:val="24"/>
        </w:rPr>
        <w:t xml:space="preserve">Act </w:t>
      </w:r>
      <w:r>
        <w:rPr>
          <w:rFonts w:ascii="Arial" w:hAnsi="Arial" w:cs="Arial"/>
          <w:sz w:val="24"/>
          <w:szCs w:val="24"/>
        </w:rPr>
        <w:t>where the following is stated:</w:t>
      </w:r>
    </w:p>
    <w:p w14:paraId="3FDB3A90" w14:textId="77777777" w:rsidR="00B22C6E" w:rsidRDefault="00B22C6E" w:rsidP="00B22C6E">
      <w:pPr>
        <w:pStyle w:val="ListParagraph"/>
        <w:spacing w:line="360" w:lineRule="auto"/>
        <w:ind w:right="720"/>
        <w:jc w:val="both"/>
        <w:rPr>
          <w:rFonts w:ascii="Arial" w:hAnsi="Arial" w:cs="Arial"/>
          <w:i/>
        </w:rPr>
      </w:pPr>
      <w:r>
        <w:rPr>
          <w:rFonts w:ascii="Arial" w:hAnsi="Arial" w:cs="Arial"/>
          <w:i/>
        </w:rPr>
        <w:t xml:space="preserve">‘Liability can be attached to any person, even if he is neither a member nor a director nor an officer of the company, and also a juristic person (Cooper NNO v SA Mutual Life Assurance Society 2001 (1) SA 967 (SCA)) so long as he is found to have been knowingly a party to the carrying on of the business recklessly etc…Persons with locus standi to bring s424 proceedings may </w:t>
      </w:r>
      <w:r>
        <w:rPr>
          <w:rFonts w:ascii="Arial" w:hAnsi="Arial" w:cs="Arial"/>
          <w:i/>
        </w:rPr>
        <w:lastRenderedPageBreak/>
        <w:t>choose whom they wish to sue. In Fourie v Newton 2010 JDR 1437 (SCA) the liquidators proceeded against only one of the directors of a company in liquidation, not because his conduct was any different from the other directors, but (apparently) because he was the only director with liability insurance, and the Court held that there was “nothing improper in such a course”’.</w:t>
      </w:r>
    </w:p>
    <w:p w14:paraId="2E8C46B6" w14:textId="6EFFF349" w:rsidR="003F4311" w:rsidRPr="00724D56" w:rsidRDefault="003F4311" w:rsidP="00724D56">
      <w:pPr>
        <w:pStyle w:val="ListParagraph"/>
        <w:spacing w:after="0" w:line="480" w:lineRule="auto"/>
        <w:ind w:left="0"/>
        <w:jc w:val="both"/>
        <w:rPr>
          <w:rFonts w:ascii="Arial" w:hAnsi="Arial" w:cs="Arial"/>
          <w:b/>
          <w:sz w:val="24"/>
          <w:szCs w:val="24"/>
        </w:rPr>
      </w:pPr>
    </w:p>
    <w:p w14:paraId="6E91BAF0" w14:textId="22907552" w:rsidR="00C10E61" w:rsidRPr="00C10E61" w:rsidRDefault="00C10E61" w:rsidP="00C10E61">
      <w:pPr>
        <w:pStyle w:val="ListParagraph"/>
        <w:numPr>
          <w:ilvl w:val="0"/>
          <w:numId w:val="1"/>
        </w:numPr>
        <w:spacing w:line="480" w:lineRule="auto"/>
        <w:jc w:val="both"/>
        <w:rPr>
          <w:rFonts w:ascii="Arial" w:hAnsi="Arial" w:cs="Arial"/>
          <w:b/>
          <w:sz w:val="24"/>
          <w:szCs w:val="24"/>
        </w:rPr>
      </w:pPr>
      <w:r w:rsidRPr="00B415DA">
        <w:rPr>
          <w:rFonts w:ascii="Arial" w:hAnsi="Arial" w:cs="Arial"/>
          <w:sz w:val="24"/>
          <w:szCs w:val="24"/>
        </w:rPr>
        <w:t>Section 424 of the Companies Act makes provision that any person, not only a director, may be held liable if that person was knowingly a party to the carrying on of the business recklessly or with intent to defraud creditors of the company or creditors of any other person or for any fraudulent purpose.</w:t>
      </w:r>
    </w:p>
    <w:p w14:paraId="1AF1A1C9" w14:textId="77777777" w:rsidR="00C10E61" w:rsidRPr="00C10E61" w:rsidRDefault="00C10E61" w:rsidP="00C10E61">
      <w:pPr>
        <w:pStyle w:val="ListParagraph"/>
        <w:spacing w:line="480" w:lineRule="auto"/>
        <w:ind w:left="0"/>
        <w:jc w:val="both"/>
        <w:rPr>
          <w:rFonts w:ascii="Arial" w:hAnsi="Arial" w:cs="Arial"/>
          <w:b/>
          <w:sz w:val="24"/>
          <w:szCs w:val="24"/>
        </w:rPr>
      </w:pPr>
    </w:p>
    <w:p w14:paraId="56818ABC" w14:textId="4FB10C53" w:rsidR="003F4311" w:rsidRPr="00B415DA" w:rsidRDefault="00B415DA" w:rsidP="00B415DA">
      <w:pPr>
        <w:pStyle w:val="ListParagraph"/>
        <w:numPr>
          <w:ilvl w:val="0"/>
          <w:numId w:val="1"/>
        </w:numPr>
        <w:spacing w:line="480" w:lineRule="auto"/>
        <w:jc w:val="both"/>
        <w:rPr>
          <w:rFonts w:ascii="Arial" w:hAnsi="Arial" w:cs="Arial"/>
          <w:b/>
          <w:sz w:val="24"/>
          <w:szCs w:val="24"/>
        </w:rPr>
      </w:pPr>
      <w:r w:rsidRPr="00B415DA">
        <w:rPr>
          <w:rFonts w:ascii="Arial" w:hAnsi="Arial" w:cs="Arial"/>
          <w:sz w:val="24"/>
          <w:szCs w:val="24"/>
        </w:rPr>
        <w:t>The Applicants place reliance on the provisions of Section 424 of the (old) Companies Act</w:t>
      </w:r>
      <w:r>
        <w:rPr>
          <w:rStyle w:val="FootnoteReference"/>
          <w:rFonts w:ascii="Arial" w:hAnsi="Arial" w:cs="Arial"/>
          <w:sz w:val="24"/>
          <w:szCs w:val="24"/>
        </w:rPr>
        <w:footnoteReference w:id="37"/>
      </w:r>
      <w:r w:rsidRPr="00B415DA">
        <w:rPr>
          <w:rFonts w:ascii="Arial" w:hAnsi="Arial" w:cs="Arial"/>
          <w:sz w:val="24"/>
          <w:szCs w:val="24"/>
        </w:rPr>
        <w:t>, in terms of w</w:t>
      </w:r>
      <w:r w:rsidR="001E438F">
        <w:rPr>
          <w:rFonts w:ascii="Arial" w:hAnsi="Arial" w:cs="Arial"/>
          <w:sz w:val="24"/>
          <w:szCs w:val="24"/>
        </w:rPr>
        <w:t>hich an order is sought in the S</w:t>
      </w:r>
      <w:r w:rsidRPr="00B415DA">
        <w:rPr>
          <w:rFonts w:ascii="Arial" w:hAnsi="Arial" w:cs="Arial"/>
          <w:sz w:val="24"/>
          <w:szCs w:val="24"/>
        </w:rPr>
        <w:t xml:space="preserve">ummons that the First Respondent is to be held jointly and severally liable with Mr Ferreira to Darling Breweries (Pty) Ltd for payment. The Applicants contended that Section 424 is made applicable due to the provisions of the new Companies Act, in that the First Applicant was liquidated and thus certain provisions of the old Companies Act finds application. </w:t>
      </w:r>
      <w:r>
        <w:rPr>
          <w:rFonts w:ascii="Arial" w:hAnsi="Arial" w:cs="Arial"/>
          <w:sz w:val="24"/>
          <w:szCs w:val="24"/>
        </w:rPr>
        <w:t>In addition, the Applicant</w:t>
      </w:r>
      <w:r w:rsidR="003F4311" w:rsidRPr="00B415DA">
        <w:rPr>
          <w:rFonts w:ascii="Arial" w:hAnsi="Arial" w:cs="Arial"/>
          <w:sz w:val="24"/>
          <w:szCs w:val="24"/>
        </w:rPr>
        <w:t xml:space="preserve">s contended that the relief can be sought against any party who was knowingly a party to the carrying on of the business of the company in the manner specified in Section 424(1). In amplification, the Applicants submitted that the First Respondent was knowingly a party to the diversion of funds from the First Applicant and its creditors to herself and thereafter to the wife of Mr Ferreira and that on that basis alone there is a </w:t>
      </w:r>
      <w:r w:rsidR="003F4311" w:rsidRPr="00B415DA">
        <w:rPr>
          <w:rFonts w:ascii="Arial" w:hAnsi="Arial" w:cs="Arial"/>
          <w:i/>
          <w:sz w:val="24"/>
          <w:szCs w:val="24"/>
        </w:rPr>
        <w:t xml:space="preserve">prima facie </w:t>
      </w:r>
      <w:r w:rsidR="003F4311" w:rsidRPr="00B415DA">
        <w:rPr>
          <w:rFonts w:ascii="Arial" w:hAnsi="Arial" w:cs="Arial"/>
          <w:sz w:val="24"/>
          <w:szCs w:val="24"/>
        </w:rPr>
        <w:t xml:space="preserve">claim against the First Respondent in addition to Mr Ferreira based on Section 424 of the Companies Act. </w:t>
      </w:r>
    </w:p>
    <w:p w14:paraId="184D1F99" w14:textId="47D6C3CE" w:rsidR="003F4311" w:rsidRPr="003F4311" w:rsidRDefault="003F4311" w:rsidP="003F4311">
      <w:pPr>
        <w:pStyle w:val="ListParagraph"/>
        <w:spacing w:line="480" w:lineRule="auto"/>
        <w:ind w:left="0"/>
        <w:jc w:val="both"/>
        <w:rPr>
          <w:rFonts w:ascii="Arial" w:hAnsi="Arial" w:cs="Arial"/>
          <w:b/>
          <w:sz w:val="24"/>
          <w:szCs w:val="24"/>
        </w:rPr>
      </w:pPr>
    </w:p>
    <w:p w14:paraId="6867CB73" w14:textId="717B42E8" w:rsidR="00AB489B" w:rsidRPr="000F5C16" w:rsidRDefault="00BB2AF9" w:rsidP="00724D56">
      <w:pPr>
        <w:pStyle w:val="ListParagraph"/>
        <w:numPr>
          <w:ilvl w:val="0"/>
          <w:numId w:val="1"/>
        </w:numPr>
        <w:spacing w:line="480" w:lineRule="auto"/>
        <w:jc w:val="both"/>
        <w:rPr>
          <w:rFonts w:ascii="Arial" w:hAnsi="Arial" w:cs="Arial"/>
          <w:b/>
          <w:sz w:val="24"/>
          <w:szCs w:val="24"/>
        </w:rPr>
      </w:pPr>
      <w:r>
        <w:rPr>
          <w:rFonts w:ascii="Arial" w:hAnsi="Arial" w:cs="Arial"/>
          <w:sz w:val="24"/>
          <w:szCs w:val="24"/>
        </w:rPr>
        <w:lastRenderedPageBreak/>
        <w:t>The First Respondent contended that there is no factual basis for such an order as the record of the Insolvency Enquiry reflects that the First Respondent had nothing to do with Mr Ferreira’s business and knew nothing about it.</w:t>
      </w:r>
      <w:r w:rsidR="00724D56">
        <w:rPr>
          <w:rFonts w:ascii="Arial" w:hAnsi="Arial" w:cs="Arial"/>
          <w:b/>
          <w:sz w:val="24"/>
          <w:szCs w:val="24"/>
        </w:rPr>
        <w:t xml:space="preserve"> </w:t>
      </w:r>
      <w:r w:rsidR="00724D56" w:rsidRPr="00724D56">
        <w:rPr>
          <w:rFonts w:ascii="Arial" w:hAnsi="Arial" w:cs="Arial"/>
          <w:sz w:val="24"/>
          <w:szCs w:val="24"/>
        </w:rPr>
        <w:t>Moreover</w:t>
      </w:r>
      <w:r w:rsidR="007016A5" w:rsidRPr="00724D56">
        <w:rPr>
          <w:rFonts w:ascii="Arial" w:hAnsi="Arial" w:cs="Arial"/>
          <w:sz w:val="24"/>
          <w:szCs w:val="24"/>
        </w:rPr>
        <w:t>, t</w:t>
      </w:r>
      <w:r w:rsidR="00911230" w:rsidRPr="00724D56">
        <w:rPr>
          <w:rFonts w:ascii="Arial" w:hAnsi="Arial" w:cs="Arial"/>
          <w:sz w:val="24"/>
          <w:szCs w:val="24"/>
        </w:rPr>
        <w:t>he First Respondent contended that it is blithely alleged on behalf of the Applicants that they “have established that the First Respondent was knowingly a party to the diversion of funds from Yzerfontein Curesmiths (Pty) Ltd and its creditors to herself and thereafter the Second Defendant’s wife”.</w:t>
      </w:r>
      <w:r w:rsidR="00911230">
        <w:rPr>
          <w:rStyle w:val="FootnoteReference"/>
          <w:rFonts w:ascii="Arial" w:hAnsi="Arial" w:cs="Arial"/>
          <w:sz w:val="24"/>
          <w:szCs w:val="24"/>
        </w:rPr>
        <w:footnoteReference w:id="38"/>
      </w:r>
      <w:r w:rsidR="00372181" w:rsidRPr="00724D56">
        <w:rPr>
          <w:rFonts w:ascii="Arial" w:hAnsi="Arial" w:cs="Arial"/>
          <w:sz w:val="24"/>
          <w:szCs w:val="24"/>
        </w:rPr>
        <w:t xml:space="preserve"> The First Respondent submitted that there is no substance to this contention, more particularly in relation to the assertion tha</w:t>
      </w:r>
      <w:r w:rsidR="00724D56">
        <w:rPr>
          <w:rFonts w:ascii="Arial" w:hAnsi="Arial" w:cs="Arial"/>
          <w:sz w:val="24"/>
          <w:szCs w:val="24"/>
        </w:rPr>
        <w:t xml:space="preserve">t they have “established” </w:t>
      </w:r>
      <w:r w:rsidR="00372181" w:rsidRPr="00724D56">
        <w:rPr>
          <w:rFonts w:ascii="Arial" w:hAnsi="Arial" w:cs="Arial"/>
          <w:sz w:val="24"/>
          <w:szCs w:val="24"/>
        </w:rPr>
        <w:t xml:space="preserve">such facts neither have the Applicants provided a </w:t>
      </w:r>
      <w:r w:rsidR="00372181" w:rsidRPr="00724D56">
        <w:rPr>
          <w:rFonts w:ascii="Arial" w:hAnsi="Arial" w:cs="Arial"/>
          <w:i/>
          <w:sz w:val="24"/>
          <w:szCs w:val="24"/>
        </w:rPr>
        <w:t>prima facie</w:t>
      </w:r>
      <w:r w:rsidR="00372181" w:rsidRPr="00724D56">
        <w:rPr>
          <w:rFonts w:ascii="Arial" w:hAnsi="Arial" w:cs="Arial"/>
          <w:sz w:val="24"/>
          <w:szCs w:val="24"/>
        </w:rPr>
        <w:t xml:space="preserve"> case in this regard.</w:t>
      </w:r>
      <w:r w:rsidR="008D35BB" w:rsidRPr="00724D56">
        <w:rPr>
          <w:rFonts w:ascii="Arial" w:hAnsi="Arial" w:cs="Arial"/>
          <w:sz w:val="24"/>
          <w:szCs w:val="24"/>
        </w:rPr>
        <w:t xml:space="preserve"> The First Respondent argues that the transcript of the Insolvency </w:t>
      </w:r>
      <w:r w:rsidR="00DA155A">
        <w:rPr>
          <w:rFonts w:ascii="Arial" w:hAnsi="Arial" w:cs="Arial"/>
          <w:sz w:val="24"/>
          <w:szCs w:val="24"/>
        </w:rPr>
        <w:t>E</w:t>
      </w:r>
      <w:r w:rsidR="008D35BB" w:rsidRPr="00724D56">
        <w:rPr>
          <w:rFonts w:ascii="Arial" w:hAnsi="Arial" w:cs="Arial"/>
          <w:sz w:val="24"/>
          <w:szCs w:val="24"/>
        </w:rPr>
        <w:t xml:space="preserve">nquiry is destructive of this notion. </w:t>
      </w:r>
    </w:p>
    <w:p w14:paraId="669803A6" w14:textId="7710A7BE" w:rsidR="00C10E61" w:rsidRPr="009D0749" w:rsidRDefault="00C10E61" w:rsidP="00C10E61">
      <w:pPr>
        <w:pStyle w:val="ListParagraph"/>
        <w:spacing w:line="480" w:lineRule="auto"/>
        <w:ind w:left="0"/>
        <w:jc w:val="both"/>
        <w:rPr>
          <w:rFonts w:ascii="Arial" w:hAnsi="Arial" w:cs="Arial"/>
          <w:b/>
          <w:sz w:val="24"/>
          <w:szCs w:val="24"/>
        </w:rPr>
      </w:pPr>
    </w:p>
    <w:p w14:paraId="00C11E8C" w14:textId="5C5BFF66" w:rsidR="000F5C16" w:rsidRPr="000F5C16" w:rsidRDefault="007D399B" w:rsidP="000F5C16">
      <w:pPr>
        <w:pStyle w:val="ListParagraph"/>
        <w:numPr>
          <w:ilvl w:val="0"/>
          <w:numId w:val="31"/>
        </w:numPr>
        <w:spacing w:line="480" w:lineRule="auto"/>
        <w:jc w:val="both"/>
        <w:rPr>
          <w:rFonts w:ascii="Arial" w:hAnsi="Arial" w:cs="Arial"/>
          <w:b/>
          <w:sz w:val="24"/>
          <w:szCs w:val="24"/>
        </w:rPr>
      </w:pPr>
      <w:r>
        <w:rPr>
          <w:rFonts w:ascii="Arial" w:hAnsi="Arial" w:cs="Arial"/>
          <w:b/>
          <w:sz w:val="24"/>
          <w:szCs w:val="24"/>
        </w:rPr>
        <w:t>Material non-disclosure</w:t>
      </w:r>
    </w:p>
    <w:p w14:paraId="702CAD1E" w14:textId="20C2B1BF" w:rsidR="004F6E8C" w:rsidRPr="000F5C16" w:rsidRDefault="004F6E8C" w:rsidP="004F6E8C">
      <w:pPr>
        <w:pStyle w:val="ListParagraph"/>
        <w:numPr>
          <w:ilvl w:val="0"/>
          <w:numId w:val="1"/>
        </w:numPr>
        <w:spacing w:line="480" w:lineRule="auto"/>
        <w:jc w:val="both"/>
        <w:rPr>
          <w:rFonts w:ascii="Arial" w:hAnsi="Arial" w:cs="Arial"/>
          <w:b/>
          <w:sz w:val="24"/>
          <w:szCs w:val="24"/>
        </w:rPr>
      </w:pPr>
      <w:r w:rsidRPr="000F5C16">
        <w:rPr>
          <w:rFonts w:ascii="Arial" w:hAnsi="Arial" w:cs="Arial"/>
          <w:sz w:val="24"/>
          <w:szCs w:val="24"/>
        </w:rPr>
        <w:t>The First Respondent</w:t>
      </w:r>
      <w:r w:rsidR="00643F45" w:rsidRPr="000F5C16">
        <w:rPr>
          <w:rFonts w:ascii="Arial" w:hAnsi="Arial" w:cs="Arial"/>
          <w:sz w:val="24"/>
          <w:szCs w:val="24"/>
        </w:rPr>
        <w:t xml:space="preserve"> contended that only a portion of the trans</w:t>
      </w:r>
      <w:r w:rsidR="00FF3E02" w:rsidRPr="000F5C16">
        <w:rPr>
          <w:rFonts w:ascii="Arial" w:hAnsi="Arial" w:cs="Arial"/>
          <w:sz w:val="24"/>
          <w:szCs w:val="24"/>
        </w:rPr>
        <w:t>cript of the proceedings at an Insolvency E</w:t>
      </w:r>
      <w:r w:rsidR="00643F45" w:rsidRPr="000F5C16">
        <w:rPr>
          <w:rFonts w:ascii="Arial" w:hAnsi="Arial" w:cs="Arial"/>
          <w:sz w:val="24"/>
          <w:szCs w:val="24"/>
        </w:rPr>
        <w:t>nquiry held at the Malmesbury Magistrate’s Court on 26 August 2020 is attached to the Applicants Founding Affidavit.</w:t>
      </w:r>
      <w:r w:rsidR="00643F45">
        <w:rPr>
          <w:rStyle w:val="FootnoteReference"/>
          <w:rFonts w:ascii="Arial" w:hAnsi="Arial" w:cs="Arial"/>
          <w:sz w:val="24"/>
          <w:szCs w:val="24"/>
        </w:rPr>
        <w:footnoteReference w:id="39"/>
      </w:r>
      <w:r w:rsidR="00643F45" w:rsidRPr="000F5C16">
        <w:rPr>
          <w:rFonts w:ascii="Arial" w:hAnsi="Arial" w:cs="Arial"/>
          <w:sz w:val="24"/>
          <w:szCs w:val="24"/>
        </w:rPr>
        <w:t xml:space="preserve"> </w:t>
      </w:r>
      <w:r w:rsidR="00B43C11" w:rsidRPr="00D13CC2">
        <w:rPr>
          <w:rFonts w:ascii="Arial" w:hAnsi="Arial" w:cs="Arial"/>
          <w:sz w:val="24"/>
          <w:szCs w:val="24"/>
        </w:rPr>
        <w:t xml:space="preserve">The First Respondent submitted that the portion of the transcript put up by the Applicants do not support the contentions on their behalf in the Founding Affidavit. </w:t>
      </w:r>
      <w:r w:rsidRPr="000F5C16">
        <w:rPr>
          <w:rFonts w:ascii="Arial" w:hAnsi="Arial" w:cs="Arial"/>
          <w:sz w:val="24"/>
          <w:szCs w:val="24"/>
        </w:rPr>
        <w:t>The First Respondent argued that this amounts to m</w:t>
      </w:r>
      <w:r w:rsidR="00313C31" w:rsidRPr="000F5C16">
        <w:rPr>
          <w:rFonts w:ascii="Arial" w:hAnsi="Arial" w:cs="Arial"/>
          <w:sz w:val="24"/>
          <w:szCs w:val="24"/>
        </w:rPr>
        <w:t xml:space="preserve">aterial non-disclosure at </w:t>
      </w:r>
      <w:r w:rsidRPr="000F5C16">
        <w:rPr>
          <w:rFonts w:ascii="Arial" w:hAnsi="Arial" w:cs="Arial"/>
          <w:sz w:val="24"/>
          <w:szCs w:val="24"/>
        </w:rPr>
        <w:t xml:space="preserve">the </w:t>
      </w:r>
      <w:r w:rsidRPr="000F5C16">
        <w:rPr>
          <w:rFonts w:ascii="Arial" w:hAnsi="Arial" w:cs="Arial"/>
          <w:i/>
          <w:sz w:val="24"/>
          <w:szCs w:val="24"/>
        </w:rPr>
        <w:t>ex parte</w:t>
      </w:r>
      <w:r w:rsidRPr="000F5C16">
        <w:rPr>
          <w:rFonts w:ascii="Arial" w:hAnsi="Arial" w:cs="Arial"/>
          <w:sz w:val="24"/>
          <w:szCs w:val="24"/>
        </w:rPr>
        <w:t xml:space="preserve"> hearing which in itself is </w:t>
      </w:r>
      <w:r w:rsidR="00DA155A">
        <w:rPr>
          <w:rFonts w:ascii="Arial" w:hAnsi="Arial" w:cs="Arial"/>
          <w:sz w:val="24"/>
          <w:szCs w:val="24"/>
        </w:rPr>
        <w:t xml:space="preserve">a </w:t>
      </w:r>
      <w:r w:rsidRPr="000F5C16">
        <w:rPr>
          <w:rFonts w:ascii="Arial" w:hAnsi="Arial" w:cs="Arial"/>
          <w:sz w:val="24"/>
          <w:szCs w:val="24"/>
        </w:rPr>
        <w:t>sufficient ground to set aside the interim order granted by Sher J. The full transcript is attached to the First Respondent’s Answering Affidavit</w:t>
      </w:r>
      <w:r w:rsidRPr="004F6E8C">
        <w:rPr>
          <w:rStyle w:val="FootnoteReference"/>
          <w:rFonts w:ascii="Arial" w:hAnsi="Arial" w:cs="Arial"/>
          <w:sz w:val="24"/>
          <w:szCs w:val="24"/>
        </w:rPr>
        <w:footnoteReference w:id="40"/>
      </w:r>
      <w:r w:rsidRPr="000F5C16">
        <w:rPr>
          <w:rFonts w:ascii="Arial" w:hAnsi="Arial" w:cs="Arial"/>
          <w:sz w:val="24"/>
          <w:szCs w:val="24"/>
        </w:rPr>
        <w:t xml:space="preserve"> </w:t>
      </w:r>
      <w:r w:rsidR="00B42659" w:rsidRPr="000F5C16">
        <w:rPr>
          <w:rFonts w:ascii="Arial" w:hAnsi="Arial" w:cs="Arial"/>
          <w:sz w:val="24"/>
          <w:szCs w:val="24"/>
        </w:rPr>
        <w:t xml:space="preserve">The following was illuminated by </w:t>
      </w:r>
      <w:r w:rsidR="00DA155A">
        <w:rPr>
          <w:rFonts w:ascii="Arial" w:hAnsi="Arial" w:cs="Arial"/>
          <w:sz w:val="24"/>
          <w:szCs w:val="24"/>
        </w:rPr>
        <w:t xml:space="preserve">the </w:t>
      </w:r>
      <w:r w:rsidR="00B42659" w:rsidRPr="000F5C16">
        <w:rPr>
          <w:rFonts w:ascii="Arial" w:hAnsi="Arial" w:cs="Arial"/>
          <w:sz w:val="24"/>
          <w:szCs w:val="24"/>
        </w:rPr>
        <w:t>First Respondent in relation to the undisclosed portions of the transcript, namely that</w:t>
      </w:r>
      <w:r w:rsidRPr="000F5C16">
        <w:rPr>
          <w:rFonts w:ascii="Arial" w:hAnsi="Arial" w:cs="Arial"/>
          <w:sz w:val="24"/>
          <w:szCs w:val="24"/>
        </w:rPr>
        <w:t>:</w:t>
      </w:r>
    </w:p>
    <w:p w14:paraId="6308921E" w14:textId="13E97450" w:rsidR="00B42659" w:rsidRPr="00B42659" w:rsidRDefault="004F6E8C" w:rsidP="004F6E8C">
      <w:pPr>
        <w:pStyle w:val="ListParagraph"/>
        <w:numPr>
          <w:ilvl w:val="0"/>
          <w:numId w:val="27"/>
        </w:numPr>
        <w:spacing w:line="480" w:lineRule="auto"/>
        <w:jc w:val="both"/>
        <w:rPr>
          <w:rFonts w:ascii="Arial" w:hAnsi="Arial" w:cs="Arial"/>
          <w:b/>
          <w:sz w:val="24"/>
          <w:szCs w:val="24"/>
        </w:rPr>
      </w:pPr>
      <w:r w:rsidRPr="004F6E8C">
        <w:rPr>
          <w:rFonts w:ascii="Arial" w:hAnsi="Arial" w:cs="Arial"/>
          <w:sz w:val="24"/>
          <w:szCs w:val="24"/>
        </w:rPr>
        <w:lastRenderedPageBreak/>
        <w:t xml:space="preserve">the First Respondent paid an amount of R250 000 for the renovations that were effected by Mr Ferreira prior to </w:t>
      </w:r>
      <w:r w:rsidR="00B42659">
        <w:rPr>
          <w:rFonts w:ascii="Arial" w:hAnsi="Arial" w:cs="Arial"/>
          <w:sz w:val="24"/>
          <w:szCs w:val="24"/>
        </w:rPr>
        <w:t>the sequestration of his estate;</w:t>
      </w:r>
      <w:r w:rsidRPr="004F6E8C">
        <w:rPr>
          <w:rFonts w:ascii="Arial" w:hAnsi="Arial" w:cs="Arial"/>
          <w:sz w:val="24"/>
          <w:szCs w:val="24"/>
        </w:rPr>
        <w:t xml:space="preserve"> </w:t>
      </w:r>
    </w:p>
    <w:p w14:paraId="6DBDFB91" w14:textId="07FF8183" w:rsidR="004F6E8C" w:rsidRPr="004F6E8C" w:rsidRDefault="00B42659" w:rsidP="004F6E8C">
      <w:pPr>
        <w:pStyle w:val="ListParagraph"/>
        <w:numPr>
          <w:ilvl w:val="0"/>
          <w:numId w:val="27"/>
        </w:numPr>
        <w:spacing w:line="480" w:lineRule="auto"/>
        <w:jc w:val="both"/>
        <w:rPr>
          <w:rFonts w:ascii="Arial" w:hAnsi="Arial" w:cs="Arial"/>
          <w:b/>
          <w:sz w:val="24"/>
          <w:szCs w:val="24"/>
        </w:rPr>
      </w:pPr>
      <w:r>
        <w:rPr>
          <w:rFonts w:ascii="Arial" w:hAnsi="Arial" w:cs="Arial"/>
          <w:sz w:val="24"/>
          <w:szCs w:val="24"/>
        </w:rPr>
        <w:t xml:space="preserve">the </w:t>
      </w:r>
      <w:r w:rsidR="000F5C16">
        <w:rPr>
          <w:rFonts w:ascii="Arial" w:hAnsi="Arial" w:cs="Arial"/>
          <w:sz w:val="24"/>
          <w:szCs w:val="24"/>
        </w:rPr>
        <w:t>First Respondent denied</w:t>
      </w:r>
      <w:r w:rsidR="004F6E8C" w:rsidRPr="004F6E8C">
        <w:rPr>
          <w:rFonts w:ascii="Arial" w:hAnsi="Arial" w:cs="Arial"/>
          <w:sz w:val="24"/>
          <w:szCs w:val="24"/>
        </w:rPr>
        <w:t xml:space="preserve"> that she owes Mr Ferreira or his estate any money in respect of the renovation and he and his estate has no claim against the Firs</w:t>
      </w:r>
      <w:r w:rsidR="00900BF6">
        <w:rPr>
          <w:rFonts w:ascii="Arial" w:hAnsi="Arial" w:cs="Arial"/>
          <w:sz w:val="24"/>
          <w:szCs w:val="24"/>
        </w:rPr>
        <w:t>t Respondent in respect thereof and</w:t>
      </w:r>
    </w:p>
    <w:p w14:paraId="2B01BFDC" w14:textId="2465E555" w:rsidR="00900BF6" w:rsidRPr="00B43C11" w:rsidRDefault="00B42659" w:rsidP="00900BF6">
      <w:pPr>
        <w:pStyle w:val="ListParagraph"/>
        <w:numPr>
          <w:ilvl w:val="0"/>
          <w:numId w:val="27"/>
        </w:numPr>
        <w:spacing w:line="480" w:lineRule="auto"/>
        <w:jc w:val="both"/>
        <w:rPr>
          <w:rFonts w:ascii="Arial" w:hAnsi="Arial" w:cs="Arial"/>
          <w:b/>
          <w:sz w:val="24"/>
          <w:szCs w:val="24"/>
        </w:rPr>
      </w:pPr>
      <w:r>
        <w:rPr>
          <w:rFonts w:ascii="Arial" w:hAnsi="Arial" w:cs="Arial"/>
          <w:sz w:val="24"/>
          <w:szCs w:val="24"/>
        </w:rPr>
        <w:t>t</w:t>
      </w:r>
      <w:r w:rsidR="004F6E8C">
        <w:rPr>
          <w:rFonts w:ascii="Arial" w:hAnsi="Arial" w:cs="Arial"/>
          <w:sz w:val="24"/>
          <w:szCs w:val="24"/>
        </w:rPr>
        <w:t>he property at which the renovations were effected was sold prior to the sequest</w:t>
      </w:r>
      <w:r w:rsidR="00900BF6">
        <w:rPr>
          <w:rFonts w:ascii="Arial" w:hAnsi="Arial" w:cs="Arial"/>
          <w:sz w:val="24"/>
          <w:szCs w:val="24"/>
        </w:rPr>
        <w:t>ration of Mr Ferreira’s estate.</w:t>
      </w:r>
    </w:p>
    <w:p w14:paraId="741BB522" w14:textId="77777777" w:rsidR="00B43C11" w:rsidRPr="00900BF6" w:rsidRDefault="00B43C11" w:rsidP="00B43C11">
      <w:pPr>
        <w:pStyle w:val="ListParagraph"/>
        <w:spacing w:line="480" w:lineRule="auto"/>
        <w:jc w:val="both"/>
        <w:rPr>
          <w:rFonts w:ascii="Arial" w:hAnsi="Arial" w:cs="Arial"/>
          <w:b/>
          <w:sz w:val="24"/>
          <w:szCs w:val="24"/>
        </w:rPr>
      </w:pPr>
    </w:p>
    <w:p w14:paraId="112D64F1" w14:textId="6829C2C7" w:rsidR="004F6E8C" w:rsidRPr="00900BF6" w:rsidRDefault="00900BF6" w:rsidP="00900BF6">
      <w:pPr>
        <w:pStyle w:val="ListParagraph"/>
        <w:numPr>
          <w:ilvl w:val="0"/>
          <w:numId w:val="1"/>
        </w:numPr>
        <w:spacing w:line="480" w:lineRule="auto"/>
        <w:jc w:val="both"/>
        <w:rPr>
          <w:rFonts w:ascii="Arial" w:hAnsi="Arial" w:cs="Arial"/>
          <w:b/>
          <w:sz w:val="24"/>
          <w:szCs w:val="24"/>
        </w:rPr>
      </w:pPr>
      <w:r>
        <w:rPr>
          <w:rFonts w:ascii="Arial" w:hAnsi="Arial" w:cs="Arial"/>
          <w:sz w:val="24"/>
          <w:szCs w:val="24"/>
        </w:rPr>
        <w:t>T</w:t>
      </w:r>
      <w:r w:rsidR="00B42659" w:rsidRPr="00900BF6">
        <w:rPr>
          <w:rFonts w:ascii="Arial" w:hAnsi="Arial" w:cs="Arial"/>
          <w:sz w:val="24"/>
          <w:szCs w:val="24"/>
        </w:rPr>
        <w:t xml:space="preserve">he </w:t>
      </w:r>
      <w:r w:rsidR="004F6E8C" w:rsidRPr="00900BF6">
        <w:rPr>
          <w:rFonts w:ascii="Arial" w:hAnsi="Arial" w:cs="Arial"/>
          <w:sz w:val="24"/>
          <w:szCs w:val="24"/>
        </w:rPr>
        <w:t xml:space="preserve">First Respondent denies having </w:t>
      </w:r>
      <w:r w:rsidR="00B42659" w:rsidRPr="00900BF6">
        <w:rPr>
          <w:rFonts w:ascii="Arial" w:hAnsi="Arial" w:cs="Arial"/>
          <w:sz w:val="24"/>
          <w:szCs w:val="24"/>
        </w:rPr>
        <w:t>made any payments to Mr Ferreira</w:t>
      </w:r>
      <w:r w:rsidR="004F6E8C" w:rsidRPr="00900BF6">
        <w:rPr>
          <w:rFonts w:ascii="Arial" w:hAnsi="Arial" w:cs="Arial"/>
          <w:sz w:val="24"/>
          <w:szCs w:val="24"/>
        </w:rPr>
        <w:t xml:space="preserve"> which could possibly fall under Section 22 of the Insolvency Act</w:t>
      </w:r>
      <w:r w:rsidR="004F6E8C">
        <w:rPr>
          <w:rStyle w:val="FootnoteReference"/>
          <w:rFonts w:ascii="Arial" w:hAnsi="Arial" w:cs="Arial"/>
          <w:sz w:val="24"/>
          <w:szCs w:val="24"/>
        </w:rPr>
        <w:footnoteReference w:id="41"/>
      </w:r>
      <w:r>
        <w:rPr>
          <w:rFonts w:ascii="Arial" w:hAnsi="Arial" w:cs="Arial"/>
          <w:sz w:val="24"/>
          <w:szCs w:val="24"/>
        </w:rPr>
        <w:t xml:space="preserve"> (“the Insolvency Act”). The First Respondent argued that the testimony of the First Respondent at the Insolvency Enquiry</w:t>
      </w:r>
      <w:r>
        <w:rPr>
          <w:rFonts w:ascii="Arial" w:hAnsi="Arial" w:cs="Arial"/>
          <w:b/>
          <w:sz w:val="24"/>
          <w:szCs w:val="24"/>
        </w:rPr>
        <w:t xml:space="preserve"> </w:t>
      </w:r>
      <w:r>
        <w:rPr>
          <w:rFonts w:ascii="Arial" w:hAnsi="Arial" w:cs="Arial"/>
          <w:sz w:val="24"/>
          <w:szCs w:val="24"/>
        </w:rPr>
        <w:t>demonstrates</w:t>
      </w:r>
      <w:r w:rsidR="004F6E8C" w:rsidRPr="00900BF6">
        <w:rPr>
          <w:rFonts w:ascii="Arial" w:hAnsi="Arial" w:cs="Arial"/>
          <w:sz w:val="24"/>
          <w:szCs w:val="24"/>
        </w:rPr>
        <w:t xml:space="preserve"> that there was no disposition of property as meant in Section</w:t>
      </w:r>
      <w:r>
        <w:rPr>
          <w:rFonts w:ascii="Arial" w:hAnsi="Arial" w:cs="Arial"/>
          <w:sz w:val="24"/>
          <w:szCs w:val="24"/>
        </w:rPr>
        <w:t xml:space="preserve"> 26 or 31 of the Insolvency Act. Furthermore, the Firs</w:t>
      </w:r>
      <w:r w:rsidR="00E66ED5">
        <w:rPr>
          <w:rFonts w:ascii="Arial" w:hAnsi="Arial" w:cs="Arial"/>
          <w:sz w:val="24"/>
          <w:szCs w:val="24"/>
        </w:rPr>
        <w:t>t Respondent submitted</w:t>
      </w:r>
      <w:r>
        <w:rPr>
          <w:rFonts w:ascii="Arial" w:hAnsi="Arial" w:cs="Arial"/>
          <w:sz w:val="24"/>
          <w:szCs w:val="24"/>
        </w:rPr>
        <w:t xml:space="preserve">  that the record of the Insolvency Enquiry shows</w:t>
      </w:r>
      <w:r w:rsidR="004F6E8C" w:rsidRPr="00900BF6">
        <w:rPr>
          <w:rFonts w:ascii="Arial" w:hAnsi="Arial" w:cs="Arial"/>
          <w:sz w:val="24"/>
          <w:szCs w:val="24"/>
        </w:rPr>
        <w:t xml:space="preserve"> that the First Respondent had no knowledge of the</w:t>
      </w:r>
      <w:r>
        <w:rPr>
          <w:rFonts w:ascii="Arial" w:hAnsi="Arial" w:cs="Arial"/>
          <w:sz w:val="24"/>
          <w:szCs w:val="24"/>
        </w:rPr>
        <w:t xml:space="preserve"> affairs of the First Applicant;</w:t>
      </w:r>
      <w:r w:rsidR="004F6E8C" w:rsidRPr="00900BF6">
        <w:rPr>
          <w:rFonts w:ascii="Arial" w:hAnsi="Arial" w:cs="Arial"/>
          <w:sz w:val="24"/>
          <w:szCs w:val="24"/>
        </w:rPr>
        <w:t xml:space="preserve"> did not participate in or conduct its business and had no dealings with it</w:t>
      </w:r>
      <w:r w:rsidR="00B42659" w:rsidRPr="00900BF6">
        <w:rPr>
          <w:rFonts w:ascii="Arial" w:hAnsi="Arial" w:cs="Arial"/>
          <w:sz w:val="24"/>
          <w:szCs w:val="24"/>
        </w:rPr>
        <w:t xml:space="preserve"> and that</w:t>
      </w:r>
      <w:r>
        <w:rPr>
          <w:rFonts w:ascii="Arial" w:hAnsi="Arial" w:cs="Arial"/>
          <w:b/>
          <w:sz w:val="24"/>
          <w:szCs w:val="24"/>
        </w:rPr>
        <w:t xml:space="preserve"> </w:t>
      </w:r>
      <w:r w:rsidR="004F6E8C" w:rsidRPr="00900BF6">
        <w:rPr>
          <w:rFonts w:ascii="Arial" w:hAnsi="Arial" w:cs="Arial"/>
          <w:sz w:val="24"/>
          <w:szCs w:val="24"/>
        </w:rPr>
        <w:t>there is no basis whereupon the Applicants or any creditor of First Applicant could have a claim based on Section 424 of the Comp</w:t>
      </w:r>
      <w:r w:rsidR="00AA57BA" w:rsidRPr="00900BF6">
        <w:rPr>
          <w:rFonts w:ascii="Arial" w:hAnsi="Arial" w:cs="Arial"/>
          <w:sz w:val="24"/>
          <w:szCs w:val="24"/>
        </w:rPr>
        <w:t>anies Act</w:t>
      </w:r>
      <w:r w:rsidR="004F6E8C" w:rsidRPr="00900BF6">
        <w:rPr>
          <w:rFonts w:ascii="Arial" w:hAnsi="Arial" w:cs="Arial"/>
          <w:sz w:val="24"/>
          <w:szCs w:val="24"/>
        </w:rPr>
        <w:t xml:space="preserve"> against the First Respondent.</w:t>
      </w:r>
    </w:p>
    <w:p w14:paraId="022D29C1" w14:textId="4D0A33D7" w:rsidR="00B42659" w:rsidRPr="0041636C" w:rsidRDefault="00B42659" w:rsidP="00B42659">
      <w:pPr>
        <w:pStyle w:val="ListParagraph"/>
        <w:spacing w:line="480" w:lineRule="auto"/>
        <w:ind w:left="0"/>
        <w:jc w:val="both"/>
        <w:rPr>
          <w:rFonts w:ascii="Arial" w:hAnsi="Arial" w:cs="Arial"/>
          <w:b/>
          <w:sz w:val="24"/>
          <w:szCs w:val="24"/>
        </w:rPr>
      </w:pPr>
    </w:p>
    <w:p w14:paraId="24F82765" w14:textId="252236B1" w:rsidR="003723E4" w:rsidRPr="008E2B93" w:rsidRDefault="003723E4" w:rsidP="008E2B93">
      <w:pPr>
        <w:pStyle w:val="ListParagraph"/>
        <w:numPr>
          <w:ilvl w:val="0"/>
          <w:numId w:val="1"/>
        </w:numPr>
        <w:spacing w:line="480" w:lineRule="auto"/>
        <w:jc w:val="both"/>
        <w:rPr>
          <w:rFonts w:ascii="Arial" w:hAnsi="Arial" w:cs="Arial"/>
          <w:b/>
          <w:sz w:val="24"/>
          <w:szCs w:val="24"/>
        </w:rPr>
      </w:pPr>
      <w:r w:rsidRPr="008E2B93">
        <w:rPr>
          <w:rFonts w:ascii="Arial" w:hAnsi="Arial" w:cs="Arial"/>
          <w:sz w:val="24"/>
          <w:szCs w:val="24"/>
        </w:rPr>
        <w:t xml:space="preserve">The matter of </w:t>
      </w:r>
      <w:r w:rsidRPr="008E2B93">
        <w:rPr>
          <w:rFonts w:ascii="Arial" w:hAnsi="Arial" w:cs="Arial"/>
          <w:b/>
          <w:i/>
          <w:sz w:val="24"/>
          <w:szCs w:val="24"/>
        </w:rPr>
        <w:t xml:space="preserve">Obiang </w:t>
      </w:r>
      <w:r>
        <w:rPr>
          <w:rStyle w:val="FootnoteReference"/>
          <w:rFonts w:ascii="Arial" w:hAnsi="Arial" w:cs="Arial"/>
          <w:i/>
          <w:sz w:val="24"/>
          <w:szCs w:val="24"/>
        </w:rPr>
        <w:footnoteReference w:id="42"/>
      </w:r>
      <w:r w:rsidRPr="008E2B93">
        <w:rPr>
          <w:rFonts w:ascii="Arial" w:hAnsi="Arial" w:cs="Arial"/>
          <w:i/>
          <w:sz w:val="24"/>
          <w:szCs w:val="24"/>
        </w:rPr>
        <w:t xml:space="preserve"> </w:t>
      </w:r>
      <w:r w:rsidR="00E66ED5">
        <w:rPr>
          <w:rFonts w:ascii="Arial" w:hAnsi="Arial" w:cs="Arial"/>
          <w:sz w:val="24"/>
          <w:szCs w:val="24"/>
        </w:rPr>
        <w:t>is instructive on the issue</w:t>
      </w:r>
      <w:r w:rsidRPr="008E2B93">
        <w:rPr>
          <w:rFonts w:ascii="Arial" w:hAnsi="Arial" w:cs="Arial"/>
          <w:sz w:val="24"/>
          <w:szCs w:val="24"/>
        </w:rPr>
        <w:t xml:space="preserve"> of non-disclosure of material facts in the </w:t>
      </w:r>
      <w:r w:rsidRPr="008E2B93">
        <w:rPr>
          <w:rFonts w:ascii="Arial" w:hAnsi="Arial" w:cs="Arial"/>
          <w:i/>
          <w:sz w:val="24"/>
          <w:szCs w:val="24"/>
        </w:rPr>
        <w:t>ex parte</w:t>
      </w:r>
      <w:r w:rsidRPr="008E2B93">
        <w:rPr>
          <w:rFonts w:ascii="Arial" w:hAnsi="Arial" w:cs="Arial"/>
          <w:sz w:val="24"/>
          <w:szCs w:val="24"/>
        </w:rPr>
        <w:t xml:space="preserve"> application:</w:t>
      </w:r>
    </w:p>
    <w:p w14:paraId="745D6312" w14:textId="31DCCFCC" w:rsidR="003723E4" w:rsidRDefault="003723E4" w:rsidP="003723E4">
      <w:pPr>
        <w:pStyle w:val="ListParagraph"/>
        <w:spacing w:line="360" w:lineRule="auto"/>
        <w:ind w:right="720"/>
        <w:jc w:val="both"/>
        <w:rPr>
          <w:rFonts w:ascii="Arial" w:hAnsi="Arial" w:cs="Arial"/>
          <w:i/>
          <w:sz w:val="20"/>
          <w:szCs w:val="20"/>
        </w:rPr>
      </w:pPr>
      <w:r>
        <w:rPr>
          <w:rFonts w:ascii="Arial" w:hAnsi="Arial" w:cs="Arial"/>
          <w:i/>
          <w:sz w:val="20"/>
          <w:szCs w:val="20"/>
        </w:rPr>
        <w:t>‘It is trite that a party which approaches the court ex parte is duty bound to observe the utmost good faith (“uberrima fides”) and that if material facts are withheld at that stage the court may, on the return day, dismiss the application on that basis alone. Furthermore, such non-disclosure need not be wil</w:t>
      </w:r>
      <w:r w:rsidR="009409B3">
        <w:rPr>
          <w:rFonts w:ascii="Arial" w:hAnsi="Arial" w:cs="Arial"/>
          <w:i/>
          <w:sz w:val="20"/>
          <w:szCs w:val="20"/>
        </w:rPr>
        <w:t>l</w:t>
      </w:r>
      <w:r>
        <w:rPr>
          <w:rFonts w:ascii="Arial" w:hAnsi="Arial" w:cs="Arial"/>
          <w:i/>
          <w:sz w:val="20"/>
          <w:szCs w:val="20"/>
        </w:rPr>
        <w:t xml:space="preserve">ful or mala fide before the court will </w:t>
      </w:r>
      <w:r>
        <w:rPr>
          <w:rFonts w:ascii="Arial" w:hAnsi="Arial" w:cs="Arial"/>
          <w:i/>
          <w:sz w:val="20"/>
          <w:szCs w:val="20"/>
        </w:rPr>
        <w:lastRenderedPageBreak/>
        <w:t>discharge the rule nisi. However, it is not a given that the ex parte order will necessarily be set aside in the event of material non-disclosure – the court hearing the matter on the return day will always be entitled to exercise a discretion as to whether to confirm the rule or not.’</w:t>
      </w:r>
      <w:r>
        <w:rPr>
          <w:rStyle w:val="FootnoteReference"/>
          <w:rFonts w:ascii="Arial" w:hAnsi="Arial" w:cs="Arial"/>
          <w:i/>
          <w:sz w:val="20"/>
          <w:szCs w:val="20"/>
        </w:rPr>
        <w:footnoteReference w:id="43"/>
      </w:r>
    </w:p>
    <w:p w14:paraId="297577DF" w14:textId="77777777" w:rsidR="003723E4" w:rsidRPr="003723E4" w:rsidRDefault="003723E4" w:rsidP="003723E4">
      <w:pPr>
        <w:pStyle w:val="ListParagraph"/>
        <w:spacing w:line="360" w:lineRule="auto"/>
        <w:ind w:right="720"/>
        <w:jc w:val="both"/>
        <w:rPr>
          <w:rFonts w:ascii="Arial" w:hAnsi="Arial" w:cs="Arial"/>
          <w:b/>
          <w:i/>
          <w:sz w:val="20"/>
          <w:szCs w:val="20"/>
        </w:rPr>
      </w:pPr>
    </w:p>
    <w:p w14:paraId="36376305" w14:textId="371E1018" w:rsidR="003723E4" w:rsidRPr="006941F0" w:rsidRDefault="00A85698" w:rsidP="007D399B">
      <w:pPr>
        <w:pStyle w:val="ListParagraph"/>
        <w:numPr>
          <w:ilvl w:val="0"/>
          <w:numId w:val="1"/>
        </w:numPr>
        <w:spacing w:line="480" w:lineRule="auto"/>
        <w:jc w:val="both"/>
        <w:rPr>
          <w:rFonts w:ascii="Arial" w:hAnsi="Arial" w:cs="Arial"/>
          <w:b/>
          <w:sz w:val="24"/>
          <w:szCs w:val="24"/>
        </w:rPr>
      </w:pPr>
      <w:r>
        <w:rPr>
          <w:rFonts w:ascii="Arial" w:hAnsi="Arial" w:cs="Arial"/>
          <w:sz w:val="24"/>
          <w:szCs w:val="24"/>
        </w:rPr>
        <w:t xml:space="preserve">Gamble J, in </w:t>
      </w:r>
      <w:r>
        <w:rPr>
          <w:rFonts w:ascii="Arial" w:hAnsi="Arial" w:cs="Arial"/>
          <w:b/>
          <w:i/>
          <w:sz w:val="24"/>
          <w:szCs w:val="24"/>
        </w:rPr>
        <w:t xml:space="preserve">Obiang </w:t>
      </w:r>
      <w:r>
        <w:rPr>
          <w:rFonts w:ascii="Arial" w:hAnsi="Arial" w:cs="Arial"/>
          <w:sz w:val="24"/>
          <w:szCs w:val="24"/>
        </w:rPr>
        <w:t xml:space="preserve">referred to the matter of </w:t>
      </w:r>
      <w:r>
        <w:rPr>
          <w:rFonts w:ascii="Arial" w:hAnsi="Arial" w:cs="Arial"/>
          <w:b/>
          <w:i/>
          <w:sz w:val="24"/>
          <w:szCs w:val="24"/>
        </w:rPr>
        <w:t>Philips v National Director of Public Prosecutions</w:t>
      </w:r>
      <w:r w:rsidR="00314EF6">
        <w:rPr>
          <w:rStyle w:val="FootnoteReference"/>
          <w:rFonts w:ascii="Arial" w:hAnsi="Arial" w:cs="Arial"/>
          <w:b/>
          <w:i/>
          <w:sz w:val="24"/>
          <w:szCs w:val="24"/>
        </w:rPr>
        <w:footnoteReference w:id="44"/>
      </w:r>
      <w:r w:rsidR="00314EF6">
        <w:rPr>
          <w:rFonts w:ascii="Arial" w:hAnsi="Arial" w:cs="Arial"/>
          <w:b/>
          <w:i/>
          <w:sz w:val="24"/>
          <w:szCs w:val="24"/>
        </w:rPr>
        <w:t xml:space="preserve"> </w:t>
      </w:r>
      <w:r>
        <w:rPr>
          <w:rFonts w:ascii="Arial" w:hAnsi="Arial" w:cs="Arial"/>
          <w:b/>
          <w:i/>
          <w:sz w:val="24"/>
          <w:szCs w:val="24"/>
        </w:rPr>
        <w:t xml:space="preserve"> </w:t>
      </w:r>
      <w:r>
        <w:rPr>
          <w:rFonts w:ascii="Arial" w:hAnsi="Arial" w:cs="Arial"/>
          <w:sz w:val="24"/>
          <w:szCs w:val="24"/>
        </w:rPr>
        <w:t xml:space="preserve"> where the Supreme Court of Appeal set out the considerations which come into play in deciding whether to discharge an order obtained </w:t>
      </w:r>
      <w:r>
        <w:rPr>
          <w:rFonts w:ascii="Arial" w:hAnsi="Arial" w:cs="Arial"/>
          <w:i/>
          <w:sz w:val="24"/>
          <w:szCs w:val="24"/>
        </w:rPr>
        <w:t>ex parte</w:t>
      </w:r>
      <w:r>
        <w:rPr>
          <w:rFonts w:ascii="Arial" w:hAnsi="Arial" w:cs="Arial"/>
          <w:sz w:val="24"/>
          <w:szCs w:val="24"/>
        </w:rPr>
        <w:t xml:space="preserve"> in circumstances where there was a failure to observe the </w:t>
      </w:r>
      <w:r>
        <w:rPr>
          <w:rFonts w:ascii="Arial" w:hAnsi="Arial" w:cs="Arial"/>
          <w:i/>
          <w:sz w:val="24"/>
          <w:szCs w:val="24"/>
        </w:rPr>
        <w:t xml:space="preserve">uberrima fides </w:t>
      </w:r>
      <w:r>
        <w:rPr>
          <w:rFonts w:ascii="Arial" w:hAnsi="Arial" w:cs="Arial"/>
          <w:sz w:val="24"/>
          <w:szCs w:val="24"/>
        </w:rPr>
        <w:t>rule namely:</w:t>
      </w:r>
    </w:p>
    <w:p w14:paraId="175C35D3" w14:textId="14E7FBA8" w:rsidR="006941F0" w:rsidRPr="006941F0" w:rsidRDefault="006941F0" w:rsidP="006941F0">
      <w:pPr>
        <w:pStyle w:val="ListParagraph"/>
        <w:numPr>
          <w:ilvl w:val="0"/>
          <w:numId w:val="20"/>
        </w:numPr>
        <w:spacing w:after="0" w:line="360" w:lineRule="auto"/>
        <w:ind w:right="720"/>
        <w:jc w:val="both"/>
        <w:rPr>
          <w:rFonts w:ascii="Arial" w:hAnsi="Arial" w:cs="Arial"/>
          <w:b/>
          <w:i/>
        </w:rPr>
      </w:pPr>
      <w:r>
        <w:rPr>
          <w:rFonts w:ascii="Arial" w:hAnsi="Arial" w:cs="Arial"/>
          <w:i/>
        </w:rPr>
        <w:t>The extent of the non-disclosure;</w:t>
      </w:r>
    </w:p>
    <w:p w14:paraId="22AE0F49" w14:textId="31ED3F7F" w:rsidR="006941F0" w:rsidRPr="006941F0" w:rsidRDefault="006941F0" w:rsidP="006941F0">
      <w:pPr>
        <w:pStyle w:val="ListParagraph"/>
        <w:numPr>
          <w:ilvl w:val="0"/>
          <w:numId w:val="20"/>
        </w:numPr>
        <w:spacing w:after="0" w:line="360" w:lineRule="auto"/>
        <w:ind w:right="720"/>
        <w:jc w:val="both"/>
        <w:rPr>
          <w:rFonts w:ascii="Arial" w:hAnsi="Arial" w:cs="Arial"/>
          <w:b/>
          <w:i/>
        </w:rPr>
      </w:pPr>
      <w:r>
        <w:rPr>
          <w:rFonts w:ascii="Arial" w:hAnsi="Arial" w:cs="Arial"/>
          <w:i/>
        </w:rPr>
        <w:t>Whether the first court might have been influenced in the event that there was proper disclosure;</w:t>
      </w:r>
    </w:p>
    <w:p w14:paraId="75A9BD2E" w14:textId="705325A9" w:rsidR="006941F0" w:rsidRPr="006941F0" w:rsidRDefault="006941F0" w:rsidP="006941F0">
      <w:pPr>
        <w:pStyle w:val="ListParagraph"/>
        <w:numPr>
          <w:ilvl w:val="0"/>
          <w:numId w:val="20"/>
        </w:numPr>
        <w:spacing w:after="0" w:line="360" w:lineRule="auto"/>
        <w:ind w:right="720"/>
        <w:jc w:val="both"/>
        <w:rPr>
          <w:rFonts w:ascii="Arial" w:hAnsi="Arial" w:cs="Arial"/>
          <w:b/>
          <w:i/>
        </w:rPr>
      </w:pPr>
      <w:r>
        <w:rPr>
          <w:rFonts w:ascii="Arial" w:hAnsi="Arial" w:cs="Arial"/>
          <w:i/>
        </w:rPr>
        <w:t>The reason for the non-disclosure; and</w:t>
      </w:r>
    </w:p>
    <w:p w14:paraId="40D8BBC1" w14:textId="773D4519" w:rsidR="006941F0" w:rsidRPr="006941F0" w:rsidRDefault="006941F0" w:rsidP="006941F0">
      <w:pPr>
        <w:pStyle w:val="ListParagraph"/>
        <w:numPr>
          <w:ilvl w:val="0"/>
          <w:numId w:val="20"/>
        </w:numPr>
        <w:spacing w:after="0" w:line="360" w:lineRule="auto"/>
        <w:ind w:right="720"/>
        <w:jc w:val="both"/>
        <w:rPr>
          <w:rFonts w:ascii="Arial" w:hAnsi="Arial" w:cs="Arial"/>
          <w:b/>
          <w:i/>
        </w:rPr>
      </w:pPr>
      <w:r>
        <w:rPr>
          <w:rFonts w:ascii="Arial" w:hAnsi="Arial" w:cs="Arial"/>
          <w:i/>
        </w:rPr>
        <w:t>The consequences of setting aside the order granted ex parte.</w:t>
      </w:r>
    </w:p>
    <w:p w14:paraId="0490CA5E" w14:textId="77777777" w:rsidR="006941F0" w:rsidRPr="006941F0" w:rsidRDefault="006941F0" w:rsidP="006941F0">
      <w:pPr>
        <w:pStyle w:val="ListParagraph"/>
        <w:spacing w:after="0" w:line="360" w:lineRule="auto"/>
        <w:ind w:left="1440" w:right="720"/>
        <w:jc w:val="both"/>
        <w:rPr>
          <w:rFonts w:ascii="Arial" w:hAnsi="Arial" w:cs="Arial"/>
          <w:b/>
          <w:i/>
        </w:rPr>
      </w:pPr>
    </w:p>
    <w:p w14:paraId="65724B84" w14:textId="1C89C714" w:rsidR="007D399B" w:rsidRPr="00B43C11" w:rsidRDefault="007D399B" w:rsidP="00B43C11">
      <w:pPr>
        <w:pStyle w:val="ListParagraph"/>
        <w:numPr>
          <w:ilvl w:val="0"/>
          <w:numId w:val="1"/>
        </w:numPr>
        <w:spacing w:line="480" w:lineRule="auto"/>
        <w:jc w:val="both"/>
        <w:rPr>
          <w:rFonts w:ascii="Arial" w:hAnsi="Arial" w:cs="Arial"/>
          <w:b/>
          <w:sz w:val="24"/>
          <w:szCs w:val="24"/>
        </w:rPr>
      </w:pPr>
      <w:r w:rsidRPr="00B42659">
        <w:rPr>
          <w:rFonts w:ascii="Arial" w:hAnsi="Arial" w:cs="Arial"/>
          <w:sz w:val="24"/>
          <w:szCs w:val="24"/>
        </w:rPr>
        <w:t xml:space="preserve">The Applicants submitted that there was no material non-disclosure in the </w:t>
      </w:r>
      <w:r w:rsidRPr="00B42659">
        <w:rPr>
          <w:rFonts w:ascii="Arial" w:hAnsi="Arial" w:cs="Arial"/>
          <w:i/>
          <w:sz w:val="24"/>
          <w:szCs w:val="24"/>
        </w:rPr>
        <w:t xml:space="preserve">ex parte </w:t>
      </w:r>
      <w:r w:rsidRPr="00B42659">
        <w:rPr>
          <w:rFonts w:ascii="Arial" w:hAnsi="Arial" w:cs="Arial"/>
          <w:sz w:val="24"/>
          <w:szCs w:val="24"/>
        </w:rPr>
        <w:t>application.</w:t>
      </w:r>
      <w:r w:rsidR="008E2B93" w:rsidRPr="00B42659">
        <w:rPr>
          <w:rFonts w:ascii="Arial" w:hAnsi="Arial" w:cs="Arial"/>
          <w:sz w:val="24"/>
          <w:szCs w:val="24"/>
        </w:rPr>
        <w:t xml:space="preserve"> </w:t>
      </w:r>
      <w:r w:rsidR="00B43C11" w:rsidRPr="00D13CC2">
        <w:rPr>
          <w:rFonts w:ascii="Arial" w:hAnsi="Arial" w:cs="Arial"/>
          <w:sz w:val="24"/>
          <w:szCs w:val="24"/>
        </w:rPr>
        <w:t xml:space="preserve">The Applicants contended that the First Respondent failed to indicate in the Answering Affidavit which portions of the transcript are relevant and ought to have been disclosed. </w:t>
      </w:r>
      <w:r w:rsidRPr="00B43C11">
        <w:rPr>
          <w:rFonts w:ascii="Arial" w:hAnsi="Arial" w:cs="Arial"/>
          <w:sz w:val="24"/>
          <w:szCs w:val="24"/>
        </w:rPr>
        <w:t xml:space="preserve"> </w:t>
      </w:r>
      <w:r w:rsidR="00963019" w:rsidRPr="00B43C11">
        <w:rPr>
          <w:rFonts w:ascii="Arial" w:hAnsi="Arial" w:cs="Arial"/>
          <w:sz w:val="24"/>
          <w:szCs w:val="24"/>
        </w:rPr>
        <w:t xml:space="preserve">In addition, the Applicants argued that the First Respondent has not stated that, had a specific portion been disclosed,  the Court considering the </w:t>
      </w:r>
      <w:r w:rsidR="00963019" w:rsidRPr="00B43C11">
        <w:rPr>
          <w:rFonts w:ascii="Arial" w:hAnsi="Arial" w:cs="Arial"/>
          <w:i/>
          <w:sz w:val="24"/>
          <w:szCs w:val="24"/>
        </w:rPr>
        <w:t xml:space="preserve">ex parte </w:t>
      </w:r>
      <w:r w:rsidR="00963019" w:rsidRPr="00B43C11">
        <w:rPr>
          <w:rFonts w:ascii="Arial" w:hAnsi="Arial" w:cs="Arial"/>
          <w:sz w:val="24"/>
          <w:szCs w:val="24"/>
        </w:rPr>
        <w:t>application would not</w:t>
      </w:r>
      <w:r w:rsidR="00057C23">
        <w:rPr>
          <w:rFonts w:ascii="Arial" w:hAnsi="Arial" w:cs="Arial"/>
          <w:sz w:val="24"/>
          <w:szCs w:val="24"/>
        </w:rPr>
        <w:t xml:space="preserve"> have</w:t>
      </w:r>
      <w:r w:rsidR="00963019" w:rsidRPr="00B43C11">
        <w:rPr>
          <w:rFonts w:ascii="Arial" w:hAnsi="Arial" w:cs="Arial"/>
          <w:sz w:val="24"/>
          <w:szCs w:val="24"/>
        </w:rPr>
        <w:t xml:space="preserve"> granted the Order. It is the Applicants</w:t>
      </w:r>
      <w:r w:rsidR="00057C23">
        <w:rPr>
          <w:rFonts w:ascii="Arial" w:hAnsi="Arial" w:cs="Arial"/>
          <w:sz w:val="24"/>
          <w:szCs w:val="24"/>
        </w:rPr>
        <w:t>’</w:t>
      </w:r>
      <w:r w:rsidR="00963019" w:rsidRPr="00B43C11">
        <w:rPr>
          <w:rFonts w:ascii="Arial" w:hAnsi="Arial" w:cs="Arial"/>
          <w:sz w:val="24"/>
          <w:szCs w:val="24"/>
        </w:rPr>
        <w:t xml:space="preserve"> contention that the alleged failure to attach a transcript of the full insolvency interrogation is not material and was not required. Furthermore, the Applicants submitted that same was not attached in an attempt to avoid placing lengthy documents before the court when it was unnecessary.</w:t>
      </w:r>
    </w:p>
    <w:p w14:paraId="32844B99" w14:textId="77777777" w:rsidR="008A1035" w:rsidRPr="00FE6A50" w:rsidRDefault="008A1035" w:rsidP="008A1035">
      <w:pPr>
        <w:pStyle w:val="ListParagraph"/>
        <w:spacing w:line="480" w:lineRule="auto"/>
        <w:ind w:left="0"/>
        <w:jc w:val="both"/>
        <w:rPr>
          <w:rFonts w:ascii="Arial" w:hAnsi="Arial" w:cs="Arial"/>
          <w:b/>
          <w:sz w:val="24"/>
          <w:szCs w:val="24"/>
        </w:rPr>
      </w:pPr>
    </w:p>
    <w:p w14:paraId="609C0FAE" w14:textId="6CA70B00" w:rsidR="003468FF" w:rsidRPr="0069208F" w:rsidRDefault="00B43C11" w:rsidP="00291A6A">
      <w:pPr>
        <w:pStyle w:val="ListParagraph"/>
        <w:numPr>
          <w:ilvl w:val="0"/>
          <w:numId w:val="1"/>
        </w:numPr>
        <w:spacing w:line="480" w:lineRule="auto"/>
        <w:jc w:val="both"/>
        <w:rPr>
          <w:rFonts w:ascii="Arial" w:hAnsi="Arial" w:cs="Arial"/>
          <w:b/>
          <w:sz w:val="24"/>
          <w:szCs w:val="24"/>
        </w:rPr>
      </w:pPr>
      <w:r>
        <w:rPr>
          <w:rFonts w:ascii="Arial" w:hAnsi="Arial" w:cs="Arial"/>
          <w:sz w:val="24"/>
          <w:szCs w:val="24"/>
        </w:rPr>
        <w:lastRenderedPageBreak/>
        <w:t>The Applicants argued</w:t>
      </w:r>
      <w:r w:rsidR="008A1035" w:rsidRPr="0069208F">
        <w:rPr>
          <w:rFonts w:ascii="Arial" w:hAnsi="Arial" w:cs="Arial"/>
          <w:sz w:val="24"/>
          <w:szCs w:val="24"/>
        </w:rPr>
        <w:t xml:space="preserve"> that there is no reason why the Court should consider discharging the Order based on vague and unsubstantiated allegations of non-disclosure. It was contended that</w:t>
      </w:r>
      <w:r w:rsidR="00057C23">
        <w:rPr>
          <w:rFonts w:ascii="Arial" w:hAnsi="Arial" w:cs="Arial"/>
          <w:sz w:val="24"/>
          <w:szCs w:val="24"/>
        </w:rPr>
        <w:t>,</w:t>
      </w:r>
      <w:r w:rsidR="008A1035" w:rsidRPr="0069208F">
        <w:rPr>
          <w:rFonts w:ascii="Arial" w:hAnsi="Arial" w:cs="Arial"/>
          <w:sz w:val="24"/>
          <w:szCs w:val="24"/>
        </w:rPr>
        <w:t xml:space="preserve"> at most, there may be p</w:t>
      </w:r>
      <w:r w:rsidR="009F32F4" w:rsidRPr="0069208F">
        <w:rPr>
          <w:rFonts w:ascii="Arial" w:hAnsi="Arial" w:cs="Arial"/>
          <w:sz w:val="24"/>
          <w:szCs w:val="24"/>
        </w:rPr>
        <w:t>ortions of her evidence in the Insolvency E</w:t>
      </w:r>
      <w:r w:rsidR="008A1035" w:rsidRPr="0069208F">
        <w:rPr>
          <w:rFonts w:ascii="Arial" w:hAnsi="Arial" w:cs="Arial"/>
          <w:sz w:val="24"/>
          <w:szCs w:val="24"/>
        </w:rPr>
        <w:t>nquiry which indicate that she took a view that the renovations to her property w</w:t>
      </w:r>
      <w:r w:rsidR="00057C23">
        <w:rPr>
          <w:rFonts w:ascii="Arial" w:hAnsi="Arial" w:cs="Arial"/>
          <w:sz w:val="24"/>
          <w:szCs w:val="24"/>
        </w:rPr>
        <w:t>ere</w:t>
      </w:r>
      <w:r w:rsidR="008A1035" w:rsidRPr="0069208F">
        <w:rPr>
          <w:rFonts w:ascii="Arial" w:hAnsi="Arial" w:cs="Arial"/>
          <w:sz w:val="24"/>
          <w:szCs w:val="24"/>
        </w:rPr>
        <w:t xml:space="preserve"> carried out with only those funds which she gave Mr Ferreira. The Applicants argue</w:t>
      </w:r>
      <w:r w:rsidR="0069208F" w:rsidRPr="0069208F">
        <w:rPr>
          <w:rFonts w:ascii="Arial" w:hAnsi="Arial" w:cs="Arial"/>
          <w:sz w:val="24"/>
          <w:szCs w:val="24"/>
        </w:rPr>
        <w:t xml:space="preserve"> that the allegation </w:t>
      </w:r>
      <w:r w:rsidR="00816C15">
        <w:rPr>
          <w:rFonts w:ascii="Arial" w:hAnsi="Arial" w:cs="Arial"/>
          <w:sz w:val="24"/>
          <w:szCs w:val="24"/>
        </w:rPr>
        <w:t xml:space="preserve">by the First Respondent in this regard </w:t>
      </w:r>
      <w:r w:rsidR="0069208F" w:rsidRPr="0069208F">
        <w:rPr>
          <w:rFonts w:ascii="Arial" w:hAnsi="Arial" w:cs="Arial"/>
          <w:sz w:val="24"/>
          <w:szCs w:val="24"/>
        </w:rPr>
        <w:t>is improbable.</w:t>
      </w:r>
      <w:r w:rsidR="008A1035" w:rsidRPr="0069208F">
        <w:rPr>
          <w:rFonts w:ascii="Arial" w:hAnsi="Arial" w:cs="Arial"/>
          <w:sz w:val="24"/>
          <w:szCs w:val="24"/>
        </w:rPr>
        <w:t xml:space="preserve"> </w:t>
      </w:r>
    </w:p>
    <w:p w14:paraId="54DCC910" w14:textId="4956CDD4" w:rsidR="00D13CC2" w:rsidRPr="00D13CC2" w:rsidRDefault="00D13CC2" w:rsidP="00D13CC2">
      <w:pPr>
        <w:pStyle w:val="ListParagraph"/>
        <w:rPr>
          <w:rFonts w:ascii="Arial" w:hAnsi="Arial" w:cs="Arial"/>
          <w:sz w:val="24"/>
          <w:szCs w:val="24"/>
        </w:rPr>
      </w:pPr>
    </w:p>
    <w:p w14:paraId="519AC1CA" w14:textId="5F5DFCCE" w:rsidR="00D13CC2" w:rsidRPr="00FC3BDC" w:rsidRDefault="00D13CC2" w:rsidP="00FC3BDC">
      <w:pPr>
        <w:pStyle w:val="ListParagraph"/>
        <w:numPr>
          <w:ilvl w:val="0"/>
          <w:numId w:val="1"/>
        </w:numPr>
        <w:spacing w:after="0" w:line="480" w:lineRule="auto"/>
        <w:jc w:val="both"/>
        <w:rPr>
          <w:rFonts w:ascii="Arial" w:hAnsi="Arial" w:cs="Arial"/>
          <w:b/>
          <w:sz w:val="24"/>
          <w:szCs w:val="24"/>
        </w:rPr>
      </w:pPr>
      <w:r>
        <w:rPr>
          <w:rFonts w:ascii="Arial" w:hAnsi="Arial" w:cs="Arial"/>
          <w:sz w:val="24"/>
          <w:szCs w:val="24"/>
        </w:rPr>
        <w:t>It will therefore be necessary to consider the arguments as it pertains to the Insolvency Enquiry, more particularly in relation to the materiality of the non-disclosure as the Applicants contended that had the full transcript been placed before the Court at the hearing of the ex parte application, it would not have swayed the Court.</w:t>
      </w:r>
    </w:p>
    <w:p w14:paraId="7D6B28E6" w14:textId="77777777" w:rsidR="00FC3BDC" w:rsidRDefault="00FC3BDC" w:rsidP="00FC3BDC">
      <w:pPr>
        <w:pStyle w:val="ListParagraph"/>
        <w:spacing w:after="0" w:line="480" w:lineRule="auto"/>
        <w:ind w:left="0"/>
        <w:jc w:val="both"/>
        <w:rPr>
          <w:rFonts w:ascii="Arial" w:hAnsi="Arial" w:cs="Arial"/>
          <w:b/>
          <w:sz w:val="24"/>
          <w:szCs w:val="24"/>
        </w:rPr>
      </w:pPr>
    </w:p>
    <w:p w14:paraId="24FD5DE8" w14:textId="79383C38" w:rsidR="009A668E" w:rsidRPr="009A668E" w:rsidRDefault="003C44B4" w:rsidP="00FC3BDC">
      <w:pPr>
        <w:pStyle w:val="ListParagraph"/>
        <w:spacing w:after="0" w:line="480" w:lineRule="auto"/>
        <w:ind w:left="0"/>
        <w:jc w:val="both"/>
        <w:rPr>
          <w:rFonts w:ascii="Arial" w:hAnsi="Arial" w:cs="Arial"/>
          <w:b/>
          <w:sz w:val="24"/>
          <w:szCs w:val="24"/>
        </w:rPr>
      </w:pPr>
      <w:r>
        <w:rPr>
          <w:rFonts w:ascii="Arial" w:hAnsi="Arial" w:cs="Arial"/>
          <w:b/>
          <w:sz w:val="24"/>
          <w:szCs w:val="24"/>
        </w:rPr>
        <w:t>The I</w:t>
      </w:r>
      <w:r w:rsidR="009A668E">
        <w:rPr>
          <w:rFonts w:ascii="Arial" w:hAnsi="Arial" w:cs="Arial"/>
          <w:b/>
          <w:sz w:val="24"/>
          <w:szCs w:val="24"/>
        </w:rPr>
        <w:t>nsolvency Enquiry</w:t>
      </w:r>
      <w:r w:rsidR="009E1D81">
        <w:rPr>
          <w:rFonts w:ascii="Arial" w:hAnsi="Arial" w:cs="Arial"/>
          <w:b/>
          <w:sz w:val="24"/>
          <w:szCs w:val="24"/>
        </w:rPr>
        <w:t xml:space="preserve"> </w:t>
      </w:r>
    </w:p>
    <w:p w14:paraId="7B8CDE0F" w14:textId="0B634522" w:rsidR="00D65710" w:rsidRPr="00F94A34" w:rsidRDefault="00E9781A" w:rsidP="00F94A34">
      <w:pPr>
        <w:pStyle w:val="ListParagraph"/>
        <w:numPr>
          <w:ilvl w:val="0"/>
          <w:numId w:val="1"/>
        </w:numPr>
        <w:spacing w:line="480" w:lineRule="auto"/>
        <w:jc w:val="both"/>
        <w:rPr>
          <w:rFonts w:ascii="Arial" w:hAnsi="Arial" w:cs="Arial"/>
          <w:b/>
          <w:sz w:val="24"/>
          <w:szCs w:val="24"/>
        </w:rPr>
      </w:pPr>
      <w:r>
        <w:rPr>
          <w:rFonts w:ascii="Arial" w:hAnsi="Arial" w:cs="Arial"/>
          <w:sz w:val="24"/>
          <w:szCs w:val="24"/>
        </w:rPr>
        <w:t>As previously stated, t</w:t>
      </w:r>
      <w:r w:rsidR="00D65710" w:rsidRPr="00F94A34">
        <w:rPr>
          <w:rFonts w:ascii="Arial" w:hAnsi="Arial" w:cs="Arial"/>
          <w:sz w:val="24"/>
          <w:szCs w:val="24"/>
        </w:rPr>
        <w:t>he First Respondent submitted that the portion of the transcript put up by the Applicant does not include the significant and relevant portions of the full transcript of the Insolv</w:t>
      </w:r>
      <w:r w:rsidR="00F94A34">
        <w:rPr>
          <w:rFonts w:ascii="Arial" w:hAnsi="Arial" w:cs="Arial"/>
          <w:sz w:val="24"/>
          <w:szCs w:val="24"/>
        </w:rPr>
        <w:t xml:space="preserve">ency Enquiry. </w:t>
      </w:r>
      <w:r w:rsidR="00F94A34" w:rsidRPr="00481D8B">
        <w:rPr>
          <w:rFonts w:ascii="Arial" w:hAnsi="Arial" w:cs="Arial"/>
          <w:sz w:val="24"/>
          <w:szCs w:val="24"/>
        </w:rPr>
        <w:t xml:space="preserve">The First Respondent deals with </w:t>
      </w:r>
      <w:r w:rsidR="00F94A34">
        <w:rPr>
          <w:rFonts w:ascii="Arial" w:hAnsi="Arial" w:cs="Arial"/>
          <w:sz w:val="24"/>
          <w:szCs w:val="24"/>
        </w:rPr>
        <w:t>the various aspects</w:t>
      </w:r>
      <w:r w:rsidR="00F94A34" w:rsidRPr="00481D8B">
        <w:rPr>
          <w:rFonts w:ascii="Arial" w:hAnsi="Arial" w:cs="Arial"/>
          <w:sz w:val="24"/>
          <w:szCs w:val="24"/>
        </w:rPr>
        <w:t xml:space="preserve"> of non-disclosure testimony by the First Respondent in </w:t>
      </w:r>
      <w:r w:rsidR="00F94A34">
        <w:rPr>
          <w:rFonts w:ascii="Arial" w:hAnsi="Arial" w:cs="Arial"/>
          <w:sz w:val="24"/>
          <w:szCs w:val="24"/>
        </w:rPr>
        <w:t xml:space="preserve">the </w:t>
      </w:r>
      <w:r w:rsidR="00F94A34" w:rsidRPr="00481D8B">
        <w:rPr>
          <w:rFonts w:ascii="Arial" w:hAnsi="Arial" w:cs="Arial"/>
          <w:sz w:val="24"/>
          <w:szCs w:val="24"/>
        </w:rPr>
        <w:t xml:space="preserve">Heads of Argument, </w:t>
      </w:r>
      <w:r w:rsidR="00D65710" w:rsidRPr="00F94A34">
        <w:rPr>
          <w:rFonts w:ascii="Arial" w:hAnsi="Arial" w:cs="Arial"/>
          <w:sz w:val="24"/>
          <w:szCs w:val="24"/>
        </w:rPr>
        <w:t>wherein the following was illuminated</w:t>
      </w:r>
      <w:r w:rsidR="00F94A34">
        <w:rPr>
          <w:rStyle w:val="FootnoteReference"/>
          <w:rFonts w:ascii="Arial" w:hAnsi="Arial" w:cs="Arial"/>
          <w:sz w:val="24"/>
          <w:szCs w:val="24"/>
        </w:rPr>
        <w:footnoteReference w:id="45"/>
      </w:r>
      <w:r w:rsidR="00D65710" w:rsidRPr="00F94A34">
        <w:rPr>
          <w:rFonts w:ascii="Arial" w:hAnsi="Arial" w:cs="Arial"/>
          <w:sz w:val="24"/>
          <w:szCs w:val="24"/>
        </w:rPr>
        <w:t>:</w:t>
      </w:r>
    </w:p>
    <w:p w14:paraId="662FDD08" w14:textId="33B843C7" w:rsidR="00D65710" w:rsidRPr="00D65710" w:rsidRDefault="00D65710" w:rsidP="00D65710">
      <w:pPr>
        <w:pStyle w:val="ListParagraph"/>
        <w:numPr>
          <w:ilvl w:val="0"/>
          <w:numId w:val="32"/>
        </w:numPr>
        <w:spacing w:line="480" w:lineRule="auto"/>
        <w:jc w:val="both"/>
        <w:rPr>
          <w:rFonts w:ascii="Arial" w:hAnsi="Arial" w:cs="Arial"/>
          <w:b/>
          <w:sz w:val="24"/>
          <w:szCs w:val="24"/>
        </w:rPr>
      </w:pPr>
      <w:r w:rsidRPr="00D65710">
        <w:rPr>
          <w:rFonts w:ascii="Arial" w:hAnsi="Arial" w:cs="Arial"/>
          <w:sz w:val="24"/>
          <w:szCs w:val="24"/>
        </w:rPr>
        <w:t xml:space="preserve">That </w:t>
      </w:r>
      <w:r w:rsidR="00E9781A">
        <w:rPr>
          <w:rFonts w:ascii="Arial" w:hAnsi="Arial" w:cs="Arial"/>
          <w:sz w:val="24"/>
          <w:szCs w:val="24"/>
        </w:rPr>
        <w:t>c</w:t>
      </w:r>
      <w:r w:rsidRPr="00D65710">
        <w:rPr>
          <w:rFonts w:ascii="Arial" w:hAnsi="Arial" w:cs="Arial"/>
          <w:sz w:val="24"/>
          <w:szCs w:val="24"/>
        </w:rPr>
        <w:t>ertain alterations were effected by Mr Ferreira to the First Respondent’s property duri</w:t>
      </w:r>
      <w:r>
        <w:rPr>
          <w:rFonts w:ascii="Arial" w:hAnsi="Arial" w:cs="Arial"/>
          <w:sz w:val="24"/>
          <w:szCs w:val="24"/>
        </w:rPr>
        <w:t>ng 2017. T</w:t>
      </w:r>
      <w:r w:rsidRPr="00D65710">
        <w:rPr>
          <w:rFonts w:ascii="Arial" w:hAnsi="Arial" w:cs="Arial"/>
          <w:sz w:val="24"/>
          <w:szCs w:val="24"/>
        </w:rPr>
        <w:t>he First Respondent paid Mr Ferreira the sum of R250</w:t>
      </w:r>
      <w:r>
        <w:rPr>
          <w:rFonts w:ascii="Arial" w:hAnsi="Arial" w:cs="Arial"/>
          <w:sz w:val="24"/>
          <w:szCs w:val="24"/>
        </w:rPr>
        <w:t> </w:t>
      </w:r>
      <w:r w:rsidRPr="00D65710">
        <w:rPr>
          <w:rFonts w:ascii="Arial" w:hAnsi="Arial" w:cs="Arial"/>
          <w:sz w:val="24"/>
          <w:szCs w:val="24"/>
        </w:rPr>
        <w:t>000</w:t>
      </w:r>
      <w:r>
        <w:rPr>
          <w:rFonts w:ascii="Arial" w:hAnsi="Arial" w:cs="Arial"/>
          <w:sz w:val="24"/>
          <w:szCs w:val="24"/>
        </w:rPr>
        <w:t xml:space="preserve"> for such alterations</w:t>
      </w:r>
      <w:r w:rsidRPr="00D65710">
        <w:rPr>
          <w:rFonts w:ascii="Arial" w:hAnsi="Arial" w:cs="Arial"/>
          <w:sz w:val="24"/>
          <w:szCs w:val="24"/>
        </w:rPr>
        <w:t xml:space="preserve">. As to the question of whether Mr Ferreira put his own money into the alterations, the First Respondent testified that he did not, </w:t>
      </w:r>
      <w:r w:rsidRPr="00D65710">
        <w:rPr>
          <w:rFonts w:ascii="Arial" w:hAnsi="Arial" w:cs="Arial"/>
          <w:sz w:val="24"/>
          <w:szCs w:val="24"/>
        </w:rPr>
        <w:lastRenderedPageBreak/>
        <w:t>as he did not have money. It is for this reason that the First Respondent financed the alterations by paying Mr Ferreira.</w:t>
      </w:r>
      <w:r>
        <w:rPr>
          <w:rStyle w:val="FootnoteReference"/>
          <w:rFonts w:ascii="Arial" w:hAnsi="Arial" w:cs="Arial"/>
          <w:sz w:val="24"/>
          <w:szCs w:val="24"/>
        </w:rPr>
        <w:footnoteReference w:id="46"/>
      </w:r>
    </w:p>
    <w:p w14:paraId="553F7836" w14:textId="3F0CF412" w:rsidR="00D65710" w:rsidRPr="00D65710" w:rsidRDefault="00D65710" w:rsidP="00D65710">
      <w:pPr>
        <w:pStyle w:val="ListParagraph"/>
        <w:numPr>
          <w:ilvl w:val="0"/>
          <w:numId w:val="32"/>
        </w:numPr>
        <w:spacing w:line="480" w:lineRule="auto"/>
        <w:jc w:val="both"/>
        <w:rPr>
          <w:rFonts w:ascii="Arial" w:hAnsi="Arial" w:cs="Arial"/>
          <w:b/>
          <w:sz w:val="24"/>
          <w:szCs w:val="24"/>
        </w:rPr>
      </w:pPr>
      <w:r w:rsidRPr="00D65710">
        <w:rPr>
          <w:rFonts w:ascii="Arial" w:hAnsi="Arial" w:cs="Arial"/>
          <w:sz w:val="24"/>
          <w:szCs w:val="24"/>
        </w:rPr>
        <w:t>During further questioning of Mrs La</w:t>
      </w:r>
      <w:r>
        <w:rPr>
          <w:rFonts w:ascii="Arial" w:hAnsi="Arial" w:cs="Arial"/>
          <w:sz w:val="24"/>
          <w:szCs w:val="24"/>
        </w:rPr>
        <w:t xml:space="preserve">ubscher, she testified that Mr </w:t>
      </w:r>
      <w:r w:rsidRPr="00D65710">
        <w:rPr>
          <w:rFonts w:ascii="Arial" w:hAnsi="Arial" w:cs="Arial"/>
          <w:sz w:val="24"/>
          <w:szCs w:val="24"/>
        </w:rPr>
        <w:t>Ferreira’s source of income was not only</w:t>
      </w:r>
      <w:r>
        <w:rPr>
          <w:rFonts w:ascii="Arial" w:hAnsi="Arial" w:cs="Arial"/>
          <w:sz w:val="24"/>
          <w:szCs w:val="24"/>
        </w:rPr>
        <w:t xml:space="preserve"> what he received from working </w:t>
      </w:r>
      <w:r w:rsidRPr="00D65710">
        <w:rPr>
          <w:rFonts w:ascii="Arial" w:hAnsi="Arial" w:cs="Arial"/>
          <w:sz w:val="24"/>
          <w:szCs w:val="24"/>
        </w:rPr>
        <w:t>“at the restaurant”</w:t>
      </w:r>
      <w:r w:rsidR="00057C23">
        <w:rPr>
          <w:rFonts w:ascii="Arial" w:hAnsi="Arial" w:cs="Arial"/>
          <w:sz w:val="24"/>
          <w:szCs w:val="24"/>
        </w:rPr>
        <w:t>,</w:t>
      </w:r>
      <w:r w:rsidRPr="00D65710">
        <w:rPr>
          <w:rFonts w:ascii="Arial" w:hAnsi="Arial" w:cs="Arial"/>
          <w:sz w:val="24"/>
          <w:szCs w:val="24"/>
        </w:rPr>
        <w:t xml:space="preserve"> he had other source</w:t>
      </w:r>
      <w:r>
        <w:rPr>
          <w:rFonts w:ascii="Arial" w:hAnsi="Arial" w:cs="Arial"/>
          <w:sz w:val="24"/>
          <w:szCs w:val="24"/>
        </w:rPr>
        <w:t xml:space="preserve">s of income, described by her. </w:t>
      </w:r>
      <w:r w:rsidR="00E9781A">
        <w:rPr>
          <w:rFonts w:ascii="Arial" w:hAnsi="Arial" w:cs="Arial"/>
          <w:sz w:val="24"/>
          <w:szCs w:val="24"/>
        </w:rPr>
        <w:t>It was then put to the First Respondent</w:t>
      </w:r>
      <w:r w:rsidRPr="00D65710">
        <w:rPr>
          <w:rFonts w:ascii="Arial" w:hAnsi="Arial" w:cs="Arial"/>
          <w:sz w:val="24"/>
          <w:szCs w:val="24"/>
        </w:rPr>
        <w:t xml:space="preserve"> that th</w:t>
      </w:r>
      <w:r>
        <w:rPr>
          <w:rFonts w:ascii="Arial" w:hAnsi="Arial" w:cs="Arial"/>
          <w:sz w:val="24"/>
          <w:szCs w:val="24"/>
        </w:rPr>
        <w:t xml:space="preserve">e “argument” would be that the </w:t>
      </w:r>
      <w:r w:rsidRPr="00D65710">
        <w:rPr>
          <w:rFonts w:ascii="Arial" w:hAnsi="Arial" w:cs="Arial"/>
          <w:sz w:val="24"/>
          <w:szCs w:val="24"/>
        </w:rPr>
        <w:t xml:space="preserve">property was improved partially from funds </w:t>
      </w:r>
      <w:r w:rsidR="00E9781A">
        <w:rPr>
          <w:rFonts w:ascii="Arial" w:hAnsi="Arial" w:cs="Arial"/>
          <w:sz w:val="24"/>
          <w:szCs w:val="24"/>
        </w:rPr>
        <w:t>provided by the First Respondent</w:t>
      </w:r>
      <w:r>
        <w:rPr>
          <w:rFonts w:ascii="Arial" w:hAnsi="Arial" w:cs="Arial"/>
          <w:sz w:val="24"/>
          <w:szCs w:val="24"/>
        </w:rPr>
        <w:t xml:space="preserve">, </w:t>
      </w:r>
      <w:r w:rsidRPr="00D65710">
        <w:rPr>
          <w:rFonts w:ascii="Arial" w:hAnsi="Arial" w:cs="Arial"/>
          <w:sz w:val="24"/>
          <w:szCs w:val="24"/>
        </w:rPr>
        <w:t>and partially through other money that M</w:t>
      </w:r>
      <w:r>
        <w:rPr>
          <w:rFonts w:ascii="Arial" w:hAnsi="Arial" w:cs="Arial"/>
          <w:sz w:val="24"/>
          <w:szCs w:val="24"/>
        </w:rPr>
        <w:t xml:space="preserve">r Ferreira was paid by Darling </w:t>
      </w:r>
      <w:r w:rsidRPr="00D65710">
        <w:rPr>
          <w:rFonts w:ascii="Arial" w:hAnsi="Arial" w:cs="Arial"/>
          <w:sz w:val="24"/>
          <w:szCs w:val="24"/>
        </w:rPr>
        <w:t xml:space="preserve">Brewery, but she did not agree with this </w:t>
      </w:r>
      <w:r>
        <w:rPr>
          <w:rFonts w:ascii="Arial" w:hAnsi="Arial" w:cs="Arial"/>
          <w:sz w:val="24"/>
          <w:szCs w:val="24"/>
        </w:rPr>
        <w:t>proposition.</w:t>
      </w:r>
      <w:r w:rsidRPr="00D65710">
        <w:rPr>
          <w:rStyle w:val="FootnoteReference"/>
          <w:rFonts w:ascii="Arial" w:hAnsi="Arial" w:cs="Arial"/>
          <w:sz w:val="24"/>
          <w:szCs w:val="24"/>
        </w:rPr>
        <w:footnoteReference w:id="47"/>
      </w:r>
    </w:p>
    <w:p w14:paraId="5E128E29" w14:textId="028397D8" w:rsidR="00B42659" w:rsidRPr="00E12F9E" w:rsidRDefault="00F54084" w:rsidP="00D65710">
      <w:pPr>
        <w:pStyle w:val="ListParagraph"/>
        <w:numPr>
          <w:ilvl w:val="0"/>
          <w:numId w:val="32"/>
        </w:numPr>
        <w:spacing w:line="480" w:lineRule="auto"/>
        <w:jc w:val="both"/>
        <w:rPr>
          <w:rFonts w:ascii="Arial" w:hAnsi="Arial" w:cs="Arial"/>
          <w:b/>
          <w:sz w:val="24"/>
          <w:szCs w:val="24"/>
        </w:rPr>
      </w:pPr>
      <w:r>
        <w:rPr>
          <w:rFonts w:ascii="Arial" w:hAnsi="Arial" w:cs="Arial"/>
          <w:sz w:val="24"/>
          <w:szCs w:val="24"/>
        </w:rPr>
        <w:t xml:space="preserve"> T</w:t>
      </w:r>
      <w:r w:rsidR="00B42659" w:rsidRPr="00D65710">
        <w:rPr>
          <w:rFonts w:ascii="Arial" w:hAnsi="Arial" w:cs="Arial"/>
          <w:sz w:val="24"/>
          <w:szCs w:val="24"/>
        </w:rPr>
        <w:t xml:space="preserve">hat the First Respondent had nothing to do with Mr Ferreira’s business and knew nothing about it. </w:t>
      </w:r>
    </w:p>
    <w:p w14:paraId="53657907" w14:textId="1974BCD6" w:rsidR="00E12F9E" w:rsidRPr="00E12F9E" w:rsidRDefault="007845EC" w:rsidP="00E12F9E">
      <w:pPr>
        <w:pStyle w:val="ListParagraph"/>
        <w:numPr>
          <w:ilvl w:val="0"/>
          <w:numId w:val="32"/>
        </w:numPr>
        <w:spacing w:line="480" w:lineRule="auto"/>
        <w:jc w:val="both"/>
        <w:rPr>
          <w:rFonts w:ascii="Arial" w:hAnsi="Arial" w:cs="Arial"/>
          <w:b/>
          <w:sz w:val="24"/>
          <w:szCs w:val="24"/>
        </w:rPr>
      </w:pPr>
      <w:r>
        <w:rPr>
          <w:rFonts w:ascii="Arial" w:hAnsi="Arial" w:cs="Arial"/>
          <w:sz w:val="24"/>
          <w:szCs w:val="24"/>
        </w:rPr>
        <w:t>T</w:t>
      </w:r>
      <w:r w:rsidR="00E12F9E" w:rsidRPr="00E12F9E">
        <w:rPr>
          <w:rFonts w:ascii="Arial" w:hAnsi="Arial" w:cs="Arial"/>
          <w:sz w:val="24"/>
          <w:szCs w:val="24"/>
        </w:rPr>
        <w:t>he First Respondent testified that she made the loan to Mr Ferreira’s wife as opposed to her son because he was under sequestration at the time and her understanding was that she could not lend money to him. The First Respondent, according to her testimony, had accepted that the loan wa</w:t>
      </w:r>
      <w:r w:rsidR="00E12F9E">
        <w:rPr>
          <w:rFonts w:ascii="Arial" w:hAnsi="Arial" w:cs="Arial"/>
          <w:sz w:val="24"/>
          <w:szCs w:val="24"/>
        </w:rPr>
        <w:t>s for the benefit of the family</w:t>
      </w:r>
      <w:r>
        <w:rPr>
          <w:rFonts w:ascii="Arial" w:hAnsi="Arial" w:cs="Arial"/>
          <w:sz w:val="24"/>
          <w:szCs w:val="24"/>
        </w:rPr>
        <w:t>.</w:t>
      </w:r>
    </w:p>
    <w:p w14:paraId="047ED300" w14:textId="3DBF4709" w:rsidR="00C9142F" w:rsidRPr="00C9142F" w:rsidRDefault="007845EC" w:rsidP="00E12F9E">
      <w:pPr>
        <w:pStyle w:val="ListParagraph"/>
        <w:numPr>
          <w:ilvl w:val="0"/>
          <w:numId w:val="32"/>
        </w:numPr>
        <w:spacing w:line="480" w:lineRule="auto"/>
        <w:jc w:val="both"/>
        <w:rPr>
          <w:rFonts w:ascii="Arial" w:hAnsi="Arial" w:cs="Arial"/>
          <w:b/>
          <w:sz w:val="24"/>
          <w:szCs w:val="24"/>
        </w:rPr>
      </w:pPr>
      <w:r>
        <w:rPr>
          <w:rFonts w:ascii="Arial" w:hAnsi="Arial" w:cs="Arial"/>
          <w:sz w:val="24"/>
          <w:szCs w:val="24"/>
        </w:rPr>
        <w:t>T</w:t>
      </w:r>
      <w:r w:rsidR="00E12F9E" w:rsidRPr="00E12F9E">
        <w:rPr>
          <w:rFonts w:ascii="Arial" w:hAnsi="Arial" w:cs="Arial"/>
          <w:sz w:val="24"/>
          <w:szCs w:val="24"/>
        </w:rPr>
        <w:t xml:space="preserve">hat it was not suggested </w:t>
      </w:r>
      <w:r w:rsidR="00C9142F">
        <w:rPr>
          <w:rFonts w:ascii="Arial" w:hAnsi="Arial" w:cs="Arial"/>
          <w:sz w:val="24"/>
          <w:szCs w:val="24"/>
        </w:rPr>
        <w:t>to the First Respondent at the Insolvency E</w:t>
      </w:r>
      <w:r w:rsidR="00E12F9E" w:rsidRPr="00E12F9E">
        <w:rPr>
          <w:rFonts w:ascii="Arial" w:hAnsi="Arial" w:cs="Arial"/>
          <w:sz w:val="24"/>
          <w:szCs w:val="24"/>
        </w:rPr>
        <w:t xml:space="preserve">nquiry that the loan was anything other than a loan to her daughter-in-law. </w:t>
      </w:r>
    </w:p>
    <w:p w14:paraId="7E341AA0" w14:textId="3B5D4723" w:rsidR="00E12F9E" w:rsidRPr="00E12F9E" w:rsidRDefault="00E12F9E" w:rsidP="00E12F9E">
      <w:pPr>
        <w:pStyle w:val="ListParagraph"/>
        <w:numPr>
          <w:ilvl w:val="0"/>
          <w:numId w:val="32"/>
        </w:numPr>
        <w:spacing w:line="480" w:lineRule="auto"/>
        <w:jc w:val="both"/>
        <w:rPr>
          <w:rFonts w:ascii="Arial" w:hAnsi="Arial" w:cs="Arial"/>
          <w:b/>
          <w:sz w:val="24"/>
          <w:szCs w:val="24"/>
        </w:rPr>
      </w:pPr>
      <w:r w:rsidRPr="00E12F9E">
        <w:rPr>
          <w:rFonts w:ascii="Arial" w:hAnsi="Arial" w:cs="Arial"/>
          <w:sz w:val="24"/>
          <w:szCs w:val="24"/>
        </w:rPr>
        <w:t xml:space="preserve">It was not put to her in clear terms that the loan was in fact a loan to Mr Ferreira or that it was a “sham” of any kind. </w:t>
      </w:r>
    </w:p>
    <w:p w14:paraId="31FEF485" w14:textId="5B8AC6D6" w:rsidR="00791466" w:rsidRPr="00791466" w:rsidRDefault="00791466" w:rsidP="00791466">
      <w:pPr>
        <w:pStyle w:val="ListParagraph"/>
        <w:rPr>
          <w:rFonts w:ascii="Arial" w:hAnsi="Arial" w:cs="Arial"/>
          <w:b/>
          <w:sz w:val="24"/>
          <w:szCs w:val="24"/>
        </w:rPr>
      </w:pPr>
    </w:p>
    <w:p w14:paraId="1CD69B01" w14:textId="05A3D33E" w:rsidR="0009668D" w:rsidRPr="00E9781A" w:rsidRDefault="00791466" w:rsidP="0009668D">
      <w:pPr>
        <w:pStyle w:val="ListParagraph"/>
        <w:numPr>
          <w:ilvl w:val="0"/>
          <w:numId w:val="1"/>
        </w:numPr>
        <w:spacing w:line="480" w:lineRule="auto"/>
        <w:jc w:val="both"/>
        <w:rPr>
          <w:rFonts w:ascii="Arial" w:hAnsi="Arial" w:cs="Arial"/>
          <w:b/>
          <w:sz w:val="24"/>
          <w:szCs w:val="24"/>
        </w:rPr>
      </w:pPr>
      <w:r>
        <w:rPr>
          <w:rFonts w:ascii="Arial" w:hAnsi="Arial" w:cs="Arial"/>
          <w:sz w:val="24"/>
          <w:szCs w:val="24"/>
        </w:rPr>
        <w:t>In light hereof it was argued that there is no factual foundation for the allegations made in the Applicants</w:t>
      </w:r>
      <w:r w:rsidR="00057C23">
        <w:rPr>
          <w:rFonts w:ascii="Arial" w:hAnsi="Arial" w:cs="Arial"/>
          <w:sz w:val="24"/>
          <w:szCs w:val="24"/>
        </w:rPr>
        <w:t>’</w:t>
      </w:r>
      <w:r>
        <w:rPr>
          <w:rFonts w:ascii="Arial" w:hAnsi="Arial" w:cs="Arial"/>
          <w:sz w:val="24"/>
          <w:szCs w:val="24"/>
        </w:rPr>
        <w:t xml:space="preserve"> Founding Affidavit that:</w:t>
      </w:r>
    </w:p>
    <w:p w14:paraId="724E78EE" w14:textId="6EFC3B04" w:rsidR="0009668D" w:rsidRPr="00E9781A" w:rsidRDefault="0009668D" w:rsidP="0009668D">
      <w:pPr>
        <w:pStyle w:val="ListParagraph"/>
        <w:spacing w:line="360" w:lineRule="auto"/>
        <w:ind w:right="720"/>
        <w:jc w:val="both"/>
        <w:rPr>
          <w:rFonts w:ascii="Arial" w:hAnsi="Arial" w:cs="Arial"/>
        </w:rPr>
      </w:pPr>
      <w:r w:rsidRPr="00E9781A">
        <w:rPr>
          <w:rFonts w:ascii="Arial" w:hAnsi="Arial" w:cs="Arial"/>
          <w:i/>
        </w:rPr>
        <w:lastRenderedPageBreak/>
        <w:t>‘The loan mentioned in para 22 above was a sham transaction, to effectively channel money to Mr. Ferreira and was never intended to be repaid. Those transactions were designed to move funds from Mr. Ferreira and the First Applicant to other family members, such a</w:t>
      </w:r>
      <w:r w:rsidR="00057C23">
        <w:rPr>
          <w:rFonts w:ascii="Arial" w:hAnsi="Arial" w:cs="Arial"/>
          <w:i/>
        </w:rPr>
        <w:t>s</w:t>
      </w:r>
      <w:r w:rsidRPr="00E9781A">
        <w:rPr>
          <w:rFonts w:ascii="Arial" w:hAnsi="Arial" w:cs="Arial"/>
          <w:i/>
        </w:rPr>
        <w:t xml:space="preserve"> (sic) the First Respondent to defraud creditors.’</w:t>
      </w:r>
      <w:r w:rsidRPr="00E9781A">
        <w:rPr>
          <w:rStyle w:val="FootnoteReference"/>
          <w:rFonts w:ascii="Arial" w:hAnsi="Arial" w:cs="Arial"/>
          <w:i/>
        </w:rPr>
        <w:footnoteReference w:id="48"/>
      </w:r>
    </w:p>
    <w:p w14:paraId="0B46B28A" w14:textId="77777777" w:rsidR="0009668D" w:rsidRPr="0009668D" w:rsidRDefault="0009668D" w:rsidP="0009668D">
      <w:pPr>
        <w:pStyle w:val="ListParagraph"/>
        <w:rPr>
          <w:rFonts w:ascii="Arial" w:hAnsi="Arial" w:cs="Arial"/>
          <w:b/>
          <w:sz w:val="24"/>
          <w:szCs w:val="24"/>
        </w:rPr>
      </w:pPr>
    </w:p>
    <w:p w14:paraId="168F373C" w14:textId="160156A0" w:rsidR="00C9142F" w:rsidRPr="00C9142F" w:rsidRDefault="00C9142F" w:rsidP="00C9142F">
      <w:pPr>
        <w:pStyle w:val="ListParagraph"/>
        <w:numPr>
          <w:ilvl w:val="0"/>
          <w:numId w:val="1"/>
        </w:numPr>
        <w:spacing w:line="480" w:lineRule="auto"/>
        <w:jc w:val="both"/>
        <w:rPr>
          <w:rFonts w:ascii="Arial" w:hAnsi="Arial" w:cs="Arial"/>
          <w:b/>
          <w:sz w:val="24"/>
          <w:szCs w:val="24"/>
        </w:rPr>
      </w:pPr>
      <w:r>
        <w:rPr>
          <w:rFonts w:ascii="Arial" w:hAnsi="Arial" w:cs="Arial"/>
          <w:sz w:val="24"/>
          <w:szCs w:val="24"/>
        </w:rPr>
        <w:t xml:space="preserve">It was contended that there is no factual or evidential basis for the contention made in the Founding Affidavit to the effect that Mr Ferreira renovated and improved the property “with funds received from the First Applicant”. </w:t>
      </w:r>
      <w:r w:rsidR="0088519B">
        <w:rPr>
          <w:rFonts w:ascii="Arial" w:hAnsi="Arial" w:cs="Arial"/>
          <w:sz w:val="24"/>
          <w:szCs w:val="24"/>
        </w:rPr>
        <w:t>It was argued that o</w:t>
      </w:r>
      <w:r>
        <w:rPr>
          <w:rFonts w:ascii="Arial" w:hAnsi="Arial" w:cs="Arial"/>
          <w:sz w:val="24"/>
          <w:szCs w:val="24"/>
        </w:rPr>
        <w:t>n the contrary,</w:t>
      </w:r>
      <w:r w:rsidR="0088519B">
        <w:rPr>
          <w:rFonts w:ascii="Arial" w:hAnsi="Arial" w:cs="Arial"/>
          <w:sz w:val="24"/>
          <w:szCs w:val="24"/>
        </w:rPr>
        <w:t xml:space="preserve"> the transcript of the Insolvency Enquiry reflects that</w:t>
      </w:r>
      <w:r>
        <w:rPr>
          <w:rFonts w:ascii="Arial" w:hAnsi="Arial" w:cs="Arial"/>
          <w:sz w:val="24"/>
          <w:szCs w:val="24"/>
        </w:rPr>
        <w:t xml:space="preserve"> Mr Ferreira received the sum of R250 000 from the First Respondent for such renovations.</w:t>
      </w:r>
      <w:r w:rsidRPr="00E12F9E">
        <w:rPr>
          <w:rFonts w:ascii="Arial" w:hAnsi="Arial" w:cs="Arial"/>
          <w:sz w:val="24"/>
          <w:szCs w:val="24"/>
        </w:rPr>
        <w:t xml:space="preserve"> </w:t>
      </w:r>
      <w:r>
        <w:rPr>
          <w:rFonts w:ascii="Arial" w:hAnsi="Arial" w:cs="Arial"/>
          <w:sz w:val="24"/>
          <w:szCs w:val="24"/>
        </w:rPr>
        <w:t xml:space="preserve">It was submitted that, any </w:t>
      </w:r>
      <w:r w:rsidRPr="00D65710">
        <w:rPr>
          <w:rFonts w:ascii="Arial" w:hAnsi="Arial" w:cs="Arial"/>
          <w:sz w:val="24"/>
          <w:szCs w:val="24"/>
        </w:rPr>
        <w:t>“argument” which might be advanced to t</w:t>
      </w:r>
      <w:r>
        <w:rPr>
          <w:rFonts w:ascii="Arial" w:hAnsi="Arial" w:cs="Arial"/>
          <w:sz w:val="24"/>
          <w:szCs w:val="24"/>
        </w:rPr>
        <w:t xml:space="preserve">his effect does not constitute </w:t>
      </w:r>
      <w:r w:rsidRPr="00D65710">
        <w:rPr>
          <w:rFonts w:ascii="Arial" w:hAnsi="Arial" w:cs="Arial"/>
          <w:sz w:val="24"/>
          <w:szCs w:val="24"/>
        </w:rPr>
        <w:t>evidence, ev</w:t>
      </w:r>
      <w:r>
        <w:rPr>
          <w:rFonts w:ascii="Arial" w:hAnsi="Arial" w:cs="Arial"/>
          <w:sz w:val="24"/>
          <w:szCs w:val="24"/>
        </w:rPr>
        <w:t xml:space="preserve">en on a </w:t>
      </w:r>
      <w:r w:rsidRPr="00E12F9E">
        <w:rPr>
          <w:rFonts w:ascii="Arial" w:hAnsi="Arial" w:cs="Arial"/>
          <w:i/>
          <w:sz w:val="24"/>
          <w:szCs w:val="24"/>
        </w:rPr>
        <w:t>prima facie</w:t>
      </w:r>
      <w:r>
        <w:rPr>
          <w:rFonts w:ascii="Arial" w:hAnsi="Arial" w:cs="Arial"/>
          <w:sz w:val="24"/>
          <w:szCs w:val="24"/>
        </w:rPr>
        <w:t xml:space="preserve"> basis.</w:t>
      </w:r>
    </w:p>
    <w:p w14:paraId="7035C172" w14:textId="77777777" w:rsidR="00C9142F" w:rsidRPr="00181015" w:rsidRDefault="00C9142F" w:rsidP="00C9142F">
      <w:pPr>
        <w:pStyle w:val="ListParagraph"/>
        <w:spacing w:line="480" w:lineRule="auto"/>
        <w:ind w:left="0"/>
        <w:jc w:val="both"/>
        <w:rPr>
          <w:rFonts w:ascii="Arial" w:hAnsi="Arial" w:cs="Arial"/>
          <w:b/>
          <w:sz w:val="24"/>
          <w:szCs w:val="24"/>
        </w:rPr>
      </w:pPr>
    </w:p>
    <w:p w14:paraId="434D5794" w14:textId="5D70F88B" w:rsidR="00306A8E" w:rsidRPr="00E84499" w:rsidRDefault="0021580C" w:rsidP="00E84499">
      <w:pPr>
        <w:pStyle w:val="ListParagraph"/>
        <w:numPr>
          <w:ilvl w:val="0"/>
          <w:numId w:val="1"/>
        </w:numPr>
        <w:spacing w:line="480" w:lineRule="auto"/>
        <w:jc w:val="both"/>
        <w:rPr>
          <w:rFonts w:ascii="Arial" w:hAnsi="Arial" w:cs="Arial"/>
          <w:b/>
          <w:sz w:val="24"/>
          <w:szCs w:val="24"/>
        </w:rPr>
      </w:pPr>
      <w:r>
        <w:rPr>
          <w:rFonts w:ascii="Arial" w:hAnsi="Arial" w:cs="Arial"/>
          <w:sz w:val="24"/>
          <w:szCs w:val="24"/>
        </w:rPr>
        <w:t xml:space="preserve">The First Respondent argued that on the facts which are undisputed, it could never be suggested that the loan agreement fell within the ambit of the provisions of the Insolvency Act on which reliance is placed. </w:t>
      </w:r>
      <w:r w:rsidR="00306A8E" w:rsidRPr="00E84499">
        <w:rPr>
          <w:rFonts w:ascii="Arial" w:hAnsi="Arial" w:cs="Arial"/>
          <w:sz w:val="24"/>
          <w:szCs w:val="24"/>
        </w:rPr>
        <w:t xml:space="preserve">The First Respondent contended that the Applicants failure to provide the full transcript of the Insolvency </w:t>
      </w:r>
      <w:r w:rsidR="001423AB">
        <w:rPr>
          <w:rFonts w:ascii="Arial" w:hAnsi="Arial" w:cs="Arial"/>
          <w:sz w:val="24"/>
          <w:szCs w:val="24"/>
        </w:rPr>
        <w:t>E</w:t>
      </w:r>
      <w:r w:rsidR="00306A8E" w:rsidRPr="00E84499">
        <w:rPr>
          <w:rFonts w:ascii="Arial" w:hAnsi="Arial" w:cs="Arial"/>
          <w:sz w:val="24"/>
          <w:szCs w:val="24"/>
        </w:rPr>
        <w:t xml:space="preserve">nquiry involves a breach of their fundamental duties of providing all relevant information when bringing an application on an </w:t>
      </w:r>
      <w:r w:rsidR="00306A8E" w:rsidRPr="00E84499">
        <w:rPr>
          <w:rFonts w:ascii="Arial" w:hAnsi="Arial" w:cs="Arial"/>
          <w:i/>
          <w:sz w:val="24"/>
          <w:szCs w:val="24"/>
        </w:rPr>
        <w:t>ex parte</w:t>
      </w:r>
      <w:r w:rsidR="00306A8E" w:rsidRPr="00E84499">
        <w:rPr>
          <w:rFonts w:ascii="Arial" w:hAnsi="Arial" w:cs="Arial"/>
          <w:sz w:val="24"/>
          <w:szCs w:val="24"/>
        </w:rPr>
        <w:t xml:space="preserve"> basis. The First Respondent argued that the omitted portions of the transcripts contained highly relevant evidence which is destructive of the Applicants</w:t>
      </w:r>
      <w:r w:rsidR="001423AB">
        <w:rPr>
          <w:rFonts w:ascii="Arial" w:hAnsi="Arial" w:cs="Arial"/>
          <w:sz w:val="24"/>
          <w:szCs w:val="24"/>
        </w:rPr>
        <w:t>’</w:t>
      </w:r>
      <w:r w:rsidR="00306A8E" w:rsidRPr="00E84499">
        <w:rPr>
          <w:rFonts w:ascii="Arial" w:hAnsi="Arial" w:cs="Arial"/>
          <w:sz w:val="24"/>
          <w:szCs w:val="24"/>
        </w:rPr>
        <w:t xml:space="preserve"> case. It is the First Respondent’s contention that the omission was deliberate because the portions did not support the case which the Applicants are attempting to advance.</w:t>
      </w:r>
    </w:p>
    <w:p w14:paraId="6EDB7931" w14:textId="77777777" w:rsidR="004C20EF" w:rsidRPr="004C20EF" w:rsidRDefault="004C20EF" w:rsidP="004C20EF">
      <w:pPr>
        <w:pStyle w:val="ListParagraph"/>
        <w:rPr>
          <w:rFonts w:ascii="Arial" w:hAnsi="Arial" w:cs="Arial"/>
          <w:b/>
          <w:sz w:val="24"/>
          <w:szCs w:val="24"/>
        </w:rPr>
      </w:pPr>
    </w:p>
    <w:p w14:paraId="228B97EC" w14:textId="77777777" w:rsidR="000A3B25" w:rsidRDefault="000A3B25" w:rsidP="000A3B25">
      <w:pPr>
        <w:pStyle w:val="ListParagraph"/>
        <w:spacing w:line="480" w:lineRule="auto"/>
        <w:ind w:left="0"/>
        <w:jc w:val="both"/>
        <w:rPr>
          <w:rFonts w:ascii="Arial" w:hAnsi="Arial" w:cs="Arial"/>
          <w:b/>
          <w:sz w:val="24"/>
          <w:szCs w:val="24"/>
        </w:rPr>
      </w:pPr>
    </w:p>
    <w:p w14:paraId="527ED697" w14:textId="12699CDA" w:rsidR="000A3B25" w:rsidRPr="00FC4021" w:rsidRDefault="009B0C20" w:rsidP="000A3B25">
      <w:pPr>
        <w:pStyle w:val="ListParagraph"/>
        <w:spacing w:line="480" w:lineRule="auto"/>
        <w:ind w:left="0"/>
        <w:jc w:val="both"/>
        <w:rPr>
          <w:rFonts w:ascii="Arial" w:hAnsi="Arial" w:cs="Arial"/>
          <w:b/>
          <w:sz w:val="24"/>
          <w:szCs w:val="24"/>
        </w:rPr>
      </w:pPr>
      <w:r>
        <w:rPr>
          <w:rFonts w:ascii="Arial" w:hAnsi="Arial" w:cs="Arial"/>
          <w:b/>
          <w:sz w:val="24"/>
          <w:szCs w:val="24"/>
        </w:rPr>
        <w:lastRenderedPageBreak/>
        <w:t xml:space="preserve">Abuse of </w:t>
      </w:r>
      <w:r w:rsidR="000A3B25">
        <w:rPr>
          <w:rFonts w:ascii="Arial" w:hAnsi="Arial" w:cs="Arial"/>
          <w:b/>
          <w:sz w:val="24"/>
          <w:szCs w:val="24"/>
        </w:rPr>
        <w:t>process</w:t>
      </w:r>
    </w:p>
    <w:p w14:paraId="66FB2FED" w14:textId="29D487AD" w:rsidR="000A3B25" w:rsidRPr="007D6288" w:rsidRDefault="009B0C20" w:rsidP="000A3B25">
      <w:pPr>
        <w:pStyle w:val="ListParagraph"/>
        <w:numPr>
          <w:ilvl w:val="0"/>
          <w:numId w:val="1"/>
        </w:numPr>
        <w:spacing w:line="480" w:lineRule="auto"/>
        <w:jc w:val="both"/>
        <w:rPr>
          <w:rFonts w:ascii="Arial" w:hAnsi="Arial" w:cs="Arial"/>
          <w:b/>
          <w:sz w:val="24"/>
          <w:szCs w:val="24"/>
        </w:rPr>
      </w:pPr>
      <w:r>
        <w:rPr>
          <w:rFonts w:ascii="Arial" w:hAnsi="Arial" w:cs="Arial"/>
          <w:sz w:val="24"/>
          <w:szCs w:val="24"/>
        </w:rPr>
        <w:t xml:space="preserve">As earlier mentioned, the First Respondent contended that the application is an abuse of process and the delay in proceeding with the matter should be held against the Applicants. </w:t>
      </w:r>
      <w:r w:rsidR="000A3B25">
        <w:rPr>
          <w:rFonts w:ascii="Arial" w:hAnsi="Arial" w:cs="Arial"/>
          <w:sz w:val="24"/>
          <w:szCs w:val="24"/>
        </w:rPr>
        <w:t>The Applicant</w:t>
      </w:r>
      <w:r>
        <w:rPr>
          <w:rFonts w:ascii="Arial" w:hAnsi="Arial" w:cs="Arial"/>
          <w:sz w:val="24"/>
          <w:szCs w:val="24"/>
        </w:rPr>
        <w:t>s</w:t>
      </w:r>
      <w:r w:rsidR="00CC366B">
        <w:rPr>
          <w:rFonts w:ascii="Arial" w:hAnsi="Arial" w:cs="Arial"/>
          <w:sz w:val="24"/>
          <w:szCs w:val="24"/>
        </w:rPr>
        <w:t xml:space="preserve"> argued</w:t>
      </w:r>
      <w:r w:rsidR="000A3B25">
        <w:rPr>
          <w:rFonts w:ascii="Arial" w:hAnsi="Arial" w:cs="Arial"/>
          <w:sz w:val="24"/>
          <w:szCs w:val="24"/>
        </w:rPr>
        <w:t xml:space="preserve"> that it is n</w:t>
      </w:r>
      <w:r w:rsidR="00CC366B">
        <w:rPr>
          <w:rFonts w:ascii="Arial" w:hAnsi="Arial" w:cs="Arial"/>
          <w:sz w:val="24"/>
          <w:szCs w:val="24"/>
        </w:rPr>
        <w:t xml:space="preserve">ot an abuse of </w:t>
      </w:r>
      <w:r w:rsidR="000A3B25">
        <w:rPr>
          <w:rFonts w:ascii="Arial" w:hAnsi="Arial" w:cs="Arial"/>
          <w:sz w:val="24"/>
          <w:szCs w:val="24"/>
        </w:rPr>
        <w:t>process. In this regard, t</w:t>
      </w:r>
      <w:r w:rsidR="000A3B25" w:rsidRPr="00FE6A50">
        <w:rPr>
          <w:rFonts w:ascii="Arial" w:hAnsi="Arial" w:cs="Arial"/>
          <w:sz w:val="24"/>
          <w:szCs w:val="24"/>
        </w:rPr>
        <w:t xml:space="preserve">he First Respondent confirmed that the funds that were in the account of BDP </w:t>
      </w:r>
      <w:r w:rsidR="00436116">
        <w:rPr>
          <w:rFonts w:ascii="Arial" w:hAnsi="Arial" w:cs="Arial"/>
          <w:sz w:val="24"/>
          <w:szCs w:val="24"/>
        </w:rPr>
        <w:t xml:space="preserve">Attorneys </w:t>
      </w:r>
      <w:r w:rsidR="000A3B25" w:rsidRPr="00FE6A50">
        <w:rPr>
          <w:rFonts w:ascii="Arial" w:hAnsi="Arial" w:cs="Arial"/>
          <w:sz w:val="24"/>
          <w:szCs w:val="24"/>
        </w:rPr>
        <w:t>were paid over to her account with ABSA bank. The proceeds of the sale were R2.6 million of which R850 000 was transferred to an account in Poland on 6 July 2023.</w:t>
      </w:r>
      <w:r w:rsidR="000A3B25">
        <w:rPr>
          <w:rFonts w:ascii="Arial" w:hAnsi="Arial" w:cs="Arial"/>
          <w:sz w:val="24"/>
          <w:szCs w:val="24"/>
        </w:rPr>
        <w:t xml:space="preserve"> The First Respondent is a peregrinus who has sought to transfer her only asset from South Africa to Poland.</w:t>
      </w:r>
    </w:p>
    <w:p w14:paraId="41AF811F" w14:textId="77777777" w:rsidR="007D6288" w:rsidRDefault="007D6288" w:rsidP="007D6288">
      <w:pPr>
        <w:pStyle w:val="ListParagraph"/>
        <w:spacing w:line="480" w:lineRule="auto"/>
        <w:ind w:left="0"/>
        <w:jc w:val="both"/>
        <w:rPr>
          <w:rFonts w:ascii="Arial" w:hAnsi="Arial" w:cs="Arial"/>
          <w:b/>
          <w:sz w:val="24"/>
          <w:szCs w:val="24"/>
        </w:rPr>
      </w:pPr>
    </w:p>
    <w:p w14:paraId="01A73963" w14:textId="2058CC5B" w:rsidR="006F4762" w:rsidRPr="00BF6EE8" w:rsidRDefault="007D6288" w:rsidP="007D6288">
      <w:pPr>
        <w:pStyle w:val="ListParagraph"/>
        <w:spacing w:line="480" w:lineRule="auto"/>
        <w:ind w:left="0"/>
        <w:jc w:val="both"/>
        <w:rPr>
          <w:rFonts w:ascii="Arial" w:hAnsi="Arial" w:cs="Arial"/>
          <w:b/>
          <w:sz w:val="24"/>
          <w:szCs w:val="24"/>
        </w:rPr>
      </w:pPr>
      <w:r>
        <w:rPr>
          <w:rFonts w:ascii="Arial" w:hAnsi="Arial" w:cs="Arial"/>
          <w:b/>
          <w:sz w:val="24"/>
          <w:szCs w:val="24"/>
        </w:rPr>
        <w:t>Discussion</w:t>
      </w:r>
    </w:p>
    <w:p w14:paraId="32076F25" w14:textId="472D724A" w:rsidR="006F4762" w:rsidRPr="00112F43" w:rsidRDefault="006F4762" w:rsidP="006F4762">
      <w:pPr>
        <w:pStyle w:val="ListParagraph"/>
        <w:numPr>
          <w:ilvl w:val="0"/>
          <w:numId w:val="1"/>
        </w:numPr>
        <w:spacing w:line="480" w:lineRule="auto"/>
        <w:jc w:val="both"/>
        <w:rPr>
          <w:rFonts w:ascii="Arial" w:hAnsi="Arial" w:cs="Arial"/>
          <w:b/>
          <w:sz w:val="24"/>
          <w:szCs w:val="24"/>
        </w:rPr>
      </w:pPr>
      <w:r>
        <w:rPr>
          <w:rFonts w:ascii="Arial" w:hAnsi="Arial" w:cs="Arial"/>
          <w:sz w:val="24"/>
          <w:szCs w:val="24"/>
        </w:rPr>
        <w:t xml:space="preserve">The decision on whether or not the Applicants have succeeded in showing that they have established a </w:t>
      </w:r>
      <w:r w:rsidRPr="006F4762">
        <w:rPr>
          <w:rFonts w:ascii="Arial" w:hAnsi="Arial" w:cs="Arial"/>
          <w:i/>
          <w:sz w:val="24"/>
          <w:szCs w:val="24"/>
        </w:rPr>
        <w:t>prima facie</w:t>
      </w:r>
      <w:r>
        <w:rPr>
          <w:rFonts w:ascii="Arial" w:hAnsi="Arial" w:cs="Arial"/>
          <w:sz w:val="24"/>
          <w:szCs w:val="24"/>
        </w:rPr>
        <w:t xml:space="preserve"> case against the First Respondent for the relief sought is interwoven with a number of considerations as distilled earlier in this judgment.</w:t>
      </w:r>
      <w:r w:rsidRPr="006F4762">
        <w:rPr>
          <w:rFonts w:ascii="Arial" w:hAnsi="Arial" w:cs="Arial"/>
          <w:sz w:val="24"/>
          <w:szCs w:val="24"/>
        </w:rPr>
        <w:t xml:space="preserve"> </w:t>
      </w:r>
      <w:r w:rsidR="00C027E6">
        <w:rPr>
          <w:rFonts w:ascii="Arial" w:hAnsi="Arial" w:cs="Arial"/>
          <w:sz w:val="24"/>
          <w:szCs w:val="24"/>
        </w:rPr>
        <w:t>As a starting point, the question to be answered is whether the Applicants have shown that there is evidence which</w:t>
      </w:r>
      <w:r w:rsidR="001423AB">
        <w:rPr>
          <w:rFonts w:ascii="Arial" w:hAnsi="Arial" w:cs="Arial"/>
          <w:sz w:val="24"/>
          <w:szCs w:val="24"/>
        </w:rPr>
        <w:t>,</w:t>
      </w:r>
      <w:r w:rsidR="00C027E6">
        <w:rPr>
          <w:rFonts w:ascii="Arial" w:hAnsi="Arial" w:cs="Arial"/>
          <w:sz w:val="24"/>
          <w:szCs w:val="24"/>
        </w:rPr>
        <w:t xml:space="preserve"> if accepted</w:t>
      </w:r>
      <w:r w:rsidR="001423AB">
        <w:rPr>
          <w:rFonts w:ascii="Arial" w:hAnsi="Arial" w:cs="Arial"/>
          <w:sz w:val="24"/>
          <w:szCs w:val="24"/>
        </w:rPr>
        <w:t>,</w:t>
      </w:r>
      <w:r w:rsidR="00C027E6">
        <w:rPr>
          <w:rFonts w:ascii="Arial" w:hAnsi="Arial" w:cs="Arial"/>
          <w:sz w:val="24"/>
          <w:szCs w:val="24"/>
        </w:rPr>
        <w:t xml:space="preserve"> will establish a cause of action. Of seminal importance is that the evidence on which the Applicant relies, save in exceptional cases, must consist of allegations of fact as opposed to mere assertions. </w:t>
      </w:r>
    </w:p>
    <w:p w14:paraId="6A5BA6E1" w14:textId="77777777" w:rsidR="00112F43" w:rsidRPr="00112F43" w:rsidRDefault="00112F43" w:rsidP="00112F43">
      <w:pPr>
        <w:pStyle w:val="ListParagraph"/>
        <w:spacing w:line="480" w:lineRule="auto"/>
        <w:ind w:left="0"/>
        <w:jc w:val="both"/>
        <w:rPr>
          <w:rFonts w:ascii="Arial" w:hAnsi="Arial" w:cs="Arial"/>
          <w:b/>
          <w:sz w:val="24"/>
          <w:szCs w:val="24"/>
        </w:rPr>
      </w:pPr>
    </w:p>
    <w:p w14:paraId="477F3A4D" w14:textId="0C0D98DC" w:rsidR="00112F43" w:rsidRPr="00112F43" w:rsidRDefault="00112F43" w:rsidP="00112F43">
      <w:pPr>
        <w:pStyle w:val="ListParagraph"/>
        <w:numPr>
          <w:ilvl w:val="0"/>
          <w:numId w:val="1"/>
        </w:numPr>
        <w:spacing w:line="480" w:lineRule="auto"/>
        <w:jc w:val="both"/>
        <w:rPr>
          <w:rFonts w:ascii="Arial" w:hAnsi="Arial" w:cs="Arial"/>
          <w:b/>
          <w:sz w:val="24"/>
          <w:szCs w:val="24"/>
        </w:rPr>
      </w:pPr>
      <w:r>
        <w:rPr>
          <w:rFonts w:ascii="Arial" w:hAnsi="Arial" w:cs="Arial"/>
          <w:sz w:val="24"/>
          <w:szCs w:val="24"/>
        </w:rPr>
        <w:t>These allegations of fact are to be contained in the Applicants</w:t>
      </w:r>
      <w:r w:rsidR="0024253F">
        <w:rPr>
          <w:rFonts w:ascii="Arial" w:hAnsi="Arial" w:cs="Arial"/>
          <w:sz w:val="24"/>
          <w:szCs w:val="24"/>
        </w:rPr>
        <w:t>’</w:t>
      </w:r>
      <w:r>
        <w:rPr>
          <w:rFonts w:ascii="Arial" w:hAnsi="Arial" w:cs="Arial"/>
          <w:sz w:val="24"/>
          <w:szCs w:val="24"/>
        </w:rPr>
        <w:t xml:space="preserve"> Founding Affidavit. </w:t>
      </w:r>
      <w:r w:rsidRPr="00112F43">
        <w:rPr>
          <w:rFonts w:ascii="Arial" w:hAnsi="Arial" w:cs="Arial"/>
          <w:sz w:val="24"/>
          <w:szCs w:val="24"/>
        </w:rPr>
        <w:t>I</w:t>
      </w:r>
      <w:r w:rsidR="00265811">
        <w:rPr>
          <w:rFonts w:ascii="Arial" w:hAnsi="Arial" w:cs="Arial"/>
          <w:sz w:val="24"/>
          <w:szCs w:val="24"/>
        </w:rPr>
        <w:t>t is trite that an A</w:t>
      </w:r>
      <w:r w:rsidRPr="00112F43">
        <w:rPr>
          <w:rFonts w:ascii="Arial" w:hAnsi="Arial" w:cs="Arial"/>
          <w:sz w:val="24"/>
          <w:szCs w:val="24"/>
        </w:rPr>
        <w:t>pplicant</w:t>
      </w:r>
      <w:r>
        <w:rPr>
          <w:rFonts w:ascii="Arial" w:hAnsi="Arial" w:cs="Arial"/>
          <w:sz w:val="24"/>
          <w:szCs w:val="24"/>
        </w:rPr>
        <w:t xml:space="preserve"> must make out its case in the Founding A</w:t>
      </w:r>
      <w:r w:rsidRPr="00112F43">
        <w:rPr>
          <w:rFonts w:ascii="Arial" w:hAnsi="Arial" w:cs="Arial"/>
          <w:sz w:val="24"/>
          <w:szCs w:val="24"/>
        </w:rPr>
        <w:t>ffidavit which must contain sufficient facts in itself upon</w:t>
      </w:r>
      <w:r>
        <w:rPr>
          <w:rFonts w:ascii="Arial" w:hAnsi="Arial" w:cs="Arial"/>
          <w:sz w:val="24"/>
          <w:szCs w:val="24"/>
        </w:rPr>
        <w:t xml:space="preserve"> which a court may find in the Applicant</w:t>
      </w:r>
      <w:r w:rsidR="0024253F">
        <w:rPr>
          <w:rFonts w:ascii="Arial" w:hAnsi="Arial" w:cs="Arial"/>
          <w:sz w:val="24"/>
          <w:szCs w:val="24"/>
        </w:rPr>
        <w:t>’</w:t>
      </w:r>
      <w:r w:rsidRPr="00112F43">
        <w:rPr>
          <w:rFonts w:ascii="Arial" w:hAnsi="Arial" w:cs="Arial"/>
          <w:sz w:val="24"/>
          <w:szCs w:val="24"/>
        </w:rPr>
        <w:t>s favour.</w:t>
      </w:r>
      <w:r>
        <w:rPr>
          <w:rFonts w:ascii="Arial" w:hAnsi="Arial" w:cs="Arial"/>
          <w:b/>
          <w:sz w:val="24"/>
          <w:szCs w:val="24"/>
        </w:rPr>
        <w:t xml:space="preserve"> </w:t>
      </w:r>
      <w:r w:rsidR="00265811">
        <w:rPr>
          <w:rFonts w:ascii="Arial" w:hAnsi="Arial" w:cs="Arial"/>
          <w:sz w:val="24"/>
          <w:szCs w:val="24"/>
        </w:rPr>
        <w:t>I am enjoined to consider the</w:t>
      </w:r>
      <w:r w:rsidRPr="00112F43">
        <w:rPr>
          <w:rFonts w:ascii="Arial" w:hAnsi="Arial" w:cs="Arial"/>
          <w:sz w:val="24"/>
          <w:szCs w:val="24"/>
        </w:rPr>
        <w:t xml:space="preserve"> application on the strength of the papers before me. This is based on the trite legal principle that the an Applicant must </w:t>
      </w:r>
      <w:r w:rsidRPr="00112F43">
        <w:rPr>
          <w:rFonts w:ascii="Arial" w:hAnsi="Arial" w:cs="Arial"/>
          <w:sz w:val="24"/>
          <w:szCs w:val="24"/>
        </w:rPr>
        <w:lastRenderedPageBreak/>
        <w:t>stand or fall by his founding papers which principle has been enunciated  in</w:t>
      </w:r>
      <w:r>
        <w:rPr>
          <w:rFonts w:ascii="Arial" w:hAnsi="Arial" w:cs="Arial"/>
          <w:sz w:val="24"/>
          <w:szCs w:val="24"/>
        </w:rPr>
        <w:t xml:space="preserve"> the seminal case of</w:t>
      </w:r>
      <w:r w:rsidRPr="00112F43">
        <w:rPr>
          <w:rFonts w:ascii="Arial" w:hAnsi="Arial" w:cs="Arial"/>
          <w:sz w:val="24"/>
          <w:szCs w:val="24"/>
        </w:rPr>
        <w:t xml:space="preserve"> </w:t>
      </w:r>
      <w:r w:rsidRPr="00112F43">
        <w:rPr>
          <w:rFonts w:ascii="Arial" w:hAnsi="Arial" w:cs="Arial"/>
          <w:b/>
          <w:i/>
          <w:sz w:val="24"/>
          <w:szCs w:val="24"/>
        </w:rPr>
        <w:t>Director of Hospital Services v Mistry</w:t>
      </w:r>
      <w:r>
        <w:rPr>
          <w:rStyle w:val="FootnoteReference"/>
          <w:rFonts w:ascii="Arial" w:hAnsi="Arial" w:cs="Arial"/>
          <w:b/>
          <w:i/>
          <w:sz w:val="24"/>
          <w:szCs w:val="24"/>
        </w:rPr>
        <w:footnoteReference w:id="49"/>
      </w:r>
      <w:r w:rsidRPr="00112F43">
        <w:rPr>
          <w:rFonts w:ascii="Arial" w:hAnsi="Arial" w:cs="Arial"/>
          <w:sz w:val="24"/>
          <w:szCs w:val="24"/>
        </w:rPr>
        <w:t xml:space="preserve"> where the Appellate Division held:</w:t>
      </w:r>
    </w:p>
    <w:p w14:paraId="76EC8252" w14:textId="77777777" w:rsidR="00112F43" w:rsidRPr="008745A2" w:rsidRDefault="00112F43" w:rsidP="00112F43">
      <w:pPr>
        <w:pStyle w:val="ListParagraph"/>
        <w:rPr>
          <w:rFonts w:ascii="Arial" w:hAnsi="Arial" w:cs="Arial"/>
          <w:sz w:val="24"/>
          <w:szCs w:val="24"/>
        </w:rPr>
      </w:pPr>
    </w:p>
    <w:p w14:paraId="6A5088A2" w14:textId="77777777" w:rsidR="00112F43" w:rsidRDefault="00112F43" w:rsidP="00112F43">
      <w:pPr>
        <w:pStyle w:val="ListParagraph"/>
        <w:spacing w:line="360" w:lineRule="auto"/>
        <w:ind w:left="283" w:right="283"/>
        <w:jc w:val="both"/>
        <w:rPr>
          <w:rFonts w:ascii="Arial" w:hAnsi="Arial" w:cs="Arial"/>
          <w:i/>
        </w:rPr>
      </w:pPr>
      <w:r>
        <w:rPr>
          <w:rFonts w:ascii="Arial" w:hAnsi="Arial" w:cs="Arial"/>
          <w:i/>
        </w:rPr>
        <w:t>“When…proceedings were launched by way of notice of motion, it is to the founding affidavit which a Judge will look to determine what the complaint is. As was pointed out by Krause J in Pountas’ Trustees v Lahanas 1924 WLD 67 at 68 and has been said in many other cases:</w:t>
      </w:r>
    </w:p>
    <w:p w14:paraId="2E96B101" w14:textId="77777777" w:rsidR="00112F43" w:rsidRDefault="00112F43" w:rsidP="00112F43">
      <w:pPr>
        <w:pStyle w:val="ListParagraph"/>
        <w:spacing w:line="360" w:lineRule="auto"/>
        <w:ind w:left="283" w:right="283"/>
        <w:jc w:val="both"/>
        <w:rPr>
          <w:rFonts w:ascii="Arial" w:hAnsi="Arial" w:cs="Arial"/>
          <w:i/>
        </w:rPr>
      </w:pPr>
    </w:p>
    <w:p w14:paraId="66113A65" w14:textId="77777777" w:rsidR="00112F43" w:rsidRDefault="00112F43" w:rsidP="00112F43">
      <w:pPr>
        <w:pStyle w:val="ListParagraph"/>
        <w:spacing w:line="360" w:lineRule="auto"/>
        <w:ind w:left="567" w:right="567"/>
        <w:jc w:val="both"/>
        <w:rPr>
          <w:rFonts w:ascii="Arial" w:hAnsi="Arial" w:cs="Arial"/>
          <w:i/>
        </w:rPr>
      </w:pPr>
      <w:r>
        <w:rPr>
          <w:rFonts w:ascii="Arial" w:hAnsi="Arial" w:cs="Arial"/>
          <w:i/>
        </w:rPr>
        <w:t>‘…an applicant must stand or fall by his petition and the facts alleged therein and that, although sometimes it is permissible to supplement the allegations contained in the petition, still the main foundation of the application is the allegation of facts stated therein, because those are the facts which the respondent is called upon either to affirm or deny’</w:t>
      </w:r>
    </w:p>
    <w:p w14:paraId="3DFA1606" w14:textId="77777777" w:rsidR="00112F43" w:rsidRDefault="00112F43" w:rsidP="00112F43">
      <w:pPr>
        <w:pStyle w:val="ListParagraph"/>
        <w:spacing w:line="360" w:lineRule="auto"/>
        <w:ind w:left="567" w:right="567"/>
        <w:jc w:val="both"/>
        <w:rPr>
          <w:rFonts w:ascii="Arial" w:hAnsi="Arial" w:cs="Arial"/>
          <w:i/>
        </w:rPr>
      </w:pPr>
    </w:p>
    <w:p w14:paraId="3E2BBC25" w14:textId="77777777" w:rsidR="00112F43" w:rsidRPr="00F77899" w:rsidRDefault="00112F43" w:rsidP="00112F43">
      <w:pPr>
        <w:pStyle w:val="ListParagraph"/>
        <w:spacing w:line="360" w:lineRule="auto"/>
        <w:ind w:left="283" w:right="283"/>
        <w:jc w:val="both"/>
        <w:rPr>
          <w:rFonts w:ascii="Arial" w:hAnsi="Arial" w:cs="Arial"/>
          <w:i/>
        </w:rPr>
      </w:pPr>
      <w:r>
        <w:rPr>
          <w:rFonts w:ascii="Arial" w:hAnsi="Arial" w:cs="Arial"/>
          <w:i/>
        </w:rPr>
        <w:t>Since it is clear that the applicant stands or falls by his petition and the facts therein alleged, ‘it is not permissible to make out new grounds for the application in the replying affidavit (per Van Winsen J in SA Railways Recreation Club and Another v Gordonia Liquor Licensing Board 1953(3) SA 256 (C) at 260)”</w:t>
      </w:r>
    </w:p>
    <w:p w14:paraId="2EDDBAB9" w14:textId="77777777" w:rsidR="00112F43" w:rsidRPr="005B6F85" w:rsidRDefault="00112F43" w:rsidP="00112F43">
      <w:pPr>
        <w:pStyle w:val="ListParagraph"/>
        <w:rPr>
          <w:rFonts w:ascii="Arial" w:hAnsi="Arial" w:cs="Arial"/>
          <w:sz w:val="24"/>
          <w:szCs w:val="24"/>
        </w:rPr>
      </w:pPr>
    </w:p>
    <w:p w14:paraId="0B511889" w14:textId="77777777" w:rsidR="00112F43" w:rsidRPr="00864FD1" w:rsidRDefault="00112F43" w:rsidP="00112F43">
      <w:pPr>
        <w:pStyle w:val="ListParagraph"/>
        <w:numPr>
          <w:ilvl w:val="0"/>
          <w:numId w:val="1"/>
        </w:numPr>
        <w:spacing w:line="480" w:lineRule="auto"/>
        <w:jc w:val="both"/>
        <w:rPr>
          <w:rFonts w:ascii="Arial" w:hAnsi="Arial" w:cs="Arial"/>
          <w:b/>
          <w:sz w:val="24"/>
          <w:szCs w:val="24"/>
        </w:rPr>
      </w:pPr>
      <w:r>
        <w:rPr>
          <w:rFonts w:ascii="Arial" w:hAnsi="Arial" w:cs="Arial"/>
          <w:sz w:val="24"/>
          <w:szCs w:val="24"/>
        </w:rPr>
        <w:t xml:space="preserve">In </w:t>
      </w:r>
      <w:r w:rsidRPr="00864FD1">
        <w:rPr>
          <w:rFonts w:ascii="Arial" w:hAnsi="Arial" w:cs="Arial"/>
          <w:b/>
          <w:i/>
          <w:sz w:val="24"/>
          <w:szCs w:val="24"/>
        </w:rPr>
        <w:t>South African Transport and Allied Workers Union and Another v Garvas and Others</w:t>
      </w:r>
      <w:r>
        <w:rPr>
          <w:rStyle w:val="FootnoteReference"/>
          <w:rFonts w:ascii="Arial" w:hAnsi="Arial" w:cs="Arial"/>
          <w:sz w:val="24"/>
          <w:szCs w:val="24"/>
        </w:rPr>
        <w:footnoteReference w:id="50"/>
      </w:r>
      <w:r>
        <w:rPr>
          <w:rFonts w:ascii="Arial" w:hAnsi="Arial" w:cs="Arial"/>
          <w:sz w:val="24"/>
          <w:szCs w:val="24"/>
        </w:rPr>
        <w:t xml:space="preserve"> it was held that:</w:t>
      </w:r>
    </w:p>
    <w:p w14:paraId="412704A1" w14:textId="77777777" w:rsidR="00112F43" w:rsidRPr="000D1C39" w:rsidRDefault="00112F43" w:rsidP="00112F43">
      <w:pPr>
        <w:pStyle w:val="ListParagraph"/>
        <w:spacing w:line="360" w:lineRule="auto"/>
        <w:ind w:left="283" w:right="283"/>
        <w:jc w:val="both"/>
        <w:rPr>
          <w:rFonts w:ascii="Arial" w:hAnsi="Arial" w:cs="Arial"/>
          <w:i/>
        </w:rPr>
      </w:pPr>
      <w:r>
        <w:rPr>
          <w:rFonts w:ascii="Arial" w:hAnsi="Arial" w:cs="Arial"/>
          <w:i/>
        </w:rPr>
        <w:t>‘Holding parties to pleadings is not pedantry. It is an integral part of the principle of legal certainty which is an element of the rule of law, one of the values on which our Constitution is founded. Every party contemplating a constitutional challenge should know the requirements it needs to satisfy and every other party likely to be affected by the relief sought must know precisely the case it is expected to meet.’</w:t>
      </w:r>
    </w:p>
    <w:p w14:paraId="181093D4" w14:textId="7524B7BB" w:rsidR="00C027E6" w:rsidRPr="00112F43" w:rsidRDefault="00C027E6" w:rsidP="00112F43">
      <w:pPr>
        <w:pStyle w:val="ListParagraph"/>
        <w:spacing w:line="480" w:lineRule="auto"/>
        <w:ind w:left="0"/>
        <w:jc w:val="both"/>
        <w:rPr>
          <w:rFonts w:ascii="Arial" w:hAnsi="Arial" w:cs="Arial"/>
          <w:b/>
          <w:sz w:val="24"/>
          <w:szCs w:val="24"/>
        </w:rPr>
      </w:pPr>
    </w:p>
    <w:p w14:paraId="3686896E" w14:textId="35864B4A" w:rsidR="00653FF7" w:rsidRPr="00653FF7" w:rsidRDefault="00265811" w:rsidP="00653FF7">
      <w:pPr>
        <w:pStyle w:val="ListParagraph"/>
        <w:numPr>
          <w:ilvl w:val="0"/>
          <w:numId w:val="1"/>
        </w:numPr>
        <w:spacing w:line="480" w:lineRule="auto"/>
        <w:jc w:val="both"/>
        <w:rPr>
          <w:rFonts w:ascii="Arial" w:hAnsi="Arial" w:cs="Arial"/>
          <w:b/>
          <w:i/>
          <w:sz w:val="24"/>
          <w:szCs w:val="24"/>
        </w:rPr>
      </w:pPr>
      <w:r>
        <w:rPr>
          <w:rFonts w:ascii="Arial" w:hAnsi="Arial" w:cs="Arial"/>
          <w:sz w:val="24"/>
          <w:szCs w:val="24"/>
        </w:rPr>
        <w:t>It is a fundamental legal principle that w</w:t>
      </w:r>
      <w:r w:rsidR="006F4762" w:rsidRPr="00C027E6">
        <w:rPr>
          <w:rFonts w:ascii="Arial" w:hAnsi="Arial" w:cs="Arial"/>
          <w:sz w:val="24"/>
          <w:szCs w:val="24"/>
        </w:rPr>
        <w:t xml:space="preserve">here the application is brought on an </w:t>
      </w:r>
      <w:r w:rsidR="006F4762" w:rsidRPr="00C027E6">
        <w:rPr>
          <w:rFonts w:ascii="Arial" w:hAnsi="Arial" w:cs="Arial"/>
          <w:i/>
          <w:sz w:val="24"/>
          <w:szCs w:val="24"/>
        </w:rPr>
        <w:t>ex parte</w:t>
      </w:r>
      <w:r w:rsidR="006F4762" w:rsidRPr="00C027E6">
        <w:rPr>
          <w:rFonts w:ascii="Arial" w:hAnsi="Arial" w:cs="Arial"/>
          <w:sz w:val="24"/>
          <w:szCs w:val="24"/>
        </w:rPr>
        <w:t xml:space="preserve"> basis, the Applicant is duty bound to observe the utmost good faith and if material facts are withheld at that state the court may, on the return day, dismiss the application on that basis alone.</w:t>
      </w:r>
      <w:r w:rsidR="00112F43">
        <w:rPr>
          <w:rFonts w:ascii="Arial" w:hAnsi="Arial" w:cs="Arial"/>
          <w:sz w:val="24"/>
          <w:szCs w:val="24"/>
        </w:rPr>
        <w:t xml:space="preserve"> </w:t>
      </w:r>
      <w:r w:rsidR="00112F43" w:rsidRPr="00112F43">
        <w:rPr>
          <w:rFonts w:ascii="Arial" w:hAnsi="Arial" w:cs="Arial"/>
          <w:i/>
          <w:sz w:val="24"/>
          <w:szCs w:val="24"/>
        </w:rPr>
        <w:t>In casu</w:t>
      </w:r>
      <w:r w:rsidR="00112F43">
        <w:rPr>
          <w:rFonts w:ascii="Arial" w:hAnsi="Arial" w:cs="Arial"/>
          <w:i/>
          <w:sz w:val="24"/>
          <w:szCs w:val="24"/>
        </w:rPr>
        <w:t xml:space="preserve"> </w:t>
      </w:r>
      <w:r w:rsidR="00112F43">
        <w:rPr>
          <w:rFonts w:ascii="Arial" w:hAnsi="Arial" w:cs="Arial"/>
          <w:sz w:val="24"/>
          <w:szCs w:val="24"/>
        </w:rPr>
        <w:t xml:space="preserve">the full transcript of the Insolvency Enquiry </w:t>
      </w:r>
      <w:r w:rsidR="00112F43">
        <w:rPr>
          <w:rFonts w:ascii="Arial" w:hAnsi="Arial" w:cs="Arial"/>
          <w:sz w:val="24"/>
          <w:szCs w:val="24"/>
        </w:rPr>
        <w:lastRenderedPageBreak/>
        <w:t xml:space="preserve">was not attached, which begs the question as to whether there was bad faith on the part of the Applicants by not attaching the full transcript. </w:t>
      </w:r>
      <w:r w:rsidR="00653FF7">
        <w:rPr>
          <w:rFonts w:ascii="Arial" w:hAnsi="Arial" w:cs="Arial"/>
          <w:sz w:val="24"/>
          <w:szCs w:val="24"/>
        </w:rPr>
        <w:t xml:space="preserve"> </w:t>
      </w:r>
      <w:r w:rsidR="00653FF7" w:rsidRPr="00653FF7">
        <w:rPr>
          <w:rFonts w:ascii="Arial" w:hAnsi="Arial" w:cs="Arial"/>
          <w:sz w:val="24"/>
          <w:szCs w:val="24"/>
        </w:rPr>
        <w:t xml:space="preserve">It is therefore incumbent on the court to deal with the consideration identified by the Supreme Court of Appeal in </w:t>
      </w:r>
      <w:r w:rsidR="00653FF7" w:rsidRPr="00653FF7">
        <w:rPr>
          <w:rFonts w:ascii="Arial" w:hAnsi="Arial" w:cs="Arial"/>
          <w:b/>
          <w:i/>
          <w:sz w:val="24"/>
          <w:szCs w:val="24"/>
        </w:rPr>
        <w:t xml:space="preserve">Philips </w:t>
      </w:r>
      <w:r w:rsidR="00653FF7" w:rsidRPr="00653FF7">
        <w:rPr>
          <w:rFonts w:ascii="Arial" w:hAnsi="Arial" w:cs="Arial"/>
          <w:i/>
          <w:sz w:val="24"/>
          <w:szCs w:val="24"/>
        </w:rPr>
        <w:t>(supra).</w:t>
      </w:r>
    </w:p>
    <w:p w14:paraId="22D75C22" w14:textId="77777777" w:rsidR="00653FF7" w:rsidRPr="00653FF7" w:rsidRDefault="00653FF7" w:rsidP="00653FF7">
      <w:pPr>
        <w:pStyle w:val="ListParagraph"/>
        <w:spacing w:line="480" w:lineRule="auto"/>
        <w:ind w:left="0"/>
        <w:jc w:val="both"/>
        <w:rPr>
          <w:rFonts w:ascii="Arial" w:hAnsi="Arial" w:cs="Arial"/>
          <w:b/>
          <w:i/>
          <w:sz w:val="24"/>
          <w:szCs w:val="24"/>
        </w:rPr>
      </w:pPr>
    </w:p>
    <w:p w14:paraId="38B0C645" w14:textId="1DAA27A7" w:rsidR="005D1080" w:rsidRPr="005D1080" w:rsidRDefault="00265811" w:rsidP="005D1080">
      <w:pPr>
        <w:pStyle w:val="ListParagraph"/>
        <w:numPr>
          <w:ilvl w:val="0"/>
          <w:numId w:val="1"/>
        </w:numPr>
        <w:spacing w:line="480" w:lineRule="auto"/>
        <w:jc w:val="both"/>
        <w:rPr>
          <w:rFonts w:ascii="Arial" w:hAnsi="Arial" w:cs="Arial"/>
          <w:b/>
          <w:sz w:val="24"/>
          <w:szCs w:val="24"/>
        </w:rPr>
      </w:pPr>
      <w:r>
        <w:rPr>
          <w:rFonts w:ascii="Arial" w:hAnsi="Arial" w:cs="Arial"/>
          <w:sz w:val="24"/>
          <w:szCs w:val="24"/>
        </w:rPr>
        <w:t>The first consideration pertains to</w:t>
      </w:r>
      <w:r w:rsidR="00653FF7">
        <w:rPr>
          <w:rFonts w:ascii="Arial" w:hAnsi="Arial" w:cs="Arial"/>
          <w:sz w:val="24"/>
          <w:szCs w:val="24"/>
        </w:rPr>
        <w:t xml:space="preserve"> the extent of the non-disclosure</w:t>
      </w:r>
      <w:r>
        <w:rPr>
          <w:rFonts w:ascii="Arial" w:hAnsi="Arial" w:cs="Arial"/>
          <w:sz w:val="24"/>
          <w:szCs w:val="24"/>
        </w:rPr>
        <w:t xml:space="preserve"> which</w:t>
      </w:r>
      <w:r w:rsidR="00653FF7">
        <w:rPr>
          <w:rFonts w:ascii="Arial" w:hAnsi="Arial" w:cs="Arial"/>
          <w:sz w:val="24"/>
          <w:szCs w:val="24"/>
        </w:rPr>
        <w:t xml:space="preserve"> has </w:t>
      </w:r>
      <w:r w:rsidR="006446CB">
        <w:rPr>
          <w:rFonts w:ascii="Arial" w:hAnsi="Arial" w:cs="Arial"/>
          <w:sz w:val="24"/>
          <w:szCs w:val="24"/>
        </w:rPr>
        <w:t xml:space="preserve">at </w:t>
      </w:r>
      <w:r>
        <w:rPr>
          <w:rFonts w:ascii="Arial" w:hAnsi="Arial" w:cs="Arial"/>
          <w:sz w:val="24"/>
          <w:szCs w:val="24"/>
        </w:rPr>
        <w:t xml:space="preserve"> large </w:t>
      </w:r>
      <w:r w:rsidR="00653FF7">
        <w:rPr>
          <w:rFonts w:ascii="Arial" w:hAnsi="Arial" w:cs="Arial"/>
          <w:sz w:val="24"/>
          <w:szCs w:val="24"/>
        </w:rPr>
        <w:t xml:space="preserve">been dealt with earlier in this judgment </w:t>
      </w:r>
      <w:r w:rsidR="00653FF7" w:rsidRPr="00653FF7">
        <w:rPr>
          <w:rFonts w:ascii="Arial" w:hAnsi="Arial" w:cs="Arial"/>
          <w:sz w:val="24"/>
          <w:szCs w:val="24"/>
        </w:rPr>
        <w:t>and does not require repeating</w:t>
      </w:r>
      <w:r w:rsidR="006446CB">
        <w:rPr>
          <w:rFonts w:ascii="Arial" w:hAnsi="Arial" w:cs="Arial"/>
          <w:sz w:val="24"/>
          <w:szCs w:val="24"/>
        </w:rPr>
        <w:t>,</w:t>
      </w:r>
      <w:r w:rsidR="00653FF7" w:rsidRPr="00653FF7">
        <w:rPr>
          <w:rFonts w:ascii="Arial" w:hAnsi="Arial" w:cs="Arial"/>
          <w:sz w:val="24"/>
          <w:szCs w:val="24"/>
        </w:rPr>
        <w:t xml:space="preserve"> save to highlight a few pertinent aspects.</w:t>
      </w:r>
      <w:r w:rsidR="00653FF7">
        <w:rPr>
          <w:rStyle w:val="FootnoteReference"/>
          <w:rFonts w:ascii="Arial" w:hAnsi="Arial" w:cs="Arial"/>
          <w:sz w:val="24"/>
          <w:szCs w:val="24"/>
        </w:rPr>
        <w:footnoteReference w:id="51"/>
      </w:r>
      <w:r w:rsidR="00653FF7" w:rsidRPr="00653FF7">
        <w:rPr>
          <w:rFonts w:ascii="Arial" w:hAnsi="Arial" w:cs="Arial"/>
          <w:sz w:val="24"/>
          <w:szCs w:val="24"/>
        </w:rPr>
        <w:t xml:space="preserve"> </w:t>
      </w:r>
      <w:r w:rsidR="005D1080" w:rsidRPr="005D1080">
        <w:rPr>
          <w:rFonts w:ascii="Arial" w:hAnsi="Arial" w:cs="Arial"/>
          <w:sz w:val="24"/>
          <w:szCs w:val="24"/>
        </w:rPr>
        <w:t xml:space="preserve">During argument, Counsel for the Applicants, methodically dealt with each page of the transcript of the Insolvency Enquiry to show its relevance, more particularly the pages that were not attached to the </w:t>
      </w:r>
      <w:r w:rsidR="005D1080" w:rsidRPr="005D1080">
        <w:rPr>
          <w:rFonts w:ascii="Arial" w:hAnsi="Arial" w:cs="Arial"/>
          <w:i/>
          <w:sz w:val="24"/>
          <w:szCs w:val="24"/>
        </w:rPr>
        <w:t>ex parte</w:t>
      </w:r>
      <w:r w:rsidR="005D1080" w:rsidRPr="005D1080">
        <w:rPr>
          <w:rFonts w:ascii="Arial" w:hAnsi="Arial" w:cs="Arial"/>
          <w:sz w:val="24"/>
          <w:szCs w:val="24"/>
        </w:rPr>
        <w:t xml:space="preserve"> application. </w:t>
      </w:r>
      <w:r w:rsidR="00653FF7" w:rsidRPr="00653FF7">
        <w:rPr>
          <w:rFonts w:ascii="Arial" w:hAnsi="Arial" w:cs="Arial"/>
          <w:sz w:val="24"/>
          <w:szCs w:val="24"/>
        </w:rPr>
        <w:t>It is the Applicants</w:t>
      </w:r>
      <w:r w:rsidR="006446CB">
        <w:rPr>
          <w:rFonts w:ascii="Arial" w:hAnsi="Arial" w:cs="Arial"/>
          <w:sz w:val="24"/>
          <w:szCs w:val="24"/>
        </w:rPr>
        <w:t>’</w:t>
      </w:r>
      <w:r w:rsidR="00653FF7" w:rsidRPr="00653FF7">
        <w:rPr>
          <w:rFonts w:ascii="Arial" w:hAnsi="Arial" w:cs="Arial"/>
          <w:sz w:val="24"/>
          <w:szCs w:val="24"/>
        </w:rPr>
        <w:t xml:space="preserve"> contention that the Founding Affidavit contains reference to the amount of R250 000 that was paid for the renovations and that the property at which the renovations were made was sold prior to the sequestration of Mr Ferreira.</w:t>
      </w:r>
      <w:r w:rsidR="00653FF7">
        <w:rPr>
          <w:rStyle w:val="FootnoteReference"/>
          <w:rFonts w:ascii="Arial" w:hAnsi="Arial" w:cs="Arial"/>
          <w:sz w:val="24"/>
          <w:szCs w:val="24"/>
        </w:rPr>
        <w:footnoteReference w:id="52"/>
      </w:r>
      <w:r w:rsidR="005D1080">
        <w:rPr>
          <w:rFonts w:ascii="Arial" w:hAnsi="Arial" w:cs="Arial"/>
          <w:sz w:val="24"/>
          <w:szCs w:val="24"/>
        </w:rPr>
        <w:t xml:space="preserve"> </w:t>
      </w:r>
    </w:p>
    <w:p w14:paraId="4DCE1B28" w14:textId="77777777" w:rsidR="005D1080" w:rsidRPr="005D1080" w:rsidRDefault="005D1080" w:rsidP="005D1080">
      <w:pPr>
        <w:pStyle w:val="ListParagraph"/>
        <w:rPr>
          <w:rFonts w:ascii="Arial" w:hAnsi="Arial" w:cs="Arial"/>
          <w:sz w:val="24"/>
          <w:szCs w:val="24"/>
        </w:rPr>
      </w:pPr>
    </w:p>
    <w:p w14:paraId="7A33210B" w14:textId="27454272" w:rsidR="005D1080" w:rsidRPr="00262464" w:rsidRDefault="00653FF7" w:rsidP="005D1080">
      <w:pPr>
        <w:pStyle w:val="ListParagraph"/>
        <w:numPr>
          <w:ilvl w:val="0"/>
          <w:numId w:val="1"/>
        </w:numPr>
        <w:spacing w:line="480" w:lineRule="auto"/>
        <w:jc w:val="both"/>
        <w:rPr>
          <w:rFonts w:ascii="Arial" w:hAnsi="Arial" w:cs="Arial"/>
          <w:b/>
          <w:sz w:val="24"/>
          <w:szCs w:val="24"/>
        </w:rPr>
      </w:pPr>
      <w:r>
        <w:rPr>
          <w:rFonts w:ascii="Arial" w:hAnsi="Arial" w:cs="Arial"/>
          <w:sz w:val="24"/>
          <w:szCs w:val="24"/>
        </w:rPr>
        <w:t>The Applicant</w:t>
      </w:r>
      <w:r w:rsidR="005D1080">
        <w:rPr>
          <w:rFonts w:ascii="Arial" w:hAnsi="Arial" w:cs="Arial"/>
          <w:sz w:val="24"/>
          <w:szCs w:val="24"/>
        </w:rPr>
        <w:t>s furthermore</w:t>
      </w:r>
      <w:r>
        <w:rPr>
          <w:rFonts w:ascii="Arial" w:hAnsi="Arial" w:cs="Arial"/>
          <w:sz w:val="24"/>
          <w:szCs w:val="24"/>
        </w:rPr>
        <w:t xml:space="preserve"> highlighted that the First Respondent made contradictory statement at the Insolvency Enquiry insofar as First Respondent avers that she had no knowledge of the affairs of the First Applicant as contained in the papers.</w:t>
      </w:r>
      <w:r>
        <w:rPr>
          <w:rStyle w:val="FootnoteReference"/>
          <w:rFonts w:ascii="Arial" w:hAnsi="Arial" w:cs="Arial"/>
          <w:sz w:val="24"/>
          <w:szCs w:val="24"/>
        </w:rPr>
        <w:footnoteReference w:id="53"/>
      </w:r>
      <w:r>
        <w:rPr>
          <w:rFonts w:ascii="Arial" w:hAnsi="Arial" w:cs="Arial"/>
          <w:sz w:val="24"/>
          <w:szCs w:val="24"/>
        </w:rPr>
        <w:t xml:space="preserve"> </w:t>
      </w:r>
      <w:r w:rsidR="005D1080">
        <w:rPr>
          <w:rFonts w:ascii="Arial" w:hAnsi="Arial" w:cs="Arial"/>
          <w:sz w:val="24"/>
          <w:szCs w:val="24"/>
        </w:rPr>
        <w:t xml:space="preserve">In addition, </w:t>
      </w:r>
      <w:r>
        <w:rPr>
          <w:rFonts w:ascii="Arial" w:hAnsi="Arial" w:cs="Arial"/>
          <w:sz w:val="24"/>
          <w:szCs w:val="24"/>
        </w:rPr>
        <w:t xml:space="preserve">Counsel for the Applicants submitted that this aspect was not a non-disclosure </w:t>
      </w:r>
      <w:r w:rsidRPr="00E84499">
        <w:rPr>
          <w:rFonts w:ascii="Arial" w:hAnsi="Arial" w:cs="Arial"/>
          <w:i/>
          <w:sz w:val="24"/>
          <w:szCs w:val="24"/>
        </w:rPr>
        <w:t>per se</w:t>
      </w:r>
      <w:r>
        <w:rPr>
          <w:rFonts w:ascii="Arial" w:hAnsi="Arial" w:cs="Arial"/>
          <w:sz w:val="24"/>
          <w:szCs w:val="24"/>
        </w:rPr>
        <w:t xml:space="preserve"> and could be argued. It was argued that in order to assess the no</w:t>
      </w:r>
      <w:r w:rsidR="00C16CDB">
        <w:rPr>
          <w:rFonts w:ascii="Arial" w:hAnsi="Arial" w:cs="Arial"/>
          <w:sz w:val="24"/>
          <w:szCs w:val="24"/>
        </w:rPr>
        <w:t xml:space="preserve">n-disclosure the court is to consider </w:t>
      </w:r>
      <w:r>
        <w:rPr>
          <w:rFonts w:ascii="Arial" w:hAnsi="Arial" w:cs="Arial"/>
          <w:sz w:val="24"/>
          <w:szCs w:val="24"/>
        </w:rPr>
        <w:t>the Answering Affidavit as the Heads of Argument of the First Respondent expounds on the submissions contained in the First Respondent’s Answering Affidavit.</w:t>
      </w:r>
      <w:r w:rsidR="005D1080">
        <w:rPr>
          <w:rFonts w:ascii="Arial" w:hAnsi="Arial" w:cs="Arial"/>
          <w:sz w:val="24"/>
          <w:szCs w:val="24"/>
        </w:rPr>
        <w:t xml:space="preserve"> </w:t>
      </w:r>
    </w:p>
    <w:p w14:paraId="48C5B6AC" w14:textId="69A3208C" w:rsidR="00653FF7" w:rsidRPr="005D1080" w:rsidRDefault="005D1080" w:rsidP="005D1080">
      <w:pPr>
        <w:pStyle w:val="ListParagraph"/>
        <w:numPr>
          <w:ilvl w:val="0"/>
          <w:numId w:val="1"/>
        </w:numPr>
        <w:spacing w:line="480" w:lineRule="auto"/>
        <w:jc w:val="both"/>
        <w:rPr>
          <w:rFonts w:ascii="Arial" w:hAnsi="Arial" w:cs="Arial"/>
          <w:b/>
          <w:sz w:val="24"/>
          <w:szCs w:val="24"/>
        </w:rPr>
      </w:pPr>
      <w:r>
        <w:rPr>
          <w:rFonts w:ascii="Arial" w:hAnsi="Arial" w:cs="Arial"/>
          <w:sz w:val="24"/>
          <w:szCs w:val="24"/>
        </w:rPr>
        <w:lastRenderedPageBreak/>
        <w:t xml:space="preserve">Counsel for the Applicants submitted </w:t>
      </w:r>
      <w:r w:rsidR="00653FF7" w:rsidRPr="005D1080">
        <w:rPr>
          <w:rFonts w:ascii="Arial" w:hAnsi="Arial" w:cs="Arial"/>
          <w:sz w:val="24"/>
          <w:szCs w:val="24"/>
        </w:rPr>
        <w:t>that the only aspect which is of great relevance was that Mr Ferreira had some other source of income and the fact that there were contradictions regarding the First Respondent’s knowledge of the affairs of the First Applicant. This, it was submitted, amounted to limited amount of non-disclosure.</w:t>
      </w:r>
    </w:p>
    <w:p w14:paraId="714BFBFE" w14:textId="77777777" w:rsidR="005D1080" w:rsidRPr="005D1080" w:rsidRDefault="005D1080" w:rsidP="005D1080">
      <w:pPr>
        <w:pStyle w:val="ListParagraph"/>
        <w:rPr>
          <w:rFonts w:ascii="Arial" w:hAnsi="Arial" w:cs="Arial"/>
          <w:b/>
          <w:sz w:val="24"/>
          <w:szCs w:val="24"/>
        </w:rPr>
      </w:pPr>
    </w:p>
    <w:p w14:paraId="32247C6B" w14:textId="5185D189" w:rsidR="005D1080" w:rsidRPr="009170B5" w:rsidRDefault="00B74CC4" w:rsidP="005D1080">
      <w:pPr>
        <w:pStyle w:val="ListParagraph"/>
        <w:numPr>
          <w:ilvl w:val="0"/>
          <w:numId w:val="1"/>
        </w:numPr>
        <w:spacing w:line="480" w:lineRule="auto"/>
        <w:jc w:val="both"/>
        <w:rPr>
          <w:rFonts w:ascii="Arial" w:hAnsi="Arial" w:cs="Arial"/>
          <w:b/>
          <w:sz w:val="24"/>
          <w:szCs w:val="24"/>
        </w:rPr>
      </w:pPr>
      <w:r>
        <w:rPr>
          <w:rFonts w:ascii="Arial" w:hAnsi="Arial" w:cs="Arial"/>
          <w:sz w:val="24"/>
          <w:szCs w:val="24"/>
        </w:rPr>
        <w:t>The authorities are clear</w:t>
      </w:r>
      <w:r w:rsidR="005D1080">
        <w:rPr>
          <w:rFonts w:ascii="Arial" w:hAnsi="Arial" w:cs="Arial"/>
          <w:sz w:val="24"/>
          <w:szCs w:val="24"/>
        </w:rPr>
        <w:t xml:space="preserve"> that such non-disclosure need not have been </w:t>
      </w:r>
      <w:r w:rsidR="005D1080" w:rsidRPr="004B33D7">
        <w:rPr>
          <w:rFonts w:ascii="Arial" w:hAnsi="Arial" w:cs="Arial"/>
          <w:i/>
          <w:sz w:val="24"/>
          <w:szCs w:val="24"/>
        </w:rPr>
        <w:t>mala fide</w:t>
      </w:r>
      <w:r w:rsidR="005D1080">
        <w:rPr>
          <w:rFonts w:ascii="Arial" w:hAnsi="Arial" w:cs="Arial"/>
          <w:sz w:val="24"/>
          <w:szCs w:val="24"/>
        </w:rPr>
        <w:t xml:space="preserve"> or wilful before a court will discharge a </w:t>
      </w:r>
      <w:r w:rsidR="005D1080">
        <w:rPr>
          <w:rFonts w:ascii="Arial" w:hAnsi="Arial" w:cs="Arial"/>
          <w:i/>
          <w:sz w:val="24"/>
          <w:szCs w:val="24"/>
        </w:rPr>
        <w:t>rule nisi.</w:t>
      </w:r>
      <w:r w:rsidR="005D1080">
        <w:rPr>
          <w:rFonts w:ascii="Arial" w:hAnsi="Arial" w:cs="Arial"/>
          <w:sz w:val="24"/>
          <w:szCs w:val="24"/>
        </w:rPr>
        <w:t xml:space="preserve"> It is also not a matter of course that the </w:t>
      </w:r>
      <w:r w:rsidR="005D1080">
        <w:rPr>
          <w:rFonts w:ascii="Arial" w:hAnsi="Arial" w:cs="Arial"/>
          <w:i/>
          <w:sz w:val="24"/>
          <w:szCs w:val="24"/>
        </w:rPr>
        <w:t xml:space="preserve">ex parte </w:t>
      </w:r>
      <w:r w:rsidR="005D1080">
        <w:rPr>
          <w:rFonts w:ascii="Arial" w:hAnsi="Arial" w:cs="Arial"/>
          <w:sz w:val="24"/>
          <w:szCs w:val="24"/>
        </w:rPr>
        <w:t>ord</w:t>
      </w:r>
      <w:r w:rsidR="009170B5">
        <w:rPr>
          <w:rFonts w:ascii="Arial" w:hAnsi="Arial" w:cs="Arial"/>
          <w:sz w:val="24"/>
          <w:szCs w:val="24"/>
        </w:rPr>
        <w:t>er will necessarily be set aside in the event of material non-disclosure.</w:t>
      </w:r>
    </w:p>
    <w:p w14:paraId="63D91DC2" w14:textId="77777777" w:rsidR="009170B5" w:rsidRPr="009170B5" w:rsidRDefault="009170B5" w:rsidP="009170B5">
      <w:pPr>
        <w:pStyle w:val="ListParagraph"/>
        <w:rPr>
          <w:rFonts w:ascii="Arial" w:hAnsi="Arial" w:cs="Arial"/>
          <w:b/>
          <w:sz w:val="24"/>
          <w:szCs w:val="24"/>
        </w:rPr>
      </w:pPr>
    </w:p>
    <w:p w14:paraId="67FDDB25" w14:textId="6CED89BC" w:rsidR="00817005" w:rsidRPr="00B80C7E" w:rsidRDefault="009170B5" w:rsidP="00817005">
      <w:pPr>
        <w:pStyle w:val="ListParagraph"/>
        <w:numPr>
          <w:ilvl w:val="0"/>
          <w:numId w:val="1"/>
        </w:numPr>
        <w:spacing w:line="480" w:lineRule="auto"/>
        <w:jc w:val="both"/>
        <w:rPr>
          <w:rFonts w:ascii="Arial" w:hAnsi="Arial" w:cs="Arial"/>
          <w:b/>
          <w:sz w:val="24"/>
          <w:szCs w:val="24"/>
        </w:rPr>
      </w:pPr>
      <w:r w:rsidRPr="00817005">
        <w:rPr>
          <w:rFonts w:ascii="Arial" w:hAnsi="Arial" w:cs="Arial"/>
          <w:sz w:val="24"/>
          <w:szCs w:val="24"/>
        </w:rPr>
        <w:t>The second consideration is w</w:t>
      </w:r>
      <w:r w:rsidR="00653FF7" w:rsidRPr="00817005">
        <w:rPr>
          <w:rFonts w:ascii="Arial" w:hAnsi="Arial" w:cs="Arial"/>
          <w:sz w:val="24"/>
          <w:szCs w:val="24"/>
        </w:rPr>
        <w:t>hether the first court might have been influenced in the event that there was proper disclosure</w:t>
      </w:r>
      <w:r w:rsidRPr="00817005">
        <w:rPr>
          <w:rFonts w:ascii="Arial" w:hAnsi="Arial" w:cs="Arial"/>
          <w:sz w:val="24"/>
          <w:szCs w:val="24"/>
        </w:rPr>
        <w:t xml:space="preserve">. </w:t>
      </w:r>
      <w:r w:rsidR="00653FF7" w:rsidRPr="00817005">
        <w:rPr>
          <w:rFonts w:ascii="Arial" w:hAnsi="Arial" w:cs="Arial"/>
          <w:sz w:val="24"/>
          <w:szCs w:val="24"/>
        </w:rPr>
        <w:t xml:space="preserve">Counsel for the Applicant </w:t>
      </w:r>
      <w:r w:rsidR="00ED0CF1">
        <w:rPr>
          <w:rFonts w:ascii="Arial" w:hAnsi="Arial" w:cs="Arial"/>
          <w:sz w:val="24"/>
          <w:szCs w:val="24"/>
        </w:rPr>
        <w:t>correctly elucidated</w:t>
      </w:r>
      <w:r w:rsidR="00653FF7" w:rsidRPr="00817005">
        <w:rPr>
          <w:rFonts w:ascii="Arial" w:hAnsi="Arial" w:cs="Arial"/>
          <w:sz w:val="24"/>
          <w:szCs w:val="24"/>
        </w:rPr>
        <w:t xml:space="preserve"> that the hurdle to overcome at the </w:t>
      </w:r>
      <w:r w:rsidR="00653FF7" w:rsidRPr="00817005">
        <w:rPr>
          <w:rFonts w:ascii="Arial" w:hAnsi="Arial" w:cs="Arial"/>
          <w:i/>
          <w:sz w:val="24"/>
          <w:szCs w:val="24"/>
        </w:rPr>
        <w:t>ex parte</w:t>
      </w:r>
      <w:r w:rsidR="00653FF7" w:rsidRPr="00817005">
        <w:rPr>
          <w:rFonts w:ascii="Arial" w:hAnsi="Arial" w:cs="Arial"/>
          <w:sz w:val="24"/>
          <w:szCs w:val="24"/>
        </w:rPr>
        <w:t xml:space="preserve"> phase of the application is low as the court only has to consider whether a </w:t>
      </w:r>
      <w:r w:rsidR="00653FF7" w:rsidRPr="00817005">
        <w:rPr>
          <w:rFonts w:ascii="Arial" w:hAnsi="Arial" w:cs="Arial"/>
          <w:i/>
          <w:sz w:val="24"/>
          <w:szCs w:val="24"/>
        </w:rPr>
        <w:t>prima facie</w:t>
      </w:r>
      <w:r w:rsidR="00653FF7" w:rsidRPr="00817005">
        <w:rPr>
          <w:rFonts w:ascii="Arial" w:hAnsi="Arial" w:cs="Arial"/>
          <w:sz w:val="24"/>
          <w:szCs w:val="24"/>
        </w:rPr>
        <w:t xml:space="preserve"> case is made out on the papers.</w:t>
      </w:r>
      <w:r w:rsidRPr="00817005">
        <w:rPr>
          <w:rFonts w:ascii="Arial" w:hAnsi="Arial" w:cs="Arial"/>
          <w:sz w:val="24"/>
          <w:szCs w:val="24"/>
        </w:rPr>
        <w:t xml:space="preserve"> </w:t>
      </w:r>
      <w:r w:rsidR="00DC7702" w:rsidRPr="00E82A4D">
        <w:rPr>
          <w:rFonts w:ascii="Arial" w:hAnsi="Arial" w:cs="Arial"/>
          <w:sz w:val="24"/>
          <w:szCs w:val="24"/>
        </w:rPr>
        <w:t xml:space="preserve">Gamble J, writing for the full court in </w:t>
      </w:r>
      <w:r w:rsidR="00DC7702" w:rsidRPr="00E82A4D">
        <w:rPr>
          <w:rFonts w:ascii="Arial" w:hAnsi="Arial" w:cs="Arial"/>
          <w:b/>
          <w:i/>
          <w:sz w:val="24"/>
          <w:szCs w:val="24"/>
        </w:rPr>
        <w:t>Obiang</w:t>
      </w:r>
      <w:r w:rsidR="00DC7702" w:rsidRPr="00E82A4D">
        <w:rPr>
          <w:rFonts w:ascii="Arial" w:hAnsi="Arial" w:cs="Arial"/>
          <w:sz w:val="24"/>
          <w:szCs w:val="24"/>
        </w:rPr>
        <w:t xml:space="preserve"> </w:t>
      </w:r>
      <w:r w:rsidR="00DC7702" w:rsidRPr="00E82A4D">
        <w:rPr>
          <w:rFonts w:ascii="Arial" w:hAnsi="Arial" w:cs="Arial"/>
          <w:i/>
          <w:sz w:val="24"/>
          <w:szCs w:val="24"/>
        </w:rPr>
        <w:t>(supra)</w:t>
      </w:r>
      <w:r w:rsidR="00DC7702">
        <w:rPr>
          <w:rStyle w:val="FootnoteReference"/>
          <w:rFonts w:ascii="Arial" w:hAnsi="Arial" w:cs="Arial"/>
          <w:i/>
          <w:sz w:val="24"/>
          <w:szCs w:val="24"/>
        </w:rPr>
        <w:footnoteReference w:id="54"/>
      </w:r>
      <w:r w:rsidR="00DC7702" w:rsidRPr="00E82A4D">
        <w:rPr>
          <w:rFonts w:ascii="Arial" w:hAnsi="Arial" w:cs="Arial"/>
          <w:i/>
          <w:sz w:val="24"/>
          <w:szCs w:val="24"/>
        </w:rPr>
        <w:t xml:space="preserve"> </w:t>
      </w:r>
      <w:r w:rsidR="00DC7702" w:rsidRPr="00E82A4D">
        <w:rPr>
          <w:rFonts w:ascii="Arial" w:hAnsi="Arial" w:cs="Arial"/>
          <w:sz w:val="24"/>
          <w:szCs w:val="24"/>
        </w:rPr>
        <w:t xml:space="preserve">reaffirmed the trite legal principle that once the Applicant in such an </w:t>
      </w:r>
      <w:r w:rsidR="00DC7702" w:rsidRPr="00E82A4D">
        <w:rPr>
          <w:rFonts w:ascii="Arial" w:hAnsi="Arial" w:cs="Arial"/>
          <w:i/>
          <w:sz w:val="24"/>
          <w:szCs w:val="24"/>
        </w:rPr>
        <w:t xml:space="preserve">ex parte </w:t>
      </w:r>
      <w:r w:rsidR="00DC7702" w:rsidRPr="00E82A4D">
        <w:rPr>
          <w:rFonts w:ascii="Arial" w:hAnsi="Arial" w:cs="Arial"/>
          <w:sz w:val="24"/>
          <w:szCs w:val="24"/>
        </w:rPr>
        <w:t xml:space="preserve">application establishes a </w:t>
      </w:r>
      <w:r w:rsidR="00DC7702" w:rsidRPr="00E82A4D">
        <w:rPr>
          <w:rFonts w:ascii="Arial" w:hAnsi="Arial" w:cs="Arial"/>
          <w:i/>
          <w:sz w:val="24"/>
          <w:szCs w:val="24"/>
        </w:rPr>
        <w:t>prima facie</w:t>
      </w:r>
      <w:r w:rsidR="00DC7702" w:rsidRPr="00E82A4D">
        <w:rPr>
          <w:rFonts w:ascii="Arial" w:hAnsi="Arial" w:cs="Arial"/>
          <w:sz w:val="24"/>
          <w:szCs w:val="24"/>
        </w:rPr>
        <w:t xml:space="preserve"> cause of action, the court does not have a discretion to refuse to order an attachment.</w:t>
      </w:r>
      <w:r w:rsidR="00DC7702">
        <w:rPr>
          <w:rStyle w:val="FootnoteReference"/>
          <w:rFonts w:ascii="Arial" w:hAnsi="Arial" w:cs="Arial"/>
          <w:sz w:val="24"/>
          <w:szCs w:val="24"/>
        </w:rPr>
        <w:footnoteReference w:id="55"/>
      </w:r>
      <w:r w:rsidR="00DC7702" w:rsidRPr="00E82A4D">
        <w:rPr>
          <w:rFonts w:ascii="Arial" w:hAnsi="Arial" w:cs="Arial"/>
          <w:b/>
          <w:sz w:val="24"/>
          <w:szCs w:val="24"/>
        </w:rPr>
        <w:t xml:space="preserve"> </w:t>
      </w:r>
    </w:p>
    <w:p w14:paraId="1F5D0E5A" w14:textId="695CEEF8" w:rsidR="00653FF7" w:rsidRDefault="004502AA" w:rsidP="004502AA">
      <w:pPr>
        <w:pStyle w:val="ListParagraph"/>
        <w:numPr>
          <w:ilvl w:val="0"/>
          <w:numId w:val="1"/>
        </w:numPr>
        <w:spacing w:line="480" w:lineRule="auto"/>
        <w:jc w:val="both"/>
        <w:rPr>
          <w:rFonts w:ascii="Arial" w:hAnsi="Arial" w:cs="Arial"/>
          <w:sz w:val="24"/>
          <w:szCs w:val="24"/>
        </w:rPr>
      </w:pPr>
      <w:r>
        <w:rPr>
          <w:rFonts w:ascii="Arial" w:hAnsi="Arial" w:cs="Arial"/>
          <w:sz w:val="24"/>
          <w:szCs w:val="24"/>
        </w:rPr>
        <w:lastRenderedPageBreak/>
        <w:t xml:space="preserve">The third consideration is the reason for the non-disclosure. </w:t>
      </w:r>
      <w:r w:rsidR="00653FF7" w:rsidRPr="004502AA">
        <w:rPr>
          <w:rFonts w:ascii="Arial" w:hAnsi="Arial" w:cs="Arial"/>
          <w:sz w:val="24"/>
          <w:szCs w:val="24"/>
        </w:rPr>
        <w:t>Counsel for the Applicants argued that the court wasn’t sought to be burdened with a record that was barely relevant. Counsel for the First Respondent contended that it was not a lengthy document.</w:t>
      </w:r>
      <w:r>
        <w:rPr>
          <w:rFonts w:ascii="Arial" w:hAnsi="Arial" w:cs="Arial"/>
          <w:sz w:val="24"/>
          <w:szCs w:val="24"/>
        </w:rPr>
        <w:t xml:space="preserve"> It is trite that mere fact that evidence is contradicted</w:t>
      </w:r>
      <w:r w:rsidR="008A4665">
        <w:rPr>
          <w:rFonts w:ascii="Arial" w:hAnsi="Arial" w:cs="Arial"/>
          <w:sz w:val="24"/>
          <w:szCs w:val="24"/>
        </w:rPr>
        <w:t xml:space="preserve"> will not disentitle the Applicant to relief, even if the probabilities are against him. It is manifest that it is only where it is quite clear that the Applicant has no action or cannot succeed that an attachment should be refused. </w:t>
      </w:r>
    </w:p>
    <w:p w14:paraId="11FE552D" w14:textId="77777777" w:rsidR="008A4665" w:rsidRPr="008A4665" w:rsidRDefault="008A4665" w:rsidP="008A4665">
      <w:pPr>
        <w:pStyle w:val="ListParagraph"/>
        <w:rPr>
          <w:rFonts w:ascii="Arial" w:hAnsi="Arial" w:cs="Arial"/>
          <w:sz w:val="24"/>
          <w:szCs w:val="24"/>
        </w:rPr>
      </w:pPr>
    </w:p>
    <w:p w14:paraId="10D68B35" w14:textId="00C0A75F" w:rsidR="00653FF7" w:rsidRDefault="008A4665" w:rsidP="008A4665">
      <w:pPr>
        <w:pStyle w:val="ListParagraph"/>
        <w:numPr>
          <w:ilvl w:val="0"/>
          <w:numId w:val="1"/>
        </w:numPr>
        <w:spacing w:line="480" w:lineRule="auto"/>
        <w:jc w:val="both"/>
        <w:rPr>
          <w:rFonts w:ascii="Arial" w:hAnsi="Arial" w:cs="Arial"/>
          <w:sz w:val="24"/>
          <w:szCs w:val="24"/>
        </w:rPr>
      </w:pPr>
      <w:r>
        <w:rPr>
          <w:rFonts w:ascii="Arial" w:hAnsi="Arial" w:cs="Arial"/>
          <w:sz w:val="24"/>
          <w:szCs w:val="24"/>
        </w:rPr>
        <w:t xml:space="preserve">Fourthly, the court is to consider the consequences of setting aside the order granted </w:t>
      </w:r>
      <w:r>
        <w:rPr>
          <w:rFonts w:ascii="Arial" w:hAnsi="Arial" w:cs="Arial"/>
          <w:i/>
          <w:sz w:val="24"/>
          <w:szCs w:val="24"/>
        </w:rPr>
        <w:t xml:space="preserve">ex parte. </w:t>
      </w:r>
      <w:r w:rsidR="00653FF7" w:rsidRPr="008A4665">
        <w:rPr>
          <w:rFonts w:ascii="Arial" w:hAnsi="Arial" w:cs="Arial"/>
          <w:sz w:val="24"/>
          <w:szCs w:val="24"/>
        </w:rPr>
        <w:t xml:space="preserve">Counsel for the Applicants mooted that the funds will flow to Poland if not attached and as such the consequence would be serious. </w:t>
      </w:r>
    </w:p>
    <w:p w14:paraId="40494F5E" w14:textId="77777777" w:rsidR="00817005" w:rsidRPr="00817005" w:rsidRDefault="00817005" w:rsidP="00817005">
      <w:pPr>
        <w:pStyle w:val="ListParagraph"/>
        <w:rPr>
          <w:rFonts w:ascii="Arial" w:hAnsi="Arial" w:cs="Arial"/>
          <w:sz w:val="24"/>
          <w:szCs w:val="24"/>
        </w:rPr>
      </w:pPr>
    </w:p>
    <w:p w14:paraId="72FE6BDC" w14:textId="17BA6098" w:rsidR="00817005" w:rsidRDefault="00817005" w:rsidP="00817005">
      <w:pPr>
        <w:pStyle w:val="ListParagraph"/>
        <w:numPr>
          <w:ilvl w:val="0"/>
          <w:numId w:val="1"/>
        </w:numPr>
        <w:spacing w:line="480" w:lineRule="auto"/>
        <w:jc w:val="both"/>
        <w:rPr>
          <w:rFonts w:ascii="Arial" w:hAnsi="Arial" w:cs="Arial"/>
          <w:sz w:val="24"/>
          <w:szCs w:val="24"/>
        </w:rPr>
      </w:pPr>
      <w:r>
        <w:rPr>
          <w:rFonts w:ascii="Arial" w:hAnsi="Arial" w:cs="Arial"/>
          <w:sz w:val="24"/>
          <w:szCs w:val="24"/>
        </w:rPr>
        <w:t>The threshold for a</w:t>
      </w:r>
      <w:r w:rsidR="00181B11">
        <w:rPr>
          <w:rFonts w:ascii="Arial" w:hAnsi="Arial" w:cs="Arial"/>
          <w:sz w:val="24"/>
          <w:szCs w:val="24"/>
        </w:rPr>
        <w:t>n</w:t>
      </w:r>
      <w:r>
        <w:rPr>
          <w:rFonts w:ascii="Arial" w:hAnsi="Arial" w:cs="Arial"/>
          <w:sz w:val="24"/>
          <w:szCs w:val="24"/>
        </w:rPr>
        <w:t xml:space="preserve"> </w:t>
      </w:r>
      <w:r w:rsidRPr="00817005">
        <w:rPr>
          <w:rFonts w:ascii="Arial" w:hAnsi="Arial" w:cs="Arial"/>
          <w:i/>
          <w:sz w:val="24"/>
          <w:szCs w:val="24"/>
        </w:rPr>
        <w:t>ex parte</w:t>
      </w:r>
      <w:r>
        <w:rPr>
          <w:rFonts w:ascii="Arial" w:hAnsi="Arial" w:cs="Arial"/>
          <w:sz w:val="24"/>
          <w:szCs w:val="24"/>
        </w:rPr>
        <w:t xml:space="preserve"> application has been termed to be a low-level test</w:t>
      </w:r>
      <w:r w:rsidR="00181B11">
        <w:rPr>
          <w:rFonts w:ascii="Arial" w:hAnsi="Arial" w:cs="Arial"/>
          <w:sz w:val="24"/>
          <w:szCs w:val="24"/>
        </w:rPr>
        <w:t>,</w:t>
      </w:r>
      <w:r w:rsidR="007A0D4B">
        <w:rPr>
          <w:rFonts w:ascii="Arial" w:hAnsi="Arial" w:cs="Arial"/>
          <w:sz w:val="24"/>
          <w:szCs w:val="24"/>
        </w:rPr>
        <w:t xml:space="preserve"> bearing in mind that </w:t>
      </w:r>
      <w:r>
        <w:rPr>
          <w:rFonts w:ascii="Arial" w:hAnsi="Arial" w:cs="Arial"/>
          <w:sz w:val="24"/>
          <w:szCs w:val="24"/>
        </w:rPr>
        <w:t>the primary object of an attachment is to establish jurisdiction. Once that is done, the course of action will in due course have to be established in accordance with the ordinary standard of proof in subsequent proceedings. I am mindful that Courts have been cautioned not to enter into the merits of the case at this stage to attempt to adjudicate on credibility, probabilities or the prospects of success. It is trite that the court hearing the matter on the return day will always be entitled to exercise a discretion as to whether to confirm the rule or not.</w:t>
      </w:r>
    </w:p>
    <w:p w14:paraId="5B227EFA" w14:textId="1E0395D0" w:rsidR="00243F21" w:rsidRDefault="00243F21" w:rsidP="00243F21">
      <w:pPr>
        <w:pStyle w:val="ListParagraph"/>
        <w:spacing w:line="480" w:lineRule="auto"/>
        <w:ind w:left="0"/>
        <w:jc w:val="both"/>
        <w:rPr>
          <w:rFonts w:ascii="Arial" w:hAnsi="Arial" w:cs="Arial"/>
          <w:sz w:val="24"/>
          <w:szCs w:val="24"/>
        </w:rPr>
      </w:pPr>
    </w:p>
    <w:p w14:paraId="160E3362" w14:textId="64186170" w:rsidR="008A4665" w:rsidRPr="001A764D" w:rsidRDefault="00243F21" w:rsidP="00243F21">
      <w:pPr>
        <w:pStyle w:val="ListParagraph"/>
        <w:numPr>
          <w:ilvl w:val="0"/>
          <w:numId w:val="1"/>
        </w:numPr>
        <w:spacing w:line="480" w:lineRule="auto"/>
        <w:jc w:val="both"/>
        <w:rPr>
          <w:rFonts w:ascii="Arial" w:hAnsi="Arial" w:cs="Arial"/>
          <w:b/>
          <w:sz w:val="24"/>
          <w:szCs w:val="24"/>
        </w:rPr>
      </w:pPr>
      <w:r w:rsidRPr="00243F21">
        <w:rPr>
          <w:rFonts w:ascii="Arial" w:hAnsi="Arial" w:cs="Arial"/>
          <w:sz w:val="24"/>
          <w:szCs w:val="24"/>
        </w:rPr>
        <w:t xml:space="preserve">It is apparent that the Applicants no longer persist with their reliance on Section 22 of the Insolvency Act. Insofar as reliance is placed by the Applicants on Sections 26 and 31 of the Insolvency Act, the common law </w:t>
      </w:r>
      <w:r w:rsidRPr="00243F21">
        <w:rPr>
          <w:rFonts w:ascii="Arial" w:hAnsi="Arial" w:cs="Arial"/>
          <w:i/>
          <w:sz w:val="24"/>
          <w:szCs w:val="24"/>
        </w:rPr>
        <w:t>Actio Paulina</w:t>
      </w:r>
      <w:r w:rsidRPr="00243F21">
        <w:rPr>
          <w:rFonts w:ascii="Arial" w:hAnsi="Arial" w:cs="Arial"/>
          <w:sz w:val="24"/>
          <w:szCs w:val="24"/>
        </w:rPr>
        <w:t xml:space="preserve"> and Section 424 of the Companies Act, it is sufficient that the Applicant need only prove one in order to overcome the threshold required for a </w:t>
      </w:r>
      <w:r w:rsidRPr="00243F21">
        <w:rPr>
          <w:rFonts w:ascii="Arial" w:hAnsi="Arial" w:cs="Arial"/>
          <w:i/>
          <w:sz w:val="24"/>
          <w:szCs w:val="24"/>
        </w:rPr>
        <w:t>prima facie</w:t>
      </w:r>
      <w:r w:rsidRPr="00243F21">
        <w:rPr>
          <w:rFonts w:ascii="Arial" w:hAnsi="Arial" w:cs="Arial"/>
          <w:sz w:val="24"/>
          <w:szCs w:val="24"/>
        </w:rPr>
        <w:t xml:space="preserve"> case.</w:t>
      </w:r>
    </w:p>
    <w:p w14:paraId="38B67B68" w14:textId="165EE4B3" w:rsidR="00243F21" w:rsidRPr="00243F21" w:rsidRDefault="00F45335" w:rsidP="00243F21">
      <w:pPr>
        <w:pStyle w:val="ListParagraph"/>
        <w:numPr>
          <w:ilvl w:val="0"/>
          <w:numId w:val="1"/>
        </w:numPr>
        <w:spacing w:line="480" w:lineRule="auto"/>
        <w:jc w:val="both"/>
        <w:rPr>
          <w:rFonts w:ascii="Arial" w:hAnsi="Arial" w:cs="Arial"/>
          <w:b/>
          <w:sz w:val="24"/>
          <w:szCs w:val="24"/>
        </w:rPr>
      </w:pPr>
      <w:r w:rsidRPr="00243F21">
        <w:rPr>
          <w:rFonts w:ascii="Arial" w:hAnsi="Arial" w:cs="Arial"/>
          <w:sz w:val="24"/>
          <w:szCs w:val="24"/>
        </w:rPr>
        <w:lastRenderedPageBreak/>
        <w:t>Much of the Applicants</w:t>
      </w:r>
      <w:r w:rsidR="00265C22">
        <w:rPr>
          <w:rFonts w:ascii="Arial" w:hAnsi="Arial" w:cs="Arial"/>
          <w:sz w:val="24"/>
          <w:szCs w:val="24"/>
        </w:rPr>
        <w:t>’</w:t>
      </w:r>
      <w:r w:rsidRPr="00243F21">
        <w:rPr>
          <w:rFonts w:ascii="Arial" w:hAnsi="Arial" w:cs="Arial"/>
          <w:sz w:val="24"/>
          <w:szCs w:val="24"/>
        </w:rPr>
        <w:t xml:space="preserve"> arguments are based on conjecture as there</w:t>
      </w:r>
      <w:r w:rsidR="00243F21">
        <w:rPr>
          <w:rFonts w:ascii="Arial" w:hAnsi="Arial" w:cs="Arial"/>
          <w:sz w:val="24"/>
          <w:szCs w:val="24"/>
        </w:rPr>
        <w:t xml:space="preserve"> appears to be a </w:t>
      </w:r>
      <w:r w:rsidRPr="00243F21">
        <w:rPr>
          <w:rFonts w:ascii="Arial" w:hAnsi="Arial" w:cs="Arial"/>
          <w:sz w:val="24"/>
          <w:szCs w:val="24"/>
        </w:rPr>
        <w:t>lack of evidence to support the conclusions made</w:t>
      </w:r>
      <w:r w:rsidR="00265C22">
        <w:rPr>
          <w:rFonts w:ascii="Arial" w:hAnsi="Arial" w:cs="Arial"/>
          <w:sz w:val="24"/>
          <w:szCs w:val="24"/>
        </w:rPr>
        <w:t>.</w:t>
      </w:r>
      <w:r w:rsidRPr="00243F21">
        <w:rPr>
          <w:rFonts w:ascii="Arial" w:hAnsi="Arial" w:cs="Arial"/>
          <w:sz w:val="24"/>
          <w:szCs w:val="24"/>
        </w:rPr>
        <w:t xml:space="preserve"> </w:t>
      </w:r>
      <w:r w:rsidR="00265C22">
        <w:rPr>
          <w:rFonts w:ascii="Arial" w:hAnsi="Arial" w:cs="Arial"/>
          <w:sz w:val="24"/>
          <w:szCs w:val="24"/>
        </w:rPr>
        <w:t>F</w:t>
      </w:r>
      <w:r w:rsidRPr="00243F21">
        <w:rPr>
          <w:rFonts w:ascii="Arial" w:hAnsi="Arial" w:cs="Arial"/>
          <w:sz w:val="24"/>
          <w:szCs w:val="24"/>
        </w:rPr>
        <w:t xml:space="preserve">or example, the inference drawn regarding the R250 000 used to renovate the First Respondent’s property. In this regard, the Applicants speculated that it is highly unlikely that the R250 000 was the only funds used to renovate the property. Furthermore, the question is asked why the First Respondent </w:t>
      </w:r>
      <w:r w:rsidR="00265C22">
        <w:rPr>
          <w:rFonts w:ascii="Arial" w:hAnsi="Arial" w:cs="Arial"/>
          <w:sz w:val="24"/>
          <w:szCs w:val="24"/>
        </w:rPr>
        <w:t xml:space="preserve">did </w:t>
      </w:r>
      <w:r w:rsidRPr="00243F21">
        <w:rPr>
          <w:rFonts w:ascii="Arial" w:hAnsi="Arial" w:cs="Arial"/>
          <w:sz w:val="24"/>
          <w:szCs w:val="24"/>
        </w:rPr>
        <w:t xml:space="preserve">not just renovate the property herself. </w:t>
      </w:r>
    </w:p>
    <w:p w14:paraId="44E59CAA" w14:textId="77777777" w:rsidR="00243F21" w:rsidRPr="00243F21" w:rsidRDefault="00243F21" w:rsidP="00243F21">
      <w:pPr>
        <w:pStyle w:val="ListParagraph"/>
        <w:rPr>
          <w:rFonts w:ascii="Arial" w:hAnsi="Arial" w:cs="Arial"/>
          <w:b/>
          <w:sz w:val="24"/>
          <w:szCs w:val="24"/>
        </w:rPr>
      </w:pPr>
    </w:p>
    <w:p w14:paraId="3F553F43" w14:textId="42E119D5" w:rsidR="00243F21" w:rsidRPr="00243F21" w:rsidRDefault="00243F21" w:rsidP="00243F21">
      <w:pPr>
        <w:pStyle w:val="ListParagraph"/>
        <w:numPr>
          <w:ilvl w:val="0"/>
          <w:numId w:val="1"/>
        </w:numPr>
        <w:spacing w:line="480" w:lineRule="auto"/>
        <w:jc w:val="both"/>
        <w:rPr>
          <w:rFonts w:ascii="Arial" w:hAnsi="Arial" w:cs="Arial"/>
          <w:b/>
          <w:sz w:val="24"/>
          <w:szCs w:val="24"/>
        </w:rPr>
      </w:pPr>
      <w:r>
        <w:rPr>
          <w:rFonts w:ascii="Arial" w:hAnsi="Arial" w:cs="Arial"/>
          <w:sz w:val="24"/>
          <w:szCs w:val="24"/>
        </w:rPr>
        <w:t>As earlier indicated it is imperative that the evidence upon which the Applicant relies must consist of allegations of fact and not on mere allegations.  It is only when the assertion amounts to an inference which may re</w:t>
      </w:r>
      <w:r w:rsidR="009868CA">
        <w:rPr>
          <w:rFonts w:ascii="Arial" w:hAnsi="Arial" w:cs="Arial"/>
          <w:sz w:val="24"/>
          <w:szCs w:val="24"/>
        </w:rPr>
        <w:t>asonably be drawn from the facts alleged that it can have any</w:t>
      </w:r>
      <w:r w:rsidR="002322C6">
        <w:rPr>
          <w:rFonts w:ascii="Arial" w:hAnsi="Arial" w:cs="Arial"/>
          <w:sz w:val="24"/>
          <w:szCs w:val="24"/>
        </w:rPr>
        <w:t xml:space="preserve"> relevance. It is critical</w:t>
      </w:r>
      <w:r w:rsidR="009868CA">
        <w:rPr>
          <w:rFonts w:ascii="Arial" w:hAnsi="Arial" w:cs="Arial"/>
          <w:sz w:val="24"/>
          <w:szCs w:val="24"/>
        </w:rPr>
        <w:t xml:space="preserve"> importance that the test of reasoning by inference must accord with the standard inquiry in civil cases, namely, whether the inference sought to be drawn from the facts proved is the one which seems to be the more natural or acceptable from numerous plausible ones. </w:t>
      </w:r>
    </w:p>
    <w:p w14:paraId="22664923" w14:textId="77777777" w:rsidR="00243F21" w:rsidRPr="00243F21" w:rsidRDefault="00243F21" w:rsidP="00243F21">
      <w:pPr>
        <w:pStyle w:val="ListParagraph"/>
        <w:rPr>
          <w:rFonts w:ascii="Arial" w:hAnsi="Arial" w:cs="Arial"/>
          <w:sz w:val="24"/>
          <w:szCs w:val="24"/>
        </w:rPr>
      </w:pPr>
    </w:p>
    <w:p w14:paraId="46363B5A" w14:textId="650A7327" w:rsidR="00AF5746" w:rsidRDefault="009868CA" w:rsidP="009E4C2D">
      <w:pPr>
        <w:pStyle w:val="ListParagraph"/>
        <w:numPr>
          <w:ilvl w:val="0"/>
          <w:numId w:val="1"/>
        </w:numPr>
        <w:spacing w:line="480" w:lineRule="auto"/>
        <w:jc w:val="both"/>
        <w:rPr>
          <w:rFonts w:ascii="Arial" w:hAnsi="Arial" w:cs="Arial"/>
          <w:sz w:val="24"/>
          <w:szCs w:val="24"/>
        </w:rPr>
      </w:pPr>
      <w:r>
        <w:rPr>
          <w:rFonts w:ascii="Arial" w:hAnsi="Arial" w:cs="Arial"/>
          <w:sz w:val="24"/>
          <w:szCs w:val="24"/>
        </w:rPr>
        <w:t>In a nutshell, it is the Applicants</w:t>
      </w:r>
      <w:r w:rsidR="001F59AF">
        <w:rPr>
          <w:rFonts w:ascii="Arial" w:hAnsi="Arial" w:cs="Arial"/>
          <w:sz w:val="24"/>
          <w:szCs w:val="24"/>
        </w:rPr>
        <w:t>’</w:t>
      </w:r>
      <w:r>
        <w:rPr>
          <w:rFonts w:ascii="Arial" w:hAnsi="Arial" w:cs="Arial"/>
          <w:sz w:val="24"/>
          <w:szCs w:val="24"/>
        </w:rPr>
        <w:t xml:space="preserve"> case that the First Applicant </w:t>
      </w:r>
      <w:r w:rsidR="00F45335" w:rsidRPr="00243F21">
        <w:rPr>
          <w:rFonts w:ascii="Arial" w:hAnsi="Arial" w:cs="Arial"/>
          <w:sz w:val="24"/>
          <w:szCs w:val="24"/>
        </w:rPr>
        <w:t>did not pay its creditors and the property of the First Respondent increased significantly in value, and an amount of R2 million is then lent to the daughter-in-law of the First Respondent. The Applicants</w:t>
      </w:r>
      <w:r w:rsidR="001F59AF">
        <w:rPr>
          <w:rFonts w:ascii="Arial" w:hAnsi="Arial" w:cs="Arial"/>
          <w:sz w:val="24"/>
          <w:szCs w:val="24"/>
        </w:rPr>
        <w:t>’</w:t>
      </w:r>
      <w:r w:rsidR="00F45335" w:rsidRPr="00243F21">
        <w:rPr>
          <w:rFonts w:ascii="Arial" w:hAnsi="Arial" w:cs="Arial"/>
          <w:sz w:val="24"/>
          <w:szCs w:val="24"/>
        </w:rPr>
        <w:t xml:space="preserve"> case is based on the scenario that the funds should have </w:t>
      </w:r>
      <w:r w:rsidR="00C2058E">
        <w:rPr>
          <w:rFonts w:ascii="Arial" w:hAnsi="Arial" w:cs="Arial"/>
          <w:sz w:val="24"/>
          <w:szCs w:val="24"/>
        </w:rPr>
        <w:t>been used to pay the creditors and that t</w:t>
      </w:r>
      <w:r w:rsidR="00F45335" w:rsidRPr="00243F21">
        <w:rPr>
          <w:rFonts w:ascii="Arial" w:hAnsi="Arial" w:cs="Arial"/>
          <w:sz w:val="24"/>
          <w:szCs w:val="24"/>
        </w:rPr>
        <w:t>he monies were effective</w:t>
      </w:r>
      <w:r w:rsidR="001F59AF">
        <w:rPr>
          <w:rFonts w:ascii="Arial" w:hAnsi="Arial" w:cs="Arial"/>
          <w:sz w:val="24"/>
          <w:szCs w:val="24"/>
        </w:rPr>
        <w:t>ly</w:t>
      </w:r>
      <w:r w:rsidR="00F45335" w:rsidRPr="00243F21">
        <w:rPr>
          <w:rFonts w:ascii="Arial" w:hAnsi="Arial" w:cs="Arial"/>
          <w:sz w:val="24"/>
          <w:szCs w:val="24"/>
        </w:rPr>
        <w:t xml:space="preserve"> taken away from the creditors to their prejudice. The question to be answered is whether this is sufficient to make out a </w:t>
      </w:r>
      <w:r w:rsidR="00F45335" w:rsidRPr="00243F21">
        <w:rPr>
          <w:rFonts w:ascii="Arial" w:hAnsi="Arial" w:cs="Arial"/>
          <w:i/>
          <w:sz w:val="24"/>
          <w:szCs w:val="24"/>
        </w:rPr>
        <w:t>prima facie</w:t>
      </w:r>
      <w:r w:rsidR="00F45335" w:rsidRPr="00243F21">
        <w:rPr>
          <w:rFonts w:ascii="Arial" w:hAnsi="Arial" w:cs="Arial"/>
          <w:sz w:val="24"/>
          <w:szCs w:val="24"/>
        </w:rPr>
        <w:t xml:space="preserve"> case against the First Respondent, based on the inference drawn from the facts in dispute. Coun</w:t>
      </w:r>
      <w:r w:rsidR="00C2058E">
        <w:rPr>
          <w:rFonts w:ascii="Arial" w:hAnsi="Arial" w:cs="Arial"/>
          <w:sz w:val="24"/>
          <w:szCs w:val="24"/>
        </w:rPr>
        <w:t>sel for the Applicants conceded</w:t>
      </w:r>
      <w:r w:rsidR="00F45335" w:rsidRPr="00243F21">
        <w:rPr>
          <w:rFonts w:ascii="Arial" w:hAnsi="Arial" w:cs="Arial"/>
          <w:sz w:val="24"/>
          <w:szCs w:val="24"/>
        </w:rPr>
        <w:t xml:space="preserve"> in argument that the claim against the First Respondent, may be criticised for being speculative or weak, but</w:t>
      </w:r>
      <w:r w:rsidR="00AF5746">
        <w:rPr>
          <w:rFonts w:ascii="Arial" w:hAnsi="Arial" w:cs="Arial"/>
          <w:sz w:val="24"/>
          <w:szCs w:val="24"/>
        </w:rPr>
        <w:t>, has correctly pointed out that</w:t>
      </w:r>
      <w:r w:rsidR="00F45335" w:rsidRPr="00243F21">
        <w:rPr>
          <w:rFonts w:ascii="Arial" w:hAnsi="Arial" w:cs="Arial"/>
          <w:sz w:val="24"/>
          <w:szCs w:val="24"/>
        </w:rPr>
        <w:t xml:space="preserve"> this is not the test.</w:t>
      </w:r>
      <w:r w:rsidR="009E4C2D">
        <w:rPr>
          <w:rFonts w:ascii="Arial" w:hAnsi="Arial" w:cs="Arial"/>
          <w:sz w:val="24"/>
          <w:szCs w:val="24"/>
        </w:rPr>
        <w:t xml:space="preserve"> </w:t>
      </w:r>
      <w:r w:rsidR="00C2058E">
        <w:rPr>
          <w:rFonts w:ascii="Arial" w:hAnsi="Arial" w:cs="Arial"/>
          <w:sz w:val="24"/>
          <w:szCs w:val="24"/>
        </w:rPr>
        <w:t xml:space="preserve"> </w:t>
      </w:r>
      <w:r w:rsidR="009E4C2D" w:rsidRPr="009E4C2D">
        <w:rPr>
          <w:rFonts w:ascii="Arial" w:hAnsi="Arial" w:cs="Arial"/>
          <w:sz w:val="24"/>
          <w:szCs w:val="24"/>
        </w:rPr>
        <w:t>The inference sought to be drawn must</w:t>
      </w:r>
      <w:r w:rsidR="00AF5746">
        <w:rPr>
          <w:rFonts w:ascii="Arial" w:hAnsi="Arial" w:cs="Arial"/>
          <w:sz w:val="24"/>
          <w:szCs w:val="24"/>
        </w:rPr>
        <w:t xml:space="preserve"> on a balance of probabilities</w:t>
      </w:r>
      <w:r w:rsidR="009E4C2D" w:rsidRPr="009E4C2D">
        <w:rPr>
          <w:rFonts w:ascii="Arial" w:hAnsi="Arial" w:cs="Arial"/>
          <w:sz w:val="24"/>
          <w:szCs w:val="24"/>
        </w:rPr>
        <w:t xml:space="preserve"> be reasonable</w:t>
      </w:r>
      <w:r w:rsidR="00AF5746">
        <w:rPr>
          <w:rFonts w:ascii="Arial" w:hAnsi="Arial" w:cs="Arial"/>
          <w:sz w:val="24"/>
          <w:szCs w:val="24"/>
        </w:rPr>
        <w:t xml:space="preserve"> from the facts alleged. To reiterate, </w:t>
      </w:r>
      <w:r w:rsidR="00AF5746">
        <w:rPr>
          <w:rFonts w:ascii="Arial" w:hAnsi="Arial" w:cs="Arial"/>
          <w:sz w:val="24"/>
          <w:szCs w:val="24"/>
        </w:rPr>
        <w:lastRenderedPageBreak/>
        <w:t>it is only where it is evident that the Applicant has no action or cannot succeed that an attachment should be refused.</w:t>
      </w:r>
    </w:p>
    <w:p w14:paraId="5BB4466F" w14:textId="77777777" w:rsidR="00AF5746" w:rsidRPr="00AF5746" w:rsidRDefault="00AF5746" w:rsidP="00AF5746">
      <w:pPr>
        <w:pStyle w:val="ListParagraph"/>
        <w:rPr>
          <w:rFonts w:ascii="Arial" w:hAnsi="Arial" w:cs="Arial"/>
          <w:sz w:val="24"/>
          <w:szCs w:val="24"/>
        </w:rPr>
      </w:pPr>
    </w:p>
    <w:p w14:paraId="684BAB90" w14:textId="130C4354" w:rsidR="00F45335" w:rsidRPr="009E4C2D" w:rsidRDefault="009E4C2D" w:rsidP="009E4C2D">
      <w:pPr>
        <w:pStyle w:val="ListParagraph"/>
        <w:numPr>
          <w:ilvl w:val="0"/>
          <w:numId w:val="1"/>
        </w:numPr>
        <w:spacing w:line="480" w:lineRule="auto"/>
        <w:jc w:val="both"/>
        <w:rPr>
          <w:rFonts w:ascii="Arial" w:hAnsi="Arial" w:cs="Arial"/>
          <w:sz w:val="24"/>
          <w:szCs w:val="24"/>
        </w:rPr>
      </w:pPr>
      <w:r>
        <w:rPr>
          <w:rFonts w:ascii="Arial" w:hAnsi="Arial" w:cs="Arial"/>
          <w:sz w:val="24"/>
          <w:szCs w:val="24"/>
        </w:rPr>
        <w:t>T</w:t>
      </w:r>
      <w:r w:rsidR="00C10E61" w:rsidRPr="009E4C2D">
        <w:rPr>
          <w:rFonts w:ascii="Arial" w:hAnsi="Arial" w:cs="Arial"/>
          <w:sz w:val="24"/>
          <w:szCs w:val="24"/>
        </w:rPr>
        <w:t xml:space="preserve">he </w:t>
      </w:r>
      <w:r w:rsidR="00C10E61" w:rsidRPr="009E4C2D">
        <w:rPr>
          <w:rFonts w:ascii="Arial" w:hAnsi="Arial" w:cs="Arial"/>
          <w:i/>
          <w:sz w:val="24"/>
          <w:szCs w:val="24"/>
        </w:rPr>
        <w:t>prima facie</w:t>
      </w:r>
      <w:r w:rsidR="00C10E61" w:rsidRPr="009E4C2D">
        <w:rPr>
          <w:rFonts w:ascii="Arial" w:hAnsi="Arial" w:cs="Arial"/>
          <w:sz w:val="24"/>
          <w:szCs w:val="24"/>
        </w:rPr>
        <w:t xml:space="preserve"> claims against the First Respondent do not have to be proved</w:t>
      </w:r>
      <w:r>
        <w:rPr>
          <w:rFonts w:ascii="Arial" w:hAnsi="Arial" w:cs="Arial"/>
          <w:sz w:val="24"/>
          <w:szCs w:val="24"/>
        </w:rPr>
        <w:t xml:space="preserve"> at this stage</w:t>
      </w:r>
      <w:r w:rsidR="001F59AF">
        <w:rPr>
          <w:rFonts w:ascii="Arial" w:hAnsi="Arial" w:cs="Arial"/>
          <w:sz w:val="24"/>
          <w:szCs w:val="24"/>
        </w:rPr>
        <w:t>. I</w:t>
      </w:r>
      <w:r w:rsidR="00C10E61" w:rsidRPr="009E4C2D">
        <w:rPr>
          <w:rFonts w:ascii="Arial" w:hAnsi="Arial" w:cs="Arial"/>
          <w:sz w:val="24"/>
          <w:szCs w:val="24"/>
        </w:rPr>
        <w:t xml:space="preserve">t is sufficient to establish that the First </w:t>
      </w:r>
      <w:r>
        <w:rPr>
          <w:rFonts w:ascii="Arial" w:hAnsi="Arial" w:cs="Arial"/>
          <w:sz w:val="24"/>
          <w:szCs w:val="24"/>
        </w:rPr>
        <w:t xml:space="preserve">Respondent has claims to answer, which in my view centres around </w:t>
      </w:r>
      <w:r w:rsidR="00F45335" w:rsidRPr="009E4C2D">
        <w:rPr>
          <w:rFonts w:ascii="Arial" w:hAnsi="Arial" w:cs="Arial"/>
          <w:sz w:val="24"/>
          <w:szCs w:val="24"/>
        </w:rPr>
        <w:t xml:space="preserve">the loan </w:t>
      </w:r>
      <w:r>
        <w:rPr>
          <w:rFonts w:ascii="Arial" w:hAnsi="Arial" w:cs="Arial"/>
          <w:sz w:val="24"/>
          <w:szCs w:val="24"/>
        </w:rPr>
        <w:t xml:space="preserve">made </w:t>
      </w:r>
      <w:r w:rsidR="00F45335" w:rsidRPr="009E4C2D">
        <w:rPr>
          <w:rFonts w:ascii="Arial" w:hAnsi="Arial" w:cs="Arial"/>
          <w:sz w:val="24"/>
          <w:szCs w:val="24"/>
        </w:rPr>
        <w:t xml:space="preserve">to Mr Ferreira’s wife </w:t>
      </w:r>
      <w:r>
        <w:rPr>
          <w:rFonts w:ascii="Arial" w:hAnsi="Arial" w:cs="Arial"/>
          <w:sz w:val="24"/>
          <w:szCs w:val="24"/>
        </w:rPr>
        <w:t xml:space="preserve">presumably to </w:t>
      </w:r>
      <w:r w:rsidR="00F45335" w:rsidRPr="009E4C2D">
        <w:rPr>
          <w:rFonts w:ascii="Arial" w:hAnsi="Arial" w:cs="Arial"/>
          <w:sz w:val="24"/>
          <w:szCs w:val="24"/>
        </w:rPr>
        <w:t>c</w:t>
      </w:r>
      <w:r w:rsidR="001F59AF">
        <w:rPr>
          <w:rFonts w:ascii="Arial" w:hAnsi="Arial" w:cs="Arial"/>
          <w:sz w:val="24"/>
          <w:szCs w:val="24"/>
        </w:rPr>
        <w:t>o</w:t>
      </w:r>
      <w:r w:rsidR="00F45335" w:rsidRPr="009E4C2D">
        <w:rPr>
          <w:rFonts w:ascii="Arial" w:hAnsi="Arial" w:cs="Arial"/>
          <w:sz w:val="24"/>
          <w:szCs w:val="24"/>
        </w:rPr>
        <w:t xml:space="preserve">me to the aid of Mr Ferreira and his family. This is to be viewed against the backdrop of Mr Ferreira being released from </w:t>
      </w:r>
      <w:r>
        <w:rPr>
          <w:rFonts w:ascii="Arial" w:hAnsi="Arial" w:cs="Arial"/>
          <w:sz w:val="24"/>
          <w:szCs w:val="24"/>
        </w:rPr>
        <w:t xml:space="preserve">an earlier </w:t>
      </w:r>
      <w:r w:rsidR="00F45335" w:rsidRPr="009E4C2D">
        <w:rPr>
          <w:rFonts w:ascii="Arial" w:hAnsi="Arial" w:cs="Arial"/>
          <w:sz w:val="24"/>
          <w:szCs w:val="24"/>
        </w:rPr>
        <w:t>R40 000 loan</w:t>
      </w:r>
      <w:r w:rsidR="001C3D83">
        <w:rPr>
          <w:rFonts w:ascii="Arial" w:hAnsi="Arial" w:cs="Arial"/>
          <w:sz w:val="24"/>
          <w:szCs w:val="24"/>
        </w:rPr>
        <w:t xml:space="preserve"> and the First Respondent’s awareness of the financial difficulties of Mr Ferreira, and </w:t>
      </w:r>
      <w:r w:rsidR="002322C6">
        <w:rPr>
          <w:rFonts w:ascii="Arial" w:hAnsi="Arial" w:cs="Arial"/>
          <w:sz w:val="24"/>
          <w:szCs w:val="24"/>
        </w:rPr>
        <w:t xml:space="preserve">his </w:t>
      </w:r>
      <w:r w:rsidR="001C3D83">
        <w:rPr>
          <w:rFonts w:ascii="Arial" w:hAnsi="Arial" w:cs="Arial"/>
          <w:sz w:val="24"/>
          <w:szCs w:val="24"/>
        </w:rPr>
        <w:t>status as an insolvent.</w:t>
      </w:r>
      <w:r w:rsidR="00F45335" w:rsidRPr="009E4C2D">
        <w:rPr>
          <w:rFonts w:ascii="Arial" w:hAnsi="Arial" w:cs="Arial"/>
          <w:sz w:val="24"/>
          <w:szCs w:val="24"/>
        </w:rPr>
        <w:t xml:space="preserve"> </w:t>
      </w:r>
      <w:r>
        <w:rPr>
          <w:rFonts w:ascii="Arial" w:hAnsi="Arial" w:cs="Arial"/>
          <w:sz w:val="24"/>
          <w:szCs w:val="24"/>
        </w:rPr>
        <w:t>A</w:t>
      </w:r>
      <w:r w:rsidR="00F45335" w:rsidRPr="009E4C2D">
        <w:rPr>
          <w:rFonts w:ascii="Arial" w:hAnsi="Arial" w:cs="Arial"/>
          <w:sz w:val="24"/>
          <w:szCs w:val="24"/>
        </w:rPr>
        <w:t xml:space="preserve"> loan of R2 million without structured terms for repayment, appears to be more of a donation to her insolvent son, if regard is had to the definition of a donation which has received judicial endorsement by a number of authorities.</w:t>
      </w:r>
      <w:r w:rsidR="00F45335" w:rsidRPr="000B1731">
        <w:rPr>
          <w:rStyle w:val="FootnoteReference"/>
          <w:rFonts w:ascii="Arial" w:hAnsi="Arial" w:cs="Arial"/>
          <w:sz w:val="24"/>
          <w:szCs w:val="24"/>
        </w:rPr>
        <w:footnoteReference w:id="56"/>
      </w:r>
      <w:r w:rsidR="00F45335" w:rsidRPr="009E4C2D">
        <w:rPr>
          <w:rFonts w:ascii="Arial" w:hAnsi="Arial" w:cs="Arial"/>
          <w:sz w:val="24"/>
          <w:szCs w:val="24"/>
        </w:rPr>
        <w:t xml:space="preserve"> </w:t>
      </w:r>
      <w:r w:rsidR="002322C6">
        <w:rPr>
          <w:rFonts w:ascii="Arial" w:hAnsi="Arial" w:cs="Arial"/>
          <w:sz w:val="24"/>
          <w:szCs w:val="24"/>
        </w:rPr>
        <w:t>I</w:t>
      </w:r>
      <w:r w:rsidR="00F45335" w:rsidRPr="009E4C2D">
        <w:rPr>
          <w:rFonts w:ascii="Arial" w:hAnsi="Arial" w:cs="Arial"/>
          <w:color w:val="000000"/>
          <w:sz w:val="24"/>
          <w:szCs w:val="24"/>
        </w:rPr>
        <w:t xml:space="preserve">t is generally accepted in our law that a donation is: </w:t>
      </w:r>
    </w:p>
    <w:p w14:paraId="3A019B3D" w14:textId="77777777" w:rsidR="00F45335" w:rsidRPr="000956E0" w:rsidRDefault="00F45335" w:rsidP="00F45335">
      <w:pPr>
        <w:pStyle w:val="NormalWeb"/>
        <w:shd w:val="clear" w:color="auto" w:fill="FFFFFF"/>
        <w:spacing w:line="360" w:lineRule="auto"/>
        <w:ind w:left="720" w:right="720"/>
        <w:rPr>
          <w:rFonts w:ascii="Arial" w:hAnsi="Arial" w:cs="Arial"/>
          <w:i/>
          <w:color w:val="000000"/>
          <w:sz w:val="22"/>
          <w:szCs w:val="22"/>
        </w:rPr>
      </w:pPr>
      <w:r w:rsidRPr="000B1731">
        <w:rPr>
          <w:rFonts w:ascii="Arial" w:hAnsi="Arial" w:cs="Arial"/>
          <w:i/>
          <w:color w:val="000000"/>
          <w:sz w:val="22"/>
          <w:szCs w:val="22"/>
        </w:rPr>
        <w:t>‘an agreement which has been induced by pure (or disinterested) benevolence or sheer liberality, whereby a person under no legal obligation undertakes to give something ... to another person ... in return for which the donor receives no consideration nor expects any future advantage’</w:t>
      </w:r>
    </w:p>
    <w:p w14:paraId="4B433DD4" w14:textId="53A56717" w:rsidR="00A81711" w:rsidRPr="00A81711" w:rsidRDefault="009E4C2D" w:rsidP="00D93836">
      <w:pPr>
        <w:pStyle w:val="ListParagraph"/>
        <w:numPr>
          <w:ilvl w:val="0"/>
          <w:numId w:val="1"/>
        </w:numPr>
        <w:spacing w:line="480" w:lineRule="auto"/>
        <w:jc w:val="both"/>
        <w:rPr>
          <w:rFonts w:cstheme="minorHAnsi"/>
          <w:b/>
          <w:sz w:val="20"/>
          <w:szCs w:val="20"/>
        </w:rPr>
      </w:pPr>
      <w:r w:rsidRPr="001C3D83">
        <w:rPr>
          <w:rFonts w:ascii="Arial" w:hAnsi="Arial" w:cs="Arial"/>
          <w:sz w:val="24"/>
          <w:szCs w:val="24"/>
        </w:rPr>
        <w:t xml:space="preserve">Even if I am wrong, the trial court will be better placed to make such a determination as previously stated, courts have been cautioned not to enter the merits of the case at this stage.  </w:t>
      </w:r>
      <w:r w:rsidR="00AF5746" w:rsidRPr="001C3D83">
        <w:rPr>
          <w:rFonts w:ascii="Arial" w:hAnsi="Arial" w:cs="Arial"/>
          <w:sz w:val="24"/>
          <w:szCs w:val="24"/>
        </w:rPr>
        <w:t>I therefore make no determination on</w:t>
      </w:r>
      <w:r w:rsidR="00D93836">
        <w:rPr>
          <w:rFonts w:ascii="Arial" w:hAnsi="Arial" w:cs="Arial"/>
          <w:sz w:val="24"/>
          <w:szCs w:val="24"/>
        </w:rPr>
        <w:t xml:space="preserve"> whether</w:t>
      </w:r>
      <w:r w:rsidR="006B359B">
        <w:rPr>
          <w:rFonts w:ascii="Arial" w:hAnsi="Arial" w:cs="Arial"/>
          <w:sz w:val="24"/>
          <w:szCs w:val="24"/>
        </w:rPr>
        <w:t xml:space="preserve"> the common law and/or legislative provision in terms</w:t>
      </w:r>
      <w:r w:rsidR="00D93836">
        <w:rPr>
          <w:rFonts w:ascii="Arial" w:hAnsi="Arial" w:cs="Arial"/>
          <w:sz w:val="24"/>
          <w:szCs w:val="24"/>
        </w:rPr>
        <w:t xml:space="preserve"> </w:t>
      </w:r>
      <w:r w:rsidR="00D93836" w:rsidRPr="00D93836">
        <w:rPr>
          <w:rFonts w:ascii="Arial" w:hAnsi="Arial" w:cs="Arial"/>
          <w:sz w:val="24"/>
          <w:szCs w:val="24"/>
        </w:rPr>
        <w:t>Section 26 and/or 31 of the Insolvency Act</w:t>
      </w:r>
      <w:r w:rsidR="00D93836">
        <w:rPr>
          <w:rFonts w:ascii="Arial" w:hAnsi="Arial" w:cs="Arial"/>
          <w:sz w:val="24"/>
          <w:szCs w:val="24"/>
        </w:rPr>
        <w:t>, t</w:t>
      </w:r>
      <w:r w:rsidR="00D93836" w:rsidRPr="00D93836">
        <w:rPr>
          <w:rFonts w:ascii="Arial" w:hAnsi="Arial" w:cs="Arial"/>
          <w:sz w:val="24"/>
          <w:szCs w:val="24"/>
        </w:rPr>
        <w:t xml:space="preserve">he </w:t>
      </w:r>
      <w:r w:rsidR="00D93836">
        <w:rPr>
          <w:rFonts w:ascii="Arial" w:hAnsi="Arial" w:cs="Arial"/>
          <w:i/>
          <w:sz w:val="24"/>
          <w:szCs w:val="24"/>
        </w:rPr>
        <w:t xml:space="preserve">actio pauliana or </w:t>
      </w:r>
      <w:r w:rsidR="00D93836" w:rsidRPr="00D93836">
        <w:rPr>
          <w:rFonts w:ascii="Arial" w:hAnsi="Arial" w:cs="Arial"/>
          <w:sz w:val="24"/>
          <w:szCs w:val="24"/>
        </w:rPr>
        <w:t>Section 424 of</w:t>
      </w:r>
      <w:r w:rsidR="00D93836">
        <w:rPr>
          <w:rFonts w:ascii="Arial" w:hAnsi="Arial" w:cs="Arial"/>
          <w:sz w:val="24"/>
          <w:szCs w:val="24"/>
        </w:rPr>
        <w:t xml:space="preserve"> the Companies Act finds application; neither do I make any determinations on </w:t>
      </w:r>
      <w:r w:rsidR="00AF5746" w:rsidRPr="00D93836">
        <w:rPr>
          <w:rFonts w:ascii="Arial" w:hAnsi="Arial" w:cs="Arial"/>
          <w:sz w:val="24"/>
          <w:szCs w:val="24"/>
        </w:rPr>
        <w:t xml:space="preserve">credibility, probabilities or </w:t>
      </w:r>
      <w:r w:rsidR="001C3D83" w:rsidRPr="00D93836">
        <w:rPr>
          <w:rFonts w:ascii="Arial" w:hAnsi="Arial" w:cs="Arial"/>
          <w:sz w:val="24"/>
          <w:szCs w:val="24"/>
        </w:rPr>
        <w:t xml:space="preserve">the </w:t>
      </w:r>
      <w:r w:rsidR="00AF5746" w:rsidRPr="00D93836">
        <w:rPr>
          <w:rFonts w:ascii="Arial" w:hAnsi="Arial" w:cs="Arial"/>
          <w:sz w:val="24"/>
          <w:szCs w:val="24"/>
        </w:rPr>
        <w:t xml:space="preserve">prospects of success. </w:t>
      </w:r>
    </w:p>
    <w:p w14:paraId="43448E78" w14:textId="77777777" w:rsidR="00A81711" w:rsidRPr="00A81711" w:rsidRDefault="00A81711" w:rsidP="00A81711">
      <w:pPr>
        <w:pStyle w:val="ListParagraph"/>
        <w:spacing w:line="480" w:lineRule="auto"/>
        <w:ind w:left="0"/>
        <w:jc w:val="both"/>
        <w:rPr>
          <w:rFonts w:cstheme="minorHAnsi"/>
          <w:b/>
          <w:sz w:val="20"/>
          <w:szCs w:val="20"/>
        </w:rPr>
      </w:pPr>
    </w:p>
    <w:p w14:paraId="183E5D9B" w14:textId="77777777" w:rsidR="006B359B" w:rsidRPr="006B359B" w:rsidRDefault="00AF5746" w:rsidP="00291A6A">
      <w:pPr>
        <w:pStyle w:val="ListParagraph"/>
        <w:numPr>
          <w:ilvl w:val="0"/>
          <w:numId w:val="1"/>
        </w:numPr>
        <w:spacing w:after="0" w:line="480" w:lineRule="auto"/>
        <w:jc w:val="both"/>
        <w:rPr>
          <w:rFonts w:ascii="Arial" w:hAnsi="Arial" w:cs="Arial"/>
          <w:b/>
          <w:sz w:val="24"/>
          <w:szCs w:val="24"/>
        </w:rPr>
      </w:pPr>
      <w:r w:rsidRPr="006B359B">
        <w:rPr>
          <w:rFonts w:ascii="Arial" w:hAnsi="Arial" w:cs="Arial"/>
          <w:sz w:val="24"/>
          <w:szCs w:val="24"/>
        </w:rPr>
        <w:lastRenderedPageBreak/>
        <w:t>This court is enjoined</w:t>
      </w:r>
      <w:r w:rsidR="00F45335" w:rsidRPr="006B359B">
        <w:rPr>
          <w:rFonts w:ascii="Arial" w:hAnsi="Arial" w:cs="Arial"/>
          <w:sz w:val="24"/>
          <w:szCs w:val="24"/>
        </w:rPr>
        <w:t xml:space="preserve"> to consider whether or not the Applicants have succeeded in making out a </w:t>
      </w:r>
      <w:r w:rsidRPr="006B359B">
        <w:rPr>
          <w:rFonts w:ascii="Arial" w:hAnsi="Arial" w:cs="Arial"/>
          <w:i/>
          <w:sz w:val="24"/>
          <w:szCs w:val="24"/>
        </w:rPr>
        <w:t>prima facie</w:t>
      </w:r>
      <w:r w:rsidRPr="006B359B">
        <w:rPr>
          <w:rFonts w:ascii="Arial" w:hAnsi="Arial" w:cs="Arial"/>
          <w:sz w:val="24"/>
          <w:szCs w:val="24"/>
        </w:rPr>
        <w:t xml:space="preserve"> </w:t>
      </w:r>
      <w:r w:rsidR="00F45335" w:rsidRPr="006B359B">
        <w:rPr>
          <w:rFonts w:ascii="Arial" w:hAnsi="Arial" w:cs="Arial"/>
          <w:sz w:val="24"/>
          <w:szCs w:val="24"/>
        </w:rPr>
        <w:t>case for the relief sought</w:t>
      </w:r>
      <w:r w:rsidR="006B359B" w:rsidRPr="006B359B">
        <w:rPr>
          <w:rFonts w:ascii="Arial" w:hAnsi="Arial" w:cs="Arial"/>
          <w:sz w:val="24"/>
          <w:szCs w:val="24"/>
        </w:rPr>
        <w:t xml:space="preserve"> on a conspectus of the evidence before me</w:t>
      </w:r>
      <w:r w:rsidR="00F45335" w:rsidRPr="006B359B">
        <w:rPr>
          <w:rFonts w:ascii="Arial" w:hAnsi="Arial" w:cs="Arial"/>
          <w:sz w:val="24"/>
          <w:szCs w:val="24"/>
        </w:rPr>
        <w:t>.</w:t>
      </w:r>
      <w:r w:rsidR="004C5E1A" w:rsidRPr="006B359B">
        <w:rPr>
          <w:rFonts w:ascii="Arial" w:hAnsi="Arial" w:cs="Arial"/>
          <w:sz w:val="24"/>
          <w:szCs w:val="24"/>
        </w:rPr>
        <w:t xml:space="preserve"> T</w:t>
      </w:r>
      <w:r w:rsidR="006B359B">
        <w:rPr>
          <w:rFonts w:ascii="Arial" w:hAnsi="Arial" w:cs="Arial"/>
          <w:sz w:val="24"/>
          <w:szCs w:val="24"/>
        </w:rPr>
        <w:t>he authorities in this regard are</w:t>
      </w:r>
      <w:r w:rsidR="004C5E1A" w:rsidRPr="006B359B">
        <w:rPr>
          <w:rFonts w:ascii="Arial" w:hAnsi="Arial" w:cs="Arial"/>
          <w:sz w:val="24"/>
          <w:szCs w:val="24"/>
        </w:rPr>
        <w:t xml:space="preserve"> clear that the evidence on which an Applicant relies must consist of factual allegations as opposed to mere assertions as distilled in </w:t>
      </w:r>
      <w:r w:rsidR="004C5E1A" w:rsidRPr="006B359B">
        <w:rPr>
          <w:rFonts w:ascii="Arial" w:hAnsi="Arial" w:cs="Arial"/>
          <w:b/>
          <w:i/>
          <w:sz w:val="24"/>
          <w:szCs w:val="24"/>
        </w:rPr>
        <w:t xml:space="preserve">Hulse-Reutte </w:t>
      </w:r>
      <w:r w:rsidR="004C5E1A" w:rsidRPr="006B359B">
        <w:rPr>
          <w:rFonts w:ascii="Arial" w:hAnsi="Arial" w:cs="Arial"/>
          <w:i/>
          <w:sz w:val="24"/>
          <w:szCs w:val="24"/>
        </w:rPr>
        <w:t xml:space="preserve">(supra). </w:t>
      </w:r>
      <w:r w:rsidR="00F45335" w:rsidRPr="006B359B">
        <w:rPr>
          <w:rFonts w:ascii="Arial" w:hAnsi="Arial" w:cs="Arial"/>
          <w:sz w:val="24"/>
          <w:szCs w:val="24"/>
        </w:rPr>
        <w:t xml:space="preserve"> </w:t>
      </w:r>
    </w:p>
    <w:p w14:paraId="6410071D" w14:textId="77777777" w:rsidR="006B359B" w:rsidRPr="006B359B" w:rsidRDefault="006B359B" w:rsidP="006B359B">
      <w:pPr>
        <w:pStyle w:val="ListParagraph"/>
        <w:rPr>
          <w:rFonts w:ascii="Arial" w:hAnsi="Arial" w:cs="Arial"/>
          <w:sz w:val="24"/>
          <w:szCs w:val="24"/>
        </w:rPr>
      </w:pPr>
    </w:p>
    <w:p w14:paraId="734D7A53" w14:textId="5B3841BA" w:rsidR="007D6288" w:rsidRPr="006B359B" w:rsidRDefault="006B359B" w:rsidP="00291A6A">
      <w:pPr>
        <w:pStyle w:val="ListParagraph"/>
        <w:numPr>
          <w:ilvl w:val="0"/>
          <w:numId w:val="1"/>
        </w:numPr>
        <w:spacing w:after="0" w:line="480" w:lineRule="auto"/>
        <w:jc w:val="both"/>
        <w:rPr>
          <w:rFonts w:ascii="Arial" w:hAnsi="Arial" w:cs="Arial"/>
          <w:b/>
          <w:sz w:val="24"/>
          <w:szCs w:val="24"/>
        </w:rPr>
      </w:pPr>
      <w:r w:rsidRPr="006B359B">
        <w:rPr>
          <w:rFonts w:ascii="Arial" w:hAnsi="Arial" w:cs="Arial"/>
          <w:sz w:val="24"/>
          <w:szCs w:val="24"/>
        </w:rPr>
        <w:t xml:space="preserve">In considering the matter in its entirety, </w:t>
      </w:r>
      <w:r w:rsidR="00F45335" w:rsidRPr="006B359B">
        <w:rPr>
          <w:rFonts w:ascii="Arial" w:hAnsi="Arial" w:cs="Arial"/>
          <w:sz w:val="24"/>
          <w:szCs w:val="24"/>
        </w:rPr>
        <w:t xml:space="preserve">I am </w:t>
      </w:r>
      <w:r w:rsidR="001C3D83" w:rsidRPr="006B359B">
        <w:rPr>
          <w:rFonts w:ascii="Arial" w:hAnsi="Arial" w:cs="Arial"/>
          <w:sz w:val="24"/>
          <w:szCs w:val="24"/>
        </w:rPr>
        <w:t>of the view that the purported loan of R2 million to the wife of Mr Ferreira</w:t>
      </w:r>
      <w:r w:rsidR="00A81711" w:rsidRPr="006B359B">
        <w:rPr>
          <w:rFonts w:ascii="Arial" w:hAnsi="Arial" w:cs="Arial"/>
          <w:sz w:val="24"/>
          <w:szCs w:val="24"/>
        </w:rPr>
        <w:t>, based on the First Respondent’s own evidence at the Insolvency Enquiry,</w:t>
      </w:r>
      <w:r w:rsidRPr="006B359B">
        <w:rPr>
          <w:rFonts w:ascii="Arial" w:hAnsi="Arial" w:cs="Arial"/>
          <w:sz w:val="24"/>
          <w:szCs w:val="24"/>
        </w:rPr>
        <w:t xml:space="preserve"> require</w:t>
      </w:r>
      <w:r w:rsidR="001C3D83" w:rsidRPr="006B359B">
        <w:rPr>
          <w:rFonts w:ascii="Arial" w:hAnsi="Arial" w:cs="Arial"/>
          <w:sz w:val="24"/>
          <w:szCs w:val="24"/>
        </w:rPr>
        <w:t xml:space="preserve"> further ventilation and is sufficient </w:t>
      </w:r>
      <w:r w:rsidR="00F45335" w:rsidRPr="006B359B">
        <w:rPr>
          <w:rFonts w:ascii="Arial" w:hAnsi="Arial" w:cs="Arial"/>
          <w:sz w:val="24"/>
          <w:szCs w:val="24"/>
        </w:rPr>
        <w:t xml:space="preserve">factual evidence which would support the conclusion that they have established a </w:t>
      </w:r>
      <w:r w:rsidR="00F45335" w:rsidRPr="006B359B">
        <w:rPr>
          <w:rFonts w:ascii="Arial" w:hAnsi="Arial" w:cs="Arial"/>
          <w:i/>
          <w:sz w:val="24"/>
          <w:szCs w:val="24"/>
        </w:rPr>
        <w:t>prima facie</w:t>
      </w:r>
      <w:r w:rsidR="00F45335" w:rsidRPr="006B359B">
        <w:rPr>
          <w:rFonts w:ascii="Arial" w:hAnsi="Arial" w:cs="Arial"/>
          <w:sz w:val="24"/>
          <w:szCs w:val="24"/>
        </w:rPr>
        <w:t xml:space="preserve"> case</w:t>
      </w:r>
      <w:r w:rsidR="001C3D83" w:rsidRPr="006B359B">
        <w:rPr>
          <w:rFonts w:ascii="Arial" w:hAnsi="Arial" w:cs="Arial"/>
          <w:sz w:val="24"/>
          <w:szCs w:val="24"/>
        </w:rPr>
        <w:t xml:space="preserve"> against the First Respondent</w:t>
      </w:r>
      <w:r w:rsidR="00DC28B6" w:rsidRPr="006B359B">
        <w:rPr>
          <w:rFonts w:ascii="Arial" w:hAnsi="Arial" w:cs="Arial"/>
          <w:sz w:val="24"/>
          <w:szCs w:val="24"/>
        </w:rPr>
        <w:t xml:space="preserve"> for her to answer</w:t>
      </w:r>
      <w:r>
        <w:rPr>
          <w:rFonts w:ascii="Arial" w:hAnsi="Arial" w:cs="Arial"/>
          <w:sz w:val="24"/>
          <w:szCs w:val="24"/>
        </w:rPr>
        <w:t>.</w:t>
      </w:r>
    </w:p>
    <w:p w14:paraId="23F21AFC" w14:textId="0BE26779" w:rsidR="006B359B" w:rsidRPr="006B359B" w:rsidRDefault="006B359B" w:rsidP="006B359B">
      <w:pPr>
        <w:pStyle w:val="ListParagraph"/>
        <w:spacing w:after="0" w:line="480" w:lineRule="auto"/>
        <w:ind w:left="0"/>
        <w:jc w:val="both"/>
        <w:rPr>
          <w:rFonts w:ascii="Arial" w:hAnsi="Arial" w:cs="Arial"/>
          <w:b/>
          <w:sz w:val="24"/>
          <w:szCs w:val="24"/>
        </w:rPr>
      </w:pPr>
    </w:p>
    <w:p w14:paraId="7E5ACA4B" w14:textId="77777777" w:rsidR="007D6288" w:rsidRPr="004C5E1A" w:rsidRDefault="007D6288" w:rsidP="0038179B">
      <w:pPr>
        <w:pStyle w:val="ListParagraph"/>
        <w:numPr>
          <w:ilvl w:val="0"/>
          <w:numId w:val="1"/>
        </w:numPr>
        <w:spacing w:after="0" w:line="480" w:lineRule="auto"/>
        <w:jc w:val="both"/>
        <w:rPr>
          <w:rFonts w:ascii="Arial" w:hAnsi="Arial" w:cs="Arial"/>
          <w:b/>
          <w:sz w:val="24"/>
          <w:szCs w:val="24"/>
        </w:rPr>
      </w:pPr>
      <w:r w:rsidRPr="004C5E1A">
        <w:rPr>
          <w:rFonts w:ascii="Arial" w:hAnsi="Arial" w:cs="Arial"/>
          <w:sz w:val="24"/>
          <w:szCs w:val="24"/>
        </w:rPr>
        <w:t>It is noteworthy that inasmuch as the First Respondent has indicated that she requires the proceeds for her living expenses, she has not set out any of her financial circumstances in order for the court to assess the veracity of the assertion, bearing in mind that the First Respondent has already received an amount of R850 000 which was transferred to her bank account in Poland.</w:t>
      </w:r>
    </w:p>
    <w:p w14:paraId="3BEBB829" w14:textId="77777777" w:rsidR="00F45335" w:rsidRPr="004C5E1A" w:rsidRDefault="00F45335" w:rsidP="00F45335">
      <w:pPr>
        <w:pStyle w:val="ListParagraph"/>
        <w:rPr>
          <w:rFonts w:cstheme="minorHAnsi"/>
          <w:b/>
          <w:sz w:val="20"/>
          <w:szCs w:val="20"/>
        </w:rPr>
      </w:pPr>
    </w:p>
    <w:p w14:paraId="7E4BE7FB" w14:textId="4819E935" w:rsidR="00791466" w:rsidRPr="00791466" w:rsidRDefault="00791466" w:rsidP="00791466">
      <w:pPr>
        <w:pStyle w:val="ListParagraph"/>
        <w:rPr>
          <w:rFonts w:ascii="Arial" w:hAnsi="Arial" w:cs="Arial"/>
          <w:b/>
          <w:sz w:val="24"/>
          <w:szCs w:val="24"/>
        </w:rPr>
      </w:pPr>
    </w:p>
    <w:p w14:paraId="5A8A9035" w14:textId="1CD7F057" w:rsidR="00A02B23" w:rsidRPr="00CA49B6" w:rsidRDefault="00E90924" w:rsidP="00E90924">
      <w:pPr>
        <w:pStyle w:val="ListParagraph"/>
        <w:spacing w:line="480" w:lineRule="auto"/>
        <w:ind w:left="0"/>
        <w:jc w:val="both"/>
        <w:rPr>
          <w:rFonts w:ascii="Arial" w:hAnsi="Arial" w:cs="Arial"/>
          <w:b/>
          <w:sz w:val="24"/>
          <w:szCs w:val="24"/>
        </w:rPr>
      </w:pPr>
      <w:r>
        <w:rPr>
          <w:rFonts w:ascii="Arial" w:hAnsi="Arial" w:cs="Arial"/>
          <w:b/>
          <w:sz w:val="24"/>
          <w:szCs w:val="24"/>
        </w:rPr>
        <w:t>Alternative interdictory relief</w:t>
      </w:r>
    </w:p>
    <w:p w14:paraId="2D435363" w14:textId="422968A5" w:rsidR="004502AA" w:rsidRPr="004502AA" w:rsidRDefault="00A02B23" w:rsidP="004502AA">
      <w:pPr>
        <w:pStyle w:val="ListParagraph"/>
        <w:numPr>
          <w:ilvl w:val="0"/>
          <w:numId w:val="1"/>
        </w:numPr>
        <w:spacing w:line="480" w:lineRule="auto"/>
        <w:jc w:val="both"/>
        <w:rPr>
          <w:rFonts w:ascii="Arial" w:hAnsi="Arial" w:cs="Arial"/>
          <w:b/>
          <w:sz w:val="24"/>
          <w:szCs w:val="24"/>
        </w:rPr>
      </w:pPr>
      <w:r>
        <w:rPr>
          <w:rFonts w:ascii="Arial" w:hAnsi="Arial" w:cs="Arial"/>
          <w:sz w:val="24"/>
          <w:szCs w:val="24"/>
        </w:rPr>
        <w:t>The Applicant seeks in the alternative that the First Respondent be interdicted from transferring the funds pending the outcome of the action proceedings against the First Respondent.</w:t>
      </w:r>
      <w:r w:rsidRPr="002978D3">
        <w:rPr>
          <w:rFonts w:ascii="Arial" w:hAnsi="Arial" w:cs="Arial"/>
          <w:sz w:val="24"/>
          <w:szCs w:val="24"/>
        </w:rPr>
        <w:t xml:space="preserve"> </w:t>
      </w:r>
      <w:r w:rsidR="004502AA">
        <w:rPr>
          <w:rFonts w:ascii="Arial" w:hAnsi="Arial" w:cs="Arial"/>
          <w:sz w:val="24"/>
          <w:szCs w:val="24"/>
        </w:rPr>
        <w:t>It is trite that the threshold requirements for an anti-dissipation interdict include t</w:t>
      </w:r>
      <w:r w:rsidR="004502AA" w:rsidRPr="004502AA">
        <w:rPr>
          <w:rFonts w:ascii="Arial" w:hAnsi="Arial" w:cs="Arial"/>
          <w:sz w:val="24"/>
          <w:szCs w:val="24"/>
        </w:rPr>
        <w:t>he standard requirements for an interim interdict which include:</w:t>
      </w:r>
    </w:p>
    <w:p w14:paraId="0AE2C606" w14:textId="25424819" w:rsidR="004502AA" w:rsidRPr="004502AA" w:rsidRDefault="004502AA" w:rsidP="004502AA">
      <w:pPr>
        <w:pStyle w:val="ListParagraph"/>
        <w:numPr>
          <w:ilvl w:val="0"/>
          <w:numId w:val="34"/>
        </w:numPr>
        <w:spacing w:line="480" w:lineRule="auto"/>
        <w:jc w:val="both"/>
        <w:rPr>
          <w:rFonts w:ascii="Arial" w:hAnsi="Arial" w:cs="Arial"/>
          <w:b/>
          <w:sz w:val="24"/>
          <w:szCs w:val="24"/>
        </w:rPr>
      </w:pPr>
      <w:r w:rsidRPr="004502AA">
        <w:rPr>
          <w:rFonts w:ascii="Arial" w:hAnsi="Arial" w:cs="Arial"/>
          <w:sz w:val="24"/>
          <w:szCs w:val="24"/>
        </w:rPr>
        <w:t>A prima facie right;</w:t>
      </w:r>
    </w:p>
    <w:p w14:paraId="38D38B7A" w14:textId="5239AAD2" w:rsidR="004502AA" w:rsidRPr="004502AA" w:rsidRDefault="004502AA" w:rsidP="004502AA">
      <w:pPr>
        <w:pStyle w:val="ListParagraph"/>
        <w:numPr>
          <w:ilvl w:val="0"/>
          <w:numId w:val="34"/>
        </w:numPr>
        <w:spacing w:line="480" w:lineRule="auto"/>
        <w:jc w:val="both"/>
        <w:rPr>
          <w:rFonts w:ascii="Arial" w:hAnsi="Arial" w:cs="Arial"/>
          <w:b/>
          <w:sz w:val="24"/>
          <w:szCs w:val="24"/>
        </w:rPr>
      </w:pPr>
      <w:r w:rsidRPr="004502AA">
        <w:rPr>
          <w:rFonts w:ascii="Arial" w:hAnsi="Arial" w:cs="Arial"/>
          <w:sz w:val="24"/>
          <w:szCs w:val="24"/>
        </w:rPr>
        <w:t>A well-grounded apprehension of irreparable harm;</w:t>
      </w:r>
    </w:p>
    <w:p w14:paraId="269AA31C" w14:textId="1323B4F3" w:rsidR="004502AA" w:rsidRPr="004502AA" w:rsidRDefault="004502AA" w:rsidP="004502AA">
      <w:pPr>
        <w:pStyle w:val="ListParagraph"/>
        <w:numPr>
          <w:ilvl w:val="0"/>
          <w:numId w:val="34"/>
        </w:numPr>
        <w:spacing w:line="480" w:lineRule="auto"/>
        <w:jc w:val="both"/>
        <w:rPr>
          <w:rFonts w:ascii="Arial" w:hAnsi="Arial" w:cs="Arial"/>
          <w:b/>
          <w:sz w:val="24"/>
          <w:szCs w:val="24"/>
        </w:rPr>
      </w:pPr>
      <w:r w:rsidRPr="004502AA">
        <w:rPr>
          <w:rFonts w:ascii="Arial" w:hAnsi="Arial" w:cs="Arial"/>
          <w:sz w:val="24"/>
          <w:szCs w:val="24"/>
        </w:rPr>
        <w:lastRenderedPageBreak/>
        <w:t xml:space="preserve">The absence of a </w:t>
      </w:r>
      <w:r>
        <w:rPr>
          <w:rFonts w:ascii="Arial" w:hAnsi="Arial" w:cs="Arial"/>
          <w:sz w:val="24"/>
          <w:szCs w:val="24"/>
        </w:rPr>
        <w:t>satisfactory alternative remedy and</w:t>
      </w:r>
    </w:p>
    <w:p w14:paraId="15703035" w14:textId="5CB0E246" w:rsidR="004502AA" w:rsidRPr="004502AA" w:rsidRDefault="004502AA" w:rsidP="004502AA">
      <w:pPr>
        <w:pStyle w:val="ListParagraph"/>
        <w:numPr>
          <w:ilvl w:val="0"/>
          <w:numId w:val="34"/>
        </w:numPr>
        <w:spacing w:line="480" w:lineRule="auto"/>
        <w:jc w:val="both"/>
        <w:rPr>
          <w:rFonts w:ascii="Arial" w:hAnsi="Arial" w:cs="Arial"/>
          <w:b/>
          <w:sz w:val="24"/>
          <w:szCs w:val="24"/>
        </w:rPr>
      </w:pPr>
      <w:r w:rsidRPr="004502AA">
        <w:rPr>
          <w:rFonts w:ascii="Arial" w:hAnsi="Arial" w:cs="Arial"/>
          <w:sz w:val="24"/>
          <w:szCs w:val="24"/>
        </w:rPr>
        <w:t>Balance of convenience</w:t>
      </w:r>
    </w:p>
    <w:p w14:paraId="19255781" w14:textId="77777777" w:rsidR="004502AA" w:rsidRPr="004502AA" w:rsidRDefault="004502AA" w:rsidP="004502AA">
      <w:pPr>
        <w:pStyle w:val="ListParagraph"/>
        <w:spacing w:line="480" w:lineRule="auto"/>
        <w:ind w:left="0"/>
        <w:jc w:val="both"/>
        <w:rPr>
          <w:rFonts w:ascii="Arial" w:hAnsi="Arial" w:cs="Arial"/>
          <w:b/>
          <w:sz w:val="24"/>
          <w:szCs w:val="24"/>
        </w:rPr>
      </w:pPr>
    </w:p>
    <w:p w14:paraId="10CB24B0" w14:textId="69CD14D8" w:rsidR="00A02B23" w:rsidRPr="002978D3" w:rsidRDefault="00A02B23" w:rsidP="00A02B23">
      <w:pPr>
        <w:pStyle w:val="ListParagraph"/>
        <w:numPr>
          <w:ilvl w:val="0"/>
          <w:numId w:val="1"/>
        </w:numPr>
        <w:spacing w:line="480" w:lineRule="auto"/>
        <w:jc w:val="both"/>
        <w:rPr>
          <w:rFonts w:ascii="Arial" w:hAnsi="Arial" w:cs="Arial"/>
          <w:b/>
          <w:sz w:val="24"/>
          <w:szCs w:val="24"/>
        </w:rPr>
      </w:pPr>
      <w:r w:rsidRPr="00FE6A50">
        <w:rPr>
          <w:rFonts w:ascii="Arial" w:hAnsi="Arial" w:cs="Arial"/>
          <w:sz w:val="24"/>
          <w:szCs w:val="24"/>
        </w:rPr>
        <w:t>An amount of R54 304.05 held in the First Respondent’s ABSA current account was frozen as well as an amount of R1845 417.50 held in the depositor plus account was also frozen.</w:t>
      </w:r>
      <w:r w:rsidR="00925452">
        <w:rPr>
          <w:rFonts w:ascii="Arial" w:hAnsi="Arial" w:cs="Arial"/>
          <w:sz w:val="24"/>
          <w:szCs w:val="24"/>
        </w:rPr>
        <w:t xml:space="preserve"> It is uncontroverted that the funds attached are the only assets which the First Respondent holds in South Africa. It is the</w:t>
      </w:r>
      <w:r w:rsidR="00A70064">
        <w:rPr>
          <w:rFonts w:ascii="Arial" w:hAnsi="Arial" w:cs="Arial"/>
          <w:sz w:val="24"/>
          <w:szCs w:val="24"/>
        </w:rPr>
        <w:t xml:space="preserve"> Applicants</w:t>
      </w:r>
      <w:r w:rsidR="00DD1AA5">
        <w:rPr>
          <w:rFonts w:ascii="Arial" w:hAnsi="Arial" w:cs="Arial"/>
          <w:sz w:val="24"/>
          <w:szCs w:val="24"/>
        </w:rPr>
        <w:t>’</w:t>
      </w:r>
      <w:r w:rsidR="00A70064">
        <w:rPr>
          <w:rFonts w:ascii="Arial" w:hAnsi="Arial" w:cs="Arial"/>
          <w:sz w:val="24"/>
          <w:szCs w:val="24"/>
        </w:rPr>
        <w:t xml:space="preserve"> contention that if it were not for the attachment or interdict</w:t>
      </w:r>
      <w:r w:rsidR="00DD1AA5">
        <w:rPr>
          <w:rFonts w:ascii="Arial" w:hAnsi="Arial" w:cs="Arial"/>
          <w:sz w:val="24"/>
          <w:szCs w:val="24"/>
        </w:rPr>
        <w:t>,</w:t>
      </w:r>
      <w:r w:rsidR="00A70064">
        <w:rPr>
          <w:rFonts w:ascii="Arial" w:hAnsi="Arial" w:cs="Arial"/>
          <w:sz w:val="24"/>
          <w:szCs w:val="24"/>
        </w:rPr>
        <w:t xml:space="preserve"> the funds would be paid to an account in Poland. It is apparent that an amount of R850 000 from the proceeds of the sale has already been transferred.  </w:t>
      </w:r>
    </w:p>
    <w:p w14:paraId="5C4B28D6" w14:textId="77777777" w:rsidR="00A02B23" w:rsidRPr="00434E8A" w:rsidRDefault="00A02B23" w:rsidP="00A02B23">
      <w:pPr>
        <w:pStyle w:val="ListParagraph"/>
        <w:spacing w:line="480" w:lineRule="auto"/>
        <w:ind w:left="0"/>
        <w:jc w:val="both"/>
        <w:rPr>
          <w:rFonts w:ascii="Arial" w:hAnsi="Arial" w:cs="Arial"/>
          <w:b/>
          <w:sz w:val="24"/>
          <w:szCs w:val="24"/>
        </w:rPr>
      </w:pPr>
    </w:p>
    <w:p w14:paraId="4A6A7CB9" w14:textId="7C61905B" w:rsidR="00A02B23" w:rsidRPr="001A5419" w:rsidRDefault="00A02B23" w:rsidP="00A02B23">
      <w:pPr>
        <w:pStyle w:val="ListParagraph"/>
        <w:numPr>
          <w:ilvl w:val="0"/>
          <w:numId w:val="1"/>
        </w:numPr>
        <w:spacing w:line="480" w:lineRule="auto"/>
        <w:jc w:val="both"/>
        <w:rPr>
          <w:rFonts w:ascii="Arial" w:hAnsi="Arial" w:cs="Arial"/>
          <w:b/>
          <w:sz w:val="24"/>
          <w:szCs w:val="24"/>
        </w:rPr>
      </w:pPr>
      <w:r>
        <w:rPr>
          <w:rFonts w:ascii="Arial" w:hAnsi="Arial" w:cs="Arial"/>
          <w:sz w:val="24"/>
          <w:szCs w:val="24"/>
        </w:rPr>
        <w:t xml:space="preserve">The Applicants are required to prove, on a balance of probabilities that they have a </w:t>
      </w:r>
      <w:r w:rsidRPr="002978D3">
        <w:rPr>
          <w:rFonts w:ascii="Arial" w:hAnsi="Arial" w:cs="Arial"/>
          <w:i/>
          <w:sz w:val="24"/>
          <w:szCs w:val="24"/>
        </w:rPr>
        <w:t>bona fide</w:t>
      </w:r>
      <w:r>
        <w:rPr>
          <w:rFonts w:ascii="Arial" w:hAnsi="Arial" w:cs="Arial"/>
          <w:sz w:val="24"/>
          <w:szCs w:val="24"/>
        </w:rPr>
        <w:t xml:space="preserve"> claim against the First Respondent. Furthermore, the Applicants are to demonstrate that the First Applicant is dissipating assets or is likely to do so with the intention to defeat the </w:t>
      </w:r>
      <w:r>
        <w:rPr>
          <w:rFonts w:ascii="Arial" w:hAnsi="Arial" w:cs="Arial"/>
          <w:i/>
          <w:sz w:val="24"/>
          <w:szCs w:val="24"/>
        </w:rPr>
        <w:t xml:space="preserve">bona fide </w:t>
      </w:r>
      <w:r>
        <w:rPr>
          <w:rFonts w:ascii="Arial" w:hAnsi="Arial" w:cs="Arial"/>
          <w:sz w:val="24"/>
          <w:szCs w:val="24"/>
        </w:rPr>
        <w:t xml:space="preserve">claim. </w:t>
      </w:r>
      <w:r w:rsidR="001A5419">
        <w:rPr>
          <w:rFonts w:ascii="Arial" w:hAnsi="Arial" w:cs="Arial"/>
          <w:sz w:val="24"/>
          <w:szCs w:val="24"/>
        </w:rPr>
        <w:t>What constitutes evidence has been crystal</w:t>
      </w:r>
      <w:r w:rsidR="00C10DC7">
        <w:rPr>
          <w:rFonts w:ascii="Arial" w:hAnsi="Arial" w:cs="Arial"/>
          <w:sz w:val="24"/>
          <w:szCs w:val="24"/>
        </w:rPr>
        <w:t>l</w:t>
      </w:r>
      <w:r w:rsidR="001A5419">
        <w:rPr>
          <w:rFonts w:ascii="Arial" w:hAnsi="Arial" w:cs="Arial"/>
          <w:sz w:val="24"/>
          <w:szCs w:val="24"/>
        </w:rPr>
        <w:t xml:space="preserve">ised in </w:t>
      </w:r>
      <w:r w:rsidR="001A5419">
        <w:rPr>
          <w:rFonts w:ascii="Arial" w:hAnsi="Arial" w:cs="Arial"/>
          <w:b/>
          <w:i/>
          <w:sz w:val="24"/>
          <w:szCs w:val="24"/>
        </w:rPr>
        <w:t xml:space="preserve">Hulse – Reutter </w:t>
      </w:r>
      <w:r w:rsidR="00436116">
        <w:rPr>
          <w:rFonts w:ascii="Arial" w:hAnsi="Arial" w:cs="Arial"/>
          <w:i/>
          <w:sz w:val="24"/>
          <w:szCs w:val="24"/>
        </w:rPr>
        <w:t>(supra).</w:t>
      </w:r>
    </w:p>
    <w:p w14:paraId="5A1E7C50" w14:textId="77777777" w:rsidR="001A5419" w:rsidRPr="001A5419" w:rsidRDefault="001A5419" w:rsidP="001A5419">
      <w:pPr>
        <w:pStyle w:val="ListParagraph"/>
        <w:rPr>
          <w:rFonts w:ascii="Arial" w:hAnsi="Arial" w:cs="Arial"/>
          <w:b/>
          <w:sz w:val="24"/>
          <w:szCs w:val="24"/>
        </w:rPr>
      </w:pPr>
    </w:p>
    <w:p w14:paraId="653617AD" w14:textId="77777777" w:rsidR="00A70064" w:rsidRPr="00A70064" w:rsidRDefault="00A70064" w:rsidP="00A70064">
      <w:pPr>
        <w:pStyle w:val="ListParagraph"/>
        <w:rPr>
          <w:rFonts w:ascii="Arial" w:hAnsi="Arial" w:cs="Arial"/>
          <w:b/>
          <w:sz w:val="24"/>
          <w:szCs w:val="24"/>
        </w:rPr>
      </w:pPr>
    </w:p>
    <w:p w14:paraId="626C98AC" w14:textId="512C0D0F" w:rsidR="00CF326F" w:rsidRPr="00EE7AD4" w:rsidRDefault="00A70064" w:rsidP="00EE7AD4">
      <w:pPr>
        <w:pStyle w:val="ListParagraph"/>
        <w:numPr>
          <w:ilvl w:val="0"/>
          <w:numId w:val="1"/>
        </w:numPr>
        <w:spacing w:line="480" w:lineRule="auto"/>
        <w:jc w:val="both"/>
        <w:rPr>
          <w:rFonts w:ascii="Arial" w:hAnsi="Arial" w:cs="Arial"/>
          <w:b/>
          <w:sz w:val="24"/>
          <w:szCs w:val="24"/>
        </w:rPr>
      </w:pPr>
      <w:r>
        <w:rPr>
          <w:rFonts w:ascii="Arial" w:hAnsi="Arial" w:cs="Arial"/>
          <w:sz w:val="24"/>
          <w:szCs w:val="24"/>
        </w:rPr>
        <w:t xml:space="preserve">The Applicants have raised a concern that the First Respondent has not stated that she will not transfer the funds overseas. </w:t>
      </w:r>
      <w:r w:rsidR="005D15C5">
        <w:rPr>
          <w:rFonts w:ascii="Arial" w:hAnsi="Arial" w:cs="Arial"/>
          <w:sz w:val="24"/>
          <w:szCs w:val="24"/>
        </w:rPr>
        <w:t xml:space="preserve">The contention of the Applicants is that the </w:t>
      </w:r>
      <w:r>
        <w:rPr>
          <w:rFonts w:ascii="Arial" w:hAnsi="Arial" w:cs="Arial"/>
          <w:sz w:val="24"/>
          <w:szCs w:val="24"/>
        </w:rPr>
        <w:t xml:space="preserve">possibility </w:t>
      </w:r>
      <w:r w:rsidR="005D15C5">
        <w:rPr>
          <w:rFonts w:ascii="Arial" w:hAnsi="Arial" w:cs="Arial"/>
          <w:sz w:val="24"/>
          <w:szCs w:val="24"/>
        </w:rPr>
        <w:t xml:space="preserve">exists </w:t>
      </w:r>
      <w:r>
        <w:rPr>
          <w:rFonts w:ascii="Arial" w:hAnsi="Arial" w:cs="Arial"/>
          <w:sz w:val="24"/>
          <w:szCs w:val="24"/>
        </w:rPr>
        <w:t>that there will be no monies left by the time the action against the First Respondent has been resolved or finalised</w:t>
      </w:r>
      <w:r w:rsidR="005D15C5">
        <w:rPr>
          <w:rFonts w:ascii="Arial" w:hAnsi="Arial" w:cs="Arial"/>
          <w:sz w:val="24"/>
          <w:szCs w:val="24"/>
        </w:rPr>
        <w:t xml:space="preserve">, as she has on her own version, stated that </w:t>
      </w:r>
      <w:r w:rsidR="00C10DC7">
        <w:rPr>
          <w:rFonts w:ascii="Arial" w:hAnsi="Arial" w:cs="Arial"/>
          <w:sz w:val="24"/>
          <w:szCs w:val="24"/>
        </w:rPr>
        <w:t xml:space="preserve">she </w:t>
      </w:r>
      <w:r w:rsidR="005D15C5">
        <w:rPr>
          <w:rFonts w:ascii="Arial" w:hAnsi="Arial" w:cs="Arial"/>
          <w:sz w:val="24"/>
          <w:szCs w:val="24"/>
        </w:rPr>
        <w:t>requires the funds to service her living expenses</w:t>
      </w:r>
      <w:r>
        <w:rPr>
          <w:rFonts w:ascii="Arial" w:hAnsi="Arial" w:cs="Arial"/>
          <w:sz w:val="24"/>
          <w:szCs w:val="24"/>
        </w:rPr>
        <w:t xml:space="preserve">. </w:t>
      </w:r>
      <w:r w:rsidR="00BF0E4E">
        <w:rPr>
          <w:rFonts w:ascii="Arial" w:hAnsi="Arial" w:cs="Arial"/>
          <w:sz w:val="24"/>
          <w:szCs w:val="24"/>
        </w:rPr>
        <w:t xml:space="preserve"> It was contended that it would ultimately render the Applicants</w:t>
      </w:r>
      <w:r w:rsidR="00C10DC7">
        <w:rPr>
          <w:rFonts w:ascii="Arial" w:hAnsi="Arial" w:cs="Arial"/>
          <w:sz w:val="24"/>
          <w:szCs w:val="24"/>
        </w:rPr>
        <w:t>’</w:t>
      </w:r>
      <w:r w:rsidR="00BF0E4E">
        <w:rPr>
          <w:rFonts w:ascii="Arial" w:hAnsi="Arial" w:cs="Arial"/>
          <w:sz w:val="24"/>
          <w:szCs w:val="24"/>
        </w:rPr>
        <w:t xml:space="preserve"> claim against the First Respondent futile in the circumstance. </w:t>
      </w:r>
      <w:r w:rsidR="00B435B0" w:rsidRPr="00EE7AD4">
        <w:rPr>
          <w:rFonts w:ascii="Arial" w:hAnsi="Arial" w:cs="Arial"/>
          <w:sz w:val="24"/>
          <w:szCs w:val="24"/>
        </w:rPr>
        <w:t>The First Respondent submitted</w:t>
      </w:r>
      <w:r w:rsidR="00CF326F" w:rsidRPr="00EE7AD4">
        <w:rPr>
          <w:rFonts w:ascii="Arial" w:hAnsi="Arial" w:cs="Arial"/>
          <w:sz w:val="24"/>
          <w:szCs w:val="24"/>
        </w:rPr>
        <w:t xml:space="preserve"> that </w:t>
      </w:r>
      <w:r w:rsidR="00B435B0" w:rsidRPr="00EE7AD4">
        <w:rPr>
          <w:rFonts w:ascii="Arial" w:hAnsi="Arial" w:cs="Arial"/>
          <w:sz w:val="24"/>
          <w:szCs w:val="24"/>
        </w:rPr>
        <w:t xml:space="preserve">the </w:t>
      </w:r>
      <w:r w:rsidR="00B435B0" w:rsidRPr="00EE7AD4">
        <w:rPr>
          <w:rFonts w:ascii="Arial" w:hAnsi="Arial" w:cs="Arial"/>
          <w:sz w:val="24"/>
          <w:szCs w:val="24"/>
        </w:rPr>
        <w:lastRenderedPageBreak/>
        <w:t xml:space="preserve">Applicants </w:t>
      </w:r>
      <w:r w:rsidR="00EE7AD4" w:rsidRPr="00EE7AD4">
        <w:rPr>
          <w:rFonts w:ascii="Arial" w:hAnsi="Arial" w:cs="Arial"/>
          <w:sz w:val="24"/>
          <w:szCs w:val="24"/>
        </w:rPr>
        <w:t xml:space="preserve">have failed to establish </w:t>
      </w:r>
      <w:r w:rsidR="005E7A6D" w:rsidRPr="00EE7AD4">
        <w:rPr>
          <w:rFonts w:ascii="Arial" w:hAnsi="Arial" w:cs="Arial"/>
          <w:sz w:val="24"/>
          <w:szCs w:val="24"/>
        </w:rPr>
        <w:t>that the First Respondent is dissipating assets or intends to do so with the intention of defeating such claim.</w:t>
      </w:r>
    </w:p>
    <w:p w14:paraId="5ABF393F" w14:textId="77777777" w:rsidR="008D0953" w:rsidRPr="008D0953" w:rsidRDefault="008D0953" w:rsidP="008D0953">
      <w:pPr>
        <w:pStyle w:val="ListParagraph"/>
        <w:rPr>
          <w:rFonts w:ascii="Arial" w:hAnsi="Arial" w:cs="Arial"/>
          <w:b/>
          <w:sz w:val="24"/>
          <w:szCs w:val="24"/>
        </w:rPr>
      </w:pPr>
    </w:p>
    <w:p w14:paraId="10745CB3" w14:textId="35722960" w:rsidR="008D0953" w:rsidRPr="00411BBB" w:rsidRDefault="008D0953" w:rsidP="00A02B23">
      <w:pPr>
        <w:pStyle w:val="ListParagraph"/>
        <w:numPr>
          <w:ilvl w:val="0"/>
          <w:numId w:val="1"/>
        </w:numPr>
        <w:spacing w:line="480" w:lineRule="auto"/>
        <w:jc w:val="both"/>
        <w:rPr>
          <w:rFonts w:ascii="Arial" w:hAnsi="Arial" w:cs="Arial"/>
          <w:b/>
          <w:sz w:val="24"/>
          <w:szCs w:val="24"/>
        </w:rPr>
      </w:pPr>
      <w:r>
        <w:rPr>
          <w:rFonts w:ascii="Arial" w:hAnsi="Arial" w:cs="Arial"/>
          <w:sz w:val="24"/>
          <w:szCs w:val="24"/>
        </w:rPr>
        <w:t xml:space="preserve">It is trite that at common law the Applicant is obliged to establish a rebuttable presumption that the Respondent will dissipate his or her assets with the intention of defeating the Applicant’s claim. A fundamental foundation for an anti-dissipation order is that there must be proof that the Respondent is attempting to dispose of his property in order to defeat the Applicant’s potential right to execute upon a successful judgment. It follows that a substantial basis to support the allegation that the Respondent has the intention of dissipating assets to avoid payment is essential and this burden of proof needs to be established at least by providing </w:t>
      </w:r>
      <w:r w:rsidRPr="008D0953">
        <w:rPr>
          <w:rFonts w:ascii="Arial" w:hAnsi="Arial" w:cs="Arial"/>
          <w:i/>
          <w:sz w:val="24"/>
          <w:szCs w:val="24"/>
        </w:rPr>
        <w:t>prima facie</w:t>
      </w:r>
      <w:r>
        <w:rPr>
          <w:rFonts w:ascii="Arial" w:hAnsi="Arial" w:cs="Arial"/>
          <w:i/>
          <w:sz w:val="24"/>
          <w:szCs w:val="24"/>
        </w:rPr>
        <w:t xml:space="preserve"> </w:t>
      </w:r>
      <w:r>
        <w:rPr>
          <w:rFonts w:ascii="Arial" w:hAnsi="Arial" w:cs="Arial"/>
          <w:sz w:val="24"/>
          <w:szCs w:val="24"/>
        </w:rPr>
        <w:t xml:space="preserve">evidence of this allegation and not irrefutable proof thereof. This requirement will be met if it can be properly inferred from the objective facts that there is a risk that the Respondent will evade execution of a judgment obtained or to be obtained against him </w:t>
      </w:r>
      <w:r w:rsidR="00C10DC7">
        <w:rPr>
          <w:rFonts w:ascii="Arial" w:hAnsi="Arial" w:cs="Arial"/>
          <w:sz w:val="24"/>
          <w:szCs w:val="24"/>
        </w:rPr>
        <w:t xml:space="preserve">or </w:t>
      </w:r>
      <w:r>
        <w:rPr>
          <w:rFonts w:ascii="Arial" w:hAnsi="Arial" w:cs="Arial"/>
          <w:sz w:val="24"/>
          <w:szCs w:val="24"/>
        </w:rPr>
        <w:t xml:space="preserve">her. </w:t>
      </w:r>
    </w:p>
    <w:p w14:paraId="5234A1EC" w14:textId="77777777" w:rsidR="00411BBB" w:rsidRPr="00411BBB" w:rsidRDefault="00411BBB" w:rsidP="00411BBB">
      <w:pPr>
        <w:pStyle w:val="ListParagraph"/>
        <w:rPr>
          <w:rFonts w:ascii="Arial" w:hAnsi="Arial" w:cs="Arial"/>
          <w:b/>
          <w:sz w:val="24"/>
          <w:szCs w:val="24"/>
        </w:rPr>
      </w:pPr>
    </w:p>
    <w:p w14:paraId="7455B3B8" w14:textId="5F61D439" w:rsidR="00411BBB" w:rsidRPr="00411BBB" w:rsidRDefault="000C414C" w:rsidP="00A02B23">
      <w:pPr>
        <w:pStyle w:val="ListParagraph"/>
        <w:numPr>
          <w:ilvl w:val="0"/>
          <w:numId w:val="1"/>
        </w:numPr>
        <w:spacing w:line="480" w:lineRule="auto"/>
        <w:jc w:val="both"/>
        <w:rPr>
          <w:rFonts w:ascii="Arial" w:hAnsi="Arial" w:cs="Arial"/>
          <w:b/>
          <w:sz w:val="24"/>
          <w:szCs w:val="24"/>
        </w:rPr>
      </w:pPr>
      <w:r>
        <w:rPr>
          <w:rFonts w:ascii="Arial" w:hAnsi="Arial" w:cs="Arial"/>
          <w:sz w:val="24"/>
          <w:szCs w:val="24"/>
        </w:rPr>
        <w:t xml:space="preserve">The seminal judgment of </w:t>
      </w:r>
      <w:r>
        <w:rPr>
          <w:rFonts w:ascii="Arial" w:hAnsi="Arial" w:cs="Arial"/>
          <w:b/>
          <w:i/>
          <w:sz w:val="24"/>
          <w:szCs w:val="24"/>
        </w:rPr>
        <w:t>Knox D’Arcy Ltd and Others v Jamieson and Others</w:t>
      </w:r>
      <w:r>
        <w:rPr>
          <w:rStyle w:val="FootnoteReference"/>
          <w:rFonts w:ascii="Arial" w:hAnsi="Arial" w:cs="Arial"/>
          <w:sz w:val="24"/>
          <w:szCs w:val="24"/>
        </w:rPr>
        <w:footnoteReference w:id="57"/>
      </w:r>
      <w:r w:rsidR="002739C4">
        <w:rPr>
          <w:rFonts w:ascii="Arial" w:hAnsi="Arial" w:cs="Arial"/>
          <w:sz w:val="24"/>
          <w:szCs w:val="24"/>
        </w:rPr>
        <w:t xml:space="preserve"> </w:t>
      </w:r>
      <w:r>
        <w:rPr>
          <w:rFonts w:ascii="Arial" w:hAnsi="Arial" w:cs="Arial"/>
          <w:sz w:val="24"/>
          <w:szCs w:val="24"/>
        </w:rPr>
        <w:t>is instructive on this point.</w:t>
      </w:r>
    </w:p>
    <w:p w14:paraId="1DC8A472" w14:textId="77777777" w:rsidR="00411BBB" w:rsidRPr="00411BBB" w:rsidRDefault="00411BBB" w:rsidP="00411BBB">
      <w:pPr>
        <w:pStyle w:val="ListParagraph"/>
        <w:rPr>
          <w:rFonts w:ascii="Arial" w:hAnsi="Arial" w:cs="Arial"/>
          <w:b/>
          <w:sz w:val="24"/>
          <w:szCs w:val="24"/>
        </w:rPr>
      </w:pPr>
    </w:p>
    <w:p w14:paraId="4E0F5AA8" w14:textId="479FF50D" w:rsidR="00634406" w:rsidRDefault="00411BBB" w:rsidP="00411BBB">
      <w:pPr>
        <w:pStyle w:val="ListParagraph"/>
        <w:spacing w:line="360" w:lineRule="auto"/>
        <w:ind w:right="720"/>
        <w:jc w:val="both"/>
        <w:rPr>
          <w:rFonts w:ascii="Arial" w:hAnsi="Arial" w:cs="Arial"/>
          <w:i/>
        </w:rPr>
      </w:pPr>
      <w:r w:rsidRPr="00411BBB">
        <w:rPr>
          <w:rFonts w:ascii="Arial" w:hAnsi="Arial" w:cs="Arial"/>
          <w:b/>
          <w:i/>
        </w:rPr>
        <w:t>‘…</w:t>
      </w:r>
      <w:r w:rsidRPr="00411BBB">
        <w:rPr>
          <w:rFonts w:ascii="Arial" w:hAnsi="Arial" w:cs="Arial"/>
          <w:i/>
        </w:rPr>
        <w:t>The interdict prevents the respondent from dealing freely with his assets but grants the applicant no preferenti</w:t>
      </w:r>
      <w:r w:rsidR="007B26E3">
        <w:rPr>
          <w:rFonts w:ascii="Arial" w:hAnsi="Arial" w:cs="Arial"/>
          <w:i/>
        </w:rPr>
        <w:t>al rights over those assets. An</w:t>
      </w:r>
      <w:r w:rsidR="00753308">
        <w:rPr>
          <w:rFonts w:ascii="Arial" w:hAnsi="Arial" w:cs="Arial"/>
          <w:i/>
        </w:rPr>
        <w:t>d</w:t>
      </w:r>
      <w:r w:rsidRPr="00411BBB">
        <w:rPr>
          <w:rFonts w:ascii="Arial" w:hAnsi="Arial" w:cs="Arial"/>
          <w:i/>
        </w:rPr>
        <w:t xml:space="preserve"> “anti-dissipation” suffers from the defect that in most cases…the interdict is not sought to prevent the respo</w:t>
      </w:r>
      <w:r>
        <w:rPr>
          <w:rFonts w:ascii="Arial" w:hAnsi="Arial" w:cs="Arial"/>
          <w:i/>
        </w:rPr>
        <w:t xml:space="preserve">ndent from dissipating his assets, but rather from preserving them so well that the applicant cannot get his hands on them…As to the nature of the interdict, this was dealt with by Stegmannn J in 1994 (3) SA at 706B to 707B and in 1995 (2) SA at 591A to 600F. The latter passage was largely devoted to showing that it is not necessary for an applicant to show that the respondent has no bona fide defence to the action…What then must an </w:t>
      </w:r>
      <w:r>
        <w:rPr>
          <w:rFonts w:ascii="Arial" w:hAnsi="Arial" w:cs="Arial"/>
          <w:i/>
        </w:rPr>
        <w:lastRenderedPageBreak/>
        <w:t>applicant show in this regard? …</w:t>
      </w:r>
      <w:r w:rsidR="008E685F">
        <w:rPr>
          <w:rFonts w:ascii="Arial" w:hAnsi="Arial" w:cs="Arial"/>
          <w:i/>
        </w:rPr>
        <w:t xml:space="preserve">In </w:t>
      </w:r>
      <w:r>
        <w:rPr>
          <w:rFonts w:ascii="Arial" w:hAnsi="Arial" w:cs="Arial"/>
          <w:i/>
        </w:rPr>
        <w:t xml:space="preserve">Mcitiki and </w:t>
      </w:r>
      <w:r w:rsidR="008E685F">
        <w:rPr>
          <w:rFonts w:ascii="Arial" w:hAnsi="Arial" w:cs="Arial"/>
          <w:i/>
        </w:rPr>
        <w:t>Another v Maweai 7973 CPD 684 at</w:t>
      </w:r>
      <w:r>
        <w:rPr>
          <w:rFonts w:ascii="Arial" w:hAnsi="Arial" w:cs="Arial"/>
          <w:i/>
        </w:rPr>
        <w:t xml:space="preserve"> p 687 Hopley J stated the </w:t>
      </w:r>
      <w:r w:rsidR="00634406">
        <w:rPr>
          <w:rFonts w:ascii="Arial" w:hAnsi="Arial" w:cs="Arial"/>
          <w:i/>
        </w:rPr>
        <w:t>effect of earlier cases as follows:</w:t>
      </w:r>
    </w:p>
    <w:p w14:paraId="2E4ABC61" w14:textId="566C7056" w:rsidR="00411BBB" w:rsidRPr="008E685F" w:rsidRDefault="00634406" w:rsidP="00A50049">
      <w:pPr>
        <w:pStyle w:val="ListParagraph"/>
        <w:ind w:left="1080" w:right="1080"/>
        <w:jc w:val="both"/>
        <w:rPr>
          <w:rFonts w:ascii="Arial" w:hAnsi="Arial" w:cs="Arial"/>
          <w:i/>
        </w:rPr>
      </w:pPr>
      <w:r w:rsidRPr="008E685F">
        <w:rPr>
          <w:rFonts w:ascii="Arial" w:hAnsi="Arial" w:cs="Arial"/>
          <w:i/>
        </w:rPr>
        <w:t>“…they all proceed upon the wish of the Court that the plaintiff should not have an injustice done to him by reason of leaving his debtor possessed of funds sufficient to satisfy the claim, when circumstances show that such debtor is wasting or getting rid of such funds to defeat his creditors, or is likely</w:t>
      </w:r>
      <w:r w:rsidR="008E685F" w:rsidRPr="008E685F">
        <w:rPr>
          <w:rFonts w:ascii="Arial" w:hAnsi="Arial" w:cs="Arial"/>
          <w:i/>
        </w:rPr>
        <w:t xml:space="preserve"> to do so.”</w:t>
      </w:r>
    </w:p>
    <w:p w14:paraId="1B911CD7" w14:textId="24B5AAEE" w:rsidR="004269C8" w:rsidRPr="00FC2A50" w:rsidRDefault="00FC2A50" w:rsidP="00411BBB">
      <w:pPr>
        <w:pStyle w:val="ListParagraph"/>
        <w:spacing w:line="360" w:lineRule="auto"/>
        <w:ind w:right="720"/>
        <w:jc w:val="both"/>
        <w:rPr>
          <w:rFonts w:ascii="Arial" w:hAnsi="Arial" w:cs="Arial"/>
          <w:i/>
        </w:rPr>
      </w:pPr>
      <w:r>
        <w:rPr>
          <w:rFonts w:ascii="Arial" w:hAnsi="Arial" w:cs="Arial"/>
          <w:b/>
          <w:i/>
        </w:rPr>
        <w:t>…</w:t>
      </w:r>
      <w:r>
        <w:rPr>
          <w:rFonts w:ascii="Arial" w:hAnsi="Arial" w:cs="Arial"/>
          <w:i/>
        </w:rPr>
        <w:t>The question which arises from this approach is whether an applicant need show a particular state of mind on the part of the respondent, i.e. that he is getting rid of the funds, or is likely to do so, with the intention of defeating the claims of creditors. Having regard to the purpose of this type of interdict the answer must be, I consider, yes, except possibly in exceptional cases. As I have said, the effect of the interdict is to prevent the respondent from freely dealing with his own property to which the applicant lays no claim. Justice may require this restriction in cases where the respondent is shown to be acting mala fide with the intent of preventing execution in respect of the applicant’s claim</w:t>
      </w:r>
      <w:r w:rsidR="004269C8">
        <w:rPr>
          <w:rFonts w:ascii="Arial" w:hAnsi="Arial" w:cs="Arial"/>
          <w:i/>
        </w:rPr>
        <w:t xml:space="preserve">. However, there would not normally be any justification to compel a respondent to regulate his bona fide expenditure so as </w:t>
      </w:r>
      <w:r w:rsidR="00E90924">
        <w:rPr>
          <w:rFonts w:ascii="Arial" w:hAnsi="Arial" w:cs="Arial"/>
          <w:i/>
        </w:rPr>
        <w:t>t</w:t>
      </w:r>
      <w:r w:rsidR="004269C8">
        <w:rPr>
          <w:rFonts w:ascii="Arial" w:hAnsi="Arial" w:cs="Arial"/>
          <w:i/>
        </w:rPr>
        <w:t xml:space="preserve">o retain funds in his patrimony for the payment of claims (particularly disputed ones) against him.  I am not, of course, at the moment dealing with special situations which might arise, for instance, by contract </w:t>
      </w:r>
      <w:r w:rsidR="000C414C">
        <w:rPr>
          <w:rFonts w:ascii="Arial" w:hAnsi="Arial" w:cs="Arial"/>
          <w:i/>
        </w:rPr>
        <w:t>or under the law of insolvency.</w:t>
      </w:r>
      <w:r w:rsidR="004269C8">
        <w:rPr>
          <w:rFonts w:ascii="Arial" w:hAnsi="Arial" w:cs="Arial"/>
          <w:i/>
        </w:rPr>
        <w:t>..</w:t>
      </w:r>
      <w:r w:rsidR="000C414C">
        <w:rPr>
          <w:rFonts w:ascii="Arial" w:hAnsi="Arial" w:cs="Arial"/>
          <w:i/>
        </w:rPr>
        <w:t>’</w:t>
      </w:r>
    </w:p>
    <w:p w14:paraId="5790D155" w14:textId="7B2AE6C3" w:rsidR="004269C8" w:rsidRPr="00411BBB" w:rsidRDefault="004269C8" w:rsidP="004269C8">
      <w:pPr>
        <w:pStyle w:val="ListParagraph"/>
        <w:rPr>
          <w:rFonts w:ascii="Arial" w:hAnsi="Arial" w:cs="Arial"/>
          <w:b/>
          <w:sz w:val="24"/>
          <w:szCs w:val="24"/>
        </w:rPr>
      </w:pPr>
    </w:p>
    <w:p w14:paraId="69BB9F4A" w14:textId="4AFE21B3" w:rsidR="004269C8" w:rsidRPr="00D0795B" w:rsidRDefault="004269C8" w:rsidP="004269C8">
      <w:pPr>
        <w:pStyle w:val="ListParagraph"/>
        <w:numPr>
          <w:ilvl w:val="0"/>
          <w:numId w:val="1"/>
        </w:numPr>
        <w:spacing w:line="480" w:lineRule="auto"/>
        <w:jc w:val="both"/>
        <w:rPr>
          <w:rFonts w:ascii="Arial" w:hAnsi="Arial" w:cs="Arial"/>
          <w:b/>
          <w:sz w:val="24"/>
          <w:szCs w:val="24"/>
        </w:rPr>
      </w:pPr>
      <w:r>
        <w:rPr>
          <w:rFonts w:ascii="Arial" w:hAnsi="Arial" w:cs="Arial"/>
          <w:sz w:val="24"/>
          <w:szCs w:val="24"/>
        </w:rPr>
        <w:t xml:space="preserve">On the facts to be decided in </w:t>
      </w:r>
      <w:r>
        <w:rPr>
          <w:rFonts w:ascii="Arial" w:hAnsi="Arial" w:cs="Arial"/>
          <w:b/>
          <w:i/>
          <w:sz w:val="24"/>
          <w:szCs w:val="24"/>
        </w:rPr>
        <w:t xml:space="preserve">Knox D’Arcy </w:t>
      </w:r>
      <w:r w:rsidR="002739C4">
        <w:rPr>
          <w:rFonts w:ascii="Arial" w:hAnsi="Arial" w:cs="Arial"/>
          <w:sz w:val="24"/>
          <w:szCs w:val="24"/>
        </w:rPr>
        <w:t xml:space="preserve">the court was called upon to </w:t>
      </w:r>
      <w:r>
        <w:rPr>
          <w:rFonts w:ascii="Arial" w:hAnsi="Arial" w:cs="Arial"/>
          <w:sz w:val="24"/>
          <w:szCs w:val="24"/>
        </w:rPr>
        <w:t xml:space="preserve">consider whether the petitioner have proved </w:t>
      </w:r>
      <w:r w:rsidRPr="002739C4">
        <w:rPr>
          <w:rFonts w:ascii="Arial" w:hAnsi="Arial" w:cs="Arial"/>
          <w:i/>
          <w:sz w:val="24"/>
          <w:szCs w:val="24"/>
        </w:rPr>
        <w:t>prima facie</w:t>
      </w:r>
      <w:r>
        <w:rPr>
          <w:rFonts w:ascii="Arial" w:hAnsi="Arial" w:cs="Arial"/>
          <w:sz w:val="24"/>
          <w:szCs w:val="24"/>
        </w:rPr>
        <w:t xml:space="preserve"> that the Respondent </w:t>
      </w:r>
      <w:r w:rsidR="00D0795B">
        <w:rPr>
          <w:rFonts w:ascii="Arial" w:hAnsi="Arial" w:cs="Arial"/>
          <w:sz w:val="24"/>
          <w:szCs w:val="24"/>
        </w:rPr>
        <w:t xml:space="preserve">had an </w:t>
      </w:r>
      <w:r w:rsidR="00D0795B" w:rsidRPr="00D0795B">
        <w:rPr>
          <w:rFonts w:ascii="Arial" w:hAnsi="Arial" w:cs="Arial"/>
          <w:i/>
          <w:sz w:val="24"/>
          <w:szCs w:val="24"/>
        </w:rPr>
        <w:t>‘intention to defeat the petitioners’ claims, or to render them hollow, by secreting their assets.’</w:t>
      </w:r>
      <w:r w:rsidR="00D0795B">
        <w:rPr>
          <w:rStyle w:val="FootnoteReference"/>
          <w:rFonts w:ascii="Arial" w:hAnsi="Arial" w:cs="Arial"/>
          <w:i/>
          <w:sz w:val="24"/>
          <w:szCs w:val="24"/>
        </w:rPr>
        <w:footnoteReference w:id="58"/>
      </w:r>
      <w:r w:rsidR="00D0795B">
        <w:rPr>
          <w:rFonts w:ascii="Arial" w:hAnsi="Arial" w:cs="Arial"/>
          <w:sz w:val="24"/>
          <w:szCs w:val="24"/>
        </w:rPr>
        <w:t xml:space="preserve"> In this regard, </w:t>
      </w:r>
      <w:r w:rsidR="000C414C">
        <w:rPr>
          <w:rFonts w:ascii="Arial" w:hAnsi="Arial" w:cs="Arial"/>
          <w:sz w:val="24"/>
          <w:szCs w:val="24"/>
        </w:rPr>
        <w:t xml:space="preserve">Grosskopf </w:t>
      </w:r>
      <w:r w:rsidR="00D0795B">
        <w:rPr>
          <w:rFonts w:ascii="Arial" w:hAnsi="Arial" w:cs="Arial"/>
          <w:sz w:val="24"/>
          <w:szCs w:val="24"/>
        </w:rPr>
        <w:t xml:space="preserve"> J</w:t>
      </w:r>
      <w:r w:rsidR="000C414C">
        <w:rPr>
          <w:rFonts w:ascii="Arial" w:hAnsi="Arial" w:cs="Arial"/>
          <w:sz w:val="24"/>
          <w:szCs w:val="24"/>
        </w:rPr>
        <w:t>A</w:t>
      </w:r>
      <w:r w:rsidR="00D0795B">
        <w:rPr>
          <w:rFonts w:ascii="Arial" w:hAnsi="Arial" w:cs="Arial"/>
          <w:sz w:val="24"/>
          <w:szCs w:val="24"/>
        </w:rPr>
        <w:t xml:space="preserve"> </w:t>
      </w:r>
      <w:r>
        <w:rPr>
          <w:rFonts w:ascii="Arial" w:hAnsi="Arial" w:cs="Arial"/>
          <w:sz w:val="24"/>
          <w:szCs w:val="24"/>
        </w:rPr>
        <w:t xml:space="preserve"> </w:t>
      </w:r>
      <w:r w:rsidR="00D0795B">
        <w:rPr>
          <w:rFonts w:ascii="Arial" w:hAnsi="Arial" w:cs="Arial"/>
          <w:sz w:val="24"/>
          <w:szCs w:val="24"/>
        </w:rPr>
        <w:t>stated as follows:</w:t>
      </w:r>
    </w:p>
    <w:p w14:paraId="36DB0EC3" w14:textId="3335A475" w:rsidR="00D0795B" w:rsidRDefault="00D0795B" w:rsidP="00D0795B">
      <w:pPr>
        <w:pStyle w:val="ListParagraph"/>
        <w:spacing w:after="0" w:line="360" w:lineRule="auto"/>
        <w:ind w:right="720"/>
        <w:jc w:val="both"/>
        <w:rPr>
          <w:rFonts w:ascii="Arial" w:hAnsi="Arial" w:cs="Arial"/>
          <w:i/>
        </w:rPr>
      </w:pPr>
      <w:r w:rsidRPr="00B8224C">
        <w:rPr>
          <w:rFonts w:ascii="Arial" w:hAnsi="Arial" w:cs="Arial"/>
          <w:i/>
        </w:rPr>
        <w:t>‘</w:t>
      </w:r>
      <w:r w:rsidR="00B8224C" w:rsidRPr="00B8224C">
        <w:rPr>
          <w:rFonts w:ascii="Arial" w:hAnsi="Arial" w:cs="Arial"/>
          <w:i/>
        </w:rPr>
        <w:t xml:space="preserve">It was common cause that if these facts could be proved, </w:t>
      </w:r>
      <w:r w:rsidR="009E1FDF">
        <w:rPr>
          <w:rFonts w:ascii="Arial" w:hAnsi="Arial" w:cs="Arial"/>
          <w:i/>
        </w:rPr>
        <w:t>together with the other requirements for an interim interdict, the petitioners would have a good case, and for the reasons given above, I agree with this approach. There was some argument on whether the fact that assets were secreted with the intent to thwart</w:t>
      </w:r>
      <w:r w:rsidR="000C414C">
        <w:rPr>
          <w:rFonts w:ascii="Arial" w:hAnsi="Arial" w:cs="Arial"/>
          <w:i/>
        </w:rPr>
        <w:t xml:space="preserve"> the petitioners’ claim had to be proved on a balance of probabilities or merely prima facie. It seems to me that here also the relative strength or weakness of the petitioners’ proof would be a factor to be taken into account </w:t>
      </w:r>
      <w:r w:rsidR="000C414C">
        <w:rPr>
          <w:rFonts w:ascii="Arial" w:hAnsi="Arial" w:cs="Arial"/>
          <w:i/>
        </w:rPr>
        <w:lastRenderedPageBreak/>
        <w:t xml:space="preserve">and weighed against other features in deciding whether an interim interdict </w:t>
      </w:r>
      <w:r w:rsidR="00E90924">
        <w:rPr>
          <w:rFonts w:ascii="Arial" w:hAnsi="Arial" w:cs="Arial"/>
          <w:i/>
        </w:rPr>
        <w:t>should be granted.</w:t>
      </w:r>
      <w:r w:rsidR="000C414C">
        <w:rPr>
          <w:rFonts w:ascii="Arial" w:hAnsi="Arial" w:cs="Arial"/>
          <w:i/>
        </w:rPr>
        <w:t>‘</w:t>
      </w:r>
      <w:r w:rsidR="000C414C">
        <w:rPr>
          <w:rStyle w:val="FootnoteReference"/>
          <w:rFonts w:ascii="Arial" w:hAnsi="Arial" w:cs="Arial"/>
          <w:i/>
        </w:rPr>
        <w:footnoteReference w:id="59"/>
      </w:r>
    </w:p>
    <w:p w14:paraId="2BF2F54C" w14:textId="77777777" w:rsidR="00E90924" w:rsidRPr="00B8224C" w:rsidRDefault="00E90924" w:rsidP="00D0795B">
      <w:pPr>
        <w:pStyle w:val="ListParagraph"/>
        <w:spacing w:after="0" w:line="360" w:lineRule="auto"/>
        <w:ind w:right="720"/>
        <w:jc w:val="both"/>
        <w:rPr>
          <w:rFonts w:ascii="Arial" w:hAnsi="Arial" w:cs="Arial"/>
          <w:b/>
          <w:i/>
        </w:rPr>
      </w:pPr>
    </w:p>
    <w:p w14:paraId="24CA54BF" w14:textId="77777777" w:rsidR="00DE3B7F" w:rsidRPr="00DE3B7F" w:rsidRDefault="00DE3B7F" w:rsidP="00DE3B7F">
      <w:pPr>
        <w:pStyle w:val="ListParagraph"/>
        <w:widowControl w:val="0"/>
        <w:autoSpaceDE w:val="0"/>
        <w:autoSpaceDN w:val="0"/>
        <w:adjustRightInd w:val="0"/>
        <w:spacing w:after="0"/>
        <w:ind w:left="0"/>
        <w:rPr>
          <w:color w:val="000000"/>
        </w:rPr>
      </w:pPr>
    </w:p>
    <w:p w14:paraId="37AFEBFE" w14:textId="3B9C28A2" w:rsidR="00DE3B7F" w:rsidRPr="00DE3B7F" w:rsidRDefault="00DE3B7F" w:rsidP="00DE3B7F">
      <w:pPr>
        <w:pStyle w:val="ListParagraph"/>
        <w:widowControl w:val="0"/>
        <w:numPr>
          <w:ilvl w:val="0"/>
          <w:numId w:val="1"/>
        </w:numPr>
        <w:autoSpaceDE w:val="0"/>
        <w:autoSpaceDN w:val="0"/>
        <w:adjustRightInd w:val="0"/>
        <w:spacing w:after="0" w:line="480" w:lineRule="auto"/>
        <w:jc w:val="both"/>
        <w:rPr>
          <w:rFonts w:ascii="Arial" w:hAnsi="Arial" w:cs="Arial"/>
          <w:color w:val="000000"/>
          <w:sz w:val="24"/>
          <w:szCs w:val="24"/>
        </w:rPr>
      </w:pPr>
      <w:r w:rsidRPr="00DE3B7F">
        <w:rPr>
          <w:rFonts w:ascii="Arial" w:hAnsi="Arial" w:cs="Arial"/>
          <w:color w:val="000000"/>
          <w:sz w:val="24"/>
          <w:szCs w:val="24"/>
        </w:rPr>
        <w:t>The t</w:t>
      </w:r>
      <w:r>
        <w:rPr>
          <w:rFonts w:ascii="Arial" w:hAnsi="Arial" w:cs="Arial"/>
          <w:color w:val="000000"/>
          <w:sz w:val="24"/>
          <w:szCs w:val="24"/>
        </w:rPr>
        <w:t xml:space="preserve">est for an anti-dissipation </w:t>
      </w:r>
      <w:r>
        <w:rPr>
          <w:rFonts w:ascii="Arial" w:hAnsi="Arial" w:cs="Arial"/>
          <w:sz w:val="24"/>
          <w:szCs w:val="24"/>
        </w:rPr>
        <w:t xml:space="preserve">order is explained as follows by </w:t>
      </w:r>
      <w:r w:rsidR="005350F0">
        <w:rPr>
          <w:rFonts w:ascii="Arial" w:hAnsi="Arial" w:cs="Arial"/>
          <w:sz w:val="24"/>
          <w:szCs w:val="24"/>
        </w:rPr>
        <w:t>Herbstein and Van Winsen</w:t>
      </w:r>
      <w:r w:rsidRPr="00DE3B7F">
        <w:rPr>
          <w:rFonts w:ascii="Arial" w:hAnsi="Arial" w:cs="Arial"/>
          <w:sz w:val="24"/>
          <w:szCs w:val="24"/>
        </w:rPr>
        <w:t>, The Civil Practice of th</w:t>
      </w:r>
      <w:r>
        <w:rPr>
          <w:rFonts w:ascii="Arial" w:hAnsi="Arial" w:cs="Arial"/>
          <w:sz w:val="24"/>
          <w:szCs w:val="24"/>
        </w:rPr>
        <w:t>e High Courts of South Africa</w:t>
      </w:r>
      <w:r>
        <w:rPr>
          <w:rStyle w:val="FootnoteReference"/>
          <w:rFonts w:ascii="Arial" w:hAnsi="Arial" w:cs="Arial"/>
          <w:sz w:val="24"/>
          <w:szCs w:val="24"/>
        </w:rPr>
        <w:footnoteReference w:id="60"/>
      </w:r>
      <w:r w:rsidRPr="00DE3B7F">
        <w:rPr>
          <w:rFonts w:ascii="Arial" w:hAnsi="Arial" w:cs="Arial"/>
          <w:sz w:val="24"/>
          <w:szCs w:val="24"/>
        </w:rPr>
        <w:t>:</w:t>
      </w:r>
    </w:p>
    <w:p w14:paraId="673FF4AA" w14:textId="2CFA250C" w:rsidR="00F342F9" w:rsidRDefault="005350F0" w:rsidP="005350F0">
      <w:pPr>
        <w:pStyle w:val="ListParagraph"/>
        <w:widowControl w:val="0"/>
        <w:autoSpaceDE w:val="0"/>
        <w:autoSpaceDN w:val="0"/>
        <w:adjustRightInd w:val="0"/>
        <w:spacing w:after="0" w:line="360" w:lineRule="auto"/>
        <w:ind w:right="720"/>
        <w:jc w:val="both"/>
        <w:rPr>
          <w:rFonts w:ascii="Arial" w:hAnsi="Arial" w:cs="Arial"/>
          <w:i/>
        </w:rPr>
      </w:pPr>
      <w:r>
        <w:rPr>
          <w:rFonts w:ascii="Arial" w:hAnsi="Arial" w:cs="Arial"/>
          <w:i/>
        </w:rPr>
        <w:t>‘</w:t>
      </w:r>
      <w:r w:rsidR="00DE3B7F" w:rsidRPr="005350F0">
        <w:rPr>
          <w:rFonts w:ascii="Arial" w:hAnsi="Arial" w:cs="Arial"/>
          <w:i/>
        </w:rPr>
        <w:t xml:space="preserve">A special type of interdict may be granted where a respondent is believed to be deliberately arranging his affairs in such a way as to ensure that by the time the applicant is in a position to execute judgment he will be without assets or sufficient assets on a which the applicant expects to execute. It is not a claim to substitute the applicant's claim for the loss suffered, but to enforce it in the event of success in the pending action so that he will not </w:t>
      </w:r>
      <w:r>
        <w:rPr>
          <w:rFonts w:ascii="Arial" w:hAnsi="Arial" w:cs="Arial"/>
          <w:i/>
        </w:rPr>
        <w:t>be left with a hollow judgment.’</w:t>
      </w:r>
    </w:p>
    <w:p w14:paraId="136BFFE6" w14:textId="77777777" w:rsidR="00F342F9" w:rsidRPr="00F342F9" w:rsidRDefault="00F342F9" w:rsidP="005350F0">
      <w:pPr>
        <w:pStyle w:val="ListParagraph"/>
        <w:widowControl w:val="0"/>
        <w:autoSpaceDE w:val="0"/>
        <w:autoSpaceDN w:val="0"/>
        <w:adjustRightInd w:val="0"/>
        <w:spacing w:after="0" w:line="360" w:lineRule="auto"/>
        <w:ind w:right="720"/>
        <w:jc w:val="both"/>
        <w:rPr>
          <w:rFonts w:ascii="Arial" w:hAnsi="Arial" w:cs="Arial"/>
          <w:i/>
        </w:rPr>
      </w:pPr>
    </w:p>
    <w:p w14:paraId="0FA06FE2" w14:textId="77777777" w:rsidR="00DE3B7F" w:rsidRPr="00DE3B7F" w:rsidRDefault="00DE3B7F" w:rsidP="005350F0">
      <w:pPr>
        <w:pStyle w:val="ListParagraph"/>
        <w:widowControl w:val="0"/>
        <w:autoSpaceDE w:val="0"/>
        <w:autoSpaceDN w:val="0"/>
        <w:adjustRightInd w:val="0"/>
        <w:spacing w:after="0"/>
        <w:ind w:left="0"/>
        <w:jc w:val="both"/>
        <w:rPr>
          <w:color w:val="000000"/>
        </w:rPr>
      </w:pPr>
    </w:p>
    <w:p w14:paraId="5A700D3E" w14:textId="2F304C2A" w:rsidR="006F4762" w:rsidRPr="006234DD" w:rsidRDefault="006F4762" w:rsidP="006F4762">
      <w:pPr>
        <w:pStyle w:val="ListParagraph"/>
        <w:numPr>
          <w:ilvl w:val="0"/>
          <w:numId w:val="1"/>
        </w:numPr>
        <w:spacing w:line="480" w:lineRule="auto"/>
        <w:jc w:val="both"/>
        <w:rPr>
          <w:rFonts w:ascii="Arial" w:hAnsi="Arial" w:cs="Arial"/>
          <w:b/>
          <w:sz w:val="24"/>
          <w:szCs w:val="24"/>
        </w:rPr>
      </w:pPr>
      <w:r>
        <w:rPr>
          <w:rFonts w:ascii="Arial" w:hAnsi="Arial" w:cs="Arial"/>
          <w:sz w:val="24"/>
          <w:szCs w:val="24"/>
        </w:rPr>
        <w:t xml:space="preserve">Insofar as the alternative relief sought by the Applicants are concerned, I am not persuaded that the Applicants have met the threshold requirements for obtaining an anti-dissipation order that the First Respondent is dissipating assets or intends to do so with the intention of defeating such a claim </w:t>
      </w:r>
      <w:r w:rsidRPr="006234DD">
        <w:rPr>
          <w:rFonts w:ascii="Arial" w:hAnsi="Arial" w:cs="Arial"/>
          <w:color w:val="000000"/>
          <w:sz w:val="24"/>
          <w:szCs w:val="24"/>
        </w:rPr>
        <w:t xml:space="preserve">as required by </w:t>
      </w:r>
      <w:r w:rsidRPr="006234DD">
        <w:rPr>
          <w:rFonts w:ascii="Arial" w:hAnsi="Arial" w:cs="Arial"/>
          <w:b/>
          <w:i/>
          <w:color w:val="000000"/>
          <w:sz w:val="24"/>
          <w:szCs w:val="24"/>
        </w:rPr>
        <w:t>Knox D’Arcy Ltd</w:t>
      </w:r>
      <w:r w:rsidR="001F6AE1">
        <w:rPr>
          <w:rFonts w:ascii="Arial" w:hAnsi="Arial" w:cs="Arial"/>
          <w:i/>
          <w:color w:val="000000"/>
          <w:sz w:val="24"/>
          <w:szCs w:val="24"/>
        </w:rPr>
        <w:t xml:space="preserve"> (supra)</w:t>
      </w:r>
      <w:r w:rsidR="001F6AE1">
        <w:rPr>
          <w:rFonts w:ascii="Arial" w:hAnsi="Arial" w:cs="Arial"/>
          <w:color w:val="000000"/>
          <w:sz w:val="24"/>
          <w:szCs w:val="24"/>
        </w:rPr>
        <w:t>.</w:t>
      </w:r>
      <w:r w:rsidR="00F342F9">
        <w:rPr>
          <w:rFonts w:ascii="Arial" w:hAnsi="Arial" w:cs="Arial"/>
          <w:color w:val="000000"/>
          <w:sz w:val="24"/>
          <w:szCs w:val="24"/>
        </w:rPr>
        <w:t xml:space="preserve"> However, in light of the conclusion to which I have come, the alternative relief consideration becomes moot.</w:t>
      </w:r>
    </w:p>
    <w:p w14:paraId="17B8DE57" w14:textId="77777777" w:rsidR="006F4762" w:rsidRPr="005350F0" w:rsidRDefault="006F4762" w:rsidP="006F4762">
      <w:pPr>
        <w:pStyle w:val="ListParagraph"/>
        <w:widowControl w:val="0"/>
        <w:autoSpaceDE w:val="0"/>
        <w:autoSpaceDN w:val="0"/>
        <w:adjustRightInd w:val="0"/>
        <w:spacing w:after="0"/>
        <w:ind w:left="0"/>
        <w:rPr>
          <w:color w:val="000000"/>
          <w:u w:val="single"/>
        </w:rPr>
      </w:pPr>
    </w:p>
    <w:p w14:paraId="46489C4F" w14:textId="3961BFC1" w:rsidR="00BF6EE8" w:rsidRPr="00BF6EE8" w:rsidRDefault="00BF6EE8" w:rsidP="00BF6EE8">
      <w:pPr>
        <w:pStyle w:val="ListParagraph"/>
        <w:rPr>
          <w:rFonts w:ascii="Arial" w:hAnsi="Arial" w:cs="Arial"/>
          <w:b/>
          <w:sz w:val="24"/>
          <w:szCs w:val="24"/>
        </w:rPr>
      </w:pPr>
    </w:p>
    <w:p w14:paraId="2482C0B7" w14:textId="2EA033B6" w:rsidR="00F82FEC" w:rsidRPr="00F82FEC" w:rsidRDefault="00A75A5B" w:rsidP="006F4762">
      <w:pPr>
        <w:pStyle w:val="ListParagraph"/>
        <w:spacing w:line="480" w:lineRule="auto"/>
        <w:ind w:left="0"/>
        <w:jc w:val="both"/>
        <w:rPr>
          <w:rFonts w:ascii="Arial" w:hAnsi="Arial" w:cs="Arial"/>
          <w:b/>
          <w:sz w:val="24"/>
          <w:szCs w:val="24"/>
        </w:rPr>
      </w:pPr>
      <w:r w:rsidRPr="00A75A5B">
        <w:rPr>
          <w:rFonts w:ascii="Arial" w:hAnsi="Arial" w:cs="Arial"/>
          <w:b/>
          <w:sz w:val="24"/>
          <w:szCs w:val="24"/>
        </w:rPr>
        <w:t>Conclusion</w:t>
      </w:r>
    </w:p>
    <w:p w14:paraId="65D1DF35" w14:textId="383511D7" w:rsidR="00250EA3" w:rsidRPr="000058DE" w:rsidRDefault="00B62EE1" w:rsidP="00250EA3">
      <w:pPr>
        <w:pStyle w:val="ListParagraph"/>
        <w:numPr>
          <w:ilvl w:val="0"/>
          <w:numId w:val="1"/>
        </w:numPr>
        <w:spacing w:line="480" w:lineRule="auto"/>
        <w:jc w:val="both"/>
        <w:rPr>
          <w:rFonts w:ascii="Arial" w:hAnsi="Arial" w:cs="Arial"/>
          <w:b/>
          <w:sz w:val="24"/>
          <w:szCs w:val="24"/>
        </w:rPr>
      </w:pPr>
      <w:r w:rsidRPr="006F4762">
        <w:rPr>
          <w:rFonts w:ascii="Arial" w:hAnsi="Arial" w:cs="Arial"/>
          <w:sz w:val="24"/>
          <w:szCs w:val="24"/>
        </w:rPr>
        <w:t>It is clear that an application to found or confirm jurisdiction is an exceptional and extraordinary remedy</w:t>
      </w:r>
      <w:r w:rsidR="00B5793E" w:rsidRPr="006F4762">
        <w:rPr>
          <w:rFonts w:ascii="Arial" w:hAnsi="Arial" w:cs="Arial"/>
          <w:sz w:val="24"/>
          <w:szCs w:val="24"/>
        </w:rPr>
        <w:t>. Although a court to which such an application is made has no discretion to refuse it once the requirements for an order are met, a court will approach such an application with care and caution.</w:t>
      </w:r>
      <w:r w:rsidR="0067345C">
        <w:rPr>
          <w:rStyle w:val="FootnoteReference"/>
          <w:rFonts w:ascii="Arial" w:hAnsi="Arial" w:cs="Arial"/>
          <w:sz w:val="24"/>
          <w:szCs w:val="24"/>
        </w:rPr>
        <w:footnoteReference w:id="61"/>
      </w:r>
      <w:r w:rsidR="0067345C" w:rsidRPr="006F4762">
        <w:rPr>
          <w:rFonts w:ascii="Arial" w:hAnsi="Arial" w:cs="Arial"/>
          <w:sz w:val="24"/>
          <w:szCs w:val="24"/>
        </w:rPr>
        <w:t xml:space="preserve"> </w:t>
      </w:r>
    </w:p>
    <w:p w14:paraId="0FD53720" w14:textId="1FA5EBA6" w:rsidR="006E65C0" w:rsidRPr="006E65C0" w:rsidRDefault="00250EA3" w:rsidP="00A76041">
      <w:pPr>
        <w:pStyle w:val="ListParagraph"/>
        <w:numPr>
          <w:ilvl w:val="0"/>
          <w:numId w:val="1"/>
        </w:numPr>
        <w:spacing w:line="480" w:lineRule="auto"/>
        <w:jc w:val="both"/>
        <w:rPr>
          <w:rFonts w:ascii="Arial" w:hAnsi="Arial" w:cs="Arial"/>
          <w:b/>
          <w:sz w:val="24"/>
          <w:szCs w:val="24"/>
        </w:rPr>
      </w:pPr>
      <w:r>
        <w:rPr>
          <w:rFonts w:ascii="Arial" w:hAnsi="Arial" w:cs="Arial"/>
          <w:sz w:val="24"/>
          <w:szCs w:val="24"/>
        </w:rPr>
        <w:lastRenderedPageBreak/>
        <w:t xml:space="preserve">As earlier stated, the mere fact that the evidence that the Applicants are placing reliance on is contradicted or challenged does not disentitle or prevent the Applicants from the relief they seek even if the probabilities are against them. The court hearing the matter on the return day will always be entitled to exercise a discretion as to whether or not to confirm the rule or not. I cannot find that the Applicants have approached this court with </w:t>
      </w:r>
      <w:r w:rsidRPr="00264C6C">
        <w:rPr>
          <w:rFonts w:ascii="Arial" w:hAnsi="Arial" w:cs="Arial"/>
          <w:i/>
          <w:sz w:val="24"/>
          <w:szCs w:val="24"/>
        </w:rPr>
        <w:t>mala fides</w:t>
      </w:r>
      <w:r>
        <w:rPr>
          <w:rFonts w:ascii="Arial" w:hAnsi="Arial" w:cs="Arial"/>
          <w:sz w:val="24"/>
          <w:szCs w:val="24"/>
        </w:rPr>
        <w:t xml:space="preserve"> and neither can I find that the application involves an abuse of process. </w:t>
      </w:r>
      <w:r w:rsidR="00B9324A" w:rsidRPr="004C5E1A">
        <w:rPr>
          <w:rFonts w:ascii="Arial" w:hAnsi="Arial" w:cs="Arial"/>
          <w:sz w:val="24"/>
          <w:szCs w:val="24"/>
        </w:rPr>
        <w:t>The court is mindful that</w:t>
      </w:r>
      <w:r w:rsidR="00DE26C0">
        <w:rPr>
          <w:rFonts w:ascii="Arial" w:hAnsi="Arial" w:cs="Arial"/>
          <w:sz w:val="24"/>
          <w:szCs w:val="24"/>
        </w:rPr>
        <w:t>,</w:t>
      </w:r>
      <w:r w:rsidR="00B9324A" w:rsidRPr="004C5E1A">
        <w:rPr>
          <w:rFonts w:ascii="Arial" w:hAnsi="Arial" w:cs="Arial"/>
          <w:sz w:val="24"/>
          <w:szCs w:val="24"/>
        </w:rPr>
        <w:t xml:space="preserve"> without an order, no funds will remain in South Africa.</w:t>
      </w:r>
      <w:r w:rsidR="00264C6C">
        <w:rPr>
          <w:rFonts w:ascii="Arial" w:hAnsi="Arial" w:cs="Arial"/>
          <w:sz w:val="24"/>
          <w:szCs w:val="24"/>
        </w:rPr>
        <w:t xml:space="preserve"> </w:t>
      </w:r>
    </w:p>
    <w:p w14:paraId="18A62603" w14:textId="77777777" w:rsidR="006E65C0" w:rsidRPr="006E65C0" w:rsidRDefault="006E65C0" w:rsidP="006E65C0">
      <w:pPr>
        <w:pStyle w:val="ListParagraph"/>
        <w:spacing w:line="480" w:lineRule="auto"/>
        <w:ind w:left="0"/>
        <w:jc w:val="both"/>
        <w:rPr>
          <w:rFonts w:ascii="Arial" w:hAnsi="Arial" w:cs="Arial"/>
          <w:b/>
          <w:sz w:val="24"/>
          <w:szCs w:val="24"/>
        </w:rPr>
      </w:pPr>
    </w:p>
    <w:p w14:paraId="4415A170" w14:textId="0AF5B95F" w:rsidR="001A5419" w:rsidRPr="00A76041" w:rsidRDefault="00A76041" w:rsidP="00A76041">
      <w:pPr>
        <w:pStyle w:val="ListParagraph"/>
        <w:numPr>
          <w:ilvl w:val="0"/>
          <w:numId w:val="1"/>
        </w:numPr>
        <w:spacing w:line="480" w:lineRule="auto"/>
        <w:jc w:val="both"/>
        <w:rPr>
          <w:rFonts w:ascii="Arial" w:hAnsi="Arial" w:cs="Arial"/>
          <w:b/>
          <w:sz w:val="24"/>
          <w:szCs w:val="24"/>
        </w:rPr>
      </w:pPr>
      <w:r w:rsidRPr="004C5E1A">
        <w:rPr>
          <w:rFonts w:ascii="Arial" w:hAnsi="Arial" w:cs="Arial"/>
          <w:sz w:val="24"/>
          <w:szCs w:val="24"/>
        </w:rPr>
        <w:t xml:space="preserve">The primary consideration as earlier distilled in this judgment is whether or not the Applicant has made out a </w:t>
      </w:r>
      <w:r w:rsidRPr="004C5E1A">
        <w:rPr>
          <w:rFonts w:ascii="Arial" w:hAnsi="Arial" w:cs="Arial"/>
          <w:i/>
          <w:sz w:val="24"/>
          <w:szCs w:val="24"/>
        </w:rPr>
        <w:t>prima facie</w:t>
      </w:r>
      <w:r w:rsidRPr="004C5E1A">
        <w:rPr>
          <w:rFonts w:ascii="Arial" w:hAnsi="Arial" w:cs="Arial"/>
          <w:sz w:val="24"/>
          <w:szCs w:val="24"/>
        </w:rPr>
        <w:t xml:space="preserve"> case against the First Respondent for the relief sought.  </w:t>
      </w:r>
      <w:r w:rsidR="00264C6C" w:rsidRPr="00A76041">
        <w:rPr>
          <w:rFonts w:ascii="Arial" w:hAnsi="Arial" w:cs="Arial"/>
          <w:sz w:val="24"/>
          <w:szCs w:val="24"/>
        </w:rPr>
        <w:t>Consequently, I am satisfied that all the jurisdictional requirements have been sufficiently met for the final relief sought by the Applicants.</w:t>
      </w:r>
    </w:p>
    <w:p w14:paraId="7EEB8920" w14:textId="77777777" w:rsidR="00306A8E" w:rsidRPr="00306A8E" w:rsidRDefault="00306A8E" w:rsidP="00306A8E">
      <w:pPr>
        <w:pStyle w:val="ListParagraph"/>
        <w:rPr>
          <w:rFonts w:cstheme="minorHAnsi"/>
          <w:b/>
          <w:sz w:val="20"/>
          <w:szCs w:val="20"/>
        </w:rPr>
      </w:pPr>
    </w:p>
    <w:p w14:paraId="79949537" w14:textId="5AA8CEEA" w:rsidR="00EF7BED" w:rsidRPr="00270AF0" w:rsidRDefault="00306A8E" w:rsidP="00EF7BED">
      <w:pPr>
        <w:pStyle w:val="ListParagraph"/>
        <w:spacing w:line="480" w:lineRule="auto"/>
        <w:ind w:left="0"/>
        <w:jc w:val="both"/>
        <w:rPr>
          <w:rFonts w:ascii="Arial" w:hAnsi="Arial" w:cs="Arial"/>
          <w:b/>
          <w:sz w:val="24"/>
          <w:szCs w:val="24"/>
        </w:rPr>
      </w:pPr>
      <w:r>
        <w:rPr>
          <w:rFonts w:ascii="Arial" w:hAnsi="Arial" w:cs="Arial"/>
          <w:b/>
          <w:sz w:val="24"/>
          <w:szCs w:val="24"/>
        </w:rPr>
        <w:t>Costs</w:t>
      </w:r>
    </w:p>
    <w:p w14:paraId="1C28F700" w14:textId="48C1B046" w:rsidR="00EF7BED" w:rsidRPr="00E91806" w:rsidRDefault="00EF7BED" w:rsidP="00A30B89">
      <w:pPr>
        <w:pStyle w:val="ListParagraph"/>
        <w:numPr>
          <w:ilvl w:val="0"/>
          <w:numId w:val="1"/>
        </w:numPr>
        <w:spacing w:line="480" w:lineRule="auto"/>
        <w:jc w:val="both"/>
        <w:rPr>
          <w:rFonts w:cstheme="minorHAnsi"/>
          <w:b/>
          <w:sz w:val="20"/>
          <w:szCs w:val="20"/>
        </w:rPr>
      </w:pPr>
      <w:r>
        <w:rPr>
          <w:rFonts w:ascii="Arial" w:hAnsi="Arial" w:cs="Arial"/>
          <w:sz w:val="24"/>
          <w:szCs w:val="24"/>
        </w:rPr>
        <w:t xml:space="preserve">The costs in respect of the </w:t>
      </w:r>
      <w:r>
        <w:rPr>
          <w:rFonts w:ascii="Arial" w:hAnsi="Arial" w:cs="Arial"/>
          <w:i/>
          <w:sz w:val="24"/>
          <w:szCs w:val="24"/>
        </w:rPr>
        <w:t>ex parte</w:t>
      </w:r>
      <w:r>
        <w:rPr>
          <w:rFonts w:ascii="Arial" w:hAnsi="Arial" w:cs="Arial"/>
          <w:sz w:val="24"/>
          <w:szCs w:val="24"/>
        </w:rPr>
        <w:t xml:space="preserve"> stage of the application stood over for determination on the return date.</w:t>
      </w:r>
      <w:r w:rsidR="00264C6C">
        <w:rPr>
          <w:rFonts w:ascii="Arial" w:hAnsi="Arial" w:cs="Arial"/>
          <w:sz w:val="24"/>
          <w:szCs w:val="24"/>
        </w:rPr>
        <w:t xml:space="preserve"> Counsel for the Applicants argued t</w:t>
      </w:r>
      <w:r w:rsidR="00E91806">
        <w:rPr>
          <w:rFonts w:ascii="Arial" w:hAnsi="Arial" w:cs="Arial"/>
          <w:sz w:val="24"/>
          <w:szCs w:val="24"/>
        </w:rPr>
        <w:t>h</w:t>
      </w:r>
      <w:r w:rsidR="00264C6C">
        <w:rPr>
          <w:rFonts w:ascii="Arial" w:hAnsi="Arial" w:cs="Arial"/>
          <w:sz w:val="24"/>
          <w:szCs w:val="24"/>
        </w:rPr>
        <w:t>at costs are to follow the result, alternatively, costs are to stand over for determination in the action proceedings.</w:t>
      </w:r>
    </w:p>
    <w:p w14:paraId="499436EF" w14:textId="77777777" w:rsidR="00E91806" w:rsidRPr="00E91806" w:rsidRDefault="00E91806" w:rsidP="00E91806">
      <w:pPr>
        <w:pStyle w:val="ListParagraph"/>
        <w:spacing w:line="480" w:lineRule="auto"/>
        <w:ind w:left="0"/>
        <w:jc w:val="both"/>
        <w:rPr>
          <w:rFonts w:cstheme="minorHAnsi"/>
          <w:b/>
          <w:sz w:val="20"/>
          <w:szCs w:val="20"/>
        </w:rPr>
      </w:pPr>
    </w:p>
    <w:p w14:paraId="6F5B216B" w14:textId="47903DDB" w:rsidR="00E91806" w:rsidRPr="00C414F8" w:rsidRDefault="00E91806" w:rsidP="00E91806">
      <w:pPr>
        <w:pStyle w:val="ListParagraph"/>
        <w:numPr>
          <w:ilvl w:val="0"/>
          <w:numId w:val="1"/>
        </w:numPr>
        <w:spacing w:after="0" w:line="480" w:lineRule="auto"/>
        <w:jc w:val="both"/>
        <w:rPr>
          <w:rFonts w:cstheme="minorHAnsi"/>
          <w:b/>
          <w:sz w:val="20"/>
          <w:szCs w:val="20"/>
        </w:rPr>
      </w:pPr>
      <w:r>
        <w:rPr>
          <w:rFonts w:ascii="Arial" w:hAnsi="Arial" w:cs="Arial"/>
          <w:sz w:val="24"/>
          <w:szCs w:val="24"/>
        </w:rPr>
        <w:t>I am in agreement with the latter proposition as the trial court will be best placed to make a determination on the issue of costs once all issues have been fully ventilated.</w:t>
      </w:r>
    </w:p>
    <w:p w14:paraId="2350EFAD" w14:textId="1CF0277B" w:rsidR="00EF7BED" w:rsidRDefault="00EF7BED" w:rsidP="00E91806">
      <w:pPr>
        <w:pStyle w:val="ListParagraph"/>
        <w:spacing w:after="0" w:line="480" w:lineRule="auto"/>
        <w:ind w:left="0"/>
        <w:jc w:val="both"/>
        <w:rPr>
          <w:rFonts w:ascii="Arial" w:hAnsi="Arial" w:cs="Arial"/>
          <w:b/>
          <w:sz w:val="24"/>
          <w:szCs w:val="24"/>
        </w:rPr>
      </w:pPr>
    </w:p>
    <w:p w14:paraId="15A52E5A" w14:textId="77777777" w:rsidR="003E4170" w:rsidRDefault="003E4170" w:rsidP="00E91806">
      <w:pPr>
        <w:pStyle w:val="ListParagraph"/>
        <w:spacing w:after="0" w:line="480" w:lineRule="auto"/>
        <w:ind w:left="0"/>
        <w:jc w:val="both"/>
        <w:rPr>
          <w:rFonts w:ascii="Arial" w:hAnsi="Arial" w:cs="Arial"/>
          <w:b/>
          <w:sz w:val="24"/>
          <w:szCs w:val="24"/>
        </w:rPr>
      </w:pPr>
    </w:p>
    <w:p w14:paraId="4E31AF47" w14:textId="77777777" w:rsidR="003E4170" w:rsidRDefault="003E4170" w:rsidP="00E91806">
      <w:pPr>
        <w:pStyle w:val="ListParagraph"/>
        <w:spacing w:after="0" w:line="480" w:lineRule="auto"/>
        <w:ind w:left="0"/>
        <w:jc w:val="both"/>
        <w:rPr>
          <w:rFonts w:ascii="Arial" w:hAnsi="Arial" w:cs="Arial"/>
          <w:b/>
          <w:sz w:val="24"/>
          <w:szCs w:val="24"/>
        </w:rPr>
      </w:pPr>
    </w:p>
    <w:p w14:paraId="3D7FAFA7" w14:textId="323C4BB8" w:rsidR="009F3B35" w:rsidRPr="003D2332" w:rsidRDefault="009F3B35" w:rsidP="00E91806">
      <w:pPr>
        <w:pStyle w:val="ListParagraph"/>
        <w:spacing w:after="0" w:line="480" w:lineRule="auto"/>
        <w:ind w:left="0"/>
        <w:jc w:val="both"/>
        <w:rPr>
          <w:b/>
        </w:rPr>
      </w:pPr>
      <w:r w:rsidRPr="003D2332">
        <w:rPr>
          <w:rFonts w:ascii="Arial" w:hAnsi="Arial" w:cs="Arial"/>
          <w:b/>
          <w:sz w:val="24"/>
          <w:szCs w:val="24"/>
        </w:rPr>
        <w:lastRenderedPageBreak/>
        <w:t>Order</w:t>
      </w:r>
    </w:p>
    <w:p w14:paraId="66826472" w14:textId="526F5716" w:rsidR="00642315" w:rsidRPr="003D2332" w:rsidRDefault="009F3B35" w:rsidP="00642315">
      <w:pPr>
        <w:pStyle w:val="ListParagraph"/>
        <w:numPr>
          <w:ilvl w:val="0"/>
          <w:numId w:val="1"/>
        </w:numPr>
        <w:spacing w:line="480" w:lineRule="auto"/>
        <w:jc w:val="both"/>
      </w:pPr>
      <w:r w:rsidRPr="003D2332">
        <w:rPr>
          <w:rFonts w:ascii="Arial" w:hAnsi="Arial" w:cs="Arial"/>
          <w:sz w:val="24"/>
          <w:szCs w:val="24"/>
        </w:rPr>
        <w:t>Having heard Counsel for the Applicant and</w:t>
      </w:r>
      <w:r w:rsidR="003E5392" w:rsidRPr="003D2332">
        <w:rPr>
          <w:rFonts w:ascii="Arial" w:hAnsi="Arial" w:cs="Arial"/>
          <w:sz w:val="24"/>
          <w:szCs w:val="24"/>
        </w:rPr>
        <w:t xml:space="preserve"> Counsel for</w:t>
      </w:r>
      <w:r w:rsidRPr="003D2332">
        <w:rPr>
          <w:rFonts w:ascii="Arial" w:hAnsi="Arial" w:cs="Arial"/>
          <w:sz w:val="24"/>
          <w:szCs w:val="24"/>
        </w:rPr>
        <w:t xml:space="preserve"> </w:t>
      </w:r>
      <w:r w:rsidR="00875BCC">
        <w:rPr>
          <w:rFonts w:ascii="Arial" w:hAnsi="Arial" w:cs="Arial"/>
          <w:sz w:val="24"/>
          <w:szCs w:val="24"/>
        </w:rPr>
        <w:t>the First Respondent</w:t>
      </w:r>
      <w:r w:rsidR="00DE26C0">
        <w:rPr>
          <w:rFonts w:ascii="Arial" w:hAnsi="Arial" w:cs="Arial"/>
          <w:sz w:val="24"/>
          <w:szCs w:val="24"/>
        </w:rPr>
        <w:t>,</w:t>
      </w:r>
      <w:r w:rsidR="00875BCC">
        <w:rPr>
          <w:rFonts w:ascii="Arial" w:hAnsi="Arial" w:cs="Arial"/>
          <w:sz w:val="24"/>
          <w:szCs w:val="24"/>
        </w:rPr>
        <w:t xml:space="preserve"> </w:t>
      </w:r>
      <w:r w:rsidRPr="003D2332">
        <w:rPr>
          <w:rFonts w:ascii="Arial" w:hAnsi="Arial" w:cs="Arial"/>
          <w:sz w:val="24"/>
          <w:szCs w:val="24"/>
        </w:rPr>
        <w:t>and having read the papers filed of record, the following order is made:</w:t>
      </w:r>
    </w:p>
    <w:p w14:paraId="443D13EC" w14:textId="4F0CEF4B" w:rsidR="002752F1" w:rsidRDefault="00264C6C" w:rsidP="002752F1">
      <w:pPr>
        <w:pStyle w:val="ListParagraph"/>
        <w:numPr>
          <w:ilvl w:val="0"/>
          <w:numId w:val="12"/>
        </w:numPr>
        <w:spacing w:line="480" w:lineRule="auto"/>
        <w:jc w:val="both"/>
        <w:rPr>
          <w:rFonts w:ascii="Arial" w:hAnsi="Arial" w:cs="Arial"/>
          <w:sz w:val="24"/>
          <w:szCs w:val="24"/>
        </w:rPr>
      </w:pPr>
      <w:r>
        <w:rPr>
          <w:rFonts w:ascii="Arial" w:hAnsi="Arial" w:cs="Arial"/>
          <w:sz w:val="24"/>
          <w:szCs w:val="24"/>
        </w:rPr>
        <w:t xml:space="preserve">The </w:t>
      </w:r>
      <w:r w:rsidRPr="00264C6C">
        <w:rPr>
          <w:rFonts w:ascii="Arial" w:hAnsi="Arial" w:cs="Arial"/>
          <w:i/>
          <w:sz w:val="24"/>
          <w:szCs w:val="24"/>
        </w:rPr>
        <w:t>rule nisi</w:t>
      </w:r>
      <w:r>
        <w:rPr>
          <w:rFonts w:ascii="Arial" w:hAnsi="Arial" w:cs="Arial"/>
          <w:sz w:val="24"/>
          <w:szCs w:val="24"/>
        </w:rPr>
        <w:t xml:space="preserve"> granted on 24 August 2023 is hereby confirmed</w:t>
      </w:r>
      <w:r w:rsidR="008918DA">
        <w:rPr>
          <w:rFonts w:ascii="Arial" w:hAnsi="Arial" w:cs="Arial"/>
          <w:sz w:val="24"/>
          <w:szCs w:val="24"/>
        </w:rPr>
        <w:t>.</w:t>
      </w:r>
    </w:p>
    <w:p w14:paraId="033BF276" w14:textId="146CC854" w:rsidR="008918DA" w:rsidRPr="003D2332" w:rsidRDefault="00EF7BED" w:rsidP="002752F1">
      <w:pPr>
        <w:pStyle w:val="ListParagraph"/>
        <w:numPr>
          <w:ilvl w:val="0"/>
          <w:numId w:val="12"/>
        </w:numPr>
        <w:spacing w:line="480" w:lineRule="auto"/>
        <w:jc w:val="both"/>
        <w:rPr>
          <w:rFonts w:ascii="Arial" w:hAnsi="Arial" w:cs="Arial"/>
          <w:sz w:val="24"/>
          <w:szCs w:val="24"/>
        </w:rPr>
      </w:pPr>
      <w:r>
        <w:rPr>
          <w:rFonts w:ascii="Arial" w:hAnsi="Arial" w:cs="Arial"/>
          <w:sz w:val="24"/>
          <w:szCs w:val="24"/>
        </w:rPr>
        <w:t xml:space="preserve">The costs of this application including the costs of the </w:t>
      </w:r>
      <w:r w:rsidRPr="00264C6C">
        <w:rPr>
          <w:rFonts w:ascii="Arial" w:hAnsi="Arial" w:cs="Arial"/>
          <w:i/>
          <w:sz w:val="24"/>
          <w:szCs w:val="24"/>
        </w:rPr>
        <w:t>ex parte</w:t>
      </w:r>
      <w:r>
        <w:rPr>
          <w:rFonts w:ascii="Arial" w:hAnsi="Arial" w:cs="Arial"/>
          <w:sz w:val="24"/>
          <w:szCs w:val="24"/>
        </w:rPr>
        <w:t xml:space="preserve"> stage of the application </w:t>
      </w:r>
      <w:r w:rsidR="00DE26C0">
        <w:rPr>
          <w:rFonts w:ascii="Arial" w:hAnsi="Arial" w:cs="Arial"/>
          <w:sz w:val="24"/>
          <w:szCs w:val="24"/>
        </w:rPr>
        <w:t>are</w:t>
      </w:r>
      <w:r>
        <w:rPr>
          <w:rFonts w:ascii="Arial" w:hAnsi="Arial" w:cs="Arial"/>
          <w:sz w:val="24"/>
          <w:szCs w:val="24"/>
        </w:rPr>
        <w:t xml:space="preserve"> to stand over for determination in the action proceedings.</w:t>
      </w:r>
    </w:p>
    <w:p w14:paraId="2A4693AD" w14:textId="6AEF2039" w:rsidR="000571BE" w:rsidRDefault="000571BE" w:rsidP="00932419">
      <w:pPr>
        <w:pStyle w:val="ListParagraph"/>
        <w:spacing w:line="480" w:lineRule="auto"/>
        <w:jc w:val="both"/>
        <w:rPr>
          <w:rFonts w:ascii="Arial" w:hAnsi="Arial" w:cs="Arial"/>
          <w:sz w:val="24"/>
          <w:szCs w:val="24"/>
        </w:rPr>
      </w:pPr>
    </w:p>
    <w:p w14:paraId="76321461" w14:textId="1146B0CF" w:rsidR="002752F1" w:rsidRPr="002E6ABE" w:rsidRDefault="002E6ABE" w:rsidP="002E6ABE">
      <w:pPr>
        <w:pStyle w:val="ListParagraph"/>
        <w:spacing w:line="480" w:lineRule="auto"/>
        <w:jc w:val="both"/>
        <w:rPr>
          <w:rFonts w:ascii="Arial" w:hAnsi="Arial" w:cs="Arial"/>
          <w:sz w:val="24"/>
          <w:szCs w:val="24"/>
        </w:rPr>
      </w:pPr>
      <w:r>
        <w:rPr>
          <w:rFonts w:ascii="Arial" w:hAnsi="Arial" w:cs="Arial"/>
          <w:sz w:val="24"/>
          <w:szCs w:val="24"/>
        </w:rPr>
        <w:t xml:space="preserve">                                                            </w:t>
      </w:r>
      <w:r>
        <w:rPr>
          <w:noProof/>
          <w:lang w:val="en-US"/>
        </w:rPr>
        <w:drawing>
          <wp:inline distT="0" distB="0" distL="0" distR="0" wp14:anchorId="1C254F8B" wp14:editId="114031ED">
            <wp:extent cx="2152650" cy="8970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a:off x="0" y="0"/>
                      <a:ext cx="2190456" cy="912837"/>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sidR="002752F1" w:rsidRPr="003D2332">
        <w:t>__________________________-</w:t>
      </w:r>
    </w:p>
    <w:p w14:paraId="63208D3F" w14:textId="39E16C97" w:rsidR="008A01D2" w:rsidRPr="009750A6" w:rsidRDefault="002752F1" w:rsidP="002E6ABE">
      <w:pPr>
        <w:spacing w:after="0" w:line="240" w:lineRule="auto"/>
        <w:rPr>
          <w:rFonts w:ascii="Arial" w:hAnsi="Arial" w:cs="Arial"/>
          <w:b/>
          <w:sz w:val="24"/>
          <w:szCs w:val="24"/>
        </w:rPr>
      </w:pPr>
      <w:r w:rsidRPr="003D2332">
        <w:tab/>
      </w:r>
      <w:r w:rsidRPr="003D2332">
        <w:tab/>
      </w:r>
      <w:r w:rsidRPr="003D2332">
        <w:tab/>
      </w:r>
      <w:r w:rsidRPr="003D2332">
        <w:tab/>
      </w:r>
      <w:r w:rsidRPr="003D2332">
        <w:tab/>
      </w:r>
      <w:r w:rsidRPr="003D2332">
        <w:tab/>
      </w:r>
      <w:r w:rsidRPr="003D2332">
        <w:tab/>
      </w:r>
      <w:r w:rsidRPr="003D2332">
        <w:tab/>
      </w:r>
      <w:r w:rsidR="008D0CEB" w:rsidRPr="009750A6">
        <w:rPr>
          <w:rFonts w:ascii="Arial" w:hAnsi="Arial" w:cs="Arial"/>
          <w:b/>
          <w:sz w:val="24"/>
          <w:szCs w:val="24"/>
        </w:rPr>
        <w:t>P ANDREWS</w:t>
      </w:r>
    </w:p>
    <w:p w14:paraId="13ECFEB5" w14:textId="77777777" w:rsidR="009750A6" w:rsidRPr="009750A6" w:rsidRDefault="009750A6" w:rsidP="002E6ABE">
      <w:pPr>
        <w:keepNext/>
        <w:spacing w:after="0" w:line="240" w:lineRule="auto"/>
        <w:jc w:val="right"/>
        <w:rPr>
          <w:rFonts w:ascii="Arial Unicode MS" w:hAnsi="Arial Unicode MS"/>
          <w:b/>
        </w:rPr>
      </w:pPr>
    </w:p>
    <w:p w14:paraId="5EB05EA3" w14:textId="0341F1FC" w:rsidR="008D0CEB" w:rsidRPr="005A56DD" w:rsidRDefault="008D0CEB" w:rsidP="002E6ABE">
      <w:pPr>
        <w:keepNext/>
        <w:spacing w:after="0" w:line="240" w:lineRule="auto"/>
        <w:jc w:val="right"/>
        <w:rPr>
          <w:rFonts w:ascii="Bahnschrift Light" w:hAnsi="Bahnschrift Light" w:cs="Arial"/>
          <w:sz w:val="24"/>
          <w:szCs w:val="24"/>
          <w:lang w:val="en-GB"/>
        </w:rPr>
      </w:pPr>
      <w:r w:rsidRPr="005A56DD">
        <w:rPr>
          <w:rFonts w:ascii="Bahnschrift Light" w:hAnsi="Bahnschrift Light" w:cs="Arial"/>
          <w:sz w:val="24"/>
          <w:szCs w:val="24"/>
        </w:rPr>
        <w:t>Acting Judge of the High Court of South Africa</w:t>
      </w:r>
    </w:p>
    <w:p w14:paraId="59A04481" w14:textId="646665D3" w:rsidR="000571BE" w:rsidRPr="005A56DD" w:rsidRDefault="008D0CEB" w:rsidP="002E6ABE">
      <w:pPr>
        <w:spacing w:after="0" w:line="240" w:lineRule="auto"/>
        <w:jc w:val="right"/>
        <w:rPr>
          <w:rFonts w:ascii="Bahnschrift Light" w:hAnsi="Bahnschrift Light" w:cs="Arial"/>
          <w:sz w:val="24"/>
          <w:szCs w:val="24"/>
        </w:rPr>
      </w:pPr>
      <w:r w:rsidRPr="005A56DD">
        <w:rPr>
          <w:rFonts w:ascii="Bahnschrift Light" w:hAnsi="Bahnschrift Light" w:cs="Arial"/>
          <w:sz w:val="24"/>
          <w:szCs w:val="24"/>
        </w:rPr>
        <w:tab/>
      </w:r>
      <w:r w:rsidRPr="005A56DD">
        <w:rPr>
          <w:rFonts w:ascii="Bahnschrift Light" w:hAnsi="Bahnschrift Light" w:cs="Arial"/>
          <w:sz w:val="24"/>
          <w:szCs w:val="24"/>
        </w:rPr>
        <w:tab/>
      </w:r>
      <w:r w:rsidRPr="005A56DD">
        <w:rPr>
          <w:rFonts w:ascii="Bahnschrift Light" w:hAnsi="Bahnschrift Light" w:cs="Arial"/>
          <w:sz w:val="24"/>
          <w:szCs w:val="24"/>
        </w:rPr>
        <w:tab/>
      </w:r>
      <w:r w:rsidRPr="005A56DD">
        <w:rPr>
          <w:rFonts w:ascii="Bahnschrift Light" w:hAnsi="Bahnschrift Light" w:cs="Arial"/>
          <w:sz w:val="24"/>
          <w:szCs w:val="24"/>
        </w:rPr>
        <w:tab/>
      </w:r>
      <w:r w:rsidRPr="005A56DD">
        <w:rPr>
          <w:rFonts w:ascii="Bahnschrift Light" w:hAnsi="Bahnschrift Light" w:cs="Arial"/>
          <w:sz w:val="24"/>
          <w:szCs w:val="24"/>
        </w:rPr>
        <w:tab/>
      </w:r>
      <w:r w:rsidRPr="005A56DD">
        <w:rPr>
          <w:rFonts w:ascii="Bahnschrift Light" w:hAnsi="Bahnschrift Light" w:cs="Arial"/>
          <w:sz w:val="24"/>
          <w:szCs w:val="24"/>
        </w:rPr>
        <w:tab/>
      </w:r>
      <w:r w:rsidRPr="005A56DD">
        <w:rPr>
          <w:rFonts w:ascii="Bahnschrift Light" w:hAnsi="Bahnschrift Light" w:cs="Arial"/>
          <w:sz w:val="24"/>
          <w:szCs w:val="24"/>
        </w:rPr>
        <w:tab/>
        <w:t xml:space="preserve"> Western Cape Division, Cape Town</w:t>
      </w:r>
    </w:p>
    <w:p w14:paraId="51597E09" w14:textId="1632BCBD" w:rsidR="009750A6" w:rsidRDefault="009750A6" w:rsidP="002752F1">
      <w:pPr>
        <w:spacing w:line="240" w:lineRule="auto"/>
        <w:rPr>
          <w:rFonts w:ascii="Arial" w:hAnsi="Arial" w:cs="Arial"/>
          <w:b/>
          <w:sz w:val="24"/>
          <w:szCs w:val="24"/>
        </w:rPr>
      </w:pPr>
    </w:p>
    <w:p w14:paraId="7D340AE0" w14:textId="21583E44" w:rsidR="000D43FE" w:rsidRPr="000D43FE" w:rsidRDefault="000D43FE" w:rsidP="002752F1">
      <w:pPr>
        <w:spacing w:line="240" w:lineRule="auto"/>
        <w:rPr>
          <w:rFonts w:ascii="Arial" w:hAnsi="Arial" w:cs="Arial"/>
          <w:b/>
          <w:sz w:val="24"/>
          <w:szCs w:val="24"/>
        </w:rPr>
      </w:pPr>
      <w:r w:rsidRPr="000D43FE">
        <w:rPr>
          <w:rFonts w:ascii="Arial" w:hAnsi="Arial" w:cs="Arial"/>
          <w:b/>
          <w:sz w:val="24"/>
          <w:szCs w:val="24"/>
        </w:rPr>
        <w:t>APPEARANCES:</w:t>
      </w:r>
    </w:p>
    <w:p w14:paraId="0267FF4D" w14:textId="405667BF" w:rsidR="000D43FE" w:rsidRPr="000D43FE" w:rsidRDefault="000D43FE" w:rsidP="002752F1">
      <w:pPr>
        <w:spacing w:line="240" w:lineRule="auto"/>
        <w:rPr>
          <w:rFonts w:ascii="Arial" w:hAnsi="Arial" w:cs="Arial"/>
          <w:sz w:val="24"/>
          <w:szCs w:val="24"/>
        </w:rPr>
      </w:pPr>
      <w:r>
        <w:rPr>
          <w:rFonts w:ascii="Arial" w:hAnsi="Arial" w:cs="Arial"/>
          <w:sz w:val="24"/>
          <w:szCs w:val="24"/>
        </w:rPr>
        <w:t>Counsel for the Applicant</w:t>
      </w:r>
      <w:r w:rsidRPr="000D43FE">
        <w:rPr>
          <w:rFonts w:ascii="Arial" w:hAnsi="Arial" w:cs="Arial"/>
          <w:sz w:val="24"/>
          <w:szCs w:val="24"/>
        </w:rPr>
        <w:t>:</w:t>
      </w:r>
      <w:r w:rsidR="007A2B4B">
        <w:rPr>
          <w:rFonts w:ascii="Arial" w:hAnsi="Arial" w:cs="Arial"/>
          <w:sz w:val="24"/>
          <w:szCs w:val="24"/>
        </w:rPr>
        <w:tab/>
      </w:r>
      <w:r w:rsidR="00A61334">
        <w:rPr>
          <w:rFonts w:ascii="Arial" w:hAnsi="Arial" w:cs="Arial"/>
          <w:sz w:val="24"/>
          <w:szCs w:val="24"/>
        </w:rPr>
        <w:tab/>
      </w:r>
      <w:r w:rsidR="00A61334">
        <w:rPr>
          <w:rFonts w:ascii="Arial" w:hAnsi="Arial" w:cs="Arial"/>
          <w:sz w:val="24"/>
          <w:szCs w:val="24"/>
        </w:rPr>
        <w:tab/>
      </w:r>
      <w:r w:rsidR="00A61334">
        <w:rPr>
          <w:rFonts w:ascii="Arial" w:hAnsi="Arial" w:cs="Arial"/>
          <w:sz w:val="24"/>
          <w:szCs w:val="24"/>
        </w:rPr>
        <w:tab/>
      </w:r>
      <w:r w:rsidR="00A61334">
        <w:rPr>
          <w:rFonts w:ascii="Arial" w:hAnsi="Arial" w:cs="Arial"/>
          <w:sz w:val="24"/>
          <w:szCs w:val="24"/>
        </w:rPr>
        <w:tab/>
        <w:t>Advocate D van Reenen</w:t>
      </w:r>
      <w:r w:rsidR="007A2B4B">
        <w:rPr>
          <w:rFonts w:ascii="Arial" w:hAnsi="Arial" w:cs="Arial"/>
          <w:sz w:val="24"/>
          <w:szCs w:val="24"/>
        </w:rPr>
        <w:tab/>
      </w:r>
      <w:r w:rsidR="007A2B4B">
        <w:rPr>
          <w:rFonts w:ascii="Arial" w:hAnsi="Arial" w:cs="Arial"/>
          <w:sz w:val="24"/>
          <w:szCs w:val="24"/>
        </w:rPr>
        <w:tab/>
      </w:r>
      <w:r w:rsidR="007A2B4B">
        <w:rPr>
          <w:rFonts w:ascii="Arial" w:hAnsi="Arial" w:cs="Arial"/>
          <w:sz w:val="24"/>
          <w:szCs w:val="24"/>
        </w:rPr>
        <w:tab/>
      </w:r>
    </w:p>
    <w:p w14:paraId="6F9DB221" w14:textId="7D58C99F" w:rsidR="000D43FE" w:rsidRDefault="000D43FE" w:rsidP="002752F1">
      <w:pPr>
        <w:spacing w:line="240" w:lineRule="auto"/>
        <w:rPr>
          <w:rFonts w:ascii="Arial" w:hAnsi="Arial" w:cs="Arial"/>
          <w:sz w:val="24"/>
          <w:szCs w:val="24"/>
        </w:rPr>
      </w:pPr>
      <w:r w:rsidRPr="000D43FE">
        <w:rPr>
          <w:rFonts w:ascii="Arial" w:hAnsi="Arial" w:cs="Arial"/>
          <w:sz w:val="24"/>
          <w:szCs w:val="24"/>
        </w:rPr>
        <w:t>Instructed by:</w:t>
      </w:r>
      <w:r w:rsidR="007A2B4B">
        <w:rPr>
          <w:rFonts w:ascii="Arial" w:hAnsi="Arial" w:cs="Arial"/>
          <w:sz w:val="24"/>
          <w:szCs w:val="24"/>
        </w:rPr>
        <w:tab/>
      </w:r>
      <w:r w:rsidR="00A61334">
        <w:rPr>
          <w:rFonts w:ascii="Arial" w:hAnsi="Arial" w:cs="Arial"/>
          <w:sz w:val="24"/>
          <w:szCs w:val="24"/>
        </w:rPr>
        <w:tab/>
      </w:r>
      <w:r w:rsidR="00A61334">
        <w:rPr>
          <w:rFonts w:ascii="Arial" w:hAnsi="Arial" w:cs="Arial"/>
          <w:sz w:val="24"/>
          <w:szCs w:val="24"/>
        </w:rPr>
        <w:tab/>
      </w:r>
      <w:r w:rsidR="00A61334">
        <w:rPr>
          <w:rFonts w:ascii="Arial" w:hAnsi="Arial" w:cs="Arial"/>
          <w:sz w:val="24"/>
          <w:szCs w:val="24"/>
        </w:rPr>
        <w:tab/>
      </w:r>
      <w:r w:rsidR="00A61334">
        <w:rPr>
          <w:rFonts w:ascii="Arial" w:hAnsi="Arial" w:cs="Arial"/>
          <w:sz w:val="24"/>
          <w:szCs w:val="24"/>
        </w:rPr>
        <w:tab/>
      </w:r>
      <w:r w:rsidR="00A61334">
        <w:rPr>
          <w:rFonts w:ascii="Arial" w:hAnsi="Arial" w:cs="Arial"/>
          <w:sz w:val="24"/>
          <w:szCs w:val="24"/>
        </w:rPr>
        <w:tab/>
        <w:t>Hildebrand Attorneys</w:t>
      </w:r>
      <w:r w:rsidR="007A2B4B">
        <w:rPr>
          <w:rFonts w:ascii="Arial" w:hAnsi="Arial" w:cs="Arial"/>
          <w:sz w:val="24"/>
          <w:szCs w:val="24"/>
        </w:rPr>
        <w:tab/>
      </w:r>
      <w:r w:rsidR="007A2B4B">
        <w:rPr>
          <w:rFonts w:ascii="Arial" w:hAnsi="Arial" w:cs="Arial"/>
          <w:sz w:val="24"/>
          <w:szCs w:val="24"/>
        </w:rPr>
        <w:tab/>
      </w:r>
      <w:r w:rsidR="007A2B4B">
        <w:rPr>
          <w:rFonts w:ascii="Arial" w:hAnsi="Arial" w:cs="Arial"/>
          <w:sz w:val="24"/>
          <w:szCs w:val="24"/>
        </w:rPr>
        <w:tab/>
      </w:r>
      <w:r w:rsidR="007A2B4B">
        <w:rPr>
          <w:rFonts w:ascii="Arial" w:hAnsi="Arial" w:cs="Arial"/>
          <w:sz w:val="24"/>
          <w:szCs w:val="24"/>
        </w:rPr>
        <w:tab/>
      </w:r>
    </w:p>
    <w:p w14:paraId="1711117D" w14:textId="1D570D4F" w:rsidR="000D43FE" w:rsidRDefault="000D43FE" w:rsidP="002752F1">
      <w:pPr>
        <w:spacing w:line="240" w:lineRule="auto"/>
        <w:rPr>
          <w:rFonts w:ascii="Arial" w:hAnsi="Arial" w:cs="Arial"/>
          <w:sz w:val="24"/>
          <w:szCs w:val="24"/>
        </w:rPr>
      </w:pPr>
    </w:p>
    <w:p w14:paraId="2FA65443" w14:textId="0B0CE035" w:rsidR="000D43FE" w:rsidRDefault="000D43FE" w:rsidP="002752F1">
      <w:pPr>
        <w:spacing w:line="240" w:lineRule="auto"/>
        <w:rPr>
          <w:rFonts w:ascii="Arial" w:hAnsi="Arial" w:cs="Arial"/>
          <w:sz w:val="24"/>
          <w:szCs w:val="24"/>
        </w:rPr>
      </w:pPr>
      <w:r>
        <w:rPr>
          <w:rFonts w:ascii="Arial" w:hAnsi="Arial" w:cs="Arial"/>
          <w:sz w:val="24"/>
          <w:szCs w:val="24"/>
        </w:rPr>
        <w:t>Counsel for the Respondent</w:t>
      </w:r>
      <w:r w:rsidR="008F5CFE">
        <w:rPr>
          <w:rFonts w:ascii="Arial" w:hAnsi="Arial" w:cs="Arial"/>
          <w:sz w:val="24"/>
          <w:szCs w:val="24"/>
        </w:rPr>
        <w:t>:</w:t>
      </w:r>
      <w:r w:rsidR="007A2B4B">
        <w:rPr>
          <w:rFonts w:ascii="Arial" w:hAnsi="Arial" w:cs="Arial"/>
          <w:sz w:val="24"/>
          <w:szCs w:val="24"/>
        </w:rPr>
        <w:tab/>
      </w:r>
      <w:r w:rsidR="007A2B4B">
        <w:rPr>
          <w:rFonts w:ascii="Arial" w:hAnsi="Arial" w:cs="Arial"/>
          <w:sz w:val="24"/>
          <w:szCs w:val="24"/>
        </w:rPr>
        <w:tab/>
      </w:r>
      <w:r w:rsidR="00A61334">
        <w:rPr>
          <w:rFonts w:ascii="Arial" w:hAnsi="Arial" w:cs="Arial"/>
          <w:sz w:val="24"/>
          <w:szCs w:val="24"/>
        </w:rPr>
        <w:tab/>
      </w:r>
      <w:r w:rsidR="00A61334">
        <w:rPr>
          <w:rFonts w:ascii="Arial" w:hAnsi="Arial" w:cs="Arial"/>
          <w:sz w:val="24"/>
          <w:szCs w:val="24"/>
        </w:rPr>
        <w:tab/>
        <w:t>Advocate J Newdigate</w:t>
      </w:r>
      <w:r w:rsidR="007A2B4B">
        <w:rPr>
          <w:rFonts w:ascii="Arial" w:hAnsi="Arial" w:cs="Arial"/>
          <w:sz w:val="24"/>
          <w:szCs w:val="24"/>
        </w:rPr>
        <w:tab/>
      </w:r>
    </w:p>
    <w:p w14:paraId="06AD93AF" w14:textId="5E804F16" w:rsidR="008F5CFE" w:rsidRDefault="008F5CFE" w:rsidP="002752F1">
      <w:pPr>
        <w:spacing w:line="240" w:lineRule="auto"/>
        <w:rPr>
          <w:rFonts w:ascii="Arial" w:hAnsi="Arial" w:cs="Arial"/>
          <w:sz w:val="24"/>
          <w:szCs w:val="24"/>
        </w:rPr>
      </w:pPr>
      <w:r>
        <w:rPr>
          <w:rFonts w:ascii="Arial" w:hAnsi="Arial" w:cs="Arial"/>
          <w:sz w:val="24"/>
          <w:szCs w:val="24"/>
        </w:rPr>
        <w:t>Instructed</w:t>
      </w:r>
      <w:r w:rsidR="00D57B19">
        <w:rPr>
          <w:rFonts w:ascii="Arial" w:hAnsi="Arial" w:cs="Arial"/>
          <w:sz w:val="24"/>
          <w:szCs w:val="24"/>
        </w:rPr>
        <w:t xml:space="preserve"> by</w:t>
      </w:r>
      <w:r>
        <w:rPr>
          <w:rFonts w:ascii="Arial" w:hAnsi="Arial" w:cs="Arial"/>
          <w:sz w:val="24"/>
          <w:szCs w:val="24"/>
        </w:rPr>
        <w:t>:</w:t>
      </w:r>
      <w:r w:rsidR="00A61334">
        <w:rPr>
          <w:rFonts w:ascii="Arial" w:hAnsi="Arial" w:cs="Arial"/>
          <w:sz w:val="24"/>
          <w:szCs w:val="24"/>
        </w:rPr>
        <w:tab/>
      </w:r>
      <w:r w:rsidR="00A61334">
        <w:rPr>
          <w:rFonts w:ascii="Arial" w:hAnsi="Arial" w:cs="Arial"/>
          <w:sz w:val="24"/>
          <w:szCs w:val="24"/>
        </w:rPr>
        <w:tab/>
      </w:r>
      <w:r w:rsidR="00A61334">
        <w:rPr>
          <w:rFonts w:ascii="Arial" w:hAnsi="Arial" w:cs="Arial"/>
          <w:sz w:val="24"/>
          <w:szCs w:val="24"/>
        </w:rPr>
        <w:tab/>
      </w:r>
      <w:r w:rsidR="00A61334">
        <w:rPr>
          <w:rFonts w:ascii="Arial" w:hAnsi="Arial" w:cs="Arial"/>
          <w:sz w:val="24"/>
          <w:szCs w:val="24"/>
        </w:rPr>
        <w:tab/>
      </w:r>
      <w:r w:rsidR="00A61334">
        <w:rPr>
          <w:rFonts w:ascii="Arial" w:hAnsi="Arial" w:cs="Arial"/>
          <w:sz w:val="24"/>
          <w:szCs w:val="24"/>
        </w:rPr>
        <w:tab/>
      </w:r>
      <w:r w:rsidR="00A61334">
        <w:rPr>
          <w:rFonts w:ascii="Arial" w:hAnsi="Arial" w:cs="Arial"/>
          <w:sz w:val="24"/>
          <w:szCs w:val="24"/>
        </w:rPr>
        <w:tab/>
        <w:t>TSP Cape Town Inc.</w:t>
      </w:r>
      <w:r w:rsidR="00D57B19">
        <w:rPr>
          <w:rFonts w:ascii="Arial" w:hAnsi="Arial" w:cs="Arial"/>
          <w:sz w:val="24"/>
          <w:szCs w:val="24"/>
        </w:rPr>
        <w:tab/>
      </w:r>
      <w:r w:rsidR="00D57B19">
        <w:rPr>
          <w:rFonts w:ascii="Arial" w:hAnsi="Arial" w:cs="Arial"/>
          <w:sz w:val="24"/>
          <w:szCs w:val="24"/>
        </w:rPr>
        <w:tab/>
      </w:r>
      <w:r w:rsidR="00D57B19">
        <w:rPr>
          <w:rFonts w:ascii="Arial" w:hAnsi="Arial" w:cs="Arial"/>
          <w:sz w:val="24"/>
          <w:szCs w:val="24"/>
        </w:rPr>
        <w:tab/>
      </w:r>
      <w:r w:rsidR="00D57B19">
        <w:rPr>
          <w:rFonts w:ascii="Arial" w:hAnsi="Arial" w:cs="Arial"/>
          <w:sz w:val="24"/>
          <w:szCs w:val="24"/>
        </w:rPr>
        <w:tab/>
      </w:r>
      <w:r w:rsidR="00D57B19">
        <w:rPr>
          <w:rFonts w:ascii="Arial" w:hAnsi="Arial" w:cs="Arial"/>
          <w:sz w:val="24"/>
          <w:szCs w:val="24"/>
        </w:rPr>
        <w:tab/>
      </w:r>
    </w:p>
    <w:p w14:paraId="0965DB0D" w14:textId="2A576A3C" w:rsidR="008F5CFE" w:rsidRDefault="007A2B4B" w:rsidP="002752F1">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2EF8A2D" w14:textId="6A8E6ED0" w:rsidR="008F5CFE" w:rsidRPr="008F5CFE" w:rsidRDefault="008F5CFE" w:rsidP="002752F1">
      <w:pPr>
        <w:spacing w:line="240" w:lineRule="auto"/>
        <w:rPr>
          <w:rFonts w:ascii="Bahnschrift Light" w:hAnsi="Bahnschrift Light" w:cs="Arial"/>
          <w:sz w:val="24"/>
          <w:szCs w:val="24"/>
        </w:rPr>
      </w:pPr>
      <w:r w:rsidRPr="008F5CFE">
        <w:rPr>
          <w:rFonts w:ascii="Bahnschrift Light" w:hAnsi="Bahnschrift Light" w:cs="Arial"/>
          <w:i/>
          <w:sz w:val="24"/>
          <w:szCs w:val="24"/>
        </w:rPr>
        <w:t>Heard on</w:t>
      </w:r>
      <w:r w:rsidR="00B5103F">
        <w:rPr>
          <w:rFonts w:ascii="Bahnschrift Light" w:hAnsi="Bahnschrift Light" w:cs="Arial"/>
          <w:sz w:val="24"/>
          <w:szCs w:val="24"/>
        </w:rPr>
        <w:tab/>
        <w:t>15 November</w:t>
      </w:r>
      <w:r w:rsidRPr="008F5CFE">
        <w:rPr>
          <w:rFonts w:ascii="Bahnschrift Light" w:hAnsi="Bahnschrift Light" w:cs="Arial"/>
          <w:sz w:val="24"/>
          <w:szCs w:val="24"/>
        </w:rPr>
        <w:t xml:space="preserve"> 2023</w:t>
      </w:r>
    </w:p>
    <w:p w14:paraId="1B307882" w14:textId="77611829" w:rsidR="008F5CFE" w:rsidRPr="008F5CFE" w:rsidRDefault="008F5CFE" w:rsidP="002752F1">
      <w:pPr>
        <w:spacing w:line="240" w:lineRule="auto"/>
        <w:rPr>
          <w:rFonts w:ascii="Bahnschrift Light" w:hAnsi="Bahnschrift Light" w:cs="Arial"/>
          <w:sz w:val="24"/>
          <w:szCs w:val="24"/>
        </w:rPr>
      </w:pPr>
    </w:p>
    <w:p w14:paraId="62E8C4E5" w14:textId="36DD5649" w:rsidR="008F5CFE" w:rsidRPr="008F5CFE" w:rsidRDefault="008F5CFE" w:rsidP="002752F1">
      <w:pPr>
        <w:spacing w:line="240" w:lineRule="auto"/>
        <w:rPr>
          <w:rFonts w:ascii="Bahnschrift Light" w:hAnsi="Bahnschrift Light" w:cs="Arial"/>
          <w:sz w:val="24"/>
          <w:szCs w:val="24"/>
        </w:rPr>
      </w:pPr>
      <w:r w:rsidRPr="008F5CFE">
        <w:rPr>
          <w:rFonts w:ascii="Bahnschrift Light" w:hAnsi="Bahnschrift Light" w:cs="Arial"/>
          <w:i/>
          <w:sz w:val="24"/>
          <w:szCs w:val="24"/>
        </w:rPr>
        <w:t>Delivered</w:t>
      </w:r>
      <w:r w:rsidRPr="008F5CFE">
        <w:rPr>
          <w:rFonts w:ascii="Bahnschrift Light" w:hAnsi="Bahnschrift Light" w:cs="Arial"/>
          <w:sz w:val="24"/>
          <w:szCs w:val="24"/>
        </w:rPr>
        <w:tab/>
      </w:r>
      <w:r w:rsidR="00CF63B9" w:rsidRPr="00CF63B9">
        <w:rPr>
          <w:rFonts w:ascii="Bahnschrift Light" w:hAnsi="Bahnschrift Light" w:cs="Arial"/>
          <w:sz w:val="24"/>
          <w:szCs w:val="24"/>
        </w:rPr>
        <w:t xml:space="preserve">06 </w:t>
      </w:r>
      <w:r w:rsidR="00B078B4">
        <w:rPr>
          <w:rFonts w:ascii="Bahnschrift Light" w:hAnsi="Bahnschrift Light" w:cs="Arial"/>
          <w:sz w:val="24"/>
          <w:szCs w:val="24"/>
        </w:rPr>
        <w:t>December</w:t>
      </w:r>
      <w:r w:rsidRPr="008F5CFE">
        <w:rPr>
          <w:rFonts w:ascii="Bahnschrift Light" w:hAnsi="Bahnschrift Light" w:cs="Arial"/>
          <w:sz w:val="24"/>
          <w:szCs w:val="24"/>
        </w:rPr>
        <w:t xml:space="preserve"> 2023 – This judgment was handed down electronically </w:t>
      </w:r>
      <w:r w:rsidRPr="008F5CFE">
        <w:rPr>
          <w:rFonts w:ascii="Bahnschrift Light" w:hAnsi="Bahnschrift Light" w:cs="Arial"/>
          <w:sz w:val="24"/>
          <w:szCs w:val="24"/>
        </w:rPr>
        <w:tab/>
      </w:r>
      <w:r w:rsidRPr="008F5CFE">
        <w:rPr>
          <w:rFonts w:ascii="Bahnschrift Light" w:hAnsi="Bahnschrift Light" w:cs="Arial"/>
          <w:sz w:val="24"/>
          <w:szCs w:val="24"/>
        </w:rPr>
        <w:tab/>
        <w:t>by circulation to the parties’ representatives by email.</w:t>
      </w:r>
    </w:p>
    <w:p w14:paraId="4D29E285" w14:textId="132F5103" w:rsidR="000D43FE" w:rsidRPr="008F5CFE" w:rsidRDefault="000D43FE" w:rsidP="002752F1">
      <w:pPr>
        <w:spacing w:line="240" w:lineRule="auto"/>
        <w:rPr>
          <w:rFonts w:ascii="Bahnschrift Light" w:hAnsi="Bahnschrift Light" w:cs="Arial"/>
          <w:i/>
          <w:sz w:val="24"/>
          <w:szCs w:val="24"/>
        </w:rPr>
      </w:pPr>
    </w:p>
    <w:p w14:paraId="19439BA9" w14:textId="77777777" w:rsidR="000D43FE" w:rsidRPr="000D43FE" w:rsidRDefault="000D43FE" w:rsidP="002752F1">
      <w:pPr>
        <w:spacing w:line="240" w:lineRule="auto"/>
        <w:rPr>
          <w:rFonts w:ascii="Arial" w:hAnsi="Arial" w:cs="Arial"/>
          <w:sz w:val="24"/>
          <w:szCs w:val="24"/>
        </w:rPr>
      </w:pPr>
    </w:p>
    <w:p w14:paraId="5EDCBD9F" w14:textId="3AB284B8" w:rsidR="000D43FE" w:rsidRDefault="000D43FE" w:rsidP="002752F1">
      <w:pPr>
        <w:spacing w:line="240" w:lineRule="auto"/>
        <w:rPr>
          <w:b/>
          <w:sz w:val="24"/>
          <w:szCs w:val="24"/>
        </w:rPr>
      </w:pPr>
    </w:p>
    <w:p w14:paraId="34482899" w14:textId="3FC59F10" w:rsidR="000D43FE" w:rsidRDefault="000D43FE" w:rsidP="002752F1">
      <w:pPr>
        <w:spacing w:line="240" w:lineRule="auto"/>
        <w:rPr>
          <w:b/>
          <w:sz w:val="24"/>
          <w:szCs w:val="24"/>
        </w:rPr>
      </w:pPr>
    </w:p>
    <w:p w14:paraId="242560D7" w14:textId="77777777" w:rsidR="000D43FE" w:rsidRDefault="000D43FE" w:rsidP="002752F1">
      <w:pPr>
        <w:spacing w:line="240" w:lineRule="auto"/>
        <w:rPr>
          <w:b/>
          <w:sz w:val="24"/>
          <w:szCs w:val="24"/>
        </w:rPr>
      </w:pPr>
    </w:p>
    <w:p w14:paraId="310395EC" w14:textId="77777777" w:rsidR="000D43FE" w:rsidRPr="002752F1" w:rsidRDefault="000D43FE" w:rsidP="002752F1">
      <w:pPr>
        <w:spacing w:line="240" w:lineRule="auto"/>
        <w:rPr>
          <w:b/>
          <w:sz w:val="24"/>
          <w:szCs w:val="24"/>
        </w:rPr>
      </w:pPr>
    </w:p>
    <w:sectPr w:rsidR="000D43FE" w:rsidRPr="002752F1" w:rsidSect="007A6EE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8BAF9" w14:textId="77777777" w:rsidR="0036219B" w:rsidRDefault="0036219B" w:rsidP="005B2AA3">
      <w:pPr>
        <w:spacing w:after="0" w:line="240" w:lineRule="auto"/>
      </w:pPr>
      <w:r>
        <w:separator/>
      </w:r>
    </w:p>
  </w:endnote>
  <w:endnote w:type="continuationSeparator" w:id="0">
    <w:p w14:paraId="4EE2971F" w14:textId="77777777" w:rsidR="0036219B" w:rsidRDefault="0036219B" w:rsidP="005B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F3786" w14:textId="77777777" w:rsidR="007A6EE3" w:rsidRDefault="007A6E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8050337"/>
      <w:docPartObj>
        <w:docPartGallery w:val="Page Numbers (Bottom of Page)"/>
        <w:docPartUnique/>
      </w:docPartObj>
    </w:sdtPr>
    <w:sdtEndPr>
      <w:rPr>
        <w:noProof/>
      </w:rPr>
    </w:sdtEndPr>
    <w:sdtContent>
      <w:p w14:paraId="54028967" w14:textId="30A66190" w:rsidR="00181B11" w:rsidRDefault="00181B11">
        <w:pPr>
          <w:pStyle w:val="Footer"/>
          <w:jc w:val="right"/>
        </w:pPr>
        <w:r>
          <w:fldChar w:fldCharType="begin"/>
        </w:r>
        <w:r>
          <w:instrText xml:space="preserve"> PAGE   \* MERGEFORMAT </w:instrText>
        </w:r>
        <w:r>
          <w:fldChar w:fldCharType="separate"/>
        </w:r>
        <w:r w:rsidR="007A6EE3">
          <w:rPr>
            <w:noProof/>
          </w:rPr>
          <w:t>1</w:t>
        </w:r>
        <w:r>
          <w:rPr>
            <w:noProof/>
          </w:rPr>
          <w:fldChar w:fldCharType="end"/>
        </w:r>
      </w:p>
    </w:sdtContent>
  </w:sdt>
  <w:p w14:paraId="005E1860" w14:textId="77777777" w:rsidR="00181B11" w:rsidRDefault="00181B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75130" w14:textId="77777777" w:rsidR="007A6EE3" w:rsidRDefault="007A6E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FAEEE" w14:textId="77777777" w:rsidR="0036219B" w:rsidRDefault="0036219B" w:rsidP="005B2AA3">
      <w:pPr>
        <w:spacing w:after="0" w:line="240" w:lineRule="auto"/>
      </w:pPr>
      <w:r>
        <w:separator/>
      </w:r>
    </w:p>
  </w:footnote>
  <w:footnote w:type="continuationSeparator" w:id="0">
    <w:p w14:paraId="543FA0F8" w14:textId="77777777" w:rsidR="0036219B" w:rsidRDefault="0036219B" w:rsidP="005B2AA3">
      <w:pPr>
        <w:spacing w:after="0" w:line="240" w:lineRule="auto"/>
      </w:pPr>
      <w:r>
        <w:continuationSeparator/>
      </w:r>
    </w:p>
  </w:footnote>
  <w:footnote w:id="1">
    <w:p w14:paraId="7DDE334C" w14:textId="44AF4151" w:rsidR="00181B11" w:rsidRPr="00F35A3D" w:rsidRDefault="00181B11">
      <w:pPr>
        <w:pStyle w:val="FootnoteText"/>
        <w:rPr>
          <w:rFonts w:cstheme="minorHAnsi"/>
          <w:lang w:val="en-ZA"/>
        </w:rPr>
      </w:pPr>
      <w:r>
        <w:rPr>
          <w:rStyle w:val="FootnoteReference"/>
        </w:rPr>
        <w:footnoteRef/>
      </w:r>
      <w:r>
        <w:t xml:space="preserve"> </w:t>
      </w:r>
      <w:r w:rsidRPr="00F35A3D">
        <w:rPr>
          <w:rFonts w:cstheme="minorHAnsi"/>
          <w:lang w:val="en-ZA"/>
        </w:rPr>
        <w:t>Act No. 10 of 2013.</w:t>
      </w:r>
    </w:p>
  </w:footnote>
  <w:footnote w:id="2">
    <w:p w14:paraId="75CBBCFC" w14:textId="2C4DF01F" w:rsidR="00181B11" w:rsidRPr="00AD1402" w:rsidRDefault="00181B11">
      <w:pPr>
        <w:pStyle w:val="FootnoteText"/>
        <w:rPr>
          <w:lang w:val="en-ZA"/>
        </w:rPr>
      </w:pPr>
      <w:r>
        <w:rPr>
          <w:rStyle w:val="FootnoteReference"/>
        </w:rPr>
        <w:footnoteRef/>
      </w:r>
      <w:r>
        <w:t xml:space="preserve"> Cilliers et al, </w:t>
      </w:r>
      <w:r>
        <w:rPr>
          <w:lang w:val="en-ZA"/>
        </w:rPr>
        <w:t>Herbstein and van Winsen</w:t>
      </w:r>
      <w:r>
        <w:rPr>
          <w:i/>
          <w:lang w:val="en-ZA"/>
        </w:rPr>
        <w:t xml:space="preserve"> ‘The Civil Practice of the High Courts and the Supreme Court of Appeal of South Africa’ </w:t>
      </w:r>
      <w:r>
        <w:rPr>
          <w:lang w:val="en-ZA"/>
        </w:rPr>
        <w:t>(5</w:t>
      </w:r>
      <w:r w:rsidRPr="00AD1402">
        <w:rPr>
          <w:vertAlign w:val="superscript"/>
          <w:lang w:val="en-ZA"/>
        </w:rPr>
        <w:t>th</w:t>
      </w:r>
      <w:r>
        <w:rPr>
          <w:lang w:val="en-ZA"/>
        </w:rPr>
        <w:t xml:space="preserve"> Ed.) at page 99 </w:t>
      </w:r>
      <w:r>
        <w:rPr>
          <w:i/>
          <w:lang w:val="en-ZA"/>
        </w:rPr>
        <w:t>‘Thus an attachment to found jurisdiction actually establishes jurisdiction, while an attachment to confirm jurisdiction strengthens or confirms a jurisdiction which already exists.’</w:t>
      </w:r>
    </w:p>
  </w:footnote>
  <w:footnote w:id="3">
    <w:p w14:paraId="751CB78B" w14:textId="77777777" w:rsidR="00181B11" w:rsidRPr="00F35A3D" w:rsidRDefault="00181B11" w:rsidP="00D159C6">
      <w:pPr>
        <w:pStyle w:val="FootnoteText"/>
        <w:rPr>
          <w:rFonts w:cstheme="minorHAnsi"/>
          <w:lang w:val="en-ZA"/>
        </w:rPr>
      </w:pPr>
      <w:r w:rsidRPr="00F35A3D">
        <w:rPr>
          <w:rStyle w:val="FootnoteReference"/>
          <w:rFonts w:cstheme="minorHAnsi"/>
        </w:rPr>
        <w:footnoteRef/>
      </w:r>
      <w:r w:rsidRPr="00F35A3D">
        <w:rPr>
          <w:rFonts w:cstheme="minorHAnsi"/>
        </w:rPr>
        <w:t xml:space="preserve"> </w:t>
      </w:r>
      <w:r w:rsidRPr="00F35A3D">
        <w:rPr>
          <w:rFonts w:cstheme="minorHAnsi"/>
          <w:lang w:val="en-ZA"/>
        </w:rPr>
        <w:t>2006 (4) SA 177 (SCA); [2013] 2 All SA 556 (SCA) at [12].</w:t>
      </w:r>
    </w:p>
  </w:footnote>
  <w:footnote w:id="4">
    <w:p w14:paraId="0C078138" w14:textId="77777777" w:rsidR="00181B11" w:rsidRPr="00F35A3D" w:rsidRDefault="00181B11" w:rsidP="00D159C6">
      <w:pPr>
        <w:pStyle w:val="FootnoteText"/>
        <w:jc w:val="both"/>
        <w:rPr>
          <w:rFonts w:eastAsiaTheme="minorEastAsia" w:cstheme="minorHAnsi"/>
          <w:sz w:val="24"/>
          <w:szCs w:val="24"/>
        </w:rPr>
      </w:pPr>
      <w:r w:rsidRPr="0013774C">
        <w:rPr>
          <w:rFonts w:eastAsiaTheme="minorEastAsia" w:cstheme="minorHAnsi"/>
          <w:vertAlign w:val="superscript"/>
        </w:rPr>
        <w:footnoteRef/>
      </w:r>
      <w:r w:rsidRPr="0013774C">
        <w:rPr>
          <w:rFonts w:eastAsiaTheme="minorEastAsia" w:cstheme="minorHAnsi"/>
          <w:sz w:val="24"/>
          <w:szCs w:val="24"/>
          <w:vertAlign w:val="superscript"/>
        </w:rPr>
        <w:t xml:space="preserve"> </w:t>
      </w:r>
      <w:r w:rsidRPr="00F35A3D">
        <w:rPr>
          <w:rFonts w:eastAsiaTheme="minorEastAsia" w:cstheme="minorHAnsi"/>
          <w:i/>
          <w:szCs w:val="24"/>
        </w:rPr>
        <w:t>Owners of SS Humber v Owners of SS Answald</w:t>
      </w:r>
      <w:r w:rsidRPr="00F35A3D">
        <w:rPr>
          <w:rFonts w:eastAsiaTheme="minorEastAsia" w:cstheme="minorHAnsi"/>
          <w:szCs w:val="24"/>
        </w:rPr>
        <w:t xml:space="preserve"> 1912 AD 546 at 555; </w:t>
      </w:r>
      <w:r w:rsidRPr="00F35A3D">
        <w:rPr>
          <w:rFonts w:eastAsiaTheme="minorEastAsia" w:cstheme="minorHAnsi"/>
          <w:i/>
          <w:szCs w:val="24"/>
        </w:rPr>
        <w:t>Siemens Ltd v Offshore Marine Engineering Ltd</w:t>
      </w:r>
      <w:r w:rsidRPr="00F35A3D">
        <w:rPr>
          <w:rFonts w:eastAsiaTheme="minorEastAsia" w:cstheme="minorHAnsi"/>
          <w:szCs w:val="24"/>
        </w:rPr>
        <w:t xml:space="preserve"> 1993 (3) SA 913 (A) 918E-H, 920C-J.</w:t>
      </w:r>
    </w:p>
  </w:footnote>
  <w:footnote w:id="5">
    <w:p w14:paraId="16F4E8E9" w14:textId="77777777" w:rsidR="00181B11" w:rsidRPr="00F35A3D" w:rsidRDefault="00181B11" w:rsidP="00D159C6">
      <w:pPr>
        <w:pStyle w:val="FootnoteText"/>
        <w:jc w:val="both"/>
        <w:rPr>
          <w:rFonts w:eastAsia="Times New Roman" w:cstheme="minorHAnsi"/>
        </w:rPr>
      </w:pPr>
      <w:r w:rsidRPr="0013774C">
        <w:rPr>
          <w:rFonts w:eastAsiaTheme="minorEastAsia" w:cstheme="minorHAnsi"/>
          <w:vertAlign w:val="superscript"/>
        </w:rPr>
        <w:footnoteRef/>
      </w:r>
      <w:r w:rsidRPr="0013774C">
        <w:rPr>
          <w:rFonts w:cstheme="minorHAnsi"/>
          <w:vertAlign w:val="superscript"/>
        </w:rPr>
        <w:t xml:space="preserve"> </w:t>
      </w:r>
      <w:r w:rsidRPr="00F35A3D">
        <w:rPr>
          <w:rFonts w:cstheme="minorHAnsi"/>
          <w:i/>
        </w:rPr>
        <w:t>Thermo Radiant Oven Sales (Pty) Ltd v Nelspruit Bakeries (Pty) Ltd</w:t>
      </w:r>
      <w:r w:rsidRPr="00F35A3D">
        <w:rPr>
          <w:rFonts w:cstheme="minorHAnsi"/>
        </w:rPr>
        <w:t xml:space="preserve"> 1969 (2) SA 295 (A) 306D-H.</w:t>
      </w:r>
    </w:p>
  </w:footnote>
  <w:footnote w:id="6">
    <w:p w14:paraId="4C97E286" w14:textId="77777777" w:rsidR="00181B11" w:rsidRPr="00F35A3D" w:rsidRDefault="00181B11" w:rsidP="00D159C6">
      <w:pPr>
        <w:pStyle w:val="FootnoteText"/>
        <w:jc w:val="both"/>
        <w:rPr>
          <w:rFonts w:cstheme="minorHAnsi"/>
        </w:rPr>
      </w:pPr>
      <w:r w:rsidRPr="0013774C">
        <w:rPr>
          <w:rFonts w:eastAsiaTheme="minorEastAsia" w:cstheme="minorHAnsi"/>
          <w:vertAlign w:val="superscript"/>
        </w:rPr>
        <w:footnoteRef/>
      </w:r>
      <w:r w:rsidRPr="00F35A3D">
        <w:rPr>
          <w:rFonts w:cstheme="minorHAnsi"/>
        </w:rPr>
        <w:t xml:space="preserve"> </w:t>
      </w:r>
      <w:r w:rsidRPr="00F35A3D">
        <w:rPr>
          <w:rFonts w:cstheme="minorHAnsi"/>
          <w:i/>
        </w:rPr>
        <w:t>Naylor v Jansen; Jansen v Naylor</w:t>
      </w:r>
      <w:r w:rsidRPr="00F35A3D">
        <w:rPr>
          <w:rFonts w:cstheme="minorHAnsi"/>
        </w:rPr>
        <w:t xml:space="preserve"> [2005] 4 All SA 26 (SCA) para 26.</w:t>
      </w:r>
    </w:p>
  </w:footnote>
  <w:footnote w:id="7">
    <w:p w14:paraId="3B63C3BA" w14:textId="7B737960" w:rsidR="00181B11" w:rsidRDefault="00181B11" w:rsidP="0068290C">
      <w:pPr>
        <w:pStyle w:val="FootnoteText"/>
      </w:pPr>
      <w:r>
        <w:rPr>
          <w:rStyle w:val="FootnoteReference"/>
        </w:rPr>
        <w:footnoteRef/>
      </w:r>
      <w:r>
        <w:t xml:space="preserve"> </w:t>
      </w:r>
      <w:r w:rsidRPr="0068290C">
        <w:rPr>
          <w:rFonts w:cstheme="minorHAnsi"/>
          <w:i/>
        </w:rPr>
        <w:t>Tsung and Another v Industrial Development Corporation of South Africa Ltd. And Another</w:t>
      </w:r>
      <w:r>
        <w:rPr>
          <w:rFonts w:cstheme="minorHAnsi"/>
          <w:i/>
        </w:rPr>
        <w:t xml:space="preserve"> (supra) at para 7</w:t>
      </w:r>
    </w:p>
    <w:p w14:paraId="0B1EAF31" w14:textId="23DCD438" w:rsidR="00181B11" w:rsidRPr="0068290C" w:rsidRDefault="00181B11" w:rsidP="0068290C">
      <w:pPr>
        <w:pStyle w:val="ListParagraph"/>
        <w:spacing w:after="0" w:line="240" w:lineRule="auto"/>
        <w:ind w:left="0" w:right="720"/>
        <w:jc w:val="both"/>
        <w:rPr>
          <w:rFonts w:cstheme="minorHAnsi"/>
          <w:i/>
          <w:sz w:val="20"/>
          <w:szCs w:val="20"/>
        </w:rPr>
      </w:pPr>
      <w:r>
        <w:rPr>
          <w:rFonts w:cstheme="minorHAnsi"/>
          <w:i/>
          <w:sz w:val="20"/>
          <w:szCs w:val="20"/>
        </w:rPr>
        <w:t>‘</w:t>
      </w:r>
      <w:r w:rsidRPr="0068290C">
        <w:rPr>
          <w:rFonts w:cstheme="minorHAnsi"/>
          <w:i/>
          <w:sz w:val="20"/>
          <w:szCs w:val="20"/>
        </w:rPr>
        <w:t>Applications for attachment or arrest are as a matter of course brought without notice and the plaintiff has, until submission, the right to apply for such an order and, if the requirements have been met, entitled to an order. On the return day the court has to be satisfied that the applicant has a prima facie case; and that, on a balance of probabilities the applicant is an incola and the respondent a peregrinus and the property sought to be attached is that of the respondent. Whether submission is possible after the grant of the order but before the attachment, was the subject of Jamieson v Sabingo 2002 (4) SA 49 (SCA) para 30 where this Court held that ‘it is not too late for a submission to jurisdiction to be given before the attachment is put into effect.’</w:t>
      </w:r>
    </w:p>
    <w:p w14:paraId="4BCF50CA" w14:textId="79EFA50A" w:rsidR="00181B11" w:rsidRPr="0068290C" w:rsidRDefault="00181B11">
      <w:pPr>
        <w:pStyle w:val="FootnoteText"/>
        <w:rPr>
          <w:rFonts w:eastAsiaTheme="minorEastAsia" w:cstheme="minorHAnsi"/>
          <w:sz w:val="24"/>
          <w:szCs w:val="24"/>
        </w:rPr>
      </w:pPr>
      <w:r>
        <w:t xml:space="preserve">See also </w:t>
      </w:r>
      <w:r w:rsidRPr="0013774C">
        <w:rPr>
          <w:rFonts w:eastAsiaTheme="minorEastAsia" w:cstheme="minorHAnsi"/>
          <w:i/>
          <w:szCs w:val="24"/>
        </w:rPr>
        <w:t>Naylor v Jansen; Jansen v Naylor</w:t>
      </w:r>
      <w:r w:rsidRPr="0013774C">
        <w:rPr>
          <w:rFonts w:eastAsiaTheme="minorEastAsia" w:cstheme="minorHAnsi"/>
          <w:szCs w:val="24"/>
        </w:rPr>
        <w:t xml:space="preserve"> [2005] 4 All SA 26 (SCA) para 27 </w:t>
      </w:r>
      <w:r>
        <w:rPr>
          <w:rFonts w:eastAsiaTheme="minorEastAsia" w:cstheme="minorHAnsi"/>
          <w:szCs w:val="24"/>
        </w:rPr>
        <w:t>and 29;</w:t>
      </w:r>
      <w:r>
        <w:rPr>
          <w:rFonts w:eastAsiaTheme="minorEastAsia" w:cstheme="minorHAnsi"/>
          <w:sz w:val="24"/>
          <w:szCs w:val="24"/>
        </w:rPr>
        <w:t xml:space="preserve"> </w:t>
      </w:r>
      <w:r w:rsidRPr="0013774C">
        <w:rPr>
          <w:rFonts w:cstheme="minorHAnsi"/>
          <w:i/>
        </w:rPr>
        <w:t>Utah International Inc v Honeth</w:t>
      </w:r>
      <w:r w:rsidRPr="0013774C">
        <w:rPr>
          <w:rFonts w:cstheme="minorHAnsi"/>
        </w:rPr>
        <w:t xml:space="preserve"> 1987 (4) SA 145 (W); </w:t>
      </w:r>
      <w:r w:rsidRPr="0013774C">
        <w:rPr>
          <w:rFonts w:cstheme="minorHAnsi"/>
          <w:i/>
        </w:rPr>
        <w:t>Rosenberg v Mbanga (Azaminle Liquor (Pty) Ltd intervening)</w:t>
      </w:r>
      <w:r>
        <w:rPr>
          <w:rFonts w:cstheme="minorHAnsi"/>
        </w:rPr>
        <w:t xml:space="preserve"> 1992 (4) SA 331 (E);</w:t>
      </w:r>
      <w:r w:rsidRPr="0068290C">
        <w:rPr>
          <w:rFonts w:cstheme="minorHAnsi"/>
          <w:i/>
        </w:rPr>
        <w:t xml:space="preserve"> </w:t>
      </w:r>
      <w:r w:rsidRPr="0013774C">
        <w:rPr>
          <w:rFonts w:cstheme="minorHAnsi"/>
          <w:i/>
        </w:rPr>
        <w:t xml:space="preserve">Bocimar NV v Kotor Overseas Shipping Ltd </w:t>
      </w:r>
      <w:r>
        <w:rPr>
          <w:rFonts w:cstheme="minorHAnsi"/>
        </w:rPr>
        <w:t>1994 (2) SA 563 (A);</w:t>
      </w:r>
      <w:r w:rsidRPr="0068290C">
        <w:rPr>
          <w:rFonts w:cstheme="minorHAnsi"/>
          <w:i/>
        </w:rPr>
        <w:t xml:space="preserve"> </w:t>
      </w:r>
      <w:r w:rsidRPr="0013774C">
        <w:rPr>
          <w:rFonts w:cstheme="minorHAnsi"/>
          <w:i/>
        </w:rPr>
        <w:t>Dabelstein</w:t>
      </w:r>
      <w:r>
        <w:rPr>
          <w:rFonts w:cstheme="minorHAnsi"/>
          <w:i/>
        </w:rPr>
        <w:t xml:space="preserve"> and Others</w:t>
      </w:r>
      <w:r w:rsidRPr="0013774C">
        <w:rPr>
          <w:rFonts w:cstheme="minorHAnsi"/>
          <w:i/>
        </w:rPr>
        <w:t xml:space="preserve"> v Lane and Fey NNO </w:t>
      </w:r>
      <w:r w:rsidRPr="0013774C">
        <w:rPr>
          <w:rFonts w:cstheme="minorHAnsi"/>
        </w:rPr>
        <w:t>2001 (1) SA 1222 (SCA) para 7.</w:t>
      </w:r>
    </w:p>
  </w:footnote>
  <w:footnote w:id="8">
    <w:p w14:paraId="4811AEB7" w14:textId="77777777" w:rsidR="00181B11" w:rsidRDefault="00181B11" w:rsidP="0028202E">
      <w:pPr>
        <w:pStyle w:val="FootnoteText"/>
        <w:rPr>
          <w:lang w:val="en-ZA"/>
        </w:rPr>
      </w:pPr>
      <w:r>
        <w:rPr>
          <w:rStyle w:val="FootnoteReference"/>
        </w:rPr>
        <w:footnoteRef/>
      </w:r>
      <w:r>
        <w:t xml:space="preserve"> </w:t>
      </w:r>
      <w:r>
        <w:rPr>
          <w:lang w:val="en-ZA"/>
        </w:rPr>
        <w:t>Index, Notice of Motion, paras 20 – 23, pages 12 – 13.</w:t>
      </w:r>
    </w:p>
    <w:p w14:paraId="69688289" w14:textId="77777777" w:rsidR="00181B11" w:rsidRPr="00203EBD" w:rsidRDefault="00181B11" w:rsidP="0028202E">
      <w:pPr>
        <w:pStyle w:val="FootnoteText"/>
        <w:rPr>
          <w:i/>
          <w:lang w:val="en-ZA"/>
        </w:rPr>
      </w:pPr>
      <w:r w:rsidRPr="00203EBD">
        <w:rPr>
          <w:i/>
          <w:lang w:val="en-ZA"/>
        </w:rPr>
        <w:t>‘20.</w:t>
      </w:r>
      <w:r w:rsidRPr="00203EBD">
        <w:rPr>
          <w:i/>
          <w:lang w:val="en-ZA"/>
        </w:rPr>
        <w:tab/>
        <w:t xml:space="preserve">During or about 2018, while the First Respondent was the owner of the property at 28 High Street, </w:t>
      </w:r>
      <w:r w:rsidRPr="00203EBD">
        <w:rPr>
          <w:i/>
          <w:lang w:val="en-ZA"/>
        </w:rPr>
        <w:tab/>
        <w:t xml:space="preserve">Darling, 7345 (hereinafter “the property”), Mr. Ferreira renovated and improved the property with </w:t>
      </w:r>
      <w:r w:rsidRPr="00203EBD">
        <w:rPr>
          <w:i/>
          <w:lang w:val="en-ZA"/>
        </w:rPr>
        <w:tab/>
        <w:t xml:space="preserve">funds received from the First Applicant. Those funds should have been used to pay the First </w:t>
      </w:r>
      <w:r w:rsidRPr="00203EBD">
        <w:rPr>
          <w:i/>
          <w:lang w:val="en-ZA"/>
        </w:rPr>
        <w:tab/>
        <w:t>Applicant’s creditors but were not.</w:t>
      </w:r>
    </w:p>
    <w:p w14:paraId="58A9082E" w14:textId="70530F53" w:rsidR="00181B11" w:rsidRPr="00203EBD" w:rsidRDefault="00181B11" w:rsidP="0028202E">
      <w:pPr>
        <w:pStyle w:val="FootnoteText"/>
        <w:rPr>
          <w:i/>
          <w:lang w:val="en-ZA"/>
        </w:rPr>
      </w:pPr>
      <w:r w:rsidRPr="00203EBD">
        <w:rPr>
          <w:i/>
          <w:lang w:val="en-ZA"/>
        </w:rPr>
        <w:t xml:space="preserve">21. </w:t>
      </w:r>
      <w:r w:rsidRPr="00203EBD">
        <w:rPr>
          <w:i/>
          <w:lang w:val="en-ZA"/>
        </w:rPr>
        <w:tab/>
        <w:t xml:space="preserve">During the said renovations the First Respondent paid Mr. Ferreira at least R250 000.00 for the </w:t>
      </w:r>
      <w:r w:rsidRPr="00203EBD">
        <w:rPr>
          <w:i/>
          <w:lang w:val="en-ZA"/>
        </w:rPr>
        <w:tab/>
        <w:t xml:space="preserve">renovations, while being aware at all material times of his commercial and factual insolvency, that his </w:t>
      </w:r>
      <w:r w:rsidRPr="00203EBD">
        <w:rPr>
          <w:i/>
          <w:lang w:val="en-ZA"/>
        </w:rPr>
        <w:tab/>
        <w:t xml:space="preserve">estate was under sequestration, that his company was in liquidation, and that he was indebted to </w:t>
      </w:r>
      <w:r w:rsidRPr="00203EBD">
        <w:rPr>
          <w:i/>
          <w:lang w:val="en-ZA"/>
        </w:rPr>
        <w:tab/>
        <w:t>Darling Brewery (Pty) Ltd (the owner of the premises which his company rente</w:t>
      </w:r>
      <w:r>
        <w:rPr>
          <w:i/>
          <w:lang w:val="en-ZA"/>
        </w:rPr>
        <w:t xml:space="preserve">d) for at least </w:t>
      </w:r>
      <w:r>
        <w:rPr>
          <w:i/>
          <w:lang w:val="en-ZA"/>
        </w:rPr>
        <w:tab/>
        <w:t>R1 125 117.49.</w:t>
      </w:r>
    </w:p>
    <w:p w14:paraId="420C9F45" w14:textId="6C824878" w:rsidR="00181B11" w:rsidRPr="00203EBD" w:rsidRDefault="00181B11" w:rsidP="0028202E">
      <w:pPr>
        <w:pStyle w:val="FootnoteText"/>
        <w:rPr>
          <w:i/>
          <w:lang w:val="en-ZA"/>
        </w:rPr>
      </w:pPr>
      <w:r w:rsidRPr="00203EBD">
        <w:rPr>
          <w:i/>
          <w:lang w:val="en-ZA"/>
        </w:rPr>
        <w:t xml:space="preserve">22. </w:t>
      </w:r>
      <w:r w:rsidRPr="00203EBD">
        <w:rPr>
          <w:i/>
          <w:lang w:val="en-ZA"/>
        </w:rPr>
        <w:tab/>
        <w:t xml:space="preserve">First Respondent sold the property at 28 High Street, Darling, 7345 at a substantial profit based on the </w:t>
      </w:r>
      <w:r w:rsidRPr="00203EBD">
        <w:rPr>
          <w:i/>
          <w:lang w:val="en-ZA"/>
        </w:rPr>
        <w:tab/>
        <w:t>renovations effected and used the proceeds to advance a loan of R2 000 000.00 to Mr Ferreir</w:t>
      </w:r>
      <w:r>
        <w:rPr>
          <w:i/>
          <w:lang w:val="en-ZA"/>
        </w:rPr>
        <w:t xml:space="preserve">a’s wife, </w:t>
      </w:r>
      <w:r>
        <w:rPr>
          <w:i/>
          <w:lang w:val="en-ZA"/>
        </w:rPr>
        <w:tab/>
        <w:t xml:space="preserve">Alexandra Ferreira. </w:t>
      </w:r>
    </w:p>
    <w:p w14:paraId="7946F626" w14:textId="77777777" w:rsidR="00181B11" w:rsidRPr="00203EBD" w:rsidRDefault="00181B11" w:rsidP="0028202E">
      <w:pPr>
        <w:pStyle w:val="FootnoteText"/>
        <w:rPr>
          <w:i/>
          <w:lang w:val="en-ZA"/>
        </w:rPr>
      </w:pPr>
      <w:r w:rsidRPr="00203EBD">
        <w:rPr>
          <w:i/>
          <w:lang w:val="en-ZA"/>
        </w:rPr>
        <w:t xml:space="preserve">23. </w:t>
      </w:r>
      <w:r w:rsidRPr="00203EBD">
        <w:rPr>
          <w:i/>
          <w:lang w:val="en-ZA"/>
        </w:rPr>
        <w:tab/>
        <w:t xml:space="preserve">The loan mentioned in paragraph 22 above was a sham transaction, to effectively channel money to </w:t>
      </w:r>
      <w:r w:rsidRPr="00203EBD">
        <w:rPr>
          <w:i/>
          <w:lang w:val="en-ZA"/>
        </w:rPr>
        <w:tab/>
        <w:t xml:space="preserve">Mr. Ferreira and was never intended to be repaid. Those transactions were designed to move funds </w:t>
      </w:r>
      <w:r w:rsidRPr="00203EBD">
        <w:rPr>
          <w:i/>
          <w:lang w:val="en-ZA"/>
        </w:rPr>
        <w:tab/>
        <w:t xml:space="preserve">from Mr. Ferreira and the First Applicant to other family members, such an (sic) the First Respondent </w:t>
      </w:r>
      <w:r w:rsidRPr="00203EBD">
        <w:rPr>
          <w:i/>
          <w:lang w:val="en-ZA"/>
        </w:rPr>
        <w:tab/>
        <w:t>to defraud creditors’</w:t>
      </w:r>
    </w:p>
  </w:footnote>
  <w:footnote w:id="9">
    <w:p w14:paraId="325E1913" w14:textId="77777777" w:rsidR="00181B11" w:rsidRPr="00366140" w:rsidRDefault="00181B11" w:rsidP="0028202E">
      <w:pPr>
        <w:pStyle w:val="FootnoteText"/>
        <w:rPr>
          <w:lang w:val="en-ZA"/>
        </w:rPr>
      </w:pPr>
      <w:r>
        <w:rPr>
          <w:rStyle w:val="FootnoteReference"/>
        </w:rPr>
        <w:footnoteRef/>
      </w:r>
      <w:r>
        <w:t xml:space="preserve"> </w:t>
      </w:r>
      <w:r>
        <w:rPr>
          <w:lang w:val="en-ZA"/>
        </w:rPr>
        <w:t>Index, paras 3 and 4, page 164.</w:t>
      </w:r>
    </w:p>
  </w:footnote>
  <w:footnote w:id="10">
    <w:p w14:paraId="09B584D1" w14:textId="39DF086E" w:rsidR="00181B11" w:rsidRPr="00280DC2" w:rsidRDefault="00181B11">
      <w:pPr>
        <w:pStyle w:val="FootnoteText"/>
        <w:rPr>
          <w:lang w:val="en-ZA"/>
        </w:rPr>
      </w:pPr>
      <w:r>
        <w:rPr>
          <w:rStyle w:val="FootnoteReference"/>
        </w:rPr>
        <w:footnoteRef/>
      </w:r>
      <w:r>
        <w:t xml:space="preserve"> </w:t>
      </w:r>
      <w:r>
        <w:rPr>
          <w:lang w:val="en-ZA"/>
        </w:rPr>
        <w:t>At para 6.</w:t>
      </w:r>
    </w:p>
  </w:footnote>
  <w:footnote w:id="11">
    <w:p w14:paraId="0C1F5FA9" w14:textId="77777777" w:rsidR="00181B11" w:rsidRPr="0013774C" w:rsidRDefault="00181B11" w:rsidP="00280DC2">
      <w:pPr>
        <w:pStyle w:val="FootnoteText"/>
        <w:jc w:val="both"/>
        <w:rPr>
          <w:rFonts w:eastAsiaTheme="minorEastAsia" w:cstheme="minorHAnsi"/>
          <w:sz w:val="24"/>
          <w:szCs w:val="24"/>
        </w:rPr>
      </w:pPr>
      <w:r w:rsidRPr="0013774C">
        <w:rPr>
          <w:rFonts w:eastAsiaTheme="minorEastAsia" w:cstheme="minorHAnsi"/>
          <w:vertAlign w:val="superscript"/>
        </w:rPr>
        <w:footnoteRef/>
      </w:r>
      <w:r w:rsidRPr="0013774C">
        <w:rPr>
          <w:rFonts w:eastAsiaTheme="minorEastAsia" w:cstheme="minorHAnsi"/>
          <w:sz w:val="24"/>
          <w:szCs w:val="24"/>
          <w:vertAlign w:val="superscript"/>
        </w:rPr>
        <w:t xml:space="preserve"> </w:t>
      </w:r>
      <w:r w:rsidRPr="0013774C">
        <w:rPr>
          <w:rFonts w:eastAsiaTheme="minorEastAsia" w:cstheme="minorHAnsi"/>
          <w:i/>
          <w:szCs w:val="24"/>
        </w:rPr>
        <w:t>Thermo Radiant Oven Sales (Pty) Ltd v Nelspruit Bakeries (Pty) Ltd</w:t>
      </w:r>
      <w:r w:rsidRPr="0013774C">
        <w:rPr>
          <w:rFonts w:eastAsiaTheme="minorEastAsia" w:cstheme="minorHAnsi"/>
          <w:szCs w:val="24"/>
        </w:rPr>
        <w:t xml:space="preserve"> 1969 (2) SA 295 (A) 300G-H.</w:t>
      </w:r>
    </w:p>
  </w:footnote>
  <w:footnote w:id="12">
    <w:p w14:paraId="2AA58441" w14:textId="053582D0" w:rsidR="00181B11" w:rsidRPr="0013774C" w:rsidRDefault="00181B11" w:rsidP="00280DC2">
      <w:pPr>
        <w:pStyle w:val="FootnoteText"/>
        <w:jc w:val="both"/>
        <w:rPr>
          <w:rFonts w:eastAsia="Times New Roman" w:cstheme="minorHAnsi"/>
        </w:rPr>
      </w:pPr>
      <w:r w:rsidRPr="0013774C">
        <w:rPr>
          <w:rFonts w:eastAsiaTheme="minorEastAsia" w:cstheme="minorHAnsi"/>
          <w:vertAlign w:val="superscript"/>
        </w:rPr>
        <w:footnoteRef/>
      </w:r>
      <w:r w:rsidRPr="0013774C">
        <w:rPr>
          <w:rFonts w:cstheme="minorHAnsi"/>
          <w:vertAlign w:val="superscript"/>
        </w:rPr>
        <w:t xml:space="preserve"> </w:t>
      </w:r>
      <w:r w:rsidRPr="0013774C">
        <w:rPr>
          <w:rFonts w:cstheme="minorHAnsi"/>
          <w:i/>
        </w:rPr>
        <w:t>Private International Law</w:t>
      </w:r>
      <w:r w:rsidRPr="0013774C">
        <w:rPr>
          <w:rFonts w:cstheme="minorHAnsi"/>
        </w:rPr>
        <w:t xml:space="preserve"> </w:t>
      </w:r>
      <w:r>
        <w:rPr>
          <w:rFonts w:cstheme="minorHAnsi"/>
        </w:rPr>
        <w:t>(</w:t>
      </w:r>
      <w:r w:rsidRPr="0013774C">
        <w:rPr>
          <w:rFonts w:cstheme="minorHAnsi"/>
        </w:rPr>
        <w:t>4 ed</w:t>
      </w:r>
      <w:r>
        <w:rPr>
          <w:rFonts w:cstheme="minorHAnsi"/>
        </w:rPr>
        <w:t>)</w:t>
      </w:r>
      <w:r w:rsidRPr="0013774C">
        <w:rPr>
          <w:rFonts w:cstheme="minorHAnsi"/>
        </w:rPr>
        <w:t xml:space="preserve"> 215 quoted in </w:t>
      </w:r>
      <w:r w:rsidRPr="0013774C">
        <w:rPr>
          <w:rFonts w:cstheme="minorHAnsi"/>
          <w:i/>
        </w:rPr>
        <w:t xml:space="preserve">Hay Management Consultants v P3 Management Consultants </w:t>
      </w:r>
      <w:r w:rsidRPr="0013774C">
        <w:rPr>
          <w:rFonts w:cstheme="minorHAnsi"/>
        </w:rPr>
        <w:t>2005 (2) SA 522 (SCA) para 17.</w:t>
      </w:r>
    </w:p>
  </w:footnote>
  <w:footnote w:id="13">
    <w:p w14:paraId="2ACF6B62" w14:textId="77777777" w:rsidR="00181B11" w:rsidRPr="0013774C" w:rsidRDefault="00181B11" w:rsidP="00280DC2">
      <w:pPr>
        <w:pStyle w:val="FootnoteText"/>
        <w:jc w:val="both"/>
        <w:rPr>
          <w:rFonts w:cstheme="minorHAnsi"/>
        </w:rPr>
      </w:pPr>
      <w:r w:rsidRPr="0013774C">
        <w:rPr>
          <w:rFonts w:eastAsiaTheme="minorEastAsia" w:cstheme="minorHAnsi"/>
          <w:vertAlign w:val="superscript"/>
        </w:rPr>
        <w:footnoteRef/>
      </w:r>
      <w:r w:rsidRPr="0013774C">
        <w:rPr>
          <w:rFonts w:cstheme="minorHAnsi"/>
        </w:rPr>
        <w:t xml:space="preserve"> </w:t>
      </w:r>
      <w:r w:rsidRPr="0013774C">
        <w:rPr>
          <w:rFonts w:cstheme="minorHAnsi"/>
          <w:i/>
        </w:rPr>
        <w:t>Ewing McDonald &amp; Co Ltd v M &amp; M Products Co</w:t>
      </w:r>
      <w:r w:rsidRPr="0013774C">
        <w:rPr>
          <w:rFonts w:cstheme="minorHAnsi"/>
        </w:rPr>
        <w:t xml:space="preserve"> 1991 (1) SA 252 (A) 260B.</w:t>
      </w:r>
    </w:p>
  </w:footnote>
  <w:footnote w:id="14">
    <w:p w14:paraId="72576A29" w14:textId="37C0B769" w:rsidR="00181B11" w:rsidRPr="0013774C" w:rsidRDefault="00181B11" w:rsidP="00280DC2">
      <w:pPr>
        <w:pStyle w:val="FootnoteText"/>
        <w:jc w:val="both"/>
        <w:rPr>
          <w:rFonts w:cstheme="minorHAnsi"/>
        </w:rPr>
      </w:pPr>
      <w:r w:rsidRPr="0013774C">
        <w:rPr>
          <w:rFonts w:eastAsiaTheme="minorEastAsia" w:cstheme="minorHAnsi"/>
          <w:vertAlign w:val="superscript"/>
        </w:rPr>
        <w:footnoteRef/>
      </w:r>
      <w:r w:rsidRPr="0013774C">
        <w:rPr>
          <w:rFonts w:cstheme="minorHAnsi"/>
        </w:rPr>
        <w:t xml:space="preserve"> </w:t>
      </w:r>
      <w:r w:rsidRPr="0013774C">
        <w:rPr>
          <w:rFonts w:cstheme="minorHAnsi"/>
          <w:i/>
        </w:rPr>
        <w:t xml:space="preserve">Hay Management Consultants v P3 Management Consultants </w:t>
      </w:r>
      <w:r w:rsidRPr="0013774C">
        <w:rPr>
          <w:rFonts w:cstheme="minorHAnsi"/>
        </w:rPr>
        <w:t xml:space="preserve">2005 (2) SA 522 (SCA) para 24; </w:t>
      </w:r>
      <w:r w:rsidRPr="0013774C">
        <w:rPr>
          <w:rFonts w:cstheme="minorHAnsi"/>
          <w:i/>
        </w:rPr>
        <w:t>American Flag plc v Great African T-Shirt Corporation CC</w:t>
      </w:r>
      <w:r w:rsidRPr="0013774C">
        <w:rPr>
          <w:rFonts w:cstheme="minorHAnsi"/>
        </w:rPr>
        <w:t xml:space="preserve"> 2000</w:t>
      </w:r>
      <w:r>
        <w:rPr>
          <w:rFonts w:cstheme="minorHAnsi"/>
        </w:rPr>
        <w:t xml:space="preserve"> </w:t>
      </w:r>
      <w:r w:rsidRPr="0013774C">
        <w:rPr>
          <w:rFonts w:cstheme="minorHAnsi"/>
        </w:rPr>
        <w:t>(1) SA 356 (W) 377F.</w:t>
      </w:r>
    </w:p>
  </w:footnote>
  <w:footnote w:id="15">
    <w:p w14:paraId="1E90A5C0" w14:textId="77777777" w:rsidR="00181B11" w:rsidRPr="0013774C" w:rsidRDefault="00181B11" w:rsidP="00280DC2">
      <w:pPr>
        <w:pStyle w:val="FootnoteText"/>
        <w:rPr>
          <w:rFonts w:cstheme="minorHAnsi"/>
        </w:rPr>
      </w:pPr>
      <w:r w:rsidRPr="0013774C">
        <w:rPr>
          <w:rFonts w:eastAsiaTheme="minorEastAsia" w:cstheme="minorHAnsi"/>
          <w:vertAlign w:val="superscript"/>
        </w:rPr>
        <w:footnoteRef/>
      </w:r>
      <w:r w:rsidRPr="0013774C">
        <w:rPr>
          <w:rFonts w:cstheme="minorHAnsi"/>
        </w:rPr>
        <w:t xml:space="preserve"> </w:t>
      </w:r>
      <w:r w:rsidRPr="0013774C">
        <w:rPr>
          <w:rFonts w:cstheme="minorHAnsi"/>
          <w:i/>
        </w:rPr>
        <w:t xml:space="preserve">Veneta Mineraria Spa v Carolina Collieries (Pty) Ltd (in liquidation) </w:t>
      </w:r>
      <w:r w:rsidRPr="0013774C">
        <w:rPr>
          <w:rFonts w:cstheme="minorHAnsi"/>
        </w:rPr>
        <w:t xml:space="preserve">1987 (4) SA 883 (A) 893; </w:t>
      </w:r>
      <w:r w:rsidRPr="0013774C">
        <w:rPr>
          <w:rFonts w:cstheme="minorHAnsi"/>
          <w:i/>
        </w:rPr>
        <w:t xml:space="preserve">Hay Management Consultants v P3 Management Consultants </w:t>
      </w:r>
      <w:r w:rsidRPr="0013774C">
        <w:rPr>
          <w:rFonts w:cstheme="minorHAnsi"/>
        </w:rPr>
        <w:t>2005 (2) SA 522 (SCA) para 21.</w:t>
      </w:r>
    </w:p>
  </w:footnote>
  <w:footnote w:id="16">
    <w:p w14:paraId="2E337E28" w14:textId="77777777" w:rsidR="00181B11" w:rsidRPr="0013774C" w:rsidRDefault="00181B11" w:rsidP="00280DC2">
      <w:pPr>
        <w:pStyle w:val="FootnoteText"/>
        <w:rPr>
          <w:rFonts w:cstheme="minorHAnsi"/>
        </w:rPr>
      </w:pPr>
      <w:r w:rsidRPr="0013774C">
        <w:rPr>
          <w:rFonts w:eastAsiaTheme="minorEastAsia" w:cstheme="minorHAnsi"/>
          <w:vertAlign w:val="superscript"/>
        </w:rPr>
        <w:footnoteRef/>
      </w:r>
      <w:r w:rsidRPr="0013774C">
        <w:rPr>
          <w:rFonts w:cstheme="minorHAnsi"/>
        </w:rPr>
        <w:t xml:space="preserve"> </w:t>
      </w:r>
      <w:r w:rsidRPr="0013774C">
        <w:rPr>
          <w:rFonts w:cstheme="minorHAnsi"/>
          <w:i/>
        </w:rPr>
        <w:t xml:space="preserve">Hay Management Consultants v P3 Management Consultants </w:t>
      </w:r>
      <w:r w:rsidRPr="0013774C">
        <w:rPr>
          <w:rFonts w:cstheme="minorHAnsi"/>
        </w:rPr>
        <w:t>2005 (2) SA 522 (SCA) para 17.</w:t>
      </w:r>
    </w:p>
  </w:footnote>
  <w:footnote w:id="17">
    <w:p w14:paraId="087BA258" w14:textId="77777777" w:rsidR="00181B11" w:rsidRPr="0013774C" w:rsidRDefault="00181B11" w:rsidP="00280DC2">
      <w:pPr>
        <w:pStyle w:val="FootnoteText"/>
        <w:rPr>
          <w:rFonts w:eastAsiaTheme="minorEastAsia" w:cstheme="minorHAnsi"/>
          <w:sz w:val="24"/>
          <w:szCs w:val="24"/>
        </w:rPr>
      </w:pPr>
      <w:r w:rsidRPr="0013774C">
        <w:rPr>
          <w:rFonts w:eastAsiaTheme="minorEastAsia" w:cstheme="minorHAnsi"/>
          <w:vertAlign w:val="superscript"/>
        </w:rPr>
        <w:footnoteRef/>
      </w:r>
      <w:r w:rsidRPr="0013774C">
        <w:rPr>
          <w:rFonts w:eastAsiaTheme="minorEastAsia" w:cstheme="minorHAnsi"/>
          <w:sz w:val="24"/>
          <w:szCs w:val="24"/>
        </w:rPr>
        <w:t xml:space="preserve"> </w:t>
      </w:r>
      <w:r w:rsidRPr="0013774C">
        <w:rPr>
          <w:rFonts w:eastAsiaTheme="minorEastAsia" w:cstheme="minorHAnsi"/>
          <w:i/>
          <w:szCs w:val="24"/>
        </w:rPr>
        <w:t>Elscint (Pty) Ltd v Mobile Medical Scanners</w:t>
      </w:r>
      <w:r w:rsidRPr="0013774C">
        <w:rPr>
          <w:rFonts w:eastAsiaTheme="minorEastAsia" w:cstheme="minorHAnsi"/>
          <w:szCs w:val="24"/>
        </w:rPr>
        <w:t xml:space="preserve"> 1986 (4) SA 552 (W) 558B.</w:t>
      </w:r>
    </w:p>
  </w:footnote>
  <w:footnote w:id="18">
    <w:p w14:paraId="0A0FCD55" w14:textId="77777777" w:rsidR="00181B11" w:rsidRPr="0013774C" w:rsidRDefault="00181B11" w:rsidP="00280DC2">
      <w:pPr>
        <w:pStyle w:val="FootnoteText"/>
        <w:rPr>
          <w:rFonts w:eastAsiaTheme="minorEastAsia" w:cstheme="minorHAnsi"/>
          <w:sz w:val="24"/>
          <w:szCs w:val="24"/>
        </w:rPr>
      </w:pPr>
      <w:r w:rsidRPr="0013774C">
        <w:rPr>
          <w:rFonts w:eastAsiaTheme="minorEastAsia" w:cstheme="minorHAnsi"/>
          <w:vertAlign w:val="superscript"/>
        </w:rPr>
        <w:footnoteRef/>
      </w:r>
      <w:r w:rsidRPr="0013774C">
        <w:rPr>
          <w:rFonts w:eastAsiaTheme="minorEastAsia" w:cstheme="minorHAnsi"/>
          <w:sz w:val="24"/>
          <w:szCs w:val="24"/>
          <w:vertAlign w:val="superscript"/>
        </w:rPr>
        <w:t xml:space="preserve"> </w:t>
      </w:r>
      <w:r w:rsidRPr="0013774C">
        <w:rPr>
          <w:rFonts w:eastAsiaTheme="minorEastAsia" w:cstheme="minorHAnsi"/>
          <w:i/>
          <w:szCs w:val="24"/>
        </w:rPr>
        <w:t>Jamieson v Sabingo</w:t>
      </w:r>
      <w:r w:rsidRPr="0013774C">
        <w:rPr>
          <w:rFonts w:eastAsiaTheme="minorEastAsia" w:cstheme="minorHAnsi"/>
          <w:szCs w:val="24"/>
        </w:rPr>
        <w:t xml:space="preserve"> 2002 (4) SA 49 (SCA) para 23-24.</w:t>
      </w:r>
    </w:p>
  </w:footnote>
  <w:footnote w:id="19">
    <w:p w14:paraId="1B44F4AC" w14:textId="77777777" w:rsidR="00181B11" w:rsidRPr="0013774C" w:rsidRDefault="00181B11" w:rsidP="00280DC2">
      <w:pPr>
        <w:pStyle w:val="FootnoteText"/>
        <w:rPr>
          <w:rFonts w:eastAsia="Times New Roman" w:cstheme="minorHAnsi"/>
        </w:rPr>
      </w:pPr>
      <w:r w:rsidRPr="0013774C">
        <w:rPr>
          <w:rFonts w:eastAsiaTheme="minorEastAsia" w:cstheme="minorHAnsi"/>
          <w:vertAlign w:val="superscript"/>
        </w:rPr>
        <w:footnoteRef/>
      </w:r>
      <w:r w:rsidRPr="0013774C">
        <w:rPr>
          <w:rFonts w:cstheme="minorHAnsi"/>
          <w:vertAlign w:val="superscript"/>
        </w:rPr>
        <w:t xml:space="preserve"> </w:t>
      </w:r>
      <w:r w:rsidRPr="0013774C">
        <w:rPr>
          <w:rFonts w:cstheme="minorHAnsi"/>
          <w:i/>
        </w:rPr>
        <w:t>Naylor v Jansen; Jansen v Naylor</w:t>
      </w:r>
      <w:r w:rsidRPr="0013774C">
        <w:rPr>
          <w:rFonts w:cstheme="minorHAnsi"/>
        </w:rPr>
        <w:t xml:space="preserve"> [2005] 4 All SA 26 (SCA) para 26.</w:t>
      </w:r>
    </w:p>
  </w:footnote>
  <w:footnote w:id="20">
    <w:p w14:paraId="40BA27CC" w14:textId="77777777" w:rsidR="00181B11" w:rsidRPr="00DF71DD" w:rsidRDefault="00181B11" w:rsidP="00280DC2">
      <w:pPr>
        <w:pStyle w:val="FootnoteText"/>
        <w:rPr>
          <w:lang w:val="en-ZA"/>
        </w:rPr>
      </w:pPr>
      <w:r>
        <w:rPr>
          <w:rStyle w:val="FootnoteReference"/>
        </w:rPr>
        <w:footnoteRef/>
      </w:r>
      <w:r>
        <w:t xml:space="preserve"> </w:t>
      </w:r>
      <w:r w:rsidRPr="00DF71DD">
        <w:rPr>
          <w:rFonts w:cstheme="minorHAnsi"/>
        </w:rPr>
        <w:t>1994 (2) SA 513 (T</w:t>
      </w:r>
      <w:r w:rsidRPr="00037FC6">
        <w:rPr>
          <w:rFonts w:cstheme="minorHAnsi"/>
        </w:rPr>
        <w:t>) at 517C-E</w:t>
      </w:r>
      <w:r>
        <w:rPr>
          <w:rFonts w:ascii="Arial" w:hAnsi="Arial" w:cs="Arial"/>
          <w:sz w:val="24"/>
          <w:szCs w:val="24"/>
        </w:rPr>
        <w:t>.</w:t>
      </w:r>
    </w:p>
  </w:footnote>
  <w:footnote w:id="21">
    <w:p w14:paraId="3E832759" w14:textId="77777777" w:rsidR="00181B11" w:rsidRPr="0013774C" w:rsidRDefault="00181B11" w:rsidP="004410A7">
      <w:pPr>
        <w:pStyle w:val="FootnoteText"/>
        <w:rPr>
          <w:rFonts w:cstheme="minorHAnsi"/>
          <w:lang w:val="en-ZA"/>
        </w:rPr>
      </w:pPr>
      <w:r w:rsidRPr="0013774C">
        <w:rPr>
          <w:rStyle w:val="FootnoteReference"/>
          <w:rFonts w:cstheme="minorHAnsi"/>
        </w:rPr>
        <w:footnoteRef/>
      </w:r>
      <w:r w:rsidRPr="0013774C">
        <w:rPr>
          <w:rFonts w:cstheme="minorHAnsi"/>
        </w:rPr>
        <w:t xml:space="preserve"> </w:t>
      </w:r>
      <w:r w:rsidRPr="0013774C">
        <w:rPr>
          <w:rFonts w:cstheme="minorHAnsi"/>
          <w:lang w:val="en-ZA"/>
        </w:rPr>
        <w:t>See</w:t>
      </w:r>
      <w:r>
        <w:rPr>
          <w:rFonts w:cstheme="minorHAnsi"/>
          <w:lang w:val="en-ZA"/>
        </w:rPr>
        <w:t xml:space="preserve"> reference in</w:t>
      </w:r>
      <w:r w:rsidRPr="0013774C">
        <w:rPr>
          <w:rFonts w:cstheme="minorHAnsi"/>
          <w:lang w:val="en-ZA"/>
        </w:rPr>
        <w:t xml:space="preserve"> </w:t>
      </w:r>
      <w:r w:rsidRPr="0013774C">
        <w:rPr>
          <w:rFonts w:cstheme="minorHAnsi"/>
          <w:i/>
          <w:lang w:val="en-ZA"/>
        </w:rPr>
        <w:t>Tsung and Another v Industrial Development Corporation of South Africa Ltd and Another</w:t>
      </w:r>
      <w:r>
        <w:rPr>
          <w:rFonts w:cstheme="minorHAnsi"/>
          <w:lang w:val="en-ZA"/>
        </w:rPr>
        <w:t xml:space="preserve"> </w:t>
      </w:r>
      <w:r w:rsidRPr="0013774C">
        <w:rPr>
          <w:rFonts w:cstheme="minorHAnsi"/>
          <w:i/>
          <w:lang w:val="en-ZA"/>
        </w:rPr>
        <w:t>(supra)</w:t>
      </w:r>
      <w:r>
        <w:rPr>
          <w:rFonts w:cstheme="minorHAnsi"/>
          <w:lang w:val="en-ZA"/>
        </w:rPr>
        <w:t xml:space="preserve"> at para 9.</w:t>
      </w:r>
    </w:p>
  </w:footnote>
  <w:footnote w:id="22">
    <w:p w14:paraId="1795008F" w14:textId="77777777" w:rsidR="00181B11" w:rsidRPr="000F31A6" w:rsidRDefault="00181B11" w:rsidP="000F31A6">
      <w:pPr>
        <w:pStyle w:val="FootnoteText"/>
        <w:rPr>
          <w:rFonts w:cstheme="minorHAnsi"/>
          <w:lang w:val="en-ZA"/>
        </w:rPr>
      </w:pPr>
      <w:r>
        <w:rPr>
          <w:rStyle w:val="FootnoteReference"/>
        </w:rPr>
        <w:footnoteRef/>
      </w:r>
      <w:r>
        <w:t xml:space="preserve"> </w:t>
      </w:r>
      <w:r w:rsidRPr="000F31A6">
        <w:rPr>
          <w:rFonts w:cstheme="minorHAnsi"/>
        </w:rPr>
        <w:t>Act 68 of 1969.</w:t>
      </w:r>
    </w:p>
  </w:footnote>
  <w:footnote w:id="23">
    <w:p w14:paraId="4A4337E7" w14:textId="77777777" w:rsidR="00181B11" w:rsidRPr="000F31A6" w:rsidRDefault="00181B11" w:rsidP="000F31A6">
      <w:pPr>
        <w:pStyle w:val="lg-section"/>
        <w:spacing w:before="0"/>
        <w:ind w:left="-432"/>
        <w:rPr>
          <w:rFonts w:asciiTheme="minorHAnsi" w:hAnsiTheme="minorHAnsi" w:cstheme="minorHAnsi"/>
          <w:sz w:val="20"/>
          <w:szCs w:val="20"/>
        </w:rPr>
      </w:pPr>
      <w:r w:rsidRPr="000F31A6">
        <w:rPr>
          <w:rStyle w:val="FootnoteReference"/>
          <w:rFonts w:asciiTheme="minorHAnsi" w:hAnsiTheme="minorHAnsi" w:cstheme="minorHAnsi"/>
          <w:sz w:val="20"/>
          <w:szCs w:val="20"/>
        </w:rPr>
        <w:footnoteRef/>
      </w:r>
      <w:r w:rsidRPr="000F31A6">
        <w:rPr>
          <w:rFonts w:asciiTheme="minorHAnsi" w:hAnsiTheme="minorHAnsi" w:cstheme="minorHAnsi"/>
          <w:sz w:val="20"/>
          <w:szCs w:val="20"/>
        </w:rPr>
        <w:t xml:space="preserve"> </w:t>
      </w:r>
      <w:r w:rsidRPr="000F31A6">
        <w:rPr>
          <w:rFonts w:asciiTheme="minorHAnsi" w:hAnsiTheme="minorHAnsi" w:cstheme="minorHAnsi"/>
          <w:b/>
          <w:bCs/>
          <w:sz w:val="20"/>
          <w:szCs w:val="20"/>
        </w:rPr>
        <w:t>13.   Completion of prescription delayed in certain circumstances.</w:t>
      </w:r>
      <w:r w:rsidRPr="000F31A6">
        <w:rPr>
          <w:rFonts w:asciiTheme="minorHAnsi" w:hAnsiTheme="minorHAnsi" w:cstheme="minorHAnsi"/>
          <w:sz w:val="20"/>
          <w:szCs w:val="20"/>
        </w:rPr>
        <w:t xml:space="preserve"> — (1) If—</w:t>
      </w:r>
    </w:p>
    <w:p w14:paraId="0FC47D7A" w14:textId="77777777" w:rsidR="00181B11" w:rsidRPr="000F31A6" w:rsidRDefault="00181B11" w:rsidP="000F31A6">
      <w:pPr>
        <w:pStyle w:val="lg-a-1"/>
        <w:spacing w:before="0"/>
        <w:ind w:left="0" w:hanging="681"/>
        <w:rPr>
          <w:rFonts w:asciiTheme="minorHAnsi" w:hAnsiTheme="minorHAnsi" w:cstheme="minorHAnsi"/>
          <w:sz w:val="20"/>
          <w:szCs w:val="20"/>
        </w:rPr>
      </w:pPr>
      <w:r w:rsidRPr="000F31A6">
        <w:rPr>
          <w:rFonts w:asciiTheme="minorHAnsi" w:hAnsiTheme="minorHAnsi" w:cstheme="minorHAnsi"/>
          <w:sz w:val="20"/>
          <w:szCs w:val="20"/>
        </w:rPr>
        <w:tab/>
        <w:t>(</w:t>
      </w:r>
      <w:r w:rsidRPr="000F31A6">
        <w:rPr>
          <w:rFonts w:asciiTheme="minorHAnsi" w:hAnsiTheme="minorHAnsi" w:cstheme="minorHAnsi"/>
          <w:i/>
          <w:iCs/>
          <w:sz w:val="20"/>
          <w:szCs w:val="20"/>
        </w:rPr>
        <w:t>a</w:t>
      </w:r>
      <w:r w:rsidRPr="000F31A6">
        <w:rPr>
          <w:rFonts w:asciiTheme="minorHAnsi" w:hAnsiTheme="minorHAnsi" w:cstheme="minorHAnsi"/>
          <w:sz w:val="20"/>
          <w:szCs w:val="20"/>
        </w:rPr>
        <w:t>)</w:t>
      </w:r>
    </w:p>
    <w:p w14:paraId="000E5BA9" w14:textId="77777777" w:rsidR="00181B11" w:rsidRPr="000F31A6" w:rsidRDefault="00181B11" w:rsidP="000F31A6">
      <w:pPr>
        <w:pStyle w:val="lg-a-1"/>
        <w:spacing w:before="0"/>
        <w:ind w:left="720" w:firstLine="0"/>
        <w:rPr>
          <w:rFonts w:asciiTheme="minorHAnsi" w:hAnsiTheme="minorHAnsi" w:cstheme="minorHAnsi"/>
          <w:sz w:val="20"/>
          <w:szCs w:val="20"/>
        </w:rPr>
      </w:pPr>
      <w:r w:rsidRPr="000F31A6">
        <w:rPr>
          <w:rFonts w:asciiTheme="minorHAnsi" w:hAnsiTheme="minorHAnsi" w:cstheme="minorHAnsi"/>
          <w:sz w:val="20"/>
          <w:szCs w:val="20"/>
        </w:rPr>
        <w:t xml:space="preserve">… </w:t>
      </w:r>
    </w:p>
    <w:p w14:paraId="41DF078F" w14:textId="77777777" w:rsidR="00181B11" w:rsidRPr="000F31A6" w:rsidRDefault="00181B11" w:rsidP="000F31A6">
      <w:pPr>
        <w:pStyle w:val="lg-a-1"/>
        <w:spacing w:before="0"/>
        <w:ind w:left="720" w:hanging="681"/>
        <w:rPr>
          <w:rFonts w:asciiTheme="minorHAnsi" w:hAnsiTheme="minorHAnsi" w:cstheme="minorHAnsi"/>
          <w:sz w:val="20"/>
          <w:szCs w:val="20"/>
        </w:rPr>
      </w:pPr>
      <w:r w:rsidRPr="000F31A6">
        <w:rPr>
          <w:rFonts w:asciiTheme="minorHAnsi" w:hAnsiTheme="minorHAnsi" w:cstheme="minorHAnsi"/>
          <w:sz w:val="20"/>
          <w:szCs w:val="20"/>
        </w:rPr>
        <w:t>(</w:t>
      </w:r>
      <w:r w:rsidRPr="000F31A6">
        <w:rPr>
          <w:rFonts w:asciiTheme="minorHAnsi" w:hAnsiTheme="minorHAnsi" w:cstheme="minorHAnsi"/>
          <w:i/>
          <w:iCs/>
          <w:sz w:val="20"/>
          <w:szCs w:val="20"/>
        </w:rPr>
        <w:t>b</w:t>
      </w:r>
      <w:r w:rsidRPr="000F31A6">
        <w:rPr>
          <w:rFonts w:asciiTheme="minorHAnsi" w:hAnsiTheme="minorHAnsi" w:cstheme="minorHAnsi"/>
          <w:sz w:val="20"/>
          <w:szCs w:val="20"/>
        </w:rPr>
        <w:t>)</w:t>
      </w:r>
    </w:p>
    <w:p w14:paraId="2431D663" w14:textId="77777777" w:rsidR="00181B11" w:rsidRPr="000F31A6" w:rsidRDefault="00181B11" w:rsidP="000F31A6">
      <w:pPr>
        <w:pStyle w:val="lg-a-1"/>
        <w:spacing w:before="0"/>
        <w:ind w:left="720" w:firstLine="0"/>
        <w:rPr>
          <w:rFonts w:asciiTheme="minorHAnsi" w:hAnsiTheme="minorHAnsi" w:cstheme="minorHAnsi"/>
          <w:sz w:val="20"/>
          <w:szCs w:val="20"/>
        </w:rPr>
      </w:pPr>
      <w:r w:rsidRPr="000F31A6">
        <w:rPr>
          <w:rFonts w:asciiTheme="minorHAnsi" w:hAnsiTheme="minorHAnsi" w:cstheme="minorHAnsi"/>
          <w:sz w:val="20"/>
          <w:szCs w:val="20"/>
        </w:rPr>
        <w:t>the debtor is outside the Republic;</w:t>
      </w:r>
    </w:p>
    <w:p w14:paraId="26FA687C" w14:textId="77777777" w:rsidR="00181B11" w:rsidRPr="000F31A6" w:rsidRDefault="00181B11" w:rsidP="000F31A6">
      <w:pPr>
        <w:pStyle w:val="lg-a-1"/>
        <w:spacing w:before="0"/>
        <w:ind w:left="720" w:firstLine="0"/>
        <w:rPr>
          <w:rFonts w:asciiTheme="minorHAnsi" w:hAnsiTheme="minorHAnsi" w:cstheme="minorHAnsi"/>
          <w:sz w:val="20"/>
          <w:szCs w:val="20"/>
        </w:rPr>
      </w:pPr>
      <w:r w:rsidRPr="000F31A6">
        <w:rPr>
          <w:rFonts w:asciiTheme="minorHAnsi" w:hAnsiTheme="minorHAnsi" w:cstheme="minorHAnsi"/>
          <w:sz w:val="20"/>
          <w:szCs w:val="20"/>
        </w:rPr>
        <w:t>…</w:t>
      </w:r>
    </w:p>
    <w:p w14:paraId="6F8732B0" w14:textId="77777777" w:rsidR="00181B11" w:rsidRPr="000F31A6" w:rsidRDefault="00181B11" w:rsidP="000F31A6">
      <w:pPr>
        <w:pStyle w:val="lg-a-1"/>
        <w:numPr>
          <w:ilvl w:val="0"/>
          <w:numId w:val="21"/>
        </w:numPr>
        <w:spacing w:before="0"/>
        <w:ind w:left="720"/>
        <w:rPr>
          <w:rFonts w:asciiTheme="minorHAnsi" w:hAnsiTheme="minorHAnsi" w:cstheme="minorHAnsi"/>
          <w:sz w:val="20"/>
          <w:szCs w:val="20"/>
        </w:rPr>
      </w:pPr>
      <w:r w:rsidRPr="000F31A6">
        <w:rPr>
          <w:rFonts w:asciiTheme="minorHAnsi" w:hAnsiTheme="minorHAnsi" w:cstheme="minorHAnsi"/>
          <w:sz w:val="20"/>
          <w:szCs w:val="20"/>
        </w:rPr>
        <w:t>the relevant period of prescription would, but for the provisions of this subsection, be completed before or on, or within one year after, the day on which the relevant impediment referred to in paragraph (</w:t>
      </w:r>
      <w:r w:rsidRPr="000F31A6">
        <w:rPr>
          <w:rFonts w:asciiTheme="minorHAnsi" w:hAnsiTheme="minorHAnsi" w:cstheme="minorHAnsi"/>
          <w:i/>
          <w:iCs/>
          <w:sz w:val="20"/>
          <w:szCs w:val="20"/>
        </w:rPr>
        <w:t>a</w:t>
      </w:r>
      <w:r w:rsidRPr="000F31A6">
        <w:rPr>
          <w:rFonts w:asciiTheme="minorHAnsi" w:hAnsiTheme="minorHAnsi" w:cstheme="minorHAnsi"/>
          <w:sz w:val="20"/>
          <w:szCs w:val="20"/>
        </w:rPr>
        <w:t>), (</w:t>
      </w:r>
      <w:r w:rsidRPr="000F31A6">
        <w:rPr>
          <w:rFonts w:asciiTheme="minorHAnsi" w:hAnsiTheme="minorHAnsi" w:cstheme="minorHAnsi"/>
          <w:i/>
          <w:iCs/>
          <w:sz w:val="20"/>
          <w:szCs w:val="20"/>
        </w:rPr>
        <w:t>b</w:t>
      </w:r>
      <w:r w:rsidRPr="000F31A6">
        <w:rPr>
          <w:rFonts w:asciiTheme="minorHAnsi" w:hAnsiTheme="minorHAnsi" w:cstheme="minorHAnsi"/>
          <w:sz w:val="20"/>
          <w:szCs w:val="20"/>
        </w:rPr>
        <w:t>), (</w:t>
      </w:r>
      <w:r w:rsidRPr="000F31A6">
        <w:rPr>
          <w:rFonts w:asciiTheme="minorHAnsi" w:hAnsiTheme="minorHAnsi" w:cstheme="minorHAnsi"/>
          <w:i/>
          <w:iCs/>
          <w:sz w:val="20"/>
          <w:szCs w:val="20"/>
        </w:rPr>
        <w:t>c</w:t>
      </w:r>
      <w:r w:rsidRPr="000F31A6">
        <w:rPr>
          <w:rFonts w:asciiTheme="minorHAnsi" w:hAnsiTheme="minorHAnsi" w:cstheme="minorHAnsi"/>
          <w:sz w:val="20"/>
          <w:szCs w:val="20"/>
        </w:rPr>
        <w:t>), (</w:t>
      </w:r>
      <w:r w:rsidRPr="000F31A6">
        <w:rPr>
          <w:rFonts w:asciiTheme="minorHAnsi" w:hAnsiTheme="minorHAnsi" w:cstheme="minorHAnsi"/>
          <w:i/>
          <w:iCs/>
          <w:sz w:val="20"/>
          <w:szCs w:val="20"/>
        </w:rPr>
        <w:t>d</w:t>
      </w:r>
      <w:r w:rsidRPr="000F31A6">
        <w:rPr>
          <w:rFonts w:asciiTheme="minorHAnsi" w:hAnsiTheme="minorHAnsi" w:cstheme="minorHAnsi"/>
          <w:sz w:val="20"/>
          <w:szCs w:val="20"/>
        </w:rPr>
        <w:t>), (</w:t>
      </w:r>
      <w:r w:rsidRPr="000F31A6">
        <w:rPr>
          <w:rFonts w:asciiTheme="minorHAnsi" w:hAnsiTheme="minorHAnsi" w:cstheme="minorHAnsi"/>
          <w:i/>
          <w:iCs/>
          <w:sz w:val="20"/>
          <w:szCs w:val="20"/>
        </w:rPr>
        <w:t>e</w:t>
      </w:r>
      <w:r w:rsidRPr="000F31A6">
        <w:rPr>
          <w:rFonts w:asciiTheme="minorHAnsi" w:hAnsiTheme="minorHAnsi" w:cstheme="minorHAnsi"/>
          <w:sz w:val="20"/>
          <w:szCs w:val="20"/>
        </w:rPr>
        <w:t>), (</w:t>
      </w:r>
      <w:r w:rsidRPr="000F31A6">
        <w:rPr>
          <w:rFonts w:asciiTheme="minorHAnsi" w:hAnsiTheme="minorHAnsi" w:cstheme="minorHAnsi"/>
          <w:i/>
          <w:iCs/>
          <w:sz w:val="20"/>
          <w:szCs w:val="20"/>
        </w:rPr>
        <w:t> f </w:t>
      </w:r>
      <w:r w:rsidRPr="000F31A6">
        <w:rPr>
          <w:rFonts w:asciiTheme="minorHAnsi" w:hAnsiTheme="minorHAnsi" w:cstheme="minorHAnsi"/>
          <w:sz w:val="20"/>
          <w:szCs w:val="20"/>
        </w:rPr>
        <w:t>), (</w:t>
      </w:r>
      <w:r w:rsidRPr="000F31A6">
        <w:rPr>
          <w:rFonts w:asciiTheme="minorHAnsi" w:hAnsiTheme="minorHAnsi" w:cstheme="minorHAnsi"/>
          <w:i/>
          <w:iCs/>
          <w:sz w:val="20"/>
          <w:szCs w:val="20"/>
        </w:rPr>
        <w:t>g</w:t>
      </w:r>
      <w:r w:rsidRPr="000F31A6">
        <w:rPr>
          <w:rFonts w:asciiTheme="minorHAnsi" w:hAnsiTheme="minorHAnsi" w:cstheme="minorHAnsi"/>
          <w:sz w:val="20"/>
          <w:szCs w:val="20"/>
        </w:rPr>
        <w:t>) or (</w:t>
      </w:r>
      <w:r w:rsidRPr="000F31A6">
        <w:rPr>
          <w:rFonts w:asciiTheme="minorHAnsi" w:hAnsiTheme="minorHAnsi" w:cstheme="minorHAnsi"/>
          <w:i/>
          <w:iCs/>
          <w:sz w:val="20"/>
          <w:szCs w:val="20"/>
        </w:rPr>
        <w:t>h</w:t>
      </w:r>
      <w:r w:rsidRPr="000F31A6">
        <w:rPr>
          <w:rFonts w:asciiTheme="minorHAnsi" w:hAnsiTheme="minorHAnsi" w:cstheme="minorHAnsi"/>
          <w:sz w:val="20"/>
          <w:szCs w:val="20"/>
        </w:rPr>
        <w:t>) has ceased to exist,</w:t>
      </w:r>
    </w:p>
    <w:p w14:paraId="4F1FDA6B" w14:textId="16C66586" w:rsidR="00181B11" w:rsidRPr="00195166" w:rsidRDefault="00181B11" w:rsidP="00195166">
      <w:pPr>
        <w:pStyle w:val="normal-text"/>
        <w:spacing w:before="0"/>
        <w:ind w:left="720"/>
        <w:rPr>
          <w:rFonts w:asciiTheme="minorHAnsi" w:hAnsiTheme="minorHAnsi" w:cstheme="minorHAnsi"/>
          <w:sz w:val="20"/>
          <w:szCs w:val="20"/>
        </w:rPr>
      </w:pPr>
      <w:r w:rsidRPr="000F31A6">
        <w:rPr>
          <w:rFonts w:asciiTheme="minorHAnsi" w:hAnsiTheme="minorHAnsi" w:cstheme="minorHAnsi"/>
          <w:sz w:val="20"/>
          <w:szCs w:val="20"/>
        </w:rPr>
        <w:t>the period of prescription shall not be completed before a year has elapsed after the day referred to in paragraph (</w:t>
      </w:r>
      <w:r w:rsidRPr="000F31A6">
        <w:rPr>
          <w:rFonts w:asciiTheme="minorHAnsi" w:hAnsiTheme="minorHAnsi" w:cstheme="minorHAnsi"/>
          <w:i/>
          <w:iCs/>
          <w:sz w:val="20"/>
          <w:szCs w:val="20"/>
        </w:rPr>
        <w:t>i</w:t>
      </w:r>
      <w:r>
        <w:rPr>
          <w:rFonts w:asciiTheme="minorHAnsi" w:hAnsiTheme="minorHAnsi" w:cstheme="minorHAnsi"/>
          <w:sz w:val="20"/>
          <w:szCs w:val="20"/>
        </w:rPr>
        <w:t>)…</w:t>
      </w:r>
    </w:p>
  </w:footnote>
  <w:footnote w:id="24">
    <w:p w14:paraId="474335BD" w14:textId="77777777" w:rsidR="00181B11" w:rsidRPr="00B3380A" w:rsidRDefault="00181B11" w:rsidP="00C817A7">
      <w:pPr>
        <w:pStyle w:val="ListParagraph"/>
        <w:shd w:val="clear" w:color="auto" w:fill="FFFFFF"/>
        <w:spacing w:after="0" w:line="480" w:lineRule="auto"/>
        <w:ind w:left="0"/>
        <w:outlineLvl w:val="1"/>
        <w:rPr>
          <w:rFonts w:eastAsia="Times New Roman" w:cs="Arial"/>
          <w:sz w:val="20"/>
          <w:szCs w:val="20"/>
          <w:lang w:eastAsia="en-ZA"/>
        </w:rPr>
      </w:pPr>
      <w:r>
        <w:rPr>
          <w:rStyle w:val="FootnoteReference"/>
        </w:rPr>
        <w:footnoteRef/>
      </w:r>
      <w:r>
        <w:t xml:space="preserve"> </w:t>
      </w:r>
      <w:r w:rsidRPr="00B3380A">
        <w:rPr>
          <w:rFonts w:eastAsia="Times New Roman" w:cs="Arial"/>
          <w:sz w:val="20"/>
          <w:szCs w:val="20"/>
          <w:lang w:eastAsia="en-ZA"/>
        </w:rPr>
        <w:t>(34/2000) [2001] ZASCA 102; [2002] 2 All SA 211 (A) (25 September 2001)</w:t>
      </w:r>
      <w:r>
        <w:rPr>
          <w:rFonts w:eastAsia="Times New Roman" w:cs="Arial"/>
          <w:sz w:val="20"/>
          <w:szCs w:val="20"/>
          <w:lang w:eastAsia="en-ZA"/>
        </w:rPr>
        <w:t>.</w:t>
      </w:r>
    </w:p>
    <w:p w14:paraId="78716FAB" w14:textId="77777777" w:rsidR="00181B11" w:rsidRPr="00B3380A" w:rsidRDefault="00181B11" w:rsidP="00C817A7">
      <w:pPr>
        <w:pStyle w:val="FootnoteText"/>
        <w:rPr>
          <w:lang w:val="en-ZA"/>
        </w:rPr>
      </w:pPr>
    </w:p>
  </w:footnote>
  <w:footnote w:id="25">
    <w:p w14:paraId="2A76BDA5" w14:textId="34FE4C02" w:rsidR="00181B11" w:rsidRPr="00823AD0" w:rsidRDefault="00181B11">
      <w:pPr>
        <w:pStyle w:val="FootnoteText"/>
        <w:rPr>
          <w:lang w:val="en-ZA"/>
        </w:rPr>
      </w:pPr>
      <w:r>
        <w:rPr>
          <w:rStyle w:val="FootnoteReference"/>
        </w:rPr>
        <w:footnoteRef/>
      </w:r>
      <w:r>
        <w:t xml:space="preserve"> </w:t>
      </w:r>
      <w:r>
        <w:rPr>
          <w:lang w:val="en-ZA"/>
        </w:rPr>
        <w:t>[2023] 2 All SA 211 (WCC) (3 February 2023), paras 29 – 30.</w:t>
      </w:r>
    </w:p>
  </w:footnote>
  <w:footnote w:id="26">
    <w:p w14:paraId="64A24A4A" w14:textId="5BB263E2" w:rsidR="00181B11" w:rsidRPr="00486A18" w:rsidRDefault="00181B11" w:rsidP="00486A18">
      <w:pPr>
        <w:pStyle w:val="ListParagraph"/>
        <w:spacing w:after="0" w:line="240" w:lineRule="auto"/>
        <w:ind w:left="0"/>
        <w:jc w:val="both"/>
        <w:rPr>
          <w:rFonts w:cstheme="minorHAnsi"/>
          <w:b/>
          <w:sz w:val="20"/>
          <w:szCs w:val="20"/>
        </w:rPr>
      </w:pPr>
      <w:r>
        <w:rPr>
          <w:rStyle w:val="FootnoteReference"/>
        </w:rPr>
        <w:footnoteRef/>
      </w:r>
      <w:r>
        <w:t xml:space="preserve"> </w:t>
      </w:r>
      <w:r w:rsidRPr="00486A18">
        <w:rPr>
          <w:rFonts w:cstheme="minorHAnsi"/>
          <w:sz w:val="20"/>
          <w:szCs w:val="20"/>
        </w:rPr>
        <w:t>1980 (2) SA 111</w:t>
      </w:r>
      <w:r>
        <w:rPr>
          <w:rFonts w:cstheme="minorHAnsi"/>
          <w:sz w:val="20"/>
          <w:szCs w:val="20"/>
        </w:rPr>
        <w:t xml:space="preserve"> (T) at 118H,</w:t>
      </w:r>
      <w:r w:rsidRPr="00486A18">
        <w:rPr>
          <w:rFonts w:cstheme="minorHAnsi"/>
          <w:sz w:val="20"/>
          <w:szCs w:val="20"/>
        </w:rPr>
        <w:t xml:space="preserve"> where Margo J, writing for the full court stated as follows:</w:t>
      </w:r>
    </w:p>
    <w:p w14:paraId="640EA4FB" w14:textId="59EE596B" w:rsidR="00181B11" w:rsidRPr="00486A18" w:rsidRDefault="00181B11" w:rsidP="00486A18">
      <w:pPr>
        <w:pStyle w:val="ListParagraph"/>
        <w:spacing w:after="0" w:line="240" w:lineRule="auto"/>
        <w:ind w:right="720"/>
        <w:jc w:val="both"/>
        <w:rPr>
          <w:rFonts w:cstheme="minorHAnsi"/>
          <w:sz w:val="20"/>
          <w:szCs w:val="20"/>
        </w:rPr>
      </w:pPr>
      <w:r w:rsidRPr="00486A18">
        <w:rPr>
          <w:rFonts w:cstheme="minorHAnsi"/>
          <w:i/>
          <w:sz w:val="20"/>
          <w:szCs w:val="20"/>
        </w:rPr>
        <w:t>‘The applicant’s case on that score may not appear at this stage to be a strong one, but for the limited purposes of an attachment to found or confirm jurisdiction, that is not the criterion. As Steyn J (later CJ) said in Bradbury Gretorex Co (Colonial Ltd v Standard Trading Co (Pty) Ltd 1953 (3) SA 529 (W) at 533C-E, after an examination of the earlier authorities, the requirement of a prima facie cause of action, in relation to an attachment to found jurisdiction, is satisfied where there is evidence which, if accepted will show a cause of action. The mere fact that such evidence is contradicted would not disentitle the applicant to the remedy. Even where the probabilities are against the applicant, the requirement would still be satisfied. It is only where it is quite clear that the applicant has no action, or cannot succeed, that an attachment should be refused or discharged…’</w:t>
      </w:r>
      <w:r>
        <w:rPr>
          <w:rFonts w:cstheme="minorHAnsi"/>
          <w:i/>
          <w:sz w:val="20"/>
          <w:szCs w:val="20"/>
        </w:rPr>
        <w:t>.</w:t>
      </w:r>
    </w:p>
  </w:footnote>
  <w:footnote w:id="27">
    <w:p w14:paraId="33FDCAC0" w14:textId="1D931B05" w:rsidR="00181B11" w:rsidRPr="009E6AFA" w:rsidRDefault="00181B11">
      <w:pPr>
        <w:pStyle w:val="FootnoteText"/>
        <w:rPr>
          <w:lang w:val="en-ZA"/>
        </w:rPr>
      </w:pPr>
      <w:r>
        <w:rPr>
          <w:rStyle w:val="FootnoteReference"/>
        </w:rPr>
        <w:footnoteRef/>
      </w:r>
      <w:r>
        <w:t xml:space="preserve"> Index, </w:t>
      </w:r>
      <w:r>
        <w:rPr>
          <w:lang w:val="en-ZA"/>
        </w:rPr>
        <w:t>Annexure “FA4”, paras 27 and 30.</w:t>
      </w:r>
    </w:p>
  </w:footnote>
  <w:footnote w:id="28">
    <w:p w14:paraId="5568297C" w14:textId="77777777" w:rsidR="00181B11" w:rsidRPr="008A176F" w:rsidRDefault="00181B11" w:rsidP="0042601A">
      <w:pPr>
        <w:pStyle w:val="FootnoteText"/>
        <w:rPr>
          <w:lang w:val="en-ZA"/>
        </w:rPr>
      </w:pPr>
      <w:r>
        <w:rPr>
          <w:rStyle w:val="FootnoteReference"/>
        </w:rPr>
        <w:footnoteRef/>
      </w:r>
      <w:r>
        <w:t xml:space="preserve"> </w:t>
      </w:r>
      <w:r>
        <w:rPr>
          <w:i/>
          <w:iCs/>
          <w:color w:val="000000"/>
          <w:shd w:val="clear" w:color="auto" w:fill="FFFFFF"/>
        </w:rPr>
        <w:t>Van Wyk</w:t>
      </w:r>
      <w:r w:rsidRPr="00BA068A">
        <w:rPr>
          <w:i/>
          <w:iCs/>
          <w:color w:val="000000"/>
          <w:shd w:val="clear" w:color="auto" w:fill="FFFFFF"/>
        </w:rPr>
        <w:t xml:space="preserve"> Van Heerden Attorneys v Gore </w:t>
      </w:r>
      <w:r w:rsidRPr="00BA068A">
        <w:rPr>
          <w:color w:val="000000"/>
          <w:shd w:val="clear" w:color="auto" w:fill="FFFFFF"/>
        </w:rPr>
        <w:t>(2022) ZASCA 128 para 4</w:t>
      </w:r>
      <w:r>
        <w:rPr>
          <w:color w:val="000000"/>
          <w:shd w:val="clear" w:color="auto" w:fill="FFFFFF"/>
        </w:rPr>
        <w:t>.</w:t>
      </w:r>
    </w:p>
  </w:footnote>
  <w:footnote w:id="29">
    <w:p w14:paraId="03E1BE86" w14:textId="77777777" w:rsidR="00181B11" w:rsidRPr="009C3DE1" w:rsidRDefault="00181B11" w:rsidP="008D0C33">
      <w:pPr>
        <w:pStyle w:val="FootnoteText"/>
        <w:rPr>
          <w:lang w:val="en-ZA"/>
        </w:rPr>
      </w:pPr>
      <w:r>
        <w:rPr>
          <w:rStyle w:val="FootnoteReference"/>
        </w:rPr>
        <w:footnoteRef/>
      </w:r>
      <w:r>
        <w:t xml:space="preserve"> </w:t>
      </w:r>
      <w:r>
        <w:rPr>
          <w:lang w:val="en-ZA"/>
        </w:rPr>
        <w:t>(</w:t>
      </w:r>
      <w:r w:rsidRPr="009C3DE1">
        <w:rPr>
          <w:lang w:val="en-ZA"/>
        </w:rPr>
        <w:t>D2873/2019) [2020] ZAKZDHC 14 (5 June 2020) at para 4.</w:t>
      </w:r>
    </w:p>
  </w:footnote>
  <w:footnote w:id="30">
    <w:p w14:paraId="0656DF3E" w14:textId="77777777" w:rsidR="00181B11" w:rsidRPr="009C3DE1" w:rsidRDefault="00181B11" w:rsidP="008D0C33">
      <w:pPr>
        <w:pStyle w:val="FootnoteText"/>
        <w:jc w:val="both"/>
      </w:pPr>
      <w:r w:rsidRPr="009C3DE1">
        <w:rPr>
          <w:rStyle w:val="FootnoteReference"/>
          <w:rFonts w:cs="Arial"/>
        </w:rPr>
        <w:footnoteRef/>
      </w:r>
      <w:r w:rsidRPr="009C3DE1">
        <w:rPr>
          <w:rFonts w:cs="Arial"/>
          <w:i/>
        </w:rPr>
        <w:t xml:space="preserve"> Fenhalls v Ebrahim &amp; others</w:t>
      </w:r>
      <w:r w:rsidRPr="009C3DE1">
        <w:rPr>
          <w:rFonts w:cs="Arial"/>
        </w:rPr>
        <w:t xml:space="preserve"> 1956 (4) SA 723 (D) at 727D-G.</w:t>
      </w:r>
    </w:p>
  </w:footnote>
  <w:footnote w:id="31">
    <w:p w14:paraId="4DBF08B7" w14:textId="77777777" w:rsidR="00181B11" w:rsidRPr="00122298" w:rsidRDefault="00181B11" w:rsidP="008D0C33">
      <w:pPr>
        <w:pStyle w:val="FootnoteText"/>
        <w:jc w:val="both"/>
        <w:rPr>
          <w:rFonts w:cstheme="minorHAnsi"/>
        </w:rPr>
      </w:pPr>
      <w:r w:rsidRPr="004C4BC8">
        <w:rPr>
          <w:rStyle w:val="FootnoteReference"/>
          <w:rFonts w:ascii="Arial" w:hAnsi="Arial" w:cs="Arial"/>
        </w:rPr>
        <w:footnoteRef/>
      </w:r>
      <w:r w:rsidRPr="004C4BC8">
        <w:rPr>
          <w:rFonts w:ascii="Arial" w:hAnsi="Arial" w:cs="Arial"/>
        </w:rPr>
        <w:t xml:space="preserve"> </w:t>
      </w:r>
      <w:r w:rsidRPr="00122298">
        <w:rPr>
          <w:rFonts w:cstheme="minorHAnsi"/>
          <w:i/>
        </w:rPr>
        <w:t>Commissioner of Customs and Excise v Bank of Lisbon International Ltd &amp; another</w:t>
      </w:r>
      <w:r w:rsidRPr="00122298">
        <w:rPr>
          <w:rFonts w:cstheme="minorHAnsi"/>
        </w:rPr>
        <w:t xml:space="preserve"> 1994 (1) SA 205 (N) at 213F-G.</w:t>
      </w:r>
    </w:p>
  </w:footnote>
  <w:footnote w:id="32">
    <w:p w14:paraId="34BE415A" w14:textId="77777777" w:rsidR="00181B11" w:rsidRPr="00122298" w:rsidRDefault="00181B11" w:rsidP="008D0C33">
      <w:pPr>
        <w:pStyle w:val="FootnoteText"/>
        <w:rPr>
          <w:rFonts w:cstheme="minorHAnsi"/>
          <w:lang w:val="en-ZA"/>
        </w:rPr>
      </w:pPr>
      <w:r w:rsidRPr="00122298">
        <w:rPr>
          <w:rStyle w:val="FootnoteReference"/>
          <w:rFonts w:cstheme="minorHAnsi"/>
        </w:rPr>
        <w:footnoteRef/>
      </w:r>
      <w:r w:rsidRPr="00122298">
        <w:rPr>
          <w:rFonts w:cstheme="minorHAnsi"/>
        </w:rPr>
        <w:t xml:space="preserve"> </w:t>
      </w:r>
      <w:r w:rsidRPr="00122298">
        <w:rPr>
          <w:rFonts w:cstheme="minorHAnsi"/>
          <w:i/>
        </w:rPr>
        <w:t xml:space="preserve">Kommissaris van Binnelandse Inkomste en ‘n ander v Willers en andere </w:t>
      </w:r>
      <w:r w:rsidRPr="00122298">
        <w:rPr>
          <w:rFonts w:cstheme="minorHAnsi"/>
        </w:rPr>
        <w:t>1999 (3) SA 19 (SCA).</w:t>
      </w:r>
    </w:p>
  </w:footnote>
  <w:footnote w:id="33">
    <w:p w14:paraId="01DDF09E" w14:textId="115F08D8" w:rsidR="00181B11" w:rsidRPr="00122298" w:rsidRDefault="00181B11" w:rsidP="008D0C33">
      <w:pPr>
        <w:pStyle w:val="FootnoteText"/>
        <w:rPr>
          <w:rFonts w:cstheme="minorHAnsi"/>
          <w:lang w:val="en-ZA"/>
        </w:rPr>
      </w:pPr>
      <w:r w:rsidRPr="00122298">
        <w:rPr>
          <w:rStyle w:val="FootnoteReference"/>
          <w:rFonts w:cstheme="minorHAnsi"/>
        </w:rPr>
        <w:footnoteRef/>
      </w:r>
      <w:r w:rsidRPr="00122298">
        <w:rPr>
          <w:rFonts w:cstheme="minorHAnsi"/>
        </w:rPr>
        <w:t xml:space="preserve"> Andre Boraine, Towards Codifying The Actio Pauliana (1996) 8 SA Mer</w:t>
      </w:r>
      <w:r>
        <w:rPr>
          <w:rFonts w:cstheme="minorHAnsi"/>
        </w:rPr>
        <w:t xml:space="preserve">c </w:t>
      </w:r>
      <w:r w:rsidRPr="00122298">
        <w:rPr>
          <w:rFonts w:cstheme="minorHAnsi"/>
        </w:rPr>
        <w:t>LJ 213</w:t>
      </w:r>
      <w:r>
        <w:rPr>
          <w:rFonts w:cstheme="minorHAnsi"/>
        </w:rPr>
        <w:t>.</w:t>
      </w:r>
    </w:p>
  </w:footnote>
  <w:footnote w:id="34">
    <w:p w14:paraId="0513A514" w14:textId="4E7947D8" w:rsidR="00181B11" w:rsidRPr="005D63B5" w:rsidRDefault="00181B11">
      <w:pPr>
        <w:pStyle w:val="FootnoteText"/>
        <w:rPr>
          <w:lang w:val="en-ZA"/>
        </w:rPr>
      </w:pPr>
      <w:r>
        <w:rPr>
          <w:rStyle w:val="FootnoteReference"/>
        </w:rPr>
        <w:footnoteRef/>
      </w:r>
      <w:r>
        <w:t xml:space="preserve"> </w:t>
      </w:r>
      <w:r>
        <w:rPr>
          <w:lang w:val="en-ZA"/>
        </w:rPr>
        <w:t>Applicants’ Heads of Argument, para 34, page 15.</w:t>
      </w:r>
    </w:p>
  </w:footnote>
  <w:footnote w:id="35">
    <w:p w14:paraId="78744EFA" w14:textId="6D29BFFB" w:rsidR="00181B11" w:rsidRPr="006F5F0B" w:rsidRDefault="00181B11" w:rsidP="006F5F0B">
      <w:pPr>
        <w:pStyle w:val="FootnoteText"/>
        <w:rPr>
          <w:lang w:val="en-ZA"/>
        </w:rPr>
      </w:pPr>
      <w:r>
        <w:rPr>
          <w:rStyle w:val="FootnoteReference"/>
        </w:rPr>
        <w:footnoteRef/>
      </w:r>
      <w:r>
        <w:t xml:space="preserve"> </w:t>
      </w:r>
      <w:r w:rsidRPr="006F5F0B">
        <w:rPr>
          <w:rFonts w:cstheme="minorHAnsi"/>
        </w:rPr>
        <w:t>Act 61 of 1973</w:t>
      </w:r>
      <w:r>
        <w:rPr>
          <w:rFonts w:cstheme="minorHAnsi"/>
        </w:rPr>
        <w:t>.</w:t>
      </w:r>
    </w:p>
  </w:footnote>
  <w:footnote w:id="36">
    <w:p w14:paraId="58626C25" w14:textId="77777777" w:rsidR="00181B11" w:rsidRPr="000807A4" w:rsidRDefault="00181B11" w:rsidP="00B22C6E">
      <w:pPr>
        <w:pStyle w:val="FootnoteText"/>
        <w:rPr>
          <w:lang w:val="en-ZA"/>
        </w:rPr>
      </w:pPr>
      <w:r>
        <w:rPr>
          <w:rStyle w:val="FootnoteReference"/>
        </w:rPr>
        <w:footnoteRef/>
      </w:r>
      <w:r>
        <w:t xml:space="preserve"> </w:t>
      </w:r>
      <w:r>
        <w:rPr>
          <w:lang w:val="en-ZA"/>
        </w:rPr>
        <w:t>At page 912.</w:t>
      </w:r>
    </w:p>
  </w:footnote>
  <w:footnote w:id="37">
    <w:p w14:paraId="4FD5C3D5" w14:textId="77777777" w:rsidR="00181B11" w:rsidRPr="00BB2AF9" w:rsidRDefault="00181B11" w:rsidP="00B415DA">
      <w:pPr>
        <w:pStyle w:val="FootnoteText"/>
        <w:rPr>
          <w:lang w:val="en-ZA"/>
        </w:rPr>
      </w:pPr>
      <w:r>
        <w:rPr>
          <w:rStyle w:val="FootnoteReference"/>
        </w:rPr>
        <w:footnoteRef/>
      </w:r>
      <w:r>
        <w:t xml:space="preserve"> </w:t>
      </w:r>
      <w:r>
        <w:rPr>
          <w:lang w:val="en-ZA"/>
        </w:rPr>
        <w:t>Act 61 of 1973.</w:t>
      </w:r>
    </w:p>
  </w:footnote>
  <w:footnote w:id="38">
    <w:p w14:paraId="1F83B4A7" w14:textId="5321C4A8" w:rsidR="00181B11" w:rsidRPr="00911230" w:rsidRDefault="00181B11">
      <w:pPr>
        <w:pStyle w:val="FootnoteText"/>
        <w:rPr>
          <w:lang w:val="en-ZA"/>
        </w:rPr>
      </w:pPr>
      <w:r>
        <w:rPr>
          <w:rStyle w:val="FootnoteReference"/>
        </w:rPr>
        <w:footnoteRef/>
      </w:r>
      <w:r>
        <w:t xml:space="preserve"> </w:t>
      </w:r>
      <w:r>
        <w:rPr>
          <w:lang w:val="en-ZA"/>
        </w:rPr>
        <w:t>Applicants Heads of Argument, para 40, page 18.</w:t>
      </w:r>
    </w:p>
  </w:footnote>
  <w:footnote w:id="39">
    <w:p w14:paraId="03A109B7" w14:textId="1970F55F" w:rsidR="00181B11" w:rsidRPr="000F32D5" w:rsidRDefault="00181B11" w:rsidP="00643F45">
      <w:pPr>
        <w:pStyle w:val="FootnoteText"/>
        <w:rPr>
          <w:lang w:val="en-ZA"/>
        </w:rPr>
      </w:pPr>
      <w:r>
        <w:rPr>
          <w:rStyle w:val="FootnoteReference"/>
        </w:rPr>
        <w:footnoteRef/>
      </w:r>
      <w:r>
        <w:t xml:space="preserve"> Index Bundle, </w:t>
      </w:r>
      <w:r>
        <w:rPr>
          <w:lang w:val="en-ZA"/>
        </w:rPr>
        <w:t>Annexure “FA3”.</w:t>
      </w:r>
    </w:p>
  </w:footnote>
  <w:footnote w:id="40">
    <w:p w14:paraId="35CFFB64" w14:textId="77777777" w:rsidR="00181B11" w:rsidRPr="00FA1CB5" w:rsidRDefault="00181B11" w:rsidP="004F6E8C">
      <w:pPr>
        <w:pStyle w:val="FootnoteText"/>
        <w:rPr>
          <w:lang w:val="en-ZA"/>
        </w:rPr>
      </w:pPr>
      <w:r>
        <w:rPr>
          <w:rStyle w:val="FootnoteReference"/>
        </w:rPr>
        <w:footnoteRef/>
      </w:r>
      <w:r>
        <w:t xml:space="preserve"> </w:t>
      </w:r>
      <w:r>
        <w:rPr>
          <w:lang w:val="en-ZA"/>
        </w:rPr>
        <w:t>Index bundle, Answering Affidavit, pages 99 - 134.</w:t>
      </w:r>
    </w:p>
  </w:footnote>
  <w:footnote w:id="41">
    <w:p w14:paraId="56588E70" w14:textId="77777777" w:rsidR="00181B11" w:rsidRPr="0039798A" w:rsidRDefault="00181B11" w:rsidP="004F6E8C">
      <w:pPr>
        <w:pStyle w:val="FootnoteText"/>
        <w:rPr>
          <w:lang w:val="en-ZA"/>
        </w:rPr>
      </w:pPr>
      <w:r>
        <w:rPr>
          <w:rStyle w:val="FootnoteReference"/>
        </w:rPr>
        <w:footnoteRef/>
      </w:r>
      <w:r>
        <w:t xml:space="preserve"> </w:t>
      </w:r>
      <w:r>
        <w:rPr>
          <w:lang w:val="en-ZA"/>
        </w:rPr>
        <w:t>Insolvency Act, 24 of 1936.</w:t>
      </w:r>
    </w:p>
  </w:footnote>
  <w:footnote w:id="42">
    <w:p w14:paraId="552EC60A" w14:textId="05E2FC7F" w:rsidR="00181B11" w:rsidRPr="003723E4" w:rsidRDefault="00181B11">
      <w:pPr>
        <w:pStyle w:val="FootnoteText"/>
        <w:rPr>
          <w:lang w:val="en-ZA"/>
        </w:rPr>
      </w:pPr>
      <w:r>
        <w:rPr>
          <w:rStyle w:val="FootnoteReference"/>
        </w:rPr>
        <w:footnoteRef/>
      </w:r>
      <w:r>
        <w:t xml:space="preserve"> </w:t>
      </w:r>
      <w:r w:rsidRPr="00CF63B9">
        <w:rPr>
          <w:rFonts w:cstheme="minorHAnsi"/>
          <w:color w:val="000000"/>
        </w:rPr>
        <w:t>2019 JDR 1518 (WCC)</w:t>
      </w:r>
      <w:r>
        <w:rPr>
          <w:rFonts w:cstheme="minorHAnsi"/>
          <w:color w:val="000000"/>
        </w:rPr>
        <w:t xml:space="preserve"> at</w:t>
      </w:r>
      <w:r w:rsidRPr="00CF63B9">
        <w:rPr>
          <w:rFonts w:cstheme="minorHAnsi"/>
          <w:lang w:val="en-ZA"/>
        </w:rPr>
        <w:t xml:space="preserve"> </w:t>
      </w:r>
      <w:r>
        <w:rPr>
          <w:lang w:val="en-ZA"/>
        </w:rPr>
        <w:t>para 35.</w:t>
      </w:r>
    </w:p>
  </w:footnote>
  <w:footnote w:id="43">
    <w:p w14:paraId="4161EC91" w14:textId="754F6B55" w:rsidR="00181B11" w:rsidRPr="003723E4" w:rsidRDefault="00181B11">
      <w:pPr>
        <w:pStyle w:val="FootnoteText"/>
        <w:rPr>
          <w:lang w:val="en-ZA"/>
        </w:rPr>
      </w:pPr>
      <w:r>
        <w:rPr>
          <w:rStyle w:val="FootnoteReference"/>
        </w:rPr>
        <w:footnoteRef/>
      </w:r>
      <w:r>
        <w:t xml:space="preserve"> </w:t>
      </w:r>
      <w:r>
        <w:rPr>
          <w:lang w:val="en-ZA"/>
        </w:rPr>
        <w:t xml:space="preserve">See also </w:t>
      </w:r>
      <w:r>
        <w:rPr>
          <w:i/>
          <w:lang w:val="en-ZA"/>
        </w:rPr>
        <w:t xml:space="preserve">MV Rizcun Trader v Manley Appledore Shipping Ltd </w:t>
      </w:r>
      <w:r>
        <w:rPr>
          <w:lang w:val="en-ZA"/>
        </w:rPr>
        <w:t>2000 (3) SA 776 (C) at 794E.</w:t>
      </w:r>
    </w:p>
  </w:footnote>
  <w:footnote w:id="44">
    <w:p w14:paraId="0F8CDB70" w14:textId="56BEA9C4" w:rsidR="00181B11" w:rsidRPr="00314EF6" w:rsidRDefault="00181B11">
      <w:pPr>
        <w:pStyle w:val="FootnoteText"/>
        <w:rPr>
          <w:lang w:val="en-ZA"/>
        </w:rPr>
      </w:pPr>
      <w:r>
        <w:rPr>
          <w:rStyle w:val="FootnoteReference"/>
        </w:rPr>
        <w:footnoteRef/>
      </w:r>
      <w:r>
        <w:t xml:space="preserve"> </w:t>
      </w:r>
      <w:r>
        <w:rPr>
          <w:lang w:val="en-ZA"/>
        </w:rPr>
        <w:t>2000 (3) SA 447 (SCA) at 455B.</w:t>
      </w:r>
    </w:p>
  </w:footnote>
  <w:footnote w:id="45">
    <w:p w14:paraId="08F09010" w14:textId="77777777" w:rsidR="00181B11" w:rsidRPr="0041636C" w:rsidRDefault="00181B11" w:rsidP="00F94A34">
      <w:pPr>
        <w:pStyle w:val="FootnoteText"/>
        <w:rPr>
          <w:lang w:val="en-ZA"/>
        </w:rPr>
      </w:pPr>
      <w:r>
        <w:rPr>
          <w:rStyle w:val="FootnoteReference"/>
        </w:rPr>
        <w:footnoteRef/>
      </w:r>
      <w:r>
        <w:t xml:space="preserve"> </w:t>
      </w:r>
      <w:r>
        <w:rPr>
          <w:lang w:val="en-ZA"/>
        </w:rPr>
        <w:t>First Respondent’s Heads of Argument, paras 15 – 17, pages 8 – 11.</w:t>
      </w:r>
    </w:p>
  </w:footnote>
  <w:footnote w:id="46">
    <w:p w14:paraId="33163D2D" w14:textId="11786BA1" w:rsidR="00181B11" w:rsidRPr="00D65710" w:rsidRDefault="00181B11" w:rsidP="00D65710">
      <w:pPr>
        <w:pStyle w:val="FootnoteText"/>
        <w:rPr>
          <w:lang w:val="en-ZA"/>
        </w:rPr>
      </w:pPr>
      <w:r>
        <w:rPr>
          <w:rStyle w:val="FootnoteReference"/>
        </w:rPr>
        <w:footnoteRef/>
      </w:r>
      <w:r>
        <w:t xml:space="preserve"> </w:t>
      </w:r>
      <w:r>
        <w:rPr>
          <w:lang w:val="en-ZA"/>
        </w:rPr>
        <w:t>Heads of Argument on behalf of the First Respondent, para 15.1 at page 8.</w:t>
      </w:r>
    </w:p>
  </w:footnote>
  <w:footnote w:id="47">
    <w:p w14:paraId="61E4288B" w14:textId="77777777" w:rsidR="00181B11" w:rsidRPr="00E5421C" w:rsidRDefault="00181B11" w:rsidP="00D65710">
      <w:pPr>
        <w:pStyle w:val="FootnoteText"/>
        <w:rPr>
          <w:lang w:val="en-ZA"/>
        </w:rPr>
      </w:pPr>
      <w:r>
        <w:rPr>
          <w:rStyle w:val="FootnoteReference"/>
        </w:rPr>
        <w:footnoteRef/>
      </w:r>
      <w:r>
        <w:t xml:space="preserve"> </w:t>
      </w:r>
      <w:r>
        <w:rPr>
          <w:lang w:val="en-ZA"/>
        </w:rPr>
        <w:t>Heads of Argument on behalf of the First Respondent, para’s 15.1 -15.2, pages 8 – 9.</w:t>
      </w:r>
    </w:p>
  </w:footnote>
  <w:footnote w:id="48">
    <w:p w14:paraId="2A986165" w14:textId="77777777" w:rsidR="00181B11" w:rsidRPr="001A0920" w:rsidRDefault="00181B11" w:rsidP="0009668D">
      <w:pPr>
        <w:pStyle w:val="FootnoteText"/>
        <w:rPr>
          <w:lang w:val="en-ZA"/>
        </w:rPr>
      </w:pPr>
      <w:r>
        <w:rPr>
          <w:rStyle w:val="FootnoteReference"/>
        </w:rPr>
        <w:footnoteRef/>
      </w:r>
      <w:r>
        <w:t xml:space="preserve"> </w:t>
      </w:r>
      <w:r>
        <w:rPr>
          <w:lang w:val="en-ZA"/>
        </w:rPr>
        <w:t>Index bundle, Founding Affidavit, para 23, page 13.</w:t>
      </w:r>
    </w:p>
  </w:footnote>
  <w:footnote w:id="49">
    <w:p w14:paraId="10E96B8F" w14:textId="77777777" w:rsidR="00181B11" w:rsidRPr="00F36E76" w:rsidRDefault="00181B11" w:rsidP="00112F43">
      <w:pPr>
        <w:pStyle w:val="FootnoteText"/>
        <w:rPr>
          <w:b/>
        </w:rPr>
      </w:pPr>
      <w:r>
        <w:rPr>
          <w:rStyle w:val="FootnoteReference"/>
        </w:rPr>
        <w:footnoteRef/>
      </w:r>
      <w:r>
        <w:t xml:space="preserve"> 1979 (1) SA 626 (AD) at 635H-</w:t>
      </w:r>
      <w:r w:rsidRPr="00DC7702">
        <w:t>636B.</w:t>
      </w:r>
    </w:p>
  </w:footnote>
  <w:footnote w:id="50">
    <w:p w14:paraId="65D002F8" w14:textId="77777777" w:rsidR="00181B11" w:rsidRPr="008745A2" w:rsidRDefault="00181B11" w:rsidP="00112F43">
      <w:pPr>
        <w:pStyle w:val="FootnoteText"/>
      </w:pPr>
      <w:r>
        <w:rPr>
          <w:rStyle w:val="FootnoteReference"/>
        </w:rPr>
        <w:footnoteRef/>
      </w:r>
      <w:r>
        <w:t xml:space="preserve"> [2012] ZACC 13; 2013 (1) SA 83 (CC); 2012 (8) BCLR 840 (CC) (</w:t>
      </w:r>
      <w:r>
        <w:rPr>
          <w:i/>
        </w:rPr>
        <w:t>Garvas)</w:t>
      </w:r>
      <w:r>
        <w:t xml:space="preserve"> at para 114.</w:t>
      </w:r>
    </w:p>
  </w:footnote>
  <w:footnote w:id="51">
    <w:p w14:paraId="11A723E2" w14:textId="77777777" w:rsidR="00181B11" w:rsidRPr="00D13AF1" w:rsidRDefault="00181B11" w:rsidP="00653FF7">
      <w:pPr>
        <w:pStyle w:val="FootnoteText"/>
        <w:rPr>
          <w:lang w:val="en-ZA"/>
        </w:rPr>
      </w:pPr>
      <w:r>
        <w:rPr>
          <w:rStyle w:val="FootnoteReference"/>
        </w:rPr>
        <w:footnoteRef/>
      </w:r>
      <w:r>
        <w:t xml:space="preserve"> </w:t>
      </w:r>
      <w:r>
        <w:rPr>
          <w:lang w:val="en-ZA"/>
        </w:rPr>
        <w:t>Para 10 supra; First Respondent’s Answering Affidavit, para 7, page 83.</w:t>
      </w:r>
    </w:p>
  </w:footnote>
  <w:footnote w:id="52">
    <w:p w14:paraId="54184E59" w14:textId="77777777" w:rsidR="00181B11" w:rsidRPr="00780234" w:rsidRDefault="00181B11" w:rsidP="00653FF7">
      <w:pPr>
        <w:pStyle w:val="FootnoteText"/>
        <w:rPr>
          <w:lang w:val="en-ZA"/>
        </w:rPr>
      </w:pPr>
      <w:r>
        <w:rPr>
          <w:rStyle w:val="FootnoteReference"/>
        </w:rPr>
        <w:footnoteRef/>
      </w:r>
      <w:r>
        <w:t xml:space="preserve"> </w:t>
      </w:r>
      <w:r>
        <w:rPr>
          <w:lang w:val="en-ZA"/>
        </w:rPr>
        <w:t>First Respondent’s Answering Affidavit, para’s 7.1 and 7.2; Applicant’s Founding Affidavit, paras 16, 17 and 19.</w:t>
      </w:r>
    </w:p>
  </w:footnote>
  <w:footnote w:id="53">
    <w:p w14:paraId="0014A6AA" w14:textId="77777777" w:rsidR="00181B11" w:rsidRPr="00437A72" w:rsidRDefault="00181B11" w:rsidP="00653FF7">
      <w:pPr>
        <w:pStyle w:val="FootnoteText"/>
        <w:rPr>
          <w:lang w:val="en-ZA"/>
        </w:rPr>
      </w:pPr>
      <w:r>
        <w:rPr>
          <w:rStyle w:val="FootnoteReference"/>
        </w:rPr>
        <w:footnoteRef/>
      </w:r>
      <w:r>
        <w:t xml:space="preserve"> Insolvency Enquiry Transcript, pages 117 – 118.</w:t>
      </w:r>
    </w:p>
  </w:footnote>
  <w:footnote w:id="54">
    <w:p w14:paraId="513065AC" w14:textId="77777777" w:rsidR="00181B11" w:rsidRPr="00C02784" w:rsidRDefault="00181B11" w:rsidP="00DC7702">
      <w:pPr>
        <w:pStyle w:val="FootnoteText"/>
        <w:rPr>
          <w:lang w:val="en-ZA"/>
        </w:rPr>
      </w:pPr>
      <w:r>
        <w:rPr>
          <w:rStyle w:val="FootnoteReference"/>
        </w:rPr>
        <w:footnoteRef/>
      </w:r>
      <w:r>
        <w:t xml:space="preserve"> </w:t>
      </w:r>
      <w:r>
        <w:rPr>
          <w:lang w:val="en-ZA"/>
        </w:rPr>
        <w:t>At para 31.</w:t>
      </w:r>
    </w:p>
  </w:footnote>
  <w:footnote w:id="55">
    <w:p w14:paraId="48B967E0" w14:textId="77777777" w:rsidR="00181B11" w:rsidRDefault="00181B11" w:rsidP="00DC7702">
      <w:pPr>
        <w:pStyle w:val="FootnoteText"/>
        <w:rPr>
          <w:lang w:val="en-ZA"/>
        </w:rPr>
      </w:pPr>
      <w:r>
        <w:rPr>
          <w:rStyle w:val="FootnoteReference"/>
        </w:rPr>
        <w:footnoteRef/>
      </w:r>
      <w:r>
        <w:t xml:space="preserve"> </w:t>
      </w:r>
      <w:r>
        <w:rPr>
          <w:lang w:val="en-ZA"/>
        </w:rPr>
        <w:t xml:space="preserve">See </w:t>
      </w:r>
      <w:r>
        <w:rPr>
          <w:i/>
          <w:lang w:val="en-ZA"/>
        </w:rPr>
        <w:t>Longman Distillers Ltd v Drop In Group of Liquor Supermarkets (Pty) Ltd</w:t>
      </w:r>
      <w:r>
        <w:rPr>
          <w:lang w:val="en-ZA"/>
        </w:rPr>
        <w:t xml:space="preserve"> 1990 (2) SA 906 (A) at 914E-F where Nicholas AJA stated:</w:t>
      </w:r>
    </w:p>
    <w:p w14:paraId="0BD2E7E7" w14:textId="6219DE28" w:rsidR="00181B11" w:rsidRDefault="00181B11" w:rsidP="00DC7702">
      <w:pPr>
        <w:pStyle w:val="FootnoteText"/>
        <w:ind w:left="720"/>
        <w:rPr>
          <w:i/>
          <w:lang w:val="en-ZA"/>
        </w:rPr>
      </w:pPr>
      <w:r>
        <w:rPr>
          <w:i/>
          <w:lang w:val="en-ZA"/>
        </w:rPr>
        <w:t xml:space="preserve">‘In our law, once an </w:t>
      </w:r>
      <w:r w:rsidRPr="00E605CC">
        <w:rPr>
          <w:i/>
          <w:lang w:val="en-ZA"/>
        </w:rPr>
        <w:t>incola</w:t>
      </w:r>
      <w:r>
        <w:rPr>
          <w:i/>
          <w:lang w:val="en-ZA"/>
        </w:rPr>
        <w:t xml:space="preserve"> applicant (plaintiff) establishes that prima facie he has a good cause of action against the peregrine respondent (defendant), the Court must, if other requirements are satisfied, grant an order for the attachment </w:t>
      </w:r>
      <w:r w:rsidRPr="00E605CC">
        <w:rPr>
          <w:i/>
          <w:lang w:val="en-ZA"/>
        </w:rPr>
        <w:t>ad fundandam o</w:t>
      </w:r>
      <w:r>
        <w:rPr>
          <w:i/>
          <w:lang w:val="en-ZA"/>
        </w:rPr>
        <w:t>f the property of the peregrine respondent (defendant). It has no discretion …The Court will not enquire into the merits o[f] whether the Court is a convenient forum in which to bring the action…Nor, it is conceived, will the Court enquire whether it is “fair” in the circumstances for an attachment to be granted.’</w:t>
      </w:r>
    </w:p>
    <w:p w14:paraId="35172F22" w14:textId="77777777" w:rsidR="00181B11" w:rsidRPr="00E605CC" w:rsidRDefault="00181B11" w:rsidP="00DC7702">
      <w:pPr>
        <w:pStyle w:val="ListParagraph"/>
        <w:spacing w:after="0" w:line="240" w:lineRule="auto"/>
        <w:ind w:left="0"/>
        <w:jc w:val="both"/>
        <w:rPr>
          <w:rFonts w:cstheme="minorHAnsi"/>
          <w:b/>
          <w:sz w:val="20"/>
          <w:szCs w:val="20"/>
        </w:rPr>
      </w:pPr>
      <w:r w:rsidRPr="00E605CC">
        <w:rPr>
          <w:rFonts w:cstheme="minorHAnsi"/>
          <w:sz w:val="20"/>
          <w:szCs w:val="20"/>
        </w:rPr>
        <w:t xml:space="preserve">The authors Herbstein and van Winsen, </w:t>
      </w:r>
      <w:r w:rsidRPr="00E605CC">
        <w:rPr>
          <w:rFonts w:cstheme="minorHAnsi"/>
          <w:i/>
          <w:sz w:val="20"/>
          <w:szCs w:val="20"/>
        </w:rPr>
        <w:t xml:space="preserve">‘The Civil Practice of the High Courts and Supreme Court of Appeal of South Africa’ </w:t>
      </w:r>
      <w:r w:rsidRPr="00E605CC">
        <w:rPr>
          <w:rFonts w:cstheme="minorHAnsi"/>
          <w:sz w:val="20"/>
          <w:szCs w:val="20"/>
        </w:rPr>
        <w:t>5</w:t>
      </w:r>
      <w:r w:rsidRPr="00E605CC">
        <w:rPr>
          <w:rFonts w:cstheme="minorHAnsi"/>
          <w:sz w:val="20"/>
          <w:szCs w:val="20"/>
          <w:vertAlign w:val="superscript"/>
        </w:rPr>
        <w:t>th</w:t>
      </w:r>
      <w:r>
        <w:rPr>
          <w:rFonts w:cstheme="minorHAnsi"/>
          <w:sz w:val="20"/>
          <w:szCs w:val="20"/>
        </w:rPr>
        <w:t xml:space="preserve"> Ed, Vol 1 at 110 – 111, </w:t>
      </w:r>
      <w:r w:rsidRPr="00E605CC">
        <w:rPr>
          <w:rFonts w:cstheme="minorHAnsi"/>
          <w:sz w:val="20"/>
          <w:szCs w:val="20"/>
        </w:rPr>
        <w:t>sets out the threshold as follows:</w:t>
      </w:r>
    </w:p>
    <w:p w14:paraId="5577F741" w14:textId="77777777" w:rsidR="00181B11" w:rsidRPr="00E605CC" w:rsidRDefault="00181B11" w:rsidP="00DC7702">
      <w:pPr>
        <w:pStyle w:val="ListParagraph"/>
        <w:spacing w:after="0" w:line="240" w:lineRule="auto"/>
        <w:ind w:right="720"/>
        <w:jc w:val="both"/>
        <w:rPr>
          <w:rFonts w:cstheme="minorHAnsi"/>
          <w:i/>
          <w:sz w:val="20"/>
          <w:szCs w:val="20"/>
        </w:rPr>
      </w:pPr>
      <w:r w:rsidRPr="00E605CC">
        <w:rPr>
          <w:rFonts w:cstheme="minorHAnsi"/>
          <w:i/>
          <w:sz w:val="20"/>
          <w:szCs w:val="20"/>
        </w:rPr>
        <w:t>‘It is only when it is quite clear that the applicant has no action or cannot succeed that an attachment should be refused or discharged on the ground that there is n</w:t>
      </w:r>
      <w:r>
        <w:rPr>
          <w:rFonts w:cstheme="minorHAnsi"/>
          <w:i/>
          <w:sz w:val="20"/>
          <w:szCs w:val="20"/>
        </w:rPr>
        <w:t>o prima facie cause of action.’</w:t>
      </w:r>
    </w:p>
  </w:footnote>
  <w:footnote w:id="56">
    <w:p w14:paraId="59E165E8" w14:textId="77777777" w:rsidR="00181B11" w:rsidRPr="00A50ED9" w:rsidRDefault="00181B11" w:rsidP="00F45335">
      <w:pPr>
        <w:pStyle w:val="FootnoteText"/>
        <w:rPr>
          <w:lang w:val="en-ZA"/>
        </w:rPr>
      </w:pPr>
      <w:r>
        <w:rPr>
          <w:rStyle w:val="FootnoteReference"/>
        </w:rPr>
        <w:footnoteRef/>
      </w:r>
      <w:r>
        <w:t xml:space="preserve"> </w:t>
      </w:r>
      <w:r w:rsidRPr="00C414F8">
        <w:rPr>
          <w:rFonts w:cstheme="minorHAnsi"/>
          <w:color w:val="000000"/>
          <w:shd w:val="clear" w:color="auto" w:fill="FFFFFF"/>
        </w:rPr>
        <w:t>Joubert, Rabie and Faris </w:t>
      </w:r>
      <w:r w:rsidRPr="00C414F8">
        <w:rPr>
          <w:rFonts w:cstheme="minorHAnsi"/>
          <w:i/>
          <w:iCs/>
          <w:color w:val="000000"/>
          <w:shd w:val="clear" w:color="auto" w:fill="FFFFFF"/>
        </w:rPr>
        <w:t>The law of South Africa </w:t>
      </w:r>
      <w:r>
        <w:rPr>
          <w:rFonts w:cstheme="minorHAnsi"/>
          <w:color w:val="000000"/>
          <w:shd w:val="clear" w:color="auto" w:fill="FFFFFF"/>
        </w:rPr>
        <w:t xml:space="preserve">Vol 8 Part 1 (2005) para 301; </w:t>
      </w:r>
      <w:r w:rsidRPr="00C414F8">
        <w:rPr>
          <w:rFonts w:cstheme="minorHAnsi"/>
          <w:i/>
          <w:iCs/>
          <w:color w:val="000000"/>
          <w:shd w:val="clear" w:color="auto" w:fill="FFFFFF"/>
        </w:rPr>
        <w:t>DE v CE </w:t>
      </w:r>
      <w:r w:rsidRPr="00C414F8">
        <w:rPr>
          <w:rFonts w:cstheme="minorHAnsi"/>
          <w:color w:val="000000"/>
          <w:shd w:val="clear" w:color="auto" w:fill="FFFFFF"/>
        </w:rPr>
        <w:t>2020 1 All SA 123 (WCC) para 38; </w:t>
      </w:r>
      <w:r w:rsidRPr="00C414F8">
        <w:rPr>
          <w:rFonts w:cstheme="minorHAnsi"/>
          <w:i/>
          <w:iCs/>
          <w:color w:val="000000"/>
          <w:shd w:val="clear" w:color="auto" w:fill="FFFFFF"/>
        </w:rPr>
        <w:t>Mcbride v Jooste </w:t>
      </w:r>
      <w:r w:rsidRPr="00C414F8">
        <w:rPr>
          <w:rFonts w:cstheme="minorHAnsi"/>
          <w:color w:val="000000"/>
          <w:shd w:val="clear" w:color="auto" w:fill="FFFFFF"/>
        </w:rPr>
        <w:t>2015 JOL 33891 (GJ) para 14; and </w:t>
      </w:r>
      <w:r w:rsidRPr="00C414F8">
        <w:rPr>
          <w:rFonts w:cstheme="minorHAnsi"/>
          <w:i/>
          <w:iCs/>
          <w:color w:val="000000"/>
          <w:shd w:val="clear" w:color="auto" w:fill="FFFFFF"/>
        </w:rPr>
        <w:t>Ashbury Park (Pty) Ltd v Dawjee </w:t>
      </w:r>
      <w:r w:rsidRPr="00C414F8">
        <w:rPr>
          <w:rFonts w:cstheme="minorHAnsi"/>
          <w:color w:val="000000"/>
          <w:shd w:val="clear" w:color="auto" w:fill="FFFFFF"/>
        </w:rPr>
        <w:t>2002 1 All SA 137 (N) at 141</w:t>
      </w:r>
    </w:p>
  </w:footnote>
  <w:footnote w:id="57">
    <w:p w14:paraId="57A7EBD2" w14:textId="674651E7" w:rsidR="00181B11" w:rsidRPr="000C414C" w:rsidRDefault="00181B11">
      <w:pPr>
        <w:pStyle w:val="FootnoteText"/>
        <w:rPr>
          <w:lang w:val="en-ZA"/>
        </w:rPr>
      </w:pPr>
      <w:r>
        <w:rPr>
          <w:rStyle w:val="FootnoteReference"/>
        </w:rPr>
        <w:footnoteRef/>
      </w:r>
      <w:r>
        <w:t xml:space="preserve"> (283/95) [1996] ZASCA 58; 1996 (4) SA 348 (SCA); [1996] 3 All SA 669 (A); (29 May 1996) at </w:t>
      </w:r>
      <w:r>
        <w:rPr>
          <w:lang w:val="en-ZA"/>
        </w:rPr>
        <w:t>paras 61 -67.</w:t>
      </w:r>
    </w:p>
  </w:footnote>
  <w:footnote w:id="58">
    <w:p w14:paraId="7FCAA9B5" w14:textId="4E9155FB" w:rsidR="00181B11" w:rsidRPr="00D0795B" w:rsidRDefault="00181B11">
      <w:pPr>
        <w:pStyle w:val="FootnoteText"/>
        <w:rPr>
          <w:lang w:val="en-ZA"/>
        </w:rPr>
      </w:pPr>
      <w:r>
        <w:rPr>
          <w:rStyle w:val="FootnoteReference"/>
        </w:rPr>
        <w:footnoteRef/>
      </w:r>
      <w:r>
        <w:t xml:space="preserve"> </w:t>
      </w:r>
      <w:r>
        <w:rPr>
          <w:lang w:val="en-ZA"/>
        </w:rPr>
        <w:t>At para 67.</w:t>
      </w:r>
    </w:p>
  </w:footnote>
  <w:footnote w:id="59">
    <w:p w14:paraId="7C3BE20D" w14:textId="74D0C3C3" w:rsidR="00181B11" w:rsidRPr="000C414C" w:rsidRDefault="00181B11">
      <w:pPr>
        <w:pStyle w:val="FootnoteText"/>
        <w:rPr>
          <w:lang w:val="en-ZA"/>
        </w:rPr>
      </w:pPr>
      <w:r>
        <w:rPr>
          <w:rStyle w:val="FootnoteReference"/>
        </w:rPr>
        <w:footnoteRef/>
      </w:r>
      <w:r>
        <w:t xml:space="preserve"> </w:t>
      </w:r>
      <w:r>
        <w:rPr>
          <w:lang w:val="en-ZA"/>
        </w:rPr>
        <w:t>At para 67.</w:t>
      </w:r>
    </w:p>
  </w:footnote>
  <w:footnote w:id="60">
    <w:p w14:paraId="56F865A3" w14:textId="6B2B824A" w:rsidR="00181B11" w:rsidRPr="00DE3B7F" w:rsidRDefault="00181B11">
      <w:pPr>
        <w:pStyle w:val="FootnoteText"/>
        <w:rPr>
          <w:rFonts w:cstheme="minorHAnsi"/>
          <w:lang w:val="en-ZA"/>
        </w:rPr>
      </w:pPr>
      <w:r>
        <w:rPr>
          <w:rStyle w:val="FootnoteReference"/>
        </w:rPr>
        <w:footnoteRef/>
      </w:r>
      <w:r>
        <w:t xml:space="preserve"> </w:t>
      </w:r>
      <w:r>
        <w:rPr>
          <w:rFonts w:cstheme="minorHAnsi"/>
        </w:rPr>
        <w:t>Herbstein &amp; Van Winsen</w:t>
      </w:r>
      <w:r w:rsidRPr="00DE3B7F">
        <w:rPr>
          <w:rFonts w:cstheme="minorHAnsi"/>
        </w:rPr>
        <w:t>, The Civil Practice of the High Courts of South Africa, 5</w:t>
      </w:r>
      <w:r>
        <w:rPr>
          <w:rFonts w:cstheme="minorHAnsi"/>
        </w:rPr>
        <w:t>th ed, p1488.</w:t>
      </w:r>
    </w:p>
  </w:footnote>
  <w:footnote w:id="61">
    <w:p w14:paraId="1F27DBB5" w14:textId="72501974" w:rsidR="00181B11" w:rsidRPr="004C20EF" w:rsidRDefault="00181B11">
      <w:pPr>
        <w:pStyle w:val="FootnoteText"/>
      </w:pPr>
      <w:r>
        <w:rPr>
          <w:rStyle w:val="FootnoteReference"/>
        </w:rPr>
        <w:footnoteRef/>
      </w:r>
      <w:r>
        <w:t xml:space="preserve"> </w:t>
      </w:r>
      <w:r w:rsidRPr="0067345C">
        <w:rPr>
          <w:rFonts w:cs="Arial"/>
          <w:bCs/>
          <w:i/>
        </w:rPr>
        <w:t>ACL Group (Edms) Bpk and Others v Qick Televentures</w:t>
      </w:r>
      <w:r w:rsidRPr="0067345C">
        <w:rPr>
          <w:rFonts w:cs="Arial"/>
          <w:bCs/>
        </w:rPr>
        <w:t xml:space="preserve"> FZE (2013 (1) SA 508 (FB)) [2012] ZAFSHC 249; [2012] ZAFSHC 145 (12 July 2012)</w:t>
      </w:r>
      <w:r>
        <w:rPr>
          <w:rFonts w:cs="Arial"/>
          <w:b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377EC" w14:textId="77777777" w:rsidR="007A6EE3" w:rsidRDefault="007A6E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F11DF" w14:textId="37DA5911" w:rsidR="007A6EE3" w:rsidRPr="007A6EE3" w:rsidRDefault="007A6EE3" w:rsidP="007A6EE3">
    <w:pPr>
      <w:pStyle w:val="Header"/>
      <w:jc w:val="right"/>
      <w:rPr>
        <w:b/>
        <w:sz w:val="28"/>
      </w:rPr>
    </w:pPr>
    <w:bookmarkStart w:id="0" w:name="_GoBack"/>
    <w:bookmarkEnd w:id="0"/>
    <w:r w:rsidRPr="007A6EE3">
      <w:rPr>
        <w:b/>
        <w:sz w:val="28"/>
      </w:rPr>
      <w:t>REPORTABL</w:t>
    </w:r>
    <w:r>
      <w:rPr>
        <w:b/>
        <w:sz w:val="28"/>
      </w:rPr>
      <w:t>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EBC11" w14:textId="77777777" w:rsidR="007A6EE3" w:rsidRDefault="007A6E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E48C7"/>
    <w:multiLevelType w:val="hybridMultilevel"/>
    <w:tmpl w:val="7B7260E4"/>
    <w:lvl w:ilvl="0" w:tplc="0D62E6A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82E6F17"/>
    <w:multiLevelType w:val="hybridMultilevel"/>
    <w:tmpl w:val="2C94B3E2"/>
    <w:lvl w:ilvl="0" w:tplc="A6128E0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955209A"/>
    <w:multiLevelType w:val="hybridMultilevel"/>
    <w:tmpl w:val="FF54F4EC"/>
    <w:lvl w:ilvl="0" w:tplc="8564D698">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A5804ED"/>
    <w:multiLevelType w:val="hybridMultilevel"/>
    <w:tmpl w:val="DE285900"/>
    <w:lvl w:ilvl="0" w:tplc="CDBC561C">
      <w:start w:val="1"/>
      <w:numFmt w:val="lowerLetter"/>
      <w:lvlText w:val="(%1)"/>
      <w:lvlJc w:val="left"/>
      <w:pPr>
        <w:ind w:left="720" w:hanging="360"/>
      </w:pPr>
      <w:rPr>
        <w:rFonts w:ascii="Arial" w:hAnsi="Arial" w:cs="Arial"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22D77F2"/>
    <w:multiLevelType w:val="hybridMultilevel"/>
    <w:tmpl w:val="E048C7F4"/>
    <w:lvl w:ilvl="0" w:tplc="6FC2BD84">
      <w:start w:val="1"/>
      <w:numFmt w:val="lowerLetter"/>
      <w:lvlText w:val="(%1)"/>
      <w:lvlJc w:val="left"/>
      <w:pPr>
        <w:ind w:left="720" w:hanging="360"/>
      </w:pPr>
      <w:rPr>
        <w:rFonts w:ascii="Arial" w:hAnsi="Arial" w:cs="Arial"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AEB52DE"/>
    <w:multiLevelType w:val="hybridMultilevel"/>
    <w:tmpl w:val="24BEE7FC"/>
    <w:lvl w:ilvl="0" w:tplc="BD1C7EDC">
      <w:start w:val="1"/>
      <w:numFmt w:val="lowerRoman"/>
      <w:lvlText w:val="(%1)"/>
      <w:lvlJc w:val="left"/>
      <w:pPr>
        <w:ind w:left="1440" w:hanging="72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BC20F52"/>
    <w:multiLevelType w:val="hybridMultilevel"/>
    <w:tmpl w:val="925422AE"/>
    <w:lvl w:ilvl="0" w:tplc="228004C6">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C5D5BE9"/>
    <w:multiLevelType w:val="multilevel"/>
    <w:tmpl w:val="88B2C03E"/>
    <w:lvl w:ilvl="0">
      <w:start w:val="1"/>
      <w:numFmt w:val="decimal"/>
      <w:isLgl/>
      <w:lvlText w:val="[%1]     "/>
      <w:lvlJc w:val="left"/>
      <w:pPr>
        <w:tabs>
          <w:tab w:val="num" w:pos="567"/>
        </w:tabs>
        <w:ind w:left="0" w:firstLine="0"/>
      </w:pPr>
      <w:rPr>
        <w:rFonts w:ascii="Arial" w:hAnsi="Arial" w:cs="Arial" w:hint="default"/>
        <w:b w:val="0"/>
        <w:i w:val="0"/>
        <w:sz w:val="24"/>
      </w:rPr>
    </w:lvl>
    <w:lvl w:ilvl="1">
      <w:start w:val="1"/>
      <w:numFmt w:val="decimal"/>
      <w:lvlText w:val="[%1.%2.]"/>
      <w:lvlJc w:val="left"/>
      <w:pPr>
        <w:tabs>
          <w:tab w:val="num" w:pos="567"/>
        </w:tabs>
        <w:ind w:left="0" w:firstLine="0"/>
      </w:pPr>
    </w:lvl>
    <w:lvl w:ilvl="2">
      <w:start w:val="1"/>
      <w:numFmt w:val="decimal"/>
      <w:lvlText w:val="[%1.%2.%3.]"/>
      <w:lvlJc w:val="left"/>
      <w:pPr>
        <w:tabs>
          <w:tab w:val="num" w:pos="567"/>
        </w:tabs>
        <w:ind w:left="0" w:firstLine="0"/>
      </w:pPr>
    </w:lvl>
    <w:lvl w:ilvl="3">
      <w:start w:val="1"/>
      <w:numFmt w:val="decimal"/>
      <w:lvlText w:val="[%1.%2.%3.%4.]"/>
      <w:lvlJc w:val="left"/>
      <w:pPr>
        <w:tabs>
          <w:tab w:val="num" w:pos="567"/>
        </w:tabs>
        <w:ind w:left="0" w:firstLine="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1CC61A3C"/>
    <w:multiLevelType w:val="hybridMultilevel"/>
    <w:tmpl w:val="F0660EF4"/>
    <w:lvl w:ilvl="0" w:tplc="76F8ABEC">
      <w:start w:val="1"/>
      <w:numFmt w:val="lowerRoman"/>
      <w:lvlText w:val="(%1)"/>
      <w:lvlJc w:val="left"/>
      <w:pPr>
        <w:ind w:left="1440" w:hanging="72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234121C1"/>
    <w:multiLevelType w:val="hybridMultilevel"/>
    <w:tmpl w:val="9DCAF086"/>
    <w:lvl w:ilvl="0" w:tplc="D9AE87D6">
      <w:start w:val="1"/>
      <w:numFmt w:val="lowerRoman"/>
      <w:lvlText w:val="(%1)"/>
      <w:lvlJc w:val="left"/>
      <w:pPr>
        <w:ind w:left="1440" w:hanging="72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2A7E6F48"/>
    <w:multiLevelType w:val="hybridMultilevel"/>
    <w:tmpl w:val="F06E49E2"/>
    <w:lvl w:ilvl="0" w:tplc="76E4AD1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300B4836"/>
    <w:multiLevelType w:val="hybridMultilevel"/>
    <w:tmpl w:val="5AF016BE"/>
    <w:lvl w:ilvl="0" w:tplc="DBBAFE4C">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06D0B22"/>
    <w:multiLevelType w:val="hybridMultilevel"/>
    <w:tmpl w:val="7F2883FA"/>
    <w:lvl w:ilvl="0" w:tplc="7A8E1388">
      <w:start w:val="1"/>
      <w:numFmt w:val="upperLetter"/>
      <w:lvlText w:val="(%1)"/>
      <w:lvlJc w:val="left"/>
      <w:pPr>
        <w:ind w:left="720" w:hanging="360"/>
      </w:pPr>
      <w:rPr>
        <w:rFonts w:ascii="Arial" w:eastAsiaTheme="minorHAns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0A15F43"/>
    <w:multiLevelType w:val="hybridMultilevel"/>
    <w:tmpl w:val="3F08AB56"/>
    <w:lvl w:ilvl="0" w:tplc="7492701C">
      <w:start w:val="1"/>
      <w:numFmt w:val="lowerLetter"/>
      <w:lvlText w:val="(%1)"/>
      <w:lvlJc w:val="left"/>
      <w:pPr>
        <w:ind w:left="720" w:hanging="360"/>
      </w:pPr>
      <w:rPr>
        <w:rFonts w:ascii="Arial" w:hAnsi="Arial" w:cs="Arial"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3B61767"/>
    <w:multiLevelType w:val="hybridMultilevel"/>
    <w:tmpl w:val="DC845B12"/>
    <w:lvl w:ilvl="0" w:tplc="39D4FA6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CE56C37"/>
    <w:multiLevelType w:val="hybridMultilevel"/>
    <w:tmpl w:val="328C725E"/>
    <w:lvl w:ilvl="0" w:tplc="993279E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13014BB"/>
    <w:multiLevelType w:val="hybridMultilevel"/>
    <w:tmpl w:val="7CD43526"/>
    <w:lvl w:ilvl="0" w:tplc="9ECEB3A0">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418D060D"/>
    <w:multiLevelType w:val="hybridMultilevel"/>
    <w:tmpl w:val="743A5E96"/>
    <w:lvl w:ilvl="0" w:tplc="8F8EBDD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451C0287"/>
    <w:multiLevelType w:val="multilevel"/>
    <w:tmpl w:val="D0DE572A"/>
    <w:lvl w:ilvl="0">
      <w:start w:val="1"/>
      <w:numFmt w:val="decimal"/>
      <w:lvlText w:val="[%1]"/>
      <w:lvlJc w:val="left"/>
      <w:pPr>
        <w:tabs>
          <w:tab w:val="num" w:pos="567"/>
        </w:tabs>
        <w:ind w:left="567" w:hanging="567"/>
      </w:pPr>
      <w:rPr>
        <w:rFonts w:cs="Times New Roman" w:hint="default"/>
        <w:b w:val="0"/>
        <w:i w:val="0"/>
      </w:rPr>
    </w:lvl>
    <w:lvl w:ilvl="1">
      <w:start w:val="1"/>
      <w:numFmt w:val="lowerLetter"/>
      <w:pStyle w:val="LegalHeading2"/>
      <w:lvlText w:val="(%2)"/>
      <w:lvlJc w:val="left"/>
      <w:pPr>
        <w:tabs>
          <w:tab w:val="num" w:pos="2269"/>
        </w:tabs>
        <w:ind w:left="2269" w:hanging="1134"/>
      </w:pPr>
      <w:rPr>
        <w:rFonts w:ascii="Arial" w:eastAsia="Times New Roman" w:hAnsi="Arial" w:cs="Times New Roman"/>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9" w15:restartNumberingAfterBreak="0">
    <w:nsid w:val="455212B3"/>
    <w:multiLevelType w:val="hybridMultilevel"/>
    <w:tmpl w:val="1B201594"/>
    <w:lvl w:ilvl="0" w:tplc="D69CBE1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56A952E6"/>
    <w:multiLevelType w:val="hybridMultilevel"/>
    <w:tmpl w:val="F0327740"/>
    <w:lvl w:ilvl="0" w:tplc="433A8D02">
      <w:start w:val="1"/>
      <w:numFmt w:val="lowerLetter"/>
      <w:lvlText w:val="(%1)"/>
      <w:lvlJc w:val="left"/>
      <w:pPr>
        <w:ind w:left="720" w:hanging="360"/>
      </w:pPr>
      <w:rPr>
        <w:rFonts w:ascii="Arial" w:hAnsi="Arial" w:cs="Arial"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7DF4540"/>
    <w:multiLevelType w:val="hybridMultilevel"/>
    <w:tmpl w:val="2BC6C01A"/>
    <w:lvl w:ilvl="0" w:tplc="ADF89CA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601B32DE"/>
    <w:multiLevelType w:val="hybridMultilevel"/>
    <w:tmpl w:val="77FC9E24"/>
    <w:lvl w:ilvl="0" w:tplc="616E1BC8">
      <w:start w:val="1"/>
      <w:numFmt w:val="lowerLetter"/>
      <w:lvlText w:val="(%1)"/>
      <w:lvlJc w:val="left"/>
      <w:pPr>
        <w:ind w:left="410" w:hanging="360"/>
      </w:pPr>
      <w:rPr>
        <w:rFonts w:ascii="Arial" w:hAnsi="Arial" w:cs="Arial" w:hint="default"/>
        <w:b w:val="0"/>
        <w:sz w:val="24"/>
        <w:szCs w:val="24"/>
      </w:rPr>
    </w:lvl>
    <w:lvl w:ilvl="1" w:tplc="1C090019" w:tentative="1">
      <w:start w:val="1"/>
      <w:numFmt w:val="lowerLetter"/>
      <w:lvlText w:val="%2."/>
      <w:lvlJc w:val="left"/>
      <w:pPr>
        <w:ind w:left="1130" w:hanging="360"/>
      </w:pPr>
    </w:lvl>
    <w:lvl w:ilvl="2" w:tplc="1C09001B" w:tentative="1">
      <w:start w:val="1"/>
      <w:numFmt w:val="lowerRoman"/>
      <w:lvlText w:val="%3."/>
      <w:lvlJc w:val="right"/>
      <w:pPr>
        <w:ind w:left="1850" w:hanging="180"/>
      </w:pPr>
    </w:lvl>
    <w:lvl w:ilvl="3" w:tplc="1C09000F" w:tentative="1">
      <w:start w:val="1"/>
      <w:numFmt w:val="decimal"/>
      <w:lvlText w:val="%4."/>
      <w:lvlJc w:val="left"/>
      <w:pPr>
        <w:ind w:left="2570" w:hanging="360"/>
      </w:pPr>
    </w:lvl>
    <w:lvl w:ilvl="4" w:tplc="1C090019" w:tentative="1">
      <w:start w:val="1"/>
      <w:numFmt w:val="lowerLetter"/>
      <w:lvlText w:val="%5."/>
      <w:lvlJc w:val="left"/>
      <w:pPr>
        <w:ind w:left="3290" w:hanging="360"/>
      </w:pPr>
    </w:lvl>
    <w:lvl w:ilvl="5" w:tplc="1C09001B" w:tentative="1">
      <w:start w:val="1"/>
      <w:numFmt w:val="lowerRoman"/>
      <w:lvlText w:val="%6."/>
      <w:lvlJc w:val="right"/>
      <w:pPr>
        <w:ind w:left="4010" w:hanging="180"/>
      </w:pPr>
    </w:lvl>
    <w:lvl w:ilvl="6" w:tplc="1C09000F" w:tentative="1">
      <w:start w:val="1"/>
      <w:numFmt w:val="decimal"/>
      <w:lvlText w:val="%7."/>
      <w:lvlJc w:val="left"/>
      <w:pPr>
        <w:ind w:left="4730" w:hanging="360"/>
      </w:pPr>
    </w:lvl>
    <w:lvl w:ilvl="7" w:tplc="1C090019" w:tentative="1">
      <w:start w:val="1"/>
      <w:numFmt w:val="lowerLetter"/>
      <w:lvlText w:val="%8."/>
      <w:lvlJc w:val="left"/>
      <w:pPr>
        <w:ind w:left="5450" w:hanging="360"/>
      </w:pPr>
    </w:lvl>
    <w:lvl w:ilvl="8" w:tplc="1C09001B" w:tentative="1">
      <w:start w:val="1"/>
      <w:numFmt w:val="lowerRoman"/>
      <w:lvlText w:val="%9."/>
      <w:lvlJc w:val="right"/>
      <w:pPr>
        <w:ind w:left="6170" w:hanging="180"/>
      </w:pPr>
    </w:lvl>
  </w:abstractNum>
  <w:abstractNum w:abstractNumId="23" w15:restartNumberingAfterBreak="0">
    <w:nsid w:val="60B67FCC"/>
    <w:multiLevelType w:val="hybridMultilevel"/>
    <w:tmpl w:val="416E73B0"/>
    <w:lvl w:ilvl="0" w:tplc="8F2AE47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618446E3"/>
    <w:multiLevelType w:val="hybridMultilevel"/>
    <w:tmpl w:val="4DC621C2"/>
    <w:lvl w:ilvl="0" w:tplc="212C1A90">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360285A"/>
    <w:multiLevelType w:val="hybridMultilevel"/>
    <w:tmpl w:val="9A1251D6"/>
    <w:lvl w:ilvl="0" w:tplc="F67CB432">
      <w:start w:val="1"/>
      <w:numFmt w:val="lowerLetter"/>
      <w:lvlText w:val="(%1)"/>
      <w:lvlJc w:val="left"/>
      <w:pPr>
        <w:ind w:left="720" w:hanging="360"/>
      </w:pPr>
      <w:rPr>
        <w:rFonts w:ascii="Arial" w:hAnsi="Arial" w:cs="Arial"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4596E29"/>
    <w:multiLevelType w:val="hybridMultilevel"/>
    <w:tmpl w:val="6908C7B4"/>
    <w:lvl w:ilvl="0" w:tplc="ED8A7900">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82F1252"/>
    <w:multiLevelType w:val="hybridMultilevel"/>
    <w:tmpl w:val="2EB4115A"/>
    <w:lvl w:ilvl="0" w:tplc="0D68B03A">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CBE7E7B"/>
    <w:multiLevelType w:val="multilevel"/>
    <w:tmpl w:val="ECF2AC9A"/>
    <w:lvl w:ilvl="0">
      <w:start w:val="1"/>
      <w:numFmt w:val="decimal"/>
      <w:lvlText w:val="%1"/>
      <w:lvlJc w:val="left"/>
      <w:pPr>
        <w:ind w:left="430" w:hanging="430"/>
      </w:pPr>
      <w:rPr>
        <w:rFonts w:hint="default"/>
      </w:rPr>
    </w:lvl>
    <w:lvl w:ilvl="1">
      <w:start w:val="1"/>
      <w:numFmt w:val="decimal"/>
      <w:lvlText w:val="%1.%2"/>
      <w:lvlJc w:val="left"/>
      <w:pPr>
        <w:ind w:left="1438" w:hanging="430"/>
      </w:pPr>
      <w:rPr>
        <w:rFonts w:hint="default"/>
      </w:rPr>
    </w:lvl>
    <w:lvl w:ilvl="2">
      <w:start w:val="1"/>
      <w:numFmt w:val="decimal"/>
      <w:lvlText w:val="%1.%2.%3"/>
      <w:lvlJc w:val="left"/>
      <w:pPr>
        <w:ind w:left="2736" w:hanging="720"/>
      </w:pPr>
      <w:rPr>
        <w:rFonts w:hint="default"/>
      </w:rPr>
    </w:lvl>
    <w:lvl w:ilvl="3">
      <w:start w:val="1"/>
      <w:numFmt w:val="decimal"/>
      <w:lvlText w:val="%1.%2.%3.%4"/>
      <w:lvlJc w:val="left"/>
      <w:pPr>
        <w:ind w:left="3744" w:hanging="720"/>
      </w:pPr>
      <w:rPr>
        <w:rFonts w:hint="default"/>
      </w:rPr>
    </w:lvl>
    <w:lvl w:ilvl="4">
      <w:start w:val="1"/>
      <w:numFmt w:val="decimal"/>
      <w:lvlText w:val="%1.%2.%3.%4.%5"/>
      <w:lvlJc w:val="left"/>
      <w:pPr>
        <w:ind w:left="5112"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488" w:hanging="1440"/>
      </w:pPr>
      <w:rPr>
        <w:rFonts w:hint="default"/>
      </w:rPr>
    </w:lvl>
    <w:lvl w:ilvl="7">
      <w:start w:val="1"/>
      <w:numFmt w:val="decimal"/>
      <w:lvlText w:val="%1.%2.%3.%4.%5.%6.%7.%8"/>
      <w:lvlJc w:val="left"/>
      <w:pPr>
        <w:ind w:left="8496" w:hanging="1440"/>
      </w:pPr>
      <w:rPr>
        <w:rFonts w:hint="default"/>
      </w:rPr>
    </w:lvl>
    <w:lvl w:ilvl="8">
      <w:start w:val="1"/>
      <w:numFmt w:val="decimal"/>
      <w:lvlText w:val="%1.%2.%3.%4.%5.%6.%7.%8.%9"/>
      <w:lvlJc w:val="left"/>
      <w:pPr>
        <w:ind w:left="9504" w:hanging="1440"/>
      </w:pPr>
      <w:rPr>
        <w:rFonts w:hint="default"/>
      </w:rPr>
    </w:lvl>
  </w:abstractNum>
  <w:abstractNum w:abstractNumId="29" w15:restartNumberingAfterBreak="0">
    <w:nsid w:val="6FF00797"/>
    <w:multiLevelType w:val="hybridMultilevel"/>
    <w:tmpl w:val="3FECBC20"/>
    <w:lvl w:ilvl="0" w:tplc="F0E667C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15:restartNumberingAfterBreak="0">
    <w:nsid w:val="71477EFB"/>
    <w:multiLevelType w:val="hybridMultilevel"/>
    <w:tmpl w:val="C4988CC2"/>
    <w:lvl w:ilvl="0" w:tplc="DD4ADD70">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18B4167"/>
    <w:multiLevelType w:val="hybridMultilevel"/>
    <w:tmpl w:val="3C2CDC6E"/>
    <w:lvl w:ilvl="0" w:tplc="7E2E28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1C01E44"/>
    <w:multiLevelType w:val="hybridMultilevel"/>
    <w:tmpl w:val="3DDCA012"/>
    <w:lvl w:ilvl="0" w:tplc="DF3815F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2154D4E"/>
    <w:multiLevelType w:val="hybridMultilevel"/>
    <w:tmpl w:val="D952CA36"/>
    <w:lvl w:ilvl="0" w:tplc="0364943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8674E1F"/>
    <w:multiLevelType w:val="hybridMultilevel"/>
    <w:tmpl w:val="A69AEADE"/>
    <w:lvl w:ilvl="0" w:tplc="A55E7C9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7"/>
  </w:num>
  <w:num w:numId="2">
    <w:abstractNumId w:val="28"/>
  </w:num>
  <w:num w:numId="3">
    <w:abstractNumId w:val="13"/>
  </w:num>
  <w:num w:numId="4">
    <w:abstractNumId w:val="4"/>
  </w:num>
  <w:num w:numId="5">
    <w:abstractNumId w:val="14"/>
  </w:num>
  <w:num w:numId="6">
    <w:abstractNumId w:val="10"/>
  </w:num>
  <w:num w:numId="7">
    <w:abstractNumId w:val="3"/>
  </w:num>
  <w:num w:numId="8">
    <w:abstractNumId w:val="29"/>
  </w:num>
  <w:num w:numId="9">
    <w:abstractNumId w:val="1"/>
  </w:num>
  <w:num w:numId="10">
    <w:abstractNumId w:val="19"/>
  </w:num>
  <w:num w:numId="11">
    <w:abstractNumId w:val="20"/>
  </w:num>
  <w:num w:numId="12">
    <w:abstractNumId w:val="23"/>
  </w:num>
  <w:num w:numId="13">
    <w:abstractNumId w:val="11"/>
  </w:num>
  <w:num w:numId="14">
    <w:abstractNumId w:val="6"/>
  </w:num>
  <w:num w:numId="15">
    <w:abstractNumId w:val="31"/>
  </w:num>
  <w:num w:numId="16">
    <w:abstractNumId w:val="34"/>
  </w:num>
  <w:num w:numId="17">
    <w:abstractNumId w:val="22"/>
  </w:num>
  <w:num w:numId="18">
    <w:abstractNumId w:val="17"/>
  </w:num>
  <w:num w:numId="19">
    <w:abstractNumId w:val="16"/>
  </w:num>
  <w:num w:numId="20">
    <w:abstractNumId w:val="8"/>
  </w:num>
  <w:num w:numId="21">
    <w:abstractNumId w:val="21"/>
  </w:num>
  <w:num w:numId="22">
    <w:abstractNumId w:val="33"/>
  </w:num>
  <w:num w:numId="23">
    <w:abstractNumId w:val="5"/>
  </w:num>
  <w:num w:numId="24">
    <w:abstractNumId w:val="32"/>
  </w:num>
  <w:num w:numId="25">
    <w:abstractNumId w:val="9"/>
  </w:num>
  <w:num w:numId="26">
    <w:abstractNumId w:val="24"/>
  </w:num>
  <w:num w:numId="27">
    <w:abstractNumId w:val="2"/>
  </w:num>
  <w:num w:numId="28">
    <w:abstractNumId w:val="12"/>
  </w:num>
  <w:num w:numId="29">
    <w:abstractNumId w:val="15"/>
  </w:num>
  <w:num w:numId="30">
    <w:abstractNumId w:val="0"/>
  </w:num>
  <w:num w:numId="31">
    <w:abstractNumId w:val="27"/>
  </w:num>
  <w:num w:numId="32">
    <w:abstractNumId w:val="26"/>
  </w:num>
  <w:num w:numId="33">
    <w:abstractNumId w:val="18"/>
  </w:num>
  <w:num w:numId="34">
    <w:abstractNumId w:val="30"/>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A3"/>
    <w:rsid w:val="00000830"/>
    <w:rsid w:val="00001A73"/>
    <w:rsid w:val="0000338E"/>
    <w:rsid w:val="0000447B"/>
    <w:rsid w:val="00005505"/>
    <w:rsid w:val="000058DE"/>
    <w:rsid w:val="0000675E"/>
    <w:rsid w:val="00006A97"/>
    <w:rsid w:val="00010FCF"/>
    <w:rsid w:val="00011AD4"/>
    <w:rsid w:val="00014E96"/>
    <w:rsid w:val="00017B93"/>
    <w:rsid w:val="00017F88"/>
    <w:rsid w:val="00023910"/>
    <w:rsid w:val="00026723"/>
    <w:rsid w:val="000312DE"/>
    <w:rsid w:val="00032C3F"/>
    <w:rsid w:val="00033059"/>
    <w:rsid w:val="00035D5E"/>
    <w:rsid w:val="00037FC6"/>
    <w:rsid w:val="00041505"/>
    <w:rsid w:val="00043C9E"/>
    <w:rsid w:val="00046D78"/>
    <w:rsid w:val="00050DF6"/>
    <w:rsid w:val="00051ECE"/>
    <w:rsid w:val="000571BE"/>
    <w:rsid w:val="00057C23"/>
    <w:rsid w:val="00062E84"/>
    <w:rsid w:val="0006417E"/>
    <w:rsid w:val="00067802"/>
    <w:rsid w:val="000807A4"/>
    <w:rsid w:val="000859CB"/>
    <w:rsid w:val="0009188D"/>
    <w:rsid w:val="0009220B"/>
    <w:rsid w:val="00094E41"/>
    <w:rsid w:val="000956E0"/>
    <w:rsid w:val="0009668D"/>
    <w:rsid w:val="00097A2C"/>
    <w:rsid w:val="000A3636"/>
    <w:rsid w:val="000A3B25"/>
    <w:rsid w:val="000A769E"/>
    <w:rsid w:val="000B11E3"/>
    <w:rsid w:val="000B1731"/>
    <w:rsid w:val="000B290D"/>
    <w:rsid w:val="000B3108"/>
    <w:rsid w:val="000B3443"/>
    <w:rsid w:val="000B463F"/>
    <w:rsid w:val="000B57A3"/>
    <w:rsid w:val="000B6C7C"/>
    <w:rsid w:val="000B6FA8"/>
    <w:rsid w:val="000C0152"/>
    <w:rsid w:val="000C08EB"/>
    <w:rsid w:val="000C3AAE"/>
    <w:rsid w:val="000C414C"/>
    <w:rsid w:val="000C5148"/>
    <w:rsid w:val="000C5DC1"/>
    <w:rsid w:val="000D2937"/>
    <w:rsid w:val="000D2B07"/>
    <w:rsid w:val="000D3740"/>
    <w:rsid w:val="000D43FE"/>
    <w:rsid w:val="000D5471"/>
    <w:rsid w:val="000D64F0"/>
    <w:rsid w:val="000E1074"/>
    <w:rsid w:val="000E4F96"/>
    <w:rsid w:val="000E50C7"/>
    <w:rsid w:val="000E762B"/>
    <w:rsid w:val="000F07BD"/>
    <w:rsid w:val="000F31A6"/>
    <w:rsid w:val="000F32D5"/>
    <w:rsid w:val="000F3BF8"/>
    <w:rsid w:val="000F5C16"/>
    <w:rsid w:val="000F6807"/>
    <w:rsid w:val="000F7C0A"/>
    <w:rsid w:val="00101291"/>
    <w:rsid w:val="00101EBE"/>
    <w:rsid w:val="0011065F"/>
    <w:rsid w:val="00112974"/>
    <w:rsid w:val="00112F43"/>
    <w:rsid w:val="0011452E"/>
    <w:rsid w:val="00120689"/>
    <w:rsid w:val="00122298"/>
    <w:rsid w:val="00130DB5"/>
    <w:rsid w:val="00132AAA"/>
    <w:rsid w:val="0013425F"/>
    <w:rsid w:val="0013774C"/>
    <w:rsid w:val="00140FD6"/>
    <w:rsid w:val="001423AB"/>
    <w:rsid w:val="00143442"/>
    <w:rsid w:val="00143FB2"/>
    <w:rsid w:val="001552DE"/>
    <w:rsid w:val="00156A74"/>
    <w:rsid w:val="00157010"/>
    <w:rsid w:val="00157BCB"/>
    <w:rsid w:val="00161F8B"/>
    <w:rsid w:val="00166D2B"/>
    <w:rsid w:val="00167F4C"/>
    <w:rsid w:val="00167FF0"/>
    <w:rsid w:val="00172F3E"/>
    <w:rsid w:val="00174773"/>
    <w:rsid w:val="0017557E"/>
    <w:rsid w:val="001762F9"/>
    <w:rsid w:val="00176C97"/>
    <w:rsid w:val="00181015"/>
    <w:rsid w:val="00181B11"/>
    <w:rsid w:val="001878D4"/>
    <w:rsid w:val="00187A86"/>
    <w:rsid w:val="00190477"/>
    <w:rsid w:val="0019133D"/>
    <w:rsid w:val="001926BE"/>
    <w:rsid w:val="00193011"/>
    <w:rsid w:val="0019310E"/>
    <w:rsid w:val="00193421"/>
    <w:rsid w:val="00194E47"/>
    <w:rsid w:val="00195166"/>
    <w:rsid w:val="001A00F8"/>
    <w:rsid w:val="001A0920"/>
    <w:rsid w:val="001A5419"/>
    <w:rsid w:val="001A5C32"/>
    <w:rsid w:val="001A6EB3"/>
    <w:rsid w:val="001A764D"/>
    <w:rsid w:val="001B1820"/>
    <w:rsid w:val="001B239A"/>
    <w:rsid w:val="001B392F"/>
    <w:rsid w:val="001B7123"/>
    <w:rsid w:val="001C0D3F"/>
    <w:rsid w:val="001C1025"/>
    <w:rsid w:val="001C3D83"/>
    <w:rsid w:val="001C5974"/>
    <w:rsid w:val="001C67AE"/>
    <w:rsid w:val="001C7FF1"/>
    <w:rsid w:val="001D648D"/>
    <w:rsid w:val="001E061D"/>
    <w:rsid w:val="001E438F"/>
    <w:rsid w:val="001E76D5"/>
    <w:rsid w:val="001F1FCA"/>
    <w:rsid w:val="001F238B"/>
    <w:rsid w:val="001F3C50"/>
    <w:rsid w:val="001F4B51"/>
    <w:rsid w:val="001F59AF"/>
    <w:rsid w:val="001F679A"/>
    <w:rsid w:val="001F6AE1"/>
    <w:rsid w:val="001F6D16"/>
    <w:rsid w:val="001F71E9"/>
    <w:rsid w:val="00200915"/>
    <w:rsid w:val="00201502"/>
    <w:rsid w:val="00202FCE"/>
    <w:rsid w:val="00203EBD"/>
    <w:rsid w:val="00205FD0"/>
    <w:rsid w:val="002104DF"/>
    <w:rsid w:val="0021580C"/>
    <w:rsid w:val="002221E0"/>
    <w:rsid w:val="002300D8"/>
    <w:rsid w:val="00230653"/>
    <w:rsid w:val="002322C6"/>
    <w:rsid w:val="0023490E"/>
    <w:rsid w:val="0024253F"/>
    <w:rsid w:val="00243F21"/>
    <w:rsid w:val="00247AFD"/>
    <w:rsid w:val="00247D75"/>
    <w:rsid w:val="002506FA"/>
    <w:rsid w:val="00250EA3"/>
    <w:rsid w:val="00253C7D"/>
    <w:rsid w:val="00254BA0"/>
    <w:rsid w:val="00256F34"/>
    <w:rsid w:val="00260D2B"/>
    <w:rsid w:val="00261F87"/>
    <w:rsid w:val="00262464"/>
    <w:rsid w:val="00264C6C"/>
    <w:rsid w:val="00265811"/>
    <w:rsid w:val="00265C22"/>
    <w:rsid w:val="0026653D"/>
    <w:rsid w:val="00270AF0"/>
    <w:rsid w:val="00270E91"/>
    <w:rsid w:val="002718B3"/>
    <w:rsid w:val="002739C4"/>
    <w:rsid w:val="002752F1"/>
    <w:rsid w:val="00275AD9"/>
    <w:rsid w:val="00280336"/>
    <w:rsid w:val="00280DC2"/>
    <w:rsid w:val="002818A2"/>
    <w:rsid w:val="0028202E"/>
    <w:rsid w:val="00285BD1"/>
    <w:rsid w:val="00290FF9"/>
    <w:rsid w:val="0029173D"/>
    <w:rsid w:val="00291A6A"/>
    <w:rsid w:val="002934CF"/>
    <w:rsid w:val="002978D3"/>
    <w:rsid w:val="002A01C2"/>
    <w:rsid w:val="002A34C4"/>
    <w:rsid w:val="002A3A8C"/>
    <w:rsid w:val="002B18A2"/>
    <w:rsid w:val="002B74EE"/>
    <w:rsid w:val="002C0137"/>
    <w:rsid w:val="002C3085"/>
    <w:rsid w:val="002C37F0"/>
    <w:rsid w:val="002C5208"/>
    <w:rsid w:val="002C6F7A"/>
    <w:rsid w:val="002D246F"/>
    <w:rsid w:val="002D30B7"/>
    <w:rsid w:val="002D5E53"/>
    <w:rsid w:val="002E001D"/>
    <w:rsid w:val="002E1BB9"/>
    <w:rsid w:val="002E1DE1"/>
    <w:rsid w:val="002E2E9C"/>
    <w:rsid w:val="002E511F"/>
    <w:rsid w:val="002E522E"/>
    <w:rsid w:val="002E55E7"/>
    <w:rsid w:val="002E6ABE"/>
    <w:rsid w:val="002F2857"/>
    <w:rsid w:val="002F3BA4"/>
    <w:rsid w:val="002F3C6D"/>
    <w:rsid w:val="002F5120"/>
    <w:rsid w:val="002F543C"/>
    <w:rsid w:val="00306A8E"/>
    <w:rsid w:val="00313C31"/>
    <w:rsid w:val="00314EF6"/>
    <w:rsid w:val="003156FB"/>
    <w:rsid w:val="00317A1F"/>
    <w:rsid w:val="00317A55"/>
    <w:rsid w:val="00317B6D"/>
    <w:rsid w:val="00323ADA"/>
    <w:rsid w:val="00325C12"/>
    <w:rsid w:val="0032723C"/>
    <w:rsid w:val="00327283"/>
    <w:rsid w:val="00332A1A"/>
    <w:rsid w:val="00334CA7"/>
    <w:rsid w:val="003370DC"/>
    <w:rsid w:val="00341BEF"/>
    <w:rsid w:val="003468FF"/>
    <w:rsid w:val="00346E94"/>
    <w:rsid w:val="003500BB"/>
    <w:rsid w:val="003532C3"/>
    <w:rsid w:val="00353A7E"/>
    <w:rsid w:val="00360310"/>
    <w:rsid w:val="0036219B"/>
    <w:rsid w:val="0036560E"/>
    <w:rsid w:val="00366140"/>
    <w:rsid w:val="00366CFE"/>
    <w:rsid w:val="00372181"/>
    <w:rsid w:val="003723E4"/>
    <w:rsid w:val="00375933"/>
    <w:rsid w:val="00377D5B"/>
    <w:rsid w:val="0038179B"/>
    <w:rsid w:val="00381BF5"/>
    <w:rsid w:val="0038431C"/>
    <w:rsid w:val="00385709"/>
    <w:rsid w:val="00387A42"/>
    <w:rsid w:val="00390251"/>
    <w:rsid w:val="00394C5B"/>
    <w:rsid w:val="00397773"/>
    <w:rsid w:val="0039798A"/>
    <w:rsid w:val="00397C3B"/>
    <w:rsid w:val="003A0C01"/>
    <w:rsid w:val="003A2BBE"/>
    <w:rsid w:val="003A2D9F"/>
    <w:rsid w:val="003A2DB9"/>
    <w:rsid w:val="003A3704"/>
    <w:rsid w:val="003A4BF3"/>
    <w:rsid w:val="003B325C"/>
    <w:rsid w:val="003B3918"/>
    <w:rsid w:val="003B4322"/>
    <w:rsid w:val="003B50EF"/>
    <w:rsid w:val="003B61BA"/>
    <w:rsid w:val="003B776A"/>
    <w:rsid w:val="003C44B4"/>
    <w:rsid w:val="003D2332"/>
    <w:rsid w:val="003D4C1C"/>
    <w:rsid w:val="003E40FE"/>
    <w:rsid w:val="003E4170"/>
    <w:rsid w:val="003E4215"/>
    <w:rsid w:val="003E49B4"/>
    <w:rsid w:val="003E5392"/>
    <w:rsid w:val="003E6C90"/>
    <w:rsid w:val="003F21D2"/>
    <w:rsid w:val="003F4311"/>
    <w:rsid w:val="003F666F"/>
    <w:rsid w:val="003F7730"/>
    <w:rsid w:val="004002F0"/>
    <w:rsid w:val="004065BF"/>
    <w:rsid w:val="00407944"/>
    <w:rsid w:val="00411BBB"/>
    <w:rsid w:val="004125F9"/>
    <w:rsid w:val="0041636C"/>
    <w:rsid w:val="00423801"/>
    <w:rsid w:val="0042601A"/>
    <w:rsid w:val="004269C8"/>
    <w:rsid w:val="00427058"/>
    <w:rsid w:val="00431119"/>
    <w:rsid w:val="0043454D"/>
    <w:rsid w:val="00434E8A"/>
    <w:rsid w:val="00436116"/>
    <w:rsid w:val="0043639F"/>
    <w:rsid w:val="00437A72"/>
    <w:rsid w:val="004410A7"/>
    <w:rsid w:val="004422D7"/>
    <w:rsid w:val="004502AA"/>
    <w:rsid w:val="004605E9"/>
    <w:rsid w:val="00461268"/>
    <w:rsid w:val="004654F1"/>
    <w:rsid w:val="00465DE3"/>
    <w:rsid w:val="00467755"/>
    <w:rsid w:val="00467766"/>
    <w:rsid w:val="00472A3C"/>
    <w:rsid w:val="004768BD"/>
    <w:rsid w:val="00481D8B"/>
    <w:rsid w:val="004825CC"/>
    <w:rsid w:val="00486968"/>
    <w:rsid w:val="00486A18"/>
    <w:rsid w:val="00490398"/>
    <w:rsid w:val="00490B16"/>
    <w:rsid w:val="00492668"/>
    <w:rsid w:val="00492996"/>
    <w:rsid w:val="004931E8"/>
    <w:rsid w:val="004940D8"/>
    <w:rsid w:val="004975BE"/>
    <w:rsid w:val="004A13C9"/>
    <w:rsid w:val="004A4F0B"/>
    <w:rsid w:val="004B1581"/>
    <w:rsid w:val="004B16E8"/>
    <w:rsid w:val="004B33D7"/>
    <w:rsid w:val="004C1D17"/>
    <w:rsid w:val="004C20EF"/>
    <w:rsid w:val="004C2A8A"/>
    <w:rsid w:val="004C341A"/>
    <w:rsid w:val="004C35D4"/>
    <w:rsid w:val="004C5E1A"/>
    <w:rsid w:val="004C7455"/>
    <w:rsid w:val="004C77F2"/>
    <w:rsid w:val="004C79D3"/>
    <w:rsid w:val="004D2E5B"/>
    <w:rsid w:val="004D7BCE"/>
    <w:rsid w:val="004D7F40"/>
    <w:rsid w:val="004E0835"/>
    <w:rsid w:val="004E1342"/>
    <w:rsid w:val="004E4AB3"/>
    <w:rsid w:val="004E6D02"/>
    <w:rsid w:val="004E7E4A"/>
    <w:rsid w:val="004F00C6"/>
    <w:rsid w:val="004F6878"/>
    <w:rsid w:val="004F6E8C"/>
    <w:rsid w:val="005009D2"/>
    <w:rsid w:val="005017B5"/>
    <w:rsid w:val="00502FB7"/>
    <w:rsid w:val="005107BD"/>
    <w:rsid w:val="00512C2D"/>
    <w:rsid w:val="005133AD"/>
    <w:rsid w:val="00514680"/>
    <w:rsid w:val="00521527"/>
    <w:rsid w:val="005225F4"/>
    <w:rsid w:val="005252B4"/>
    <w:rsid w:val="00525D67"/>
    <w:rsid w:val="00531156"/>
    <w:rsid w:val="0053176C"/>
    <w:rsid w:val="005320E4"/>
    <w:rsid w:val="00534228"/>
    <w:rsid w:val="005350F0"/>
    <w:rsid w:val="005403CE"/>
    <w:rsid w:val="005404A2"/>
    <w:rsid w:val="00541B78"/>
    <w:rsid w:val="0054252A"/>
    <w:rsid w:val="00544F24"/>
    <w:rsid w:val="00552833"/>
    <w:rsid w:val="00555705"/>
    <w:rsid w:val="00564F6E"/>
    <w:rsid w:val="00565FED"/>
    <w:rsid w:val="00570126"/>
    <w:rsid w:val="00572541"/>
    <w:rsid w:val="00580DCA"/>
    <w:rsid w:val="0058412E"/>
    <w:rsid w:val="00584B8F"/>
    <w:rsid w:val="00584D73"/>
    <w:rsid w:val="0058718B"/>
    <w:rsid w:val="00590677"/>
    <w:rsid w:val="005941E2"/>
    <w:rsid w:val="00594228"/>
    <w:rsid w:val="005969C6"/>
    <w:rsid w:val="00596AA7"/>
    <w:rsid w:val="005A1469"/>
    <w:rsid w:val="005A3A03"/>
    <w:rsid w:val="005A56DD"/>
    <w:rsid w:val="005A6204"/>
    <w:rsid w:val="005A6D01"/>
    <w:rsid w:val="005B1C7F"/>
    <w:rsid w:val="005B2AA3"/>
    <w:rsid w:val="005C0D1C"/>
    <w:rsid w:val="005C4A1E"/>
    <w:rsid w:val="005C709A"/>
    <w:rsid w:val="005C7D49"/>
    <w:rsid w:val="005D0DDC"/>
    <w:rsid w:val="005D0F7C"/>
    <w:rsid w:val="005D1080"/>
    <w:rsid w:val="005D15C5"/>
    <w:rsid w:val="005D5039"/>
    <w:rsid w:val="005D63B5"/>
    <w:rsid w:val="005E0468"/>
    <w:rsid w:val="005E1FF1"/>
    <w:rsid w:val="005E2997"/>
    <w:rsid w:val="005E48B2"/>
    <w:rsid w:val="005E6E8D"/>
    <w:rsid w:val="005E6EE1"/>
    <w:rsid w:val="005E7A6D"/>
    <w:rsid w:val="005F2507"/>
    <w:rsid w:val="005F4256"/>
    <w:rsid w:val="005F62F6"/>
    <w:rsid w:val="005F674A"/>
    <w:rsid w:val="00601D2E"/>
    <w:rsid w:val="00603D12"/>
    <w:rsid w:val="00605D12"/>
    <w:rsid w:val="006102C8"/>
    <w:rsid w:val="0061040E"/>
    <w:rsid w:val="00610B39"/>
    <w:rsid w:val="006138DA"/>
    <w:rsid w:val="006162F8"/>
    <w:rsid w:val="006175C1"/>
    <w:rsid w:val="00622270"/>
    <w:rsid w:val="006234DD"/>
    <w:rsid w:val="0062578D"/>
    <w:rsid w:val="00630199"/>
    <w:rsid w:val="00630473"/>
    <w:rsid w:val="00632226"/>
    <w:rsid w:val="00632DDB"/>
    <w:rsid w:val="00633323"/>
    <w:rsid w:val="00634406"/>
    <w:rsid w:val="0063713C"/>
    <w:rsid w:val="00640307"/>
    <w:rsid w:val="00642315"/>
    <w:rsid w:val="00643F45"/>
    <w:rsid w:val="006446CB"/>
    <w:rsid w:val="00646334"/>
    <w:rsid w:val="006514D6"/>
    <w:rsid w:val="00653FF7"/>
    <w:rsid w:val="0065480F"/>
    <w:rsid w:val="006560AA"/>
    <w:rsid w:val="0067006D"/>
    <w:rsid w:val="00672336"/>
    <w:rsid w:val="0067345C"/>
    <w:rsid w:val="00675865"/>
    <w:rsid w:val="0067692A"/>
    <w:rsid w:val="006778B3"/>
    <w:rsid w:val="006778DF"/>
    <w:rsid w:val="00677CA1"/>
    <w:rsid w:val="0068192C"/>
    <w:rsid w:val="00681DF4"/>
    <w:rsid w:val="0068290C"/>
    <w:rsid w:val="00683323"/>
    <w:rsid w:val="006913B8"/>
    <w:rsid w:val="0069208F"/>
    <w:rsid w:val="006928D6"/>
    <w:rsid w:val="006929B0"/>
    <w:rsid w:val="006941F0"/>
    <w:rsid w:val="00694C02"/>
    <w:rsid w:val="00695575"/>
    <w:rsid w:val="0069687F"/>
    <w:rsid w:val="00697F6C"/>
    <w:rsid w:val="006A03C0"/>
    <w:rsid w:val="006A6690"/>
    <w:rsid w:val="006A7122"/>
    <w:rsid w:val="006A7276"/>
    <w:rsid w:val="006A772B"/>
    <w:rsid w:val="006A7E01"/>
    <w:rsid w:val="006B359B"/>
    <w:rsid w:val="006B553A"/>
    <w:rsid w:val="006B7FDD"/>
    <w:rsid w:val="006C03AB"/>
    <w:rsid w:val="006C588E"/>
    <w:rsid w:val="006C72BC"/>
    <w:rsid w:val="006D1F30"/>
    <w:rsid w:val="006D2C44"/>
    <w:rsid w:val="006E2586"/>
    <w:rsid w:val="006E33A8"/>
    <w:rsid w:val="006E3808"/>
    <w:rsid w:val="006E3EAA"/>
    <w:rsid w:val="006E40EC"/>
    <w:rsid w:val="006E6172"/>
    <w:rsid w:val="006E65C0"/>
    <w:rsid w:val="006E6A98"/>
    <w:rsid w:val="006F4762"/>
    <w:rsid w:val="006F5F0B"/>
    <w:rsid w:val="007016A5"/>
    <w:rsid w:val="00703F7C"/>
    <w:rsid w:val="007059B9"/>
    <w:rsid w:val="007059D6"/>
    <w:rsid w:val="0070622F"/>
    <w:rsid w:val="0070629C"/>
    <w:rsid w:val="00706AD2"/>
    <w:rsid w:val="0070705B"/>
    <w:rsid w:val="00711485"/>
    <w:rsid w:val="00711AB3"/>
    <w:rsid w:val="00714D8E"/>
    <w:rsid w:val="00724373"/>
    <w:rsid w:val="0072479A"/>
    <w:rsid w:val="007249E5"/>
    <w:rsid w:val="00724D56"/>
    <w:rsid w:val="00726F1A"/>
    <w:rsid w:val="00727363"/>
    <w:rsid w:val="00733581"/>
    <w:rsid w:val="00735B20"/>
    <w:rsid w:val="00735EB3"/>
    <w:rsid w:val="0073690E"/>
    <w:rsid w:val="00740271"/>
    <w:rsid w:val="0074035C"/>
    <w:rsid w:val="00740F82"/>
    <w:rsid w:val="00742453"/>
    <w:rsid w:val="00753308"/>
    <w:rsid w:val="00756F94"/>
    <w:rsid w:val="00757203"/>
    <w:rsid w:val="00760930"/>
    <w:rsid w:val="00760E07"/>
    <w:rsid w:val="0076444F"/>
    <w:rsid w:val="00765DE1"/>
    <w:rsid w:val="0077393F"/>
    <w:rsid w:val="00773E6F"/>
    <w:rsid w:val="007748EB"/>
    <w:rsid w:val="00774FBF"/>
    <w:rsid w:val="007757CA"/>
    <w:rsid w:val="007777CD"/>
    <w:rsid w:val="00777F7F"/>
    <w:rsid w:val="00780234"/>
    <w:rsid w:val="00781545"/>
    <w:rsid w:val="007845EC"/>
    <w:rsid w:val="007850DD"/>
    <w:rsid w:val="00786061"/>
    <w:rsid w:val="00787538"/>
    <w:rsid w:val="00787F8E"/>
    <w:rsid w:val="00791466"/>
    <w:rsid w:val="00791B70"/>
    <w:rsid w:val="007926EF"/>
    <w:rsid w:val="007932F6"/>
    <w:rsid w:val="007A0D4B"/>
    <w:rsid w:val="007A2B4B"/>
    <w:rsid w:val="007A380A"/>
    <w:rsid w:val="007A477F"/>
    <w:rsid w:val="007A5178"/>
    <w:rsid w:val="007A6EE3"/>
    <w:rsid w:val="007B0049"/>
    <w:rsid w:val="007B1D4A"/>
    <w:rsid w:val="007B26E3"/>
    <w:rsid w:val="007B3EF9"/>
    <w:rsid w:val="007B460F"/>
    <w:rsid w:val="007C3CF4"/>
    <w:rsid w:val="007D1119"/>
    <w:rsid w:val="007D34C1"/>
    <w:rsid w:val="007D399B"/>
    <w:rsid w:val="007D3A46"/>
    <w:rsid w:val="007D514D"/>
    <w:rsid w:val="007D6288"/>
    <w:rsid w:val="007D6D23"/>
    <w:rsid w:val="007E2E38"/>
    <w:rsid w:val="007E5EAB"/>
    <w:rsid w:val="008003B4"/>
    <w:rsid w:val="00802233"/>
    <w:rsid w:val="00803B7B"/>
    <w:rsid w:val="008059ED"/>
    <w:rsid w:val="00812EC9"/>
    <w:rsid w:val="00814F93"/>
    <w:rsid w:val="00816C15"/>
    <w:rsid w:val="00816C25"/>
    <w:rsid w:val="00817005"/>
    <w:rsid w:val="00823AD0"/>
    <w:rsid w:val="008255CF"/>
    <w:rsid w:val="00834194"/>
    <w:rsid w:val="00843749"/>
    <w:rsid w:val="008445E0"/>
    <w:rsid w:val="00846F41"/>
    <w:rsid w:val="0085090F"/>
    <w:rsid w:val="00851C49"/>
    <w:rsid w:val="00857998"/>
    <w:rsid w:val="00861937"/>
    <w:rsid w:val="00863699"/>
    <w:rsid w:val="008667D3"/>
    <w:rsid w:val="008715B9"/>
    <w:rsid w:val="0087161E"/>
    <w:rsid w:val="008727EC"/>
    <w:rsid w:val="00874A69"/>
    <w:rsid w:val="00875BCC"/>
    <w:rsid w:val="00881F61"/>
    <w:rsid w:val="00882E56"/>
    <w:rsid w:val="008850E4"/>
    <w:rsid w:val="0088519B"/>
    <w:rsid w:val="00890761"/>
    <w:rsid w:val="008918DA"/>
    <w:rsid w:val="008938C9"/>
    <w:rsid w:val="0089412F"/>
    <w:rsid w:val="008A01D2"/>
    <w:rsid w:val="008A1035"/>
    <w:rsid w:val="008A176F"/>
    <w:rsid w:val="008A4665"/>
    <w:rsid w:val="008A537C"/>
    <w:rsid w:val="008B0A61"/>
    <w:rsid w:val="008B190E"/>
    <w:rsid w:val="008B51B1"/>
    <w:rsid w:val="008B7297"/>
    <w:rsid w:val="008C2B4D"/>
    <w:rsid w:val="008C3774"/>
    <w:rsid w:val="008C3A7B"/>
    <w:rsid w:val="008C5297"/>
    <w:rsid w:val="008C5DE0"/>
    <w:rsid w:val="008C6D2A"/>
    <w:rsid w:val="008C7E6A"/>
    <w:rsid w:val="008C7F08"/>
    <w:rsid w:val="008D0953"/>
    <w:rsid w:val="008D0C33"/>
    <w:rsid w:val="008D0CEB"/>
    <w:rsid w:val="008D13C5"/>
    <w:rsid w:val="008D35BB"/>
    <w:rsid w:val="008D7CF0"/>
    <w:rsid w:val="008E0F30"/>
    <w:rsid w:val="008E11DF"/>
    <w:rsid w:val="008E13A9"/>
    <w:rsid w:val="008E2724"/>
    <w:rsid w:val="008E2B93"/>
    <w:rsid w:val="008E35BD"/>
    <w:rsid w:val="008E685F"/>
    <w:rsid w:val="008F3A18"/>
    <w:rsid w:val="008F3DF3"/>
    <w:rsid w:val="008F4150"/>
    <w:rsid w:val="008F5CFE"/>
    <w:rsid w:val="00900652"/>
    <w:rsid w:val="00900BF6"/>
    <w:rsid w:val="009070C7"/>
    <w:rsid w:val="00907DED"/>
    <w:rsid w:val="00911230"/>
    <w:rsid w:val="009170B5"/>
    <w:rsid w:val="0091740B"/>
    <w:rsid w:val="0092457F"/>
    <w:rsid w:val="00925452"/>
    <w:rsid w:val="00930240"/>
    <w:rsid w:val="00931093"/>
    <w:rsid w:val="00932419"/>
    <w:rsid w:val="0093375A"/>
    <w:rsid w:val="00936268"/>
    <w:rsid w:val="009405CD"/>
    <w:rsid w:val="009409B3"/>
    <w:rsid w:val="009442D8"/>
    <w:rsid w:val="00944772"/>
    <w:rsid w:val="00945161"/>
    <w:rsid w:val="00947D44"/>
    <w:rsid w:val="00954F45"/>
    <w:rsid w:val="00957666"/>
    <w:rsid w:val="00957749"/>
    <w:rsid w:val="00962445"/>
    <w:rsid w:val="00962E9E"/>
    <w:rsid w:val="00963019"/>
    <w:rsid w:val="00964671"/>
    <w:rsid w:val="00967FF8"/>
    <w:rsid w:val="0097009D"/>
    <w:rsid w:val="00972966"/>
    <w:rsid w:val="009750A6"/>
    <w:rsid w:val="00976D11"/>
    <w:rsid w:val="009818C1"/>
    <w:rsid w:val="009844C3"/>
    <w:rsid w:val="009860C9"/>
    <w:rsid w:val="009868CA"/>
    <w:rsid w:val="00990F0E"/>
    <w:rsid w:val="00991C5A"/>
    <w:rsid w:val="00992FD9"/>
    <w:rsid w:val="0099591E"/>
    <w:rsid w:val="009A5C9A"/>
    <w:rsid w:val="009A5E54"/>
    <w:rsid w:val="009A668E"/>
    <w:rsid w:val="009B0C20"/>
    <w:rsid w:val="009B22E1"/>
    <w:rsid w:val="009B54D5"/>
    <w:rsid w:val="009B5B2A"/>
    <w:rsid w:val="009C1565"/>
    <w:rsid w:val="009C169B"/>
    <w:rsid w:val="009C28A4"/>
    <w:rsid w:val="009C2FF8"/>
    <w:rsid w:val="009C3DE1"/>
    <w:rsid w:val="009C6325"/>
    <w:rsid w:val="009C6886"/>
    <w:rsid w:val="009D0749"/>
    <w:rsid w:val="009D1170"/>
    <w:rsid w:val="009D4CEB"/>
    <w:rsid w:val="009E1D81"/>
    <w:rsid w:val="009E1FDF"/>
    <w:rsid w:val="009E41CE"/>
    <w:rsid w:val="009E4C2D"/>
    <w:rsid w:val="009E6AFA"/>
    <w:rsid w:val="009F22A4"/>
    <w:rsid w:val="009F32F4"/>
    <w:rsid w:val="009F3B35"/>
    <w:rsid w:val="009F4820"/>
    <w:rsid w:val="009F5490"/>
    <w:rsid w:val="00A011C1"/>
    <w:rsid w:val="00A02B23"/>
    <w:rsid w:val="00A05BE7"/>
    <w:rsid w:val="00A07700"/>
    <w:rsid w:val="00A159D6"/>
    <w:rsid w:val="00A23C22"/>
    <w:rsid w:val="00A26073"/>
    <w:rsid w:val="00A30B89"/>
    <w:rsid w:val="00A31BFA"/>
    <w:rsid w:val="00A31F42"/>
    <w:rsid w:val="00A329EE"/>
    <w:rsid w:val="00A33B24"/>
    <w:rsid w:val="00A349AF"/>
    <w:rsid w:val="00A358FF"/>
    <w:rsid w:val="00A37179"/>
    <w:rsid w:val="00A42EB2"/>
    <w:rsid w:val="00A43F77"/>
    <w:rsid w:val="00A466EA"/>
    <w:rsid w:val="00A50049"/>
    <w:rsid w:val="00A50ED9"/>
    <w:rsid w:val="00A52C1A"/>
    <w:rsid w:val="00A54183"/>
    <w:rsid w:val="00A56239"/>
    <w:rsid w:val="00A56494"/>
    <w:rsid w:val="00A5672A"/>
    <w:rsid w:val="00A5784C"/>
    <w:rsid w:val="00A61334"/>
    <w:rsid w:val="00A61726"/>
    <w:rsid w:val="00A61F35"/>
    <w:rsid w:val="00A621BF"/>
    <w:rsid w:val="00A64171"/>
    <w:rsid w:val="00A661B9"/>
    <w:rsid w:val="00A666BB"/>
    <w:rsid w:val="00A66965"/>
    <w:rsid w:val="00A70064"/>
    <w:rsid w:val="00A70886"/>
    <w:rsid w:val="00A715B7"/>
    <w:rsid w:val="00A734F8"/>
    <w:rsid w:val="00A75A5B"/>
    <w:rsid w:val="00A76041"/>
    <w:rsid w:val="00A8105A"/>
    <w:rsid w:val="00A81711"/>
    <w:rsid w:val="00A85698"/>
    <w:rsid w:val="00A876C3"/>
    <w:rsid w:val="00A9323A"/>
    <w:rsid w:val="00A95180"/>
    <w:rsid w:val="00A976E2"/>
    <w:rsid w:val="00A97D08"/>
    <w:rsid w:val="00AA1034"/>
    <w:rsid w:val="00AA15E0"/>
    <w:rsid w:val="00AA176C"/>
    <w:rsid w:val="00AA57BA"/>
    <w:rsid w:val="00AA59F8"/>
    <w:rsid w:val="00AA7199"/>
    <w:rsid w:val="00AB245F"/>
    <w:rsid w:val="00AB489B"/>
    <w:rsid w:val="00AB50CE"/>
    <w:rsid w:val="00AB5F6D"/>
    <w:rsid w:val="00AC0619"/>
    <w:rsid w:val="00AC15B4"/>
    <w:rsid w:val="00AC1882"/>
    <w:rsid w:val="00AC5AEA"/>
    <w:rsid w:val="00AC7CC1"/>
    <w:rsid w:val="00AC7E25"/>
    <w:rsid w:val="00AD007A"/>
    <w:rsid w:val="00AD0C57"/>
    <w:rsid w:val="00AD1402"/>
    <w:rsid w:val="00AD140E"/>
    <w:rsid w:val="00AD1B0B"/>
    <w:rsid w:val="00AD2D18"/>
    <w:rsid w:val="00AE20A9"/>
    <w:rsid w:val="00AE21D9"/>
    <w:rsid w:val="00AE36EA"/>
    <w:rsid w:val="00AE74B6"/>
    <w:rsid w:val="00AF1EEA"/>
    <w:rsid w:val="00AF2CA8"/>
    <w:rsid w:val="00AF3E97"/>
    <w:rsid w:val="00AF5746"/>
    <w:rsid w:val="00AF5FA0"/>
    <w:rsid w:val="00AF769D"/>
    <w:rsid w:val="00B02430"/>
    <w:rsid w:val="00B0384C"/>
    <w:rsid w:val="00B03994"/>
    <w:rsid w:val="00B03B38"/>
    <w:rsid w:val="00B078B4"/>
    <w:rsid w:val="00B07F01"/>
    <w:rsid w:val="00B1361E"/>
    <w:rsid w:val="00B15559"/>
    <w:rsid w:val="00B15985"/>
    <w:rsid w:val="00B21359"/>
    <w:rsid w:val="00B22C6E"/>
    <w:rsid w:val="00B236CD"/>
    <w:rsid w:val="00B277BA"/>
    <w:rsid w:val="00B32B68"/>
    <w:rsid w:val="00B337D1"/>
    <w:rsid w:val="00B3380A"/>
    <w:rsid w:val="00B40E80"/>
    <w:rsid w:val="00B415DA"/>
    <w:rsid w:val="00B42659"/>
    <w:rsid w:val="00B435B0"/>
    <w:rsid w:val="00B43C11"/>
    <w:rsid w:val="00B44E35"/>
    <w:rsid w:val="00B4613D"/>
    <w:rsid w:val="00B47ED1"/>
    <w:rsid w:val="00B5103F"/>
    <w:rsid w:val="00B51949"/>
    <w:rsid w:val="00B52F37"/>
    <w:rsid w:val="00B5618B"/>
    <w:rsid w:val="00B56C55"/>
    <w:rsid w:val="00B5793E"/>
    <w:rsid w:val="00B6096E"/>
    <w:rsid w:val="00B61C8F"/>
    <w:rsid w:val="00B62EE1"/>
    <w:rsid w:val="00B63614"/>
    <w:rsid w:val="00B6607A"/>
    <w:rsid w:val="00B7000F"/>
    <w:rsid w:val="00B73AC7"/>
    <w:rsid w:val="00B74ACB"/>
    <w:rsid w:val="00B74C78"/>
    <w:rsid w:val="00B74CC4"/>
    <w:rsid w:val="00B74EDE"/>
    <w:rsid w:val="00B80C7E"/>
    <w:rsid w:val="00B8224C"/>
    <w:rsid w:val="00B86973"/>
    <w:rsid w:val="00B91214"/>
    <w:rsid w:val="00B9324A"/>
    <w:rsid w:val="00B938F4"/>
    <w:rsid w:val="00B940EA"/>
    <w:rsid w:val="00B95ED8"/>
    <w:rsid w:val="00BA068A"/>
    <w:rsid w:val="00BA15F1"/>
    <w:rsid w:val="00BA2FB2"/>
    <w:rsid w:val="00BA352B"/>
    <w:rsid w:val="00BA7195"/>
    <w:rsid w:val="00BA7CD6"/>
    <w:rsid w:val="00BB2AF9"/>
    <w:rsid w:val="00BB302B"/>
    <w:rsid w:val="00BB7D0C"/>
    <w:rsid w:val="00BC7FCE"/>
    <w:rsid w:val="00BC7FDD"/>
    <w:rsid w:val="00BD18EC"/>
    <w:rsid w:val="00BD2B7A"/>
    <w:rsid w:val="00BD33D5"/>
    <w:rsid w:val="00BD481A"/>
    <w:rsid w:val="00BD7FA6"/>
    <w:rsid w:val="00BE4842"/>
    <w:rsid w:val="00BF0E4E"/>
    <w:rsid w:val="00BF1AE5"/>
    <w:rsid w:val="00BF1DA6"/>
    <w:rsid w:val="00BF3163"/>
    <w:rsid w:val="00BF3DB5"/>
    <w:rsid w:val="00BF5107"/>
    <w:rsid w:val="00BF5EA2"/>
    <w:rsid w:val="00BF6394"/>
    <w:rsid w:val="00BF6EE8"/>
    <w:rsid w:val="00C02784"/>
    <w:rsid w:val="00C027E6"/>
    <w:rsid w:val="00C06375"/>
    <w:rsid w:val="00C10DC7"/>
    <w:rsid w:val="00C10E61"/>
    <w:rsid w:val="00C12400"/>
    <w:rsid w:val="00C135BF"/>
    <w:rsid w:val="00C16449"/>
    <w:rsid w:val="00C16CDB"/>
    <w:rsid w:val="00C2058E"/>
    <w:rsid w:val="00C20643"/>
    <w:rsid w:val="00C20851"/>
    <w:rsid w:val="00C215F8"/>
    <w:rsid w:val="00C26DE1"/>
    <w:rsid w:val="00C3237E"/>
    <w:rsid w:val="00C40B12"/>
    <w:rsid w:val="00C40D8A"/>
    <w:rsid w:val="00C414F8"/>
    <w:rsid w:val="00C42388"/>
    <w:rsid w:val="00C44FC8"/>
    <w:rsid w:val="00C47F98"/>
    <w:rsid w:val="00C5177D"/>
    <w:rsid w:val="00C53830"/>
    <w:rsid w:val="00C55AC2"/>
    <w:rsid w:val="00C639B3"/>
    <w:rsid w:val="00C6475C"/>
    <w:rsid w:val="00C64BD9"/>
    <w:rsid w:val="00C67D0C"/>
    <w:rsid w:val="00C7380F"/>
    <w:rsid w:val="00C747DD"/>
    <w:rsid w:val="00C76072"/>
    <w:rsid w:val="00C77A2E"/>
    <w:rsid w:val="00C80D9F"/>
    <w:rsid w:val="00C81528"/>
    <w:rsid w:val="00C817A7"/>
    <w:rsid w:val="00C82751"/>
    <w:rsid w:val="00C8380F"/>
    <w:rsid w:val="00C838F2"/>
    <w:rsid w:val="00C85583"/>
    <w:rsid w:val="00C87B92"/>
    <w:rsid w:val="00C9142F"/>
    <w:rsid w:val="00C91A01"/>
    <w:rsid w:val="00CA02E9"/>
    <w:rsid w:val="00CA064D"/>
    <w:rsid w:val="00CA49B6"/>
    <w:rsid w:val="00CA6AB2"/>
    <w:rsid w:val="00CB0B3C"/>
    <w:rsid w:val="00CB1B6D"/>
    <w:rsid w:val="00CB2D79"/>
    <w:rsid w:val="00CB5E9E"/>
    <w:rsid w:val="00CB6478"/>
    <w:rsid w:val="00CB6D85"/>
    <w:rsid w:val="00CB70AB"/>
    <w:rsid w:val="00CB7139"/>
    <w:rsid w:val="00CC05BA"/>
    <w:rsid w:val="00CC366B"/>
    <w:rsid w:val="00CC5118"/>
    <w:rsid w:val="00CE2C45"/>
    <w:rsid w:val="00CE4C16"/>
    <w:rsid w:val="00CE4F86"/>
    <w:rsid w:val="00CE62E4"/>
    <w:rsid w:val="00CE6319"/>
    <w:rsid w:val="00CE789C"/>
    <w:rsid w:val="00CF0320"/>
    <w:rsid w:val="00CF2470"/>
    <w:rsid w:val="00CF326F"/>
    <w:rsid w:val="00CF38C7"/>
    <w:rsid w:val="00CF63B9"/>
    <w:rsid w:val="00D0547F"/>
    <w:rsid w:val="00D0695B"/>
    <w:rsid w:val="00D07588"/>
    <w:rsid w:val="00D0795B"/>
    <w:rsid w:val="00D11E39"/>
    <w:rsid w:val="00D13125"/>
    <w:rsid w:val="00D13AF1"/>
    <w:rsid w:val="00D13CC2"/>
    <w:rsid w:val="00D159C6"/>
    <w:rsid w:val="00D21FE7"/>
    <w:rsid w:val="00D229EF"/>
    <w:rsid w:val="00D235EB"/>
    <w:rsid w:val="00D30474"/>
    <w:rsid w:val="00D32176"/>
    <w:rsid w:val="00D371FA"/>
    <w:rsid w:val="00D40DE3"/>
    <w:rsid w:val="00D40F98"/>
    <w:rsid w:val="00D42C6D"/>
    <w:rsid w:val="00D43F5D"/>
    <w:rsid w:val="00D45D4D"/>
    <w:rsid w:val="00D477C4"/>
    <w:rsid w:val="00D500E9"/>
    <w:rsid w:val="00D5454F"/>
    <w:rsid w:val="00D57B19"/>
    <w:rsid w:val="00D6199B"/>
    <w:rsid w:val="00D62F4B"/>
    <w:rsid w:val="00D64D57"/>
    <w:rsid w:val="00D65710"/>
    <w:rsid w:val="00D65984"/>
    <w:rsid w:val="00D67166"/>
    <w:rsid w:val="00D7020B"/>
    <w:rsid w:val="00D762C5"/>
    <w:rsid w:val="00D809DE"/>
    <w:rsid w:val="00D81C4C"/>
    <w:rsid w:val="00D85E44"/>
    <w:rsid w:val="00D85F6D"/>
    <w:rsid w:val="00D8613F"/>
    <w:rsid w:val="00D93747"/>
    <w:rsid w:val="00D93836"/>
    <w:rsid w:val="00D94394"/>
    <w:rsid w:val="00D95009"/>
    <w:rsid w:val="00D95A1A"/>
    <w:rsid w:val="00D9703A"/>
    <w:rsid w:val="00DA06EA"/>
    <w:rsid w:val="00DA155A"/>
    <w:rsid w:val="00DA19B3"/>
    <w:rsid w:val="00DA3095"/>
    <w:rsid w:val="00DA3352"/>
    <w:rsid w:val="00DA4041"/>
    <w:rsid w:val="00DA5711"/>
    <w:rsid w:val="00DB2310"/>
    <w:rsid w:val="00DB734B"/>
    <w:rsid w:val="00DB7F49"/>
    <w:rsid w:val="00DC18D1"/>
    <w:rsid w:val="00DC28B6"/>
    <w:rsid w:val="00DC7702"/>
    <w:rsid w:val="00DD094A"/>
    <w:rsid w:val="00DD1AA5"/>
    <w:rsid w:val="00DD4687"/>
    <w:rsid w:val="00DD5321"/>
    <w:rsid w:val="00DD56FF"/>
    <w:rsid w:val="00DE26C0"/>
    <w:rsid w:val="00DE3B7F"/>
    <w:rsid w:val="00DE4EB5"/>
    <w:rsid w:val="00DE6D9E"/>
    <w:rsid w:val="00DF15F3"/>
    <w:rsid w:val="00DF1E41"/>
    <w:rsid w:val="00DF71DD"/>
    <w:rsid w:val="00E007A4"/>
    <w:rsid w:val="00E01090"/>
    <w:rsid w:val="00E12F54"/>
    <w:rsid w:val="00E12F9E"/>
    <w:rsid w:val="00E13FA8"/>
    <w:rsid w:val="00E16A57"/>
    <w:rsid w:val="00E22745"/>
    <w:rsid w:val="00E23673"/>
    <w:rsid w:val="00E328B2"/>
    <w:rsid w:val="00E347CE"/>
    <w:rsid w:val="00E46516"/>
    <w:rsid w:val="00E50AA0"/>
    <w:rsid w:val="00E50FF3"/>
    <w:rsid w:val="00E52157"/>
    <w:rsid w:val="00E5421C"/>
    <w:rsid w:val="00E566D0"/>
    <w:rsid w:val="00E569A3"/>
    <w:rsid w:val="00E56F70"/>
    <w:rsid w:val="00E605CC"/>
    <w:rsid w:val="00E64395"/>
    <w:rsid w:val="00E6667B"/>
    <w:rsid w:val="00E66ED5"/>
    <w:rsid w:val="00E722E6"/>
    <w:rsid w:val="00E73605"/>
    <w:rsid w:val="00E7461B"/>
    <w:rsid w:val="00E8153C"/>
    <w:rsid w:val="00E82A4D"/>
    <w:rsid w:val="00E83EF6"/>
    <w:rsid w:val="00E84499"/>
    <w:rsid w:val="00E85A80"/>
    <w:rsid w:val="00E90924"/>
    <w:rsid w:val="00E913A6"/>
    <w:rsid w:val="00E91806"/>
    <w:rsid w:val="00E91990"/>
    <w:rsid w:val="00E91A5D"/>
    <w:rsid w:val="00E96AD5"/>
    <w:rsid w:val="00E97108"/>
    <w:rsid w:val="00E9781A"/>
    <w:rsid w:val="00EA0AA2"/>
    <w:rsid w:val="00EA1008"/>
    <w:rsid w:val="00EA13FE"/>
    <w:rsid w:val="00EA2A12"/>
    <w:rsid w:val="00EA3220"/>
    <w:rsid w:val="00EA404A"/>
    <w:rsid w:val="00EA7CA6"/>
    <w:rsid w:val="00EB1D3D"/>
    <w:rsid w:val="00EB439D"/>
    <w:rsid w:val="00EC08FB"/>
    <w:rsid w:val="00EC2C93"/>
    <w:rsid w:val="00EC5259"/>
    <w:rsid w:val="00ED0CF1"/>
    <w:rsid w:val="00ED2E63"/>
    <w:rsid w:val="00ED3407"/>
    <w:rsid w:val="00ED3AC2"/>
    <w:rsid w:val="00EE1408"/>
    <w:rsid w:val="00EE1586"/>
    <w:rsid w:val="00EE5582"/>
    <w:rsid w:val="00EE5872"/>
    <w:rsid w:val="00EE63B8"/>
    <w:rsid w:val="00EE7AD4"/>
    <w:rsid w:val="00EE7DB5"/>
    <w:rsid w:val="00EF43F7"/>
    <w:rsid w:val="00EF4939"/>
    <w:rsid w:val="00EF65A3"/>
    <w:rsid w:val="00EF763B"/>
    <w:rsid w:val="00EF7BED"/>
    <w:rsid w:val="00F017A1"/>
    <w:rsid w:val="00F02083"/>
    <w:rsid w:val="00F076E7"/>
    <w:rsid w:val="00F10B36"/>
    <w:rsid w:val="00F147C3"/>
    <w:rsid w:val="00F17870"/>
    <w:rsid w:val="00F17ABB"/>
    <w:rsid w:val="00F231E6"/>
    <w:rsid w:val="00F23E44"/>
    <w:rsid w:val="00F24911"/>
    <w:rsid w:val="00F26479"/>
    <w:rsid w:val="00F265CE"/>
    <w:rsid w:val="00F27562"/>
    <w:rsid w:val="00F31DE7"/>
    <w:rsid w:val="00F342F9"/>
    <w:rsid w:val="00F35019"/>
    <w:rsid w:val="00F35A3D"/>
    <w:rsid w:val="00F36AE8"/>
    <w:rsid w:val="00F36DF0"/>
    <w:rsid w:val="00F3714B"/>
    <w:rsid w:val="00F44349"/>
    <w:rsid w:val="00F45335"/>
    <w:rsid w:val="00F52A20"/>
    <w:rsid w:val="00F54084"/>
    <w:rsid w:val="00F5450C"/>
    <w:rsid w:val="00F54BEB"/>
    <w:rsid w:val="00F55D17"/>
    <w:rsid w:val="00F64A1D"/>
    <w:rsid w:val="00F66706"/>
    <w:rsid w:val="00F70001"/>
    <w:rsid w:val="00F806E9"/>
    <w:rsid w:val="00F8132C"/>
    <w:rsid w:val="00F81931"/>
    <w:rsid w:val="00F82FEC"/>
    <w:rsid w:val="00F83EB0"/>
    <w:rsid w:val="00F86167"/>
    <w:rsid w:val="00F86564"/>
    <w:rsid w:val="00F90009"/>
    <w:rsid w:val="00F92AD4"/>
    <w:rsid w:val="00F94A34"/>
    <w:rsid w:val="00F94C89"/>
    <w:rsid w:val="00FA1CB5"/>
    <w:rsid w:val="00FA57C2"/>
    <w:rsid w:val="00FA5948"/>
    <w:rsid w:val="00FB1F7D"/>
    <w:rsid w:val="00FB25AF"/>
    <w:rsid w:val="00FB2F36"/>
    <w:rsid w:val="00FB3C13"/>
    <w:rsid w:val="00FC0158"/>
    <w:rsid w:val="00FC078E"/>
    <w:rsid w:val="00FC2A50"/>
    <w:rsid w:val="00FC3BDC"/>
    <w:rsid w:val="00FC4021"/>
    <w:rsid w:val="00FC59F5"/>
    <w:rsid w:val="00FC6DFF"/>
    <w:rsid w:val="00FD05CA"/>
    <w:rsid w:val="00FD5843"/>
    <w:rsid w:val="00FE122C"/>
    <w:rsid w:val="00FE4983"/>
    <w:rsid w:val="00FE53D6"/>
    <w:rsid w:val="00FE6A50"/>
    <w:rsid w:val="00FF0378"/>
    <w:rsid w:val="00FF0BA9"/>
    <w:rsid w:val="00FF2ECF"/>
    <w:rsid w:val="00FF38E9"/>
    <w:rsid w:val="00FF3E0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0C0F0"/>
  <w15:chartTrackingRefBased/>
  <w15:docId w15:val="{0F1EE00D-0B2D-4472-BA0C-336D8DAD1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AA3"/>
    <w:pPr>
      <w:spacing w:after="200" w:line="276" w:lineRule="auto"/>
    </w:pPr>
    <w:rPr>
      <w:lang w:val="en-US"/>
    </w:rPr>
  </w:style>
  <w:style w:type="paragraph" w:styleId="Heading2">
    <w:name w:val="heading 2"/>
    <w:basedOn w:val="Normal"/>
    <w:link w:val="Heading2Char"/>
    <w:uiPriority w:val="9"/>
    <w:qFormat/>
    <w:rsid w:val="00B3380A"/>
    <w:pPr>
      <w:spacing w:before="100" w:beforeAutospacing="1" w:after="100" w:afterAutospacing="1" w:line="240" w:lineRule="auto"/>
      <w:outlineLvl w:val="1"/>
    </w:pPr>
    <w:rPr>
      <w:rFonts w:ascii="Times New Roman" w:eastAsia="Times New Roman" w:hAnsi="Times New Roman" w:cs="Times New Roman"/>
      <w:b/>
      <w:bCs/>
      <w:sz w:val="36"/>
      <w:szCs w:val="36"/>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AA3"/>
    <w:pPr>
      <w:ind w:left="720"/>
      <w:contextualSpacing/>
    </w:pPr>
    <w:rPr>
      <w:lang w:val="en-ZA"/>
    </w:r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Footnote Text Char Char1,single space Char"/>
    <w:basedOn w:val="Normal"/>
    <w:link w:val="FootnoteTextChar"/>
    <w:uiPriority w:val="99"/>
    <w:unhideWhenUsed/>
    <w:qFormat/>
    <w:rsid w:val="005B2AA3"/>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 Char Char1"/>
    <w:basedOn w:val="DefaultParagraphFont"/>
    <w:link w:val="FootnoteText"/>
    <w:uiPriority w:val="99"/>
    <w:rsid w:val="005B2AA3"/>
    <w:rPr>
      <w:sz w:val="20"/>
      <w:szCs w:val="20"/>
      <w:lang w:val="en-US"/>
    </w:rPr>
  </w:style>
  <w:style w:type="character" w:styleId="FootnoteReference">
    <w:name w:val="footnote reference"/>
    <w:aliases w:val="Footnote Reference + Superscript,Footnotes refss,Appel note de bas de page,Ref,de nota al pie,註腳內容,(NECG) Footnote Reference,fr,Footnote Reference Superscript,Footnote Reference in text,Footnote symbol,Style 12"/>
    <w:basedOn w:val="DefaultParagraphFont"/>
    <w:uiPriority w:val="99"/>
    <w:unhideWhenUsed/>
    <w:qFormat/>
    <w:rsid w:val="005B2AA3"/>
    <w:rPr>
      <w:vertAlign w:val="superscript"/>
    </w:rPr>
  </w:style>
  <w:style w:type="paragraph" w:styleId="Header">
    <w:name w:val="header"/>
    <w:basedOn w:val="Normal"/>
    <w:link w:val="HeaderChar"/>
    <w:uiPriority w:val="99"/>
    <w:unhideWhenUsed/>
    <w:rsid w:val="001E76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6D5"/>
    <w:rPr>
      <w:lang w:val="en-US"/>
    </w:rPr>
  </w:style>
  <w:style w:type="paragraph" w:styleId="Footer">
    <w:name w:val="footer"/>
    <w:basedOn w:val="Normal"/>
    <w:link w:val="FooterChar"/>
    <w:uiPriority w:val="99"/>
    <w:unhideWhenUsed/>
    <w:rsid w:val="001E76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6D5"/>
    <w:rPr>
      <w:lang w:val="en-US"/>
    </w:rPr>
  </w:style>
  <w:style w:type="paragraph" w:customStyle="1" w:styleId="Default">
    <w:name w:val="Default"/>
    <w:rsid w:val="00B03994"/>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A26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073"/>
    <w:rPr>
      <w:rFonts w:ascii="Segoe UI" w:hAnsi="Segoe UI" w:cs="Segoe UI"/>
      <w:sz w:val="18"/>
      <w:szCs w:val="18"/>
      <w:lang w:val="en-US"/>
    </w:rPr>
  </w:style>
  <w:style w:type="character" w:styleId="CommentReference">
    <w:name w:val="annotation reference"/>
    <w:basedOn w:val="DefaultParagraphFont"/>
    <w:uiPriority w:val="99"/>
    <w:semiHidden/>
    <w:unhideWhenUsed/>
    <w:rsid w:val="00014E96"/>
    <w:rPr>
      <w:sz w:val="16"/>
      <w:szCs w:val="16"/>
    </w:rPr>
  </w:style>
  <w:style w:type="paragraph" w:styleId="CommentText">
    <w:name w:val="annotation text"/>
    <w:basedOn w:val="Normal"/>
    <w:link w:val="CommentTextChar"/>
    <w:uiPriority w:val="99"/>
    <w:semiHidden/>
    <w:unhideWhenUsed/>
    <w:rsid w:val="00014E96"/>
    <w:pPr>
      <w:spacing w:line="240" w:lineRule="auto"/>
    </w:pPr>
    <w:rPr>
      <w:sz w:val="20"/>
      <w:szCs w:val="20"/>
    </w:rPr>
  </w:style>
  <w:style w:type="character" w:customStyle="1" w:styleId="CommentTextChar">
    <w:name w:val="Comment Text Char"/>
    <w:basedOn w:val="DefaultParagraphFont"/>
    <w:link w:val="CommentText"/>
    <w:uiPriority w:val="99"/>
    <w:semiHidden/>
    <w:rsid w:val="00014E96"/>
    <w:rPr>
      <w:sz w:val="20"/>
      <w:szCs w:val="20"/>
      <w:lang w:val="en-US"/>
    </w:rPr>
  </w:style>
  <w:style w:type="paragraph" w:styleId="CommentSubject">
    <w:name w:val="annotation subject"/>
    <w:basedOn w:val="CommentText"/>
    <w:next w:val="CommentText"/>
    <w:link w:val="CommentSubjectChar"/>
    <w:uiPriority w:val="99"/>
    <w:semiHidden/>
    <w:unhideWhenUsed/>
    <w:rsid w:val="00014E96"/>
    <w:rPr>
      <w:b/>
      <w:bCs/>
    </w:rPr>
  </w:style>
  <w:style w:type="character" w:customStyle="1" w:styleId="CommentSubjectChar">
    <w:name w:val="Comment Subject Char"/>
    <w:basedOn w:val="CommentTextChar"/>
    <w:link w:val="CommentSubject"/>
    <w:uiPriority w:val="99"/>
    <w:semiHidden/>
    <w:rsid w:val="00014E96"/>
    <w:rPr>
      <w:b/>
      <w:bCs/>
      <w:sz w:val="20"/>
      <w:szCs w:val="20"/>
      <w:lang w:val="en-US"/>
    </w:rPr>
  </w:style>
  <w:style w:type="paragraph" w:styleId="NormalWeb">
    <w:name w:val="Normal (Web)"/>
    <w:basedOn w:val="Normal"/>
    <w:uiPriority w:val="99"/>
    <w:unhideWhenUsed/>
    <w:rsid w:val="00727363"/>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lg-annotation">
    <w:name w:val="lg-annotation"/>
    <w:basedOn w:val="Normal"/>
    <w:rsid w:val="00590677"/>
    <w:pPr>
      <w:spacing w:before="40" w:after="0" w:line="240" w:lineRule="auto"/>
      <w:ind w:left="567" w:right="567"/>
      <w:jc w:val="center"/>
    </w:pPr>
    <w:rPr>
      <w:rFonts w:ascii="Verdana" w:eastAsia="Times New Roman" w:hAnsi="Verdana" w:cs="Times New Roman"/>
      <w:color w:val="000000"/>
      <w:sz w:val="16"/>
      <w:szCs w:val="16"/>
    </w:rPr>
  </w:style>
  <w:style w:type="paragraph" w:customStyle="1" w:styleId="lg-section">
    <w:name w:val="lg-section"/>
    <w:basedOn w:val="Normal"/>
    <w:rsid w:val="00590677"/>
    <w:pPr>
      <w:spacing w:before="300" w:after="0" w:line="240" w:lineRule="auto"/>
      <w:ind w:firstLine="403"/>
      <w:jc w:val="both"/>
    </w:pPr>
    <w:rPr>
      <w:rFonts w:ascii="Verdana" w:eastAsia="Times New Roman" w:hAnsi="Verdana" w:cs="Times New Roman"/>
      <w:color w:val="000000"/>
      <w:sz w:val="18"/>
      <w:szCs w:val="18"/>
    </w:rPr>
  </w:style>
  <w:style w:type="paragraph" w:customStyle="1" w:styleId="lg-a-1">
    <w:name w:val="lg-a-1"/>
    <w:basedOn w:val="Normal"/>
    <w:rsid w:val="00590677"/>
    <w:pPr>
      <w:spacing w:before="180" w:after="0" w:line="240" w:lineRule="auto"/>
      <w:ind w:left="1361" w:hanging="1361"/>
      <w:jc w:val="both"/>
    </w:pPr>
    <w:rPr>
      <w:rFonts w:ascii="Verdana" w:eastAsia="Times New Roman" w:hAnsi="Verdana" w:cs="Times New Roman"/>
      <w:color w:val="000000"/>
      <w:sz w:val="18"/>
      <w:szCs w:val="18"/>
    </w:rPr>
  </w:style>
  <w:style w:type="paragraph" w:customStyle="1" w:styleId="normal-text">
    <w:name w:val="normal-text"/>
    <w:basedOn w:val="Normal"/>
    <w:rsid w:val="00590677"/>
    <w:pPr>
      <w:spacing w:before="180" w:after="0" w:line="240" w:lineRule="auto"/>
      <w:jc w:val="both"/>
    </w:pPr>
    <w:rPr>
      <w:rFonts w:ascii="Verdana" w:eastAsia="Times New Roman" w:hAnsi="Verdana" w:cs="Times New Roman"/>
      <w:color w:val="000000"/>
      <w:sz w:val="18"/>
      <w:szCs w:val="18"/>
    </w:rPr>
  </w:style>
  <w:style w:type="character" w:customStyle="1" w:styleId="Heading2Char">
    <w:name w:val="Heading 2 Char"/>
    <w:basedOn w:val="DefaultParagraphFont"/>
    <w:link w:val="Heading2"/>
    <w:uiPriority w:val="9"/>
    <w:rsid w:val="00B3380A"/>
    <w:rPr>
      <w:rFonts w:ascii="Times New Roman" w:eastAsia="Times New Roman" w:hAnsi="Times New Roman" w:cs="Times New Roman"/>
      <w:b/>
      <w:bCs/>
      <w:sz w:val="36"/>
      <w:szCs w:val="36"/>
      <w:lang w:eastAsia="en-ZA"/>
    </w:rPr>
  </w:style>
  <w:style w:type="paragraph" w:customStyle="1" w:styleId="LegalList1">
    <w:name w:val="Legal_List1"/>
    <w:basedOn w:val="Normal"/>
    <w:semiHidden/>
    <w:rsid w:val="00112F43"/>
    <w:pPr>
      <w:suppressAutoHyphens/>
      <w:spacing w:after="360" w:line="480" w:lineRule="auto"/>
      <w:jc w:val="both"/>
      <w:outlineLvl w:val="0"/>
    </w:pPr>
    <w:rPr>
      <w:rFonts w:ascii="Arial" w:eastAsia="Times New Roman" w:hAnsi="Arial" w:cs="Times New Roman"/>
      <w:sz w:val="24"/>
      <w:szCs w:val="24"/>
      <w:lang w:val="en-GB" w:eastAsia="en-GB"/>
    </w:rPr>
  </w:style>
  <w:style w:type="paragraph" w:customStyle="1" w:styleId="LegalHeading2">
    <w:name w:val="Legal_Heading2"/>
    <w:basedOn w:val="Normal"/>
    <w:next w:val="Normal"/>
    <w:semiHidden/>
    <w:rsid w:val="00112F43"/>
    <w:pPr>
      <w:keepNext/>
      <w:numPr>
        <w:ilvl w:val="1"/>
        <w:numId w:val="33"/>
      </w:numPr>
      <w:tabs>
        <w:tab w:val="left" w:pos="3402"/>
        <w:tab w:val="left" w:pos="3969"/>
      </w:tabs>
      <w:suppressAutoHyphens/>
      <w:spacing w:after="360" w:line="480" w:lineRule="auto"/>
      <w:jc w:val="both"/>
      <w:outlineLvl w:val="1"/>
    </w:pPr>
    <w:rPr>
      <w:rFonts w:ascii="Arial" w:eastAsia="Times New Roman" w:hAnsi="Arial" w:cs="Times New Roman"/>
      <w:b/>
      <w:sz w:val="24"/>
      <w:szCs w:val="24"/>
      <w:lang w:val="en-GB" w:eastAsia="en-GB"/>
    </w:rPr>
  </w:style>
  <w:style w:type="paragraph" w:customStyle="1" w:styleId="LegalHeading3">
    <w:name w:val="Legal_Heading3"/>
    <w:basedOn w:val="Normal"/>
    <w:next w:val="Normal"/>
    <w:semiHidden/>
    <w:rsid w:val="00112F43"/>
    <w:pPr>
      <w:keepNext/>
      <w:numPr>
        <w:ilvl w:val="2"/>
        <w:numId w:val="33"/>
      </w:numPr>
      <w:tabs>
        <w:tab w:val="left" w:pos="3969"/>
        <w:tab w:val="left" w:pos="4536"/>
      </w:tabs>
      <w:suppressAutoHyphens/>
      <w:spacing w:after="360" w:line="480" w:lineRule="auto"/>
      <w:jc w:val="both"/>
      <w:outlineLvl w:val="2"/>
    </w:pPr>
    <w:rPr>
      <w:rFonts w:ascii="Arial" w:eastAsia="Times New Roman" w:hAnsi="Arial" w:cs="Times New Roman"/>
      <w:b/>
      <w:sz w:val="24"/>
      <w:szCs w:val="24"/>
      <w:lang w:val="en-GB" w:eastAsia="en-GB"/>
    </w:rPr>
  </w:style>
  <w:style w:type="paragraph" w:customStyle="1" w:styleId="LegalHeading4">
    <w:name w:val="Legal_Heading4"/>
    <w:basedOn w:val="Normal"/>
    <w:next w:val="Normal"/>
    <w:semiHidden/>
    <w:rsid w:val="00112F43"/>
    <w:pPr>
      <w:keepNext/>
      <w:numPr>
        <w:ilvl w:val="3"/>
        <w:numId w:val="33"/>
      </w:numPr>
      <w:suppressAutoHyphens/>
      <w:spacing w:after="240" w:line="480" w:lineRule="auto"/>
      <w:jc w:val="both"/>
      <w:outlineLvl w:val="3"/>
    </w:pPr>
    <w:rPr>
      <w:rFonts w:ascii="Arial" w:eastAsia="Times New Roman" w:hAnsi="Arial" w:cs="Times New Roman"/>
      <w:b/>
      <w:sz w:val="24"/>
      <w:szCs w:val="24"/>
      <w:lang w:val="en-GB" w:eastAsia="en-GB"/>
    </w:rPr>
  </w:style>
  <w:style w:type="paragraph" w:customStyle="1" w:styleId="LegalHeading5">
    <w:name w:val="Legal_Heading5"/>
    <w:basedOn w:val="Normal"/>
    <w:next w:val="Normal"/>
    <w:semiHidden/>
    <w:rsid w:val="00112F43"/>
    <w:pPr>
      <w:keepNext/>
      <w:numPr>
        <w:ilvl w:val="4"/>
        <w:numId w:val="33"/>
      </w:numPr>
      <w:suppressAutoHyphens/>
      <w:spacing w:after="240" w:line="480" w:lineRule="auto"/>
      <w:jc w:val="both"/>
      <w:outlineLvl w:val="4"/>
    </w:pPr>
    <w:rPr>
      <w:rFonts w:ascii="Arial" w:eastAsia="Times New Roman" w:hAnsi="Arial" w:cs="Times New Roman"/>
      <w:b/>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529992">
      <w:bodyDiv w:val="1"/>
      <w:marLeft w:val="0"/>
      <w:marRight w:val="0"/>
      <w:marTop w:val="0"/>
      <w:marBottom w:val="0"/>
      <w:divBdr>
        <w:top w:val="none" w:sz="0" w:space="0" w:color="auto"/>
        <w:left w:val="none" w:sz="0" w:space="0" w:color="auto"/>
        <w:bottom w:val="none" w:sz="0" w:space="0" w:color="auto"/>
        <w:right w:val="none" w:sz="0" w:space="0" w:color="auto"/>
      </w:divBdr>
    </w:div>
    <w:div w:id="337537267">
      <w:bodyDiv w:val="1"/>
      <w:marLeft w:val="0"/>
      <w:marRight w:val="0"/>
      <w:marTop w:val="0"/>
      <w:marBottom w:val="0"/>
      <w:divBdr>
        <w:top w:val="none" w:sz="0" w:space="0" w:color="auto"/>
        <w:left w:val="none" w:sz="0" w:space="0" w:color="auto"/>
        <w:bottom w:val="none" w:sz="0" w:space="0" w:color="auto"/>
        <w:right w:val="none" w:sz="0" w:space="0" w:color="auto"/>
      </w:divBdr>
    </w:div>
    <w:div w:id="414547103">
      <w:bodyDiv w:val="1"/>
      <w:marLeft w:val="0"/>
      <w:marRight w:val="0"/>
      <w:marTop w:val="0"/>
      <w:marBottom w:val="0"/>
      <w:divBdr>
        <w:top w:val="none" w:sz="0" w:space="0" w:color="auto"/>
        <w:left w:val="none" w:sz="0" w:space="0" w:color="auto"/>
        <w:bottom w:val="none" w:sz="0" w:space="0" w:color="auto"/>
        <w:right w:val="none" w:sz="0" w:space="0" w:color="auto"/>
      </w:divBdr>
    </w:div>
    <w:div w:id="433597420">
      <w:bodyDiv w:val="1"/>
      <w:marLeft w:val="0"/>
      <w:marRight w:val="0"/>
      <w:marTop w:val="0"/>
      <w:marBottom w:val="0"/>
      <w:divBdr>
        <w:top w:val="none" w:sz="0" w:space="0" w:color="auto"/>
        <w:left w:val="none" w:sz="0" w:space="0" w:color="auto"/>
        <w:bottom w:val="none" w:sz="0" w:space="0" w:color="auto"/>
        <w:right w:val="none" w:sz="0" w:space="0" w:color="auto"/>
      </w:divBdr>
    </w:div>
    <w:div w:id="732042316">
      <w:bodyDiv w:val="1"/>
      <w:marLeft w:val="0"/>
      <w:marRight w:val="0"/>
      <w:marTop w:val="0"/>
      <w:marBottom w:val="0"/>
      <w:divBdr>
        <w:top w:val="none" w:sz="0" w:space="0" w:color="auto"/>
        <w:left w:val="none" w:sz="0" w:space="0" w:color="auto"/>
        <w:bottom w:val="none" w:sz="0" w:space="0" w:color="auto"/>
        <w:right w:val="none" w:sz="0" w:space="0" w:color="auto"/>
      </w:divBdr>
    </w:div>
    <w:div w:id="945423968">
      <w:bodyDiv w:val="1"/>
      <w:marLeft w:val="0"/>
      <w:marRight w:val="0"/>
      <w:marTop w:val="0"/>
      <w:marBottom w:val="0"/>
      <w:divBdr>
        <w:top w:val="none" w:sz="0" w:space="0" w:color="auto"/>
        <w:left w:val="none" w:sz="0" w:space="0" w:color="auto"/>
        <w:bottom w:val="none" w:sz="0" w:space="0" w:color="auto"/>
        <w:right w:val="none" w:sz="0" w:space="0" w:color="auto"/>
      </w:divBdr>
    </w:div>
    <w:div w:id="978727645">
      <w:bodyDiv w:val="1"/>
      <w:marLeft w:val="0"/>
      <w:marRight w:val="0"/>
      <w:marTop w:val="0"/>
      <w:marBottom w:val="0"/>
      <w:divBdr>
        <w:top w:val="none" w:sz="0" w:space="0" w:color="auto"/>
        <w:left w:val="none" w:sz="0" w:space="0" w:color="auto"/>
        <w:bottom w:val="none" w:sz="0" w:space="0" w:color="auto"/>
        <w:right w:val="none" w:sz="0" w:space="0" w:color="auto"/>
      </w:divBdr>
      <w:divsChild>
        <w:div w:id="4871318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5340101">
      <w:bodyDiv w:val="1"/>
      <w:marLeft w:val="0"/>
      <w:marRight w:val="0"/>
      <w:marTop w:val="0"/>
      <w:marBottom w:val="0"/>
      <w:divBdr>
        <w:top w:val="none" w:sz="0" w:space="0" w:color="auto"/>
        <w:left w:val="none" w:sz="0" w:space="0" w:color="auto"/>
        <w:bottom w:val="none" w:sz="0" w:space="0" w:color="auto"/>
        <w:right w:val="none" w:sz="0" w:space="0" w:color="auto"/>
      </w:divBdr>
    </w:div>
    <w:div w:id="1378699259">
      <w:bodyDiv w:val="1"/>
      <w:marLeft w:val="0"/>
      <w:marRight w:val="0"/>
      <w:marTop w:val="0"/>
      <w:marBottom w:val="0"/>
      <w:divBdr>
        <w:top w:val="none" w:sz="0" w:space="0" w:color="auto"/>
        <w:left w:val="none" w:sz="0" w:space="0" w:color="auto"/>
        <w:bottom w:val="none" w:sz="0" w:space="0" w:color="auto"/>
        <w:right w:val="none" w:sz="0" w:space="0" w:color="auto"/>
      </w:divBdr>
    </w:div>
    <w:div w:id="1458528013">
      <w:bodyDiv w:val="1"/>
      <w:marLeft w:val="0"/>
      <w:marRight w:val="0"/>
      <w:marTop w:val="0"/>
      <w:marBottom w:val="0"/>
      <w:divBdr>
        <w:top w:val="none" w:sz="0" w:space="0" w:color="auto"/>
        <w:left w:val="none" w:sz="0" w:space="0" w:color="auto"/>
        <w:bottom w:val="none" w:sz="0" w:space="0" w:color="auto"/>
        <w:right w:val="none" w:sz="0" w:space="0" w:color="auto"/>
      </w:divBdr>
      <w:divsChild>
        <w:div w:id="451477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1626573">
      <w:bodyDiv w:val="1"/>
      <w:marLeft w:val="0"/>
      <w:marRight w:val="0"/>
      <w:marTop w:val="0"/>
      <w:marBottom w:val="0"/>
      <w:divBdr>
        <w:top w:val="none" w:sz="0" w:space="0" w:color="auto"/>
        <w:left w:val="none" w:sz="0" w:space="0" w:color="auto"/>
        <w:bottom w:val="none" w:sz="0" w:space="0" w:color="auto"/>
        <w:right w:val="none" w:sz="0" w:space="0" w:color="auto"/>
      </w:divBdr>
    </w:div>
    <w:div w:id="1559390085">
      <w:bodyDiv w:val="1"/>
      <w:marLeft w:val="0"/>
      <w:marRight w:val="0"/>
      <w:marTop w:val="0"/>
      <w:marBottom w:val="0"/>
      <w:divBdr>
        <w:top w:val="none" w:sz="0" w:space="0" w:color="auto"/>
        <w:left w:val="none" w:sz="0" w:space="0" w:color="auto"/>
        <w:bottom w:val="none" w:sz="0" w:space="0" w:color="auto"/>
        <w:right w:val="none" w:sz="0" w:space="0" w:color="auto"/>
      </w:divBdr>
    </w:div>
    <w:div w:id="1819564529">
      <w:bodyDiv w:val="1"/>
      <w:marLeft w:val="0"/>
      <w:marRight w:val="0"/>
      <w:marTop w:val="0"/>
      <w:marBottom w:val="0"/>
      <w:divBdr>
        <w:top w:val="none" w:sz="0" w:space="0" w:color="auto"/>
        <w:left w:val="none" w:sz="0" w:space="0" w:color="auto"/>
        <w:bottom w:val="none" w:sz="0" w:space="0" w:color="auto"/>
        <w:right w:val="none" w:sz="0" w:space="0" w:color="auto"/>
      </w:divBdr>
      <w:divsChild>
        <w:div w:id="948515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0024802">
      <w:bodyDiv w:val="1"/>
      <w:marLeft w:val="0"/>
      <w:marRight w:val="0"/>
      <w:marTop w:val="0"/>
      <w:marBottom w:val="0"/>
      <w:divBdr>
        <w:top w:val="none" w:sz="0" w:space="0" w:color="auto"/>
        <w:left w:val="none" w:sz="0" w:space="0" w:color="auto"/>
        <w:bottom w:val="none" w:sz="0" w:space="0" w:color="auto"/>
        <w:right w:val="none" w:sz="0" w:space="0" w:color="auto"/>
      </w:divBdr>
    </w:div>
    <w:div w:id="193436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31F84-FBB3-4071-B2EB-0105994BA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10674</Words>
  <Characters>60845</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 Pearl</dc:creator>
  <cp:keywords/>
  <dc:description/>
  <cp:lastModifiedBy>Sharon Veerapen</cp:lastModifiedBy>
  <cp:revision>2</cp:revision>
  <dcterms:created xsi:type="dcterms:W3CDTF">2023-12-07T08:26:00Z</dcterms:created>
  <dcterms:modified xsi:type="dcterms:W3CDTF">2023-12-07T08:26:00Z</dcterms:modified>
</cp:coreProperties>
</file>