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3AA5" w14:textId="7F5E83AE" w:rsidR="00C56A59" w:rsidRPr="00C56A59" w:rsidRDefault="00C56A59" w:rsidP="00C56A59">
      <w:pPr>
        <w:rPr>
          <w:color w:val="FF0000"/>
          <w:u w:val="single"/>
          <w:lang w:val="en-ZA"/>
        </w:rPr>
      </w:pPr>
      <w:r>
        <w:rPr>
          <w:rFonts w:ascii="Arial" w:hAnsi="Arial" w:cs="Arial"/>
          <w:color w:val="FF0000"/>
        </w:rPr>
        <w:t>Editorial note: Certain information has been redacted from this judgment in compliance with the law.</w:t>
      </w:r>
    </w:p>
    <w:p w14:paraId="2DA449A8" w14:textId="7D72E543" w:rsidR="005B2AA3" w:rsidRDefault="005B2AA3" w:rsidP="005B2AA3">
      <w:pPr>
        <w:autoSpaceDE w:val="0"/>
        <w:autoSpaceDN w:val="0"/>
        <w:adjustRightInd w:val="0"/>
        <w:spacing w:after="0" w:line="241" w:lineRule="atLeast"/>
        <w:jc w:val="center"/>
        <w:rPr>
          <w:rFonts w:ascii="Century Gothic" w:eastAsia="Times New Roman" w:hAnsi="Century Gothic" w:cs="Arial"/>
          <w:b/>
          <w:sz w:val="28"/>
          <w:szCs w:val="28"/>
          <w:lang w:val="af-ZA"/>
        </w:rPr>
      </w:pPr>
      <w:r>
        <w:rPr>
          <w:b/>
          <w:noProof/>
          <w:lang w:val="en-ZA" w:eastAsia="en-ZA"/>
        </w:rPr>
        <w:drawing>
          <wp:inline distT="0" distB="0" distL="0" distR="0" wp14:anchorId="3D05D450" wp14:editId="23AED0B7">
            <wp:extent cx="9842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1060450"/>
                    </a:xfrm>
                    <a:prstGeom prst="rect">
                      <a:avLst/>
                    </a:prstGeom>
                    <a:noFill/>
                    <a:ln>
                      <a:noFill/>
                    </a:ln>
                  </pic:spPr>
                </pic:pic>
              </a:graphicData>
            </a:graphic>
          </wp:inline>
        </w:drawing>
      </w:r>
    </w:p>
    <w:p w14:paraId="12AA7219" w14:textId="77777777" w:rsidR="005B2AA3" w:rsidRDefault="005B2AA3" w:rsidP="005B2AA3">
      <w:pPr>
        <w:autoSpaceDE w:val="0"/>
        <w:autoSpaceDN w:val="0"/>
        <w:adjustRightInd w:val="0"/>
        <w:spacing w:after="0" w:line="241" w:lineRule="atLeast"/>
        <w:jc w:val="center"/>
        <w:rPr>
          <w:rFonts w:ascii="Arial" w:eastAsia="Times New Roman" w:hAnsi="Arial" w:cs="Arial"/>
          <w:b/>
          <w:sz w:val="24"/>
          <w:szCs w:val="24"/>
          <w:lang w:val="af-ZA"/>
        </w:rPr>
      </w:pPr>
      <w:r>
        <w:rPr>
          <w:rFonts w:ascii="Arial" w:eastAsia="Times New Roman" w:hAnsi="Arial" w:cs="Arial"/>
          <w:b/>
          <w:sz w:val="24"/>
          <w:szCs w:val="24"/>
          <w:lang w:val="af-ZA"/>
        </w:rPr>
        <w:t>IN THE HIGH COURT OF SOUTH AFRICA</w:t>
      </w:r>
    </w:p>
    <w:p w14:paraId="2FE7E82C" w14:textId="77777777" w:rsidR="005B2AA3" w:rsidRDefault="005B2AA3" w:rsidP="005B2AA3">
      <w:pPr>
        <w:autoSpaceDE w:val="0"/>
        <w:autoSpaceDN w:val="0"/>
        <w:adjustRightInd w:val="0"/>
        <w:spacing w:after="0" w:line="241" w:lineRule="atLeast"/>
        <w:jc w:val="center"/>
        <w:rPr>
          <w:rFonts w:ascii="Arial" w:eastAsia="Times New Roman" w:hAnsi="Arial" w:cs="Arial"/>
          <w:b/>
          <w:sz w:val="24"/>
          <w:szCs w:val="24"/>
          <w:lang w:val="af-ZA"/>
        </w:rPr>
      </w:pPr>
      <w:r>
        <w:rPr>
          <w:rFonts w:ascii="Arial" w:eastAsia="Times New Roman" w:hAnsi="Arial" w:cs="Arial"/>
          <w:b/>
          <w:sz w:val="24"/>
          <w:szCs w:val="24"/>
          <w:lang w:val="af-ZA"/>
        </w:rPr>
        <w:t>(WESTERN CAPE DIVISION, CAPE TOWN)</w:t>
      </w:r>
    </w:p>
    <w:p w14:paraId="6EC2B793" w14:textId="77777777" w:rsidR="005B2AA3" w:rsidRDefault="005B2AA3" w:rsidP="005B2AA3">
      <w:pPr>
        <w:spacing w:after="0" w:line="240" w:lineRule="auto"/>
        <w:rPr>
          <w:rFonts w:ascii="Arial" w:eastAsia="Times New Roman" w:hAnsi="Arial" w:cs="Arial"/>
          <w:b/>
          <w:sz w:val="24"/>
          <w:szCs w:val="24"/>
          <w:lang w:val="af-ZA"/>
        </w:rPr>
      </w:pPr>
    </w:p>
    <w:p w14:paraId="3F096934" w14:textId="77777777" w:rsidR="005B2AA3" w:rsidRDefault="005B2AA3" w:rsidP="005B2AA3">
      <w:pPr>
        <w:spacing w:after="0" w:line="240" w:lineRule="auto"/>
        <w:jc w:val="right"/>
        <w:rPr>
          <w:rFonts w:ascii="Arial" w:eastAsia="Times New Roman" w:hAnsi="Arial" w:cs="Arial"/>
          <w:b/>
          <w:sz w:val="24"/>
          <w:szCs w:val="24"/>
          <w:lang w:val="af-ZA"/>
        </w:rPr>
      </w:pPr>
      <w:r>
        <w:rPr>
          <w:rFonts w:ascii="Arial" w:eastAsia="Times New Roman" w:hAnsi="Arial" w:cs="Arial"/>
          <w:sz w:val="24"/>
          <w:szCs w:val="24"/>
          <w:lang w:val="af-ZA"/>
        </w:rPr>
        <w:t xml:space="preserve">                                                </w:t>
      </w:r>
      <w:r>
        <w:rPr>
          <w:rFonts w:ascii="Arial" w:eastAsia="Times New Roman" w:hAnsi="Arial" w:cs="Arial"/>
          <w:b/>
          <w:sz w:val="24"/>
          <w:szCs w:val="24"/>
          <w:lang w:val="af-ZA"/>
        </w:rPr>
        <w:t>Case Number: 16867/2023</w:t>
      </w:r>
    </w:p>
    <w:p w14:paraId="6715D1D2" w14:textId="77777777" w:rsidR="005B2AA3" w:rsidRDefault="005B2AA3" w:rsidP="005B2AA3">
      <w:pPr>
        <w:spacing w:after="0" w:line="240" w:lineRule="auto"/>
        <w:jc w:val="right"/>
        <w:rPr>
          <w:rFonts w:ascii="Arial" w:eastAsia="Times New Roman" w:hAnsi="Arial" w:cs="Arial"/>
          <w:b/>
          <w:sz w:val="24"/>
          <w:szCs w:val="24"/>
          <w:lang w:val="af-ZA"/>
        </w:rPr>
      </w:pPr>
    </w:p>
    <w:p w14:paraId="4B1F4EA3" w14:textId="4CBF6879" w:rsidR="005B2AA3" w:rsidRPr="00157BCB" w:rsidRDefault="002506FA" w:rsidP="005B2AA3">
      <w:pPr>
        <w:spacing w:after="0" w:line="240" w:lineRule="auto"/>
        <w:jc w:val="right"/>
        <w:rPr>
          <w:rFonts w:ascii="Arial" w:eastAsia="Times New Roman" w:hAnsi="Arial" w:cs="Arial"/>
          <w:i/>
          <w:sz w:val="24"/>
          <w:szCs w:val="24"/>
          <w:u w:val="single"/>
          <w:lang w:val="af-ZA"/>
        </w:rPr>
      </w:pPr>
      <w:r w:rsidRPr="00157BCB">
        <w:rPr>
          <w:rFonts w:ascii="Arial" w:eastAsia="Times New Roman" w:hAnsi="Arial" w:cs="Arial"/>
          <w:i/>
          <w:sz w:val="24"/>
          <w:szCs w:val="24"/>
          <w:u w:val="single"/>
          <w:lang w:val="af-ZA"/>
        </w:rPr>
        <w:t>REPORTABLE</w:t>
      </w:r>
    </w:p>
    <w:p w14:paraId="0B18ABE5" w14:textId="77777777" w:rsidR="005B2AA3" w:rsidRDefault="005B2AA3" w:rsidP="005B2AA3">
      <w:pPr>
        <w:spacing w:after="0" w:line="240" w:lineRule="auto"/>
        <w:jc w:val="center"/>
        <w:rPr>
          <w:rFonts w:ascii="Arial" w:eastAsia="Times New Roman" w:hAnsi="Arial" w:cs="Arial"/>
          <w:b/>
          <w:sz w:val="24"/>
          <w:szCs w:val="24"/>
          <w:lang w:val="af-ZA"/>
        </w:rPr>
      </w:pPr>
      <w:r>
        <w:rPr>
          <w:rFonts w:ascii="Arial" w:eastAsia="Times New Roman" w:hAnsi="Arial" w:cs="Arial"/>
          <w:b/>
          <w:sz w:val="24"/>
          <w:szCs w:val="24"/>
          <w:lang w:val="af-ZA"/>
        </w:rPr>
        <w:t xml:space="preserve">                                               </w:t>
      </w:r>
    </w:p>
    <w:p w14:paraId="4C871A27" w14:textId="77777777" w:rsidR="005B2AA3" w:rsidRDefault="005B2AA3" w:rsidP="005B2AA3">
      <w:pPr>
        <w:spacing w:after="0" w:line="240" w:lineRule="auto"/>
        <w:jc w:val="center"/>
        <w:rPr>
          <w:rFonts w:ascii="Arial" w:eastAsia="Times New Roman" w:hAnsi="Arial" w:cs="Arial"/>
          <w:b/>
          <w:sz w:val="24"/>
          <w:szCs w:val="24"/>
          <w:lang w:val="af-ZA"/>
        </w:rPr>
      </w:pPr>
      <w:r>
        <w:rPr>
          <w:rFonts w:ascii="Arial" w:eastAsia="Times New Roman" w:hAnsi="Arial" w:cs="Arial"/>
          <w:b/>
          <w:sz w:val="24"/>
          <w:szCs w:val="24"/>
          <w:lang w:val="af-ZA"/>
        </w:rPr>
        <w:t xml:space="preserve">                                                                   </w:t>
      </w:r>
    </w:p>
    <w:p w14:paraId="76031937" w14:textId="77777777" w:rsidR="005B2AA3" w:rsidRDefault="005B2AA3" w:rsidP="005B2AA3">
      <w:pPr>
        <w:spacing w:after="0" w:line="240" w:lineRule="auto"/>
        <w:jc w:val="both"/>
        <w:rPr>
          <w:rFonts w:ascii="Arial" w:eastAsia="Times New Roman" w:hAnsi="Arial" w:cs="Arial"/>
          <w:sz w:val="24"/>
          <w:szCs w:val="24"/>
          <w:lang w:val="af-ZA"/>
        </w:rPr>
      </w:pPr>
      <w:r>
        <w:rPr>
          <w:rFonts w:ascii="Arial" w:eastAsia="Times New Roman" w:hAnsi="Arial" w:cs="Arial"/>
          <w:sz w:val="24"/>
          <w:szCs w:val="24"/>
          <w:lang w:val="af-ZA"/>
        </w:rPr>
        <w:t>In the matter between:</w:t>
      </w:r>
    </w:p>
    <w:p w14:paraId="6FEB4505" w14:textId="77777777" w:rsidR="005B2AA3" w:rsidRDefault="005B2AA3" w:rsidP="005B2AA3">
      <w:pPr>
        <w:spacing w:after="0" w:line="240" w:lineRule="auto"/>
        <w:jc w:val="both"/>
        <w:rPr>
          <w:rFonts w:ascii="Arial" w:eastAsia="Times New Roman" w:hAnsi="Arial" w:cs="Arial"/>
          <w:sz w:val="24"/>
          <w:szCs w:val="24"/>
          <w:lang w:val="af-ZA"/>
        </w:rPr>
      </w:pPr>
    </w:p>
    <w:p w14:paraId="2FC3BC57" w14:textId="6FE472B6" w:rsidR="005B2AA3" w:rsidRPr="005B2AA3" w:rsidRDefault="005B2AA3" w:rsidP="005B2AA3">
      <w:pPr>
        <w:tabs>
          <w:tab w:val="right" w:pos="9480"/>
        </w:tabs>
        <w:spacing w:after="0" w:line="240" w:lineRule="auto"/>
        <w:jc w:val="both"/>
        <w:rPr>
          <w:rFonts w:ascii="Arial" w:eastAsia="Times New Roman" w:hAnsi="Arial" w:cs="Arial"/>
          <w:sz w:val="24"/>
          <w:szCs w:val="24"/>
          <w:lang w:val="af-ZA"/>
        </w:rPr>
      </w:pPr>
      <w:r>
        <w:rPr>
          <w:rFonts w:ascii="Arial" w:eastAsia="Times New Roman" w:hAnsi="Arial" w:cs="Arial"/>
          <w:b/>
          <w:sz w:val="24"/>
          <w:szCs w:val="24"/>
          <w:lang w:val="af-ZA"/>
        </w:rPr>
        <w:t>A</w:t>
      </w:r>
      <w:r w:rsidR="00063AEB">
        <w:rPr>
          <w:rFonts w:ascii="Arial" w:eastAsia="Times New Roman" w:hAnsi="Arial" w:cs="Arial"/>
          <w:b/>
          <w:sz w:val="24"/>
          <w:szCs w:val="24"/>
          <w:lang w:val="af-ZA"/>
        </w:rPr>
        <w:t xml:space="preserve">[...] </w:t>
      </w:r>
      <w:r>
        <w:rPr>
          <w:rFonts w:ascii="Arial" w:eastAsia="Times New Roman" w:hAnsi="Arial" w:cs="Arial"/>
          <w:b/>
          <w:sz w:val="24"/>
          <w:szCs w:val="24"/>
          <w:lang w:val="af-ZA"/>
        </w:rPr>
        <w:t>L</w:t>
      </w:r>
      <w:r w:rsidR="00063AEB">
        <w:rPr>
          <w:rFonts w:ascii="Arial" w:eastAsia="Times New Roman" w:hAnsi="Arial" w:cs="Arial"/>
          <w:b/>
          <w:sz w:val="24"/>
          <w:szCs w:val="24"/>
          <w:lang w:val="af-ZA"/>
        </w:rPr>
        <w:t>[..]</w:t>
      </w:r>
      <w:r>
        <w:rPr>
          <w:rFonts w:ascii="Arial" w:eastAsia="Times New Roman" w:hAnsi="Arial" w:cs="Arial"/>
          <w:b/>
          <w:sz w:val="24"/>
          <w:szCs w:val="24"/>
          <w:lang w:val="af-ZA"/>
        </w:rPr>
        <w:tab/>
        <w:t xml:space="preserve">        </w:t>
      </w:r>
      <w:r>
        <w:rPr>
          <w:rFonts w:ascii="Arial" w:eastAsia="Times New Roman" w:hAnsi="Arial" w:cs="Arial"/>
          <w:sz w:val="24"/>
          <w:szCs w:val="24"/>
          <w:lang w:val="af-ZA"/>
        </w:rPr>
        <w:t>Applicant</w:t>
      </w:r>
    </w:p>
    <w:p w14:paraId="031D2243" w14:textId="52F2B015" w:rsidR="005B2AA3" w:rsidRPr="004E5211" w:rsidRDefault="005B2AA3" w:rsidP="005B2AA3">
      <w:pPr>
        <w:tabs>
          <w:tab w:val="right" w:pos="9480"/>
        </w:tabs>
        <w:spacing w:after="0" w:line="240" w:lineRule="auto"/>
        <w:jc w:val="both"/>
        <w:rPr>
          <w:rFonts w:ascii="Arial" w:eastAsia="Times New Roman" w:hAnsi="Arial" w:cs="Arial"/>
          <w:sz w:val="24"/>
          <w:szCs w:val="24"/>
          <w:lang w:val="af-ZA"/>
        </w:rPr>
      </w:pPr>
      <w:r>
        <w:rPr>
          <w:rFonts w:ascii="Arial" w:eastAsia="Times New Roman" w:hAnsi="Arial" w:cs="Arial"/>
          <w:sz w:val="24"/>
          <w:szCs w:val="24"/>
          <w:lang w:val="af-ZA"/>
        </w:rPr>
        <w:t xml:space="preserve">(ID No.: </w:t>
      </w:r>
      <w:r w:rsidR="003C7CE4">
        <w:rPr>
          <w:rFonts w:ascii="Arial" w:eastAsia="Times New Roman" w:hAnsi="Arial" w:cs="Arial"/>
          <w:sz w:val="24"/>
          <w:szCs w:val="24"/>
          <w:lang w:val="af-ZA"/>
        </w:rPr>
        <w:t>[...]</w:t>
      </w:r>
      <w:r>
        <w:rPr>
          <w:rFonts w:ascii="Arial" w:eastAsia="Times New Roman" w:hAnsi="Arial" w:cs="Arial"/>
          <w:sz w:val="24"/>
          <w:szCs w:val="24"/>
          <w:lang w:val="af-ZA"/>
        </w:rPr>
        <w:t>)</w:t>
      </w:r>
    </w:p>
    <w:p w14:paraId="0FB810DA" w14:textId="77777777" w:rsidR="005B2AA3" w:rsidRDefault="005B2AA3" w:rsidP="005B2AA3">
      <w:pPr>
        <w:spacing w:after="0" w:line="240" w:lineRule="auto"/>
        <w:jc w:val="both"/>
        <w:rPr>
          <w:rFonts w:ascii="Arial" w:eastAsia="Times New Roman" w:hAnsi="Arial" w:cs="Arial"/>
          <w:sz w:val="24"/>
          <w:szCs w:val="24"/>
          <w:lang w:val="af-ZA"/>
        </w:rPr>
      </w:pPr>
    </w:p>
    <w:p w14:paraId="236B2AA1" w14:textId="77777777" w:rsidR="005B2AA3" w:rsidRDefault="005B2AA3" w:rsidP="005B2AA3">
      <w:pPr>
        <w:spacing w:after="0" w:line="240" w:lineRule="auto"/>
        <w:jc w:val="both"/>
        <w:rPr>
          <w:rFonts w:ascii="Arial" w:eastAsia="Times New Roman" w:hAnsi="Arial" w:cs="Arial"/>
          <w:sz w:val="24"/>
          <w:szCs w:val="24"/>
          <w:lang w:val="af-ZA"/>
        </w:rPr>
      </w:pPr>
    </w:p>
    <w:p w14:paraId="614F2C24" w14:textId="77777777" w:rsidR="005B2AA3" w:rsidRDefault="005B2AA3" w:rsidP="005B2AA3">
      <w:pPr>
        <w:spacing w:after="0" w:line="240" w:lineRule="auto"/>
        <w:jc w:val="both"/>
        <w:rPr>
          <w:rFonts w:ascii="Arial" w:eastAsia="Times New Roman" w:hAnsi="Arial" w:cs="Arial"/>
          <w:sz w:val="24"/>
          <w:szCs w:val="24"/>
          <w:lang w:val="af-ZA"/>
        </w:rPr>
      </w:pPr>
      <w:r>
        <w:rPr>
          <w:rFonts w:ascii="Arial" w:eastAsia="Times New Roman" w:hAnsi="Arial" w:cs="Arial"/>
          <w:sz w:val="24"/>
          <w:szCs w:val="24"/>
          <w:lang w:val="af-ZA"/>
        </w:rPr>
        <w:t>and</w:t>
      </w:r>
    </w:p>
    <w:p w14:paraId="355D501F" w14:textId="77777777" w:rsidR="005B2AA3" w:rsidRDefault="005B2AA3" w:rsidP="005B2AA3">
      <w:pPr>
        <w:spacing w:after="0" w:line="240" w:lineRule="auto"/>
        <w:jc w:val="both"/>
        <w:rPr>
          <w:rFonts w:ascii="Arial" w:eastAsia="Times New Roman" w:hAnsi="Arial" w:cs="Arial"/>
          <w:b/>
          <w:sz w:val="24"/>
          <w:szCs w:val="24"/>
          <w:lang w:val="af-ZA"/>
        </w:rPr>
      </w:pPr>
    </w:p>
    <w:p w14:paraId="57D79671" w14:textId="5191FDFE" w:rsidR="005B2AA3" w:rsidRDefault="005B2AA3" w:rsidP="005B2AA3">
      <w:pPr>
        <w:spacing w:after="0" w:line="240" w:lineRule="auto"/>
        <w:jc w:val="both"/>
        <w:rPr>
          <w:rFonts w:ascii="Arial" w:eastAsia="Times New Roman" w:hAnsi="Arial" w:cs="Arial"/>
          <w:sz w:val="24"/>
          <w:szCs w:val="24"/>
          <w:lang w:val="af-ZA"/>
        </w:rPr>
      </w:pPr>
      <w:r>
        <w:rPr>
          <w:rFonts w:ascii="Arial" w:eastAsia="Times New Roman" w:hAnsi="Arial" w:cs="Arial"/>
          <w:b/>
          <w:sz w:val="24"/>
          <w:szCs w:val="24"/>
          <w:lang w:val="af-ZA"/>
        </w:rPr>
        <w:t>A</w:t>
      </w:r>
      <w:r w:rsidR="00D065BA">
        <w:rPr>
          <w:rFonts w:ascii="Arial" w:eastAsia="Times New Roman" w:hAnsi="Arial" w:cs="Arial"/>
          <w:b/>
          <w:sz w:val="24"/>
          <w:szCs w:val="24"/>
          <w:lang w:val="af-ZA"/>
        </w:rPr>
        <w:t xml:space="preserve">[...] </w:t>
      </w:r>
      <w:r>
        <w:rPr>
          <w:rFonts w:ascii="Arial" w:eastAsia="Times New Roman" w:hAnsi="Arial" w:cs="Arial"/>
          <w:b/>
          <w:sz w:val="24"/>
          <w:szCs w:val="24"/>
          <w:lang w:val="af-ZA"/>
        </w:rPr>
        <w:t>S</w:t>
      </w:r>
      <w:r w:rsidR="00D065BA">
        <w:rPr>
          <w:rFonts w:ascii="Arial" w:eastAsia="Times New Roman" w:hAnsi="Arial" w:cs="Arial"/>
          <w:b/>
          <w:sz w:val="24"/>
          <w:szCs w:val="24"/>
          <w:lang w:val="af-ZA"/>
        </w:rPr>
        <w:t>[...]</w:t>
      </w:r>
      <w:r>
        <w:rPr>
          <w:rFonts w:ascii="Arial" w:eastAsia="Times New Roman" w:hAnsi="Arial" w:cs="Arial"/>
          <w:sz w:val="24"/>
          <w:szCs w:val="24"/>
          <w:lang w:val="af-ZA"/>
        </w:rPr>
        <w:t xml:space="preserve"> </w:t>
      </w:r>
      <w:r>
        <w:rPr>
          <w:rFonts w:ascii="Arial" w:eastAsia="Times New Roman" w:hAnsi="Arial" w:cs="Arial"/>
          <w:sz w:val="24"/>
          <w:szCs w:val="24"/>
          <w:lang w:val="af-ZA"/>
        </w:rPr>
        <w:tab/>
      </w:r>
      <w:r>
        <w:rPr>
          <w:rFonts w:ascii="Arial" w:eastAsia="Times New Roman" w:hAnsi="Arial" w:cs="Arial"/>
          <w:sz w:val="24"/>
          <w:szCs w:val="24"/>
          <w:lang w:val="af-ZA"/>
        </w:rPr>
        <w:tab/>
      </w:r>
      <w:r>
        <w:rPr>
          <w:rFonts w:ascii="Arial" w:eastAsia="Times New Roman" w:hAnsi="Arial" w:cs="Arial"/>
          <w:sz w:val="24"/>
          <w:szCs w:val="24"/>
          <w:lang w:val="af-ZA"/>
        </w:rPr>
        <w:tab/>
      </w:r>
      <w:r>
        <w:rPr>
          <w:rFonts w:ascii="Arial" w:eastAsia="Times New Roman" w:hAnsi="Arial" w:cs="Arial"/>
          <w:sz w:val="24"/>
          <w:szCs w:val="24"/>
          <w:lang w:val="af-ZA"/>
        </w:rPr>
        <w:tab/>
      </w:r>
      <w:r>
        <w:rPr>
          <w:rFonts w:ascii="Arial" w:eastAsia="Times New Roman" w:hAnsi="Arial" w:cs="Arial"/>
          <w:sz w:val="24"/>
          <w:szCs w:val="24"/>
          <w:lang w:val="af-ZA"/>
        </w:rPr>
        <w:tab/>
      </w:r>
      <w:r>
        <w:rPr>
          <w:rFonts w:ascii="Arial" w:eastAsia="Times New Roman" w:hAnsi="Arial" w:cs="Arial"/>
          <w:sz w:val="24"/>
          <w:szCs w:val="24"/>
          <w:lang w:val="af-ZA"/>
        </w:rPr>
        <w:tab/>
      </w:r>
      <w:r>
        <w:rPr>
          <w:rFonts w:ascii="Arial" w:eastAsia="Times New Roman" w:hAnsi="Arial" w:cs="Arial"/>
          <w:sz w:val="24"/>
          <w:szCs w:val="24"/>
          <w:lang w:val="af-ZA"/>
        </w:rPr>
        <w:tab/>
        <w:t>First Respondent</w:t>
      </w:r>
    </w:p>
    <w:p w14:paraId="04B35D72" w14:textId="692425F4" w:rsidR="005B2AA3" w:rsidRPr="005B2AA3" w:rsidRDefault="005B2AA3" w:rsidP="005B2AA3">
      <w:pPr>
        <w:spacing w:after="0" w:line="240" w:lineRule="auto"/>
        <w:jc w:val="both"/>
        <w:rPr>
          <w:rFonts w:ascii="Arial" w:eastAsia="Times New Roman" w:hAnsi="Arial" w:cs="Arial"/>
          <w:sz w:val="24"/>
          <w:szCs w:val="24"/>
          <w:lang w:val="af-ZA"/>
        </w:rPr>
      </w:pPr>
      <w:r>
        <w:rPr>
          <w:rFonts w:ascii="Arial" w:eastAsia="Times New Roman" w:hAnsi="Arial" w:cs="Arial"/>
          <w:sz w:val="24"/>
          <w:szCs w:val="24"/>
          <w:lang w:val="af-ZA"/>
        </w:rPr>
        <w:t xml:space="preserve">(ID. No. </w:t>
      </w:r>
      <w:r w:rsidR="003C7CE4">
        <w:rPr>
          <w:rFonts w:ascii="Arial" w:eastAsia="Times New Roman" w:hAnsi="Arial" w:cs="Arial"/>
          <w:sz w:val="24"/>
          <w:szCs w:val="24"/>
          <w:lang w:val="af-ZA"/>
        </w:rPr>
        <w:t>[...]</w:t>
      </w:r>
      <w:r>
        <w:rPr>
          <w:rFonts w:ascii="Arial" w:eastAsia="Times New Roman" w:hAnsi="Arial" w:cs="Arial"/>
          <w:sz w:val="24"/>
          <w:szCs w:val="24"/>
          <w:lang w:val="af-ZA"/>
        </w:rPr>
        <w:t>)</w:t>
      </w:r>
    </w:p>
    <w:p w14:paraId="7014A392" w14:textId="77777777" w:rsidR="005B2AA3" w:rsidRDefault="005B2AA3" w:rsidP="005B2AA3">
      <w:pPr>
        <w:spacing w:after="0" w:line="240" w:lineRule="auto"/>
        <w:jc w:val="both"/>
        <w:rPr>
          <w:rFonts w:ascii="Arial" w:eastAsia="Times New Roman" w:hAnsi="Arial" w:cs="Arial"/>
          <w:b/>
          <w:sz w:val="24"/>
          <w:szCs w:val="24"/>
          <w:lang w:val="af-ZA"/>
        </w:rPr>
      </w:pPr>
    </w:p>
    <w:p w14:paraId="62D40AFA" w14:textId="77777777" w:rsidR="005B2AA3" w:rsidRDefault="005B2AA3" w:rsidP="005B2AA3">
      <w:pPr>
        <w:spacing w:after="0" w:line="240" w:lineRule="auto"/>
        <w:jc w:val="both"/>
        <w:rPr>
          <w:rFonts w:ascii="Arial" w:eastAsia="Times New Roman" w:hAnsi="Arial" w:cs="Arial"/>
          <w:sz w:val="24"/>
          <w:szCs w:val="24"/>
          <w:lang w:val="af-ZA"/>
        </w:rPr>
      </w:pPr>
    </w:p>
    <w:p w14:paraId="7BB60B3C" w14:textId="26D20E34" w:rsidR="005B2AA3" w:rsidRDefault="00D065BA" w:rsidP="005B2AA3">
      <w:pPr>
        <w:spacing w:after="0" w:line="240" w:lineRule="auto"/>
        <w:jc w:val="both"/>
        <w:rPr>
          <w:rFonts w:ascii="Arial" w:eastAsia="Times New Roman" w:hAnsi="Arial" w:cs="Arial"/>
          <w:sz w:val="24"/>
          <w:szCs w:val="24"/>
          <w:lang w:val="af-ZA"/>
        </w:rPr>
      </w:pPr>
      <w:r>
        <w:rPr>
          <w:rFonts w:ascii="Arial" w:eastAsia="Times New Roman" w:hAnsi="Arial" w:cs="Arial"/>
          <w:b/>
          <w:sz w:val="24"/>
          <w:szCs w:val="24"/>
          <w:lang w:val="af-ZA"/>
        </w:rPr>
        <w:t>A[...] S[...]</w:t>
      </w:r>
      <w:bookmarkStart w:id="0" w:name="_GoBack"/>
      <w:bookmarkEnd w:id="0"/>
      <w:r w:rsidR="005B2AA3">
        <w:rPr>
          <w:rFonts w:ascii="Arial" w:eastAsia="Times New Roman" w:hAnsi="Arial" w:cs="Arial"/>
          <w:b/>
          <w:sz w:val="24"/>
          <w:szCs w:val="24"/>
          <w:lang w:val="af-ZA"/>
        </w:rPr>
        <w:t xml:space="preserve"> N.O. </w:t>
      </w:r>
      <w:r w:rsidR="005B2AA3">
        <w:rPr>
          <w:rFonts w:ascii="Arial" w:eastAsia="Times New Roman" w:hAnsi="Arial" w:cs="Arial"/>
          <w:b/>
          <w:sz w:val="24"/>
          <w:szCs w:val="24"/>
          <w:lang w:val="af-ZA"/>
        </w:rPr>
        <w:tab/>
      </w:r>
      <w:r w:rsidR="005B2AA3">
        <w:rPr>
          <w:rFonts w:ascii="Arial" w:eastAsia="Times New Roman" w:hAnsi="Arial" w:cs="Arial"/>
          <w:b/>
          <w:sz w:val="24"/>
          <w:szCs w:val="24"/>
          <w:lang w:val="af-ZA"/>
        </w:rPr>
        <w:tab/>
      </w:r>
      <w:r w:rsidR="005B2AA3">
        <w:rPr>
          <w:rFonts w:ascii="Arial" w:eastAsia="Times New Roman" w:hAnsi="Arial" w:cs="Arial"/>
          <w:b/>
          <w:sz w:val="24"/>
          <w:szCs w:val="24"/>
          <w:lang w:val="af-ZA"/>
        </w:rPr>
        <w:tab/>
      </w:r>
      <w:r w:rsidR="005B2AA3">
        <w:rPr>
          <w:rFonts w:ascii="Arial" w:eastAsia="Times New Roman" w:hAnsi="Arial" w:cs="Arial"/>
          <w:b/>
          <w:sz w:val="24"/>
          <w:szCs w:val="24"/>
          <w:lang w:val="af-ZA"/>
        </w:rPr>
        <w:tab/>
      </w:r>
      <w:r w:rsidR="005B2AA3">
        <w:rPr>
          <w:rFonts w:ascii="Arial" w:eastAsia="Times New Roman" w:hAnsi="Arial" w:cs="Arial"/>
          <w:b/>
          <w:sz w:val="24"/>
          <w:szCs w:val="24"/>
          <w:lang w:val="af-ZA"/>
        </w:rPr>
        <w:tab/>
        <w:t xml:space="preserve">     </w:t>
      </w:r>
      <w:r w:rsidR="005B2AA3">
        <w:rPr>
          <w:rFonts w:ascii="Arial" w:eastAsia="Times New Roman" w:hAnsi="Arial" w:cs="Arial"/>
          <w:sz w:val="24"/>
          <w:szCs w:val="24"/>
          <w:lang w:val="af-ZA"/>
        </w:rPr>
        <w:t>Second Respondent</w:t>
      </w:r>
    </w:p>
    <w:p w14:paraId="11D9E4A7" w14:textId="201A2205" w:rsidR="005B2AA3" w:rsidRPr="005B2AA3" w:rsidRDefault="005B2AA3" w:rsidP="005B2AA3">
      <w:pPr>
        <w:spacing w:after="0" w:line="240" w:lineRule="auto"/>
        <w:jc w:val="both"/>
        <w:rPr>
          <w:rFonts w:ascii="Arial" w:eastAsia="Times New Roman" w:hAnsi="Arial" w:cs="Arial"/>
          <w:sz w:val="24"/>
          <w:szCs w:val="24"/>
          <w:lang w:val="af-ZA"/>
        </w:rPr>
      </w:pPr>
      <w:r>
        <w:rPr>
          <w:rFonts w:ascii="Arial" w:eastAsia="Times New Roman" w:hAnsi="Arial" w:cs="Arial"/>
          <w:sz w:val="24"/>
          <w:szCs w:val="24"/>
          <w:lang w:val="af-ZA"/>
        </w:rPr>
        <w:t xml:space="preserve">(ID. No. </w:t>
      </w:r>
      <w:r w:rsidR="003C7CE4">
        <w:rPr>
          <w:rFonts w:ascii="Arial" w:eastAsia="Times New Roman" w:hAnsi="Arial" w:cs="Arial"/>
          <w:sz w:val="24"/>
          <w:szCs w:val="24"/>
          <w:lang w:val="af-ZA"/>
        </w:rPr>
        <w:t>[...]</w:t>
      </w:r>
      <w:r>
        <w:rPr>
          <w:rFonts w:ascii="Arial" w:eastAsia="Times New Roman" w:hAnsi="Arial" w:cs="Arial"/>
          <w:sz w:val="24"/>
          <w:szCs w:val="24"/>
          <w:lang w:val="af-ZA"/>
        </w:rPr>
        <w:t>)</w:t>
      </w:r>
    </w:p>
    <w:p w14:paraId="6F2584DA" w14:textId="77777777" w:rsidR="005B2AA3" w:rsidRDefault="005B2AA3" w:rsidP="005B2AA3">
      <w:pPr>
        <w:spacing w:after="0" w:line="240" w:lineRule="auto"/>
        <w:jc w:val="both"/>
        <w:rPr>
          <w:rFonts w:ascii="Arial" w:eastAsia="Times New Roman" w:hAnsi="Arial" w:cs="Arial"/>
          <w:sz w:val="24"/>
          <w:szCs w:val="24"/>
          <w:lang w:val="af-ZA"/>
        </w:rPr>
      </w:pPr>
    </w:p>
    <w:p w14:paraId="0D668327" w14:textId="77777777" w:rsidR="005B2AA3" w:rsidRDefault="005B2AA3" w:rsidP="005B2AA3">
      <w:pPr>
        <w:spacing w:after="0" w:line="240" w:lineRule="auto"/>
        <w:jc w:val="right"/>
        <w:rPr>
          <w:rFonts w:ascii="Arial" w:eastAsia="Times New Roman" w:hAnsi="Arial" w:cs="Arial"/>
          <w:sz w:val="24"/>
          <w:szCs w:val="24"/>
          <w:lang w:val="af-ZA"/>
        </w:rPr>
      </w:pPr>
    </w:p>
    <w:p w14:paraId="30C22EA2" w14:textId="77777777" w:rsidR="005B2AA3" w:rsidRPr="005B2AA3" w:rsidRDefault="005B2AA3" w:rsidP="005B2AA3">
      <w:pPr>
        <w:spacing w:after="0" w:line="240" w:lineRule="auto"/>
        <w:rPr>
          <w:rFonts w:ascii="Arial" w:eastAsia="Times New Roman" w:hAnsi="Arial" w:cs="Arial"/>
          <w:sz w:val="24"/>
          <w:szCs w:val="24"/>
          <w:lang w:val="af-ZA"/>
        </w:rPr>
      </w:pPr>
      <w:r>
        <w:rPr>
          <w:rFonts w:ascii="Arial" w:eastAsia="Times New Roman" w:hAnsi="Arial" w:cs="Arial"/>
          <w:b/>
          <w:sz w:val="24"/>
          <w:szCs w:val="24"/>
          <w:lang w:val="af-ZA"/>
        </w:rPr>
        <w:t>THE MASTER OF THE HIGH COURT</w:t>
      </w:r>
      <w:r>
        <w:rPr>
          <w:rFonts w:ascii="Arial" w:eastAsia="Times New Roman" w:hAnsi="Arial" w:cs="Arial"/>
          <w:b/>
          <w:sz w:val="24"/>
          <w:szCs w:val="24"/>
          <w:lang w:val="af-ZA"/>
        </w:rPr>
        <w:tab/>
      </w:r>
      <w:r>
        <w:rPr>
          <w:rFonts w:ascii="Arial" w:eastAsia="Times New Roman" w:hAnsi="Arial" w:cs="Arial"/>
          <w:b/>
          <w:sz w:val="24"/>
          <w:szCs w:val="24"/>
          <w:lang w:val="af-ZA"/>
        </w:rPr>
        <w:tab/>
      </w:r>
      <w:r>
        <w:rPr>
          <w:rFonts w:ascii="Arial" w:eastAsia="Times New Roman" w:hAnsi="Arial" w:cs="Arial"/>
          <w:b/>
          <w:sz w:val="24"/>
          <w:szCs w:val="24"/>
          <w:lang w:val="af-ZA"/>
        </w:rPr>
        <w:tab/>
      </w:r>
      <w:r>
        <w:rPr>
          <w:rFonts w:ascii="Arial" w:eastAsia="Times New Roman" w:hAnsi="Arial" w:cs="Arial"/>
          <w:b/>
          <w:sz w:val="24"/>
          <w:szCs w:val="24"/>
          <w:lang w:val="af-ZA"/>
        </w:rPr>
        <w:tab/>
        <w:t xml:space="preserve">         </w:t>
      </w:r>
      <w:r>
        <w:rPr>
          <w:rFonts w:ascii="Arial" w:eastAsia="Times New Roman" w:hAnsi="Arial" w:cs="Arial"/>
          <w:sz w:val="24"/>
          <w:szCs w:val="24"/>
          <w:lang w:val="af-ZA"/>
        </w:rPr>
        <w:t>Third Respondent</w:t>
      </w:r>
    </w:p>
    <w:p w14:paraId="2483D0EC" w14:textId="77777777" w:rsidR="005B2AA3" w:rsidRDefault="005B2AA3" w:rsidP="005B2AA3">
      <w:pPr>
        <w:spacing w:after="0" w:line="240" w:lineRule="auto"/>
        <w:jc w:val="both"/>
        <w:rPr>
          <w:rFonts w:ascii="Arial" w:eastAsia="Times New Roman" w:hAnsi="Arial" w:cs="Arial"/>
          <w:sz w:val="24"/>
          <w:szCs w:val="24"/>
          <w:lang w:val="af-ZA"/>
        </w:rPr>
      </w:pPr>
    </w:p>
    <w:p w14:paraId="4E699572" w14:textId="77777777" w:rsidR="005B2AA3" w:rsidRDefault="005B2AA3" w:rsidP="005B2AA3">
      <w:pPr>
        <w:spacing w:after="0" w:line="240" w:lineRule="auto"/>
        <w:rPr>
          <w:rFonts w:ascii="Century Gothic" w:eastAsia="Times New Roman" w:hAnsi="Century Gothic" w:cs="Times New Roman"/>
          <w:sz w:val="28"/>
          <w:szCs w:val="28"/>
          <w:lang w:val="af-ZA"/>
        </w:rPr>
      </w:pPr>
    </w:p>
    <w:p w14:paraId="439704CA" w14:textId="77777777" w:rsidR="005B2AA3" w:rsidRDefault="005B2AA3" w:rsidP="005B2AA3">
      <w:pPr>
        <w:pBdr>
          <w:top w:val="single" w:sz="4" w:space="1" w:color="auto"/>
          <w:left w:val="single" w:sz="4" w:space="4" w:color="auto"/>
          <w:bottom w:val="single" w:sz="4" w:space="0" w:color="auto"/>
          <w:right w:val="single" w:sz="4" w:space="4" w:color="auto"/>
        </w:pBdr>
        <w:spacing w:after="0" w:line="240" w:lineRule="auto"/>
        <w:rPr>
          <w:rFonts w:ascii="Century Gothic" w:eastAsia="Times New Roman" w:hAnsi="Century Gothic" w:cs="Times New Roman"/>
          <w:b/>
          <w:sz w:val="36"/>
          <w:szCs w:val="36"/>
          <w:lang w:val="af-ZA"/>
        </w:rPr>
      </w:pPr>
      <w:r>
        <w:rPr>
          <w:rFonts w:ascii="Century Gothic" w:eastAsia="Times New Roman" w:hAnsi="Century Gothic" w:cs="Times New Roman"/>
          <w:b/>
          <w:sz w:val="36"/>
          <w:szCs w:val="36"/>
          <w:lang w:val="af-ZA"/>
        </w:rPr>
        <w:t xml:space="preserve">                          </w:t>
      </w:r>
    </w:p>
    <w:p w14:paraId="139F9313" w14:textId="5B02408C" w:rsidR="005B2AA3" w:rsidRPr="00F24911" w:rsidRDefault="005B2AA3" w:rsidP="005B2AA3">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sz w:val="24"/>
          <w:szCs w:val="24"/>
          <w:lang w:val="af-ZA"/>
        </w:rPr>
      </w:pPr>
      <w:r w:rsidRPr="00F24911">
        <w:rPr>
          <w:rFonts w:ascii="Arial" w:eastAsia="Times New Roman" w:hAnsi="Arial" w:cs="Arial"/>
          <w:b/>
          <w:sz w:val="24"/>
          <w:szCs w:val="24"/>
          <w:lang w:val="af-ZA"/>
        </w:rPr>
        <w:t xml:space="preserve">JUDGMENT </w:t>
      </w:r>
      <w:r w:rsidR="00F24911" w:rsidRPr="00F24911">
        <w:rPr>
          <w:rFonts w:ascii="Arial" w:eastAsia="Times New Roman" w:hAnsi="Arial" w:cs="Arial"/>
          <w:b/>
          <w:sz w:val="24"/>
          <w:szCs w:val="24"/>
          <w:lang w:val="af-ZA"/>
        </w:rPr>
        <w:t>DELI</w:t>
      </w:r>
      <w:r w:rsidR="009A5C9A">
        <w:rPr>
          <w:rFonts w:ascii="Arial" w:eastAsia="Times New Roman" w:hAnsi="Arial" w:cs="Arial"/>
          <w:b/>
          <w:sz w:val="24"/>
          <w:szCs w:val="24"/>
          <w:lang w:val="af-ZA"/>
        </w:rPr>
        <w:t>VERED ON THIS THE 10</w:t>
      </w:r>
      <w:r w:rsidR="00F24911" w:rsidRPr="00F24911">
        <w:rPr>
          <w:rFonts w:ascii="Arial" w:eastAsia="Times New Roman" w:hAnsi="Arial" w:cs="Arial"/>
          <w:b/>
          <w:sz w:val="24"/>
          <w:szCs w:val="24"/>
          <w:lang w:val="af-ZA"/>
        </w:rPr>
        <w:t>TH DAY OF NOVEMBER 2023</w:t>
      </w:r>
    </w:p>
    <w:p w14:paraId="6BDA03A3" w14:textId="77777777" w:rsidR="005B2AA3" w:rsidRPr="00D502B8" w:rsidRDefault="005B2AA3" w:rsidP="005B2AA3">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32"/>
          <w:szCs w:val="32"/>
        </w:rPr>
      </w:pPr>
      <w:r>
        <w:rPr>
          <w:rFonts w:ascii="Arial" w:eastAsia="Times New Roman" w:hAnsi="Arial" w:cs="Arial"/>
          <w:sz w:val="32"/>
          <w:szCs w:val="32"/>
        </w:rPr>
        <w:t xml:space="preserve">      </w:t>
      </w:r>
      <w:r>
        <w:rPr>
          <w:rFonts w:ascii="Arial" w:eastAsia="Times New Roman" w:hAnsi="Arial" w:cs="Arial"/>
          <w:b/>
          <w:sz w:val="32"/>
          <w:szCs w:val="32"/>
        </w:rPr>
        <w:t xml:space="preserve">                             </w:t>
      </w:r>
    </w:p>
    <w:p w14:paraId="25CA65D9" w14:textId="77777777" w:rsidR="005B2AA3" w:rsidRDefault="005B2AA3" w:rsidP="005B2AA3">
      <w:pPr>
        <w:rPr>
          <w:rFonts w:ascii="Arial" w:hAnsi="Arial" w:cs="Arial"/>
          <w:b/>
          <w:sz w:val="24"/>
          <w:szCs w:val="24"/>
        </w:rPr>
      </w:pPr>
    </w:p>
    <w:p w14:paraId="60B20362" w14:textId="77777777" w:rsidR="005B2AA3" w:rsidRDefault="005B2AA3" w:rsidP="005B2AA3">
      <w:pPr>
        <w:rPr>
          <w:rFonts w:ascii="Arial" w:hAnsi="Arial" w:cs="Arial"/>
          <w:b/>
          <w:sz w:val="24"/>
          <w:szCs w:val="24"/>
        </w:rPr>
      </w:pPr>
      <w:r>
        <w:rPr>
          <w:rFonts w:ascii="Arial" w:hAnsi="Arial" w:cs="Arial"/>
          <w:b/>
          <w:sz w:val="24"/>
          <w:szCs w:val="24"/>
        </w:rPr>
        <w:t>Andrews AJ</w:t>
      </w:r>
    </w:p>
    <w:p w14:paraId="2838A05E" w14:textId="77777777" w:rsidR="005B2AA3" w:rsidRDefault="005B2AA3" w:rsidP="005B2AA3">
      <w:pPr>
        <w:rPr>
          <w:rFonts w:ascii="Arial" w:hAnsi="Arial" w:cs="Arial"/>
          <w:b/>
          <w:sz w:val="24"/>
          <w:szCs w:val="24"/>
        </w:rPr>
      </w:pPr>
      <w:r>
        <w:rPr>
          <w:rFonts w:ascii="Arial" w:hAnsi="Arial" w:cs="Arial"/>
          <w:b/>
          <w:sz w:val="24"/>
          <w:szCs w:val="24"/>
        </w:rPr>
        <w:t>Introduction</w:t>
      </w:r>
    </w:p>
    <w:p w14:paraId="1F6D00DB" w14:textId="03E3686E" w:rsidR="001E76D5" w:rsidRPr="001F679A" w:rsidRDefault="00C83C71" w:rsidP="00C83C71">
      <w:pPr>
        <w:tabs>
          <w:tab w:val="left" w:pos="567"/>
        </w:tabs>
        <w:spacing w:line="480" w:lineRule="auto"/>
      </w:pPr>
      <w:r w:rsidRPr="001F679A">
        <w:rPr>
          <w:rFonts w:ascii="Arial" w:hAnsi="Arial" w:cs="Arial"/>
          <w:sz w:val="24"/>
          <w:lang w:val="en-ZA"/>
        </w:rPr>
        <w:t xml:space="preserve">[1]     </w:t>
      </w:r>
      <w:r w:rsidRPr="001F679A">
        <w:rPr>
          <w:rFonts w:ascii="Arial" w:hAnsi="Arial" w:cs="Arial"/>
          <w:sz w:val="24"/>
          <w:lang w:val="en-ZA"/>
        </w:rPr>
        <w:tab/>
      </w:r>
      <w:r w:rsidR="005B2AA3" w:rsidRPr="00C83C71">
        <w:rPr>
          <w:rFonts w:ascii="Arial" w:hAnsi="Arial" w:cs="Arial"/>
          <w:sz w:val="24"/>
          <w:szCs w:val="24"/>
        </w:rPr>
        <w:t xml:space="preserve">This </w:t>
      </w:r>
      <w:r w:rsidR="004002F0" w:rsidRPr="00C83C71">
        <w:rPr>
          <w:rFonts w:ascii="Arial" w:hAnsi="Arial" w:cs="Arial"/>
          <w:sz w:val="24"/>
          <w:szCs w:val="24"/>
        </w:rPr>
        <w:t>is an opposed</w:t>
      </w:r>
      <w:r w:rsidR="001E76D5" w:rsidRPr="00C83C71">
        <w:rPr>
          <w:rFonts w:ascii="Arial" w:hAnsi="Arial" w:cs="Arial"/>
          <w:sz w:val="24"/>
          <w:szCs w:val="24"/>
        </w:rPr>
        <w:t xml:space="preserve"> urgent</w:t>
      </w:r>
      <w:r w:rsidR="004002F0" w:rsidRPr="00C83C71">
        <w:rPr>
          <w:rFonts w:ascii="Arial" w:hAnsi="Arial" w:cs="Arial"/>
          <w:sz w:val="24"/>
          <w:szCs w:val="24"/>
        </w:rPr>
        <w:t xml:space="preserve"> </w:t>
      </w:r>
      <w:r w:rsidR="005B2AA3" w:rsidRPr="00C83C71">
        <w:rPr>
          <w:rFonts w:ascii="Arial" w:hAnsi="Arial" w:cs="Arial"/>
          <w:sz w:val="24"/>
          <w:szCs w:val="24"/>
        </w:rPr>
        <w:t xml:space="preserve">application </w:t>
      </w:r>
      <w:r w:rsidR="004002F0" w:rsidRPr="00C83C71">
        <w:rPr>
          <w:rFonts w:ascii="Arial" w:hAnsi="Arial" w:cs="Arial"/>
          <w:sz w:val="24"/>
          <w:szCs w:val="24"/>
        </w:rPr>
        <w:t>for</w:t>
      </w:r>
      <w:r w:rsidR="001E76D5" w:rsidRPr="00C83C71">
        <w:rPr>
          <w:rFonts w:ascii="Arial" w:hAnsi="Arial" w:cs="Arial"/>
          <w:sz w:val="24"/>
          <w:szCs w:val="24"/>
        </w:rPr>
        <w:t xml:space="preserve"> </w:t>
      </w:r>
      <w:r w:rsidR="001F679A" w:rsidRPr="00C83C71">
        <w:rPr>
          <w:rFonts w:ascii="Arial" w:hAnsi="Arial" w:cs="Arial"/>
          <w:sz w:val="24"/>
          <w:szCs w:val="24"/>
        </w:rPr>
        <w:t>interdictory and related relief.</w:t>
      </w:r>
      <w:r w:rsidR="001E76D5" w:rsidRPr="00C83C71">
        <w:rPr>
          <w:rFonts w:ascii="Arial" w:hAnsi="Arial" w:cs="Arial"/>
          <w:sz w:val="24"/>
          <w:szCs w:val="24"/>
        </w:rPr>
        <w:t xml:space="preserve"> On 23 October 2023, the court made a ruling in respect of prayer 1 that the matter be heard </w:t>
      </w:r>
      <w:r w:rsidR="001E76D5" w:rsidRPr="00C83C71">
        <w:rPr>
          <w:rFonts w:ascii="Arial" w:hAnsi="Arial" w:cs="Arial"/>
          <w:sz w:val="24"/>
          <w:szCs w:val="24"/>
        </w:rPr>
        <w:lastRenderedPageBreak/>
        <w:t>as a matter of urgency and that the forms, methods of service and service periods provided for in the Uniform Rules be dispensed with in accordance with the provisions of Uniform Rules 6(12) and that the Applicant’s non-compliance with the uniform rules be condoned. The matter was argued on t</w:t>
      </w:r>
      <w:r w:rsidR="001C1025" w:rsidRPr="00C83C71">
        <w:rPr>
          <w:rFonts w:ascii="Arial" w:hAnsi="Arial" w:cs="Arial"/>
          <w:sz w:val="24"/>
          <w:szCs w:val="24"/>
        </w:rPr>
        <w:t>he same day</w:t>
      </w:r>
      <w:r w:rsidR="00D809DE" w:rsidRPr="00C83C71">
        <w:rPr>
          <w:rFonts w:ascii="Arial" w:hAnsi="Arial" w:cs="Arial"/>
          <w:sz w:val="24"/>
          <w:szCs w:val="24"/>
        </w:rPr>
        <w:t>, and</w:t>
      </w:r>
      <w:r w:rsidR="001C1025" w:rsidRPr="00C83C71">
        <w:rPr>
          <w:rFonts w:ascii="Arial" w:hAnsi="Arial" w:cs="Arial"/>
          <w:sz w:val="24"/>
          <w:szCs w:val="24"/>
        </w:rPr>
        <w:t xml:space="preserve"> judgment</w:t>
      </w:r>
      <w:r w:rsidR="001E76D5" w:rsidRPr="00C83C71">
        <w:rPr>
          <w:rFonts w:ascii="Arial" w:hAnsi="Arial" w:cs="Arial"/>
          <w:sz w:val="24"/>
          <w:szCs w:val="24"/>
        </w:rPr>
        <w:t xml:space="preserve"> was reserved.</w:t>
      </w:r>
      <w:r w:rsidR="001F679A" w:rsidRPr="00C83C71">
        <w:rPr>
          <w:rFonts w:ascii="Arial" w:hAnsi="Arial" w:cs="Arial"/>
          <w:sz w:val="24"/>
          <w:szCs w:val="24"/>
        </w:rPr>
        <w:t xml:space="preserve"> </w:t>
      </w:r>
    </w:p>
    <w:p w14:paraId="0ACC943E" w14:textId="77777777" w:rsidR="001F679A" w:rsidRPr="001F679A" w:rsidRDefault="001F679A" w:rsidP="001F679A">
      <w:pPr>
        <w:pStyle w:val="ListParagraph"/>
        <w:spacing w:line="480" w:lineRule="auto"/>
        <w:ind w:left="0"/>
      </w:pPr>
    </w:p>
    <w:p w14:paraId="719DDF4F" w14:textId="0999172B" w:rsidR="001F679A" w:rsidRPr="003F21D2" w:rsidRDefault="00C83C71" w:rsidP="00C83C71">
      <w:pPr>
        <w:tabs>
          <w:tab w:val="left" w:pos="567"/>
        </w:tabs>
        <w:spacing w:line="480" w:lineRule="auto"/>
      </w:pPr>
      <w:r w:rsidRPr="003F21D2">
        <w:rPr>
          <w:rFonts w:ascii="Arial" w:hAnsi="Arial" w:cs="Arial"/>
          <w:sz w:val="24"/>
          <w:lang w:val="en-ZA"/>
        </w:rPr>
        <w:t xml:space="preserve">[2]     </w:t>
      </w:r>
      <w:r w:rsidRPr="003F21D2">
        <w:rPr>
          <w:rFonts w:ascii="Arial" w:hAnsi="Arial" w:cs="Arial"/>
          <w:sz w:val="24"/>
          <w:lang w:val="en-ZA"/>
        </w:rPr>
        <w:tab/>
      </w:r>
      <w:r w:rsidR="001F679A" w:rsidRPr="00C83C71">
        <w:rPr>
          <w:rFonts w:ascii="Arial" w:hAnsi="Arial" w:cs="Arial"/>
          <w:sz w:val="24"/>
          <w:szCs w:val="24"/>
        </w:rPr>
        <w:t>The Application is only opposed by First and Second Respondents.</w:t>
      </w:r>
    </w:p>
    <w:p w14:paraId="33C688B5" w14:textId="77777777" w:rsidR="003F21D2" w:rsidRDefault="003F21D2" w:rsidP="003F21D2">
      <w:pPr>
        <w:pStyle w:val="ListParagraph"/>
        <w:spacing w:line="480" w:lineRule="auto"/>
        <w:ind w:left="0"/>
        <w:rPr>
          <w:rFonts w:ascii="Arial" w:hAnsi="Arial" w:cs="Arial"/>
          <w:b/>
          <w:sz w:val="24"/>
          <w:szCs w:val="24"/>
        </w:rPr>
      </w:pPr>
    </w:p>
    <w:p w14:paraId="6277559A" w14:textId="77777777" w:rsidR="003F21D2" w:rsidRPr="003F21D2" w:rsidRDefault="003F21D2" w:rsidP="003F21D2">
      <w:pPr>
        <w:pStyle w:val="ListParagraph"/>
        <w:spacing w:line="480" w:lineRule="auto"/>
        <w:ind w:left="0"/>
      </w:pPr>
      <w:r>
        <w:rPr>
          <w:rFonts w:ascii="Arial" w:hAnsi="Arial" w:cs="Arial"/>
          <w:b/>
          <w:sz w:val="24"/>
          <w:szCs w:val="24"/>
        </w:rPr>
        <w:t>Factual Background</w:t>
      </w:r>
    </w:p>
    <w:p w14:paraId="171BEA96" w14:textId="04A5C7B0" w:rsidR="00FF0378" w:rsidRPr="003F21D2" w:rsidRDefault="00C83C71" w:rsidP="00C83C71">
      <w:pPr>
        <w:tabs>
          <w:tab w:val="left" w:pos="567"/>
        </w:tabs>
        <w:spacing w:after="0" w:line="480" w:lineRule="auto"/>
      </w:pPr>
      <w:r w:rsidRPr="003F21D2">
        <w:rPr>
          <w:rFonts w:ascii="Arial" w:hAnsi="Arial" w:cs="Arial"/>
          <w:sz w:val="24"/>
          <w:lang w:val="en-ZA"/>
        </w:rPr>
        <w:t xml:space="preserve">[3]     </w:t>
      </w:r>
      <w:r w:rsidRPr="003F21D2">
        <w:rPr>
          <w:rFonts w:ascii="Arial" w:hAnsi="Arial" w:cs="Arial"/>
          <w:sz w:val="24"/>
          <w:lang w:val="en-ZA"/>
        </w:rPr>
        <w:tab/>
      </w:r>
      <w:r w:rsidR="005252B4" w:rsidRPr="00C83C71">
        <w:rPr>
          <w:rFonts w:ascii="Arial" w:hAnsi="Arial" w:cs="Arial"/>
          <w:sz w:val="24"/>
          <w:szCs w:val="24"/>
        </w:rPr>
        <w:t>The Applicant and the late</w:t>
      </w:r>
      <w:r w:rsidR="00274F76">
        <w:rPr>
          <w:rFonts w:ascii="Arial" w:hAnsi="Arial" w:cs="Arial"/>
          <w:sz w:val="24"/>
          <w:szCs w:val="24"/>
        </w:rPr>
        <w:t xml:space="preserve"> Mr. </w:t>
      </w:r>
      <w:proofErr w:type="gramStart"/>
      <w:r w:rsidR="00274F76">
        <w:rPr>
          <w:rFonts w:ascii="Arial" w:hAnsi="Arial" w:cs="Arial"/>
          <w:sz w:val="24"/>
          <w:szCs w:val="24"/>
        </w:rPr>
        <w:t>E[</w:t>
      </w:r>
      <w:proofErr w:type="gramEnd"/>
      <w:r w:rsidR="00274F76">
        <w:rPr>
          <w:rFonts w:ascii="Arial" w:hAnsi="Arial" w:cs="Arial"/>
          <w:sz w:val="24"/>
          <w:szCs w:val="24"/>
        </w:rPr>
        <w:t>…]</w:t>
      </w:r>
      <w:r w:rsidR="003F21D2" w:rsidRPr="00C83C71">
        <w:rPr>
          <w:rFonts w:ascii="Arial" w:hAnsi="Arial" w:cs="Arial"/>
          <w:sz w:val="24"/>
          <w:szCs w:val="24"/>
        </w:rPr>
        <w:t xml:space="preserve"> S</w:t>
      </w:r>
      <w:r w:rsidR="00274F76">
        <w:rPr>
          <w:rFonts w:ascii="Arial" w:hAnsi="Arial" w:cs="Arial"/>
          <w:sz w:val="24"/>
          <w:szCs w:val="24"/>
        </w:rPr>
        <w:t>[…]</w:t>
      </w:r>
      <w:r w:rsidR="003F21D2" w:rsidRPr="00C83C71">
        <w:rPr>
          <w:rFonts w:ascii="Arial" w:hAnsi="Arial" w:cs="Arial"/>
          <w:sz w:val="24"/>
          <w:szCs w:val="24"/>
        </w:rPr>
        <w:t xml:space="preserve"> (“the deceased”) were divorced on 31 August 2015. The salient terms of t</w:t>
      </w:r>
      <w:r w:rsidR="001A00F8" w:rsidRPr="00C83C71">
        <w:rPr>
          <w:rFonts w:ascii="Arial" w:hAnsi="Arial" w:cs="Arial"/>
          <w:sz w:val="24"/>
          <w:szCs w:val="24"/>
        </w:rPr>
        <w:t>he divorce order</w:t>
      </w:r>
      <w:r w:rsidR="00256F34" w:rsidRPr="00C83C71">
        <w:rPr>
          <w:rFonts w:ascii="Arial" w:hAnsi="Arial" w:cs="Arial"/>
          <w:sz w:val="24"/>
          <w:szCs w:val="24"/>
        </w:rPr>
        <w:t xml:space="preserve"> grant</w:t>
      </w:r>
      <w:r w:rsidR="00EA0AA2" w:rsidRPr="00C83C71">
        <w:rPr>
          <w:rFonts w:ascii="Arial" w:hAnsi="Arial" w:cs="Arial"/>
          <w:sz w:val="24"/>
          <w:szCs w:val="24"/>
        </w:rPr>
        <w:t xml:space="preserve">ed by </w:t>
      </w:r>
      <w:r w:rsidR="00256F34" w:rsidRPr="00C83C71">
        <w:rPr>
          <w:rFonts w:ascii="Arial" w:hAnsi="Arial" w:cs="Arial"/>
          <w:sz w:val="24"/>
          <w:szCs w:val="24"/>
        </w:rPr>
        <w:t>Allie</w:t>
      </w:r>
      <w:r w:rsidR="00EA0AA2" w:rsidRPr="00C83C71">
        <w:rPr>
          <w:rFonts w:ascii="Arial" w:hAnsi="Arial" w:cs="Arial"/>
          <w:sz w:val="24"/>
          <w:szCs w:val="24"/>
        </w:rPr>
        <w:t xml:space="preserve"> J,</w:t>
      </w:r>
      <w:r w:rsidR="001A00F8" w:rsidRPr="00C83C71">
        <w:rPr>
          <w:rFonts w:ascii="Arial" w:hAnsi="Arial" w:cs="Arial"/>
          <w:sz w:val="24"/>
          <w:szCs w:val="24"/>
        </w:rPr>
        <w:t xml:space="preserve"> </w:t>
      </w:r>
      <w:r w:rsidR="00167FF0" w:rsidRPr="00C83C71">
        <w:rPr>
          <w:rFonts w:ascii="Arial" w:hAnsi="Arial" w:cs="Arial"/>
          <w:sz w:val="24"/>
          <w:szCs w:val="24"/>
        </w:rPr>
        <w:t xml:space="preserve">which </w:t>
      </w:r>
      <w:r w:rsidR="0006417E" w:rsidRPr="00C83C71">
        <w:rPr>
          <w:rFonts w:ascii="Arial" w:hAnsi="Arial" w:cs="Arial"/>
          <w:sz w:val="24"/>
          <w:szCs w:val="24"/>
        </w:rPr>
        <w:t>are</w:t>
      </w:r>
      <w:r w:rsidR="0023490E" w:rsidRPr="00C83C71">
        <w:rPr>
          <w:rFonts w:ascii="Arial" w:hAnsi="Arial" w:cs="Arial"/>
          <w:sz w:val="24"/>
          <w:szCs w:val="24"/>
        </w:rPr>
        <w:t xml:space="preserve"> </w:t>
      </w:r>
      <w:r w:rsidR="00167FF0" w:rsidRPr="00C83C71">
        <w:rPr>
          <w:rFonts w:ascii="Arial" w:hAnsi="Arial" w:cs="Arial"/>
          <w:sz w:val="24"/>
          <w:szCs w:val="24"/>
        </w:rPr>
        <w:t xml:space="preserve">central to </w:t>
      </w:r>
      <w:r w:rsidR="001A00F8" w:rsidRPr="00C83C71">
        <w:rPr>
          <w:rFonts w:ascii="Arial" w:hAnsi="Arial" w:cs="Arial"/>
          <w:sz w:val="24"/>
          <w:szCs w:val="24"/>
        </w:rPr>
        <w:t xml:space="preserve">this dispute, </w:t>
      </w:r>
      <w:r w:rsidR="003F21D2" w:rsidRPr="00C83C71">
        <w:rPr>
          <w:rFonts w:ascii="Arial" w:hAnsi="Arial" w:cs="Arial"/>
          <w:sz w:val="24"/>
          <w:szCs w:val="24"/>
        </w:rPr>
        <w:t>are as follows:</w:t>
      </w:r>
    </w:p>
    <w:p w14:paraId="250336B7" w14:textId="77777777" w:rsidR="003F21D2" w:rsidRDefault="003F21D2" w:rsidP="00FF0378">
      <w:pPr>
        <w:pStyle w:val="ListParagraph"/>
        <w:spacing w:after="0" w:line="360" w:lineRule="auto"/>
        <w:ind w:right="720"/>
        <w:jc w:val="both"/>
        <w:rPr>
          <w:rFonts w:ascii="Arial" w:hAnsi="Arial" w:cs="Arial"/>
          <w:i/>
        </w:rPr>
      </w:pPr>
      <w:r>
        <w:rPr>
          <w:rFonts w:ascii="Arial" w:hAnsi="Arial" w:cs="Arial"/>
          <w:i/>
        </w:rPr>
        <w:t>‘1. That the joint estate is divided as follows:</w:t>
      </w:r>
    </w:p>
    <w:p w14:paraId="0756C321" w14:textId="77777777" w:rsidR="003F21D2" w:rsidRDefault="001A00F8" w:rsidP="001A00F8">
      <w:pPr>
        <w:pStyle w:val="ListParagraph"/>
        <w:spacing w:line="360" w:lineRule="auto"/>
        <w:ind w:left="1008" w:right="720"/>
        <w:jc w:val="both"/>
        <w:rPr>
          <w:rFonts w:ascii="Arial" w:hAnsi="Arial" w:cs="Arial"/>
          <w:b/>
          <w:i/>
          <w:u w:val="single"/>
        </w:rPr>
      </w:pPr>
      <w:r w:rsidRPr="001A00F8">
        <w:rPr>
          <w:rFonts w:ascii="Arial" w:hAnsi="Arial" w:cs="Arial"/>
          <w:b/>
          <w:i/>
          <w:u w:val="single"/>
        </w:rPr>
        <w:t>IMMOVABLE PROPERTY</w:t>
      </w:r>
    </w:p>
    <w:p w14:paraId="268888C1" w14:textId="58934F64" w:rsidR="001A00F8" w:rsidRPr="00C83C71" w:rsidRDefault="00C83C71" w:rsidP="00C83C71">
      <w:pPr>
        <w:spacing w:line="360" w:lineRule="auto"/>
        <w:ind w:left="1438" w:right="720" w:hanging="430"/>
        <w:jc w:val="both"/>
        <w:rPr>
          <w:rFonts w:ascii="Arial" w:hAnsi="Arial" w:cs="Arial"/>
          <w:i/>
        </w:rPr>
      </w:pPr>
      <w:r>
        <w:rPr>
          <w:rFonts w:ascii="Arial" w:hAnsi="Arial" w:cs="Arial"/>
          <w:i/>
          <w:lang w:val="en-ZA"/>
        </w:rPr>
        <w:t>1.1</w:t>
      </w:r>
      <w:r>
        <w:rPr>
          <w:rFonts w:ascii="Arial" w:hAnsi="Arial" w:cs="Arial"/>
          <w:i/>
          <w:lang w:val="en-ZA"/>
        </w:rPr>
        <w:tab/>
      </w:r>
      <w:r w:rsidR="001A00F8" w:rsidRPr="00C83C71">
        <w:rPr>
          <w:rFonts w:ascii="Arial" w:hAnsi="Arial" w:cs="Arial"/>
          <w:i/>
        </w:rPr>
        <w:t xml:space="preserve">That the property situated at </w:t>
      </w:r>
      <w:r w:rsidR="00292F2A">
        <w:rPr>
          <w:rFonts w:ascii="Arial" w:hAnsi="Arial" w:cs="Arial"/>
          <w:sz w:val="24"/>
          <w:szCs w:val="24"/>
        </w:rPr>
        <w:t>[…]</w:t>
      </w:r>
      <w:r w:rsidR="00292F2A">
        <w:rPr>
          <w:rFonts w:ascii="Arial" w:hAnsi="Arial" w:cs="Arial"/>
          <w:sz w:val="24"/>
          <w:szCs w:val="24"/>
        </w:rPr>
        <w:t xml:space="preserve"> </w:t>
      </w:r>
      <w:r w:rsidR="00292F2A">
        <w:rPr>
          <w:rFonts w:ascii="Arial" w:hAnsi="Arial" w:cs="Arial"/>
          <w:i/>
        </w:rPr>
        <w:t xml:space="preserve">Avenue, </w:t>
      </w:r>
      <w:proofErr w:type="gramStart"/>
      <w:r w:rsidR="00292F2A">
        <w:rPr>
          <w:rFonts w:ascii="Arial" w:hAnsi="Arial" w:cs="Arial"/>
          <w:i/>
        </w:rPr>
        <w:t>F</w:t>
      </w:r>
      <w:r w:rsidR="00292F2A">
        <w:rPr>
          <w:rFonts w:ascii="Arial" w:hAnsi="Arial" w:cs="Arial"/>
          <w:sz w:val="24"/>
          <w:szCs w:val="24"/>
        </w:rPr>
        <w:t>[</w:t>
      </w:r>
      <w:proofErr w:type="gramEnd"/>
      <w:r w:rsidR="00292F2A">
        <w:rPr>
          <w:rFonts w:ascii="Arial" w:hAnsi="Arial" w:cs="Arial"/>
          <w:sz w:val="24"/>
          <w:szCs w:val="24"/>
        </w:rPr>
        <w:t>…]</w:t>
      </w:r>
      <w:r w:rsidR="001A00F8" w:rsidRPr="00C83C71">
        <w:rPr>
          <w:rFonts w:ascii="Arial" w:hAnsi="Arial" w:cs="Arial"/>
          <w:i/>
        </w:rPr>
        <w:t xml:space="preserve">, Table View, Province of the Western Cape (“the first Property”) is to be placed on the market as from date of divorce. When the first Property is sold, the proceeds thereof are to be split between the parties </w:t>
      </w:r>
      <w:r w:rsidR="008E35BD" w:rsidRPr="00C83C71">
        <w:rPr>
          <w:rFonts w:ascii="Arial" w:hAnsi="Arial" w:cs="Arial"/>
          <w:i/>
        </w:rPr>
        <w:t>equally;</w:t>
      </w:r>
      <w:r w:rsidR="001A00F8" w:rsidRPr="00C83C71">
        <w:rPr>
          <w:rFonts w:ascii="Arial" w:hAnsi="Arial" w:cs="Arial"/>
          <w:i/>
        </w:rPr>
        <w:t>’</w:t>
      </w:r>
      <w:r w:rsidR="008E35BD">
        <w:rPr>
          <w:rStyle w:val="FootnoteReference"/>
          <w:rFonts w:ascii="Arial" w:hAnsi="Arial" w:cs="Arial"/>
          <w:i/>
        </w:rPr>
        <w:footnoteReference w:id="1"/>
      </w:r>
    </w:p>
    <w:p w14:paraId="5EF31DB1" w14:textId="77777777" w:rsidR="00256F34" w:rsidRPr="001A00F8" w:rsidRDefault="00256F34" w:rsidP="00256F34">
      <w:pPr>
        <w:pStyle w:val="ListParagraph"/>
        <w:spacing w:line="360" w:lineRule="auto"/>
        <w:ind w:left="1438" w:right="720"/>
        <w:jc w:val="both"/>
        <w:rPr>
          <w:i/>
        </w:rPr>
      </w:pPr>
    </w:p>
    <w:p w14:paraId="2FC6F761" w14:textId="7E7170A4" w:rsidR="003F21D2" w:rsidRPr="00353A7E" w:rsidRDefault="00C83C71" w:rsidP="00C83C71">
      <w:pPr>
        <w:tabs>
          <w:tab w:val="left" w:pos="567"/>
        </w:tabs>
        <w:spacing w:line="480" w:lineRule="auto"/>
        <w:jc w:val="both"/>
      </w:pPr>
      <w:r w:rsidRPr="00353A7E">
        <w:rPr>
          <w:rFonts w:ascii="Arial" w:hAnsi="Arial" w:cs="Arial"/>
          <w:sz w:val="24"/>
          <w:lang w:val="en-ZA"/>
        </w:rPr>
        <w:t xml:space="preserve">[4]     </w:t>
      </w:r>
      <w:r w:rsidRPr="00353A7E">
        <w:rPr>
          <w:rFonts w:ascii="Arial" w:hAnsi="Arial" w:cs="Arial"/>
          <w:sz w:val="24"/>
          <w:lang w:val="en-ZA"/>
        </w:rPr>
        <w:tab/>
      </w:r>
      <w:r w:rsidR="00EA0AA2" w:rsidRPr="00C83C71">
        <w:rPr>
          <w:rFonts w:ascii="Arial" w:hAnsi="Arial" w:cs="Arial"/>
          <w:sz w:val="24"/>
        </w:rPr>
        <w:t>On 30 April 2016</w:t>
      </w:r>
      <w:r w:rsidR="002C5208" w:rsidRPr="00C83C71">
        <w:rPr>
          <w:rFonts w:ascii="Arial" w:hAnsi="Arial" w:cs="Arial"/>
          <w:sz w:val="24"/>
        </w:rPr>
        <w:t>,</w:t>
      </w:r>
      <w:r w:rsidR="00EA0AA2" w:rsidRPr="00C83C71">
        <w:rPr>
          <w:rFonts w:ascii="Arial" w:hAnsi="Arial" w:cs="Arial"/>
          <w:sz w:val="24"/>
        </w:rPr>
        <w:t xml:space="preserve"> </w:t>
      </w:r>
      <w:r w:rsidR="00D95009" w:rsidRPr="00C83C71">
        <w:rPr>
          <w:rFonts w:ascii="Arial" w:hAnsi="Arial" w:cs="Arial"/>
          <w:sz w:val="24"/>
        </w:rPr>
        <w:t>t</w:t>
      </w:r>
      <w:r w:rsidR="00256F34" w:rsidRPr="00C83C71">
        <w:rPr>
          <w:rFonts w:ascii="Arial" w:hAnsi="Arial" w:cs="Arial"/>
          <w:sz w:val="24"/>
        </w:rPr>
        <w:t>he Applicant and the deceased</w:t>
      </w:r>
      <w:r w:rsidR="00D95009" w:rsidRPr="00C83C71">
        <w:rPr>
          <w:rFonts w:ascii="Arial" w:hAnsi="Arial" w:cs="Arial"/>
          <w:sz w:val="24"/>
        </w:rPr>
        <w:t xml:space="preserve"> entered into a written agreement to alter the terms of the</w:t>
      </w:r>
      <w:r w:rsidR="002C5208" w:rsidRPr="00C83C71">
        <w:rPr>
          <w:rFonts w:ascii="Arial" w:hAnsi="Arial" w:cs="Arial"/>
          <w:sz w:val="24"/>
        </w:rPr>
        <w:t>ir</w:t>
      </w:r>
      <w:r w:rsidR="00D95009" w:rsidRPr="00C83C71">
        <w:rPr>
          <w:rFonts w:ascii="Arial" w:hAnsi="Arial" w:cs="Arial"/>
          <w:sz w:val="24"/>
        </w:rPr>
        <w:t xml:space="preserve"> decree of divorce</w:t>
      </w:r>
      <w:r w:rsidR="002C5208" w:rsidRPr="00C83C71">
        <w:rPr>
          <w:rFonts w:ascii="Arial" w:hAnsi="Arial" w:cs="Arial"/>
          <w:sz w:val="24"/>
        </w:rPr>
        <w:t>.</w:t>
      </w:r>
      <w:r w:rsidR="00D95009" w:rsidRPr="00C83C71">
        <w:rPr>
          <w:rFonts w:ascii="Arial" w:hAnsi="Arial" w:cs="Arial"/>
          <w:sz w:val="24"/>
        </w:rPr>
        <w:t xml:space="preserve"> </w:t>
      </w:r>
      <w:r w:rsidR="002C5208" w:rsidRPr="00C83C71">
        <w:rPr>
          <w:rFonts w:ascii="Arial" w:hAnsi="Arial" w:cs="Arial"/>
          <w:sz w:val="24"/>
        </w:rPr>
        <w:t xml:space="preserve">The alteration aimed to facilitate the </w:t>
      </w:r>
      <w:r w:rsidR="00D95009" w:rsidRPr="00C83C71">
        <w:rPr>
          <w:rFonts w:ascii="Arial" w:hAnsi="Arial" w:cs="Arial"/>
          <w:sz w:val="24"/>
        </w:rPr>
        <w:t>sale of the Applicant’s half share in the property to the deceased.</w:t>
      </w:r>
      <w:r w:rsidR="00D07588" w:rsidRPr="00C83C71">
        <w:rPr>
          <w:rFonts w:ascii="Arial" w:hAnsi="Arial" w:cs="Arial"/>
          <w:sz w:val="24"/>
        </w:rPr>
        <w:t xml:space="preserve"> </w:t>
      </w:r>
      <w:r w:rsidR="005252B4" w:rsidRPr="00C83C71">
        <w:rPr>
          <w:rFonts w:ascii="Arial" w:hAnsi="Arial" w:cs="Arial"/>
          <w:sz w:val="24"/>
        </w:rPr>
        <w:t xml:space="preserve">The deceased </w:t>
      </w:r>
      <w:r w:rsidR="00FE4983" w:rsidRPr="00C83C71">
        <w:rPr>
          <w:rFonts w:ascii="Arial" w:hAnsi="Arial" w:cs="Arial"/>
          <w:sz w:val="24"/>
        </w:rPr>
        <w:t>fulfilled</w:t>
      </w:r>
      <w:r w:rsidR="005252B4" w:rsidRPr="00C83C71">
        <w:rPr>
          <w:rFonts w:ascii="Arial" w:hAnsi="Arial" w:cs="Arial"/>
          <w:sz w:val="24"/>
        </w:rPr>
        <w:t xml:space="preserve"> 61 instalments amounting to R914 290 over a period of 5 years. </w:t>
      </w:r>
      <w:r w:rsidR="00D07588" w:rsidRPr="00C83C71">
        <w:rPr>
          <w:rFonts w:ascii="Arial" w:hAnsi="Arial" w:cs="Arial"/>
          <w:sz w:val="24"/>
        </w:rPr>
        <w:t xml:space="preserve">The deceased </w:t>
      </w:r>
      <w:r w:rsidR="00D07588" w:rsidRPr="00C83C71">
        <w:rPr>
          <w:rFonts w:ascii="Arial" w:hAnsi="Arial" w:cs="Arial"/>
          <w:sz w:val="24"/>
        </w:rPr>
        <w:lastRenderedPageBreak/>
        <w:t>breached the terms of the variation agreement by failing to pay all the instalments due to the Applicant in terms thereof</w:t>
      </w:r>
      <w:r w:rsidR="00EA0AA2" w:rsidRPr="00C83C71">
        <w:rPr>
          <w:rFonts w:ascii="Arial" w:hAnsi="Arial" w:cs="Arial"/>
          <w:sz w:val="24"/>
        </w:rPr>
        <w:t>,</w:t>
      </w:r>
      <w:r w:rsidR="00D07588" w:rsidRPr="00C83C71">
        <w:rPr>
          <w:rFonts w:ascii="Arial" w:hAnsi="Arial" w:cs="Arial"/>
          <w:sz w:val="24"/>
        </w:rPr>
        <w:t xml:space="preserve"> which resulted in the Applicant instituting action against the deceased to recover </w:t>
      </w:r>
      <w:r w:rsidR="00DE6D9E" w:rsidRPr="00C83C71">
        <w:rPr>
          <w:rFonts w:ascii="Arial" w:hAnsi="Arial" w:cs="Arial"/>
          <w:sz w:val="24"/>
        </w:rPr>
        <w:t>the balance owing to her under Case N</w:t>
      </w:r>
      <w:r w:rsidR="00D07588" w:rsidRPr="00C83C71">
        <w:rPr>
          <w:rFonts w:ascii="Arial" w:hAnsi="Arial" w:cs="Arial"/>
          <w:sz w:val="24"/>
        </w:rPr>
        <w:t>umber 11597/2021.</w:t>
      </w:r>
      <w:r w:rsidR="00001A73" w:rsidRPr="00C83C71">
        <w:rPr>
          <w:rFonts w:ascii="Arial" w:hAnsi="Arial" w:cs="Arial"/>
          <w:sz w:val="24"/>
        </w:rPr>
        <w:t xml:space="preserve"> The action became o</w:t>
      </w:r>
      <w:r w:rsidR="00353A7E" w:rsidRPr="00C83C71">
        <w:rPr>
          <w:rFonts w:ascii="Arial" w:hAnsi="Arial" w:cs="Arial"/>
          <w:sz w:val="24"/>
        </w:rPr>
        <w:t>pposed and ventilated at a hearing b</w:t>
      </w:r>
      <w:r w:rsidR="00EA0AA2" w:rsidRPr="00C83C71">
        <w:rPr>
          <w:rFonts w:ascii="Arial" w:hAnsi="Arial" w:cs="Arial"/>
          <w:sz w:val="24"/>
        </w:rPr>
        <w:t xml:space="preserve">efore </w:t>
      </w:r>
      <w:proofErr w:type="spellStart"/>
      <w:r w:rsidR="00353A7E" w:rsidRPr="00C83C71">
        <w:rPr>
          <w:rFonts w:ascii="Arial" w:hAnsi="Arial" w:cs="Arial"/>
          <w:sz w:val="24"/>
        </w:rPr>
        <w:t>Thulare</w:t>
      </w:r>
      <w:proofErr w:type="spellEnd"/>
      <w:r w:rsidR="00EA0AA2" w:rsidRPr="00C83C71">
        <w:rPr>
          <w:rFonts w:ascii="Arial" w:hAnsi="Arial" w:cs="Arial"/>
          <w:sz w:val="24"/>
        </w:rPr>
        <w:t xml:space="preserve"> J</w:t>
      </w:r>
      <w:r w:rsidR="00353A7E" w:rsidRPr="00C83C71">
        <w:rPr>
          <w:rFonts w:ascii="Arial" w:hAnsi="Arial" w:cs="Arial"/>
          <w:sz w:val="24"/>
        </w:rPr>
        <w:t xml:space="preserve"> who granted the following orders:</w:t>
      </w:r>
    </w:p>
    <w:p w14:paraId="7F0D032D" w14:textId="77777777" w:rsidR="00353A7E" w:rsidRDefault="00353A7E" w:rsidP="00353A7E">
      <w:pPr>
        <w:pStyle w:val="ListParagraph"/>
        <w:spacing w:line="360" w:lineRule="auto"/>
        <w:ind w:right="720"/>
        <w:jc w:val="both"/>
        <w:rPr>
          <w:rFonts w:ascii="Arial" w:hAnsi="Arial" w:cs="Arial"/>
          <w:i/>
        </w:rPr>
      </w:pPr>
      <w:r>
        <w:rPr>
          <w:rFonts w:ascii="Arial" w:hAnsi="Arial" w:cs="Arial"/>
          <w:i/>
        </w:rPr>
        <w:t xml:space="preserve">‘(a) </w:t>
      </w:r>
      <w:r>
        <w:rPr>
          <w:rFonts w:ascii="Arial" w:hAnsi="Arial" w:cs="Arial"/>
          <w:i/>
        </w:rPr>
        <w:tab/>
        <w:t xml:space="preserve">The applicant is authorised to place the property on the market, to sell </w:t>
      </w:r>
      <w:r>
        <w:rPr>
          <w:rFonts w:ascii="Arial" w:hAnsi="Arial" w:cs="Arial"/>
          <w:i/>
        </w:rPr>
        <w:tab/>
        <w:t xml:space="preserve">it and to divide the proceeds from the sale thereof between herself and </w:t>
      </w:r>
      <w:r>
        <w:rPr>
          <w:rFonts w:ascii="Arial" w:hAnsi="Arial" w:cs="Arial"/>
          <w:i/>
        </w:rPr>
        <w:tab/>
        <w:t xml:space="preserve">the first respondent equally in terms of paragraph 2.1 of the decree of </w:t>
      </w:r>
      <w:r>
        <w:rPr>
          <w:rFonts w:ascii="Arial" w:hAnsi="Arial" w:cs="Arial"/>
          <w:i/>
        </w:rPr>
        <w:tab/>
        <w:t>divorce granted under case number 10338/2015 on 31 August 2015.</w:t>
      </w:r>
    </w:p>
    <w:p w14:paraId="313FC55E" w14:textId="77777777" w:rsidR="00EA7CA6" w:rsidRDefault="00353A7E" w:rsidP="00353A7E">
      <w:pPr>
        <w:pStyle w:val="ListParagraph"/>
        <w:spacing w:line="360" w:lineRule="auto"/>
        <w:ind w:right="720"/>
        <w:jc w:val="both"/>
        <w:rPr>
          <w:rFonts w:ascii="Arial" w:hAnsi="Arial" w:cs="Arial"/>
          <w:i/>
        </w:rPr>
      </w:pPr>
      <w:r>
        <w:rPr>
          <w:rFonts w:ascii="Arial" w:hAnsi="Arial" w:cs="Arial"/>
          <w:i/>
        </w:rPr>
        <w:t>(b)</w:t>
      </w:r>
      <w:r>
        <w:rPr>
          <w:rFonts w:ascii="Arial" w:hAnsi="Arial" w:cs="Arial"/>
          <w:i/>
        </w:rPr>
        <w:tab/>
        <w:t xml:space="preserve">Should the first respondent fail to timeously sign the necessary papers </w:t>
      </w:r>
      <w:r>
        <w:rPr>
          <w:rFonts w:ascii="Arial" w:hAnsi="Arial" w:cs="Arial"/>
          <w:i/>
        </w:rPr>
        <w:tab/>
        <w:t xml:space="preserve">to effect the sale and transfer of the property, the Sheriff of the Court </w:t>
      </w:r>
      <w:r>
        <w:rPr>
          <w:rFonts w:ascii="Arial" w:hAnsi="Arial" w:cs="Arial"/>
          <w:i/>
        </w:rPr>
        <w:tab/>
        <w:t xml:space="preserve">within whose jurisdiction the property is situated, is authorised to sign </w:t>
      </w:r>
      <w:r>
        <w:rPr>
          <w:rFonts w:ascii="Arial" w:hAnsi="Arial" w:cs="Arial"/>
          <w:i/>
        </w:rPr>
        <w:tab/>
        <w:t>on his behalf.</w:t>
      </w:r>
    </w:p>
    <w:p w14:paraId="76836FE7" w14:textId="77777777" w:rsidR="00353A7E" w:rsidRDefault="00EA7CA6" w:rsidP="00353A7E">
      <w:pPr>
        <w:pStyle w:val="ListParagraph"/>
        <w:spacing w:line="360" w:lineRule="auto"/>
        <w:ind w:right="720"/>
        <w:jc w:val="both"/>
        <w:rPr>
          <w:rFonts w:ascii="Arial" w:hAnsi="Arial" w:cs="Arial"/>
          <w:i/>
        </w:rPr>
      </w:pPr>
      <w:r>
        <w:rPr>
          <w:rFonts w:ascii="Arial" w:hAnsi="Arial" w:cs="Arial"/>
          <w:i/>
        </w:rPr>
        <w:t xml:space="preserve">(c) </w:t>
      </w:r>
      <w:r>
        <w:rPr>
          <w:rFonts w:ascii="Arial" w:hAnsi="Arial" w:cs="Arial"/>
          <w:i/>
        </w:rPr>
        <w:tab/>
        <w:t>the first respondent is to pay the costs.</w:t>
      </w:r>
      <w:r w:rsidR="00353A7E">
        <w:rPr>
          <w:rFonts w:ascii="Arial" w:hAnsi="Arial" w:cs="Arial"/>
          <w:i/>
        </w:rPr>
        <w:t>’</w:t>
      </w:r>
      <w:r w:rsidR="00353A7E">
        <w:rPr>
          <w:rStyle w:val="FootnoteReference"/>
          <w:rFonts w:ascii="Arial" w:hAnsi="Arial" w:cs="Arial"/>
          <w:i/>
        </w:rPr>
        <w:footnoteReference w:id="2"/>
      </w:r>
    </w:p>
    <w:p w14:paraId="2B68D912" w14:textId="77777777" w:rsidR="009B5B2A" w:rsidRPr="00353A7E" w:rsidRDefault="009B5B2A" w:rsidP="00353A7E">
      <w:pPr>
        <w:pStyle w:val="ListParagraph"/>
        <w:spacing w:line="360" w:lineRule="auto"/>
        <w:ind w:right="720"/>
        <w:jc w:val="both"/>
      </w:pPr>
    </w:p>
    <w:p w14:paraId="705C4D98" w14:textId="41295E3E" w:rsidR="00353A7E" w:rsidRPr="0011452E" w:rsidRDefault="00C83C71" w:rsidP="00C83C71">
      <w:pPr>
        <w:tabs>
          <w:tab w:val="left" w:pos="567"/>
        </w:tabs>
        <w:spacing w:line="480" w:lineRule="auto"/>
        <w:jc w:val="both"/>
      </w:pPr>
      <w:r w:rsidRPr="0011452E">
        <w:rPr>
          <w:rFonts w:ascii="Arial" w:hAnsi="Arial" w:cs="Arial"/>
          <w:sz w:val="24"/>
          <w:lang w:val="en-ZA"/>
        </w:rPr>
        <w:t xml:space="preserve">[5]     </w:t>
      </w:r>
      <w:r w:rsidRPr="0011452E">
        <w:rPr>
          <w:rFonts w:ascii="Arial" w:hAnsi="Arial" w:cs="Arial"/>
          <w:sz w:val="24"/>
          <w:lang w:val="en-ZA"/>
        </w:rPr>
        <w:tab/>
      </w:r>
      <w:r w:rsidR="009B5B2A" w:rsidRPr="00C83C71">
        <w:rPr>
          <w:rFonts w:ascii="Arial" w:hAnsi="Arial" w:cs="Arial"/>
          <w:sz w:val="24"/>
        </w:rPr>
        <w:t>The deceased parted this life through suicide on 24 September 2022</w:t>
      </w:r>
      <w:r w:rsidR="00D809DE" w:rsidRPr="00C83C71">
        <w:rPr>
          <w:rFonts w:ascii="Arial" w:hAnsi="Arial" w:cs="Arial"/>
          <w:sz w:val="24"/>
        </w:rPr>
        <w:t>.</w:t>
      </w:r>
      <w:r w:rsidR="00CA6AB2" w:rsidRPr="00C83C71">
        <w:rPr>
          <w:rFonts w:ascii="Arial" w:hAnsi="Arial" w:cs="Arial"/>
          <w:sz w:val="24"/>
        </w:rPr>
        <w:t xml:space="preserve"> </w:t>
      </w:r>
      <w:r w:rsidR="00D809DE" w:rsidRPr="00C83C71">
        <w:rPr>
          <w:rFonts w:ascii="Arial" w:hAnsi="Arial" w:cs="Arial"/>
          <w:sz w:val="24"/>
        </w:rPr>
        <w:t>A</w:t>
      </w:r>
      <w:r w:rsidR="00BC7FCE" w:rsidRPr="00C83C71">
        <w:rPr>
          <w:rFonts w:ascii="Arial" w:hAnsi="Arial" w:cs="Arial"/>
          <w:sz w:val="24"/>
        </w:rPr>
        <w:t>ccording to the Respondents</w:t>
      </w:r>
      <w:r w:rsidR="00D809DE" w:rsidRPr="00C83C71">
        <w:rPr>
          <w:rFonts w:ascii="Arial" w:hAnsi="Arial" w:cs="Arial"/>
          <w:sz w:val="24"/>
        </w:rPr>
        <w:t>, the deceased</w:t>
      </w:r>
      <w:r w:rsidR="00BC7FCE" w:rsidRPr="00C83C71">
        <w:rPr>
          <w:rFonts w:ascii="Arial" w:hAnsi="Arial" w:cs="Arial"/>
          <w:sz w:val="24"/>
        </w:rPr>
        <w:t xml:space="preserve"> had little to no family or friends close by</w:t>
      </w:r>
      <w:r w:rsidR="009B5B2A" w:rsidRPr="00C83C71">
        <w:rPr>
          <w:rFonts w:ascii="Arial" w:hAnsi="Arial" w:cs="Arial"/>
          <w:sz w:val="24"/>
        </w:rPr>
        <w:t>. A dispute arose between the Applicant and the First Respondent</w:t>
      </w:r>
      <w:r w:rsidR="00BC7FCE" w:rsidRPr="00C83C71">
        <w:rPr>
          <w:rFonts w:ascii="Arial" w:hAnsi="Arial" w:cs="Arial"/>
          <w:sz w:val="24"/>
        </w:rPr>
        <w:t>, who resides in the United Kingdom</w:t>
      </w:r>
      <w:r w:rsidR="00D809DE" w:rsidRPr="00C83C71">
        <w:rPr>
          <w:rFonts w:ascii="Arial" w:hAnsi="Arial" w:cs="Arial"/>
          <w:sz w:val="24"/>
        </w:rPr>
        <w:t>.</w:t>
      </w:r>
      <w:r w:rsidR="009B5B2A" w:rsidRPr="00C83C71">
        <w:rPr>
          <w:rFonts w:ascii="Arial" w:hAnsi="Arial" w:cs="Arial"/>
          <w:sz w:val="24"/>
        </w:rPr>
        <w:t xml:space="preserve"> </w:t>
      </w:r>
      <w:r w:rsidR="00D809DE" w:rsidRPr="00C83C71">
        <w:rPr>
          <w:rFonts w:ascii="Arial" w:hAnsi="Arial" w:cs="Arial"/>
          <w:sz w:val="24"/>
        </w:rPr>
        <w:t>This dispute</w:t>
      </w:r>
      <w:r w:rsidR="009B5B2A" w:rsidRPr="00C83C71">
        <w:rPr>
          <w:rFonts w:ascii="Arial" w:hAnsi="Arial" w:cs="Arial"/>
          <w:sz w:val="24"/>
        </w:rPr>
        <w:t xml:space="preserve"> culminated in the institution of an urgent application by the First Respondent under</w:t>
      </w:r>
      <w:r w:rsidR="00CA064D" w:rsidRPr="00C83C71">
        <w:rPr>
          <w:rFonts w:ascii="Arial" w:hAnsi="Arial" w:cs="Arial"/>
          <w:sz w:val="24"/>
        </w:rPr>
        <w:t xml:space="preserve"> case number 16935/2022</w:t>
      </w:r>
      <w:r w:rsidR="009B5B2A" w:rsidRPr="00C83C71">
        <w:rPr>
          <w:rFonts w:ascii="Arial" w:hAnsi="Arial" w:cs="Arial"/>
          <w:sz w:val="24"/>
        </w:rPr>
        <w:t>, wherein he unsuccessfully pursued interdictory relief against the Applicant.</w:t>
      </w:r>
      <w:r w:rsidR="009B5B2A">
        <w:rPr>
          <w:rStyle w:val="FootnoteReference"/>
          <w:rFonts w:ascii="Arial" w:hAnsi="Arial" w:cs="Arial"/>
          <w:sz w:val="24"/>
        </w:rPr>
        <w:footnoteReference w:id="3"/>
      </w:r>
      <w:r w:rsidR="00B74EDE" w:rsidRPr="00C83C71">
        <w:rPr>
          <w:rFonts w:ascii="Arial" w:hAnsi="Arial" w:cs="Arial"/>
          <w:sz w:val="24"/>
        </w:rPr>
        <w:t xml:space="preserve"> The a</w:t>
      </w:r>
      <w:r w:rsidR="009B5B2A" w:rsidRPr="00C83C71">
        <w:rPr>
          <w:rFonts w:ascii="Arial" w:hAnsi="Arial" w:cs="Arial"/>
          <w:sz w:val="24"/>
        </w:rPr>
        <w:t>pplicat</w:t>
      </w:r>
      <w:r w:rsidR="00BD481A" w:rsidRPr="00C83C71">
        <w:rPr>
          <w:rFonts w:ascii="Arial" w:hAnsi="Arial" w:cs="Arial"/>
          <w:sz w:val="24"/>
        </w:rPr>
        <w:t xml:space="preserve">ion was dismissed by </w:t>
      </w:r>
      <w:proofErr w:type="spellStart"/>
      <w:r w:rsidR="009B5B2A" w:rsidRPr="00C83C71">
        <w:rPr>
          <w:rFonts w:ascii="Arial" w:hAnsi="Arial" w:cs="Arial"/>
          <w:sz w:val="24"/>
        </w:rPr>
        <w:t>Dolamo</w:t>
      </w:r>
      <w:proofErr w:type="spellEnd"/>
      <w:r w:rsidR="00BD481A" w:rsidRPr="00C83C71">
        <w:rPr>
          <w:rFonts w:ascii="Arial" w:hAnsi="Arial" w:cs="Arial"/>
          <w:sz w:val="24"/>
        </w:rPr>
        <w:t xml:space="preserve"> J</w:t>
      </w:r>
      <w:r w:rsidR="009B5B2A" w:rsidRPr="00C83C71">
        <w:rPr>
          <w:rFonts w:ascii="Arial" w:hAnsi="Arial" w:cs="Arial"/>
          <w:sz w:val="24"/>
        </w:rPr>
        <w:t xml:space="preserve"> on 4 September 2023.</w:t>
      </w:r>
      <w:r w:rsidR="009B5B2A">
        <w:rPr>
          <w:rStyle w:val="FootnoteReference"/>
          <w:rFonts w:ascii="Arial" w:hAnsi="Arial" w:cs="Arial"/>
          <w:sz w:val="24"/>
        </w:rPr>
        <w:footnoteReference w:id="4"/>
      </w:r>
      <w:r w:rsidR="00BF1DA6" w:rsidRPr="00C83C71">
        <w:rPr>
          <w:rFonts w:ascii="Arial" w:hAnsi="Arial" w:cs="Arial"/>
          <w:sz w:val="24"/>
        </w:rPr>
        <w:t xml:space="preserve"> </w:t>
      </w:r>
    </w:p>
    <w:p w14:paraId="2019BA0E" w14:textId="77777777" w:rsidR="0011452E" w:rsidRPr="0011452E" w:rsidRDefault="0011452E" w:rsidP="0011452E">
      <w:pPr>
        <w:pStyle w:val="ListParagraph"/>
        <w:spacing w:line="480" w:lineRule="auto"/>
        <w:ind w:left="0"/>
        <w:jc w:val="both"/>
      </w:pPr>
    </w:p>
    <w:p w14:paraId="16036C0D" w14:textId="5EF32BF2" w:rsidR="00A23C22" w:rsidRPr="00DB7F49" w:rsidRDefault="00C83C71" w:rsidP="00C83C71">
      <w:pPr>
        <w:tabs>
          <w:tab w:val="left" w:pos="567"/>
        </w:tabs>
        <w:spacing w:line="480" w:lineRule="auto"/>
        <w:jc w:val="both"/>
      </w:pPr>
      <w:r w:rsidRPr="00DB7F49">
        <w:rPr>
          <w:rFonts w:ascii="Arial" w:hAnsi="Arial" w:cs="Arial"/>
          <w:sz w:val="24"/>
          <w:lang w:val="en-ZA"/>
        </w:rPr>
        <w:lastRenderedPageBreak/>
        <w:t xml:space="preserve">[6]     </w:t>
      </w:r>
      <w:r w:rsidRPr="00DB7F49">
        <w:rPr>
          <w:rFonts w:ascii="Arial" w:hAnsi="Arial" w:cs="Arial"/>
          <w:sz w:val="24"/>
          <w:lang w:val="en-ZA"/>
        </w:rPr>
        <w:tab/>
      </w:r>
      <w:r w:rsidR="0011452E" w:rsidRPr="00C83C71">
        <w:rPr>
          <w:rFonts w:ascii="Arial" w:hAnsi="Arial" w:cs="Arial"/>
          <w:sz w:val="24"/>
        </w:rPr>
        <w:t>The First Respondent has been appointed as the Executo</w:t>
      </w:r>
      <w:r w:rsidR="000B6C7C" w:rsidRPr="00C83C71">
        <w:rPr>
          <w:rFonts w:ascii="Arial" w:hAnsi="Arial" w:cs="Arial"/>
          <w:sz w:val="24"/>
        </w:rPr>
        <w:t xml:space="preserve">r of the </w:t>
      </w:r>
      <w:r w:rsidR="0011452E" w:rsidRPr="00C83C71">
        <w:rPr>
          <w:rFonts w:ascii="Arial" w:hAnsi="Arial" w:cs="Arial"/>
          <w:sz w:val="24"/>
        </w:rPr>
        <w:t>deceased’s estate, which Letter</w:t>
      </w:r>
      <w:r w:rsidR="000B6C7C" w:rsidRPr="00C83C71">
        <w:rPr>
          <w:rFonts w:ascii="Arial" w:hAnsi="Arial" w:cs="Arial"/>
          <w:sz w:val="24"/>
        </w:rPr>
        <w:t>s</w:t>
      </w:r>
      <w:r w:rsidR="0011452E" w:rsidRPr="00C83C71">
        <w:rPr>
          <w:rFonts w:ascii="Arial" w:hAnsi="Arial" w:cs="Arial"/>
          <w:sz w:val="24"/>
        </w:rPr>
        <w:t xml:space="preserve"> of Executorship were approved on 2 June 2023.</w:t>
      </w:r>
      <w:r w:rsidR="0011452E">
        <w:rPr>
          <w:rStyle w:val="FootnoteReference"/>
          <w:rFonts w:ascii="Arial" w:hAnsi="Arial" w:cs="Arial"/>
          <w:sz w:val="24"/>
        </w:rPr>
        <w:footnoteReference w:id="5"/>
      </w:r>
      <w:r w:rsidR="00992FD9" w:rsidRPr="00C83C71">
        <w:rPr>
          <w:rFonts w:ascii="Arial" w:hAnsi="Arial" w:cs="Arial"/>
          <w:sz w:val="24"/>
        </w:rPr>
        <w:t xml:space="preserve"> Prior to the First Respondent’s appointment as Executor, he</w:t>
      </w:r>
      <w:r w:rsidR="00AC15B4" w:rsidRPr="00C83C71">
        <w:rPr>
          <w:rFonts w:ascii="Arial" w:hAnsi="Arial" w:cs="Arial"/>
          <w:sz w:val="24"/>
        </w:rPr>
        <w:t xml:space="preserve"> instituted Substitution proceedings </w:t>
      </w:r>
      <w:r w:rsidR="00992FD9" w:rsidRPr="00C83C71">
        <w:rPr>
          <w:rFonts w:ascii="Arial" w:hAnsi="Arial" w:cs="Arial"/>
          <w:sz w:val="24"/>
        </w:rPr>
        <w:t>in terms of R</w:t>
      </w:r>
      <w:r w:rsidR="00AC15B4" w:rsidRPr="00C83C71">
        <w:rPr>
          <w:rFonts w:ascii="Arial" w:hAnsi="Arial" w:cs="Arial"/>
          <w:sz w:val="24"/>
        </w:rPr>
        <w:t xml:space="preserve">ule 15(2) of the Uniform Rules, which is being opposed by the Applicant. The Applicant applied for the First Respondent to furnish security for her costs as he is permanently resident in the UK and </w:t>
      </w:r>
      <w:r w:rsidR="00431119" w:rsidRPr="00C83C71">
        <w:rPr>
          <w:rFonts w:ascii="Arial" w:hAnsi="Arial" w:cs="Arial"/>
          <w:sz w:val="24"/>
        </w:rPr>
        <w:t xml:space="preserve">is </w:t>
      </w:r>
      <w:r w:rsidR="00AC15B4" w:rsidRPr="00C83C71">
        <w:rPr>
          <w:rFonts w:ascii="Arial" w:hAnsi="Arial" w:cs="Arial"/>
          <w:sz w:val="24"/>
        </w:rPr>
        <w:t xml:space="preserve">as such a </w:t>
      </w:r>
      <w:proofErr w:type="spellStart"/>
      <w:r w:rsidR="00AC15B4" w:rsidRPr="00C83C71">
        <w:rPr>
          <w:rFonts w:ascii="Arial" w:hAnsi="Arial" w:cs="Arial"/>
          <w:i/>
          <w:sz w:val="24"/>
        </w:rPr>
        <w:t>peregrinus</w:t>
      </w:r>
      <w:proofErr w:type="spellEnd"/>
      <w:r w:rsidR="00AC15B4" w:rsidRPr="00C83C71">
        <w:rPr>
          <w:rFonts w:ascii="Arial" w:hAnsi="Arial" w:cs="Arial"/>
          <w:sz w:val="24"/>
        </w:rPr>
        <w:t xml:space="preserve">. The Taxing Master has determined that </w:t>
      </w:r>
      <w:r w:rsidR="007A477F" w:rsidRPr="00C83C71">
        <w:rPr>
          <w:rFonts w:ascii="Arial" w:hAnsi="Arial" w:cs="Arial"/>
          <w:sz w:val="24"/>
        </w:rPr>
        <w:t xml:space="preserve">the First Respondent furnishes </w:t>
      </w:r>
      <w:r w:rsidR="00AC15B4" w:rsidRPr="00C83C71">
        <w:rPr>
          <w:rFonts w:ascii="Arial" w:hAnsi="Arial" w:cs="Arial"/>
          <w:sz w:val="24"/>
        </w:rPr>
        <w:t>an amount of R200 </w:t>
      </w:r>
      <w:r w:rsidR="007A477F" w:rsidRPr="00C83C71">
        <w:rPr>
          <w:rFonts w:ascii="Arial" w:hAnsi="Arial" w:cs="Arial"/>
          <w:sz w:val="24"/>
        </w:rPr>
        <w:t>000</w:t>
      </w:r>
      <w:r w:rsidR="00640307" w:rsidRPr="00C83C71">
        <w:rPr>
          <w:rFonts w:ascii="Arial" w:hAnsi="Arial" w:cs="Arial"/>
          <w:sz w:val="24"/>
        </w:rPr>
        <w:t xml:space="preserve"> by 11 September 2023, which amount remains unpaid.</w:t>
      </w:r>
      <w:r w:rsidR="00AC15B4">
        <w:rPr>
          <w:rStyle w:val="FootnoteReference"/>
          <w:rFonts w:ascii="Arial" w:hAnsi="Arial" w:cs="Arial"/>
          <w:sz w:val="24"/>
        </w:rPr>
        <w:footnoteReference w:id="6"/>
      </w:r>
    </w:p>
    <w:p w14:paraId="346BAAED" w14:textId="1924B12C" w:rsidR="00DB7F49" w:rsidRPr="00672336" w:rsidRDefault="00DB7F49" w:rsidP="00DB7F49">
      <w:pPr>
        <w:pStyle w:val="ListParagraph"/>
        <w:spacing w:line="480" w:lineRule="auto"/>
        <w:ind w:left="0"/>
        <w:jc w:val="both"/>
      </w:pPr>
    </w:p>
    <w:p w14:paraId="1C54F4B5" w14:textId="54767F4F" w:rsidR="001E76D5" w:rsidRPr="008E35BD" w:rsidRDefault="00C83C71" w:rsidP="00C83C71">
      <w:pPr>
        <w:tabs>
          <w:tab w:val="left" w:pos="567"/>
        </w:tabs>
        <w:spacing w:line="480" w:lineRule="auto"/>
        <w:jc w:val="both"/>
      </w:pPr>
      <w:r w:rsidRPr="008E35BD">
        <w:rPr>
          <w:rFonts w:ascii="Arial" w:hAnsi="Arial" w:cs="Arial"/>
          <w:sz w:val="24"/>
          <w:lang w:val="en-ZA"/>
        </w:rPr>
        <w:t xml:space="preserve">[7]     </w:t>
      </w:r>
      <w:r w:rsidRPr="008E35BD">
        <w:rPr>
          <w:rFonts w:ascii="Arial" w:hAnsi="Arial" w:cs="Arial"/>
          <w:sz w:val="24"/>
          <w:lang w:val="en-ZA"/>
        </w:rPr>
        <w:tab/>
      </w:r>
      <w:r w:rsidR="00A23C22" w:rsidRPr="00C83C71">
        <w:rPr>
          <w:rFonts w:ascii="Arial" w:hAnsi="Arial" w:cs="Arial"/>
          <w:sz w:val="24"/>
          <w:szCs w:val="24"/>
        </w:rPr>
        <w:t>The Applicant avers that d</w:t>
      </w:r>
      <w:r w:rsidR="00757203" w:rsidRPr="00C83C71">
        <w:rPr>
          <w:rFonts w:ascii="Arial" w:hAnsi="Arial" w:cs="Arial"/>
          <w:sz w:val="24"/>
          <w:szCs w:val="24"/>
        </w:rPr>
        <w:t xml:space="preserve">espite the dismissal by </w:t>
      </w:r>
      <w:proofErr w:type="spellStart"/>
      <w:r w:rsidR="00A23C22" w:rsidRPr="00C83C71">
        <w:rPr>
          <w:rFonts w:ascii="Arial" w:hAnsi="Arial" w:cs="Arial"/>
          <w:sz w:val="24"/>
          <w:szCs w:val="24"/>
        </w:rPr>
        <w:t>Dolamo</w:t>
      </w:r>
      <w:proofErr w:type="spellEnd"/>
      <w:r w:rsidR="00A23C22" w:rsidRPr="00C83C71">
        <w:rPr>
          <w:rFonts w:ascii="Arial" w:hAnsi="Arial" w:cs="Arial"/>
          <w:sz w:val="24"/>
          <w:szCs w:val="24"/>
        </w:rPr>
        <w:t xml:space="preserve"> </w:t>
      </w:r>
      <w:r w:rsidR="00757203" w:rsidRPr="00C83C71">
        <w:rPr>
          <w:rFonts w:ascii="Arial" w:hAnsi="Arial" w:cs="Arial"/>
          <w:sz w:val="24"/>
          <w:szCs w:val="24"/>
        </w:rPr>
        <w:t xml:space="preserve">J </w:t>
      </w:r>
      <w:r w:rsidR="00A23C22" w:rsidRPr="00C83C71">
        <w:rPr>
          <w:rFonts w:ascii="Arial" w:hAnsi="Arial" w:cs="Arial"/>
          <w:sz w:val="24"/>
          <w:szCs w:val="24"/>
        </w:rPr>
        <w:t>on 4 September 2023, the First and Second Respondents have continued to insist that the Second Respondent is entitled to market and sell the property. The Applicant approaches this court for urgent relief in the following terms:</w:t>
      </w:r>
    </w:p>
    <w:p w14:paraId="023C9043" w14:textId="398635B7" w:rsidR="008E35BD" w:rsidRDefault="008E35BD" w:rsidP="008E35BD">
      <w:pPr>
        <w:pStyle w:val="ListParagraph"/>
        <w:spacing w:line="360" w:lineRule="auto"/>
        <w:ind w:right="720"/>
        <w:jc w:val="both"/>
        <w:rPr>
          <w:rFonts w:ascii="Arial" w:hAnsi="Arial" w:cs="Arial"/>
          <w:i/>
        </w:rPr>
      </w:pPr>
      <w:r>
        <w:rPr>
          <w:rFonts w:ascii="Arial" w:hAnsi="Arial" w:cs="Arial"/>
          <w:i/>
        </w:rPr>
        <w:t>‘2.</w:t>
      </w:r>
      <w:r>
        <w:rPr>
          <w:rFonts w:ascii="Arial" w:hAnsi="Arial" w:cs="Arial"/>
          <w:i/>
        </w:rPr>
        <w:tab/>
        <w:t xml:space="preserve">That the First and Second respondents are ordered and directed to </w:t>
      </w:r>
      <w:r>
        <w:rPr>
          <w:rFonts w:ascii="Arial" w:hAnsi="Arial" w:cs="Arial"/>
          <w:i/>
        </w:rPr>
        <w:tab/>
        <w:t xml:space="preserve">forthwith grant the Applicant and/or her duly appointed representatives </w:t>
      </w:r>
      <w:r>
        <w:rPr>
          <w:rFonts w:ascii="Arial" w:hAnsi="Arial" w:cs="Arial"/>
          <w:i/>
        </w:rPr>
        <w:tab/>
        <w:t xml:space="preserve">and/or agents full and unfettered access to the immovable property and </w:t>
      </w:r>
      <w:r>
        <w:rPr>
          <w:rFonts w:ascii="Arial" w:hAnsi="Arial" w:cs="Arial"/>
          <w:i/>
        </w:rPr>
        <w:tab/>
      </w:r>
      <w:r w:rsidR="005F62F6">
        <w:rPr>
          <w:rFonts w:ascii="Arial" w:hAnsi="Arial" w:cs="Arial"/>
          <w:i/>
        </w:rPr>
        <w:t xml:space="preserve">residence situate at </w:t>
      </w:r>
      <w:r w:rsidR="00D11CF4" w:rsidRPr="00D11CF4">
        <w:rPr>
          <w:rFonts w:ascii="Arial" w:hAnsi="Arial" w:cs="Arial"/>
          <w:i/>
          <w:sz w:val="24"/>
          <w:szCs w:val="24"/>
        </w:rPr>
        <w:t>[…]</w:t>
      </w:r>
      <w:r>
        <w:rPr>
          <w:rFonts w:ascii="Arial" w:hAnsi="Arial" w:cs="Arial"/>
          <w:i/>
        </w:rPr>
        <w:t xml:space="preserve"> Avenue, </w:t>
      </w:r>
      <w:proofErr w:type="gramStart"/>
      <w:r w:rsidRPr="00D11CF4">
        <w:rPr>
          <w:rFonts w:ascii="Arial" w:hAnsi="Arial" w:cs="Arial"/>
          <w:i/>
        </w:rPr>
        <w:t>F</w:t>
      </w:r>
      <w:r w:rsidR="00D11CF4" w:rsidRPr="00D11CF4">
        <w:rPr>
          <w:rFonts w:ascii="Arial" w:hAnsi="Arial" w:cs="Arial"/>
          <w:i/>
          <w:sz w:val="24"/>
          <w:szCs w:val="24"/>
        </w:rPr>
        <w:t>[</w:t>
      </w:r>
      <w:proofErr w:type="gramEnd"/>
      <w:r w:rsidR="00D11CF4" w:rsidRPr="00D11CF4">
        <w:rPr>
          <w:rFonts w:ascii="Arial" w:hAnsi="Arial" w:cs="Arial"/>
          <w:i/>
          <w:sz w:val="24"/>
          <w:szCs w:val="24"/>
        </w:rPr>
        <w:t>…]</w:t>
      </w:r>
      <w:r w:rsidRPr="00D11CF4">
        <w:rPr>
          <w:rFonts w:ascii="Arial" w:hAnsi="Arial" w:cs="Arial"/>
          <w:i/>
        </w:rPr>
        <w:t>,</w:t>
      </w:r>
      <w:r>
        <w:rPr>
          <w:rFonts w:ascii="Arial" w:hAnsi="Arial" w:cs="Arial"/>
          <w:i/>
        </w:rPr>
        <w:t xml:space="preserve"> Table View, Western </w:t>
      </w:r>
      <w:r>
        <w:rPr>
          <w:rFonts w:ascii="Arial" w:hAnsi="Arial" w:cs="Arial"/>
          <w:i/>
        </w:rPr>
        <w:tab/>
        <w:t xml:space="preserve">Cape Province (“the property”), inter alia by means of providing the </w:t>
      </w:r>
      <w:r>
        <w:rPr>
          <w:rFonts w:ascii="Arial" w:hAnsi="Arial" w:cs="Arial"/>
          <w:i/>
        </w:rPr>
        <w:tab/>
        <w:t>Applicant with:</w:t>
      </w:r>
    </w:p>
    <w:p w14:paraId="6876F8E9" w14:textId="77777777" w:rsidR="00F86564" w:rsidRDefault="00F86564" w:rsidP="008E35BD">
      <w:pPr>
        <w:pStyle w:val="ListParagraph"/>
        <w:spacing w:line="360" w:lineRule="auto"/>
        <w:ind w:right="720"/>
        <w:jc w:val="both"/>
        <w:rPr>
          <w:rFonts w:ascii="Arial" w:hAnsi="Arial" w:cs="Arial"/>
          <w:i/>
        </w:rPr>
      </w:pPr>
    </w:p>
    <w:p w14:paraId="3737E0AF" w14:textId="77777777" w:rsidR="005F62F6" w:rsidRDefault="00EB1D3D" w:rsidP="00EB1D3D">
      <w:pPr>
        <w:pStyle w:val="ListParagraph"/>
        <w:spacing w:line="360" w:lineRule="auto"/>
        <w:ind w:right="720"/>
        <w:jc w:val="both"/>
        <w:rPr>
          <w:rFonts w:ascii="Arial" w:hAnsi="Arial" w:cs="Arial"/>
          <w:i/>
        </w:rPr>
      </w:pPr>
      <w:r>
        <w:rPr>
          <w:rFonts w:ascii="Arial" w:hAnsi="Arial" w:cs="Arial"/>
          <w:i/>
        </w:rPr>
        <w:tab/>
      </w:r>
      <w:r w:rsidR="005F62F6">
        <w:rPr>
          <w:rFonts w:ascii="Arial" w:hAnsi="Arial" w:cs="Arial"/>
          <w:i/>
        </w:rPr>
        <w:t>2.1</w:t>
      </w:r>
      <w:r w:rsidR="005F62F6">
        <w:rPr>
          <w:rFonts w:ascii="Arial" w:hAnsi="Arial" w:cs="Arial"/>
          <w:i/>
        </w:rPr>
        <w:tab/>
        <w:t xml:space="preserve">All keys, alarm codes, and any/all other methods of access to </w:t>
      </w:r>
      <w:r w:rsidR="005F62F6">
        <w:rPr>
          <w:rFonts w:ascii="Arial" w:hAnsi="Arial" w:cs="Arial"/>
          <w:i/>
        </w:rPr>
        <w:tab/>
      </w:r>
      <w:r w:rsidR="005F62F6">
        <w:rPr>
          <w:rFonts w:ascii="Arial" w:hAnsi="Arial" w:cs="Arial"/>
          <w:i/>
        </w:rPr>
        <w:tab/>
        <w:t>the property; and</w:t>
      </w:r>
    </w:p>
    <w:p w14:paraId="75B3627A" w14:textId="77777777" w:rsidR="005F62F6" w:rsidRDefault="00EB1D3D" w:rsidP="00EB1D3D">
      <w:pPr>
        <w:pStyle w:val="ListParagraph"/>
        <w:spacing w:line="360" w:lineRule="auto"/>
        <w:ind w:right="720"/>
        <w:jc w:val="both"/>
        <w:rPr>
          <w:rFonts w:ascii="Arial" w:hAnsi="Arial" w:cs="Arial"/>
          <w:i/>
        </w:rPr>
      </w:pPr>
      <w:r>
        <w:rPr>
          <w:rFonts w:ascii="Arial" w:hAnsi="Arial" w:cs="Arial"/>
          <w:i/>
        </w:rPr>
        <w:tab/>
      </w:r>
      <w:r w:rsidR="005F62F6">
        <w:rPr>
          <w:rFonts w:ascii="Arial" w:hAnsi="Arial" w:cs="Arial"/>
          <w:i/>
        </w:rPr>
        <w:t>2.2</w:t>
      </w:r>
      <w:r w:rsidR="005F62F6">
        <w:rPr>
          <w:rFonts w:ascii="Arial" w:hAnsi="Arial" w:cs="Arial"/>
          <w:i/>
        </w:rPr>
        <w:tab/>
        <w:t xml:space="preserve">The full personal particulars and contact details of any persons </w:t>
      </w:r>
      <w:r w:rsidR="005F62F6">
        <w:rPr>
          <w:rFonts w:ascii="Arial" w:hAnsi="Arial" w:cs="Arial"/>
          <w:i/>
        </w:rPr>
        <w:tab/>
      </w:r>
      <w:r w:rsidR="005F62F6">
        <w:rPr>
          <w:rFonts w:ascii="Arial" w:hAnsi="Arial" w:cs="Arial"/>
          <w:i/>
        </w:rPr>
        <w:tab/>
        <w:t>currently occupying the property;</w:t>
      </w:r>
    </w:p>
    <w:p w14:paraId="7DD5D867" w14:textId="77777777" w:rsidR="00E73605" w:rsidRDefault="00E73605" w:rsidP="00EB1D3D">
      <w:pPr>
        <w:pStyle w:val="ListParagraph"/>
        <w:spacing w:line="360" w:lineRule="auto"/>
        <w:ind w:right="720"/>
        <w:jc w:val="both"/>
        <w:rPr>
          <w:rFonts w:ascii="Arial" w:hAnsi="Arial" w:cs="Arial"/>
          <w:i/>
        </w:rPr>
      </w:pPr>
    </w:p>
    <w:p w14:paraId="0FDBF1D0" w14:textId="77777777" w:rsidR="005F62F6" w:rsidRDefault="005F62F6" w:rsidP="005F62F6">
      <w:pPr>
        <w:pStyle w:val="ListParagraph"/>
        <w:spacing w:line="360" w:lineRule="auto"/>
        <w:ind w:left="864" w:right="720"/>
        <w:jc w:val="both"/>
        <w:rPr>
          <w:rFonts w:ascii="Arial" w:hAnsi="Arial" w:cs="Arial"/>
          <w:i/>
        </w:rPr>
      </w:pPr>
      <w:r>
        <w:rPr>
          <w:rFonts w:ascii="Arial" w:hAnsi="Arial" w:cs="Arial"/>
          <w:i/>
        </w:rPr>
        <w:tab/>
        <w:t xml:space="preserve">within 24 hours of service of this order on the respondent’s or their legal </w:t>
      </w:r>
      <w:r>
        <w:rPr>
          <w:rFonts w:ascii="Arial" w:hAnsi="Arial" w:cs="Arial"/>
          <w:i/>
        </w:rPr>
        <w:tab/>
        <w:t xml:space="preserve">representatives (Mr </w:t>
      </w:r>
      <w:proofErr w:type="spellStart"/>
      <w:r>
        <w:rPr>
          <w:rFonts w:ascii="Arial" w:hAnsi="Arial" w:cs="Arial"/>
          <w:i/>
        </w:rPr>
        <w:t>Bennu</w:t>
      </w:r>
      <w:proofErr w:type="spellEnd"/>
      <w:r>
        <w:rPr>
          <w:rFonts w:ascii="Arial" w:hAnsi="Arial" w:cs="Arial"/>
          <w:i/>
        </w:rPr>
        <w:t xml:space="preserve"> </w:t>
      </w:r>
      <w:proofErr w:type="spellStart"/>
      <w:r>
        <w:rPr>
          <w:rFonts w:ascii="Arial" w:hAnsi="Arial" w:cs="Arial"/>
          <w:i/>
        </w:rPr>
        <w:t>Viljoen</w:t>
      </w:r>
      <w:proofErr w:type="spellEnd"/>
      <w:r>
        <w:rPr>
          <w:rFonts w:ascii="Arial" w:hAnsi="Arial" w:cs="Arial"/>
          <w:i/>
        </w:rPr>
        <w:t xml:space="preserve"> of Messrs VGV attorneys, Bellville);</w:t>
      </w:r>
    </w:p>
    <w:p w14:paraId="03D87EED" w14:textId="77777777" w:rsidR="005F62F6" w:rsidRDefault="005F62F6" w:rsidP="005F62F6">
      <w:pPr>
        <w:pStyle w:val="ListParagraph"/>
        <w:spacing w:line="360" w:lineRule="auto"/>
        <w:ind w:left="864" w:right="720"/>
        <w:jc w:val="both"/>
        <w:rPr>
          <w:rFonts w:ascii="Arial" w:hAnsi="Arial" w:cs="Arial"/>
          <w:i/>
        </w:rPr>
      </w:pPr>
    </w:p>
    <w:p w14:paraId="2389ECB7" w14:textId="77777777" w:rsidR="005F62F6" w:rsidRDefault="005F62F6" w:rsidP="005F62F6">
      <w:pPr>
        <w:pStyle w:val="ListParagraph"/>
        <w:spacing w:line="360" w:lineRule="auto"/>
        <w:ind w:left="864" w:right="720"/>
        <w:jc w:val="both"/>
        <w:rPr>
          <w:rFonts w:ascii="Arial" w:hAnsi="Arial" w:cs="Arial"/>
          <w:i/>
        </w:rPr>
      </w:pPr>
      <w:r>
        <w:rPr>
          <w:rFonts w:ascii="Arial" w:hAnsi="Arial" w:cs="Arial"/>
          <w:i/>
        </w:rPr>
        <w:t>3.</w:t>
      </w:r>
      <w:r>
        <w:rPr>
          <w:rFonts w:ascii="Arial" w:hAnsi="Arial" w:cs="Arial"/>
          <w:i/>
        </w:rPr>
        <w:tab/>
        <w:t xml:space="preserve">That the First and Second respondents are ordered and directed to </w:t>
      </w:r>
      <w:r>
        <w:rPr>
          <w:rFonts w:ascii="Arial" w:hAnsi="Arial" w:cs="Arial"/>
          <w:i/>
        </w:rPr>
        <w:tab/>
        <w:t xml:space="preserve">forthwith allow the Applicant and/or her duly appointed representatives </w:t>
      </w:r>
      <w:r>
        <w:rPr>
          <w:rFonts w:ascii="Arial" w:hAnsi="Arial" w:cs="Arial"/>
          <w:i/>
        </w:rPr>
        <w:tab/>
        <w:t xml:space="preserve">and/or agents to do all things reasonably required to market and sell the </w:t>
      </w:r>
      <w:r>
        <w:rPr>
          <w:rFonts w:ascii="Arial" w:hAnsi="Arial" w:cs="Arial"/>
          <w:i/>
        </w:rPr>
        <w:tab/>
        <w:t>property in execution / implementation of the following orders:</w:t>
      </w:r>
    </w:p>
    <w:p w14:paraId="7D4AFF2B" w14:textId="77777777" w:rsidR="00EB1D3D" w:rsidRDefault="00EB1D3D" w:rsidP="005F62F6">
      <w:pPr>
        <w:pStyle w:val="ListParagraph"/>
        <w:spacing w:line="360" w:lineRule="auto"/>
        <w:ind w:left="864" w:right="720"/>
        <w:jc w:val="both"/>
        <w:rPr>
          <w:rFonts w:ascii="Arial" w:hAnsi="Arial" w:cs="Arial"/>
          <w:i/>
        </w:rPr>
      </w:pPr>
      <w:r>
        <w:rPr>
          <w:rFonts w:ascii="Arial" w:hAnsi="Arial" w:cs="Arial"/>
          <w:i/>
        </w:rPr>
        <w:tab/>
      </w:r>
    </w:p>
    <w:p w14:paraId="412C1AE5" w14:textId="77777777" w:rsidR="00EB1D3D" w:rsidRDefault="00EB1D3D" w:rsidP="005F62F6">
      <w:pPr>
        <w:pStyle w:val="ListParagraph"/>
        <w:spacing w:line="360" w:lineRule="auto"/>
        <w:ind w:left="864" w:right="720"/>
        <w:jc w:val="both"/>
        <w:rPr>
          <w:rFonts w:ascii="Arial" w:hAnsi="Arial" w:cs="Arial"/>
          <w:i/>
        </w:rPr>
      </w:pPr>
      <w:r>
        <w:rPr>
          <w:rFonts w:ascii="Arial" w:hAnsi="Arial" w:cs="Arial"/>
          <w:i/>
        </w:rPr>
        <w:tab/>
        <w:t xml:space="preserve">3.1 </w:t>
      </w:r>
      <w:r>
        <w:rPr>
          <w:rFonts w:ascii="Arial" w:hAnsi="Arial" w:cs="Arial"/>
          <w:i/>
        </w:rPr>
        <w:tab/>
        <w:t xml:space="preserve">The </w:t>
      </w:r>
      <w:r w:rsidR="00DB2310">
        <w:rPr>
          <w:rFonts w:ascii="Arial" w:hAnsi="Arial" w:cs="Arial"/>
          <w:i/>
        </w:rPr>
        <w:t xml:space="preserve">Decree of Divorce granted by the Honourable Justice Allie </w:t>
      </w:r>
      <w:r w:rsidR="00DB2310">
        <w:rPr>
          <w:rFonts w:ascii="Arial" w:hAnsi="Arial" w:cs="Arial"/>
          <w:i/>
        </w:rPr>
        <w:tab/>
      </w:r>
      <w:r w:rsidR="00DB2310">
        <w:rPr>
          <w:rFonts w:ascii="Arial" w:hAnsi="Arial" w:cs="Arial"/>
          <w:i/>
        </w:rPr>
        <w:tab/>
        <w:t>under case number 10338/2015 on 31 August 2015;</w:t>
      </w:r>
    </w:p>
    <w:p w14:paraId="541089D9" w14:textId="77777777" w:rsidR="00DB2310" w:rsidRDefault="00DB2310" w:rsidP="005F62F6">
      <w:pPr>
        <w:pStyle w:val="ListParagraph"/>
        <w:spacing w:line="360" w:lineRule="auto"/>
        <w:ind w:left="864" w:right="720"/>
        <w:jc w:val="both"/>
        <w:rPr>
          <w:rFonts w:ascii="Arial" w:hAnsi="Arial" w:cs="Arial"/>
          <w:i/>
        </w:rPr>
      </w:pPr>
      <w:r>
        <w:rPr>
          <w:rFonts w:ascii="Arial" w:hAnsi="Arial" w:cs="Arial"/>
          <w:i/>
        </w:rPr>
        <w:tab/>
        <w:t>3.2</w:t>
      </w:r>
      <w:r>
        <w:rPr>
          <w:rFonts w:ascii="Arial" w:hAnsi="Arial" w:cs="Arial"/>
          <w:i/>
        </w:rPr>
        <w:tab/>
        <w:t xml:space="preserve">The judgment and orders granted by the Honourable Mr Justice </w:t>
      </w:r>
      <w:r>
        <w:rPr>
          <w:rFonts w:ascii="Arial" w:hAnsi="Arial" w:cs="Arial"/>
          <w:i/>
        </w:rPr>
        <w:tab/>
      </w:r>
      <w:r>
        <w:rPr>
          <w:rFonts w:ascii="Arial" w:hAnsi="Arial" w:cs="Arial"/>
          <w:i/>
        </w:rPr>
        <w:tab/>
      </w:r>
      <w:proofErr w:type="spellStart"/>
      <w:r>
        <w:rPr>
          <w:rFonts w:ascii="Arial" w:hAnsi="Arial" w:cs="Arial"/>
          <w:i/>
        </w:rPr>
        <w:t>Thulare</w:t>
      </w:r>
      <w:proofErr w:type="spellEnd"/>
      <w:r>
        <w:rPr>
          <w:rFonts w:ascii="Arial" w:hAnsi="Arial" w:cs="Arial"/>
          <w:i/>
        </w:rPr>
        <w:t xml:space="preserve"> under case number 11597/2021 on 24 May 2022;</w:t>
      </w:r>
    </w:p>
    <w:p w14:paraId="19852EB0" w14:textId="77777777" w:rsidR="00DB2310" w:rsidRDefault="00DB2310" w:rsidP="005F62F6">
      <w:pPr>
        <w:pStyle w:val="ListParagraph"/>
        <w:spacing w:line="360" w:lineRule="auto"/>
        <w:ind w:left="864" w:right="720"/>
        <w:jc w:val="both"/>
        <w:rPr>
          <w:rFonts w:ascii="Arial" w:hAnsi="Arial" w:cs="Arial"/>
          <w:i/>
        </w:rPr>
      </w:pPr>
      <w:r>
        <w:rPr>
          <w:rFonts w:ascii="Arial" w:hAnsi="Arial" w:cs="Arial"/>
          <w:i/>
        </w:rPr>
        <w:tab/>
        <w:t>3.3</w:t>
      </w:r>
      <w:r>
        <w:rPr>
          <w:rFonts w:ascii="Arial" w:hAnsi="Arial" w:cs="Arial"/>
          <w:i/>
        </w:rPr>
        <w:tab/>
        <w:t xml:space="preserve">The order granted by the Honourable Justice </w:t>
      </w:r>
      <w:proofErr w:type="spellStart"/>
      <w:r>
        <w:rPr>
          <w:rFonts w:ascii="Arial" w:hAnsi="Arial" w:cs="Arial"/>
          <w:i/>
        </w:rPr>
        <w:t>Wille</w:t>
      </w:r>
      <w:proofErr w:type="spellEnd"/>
      <w:r>
        <w:rPr>
          <w:rFonts w:ascii="Arial" w:hAnsi="Arial" w:cs="Arial"/>
          <w:i/>
        </w:rPr>
        <w:t xml:space="preserve"> under case </w:t>
      </w:r>
      <w:r>
        <w:rPr>
          <w:rFonts w:ascii="Arial" w:hAnsi="Arial" w:cs="Arial"/>
          <w:i/>
        </w:rPr>
        <w:tab/>
      </w:r>
      <w:r>
        <w:rPr>
          <w:rFonts w:ascii="Arial" w:hAnsi="Arial" w:cs="Arial"/>
          <w:i/>
        </w:rPr>
        <w:tab/>
        <w:t>number 16935/2022 on 13 October 2022;</w:t>
      </w:r>
    </w:p>
    <w:p w14:paraId="255CDC26" w14:textId="77777777" w:rsidR="00DB2310" w:rsidRDefault="00DB2310" w:rsidP="005F62F6">
      <w:pPr>
        <w:pStyle w:val="ListParagraph"/>
        <w:spacing w:line="360" w:lineRule="auto"/>
        <w:ind w:left="864" w:right="720"/>
        <w:jc w:val="both"/>
        <w:rPr>
          <w:rFonts w:ascii="Arial" w:hAnsi="Arial" w:cs="Arial"/>
          <w:i/>
        </w:rPr>
      </w:pPr>
      <w:r>
        <w:rPr>
          <w:rFonts w:ascii="Arial" w:hAnsi="Arial" w:cs="Arial"/>
          <w:i/>
        </w:rPr>
        <w:tab/>
        <w:t>3.4</w:t>
      </w:r>
      <w:r>
        <w:rPr>
          <w:rFonts w:ascii="Arial" w:hAnsi="Arial" w:cs="Arial"/>
          <w:i/>
        </w:rPr>
        <w:tab/>
        <w:t xml:space="preserve">The order granted by the Honourable Justice </w:t>
      </w:r>
      <w:proofErr w:type="spellStart"/>
      <w:r>
        <w:rPr>
          <w:rFonts w:ascii="Arial" w:hAnsi="Arial" w:cs="Arial"/>
          <w:i/>
        </w:rPr>
        <w:t>Dolamo</w:t>
      </w:r>
      <w:proofErr w:type="spellEnd"/>
      <w:r>
        <w:rPr>
          <w:rFonts w:ascii="Arial" w:hAnsi="Arial" w:cs="Arial"/>
          <w:i/>
        </w:rPr>
        <w:t xml:space="preserve"> under </w:t>
      </w:r>
      <w:r w:rsidR="00467766">
        <w:rPr>
          <w:rFonts w:ascii="Arial" w:hAnsi="Arial" w:cs="Arial"/>
          <w:i/>
        </w:rPr>
        <w:tab/>
      </w:r>
      <w:r w:rsidR="00467766">
        <w:rPr>
          <w:rFonts w:ascii="Arial" w:hAnsi="Arial" w:cs="Arial"/>
          <w:i/>
        </w:rPr>
        <w:tab/>
      </w:r>
      <w:r>
        <w:rPr>
          <w:rFonts w:ascii="Arial" w:hAnsi="Arial" w:cs="Arial"/>
          <w:i/>
        </w:rPr>
        <w:t xml:space="preserve">case number </w:t>
      </w:r>
      <w:r w:rsidR="00467766">
        <w:rPr>
          <w:rFonts w:ascii="Arial" w:hAnsi="Arial" w:cs="Arial"/>
          <w:i/>
        </w:rPr>
        <w:t>16935/2022 on 4 September 2023.</w:t>
      </w:r>
    </w:p>
    <w:p w14:paraId="767658D8" w14:textId="77777777" w:rsidR="009B54D5" w:rsidRDefault="009B54D5" w:rsidP="005F62F6">
      <w:pPr>
        <w:pStyle w:val="ListParagraph"/>
        <w:spacing w:line="360" w:lineRule="auto"/>
        <w:ind w:left="864" w:right="720"/>
        <w:jc w:val="both"/>
        <w:rPr>
          <w:rFonts w:ascii="Arial" w:hAnsi="Arial" w:cs="Arial"/>
          <w:i/>
        </w:rPr>
      </w:pPr>
    </w:p>
    <w:p w14:paraId="353B5BC4" w14:textId="77777777" w:rsidR="009B54D5" w:rsidRDefault="009B54D5" w:rsidP="005F62F6">
      <w:pPr>
        <w:pStyle w:val="ListParagraph"/>
        <w:spacing w:line="360" w:lineRule="auto"/>
        <w:ind w:left="864" w:right="720"/>
        <w:jc w:val="both"/>
        <w:rPr>
          <w:rFonts w:ascii="Arial" w:hAnsi="Arial" w:cs="Arial"/>
          <w:i/>
        </w:rPr>
      </w:pPr>
      <w:r>
        <w:rPr>
          <w:rFonts w:ascii="Arial" w:hAnsi="Arial" w:cs="Arial"/>
          <w:i/>
        </w:rPr>
        <w:t xml:space="preserve">4. </w:t>
      </w:r>
      <w:r>
        <w:rPr>
          <w:rFonts w:ascii="Arial" w:hAnsi="Arial" w:cs="Arial"/>
          <w:i/>
        </w:rPr>
        <w:tab/>
        <w:t xml:space="preserve">That the Respondents are interdicted and restrained from preventing or </w:t>
      </w:r>
      <w:r>
        <w:rPr>
          <w:rFonts w:ascii="Arial" w:hAnsi="Arial" w:cs="Arial"/>
          <w:i/>
        </w:rPr>
        <w:tab/>
        <w:t xml:space="preserve">otherwise hampering or hindering the Applicant in the exercise of her </w:t>
      </w:r>
      <w:r>
        <w:rPr>
          <w:rFonts w:ascii="Arial" w:hAnsi="Arial" w:cs="Arial"/>
          <w:i/>
        </w:rPr>
        <w:tab/>
        <w:t xml:space="preserve">rights to market and sell the property in terms of the aforementioned </w:t>
      </w:r>
      <w:r>
        <w:rPr>
          <w:rFonts w:ascii="Arial" w:hAnsi="Arial" w:cs="Arial"/>
          <w:i/>
        </w:rPr>
        <w:tab/>
        <w:t>Court orders.</w:t>
      </w:r>
    </w:p>
    <w:p w14:paraId="413C4D70" w14:textId="77777777" w:rsidR="009B54D5" w:rsidRDefault="009B54D5" w:rsidP="005F62F6">
      <w:pPr>
        <w:pStyle w:val="ListParagraph"/>
        <w:spacing w:line="360" w:lineRule="auto"/>
        <w:ind w:left="864" w:right="720"/>
        <w:jc w:val="both"/>
        <w:rPr>
          <w:rFonts w:ascii="Arial" w:hAnsi="Arial" w:cs="Arial"/>
          <w:i/>
        </w:rPr>
      </w:pPr>
    </w:p>
    <w:p w14:paraId="4173965B" w14:textId="2F8E2837" w:rsidR="009B54D5" w:rsidRDefault="009B54D5" w:rsidP="005F62F6">
      <w:pPr>
        <w:pStyle w:val="ListParagraph"/>
        <w:spacing w:line="360" w:lineRule="auto"/>
        <w:ind w:left="864" w:right="720"/>
        <w:jc w:val="both"/>
        <w:rPr>
          <w:rFonts w:ascii="Arial" w:hAnsi="Arial" w:cs="Arial"/>
          <w:i/>
        </w:rPr>
      </w:pPr>
      <w:r>
        <w:rPr>
          <w:rFonts w:ascii="Arial" w:hAnsi="Arial" w:cs="Arial"/>
          <w:i/>
        </w:rPr>
        <w:t xml:space="preserve">5. </w:t>
      </w:r>
      <w:r>
        <w:rPr>
          <w:rFonts w:ascii="Arial" w:hAnsi="Arial" w:cs="Arial"/>
          <w:i/>
        </w:rPr>
        <w:tab/>
        <w:t xml:space="preserve">That the Third Respondent be directed to refuse to approve any final </w:t>
      </w:r>
      <w:r>
        <w:rPr>
          <w:rFonts w:ascii="Arial" w:hAnsi="Arial" w:cs="Arial"/>
          <w:i/>
        </w:rPr>
        <w:tab/>
        <w:t xml:space="preserve">liquidation and distribution account submitted to him by or on behalf of </w:t>
      </w:r>
      <w:r>
        <w:rPr>
          <w:rFonts w:ascii="Arial" w:hAnsi="Arial" w:cs="Arial"/>
          <w:i/>
        </w:rPr>
        <w:tab/>
        <w:t xml:space="preserve">the second respondent unless same provides for the sum of R200 000 </w:t>
      </w:r>
      <w:r>
        <w:rPr>
          <w:rFonts w:ascii="Arial" w:hAnsi="Arial" w:cs="Arial"/>
          <w:i/>
        </w:rPr>
        <w:tab/>
        <w:t xml:space="preserve">to be paid into a special investment security account in satisfaction of </w:t>
      </w:r>
      <w:r>
        <w:rPr>
          <w:rFonts w:ascii="Arial" w:hAnsi="Arial" w:cs="Arial"/>
          <w:i/>
        </w:rPr>
        <w:tab/>
        <w:t xml:space="preserve">the Taxing Master’s Determination of Security under case number </w:t>
      </w:r>
      <w:r>
        <w:rPr>
          <w:rFonts w:ascii="Arial" w:hAnsi="Arial" w:cs="Arial"/>
          <w:i/>
        </w:rPr>
        <w:tab/>
        <w:t xml:space="preserve">16935/2022 out of any monies accruing to the first respondent from the </w:t>
      </w:r>
      <w:r>
        <w:rPr>
          <w:rFonts w:ascii="Arial" w:hAnsi="Arial" w:cs="Arial"/>
          <w:i/>
        </w:rPr>
        <w:tab/>
        <w:t>deceased estate of</w:t>
      </w:r>
      <w:r w:rsidR="00965CFE">
        <w:rPr>
          <w:rFonts w:ascii="Arial" w:hAnsi="Arial" w:cs="Arial"/>
          <w:i/>
        </w:rPr>
        <w:t xml:space="preserve"> the late Mr </w:t>
      </w:r>
      <w:proofErr w:type="gramStart"/>
      <w:r w:rsidR="00965CFE" w:rsidRPr="00965CFE">
        <w:rPr>
          <w:rFonts w:ascii="Arial" w:hAnsi="Arial" w:cs="Arial"/>
          <w:i/>
        </w:rPr>
        <w:t>E</w:t>
      </w:r>
      <w:r w:rsidR="00965CFE" w:rsidRPr="00965CFE">
        <w:rPr>
          <w:rFonts w:ascii="Arial" w:hAnsi="Arial" w:cs="Arial"/>
          <w:i/>
          <w:sz w:val="24"/>
          <w:szCs w:val="24"/>
        </w:rPr>
        <w:t>[</w:t>
      </w:r>
      <w:proofErr w:type="gramEnd"/>
      <w:r w:rsidR="00965CFE" w:rsidRPr="00965CFE">
        <w:rPr>
          <w:rFonts w:ascii="Arial" w:hAnsi="Arial" w:cs="Arial"/>
          <w:i/>
          <w:sz w:val="24"/>
          <w:szCs w:val="24"/>
        </w:rPr>
        <w:t>…]</w:t>
      </w:r>
      <w:r w:rsidR="006C03AB">
        <w:rPr>
          <w:rFonts w:ascii="Arial" w:hAnsi="Arial" w:cs="Arial"/>
          <w:i/>
        </w:rPr>
        <w:t xml:space="preserve"> S</w:t>
      </w:r>
      <w:r w:rsidR="00965CFE" w:rsidRPr="00965CFE">
        <w:rPr>
          <w:rFonts w:ascii="Arial" w:hAnsi="Arial" w:cs="Arial"/>
          <w:i/>
          <w:sz w:val="24"/>
          <w:szCs w:val="24"/>
        </w:rPr>
        <w:t>[…]</w:t>
      </w:r>
      <w:r w:rsidR="006C03AB">
        <w:rPr>
          <w:rFonts w:ascii="Arial" w:hAnsi="Arial" w:cs="Arial"/>
          <w:i/>
        </w:rPr>
        <w:t>.</w:t>
      </w:r>
    </w:p>
    <w:p w14:paraId="0A5C04A4" w14:textId="77777777" w:rsidR="009B54D5" w:rsidRDefault="009B54D5" w:rsidP="005F62F6">
      <w:pPr>
        <w:pStyle w:val="ListParagraph"/>
        <w:spacing w:line="360" w:lineRule="auto"/>
        <w:ind w:left="864" w:right="720"/>
        <w:jc w:val="both"/>
        <w:rPr>
          <w:rFonts w:ascii="Arial" w:hAnsi="Arial" w:cs="Arial"/>
          <w:i/>
        </w:rPr>
      </w:pPr>
    </w:p>
    <w:p w14:paraId="072ACA6B" w14:textId="77777777" w:rsidR="009B54D5" w:rsidRDefault="009B54D5" w:rsidP="005F62F6">
      <w:pPr>
        <w:pStyle w:val="ListParagraph"/>
        <w:spacing w:line="360" w:lineRule="auto"/>
        <w:ind w:left="864" w:right="720"/>
        <w:jc w:val="both"/>
        <w:rPr>
          <w:rFonts w:ascii="Arial" w:hAnsi="Arial" w:cs="Arial"/>
          <w:i/>
        </w:rPr>
      </w:pPr>
      <w:r>
        <w:rPr>
          <w:rFonts w:ascii="Arial" w:hAnsi="Arial" w:cs="Arial"/>
          <w:i/>
        </w:rPr>
        <w:t xml:space="preserve">6. </w:t>
      </w:r>
      <w:r>
        <w:rPr>
          <w:rFonts w:ascii="Arial" w:hAnsi="Arial" w:cs="Arial"/>
          <w:i/>
        </w:rPr>
        <w:tab/>
        <w:t>Costs of suit on an attorney and client scale.</w:t>
      </w:r>
    </w:p>
    <w:p w14:paraId="0FA41F40" w14:textId="77777777" w:rsidR="009B54D5" w:rsidRDefault="009B54D5" w:rsidP="005F62F6">
      <w:pPr>
        <w:pStyle w:val="ListParagraph"/>
        <w:spacing w:line="360" w:lineRule="auto"/>
        <w:ind w:left="864" w:right="720"/>
        <w:jc w:val="both"/>
        <w:rPr>
          <w:rFonts w:ascii="Arial" w:hAnsi="Arial" w:cs="Arial"/>
          <w:i/>
        </w:rPr>
      </w:pPr>
    </w:p>
    <w:p w14:paraId="264F8C74" w14:textId="77777777" w:rsidR="009B54D5" w:rsidRPr="00174773" w:rsidRDefault="009B54D5" w:rsidP="005F62F6">
      <w:pPr>
        <w:pStyle w:val="ListParagraph"/>
        <w:spacing w:line="360" w:lineRule="auto"/>
        <w:ind w:left="864" w:right="720"/>
        <w:jc w:val="both"/>
        <w:rPr>
          <w:rFonts w:ascii="Arial" w:hAnsi="Arial" w:cs="Arial"/>
        </w:rPr>
      </w:pPr>
      <w:r>
        <w:rPr>
          <w:rFonts w:ascii="Arial" w:hAnsi="Arial" w:cs="Arial"/>
          <w:i/>
        </w:rPr>
        <w:t>7.</w:t>
      </w:r>
      <w:r>
        <w:rPr>
          <w:rFonts w:ascii="Arial" w:hAnsi="Arial" w:cs="Arial"/>
          <w:i/>
        </w:rPr>
        <w:tab/>
        <w:t xml:space="preserve"> Further and / or alternative relief’</w:t>
      </w:r>
      <w:r w:rsidR="00174773">
        <w:rPr>
          <w:rStyle w:val="FootnoteReference"/>
          <w:rFonts w:ascii="Arial" w:hAnsi="Arial" w:cs="Arial"/>
          <w:i/>
        </w:rPr>
        <w:footnoteReference w:id="7"/>
      </w:r>
    </w:p>
    <w:p w14:paraId="54CC0C71" w14:textId="77777777" w:rsidR="005F62F6" w:rsidRPr="008E35BD" w:rsidRDefault="005F62F6" w:rsidP="008E35BD">
      <w:pPr>
        <w:pStyle w:val="ListParagraph"/>
        <w:spacing w:line="360" w:lineRule="auto"/>
        <w:ind w:left="1152" w:right="720"/>
        <w:jc w:val="both"/>
        <w:rPr>
          <w:i/>
        </w:rPr>
      </w:pPr>
    </w:p>
    <w:p w14:paraId="33061DC6" w14:textId="77777777" w:rsidR="008E35BD" w:rsidRPr="00A23C22" w:rsidRDefault="00A23C22" w:rsidP="006A03C0">
      <w:pPr>
        <w:pStyle w:val="ListParagraph"/>
        <w:spacing w:line="480" w:lineRule="auto"/>
        <w:ind w:left="0"/>
        <w:jc w:val="both"/>
      </w:pPr>
      <w:r>
        <w:rPr>
          <w:rFonts w:ascii="Arial" w:hAnsi="Arial" w:cs="Arial"/>
          <w:b/>
          <w:sz w:val="24"/>
          <w:szCs w:val="24"/>
        </w:rPr>
        <w:t>Principal Submissions on behalf of the Applicant</w:t>
      </w:r>
    </w:p>
    <w:p w14:paraId="0CB0FCCA" w14:textId="2EFC601A" w:rsidR="00A23C22" w:rsidRPr="006A03C0" w:rsidRDefault="00C83C71" w:rsidP="00C83C71">
      <w:pPr>
        <w:tabs>
          <w:tab w:val="left" w:pos="567"/>
        </w:tabs>
        <w:spacing w:line="480" w:lineRule="auto"/>
        <w:jc w:val="both"/>
      </w:pPr>
      <w:r w:rsidRPr="006A03C0">
        <w:rPr>
          <w:rFonts w:ascii="Arial" w:hAnsi="Arial" w:cs="Arial"/>
          <w:sz w:val="24"/>
          <w:lang w:val="en-ZA"/>
        </w:rPr>
        <w:lastRenderedPageBreak/>
        <w:t xml:space="preserve">[8]     </w:t>
      </w:r>
      <w:r w:rsidRPr="006A03C0">
        <w:rPr>
          <w:rFonts w:ascii="Arial" w:hAnsi="Arial" w:cs="Arial"/>
          <w:sz w:val="24"/>
          <w:lang w:val="en-ZA"/>
        </w:rPr>
        <w:tab/>
      </w:r>
      <w:r w:rsidR="006A03C0" w:rsidRPr="00C83C71">
        <w:rPr>
          <w:rFonts w:ascii="Arial" w:hAnsi="Arial" w:cs="Arial"/>
          <w:sz w:val="24"/>
          <w:szCs w:val="24"/>
        </w:rPr>
        <w:t>The Applicant submitted that the First and Second Respondent’s insistence and refusal to abide by the court orders which entitle the Applicant to market and sell the property without their interference or participation is evident from the various correspondence exchanged between the parties’ respective legal representatives</w:t>
      </w:r>
      <w:r w:rsidR="00976D11" w:rsidRPr="00C83C71">
        <w:rPr>
          <w:rFonts w:ascii="Arial" w:hAnsi="Arial" w:cs="Arial"/>
          <w:sz w:val="24"/>
          <w:szCs w:val="24"/>
        </w:rPr>
        <w:t xml:space="preserve"> since the dismissal by </w:t>
      </w:r>
      <w:proofErr w:type="spellStart"/>
      <w:r w:rsidR="006A03C0" w:rsidRPr="00C83C71">
        <w:rPr>
          <w:rFonts w:ascii="Arial" w:hAnsi="Arial" w:cs="Arial"/>
          <w:sz w:val="24"/>
          <w:szCs w:val="24"/>
        </w:rPr>
        <w:t>Dolamo</w:t>
      </w:r>
      <w:proofErr w:type="spellEnd"/>
      <w:r w:rsidR="00976D11" w:rsidRPr="00C83C71">
        <w:rPr>
          <w:rFonts w:ascii="Arial" w:hAnsi="Arial" w:cs="Arial"/>
          <w:sz w:val="24"/>
          <w:szCs w:val="24"/>
        </w:rPr>
        <w:t xml:space="preserve"> J</w:t>
      </w:r>
      <w:r w:rsidR="006A03C0" w:rsidRPr="00C83C71">
        <w:rPr>
          <w:rFonts w:ascii="Arial" w:hAnsi="Arial" w:cs="Arial"/>
          <w:sz w:val="24"/>
          <w:szCs w:val="24"/>
        </w:rPr>
        <w:t>. It is contended that the correspondence bear</w:t>
      </w:r>
      <w:r w:rsidR="000F07BD" w:rsidRPr="00C83C71">
        <w:rPr>
          <w:rFonts w:ascii="Arial" w:hAnsi="Arial" w:cs="Arial"/>
          <w:sz w:val="24"/>
          <w:szCs w:val="24"/>
        </w:rPr>
        <w:t>s</w:t>
      </w:r>
      <w:r w:rsidR="006A03C0" w:rsidRPr="00C83C71">
        <w:rPr>
          <w:rFonts w:ascii="Arial" w:hAnsi="Arial" w:cs="Arial"/>
          <w:sz w:val="24"/>
          <w:szCs w:val="24"/>
        </w:rPr>
        <w:t xml:space="preserve"> out that the First and Second Respondents have and continue to frustrate the Applicant in the exercise of her rights by:</w:t>
      </w:r>
    </w:p>
    <w:p w14:paraId="7CDE8C46" w14:textId="44F575B1" w:rsidR="006A03C0" w:rsidRPr="006A03C0" w:rsidRDefault="00C83C71" w:rsidP="00C83C71">
      <w:pPr>
        <w:spacing w:line="480" w:lineRule="auto"/>
        <w:ind w:left="720" w:hanging="360"/>
        <w:jc w:val="both"/>
      </w:pPr>
      <w:r w:rsidRPr="006A03C0">
        <w:rPr>
          <w:rFonts w:ascii="Arial" w:hAnsi="Arial" w:cs="Arial"/>
          <w:sz w:val="24"/>
          <w:lang w:val="en-ZA"/>
        </w:rPr>
        <w:t>(a)</w:t>
      </w:r>
      <w:r w:rsidRPr="006A03C0">
        <w:rPr>
          <w:rFonts w:ascii="Arial" w:hAnsi="Arial" w:cs="Arial"/>
          <w:sz w:val="24"/>
          <w:lang w:val="en-ZA"/>
        </w:rPr>
        <w:tab/>
      </w:r>
      <w:r w:rsidR="006A03C0" w:rsidRPr="00C83C71">
        <w:rPr>
          <w:rFonts w:ascii="Arial" w:hAnsi="Arial" w:cs="Arial"/>
          <w:sz w:val="24"/>
          <w:szCs w:val="24"/>
        </w:rPr>
        <w:t>Purporting to regulate the Applicant’s access to the premises and to limit it to “viewing” at pre-arranged times;</w:t>
      </w:r>
    </w:p>
    <w:p w14:paraId="00B850CB" w14:textId="15BD476F" w:rsidR="006A03C0" w:rsidRPr="006A03C0" w:rsidRDefault="00C83C71" w:rsidP="00C83C71">
      <w:pPr>
        <w:spacing w:line="480" w:lineRule="auto"/>
        <w:ind w:left="720" w:hanging="360"/>
        <w:jc w:val="both"/>
      </w:pPr>
      <w:r w:rsidRPr="006A03C0">
        <w:rPr>
          <w:rFonts w:ascii="Arial" w:hAnsi="Arial" w:cs="Arial"/>
          <w:sz w:val="24"/>
          <w:lang w:val="en-ZA"/>
        </w:rPr>
        <w:t>(b)</w:t>
      </w:r>
      <w:r w:rsidRPr="006A03C0">
        <w:rPr>
          <w:rFonts w:ascii="Arial" w:hAnsi="Arial" w:cs="Arial"/>
          <w:sz w:val="24"/>
          <w:lang w:val="en-ZA"/>
        </w:rPr>
        <w:tab/>
      </w:r>
      <w:r w:rsidR="006A03C0" w:rsidRPr="00C83C71">
        <w:rPr>
          <w:rFonts w:ascii="Arial" w:hAnsi="Arial" w:cs="Arial"/>
          <w:sz w:val="24"/>
          <w:szCs w:val="24"/>
        </w:rPr>
        <w:t>Purporting to act as the go-between between the Applicant and the current (unlawful) occupant(s) of the property;</w:t>
      </w:r>
    </w:p>
    <w:p w14:paraId="3A003CDC" w14:textId="4836A75D" w:rsidR="006A03C0" w:rsidRPr="00A23C22" w:rsidRDefault="00C83C71" w:rsidP="00C83C71">
      <w:pPr>
        <w:spacing w:line="480" w:lineRule="auto"/>
        <w:ind w:left="720" w:hanging="360"/>
        <w:jc w:val="both"/>
      </w:pPr>
      <w:r w:rsidRPr="00A23C22">
        <w:rPr>
          <w:rFonts w:ascii="Arial" w:hAnsi="Arial" w:cs="Arial"/>
          <w:sz w:val="24"/>
          <w:lang w:val="en-ZA"/>
        </w:rPr>
        <w:t>(c)</w:t>
      </w:r>
      <w:r w:rsidRPr="00A23C22">
        <w:rPr>
          <w:rFonts w:ascii="Arial" w:hAnsi="Arial" w:cs="Arial"/>
          <w:sz w:val="24"/>
          <w:lang w:val="en-ZA"/>
        </w:rPr>
        <w:tab/>
      </w:r>
      <w:r w:rsidR="006A03C0" w:rsidRPr="00C83C71">
        <w:rPr>
          <w:rFonts w:ascii="Arial" w:hAnsi="Arial" w:cs="Arial"/>
          <w:sz w:val="24"/>
          <w:szCs w:val="24"/>
        </w:rPr>
        <w:t>Claiming some or other entitlement to market and sell the property in conjunction with the Applicant.</w:t>
      </w:r>
      <w:r w:rsidR="006A03C0">
        <w:rPr>
          <w:rStyle w:val="FootnoteReference"/>
          <w:rFonts w:ascii="Arial" w:hAnsi="Arial" w:cs="Arial"/>
          <w:sz w:val="24"/>
          <w:szCs w:val="24"/>
        </w:rPr>
        <w:footnoteReference w:id="8"/>
      </w:r>
    </w:p>
    <w:p w14:paraId="362B97D8" w14:textId="77777777" w:rsidR="00F44349" w:rsidRDefault="00F44349" w:rsidP="004B16E8">
      <w:pPr>
        <w:pStyle w:val="ListParagraph"/>
        <w:spacing w:line="480" w:lineRule="auto"/>
        <w:ind w:left="0"/>
        <w:jc w:val="both"/>
        <w:rPr>
          <w:rFonts w:ascii="Arial" w:hAnsi="Arial" w:cs="Arial"/>
          <w:b/>
          <w:sz w:val="24"/>
          <w:szCs w:val="24"/>
        </w:rPr>
      </w:pPr>
    </w:p>
    <w:p w14:paraId="416D0931" w14:textId="1BB24AB5" w:rsidR="00A23C22" w:rsidRPr="004B16E8" w:rsidRDefault="00A23C22" w:rsidP="004B16E8">
      <w:pPr>
        <w:pStyle w:val="ListParagraph"/>
        <w:spacing w:line="480" w:lineRule="auto"/>
        <w:ind w:left="0"/>
        <w:jc w:val="both"/>
      </w:pPr>
      <w:r>
        <w:rPr>
          <w:rFonts w:ascii="Arial" w:hAnsi="Arial" w:cs="Arial"/>
          <w:b/>
          <w:sz w:val="24"/>
          <w:szCs w:val="24"/>
        </w:rPr>
        <w:t>Principal Submissions on behalf of the Respondent</w:t>
      </w:r>
      <w:r w:rsidR="001F679A">
        <w:rPr>
          <w:rFonts w:ascii="Arial" w:hAnsi="Arial" w:cs="Arial"/>
          <w:b/>
          <w:sz w:val="24"/>
          <w:szCs w:val="24"/>
        </w:rPr>
        <w:t>s</w:t>
      </w:r>
    </w:p>
    <w:p w14:paraId="0F0680D5" w14:textId="56F66F2E" w:rsidR="004B16E8" w:rsidRPr="004B16E8" w:rsidRDefault="00C83C71" w:rsidP="00C83C71">
      <w:pPr>
        <w:tabs>
          <w:tab w:val="left" w:pos="567"/>
        </w:tabs>
        <w:spacing w:line="480" w:lineRule="auto"/>
        <w:jc w:val="both"/>
      </w:pPr>
      <w:r w:rsidRPr="004B16E8">
        <w:rPr>
          <w:rFonts w:ascii="Arial" w:hAnsi="Arial" w:cs="Arial"/>
          <w:sz w:val="24"/>
          <w:lang w:val="en-ZA"/>
        </w:rPr>
        <w:t xml:space="preserve">[9]     </w:t>
      </w:r>
      <w:r w:rsidRPr="004B16E8">
        <w:rPr>
          <w:rFonts w:ascii="Arial" w:hAnsi="Arial" w:cs="Arial"/>
          <w:sz w:val="24"/>
          <w:lang w:val="en-ZA"/>
        </w:rPr>
        <w:tab/>
      </w:r>
      <w:r w:rsidR="004B16E8" w:rsidRPr="00C83C71">
        <w:rPr>
          <w:rFonts w:ascii="Arial" w:hAnsi="Arial" w:cs="Arial"/>
          <w:sz w:val="24"/>
          <w:szCs w:val="24"/>
        </w:rPr>
        <w:t xml:space="preserve">The Respondent raised a number of points </w:t>
      </w:r>
      <w:r w:rsidR="004B16E8" w:rsidRPr="00C83C71">
        <w:rPr>
          <w:rFonts w:ascii="Arial" w:hAnsi="Arial" w:cs="Arial"/>
          <w:i/>
          <w:sz w:val="24"/>
          <w:szCs w:val="24"/>
        </w:rPr>
        <w:t xml:space="preserve">in </w:t>
      </w:r>
      <w:proofErr w:type="spellStart"/>
      <w:r w:rsidR="004B16E8" w:rsidRPr="00C83C71">
        <w:rPr>
          <w:rFonts w:ascii="Arial" w:hAnsi="Arial" w:cs="Arial"/>
          <w:i/>
          <w:sz w:val="24"/>
          <w:szCs w:val="24"/>
        </w:rPr>
        <w:t>limine</w:t>
      </w:r>
      <w:proofErr w:type="spellEnd"/>
      <w:r w:rsidR="004B16E8" w:rsidRPr="00C83C71">
        <w:rPr>
          <w:rFonts w:ascii="Arial" w:hAnsi="Arial" w:cs="Arial"/>
          <w:sz w:val="24"/>
          <w:szCs w:val="24"/>
        </w:rPr>
        <w:t xml:space="preserve">, </w:t>
      </w:r>
      <w:r w:rsidR="00D0695B" w:rsidRPr="00C83C71">
        <w:rPr>
          <w:rFonts w:ascii="Arial" w:hAnsi="Arial" w:cs="Arial"/>
          <w:sz w:val="24"/>
          <w:szCs w:val="24"/>
        </w:rPr>
        <w:t>which included the following salient issues:</w:t>
      </w:r>
    </w:p>
    <w:p w14:paraId="078931AA" w14:textId="01DEC184" w:rsidR="004B16E8" w:rsidRPr="00C83C71" w:rsidRDefault="00C83C71" w:rsidP="00C83C71">
      <w:pPr>
        <w:spacing w:line="480" w:lineRule="auto"/>
        <w:ind w:left="1080" w:hanging="360"/>
        <w:jc w:val="both"/>
        <w:rPr>
          <w:rFonts w:ascii="Arial" w:hAnsi="Arial" w:cs="Arial"/>
          <w:sz w:val="24"/>
          <w:szCs w:val="24"/>
        </w:rPr>
      </w:pPr>
      <w:r>
        <w:rPr>
          <w:rFonts w:ascii="Arial" w:hAnsi="Arial" w:cs="Arial"/>
          <w:sz w:val="24"/>
          <w:szCs w:val="24"/>
          <w:lang w:val="en-ZA"/>
        </w:rPr>
        <w:t>(a)</w:t>
      </w:r>
      <w:r>
        <w:rPr>
          <w:rFonts w:ascii="Arial" w:hAnsi="Arial" w:cs="Arial"/>
          <w:sz w:val="24"/>
          <w:szCs w:val="24"/>
          <w:lang w:val="en-ZA"/>
        </w:rPr>
        <w:tab/>
      </w:r>
      <w:r w:rsidR="004B16E8" w:rsidRPr="00C83C71">
        <w:rPr>
          <w:rFonts w:ascii="Arial" w:hAnsi="Arial" w:cs="Arial"/>
          <w:sz w:val="24"/>
          <w:szCs w:val="24"/>
        </w:rPr>
        <w:t>The misjoinder of the First Respondent;</w:t>
      </w:r>
    </w:p>
    <w:p w14:paraId="354308C5" w14:textId="0826D108" w:rsidR="00D0695B" w:rsidRPr="00C83C71" w:rsidRDefault="00C83C71" w:rsidP="00C83C71">
      <w:pPr>
        <w:spacing w:line="480" w:lineRule="auto"/>
        <w:ind w:left="1080" w:hanging="360"/>
        <w:jc w:val="both"/>
        <w:rPr>
          <w:rFonts w:ascii="Arial" w:hAnsi="Arial" w:cs="Arial"/>
          <w:sz w:val="24"/>
          <w:szCs w:val="24"/>
        </w:rPr>
      </w:pPr>
      <w:r>
        <w:rPr>
          <w:rFonts w:ascii="Arial" w:hAnsi="Arial" w:cs="Arial"/>
          <w:sz w:val="24"/>
          <w:szCs w:val="24"/>
          <w:lang w:val="en-ZA"/>
        </w:rPr>
        <w:t>(b)</w:t>
      </w:r>
      <w:r>
        <w:rPr>
          <w:rFonts w:ascii="Arial" w:hAnsi="Arial" w:cs="Arial"/>
          <w:sz w:val="24"/>
          <w:szCs w:val="24"/>
          <w:lang w:val="en-ZA"/>
        </w:rPr>
        <w:tab/>
      </w:r>
      <w:r w:rsidR="004B16E8" w:rsidRPr="00C83C71">
        <w:rPr>
          <w:rFonts w:ascii="Arial" w:hAnsi="Arial" w:cs="Arial"/>
          <w:i/>
          <w:sz w:val="24"/>
          <w:szCs w:val="24"/>
        </w:rPr>
        <w:t>Res judicata</w:t>
      </w:r>
      <w:r w:rsidR="004B16E8" w:rsidRPr="00C83C71">
        <w:rPr>
          <w:rFonts w:ascii="Arial" w:hAnsi="Arial" w:cs="Arial"/>
          <w:sz w:val="24"/>
          <w:szCs w:val="24"/>
        </w:rPr>
        <w:t xml:space="preserve"> and </w:t>
      </w:r>
    </w:p>
    <w:p w14:paraId="67B44861" w14:textId="43DAA2E3" w:rsidR="004B16E8" w:rsidRPr="00C83C71" w:rsidRDefault="00C83C71" w:rsidP="00C83C71">
      <w:pPr>
        <w:spacing w:line="480" w:lineRule="auto"/>
        <w:ind w:left="1080" w:hanging="360"/>
        <w:jc w:val="both"/>
        <w:rPr>
          <w:rFonts w:ascii="Arial" w:hAnsi="Arial" w:cs="Arial"/>
          <w:sz w:val="24"/>
          <w:szCs w:val="24"/>
        </w:rPr>
      </w:pPr>
      <w:r>
        <w:rPr>
          <w:rFonts w:ascii="Arial" w:hAnsi="Arial" w:cs="Arial"/>
          <w:sz w:val="24"/>
          <w:szCs w:val="24"/>
          <w:lang w:val="en-ZA"/>
        </w:rPr>
        <w:t>(c)</w:t>
      </w:r>
      <w:r>
        <w:rPr>
          <w:rFonts w:ascii="Arial" w:hAnsi="Arial" w:cs="Arial"/>
          <w:sz w:val="24"/>
          <w:szCs w:val="24"/>
          <w:lang w:val="en-ZA"/>
        </w:rPr>
        <w:tab/>
      </w:r>
      <w:r w:rsidR="00D0695B" w:rsidRPr="00C83C71">
        <w:rPr>
          <w:rFonts w:ascii="Arial" w:hAnsi="Arial" w:cs="Arial"/>
          <w:sz w:val="24"/>
          <w:szCs w:val="24"/>
        </w:rPr>
        <w:t>improper relief being sought.</w:t>
      </w:r>
    </w:p>
    <w:p w14:paraId="0A4990C7" w14:textId="77777777" w:rsidR="004B16E8" w:rsidRDefault="004B16E8" w:rsidP="00D0695B">
      <w:pPr>
        <w:pStyle w:val="ListParagraph"/>
        <w:spacing w:line="480" w:lineRule="auto"/>
        <w:ind w:left="1080"/>
        <w:jc w:val="both"/>
        <w:rPr>
          <w:rFonts w:ascii="Arial" w:hAnsi="Arial" w:cs="Arial"/>
          <w:sz w:val="24"/>
          <w:szCs w:val="24"/>
        </w:rPr>
      </w:pPr>
    </w:p>
    <w:p w14:paraId="4343C61C" w14:textId="77777777" w:rsidR="00D0695B" w:rsidRPr="00172F3E" w:rsidRDefault="00172F3E" w:rsidP="00172F3E">
      <w:pPr>
        <w:pStyle w:val="ListParagraph"/>
        <w:spacing w:line="480" w:lineRule="auto"/>
        <w:ind w:left="0"/>
        <w:jc w:val="both"/>
      </w:pPr>
      <w:r>
        <w:rPr>
          <w:rFonts w:ascii="Arial" w:hAnsi="Arial" w:cs="Arial"/>
          <w:b/>
          <w:sz w:val="24"/>
          <w:szCs w:val="24"/>
        </w:rPr>
        <w:lastRenderedPageBreak/>
        <w:t>Misjoinder of the First Respondent</w:t>
      </w:r>
      <w:r w:rsidR="00E50AA0">
        <w:rPr>
          <w:rFonts w:ascii="Arial" w:hAnsi="Arial" w:cs="Arial"/>
          <w:b/>
          <w:sz w:val="24"/>
          <w:szCs w:val="24"/>
        </w:rPr>
        <w:t xml:space="preserve"> and improper relief</w:t>
      </w:r>
    </w:p>
    <w:p w14:paraId="1A13F345" w14:textId="7E2AFAEB" w:rsidR="00857998" w:rsidRPr="00857998" w:rsidRDefault="00C83C71" w:rsidP="00C83C71">
      <w:pPr>
        <w:tabs>
          <w:tab w:val="left" w:pos="567"/>
        </w:tabs>
        <w:spacing w:line="480" w:lineRule="auto"/>
        <w:jc w:val="both"/>
      </w:pPr>
      <w:r w:rsidRPr="00857998">
        <w:rPr>
          <w:rFonts w:ascii="Arial" w:hAnsi="Arial" w:cs="Arial"/>
          <w:sz w:val="24"/>
          <w:lang w:val="en-ZA"/>
        </w:rPr>
        <w:t xml:space="preserve">[10]     </w:t>
      </w:r>
      <w:r w:rsidRPr="00857998">
        <w:rPr>
          <w:rFonts w:ascii="Arial" w:hAnsi="Arial" w:cs="Arial"/>
          <w:sz w:val="24"/>
          <w:lang w:val="en-ZA"/>
        </w:rPr>
        <w:tab/>
      </w:r>
      <w:r w:rsidR="00FF2ECF" w:rsidRPr="00C83C71">
        <w:rPr>
          <w:rFonts w:ascii="Arial" w:hAnsi="Arial" w:cs="Arial"/>
          <w:sz w:val="24"/>
          <w:szCs w:val="24"/>
        </w:rPr>
        <w:t xml:space="preserve">The Applicant seeks relief against the First Respondent in his personal capacity. </w:t>
      </w:r>
      <w:r w:rsidR="00857998" w:rsidRPr="00C83C71">
        <w:rPr>
          <w:rFonts w:ascii="Arial" w:hAnsi="Arial" w:cs="Arial"/>
          <w:sz w:val="24"/>
          <w:szCs w:val="24"/>
        </w:rPr>
        <w:t>It was contended that there is no basis to warrant interdictory relief against the First Respondent in his personal capacity</w:t>
      </w:r>
      <w:r w:rsidR="00AC7E25" w:rsidRPr="00C83C71">
        <w:rPr>
          <w:rFonts w:ascii="Arial" w:hAnsi="Arial" w:cs="Arial"/>
          <w:sz w:val="24"/>
          <w:szCs w:val="24"/>
        </w:rPr>
        <w:t xml:space="preserve">. Additionally, it was </w:t>
      </w:r>
      <w:r w:rsidR="00857998" w:rsidRPr="00C83C71">
        <w:rPr>
          <w:rFonts w:ascii="Arial" w:hAnsi="Arial" w:cs="Arial"/>
          <w:sz w:val="24"/>
          <w:szCs w:val="24"/>
        </w:rPr>
        <w:t xml:space="preserve">submitted that same was done in order to frighten and intimidate the First Respondent. </w:t>
      </w:r>
    </w:p>
    <w:p w14:paraId="0A686268" w14:textId="77777777" w:rsidR="00857998" w:rsidRPr="00857998" w:rsidRDefault="00857998" w:rsidP="00857998">
      <w:pPr>
        <w:pStyle w:val="ListParagraph"/>
        <w:spacing w:line="480" w:lineRule="auto"/>
        <w:ind w:left="0"/>
        <w:jc w:val="both"/>
      </w:pPr>
    </w:p>
    <w:p w14:paraId="6193D611" w14:textId="41AB67DA" w:rsidR="00857998" w:rsidRPr="00FF2ECF" w:rsidRDefault="00C83C71" w:rsidP="00C83C71">
      <w:pPr>
        <w:tabs>
          <w:tab w:val="left" w:pos="567"/>
        </w:tabs>
        <w:spacing w:line="480" w:lineRule="auto"/>
        <w:jc w:val="both"/>
      </w:pPr>
      <w:r w:rsidRPr="00FF2ECF">
        <w:rPr>
          <w:rFonts w:ascii="Arial" w:hAnsi="Arial" w:cs="Arial"/>
          <w:sz w:val="24"/>
          <w:lang w:val="en-ZA"/>
        </w:rPr>
        <w:t xml:space="preserve">[11]     </w:t>
      </w:r>
      <w:r w:rsidRPr="00FF2ECF">
        <w:rPr>
          <w:rFonts w:ascii="Arial" w:hAnsi="Arial" w:cs="Arial"/>
          <w:sz w:val="24"/>
          <w:lang w:val="en-ZA"/>
        </w:rPr>
        <w:tab/>
      </w:r>
      <w:r w:rsidR="00AC7E25" w:rsidRPr="00C83C71">
        <w:rPr>
          <w:rFonts w:ascii="Arial" w:hAnsi="Arial" w:cs="Arial"/>
          <w:sz w:val="24"/>
          <w:szCs w:val="24"/>
        </w:rPr>
        <w:t>Furthermore</w:t>
      </w:r>
      <w:r w:rsidR="00857998" w:rsidRPr="00C83C71">
        <w:rPr>
          <w:rFonts w:ascii="Arial" w:hAnsi="Arial" w:cs="Arial"/>
          <w:sz w:val="24"/>
          <w:szCs w:val="24"/>
        </w:rPr>
        <w:t>, it is conten</w:t>
      </w:r>
      <w:r w:rsidR="00F231E6" w:rsidRPr="00C83C71">
        <w:rPr>
          <w:rFonts w:ascii="Arial" w:hAnsi="Arial" w:cs="Arial"/>
          <w:sz w:val="24"/>
          <w:szCs w:val="24"/>
        </w:rPr>
        <w:t>d</w:t>
      </w:r>
      <w:r w:rsidR="00857998" w:rsidRPr="00C83C71">
        <w:rPr>
          <w:rFonts w:ascii="Arial" w:hAnsi="Arial" w:cs="Arial"/>
          <w:sz w:val="24"/>
          <w:szCs w:val="24"/>
        </w:rPr>
        <w:t>ed that the joinder of the First Respondent is patently incorrect as the involvement of the First Respondent is limited to:</w:t>
      </w:r>
    </w:p>
    <w:p w14:paraId="7F884368" w14:textId="0B0110D9" w:rsidR="00857998" w:rsidRPr="00944772" w:rsidRDefault="00C83C71" w:rsidP="00C83C71">
      <w:pPr>
        <w:spacing w:line="480" w:lineRule="auto"/>
        <w:ind w:left="720" w:hanging="360"/>
        <w:jc w:val="both"/>
      </w:pPr>
      <w:r w:rsidRPr="00944772">
        <w:rPr>
          <w:rFonts w:ascii="Arial" w:hAnsi="Arial" w:cs="Arial"/>
          <w:sz w:val="24"/>
          <w:lang w:val="en-ZA"/>
        </w:rPr>
        <w:t>(a)</w:t>
      </w:r>
      <w:r w:rsidRPr="00944772">
        <w:rPr>
          <w:rFonts w:ascii="Arial" w:hAnsi="Arial" w:cs="Arial"/>
          <w:sz w:val="24"/>
          <w:lang w:val="en-ZA"/>
        </w:rPr>
        <w:tab/>
      </w:r>
      <w:r w:rsidR="00857998" w:rsidRPr="00C83C71">
        <w:rPr>
          <w:rFonts w:ascii="Arial" w:hAnsi="Arial" w:cs="Arial"/>
          <w:sz w:val="24"/>
          <w:szCs w:val="24"/>
        </w:rPr>
        <w:t>His representative capacity as the Executor</w:t>
      </w:r>
      <w:r w:rsidR="00F231E6" w:rsidRPr="00C83C71">
        <w:rPr>
          <w:rFonts w:ascii="Arial" w:hAnsi="Arial" w:cs="Arial"/>
          <w:sz w:val="24"/>
          <w:szCs w:val="24"/>
        </w:rPr>
        <w:t>,</w:t>
      </w:r>
      <w:r w:rsidR="00857998" w:rsidRPr="00C83C71">
        <w:rPr>
          <w:rFonts w:ascii="Arial" w:hAnsi="Arial" w:cs="Arial"/>
          <w:sz w:val="24"/>
          <w:szCs w:val="24"/>
        </w:rPr>
        <w:t xml:space="preserve"> as per the ci</w:t>
      </w:r>
      <w:r w:rsidR="00FD5843" w:rsidRPr="00C83C71">
        <w:rPr>
          <w:rFonts w:ascii="Arial" w:hAnsi="Arial" w:cs="Arial"/>
          <w:sz w:val="24"/>
          <w:szCs w:val="24"/>
        </w:rPr>
        <w:t>tation of the Second Respondent and</w:t>
      </w:r>
    </w:p>
    <w:p w14:paraId="298EE8F0" w14:textId="7D6D4A8C" w:rsidR="00857998" w:rsidRPr="007748EB" w:rsidRDefault="00C83C71" w:rsidP="00C83C71">
      <w:pPr>
        <w:spacing w:line="480" w:lineRule="auto"/>
        <w:ind w:left="720" w:hanging="360"/>
        <w:jc w:val="both"/>
      </w:pPr>
      <w:r w:rsidRPr="007748EB">
        <w:rPr>
          <w:rFonts w:ascii="Arial" w:hAnsi="Arial" w:cs="Arial"/>
          <w:sz w:val="24"/>
          <w:lang w:val="en-ZA"/>
        </w:rPr>
        <w:t>(b)</w:t>
      </w:r>
      <w:r w:rsidRPr="007748EB">
        <w:rPr>
          <w:rFonts w:ascii="Arial" w:hAnsi="Arial" w:cs="Arial"/>
          <w:sz w:val="24"/>
          <w:lang w:val="en-ZA"/>
        </w:rPr>
        <w:tab/>
      </w:r>
      <w:r w:rsidR="00857998" w:rsidRPr="00C83C71">
        <w:rPr>
          <w:rFonts w:ascii="Arial" w:hAnsi="Arial" w:cs="Arial"/>
          <w:sz w:val="24"/>
          <w:szCs w:val="24"/>
        </w:rPr>
        <w:t xml:space="preserve">The Applicant under the application under case number 16935/2022 which was </w:t>
      </w:r>
      <w:proofErr w:type="spellStart"/>
      <w:r w:rsidR="00857998" w:rsidRPr="00C83C71">
        <w:rPr>
          <w:rFonts w:ascii="Arial" w:hAnsi="Arial" w:cs="Arial"/>
          <w:sz w:val="24"/>
          <w:szCs w:val="24"/>
        </w:rPr>
        <w:t>finalised</w:t>
      </w:r>
      <w:proofErr w:type="spellEnd"/>
      <w:r w:rsidR="00857998" w:rsidRPr="00C83C71">
        <w:rPr>
          <w:rFonts w:ascii="Arial" w:hAnsi="Arial" w:cs="Arial"/>
          <w:sz w:val="24"/>
          <w:szCs w:val="24"/>
        </w:rPr>
        <w:t xml:space="preserve"> on 4 September 2023.</w:t>
      </w:r>
    </w:p>
    <w:p w14:paraId="6A8B1846" w14:textId="77777777" w:rsidR="007748EB" w:rsidRPr="00FF2ECF" w:rsidRDefault="007748EB" w:rsidP="007748EB">
      <w:pPr>
        <w:pStyle w:val="ListParagraph"/>
        <w:spacing w:line="480" w:lineRule="auto"/>
        <w:jc w:val="both"/>
      </w:pPr>
    </w:p>
    <w:p w14:paraId="752F3481" w14:textId="055E3B56" w:rsidR="008E2724" w:rsidRPr="00AA15E0" w:rsidRDefault="00C83C71" w:rsidP="00C83C71">
      <w:pPr>
        <w:tabs>
          <w:tab w:val="left" w:pos="567"/>
        </w:tabs>
        <w:spacing w:line="480" w:lineRule="auto"/>
        <w:jc w:val="both"/>
      </w:pPr>
      <w:r w:rsidRPr="00AA15E0">
        <w:rPr>
          <w:rFonts w:ascii="Arial" w:hAnsi="Arial" w:cs="Arial"/>
          <w:sz w:val="24"/>
          <w:lang w:val="en-ZA"/>
        </w:rPr>
        <w:t xml:space="preserve">[12]     </w:t>
      </w:r>
      <w:r w:rsidRPr="00AA15E0">
        <w:rPr>
          <w:rFonts w:ascii="Arial" w:hAnsi="Arial" w:cs="Arial"/>
          <w:sz w:val="24"/>
          <w:lang w:val="en-ZA"/>
        </w:rPr>
        <w:tab/>
      </w:r>
      <w:r w:rsidR="007748EB" w:rsidRPr="00C83C71">
        <w:rPr>
          <w:rFonts w:ascii="Arial" w:hAnsi="Arial" w:cs="Arial"/>
          <w:sz w:val="24"/>
          <w:szCs w:val="24"/>
        </w:rPr>
        <w:t>The question to be answered is whether the Applicant makes out a case on the papers for any relief against the First Respondent.</w:t>
      </w:r>
      <w:r w:rsidR="008E2724" w:rsidRPr="00C83C71">
        <w:rPr>
          <w:rFonts w:ascii="Arial" w:hAnsi="Arial" w:cs="Arial"/>
          <w:sz w:val="24"/>
          <w:szCs w:val="24"/>
        </w:rPr>
        <w:t xml:space="preserve"> It bears mentioning that the second offer to purchase, which is attached to the</w:t>
      </w:r>
      <w:r w:rsidR="00A05BE7" w:rsidRPr="00C83C71">
        <w:rPr>
          <w:rFonts w:ascii="Arial" w:hAnsi="Arial" w:cs="Arial"/>
          <w:sz w:val="24"/>
          <w:szCs w:val="24"/>
        </w:rPr>
        <w:t xml:space="preserve"> First and Second Respondent’s o</w:t>
      </w:r>
      <w:r w:rsidR="008E2724" w:rsidRPr="00C83C71">
        <w:rPr>
          <w:rFonts w:ascii="Arial" w:hAnsi="Arial" w:cs="Arial"/>
          <w:sz w:val="24"/>
          <w:szCs w:val="24"/>
        </w:rPr>
        <w:t xml:space="preserve">pposing papers, the sellers and purchasers are described as: </w:t>
      </w:r>
    </w:p>
    <w:p w14:paraId="2EFE3B77" w14:textId="77777777" w:rsidR="008E2724" w:rsidRDefault="008E2724" w:rsidP="008E2724">
      <w:pPr>
        <w:pStyle w:val="ListParagraph"/>
      </w:pPr>
    </w:p>
    <w:p w14:paraId="6A3C0EC8" w14:textId="77777777" w:rsidR="008E2724" w:rsidRDefault="008E2724" w:rsidP="008E2724">
      <w:pPr>
        <w:pStyle w:val="ListParagraph"/>
        <w:spacing w:line="360" w:lineRule="auto"/>
        <w:ind w:right="720"/>
        <w:jc w:val="both"/>
        <w:rPr>
          <w:rFonts w:ascii="Arial" w:hAnsi="Arial" w:cs="Arial"/>
          <w:i/>
        </w:rPr>
      </w:pPr>
      <w:r>
        <w:rPr>
          <w:rFonts w:ascii="Arial" w:hAnsi="Arial" w:cs="Arial"/>
          <w:i/>
        </w:rPr>
        <w:t>‘2</w:t>
      </w:r>
      <w:r>
        <w:rPr>
          <w:rFonts w:ascii="Arial" w:hAnsi="Arial" w:cs="Arial"/>
          <w:i/>
        </w:rPr>
        <w:tab/>
      </w:r>
      <w:r w:rsidRPr="00AA15E0">
        <w:rPr>
          <w:rFonts w:ascii="Arial" w:hAnsi="Arial" w:cs="Arial"/>
          <w:b/>
          <w:i/>
        </w:rPr>
        <w:t>The Seller</w:t>
      </w:r>
      <w:r>
        <w:rPr>
          <w:rFonts w:ascii="Arial" w:hAnsi="Arial" w:cs="Arial"/>
          <w:b/>
          <w:i/>
        </w:rPr>
        <w:t xml:space="preserve"> …</w:t>
      </w:r>
    </w:p>
    <w:p w14:paraId="1D100499" w14:textId="22A6852C" w:rsidR="008E2724" w:rsidRDefault="00E33806" w:rsidP="008E2724">
      <w:pPr>
        <w:pStyle w:val="ListParagraph"/>
        <w:spacing w:line="360" w:lineRule="auto"/>
        <w:ind w:right="720"/>
        <w:jc w:val="both"/>
        <w:rPr>
          <w:rFonts w:ascii="Arial" w:hAnsi="Arial" w:cs="Arial"/>
          <w:i/>
        </w:rPr>
      </w:pPr>
      <w:r>
        <w:rPr>
          <w:rFonts w:ascii="Arial" w:hAnsi="Arial" w:cs="Arial"/>
          <w:i/>
        </w:rPr>
        <w:t>2.1</w:t>
      </w:r>
      <w:r>
        <w:rPr>
          <w:rFonts w:ascii="Arial" w:hAnsi="Arial" w:cs="Arial"/>
          <w:i/>
        </w:rPr>
        <w:tab/>
        <w:t xml:space="preserve"> </w:t>
      </w:r>
      <w:proofErr w:type="gramStart"/>
      <w:r>
        <w:rPr>
          <w:rFonts w:ascii="Arial" w:hAnsi="Arial" w:cs="Arial"/>
          <w:i/>
        </w:rPr>
        <w:t>A</w:t>
      </w:r>
      <w:r w:rsidRPr="00E33806">
        <w:rPr>
          <w:rFonts w:ascii="Arial" w:hAnsi="Arial" w:cs="Arial"/>
          <w:i/>
          <w:sz w:val="24"/>
          <w:szCs w:val="24"/>
        </w:rPr>
        <w:t>[</w:t>
      </w:r>
      <w:proofErr w:type="gramEnd"/>
      <w:r w:rsidRPr="00E33806">
        <w:rPr>
          <w:rFonts w:ascii="Arial" w:hAnsi="Arial" w:cs="Arial"/>
          <w:i/>
          <w:sz w:val="24"/>
          <w:szCs w:val="24"/>
        </w:rPr>
        <w:t>…]</w:t>
      </w:r>
      <w:r w:rsidR="008E2724">
        <w:rPr>
          <w:rFonts w:ascii="Arial" w:hAnsi="Arial" w:cs="Arial"/>
          <w:i/>
        </w:rPr>
        <w:t xml:space="preserve"> S</w:t>
      </w:r>
      <w:r w:rsidRPr="00E33806">
        <w:rPr>
          <w:rFonts w:ascii="Arial" w:hAnsi="Arial" w:cs="Arial"/>
          <w:i/>
          <w:sz w:val="24"/>
          <w:szCs w:val="24"/>
        </w:rPr>
        <w:t>[…]</w:t>
      </w:r>
      <w:r w:rsidR="008E2724">
        <w:rPr>
          <w:rFonts w:ascii="Arial" w:hAnsi="Arial" w:cs="Arial"/>
          <w:i/>
        </w:rPr>
        <w:t xml:space="preserve"> N.O. in his capacity as the duly appointed </w:t>
      </w:r>
      <w:r w:rsidR="008E2724">
        <w:rPr>
          <w:rFonts w:ascii="Arial" w:hAnsi="Arial" w:cs="Arial"/>
          <w:i/>
        </w:rPr>
        <w:tab/>
        <w:t>executor in the estate of the late E</w:t>
      </w:r>
      <w:r w:rsidRPr="00E33806">
        <w:rPr>
          <w:rFonts w:ascii="Arial" w:hAnsi="Arial" w:cs="Arial"/>
          <w:i/>
          <w:sz w:val="24"/>
          <w:szCs w:val="24"/>
        </w:rPr>
        <w:t>[…]</w:t>
      </w:r>
      <w:r w:rsidR="008E2724">
        <w:rPr>
          <w:rFonts w:ascii="Arial" w:hAnsi="Arial" w:cs="Arial"/>
          <w:i/>
        </w:rPr>
        <w:t xml:space="preserve"> S</w:t>
      </w:r>
      <w:r w:rsidRPr="00E33806">
        <w:rPr>
          <w:rFonts w:ascii="Arial" w:hAnsi="Arial" w:cs="Arial"/>
          <w:i/>
          <w:sz w:val="24"/>
          <w:szCs w:val="24"/>
        </w:rPr>
        <w:t>[…]</w:t>
      </w:r>
      <w:r w:rsidR="008E2724">
        <w:rPr>
          <w:rFonts w:ascii="Arial" w:hAnsi="Arial" w:cs="Arial"/>
          <w:i/>
        </w:rPr>
        <w:t xml:space="preserve"> … and A</w:t>
      </w:r>
      <w:r w:rsidRPr="00E33806">
        <w:rPr>
          <w:rFonts w:ascii="Arial" w:hAnsi="Arial" w:cs="Arial"/>
          <w:i/>
          <w:sz w:val="24"/>
          <w:szCs w:val="24"/>
        </w:rPr>
        <w:t>[…]</w:t>
      </w:r>
      <w:r w:rsidR="008E2724">
        <w:rPr>
          <w:rFonts w:ascii="Arial" w:hAnsi="Arial" w:cs="Arial"/>
          <w:i/>
        </w:rPr>
        <w:t xml:space="preserve"> L</w:t>
      </w:r>
      <w:r w:rsidRPr="00E33806">
        <w:rPr>
          <w:rFonts w:ascii="Arial" w:hAnsi="Arial" w:cs="Arial"/>
          <w:i/>
          <w:sz w:val="24"/>
          <w:szCs w:val="24"/>
        </w:rPr>
        <w:t>[…]</w:t>
      </w:r>
      <w:r w:rsidR="008E2724">
        <w:rPr>
          <w:rFonts w:ascii="Arial" w:hAnsi="Arial" w:cs="Arial"/>
          <w:i/>
        </w:rPr>
        <w:t xml:space="preserve"> ….’</w:t>
      </w:r>
    </w:p>
    <w:p w14:paraId="0A8D1151" w14:textId="23E7EA9B" w:rsidR="008E2724" w:rsidRDefault="008E2724" w:rsidP="008E2724">
      <w:pPr>
        <w:pStyle w:val="ListParagraph"/>
        <w:spacing w:line="360" w:lineRule="auto"/>
        <w:ind w:right="720"/>
        <w:jc w:val="both"/>
        <w:rPr>
          <w:rFonts w:ascii="Arial" w:hAnsi="Arial" w:cs="Arial"/>
          <w:i/>
        </w:rPr>
      </w:pPr>
      <w:r>
        <w:rPr>
          <w:rFonts w:ascii="Arial" w:hAnsi="Arial" w:cs="Arial"/>
          <w:i/>
        </w:rPr>
        <w:t>2.2</w:t>
      </w:r>
      <w:r>
        <w:rPr>
          <w:rFonts w:ascii="Arial" w:hAnsi="Arial" w:cs="Arial"/>
          <w:i/>
        </w:rPr>
        <w:tab/>
        <w:t xml:space="preserve">Address for acceptance of notices and post for </w:t>
      </w:r>
      <w:proofErr w:type="gramStart"/>
      <w:r>
        <w:rPr>
          <w:rFonts w:ascii="Arial" w:hAnsi="Arial" w:cs="Arial"/>
          <w:i/>
        </w:rPr>
        <w:t>A</w:t>
      </w:r>
      <w:r w:rsidR="00E33806" w:rsidRPr="00E33806">
        <w:rPr>
          <w:rFonts w:ascii="Arial" w:hAnsi="Arial" w:cs="Arial"/>
          <w:i/>
          <w:sz w:val="24"/>
          <w:szCs w:val="24"/>
        </w:rPr>
        <w:t>[</w:t>
      </w:r>
      <w:proofErr w:type="gramEnd"/>
      <w:r w:rsidR="00E33806" w:rsidRPr="00E33806">
        <w:rPr>
          <w:rFonts w:ascii="Arial" w:hAnsi="Arial" w:cs="Arial"/>
          <w:i/>
          <w:sz w:val="24"/>
          <w:szCs w:val="24"/>
        </w:rPr>
        <w:t>…]</w:t>
      </w:r>
      <w:r>
        <w:rPr>
          <w:rFonts w:ascii="Arial" w:hAnsi="Arial" w:cs="Arial"/>
          <w:i/>
        </w:rPr>
        <w:t xml:space="preserve"> S</w:t>
      </w:r>
      <w:r w:rsidR="00E33806" w:rsidRPr="00E33806">
        <w:rPr>
          <w:rFonts w:ascii="Arial" w:hAnsi="Arial" w:cs="Arial"/>
          <w:i/>
          <w:sz w:val="24"/>
          <w:szCs w:val="24"/>
        </w:rPr>
        <w:t>[…]</w:t>
      </w:r>
      <w:r>
        <w:rPr>
          <w:rFonts w:ascii="Arial" w:hAnsi="Arial" w:cs="Arial"/>
          <w:i/>
        </w:rPr>
        <w:t>: …</w:t>
      </w:r>
    </w:p>
    <w:p w14:paraId="60DDF896" w14:textId="77777777" w:rsidR="008E2724" w:rsidRDefault="008E2724" w:rsidP="008E2724">
      <w:pPr>
        <w:pStyle w:val="ListParagraph"/>
        <w:spacing w:line="360" w:lineRule="auto"/>
        <w:ind w:right="720"/>
        <w:jc w:val="both"/>
        <w:rPr>
          <w:rFonts w:ascii="Arial" w:hAnsi="Arial" w:cs="Arial"/>
          <w:i/>
        </w:rPr>
      </w:pPr>
      <w:r>
        <w:rPr>
          <w:rFonts w:ascii="Arial" w:hAnsi="Arial" w:cs="Arial"/>
          <w:i/>
        </w:rPr>
        <w:t>….</w:t>
      </w:r>
    </w:p>
    <w:p w14:paraId="3E967A1E" w14:textId="77777777" w:rsidR="008E2724" w:rsidRDefault="008E2724" w:rsidP="008E2724">
      <w:pPr>
        <w:pStyle w:val="ListParagraph"/>
        <w:spacing w:line="360" w:lineRule="auto"/>
        <w:ind w:right="720"/>
        <w:jc w:val="both"/>
        <w:rPr>
          <w:rFonts w:ascii="Arial" w:hAnsi="Arial" w:cs="Arial"/>
          <w:b/>
          <w:i/>
        </w:rPr>
      </w:pPr>
      <w:r>
        <w:rPr>
          <w:rFonts w:ascii="Arial" w:hAnsi="Arial" w:cs="Arial"/>
          <w:i/>
        </w:rPr>
        <w:t>3</w:t>
      </w:r>
      <w:r>
        <w:rPr>
          <w:rFonts w:ascii="Arial" w:hAnsi="Arial" w:cs="Arial"/>
          <w:i/>
        </w:rPr>
        <w:tab/>
      </w:r>
      <w:r>
        <w:rPr>
          <w:rFonts w:ascii="Arial" w:hAnsi="Arial" w:cs="Arial"/>
          <w:b/>
          <w:i/>
        </w:rPr>
        <w:t>The Purchaser …</w:t>
      </w:r>
    </w:p>
    <w:p w14:paraId="2DD7B2C2" w14:textId="623E5647" w:rsidR="008E2724" w:rsidRPr="00290FF9" w:rsidRDefault="008E2724" w:rsidP="008E2724">
      <w:pPr>
        <w:pStyle w:val="ListParagraph"/>
        <w:spacing w:line="360" w:lineRule="auto"/>
        <w:ind w:right="720"/>
        <w:jc w:val="both"/>
        <w:rPr>
          <w:rFonts w:ascii="Arial" w:hAnsi="Arial" w:cs="Arial"/>
          <w:i/>
        </w:rPr>
      </w:pPr>
      <w:r>
        <w:rPr>
          <w:rFonts w:ascii="Arial" w:hAnsi="Arial" w:cs="Arial"/>
          <w:i/>
        </w:rPr>
        <w:lastRenderedPageBreak/>
        <w:t>3.1</w:t>
      </w:r>
      <w:r>
        <w:rPr>
          <w:rFonts w:ascii="Arial" w:hAnsi="Arial" w:cs="Arial"/>
          <w:i/>
        </w:rPr>
        <w:tab/>
        <w:t xml:space="preserve">Full names: </w:t>
      </w:r>
      <w:r w:rsidRPr="00290FF9">
        <w:rPr>
          <w:rFonts w:ascii="Arial" w:hAnsi="Arial" w:cs="Arial"/>
          <w:i/>
          <w:u w:val="single"/>
        </w:rPr>
        <w:t>A</w:t>
      </w:r>
      <w:r w:rsidR="00E94C15" w:rsidRPr="00E94C15">
        <w:rPr>
          <w:rFonts w:ascii="Arial" w:hAnsi="Arial" w:cs="Arial"/>
          <w:i/>
          <w:sz w:val="24"/>
          <w:szCs w:val="24"/>
          <w:u w:val="single"/>
        </w:rPr>
        <w:t>[…]</w:t>
      </w:r>
      <w:r w:rsidRPr="00290FF9">
        <w:rPr>
          <w:rFonts w:ascii="Arial" w:hAnsi="Arial" w:cs="Arial"/>
          <w:i/>
          <w:u w:val="single"/>
        </w:rPr>
        <w:t xml:space="preserve"> S</w:t>
      </w:r>
      <w:r w:rsidR="00E94C15" w:rsidRPr="00E94C15">
        <w:rPr>
          <w:rFonts w:ascii="Arial" w:hAnsi="Arial" w:cs="Arial"/>
          <w:i/>
          <w:sz w:val="24"/>
          <w:szCs w:val="24"/>
          <w:u w:val="single"/>
        </w:rPr>
        <w:t>[…]</w:t>
      </w:r>
      <w:r>
        <w:rPr>
          <w:rFonts w:ascii="Arial" w:hAnsi="Arial" w:cs="Arial"/>
          <w:i/>
        </w:rPr>
        <w:t xml:space="preserve"> … (my emphasis)..’</w:t>
      </w:r>
      <w:r>
        <w:rPr>
          <w:rStyle w:val="FootnoteReference"/>
          <w:rFonts w:ascii="Arial" w:hAnsi="Arial" w:cs="Arial"/>
          <w:i/>
        </w:rPr>
        <w:footnoteReference w:id="9"/>
      </w:r>
    </w:p>
    <w:p w14:paraId="46F1787E" w14:textId="77777777" w:rsidR="008E2724" w:rsidRPr="004B16E8" w:rsidRDefault="008E2724" w:rsidP="008E2724">
      <w:pPr>
        <w:pStyle w:val="ListParagraph"/>
        <w:spacing w:line="480" w:lineRule="auto"/>
        <w:ind w:left="0"/>
        <w:jc w:val="both"/>
      </w:pPr>
    </w:p>
    <w:p w14:paraId="38A86692" w14:textId="69CCA009" w:rsidR="00FF2ECF" w:rsidRPr="007B0049" w:rsidRDefault="00C83C71" w:rsidP="00C83C71">
      <w:pPr>
        <w:tabs>
          <w:tab w:val="left" w:pos="567"/>
        </w:tabs>
        <w:spacing w:after="0" w:line="480" w:lineRule="auto"/>
        <w:jc w:val="both"/>
      </w:pPr>
      <w:r w:rsidRPr="007B0049">
        <w:rPr>
          <w:rFonts w:ascii="Arial" w:hAnsi="Arial" w:cs="Arial"/>
          <w:sz w:val="24"/>
          <w:lang w:val="en-ZA"/>
        </w:rPr>
        <w:t xml:space="preserve">[13]     </w:t>
      </w:r>
      <w:r w:rsidRPr="007B0049">
        <w:rPr>
          <w:rFonts w:ascii="Arial" w:hAnsi="Arial" w:cs="Arial"/>
          <w:sz w:val="24"/>
          <w:lang w:val="en-ZA"/>
        </w:rPr>
        <w:tab/>
      </w:r>
      <w:r w:rsidR="008E2724" w:rsidRPr="00C83C71">
        <w:rPr>
          <w:rFonts w:ascii="Arial" w:hAnsi="Arial" w:cs="Arial"/>
          <w:sz w:val="24"/>
          <w:szCs w:val="24"/>
        </w:rPr>
        <w:t xml:space="preserve">This essentially puts to rest the Respondents point </w:t>
      </w:r>
      <w:r w:rsidR="008E2724" w:rsidRPr="00C83C71">
        <w:rPr>
          <w:rFonts w:ascii="Arial" w:hAnsi="Arial" w:cs="Arial"/>
          <w:i/>
          <w:sz w:val="24"/>
          <w:szCs w:val="24"/>
        </w:rPr>
        <w:t xml:space="preserve">in </w:t>
      </w:r>
      <w:proofErr w:type="spellStart"/>
      <w:r w:rsidR="008E2724" w:rsidRPr="00C83C71">
        <w:rPr>
          <w:rFonts w:ascii="Arial" w:hAnsi="Arial" w:cs="Arial"/>
          <w:i/>
          <w:sz w:val="24"/>
          <w:szCs w:val="24"/>
        </w:rPr>
        <w:t>limine</w:t>
      </w:r>
      <w:proofErr w:type="spellEnd"/>
      <w:r w:rsidR="008E2724" w:rsidRPr="00C83C71">
        <w:rPr>
          <w:rFonts w:ascii="Arial" w:hAnsi="Arial" w:cs="Arial"/>
          <w:sz w:val="24"/>
          <w:szCs w:val="24"/>
        </w:rPr>
        <w:t xml:space="preserve"> pertaining to misjoinder. It is manifest that the First Respondent is a party with an interest. On the strength of this Offer to Purchase, the Respondents argument of misjoinder holds no merit. Even if I am wrong, it is uncontroverted that the First Respondent was the Applicant in the proceedings before </w:t>
      </w:r>
      <w:proofErr w:type="spellStart"/>
      <w:r w:rsidR="008E2724" w:rsidRPr="00C83C71">
        <w:rPr>
          <w:rFonts w:ascii="Arial" w:hAnsi="Arial" w:cs="Arial"/>
          <w:sz w:val="24"/>
          <w:szCs w:val="24"/>
        </w:rPr>
        <w:t>Dolamo</w:t>
      </w:r>
      <w:proofErr w:type="spellEnd"/>
      <w:r w:rsidR="008E2724" w:rsidRPr="00C83C71">
        <w:rPr>
          <w:rFonts w:ascii="Arial" w:hAnsi="Arial" w:cs="Arial"/>
          <w:sz w:val="24"/>
          <w:szCs w:val="24"/>
        </w:rPr>
        <w:t xml:space="preserve"> J. </w:t>
      </w:r>
      <w:r w:rsidR="00BA7CD6" w:rsidRPr="00C83C71">
        <w:rPr>
          <w:rFonts w:ascii="Arial" w:hAnsi="Arial" w:cs="Arial"/>
          <w:sz w:val="24"/>
          <w:szCs w:val="24"/>
        </w:rPr>
        <w:t xml:space="preserve">Consequently, </w:t>
      </w:r>
      <w:r w:rsidR="008E2724" w:rsidRPr="00C83C71">
        <w:rPr>
          <w:rFonts w:ascii="Arial" w:hAnsi="Arial" w:cs="Arial"/>
          <w:sz w:val="24"/>
          <w:szCs w:val="24"/>
        </w:rPr>
        <w:t>I am satisfied that the First Respondent is correctly cited as a party with an interest i</w:t>
      </w:r>
      <w:r w:rsidR="007059D6" w:rsidRPr="00C83C71">
        <w:rPr>
          <w:rFonts w:ascii="Arial" w:hAnsi="Arial" w:cs="Arial"/>
          <w:sz w:val="24"/>
          <w:szCs w:val="24"/>
        </w:rPr>
        <w:t>n</w:t>
      </w:r>
      <w:r w:rsidR="008E2724" w:rsidRPr="00C83C71">
        <w:rPr>
          <w:rFonts w:ascii="Arial" w:hAnsi="Arial" w:cs="Arial"/>
          <w:sz w:val="24"/>
          <w:szCs w:val="24"/>
        </w:rPr>
        <w:t xml:space="preserve"> regard to the factual matrix of this matter.</w:t>
      </w:r>
    </w:p>
    <w:p w14:paraId="0F6AD75A" w14:textId="77777777" w:rsidR="00786061" w:rsidRDefault="00786061" w:rsidP="00786061">
      <w:pPr>
        <w:pStyle w:val="ListParagraph"/>
        <w:spacing w:after="0" w:line="480" w:lineRule="auto"/>
        <w:ind w:left="0"/>
        <w:jc w:val="both"/>
        <w:rPr>
          <w:rFonts w:ascii="Arial" w:hAnsi="Arial" w:cs="Arial"/>
          <w:b/>
          <w:i/>
          <w:sz w:val="24"/>
          <w:szCs w:val="24"/>
        </w:rPr>
      </w:pPr>
    </w:p>
    <w:p w14:paraId="0C004E95" w14:textId="77777777" w:rsidR="00786061" w:rsidRDefault="00786061" w:rsidP="00786061">
      <w:pPr>
        <w:pStyle w:val="ListParagraph"/>
        <w:spacing w:after="0" w:line="480" w:lineRule="auto"/>
        <w:ind w:left="0"/>
        <w:jc w:val="both"/>
        <w:rPr>
          <w:rFonts w:ascii="Arial" w:hAnsi="Arial" w:cs="Arial"/>
          <w:b/>
          <w:i/>
          <w:sz w:val="24"/>
          <w:szCs w:val="24"/>
        </w:rPr>
      </w:pPr>
    </w:p>
    <w:p w14:paraId="54717563" w14:textId="77777777" w:rsidR="00786061" w:rsidRDefault="00786061" w:rsidP="00786061">
      <w:pPr>
        <w:pStyle w:val="ListParagraph"/>
        <w:spacing w:after="0" w:line="480" w:lineRule="auto"/>
        <w:ind w:left="0"/>
        <w:jc w:val="both"/>
        <w:rPr>
          <w:rFonts w:ascii="Arial" w:hAnsi="Arial" w:cs="Arial"/>
          <w:b/>
          <w:i/>
          <w:sz w:val="24"/>
          <w:szCs w:val="24"/>
        </w:rPr>
      </w:pPr>
    </w:p>
    <w:p w14:paraId="0672C27C" w14:textId="5A4998A2" w:rsidR="007B0049" w:rsidRPr="007B0049" w:rsidRDefault="007B0049" w:rsidP="00786061">
      <w:pPr>
        <w:pStyle w:val="ListParagraph"/>
        <w:spacing w:after="0" w:line="480" w:lineRule="auto"/>
        <w:ind w:left="0"/>
        <w:jc w:val="both"/>
      </w:pPr>
      <w:r w:rsidRPr="00AE20A9">
        <w:rPr>
          <w:rFonts w:ascii="Arial" w:hAnsi="Arial" w:cs="Arial"/>
          <w:b/>
          <w:i/>
          <w:sz w:val="24"/>
          <w:szCs w:val="24"/>
        </w:rPr>
        <w:t>Res judicata</w:t>
      </w:r>
      <w:r w:rsidR="0062578D">
        <w:rPr>
          <w:rFonts w:ascii="Arial" w:hAnsi="Arial" w:cs="Arial"/>
          <w:b/>
          <w:sz w:val="24"/>
          <w:szCs w:val="24"/>
        </w:rPr>
        <w:t xml:space="preserve"> </w:t>
      </w:r>
    </w:p>
    <w:p w14:paraId="7B9BC8F7" w14:textId="5E3F2EB9" w:rsidR="0062578D" w:rsidRPr="00AF769D" w:rsidRDefault="00C83C71" w:rsidP="00C83C71">
      <w:pPr>
        <w:tabs>
          <w:tab w:val="left" w:pos="567"/>
        </w:tabs>
        <w:spacing w:line="480" w:lineRule="auto"/>
        <w:jc w:val="both"/>
      </w:pPr>
      <w:r w:rsidRPr="00AF769D">
        <w:rPr>
          <w:rFonts w:ascii="Arial" w:hAnsi="Arial" w:cs="Arial"/>
          <w:sz w:val="24"/>
          <w:lang w:val="en-ZA"/>
        </w:rPr>
        <w:t xml:space="preserve">[14]     </w:t>
      </w:r>
      <w:r w:rsidRPr="00AF769D">
        <w:rPr>
          <w:rFonts w:ascii="Arial" w:hAnsi="Arial" w:cs="Arial"/>
          <w:sz w:val="24"/>
          <w:lang w:val="en-ZA"/>
        </w:rPr>
        <w:tab/>
      </w:r>
      <w:r w:rsidR="005A3A03" w:rsidRPr="00C83C71">
        <w:rPr>
          <w:rFonts w:ascii="Arial" w:hAnsi="Arial" w:cs="Arial"/>
          <w:sz w:val="24"/>
          <w:szCs w:val="24"/>
        </w:rPr>
        <w:t xml:space="preserve">The Respondents argued that the Applicant seeks to duplicate the relief which was already considered </w:t>
      </w:r>
      <w:r w:rsidR="00AF769D" w:rsidRPr="00C83C71">
        <w:rPr>
          <w:rFonts w:ascii="Arial" w:hAnsi="Arial" w:cs="Arial"/>
          <w:sz w:val="24"/>
          <w:szCs w:val="24"/>
        </w:rPr>
        <w:t xml:space="preserve">and pronounced on by </w:t>
      </w:r>
      <w:proofErr w:type="spellStart"/>
      <w:r w:rsidR="00AF769D" w:rsidRPr="00C83C71">
        <w:rPr>
          <w:rFonts w:ascii="Arial" w:hAnsi="Arial" w:cs="Arial"/>
          <w:sz w:val="24"/>
          <w:szCs w:val="24"/>
        </w:rPr>
        <w:t>Thulare</w:t>
      </w:r>
      <w:proofErr w:type="spellEnd"/>
      <w:r w:rsidR="00AF769D" w:rsidRPr="00C83C71">
        <w:rPr>
          <w:rFonts w:ascii="Arial" w:hAnsi="Arial" w:cs="Arial"/>
          <w:sz w:val="24"/>
          <w:szCs w:val="24"/>
        </w:rPr>
        <w:t xml:space="preserve"> J </w:t>
      </w:r>
      <w:r w:rsidR="005A3A03" w:rsidRPr="00C83C71">
        <w:rPr>
          <w:rFonts w:ascii="Arial" w:hAnsi="Arial" w:cs="Arial"/>
          <w:sz w:val="24"/>
          <w:szCs w:val="24"/>
        </w:rPr>
        <w:t>and that the relief being sought is premature and outside the bounds of what she is entitled to in the circumstances of this particular matter.</w:t>
      </w:r>
    </w:p>
    <w:p w14:paraId="47CB549F" w14:textId="77777777" w:rsidR="00AF769D" w:rsidRPr="004C77F2" w:rsidRDefault="00AF769D" w:rsidP="00AF769D">
      <w:pPr>
        <w:pStyle w:val="ListParagraph"/>
        <w:spacing w:line="480" w:lineRule="auto"/>
        <w:ind w:left="0"/>
        <w:jc w:val="both"/>
      </w:pPr>
    </w:p>
    <w:p w14:paraId="2279953B" w14:textId="354EBEC7" w:rsidR="005A3A03" w:rsidRPr="007D6D23" w:rsidRDefault="00C83C71" w:rsidP="00C83C71">
      <w:pPr>
        <w:tabs>
          <w:tab w:val="left" w:pos="567"/>
        </w:tabs>
        <w:spacing w:line="480" w:lineRule="auto"/>
        <w:jc w:val="both"/>
      </w:pPr>
      <w:r w:rsidRPr="007D6D23">
        <w:rPr>
          <w:rFonts w:ascii="Arial" w:hAnsi="Arial" w:cs="Arial"/>
          <w:sz w:val="24"/>
          <w:lang w:val="en-ZA"/>
        </w:rPr>
        <w:t xml:space="preserve">[15]     </w:t>
      </w:r>
      <w:r w:rsidRPr="007D6D23">
        <w:rPr>
          <w:rFonts w:ascii="Arial" w:hAnsi="Arial" w:cs="Arial"/>
          <w:sz w:val="24"/>
          <w:lang w:val="en-ZA"/>
        </w:rPr>
        <w:tab/>
      </w:r>
      <w:r w:rsidR="005A3A03" w:rsidRPr="00C83C71">
        <w:rPr>
          <w:rFonts w:ascii="Arial" w:hAnsi="Arial" w:cs="Arial"/>
          <w:sz w:val="24"/>
          <w:szCs w:val="24"/>
        </w:rPr>
        <w:t xml:space="preserve">It was argued that the order which the Applicant seeks to enforce essentially only provides for the sheriff to sign should the deceased or the </w:t>
      </w:r>
      <w:r w:rsidR="0074035C" w:rsidRPr="00C83C71">
        <w:rPr>
          <w:rFonts w:ascii="Arial" w:hAnsi="Arial" w:cs="Arial"/>
          <w:sz w:val="24"/>
          <w:szCs w:val="24"/>
        </w:rPr>
        <w:t>E</w:t>
      </w:r>
      <w:r w:rsidR="005A3A03" w:rsidRPr="00C83C71">
        <w:rPr>
          <w:rFonts w:ascii="Arial" w:hAnsi="Arial" w:cs="Arial"/>
          <w:sz w:val="24"/>
          <w:szCs w:val="24"/>
        </w:rPr>
        <w:t xml:space="preserve">xecutor refuse to sign the necessary documentation or refuse to cooperate. </w:t>
      </w:r>
      <w:r w:rsidR="00FA57C2" w:rsidRPr="00C83C71">
        <w:rPr>
          <w:rFonts w:ascii="Arial" w:hAnsi="Arial" w:cs="Arial"/>
          <w:sz w:val="24"/>
          <w:szCs w:val="24"/>
        </w:rPr>
        <w:t xml:space="preserve">The Respondents submitted that the Applicant failed to establish the prerequisite considerations for any </w:t>
      </w:r>
      <w:r w:rsidR="00FA57C2" w:rsidRPr="00C83C71">
        <w:rPr>
          <w:rFonts w:ascii="Arial" w:hAnsi="Arial" w:cs="Arial"/>
          <w:sz w:val="24"/>
          <w:szCs w:val="24"/>
        </w:rPr>
        <w:lastRenderedPageBreak/>
        <w:t xml:space="preserve">contempt or compel which essentially requires that there must be an </w:t>
      </w:r>
      <w:r w:rsidR="00706AD2" w:rsidRPr="00C83C71">
        <w:rPr>
          <w:rFonts w:ascii="Arial" w:hAnsi="Arial" w:cs="Arial"/>
          <w:sz w:val="24"/>
          <w:szCs w:val="24"/>
        </w:rPr>
        <w:t>infringement of</w:t>
      </w:r>
      <w:r w:rsidR="00FA57C2" w:rsidRPr="00C83C71">
        <w:rPr>
          <w:rFonts w:ascii="Arial" w:hAnsi="Arial" w:cs="Arial"/>
          <w:sz w:val="24"/>
          <w:szCs w:val="24"/>
        </w:rPr>
        <w:t xml:space="preserve"> a right or non-compliance with an order.</w:t>
      </w:r>
    </w:p>
    <w:p w14:paraId="2D5EC8AF" w14:textId="77777777" w:rsidR="007D6D23" w:rsidRDefault="007D6D23" w:rsidP="007D6D23">
      <w:pPr>
        <w:pStyle w:val="ListParagraph"/>
      </w:pPr>
    </w:p>
    <w:p w14:paraId="2845A9A8" w14:textId="55279C3E" w:rsidR="007D6D23" w:rsidRPr="00D32176" w:rsidRDefault="00C83C71" w:rsidP="00C83C71">
      <w:pPr>
        <w:tabs>
          <w:tab w:val="left" w:pos="567"/>
        </w:tabs>
        <w:spacing w:line="480" w:lineRule="auto"/>
        <w:jc w:val="both"/>
      </w:pPr>
      <w:r w:rsidRPr="00D32176">
        <w:rPr>
          <w:rFonts w:ascii="Arial" w:hAnsi="Arial" w:cs="Arial"/>
          <w:sz w:val="24"/>
          <w:lang w:val="en-ZA"/>
        </w:rPr>
        <w:t xml:space="preserve">[16]     </w:t>
      </w:r>
      <w:r w:rsidRPr="00D32176">
        <w:rPr>
          <w:rFonts w:ascii="Arial" w:hAnsi="Arial" w:cs="Arial"/>
          <w:sz w:val="24"/>
          <w:lang w:val="en-ZA"/>
        </w:rPr>
        <w:tab/>
      </w:r>
      <w:r w:rsidR="007D6D23" w:rsidRPr="00C83C71">
        <w:rPr>
          <w:rFonts w:ascii="Arial" w:hAnsi="Arial" w:cs="Arial"/>
          <w:sz w:val="24"/>
          <w:szCs w:val="24"/>
        </w:rPr>
        <w:t xml:space="preserve">The Respondents contended that the directions being sought by the Applicant insofar as allowing the Applicant and/or her duly appointed representatives and/or agents to do all things reasonable required to market and sell the property in execution or implementation of the court orders, would be tantamount to a variation of the orders of Allie J and </w:t>
      </w:r>
      <w:proofErr w:type="spellStart"/>
      <w:r w:rsidR="007D6D23" w:rsidRPr="00C83C71">
        <w:rPr>
          <w:rFonts w:ascii="Arial" w:hAnsi="Arial" w:cs="Arial"/>
          <w:sz w:val="24"/>
          <w:szCs w:val="24"/>
        </w:rPr>
        <w:t>Thulare</w:t>
      </w:r>
      <w:proofErr w:type="spellEnd"/>
      <w:r w:rsidR="007D6D23" w:rsidRPr="00C83C71">
        <w:rPr>
          <w:rFonts w:ascii="Arial" w:hAnsi="Arial" w:cs="Arial"/>
          <w:sz w:val="24"/>
          <w:szCs w:val="24"/>
        </w:rPr>
        <w:t xml:space="preserve"> J</w:t>
      </w:r>
      <w:r w:rsidR="007D3A46" w:rsidRPr="00C83C71">
        <w:rPr>
          <w:rFonts w:ascii="Arial" w:hAnsi="Arial" w:cs="Arial"/>
          <w:sz w:val="24"/>
          <w:szCs w:val="24"/>
        </w:rPr>
        <w:t>,</w:t>
      </w:r>
      <w:r w:rsidR="007D6D23" w:rsidRPr="00C83C71">
        <w:rPr>
          <w:rFonts w:ascii="Arial" w:hAnsi="Arial" w:cs="Arial"/>
          <w:sz w:val="24"/>
          <w:szCs w:val="24"/>
        </w:rPr>
        <w:t xml:space="preserve"> respectively. </w:t>
      </w:r>
      <w:r w:rsidR="00AC0619" w:rsidRPr="00C83C71">
        <w:rPr>
          <w:rFonts w:ascii="Arial" w:hAnsi="Arial" w:cs="Arial"/>
          <w:sz w:val="24"/>
          <w:szCs w:val="24"/>
        </w:rPr>
        <w:t>It is manifest that the Applicant already has the authority to market and sell the property.</w:t>
      </w:r>
      <w:r w:rsidR="00156A74" w:rsidRPr="00C83C71">
        <w:rPr>
          <w:rFonts w:ascii="Arial" w:hAnsi="Arial" w:cs="Arial"/>
          <w:sz w:val="24"/>
          <w:szCs w:val="24"/>
        </w:rPr>
        <w:t xml:space="preserve"> The question for determination would ultimately </w:t>
      </w:r>
      <w:proofErr w:type="spellStart"/>
      <w:r w:rsidR="00156A74" w:rsidRPr="00C83C71">
        <w:rPr>
          <w:rFonts w:ascii="Arial" w:hAnsi="Arial" w:cs="Arial"/>
          <w:sz w:val="24"/>
          <w:szCs w:val="24"/>
        </w:rPr>
        <w:t>centre</w:t>
      </w:r>
      <w:proofErr w:type="spellEnd"/>
      <w:r w:rsidR="00156A74" w:rsidRPr="00C83C71">
        <w:rPr>
          <w:rFonts w:ascii="Arial" w:hAnsi="Arial" w:cs="Arial"/>
          <w:sz w:val="24"/>
          <w:szCs w:val="24"/>
        </w:rPr>
        <w:t xml:space="preserve"> around whether the Applicant has succeeded in establishing the jurisdictional factors for the relief being sought. I will deal with this</w:t>
      </w:r>
      <w:r w:rsidR="002F2857" w:rsidRPr="00C83C71">
        <w:rPr>
          <w:rFonts w:ascii="Arial" w:hAnsi="Arial" w:cs="Arial"/>
          <w:sz w:val="24"/>
          <w:szCs w:val="24"/>
        </w:rPr>
        <w:t xml:space="preserve"> aspect</w:t>
      </w:r>
      <w:r w:rsidR="00156A74" w:rsidRPr="00C83C71">
        <w:rPr>
          <w:rFonts w:ascii="Arial" w:hAnsi="Arial" w:cs="Arial"/>
          <w:sz w:val="24"/>
          <w:szCs w:val="24"/>
        </w:rPr>
        <w:t xml:space="preserve"> later in this judgment.</w:t>
      </w:r>
    </w:p>
    <w:p w14:paraId="138A61D5" w14:textId="77777777" w:rsidR="0062578D" w:rsidRDefault="0062578D" w:rsidP="0062578D">
      <w:pPr>
        <w:pStyle w:val="ListParagraph"/>
      </w:pPr>
    </w:p>
    <w:p w14:paraId="3ED7ED03" w14:textId="77777777" w:rsidR="00FA57C2" w:rsidRDefault="00D235EB" w:rsidP="00D235EB">
      <w:pPr>
        <w:pStyle w:val="ListParagraph"/>
        <w:spacing w:line="480" w:lineRule="auto"/>
        <w:ind w:left="0"/>
        <w:jc w:val="both"/>
      </w:pPr>
      <w:r>
        <w:rPr>
          <w:rFonts w:ascii="Arial" w:hAnsi="Arial" w:cs="Arial"/>
          <w:b/>
          <w:sz w:val="24"/>
          <w:szCs w:val="24"/>
        </w:rPr>
        <w:t>Infringement on the rights of the lessees</w:t>
      </w:r>
    </w:p>
    <w:p w14:paraId="7CAC749D" w14:textId="1B04F7FB" w:rsidR="00D235EB" w:rsidRPr="007B0049" w:rsidRDefault="00C83C71" w:rsidP="00C83C71">
      <w:pPr>
        <w:tabs>
          <w:tab w:val="left" w:pos="567"/>
        </w:tabs>
        <w:spacing w:line="480" w:lineRule="auto"/>
        <w:jc w:val="both"/>
      </w:pPr>
      <w:r w:rsidRPr="007B0049">
        <w:rPr>
          <w:rFonts w:ascii="Arial" w:hAnsi="Arial" w:cs="Arial"/>
          <w:sz w:val="24"/>
          <w:lang w:val="en-ZA"/>
        </w:rPr>
        <w:t xml:space="preserve">[17]     </w:t>
      </w:r>
      <w:r w:rsidRPr="007B0049">
        <w:rPr>
          <w:rFonts w:ascii="Arial" w:hAnsi="Arial" w:cs="Arial"/>
          <w:sz w:val="24"/>
          <w:lang w:val="en-ZA"/>
        </w:rPr>
        <w:tab/>
      </w:r>
      <w:r w:rsidR="00D235EB" w:rsidRPr="00C83C71">
        <w:rPr>
          <w:rFonts w:ascii="Arial" w:hAnsi="Arial" w:cs="Arial"/>
          <w:sz w:val="24"/>
          <w:szCs w:val="24"/>
        </w:rPr>
        <w:t>It is the Applicant’s contention that the Respondents seek to control her communications with the tenant on the property.</w:t>
      </w:r>
      <w:r w:rsidR="00D235EB">
        <w:t xml:space="preserve"> </w:t>
      </w:r>
      <w:r w:rsidR="00F92AD4" w:rsidRPr="00C83C71">
        <w:rPr>
          <w:rFonts w:ascii="Arial" w:hAnsi="Arial" w:cs="Arial"/>
          <w:sz w:val="24"/>
          <w:szCs w:val="24"/>
        </w:rPr>
        <w:t xml:space="preserve">The contention by the Respondents is that the Applicant wishes to enjoy unfettered and unqualified access to the property without regard </w:t>
      </w:r>
      <w:proofErr w:type="spellStart"/>
      <w:r w:rsidR="00F92AD4" w:rsidRPr="00C83C71">
        <w:rPr>
          <w:rFonts w:ascii="Arial" w:hAnsi="Arial" w:cs="Arial"/>
          <w:sz w:val="24"/>
          <w:szCs w:val="24"/>
        </w:rPr>
        <w:t>or</w:t>
      </w:r>
      <w:proofErr w:type="spellEnd"/>
      <w:r w:rsidR="00F92AD4" w:rsidRPr="00C83C71">
        <w:rPr>
          <w:rFonts w:ascii="Arial" w:hAnsi="Arial" w:cs="Arial"/>
          <w:sz w:val="24"/>
          <w:szCs w:val="24"/>
        </w:rPr>
        <w:t xml:space="preserve"> consideration for the privacy and impact it will have on the convenience and rights of the current tenants occupying the immovable property. In augmentation of this submission, it was submitted that the Applicant’s demand of unfettered access to the property is impossible to tender as it would potentially create an untenable situation with the lessees. </w:t>
      </w:r>
      <w:r w:rsidR="00FA57C2" w:rsidRPr="00C83C71">
        <w:rPr>
          <w:rFonts w:ascii="Arial" w:hAnsi="Arial" w:cs="Arial"/>
          <w:sz w:val="24"/>
          <w:szCs w:val="24"/>
        </w:rPr>
        <w:t xml:space="preserve">The Respondents </w:t>
      </w:r>
      <w:r w:rsidR="00F92AD4" w:rsidRPr="00C83C71">
        <w:rPr>
          <w:rFonts w:ascii="Arial" w:hAnsi="Arial" w:cs="Arial"/>
          <w:sz w:val="24"/>
          <w:szCs w:val="24"/>
        </w:rPr>
        <w:t>furthermore</w:t>
      </w:r>
      <w:r w:rsidR="00D235EB" w:rsidRPr="00C83C71">
        <w:rPr>
          <w:rFonts w:ascii="Arial" w:hAnsi="Arial" w:cs="Arial"/>
          <w:sz w:val="24"/>
          <w:szCs w:val="24"/>
        </w:rPr>
        <w:t xml:space="preserve">, </w:t>
      </w:r>
      <w:r w:rsidR="00FA57C2" w:rsidRPr="00C83C71">
        <w:rPr>
          <w:rFonts w:ascii="Arial" w:hAnsi="Arial" w:cs="Arial"/>
          <w:sz w:val="24"/>
          <w:szCs w:val="24"/>
        </w:rPr>
        <w:t xml:space="preserve">contended that the relief sought by the Applicant is tantamount to a spoliation of the current lessees in the immovable property who ought to have been joined as parties with an interest. </w:t>
      </w:r>
    </w:p>
    <w:p w14:paraId="7F0293C8" w14:textId="77777777" w:rsidR="00D235EB" w:rsidRPr="00F70001" w:rsidRDefault="00D235EB" w:rsidP="00D235EB">
      <w:pPr>
        <w:pStyle w:val="ListParagraph"/>
        <w:rPr>
          <w:rFonts w:ascii="Arial" w:hAnsi="Arial" w:cs="Arial"/>
          <w:sz w:val="24"/>
          <w:szCs w:val="24"/>
        </w:rPr>
      </w:pPr>
    </w:p>
    <w:p w14:paraId="20EC5D77" w14:textId="0E095A8B" w:rsidR="00D235EB" w:rsidRPr="00742453" w:rsidRDefault="00C83C71" w:rsidP="00C83C71">
      <w:pPr>
        <w:tabs>
          <w:tab w:val="left" w:pos="567"/>
        </w:tabs>
        <w:spacing w:line="480" w:lineRule="auto"/>
        <w:jc w:val="both"/>
      </w:pPr>
      <w:r w:rsidRPr="00742453">
        <w:rPr>
          <w:rFonts w:ascii="Arial" w:hAnsi="Arial" w:cs="Arial"/>
          <w:sz w:val="24"/>
          <w:lang w:val="en-ZA"/>
        </w:rPr>
        <w:t xml:space="preserve">[18]     </w:t>
      </w:r>
      <w:r w:rsidRPr="00742453">
        <w:rPr>
          <w:rFonts w:ascii="Arial" w:hAnsi="Arial" w:cs="Arial"/>
          <w:sz w:val="24"/>
          <w:lang w:val="en-ZA"/>
        </w:rPr>
        <w:tab/>
      </w:r>
      <w:r w:rsidR="00D235EB" w:rsidRPr="00C83C71">
        <w:rPr>
          <w:rFonts w:ascii="Arial" w:hAnsi="Arial" w:cs="Arial"/>
          <w:sz w:val="24"/>
          <w:szCs w:val="24"/>
        </w:rPr>
        <w:t xml:space="preserve">Not much is known about the tenants that </w:t>
      </w:r>
      <w:r w:rsidR="00046D78" w:rsidRPr="00C83C71">
        <w:rPr>
          <w:rFonts w:ascii="Arial" w:hAnsi="Arial" w:cs="Arial"/>
          <w:sz w:val="24"/>
          <w:szCs w:val="24"/>
        </w:rPr>
        <w:t xml:space="preserve">currently </w:t>
      </w:r>
      <w:r w:rsidR="00D235EB" w:rsidRPr="00C83C71">
        <w:rPr>
          <w:rFonts w:ascii="Arial" w:hAnsi="Arial" w:cs="Arial"/>
          <w:sz w:val="24"/>
          <w:szCs w:val="24"/>
        </w:rPr>
        <w:t>occupy the property and whether there is an agreement, either oral or in writing</w:t>
      </w:r>
      <w:r w:rsidR="00046D78" w:rsidRPr="00C83C71">
        <w:rPr>
          <w:rFonts w:ascii="Arial" w:hAnsi="Arial" w:cs="Arial"/>
          <w:sz w:val="24"/>
          <w:szCs w:val="24"/>
        </w:rPr>
        <w:t>,</w:t>
      </w:r>
      <w:r w:rsidR="00D235EB" w:rsidRPr="00C83C71">
        <w:rPr>
          <w:rFonts w:ascii="Arial" w:hAnsi="Arial" w:cs="Arial"/>
          <w:sz w:val="24"/>
          <w:szCs w:val="24"/>
        </w:rPr>
        <w:t xml:space="preserve"> with them regulating their tenancy. It is apparent that the Applicant has </w:t>
      </w:r>
      <w:r w:rsidR="00DC18D1" w:rsidRPr="00C83C71">
        <w:rPr>
          <w:rFonts w:ascii="Arial" w:hAnsi="Arial" w:cs="Arial"/>
          <w:sz w:val="24"/>
          <w:szCs w:val="24"/>
        </w:rPr>
        <w:t>specifically requested</w:t>
      </w:r>
      <w:r w:rsidR="00D235EB" w:rsidRPr="00C83C71">
        <w:rPr>
          <w:rFonts w:ascii="Arial" w:hAnsi="Arial" w:cs="Arial"/>
          <w:sz w:val="24"/>
          <w:szCs w:val="24"/>
        </w:rPr>
        <w:t xml:space="preserve"> a copy of the lease agreement in terms of Rule 35(12). Same has not been dealt with in argument as per the undertaking in the Applicant’s Replying affidavit.</w:t>
      </w:r>
      <w:r w:rsidR="00D235EB">
        <w:rPr>
          <w:rStyle w:val="FootnoteReference"/>
          <w:rFonts w:ascii="Arial" w:hAnsi="Arial" w:cs="Arial"/>
          <w:sz w:val="24"/>
          <w:szCs w:val="24"/>
        </w:rPr>
        <w:footnoteReference w:id="10"/>
      </w:r>
      <w:r w:rsidR="004931E8" w:rsidRPr="00C83C71">
        <w:rPr>
          <w:rFonts w:ascii="Arial" w:hAnsi="Arial" w:cs="Arial"/>
          <w:sz w:val="24"/>
          <w:szCs w:val="24"/>
        </w:rPr>
        <w:t xml:space="preserve"> The details surrounding the tenants are very vague and concerns in that regard would have been allayed had the lease agreement been provided. To reiterate, no address in this regar</w:t>
      </w:r>
      <w:r w:rsidR="0017557E" w:rsidRPr="00C83C71">
        <w:rPr>
          <w:rFonts w:ascii="Arial" w:hAnsi="Arial" w:cs="Arial"/>
          <w:sz w:val="24"/>
          <w:szCs w:val="24"/>
        </w:rPr>
        <w:t>d was presented during argument, bearing in mind that parties are restricted to issues defined in their pleadings.</w:t>
      </w:r>
    </w:p>
    <w:p w14:paraId="26CA50CF" w14:textId="77777777" w:rsidR="00742453" w:rsidRPr="00601D2E" w:rsidRDefault="00742453" w:rsidP="00742453">
      <w:pPr>
        <w:pStyle w:val="ListParagraph"/>
        <w:spacing w:line="480" w:lineRule="auto"/>
        <w:ind w:left="0"/>
        <w:jc w:val="both"/>
      </w:pPr>
    </w:p>
    <w:p w14:paraId="3A8ADFFA" w14:textId="729943FA" w:rsidR="00130DB5" w:rsidRPr="00C83C71" w:rsidRDefault="00C83C71" w:rsidP="00C83C71">
      <w:pPr>
        <w:tabs>
          <w:tab w:val="left" w:pos="567"/>
        </w:tabs>
        <w:spacing w:after="0" w:line="480" w:lineRule="auto"/>
        <w:jc w:val="both"/>
        <w:rPr>
          <w:rFonts w:ascii="Arial" w:hAnsi="Arial" w:cs="Arial"/>
          <w:b/>
          <w:sz w:val="24"/>
          <w:szCs w:val="24"/>
        </w:rPr>
      </w:pPr>
      <w:r w:rsidRPr="006929B0">
        <w:rPr>
          <w:rFonts w:ascii="Arial" w:hAnsi="Arial" w:cs="Arial"/>
          <w:sz w:val="24"/>
          <w:szCs w:val="24"/>
          <w:lang w:val="en-ZA"/>
        </w:rPr>
        <w:t xml:space="preserve">[19]     </w:t>
      </w:r>
      <w:r w:rsidRPr="006929B0">
        <w:rPr>
          <w:rFonts w:ascii="Arial" w:hAnsi="Arial" w:cs="Arial"/>
          <w:sz w:val="24"/>
          <w:szCs w:val="24"/>
          <w:lang w:val="en-ZA"/>
        </w:rPr>
        <w:tab/>
      </w:r>
      <w:r w:rsidR="00742453" w:rsidRPr="00C83C71">
        <w:rPr>
          <w:rFonts w:ascii="Arial" w:hAnsi="Arial" w:cs="Arial"/>
          <w:sz w:val="24"/>
          <w:szCs w:val="24"/>
        </w:rPr>
        <w:t>T</w:t>
      </w:r>
      <w:r w:rsidR="00D235EB" w:rsidRPr="00C83C71">
        <w:rPr>
          <w:rFonts w:ascii="Arial" w:hAnsi="Arial" w:cs="Arial"/>
          <w:sz w:val="24"/>
          <w:szCs w:val="24"/>
        </w:rPr>
        <w:t>he Respondents</w:t>
      </w:r>
      <w:r w:rsidR="00742453" w:rsidRPr="00C83C71">
        <w:rPr>
          <w:rFonts w:ascii="Arial" w:hAnsi="Arial" w:cs="Arial"/>
          <w:sz w:val="24"/>
          <w:szCs w:val="24"/>
        </w:rPr>
        <w:t xml:space="preserve"> submitted that the tenants</w:t>
      </w:r>
      <w:r w:rsidR="00D235EB" w:rsidRPr="00C83C71">
        <w:rPr>
          <w:rFonts w:ascii="Arial" w:hAnsi="Arial" w:cs="Arial"/>
          <w:sz w:val="24"/>
          <w:szCs w:val="24"/>
        </w:rPr>
        <w:t xml:space="preserve"> should have been cited as part</w:t>
      </w:r>
      <w:r w:rsidR="002104DF" w:rsidRPr="00C83C71">
        <w:rPr>
          <w:rFonts w:ascii="Arial" w:hAnsi="Arial" w:cs="Arial"/>
          <w:sz w:val="24"/>
          <w:szCs w:val="24"/>
        </w:rPr>
        <w:t>ies</w:t>
      </w:r>
      <w:r w:rsidR="00D235EB" w:rsidRPr="00C83C71">
        <w:rPr>
          <w:rFonts w:ascii="Arial" w:hAnsi="Arial" w:cs="Arial"/>
          <w:sz w:val="24"/>
          <w:szCs w:val="24"/>
        </w:rPr>
        <w:t xml:space="preserve"> with an interest as the Applicant seeks as part of the relief, to be provided with all, keys, alarm codes and any/all methods of access to the property as well as full personal particulars and contact details of any persons current</w:t>
      </w:r>
      <w:r w:rsidR="002104DF" w:rsidRPr="00C83C71">
        <w:rPr>
          <w:rFonts w:ascii="Arial" w:hAnsi="Arial" w:cs="Arial"/>
          <w:sz w:val="24"/>
          <w:szCs w:val="24"/>
        </w:rPr>
        <w:t>ly</w:t>
      </w:r>
      <w:r w:rsidR="00D30474" w:rsidRPr="00C83C71">
        <w:rPr>
          <w:rFonts w:ascii="Arial" w:hAnsi="Arial" w:cs="Arial"/>
          <w:sz w:val="24"/>
          <w:szCs w:val="24"/>
        </w:rPr>
        <w:t xml:space="preserve"> </w:t>
      </w:r>
      <w:r w:rsidR="00D235EB" w:rsidRPr="00C83C71">
        <w:rPr>
          <w:rFonts w:ascii="Arial" w:hAnsi="Arial" w:cs="Arial"/>
          <w:sz w:val="24"/>
          <w:szCs w:val="24"/>
        </w:rPr>
        <w:t xml:space="preserve">occupying the property. </w:t>
      </w:r>
      <w:r w:rsidR="00742453" w:rsidRPr="00C83C71">
        <w:rPr>
          <w:rFonts w:ascii="Arial" w:hAnsi="Arial" w:cs="Arial"/>
          <w:sz w:val="24"/>
          <w:szCs w:val="24"/>
        </w:rPr>
        <w:t>In my view, this is material oversight as the App</w:t>
      </w:r>
      <w:r w:rsidR="005404A2" w:rsidRPr="00C83C71">
        <w:rPr>
          <w:rFonts w:ascii="Arial" w:hAnsi="Arial" w:cs="Arial"/>
          <w:sz w:val="24"/>
          <w:szCs w:val="24"/>
        </w:rPr>
        <w:t>licant seeks substantial relief that impacts</w:t>
      </w:r>
      <w:r w:rsidR="00742453" w:rsidRPr="00C83C71">
        <w:rPr>
          <w:rFonts w:ascii="Arial" w:hAnsi="Arial" w:cs="Arial"/>
          <w:sz w:val="24"/>
          <w:szCs w:val="24"/>
        </w:rPr>
        <w:t xml:space="preserve"> </w:t>
      </w:r>
      <w:r w:rsidR="005404A2" w:rsidRPr="00C83C71">
        <w:rPr>
          <w:rFonts w:ascii="Arial" w:hAnsi="Arial" w:cs="Arial"/>
          <w:sz w:val="24"/>
          <w:szCs w:val="24"/>
        </w:rPr>
        <w:t xml:space="preserve">and </w:t>
      </w:r>
      <w:r w:rsidR="005A6204" w:rsidRPr="00C83C71">
        <w:rPr>
          <w:rFonts w:ascii="Arial" w:hAnsi="Arial" w:cs="Arial"/>
          <w:sz w:val="24"/>
          <w:szCs w:val="24"/>
        </w:rPr>
        <w:t>involves</w:t>
      </w:r>
      <w:r w:rsidR="00742453" w:rsidRPr="00C83C71">
        <w:rPr>
          <w:rFonts w:ascii="Arial" w:hAnsi="Arial" w:cs="Arial"/>
          <w:sz w:val="24"/>
          <w:szCs w:val="24"/>
        </w:rPr>
        <w:t xml:space="preserve"> parties whose rights may potentially be affected by the relief being sought by the Applicant. </w:t>
      </w:r>
      <w:r w:rsidR="005404A2" w:rsidRPr="00C83C71">
        <w:rPr>
          <w:rFonts w:ascii="Arial" w:hAnsi="Arial" w:cs="Arial"/>
          <w:sz w:val="24"/>
          <w:szCs w:val="24"/>
        </w:rPr>
        <w:t>It would have been pruden</w:t>
      </w:r>
      <w:r w:rsidR="005A6204" w:rsidRPr="00C83C71">
        <w:rPr>
          <w:rFonts w:ascii="Arial" w:hAnsi="Arial" w:cs="Arial"/>
          <w:sz w:val="24"/>
          <w:szCs w:val="24"/>
        </w:rPr>
        <w:t>t to serve these papers on the lessee(s) who are in my view,</w:t>
      </w:r>
      <w:r w:rsidR="005404A2" w:rsidRPr="00C83C71">
        <w:rPr>
          <w:rFonts w:ascii="Arial" w:hAnsi="Arial" w:cs="Arial"/>
          <w:sz w:val="24"/>
          <w:szCs w:val="24"/>
        </w:rPr>
        <w:t xml:space="preserve"> parties with an interest. </w:t>
      </w:r>
    </w:p>
    <w:p w14:paraId="7A9596C7" w14:textId="3831252A" w:rsidR="0017557E" w:rsidRDefault="0017557E" w:rsidP="00FC59F5">
      <w:pPr>
        <w:pStyle w:val="ListParagraph"/>
        <w:spacing w:after="0" w:line="480" w:lineRule="auto"/>
        <w:ind w:left="0"/>
        <w:jc w:val="both"/>
        <w:rPr>
          <w:rFonts w:ascii="Arial" w:hAnsi="Arial" w:cs="Arial"/>
          <w:b/>
          <w:sz w:val="24"/>
          <w:szCs w:val="24"/>
        </w:rPr>
      </w:pPr>
    </w:p>
    <w:p w14:paraId="549179B3" w14:textId="3DF4FCDE" w:rsidR="00AE21D9" w:rsidRPr="00AE21D9" w:rsidRDefault="00AE21D9" w:rsidP="00FC59F5">
      <w:pPr>
        <w:pStyle w:val="ListParagraph"/>
        <w:spacing w:after="0" w:line="480" w:lineRule="auto"/>
        <w:ind w:left="0"/>
        <w:jc w:val="both"/>
      </w:pPr>
      <w:r>
        <w:rPr>
          <w:rFonts w:ascii="Arial" w:hAnsi="Arial" w:cs="Arial"/>
          <w:b/>
          <w:sz w:val="24"/>
          <w:szCs w:val="24"/>
        </w:rPr>
        <w:t>Security</w:t>
      </w:r>
    </w:p>
    <w:p w14:paraId="6BF6BE09" w14:textId="400B74AC" w:rsidR="00AE21D9" w:rsidRPr="002F3BA4" w:rsidRDefault="00C83C71" w:rsidP="00C83C71">
      <w:pPr>
        <w:tabs>
          <w:tab w:val="left" w:pos="567"/>
        </w:tabs>
        <w:spacing w:line="480" w:lineRule="auto"/>
        <w:jc w:val="both"/>
      </w:pPr>
      <w:r w:rsidRPr="002F3BA4">
        <w:rPr>
          <w:rFonts w:ascii="Arial" w:hAnsi="Arial" w:cs="Arial"/>
          <w:sz w:val="24"/>
          <w:lang w:val="en-ZA"/>
        </w:rPr>
        <w:t xml:space="preserve">[20]     </w:t>
      </w:r>
      <w:r w:rsidRPr="002F3BA4">
        <w:rPr>
          <w:rFonts w:ascii="Arial" w:hAnsi="Arial" w:cs="Arial"/>
          <w:sz w:val="24"/>
          <w:lang w:val="en-ZA"/>
        </w:rPr>
        <w:tab/>
      </w:r>
      <w:r w:rsidR="009D1170" w:rsidRPr="00C83C71">
        <w:rPr>
          <w:rFonts w:ascii="Arial" w:hAnsi="Arial" w:cs="Arial"/>
          <w:sz w:val="24"/>
          <w:szCs w:val="24"/>
        </w:rPr>
        <w:t xml:space="preserve">The Applicant contended that the First Respondent did not dispute his liability to furnish security. The First Respondent disputed the quantum claimed by the </w:t>
      </w:r>
      <w:r w:rsidR="009D1170" w:rsidRPr="00C83C71">
        <w:rPr>
          <w:rFonts w:ascii="Arial" w:hAnsi="Arial" w:cs="Arial"/>
          <w:sz w:val="24"/>
          <w:szCs w:val="24"/>
        </w:rPr>
        <w:lastRenderedPageBreak/>
        <w:t>Applicant. The Taxing Master ordered the First Respondent to furnish security in the amount of R200</w:t>
      </w:r>
      <w:r w:rsidR="0067006D" w:rsidRPr="00C83C71">
        <w:rPr>
          <w:rFonts w:ascii="Arial" w:hAnsi="Arial" w:cs="Arial"/>
          <w:sz w:val="24"/>
          <w:szCs w:val="24"/>
        </w:rPr>
        <w:t> 000 by 11 September 2023</w:t>
      </w:r>
      <w:r w:rsidR="00DD5321" w:rsidRPr="00C83C71">
        <w:rPr>
          <w:rFonts w:ascii="Arial" w:hAnsi="Arial" w:cs="Arial"/>
          <w:sz w:val="24"/>
          <w:szCs w:val="24"/>
        </w:rPr>
        <w:t xml:space="preserve"> under case number 16935/2022</w:t>
      </w:r>
      <w:r w:rsidR="00881F61" w:rsidRPr="00C83C71">
        <w:rPr>
          <w:rFonts w:ascii="Arial" w:hAnsi="Arial" w:cs="Arial"/>
          <w:sz w:val="24"/>
          <w:szCs w:val="24"/>
        </w:rPr>
        <w:t>, which amount is to be paid into a special investment security account out of many accruing to the First Respondent from the deceased’s estate</w:t>
      </w:r>
      <w:r w:rsidR="0067006D" w:rsidRPr="00C83C71">
        <w:rPr>
          <w:rFonts w:ascii="Arial" w:hAnsi="Arial" w:cs="Arial"/>
          <w:sz w:val="24"/>
          <w:szCs w:val="24"/>
        </w:rPr>
        <w:t>.</w:t>
      </w:r>
      <w:r w:rsidR="009D1170">
        <w:rPr>
          <w:rStyle w:val="FootnoteReference"/>
          <w:rFonts w:ascii="Arial" w:hAnsi="Arial" w:cs="Arial"/>
          <w:sz w:val="24"/>
          <w:szCs w:val="24"/>
        </w:rPr>
        <w:footnoteReference w:id="11"/>
      </w:r>
      <w:r w:rsidR="0067006D" w:rsidRPr="00C83C71">
        <w:rPr>
          <w:rFonts w:ascii="Arial" w:hAnsi="Arial" w:cs="Arial"/>
          <w:sz w:val="24"/>
          <w:szCs w:val="24"/>
        </w:rPr>
        <w:t xml:space="preserve"> According to the Applicant, the First Respondent </w:t>
      </w:r>
      <w:r w:rsidR="005969C6" w:rsidRPr="00C83C71">
        <w:rPr>
          <w:rFonts w:ascii="Arial" w:hAnsi="Arial" w:cs="Arial"/>
          <w:sz w:val="24"/>
          <w:szCs w:val="24"/>
        </w:rPr>
        <w:t>h</w:t>
      </w:r>
      <w:r w:rsidR="0067006D" w:rsidRPr="00C83C71">
        <w:rPr>
          <w:rFonts w:ascii="Arial" w:hAnsi="Arial" w:cs="Arial"/>
          <w:sz w:val="24"/>
          <w:szCs w:val="24"/>
        </w:rPr>
        <w:t>as failed and/or refused to comply with the furnishing of security and seeks to deny that he is liable to furnish the security for the Applicant’s costs. In this regard, it is the First Respondent’s contention that the Applicant has misinterpreted the provision of the Rule.</w:t>
      </w:r>
      <w:r w:rsidR="00B03994">
        <w:rPr>
          <w:rStyle w:val="FootnoteReference"/>
          <w:rFonts w:ascii="Arial" w:hAnsi="Arial" w:cs="Arial"/>
          <w:sz w:val="24"/>
          <w:szCs w:val="24"/>
        </w:rPr>
        <w:footnoteReference w:id="12"/>
      </w:r>
      <w:r w:rsidR="0067006D" w:rsidRPr="00C83C71">
        <w:rPr>
          <w:rFonts w:ascii="Arial" w:hAnsi="Arial" w:cs="Arial"/>
          <w:sz w:val="24"/>
          <w:szCs w:val="24"/>
        </w:rPr>
        <w:t xml:space="preserve"> According to the First Respondent the Rule</w:t>
      </w:r>
      <w:r w:rsidR="00B03994" w:rsidRPr="00C83C71">
        <w:rPr>
          <w:rFonts w:ascii="Arial" w:hAnsi="Arial" w:cs="Arial"/>
          <w:sz w:val="24"/>
          <w:szCs w:val="24"/>
        </w:rPr>
        <w:t xml:space="preserve"> provides </w:t>
      </w:r>
      <w:r w:rsidR="00B03994" w:rsidRPr="00C83C71">
        <w:rPr>
          <w:rFonts w:ascii="Arial" w:hAnsi="Arial" w:cs="Arial"/>
          <w:i/>
          <w:sz w:val="24"/>
          <w:szCs w:val="24"/>
        </w:rPr>
        <w:t>‘for security in the event the applicant seeks to continue with the application. Since it is dismissed, that is no longer possible and becomes moot.</w:t>
      </w:r>
      <w:r w:rsidR="0067006D">
        <w:rPr>
          <w:rStyle w:val="FootnoteReference"/>
          <w:rFonts w:ascii="Arial" w:hAnsi="Arial" w:cs="Arial"/>
          <w:sz w:val="24"/>
          <w:szCs w:val="24"/>
        </w:rPr>
        <w:footnoteReference w:id="13"/>
      </w:r>
    </w:p>
    <w:p w14:paraId="73E562B1" w14:textId="77777777" w:rsidR="002F3BA4" w:rsidRPr="00DD5321" w:rsidRDefault="002F3BA4" w:rsidP="002F3BA4">
      <w:pPr>
        <w:pStyle w:val="ListParagraph"/>
        <w:spacing w:line="480" w:lineRule="auto"/>
        <w:ind w:left="0"/>
        <w:jc w:val="both"/>
      </w:pPr>
    </w:p>
    <w:p w14:paraId="42081138" w14:textId="4B22F7E8" w:rsidR="00DD5321" w:rsidRPr="002F3BA4" w:rsidRDefault="00C83C71" w:rsidP="00C83C71">
      <w:pPr>
        <w:tabs>
          <w:tab w:val="left" w:pos="567"/>
        </w:tabs>
        <w:spacing w:line="480" w:lineRule="auto"/>
        <w:jc w:val="both"/>
      </w:pPr>
      <w:r w:rsidRPr="002F3BA4">
        <w:rPr>
          <w:rFonts w:ascii="Arial" w:hAnsi="Arial" w:cs="Arial"/>
          <w:sz w:val="24"/>
          <w:lang w:val="en-ZA"/>
        </w:rPr>
        <w:t xml:space="preserve">[21]     </w:t>
      </w:r>
      <w:r w:rsidRPr="002F3BA4">
        <w:rPr>
          <w:rFonts w:ascii="Arial" w:hAnsi="Arial" w:cs="Arial"/>
          <w:sz w:val="24"/>
          <w:lang w:val="en-ZA"/>
        </w:rPr>
        <w:tab/>
      </w:r>
      <w:r w:rsidR="002F3BA4" w:rsidRPr="00C83C71">
        <w:rPr>
          <w:rFonts w:ascii="Arial" w:hAnsi="Arial" w:cs="Arial"/>
          <w:sz w:val="24"/>
          <w:szCs w:val="24"/>
        </w:rPr>
        <w:t>It is the Respondents</w:t>
      </w:r>
      <w:r w:rsidR="002104DF" w:rsidRPr="00C83C71">
        <w:rPr>
          <w:rFonts w:ascii="Arial" w:hAnsi="Arial" w:cs="Arial"/>
          <w:sz w:val="24"/>
          <w:szCs w:val="24"/>
        </w:rPr>
        <w:t>’</w:t>
      </w:r>
      <w:r w:rsidR="002F3BA4" w:rsidRPr="00C83C71">
        <w:rPr>
          <w:rFonts w:ascii="Arial" w:hAnsi="Arial" w:cs="Arial"/>
          <w:sz w:val="24"/>
          <w:szCs w:val="24"/>
        </w:rPr>
        <w:t xml:space="preserve"> contention that the Applicant has no basis to insist on this relief sought against the Third Respondent as the Security for costs has been determined under another matter.</w:t>
      </w:r>
    </w:p>
    <w:p w14:paraId="4A8960FE" w14:textId="77777777" w:rsidR="002F3BA4" w:rsidRPr="00B03994" w:rsidRDefault="002F3BA4" w:rsidP="002F3BA4">
      <w:pPr>
        <w:pStyle w:val="ListParagraph"/>
        <w:spacing w:line="480" w:lineRule="auto"/>
        <w:ind w:left="0"/>
        <w:jc w:val="both"/>
      </w:pPr>
    </w:p>
    <w:p w14:paraId="135ACD56" w14:textId="42CD9DC9" w:rsidR="00881F61" w:rsidRPr="00C83C71" w:rsidRDefault="00C83C71" w:rsidP="00C83C71">
      <w:pPr>
        <w:tabs>
          <w:tab w:val="left" w:pos="567"/>
        </w:tabs>
        <w:spacing w:line="480" w:lineRule="auto"/>
        <w:jc w:val="both"/>
        <w:rPr>
          <w:rFonts w:ascii="Arial" w:hAnsi="Arial" w:cs="Arial"/>
        </w:rPr>
      </w:pPr>
      <w:r w:rsidRPr="002F3BA4">
        <w:rPr>
          <w:rFonts w:ascii="Arial" w:hAnsi="Arial" w:cs="Arial"/>
          <w:sz w:val="24"/>
          <w:lang w:val="en-ZA"/>
        </w:rPr>
        <w:t xml:space="preserve">[22]     </w:t>
      </w:r>
      <w:r w:rsidRPr="002F3BA4">
        <w:rPr>
          <w:rFonts w:ascii="Arial" w:hAnsi="Arial" w:cs="Arial"/>
          <w:sz w:val="24"/>
          <w:lang w:val="en-ZA"/>
        </w:rPr>
        <w:tab/>
      </w:r>
      <w:r w:rsidR="00032C3F" w:rsidRPr="00C83C71">
        <w:rPr>
          <w:rFonts w:ascii="Arial" w:hAnsi="Arial" w:cs="Arial"/>
          <w:sz w:val="24"/>
          <w:szCs w:val="24"/>
        </w:rPr>
        <w:t>Rule 47 states</w:t>
      </w:r>
      <w:r w:rsidR="00B03994" w:rsidRPr="00C83C71">
        <w:rPr>
          <w:rFonts w:ascii="Arial" w:hAnsi="Arial" w:cs="Arial"/>
        </w:rPr>
        <w:t xml:space="preserve"> as follows:</w:t>
      </w:r>
    </w:p>
    <w:p w14:paraId="71CB6FF0" w14:textId="5C4B55F0" w:rsidR="007C3CF4" w:rsidRDefault="007C3CF4" w:rsidP="00032C3F">
      <w:pPr>
        <w:pStyle w:val="Default"/>
        <w:rPr>
          <w:rFonts w:ascii="Arial" w:hAnsi="Arial" w:cs="Arial"/>
          <w:b/>
          <w:bCs/>
          <w:sz w:val="22"/>
          <w:szCs w:val="22"/>
        </w:rPr>
      </w:pPr>
      <w:r>
        <w:rPr>
          <w:rFonts w:ascii="Arial" w:hAnsi="Arial" w:cs="Arial"/>
          <w:b/>
          <w:bCs/>
          <w:sz w:val="22"/>
          <w:szCs w:val="22"/>
        </w:rPr>
        <w:tab/>
      </w:r>
      <w:r w:rsidR="00B03994">
        <w:rPr>
          <w:rFonts w:ascii="Arial" w:hAnsi="Arial" w:cs="Arial"/>
          <w:b/>
          <w:bCs/>
          <w:sz w:val="22"/>
          <w:szCs w:val="22"/>
        </w:rPr>
        <w:t>‘</w:t>
      </w:r>
      <w:r w:rsidR="00B03994" w:rsidRPr="00B03994">
        <w:rPr>
          <w:rFonts w:ascii="Arial" w:hAnsi="Arial" w:cs="Arial"/>
          <w:b/>
          <w:bCs/>
          <w:sz w:val="22"/>
          <w:szCs w:val="22"/>
        </w:rPr>
        <w:t>47 Security for costs</w:t>
      </w:r>
    </w:p>
    <w:p w14:paraId="512CC5BB" w14:textId="77777777" w:rsidR="00032C3F" w:rsidRPr="00032C3F" w:rsidRDefault="00032C3F" w:rsidP="00032C3F">
      <w:pPr>
        <w:pStyle w:val="Default"/>
        <w:rPr>
          <w:rFonts w:ascii="Arial" w:hAnsi="Arial" w:cs="Arial"/>
          <w:sz w:val="22"/>
          <w:szCs w:val="22"/>
        </w:rPr>
      </w:pPr>
    </w:p>
    <w:p w14:paraId="24924EE3" w14:textId="77777777" w:rsidR="007C3CF4" w:rsidRDefault="00881F61" w:rsidP="007C3CF4">
      <w:pPr>
        <w:pStyle w:val="ListParagraph"/>
        <w:spacing w:line="480" w:lineRule="auto"/>
        <w:ind w:right="720"/>
        <w:jc w:val="both"/>
        <w:rPr>
          <w:rFonts w:ascii="Arial" w:hAnsi="Arial" w:cs="Arial"/>
          <w:i/>
        </w:rPr>
      </w:pPr>
      <w:r w:rsidRPr="00B03994">
        <w:rPr>
          <w:rFonts w:ascii="Arial" w:hAnsi="Arial" w:cs="Arial"/>
          <w:i/>
        </w:rPr>
        <w:t>(1) A party entitled and desiring to demand security for costs from another shall, as soon as practicable after the commencement of proceedings, deliver a notice setting forth the grounds upon which such security is claimed, and the amount demanded.</w:t>
      </w:r>
    </w:p>
    <w:p w14:paraId="1BE92851" w14:textId="77777777" w:rsidR="007C3CF4" w:rsidRDefault="00881F61" w:rsidP="007C3CF4">
      <w:pPr>
        <w:pStyle w:val="ListParagraph"/>
        <w:spacing w:line="480" w:lineRule="auto"/>
        <w:ind w:right="720"/>
        <w:jc w:val="both"/>
        <w:rPr>
          <w:rFonts w:ascii="Arial" w:hAnsi="Arial" w:cs="Arial"/>
          <w:i/>
        </w:rPr>
      </w:pPr>
      <w:r w:rsidRPr="00B03994">
        <w:rPr>
          <w:rFonts w:ascii="Arial" w:hAnsi="Arial" w:cs="Arial"/>
          <w:i/>
        </w:rPr>
        <w:lastRenderedPageBreak/>
        <w:t>(2) If the amount of security only is contested the registrar shall determine the amount to be given and his decision shall be final</w:t>
      </w:r>
      <w:r>
        <w:rPr>
          <w:rFonts w:ascii="Arial" w:hAnsi="Arial" w:cs="Arial"/>
          <w:i/>
        </w:rPr>
        <w:t>.</w:t>
      </w:r>
    </w:p>
    <w:p w14:paraId="5ABC7AB3" w14:textId="77777777" w:rsidR="007C3CF4" w:rsidRDefault="00B03994" w:rsidP="007C3CF4">
      <w:pPr>
        <w:pStyle w:val="ListParagraph"/>
        <w:spacing w:line="480" w:lineRule="auto"/>
        <w:ind w:right="720"/>
        <w:jc w:val="both"/>
        <w:rPr>
          <w:rFonts w:ascii="Arial" w:hAnsi="Arial" w:cs="Arial"/>
          <w:i/>
        </w:rPr>
      </w:pPr>
      <w:r w:rsidRPr="00B03994">
        <w:rPr>
          <w:rFonts w:ascii="Arial" w:hAnsi="Arial" w:cs="Arial"/>
          <w:i/>
        </w:rPr>
        <w:t>(3) If the party from whom security is demanded contests his liability to give security or if he fails or refuses to furnish security in the amount demanded or the amount fixed by the registrar within ten days of the demand or the registrar’s decision, the other party may apply to court on notice for an order that such security be given and that the proceedings be stayed until such order is complied with.</w:t>
      </w:r>
    </w:p>
    <w:p w14:paraId="0BBC059D" w14:textId="77777777" w:rsidR="007C3CF4" w:rsidRDefault="00B03994" w:rsidP="007C3CF4">
      <w:pPr>
        <w:pStyle w:val="ListParagraph"/>
        <w:spacing w:line="480" w:lineRule="auto"/>
        <w:ind w:right="720"/>
        <w:jc w:val="both"/>
        <w:rPr>
          <w:rFonts w:ascii="Arial" w:hAnsi="Arial" w:cs="Arial"/>
          <w:i/>
        </w:rPr>
      </w:pPr>
      <w:r w:rsidRPr="00B03994">
        <w:rPr>
          <w:rFonts w:ascii="Arial" w:hAnsi="Arial" w:cs="Arial"/>
          <w:i/>
        </w:rPr>
        <w:t>(4) The court may, if security be not given within a reasonable time, dismiss any proceedings instituted or strike out any pleadings filed by the party in default, or make such other order as to it may seem meet.</w:t>
      </w:r>
    </w:p>
    <w:p w14:paraId="473010AE" w14:textId="77777777" w:rsidR="007C3CF4" w:rsidRDefault="00B03994" w:rsidP="007C3CF4">
      <w:pPr>
        <w:pStyle w:val="ListParagraph"/>
        <w:spacing w:line="480" w:lineRule="auto"/>
        <w:ind w:right="720"/>
        <w:jc w:val="both"/>
        <w:rPr>
          <w:rFonts w:ascii="Arial" w:hAnsi="Arial" w:cs="Arial"/>
          <w:i/>
        </w:rPr>
      </w:pPr>
      <w:r w:rsidRPr="00B03994">
        <w:rPr>
          <w:rFonts w:ascii="Arial" w:hAnsi="Arial" w:cs="Arial"/>
          <w:i/>
        </w:rPr>
        <w:t>(5) Any security for costs shall, unless the court otherwise directs, or the parties other-wise agree, be given in the form, amount and manner directed by the registrar.</w:t>
      </w:r>
    </w:p>
    <w:p w14:paraId="19FCC957" w14:textId="77777777" w:rsidR="004B16E8" w:rsidRPr="00E52157" w:rsidRDefault="00B03994" w:rsidP="00E52157">
      <w:pPr>
        <w:pStyle w:val="ListParagraph"/>
        <w:spacing w:line="480" w:lineRule="auto"/>
        <w:ind w:right="720"/>
        <w:jc w:val="both"/>
        <w:rPr>
          <w:rFonts w:ascii="Arial" w:hAnsi="Arial" w:cs="Arial"/>
          <w:i/>
        </w:rPr>
      </w:pPr>
      <w:r w:rsidRPr="00B03994">
        <w:rPr>
          <w:rFonts w:ascii="Arial" w:hAnsi="Arial" w:cs="Arial"/>
          <w:i/>
        </w:rPr>
        <w:t>(6) The registrar may, upon the application of the party in whose favour security is to be provided and on notice to interested parties, increase the amount thereof if he is satisfied that the amount originally furnished is no longer sufficient; and his decision shall be final.</w:t>
      </w:r>
      <w:r>
        <w:rPr>
          <w:rFonts w:ascii="Arial" w:hAnsi="Arial" w:cs="Arial"/>
          <w:i/>
        </w:rPr>
        <w:t>’</w:t>
      </w:r>
    </w:p>
    <w:p w14:paraId="11C4D830" w14:textId="77777777" w:rsidR="00EE63B8" w:rsidRPr="00EE63B8" w:rsidRDefault="00EE63B8" w:rsidP="004F00C6">
      <w:pPr>
        <w:pStyle w:val="ListParagraph"/>
        <w:spacing w:line="480" w:lineRule="auto"/>
        <w:ind w:left="0"/>
        <w:jc w:val="both"/>
      </w:pPr>
    </w:p>
    <w:p w14:paraId="7344BC20" w14:textId="59127887" w:rsidR="00A876C3" w:rsidRPr="00C83C71" w:rsidRDefault="00C83C71" w:rsidP="00C83C71">
      <w:pPr>
        <w:tabs>
          <w:tab w:val="left" w:pos="567"/>
        </w:tabs>
        <w:spacing w:line="480" w:lineRule="auto"/>
        <w:jc w:val="both"/>
        <w:rPr>
          <w:rFonts w:ascii="Arial" w:hAnsi="Arial" w:cs="Arial"/>
          <w:b/>
          <w:sz w:val="24"/>
          <w:szCs w:val="24"/>
        </w:rPr>
      </w:pPr>
      <w:r w:rsidRPr="00A876C3">
        <w:rPr>
          <w:rFonts w:ascii="Arial" w:hAnsi="Arial" w:cs="Arial"/>
          <w:sz w:val="24"/>
          <w:szCs w:val="24"/>
          <w:lang w:val="en-ZA"/>
        </w:rPr>
        <w:t xml:space="preserve">[23]     </w:t>
      </w:r>
      <w:r w:rsidRPr="00A876C3">
        <w:rPr>
          <w:rFonts w:ascii="Arial" w:hAnsi="Arial" w:cs="Arial"/>
          <w:sz w:val="24"/>
          <w:szCs w:val="24"/>
          <w:lang w:val="en-ZA"/>
        </w:rPr>
        <w:tab/>
      </w:r>
      <w:r w:rsidR="00C26DE1" w:rsidRPr="00C83C71">
        <w:rPr>
          <w:rFonts w:ascii="Arial" w:hAnsi="Arial" w:cs="Arial"/>
          <w:sz w:val="24"/>
          <w:szCs w:val="24"/>
        </w:rPr>
        <w:t xml:space="preserve">The Determination of Security relates to </w:t>
      </w:r>
      <w:r w:rsidR="0068192C" w:rsidRPr="00C83C71">
        <w:rPr>
          <w:rFonts w:ascii="Arial" w:hAnsi="Arial" w:cs="Arial"/>
          <w:sz w:val="24"/>
          <w:szCs w:val="24"/>
        </w:rPr>
        <w:t xml:space="preserve">a </w:t>
      </w:r>
      <w:r w:rsidR="00C26DE1" w:rsidRPr="00C83C71">
        <w:rPr>
          <w:rFonts w:ascii="Arial" w:hAnsi="Arial" w:cs="Arial"/>
          <w:sz w:val="24"/>
          <w:szCs w:val="24"/>
        </w:rPr>
        <w:t>matter under case number 16935/2022, which is dated 29 August 2023.</w:t>
      </w:r>
      <w:r w:rsidR="00954F45">
        <w:rPr>
          <w:rStyle w:val="FootnoteReference"/>
          <w:rFonts w:ascii="Arial" w:hAnsi="Arial" w:cs="Arial"/>
          <w:sz w:val="24"/>
          <w:szCs w:val="24"/>
        </w:rPr>
        <w:footnoteReference w:id="14"/>
      </w:r>
      <w:r w:rsidR="00C26DE1" w:rsidRPr="00C83C71">
        <w:rPr>
          <w:rFonts w:ascii="Arial" w:hAnsi="Arial" w:cs="Arial"/>
          <w:sz w:val="24"/>
          <w:szCs w:val="24"/>
        </w:rPr>
        <w:t xml:space="preserve"> On 4 September 2023, </w:t>
      </w:r>
      <w:proofErr w:type="spellStart"/>
      <w:r w:rsidR="00C26DE1" w:rsidRPr="00C83C71">
        <w:rPr>
          <w:rFonts w:ascii="Arial" w:hAnsi="Arial" w:cs="Arial"/>
          <w:sz w:val="24"/>
          <w:szCs w:val="24"/>
        </w:rPr>
        <w:t>Dolamo</w:t>
      </w:r>
      <w:proofErr w:type="spellEnd"/>
      <w:r w:rsidR="00C26DE1" w:rsidRPr="00C83C71">
        <w:rPr>
          <w:rFonts w:ascii="Arial" w:hAnsi="Arial" w:cs="Arial"/>
          <w:sz w:val="24"/>
          <w:szCs w:val="24"/>
        </w:rPr>
        <w:t xml:space="preserve"> J dismissed the application, launched by the First Respondent </w:t>
      </w:r>
      <w:r w:rsidR="00C26DE1" w:rsidRPr="00C83C71">
        <w:rPr>
          <w:rFonts w:ascii="Arial" w:hAnsi="Arial" w:cs="Arial"/>
          <w:i/>
          <w:sz w:val="24"/>
          <w:szCs w:val="24"/>
        </w:rPr>
        <w:t xml:space="preserve">in </w:t>
      </w:r>
      <w:proofErr w:type="spellStart"/>
      <w:r w:rsidR="00C26DE1" w:rsidRPr="00C83C71">
        <w:rPr>
          <w:rFonts w:ascii="Arial" w:hAnsi="Arial" w:cs="Arial"/>
          <w:i/>
          <w:sz w:val="24"/>
          <w:szCs w:val="24"/>
        </w:rPr>
        <w:t>casu</w:t>
      </w:r>
      <w:proofErr w:type="spellEnd"/>
      <w:r w:rsidR="00C26DE1" w:rsidRPr="00C83C71">
        <w:rPr>
          <w:rFonts w:ascii="Arial" w:hAnsi="Arial" w:cs="Arial"/>
          <w:sz w:val="24"/>
          <w:szCs w:val="24"/>
        </w:rPr>
        <w:t>.</w:t>
      </w:r>
      <w:r w:rsidR="00954F45">
        <w:rPr>
          <w:rStyle w:val="FootnoteReference"/>
          <w:rFonts w:ascii="Arial" w:hAnsi="Arial" w:cs="Arial"/>
          <w:sz w:val="24"/>
          <w:szCs w:val="24"/>
        </w:rPr>
        <w:footnoteReference w:id="15"/>
      </w:r>
      <w:r w:rsidR="00C26DE1" w:rsidRPr="00C83C71">
        <w:rPr>
          <w:rFonts w:ascii="Arial" w:hAnsi="Arial" w:cs="Arial"/>
          <w:sz w:val="24"/>
          <w:szCs w:val="24"/>
        </w:rPr>
        <w:t xml:space="preserve"> </w:t>
      </w:r>
      <w:r w:rsidR="00387A42" w:rsidRPr="00C83C71">
        <w:rPr>
          <w:rFonts w:ascii="Arial" w:hAnsi="Arial" w:cs="Arial"/>
          <w:sz w:val="24"/>
          <w:szCs w:val="24"/>
        </w:rPr>
        <w:t>According to the Respondents, there is a bond of security for R100</w:t>
      </w:r>
      <w:r w:rsidR="003B4322" w:rsidRPr="00C83C71">
        <w:rPr>
          <w:rFonts w:ascii="Arial" w:hAnsi="Arial" w:cs="Arial"/>
          <w:sz w:val="24"/>
          <w:szCs w:val="24"/>
        </w:rPr>
        <w:t> </w:t>
      </w:r>
      <w:r w:rsidR="00387A42" w:rsidRPr="00C83C71">
        <w:rPr>
          <w:rFonts w:ascii="Arial" w:hAnsi="Arial" w:cs="Arial"/>
          <w:sz w:val="24"/>
          <w:szCs w:val="24"/>
        </w:rPr>
        <w:t>000</w:t>
      </w:r>
      <w:r w:rsidR="003B4322" w:rsidRPr="00C83C71">
        <w:rPr>
          <w:rFonts w:ascii="Arial" w:hAnsi="Arial" w:cs="Arial"/>
          <w:sz w:val="24"/>
          <w:szCs w:val="24"/>
        </w:rPr>
        <w:t xml:space="preserve"> put up</w:t>
      </w:r>
      <w:r w:rsidR="00387A42" w:rsidRPr="00C83C71">
        <w:rPr>
          <w:rFonts w:ascii="Arial" w:hAnsi="Arial" w:cs="Arial"/>
          <w:sz w:val="24"/>
          <w:szCs w:val="24"/>
        </w:rPr>
        <w:t xml:space="preserve">. The papers are silent on this issue. The relief sought in prayer 5 where the Applicant seeks the court to direct the Third Respondent to refuse to approve any final liquidation and distribution </w:t>
      </w:r>
      <w:r w:rsidR="00387A42" w:rsidRPr="00C83C71">
        <w:rPr>
          <w:rFonts w:ascii="Arial" w:hAnsi="Arial" w:cs="Arial"/>
          <w:sz w:val="24"/>
          <w:szCs w:val="24"/>
        </w:rPr>
        <w:lastRenderedPageBreak/>
        <w:t>account, falls t</w:t>
      </w:r>
      <w:r w:rsidR="00A876C3" w:rsidRPr="00C83C71">
        <w:rPr>
          <w:rFonts w:ascii="Arial" w:hAnsi="Arial" w:cs="Arial"/>
          <w:sz w:val="24"/>
          <w:szCs w:val="24"/>
        </w:rPr>
        <w:t>o be dismissed as</w:t>
      </w:r>
      <w:r w:rsidR="00A876C3" w:rsidRPr="00C83C71">
        <w:rPr>
          <w:rFonts w:ascii="Arial" w:hAnsi="Arial" w:cs="Arial"/>
          <w:b/>
          <w:sz w:val="24"/>
          <w:szCs w:val="24"/>
        </w:rPr>
        <w:t xml:space="preserve"> </w:t>
      </w:r>
      <w:r w:rsidR="00A876C3" w:rsidRPr="00C83C71">
        <w:rPr>
          <w:rFonts w:ascii="Arial" w:hAnsi="Arial" w:cs="Arial"/>
          <w:sz w:val="24"/>
          <w:szCs w:val="24"/>
        </w:rPr>
        <w:t>there are other remedies at the Applicant’s disposal to recover h</w:t>
      </w:r>
      <w:r w:rsidR="007B1D4A" w:rsidRPr="00C83C71">
        <w:rPr>
          <w:rFonts w:ascii="Arial" w:hAnsi="Arial" w:cs="Arial"/>
          <w:sz w:val="24"/>
          <w:szCs w:val="24"/>
        </w:rPr>
        <w:t>e</w:t>
      </w:r>
      <w:r w:rsidR="000D2937" w:rsidRPr="00C83C71">
        <w:rPr>
          <w:rFonts w:ascii="Arial" w:hAnsi="Arial" w:cs="Arial"/>
          <w:sz w:val="24"/>
          <w:szCs w:val="24"/>
        </w:rPr>
        <w:t xml:space="preserve">r costs as ordered by </w:t>
      </w:r>
      <w:proofErr w:type="spellStart"/>
      <w:r w:rsidR="000D2937" w:rsidRPr="00C83C71">
        <w:rPr>
          <w:rFonts w:ascii="Arial" w:hAnsi="Arial" w:cs="Arial"/>
          <w:sz w:val="24"/>
          <w:szCs w:val="24"/>
        </w:rPr>
        <w:t>Dolamo</w:t>
      </w:r>
      <w:proofErr w:type="spellEnd"/>
      <w:r w:rsidR="000D2937" w:rsidRPr="00C83C71">
        <w:rPr>
          <w:rFonts w:ascii="Arial" w:hAnsi="Arial" w:cs="Arial"/>
          <w:sz w:val="24"/>
          <w:szCs w:val="24"/>
        </w:rPr>
        <w:t xml:space="preserve"> J. Consequently, I am not persuaded that the Applicant has exhausted other remedies at her disposal, which is a prerequisite for final relief.</w:t>
      </w:r>
    </w:p>
    <w:p w14:paraId="6F721CDB" w14:textId="77777777" w:rsidR="00A876C3" w:rsidRDefault="00A876C3" w:rsidP="00A876C3">
      <w:pPr>
        <w:pStyle w:val="ListParagraph"/>
        <w:spacing w:line="480" w:lineRule="auto"/>
        <w:ind w:left="0"/>
        <w:jc w:val="both"/>
        <w:rPr>
          <w:rFonts w:ascii="Arial" w:hAnsi="Arial" w:cs="Arial"/>
          <w:sz w:val="24"/>
          <w:szCs w:val="24"/>
        </w:rPr>
      </w:pPr>
    </w:p>
    <w:p w14:paraId="26E4D9D4" w14:textId="5AAE6554" w:rsidR="0085090F" w:rsidRPr="00774FBF" w:rsidRDefault="00F92AD4" w:rsidP="00A876C3">
      <w:pPr>
        <w:pStyle w:val="ListParagraph"/>
        <w:spacing w:line="480" w:lineRule="auto"/>
        <w:ind w:left="0"/>
        <w:jc w:val="both"/>
        <w:rPr>
          <w:rFonts w:ascii="Arial" w:hAnsi="Arial" w:cs="Arial"/>
          <w:b/>
          <w:sz w:val="24"/>
          <w:szCs w:val="24"/>
        </w:rPr>
      </w:pPr>
      <w:r w:rsidRPr="00774FBF">
        <w:rPr>
          <w:rFonts w:ascii="Arial" w:hAnsi="Arial" w:cs="Arial"/>
          <w:b/>
          <w:sz w:val="24"/>
          <w:szCs w:val="24"/>
        </w:rPr>
        <w:t>Competing authorisations</w:t>
      </w:r>
    </w:p>
    <w:p w14:paraId="7C2827D8" w14:textId="13862A06" w:rsidR="00A715B7" w:rsidRPr="00CF2470" w:rsidRDefault="00C83C71" w:rsidP="00C83C71">
      <w:pPr>
        <w:tabs>
          <w:tab w:val="left" w:pos="567"/>
        </w:tabs>
        <w:spacing w:line="480" w:lineRule="auto"/>
        <w:jc w:val="both"/>
      </w:pPr>
      <w:r w:rsidRPr="00CF2470">
        <w:rPr>
          <w:rFonts w:ascii="Arial" w:hAnsi="Arial" w:cs="Arial"/>
          <w:sz w:val="24"/>
          <w:lang w:val="en-ZA"/>
        </w:rPr>
        <w:t xml:space="preserve">[24]     </w:t>
      </w:r>
      <w:r w:rsidRPr="00CF2470">
        <w:rPr>
          <w:rFonts w:ascii="Arial" w:hAnsi="Arial" w:cs="Arial"/>
          <w:sz w:val="24"/>
          <w:lang w:val="en-ZA"/>
        </w:rPr>
        <w:tab/>
      </w:r>
      <w:r w:rsidR="00A715B7" w:rsidRPr="00C83C71">
        <w:rPr>
          <w:rFonts w:ascii="Arial" w:hAnsi="Arial" w:cs="Arial"/>
          <w:sz w:val="24"/>
          <w:szCs w:val="24"/>
        </w:rPr>
        <w:t xml:space="preserve">An expeditious resolution was envisaged by </w:t>
      </w:r>
      <w:proofErr w:type="spellStart"/>
      <w:r w:rsidR="00A715B7" w:rsidRPr="00C83C71">
        <w:rPr>
          <w:rFonts w:ascii="Arial" w:hAnsi="Arial" w:cs="Arial"/>
          <w:sz w:val="24"/>
          <w:szCs w:val="24"/>
        </w:rPr>
        <w:t>Thulare</w:t>
      </w:r>
      <w:proofErr w:type="spellEnd"/>
      <w:r w:rsidR="00A715B7" w:rsidRPr="00C83C71">
        <w:rPr>
          <w:rFonts w:ascii="Arial" w:hAnsi="Arial" w:cs="Arial"/>
          <w:sz w:val="24"/>
          <w:szCs w:val="24"/>
        </w:rPr>
        <w:t xml:space="preserve"> J whereby the Applicant is </w:t>
      </w:r>
      <w:proofErr w:type="spellStart"/>
      <w:r w:rsidR="00A715B7" w:rsidRPr="00C83C71">
        <w:rPr>
          <w:rFonts w:ascii="Arial" w:hAnsi="Arial" w:cs="Arial"/>
          <w:sz w:val="24"/>
          <w:szCs w:val="24"/>
        </w:rPr>
        <w:t>authorised</w:t>
      </w:r>
      <w:proofErr w:type="spellEnd"/>
      <w:r w:rsidR="00A715B7" w:rsidRPr="00C83C71">
        <w:rPr>
          <w:rFonts w:ascii="Arial" w:hAnsi="Arial" w:cs="Arial"/>
          <w:sz w:val="24"/>
          <w:szCs w:val="24"/>
        </w:rPr>
        <w:t xml:space="preserve"> to place the property on the market and sell it and to divide the proceeds from the sale thereof between herself and the first Respondent equally. The order clearly and unambiguously states that the property is to be placed on the open market. The attempt by the Applicant to purchase the property is t</w:t>
      </w:r>
      <w:r w:rsidR="00E97108" w:rsidRPr="00C83C71">
        <w:rPr>
          <w:rFonts w:ascii="Arial" w:hAnsi="Arial" w:cs="Arial"/>
          <w:sz w:val="24"/>
          <w:szCs w:val="24"/>
        </w:rPr>
        <w:t>herefore contrary to the purport</w:t>
      </w:r>
      <w:r w:rsidR="00A715B7" w:rsidRPr="00C83C71">
        <w:rPr>
          <w:rFonts w:ascii="Arial" w:hAnsi="Arial" w:cs="Arial"/>
          <w:sz w:val="24"/>
          <w:szCs w:val="24"/>
        </w:rPr>
        <w:t xml:space="preserve"> of the order. </w:t>
      </w:r>
    </w:p>
    <w:p w14:paraId="5543BF1F" w14:textId="77777777" w:rsidR="00CF2470" w:rsidRPr="00E16A57" w:rsidRDefault="00CF2470" w:rsidP="00CF2470">
      <w:pPr>
        <w:pStyle w:val="ListParagraph"/>
        <w:spacing w:line="480" w:lineRule="auto"/>
        <w:ind w:left="0"/>
        <w:jc w:val="both"/>
      </w:pPr>
    </w:p>
    <w:p w14:paraId="2B8D79DD" w14:textId="22A8254D" w:rsidR="00F92AD4" w:rsidRPr="00C83C71" w:rsidRDefault="00C83C71" w:rsidP="00C83C71">
      <w:pPr>
        <w:tabs>
          <w:tab w:val="left" w:pos="567"/>
        </w:tabs>
        <w:spacing w:line="480" w:lineRule="auto"/>
        <w:jc w:val="both"/>
        <w:rPr>
          <w:rFonts w:ascii="Arial" w:hAnsi="Arial" w:cs="Arial"/>
          <w:sz w:val="24"/>
          <w:szCs w:val="24"/>
        </w:rPr>
      </w:pPr>
      <w:r w:rsidRPr="005404A2">
        <w:rPr>
          <w:rFonts w:ascii="Arial" w:hAnsi="Arial" w:cs="Arial"/>
          <w:sz w:val="24"/>
          <w:szCs w:val="24"/>
          <w:lang w:val="en-ZA"/>
        </w:rPr>
        <w:t xml:space="preserve">[25]     </w:t>
      </w:r>
      <w:r w:rsidRPr="005404A2">
        <w:rPr>
          <w:rFonts w:ascii="Arial" w:hAnsi="Arial" w:cs="Arial"/>
          <w:sz w:val="24"/>
          <w:szCs w:val="24"/>
          <w:lang w:val="en-ZA"/>
        </w:rPr>
        <w:tab/>
      </w:r>
      <w:r w:rsidR="00541B78" w:rsidRPr="00C83C71">
        <w:rPr>
          <w:rFonts w:ascii="Arial" w:hAnsi="Arial" w:cs="Arial"/>
          <w:sz w:val="24"/>
          <w:szCs w:val="24"/>
        </w:rPr>
        <w:t>The Applicant is desirous to marke</w:t>
      </w:r>
      <w:r w:rsidR="00BF5EA2" w:rsidRPr="00C83C71">
        <w:rPr>
          <w:rFonts w:ascii="Arial" w:hAnsi="Arial" w:cs="Arial"/>
          <w:sz w:val="24"/>
          <w:szCs w:val="24"/>
        </w:rPr>
        <w:t>t</w:t>
      </w:r>
      <w:r w:rsidR="00541B78" w:rsidRPr="00C83C71">
        <w:rPr>
          <w:rFonts w:ascii="Arial" w:hAnsi="Arial" w:cs="Arial"/>
          <w:sz w:val="24"/>
          <w:szCs w:val="24"/>
        </w:rPr>
        <w:t xml:space="preserve"> and freely sell the property in the manner permitted to her through the court order</w:t>
      </w:r>
      <w:r w:rsidR="00F92AD4" w:rsidRPr="00C83C71">
        <w:rPr>
          <w:rFonts w:ascii="Arial" w:hAnsi="Arial" w:cs="Arial"/>
          <w:sz w:val="24"/>
          <w:szCs w:val="24"/>
        </w:rPr>
        <w:t xml:space="preserve"> of </w:t>
      </w:r>
      <w:proofErr w:type="spellStart"/>
      <w:r w:rsidR="00F92AD4" w:rsidRPr="00C83C71">
        <w:rPr>
          <w:rFonts w:ascii="Arial" w:hAnsi="Arial" w:cs="Arial"/>
          <w:sz w:val="24"/>
          <w:szCs w:val="24"/>
        </w:rPr>
        <w:t>Thulare</w:t>
      </w:r>
      <w:proofErr w:type="spellEnd"/>
      <w:r w:rsidR="00F92AD4" w:rsidRPr="00C83C71">
        <w:rPr>
          <w:rFonts w:ascii="Arial" w:hAnsi="Arial" w:cs="Arial"/>
          <w:sz w:val="24"/>
          <w:szCs w:val="24"/>
        </w:rPr>
        <w:t xml:space="preserve"> J</w:t>
      </w:r>
      <w:r w:rsidR="00541B78" w:rsidRPr="00C83C71">
        <w:rPr>
          <w:rFonts w:ascii="Arial" w:hAnsi="Arial" w:cs="Arial"/>
          <w:sz w:val="24"/>
          <w:szCs w:val="24"/>
        </w:rPr>
        <w:t xml:space="preserve">. </w:t>
      </w:r>
      <w:r w:rsidR="00846F41" w:rsidRPr="00C83C71">
        <w:rPr>
          <w:rFonts w:ascii="Arial" w:hAnsi="Arial" w:cs="Arial"/>
          <w:sz w:val="24"/>
          <w:szCs w:val="24"/>
        </w:rPr>
        <w:t xml:space="preserve"> It was argued that the order</w:t>
      </w:r>
      <w:r w:rsidR="000E50C7" w:rsidRPr="00C83C71">
        <w:rPr>
          <w:rFonts w:ascii="Arial" w:hAnsi="Arial" w:cs="Arial"/>
          <w:sz w:val="24"/>
          <w:szCs w:val="24"/>
        </w:rPr>
        <w:t xml:space="preserve"> </w:t>
      </w:r>
      <w:r w:rsidR="004F6878" w:rsidRPr="00C83C71">
        <w:rPr>
          <w:rFonts w:ascii="Arial" w:hAnsi="Arial" w:cs="Arial"/>
          <w:sz w:val="24"/>
          <w:szCs w:val="24"/>
        </w:rPr>
        <w:t>permits</w:t>
      </w:r>
      <w:r w:rsidR="000E50C7" w:rsidRPr="00C83C71">
        <w:rPr>
          <w:rFonts w:ascii="Arial" w:hAnsi="Arial" w:cs="Arial"/>
          <w:sz w:val="24"/>
          <w:szCs w:val="24"/>
        </w:rPr>
        <w:t xml:space="preserve"> the Applicant alone to place the property on the market to sell it and divide the proceeds from the sale thereof between herself and the deceased estate equally.</w:t>
      </w:r>
      <w:r w:rsidR="0069687F" w:rsidRPr="00C83C71">
        <w:rPr>
          <w:rFonts w:ascii="Arial" w:hAnsi="Arial" w:cs="Arial"/>
          <w:sz w:val="24"/>
          <w:szCs w:val="24"/>
        </w:rPr>
        <w:t xml:space="preserve"> </w:t>
      </w:r>
      <w:r w:rsidR="005404A2" w:rsidRPr="00C83C71">
        <w:rPr>
          <w:rFonts w:ascii="Arial" w:hAnsi="Arial" w:cs="Arial"/>
          <w:sz w:val="24"/>
          <w:szCs w:val="24"/>
        </w:rPr>
        <w:t>Inasmuch as the Applicant owns</w:t>
      </w:r>
      <w:r w:rsidR="00BF5EA2" w:rsidRPr="00C83C71">
        <w:rPr>
          <w:rFonts w:ascii="Arial" w:hAnsi="Arial" w:cs="Arial"/>
          <w:sz w:val="24"/>
          <w:szCs w:val="24"/>
        </w:rPr>
        <w:t xml:space="preserve"> a</w:t>
      </w:r>
      <w:r w:rsidR="005404A2" w:rsidRPr="00C83C71">
        <w:rPr>
          <w:rFonts w:ascii="Arial" w:hAnsi="Arial" w:cs="Arial"/>
          <w:sz w:val="24"/>
          <w:szCs w:val="24"/>
        </w:rPr>
        <w:t xml:space="preserve"> half share in the property, it is evident that </w:t>
      </w:r>
      <w:proofErr w:type="spellStart"/>
      <w:r w:rsidR="005404A2" w:rsidRPr="00C83C71">
        <w:rPr>
          <w:rFonts w:ascii="Arial" w:hAnsi="Arial" w:cs="Arial"/>
          <w:sz w:val="24"/>
          <w:szCs w:val="24"/>
        </w:rPr>
        <w:t>Thulare</w:t>
      </w:r>
      <w:proofErr w:type="spellEnd"/>
      <w:r w:rsidR="005404A2" w:rsidRPr="00C83C71">
        <w:rPr>
          <w:rFonts w:ascii="Arial" w:hAnsi="Arial" w:cs="Arial"/>
          <w:sz w:val="24"/>
          <w:szCs w:val="24"/>
        </w:rPr>
        <w:t xml:space="preserve"> J’s order did not envisage the current situation. </w:t>
      </w:r>
    </w:p>
    <w:p w14:paraId="6D88D871" w14:textId="77777777" w:rsidR="00161F8B" w:rsidRPr="00161F8B" w:rsidRDefault="00161F8B" w:rsidP="00161F8B">
      <w:pPr>
        <w:pStyle w:val="ListParagraph"/>
        <w:spacing w:line="480" w:lineRule="auto"/>
        <w:ind w:left="0"/>
        <w:jc w:val="both"/>
      </w:pPr>
    </w:p>
    <w:p w14:paraId="35E459FE" w14:textId="442CDB85" w:rsidR="00161F8B" w:rsidRPr="00D40DE3" w:rsidRDefault="00C83C71" w:rsidP="00C83C71">
      <w:pPr>
        <w:tabs>
          <w:tab w:val="left" w:pos="567"/>
        </w:tabs>
        <w:spacing w:line="480" w:lineRule="auto"/>
        <w:jc w:val="both"/>
      </w:pPr>
      <w:r w:rsidRPr="00D40DE3">
        <w:rPr>
          <w:rFonts w:ascii="Arial" w:hAnsi="Arial" w:cs="Arial"/>
          <w:sz w:val="24"/>
          <w:lang w:val="en-ZA"/>
        </w:rPr>
        <w:t xml:space="preserve">[26]     </w:t>
      </w:r>
      <w:r w:rsidRPr="00D40DE3">
        <w:rPr>
          <w:rFonts w:ascii="Arial" w:hAnsi="Arial" w:cs="Arial"/>
          <w:sz w:val="24"/>
          <w:lang w:val="en-ZA"/>
        </w:rPr>
        <w:tab/>
      </w:r>
      <w:r w:rsidR="00161F8B" w:rsidRPr="00C83C71">
        <w:rPr>
          <w:rFonts w:ascii="Arial" w:hAnsi="Arial" w:cs="Arial"/>
          <w:sz w:val="24"/>
          <w:szCs w:val="24"/>
        </w:rPr>
        <w:t xml:space="preserve">The question to be answered is whether the Applicant, by virtue of </w:t>
      </w:r>
      <w:proofErr w:type="spellStart"/>
      <w:r w:rsidR="00161F8B" w:rsidRPr="00C83C71">
        <w:rPr>
          <w:rFonts w:ascii="Arial" w:hAnsi="Arial" w:cs="Arial"/>
          <w:sz w:val="24"/>
          <w:szCs w:val="24"/>
        </w:rPr>
        <w:t>Thulare</w:t>
      </w:r>
      <w:proofErr w:type="spellEnd"/>
      <w:r w:rsidR="00161F8B" w:rsidRPr="00C83C71">
        <w:rPr>
          <w:rFonts w:ascii="Arial" w:hAnsi="Arial" w:cs="Arial"/>
          <w:sz w:val="24"/>
          <w:szCs w:val="24"/>
        </w:rPr>
        <w:t xml:space="preserve"> J’s order, enjoy</w:t>
      </w:r>
      <w:r w:rsidR="00BF5EA2" w:rsidRPr="00C83C71">
        <w:rPr>
          <w:rFonts w:ascii="Arial" w:hAnsi="Arial" w:cs="Arial"/>
          <w:sz w:val="24"/>
          <w:szCs w:val="24"/>
        </w:rPr>
        <w:t>s</w:t>
      </w:r>
      <w:r w:rsidR="00161F8B" w:rsidRPr="00C83C71">
        <w:rPr>
          <w:rFonts w:ascii="Arial" w:hAnsi="Arial" w:cs="Arial"/>
          <w:sz w:val="24"/>
          <w:szCs w:val="24"/>
        </w:rPr>
        <w:t xml:space="preserve"> an entitlement to access the property as of right and does she have the express right in terms of the aforementioned court orders to exclusive</w:t>
      </w:r>
      <w:r w:rsidR="006B553A" w:rsidRPr="00C83C71">
        <w:rPr>
          <w:rFonts w:ascii="Arial" w:hAnsi="Arial" w:cs="Arial"/>
          <w:sz w:val="24"/>
          <w:szCs w:val="24"/>
        </w:rPr>
        <w:t xml:space="preserve">ly </w:t>
      </w:r>
      <w:r w:rsidR="006B553A" w:rsidRPr="00C83C71">
        <w:rPr>
          <w:rFonts w:ascii="Arial" w:hAnsi="Arial" w:cs="Arial"/>
          <w:sz w:val="24"/>
          <w:szCs w:val="24"/>
        </w:rPr>
        <w:lastRenderedPageBreak/>
        <w:t>market and sell the property.</w:t>
      </w:r>
      <w:r w:rsidR="00161F8B" w:rsidRPr="00C83C71">
        <w:rPr>
          <w:rFonts w:ascii="Arial" w:hAnsi="Arial" w:cs="Arial"/>
          <w:sz w:val="24"/>
          <w:szCs w:val="24"/>
        </w:rPr>
        <w:t xml:space="preserve">  </w:t>
      </w:r>
      <w:r w:rsidR="00846F41" w:rsidRPr="00C83C71">
        <w:rPr>
          <w:rFonts w:ascii="Arial" w:hAnsi="Arial" w:cs="Arial"/>
          <w:sz w:val="24"/>
          <w:szCs w:val="24"/>
        </w:rPr>
        <w:t>This consideration is to be weighed up against t</w:t>
      </w:r>
      <w:r w:rsidR="00161F8B" w:rsidRPr="00C83C71">
        <w:rPr>
          <w:rFonts w:ascii="Arial" w:hAnsi="Arial" w:cs="Arial"/>
          <w:sz w:val="24"/>
          <w:szCs w:val="24"/>
        </w:rPr>
        <w:t>he Executor</w:t>
      </w:r>
      <w:r w:rsidR="00846F41" w:rsidRPr="00C83C71">
        <w:rPr>
          <w:rFonts w:ascii="Arial" w:hAnsi="Arial" w:cs="Arial"/>
          <w:sz w:val="24"/>
          <w:szCs w:val="24"/>
        </w:rPr>
        <w:t>’s</w:t>
      </w:r>
      <w:r w:rsidR="006B553A" w:rsidRPr="00C83C71">
        <w:rPr>
          <w:rFonts w:ascii="Arial" w:hAnsi="Arial" w:cs="Arial"/>
          <w:sz w:val="24"/>
          <w:szCs w:val="24"/>
        </w:rPr>
        <w:t xml:space="preserve"> mandate</w:t>
      </w:r>
      <w:r w:rsidR="00161F8B" w:rsidRPr="00C83C71">
        <w:rPr>
          <w:rFonts w:ascii="Arial" w:hAnsi="Arial" w:cs="Arial"/>
          <w:sz w:val="24"/>
          <w:szCs w:val="24"/>
        </w:rPr>
        <w:t xml:space="preserve"> by virtue of his authority as an Executor. The Second R</w:t>
      </w:r>
      <w:r w:rsidR="00711AB3" w:rsidRPr="00C83C71">
        <w:rPr>
          <w:rFonts w:ascii="Arial" w:hAnsi="Arial" w:cs="Arial"/>
          <w:sz w:val="24"/>
          <w:szCs w:val="24"/>
        </w:rPr>
        <w:t>espondent was appointed as the E</w:t>
      </w:r>
      <w:r w:rsidR="00161F8B" w:rsidRPr="00C83C71">
        <w:rPr>
          <w:rFonts w:ascii="Arial" w:hAnsi="Arial" w:cs="Arial"/>
          <w:sz w:val="24"/>
          <w:szCs w:val="24"/>
        </w:rPr>
        <w:t>xecutor on 2 June 2023.</w:t>
      </w:r>
      <w:r w:rsidR="00161F8B">
        <w:rPr>
          <w:rStyle w:val="FootnoteReference"/>
          <w:rFonts w:ascii="Arial" w:hAnsi="Arial" w:cs="Arial"/>
          <w:sz w:val="24"/>
          <w:szCs w:val="24"/>
        </w:rPr>
        <w:footnoteReference w:id="16"/>
      </w:r>
      <w:r w:rsidR="00E97108" w:rsidRPr="00C83C71">
        <w:rPr>
          <w:rFonts w:ascii="Arial" w:hAnsi="Arial" w:cs="Arial"/>
          <w:sz w:val="24"/>
          <w:szCs w:val="24"/>
        </w:rPr>
        <w:t xml:space="preserve">  </w:t>
      </w:r>
      <w:r w:rsidR="00161F8B" w:rsidRPr="00C83C71">
        <w:rPr>
          <w:rFonts w:ascii="Arial" w:hAnsi="Arial" w:cs="Arial"/>
          <w:sz w:val="24"/>
          <w:szCs w:val="24"/>
        </w:rPr>
        <w:t>Section 26 of the Administration of Estates Act</w:t>
      </w:r>
      <w:r w:rsidR="00275AD9">
        <w:rPr>
          <w:rStyle w:val="FootnoteReference"/>
          <w:rFonts w:ascii="Arial" w:hAnsi="Arial" w:cs="Arial"/>
          <w:sz w:val="24"/>
          <w:szCs w:val="24"/>
        </w:rPr>
        <w:footnoteReference w:id="17"/>
      </w:r>
      <w:r w:rsidR="00161F8B" w:rsidRPr="00C83C71">
        <w:rPr>
          <w:rFonts w:ascii="Arial" w:hAnsi="Arial" w:cs="Arial"/>
          <w:sz w:val="24"/>
          <w:szCs w:val="24"/>
        </w:rPr>
        <w:t>, stipulates that:</w:t>
      </w:r>
    </w:p>
    <w:p w14:paraId="145D3154" w14:textId="77777777" w:rsidR="00161F8B" w:rsidRDefault="00161F8B" w:rsidP="00161F8B">
      <w:pPr>
        <w:pStyle w:val="ListParagraph"/>
      </w:pPr>
    </w:p>
    <w:p w14:paraId="563A2500" w14:textId="77777777" w:rsidR="00161F8B" w:rsidRPr="009C2FF8" w:rsidRDefault="00161F8B" w:rsidP="00161F8B">
      <w:pPr>
        <w:pStyle w:val="ListParagraph"/>
        <w:spacing w:line="360" w:lineRule="auto"/>
        <w:ind w:right="720"/>
        <w:jc w:val="both"/>
        <w:rPr>
          <w:rFonts w:ascii="Arial" w:hAnsi="Arial" w:cs="Arial"/>
          <w:b/>
          <w:i/>
        </w:rPr>
      </w:pPr>
      <w:r>
        <w:rPr>
          <w:rFonts w:ascii="Arial" w:hAnsi="Arial" w:cs="Arial"/>
          <w:i/>
        </w:rPr>
        <w:t>‘</w:t>
      </w:r>
      <w:r w:rsidRPr="009C2FF8">
        <w:rPr>
          <w:rFonts w:ascii="Arial" w:hAnsi="Arial" w:cs="Arial"/>
          <w:b/>
          <w:i/>
        </w:rPr>
        <w:t>26 Executor charged with custody and control of property in estate</w:t>
      </w:r>
    </w:p>
    <w:p w14:paraId="0FAA67C4" w14:textId="13AEFD58" w:rsidR="00161F8B" w:rsidRPr="00C83C71" w:rsidRDefault="00C83C71" w:rsidP="00C83C71">
      <w:pPr>
        <w:spacing w:line="360" w:lineRule="auto"/>
        <w:ind w:left="1080" w:right="720" w:hanging="360"/>
        <w:jc w:val="both"/>
        <w:rPr>
          <w:rFonts w:ascii="Arial" w:hAnsi="Arial" w:cs="Arial"/>
          <w:i/>
        </w:rPr>
      </w:pPr>
      <w:r>
        <w:rPr>
          <w:rFonts w:ascii="Arial" w:hAnsi="Arial" w:cs="Arial"/>
          <w:i/>
          <w:lang w:val="en-ZA"/>
        </w:rPr>
        <w:t>(1)</w:t>
      </w:r>
      <w:r>
        <w:rPr>
          <w:rFonts w:ascii="Arial" w:hAnsi="Arial" w:cs="Arial"/>
          <w:i/>
          <w:lang w:val="en-ZA"/>
        </w:rPr>
        <w:tab/>
      </w:r>
      <w:r w:rsidR="00161F8B" w:rsidRPr="00C83C71">
        <w:rPr>
          <w:rFonts w:ascii="Arial" w:hAnsi="Arial" w:cs="Arial"/>
          <w:i/>
        </w:rPr>
        <w:t>Immediately after letters of executorship have been granted to him an executor shall take into his custody or under his control all the property, books and documents in the estate and not in the possession of any person who claims to be entitled to retain it under any contract, right of retention or attachment.</w:t>
      </w:r>
    </w:p>
    <w:p w14:paraId="175B79DC" w14:textId="6D801ECE" w:rsidR="00161F8B" w:rsidRPr="00C83C71" w:rsidRDefault="00C83C71" w:rsidP="00C83C71">
      <w:pPr>
        <w:spacing w:line="360" w:lineRule="auto"/>
        <w:ind w:left="1080" w:right="720" w:hanging="360"/>
        <w:jc w:val="both"/>
        <w:rPr>
          <w:rFonts w:ascii="Arial" w:hAnsi="Arial" w:cs="Arial"/>
          <w:i/>
        </w:rPr>
      </w:pPr>
      <w:r>
        <w:rPr>
          <w:rFonts w:ascii="Arial" w:hAnsi="Arial" w:cs="Arial"/>
          <w:i/>
          <w:lang w:val="en-ZA"/>
        </w:rPr>
        <w:t>(2)</w:t>
      </w:r>
      <w:r>
        <w:rPr>
          <w:rFonts w:ascii="Arial" w:hAnsi="Arial" w:cs="Arial"/>
          <w:i/>
          <w:lang w:val="en-ZA"/>
        </w:rPr>
        <w:tab/>
      </w:r>
      <w:r w:rsidR="00161F8B" w:rsidRPr="00C83C71">
        <w:rPr>
          <w:rFonts w:ascii="Arial" w:hAnsi="Arial" w:cs="Arial"/>
          <w:i/>
        </w:rPr>
        <w:t>If the executor has reason to believe that any such property, book or document is concealed or otherwise unlawfully withheld from him, he may apply to the magistrate having jurisdiction for a search warrant mentioned in subsection (3).</w:t>
      </w:r>
    </w:p>
    <w:p w14:paraId="2B5EB47B" w14:textId="693BEE94" w:rsidR="00161F8B" w:rsidRPr="00C83C71" w:rsidRDefault="00C83C71" w:rsidP="00C83C71">
      <w:pPr>
        <w:spacing w:line="360" w:lineRule="auto"/>
        <w:ind w:left="1080" w:right="720" w:hanging="360"/>
        <w:jc w:val="both"/>
        <w:rPr>
          <w:rFonts w:ascii="Arial" w:hAnsi="Arial" w:cs="Arial"/>
          <w:i/>
        </w:rPr>
      </w:pPr>
      <w:r>
        <w:rPr>
          <w:rFonts w:ascii="Arial" w:hAnsi="Arial" w:cs="Arial"/>
          <w:i/>
          <w:lang w:val="en-ZA"/>
        </w:rPr>
        <w:t>(3)</w:t>
      </w:r>
      <w:r>
        <w:rPr>
          <w:rFonts w:ascii="Arial" w:hAnsi="Arial" w:cs="Arial"/>
          <w:i/>
          <w:lang w:val="en-ZA"/>
        </w:rPr>
        <w:tab/>
      </w:r>
      <w:r w:rsidR="00161F8B" w:rsidRPr="00C83C71">
        <w:rPr>
          <w:rFonts w:ascii="Arial" w:hAnsi="Arial" w:cs="Arial"/>
          <w:i/>
        </w:rPr>
        <w:t>If it appears to a magistrate to whom such application is made, from a statement made upon oath, that there are reasonable grounds for suspecting that any property, book or document in any deceased estate is concealed upon any person or at any place or upon or in any vehicle or vessel or receptacle of any nature, or is otherwise unlawfully withheld from the executor concerned,  within the area of the magistrate’s jurisdiction, he may issue a warrant to search for and take possession of that property, book or document.</w:t>
      </w:r>
    </w:p>
    <w:p w14:paraId="6B3E9811" w14:textId="5129DC63" w:rsidR="00161F8B" w:rsidRPr="00C83C71" w:rsidRDefault="00C83C71" w:rsidP="00C83C71">
      <w:pPr>
        <w:spacing w:line="360" w:lineRule="auto"/>
        <w:ind w:left="1080" w:right="720" w:hanging="360"/>
        <w:jc w:val="both"/>
        <w:rPr>
          <w:rFonts w:ascii="Arial" w:hAnsi="Arial" w:cs="Arial"/>
          <w:i/>
        </w:rPr>
      </w:pPr>
      <w:r w:rsidRPr="00D40DE3">
        <w:rPr>
          <w:rFonts w:ascii="Arial" w:hAnsi="Arial" w:cs="Arial"/>
          <w:i/>
          <w:lang w:val="en-ZA"/>
        </w:rPr>
        <w:t>(4)</w:t>
      </w:r>
      <w:r w:rsidRPr="00D40DE3">
        <w:rPr>
          <w:rFonts w:ascii="Arial" w:hAnsi="Arial" w:cs="Arial"/>
          <w:i/>
          <w:lang w:val="en-ZA"/>
        </w:rPr>
        <w:tab/>
      </w:r>
      <w:r w:rsidR="00161F8B" w:rsidRPr="00C83C71">
        <w:rPr>
          <w:rFonts w:ascii="Arial" w:hAnsi="Arial" w:cs="Arial"/>
          <w:i/>
        </w:rPr>
        <w:t>Such a warrant shall be executed in like manner as a warrant to search for stolen property, and the person executing the warrant shall deliver any article seize thereunder to the executor concerned.’</w:t>
      </w:r>
    </w:p>
    <w:p w14:paraId="5B5CA5A8" w14:textId="77777777" w:rsidR="00161F8B" w:rsidRDefault="00161F8B" w:rsidP="00161F8B">
      <w:pPr>
        <w:pStyle w:val="ListParagraph"/>
      </w:pPr>
    </w:p>
    <w:p w14:paraId="0C4C0403" w14:textId="39DDE621" w:rsidR="00161F8B" w:rsidRPr="0019133D" w:rsidRDefault="00C83C71" w:rsidP="00C83C71">
      <w:pPr>
        <w:tabs>
          <w:tab w:val="left" w:pos="567"/>
        </w:tabs>
        <w:spacing w:line="480" w:lineRule="auto"/>
        <w:jc w:val="both"/>
      </w:pPr>
      <w:r w:rsidRPr="0019133D">
        <w:rPr>
          <w:rFonts w:ascii="Arial" w:hAnsi="Arial" w:cs="Arial"/>
          <w:sz w:val="24"/>
          <w:lang w:val="en-ZA"/>
        </w:rPr>
        <w:lastRenderedPageBreak/>
        <w:t xml:space="preserve">[27]     </w:t>
      </w:r>
      <w:r w:rsidRPr="0019133D">
        <w:rPr>
          <w:rFonts w:ascii="Arial" w:hAnsi="Arial" w:cs="Arial"/>
          <w:sz w:val="24"/>
          <w:lang w:val="en-ZA"/>
        </w:rPr>
        <w:tab/>
      </w:r>
      <w:r w:rsidR="00161F8B" w:rsidRPr="00C83C71">
        <w:rPr>
          <w:rFonts w:ascii="Arial" w:hAnsi="Arial" w:cs="Arial"/>
          <w:sz w:val="24"/>
          <w:szCs w:val="24"/>
        </w:rPr>
        <w:t xml:space="preserve">This is the empowering provision that </w:t>
      </w:r>
      <w:proofErr w:type="spellStart"/>
      <w:r w:rsidR="00161F8B" w:rsidRPr="00C83C71">
        <w:rPr>
          <w:rFonts w:ascii="Arial" w:hAnsi="Arial" w:cs="Arial"/>
          <w:sz w:val="24"/>
          <w:szCs w:val="24"/>
        </w:rPr>
        <w:t>authorises</w:t>
      </w:r>
      <w:proofErr w:type="spellEnd"/>
      <w:r w:rsidR="00161F8B" w:rsidRPr="00C83C71">
        <w:rPr>
          <w:rFonts w:ascii="Arial" w:hAnsi="Arial" w:cs="Arial"/>
          <w:sz w:val="24"/>
          <w:szCs w:val="24"/>
        </w:rPr>
        <w:t xml:space="preserve"> the </w:t>
      </w:r>
      <w:r w:rsidR="0074035C" w:rsidRPr="00C83C71">
        <w:rPr>
          <w:rFonts w:ascii="Arial" w:hAnsi="Arial" w:cs="Arial"/>
          <w:sz w:val="24"/>
          <w:szCs w:val="24"/>
        </w:rPr>
        <w:t>E</w:t>
      </w:r>
      <w:r w:rsidR="00161F8B" w:rsidRPr="00C83C71">
        <w:rPr>
          <w:rFonts w:ascii="Arial" w:hAnsi="Arial" w:cs="Arial"/>
          <w:sz w:val="24"/>
          <w:szCs w:val="24"/>
        </w:rPr>
        <w:t>xecutor to take into custody and control of all property in an estate. In this regard, it was submitted that the assets of the estate could not be taken under the control of, and the interests of the estate</w:t>
      </w:r>
      <w:r w:rsidR="00711AB3" w:rsidRPr="00C83C71">
        <w:rPr>
          <w:rFonts w:ascii="Arial" w:hAnsi="Arial" w:cs="Arial"/>
          <w:sz w:val="24"/>
          <w:szCs w:val="24"/>
        </w:rPr>
        <w:t xml:space="preserve"> could not be protected by the E</w:t>
      </w:r>
      <w:r w:rsidR="00161F8B" w:rsidRPr="00C83C71">
        <w:rPr>
          <w:rFonts w:ascii="Arial" w:hAnsi="Arial" w:cs="Arial"/>
          <w:sz w:val="24"/>
          <w:szCs w:val="24"/>
        </w:rPr>
        <w:t>xecutor as envisaged in terms of the Administration of Estates Act. The contention by the Respondents is that the Applicant seeks to clothe herself with powers which she is not enti</w:t>
      </w:r>
      <w:r w:rsidR="00962E9E" w:rsidRPr="00C83C71">
        <w:rPr>
          <w:rFonts w:ascii="Arial" w:hAnsi="Arial" w:cs="Arial"/>
          <w:sz w:val="24"/>
          <w:szCs w:val="24"/>
        </w:rPr>
        <w:t xml:space="preserve">tled to do, which begs the question whether </w:t>
      </w:r>
      <w:proofErr w:type="spellStart"/>
      <w:r w:rsidR="000B290D" w:rsidRPr="00C83C71">
        <w:rPr>
          <w:rFonts w:ascii="Arial" w:hAnsi="Arial" w:cs="Arial"/>
          <w:sz w:val="24"/>
          <w:szCs w:val="24"/>
        </w:rPr>
        <w:t>Thulare</w:t>
      </w:r>
      <w:proofErr w:type="spellEnd"/>
      <w:r w:rsidR="000B290D" w:rsidRPr="00C83C71">
        <w:rPr>
          <w:rFonts w:ascii="Arial" w:hAnsi="Arial" w:cs="Arial"/>
          <w:sz w:val="24"/>
          <w:szCs w:val="24"/>
        </w:rPr>
        <w:t xml:space="preserve"> J’s order effectively preclude</w:t>
      </w:r>
      <w:r w:rsidR="009E41CE" w:rsidRPr="00C83C71">
        <w:rPr>
          <w:rFonts w:ascii="Arial" w:hAnsi="Arial" w:cs="Arial"/>
          <w:sz w:val="24"/>
          <w:szCs w:val="24"/>
        </w:rPr>
        <w:t>s</w:t>
      </w:r>
      <w:r w:rsidR="000B290D" w:rsidRPr="00C83C71">
        <w:rPr>
          <w:rFonts w:ascii="Arial" w:hAnsi="Arial" w:cs="Arial"/>
          <w:sz w:val="24"/>
          <w:szCs w:val="24"/>
        </w:rPr>
        <w:t xml:space="preserve"> the Second Respondent from executing his mandate in te</w:t>
      </w:r>
      <w:r w:rsidR="00962E9E" w:rsidRPr="00C83C71">
        <w:rPr>
          <w:rFonts w:ascii="Arial" w:hAnsi="Arial" w:cs="Arial"/>
          <w:sz w:val="24"/>
          <w:szCs w:val="24"/>
        </w:rPr>
        <w:t>rms of the Letters of Authority.</w:t>
      </w:r>
    </w:p>
    <w:p w14:paraId="5B42A2BB" w14:textId="77777777" w:rsidR="0019133D" w:rsidRPr="000B290D" w:rsidRDefault="0019133D" w:rsidP="0019133D">
      <w:pPr>
        <w:pStyle w:val="ListParagraph"/>
        <w:spacing w:line="480" w:lineRule="auto"/>
        <w:ind w:left="0"/>
        <w:jc w:val="both"/>
      </w:pPr>
    </w:p>
    <w:p w14:paraId="2669D041" w14:textId="2BDF8F02" w:rsidR="0019133D" w:rsidRPr="00E91A5D" w:rsidRDefault="00C83C71" w:rsidP="00C83C71">
      <w:pPr>
        <w:tabs>
          <w:tab w:val="left" w:pos="567"/>
        </w:tabs>
        <w:spacing w:line="480" w:lineRule="auto"/>
        <w:jc w:val="both"/>
      </w:pPr>
      <w:r w:rsidRPr="00E91A5D">
        <w:rPr>
          <w:rFonts w:ascii="Arial" w:hAnsi="Arial" w:cs="Arial"/>
          <w:sz w:val="24"/>
          <w:lang w:val="en-ZA"/>
        </w:rPr>
        <w:t xml:space="preserve">[28]     </w:t>
      </w:r>
      <w:r w:rsidRPr="00E91A5D">
        <w:rPr>
          <w:rFonts w:ascii="Arial" w:hAnsi="Arial" w:cs="Arial"/>
          <w:sz w:val="24"/>
          <w:lang w:val="en-ZA"/>
        </w:rPr>
        <w:tab/>
      </w:r>
      <w:r w:rsidR="0019133D" w:rsidRPr="00C83C71">
        <w:rPr>
          <w:rFonts w:ascii="Arial" w:hAnsi="Arial" w:cs="Arial"/>
          <w:sz w:val="24"/>
          <w:szCs w:val="24"/>
        </w:rPr>
        <w:t xml:space="preserve">The right to market and sell the property was never afforded to the deceased, bearing in mind that he was still alive at the time when the court order was granted. At common law a court’s order becomes final and unalterable by that court at the moment of its pronouncement by the Judicial Officer. </w:t>
      </w:r>
      <w:r w:rsidR="00677CA1" w:rsidRPr="00C83C71">
        <w:rPr>
          <w:rFonts w:ascii="Arial" w:hAnsi="Arial" w:cs="Arial"/>
          <w:sz w:val="24"/>
          <w:szCs w:val="24"/>
        </w:rPr>
        <w:t xml:space="preserve"> The Constitutional Court in </w:t>
      </w:r>
      <w:r w:rsidR="00677CA1" w:rsidRPr="00C83C71">
        <w:rPr>
          <w:rFonts w:ascii="Arial" w:hAnsi="Arial" w:cs="Arial"/>
          <w:b/>
          <w:i/>
          <w:sz w:val="24"/>
          <w:szCs w:val="24"/>
        </w:rPr>
        <w:t xml:space="preserve">Municipal Manager OR Tambo District Municipality and Another V </w:t>
      </w:r>
      <w:proofErr w:type="spellStart"/>
      <w:r w:rsidR="00677CA1" w:rsidRPr="00C83C71">
        <w:rPr>
          <w:rFonts w:ascii="Arial" w:hAnsi="Arial" w:cs="Arial"/>
          <w:b/>
          <w:i/>
          <w:sz w:val="24"/>
          <w:szCs w:val="24"/>
        </w:rPr>
        <w:t>Ndabeni</w:t>
      </w:r>
      <w:proofErr w:type="spellEnd"/>
      <w:r w:rsidR="00677CA1" w:rsidRPr="00C83C71">
        <w:rPr>
          <w:rFonts w:ascii="Arial" w:hAnsi="Arial" w:cs="Arial"/>
          <w:b/>
          <w:sz w:val="24"/>
          <w:szCs w:val="24"/>
        </w:rPr>
        <w:t xml:space="preserve"> </w:t>
      </w:r>
      <w:r w:rsidR="00677CA1">
        <w:rPr>
          <w:rStyle w:val="FootnoteReference"/>
          <w:rFonts w:ascii="Arial" w:hAnsi="Arial" w:cs="Arial"/>
          <w:b/>
          <w:sz w:val="24"/>
          <w:szCs w:val="24"/>
        </w:rPr>
        <w:footnoteReference w:id="18"/>
      </w:r>
      <w:r w:rsidR="00677CA1" w:rsidRPr="00C83C71">
        <w:rPr>
          <w:rFonts w:ascii="Arial" w:hAnsi="Arial" w:cs="Arial"/>
          <w:sz w:val="24"/>
          <w:szCs w:val="24"/>
        </w:rPr>
        <w:t>reaffirmed that a court order is binding until it is set aside by a competent court and that this necessitates compliance, regardless of whether the party against whom the order is granted believes it to be a nullity o</w:t>
      </w:r>
      <w:r w:rsidR="009E41CE" w:rsidRPr="00C83C71">
        <w:rPr>
          <w:rFonts w:ascii="Arial" w:hAnsi="Arial" w:cs="Arial"/>
          <w:sz w:val="24"/>
          <w:szCs w:val="24"/>
        </w:rPr>
        <w:t>r</w:t>
      </w:r>
      <w:r w:rsidR="00677CA1" w:rsidRPr="00C83C71">
        <w:rPr>
          <w:rFonts w:ascii="Arial" w:hAnsi="Arial" w:cs="Arial"/>
          <w:sz w:val="24"/>
          <w:szCs w:val="24"/>
        </w:rPr>
        <w:t xml:space="preserve"> not. </w:t>
      </w:r>
      <w:proofErr w:type="spellStart"/>
      <w:r w:rsidR="00D762C5" w:rsidRPr="00C83C71">
        <w:rPr>
          <w:rFonts w:ascii="Arial" w:hAnsi="Arial" w:cs="Arial"/>
          <w:sz w:val="24"/>
          <w:szCs w:val="24"/>
        </w:rPr>
        <w:t>Thulare</w:t>
      </w:r>
      <w:proofErr w:type="spellEnd"/>
      <w:r w:rsidR="00D762C5" w:rsidRPr="00C83C71">
        <w:rPr>
          <w:rFonts w:ascii="Arial" w:hAnsi="Arial" w:cs="Arial"/>
          <w:sz w:val="24"/>
          <w:szCs w:val="24"/>
        </w:rPr>
        <w:t xml:space="preserve"> J’s judgment is un</w:t>
      </w:r>
      <w:r w:rsidR="0019133D" w:rsidRPr="00C83C71">
        <w:rPr>
          <w:rFonts w:ascii="Arial" w:hAnsi="Arial" w:cs="Arial"/>
          <w:sz w:val="24"/>
          <w:szCs w:val="24"/>
        </w:rPr>
        <w:t xml:space="preserve">ambiguous and the order remains undisturbed. However, the question remains whether the Applicant seeks to vary the order of </w:t>
      </w:r>
      <w:proofErr w:type="spellStart"/>
      <w:r w:rsidR="0019133D" w:rsidRPr="00C83C71">
        <w:rPr>
          <w:rFonts w:ascii="Arial" w:hAnsi="Arial" w:cs="Arial"/>
          <w:sz w:val="24"/>
          <w:szCs w:val="24"/>
        </w:rPr>
        <w:t>Thulare</w:t>
      </w:r>
      <w:proofErr w:type="spellEnd"/>
      <w:r w:rsidR="0019133D" w:rsidRPr="00C83C71">
        <w:rPr>
          <w:rFonts w:ascii="Arial" w:hAnsi="Arial" w:cs="Arial"/>
          <w:sz w:val="24"/>
          <w:szCs w:val="24"/>
        </w:rPr>
        <w:t xml:space="preserve"> J, given that the circumstances have significantly changed since </w:t>
      </w:r>
      <w:proofErr w:type="spellStart"/>
      <w:r w:rsidR="0019133D" w:rsidRPr="00C83C71">
        <w:rPr>
          <w:rFonts w:ascii="Arial" w:hAnsi="Arial" w:cs="Arial"/>
          <w:sz w:val="24"/>
          <w:szCs w:val="24"/>
        </w:rPr>
        <w:t>Thulare</w:t>
      </w:r>
      <w:proofErr w:type="spellEnd"/>
      <w:r w:rsidR="0019133D" w:rsidRPr="00C83C71">
        <w:rPr>
          <w:rFonts w:ascii="Arial" w:hAnsi="Arial" w:cs="Arial"/>
          <w:sz w:val="24"/>
          <w:szCs w:val="24"/>
        </w:rPr>
        <w:t xml:space="preserve"> J handed down his judgment. The landscape has changed by virtue of the Letters of Executorship issued in </w:t>
      </w:r>
      <w:proofErr w:type="spellStart"/>
      <w:r w:rsidR="0019133D" w:rsidRPr="00C83C71">
        <w:rPr>
          <w:rFonts w:ascii="Arial" w:hAnsi="Arial" w:cs="Arial"/>
          <w:sz w:val="24"/>
          <w:szCs w:val="24"/>
        </w:rPr>
        <w:t>favour</w:t>
      </w:r>
      <w:proofErr w:type="spellEnd"/>
      <w:r w:rsidR="0019133D" w:rsidRPr="00C83C71">
        <w:rPr>
          <w:rFonts w:ascii="Arial" w:hAnsi="Arial" w:cs="Arial"/>
          <w:sz w:val="24"/>
          <w:szCs w:val="24"/>
        </w:rPr>
        <w:t xml:space="preserve"> of the Second Respondent. </w:t>
      </w:r>
    </w:p>
    <w:p w14:paraId="44670BCE" w14:textId="77777777" w:rsidR="0019133D" w:rsidRPr="00E91A5D" w:rsidRDefault="0019133D" w:rsidP="0019133D">
      <w:pPr>
        <w:pStyle w:val="ListParagraph"/>
        <w:rPr>
          <w:rFonts w:ascii="Arial" w:hAnsi="Arial" w:cs="Arial"/>
          <w:sz w:val="24"/>
          <w:szCs w:val="24"/>
        </w:rPr>
      </w:pPr>
    </w:p>
    <w:p w14:paraId="403CAE89" w14:textId="3D6F51F1" w:rsidR="0019133D" w:rsidRPr="00735EB3" w:rsidRDefault="00C83C71" w:rsidP="00C83C71">
      <w:pPr>
        <w:tabs>
          <w:tab w:val="left" w:pos="567"/>
        </w:tabs>
        <w:spacing w:line="480" w:lineRule="auto"/>
        <w:jc w:val="both"/>
      </w:pPr>
      <w:r w:rsidRPr="00735EB3">
        <w:rPr>
          <w:rFonts w:ascii="Arial" w:hAnsi="Arial" w:cs="Arial"/>
          <w:sz w:val="24"/>
          <w:lang w:val="en-ZA"/>
        </w:rPr>
        <w:lastRenderedPageBreak/>
        <w:t xml:space="preserve">[29]     </w:t>
      </w:r>
      <w:r w:rsidRPr="00735EB3">
        <w:rPr>
          <w:rFonts w:ascii="Arial" w:hAnsi="Arial" w:cs="Arial"/>
          <w:sz w:val="24"/>
          <w:lang w:val="en-ZA"/>
        </w:rPr>
        <w:tab/>
      </w:r>
      <w:r w:rsidR="0019133D" w:rsidRPr="00C83C71">
        <w:rPr>
          <w:rFonts w:ascii="Arial" w:hAnsi="Arial" w:cs="Arial"/>
          <w:sz w:val="24"/>
          <w:szCs w:val="24"/>
        </w:rPr>
        <w:t xml:space="preserve">Ordinarily, </w:t>
      </w:r>
      <w:proofErr w:type="spellStart"/>
      <w:r w:rsidR="0019133D" w:rsidRPr="00C83C71">
        <w:rPr>
          <w:rFonts w:ascii="Arial" w:hAnsi="Arial" w:cs="Arial"/>
          <w:sz w:val="24"/>
          <w:szCs w:val="24"/>
        </w:rPr>
        <w:t>Thulare</w:t>
      </w:r>
      <w:proofErr w:type="spellEnd"/>
      <w:r w:rsidR="0019133D" w:rsidRPr="00C83C71">
        <w:rPr>
          <w:rFonts w:ascii="Arial" w:hAnsi="Arial" w:cs="Arial"/>
          <w:sz w:val="24"/>
          <w:szCs w:val="24"/>
        </w:rPr>
        <w:t xml:space="preserve"> J’s order stands and remain unalterable until it is varied or set aside. </w:t>
      </w:r>
      <w:r w:rsidR="00677CA1" w:rsidRPr="00C83C71">
        <w:rPr>
          <w:rFonts w:ascii="Arial" w:hAnsi="Arial" w:cs="Arial"/>
          <w:sz w:val="24"/>
          <w:szCs w:val="24"/>
        </w:rPr>
        <w:t xml:space="preserve">The circumstances </w:t>
      </w:r>
      <w:r w:rsidR="00677CA1" w:rsidRPr="00C83C71">
        <w:rPr>
          <w:rFonts w:ascii="Arial" w:hAnsi="Arial" w:cs="Arial"/>
          <w:i/>
          <w:sz w:val="24"/>
          <w:szCs w:val="24"/>
        </w:rPr>
        <w:t xml:space="preserve">in </w:t>
      </w:r>
      <w:proofErr w:type="spellStart"/>
      <w:r w:rsidR="00677CA1" w:rsidRPr="00C83C71">
        <w:rPr>
          <w:rFonts w:ascii="Arial" w:hAnsi="Arial" w:cs="Arial"/>
          <w:i/>
          <w:sz w:val="24"/>
          <w:szCs w:val="24"/>
        </w:rPr>
        <w:t>casu</w:t>
      </w:r>
      <w:proofErr w:type="spellEnd"/>
      <w:r w:rsidR="00CC05BA" w:rsidRPr="00C83C71">
        <w:rPr>
          <w:rFonts w:ascii="Arial" w:hAnsi="Arial" w:cs="Arial"/>
          <w:sz w:val="24"/>
          <w:szCs w:val="24"/>
        </w:rPr>
        <w:t xml:space="preserve"> requires consideration of what may be perceived as a competing authority</w:t>
      </w:r>
      <w:r w:rsidR="0019133D" w:rsidRPr="00C83C71">
        <w:rPr>
          <w:rFonts w:ascii="Arial" w:hAnsi="Arial" w:cs="Arial"/>
          <w:sz w:val="24"/>
          <w:szCs w:val="24"/>
        </w:rPr>
        <w:t xml:space="preserve"> in terms of the Administration of</w:t>
      </w:r>
      <w:r w:rsidR="000B6FA8" w:rsidRPr="00C83C71">
        <w:rPr>
          <w:rFonts w:ascii="Arial" w:hAnsi="Arial" w:cs="Arial"/>
          <w:sz w:val="24"/>
          <w:szCs w:val="24"/>
        </w:rPr>
        <w:t xml:space="preserve"> Estates Act that empowers the E</w:t>
      </w:r>
      <w:r w:rsidR="0019133D" w:rsidRPr="00C83C71">
        <w:rPr>
          <w:rFonts w:ascii="Arial" w:hAnsi="Arial" w:cs="Arial"/>
          <w:sz w:val="24"/>
          <w:szCs w:val="24"/>
        </w:rPr>
        <w:t xml:space="preserve">xecutor, in this case the Second Defendant to take control of the assets of the deceased estate. In my view, both the Applicant and the Executor who is </w:t>
      </w:r>
      <w:proofErr w:type="spellStart"/>
      <w:r w:rsidR="0019133D" w:rsidRPr="00C83C71">
        <w:rPr>
          <w:rFonts w:ascii="Arial" w:hAnsi="Arial" w:cs="Arial"/>
          <w:sz w:val="24"/>
          <w:szCs w:val="24"/>
        </w:rPr>
        <w:t>authorised</w:t>
      </w:r>
      <w:proofErr w:type="spellEnd"/>
      <w:r w:rsidR="0019133D" w:rsidRPr="00C83C71">
        <w:rPr>
          <w:rFonts w:ascii="Arial" w:hAnsi="Arial" w:cs="Arial"/>
          <w:sz w:val="24"/>
          <w:szCs w:val="24"/>
        </w:rPr>
        <w:t xml:space="preserve"> to take control of the half share of the inte</w:t>
      </w:r>
      <w:r w:rsidR="00CC05BA" w:rsidRPr="00C83C71">
        <w:rPr>
          <w:rFonts w:ascii="Arial" w:hAnsi="Arial" w:cs="Arial"/>
          <w:sz w:val="24"/>
          <w:szCs w:val="24"/>
        </w:rPr>
        <w:t xml:space="preserve">rest in the property have valid </w:t>
      </w:r>
      <w:proofErr w:type="spellStart"/>
      <w:r w:rsidR="00CC05BA" w:rsidRPr="00C83C71">
        <w:rPr>
          <w:rFonts w:ascii="Arial" w:hAnsi="Arial" w:cs="Arial"/>
          <w:sz w:val="24"/>
          <w:szCs w:val="24"/>
        </w:rPr>
        <w:t>authorisations</w:t>
      </w:r>
      <w:proofErr w:type="spellEnd"/>
      <w:r w:rsidR="0019133D" w:rsidRPr="00C83C71">
        <w:rPr>
          <w:rFonts w:ascii="Arial" w:hAnsi="Arial" w:cs="Arial"/>
          <w:sz w:val="24"/>
          <w:szCs w:val="24"/>
        </w:rPr>
        <w:t>; the Applicant by virtue</w:t>
      </w:r>
      <w:r w:rsidR="00CC05BA" w:rsidRPr="00C83C71">
        <w:rPr>
          <w:rFonts w:ascii="Arial" w:hAnsi="Arial" w:cs="Arial"/>
          <w:sz w:val="24"/>
          <w:szCs w:val="24"/>
        </w:rPr>
        <w:t xml:space="preserve"> of </w:t>
      </w:r>
      <w:proofErr w:type="spellStart"/>
      <w:r w:rsidR="0019133D" w:rsidRPr="00C83C71">
        <w:rPr>
          <w:rFonts w:ascii="Arial" w:hAnsi="Arial" w:cs="Arial"/>
          <w:sz w:val="24"/>
          <w:szCs w:val="24"/>
        </w:rPr>
        <w:t>Thulare</w:t>
      </w:r>
      <w:proofErr w:type="spellEnd"/>
      <w:r w:rsidR="00CC05BA" w:rsidRPr="00C83C71">
        <w:rPr>
          <w:rFonts w:ascii="Arial" w:hAnsi="Arial" w:cs="Arial"/>
          <w:sz w:val="24"/>
          <w:szCs w:val="24"/>
        </w:rPr>
        <w:t xml:space="preserve"> J’s order and </w:t>
      </w:r>
      <w:r w:rsidR="0019133D" w:rsidRPr="00C83C71">
        <w:rPr>
          <w:rFonts w:ascii="Arial" w:hAnsi="Arial" w:cs="Arial"/>
          <w:sz w:val="24"/>
          <w:szCs w:val="24"/>
        </w:rPr>
        <w:t xml:space="preserve">the Executor whose rights have been conferred by way of the Letters of Executorship. </w:t>
      </w:r>
    </w:p>
    <w:p w14:paraId="7300894B" w14:textId="77777777" w:rsidR="000B290D" w:rsidRDefault="000B290D" w:rsidP="000B290D">
      <w:pPr>
        <w:pStyle w:val="ListParagraph"/>
        <w:spacing w:line="480" w:lineRule="auto"/>
        <w:ind w:left="0"/>
        <w:jc w:val="both"/>
        <w:rPr>
          <w:rFonts w:ascii="Arial" w:hAnsi="Arial" w:cs="Arial"/>
          <w:sz w:val="24"/>
          <w:szCs w:val="24"/>
        </w:rPr>
      </w:pPr>
    </w:p>
    <w:p w14:paraId="76A0060B" w14:textId="77777777" w:rsidR="00161F8B" w:rsidRPr="000B290D" w:rsidRDefault="000B290D" w:rsidP="00161F8B">
      <w:pPr>
        <w:pStyle w:val="ListParagraph"/>
        <w:spacing w:line="480" w:lineRule="auto"/>
        <w:ind w:left="0"/>
        <w:jc w:val="both"/>
        <w:rPr>
          <w:rFonts w:ascii="Arial" w:hAnsi="Arial" w:cs="Arial"/>
          <w:sz w:val="24"/>
          <w:szCs w:val="24"/>
        </w:rPr>
      </w:pPr>
      <w:r>
        <w:rPr>
          <w:rFonts w:ascii="Arial" w:hAnsi="Arial" w:cs="Arial"/>
          <w:b/>
          <w:sz w:val="24"/>
          <w:szCs w:val="24"/>
        </w:rPr>
        <w:t>Abuse of authority</w:t>
      </w:r>
    </w:p>
    <w:p w14:paraId="7414C150" w14:textId="4732BA9B" w:rsidR="00161F8B" w:rsidRPr="006B7FDD" w:rsidRDefault="00C83C71" w:rsidP="00C83C71">
      <w:pPr>
        <w:tabs>
          <w:tab w:val="left" w:pos="567"/>
        </w:tabs>
        <w:spacing w:line="480" w:lineRule="auto"/>
        <w:jc w:val="both"/>
      </w:pPr>
      <w:r w:rsidRPr="006B7FDD">
        <w:rPr>
          <w:rFonts w:ascii="Arial" w:hAnsi="Arial" w:cs="Arial"/>
          <w:sz w:val="24"/>
          <w:lang w:val="en-ZA"/>
        </w:rPr>
        <w:t xml:space="preserve">[30]     </w:t>
      </w:r>
      <w:r w:rsidRPr="006B7FDD">
        <w:rPr>
          <w:rFonts w:ascii="Arial" w:hAnsi="Arial" w:cs="Arial"/>
          <w:sz w:val="24"/>
          <w:lang w:val="en-ZA"/>
        </w:rPr>
        <w:tab/>
      </w:r>
      <w:r w:rsidR="00161F8B" w:rsidRPr="00C83C71">
        <w:rPr>
          <w:rFonts w:ascii="Arial" w:hAnsi="Arial" w:cs="Arial"/>
          <w:sz w:val="24"/>
          <w:szCs w:val="24"/>
        </w:rPr>
        <w:t xml:space="preserve">The Respondents however argued that the Applicant through this application seeks authority to substitute and subvert the </w:t>
      </w:r>
      <w:r w:rsidR="0074035C" w:rsidRPr="00C83C71">
        <w:rPr>
          <w:rFonts w:ascii="Arial" w:hAnsi="Arial" w:cs="Arial"/>
          <w:sz w:val="24"/>
          <w:szCs w:val="24"/>
        </w:rPr>
        <w:t>E</w:t>
      </w:r>
      <w:r w:rsidR="00161F8B" w:rsidRPr="00C83C71">
        <w:rPr>
          <w:rFonts w:ascii="Arial" w:hAnsi="Arial" w:cs="Arial"/>
          <w:sz w:val="24"/>
          <w:szCs w:val="24"/>
        </w:rPr>
        <w:t xml:space="preserve">xecutor’s responsibilities in the estate which essentially means that the Applicant will effectively have the power to sell the property to herself at a nominal value and the estate will have little or no say. </w:t>
      </w:r>
    </w:p>
    <w:p w14:paraId="5B491ADD" w14:textId="77777777" w:rsidR="006B7FDD" w:rsidRPr="006B7FDD" w:rsidRDefault="006B7FDD" w:rsidP="00A75A5B">
      <w:pPr>
        <w:pStyle w:val="ListParagraph"/>
        <w:spacing w:line="480" w:lineRule="auto"/>
        <w:ind w:left="0"/>
        <w:jc w:val="both"/>
      </w:pPr>
    </w:p>
    <w:p w14:paraId="1E98736B" w14:textId="3DAEAAEE" w:rsidR="00BF3163" w:rsidRPr="00BF3163" w:rsidRDefault="00C83C71" w:rsidP="00C83C71">
      <w:pPr>
        <w:tabs>
          <w:tab w:val="left" w:pos="567"/>
        </w:tabs>
        <w:spacing w:line="480" w:lineRule="auto"/>
        <w:jc w:val="both"/>
      </w:pPr>
      <w:r w:rsidRPr="00BF3163">
        <w:rPr>
          <w:rFonts w:ascii="Arial" w:hAnsi="Arial" w:cs="Arial"/>
          <w:sz w:val="24"/>
          <w:lang w:val="en-ZA"/>
        </w:rPr>
        <w:t xml:space="preserve">[31]     </w:t>
      </w:r>
      <w:r w:rsidRPr="00BF3163">
        <w:rPr>
          <w:rFonts w:ascii="Arial" w:hAnsi="Arial" w:cs="Arial"/>
          <w:sz w:val="24"/>
          <w:lang w:val="en-ZA"/>
        </w:rPr>
        <w:tab/>
      </w:r>
      <w:r w:rsidR="008B0A61" w:rsidRPr="00C83C71">
        <w:rPr>
          <w:rFonts w:ascii="Arial" w:hAnsi="Arial" w:cs="Arial"/>
          <w:sz w:val="24"/>
          <w:szCs w:val="24"/>
        </w:rPr>
        <w:t xml:space="preserve">In addition, </w:t>
      </w:r>
      <w:r w:rsidR="006B7FDD" w:rsidRPr="00C83C71">
        <w:rPr>
          <w:rFonts w:ascii="Arial" w:hAnsi="Arial" w:cs="Arial"/>
          <w:sz w:val="24"/>
          <w:szCs w:val="24"/>
        </w:rPr>
        <w:t>there is an assertion that the Applicant has offered to purchase the immovable property in September 2023 for approximately half the market value which was submitted to be an opportunistic offer. According to the Respondents</w:t>
      </w:r>
      <w:r w:rsidR="00F35019" w:rsidRPr="00C83C71">
        <w:rPr>
          <w:rFonts w:ascii="Arial" w:hAnsi="Arial" w:cs="Arial"/>
          <w:sz w:val="24"/>
          <w:szCs w:val="24"/>
        </w:rPr>
        <w:t>,</w:t>
      </w:r>
      <w:r w:rsidR="006B7FDD" w:rsidRPr="00C83C71">
        <w:rPr>
          <w:rFonts w:ascii="Arial" w:hAnsi="Arial" w:cs="Arial"/>
          <w:sz w:val="24"/>
          <w:szCs w:val="24"/>
        </w:rPr>
        <w:t xml:space="preserve"> the Applicant has rejected a counter offer with a higher purchase price</w:t>
      </w:r>
      <w:r w:rsidR="008B0A61" w:rsidRPr="00C83C71">
        <w:rPr>
          <w:rFonts w:ascii="Arial" w:hAnsi="Arial" w:cs="Arial"/>
          <w:sz w:val="24"/>
          <w:szCs w:val="24"/>
        </w:rPr>
        <w:t>. Upon closer scrutiny of the Deed of Sale where the Applicant attempted to sell the property to herself</w:t>
      </w:r>
      <w:r w:rsidR="00F35019" w:rsidRPr="00C83C71">
        <w:rPr>
          <w:rFonts w:ascii="Arial" w:hAnsi="Arial" w:cs="Arial"/>
          <w:sz w:val="24"/>
          <w:szCs w:val="24"/>
        </w:rPr>
        <w:t>,</w:t>
      </w:r>
      <w:r w:rsidR="008B0A61" w:rsidRPr="00C83C71">
        <w:rPr>
          <w:rFonts w:ascii="Arial" w:hAnsi="Arial" w:cs="Arial"/>
          <w:sz w:val="24"/>
          <w:szCs w:val="24"/>
        </w:rPr>
        <w:t xml:space="preserve"> the purchase price is recorded as R2</w:t>
      </w:r>
      <w:r w:rsidR="00555705" w:rsidRPr="00C83C71">
        <w:rPr>
          <w:rFonts w:ascii="Arial" w:hAnsi="Arial" w:cs="Arial"/>
          <w:sz w:val="24"/>
          <w:szCs w:val="24"/>
        </w:rPr>
        <w:t xml:space="preserve"> </w:t>
      </w:r>
      <w:r w:rsidR="008B0A61" w:rsidRPr="00C83C71">
        <w:rPr>
          <w:rFonts w:ascii="Arial" w:hAnsi="Arial" w:cs="Arial"/>
          <w:sz w:val="24"/>
          <w:szCs w:val="24"/>
        </w:rPr>
        <w:t>200 000.</w:t>
      </w:r>
      <w:r w:rsidR="008B0A61">
        <w:rPr>
          <w:rStyle w:val="FootnoteReference"/>
          <w:rFonts w:ascii="Arial" w:hAnsi="Arial" w:cs="Arial"/>
          <w:sz w:val="24"/>
          <w:szCs w:val="24"/>
        </w:rPr>
        <w:footnoteReference w:id="19"/>
      </w:r>
      <w:r w:rsidR="006B7FDD" w:rsidRPr="00C83C71">
        <w:rPr>
          <w:rFonts w:ascii="Arial" w:hAnsi="Arial" w:cs="Arial"/>
          <w:sz w:val="24"/>
          <w:szCs w:val="24"/>
        </w:rPr>
        <w:t xml:space="preserve"> </w:t>
      </w:r>
      <w:r w:rsidR="008B0A61" w:rsidRPr="00C83C71">
        <w:rPr>
          <w:rFonts w:ascii="Arial" w:hAnsi="Arial" w:cs="Arial"/>
          <w:sz w:val="24"/>
          <w:szCs w:val="24"/>
        </w:rPr>
        <w:t xml:space="preserve">The counter offer, </w:t>
      </w:r>
      <w:r w:rsidR="008B0A61" w:rsidRPr="00C83C71">
        <w:rPr>
          <w:rFonts w:ascii="Arial" w:hAnsi="Arial" w:cs="Arial"/>
          <w:sz w:val="24"/>
          <w:szCs w:val="24"/>
        </w:rPr>
        <w:lastRenderedPageBreak/>
        <w:t>depicts the purchase price as R2</w:t>
      </w:r>
      <w:r w:rsidR="00555705" w:rsidRPr="00C83C71">
        <w:rPr>
          <w:rFonts w:ascii="Arial" w:hAnsi="Arial" w:cs="Arial"/>
          <w:sz w:val="24"/>
          <w:szCs w:val="24"/>
        </w:rPr>
        <w:t xml:space="preserve"> </w:t>
      </w:r>
      <w:r w:rsidR="008B0A61" w:rsidRPr="00C83C71">
        <w:rPr>
          <w:rFonts w:ascii="Arial" w:hAnsi="Arial" w:cs="Arial"/>
          <w:sz w:val="24"/>
          <w:szCs w:val="24"/>
        </w:rPr>
        <w:t>300 000, which is not substantially more than the Applicant’s offer.</w:t>
      </w:r>
      <w:r w:rsidR="008B0A61">
        <w:rPr>
          <w:rStyle w:val="FootnoteReference"/>
          <w:rFonts w:ascii="Arial" w:hAnsi="Arial" w:cs="Arial"/>
          <w:sz w:val="24"/>
          <w:szCs w:val="24"/>
        </w:rPr>
        <w:footnoteReference w:id="20"/>
      </w:r>
      <w:r w:rsidR="008B0A61" w:rsidRPr="00C83C71">
        <w:rPr>
          <w:rFonts w:ascii="Arial" w:hAnsi="Arial" w:cs="Arial"/>
          <w:sz w:val="24"/>
          <w:szCs w:val="24"/>
        </w:rPr>
        <w:t xml:space="preserve"> </w:t>
      </w:r>
      <w:r w:rsidR="004D7BCE" w:rsidRPr="00C83C71">
        <w:rPr>
          <w:rFonts w:ascii="Arial" w:hAnsi="Arial" w:cs="Arial"/>
          <w:sz w:val="24"/>
          <w:szCs w:val="24"/>
        </w:rPr>
        <w:t>It is pellucid that the Sec</w:t>
      </w:r>
      <w:r w:rsidR="008E0F30" w:rsidRPr="00C83C71">
        <w:rPr>
          <w:rFonts w:ascii="Arial" w:hAnsi="Arial" w:cs="Arial"/>
          <w:sz w:val="24"/>
          <w:szCs w:val="24"/>
        </w:rPr>
        <w:t>ond Respondent has an Offer to P</w:t>
      </w:r>
      <w:r w:rsidR="004D7BCE" w:rsidRPr="00C83C71">
        <w:rPr>
          <w:rFonts w:ascii="Arial" w:hAnsi="Arial" w:cs="Arial"/>
          <w:sz w:val="24"/>
          <w:szCs w:val="24"/>
        </w:rPr>
        <w:t>urchase</w:t>
      </w:r>
      <w:r w:rsidR="008B0A61" w:rsidRPr="00C83C71">
        <w:rPr>
          <w:rFonts w:ascii="Arial" w:hAnsi="Arial" w:cs="Arial"/>
          <w:sz w:val="24"/>
          <w:szCs w:val="24"/>
        </w:rPr>
        <w:t xml:space="preserve"> </w:t>
      </w:r>
      <w:r w:rsidR="004D7BCE" w:rsidRPr="00C83C71">
        <w:rPr>
          <w:rFonts w:ascii="Arial" w:hAnsi="Arial" w:cs="Arial"/>
          <w:sz w:val="24"/>
          <w:szCs w:val="24"/>
        </w:rPr>
        <w:t xml:space="preserve">wherein it appears that the Executor will be selling </w:t>
      </w:r>
      <w:r w:rsidR="008B0A61" w:rsidRPr="00C83C71">
        <w:rPr>
          <w:rFonts w:ascii="Arial" w:hAnsi="Arial" w:cs="Arial"/>
          <w:sz w:val="24"/>
          <w:szCs w:val="24"/>
        </w:rPr>
        <w:t xml:space="preserve">the property to himself also at a significantly reduced market price as alleged in the papers. </w:t>
      </w:r>
      <w:r w:rsidR="004D7BCE" w:rsidRPr="00C83C71">
        <w:rPr>
          <w:rFonts w:ascii="Arial" w:hAnsi="Arial" w:cs="Arial"/>
          <w:sz w:val="24"/>
          <w:szCs w:val="24"/>
        </w:rPr>
        <w:t>This raises a concern especially as the Respondents asserted that the Applicant’s offer was opportunistic by putting in an offer for approximately half the market value.</w:t>
      </w:r>
    </w:p>
    <w:p w14:paraId="59908F42" w14:textId="77777777" w:rsidR="00BF3163" w:rsidRPr="00BF3163" w:rsidRDefault="00BF3163" w:rsidP="00BF3163">
      <w:pPr>
        <w:pStyle w:val="ListParagraph"/>
        <w:rPr>
          <w:rFonts w:ascii="Arial" w:hAnsi="Arial" w:cs="Arial"/>
          <w:sz w:val="24"/>
          <w:szCs w:val="24"/>
        </w:rPr>
      </w:pPr>
    </w:p>
    <w:p w14:paraId="19D4CA72" w14:textId="7EB23E37" w:rsidR="006B7FDD" w:rsidRPr="009818C1" w:rsidRDefault="00C83C71" w:rsidP="00C83C71">
      <w:pPr>
        <w:tabs>
          <w:tab w:val="left" w:pos="567"/>
        </w:tabs>
        <w:spacing w:line="480" w:lineRule="auto"/>
        <w:jc w:val="both"/>
      </w:pPr>
      <w:r w:rsidRPr="009818C1">
        <w:rPr>
          <w:rFonts w:ascii="Arial" w:hAnsi="Arial" w:cs="Arial"/>
          <w:sz w:val="24"/>
          <w:lang w:val="en-ZA"/>
        </w:rPr>
        <w:t xml:space="preserve">[32]     </w:t>
      </w:r>
      <w:r w:rsidRPr="009818C1">
        <w:rPr>
          <w:rFonts w:ascii="Arial" w:hAnsi="Arial" w:cs="Arial"/>
          <w:sz w:val="24"/>
          <w:lang w:val="en-ZA"/>
        </w:rPr>
        <w:tab/>
      </w:r>
      <w:r w:rsidR="00132AAA" w:rsidRPr="00C83C71">
        <w:rPr>
          <w:rFonts w:ascii="Arial" w:hAnsi="Arial" w:cs="Arial"/>
          <w:sz w:val="24"/>
          <w:szCs w:val="24"/>
        </w:rPr>
        <w:t>T</w:t>
      </w:r>
      <w:r w:rsidR="00BF3163" w:rsidRPr="00C83C71">
        <w:rPr>
          <w:rFonts w:ascii="Arial" w:hAnsi="Arial" w:cs="Arial"/>
          <w:sz w:val="24"/>
          <w:szCs w:val="24"/>
        </w:rPr>
        <w:t>he Respondent</w:t>
      </w:r>
      <w:r w:rsidR="004D7BCE" w:rsidRPr="00C83C71">
        <w:rPr>
          <w:rFonts w:ascii="Arial" w:hAnsi="Arial" w:cs="Arial"/>
          <w:sz w:val="24"/>
          <w:szCs w:val="24"/>
        </w:rPr>
        <w:t>s</w:t>
      </w:r>
      <w:r w:rsidR="00132AAA" w:rsidRPr="00C83C71">
        <w:rPr>
          <w:rFonts w:ascii="Arial" w:hAnsi="Arial" w:cs="Arial"/>
          <w:sz w:val="24"/>
          <w:szCs w:val="24"/>
        </w:rPr>
        <w:t xml:space="preserve"> however contended</w:t>
      </w:r>
      <w:r w:rsidR="00BF3163" w:rsidRPr="00C83C71">
        <w:rPr>
          <w:rFonts w:ascii="Arial" w:hAnsi="Arial" w:cs="Arial"/>
          <w:sz w:val="24"/>
          <w:szCs w:val="24"/>
        </w:rPr>
        <w:t xml:space="preserve"> that the Applicant</w:t>
      </w:r>
      <w:r w:rsidR="006B7FDD" w:rsidRPr="00C83C71">
        <w:rPr>
          <w:rFonts w:ascii="Arial" w:hAnsi="Arial" w:cs="Arial"/>
          <w:sz w:val="24"/>
          <w:szCs w:val="24"/>
        </w:rPr>
        <w:t xml:space="preserve"> brought this application as an underhanded attempt at obtaining the Court’s authority for the sheriff to sign the deed of sale on behalf of the estate</w:t>
      </w:r>
      <w:r w:rsidR="00555705" w:rsidRPr="00C83C71">
        <w:rPr>
          <w:rFonts w:ascii="Arial" w:hAnsi="Arial" w:cs="Arial"/>
          <w:sz w:val="24"/>
          <w:szCs w:val="24"/>
        </w:rPr>
        <w:t>.</w:t>
      </w:r>
      <w:r w:rsidR="006B7FDD" w:rsidRPr="00C83C71">
        <w:rPr>
          <w:rFonts w:ascii="Arial" w:hAnsi="Arial" w:cs="Arial"/>
          <w:sz w:val="24"/>
          <w:szCs w:val="24"/>
        </w:rPr>
        <w:t xml:space="preserve"> </w:t>
      </w:r>
      <w:r w:rsidR="00132AAA" w:rsidRPr="00C83C71">
        <w:rPr>
          <w:rFonts w:ascii="Arial" w:hAnsi="Arial" w:cs="Arial"/>
          <w:sz w:val="24"/>
          <w:szCs w:val="24"/>
        </w:rPr>
        <w:t>The court is mindful that the consequence</w:t>
      </w:r>
      <w:r w:rsidR="00555705" w:rsidRPr="00C83C71">
        <w:rPr>
          <w:rFonts w:ascii="Arial" w:hAnsi="Arial" w:cs="Arial"/>
          <w:sz w:val="24"/>
          <w:szCs w:val="24"/>
        </w:rPr>
        <w:t xml:space="preserve"> </w:t>
      </w:r>
      <w:r w:rsidR="006B7FDD" w:rsidRPr="00C83C71">
        <w:rPr>
          <w:rFonts w:ascii="Arial" w:hAnsi="Arial" w:cs="Arial"/>
          <w:sz w:val="24"/>
          <w:szCs w:val="24"/>
        </w:rPr>
        <w:t xml:space="preserve">will </w:t>
      </w:r>
      <w:r w:rsidR="00132AAA" w:rsidRPr="00C83C71">
        <w:rPr>
          <w:rFonts w:ascii="Arial" w:hAnsi="Arial" w:cs="Arial"/>
          <w:sz w:val="24"/>
          <w:szCs w:val="24"/>
        </w:rPr>
        <w:t xml:space="preserve">potentially </w:t>
      </w:r>
      <w:r w:rsidR="006B7FDD" w:rsidRPr="00C83C71">
        <w:rPr>
          <w:rFonts w:ascii="Arial" w:hAnsi="Arial" w:cs="Arial"/>
          <w:sz w:val="24"/>
          <w:szCs w:val="24"/>
        </w:rPr>
        <w:t xml:space="preserve">be to the Applicant’s benefit, </w:t>
      </w:r>
      <w:r w:rsidR="00555705" w:rsidRPr="00C83C71">
        <w:rPr>
          <w:rFonts w:ascii="Arial" w:hAnsi="Arial" w:cs="Arial"/>
          <w:sz w:val="24"/>
          <w:szCs w:val="24"/>
        </w:rPr>
        <w:t xml:space="preserve">but to </w:t>
      </w:r>
      <w:r w:rsidR="006B7FDD" w:rsidRPr="00C83C71">
        <w:rPr>
          <w:rFonts w:ascii="Arial" w:hAnsi="Arial" w:cs="Arial"/>
          <w:sz w:val="24"/>
          <w:szCs w:val="24"/>
        </w:rPr>
        <w:t>the estate’s detriment</w:t>
      </w:r>
      <w:r w:rsidR="00285BD1" w:rsidRPr="00C83C71">
        <w:rPr>
          <w:rFonts w:ascii="Arial" w:hAnsi="Arial" w:cs="Arial"/>
          <w:sz w:val="24"/>
          <w:szCs w:val="24"/>
        </w:rPr>
        <w:t xml:space="preserve">, </w:t>
      </w:r>
      <w:r w:rsidR="00132AAA" w:rsidRPr="00C83C71">
        <w:rPr>
          <w:rFonts w:ascii="Arial" w:hAnsi="Arial" w:cs="Arial"/>
          <w:sz w:val="24"/>
          <w:szCs w:val="24"/>
        </w:rPr>
        <w:t>possibly</w:t>
      </w:r>
      <w:r w:rsidR="00555705" w:rsidRPr="00C83C71">
        <w:rPr>
          <w:rFonts w:ascii="Arial" w:hAnsi="Arial" w:cs="Arial"/>
          <w:sz w:val="24"/>
          <w:szCs w:val="24"/>
        </w:rPr>
        <w:t xml:space="preserve"> overriding </w:t>
      </w:r>
      <w:r w:rsidR="006B7FDD" w:rsidRPr="00C83C71">
        <w:rPr>
          <w:rFonts w:ascii="Arial" w:hAnsi="Arial" w:cs="Arial"/>
          <w:sz w:val="24"/>
          <w:szCs w:val="24"/>
        </w:rPr>
        <w:t xml:space="preserve"> the provisions of Section 42 of the Administration of Estates Act</w:t>
      </w:r>
      <w:r w:rsidR="006B7FDD">
        <w:rPr>
          <w:rStyle w:val="FootnoteReference"/>
          <w:rFonts w:ascii="Arial" w:hAnsi="Arial" w:cs="Arial"/>
          <w:sz w:val="24"/>
          <w:szCs w:val="24"/>
        </w:rPr>
        <w:footnoteReference w:id="21"/>
      </w:r>
      <w:r w:rsidR="006B7FDD" w:rsidRPr="00C83C71">
        <w:rPr>
          <w:rFonts w:ascii="Arial" w:hAnsi="Arial" w:cs="Arial"/>
          <w:sz w:val="24"/>
          <w:szCs w:val="24"/>
        </w:rPr>
        <w:t xml:space="preserve"> which states as follows:</w:t>
      </w:r>
    </w:p>
    <w:p w14:paraId="1367275F" w14:textId="77777777" w:rsidR="006B7FDD" w:rsidRDefault="006B7FDD" w:rsidP="006B7FDD">
      <w:pPr>
        <w:pStyle w:val="ListParagraph"/>
      </w:pPr>
    </w:p>
    <w:p w14:paraId="775E2493" w14:textId="77777777" w:rsidR="006B7FDD" w:rsidRDefault="006B7FDD" w:rsidP="006B7FDD">
      <w:pPr>
        <w:pStyle w:val="ListParagraph"/>
        <w:spacing w:line="360" w:lineRule="auto"/>
        <w:ind w:right="720"/>
        <w:jc w:val="both"/>
        <w:rPr>
          <w:rFonts w:ascii="Arial" w:hAnsi="Arial" w:cs="Arial"/>
          <w:b/>
          <w:i/>
        </w:rPr>
      </w:pPr>
      <w:r>
        <w:rPr>
          <w:rFonts w:ascii="Arial" w:hAnsi="Arial" w:cs="Arial"/>
          <w:i/>
        </w:rPr>
        <w:t>‘42</w:t>
      </w:r>
      <w:r w:rsidRPr="009818C1">
        <w:rPr>
          <w:rFonts w:ascii="Arial" w:hAnsi="Arial" w:cs="Arial"/>
          <w:b/>
          <w:i/>
        </w:rPr>
        <w:t xml:space="preserve"> Documents to be lodged by executor with registration officer</w:t>
      </w:r>
    </w:p>
    <w:p w14:paraId="71AE1D07" w14:textId="6E8023E5" w:rsidR="006B7FDD" w:rsidRPr="00C83C71" w:rsidRDefault="00C83C71" w:rsidP="00C83C71">
      <w:pPr>
        <w:spacing w:line="360" w:lineRule="auto"/>
        <w:ind w:left="1080" w:right="720" w:hanging="360"/>
        <w:jc w:val="both"/>
        <w:rPr>
          <w:rFonts w:ascii="Arial" w:hAnsi="Arial" w:cs="Arial"/>
          <w:i/>
        </w:rPr>
      </w:pPr>
      <w:r>
        <w:rPr>
          <w:rFonts w:ascii="Arial" w:hAnsi="Arial" w:cs="Arial"/>
          <w:i/>
          <w:lang w:val="en-ZA"/>
        </w:rPr>
        <w:t>(1)</w:t>
      </w:r>
      <w:r>
        <w:rPr>
          <w:rFonts w:ascii="Arial" w:hAnsi="Arial" w:cs="Arial"/>
          <w:i/>
          <w:lang w:val="en-ZA"/>
        </w:rPr>
        <w:tab/>
      </w:r>
      <w:r w:rsidR="006B7FDD" w:rsidRPr="00C83C71">
        <w:rPr>
          <w:rFonts w:ascii="Arial" w:hAnsi="Arial" w:cs="Arial"/>
          <w:i/>
        </w:rPr>
        <w:t>Except as is otherwise provided in subsection (2), an executor who desires to have any immovable property registered in the name of any heir or other person legally entitled to such property or to have any endorsement made under section 39 or 40 shall, in addition to any other deed or document which he may be by law required to lodge with the registration officer, lodge with the said officer a certificate by a conveyancer that the proposed transfer or endorsement, as the case may be, is in accordance with the liquidation and distribution account.</w:t>
      </w:r>
    </w:p>
    <w:p w14:paraId="70CE444F" w14:textId="4B1AAE46" w:rsidR="000B290D" w:rsidRPr="00C83C71" w:rsidRDefault="00C83C71" w:rsidP="00C83C71">
      <w:pPr>
        <w:spacing w:line="360" w:lineRule="auto"/>
        <w:ind w:left="1080" w:right="720" w:hanging="360"/>
        <w:jc w:val="both"/>
        <w:rPr>
          <w:rFonts w:ascii="Arial" w:hAnsi="Arial" w:cs="Arial"/>
          <w:i/>
        </w:rPr>
      </w:pPr>
      <w:r w:rsidRPr="00622270">
        <w:rPr>
          <w:rFonts w:ascii="Arial" w:hAnsi="Arial" w:cs="Arial"/>
          <w:i/>
          <w:lang w:val="en-ZA"/>
        </w:rPr>
        <w:t>(2)</w:t>
      </w:r>
      <w:r w:rsidRPr="00622270">
        <w:rPr>
          <w:rFonts w:ascii="Arial" w:hAnsi="Arial" w:cs="Arial"/>
          <w:i/>
          <w:lang w:val="en-ZA"/>
        </w:rPr>
        <w:tab/>
      </w:r>
      <w:r w:rsidR="006B7FDD" w:rsidRPr="00C83C71">
        <w:rPr>
          <w:rFonts w:ascii="Arial" w:hAnsi="Arial" w:cs="Arial"/>
          <w:i/>
        </w:rPr>
        <w:t xml:space="preserve">An executor who desires to effect transfer of any immovable property in pursuance of a sale shall lodge with the registration officer, in addition to </w:t>
      </w:r>
      <w:r w:rsidR="006B7FDD" w:rsidRPr="00C83C71">
        <w:rPr>
          <w:rFonts w:ascii="Arial" w:hAnsi="Arial" w:cs="Arial"/>
          <w:i/>
        </w:rPr>
        <w:lastRenderedPageBreak/>
        <w:t>such other deed or document, a certificate by the Master that no objection to such transfer exists.’</w:t>
      </w:r>
    </w:p>
    <w:p w14:paraId="341F8522" w14:textId="69A15327" w:rsidR="00A33B24" w:rsidRPr="00BA352B" w:rsidRDefault="00C83C71" w:rsidP="00C83C71">
      <w:pPr>
        <w:tabs>
          <w:tab w:val="left" w:pos="567"/>
        </w:tabs>
        <w:spacing w:line="480" w:lineRule="auto"/>
        <w:jc w:val="both"/>
      </w:pPr>
      <w:r w:rsidRPr="00BA352B">
        <w:rPr>
          <w:rFonts w:ascii="Arial" w:hAnsi="Arial" w:cs="Arial"/>
          <w:sz w:val="24"/>
          <w:lang w:val="en-ZA"/>
        </w:rPr>
        <w:t xml:space="preserve">[33]     </w:t>
      </w:r>
      <w:r w:rsidRPr="00BA352B">
        <w:rPr>
          <w:rFonts w:ascii="Arial" w:hAnsi="Arial" w:cs="Arial"/>
          <w:sz w:val="24"/>
          <w:lang w:val="en-ZA"/>
        </w:rPr>
        <w:tab/>
      </w:r>
      <w:r w:rsidR="00A33B24" w:rsidRPr="00C83C71">
        <w:rPr>
          <w:rFonts w:ascii="Arial" w:hAnsi="Arial" w:cs="Arial"/>
          <w:sz w:val="24"/>
          <w:szCs w:val="24"/>
        </w:rPr>
        <w:t>It is appare</w:t>
      </w:r>
      <w:r w:rsidR="004C35D4" w:rsidRPr="00C83C71">
        <w:rPr>
          <w:rFonts w:ascii="Arial" w:hAnsi="Arial" w:cs="Arial"/>
          <w:sz w:val="24"/>
          <w:szCs w:val="24"/>
        </w:rPr>
        <w:t>nt that the conversation of the</w:t>
      </w:r>
      <w:r w:rsidR="00A33B24" w:rsidRPr="00C83C71">
        <w:rPr>
          <w:rFonts w:ascii="Arial" w:hAnsi="Arial" w:cs="Arial"/>
          <w:sz w:val="24"/>
          <w:szCs w:val="24"/>
        </w:rPr>
        <w:t xml:space="preserve"> parties </w:t>
      </w:r>
      <w:r w:rsidR="00202FCE" w:rsidRPr="00C83C71">
        <w:rPr>
          <w:rFonts w:ascii="Arial" w:hAnsi="Arial" w:cs="Arial"/>
          <w:sz w:val="24"/>
          <w:szCs w:val="24"/>
        </w:rPr>
        <w:t>has</w:t>
      </w:r>
      <w:r w:rsidR="004C35D4" w:rsidRPr="00C83C71">
        <w:rPr>
          <w:rFonts w:ascii="Arial" w:hAnsi="Arial" w:cs="Arial"/>
          <w:sz w:val="24"/>
          <w:szCs w:val="24"/>
        </w:rPr>
        <w:t xml:space="preserve"> since</w:t>
      </w:r>
      <w:r w:rsidR="0070629C" w:rsidRPr="00C83C71">
        <w:rPr>
          <w:rFonts w:ascii="Arial" w:hAnsi="Arial" w:cs="Arial"/>
          <w:sz w:val="24"/>
          <w:szCs w:val="24"/>
        </w:rPr>
        <w:t xml:space="preserve"> moved from selling the property in question </w:t>
      </w:r>
      <w:r w:rsidR="00A33B24" w:rsidRPr="00C83C71">
        <w:rPr>
          <w:rFonts w:ascii="Arial" w:hAnsi="Arial" w:cs="Arial"/>
          <w:sz w:val="24"/>
          <w:szCs w:val="24"/>
        </w:rPr>
        <w:t>to themselve</w:t>
      </w:r>
      <w:r w:rsidR="00202FCE" w:rsidRPr="00C83C71">
        <w:rPr>
          <w:rFonts w:ascii="Arial" w:hAnsi="Arial" w:cs="Arial"/>
          <w:sz w:val="24"/>
          <w:szCs w:val="24"/>
        </w:rPr>
        <w:t>s</w:t>
      </w:r>
      <w:r w:rsidR="0070629C" w:rsidRPr="00C83C71">
        <w:rPr>
          <w:rFonts w:ascii="Arial" w:hAnsi="Arial" w:cs="Arial"/>
          <w:sz w:val="24"/>
          <w:szCs w:val="24"/>
        </w:rPr>
        <w:t>,</w:t>
      </w:r>
      <w:r w:rsidR="00202FCE" w:rsidRPr="00C83C71">
        <w:rPr>
          <w:rFonts w:ascii="Arial" w:hAnsi="Arial" w:cs="Arial"/>
          <w:sz w:val="24"/>
          <w:szCs w:val="24"/>
        </w:rPr>
        <w:t xml:space="preserve"> to a point where they are</w:t>
      </w:r>
      <w:r w:rsidR="00A33B24" w:rsidRPr="00C83C71">
        <w:rPr>
          <w:rFonts w:ascii="Arial" w:hAnsi="Arial" w:cs="Arial"/>
          <w:sz w:val="24"/>
          <w:szCs w:val="24"/>
        </w:rPr>
        <w:t xml:space="preserve"> intent on placing the property on the open market. This is borne out by the email correspondence sent by the Respondent’s attorneys dated 26 September 2023:</w:t>
      </w:r>
    </w:p>
    <w:p w14:paraId="38433BB3" w14:textId="77777777" w:rsidR="00A33B24" w:rsidRDefault="00A33B24" w:rsidP="00A33B24">
      <w:pPr>
        <w:pStyle w:val="ListParagraph"/>
        <w:spacing w:line="360" w:lineRule="auto"/>
        <w:ind w:right="720"/>
        <w:jc w:val="both"/>
        <w:rPr>
          <w:rFonts w:ascii="Arial" w:hAnsi="Arial" w:cs="Arial"/>
          <w:i/>
        </w:rPr>
      </w:pPr>
      <w:r>
        <w:rPr>
          <w:rFonts w:ascii="Arial" w:hAnsi="Arial" w:cs="Arial"/>
          <w:i/>
        </w:rPr>
        <w:t>‘…my client also wishes to sell the property and to accommodate the current tenant prefers for the agents to view the property at the same time as your client’s agents.</w:t>
      </w:r>
    </w:p>
    <w:p w14:paraId="06560D69" w14:textId="77777777" w:rsidR="00A33B24" w:rsidRDefault="00A33B24" w:rsidP="00A33B24">
      <w:pPr>
        <w:pStyle w:val="ListParagraph"/>
        <w:spacing w:line="360" w:lineRule="auto"/>
        <w:ind w:right="720"/>
        <w:jc w:val="both"/>
        <w:rPr>
          <w:rFonts w:ascii="Arial" w:hAnsi="Arial" w:cs="Arial"/>
          <w:i/>
        </w:rPr>
      </w:pPr>
    </w:p>
    <w:p w14:paraId="2E4D1E48" w14:textId="77777777" w:rsidR="00A33B24" w:rsidRPr="00BA352B" w:rsidRDefault="00A33B24" w:rsidP="00A33B24">
      <w:pPr>
        <w:pStyle w:val="ListParagraph"/>
        <w:spacing w:line="360" w:lineRule="auto"/>
        <w:ind w:right="720"/>
        <w:jc w:val="both"/>
        <w:rPr>
          <w:rFonts w:ascii="Arial" w:hAnsi="Arial" w:cs="Arial"/>
        </w:rPr>
      </w:pPr>
      <w:r>
        <w:rPr>
          <w:rFonts w:ascii="Arial" w:hAnsi="Arial" w:cs="Arial"/>
          <w:i/>
        </w:rPr>
        <w:t>Alternatively, if your client is interested in selling her half share and / or interest in the property to my client, please let me have the price she is interested in…’</w:t>
      </w:r>
      <w:r>
        <w:rPr>
          <w:rStyle w:val="FootnoteReference"/>
          <w:rFonts w:ascii="Arial" w:hAnsi="Arial" w:cs="Arial"/>
          <w:i/>
        </w:rPr>
        <w:footnoteReference w:id="22"/>
      </w:r>
    </w:p>
    <w:p w14:paraId="5F8F7F47" w14:textId="77777777" w:rsidR="00A33B24" w:rsidRPr="00BA352B" w:rsidRDefault="00A33B24" w:rsidP="00A33B24">
      <w:pPr>
        <w:pStyle w:val="ListParagraph"/>
        <w:spacing w:line="360" w:lineRule="auto"/>
        <w:ind w:right="720"/>
        <w:jc w:val="both"/>
        <w:rPr>
          <w:i/>
        </w:rPr>
      </w:pPr>
    </w:p>
    <w:p w14:paraId="1F12BFCE" w14:textId="63287D90" w:rsidR="00A33B24" w:rsidRPr="00DA4041" w:rsidRDefault="00C83C71" w:rsidP="00C83C71">
      <w:pPr>
        <w:tabs>
          <w:tab w:val="left" w:pos="567"/>
        </w:tabs>
        <w:spacing w:line="480" w:lineRule="auto"/>
        <w:jc w:val="both"/>
      </w:pPr>
      <w:r w:rsidRPr="00DA4041">
        <w:rPr>
          <w:rFonts w:ascii="Arial" w:hAnsi="Arial" w:cs="Arial"/>
          <w:sz w:val="24"/>
          <w:lang w:val="en-ZA"/>
        </w:rPr>
        <w:t xml:space="preserve">[34]     </w:t>
      </w:r>
      <w:r w:rsidRPr="00DA4041">
        <w:rPr>
          <w:rFonts w:ascii="Arial" w:hAnsi="Arial" w:cs="Arial"/>
          <w:sz w:val="24"/>
          <w:lang w:val="en-ZA"/>
        </w:rPr>
        <w:tab/>
      </w:r>
      <w:r w:rsidR="00A33B24" w:rsidRPr="00C83C71">
        <w:rPr>
          <w:rFonts w:ascii="Arial" w:hAnsi="Arial" w:cs="Arial"/>
          <w:sz w:val="24"/>
          <w:szCs w:val="24"/>
        </w:rPr>
        <w:t xml:space="preserve">The aforementioned proposition was evidently not considered and resulted in the institution of the present application. The Respondents have indicated that they </w:t>
      </w:r>
      <w:proofErr w:type="spellStart"/>
      <w:r w:rsidR="00A33B24" w:rsidRPr="00C83C71">
        <w:rPr>
          <w:rFonts w:ascii="Arial" w:hAnsi="Arial" w:cs="Arial"/>
          <w:sz w:val="24"/>
          <w:szCs w:val="24"/>
        </w:rPr>
        <w:t>harbour</w:t>
      </w:r>
      <w:proofErr w:type="spellEnd"/>
      <w:r w:rsidR="00A33B24" w:rsidRPr="00C83C71">
        <w:rPr>
          <w:rFonts w:ascii="Arial" w:hAnsi="Arial" w:cs="Arial"/>
          <w:sz w:val="24"/>
          <w:szCs w:val="24"/>
        </w:rPr>
        <w:t xml:space="preserve"> no contempt or ill-intentions towards the Applicant and reiterated that the Second Respondent is desirous to administer the estate in accordance with his statutory duties. It is noteworthy that the Respondent</w:t>
      </w:r>
      <w:r w:rsidR="004D7BCE" w:rsidRPr="00C83C71">
        <w:rPr>
          <w:rFonts w:ascii="Arial" w:hAnsi="Arial" w:cs="Arial"/>
          <w:sz w:val="24"/>
          <w:szCs w:val="24"/>
        </w:rPr>
        <w:t>s</w:t>
      </w:r>
      <w:r w:rsidR="00A33B24" w:rsidRPr="00C83C71">
        <w:rPr>
          <w:rFonts w:ascii="Arial" w:hAnsi="Arial" w:cs="Arial"/>
          <w:sz w:val="24"/>
          <w:szCs w:val="24"/>
        </w:rPr>
        <w:t xml:space="preserve"> have indicated  that they </w:t>
      </w:r>
      <w:r w:rsidR="00A33B24" w:rsidRPr="00C83C71">
        <w:rPr>
          <w:rFonts w:ascii="Arial" w:hAnsi="Arial" w:cs="Arial"/>
          <w:i/>
          <w:sz w:val="24"/>
          <w:szCs w:val="24"/>
        </w:rPr>
        <w:t xml:space="preserve">‘do not have, and never had the intention – directly or indirectly – to disobey the court order or act in any manner which would impugn the integrity of this </w:t>
      </w:r>
      <w:proofErr w:type="spellStart"/>
      <w:r w:rsidR="00A33B24" w:rsidRPr="00C83C71">
        <w:rPr>
          <w:rFonts w:ascii="Arial" w:hAnsi="Arial" w:cs="Arial"/>
          <w:i/>
          <w:sz w:val="24"/>
          <w:szCs w:val="24"/>
        </w:rPr>
        <w:t>Honourable</w:t>
      </w:r>
      <w:proofErr w:type="spellEnd"/>
      <w:r w:rsidR="00A33B24" w:rsidRPr="00C83C71">
        <w:rPr>
          <w:rFonts w:ascii="Arial" w:hAnsi="Arial" w:cs="Arial"/>
          <w:i/>
          <w:sz w:val="24"/>
          <w:szCs w:val="24"/>
        </w:rPr>
        <w:t xml:space="preserve"> Court and tenders their compliance with the order of </w:t>
      </w:r>
      <w:proofErr w:type="spellStart"/>
      <w:r w:rsidR="00A33B24" w:rsidRPr="00C83C71">
        <w:rPr>
          <w:rFonts w:ascii="Arial" w:hAnsi="Arial" w:cs="Arial"/>
          <w:i/>
          <w:sz w:val="24"/>
          <w:szCs w:val="24"/>
        </w:rPr>
        <w:t>Mr</w:t>
      </w:r>
      <w:proofErr w:type="spellEnd"/>
      <w:r w:rsidR="00A33B24" w:rsidRPr="00C83C71">
        <w:rPr>
          <w:rFonts w:ascii="Arial" w:hAnsi="Arial" w:cs="Arial"/>
          <w:i/>
          <w:sz w:val="24"/>
          <w:szCs w:val="24"/>
        </w:rPr>
        <w:t xml:space="preserve"> Justice </w:t>
      </w:r>
      <w:proofErr w:type="spellStart"/>
      <w:r w:rsidR="00A33B24" w:rsidRPr="00C83C71">
        <w:rPr>
          <w:rFonts w:ascii="Arial" w:hAnsi="Arial" w:cs="Arial"/>
          <w:i/>
          <w:sz w:val="24"/>
          <w:szCs w:val="24"/>
        </w:rPr>
        <w:t>Thulare</w:t>
      </w:r>
      <w:proofErr w:type="spellEnd"/>
      <w:r w:rsidR="00A33B24" w:rsidRPr="00C83C71">
        <w:rPr>
          <w:rFonts w:ascii="Arial" w:hAnsi="Arial" w:cs="Arial"/>
          <w:i/>
          <w:sz w:val="24"/>
          <w:szCs w:val="24"/>
        </w:rPr>
        <w:t>.’</w:t>
      </w:r>
      <w:r w:rsidR="00A33B24">
        <w:rPr>
          <w:rStyle w:val="FootnoteReference"/>
          <w:rFonts w:ascii="Arial" w:hAnsi="Arial" w:cs="Arial"/>
          <w:i/>
          <w:sz w:val="24"/>
          <w:szCs w:val="24"/>
        </w:rPr>
        <w:footnoteReference w:id="23"/>
      </w:r>
    </w:p>
    <w:p w14:paraId="2D5502BA" w14:textId="77777777" w:rsidR="00A33B24" w:rsidRPr="00DA4041" w:rsidRDefault="00A33B24" w:rsidP="00A33B24">
      <w:pPr>
        <w:pStyle w:val="ListParagraph"/>
        <w:rPr>
          <w:rFonts w:ascii="Arial" w:hAnsi="Arial" w:cs="Arial"/>
          <w:sz w:val="24"/>
          <w:szCs w:val="24"/>
        </w:rPr>
      </w:pPr>
    </w:p>
    <w:p w14:paraId="31565896" w14:textId="0EBD87CF" w:rsidR="000B290D" w:rsidRDefault="00C83C71" w:rsidP="00C83C71">
      <w:pPr>
        <w:tabs>
          <w:tab w:val="left" w:pos="567"/>
        </w:tabs>
        <w:spacing w:line="480" w:lineRule="auto"/>
        <w:jc w:val="both"/>
      </w:pPr>
      <w:r>
        <w:rPr>
          <w:rFonts w:ascii="Arial" w:hAnsi="Arial" w:cs="Arial"/>
          <w:sz w:val="24"/>
          <w:lang w:val="en-ZA"/>
        </w:rPr>
        <w:t xml:space="preserve">[35]     </w:t>
      </w:r>
      <w:r>
        <w:rPr>
          <w:rFonts w:ascii="Arial" w:hAnsi="Arial" w:cs="Arial"/>
          <w:sz w:val="24"/>
          <w:lang w:val="en-ZA"/>
        </w:rPr>
        <w:tab/>
      </w:r>
      <w:r w:rsidR="00A33B24" w:rsidRPr="00C83C71">
        <w:rPr>
          <w:rFonts w:ascii="Arial" w:hAnsi="Arial" w:cs="Arial"/>
          <w:sz w:val="24"/>
          <w:szCs w:val="24"/>
        </w:rPr>
        <w:t>Notwithstand</w:t>
      </w:r>
      <w:r w:rsidR="004D7BCE" w:rsidRPr="00C83C71">
        <w:rPr>
          <w:rFonts w:ascii="Arial" w:hAnsi="Arial" w:cs="Arial"/>
          <w:sz w:val="24"/>
          <w:szCs w:val="24"/>
        </w:rPr>
        <w:t>ing, the Applicant submitted</w:t>
      </w:r>
      <w:r w:rsidR="00A33B24" w:rsidRPr="00C83C71">
        <w:rPr>
          <w:rFonts w:ascii="Arial" w:hAnsi="Arial" w:cs="Arial"/>
          <w:sz w:val="24"/>
          <w:szCs w:val="24"/>
        </w:rPr>
        <w:t xml:space="preserve"> that the Respondents are in contempt of the Dec</w:t>
      </w:r>
      <w:r w:rsidR="002221E0" w:rsidRPr="00C83C71">
        <w:rPr>
          <w:rFonts w:ascii="Arial" w:hAnsi="Arial" w:cs="Arial"/>
          <w:sz w:val="24"/>
          <w:szCs w:val="24"/>
        </w:rPr>
        <w:t xml:space="preserve">ree of Allie J and </w:t>
      </w:r>
      <w:proofErr w:type="spellStart"/>
      <w:r w:rsidR="002221E0" w:rsidRPr="00C83C71">
        <w:rPr>
          <w:rFonts w:ascii="Arial" w:hAnsi="Arial" w:cs="Arial"/>
          <w:sz w:val="24"/>
          <w:szCs w:val="24"/>
        </w:rPr>
        <w:t>Thulare</w:t>
      </w:r>
      <w:proofErr w:type="spellEnd"/>
      <w:r w:rsidR="002221E0" w:rsidRPr="00C83C71">
        <w:rPr>
          <w:rFonts w:ascii="Arial" w:hAnsi="Arial" w:cs="Arial"/>
          <w:sz w:val="24"/>
          <w:szCs w:val="24"/>
        </w:rPr>
        <w:t xml:space="preserve"> J’s o</w:t>
      </w:r>
      <w:r w:rsidR="00A33B24" w:rsidRPr="00C83C71">
        <w:rPr>
          <w:rFonts w:ascii="Arial" w:hAnsi="Arial" w:cs="Arial"/>
          <w:sz w:val="24"/>
          <w:szCs w:val="24"/>
        </w:rPr>
        <w:t xml:space="preserve">rders because of their insistence </w:t>
      </w:r>
      <w:r w:rsidR="00A33B24" w:rsidRPr="00C83C71">
        <w:rPr>
          <w:rFonts w:ascii="Arial" w:hAnsi="Arial" w:cs="Arial"/>
          <w:sz w:val="24"/>
          <w:szCs w:val="24"/>
        </w:rPr>
        <w:lastRenderedPageBreak/>
        <w:t>on regulating the Applicant’s access to the property and on further limiting such access to granting her same for the purposes of viewing and inspecting the property.</w:t>
      </w:r>
    </w:p>
    <w:p w14:paraId="5891431D" w14:textId="77777777" w:rsidR="00CB5E9E" w:rsidRDefault="00CB5E9E" w:rsidP="00CB5E9E">
      <w:pPr>
        <w:pStyle w:val="ListParagraph"/>
      </w:pPr>
    </w:p>
    <w:p w14:paraId="57C89A75" w14:textId="77777777" w:rsidR="00CB5E9E" w:rsidRPr="00CB5E9E" w:rsidRDefault="00CB5E9E" w:rsidP="00CB5E9E">
      <w:pPr>
        <w:pStyle w:val="ListParagraph"/>
        <w:spacing w:line="480" w:lineRule="auto"/>
        <w:ind w:left="0"/>
        <w:jc w:val="both"/>
      </w:pPr>
    </w:p>
    <w:p w14:paraId="45DA5C0F" w14:textId="38233FA4" w:rsidR="00A75A5B" w:rsidRPr="000B290D" w:rsidRDefault="00C83C71" w:rsidP="00C83C71">
      <w:pPr>
        <w:tabs>
          <w:tab w:val="left" w:pos="567"/>
        </w:tabs>
        <w:spacing w:line="480" w:lineRule="auto"/>
        <w:jc w:val="both"/>
      </w:pPr>
      <w:r w:rsidRPr="000B290D">
        <w:rPr>
          <w:rFonts w:ascii="Arial" w:hAnsi="Arial" w:cs="Arial"/>
          <w:sz w:val="24"/>
          <w:lang w:val="en-ZA"/>
        </w:rPr>
        <w:t xml:space="preserve">[36]     </w:t>
      </w:r>
      <w:r w:rsidRPr="000B290D">
        <w:rPr>
          <w:rFonts w:ascii="Arial" w:hAnsi="Arial" w:cs="Arial"/>
          <w:sz w:val="24"/>
          <w:lang w:val="en-ZA"/>
        </w:rPr>
        <w:tab/>
      </w:r>
      <w:r w:rsidR="006514D6" w:rsidRPr="00C83C71">
        <w:rPr>
          <w:rFonts w:ascii="Arial" w:hAnsi="Arial" w:cs="Arial"/>
          <w:sz w:val="24"/>
          <w:szCs w:val="24"/>
        </w:rPr>
        <w:t>T</w:t>
      </w:r>
      <w:r w:rsidR="00A75A5B" w:rsidRPr="00C83C71">
        <w:rPr>
          <w:rFonts w:ascii="Arial" w:hAnsi="Arial" w:cs="Arial"/>
          <w:sz w:val="24"/>
          <w:szCs w:val="24"/>
        </w:rPr>
        <w:t xml:space="preserve">he Respondents </w:t>
      </w:r>
      <w:r w:rsidR="006514D6" w:rsidRPr="00C83C71">
        <w:rPr>
          <w:rFonts w:ascii="Arial" w:hAnsi="Arial" w:cs="Arial"/>
          <w:sz w:val="24"/>
          <w:szCs w:val="24"/>
        </w:rPr>
        <w:t xml:space="preserve">further contended that </w:t>
      </w:r>
      <w:r w:rsidR="00A75A5B" w:rsidRPr="00C83C71">
        <w:rPr>
          <w:rFonts w:ascii="Arial" w:hAnsi="Arial" w:cs="Arial"/>
          <w:sz w:val="24"/>
          <w:szCs w:val="24"/>
        </w:rPr>
        <w:t xml:space="preserve">the Applicant refused to give a </w:t>
      </w:r>
      <w:r w:rsidR="00E22745" w:rsidRPr="00C83C71">
        <w:rPr>
          <w:rFonts w:ascii="Arial" w:hAnsi="Arial" w:cs="Arial"/>
          <w:sz w:val="24"/>
          <w:szCs w:val="24"/>
        </w:rPr>
        <w:t>reasonable opportunity for the E</w:t>
      </w:r>
      <w:r w:rsidR="00A75A5B" w:rsidRPr="00C83C71">
        <w:rPr>
          <w:rFonts w:ascii="Arial" w:hAnsi="Arial" w:cs="Arial"/>
          <w:sz w:val="24"/>
          <w:szCs w:val="24"/>
        </w:rPr>
        <w:t xml:space="preserve">xecutor to be appointed and the estate to be administered and for her claim to be dealt with in accordance with the estate’s processes. </w:t>
      </w:r>
    </w:p>
    <w:p w14:paraId="650A9851" w14:textId="77777777" w:rsidR="00DB734B" w:rsidRPr="00DB734B" w:rsidRDefault="00DB734B" w:rsidP="00DB734B">
      <w:pPr>
        <w:pStyle w:val="ListParagraph"/>
        <w:spacing w:line="480" w:lineRule="auto"/>
        <w:ind w:left="0"/>
        <w:jc w:val="both"/>
      </w:pPr>
    </w:p>
    <w:p w14:paraId="628258B4" w14:textId="6C850E74" w:rsidR="00DB734B" w:rsidRPr="003500BB" w:rsidRDefault="00C83C71" w:rsidP="00C83C71">
      <w:pPr>
        <w:tabs>
          <w:tab w:val="left" w:pos="567"/>
        </w:tabs>
        <w:spacing w:line="480" w:lineRule="auto"/>
        <w:jc w:val="both"/>
      </w:pPr>
      <w:r w:rsidRPr="003500BB">
        <w:rPr>
          <w:rFonts w:ascii="Arial" w:hAnsi="Arial" w:cs="Arial"/>
          <w:sz w:val="24"/>
          <w:lang w:val="en-ZA"/>
        </w:rPr>
        <w:t xml:space="preserve">[37]     </w:t>
      </w:r>
      <w:r w:rsidRPr="003500BB">
        <w:rPr>
          <w:rFonts w:ascii="Arial" w:hAnsi="Arial" w:cs="Arial"/>
          <w:sz w:val="24"/>
          <w:lang w:val="en-ZA"/>
        </w:rPr>
        <w:tab/>
      </w:r>
      <w:r w:rsidR="00DB734B" w:rsidRPr="00C83C71">
        <w:rPr>
          <w:rFonts w:ascii="Arial" w:hAnsi="Arial" w:cs="Arial"/>
          <w:sz w:val="24"/>
          <w:szCs w:val="24"/>
        </w:rPr>
        <w:t xml:space="preserve">It is evident from the correspondence that the Respondent has in an email dated 11 September 2023, invited the Applicant to provide proposed times and dates for an inspection of the property. </w:t>
      </w:r>
      <w:r w:rsidR="003500BB" w:rsidRPr="00C83C71">
        <w:rPr>
          <w:rFonts w:ascii="Arial" w:hAnsi="Arial" w:cs="Arial"/>
          <w:sz w:val="24"/>
          <w:szCs w:val="24"/>
        </w:rPr>
        <w:t xml:space="preserve">The response to this email rejected the </w:t>
      </w:r>
      <w:r w:rsidR="003E49B4" w:rsidRPr="00C83C71">
        <w:rPr>
          <w:rFonts w:ascii="Arial" w:hAnsi="Arial" w:cs="Arial"/>
          <w:sz w:val="24"/>
          <w:szCs w:val="24"/>
        </w:rPr>
        <w:t>o</w:t>
      </w:r>
      <w:r w:rsidR="003500BB" w:rsidRPr="00C83C71">
        <w:rPr>
          <w:rFonts w:ascii="Arial" w:hAnsi="Arial" w:cs="Arial"/>
          <w:sz w:val="24"/>
          <w:szCs w:val="24"/>
        </w:rPr>
        <w:t>ffer of the Respondents in the following terms:</w:t>
      </w:r>
    </w:p>
    <w:p w14:paraId="3D91E634" w14:textId="77777777" w:rsidR="003500BB" w:rsidRDefault="003500BB" w:rsidP="003500BB">
      <w:pPr>
        <w:pStyle w:val="ListParagraph"/>
      </w:pPr>
    </w:p>
    <w:p w14:paraId="2139398D" w14:textId="77777777" w:rsidR="003500BB" w:rsidRPr="003500BB" w:rsidRDefault="00882E56" w:rsidP="00C80D9F">
      <w:pPr>
        <w:pStyle w:val="ListParagraph"/>
        <w:spacing w:line="360" w:lineRule="auto"/>
        <w:ind w:right="720"/>
        <w:jc w:val="both"/>
        <w:rPr>
          <w:rFonts w:ascii="Arial" w:hAnsi="Arial" w:cs="Arial"/>
          <w:i/>
        </w:rPr>
      </w:pPr>
      <w:r>
        <w:rPr>
          <w:rFonts w:ascii="Arial" w:hAnsi="Arial" w:cs="Arial"/>
          <w:i/>
        </w:rPr>
        <w:t>‘Our client has no intention o</w:t>
      </w:r>
      <w:r w:rsidR="00787538">
        <w:rPr>
          <w:rFonts w:ascii="Arial" w:hAnsi="Arial" w:cs="Arial"/>
          <w:i/>
        </w:rPr>
        <w:t>f accepting your</w:t>
      </w:r>
      <w:r>
        <w:rPr>
          <w:rFonts w:ascii="Arial" w:hAnsi="Arial" w:cs="Arial"/>
          <w:i/>
        </w:rPr>
        <w:t xml:space="preserve"> </w:t>
      </w:r>
      <w:r w:rsidR="00787538">
        <w:rPr>
          <w:rFonts w:ascii="Arial" w:hAnsi="Arial" w:cs="Arial"/>
          <w:i/>
        </w:rPr>
        <w:t>client’s purported offer. What our client seeks is to sell the property on the open market in terms of the court orders authorising her to do so. To this end she requires a set of keys to the premises, which she has a joint ownership of and which your client has unlawfully let to a third party without her consent. Your offer of access for purposes of a joint inspection is accordingly of no moment to her…’</w:t>
      </w:r>
      <w:r w:rsidR="00814F93">
        <w:rPr>
          <w:rStyle w:val="FootnoteReference"/>
          <w:rFonts w:ascii="Arial" w:hAnsi="Arial" w:cs="Arial"/>
          <w:i/>
        </w:rPr>
        <w:footnoteReference w:id="24"/>
      </w:r>
    </w:p>
    <w:p w14:paraId="2B6195D7" w14:textId="77777777" w:rsidR="0069687F" w:rsidRDefault="0069687F" w:rsidP="0069687F">
      <w:pPr>
        <w:pStyle w:val="ListParagraph"/>
      </w:pPr>
    </w:p>
    <w:p w14:paraId="59BE14BF" w14:textId="48A0A906" w:rsidR="00787538" w:rsidRPr="00814F93" w:rsidRDefault="00C83C71" w:rsidP="00C83C71">
      <w:pPr>
        <w:tabs>
          <w:tab w:val="left" w:pos="567"/>
        </w:tabs>
        <w:spacing w:line="480" w:lineRule="auto"/>
        <w:jc w:val="both"/>
      </w:pPr>
      <w:r w:rsidRPr="00814F93">
        <w:rPr>
          <w:rFonts w:ascii="Arial" w:hAnsi="Arial" w:cs="Arial"/>
          <w:sz w:val="24"/>
          <w:lang w:val="en-ZA"/>
        </w:rPr>
        <w:t xml:space="preserve">[38]     </w:t>
      </w:r>
      <w:r w:rsidRPr="00814F93">
        <w:rPr>
          <w:rFonts w:ascii="Arial" w:hAnsi="Arial" w:cs="Arial"/>
          <w:sz w:val="24"/>
          <w:lang w:val="en-ZA"/>
        </w:rPr>
        <w:tab/>
      </w:r>
      <w:r w:rsidR="00814F93" w:rsidRPr="00C83C71">
        <w:rPr>
          <w:rFonts w:ascii="Arial" w:hAnsi="Arial" w:cs="Arial"/>
          <w:sz w:val="24"/>
          <w:szCs w:val="24"/>
        </w:rPr>
        <w:t xml:space="preserve">The Applicant has rejected the Respondents tender for access as </w:t>
      </w:r>
      <w:proofErr w:type="spellStart"/>
      <w:r w:rsidR="00814F93" w:rsidRPr="00C83C71">
        <w:rPr>
          <w:rFonts w:ascii="Arial" w:hAnsi="Arial" w:cs="Arial"/>
          <w:sz w:val="24"/>
          <w:szCs w:val="24"/>
        </w:rPr>
        <w:t>aforestated</w:t>
      </w:r>
      <w:proofErr w:type="spellEnd"/>
      <w:r w:rsidR="00814F93" w:rsidRPr="00C83C71">
        <w:rPr>
          <w:rFonts w:ascii="Arial" w:hAnsi="Arial" w:cs="Arial"/>
          <w:sz w:val="24"/>
          <w:szCs w:val="24"/>
        </w:rPr>
        <w:t>, which tender was again attempted by way of correspondence dated 14 September wherein the following proposition was made:</w:t>
      </w:r>
    </w:p>
    <w:p w14:paraId="6C2ED3B4" w14:textId="77777777" w:rsidR="00814F93" w:rsidRDefault="00814F93" w:rsidP="00814F93">
      <w:pPr>
        <w:pStyle w:val="ListParagraph"/>
        <w:spacing w:line="360" w:lineRule="auto"/>
        <w:ind w:right="720"/>
        <w:jc w:val="both"/>
        <w:rPr>
          <w:rFonts w:ascii="Arial" w:hAnsi="Arial" w:cs="Arial"/>
          <w:i/>
        </w:rPr>
      </w:pPr>
      <w:r>
        <w:rPr>
          <w:rFonts w:ascii="Arial" w:hAnsi="Arial" w:cs="Arial"/>
          <w:i/>
        </w:rPr>
        <w:lastRenderedPageBreak/>
        <w:t xml:space="preserve">‘I </w:t>
      </w:r>
      <w:r w:rsidR="00254BA0">
        <w:rPr>
          <w:rFonts w:ascii="Arial" w:hAnsi="Arial" w:cs="Arial"/>
          <w:i/>
        </w:rPr>
        <w:t>reiterate our tender for access by prior arrangement to the premises, albeit for inspection or viewing. There is a tenant in the property and his arrangements must be taken into consideration and for this reason, amongst others, your client will not receive unfettered access to the property….’</w:t>
      </w:r>
      <w:r w:rsidR="00254BA0">
        <w:rPr>
          <w:rStyle w:val="FootnoteReference"/>
          <w:rFonts w:ascii="Arial" w:hAnsi="Arial" w:cs="Arial"/>
          <w:i/>
        </w:rPr>
        <w:footnoteReference w:id="25"/>
      </w:r>
    </w:p>
    <w:p w14:paraId="5B7C84F1" w14:textId="77777777" w:rsidR="00812EC9" w:rsidRPr="00814F93" w:rsidRDefault="00812EC9" w:rsidP="00814F93">
      <w:pPr>
        <w:pStyle w:val="ListParagraph"/>
        <w:spacing w:line="360" w:lineRule="auto"/>
        <w:ind w:right="720"/>
        <w:jc w:val="both"/>
        <w:rPr>
          <w:i/>
        </w:rPr>
      </w:pPr>
    </w:p>
    <w:p w14:paraId="530508C3" w14:textId="36C8DCDC" w:rsidR="00812EC9" w:rsidRPr="00812EC9" w:rsidRDefault="00C83C71" w:rsidP="00C83C71">
      <w:pPr>
        <w:tabs>
          <w:tab w:val="left" w:pos="567"/>
        </w:tabs>
        <w:spacing w:line="480" w:lineRule="auto"/>
        <w:jc w:val="both"/>
      </w:pPr>
      <w:r w:rsidRPr="00812EC9">
        <w:rPr>
          <w:rFonts w:ascii="Arial" w:hAnsi="Arial" w:cs="Arial"/>
          <w:sz w:val="24"/>
          <w:lang w:val="en-ZA"/>
        </w:rPr>
        <w:t xml:space="preserve">[39]     </w:t>
      </w:r>
      <w:r w:rsidRPr="00812EC9">
        <w:rPr>
          <w:rFonts w:ascii="Arial" w:hAnsi="Arial" w:cs="Arial"/>
          <w:sz w:val="24"/>
          <w:lang w:val="en-ZA"/>
        </w:rPr>
        <w:tab/>
      </w:r>
      <w:r w:rsidR="00812EC9" w:rsidRPr="00C83C71">
        <w:rPr>
          <w:rFonts w:ascii="Arial" w:hAnsi="Arial" w:cs="Arial"/>
          <w:sz w:val="24"/>
          <w:szCs w:val="24"/>
        </w:rPr>
        <w:t>A follow up email to the Applicant’s Attorney on 19 September 2023 ensued requesting them to:</w:t>
      </w:r>
    </w:p>
    <w:p w14:paraId="032DFA4F" w14:textId="77777777" w:rsidR="00812EC9" w:rsidRDefault="00812EC9" w:rsidP="00812EC9">
      <w:pPr>
        <w:pStyle w:val="ListParagraph"/>
        <w:spacing w:line="360" w:lineRule="auto"/>
        <w:ind w:right="720"/>
        <w:jc w:val="both"/>
        <w:rPr>
          <w:rFonts w:ascii="Arial" w:hAnsi="Arial" w:cs="Arial"/>
          <w:i/>
        </w:rPr>
      </w:pPr>
      <w:r w:rsidRPr="00812EC9">
        <w:rPr>
          <w:rFonts w:ascii="Arial" w:hAnsi="Arial" w:cs="Arial"/>
        </w:rPr>
        <w:t xml:space="preserve"> </w:t>
      </w:r>
      <w:r w:rsidRPr="00812EC9">
        <w:rPr>
          <w:rFonts w:ascii="Arial" w:hAnsi="Arial" w:cs="Arial"/>
          <w:i/>
        </w:rPr>
        <w:t xml:space="preserve">‘Please urgently advise if your client has been able to arrange for someone to come and view the property and what the suitable times would be? This would be the ideal time for my client’s own agent to also do an inspection of the property. </w:t>
      </w:r>
    </w:p>
    <w:p w14:paraId="15E85788" w14:textId="77777777" w:rsidR="00812EC9" w:rsidRDefault="00812EC9" w:rsidP="00812EC9">
      <w:pPr>
        <w:pStyle w:val="ListParagraph"/>
        <w:spacing w:line="360" w:lineRule="auto"/>
        <w:ind w:right="720"/>
        <w:jc w:val="both"/>
        <w:rPr>
          <w:rFonts w:ascii="Arial" w:hAnsi="Arial" w:cs="Arial"/>
          <w:i/>
        </w:rPr>
      </w:pPr>
    </w:p>
    <w:p w14:paraId="0D72C40B" w14:textId="77777777" w:rsidR="00814F93" w:rsidRPr="00812EC9" w:rsidRDefault="00812EC9" w:rsidP="00812EC9">
      <w:pPr>
        <w:pStyle w:val="ListParagraph"/>
        <w:spacing w:line="360" w:lineRule="auto"/>
        <w:ind w:right="720"/>
        <w:jc w:val="both"/>
      </w:pPr>
      <w:r w:rsidRPr="00812EC9">
        <w:rPr>
          <w:rFonts w:ascii="Arial" w:hAnsi="Arial" w:cs="Arial"/>
          <w:i/>
        </w:rPr>
        <w:t xml:space="preserve">They are </w:t>
      </w:r>
      <w:r>
        <w:rPr>
          <w:rFonts w:ascii="Arial" w:hAnsi="Arial" w:cs="Arial"/>
          <w:i/>
        </w:rPr>
        <w:t>busy with repairs after the geyser burst, but you remain welcome to let us have suitable timeslots and dates for a viewing.’</w:t>
      </w:r>
      <w:r w:rsidR="00957749">
        <w:rPr>
          <w:rStyle w:val="FootnoteReference"/>
          <w:rFonts w:ascii="Arial" w:hAnsi="Arial" w:cs="Arial"/>
          <w:i/>
        </w:rPr>
        <w:footnoteReference w:id="26"/>
      </w:r>
    </w:p>
    <w:p w14:paraId="06D796FE" w14:textId="77777777" w:rsidR="008C3A7B" w:rsidRPr="00787538" w:rsidRDefault="008C3A7B" w:rsidP="008C3A7B">
      <w:pPr>
        <w:pStyle w:val="ListParagraph"/>
        <w:spacing w:line="480" w:lineRule="auto"/>
        <w:ind w:left="0"/>
        <w:jc w:val="both"/>
      </w:pPr>
    </w:p>
    <w:p w14:paraId="17C83C35" w14:textId="7DE4D0B4" w:rsidR="00A75A5B" w:rsidRPr="0019133D" w:rsidRDefault="00C83C71" w:rsidP="00C83C71">
      <w:pPr>
        <w:tabs>
          <w:tab w:val="left" w:pos="567"/>
        </w:tabs>
        <w:spacing w:after="0" w:line="480" w:lineRule="auto"/>
        <w:jc w:val="both"/>
      </w:pPr>
      <w:r w:rsidRPr="0019133D">
        <w:rPr>
          <w:rFonts w:ascii="Arial" w:hAnsi="Arial" w:cs="Arial"/>
          <w:sz w:val="24"/>
          <w:lang w:val="en-ZA"/>
        </w:rPr>
        <w:t xml:space="preserve">[40]     </w:t>
      </w:r>
      <w:r w:rsidRPr="0019133D">
        <w:rPr>
          <w:rFonts w:ascii="Arial" w:hAnsi="Arial" w:cs="Arial"/>
          <w:sz w:val="24"/>
          <w:lang w:val="en-ZA"/>
        </w:rPr>
        <w:tab/>
      </w:r>
      <w:r w:rsidR="006913B8" w:rsidRPr="00C83C71">
        <w:rPr>
          <w:rFonts w:ascii="Arial" w:hAnsi="Arial" w:cs="Arial"/>
          <w:sz w:val="24"/>
          <w:szCs w:val="24"/>
        </w:rPr>
        <w:t>The stalemate situation between the parties is palpable and perceived by the Respondents that the Applicant wishes t</w:t>
      </w:r>
      <w:r w:rsidR="000E4F96" w:rsidRPr="00C83C71">
        <w:rPr>
          <w:rFonts w:ascii="Arial" w:hAnsi="Arial" w:cs="Arial"/>
          <w:sz w:val="24"/>
          <w:szCs w:val="24"/>
        </w:rPr>
        <w:t>o subvert the oversight of the E</w:t>
      </w:r>
      <w:r w:rsidR="006913B8" w:rsidRPr="00C83C71">
        <w:rPr>
          <w:rFonts w:ascii="Arial" w:hAnsi="Arial" w:cs="Arial"/>
          <w:sz w:val="24"/>
          <w:szCs w:val="24"/>
        </w:rPr>
        <w:t xml:space="preserve">xecutor of the estate and then use the Sheriff of the Court to have her own Deed of Sale endorsed. The acrimony between the parties was possibly further </w:t>
      </w:r>
      <w:proofErr w:type="spellStart"/>
      <w:r w:rsidR="006913B8" w:rsidRPr="00C83C71">
        <w:rPr>
          <w:rFonts w:ascii="Arial" w:hAnsi="Arial" w:cs="Arial"/>
          <w:sz w:val="24"/>
          <w:szCs w:val="24"/>
        </w:rPr>
        <w:t>fuelled</w:t>
      </w:r>
      <w:proofErr w:type="spellEnd"/>
      <w:r w:rsidR="006913B8" w:rsidRPr="00C83C71">
        <w:rPr>
          <w:rFonts w:ascii="Arial" w:hAnsi="Arial" w:cs="Arial"/>
          <w:sz w:val="24"/>
          <w:szCs w:val="24"/>
        </w:rPr>
        <w:t xml:space="preserve"> when the Second Respondent issued summons against the Applicant for the repayment of the amounts the deceased paid to the Applicant in terms of the Variation Agreement in the amount of approximately R914 000 together with interests and costs. </w:t>
      </w:r>
    </w:p>
    <w:p w14:paraId="77BA7DFD" w14:textId="77777777" w:rsidR="000F7C0A" w:rsidRDefault="000F7C0A" w:rsidP="00BF6394">
      <w:pPr>
        <w:pStyle w:val="ListParagraph"/>
        <w:spacing w:after="0"/>
      </w:pPr>
    </w:p>
    <w:p w14:paraId="7DA5556B" w14:textId="73846245" w:rsidR="00CB5E9E" w:rsidRDefault="00CB5E9E" w:rsidP="00BF6394">
      <w:pPr>
        <w:pStyle w:val="ListParagraph"/>
        <w:spacing w:after="0"/>
        <w:ind w:left="0"/>
        <w:rPr>
          <w:rFonts w:ascii="Arial" w:hAnsi="Arial" w:cs="Arial"/>
          <w:b/>
          <w:sz w:val="24"/>
          <w:szCs w:val="24"/>
        </w:rPr>
      </w:pPr>
    </w:p>
    <w:p w14:paraId="4ACADB03" w14:textId="77777777" w:rsidR="00A75A5B" w:rsidRPr="00A75A5B" w:rsidRDefault="00A75A5B" w:rsidP="00BF6394">
      <w:pPr>
        <w:pStyle w:val="ListParagraph"/>
        <w:spacing w:after="0"/>
        <w:ind w:left="0"/>
        <w:rPr>
          <w:rFonts w:ascii="Arial" w:hAnsi="Arial" w:cs="Arial"/>
          <w:b/>
          <w:sz w:val="24"/>
          <w:szCs w:val="24"/>
        </w:rPr>
      </w:pPr>
      <w:r w:rsidRPr="00A75A5B">
        <w:rPr>
          <w:rFonts w:ascii="Arial" w:hAnsi="Arial" w:cs="Arial"/>
          <w:b/>
          <w:sz w:val="24"/>
          <w:szCs w:val="24"/>
        </w:rPr>
        <w:t>Conclusion</w:t>
      </w:r>
    </w:p>
    <w:p w14:paraId="6340E6B7" w14:textId="77777777" w:rsidR="00D32176" w:rsidRDefault="00D32176" w:rsidP="00D32176">
      <w:pPr>
        <w:pStyle w:val="ListParagraph"/>
      </w:pPr>
    </w:p>
    <w:p w14:paraId="4BDFF882" w14:textId="19A035C3" w:rsidR="002E2E9C" w:rsidRPr="002E2E9C" w:rsidRDefault="00C83C71" w:rsidP="00C83C71">
      <w:pPr>
        <w:tabs>
          <w:tab w:val="left" w:pos="567"/>
        </w:tabs>
        <w:spacing w:after="0" w:line="480" w:lineRule="auto"/>
        <w:jc w:val="both"/>
      </w:pPr>
      <w:r w:rsidRPr="002E2E9C">
        <w:rPr>
          <w:rFonts w:ascii="Arial" w:hAnsi="Arial" w:cs="Arial"/>
          <w:sz w:val="24"/>
          <w:lang w:val="en-ZA"/>
        </w:rPr>
        <w:lastRenderedPageBreak/>
        <w:t xml:space="preserve">[41]     </w:t>
      </w:r>
      <w:r w:rsidRPr="002E2E9C">
        <w:rPr>
          <w:rFonts w:ascii="Arial" w:hAnsi="Arial" w:cs="Arial"/>
          <w:sz w:val="24"/>
          <w:lang w:val="en-ZA"/>
        </w:rPr>
        <w:tab/>
      </w:r>
      <w:r w:rsidR="00A715B7" w:rsidRPr="00C83C71">
        <w:rPr>
          <w:rFonts w:ascii="Arial" w:hAnsi="Arial" w:cs="Arial"/>
          <w:sz w:val="24"/>
          <w:szCs w:val="24"/>
        </w:rPr>
        <w:t>T</w:t>
      </w:r>
      <w:r w:rsidR="00D32176" w:rsidRPr="00C83C71">
        <w:rPr>
          <w:rFonts w:ascii="Arial" w:hAnsi="Arial" w:cs="Arial"/>
          <w:sz w:val="24"/>
          <w:szCs w:val="24"/>
        </w:rPr>
        <w:t>he Applicant seeks that the Respondents be interdicted and restrained from preventing or otherwise hampering or hindering the Applicant in the exercise of he</w:t>
      </w:r>
      <w:r w:rsidR="00A715B7" w:rsidRPr="00C83C71">
        <w:rPr>
          <w:rFonts w:ascii="Arial" w:hAnsi="Arial" w:cs="Arial"/>
          <w:sz w:val="24"/>
          <w:szCs w:val="24"/>
        </w:rPr>
        <w:t xml:space="preserve">r rights and sell the property. It is trite that </w:t>
      </w:r>
      <w:r w:rsidR="00D32176" w:rsidRPr="00C83C71">
        <w:rPr>
          <w:rFonts w:ascii="Arial" w:hAnsi="Arial" w:cs="Arial"/>
          <w:sz w:val="24"/>
          <w:szCs w:val="24"/>
        </w:rPr>
        <w:t>the Applicant must establish the existence of a clear right, prove the occurrence or reasonable apprehension of an injury and demonstrate the absence of any other satisfactory remedy.</w:t>
      </w:r>
      <w:r w:rsidR="00F147C3" w:rsidRPr="00C83C71">
        <w:rPr>
          <w:rFonts w:ascii="Arial" w:hAnsi="Arial" w:cs="Arial"/>
          <w:sz w:val="24"/>
          <w:szCs w:val="24"/>
        </w:rPr>
        <w:t xml:space="preserve"> Even though the Applicant has a clear right </w:t>
      </w:r>
      <w:r w:rsidR="00F147C3" w:rsidRPr="00C83C71">
        <w:rPr>
          <w:rFonts w:ascii="Arial" w:hAnsi="Arial" w:cs="Arial"/>
          <w:i/>
          <w:sz w:val="24"/>
          <w:szCs w:val="24"/>
        </w:rPr>
        <w:t>ex facie</w:t>
      </w:r>
      <w:r w:rsidR="00F147C3" w:rsidRPr="00C83C71">
        <w:rPr>
          <w:rFonts w:ascii="Arial" w:hAnsi="Arial" w:cs="Arial"/>
          <w:sz w:val="24"/>
          <w:szCs w:val="24"/>
        </w:rPr>
        <w:t xml:space="preserve"> the court order to sell the property, this right cannot be viewed in a vacuum because the Second Respondent too has a statutory obligation to take control of the deceased estate.</w:t>
      </w:r>
      <w:r w:rsidR="008C7F08" w:rsidRPr="00C83C71">
        <w:rPr>
          <w:rFonts w:ascii="Arial" w:hAnsi="Arial" w:cs="Arial"/>
          <w:sz w:val="24"/>
          <w:szCs w:val="24"/>
        </w:rPr>
        <w:t xml:space="preserve"> The Applicant’s request for free and unfettered access to the property and direct access to the tenant is</w:t>
      </w:r>
      <w:r w:rsidR="005C4A1E" w:rsidRPr="00C83C71">
        <w:rPr>
          <w:rFonts w:ascii="Arial" w:hAnsi="Arial" w:cs="Arial"/>
          <w:sz w:val="24"/>
          <w:szCs w:val="24"/>
        </w:rPr>
        <w:t xml:space="preserve"> not without challenges</w:t>
      </w:r>
      <w:r w:rsidR="006A7276" w:rsidRPr="00C83C71">
        <w:rPr>
          <w:rFonts w:ascii="Arial" w:hAnsi="Arial" w:cs="Arial"/>
          <w:sz w:val="24"/>
          <w:szCs w:val="24"/>
        </w:rPr>
        <w:t xml:space="preserve"> as earlier discussed in this judgment</w:t>
      </w:r>
      <w:r w:rsidR="005C4A1E" w:rsidRPr="00C83C71">
        <w:rPr>
          <w:rFonts w:ascii="Arial" w:hAnsi="Arial" w:cs="Arial"/>
          <w:sz w:val="24"/>
          <w:szCs w:val="24"/>
        </w:rPr>
        <w:t>.</w:t>
      </w:r>
      <w:r w:rsidR="008C7F08" w:rsidRPr="00C83C71">
        <w:rPr>
          <w:rFonts w:ascii="Arial" w:hAnsi="Arial" w:cs="Arial"/>
          <w:sz w:val="24"/>
          <w:szCs w:val="24"/>
        </w:rPr>
        <w:t xml:space="preserve"> Effective implementation of </w:t>
      </w:r>
      <w:proofErr w:type="spellStart"/>
      <w:r w:rsidR="008C7F08" w:rsidRPr="00C83C71">
        <w:rPr>
          <w:rFonts w:ascii="Arial" w:hAnsi="Arial" w:cs="Arial"/>
          <w:sz w:val="24"/>
          <w:szCs w:val="24"/>
        </w:rPr>
        <w:t>Thulare</w:t>
      </w:r>
      <w:proofErr w:type="spellEnd"/>
      <w:r w:rsidR="008C7F08" w:rsidRPr="00C83C71">
        <w:rPr>
          <w:rFonts w:ascii="Arial" w:hAnsi="Arial" w:cs="Arial"/>
          <w:sz w:val="24"/>
          <w:szCs w:val="24"/>
        </w:rPr>
        <w:t xml:space="preserve"> J’s order has to be viewed in the context of the Second Respondent’s mandate and statutory authority as the Executor of the deceased estate. </w:t>
      </w:r>
      <w:r w:rsidR="00E13FA8" w:rsidRPr="00C83C71">
        <w:rPr>
          <w:rFonts w:ascii="Arial" w:hAnsi="Arial" w:cs="Arial"/>
          <w:sz w:val="24"/>
          <w:szCs w:val="24"/>
        </w:rPr>
        <w:t>This factor cannot be ignored as the circumstances ha</w:t>
      </w:r>
      <w:r w:rsidR="00390251" w:rsidRPr="00C83C71">
        <w:rPr>
          <w:rFonts w:ascii="Arial" w:hAnsi="Arial" w:cs="Arial"/>
          <w:sz w:val="24"/>
          <w:szCs w:val="24"/>
        </w:rPr>
        <w:t>ve</w:t>
      </w:r>
      <w:r w:rsidR="00E13FA8" w:rsidRPr="00C83C71">
        <w:rPr>
          <w:rFonts w:ascii="Arial" w:hAnsi="Arial" w:cs="Arial"/>
          <w:sz w:val="24"/>
          <w:szCs w:val="24"/>
        </w:rPr>
        <w:t xml:space="preserve"> changed since the granting of the </w:t>
      </w:r>
      <w:proofErr w:type="spellStart"/>
      <w:r w:rsidR="00E13FA8" w:rsidRPr="00C83C71">
        <w:rPr>
          <w:rFonts w:ascii="Arial" w:hAnsi="Arial" w:cs="Arial"/>
          <w:sz w:val="24"/>
          <w:szCs w:val="24"/>
        </w:rPr>
        <w:t>Thulare</w:t>
      </w:r>
      <w:proofErr w:type="spellEnd"/>
      <w:r w:rsidR="00E13FA8" w:rsidRPr="00C83C71">
        <w:rPr>
          <w:rFonts w:ascii="Arial" w:hAnsi="Arial" w:cs="Arial"/>
          <w:sz w:val="24"/>
          <w:szCs w:val="24"/>
        </w:rPr>
        <w:t xml:space="preserve"> J order.  </w:t>
      </w:r>
      <w:r w:rsidR="00AD1B0B" w:rsidRPr="00C83C71">
        <w:rPr>
          <w:rFonts w:ascii="Arial" w:hAnsi="Arial" w:cs="Arial"/>
          <w:sz w:val="24"/>
          <w:szCs w:val="24"/>
        </w:rPr>
        <w:t xml:space="preserve">The Applicant’s right to freely market must </w:t>
      </w:r>
      <w:r w:rsidR="002E2E9C" w:rsidRPr="00C83C71">
        <w:rPr>
          <w:rFonts w:ascii="Arial" w:hAnsi="Arial" w:cs="Arial"/>
          <w:sz w:val="24"/>
          <w:szCs w:val="24"/>
        </w:rPr>
        <w:t xml:space="preserve">now </w:t>
      </w:r>
      <w:r w:rsidR="00AD1B0B" w:rsidRPr="00C83C71">
        <w:rPr>
          <w:rFonts w:ascii="Arial" w:hAnsi="Arial" w:cs="Arial"/>
          <w:sz w:val="24"/>
          <w:szCs w:val="24"/>
        </w:rPr>
        <w:t>be viewed within the current context of the matter.</w:t>
      </w:r>
      <w:r w:rsidR="00F147C3" w:rsidRPr="00C83C71">
        <w:rPr>
          <w:rFonts w:ascii="Arial" w:hAnsi="Arial" w:cs="Arial"/>
          <w:sz w:val="24"/>
          <w:szCs w:val="24"/>
        </w:rPr>
        <w:t xml:space="preserve"> </w:t>
      </w:r>
    </w:p>
    <w:p w14:paraId="6A4D80FF" w14:textId="77777777" w:rsidR="00694C02" w:rsidRPr="001F238B" w:rsidRDefault="00694C02" w:rsidP="0091740B">
      <w:pPr>
        <w:pStyle w:val="ListParagraph"/>
        <w:spacing w:after="0" w:line="480" w:lineRule="auto"/>
        <w:ind w:left="0"/>
        <w:jc w:val="both"/>
      </w:pPr>
    </w:p>
    <w:p w14:paraId="3A5A9473" w14:textId="203F2D7B" w:rsidR="008C7F08" w:rsidRPr="005C4A1E" w:rsidRDefault="00C83C71" w:rsidP="00C83C71">
      <w:pPr>
        <w:tabs>
          <w:tab w:val="left" w:pos="567"/>
        </w:tabs>
        <w:spacing w:after="0" w:line="480" w:lineRule="auto"/>
        <w:jc w:val="both"/>
      </w:pPr>
      <w:r w:rsidRPr="005C4A1E">
        <w:rPr>
          <w:rFonts w:ascii="Arial" w:hAnsi="Arial" w:cs="Arial"/>
          <w:sz w:val="24"/>
          <w:lang w:val="en-ZA"/>
        </w:rPr>
        <w:t xml:space="preserve">[42]     </w:t>
      </w:r>
      <w:r w:rsidRPr="005C4A1E">
        <w:rPr>
          <w:rFonts w:ascii="Arial" w:hAnsi="Arial" w:cs="Arial"/>
          <w:sz w:val="24"/>
          <w:lang w:val="en-ZA"/>
        </w:rPr>
        <w:tab/>
      </w:r>
      <w:r w:rsidR="000D3740" w:rsidRPr="00C83C71">
        <w:rPr>
          <w:rFonts w:ascii="Arial" w:hAnsi="Arial" w:cs="Arial"/>
          <w:sz w:val="24"/>
          <w:szCs w:val="24"/>
        </w:rPr>
        <w:t xml:space="preserve">The Applicant has the right to sell </w:t>
      </w:r>
      <w:r w:rsidR="00E64395" w:rsidRPr="00C83C71">
        <w:rPr>
          <w:rFonts w:ascii="Arial" w:hAnsi="Arial" w:cs="Arial"/>
          <w:sz w:val="24"/>
          <w:szCs w:val="24"/>
        </w:rPr>
        <w:t xml:space="preserve">the property </w:t>
      </w:r>
      <w:r w:rsidR="000D3740" w:rsidRPr="00C83C71">
        <w:rPr>
          <w:rFonts w:ascii="Arial" w:hAnsi="Arial" w:cs="Arial"/>
          <w:sz w:val="24"/>
          <w:szCs w:val="24"/>
        </w:rPr>
        <w:t>and Second Respondent has the obligation to take control</w:t>
      </w:r>
      <w:r w:rsidR="00E64395" w:rsidRPr="00C83C71">
        <w:rPr>
          <w:rFonts w:ascii="Arial" w:hAnsi="Arial" w:cs="Arial"/>
          <w:sz w:val="24"/>
          <w:szCs w:val="24"/>
        </w:rPr>
        <w:t xml:space="preserve"> of the estate assets</w:t>
      </w:r>
      <w:r w:rsidR="000D3740" w:rsidRPr="00C83C71">
        <w:rPr>
          <w:rFonts w:ascii="Arial" w:hAnsi="Arial" w:cs="Arial"/>
          <w:sz w:val="24"/>
          <w:szCs w:val="24"/>
        </w:rPr>
        <w:t xml:space="preserve">. </w:t>
      </w:r>
      <w:r w:rsidR="004940D8" w:rsidRPr="00C83C71">
        <w:rPr>
          <w:rFonts w:ascii="Arial" w:hAnsi="Arial" w:cs="Arial"/>
          <w:sz w:val="24"/>
          <w:szCs w:val="24"/>
        </w:rPr>
        <w:t>Inasmuch as the Applicant seeks to be placed on equal footing with the Second Respondent, it bears mentioning that the Second Respondent too does not have access freely to the property. There are practical realities which includes potentially marketing of this property with tenants in occupation. Furthermore, t</w:t>
      </w:r>
      <w:r w:rsidR="00603D12" w:rsidRPr="00C83C71">
        <w:rPr>
          <w:rFonts w:ascii="Arial" w:hAnsi="Arial" w:cs="Arial"/>
          <w:sz w:val="24"/>
          <w:szCs w:val="24"/>
        </w:rPr>
        <w:t>he Res</w:t>
      </w:r>
      <w:r w:rsidR="00945161" w:rsidRPr="00C83C71">
        <w:rPr>
          <w:rFonts w:ascii="Arial" w:hAnsi="Arial" w:cs="Arial"/>
          <w:sz w:val="24"/>
          <w:szCs w:val="24"/>
        </w:rPr>
        <w:t xml:space="preserve">pondents have tendered compliance with the order of </w:t>
      </w:r>
      <w:proofErr w:type="spellStart"/>
      <w:r w:rsidR="00945161" w:rsidRPr="00C83C71">
        <w:rPr>
          <w:rFonts w:ascii="Arial" w:hAnsi="Arial" w:cs="Arial"/>
          <w:sz w:val="24"/>
          <w:szCs w:val="24"/>
        </w:rPr>
        <w:t>Thulare</w:t>
      </w:r>
      <w:proofErr w:type="spellEnd"/>
      <w:r w:rsidR="00945161" w:rsidRPr="00C83C71">
        <w:rPr>
          <w:rFonts w:ascii="Arial" w:hAnsi="Arial" w:cs="Arial"/>
          <w:sz w:val="24"/>
          <w:szCs w:val="24"/>
        </w:rPr>
        <w:t xml:space="preserve"> J.</w:t>
      </w:r>
      <w:r w:rsidR="00603D12" w:rsidRPr="00C83C71">
        <w:rPr>
          <w:rFonts w:ascii="Arial" w:hAnsi="Arial" w:cs="Arial"/>
          <w:sz w:val="24"/>
          <w:szCs w:val="24"/>
        </w:rPr>
        <w:t xml:space="preserve"> </w:t>
      </w:r>
      <w:r w:rsidR="003A2DB9" w:rsidRPr="00C83C71">
        <w:rPr>
          <w:rFonts w:ascii="Arial" w:hAnsi="Arial" w:cs="Arial"/>
          <w:sz w:val="24"/>
          <w:szCs w:val="24"/>
        </w:rPr>
        <w:t xml:space="preserve">In my view, there appears to be </w:t>
      </w:r>
      <w:r w:rsidR="00945161" w:rsidRPr="00C83C71">
        <w:rPr>
          <w:rFonts w:ascii="Arial" w:hAnsi="Arial" w:cs="Arial"/>
          <w:sz w:val="24"/>
          <w:szCs w:val="24"/>
        </w:rPr>
        <w:t xml:space="preserve">no evidence of intervening or interfering provided </w:t>
      </w:r>
      <w:r w:rsidR="004940D8" w:rsidRPr="00C83C71">
        <w:rPr>
          <w:rFonts w:ascii="Arial" w:hAnsi="Arial" w:cs="Arial"/>
          <w:sz w:val="24"/>
          <w:szCs w:val="24"/>
        </w:rPr>
        <w:t xml:space="preserve">by the Applicant </w:t>
      </w:r>
      <w:r w:rsidR="00945161" w:rsidRPr="00C83C71">
        <w:rPr>
          <w:rFonts w:ascii="Arial" w:hAnsi="Arial" w:cs="Arial"/>
          <w:sz w:val="24"/>
          <w:szCs w:val="24"/>
        </w:rPr>
        <w:t xml:space="preserve">that leads to the conclusion of paragraph 4 of the Notice of </w:t>
      </w:r>
      <w:r w:rsidR="00945161" w:rsidRPr="00C83C71">
        <w:rPr>
          <w:rFonts w:ascii="Arial" w:hAnsi="Arial" w:cs="Arial"/>
          <w:sz w:val="24"/>
          <w:szCs w:val="24"/>
        </w:rPr>
        <w:lastRenderedPageBreak/>
        <w:t>Motion.</w:t>
      </w:r>
      <w:r w:rsidR="004940D8">
        <w:rPr>
          <w:rStyle w:val="FootnoteReference"/>
          <w:rFonts w:ascii="Arial" w:hAnsi="Arial" w:cs="Arial"/>
          <w:sz w:val="24"/>
          <w:szCs w:val="24"/>
        </w:rPr>
        <w:footnoteReference w:id="27"/>
      </w:r>
      <w:r w:rsidR="00945161" w:rsidRPr="00C83C71">
        <w:rPr>
          <w:rFonts w:ascii="Arial" w:hAnsi="Arial" w:cs="Arial"/>
          <w:sz w:val="24"/>
          <w:szCs w:val="24"/>
        </w:rPr>
        <w:t xml:space="preserve"> In fact, the Counsel for the Applicant argued that it was burdensome for the Applicant to go through the Respondents legal representative. This</w:t>
      </w:r>
      <w:r w:rsidR="008059ED" w:rsidRPr="00C83C71">
        <w:rPr>
          <w:rFonts w:ascii="Arial" w:hAnsi="Arial" w:cs="Arial"/>
          <w:sz w:val="24"/>
          <w:szCs w:val="24"/>
        </w:rPr>
        <w:t xml:space="preserve"> protocol</w:t>
      </w:r>
      <w:r w:rsidR="00945161" w:rsidRPr="00C83C71">
        <w:rPr>
          <w:rFonts w:ascii="Arial" w:hAnsi="Arial" w:cs="Arial"/>
          <w:sz w:val="24"/>
          <w:szCs w:val="24"/>
        </w:rPr>
        <w:t>, in my view</w:t>
      </w:r>
      <w:r w:rsidR="008059ED" w:rsidRPr="00C83C71">
        <w:rPr>
          <w:rFonts w:ascii="Arial" w:hAnsi="Arial" w:cs="Arial"/>
          <w:sz w:val="24"/>
          <w:szCs w:val="24"/>
        </w:rPr>
        <w:t>,</w:t>
      </w:r>
      <w:r w:rsidR="00945161" w:rsidRPr="00C83C71">
        <w:rPr>
          <w:rFonts w:ascii="Arial" w:hAnsi="Arial" w:cs="Arial"/>
          <w:sz w:val="24"/>
          <w:szCs w:val="24"/>
        </w:rPr>
        <w:t xml:space="preserve"> may be an inconvenience but cannot be construed as an interference</w:t>
      </w:r>
      <w:r w:rsidR="00017B93" w:rsidRPr="00C83C71">
        <w:rPr>
          <w:rFonts w:ascii="Arial" w:hAnsi="Arial" w:cs="Arial"/>
          <w:sz w:val="24"/>
          <w:szCs w:val="24"/>
        </w:rPr>
        <w:t xml:space="preserve"> or </w:t>
      </w:r>
      <w:r w:rsidR="00143FB2" w:rsidRPr="00C83C71">
        <w:rPr>
          <w:rFonts w:ascii="Arial" w:hAnsi="Arial" w:cs="Arial"/>
          <w:sz w:val="24"/>
          <w:szCs w:val="24"/>
        </w:rPr>
        <w:t>hindrance</w:t>
      </w:r>
      <w:r w:rsidR="00945161" w:rsidRPr="00C83C71">
        <w:rPr>
          <w:rFonts w:ascii="Arial" w:hAnsi="Arial" w:cs="Arial"/>
          <w:sz w:val="24"/>
          <w:szCs w:val="24"/>
        </w:rPr>
        <w:t>.</w:t>
      </w:r>
    </w:p>
    <w:p w14:paraId="3FFDC323" w14:textId="77777777" w:rsidR="005C4A1E" w:rsidRPr="008C7F08" w:rsidRDefault="005C4A1E" w:rsidP="005C4A1E">
      <w:pPr>
        <w:pStyle w:val="ListParagraph"/>
        <w:spacing w:line="480" w:lineRule="auto"/>
        <w:ind w:left="0"/>
        <w:jc w:val="both"/>
      </w:pPr>
    </w:p>
    <w:p w14:paraId="7626C287" w14:textId="72C9A940" w:rsidR="00BE4842" w:rsidRPr="00C83C71" w:rsidRDefault="00C83C71" w:rsidP="00C83C71">
      <w:pPr>
        <w:tabs>
          <w:tab w:val="left" w:pos="567"/>
        </w:tabs>
        <w:spacing w:after="0" w:line="480" w:lineRule="auto"/>
        <w:jc w:val="both"/>
        <w:rPr>
          <w:rFonts w:ascii="Arial" w:hAnsi="Arial" w:cs="Arial"/>
          <w:sz w:val="24"/>
          <w:szCs w:val="24"/>
        </w:rPr>
      </w:pPr>
      <w:r w:rsidRPr="00BE4842">
        <w:rPr>
          <w:rFonts w:ascii="Arial" w:hAnsi="Arial" w:cs="Arial"/>
          <w:sz w:val="24"/>
          <w:szCs w:val="24"/>
          <w:lang w:val="en-ZA"/>
        </w:rPr>
        <w:t xml:space="preserve">[43]     </w:t>
      </w:r>
      <w:r w:rsidRPr="00BE4842">
        <w:rPr>
          <w:rFonts w:ascii="Arial" w:hAnsi="Arial" w:cs="Arial"/>
          <w:sz w:val="24"/>
          <w:szCs w:val="24"/>
          <w:lang w:val="en-ZA"/>
        </w:rPr>
        <w:tab/>
      </w:r>
      <w:r w:rsidR="005C4A1E" w:rsidRPr="00C83C71">
        <w:rPr>
          <w:rFonts w:ascii="Arial" w:hAnsi="Arial" w:cs="Arial"/>
          <w:sz w:val="24"/>
          <w:szCs w:val="24"/>
        </w:rPr>
        <w:t>Therefore, I am not persuaded that the Respondents have prevented, hampered or hindered the Applicant in the exercise of her rights to market and sell the property in</w:t>
      </w:r>
      <w:r w:rsidR="006A7276" w:rsidRPr="00C83C71">
        <w:rPr>
          <w:rFonts w:ascii="Arial" w:hAnsi="Arial" w:cs="Arial"/>
          <w:sz w:val="24"/>
          <w:szCs w:val="24"/>
        </w:rPr>
        <w:t xml:space="preserve"> terms of the </w:t>
      </w:r>
      <w:proofErr w:type="spellStart"/>
      <w:r w:rsidR="006A7276" w:rsidRPr="00C83C71">
        <w:rPr>
          <w:rFonts w:ascii="Arial" w:hAnsi="Arial" w:cs="Arial"/>
          <w:sz w:val="24"/>
          <w:szCs w:val="24"/>
        </w:rPr>
        <w:t>Thulare</w:t>
      </w:r>
      <w:proofErr w:type="spellEnd"/>
      <w:r w:rsidR="00945161" w:rsidRPr="00C83C71">
        <w:rPr>
          <w:rFonts w:ascii="Arial" w:hAnsi="Arial" w:cs="Arial"/>
          <w:sz w:val="24"/>
          <w:szCs w:val="24"/>
        </w:rPr>
        <w:t xml:space="preserve"> J order. Thus</w:t>
      </w:r>
      <w:r w:rsidR="006A7276" w:rsidRPr="00C83C71">
        <w:rPr>
          <w:rFonts w:ascii="Arial" w:hAnsi="Arial" w:cs="Arial"/>
          <w:sz w:val="24"/>
          <w:szCs w:val="24"/>
        </w:rPr>
        <w:t xml:space="preserve">, the Applicant has failed to establish the </w:t>
      </w:r>
      <w:r w:rsidR="005225F4" w:rsidRPr="00C83C71">
        <w:rPr>
          <w:rFonts w:ascii="Arial" w:hAnsi="Arial" w:cs="Arial"/>
          <w:sz w:val="24"/>
          <w:szCs w:val="24"/>
        </w:rPr>
        <w:t xml:space="preserve">trite prerequisite </w:t>
      </w:r>
      <w:r w:rsidR="006A7276" w:rsidRPr="00C83C71">
        <w:rPr>
          <w:rFonts w:ascii="Arial" w:hAnsi="Arial" w:cs="Arial"/>
          <w:sz w:val="24"/>
          <w:szCs w:val="24"/>
        </w:rPr>
        <w:t xml:space="preserve">considerations that there was an infringement of a right or non-compliance with </w:t>
      </w:r>
      <w:proofErr w:type="spellStart"/>
      <w:r w:rsidR="006A7276" w:rsidRPr="00C83C71">
        <w:rPr>
          <w:rFonts w:ascii="Arial" w:hAnsi="Arial" w:cs="Arial"/>
          <w:sz w:val="24"/>
          <w:szCs w:val="24"/>
        </w:rPr>
        <w:t>Thulare</w:t>
      </w:r>
      <w:proofErr w:type="spellEnd"/>
      <w:r w:rsidR="006A7276" w:rsidRPr="00C83C71">
        <w:rPr>
          <w:rFonts w:ascii="Arial" w:hAnsi="Arial" w:cs="Arial"/>
          <w:sz w:val="24"/>
          <w:szCs w:val="24"/>
        </w:rPr>
        <w:t xml:space="preserve"> J’s order. </w:t>
      </w:r>
      <w:r w:rsidR="005C4A1E" w:rsidRPr="00C83C71">
        <w:rPr>
          <w:rFonts w:ascii="Arial" w:hAnsi="Arial" w:cs="Arial"/>
          <w:sz w:val="24"/>
          <w:szCs w:val="24"/>
        </w:rPr>
        <w:t>The various correspondence inviting an arrangement demonstrates the opposite as refe</w:t>
      </w:r>
      <w:r w:rsidR="00BE4842" w:rsidRPr="00C83C71">
        <w:rPr>
          <w:rFonts w:ascii="Arial" w:hAnsi="Arial" w:cs="Arial"/>
          <w:sz w:val="24"/>
          <w:szCs w:val="24"/>
        </w:rPr>
        <w:t xml:space="preserve">renced earlier in this judgment and demonstrates the effectors made by the Second Respondent to give effect to </w:t>
      </w:r>
      <w:proofErr w:type="spellStart"/>
      <w:r w:rsidR="00BE4842" w:rsidRPr="00C83C71">
        <w:rPr>
          <w:rFonts w:ascii="Arial" w:hAnsi="Arial" w:cs="Arial"/>
          <w:sz w:val="24"/>
          <w:szCs w:val="24"/>
        </w:rPr>
        <w:t>Thulare</w:t>
      </w:r>
      <w:proofErr w:type="spellEnd"/>
      <w:r w:rsidR="00BE4842" w:rsidRPr="00C83C71">
        <w:rPr>
          <w:rFonts w:ascii="Arial" w:hAnsi="Arial" w:cs="Arial"/>
          <w:sz w:val="24"/>
          <w:szCs w:val="24"/>
        </w:rPr>
        <w:t xml:space="preserve"> J’s order. </w:t>
      </w:r>
      <w:r w:rsidR="005225F4" w:rsidRPr="00C83C71">
        <w:rPr>
          <w:rFonts w:ascii="Arial" w:hAnsi="Arial" w:cs="Arial"/>
          <w:sz w:val="24"/>
          <w:szCs w:val="24"/>
        </w:rPr>
        <w:t xml:space="preserve"> </w:t>
      </w:r>
      <w:r w:rsidR="00BE4842" w:rsidRPr="00C83C71">
        <w:rPr>
          <w:rFonts w:ascii="Arial" w:hAnsi="Arial" w:cs="Arial"/>
          <w:sz w:val="24"/>
          <w:szCs w:val="24"/>
        </w:rPr>
        <w:t xml:space="preserve">Consequently, </w:t>
      </w:r>
      <w:r w:rsidR="005225F4" w:rsidRPr="00C83C71">
        <w:rPr>
          <w:rFonts w:ascii="Arial" w:hAnsi="Arial" w:cs="Arial"/>
          <w:sz w:val="24"/>
          <w:szCs w:val="24"/>
        </w:rPr>
        <w:t>I am not satisfied on the facts before me that the</w:t>
      </w:r>
      <w:r w:rsidR="00BA2FB2" w:rsidRPr="00C83C71">
        <w:rPr>
          <w:rFonts w:ascii="Arial" w:hAnsi="Arial" w:cs="Arial"/>
          <w:sz w:val="24"/>
          <w:szCs w:val="24"/>
        </w:rPr>
        <w:t>re</w:t>
      </w:r>
      <w:r w:rsidR="005225F4" w:rsidRPr="00C83C71">
        <w:rPr>
          <w:rFonts w:ascii="Arial" w:hAnsi="Arial" w:cs="Arial"/>
          <w:sz w:val="24"/>
          <w:szCs w:val="24"/>
        </w:rPr>
        <w:t xml:space="preserve"> is a r</w:t>
      </w:r>
      <w:r w:rsidR="007926EF" w:rsidRPr="00C83C71">
        <w:rPr>
          <w:rFonts w:ascii="Arial" w:hAnsi="Arial" w:cs="Arial"/>
          <w:sz w:val="24"/>
          <w:szCs w:val="24"/>
        </w:rPr>
        <w:t xml:space="preserve">easonable apprehension of harm or any impending harm. </w:t>
      </w:r>
    </w:p>
    <w:p w14:paraId="47E990B7" w14:textId="77777777" w:rsidR="00BE4842" w:rsidRPr="007926EF" w:rsidRDefault="00BE4842" w:rsidP="009C28A4">
      <w:pPr>
        <w:pStyle w:val="ListParagraph"/>
        <w:spacing w:after="0" w:line="480" w:lineRule="auto"/>
        <w:ind w:left="0"/>
        <w:jc w:val="both"/>
        <w:rPr>
          <w:rFonts w:ascii="Arial" w:hAnsi="Arial" w:cs="Arial"/>
          <w:sz w:val="24"/>
          <w:szCs w:val="24"/>
        </w:rPr>
      </w:pPr>
    </w:p>
    <w:p w14:paraId="362BF8BB" w14:textId="677EA248" w:rsidR="007926EF" w:rsidRPr="007926EF" w:rsidRDefault="00C83C71" w:rsidP="00C83C71">
      <w:pPr>
        <w:tabs>
          <w:tab w:val="left" w:pos="567"/>
        </w:tabs>
        <w:spacing w:after="0" w:line="480" w:lineRule="auto"/>
        <w:jc w:val="both"/>
      </w:pPr>
      <w:r w:rsidRPr="007926EF">
        <w:rPr>
          <w:rFonts w:ascii="Arial" w:hAnsi="Arial" w:cs="Arial"/>
          <w:sz w:val="24"/>
          <w:lang w:val="en-ZA"/>
        </w:rPr>
        <w:t xml:space="preserve">[44]     </w:t>
      </w:r>
      <w:r w:rsidRPr="007926EF">
        <w:rPr>
          <w:rFonts w:ascii="Arial" w:hAnsi="Arial" w:cs="Arial"/>
          <w:sz w:val="24"/>
          <w:lang w:val="en-ZA"/>
        </w:rPr>
        <w:tab/>
      </w:r>
      <w:r w:rsidR="000B57A3" w:rsidRPr="00C83C71">
        <w:rPr>
          <w:rFonts w:ascii="Arial" w:hAnsi="Arial" w:cs="Arial"/>
          <w:sz w:val="24"/>
          <w:szCs w:val="24"/>
        </w:rPr>
        <w:t>A person will ordinarily not obtain an interdict if he can obtain adequate redress through another remedy. It is trite that the alternative remedy must be adequate in the circumstances, be ordinary and reasonable, be a legal remedy and grant similar protection. The general principle behind this requirement is that a person must</w:t>
      </w:r>
      <w:r w:rsidR="00D5454F" w:rsidRPr="00C83C71">
        <w:rPr>
          <w:rFonts w:ascii="Arial" w:hAnsi="Arial" w:cs="Arial"/>
          <w:sz w:val="24"/>
          <w:szCs w:val="24"/>
        </w:rPr>
        <w:t xml:space="preserve"> first exhaust other remedies at</w:t>
      </w:r>
      <w:r w:rsidR="000B57A3" w:rsidRPr="00C83C71">
        <w:rPr>
          <w:rFonts w:ascii="Arial" w:hAnsi="Arial" w:cs="Arial"/>
          <w:sz w:val="24"/>
          <w:szCs w:val="24"/>
        </w:rPr>
        <w:t xml:space="preserve"> his or her disposal before seeking an interdict. </w:t>
      </w:r>
      <w:r w:rsidR="000B57A3" w:rsidRPr="00C83C71">
        <w:rPr>
          <w:rFonts w:ascii="Arial" w:hAnsi="Arial" w:cs="Arial"/>
          <w:i/>
          <w:sz w:val="24"/>
          <w:szCs w:val="24"/>
        </w:rPr>
        <w:t xml:space="preserve">In </w:t>
      </w:r>
      <w:proofErr w:type="spellStart"/>
      <w:r w:rsidR="000B57A3" w:rsidRPr="00C83C71">
        <w:rPr>
          <w:rFonts w:ascii="Arial" w:hAnsi="Arial" w:cs="Arial"/>
          <w:i/>
          <w:sz w:val="24"/>
          <w:szCs w:val="24"/>
        </w:rPr>
        <w:t>casu</w:t>
      </w:r>
      <w:proofErr w:type="spellEnd"/>
      <w:r w:rsidR="000B57A3" w:rsidRPr="00C83C71">
        <w:rPr>
          <w:rFonts w:ascii="Arial" w:hAnsi="Arial" w:cs="Arial"/>
          <w:sz w:val="24"/>
          <w:szCs w:val="24"/>
        </w:rPr>
        <w:t>, I am not persuaded that the Applicant has exhausted other remedies, one such remedy can be found within the A</w:t>
      </w:r>
      <w:r w:rsidR="001C5974" w:rsidRPr="00C83C71">
        <w:rPr>
          <w:rFonts w:ascii="Arial" w:hAnsi="Arial" w:cs="Arial"/>
          <w:sz w:val="24"/>
          <w:szCs w:val="24"/>
        </w:rPr>
        <w:t xml:space="preserve">dministration of Estates Act, as the Second Respondent is beholden to execute his duties as </w:t>
      </w:r>
      <w:r w:rsidR="00D5454F" w:rsidRPr="00C83C71">
        <w:rPr>
          <w:rFonts w:ascii="Arial" w:hAnsi="Arial" w:cs="Arial"/>
          <w:sz w:val="24"/>
          <w:szCs w:val="24"/>
        </w:rPr>
        <w:t xml:space="preserve">statutorily </w:t>
      </w:r>
      <w:r w:rsidR="001C5974" w:rsidRPr="00C83C71">
        <w:rPr>
          <w:rFonts w:ascii="Arial" w:hAnsi="Arial" w:cs="Arial"/>
          <w:sz w:val="24"/>
          <w:szCs w:val="24"/>
        </w:rPr>
        <w:t>prescribed.</w:t>
      </w:r>
      <w:r w:rsidR="008C2B4D" w:rsidRPr="00C83C71">
        <w:rPr>
          <w:rFonts w:ascii="Arial" w:hAnsi="Arial" w:cs="Arial"/>
          <w:sz w:val="24"/>
          <w:szCs w:val="24"/>
        </w:rPr>
        <w:t xml:space="preserve"> The purported </w:t>
      </w:r>
      <w:r w:rsidR="008C2B4D" w:rsidRPr="00C83C71">
        <w:rPr>
          <w:rFonts w:ascii="Arial" w:hAnsi="Arial" w:cs="Arial"/>
          <w:sz w:val="24"/>
          <w:szCs w:val="24"/>
        </w:rPr>
        <w:lastRenderedPageBreak/>
        <w:t>hindrances and/or obstructions could have been brought to the attention of the Master of the High Court</w:t>
      </w:r>
      <w:r w:rsidR="00261F87" w:rsidRPr="00C83C71">
        <w:rPr>
          <w:rFonts w:ascii="Arial" w:hAnsi="Arial" w:cs="Arial"/>
          <w:sz w:val="24"/>
          <w:szCs w:val="24"/>
        </w:rPr>
        <w:t>.</w:t>
      </w:r>
      <w:r w:rsidR="001C5974" w:rsidRPr="00C83C71">
        <w:rPr>
          <w:rFonts w:ascii="Arial" w:hAnsi="Arial" w:cs="Arial"/>
          <w:sz w:val="24"/>
          <w:szCs w:val="24"/>
        </w:rPr>
        <w:t xml:space="preserve"> </w:t>
      </w:r>
    </w:p>
    <w:p w14:paraId="4FF1EEDB" w14:textId="77777777" w:rsidR="007926EF" w:rsidRPr="007926EF" w:rsidRDefault="007926EF" w:rsidP="007926EF">
      <w:pPr>
        <w:pStyle w:val="ListParagraph"/>
        <w:spacing w:line="480" w:lineRule="auto"/>
        <w:ind w:left="0"/>
        <w:jc w:val="both"/>
      </w:pPr>
    </w:p>
    <w:p w14:paraId="0F6527FF" w14:textId="1F0C033E" w:rsidR="005225F4" w:rsidRPr="007926EF" w:rsidRDefault="00C83C71" w:rsidP="00C83C71">
      <w:pPr>
        <w:tabs>
          <w:tab w:val="left" w:pos="567"/>
        </w:tabs>
        <w:spacing w:line="480" w:lineRule="auto"/>
        <w:jc w:val="both"/>
      </w:pPr>
      <w:r w:rsidRPr="007926EF">
        <w:rPr>
          <w:rFonts w:ascii="Arial" w:hAnsi="Arial" w:cs="Arial"/>
          <w:sz w:val="24"/>
          <w:lang w:val="en-ZA"/>
        </w:rPr>
        <w:t xml:space="preserve">[45]     </w:t>
      </w:r>
      <w:r w:rsidRPr="007926EF">
        <w:rPr>
          <w:rFonts w:ascii="Arial" w:hAnsi="Arial" w:cs="Arial"/>
          <w:sz w:val="24"/>
          <w:lang w:val="en-ZA"/>
        </w:rPr>
        <w:tab/>
      </w:r>
      <w:r w:rsidR="00261F87" w:rsidRPr="00C83C71">
        <w:rPr>
          <w:rFonts w:ascii="Arial" w:hAnsi="Arial" w:cs="Arial"/>
          <w:sz w:val="24"/>
          <w:szCs w:val="24"/>
        </w:rPr>
        <w:t>The onus of proof rests with</w:t>
      </w:r>
      <w:r w:rsidR="008C2B4D" w:rsidRPr="00C83C71">
        <w:rPr>
          <w:rFonts w:ascii="Arial" w:hAnsi="Arial" w:cs="Arial"/>
          <w:sz w:val="24"/>
          <w:szCs w:val="24"/>
        </w:rPr>
        <w:t xml:space="preserve"> the Applicant to establish on a balance of probabilities that she has made out a case for the relief she seeks. </w:t>
      </w:r>
      <w:r w:rsidR="001C5974" w:rsidRPr="00C83C71">
        <w:rPr>
          <w:rFonts w:ascii="Arial" w:hAnsi="Arial" w:cs="Arial"/>
          <w:sz w:val="24"/>
          <w:szCs w:val="24"/>
        </w:rPr>
        <w:t xml:space="preserve">In the circumstances </w:t>
      </w:r>
      <w:r w:rsidR="008C2B4D" w:rsidRPr="00C83C71">
        <w:rPr>
          <w:rFonts w:ascii="Arial" w:hAnsi="Arial" w:cs="Arial"/>
          <w:sz w:val="24"/>
          <w:szCs w:val="24"/>
        </w:rPr>
        <w:t xml:space="preserve">I am not persuaded that the Applicant has discharged the onus. </w:t>
      </w:r>
      <w:r w:rsidR="007926EF" w:rsidRPr="00C83C71">
        <w:rPr>
          <w:rFonts w:ascii="Arial" w:hAnsi="Arial" w:cs="Arial"/>
          <w:sz w:val="24"/>
          <w:szCs w:val="24"/>
        </w:rPr>
        <w:t>In the circumstances, on a conspectus of the evidence before me, the application appears to be premature.</w:t>
      </w:r>
    </w:p>
    <w:p w14:paraId="36BC0C59" w14:textId="77777777" w:rsidR="00261F87" w:rsidRPr="008C2B4D" w:rsidRDefault="00261F87" w:rsidP="00261F87">
      <w:pPr>
        <w:pStyle w:val="ListParagraph"/>
        <w:spacing w:line="480" w:lineRule="auto"/>
        <w:ind w:left="0"/>
        <w:jc w:val="both"/>
        <w:rPr>
          <w:rFonts w:ascii="Arial" w:hAnsi="Arial" w:cs="Arial"/>
          <w:sz w:val="24"/>
          <w:szCs w:val="24"/>
        </w:rPr>
      </w:pPr>
    </w:p>
    <w:p w14:paraId="67327A56" w14:textId="617DA9FF" w:rsidR="008C7F08" w:rsidRPr="005C4A1E" w:rsidRDefault="00C83C71" w:rsidP="00C83C71">
      <w:pPr>
        <w:tabs>
          <w:tab w:val="left" w:pos="567"/>
        </w:tabs>
        <w:spacing w:line="480" w:lineRule="auto"/>
        <w:jc w:val="both"/>
      </w:pPr>
      <w:r w:rsidRPr="005C4A1E">
        <w:rPr>
          <w:rFonts w:ascii="Arial" w:hAnsi="Arial" w:cs="Arial"/>
          <w:sz w:val="24"/>
          <w:lang w:val="en-ZA"/>
        </w:rPr>
        <w:t xml:space="preserve">[46]     </w:t>
      </w:r>
      <w:r w:rsidRPr="005C4A1E">
        <w:rPr>
          <w:rFonts w:ascii="Arial" w:hAnsi="Arial" w:cs="Arial"/>
          <w:sz w:val="24"/>
          <w:lang w:val="en-ZA"/>
        </w:rPr>
        <w:tab/>
      </w:r>
      <w:r w:rsidR="00F02083" w:rsidRPr="00C83C71">
        <w:rPr>
          <w:rFonts w:ascii="Arial" w:hAnsi="Arial" w:cs="Arial"/>
          <w:sz w:val="24"/>
          <w:szCs w:val="24"/>
        </w:rPr>
        <w:t>Furthermore, i</w:t>
      </w:r>
      <w:r w:rsidR="00A66965" w:rsidRPr="00C83C71">
        <w:rPr>
          <w:rFonts w:ascii="Arial" w:hAnsi="Arial" w:cs="Arial"/>
          <w:sz w:val="24"/>
          <w:szCs w:val="24"/>
        </w:rPr>
        <w:t xml:space="preserve">t is apposite to take </w:t>
      </w:r>
      <w:proofErr w:type="spellStart"/>
      <w:r w:rsidR="00A66965" w:rsidRPr="00C83C71">
        <w:rPr>
          <w:rFonts w:ascii="Arial" w:hAnsi="Arial" w:cs="Arial"/>
          <w:sz w:val="24"/>
          <w:szCs w:val="24"/>
        </w:rPr>
        <w:t>cognisance</w:t>
      </w:r>
      <w:proofErr w:type="spellEnd"/>
      <w:r w:rsidR="00A66965" w:rsidRPr="00C83C71">
        <w:rPr>
          <w:rFonts w:ascii="Arial" w:hAnsi="Arial" w:cs="Arial"/>
          <w:sz w:val="24"/>
          <w:szCs w:val="24"/>
        </w:rPr>
        <w:t xml:space="preserve"> of the fact</w:t>
      </w:r>
      <w:r w:rsidR="008C7F08" w:rsidRPr="00C83C71">
        <w:rPr>
          <w:rFonts w:ascii="Arial" w:hAnsi="Arial" w:cs="Arial"/>
          <w:sz w:val="24"/>
          <w:szCs w:val="24"/>
        </w:rPr>
        <w:t xml:space="preserve"> that the order of the court and the authority granted by way of statute/legislation which are both authoritative sources in our law, must be given effect to. These authoritative powers are distinguishable by virtue of how they regulate the obligations</w:t>
      </w:r>
      <w:r w:rsidR="00A66965" w:rsidRPr="00C83C71">
        <w:rPr>
          <w:rFonts w:ascii="Arial" w:hAnsi="Arial" w:cs="Arial"/>
          <w:sz w:val="24"/>
          <w:szCs w:val="24"/>
        </w:rPr>
        <w:t xml:space="preserve"> and/or rights and/or interests</w:t>
      </w:r>
      <w:r w:rsidR="008C7F08" w:rsidRPr="00C83C71">
        <w:rPr>
          <w:rFonts w:ascii="Arial" w:hAnsi="Arial" w:cs="Arial"/>
          <w:sz w:val="24"/>
          <w:szCs w:val="24"/>
        </w:rPr>
        <w:t xml:space="preserve"> that flow from it and ought not be </w:t>
      </w:r>
      <w:r w:rsidR="00AA176C" w:rsidRPr="00C83C71">
        <w:rPr>
          <w:rFonts w:ascii="Arial" w:hAnsi="Arial" w:cs="Arial"/>
          <w:sz w:val="24"/>
          <w:szCs w:val="24"/>
        </w:rPr>
        <w:t>regarded</w:t>
      </w:r>
      <w:r w:rsidR="008C7F08" w:rsidRPr="00C83C71">
        <w:rPr>
          <w:rFonts w:ascii="Arial" w:hAnsi="Arial" w:cs="Arial"/>
          <w:sz w:val="24"/>
          <w:szCs w:val="24"/>
        </w:rPr>
        <w:t xml:space="preserve"> as competing </w:t>
      </w:r>
      <w:r w:rsidR="00A61F35" w:rsidRPr="00C83C71">
        <w:rPr>
          <w:rFonts w:ascii="Arial" w:hAnsi="Arial" w:cs="Arial"/>
          <w:sz w:val="24"/>
          <w:szCs w:val="24"/>
        </w:rPr>
        <w:t xml:space="preserve">and/or conflicting </w:t>
      </w:r>
      <w:r w:rsidR="008C7F08" w:rsidRPr="00C83C71">
        <w:rPr>
          <w:rFonts w:ascii="Arial" w:hAnsi="Arial" w:cs="Arial"/>
          <w:sz w:val="24"/>
          <w:szCs w:val="24"/>
        </w:rPr>
        <w:t>obligations</w:t>
      </w:r>
      <w:r w:rsidR="00205FD0" w:rsidRPr="00C83C71">
        <w:rPr>
          <w:rFonts w:ascii="Arial" w:hAnsi="Arial" w:cs="Arial"/>
          <w:sz w:val="24"/>
          <w:szCs w:val="24"/>
        </w:rPr>
        <w:t xml:space="preserve"> and/or </w:t>
      </w:r>
      <w:proofErr w:type="spellStart"/>
      <w:r w:rsidR="00205FD0" w:rsidRPr="00C83C71">
        <w:rPr>
          <w:rFonts w:ascii="Arial" w:hAnsi="Arial" w:cs="Arial"/>
          <w:sz w:val="24"/>
          <w:szCs w:val="24"/>
        </w:rPr>
        <w:t>authorisations</w:t>
      </w:r>
      <w:proofErr w:type="spellEnd"/>
      <w:r w:rsidR="00A61F35" w:rsidRPr="00C83C71">
        <w:rPr>
          <w:rFonts w:ascii="Arial" w:hAnsi="Arial" w:cs="Arial"/>
          <w:sz w:val="24"/>
          <w:szCs w:val="24"/>
        </w:rPr>
        <w:t xml:space="preserve">. </w:t>
      </w:r>
      <w:r w:rsidR="008C7F08" w:rsidRPr="00C83C71">
        <w:rPr>
          <w:rFonts w:ascii="Arial" w:hAnsi="Arial" w:cs="Arial"/>
          <w:sz w:val="24"/>
          <w:szCs w:val="24"/>
        </w:rPr>
        <w:t xml:space="preserve"> It is my view that the two </w:t>
      </w:r>
      <w:proofErr w:type="spellStart"/>
      <w:r w:rsidR="008C7F08" w:rsidRPr="00C83C71">
        <w:rPr>
          <w:rFonts w:ascii="Arial" w:hAnsi="Arial" w:cs="Arial"/>
          <w:sz w:val="24"/>
          <w:szCs w:val="24"/>
        </w:rPr>
        <w:t>authorisations</w:t>
      </w:r>
      <w:proofErr w:type="spellEnd"/>
      <w:r w:rsidR="008C7F08" w:rsidRPr="00C83C71">
        <w:rPr>
          <w:rFonts w:ascii="Arial" w:hAnsi="Arial" w:cs="Arial"/>
          <w:sz w:val="24"/>
          <w:szCs w:val="24"/>
        </w:rPr>
        <w:t xml:space="preserve"> in the form of a court order and the other statutorily conferr</w:t>
      </w:r>
      <w:r w:rsidR="00AA176C" w:rsidRPr="00C83C71">
        <w:rPr>
          <w:rFonts w:ascii="Arial" w:hAnsi="Arial" w:cs="Arial"/>
          <w:sz w:val="24"/>
          <w:szCs w:val="24"/>
        </w:rPr>
        <w:t>ed, must continue to co-exist.</w:t>
      </w:r>
    </w:p>
    <w:p w14:paraId="168C2470" w14:textId="77777777" w:rsidR="00EB439D" w:rsidRDefault="00EB439D" w:rsidP="00EB439D">
      <w:pPr>
        <w:pStyle w:val="ListParagraph"/>
      </w:pPr>
    </w:p>
    <w:p w14:paraId="195EA572" w14:textId="4ED1391A" w:rsidR="006E33A8" w:rsidRPr="007926EF" w:rsidRDefault="00C83C71" w:rsidP="00C83C71">
      <w:pPr>
        <w:tabs>
          <w:tab w:val="left" w:pos="567"/>
        </w:tabs>
        <w:spacing w:line="480" w:lineRule="auto"/>
        <w:jc w:val="both"/>
      </w:pPr>
      <w:r w:rsidRPr="007926EF">
        <w:rPr>
          <w:rFonts w:ascii="Arial" w:hAnsi="Arial" w:cs="Arial"/>
          <w:sz w:val="24"/>
          <w:lang w:val="en-ZA"/>
        </w:rPr>
        <w:t xml:space="preserve">[47]     </w:t>
      </w:r>
      <w:r w:rsidRPr="007926EF">
        <w:rPr>
          <w:rFonts w:ascii="Arial" w:hAnsi="Arial" w:cs="Arial"/>
          <w:sz w:val="24"/>
          <w:lang w:val="en-ZA"/>
        </w:rPr>
        <w:tab/>
      </w:r>
      <w:r w:rsidR="00642315" w:rsidRPr="00C83C71">
        <w:rPr>
          <w:rFonts w:ascii="Arial" w:hAnsi="Arial" w:cs="Arial"/>
          <w:sz w:val="24"/>
          <w:szCs w:val="24"/>
        </w:rPr>
        <w:t>For these reas</w:t>
      </w:r>
      <w:r w:rsidR="004654F1" w:rsidRPr="00C83C71">
        <w:rPr>
          <w:rFonts w:ascii="Arial" w:hAnsi="Arial" w:cs="Arial"/>
          <w:sz w:val="24"/>
          <w:szCs w:val="24"/>
        </w:rPr>
        <w:t>ons, the application falls to be dismissed.</w:t>
      </w:r>
    </w:p>
    <w:p w14:paraId="76E6DA2D" w14:textId="77777777" w:rsidR="00BE4842" w:rsidRDefault="00BE4842" w:rsidP="009F3B35">
      <w:pPr>
        <w:pStyle w:val="ListParagraph"/>
        <w:spacing w:line="480" w:lineRule="auto"/>
        <w:ind w:left="0"/>
        <w:jc w:val="both"/>
        <w:rPr>
          <w:rFonts w:ascii="Arial" w:hAnsi="Arial" w:cs="Arial"/>
          <w:b/>
          <w:sz w:val="24"/>
          <w:szCs w:val="24"/>
        </w:rPr>
      </w:pPr>
    </w:p>
    <w:p w14:paraId="5EFDC833" w14:textId="1313BA82" w:rsidR="004654F1" w:rsidRDefault="004654F1" w:rsidP="009F3B35">
      <w:pPr>
        <w:pStyle w:val="ListParagraph"/>
        <w:spacing w:line="480" w:lineRule="auto"/>
        <w:ind w:left="0"/>
        <w:jc w:val="both"/>
      </w:pPr>
      <w:r w:rsidRPr="004654F1">
        <w:rPr>
          <w:rFonts w:ascii="Arial" w:hAnsi="Arial" w:cs="Arial"/>
          <w:b/>
          <w:sz w:val="24"/>
          <w:szCs w:val="24"/>
        </w:rPr>
        <w:t>Costs</w:t>
      </w:r>
    </w:p>
    <w:p w14:paraId="48F638CC" w14:textId="09D4B4AA" w:rsidR="00E569A3" w:rsidRPr="00D62F4B" w:rsidRDefault="00C83C71" w:rsidP="00C83C71">
      <w:pPr>
        <w:tabs>
          <w:tab w:val="left" w:pos="567"/>
        </w:tabs>
        <w:spacing w:line="480" w:lineRule="auto"/>
        <w:jc w:val="both"/>
      </w:pPr>
      <w:r w:rsidRPr="00D62F4B">
        <w:rPr>
          <w:rFonts w:ascii="Arial" w:hAnsi="Arial" w:cs="Arial"/>
          <w:sz w:val="24"/>
          <w:lang w:val="en-ZA"/>
        </w:rPr>
        <w:t xml:space="preserve">[48]     </w:t>
      </w:r>
      <w:r w:rsidRPr="00D62F4B">
        <w:rPr>
          <w:rFonts w:ascii="Arial" w:hAnsi="Arial" w:cs="Arial"/>
          <w:sz w:val="24"/>
          <w:lang w:val="en-ZA"/>
        </w:rPr>
        <w:tab/>
      </w:r>
      <w:r w:rsidR="00C639B3" w:rsidRPr="00C83C71">
        <w:rPr>
          <w:rFonts w:ascii="Arial" w:hAnsi="Arial" w:cs="Arial"/>
          <w:sz w:val="24"/>
          <w:szCs w:val="24"/>
        </w:rPr>
        <w:t xml:space="preserve">The Respondents contended that the Applicant’s case is no more than an ill-conceived, speculative attempt at holding the estate of the deceased hostage </w:t>
      </w:r>
      <w:r w:rsidR="00C639B3" w:rsidRPr="00C83C71">
        <w:rPr>
          <w:rFonts w:ascii="Arial" w:hAnsi="Arial" w:cs="Arial"/>
          <w:sz w:val="24"/>
          <w:szCs w:val="24"/>
        </w:rPr>
        <w:lastRenderedPageBreak/>
        <w:t xml:space="preserve">and creating the pressure she needs to circumvent the Executor and sell the property for her own benefit. </w:t>
      </w:r>
    </w:p>
    <w:p w14:paraId="28EDD602" w14:textId="77777777" w:rsidR="00D62F4B" w:rsidRPr="00E569A3" w:rsidRDefault="00D62F4B" w:rsidP="00D62F4B">
      <w:pPr>
        <w:pStyle w:val="ListParagraph"/>
        <w:spacing w:line="480" w:lineRule="auto"/>
        <w:ind w:left="0"/>
        <w:jc w:val="both"/>
      </w:pPr>
    </w:p>
    <w:p w14:paraId="4737D3C8" w14:textId="145466F6" w:rsidR="00E569A3" w:rsidRPr="00A75A5B" w:rsidRDefault="00C83C71" w:rsidP="00C83C71">
      <w:pPr>
        <w:tabs>
          <w:tab w:val="left" w:pos="567"/>
        </w:tabs>
        <w:spacing w:line="480" w:lineRule="auto"/>
        <w:jc w:val="both"/>
      </w:pPr>
      <w:r w:rsidRPr="00A75A5B">
        <w:rPr>
          <w:rFonts w:ascii="Arial" w:hAnsi="Arial" w:cs="Arial"/>
          <w:sz w:val="24"/>
          <w:lang w:val="en-ZA"/>
        </w:rPr>
        <w:t xml:space="preserve">[49]     </w:t>
      </w:r>
      <w:r w:rsidRPr="00A75A5B">
        <w:rPr>
          <w:rFonts w:ascii="Arial" w:hAnsi="Arial" w:cs="Arial"/>
          <w:sz w:val="24"/>
          <w:lang w:val="en-ZA"/>
        </w:rPr>
        <w:tab/>
      </w:r>
      <w:r w:rsidR="00E569A3" w:rsidRPr="00C83C71">
        <w:rPr>
          <w:rFonts w:ascii="Arial" w:hAnsi="Arial" w:cs="Arial"/>
          <w:sz w:val="24"/>
          <w:szCs w:val="24"/>
        </w:rPr>
        <w:t xml:space="preserve">The history of this matter clearly sketches the conflictual situation between the parties as demonstrated by the numerous court applications insurmountable concomitant frustrations exposed in the papers, to the extent that the Applicant has apparently failed to comply or even consider the implications of Rule 41A regarding mediation of the matter. </w:t>
      </w:r>
    </w:p>
    <w:p w14:paraId="43C47D51" w14:textId="77777777" w:rsidR="00E569A3" w:rsidRPr="00DB734B" w:rsidRDefault="00E569A3" w:rsidP="00E569A3">
      <w:pPr>
        <w:pStyle w:val="ListParagraph"/>
        <w:spacing w:line="480" w:lineRule="auto"/>
        <w:ind w:left="0"/>
        <w:jc w:val="both"/>
      </w:pPr>
    </w:p>
    <w:p w14:paraId="64086836" w14:textId="67E19C32" w:rsidR="000C08EB" w:rsidRPr="000C08EB" w:rsidRDefault="00C83C71" w:rsidP="00C83C71">
      <w:pPr>
        <w:tabs>
          <w:tab w:val="left" w:pos="567"/>
        </w:tabs>
        <w:spacing w:line="480" w:lineRule="auto"/>
        <w:jc w:val="both"/>
      </w:pPr>
      <w:r w:rsidRPr="000C08EB">
        <w:rPr>
          <w:rFonts w:ascii="Arial" w:hAnsi="Arial" w:cs="Arial"/>
          <w:sz w:val="24"/>
          <w:lang w:val="en-ZA"/>
        </w:rPr>
        <w:t xml:space="preserve">[50]     </w:t>
      </w:r>
      <w:r w:rsidRPr="000C08EB">
        <w:rPr>
          <w:rFonts w:ascii="Arial" w:hAnsi="Arial" w:cs="Arial"/>
          <w:sz w:val="24"/>
          <w:lang w:val="en-ZA"/>
        </w:rPr>
        <w:tab/>
      </w:r>
      <w:r w:rsidR="00E569A3" w:rsidRPr="00C83C71">
        <w:rPr>
          <w:rFonts w:ascii="Arial" w:hAnsi="Arial" w:cs="Arial"/>
          <w:sz w:val="24"/>
          <w:szCs w:val="24"/>
        </w:rPr>
        <w:t>According to the Respondents, the Applicant has rejected the tenders to joint inspections and access to the property with prior arrangements with the tenants in the property which was made during the course of September 2023. The Applicant in her quest to level the proverbial playing field, launch</w:t>
      </w:r>
      <w:r w:rsidR="00BF3DB5" w:rsidRPr="00C83C71">
        <w:rPr>
          <w:rFonts w:ascii="Arial" w:hAnsi="Arial" w:cs="Arial"/>
          <w:sz w:val="24"/>
          <w:szCs w:val="24"/>
        </w:rPr>
        <w:t>ed</w:t>
      </w:r>
      <w:r w:rsidR="00E569A3" w:rsidRPr="00C83C71">
        <w:rPr>
          <w:rFonts w:ascii="Arial" w:hAnsi="Arial" w:cs="Arial"/>
          <w:sz w:val="24"/>
          <w:szCs w:val="24"/>
        </w:rPr>
        <w:t xml:space="preserve"> a premature applicat</w:t>
      </w:r>
      <w:r w:rsidR="000C08EB" w:rsidRPr="00C83C71">
        <w:rPr>
          <w:rFonts w:ascii="Arial" w:hAnsi="Arial" w:cs="Arial"/>
          <w:sz w:val="24"/>
          <w:szCs w:val="24"/>
        </w:rPr>
        <w:t>ion, with little or no regard to</w:t>
      </w:r>
      <w:r w:rsidR="00E569A3" w:rsidRPr="00C83C71">
        <w:rPr>
          <w:rFonts w:ascii="Arial" w:hAnsi="Arial" w:cs="Arial"/>
          <w:sz w:val="24"/>
          <w:szCs w:val="24"/>
        </w:rPr>
        <w:t xml:space="preserve"> the potential infringement such recourse may have had on the lessees of the immovable property. </w:t>
      </w:r>
    </w:p>
    <w:p w14:paraId="3192CD04" w14:textId="77777777" w:rsidR="000C08EB" w:rsidRPr="000C08EB" w:rsidRDefault="000C08EB" w:rsidP="000C08EB">
      <w:pPr>
        <w:pStyle w:val="ListParagraph"/>
        <w:rPr>
          <w:rFonts w:ascii="Arial" w:hAnsi="Arial" w:cs="Arial"/>
          <w:sz w:val="24"/>
          <w:szCs w:val="24"/>
        </w:rPr>
      </w:pPr>
    </w:p>
    <w:p w14:paraId="67CFCD6B" w14:textId="6C0FCF78" w:rsidR="00A61726" w:rsidRPr="009C6886" w:rsidRDefault="00C83C71" w:rsidP="00C83C71">
      <w:pPr>
        <w:tabs>
          <w:tab w:val="left" w:pos="567"/>
        </w:tabs>
        <w:spacing w:line="480" w:lineRule="auto"/>
        <w:jc w:val="both"/>
      </w:pPr>
      <w:r w:rsidRPr="009C6886">
        <w:rPr>
          <w:rFonts w:ascii="Arial" w:hAnsi="Arial" w:cs="Arial"/>
          <w:sz w:val="24"/>
          <w:lang w:val="en-ZA"/>
        </w:rPr>
        <w:t xml:space="preserve">[51]     </w:t>
      </w:r>
      <w:r w:rsidRPr="009C6886">
        <w:rPr>
          <w:rFonts w:ascii="Arial" w:hAnsi="Arial" w:cs="Arial"/>
          <w:sz w:val="24"/>
          <w:lang w:val="en-ZA"/>
        </w:rPr>
        <w:tab/>
      </w:r>
      <w:proofErr w:type="spellStart"/>
      <w:r w:rsidR="00E569A3" w:rsidRPr="00C83C71">
        <w:rPr>
          <w:rFonts w:ascii="Arial" w:hAnsi="Arial" w:cs="Arial"/>
          <w:sz w:val="24"/>
          <w:szCs w:val="24"/>
        </w:rPr>
        <w:t>Thulare</w:t>
      </w:r>
      <w:proofErr w:type="spellEnd"/>
      <w:r w:rsidR="00E569A3" w:rsidRPr="00C83C71">
        <w:rPr>
          <w:rFonts w:ascii="Arial" w:hAnsi="Arial" w:cs="Arial"/>
          <w:sz w:val="24"/>
          <w:szCs w:val="24"/>
        </w:rPr>
        <w:t xml:space="preserve"> J</w:t>
      </w:r>
      <w:r w:rsidR="00A61726" w:rsidRPr="00C83C71">
        <w:rPr>
          <w:rFonts w:ascii="Arial" w:hAnsi="Arial" w:cs="Arial"/>
          <w:sz w:val="24"/>
          <w:szCs w:val="24"/>
        </w:rPr>
        <w:t xml:space="preserve"> attempted to put this matter to rest and sternly addressed the parties in his judgment. It appears that the acrimony that existed between the Applicant and the deceased continues beyond the grave.  </w:t>
      </w:r>
      <w:proofErr w:type="spellStart"/>
      <w:r w:rsidR="00A61726" w:rsidRPr="00C83C71">
        <w:rPr>
          <w:rFonts w:ascii="Arial" w:hAnsi="Arial" w:cs="Arial"/>
          <w:sz w:val="24"/>
          <w:szCs w:val="24"/>
        </w:rPr>
        <w:t>Thulare</w:t>
      </w:r>
      <w:proofErr w:type="spellEnd"/>
      <w:r w:rsidR="00A61726" w:rsidRPr="00C83C71">
        <w:rPr>
          <w:rFonts w:ascii="Arial" w:hAnsi="Arial" w:cs="Arial"/>
          <w:sz w:val="24"/>
          <w:szCs w:val="24"/>
        </w:rPr>
        <w:t xml:space="preserve"> J in his judgment remarked:</w:t>
      </w:r>
    </w:p>
    <w:p w14:paraId="2A088034" w14:textId="77777777" w:rsidR="00A61726" w:rsidRDefault="00A61726" w:rsidP="00A61726">
      <w:pPr>
        <w:pStyle w:val="ListParagraph"/>
      </w:pPr>
    </w:p>
    <w:p w14:paraId="232B07CF" w14:textId="77777777" w:rsidR="00A61726" w:rsidRDefault="00A61726" w:rsidP="00A61726">
      <w:pPr>
        <w:pStyle w:val="ListParagraph"/>
        <w:spacing w:after="0" w:line="360" w:lineRule="auto"/>
        <w:ind w:right="720"/>
        <w:jc w:val="both"/>
        <w:rPr>
          <w:rFonts w:ascii="Arial" w:hAnsi="Arial" w:cs="Arial"/>
          <w:i/>
        </w:rPr>
      </w:pPr>
      <w:r>
        <w:rPr>
          <w:rFonts w:ascii="Arial" w:hAnsi="Arial" w:cs="Arial"/>
          <w:i/>
        </w:rPr>
        <w:t xml:space="preserve">‘[9] Whilst it is desirable that litigants should comply with this rule [Rule 41A], where the issue of non-compliance is raised, the interest of justice especially that which calls for expeditious and if possible immediate resolution rather than a removal from the roll and a referral of the matter back to the parties who are </w:t>
      </w:r>
      <w:r>
        <w:rPr>
          <w:rFonts w:ascii="Arial" w:hAnsi="Arial" w:cs="Arial"/>
          <w:i/>
        </w:rPr>
        <w:lastRenderedPageBreak/>
        <w:t>at loggerheads with no discernible prospects of a successful mediation, is a relevant consideration…</w:t>
      </w:r>
    </w:p>
    <w:p w14:paraId="44D75D86" w14:textId="77777777" w:rsidR="00A61726" w:rsidRDefault="00A61726" w:rsidP="00A61726">
      <w:pPr>
        <w:pStyle w:val="ListParagraph"/>
        <w:spacing w:after="0" w:line="360" w:lineRule="auto"/>
        <w:ind w:right="720"/>
        <w:jc w:val="both"/>
        <w:rPr>
          <w:rFonts w:ascii="Arial" w:hAnsi="Arial" w:cs="Arial"/>
          <w:i/>
        </w:rPr>
      </w:pPr>
    </w:p>
    <w:p w14:paraId="152BC8E8" w14:textId="210EA5ED" w:rsidR="00A61726" w:rsidRPr="009C6886" w:rsidRDefault="00A61726" w:rsidP="00A61726">
      <w:pPr>
        <w:pStyle w:val="ListParagraph"/>
        <w:spacing w:after="0" w:line="360" w:lineRule="auto"/>
        <w:ind w:right="720"/>
        <w:jc w:val="both"/>
        <w:rPr>
          <w:rFonts w:ascii="Arial" w:hAnsi="Arial" w:cs="Arial"/>
        </w:rPr>
      </w:pPr>
      <w:r>
        <w:rPr>
          <w:rFonts w:ascii="Arial" w:hAnsi="Arial" w:cs="Arial"/>
          <w:i/>
        </w:rPr>
        <w:t xml:space="preserve">[10] The positions of the parties are like oil and water. This is one of those matters where a referral back for mediation would simply elongate the emotional trauma to which both are subjected and, which trauma each of the parties is meeting out to the other without compassion. </w:t>
      </w:r>
      <w:r w:rsidRPr="009C6886">
        <w:rPr>
          <w:rFonts w:ascii="Arial" w:hAnsi="Arial" w:cs="Arial"/>
          <w:b/>
          <w:i/>
          <w:u w:val="single"/>
        </w:rPr>
        <w:t>The use of litigati</w:t>
      </w:r>
      <w:r>
        <w:rPr>
          <w:rFonts w:ascii="Arial" w:hAnsi="Arial" w:cs="Arial"/>
          <w:b/>
          <w:i/>
          <w:u w:val="single"/>
        </w:rPr>
        <w:t>on by one to the other as a wand</w:t>
      </w:r>
      <w:r w:rsidRPr="009C6886">
        <w:rPr>
          <w:rFonts w:ascii="Arial" w:hAnsi="Arial" w:cs="Arial"/>
          <w:b/>
          <w:i/>
          <w:u w:val="single"/>
        </w:rPr>
        <w:t xml:space="preserve"> to hit back after divorce </w:t>
      </w:r>
      <w:r w:rsidR="003A0C01">
        <w:rPr>
          <w:rFonts w:ascii="Arial" w:hAnsi="Arial" w:cs="Arial"/>
          <w:b/>
          <w:i/>
          <w:u w:val="single"/>
        </w:rPr>
        <w:t xml:space="preserve">must </w:t>
      </w:r>
      <w:r w:rsidR="005107BD">
        <w:rPr>
          <w:rFonts w:ascii="Arial" w:hAnsi="Arial" w:cs="Arial"/>
          <w:b/>
          <w:i/>
          <w:u w:val="single"/>
        </w:rPr>
        <w:t xml:space="preserve"> </w:t>
      </w:r>
      <w:r w:rsidRPr="009C6886">
        <w:rPr>
          <w:rFonts w:ascii="Arial" w:hAnsi="Arial" w:cs="Arial"/>
          <w:b/>
          <w:i/>
          <w:u w:val="single"/>
        </w:rPr>
        <w:t>be expeditiously brought to camp</w:t>
      </w:r>
      <w:r>
        <w:rPr>
          <w:rFonts w:ascii="Arial" w:hAnsi="Arial" w:cs="Arial"/>
          <w:i/>
        </w:rPr>
        <w:t>…’</w:t>
      </w:r>
      <w:r>
        <w:rPr>
          <w:rStyle w:val="FootnoteReference"/>
          <w:rFonts w:ascii="Arial" w:hAnsi="Arial" w:cs="Arial"/>
          <w:i/>
        </w:rPr>
        <w:footnoteReference w:id="28"/>
      </w:r>
      <w:r>
        <w:rPr>
          <w:rFonts w:ascii="Arial" w:hAnsi="Arial" w:cs="Arial"/>
        </w:rPr>
        <w:t xml:space="preserve"> (my emphasis)</w:t>
      </w:r>
    </w:p>
    <w:p w14:paraId="4BC71CFC" w14:textId="77777777" w:rsidR="00A61726" w:rsidRDefault="00A61726" w:rsidP="00A61726">
      <w:pPr>
        <w:pStyle w:val="ListParagraph"/>
      </w:pPr>
    </w:p>
    <w:p w14:paraId="2CBED2E3" w14:textId="5C14AE84" w:rsidR="007850DD" w:rsidRPr="007850DD" w:rsidRDefault="00C83C71" w:rsidP="00C83C71">
      <w:pPr>
        <w:tabs>
          <w:tab w:val="left" w:pos="567"/>
        </w:tabs>
        <w:spacing w:line="480" w:lineRule="auto"/>
        <w:jc w:val="both"/>
      </w:pPr>
      <w:r w:rsidRPr="007850DD">
        <w:rPr>
          <w:rFonts w:ascii="Arial" w:hAnsi="Arial" w:cs="Arial"/>
          <w:sz w:val="24"/>
          <w:lang w:val="en-ZA"/>
        </w:rPr>
        <w:t xml:space="preserve">[52]     </w:t>
      </w:r>
      <w:r w:rsidRPr="007850DD">
        <w:rPr>
          <w:rFonts w:ascii="Arial" w:hAnsi="Arial" w:cs="Arial"/>
          <w:sz w:val="24"/>
          <w:lang w:val="en-ZA"/>
        </w:rPr>
        <w:tab/>
      </w:r>
      <w:r w:rsidR="007850DD" w:rsidRPr="00C83C71">
        <w:rPr>
          <w:rFonts w:ascii="Arial" w:hAnsi="Arial" w:cs="Arial"/>
          <w:sz w:val="24"/>
          <w:szCs w:val="24"/>
        </w:rPr>
        <w:t xml:space="preserve">I am </w:t>
      </w:r>
      <w:r w:rsidR="0097009D" w:rsidRPr="00C83C71">
        <w:rPr>
          <w:rFonts w:ascii="Arial" w:hAnsi="Arial" w:cs="Arial"/>
          <w:sz w:val="24"/>
          <w:szCs w:val="24"/>
        </w:rPr>
        <w:t xml:space="preserve">however </w:t>
      </w:r>
      <w:r w:rsidR="007850DD" w:rsidRPr="00C83C71">
        <w:rPr>
          <w:rFonts w:ascii="Arial" w:hAnsi="Arial" w:cs="Arial"/>
          <w:sz w:val="24"/>
          <w:szCs w:val="24"/>
        </w:rPr>
        <w:t xml:space="preserve">reminded about the remarks made by the court in the seminal case of  </w:t>
      </w:r>
      <w:r w:rsidR="0097009D" w:rsidRPr="00C83C71">
        <w:rPr>
          <w:rFonts w:ascii="Arial" w:hAnsi="Arial" w:cs="Arial"/>
          <w:b/>
          <w:i/>
          <w:sz w:val="24"/>
          <w:szCs w:val="24"/>
        </w:rPr>
        <w:t xml:space="preserve">In re </w:t>
      </w:r>
      <w:r w:rsidR="007850DD" w:rsidRPr="00C83C71">
        <w:rPr>
          <w:rFonts w:ascii="Arial" w:hAnsi="Arial" w:cs="Arial"/>
          <w:b/>
          <w:i/>
          <w:sz w:val="24"/>
          <w:szCs w:val="24"/>
        </w:rPr>
        <w:t>Alluvial Creek Ltd</w:t>
      </w:r>
      <w:r w:rsidR="007850DD">
        <w:rPr>
          <w:rStyle w:val="FootnoteReference"/>
          <w:rFonts w:ascii="Arial" w:hAnsi="Arial" w:cs="Arial"/>
          <w:b/>
          <w:i/>
          <w:sz w:val="24"/>
          <w:szCs w:val="24"/>
        </w:rPr>
        <w:footnoteReference w:id="29"/>
      </w:r>
      <w:r w:rsidR="007850DD" w:rsidRPr="00C83C71">
        <w:rPr>
          <w:rFonts w:ascii="Arial" w:hAnsi="Arial" w:cs="Arial"/>
          <w:b/>
          <w:i/>
          <w:sz w:val="24"/>
          <w:szCs w:val="24"/>
        </w:rPr>
        <w:t xml:space="preserve"> </w:t>
      </w:r>
      <w:r w:rsidR="007850DD" w:rsidRPr="00C83C71">
        <w:rPr>
          <w:rFonts w:ascii="Arial" w:hAnsi="Arial" w:cs="Arial"/>
          <w:sz w:val="24"/>
          <w:szCs w:val="24"/>
        </w:rPr>
        <w:t xml:space="preserve">where the court opined that </w:t>
      </w:r>
      <w:r w:rsidR="007850DD" w:rsidRPr="00C83C71">
        <w:rPr>
          <w:rFonts w:ascii="Arial" w:hAnsi="Arial" w:cs="Arial"/>
          <w:i/>
          <w:sz w:val="24"/>
          <w:szCs w:val="24"/>
        </w:rPr>
        <w:t>‘[t]here are people who enter litigation with the most upright purpose and a most firm belief in the justice of their cause, and yet whose proceedings may be regarded as vexatious when they put the other side to unnecessary trouble and expense which the other side ought</w:t>
      </w:r>
      <w:r w:rsidR="00BB302B" w:rsidRPr="00C83C71">
        <w:rPr>
          <w:rFonts w:ascii="Arial" w:hAnsi="Arial" w:cs="Arial"/>
          <w:i/>
          <w:sz w:val="24"/>
          <w:szCs w:val="24"/>
        </w:rPr>
        <w:t xml:space="preserve"> not</w:t>
      </w:r>
      <w:r w:rsidR="007850DD" w:rsidRPr="00C83C71">
        <w:rPr>
          <w:rFonts w:ascii="Arial" w:hAnsi="Arial" w:cs="Arial"/>
          <w:i/>
          <w:sz w:val="24"/>
          <w:szCs w:val="24"/>
        </w:rPr>
        <w:t xml:space="preserve"> to bear.’ </w:t>
      </w:r>
      <w:r w:rsidR="007850DD" w:rsidRPr="00C83C71">
        <w:rPr>
          <w:rFonts w:ascii="Arial" w:hAnsi="Arial" w:cs="Arial"/>
          <w:sz w:val="24"/>
          <w:szCs w:val="24"/>
        </w:rPr>
        <w:t xml:space="preserve"> </w:t>
      </w:r>
    </w:p>
    <w:p w14:paraId="2FAD296E" w14:textId="77777777" w:rsidR="007850DD" w:rsidRPr="007850DD" w:rsidRDefault="007850DD" w:rsidP="007850DD">
      <w:pPr>
        <w:pStyle w:val="ListParagraph"/>
        <w:rPr>
          <w:rFonts w:ascii="Arial" w:hAnsi="Arial" w:cs="Arial"/>
          <w:sz w:val="24"/>
          <w:szCs w:val="24"/>
        </w:rPr>
      </w:pPr>
    </w:p>
    <w:p w14:paraId="211B2812" w14:textId="3F5CE3C0" w:rsidR="007850DD" w:rsidRPr="00AF5FA0" w:rsidRDefault="00C83C71" w:rsidP="00C83C71">
      <w:pPr>
        <w:tabs>
          <w:tab w:val="left" w:pos="567"/>
        </w:tabs>
        <w:spacing w:line="480" w:lineRule="auto"/>
        <w:jc w:val="both"/>
      </w:pPr>
      <w:r w:rsidRPr="00AF5FA0">
        <w:rPr>
          <w:rFonts w:ascii="Arial" w:hAnsi="Arial" w:cs="Arial"/>
          <w:sz w:val="24"/>
          <w:lang w:val="en-ZA"/>
        </w:rPr>
        <w:t xml:space="preserve">[53]     </w:t>
      </w:r>
      <w:r w:rsidRPr="00AF5FA0">
        <w:rPr>
          <w:rFonts w:ascii="Arial" w:hAnsi="Arial" w:cs="Arial"/>
          <w:sz w:val="24"/>
          <w:lang w:val="en-ZA"/>
        </w:rPr>
        <w:tab/>
      </w:r>
      <w:r w:rsidR="007850DD" w:rsidRPr="00C83C71">
        <w:rPr>
          <w:rFonts w:ascii="Arial" w:hAnsi="Arial" w:cs="Arial"/>
          <w:sz w:val="24"/>
          <w:szCs w:val="24"/>
        </w:rPr>
        <w:t>The Respondents seeks punitive cost</w:t>
      </w:r>
      <w:r w:rsidR="00BB302B" w:rsidRPr="00C83C71">
        <w:rPr>
          <w:rFonts w:ascii="Arial" w:hAnsi="Arial" w:cs="Arial"/>
          <w:sz w:val="24"/>
          <w:szCs w:val="24"/>
        </w:rPr>
        <w:t>s</w:t>
      </w:r>
      <w:r w:rsidR="007850DD" w:rsidRPr="00C83C71">
        <w:rPr>
          <w:rFonts w:ascii="Arial" w:hAnsi="Arial" w:cs="Arial"/>
          <w:sz w:val="24"/>
          <w:szCs w:val="24"/>
        </w:rPr>
        <w:t xml:space="preserve"> on the basis of numerous deficiencies which is tantamount to an abuse of the process.  In  </w:t>
      </w:r>
      <w:r w:rsidR="007850DD" w:rsidRPr="00C83C71">
        <w:rPr>
          <w:rFonts w:ascii="Arial" w:hAnsi="Arial" w:cs="Arial"/>
          <w:b/>
          <w:i/>
          <w:sz w:val="24"/>
          <w:szCs w:val="24"/>
        </w:rPr>
        <w:t>Johannesburg City Council v Television &amp; Electrical Distributors</w:t>
      </w:r>
      <w:r w:rsidR="007850DD">
        <w:rPr>
          <w:rStyle w:val="FootnoteReference"/>
          <w:rFonts w:ascii="Arial" w:hAnsi="Arial" w:cs="Arial"/>
          <w:b/>
          <w:i/>
          <w:sz w:val="24"/>
          <w:szCs w:val="24"/>
        </w:rPr>
        <w:footnoteReference w:id="30"/>
      </w:r>
      <w:r w:rsidR="00AF5FA0" w:rsidRPr="00C83C71">
        <w:rPr>
          <w:rFonts w:ascii="Arial" w:hAnsi="Arial" w:cs="Arial"/>
          <w:sz w:val="24"/>
          <w:szCs w:val="24"/>
        </w:rPr>
        <w:t>, the court warned against making such an order when all the facts are known:</w:t>
      </w:r>
    </w:p>
    <w:p w14:paraId="29DCFC7A" w14:textId="77777777" w:rsidR="00AF5FA0" w:rsidRDefault="00AF5FA0" w:rsidP="00AF5FA0">
      <w:pPr>
        <w:pStyle w:val="ListParagraph"/>
      </w:pPr>
    </w:p>
    <w:p w14:paraId="1DCEA82B" w14:textId="24B5FB87" w:rsidR="00AF5FA0" w:rsidRPr="00AF5FA0" w:rsidRDefault="00AF5FA0" w:rsidP="00AF5FA0">
      <w:pPr>
        <w:pStyle w:val="ListParagraph"/>
        <w:spacing w:line="360" w:lineRule="auto"/>
        <w:ind w:right="720"/>
        <w:jc w:val="both"/>
        <w:rPr>
          <w:rFonts w:ascii="Arial" w:hAnsi="Arial" w:cs="Arial"/>
          <w:i/>
        </w:rPr>
      </w:pPr>
      <w:r>
        <w:rPr>
          <w:rFonts w:ascii="Arial" w:hAnsi="Arial" w:cs="Arial"/>
          <w:i/>
        </w:rPr>
        <w:t>‘Naturally one must guard against censuring a party by way of a special costs order when</w:t>
      </w:r>
      <w:r w:rsidR="00A26073">
        <w:rPr>
          <w:rFonts w:ascii="Arial" w:hAnsi="Arial" w:cs="Arial"/>
          <w:i/>
        </w:rPr>
        <w:t xml:space="preserve"> with</w:t>
      </w:r>
      <w:r>
        <w:rPr>
          <w:rFonts w:ascii="Arial" w:hAnsi="Arial" w:cs="Arial"/>
          <w:i/>
        </w:rPr>
        <w:t xml:space="preserve"> the benefit of </w:t>
      </w:r>
      <w:r w:rsidR="00697F6C">
        <w:rPr>
          <w:rFonts w:ascii="Arial" w:hAnsi="Arial" w:cs="Arial"/>
          <w:i/>
        </w:rPr>
        <w:t>hindsight,</w:t>
      </w:r>
      <w:r w:rsidR="00A26073">
        <w:rPr>
          <w:rFonts w:ascii="Arial" w:hAnsi="Arial" w:cs="Arial"/>
          <w:i/>
        </w:rPr>
        <w:t xml:space="preserve"> a course of action taken by a litigant </w:t>
      </w:r>
      <w:r>
        <w:rPr>
          <w:rFonts w:ascii="Arial" w:hAnsi="Arial" w:cs="Arial"/>
          <w:i/>
        </w:rPr>
        <w:t>turns out to have been a lost ca</w:t>
      </w:r>
      <w:r w:rsidR="00A26073">
        <w:rPr>
          <w:rFonts w:ascii="Arial" w:hAnsi="Arial" w:cs="Arial"/>
          <w:i/>
        </w:rPr>
        <w:t>u</w:t>
      </w:r>
      <w:r>
        <w:rPr>
          <w:rFonts w:ascii="Arial" w:hAnsi="Arial" w:cs="Arial"/>
          <w:i/>
        </w:rPr>
        <w:t xml:space="preserve">se.’ </w:t>
      </w:r>
    </w:p>
    <w:p w14:paraId="1C1636EA" w14:textId="77777777" w:rsidR="007850DD" w:rsidRPr="007850DD" w:rsidRDefault="007850DD" w:rsidP="007850DD">
      <w:pPr>
        <w:pStyle w:val="ListParagraph"/>
        <w:rPr>
          <w:rFonts w:ascii="Arial" w:hAnsi="Arial" w:cs="Arial"/>
          <w:sz w:val="24"/>
          <w:szCs w:val="24"/>
        </w:rPr>
      </w:pPr>
    </w:p>
    <w:p w14:paraId="495090D7" w14:textId="57B24C2A" w:rsidR="00FB3C13" w:rsidRPr="00C83C71" w:rsidRDefault="00C83C71" w:rsidP="00C83C71">
      <w:pPr>
        <w:tabs>
          <w:tab w:val="left" w:pos="567"/>
        </w:tabs>
        <w:spacing w:line="480" w:lineRule="auto"/>
        <w:jc w:val="both"/>
        <w:rPr>
          <w:rFonts w:ascii="Arial" w:hAnsi="Arial" w:cs="Arial"/>
          <w:sz w:val="24"/>
          <w:szCs w:val="24"/>
        </w:rPr>
      </w:pPr>
      <w:r w:rsidRPr="00D43F5D">
        <w:rPr>
          <w:rFonts w:ascii="Arial" w:hAnsi="Arial" w:cs="Arial"/>
          <w:sz w:val="24"/>
          <w:szCs w:val="24"/>
          <w:lang w:val="en-ZA"/>
        </w:rPr>
        <w:lastRenderedPageBreak/>
        <w:t xml:space="preserve">[54]     </w:t>
      </w:r>
      <w:r w:rsidRPr="00D43F5D">
        <w:rPr>
          <w:rFonts w:ascii="Arial" w:hAnsi="Arial" w:cs="Arial"/>
          <w:sz w:val="24"/>
          <w:szCs w:val="24"/>
          <w:lang w:val="en-ZA"/>
        </w:rPr>
        <w:tab/>
      </w:r>
      <w:r w:rsidR="005A1469" w:rsidRPr="00C83C71">
        <w:rPr>
          <w:rFonts w:ascii="Arial" w:hAnsi="Arial" w:cs="Arial"/>
          <w:sz w:val="24"/>
          <w:szCs w:val="24"/>
        </w:rPr>
        <w:t xml:space="preserve">In the exercise of my judicial discretion, </w:t>
      </w:r>
      <w:r w:rsidR="00697F6C" w:rsidRPr="00C83C71">
        <w:rPr>
          <w:rFonts w:ascii="Arial" w:hAnsi="Arial" w:cs="Arial"/>
          <w:sz w:val="24"/>
          <w:szCs w:val="24"/>
        </w:rPr>
        <w:t xml:space="preserve">I am inclined to heed to the caution and not censure the Applicant with a </w:t>
      </w:r>
      <w:r w:rsidR="00CE4F86" w:rsidRPr="00C83C71">
        <w:rPr>
          <w:rFonts w:ascii="Arial" w:hAnsi="Arial" w:cs="Arial"/>
          <w:sz w:val="24"/>
          <w:szCs w:val="24"/>
        </w:rPr>
        <w:t>punitive cost or</w:t>
      </w:r>
      <w:r w:rsidR="005A1469" w:rsidRPr="00C83C71">
        <w:rPr>
          <w:rFonts w:ascii="Arial" w:hAnsi="Arial" w:cs="Arial"/>
          <w:sz w:val="24"/>
          <w:szCs w:val="24"/>
        </w:rPr>
        <w:t>der.</w:t>
      </w:r>
      <w:r w:rsidR="00697F6C" w:rsidRPr="00C83C71">
        <w:rPr>
          <w:rFonts w:ascii="Arial" w:hAnsi="Arial" w:cs="Arial"/>
          <w:sz w:val="24"/>
          <w:szCs w:val="24"/>
        </w:rPr>
        <w:t xml:space="preserve"> </w:t>
      </w:r>
      <w:r w:rsidR="00FB3C13" w:rsidRPr="00C83C71">
        <w:rPr>
          <w:rFonts w:ascii="Arial" w:hAnsi="Arial" w:cs="Arial"/>
          <w:sz w:val="24"/>
          <w:szCs w:val="24"/>
        </w:rPr>
        <w:t xml:space="preserve"> I</w:t>
      </w:r>
      <w:r w:rsidR="00D43F5D" w:rsidRPr="00C83C71">
        <w:rPr>
          <w:rFonts w:ascii="Arial" w:hAnsi="Arial" w:cs="Arial"/>
          <w:sz w:val="24"/>
          <w:szCs w:val="24"/>
        </w:rPr>
        <w:t xml:space="preserve"> do however deem it apt</w:t>
      </w:r>
      <w:r w:rsidR="00FB3C13" w:rsidRPr="00C83C71">
        <w:rPr>
          <w:rFonts w:ascii="Arial" w:hAnsi="Arial" w:cs="Arial"/>
          <w:sz w:val="24"/>
          <w:szCs w:val="24"/>
        </w:rPr>
        <w:t xml:space="preserve"> to echo the sentiments</w:t>
      </w:r>
      <w:r w:rsidR="00D43F5D" w:rsidRPr="00C83C71">
        <w:rPr>
          <w:rFonts w:ascii="Arial" w:hAnsi="Arial" w:cs="Arial"/>
          <w:sz w:val="24"/>
          <w:szCs w:val="24"/>
        </w:rPr>
        <w:t xml:space="preserve"> expressed by</w:t>
      </w:r>
      <w:r w:rsidR="00FB3C13" w:rsidRPr="00C83C71">
        <w:rPr>
          <w:rFonts w:ascii="Arial" w:hAnsi="Arial" w:cs="Arial"/>
          <w:sz w:val="24"/>
          <w:szCs w:val="24"/>
        </w:rPr>
        <w:t xml:space="preserve"> </w:t>
      </w:r>
      <w:proofErr w:type="spellStart"/>
      <w:r w:rsidR="00FB3C13" w:rsidRPr="00C83C71">
        <w:rPr>
          <w:rFonts w:ascii="Arial" w:hAnsi="Arial" w:cs="Arial"/>
          <w:sz w:val="24"/>
          <w:szCs w:val="24"/>
        </w:rPr>
        <w:t>Thulare</w:t>
      </w:r>
      <w:proofErr w:type="spellEnd"/>
      <w:r w:rsidR="00FB3C13" w:rsidRPr="00C83C71">
        <w:rPr>
          <w:rFonts w:ascii="Arial" w:hAnsi="Arial" w:cs="Arial"/>
          <w:sz w:val="24"/>
          <w:szCs w:val="24"/>
        </w:rPr>
        <w:t xml:space="preserve"> J</w:t>
      </w:r>
      <w:r w:rsidR="00D43F5D" w:rsidRPr="00C83C71">
        <w:rPr>
          <w:rFonts w:ascii="Arial" w:hAnsi="Arial" w:cs="Arial"/>
          <w:sz w:val="24"/>
          <w:szCs w:val="24"/>
        </w:rPr>
        <w:t>,</w:t>
      </w:r>
      <w:r w:rsidR="00FB3C13" w:rsidRPr="00C83C71">
        <w:rPr>
          <w:rFonts w:ascii="Arial" w:hAnsi="Arial" w:cs="Arial"/>
          <w:sz w:val="24"/>
          <w:szCs w:val="24"/>
        </w:rPr>
        <w:t xml:space="preserve"> that the int</w:t>
      </w:r>
      <w:r w:rsidR="00D43F5D" w:rsidRPr="00C83C71">
        <w:rPr>
          <w:rFonts w:ascii="Arial" w:hAnsi="Arial" w:cs="Arial"/>
          <w:sz w:val="24"/>
          <w:szCs w:val="24"/>
        </w:rPr>
        <w:t xml:space="preserve">erest of justice </w:t>
      </w:r>
      <w:r w:rsidR="00FB3C13" w:rsidRPr="00C83C71">
        <w:rPr>
          <w:rFonts w:ascii="Arial" w:hAnsi="Arial" w:cs="Arial"/>
          <w:sz w:val="24"/>
          <w:szCs w:val="24"/>
        </w:rPr>
        <w:t>demands</w:t>
      </w:r>
      <w:r w:rsidR="00D43F5D" w:rsidRPr="00C83C71">
        <w:rPr>
          <w:rFonts w:ascii="Arial" w:hAnsi="Arial" w:cs="Arial"/>
          <w:sz w:val="24"/>
          <w:szCs w:val="24"/>
        </w:rPr>
        <w:t xml:space="preserve"> the</w:t>
      </w:r>
      <w:r w:rsidR="00FB3C13" w:rsidRPr="00C83C71">
        <w:rPr>
          <w:rFonts w:ascii="Arial" w:hAnsi="Arial" w:cs="Arial"/>
          <w:sz w:val="24"/>
          <w:szCs w:val="24"/>
        </w:rPr>
        <w:t xml:space="preserve"> expeditious an</w:t>
      </w:r>
      <w:r w:rsidR="00D43F5D" w:rsidRPr="00C83C71">
        <w:rPr>
          <w:rFonts w:ascii="Arial" w:hAnsi="Arial" w:cs="Arial"/>
          <w:sz w:val="24"/>
          <w:szCs w:val="24"/>
        </w:rPr>
        <w:t>d possible immediate resolution to the current impasse between the parties.</w:t>
      </w:r>
    </w:p>
    <w:p w14:paraId="59B04846" w14:textId="77777777" w:rsidR="00D43F5D" w:rsidRDefault="00D43F5D" w:rsidP="00FB3C13">
      <w:pPr>
        <w:pStyle w:val="ListParagraph"/>
        <w:spacing w:line="480" w:lineRule="auto"/>
        <w:ind w:left="0"/>
        <w:jc w:val="both"/>
        <w:rPr>
          <w:rFonts w:ascii="Arial" w:hAnsi="Arial" w:cs="Arial"/>
          <w:b/>
          <w:sz w:val="24"/>
          <w:szCs w:val="24"/>
        </w:rPr>
      </w:pPr>
    </w:p>
    <w:p w14:paraId="3D7FAFA7" w14:textId="6C141681" w:rsidR="009F3B35" w:rsidRPr="009F3B35" w:rsidRDefault="009F3B35" w:rsidP="00FB3C13">
      <w:pPr>
        <w:pStyle w:val="ListParagraph"/>
        <w:spacing w:line="480" w:lineRule="auto"/>
        <w:ind w:left="0"/>
        <w:jc w:val="both"/>
        <w:rPr>
          <w:b/>
        </w:rPr>
      </w:pPr>
      <w:r w:rsidRPr="009F3B35">
        <w:rPr>
          <w:rFonts w:ascii="Arial" w:hAnsi="Arial" w:cs="Arial"/>
          <w:b/>
          <w:sz w:val="24"/>
          <w:szCs w:val="24"/>
        </w:rPr>
        <w:t>Order</w:t>
      </w:r>
    </w:p>
    <w:p w14:paraId="66826472" w14:textId="49F2DF9C" w:rsidR="00642315" w:rsidRDefault="00C83C71" w:rsidP="00C83C71">
      <w:pPr>
        <w:tabs>
          <w:tab w:val="left" w:pos="567"/>
        </w:tabs>
        <w:spacing w:line="480" w:lineRule="auto"/>
        <w:jc w:val="both"/>
      </w:pPr>
      <w:r>
        <w:rPr>
          <w:rFonts w:ascii="Arial" w:hAnsi="Arial" w:cs="Arial"/>
          <w:sz w:val="24"/>
          <w:lang w:val="en-ZA"/>
        </w:rPr>
        <w:t xml:space="preserve">[55]     </w:t>
      </w:r>
      <w:r>
        <w:rPr>
          <w:rFonts w:ascii="Arial" w:hAnsi="Arial" w:cs="Arial"/>
          <w:sz w:val="24"/>
          <w:lang w:val="en-ZA"/>
        </w:rPr>
        <w:tab/>
      </w:r>
      <w:r w:rsidR="009F3B35" w:rsidRPr="00C83C71">
        <w:rPr>
          <w:rFonts w:ascii="Arial" w:hAnsi="Arial" w:cs="Arial"/>
          <w:sz w:val="24"/>
          <w:szCs w:val="24"/>
        </w:rPr>
        <w:t>Having heard Counsel for the Applicant and</w:t>
      </w:r>
      <w:r w:rsidR="003E5392" w:rsidRPr="00C83C71">
        <w:rPr>
          <w:rFonts w:ascii="Arial" w:hAnsi="Arial" w:cs="Arial"/>
          <w:sz w:val="24"/>
          <w:szCs w:val="24"/>
        </w:rPr>
        <w:t xml:space="preserve"> Counsel for</w:t>
      </w:r>
      <w:r w:rsidR="009F3B35" w:rsidRPr="00C83C71">
        <w:rPr>
          <w:rFonts w:ascii="Arial" w:hAnsi="Arial" w:cs="Arial"/>
          <w:sz w:val="24"/>
          <w:szCs w:val="24"/>
        </w:rPr>
        <w:t xml:space="preserve"> </w:t>
      </w:r>
      <w:r w:rsidR="003E5392" w:rsidRPr="00C83C71">
        <w:rPr>
          <w:rFonts w:ascii="Arial" w:hAnsi="Arial" w:cs="Arial"/>
          <w:sz w:val="24"/>
          <w:szCs w:val="24"/>
        </w:rPr>
        <w:t xml:space="preserve">First and Second </w:t>
      </w:r>
      <w:r w:rsidR="009F3B35" w:rsidRPr="00C83C71">
        <w:rPr>
          <w:rFonts w:ascii="Arial" w:hAnsi="Arial" w:cs="Arial"/>
          <w:sz w:val="24"/>
          <w:szCs w:val="24"/>
        </w:rPr>
        <w:t>Respondents, and having read the papers filed of record, the following order is made:</w:t>
      </w:r>
    </w:p>
    <w:p w14:paraId="443D13EC" w14:textId="517359AF" w:rsidR="002752F1" w:rsidRPr="00C83C71" w:rsidRDefault="00C83C71" w:rsidP="00C83C71">
      <w:pPr>
        <w:spacing w:line="480" w:lineRule="auto"/>
        <w:ind w:left="720" w:hanging="360"/>
        <w:jc w:val="both"/>
        <w:rPr>
          <w:rFonts w:ascii="Arial" w:hAnsi="Arial" w:cs="Arial"/>
          <w:sz w:val="24"/>
          <w:szCs w:val="24"/>
        </w:rPr>
      </w:pPr>
      <w:r>
        <w:rPr>
          <w:rFonts w:ascii="Arial" w:hAnsi="Arial" w:cs="Arial"/>
          <w:sz w:val="24"/>
          <w:szCs w:val="24"/>
          <w:lang w:val="en-ZA"/>
        </w:rPr>
        <w:t>(a)</w:t>
      </w:r>
      <w:r>
        <w:rPr>
          <w:rFonts w:ascii="Arial" w:hAnsi="Arial" w:cs="Arial"/>
          <w:sz w:val="24"/>
          <w:szCs w:val="24"/>
          <w:lang w:val="en-ZA"/>
        </w:rPr>
        <w:tab/>
      </w:r>
      <w:r w:rsidR="00642315" w:rsidRPr="00C83C71">
        <w:rPr>
          <w:rFonts w:ascii="Arial" w:hAnsi="Arial" w:cs="Arial"/>
          <w:sz w:val="24"/>
          <w:szCs w:val="24"/>
        </w:rPr>
        <w:t>The application is dismissed with costs.</w:t>
      </w:r>
    </w:p>
    <w:p w14:paraId="69AB1D85" w14:textId="55D011C5" w:rsidR="00932419" w:rsidRDefault="00932419" w:rsidP="00932419">
      <w:pPr>
        <w:pStyle w:val="ListParagraph"/>
        <w:spacing w:line="480" w:lineRule="auto"/>
        <w:jc w:val="both"/>
        <w:rPr>
          <w:rFonts w:ascii="Arial" w:hAnsi="Arial" w:cs="Arial"/>
          <w:sz w:val="24"/>
          <w:szCs w:val="24"/>
        </w:rPr>
      </w:pPr>
    </w:p>
    <w:p w14:paraId="2A4693AD" w14:textId="77777777" w:rsidR="000571BE" w:rsidRPr="00D43F5D" w:rsidRDefault="000571BE" w:rsidP="00932419">
      <w:pPr>
        <w:pStyle w:val="ListParagraph"/>
        <w:spacing w:line="480" w:lineRule="auto"/>
        <w:jc w:val="both"/>
        <w:rPr>
          <w:rFonts w:ascii="Arial" w:hAnsi="Arial" w:cs="Arial"/>
          <w:sz w:val="24"/>
          <w:szCs w:val="24"/>
        </w:rPr>
      </w:pPr>
    </w:p>
    <w:p w14:paraId="76321461" w14:textId="77777777" w:rsidR="002752F1" w:rsidRDefault="002752F1" w:rsidP="002752F1">
      <w:pPr>
        <w:spacing w:line="240" w:lineRule="auto"/>
      </w:pPr>
      <w:r>
        <w:tab/>
      </w:r>
      <w:r>
        <w:tab/>
      </w:r>
      <w:r>
        <w:tab/>
      </w:r>
      <w:r>
        <w:tab/>
      </w:r>
      <w:r>
        <w:tab/>
      </w:r>
      <w:r>
        <w:tab/>
      </w:r>
      <w:r>
        <w:tab/>
        <w:t>__________________________-</w:t>
      </w:r>
    </w:p>
    <w:p w14:paraId="63208D3F" w14:textId="6827658E" w:rsidR="008A01D2" w:rsidRPr="00932419" w:rsidRDefault="002752F1" w:rsidP="002752F1">
      <w:pPr>
        <w:spacing w:line="240" w:lineRule="auto"/>
        <w:rPr>
          <w:b/>
          <w:sz w:val="24"/>
          <w:szCs w:val="24"/>
        </w:rPr>
      </w:pPr>
      <w:r>
        <w:tab/>
      </w:r>
      <w:r>
        <w:tab/>
      </w:r>
      <w:r>
        <w:tab/>
      </w:r>
      <w:r>
        <w:tab/>
      </w:r>
      <w:r>
        <w:tab/>
      </w:r>
      <w:r>
        <w:tab/>
      </w:r>
      <w:r>
        <w:tab/>
      </w:r>
      <w:r>
        <w:tab/>
      </w:r>
      <w:r w:rsidRPr="002752F1">
        <w:rPr>
          <w:b/>
          <w:sz w:val="24"/>
          <w:szCs w:val="24"/>
        </w:rPr>
        <w:t>ANDREWS, AJ</w:t>
      </w:r>
    </w:p>
    <w:p w14:paraId="59A04481" w14:textId="77777777" w:rsidR="000571BE" w:rsidRDefault="000571BE" w:rsidP="002752F1">
      <w:pPr>
        <w:spacing w:line="240" w:lineRule="auto"/>
        <w:rPr>
          <w:rFonts w:ascii="Arial" w:hAnsi="Arial" w:cs="Arial"/>
          <w:b/>
          <w:sz w:val="24"/>
          <w:szCs w:val="24"/>
        </w:rPr>
      </w:pPr>
    </w:p>
    <w:p w14:paraId="3BA15651" w14:textId="77777777" w:rsidR="000571BE" w:rsidRDefault="000571BE" w:rsidP="002752F1">
      <w:pPr>
        <w:spacing w:line="240" w:lineRule="auto"/>
        <w:rPr>
          <w:rFonts w:ascii="Arial" w:hAnsi="Arial" w:cs="Arial"/>
          <w:b/>
          <w:sz w:val="24"/>
          <w:szCs w:val="24"/>
        </w:rPr>
      </w:pPr>
    </w:p>
    <w:p w14:paraId="6CF73D68" w14:textId="77777777" w:rsidR="000571BE" w:rsidRDefault="000571BE" w:rsidP="002752F1">
      <w:pPr>
        <w:spacing w:line="240" w:lineRule="auto"/>
        <w:rPr>
          <w:rFonts w:ascii="Arial" w:hAnsi="Arial" w:cs="Arial"/>
          <w:b/>
          <w:sz w:val="24"/>
          <w:szCs w:val="24"/>
        </w:rPr>
      </w:pPr>
    </w:p>
    <w:p w14:paraId="7D340AE0" w14:textId="0455DC76" w:rsidR="000D43FE" w:rsidRPr="000D43FE" w:rsidRDefault="000D43FE" w:rsidP="002752F1">
      <w:pPr>
        <w:spacing w:line="240" w:lineRule="auto"/>
        <w:rPr>
          <w:rFonts w:ascii="Arial" w:hAnsi="Arial" w:cs="Arial"/>
          <w:b/>
          <w:sz w:val="24"/>
          <w:szCs w:val="24"/>
        </w:rPr>
      </w:pPr>
      <w:r w:rsidRPr="000D43FE">
        <w:rPr>
          <w:rFonts w:ascii="Arial" w:hAnsi="Arial" w:cs="Arial"/>
          <w:b/>
          <w:sz w:val="24"/>
          <w:szCs w:val="24"/>
        </w:rPr>
        <w:t>APPEARANCES:</w:t>
      </w:r>
    </w:p>
    <w:p w14:paraId="0267FF4D" w14:textId="39F1095F" w:rsidR="000D43FE" w:rsidRPr="000D43FE" w:rsidRDefault="000D43FE" w:rsidP="002752F1">
      <w:pPr>
        <w:spacing w:line="240" w:lineRule="auto"/>
        <w:rPr>
          <w:rFonts w:ascii="Arial" w:hAnsi="Arial" w:cs="Arial"/>
          <w:sz w:val="24"/>
          <w:szCs w:val="24"/>
        </w:rPr>
      </w:pPr>
      <w:r>
        <w:rPr>
          <w:rFonts w:ascii="Arial" w:hAnsi="Arial" w:cs="Arial"/>
          <w:sz w:val="24"/>
          <w:szCs w:val="24"/>
        </w:rPr>
        <w:t>Counsel for the Applicant</w:t>
      </w:r>
      <w:r w:rsidRPr="000D43FE">
        <w:rPr>
          <w:rFonts w:ascii="Arial" w:hAnsi="Arial" w:cs="Arial"/>
          <w:sz w:val="24"/>
          <w:szCs w:val="24"/>
        </w:rPr>
        <w:t>:</w:t>
      </w:r>
      <w:r w:rsidR="003E4215">
        <w:rPr>
          <w:rFonts w:ascii="Arial" w:hAnsi="Arial" w:cs="Arial"/>
          <w:sz w:val="24"/>
          <w:szCs w:val="24"/>
        </w:rPr>
        <w:tab/>
      </w:r>
      <w:r w:rsidR="003E4215">
        <w:rPr>
          <w:rFonts w:ascii="Arial" w:hAnsi="Arial" w:cs="Arial"/>
          <w:sz w:val="24"/>
          <w:szCs w:val="24"/>
        </w:rPr>
        <w:tab/>
      </w:r>
      <w:r w:rsidR="003E4215">
        <w:rPr>
          <w:rFonts w:ascii="Arial" w:hAnsi="Arial" w:cs="Arial"/>
          <w:sz w:val="24"/>
          <w:szCs w:val="24"/>
        </w:rPr>
        <w:tab/>
      </w:r>
      <w:r w:rsidR="003E4215">
        <w:rPr>
          <w:rFonts w:ascii="Arial" w:hAnsi="Arial" w:cs="Arial"/>
          <w:sz w:val="24"/>
          <w:szCs w:val="24"/>
        </w:rPr>
        <w:tab/>
        <w:t>Advocate A R Newton</w:t>
      </w:r>
    </w:p>
    <w:p w14:paraId="6F9DB221" w14:textId="51E0DD6B" w:rsidR="000D43FE" w:rsidRDefault="000D43FE" w:rsidP="002752F1">
      <w:pPr>
        <w:spacing w:line="240" w:lineRule="auto"/>
        <w:rPr>
          <w:rFonts w:ascii="Arial" w:hAnsi="Arial" w:cs="Arial"/>
          <w:sz w:val="24"/>
          <w:szCs w:val="24"/>
        </w:rPr>
      </w:pPr>
      <w:r w:rsidRPr="000D43FE">
        <w:rPr>
          <w:rFonts w:ascii="Arial" w:hAnsi="Arial" w:cs="Arial"/>
          <w:sz w:val="24"/>
          <w:szCs w:val="24"/>
        </w:rPr>
        <w:t>Instructed by:</w:t>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t>Nita Brand Attorneys</w:t>
      </w:r>
    </w:p>
    <w:p w14:paraId="1711117D" w14:textId="1D570D4F" w:rsidR="000D43FE" w:rsidRDefault="000D43FE" w:rsidP="002752F1">
      <w:pPr>
        <w:spacing w:line="240" w:lineRule="auto"/>
        <w:rPr>
          <w:rFonts w:ascii="Arial" w:hAnsi="Arial" w:cs="Arial"/>
          <w:sz w:val="24"/>
          <w:szCs w:val="24"/>
        </w:rPr>
      </w:pPr>
    </w:p>
    <w:p w14:paraId="2FA65443" w14:textId="362FC05F" w:rsidR="000D43FE" w:rsidRDefault="000D43FE" w:rsidP="002752F1">
      <w:pPr>
        <w:spacing w:line="240" w:lineRule="auto"/>
        <w:rPr>
          <w:rFonts w:ascii="Arial" w:hAnsi="Arial" w:cs="Arial"/>
          <w:sz w:val="24"/>
          <w:szCs w:val="24"/>
        </w:rPr>
      </w:pPr>
      <w:r>
        <w:rPr>
          <w:rFonts w:ascii="Arial" w:hAnsi="Arial" w:cs="Arial"/>
          <w:sz w:val="24"/>
          <w:szCs w:val="24"/>
        </w:rPr>
        <w:t>Counsel for the Respondent</w:t>
      </w:r>
      <w:r w:rsidR="008F5CFE">
        <w:rPr>
          <w:rFonts w:ascii="Arial" w:hAnsi="Arial" w:cs="Arial"/>
          <w:sz w:val="24"/>
          <w:szCs w:val="24"/>
        </w:rPr>
        <w:t>:</w:t>
      </w:r>
      <w:r w:rsidR="003E4215">
        <w:rPr>
          <w:rFonts w:ascii="Arial" w:hAnsi="Arial" w:cs="Arial"/>
          <w:sz w:val="24"/>
          <w:szCs w:val="24"/>
        </w:rPr>
        <w:tab/>
      </w:r>
      <w:r w:rsidR="003E4215">
        <w:rPr>
          <w:rFonts w:ascii="Arial" w:hAnsi="Arial" w:cs="Arial"/>
          <w:sz w:val="24"/>
          <w:szCs w:val="24"/>
        </w:rPr>
        <w:tab/>
      </w:r>
      <w:r w:rsidR="003E4215">
        <w:rPr>
          <w:rFonts w:ascii="Arial" w:hAnsi="Arial" w:cs="Arial"/>
          <w:sz w:val="24"/>
          <w:szCs w:val="24"/>
        </w:rPr>
        <w:tab/>
        <w:t xml:space="preserve">Advocate A J Van </w:t>
      </w:r>
      <w:proofErr w:type="spellStart"/>
      <w:r w:rsidR="003E4215">
        <w:rPr>
          <w:rFonts w:ascii="Arial" w:hAnsi="Arial" w:cs="Arial"/>
          <w:sz w:val="24"/>
          <w:szCs w:val="24"/>
        </w:rPr>
        <w:t>Aswegen</w:t>
      </w:r>
      <w:proofErr w:type="spellEnd"/>
    </w:p>
    <w:p w14:paraId="06AD93AF" w14:textId="4E113280" w:rsidR="008F5CFE" w:rsidRDefault="008F5CFE" w:rsidP="002752F1">
      <w:pPr>
        <w:spacing w:line="240" w:lineRule="auto"/>
        <w:rPr>
          <w:rFonts w:ascii="Arial" w:hAnsi="Arial" w:cs="Arial"/>
          <w:sz w:val="24"/>
          <w:szCs w:val="24"/>
        </w:rPr>
      </w:pPr>
      <w:r>
        <w:rPr>
          <w:rFonts w:ascii="Arial" w:hAnsi="Arial" w:cs="Arial"/>
          <w:sz w:val="24"/>
          <w:szCs w:val="24"/>
        </w:rPr>
        <w:t>Instructed</w:t>
      </w:r>
      <w:r w:rsidR="00D57B19">
        <w:rPr>
          <w:rFonts w:ascii="Arial" w:hAnsi="Arial" w:cs="Arial"/>
          <w:sz w:val="24"/>
          <w:szCs w:val="24"/>
        </w:rPr>
        <w:t xml:space="preserve"> by</w:t>
      </w:r>
      <w:r>
        <w:rPr>
          <w:rFonts w:ascii="Arial" w:hAnsi="Arial" w:cs="Arial"/>
          <w:sz w:val="24"/>
          <w:szCs w:val="24"/>
        </w:rPr>
        <w:t>:</w:t>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r>
      <w:r w:rsidR="00D57B19">
        <w:rPr>
          <w:rFonts w:ascii="Arial" w:hAnsi="Arial" w:cs="Arial"/>
          <w:sz w:val="24"/>
          <w:szCs w:val="24"/>
        </w:rPr>
        <w:tab/>
      </w:r>
      <w:r w:rsidR="00861937">
        <w:rPr>
          <w:rFonts w:ascii="Arial" w:hAnsi="Arial" w:cs="Arial"/>
          <w:sz w:val="24"/>
          <w:szCs w:val="24"/>
        </w:rPr>
        <w:t xml:space="preserve">Van </w:t>
      </w:r>
      <w:proofErr w:type="spellStart"/>
      <w:r w:rsidR="00861937">
        <w:rPr>
          <w:rFonts w:ascii="Arial" w:hAnsi="Arial" w:cs="Arial"/>
          <w:sz w:val="24"/>
          <w:szCs w:val="24"/>
        </w:rPr>
        <w:t>Niekerk</w:t>
      </w:r>
      <w:proofErr w:type="spellEnd"/>
      <w:r w:rsidR="00861937">
        <w:rPr>
          <w:rFonts w:ascii="Arial" w:hAnsi="Arial" w:cs="Arial"/>
          <w:sz w:val="24"/>
          <w:szCs w:val="24"/>
        </w:rPr>
        <w:t xml:space="preserve"> </w:t>
      </w:r>
      <w:proofErr w:type="spellStart"/>
      <w:r w:rsidR="00861937">
        <w:rPr>
          <w:rFonts w:ascii="Arial" w:hAnsi="Arial" w:cs="Arial"/>
          <w:sz w:val="24"/>
          <w:szCs w:val="24"/>
        </w:rPr>
        <w:t>Groenewoud</w:t>
      </w:r>
      <w:proofErr w:type="spellEnd"/>
      <w:r w:rsidR="00861937">
        <w:rPr>
          <w:rFonts w:ascii="Arial" w:hAnsi="Arial" w:cs="Arial"/>
          <w:sz w:val="24"/>
          <w:szCs w:val="24"/>
        </w:rPr>
        <w:t xml:space="preserve"> &amp; Van </w:t>
      </w:r>
    </w:p>
    <w:p w14:paraId="04CB32DE" w14:textId="7E8BF0B9" w:rsidR="00861937" w:rsidRDefault="00861937" w:rsidP="002752F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Zyl</w:t>
      </w:r>
      <w:proofErr w:type="spellEnd"/>
      <w:r>
        <w:rPr>
          <w:rFonts w:ascii="Arial" w:hAnsi="Arial" w:cs="Arial"/>
          <w:sz w:val="24"/>
          <w:szCs w:val="24"/>
        </w:rPr>
        <w:t xml:space="preserve"> </w:t>
      </w:r>
      <w:proofErr w:type="spellStart"/>
      <w:r>
        <w:rPr>
          <w:rFonts w:ascii="Arial" w:hAnsi="Arial" w:cs="Arial"/>
          <w:sz w:val="24"/>
          <w:szCs w:val="24"/>
        </w:rPr>
        <w:t>Inc</w:t>
      </w:r>
      <w:proofErr w:type="spellEnd"/>
    </w:p>
    <w:p w14:paraId="0965DB0D" w14:textId="70D41326" w:rsidR="008F5CFE" w:rsidRDefault="008F5CFE" w:rsidP="002752F1">
      <w:pPr>
        <w:spacing w:line="240" w:lineRule="auto"/>
        <w:rPr>
          <w:rFonts w:ascii="Arial" w:hAnsi="Arial" w:cs="Arial"/>
          <w:sz w:val="24"/>
          <w:szCs w:val="24"/>
        </w:rPr>
      </w:pPr>
    </w:p>
    <w:p w14:paraId="12EF8A2D" w14:textId="748A5401" w:rsidR="008F5CFE" w:rsidRPr="008F5CFE" w:rsidRDefault="008F5CFE" w:rsidP="002752F1">
      <w:pPr>
        <w:spacing w:line="240" w:lineRule="auto"/>
        <w:rPr>
          <w:rFonts w:ascii="Bahnschrift Light" w:hAnsi="Bahnschrift Light" w:cs="Arial"/>
          <w:sz w:val="24"/>
          <w:szCs w:val="24"/>
        </w:rPr>
      </w:pPr>
      <w:r w:rsidRPr="008F5CFE">
        <w:rPr>
          <w:rFonts w:ascii="Bahnschrift Light" w:hAnsi="Bahnschrift Light" w:cs="Arial"/>
          <w:i/>
          <w:sz w:val="24"/>
          <w:szCs w:val="24"/>
        </w:rPr>
        <w:t>Heard on</w:t>
      </w:r>
      <w:r w:rsidRPr="008F5CFE">
        <w:rPr>
          <w:rFonts w:ascii="Bahnschrift Light" w:hAnsi="Bahnschrift Light" w:cs="Arial"/>
          <w:sz w:val="24"/>
          <w:szCs w:val="24"/>
        </w:rPr>
        <w:tab/>
        <w:t>23 October 2023</w:t>
      </w:r>
    </w:p>
    <w:p w14:paraId="1B307882" w14:textId="77611829" w:rsidR="008F5CFE" w:rsidRPr="008F5CFE" w:rsidRDefault="008F5CFE" w:rsidP="002752F1">
      <w:pPr>
        <w:spacing w:line="240" w:lineRule="auto"/>
        <w:rPr>
          <w:rFonts w:ascii="Bahnschrift Light" w:hAnsi="Bahnschrift Light" w:cs="Arial"/>
          <w:sz w:val="24"/>
          <w:szCs w:val="24"/>
        </w:rPr>
      </w:pPr>
    </w:p>
    <w:p w14:paraId="62E8C4E5" w14:textId="2D97F0D0" w:rsidR="008F5CFE" w:rsidRPr="008F5CFE" w:rsidRDefault="008F5CFE" w:rsidP="002752F1">
      <w:pPr>
        <w:spacing w:line="240" w:lineRule="auto"/>
        <w:rPr>
          <w:rFonts w:ascii="Bahnschrift Light" w:hAnsi="Bahnschrift Light" w:cs="Arial"/>
          <w:sz w:val="24"/>
          <w:szCs w:val="24"/>
        </w:rPr>
      </w:pPr>
      <w:r w:rsidRPr="008F5CFE">
        <w:rPr>
          <w:rFonts w:ascii="Bahnschrift Light" w:hAnsi="Bahnschrift Light" w:cs="Arial"/>
          <w:i/>
          <w:sz w:val="24"/>
          <w:szCs w:val="24"/>
        </w:rPr>
        <w:t>Delivered</w:t>
      </w:r>
      <w:r w:rsidRPr="008F5CFE">
        <w:rPr>
          <w:rFonts w:ascii="Bahnschrift Light" w:hAnsi="Bahnschrift Light" w:cs="Arial"/>
          <w:sz w:val="24"/>
          <w:szCs w:val="24"/>
        </w:rPr>
        <w:tab/>
      </w:r>
      <w:r w:rsidR="00381BF5">
        <w:rPr>
          <w:rFonts w:ascii="Bahnschrift Light" w:hAnsi="Bahnschrift Light" w:cs="Arial"/>
          <w:sz w:val="24"/>
          <w:szCs w:val="24"/>
        </w:rPr>
        <w:t>10</w:t>
      </w:r>
      <w:r w:rsidRPr="008F5CFE">
        <w:rPr>
          <w:rFonts w:ascii="Bahnschrift Light" w:hAnsi="Bahnschrift Light" w:cs="Arial"/>
          <w:sz w:val="24"/>
          <w:szCs w:val="24"/>
        </w:rPr>
        <w:t xml:space="preserve"> November 2023 – This judgment was handed down electronically </w:t>
      </w:r>
      <w:r w:rsidRPr="008F5CFE">
        <w:rPr>
          <w:rFonts w:ascii="Bahnschrift Light" w:hAnsi="Bahnschrift Light" w:cs="Arial"/>
          <w:sz w:val="24"/>
          <w:szCs w:val="24"/>
        </w:rPr>
        <w:tab/>
      </w:r>
      <w:r w:rsidRPr="008F5CFE">
        <w:rPr>
          <w:rFonts w:ascii="Bahnschrift Light" w:hAnsi="Bahnschrift Light" w:cs="Arial"/>
          <w:sz w:val="24"/>
          <w:szCs w:val="24"/>
        </w:rPr>
        <w:tab/>
        <w:t>by circulation to the parties’ representatives by email.</w:t>
      </w:r>
    </w:p>
    <w:p w14:paraId="4D29E285" w14:textId="132F5103" w:rsidR="000D43FE" w:rsidRPr="008F5CFE" w:rsidRDefault="000D43FE" w:rsidP="002752F1">
      <w:pPr>
        <w:spacing w:line="240" w:lineRule="auto"/>
        <w:rPr>
          <w:rFonts w:ascii="Bahnschrift Light" w:hAnsi="Bahnschrift Light" w:cs="Arial"/>
          <w:i/>
          <w:sz w:val="24"/>
          <w:szCs w:val="24"/>
        </w:rPr>
      </w:pPr>
    </w:p>
    <w:p w14:paraId="19439BA9" w14:textId="77777777" w:rsidR="000D43FE" w:rsidRPr="000D43FE" w:rsidRDefault="000D43FE" w:rsidP="002752F1">
      <w:pPr>
        <w:spacing w:line="240" w:lineRule="auto"/>
        <w:rPr>
          <w:rFonts w:ascii="Arial" w:hAnsi="Arial" w:cs="Arial"/>
          <w:sz w:val="24"/>
          <w:szCs w:val="24"/>
        </w:rPr>
      </w:pPr>
    </w:p>
    <w:p w14:paraId="5EDCBD9F" w14:textId="3AB284B8" w:rsidR="000D43FE" w:rsidRDefault="000D43FE" w:rsidP="002752F1">
      <w:pPr>
        <w:spacing w:line="240" w:lineRule="auto"/>
        <w:rPr>
          <w:b/>
          <w:sz w:val="24"/>
          <w:szCs w:val="24"/>
        </w:rPr>
      </w:pPr>
    </w:p>
    <w:p w14:paraId="34482899" w14:textId="3FC59F10" w:rsidR="000D43FE" w:rsidRDefault="000D43FE" w:rsidP="002752F1">
      <w:pPr>
        <w:spacing w:line="240" w:lineRule="auto"/>
        <w:rPr>
          <w:b/>
          <w:sz w:val="24"/>
          <w:szCs w:val="24"/>
        </w:rPr>
      </w:pPr>
    </w:p>
    <w:p w14:paraId="242560D7" w14:textId="77777777" w:rsidR="000D43FE" w:rsidRDefault="000D43FE" w:rsidP="002752F1">
      <w:pPr>
        <w:spacing w:line="240" w:lineRule="auto"/>
        <w:rPr>
          <w:b/>
          <w:sz w:val="24"/>
          <w:szCs w:val="24"/>
        </w:rPr>
      </w:pPr>
    </w:p>
    <w:p w14:paraId="310395EC" w14:textId="77777777" w:rsidR="000D43FE" w:rsidRPr="002752F1" w:rsidRDefault="000D43FE" w:rsidP="002752F1">
      <w:pPr>
        <w:spacing w:line="240" w:lineRule="auto"/>
        <w:rPr>
          <w:b/>
          <w:sz w:val="24"/>
          <w:szCs w:val="24"/>
        </w:rPr>
      </w:pPr>
    </w:p>
    <w:sectPr w:rsidR="000D43FE" w:rsidRPr="002752F1" w:rsidSect="00F02C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E4F8B" w14:textId="77777777" w:rsidR="003639F1" w:rsidRDefault="003639F1" w:rsidP="005B2AA3">
      <w:pPr>
        <w:spacing w:after="0" w:line="240" w:lineRule="auto"/>
      </w:pPr>
      <w:r>
        <w:separator/>
      </w:r>
    </w:p>
  </w:endnote>
  <w:endnote w:type="continuationSeparator" w:id="0">
    <w:p w14:paraId="6E94BE03" w14:textId="77777777" w:rsidR="003639F1" w:rsidRDefault="003639F1" w:rsidP="005B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1474A" w14:textId="77777777" w:rsidR="00F02C6F" w:rsidRDefault="00F02C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50337"/>
      <w:docPartObj>
        <w:docPartGallery w:val="Page Numbers (Bottom of Page)"/>
        <w:docPartUnique/>
      </w:docPartObj>
    </w:sdtPr>
    <w:sdtEndPr>
      <w:rPr>
        <w:noProof/>
      </w:rPr>
    </w:sdtEndPr>
    <w:sdtContent>
      <w:p w14:paraId="54028967" w14:textId="7011F883" w:rsidR="008B0A61" w:rsidRDefault="008B0A61">
        <w:pPr>
          <w:pStyle w:val="Footer"/>
          <w:jc w:val="right"/>
        </w:pPr>
        <w:r>
          <w:fldChar w:fldCharType="begin"/>
        </w:r>
        <w:r>
          <w:instrText xml:space="preserve"> PAGE   \* MERGEFORMAT </w:instrText>
        </w:r>
        <w:r>
          <w:fldChar w:fldCharType="separate"/>
        </w:r>
        <w:r w:rsidR="00D065BA">
          <w:rPr>
            <w:noProof/>
          </w:rPr>
          <w:t>1</w:t>
        </w:r>
        <w:r>
          <w:rPr>
            <w:noProof/>
          </w:rPr>
          <w:fldChar w:fldCharType="end"/>
        </w:r>
      </w:p>
    </w:sdtContent>
  </w:sdt>
  <w:p w14:paraId="005E1860" w14:textId="77777777" w:rsidR="008B0A61" w:rsidRDefault="008B0A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92BC" w14:textId="77777777" w:rsidR="00F02C6F" w:rsidRDefault="00F02C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77E9C" w14:textId="77777777" w:rsidR="003639F1" w:rsidRDefault="003639F1" w:rsidP="005B2AA3">
      <w:pPr>
        <w:spacing w:after="0" w:line="240" w:lineRule="auto"/>
      </w:pPr>
      <w:r>
        <w:separator/>
      </w:r>
    </w:p>
  </w:footnote>
  <w:footnote w:type="continuationSeparator" w:id="0">
    <w:p w14:paraId="3F7BDEEB" w14:textId="77777777" w:rsidR="003639F1" w:rsidRDefault="003639F1" w:rsidP="005B2AA3">
      <w:pPr>
        <w:spacing w:after="0" w:line="240" w:lineRule="auto"/>
      </w:pPr>
      <w:r>
        <w:continuationSeparator/>
      </w:r>
    </w:p>
  </w:footnote>
  <w:footnote w:id="1">
    <w:p w14:paraId="68CB6CA6" w14:textId="77777777" w:rsidR="008B0A61" w:rsidRPr="008E35BD" w:rsidRDefault="008B0A61">
      <w:pPr>
        <w:pStyle w:val="FootnoteText"/>
        <w:rPr>
          <w:lang w:val="en-ZA"/>
        </w:rPr>
      </w:pPr>
      <w:r>
        <w:rPr>
          <w:rStyle w:val="FootnoteReference"/>
        </w:rPr>
        <w:footnoteRef/>
      </w:r>
      <w:r>
        <w:t xml:space="preserve"> </w:t>
      </w:r>
      <w:r>
        <w:rPr>
          <w:lang w:val="en-ZA"/>
        </w:rPr>
        <w:t>Index, Annexure FA2, page 23.</w:t>
      </w:r>
    </w:p>
  </w:footnote>
  <w:footnote w:id="2">
    <w:p w14:paraId="5F13FA90" w14:textId="77777777" w:rsidR="008B0A61" w:rsidRPr="00353A7E" w:rsidRDefault="008B0A61">
      <w:pPr>
        <w:pStyle w:val="FootnoteText"/>
        <w:rPr>
          <w:lang w:val="en-ZA"/>
        </w:rPr>
      </w:pPr>
      <w:r>
        <w:rPr>
          <w:rStyle w:val="FootnoteReference"/>
        </w:rPr>
        <w:footnoteRef/>
      </w:r>
      <w:r>
        <w:t xml:space="preserve"> </w:t>
      </w:r>
      <w:r>
        <w:rPr>
          <w:lang w:val="en-ZA"/>
        </w:rPr>
        <w:t>Index, Annexure FA3, page 7.</w:t>
      </w:r>
    </w:p>
  </w:footnote>
  <w:footnote w:id="3">
    <w:p w14:paraId="1C80537C" w14:textId="77777777" w:rsidR="008B0A61" w:rsidRPr="006778DF" w:rsidRDefault="008B0A61">
      <w:pPr>
        <w:pStyle w:val="FootnoteText"/>
        <w:rPr>
          <w:i/>
          <w:lang w:val="en-ZA"/>
        </w:rPr>
      </w:pPr>
      <w:r>
        <w:rPr>
          <w:rStyle w:val="FootnoteReference"/>
        </w:rPr>
        <w:footnoteRef/>
      </w:r>
      <w:r>
        <w:t xml:space="preserve"> </w:t>
      </w:r>
      <w:r>
        <w:rPr>
          <w:lang w:val="en-ZA"/>
        </w:rPr>
        <w:t xml:space="preserve">Index, Founding Affidavit, para 15, page 13 </w:t>
      </w:r>
      <w:r>
        <w:rPr>
          <w:i/>
          <w:lang w:val="en-ZA"/>
        </w:rPr>
        <w:t>‘…alienating, encumbering or transferring in any way any assets, whether movable or immovable in the deceased estate of the late Eric David Simpson…and that assets shall thereafter be administered by the executor appointed by the [Master] in due course.’</w:t>
      </w:r>
    </w:p>
  </w:footnote>
  <w:footnote w:id="4">
    <w:p w14:paraId="020F887A" w14:textId="77777777" w:rsidR="008B0A61" w:rsidRPr="009B5B2A" w:rsidRDefault="008B0A61">
      <w:pPr>
        <w:pStyle w:val="FootnoteText"/>
        <w:rPr>
          <w:lang w:val="en-ZA"/>
        </w:rPr>
      </w:pPr>
      <w:r>
        <w:rPr>
          <w:rStyle w:val="FootnoteReference"/>
        </w:rPr>
        <w:footnoteRef/>
      </w:r>
      <w:r>
        <w:t xml:space="preserve"> </w:t>
      </w:r>
      <w:r>
        <w:rPr>
          <w:lang w:val="en-ZA"/>
        </w:rPr>
        <w:t>Index, Annexure FA5, page 34.</w:t>
      </w:r>
    </w:p>
  </w:footnote>
  <w:footnote w:id="5">
    <w:p w14:paraId="28F36E4A" w14:textId="77777777" w:rsidR="008B0A61" w:rsidRPr="0011452E" w:rsidRDefault="008B0A61">
      <w:pPr>
        <w:pStyle w:val="FootnoteText"/>
        <w:rPr>
          <w:lang w:val="en-ZA"/>
        </w:rPr>
      </w:pPr>
      <w:r>
        <w:rPr>
          <w:rStyle w:val="FootnoteReference"/>
        </w:rPr>
        <w:footnoteRef/>
      </w:r>
      <w:r>
        <w:t xml:space="preserve"> </w:t>
      </w:r>
      <w:r>
        <w:rPr>
          <w:lang w:val="en-ZA"/>
        </w:rPr>
        <w:t>Index, Annexure FA1, page 22.</w:t>
      </w:r>
    </w:p>
  </w:footnote>
  <w:footnote w:id="6">
    <w:p w14:paraId="1DDAC8AE" w14:textId="77777777" w:rsidR="008B0A61" w:rsidRPr="00AC15B4" w:rsidRDefault="008B0A61">
      <w:pPr>
        <w:pStyle w:val="FootnoteText"/>
        <w:rPr>
          <w:lang w:val="en-ZA"/>
        </w:rPr>
      </w:pPr>
      <w:r>
        <w:rPr>
          <w:rStyle w:val="FootnoteReference"/>
        </w:rPr>
        <w:footnoteRef/>
      </w:r>
      <w:r>
        <w:t xml:space="preserve"> </w:t>
      </w:r>
      <w:r>
        <w:rPr>
          <w:lang w:val="en-ZA"/>
        </w:rPr>
        <w:t>Index, Annexure FA6, page 14.</w:t>
      </w:r>
    </w:p>
  </w:footnote>
  <w:footnote w:id="7">
    <w:p w14:paraId="6D5183BD" w14:textId="77777777" w:rsidR="008B0A61" w:rsidRPr="00174773" w:rsidRDefault="008B0A61">
      <w:pPr>
        <w:pStyle w:val="FootnoteText"/>
        <w:rPr>
          <w:lang w:val="en-ZA"/>
        </w:rPr>
      </w:pPr>
      <w:r>
        <w:rPr>
          <w:rStyle w:val="FootnoteReference"/>
        </w:rPr>
        <w:footnoteRef/>
      </w:r>
      <w:r>
        <w:t xml:space="preserve"> Index, </w:t>
      </w:r>
      <w:r>
        <w:rPr>
          <w:lang w:val="en-ZA"/>
        </w:rPr>
        <w:t xml:space="preserve">Notice of Motion, pages 2 -3. </w:t>
      </w:r>
    </w:p>
  </w:footnote>
  <w:footnote w:id="8">
    <w:p w14:paraId="6B37E344" w14:textId="77777777" w:rsidR="008B0A61" w:rsidRPr="006A03C0" w:rsidRDefault="008B0A61">
      <w:pPr>
        <w:pStyle w:val="FootnoteText"/>
        <w:rPr>
          <w:lang w:val="en-ZA"/>
        </w:rPr>
      </w:pPr>
      <w:r>
        <w:rPr>
          <w:rStyle w:val="FootnoteReference"/>
        </w:rPr>
        <w:footnoteRef/>
      </w:r>
      <w:r>
        <w:t xml:space="preserve"> </w:t>
      </w:r>
      <w:r>
        <w:rPr>
          <w:lang w:val="en-ZA"/>
        </w:rPr>
        <w:t>Applicant’s Heads of Argument, para 12 – 13, page 5.</w:t>
      </w:r>
    </w:p>
  </w:footnote>
  <w:footnote w:id="9">
    <w:p w14:paraId="5A16A069" w14:textId="77777777" w:rsidR="008E2724" w:rsidRPr="006E2586" w:rsidRDefault="008E2724" w:rsidP="008E2724">
      <w:pPr>
        <w:pStyle w:val="FootnoteText"/>
        <w:rPr>
          <w:lang w:val="en-ZA"/>
        </w:rPr>
      </w:pPr>
      <w:r>
        <w:rPr>
          <w:rStyle w:val="FootnoteReference"/>
        </w:rPr>
        <w:footnoteRef/>
      </w:r>
      <w:r>
        <w:t xml:space="preserve"> </w:t>
      </w:r>
      <w:r>
        <w:rPr>
          <w:lang w:val="en-ZA"/>
        </w:rPr>
        <w:t>Filing Notice, Annexure BV3, page 88.</w:t>
      </w:r>
    </w:p>
  </w:footnote>
  <w:footnote w:id="10">
    <w:p w14:paraId="3114CDF6" w14:textId="77777777" w:rsidR="00D235EB" w:rsidRPr="00603D12" w:rsidRDefault="00D235EB" w:rsidP="00D235EB">
      <w:pPr>
        <w:pStyle w:val="FootnoteText"/>
        <w:rPr>
          <w:lang w:val="en-ZA"/>
        </w:rPr>
      </w:pPr>
      <w:r>
        <w:rPr>
          <w:rStyle w:val="FootnoteReference"/>
        </w:rPr>
        <w:footnoteRef/>
      </w:r>
      <w:r>
        <w:t xml:space="preserve"> </w:t>
      </w:r>
      <w:r>
        <w:rPr>
          <w:lang w:val="en-ZA"/>
        </w:rPr>
        <w:t>Applicant’s Replying Affidavit, paragraph 18.4 page 112.</w:t>
      </w:r>
    </w:p>
  </w:footnote>
  <w:footnote w:id="11">
    <w:p w14:paraId="062E2CD7" w14:textId="77777777" w:rsidR="008B0A61" w:rsidRPr="009D1170" w:rsidRDefault="008B0A61">
      <w:pPr>
        <w:pStyle w:val="FootnoteText"/>
        <w:rPr>
          <w:lang w:val="en-ZA"/>
        </w:rPr>
      </w:pPr>
      <w:r>
        <w:rPr>
          <w:rStyle w:val="FootnoteReference"/>
        </w:rPr>
        <w:footnoteRef/>
      </w:r>
      <w:r>
        <w:t xml:space="preserve"> </w:t>
      </w:r>
      <w:r>
        <w:rPr>
          <w:lang w:val="en-ZA"/>
        </w:rPr>
        <w:t>Index, FA6, page 35.</w:t>
      </w:r>
    </w:p>
  </w:footnote>
  <w:footnote w:id="12">
    <w:p w14:paraId="347AD8BF" w14:textId="77777777" w:rsidR="008B0A61" w:rsidRPr="00B03994" w:rsidRDefault="008B0A61">
      <w:pPr>
        <w:pStyle w:val="FootnoteText"/>
        <w:rPr>
          <w:lang w:val="en-ZA"/>
        </w:rPr>
      </w:pPr>
      <w:r>
        <w:rPr>
          <w:rStyle w:val="FootnoteReference"/>
        </w:rPr>
        <w:footnoteRef/>
      </w:r>
      <w:r>
        <w:t xml:space="preserve"> </w:t>
      </w:r>
      <w:r>
        <w:rPr>
          <w:lang w:val="en-ZA"/>
        </w:rPr>
        <w:t>Index, FA7, page 36.</w:t>
      </w:r>
    </w:p>
  </w:footnote>
  <w:footnote w:id="13">
    <w:p w14:paraId="67D9EA68" w14:textId="77777777" w:rsidR="008B0A61" w:rsidRDefault="008B0A61">
      <w:pPr>
        <w:pStyle w:val="FootnoteText"/>
        <w:rPr>
          <w:lang w:val="en-ZA"/>
        </w:rPr>
      </w:pPr>
      <w:r>
        <w:rPr>
          <w:rStyle w:val="FootnoteReference"/>
        </w:rPr>
        <w:footnoteRef/>
      </w:r>
      <w:r>
        <w:t xml:space="preserve"> Uniform </w:t>
      </w:r>
      <w:r>
        <w:rPr>
          <w:lang w:val="en-ZA"/>
        </w:rPr>
        <w:t>Rule 47.</w:t>
      </w:r>
    </w:p>
    <w:p w14:paraId="2E027B83" w14:textId="77777777" w:rsidR="008B0A61" w:rsidRPr="0067006D" w:rsidRDefault="008B0A61">
      <w:pPr>
        <w:pStyle w:val="FootnoteText"/>
        <w:rPr>
          <w:lang w:val="en-ZA"/>
        </w:rPr>
      </w:pPr>
    </w:p>
  </w:footnote>
  <w:footnote w:id="14">
    <w:p w14:paraId="1A290D0A" w14:textId="3D23740D" w:rsidR="00954F45" w:rsidRPr="00954F45" w:rsidRDefault="00954F45">
      <w:pPr>
        <w:pStyle w:val="FootnoteText"/>
        <w:rPr>
          <w:lang w:val="en-ZA"/>
        </w:rPr>
      </w:pPr>
      <w:r>
        <w:rPr>
          <w:rStyle w:val="FootnoteReference"/>
        </w:rPr>
        <w:footnoteRef/>
      </w:r>
      <w:r>
        <w:t xml:space="preserve"> </w:t>
      </w:r>
      <w:r>
        <w:rPr>
          <w:lang w:val="en-ZA"/>
        </w:rPr>
        <w:t>Index, FA6, page 35.</w:t>
      </w:r>
    </w:p>
  </w:footnote>
  <w:footnote w:id="15">
    <w:p w14:paraId="6EE53598" w14:textId="6C98246A" w:rsidR="00954F45" w:rsidRPr="00954F45" w:rsidRDefault="00954F45">
      <w:pPr>
        <w:pStyle w:val="FootnoteText"/>
        <w:rPr>
          <w:lang w:val="en-ZA"/>
        </w:rPr>
      </w:pPr>
      <w:r>
        <w:rPr>
          <w:rStyle w:val="FootnoteReference"/>
        </w:rPr>
        <w:footnoteRef/>
      </w:r>
      <w:r>
        <w:t xml:space="preserve"> </w:t>
      </w:r>
      <w:r>
        <w:rPr>
          <w:lang w:val="en-ZA"/>
        </w:rPr>
        <w:t>Index, FA5, page 34.</w:t>
      </w:r>
    </w:p>
  </w:footnote>
  <w:footnote w:id="16">
    <w:p w14:paraId="3049215D" w14:textId="77777777" w:rsidR="00161F8B" w:rsidRPr="00247D75" w:rsidRDefault="00161F8B" w:rsidP="00161F8B">
      <w:pPr>
        <w:pStyle w:val="FootnoteText"/>
        <w:rPr>
          <w:lang w:val="en-ZA"/>
        </w:rPr>
      </w:pPr>
      <w:r>
        <w:rPr>
          <w:rStyle w:val="FootnoteReference"/>
        </w:rPr>
        <w:footnoteRef/>
      </w:r>
      <w:r>
        <w:t xml:space="preserve"> </w:t>
      </w:r>
      <w:r>
        <w:rPr>
          <w:lang w:val="en-ZA"/>
        </w:rPr>
        <w:t>Index, Annexure FA1, page 22.</w:t>
      </w:r>
    </w:p>
  </w:footnote>
  <w:footnote w:id="17">
    <w:p w14:paraId="0091BF49" w14:textId="77777777" w:rsidR="00275AD9" w:rsidRPr="00275AD9" w:rsidRDefault="00275AD9">
      <w:pPr>
        <w:pStyle w:val="FootnoteText"/>
        <w:rPr>
          <w:lang w:val="en-ZA"/>
        </w:rPr>
      </w:pPr>
      <w:r>
        <w:rPr>
          <w:rStyle w:val="FootnoteReference"/>
        </w:rPr>
        <w:footnoteRef/>
      </w:r>
      <w:r>
        <w:t xml:space="preserve"> </w:t>
      </w:r>
      <w:r>
        <w:rPr>
          <w:lang w:val="en-ZA"/>
        </w:rPr>
        <w:t>Act No. 66 of 1965.</w:t>
      </w:r>
    </w:p>
  </w:footnote>
  <w:footnote w:id="18">
    <w:p w14:paraId="72640678" w14:textId="77777777" w:rsidR="00677CA1" w:rsidRPr="00677CA1" w:rsidRDefault="00677CA1">
      <w:pPr>
        <w:pStyle w:val="FootnoteText"/>
        <w:rPr>
          <w:lang w:val="en-ZA"/>
        </w:rPr>
      </w:pPr>
      <w:r>
        <w:rPr>
          <w:rStyle w:val="FootnoteReference"/>
        </w:rPr>
        <w:footnoteRef/>
      </w:r>
      <w:r>
        <w:t xml:space="preserve"> </w:t>
      </w:r>
      <w:r>
        <w:rPr>
          <w:lang w:val="en-ZA"/>
        </w:rPr>
        <w:t xml:space="preserve">[2022] </w:t>
      </w:r>
      <w:r w:rsidR="002F3C6D">
        <w:rPr>
          <w:lang w:val="en-ZA"/>
        </w:rPr>
        <w:t>5 BLLR 393 (CC).</w:t>
      </w:r>
    </w:p>
  </w:footnote>
  <w:footnote w:id="19">
    <w:p w14:paraId="02591738" w14:textId="77777777" w:rsidR="008B0A61" w:rsidRPr="008B0A61" w:rsidRDefault="008B0A61">
      <w:pPr>
        <w:pStyle w:val="FootnoteText"/>
        <w:rPr>
          <w:lang w:val="en-ZA"/>
        </w:rPr>
      </w:pPr>
      <w:r>
        <w:rPr>
          <w:rStyle w:val="FootnoteReference"/>
        </w:rPr>
        <w:footnoteRef/>
      </w:r>
      <w:r>
        <w:t xml:space="preserve"> </w:t>
      </w:r>
      <w:r>
        <w:rPr>
          <w:lang w:val="en-ZA"/>
        </w:rPr>
        <w:t>Filing Notice, Annexure BV1, page 80.</w:t>
      </w:r>
    </w:p>
  </w:footnote>
  <w:footnote w:id="20">
    <w:p w14:paraId="2EDC7478" w14:textId="77777777" w:rsidR="008B0A61" w:rsidRPr="008B0A61" w:rsidRDefault="008B0A61">
      <w:pPr>
        <w:pStyle w:val="FootnoteText"/>
        <w:rPr>
          <w:lang w:val="en-ZA"/>
        </w:rPr>
      </w:pPr>
      <w:r>
        <w:rPr>
          <w:rStyle w:val="FootnoteReference"/>
        </w:rPr>
        <w:footnoteRef/>
      </w:r>
      <w:r>
        <w:t xml:space="preserve"> </w:t>
      </w:r>
      <w:r>
        <w:rPr>
          <w:lang w:val="en-ZA"/>
        </w:rPr>
        <w:t>Filing Notice, Annexure BV3, page 88.</w:t>
      </w:r>
    </w:p>
  </w:footnote>
  <w:footnote w:id="21">
    <w:p w14:paraId="5A6CF11E" w14:textId="77777777" w:rsidR="008B0A61" w:rsidRPr="00874A69" w:rsidRDefault="008B0A61" w:rsidP="006B7FDD">
      <w:pPr>
        <w:pStyle w:val="FootnoteText"/>
        <w:rPr>
          <w:lang w:val="en-ZA"/>
        </w:rPr>
      </w:pPr>
      <w:r>
        <w:rPr>
          <w:rStyle w:val="FootnoteReference"/>
        </w:rPr>
        <w:footnoteRef/>
      </w:r>
      <w:r>
        <w:t xml:space="preserve"> </w:t>
      </w:r>
      <w:r>
        <w:rPr>
          <w:lang w:val="en-ZA"/>
        </w:rPr>
        <w:t>Act No. 66 of 1965.</w:t>
      </w:r>
    </w:p>
  </w:footnote>
  <w:footnote w:id="22">
    <w:p w14:paraId="206AEE5B" w14:textId="77777777" w:rsidR="00A33B24" w:rsidRPr="00BA352B" w:rsidRDefault="00A33B24" w:rsidP="00A33B24">
      <w:pPr>
        <w:pStyle w:val="FootnoteText"/>
        <w:rPr>
          <w:lang w:val="en-ZA"/>
        </w:rPr>
      </w:pPr>
      <w:r>
        <w:rPr>
          <w:rStyle w:val="FootnoteReference"/>
        </w:rPr>
        <w:footnoteRef/>
      </w:r>
      <w:r>
        <w:t xml:space="preserve"> Notice of Motion, Annexure FA14, page 46</w:t>
      </w:r>
    </w:p>
  </w:footnote>
  <w:footnote w:id="23">
    <w:p w14:paraId="4146E676" w14:textId="77777777" w:rsidR="00A33B24" w:rsidRPr="000F7C0A" w:rsidRDefault="00A33B24" w:rsidP="00A33B24">
      <w:pPr>
        <w:pStyle w:val="FootnoteText"/>
        <w:rPr>
          <w:lang w:val="en-ZA"/>
        </w:rPr>
      </w:pPr>
      <w:r>
        <w:rPr>
          <w:rStyle w:val="FootnoteReference"/>
        </w:rPr>
        <w:footnoteRef/>
      </w:r>
      <w:r>
        <w:t xml:space="preserve"> First and Second Respondents Opposing Affidavit, para 54, page 78.</w:t>
      </w:r>
    </w:p>
  </w:footnote>
  <w:footnote w:id="24">
    <w:p w14:paraId="580408B2" w14:textId="77777777" w:rsidR="00814F93" w:rsidRPr="00814F93" w:rsidRDefault="00814F93">
      <w:pPr>
        <w:pStyle w:val="FootnoteText"/>
        <w:rPr>
          <w:lang w:val="en-ZA"/>
        </w:rPr>
      </w:pPr>
      <w:r>
        <w:rPr>
          <w:rStyle w:val="FootnoteReference"/>
        </w:rPr>
        <w:footnoteRef/>
      </w:r>
      <w:r>
        <w:t xml:space="preserve"> Notice of Motion, Annexure FA11, page 41.</w:t>
      </w:r>
      <w:r w:rsidR="00254BA0">
        <w:t xml:space="preserve"> </w:t>
      </w:r>
    </w:p>
  </w:footnote>
  <w:footnote w:id="25">
    <w:p w14:paraId="2DCE679C" w14:textId="77777777" w:rsidR="00254BA0" w:rsidRPr="00254BA0" w:rsidRDefault="00254BA0" w:rsidP="00254BA0">
      <w:pPr>
        <w:pStyle w:val="FootnoteText"/>
        <w:rPr>
          <w:lang w:val="en-ZA"/>
        </w:rPr>
      </w:pPr>
      <w:r>
        <w:rPr>
          <w:rStyle w:val="FootnoteReference"/>
        </w:rPr>
        <w:footnoteRef/>
      </w:r>
      <w:r>
        <w:t xml:space="preserve"> Notice of Motion, Annexure FA12, page 44.</w:t>
      </w:r>
    </w:p>
  </w:footnote>
  <w:footnote w:id="26">
    <w:p w14:paraId="6269A86E" w14:textId="77777777" w:rsidR="00957749" w:rsidRPr="00957749" w:rsidRDefault="00957749">
      <w:pPr>
        <w:pStyle w:val="FootnoteText"/>
        <w:rPr>
          <w:lang w:val="en-ZA"/>
        </w:rPr>
      </w:pPr>
      <w:r>
        <w:rPr>
          <w:rStyle w:val="FootnoteReference"/>
        </w:rPr>
        <w:footnoteRef/>
      </w:r>
      <w:r>
        <w:t xml:space="preserve"> Notice of Motion, Annexure </w:t>
      </w:r>
      <w:r w:rsidR="00BA352B">
        <w:t>FA13</w:t>
      </w:r>
      <w:r>
        <w:t>, page 45.</w:t>
      </w:r>
    </w:p>
  </w:footnote>
  <w:footnote w:id="27">
    <w:p w14:paraId="0A6F7F39" w14:textId="77777777" w:rsidR="004940D8" w:rsidRPr="004940D8" w:rsidRDefault="004940D8">
      <w:pPr>
        <w:pStyle w:val="FootnoteText"/>
        <w:rPr>
          <w:i/>
          <w:lang w:val="en-ZA"/>
        </w:rPr>
      </w:pPr>
      <w:r>
        <w:rPr>
          <w:rStyle w:val="FootnoteReference"/>
        </w:rPr>
        <w:footnoteRef/>
      </w:r>
      <w:r>
        <w:t xml:space="preserve"> </w:t>
      </w:r>
      <w:r>
        <w:rPr>
          <w:i/>
          <w:lang w:val="en-ZA"/>
        </w:rPr>
        <w:t>‘4. That the Respondents are interdicted and restrained from preventing or otherwise hampering or hindering the Applicant in the exercise of her rights to market and sell the property in terms of the aforementioned Court orders.’</w:t>
      </w:r>
    </w:p>
  </w:footnote>
  <w:footnote w:id="28">
    <w:p w14:paraId="72705976" w14:textId="047A518F" w:rsidR="00A61726" w:rsidRPr="009C6886" w:rsidRDefault="00A61726" w:rsidP="00A61726">
      <w:pPr>
        <w:pStyle w:val="FootnoteText"/>
        <w:rPr>
          <w:lang w:val="en-ZA"/>
        </w:rPr>
      </w:pPr>
      <w:r>
        <w:rPr>
          <w:rStyle w:val="FootnoteReference"/>
        </w:rPr>
        <w:footnoteRef/>
      </w:r>
      <w:r>
        <w:t xml:space="preserve"> </w:t>
      </w:r>
      <w:r>
        <w:rPr>
          <w:lang w:val="en-ZA"/>
        </w:rPr>
        <w:t xml:space="preserve">Paras 9-10 of the </w:t>
      </w:r>
      <w:proofErr w:type="spellStart"/>
      <w:r>
        <w:rPr>
          <w:lang w:val="en-ZA"/>
        </w:rPr>
        <w:t>Thulare</w:t>
      </w:r>
      <w:proofErr w:type="spellEnd"/>
      <w:r>
        <w:rPr>
          <w:lang w:val="en-ZA"/>
        </w:rPr>
        <w:t xml:space="preserve"> Judgment, Annexure FA3, page 27.</w:t>
      </w:r>
    </w:p>
  </w:footnote>
  <w:footnote w:id="29">
    <w:p w14:paraId="5B250711" w14:textId="77777777" w:rsidR="007850DD" w:rsidRPr="007850DD" w:rsidRDefault="007850DD">
      <w:pPr>
        <w:pStyle w:val="FootnoteText"/>
        <w:rPr>
          <w:lang w:val="en-ZA"/>
        </w:rPr>
      </w:pPr>
      <w:r>
        <w:rPr>
          <w:rStyle w:val="FootnoteReference"/>
        </w:rPr>
        <w:footnoteRef/>
      </w:r>
      <w:r>
        <w:t xml:space="preserve"> </w:t>
      </w:r>
      <w:r>
        <w:rPr>
          <w:lang w:val="en-ZA"/>
        </w:rPr>
        <w:t>1929 CPD 535.</w:t>
      </w:r>
    </w:p>
  </w:footnote>
  <w:footnote w:id="30">
    <w:p w14:paraId="368CF31D" w14:textId="77777777" w:rsidR="007850DD" w:rsidRPr="007850DD" w:rsidRDefault="007850DD">
      <w:pPr>
        <w:pStyle w:val="FootnoteText"/>
        <w:rPr>
          <w:lang w:val="en-ZA"/>
        </w:rPr>
      </w:pPr>
      <w:r>
        <w:rPr>
          <w:rStyle w:val="FootnoteReference"/>
        </w:rPr>
        <w:footnoteRef/>
      </w:r>
      <w:r>
        <w:t xml:space="preserve"> </w:t>
      </w:r>
      <w:r w:rsidR="00AF5FA0">
        <w:rPr>
          <w:lang w:val="en-ZA"/>
        </w:rPr>
        <w:t>1997 (1) SA 157 (A) at 177E-F.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0080" w14:textId="77777777" w:rsidR="00F02C6F" w:rsidRDefault="00F02C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A293" w14:textId="77777777" w:rsidR="00F02C6F" w:rsidRDefault="00F02C6F" w:rsidP="00F02C6F">
    <w:pPr>
      <w:pStyle w:val="Header"/>
      <w:jc w:val="right"/>
      <w:rPr>
        <w:b/>
        <w:sz w:val="28"/>
      </w:rPr>
    </w:pPr>
    <w:r>
      <w:rPr>
        <w:b/>
        <w:sz w:val="28"/>
      </w:rPr>
      <w:t>REPORTABLE</w:t>
    </w:r>
  </w:p>
  <w:p w14:paraId="7356A860" w14:textId="77777777" w:rsidR="00F02C6F" w:rsidRDefault="00F02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F863" w14:textId="77777777" w:rsidR="00F02C6F" w:rsidRDefault="00F02C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6F17"/>
    <w:multiLevelType w:val="hybridMultilevel"/>
    <w:tmpl w:val="2C94B3E2"/>
    <w:lvl w:ilvl="0" w:tplc="A6128E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5804ED"/>
    <w:multiLevelType w:val="hybridMultilevel"/>
    <w:tmpl w:val="DE285900"/>
    <w:lvl w:ilvl="0" w:tplc="CDBC561C">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2D77F2"/>
    <w:multiLevelType w:val="hybridMultilevel"/>
    <w:tmpl w:val="E048C7F4"/>
    <w:lvl w:ilvl="0" w:tplc="6FC2BD84">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5D5BE9"/>
    <w:multiLevelType w:val="multilevel"/>
    <w:tmpl w:val="88B2C03E"/>
    <w:lvl w:ilvl="0">
      <w:start w:val="1"/>
      <w:numFmt w:val="decimal"/>
      <w:isLgl/>
      <w:lvlText w:val="[%1]     "/>
      <w:lvlJc w:val="left"/>
      <w:pPr>
        <w:tabs>
          <w:tab w:val="num" w:pos="567"/>
        </w:tabs>
        <w:ind w:left="0" w:firstLine="0"/>
      </w:pPr>
      <w:rPr>
        <w:rFonts w:ascii="Arial" w:hAnsi="Arial" w:cs="Arial" w:hint="default"/>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A7E6F48"/>
    <w:multiLevelType w:val="hybridMultilevel"/>
    <w:tmpl w:val="F06E49E2"/>
    <w:lvl w:ilvl="0" w:tplc="76E4AD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0A15F43"/>
    <w:multiLevelType w:val="hybridMultilevel"/>
    <w:tmpl w:val="3F08AB56"/>
    <w:lvl w:ilvl="0" w:tplc="7492701C">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3B61767"/>
    <w:multiLevelType w:val="hybridMultilevel"/>
    <w:tmpl w:val="DC845B12"/>
    <w:lvl w:ilvl="0" w:tplc="39D4FA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5212B3"/>
    <w:multiLevelType w:val="hybridMultilevel"/>
    <w:tmpl w:val="1B201594"/>
    <w:lvl w:ilvl="0" w:tplc="D69CBE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6A952E6"/>
    <w:multiLevelType w:val="hybridMultilevel"/>
    <w:tmpl w:val="F0327740"/>
    <w:lvl w:ilvl="0" w:tplc="433A8D02">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0B67FCC"/>
    <w:multiLevelType w:val="hybridMultilevel"/>
    <w:tmpl w:val="416E73B0"/>
    <w:lvl w:ilvl="0" w:tplc="8F2AE4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CBE7E7B"/>
    <w:multiLevelType w:val="multilevel"/>
    <w:tmpl w:val="ECF2AC9A"/>
    <w:lvl w:ilvl="0">
      <w:start w:val="1"/>
      <w:numFmt w:val="decimal"/>
      <w:lvlText w:val="%1"/>
      <w:lvlJc w:val="left"/>
      <w:pPr>
        <w:ind w:left="430" w:hanging="430"/>
      </w:pPr>
      <w:rPr>
        <w:rFonts w:hint="default"/>
      </w:rPr>
    </w:lvl>
    <w:lvl w:ilvl="1">
      <w:start w:val="1"/>
      <w:numFmt w:val="decimal"/>
      <w:lvlText w:val="%1.%2"/>
      <w:lvlJc w:val="left"/>
      <w:pPr>
        <w:ind w:left="1438" w:hanging="43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504" w:hanging="1440"/>
      </w:pPr>
      <w:rPr>
        <w:rFonts w:hint="default"/>
      </w:rPr>
    </w:lvl>
  </w:abstractNum>
  <w:abstractNum w:abstractNumId="11" w15:restartNumberingAfterBreak="0">
    <w:nsid w:val="6FF00797"/>
    <w:multiLevelType w:val="hybridMultilevel"/>
    <w:tmpl w:val="3FECBC20"/>
    <w:lvl w:ilvl="0" w:tplc="F0E6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2"/>
  </w:num>
  <w:num w:numId="5">
    <w:abstractNumId w:val="6"/>
  </w:num>
  <w:num w:numId="6">
    <w:abstractNumId w:val="4"/>
  </w:num>
  <w:num w:numId="7">
    <w:abstractNumId w:val="1"/>
  </w:num>
  <w:num w:numId="8">
    <w:abstractNumId w:val="11"/>
  </w:num>
  <w:num w:numId="9">
    <w:abstractNumId w:val="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A3"/>
    <w:rsid w:val="00001A73"/>
    <w:rsid w:val="0000338E"/>
    <w:rsid w:val="0000447B"/>
    <w:rsid w:val="0000675E"/>
    <w:rsid w:val="00014E96"/>
    <w:rsid w:val="00017B93"/>
    <w:rsid w:val="00032C3F"/>
    <w:rsid w:val="00046D78"/>
    <w:rsid w:val="00050DF6"/>
    <w:rsid w:val="000571BE"/>
    <w:rsid w:val="00062E84"/>
    <w:rsid w:val="00063AEB"/>
    <w:rsid w:val="0006417E"/>
    <w:rsid w:val="000B290D"/>
    <w:rsid w:val="000B3443"/>
    <w:rsid w:val="000B463F"/>
    <w:rsid w:val="000B57A3"/>
    <w:rsid w:val="000B6C7C"/>
    <w:rsid w:val="000B6FA8"/>
    <w:rsid w:val="000C08EB"/>
    <w:rsid w:val="000D2937"/>
    <w:rsid w:val="000D3740"/>
    <w:rsid w:val="000D43FE"/>
    <w:rsid w:val="000D5471"/>
    <w:rsid w:val="000E4F96"/>
    <w:rsid w:val="000E50C7"/>
    <w:rsid w:val="000F07BD"/>
    <w:rsid w:val="000F7C0A"/>
    <w:rsid w:val="0011452E"/>
    <w:rsid w:val="00120689"/>
    <w:rsid w:val="00130DB5"/>
    <w:rsid w:val="00132AAA"/>
    <w:rsid w:val="00140FD6"/>
    <w:rsid w:val="00143FB2"/>
    <w:rsid w:val="001552DE"/>
    <w:rsid w:val="00156A74"/>
    <w:rsid w:val="00157BCB"/>
    <w:rsid w:val="00161F8B"/>
    <w:rsid w:val="00167FF0"/>
    <w:rsid w:val="00172F3E"/>
    <w:rsid w:val="00174773"/>
    <w:rsid w:val="0017557E"/>
    <w:rsid w:val="0019133D"/>
    <w:rsid w:val="001A00F8"/>
    <w:rsid w:val="001A6EB3"/>
    <w:rsid w:val="001B1820"/>
    <w:rsid w:val="001B392F"/>
    <w:rsid w:val="001B7123"/>
    <w:rsid w:val="001C0D3F"/>
    <w:rsid w:val="001C1025"/>
    <w:rsid w:val="001C5974"/>
    <w:rsid w:val="001E061D"/>
    <w:rsid w:val="001E76D5"/>
    <w:rsid w:val="001F238B"/>
    <w:rsid w:val="001F679A"/>
    <w:rsid w:val="001F6D16"/>
    <w:rsid w:val="00201502"/>
    <w:rsid w:val="00202FCE"/>
    <w:rsid w:val="00205FD0"/>
    <w:rsid w:val="002104DF"/>
    <w:rsid w:val="002221E0"/>
    <w:rsid w:val="0023490E"/>
    <w:rsid w:val="00247D75"/>
    <w:rsid w:val="002506FA"/>
    <w:rsid w:val="00254BA0"/>
    <w:rsid w:val="00256F34"/>
    <w:rsid w:val="00260D2B"/>
    <w:rsid w:val="00261F87"/>
    <w:rsid w:val="0026653D"/>
    <w:rsid w:val="00274F76"/>
    <w:rsid w:val="002752F1"/>
    <w:rsid w:val="00275AD9"/>
    <w:rsid w:val="00280336"/>
    <w:rsid w:val="00285BD1"/>
    <w:rsid w:val="00290FF9"/>
    <w:rsid w:val="0029173D"/>
    <w:rsid w:val="00292F2A"/>
    <w:rsid w:val="002934CF"/>
    <w:rsid w:val="002C3085"/>
    <w:rsid w:val="002C37F0"/>
    <w:rsid w:val="002C5208"/>
    <w:rsid w:val="002C6F7A"/>
    <w:rsid w:val="002E2E9C"/>
    <w:rsid w:val="002F2857"/>
    <w:rsid w:val="002F3BA4"/>
    <w:rsid w:val="002F3C6D"/>
    <w:rsid w:val="002F5120"/>
    <w:rsid w:val="00323ADA"/>
    <w:rsid w:val="00332A1A"/>
    <w:rsid w:val="003370DC"/>
    <w:rsid w:val="00341BEF"/>
    <w:rsid w:val="00346E94"/>
    <w:rsid w:val="003500BB"/>
    <w:rsid w:val="003532C3"/>
    <w:rsid w:val="00353A7E"/>
    <w:rsid w:val="003639F1"/>
    <w:rsid w:val="0036560E"/>
    <w:rsid w:val="00381BF5"/>
    <w:rsid w:val="00387A42"/>
    <w:rsid w:val="00390251"/>
    <w:rsid w:val="003A0C01"/>
    <w:rsid w:val="003A2DB9"/>
    <w:rsid w:val="003B3918"/>
    <w:rsid w:val="003B4322"/>
    <w:rsid w:val="003B61BA"/>
    <w:rsid w:val="003C7CE4"/>
    <w:rsid w:val="003E40FE"/>
    <w:rsid w:val="003E4215"/>
    <w:rsid w:val="003E49B4"/>
    <w:rsid w:val="003E5392"/>
    <w:rsid w:val="003F21D2"/>
    <w:rsid w:val="003F7730"/>
    <w:rsid w:val="004002F0"/>
    <w:rsid w:val="004065BF"/>
    <w:rsid w:val="00427058"/>
    <w:rsid w:val="00431119"/>
    <w:rsid w:val="0043454D"/>
    <w:rsid w:val="00461268"/>
    <w:rsid w:val="004654F1"/>
    <w:rsid w:val="00467766"/>
    <w:rsid w:val="00472A3C"/>
    <w:rsid w:val="00486968"/>
    <w:rsid w:val="00490B16"/>
    <w:rsid w:val="00492996"/>
    <w:rsid w:val="004931E8"/>
    <w:rsid w:val="004940D8"/>
    <w:rsid w:val="004B16E8"/>
    <w:rsid w:val="004C1D17"/>
    <w:rsid w:val="004C2A8A"/>
    <w:rsid w:val="004C35D4"/>
    <w:rsid w:val="004C7455"/>
    <w:rsid w:val="004C77F2"/>
    <w:rsid w:val="004D7BCE"/>
    <w:rsid w:val="004E1342"/>
    <w:rsid w:val="004F00C6"/>
    <w:rsid w:val="004F6878"/>
    <w:rsid w:val="005107BD"/>
    <w:rsid w:val="005225F4"/>
    <w:rsid w:val="005252B4"/>
    <w:rsid w:val="0053176C"/>
    <w:rsid w:val="00534228"/>
    <w:rsid w:val="005404A2"/>
    <w:rsid w:val="00541B78"/>
    <w:rsid w:val="00544F24"/>
    <w:rsid w:val="00555705"/>
    <w:rsid w:val="00565FED"/>
    <w:rsid w:val="00584D73"/>
    <w:rsid w:val="005941E2"/>
    <w:rsid w:val="005969C6"/>
    <w:rsid w:val="00596CCB"/>
    <w:rsid w:val="005A1469"/>
    <w:rsid w:val="005A3A03"/>
    <w:rsid w:val="005A6204"/>
    <w:rsid w:val="005B2AA3"/>
    <w:rsid w:val="005C4A1E"/>
    <w:rsid w:val="005C709A"/>
    <w:rsid w:val="005D5039"/>
    <w:rsid w:val="005E6E8D"/>
    <w:rsid w:val="005F62F6"/>
    <w:rsid w:val="005F674A"/>
    <w:rsid w:val="00601D2E"/>
    <w:rsid w:val="00603D12"/>
    <w:rsid w:val="006162F8"/>
    <w:rsid w:val="006175C1"/>
    <w:rsid w:val="00622270"/>
    <w:rsid w:val="0062578D"/>
    <w:rsid w:val="00630199"/>
    <w:rsid w:val="00632DDB"/>
    <w:rsid w:val="00633323"/>
    <w:rsid w:val="00640307"/>
    <w:rsid w:val="00642315"/>
    <w:rsid w:val="006514D6"/>
    <w:rsid w:val="0067006D"/>
    <w:rsid w:val="00672336"/>
    <w:rsid w:val="00675865"/>
    <w:rsid w:val="0067692A"/>
    <w:rsid w:val="006778DF"/>
    <w:rsid w:val="00677CA1"/>
    <w:rsid w:val="0068192C"/>
    <w:rsid w:val="006913B8"/>
    <w:rsid w:val="006929B0"/>
    <w:rsid w:val="00694C02"/>
    <w:rsid w:val="00695575"/>
    <w:rsid w:val="0069687F"/>
    <w:rsid w:val="00697F6C"/>
    <w:rsid w:val="006A03C0"/>
    <w:rsid w:val="006A3DB5"/>
    <w:rsid w:val="006A6690"/>
    <w:rsid w:val="006A7276"/>
    <w:rsid w:val="006B553A"/>
    <w:rsid w:val="006B7FDD"/>
    <w:rsid w:val="006C03AB"/>
    <w:rsid w:val="006C72BC"/>
    <w:rsid w:val="006D2C44"/>
    <w:rsid w:val="006E2586"/>
    <w:rsid w:val="006E33A8"/>
    <w:rsid w:val="006E3EAA"/>
    <w:rsid w:val="006E6A98"/>
    <w:rsid w:val="00703F7C"/>
    <w:rsid w:val="007059B9"/>
    <w:rsid w:val="007059D6"/>
    <w:rsid w:val="0070629C"/>
    <w:rsid w:val="00706AD2"/>
    <w:rsid w:val="00711AB3"/>
    <w:rsid w:val="007249E5"/>
    <w:rsid w:val="00735EB3"/>
    <w:rsid w:val="0074035C"/>
    <w:rsid w:val="00740F82"/>
    <w:rsid w:val="00742453"/>
    <w:rsid w:val="00757203"/>
    <w:rsid w:val="00760E07"/>
    <w:rsid w:val="0077393F"/>
    <w:rsid w:val="00773E6F"/>
    <w:rsid w:val="007748EB"/>
    <w:rsid w:val="00774FBF"/>
    <w:rsid w:val="007757CA"/>
    <w:rsid w:val="007850DD"/>
    <w:rsid w:val="00786061"/>
    <w:rsid w:val="00787538"/>
    <w:rsid w:val="00787F8E"/>
    <w:rsid w:val="007926EF"/>
    <w:rsid w:val="007932F6"/>
    <w:rsid w:val="007A477F"/>
    <w:rsid w:val="007B0049"/>
    <w:rsid w:val="007B1D4A"/>
    <w:rsid w:val="007C3CF4"/>
    <w:rsid w:val="007D34C1"/>
    <w:rsid w:val="007D3A46"/>
    <w:rsid w:val="007D514D"/>
    <w:rsid w:val="007D6D23"/>
    <w:rsid w:val="007E2E38"/>
    <w:rsid w:val="007E5EAB"/>
    <w:rsid w:val="008003B4"/>
    <w:rsid w:val="008059ED"/>
    <w:rsid w:val="00812EC9"/>
    <w:rsid w:val="00814F93"/>
    <w:rsid w:val="008255CF"/>
    <w:rsid w:val="00846F41"/>
    <w:rsid w:val="0085090F"/>
    <w:rsid w:val="00851C49"/>
    <w:rsid w:val="00857998"/>
    <w:rsid w:val="00861937"/>
    <w:rsid w:val="00863699"/>
    <w:rsid w:val="008715B9"/>
    <w:rsid w:val="0087161E"/>
    <w:rsid w:val="00874A69"/>
    <w:rsid w:val="00881F61"/>
    <w:rsid w:val="00882E56"/>
    <w:rsid w:val="00890761"/>
    <w:rsid w:val="008A01D2"/>
    <w:rsid w:val="008B0A61"/>
    <w:rsid w:val="008B644F"/>
    <w:rsid w:val="008C2B4D"/>
    <w:rsid w:val="008C3774"/>
    <w:rsid w:val="008C3A7B"/>
    <w:rsid w:val="008C7F08"/>
    <w:rsid w:val="008D7CF0"/>
    <w:rsid w:val="008E0F30"/>
    <w:rsid w:val="008E13A9"/>
    <w:rsid w:val="008E2724"/>
    <w:rsid w:val="008E35BD"/>
    <w:rsid w:val="008F5CFE"/>
    <w:rsid w:val="00900652"/>
    <w:rsid w:val="009070C7"/>
    <w:rsid w:val="0091740B"/>
    <w:rsid w:val="00932419"/>
    <w:rsid w:val="0093375A"/>
    <w:rsid w:val="00944772"/>
    <w:rsid w:val="00945161"/>
    <w:rsid w:val="00947D44"/>
    <w:rsid w:val="00954F45"/>
    <w:rsid w:val="00957749"/>
    <w:rsid w:val="00962E9E"/>
    <w:rsid w:val="00965CFE"/>
    <w:rsid w:val="0097009D"/>
    <w:rsid w:val="00976D11"/>
    <w:rsid w:val="009818C1"/>
    <w:rsid w:val="00990F0E"/>
    <w:rsid w:val="00992FD9"/>
    <w:rsid w:val="009A5C9A"/>
    <w:rsid w:val="009A67DA"/>
    <w:rsid w:val="009B54D5"/>
    <w:rsid w:val="009B5B2A"/>
    <w:rsid w:val="009C28A4"/>
    <w:rsid w:val="009C2FF8"/>
    <w:rsid w:val="009C6886"/>
    <w:rsid w:val="009D1170"/>
    <w:rsid w:val="009E41CE"/>
    <w:rsid w:val="009F3B35"/>
    <w:rsid w:val="00A05BE7"/>
    <w:rsid w:val="00A07700"/>
    <w:rsid w:val="00A23C22"/>
    <w:rsid w:val="00A26073"/>
    <w:rsid w:val="00A329EE"/>
    <w:rsid w:val="00A33B24"/>
    <w:rsid w:val="00A349AF"/>
    <w:rsid w:val="00A37179"/>
    <w:rsid w:val="00A56239"/>
    <w:rsid w:val="00A5672A"/>
    <w:rsid w:val="00A61726"/>
    <w:rsid w:val="00A61F35"/>
    <w:rsid w:val="00A64171"/>
    <w:rsid w:val="00A661B9"/>
    <w:rsid w:val="00A66965"/>
    <w:rsid w:val="00A715B7"/>
    <w:rsid w:val="00A734F8"/>
    <w:rsid w:val="00A75A5B"/>
    <w:rsid w:val="00A876C3"/>
    <w:rsid w:val="00A976E2"/>
    <w:rsid w:val="00AA15E0"/>
    <w:rsid w:val="00AA176C"/>
    <w:rsid w:val="00AB245F"/>
    <w:rsid w:val="00AC0619"/>
    <w:rsid w:val="00AC15B4"/>
    <w:rsid w:val="00AC7E25"/>
    <w:rsid w:val="00AD140E"/>
    <w:rsid w:val="00AD1B0B"/>
    <w:rsid w:val="00AE20A9"/>
    <w:rsid w:val="00AE21D9"/>
    <w:rsid w:val="00AE36EA"/>
    <w:rsid w:val="00AF2CA8"/>
    <w:rsid w:val="00AF5FA0"/>
    <w:rsid w:val="00AF769D"/>
    <w:rsid w:val="00B03994"/>
    <w:rsid w:val="00B15985"/>
    <w:rsid w:val="00B56C55"/>
    <w:rsid w:val="00B63614"/>
    <w:rsid w:val="00B74C78"/>
    <w:rsid w:val="00B74EDE"/>
    <w:rsid w:val="00B95ED8"/>
    <w:rsid w:val="00BA2FB2"/>
    <w:rsid w:val="00BA352B"/>
    <w:rsid w:val="00BA7CD6"/>
    <w:rsid w:val="00BB302B"/>
    <w:rsid w:val="00BC7FCE"/>
    <w:rsid w:val="00BC7FDD"/>
    <w:rsid w:val="00BD481A"/>
    <w:rsid w:val="00BE4842"/>
    <w:rsid w:val="00BF1DA6"/>
    <w:rsid w:val="00BF3163"/>
    <w:rsid w:val="00BF3DB5"/>
    <w:rsid w:val="00BF5107"/>
    <w:rsid w:val="00BF5EA2"/>
    <w:rsid w:val="00BF6394"/>
    <w:rsid w:val="00C135BF"/>
    <w:rsid w:val="00C215F8"/>
    <w:rsid w:val="00C26DE1"/>
    <w:rsid w:val="00C40B12"/>
    <w:rsid w:val="00C40D8A"/>
    <w:rsid w:val="00C44FC8"/>
    <w:rsid w:val="00C53830"/>
    <w:rsid w:val="00C56A59"/>
    <w:rsid w:val="00C639B3"/>
    <w:rsid w:val="00C747DD"/>
    <w:rsid w:val="00C76072"/>
    <w:rsid w:val="00C77A2E"/>
    <w:rsid w:val="00C80D9F"/>
    <w:rsid w:val="00C8380F"/>
    <w:rsid w:val="00C838F2"/>
    <w:rsid w:val="00C83C71"/>
    <w:rsid w:val="00CA064D"/>
    <w:rsid w:val="00CA6AB2"/>
    <w:rsid w:val="00CB5E9E"/>
    <w:rsid w:val="00CC05BA"/>
    <w:rsid w:val="00CE4F86"/>
    <w:rsid w:val="00CE62E4"/>
    <w:rsid w:val="00CE6319"/>
    <w:rsid w:val="00CE789C"/>
    <w:rsid w:val="00CF2470"/>
    <w:rsid w:val="00D065BA"/>
    <w:rsid w:val="00D0695B"/>
    <w:rsid w:val="00D07588"/>
    <w:rsid w:val="00D11CF4"/>
    <w:rsid w:val="00D11E39"/>
    <w:rsid w:val="00D13125"/>
    <w:rsid w:val="00D235EB"/>
    <w:rsid w:val="00D30474"/>
    <w:rsid w:val="00D32176"/>
    <w:rsid w:val="00D40DE3"/>
    <w:rsid w:val="00D43F5D"/>
    <w:rsid w:val="00D45D4D"/>
    <w:rsid w:val="00D500E9"/>
    <w:rsid w:val="00D5454F"/>
    <w:rsid w:val="00D57B19"/>
    <w:rsid w:val="00D62F4B"/>
    <w:rsid w:val="00D7020B"/>
    <w:rsid w:val="00D762C5"/>
    <w:rsid w:val="00D809DE"/>
    <w:rsid w:val="00D85F6D"/>
    <w:rsid w:val="00D8613F"/>
    <w:rsid w:val="00D94394"/>
    <w:rsid w:val="00D95009"/>
    <w:rsid w:val="00DA06EA"/>
    <w:rsid w:val="00DA19B3"/>
    <w:rsid w:val="00DA4041"/>
    <w:rsid w:val="00DB2310"/>
    <w:rsid w:val="00DB734B"/>
    <w:rsid w:val="00DB7F49"/>
    <w:rsid w:val="00DC18D1"/>
    <w:rsid w:val="00DD094A"/>
    <w:rsid w:val="00DD4687"/>
    <w:rsid w:val="00DD5321"/>
    <w:rsid w:val="00DD56FF"/>
    <w:rsid w:val="00DE6D9E"/>
    <w:rsid w:val="00E00B42"/>
    <w:rsid w:val="00E01090"/>
    <w:rsid w:val="00E12F54"/>
    <w:rsid w:val="00E13FA8"/>
    <w:rsid w:val="00E16A57"/>
    <w:rsid w:val="00E22745"/>
    <w:rsid w:val="00E33806"/>
    <w:rsid w:val="00E50AA0"/>
    <w:rsid w:val="00E50FF3"/>
    <w:rsid w:val="00E52157"/>
    <w:rsid w:val="00E569A3"/>
    <w:rsid w:val="00E64395"/>
    <w:rsid w:val="00E6667B"/>
    <w:rsid w:val="00E73605"/>
    <w:rsid w:val="00E7461B"/>
    <w:rsid w:val="00E91990"/>
    <w:rsid w:val="00E91A5D"/>
    <w:rsid w:val="00E94C15"/>
    <w:rsid w:val="00E96AD5"/>
    <w:rsid w:val="00E97108"/>
    <w:rsid w:val="00EA0AA2"/>
    <w:rsid w:val="00EA7CA6"/>
    <w:rsid w:val="00EB1D3D"/>
    <w:rsid w:val="00EB439D"/>
    <w:rsid w:val="00EC2C93"/>
    <w:rsid w:val="00ED2E63"/>
    <w:rsid w:val="00EE5872"/>
    <w:rsid w:val="00EE63B8"/>
    <w:rsid w:val="00EE7DB5"/>
    <w:rsid w:val="00EF763B"/>
    <w:rsid w:val="00F02083"/>
    <w:rsid w:val="00F02C6F"/>
    <w:rsid w:val="00F147C3"/>
    <w:rsid w:val="00F17ABB"/>
    <w:rsid w:val="00F231E6"/>
    <w:rsid w:val="00F23E44"/>
    <w:rsid w:val="00F24911"/>
    <w:rsid w:val="00F35019"/>
    <w:rsid w:val="00F36AE8"/>
    <w:rsid w:val="00F36DF0"/>
    <w:rsid w:val="00F44349"/>
    <w:rsid w:val="00F52A20"/>
    <w:rsid w:val="00F55D17"/>
    <w:rsid w:val="00F67227"/>
    <w:rsid w:val="00F70001"/>
    <w:rsid w:val="00F81931"/>
    <w:rsid w:val="00F86167"/>
    <w:rsid w:val="00F86564"/>
    <w:rsid w:val="00F92AD4"/>
    <w:rsid w:val="00FA57C2"/>
    <w:rsid w:val="00FB3C13"/>
    <w:rsid w:val="00FC59F5"/>
    <w:rsid w:val="00FD5843"/>
    <w:rsid w:val="00FE4983"/>
    <w:rsid w:val="00FE53D6"/>
    <w:rsid w:val="00FF0378"/>
    <w:rsid w:val="00FF0BA9"/>
    <w:rsid w:val="00FF2E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C0F0"/>
  <w15:chartTrackingRefBased/>
  <w15:docId w15:val="{0F1EE00D-0B2D-4472-BA0C-336D8DAD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A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A3"/>
    <w:pPr>
      <w:ind w:left="720"/>
      <w:contextualSpacing/>
    </w:pPr>
    <w:rPr>
      <w:lang w:val="en-ZA"/>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5B2AA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5B2AA3"/>
    <w:rPr>
      <w:sz w:val="20"/>
      <w:szCs w:val="20"/>
      <w:lang w:val="en-US"/>
    </w:rPr>
  </w:style>
  <w:style w:type="character" w:styleId="FootnoteReference">
    <w:name w:val="footnote reference"/>
    <w:aliases w:val="Footnote Reference + Superscript,Footnotes refss,Appel note de bas de page,Ref,de nota al pie,註腳內容,(NECG) Footnote Reference,fr,Footnote Reference Superscript,Footnote Reference in text,Footnote symbol,Style 12"/>
    <w:basedOn w:val="DefaultParagraphFont"/>
    <w:uiPriority w:val="99"/>
    <w:unhideWhenUsed/>
    <w:qFormat/>
    <w:rsid w:val="005B2AA3"/>
    <w:rPr>
      <w:vertAlign w:val="superscript"/>
    </w:rPr>
  </w:style>
  <w:style w:type="paragraph" w:styleId="Header">
    <w:name w:val="header"/>
    <w:basedOn w:val="Normal"/>
    <w:link w:val="HeaderChar"/>
    <w:uiPriority w:val="99"/>
    <w:unhideWhenUsed/>
    <w:rsid w:val="001E7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6D5"/>
    <w:rPr>
      <w:lang w:val="en-US"/>
    </w:rPr>
  </w:style>
  <w:style w:type="paragraph" w:styleId="Footer">
    <w:name w:val="footer"/>
    <w:basedOn w:val="Normal"/>
    <w:link w:val="FooterChar"/>
    <w:uiPriority w:val="99"/>
    <w:unhideWhenUsed/>
    <w:rsid w:val="001E7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6D5"/>
    <w:rPr>
      <w:lang w:val="en-US"/>
    </w:rPr>
  </w:style>
  <w:style w:type="paragraph" w:customStyle="1" w:styleId="Default">
    <w:name w:val="Default"/>
    <w:rsid w:val="00B0399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2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73"/>
    <w:rPr>
      <w:rFonts w:ascii="Segoe UI" w:hAnsi="Segoe UI" w:cs="Segoe UI"/>
      <w:sz w:val="18"/>
      <w:szCs w:val="18"/>
      <w:lang w:val="en-US"/>
    </w:rPr>
  </w:style>
  <w:style w:type="character" w:styleId="CommentReference">
    <w:name w:val="annotation reference"/>
    <w:basedOn w:val="DefaultParagraphFont"/>
    <w:uiPriority w:val="99"/>
    <w:semiHidden/>
    <w:unhideWhenUsed/>
    <w:rsid w:val="00014E96"/>
    <w:rPr>
      <w:sz w:val="16"/>
      <w:szCs w:val="16"/>
    </w:rPr>
  </w:style>
  <w:style w:type="paragraph" w:styleId="CommentText">
    <w:name w:val="annotation text"/>
    <w:basedOn w:val="Normal"/>
    <w:link w:val="CommentTextChar"/>
    <w:uiPriority w:val="99"/>
    <w:semiHidden/>
    <w:unhideWhenUsed/>
    <w:rsid w:val="00014E96"/>
    <w:pPr>
      <w:spacing w:line="240" w:lineRule="auto"/>
    </w:pPr>
    <w:rPr>
      <w:sz w:val="20"/>
      <w:szCs w:val="20"/>
    </w:rPr>
  </w:style>
  <w:style w:type="character" w:customStyle="1" w:styleId="CommentTextChar">
    <w:name w:val="Comment Text Char"/>
    <w:basedOn w:val="DefaultParagraphFont"/>
    <w:link w:val="CommentText"/>
    <w:uiPriority w:val="99"/>
    <w:semiHidden/>
    <w:rsid w:val="00014E96"/>
    <w:rPr>
      <w:sz w:val="20"/>
      <w:szCs w:val="20"/>
      <w:lang w:val="en-US"/>
    </w:rPr>
  </w:style>
  <w:style w:type="paragraph" w:styleId="CommentSubject">
    <w:name w:val="annotation subject"/>
    <w:basedOn w:val="CommentText"/>
    <w:next w:val="CommentText"/>
    <w:link w:val="CommentSubjectChar"/>
    <w:uiPriority w:val="99"/>
    <w:semiHidden/>
    <w:unhideWhenUsed/>
    <w:rsid w:val="00014E96"/>
    <w:rPr>
      <w:b/>
      <w:bCs/>
    </w:rPr>
  </w:style>
  <w:style w:type="character" w:customStyle="1" w:styleId="CommentSubjectChar">
    <w:name w:val="Comment Subject Char"/>
    <w:basedOn w:val="CommentTextChar"/>
    <w:link w:val="CommentSubject"/>
    <w:uiPriority w:val="99"/>
    <w:semiHidden/>
    <w:rsid w:val="00014E9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0442">
      <w:bodyDiv w:val="1"/>
      <w:marLeft w:val="0"/>
      <w:marRight w:val="0"/>
      <w:marTop w:val="0"/>
      <w:marBottom w:val="0"/>
      <w:divBdr>
        <w:top w:val="none" w:sz="0" w:space="0" w:color="auto"/>
        <w:left w:val="none" w:sz="0" w:space="0" w:color="auto"/>
        <w:bottom w:val="none" w:sz="0" w:space="0" w:color="auto"/>
        <w:right w:val="none" w:sz="0" w:space="0" w:color="auto"/>
      </w:divBdr>
    </w:div>
    <w:div w:id="15994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BD66-D9FD-4087-B0AB-44E2F6AC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Mary Bruce</cp:lastModifiedBy>
  <cp:revision>17</cp:revision>
  <dcterms:created xsi:type="dcterms:W3CDTF">2023-12-07T08:32:00Z</dcterms:created>
  <dcterms:modified xsi:type="dcterms:W3CDTF">2023-12-08T12:15:00Z</dcterms:modified>
</cp:coreProperties>
</file>