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65F78" w14:textId="77777777" w:rsidR="00B86572" w:rsidRPr="00B86572" w:rsidRDefault="00B86572" w:rsidP="00B86572">
      <w:pPr>
        <w:suppressAutoHyphens/>
        <w:spacing w:after="80" w:line="240" w:lineRule="auto"/>
      </w:pPr>
      <w:bookmarkStart w:id="0" w:name="_GoBack"/>
      <w:bookmarkEnd w:id="0"/>
    </w:p>
    <w:p w14:paraId="59594879" w14:textId="77777777" w:rsidR="00B86572" w:rsidRPr="00B86572" w:rsidRDefault="00B86572" w:rsidP="00B86572">
      <w:pPr>
        <w:spacing w:after="80" w:line="360" w:lineRule="auto"/>
        <w:jc w:val="center"/>
      </w:pP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00AF6FFC">
        <w:rPr>
          <w:noProof/>
          <w:color w:val="1F497D"/>
          <w:sz w:val="16"/>
          <w:szCs w:val="16"/>
          <w:lang w:eastAsia="en-ZA"/>
        </w:rPr>
        <w:fldChar w:fldCharType="begin"/>
      </w:r>
      <w:r w:rsidR="00AF6FFC">
        <w:rPr>
          <w:noProof/>
          <w:color w:val="1F497D"/>
          <w:sz w:val="16"/>
          <w:szCs w:val="16"/>
          <w:lang w:eastAsia="en-ZA"/>
        </w:rPr>
        <w:instrText xml:space="preserve"> INCLUDEPICTURE  "cid:image003.png@01D128E0.21B01BF0" \* MERGEFORMATINET </w:instrText>
      </w:r>
      <w:r w:rsidR="00AF6FFC">
        <w:rPr>
          <w:noProof/>
          <w:color w:val="1F497D"/>
          <w:sz w:val="16"/>
          <w:szCs w:val="16"/>
          <w:lang w:eastAsia="en-ZA"/>
        </w:rPr>
        <w:fldChar w:fldCharType="separate"/>
      </w:r>
      <w:r w:rsidR="00995698">
        <w:rPr>
          <w:noProof/>
          <w:color w:val="1F497D"/>
          <w:sz w:val="16"/>
          <w:szCs w:val="16"/>
          <w:lang w:eastAsia="en-ZA"/>
        </w:rPr>
        <w:fldChar w:fldCharType="begin"/>
      </w:r>
      <w:r w:rsidR="00995698">
        <w:rPr>
          <w:noProof/>
          <w:color w:val="1F497D"/>
          <w:sz w:val="16"/>
          <w:szCs w:val="16"/>
          <w:lang w:eastAsia="en-ZA"/>
        </w:rPr>
        <w:instrText xml:space="preserve"> INCLUDEPICTURE  "cid:image003.png@01D128E0.21B01BF0" \* MERGEFORMATINET </w:instrText>
      </w:r>
      <w:r w:rsidR="00995698">
        <w:rPr>
          <w:noProof/>
          <w:color w:val="1F497D"/>
          <w:sz w:val="16"/>
          <w:szCs w:val="16"/>
          <w:lang w:eastAsia="en-ZA"/>
        </w:rPr>
        <w:fldChar w:fldCharType="separate"/>
      </w:r>
      <w:r w:rsidR="00072004">
        <w:rPr>
          <w:noProof/>
          <w:color w:val="1F497D"/>
          <w:sz w:val="16"/>
          <w:szCs w:val="16"/>
          <w:lang w:eastAsia="en-ZA"/>
        </w:rPr>
        <w:fldChar w:fldCharType="begin"/>
      </w:r>
      <w:r w:rsidR="00072004">
        <w:rPr>
          <w:noProof/>
          <w:color w:val="1F497D"/>
          <w:sz w:val="16"/>
          <w:szCs w:val="16"/>
          <w:lang w:eastAsia="en-ZA"/>
        </w:rPr>
        <w:instrText xml:space="preserve"> INCLUDEPICTURE  "cid:image003.png@01D128E0.21B01BF0" \* MERGEFORMATINET </w:instrText>
      </w:r>
      <w:r w:rsidR="00072004">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2922CF">
        <w:rPr>
          <w:noProof/>
          <w:color w:val="1F497D"/>
          <w:sz w:val="16"/>
          <w:szCs w:val="16"/>
          <w:lang w:eastAsia="en-ZA"/>
        </w:rPr>
        <w:fldChar w:fldCharType="begin"/>
      </w:r>
      <w:r w:rsidR="002922CF">
        <w:rPr>
          <w:noProof/>
          <w:color w:val="1F497D"/>
          <w:sz w:val="16"/>
          <w:szCs w:val="16"/>
          <w:lang w:eastAsia="en-ZA"/>
        </w:rPr>
        <w:instrText xml:space="preserve"> INCLUDEPICTURE  "cid:image003.png@01D128E0.21B01BF0" \* MERGEFORMATINET </w:instrText>
      </w:r>
      <w:r w:rsidR="002922CF">
        <w:rPr>
          <w:noProof/>
          <w:color w:val="1F497D"/>
          <w:sz w:val="16"/>
          <w:szCs w:val="16"/>
          <w:lang w:eastAsia="en-ZA"/>
        </w:rPr>
        <w:fldChar w:fldCharType="separate"/>
      </w:r>
      <w:r w:rsidR="001A1428">
        <w:rPr>
          <w:noProof/>
          <w:color w:val="1F497D"/>
          <w:sz w:val="16"/>
          <w:szCs w:val="16"/>
          <w:lang w:eastAsia="en-ZA"/>
        </w:rPr>
        <w:fldChar w:fldCharType="begin"/>
      </w:r>
      <w:r w:rsidR="001A1428">
        <w:rPr>
          <w:noProof/>
          <w:color w:val="1F497D"/>
          <w:sz w:val="16"/>
          <w:szCs w:val="16"/>
          <w:lang w:eastAsia="en-ZA"/>
        </w:rPr>
        <w:instrText xml:space="preserve"> </w:instrText>
      </w:r>
      <w:r w:rsidR="001A1428">
        <w:rPr>
          <w:noProof/>
          <w:color w:val="1F497D"/>
          <w:sz w:val="16"/>
          <w:szCs w:val="16"/>
          <w:lang w:eastAsia="en-ZA"/>
        </w:rPr>
        <w:instrText>INCLUDEPICTURE  "cid:image003.png@01D128E0.21B01BF0" \* MERGEFORMATINET</w:instrText>
      </w:r>
      <w:r w:rsidR="001A1428">
        <w:rPr>
          <w:noProof/>
          <w:color w:val="1F497D"/>
          <w:sz w:val="16"/>
          <w:szCs w:val="16"/>
          <w:lang w:eastAsia="en-ZA"/>
        </w:rPr>
        <w:instrText xml:space="preserve"> </w:instrText>
      </w:r>
      <w:r w:rsidR="001A1428">
        <w:rPr>
          <w:noProof/>
          <w:color w:val="1F497D"/>
          <w:sz w:val="16"/>
          <w:szCs w:val="16"/>
          <w:lang w:eastAsia="en-ZA"/>
        </w:rPr>
        <w:fldChar w:fldCharType="separate"/>
      </w:r>
      <w:r w:rsidR="001A1428">
        <w:rPr>
          <w:noProof/>
          <w:color w:val="1F497D"/>
          <w:sz w:val="16"/>
          <w:szCs w:val="16"/>
          <w:lang w:eastAsia="en-ZA"/>
        </w:rPr>
        <w:pict w14:anchorId="0AEFF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107.25pt;visibility:visible;mso-width-percent:0;mso-height-percent:0;mso-width-percent:0;mso-height-percent:0">
            <v:imagedata r:id="rId8" r:href="rId9"/>
          </v:shape>
        </w:pict>
      </w:r>
      <w:r w:rsidR="001A1428">
        <w:rPr>
          <w:noProof/>
          <w:color w:val="1F497D"/>
          <w:sz w:val="16"/>
          <w:szCs w:val="16"/>
          <w:lang w:eastAsia="en-ZA"/>
        </w:rPr>
        <w:fldChar w:fldCharType="end"/>
      </w:r>
      <w:r w:rsidR="002922CF">
        <w:rPr>
          <w:noProof/>
          <w:color w:val="1F497D"/>
          <w:sz w:val="16"/>
          <w:szCs w:val="16"/>
          <w:lang w:eastAsia="en-ZA"/>
        </w:rPr>
        <w:fldChar w:fldCharType="end"/>
      </w:r>
      <w:r>
        <w:rPr>
          <w:noProof/>
          <w:color w:val="1F497D"/>
          <w:sz w:val="16"/>
          <w:szCs w:val="16"/>
          <w:lang w:eastAsia="en-ZA"/>
        </w:rPr>
        <w:fldChar w:fldCharType="end"/>
      </w:r>
      <w:r w:rsidR="00072004">
        <w:rPr>
          <w:noProof/>
          <w:color w:val="1F497D"/>
          <w:sz w:val="16"/>
          <w:szCs w:val="16"/>
          <w:lang w:eastAsia="en-ZA"/>
        </w:rPr>
        <w:fldChar w:fldCharType="end"/>
      </w:r>
      <w:r w:rsidR="00995698">
        <w:rPr>
          <w:noProof/>
          <w:color w:val="1F497D"/>
          <w:sz w:val="16"/>
          <w:szCs w:val="16"/>
          <w:lang w:eastAsia="en-ZA"/>
        </w:rPr>
        <w:fldChar w:fldCharType="end"/>
      </w:r>
      <w:r w:rsidR="00AF6FFC">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p>
    <w:p w14:paraId="513E278B" w14:textId="77777777" w:rsidR="00B86572" w:rsidRPr="00B86572" w:rsidRDefault="00B86572" w:rsidP="00B86572">
      <w:pPr>
        <w:spacing w:after="80" w:line="360" w:lineRule="auto"/>
        <w:jc w:val="center"/>
        <w:rPr>
          <w:rFonts w:cs="Arial"/>
          <w:b/>
        </w:rPr>
      </w:pPr>
      <w:r w:rsidRPr="00B86572">
        <w:rPr>
          <w:rFonts w:cs="Arial"/>
          <w:b/>
        </w:rPr>
        <w:t>IN THE HIGH COURT OF SOUTH AFRICA</w:t>
      </w:r>
    </w:p>
    <w:p w14:paraId="587FD450" w14:textId="77777777" w:rsidR="00B86572" w:rsidRPr="00B86572" w:rsidRDefault="00B86572" w:rsidP="00B86572">
      <w:pPr>
        <w:spacing w:after="80" w:line="360" w:lineRule="auto"/>
        <w:jc w:val="center"/>
        <w:rPr>
          <w:rFonts w:cs="Arial"/>
          <w:b/>
        </w:rPr>
      </w:pPr>
      <w:r w:rsidRPr="00B86572">
        <w:rPr>
          <w:rFonts w:cs="Arial"/>
          <w:b/>
        </w:rPr>
        <w:t>(WESTERN CAPE DIVISION, CAPE TOWN)</w:t>
      </w:r>
    </w:p>
    <w:p w14:paraId="3B00F294" w14:textId="110D75A3" w:rsidR="00B86572" w:rsidRPr="00B86572" w:rsidRDefault="00B86572" w:rsidP="00B86572">
      <w:pPr>
        <w:spacing w:after="80" w:line="360" w:lineRule="auto"/>
        <w:jc w:val="right"/>
        <w:rPr>
          <w:rFonts w:cs="Arial"/>
          <w:bCs/>
          <w:lang w:val="en-GB"/>
        </w:rPr>
      </w:pP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t xml:space="preserve">CASE NO: </w:t>
      </w:r>
      <w:r>
        <w:rPr>
          <w:rFonts w:cs="Arial"/>
        </w:rPr>
        <w:t>3450/2022</w:t>
      </w:r>
    </w:p>
    <w:p w14:paraId="2E66F8B9" w14:textId="77777777" w:rsidR="00B86572" w:rsidRPr="00B86572" w:rsidRDefault="00B86572" w:rsidP="00B86572">
      <w:pPr>
        <w:keepNext/>
        <w:keepLines/>
        <w:spacing w:after="80" w:line="240" w:lineRule="auto"/>
        <w:outlineLvl w:val="0"/>
        <w:rPr>
          <w:rFonts w:eastAsiaTheme="majorEastAsia" w:cstheme="majorBidi"/>
          <w:szCs w:val="32"/>
        </w:rPr>
      </w:pPr>
      <w:r w:rsidRPr="00B86572">
        <w:rPr>
          <w:rFonts w:eastAsiaTheme="majorEastAsia" w:cstheme="majorBidi"/>
          <w:szCs w:val="32"/>
        </w:rPr>
        <w:t>In the matter between:</w:t>
      </w:r>
    </w:p>
    <w:p w14:paraId="3F60ACB2" w14:textId="77777777" w:rsidR="00B86572" w:rsidRPr="00B86572" w:rsidRDefault="00B86572" w:rsidP="00B86572">
      <w:pPr>
        <w:spacing w:after="80" w:line="240" w:lineRule="auto"/>
      </w:pPr>
    </w:p>
    <w:tbl>
      <w:tblPr>
        <w:tblW w:w="0" w:type="auto"/>
        <w:tblLook w:val="01E0" w:firstRow="1" w:lastRow="1" w:firstColumn="1" w:lastColumn="1" w:noHBand="0" w:noVBand="0"/>
      </w:tblPr>
      <w:tblGrid>
        <w:gridCol w:w="6178"/>
        <w:gridCol w:w="2848"/>
      </w:tblGrid>
      <w:tr w:rsidR="00B86572" w:rsidRPr="00B86572" w14:paraId="6F4989DF" w14:textId="77777777" w:rsidTr="0054230E">
        <w:tc>
          <w:tcPr>
            <w:tcW w:w="6178" w:type="dxa"/>
            <w:shd w:val="clear" w:color="auto" w:fill="auto"/>
          </w:tcPr>
          <w:p w14:paraId="7ACDFA2F" w14:textId="1E21E029" w:rsidR="00B86572" w:rsidRPr="00B86572" w:rsidRDefault="00745FCB" w:rsidP="00B86572">
            <w:pPr>
              <w:keepNext/>
              <w:keepLines/>
              <w:spacing w:after="80" w:line="240" w:lineRule="auto"/>
              <w:outlineLvl w:val="0"/>
              <w:rPr>
                <w:rFonts w:eastAsiaTheme="majorEastAsia" w:cstheme="majorBidi"/>
                <w:b/>
                <w:caps/>
                <w:szCs w:val="32"/>
              </w:rPr>
            </w:pPr>
            <w:r>
              <w:rPr>
                <w:rFonts w:eastAsiaTheme="majorEastAsia" w:cstheme="majorBidi"/>
                <w:b/>
                <w:caps/>
                <w:szCs w:val="32"/>
              </w:rPr>
              <w:t>gail francis buechel</w:t>
            </w:r>
          </w:p>
          <w:p w14:paraId="4B03CEE4" w14:textId="77777777" w:rsidR="00B86572" w:rsidRDefault="00B86572" w:rsidP="00B86572">
            <w:pPr>
              <w:keepNext/>
              <w:keepLines/>
              <w:spacing w:after="80" w:line="240" w:lineRule="auto"/>
              <w:outlineLvl w:val="0"/>
              <w:rPr>
                <w:rFonts w:eastAsiaTheme="majorEastAsia" w:cstheme="majorBidi"/>
                <w:b/>
                <w:caps/>
                <w:szCs w:val="32"/>
              </w:rPr>
            </w:pPr>
          </w:p>
          <w:p w14:paraId="5ACD1B1D" w14:textId="60EBD2E5" w:rsidR="00745FCB" w:rsidRPr="00745FCB" w:rsidRDefault="00745FCB" w:rsidP="00B86572">
            <w:pPr>
              <w:keepNext/>
              <w:keepLines/>
              <w:spacing w:after="80" w:line="240" w:lineRule="auto"/>
              <w:outlineLvl w:val="0"/>
              <w:rPr>
                <w:rFonts w:eastAsiaTheme="majorEastAsia" w:cstheme="majorBidi"/>
                <w:bCs/>
                <w:caps/>
                <w:szCs w:val="32"/>
              </w:rPr>
            </w:pPr>
            <w:r>
              <w:rPr>
                <w:rFonts w:eastAsiaTheme="majorEastAsia" w:cstheme="majorBidi"/>
                <w:bCs/>
                <w:szCs w:val="32"/>
              </w:rPr>
              <w:t>and</w:t>
            </w:r>
          </w:p>
          <w:p w14:paraId="5EA224CC" w14:textId="77777777" w:rsidR="00745FCB" w:rsidRPr="00B86572" w:rsidRDefault="00745FCB" w:rsidP="00B86572">
            <w:pPr>
              <w:keepNext/>
              <w:keepLines/>
              <w:spacing w:after="80" w:line="240" w:lineRule="auto"/>
              <w:outlineLvl w:val="0"/>
              <w:rPr>
                <w:rFonts w:eastAsiaTheme="majorEastAsia" w:cstheme="majorBidi"/>
                <w:b/>
                <w:caps/>
                <w:szCs w:val="32"/>
              </w:rPr>
            </w:pPr>
          </w:p>
          <w:p w14:paraId="4182F7B4" w14:textId="77777777" w:rsidR="002D20B7" w:rsidRPr="002D20B7" w:rsidRDefault="002D20B7" w:rsidP="002D20B7">
            <w:pPr>
              <w:spacing w:after="0" w:line="240" w:lineRule="auto"/>
              <w:jc w:val="left"/>
              <w:rPr>
                <w:rFonts w:eastAsia="Times New Roman" w:cs="Arial"/>
                <w:b/>
                <w:szCs w:val="24"/>
              </w:rPr>
            </w:pPr>
            <w:r w:rsidRPr="002D20B7">
              <w:rPr>
                <w:rFonts w:eastAsia="Times New Roman" w:cs="Arial"/>
                <w:b/>
                <w:szCs w:val="24"/>
              </w:rPr>
              <w:t xml:space="preserve">SOUTH AFRICAN SECURITISATION </w:t>
            </w:r>
          </w:p>
          <w:p w14:paraId="310735D5" w14:textId="69A1AB36" w:rsidR="002D20B7" w:rsidRPr="002D20B7" w:rsidRDefault="002D20B7" w:rsidP="002D20B7">
            <w:pPr>
              <w:spacing w:after="0" w:line="240" w:lineRule="auto"/>
              <w:jc w:val="left"/>
              <w:rPr>
                <w:rFonts w:eastAsia="Times New Roman" w:cs="Arial"/>
                <w:b/>
                <w:szCs w:val="24"/>
              </w:rPr>
            </w:pPr>
            <w:r w:rsidRPr="002D20B7">
              <w:rPr>
                <w:rFonts w:eastAsia="Times New Roman" w:cs="Arial"/>
                <w:b/>
                <w:szCs w:val="24"/>
              </w:rPr>
              <w:t xml:space="preserve">PROGRAMME (RF) LIMITED </w:t>
            </w:r>
          </w:p>
          <w:p w14:paraId="7CA901F2" w14:textId="77777777" w:rsidR="002D20B7" w:rsidRPr="002D20B7" w:rsidRDefault="002D20B7" w:rsidP="002D20B7">
            <w:pPr>
              <w:spacing w:after="0" w:line="240" w:lineRule="auto"/>
              <w:jc w:val="left"/>
              <w:rPr>
                <w:rFonts w:eastAsia="Times New Roman" w:cs="Arial"/>
                <w:b/>
                <w:szCs w:val="24"/>
              </w:rPr>
            </w:pPr>
          </w:p>
          <w:p w14:paraId="7ABCA263" w14:textId="77777777" w:rsidR="002D20B7" w:rsidRPr="002D20B7" w:rsidRDefault="002D20B7" w:rsidP="002D20B7">
            <w:pPr>
              <w:spacing w:after="0" w:line="240" w:lineRule="auto"/>
              <w:jc w:val="left"/>
              <w:rPr>
                <w:rFonts w:eastAsia="Times New Roman" w:cs="Arial"/>
                <w:b/>
                <w:szCs w:val="24"/>
              </w:rPr>
            </w:pPr>
            <w:r w:rsidRPr="002D20B7">
              <w:rPr>
                <w:rFonts w:eastAsia="Times New Roman" w:cs="Arial"/>
                <w:b/>
                <w:szCs w:val="24"/>
              </w:rPr>
              <w:t>SASFIN BANK LIMITED</w:t>
            </w:r>
          </w:p>
          <w:p w14:paraId="33C33F05" w14:textId="77777777" w:rsidR="002D20B7" w:rsidRDefault="002D20B7" w:rsidP="002D20B7">
            <w:pPr>
              <w:spacing w:after="0" w:line="240" w:lineRule="auto"/>
              <w:jc w:val="left"/>
              <w:rPr>
                <w:rFonts w:eastAsia="Times New Roman" w:cs="Arial"/>
                <w:b/>
                <w:szCs w:val="24"/>
              </w:rPr>
            </w:pPr>
          </w:p>
          <w:p w14:paraId="31AEAB5F" w14:textId="6EFE7B0B" w:rsidR="002D20B7" w:rsidRPr="002D20B7" w:rsidRDefault="002D20B7" w:rsidP="002D20B7">
            <w:pPr>
              <w:spacing w:after="0" w:line="240" w:lineRule="auto"/>
              <w:jc w:val="left"/>
              <w:rPr>
                <w:rFonts w:eastAsia="Times New Roman" w:cs="Arial"/>
                <w:b/>
                <w:szCs w:val="24"/>
              </w:rPr>
            </w:pPr>
            <w:r w:rsidRPr="002D20B7">
              <w:rPr>
                <w:rFonts w:eastAsia="Times New Roman" w:cs="Arial"/>
                <w:b/>
                <w:szCs w:val="24"/>
              </w:rPr>
              <w:t>SUNLYN (PTY) LTD</w:t>
            </w:r>
          </w:p>
          <w:p w14:paraId="058A0482" w14:textId="25D39835" w:rsidR="002D20B7" w:rsidRPr="002D20B7" w:rsidRDefault="002D20B7" w:rsidP="002D20B7">
            <w:pPr>
              <w:spacing w:after="0" w:line="240" w:lineRule="auto"/>
              <w:jc w:val="left"/>
              <w:rPr>
                <w:rFonts w:eastAsia="Times New Roman" w:cs="Arial"/>
                <w:b/>
                <w:szCs w:val="24"/>
              </w:rPr>
            </w:pPr>
          </w:p>
          <w:p w14:paraId="2C54D9A7" w14:textId="4A8A89E6" w:rsidR="00B86572" w:rsidRPr="00B86572" w:rsidRDefault="00B86572" w:rsidP="002D20B7">
            <w:pPr>
              <w:keepNext/>
              <w:keepLines/>
              <w:spacing w:after="80" w:line="240" w:lineRule="auto"/>
              <w:outlineLvl w:val="0"/>
              <w:rPr>
                <w:rFonts w:eastAsiaTheme="majorEastAsia" w:cstheme="majorBidi"/>
                <w:b/>
                <w:caps/>
                <w:szCs w:val="32"/>
              </w:rPr>
            </w:pPr>
            <w:r w:rsidRPr="00B86572">
              <w:rPr>
                <w:rFonts w:eastAsiaTheme="majorEastAsia" w:cstheme="majorBidi"/>
                <w:b/>
                <w:caps/>
                <w:szCs w:val="32"/>
              </w:rPr>
              <w:t xml:space="preserve">                          </w:t>
            </w:r>
          </w:p>
        </w:tc>
        <w:tc>
          <w:tcPr>
            <w:tcW w:w="2848" w:type="dxa"/>
            <w:shd w:val="clear" w:color="auto" w:fill="auto"/>
          </w:tcPr>
          <w:p w14:paraId="4E2EAE8A" w14:textId="14A14F3A" w:rsidR="00B86572" w:rsidRPr="00B86572" w:rsidRDefault="00B86572" w:rsidP="00B86572">
            <w:pPr>
              <w:keepNext/>
              <w:keepLines/>
              <w:spacing w:after="80" w:line="360" w:lineRule="auto"/>
              <w:jc w:val="right"/>
              <w:outlineLvl w:val="0"/>
              <w:rPr>
                <w:rFonts w:eastAsiaTheme="majorEastAsia" w:cstheme="majorBidi"/>
                <w:b/>
                <w:caps/>
                <w:szCs w:val="32"/>
              </w:rPr>
            </w:pPr>
            <w:r w:rsidRPr="00B86572">
              <w:rPr>
                <w:rFonts w:eastAsiaTheme="majorEastAsia" w:cstheme="majorBidi"/>
                <w:b/>
                <w:caps/>
                <w:szCs w:val="32"/>
              </w:rPr>
              <w:t>A</w:t>
            </w:r>
            <w:r w:rsidRPr="00B86572">
              <w:rPr>
                <w:rFonts w:eastAsiaTheme="majorEastAsia" w:cstheme="majorBidi"/>
                <w:b/>
                <w:szCs w:val="32"/>
              </w:rPr>
              <w:t>pplicant</w:t>
            </w:r>
            <w:r w:rsidRPr="00B86572">
              <w:rPr>
                <w:rFonts w:eastAsiaTheme="majorEastAsia" w:cstheme="majorBidi"/>
                <w:b/>
                <w:caps/>
                <w:szCs w:val="32"/>
              </w:rPr>
              <w:t xml:space="preserve"> </w:t>
            </w:r>
          </w:p>
          <w:p w14:paraId="6FEAB9EC" w14:textId="77777777" w:rsidR="00B86572" w:rsidRPr="00B86572" w:rsidRDefault="00B86572" w:rsidP="00B86572">
            <w:pPr>
              <w:keepNext/>
              <w:keepLines/>
              <w:spacing w:after="80" w:line="360" w:lineRule="auto"/>
              <w:jc w:val="right"/>
              <w:outlineLvl w:val="0"/>
              <w:rPr>
                <w:rFonts w:eastAsiaTheme="majorEastAsia" w:cstheme="majorBidi"/>
                <w:b/>
                <w:caps/>
                <w:szCs w:val="32"/>
              </w:rPr>
            </w:pPr>
          </w:p>
          <w:p w14:paraId="3EBE8927" w14:textId="77777777" w:rsidR="002D20B7" w:rsidRDefault="002D20B7" w:rsidP="00B86572">
            <w:pPr>
              <w:keepNext/>
              <w:keepLines/>
              <w:spacing w:after="80" w:line="360" w:lineRule="auto"/>
              <w:jc w:val="right"/>
              <w:outlineLvl w:val="0"/>
              <w:rPr>
                <w:rFonts w:eastAsiaTheme="majorEastAsia" w:cstheme="majorBidi"/>
                <w:b/>
                <w:szCs w:val="32"/>
              </w:rPr>
            </w:pPr>
          </w:p>
          <w:p w14:paraId="1AEB921D" w14:textId="1D04920A" w:rsidR="00B86572" w:rsidRPr="00B86572" w:rsidRDefault="002D20B7" w:rsidP="002D20B7">
            <w:pPr>
              <w:spacing w:after="0" w:line="240" w:lineRule="auto"/>
              <w:jc w:val="right"/>
              <w:rPr>
                <w:rFonts w:eastAsia="Times New Roman" w:cs="Arial"/>
                <w:b/>
                <w:szCs w:val="24"/>
              </w:rPr>
            </w:pPr>
            <w:r w:rsidRPr="002D20B7">
              <w:rPr>
                <w:rFonts w:eastAsia="Times New Roman" w:cs="Arial"/>
                <w:b/>
                <w:szCs w:val="24"/>
              </w:rPr>
              <w:t>First Respondent</w:t>
            </w:r>
          </w:p>
          <w:p w14:paraId="03DCF913" w14:textId="77777777" w:rsidR="002D20B7" w:rsidRPr="002D20B7" w:rsidRDefault="002D20B7" w:rsidP="002D20B7">
            <w:pPr>
              <w:spacing w:after="0" w:line="240" w:lineRule="auto"/>
              <w:jc w:val="right"/>
              <w:rPr>
                <w:rFonts w:eastAsia="Times New Roman" w:cs="Arial"/>
                <w:b/>
                <w:szCs w:val="24"/>
              </w:rPr>
            </w:pPr>
          </w:p>
          <w:p w14:paraId="070E94B4" w14:textId="77777777" w:rsidR="002D20B7" w:rsidRDefault="002D20B7" w:rsidP="002D20B7">
            <w:pPr>
              <w:spacing w:after="0" w:line="240" w:lineRule="auto"/>
              <w:jc w:val="right"/>
              <w:rPr>
                <w:rFonts w:eastAsia="Times New Roman" w:cs="Arial"/>
                <w:b/>
                <w:szCs w:val="24"/>
              </w:rPr>
            </w:pPr>
          </w:p>
          <w:p w14:paraId="784F8E83" w14:textId="16CE653D" w:rsidR="00B86572" w:rsidRPr="00B86572" w:rsidRDefault="002D20B7" w:rsidP="002D20B7">
            <w:pPr>
              <w:spacing w:after="0" w:line="240" w:lineRule="auto"/>
              <w:jc w:val="right"/>
              <w:rPr>
                <w:rFonts w:eastAsia="Times New Roman" w:cs="Arial"/>
                <w:b/>
                <w:szCs w:val="24"/>
              </w:rPr>
            </w:pPr>
            <w:r w:rsidRPr="002D20B7">
              <w:rPr>
                <w:rFonts w:eastAsia="Times New Roman" w:cs="Arial"/>
                <w:b/>
                <w:szCs w:val="24"/>
              </w:rPr>
              <w:t>Second Respondent</w:t>
            </w:r>
          </w:p>
          <w:p w14:paraId="1F1B280F" w14:textId="77777777" w:rsidR="00B86572" w:rsidRPr="00B86572" w:rsidRDefault="00B86572" w:rsidP="002D20B7">
            <w:pPr>
              <w:spacing w:after="0" w:line="240" w:lineRule="auto"/>
              <w:jc w:val="right"/>
              <w:rPr>
                <w:rFonts w:eastAsia="Times New Roman" w:cs="Arial"/>
                <w:b/>
                <w:szCs w:val="24"/>
              </w:rPr>
            </w:pPr>
          </w:p>
          <w:p w14:paraId="6FDC93A6" w14:textId="2C6DD6BD" w:rsidR="00B86572" w:rsidRPr="00B86572" w:rsidRDefault="002D20B7" w:rsidP="002D20B7">
            <w:pPr>
              <w:spacing w:after="0" w:line="240" w:lineRule="auto"/>
              <w:jc w:val="right"/>
              <w:rPr>
                <w:rFonts w:eastAsia="Times New Roman" w:cs="Arial"/>
                <w:b/>
                <w:szCs w:val="24"/>
              </w:rPr>
            </w:pPr>
            <w:r w:rsidRPr="002D20B7">
              <w:rPr>
                <w:rFonts w:eastAsia="Times New Roman" w:cs="Arial"/>
                <w:b/>
                <w:szCs w:val="24"/>
              </w:rPr>
              <w:t>Third Respondent</w:t>
            </w:r>
          </w:p>
          <w:p w14:paraId="7C193D17" w14:textId="77777777" w:rsidR="00B86572" w:rsidRPr="00B86572" w:rsidRDefault="00B86572" w:rsidP="00B86572">
            <w:pPr>
              <w:spacing w:after="80" w:line="240" w:lineRule="auto"/>
            </w:pPr>
          </w:p>
        </w:tc>
      </w:tr>
      <w:tr w:rsidR="00B86572" w:rsidRPr="00B86572" w14:paraId="43DE43BF" w14:textId="77777777" w:rsidTr="0054230E">
        <w:tc>
          <w:tcPr>
            <w:tcW w:w="6178" w:type="dxa"/>
            <w:shd w:val="clear" w:color="auto" w:fill="auto"/>
          </w:tcPr>
          <w:p w14:paraId="733B2D37" w14:textId="603CDCF0" w:rsidR="00B86572" w:rsidRPr="00B86572" w:rsidRDefault="002D20B7" w:rsidP="00B86572">
            <w:pPr>
              <w:spacing w:after="80" w:line="240" w:lineRule="auto"/>
              <w:rPr>
                <w:rFonts w:cs="Arial"/>
                <w:bCs/>
              </w:rPr>
            </w:pPr>
            <w:r>
              <w:rPr>
                <w:rFonts w:cs="Arial"/>
                <w:bCs/>
              </w:rPr>
              <w:t>IN RE:</w:t>
            </w:r>
          </w:p>
          <w:p w14:paraId="404284E7" w14:textId="77777777" w:rsidR="00B86572" w:rsidRPr="00B86572" w:rsidRDefault="00B86572" w:rsidP="00B86572">
            <w:pPr>
              <w:spacing w:after="80" w:line="240" w:lineRule="auto"/>
              <w:rPr>
                <w:rFonts w:cs="Arial"/>
                <w:b/>
              </w:rPr>
            </w:pPr>
          </w:p>
          <w:p w14:paraId="68A9C333" w14:textId="77777777" w:rsidR="00F147E6" w:rsidRPr="002D20B7" w:rsidRDefault="00F147E6" w:rsidP="00F147E6">
            <w:pPr>
              <w:spacing w:after="0" w:line="240" w:lineRule="auto"/>
              <w:jc w:val="left"/>
              <w:rPr>
                <w:rFonts w:eastAsia="Times New Roman" w:cs="Arial"/>
                <w:b/>
                <w:szCs w:val="24"/>
              </w:rPr>
            </w:pPr>
            <w:r w:rsidRPr="002D20B7">
              <w:rPr>
                <w:rFonts w:eastAsia="Times New Roman" w:cs="Arial"/>
                <w:b/>
                <w:szCs w:val="24"/>
              </w:rPr>
              <w:t xml:space="preserve">SOUTH AFRICAN SECURITISATION </w:t>
            </w:r>
          </w:p>
          <w:p w14:paraId="53B273F0" w14:textId="77777777" w:rsidR="00F147E6" w:rsidRPr="002D20B7" w:rsidRDefault="00F147E6" w:rsidP="00F147E6">
            <w:pPr>
              <w:spacing w:after="0" w:line="240" w:lineRule="auto"/>
              <w:jc w:val="left"/>
              <w:rPr>
                <w:rFonts w:eastAsia="Times New Roman" w:cs="Arial"/>
                <w:b/>
                <w:szCs w:val="24"/>
              </w:rPr>
            </w:pPr>
            <w:r w:rsidRPr="002D20B7">
              <w:rPr>
                <w:rFonts w:eastAsia="Times New Roman" w:cs="Arial"/>
                <w:b/>
                <w:szCs w:val="24"/>
              </w:rPr>
              <w:t xml:space="preserve">PROGRAMME (RF) LIMITED </w:t>
            </w:r>
          </w:p>
          <w:p w14:paraId="0016940F" w14:textId="77777777" w:rsidR="00F147E6" w:rsidRPr="002D20B7" w:rsidRDefault="00F147E6" w:rsidP="00F147E6">
            <w:pPr>
              <w:spacing w:after="0" w:line="240" w:lineRule="auto"/>
              <w:jc w:val="left"/>
              <w:rPr>
                <w:rFonts w:eastAsia="Times New Roman" w:cs="Arial"/>
                <w:b/>
                <w:szCs w:val="24"/>
              </w:rPr>
            </w:pPr>
          </w:p>
          <w:p w14:paraId="7D3ABD11" w14:textId="77777777" w:rsidR="00F147E6" w:rsidRPr="002D20B7" w:rsidRDefault="00F147E6" w:rsidP="00F147E6">
            <w:pPr>
              <w:spacing w:after="0" w:line="240" w:lineRule="auto"/>
              <w:jc w:val="left"/>
              <w:rPr>
                <w:rFonts w:eastAsia="Times New Roman" w:cs="Arial"/>
                <w:b/>
                <w:szCs w:val="24"/>
              </w:rPr>
            </w:pPr>
            <w:r w:rsidRPr="002D20B7">
              <w:rPr>
                <w:rFonts w:eastAsia="Times New Roman" w:cs="Arial"/>
                <w:b/>
                <w:szCs w:val="24"/>
              </w:rPr>
              <w:t>SASFIN BANK LIMITED</w:t>
            </w:r>
          </w:p>
          <w:p w14:paraId="5174292A" w14:textId="77777777" w:rsidR="00F147E6" w:rsidRDefault="00F147E6" w:rsidP="00F147E6">
            <w:pPr>
              <w:spacing w:after="0" w:line="240" w:lineRule="auto"/>
              <w:jc w:val="left"/>
              <w:rPr>
                <w:rFonts w:eastAsia="Times New Roman" w:cs="Arial"/>
                <w:b/>
                <w:szCs w:val="24"/>
              </w:rPr>
            </w:pPr>
          </w:p>
          <w:p w14:paraId="782381B6" w14:textId="705C1EC6" w:rsidR="00B86572" w:rsidRPr="00B86572" w:rsidRDefault="00F147E6" w:rsidP="00F147E6">
            <w:pPr>
              <w:spacing w:after="80" w:line="240" w:lineRule="auto"/>
              <w:rPr>
                <w:rFonts w:cs="Arial"/>
                <w:b/>
              </w:rPr>
            </w:pPr>
            <w:r w:rsidRPr="002D20B7">
              <w:rPr>
                <w:rFonts w:eastAsia="Times New Roman" w:cs="Arial"/>
                <w:b/>
                <w:szCs w:val="24"/>
              </w:rPr>
              <w:t>SUNLYN (PTY) LTD</w:t>
            </w:r>
          </w:p>
        </w:tc>
        <w:tc>
          <w:tcPr>
            <w:tcW w:w="2848" w:type="dxa"/>
            <w:shd w:val="clear" w:color="auto" w:fill="auto"/>
          </w:tcPr>
          <w:p w14:paraId="05341922" w14:textId="77777777" w:rsidR="00B86572" w:rsidRPr="00B86572" w:rsidRDefault="00B86572" w:rsidP="00B86572">
            <w:pPr>
              <w:spacing w:after="80" w:line="240" w:lineRule="auto"/>
              <w:jc w:val="right"/>
              <w:rPr>
                <w:rFonts w:cs="Arial"/>
                <w:b/>
                <w:bCs/>
                <w:highlight w:val="yellow"/>
              </w:rPr>
            </w:pPr>
          </w:p>
          <w:p w14:paraId="3AB4E420" w14:textId="77777777" w:rsidR="00B86572" w:rsidRPr="00B86572" w:rsidRDefault="00B86572" w:rsidP="00B86572">
            <w:pPr>
              <w:spacing w:after="80" w:line="240" w:lineRule="auto"/>
              <w:jc w:val="right"/>
              <w:rPr>
                <w:rFonts w:cs="Arial"/>
                <w:b/>
                <w:bCs/>
                <w:highlight w:val="yellow"/>
              </w:rPr>
            </w:pPr>
          </w:p>
          <w:p w14:paraId="48A070FF" w14:textId="1E42238B" w:rsidR="00B86572" w:rsidRPr="00B86572" w:rsidRDefault="00B86572" w:rsidP="00B86572">
            <w:pPr>
              <w:spacing w:after="80" w:line="240" w:lineRule="auto"/>
              <w:jc w:val="right"/>
              <w:rPr>
                <w:rFonts w:cs="Arial"/>
                <w:b/>
                <w:bCs/>
              </w:rPr>
            </w:pPr>
            <w:r w:rsidRPr="00B86572">
              <w:rPr>
                <w:rFonts w:cs="Arial"/>
                <w:b/>
                <w:bCs/>
              </w:rPr>
              <w:t>First</w:t>
            </w:r>
            <w:r w:rsidRPr="00B86572">
              <w:rPr>
                <w:rFonts w:cs="Arial"/>
                <w:b/>
                <w:bCs/>
                <w:vertAlign w:val="superscript"/>
              </w:rPr>
              <w:t xml:space="preserve"> </w:t>
            </w:r>
            <w:r w:rsidR="00F147E6">
              <w:rPr>
                <w:rFonts w:cs="Arial"/>
                <w:b/>
                <w:bCs/>
              </w:rPr>
              <w:t>Plaintiff</w:t>
            </w:r>
          </w:p>
          <w:p w14:paraId="4E1BCA84" w14:textId="77777777" w:rsidR="00B86572" w:rsidRPr="00B86572" w:rsidRDefault="00B86572" w:rsidP="00B86572">
            <w:pPr>
              <w:spacing w:after="80" w:line="240" w:lineRule="auto"/>
              <w:jc w:val="right"/>
              <w:rPr>
                <w:rFonts w:cs="Arial"/>
                <w:b/>
                <w:bCs/>
              </w:rPr>
            </w:pPr>
          </w:p>
          <w:p w14:paraId="1B3508AA" w14:textId="0DE81BE2" w:rsidR="00B86572" w:rsidRPr="00B86572" w:rsidRDefault="00B86572" w:rsidP="00B86572">
            <w:pPr>
              <w:spacing w:after="80" w:line="240" w:lineRule="auto"/>
              <w:jc w:val="right"/>
              <w:rPr>
                <w:rFonts w:cs="Arial"/>
                <w:b/>
                <w:bCs/>
              </w:rPr>
            </w:pPr>
            <w:r w:rsidRPr="00B86572">
              <w:rPr>
                <w:rFonts w:cs="Arial"/>
                <w:b/>
                <w:bCs/>
              </w:rPr>
              <w:t>Second</w:t>
            </w:r>
            <w:r w:rsidRPr="00B86572">
              <w:rPr>
                <w:rFonts w:cs="Arial"/>
                <w:b/>
                <w:bCs/>
                <w:vertAlign w:val="superscript"/>
              </w:rPr>
              <w:t xml:space="preserve"> </w:t>
            </w:r>
            <w:r w:rsidR="00F147E6">
              <w:rPr>
                <w:rFonts w:cs="Arial"/>
                <w:b/>
                <w:bCs/>
              </w:rPr>
              <w:t>Plaintiff</w:t>
            </w:r>
          </w:p>
          <w:p w14:paraId="5C9A2C03" w14:textId="77777777" w:rsidR="00B86572" w:rsidRPr="00B86572" w:rsidRDefault="00B86572" w:rsidP="00B86572">
            <w:pPr>
              <w:spacing w:after="80" w:line="240" w:lineRule="auto"/>
              <w:jc w:val="right"/>
              <w:rPr>
                <w:rFonts w:cs="Arial"/>
                <w:b/>
                <w:bCs/>
              </w:rPr>
            </w:pPr>
          </w:p>
          <w:p w14:paraId="21974928" w14:textId="3FDF87D7" w:rsidR="00B86572" w:rsidRPr="00B86572" w:rsidRDefault="00F147E6" w:rsidP="00B86572">
            <w:pPr>
              <w:spacing w:after="80" w:line="240" w:lineRule="auto"/>
              <w:jc w:val="right"/>
              <w:rPr>
                <w:rFonts w:cs="Arial"/>
                <w:b/>
                <w:bCs/>
                <w:highlight w:val="yellow"/>
              </w:rPr>
            </w:pPr>
            <w:r>
              <w:rPr>
                <w:rFonts w:cs="Arial"/>
                <w:b/>
                <w:bCs/>
              </w:rPr>
              <w:t>Third Plaintiff</w:t>
            </w:r>
          </w:p>
        </w:tc>
      </w:tr>
      <w:tr w:rsidR="00B86572" w:rsidRPr="00B86572" w14:paraId="68F00A35" w14:textId="77777777" w:rsidTr="0054230E">
        <w:tc>
          <w:tcPr>
            <w:tcW w:w="6178" w:type="dxa"/>
            <w:shd w:val="clear" w:color="auto" w:fill="auto"/>
          </w:tcPr>
          <w:p w14:paraId="1AE7DE3C" w14:textId="77777777" w:rsidR="00F147E6" w:rsidRDefault="00F147E6" w:rsidP="00B86572">
            <w:pPr>
              <w:spacing w:after="80" w:line="240" w:lineRule="auto"/>
              <w:rPr>
                <w:rFonts w:cs="Arial"/>
                <w:bCs/>
              </w:rPr>
            </w:pPr>
          </w:p>
          <w:p w14:paraId="40D9C36A" w14:textId="1B154AEB" w:rsidR="00B86572" w:rsidRPr="00B86572" w:rsidRDefault="00F147E6" w:rsidP="00B86572">
            <w:pPr>
              <w:spacing w:after="80" w:line="240" w:lineRule="auto"/>
              <w:rPr>
                <w:rFonts w:cs="Arial"/>
                <w:bCs/>
              </w:rPr>
            </w:pPr>
            <w:r w:rsidRPr="00F147E6">
              <w:rPr>
                <w:rFonts w:cs="Arial"/>
                <w:bCs/>
              </w:rPr>
              <w:t>and</w:t>
            </w:r>
          </w:p>
          <w:p w14:paraId="7D2A88DA" w14:textId="77777777" w:rsidR="00B86572" w:rsidRPr="00B86572" w:rsidRDefault="00B86572" w:rsidP="00B86572">
            <w:pPr>
              <w:spacing w:after="80" w:line="240" w:lineRule="auto"/>
              <w:rPr>
                <w:rFonts w:cs="Arial"/>
                <w:b/>
              </w:rPr>
            </w:pPr>
          </w:p>
        </w:tc>
        <w:tc>
          <w:tcPr>
            <w:tcW w:w="2848" w:type="dxa"/>
            <w:shd w:val="clear" w:color="auto" w:fill="auto"/>
          </w:tcPr>
          <w:p w14:paraId="63D1211C" w14:textId="77777777" w:rsidR="00B86572" w:rsidRPr="00B86572" w:rsidRDefault="00B86572" w:rsidP="00B86572">
            <w:pPr>
              <w:spacing w:after="80" w:line="240" w:lineRule="auto"/>
              <w:jc w:val="right"/>
              <w:rPr>
                <w:rFonts w:cs="Arial"/>
                <w:b/>
                <w:bCs/>
                <w:highlight w:val="yellow"/>
              </w:rPr>
            </w:pPr>
          </w:p>
        </w:tc>
      </w:tr>
      <w:tr w:rsidR="00F147E6" w:rsidRPr="00B86572" w14:paraId="78EE3D1D" w14:textId="77777777" w:rsidTr="0054230E">
        <w:tc>
          <w:tcPr>
            <w:tcW w:w="6178" w:type="dxa"/>
            <w:shd w:val="clear" w:color="auto" w:fill="auto"/>
          </w:tcPr>
          <w:p w14:paraId="536D447D" w14:textId="77777777" w:rsidR="00F147E6" w:rsidRPr="00B86572" w:rsidRDefault="00F147E6" w:rsidP="00F147E6">
            <w:pPr>
              <w:keepNext/>
              <w:keepLines/>
              <w:spacing w:after="80" w:line="240" w:lineRule="auto"/>
              <w:outlineLvl w:val="0"/>
              <w:rPr>
                <w:rFonts w:eastAsiaTheme="majorEastAsia" w:cstheme="majorBidi"/>
                <w:b/>
                <w:caps/>
                <w:szCs w:val="32"/>
              </w:rPr>
            </w:pPr>
            <w:r>
              <w:rPr>
                <w:rFonts w:eastAsiaTheme="majorEastAsia" w:cstheme="majorBidi"/>
                <w:b/>
                <w:caps/>
                <w:szCs w:val="32"/>
              </w:rPr>
              <w:t>gail francis buechel</w:t>
            </w:r>
          </w:p>
          <w:p w14:paraId="7E312576" w14:textId="77777777" w:rsidR="00F147E6" w:rsidRDefault="00F147E6" w:rsidP="00B86572">
            <w:pPr>
              <w:spacing w:after="80" w:line="240" w:lineRule="auto"/>
              <w:rPr>
                <w:rFonts w:cs="Arial"/>
                <w:b/>
              </w:rPr>
            </w:pPr>
          </w:p>
        </w:tc>
        <w:tc>
          <w:tcPr>
            <w:tcW w:w="2848" w:type="dxa"/>
            <w:shd w:val="clear" w:color="auto" w:fill="auto"/>
          </w:tcPr>
          <w:p w14:paraId="3E7711AF" w14:textId="65F7441F" w:rsidR="00F147E6" w:rsidRPr="00B86572" w:rsidRDefault="00F147E6" w:rsidP="00B86572">
            <w:pPr>
              <w:spacing w:after="80" w:line="240" w:lineRule="auto"/>
              <w:jc w:val="right"/>
              <w:rPr>
                <w:rFonts w:cs="Arial"/>
                <w:b/>
                <w:bCs/>
                <w:highlight w:val="yellow"/>
              </w:rPr>
            </w:pPr>
            <w:r w:rsidRPr="00F147E6">
              <w:rPr>
                <w:rFonts w:cs="Arial"/>
                <w:b/>
                <w:bCs/>
              </w:rPr>
              <w:t>Defendant</w:t>
            </w:r>
          </w:p>
        </w:tc>
      </w:tr>
    </w:tbl>
    <w:p w14:paraId="7FC01ACD" w14:textId="77777777" w:rsidR="00A17092" w:rsidRDefault="00A17092" w:rsidP="00B86572">
      <w:pPr>
        <w:spacing w:after="80" w:line="240" w:lineRule="auto"/>
        <w:ind w:firstLine="142"/>
        <w:rPr>
          <w:rFonts w:cs="Arial"/>
          <w:sz w:val="22"/>
        </w:rPr>
      </w:pPr>
    </w:p>
    <w:p w14:paraId="00557841" w14:textId="77777777" w:rsidR="008B228E" w:rsidRDefault="008B228E" w:rsidP="00B86572">
      <w:pPr>
        <w:spacing w:after="80" w:line="240" w:lineRule="auto"/>
        <w:ind w:firstLine="142"/>
        <w:rPr>
          <w:rFonts w:cs="Arial"/>
          <w:sz w:val="22"/>
        </w:rPr>
      </w:pPr>
    </w:p>
    <w:p w14:paraId="2A465953" w14:textId="77777777" w:rsidR="008B228E" w:rsidRDefault="008B228E" w:rsidP="00B86572">
      <w:pPr>
        <w:spacing w:after="80" w:line="240" w:lineRule="auto"/>
        <w:ind w:firstLine="142"/>
        <w:rPr>
          <w:rFonts w:cs="Arial"/>
          <w:sz w:val="22"/>
        </w:rPr>
      </w:pPr>
    </w:p>
    <w:p w14:paraId="5BC487B1" w14:textId="69F2FFA5" w:rsidR="00B86572" w:rsidRPr="00B86572" w:rsidRDefault="00B86572" w:rsidP="00B86572">
      <w:pPr>
        <w:spacing w:after="80" w:line="240" w:lineRule="auto"/>
        <w:ind w:firstLine="142"/>
        <w:rPr>
          <w:rFonts w:cs="Arial"/>
          <w:sz w:val="22"/>
        </w:rPr>
      </w:pPr>
      <w:r w:rsidRPr="00B86572">
        <w:rPr>
          <w:rFonts w:cs="Arial"/>
          <w:sz w:val="22"/>
        </w:rPr>
        <w:lastRenderedPageBreak/>
        <w:t>Coram:</w:t>
      </w:r>
      <w:r w:rsidRPr="00B86572">
        <w:rPr>
          <w:rFonts w:cs="Arial"/>
          <w:sz w:val="22"/>
        </w:rPr>
        <w:tab/>
      </w:r>
      <w:r w:rsidRPr="00B86572">
        <w:rPr>
          <w:rFonts w:cs="Arial"/>
          <w:sz w:val="22"/>
        </w:rPr>
        <w:tab/>
      </w:r>
      <w:r w:rsidRPr="00B86572">
        <w:rPr>
          <w:rFonts w:cs="Arial"/>
          <w:sz w:val="22"/>
        </w:rPr>
        <w:tab/>
        <w:t xml:space="preserve">Bishop, AJ </w:t>
      </w:r>
    </w:p>
    <w:p w14:paraId="1D96757B" w14:textId="77777777" w:rsidR="00B86572" w:rsidRPr="00B86572" w:rsidRDefault="00B86572" w:rsidP="00B86572">
      <w:pPr>
        <w:spacing w:after="80" w:line="240" w:lineRule="auto"/>
        <w:rPr>
          <w:rFonts w:cs="Arial"/>
          <w:sz w:val="22"/>
        </w:rPr>
      </w:pPr>
    </w:p>
    <w:p w14:paraId="3025C3E7" w14:textId="3F0B6920" w:rsidR="00B86572" w:rsidRPr="00B86572" w:rsidRDefault="00B86572" w:rsidP="00B86572">
      <w:pPr>
        <w:spacing w:after="80" w:line="240" w:lineRule="auto"/>
        <w:ind w:firstLine="142"/>
        <w:rPr>
          <w:rFonts w:cs="Arial"/>
          <w:sz w:val="22"/>
        </w:rPr>
      </w:pPr>
      <w:r w:rsidRPr="00B86572">
        <w:rPr>
          <w:rFonts w:cs="Arial"/>
          <w:sz w:val="22"/>
        </w:rPr>
        <w:t>Dates of Hearing:</w:t>
      </w:r>
      <w:r w:rsidRPr="00B86572">
        <w:rPr>
          <w:rFonts w:cs="Arial"/>
          <w:sz w:val="22"/>
        </w:rPr>
        <w:tab/>
      </w:r>
      <w:r w:rsidRPr="00B86572">
        <w:rPr>
          <w:rFonts w:cs="Arial"/>
          <w:sz w:val="22"/>
        </w:rPr>
        <w:tab/>
      </w:r>
      <w:r w:rsidR="00A17092">
        <w:rPr>
          <w:rFonts w:cs="Arial"/>
          <w:sz w:val="22"/>
        </w:rPr>
        <w:t>2 November</w:t>
      </w:r>
      <w:r w:rsidRPr="00B86572">
        <w:rPr>
          <w:rFonts w:cs="Arial"/>
          <w:sz w:val="22"/>
        </w:rPr>
        <w:t xml:space="preserve"> 2023</w:t>
      </w:r>
    </w:p>
    <w:p w14:paraId="33D9550D" w14:textId="77777777" w:rsidR="00B86572" w:rsidRPr="00B86572" w:rsidRDefault="00B86572" w:rsidP="00B86572">
      <w:pPr>
        <w:spacing w:after="80" w:line="240" w:lineRule="auto"/>
        <w:rPr>
          <w:rFonts w:cs="Arial"/>
          <w:sz w:val="22"/>
        </w:rPr>
      </w:pPr>
    </w:p>
    <w:p w14:paraId="33A0AF49" w14:textId="78AFDCB1" w:rsidR="00B86572" w:rsidRPr="00B86572" w:rsidRDefault="00B86572" w:rsidP="00B86572">
      <w:pPr>
        <w:tabs>
          <w:tab w:val="left" w:pos="0"/>
        </w:tabs>
        <w:spacing w:after="80" w:line="240" w:lineRule="auto"/>
        <w:ind w:firstLine="142"/>
        <w:rPr>
          <w:rFonts w:cs="Arial"/>
          <w:sz w:val="22"/>
        </w:rPr>
      </w:pPr>
      <w:r w:rsidRPr="00B86572">
        <w:rPr>
          <w:rFonts w:cs="Arial"/>
          <w:sz w:val="22"/>
        </w:rPr>
        <w:t>Date of Judgment:</w:t>
      </w:r>
      <w:r w:rsidRPr="00B86572">
        <w:rPr>
          <w:rFonts w:cs="Arial"/>
          <w:sz w:val="22"/>
        </w:rPr>
        <w:tab/>
      </w:r>
      <w:r w:rsidRPr="00B86572">
        <w:rPr>
          <w:rFonts w:cs="Arial"/>
          <w:sz w:val="22"/>
        </w:rPr>
        <w:tab/>
      </w:r>
      <w:r w:rsidR="00072004">
        <w:rPr>
          <w:rFonts w:cs="Arial"/>
          <w:sz w:val="22"/>
        </w:rPr>
        <w:t>5</w:t>
      </w:r>
      <w:r w:rsidR="00AF3633">
        <w:rPr>
          <w:rFonts w:cs="Arial"/>
          <w:sz w:val="22"/>
        </w:rPr>
        <w:t xml:space="preserve"> December</w:t>
      </w:r>
      <w:r w:rsidRPr="00B86572">
        <w:rPr>
          <w:rFonts w:cs="Arial"/>
          <w:sz w:val="22"/>
        </w:rPr>
        <w:t xml:space="preserve"> 2023</w:t>
      </w:r>
    </w:p>
    <w:p w14:paraId="36715C03" w14:textId="77777777" w:rsidR="00B86572" w:rsidRPr="00B86572" w:rsidRDefault="00B86572" w:rsidP="00B86572">
      <w:pPr>
        <w:tabs>
          <w:tab w:val="left" w:pos="0"/>
        </w:tabs>
        <w:spacing w:after="80" w:line="240" w:lineRule="auto"/>
        <w:ind w:firstLine="142"/>
        <w:rPr>
          <w:rFonts w:cs="Arial"/>
          <w:sz w:val="22"/>
        </w:rPr>
      </w:pPr>
    </w:p>
    <w:p w14:paraId="35E3A66C" w14:textId="77777777" w:rsidR="00B86572" w:rsidRPr="00B86572" w:rsidRDefault="00B86572" w:rsidP="00B86572">
      <w:pPr>
        <w:tabs>
          <w:tab w:val="left" w:pos="0"/>
        </w:tabs>
        <w:spacing w:after="80" w:line="240" w:lineRule="auto"/>
        <w:ind w:firstLine="142"/>
        <w:rPr>
          <w:rFonts w:cs="Arial"/>
          <w:sz w:val="22"/>
        </w:rPr>
      </w:pPr>
    </w:p>
    <w:p w14:paraId="7ECA4ABE" w14:textId="77777777" w:rsidR="00B86572" w:rsidRPr="00B86572" w:rsidRDefault="00B86572" w:rsidP="00B86572">
      <w:pPr>
        <w:spacing w:after="80" w:line="240" w:lineRule="auto"/>
        <w:ind w:firstLine="142"/>
      </w:pPr>
    </w:p>
    <w:p w14:paraId="31A26651" w14:textId="77777777" w:rsidR="00B86572" w:rsidRPr="00B86572" w:rsidRDefault="00B86572" w:rsidP="00B86572">
      <w:pPr>
        <w:pBdr>
          <w:top w:val="single" w:sz="4" w:space="20" w:color="auto"/>
          <w:bottom w:val="single" w:sz="4" w:space="16" w:color="auto"/>
        </w:pBdr>
        <w:spacing w:after="80" w:line="360" w:lineRule="auto"/>
        <w:jc w:val="center"/>
        <w:rPr>
          <w:rFonts w:cs="Arial"/>
          <w:b/>
        </w:rPr>
      </w:pPr>
      <w:r w:rsidRPr="00B86572">
        <w:rPr>
          <w:rFonts w:cs="Arial"/>
          <w:b/>
        </w:rPr>
        <w:t>JUDGMENT</w:t>
      </w:r>
    </w:p>
    <w:p w14:paraId="3E3BFEAD" w14:textId="77777777" w:rsidR="00B86572" w:rsidRPr="00B86572" w:rsidRDefault="00B86572" w:rsidP="00B86572">
      <w:pPr>
        <w:spacing w:after="80" w:line="240" w:lineRule="auto"/>
        <w:ind w:firstLine="142"/>
      </w:pPr>
    </w:p>
    <w:p w14:paraId="64D11BA2" w14:textId="77777777" w:rsidR="00B86572" w:rsidRPr="00B86572" w:rsidRDefault="00B86572" w:rsidP="00B86572">
      <w:pPr>
        <w:suppressAutoHyphens/>
        <w:spacing w:after="80" w:line="240" w:lineRule="auto"/>
        <w:rPr>
          <w:rFonts w:eastAsia="Times New Roman" w:cs="Arial"/>
          <w:b/>
          <w:color w:val="000000"/>
          <w:szCs w:val="24"/>
          <w:lang w:val="en-US" w:eastAsia="en-ZA"/>
        </w:rPr>
      </w:pPr>
    </w:p>
    <w:p w14:paraId="451DF1DD" w14:textId="77777777" w:rsidR="00B86572" w:rsidRDefault="00B86572" w:rsidP="00B86572">
      <w:pPr>
        <w:suppressAutoHyphens/>
        <w:spacing w:after="80" w:line="240" w:lineRule="auto"/>
        <w:rPr>
          <w:rFonts w:eastAsia="Times New Roman" w:cs="Arial"/>
          <w:b/>
          <w:color w:val="000000"/>
          <w:szCs w:val="24"/>
          <w:lang w:val="en-US" w:eastAsia="en-ZA"/>
        </w:rPr>
      </w:pPr>
      <w:r w:rsidRPr="00B86572">
        <w:rPr>
          <w:rFonts w:eastAsia="Times New Roman" w:cs="Arial"/>
          <w:b/>
          <w:color w:val="000000"/>
          <w:szCs w:val="24"/>
          <w:lang w:val="en-US" w:eastAsia="en-ZA"/>
        </w:rPr>
        <w:t>BISHOP, AJ</w:t>
      </w:r>
    </w:p>
    <w:p w14:paraId="3CAE04CC" w14:textId="77777777" w:rsidR="00081880" w:rsidRPr="00B86572" w:rsidRDefault="00081880" w:rsidP="00B86572">
      <w:pPr>
        <w:suppressAutoHyphens/>
        <w:spacing w:after="80" w:line="240" w:lineRule="auto"/>
        <w:rPr>
          <w:rFonts w:eastAsia="Times New Roman" w:cs="Arial"/>
          <w:b/>
          <w:color w:val="000000"/>
          <w:szCs w:val="24"/>
          <w:lang w:val="en-US" w:eastAsia="en-ZA"/>
        </w:rPr>
      </w:pPr>
    </w:p>
    <w:p w14:paraId="6FA2E57E" w14:textId="081ACB53" w:rsidR="001B1E5F" w:rsidRPr="00097A90" w:rsidRDefault="00952D60" w:rsidP="00952D60">
      <w:r w:rsidRPr="00097A90">
        <w:rPr>
          <w:rFonts w:eastAsia="Times New Roman" w:cs="Arial"/>
          <w:color w:val="000000"/>
          <w:szCs w:val="24"/>
          <w:lang w:val="en-US" w:eastAsia="en-ZA"/>
        </w:rPr>
        <w:t>[1]</w:t>
      </w:r>
      <w:r w:rsidRPr="00097A90">
        <w:rPr>
          <w:rFonts w:eastAsia="Times New Roman" w:cs="Arial"/>
          <w:color w:val="000000"/>
          <w:szCs w:val="24"/>
          <w:lang w:val="en-US" w:eastAsia="en-ZA"/>
        </w:rPr>
        <w:tab/>
      </w:r>
      <w:r w:rsidR="001B1E5F" w:rsidRPr="00952D60">
        <w:t>This is an application for rescission in terms of rule 31(2)(b). Its genesis is three agreements to lease printers. The agreements were concluded in August 2020 between the Third Respondent (</w:t>
      </w:r>
      <w:r w:rsidR="001B1E5F" w:rsidRPr="00952D60">
        <w:rPr>
          <w:b/>
          <w:bCs/>
        </w:rPr>
        <w:t>Sunlyn</w:t>
      </w:r>
      <w:r w:rsidR="001B1E5F" w:rsidRPr="00952D60">
        <w:t>) and Gragood Development (Pty) Ltd</w:t>
      </w:r>
      <w:r w:rsidR="00215978" w:rsidRPr="00952D60">
        <w:t>, through a supplier called Custom Cut IT Solutions (Pty) Ltd</w:t>
      </w:r>
      <w:r w:rsidR="001B1E5F" w:rsidRPr="00952D60">
        <w:t xml:space="preserve">.  The Applicant </w:t>
      </w:r>
      <w:r w:rsidR="00AF3633" w:rsidRPr="00952D60">
        <w:t xml:space="preserve">has been sued because she </w:t>
      </w:r>
      <w:r w:rsidR="001B1E5F" w:rsidRPr="00952D60">
        <w:t>signed a written guarantee binding herself as guarantor and co-principal debtor.</w:t>
      </w:r>
    </w:p>
    <w:p w14:paraId="46019276" w14:textId="510E9A6E" w:rsidR="00532537" w:rsidRPr="00532537" w:rsidRDefault="00952D60" w:rsidP="00952D60">
      <w:r w:rsidRPr="00532537">
        <w:rPr>
          <w:rFonts w:eastAsia="Times New Roman" w:cs="Arial"/>
          <w:color w:val="000000"/>
          <w:szCs w:val="24"/>
          <w:lang w:val="en-US" w:eastAsia="en-ZA"/>
        </w:rPr>
        <w:t>[2]</w:t>
      </w:r>
      <w:r w:rsidRPr="00532537">
        <w:rPr>
          <w:rFonts w:eastAsia="Times New Roman" w:cs="Arial"/>
          <w:color w:val="000000"/>
          <w:szCs w:val="24"/>
          <w:lang w:val="en-US" w:eastAsia="en-ZA"/>
        </w:rPr>
        <w:tab/>
      </w:r>
      <w:r w:rsidR="004615DB">
        <w:t>Sunlyn acted as an originator for the Second Respondent (</w:t>
      </w:r>
      <w:r w:rsidR="004615DB" w:rsidRPr="00952D60">
        <w:rPr>
          <w:b/>
          <w:bCs/>
        </w:rPr>
        <w:t>Sasfin</w:t>
      </w:r>
      <w:r w:rsidR="004615DB">
        <w:t xml:space="preserve">). </w:t>
      </w:r>
      <w:r w:rsidR="005C7369">
        <w:t xml:space="preserve">They operated in the realm of equipment finance. Suppliers who </w:t>
      </w:r>
      <w:r w:rsidR="00A82384">
        <w:t xml:space="preserve">had customers that </w:t>
      </w:r>
      <w:r w:rsidR="005C7369">
        <w:t>required financing for equipment would approach Sunlyn.</w:t>
      </w:r>
      <w:r w:rsidR="005C3B4A">
        <w:t xml:space="preserve"> It would put together applications for finance to Sasfin which would decide whether to finance the agreements.</w:t>
      </w:r>
      <w:r w:rsidR="00215978">
        <w:t xml:space="preserve"> If the financing </w:t>
      </w:r>
      <w:r w:rsidR="007E0CFF">
        <w:t>wa</w:t>
      </w:r>
      <w:r w:rsidR="00215978">
        <w:t xml:space="preserve">s approved, Sunlyn would provide the agreements </w:t>
      </w:r>
      <w:r w:rsidR="00A82384">
        <w:t>to the supplier, who would arrange for the customer to sign and return the agreements to Sunlyn.</w:t>
      </w:r>
      <w:r w:rsidR="000D4768">
        <w:t xml:space="preserve"> The agreements are ultimately between Sunlyn and the customer.</w:t>
      </w:r>
      <w:r w:rsidR="00B43C48" w:rsidRPr="00952D60">
        <w:t xml:space="preserve"> The rights under the lease agreements w</w:t>
      </w:r>
      <w:r w:rsidR="007E0CFF" w:rsidRPr="00952D60">
        <w:t>ould be</w:t>
      </w:r>
      <w:r w:rsidR="00B43C48" w:rsidRPr="00952D60">
        <w:t xml:space="preserve"> ceded by Sunlyn to the Second Respondent, who in turn</w:t>
      </w:r>
      <w:r w:rsidR="007E0CFF" w:rsidRPr="00952D60">
        <w:t xml:space="preserve"> would</w:t>
      </w:r>
      <w:r w:rsidR="00B43C48" w:rsidRPr="00952D60">
        <w:t xml:space="preserve"> cede them to the Third Respondent (</w:t>
      </w:r>
      <w:r w:rsidR="00B43C48" w:rsidRPr="00952D60">
        <w:rPr>
          <w:b/>
          <w:bCs/>
        </w:rPr>
        <w:t>SASP</w:t>
      </w:r>
      <w:r w:rsidR="00B43C48" w:rsidRPr="00952D60">
        <w:t>).</w:t>
      </w:r>
      <w:r w:rsidR="007E0CFF" w:rsidRPr="00952D60">
        <w:t xml:space="preserve"> </w:t>
      </w:r>
    </w:p>
    <w:p w14:paraId="0C44B8DB" w14:textId="6257CD27" w:rsidR="001B1E5F" w:rsidRPr="001B1E5F" w:rsidRDefault="00952D60" w:rsidP="00952D60">
      <w:r w:rsidRPr="001B1E5F">
        <w:rPr>
          <w:rFonts w:eastAsia="Times New Roman" w:cs="Arial"/>
          <w:color w:val="000000"/>
          <w:szCs w:val="24"/>
          <w:lang w:val="en-US" w:eastAsia="en-ZA"/>
        </w:rPr>
        <w:lastRenderedPageBreak/>
        <w:t>[3]</w:t>
      </w:r>
      <w:r w:rsidRPr="001B1E5F">
        <w:rPr>
          <w:rFonts w:eastAsia="Times New Roman" w:cs="Arial"/>
          <w:color w:val="000000"/>
          <w:szCs w:val="24"/>
          <w:lang w:val="en-US" w:eastAsia="en-ZA"/>
        </w:rPr>
        <w:tab/>
      </w:r>
      <w:r w:rsidR="007E0CFF" w:rsidRPr="00952D60">
        <w:t>That is what happened with the lease agreements in this case</w:t>
      </w:r>
      <w:r w:rsidR="00532537" w:rsidRPr="00952D60">
        <w:t>. Custom Cut approached Sunlyn for financing</w:t>
      </w:r>
      <w:r w:rsidR="00441D27" w:rsidRPr="00952D60">
        <w:t xml:space="preserve"> on behalf of Gragood</w:t>
      </w:r>
      <w:r w:rsidR="00532537" w:rsidRPr="00952D60">
        <w:t>. After approval (more on that below), Sunlyn signed the leases with</w:t>
      </w:r>
      <w:r w:rsidR="00441D27" w:rsidRPr="00952D60">
        <w:t xml:space="preserve"> Gragood, and guarantees with the Applicant. </w:t>
      </w:r>
      <w:r w:rsidR="001B1E5F" w:rsidRPr="00952D60">
        <w:t xml:space="preserve">The circumstances in which the lease agreements and the guarantees were signed are of some moment. </w:t>
      </w:r>
    </w:p>
    <w:p w14:paraId="60F70164" w14:textId="75419B05" w:rsidR="001B1E5F" w:rsidRDefault="00952D60" w:rsidP="00952D60">
      <w:r>
        <w:rPr>
          <w:rFonts w:eastAsia="Times New Roman" w:cs="Arial"/>
          <w:color w:val="000000"/>
          <w:szCs w:val="24"/>
          <w:lang w:val="en-US" w:eastAsia="en-ZA"/>
        </w:rPr>
        <w:t>[4]</w:t>
      </w:r>
      <w:r>
        <w:rPr>
          <w:rFonts w:eastAsia="Times New Roman" w:cs="Arial"/>
          <w:color w:val="000000"/>
          <w:szCs w:val="24"/>
          <w:lang w:val="en-US" w:eastAsia="en-ZA"/>
        </w:rPr>
        <w:tab/>
      </w:r>
      <w:r w:rsidR="001B1E5F">
        <w:t xml:space="preserve">Gragood was the developer of two sectional title schemes – the Palm Gardens Retreat Sectional Title Scheme, and the Palm Gardens Retreat (Helen Zille Wing). Both schemes regularly procured goods </w:t>
      </w:r>
      <w:r w:rsidR="00935CDC">
        <w:t xml:space="preserve">and services </w:t>
      </w:r>
      <w:r w:rsidR="001B1E5F">
        <w:t>through Gragood.</w:t>
      </w:r>
      <w:r w:rsidR="00935CDC">
        <w:t xml:space="preserve"> The Applicant was a director of Gragood.</w:t>
      </w:r>
    </w:p>
    <w:p w14:paraId="3AD75E82" w14:textId="2BC06217" w:rsidR="00A156AF" w:rsidRPr="001B1E5F" w:rsidRDefault="00952D60" w:rsidP="00952D60">
      <w:r w:rsidRPr="001B1E5F">
        <w:rPr>
          <w:rFonts w:eastAsia="Times New Roman" w:cs="Arial"/>
          <w:color w:val="000000"/>
          <w:szCs w:val="24"/>
          <w:lang w:val="en-US" w:eastAsia="en-ZA"/>
        </w:rPr>
        <w:t>[5]</w:t>
      </w:r>
      <w:r w:rsidRPr="001B1E5F">
        <w:rPr>
          <w:rFonts w:eastAsia="Times New Roman" w:cs="Arial"/>
          <w:color w:val="000000"/>
          <w:szCs w:val="24"/>
          <w:lang w:val="en-US" w:eastAsia="en-ZA"/>
        </w:rPr>
        <w:tab/>
      </w:r>
      <w:r w:rsidR="00935CDC">
        <w:t>During 2020, she was caring for her late husband and was persuaded by a Mr Koegelenberg to let him manage Gragood’s affairs. It was Koegelenberg who advised her that Gragood required printers as did the Palm Gardens Body Corporate</w:t>
      </w:r>
      <w:r w:rsidR="00756178">
        <w:t xml:space="preserve"> (</w:t>
      </w:r>
      <w:r w:rsidR="00756178" w:rsidRPr="00952D60">
        <w:rPr>
          <w:b/>
          <w:bCs/>
        </w:rPr>
        <w:t>PGBC</w:t>
      </w:r>
      <w:r w:rsidR="00756178">
        <w:t>)</w:t>
      </w:r>
      <w:r w:rsidR="00935CDC">
        <w:t xml:space="preserve">. </w:t>
      </w:r>
      <w:r w:rsidR="00A156AF">
        <w:t>He planned to procure those printers through Custom Cut, and to finance them through Sunlyn.</w:t>
      </w:r>
      <w:r w:rsidR="00A156AF" w:rsidRPr="00A156AF">
        <w:t xml:space="preserve"> </w:t>
      </w:r>
      <w:r w:rsidR="00756178">
        <w:t>Koegelenberg</w:t>
      </w:r>
      <w:r w:rsidR="00A156AF">
        <w:t xml:space="preserve"> advised her that the PGBC would pay for the printers. Based on Mr Koegelenberg’s representations, she</w:t>
      </w:r>
      <w:r w:rsidR="00756178">
        <w:t xml:space="preserve"> agreed to Gragood </w:t>
      </w:r>
      <w:r w:rsidR="002822B5">
        <w:t>renting the printers.</w:t>
      </w:r>
      <w:r w:rsidR="00A156AF">
        <w:t xml:space="preserve"> </w:t>
      </w:r>
    </w:p>
    <w:p w14:paraId="2A6A33C5" w14:textId="3A9F888F" w:rsidR="00F8213C" w:rsidRPr="00E53EB9" w:rsidRDefault="00952D60" w:rsidP="00952D60">
      <w:r w:rsidRPr="00E53EB9">
        <w:rPr>
          <w:rFonts w:eastAsia="Times New Roman" w:cs="Arial"/>
          <w:color w:val="000000"/>
          <w:szCs w:val="24"/>
          <w:lang w:val="en-US" w:eastAsia="en-ZA"/>
        </w:rPr>
        <w:t>[6]</w:t>
      </w:r>
      <w:r w:rsidRPr="00E53EB9">
        <w:rPr>
          <w:rFonts w:eastAsia="Times New Roman" w:cs="Arial"/>
          <w:color w:val="000000"/>
          <w:szCs w:val="24"/>
          <w:lang w:val="en-US" w:eastAsia="en-ZA"/>
        </w:rPr>
        <w:tab/>
      </w:r>
      <w:r w:rsidR="002822B5">
        <w:t>Sunly</w:t>
      </w:r>
      <w:r w:rsidR="00AF6FFC">
        <w:t>n</w:t>
      </w:r>
      <w:r w:rsidR="002822B5">
        <w:t xml:space="preserve"> initially rejected </w:t>
      </w:r>
      <w:r w:rsidR="00F8213C">
        <w:t>Gragood’s application for financing. It was approved only after Gragood submitted additional documents, and subject to the Applicant agreeing to stand as a guarantor.</w:t>
      </w:r>
      <w:r w:rsidR="003D29E5">
        <w:t xml:space="preserve"> </w:t>
      </w:r>
      <w:r w:rsidR="00270EC7">
        <w:t>She did so, signing the lease agreements as director of Gragood, and the guarantees in her personal capacity.</w:t>
      </w:r>
      <w:r w:rsidR="00EB2A6D">
        <w:t xml:space="preserve"> The leases included an acceleration clause</w:t>
      </w:r>
      <w:r w:rsidR="000242D2">
        <w:t>; if</w:t>
      </w:r>
      <w:r w:rsidR="00EB2A6D">
        <w:t xml:space="preserve"> Gragood failed to pay the rent, </w:t>
      </w:r>
      <w:r w:rsidR="000242D2">
        <w:t>Sunlyn could claim the full outstanding amount for the five-year term.</w:t>
      </w:r>
    </w:p>
    <w:p w14:paraId="650BEFC0" w14:textId="148CB90C" w:rsidR="005F34D1" w:rsidRPr="005F34D1" w:rsidRDefault="00952D60" w:rsidP="00952D60">
      <w:r w:rsidRPr="005F34D1">
        <w:rPr>
          <w:rFonts w:eastAsia="Times New Roman" w:cs="Arial"/>
          <w:color w:val="000000"/>
          <w:szCs w:val="24"/>
          <w:lang w:val="en-US" w:eastAsia="en-ZA"/>
        </w:rPr>
        <w:t>[7]</w:t>
      </w:r>
      <w:r w:rsidRPr="005F34D1">
        <w:rPr>
          <w:rFonts w:eastAsia="Times New Roman" w:cs="Arial"/>
          <w:color w:val="000000"/>
          <w:szCs w:val="24"/>
          <w:lang w:val="en-US" w:eastAsia="en-ZA"/>
        </w:rPr>
        <w:tab/>
      </w:r>
      <w:r w:rsidR="005F34D1" w:rsidRPr="00952D60">
        <w:t>The printers were duly delivered. But i</w:t>
      </w:r>
      <w:r w:rsidR="00270EC7" w:rsidRPr="00952D60">
        <w:t>t turned out that</w:t>
      </w:r>
      <w:r w:rsidR="00302607" w:rsidRPr="00952D60">
        <w:t xml:space="preserve"> neither PGBC nor Gragood needed the printers. PGBC refused to pay for them. </w:t>
      </w:r>
      <w:r w:rsidR="003D29E5" w:rsidRPr="00952D60">
        <w:t xml:space="preserve">Gragood barely used them. </w:t>
      </w:r>
    </w:p>
    <w:p w14:paraId="5FD41B42" w14:textId="604E1ED4" w:rsidR="001B1E5F" w:rsidRPr="002E4498" w:rsidRDefault="00952D60" w:rsidP="00952D60">
      <w:r w:rsidRPr="002E4498">
        <w:rPr>
          <w:rFonts w:eastAsia="Times New Roman" w:cs="Arial"/>
          <w:color w:val="000000"/>
          <w:szCs w:val="24"/>
          <w:lang w:val="en-US" w:eastAsia="en-ZA"/>
        </w:rPr>
        <w:lastRenderedPageBreak/>
        <w:t>[8]</w:t>
      </w:r>
      <w:r w:rsidRPr="002E4498">
        <w:rPr>
          <w:rFonts w:eastAsia="Times New Roman" w:cs="Arial"/>
          <w:color w:val="000000"/>
          <w:szCs w:val="24"/>
          <w:lang w:val="en-US" w:eastAsia="en-ZA"/>
        </w:rPr>
        <w:tab/>
      </w:r>
      <w:r w:rsidR="005F34D1" w:rsidRPr="00952D60">
        <w:t xml:space="preserve">Why </w:t>
      </w:r>
      <w:r w:rsidR="001E6807" w:rsidRPr="00952D60">
        <w:t xml:space="preserve">were these printers rented and hardly used? </w:t>
      </w:r>
      <w:r w:rsidR="001B1E5F" w:rsidRPr="00952D60">
        <w:t>The Applicant</w:t>
      </w:r>
      <w:r w:rsidR="00302607" w:rsidRPr="00952D60">
        <w:t xml:space="preserve"> alleges</w:t>
      </w:r>
      <w:r w:rsidR="001B1E5F" w:rsidRPr="00952D60">
        <w:t xml:space="preserve"> that she was “fraudulently induced by Willem </w:t>
      </w:r>
      <w:r w:rsidR="00D3639B" w:rsidRPr="00952D60">
        <w:t>K</w:t>
      </w:r>
      <w:r w:rsidR="001B1E5F" w:rsidRPr="00952D60">
        <w:t>oegelenberg (a convicted fraudster, now deceased) to provide the Guarantees”.</w:t>
      </w:r>
      <w:r w:rsidR="00063FF9" w:rsidRPr="00952D60">
        <w:t xml:space="preserve"> She also allege</w:t>
      </w:r>
      <w:r w:rsidR="003D29E5" w:rsidRPr="00952D60">
        <w:t>s</w:t>
      </w:r>
      <w:r w:rsidR="00063FF9" w:rsidRPr="00952D60">
        <w:t xml:space="preserve"> that </w:t>
      </w:r>
      <w:r w:rsidR="0035252B" w:rsidRPr="00952D60">
        <w:t>“Sunlyn’s Sales Representative in respect of the Agreements relied upon by the Plaintiffs, was a friend of Koegelenberg and unbeknown to me at the time, the leasing charges were exorbitant and completely out of kilter with leasing charges for similar equipment.”</w:t>
      </w:r>
      <w:r w:rsidR="00D3639B" w:rsidRPr="00952D60">
        <w:t xml:space="preserve"> She claims that if she had known that</w:t>
      </w:r>
      <w:r w:rsidR="007301C7" w:rsidRPr="00952D60">
        <w:t xml:space="preserve"> the printers were not needed, that </w:t>
      </w:r>
      <w:r w:rsidR="00AC7753" w:rsidRPr="00952D60">
        <w:t>P</w:t>
      </w:r>
      <w:r w:rsidR="007301C7" w:rsidRPr="00952D60">
        <w:t xml:space="preserve">GBC would not pay for them, that the prices were exorbitant, and that Koegelenberg “was setting me up to take the fall”, she would not have signed the </w:t>
      </w:r>
      <w:r w:rsidR="005441DA" w:rsidRPr="00952D60">
        <w:t xml:space="preserve">lease </w:t>
      </w:r>
      <w:r w:rsidR="007301C7" w:rsidRPr="00952D60">
        <w:t>agreements</w:t>
      </w:r>
      <w:r w:rsidR="005441DA" w:rsidRPr="00952D60">
        <w:t xml:space="preserve"> or the guarantees</w:t>
      </w:r>
      <w:r w:rsidR="007301C7" w:rsidRPr="00952D60">
        <w:t>.</w:t>
      </w:r>
    </w:p>
    <w:p w14:paraId="7ED08A61" w14:textId="14DC0600" w:rsidR="00971E02" w:rsidRPr="00971E02" w:rsidRDefault="00952D60" w:rsidP="00952D60">
      <w:r w:rsidRPr="00971E02">
        <w:rPr>
          <w:rFonts w:eastAsia="Times New Roman" w:cs="Arial"/>
          <w:color w:val="000000"/>
          <w:szCs w:val="24"/>
          <w:lang w:val="en-US" w:eastAsia="en-ZA"/>
        </w:rPr>
        <w:t>[9]</w:t>
      </w:r>
      <w:r w:rsidRPr="00971E02">
        <w:rPr>
          <w:rFonts w:eastAsia="Times New Roman" w:cs="Arial"/>
          <w:color w:val="000000"/>
          <w:szCs w:val="24"/>
          <w:lang w:val="en-US" w:eastAsia="en-ZA"/>
        </w:rPr>
        <w:tab/>
      </w:r>
      <w:r w:rsidR="00971E02">
        <w:t>The Respondents deny any knowledge of</w:t>
      </w:r>
      <w:r w:rsidR="00AB3C60">
        <w:t xml:space="preserve"> any</w:t>
      </w:r>
      <w:r w:rsidR="00971E02">
        <w:t xml:space="preserve"> fraud. </w:t>
      </w:r>
      <w:r w:rsidR="00DC3796">
        <w:t>Sunlyn’s</w:t>
      </w:r>
      <w:r w:rsidR="006C49A9">
        <w:t xml:space="preserve"> representative was Mr Gary Kalt, </w:t>
      </w:r>
      <w:r w:rsidR="00137D7E">
        <w:t>its</w:t>
      </w:r>
      <w:r w:rsidR="006C49A9">
        <w:t xml:space="preserve"> Asset Finance Regional Manager for Cape Town. He deposed to an affidavit confirming </w:t>
      </w:r>
      <w:r w:rsidR="00E101E8">
        <w:t xml:space="preserve">he had </w:t>
      </w:r>
      <w:r w:rsidR="00140509">
        <w:t>n</w:t>
      </w:r>
      <w:r w:rsidR="00E101E8">
        <w:t>o contact with Koegelenberg or the Applicant, and does not know Koegelenberg. His interaction was through the supplier</w:t>
      </w:r>
      <w:r w:rsidR="00A60BEB">
        <w:t xml:space="preserve"> – Custom Cut. Its representative in the deal was Mr Jan Nel.</w:t>
      </w:r>
      <w:r w:rsidR="00AA3174">
        <w:t xml:space="preserve"> Any fraud,</w:t>
      </w:r>
      <w:r w:rsidR="0084013D">
        <w:t xml:space="preserve"> the Respondents claim</w:t>
      </w:r>
      <w:r w:rsidR="00AA3174">
        <w:t xml:space="preserve">, had nothing to do with </w:t>
      </w:r>
      <w:r w:rsidR="0084013D">
        <w:t>them</w:t>
      </w:r>
      <w:r w:rsidR="00AA3174">
        <w:t>.</w:t>
      </w:r>
    </w:p>
    <w:p w14:paraId="7187A329" w14:textId="68088548" w:rsidR="00D474FC" w:rsidRPr="00D474FC" w:rsidRDefault="00952D60" w:rsidP="00952D60">
      <w:r w:rsidRPr="00D474FC">
        <w:rPr>
          <w:rFonts w:eastAsia="Times New Roman" w:cs="Arial"/>
          <w:color w:val="000000"/>
          <w:szCs w:val="24"/>
          <w:lang w:val="en-US" w:eastAsia="en-ZA"/>
        </w:rPr>
        <w:t>[10]</w:t>
      </w:r>
      <w:r w:rsidRPr="00D474FC">
        <w:rPr>
          <w:rFonts w:eastAsia="Times New Roman" w:cs="Arial"/>
          <w:color w:val="000000"/>
          <w:szCs w:val="24"/>
          <w:lang w:val="en-US" w:eastAsia="en-ZA"/>
        </w:rPr>
        <w:tab/>
      </w:r>
      <w:r w:rsidR="00AE6525">
        <w:t>Gragood failed to pay its regular monthly rentals. Precisely when and how it failed is not clear, but there is no dispute that it did not pay.</w:t>
      </w:r>
    </w:p>
    <w:p w14:paraId="6934973C" w14:textId="77A2B6BC" w:rsidR="001B1E5F" w:rsidRPr="00607D40" w:rsidRDefault="00952D60" w:rsidP="00952D60">
      <w:r w:rsidRPr="00607D40">
        <w:rPr>
          <w:rFonts w:eastAsia="Times New Roman" w:cs="Arial"/>
          <w:color w:val="000000"/>
          <w:szCs w:val="24"/>
          <w:lang w:val="en-US" w:eastAsia="en-ZA"/>
        </w:rPr>
        <w:t>[11]</w:t>
      </w:r>
      <w:r w:rsidRPr="00607D40">
        <w:rPr>
          <w:rFonts w:eastAsia="Times New Roman" w:cs="Arial"/>
          <w:color w:val="000000"/>
          <w:szCs w:val="24"/>
          <w:lang w:val="en-US" w:eastAsia="en-ZA"/>
        </w:rPr>
        <w:tab/>
      </w:r>
      <w:r w:rsidR="00EE28AC" w:rsidRPr="00952D60">
        <w:t xml:space="preserve">For reasons that </w:t>
      </w:r>
      <w:r w:rsidR="004812C6" w:rsidRPr="00952D60">
        <w:t>are not directly relevant</w:t>
      </w:r>
      <w:r w:rsidR="00DC3796" w:rsidRPr="00952D60">
        <w:t xml:space="preserve">, </w:t>
      </w:r>
      <w:r w:rsidR="001B1E5F" w:rsidRPr="00952D60">
        <w:t xml:space="preserve">Gragood </w:t>
      </w:r>
      <w:r w:rsidR="00935CDC" w:rsidRPr="00952D60">
        <w:t>was placed in business rescue on 25 September 2020.</w:t>
      </w:r>
      <w:r w:rsidR="00533EF1" w:rsidRPr="00952D60">
        <w:t xml:space="preserve"> A business rescue plan for Gragood was adopted on 9 March 2021.</w:t>
      </w:r>
      <w:r w:rsidR="006E475A" w:rsidRPr="00952D60">
        <w:t xml:space="preserve"> The Respondents ultimately received </w:t>
      </w:r>
      <w:r w:rsidR="000015FE" w:rsidRPr="00952D60">
        <w:t>R37 061.14 from the business rescue process, which constituted</w:t>
      </w:r>
      <w:r w:rsidR="004812C6" w:rsidRPr="00952D60">
        <w:t xml:space="preserve"> just</w:t>
      </w:r>
      <w:r w:rsidR="000015FE" w:rsidRPr="00952D60">
        <w:t xml:space="preserve"> 6c in the Rand.</w:t>
      </w:r>
      <w:r w:rsidR="00B92A4A" w:rsidRPr="00952D60">
        <w:t xml:space="preserve"> The business rescue released Gragood from its obligations; whether that release extended to the Applicant as guarantor is in debate between the parties.</w:t>
      </w:r>
    </w:p>
    <w:p w14:paraId="61EC0F01" w14:textId="52310D75" w:rsidR="00607D40" w:rsidRPr="00C60C46" w:rsidRDefault="00952D60" w:rsidP="00952D60">
      <w:r w:rsidRPr="00C60C46">
        <w:rPr>
          <w:rFonts w:eastAsia="Times New Roman" w:cs="Arial"/>
          <w:color w:val="000000"/>
          <w:szCs w:val="24"/>
          <w:lang w:val="en-US" w:eastAsia="en-ZA"/>
        </w:rPr>
        <w:lastRenderedPageBreak/>
        <w:t>[12]</w:t>
      </w:r>
      <w:r w:rsidRPr="00C60C46">
        <w:rPr>
          <w:rFonts w:eastAsia="Times New Roman" w:cs="Arial"/>
          <w:color w:val="000000"/>
          <w:szCs w:val="24"/>
          <w:lang w:val="en-US" w:eastAsia="en-ZA"/>
        </w:rPr>
        <w:tab/>
      </w:r>
      <w:r w:rsidR="004E25E6" w:rsidRPr="00952D60">
        <w:t>Because G</w:t>
      </w:r>
      <w:r w:rsidR="005E6EC3" w:rsidRPr="00952D60">
        <w:t>r</w:t>
      </w:r>
      <w:r w:rsidR="004E25E6" w:rsidRPr="00952D60">
        <w:t xml:space="preserve">agood was in arrears, the rental agreement permitted the Respondents to </w:t>
      </w:r>
      <w:r w:rsidR="005E6EC3" w:rsidRPr="00952D60">
        <w:t xml:space="preserve">repossess the printers. </w:t>
      </w:r>
      <w:r w:rsidR="00607D40" w:rsidRPr="00952D60">
        <w:t xml:space="preserve">The printers were collected from </w:t>
      </w:r>
      <w:r w:rsidR="00C95B52" w:rsidRPr="00952D60">
        <w:t>Gragood on 2 June 2021. They were sold</w:t>
      </w:r>
      <w:r w:rsidR="009F2C83" w:rsidRPr="00952D60">
        <w:t xml:space="preserve"> at auction on 8 July 2021 for just R 1 495. </w:t>
      </w:r>
      <w:r w:rsidR="00887893" w:rsidRPr="00952D60">
        <w:t xml:space="preserve">That was less than the cost of collection and storage and sale, which </w:t>
      </w:r>
      <w:r w:rsidR="009A2983" w:rsidRPr="00952D60">
        <w:t>amounted to R3 369.50.</w:t>
      </w:r>
      <w:r w:rsidR="00C35D6C" w:rsidRPr="00952D60">
        <w:t xml:space="preserve"> </w:t>
      </w:r>
    </w:p>
    <w:p w14:paraId="249F0128" w14:textId="27E4F2CC" w:rsidR="008F5D85" w:rsidRPr="008F5D85" w:rsidRDefault="00952D60" w:rsidP="00952D60">
      <w:r w:rsidRPr="008F5D85">
        <w:rPr>
          <w:rFonts w:eastAsia="Times New Roman" w:cs="Arial"/>
          <w:color w:val="000000"/>
          <w:szCs w:val="24"/>
          <w:lang w:val="en-US" w:eastAsia="en-ZA"/>
        </w:rPr>
        <w:t>[13]</w:t>
      </w:r>
      <w:r w:rsidRPr="008F5D85">
        <w:rPr>
          <w:rFonts w:eastAsia="Times New Roman" w:cs="Arial"/>
          <w:color w:val="000000"/>
          <w:szCs w:val="24"/>
          <w:lang w:val="en-US" w:eastAsia="en-ZA"/>
        </w:rPr>
        <w:tab/>
      </w:r>
      <w:r w:rsidR="00E67209" w:rsidRPr="00952D60">
        <w:t xml:space="preserve">The Respondents only cancelled the various agreements between November 2021 and February 2022. In terms of </w:t>
      </w:r>
      <w:r w:rsidR="00B92A4A" w:rsidRPr="00952D60">
        <w:t xml:space="preserve">the </w:t>
      </w:r>
      <w:r w:rsidR="00E67209" w:rsidRPr="00952D60">
        <w:t xml:space="preserve">acceleration clause, </w:t>
      </w:r>
      <w:r w:rsidR="008F5D85" w:rsidRPr="00952D60">
        <w:t>the Respondents claim</w:t>
      </w:r>
      <w:r w:rsidR="00B92A4A" w:rsidRPr="00952D60">
        <w:t>ed</w:t>
      </w:r>
      <w:r w:rsidR="008F5D85" w:rsidRPr="00952D60">
        <w:t xml:space="preserve"> the full outstanding </w:t>
      </w:r>
      <w:r w:rsidR="00B92A4A" w:rsidRPr="00952D60">
        <w:t xml:space="preserve">five years of </w:t>
      </w:r>
      <w:r w:rsidR="008F5D85" w:rsidRPr="00952D60">
        <w:t>rental, plus interest from the Applicant</w:t>
      </w:r>
      <w:r w:rsidR="00B92A4A" w:rsidRPr="00952D60">
        <w:t xml:space="preserve"> under the guarantee</w:t>
      </w:r>
      <w:r w:rsidR="0084013D" w:rsidRPr="00952D60">
        <w:t>s</w:t>
      </w:r>
      <w:r w:rsidR="008F5D85" w:rsidRPr="00952D60">
        <w:t>. A</w:t>
      </w:r>
      <w:r w:rsidR="004E3E8F" w:rsidRPr="00952D60">
        <w:t xml:space="preserve"> summons </w:t>
      </w:r>
      <w:r w:rsidR="008F5D85" w:rsidRPr="00952D60">
        <w:t xml:space="preserve">to that effect </w:t>
      </w:r>
      <w:r w:rsidR="004E3E8F" w:rsidRPr="00952D60">
        <w:t>was served on the Applicant’s chosen domicilium</w:t>
      </w:r>
      <w:r w:rsidR="00C80C65" w:rsidRPr="00952D60">
        <w:t xml:space="preserve"> on 21 A</w:t>
      </w:r>
      <w:r w:rsidR="0064691D" w:rsidRPr="00952D60">
        <w:t xml:space="preserve">pril </w:t>
      </w:r>
      <w:r w:rsidR="00C80C65" w:rsidRPr="00952D60">
        <w:t xml:space="preserve">2022. </w:t>
      </w:r>
    </w:p>
    <w:p w14:paraId="50D221FB" w14:textId="6A8783EF" w:rsidR="004E3E8F" w:rsidRPr="004E25E6" w:rsidRDefault="00952D60" w:rsidP="00952D60">
      <w:r w:rsidRPr="004E25E6">
        <w:rPr>
          <w:rFonts w:eastAsia="Times New Roman" w:cs="Arial"/>
          <w:color w:val="000000"/>
          <w:szCs w:val="24"/>
          <w:lang w:val="en-US" w:eastAsia="en-ZA"/>
        </w:rPr>
        <w:t>[14]</w:t>
      </w:r>
      <w:r w:rsidRPr="004E25E6">
        <w:rPr>
          <w:rFonts w:eastAsia="Times New Roman" w:cs="Arial"/>
          <w:color w:val="000000"/>
          <w:szCs w:val="24"/>
          <w:lang w:val="en-US" w:eastAsia="en-ZA"/>
        </w:rPr>
        <w:tab/>
      </w:r>
      <w:r w:rsidR="00C80C65" w:rsidRPr="00952D60">
        <w:t>But the Applicant did not receive the summons, as she had b</w:t>
      </w:r>
      <w:r w:rsidR="004E25E6" w:rsidRPr="00952D60">
        <w:t>y</w:t>
      </w:r>
      <w:r w:rsidR="00C80C65" w:rsidRPr="00952D60">
        <w:t xml:space="preserve"> then moved to a new address. </w:t>
      </w:r>
      <w:r w:rsidR="00B275B7" w:rsidRPr="00952D60">
        <w:t>No appearance to defend was entered, and the Respondents obtained default judgment on 4 August 2022</w:t>
      </w:r>
      <w:r w:rsidR="00B92513" w:rsidRPr="00952D60">
        <w:t>.</w:t>
      </w:r>
    </w:p>
    <w:p w14:paraId="231BAF90" w14:textId="0A8327E7" w:rsidR="00F77DAC" w:rsidRPr="00F77DAC" w:rsidRDefault="00952D60" w:rsidP="00952D60">
      <w:r w:rsidRPr="00F77DAC">
        <w:rPr>
          <w:rFonts w:eastAsia="Times New Roman" w:cs="Arial"/>
          <w:color w:val="000000"/>
          <w:szCs w:val="24"/>
          <w:lang w:val="en-US" w:eastAsia="en-ZA"/>
        </w:rPr>
        <w:t>[15]</w:t>
      </w:r>
      <w:r w:rsidRPr="00F77DAC">
        <w:rPr>
          <w:rFonts w:eastAsia="Times New Roman" w:cs="Arial"/>
          <w:color w:val="000000"/>
          <w:szCs w:val="24"/>
          <w:lang w:val="en-US" w:eastAsia="en-ZA"/>
        </w:rPr>
        <w:tab/>
      </w:r>
      <w:r w:rsidR="0084013D">
        <w:t>The Applicant</w:t>
      </w:r>
      <w:r w:rsidR="00926488">
        <w:t xml:space="preserve"> </w:t>
      </w:r>
      <w:r w:rsidR="00B71B83">
        <w:t>first became aware that there might be litigation on 25 November 2022 when the sheriff attempted to serve a writ of execution. It took until 2 December 2022 for her to determine</w:t>
      </w:r>
      <w:r w:rsidR="0084013D">
        <w:t xml:space="preserve"> that</w:t>
      </w:r>
      <w:r w:rsidR="00B71B83">
        <w:t xml:space="preserve"> the basis for the writ</w:t>
      </w:r>
      <w:r w:rsidR="000E052F">
        <w:t xml:space="preserve"> was the Respondents’ </w:t>
      </w:r>
      <w:r w:rsidR="00B71B83">
        <w:t>action.</w:t>
      </w:r>
      <w:r w:rsidR="00BA3B14">
        <w:t xml:space="preserve"> Her attorneys asked for an indulgence to launch an application for rescission by 20 January 2023. The Respondents’ attorneys granted the indulgence.</w:t>
      </w:r>
      <w:r w:rsidR="00C35D6C">
        <w:t xml:space="preserve"> This application for rescission was launched a few days late on 24 January 2023.</w:t>
      </w:r>
      <w:r w:rsidR="00F77DAC" w:rsidRPr="00952D60">
        <w:t xml:space="preserve"> </w:t>
      </w:r>
      <w:r w:rsidR="00B536B7" w:rsidRPr="00952D60">
        <w:t>Condonation was not opposed, and it is granted.</w:t>
      </w:r>
    </w:p>
    <w:p w14:paraId="0B863669" w14:textId="037D1A24" w:rsidR="00CC7D98" w:rsidRPr="007A2A82" w:rsidRDefault="00952D60" w:rsidP="00952D60">
      <w:r w:rsidRPr="007A2A82">
        <w:rPr>
          <w:rFonts w:eastAsia="Times New Roman" w:cs="Arial"/>
          <w:color w:val="000000"/>
          <w:szCs w:val="24"/>
          <w:lang w:val="en-US" w:eastAsia="en-ZA"/>
        </w:rPr>
        <w:t>[16]</w:t>
      </w:r>
      <w:r w:rsidRPr="007A2A82">
        <w:rPr>
          <w:rFonts w:eastAsia="Times New Roman" w:cs="Arial"/>
          <w:color w:val="000000"/>
          <w:szCs w:val="24"/>
          <w:lang w:val="en-US" w:eastAsia="en-ZA"/>
        </w:rPr>
        <w:tab/>
      </w:r>
      <w:r w:rsidR="00CC7D98">
        <w:t xml:space="preserve">The application explains that, had she been aware of the </w:t>
      </w:r>
      <w:r w:rsidR="00AB75F5">
        <w:t xml:space="preserve">action, </w:t>
      </w:r>
      <w:r w:rsidR="00B536B7">
        <w:t>the Applicant</w:t>
      </w:r>
      <w:r w:rsidR="00AB75F5">
        <w:t xml:space="preserve"> would have defended it. It was only because she did not receive the summons that she did not defend. </w:t>
      </w:r>
      <w:r w:rsidR="000E052F">
        <w:t>The Applicant</w:t>
      </w:r>
      <w:r w:rsidR="00AB75F5">
        <w:t xml:space="preserve"> also raises a number of defences, three of which were per</w:t>
      </w:r>
      <w:r w:rsidR="00514ABD">
        <w:t>s</w:t>
      </w:r>
      <w:r w:rsidR="00AB75F5">
        <w:t>isted with in argument</w:t>
      </w:r>
      <w:r w:rsidR="007A2A82">
        <w:t>:</w:t>
      </w:r>
    </w:p>
    <w:p w14:paraId="544E2365" w14:textId="21D345B4" w:rsidR="007A2A82" w:rsidRDefault="00952D60" w:rsidP="00952D60">
      <w:pPr>
        <w:ind w:left="720"/>
      </w:pPr>
      <w:r>
        <w:rPr>
          <w:rFonts w:eastAsia="Times New Roman" w:cs="Arial"/>
          <w:color w:val="000000"/>
          <w:szCs w:val="24"/>
          <w:lang w:val="en-US" w:eastAsia="en-ZA"/>
        </w:rPr>
        <w:lastRenderedPageBreak/>
        <w:t>[16.1]</w:t>
      </w:r>
      <w:r>
        <w:rPr>
          <w:rFonts w:eastAsia="Times New Roman" w:cs="Arial"/>
          <w:color w:val="000000"/>
          <w:szCs w:val="24"/>
          <w:lang w:val="en-US" w:eastAsia="en-ZA"/>
        </w:rPr>
        <w:tab/>
      </w:r>
      <w:r w:rsidR="00514ABD">
        <w:t xml:space="preserve">The </w:t>
      </w:r>
      <w:r w:rsidR="00F774CB">
        <w:t xml:space="preserve">business rescue proceedings compromised the debt Gragood owed the Respondents. As there was no underlying debt, </w:t>
      </w:r>
      <w:r w:rsidR="00BC6F05">
        <w:t>the Respondents had no claim against the Applicant</w:t>
      </w:r>
      <w:r w:rsidR="0059564B">
        <w:t xml:space="preserve"> under the guarantees</w:t>
      </w:r>
      <w:r w:rsidR="00BC6F05">
        <w:t>.</w:t>
      </w:r>
    </w:p>
    <w:p w14:paraId="7D196E6E" w14:textId="3982CE22" w:rsidR="00BC6F05" w:rsidRDefault="00952D60" w:rsidP="00952D60">
      <w:pPr>
        <w:ind w:left="720"/>
      </w:pPr>
      <w:r>
        <w:rPr>
          <w:rFonts w:eastAsia="Times New Roman" w:cs="Arial"/>
          <w:color w:val="000000"/>
          <w:szCs w:val="24"/>
          <w:lang w:val="en-US" w:eastAsia="en-ZA"/>
        </w:rPr>
        <w:t>[16.2]</w:t>
      </w:r>
      <w:r>
        <w:rPr>
          <w:rFonts w:eastAsia="Times New Roman" w:cs="Arial"/>
          <w:color w:val="000000"/>
          <w:szCs w:val="24"/>
          <w:lang w:val="en-US" w:eastAsia="en-ZA"/>
        </w:rPr>
        <w:tab/>
      </w:r>
      <w:r w:rsidR="00BC6F05">
        <w:t>The agreements had been induced by fraud, and were therefore invalid</w:t>
      </w:r>
      <w:r w:rsidR="007D4D99">
        <w:t xml:space="preserve"> because “fraud unravels all”</w:t>
      </w:r>
      <w:r w:rsidR="00BC6F05">
        <w:t>.</w:t>
      </w:r>
    </w:p>
    <w:p w14:paraId="0500A2CA" w14:textId="6DC09FF8" w:rsidR="00BC6F05" w:rsidRDefault="00952D60" w:rsidP="00952D60">
      <w:pPr>
        <w:ind w:left="720"/>
      </w:pPr>
      <w:r>
        <w:rPr>
          <w:rFonts w:eastAsia="Times New Roman" w:cs="Arial"/>
          <w:color w:val="000000"/>
          <w:szCs w:val="24"/>
          <w:lang w:val="en-US" w:eastAsia="en-ZA"/>
        </w:rPr>
        <w:t>[16.3]</w:t>
      </w:r>
      <w:r>
        <w:rPr>
          <w:rFonts w:eastAsia="Times New Roman" w:cs="Arial"/>
          <w:color w:val="000000"/>
          <w:szCs w:val="24"/>
          <w:lang w:val="en-US" w:eastAsia="en-ZA"/>
        </w:rPr>
        <w:tab/>
      </w:r>
      <w:r w:rsidR="00BC6F05">
        <w:t xml:space="preserve">The </w:t>
      </w:r>
      <w:r w:rsidR="00BC47F3">
        <w:t>claim constituted a penalty under the Conventional Penalties Act</w:t>
      </w:r>
      <w:r w:rsidR="00396460">
        <w:t xml:space="preserve"> 15 of 1962</w:t>
      </w:r>
      <w:r w:rsidR="00BC47F3">
        <w:t>, and should be reduced as it was “out of proportion to the prejudice suffered by the creditor”.</w:t>
      </w:r>
    </w:p>
    <w:p w14:paraId="78D68934" w14:textId="5F7174E6" w:rsidR="00A631CD" w:rsidRDefault="00952D60" w:rsidP="00952D60">
      <w:r>
        <w:rPr>
          <w:rFonts w:eastAsia="Times New Roman" w:cs="Arial"/>
          <w:color w:val="000000"/>
          <w:szCs w:val="24"/>
          <w:lang w:val="en-US" w:eastAsia="en-ZA"/>
        </w:rPr>
        <w:t>[17]</w:t>
      </w:r>
      <w:r>
        <w:rPr>
          <w:rFonts w:eastAsia="Times New Roman" w:cs="Arial"/>
          <w:color w:val="000000"/>
          <w:szCs w:val="24"/>
          <w:lang w:val="en-US" w:eastAsia="en-ZA"/>
        </w:rPr>
        <w:tab/>
      </w:r>
      <w:r w:rsidR="00A631CD">
        <w:t xml:space="preserve">The Respondents opposed rescission. They initially contended that the Applicant </w:t>
      </w:r>
      <w:r w:rsidR="000E052F">
        <w:t>failed to show</w:t>
      </w:r>
      <w:r w:rsidR="00A631CD">
        <w:t xml:space="preserve"> she was not in wilful default, although that argument was not pressed with </w:t>
      </w:r>
      <w:r w:rsidR="002F16BD">
        <w:t xml:space="preserve">much </w:t>
      </w:r>
      <w:r w:rsidR="00A631CD">
        <w:t xml:space="preserve">vigour in </w:t>
      </w:r>
      <w:r w:rsidR="00867335">
        <w:t xml:space="preserve">oral </w:t>
      </w:r>
      <w:r w:rsidR="00A631CD">
        <w:t>argument.</w:t>
      </w:r>
      <w:r w:rsidR="00867335">
        <w:t xml:space="preserve"> But they contended strongly that the </w:t>
      </w:r>
      <w:r w:rsidR="002F16BD">
        <w:t xml:space="preserve">Applicants’ </w:t>
      </w:r>
      <w:r w:rsidR="00867335">
        <w:t>defences were not bona fide</w:t>
      </w:r>
      <w:r w:rsidR="000E052F">
        <w:t xml:space="preserve"> because</w:t>
      </w:r>
      <w:r w:rsidR="00867335">
        <w:t>:</w:t>
      </w:r>
    </w:p>
    <w:p w14:paraId="2F09A80D" w14:textId="10CE7F27" w:rsidR="00867335" w:rsidRDefault="00952D60" w:rsidP="00952D60">
      <w:pPr>
        <w:ind w:left="720"/>
      </w:pPr>
      <w:r>
        <w:rPr>
          <w:rFonts w:eastAsia="Times New Roman" w:cs="Arial"/>
          <w:color w:val="000000"/>
          <w:szCs w:val="24"/>
          <w:lang w:val="en-US" w:eastAsia="en-ZA"/>
        </w:rPr>
        <w:t>[17.1]</w:t>
      </w:r>
      <w:r>
        <w:rPr>
          <w:rFonts w:eastAsia="Times New Roman" w:cs="Arial"/>
          <w:color w:val="000000"/>
          <w:szCs w:val="24"/>
          <w:lang w:val="en-US" w:eastAsia="en-ZA"/>
        </w:rPr>
        <w:tab/>
      </w:r>
      <w:r w:rsidR="00867335">
        <w:t>The business rescue plan expressly preserved the creditors’ rights to pursue guarantors</w:t>
      </w:r>
      <w:r w:rsidR="002A4D7B">
        <w:t>;</w:t>
      </w:r>
    </w:p>
    <w:p w14:paraId="24DAA9E3" w14:textId="33C5643D" w:rsidR="00867335" w:rsidRDefault="00952D60" w:rsidP="00952D60">
      <w:pPr>
        <w:ind w:left="720"/>
      </w:pPr>
      <w:r>
        <w:rPr>
          <w:rFonts w:eastAsia="Times New Roman" w:cs="Arial"/>
          <w:color w:val="000000"/>
          <w:szCs w:val="24"/>
          <w:lang w:val="en-US" w:eastAsia="en-ZA"/>
        </w:rPr>
        <w:t>[17.2]</w:t>
      </w:r>
      <w:r>
        <w:rPr>
          <w:rFonts w:eastAsia="Times New Roman" w:cs="Arial"/>
          <w:color w:val="000000"/>
          <w:szCs w:val="24"/>
          <w:lang w:val="en-US" w:eastAsia="en-ZA"/>
        </w:rPr>
        <w:tab/>
      </w:r>
      <w:r w:rsidR="00867335">
        <w:t>Th</w:t>
      </w:r>
      <w:r w:rsidR="002A4D7B">
        <w:t>e Respondents were not involved in any fraud; and</w:t>
      </w:r>
    </w:p>
    <w:p w14:paraId="2E9B1FC7" w14:textId="2052C810" w:rsidR="002A4D7B" w:rsidRDefault="00952D60" w:rsidP="00952D60">
      <w:pPr>
        <w:ind w:left="720"/>
      </w:pPr>
      <w:r>
        <w:rPr>
          <w:rFonts w:eastAsia="Times New Roman" w:cs="Arial"/>
          <w:color w:val="000000"/>
          <w:szCs w:val="24"/>
          <w:lang w:val="en-US" w:eastAsia="en-ZA"/>
        </w:rPr>
        <w:t>[17.3]</w:t>
      </w:r>
      <w:r>
        <w:rPr>
          <w:rFonts w:eastAsia="Times New Roman" w:cs="Arial"/>
          <w:color w:val="000000"/>
          <w:szCs w:val="24"/>
          <w:lang w:val="en-US" w:eastAsia="en-ZA"/>
        </w:rPr>
        <w:tab/>
      </w:r>
      <w:r w:rsidR="002A4D7B">
        <w:t>Their prejudice was the full outstanding value of the rental agreements because they had not recovered any value from the repossessed machines.</w:t>
      </w:r>
    </w:p>
    <w:p w14:paraId="7C815E1D" w14:textId="6CB15865" w:rsidR="00C74D26" w:rsidRPr="00BD1F52" w:rsidRDefault="00952D60" w:rsidP="00952D60">
      <w:r w:rsidRPr="00BD1F52">
        <w:rPr>
          <w:rFonts w:eastAsia="Times New Roman" w:cs="Arial"/>
          <w:color w:val="000000"/>
          <w:szCs w:val="24"/>
          <w:lang w:val="en-US" w:eastAsia="en-ZA"/>
        </w:rPr>
        <w:t>[18]</w:t>
      </w:r>
      <w:r w:rsidRPr="00BD1F52">
        <w:rPr>
          <w:rFonts w:eastAsia="Times New Roman" w:cs="Arial"/>
          <w:color w:val="000000"/>
          <w:szCs w:val="24"/>
          <w:lang w:val="en-US" w:eastAsia="en-ZA"/>
        </w:rPr>
        <w:tab/>
      </w:r>
      <w:r w:rsidR="004729EA">
        <w:t xml:space="preserve">To determine whether the Applicant has made a case for rescission, I first briefly set out the standard she must meet. I then </w:t>
      </w:r>
      <w:r w:rsidR="001C1772">
        <w:t>consider whether she is in wilful default. I next discuss each of the three defences. Finally, I deal with costs.</w:t>
      </w:r>
    </w:p>
    <w:p w14:paraId="7EAB4FF3" w14:textId="77777777" w:rsidR="00BD1F52" w:rsidRDefault="00BD1F52" w:rsidP="00BD1F52"/>
    <w:p w14:paraId="3FE34F87" w14:textId="0E818876" w:rsidR="00D15EDD" w:rsidRDefault="00D15EDD" w:rsidP="00D15EDD">
      <w:pPr>
        <w:pStyle w:val="Heading3"/>
      </w:pPr>
      <w:r>
        <w:lastRenderedPageBreak/>
        <w:t xml:space="preserve">The Standard for </w:t>
      </w:r>
      <w:r w:rsidR="00402269">
        <w:t>Rescission</w:t>
      </w:r>
    </w:p>
    <w:p w14:paraId="4A0CD819" w14:textId="67B05BAB" w:rsidR="00D15EDD" w:rsidRDefault="00952D60" w:rsidP="00952D60">
      <w:r>
        <w:rPr>
          <w:rFonts w:eastAsia="Times New Roman" w:cs="Arial"/>
          <w:color w:val="000000"/>
          <w:szCs w:val="24"/>
          <w:lang w:val="en-US" w:eastAsia="en-ZA"/>
        </w:rPr>
        <w:t>[19]</w:t>
      </w:r>
      <w:r>
        <w:rPr>
          <w:rFonts w:eastAsia="Times New Roman" w:cs="Arial"/>
          <w:color w:val="000000"/>
          <w:szCs w:val="24"/>
          <w:lang w:val="en-US" w:eastAsia="en-ZA"/>
        </w:rPr>
        <w:tab/>
      </w:r>
      <w:r w:rsidR="00B43576">
        <w:t>Rescission of judgment under rule 3</w:t>
      </w:r>
      <w:r w:rsidR="00CE63F6">
        <w:t>1</w:t>
      </w:r>
      <w:r w:rsidR="00B43576">
        <w:t>(</w:t>
      </w:r>
      <w:r w:rsidR="00CE63F6">
        <w:t>2</w:t>
      </w:r>
      <w:r w:rsidR="00B43576">
        <w:t>)(b) is in the discretion of the Court. The defendant seeking rescission must generally establish: (a) that she was not in wilful default; (b) that the application is brought in good faith to allow her to defend the action; and (c) that she has a bona fide defence to the claim.</w:t>
      </w:r>
      <w:bookmarkStart w:id="1" w:name="_Ref152584726"/>
      <w:r w:rsidR="00567BB6">
        <w:rPr>
          <w:rStyle w:val="FootnoteReference"/>
        </w:rPr>
        <w:footnoteReference w:id="1"/>
      </w:r>
      <w:bookmarkEnd w:id="1"/>
      <w:r w:rsidR="00CA1007">
        <w:t xml:space="preserve"> The last two elements are related. The defendant must identify a bona fide defence </w:t>
      </w:r>
      <w:r w:rsidR="00CA1007" w:rsidRPr="00952D60">
        <w:rPr>
          <w:i/>
          <w:iCs/>
        </w:rPr>
        <w:t>and</w:t>
      </w:r>
      <w:r w:rsidR="00CA1007">
        <w:t xml:space="preserve"> convince the court that she honestly intends to pursue that defence.</w:t>
      </w:r>
      <w:r w:rsidR="00376CDF">
        <w:t xml:space="preserve"> These are not strict requirements. Rather they are </w:t>
      </w:r>
      <w:r w:rsidR="00A97BE2">
        <w:t>factors the court will consider in exercising its discretion to rescind.</w:t>
      </w:r>
      <w:r w:rsidR="00A97BE2">
        <w:rPr>
          <w:rStyle w:val="FootnoteReference"/>
        </w:rPr>
        <w:footnoteReference w:id="2"/>
      </w:r>
    </w:p>
    <w:p w14:paraId="55C071FF" w14:textId="09898629" w:rsidR="00B43576" w:rsidRDefault="00952D60" w:rsidP="00952D60">
      <w:r>
        <w:rPr>
          <w:rFonts w:eastAsia="Times New Roman" w:cs="Arial"/>
          <w:color w:val="000000"/>
          <w:szCs w:val="24"/>
          <w:lang w:val="en-US" w:eastAsia="en-ZA"/>
        </w:rPr>
        <w:t>[20]</w:t>
      </w:r>
      <w:r>
        <w:rPr>
          <w:rFonts w:eastAsia="Times New Roman" w:cs="Arial"/>
          <w:color w:val="000000"/>
          <w:szCs w:val="24"/>
          <w:lang w:val="en-US" w:eastAsia="en-ZA"/>
        </w:rPr>
        <w:tab/>
      </w:r>
      <w:r w:rsidR="00B43576">
        <w:t xml:space="preserve">The </w:t>
      </w:r>
      <w:r w:rsidR="00542C7D">
        <w:t xml:space="preserve">main </w:t>
      </w:r>
      <w:r w:rsidR="00B43576">
        <w:t xml:space="preserve">issue in this application is whether the </w:t>
      </w:r>
      <w:r w:rsidR="00434C64">
        <w:t xml:space="preserve">Applicant has a bona fide defence. </w:t>
      </w:r>
      <w:r w:rsidR="00337361">
        <w:t>She does not need to show that her defence is likely to succeed; but she must demonstrate an issue that, if proved</w:t>
      </w:r>
      <w:r w:rsidR="000C025A">
        <w:t xml:space="preserve"> at trial</w:t>
      </w:r>
      <w:r w:rsidR="00337361">
        <w:t>, would be a defence to all or part of the claim.</w:t>
      </w:r>
      <w:r w:rsidR="00337361">
        <w:rPr>
          <w:rStyle w:val="FootnoteReference"/>
        </w:rPr>
        <w:footnoteReference w:id="3"/>
      </w:r>
    </w:p>
    <w:p w14:paraId="0CFD348A" w14:textId="77777777" w:rsidR="00A17092" w:rsidRDefault="00A17092" w:rsidP="00B939A9">
      <w:pPr>
        <w:pStyle w:val="Heading3"/>
      </w:pPr>
    </w:p>
    <w:p w14:paraId="40E08272" w14:textId="325549CE" w:rsidR="00290D29" w:rsidRPr="00290D29" w:rsidRDefault="00B939A9" w:rsidP="00B939A9">
      <w:pPr>
        <w:pStyle w:val="Heading3"/>
      </w:pPr>
      <w:r>
        <w:t>Wilful Default</w:t>
      </w:r>
    </w:p>
    <w:p w14:paraId="3B94B556" w14:textId="0C4E440B" w:rsidR="00E549B2" w:rsidRDefault="00952D60" w:rsidP="00952D60">
      <w:r>
        <w:rPr>
          <w:rFonts w:eastAsia="Times New Roman" w:cs="Arial"/>
          <w:color w:val="000000"/>
          <w:szCs w:val="24"/>
          <w:lang w:val="en-US" w:eastAsia="en-ZA"/>
        </w:rPr>
        <w:t>[21]</w:t>
      </w:r>
      <w:r>
        <w:rPr>
          <w:rFonts w:eastAsia="Times New Roman" w:cs="Arial"/>
          <w:color w:val="000000"/>
          <w:szCs w:val="24"/>
          <w:lang w:val="en-US" w:eastAsia="en-ZA"/>
        </w:rPr>
        <w:tab/>
      </w:r>
      <w:r w:rsidR="005F732D">
        <w:t>The Applicant was not aware of the summons</w:t>
      </w:r>
      <w:r w:rsidR="00E05465">
        <w:t xml:space="preserve"> or the application for default judgment</w:t>
      </w:r>
      <w:r w:rsidR="005F732D">
        <w:t>.</w:t>
      </w:r>
      <w:r w:rsidR="00E05465">
        <w:t xml:space="preserve"> Once she became aware, she immediately took steps to have the default judgment rescinded. </w:t>
      </w:r>
      <w:r w:rsidR="004533D3">
        <w:t xml:space="preserve">While summons may have been served </w:t>
      </w:r>
      <w:r w:rsidR="00567BB6">
        <w:t xml:space="preserve">on her domicilium </w:t>
      </w:r>
      <w:r w:rsidR="004533D3">
        <w:t xml:space="preserve">consistently with the rules, that does not mean she was in wilful default. </w:t>
      </w:r>
    </w:p>
    <w:p w14:paraId="198C31F7" w14:textId="2887389A" w:rsidR="00A34038" w:rsidRDefault="00952D60" w:rsidP="00952D60">
      <w:r>
        <w:rPr>
          <w:rFonts w:eastAsia="Times New Roman" w:cs="Arial"/>
          <w:color w:val="000000"/>
          <w:szCs w:val="24"/>
          <w:lang w:val="en-US" w:eastAsia="en-ZA"/>
        </w:rPr>
        <w:lastRenderedPageBreak/>
        <w:t>[22]</w:t>
      </w:r>
      <w:r>
        <w:rPr>
          <w:rFonts w:eastAsia="Times New Roman" w:cs="Arial"/>
          <w:color w:val="000000"/>
          <w:szCs w:val="24"/>
          <w:lang w:val="en-US" w:eastAsia="en-ZA"/>
        </w:rPr>
        <w:tab/>
      </w:r>
      <w:r w:rsidR="00C8441F">
        <w:t xml:space="preserve">Wilful default exists where a litigant is </w:t>
      </w:r>
      <w:r w:rsidR="00904AE8">
        <w:t xml:space="preserve">in fact </w:t>
      </w:r>
      <w:r w:rsidR="00C8441F">
        <w:t xml:space="preserve">aware of </w:t>
      </w:r>
      <w:r w:rsidR="00904AE8">
        <w:t>the litigation and does nothing to defend it.</w:t>
      </w:r>
      <w:r w:rsidR="00E549B2">
        <w:rPr>
          <w:rStyle w:val="FootnoteReference"/>
        </w:rPr>
        <w:footnoteReference w:id="4"/>
      </w:r>
      <w:r w:rsidR="00904AE8">
        <w:t xml:space="preserve"> That is not the case here.</w:t>
      </w:r>
      <w:r w:rsidR="009B4406">
        <w:t xml:space="preserve"> While there may have been proper service, there is no evidence that the Applicant knew of the action until </w:t>
      </w:r>
      <w:r w:rsidR="00D355EF">
        <w:t>November 2022. Her actions thereafter evince a real intent to oppose.</w:t>
      </w:r>
    </w:p>
    <w:p w14:paraId="1B13F007" w14:textId="73040EED" w:rsidR="00904AE8" w:rsidRDefault="00952D60" w:rsidP="00952D60">
      <w:r>
        <w:rPr>
          <w:rFonts w:eastAsia="Times New Roman" w:cs="Arial"/>
          <w:color w:val="000000"/>
          <w:szCs w:val="24"/>
          <w:lang w:val="en-US" w:eastAsia="en-ZA"/>
        </w:rPr>
        <w:t>[23]</w:t>
      </w:r>
      <w:r>
        <w:rPr>
          <w:rFonts w:eastAsia="Times New Roman" w:cs="Arial"/>
          <w:color w:val="000000"/>
          <w:szCs w:val="24"/>
          <w:lang w:val="en-US" w:eastAsia="en-ZA"/>
        </w:rPr>
        <w:tab/>
      </w:r>
      <w:r w:rsidR="00904AE8">
        <w:t xml:space="preserve">The first element </w:t>
      </w:r>
      <w:r w:rsidR="004B7670">
        <w:t>for rescission is met.</w:t>
      </w:r>
    </w:p>
    <w:p w14:paraId="539405BC" w14:textId="77777777" w:rsidR="004B7670" w:rsidRDefault="004B7670" w:rsidP="004B7670"/>
    <w:p w14:paraId="59887D7D" w14:textId="11EC4EAD" w:rsidR="004B7670" w:rsidRDefault="004B7670" w:rsidP="004B7670">
      <w:pPr>
        <w:pStyle w:val="Heading3"/>
      </w:pPr>
      <w:r>
        <w:t>Surety and Business Rescue</w:t>
      </w:r>
    </w:p>
    <w:p w14:paraId="55D11825" w14:textId="332ECC34" w:rsidR="004B7670" w:rsidRDefault="00952D60" w:rsidP="00952D60">
      <w:r>
        <w:rPr>
          <w:rFonts w:eastAsia="Times New Roman" w:cs="Arial"/>
          <w:color w:val="000000"/>
          <w:szCs w:val="24"/>
          <w:lang w:val="en-US" w:eastAsia="en-ZA"/>
        </w:rPr>
        <w:t>[24]</w:t>
      </w:r>
      <w:r>
        <w:rPr>
          <w:rFonts w:eastAsia="Times New Roman" w:cs="Arial"/>
          <w:color w:val="000000"/>
          <w:szCs w:val="24"/>
          <w:lang w:val="en-US" w:eastAsia="en-ZA"/>
        </w:rPr>
        <w:tab/>
      </w:r>
      <w:r w:rsidR="004B7670">
        <w:t xml:space="preserve">The Applicant’s </w:t>
      </w:r>
      <w:r w:rsidR="008B4F3D">
        <w:t xml:space="preserve">first defence </w:t>
      </w:r>
      <w:r w:rsidR="004B7670">
        <w:t xml:space="preserve">is that </w:t>
      </w:r>
      <w:r w:rsidR="008B4F3D">
        <w:t xml:space="preserve">the business rescue plan </w:t>
      </w:r>
      <w:r w:rsidR="00091053">
        <w:t xml:space="preserve">extinguished her obligations as </w:t>
      </w:r>
      <w:r w:rsidR="006F70D6">
        <w:t>guarantor</w:t>
      </w:r>
      <w:r w:rsidR="00091053">
        <w:t>. She contends that the business rescue constituted a compromise of the Respondents’ claims against Gragood</w:t>
      </w:r>
      <w:r w:rsidR="00046639">
        <w:t>, and that her</w:t>
      </w:r>
      <w:r w:rsidR="00CE63F6">
        <w:t xml:space="preserve"> secondary</w:t>
      </w:r>
      <w:r w:rsidR="00046639">
        <w:t xml:space="preserve"> liability as </w:t>
      </w:r>
      <w:r w:rsidR="006F70D6">
        <w:t>guarantor</w:t>
      </w:r>
      <w:r w:rsidR="00046639">
        <w:t xml:space="preserve"> cannot survive that compromise.</w:t>
      </w:r>
    </w:p>
    <w:p w14:paraId="6F0AC026" w14:textId="6CBB12B0" w:rsidR="002F3544" w:rsidRDefault="00952D60" w:rsidP="00952D60">
      <w:r>
        <w:rPr>
          <w:rFonts w:eastAsia="Times New Roman" w:cs="Arial"/>
          <w:color w:val="000000"/>
          <w:szCs w:val="24"/>
          <w:lang w:val="en-US" w:eastAsia="en-ZA"/>
        </w:rPr>
        <w:t>[25]</w:t>
      </w:r>
      <w:r>
        <w:rPr>
          <w:rFonts w:eastAsia="Times New Roman" w:cs="Arial"/>
          <w:color w:val="000000"/>
          <w:szCs w:val="24"/>
          <w:lang w:val="en-US" w:eastAsia="en-ZA"/>
        </w:rPr>
        <w:tab/>
      </w:r>
      <w:r w:rsidR="00046639">
        <w:t xml:space="preserve">It is so </w:t>
      </w:r>
      <w:r w:rsidR="00276F84">
        <w:t>that</w:t>
      </w:r>
      <w:r w:rsidR="00DA2893">
        <w:t>, absent any indication to the contrary in a business rescue plan</w:t>
      </w:r>
      <w:r w:rsidR="006F70D6">
        <w:t>, the termination of a primary debt extinguishes a guarantor’s liability.</w:t>
      </w:r>
      <w:r w:rsidR="003B4B34">
        <w:rPr>
          <w:rStyle w:val="FootnoteReference"/>
        </w:rPr>
        <w:footnoteReference w:id="5"/>
      </w:r>
      <w:r w:rsidR="00550B43">
        <w:t xml:space="preserve"> </w:t>
      </w:r>
      <w:r w:rsidR="00D5326E">
        <w:t>That is the effect of</w:t>
      </w:r>
      <w:r w:rsidR="00016244">
        <w:t xml:space="preserve"> </w:t>
      </w:r>
      <w:r w:rsidR="00C5635E">
        <w:t>154</w:t>
      </w:r>
      <w:r w:rsidR="00114539">
        <w:t>(1)</w:t>
      </w:r>
      <w:r w:rsidR="00C5635E">
        <w:t xml:space="preserve"> of the Companies Act</w:t>
      </w:r>
      <w:r w:rsidR="00D9062C">
        <w:t xml:space="preserve"> 71 of 2008</w:t>
      </w:r>
      <w:r w:rsidR="00D5326E">
        <w:t xml:space="preserve">, at least for those creditors who accede </w:t>
      </w:r>
      <w:r w:rsidR="00114539">
        <w:t>to the discharge</w:t>
      </w:r>
      <w:r w:rsidR="00C5635E">
        <w:t>.</w:t>
      </w:r>
      <w:r w:rsidR="00C5635E">
        <w:rPr>
          <w:rStyle w:val="FootnoteReference"/>
        </w:rPr>
        <w:footnoteReference w:id="6"/>
      </w:r>
      <w:r w:rsidR="00C5635E">
        <w:t xml:space="preserve"> </w:t>
      </w:r>
      <w:r w:rsidR="002F3544">
        <w:t>But that is not an absolute rule</w:t>
      </w:r>
      <w:r w:rsidR="00DB548B">
        <w:t>;</w:t>
      </w:r>
      <w:r w:rsidR="00114539">
        <w:t xml:space="preserve"> as s 154(2) of the Companies Act makes clear</w:t>
      </w:r>
      <w:r w:rsidR="00DB548B">
        <w:t>, it depends on the business rescue plan</w:t>
      </w:r>
      <w:r w:rsidR="002F3544">
        <w:t>.</w:t>
      </w:r>
      <w:r w:rsidR="00813064">
        <w:rPr>
          <w:rStyle w:val="FootnoteReference"/>
        </w:rPr>
        <w:footnoteReference w:id="7"/>
      </w:r>
      <w:r w:rsidR="002F3544">
        <w:t xml:space="preserve"> </w:t>
      </w:r>
      <w:r w:rsidR="00145C34">
        <w:t xml:space="preserve">The position was set out in </w:t>
      </w:r>
      <w:r w:rsidR="00145C34" w:rsidRPr="00952D60">
        <w:rPr>
          <w:i/>
          <w:iCs/>
        </w:rPr>
        <w:t xml:space="preserve">Van </w:t>
      </w:r>
      <w:r w:rsidR="00145C34" w:rsidRPr="00952D60">
        <w:rPr>
          <w:i/>
          <w:iCs/>
        </w:rPr>
        <w:lastRenderedPageBreak/>
        <w:t>Zyl v A</w:t>
      </w:r>
      <w:r w:rsidR="00E5225F" w:rsidRPr="00952D60">
        <w:rPr>
          <w:i/>
          <w:iCs/>
        </w:rPr>
        <w:t>uto Commodities (Pty) Ltd</w:t>
      </w:r>
      <w:r w:rsidR="00E5225F" w:rsidRPr="00E5225F">
        <w:t>.</w:t>
      </w:r>
      <w:r w:rsidR="00E5225F" w:rsidRPr="00E5225F">
        <w:rPr>
          <w:rStyle w:val="FootnoteReference"/>
        </w:rPr>
        <w:footnoteReference w:id="8"/>
      </w:r>
      <w:r w:rsidR="0064184A">
        <w:t xml:space="preserve"> It is possible for a creditor and a principal debtor to conclude an agreement </w:t>
      </w:r>
      <w:r w:rsidR="001C12CF">
        <w:t>where “the creditor’s right to pursue the surety remains extant.”</w:t>
      </w:r>
      <w:r w:rsidR="00194786">
        <w:rPr>
          <w:rStyle w:val="FootnoteReference"/>
        </w:rPr>
        <w:footnoteReference w:id="9"/>
      </w:r>
      <w:r w:rsidR="00194786">
        <w:t xml:space="preserve"> It takes the form of a</w:t>
      </w:r>
      <w:r w:rsidR="00550B43">
        <w:t>n agreement that the creditor will not sue the principal debtor – a</w:t>
      </w:r>
      <w:r w:rsidR="00194786">
        <w:t xml:space="preserve"> </w:t>
      </w:r>
      <w:r w:rsidR="00194786" w:rsidRPr="00952D60">
        <w:rPr>
          <w:i/>
          <w:iCs/>
        </w:rPr>
        <w:t>pactum de non petendo</w:t>
      </w:r>
      <w:r w:rsidR="007C37F4" w:rsidRPr="00952D60">
        <w:rPr>
          <w:i/>
          <w:iCs/>
        </w:rPr>
        <w:t xml:space="preserve"> </w:t>
      </w:r>
      <w:r w:rsidR="007C37F4">
        <w:t>– without compromising the underlying debt</w:t>
      </w:r>
      <w:r w:rsidR="00194786">
        <w:t>. The creditor is then free to pursue the surety or guarantor</w:t>
      </w:r>
      <w:r w:rsidR="007C37F4">
        <w:t xml:space="preserve"> because the primary debt has not been discharged</w:t>
      </w:r>
      <w:r w:rsidR="00194786">
        <w:t>.</w:t>
      </w:r>
    </w:p>
    <w:p w14:paraId="5B585508" w14:textId="705F6F9B" w:rsidR="00203116" w:rsidRDefault="00952D60" w:rsidP="00952D60">
      <w:r>
        <w:rPr>
          <w:rFonts w:eastAsia="Times New Roman" w:cs="Arial"/>
          <w:color w:val="000000"/>
          <w:szCs w:val="24"/>
          <w:lang w:val="en-US" w:eastAsia="en-ZA"/>
        </w:rPr>
        <w:t>[26]</w:t>
      </w:r>
      <w:r>
        <w:rPr>
          <w:rFonts w:eastAsia="Times New Roman" w:cs="Arial"/>
          <w:color w:val="000000"/>
          <w:szCs w:val="24"/>
          <w:lang w:val="en-US" w:eastAsia="en-ZA"/>
        </w:rPr>
        <w:tab/>
      </w:r>
      <w:r w:rsidR="00203116">
        <w:t xml:space="preserve">That is what happened here. The business rescue plan expressly preserves the creditors’ right to </w:t>
      </w:r>
      <w:r w:rsidR="00494E7B">
        <w:t xml:space="preserve">act against any sureties and guarantors. Paragraph 29 reads: “The adoption of </w:t>
      </w:r>
      <w:r w:rsidR="00A145DC">
        <w:t>the Business Rescue Plan shall not affect the right of any Creditor to pursue any party who bound itself as guarantor, surety and co-principal debtor and/or indemnity with the Company for any debt owing, of whatsoever nature and howsoever arising, by the Company to such party.”</w:t>
      </w:r>
      <w:r w:rsidR="00D67F94">
        <w:t xml:space="preserve"> </w:t>
      </w:r>
      <w:r w:rsidR="008F3B98">
        <w:t xml:space="preserve">The </w:t>
      </w:r>
      <w:r w:rsidR="00A03970">
        <w:t xml:space="preserve">creditors – the </w:t>
      </w:r>
      <w:r w:rsidR="008F3B98">
        <w:t>Respondents</w:t>
      </w:r>
      <w:r w:rsidR="006072BF">
        <w:t xml:space="preserve"> </w:t>
      </w:r>
      <w:r w:rsidR="00A03970">
        <w:t xml:space="preserve">– </w:t>
      </w:r>
      <w:r w:rsidR="006072BF">
        <w:t>ha</w:t>
      </w:r>
      <w:r w:rsidR="00A03970">
        <w:t>ve</w:t>
      </w:r>
      <w:r w:rsidR="006072BF">
        <w:t xml:space="preserve"> not abandoned any </w:t>
      </w:r>
      <w:r w:rsidR="00D077B9">
        <w:t xml:space="preserve">right </w:t>
      </w:r>
      <w:r w:rsidR="005D17C6">
        <w:t>they have</w:t>
      </w:r>
      <w:r w:rsidR="00D077B9">
        <w:t xml:space="preserve"> against the Applicant.</w:t>
      </w:r>
      <w:r w:rsidR="00CC2E5B">
        <w:t xml:space="preserve"> </w:t>
      </w:r>
      <w:r w:rsidR="005D17C6">
        <w:t>They have</w:t>
      </w:r>
      <w:r w:rsidR="00CC2E5B">
        <w:t xml:space="preserve">, instead, agreed not to sue </w:t>
      </w:r>
      <w:r w:rsidR="00A03970">
        <w:t>Gragood</w:t>
      </w:r>
      <w:r w:rsidR="00F0478B">
        <w:t>, while making no such agreement not to sue its guarantor. For this reason alone, the defence is bad.</w:t>
      </w:r>
    </w:p>
    <w:p w14:paraId="499E42D1" w14:textId="3D2B075B" w:rsidR="00612BED" w:rsidRDefault="00952D60" w:rsidP="00952D60">
      <w:r>
        <w:rPr>
          <w:rFonts w:eastAsia="Times New Roman" w:cs="Arial"/>
          <w:color w:val="000000"/>
          <w:szCs w:val="24"/>
          <w:lang w:val="en-US" w:eastAsia="en-ZA"/>
        </w:rPr>
        <w:t>[27]</w:t>
      </w:r>
      <w:r>
        <w:rPr>
          <w:rFonts w:eastAsia="Times New Roman" w:cs="Arial"/>
          <w:color w:val="000000"/>
          <w:szCs w:val="24"/>
          <w:lang w:val="en-US" w:eastAsia="en-ZA"/>
        </w:rPr>
        <w:tab/>
      </w:r>
      <w:r w:rsidR="00612BED">
        <w:t xml:space="preserve">The Respondents also </w:t>
      </w:r>
      <w:r w:rsidR="00F66AD2">
        <w:t>contend</w:t>
      </w:r>
      <w:r w:rsidR="00612BED">
        <w:t xml:space="preserve"> that </w:t>
      </w:r>
      <w:r w:rsidR="00F66AD2">
        <w:t xml:space="preserve">clause 2 of each of the guarantees </w:t>
      </w:r>
      <w:r w:rsidR="009A3BFE">
        <w:t xml:space="preserve">oblige her to indemnify </w:t>
      </w:r>
      <w:r w:rsidR="00BE7B5A">
        <w:t>S</w:t>
      </w:r>
      <w:r w:rsidR="009A3BFE">
        <w:t xml:space="preserve">unlyn </w:t>
      </w:r>
      <w:r w:rsidR="00A96024">
        <w:t xml:space="preserve">even if any of the guaranteed obligation becomes “void, voidable, unenforceable or ineffective for any reason whatsoever”. </w:t>
      </w:r>
      <w:r w:rsidR="006D5C45">
        <w:t>The argument was that</w:t>
      </w:r>
      <w:r w:rsidR="00F716CA">
        <w:t>, even</w:t>
      </w:r>
      <w:r w:rsidR="006D5C45">
        <w:t xml:space="preserve"> if the business rescue rendered the primary obligations unenforceable, it did not affect the Applicant’s </w:t>
      </w:r>
      <w:r w:rsidR="00906730">
        <w:t xml:space="preserve">obligations under </w:t>
      </w:r>
      <w:r w:rsidR="00F716CA">
        <w:t xml:space="preserve">clause 2 of </w:t>
      </w:r>
      <w:r w:rsidR="00906730">
        <w:t xml:space="preserve">the guarantees. Given my </w:t>
      </w:r>
      <w:r w:rsidR="0043294A">
        <w:t xml:space="preserve">view that paragraph 29 of the business rescue plan </w:t>
      </w:r>
      <w:r w:rsidR="005D526E">
        <w:t xml:space="preserve">in any event </w:t>
      </w:r>
      <w:r w:rsidR="0043294A">
        <w:t xml:space="preserve">does not preclude </w:t>
      </w:r>
      <w:r w:rsidR="0043294A">
        <w:lastRenderedPageBreak/>
        <w:t>the Respondents from seeking to recover from the Applicant, I</w:t>
      </w:r>
      <w:r w:rsidR="00906730">
        <w:t xml:space="preserve"> </w:t>
      </w:r>
      <w:r w:rsidR="0043294A">
        <w:t xml:space="preserve">prefer </w:t>
      </w:r>
      <w:r w:rsidR="00906730">
        <w:t>not</w:t>
      </w:r>
      <w:r w:rsidR="007C7DE0">
        <w:t xml:space="preserve"> to</w:t>
      </w:r>
      <w:r w:rsidR="00906730">
        <w:t xml:space="preserve"> express an opinion on this argument</w:t>
      </w:r>
      <w:r w:rsidR="0043294A">
        <w:t>.</w:t>
      </w:r>
    </w:p>
    <w:p w14:paraId="7D47922D" w14:textId="275A9749" w:rsidR="00F716CA" w:rsidRDefault="00952D60" w:rsidP="00952D60">
      <w:r>
        <w:rPr>
          <w:rFonts w:eastAsia="Times New Roman" w:cs="Arial"/>
          <w:color w:val="000000"/>
          <w:szCs w:val="24"/>
          <w:lang w:val="en-US" w:eastAsia="en-ZA"/>
        </w:rPr>
        <w:t>[28]</w:t>
      </w:r>
      <w:r>
        <w:rPr>
          <w:rFonts w:eastAsia="Times New Roman" w:cs="Arial"/>
          <w:color w:val="000000"/>
          <w:szCs w:val="24"/>
          <w:lang w:val="en-US" w:eastAsia="en-ZA"/>
        </w:rPr>
        <w:tab/>
      </w:r>
      <w:r w:rsidR="00F716CA">
        <w:t>The</w:t>
      </w:r>
      <w:r w:rsidR="005D17C6">
        <w:t xml:space="preserve"> Applicant’s reliance on the business rescue plan is</w:t>
      </w:r>
      <w:r w:rsidR="00F716CA">
        <w:t xml:space="preserve"> not</w:t>
      </w:r>
      <w:r w:rsidR="005D17C6">
        <w:t>, therefore,</w:t>
      </w:r>
      <w:r w:rsidR="00F716CA">
        <w:t xml:space="preserve"> a bona fide defence.</w:t>
      </w:r>
    </w:p>
    <w:p w14:paraId="6262C14A" w14:textId="77777777" w:rsidR="00D077B9" w:rsidRDefault="00D077B9" w:rsidP="00D077B9"/>
    <w:p w14:paraId="0C8663F6" w14:textId="77777777" w:rsidR="00CC7D98" w:rsidRDefault="00CC7D98" w:rsidP="00CC7D98">
      <w:pPr>
        <w:pStyle w:val="Heading3"/>
      </w:pPr>
      <w:r>
        <w:t>Fraud</w:t>
      </w:r>
    </w:p>
    <w:p w14:paraId="1AB57ACF" w14:textId="7A361EFB" w:rsidR="00CC7D98" w:rsidRDefault="00952D60" w:rsidP="00952D60">
      <w:r>
        <w:rPr>
          <w:rFonts w:eastAsia="Times New Roman" w:cs="Arial"/>
          <w:color w:val="000000"/>
          <w:szCs w:val="24"/>
          <w:lang w:val="en-US" w:eastAsia="en-ZA"/>
        </w:rPr>
        <w:t>[29]</w:t>
      </w:r>
      <w:r>
        <w:rPr>
          <w:rFonts w:eastAsia="Times New Roman" w:cs="Arial"/>
          <w:color w:val="000000"/>
          <w:szCs w:val="24"/>
          <w:lang w:val="en-US" w:eastAsia="en-ZA"/>
        </w:rPr>
        <w:tab/>
      </w:r>
      <w:r w:rsidR="00CC7D98">
        <w:t>The fraud – as initially pleaded – involved Koegelenberg and an unnamed sales representative of Sunlyn who was a friend of Koegelenberg’s.</w:t>
      </w:r>
      <w:r w:rsidR="00F76F8A">
        <w:t xml:space="preserve"> They had induced the Applicant to rent the unneeded printers.</w:t>
      </w:r>
    </w:p>
    <w:p w14:paraId="3F3511A5" w14:textId="0A104CA9" w:rsidR="00CC7D98" w:rsidRDefault="00952D60" w:rsidP="00952D60">
      <w:r>
        <w:rPr>
          <w:rFonts w:eastAsia="Times New Roman" w:cs="Arial"/>
          <w:color w:val="000000"/>
          <w:szCs w:val="24"/>
          <w:lang w:val="en-US" w:eastAsia="en-ZA"/>
        </w:rPr>
        <w:t>[30]</w:t>
      </w:r>
      <w:r>
        <w:rPr>
          <w:rFonts w:eastAsia="Times New Roman" w:cs="Arial"/>
          <w:color w:val="000000"/>
          <w:szCs w:val="24"/>
          <w:lang w:val="en-US" w:eastAsia="en-ZA"/>
        </w:rPr>
        <w:tab/>
      </w:r>
      <w:r w:rsidR="00CC7D98">
        <w:t>The Respondents’ answer was simple</w:t>
      </w:r>
      <w:r w:rsidR="00055D38">
        <w:t>:</w:t>
      </w:r>
      <w:r w:rsidR="00CC7D98">
        <w:t xml:space="preserve"> Koegelenberg had no connection to them</w:t>
      </w:r>
      <w:r w:rsidR="00055D38">
        <w:t xml:space="preserve">. </w:t>
      </w:r>
      <w:r w:rsidR="00CC7D98">
        <w:t xml:space="preserve">Jan Nel worked for the supplier, not for Sunlyn.  Sunlyn’s sales representative </w:t>
      </w:r>
      <w:r w:rsidR="005C628C">
        <w:t xml:space="preserve">– Kalt – </w:t>
      </w:r>
      <w:r w:rsidR="00026572">
        <w:t xml:space="preserve">denied in an affidavit that he </w:t>
      </w:r>
      <w:r w:rsidR="00CC7D98">
        <w:t>had any involvement in fraud</w:t>
      </w:r>
      <w:r w:rsidR="005C628C">
        <w:t xml:space="preserve"> </w:t>
      </w:r>
      <w:r w:rsidR="00CC7D98">
        <w:t xml:space="preserve">and </w:t>
      </w:r>
      <w:r w:rsidR="00026572">
        <w:t>denied knowing</w:t>
      </w:r>
      <w:r w:rsidR="00CC7D98">
        <w:t xml:space="preserve"> Koegelenberg.</w:t>
      </w:r>
      <w:r w:rsidR="00F76F8A">
        <w:t xml:space="preserve"> Put bluntly, the Respondents had no connection to any fraud Koegelenberg had perpetrated</w:t>
      </w:r>
      <w:r w:rsidR="0017151E">
        <w:t>, and could not be responsible for it</w:t>
      </w:r>
      <w:r w:rsidR="00F76F8A">
        <w:t>.</w:t>
      </w:r>
    </w:p>
    <w:p w14:paraId="71F2B47D" w14:textId="7B4E17DE" w:rsidR="00CC7D98" w:rsidRDefault="00952D60" w:rsidP="00952D60">
      <w:r>
        <w:rPr>
          <w:rFonts w:eastAsia="Times New Roman" w:cs="Arial"/>
          <w:color w:val="000000"/>
          <w:szCs w:val="24"/>
          <w:lang w:val="en-US" w:eastAsia="en-ZA"/>
        </w:rPr>
        <w:t>[31]</w:t>
      </w:r>
      <w:r>
        <w:rPr>
          <w:rFonts w:eastAsia="Times New Roman" w:cs="Arial"/>
          <w:color w:val="000000"/>
          <w:szCs w:val="24"/>
          <w:lang w:val="en-US" w:eastAsia="en-ZA"/>
        </w:rPr>
        <w:tab/>
      </w:r>
      <w:r w:rsidR="00CC7D98">
        <w:t xml:space="preserve">In reply, the Applicant said that she “was defrauded by Koegelenberg and Jan Nel”. </w:t>
      </w:r>
      <w:r w:rsidR="00F117CE">
        <w:t>Her counsel appeared to accept that the sales representative referred to in the founding papers was Nel, not Ka</w:t>
      </w:r>
      <w:r w:rsidR="00387AE2">
        <w:t>l</w:t>
      </w:r>
      <w:r w:rsidR="00F117CE">
        <w:t xml:space="preserve">t. </w:t>
      </w:r>
      <w:r w:rsidR="00CC7D98">
        <w:t>But she sought to drag Kalt</w:t>
      </w:r>
      <w:r w:rsidR="00387AE2">
        <w:t xml:space="preserve"> into the conspiracy</w:t>
      </w:r>
      <w:r w:rsidR="00CC7D98">
        <w:t xml:space="preserve"> by alleging that he “must surely have been aware of the true value of the machines and of what Custom Cut and Jan Nel were seeking to do to Gragood (and to me).”</w:t>
      </w:r>
      <w:r w:rsidR="00F117CE">
        <w:t xml:space="preserve"> </w:t>
      </w:r>
    </w:p>
    <w:p w14:paraId="17231891" w14:textId="5C404DAE" w:rsidR="00FA3C3D" w:rsidRDefault="00952D60" w:rsidP="00952D60">
      <w:r>
        <w:rPr>
          <w:rFonts w:eastAsia="Times New Roman" w:cs="Arial"/>
          <w:color w:val="000000"/>
          <w:szCs w:val="24"/>
          <w:lang w:val="en-US" w:eastAsia="en-ZA"/>
        </w:rPr>
        <w:t>[32]</w:t>
      </w:r>
      <w:r>
        <w:rPr>
          <w:rFonts w:eastAsia="Times New Roman" w:cs="Arial"/>
          <w:color w:val="000000"/>
          <w:szCs w:val="24"/>
          <w:lang w:val="en-US" w:eastAsia="en-ZA"/>
        </w:rPr>
        <w:tab/>
      </w:r>
      <w:r w:rsidR="008337C7">
        <w:t>I am willing to accept that the Applicant may well have been</w:t>
      </w:r>
      <w:r w:rsidR="0017151E">
        <w:t xml:space="preserve"> fraudulently</w:t>
      </w:r>
      <w:r w:rsidR="008337C7">
        <w:t xml:space="preserve"> </w:t>
      </w:r>
      <w:r w:rsidR="004B6523">
        <w:t>induced</w:t>
      </w:r>
      <w:r w:rsidR="008337C7">
        <w:t xml:space="preserve"> to sign the leases and the guarantees.</w:t>
      </w:r>
      <w:r w:rsidR="00FA3C3D">
        <w:t xml:space="preserve"> But t</w:t>
      </w:r>
      <w:r w:rsidR="00CC7D98">
        <w:t xml:space="preserve">he key question is who is responsible for the fraud. </w:t>
      </w:r>
    </w:p>
    <w:p w14:paraId="07031F8B" w14:textId="2B11830B" w:rsidR="00CC7D98" w:rsidRDefault="00952D60" w:rsidP="00952D60">
      <w:r>
        <w:rPr>
          <w:rFonts w:eastAsia="Times New Roman" w:cs="Arial"/>
          <w:color w:val="000000"/>
          <w:szCs w:val="24"/>
          <w:lang w:val="en-US" w:eastAsia="en-ZA"/>
        </w:rPr>
        <w:lastRenderedPageBreak/>
        <w:t>[33]</w:t>
      </w:r>
      <w:r>
        <w:rPr>
          <w:rFonts w:eastAsia="Times New Roman" w:cs="Arial"/>
          <w:color w:val="000000"/>
          <w:szCs w:val="24"/>
          <w:lang w:val="en-US" w:eastAsia="en-ZA"/>
        </w:rPr>
        <w:tab/>
      </w:r>
      <w:r w:rsidR="00CC7D98">
        <w:t>Th</w:t>
      </w:r>
      <w:r w:rsidR="00FA3C3D">
        <w:t>e identity of the fraudster</w:t>
      </w:r>
      <w:r w:rsidR="00B503A4">
        <w:t>(s)</w:t>
      </w:r>
      <w:r w:rsidR="00FA3C3D">
        <w:t xml:space="preserve"> matters</w:t>
      </w:r>
      <w:r w:rsidR="00CC7D98">
        <w:t xml:space="preserve"> because “if the fraud which induces a contract does not proceed from one of the parties, but from an independent third person, it will have no effect upon the contract. The fraud must be the fraud of one of the parties or of a third party acing in collusion with, or as the agent of, one of the parties.”</w:t>
      </w:r>
      <w:r w:rsidR="00CC7D98">
        <w:rPr>
          <w:rStyle w:val="FootnoteReference"/>
        </w:rPr>
        <w:footnoteReference w:id="10"/>
      </w:r>
      <w:r w:rsidR="00CC7D98">
        <w:t xml:space="preserve"> As Cameron J put it, the maxim that “fraud unravels all” is not “a flame-thrower, withering all within reach.  Fraud unravels all directly within its compass, but only between victim and perpetrator, at the instance of the victim.”</w:t>
      </w:r>
      <w:r w:rsidR="00CC7D98">
        <w:rPr>
          <w:rStyle w:val="FootnoteReference"/>
        </w:rPr>
        <w:footnoteReference w:id="11"/>
      </w:r>
      <w:r w:rsidR="00CC7D98">
        <w:t xml:space="preserve"> </w:t>
      </w:r>
    </w:p>
    <w:p w14:paraId="1DDDBBFD" w14:textId="50D05014" w:rsidR="00CC7D98" w:rsidRDefault="00952D60" w:rsidP="00952D60">
      <w:r>
        <w:rPr>
          <w:rFonts w:eastAsia="Times New Roman" w:cs="Arial"/>
          <w:color w:val="000000"/>
          <w:szCs w:val="24"/>
          <w:lang w:val="en-US" w:eastAsia="en-ZA"/>
        </w:rPr>
        <w:t>[34]</w:t>
      </w:r>
      <w:r>
        <w:rPr>
          <w:rFonts w:eastAsia="Times New Roman" w:cs="Arial"/>
          <w:color w:val="000000"/>
          <w:szCs w:val="24"/>
          <w:lang w:val="en-US" w:eastAsia="en-ZA"/>
        </w:rPr>
        <w:tab/>
      </w:r>
      <w:r w:rsidR="00CC7D98">
        <w:t xml:space="preserve">So, if only Koegelenberg and Nel were involved in the alleged fraud, the Applicant would have no basis to set aside the contract, and no bona fide defence against the </w:t>
      </w:r>
      <w:r w:rsidR="00393937">
        <w:t xml:space="preserve">Respondents’ </w:t>
      </w:r>
      <w:r w:rsidR="00CC7D98">
        <w:t>action. She may have a separate claim against Koegelenberg and Nel, but that is of no m</w:t>
      </w:r>
      <w:r w:rsidR="00393937">
        <w:t>oment</w:t>
      </w:r>
      <w:r w:rsidR="00CC7D98">
        <w:t xml:space="preserve"> here. But if Kalt </w:t>
      </w:r>
      <w:r w:rsidR="00CC7D98" w:rsidRPr="00952D60">
        <w:rPr>
          <w:i/>
          <w:iCs/>
        </w:rPr>
        <w:t xml:space="preserve">was </w:t>
      </w:r>
      <w:r w:rsidR="00CC7D98">
        <w:t>involved in the fraud, then the Applicant would be entitled to set aside the leases and the guarantees</w:t>
      </w:r>
      <w:r w:rsidR="0011441A">
        <w:t>, and would have a bona fide defence to the action</w:t>
      </w:r>
      <w:r w:rsidR="00CC7D98">
        <w:t>.</w:t>
      </w:r>
    </w:p>
    <w:p w14:paraId="2D97053F" w14:textId="0E21158E" w:rsidR="00CC7D98" w:rsidRDefault="00952D60" w:rsidP="00952D60">
      <w:r>
        <w:rPr>
          <w:rFonts w:eastAsia="Times New Roman" w:cs="Arial"/>
          <w:color w:val="000000"/>
          <w:szCs w:val="24"/>
          <w:lang w:val="en-US" w:eastAsia="en-ZA"/>
        </w:rPr>
        <w:t>[35]</w:t>
      </w:r>
      <w:r>
        <w:rPr>
          <w:rFonts w:eastAsia="Times New Roman" w:cs="Arial"/>
          <w:color w:val="000000"/>
          <w:szCs w:val="24"/>
          <w:lang w:val="en-US" w:eastAsia="en-ZA"/>
        </w:rPr>
        <w:tab/>
      </w:r>
      <w:r w:rsidR="00CC7D98">
        <w:t xml:space="preserve">On the evidence in the founding papers, there is no basis to conclude that Kalt was involved. While the </w:t>
      </w:r>
      <w:r w:rsidR="0017151E">
        <w:t>A</w:t>
      </w:r>
      <w:r w:rsidR="00CC7D98">
        <w:t xml:space="preserve">pplicant refers to a sales representative of Sunlyn, she is plainly referring to Nel, not Kalt. That is because she alleges that person was known to Koegelenberg. Kalt denies knowing Koegelenberg, and there is no reason to disbelieve him. Kalt </w:t>
      </w:r>
      <w:r w:rsidR="00375730">
        <w:t xml:space="preserve">is only linked to the fraud in reply, and not by evidence but by inference. The argument is that he </w:t>
      </w:r>
      <w:r w:rsidR="00CC7D98">
        <w:t xml:space="preserve">must have known of the fraud, and therefore been complicit in it, because the charges were exorbitant. </w:t>
      </w:r>
    </w:p>
    <w:p w14:paraId="15B111EA" w14:textId="0587C18B" w:rsidR="00CC7D98" w:rsidRDefault="00952D60" w:rsidP="00952D60">
      <w:r>
        <w:rPr>
          <w:rFonts w:eastAsia="Times New Roman" w:cs="Arial"/>
          <w:color w:val="000000"/>
          <w:szCs w:val="24"/>
          <w:lang w:val="en-US" w:eastAsia="en-ZA"/>
        </w:rPr>
        <w:lastRenderedPageBreak/>
        <w:t>[36]</w:t>
      </w:r>
      <w:r>
        <w:rPr>
          <w:rFonts w:eastAsia="Times New Roman" w:cs="Arial"/>
          <w:color w:val="000000"/>
          <w:szCs w:val="24"/>
          <w:lang w:val="en-US" w:eastAsia="en-ZA"/>
        </w:rPr>
        <w:tab/>
      </w:r>
      <w:r w:rsidR="00CC7D98">
        <w:t>The problem with this case is that it was only made in reply. As a general rule, applicants “must stand or fall by their founding papers”,</w:t>
      </w:r>
      <w:r w:rsidR="00CC7D98">
        <w:rPr>
          <w:rStyle w:val="FootnoteReference"/>
        </w:rPr>
        <w:footnoteReference w:id="12"/>
      </w:r>
      <w:r w:rsidR="00CC7D98">
        <w:t xml:space="preserve"> and cannot make a new case in reply. The Applicant did not do so here. The only question is whether to relax that rule in this case.</w:t>
      </w:r>
    </w:p>
    <w:p w14:paraId="4508F12F" w14:textId="2A07F807" w:rsidR="00CC7D98" w:rsidRDefault="00952D60" w:rsidP="00952D60">
      <w:r>
        <w:rPr>
          <w:rFonts w:eastAsia="Times New Roman" w:cs="Arial"/>
          <w:color w:val="000000"/>
          <w:szCs w:val="24"/>
          <w:lang w:val="en-US" w:eastAsia="en-ZA"/>
        </w:rPr>
        <w:t>[37]</w:t>
      </w:r>
      <w:r>
        <w:rPr>
          <w:rFonts w:eastAsia="Times New Roman" w:cs="Arial"/>
          <w:color w:val="000000"/>
          <w:szCs w:val="24"/>
          <w:lang w:val="en-US" w:eastAsia="en-ZA"/>
        </w:rPr>
        <w:tab/>
      </w:r>
      <w:r w:rsidR="00CC7D98">
        <w:t>I do not think it should be. If the Applicant had made the case properly in her founding papers, the Respondents and Kalt would have had a chance to answer it. Instead, they quite reasonably answered the charge of fraud by explaining</w:t>
      </w:r>
      <w:r w:rsidR="008D7992">
        <w:t xml:space="preserve"> that</w:t>
      </w:r>
      <w:r w:rsidR="00CC7D98">
        <w:t xml:space="preserve"> Kalt had never met Koegelenberg</w:t>
      </w:r>
      <w:r w:rsidR="004836E0">
        <w:t>, could not have been the unnamed sales representative,</w:t>
      </w:r>
      <w:r w:rsidR="00CC7D98">
        <w:t xml:space="preserve"> and therefore was not involved in the fraud</w:t>
      </w:r>
      <w:r w:rsidR="004836E0">
        <w:t xml:space="preserve"> the Applicant alleged</w:t>
      </w:r>
      <w:r w:rsidR="00CC7D98">
        <w:t>.</w:t>
      </w:r>
    </w:p>
    <w:p w14:paraId="70659226" w14:textId="4CF4AC95" w:rsidR="00AB1D79" w:rsidRDefault="00952D60" w:rsidP="00952D60">
      <w:r>
        <w:rPr>
          <w:rFonts w:eastAsia="Times New Roman" w:cs="Arial"/>
          <w:color w:val="000000"/>
          <w:szCs w:val="24"/>
          <w:lang w:val="en-US" w:eastAsia="en-ZA"/>
        </w:rPr>
        <w:t>[38]</w:t>
      </w:r>
      <w:r>
        <w:rPr>
          <w:rFonts w:eastAsia="Times New Roman" w:cs="Arial"/>
          <w:color w:val="000000"/>
          <w:szCs w:val="24"/>
          <w:lang w:val="en-US" w:eastAsia="en-ZA"/>
        </w:rPr>
        <w:tab/>
      </w:r>
      <w:r w:rsidR="00CC7D98">
        <w:t xml:space="preserve">It is so that the Applicant alleged in her founding papers that the </w:t>
      </w:r>
      <w:r w:rsidR="002D41F0">
        <w:t xml:space="preserve">rental </w:t>
      </w:r>
      <w:r w:rsidR="00CC7D98">
        <w:t>charges were exorbitant. The Respondent</w:t>
      </w:r>
      <w:r w:rsidR="0017151E">
        <w:t>s</w:t>
      </w:r>
      <w:r w:rsidR="00CC7D98">
        <w:t xml:space="preserve"> denied this, but did not elaborate on the denial. They did not, for example, show that the rates charged to Gragood were consistent with the rates </w:t>
      </w:r>
      <w:r w:rsidR="009B738D">
        <w:t>Sunlyn</w:t>
      </w:r>
      <w:r w:rsidR="00CC7D98">
        <w:t xml:space="preserve"> ordinarily charged in similar agreements. But that silence is understandable given the way the case was pleaded. The</w:t>
      </w:r>
      <w:r w:rsidR="009B738D">
        <w:t xml:space="preserve"> allegedly</w:t>
      </w:r>
      <w:r w:rsidR="00CC7D98">
        <w:t xml:space="preserve"> exorbitant charges were not the evidence on which a claim of fraud was levelled against the Respondents. </w:t>
      </w:r>
      <w:r w:rsidR="00161C0D">
        <w:t xml:space="preserve">The evidence was that Koegelenberg </w:t>
      </w:r>
      <w:r w:rsidR="009B738D">
        <w:t xml:space="preserve">and Nel </w:t>
      </w:r>
      <w:r w:rsidR="00161C0D">
        <w:t xml:space="preserve">conspired to defraud. The Respondents were entitled to </w:t>
      </w:r>
      <w:r w:rsidR="00AB1D79">
        <w:t xml:space="preserve">answer that claim by pointing out that, even if there was a fraud, it did not involve them. </w:t>
      </w:r>
    </w:p>
    <w:p w14:paraId="028D0BAD" w14:textId="7AA6DCDC" w:rsidR="00CC7D98" w:rsidRDefault="00952D60" w:rsidP="00952D60">
      <w:r>
        <w:rPr>
          <w:rFonts w:eastAsia="Times New Roman" w:cs="Arial"/>
          <w:color w:val="000000"/>
          <w:szCs w:val="24"/>
          <w:lang w:val="en-US" w:eastAsia="en-ZA"/>
        </w:rPr>
        <w:t>[39]</w:t>
      </w:r>
      <w:r>
        <w:rPr>
          <w:rFonts w:eastAsia="Times New Roman" w:cs="Arial"/>
          <w:color w:val="000000"/>
          <w:szCs w:val="24"/>
          <w:lang w:val="en-US" w:eastAsia="en-ZA"/>
        </w:rPr>
        <w:tab/>
      </w:r>
      <w:r w:rsidR="00CC7D98">
        <w:t xml:space="preserve">Absent some evidence of </w:t>
      </w:r>
      <w:r w:rsidR="003B3CE7">
        <w:t xml:space="preserve">individualized </w:t>
      </w:r>
      <w:r w:rsidR="00CC7D98">
        <w:t xml:space="preserve">price-gouging or collusion </w:t>
      </w:r>
      <w:r w:rsidR="00CD45F3">
        <w:t xml:space="preserve">in the fraud </w:t>
      </w:r>
      <w:r w:rsidR="00CC7D98">
        <w:t>by the Respondents, it seems inherently unlikely to me that Kalt would have increased the rates for this one deal. It seems more likely to me that</w:t>
      </w:r>
      <w:r w:rsidR="000D4AA3">
        <w:t xml:space="preserve"> – if the rates are exorbitant – </w:t>
      </w:r>
      <w:r w:rsidR="003A5BC3">
        <w:t>i</w:t>
      </w:r>
      <w:r w:rsidR="000D4AA3">
        <w:t>t is because</w:t>
      </w:r>
      <w:r w:rsidR="00CC7D98">
        <w:t xml:space="preserve"> the Respondents charge extremely high rates and take advantage of </w:t>
      </w:r>
      <w:r w:rsidR="0098743D">
        <w:lastRenderedPageBreak/>
        <w:t xml:space="preserve">all </w:t>
      </w:r>
      <w:r w:rsidR="00CC7D98">
        <w:t>c</w:t>
      </w:r>
      <w:r w:rsidR="0098743D">
        <w:t>ustomers</w:t>
      </w:r>
      <w:r w:rsidR="00CC7D98">
        <w:t>, while carefully avoiding both the National Credit Act</w:t>
      </w:r>
      <w:r w:rsidR="00DE721A">
        <w:t xml:space="preserve"> 34 of 2005</w:t>
      </w:r>
      <w:r w:rsidR="00CC7D98">
        <w:t xml:space="preserve"> and the Consumer Protection Act</w:t>
      </w:r>
      <w:r w:rsidR="00F73EB5">
        <w:t xml:space="preserve"> 68 of 2008</w:t>
      </w:r>
      <w:r w:rsidR="00CC7D98">
        <w:t>. If that is the case, it would be reprehensible; but it would not be evidence of fraud</w:t>
      </w:r>
      <w:r w:rsidR="0098743D">
        <w:t xml:space="preserve"> in this case</w:t>
      </w:r>
      <w:r w:rsidR="00CC7D98">
        <w:t>.</w:t>
      </w:r>
    </w:p>
    <w:p w14:paraId="69A4569C" w14:textId="13AD5EAE" w:rsidR="000D4AA3" w:rsidRDefault="00952D60" w:rsidP="00952D60">
      <w:r>
        <w:rPr>
          <w:rFonts w:eastAsia="Times New Roman" w:cs="Arial"/>
          <w:color w:val="000000"/>
          <w:szCs w:val="24"/>
          <w:lang w:val="en-US" w:eastAsia="en-ZA"/>
        </w:rPr>
        <w:t>[40]</w:t>
      </w:r>
      <w:r>
        <w:rPr>
          <w:rFonts w:eastAsia="Times New Roman" w:cs="Arial"/>
          <w:color w:val="000000"/>
          <w:szCs w:val="24"/>
          <w:lang w:val="en-US" w:eastAsia="en-ZA"/>
        </w:rPr>
        <w:tab/>
      </w:r>
      <w:r w:rsidR="000D4AA3">
        <w:t xml:space="preserve">To infer fraud by the Respondents, the Applicant would have to show not only that the rates were </w:t>
      </w:r>
      <w:r w:rsidR="00085E72">
        <w:t>unreasonably high, but also that they were made higher in her specific case, or that there were charged as part of a practice of fraudulent activity to take advantage of vulnerable consumers. There is no evidence of that before me, and therefore no basis to believe that the Applicant will be able to pro</w:t>
      </w:r>
      <w:r w:rsidR="006B5533">
        <w:t>ve her allegation</w:t>
      </w:r>
      <w:r w:rsidR="00085E72">
        <w:t xml:space="preserve"> at trial.</w:t>
      </w:r>
    </w:p>
    <w:p w14:paraId="15CFAF54" w14:textId="081C4A2E" w:rsidR="00085E72" w:rsidRDefault="00952D60" w:rsidP="00952D60">
      <w:r>
        <w:rPr>
          <w:rFonts w:eastAsia="Times New Roman" w:cs="Arial"/>
          <w:color w:val="000000"/>
          <w:szCs w:val="24"/>
          <w:lang w:val="en-US" w:eastAsia="en-ZA"/>
        </w:rPr>
        <w:t>[41]</w:t>
      </w:r>
      <w:r>
        <w:rPr>
          <w:rFonts w:eastAsia="Times New Roman" w:cs="Arial"/>
          <w:color w:val="000000"/>
          <w:szCs w:val="24"/>
          <w:lang w:val="en-US" w:eastAsia="en-ZA"/>
        </w:rPr>
        <w:tab/>
      </w:r>
      <w:r w:rsidR="00356D0B">
        <w:t xml:space="preserve">I am sympathetic to the Applicant’s position. It does seem she </w:t>
      </w:r>
      <w:r w:rsidR="004B6523">
        <w:t xml:space="preserve">was duped into signing the agreements and </w:t>
      </w:r>
      <w:r w:rsidR="00356D0B">
        <w:t>has</w:t>
      </w:r>
      <w:r w:rsidR="004B6523">
        <w:t xml:space="preserve"> now</w:t>
      </w:r>
      <w:r w:rsidR="00356D0B">
        <w:t xml:space="preserve"> been landed with a debt for which neither she nor Gragood received any meaningful benefit. </w:t>
      </w:r>
      <w:r w:rsidR="004B6523">
        <w:t>But the remedy</w:t>
      </w:r>
      <w:r w:rsidR="0082689D" w:rsidRPr="0082689D">
        <w:t xml:space="preserve"> </w:t>
      </w:r>
      <w:r w:rsidR="0082689D">
        <w:t>the law</w:t>
      </w:r>
      <w:r w:rsidR="004B6523">
        <w:t xml:space="preserve"> affords her is not to </w:t>
      </w:r>
      <w:r w:rsidR="00F53F45">
        <w:t xml:space="preserve">escape </w:t>
      </w:r>
      <w:r w:rsidR="004B6523">
        <w:t>her contract</w:t>
      </w:r>
      <w:r w:rsidR="00F53F45">
        <w:t>ual obligations</w:t>
      </w:r>
      <w:r w:rsidR="004B6523">
        <w:t>, but to pursue those</w:t>
      </w:r>
      <w:r w:rsidR="00A02DC0">
        <w:t xml:space="preserve"> she alleges are</w:t>
      </w:r>
      <w:r w:rsidR="004B6523">
        <w:t xml:space="preserve"> responsible for </w:t>
      </w:r>
      <w:r w:rsidR="0082689D">
        <w:t>defrauding her.</w:t>
      </w:r>
    </w:p>
    <w:p w14:paraId="7B41D851" w14:textId="77777777" w:rsidR="00CC7D98" w:rsidRDefault="00CC7D98" w:rsidP="00D077B9"/>
    <w:p w14:paraId="433478C1" w14:textId="6EA51EC0" w:rsidR="00D077B9" w:rsidRDefault="00D077B9" w:rsidP="00D077B9">
      <w:pPr>
        <w:pStyle w:val="Heading3"/>
      </w:pPr>
      <w:r>
        <w:t>Conventional Penalties</w:t>
      </w:r>
    </w:p>
    <w:p w14:paraId="2AE75DBB" w14:textId="4FFE66E7" w:rsidR="007E6E1F" w:rsidRDefault="00952D60" w:rsidP="00952D60">
      <w:r>
        <w:rPr>
          <w:rFonts w:eastAsia="Times New Roman" w:cs="Arial"/>
          <w:color w:val="000000"/>
          <w:szCs w:val="24"/>
          <w:lang w:val="en-US" w:eastAsia="en-ZA"/>
        </w:rPr>
        <w:t>[42]</w:t>
      </w:r>
      <w:r>
        <w:rPr>
          <w:rFonts w:eastAsia="Times New Roman" w:cs="Arial"/>
          <w:color w:val="000000"/>
          <w:szCs w:val="24"/>
          <w:lang w:val="en-US" w:eastAsia="en-ZA"/>
        </w:rPr>
        <w:tab/>
      </w:r>
      <w:r w:rsidR="00776E4E">
        <w:t xml:space="preserve">The </w:t>
      </w:r>
      <w:r w:rsidR="00465B7F">
        <w:t xml:space="preserve">Applicant’s </w:t>
      </w:r>
      <w:r w:rsidR="00396460">
        <w:t>final</w:t>
      </w:r>
      <w:r w:rsidR="007812EC">
        <w:t xml:space="preserve"> defence is that</w:t>
      </w:r>
      <w:r w:rsidR="00393F49">
        <w:t>, by relying on the acceleration clause,</w:t>
      </w:r>
      <w:r w:rsidR="007812EC">
        <w:t xml:space="preserve"> the Respondents are </w:t>
      </w:r>
      <w:r w:rsidR="00393F49">
        <w:t>enforcing</w:t>
      </w:r>
      <w:r w:rsidR="007812EC">
        <w:t xml:space="preserve"> a penalty </w:t>
      </w:r>
      <w:r w:rsidR="00393F49">
        <w:t xml:space="preserve">as defined in </w:t>
      </w:r>
      <w:r w:rsidR="007812EC">
        <w:t>the Conventional Penalties Act</w:t>
      </w:r>
      <w:r w:rsidR="00393F49">
        <w:t xml:space="preserve">. Section 3 of that Act grants a Court a discretion to </w:t>
      </w:r>
      <w:r w:rsidR="00494B6A">
        <w:t>reduce the penalty if it is disproportionate to the prejudice actually suffered. Section 3 reads:</w:t>
      </w:r>
      <w:r w:rsidR="007E6E1F">
        <w:t xml:space="preserve"> </w:t>
      </w:r>
    </w:p>
    <w:p w14:paraId="33E49606" w14:textId="4730E392" w:rsidR="00D077B9" w:rsidRDefault="007E6E1F" w:rsidP="007E6E1F">
      <w:pPr>
        <w:pStyle w:val="Quote"/>
      </w:pPr>
      <w:r>
        <w:t xml:space="preserve">If upon the hearing of a claim for a penalty, it appears to the court that such penalty is out of proportion to the prejudice suffered by the creditor by reason of the act or omission in respect of which the penalty was stipulated, the court may reduce the penalty to such extent as it may consider equitable in the circumstances: Provided that </w:t>
      </w:r>
      <w:r>
        <w:lastRenderedPageBreak/>
        <w:t>in determining the extent of such prejudice the court shall take into consideration not only the creditor's proprietary interest, but every other rightful interest which may be affected by the act or omission in question.</w:t>
      </w:r>
    </w:p>
    <w:p w14:paraId="075970EB" w14:textId="6CB496C3" w:rsidR="00A02DC0" w:rsidRDefault="00A02DC0" w:rsidP="00A02DC0">
      <w:pPr>
        <w:pStyle w:val="ListParagraph"/>
        <w:numPr>
          <w:ilvl w:val="0"/>
          <w:numId w:val="0"/>
        </w:numPr>
      </w:pPr>
      <w:r>
        <w:t>The Applicant contends that the penalty here is out of proportion with the Respondents’ loss.</w:t>
      </w:r>
    </w:p>
    <w:p w14:paraId="3F069B0B" w14:textId="28501C61" w:rsidR="002122DD" w:rsidRDefault="00952D60" w:rsidP="00952D60">
      <w:r>
        <w:rPr>
          <w:rFonts w:eastAsia="Times New Roman" w:cs="Arial"/>
          <w:color w:val="000000"/>
          <w:szCs w:val="24"/>
          <w:lang w:val="en-US" w:eastAsia="en-ZA"/>
        </w:rPr>
        <w:t>[43]</w:t>
      </w:r>
      <w:r>
        <w:rPr>
          <w:rFonts w:eastAsia="Times New Roman" w:cs="Arial"/>
          <w:color w:val="000000"/>
          <w:szCs w:val="24"/>
          <w:lang w:val="en-US" w:eastAsia="en-ZA"/>
        </w:rPr>
        <w:tab/>
      </w:r>
      <w:r w:rsidR="00D1781D">
        <w:t>Mr Wessels – who appeared for the Respondent – accepted that</w:t>
      </w:r>
      <w:r w:rsidR="00150002">
        <w:t xml:space="preserve"> in light of Bozalek J’s decision in </w:t>
      </w:r>
      <w:r w:rsidR="00150002" w:rsidRPr="00952D60">
        <w:rPr>
          <w:i/>
          <w:iCs/>
        </w:rPr>
        <w:t>Plumbago</w:t>
      </w:r>
      <w:r w:rsidR="00150002">
        <w:t>,</w:t>
      </w:r>
      <w:bookmarkStart w:id="2" w:name="_Ref152587337"/>
      <w:r w:rsidR="00150002">
        <w:rPr>
          <w:rStyle w:val="FootnoteReference"/>
        </w:rPr>
        <w:footnoteReference w:id="13"/>
      </w:r>
      <w:bookmarkEnd w:id="2"/>
      <w:r w:rsidR="00D1781D">
        <w:t xml:space="preserve"> the damages granted in the default judgment constituted a “penalty” for purposes of the Act. </w:t>
      </w:r>
    </w:p>
    <w:p w14:paraId="4FC4F814" w14:textId="7B2F29AB" w:rsidR="00D34C3D" w:rsidRDefault="00952D60" w:rsidP="00952D60">
      <w:r>
        <w:rPr>
          <w:rFonts w:eastAsia="Times New Roman" w:cs="Arial"/>
          <w:color w:val="000000"/>
          <w:szCs w:val="24"/>
          <w:lang w:val="en-US" w:eastAsia="en-ZA"/>
        </w:rPr>
        <w:t>[44]</w:t>
      </w:r>
      <w:r>
        <w:rPr>
          <w:rFonts w:eastAsia="Times New Roman" w:cs="Arial"/>
          <w:color w:val="000000"/>
          <w:szCs w:val="24"/>
          <w:lang w:val="en-US" w:eastAsia="en-ZA"/>
        </w:rPr>
        <w:tab/>
      </w:r>
      <w:r w:rsidR="009B075B">
        <w:t xml:space="preserve">The debate was about whether </w:t>
      </w:r>
      <w:r w:rsidR="002122DD">
        <w:t>the Applicant had</w:t>
      </w:r>
      <w:r w:rsidR="009F52E9">
        <w:t xml:space="preserve"> a bona fide defence on the basis that the penalty was</w:t>
      </w:r>
      <w:r w:rsidR="009B075B">
        <w:t xml:space="preserve"> “out of proportion to the prejudice suffered by the creditor”.</w:t>
      </w:r>
      <w:r w:rsidR="009F52E9">
        <w:t xml:space="preserve"> </w:t>
      </w:r>
      <w:r w:rsidR="00941883">
        <w:t>I am, of course, not called to decide that issue – only whether it is a triable issue. But to determine that question, it is important to know where the onus</w:t>
      </w:r>
      <w:r w:rsidR="002051B9">
        <w:t xml:space="preserve"> to show </w:t>
      </w:r>
      <w:r w:rsidR="004406BC">
        <w:t>disproportionality between the penalty and the prejudice</w:t>
      </w:r>
      <w:r w:rsidR="00941883">
        <w:t xml:space="preserve"> lies. I</w:t>
      </w:r>
      <w:r w:rsidR="00D34C3D">
        <w:t>f the matter goes to trial,</w:t>
      </w:r>
      <w:r w:rsidR="003709A2">
        <w:t xml:space="preserve"> </w:t>
      </w:r>
      <w:r w:rsidR="00D174CC">
        <w:t>“</w:t>
      </w:r>
      <w:r w:rsidR="003709A2" w:rsidRPr="003709A2">
        <w:t>in order to reduce the amount of the forfeiture, the actual prejudice suffered by the creditor must be proved by the debtor</w:t>
      </w:r>
      <w:r w:rsidR="003709A2">
        <w:t>”</w:t>
      </w:r>
      <w:r w:rsidR="00D174CC">
        <w:t>, that is, the Applicant</w:t>
      </w:r>
      <w:r w:rsidR="003709A2">
        <w:t>.</w:t>
      </w:r>
      <w:r w:rsidR="003709A2">
        <w:rPr>
          <w:rStyle w:val="FootnoteReference"/>
        </w:rPr>
        <w:footnoteReference w:id="14"/>
      </w:r>
      <w:r w:rsidR="00C0267F">
        <w:t xml:space="preserve"> She will have to </w:t>
      </w:r>
      <w:r w:rsidR="000B2977">
        <w:t xml:space="preserve">establish </w:t>
      </w:r>
      <w:r w:rsidR="00C0267F">
        <w:t>the Respondents’ actual prejudice,</w:t>
      </w:r>
      <w:r w:rsidR="000B2977">
        <w:t xml:space="preserve"> and then show that the penalty is out of proportion to the prejudice</w:t>
      </w:r>
      <w:r w:rsidR="00C0267F">
        <w:t>.</w:t>
      </w:r>
    </w:p>
    <w:p w14:paraId="211CF82D" w14:textId="411F2B54" w:rsidR="00E2432E" w:rsidRPr="00A100C9" w:rsidRDefault="00952D60" w:rsidP="00952D60">
      <w:r w:rsidRPr="00A100C9">
        <w:rPr>
          <w:rFonts w:eastAsia="Times New Roman" w:cs="Arial"/>
          <w:color w:val="000000"/>
          <w:szCs w:val="24"/>
          <w:lang w:val="en-US" w:eastAsia="en-ZA"/>
        </w:rPr>
        <w:t>[45]</w:t>
      </w:r>
      <w:r w:rsidRPr="00A100C9">
        <w:rPr>
          <w:rFonts w:eastAsia="Times New Roman" w:cs="Arial"/>
          <w:color w:val="000000"/>
          <w:szCs w:val="24"/>
          <w:lang w:val="en-US" w:eastAsia="en-ZA"/>
        </w:rPr>
        <w:tab/>
      </w:r>
      <w:r w:rsidR="00D41B38" w:rsidRPr="00A100C9">
        <w:t xml:space="preserve">The Applicant </w:t>
      </w:r>
      <w:r w:rsidR="00D174CC" w:rsidRPr="00A100C9">
        <w:t xml:space="preserve">initially </w:t>
      </w:r>
      <w:r w:rsidR="00D41B38" w:rsidRPr="00A100C9">
        <w:t xml:space="preserve">contended </w:t>
      </w:r>
      <w:r w:rsidR="009F52E9" w:rsidRPr="00A100C9">
        <w:t xml:space="preserve">that </w:t>
      </w:r>
      <w:r w:rsidR="00571E8F" w:rsidRPr="00A100C9">
        <w:t xml:space="preserve">the Respondents’ prejudice was </w:t>
      </w:r>
      <w:r w:rsidR="00030B7B" w:rsidRPr="00A100C9">
        <w:t xml:space="preserve">less than the penalty because </w:t>
      </w:r>
      <w:r w:rsidR="00A02DC0">
        <w:t>they</w:t>
      </w:r>
      <w:r w:rsidR="00030B7B" w:rsidRPr="00A100C9">
        <w:t xml:space="preserve"> could have let out the machines</w:t>
      </w:r>
      <w:r w:rsidR="00FF58ED">
        <w:t xml:space="preserve"> after </w:t>
      </w:r>
      <w:r w:rsidR="00A02DC0">
        <w:t>they</w:t>
      </w:r>
      <w:r w:rsidR="00FF58ED">
        <w:t xml:space="preserve"> repossessed them</w:t>
      </w:r>
      <w:r w:rsidR="00030B7B" w:rsidRPr="00A100C9">
        <w:t>. T</w:t>
      </w:r>
      <w:r w:rsidR="00D41B38" w:rsidRPr="00A100C9">
        <w:t>he Respondents</w:t>
      </w:r>
      <w:r w:rsidR="00030B7B" w:rsidRPr="00A100C9">
        <w:t>, she argued,</w:t>
      </w:r>
      <w:r w:rsidR="00D41B38" w:rsidRPr="00A100C9">
        <w:t xml:space="preserve"> “made no reasonable effort to collect and re-let </w:t>
      </w:r>
      <w:r w:rsidR="00D41B38" w:rsidRPr="00A100C9">
        <w:lastRenderedPageBreak/>
        <w:t>the equipment timeously.”</w:t>
      </w:r>
      <w:r w:rsidR="00E2432E" w:rsidRPr="00A100C9">
        <w:t xml:space="preserve"> </w:t>
      </w:r>
      <w:r w:rsidR="0037396B" w:rsidRPr="00A100C9">
        <w:t>H</w:t>
      </w:r>
      <w:r w:rsidR="00F90BBB" w:rsidRPr="00A100C9">
        <w:t>ad the printers been collected earlier</w:t>
      </w:r>
      <w:r w:rsidR="0037396B" w:rsidRPr="00A100C9">
        <w:t xml:space="preserve"> </w:t>
      </w:r>
      <w:r w:rsidR="00F90BBB" w:rsidRPr="00A100C9">
        <w:t xml:space="preserve">they </w:t>
      </w:r>
      <w:r w:rsidR="00835FCC" w:rsidRPr="00A100C9">
        <w:t>could have been re-let</w:t>
      </w:r>
      <w:r w:rsidR="00240091">
        <w:t xml:space="preserve"> for longer</w:t>
      </w:r>
      <w:r w:rsidR="0037396B" w:rsidRPr="00A100C9">
        <w:t>.</w:t>
      </w:r>
      <w:r w:rsidR="001C36CA">
        <w:t xml:space="preserve"> While the Applicant emphasi</w:t>
      </w:r>
      <w:r w:rsidR="00C11524">
        <w:t>s</w:t>
      </w:r>
      <w:r w:rsidR="001C36CA">
        <w:t xml:space="preserve">ed the delay, it </w:t>
      </w:r>
      <w:r w:rsidR="00240091">
        <w:t>seems to me that the real complaint is the failure to re-let the printers at all, not the delay in collecting them. The delay would affect only the extent of value the Respondents could realise from the printers.</w:t>
      </w:r>
    </w:p>
    <w:p w14:paraId="3AD184A9" w14:textId="789E2F3B" w:rsidR="00835FCC" w:rsidRDefault="00952D60" w:rsidP="00952D60">
      <w:r>
        <w:rPr>
          <w:rFonts w:eastAsia="Times New Roman" w:cs="Arial"/>
          <w:color w:val="000000"/>
          <w:szCs w:val="24"/>
          <w:lang w:val="en-US" w:eastAsia="en-ZA"/>
        </w:rPr>
        <w:t>[46]</w:t>
      </w:r>
      <w:r>
        <w:rPr>
          <w:rFonts w:eastAsia="Times New Roman" w:cs="Arial"/>
          <w:color w:val="000000"/>
          <w:szCs w:val="24"/>
          <w:lang w:val="en-US" w:eastAsia="en-ZA"/>
        </w:rPr>
        <w:tab/>
      </w:r>
      <w:r w:rsidR="00835FCC">
        <w:t>In answer, the Respondents explained</w:t>
      </w:r>
      <w:r w:rsidR="0037396B">
        <w:t xml:space="preserve"> the delay in collecting the printers. </w:t>
      </w:r>
      <w:r w:rsidR="00835FCC">
        <w:t xml:space="preserve"> </w:t>
      </w:r>
      <w:r w:rsidR="00240091">
        <w:t xml:space="preserve">More importantly, they explained that </w:t>
      </w:r>
      <w:r w:rsidR="00835FCC">
        <w:t>that</w:t>
      </w:r>
      <w:r w:rsidR="00240091">
        <w:t xml:space="preserve"> they</w:t>
      </w:r>
      <w:r w:rsidR="00835FCC">
        <w:t xml:space="preserve"> had sold the printers shortly after collection for </w:t>
      </w:r>
      <w:r w:rsidR="000D508A">
        <w:t>virtually nothing (R1 495); less even than the cost of collection and sale.</w:t>
      </w:r>
      <w:r w:rsidR="00815DF7">
        <w:t xml:space="preserve"> So their </w:t>
      </w:r>
      <w:r w:rsidR="005F4E07">
        <w:t>prejudice was the full outstanding rental, which they had claimed.</w:t>
      </w:r>
    </w:p>
    <w:p w14:paraId="3FD909D1" w14:textId="3F336E37" w:rsidR="00E2432E" w:rsidRDefault="00952D60" w:rsidP="00952D60">
      <w:r>
        <w:rPr>
          <w:rFonts w:eastAsia="Times New Roman" w:cs="Arial"/>
          <w:color w:val="000000"/>
          <w:szCs w:val="24"/>
          <w:lang w:val="en-US" w:eastAsia="en-ZA"/>
        </w:rPr>
        <w:t>[47]</w:t>
      </w:r>
      <w:r>
        <w:rPr>
          <w:rFonts w:eastAsia="Times New Roman" w:cs="Arial"/>
          <w:color w:val="000000"/>
          <w:szCs w:val="24"/>
          <w:lang w:val="en-US" w:eastAsia="en-ZA"/>
        </w:rPr>
        <w:tab/>
      </w:r>
      <w:r w:rsidR="005F4E07">
        <w:t xml:space="preserve">In reply, the Applicant complained that </w:t>
      </w:r>
      <w:r w:rsidR="00844778">
        <w:t>it was abusive for the printers to have been sold at such a low valu</w:t>
      </w:r>
      <w:r w:rsidR="00A32CBD">
        <w:t>e – less than 1% of their value after only having been used for a few weeks.</w:t>
      </w:r>
      <w:r w:rsidR="00E1398A">
        <w:t xml:space="preserve"> She argued</w:t>
      </w:r>
      <w:r w:rsidR="00DC417C">
        <w:t xml:space="preserve"> that it was incumbent on </w:t>
      </w:r>
      <w:r w:rsidR="006C1841">
        <w:t xml:space="preserve">the Respondent to seek to realise greater </w:t>
      </w:r>
      <w:r w:rsidR="00A34658">
        <w:t>value for the sale of the equipment.</w:t>
      </w:r>
    </w:p>
    <w:p w14:paraId="2698890B" w14:textId="499BBEA1" w:rsidR="0045547E" w:rsidRDefault="00952D60" w:rsidP="00952D60">
      <w:r>
        <w:rPr>
          <w:rFonts w:eastAsia="Times New Roman" w:cs="Arial"/>
          <w:color w:val="000000"/>
          <w:szCs w:val="24"/>
          <w:lang w:val="en-US" w:eastAsia="en-ZA"/>
        </w:rPr>
        <w:t>[48]</w:t>
      </w:r>
      <w:r>
        <w:rPr>
          <w:rFonts w:eastAsia="Times New Roman" w:cs="Arial"/>
          <w:color w:val="000000"/>
          <w:szCs w:val="24"/>
          <w:lang w:val="en-US" w:eastAsia="en-ZA"/>
        </w:rPr>
        <w:tab/>
      </w:r>
      <w:r w:rsidR="005C1BA1">
        <w:t>There are different approaches to assessing prejudice in this type of case.</w:t>
      </w:r>
      <w:r w:rsidR="00C15B9C">
        <w:t xml:space="preserve"> In</w:t>
      </w:r>
      <w:r w:rsidR="005C1BA1">
        <w:t xml:space="preserve"> </w:t>
      </w:r>
      <w:r w:rsidR="00150002" w:rsidRPr="00952D60">
        <w:rPr>
          <w:i/>
          <w:iCs/>
        </w:rPr>
        <w:t>Plumbago</w:t>
      </w:r>
      <w:r w:rsidR="00C15B9C">
        <w:t xml:space="preserve"> </w:t>
      </w:r>
      <w:r w:rsidR="00DB179F">
        <w:t xml:space="preserve">Bozalek J considered a claim for reduction of a penalty flowing from an accelerated </w:t>
      </w:r>
      <w:r w:rsidR="002754ED">
        <w:t xml:space="preserve">clause in a contract for the hire of photocopy machines. </w:t>
      </w:r>
      <w:r w:rsidR="00D330B4">
        <w:t xml:space="preserve">There, the plaintiff had made income from the machines after they were re-possessed. </w:t>
      </w:r>
      <w:r w:rsidR="0045547E">
        <w:t>Bozalek J reduced the penalty by that amount. Here, no income was made from the sale. But Bozalek’s reasons went further. He held that it would be out of proportion with the loss suffered to award the plaintiff the full accelerated rental “even if the repossessed equipment earned no additional income.”</w:t>
      </w:r>
      <w:r w:rsidR="005F4C94">
        <w:rPr>
          <w:rStyle w:val="FootnoteReference"/>
        </w:rPr>
        <w:footnoteReference w:id="15"/>
      </w:r>
      <w:r w:rsidR="00C11524">
        <w:t xml:space="preserve"> He did not explain when or why that reduction would be justified. As he concluded there was additional income, the remark is obiter.</w:t>
      </w:r>
    </w:p>
    <w:p w14:paraId="749B1F31" w14:textId="56987984" w:rsidR="003F123C" w:rsidRDefault="00952D60" w:rsidP="00952D60">
      <w:r>
        <w:rPr>
          <w:rFonts w:eastAsia="Times New Roman" w:cs="Arial"/>
          <w:color w:val="000000"/>
          <w:szCs w:val="24"/>
          <w:lang w:val="en-US" w:eastAsia="en-ZA"/>
        </w:rPr>
        <w:lastRenderedPageBreak/>
        <w:t>[49]</w:t>
      </w:r>
      <w:r>
        <w:rPr>
          <w:rFonts w:eastAsia="Times New Roman" w:cs="Arial"/>
          <w:color w:val="000000"/>
          <w:szCs w:val="24"/>
          <w:lang w:val="en-US" w:eastAsia="en-ZA"/>
        </w:rPr>
        <w:tab/>
      </w:r>
      <w:r w:rsidR="00B34B98">
        <w:t>I</w:t>
      </w:r>
      <w:r w:rsidR="008028E1">
        <w:t xml:space="preserve">n </w:t>
      </w:r>
      <w:r w:rsidR="008028E1" w:rsidRPr="00952D60">
        <w:rPr>
          <w:i/>
          <w:iCs/>
        </w:rPr>
        <w:t>Plumbago</w:t>
      </w:r>
      <w:r w:rsidR="008028E1">
        <w:t xml:space="preserve">, the creditor was a supplier of photocopy machines. </w:t>
      </w:r>
      <w:r w:rsidR="00B34B98">
        <w:t>Here, t</w:t>
      </w:r>
      <w:r w:rsidR="008028E1">
        <w:t>he Respondents are financiers, not suppliers.</w:t>
      </w:r>
      <w:r w:rsidR="008028E1" w:rsidRPr="00952D60">
        <w:rPr>
          <w:i/>
          <w:iCs/>
        </w:rPr>
        <w:t xml:space="preserve"> </w:t>
      </w:r>
      <w:r w:rsidR="003F123C">
        <w:t xml:space="preserve">In </w:t>
      </w:r>
      <w:r w:rsidR="00051A6B" w:rsidRPr="00952D60">
        <w:rPr>
          <w:i/>
          <w:iCs/>
        </w:rPr>
        <w:t>Corner Savings</w:t>
      </w:r>
      <w:r w:rsidR="00051A6B">
        <w:t>,</w:t>
      </w:r>
      <w:r w:rsidR="00C92D42">
        <w:t xml:space="preserve"> Murphy </w:t>
      </w:r>
      <w:r w:rsidR="000D1219">
        <w:t xml:space="preserve">J concluded that the financier in this type of equipment leasing contract </w:t>
      </w:r>
      <w:r w:rsidR="0013527B">
        <w:t>“normally should not be expected to become a dealer in second hand equipment.”</w:t>
      </w:r>
      <w:r w:rsidR="0013527B">
        <w:rPr>
          <w:rStyle w:val="FootnoteReference"/>
        </w:rPr>
        <w:footnoteReference w:id="16"/>
      </w:r>
      <w:r w:rsidR="0013527B">
        <w:t xml:space="preserve"> </w:t>
      </w:r>
      <w:r w:rsidR="00B10AF4">
        <w:t>It cannot be expected to re-let equipment that it re</w:t>
      </w:r>
      <w:r w:rsidR="008E2907">
        <w:noBreakHyphen/>
      </w:r>
      <w:r w:rsidR="00B10AF4">
        <w:t>posse</w:t>
      </w:r>
      <w:r w:rsidR="008E2907">
        <w:t>s</w:t>
      </w:r>
      <w:r w:rsidR="00B10AF4">
        <w:t xml:space="preserve">ses from a defaulting </w:t>
      </w:r>
      <w:r w:rsidR="008E2907">
        <w:t>debtor.</w:t>
      </w:r>
      <w:r w:rsidR="008D59A8">
        <w:t xml:space="preserve"> But it can be expected to sell the equipment, and its prejudice is reduced by whatever the residual value of the goods are. </w:t>
      </w:r>
      <w:r w:rsidR="005136F8">
        <w:t xml:space="preserve">In </w:t>
      </w:r>
      <w:r w:rsidR="005136F8" w:rsidRPr="00952D60">
        <w:rPr>
          <w:i/>
          <w:iCs/>
        </w:rPr>
        <w:t>Corner Savings</w:t>
      </w:r>
      <w:r w:rsidR="005136F8">
        <w:t>, Murphy J did not grant a deduction in the penalty because the defendant had not met its onus to establish the residual value of the equipment.</w:t>
      </w:r>
    </w:p>
    <w:p w14:paraId="20097040" w14:textId="2E777E7A" w:rsidR="005136F8" w:rsidRDefault="00952D60" w:rsidP="00952D60">
      <w:r>
        <w:rPr>
          <w:rFonts w:eastAsia="Times New Roman" w:cs="Arial"/>
          <w:color w:val="000000"/>
          <w:szCs w:val="24"/>
          <w:lang w:val="en-US" w:eastAsia="en-ZA"/>
        </w:rPr>
        <w:t>[50]</w:t>
      </w:r>
      <w:r>
        <w:rPr>
          <w:rFonts w:eastAsia="Times New Roman" w:cs="Arial"/>
          <w:color w:val="000000"/>
          <w:szCs w:val="24"/>
          <w:lang w:val="en-US" w:eastAsia="en-ZA"/>
        </w:rPr>
        <w:tab/>
      </w:r>
      <w:r w:rsidR="004E74A9">
        <w:t xml:space="preserve">Where does that leave the Applicant in this case? Its initial case </w:t>
      </w:r>
      <w:r w:rsidR="00D54848">
        <w:t xml:space="preserve">resting on the failure to rehire </w:t>
      </w:r>
      <w:r w:rsidR="004E74A9">
        <w:t xml:space="preserve">is bad in </w:t>
      </w:r>
      <w:r w:rsidR="00D54848">
        <w:t xml:space="preserve">law. </w:t>
      </w:r>
      <w:r w:rsidR="00BB764F">
        <w:t xml:space="preserve">On the authority of </w:t>
      </w:r>
      <w:r w:rsidR="00BB764F" w:rsidRPr="00952D60">
        <w:rPr>
          <w:i/>
          <w:iCs/>
        </w:rPr>
        <w:t>Corner Savings</w:t>
      </w:r>
      <w:r w:rsidR="00BB764F">
        <w:t>,</w:t>
      </w:r>
      <w:r w:rsidR="00BB764F" w:rsidRPr="00952D60">
        <w:rPr>
          <w:i/>
          <w:iCs/>
        </w:rPr>
        <w:t xml:space="preserve"> </w:t>
      </w:r>
      <w:r w:rsidR="00BB764F">
        <w:t>t</w:t>
      </w:r>
      <w:r w:rsidR="00D54848">
        <w:t xml:space="preserve">he Respondents – who are financiers not suppliers – are not required to rehire the equipment. </w:t>
      </w:r>
      <w:r w:rsidR="00BB764F">
        <w:t xml:space="preserve">That seems correct to me. </w:t>
      </w:r>
      <w:r w:rsidR="00772B7B">
        <w:t>Financiers cannot be expected to set up shop as suppliers of equipment</w:t>
      </w:r>
      <w:r w:rsidR="003E71CB">
        <w:t xml:space="preserve"> rather than to recover what is owed to them. </w:t>
      </w:r>
      <w:r w:rsidR="001420F0">
        <w:t xml:space="preserve">It is bad in fact because the Respondents </w:t>
      </w:r>
      <w:r w:rsidR="005961A6">
        <w:t>explained their delay</w:t>
      </w:r>
      <w:r w:rsidR="00B34B98">
        <w:t xml:space="preserve"> and</w:t>
      </w:r>
      <w:r w:rsidR="005961A6">
        <w:t xml:space="preserve"> </w:t>
      </w:r>
      <w:r w:rsidR="001420F0">
        <w:t>realised no value from their sale of the equipment.</w:t>
      </w:r>
    </w:p>
    <w:p w14:paraId="5B7F20C5" w14:textId="30A275A1" w:rsidR="008F65E1" w:rsidRDefault="00952D60" w:rsidP="00952D60">
      <w:r>
        <w:rPr>
          <w:rFonts w:eastAsia="Times New Roman" w:cs="Arial"/>
          <w:color w:val="000000"/>
          <w:szCs w:val="24"/>
          <w:lang w:val="en-US" w:eastAsia="en-ZA"/>
        </w:rPr>
        <w:t>[51]</w:t>
      </w:r>
      <w:r>
        <w:rPr>
          <w:rFonts w:eastAsia="Times New Roman" w:cs="Arial"/>
          <w:color w:val="000000"/>
          <w:szCs w:val="24"/>
          <w:lang w:val="en-US" w:eastAsia="en-ZA"/>
        </w:rPr>
        <w:tab/>
      </w:r>
      <w:r w:rsidR="001420F0">
        <w:t xml:space="preserve">That leaves the case made in reply – that the Respondents </w:t>
      </w:r>
      <w:r w:rsidR="001420F0" w:rsidRPr="00952D60">
        <w:rPr>
          <w:i/>
          <w:iCs/>
        </w:rPr>
        <w:t xml:space="preserve">should </w:t>
      </w:r>
      <w:r w:rsidR="001420F0">
        <w:t>have realised value from the sale of the equipment, and that their failure to do so</w:t>
      </w:r>
      <w:r w:rsidR="00A34658">
        <w:t xml:space="preserve"> would justify a reduction in the penalty. </w:t>
      </w:r>
      <w:r w:rsidR="00D7657D">
        <w:t xml:space="preserve">That </w:t>
      </w:r>
      <w:r w:rsidR="008F65E1">
        <w:t>may be a basis to reduce the penalty, if the Applicant could show that the</w:t>
      </w:r>
      <w:r w:rsidR="00803DE3">
        <w:t xml:space="preserve"> Respondents could, through reasonable ca</w:t>
      </w:r>
      <w:r w:rsidR="00B34B98">
        <w:t>r</w:t>
      </w:r>
      <w:r w:rsidR="00803DE3">
        <w:t xml:space="preserve">e, have achieved a higher value </w:t>
      </w:r>
      <w:r w:rsidR="00B34B98">
        <w:t>when they sold</w:t>
      </w:r>
      <w:r w:rsidR="00803DE3">
        <w:t xml:space="preserve"> the printers.</w:t>
      </w:r>
    </w:p>
    <w:p w14:paraId="3307D40F" w14:textId="0A76E9D0" w:rsidR="001420F0" w:rsidRDefault="00952D60" w:rsidP="00952D60">
      <w:r>
        <w:rPr>
          <w:rFonts w:eastAsia="Times New Roman" w:cs="Arial"/>
          <w:color w:val="000000"/>
          <w:szCs w:val="24"/>
          <w:lang w:val="en-US" w:eastAsia="en-ZA"/>
        </w:rPr>
        <w:t>[52]</w:t>
      </w:r>
      <w:r>
        <w:rPr>
          <w:rFonts w:eastAsia="Times New Roman" w:cs="Arial"/>
          <w:color w:val="000000"/>
          <w:szCs w:val="24"/>
          <w:lang w:val="en-US" w:eastAsia="en-ZA"/>
        </w:rPr>
        <w:tab/>
      </w:r>
      <w:r w:rsidR="00D05F7E">
        <w:t xml:space="preserve">But that </w:t>
      </w:r>
      <w:r w:rsidR="00D7657D">
        <w:t xml:space="preserve">case could and should have been made in the founding papers. </w:t>
      </w:r>
      <w:r w:rsidR="00D74F3D">
        <w:t xml:space="preserve">The Applicant attached to her </w:t>
      </w:r>
      <w:r w:rsidR="00DF263B">
        <w:t xml:space="preserve">own </w:t>
      </w:r>
      <w:r w:rsidR="00D74F3D">
        <w:t xml:space="preserve">founding </w:t>
      </w:r>
      <w:r w:rsidR="00B34B98">
        <w:t>affidavit</w:t>
      </w:r>
      <w:r w:rsidR="00D74F3D">
        <w:t xml:space="preserve"> a letter the </w:t>
      </w:r>
      <w:r w:rsidR="00DF0DD4">
        <w:t xml:space="preserve">Respondents’ attorneys </w:t>
      </w:r>
      <w:r w:rsidR="00DF0DD4">
        <w:lastRenderedPageBreak/>
        <w:t xml:space="preserve">sent on 19 January 2023. It </w:t>
      </w:r>
      <w:r w:rsidR="00701EDD">
        <w:t>informed her that “the costs in relation to the sale of the goods exceeded the value which the goods were sold for.” This was also set out in the particulars of claim</w:t>
      </w:r>
      <w:r w:rsidR="00C47326">
        <w:t>, where the Respondents pleaded: “the cost of sale of the goods exceeded the amount the goods were sold for”.</w:t>
      </w:r>
      <w:r w:rsidR="000F52BE">
        <w:t xml:space="preserve"> The Applicant therefore knew, when she brought the application for rescission, that the sale of the printers realised R0.</w:t>
      </w:r>
    </w:p>
    <w:p w14:paraId="4C48E8E2" w14:textId="04C50BB3" w:rsidR="00C47326" w:rsidRDefault="00952D60" w:rsidP="00952D60">
      <w:r>
        <w:rPr>
          <w:rFonts w:eastAsia="Times New Roman" w:cs="Arial"/>
          <w:color w:val="000000"/>
          <w:szCs w:val="24"/>
          <w:lang w:val="en-US" w:eastAsia="en-ZA"/>
        </w:rPr>
        <w:t>[53]</w:t>
      </w:r>
      <w:r>
        <w:rPr>
          <w:rFonts w:eastAsia="Times New Roman" w:cs="Arial"/>
          <w:color w:val="000000"/>
          <w:szCs w:val="24"/>
          <w:lang w:val="en-US" w:eastAsia="en-ZA"/>
        </w:rPr>
        <w:tab/>
      </w:r>
      <w:r w:rsidR="00C47326">
        <w:t>If the Applicant wished to rely on the failure to obtain a better price for the sale of the goods, she should have made that case</w:t>
      </w:r>
      <w:r w:rsidR="00A17EDD">
        <w:t xml:space="preserve"> in her founding papers</w:t>
      </w:r>
      <w:r w:rsidR="00C47326">
        <w:t xml:space="preserve">. That would have allowed the Respondents a fair opportunity to deal with it and to explain why the goods were sold for such a low value. The Applicant did not do so, despite being aware of the </w:t>
      </w:r>
      <w:r w:rsidR="00A17EDD">
        <w:t>key fact that R0 was reali</w:t>
      </w:r>
      <w:r w:rsidR="00D05F7E">
        <w:t>s</w:t>
      </w:r>
      <w:r w:rsidR="00A17EDD">
        <w:t>ed in selling the goods.</w:t>
      </w:r>
      <w:r w:rsidR="00CB58E9">
        <w:t xml:space="preserve"> There is no reason to suspect that the Respondents would intentionally sell the printers for less than they could; there would be no advantage to them in doing so.</w:t>
      </w:r>
    </w:p>
    <w:p w14:paraId="58CCB7A0" w14:textId="13274DB6" w:rsidR="0048564F" w:rsidRDefault="00952D60" w:rsidP="00952D60">
      <w:r>
        <w:rPr>
          <w:rFonts w:eastAsia="Times New Roman" w:cs="Arial"/>
          <w:color w:val="000000"/>
          <w:szCs w:val="24"/>
          <w:lang w:val="en-US" w:eastAsia="en-ZA"/>
        </w:rPr>
        <w:t>[54]</w:t>
      </w:r>
      <w:r>
        <w:rPr>
          <w:rFonts w:eastAsia="Times New Roman" w:cs="Arial"/>
          <w:color w:val="000000"/>
          <w:szCs w:val="24"/>
          <w:lang w:val="en-US" w:eastAsia="en-ZA"/>
        </w:rPr>
        <w:tab/>
      </w:r>
      <w:r w:rsidR="0048564F">
        <w:t xml:space="preserve">The Respondent referred me to the decision of this Court in </w:t>
      </w:r>
      <w:r w:rsidR="00E57D94" w:rsidRPr="00952D60">
        <w:rPr>
          <w:i/>
          <w:iCs/>
        </w:rPr>
        <w:t>Manley Communications</w:t>
      </w:r>
      <w:r w:rsidR="00E57D94">
        <w:t>.</w:t>
      </w:r>
      <w:r w:rsidR="00E57D94">
        <w:rPr>
          <w:rStyle w:val="FootnoteReference"/>
        </w:rPr>
        <w:footnoteReference w:id="17"/>
      </w:r>
      <w:r w:rsidR="001B2907">
        <w:t xml:space="preserve"> A similar defence was raised in the context of summary judgment.</w:t>
      </w:r>
      <w:r w:rsidR="00F87036">
        <w:t xml:space="preserve"> Nuku J </w:t>
      </w:r>
      <w:r w:rsidR="00CC478A">
        <w:t xml:space="preserve">held that the consumer in that case did “not set out the facts to be relied upon in support of their contention </w:t>
      </w:r>
      <w:r w:rsidR="00441740">
        <w:t>that the penalty falls to be reduced”.</w:t>
      </w:r>
      <w:r w:rsidR="00CA1761">
        <w:rPr>
          <w:rStyle w:val="FootnoteReference"/>
        </w:rPr>
        <w:footnoteReference w:id="18"/>
      </w:r>
      <w:r w:rsidR="00441740">
        <w:t xml:space="preserve"> It relied only on </w:t>
      </w:r>
      <w:r w:rsidR="00751CB8">
        <w:t>a request for further information to</w:t>
      </w:r>
      <w:r w:rsidR="002D5818">
        <w:t xml:space="preserve"> determine prejudice to</w:t>
      </w:r>
      <w:r w:rsidR="00751CB8">
        <w:t xml:space="preserve"> which the applicant had not responded.</w:t>
      </w:r>
      <w:r w:rsidR="000F5401">
        <w:t xml:space="preserve"> The same is true here, except that the Applicant had the facts</w:t>
      </w:r>
      <w:r w:rsidR="006200E5">
        <w:t xml:space="preserve"> to </w:t>
      </w:r>
      <w:r w:rsidR="005375B1">
        <w:t>make the argument</w:t>
      </w:r>
      <w:r w:rsidR="000F5401">
        <w:t>, and did not address them</w:t>
      </w:r>
      <w:r w:rsidR="006200E5">
        <w:t xml:space="preserve"> in the founding papers</w:t>
      </w:r>
      <w:r w:rsidR="000F5401">
        <w:t>.</w:t>
      </w:r>
    </w:p>
    <w:p w14:paraId="1839D644" w14:textId="7CABAD15" w:rsidR="00D36D77" w:rsidRDefault="00952D60" w:rsidP="00952D60">
      <w:r>
        <w:rPr>
          <w:rFonts w:eastAsia="Times New Roman" w:cs="Arial"/>
          <w:color w:val="000000"/>
          <w:szCs w:val="24"/>
          <w:lang w:val="en-US" w:eastAsia="en-ZA"/>
        </w:rPr>
        <w:lastRenderedPageBreak/>
        <w:t>[55]</w:t>
      </w:r>
      <w:r>
        <w:rPr>
          <w:rFonts w:eastAsia="Times New Roman" w:cs="Arial"/>
          <w:color w:val="000000"/>
          <w:szCs w:val="24"/>
          <w:lang w:val="en-US" w:eastAsia="en-ZA"/>
        </w:rPr>
        <w:tab/>
      </w:r>
      <w:r w:rsidR="00D36D77">
        <w:t xml:space="preserve">Once again, I understand the Applicant’s frustration. </w:t>
      </w:r>
      <w:r w:rsidR="00B8237A">
        <w:t xml:space="preserve">The Respondents appear to achieve a massive windfall – the full value of the contracts </w:t>
      </w:r>
      <w:r w:rsidR="00E56891">
        <w:t xml:space="preserve">even though the printers were barely used. But that is the consequence of the </w:t>
      </w:r>
      <w:r w:rsidR="005375B1">
        <w:t>guarantees</w:t>
      </w:r>
      <w:r w:rsidR="00E56891">
        <w:t xml:space="preserve"> she signed</w:t>
      </w:r>
      <w:r w:rsidR="00A40D24">
        <w:t>,</w:t>
      </w:r>
      <w:r w:rsidR="00E56891">
        <w:t xml:space="preserve"> our law</w:t>
      </w:r>
      <w:r w:rsidR="00C348FE">
        <w:t xml:space="preserve"> which permits the recovery of this type of accelerated </w:t>
      </w:r>
      <w:r w:rsidR="00033BC7">
        <w:t>rental</w:t>
      </w:r>
      <w:r w:rsidR="00A40D24">
        <w:t>, and her failure to deal with the price for which they were sold in her founding affidavit</w:t>
      </w:r>
      <w:r w:rsidR="00033BC7">
        <w:t>.</w:t>
      </w:r>
    </w:p>
    <w:p w14:paraId="1A2DD28D" w14:textId="358C8205" w:rsidR="005375B1" w:rsidRDefault="00952D60" w:rsidP="00952D60">
      <w:r>
        <w:rPr>
          <w:rFonts w:eastAsia="Times New Roman" w:cs="Arial"/>
          <w:color w:val="000000"/>
          <w:szCs w:val="24"/>
          <w:lang w:val="en-US" w:eastAsia="en-ZA"/>
        </w:rPr>
        <w:t>[56]</w:t>
      </w:r>
      <w:r>
        <w:rPr>
          <w:rFonts w:eastAsia="Times New Roman" w:cs="Arial"/>
          <w:color w:val="000000"/>
          <w:szCs w:val="24"/>
          <w:lang w:val="en-US" w:eastAsia="en-ZA"/>
        </w:rPr>
        <w:tab/>
      </w:r>
      <w:r w:rsidR="005375B1">
        <w:t>I conclude that the Applicant has not established a bona fide defence.</w:t>
      </w:r>
    </w:p>
    <w:p w14:paraId="54BDDFC3" w14:textId="77777777" w:rsidR="0048564F" w:rsidRDefault="0048564F" w:rsidP="00F319B7"/>
    <w:p w14:paraId="4D2E1A28" w14:textId="70DA1946" w:rsidR="008E7DDE" w:rsidRDefault="008E7DDE" w:rsidP="008E7DDE">
      <w:pPr>
        <w:pStyle w:val="Heading3"/>
      </w:pPr>
      <w:r>
        <w:t>Conclusion</w:t>
      </w:r>
    </w:p>
    <w:p w14:paraId="4C386029" w14:textId="15B08FCC" w:rsidR="008E7DDE" w:rsidRDefault="00952D60" w:rsidP="00952D60">
      <w:r>
        <w:rPr>
          <w:rFonts w:eastAsia="Times New Roman" w:cs="Arial"/>
          <w:color w:val="000000"/>
          <w:szCs w:val="24"/>
          <w:lang w:val="en-US" w:eastAsia="en-ZA"/>
        </w:rPr>
        <w:t>[57]</w:t>
      </w:r>
      <w:r>
        <w:rPr>
          <w:rFonts w:eastAsia="Times New Roman" w:cs="Arial"/>
          <w:color w:val="000000"/>
          <w:szCs w:val="24"/>
          <w:lang w:val="en-US" w:eastAsia="en-ZA"/>
        </w:rPr>
        <w:tab/>
      </w:r>
      <w:r w:rsidR="008E7DDE">
        <w:t xml:space="preserve">In conclusion, I find that the late </w:t>
      </w:r>
      <w:r w:rsidR="00A07088">
        <w:t>launching</w:t>
      </w:r>
      <w:r w:rsidR="008E7DDE">
        <w:t xml:space="preserve"> of the application should be condoned, that the </w:t>
      </w:r>
      <w:r w:rsidR="00AB2978">
        <w:t>Applicant was not in wilful default</w:t>
      </w:r>
      <w:r w:rsidR="0002484A">
        <w:t>, but that she has not established any bona fide defence.</w:t>
      </w:r>
    </w:p>
    <w:p w14:paraId="6B1EA245" w14:textId="195F14BB" w:rsidR="0002484A" w:rsidRDefault="00952D60" w:rsidP="00952D60">
      <w:r>
        <w:rPr>
          <w:rFonts w:eastAsia="Times New Roman" w:cs="Arial"/>
          <w:color w:val="000000"/>
          <w:szCs w:val="24"/>
          <w:lang w:val="en-US" w:eastAsia="en-ZA"/>
        </w:rPr>
        <w:t>[58]</w:t>
      </w:r>
      <w:r>
        <w:rPr>
          <w:rFonts w:eastAsia="Times New Roman" w:cs="Arial"/>
          <w:color w:val="000000"/>
          <w:szCs w:val="24"/>
          <w:lang w:val="en-US" w:eastAsia="en-ZA"/>
        </w:rPr>
        <w:tab/>
      </w:r>
      <w:r w:rsidR="0002484A">
        <w:t xml:space="preserve">I reach this conclusion with a few misgivings. It does seem </w:t>
      </w:r>
      <w:r w:rsidR="00896720">
        <w:t xml:space="preserve">likely </w:t>
      </w:r>
      <w:r w:rsidR="0002484A">
        <w:t xml:space="preserve">to me that </w:t>
      </w:r>
      <w:r w:rsidR="00896720">
        <w:t xml:space="preserve">the Applicant was induced into signing the agreements by Koegelenberg and Nel. She </w:t>
      </w:r>
      <w:r w:rsidR="00B33B39">
        <w:t>may</w:t>
      </w:r>
      <w:r w:rsidR="00896720">
        <w:t xml:space="preserve"> have a claim against them or their estates to offset what she may owe the Respondents. </w:t>
      </w:r>
      <w:r w:rsidR="00EB3C36">
        <w:t>The rental rates do seem high, and the failure to realise any value from the</w:t>
      </w:r>
      <w:r w:rsidR="002F32D2">
        <w:t xml:space="preserve"> printers after they were repossessed compounds the unfairness.</w:t>
      </w:r>
      <w:r w:rsidR="00415C69">
        <w:t xml:space="preserve"> </w:t>
      </w:r>
      <w:r w:rsidR="00A907BD">
        <w:t xml:space="preserve">But a contract is a contract, and </w:t>
      </w:r>
      <w:r w:rsidR="007A5BD8">
        <w:t xml:space="preserve">holding parties to their </w:t>
      </w:r>
      <w:r w:rsidR="00CB617D">
        <w:t>agreements is a “</w:t>
      </w:r>
      <w:r w:rsidR="00CB617D" w:rsidRPr="00952D60">
        <w:rPr>
          <w:sz w:val="26"/>
          <w:szCs w:val="26"/>
          <w:lang w:val="en-GB"/>
        </w:rPr>
        <w:t>profoundly moral principle, on which the coherence of any society relies”.</w:t>
      </w:r>
      <w:r w:rsidR="00CB617D">
        <w:rPr>
          <w:rStyle w:val="FootnoteReference"/>
          <w:sz w:val="26"/>
          <w:szCs w:val="26"/>
          <w:lang w:val="en-GB"/>
        </w:rPr>
        <w:footnoteReference w:id="19"/>
      </w:r>
    </w:p>
    <w:p w14:paraId="51450ADA" w14:textId="4EE326AD" w:rsidR="00F22062" w:rsidRDefault="00952D60" w:rsidP="00952D60">
      <w:r>
        <w:rPr>
          <w:rFonts w:eastAsia="Times New Roman" w:cs="Arial"/>
          <w:color w:val="000000"/>
          <w:szCs w:val="24"/>
          <w:lang w:val="en-US" w:eastAsia="en-ZA"/>
        </w:rPr>
        <w:lastRenderedPageBreak/>
        <w:t>[59]</w:t>
      </w:r>
      <w:r>
        <w:rPr>
          <w:rFonts w:eastAsia="Times New Roman" w:cs="Arial"/>
          <w:color w:val="000000"/>
          <w:szCs w:val="24"/>
          <w:lang w:val="en-US" w:eastAsia="en-ZA"/>
        </w:rPr>
        <w:tab/>
      </w:r>
      <w:r w:rsidR="00F22062">
        <w:t xml:space="preserve">On that note, the </w:t>
      </w:r>
      <w:r w:rsidR="00B41B5C">
        <w:t>Respondents have sought costs on an attorney and client scale</w:t>
      </w:r>
      <w:r w:rsidR="00E6131B">
        <w:rPr>
          <w:rStyle w:val="FootnoteReference"/>
        </w:rPr>
        <w:footnoteReference w:id="20"/>
      </w:r>
      <w:r w:rsidR="00B41B5C">
        <w:t xml:space="preserve"> </w:t>
      </w:r>
      <w:r w:rsidR="00995698">
        <w:t>because</w:t>
      </w:r>
      <w:r w:rsidR="00B41B5C">
        <w:t xml:space="preserve"> </w:t>
      </w:r>
      <w:r w:rsidR="001666E7">
        <w:t>the guarantee</w:t>
      </w:r>
      <w:r w:rsidR="009518E3">
        <w:t>s</w:t>
      </w:r>
      <w:r w:rsidR="001666E7">
        <w:t xml:space="preserve"> </w:t>
      </w:r>
      <w:r w:rsidR="00B41B5C">
        <w:t>entitle them to seek costs on that scale</w:t>
      </w:r>
      <w:r w:rsidR="001666E7">
        <w:t>. Courts will ordinarily enforce</w:t>
      </w:r>
      <w:r w:rsidR="00FE0330">
        <w:t xml:space="preserve"> that type of</w:t>
      </w:r>
      <w:r w:rsidR="001666E7">
        <w:t xml:space="preserve"> agreement.</w:t>
      </w:r>
      <w:r w:rsidR="001666E7">
        <w:rPr>
          <w:rStyle w:val="FootnoteReference"/>
        </w:rPr>
        <w:footnoteReference w:id="21"/>
      </w:r>
      <w:r w:rsidR="002E798F">
        <w:t xml:space="preserve"> While a court can depart from that rule, the mere fact that </w:t>
      </w:r>
      <w:r w:rsidR="003A51F4">
        <w:t xml:space="preserve">the </w:t>
      </w:r>
      <w:r w:rsidR="005E692C">
        <w:t>successful party is enforcing an agreement that may seem unfair to a judge, is not a sufficient reason.</w:t>
      </w:r>
      <w:r w:rsidR="005506C6">
        <w:t xml:space="preserve"> </w:t>
      </w:r>
      <w:r w:rsidR="009518E3">
        <w:t>T</w:t>
      </w:r>
      <w:r w:rsidR="005506C6">
        <w:t xml:space="preserve">he Respondents have done nothing in this case to justify a departure from the </w:t>
      </w:r>
      <w:r w:rsidR="007F35A3">
        <w:t>agreement.</w:t>
      </w:r>
    </w:p>
    <w:p w14:paraId="2152AD1C" w14:textId="3CB1EBF3" w:rsidR="007A0DB4" w:rsidRDefault="00952D60" w:rsidP="00952D60">
      <w:r>
        <w:rPr>
          <w:rFonts w:eastAsia="Times New Roman" w:cs="Arial"/>
          <w:color w:val="000000"/>
          <w:szCs w:val="24"/>
          <w:lang w:val="en-US" w:eastAsia="en-ZA"/>
        </w:rPr>
        <w:t>[60]</w:t>
      </w:r>
      <w:r>
        <w:rPr>
          <w:rFonts w:eastAsia="Times New Roman" w:cs="Arial"/>
          <w:color w:val="000000"/>
          <w:szCs w:val="24"/>
          <w:lang w:val="en-US" w:eastAsia="en-ZA"/>
        </w:rPr>
        <w:tab/>
      </w:r>
      <w:r w:rsidR="009518E3">
        <w:t>Accordingly, I</w:t>
      </w:r>
      <w:r w:rsidR="007A0DB4">
        <w:t xml:space="preserve"> make the following order</w:t>
      </w:r>
      <w:r w:rsidR="00AF5955">
        <w:t>:</w:t>
      </w:r>
    </w:p>
    <w:p w14:paraId="0AE10A11" w14:textId="77777777" w:rsidR="00A1435C" w:rsidRDefault="00A1435C" w:rsidP="007A0DB4"/>
    <w:p w14:paraId="72DA898D" w14:textId="372D2D80" w:rsidR="00AF5955" w:rsidRPr="00952D60" w:rsidRDefault="00952D60" w:rsidP="00952D60">
      <w:pPr>
        <w:ind w:left="720" w:hanging="360"/>
        <w:rPr>
          <w:i/>
          <w:iCs/>
        </w:rPr>
      </w:pPr>
      <w:r w:rsidRPr="00AF5955">
        <w:rPr>
          <w:rFonts w:eastAsia="Times New Roman" w:cs="Arial"/>
          <w:iCs/>
          <w:color w:val="000000"/>
          <w:szCs w:val="24"/>
          <w:lang w:val="en-US" w:eastAsia="en-ZA"/>
        </w:rPr>
        <w:t>1.</w:t>
      </w:r>
      <w:r w:rsidRPr="00AF5955">
        <w:rPr>
          <w:rFonts w:eastAsia="Times New Roman" w:cs="Arial"/>
          <w:iCs/>
          <w:color w:val="000000"/>
          <w:szCs w:val="24"/>
          <w:lang w:val="en-US" w:eastAsia="en-ZA"/>
        </w:rPr>
        <w:tab/>
      </w:r>
      <w:r w:rsidR="007A0DB4">
        <w:t>The application for condonation is granted</w:t>
      </w:r>
      <w:r w:rsidR="00AF5955">
        <w:t>.</w:t>
      </w:r>
    </w:p>
    <w:p w14:paraId="5B2759F2" w14:textId="083BD487" w:rsidR="00AF5955" w:rsidRPr="00952D60" w:rsidRDefault="00952D60" w:rsidP="00952D60">
      <w:pPr>
        <w:ind w:left="720" w:hanging="360"/>
        <w:rPr>
          <w:i/>
          <w:iCs/>
        </w:rPr>
      </w:pPr>
      <w:r>
        <w:rPr>
          <w:rFonts w:eastAsia="Times New Roman" w:cs="Arial"/>
          <w:iCs/>
          <w:color w:val="000000"/>
          <w:szCs w:val="24"/>
          <w:lang w:val="en-US" w:eastAsia="en-ZA"/>
        </w:rPr>
        <w:t>2.</w:t>
      </w:r>
      <w:r>
        <w:rPr>
          <w:rFonts w:eastAsia="Times New Roman" w:cs="Arial"/>
          <w:iCs/>
          <w:color w:val="000000"/>
          <w:szCs w:val="24"/>
          <w:lang w:val="en-US" w:eastAsia="en-ZA"/>
        </w:rPr>
        <w:tab/>
      </w:r>
      <w:r w:rsidR="007A0DB4">
        <w:t>The application for rescission is dismissed.</w:t>
      </w:r>
    </w:p>
    <w:p w14:paraId="67A0A412" w14:textId="1A198A08" w:rsidR="007A0DB4" w:rsidRPr="00952D60" w:rsidRDefault="00952D60" w:rsidP="00952D60">
      <w:pPr>
        <w:ind w:left="720" w:hanging="360"/>
        <w:rPr>
          <w:i/>
          <w:iCs/>
        </w:rPr>
      </w:pPr>
      <w:r w:rsidRPr="00AF5955">
        <w:rPr>
          <w:rFonts w:eastAsia="Times New Roman" w:cs="Arial"/>
          <w:iCs/>
          <w:color w:val="000000"/>
          <w:szCs w:val="24"/>
          <w:lang w:val="en-US" w:eastAsia="en-ZA"/>
        </w:rPr>
        <w:t>3.</w:t>
      </w:r>
      <w:r w:rsidRPr="00AF5955">
        <w:rPr>
          <w:rFonts w:eastAsia="Times New Roman" w:cs="Arial"/>
          <w:iCs/>
          <w:color w:val="000000"/>
          <w:szCs w:val="24"/>
          <w:lang w:val="en-US" w:eastAsia="en-ZA"/>
        </w:rPr>
        <w:tab/>
      </w:r>
      <w:r w:rsidR="007A0DB4">
        <w:t>The Applicant shall pay the Respondents’ costs</w:t>
      </w:r>
      <w:r w:rsidR="00F22062">
        <w:t xml:space="preserve"> on an attorney and client scale</w:t>
      </w:r>
      <w:r w:rsidR="007A0DB4">
        <w:t>.</w:t>
      </w:r>
    </w:p>
    <w:p w14:paraId="41604712" w14:textId="77777777" w:rsidR="00C57252" w:rsidRDefault="00C57252" w:rsidP="00C57252"/>
    <w:p w14:paraId="0882791F" w14:textId="77777777" w:rsidR="00C348FE" w:rsidRDefault="00C348FE" w:rsidP="00C57252"/>
    <w:p w14:paraId="5AE28A7C" w14:textId="77777777" w:rsidR="00613EF5" w:rsidRPr="00613EF5" w:rsidRDefault="00613EF5" w:rsidP="00613EF5">
      <w:pPr>
        <w:spacing w:after="80" w:line="240" w:lineRule="auto"/>
        <w:ind w:left="2880"/>
      </w:pPr>
    </w:p>
    <w:p w14:paraId="3FE7A079" w14:textId="77777777" w:rsidR="00613EF5" w:rsidRPr="00613EF5" w:rsidRDefault="00613EF5" w:rsidP="00613EF5">
      <w:pPr>
        <w:spacing w:after="80" w:line="240" w:lineRule="auto"/>
        <w:jc w:val="right"/>
        <w:rPr>
          <w:rFonts w:cs="Arial"/>
          <w:b/>
        </w:rPr>
      </w:pPr>
      <w:r w:rsidRPr="00613EF5">
        <w:rPr>
          <w:rFonts w:cs="Arial"/>
        </w:rPr>
        <w:t>____________________</w:t>
      </w:r>
    </w:p>
    <w:p w14:paraId="34040B3D" w14:textId="77777777" w:rsidR="00613EF5" w:rsidRPr="00613EF5" w:rsidRDefault="00613EF5" w:rsidP="00613EF5">
      <w:pPr>
        <w:spacing w:after="80" w:line="240" w:lineRule="auto"/>
        <w:jc w:val="right"/>
        <w:rPr>
          <w:rFonts w:cs="Arial"/>
        </w:rPr>
      </w:pPr>
      <w:r w:rsidRPr="00613EF5">
        <w:rPr>
          <w:rFonts w:cs="Arial"/>
        </w:rPr>
        <w:t>M J BISHOP</w:t>
      </w:r>
    </w:p>
    <w:p w14:paraId="1A2FEF5D" w14:textId="77777777" w:rsidR="00613EF5" w:rsidRPr="00613EF5" w:rsidRDefault="00613EF5" w:rsidP="00613EF5">
      <w:pPr>
        <w:spacing w:after="80" w:line="240" w:lineRule="auto"/>
        <w:jc w:val="right"/>
        <w:rPr>
          <w:rFonts w:cs="Arial"/>
        </w:rPr>
      </w:pPr>
      <w:r w:rsidRPr="00613EF5">
        <w:rPr>
          <w:rFonts w:cs="Arial"/>
        </w:rPr>
        <w:t xml:space="preserve">Acting Judge of the High Court </w:t>
      </w:r>
    </w:p>
    <w:p w14:paraId="3BFE9236" w14:textId="77777777" w:rsidR="00613EF5" w:rsidRPr="00613EF5" w:rsidRDefault="00613EF5" w:rsidP="00613EF5">
      <w:pPr>
        <w:spacing w:after="80" w:line="240" w:lineRule="auto"/>
        <w:rPr>
          <w:rFonts w:cs="Arial"/>
        </w:rPr>
      </w:pPr>
    </w:p>
    <w:p w14:paraId="303BE9C6" w14:textId="77777777" w:rsidR="00613EF5" w:rsidRPr="00613EF5" w:rsidRDefault="00613EF5" w:rsidP="00613EF5">
      <w:pPr>
        <w:spacing w:after="80" w:line="240" w:lineRule="auto"/>
        <w:rPr>
          <w:rFonts w:cs="Arial"/>
          <w:b/>
        </w:rPr>
      </w:pPr>
    </w:p>
    <w:p w14:paraId="058427B3" w14:textId="77777777" w:rsidR="00613EF5" w:rsidRPr="00613EF5" w:rsidRDefault="00613EF5" w:rsidP="00613EF5">
      <w:pPr>
        <w:spacing w:after="80" w:line="240" w:lineRule="auto"/>
        <w:rPr>
          <w:rFonts w:cs="Arial"/>
          <w:b/>
        </w:rPr>
      </w:pPr>
    </w:p>
    <w:p w14:paraId="39F3BE8B" w14:textId="686A9295" w:rsidR="00613EF5" w:rsidRPr="00613EF5" w:rsidRDefault="00613EF5" w:rsidP="00613EF5">
      <w:pPr>
        <w:spacing w:after="80" w:line="240" w:lineRule="auto"/>
        <w:rPr>
          <w:rFonts w:cs="Arial"/>
          <w:b/>
        </w:rPr>
      </w:pPr>
      <w:r w:rsidRPr="00613EF5">
        <w:rPr>
          <w:rFonts w:cs="Arial"/>
          <w:b/>
        </w:rPr>
        <w:lastRenderedPageBreak/>
        <w:t>Counsel for Applicant:</w:t>
      </w:r>
      <w:r w:rsidRPr="00613EF5">
        <w:rPr>
          <w:rFonts w:cs="Arial"/>
          <w:b/>
        </w:rPr>
        <w:tab/>
      </w:r>
      <w:r>
        <w:rPr>
          <w:rFonts w:cs="Arial"/>
          <w:b/>
        </w:rPr>
        <w:tab/>
      </w:r>
      <w:r>
        <w:rPr>
          <w:rFonts w:cs="Arial"/>
          <w:b/>
        </w:rPr>
        <w:tab/>
      </w:r>
      <w:r w:rsidRPr="00613EF5">
        <w:rPr>
          <w:rFonts w:cs="Arial"/>
          <w:b/>
        </w:rPr>
        <w:t xml:space="preserve">Adv </w:t>
      </w:r>
      <w:r w:rsidR="007B3464">
        <w:rPr>
          <w:rFonts w:cs="Arial"/>
          <w:b/>
        </w:rPr>
        <w:t>M Nowitz</w:t>
      </w:r>
    </w:p>
    <w:p w14:paraId="28522123" w14:textId="7E78AE51" w:rsidR="00613EF5" w:rsidRPr="00613EF5" w:rsidRDefault="00613EF5" w:rsidP="00613EF5">
      <w:pPr>
        <w:spacing w:after="80" w:line="240" w:lineRule="auto"/>
        <w:rPr>
          <w:rFonts w:cs="Arial"/>
          <w:i/>
        </w:rPr>
      </w:pPr>
      <w:r w:rsidRPr="00613EF5">
        <w:rPr>
          <w:rFonts w:cs="Arial"/>
          <w:i/>
        </w:rPr>
        <w:t xml:space="preserve">Attorneys for Applicant </w:t>
      </w:r>
      <w:r w:rsidRPr="00613EF5">
        <w:rPr>
          <w:rFonts w:cs="Arial"/>
          <w:i/>
        </w:rPr>
        <w:tab/>
      </w:r>
      <w:r w:rsidRPr="00613EF5">
        <w:rPr>
          <w:rFonts w:cs="Arial"/>
          <w:i/>
        </w:rPr>
        <w:tab/>
      </w:r>
      <w:r w:rsidRPr="00613EF5">
        <w:rPr>
          <w:rFonts w:cs="Arial"/>
          <w:i/>
        </w:rPr>
        <w:tab/>
      </w:r>
      <w:r w:rsidR="001A1259">
        <w:rPr>
          <w:rFonts w:cs="Arial"/>
          <w:i/>
        </w:rPr>
        <w:t>STBB|Smith Tabata Buchanan Boyes</w:t>
      </w:r>
      <w:r w:rsidRPr="00613EF5">
        <w:rPr>
          <w:rFonts w:cs="Arial"/>
          <w:i/>
        </w:rPr>
        <w:tab/>
      </w:r>
      <w:r w:rsidRPr="00613EF5">
        <w:rPr>
          <w:rFonts w:cs="Arial"/>
          <w:i/>
        </w:rPr>
        <w:tab/>
      </w:r>
      <w:r w:rsidRPr="00613EF5">
        <w:rPr>
          <w:rFonts w:cs="Arial"/>
          <w:i/>
        </w:rPr>
        <w:tab/>
      </w:r>
      <w:r w:rsidRPr="00613EF5">
        <w:rPr>
          <w:rFonts w:cs="Arial"/>
          <w:i/>
        </w:rPr>
        <w:tab/>
      </w:r>
    </w:p>
    <w:p w14:paraId="71CDFE66" w14:textId="3DA40DC3" w:rsidR="00613EF5" w:rsidRPr="00613EF5" w:rsidRDefault="00613EF5" w:rsidP="005A17FD">
      <w:pPr>
        <w:spacing w:after="80" w:line="240" w:lineRule="auto"/>
        <w:ind w:left="4320" w:hanging="4320"/>
        <w:rPr>
          <w:rFonts w:cs="Arial"/>
          <w:b/>
        </w:rPr>
      </w:pPr>
      <w:r w:rsidRPr="00613EF5">
        <w:rPr>
          <w:rFonts w:cs="Arial"/>
          <w:b/>
        </w:rPr>
        <w:t>Counsel for Fourth</w:t>
      </w:r>
      <w:r w:rsidRPr="00613EF5">
        <w:rPr>
          <w:rFonts w:cs="Arial"/>
          <w:b/>
          <w:vertAlign w:val="superscript"/>
        </w:rPr>
        <w:t xml:space="preserve"> </w:t>
      </w:r>
      <w:r w:rsidRPr="00613EF5">
        <w:rPr>
          <w:rFonts w:cs="Arial"/>
          <w:b/>
        </w:rPr>
        <w:t>Applicant:</w:t>
      </w:r>
      <w:r w:rsidRPr="00613EF5">
        <w:rPr>
          <w:rFonts w:cs="Arial"/>
          <w:b/>
        </w:rPr>
        <w:tab/>
        <w:t xml:space="preserve">Adv </w:t>
      </w:r>
      <w:r w:rsidR="001A1259">
        <w:rPr>
          <w:rFonts w:cs="Arial"/>
          <w:b/>
        </w:rPr>
        <w:t xml:space="preserve">L Wessels (heads </w:t>
      </w:r>
      <w:r w:rsidR="005A17FD">
        <w:rPr>
          <w:rFonts w:cs="Arial"/>
          <w:b/>
        </w:rPr>
        <w:t xml:space="preserve">of argument </w:t>
      </w:r>
      <w:r w:rsidR="001A1259">
        <w:rPr>
          <w:rFonts w:cs="Arial"/>
          <w:b/>
        </w:rPr>
        <w:t xml:space="preserve">prepared by </w:t>
      </w:r>
      <w:r w:rsidR="005A17FD">
        <w:rPr>
          <w:rFonts w:cs="Arial"/>
          <w:b/>
        </w:rPr>
        <w:t>Adv S Aucamp)</w:t>
      </w:r>
    </w:p>
    <w:p w14:paraId="16817F3B" w14:textId="6DA72FE7" w:rsidR="00613EF5" w:rsidRPr="00613EF5" w:rsidRDefault="00613EF5" w:rsidP="00613EF5">
      <w:pPr>
        <w:spacing w:after="80" w:line="240" w:lineRule="auto"/>
        <w:rPr>
          <w:rFonts w:cs="Arial"/>
          <w:i/>
        </w:rPr>
      </w:pPr>
      <w:r w:rsidRPr="00613EF5">
        <w:rPr>
          <w:rFonts w:cs="Arial"/>
          <w:i/>
        </w:rPr>
        <w:t>Attorneys for Applicant</w:t>
      </w:r>
      <w:r w:rsidRPr="00613EF5">
        <w:rPr>
          <w:rFonts w:cs="Arial"/>
          <w:i/>
        </w:rPr>
        <w:tab/>
      </w:r>
      <w:r w:rsidRPr="00613EF5">
        <w:rPr>
          <w:rFonts w:cs="Arial"/>
          <w:i/>
        </w:rPr>
        <w:tab/>
      </w:r>
      <w:r w:rsidRPr="00613EF5">
        <w:rPr>
          <w:rFonts w:cs="Arial"/>
          <w:i/>
        </w:rPr>
        <w:tab/>
      </w:r>
      <w:r w:rsidR="005A17FD">
        <w:rPr>
          <w:rFonts w:cs="Arial"/>
          <w:i/>
        </w:rPr>
        <w:t>Smith Jones &amp; Pratt Inc</w:t>
      </w:r>
    </w:p>
    <w:p w14:paraId="00FAA898" w14:textId="77777777" w:rsidR="00613EF5" w:rsidRPr="00613EF5" w:rsidRDefault="00613EF5" w:rsidP="00613EF5">
      <w:pPr>
        <w:spacing w:after="80" w:line="240" w:lineRule="auto"/>
        <w:rPr>
          <w:rFonts w:cs="Arial"/>
          <w:i/>
        </w:rPr>
      </w:pPr>
    </w:p>
    <w:p w14:paraId="7DB289E7" w14:textId="77777777" w:rsidR="00613EF5" w:rsidRPr="00613EF5" w:rsidRDefault="00613EF5" w:rsidP="00613EF5">
      <w:pPr>
        <w:spacing w:after="80" w:line="240" w:lineRule="auto"/>
        <w:rPr>
          <w:rFonts w:cs="Arial"/>
          <w:i/>
        </w:rPr>
      </w:pPr>
    </w:p>
    <w:p w14:paraId="1F780254" w14:textId="77777777" w:rsidR="00C57252" w:rsidRPr="00C57252" w:rsidRDefault="00C57252" w:rsidP="00C57252"/>
    <w:sectPr w:rsidR="00C57252" w:rsidRPr="00C5725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EBFB" w14:textId="77777777" w:rsidR="001A1428" w:rsidRDefault="001A1428" w:rsidP="00BF2152">
      <w:pPr>
        <w:spacing w:after="0" w:line="240" w:lineRule="auto"/>
      </w:pPr>
      <w:r>
        <w:separator/>
      </w:r>
    </w:p>
  </w:endnote>
  <w:endnote w:type="continuationSeparator" w:id="0">
    <w:p w14:paraId="482E6668" w14:textId="77777777" w:rsidR="001A1428" w:rsidRDefault="001A1428"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5CA5" w14:textId="77777777" w:rsidR="001A1428" w:rsidRDefault="001A1428" w:rsidP="00BF2152">
      <w:pPr>
        <w:spacing w:after="0" w:line="240" w:lineRule="auto"/>
      </w:pPr>
      <w:r>
        <w:separator/>
      </w:r>
    </w:p>
  </w:footnote>
  <w:footnote w:type="continuationSeparator" w:id="0">
    <w:p w14:paraId="2515CDC6" w14:textId="77777777" w:rsidR="001A1428" w:rsidRDefault="001A1428" w:rsidP="00BF2152">
      <w:pPr>
        <w:spacing w:after="0" w:line="240" w:lineRule="auto"/>
      </w:pPr>
      <w:r>
        <w:continuationSeparator/>
      </w:r>
    </w:p>
  </w:footnote>
  <w:footnote w:id="1">
    <w:p w14:paraId="724C24FF" w14:textId="09921B17" w:rsidR="00567BB6" w:rsidRDefault="00567BB6" w:rsidP="00567BB6">
      <w:pPr>
        <w:pStyle w:val="FootnoteText"/>
      </w:pPr>
      <w:r>
        <w:rPr>
          <w:rStyle w:val="FootnoteReference"/>
        </w:rPr>
        <w:footnoteRef/>
      </w:r>
      <w:r w:rsidR="001C0538">
        <w:t xml:space="preserve"> </w:t>
      </w:r>
      <w:r w:rsidR="001C0538" w:rsidRPr="001C0538">
        <w:rPr>
          <w:i/>
          <w:iCs/>
        </w:rPr>
        <w:t xml:space="preserve">Morkel </w:t>
      </w:r>
      <w:r w:rsidR="001C0538">
        <w:rPr>
          <w:i/>
          <w:iCs/>
        </w:rPr>
        <w:t>v</w:t>
      </w:r>
      <w:r w:rsidR="001C0538" w:rsidRPr="001C0538">
        <w:rPr>
          <w:i/>
          <w:iCs/>
        </w:rPr>
        <w:t xml:space="preserve"> Absa Bank Bpk </w:t>
      </w:r>
      <w:r w:rsidR="001C0538">
        <w:rPr>
          <w:i/>
          <w:iCs/>
        </w:rPr>
        <w:t>e</w:t>
      </w:r>
      <w:r w:rsidR="001C0538" w:rsidRPr="001C0538">
        <w:rPr>
          <w:i/>
          <w:iCs/>
        </w:rPr>
        <w:t xml:space="preserve">n </w:t>
      </w:r>
      <w:r w:rsidR="001C0538">
        <w:rPr>
          <w:i/>
          <w:iCs/>
        </w:rPr>
        <w:t>’n</w:t>
      </w:r>
      <w:r w:rsidR="001C0538" w:rsidRPr="001C0538">
        <w:rPr>
          <w:i/>
          <w:iCs/>
        </w:rPr>
        <w:t xml:space="preserve"> Ander</w:t>
      </w:r>
      <w:r w:rsidR="001C0538" w:rsidRPr="001C0538">
        <w:t xml:space="preserve"> 1996 (1) SA 899 (C)</w:t>
      </w:r>
      <w:r w:rsidR="001C0538">
        <w:t xml:space="preserve"> at 903D-E.</w:t>
      </w:r>
    </w:p>
  </w:footnote>
  <w:footnote w:id="2">
    <w:p w14:paraId="37AC0D7A" w14:textId="6F1764E1" w:rsidR="00A97BE2" w:rsidRDefault="00A97BE2">
      <w:pPr>
        <w:pStyle w:val="FootnoteText"/>
      </w:pPr>
      <w:r>
        <w:rPr>
          <w:rStyle w:val="FootnoteReference"/>
        </w:rPr>
        <w:footnoteRef/>
      </w:r>
      <w:r>
        <w:t xml:space="preserve"> </w:t>
      </w:r>
      <w:r w:rsidR="00C47B56" w:rsidRPr="00C47B56">
        <w:rPr>
          <w:i/>
          <w:iCs/>
        </w:rPr>
        <w:t xml:space="preserve">Wahl </w:t>
      </w:r>
      <w:r w:rsidR="00C47B56">
        <w:rPr>
          <w:i/>
          <w:iCs/>
        </w:rPr>
        <w:t>v</w:t>
      </w:r>
      <w:r w:rsidR="00C47B56" w:rsidRPr="00C47B56">
        <w:rPr>
          <w:i/>
          <w:iCs/>
        </w:rPr>
        <w:t xml:space="preserve"> Prinswil Beleggings (Edms) Bpk</w:t>
      </w:r>
      <w:r w:rsidR="00C47B56" w:rsidRPr="00C47B56">
        <w:t xml:space="preserve"> 1984 (1) SA 457 (T)</w:t>
      </w:r>
      <w:r w:rsidR="00915086">
        <w:t>.</w:t>
      </w:r>
    </w:p>
  </w:footnote>
  <w:footnote w:id="3">
    <w:p w14:paraId="1966A51E" w14:textId="3A604BF8" w:rsidR="00337361" w:rsidRDefault="00337361">
      <w:pPr>
        <w:pStyle w:val="FootnoteText"/>
      </w:pPr>
      <w:r>
        <w:rPr>
          <w:rStyle w:val="FootnoteReference"/>
        </w:rPr>
        <w:footnoteRef/>
      </w:r>
      <w:r>
        <w:t xml:space="preserve"> </w:t>
      </w:r>
      <w:r w:rsidR="001C0538" w:rsidRPr="00805325">
        <w:rPr>
          <w:i/>
          <w:iCs/>
        </w:rPr>
        <w:t xml:space="preserve">Colyn </w:t>
      </w:r>
      <w:r w:rsidR="001C0538">
        <w:rPr>
          <w:i/>
          <w:iCs/>
        </w:rPr>
        <w:t>v</w:t>
      </w:r>
      <w:r w:rsidR="001C0538" w:rsidRPr="00805325">
        <w:rPr>
          <w:i/>
          <w:iCs/>
        </w:rPr>
        <w:t xml:space="preserve"> Tiger Food Industries Ltd </w:t>
      </w:r>
      <w:r w:rsidR="001C0538">
        <w:rPr>
          <w:i/>
          <w:iCs/>
        </w:rPr>
        <w:t>t/a</w:t>
      </w:r>
      <w:r w:rsidR="001C0538" w:rsidRPr="00805325">
        <w:rPr>
          <w:i/>
          <w:iCs/>
        </w:rPr>
        <w:t xml:space="preserve"> Meadow Feed Mills (Cape)</w:t>
      </w:r>
      <w:r w:rsidR="001C0538" w:rsidRPr="00805325">
        <w:t xml:space="preserve"> 2003 (6) SA 1 (SCA)</w:t>
      </w:r>
      <w:r w:rsidR="00805325">
        <w:t xml:space="preserve"> at para 11.</w:t>
      </w:r>
    </w:p>
  </w:footnote>
  <w:footnote w:id="4">
    <w:p w14:paraId="60A18266" w14:textId="28D9B96E" w:rsidR="00E549B2" w:rsidRPr="00AD5C9A" w:rsidRDefault="00E549B2">
      <w:pPr>
        <w:pStyle w:val="FootnoteText"/>
      </w:pPr>
      <w:r>
        <w:rPr>
          <w:rStyle w:val="FootnoteReference"/>
        </w:rPr>
        <w:footnoteRef/>
      </w:r>
      <w:r>
        <w:t xml:space="preserve"> </w:t>
      </w:r>
      <w:r w:rsidR="00AD5C9A">
        <w:rPr>
          <w:i/>
          <w:iCs/>
        </w:rPr>
        <w:t xml:space="preserve">Morkel </w:t>
      </w:r>
      <w:r w:rsidR="00AD5C9A">
        <w:t xml:space="preserve">(n </w:t>
      </w:r>
      <w:r w:rsidR="00CB79A6">
        <w:fldChar w:fldCharType="begin"/>
      </w:r>
      <w:r w:rsidR="00CB79A6">
        <w:instrText xml:space="preserve"> NOTEREF _Ref152584726 \h </w:instrText>
      </w:r>
      <w:r w:rsidR="00CB79A6">
        <w:fldChar w:fldCharType="separate"/>
      </w:r>
      <w:r w:rsidR="00AB3C60">
        <w:t>1</w:t>
      </w:r>
      <w:r w:rsidR="00CB79A6">
        <w:fldChar w:fldCharType="end"/>
      </w:r>
      <w:r w:rsidR="00AD5C9A">
        <w:t xml:space="preserve"> above) at </w:t>
      </w:r>
      <w:r w:rsidR="00CB79A6">
        <w:t>905C-D.</w:t>
      </w:r>
    </w:p>
  </w:footnote>
  <w:footnote w:id="5">
    <w:p w14:paraId="54F6602D" w14:textId="33DBCCF3" w:rsidR="003B4B34" w:rsidRPr="00EC2F96" w:rsidRDefault="003B4B34">
      <w:pPr>
        <w:pStyle w:val="FootnoteText"/>
      </w:pPr>
      <w:r>
        <w:rPr>
          <w:rStyle w:val="FootnoteReference"/>
        </w:rPr>
        <w:footnoteRef/>
      </w:r>
      <w:r>
        <w:t xml:space="preserve"> </w:t>
      </w:r>
      <w:r w:rsidR="00EC2F96">
        <w:t xml:space="preserve">See </w:t>
      </w:r>
      <w:r w:rsidR="00EC2F96">
        <w:rPr>
          <w:i/>
          <w:iCs/>
        </w:rPr>
        <w:t xml:space="preserve">Tuning Fork (Pty) Ltd t/a Balanced Audio v Greeff &amp; Another </w:t>
      </w:r>
      <w:r w:rsidR="00EC2F96">
        <w:t>2014 (4) SA 521 (C).</w:t>
      </w:r>
    </w:p>
  </w:footnote>
  <w:footnote w:id="6">
    <w:p w14:paraId="457D7974" w14:textId="5EF2B998" w:rsidR="00C5635E" w:rsidRDefault="00C5635E" w:rsidP="00813064">
      <w:pPr>
        <w:pStyle w:val="FootnoteText"/>
      </w:pPr>
      <w:r>
        <w:rPr>
          <w:rStyle w:val="FootnoteReference"/>
        </w:rPr>
        <w:footnoteRef/>
      </w:r>
      <w:r>
        <w:t xml:space="preserve"> Section 154</w:t>
      </w:r>
      <w:r w:rsidR="00813064">
        <w:t>(1)</w:t>
      </w:r>
      <w:r>
        <w:t xml:space="preserve"> reads: </w:t>
      </w:r>
      <w:r w:rsidR="00813064">
        <w:t>“</w:t>
      </w:r>
      <w:r>
        <w:t>A business rescue plan may provide that, if it is implemented in accordance with its terms and conditions, a creditor who has acceded to the discharge of the whole or part of a debt owing to that creditor will lose the right to enforce the relevant debt or part of it.</w:t>
      </w:r>
      <w:r w:rsidR="00813064">
        <w:t>”</w:t>
      </w:r>
    </w:p>
  </w:footnote>
  <w:footnote w:id="7">
    <w:p w14:paraId="3EC71B6B" w14:textId="1E63FCF0" w:rsidR="00813064" w:rsidRDefault="00813064">
      <w:pPr>
        <w:pStyle w:val="FootnoteText"/>
      </w:pPr>
      <w:r>
        <w:rPr>
          <w:rStyle w:val="FootnoteReference"/>
        </w:rPr>
        <w:footnoteRef/>
      </w:r>
      <w:r>
        <w:t xml:space="preserve"> Section 154(2) reads: “If a business rescue plan has been approved and implemented in accordance with this Chapter, a creditor is not entitled to enforce any debt owed by the company immediately before the beginning of the business rescue process, except to the extent provided for in the business rescue plan.”</w:t>
      </w:r>
    </w:p>
  </w:footnote>
  <w:footnote w:id="8">
    <w:p w14:paraId="1E8E7E1E" w14:textId="5B02DEFB" w:rsidR="00E5225F" w:rsidRDefault="00E5225F">
      <w:pPr>
        <w:pStyle w:val="FootnoteText"/>
      </w:pPr>
      <w:r>
        <w:rPr>
          <w:rStyle w:val="FootnoteReference"/>
        </w:rPr>
        <w:footnoteRef/>
      </w:r>
      <w:r>
        <w:t xml:space="preserve"> 2021 (5) SA 171 (SCA).</w:t>
      </w:r>
    </w:p>
  </w:footnote>
  <w:footnote w:id="9">
    <w:p w14:paraId="34B99465" w14:textId="3FB78B58" w:rsidR="00194786" w:rsidRDefault="00194786">
      <w:pPr>
        <w:pStyle w:val="FootnoteText"/>
      </w:pPr>
      <w:r>
        <w:rPr>
          <w:rStyle w:val="FootnoteReference"/>
        </w:rPr>
        <w:footnoteRef/>
      </w:r>
      <w:r>
        <w:t xml:space="preserve"> Ibid at para 31.</w:t>
      </w:r>
    </w:p>
  </w:footnote>
  <w:footnote w:id="10">
    <w:p w14:paraId="08C71275" w14:textId="77777777" w:rsidR="00CC7D98" w:rsidRPr="00022DF3" w:rsidRDefault="00CC7D98" w:rsidP="00CC7D98">
      <w:pPr>
        <w:pStyle w:val="FootnoteText"/>
      </w:pPr>
      <w:r>
        <w:rPr>
          <w:rStyle w:val="FootnoteReference"/>
        </w:rPr>
        <w:footnoteRef/>
      </w:r>
      <w:r>
        <w:t xml:space="preserve"> </w:t>
      </w:r>
      <w:r>
        <w:rPr>
          <w:i/>
          <w:iCs/>
        </w:rPr>
        <w:t xml:space="preserve">Karabus Motors (1959) Ltd v Van Eck </w:t>
      </w:r>
      <w:r>
        <w:t>1962 (1) SA 451 (C) at 453.</w:t>
      </w:r>
    </w:p>
  </w:footnote>
  <w:footnote w:id="11">
    <w:p w14:paraId="581BD39E" w14:textId="77777777" w:rsidR="00CC7D98" w:rsidRDefault="00CC7D98" w:rsidP="00CC7D98">
      <w:pPr>
        <w:pStyle w:val="FootnoteText"/>
      </w:pPr>
      <w:r>
        <w:rPr>
          <w:rStyle w:val="FootnoteReference"/>
        </w:rPr>
        <w:footnoteRef/>
      </w:r>
      <w:r>
        <w:t xml:space="preserve"> </w:t>
      </w:r>
      <w:r w:rsidRPr="00A33834">
        <w:rPr>
          <w:i/>
          <w:iCs/>
        </w:rPr>
        <w:t>Absa Bank Limited v Moore and Another</w:t>
      </w:r>
      <w:r w:rsidRPr="00A33834">
        <w:t xml:space="preserve"> [2016] ZACC 34; 2017 (1) SA 255 (CC); 2017 (2) BCLR 131 (CC)</w:t>
      </w:r>
      <w:r>
        <w:t xml:space="preserve"> at para 39.</w:t>
      </w:r>
    </w:p>
  </w:footnote>
  <w:footnote w:id="12">
    <w:p w14:paraId="3E922852" w14:textId="77777777" w:rsidR="00CC7D98" w:rsidRDefault="00CC7D98" w:rsidP="00CC7D98">
      <w:pPr>
        <w:pStyle w:val="FootnoteText"/>
      </w:pPr>
      <w:r>
        <w:rPr>
          <w:rStyle w:val="FootnoteReference"/>
        </w:rPr>
        <w:footnoteRef/>
      </w:r>
      <w:r>
        <w:t xml:space="preserve"> </w:t>
      </w:r>
      <w:r w:rsidRPr="00475422">
        <w:rPr>
          <w:i/>
          <w:iCs/>
        </w:rPr>
        <w:t>Pilane and Another v Pilane and Another</w:t>
      </w:r>
      <w:r w:rsidRPr="00475422">
        <w:t xml:space="preserve"> [2013] ZACC 3; 2013 (4) BCLR 431 (CC)</w:t>
      </w:r>
      <w:r>
        <w:t xml:space="preserve"> at para 40.</w:t>
      </w:r>
    </w:p>
  </w:footnote>
  <w:footnote w:id="13">
    <w:p w14:paraId="0C98DA62" w14:textId="6E3BF4CA" w:rsidR="00150002" w:rsidRDefault="00150002">
      <w:pPr>
        <w:pStyle w:val="FootnoteText"/>
      </w:pPr>
      <w:r>
        <w:rPr>
          <w:rStyle w:val="FootnoteReference"/>
        </w:rPr>
        <w:footnoteRef/>
      </w:r>
      <w:r>
        <w:t xml:space="preserve"> </w:t>
      </w:r>
      <w:r w:rsidR="009E6FE8" w:rsidRPr="009E6FE8">
        <w:rPr>
          <w:i/>
          <w:iCs/>
        </w:rPr>
        <w:t xml:space="preserve">Plumbago Financial Services (Pty) Ltd </w:t>
      </w:r>
      <w:r w:rsidR="009E6FE8">
        <w:rPr>
          <w:i/>
          <w:iCs/>
        </w:rPr>
        <w:t>t/a</w:t>
      </w:r>
      <w:r w:rsidR="009E6FE8" w:rsidRPr="009E6FE8">
        <w:rPr>
          <w:i/>
          <w:iCs/>
        </w:rPr>
        <w:t xml:space="preserve"> Toshiba Rentals </w:t>
      </w:r>
      <w:r w:rsidR="009E6FE8">
        <w:rPr>
          <w:i/>
          <w:iCs/>
        </w:rPr>
        <w:t>v</w:t>
      </w:r>
      <w:r w:rsidR="009E6FE8" w:rsidRPr="009E6FE8">
        <w:rPr>
          <w:i/>
          <w:iCs/>
        </w:rPr>
        <w:t xml:space="preserve"> Janap Joseph </w:t>
      </w:r>
      <w:r w:rsidR="009E6FE8">
        <w:rPr>
          <w:i/>
          <w:iCs/>
        </w:rPr>
        <w:t>t/a</w:t>
      </w:r>
      <w:r w:rsidR="009E6FE8" w:rsidRPr="009E6FE8">
        <w:rPr>
          <w:i/>
          <w:iCs/>
        </w:rPr>
        <w:t xml:space="preserve"> Project Finance</w:t>
      </w:r>
      <w:r w:rsidR="009E6FE8" w:rsidRPr="009E6FE8">
        <w:t xml:space="preserve"> 2008 (3) SA 47 (C)</w:t>
      </w:r>
      <w:r w:rsidR="009E6FE8">
        <w:t>.</w:t>
      </w:r>
    </w:p>
  </w:footnote>
  <w:footnote w:id="14">
    <w:p w14:paraId="4B918A25" w14:textId="77777777" w:rsidR="003709A2" w:rsidRDefault="003709A2" w:rsidP="003709A2">
      <w:pPr>
        <w:pStyle w:val="FootnoteText"/>
      </w:pPr>
      <w:r>
        <w:rPr>
          <w:rStyle w:val="FootnoteReference"/>
        </w:rPr>
        <w:footnoteRef/>
      </w:r>
      <w:r>
        <w:t xml:space="preserve"> </w:t>
      </w:r>
      <w:r w:rsidRPr="007435C0">
        <w:rPr>
          <w:i/>
          <w:iCs/>
        </w:rPr>
        <w:t>National Sorghum Breweries v International Liquor Distributors</w:t>
      </w:r>
      <w:r w:rsidRPr="00CD3981">
        <w:t xml:space="preserve"> [2000] ZASCA 159; 2001 (2) SA 232 (SCA) para 8</w:t>
      </w:r>
      <w:r>
        <w:t xml:space="preserve"> and </w:t>
      </w:r>
      <w:r w:rsidRPr="007435C0">
        <w:rPr>
          <w:i/>
          <w:iCs/>
        </w:rPr>
        <w:t>Steinberg v Lazard</w:t>
      </w:r>
      <w:r w:rsidRPr="007435C0">
        <w:t xml:space="preserve"> [2006] ZASCA 55; 2006 (5) SA 42 (SCA)</w:t>
      </w:r>
      <w:r>
        <w:t xml:space="preserve"> at para 10.</w:t>
      </w:r>
    </w:p>
  </w:footnote>
  <w:footnote w:id="15">
    <w:p w14:paraId="46BBDA0A" w14:textId="26073703" w:rsidR="005F4C94" w:rsidRPr="005F4C94" w:rsidRDefault="005F4C94">
      <w:pPr>
        <w:pStyle w:val="FootnoteText"/>
      </w:pPr>
      <w:r>
        <w:rPr>
          <w:rStyle w:val="FootnoteReference"/>
        </w:rPr>
        <w:footnoteRef/>
      </w:r>
      <w:r>
        <w:t xml:space="preserve"> </w:t>
      </w:r>
      <w:r>
        <w:rPr>
          <w:i/>
          <w:iCs/>
        </w:rPr>
        <w:t xml:space="preserve">Plumbago </w:t>
      </w:r>
      <w:r w:rsidR="00994AFF">
        <w:t xml:space="preserve">(n </w:t>
      </w:r>
      <w:r w:rsidR="00E65D5C">
        <w:fldChar w:fldCharType="begin"/>
      </w:r>
      <w:r w:rsidR="00E65D5C">
        <w:instrText xml:space="preserve"> NOTEREF _Ref152587337 \h </w:instrText>
      </w:r>
      <w:r w:rsidR="00E65D5C">
        <w:fldChar w:fldCharType="separate"/>
      </w:r>
      <w:r w:rsidR="00AB3C60">
        <w:t>11</w:t>
      </w:r>
      <w:r w:rsidR="00E65D5C">
        <w:fldChar w:fldCharType="end"/>
      </w:r>
      <w:r w:rsidR="00E65D5C">
        <w:t xml:space="preserve"> above) </w:t>
      </w:r>
      <w:r>
        <w:t xml:space="preserve">at para </w:t>
      </w:r>
      <w:r w:rsidR="00D2626B">
        <w:t>36.</w:t>
      </w:r>
    </w:p>
  </w:footnote>
  <w:footnote w:id="16">
    <w:p w14:paraId="73CBB3ED" w14:textId="4C9AC2C7" w:rsidR="0013527B" w:rsidRPr="00051A6B" w:rsidRDefault="0013527B" w:rsidP="0013527B">
      <w:pPr>
        <w:pStyle w:val="FootnoteText"/>
      </w:pPr>
      <w:r>
        <w:rPr>
          <w:rStyle w:val="FootnoteReference"/>
        </w:rPr>
        <w:footnoteRef/>
      </w:r>
      <w:r>
        <w:t xml:space="preserve"> </w:t>
      </w:r>
      <w:r>
        <w:rPr>
          <w:i/>
          <w:iCs/>
        </w:rPr>
        <w:t>ABSA Technology Finance Solutions (Pty) Ltd v Leon Hattingh t/a Corner Savings Supermarket</w:t>
      </w:r>
      <w:r>
        <w:t xml:space="preserve"> </w:t>
      </w:r>
      <w:r w:rsidRPr="00DF1A46">
        <w:t>[2009] ZAGPPHC 37</w:t>
      </w:r>
      <w:r>
        <w:t xml:space="preserve"> at para 33.</w:t>
      </w:r>
    </w:p>
  </w:footnote>
  <w:footnote w:id="17">
    <w:p w14:paraId="6670D890" w14:textId="129404F0" w:rsidR="00E57D94" w:rsidRPr="00E57D94" w:rsidRDefault="00E57D94">
      <w:pPr>
        <w:pStyle w:val="FootnoteText"/>
      </w:pPr>
      <w:r>
        <w:rPr>
          <w:rStyle w:val="FootnoteReference"/>
        </w:rPr>
        <w:footnoteRef/>
      </w:r>
      <w:r>
        <w:t xml:space="preserve"> </w:t>
      </w:r>
      <w:r>
        <w:rPr>
          <w:i/>
          <w:iCs/>
        </w:rPr>
        <w:t xml:space="preserve">South African Securitisation Programme (RF) Ltd &amp; Others v Manley Communications – Publicity and Public Relations Consultants CC &amp; Another </w:t>
      </w:r>
      <w:r>
        <w:t>unre</w:t>
      </w:r>
      <w:r w:rsidR="000A34D3">
        <w:t>ported judgment</w:t>
      </w:r>
      <w:r w:rsidR="00A07088">
        <w:t xml:space="preserve"> of the Western Cape High Court</w:t>
      </w:r>
      <w:r w:rsidR="000A34D3">
        <w:t>, Case No. 15549/2020 (16 August 2021).</w:t>
      </w:r>
    </w:p>
  </w:footnote>
  <w:footnote w:id="18">
    <w:p w14:paraId="298C19B5" w14:textId="59585B76" w:rsidR="00CA1761" w:rsidRDefault="00CA1761">
      <w:pPr>
        <w:pStyle w:val="FootnoteText"/>
      </w:pPr>
      <w:r>
        <w:rPr>
          <w:rStyle w:val="FootnoteReference"/>
        </w:rPr>
        <w:footnoteRef/>
      </w:r>
      <w:r>
        <w:t xml:space="preserve"> Ibid at para 21.</w:t>
      </w:r>
    </w:p>
  </w:footnote>
  <w:footnote w:id="19">
    <w:p w14:paraId="6B2DFF1E" w14:textId="6E2A3F48" w:rsidR="00CB617D" w:rsidRDefault="00CB617D">
      <w:pPr>
        <w:pStyle w:val="FootnoteText"/>
      </w:pPr>
      <w:r>
        <w:rPr>
          <w:rStyle w:val="FootnoteReference"/>
        </w:rPr>
        <w:footnoteRef/>
      </w:r>
      <w:r>
        <w:t xml:space="preserve"> </w:t>
      </w:r>
      <w:r w:rsidR="00093794">
        <w:rPr>
          <w:i/>
          <w:iCs/>
        </w:rPr>
        <w:t>Barkhuizen v Napier</w:t>
      </w:r>
      <w:r w:rsidR="00093794">
        <w:t xml:space="preserve"> [2007] ZACC 5; 2007 (5) SA 323 (CC); 2007 (7) BCLR 691 (CC), quoted with approval in </w:t>
      </w:r>
      <w:r w:rsidR="00093794" w:rsidRPr="00093794">
        <w:rPr>
          <w:i/>
          <w:iCs/>
        </w:rPr>
        <w:t>Beadica 231 CC and Others v Trustees for the time being of the Oregon Trust and Others</w:t>
      </w:r>
      <w:r w:rsidR="00093794" w:rsidRPr="00093794">
        <w:t xml:space="preserve">  [2020] ZACC 13; 2020 (5) SA 247 (CC); 2020 (9) BCLR 1098 (CC)</w:t>
      </w:r>
      <w:r w:rsidR="00093794">
        <w:t xml:space="preserve"> at para 35.</w:t>
      </w:r>
    </w:p>
  </w:footnote>
  <w:footnote w:id="20">
    <w:p w14:paraId="33FACC17" w14:textId="7504A25C" w:rsidR="00E6131B" w:rsidRDefault="00E6131B">
      <w:pPr>
        <w:pStyle w:val="FootnoteText"/>
      </w:pPr>
      <w:r>
        <w:rPr>
          <w:rStyle w:val="FootnoteReference"/>
        </w:rPr>
        <w:footnoteRef/>
      </w:r>
      <w:r>
        <w:t xml:space="preserve"> The agreement actually refers to costs on an “attorney and own client scale”</w:t>
      </w:r>
      <w:r w:rsidR="00342105">
        <w:t xml:space="preserve">, but the Respondents only a sought </w:t>
      </w:r>
      <w:r w:rsidR="00325BA0">
        <w:t>attorney and client costs</w:t>
      </w:r>
      <w:r>
        <w:t>.</w:t>
      </w:r>
      <w:r w:rsidR="00325BA0">
        <w:t xml:space="preserve"> Whether there is a difference between the two seems to be a fraught issue</w:t>
      </w:r>
      <w:r w:rsidR="00305DF7" w:rsidRPr="00305DF7">
        <w:t xml:space="preserve"> </w:t>
      </w:r>
      <w:r w:rsidR="00305DF7">
        <w:t xml:space="preserve">(see </w:t>
      </w:r>
      <w:r w:rsidR="00305DF7" w:rsidRPr="00325BA0">
        <w:rPr>
          <w:i/>
          <w:iCs/>
        </w:rPr>
        <w:t xml:space="preserve">Aircraft Completions Centre (Pty) Ltd </w:t>
      </w:r>
      <w:r w:rsidR="00305DF7">
        <w:rPr>
          <w:i/>
          <w:iCs/>
        </w:rPr>
        <w:t>v</w:t>
      </w:r>
      <w:r w:rsidR="00305DF7" w:rsidRPr="00325BA0">
        <w:rPr>
          <w:i/>
          <w:iCs/>
        </w:rPr>
        <w:t xml:space="preserve"> Rossouw </w:t>
      </w:r>
      <w:r w:rsidR="00305DF7">
        <w:rPr>
          <w:i/>
          <w:iCs/>
        </w:rPr>
        <w:t>a</w:t>
      </w:r>
      <w:r w:rsidR="00305DF7" w:rsidRPr="00325BA0">
        <w:rPr>
          <w:i/>
          <w:iCs/>
        </w:rPr>
        <w:t>nd Others</w:t>
      </w:r>
      <w:r w:rsidR="00305DF7" w:rsidRPr="001C5DC7">
        <w:t xml:space="preserve"> 2004 (1) SA 123 (W)</w:t>
      </w:r>
      <w:r w:rsidR="00305DF7">
        <w:t>)</w:t>
      </w:r>
      <w:r w:rsidR="00325BA0">
        <w:t xml:space="preserve"> that fortunately I need not address. </w:t>
      </w:r>
    </w:p>
  </w:footnote>
  <w:footnote w:id="21">
    <w:p w14:paraId="0551A6A6" w14:textId="5588E90B" w:rsidR="001666E7" w:rsidRDefault="001666E7">
      <w:pPr>
        <w:pStyle w:val="FootnoteText"/>
      </w:pPr>
      <w:r>
        <w:rPr>
          <w:rStyle w:val="FootnoteReference"/>
        </w:rPr>
        <w:footnoteRef/>
      </w:r>
      <w:r>
        <w:t xml:space="preserve"> </w:t>
      </w:r>
      <w:r w:rsidR="002E798F" w:rsidRPr="002F225B">
        <w:rPr>
          <w:i/>
          <w:iCs/>
        </w:rPr>
        <w:t>Claude Neon Lights (S</w:t>
      </w:r>
      <w:r w:rsidR="002E798F">
        <w:rPr>
          <w:i/>
          <w:iCs/>
        </w:rPr>
        <w:t>A</w:t>
      </w:r>
      <w:r w:rsidR="002E798F" w:rsidRPr="002F225B">
        <w:rPr>
          <w:i/>
          <w:iCs/>
        </w:rPr>
        <w:t xml:space="preserve">) Ltd </w:t>
      </w:r>
      <w:r w:rsidR="002E798F">
        <w:rPr>
          <w:i/>
          <w:iCs/>
        </w:rPr>
        <w:t>v</w:t>
      </w:r>
      <w:r w:rsidR="002E798F" w:rsidRPr="002F225B">
        <w:rPr>
          <w:i/>
          <w:iCs/>
        </w:rPr>
        <w:t xml:space="preserve"> Peroglou</w:t>
      </w:r>
      <w:r w:rsidR="002F225B" w:rsidRPr="002F225B">
        <w:t xml:space="preserve"> 1977 (1) SA 575 (C)</w:t>
      </w:r>
      <w:r w:rsidR="002F225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80832"/>
      <w:docPartObj>
        <w:docPartGallery w:val="Page Numbers (Top of Page)"/>
        <w:docPartUnique/>
      </w:docPartObj>
    </w:sdtPr>
    <w:sdtEndPr>
      <w:rPr>
        <w:noProof/>
      </w:rPr>
    </w:sdtEndPr>
    <w:sdtContent>
      <w:p w14:paraId="6AB877C5" w14:textId="4752D851" w:rsidR="00F81188" w:rsidRDefault="00F81188">
        <w:pPr>
          <w:pStyle w:val="Header"/>
          <w:jc w:val="right"/>
        </w:pPr>
        <w:r>
          <w:fldChar w:fldCharType="begin"/>
        </w:r>
        <w:r>
          <w:instrText xml:space="preserve"> PAGE   \* MERGEFORMAT </w:instrText>
        </w:r>
        <w:r>
          <w:fldChar w:fldCharType="separate"/>
        </w:r>
        <w:r w:rsidR="00952D60">
          <w:rPr>
            <w:noProof/>
          </w:rPr>
          <w:t>2</w:t>
        </w:r>
        <w:r>
          <w:rPr>
            <w:noProof/>
          </w:rPr>
          <w:fldChar w:fldCharType="end"/>
        </w:r>
      </w:p>
    </w:sdtContent>
  </w:sdt>
  <w:p w14:paraId="77C6E61C" w14:textId="77777777" w:rsidR="00F81188" w:rsidRDefault="00F811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F613C"/>
    <w:multiLevelType w:val="hybridMultilevel"/>
    <w:tmpl w:val="959AC736"/>
    <w:lvl w:ilvl="0" w:tplc="1C09000F">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A16C217E"/>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2"/>
  </w:num>
  <w:num w:numId="9">
    <w:abstractNumId w:val="2"/>
  </w:num>
  <w:num w:numId="10">
    <w:abstractNumId w:val="2"/>
  </w:num>
  <w:num w:numId="11">
    <w:abstractNumId w:val="1"/>
  </w:num>
  <w:num w:numId="12">
    <w:abstractNumId w:val="4"/>
  </w:num>
  <w:num w:numId="13">
    <w:abstractNumId w:val="4"/>
  </w:num>
  <w:num w:numId="14">
    <w:abstractNumId w:val="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5F"/>
    <w:rsid w:val="000015FE"/>
    <w:rsid w:val="000139A3"/>
    <w:rsid w:val="00016244"/>
    <w:rsid w:val="00022DF3"/>
    <w:rsid w:val="0002319D"/>
    <w:rsid w:val="000242D2"/>
    <w:rsid w:val="0002484A"/>
    <w:rsid w:val="00026572"/>
    <w:rsid w:val="00030B7B"/>
    <w:rsid w:val="000322BF"/>
    <w:rsid w:val="00033BC7"/>
    <w:rsid w:val="000435A0"/>
    <w:rsid w:val="00044077"/>
    <w:rsid w:val="00046639"/>
    <w:rsid w:val="00051A6B"/>
    <w:rsid w:val="00051E20"/>
    <w:rsid w:val="00055D38"/>
    <w:rsid w:val="00063FF9"/>
    <w:rsid w:val="00072004"/>
    <w:rsid w:val="000815E5"/>
    <w:rsid w:val="00081880"/>
    <w:rsid w:val="00084814"/>
    <w:rsid w:val="00085E72"/>
    <w:rsid w:val="00091053"/>
    <w:rsid w:val="00093794"/>
    <w:rsid w:val="00097A90"/>
    <w:rsid w:val="000A34D3"/>
    <w:rsid w:val="000A6AB0"/>
    <w:rsid w:val="000B2977"/>
    <w:rsid w:val="000C025A"/>
    <w:rsid w:val="000C69CC"/>
    <w:rsid w:val="000D1219"/>
    <w:rsid w:val="000D4768"/>
    <w:rsid w:val="000D4AA3"/>
    <w:rsid w:val="000D508A"/>
    <w:rsid w:val="000E052F"/>
    <w:rsid w:val="000E499C"/>
    <w:rsid w:val="000F35F6"/>
    <w:rsid w:val="000F52BE"/>
    <w:rsid w:val="000F5401"/>
    <w:rsid w:val="00104392"/>
    <w:rsid w:val="0011441A"/>
    <w:rsid w:val="00114539"/>
    <w:rsid w:val="00124809"/>
    <w:rsid w:val="0013527B"/>
    <w:rsid w:val="00137D7E"/>
    <w:rsid w:val="00140509"/>
    <w:rsid w:val="001420F0"/>
    <w:rsid w:val="00145C34"/>
    <w:rsid w:val="00150002"/>
    <w:rsid w:val="00161C0D"/>
    <w:rsid w:val="001666E7"/>
    <w:rsid w:val="00170279"/>
    <w:rsid w:val="0017151E"/>
    <w:rsid w:val="00172BCC"/>
    <w:rsid w:val="00176A70"/>
    <w:rsid w:val="00177DAE"/>
    <w:rsid w:val="00180AC2"/>
    <w:rsid w:val="00194786"/>
    <w:rsid w:val="00195D36"/>
    <w:rsid w:val="001A1259"/>
    <w:rsid w:val="001A1428"/>
    <w:rsid w:val="001A3E65"/>
    <w:rsid w:val="001B1E5F"/>
    <w:rsid w:val="001B2907"/>
    <w:rsid w:val="001C0419"/>
    <w:rsid w:val="001C0538"/>
    <w:rsid w:val="001C12CF"/>
    <w:rsid w:val="001C1772"/>
    <w:rsid w:val="001C36CA"/>
    <w:rsid w:val="001C3FEC"/>
    <w:rsid w:val="001C47BA"/>
    <w:rsid w:val="001C5DC7"/>
    <w:rsid w:val="001E0ACB"/>
    <w:rsid w:val="001E6807"/>
    <w:rsid w:val="001E7CA6"/>
    <w:rsid w:val="00203116"/>
    <w:rsid w:val="00203ABE"/>
    <w:rsid w:val="002051B9"/>
    <w:rsid w:val="002122DD"/>
    <w:rsid w:val="00213D8F"/>
    <w:rsid w:val="00215978"/>
    <w:rsid w:val="00235712"/>
    <w:rsid w:val="00236FA2"/>
    <w:rsid w:val="00240091"/>
    <w:rsid w:val="002403F5"/>
    <w:rsid w:val="002564B2"/>
    <w:rsid w:val="00270EC7"/>
    <w:rsid w:val="002754ED"/>
    <w:rsid w:val="00276F84"/>
    <w:rsid w:val="002822B5"/>
    <w:rsid w:val="00282F55"/>
    <w:rsid w:val="002874B8"/>
    <w:rsid w:val="00290D29"/>
    <w:rsid w:val="002922CF"/>
    <w:rsid w:val="002A0289"/>
    <w:rsid w:val="002A46CB"/>
    <w:rsid w:val="002A4D7B"/>
    <w:rsid w:val="002D20B7"/>
    <w:rsid w:val="002D41F0"/>
    <w:rsid w:val="002D5818"/>
    <w:rsid w:val="002D7E32"/>
    <w:rsid w:val="002E0370"/>
    <w:rsid w:val="002E4498"/>
    <w:rsid w:val="002E6FDE"/>
    <w:rsid w:val="002E7318"/>
    <w:rsid w:val="002E798F"/>
    <w:rsid w:val="002E7CB8"/>
    <w:rsid w:val="002F06A5"/>
    <w:rsid w:val="002F16BD"/>
    <w:rsid w:val="002F1BA0"/>
    <w:rsid w:val="002F225B"/>
    <w:rsid w:val="002F2694"/>
    <w:rsid w:val="002F32D2"/>
    <w:rsid w:val="002F3544"/>
    <w:rsid w:val="00302607"/>
    <w:rsid w:val="00305DF7"/>
    <w:rsid w:val="00324571"/>
    <w:rsid w:val="00325BA0"/>
    <w:rsid w:val="003336AB"/>
    <w:rsid w:val="00337361"/>
    <w:rsid w:val="00342105"/>
    <w:rsid w:val="0035112A"/>
    <w:rsid w:val="0035252B"/>
    <w:rsid w:val="00356D0B"/>
    <w:rsid w:val="0035748C"/>
    <w:rsid w:val="0036560B"/>
    <w:rsid w:val="003709A2"/>
    <w:rsid w:val="0037396B"/>
    <w:rsid w:val="00375730"/>
    <w:rsid w:val="00376CDF"/>
    <w:rsid w:val="0038773C"/>
    <w:rsid w:val="00387AE2"/>
    <w:rsid w:val="00392CDB"/>
    <w:rsid w:val="00393937"/>
    <w:rsid w:val="00393F49"/>
    <w:rsid w:val="0039485D"/>
    <w:rsid w:val="00394F63"/>
    <w:rsid w:val="00396460"/>
    <w:rsid w:val="003A51F4"/>
    <w:rsid w:val="003A5BC3"/>
    <w:rsid w:val="003B0A7E"/>
    <w:rsid w:val="003B3CE7"/>
    <w:rsid w:val="003B4B34"/>
    <w:rsid w:val="003D29E5"/>
    <w:rsid w:val="003D73D1"/>
    <w:rsid w:val="003E13B4"/>
    <w:rsid w:val="003E71CB"/>
    <w:rsid w:val="003F123C"/>
    <w:rsid w:val="00402269"/>
    <w:rsid w:val="00415C69"/>
    <w:rsid w:val="00416954"/>
    <w:rsid w:val="00421BA9"/>
    <w:rsid w:val="0043294A"/>
    <w:rsid w:val="00434C64"/>
    <w:rsid w:val="004406BC"/>
    <w:rsid w:val="00441740"/>
    <w:rsid w:val="00441D27"/>
    <w:rsid w:val="0045028E"/>
    <w:rsid w:val="00453192"/>
    <w:rsid w:val="004533D3"/>
    <w:rsid w:val="0045547E"/>
    <w:rsid w:val="004615DB"/>
    <w:rsid w:val="00465B7F"/>
    <w:rsid w:val="004729EA"/>
    <w:rsid w:val="00475422"/>
    <w:rsid w:val="004812C6"/>
    <w:rsid w:val="004836E0"/>
    <w:rsid w:val="0048564F"/>
    <w:rsid w:val="0048789D"/>
    <w:rsid w:val="0049055D"/>
    <w:rsid w:val="00494B6A"/>
    <w:rsid w:val="00494E7B"/>
    <w:rsid w:val="004A0275"/>
    <w:rsid w:val="004B6523"/>
    <w:rsid w:val="004B7670"/>
    <w:rsid w:val="004E25E6"/>
    <w:rsid w:val="004E3E8F"/>
    <w:rsid w:val="004E74A9"/>
    <w:rsid w:val="00500DC0"/>
    <w:rsid w:val="00510B36"/>
    <w:rsid w:val="005136F8"/>
    <w:rsid w:val="00514ABD"/>
    <w:rsid w:val="00516CDC"/>
    <w:rsid w:val="005177AA"/>
    <w:rsid w:val="0053212B"/>
    <w:rsid w:val="00532537"/>
    <w:rsid w:val="00533EF1"/>
    <w:rsid w:val="0053688C"/>
    <w:rsid w:val="005375B1"/>
    <w:rsid w:val="00542C7D"/>
    <w:rsid w:val="005441DA"/>
    <w:rsid w:val="005445B6"/>
    <w:rsid w:val="005506C6"/>
    <w:rsid w:val="00550B43"/>
    <w:rsid w:val="00567BB6"/>
    <w:rsid w:val="00571E8F"/>
    <w:rsid w:val="0058400A"/>
    <w:rsid w:val="0059564B"/>
    <w:rsid w:val="005961A6"/>
    <w:rsid w:val="005A17FD"/>
    <w:rsid w:val="005B4A6C"/>
    <w:rsid w:val="005C1BA1"/>
    <w:rsid w:val="005C3B4A"/>
    <w:rsid w:val="005C628C"/>
    <w:rsid w:val="005C7369"/>
    <w:rsid w:val="005D0760"/>
    <w:rsid w:val="005D17C6"/>
    <w:rsid w:val="005D526E"/>
    <w:rsid w:val="005E692C"/>
    <w:rsid w:val="005E6EC3"/>
    <w:rsid w:val="005F34D1"/>
    <w:rsid w:val="005F4C94"/>
    <w:rsid w:val="005F4E07"/>
    <w:rsid w:val="005F732D"/>
    <w:rsid w:val="006072BF"/>
    <w:rsid w:val="00607D40"/>
    <w:rsid w:val="00610190"/>
    <w:rsid w:val="00612BED"/>
    <w:rsid w:val="00613EF5"/>
    <w:rsid w:val="006200E5"/>
    <w:rsid w:val="006265C6"/>
    <w:rsid w:val="006310DC"/>
    <w:rsid w:val="00635561"/>
    <w:rsid w:val="0064184A"/>
    <w:rsid w:val="0064691D"/>
    <w:rsid w:val="006513CB"/>
    <w:rsid w:val="00674B2A"/>
    <w:rsid w:val="00680F0C"/>
    <w:rsid w:val="00694AB6"/>
    <w:rsid w:val="006A0D27"/>
    <w:rsid w:val="006B5533"/>
    <w:rsid w:val="006C1841"/>
    <w:rsid w:val="006C49A9"/>
    <w:rsid w:val="006D38E1"/>
    <w:rsid w:val="006D42C4"/>
    <w:rsid w:val="006D5C45"/>
    <w:rsid w:val="006E475A"/>
    <w:rsid w:val="006E6201"/>
    <w:rsid w:val="006F70D6"/>
    <w:rsid w:val="0070056D"/>
    <w:rsid w:val="00701EDD"/>
    <w:rsid w:val="00724618"/>
    <w:rsid w:val="007300E8"/>
    <w:rsid w:val="007301C7"/>
    <w:rsid w:val="00730B2E"/>
    <w:rsid w:val="007416E9"/>
    <w:rsid w:val="007435C0"/>
    <w:rsid w:val="00745FCB"/>
    <w:rsid w:val="00751CB8"/>
    <w:rsid w:val="00756178"/>
    <w:rsid w:val="00757782"/>
    <w:rsid w:val="00772B7B"/>
    <w:rsid w:val="007735F0"/>
    <w:rsid w:val="00776282"/>
    <w:rsid w:val="00776E4E"/>
    <w:rsid w:val="007812EC"/>
    <w:rsid w:val="00781330"/>
    <w:rsid w:val="00795A9A"/>
    <w:rsid w:val="007A0DB4"/>
    <w:rsid w:val="007A2A82"/>
    <w:rsid w:val="007A59DA"/>
    <w:rsid w:val="007A5BD8"/>
    <w:rsid w:val="007B0562"/>
    <w:rsid w:val="007B3464"/>
    <w:rsid w:val="007B4D4F"/>
    <w:rsid w:val="007C37F4"/>
    <w:rsid w:val="007C7DE0"/>
    <w:rsid w:val="007D4D99"/>
    <w:rsid w:val="007E0CFF"/>
    <w:rsid w:val="007E36E7"/>
    <w:rsid w:val="007E6E1F"/>
    <w:rsid w:val="007E702F"/>
    <w:rsid w:val="007F35A3"/>
    <w:rsid w:val="008028E1"/>
    <w:rsid w:val="00803DE3"/>
    <w:rsid w:val="00805325"/>
    <w:rsid w:val="00805562"/>
    <w:rsid w:val="00813064"/>
    <w:rsid w:val="008155E3"/>
    <w:rsid w:val="00815DF7"/>
    <w:rsid w:val="0082689D"/>
    <w:rsid w:val="00832B71"/>
    <w:rsid w:val="008337C7"/>
    <w:rsid w:val="00835FCC"/>
    <w:rsid w:val="0084013D"/>
    <w:rsid w:val="00844778"/>
    <w:rsid w:val="0085121F"/>
    <w:rsid w:val="00867335"/>
    <w:rsid w:val="00867ED7"/>
    <w:rsid w:val="008766EB"/>
    <w:rsid w:val="008808FB"/>
    <w:rsid w:val="00886EA9"/>
    <w:rsid w:val="008871E0"/>
    <w:rsid w:val="00887893"/>
    <w:rsid w:val="00891276"/>
    <w:rsid w:val="00896720"/>
    <w:rsid w:val="008A5879"/>
    <w:rsid w:val="008B228E"/>
    <w:rsid w:val="008B4F3D"/>
    <w:rsid w:val="008C7234"/>
    <w:rsid w:val="008D59A8"/>
    <w:rsid w:val="008D7992"/>
    <w:rsid w:val="008E0919"/>
    <w:rsid w:val="008E2907"/>
    <w:rsid w:val="008E2D79"/>
    <w:rsid w:val="008E620B"/>
    <w:rsid w:val="008E7DDE"/>
    <w:rsid w:val="008F3B98"/>
    <w:rsid w:val="008F5D85"/>
    <w:rsid w:val="008F65E1"/>
    <w:rsid w:val="00902FF9"/>
    <w:rsid w:val="00904AE8"/>
    <w:rsid w:val="00906730"/>
    <w:rsid w:val="00912B07"/>
    <w:rsid w:val="00915086"/>
    <w:rsid w:val="00926488"/>
    <w:rsid w:val="00935CDC"/>
    <w:rsid w:val="00941883"/>
    <w:rsid w:val="009518E3"/>
    <w:rsid w:val="00952D60"/>
    <w:rsid w:val="009714F4"/>
    <w:rsid w:val="00971E02"/>
    <w:rsid w:val="00976077"/>
    <w:rsid w:val="0098743D"/>
    <w:rsid w:val="00987F76"/>
    <w:rsid w:val="009948A2"/>
    <w:rsid w:val="00994AFF"/>
    <w:rsid w:val="00995698"/>
    <w:rsid w:val="009A2983"/>
    <w:rsid w:val="009A3BFE"/>
    <w:rsid w:val="009B075B"/>
    <w:rsid w:val="009B4406"/>
    <w:rsid w:val="009B738D"/>
    <w:rsid w:val="009C136D"/>
    <w:rsid w:val="009E1F94"/>
    <w:rsid w:val="009E6FE8"/>
    <w:rsid w:val="009E7E7C"/>
    <w:rsid w:val="009F2C83"/>
    <w:rsid w:val="009F3541"/>
    <w:rsid w:val="009F52E9"/>
    <w:rsid w:val="00A00A06"/>
    <w:rsid w:val="00A02DC0"/>
    <w:rsid w:val="00A03970"/>
    <w:rsid w:val="00A07088"/>
    <w:rsid w:val="00A100C9"/>
    <w:rsid w:val="00A1435C"/>
    <w:rsid w:val="00A145DC"/>
    <w:rsid w:val="00A156AF"/>
    <w:rsid w:val="00A17092"/>
    <w:rsid w:val="00A17EDD"/>
    <w:rsid w:val="00A32CBD"/>
    <w:rsid w:val="00A33834"/>
    <w:rsid w:val="00A34038"/>
    <w:rsid w:val="00A34658"/>
    <w:rsid w:val="00A40D24"/>
    <w:rsid w:val="00A41C5B"/>
    <w:rsid w:val="00A550B5"/>
    <w:rsid w:val="00A5629C"/>
    <w:rsid w:val="00A60BEB"/>
    <w:rsid w:val="00A631CD"/>
    <w:rsid w:val="00A82384"/>
    <w:rsid w:val="00A856E1"/>
    <w:rsid w:val="00A907BD"/>
    <w:rsid w:val="00A95981"/>
    <w:rsid w:val="00A96024"/>
    <w:rsid w:val="00A97BE2"/>
    <w:rsid w:val="00AA3174"/>
    <w:rsid w:val="00AA4A8E"/>
    <w:rsid w:val="00AB1D79"/>
    <w:rsid w:val="00AB2978"/>
    <w:rsid w:val="00AB3C60"/>
    <w:rsid w:val="00AB75F5"/>
    <w:rsid w:val="00AC7523"/>
    <w:rsid w:val="00AC7753"/>
    <w:rsid w:val="00AD5C9A"/>
    <w:rsid w:val="00AE2213"/>
    <w:rsid w:val="00AE6525"/>
    <w:rsid w:val="00AF04D0"/>
    <w:rsid w:val="00AF3633"/>
    <w:rsid w:val="00AF5955"/>
    <w:rsid w:val="00AF6FFC"/>
    <w:rsid w:val="00B00EAF"/>
    <w:rsid w:val="00B02D3B"/>
    <w:rsid w:val="00B10AF4"/>
    <w:rsid w:val="00B275B7"/>
    <w:rsid w:val="00B33B39"/>
    <w:rsid w:val="00B34B98"/>
    <w:rsid w:val="00B407E9"/>
    <w:rsid w:val="00B41B5C"/>
    <w:rsid w:val="00B41E98"/>
    <w:rsid w:val="00B43576"/>
    <w:rsid w:val="00B43C48"/>
    <w:rsid w:val="00B503A4"/>
    <w:rsid w:val="00B536B7"/>
    <w:rsid w:val="00B71B83"/>
    <w:rsid w:val="00B74916"/>
    <w:rsid w:val="00B75A0B"/>
    <w:rsid w:val="00B8237A"/>
    <w:rsid w:val="00B836A8"/>
    <w:rsid w:val="00B83D7B"/>
    <w:rsid w:val="00B86572"/>
    <w:rsid w:val="00B92513"/>
    <w:rsid w:val="00B92A4A"/>
    <w:rsid w:val="00B939A9"/>
    <w:rsid w:val="00B94745"/>
    <w:rsid w:val="00B95014"/>
    <w:rsid w:val="00BA2285"/>
    <w:rsid w:val="00BA3B14"/>
    <w:rsid w:val="00BA7A12"/>
    <w:rsid w:val="00BB6F65"/>
    <w:rsid w:val="00BB764F"/>
    <w:rsid w:val="00BC47F3"/>
    <w:rsid w:val="00BC6F05"/>
    <w:rsid w:val="00BC74DE"/>
    <w:rsid w:val="00BD1F52"/>
    <w:rsid w:val="00BE7B5A"/>
    <w:rsid w:val="00BF2152"/>
    <w:rsid w:val="00BF5C84"/>
    <w:rsid w:val="00C0267F"/>
    <w:rsid w:val="00C07783"/>
    <w:rsid w:val="00C11524"/>
    <w:rsid w:val="00C15B9C"/>
    <w:rsid w:val="00C33216"/>
    <w:rsid w:val="00C348FE"/>
    <w:rsid w:val="00C35D6C"/>
    <w:rsid w:val="00C409E8"/>
    <w:rsid w:val="00C47326"/>
    <w:rsid w:val="00C47B56"/>
    <w:rsid w:val="00C540A2"/>
    <w:rsid w:val="00C5635E"/>
    <w:rsid w:val="00C57252"/>
    <w:rsid w:val="00C60C46"/>
    <w:rsid w:val="00C74D26"/>
    <w:rsid w:val="00C80C65"/>
    <w:rsid w:val="00C83CF4"/>
    <w:rsid w:val="00C8441F"/>
    <w:rsid w:val="00C92D42"/>
    <w:rsid w:val="00C95B52"/>
    <w:rsid w:val="00CA1007"/>
    <w:rsid w:val="00CA1761"/>
    <w:rsid w:val="00CB536C"/>
    <w:rsid w:val="00CB58E9"/>
    <w:rsid w:val="00CB617D"/>
    <w:rsid w:val="00CB79A6"/>
    <w:rsid w:val="00CC2E5B"/>
    <w:rsid w:val="00CC478A"/>
    <w:rsid w:val="00CC7D98"/>
    <w:rsid w:val="00CD3981"/>
    <w:rsid w:val="00CD45F3"/>
    <w:rsid w:val="00CE2C7C"/>
    <w:rsid w:val="00CE61D2"/>
    <w:rsid w:val="00CE63F6"/>
    <w:rsid w:val="00CF1273"/>
    <w:rsid w:val="00D004FF"/>
    <w:rsid w:val="00D05CD1"/>
    <w:rsid w:val="00D05F7E"/>
    <w:rsid w:val="00D077B9"/>
    <w:rsid w:val="00D15EDD"/>
    <w:rsid w:val="00D174CC"/>
    <w:rsid w:val="00D1781D"/>
    <w:rsid w:val="00D2626B"/>
    <w:rsid w:val="00D330B4"/>
    <w:rsid w:val="00D34C3D"/>
    <w:rsid w:val="00D355EF"/>
    <w:rsid w:val="00D3639B"/>
    <w:rsid w:val="00D36D77"/>
    <w:rsid w:val="00D41B38"/>
    <w:rsid w:val="00D45290"/>
    <w:rsid w:val="00D45307"/>
    <w:rsid w:val="00D474FC"/>
    <w:rsid w:val="00D5326E"/>
    <w:rsid w:val="00D54848"/>
    <w:rsid w:val="00D67F94"/>
    <w:rsid w:val="00D74F3D"/>
    <w:rsid w:val="00D7657D"/>
    <w:rsid w:val="00D85516"/>
    <w:rsid w:val="00D9062C"/>
    <w:rsid w:val="00D955F8"/>
    <w:rsid w:val="00DA2893"/>
    <w:rsid w:val="00DB179F"/>
    <w:rsid w:val="00DB548B"/>
    <w:rsid w:val="00DB7C94"/>
    <w:rsid w:val="00DC1B0E"/>
    <w:rsid w:val="00DC3796"/>
    <w:rsid w:val="00DC417C"/>
    <w:rsid w:val="00DC6668"/>
    <w:rsid w:val="00DD4488"/>
    <w:rsid w:val="00DE721A"/>
    <w:rsid w:val="00DF0DD4"/>
    <w:rsid w:val="00DF1A46"/>
    <w:rsid w:val="00DF263B"/>
    <w:rsid w:val="00E05465"/>
    <w:rsid w:val="00E101E8"/>
    <w:rsid w:val="00E1398A"/>
    <w:rsid w:val="00E2432E"/>
    <w:rsid w:val="00E33175"/>
    <w:rsid w:val="00E5225F"/>
    <w:rsid w:val="00E53EB9"/>
    <w:rsid w:val="00E549B2"/>
    <w:rsid w:val="00E56891"/>
    <w:rsid w:val="00E57D94"/>
    <w:rsid w:val="00E603D1"/>
    <w:rsid w:val="00E6131B"/>
    <w:rsid w:val="00E65D5C"/>
    <w:rsid w:val="00E67209"/>
    <w:rsid w:val="00E81638"/>
    <w:rsid w:val="00E904DD"/>
    <w:rsid w:val="00E96999"/>
    <w:rsid w:val="00EA0088"/>
    <w:rsid w:val="00EA7DEB"/>
    <w:rsid w:val="00EB23FA"/>
    <w:rsid w:val="00EB2A6D"/>
    <w:rsid w:val="00EB3C36"/>
    <w:rsid w:val="00EC2F96"/>
    <w:rsid w:val="00ED031B"/>
    <w:rsid w:val="00EE28AC"/>
    <w:rsid w:val="00EE645A"/>
    <w:rsid w:val="00F0478B"/>
    <w:rsid w:val="00F0495C"/>
    <w:rsid w:val="00F05407"/>
    <w:rsid w:val="00F063EC"/>
    <w:rsid w:val="00F117CE"/>
    <w:rsid w:val="00F147E6"/>
    <w:rsid w:val="00F22062"/>
    <w:rsid w:val="00F319B7"/>
    <w:rsid w:val="00F372F2"/>
    <w:rsid w:val="00F53F45"/>
    <w:rsid w:val="00F66AD2"/>
    <w:rsid w:val="00F716CA"/>
    <w:rsid w:val="00F73EB5"/>
    <w:rsid w:val="00F76F8A"/>
    <w:rsid w:val="00F774CB"/>
    <w:rsid w:val="00F77DAC"/>
    <w:rsid w:val="00F81188"/>
    <w:rsid w:val="00F8213C"/>
    <w:rsid w:val="00F82E5B"/>
    <w:rsid w:val="00F87036"/>
    <w:rsid w:val="00F90BBB"/>
    <w:rsid w:val="00FA2E63"/>
    <w:rsid w:val="00FA3C3D"/>
    <w:rsid w:val="00FA55F6"/>
    <w:rsid w:val="00FA76FF"/>
    <w:rsid w:val="00FB06B7"/>
    <w:rsid w:val="00FB4BA0"/>
    <w:rsid w:val="00FC09BE"/>
    <w:rsid w:val="00FC6CB6"/>
    <w:rsid w:val="00FE0330"/>
    <w:rsid w:val="00FE4C15"/>
    <w:rsid w:val="00FF35B1"/>
    <w:rsid w:val="00FF38BE"/>
    <w:rsid w:val="00FF5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9292"/>
  <w15:chartTrackingRefBased/>
  <w15:docId w15:val="{3E65C623-0B9E-4C2A-B56F-92C22F0E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7E6E1F"/>
    <w:pPr>
      <w:spacing w:before="240" w:after="360" w:line="360" w:lineRule="auto"/>
      <w:ind w:left="720"/>
    </w:pPr>
    <w:rPr>
      <w:i/>
      <w:iCs/>
      <w:sz w:val="22"/>
    </w:rPr>
  </w:style>
  <w:style w:type="character" w:customStyle="1" w:styleId="QuoteChar">
    <w:name w:val="Quote Char"/>
    <w:basedOn w:val="DefaultParagraphFont"/>
    <w:link w:val="Quote"/>
    <w:uiPriority w:val="29"/>
    <w:rsid w:val="007E6E1F"/>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8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188"/>
    <w:rPr>
      <w:rFonts w:ascii="Arial" w:eastAsia="Calibri" w:hAnsi="Arial" w:cs="Times New Roman"/>
      <w:sz w:val="24"/>
    </w:rPr>
  </w:style>
  <w:style w:type="paragraph" w:styleId="Footer">
    <w:name w:val="footer"/>
    <w:basedOn w:val="Normal"/>
    <w:link w:val="FooterChar"/>
    <w:uiPriority w:val="99"/>
    <w:unhideWhenUsed/>
    <w:rsid w:val="00F8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188"/>
    <w:rPr>
      <w:rFonts w:ascii="Arial" w:eastAsia="Calibri" w:hAnsi="Arial" w:cs="Times New Roman"/>
      <w:sz w:val="24"/>
    </w:rPr>
  </w:style>
  <w:style w:type="character" w:customStyle="1" w:styleId="mc">
    <w:name w:val="mc"/>
    <w:basedOn w:val="DefaultParagraphFont"/>
    <w:rsid w:val="00150002"/>
  </w:style>
  <w:style w:type="character" w:styleId="CommentReference">
    <w:name w:val="annotation reference"/>
    <w:basedOn w:val="DefaultParagraphFont"/>
    <w:uiPriority w:val="99"/>
    <w:semiHidden/>
    <w:unhideWhenUsed/>
    <w:rsid w:val="002E7318"/>
    <w:rPr>
      <w:sz w:val="16"/>
      <w:szCs w:val="16"/>
    </w:rPr>
  </w:style>
  <w:style w:type="paragraph" w:styleId="CommentText">
    <w:name w:val="annotation text"/>
    <w:basedOn w:val="Normal"/>
    <w:link w:val="CommentTextChar"/>
    <w:uiPriority w:val="99"/>
    <w:unhideWhenUsed/>
    <w:rsid w:val="002E7318"/>
    <w:pPr>
      <w:spacing w:line="240" w:lineRule="auto"/>
    </w:pPr>
    <w:rPr>
      <w:sz w:val="20"/>
      <w:szCs w:val="20"/>
    </w:rPr>
  </w:style>
  <w:style w:type="character" w:customStyle="1" w:styleId="CommentTextChar">
    <w:name w:val="Comment Text Char"/>
    <w:basedOn w:val="DefaultParagraphFont"/>
    <w:link w:val="CommentText"/>
    <w:uiPriority w:val="99"/>
    <w:rsid w:val="002E73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E7318"/>
    <w:rPr>
      <w:b/>
      <w:bCs/>
    </w:rPr>
  </w:style>
  <w:style w:type="character" w:customStyle="1" w:styleId="CommentSubjectChar">
    <w:name w:val="Comment Subject Char"/>
    <w:basedOn w:val="CommentTextChar"/>
    <w:link w:val="CommentSubject"/>
    <w:uiPriority w:val="99"/>
    <w:semiHidden/>
    <w:rsid w:val="002E7318"/>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6470">
      <w:bodyDiv w:val="1"/>
      <w:marLeft w:val="0"/>
      <w:marRight w:val="0"/>
      <w:marTop w:val="0"/>
      <w:marBottom w:val="0"/>
      <w:divBdr>
        <w:top w:val="none" w:sz="0" w:space="0" w:color="auto"/>
        <w:left w:val="none" w:sz="0" w:space="0" w:color="auto"/>
        <w:bottom w:val="none" w:sz="0" w:space="0" w:color="auto"/>
        <w:right w:val="none" w:sz="0" w:space="0" w:color="auto"/>
      </w:divBdr>
    </w:div>
    <w:div w:id="570234891">
      <w:bodyDiv w:val="1"/>
      <w:marLeft w:val="0"/>
      <w:marRight w:val="0"/>
      <w:marTop w:val="0"/>
      <w:marBottom w:val="0"/>
      <w:divBdr>
        <w:top w:val="none" w:sz="0" w:space="0" w:color="auto"/>
        <w:left w:val="none" w:sz="0" w:space="0" w:color="auto"/>
        <w:bottom w:val="none" w:sz="0" w:space="0" w:color="auto"/>
        <w:right w:val="none" w:sz="0" w:space="0" w:color="auto"/>
      </w:divBdr>
      <w:divsChild>
        <w:div w:id="329068608">
          <w:marLeft w:val="0"/>
          <w:marRight w:val="0"/>
          <w:marTop w:val="0"/>
          <w:marBottom w:val="0"/>
          <w:divBdr>
            <w:top w:val="none" w:sz="0" w:space="0" w:color="auto"/>
            <w:left w:val="none" w:sz="0" w:space="0" w:color="auto"/>
            <w:bottom w:val="none" w:sz="0" w:space="0" w:color="auto"/>
            <w:right w:val="none" w:sz="0" w:space="0" w:color="auto"/>
          </w:divBdr>
        </w:div>
        <w:div w:id="312567469">
          <w:marLeft w:val="0"/>
          <w:marRight w:val="0"/>
          <w:marTop w:val="0"/>
          <w:marBottom w:val="0"/>
          <w:divBdr>
            <w:top w:val="none" w:sz="0" w:space="0" w:color="auto"/>
            <w:left w:val="none" w:sz="0" w:space="0" w:color="auto"/>
            <w:bottom w:val="none" w:sz="0" w:space="0" w:color="auto"/>
            <w:right w:val="none" w:sz="0" w:space="0" w:color="auto"/>
          </w:divBdr>
        </w:div>
      </w:divsChild>
    </w:div>
    <w:div w:id="620917591">
      <w:bodyDiv w:val="1"/>
      <w:marLeft w:val="0"/>
      <w:marRight w:val="0"/>
      <w:marTop w:val="0"/>
      <w:marBottom w:val="0"/>
      <w:divBdr>
        <w:top w:val="none" w:sz="0" w:space="0" w:color="auto"/>
        <w:left w:val="none" w:sz="0" w:space="0" w:color="auto"/>
        <w:bottom w:val="none" w:sz="0" w:space="0" w:color="auto"/>
        <w:right w:val="none" w:sz="0" w:space="0" w:color="auto"/>
      </w:divBdr>
    </w:div>
    <w:div w:id="977103221">
      <w:bodyDiv w:val="1"/>
      <w:marLeft w:val="0"/>
      <w:marRight w:val="0"/>
      <w:marTop w:val="0"/>
      <w:marBottom w:val="0"/>
      <w:divBdr>
        <w:top w:val="none" w:sz="0" w:space="0" w:color="auto"/>
        <w:left w:val="none" w:sz="0" w:space="0" w:color="auto"/>
        <w:bottom w:val="none" w:sz="0" w:space="0" w:color="auto"/>
        <w:right w:val="none" w:sz="0" w:space="0" w:color="auto"/>
      </w:divBdr>
      <w:divsChild>
        <w:div w:id="195775926">
          <w:marLeft w:val="0"/>
          <w:marRight w:val="0"/>
          <w:marTop w:val="0"/>
          <w:marBottom w:val="0"/>
          <w:divBdr>
            <w:top w:val="none" w:sz="0" w:space="0" w:color="auto"/>
            <w:left w:val="none" w:sz="0" w:space="0" w:color="auto"/>
            <w:bottom w:val="none" w:sz="0" w:space="0" w:color="auto"/>
            <w:right w:val="none" w:sz="0" w:space="0" w:color="auto"/>
          </w:divBdr>
        </w:div>
        <w:div w:id="1493062343">
          <w:marLeft w:val="0"/>
          <w:marRight w:val="0"/>
          <w:marTop w:val="0"/>
          <w:marBottom w:val="0"/>
          <w:divBdr>
            <w:top w:val="none" w:sz="0" w:space="0" w:color="auto"/>
            <w:left w:val="none" w:sz="0" w:space="0" w:color="auto"/>
            <w:bottom w:val="none" w:sz="0" w:space="0" w:color="auto"/>
            <w:right w:val="none" w:sz="0" w:space="0" w:color="auto"/>
          </w:divBdr>
        </w:div>
        <w:div w:id="1332292684">
          <w:marLeft w:val="0"/>
          <w:marRight w:val="0"/>
          <w:marTop w:val="0"/>
          <w:marBottom w:val="0"/>
          <w:divBdr>
            <w:top w:val="none" w:sz="0" w:space="0" w:color="auto"/>
            <w:left w:val="none" w:sz="0" w:space="0" w:color="auto"/>
            <w:bottom w:val="none" w:sz="0" w:space="0" w:color="auto"/>
            <w:right w:val="none" w:sz="0" w:space="0" w:color="auto"/>
          </w:divBdr>
        </w:div>
        <w:div w:id="1798176805">
          <w:marLeft w:val="0"/>
          <w:marRight w:val="0"/>
          <w:marTop w:val="0"/>
          <w:marBottom w:val="0"/>
          <w:divBdr>
            <w:top w:val="none" w:sz="0" w:space="0" w:color="auto"/>
            <w:left w:val="none" w:sz="0" w:space="0" w:color="auto"/>
            <w:bottom w:val="none" w:sz="0" w:space="0" w:color="auto"/>
            <w:right w:val="none" w:sz="0" w:space="0" w:color="auto"/>
          </w:divBdr>
        </w:div>
        <w:div w:id="230968070">
          <w:marLeft w:val="0"/>
          <w:marRight w:val="0"/>
          <w:marTop w:val="0"/>
          <w:marBottom w:val="0"/>
          <w:divBdr>
            <w:top w:val="none" w:sz="0" w:space="0" w:color="auto"/>
            <w:left w:val="none" w:sz="0" w:space="0" w:color="auto"/>
            <w:bottom w:val="none" w:sz="0" w:space="0" w:color="auto"/>
            <w:right w:val="none" w:sz="0" w:space="0" w:color="auto"/>
          </w:divBdr>
        </w:div>
      </w:divsChild>
    </w:div>
    <w:div w:id="989864433">
      <w:bodyDiv w:val="1"/>
      <w:marLeft w:val="0"/>
      <w:marRight w:val="0"/>
      <w:marTop w:val="0"/>
      <w:marBottom w:val="0"/>
      <w:divBdr>
        <w:top w:val="none" w:sz="0" w:space="0" w:color="auto"/>
        <w:left w:val="none" w:sz="0" w:space="0" w:color="auto"/>
        <w:bottom w:val="none" w:sz="0" w:space="0" w:color="auto"/>
        <w:right w:val="none" w:sz="0" w:space="0" w:color="auto"/>
      </w:divBdr>
      <w:divsChild>
        <w:div w:id="2145149640">
          <w:marLeft w:val="0"/>
          <w:marRight w:val="0"/>
          <w:marTop w:val="0"/>
          <w:marBottom w:val="0"/>
          <w:divBdr>
            <w:top w:val="none" w:sz="0" w:space="0" w:color="auto"/>
            <w:left w:val="none" w:sz="0" w:space="0" w:color="auto"/>
            <w:bottom w:val="none" w:sz="0" w:space="0" w:color="auto"/>
            <w:right w:val="none" w:sz="0" w:space="0" w:color="auto"/>
          </w:divBdr>
        </w:div>
      </w:divsChild>
    </w:div>
    <w:div w:id="1240284661">
      <w:bodyDiv w:val="1"/>
      <w:marLeft w:val="0"/>
      <w:marRight w:val="0"/>
      <w:marTop w:val="0"/>
      <w:marBottom w:val="0"/>
      <w:divBdr>
        <w:top w:val="none" w:sz="0" w:space="0" w:color="auto"/>
        <w:left w:val="none" w:sz="0" w:space="0" w:color="auto"/>
        <w:bottom w:val="none" w:sz="0" w:space="0" w:color="auto"/>
        <w:right w:val="none" w:sz="0" w:space="0" w:color="auto"/>
      </w:divBdr>
    </w:div>
    <w:div w:id="1655909547">
      <w:bodyDiv w:val="1"/>
      <w:marLeft w:val="0"/>
      <w:marRight w:val="0"/>
      <w:marTop w:val="0"/>
      <w:marBottom w:val="0"/>
      <w:divBdr>
        <w:top w:val="none" w:sz="0" w:space="0" w:color="auto"/>
        <w:left w:val="none" w:sz="0" w:space="0" w:color="auto"/>
        <w:bottom w:val="none" w:sz="0" w:space="0" w:color="auto"/>
        <w:right w:val="none" w:sz="0" w:space="0" w:color="auto"/>
      </w:divBdr>
    </w:div>
    <w:div w:id="2047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F4C0-35D7-4EB6-97A2-73F08CCC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3</TotalTime>
  <Pages>20</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3</cp:revision>
  <cp:lastPrinted>2023-12-04T11:57:00Z</cp:lastPrinted>
  <dcterms:created xsi:type="dcterms:W3CDTF">2023-12-08T10:30:00Z</dcterms:created>
  <dcterms:modified xsi:type="dcterms:W3CDTF">2023-12-27T08:05:00Z</dcterms:modified>
</cp:coreProperties>
</file>