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21549B" w14:textId="77777777" w:rsidR="00307B21" w:rsidRDefault="00307B21" w:rsidP="00307B21">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C43B64">
        <w:rPr>
          <w:noProof/>
          <w:color w:val="1F497D"/>
          <w:sz w:val="16"/>
          <w:szCs w:val="16"/>
          <w:lang w:eastAsia="en-ZA"/>
        </w:rPr>
        <w:fldChar w:fldCharType="begin"/>
      </w:r>
      <w:r w:rsidR="00C43B64">
        <w:rPr>
          <w:noProof/>
          <w:color w:val="1F497D"/>
          <w:sz w:val="16"/>
          <w:szCs w:val="16"/>
          <w:lang w:eastAsia="en-ZA"/>
        </w:rPr>
        <w:instrText xml:space="preserve"> INCLUDEPICTURE  "cid:image003.png@01D128E0.21B01BF0" \* MERGEFORMATINET </w:instrText>
      </w:r>
      <w:r w:rsidR="00C43B64">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17013A">
        <w:rPr>
          <w:noProof/>
          <w:color w:val="1F497D"/>
          <w:sz w:val="16"/>
          <w:szCs w:val="16"/>
          <w:lang w:eastAsia="en-ZA"/>
        </w:rPr>
        <w:fldChar w:fldCharType="begin"/>
      </w:r>
      <w:r w:rsidR="0017013A">
        <w:rPr>
          <w:noProof/>
          <w:color w:val="1F497D"/>
          <w:sz w:val="16"/>
          <w:szCs w:val="16"/>
          <w:lang w:eastAsia="en-ZA"/>
        </w:rPr>
        <w:instrText xml:space="preserve"> </w:instrText>
      </w:r>
      <w:r w:rsidR="0017013A">
        <w:rPr>
          <w:noProof/>
          <w:color w:val="1F497D"/>
          <w:sz w:val="16"/>
          <w:szCs w:val="16"/>
          <w:lang w:eastAsia="en-ZA"/>
        </w:rPr>
        <w:instrText>INCLUDEPICTURE  "cid:image003.png@01D128E0.21B01BF0" \* MERGEFORMATINET</w:instrText>
      </w:r>
      <w:r w:rsidR="0017013A">
        <w:rPr>
          <w:noProof/>
          <w:color w:val="1F497D"/>
          <w:sz w:val="16"/>
          <w:szCs w:val="16"/>
          <w:lang w:eastAsia="en-ZA"/>
        </w:rPr>
        <w:instrText xml:space="preserve"> </w:instrText>
      </w:r>
      <w:r w:rsidR="0017013A">
        <w:rPr>
          <w:noProof/>
          <w:color w:val="1F497D"/>
          <w:sz w:val="16"/>
          <w:szCs w:val="16"/>
          <w:lang w:eastAsia="en-ZA"/>
        </w:rPr>
        <w:fldChar w:fldCharType="separate"/>
      </w:r>
      <w:r w:rsidR="0017013A">
        <w:rPr>
          <w:noProof/>
          <w:color w:val="1F497D"/>
          <w:sz w:val="16"/>
          <w:szCs w:val="16"/>
          <w:lang w:eastAsia="en-ZA"/>
        </w:rPr>
        <w:pict w14:anchorId="66B18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visibility:visible;mso-width-percent:0;mso-height-percent:0;mso-width-percent:0;mso-height-percent:0">
            <v:imagedata r:id="rId7" r:href="rId8"/>
          </v:shape>
        </w:pict>
      </w:r>
      <w:r w:rsidR="0017013A">
        <w:rPr>
          <w:noProof/>
          <w:color w:val="1F497D"/>
          <w:sz w:val="16"/>
          <w:szCs w:val="16"/>
          <w:lang w:eastAsia="en-ZA"/>
        </w:rPr>
        <w:fldChar w:fldCharType="end"/>
      </w:r>
      <w:r>
        <w:rPr>
          <w:noProof/>
          <w:color w:val="1F497D"/>
          <w:sz w:val="16"/>
          <w:szCs w:val="16"/>
          <w:lang w:eastAsia="en-ZA"/>
        </w:rPr>
        <w:fldChar w:fldCharType="end"/>
      </w:r>
      <w:r w:rsidR="00C43B64">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70B79406" w14:textId="77777777" w:rsidR="00307B21" w:rsidRPr="00882EE2" w:rsidRDefault="00307B21" w:rsidP="00307B21">
      <w:pPr>
        <w:spacing w:line="360" w:lineRule="auto"/>
        <w:jc w:val="center"/>
        <w:rPr>
          <w:rFonts w:cs="Arial"/>
          <w:b/>
        </w:rPr>
      </w:pPr>
      <w:r w:rsidRPr="00882EE2">
        <w:rPr>
          <w:rFonts w:cs="Arial"/>
          <w:b/>
        </w:rPr>
        <w:t>IN THE HIGH COURT OF SOUTH AFRICA</w:t>
      </w:r>
    </w:p>
    <w:p w14:paraId="4DB6A297" w14:textId="77777777" w:rsidR="00307B21" w:rsidRPr="00882EE2" w:rsidRDefault="00307B21" w:rsidP="00307B21">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728850CC" w14:textId="260C7DD8" w:rsidR="00307B21" w:rsidRPr="00882EE2" w:rsidRDefault="00307B21" w:rsidP="00307B21">
      <w:pPr>
        <w:spacing w:line="360" w:lineRule="auto"/>
        <w:jc w:val="right"/>
        <w:rPr>
          <w:rFonts w:cs="Arial"/>
          <w:bCs/>
          <w:lang w:val="en-GB"/>
        </w:rPr>
      </w:pP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t xml:space="preserve">CASE NO: </w:t>
      </w:r>
      <w:r>
        <w:rPr>
          <w:rFonts w:cs="Arial"/>
        </w:rPr>
        <w:t>7609/2023</w:t>
      </w:r>
    </w:p>
    <w:p w14:paraId="7290890F" w14:textId="77777777" w:rsidR="00307B21" w:rsidRDefault="00307B21" w:rsidP="00307B21">
      <w:pPr>
        <w:pStyle w:val="Heading1"/>
        <w:rPr>
          <w:b w:val="0"/>
          <w:caps w:val="0"/>
        </w:rPr>
      </w:pPr>
      <w:r w:rsidRPr="00ED060A">
        <w:rPr>
          <w:b w:val="0"/>
          <w:caps w:val="0"/>
        </w:rPr>
        <w:t>In the matter between:</w:t>
      </w:r>
    </w:p>
    <w:p w14:paraId="2DE6F478" w14:textId="77777777" w:rsidR="00307B21" w:rsidRPr="00ED060A" w:rsidRDefault="00307B21" w:rsidP="00307B21"/>
    <w:tbl>
      <w:tblPr>
        <w:tblW w:w="0" w:type="auto"/>
        <w:tblLook w:val="01E0" w:firstRow="1" w:lastRow="1" w:firstColumn="1" w:lastColumn="1" w:noHBand="0" w:noVBand="0"/>
      </w:tblPr>
      <w:tblGrid>
        <w:gridCol w:w="6178"/>
        <w:gridCol w:w="2848"/>
      </w:tblGrid>
      <w:tr w:rsidR="00307B21" w:rsidRPr="00ED060A" w14:paraId="06DA88F5" w14:textId="77777777" w:rsidTr="0054230E">
        <w:tc>
          <w:tcPr>
            <w:tcW w:w="6178" w:type="dxa"/>
            <w:shd w:val="clear" w:color="auto" w:fill="auto"/>
          </w:tcPr>
          <w:p w14:paraId="1293A0D0" w14:textId="77777777" w:rsidR="00307B21" w:rsidRDefault="00307B21" w:rsidP="00307B21">
            <w:pPr>
              <w:pStyle w:val="Heading1"/>
            </w:pPr>
            <w:r>
              <w:t>AMIR WAFAI</w:t>
            </w:r>
          </w:p>
          <w:p w14:paraId="7033BCD1" w14:textId="77777777" w:rsidR="00307B21" w:rsidRDefault="00307B21" w:rsidP="0054230E">
            <w:pPr>
              <w:pStyle w:val="Heading1"/>
            </w:pPr>
            <w:r>
              <w:t>MYRELL WAFAI</w:t>
            </w:r>
          </w:p>
          <w:p w14:paraId="103D685A" w14:textId="52D9A0B3" w:rsidR="00307B21" w:rsidRPr="00ED060A" w:rsidRDefault="00307B21" w:rsidP="0054230E">
            <w:pPr>
              <w:pStyle w:val="Heading1"/>
            </w:pPr>
            <w:r>
              <w:t xml:space="preserve">ARIANOGEN (PTY) LTD                         </w:t>
            </w:r>
          </w:p>
        </w:tc>
        <w:tc>
          <w:tcPr>
            <w:tcW w:w="2848" w:type="dxa"/>
            <w:shd w:val="clear" w:color="auto" w:fill="auto"/>
          </w:tcPr>
          <w:p w14:paraId="3162A186" w14:textId="77777777" w:rsidR="00307B21" w:rsidRDefault="00307B21" w:rsidP="00307B21">
            <w:pPr>
              <w:pStyle w:val="Heading1"/>
              <w:jc w:val="right"/>
            </w:pPr>
            <w:r>
              <w:t>f</w:t>
            </w:r>
            <w:r>
              <w:rPr>
                <w:caps w:val="0"/>
              </w:rPr>
              <w:t xml:space="preserve">irst </w:t>
            </w:r>
            <w:r w:rsidRPr="00ED060A">
              <w:t>A</w:t>
            </w:r>
            <w:r w:rsidRPr="00ED060A">
              <w:rPr>
                <w:caps w:val="0"/>
              </w:rPr>
              <w:t>pplicant</w:t>
            </w:r>
            <w:r w:rsidRPr="00ED060A">
              <w:t xml:space="preserve"> </w:t>
            </w:r>
          </w:p>
          <w:p w14:paraId="21677163" w14:textId="77777777" w:rsidR="00307B21" w:rsidRDefault="00307B21" w:rsidP="00307B21">
            <w:pPr>
              <w:jc w:val="right"/>
              <w:rPr>
                <w:b/>
                <w:bCs/>
              </w:rPr>
            </w:pPr>
            <w:r w:rsidRPr="00307B21">
              <w:rPr>
                <w:b/>
                <w:bCs/>
              </w:rPr>
              <w:t>Second Applicant</w:t>
            </w:r>
          </w:p>
          <w:p w14:paraId="1ED9067C" w14:textId="0632E22F" w:rsidR="00307B21" w:rsidRPr="00307B21" w:rsidRDefault="00307B21" w:rsidP="00307B21">
            <w:pPr>
              <w:jc w:val="right"/>
              <w:rPr>
                <w:b/>
                <w:bCs/>
              </w:rPr>
            </w:pPr>
            <w:r>
              <w:rPr>
                <w:b/>
                <w:bCs/>
              </w:rPr>
              <w:t>Third Applicant</w:t>
            </w:r>
          </w:p>
        </w:tc>
      </w:tr>
      <w:tr w:rsidR="00307B21" w:rsidRPr="00882EE2" w14:paraId="4BFE620B" w14:textId="77777777" w:rsidTr="0054230E">
        <w:tc>
          <w:tcPr>
            <w:tcW w:w="6178" w:type="dxa"/>
            <w:shd w:val="clear" w:color="auto" w:fill="auto"/>
          </w:tcPr>
          <w:p w14:paraId="08C4E48B" w14:textId="77777777" w:rsidR="00307B21" w:rsidRPr="003D2CF0" w:rsidRDefault="00307B21" w:rsidP="0054230E">
            <w:pPr>
              <w:rPr>
                <w:rFonts w:cs="Arial"/>
                <w:b/>
              </w:rPr>
            </w:pPr>
            <w:r>
              <w:rPr>
                <w:rFonts w:cs="Arial"/>
                <w:b/>
              </w:rPr>
              <w:t>a</w:t>
            </w:r>
            <w:r w:rsidRPr="003D2CF0">
              <w:rPr>
                <w:rFonts w:cs="Arial"/>
                <w:b/>
              </w:rPr>
              <w:t>nd</w:t>
            </w:r>
          </w:p>
          <w:p w14:paraId="1135570D" w14:textId="77777777" w:rsidR="00307B21" w:rsidRDefault="00307B21" w:rsidP="0054230E">
            <w:pPr>
              <w:rPr>
                <w:rFonts w:cs="Arial"/>
                <w:b/>
              </w:rPr>
            </w:pPr>
            <w:r>
              <w:rPr>
                <w:rFonts w:cs="Arial"/>
                <w:b/>
              </w:rPr>
              <w:t>SA CASUAL DINING CONCEPTS (PTY) LTD</w:t>
            </w:r>
          </w:p>
          <w:p w14:paraId="04804B31" w14:textId="320A0967" w:rsidR="00307B21" w:rsidRPr="003D2CF0" w:rsidRDefault="009D24A8" w:rsidP="0054230E">
            <w:pPr>
              <w:rPr>
                <w:rFonts w:cs="Arial"/>
                <w:b/>
              </w:rPr>
            </w:pPr>
            <w:r>
              <w:rPr>
                <w:rFonts w:cs="Arial"/>
                <w:b/>
              </w:rPr>
              <w:t>STELIO NATHANAEL</w:t>
            </w:r>
          </w:p>
        </w:tc>
        <w:tc>
          <w:tcPr>
            <w:tcW w:w="2848" w:type="dxa"/>
            <w:shd w:val="clear" w:color="auto" w:fill="auto"/>
          </w:tcPr>
          <w:p w14:paraId="48D14E19" w14:textId="77777777" w:rsidR="00307B21" w:rsidRPr="00DF6A2D" w:rsidRDefault="00307B21" w:rsidP="0054230E">
            <w:pPr>
              <w:jc w:val="right"/>
              <w:rPr>
                <w:rFonts w:cs="Arial"/>
                <w:b/>
                <w:bCs/>
                <w:highlight w:val="yellow"/>
              </w:rPr>
            </w:pPr>
          </w:p>
          <w:p w14:paraId="0FEBD878" w14:textId="77777777" w:rsidR="00307B21" w:rsidRDefault="00307B21" w:rsidP="0054230E">
            <w:pPr>
              <w:jc w:val="right"/>
              <w:rPr>
                <w:rFonts w:cs="Arial"/>
                <w:b/>
                <w:bCs/>
              </w:rPr>
            </w:pPr>
            <w:r>
              <w:rPr>
                <w:rFonts w:cs="Arial"/>
                <w:b/>
                <w:bCs/>
              </w:rPr>
              <w:t xml:space="preserve">First </w:t>
            </w:r>
            <w:r w:rsidRPr="00DF6A2D">
              <w:rPr>
                <w:rFonts w:cs="Arial"/>
                <w:b/>
                <w:bCs/>
              </w:rPr>
              <w:t>Responden</w:t>
            </w:r>
            <w:r>
              <w:rPr>
                <w:rFonts w:cs="Arial"/>
                <w:b/>
                <w:bCs/>
              </w:rPr>
              <w:t>t</w:t>
            </w:r>
          </w:p>
          <w:p w14:paraId="20ADF0DF" w14:textId="6D27560E" w:rsidR="00307B21" w:rsidRPr="009C15F1" w:rsidRDefault="00307B21" w:rsidP="0054230E">
            <w:pPr>
              <w:jc w:val="right"/>
              <w:rPr>
                <w:rFonts w:cs="Arial"/>
                <w:b/>
                <w:bCs/>
              </w:rPr>
            </w:pPr>
            <w:r>
              <w:rPr>
                <w:rFonts w:cs="Arial"/>
                <w:b/>
                <w:bCs/>
              </w:rPr>
              <w:t>Second Respondent</w:t>
            </w:r>
          </w:p>
        </w:tc>
      </w:tr>
    </w:tbl>
    <w:p w14:paraId="79042153" w14:textId="77777777" w:rsidR="00307B21" w:rsidRDefault="00307B21" w:rsidP="00307B21">
      <w:pPr>
        <w:ind w:firstLine="142"/>
        <w:rPr>
          <w:rFonts w:cs="Arial"/>
          <w:sz w:val="22"/>
        </w:rPr>
      </w:pPr>
    </w:p>
    <w:p w14:paraId="2E7F6B7C" w14:textId="77777777" w:rsidR="00307B21" w:rsidRDefault="00307B21" w:rsidP="00307B21">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694B311C" w14:textId="72B08900" w:rsidR="00307B21" w:rsidRDefault="00307B21" w:rsidP="00307B21">
      <w:pPr>
        <w:ind w:firstLine="142"/>
        <w:rPr>
          <w:rFonts w:cs="Arial"/>
          <w:sz w:val="22"/>
        </w:rPr>
      </w:pPr>
      <w:r w:rsidRPr="006155F6">
        <w:rPr>
          <w:rFonts w:cs="Arial"/>
          <w:sz w:val="22"/>
        </w:rPr>
        <w:t>Dates of Hearing:</w:t>
      </w:r>
      <w:r>
        <w:rPr>
          <w:rFonts w:cs="Arial"/>
          <w:sz w:val="22"/>
        </w:rPr>
        <w:tab/>
      </w:r>
      <w:r>
        <w:rPr>
          <w:rFonts w:cs="Arial"/>
          <w:sz w:val="22"/>
        </w:rPr>
        <w:tab/>
      </w:r>
      <w:r w:rsidR="009D24A8">
        <w:rPr>
          <w:rFonts w:cs="Arial"/>
          <w:sz w:val="22"/>
        </w:rPr>
        <w:t>16</w:t>
      </w:r>
      <w:r>
        <w:rPr>
          <w:rFonts w:cs="Arial"/>
          <w:sz w:val="22"/>
        </w:rPr>
        <w:t xml:space="preserve"> November 2023</w:t>
      </w:r>
    </w:p>
    <w:p w14:paraId="04A800CD" w14:textId="59E8AFC5" w:rsidR="00307B21" w:rsidRDefault="00307B21" w:rsidP="00307B21">
      <w:pPr>
        <w:tabs>
          <w:tab w:val="left" w:pos="0"/>
        </w:tabs>
        <w:ind w:firstLine="142"/>
        <w:rPr>
          <w:rFonts w:cs="Arial"/>
          <w:sz w:val="22"/>
        </w:rPr>
      </w:pPr>
      <w:r w:rsidRPr="006155F6">
        <w:rPr>
          <w:rFonts w:cs="Arial"/>
          <w:sz w:val="22"/>
        </w:rPr>
        <w:t>Date of Judgment:</w:t>
      </w:r>
      <w:r>
        <w:rPr>
          <w:rFonts w:cs="Arial"/>
          <w:sz w:val="22"/>
        </w:rPr>
        <w:tab/>
      </w:r>
      <w:r>
        <w:rPr>
          <w:rFonts w:cs="Arial"/>
          <w:sz w:val="22"/>
        </w:rPr>
        <w:tab/>
      </w:r>
      <w:r w:rsidR="000A2B13">
        <w:rPr>
          <w:rFonts w:cs="Arial"/>
          <w:sz w:val="22"/>
        </w:rPr>
        <w:t>6</w:t>
      </w:r>
      <w:r w:rsidR="009D24A8">
        <w:rPr>
          <w:rFonts w:cs="Arial"/>
          <w:sz w:val="22"/>
        </w:rPr>
        <w:t xml:space="preserve"> December </w:t>
      </w:r>
      <w:r>
        <w:rPr>
          <w:rFonts w:cs="Arial"/>
          <w:sz w:val="22"/>
        </w:rPr>
        <w:t>2023</w:t>
      </w:r>
    </w:p>
    <w:p w14:paraId="3C337517" w14:textId="77777777" w:rsidR="00307B21" w:rsidRPr="00882EE2" w:rsidRDefault="00307B21" w:rsidP="00307B21">
      <w:pPr>
        <w:pBdr>
          <w:top w:val="single" w:sz="4" w:space="20" w:color="auto"/>
          <w:bottom w:val="single" w:sz="4" w:space="16" w:color="auto"/>
        </w:pBdr>
        <w:spacing w:line="360" w:lineRule="auto"/>
        <w:jc w:val="center"/>
        <w:rPr>
          <w:rFonts w:cs="Arial"/>
          <w:b/>
        </w:rPr>
      </w:pPr>
      <w:r>
        <w:rPr>
          <w:rFonts w:cs="Arial"/>
          <w:b/>
        </w:rPr>
        <w:lastRenderedPageBreak/>
        <w:t>JUDGMENT</w:t>
      </w:r>
    </w:p>
    <w:p w14:paraId="67C22C53" w14:textId="77777777" w:rsidR="00307B21" w:rsidRDefault="00307B21" w:rsidP="00307B21">
      <w:pPr>
        <w:rPr>
          <w:b/>
          <w:bCs/>
        </w:rPr>
      </w:pPr>
    </w:p>
    <w:p w14:paraId="1F2B6816" w14:textId="77777777" w:rsidR="00307B21" w:rsidRPr="00D81478" w:rsidRDefault="00307B21" w:rsidP="00307B21">
      <w:pPr>
        <w:rPr>
          <w:b/>
          <w:bCs/>
        </w:rPr>
      </w:pPr>
      <w:r w:rsidRPr="00D81478">
        <w:rPr>
          <w:b/>
          <w:bCs/>
        </w:rPr>
        <w:t>BISHOP, AJ</w:t>
      </w:r>
    </w:p>
    <w:p w14:paraId="51276904" w14:textId="17D0EE45" w:rsidR="00720080" w:rsidRDefault="00EB3784" w:rsidP="00EB3784">
      <w:r>
        <w:rPr>
          <w:rFonts w:eastAsia="Times New Roman" w:cs="Arial"/>
          <w:color w:val="000000"/>
          <w:szCs w:val="24"/>
          <w:lang w:val="en-US" w:eastAsia="en-ZA"/>
        </w:rPr>
        <w:t>[1]</w:t>
      </w:r>
      <w:r>
        <w:rPr>
          <w:rFonts w:eastAsia="Times New Roman" w:cs="Arial"/>
          <w:color w:val="000000"/>
          <w:szCs w:val="24"/>
          <w:lang w:val="en-US" w:eastAsia="en-ZA"/>
        </w:rPr>
        <w:tab/>
      </w:r>
      <w:r w:rsidR="00E0758F" w:rsidRPr="00EB3784">
        <w:t>Look</w:t>
      </w:r>
      <w:r w:rsidR="00D2039A" w:rsidRPr="00EB3784">
        <w:t xml:space="preserve"> out for track changes. That seems to be the lesson others should learn from this case.</w:t>
      </w:r>
      <w:r w:rsidR="001000C5" w:rsidRPr="00EB3784">
        <w:t xml:space="preserve"> Sadly, this application for summary judgment does not require an examination of the intricacies of </w:t>
      </w:r>
      <w:r w:rsidR="00F05CB6" w:rsidRPr="00EB3784">
        <w:t xml:space="preserve">Microsoft Word’s </w:t>
      </w:r>
      <w:r w:rsidR="001000C5" w:rsidRPr="00EB3784">
        <w:t>track changes</w:t>
      </w:r>
      <w:r w:rsidR="00F05CB6" w:rsidRPr="00EB3784">
        <w:t xml:space="preserve"> function</w:t>
      </w:r>
      <w:r w:rsidR="001000C5" w:rsidRPr="00EB3784">
        <w:t xml:space="preserve">. Rather it turns on the remedies available </w:t>
      </w:r>
      <w:r w:rsidR="00AA1545" w:rsidRPr="00EB3784">
        <w:t>when one party claims a contract existed and it cancelled it, and the other claims there was no contract at all.</w:t>
      </w:r>
    </w:p>
    <w:p w14:paraId="4FA7D5FB" w14:textId="77777777" w:rsidR="00720080" w:rsidRDefault="00720080" w:rsidP="00720080"/>
    <w:p w14:paraId="26310708" w14:textId="7A7AA9AB" w:rsidR="00720080" w:rsidRPr="00D2039A" w:rsidRDefault="00720080" w:rsidP="00720080">
      <w:pPr>
        <w:pStyle w:val="Heading3"/>
      </w:pPr>
      <w:r>
        <w:t xml:space="preserve">A Franchise Deal </w:t>
      </w:r>
      <w:r w:rsidR="00725516">
        <w:t>Falls Apart</w:t>
      </w:r>
    </w:p>
    <w:p w14:paraId="54254C75" w14:textId="5C0AE022" w:rsidR="00282F01" w:rsidRPr="00282F01" w:rsidRDefault="00EB3784" w:rsidP="00EB3784">
      <w:r w:rsidRPr="00282F01">
        <w:rPr>
          <w:rFonts w:eastAsia="Times New Roman" w:cs="Arial"/>
          <w:color w:val="000000"/>
          <w:szCs w:val="24"/>
          <w:lang w:val="en-US" w:eastAsia="en-ZA"/>
        </w:rPr>
        <w:t>[2]</w:t>
      </w:r>
      <w:r w:rsidRPr="00282F01">
        <w:rPr>
          <w:rFonts w:eastAsia="Times New Roman" w:cs="Arial"/>
          <w:color w:val="000000"/>
          <w:szCs w:val="24"/>
          <w:lang w:val="en-US" w:eastAsia="en-ZA"/>
        </w:rPr>
        <w:tab/>
      </w:r>
      <w:r w:rsidR="00D2039A" w:rsidRPr="00EB3784">
        <w:t xml:space="preserve">The </w:t>
      </w:r>
      <w:r w:rsidR="00282F01" w:rsidRPr="00EB3784">
        <w:t>First Applicant (</w:t>
      </w:r>
      <w:r w:rsidR="00282F01" w:rsidRPr="00EB3784">
        <w:rPr>
          <w:b/>
          <w:bCs/>
        </w:rPr>
        <w:t>Mr Wafai</w:t>
      </w:r>
      <w:r w:rsidR="00282F01" w:rsidRPr="00EB3784">
        <w:t>) and the Second Applicant (</w:t>
      </w:r>
      <w:r w:rsidR="00282F01" w:rsidRPr="00EB3784">
        <w:rPr>
          <w:b/>
          <w:bCs/>
        </w:rPr>
        <w:t>Mrs Wafai</w:t>
      </w:r>
      <w:r w:rsidR="00282F01" w:rsidRPr="00EB3784">
        <w:t xml:space="preserve">) </w:t>
      </w:r>
      <w:r w:rsidR="001000C5" w:rsidRPr="00EB3784">
        <w:t>are married</w:t>
      </w:r>
      <w:r w:rsidR="00050535" w:rsidRPr="00EB3784">
        <w:t xml:space="preserve"> in community of property</w:t>
      </w:r>
      <w:r w:rsidR="001000C5" w:rsidRPr="00EB3784">
        <w:t xml:space="preserve">. In 2022, they </w:t>
      </w:r>
      <w:r w:rsidR="00282F01" w:rsidRPr="00EB3784">
        <w:t>decided to buy a chicken</w:t>
      </w:r>
      <w:r w:rsidR="00050535" w:rsidRPr="00EB3784">
        <w:t xml:space="preserve"> restaurant</w:t>
      </w:r>
      <w:r w:rsidR="00282F01" w:rsidRPr="00EB3784">
        <w:t xml:space="preserve"> franchise. They partnered with the Second Respondent (</w:t>
      </w:r>
      <w:r w:rsidR="00282F01" w:rsidRPr="00EB3784">
        <w:rPr>
          <w:b/>
          <w:bCs/>
        </w:rPr>
        <w:t>Mr Nathanael</w:t>
      </w:r>
      <w:r w:rsidR="00282F01" w:rsidRPr="00EB3784">
        <w:t>) to purchase a Chicking franchise from the First Respondent (</w:t>
      </w:r>
      <w:r w:rsidR="00282F01" w:rsidRPr="00EB3784">
        <w:rPr>
          <w:b/>
          <w:bCs/>
        </w:rPr>
        <w:t>Casual Dining</w:t>
      </w:r>
      <w:r w:rsidR="00282F01" w:rsidRPr="00EB3784">
        <w:t xml:space="preserve">). </w:t>
      </w:r>
      <w:r w:rsidR="001000C5" w:rsidRPr="00EB3784">
        <w:t>(</w:t>
      </w:r>
      <w:r w:rsidR="00282F01" w:rsidRPr="00EB3784">
        <w:t>Mr Nathanael was also the director of Casual Dining.</w:t>
      </w:r>
      <w:r w:rsidR="001000C5" w:rsidRPr="00EB3784">
        <w:t>)</w:t>
      </w:r>
      <w:r w:rsidR="00282F01" w:rsidRPr="00EB3784">
        <w:t xml:space="preserve"> Chicking, for those unfamiliar, is a chicken fast food restaurant that serves everything from pizzas to wings, </w:t>
      </w:r>
      <w:r w:rsidR="001000C5" w:rsidRPr="00EB3784">
        <w:t>rice</w:t>
      </w:r>
      <w:r w:rsidR="00282F01" w:rsidRPr="00EB3784">
        <w:t xml:space="preserve"> to wraps</w:t>
      </w:r>
      <w:r w:rsidR="001000C5" w:rsidRPr="00EB3784">
        <w:t>, and</w:t>
      </w:r>
      <w:r w:rsidR="00282F01" w:rsidRPr="00EB3784">
        <w:t xml:space="preserve"> burgers to buckets.</w:t>
      </w:r>
    </w:p>
    <w:p w14:paraId="739CF550" w14:textId="099767CE" w:rsidR="00D2039A" w:rsidRPr="00282F01" w:rsidRDefault="00EB3784" w:rsidP="00EB3784">
      <w:r w:rsidRPr="00282F01">
        <w:rPr>
          <w:rFonts w:eastAsia="Times New Roman" w:cs="Arial"/>
          <w:color w:val="000000"/>
          <w:szCs w:val="24"/>
          <w:lang w:val="en-US" w:eastAsia="en-ZA"/>
        </w:rPr>
        <w:t>[3]</w:t>
      </w:r>
      <w:r w:rsidRPr="00282F01">
        <w:rPr>
          <w:rFonts w:eastAsia="Times New Roman" w:cs="Arial"/>
          <w:color w:val="000000"/>
          <w:szCs w:val="24"/>
          <w:lang w:val="en-US" w:eastAsia="en-ZA"/>
        </w:rPr>
        <w:tab/>
      </w:r>
      <w:r w:rsidR="001000C5" w:rsidRPr="00EB3784">
        <w:t xml:space="preserve">The Wafais first paid a refundable deposit of R250 000 to Casual Dining. </w:t>
      </w:r>
      <w:r w:rsidR="00282F01" w:rsidRPr="00EB3784">
        <w:t xml:space="preserve">Mr Wafai and Mr Nathanael </w:t>
      </w:r>
      <w:r w:rsidR="001000C5" w:rsidRPr="00EB3784">
        <w:t xml:space="preserve">then </w:t>
      </w:r>
      <w:r w:rsidR="00282F01" w:rsidRPr="00EB3784">
        <w:t>formed a company – the Third Applicant (</w:t>
      </w:r>
      <w:r w:rsidR="00282F01" w:rsidRPr="00EB3784">
        <w:rPr>
          <w:b/>
          <w:bCs/>
        </w:rPr>
        <w:t>Arianogen</w:t>
      </w:r>
      <w:r w:rsidR="00282F01" w:rsidRPr="00EB3784">
        <w:t xml:space="preserve">) – as the vehicle to own that franchise. </w:t>
      </w:r>
      <w:r w:rsidR="00D7658C" w:rsidRPr="00EB3784">
        <w:t>Casual Dining would hold 51% in A</w:t>
      </w:r>
      <w:r w:rsidR="00CF23B9" w:rsidRPr="00EB3784">
        <w:t>r</w:t>
      </w:r>
      <w:r w:rsidR="00D7658C" w:rsidRPr="00EB3784">
        <w:t xml:space="preserve">ianogen, </w:t>
      </w:r>
      <w:r w:rsidR="00CF23B9" w:rsidRPr="00EB3784">
        <w:t xml:space="preserve">the Wafais would hold the other 49%, and </w:t>
      </w:r>
      <w:r w:rsidR="00D7658C" w:rsidRPr="00EB3784">
        <w:t xml:space="preserve">the Wafais would be the only directors. </w:t>
      </w:r>
      <w:r w:rsidR="00282F01" w:rsidRPr="00EB3784">
        <w:t xml:space="preserve">The </w:t>
      </w:r>
      <w:r w:rsidR="00282F01" w:rsidRPr="00EB3784">
        <w:lastRenderedPageBreak/>
        <w:t xml:space="preserve">heart of the agreement was that Arianogen would pay Casual Dining R901 600 </w:t>
      </w:r>
      <w:r w:rsidR="001000C5" w:rsidRPr="00EB3784">
        <w:t>for the Chicking franchise</w:t>
      </w:r>
      <w:r w:rsidR="00932DC3" w:rsidRPr="00EB3784">
        <w:t xml:space="preserve"> (the R250 000 deposit would count as part of that payment</w:t>
      </w:r>
      <w:r w:rsidR="000A2B13" w:rsidRPr="00EB3784">
        <w:t xml:space="preserve"> if the franchise agreement was concluded</w:t>
      </w:r>
      <w:r w:rsidR="00932DC3" w:rsidRPr="00EB3784">
        <w:t>)</w:t>
      </w:r>
      <w:r w:rsidR="00282F01" w:rsidRPr="00EB3784">
        <w:t>.</w:t>
      </w:r>
    </w:p>
    <w:p w14:paraId="326D6D82" w14:textId="5D618FC6" w:rsidR="008A4784" w:rsidRPr="008A4784" w:rsidRDefault="00EB3784" w:rsidP="00EB3784">
      <w:r w:rsidRPr="008A4784">
        <w:rPr>
          <w:rFonts w:eastAsia="Times New Roman" w:cs="Arial"/>
          <w:color w:val="000000"/>
          <w:szCs w:val="24"/>
          <w:lang w:val="en-US" w:eastAsia="en-ZA"/>
        </w:rPr>
        <w:t>[4]</w:t>
      </w:r>
      <w:r w:rsidRPr="008A4784">
        <w:rPr>
          <w:rFonts w:eastAsia="Times New Roman" w:cs="Arial"/>
          <w:color w:val="000000"/>
          <w:szCs w:val="24"/>
          <w:lang w:val="en-US" w:eastAsia="en-ZA"/>
        </w:rPr>
        <w:tab/>
      </w:r>
      <w:r w:rsidR="00282F01" w:rsidRPr="00EB3784">
        <w:t xml:space="preserve">The dispute arises because of changes </w:t>
      </w:r>
      <w:r w:rsidR="008A4784" w:rsidRPr="00EB3784">
        <w:t>Mr W</w:t>
      </w:r>
      <w:r w:rsidR="00282F01" w:rsidRPr="00EB3784">
        <w:t xml:space="preserve">afai made to Casual Dining’s standard franchise agreement. </w:t>
      </w:r>
      <w:r w:rsidR="001000C5" w:rsidRPr="00EB3784">
        <w:t xml:space="preserve">Mr Nathanael sent </w:t>
      </w:r>
      <w:r w:rsidR="008A4784" w:rsidRPr="00EB3784">
        <w:t>Mr</w:t>
      </w:r>
      <w:r w:rsidR="001000C5" w:rsidRPr="00EB3784">
        <w:t xml:space="preserve"> Wafai the standard agreement</w:t>
      </w:r>
      <w:r w:rsidR="00FF40C9" w:rsidRPr="00EB3784">
        <w:t xml:space="preserve"> by email</w:t>
      </w:r>
      <w:r w:rsidR="001000C5" w:rsidRPr="00EB3784">
        <w:t xml:space="preserve">. </w:t>
      </w:r>
      <w:r w:rsidR="008A4784" w:rsidRPr="00EB3784">
        <w:t xml:space="preserve">He sent it in Microsoft Word because Mr Wafai indicated his attorneys may wish to propose changes. Mr Nathanael said he did so on the express understanding that any alterations </w:t>
      </w:r>
      <w:r w:rsidR="00FF40C9" w:rsidRPr="00EB3784">
        <w:t xml:space="preserve">to the standard agreement </w:t>
      </w:r>
      <w:r w:rsidR="008A4784" w:rsidRPr="00EB3784">
        <w:t xml:space="preserve">would be </w:t>
      </w:r>
      <w:r w:rsidR="009D1258" w:rsidRPr="00EB3784">
        <w:t>pointed out.</w:t>
      </w:r>
    </w:p>
    <w:p w14:paraId="6D30FEDF" w14:textId="68BC5FDD" w:rsidR="00282F01" w:rsidRPr="001000C5" w:rsidRDefault="00EB3784" w:rsidP="00EB3784">
      <w:r w:rsidRPr="001000C5">
        <w:rPr>
          <w:rFonts w:eastAsia="Times New Roman" w:cs="Arial"/>
          <w:color w:val="000000"/>
          <w:szCs w:val="24"/>
          <w:lang w:val="en-US" w:eastAsia="en-ZA"/>
        </w:rPr>
        <w:t>[5]</w:t>
      </w:r>
      <w:r w:rsidRPr="001000C5">
        <w:rPr>
          <w:rFonts w:eastAsia="Times New Roman" w:cs="Arial"/>
          <w:color w:val="000000"/>
          <w:szCs w:val="24"/>
          <w:lang w:val="en-US" w:eastAsia="en-ZA"/>
        </w:rPr>
        <w:tab/>
      </w:r>
      <w:r w:rsidR="001000C5" w:rsidRPr="00EB3784">
        <w:t>The</w:t>
      </w:r>
      <w:r w:rsidR="009D1258" w:rsidRPr="00EB3784">
        <w:t xml:space="preserve"> Applicants’</w:t>
      </w:r>
      <w:r w:rsidR="001000C5" w:rsidRPr="00EB3784">
        <w:t xml:space="preserve"> version is that </w:t>
      </w:r>
      <w:r w:rsidR="009D1258" w:rsidRPr="00EB3784">
        <w:t xml:space="preserve">the standard form agreement </w:t>
      </w:r>
      <w:r w:rsidR="001000C5" w:rsidRPr="00EB3784">
        <w:t xml:space="preserve">did not reflect what they had understood the agreement to be because it made no provision for Casual Dining to provide a point of sale system as part of the franchise. </w:t>
      </w:r>
      <w:r w:rsidR="000A2B13" w:rsidRPr="00EB3784">
        <w:t>Mr Wafai</w:t>
      </w:r>
      <w:r w:rsidR="001000C5" w:rsidRPr="00EB3784">
        <w:t xml:space="preserve"> amended the standard agreement to include </w:t>
      </w:r>
      <w:r w:rsidR="00594630" w:rsidRPr="00EB3784">
        <w:t>clause 5.1, which</w:t>
      </w:r>
      <w:r w:rsidR="002848FA" w:rsidRPr="00EB3784">
        <w:t xml:space="preserve"> provided that Casual Dining “shall, at its cost, provide a turnkey operation to the Franchisee, which includes, inter alia, the construction of the store, and supply all equipment thereto.”</w:t>
      </w:r>
      <w:r w:rsidR="001000C5" w:rsidRPr="00EB3784">
        <w:t xml:space="preserve"> They claim the change “was clearly marked up and visible to the Defendants. The changes which had been made to the Franchise Agreement were patent and in any event readily visible in Microsoft Word”.</w:t>
      </w:r>
    </w:p>
    <w:p w14:paraId="562C8A59" w14:textId="2BF6FD23" w:rsidR="001000C5" w:rsidRPr="001000C5" w:rsidRDefault="00EB3784" w:rsidP="00EB3784">
      <w:r w:rsidRPr="001000C5">
        <w:rPr>
          <w:rFonts w:eastAsia="Times New Roman" w:cs="Arial"/>
          <w:color w:val="000000"/>
          <w:szCs w:val="24"/>
          <w:lang w:val="en-US" w:eastAsia="en-ZA"/>
        </w:rPr>
        <w:t>[6]</w:t>
      </w:r>
      <w:r w:rsidRPr="001000C5">
        <w:rPr>
          <w:rFonts w:eastAsia="Times New Roman" w:cs="Arial"/>
          <w:color w:val="000000"/>
          <w:szCs w:val="24"/>
          <w:lang w:val="en-US" w:eastAsia="en-ZA"/>
        </w:rPr>
        <w:tab/>
      </w:r>
      <w:r w:rsidR="001000C5">
        <w:t xml:space="preserve">Mr Nathanael received the document, but claims </w:t>
      </w:r>
      <w:r w:rsidR="00D86B99">
        <w:t xml:space="preserve">that the changes were not brought to his attention, and </w:t>
      </w:r>
      <w:r w:rsidR="001000C5">
        <w:t xml:space="preserve">he was unaware that any changes had been made to it. He thought </w:t>
      </w:r>
      <w:r w:rsidR="0026796C">
        <w:t>it was</w:t>
      </w:r>
      <w:r w:rsidR="001000C5">
        <w:t xml:space="preserve"> just the standard agreement. On that basis he signed it</w:t>
      </w:r>
      <w:r w:rsidR="0026796C">
        <w:t xml:space="preserve"> on behalf of Casual Dining and the Wafais signed on behalf of Arianogen.</w:t>
      </w:r>
    </w:p>
    <w:p w14:paraId="3A983650" w14:textId="0E957AA2" w:rsidR="006F3A8F" w:rsidRPr="006F3A8F" w:rsidRDefault="00EB3784" w:rsidP="00EB3784">
      <w:r w:rsidRPr="006F3A8F">
        <w:rPr>
          <w:rFonts w:eastAsia="Times New Roman" w:cs="Arial"/>
          <w:color w:val="000000"/>
          <w:szCs w:val="24"/>
          <w:lang w:val="en-US" w:eastAsia="en-ZA"/>
        </w:rPr>
        <w:t>[7]</w:t>
      </w:r>
      <w:r w:rsidRPr="006F3A8F">
        <w:rPr>
          <w:rFonts w:eastAsia="Times New Roman" w:cs="Arial"/>
          <w:color w:val="000000"/>
          <w:szCs w:val="24"/>
          <w:lang w:val="en-US" w:eastAsia="en-ZA"/>
        </w:rPr>
        <w:tab/>
      </w:r>
      <w:r w:rsidR="001000C5" w:rsidRPr="00EB3784">
        <w:t xml:space="preserve">The parties then went about implementing the agreement. The Wafais paid the balance of the R901 600. They looked for a location. Initially, they planned to set up shop on Long Street, but the Wafais </w:t>
      </w:r>
      <w:r w:rsidR="006F3A8F" w:rsidRPr="00EB3784">
        <w:t>thought the</w:t>
      </w:r>
      <w:r w:rsidR="00E66EFE" w:rsidRPr="00EB3784">
        <w:t>ir restaurant would do better</w:t>
      </w:r>
      <w:r w:rsidR="006F3A8F" w:rsidRPr="00EB3784">
        <w:t xml:space="preserve"> in Salt </w:t>
      </w:r>
      <w:r w:rsidR="006F3A8F" w:rsidRPr="00EB3784">
        <w:lastRenderedPageBreak/>
        <w:t>River. There is a dispute about whether Mr Nathanael agreed to this move South</w:t>
      </w:r>
      <w:r w:rsidR="00452FAB" w:rsidRPr="00EB3784">
        <w:t>, but nothing turns on it</w:t>
      </w:r>
      <w:r w:rsidR="006F3A8F" w:rsidRPr="00EB3784">
        <w:t>. Arianogen signed a lease for the Salt River premises. And the Wafais signed a surety to guarantee that Arianogen would pay</w:t>
      </w:r>
      <w:r w:rsidR="00452FAB" w:rsidRPr="00EB3784">
        <w:t xml:space="preserve"> its rent</w:t>
      </w:r>
      <w:r w:rsidR="006F3A8F" w:rsidRPr="00EB3784">
        <w:t xml:space="preserve"> under the lease. For its part, Casual Dining paid for an architect to prepare drawings for the franchise, which </w:t>
      </w:r>
      <w:r w:rsidR="00B10D3A" w:rsidRPr="00EB3784">
        <w:t>the architect did</w:t>
      </w:r>
      <w:r w:rsidR="006F3A8F" w:rsidRPr="00EB3784">
        <w:t>.</w:t>
      </w:r>
    </w:p>
    <w:p w14:paraId="230C15D3" w14:textId="45D8C399" w:rsidR="00F27820" w:rsidRPr="00F27820" w:rsidRDefault="00EB3784" w:rsidP="00EB3784">
      <w:r w:rsidRPr="00F27820">
        <w:rPr>
          <w:rFonts w:eastAsia="Times New Roman" w:cs="Arial"/>
          <w:color w:val="000000"/>
          <w:szCs w:val="24"/>
          <w:lang w:val="en-US" w:eastAsia="en-ZA"/>
        </w:rPr>
        <w:t>[8]</w:t>
      </w:r>
      <w:r w:rsidRPr="00F27820">
        <w:rPr>
          <w:rFonts w:eastAsia="Times New Roman" w:cs="Arial"/>
          <w:color w:val="000000"/>
          <w:szCs w:val="24"/>
          <w:lang w:val="en-US" w:eastAsia="en-ZA"/>
        </w:rPr>
        <w:tab/>
      </w:r>
      <w:r w:rsidR="006F3A8F" w:rsidRPr="00EB3784">
        <w:t>Th</w:t>
      </w:r>
      <w:r w:rsidR="001D6658" w:rsidRPr="00EB3784">
        <w:t>ings seemed to be going according to plan</w:t>
      </w:r>
      <w:r w:rsidR="006F3A8F" w:rsidRPr="00EB3784">
        <w:t>.</w:t>
      </w:r>
      <w:r w:rsidR="001D6658" w:rsidRPr="00EB3784">
        <w:t xml:space="preserve"> Then t</w:t>
      </w:r>
      <w:r w:rsidR="00317421" w:rsidRPr="00EB3784">
        <w:t>h</w:t>
      </w:r>
      <w:r w:rsidR="006F3A8F" w:rsidRPr="00EB3784">
        <w:t xml:space="preserve">e Applicants indicated that they expected, in terms of the contract that had been signed, that Casual Dining would provide the point of sale system. Mr Nathanael was surprised, </w:t>
      </w:r>
      <w:r w:rsidR="00317421" w:rsidRPr="00EB3784">
        <w:t>as the standard form agreement did not require Casual Dining to do so. Then</w:t>
      </w:r>
      <w:r w:rsidR="006F3A8F" w:rsidRPr="00EB3784">
        <w:t xml:space="preserve"> he discovered clause </w:t>
      </w:r>
      <w:r w:rsidR="00B10D3A" w:rsidRPr="00EB3784">
        <w:t>5.1</w:t>
      </w:r>
      <w:r w:rsidR="006F3A8F" w:rsidRPr="00EB3784">
        <w:t xml:space="preserve">. </w:t>
      </w:r>
    </w:p>
    <w:p w14:paraId="79E36A20" w14:textId="30B7FC63" w:rsidR="006F3A8F" w:rsidRPr="00FD4EED" w:rsidRDefault="00EB3784" w:rsidP="00EB3784">
      <w:r w:rsidRPr="00FD4EED">
        <w:rPr>
          <w:rFonts w:eastAsia="Times New Roman" w:cs="Arial"/>
          <w:color w:val="000000"/>
          <w:szCs w:val="24"/>
          <w:lang w:val="en-US" w:eastAsia="en-ZA"/>
        </w:rPr>
        <w:t>[9]</w:t>
      </w:r>
      <w:r w:rsidRPr="00FD4EED">
        <w:rPr>
          <w:rFonts w:eastAsia="Times New Roman" w:cs="Arial"/>
          <w:color w:val="000000"/>
          <w:szCs w:val="24"/>
          <w:lang w:val="en-US" w:eastAsia="en-ZA"/>
        </w:rPr>
        <w:tab/>
      </w:r>
      <w:r w:rsidR="00F27820" w:rsidRPr="00EB3784">
        <w:t xml:space="preserve">On 23 November 2022, </w:t>
      </w:r>
      <w:r w:rsidR="006F3A8F" w:rsidRPr="00EB3784">
        <w:t>Casual Dining wrote to the Applicants. It claimed</w:t>
      </w:r>
      <w:r w:rsidR="00601873" w:rsidRPr="00EB3784">
        <w:t xml:space="preserve"> Casual Dining had not contemplated the clause, that it</w:t>
      </w:r>
      <w:r w:rsidR="006F3A8F" w:rsidRPr="00EB3784">
        <w:t xml:space="preserve"> had been “</w:t>
      </w:r>
      <w:r w:rsidR="00977812" w:rsidRPr="00EB3784">
        <w:t>‘</w:t>
      </w:r>
      <w:r w:rsidR="006F3A8F" w:rsidRPr="00EB3784">
        <w:t>discreetly</w:t>
      </w:r>
      <w:r w:rsidR="00977812" w:rsidRPr="00EB3784">
        <w:t>’</w:t>
      </w:r>
      <w:r w:rsidR="006F3A8F" w:rsidRPr="00EB3784">
        <w:t xml:space="preserve"> inserted”</w:t>
      </w:r>
      <w:r w:rsidR="0063538F" w:rsidRPr="00EB3784">
        <w:t>,</w:t>
      </w:r>
      <w:r w:rsidR="006F3A8F" w:rsidRPr="00EB3784">
        <w:t xml:space="preserve"> and accused the Wafais of “taking a ‘fat chance’ to acquire a free business”.</w:t>
      </w:r>
      <w:r w:rsidR="000210A0" w:rsidRPr="00EB3784">
        <w:t xml:space="preserve"> It explained that Casual dining “is not in the business of providing free franchised businesses to franchisees and this was clearly not what the Franchisor intended</w:t>
      </w:r>
      <w:r w:rsidR="00BF44DB" w:rsidRPr="00EB3784">
        <w:t>”.</w:t>
      </w:r>
      <w:r w:rsidR="00601873" w:rsidRPr="00EB3784">
        <w:t xml:space="preserve"> </w:t>
      </w:r>
      <w:r w:rsidR="0090487F" w:rsidRPr="00EB3784">
        <w:t>As a result “there was no common intention, nor a meeting of the minds regarding the terms of the Franchise Agreement”. Casual Dining therefore terminated the agreement.</w:t>
      </w:r>
      <w:r w:rsidR="00CB3F89" w:rsidRPr="00EB3784">
        <w:t xml:space="preserve"> But it left open the possibility of continuing with the franchise if </w:t>
      </w:r>
      <w:r w:rsidR="009A0E7C" w:rsidRPr="00EB3784">
        <w:t>the Wafais were willing to conclude “a standard Chicking franchise agreement”.</w:t>
      </w:r>
    </w:p>
    <w:p w14:paraId="59FBF3A0" w14:textId="05B2A4B8" w:rsidR="002A129F" w:rsidRPr="002A129F" w:rsidRDefault="00EB3784" w:rsidP="00EB3784">
      <w:r w:rsidRPr="002A129F">
        <w:rPr>
          <w:rFonts w:eastAsia="Times New Roman" w:cs="Arial"/>
          <w:color w:val="000000"/>
          <w:szCs w:val="24"/>
          <w:lang w:val="en-US" w:eastAsia="en-ZA"/>
        </w:rPr>
        <w:t>[10]</w:t>
      </w:r>
      <w:r w:rsidRPr="002A129F">
        <w:rPr>
          <w:rFonts w:eastAsia="Times New Roman" w:cs="Arial"/>
          <w:color w:val="000000"/>
          <w:szCs w:val="24"/>
          <w:lang w:val="en-US" w:eastAsia="en-ZA"/>
        </w:rPr>
        <w:tab/>
      </w:r>
      <w:r w:rsidR="00661175" w:rsidRPr="00EB3784">
        <w:t>The Applicants’ attorney responded on 21 December 2022. They</w:t>
      </w:r>
      <w:r w:rsidR="0090487F" w:rsidRPr="00EB3784">
        <w:t xml:space="preserve"> </w:t>
      </w:r>
      <w:r w:rsidR="006B2924" w:rsidRPr="00EB3784">
        <w:t>denied they had surreptitiously inserted the offending clause.</w:t>
      </w:r>
      <w:r w:rsidR="008E3715" w:rsidRPr="00EB3784">
        <w:t xml:space="preserve"> </w:t>
      </w:r>
      <w:r w:rsidR="00B10D3A" w:rsidRPr="00EB3784">
        <w:t>But they too</w:t>
      </w:r>
      <w:r w:rsidR="008E3715" w:rsidRPr="00EB3784">
        <w:t xml:space="preserve"> indicated that they wished to proceed with </w:t>
      </w:r>
      <w:r w:rsidR="006B4772" w:rsidRPr="00EB3784">
        <w:t xml:space="preserve">the </w:t>
      </w:r>
      <w:r w:rsidR="008E3715" w:rsidRPr="00EB3784">
        <w:t>agreement.</w:t>
      </w:r>
      <w:r w:rsidR="00661175" w:rsidRPr="00EB3784">
        <w:t xml:space="preserve"> </w:t>
      </w:r>
      <w:r w:rsidR="00503699" w:rsidRPr="00EB3784">
        <w:t>On their version, they refused to accept what they regarded as Casual Dining’s repudiation of the franchise agreement.</w:t>
      </w:r>
      <w:r w:rsidR="00835AE6" w:rsidRPr="00EB3784">
        <w:t xml:space="preserve"> </w:t>
      </w:r>
      <w:r w:rsidR="006B4772" w:rsidRPr="00EB3784">
        <w:t>Unfortunately</w:t>
      </w:r>
      <w:r w:rsidR="00DB3188" w:rsidRPr="00EB3784">
        <w:t>,</w:t>
      </w:r>
      <w:r w:rsidR="00835AE6" w:rsidRPr="00EB3784">
        <w:t xml:space="preserve"> the parties </w:t>
      </w:r>
      <w:r w:rsidR="006226FF" w:rsidRPr="00EB3784">
        <w:t>failed to reach any new agreement</w:t>
      </w:r>
      <w:r w:rsidR="00DB3188" w:rsidRPr="00EB3784">
        <w:t xml:space="preserve">. </w:t>
      </w:r>
    </w:p>
    <w:p w14:paraId="75C5220D" w14:textId="5EBBF6F0" w:rsidR="00DB3188" w:rsidRPr="00DE0549" w:rsidRDefault="00EB3784" w:rsidP="00EB3784">
      <w:r w:rsidRPr="00DE0549">
        <w:rPr>
          <w:rFonts w:eastAsia="Times New Roman" w:cs="Arial"/>
          <w:color w:val="000000"/>
          <w:szCs w:val="24"/>
          <w:lang w:val="en-US" w:eastAsia="en-ZA"/>
        </w:rPr>
        <w:lastRenderedPageBreak/>
        <w:t>[11]</w:t>
      </w:r>
      <w:r w:rsidRPr="00DE0549">
        <w:rPr>
          <w:rFonts w:eastAsia="Times New Roman" w:cs="Arial"/>
          <w:color w:val="000000"/>
          <w:szCs w:val="24"/>
          <w:lang w:val="en-US" w:eastAsia="en-ZA"/>
        </w:rPr>
        <w:tab/>
      </w:r>
      <w:r w:rsidR="00DB3188" w:rsidRPr="00EB3784">
        <w:t xml:space="preserve">Instead </w:t>
      </w:r>
      <w:r w:rsidR="00DE0549" w:rsidRPr="00EB3784">
        <w:t>in May 2023, the Wafais and Arianogen launched an action against Casual Dining and Mr Nathanael</w:t>
      </w:r>
      <w:r w:rsidR="00096505" w:rsidRPr="00EB3784">
        <w:t xml:space="preserve"> consisting of three claims</w:t>
      </w:r>
      <w:r w:rsidR="00DE0549" w:rsidRPr="00EB3784">
        <w:t>:</w:t>
      </w:r>
    </w:p>
    <w:p w14:paraId="4D5F5923" w14:textId="6C17D1E5" w:rsidR="00DE0549" w:rsidRPr="002A129F" w:rsidRDefault="00EB3784" w:rsidP="00EB3784">
      <w:pPr>
        <w:ind w:left="720"/>
      </w:pPr>
      <w:r w:rsidRPr="002A129F">
        <w:rPr>
          <w:rFonts w:eastAsia="Times New Roman" w:cs="Arial"/>
          <w:color w:val="000000"/>
          <w:szCs w:val="24"/>
          <w:lang w:val="en-US" w:eastAsia="en-ZA"/>
        </w:rPr>
        <w:t>[11.1]</w:t>
      </w:r>
      <w:r w:rsidRPr="002A129F">
        <w:rPr>
          <w:rFonts w:eastAsia="Times New Roman" w:cs="Arial"/>
          <w:color w:val="000000"/>
          <w:szCs w:val="24"/>
          <w:lang w:val="en-US" w:eastAsia="en-ZA"/>
        </w:rPr>
        <w:tab/>
      </w:r>
      <w:r w:rsidR="002A129F" w:rsidRPr="00EB3784">
        <w:t>The return of the R901 </w:t>
      </w:r>
      <w:r w:rsidR="00F9244D" w:rsidRPr="00EB3784">
        <w:t>0</w:t>
      </w:r>
      <w:r w:rsidR="002A129F" w:rsidRPr="00EB3784">
        <w:t>00 that the Wafais had paid;</w:t>
      </w:r>
      <w:r w:rsidR="00F9244D">
        <w:rPr>
          <w:rStyle w:val="FootnoteReference"/>
        </w:rPr>
        <w:footnoteReference w:id="1"/>
      </w:r>
    </w:p>
    <w:p w14:paraId="5D981C79" w14:textId="062ABC94" w:rsidR="002A129F" w:rsidRPr="00C8586B" w:rsidRDefault="00EB3784" w:rsidP="00EB3784">
      <w:pPr>
        <w:ind w:left="720"/>
      </w:pPr>
      <w:r w:rsidRPr="00C8586B">
        <w:rPr>
          <w:rFonts w:eastAsia="Times New Roman" w:cs="Arial"/>
          <w:color w:val="000000"/>
          <w:szCs w:val="24"/>
          <w:lang w:val="en-US" w:eastAsia="en-ZA"/>
        </w:rPr>
        <w:t>[11.2]</w:t>
      </w:r>
      <w:r w:rsidRPr="00C8586B">
        <w:rPr>
          <w:rFonts w:eastAsia="Times New Roman" w:cs="Arial"/>
          <w:color w:val="000000"/>
          <w:szCs w:val="24"/>
          <w:lang w:val="en-US" w:eastAsia="en-ZA"/>
        </w:rPr>
        <w:tab/>
      </w:r>
      <w:r w:rsidR="002A129F" w:rsidRPr="00EB3784">
        <w:t xml:space="preserve">Damages caused to them as guarantors for </w:t>
      </w:r>
      <w:r w:rsidR="00C9737A" w:rsidRPr="00EB3784">
        <w:t xml:space="preserve">Arianogen’s obligations under </w:t>
      </w:r>
      <w:r w:rsidR="002A129F" w:rsidRPr="00EB3784">
        <w:t xml:space="preserve">the </w:t>
      </w:r>
      <w:r w:rsidR="00C8586B" w:rsidRPr="00EB3784">
        <w:t>lease agreement; and</w:t>
      </w:r>
    </w:p>
    <w:p w14:paraId="67F0EDC1" w14:textId="0F8D94EA" w:rsidR="00C8586B" w:rsidRPr="00C8586B" w:rsidRDefault="00EB3784" w:rsidP="00EB3784">
      <w:pPr>
        <w:ind w:left="720"/>
      </w:pPr>
      <w:r w:rsidRPr="00C8586B">
        <w:rPr>
          <w:rFonts w:eastAsia="Times New Roman" w:cs="Arial"/>
          <w:color w:val="000000"/>
          <w:szCs w:val="24"/>
          <w:lang w:val="en-US" w:eastAsia="en-ZA"/>
        </w:rPr>
        <w:t>[11.3]</w:t>
      </w:r>
      <w:r w:rsidRPr="00C8586B">
        <w:rPr>
          <w:rFonts w:eastAsia="Times New Roman" w:cs="Arial"/>
          <w:color w:val="000000"/>
          <w:szCs w:val="24"/>
          <w:lang w:val="en-US" w:eastAsia="en-ZA"/>
        </w:rPr>
        <w:tab/>
      </w:r>
      <w:r w:rsidR="00C8586B" w:rsidRPr="00EB3784">
        <w:t>Loss of profit</w:t>
      </w:r>
      <w:r w:rsidR="00C9737A" w:rsidRPr="00EB3784">
        <w:t xml:space="preserve"> flowing from representations that Mr Nathanael is alleged to have made</w:t>
      </w:r>
      <w:r w:rsidR="00C8586B" w:rsidRPr="00EB3784">
        <w:t>.</w:t>
      </w:r>
    </w:p>
    <w:p w14:paraId="3AD7E0B9" w14:textId="680B8183" w:rsidR="00C8586B" w:rsidRDefault="00EB3784" w:rsidP="00EB3784">
      <w:r>
        <w:rPr>
          <w:rFonts w:eastAsia="Times New Roman" w:cs="Arial"/>
          <w:color w:val="000000"/>
          <w:szCs w:val="24"/>
          <w:lang w:val="en-US" w:eastAsia="en-ZA"/>
        </w:rPr>
        <w:t>[12]</w:t>
      </w:r>
      <w:r>
        <w:rPr>
          <w:rFonts w:eastAsia="Times New Roman" w:cs="Arial"/>
          <w:color w:val="000000"/>
          <w:szCs w:val="24"/>
          <w:lang w:val="en-US" w:eastAsia="en-ZA"/>
        </w:rPr>
        <w:tab/>
      </w:r>
      <w:r w:rsidR="00C8586B">
        <w:t>Only the claim for the return of the R901 </w:t>
      </w:r>
      <w:r w:rsidR="00F9244D">
        <w:t>0</w:t>
      </w:r>
      <w:r w:rsidR="00C8586B">
        <w:t>00 was pursued in these summary judgment proceedings.</w:t>
      </w:r>
      <w:r w:rsidR="000825FB">
        <w:t xml:space="preserve"> The manner in which that claim was pleaded is important.</w:t>
      </w:r>
    </w:p>
    <w:p w14:paraId="551FDF0A" w14:textId="0CBA4CD4" w:rsidR="00EF0106" w:rsidRDefault="00EB3784" w:rsidP="00EB3784">
      <w:r>
        <w:rPr>
          <w:rFonts w:eastAsia="Times New Roman" w:cs="Arial"/>
          <w:color w:val="000000"/>
          <w:szCs w:val="24"/>
          <w:lang w:val="en-US" w:eastAsia="en-ZA"/>
        </w:rPr>
        <w:t>[13]</w:t>
      </w:r>
      <w:r>
        <w:rPr>
          <w:rFonts w:eastAsia="Times New Roman" w:cs="Arial"/>
          <w:color w:val="000000"/>
          <w:szCs w:val="24"/>
          <w:lang w:val="en-US" w:eastAsia="en-ZA"/>
        </w:rPr>
        <w:tab/>
      </w:r>
      <w:r w:rsidR="00661175">
        <w:t xml:space="preserve">The Applicants regarded the letter of 23 November 2022 as a repudiation of the </w:t>
      </w:r>
      <w:r w:rsidR="0040487B">
        <w:t xml:space="preserve">franchise </w:t>
      </w:r>
      <w:r w:rsidR="00661175">
        <w:t xml:space="preserve">agreement. They </w:t>
      </w:r>
      <w:r w:rsidR="0040487B">
        <w:t xml:space="preserve">initially refused to accept it. But, so they plead, “the Defendants persist with their repudiation”. Therefore, </w:t>
      </w:r>
      <w:r w:rsidR="00F45D1F">
        <w:t>in their particulars of claim, the Applicants stated that they “have now elected to accept the aforesaid cancellation/repudiation”.</w:t>
      </w:r>
      <w:r w:rsidR="00EF0106">
        <w:t xml:space="preserve"> As a result they claim that they “are entitled to restitution of the R901 000 which they paid to” Casual Dining.</w:t>
      </w:r>
      <w:r w:rsidR="003C0782">
        <w:t xml:space="preserve"> It</w:t>
      </w:r>
      <w:r w:rsidR="00C47857">
        <w:t xml:space="preserve"> is a claim for cancellation </w:t>
      </w:r>
      <w:r w:rsidR="003C0782">
        <w:t>and restitution.</w:t>
      </w:r>
    </w:p>
    <w:p w14:paraId="1800067A" w14:textId="274F7999" w:rsidR="003C0782" w:rsidRDefault="00EB3784" w:rsidP="00EB3784">
      <w:r>
        <w:rPr>
          <w:rFonts w:eastAsia="Times New Roman" w:cs="Arial"/>
          <w:color w:val="000000"/>
          <w:szCs w:val="24"/>
          <w:lang w:val="en-US" w:eastAsia="en-ZA"/>
        </w:rPr>
        <w:t>[14]</w:t>
      </w:r>
      <w:r>
        <w:rPr>
          <w:rFonts w:eastAsia="Times New Roman" w:cs="Arial"/>
          <w:color w:val="000000"/>
          <w:szCs w:val="24"/>
          <w:lang w:val="en-US" w:eastAsia="en-ZA"/>
        </w:rPr>
        <w:tab/>
      </w:r>
      <w:r w:rsidR="00F9244D">
        <w:t xml:space="preserve">The </w:t>
      </w:r>
      <w:r w:rsidR="00341143">
        <w:t>Respondents opposed the action and filed a plea. How did they answer the claim for restitution?</w:t>
      </w:r>
      <w:r w:rsidR="00195D97">
        <w:t xml:space="preserve"> </w:t>
      </w:r>
      <w:r w:rsidR="006D768B">
        <w:t>They admit receiving the R901 600.</w:t>
      </w:r>
      <w:r w:rsidR="00CB5ADC">
        <w:t xml:space="preserve"> </w:t>
      </w:r>
      <w:r w:rsidR="00F157E6">
        <w:t>They admit that the franchise agreement was signed.</w:t>
      </w:r>
    </w:p>
    <w:p w14:paraId="1E1FC7B6" w14:textId="210E2ED1" w:rsidR="00C540A4" w:rsidRDefault="00EB3784" w:rsidP="00EB3784">
      <w:r>
        <w:rPr>
          <w:rFonts w:eastAsia="Times New Roman" w:cs="Arial"/>
          <w:color w:val="000000"/>
          <w:szCs w:val="24"/>
          <w:lang w:val="en-US" w:eastAsia="en-ZA"/>
        </w:rPr>
        <w:lastRenderedPageBreak/>
        <w:t>[15]</w:t>
      </w:r>
      <w:r>
        <w:rPr>
          <w:rFonts w:eastAsia="Times New Roman" w:cs="Arial"/>
          <w:color w:val="000000"/>
          <w:szCs w:val="24"/>
          <w:lang w:val="en-US" w:eastAsia="en-ZA"/>
        </w:rPr>
        <w:tab/>
      </w:r>
      <w:r w:rsidR="00E843DE">
        <w:t>But they deny that the</w:t>
      </w:r>
      <w:r w:rsidR="00FE232C">
        <w:t xml:space="preserve"> written agreement reflected the</w:t>
      </w:r>
      <w:r w:rsidR="0089433B">
        <w:t xml:space="preserve"> actual agreement between the parties</w:t>
      </w:r>
      <w:r w:rsidR="00C32295">
        <w:t xml:space="preserve">. </w:t>
      </w:r>
      <w:r w:rsidR="00C540A4">
        <w:t>They allege that the parties agreed that no alterations to the standard agreement would be made unless they were expressly pointed out to the other party. They deny that the alterations the Applicants made were clearly visible, or were pointed out to Casual Dining.</w:t>
      </w:r>
      <w:r w:rsidR="00BD2D0A">
        <w:t xml:space="preserve"> And they deny that </w:t>
      </w:r>
      <w:r w:rsidR="00096505">
        <w:t>Casual Dining</w:t>
      </w:r>
      <w:r w:rsidR="00BD2D0A">
        <w:t xml:space="preserve"> accepted the alterations.</w:t>
      </w:r>
    </w:p>
    <w:p w14:paraId="244ABDC4" w14:textId="4481CC31" w:rsidR="0089433B" w:rsidRDefault="00EB3784" w:rsidP="00EB3784">
      <w:r>
        <w:rPr>
          <w:rFonts w:eastAsia="Times New Roman" w:cs="Arial"/>
          <w:color w:val="000000"/>
          <w:szCs w:val="24"/>
          <w:lang w:val="en-US" w:eastAsia="en-ZA"/>
        </w:rPr>
        <w:t>[16]</w:t>
      </w:r>
      <w:r>
        <w:rPr>
          <w:rFonts w:eastAsia="Times New Roman" w:cs="Arial"/>
          <w:color w:val="000000"/>
          <w:szCs w:val="24"/>
          <w:lang w:val="en-US" w:eastAsia="en-ZA"/>
        </w:rPr>
        <w:tab/>
      </w:r>
      <w:r w:rsidR="00C32295">
        <w:t>They</w:t>
      </w:r>
      <w:r w:rsidR="006F2CF1">
        <w:t xml:space="preserve"> </w:t>
      </w:r>
      <w:r w:rsidR="0089433B">
        <w:t>plead that Arianogen or Mr Wafai “misrepresented to the defendants that the contract was unaltered,</w:t>
      </w:r>
      <w:r w:rsidR="0089433B" w:rsidRPr="00EB3784">
        <w:rPr>
          <w:i/>
          <w:iCs/>
        </w:rPr>
        <w:t xml:space="preserve"> alternatively</w:t>
      </w:r>
      <w:r w:rsidR="0089433B">
        <w:t>, failed to point out to the defendants the respects in which the document was altered while it/they had a legal obligation to do so before the signature thereof”.</w:t>
      </w:r>
    </w:p>
    <w:p w14:paraId="65DAA281" w14:textId="7789F079" w:rsidR="008A40A9" w:rsidRDefault="00EB3784" w:rsidP="00EB3784">
      <w:r>
        <w:rPr>
          <w:rFonts w:eastAsia="Times New Roman" w:cs="Arial"/>
          <w:color w:val="000000"/>
          <w:szCs w:val="24"/>
          <w:lang w:val="en-US" w:eastAsia="en-ZA"/>
        </w:rPr>
        <w:t>[17]</w:t>
      </w:r>
      <w:r>
        <w:rPr>
          <w:rFonts w:eastAsia="Times New Roman" w:cs="Arial"/>
          <w:color w:val="000000"/>
          <w:szCs w:val="24"/>
          <w:lang w:val="en-US" w:eastAsia="en-ZA"/>
        </w:rPr>
        <w:tab/>
      </w:r>
      <w:r w:rsidR="00A901DD">
        <w:t>The</w:t>
      </w:r>
      <w:r w:rsidR="00411492">
        <w:t xml:space="preserve"> Respondents</w:t>
      </w:r>
      <w:r w:rsidR="00A901DD">
        <w:t xml:space="preserve"> also </w:t>
      </w:r>
      <w:r w:rsidR="005614F5">
        <w:t>deny that the Applicants cancelled the franchise agreement</w:t>
      </w:r>
      <w:r w:rsidR="00051682">
        <w:t xml:space="preserve"> – if there was an agreement, then the Respondents </w:t>
      </w:r>
      <w:r w:rsidR="00417797">
        <w:t xml:space="preserve">claim they </w:t>
      </w:r>
      <w:r w:rsidR="00051682">
        <w:t>cancelled it</w:t>
      </w:r>
      <w:r w:rsidR="00417797">
        <w:t xml:space="preserve"> in the letter of 23 November 2022</w:t>
      </w:r>
      <w:r w:rsidR="005614F5">
        <w:t xml:space="preserve">. They also pleaded that </w:t>
      </w:r>
      <w:r w:rsidR="00AE3171">
        <w:t>Arianogen “has failed to tender restitution of the benefits which it had received under the alleged franchise agreement and accordingly is legally precluded from claiming restitution.”</w:t>
      </w:r>
    </w:p>
    <w:p w14:paraId="0B897EC3" w14:textId="4214E077" w:rsidR="00B07E68" w:rsidRDefault="00EB3784" w:rsidP="00EB3784">
      <w:r>
        <w:rPr>
          <w:rFonts w:eastAsia="Times New Roman" w:cs="Arial"/>
          <w:color w:val="000000"/>
          <w:szCs w:val="24"/>
          <w:lang w:val="en-US" w:eastAsia="en-ZA"/>
        </w:rPr>
        <w:t>[18]</w:t>
      </w:r>
      <w:r>
        <w:rPr>
          <w:rFonts w:eastAsia="Times New Roman" w:cs="Arial"/>
          <w:color w:val="000000"/>
          <w:szCs w:val="24"/>
          <w:lang w:val="en-US" w:eastAsia="en-ZA"/>
        </w:rPr>
        <w:tab/>
      </w:r>
      <w:r w:rsidR="00B07E68">
        <w:t xml:space="preserve">The Respondents do not expressly deny that there was an agreement. </w:t>
      </w:r>
      <w:r w:rsidR="00DD6FE1">
        <w:t>However, to</w:t>
      </w:r>
      <w:r w:rsidR="00B07E68">
        <w:t xml:space="preserve"> my mind, the </w:t>
      </w:r>
      <w:r w:rsidR="00DD6FE1">
        <w:t>plea is open to that interpretation, particularly when it is read with the letter of 23 November 2022, and the response to the application for summary judgment.</w:t>
      </w:r>
    </w:p>
    <w:p w14:paraId="0431701D" w14:textId="77777777" w:rsidR="00725516" w:rsidRDefault="00725516" w:rsidP="00725516">
      <w:pPr>
        <w:pStyle w:val="ListParagraph"/>
        <w:numPr>
          <w:ilvl w:val="0"/>
          <w:numId w:val="0"/>
        </w:numPr>
      </w:pPr>
    </w:p>
    <w:p w14:paraId="50FDC27B" w14:textId="29C95937" w:rsidR="00725516" w:rsidRDefault="00725516" w:rsidP="00725516">
      <w:pPr>
        <w:pStyle w:val="Heading3"/>
      </w:pPr>
      <w:r>
        <w:t>The Application for Summary Judgment</w:t>
      </w:r>
    </w:p>
    <w:p w14:paraId="191F80AA" w14:textId="39D6B09F" w:rsidR="00AE3171" w:rsidRDefault="00EB3784" w:rsidP="00EB3784">
      <w:r>
        <w:rPr>
          <w:rFonts w:eastAsia="Times New Roman" w:cs="Arial"/>
          <w:color w:val="000000"/>
          <w:szCs w:val="24"/>
          <w:lang w:val="en-US" w:eastAsia="en-ZA"/>
        </w:rPr>
        <w:t>[19]</w:t>
      </w:r>
      <w:r>
        <w:rPr>
          <w:rFonts w:eastAsia="Times New Roman" w:cs="Arial"/>
          <w:color w:val="000000"/>
          <w:szCs w:val="24"/>
          <w:lang w:val="en-US" w:eastAsia="en-ZA"/>
        </w:rPr>
        <w:tab/>
      </w:r>
      <w:r w:rsidR="00627679">
        <w:t xml:space="preserve">The Applicants </w:t>
      </w:r>
      <w:r w:rsidR="007E35E8">
        <w:t>now seek</w:t>
      </w:r>
      <w:r w:rsidR="00627679">
        <w:t xml:space="preserve"> summary judgment. Their argument is that, </w:t>
      </w:r>
      <w:r w:rsidR="008A4CF9">
        <w:t>whether there was a contract or not</w:t>
      </w:r>
      <w:r w:rsidR="001415AA">
        <w:t>,</w:t>
      </w:r>
      <w:r w:rsidR="007478F5">
        <w:t xml:space="preserve"> and whoever cancelled the contract,</w:t>
      </w:r>
      <w:r w:rsidR="001415AA">
        <w:t xml:space="preserve"> they are entitled to </w:t>
      </w:r>
      <w:r w:rsidR="001415AA">
        <w:lastRenderedPageBreak/>
        <w:t>the return of the R901</w:t>
      </w:r>
      <w:r w:rsidR="00417797">
        <w:t> </w:t>
      </w:r>
      <w:r w:rsidR="000226EF">
        <w:t>0</w:t>
      </w:r>
      <w:r w:rsidR="001415AA">
        <w:t>00</w:t>
      </w:r>
      <w:r w:rsidR="00417797">
        <w:t xml:space="preserve"> they paid, and for which they ultimately received nothing</w:t>
      </w:r>
      <w:r w:rsidR="001415AA">
        <w:t>.</w:t>
      </w:r>
      <w:r w:rsidR="00A14FF4">
        <w:t xml:space="preserve"> They also contend that their failure to tender the re</w:t>
      </w:r>
      <w:r w:rsidR="00410E20">
        <w:t>stitution of benefits does not preclude their claim because the Respondents failed to identify any benefits that the Applicants received from the franchise agreement. “There were none”</w:t>
      </w:r>
      <w:r w:rsidR="00616510">
        <w:t>, t</w:t>
      </w:r>
      <w:r w:rsidR="00410E20">
        <w:t>he</w:t>
      </w:r>
      <w:r w:rsidR="00616510">
        <w:t>y assert.</w:t>
      </w:r>
    </w:p>
    <w:p w14:paraId="7A66B5D3" w14:textId="50310DDC" w:rsidR="006352BB" w:rsidRDefault="00EB3784" w:rsidP="00EB3784">
      <w:r>
        <w:rPr>
          <w:rFonts w:eastAsia="Times New Roman" w:cs="Arial"/>
          <w:color w:val="000000"/>
          <w:szCs w:val="24"/>
          <w:lang w:val="en-US" w:eastAsia="en-ZA"/>
        </w:rPr>
        <w:t>[20]</w:t>
      </w:r>
      <w:r>
        <w:rPr>
          <w:rFonts w:eastAsia="Times New Roman" w:cs="Arial"/>
          <w:color w:val="000000"/>
          <w:szCs w:val="24"/>
          <w:lang w:val="en-US" w:eastAsia="en-ZA"/>
        </w:rPr>
        <w:tab/>
      </w:r>
      <w:r w:rsidR="003A4827">
        <w:t xml:space="preserve">The claim for R901 000 is only against </w:t>
      </w:r>
      <w:r w:rsidR="009E7E8F">
        <w:t>Casual Dining</w:t>
      </w:r>
      <w:r w:rsidR="003A4827">
        <w:t>, and only it</w:t>
      </w:r>
      <w:r w:rsidR="009E7E8F">
        <w:t xml:space="preserve"> opposes the application for summary judgment.</w:t>
      </w:r>
      <w:r w:rsidR="00C71E31">
        <w:t xml:space="preserve"> </w:t>
      </w:r>
      <w:r w:rsidR="00207844">
        <w:t>It asserts</w:t>
      </w:r>
      <w:r w:rsidR="006352BB">
        <w:t xml:space="preserve"> the following defences:</w:t>
      </w:r>
    </w:p>
    <w:p w14:paraId="12F68124" w14:textId="57254D5B" w:rsidR="006352BB" w:rsidRDefault="00EB3784" w:rsidP="00EB3784">
      <w:pPr>
        <w:ind w:left="720"/>
      </w:pPr>
      <w:r>
        <w:rPr>
          <w:rFonts w:eastAsia="Times New Roman" w:cs="Arial"/>
          <w:color w:val="000000"/>
          <w:szCs w:val="24"/>
          <w:lang w:val="en-US" w:eastAsia="en-ZA"/>
        </w:rPr>
        <w:t>[20.1]</w:t>
      </w:r>
      <w:r>
        <w:rPr>
          <w:rFonts w:eastAsia="Times New Roman" w:cs="Arial"/>
          <w:color w:val="000000"/>
          <w:szCs w:val="24"/>
          <w:lang w:val="en-US" w:eastAsia="en-ZA"/>
        </w:rPr>
        <w:tab/>
      </w:r>
      <w:r w:rsidR="00150C8C">
        <w:t>T</w:t>
      </w:r>
      <w:r w:rsidR="00207844">
        <w:t>here was no consensus and therefore no contract</w:t>
      </w:r>
      <w:r w:rsidR="006352BB">
        <w:t xml:space="preserve">. </w:t>
      </w:r>
      <w:r w:rsidR="00932369">
        <w:t>The Applicants’ claim is bad because the only claim they have pleaded depends on the existence of a contract.</w:t>
      </w:r>
    </w:p>
    <w:p w14:paraId="46B75840" w14:textId="1151744A" w:rsidR="00B44E51" w:rsidRDefault="00EB3784" w:rsidP="00EB3784">
      <w:pPr>
        <w:ind w:left="720"/>
      </w:pPr>
      <w:r>
        <w:rPr>
          <w:rFonts w:eastAsia="Times New Roman" w:cs="Arial"/>
          <w:color w:val="000000"/>
          <w:szCs w:val="24"/>
          <w:lang w:val="en-US" w:eastAsia="en-ZA"/>
        </w:rPr>
        <w:t>[20.2]</w:t>
      </w:r>
      <w:r>
        <w:rPr>
          <w:rFonts w:eastAsia="Times New Roman" w:cs="Arial"/>
          <w:color w:val="000000"/>
          <w:szCs w:val="24"/>
          <w:lang w:val="en-US" w:eastAsia="en-ZA"/>
        </w:rPr>
        <w:tab/>
      </w:r>
      <w:r w:rsidR="00150C8C">
        <w:t>I</w:t>
      </w:r>
      <w:r w:rsidR="00932369">
        <w:t>f there is an agreement</w:t>
      </w:r>
      <w:r w:rsidR="00F157E6">
        <w:t>,</w:t>
      </w:r>
      <w:r w:rsidR="00207844">
        <w:t xml:space="preserve"> the franchise agreement </w:t>
      </w:r>
      <w:r w:rsidR="00F157E6">
        <w:t>is</w:t>
      </w:r>
      <w:r w:rsidR="00207844">
        <w:t xml:space="preserve"> voidable due to </w:t>
      </w:r>
      <w:r w:rsidR="00E71608">
        <w:t xml:space="preserve">a </w:t>
      </w:r>
      <w:r w:rsidR="00207844">
        <w:t>misrepresentation by Arian</w:t>
      </w:r>
      <w:r w:rsidR="00E71608">
        <w:t>ogen (failing to draw attention to the track changes).</w:t>
      </w:r>
      <w:r w:rsidR="00C7402C">
        <w:t xml:space="preserve"> </w:t>
      </w:r>
      <w:r w:rsidR="007564DA">
        <w:t>I</w:t>
      </w:r>
      <w:r w:rsidR="00C7402C">
        <w:t>t was Casual Dining as the innocent party that was entitled to cancel it, which it did on 23 November 2022.</w:t>
      </w:r>
      <w:r w:rsidR="00D439ED">
        <w:t xml:space="preserve"> </w:t>
      </w:r>
      <w:r w:rsidR="00CB45FD">
        <w:t>The Applicants’ purported cancellation was of no effect.</w:t>
      </w:r>
    </w:p>
    <w:p w14:paraId="255BEE2F" w14:textId="65E189BA" w:rsidR="003627C7" w:rsidRDefault="00EB3784" w:rsidP="00EB3784">
      <w:r>
        <w:rPr>
          <w:rFonts w:eastAsia="Times New Roman" w:cs="Arial"/>
          <w:color w:val="000000"/>
          <w:szCs w:val="24"/>
          <w:lang w:val="en-US" w:eastAsia="en-ZA"/>
        </w:rPr>
        <w:t>[21]</w:t>
      </w:r>
      <w:r>
        <w:rPr>
          <w:rFonts w:eastAsia="Times New Roman" w:cs="Arial"/>
          <w:color w:val="000000"/>
          <w:szCs w:val="24"/>
          <w:lang w:val="en-US" w:eastAsia="en-ZA"/>
        </w:rPr>
        <w:tab/>
      </w:r>
      <w:r w:rsidR="00333322">
        <w:t>Casual Dining also raised certain preliminary defences</w:t>
      </w:r>
      <w:r w:rsidR="003627C7">
        <w:t>:</w:t>
      </w:r>
    </w:p>
    <w:p w14:paraId="73FC2995" w14:textId="246CC055" w:rsidR="00CB45FD" w:rsidRDefault="00EB3784" w:rsidP="00EB3784">
      <w:pPr>
        <w:ind w:left="720"/>
      </w:pPr>
      <w:r>
        <w:rPr>
          <w:rFonts w:eastAsia="Times New Roman" w:cs="Arial"/>
          <w:color w:val="000000"/>
          <w:szCs w:val="24"/>
          <w:lang w:val="en-US" w:eastAsia="en-ZA"/>
        </w:rPr>
        <w:t>[21.1]</w:t>
      </w:r>
      <w:r>
        <w:rPr>
          <w:rFonts w:eastAsia="Times New Roman" w:cs="Arial"/>
          <w:color w:val="000000"/>
          <w:szCs w:val="24"/>
          <w:lang w:val="en-US" w:eastAsia="en-ZA"/>
        </w:rPr>
        <w:tab/>
      </w:r>
      <w:r w:rsidR="00270C71">
        <w:t xml:space="preserve">It argues that the Applicants failed to comply with rule 32(2)(b) </w:t>
      </w:r>
      <w:r w:rsidR="003627C7">
        <w:t>because they did not identify the points of law they rely on, or explain why the plea does not raise a defence.</w:t>
      </w:r>
    </w:p>
    <w:p w14:paraId="67311079" w14:textId="63941FA5" w:rsidR="003627C7" w:rsidRDefault="00EB3784" w:rsidP="00EB3784">
      <w:pPr>
        <w:ind w:left="720"/>
      </w:pPr>
      <w:r>
        <w:rPr>
          <w:rFonts w:eastAsia="Times New Roman" w:cs="Arial"/>
          <w:color w:val="000000"/>
          <w:szCs w:val="24"/>
          <w:lang w:val="en-US" w:eastAsia="en-ZA"/>
        </w:rPr>
        <w:t>[21.2]</w:t>
      </w:r>
      <w:r>
        <w:rPr>
          <w:rFonts w:eastAsia="Times New Roman" w:cs="Arial"/>
          <w:color w:val="000000"/>
          <w:szCs w:val="24"/>
          <w:lang w:val="en-US" w:eastAsia="en-ZA"/>
        </w:rPr>
        <w:tab/>
      </w:r>
      <w:r w:rsidR="003627C7">
        <w:t xml:space="preserve">It complains that by claiming for both restitution of the R901 000, and loss of profit, the Applicants have </w:t>
      </w:r>
      <w:r w:rsidR="005B2349">
        <w:t xml:space="preserve">impermissibly </w:t>
      </w:r>
      <w:r w:rsidR="003627C7">
        <w:t xml:space="preserve">raised mutually destructive </w:t>
      </w:r>
      <w:r w:rsidR="005B2349">
        <w:t>claims.</w:t>
      </w:r>
    </w:p>
    <w:p w14:paraId="2F80487A" w14:textId="1B64CEC2" w:rsidR="00131488" w:rsidRDefault="00EB3784" w:rsidP="00EB3784">
      <w:r>
        <w:rPr>
          <w:rFonts w:eastAsia="Times New Roman" w:cs="Arial"/>
          <w:color w:val="000000"/>
          <w:szCs w:val="24"/>
          <w:lang w:val="en-US" w:eastAsia="en-ZA"/>
        </w:rPr>
        <w:lastRenderedPageBreak/>
        <w:t>[22]</w:t>
      </w:r>
      <w:r>
        <w:rPr>
          <w:rFonts w:eastAsia="Times New Roman" w:cs="Arial"/>
          <w:color w:val="000000"/>
          <w:szCs w:val="24"/>
          <w:lang w:val="en-US" w:eastAsia="en-ZA"/>
        </w:rPr>
        <w:tab/>
      </w:r>
      <w:r w:rsidR="00131488">
        <w:t xml:space="preserve">The basic question in summary judgment proceedings is whether the </w:t>
      </w:r>
      <w:r w:rsidR="00186B83">
        <w:t>respondent has</w:t>
      </w:r>
      <w:r w:rsidR="00186B83" w:rsidRPr="00666553">
        <w:t xml:space="preserve"> “a defence which is both bona fide and good in law”.</w:t>
      </w:r>
      <w:r w:rsidR="00186B83" w:rsidRPr="00666553">
        <w:rPr>
          <w:rStyle w:val="FootnoteReference"/>
        </w:rPr>
        <w:footnoteReference w:id="2"/>
      </w:r>
      <w:r w:rsidR="00186B83" w:rsidRPr="00666553">
        <w:t xml:space="preserve"> The </w:t>
      </w:r>
      <w:r w:rsidR="00186B83">
        <w:t>prospects the defence will succeed are irrelevant</w:t>
      </w:r>
      <w:r w:rsidR="003071C6">
        <w:t>; it need only show a defence raised in good faith which, if it was established at trial, would answer the claim</w:t>
      </w:r>
      <w:r w:rsidR="00186B83" w:rsidRPr="00666553">
        <w:t>.</w:t>
      </w:r>
      <w:r w:rsidR="00186B83" w:rsidRPr="00666553">
        <w:rPr>
          <w:rStyle w:val="FootnoteReference"/>
        </w:rPr>
        <w:footnoteReference w:id="3"/>
      </w:r>
    </w:p>
    <w:p w14:paraId="40942469" w14:textId="777C0691" w:rsidR="00FD0D7B" w:rsidRDefault="00EB3784" w:rsidP="00EB3784">
      <w:r>
        <w:rPr>
          <w:rFonts w:eastAsia="Times New Roman" w:cs="Arial"/>
          <w:color w:val="000000"/>
          <w:szCs w:val="24"/>
          <w:lang w:val="en-US" w:eastAsia="en-ZA"/>
        </w:rPr>
        <w:t>[23]</w:t>
      </w:r>
      <w:r>
        <w:rPr>
          <w:rFonts w:eastAsia="Times New Roman" w:cs="Arial"/>
          <w:color w:val="000000"/>
          <w:szCs w:val="24"/>
          <w:lang w:val="en-US" w:eastAsia="en-ZA"/>
        </w:rPr>
        <w:tab/>
      </w:r>
      <w:r w:rsidR="00FD0D7B">
        <w:t>I do not intend to traverse all Casual Dining’s defences</w:t>
      </w:r>
      <w:r w:rsidR="00E0758F">
        <w:t>; t</w:t>
      </w:r>
      <w:r w:rsidR="00FD0D7B">
        <w:t>here is one that, to my mind, is decisive.</w:t>
      </w:r>
    </w:p>
    <w:p w14:paraId="703983E4" w14:textId="77777777" w:rsidR="00725516" w:rsidRDefault="00725516" w:rsidP="00725516">
      <w:pPr>
        <w:pStyle w:val="ListParagraph"/>
        <w:numPr>
          <w:ilvl w:val="0"/>
          <w:numId w:val="0"/>
        </w:numPr>
      </w:pPr>
    </w:p>
    <w:p w14:paraId="473E6F05" w14:textId="5D7B91F2" w:rsidR="00725516" w:rsidRDefault="00F67860" w:rsidP="00F67860">
      <w:pPr>
        <w:pStyle w:val="Heading3"/>
      </w:pPr>
      <w:r>
        <w:t>A Defence to the Pleaded Claim</w:t>
      </w:r>
    </w:p>
    <w:p w14:paraId="598BC569" w14:textId="47D886CC" w:rsidR="0023619E" w:rsidRDefault="00EB3784" w:rsidP="00EB3784">
      <w:r>
        <w:rPr>
          <w:rFonts w:eastAsia="Times New Roman" w:cs="Arial"/>
          <w:color w:val="000000"/>
          <w:szCs w:val="24"/>
          <w:lang w:val="en-US" w:eastAsia="en-ZA"/>
        </w:rPr>
        <w:t>[24]</w:t>
      </w:r>
      <w:r>
        <w:rPr>
          <w:rFonts w:eastAsia="Times New Roman" w:cs="Arial"/>
          <w:color w:val="000000"/>
          <w:szCs w:val="24"/>
          <w:lang w:val="en-US" w:eastAsia="en-ZA"/>
        </w:rPr>
        <w:tab/>
      </w:r>
      <w:r w:rsidR="0096050B">
        <w:t xml:space="preserve">The </w:t>
      </w:r>
      <w:r w:rsidR="00C3260E">
        <w:t xml:space="preserve">Applicants have pleaded a case which rests on the existence of a contract. </w:t>
      </w:r>
      <w:r w:rsidR="0023619E">
        <w:t>They allege that the tracked amendments were part of the contract, that Casual Dining refused to comply with the contract,</w:t>
      </w:r>
      <w:r w:rsidR="00B62875">
        <w:t xml:space="preserve"> that it was entitled to cancel the contract, and it is now entitled to restitution</w:t>
      </w:r>
      <w:r w:rsidR="004221C1">
        <w:t xml:space="preserve"> of the moneys pa</w:t>
      </w:r>
      <w:r w:rsidR="008136F3">
        <w:t>id</w:t>
      </w:r>
      <w:r w:rsidR="00B62875">
        <w:t>.</w:t>
      </w:r>
      <w:r w:rsidR="00DD719E">
        <w:t xml:space="preserve"> They have not pleaded a claim, even in the alternative, in unjust enrichment.</w:t>
      </w:r>
    </w:p>
    <w:p w14:paraId="58848FB1" w14:textId="3034C273" w:rsidR="0077674A" w:rsidRDefault="00EB3784" w:rsidP="00EB3784">
      <w:r>
        <w:rPr>
          <w:rFonts w:eastAsia="Times New Roman" w:cs="Arial"/>
          <w:color w:val="000000"/>
          <w:szCs w:val="24"/>
          <w:lang w:val="en-US" w:eastAsia="en-ZA"/>
        </w:rPr>
        <w:t>[25]</w:t>
      </w:r>
      <w:r>
        <w:rPr>
          <w:rFonts w:eastAsia="Times New Roman" w:cs="Arial"/>
          <w:color w:val="000000"/>
          <w:szCs w:val="24"/>
          <w:lang w:val="en-US" w:eastAsia="en-ZA"/>
        </w:rPr>
        <w:tab/>
      </w:r>
      <w:r w:rsidR="00B62875">
        <w:t xml:space="preserve">But </w:t>
      </w:r>
      <w:r w:rsidR="00697518">
        <w:t>Casual Dining denies</w:t>
      </w:r>
      <w:r w:rsidR="00C3260E">
        <w:t xml:space="preserve"> that contract exists</w:t>
      </w:r>
      <w:r w:rsidR="00697518">
        <w:t xml:space="preserve"> because </w:t>
      </w:r>
      <w:r w:rsidR="00EF1DD5">
        <w:t xml:space="preserve">Arianogen or Mr Wafai misrepresented </w:t>
      </w:r>
      <w:r w:rsidR="00697518">
        <w:t>the content of the agreement</w:t>
      </w:r>
      <w:r w:rsidR="00C3260E">
        <w:t xml:space="preserve">. </w:t>
      </w:r>
      <w:r w:rsidR="001221F2">
        <w:t xml:space="preserve">Whether they did or not seems at least arguable based on what is before me. </w:t>
      </w:r>
    </w:p>
    <w:p w14:paraId="17B228B0" w14:textId="37A4126A" w:rsidR="00697518" w:rsidRDefault="00EB3784" w:rsidP="00EB3784">
      <w:r>
        <w:rPr>
          <w:rFonts w:eastAsia="Times New Roman" w:cs="Arial"/>
          <w:color w:val="000000"/>
          <w:szCs w:val="24"/>
          <w:lang w:val="en-US" w:eastAsia="en-ZA"/>
        </w:rPr>
        <w:t>[26]</w:t>
      </w:r>
      <w:r>
        <w:rPr>
          <w:rFonts w:eastAsia="Times New Roman" w:cs="Arial"/>
          <w:color w:val="000000"/>
          <w:szCs w:val="24"/>
          <w:lang w:val="en-US" w:eastAsia="en-ZA"/>
        </w:rPr>
        <w:tab/>
      </w:r>
      <w:r w:rsidR="001221F2">
        <w:t>If</w:t>
      </w:r>
      <w:r w:rsidR="008D5A6B">
        <w:t xml:space="preserve"> </w:t>
      </w:r>
      <w:r w:rsidR="006A6795">
        <w:t xml:space="preserve">they did misrepresent the content of the contract, there are two possibilities. If the mistake was so fundamental that there was no assent at all, then there was no </w:t>
      </w:r>
      <w:r w:rsidR="006A6795">
        <w:lastRenderedPageBreak/>
        <w:t>contract and it is void a</w:t>
      </w:r>
      <w:r w:rsidR="00E87B19">
        <w:t xml:space="preserve">b initio. If the mistake was not so fundamental, then </w:t>
      </w:r>
      <w:r w:rsidR="00090D47">
        <w:t xml:space="preserve">Casual Dining </w:t>
      </w:r>
      <w:r w:rsidR="008F7A57">
        <w:t>had an</w:t>
      </w:r>
      <w:r w:rsidR="00FD290C">
        <w:t xml:space="preserve"> elect</w:t>
      </w:r>
      <w:r w:rsidR="008F7A57">
        <w:t>ion;</w:t>
      </w:r>
      <w:r w:rsidR="00FD290C">
        <w:t xml:space="preserve"> to stand by the contract, or claim rescission</w:t>
      </w:r>
      <w:r w:rsidR="00E87B19">
        <w:t>.</w:t>
      </w:r>
      <w:r w:rsidR="00FD290C">
        <w:rPr>
          <w:rStyle w:val="FootnoteReference"/>
        </w:rPr>
        <w:footnoteReference w:id="4"/>
      </w:r>
    </w:p>
    <w:p w14:paraId="4B7AA073" w14:textId="1182215A" w:rsidR="00CF0A7B" w:rsidRDefault="00EB3784" w:rsidP="00EB3784">
      <w:r>
        <w:rPr>
          <w:rFonts w:eastAsia="Times New Roman" w:cs="Arial"/>
          <w:color w:val="000000"/>
          <w:szCs w:val="24"/>
          <w:lang w:val="en-US" w:eastAsia="en-ZA"/>
        </w:rPr>
        <w:t>[27]</w:t>
      </w:r>
      <w:r>
        <w:rPr>
          <w:rFonts w:eastAsia="Times New Roman" w:cs="Arial"/>
          <w:color w:val="000000"/>
          <w:szCs w:val="24"/>
          <w:lang w:val="en-US" w:eastAsia="en-ZA"/>
        </w:rPr>
        <w:tab/>
      </w:r>
      <w:r w:rsidR="00095B31">
        <w:t>I focus only on the first possibility. Mr Nathanael a</w:t>
      </w:r>
      <w:r w:rsidR="00275E52">
        <w:t>ttests that</w:t>
      </w:r>
      <w:r w:rsidR="00095B31">
        <w:t xml:space="preserve"> he believed he was signing Casual Dining’s standard form </w:t>
      </w:r>
      <w:r w:rsidR="001221F2">
        <w:t>franchise agreement</w:t>
      </w:r>
      <w:r w:rsidR="00607B5F">
        <w:t xml:space="preserve">, and that he would not have signed </w:t>
      </w:r>
      <w:r w:rsidR="00701AF7">
        <w:t>the agreement had he known it included the new clause.</w:t>
      </w:r>
      <w:r w:rsidR="00CF0A7B">
        <w:t xml:space="preserve"> It seems </w:t>
      </w:r>
      <w:r w:rsidR="00872B89">
        <w:t xml:space="preserve">at least </w:t>
      </w:r>
      <w:r w:rsidR="00CF0A7B">
        <w:t>arguable to me that</w:t>
      </w:r>
      <w:r w:rsidR="0038741F">
        <w:t xml:space="preserve"> th</w:t>
      </w:r>
      <w:r w:rsidR="00980F4A">
        <w:t xml:space="preserve">is mistake was so fundamental that </w:t>
      </w:r>
      <w:r w:rsidR="00872B89">
        <w:t>there was no meeting of minds, and therefore no contract.</w:t>
      </w:r>
      <w:r w:rsidR="00BF44DB">
        <w:t xml:space="preserve"> There is a significant difference between providing a franchise, and providing a “turnkey operation”. Not only would the cost be different, the </w:t>
      </w:r>
      <w:r w:rsidR="00BF44DB" w:rsidRPr="00EB3784">
        <w:rPr>
          <w:i/>
          <w:iCs/>
        </w:rPr>
        <w:t xml:space="preserve">thing </w:t>
      </w:r>
      <w:r w:rsidR="00BF44DB">
        <w:t>being sold is different.</w:t>
      </w:r>
      <w:r w:rsidR="00BF44DB">
        <w:rPr>
          <w:rStyle w:val="FootnoteReference"/>
        </w:rPr>
        <w:footnoteReference w:id="5"/>
      </w:r>
    </w:p>
    <w:p w14:paraId="7D9C076F" w14:textId="4D42C6F7" w:rsidR="00872B89" w:rsidRDefault="00EB3784" w:rsidP="00EB3784">
      <w:r>
        <w:rPr>
          <w:rFonts w:eastAsia="Times New Roman" w:cs="Arial"/>
          <w:color w:val="000000"/>
          <w:szCs w:val="24"/>
          <w:lang w:val="en-US" w:eastAsia="en-ZA"/>
        </w:rPr>
        <w:t>[28]</w:t>
      </w:r>
      <w:r>
        <w:rPr>
          <w:rFonts w:eastAsia="Times New Roman" w:cs="Arial"/>
          <w:color w:val="000000"/>
          <w:szCs w:val="24"/>
          <w:lang w:val="en-US" w:eastAsia="en-ZA"/>
        </w:rPr>
        <w:tab/>
      </w:r>
      <w:r w:rsidR="00872B89">
        <w:t xml:space="preserve">If Casual Dining can establish all this at trial – a misrepresentation, that induced the contract, that was so fundamental there was no agreement – then it will have an absolute defence to the claim as pleaded. That claim is framed as one </w:t>
      </w:r>
      <w:r w:rsidR="008136F3">
        <w:t>for restitution.</w:t>
      </w:r>
      <w:r w:rsidR="00495049">
        <w:t xml:space="preserve"> </w:t>
      </w:r>
      <w:r w:rsidR="008136F3">
        <w:t xml:space="preserve">It </w:t>
      </w:r>
      <w:r w:rsidR="00872B89">
        <w:t xml:space="preserve">relies on the existence of the contract, and the cancellation of that contract </w:t>
      </w:r>
      <w:r w:rsidR="00495049">
        <w:t>by Arianogen. If the</w:t>
      </w:r>
      <w:r w:rsidR="00827102">
        <w:t xml:space="preserve">re was no contract, the claim </w:t>
      </w:r>
      <w:r w:rsidR="00BA07A2">
        <w:t xml:space="preserve">for cancellation and restitution </w:t>
      </w:r>
      <w:r w:rsidR="00827102">
        <w:t>must fail.</w:t>
      </w:r>
    </w:p>
    <w:p w14:paraId="555F7830" w14:textId="045F7E71" w:rsidR="0096050B" w:rsidRDefault="00EB3784" w:rsidP="00EB3784">
      <w:r>
        <w:rPr>
          <w:rFonts w:eastAsia="Times New Roman" w:cs="Arial"/>
          <w:color w:val="000000"/>
          <w:szCs w:val="24"/>
          <w:lang w:val="en-US" w:eastAsia="en-ZA"/>
        </w:rPr>
        <w:t>[29]</w:t>
      </w:r>
      <w:r>
        <w:rPr>
          <w:rFonts w:eastAsia="Times New Roman" w:cs="Arial"/>
          <w:color w:val="000000"/>
          <w:szCs w:val="24"/>
          <w:lang w:val="en-US" w:eastAsia="en-ZA"/>
        </w:rPr>
        <w:tab/>
      </w:r>
      <w:r w:rsidR="00BA07A2">
        <w:t>T</w:t>
      </w:r>
      <w:r w:rsidR="00D60608">
        <w:t>he Applicants do not contend that it will not be possible at trial for Casual Dining to establish that there was no contract. They argue it would make no difference</w:t>
      </w:r>
      <w:r w:rsidR="00BB64E7">
        <w:t xml:space="preserve"> </w:t>
      </w:r>
      <w:r w:rsidR="00BB64E7">
        <w:lastRenderedPageBreak/>
        <w:t>because they would still be entitled to the return of the R901 000</w:t>
      </w:r>
      <w:r w:rsidR="00D60608">
        <w:t xml:space="preserve">. But it </w:t>
      </w:r>
      <w:r w:rsidR="00D60608" w:rsidRPr="00EB3784">
        <w:rPr>
          <w:i/>
          <w:iCs/>
        </w:rPr>
        <w:t>does</w:t>
      </w:r>
      <w:r w:rsidR="00D60608">
        <w:t xml:space="preserve"> make a difference. </w:t>
      </w:r>
      <w:r w:rsidR="00C3260E">
        <w:t>If there is no contract, then the Applicant’s case – as pleaded – will fail</w:t>
      </w:r>
      <w:r w:rsidR="00BA07A2">
        <w:t>.</w:t>
      </w:r>
    </w:p>
    <w:p w14:paraId="7C39AEB4" w14:textId="18DD5101" w:rsidR="00C3260E" w:rsidRDefault="00EB3784" w:rsidP="00EB3784">
      <w:r>
        <w:rPr>
          <w:rFonts w:eastAsia="Times New Roman" w:cs="Arial"/>
          <w:color w:val="000000"/>
          <w:szCs w:val="24"/>
          <w:lang w:val="en-US" w:eastAsia="en-ZA"/>
        </w:rPr>
        <w:t>[30]</w:t>
      </w:r>
      <w:r>
        <w:rPr>
          <w:rFonts w:eastAsia="Times New Roman" w:cs="Arial"/>
          <w:color w:val="000000"/>
          <w:szCs w:val="24"/>
          <w:lang w:val="en-US" w:eastAsia="en-ZA"/>
        </w:rPr>
        <w:tab/>
      </w:r>
      <w:r w:rsidR="00A239E4">
        <w:t>T</w:t>
      </w:r>
      <w:r w:rsidR="00C3260E">
        <w:t>he Applicants</w:t>
      </w:r>
      <w:r w:rsidR="005F3C75">
        <w:t xml:space="preserve"> </w:t>
      </w:r>
      <w:r w:rsidR="00A239E4">
        <w:t>likely have an</w:t>
      </w:r>
      <w:r w:rsidR="005F3C75">
        <w:t xml:space="preserve"> alternative claim of </w:t>
      </w:r>
      <w:r w:rsidR="0065099C">
        <w:t xml:space="preserve">unjust </w:t>
      </w:r>
      <w:r w:rsidR="005F3C75">
        <w:t>enrichment. They could plead</w:t>
      </w:r>
      <w:r w:rsidR="00C039B7">
        <w:t xml:space="preserve"> an alternative claim</w:t>
      </w:r>
      <w:r w:rsidR="005F3C75">
        <w:t xml:space="preserve"> that, if there was no contract because there was no meeting of the minds, that </w:t>
      </w:r>
      <w:r w:rsidR="002C3DE9">
        <w:t>Casual Dining has been unjustifiably enriched by R901</w:t>
      </w:r>
      <w:r w:rsidR="00B851E1">
        <w:t> </w:t>
      </w:r>
      <w:r w:rsidR="002C3DE9">
        <w:t>000</w:t>
      </w:r>
      <w:r w:rsidR="00B851E1">
        <w:t>, and they are entitled to payment of that amount</w:t>
      </w:r>
      <w:r w:rsidR="002C3DE9">
        <w:t>. But the</w:t>
      </w:r>
      <w:r w:rsidR="00B851E1">
        <w:t xml:space="preserve"> Applicants</w:t>
      </w:r>
      <w:r w:rsidR="002C3DE9">
        <w:t xml:space="preserve"> have </w:t>
      </w:r>
      <w:r w:rsidR="002C3DE9" w:rsidRPr="00EB3784">
        <w:rPr>
          <w:u w:val="single"/>
        </w:rPr>
        <w:t>not</w:t>
      </w:r>
      <w:r w:rsidR="002C3DE9">
        <w:t xml:space="preserve"> pleaded that case. They have only pleaded a case resting on cancellation of a contract. To that case, the</w:t>
      </w:r>
      <w:r w:rsidR="002A3993">
        <w:t xml:space="preserve"> Respondents have</w:t>
      </w:r>
      <w:r w:rsidR="002C3DE9">
        <w:t xml:space="preserve"> a bona fide defence.</w:t>
      </w:r>
    </w:p>
    <w:p w14:paraId="31FE0945" w14:textId="006CEFCF" w:rsidR="008B7C98" w:rsidRDefault="00EB3784" w:rsidP="00EB3784">
      <w:r>
        <w:rPr>
          <w:rFonts w:eastAsia="Times New Roman" w:cs="Arial"/>
          <w:color w:val="000000"/>
          <w:szCs w:val="24"/>
          <w:lang w:val="en-US" w:eastAsia="en-ZA"/>
        </w:rPr>
        <w:t>[31]</w:t>
      </w:r>
      <w:r>
        <w:rPr>
          <w:rFonts w:eastAsia="Times New Roman" w:cs="Arial"/>
          <w:color w:val="000000"/>
          <w:szCs w:val="24"/>
          <w:lang w:val="en-US" w:eastAsia="en-ZA"/>
        </w:rPr>
        <w:tab/>
      </w:r>
      <w:r w:rsidR="002C3DE9">
        <w:t xml:space="preserve">It is not necessary </w:t>
      </w:r>
      <w:r w:rsidR="001D6943">
        <w:t xml:space="preserve">to consider the merits of the Respondents’ </w:t>
      </w:r>
      <w:r w:rsidR="00E93273">
        <w:t xml:space="preserve">technical defences to summary judgment, or the bona fides of its </w:t>
      </w:r>
      <w:r w:rsidR="001D6943">
        <w:t>other defences</w:t>
      </w:r>
      <w:r w:rsidR="00E93273">
        <w:t xml:space="preserve"> on the merits</w:t>
      </w:r>
      <w:r w:rsidR="001D6943">
        <w:t xml:space="preserve">. The </w:t>
      </w:r>
      <w:r w:rsidR="008B7C98">
        <w:t xml:space="preserve">existence of </w:t>
      </w:r>
      <w:r w:rsidR="00E54D01">
        <w:t>one bona fide defence</w:t>
      </w:r>
      <w:r w:rsidR="001D6943">
        <w:t xml:space="preserve"> is enough to justify refusing summary judgment.</w:t>
      </w:r>
    </w:p>
    <w:p w14:paraId="4AD00639" w14:textId="668991FD" w:rsidR="002C3DE9" w:rsidRDefault="00EB3784" w:rsidP="00EB3784">
      <w:r>
        <w:rPr>
          <w:rFonts w:eastAsia="Times New Roman" w:cs="Arial"/>
          <w:color w:val="000000"/>
          <w:szCs w:val="24"/>
          <w:lang w:val="en-US" w:eastAsia="en-ZA"/>
        </w:rPr>
        <w:t>[32]</w:t>
      </w:r>
      <w:r>
        <w:rPr>
          <w:rFonts w:eastAsia="Times New Roman" w:cs="Arial"/>
          <w:color w:val="000000"/>
          <w:szCs w:val="24"/>
          <w:lang w:val="en-US" w:eastAsia="en-ZA"/>
        </w:rPr>
        <w:tab/>
      </w:r>
      <w:r w:rsidR="001D6943">
        <w:t xml:space="preserve">There is no reason that costs should not follow the result. </w:t>
      </w:r>
      <w:r w:rsidR="00AF03FC">
        <w:t xml:space="preserve">Casual Dining sought a special costs award in terms of rule 32(9)(a). I do not think such an order is justified. </w:t>
      </w:r>
      <w:r w:rsidR="00926766">
        <w:t xml:space="preserve">While I do not uphold the application for summary judgment, I do not believe it was </w:t>
      </w:r>
      <w:r w:rsidR="00FC7885">
        <w:t>abusive in the manner that rule contemplates.</w:t>
      </w:r>
    </w:p>
    <w:p w14:paraId="10EAE7AD" w14:textId="50F54693" w:rsidR="001D6943" w:rsidRDefault="00EB3784" w:rsidP="00EB3784">
      <w:r>
        <w:rPr>
          <w:rFonts w:eastAsia="Times New Roman" w:cs="Arial"/>
          <w:color w:val="000000"/>
          <w:szCs w:val="24"/>
          <w:lang w:val="en-US" w:eastAsia="en-ZA"/>
        </w:rPr>
        <w:t>[33]</w:t>
      </w:r>
      <w:r>
        <w:rPr>
          <w:rFonts w:eastAsia="Times New Roman" w:cs="Arial"/>
          <w:color w:val="000000"/>
          <w:szCs w:val="24"/>
          <w:lang w:val="en-US" w:eastAsia="en-ZA"/>
        </w:rPr>
        <w:tab/>
      </w:r>
      <w:r w:rsidR="00E54D01">
        <w:t xml:space="preserve">Accordingly, </w:t>
      </w:r>
      <w:r w:rsidR="001D6943">
        <w:t>I make the following order:</w:t>
      </w:r>
    </w:p>
    <w:p w14:paraId="61E79E1E" w14:textId="0D80FF5A" w:rsidR="001D6943" w:rsidRDefault="00EB3784" w:rsidP="00EB3784">
      <w:pPr>
        <w:ind w:left="720" w:hanging="360"/>
      </w:pPr>
      <w:r>
        <w:rPr>
          <w:rFonts w:eastAsia="Times New Roman" w:cs="Arial"/>
          <w:color w:val="000000"/>
          <w:szCs w:val="24"/>
          <w:lang w:val="en-US" w:eastAsia="en-ZA"/>
        </w:rPr>
        <w:t>1.</w:t>
      </w:r>
      <w:r>
        <w:rPr>
          <w:rFonts w:eastAsia="Times New Roman" w:cs="Arial"/>
          <w:color w:val="000000"/>
          <w:szCs w:val="24"/>
          <w:lang w:val="en-US" w:eastAsia="en-ZA"/>
        </w:rPr>
        <w:tab/>
      </w:r>
      <w:r w:rsidR="001D6943">
        <w:t>Th</w:t>
      </w:r>
      <w:r w:rsidR="00FC7885">
        <w:t>at th</w:t>
      </w:r>
      <w:r w:rsidR="001D6943">
        <w:t>e application for summary jud</w:t>
      </w:r>
      <w:r w:rsidR="00FC7885">
        <w:t>gment is dismissed.</w:t>
      </w:r>
    </w:p>
    <w:p w14:paraId="68A53CD3" w14:textId="6FF7FE9B" w:rsidR="00FC7885" w:rsidRDefault="00EB3784" w:rsidP="00EB3784">
      <w:pPr>
        <w:ind w:left="720" w:hanging="360"/>
      </w:pPr>
      <w:r>
        <w:rPr>
          <w:rFonts w:eastAsia="Times New Roman" w:cs="Arial"/>
          <w:color w:val="000000"/>
          <w:szCs w:val="24"/>
          <w:lang w:val="en-US" w:eastAsia="en-ZA"/>
        </w:rPr>
        <w:t>2.</w:t>
      </w:r>
      <w:r>
        <w:rPr>
          <w:rFonts w:eastAsia="Times New Roman" w:cs="Arial"/>
          <w:color w:val="000000"/>
          <w:szCs w:val="24"/>
          <w:lang w:val="en-US" w:eastAsia="en-ZA"/>
        </w:rPr>
        <w:tab/>
      </w:r>
      <w:r w:rsidR="00FC7885">
        <w:t>That the Applicants shall pay the First Respondent’s costs.</w:t>
      </w:r>
    </w:p>
    <w:p w14:paraId="7C1C3C1F" w14:textId="77777777" w:rsidR="00F23F50" w:rsidRDefault="00F23F50" w:rsidP="00F23F50"/>
    <w:p w14:paraId="2F60DBA8" w14:textId="77777777" w:rsidR="004C2E27" w:rsidRPr="00613EF5" w:rsidRDefault="004C2E27" w:rsidP="004C2E27">
      <w:pPr>
        <w:spacing w:after="80" w:line="240" w:lineRule="auto"/>
        <w:jc w:val="right"/>
        <w:rPr>
          <w:rFonts w:cs="Arial"/>
          <w:b/>
        </w:rPr>
      </w:pPr>
      <w:r w:rsidRPr="00613EF5">
        <w:rPr>
          <w:rFonts w:cs="Arial"/>
        </w:rPr>
        <w:t>____________________</w:t>
      </w:r>
    </w:p>
    <w:p w14:paraId="31D79187" w14:textId="77777777" w:rsidR="004C2E27" w:rsidRPr="00613EF5" w:rsidRDefault="004C2E27" w:rsidP="004C2E27">
      <w:pPr>
        <w:spacing w:after="80" w:line="240" w:lineRule="auto"/>
        <w:jc w:val="right"/>
        <w:rPr>
          <w:rFonts w:cs="Arial"/>
        </w:rPr>
      </w:pPr>
      <w:r w:rsidRPr="00613EF5">
        <w:rPr>
          <w:rFonts w:cs="Arial"/>
        </w:rPr>
        <w:t>M J BISHOP</w:t>
      </w:r>
    </w:p>
    <w:p w14:paraId="35F6A52F" w14:textId="77777777" w:rsidR="004C2E27" w:rsidRPr="00613EF5" w:rsidRDefault="004C2E27" w:rsidP="004C2E27">
      <w:pPr>
        <w:spacing w:after="80" w:line="240" w:lineRule="auto"/>
        <w:jc w:val="right"/>
        <w:rPr>
          <w:rFonts w:cs="Arial"/>
        </w:rPr>
      </w:pPr>
      <w:r w:rsidRPr="00613EF5">
        <w:rPr>
          <w:rFonts w:cs="Arial"/>
        </w:rPr>
        <w:t xml:space="preserve">Acting Judge of the High Court </w:t>
      </w:r>
    </w:p>
    <w:p w14:paraId="570329A1" w14:textId="77777777" w:rsidR="004C2E27" w:rsidRDefault="004C2E27" w:rsidP="00F23F50"/>
    <w:p w14:paraId="69E580BC" w14:textId="28FC53D0" w:rsidR="00F23F50" w:rsidRPr="00613EF5" w:rsidRDefault="00F23F50" w:rsidP="00F23F50">
      <w:pPr>
        <w:spacing w:after="80" w:line="240" w:lineRule="auto"/>
        <w:rPr>
          <w:rFonts w:cs="Arial"/>
          <w:b/>
        </w:rPr>
      </w:pPr>
      <w:r w:rsidRPr="00613EF5">
        <w:rPr>
          <w:rFonts w:cs="Arial"/>
          <w:b/>
        </w:rPr>
        <w:t>Counsel for Applicant</w:t>
      </w:r>
      <w:r w:rsidR="004C2E27">
        <w:rPr>
          <w:rFonts w:cs="Arial"/>
          <w:b/>
        </w:rPr>
        <w:t>s</w:t>
      </w:r>
      <w:r w:rsidRPr="00613EF5">
        <w:rPr>
          <w:rFonts w:cs="Arial"/>
          <w:b/>
        </w:rPr>
        <w:t>:</w:t>
      </w:r>
      <w:r w:rsidRPr="00613EF5">
        <w:rPr>
          <w:rFonts w:cs="Arial"/>
          <w:b/>
        </w:rPr>
        <w:tab/>
      </w:r>
      <w:r>
        <w:rPr>
          <w:rFonts w:cs="Arial"/>
          <w:b/>
        </w:rPr>
        <w:tab/>
      </w:r>
      <w:r>
        <w:rPr>
          <w:rFonts w:cs="Arial"/>
          <w:b/>
        </w:rPr>
        <w:tab/>
      </w:r>
      <w:r w:rsidRPr="00613EF5">
        <w:rPr>
          <w:rFonts w:cs="Arial"/>
          <w:b/>
        </w:rPr>
        <w:t xml:space="preserve">Adv </w:t>
      </w:r>
      <w:r w:rsidR="004C2E27">
        <w:rPr>
          <w:rFonts w:cs="Arial"/>
          <w:b/>
        </w:rPr>
        <w:t>P Tredoux</w:t>
      </w:r>
    </w:p>
    <w:p w14:paraId="461EDC75" w14:textId="73282E32" w:rsidR="004C2E27" w:rsidRDefault="00F23F50" w:rsidP="00F23F50">
      <w:pPr>
        <w:spacing w:after="80" w:line="240" w:lineRule="auto"/>
        <w:rPr>
          <w:rFonts w:cs="Arial"/>
          <w:i/>
        </w:rPr>
      </w:pPr>
      <w:r w:rsidRPr="00613EF5">
        <w:rPr>
          <w:rFonts w:cs="Arial"/>
          <w:i/>
        </w:rPr>
        <w:t>Attorneys for Applicant</w:t>
      </w:r>
      <w:r w:rsidR="004C2E27">
        <w:rPr>
          <w:rFonts w:cs="Arial"/>
          <w:i/>
        </w:rPr>
        <w:t>s</w:t>
      </w:r>
      <w:r w:rsidRPr="00613EF5">
        <w:rPr>
          <w:rFonts w:cs="Arial"/>
          <w:i/>
        </w:rPr>
        <w:t xml:space="preserve"> </w:t>
      </w:r>
      <w:r w:rsidRPr="00613EF5">
        <w:rPr>
          <w:rFonts w:cs="Arial"/>
          <w:i/>
        </w:rPr>
        <w:tab/>
      </w:r>
      <w:r w:rsidRPr="00613EF5">
        <w:rPr>
          <w:rFonts w:cs="Arial"/>
          <w:i/>
        </w:rPr>
        <w:tab/>
      </w:r>
      <w:r w:rsidRPr="00613EF5">
        <w:rPr>
          <w:rFonts w:cs="Arial"/>
          <w:i/>
        </w:rPr>
        <w:tab/>
      </w:r>
      <w:r w:rsidR="004C2E27">
        <w:rPr>
          <w:rFonts w:cs="Arial"/>
          <w:i/>
        </w:rPr>
        <w:t>JG Swart Attorneys Inc</w:t>
      </w:r>
    </w:p>
    <w:p w14:paraId="2488A874" w14:textId="4B2E311C" w:rsidR="00F23F50" w:rsidRPr="00613EF5" w:rsidRDefault="00F23F50" w:rsidP="00F23F50">
      <w:pPr>
        <w:spacing w:after="80" w:line="240" w:lineRule="auto"/>
        <w:rPr>
          <w:rFonts w:cs="Arial"/>
          <w:i/>
        </w:rPr>
      </w:pPr>
      <w:r w:rsidRPr="00613EF5">
        <w:rPr>
          <w:rFonts w:cs="Arial"/>
          <w:i/>
        </w:rPr>
        <w:tab/>
      </w:r>
      <w:r w:rsidRPr="00613EF5">
        <w:rPr>
          <w:rFonts w:cs="Arial"/>
          <w:i/>
        </w:rPr>
        <w:tab/>
      </w:r>
      <w:r w:rsidRPr="00613EF5">
        <w:rPr>
          <w:rFonts w:cs="Arial"/>
          <w:i/>
        </w:rPr>
        <w:tab/>
      </w:r>
    </w:p>
    <w:p w14:paraId="29B34328" w14:textId="00402811" w:rsidR="00F23F50" w:rsidRPr="00613EF5" w:rsidRDefault="00F23F50" w:rsidP="004C2E27">
      <w:pPr>
        <w:spacing w:after="80" w:line="240" w:lineRule="auto"/>
        <w:ind w:left="4320" w:hanging="4320"/>
        <w:rPr>
          <w:rFonts w:cs="Arial"/>
          <w:b/>
        </w:rPr>
      </w:pPr>
      <w:r w:rsidRPr="00613EF5">
        <w:rPr>
          <w:rFonts w:cs="Arial"/>
          <w:b/>
        </w:rPr>
        <w:t xml:space="preserve">Counsel for </w:t>
      </w:r>
      <w:r w:rsidR="004C2E27">
        <w:rPr>
          <w:rFonts w:cs="Arial"/>
          <w:b/>
        </w:rPr>
        <w:t>First Responden</w:t>
      </w:r>
      <w:r w:rsidRPr="00613EF5">
        <w:rPr>
          <w:rFonts w:cs="Arial"/>
          <w:b/>
        </w:rPr>
        <w:t>t:</w:t>
      </w:r>
      <w:r w:rsidRPr="00613EF5">
        <w:rPr>
          <w:rFonts w:cs="Arial"/>
          <w:b/>
        </w:rPr>
        <w:tab/>
        <w:t>Adv</w:t>
      </w:r>
      <w:r w:rsidR="002D73E2">
        <w:rPr>
          <w:rFonts w:cs="Arial"/>
          <w:b/>
        </w:rPr>
        <w:t xml:space="preserve"> BH Steyn</w:t>
      </w:r>
    </w:p>
    <w:p w14:paraId="4D950B76" w14:textId="7172C5F3" w:rsidR="00F23F50" w:rsidRDefault="00F23F50" w:rsidP="00DD719E">
      <w:pPr>
        <w:spacing w:after="80" w:line="240" w:lineRule="auto"/>
      </w:pPr>
      <w:r w:rsidRPr="00613EF5">
        <w:rPr>
          <w:rFonts w:cs="Arial"/>
          <w:i/>
        </w:rPr>
        <w:t>Attorneys for Applicant</w:t>
      </w:r>
      <w:r w:rsidRPr="00613EF5">
        <w:rPr>
          <w:rFonts w:cs="Arial"/>
          <w:i/>
        </w:rPr>
        <w:tab/>
      </w:r>
      <w:r w:rsidRPr="00613EF5">
        <w:rPr>
          <w:rFonts w:cs="Arial"/>
          <w:i/>
        </w:rPr>
        <w:tab/>
      </w:r>
      <w:r w:rsidRPr="00613EF5">
        <w:rPr>
          <w:rFonts w:cs="Arial"/>
          <w:i/>
        </w:rPr>
        <w:tab/>
      </w:r>
      <w:r w:rsidR="002D73E2">
        <w:rPr>
          <w:rFonts w:cs="Arial"/>
          <w:i/>
        </w:rPr>
        <w:t>Christo Coetzee Attorneys</w:t>
      </w:r>
    </w:p>
    <w:sectPr w:rsidR="00F23F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304FE" w14:textId="77777777" w:rsidR="0017013A" w:rsidRDefault="0017013A" w:rsidP="00BF2152">
      <w:pPr>
        <w:spacing w:after="0" w:line="240" w:lineRule="auto"/>
      </w:pPr>
      <w:r>
        <w:separator/>
      </w:r>
    </w:p>
  </w:endnote>
  <w:endnote w:type="continuationSeparator" w:id="0">
    <w:p w14:paraId="6A58CC87" w14:textId="77777777" w:rsidR="0017013A" w:rsidRDefault="0017013A"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3667" w14:textId="77777777" w:rsidR="0017013A" w:rsidRDefault="0017013A" w:rsidP="00BF2152">
      <w:pPr>
        <w:spacing w:after="0" w:line="240" w:lineRule="auto"/>
      </w:pPr>
      <w:r>
        <w:separator/>
      </w:r>
    </w:p>
  </w:footnote>
  <w:footnote w:type="continuationSeparator" w:id="0">
    <w:p w14:paraId="450B109F" w14:textId="77777777" w:rsidR="0017013A" w:rsidRDefault="0017013A" w:rsidP="00BF2152">
      <w:pPr>
        <w:spacing w:after="0" w:line="240" w:lineRule="auto"/>
      </w:pPr>
      <w:r>
        <w:continuationSeparator/>
      </w:r>
    </w:p>
  </w:footnote>
  <w:footnote w:id="1">
    <w:p w14:paraId="33B0E72B" w14:textId="65F0CBD8" w:rsidR="00F9244D" w:rsidRDefault="00F9244D">
      <w:pPr>
        <w:pStyle w:val="FootnoteText"/>
      </w:pPr>
      <w:r>
        <w:rPr>
          <w:rStyle w:val="FootnoteReference"/>
        </w:rPr>
        <w:footnoteRef/>
      </w:r>
      <w:r>
        <w:t xml:space="preserve"> The extra R600 seems to have got lost somewhere along the way.</w:t>
      </w:r>
    </w:p>
  </w:footnote>
  <w:footnote w:id="2">
    <w:p w14:paraId="3E6C50D9" w14:textId="77777777" w:rsidR="00186B83" w:rsidRPr="00E21DBA" w:rsidRDefault="00186B83" w:rsidP="00186B83">
      <w:pPr>
        <w:pStyle w:val="FootnoteText"/>
      </w:pPr>
      <w:r>
        <w:rPr>
          <w:rStyle w:val="FootnoteReference"/>
        </w:rPr>
        <w:footnoteRef/>
      </w:r>
      <w:r>
        <w:t xml:space="preserve"> </w:t>
      </w:r>
      <w:r>
        <w:rPr>
          <w:i/>
          <w:iCs/>
        </w:rPr>
        <w:t xml:space="preserve">Maharaj v Barclays National Bank Ltd </w:t>
      </w:r>
      <w:r w:rsidRPr="00DD2F2F">
        <w:t>1</w:t>
      </w:r>
      <w:r>
        <w:t>9</w:t>
      </w:r>
      <w:r w:rsidRPr="00DD2F2F">
        <w:t xml:space="preserve">79 (1) SA 418 (A) </w:t>
      </w:r>
      <w:r>
        <w:t>at 426C.</w:t>
      </w:r>
    </w:p>
  </w:footnote>
  <w:footnote w:id="3">
    <w:p w14:paraId="5EF02254" w14:textId="77777777" w:rsidR="00186B83" w:rsidRDefault="00186B83" w:rsidP="00186B83">
      <w:pPr>
        <w:pStyle w:val="FootnoteText"/>
      </w:pPr>
      <w:r>
        <w:rPr>
          <w:rStyle w:val="FootnoteReference"/>
        </w:rPr>
        <w:footnoteRef/>
      </w:r>
      <w:r>
        <w:t xml:space="preserve"> </w:t>
      </w:r>
      <w:r w:rsidRPr="008D430B">
        <w:rPr>
          <w:i/>
          <w:iCs/>
        </w:rPr>
        <w:t>Tumileng Trading C</w:t>
      </w:r>
      <w:r>
        <w:rPr>
          <w:i/>
          <w:iCs/>
        </w:rPr>
        <w:t>C v</w:t>
      </w:r>
      <w:r w:rsidRPr="008D430B">
        <w:rPr>
          <w:i/>
          <w:iCs/>
        </w:rPr>
        <w:t xml:space="preserve"> National Security </w:t>
      </w:r>
      <w:r>
        <w:rPr>
          <w:i/>
          <w:iCs/>
        </w:rPr>
        <w:t>a</w:t>
      </w:r>
      <w:r w:rsidRPr="008D430B">
        <w:rPr>
          <w:i/>
          <w:iCs/>
        </w:rPr>
        <w:t>nd Fire (Pty) Ltd</w:t>
      </w:r>
      <w:r>
        <w:t xml:space="preserve"> 2020 (6) SA 624 (WCC) at para 13.</w:t>
      </w:r>
    </w:p>
  </w:footnote>
  <w:footnote w:id="4">
    <w:p w14:paraId="65E0D754" w14:textId="53B0CF6E" w:rsidR="00FD290C" w:rsidRPr="00A30001" w:rsidRDefault="00FD290C">
      <w:pPr>
        <w:pStyle w:val="FootnoteText"/>
      </w:pPr>
      <w:r>
        <w:rPr>
          <w:rStyle w:val="FootnoteReference"/>
        </w:rPr>
        <w:footnoteRef/>
      </w:r>
      <w:r>
        <w:t xml:space="preserve"> </w:t>
      </w:r>
      <w:r w:rsidR="0025079B" w:rsidRPr="0025079B">
        <w:rPr>
          <w:i/>
          <w:iCs/>
        </w:rPr>
        <w:t xml:space="preserve">Brink </w:t>
      </w:r>
      <w:r w:rsidR="0025079B">
        <w:rPr>
          <w:i/>
          <w:iCs/>
        </w:rPr>
        <w:t>v</w:t>
      </w:r>
      <w:r w:rsidR="0025079B" w:rsidRPr="0025079B">
        <w:rPr>
          <w:i/>
          <w:iCs/>
        </w:rPr>
        <w:t xml:space="preserve"> Humphries &amp; Jewell (Pty) Ltd </w:t>
      </w:r>
      <w:r w:rsidR="0025079B">
        <w:t xml:space="preserve">2005 (2) SA 419 (SCA) at para 2 </w:t>
      </w:r>
      <w:r w:rsidR="00A30001">
        <w:t>(“The law recognises that it would be unconscionable for a person to enforce the terms of a document where he misled the signatory, whether intentionally or not. Where such a misrepresentation is material, the signatory can</w:t>
      </w:r>
      <w:bookmarkStart w:id="1" w:name="0-0-0-422935"/>
      <w:bookmarkEnd w:id="1"/>
      <w:r w:rsidR="00A30001">
        <w:t xml:space="preserve">  rescind the contract because of the misrepresentation, provided he can show that he would not have entered into the contract if he had known the truth. Where the misrepresentation results in a fundamental mistake, the 'contract' is void </w:t>
      </w:r>
      <w:r w:rsidR="00A30001">
        <w:rPr>
          <w:i/>
          <w:iCs/>
        </w:rPr>
        <w:t>ab initio.</w:t>
      </w:r>
      <w:r w:rsidR="00A30001">
        <w:t>”)</w:t>
      </w:r>
    </w:p>
  </w:footnote>
  <w:footnote w:id="5">
    <w:p w14:paraId="068E1512" w14:textId="608C1620" w:rsidR="00BF44DB" w:rsidRDefault="00BF44DB">
      <w:pPr>
        <w:pStyle w:val="FootnoteText"/>
      </w:pPr>
      <w:r>
        <w:rPr>
          <w:rStyle w:val="FootnoteReference"/>
        </w:rPr>
        <w:footnoteRef/>
      </w:r>
      <w:r>
        <w:t xml:space="preserve"> See</w:t>
      </w:r>
      <w:r w:rsidR="00437034">
        <w:t xml:space="preserve">, for example, </w:t>
      </w:r>
      <w:r w:rsidR="00437034" w:rsidRPr="00437034">
        <w:rPr>
          <w:i/>
          <w:iCs/>
        </w:rPr>
        <w:t xml:space="preserve">Maresky </w:t>
      </w:r>
      <w:r w:rsidR="00437034">
        <w:rPr>
          <w:i/>
          <w:iCs/>
        </w:rPr>
        <w:t>v</w:t>
      </w:r>
      <w:r w:rsidR="00437034" w:rsidRPr="00437034">
        <w:rPr>
          <w:i/>
          <w:iCs/>
        </w:rPr>
        <w:t xml:space="preserve"> Morke</w:t>
      </w:r>
      <w:r w:rsidR="00437034" w:rsidRPr="00437034">
        <w:t>L 1994 (1) SA 249 (C)</w:t>
      </w:r>
      <w:r w:rsidR="00437034">
        <w:t xml:space="preserve"> where mistake as to the nature of the merx meant the contract was void ab initio.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37112"/>
      <w:docPartObj>
        <w:docPartGallery w:val="Page Numbers (Top of Page)"/>
        <w:docPartUnique/>
      </w:docPartObj>
    </w:sdtPr>
    <w:sdtEndPr>
      <w:rPr>
        <w:noProof/>
      </w:rPr>
    </w:sdtEndPr>
    <w:sdtContent>
      <w:p w14:paraId="1C9DB0F4" w14:textId="3FEB1DBE" w:rsidR="00125331" w:rsidRDefault="00125331">
        <w:pPr>
          <w:pStyle w:val="Header"/>
          <w:jc w:val="right"/>
        </w:pPr>
        <w:r>
          <w:fldChar w:fldCharType="begin"/>
        </w:r>
        <w:r>
          <w:instrText xml:space="preserve"> PAGE   \* MERGEFORMAT </w:instrText>
        </w:r>
        <w:r>
          <w:fldChar w:fldCharType="separate"/>
        </w:r>
        <w:r w:rsidR="00EB3784">
          <w:rPr>
            <w:noProof/>
          </w:rPr>
          <w:t>1</w:t>
        </w:r>
        <w:r>
          <w:rPr>
            <w:noProof/>
          </w:rPr>
          <w:fldChar w:fldCharType="end"/>
        </w:r>
      </w:p>
    </w:sdtContent>
  </w:sdt>
  <w:p w14:paraId="530BB9C5" w14:textId="77777777" w:rsidR="00125331" w:rsidRDefault="001253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636315ED"/>
    <w:multiLevelType w:val="hybridMultilevel"/>
    <w:tmpl w:val="12F0C5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AB7EA048"/>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1"/>
  </w:num>
  <w:num w:numId="10">
    <w:abstractNumId w:val="1"/>
  </w:num>
  <w:num w:numId="11">
    <w:abstractNumId w:val="0"/>
  </w:num>
  <w:num w:numId="12">
    <w:abstractNumId w:val="4"/>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9A"/>
    <w:rsid w:val="000210A0"/>
    <w:rsid w:val="000226EF"/>
    <w:rsid w:val="00050535"/>
    <w:rsid w:val="00051682"/>
    <w:rsid w:val="000815E5"/>
    <w:rsid w:val="000825FB"/>
    <w:rsid w:val="00084814"/>
    <w:rsid w:val="0008542D"/>
    <w:rsid w:val="00090D47"/>
    <w:rsid w:val="00095B31"/>
    <w:rsid w:val="00096505"/>
    <w:rsid w:val="000A2B13"/>
    <w:rsid w:val="000A6AB0"/>
    <w:rsid w:val="000C69CC"/>
    <w:rsid w:val="001000C5"/>
    <w:rsid w:val="00104392"/>
    <w:rsid w:val="001221F2"/>
    <w:rsid w:val="00125331"/>
    <w:rsid w:val="00131488"/>
    <w:rsid w:val="001415AA"/>
    <w:rsid w:val="00150C8C"/>
    <w:rsid w:val="0017013A"/>
    <w:rsid w:val="00176A70"/>
    <w:rsid w:val="00177DAE"/>
    <w:rsid w:val="00186B83"/>
    <w:rsid w:val="00195D97"/>
    <w:rsid w:val="001A3E65"/>
    <w:rsid w:val="001C3FEC"/>
    <w:rsid w:val="001D6658"/>
    <w:rsid w:val="001D6943"/>
    <w:rsid w:val="001E7CA6"/>
    <w:rsid w:val="00207844"/>
    <w:rsid w:val="00217C8F"/>
    <w:rsid w:val="0023003F"/>
    <w:rsid w:val="0023619E"/>
    <w:rsid w:val="0025079B"/>
    <w:rsid w:val="0026796C"/>
    <w:rsid w:val="00270C71"/>
    <w:rsid w:val="00275E52"/>
    <w:rsid w:val="00282F01"/>
    <w:rsid w:val="002848FA"/>
    <w:rsid w:val="002A129F"/>
    <w:rsid w:val="002A3993"/>
    <w:rsid w:val="002C3DE9"/>
    <w:rsid w:val="002D73E2"/>
    <w:rsid w:val="002D7E32"/>
    <w:rsid w:val="002E6FDE"/>
    <w:rsid w:val="002F2694"/>
    <w:rsid w:val="003071C6"/>
    <w:rsid w:val="00307B21"/>
    <w:rsid w:val="00317421"/>
    <w:rsid w:val="00333322"/>
    <w:rsid w:val="00341143"/>
    <w:rsid w:val="0035748C"/>
    <w:rsid w:val="00361333"/>
    <w:rsid w:val="003627C7"/>
    <w:rsid w:val="00375847"/>
    <w:rsid w:val="00383FD6"/>
    <w:rsid w:val="0038741F"/>
    <w:rsid w:val="00392CDB"/>
    <w:rsid w:val="003A4827"/>
    <w:rsid w:val="003B2B2C"/>
    <w:rsid w:val="003C0782"/>
    <w:rsid w:val="0040487B"/>
    <w:rsid w:val="00410E20"/>
    <w:rsid w:val="00411492"/>
    <w:rsid w:val="00416954"/>
    <w:rsid w:val="00417797"/>
    <w:rsid w:val="004221C1"/>
    <w:rsid w:val="00427224"/>
    <w:rsid w:val="00437034"/>
    <w:rsid w:val="00452FAB"/>
    <w:rsid w:val="00453192"/>
    <w:rsid w:val="00495049"/>
    <w:rsid w:val="004C2E27"/>
    <w:rsid w:val="004C6043"/>
    <w:rsid w:val="004F4AE1"/>
    <w:rsid w:val="00503699"/>
    <w:rsid w:val="00510B36"/>
    <w:rsid w:val="0053688C"/>
    <w:rsid w:val="0053731B"/>
    <w:rsid w:val="0054057D"/>
    <w:rsid w:val="00560A8E"/>
    <w:rsid w:val="005614F5"/>
    <w:rsid w:val="00594630"/>
    <w:rsid w:val="005B2349"/>
    <w:rsid w:val="005B4A6C"/>
    <w:rsid w:val="005F057F"/>
    <w:rsid w:val="005F3C75"/>
    <w:rsid w:val="00601873"/>
    <w:rsid w:val="00607B5F"/>
    <w:rsid w:val="00610190"/>
    <w:rsid w:val="00616510"/>
    <w:rsid w:val="006226FF"/>
    <w:rsid w:val="00627679"/>
    <w:rsid w:val="006352BB"/>
    <w:rsid w:val="0063538F"/>
    <w:rsid w:val="0065099C"/>
    <w:rsid w:val="006513CB"/>
    <w:rsid w:val="00661175"/>
    <w:rsid w:val="006658FB"/>
    <w:rsid w:val="00680F0C"/>
    <w:rsid w:val="006912AC"/>
    <w:rsid w:val="00694AB6"/>
    <w:rsid w:val="00697518"/>
    <w:rsid w:val="006A0D27"/>
    <w:rsid w:val="006A6795"/>
    <w:rsid w:val="006B2924"/>
    <w:rsid w:val="006B4772"/>
    <w:rsid w:val="006D38E1"/>
    <w:rsid w:val="006D42C4"/>
    <w:rsid w:val="006D768B"/>
    <w:rsid w:val="006F2CF1"/>
    <w:rsid w:val="006F3A8F"/>
    <w:rsid w:val="00701AF7"/>
    <w:rsid w:val="00720080"/>
    <w:rsid w:val="00724618"/>
    <w:rsid w:val="00725516"/>
    <w:rsid w:val="007264FA"/>
    <w:rsid w:val="007416E9"/>
    <w:rsid w:val="007434FF"/>
    <w:rsid w:val="007478F5"/>
    <w:rsid w:val="007564DA"/>
    <w:rsid w:val="00757782"/>
    <w:rsid w:val="007735F0"/>
    <w:rsid w:val="0077674A"/>
    <w:rsid w:val="00781330"/>
    <w:rsid w:val="00795A9A"/>
    <w:rsid w:val="007A59DA"/>
    <w:rsid w:val="007E35E8"/>
    <w:rsid w:val="008136F3"/>
    <w:rsid w:val="00827102"/>
    <w:rsid w:val="00832B71"/>
    <w:rsid w:val="00835AE6"/>
    <w:rsid w:val="00867ED7"/>
    <w:rsid w:val="00872B89"/>
    <w:rsid w:val="008766EB"/>
    <w:rsid w:val="00886EA9"/>
    <w:rsid w:val="008871E0"/>
    <w:rsid w:val="0089433B"/>
    <w:rsid w:val="008A40A9"/>
    <w:rsid w:val="008A4784"/>
    <w:rsid w:val="008A4CF9"/>
    <w:rsid w:val="008A5879"/>
    <w:rsid w:val="008B2370"/>
    <w:rsid w:val="008B7C98"/>
    <w:rsid w:val="008C7234"/>
    <w:rsid w:val="008D5A6B"/>
    <w:rsid w:val="008E3715"/>
    <w:rsid w:val="008F7A57"/>
    <w:rsid w:val="0090487F"/>
    <w:rsid w:val="00926766"/>
    <w:rsid w:val="00932369"/>
    <w:rsid w:val="00932DC3"/>
    <w:rsid w:val="0096050B"/>
    <w:rsid w:val="00977812"/>
    <w:rsid w:val="00980F4A"/>
    <w:rsid w:val="009A0E7C"/>
    <w:rsid w:val="009C136D"/>
    <w:rsid w:val="009D1258"/>
    <w:rsid w:val="009D24A8"/>
    <w:rsid w:val="009E7E8F"/>
    <w:rsid w:val="00A14FF4"/>
    <w:rsid w:val="00A239E4"/>
    <w:rsid w:val="00A30001"/>
    <w:rsid w:val="00A550B5"/>
    <w:rsid w:val="00A856E1"/>
    <w:rsid w:val="00A901DD"/>
    <w:rsid w:val="00AA1545"/>
    <w:rsid w:val="00AE3171"/>
    <w:rsid w:val="00AF03FC"/>
    <w:rsid w:val="00B07E68"/>
    <w:rsid w:val="00B10D3A"/>
    <w:rsid w:val="00B20473"/>
    <w:rsid w:val="00B407E9"/>
    <w:rsid w:val="00B44E51"/>
    <w:rsid w:val="00B62875"/>
    <w:rsid w:val="00B74916"/>
    <w:rsid w:val="00B75A0B"/>
    <w:rsid w:val="00B851E1"/>
    <w:rsid w:val="00BA07A2"/>
    <w:rsid w:val="00BB64E7"/>
    <w:rsid w:val="00BB6F65"/>
    <w:rsid w:val="00BC74DE"/>
    <w:rsid w:val="00BD2D0A"/>
    <w:rsid w:val="00BE3D7B"/>
    <w:rsid w:val="00BF2152"/>
    <w:rsid w:val="00BF44DB"/>
    <w:rsid w:val="00C039B7"/>
    <w:rsid w:val="00C07783"/>
    <w:rsid w:val="00C32295"/>
    <w:rsid w:val="00C3260E"/>
    <w:rsid w:val="00C409E8"/>
    <w:rsid w:val="00C43B64"/>
    <w:rsid w:val="00C47857"/>
    <w:rsid w:val="00C540A2"/>
    <w:rsid w:val="00C540A4"/>
    <w:rsid w:val="00C71E31"/>
    <w:rsid w:val="00C7402C"/>
    <w:rsid w:val="00C83CF4"/>
    <w:rsid w:val="00C8586B"/>
    <w:rsid w:val="00C9737A"/>
    <w:rsid w:val="00CB3F89"/>
    <w:rsid w:val="00CB45FD"/>
    <w:rsid w:val="00CB536C"/>
    <w:rsid w:val="00CB5ADC"/>
    <w:rsid w:val="00CE2C7C"/>
    <w:rsid w:val="00CE61D2"/>
    <w:rsid w:val="00CF0A7B"/>
    <w:rsid w:val="00CF1273"/>
    <w:rsid w:val="00CF23B9"/>
    <w:rsid w:val="00D004FF"/>
    <w:rsid w:val="00D05CD1"/>
    <w:rsid w:val="00D12FCB"/>
    <w:rsid w:val="00D2039A"/>
    <w:rsid w:val="00D26F2C"/>
    <w:rsid w:val="00D439ED"/>
    <w:rsid w:val="00D45307"/>
    <w:rsid w:val="00D470F1"/>
    <w:rsid w:val="00D60608"/>
    <w:rsid w:val="00D61DBD"/>
    <w:rsid w:val="00D7658C"/>
    <w:rsid w:val="00D86B99"/>
    <w:rsid w:val="00D92E21"/>
    <w:rsid w:val="00D9620F"/>
    <w:rsid w:val="00DB3188"/>
    <w:rsid w:val="00DB7C94"/>
    <w:rsid w:val="00DC6668"/>
    <w:rsid w:val="00DD6FE1"/>
    <w:rsid w:val="00DD719E"/>
    <w:rsid w:val="00DE0549"/>
    <w:rsid w:val="00E0758F"/>
    <w:rsid w:val="00E10698"/>
    <w:rsid w:val="00E25FA5"/>
    <w:rsid w:val="00E54D01"/>
    <w:rsid w:val="00E66EFE"/>
    <w:rsid w:val="00E71608"/>
    <w:rsid w:val="00E81638"/>
    <w:rsid w:val="00E843DE"/>
    <w:rsid w:val="00E87B19"/>
    <w:rsid w:val="00E93273"/>
    <w:rsid w:val="00EA0088"/>
    <w:rsid w:val="00EA7DEB"/>
    <w:rsid w:val="00EB23FA"/>
    <w:rsid w:val="00EB3784"/>
    <w:rsid w:val="00ED1F44"/>
    <w:rsid w:val="00EF0106"/>
    <w:rsid w:val="00EF1DD5"/>
    <w:rsid w:val="00F05CB6"/>
    <w:rsid w:val="00F157E6"/>
    <w:rsid w:val="00F23F50"/>
    <w:rsid w:val="00F27820"/>
    <w:rsid w:val="00F372F2"/>
    <w:rsid w:val="00F45D1F"/>
    <w:rsid w:val="00F655E1"/>
    <w:rsid w:val="00F67860"/>
    <w:rsid w:val="00F82E5B"/>
    <w:rsid w:val="00F9244D"/>
    <w:rsid w:val="00FA3237"/>
    <w:rsid w:val="00FA76FF"/>
    <w:rsid w:val="00FB06B7"/>
    <w:rsid w:val="00FB4BA0"/>
    <w:rsid w:val="00FC7885"/>
    <w:rsid w:val="00FD0D7B"/>
    <w:rsid w:val="00FD290C"/>
    <w:rsid w:val="00FD4EED"/>
    <w:rsid w:val="00FE232C"/>
    <w:rsid w:val="00FF35B1"/>
    <w:rsid w:val="00FF38BE"/>
    <w:rsid w:val="00FF40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2A38"/>
  <w15:chartTrackingRefBased/>
  <w15:docId w15:val="{FABF40B4-A11B-4B10-94CC-2417A5D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2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31"/>
    <w:rPr>
      <w:rFonts w:ascii="Arial" w:eastAsia="Calibri" w:hAnsi="Arial" w:cs="Times New Roman"/>
      <w:sz w:val="24"/>
    </w:rPr>
  </w:style>
  <w:style w:type="paragraph" w:styleId="Footer">
    <w:name w:val="footer"/>
    <w:basedOn w:val="Normal"/>
    <w:link w:val="FooterChar"/>
    <w:uiPriority w:val="99"/>
    <w:unhideWhenUsed/>
    <w:rsid w:val="0012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331"/>
    <w:rPr>
      <w:rFonts w:ascii="Arial" w:eastAsia="Calibri" w:hAnsi="Arial" w:cs="Times New Roman"/>
      <w:sz w:val="24"/>
    </w:rPr>
  </w:style>
  <w:style w:type="character" w:customStyle="1" w:styleId="g1">
    <w:name w:val="g1"/>
    <w:basedOn w:val="DefaultParagraphFont"/>
    <w:rsid w:val="00A30001"/>
  </w:style>
  <w:style w:type="character" w:styleId="Hyperlink">
    <w:name w:val="Hyperlink"/>
    <w:basedOn w:val="DefaultParagraphFont"/>
    <w:uiPriority w:val="99"/>
    <w:semiHidden/>
    <w:unhideWhenUsed/>
    <w:rsid w:val="00A30001"/>
    <w:rPr>
      <w:color w:val="0000FF"/>
      <w:u w:val="single"/>
    </w:rPr>
  </w:style>
  <w:style w:type="character" w:customStyle="1" w:styleId="mc">
    <w:name w:val="mc"/>
    <w:basedOn w:val="DefaultParagraphFont"/>
    <w:rsid w:val="00A3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28E0.21B01B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Legal Template</Template>
  <TotalTime>0</TotalTime>
  <Pages>11</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191</cp:revision>
  <dcterms:created xsi:type="dcterms:W3CDTF">2023-11-29T14:12:00Z</dcterms:created>
  <dcterms:modified xsi:type="dcterms:W3CDTF">2024-01-10T13:56:00Z</dcterms:modified>
</cp:coreProperties>
</file>