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27FD" w14:textId="77777777" w:rsidR="007C6C3D" w:rsidRPr="0010696C" w:rsidRDefault="007C6C3D" w:rsidP="007C6C3D">
      <w:pPr>
        <w:spacing w:after="58" w:line="259" w:lineRule="auto"/>
        <w:jc w:val="left"/>
        <w:rPr>
          <w:rFonts w:ascii="Times New Roman" w:eastAsia="Times New Roman" w:hAnsi="Times New Roman"/>
          <w:color w:val="000000"/>
          <w:szCs w:val="24"/>
          <w:lang w:val="en-GB"/>
        </w:rPr>
      </w:pPr>
      <w:r w:rsidRPr="0010696C">
        <w:rPr>
          <w:rFonts w:ascii="Times New Roman" w:eastAsia="Times New Roman" w:hAnsi="Times New Roman"/>
          <w:b/>
          <w:noProof/>
          <w:color w:val="000000"/>
          <w:szCs w:val="24"/>
          <w:lang w:val="en-GB"/>
        </w:rPr>
        <w:drawing>
          <wp:anchor distT="0" distB="0" distL="114300" distR="114300" simplePos="0" relativeHeight="251659264" behindDoc="1" locked="0" layoutInCell="1" allowOverlap="1" wp14:anchorId="36E2BD70" wp14:editId="338A55B8">
            <wp:simplePos x="0" y="0"/>
            <wp:positionH relativeFrom="margin">
              <wp:align>center</wp:align>
            </wp:positionH>
            <wp:positionV relativeFrom="paragraph">
              <wp:posOffset>8890</wp:posOffset>
            </wp:positionV>
            <wp:extent cx="1219200" cy="12287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1D893" w14:textId="77777777" w:rsidR="007C6C3D" w:rsidRPr="0010696C" w:rsidRDefault="007C6C3D" w:rsidP="007C6C3D">
      <w:pPr>
        <w:spacing w:after="222" w:line="269" w:lineRule="auto"/>
        <w:ind w:right="158"/>
        <w:jc w:val="left"/>
        <w:rPr>
          <w:rFonts w:ascii="Times New Roman" w:eastAsia="Times New Roman" w:hAnsi="Times New Roman"/>
          <w:color w:val="000000"/>
          <w:szCs w:val="24"/>
          <w:lang w:val="en-GB"/>
        </w:rPr>
      </w:pPr>
    </w:p>
    <w:p w14:paraId="315E33B4" w14:textId="77777777" w:rsidR="007C6C3D" w:rsidRPr="0010696C" w:rsidRDefault="007C6C3D" w:rsidP="007C6C3D">
      <w:pPr>
        <w:spacing w:after="222" w:line="269" w:lineRule="auto"/>
        <w:ind w:right="158"/>
        <w:jc w:val="left"/>
        <w:rPr>
          <w:rFonts w:ascii="Times New Roman" w:eastAsia="Times New Roman" w:hAnsi="Times New Roman"/>
          <w:color w:val="000000"/>
          <w:szCs w:val="24"/>
          <w:lang w:val="en-GB"/>
        </w:rPr>
      </w:pPr>
    </w:p>
    <w:p w14:paraId="05F251FE" w14:textId="77777777" w:rsidR="007C6C3D" w:rsidRPr="0010696C" w:rsidRDefault="007C6C3D" w:rsidP="007C6C3D">
      <w:pPr>
        <w:spacing w:after="222" w:line="269" w:lineRule="auto"/>
        <w:ind w:right="158"/>
        <w:rPr>
          <w:rFonts w:ascii="Times New Roman" w:eastAsia="Times New Roman" w:hAnsi="Times New Roman"/>
          <w:color w:val="000000"/>
          <w:szCs w:val="24"/>
          <w:lang w:val="en-GB"/>
        </w:rPr>
      </w:pPr>
    </w:p>
    <w:p w14:paraId="3C402955" w14:textId="77777777" w:rsidR="007C6C3D" w:rsidRPr="0010696C" w:rsidRDefault="007C6C3D" w:rsidP="007C6C3D">
      <w:pPr>
        <w:spacing w:after="222" w:line="269" w:lineRule="auto"/>
        <w:ind w:right="158"/>
        <w:rPr>
          <w:rFonts w:ascii="Times New Roman" w:eastAsia="Times New Roman" w:hAnsi="Times New Roman"/>
          <w:color w:val="000000"/>
          <w:szCs w:val="24"/>
          <w:lang w:val="en-GB"/>
        </w:rPr>
      </w:pPr>
    </w:p>
    <w:p w14:paraId="047E743B" w14:textId="77777777" w:rsidR="007C6C3D" w:rsidRPr="0010696C" w:rsidRDefault="007C6C3D" w:rsidP="007C6C3D">
      <w:pPr>
        <w:spacing w:after="222" w:line="269" w:lineRule="auto"/>
        <w:ind w:left="-90" w:right="158"/>
        <w:jc w:val="center"/>
        <w:rPr>
          <w:rFonts w:ascii="Times New Roman" w:eastAsia="Times New Roman" w:hAnsi="Times New Roman"/>
          <w:color w:val="000000"/>
          <w:sz w:val="20"/>
          <w:szCs w:val="20"/>
          <w:lang w:val="en-GB"/>
        </w:rPr>
      </w:pPr>
      <w:r w:rsidRPr="0010696C">
        <w:rPr>
          <w:rFonts w:ascii="Times New Roman" w:eastAsia="Times New Roman" w:hAnsi="Times New Roman"/>
          <w:color w:val="000000"/>
          <w:sz w:val="20"/>
          <w:szCs w:val="20"/>
          <w:lang w:val="en-GB"/>
        </w:rPr>
        <w:t>Republic of South Africa</w:t>
      </w:r>
    </w:p>
    <w:p w14:paraId="023DA074" w14:textId="77777777" w:rsidR="007C6C3D" w:rsidRPr="0010696C" w:rsidRDefault="007C6C3D" w:rsidP="007C6C3D">
      <w:pPr>
        <w:spacing w:line="265" w:lineRule="auto"/>
        <w:jc w:val="center"/>
        <w:rPr>
          <w:rFonts w:ascii="Times New Roman" w:eastAsia="Times New Roman" w:hAnsi="Times New Roman"/>
          <w:color w:val="000000"/>
          <w:szCs w:val="24"/>
          <w:lang w:val="en-GB"/>
        </w:rPr>
      </w:pPr>
      <w:r w:rsidRPr="0010696C">
        <w:rPr>
          <w:rFonts w:ascii="Times New Roman" w:eastAsia="Times New Roman" w:hAnsi="Times New Roman"/>
          <w:color w:val="000000"/>
          <w:szCs w:val="24"/>
          <w:lang w:val="en-GB"/>
        </w:rPr>
        <w:t>IN THE HIGH COURT OF SOUTH AFRICA</w:t>
      </w:r>
    </w:p>
    <w:p w14:paraId="11412B48" w14:textId="77777777" w:rsidR="007C6C3D" w:rsidRPr="0010696C" w:rsidRDefault="007C6C3D" w:rsidP="007C6C3D">
      <w:pPr>
        <w:spacing w:after="477" w:line="265" w:lineRule="auto"/>
        <w:jc w:val="center"/>
        <w:rPr>
          <w:rFonts w:ascii="Times New Roman" w:eastAsia="Times New Roman" w:hAnsi="Times New Roman"/>
          <w:color w:val="000000"/>
          <w:szCs w:val="24"/>
          <w:lang w:val="en-GB"/>
        </w:rPr>
      </w:pPr>
      <w:r w:rsidRPr="0010696C">
        <w:rPr>
          <w:rFonts w:ascii="Times New Roman" w:eastAsia="Times New Roman" w:hAnsi="Times New Roman"/>
          <w:color w:val="000000"/>
          <w:szCs w:val="24"/>
          <w:lang w:val="en-GB"/>
        </w:rPr>
        <w:t>(WESTERN CAPE DIVISION, CAPE TOWN)</w:t>
      </w:r>
    </w:p>
    <w:p w14:paraId="0C2611EC" w14:textId="07EF7A0A" w:rsidR="007C6C3D" w:rsidRPr="0010696C" w:rsidRDefault="007C6C3D" w:rsidP="007C6C3D">
      <w:pPr>
        <w:jc w:val="center"/>
        <w:rPr>
          <w:rFonts w:ascii="Times New Roman" w:eastAsiaTheme="minorHAnsi" w:hAnsi="Times New Roman"/>
          <w:sz w:val="22"/>
          <w:lang w:val="en-GB"/>
        </w:rPr>
      </w:pPr>
      <w:r w:rsidRPr="0010696C">
        <w:rPr>
          <w:rFonts w:ascii="Times New Roman" w:eastAsiaTheme="minorHAnsi" w:hAnsi="Times New Roman"/>
          <w:sz w:val="22"/>
          <w:lang w:val="en-GB"/>
        </w:rPr>
        <w:t>Before:  Acting Justice</w:t>
      </w:r>
      <w:r w:rsidR="00E21547">
        <w:rPr>
          <w:rFonts w:ascii="Times New Roman" w:eastAsiaTheme="minorHAnsi" w:hAnsi="Times New Roman"/>
          <w:sz w:val="22"/>
          <w:lang w:val="en-GB"/>
        </w:rPr>
        <w:t xml:space="preserve"> HJ</w:t>
      </w:r>
      <w:r w:rsidRPr="0010696C">
        <w:rPr>
          <w:rFonts w:ascii="Times New Roman" w:eastAsiaTheme="minorHAnsi" w:hAnsi="Times New Roman"/>
          <w:sz w:val="22"/>
          <w:lang w:val="en-GB"/>
        </w:rPr>
        <w:t xml:space="preserve"> </w:t>
      </w:r>
      <w:r w:rsidR="00E21547">
        <w:rPr>
          <w:rFonts w:ascii="Times New Roman" w:eastAsiaTheme="minorHAnsi" w:hAnsi="Times New Roman"/>
          <w:sz w:val="22"/>
          <w:lang w:val="en-GB"/>
        </w:rPr>
        <w:t>d</w:t>
      </w:r>
      <w:r w:rsidRPr="0010696C">
        <w:rPr>
          <w:rFonts w:ascii="Times New Roman" w:eastAsiaTheme="minorHAnsi" w:hAnsi="Times New Roman"/>
          <w:sz w:val="22"/>
          <w:lang w:val="en-GB"/>
        </w:rPr>
        <w:t>e Waal</w:t>
      </w:r>
    </w:p>
    <w:p w14:paraId="2B8A4E06" w14:textId="77777777" w:rsidR="007C6C3D" w:rsidRPr="0010696C" w:rsidRDefault="007C6C3D" w:rsidP="007C6C3D">
      <w:pPr>
        <w:jc w:val="center"/>
        <w:rPr>
          <w:rFonts w:ascii="Times New Roman" w:eastAsiaTheme="minorHAnsi" w:hAnsi="Times New Roman"/>
          <w:sz w:val="22"/>
          <w:lang w:val="en-GB"/>
        </w:rPr>
      </w:pPr>
      <w:r w:rsidRPr="0010696C">
        <w:rPr>
          <w:rFonts w:ascii="Times New Roman" w:eastAsiaTheme="minorHAnsi" w:hAnsi="Times New Roman"/>
          <w:sz w:val="22"/>
          <w:lang w:val="en-GB"/>
        </w:rPr>
        <w:t>Date of hearing:  29 November 2023</w:t>
      </w:r>
    </w:p>
    <w:p w14:paraId="73DFF400" w14:textId="11BC8393" w:rsidR="007C6C3D" w:rsidRPr="0010696C" w:rsidRDefault="007C6C3D" w:rsidP="007C6C3D">
      <w:pPr>
        <w:jc w:val="center"/>
        <w:rPr>
          <w:rFonts w:ascii="Times New Roman" w:eastAsiaTheme="minorHAnsi" w:hAnsi="Times New Roman"/>
          <w:szCs w:val="24"/>
          <w:lang w:val="en-GB"/>
        </w:rPr>
      </w:pPr>
      <w:r w:rsidRPr="0010696C">
        <w:rPr>
          <w:rFonts w:ascii="Times New Roman" w:eastAsiaTheme="minorHAnsi" w:hAnsi="Times New Roman"/>
          <w:sz w:val="22"/>
          <w:lang w:val="en-GB"/>
        </w:rPr>
        <w:t xml:space="preserve">Date of judgment: </w:t>
      </w:r>
      <w:r w:rsidR="00F32FD7" w:rsidRPr="0010696C">
        <w:rPr>
          <w:rFonts w:ascii="Times New Roman" w:eastAsiaTheme="minorHAnsi" w:hAnsi="Times New Roman"/>
          <w:sz w:val="22"/>
          <w:lang w:val="en-GB"/>
        </w:rPr>
        <w:t xml:space="preserve"> </w:t>
      </w:r>
      <w:r w:rsidR="00A45705">
        <w:rPr>
          <w:rFonts w:ascii="Times New Roman" w:eastAsiaTheme="minorHAnsi" w:hAnsi="Times New Roman"/>
          <w:sz w:val="22"/>
          <w:lang w:val="en-GB"/>
        </w:rPr>
        <w:t>3</w:t>
      </w:r>
      <w:r w:rsidR="002E5D2F" w:rsidRPr="0010696C">
        <w:rPr>
          <w:rFonts w:ascii="Times New Roman" w:eastAsiaTheme="minorHAnsi" w:hAnsi="Times New Roman"/>
          <w:sz w:val="22"/>
          <w:lang w:val="en-GB"/>
        </w:rPr>
        <w:t>1</w:t>
      </w:r>
      <w:r w:rsidR="00F32FD7" w:rsidRPr="0010696C">
        <w:rPr>
          <w:rFonts w:ascii="Times New Roman" w:eastAsiaTheme="minorHAnsi" w:hAnsi="Times New Roman"/>
          <w:sz w:val="22"/>
          <w:lang w:val="en-GB"/>
        </w:rPr>
        <w:t> </w:t>
      </w:r>
      <w:r w:rsidRPr="0010696C">
        <w:rPr>
          <w:rFonts w:ascii="Times New Roman" w:eastAsiaTheme="minorHAnsi" w:hAnsi="Times New Roman"/>
          <w:sz w:val="22"/>
          <w:lang w:val="en-GB"/>
        </w:rPr>
        <w:t>December 2023</w:t>
      </w:r>
    </w:p>
    <w:p w14:paraId="14D34D7C" w14:textId="77777777" w:rsidR="007C6C3D" w:rsidRPr="0010696C" w:rsidRDefault="007C6C3D" w:rsidP="007C6C3D">
      <w:pPr>
        <w:spacing w:line="360" w:lineRule="auto"/>
        <w:rPr>
          <w:rFonts w:ascii="Times New Roman" w:eastAsiaTheme="minorHAnsi" w:hAnsi="Times New Roman"/>
          <w:szCs w:val="24"/>
          <w:lang w:val="en-GB"/>
        </w:rPr>
      </w:pPr>
    </w:p>
    <w:p w14:paraId="00CF662F" w14:textId="3B89FA15" w:rsidR="002422A5" w:rsidRPr="0010696C" w:rsidRDefault="002422A5" w:rsidP="005734A6">
      <w:pPr>
        <w:spacing w:line="360" w:lineRule="auto"/>
        <w:ind w:left="5670" w:right="95"/>
        <w:jc w:val="right"/>
        <w:rPr>
          <w:rFonts w:ascii="Times New Roman" w:eastAsiaTheme="minorHAnsi" w:hAnsi="Times New Roman"/>
          <w:szCs w:val="24"/>
          <w:lang w:val="en-GB"/>
        </w:rPr>
      </w:pPr>
      <w:r w:rsidRPr="0010696C">
        <w:rPr>
          <w:rFonts w:ascii="Times New Roman" w:eastAsiaTheme="minorHAnsi" w:hAnsi="Times New Roman"/>
          <w:szCs w:val="24"/>
          <w:lang w:val="en-GB"/>
        </w:rPr>
        <w:t xml:space="preserve">Case No:  </w:t>
      </w:r>
      <w:r w:rsidR="00F539C9" w:rsidRPr="0010696C">
        <w:rPr>
          <w:rFonts w:ascii="Times New Roman" w:hAnsi="Times New Roman"/>
          <w:szCs w:val="24"/>
          <w:lang w:val="en-GB"/>
        </w:rPr>
        <w:t>16589</w:t>
      </w:r>
      <w:r w:rsidR="007C6C3D" w:rsidRPr="0010696C">
        <w:rPr>
          <w:rFonts w:ascii="Times New Roman" w:hAnsi="Times New Roman"/>
          <w:szCs w:val="24"/>
          <w:lang w:val="en-GB"/>
        </w:rPr>
        <w:t xml:space="preserve"> </w:t>
      </w:r>
      <w:r w:rsidR="00F539C9" w:rsidRPr="0010696C">
        <w:rPr>
          <w:rFonts w:ascii="Times New Roman" w:hAnsi="Times New Roman"/>
          <w:szCs w:val="24"/>
          <w:lang w:val="en-GB"/>
        </w:rPr>
        <w:t>/</w:t>
      </w:r>
      <w:r w:rsidR="007C6C3D" w:rsidRPr="0010696C">
        <w:rPr>
          <w:rFonts w:ascii="Times New Roman" w:hAnsi="Times New Roman"/>
          <w:szCs w:val="24"/>
          <w:lang w:val="en-GB"/>
        </w:rPr>
        <w:t xml:space="preserve"> </w:t>
      </w:r>
      <w:r w:rsidR="00F539C9" w:rsidRPr="0010696C">
        <w:rPr>
          <w:rFonts w:ascii="Times New Roman" w:hAnsi="Times New Roman"/>
          <w:szCs w:val="24"/>
          <w:lang w:val="en-GB"/>
        </w:rPr>
        <w:t>23</w:t>
      </w:r>
    </w:p>
    <w:p w14:paraId="0DBDA6D2" w14:textId="77777777" w:rsidR="008E6AD2" w:rsidRPr="0010696C" w:rsidRDefault="008E6AD2" w:rsidP="002422A5">
      <w:pPr>
        <w:spacing w:line="360" w:lineRule="auto"/>
        <w:rPr>
          <w:rFonts w:ascii="Times New Roman" w:eastAsiaTheme="minorHAnsi" w:hAnsi="Times New Roman"/>
          <w:szCs w:val="24"/>
          <w:lang w:val="en-GB"/>
        </w:rPr>
      </w:pPr>
    </w:p>
    <w:p w14:paraId="603DE9C2"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 xml:space="preserve">GOLDSTAR FINANCE (PTY) LTD </w:t>
      </w:r>
      <w:r w:rsidRPr="0010696C">
        <w:rPr>
          <w:rFonts w:ascii="Times New Roman" w:hAnsi="Times New Roman"/>
          <w:b/>
          <w:bCs/>
          <w:szCs w:val="24"/>
          <w:lang w:val="en-GB"/>
        </w:rPr>
        <w:tab/>
      </w:r>
      <w:r w:rsidRPr="0010696C">
        <w:rPr>
          <w:rFonts w:ascii="Times New Roman" w:hAnsi="Times New Roman"/>
          <w:szCs w:val="24"/>
          <w:lang w:val="en-GB"/>
        </w:rPr>
        <w:t>1</w:t>
      </w:r>
      <w:r w:rsidRPr="0010696C">
        <w:rPr>
          <w:rFonts w:ascii="Times New Roman" w:hAnsi="Times New Roman"/>
          <w:szCs w:val="24"/>
          <w:vertAlign w:val="superscript"/>
          <w:lang w:val="en-GB"/>
        </w:rPr>
        <w:t>st</w:t>
      </w:r>
      <w:r w:rsidRPr="0010696C">
        <w:rPr>
          <w:rFonts w:ascii="Times New Roman" w:hAnsi="Times New Roman"/>
          <w:szCs w:val="24"/>
          <w:lang w:val="en-GB"/>
        </w:rPr>
        <w:t xml:space="preserve"> Applicant</w:t>
      </w:r>
    </w:p>
    <w:p w14:paraId="423DA279"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LIGHTWARM TRADING (PTY) LTD</w:t>
      </w:r>
      <w:r w:rsidRPr="0010696C">
        <w:rPr>
          <w:rFonts w:ascii="Times New Roman" w:hAnsi="Times New Roman"/>
          <w:b/>
          <w:bCs/>
          <w:szCs w:val="24"/>
          <w:lang w:val="en-GB"/>
        </w:rPr>
        <w:tab/>
      </w:r>
      <w:r w:rsidRPr="0010696C">
        <w:rPr>
          <w:rFonts w:ascii="Times New Roman" w:hAnsi="Times New Roman"/>
          <w:szCs w:val="24"/>
          <w:lang w:val="en-GB"/>
        </w:rPr>
        <w:t>2</w:t>
      </w:r>
      <w:r w:rsidRPr="0010696C">
        <w:rPr>
          <w:rFonts w:ascii="Times New Roman" w:hAnsi="Times New Roman"/>
          <w:szCs w:val="24"/>
          <w:vertAlign w:val="superscript"/>
          <w:lang w:val="en-GB"/>
        </w:rPr>
        <w:t>nd</w:t>
      </w:r>
      <w:r w:rsidRPr="0010696C">
        <w:rPr>
          <w:rFonts w:ascii="Times New Roman" w:hAnsi="Times New Roman"/>
          <w:szCs w:val="24"/>
          <w:lang w:val="en-GB"/>
        </w:rPr>
        <w:t xml:space="preserve"> Applicant</w:t>
      </w:r>
    </w:p>
    <w:p w14:paraId="518EE47B"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CKP FINANCE (PTY) LTD</w:t>
      </w:r>
      <w:r w:rsidRPr="0010696C">
        <w:rPr>
          <w:rFonts w:ascii="Times New Roman" w:hAnsi="Times New Roman"/>
          <w:b/>
          <w:bCs/>
          <w:szCs w:val="24"/>
          <w:lang w:val="en-GB"/>
        </w:rPr>
        <w:tab/>
      </w:r>
      <w:r w:rsidRPr="0010696C">
        <w:rPr>
          <w:rFonts w:ascii="Times New Roman" w:hAnsi="Times New Roman"/>
          <w:szCs w:val="24"/>
          <w:lang w:val="en-GB"/>
        </w:rPr>
        <w:t>3</w:t>
      </w:r>
      <w:r w:rsidRPr="0010696C">
        <w:rPr>
          <w:rFonts w:ascii="Times New Roman" w:hAnsi="Times New Roman"/>
          <w:szCs w:val="24"/>
          <w:vertAlign w:val="superscript"/>
          <w:lang w:val="en-GB"/>
        </w:rPr>
        <w:t>rd</w:t>
      </w:r>
      <w:r w:rsidRPr="0010696C">
        <w:rPr>
          <w:rFonts w:ascii="Times New Roman" w:hAnsi="Times New Roman"/>
          <w:szCs w:val="24"/>
          <w:lang w:val="en-GB"/>
        </w:rPr>
        <w:t xml:space="preserve"> Applicant</w:t>
      </w:r>
    </w:p>
    <w:p w14:paraId="71E02B6E"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WENGYAN ADVANCE (PTY) LTD</w:t>
      </w:r>
      <w:r w:rsidRPr="0010696C">
        <w:rPr>
          <w:rFonts w:ascii="Times New Roman" w:hAnsi="Times New Roman"/>
          <w:b/>
          <w:bCs/>
          <w:szCs w:val="24"/>
          <w:lang w:val="en-GB"/>
        </w:rPr>
        <w:tab/>
      </w:r>
      <w:r w:rsidRPr="0010696C">
        <w:rPr>
          <w:rFonts w:ascii="Times New Roman" w:hAnsi="Times New Roman"/>
          <w:szCs w:val="24"/>
          <w:lang w:val="en-GB"/>
        </w:rPr>
        <w:t>4</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3FEF189E"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CCH MICROFINANCE (PTY) LTD</w:t>
      </w:r>
      <w:r w:rsidRPr="0010696C">
        <w:rPr>
          <w:rFonts w:ascii="Times New Roman" w:hAnsi="Times New Roman"/>
          <w:b/>
          <w:bCs/>
          <w:szCs w:val="24"/>
          <w:lang w:val="en-GB"/>
        </w:rPr>
        <w:tab/>
      </w:r>
      <w:r w:rsidRPr="0010696C">
        <w:rPr>
          <w:rFonts w:ascii="Times New Roman" w:hAnsi="Times New Roman"/>
          <w:szCs w:val="24"/>
          <w:lang w:val="en-GB"/>
        </w:rPr>
        <w:t>5</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52903067"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ECONSTANT (PTY) LTD</w:t>
      </w:r>
      <w:r w:rsidRPr="0010696C">
        <w:rPr>
          <w:rFonts w:ascii="Times New Roman" w:hAnsi="Times New Roman"/>
          <w:b/>
          <w:bCs/>
          <w:szCs w:val="24"/>
          <w:lang w:val="en-GB"/>
        </w:rPr>
        <w:tab/>
      </w:r>
      <w:r w:rsidRPr="0010696C">
        <w:rPr>
          <w:rFonts w:ascii="Times New Roman" w:hAnsi="Times New Roman"/>
          <w:szCs w:val="24"/>
          <w:lang w:val="en-GB"/>
        </w:rPr>
        <w:t>6</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009DB271"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CORZILLA (PTY) LTD</w:t>
      </w:r>
      <w:r w:rsidRPr="0010696C">
        <w:rPr>
          <w:rFonts w:ascii="Times New Roman" w:hAnsi="Times New Roman"/>
          <w:b/>
          <w:bCs/>
          <w:szCs w:val="24"/>
          <w:lang w:val="en-GB"/>
        </w:rPr>
        <w:tab/>
      </w:r>
      <w:r w:rsidRPr="0010696C">
        <w:rPr>
          <w:rFonts w:ascii="Times New Roman" w:hAnsi="Times New Roman"/>
          <w:szCs w:val="24"/>
          <w:lang w:val="en-GB"/>
        </w:rPr>
        <w:t>7</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3CD3566B"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MAGIFIN (PTY) LTD</w:t>
      </w:r>
      <w:r w:rsidRPr="0010696C">
        <w:rPr>
          <w:rFonts w:ascii="Times New Roman" w:hAnsi="Times New Roman"/>
          <w:b/>
          <w:bCs/>
          <w:szCs w:val="24"/>
          <w:lang w:val="en-GB"/>
        </w:rPr>
        <w:tab/>
      </w:r>
      <w:r w:rsidRPr="0010696C">
        <w:rPr>
          <w:rFonts w:ascii="Times New Roman" w:hAnsi="Times New Roman"/>
          <w:szCs w:val="24"/>
          <w:lang w:val="en-GB"/>
        </w:rPr>
        <w:t>8</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12A717A6"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CORISON TRADING (PTY) LTD</w:t>
      </w:r>
      <w:r w:rsidRPr="0010696C">
        <w:rPr>
          <w:rFonts w:ascii="Times New Roman" w:hAnsi="Times New Roman"/>
          <w:b/>
          <w:bCs/>
          <w:szCs w:val="24"/>
          <w:lang w:val="en-GB"/>
        </w:rPr>
        <w:tab/>
      </w:r>
      <w:r w:rsidRPr="0010696C">
        <w:rPr>
          <w:rFonts w:ascii="Times New Roman" w:hAnsi="Times New Roman"/>
          <w:szCs w:val="24"/>
          <w:lang w:val="en-GB"/>
        </w:rPr>
        <w:t>9</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2F42F2E7"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HYPER WARE (PTY) LTD</w:t>
      </w:r>
      <w:r w:rsidRPr="0010696C">
        <w:rPr>
          <w:rFonts w:ascii="Times New Roman" w:hAnsi="Times New Roman"/>
          <w:b/>
          <w:bCs/>
          <w:szCs w:val="24"/>
          <w:lang w:val="en-GB"/>
        </w:rPr>
        <w:tab/>
      </w:r>
      <w:r w:rsidRPr="0010696C">
        <w:rPr>
          <w:rFonts w:ascii="Times New Roman" w:hAnsi="Times New Roman"/>
          <w:szCs w:val="24"/>
          <w:lang w:val="en-GB"/>
        </w:rPr>
        <w:t>10</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366D5937"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ZG ADVANCE (PTY) LTD</w:t>
      </w:r>
      <w:r w:rsidRPr="0010696C">
        <w:rPr>
          <w:rFonts w:ascii="Times New Roman" w:hAnsi="Times New Roman"/>
          <w:b/>
          <w:bCs/>
          <w:szCs w:val="24"/>
          <w:lang w:val="en-GB"/>
        </w:rPr>
        <w:tab/>
      </w:r>
      <w:r w:rsidRPr="0010696C">
        <w:rPr>
          <w:rFonts w:ascii="Times New Roman" w:hAnsi="Times New Roman"/>
          <w:szCs w:val="24"/>
          <w:lang w:val="en-GB"/>
        </w:rPr>
        <w:t>11</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1C046FE5"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FUGUO MICOR LEND (PTY) LTD</w:t>
      </w:r>
      <w:r w:rsidRPr="0010696C">
        <w:rPr>
          <w:rFonts w:ascii="Times New Roman" w:hAnsi="Times New Roman"/>
          <w:b/>
          <w:bCs/>
          <w:szCs w:val="24"/>
          <w:lang w:val="en-GB"/>
        </w:rPr>
        <w:tab/>
      </w:r>
      <w:r w:rsidRPr="0010696C">
        <w:rPr>
          <w:rFonts w:ascii="Times New Roman" w:hAnsi="Times New Roman"/>
          <w:szCs w:val="24"/>
          <w:lang w:val="en-GB"/>
        </w:rPr>
        <w:t>12</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714560A8"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CXQ MICRO LENDING (PTY) LTD</w:t>
      </w:r>
      <w:r w:rsidRPr="0010696C">
        <w:rPr>
          <w:rFonts w:ascii="Times New Roman" w:hAnsi="Times New Roman"/>
          <w:b/>
          <w:bCs/>
          <w:szCs w:val="24"/>
          <w:lang w:val="en-GB"/>
        </w:rPr>
        <w:tab/>
      </w:r>
      <w:r w:rsidRPr="0010696C">
        <w:rPr>
          <w:rFonts w:ascii="Times New Roman" w:hAnsi="Times New Roman"/>
          <w:szCs w:val="24"/>
          <w:lang w:val="en-GB"/>
        </w:rPr>
        <w:t>13</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0D99FD47"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DABING (PTY) LTD</w:t>
      </w:r>
      <w:r w:rsidRPr="0010696C">
        <w:rPr>
          <w:rFonts w:ascii="Times New Roman" w:hAnsi="Times New Roman"/>
          <w:b/>
          <w:bCs/>
          <w:szCs w:val="24"/>
          <w:lang w:val="en-GB"/>
        </w:rPr>
        <w:tab/>
      </w:r>
      <w:r w:rsidRPr="0010696C">
        <w:rPr>
          <w:rFonts w:ascii="Times New Roman" w:hAnsi="Times New Roman"/>
          <w:szCs w:val="24"/>
          <w:lang w:val="en-GB"/>
        </w:rPr>
        <w:t>14</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6796442A"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WENG XIUPING FINANCE (PTY) LTD</w:t>
      </w:r>
      <w:r w:rsidRPr="0010696C">
        <w:rPr>
          <w:rFonts w:ascii="Times New Roman" w:hAnsi="Times New Roman"/>
          <w:b/>
          <w:bCs/>
          <w:szCs w:val="24"/>
          <w:lang w:val="en-GB"/>
        </w:rPr>
        <w:tab/>
      </w:r>
      <w:r w:rsidRPr="0010696C">
        <w:rPr>
          <w:rFonts w:ascii="Times New Roman" w:hAnsi="Times New Roman"/>
          <w:szCs w:val="24"/>
          <w:lang w:val="en-GB"/>
        </w:rPr>
        <w:t>15</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0AC1E204"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ZHUANG LIANGJIAN (PTY) LTD</w:t>
      </w:r>
      <w:r w:rsidRPr="0010696C">
        <w:rPr>
          <w:rFonts w:ascii="Times New Roman" w:hAnsi="Times New Roman"/>
          <w:b/>
          <w:bCs/>
          <w:szCs w:val="24"/>
          <w:lang w:val="en-GB"/>
        </w:rPr>
        <w:tab/>
      </w:r>
      <w:r w:rsidRPr="0010696C">
        <w:rPr>
          <w:rFonts w:ascii="Times New Roman" w:hAnsi="Times New Roman"/>
          <w:szCs w:val="24"/>
          <w:lang w:val="en-GB"/>
        </w:rPr>
        <w:t>16</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4B08765D"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ZHUANG HONGHUI (PTY) LTD</w:t>
      </w:r>
      <w:r w:rsidRPr="0010696C">
        <w:rPr>
          <w:rFonts w:ascii="Times New Roman" w:hAnsi="Times New Roman"/>
          <w:b/>
          <w:bCs/>
          <w:szCs w:val="24"/>
          <w:lang w:val="en-GB"/>
        </w:rPr>
        <w:tab/>
      </w:r>
      <w:r w:rsidRPr="0010696C">
        <w:rPr>
          <w:rFonts w:ascii="Times New Roman" w:hAnsi="Times New Roman"/>
          <w:szCs w:val="24"/>
          <w:lang w:val="en-GB"/>
        </w:rPr>
        <w:t>17</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1EB1AF7E"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HELPLW (PTY) LTD</w:t>
      </w:r>
      <w:r w:rsidRPr="0010696C">
        <w:rPr>
          <w:rFonts w:ascii="Times New Roman" w:hAnsi="Times New Roman"/>
          <w:b/>
          <w:bCs/>
          <w:szCs w:val="24"/>
          <w:lang w:val="en-GB"/>
        </w:rPr>
        <w:tab/>
      </w:r>
      <w:r w:rsidRPr="0010696C">
        <w:rPr>
          <w:rFonts w:ascii="Times New Roman" w:hAnsi="Times New Roman"/>
          <w:szCs w:val="24"/>
          <w:lang w:val="en-GB"/>
        </w:rPr>
        <w:t>18</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21A64938"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YAN YANHUI (PTY) LTD</w:t>
      </w:r>
      <w:r w:rsidRPr="0010696C">
        <w:rPr>
          <w:rFonts w:ascii="Times New Roman" w:hAnsi="Times New Roman"/>
          <w:b/>
          <w:bCs/>
          <w:szCs w:val="24"/>
          <w:lang w:val="en-GB"/>
        </w:rPr>
        <w:tab/>
      </w:r>
      <w:r w:rsidRPr="0010696C">
        <w:rPr>
          <w:rFonts w:ascii="Times New Roman" w:hAnsi="Times New Roman"/>
          <w:szCs w:val="24"/>
          <w:lang w:val="en-GB"/>
        </w:rPr>
        <w:t>19</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0353B806"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ZHUANG JIANGRONG (PTY) LTD</w:t>
      </w:r>
      <w:r w:rsidRPr="0010696C">
        <w:rPr>
          <w:rFonts w:ascii="Times New Roman" w:hAnsi="Times New Roman"/>
          <w:b/>
          <w:bCs/>
          <w:szCs w:val="24"/>
          <w:lang w:val="en-GB"/>
        </w:rPr>
        <w:tab/>
      </w:r>
      <w:r w:rsidRPr="0010696C">
        <w:rPr>
          <w:rFonts w:ascii="Times New Roman" w:hAnsi="Times New Roman"/>
          <w:szCs w:val="24"/>
          <w:lang w:val="en-GB"/>
        </w:rPr>
        <w:t>20</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3DC76704"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WENG FENGYUN (PTY) LTD</w:t>
      </w:r>
      <w:r w:rsidRPr="0010696C">
        <w:rPr>
          <w:rFonts w:ascii="Times New Roman" w:hAnsi="Times New Roman"/>
          <w:b/>
          <w:bCs/>
          <w:szCs w:val="24"/>
          <w:lang w:val="en-GB"/>
        </w:rPr>
        <w:tab/>
      </w:r>
      <w:r w:rsidRPr="0010696C">
        <w:rPr>
          <w:rFonts w:ascii="Times New Roman" w:hAnsi="Times New Roman"/>
          <w:szCs w:val="24"/>
          <w:lang w:val="en-GB"/>
        </w:rPr>
        <w:t>21</w:t>
      </w:r>
      <w:r w:rsidRPr="0010696C">
        <w:rPr>
          <w:rFonts w:ascii="Times New Roman" w:hAnsi="Times New Roman"/>
          <w:szCs w:val="24"/>
          <w:vertAlign w:val="superscript"/>
          <w:lang w:val="en-GB"/>
        </w:rPr>
        <w:t>st</w:t>
      </w:r>
      <w:r w:rsidRPr="0010696C">
        <w:rPr>
          <w:rFonts w:ascii="Times New Roman" w:hAnsi="Times New Roman"/>
          <w:szCs w:val="24"/>
          <w:lang w:val="en-GB"/>
        </w:rPr>
        <w:t xml:space="preserve"> Applicant</w:t>
      </w:r>
    </w:p>
    <w:p w14:paraId="25C7DE12"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YAN MINGHUA (PTY) LTD</w:t>
      </w:r>
      <w:r w:rsidRPr="0010696C">
        <w:rPr>
          <w:rFonts w:ascii="Times New Roman" w:hAnsi="Times New Roman"/>
          <w:b/>
          <w:bCs/>
          <w:szCs w:val="24"/>
          <w:lang w:val="en-GB"/>
        </w:rPr>
        <w:tab/>
      </w:r>
      <w:r w:rsidRPr="0010696C">
        <w:rPr>
          <w:rFonts w:ascii="Times New Roman" w:hAnsi="Times New Roman"/>
          <w:szCs w:val="24"/>
          <w:lang w:val="en-GB"/>
        </w:rPr>
        <w:t>22</w:t>
      </w:r>
      <w:r w:rsidRPr="0010696C">
        <w:rPr>
          <w:rFonts w:ascii="Times New Roman" w:hAnsi="Times New Roman"/>
          <w:szCs w:val="24"/>
          <w:vertAlign w:val="superscript"/>
          <w:lang w:val="en-GB"/>
        </w:rPr>
        <w:t xml:space="preserve">nd </w:t>
      </w:r>
      <w:r w:rsidRPr="0010696C">
        <w:rPr>
          <w:rFonts w:ascii="Times New Roman" w:hAnsi="Times New Roman"/>
          <w:szCs w:val="24"/>
          <w:lang w:val="en-GB"/>
        </w:rPr>
        <w:t>Applicant</w:t>
      </w:r>
    </w:p>
    <w:p w14:paraId="7F9F2C4E"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QING FENG (PTY) LTD</w:t>
      </w:r>
      <w:r w:rsidRPr="0010696C">
        <w:rPr>
          <w:rFonts w:ascii="Times New Roman" w:hAnsi="Times New Roman"/>
          <w:b/>
          <w:bCs/>
          <w:szCs w:val="24"/>
          <w:lang w:val="en-GB"/>
        </w:rPr>
        <w:tab/>
      </w:r>
      <w:r w:rsidRPr="0010696C">
        <w:rPr>
          <w:rFonts w:ascii="Times New Roman" w:hAnsi="Times New Roman"/>
          <w:szCs w:val="24"/>
          <w:lang w:val="en-GB"/>
        </w:rPr>
        <w:t>23</w:t>
      </w:r>
      <w:r w:rsidRPr="0010696C">
        <w:rPr>
          <w:rFonts w:ascii="Times New Roman" w:hAnsi="Times New Roman"/>
          <w:szCs w:val="24"/>
          <w:vertAlign w:val="superscript"/>
          <w:lang w:val="en-GB"/>
        </w:rPr>
        <w:t>rd</w:t>
      </w:r>
      <w:r w:rsidRPr="0010696C">
        <w:rPr>
          <w:rFonts w:ascii="Times New Roman" w:hAnsi="Times New Roman"/>
          <w:szCs w:val="24"/>
          <w:lang w:val="en-GB"/>
        </w:rPr>
        <w:t xml:space="preserve"> Applicant</w:t>
      </w:r>
    </w:p>
    <w:p w14:paraId="1873AF63"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ZHUANG LINGZHU (PTY) LTD</w:t>
      </w:r>
      <w:r w:rsidRPr="0010696C">
        <w:rPr>
          <w:rFonts w:ascii="Times New Roman" w:hAnsi="Times New Roman"/>
          <w:b/>
          <w:bCs/>
          <w:szCs w:val="24"/>
          <w:lang w:val="en-GB"/>
        </w:rPr>
        <w:tab/>
      </w:r>
      <w:r w:rsidRPr="0010696C">
        <w:rPr>
          <w:rFonts w:ascii="Times New Roman" w:hAnsi="Times New Roman"/>
          <w:szCs w:val="24"/>
          <w:lang w:val="en-GB"/>
        </w:rPr>
        <w:t>24</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291C36F8"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ZHAO HAIQIONG (PTY) LTD</w:t>
      </w:r>
      <w:r w:rsidRPr="0010696C">
        <w:rPr>
          <w:rFonts w:ascii="Times New Roman" w:hAnsi="Times New Roman"/>
          <w:b/>
          <w:bCs/>
          <w:szCs w:val="24"/>
          <w:lang w:val="en-GB"/>
        </w:rPr>
        <w:tab/>
      </w:r>
      <w:r w:rsidRPr="0010696C">
        <w:rPr>
          <w:rFonts w:ascii="Times New Roman" w:hAnsi="Times New Roman"/>
          <w:szCs w:val="24"/>
          <w:lang w:val="en-GB"/>
        </w:rPr>
        <w:t>25</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3A757EF1" w14:textId="77777777" w:rsidR="008E6AD2" w:rsidRPr="0010696C" w:rsidRDefault="008E6AD2" w:rsidP="005734A6">
      <w:pPr>
        <w:tabs>
          <w:tab w:val="left" w:pos="0"/>
          <w:tab w:val="right" w:pos="8931"/>
        </w:tabs>
        <w:rPr>
          <w:rFonts w:ascii="Times New Roman" w:hAnsi="Times New Roman"/>
          <w:b/>
          <w:bCs/>
          <w:szCs w:val="24"/>
          <w:lang w:val="en-GB"/>
        </w:rPr>
      </w:pPr>
      <w:r w:rsidRPr="0010696C">
        <w:rPr>
          <w:rFonts w:ascii="Times New Roman" w:hAnsi="Times New Roman"/>
          <w:b/>
          <w:bCs/>
          <w:szCs w:val="24"/>
          <w:lang w:val="en-GB"/>
        </w:rPr>
        <w:t>CM FINANCE (PTY) LTD</w:t>
      </w:r>
      <w:r w:rsidRPr="0010696C">
        <w:rPr>
          <w:rFonts w:ascii="Times New Roman" w:hAnsi="Times New Roman"/>
          <w:b/>
          <w:bCs/>
          <w:szCs w:val="24"/>
          <w:lang w:val="en-GB"/>
        </w:rPr>
        <w:tab/>
      </w:r>
      <w:r w:rsidRPr="0010696C">
        <w:rPr>
          <w:rFonts w:ascii="Times New Roman" w:hAnsi="Times New Roman"/>
          <w:szCs w:val="24"/>
          <w:lang w:val="en-GB"/>
        </w:rPr>
        <w:t>26</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4893BBE4"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ZHUANG XIANGHUA (PTY) LTD</w:t>
      </w:r>
      <w:r w:rsidRPr="0010696C">
        <w:rPr>
          <w:rFonts w:ascii="Times New Roman" w:hAnsi="Times New Roman"/>
          <w:b/>
          <w:bCs/>
          <w:szCs w:val="24"/>
          <w:lang w:val="en-GB"/>
        </w:rPr>
        <w:tab/>
      </w:r>
      <w:r w:rsidRPr="0010696C">
        <w:rPr>
          <w:rFonts w:ascii="Times New Roman" w:hAnsi="Times New Roman"/>
          <w:szCs w:val="24"/>
          <w:lang w:val="en-GB"/>
        </w:rPr>
        <w:t>27</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669BF996"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YAN KUNZHONG (PTY) LTD</w:t>
      </w:r>
      <w:r w:rsidRPr="0010696C">
        <w:rPr>
          <w:rFonts w:ascii="Times New Roman" w:hAnsi="Times New Roman"/>
          <w:b/>
          <w:bCs/>
          <w:szCs w:val="24"/>
          <w:lang w:val="en-GB"/>
        </w:rPr>
        <w:tab/>
      </w:r>
      <w:r w:rsidRPr="0010696C">
        <w:rPr>
          <w:rFonts w:ascii="Times New Roman" w:hAnsi="Times New Roman"/>
          <w:szCs w:val="24"/>
          <w:lang w:val="en-GB"/>
        </w:rPr>
        <w:t>28</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08C2CE94"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lastRenderedPageBreak/>
        <w:t>YANG XIAOJUAN (PTY) LTD</w:t>
      </w:r>
      <w:r w:rsidRPr="0010696C">
        <w:rPr>
          <w:rFonts w:ascii="Times New Roman" w:hAnsi="Times New Roman"/>
          <w:b/>
          <w:bCs/>
          <w:szCs w:val="24"/>
          <w:lang w:val="en-GB"/>
        </w:rPr>
        <w:tab/>
      </w:r>
      <w:r w:rsidRPr="0010696C">
        <w:rPr>
          <w:rFonts w:ascii="Times New Roman" w:hAnsi="Times New Roman"/>
          <w:szCs w:val="24"/>
          <w:lang w:val="en-GB"/>
        </w:rPr>
        <w:t>29</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347BCA80"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WENG XIU FENG (PTY) LTD</w:t>
      </w:r>
      <w:r w:rsidRPr="0010696C">
        <w:rPr>
          <w:rFonts w:ascii="Times New Roman" w:hAnsi="Times New Roman"/>
          <w:b/>
          <w:bCs/>
          <w:szCs w:val="24"/>
          <w:lang w:val="en-GB"/>
        </w:rPr>
        <w:tab/>
      </w:r>
      <w:r w:rsidRPr="0010696C">
        <w:rPr>
          <w:rFonts w:ascii="Times New Roman" w:hAnsi="Times New Roman"/>
          <w:szCs w:val="24"/>
          <w:lang w:val="en-GB"/>
        </w:rPr>
        <w:t>30</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0C1455F6"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WENG QINGSHUANG (PTY) LTD</w:t>
      </w:r>
      <w:r w:rsidRPr="0010696C">
        <w:rPr>
          <w:rFonts w:ascii="Times New Roman" w:hAnsi="Times New Roman"/>
          <w:b/>
          <w:bCs/>
          <w:szCs w:val="24"/>
          <w:lang w:val="en-GB"/>
        </w:rPr>
        <w:tab/>
      </w:r>
      <w:r w:rsidRPr="0010696C">
        <w:rPr>
          <w:rFonts w:ascii="Times New Roman" w:hAnsi="Times New Roman"/>
          <w:szCs w:val="24"/>
          <w:lang w:val="en-GB"/>
        </w:rPr>
        <w:t>31</w:t>
      </w:r>
      <w:r w:rsidRPr="0010696C">
        <w:rPr>
          <w:rFonts w:ascii="Times New Roman" w:hAnsi="Times New Roman"/>
          <w:szCs w:val="24"/>
          <w:vertAlign w:val="superscript"/>
          <w:lang w:val="en-GB"/>
        </w:rPr>
        <w:t>st</w:t>
      </w:r>
      <w:r w:rsidRPr="0010696C">
        <w:rPr>
          <w:rFonts w:ascii="Times New Roman" w:hAnsi="Times New Roman"/>
          <w:szCs w:val="24"/>
          <w:lang w:val="en-GB"/>
        </w:rPr>
        <w:t xml:space="preserve"> Applicant</w:t>
      </w:r>
    </w:p>
    <w:p w14:paraId="03328075" w14:textId="232406B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XIE SHIJIN (PTY) LTD</w:t>
      </w:r>
      <w:r w:rsidRPr="0010696C">
        <w:rPr>
          <w:rFonts w:ascii="Times New Roman" w:hAnsi="Times New Roman"/>
          <w:b/>
          <w:bCs/>
          <w:szCs w:val="24"/>
          <w:lang w:val="en-GB"/>
        </w:rPr>
        <w:tab/>
      </w:r>
      <w:r w:rsidRPr="0010696C">
        <w:rPr>
          <w:rFonts w:ascii="Times New Roman" w:hAnsi="Times New Roman"/>
          <w:szCs w:val="24"/>
          <w:lang w:val="en-GB"/>
        </w:rPr>
        <w:t>32</w:t>
      </w:r>
      <w:r w:rsidRPr="0010696C">
        <w:rPr>
          <w:rFonts w:ascii="Times New Roman" w:hAnsi="Times New Roman"/>
          <w:szCs w:val="24"/>
          <w:vertAlign w:val="superscript"/>
          <w:lang w:val="en-GB"/>
        </w:rPr>
        <w:t>nd</w:t>
      </w:r>
      <w:r w:rsidRPr="0010696C">
        <w:rPr>
          <w:rFonts w:ascii="Times New Roman" w:hAnsi="Times New Roman"/>
          <w:szCs w:val="24"/>
          <w:lang w:val="en-GB"/>
        </w:rPr>
        <w:t xml:space="preserve"> Applicant</w:t>
      </w:r>
    </w:p>
    <w:p w14:paraId="4376C3EC"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YAN XIAO LONG (PTY) LTD</w:t>
      </w:r>
      <w:r w:rsidRPr="0010696C">
        <w:rPr>
          <w:rFonts w:ascii="Times New Roman" w:hAnsi="Times New Roman"/>
          <w:b/>
          <w:bCs/>
          <w:szCs w:val="24"/>
          <w:lang w:val="en-GB"/>
        </w:rPr>
        <w:tab/>
      </w:r>
      <w:r w:rsidRPr="0010696C">
        <w:rPr>
          <w:rFonts w:ascii="Times New Roman" w:hAnsi="Times New Roman"/>
          <w:szCs w:val="24"/>
          <w:lang w:val="en-GB"/>
        </w:rPr>
        <w:t>33</w:t>
      </w:r>
      <w:r w:rsidRPr="0010696C">
        <w:rPr>
          <w:rFonts w:ascii="Times New Roman" w:hAnsi="Times New Roman"/>
          <w:szCs w:val="24"/>
          <w:vertAlign w:val="superscript"/>
          <w:lang w:val="en-GB"/>
        </w:rPr>
        <w:t>rd</w:t>
      </w:r>
      <w:r w:rsidRPr="0010696C">
        <w:rPr>
          <w:rFonts w:ascii="Times New Roman" w:hAnsi="Times New Roman"/>
          <w:szCs w:val="24"/>
          <w:lang w:val="en-GB"/>
        </w:rPr>
        <w:t xml:space="preserve"> Applicant</w:t>
      </w:r>
    </w:p>
    <w:p w14:paraId="3E471026"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SHI QIANYI (PTY) LTD</w:t>
      </w:r>
      <w:r w:rsidRPr="0010696C">
        <w:rPr>
          <w:rFonts w:ascii="Times New Roman" w:hAnsi="Times New Roman"/>
          <w:b/>
          <w:bCs/>
          <w:szCs w:val="24"/>
          <w:lang w:val="en-GB"/>
        </w:rPr>
        <w:tab/>
      </w:r>
      <w:r w:rsidRPr="0010696C">
        <w:rPr>
          <w:rFonts w:ascii="Times New Roman" w:hAnsi="Times New Roman"/>
          <w:szCs w:val="24"/>
          <w:lang w:val="en-GB"/>
        </w:rPr>
        <w:t>34</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4743635C"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WENG KELIANG (PTY) LTD</w:t>
      </w:r>
      <w:r w:rsidRPr="0010696C">
        <w:rPr>
          <w:rFonts w:ascii="Times New Roman" w:hAnsi="Times New Roman"/>
          <w:b/>
          <w:bCs/>
          <w:szCs w:val="24"/>
          <w:lang w:val="en-GB"/>
        </w:rPr>
        <w:tab/>
      </w:r>
      <w:r w:rsidRPr="0010696C">
        <w:rPr>
          <w:rFonts w:ascii="Times New Roman" w:hAnsi="Times New Roman"/>
          <w:szCs w:val="24"/>
          <w:lang w:val="en-GB"/>
        </w:rPr>
        <w:t>35</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7F47AD4A"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XUE CHENG (PTY) LTD</w:t>
      </w:r>
      <w:r w:rsidRPr="0010696C">
        <w:rPr>
          <w:rFonts w:ascii="Times New Roman" w:hAnsi="Times New Roman"/>
          <w:b/>
          <w:bCs/>
          <w:szCs w:val="24"/>
          <w:lang w:val="en-GB"/>
        </w:rPr>
        <w:tab/>
      </w:r>
      <w:r w:rsidRPr="0010696C">
        <w:rPr>
          <w:rFonts w:ascii="Times New Roman" w:hAnsi="Times New Roman"/>
          <w:szCs w:val="24"/>
          <w:lang w:val="en-GB"/>
        </w:rPr>
        <w:t>36</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7BCFED29"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SHI ZHONGBIN (PTY) LTD</w:t>
      </w:r>
      <w:r w:rsidRPr="0010696C">
        <w:rPr>
          <w:rFonts w:ascii="Times New Roman" w:hAnsi="Times New Roman"/>
          <w:b/>
          <w:bCs/>
          <w:szCs w:val="24"/>
          <w:lang w:val="en-GB"/>
        </w:rPr>
        <w:tab/>
      </w:r>
      <w:r w:rsidRPr="0010696C">
        <w:rPr>
          <w:rFonts w:ascii="Times New Roman" w:hAnsi="Times New Roman"/>
          <w:szCs w:val="24"/>
          <w:lang w:val="en-GB"/>
        </w:rPr>
        <w:t>37</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72CA32B4"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ZHUANG LANCHUN (PTY) LTD</w:t>
      </w:r>
      <w:r w:rsidRPr="0010696C">
        <w:rPr>
          <w:rFonts w:ascii="Times New Roman" w:hAnsi="Times New Roman"/>
          <w:b/>
          <w:bCs/>
          <w:szCs w:val="24"/>
          <w:lang w:val="en-GB"/>
        </w:rPr>
        <w:tab/>
      </w:r>
      <w:r w:rsidRPr="0010696C">
        <w:rPr>
          <w:rFonts w:ascii="Times New Roman" w:hAnsi="Times New Roman"/>
          <w:szCs w:val="24"/>
          <w:lang w:val="en-GB"/>
        </w:rPr>
        <w:t>38</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52082A7C" w14:textId="4BD5A34D"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YS FINANCE (PTY) LTD</w:t>
      </w:r>
      <w:r w:rsidRPr="0010696C">
        <w:rPr>
          <w:rFonts w:ascii="Times New Roman" w:hAnsi="Times New Roman"/>
          <w:b/>
          <w:bCs/>
          <w:szCs w:val="24"/>
          <w:lang w:val="en-GB"/>
        </w:rPr>
        <w:tab/>
      </w:r>
      <w:r w:rsidRPr="0010696C">
        <w:rPr>
          <w:rFonts w:ascii="Times New Roman" w:hAnsi="Times New Roman"/>
          <w:szCs w:val="24"/>
          <w:lang w:val="en-GB"/>
        </w:rPr>
        <w:t>39</w:t>
      </w:r>
      <w:r w:rsidRPr="0010696C">
        <w:rPr>
          <w:rFonts w:ascii="Times New Roman" w:hAnsi="Times New Roman"/>
          <w:szCs w:val="24"/>
          <w:vertAlign w:val="superscript"/>
          <w:lang w:val="en-GB"/>
        </w:rPr>
        <w:t>th</w:t>
      </w:r>
      <w:r w:rsidRPr="0010696C">
        <w:rPr>
          <w:rFonts w:ascii="Times New Roman" w:hAnsi="Times New Roman"/>
          <w:szCs w:val="24"/>
          <w:lang w:val="en-GB"/>
        </w:rPr>
        <w:t xml:space="preserve"> Applicant</w:t>
      </w:r>
    </w:p>
    <w:p w14:paraId="1E52C412" w14:textId="77777777" w:rsidR="008E6AD2" w:rsidRPr="0010696C" w:rsidRDefault="008E6AD2" w:rsidP="005734A6">
      <w:pPr>
        <w:tabs>
          <w:tab w:val="left" w:pos="0"/>
          <w:tab w:val="right" w:pos="8931"/>
        </w:tabs>
        <w:rPr>
          <w:rFonts w:ascii="Times New Roman" w:hAnsi="Times New Roman"/>
          <w:szCs w:val="24"/>
          <w:lang w:val="en-GB"/>
        </w:rPr>
      </w:pPr>
    </w:p>
    <w:p w14:paraId="6838A507"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szCs w:val="24"/>
          <w:lang w:val="en-GB"/>
        </w:rPr>
        <w:t>and</w:t>
      </w:r>
    </w:p>
    <w:p w14:paraId="601FEA1D" w14:textId="77777777" w:rsidR="008E6AD2" w:rsidRPr="0010696C" w:rsidRDefault="008E6AD2" w:rsidP="005734A6">
      <w:pPr>
        <w:tabs>
          <w:tab w:val="left" w:pos="0"/>
          <w:tab w:val="right" w:pos="8931"/>
        </w:tabs>
        <w:rPr>
          <w:rFonts w:ascii="Times New Roman" w:hAnsi="Times New Roman"/>
          <w:szCs w:val="24"/>
          <w:lang w:val="en-GB"/>
        </w:rPr>
      </w:pPr>
    </w:p>
    <w:p w14:paraId="43653BF1"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CAPITEC BANK (PTY) LTD</w:t>
      </w:r>
      <w:r w:rsidRPr="0010696C">
        <w:rPr>
          <w:rFonts w:ascii="Times New Roman" w:hAnsi="Times New Roman"/>
          <w:b/>
          <w:bCs/>
          <w:szCs w:val="24"/>
          <w:lang w:val="en-GB"/>
        </w:rPr>
        <w:tab/>
      </w:r>
      <w:r w:rsidRPr="0010696C">
        <w:rPr>
          <w:rFonts w:ascii="Times New Roman" w:hAnsi="Times New Roman"/>
          <w:szCs w:val="24"/>
          <w:lang w:val="en-GB"/>
        </w:rPr>
        <w:t>1</w:t>
      </w:r>
      <w:r w:rsidRPr="0010696C">
        <w:rPr>
          <w:rFonts w:ascii="Times New Roman" w:hAnsi="Times New Roman"/>
          <w:szCs w:val="24"/>
          <w:vertAlign w:val="superscript"/>
          <w:lang w:val="en-GB"/>
        </w:rPr>
        <w:t>st</w:t>
      </w:r>
      <w:r w:rsidRPr="0010696C">
        <w:rPr>
          <w:rFonts w:ascii="Times New Roman" w:hAnsi="Times New Roman"/>
          <w:szCs w:val="24"/>
          <w:lang w:val="en-GB"/>
        </w:rPr>
        <w:t xml:space="preserve"> Respondent</w:t>
      </w:r>
    </w:p>
    <w:p w14:paraId="1DB96B7D" w14:textId="77777777" w:rsidR="008E6AD2" w:rsidRPr="0010696C" w:rsidRDefault="008E6AD2" w:rsidP="005734A6">
      <w:pPr>
        <w:tabs>
          <w:tab w:val="left" w:pos="0"/>
          <w:tab w:val="right" w:pos="8931"/>
        </w:tabs>
        <w:rPr>
          <w:rFonts w:ascii="Times New Roman" w:hAnsi="Times New Roman"/>
          <w:szCs w:val="24"/>
          <w:lang w:val="en-GB"/>
        </w:rPr>
      </w:pPr>
      <w:r w:rsidRPr="0010696C">
        <w:rPr>
          <w:rFonts w:ascii="Times New Roman" w:hAnsi="Times New Roman"/>
          <w:b/>
          <w:bCs/>
          <w:szCs w:val="24"/>
          <w:lang w:val="en-GB"/>
        </w:rPr>
        <w:t>AMPLIFIN (PTY) LTD</w:t>
      </w:r>
      <w:r w:rsidRPr="0010696C">
        <w:rPr>
          <w:rFonts w:ascii="Times New Roman" w:hAnsi="Times New Roman"/>
          <w:b/>
          <w:bCs/>
          <w:szCs w:val="24"/>
          <w:lang w:val="en-GB"/>
        </w:rPr>
        <w:tab/>
      </w:r>
      <w:r w:rsidRPr="0010696C">
        <w:rPr>
          <w:rFonts w:ascii="Times New Roman" w:hAnsi="Times New Roman"/>
          <w:szCs w:val="24"/>
          <w:lang w:val="en-GB"/>
        </w:rPr>
        <w:t>2</w:t>
      </w:r>
      <w:r w:rsidRPr="0010696C">
        <w:rPr>
          <w:rFonts w:ascii="Times New Roman" w:hAnsi="Times New Roman"/>
          <w:szCs w:val="24"/>
          <w:vertAlign w:val="superscript"/>
          <w:lang w:val="en-GB"/>
        </w:rPr>
        <w:t xml:space="preserve">nd </w:t>
      </w:r>
      <w:r w:rsidRPr="0010696C">
        <w:rPr>
          <w:rFonts w:ascii="Times New Roman" w:hAnsi="Times New Roman"/>
          <w:szCs w:val="24"/>
          <w:lang w:val="en-GB"/>
        </w:rPr>
        <w:t>Respondent</w:t>
      </w:r>
    </w:p>
    <w:p w14:paraId="4952DD64" w14:textId="77777777" w:rsidR="008E6AD2" w:rsidRPr="0010696C" w:rsidRDefault="008E6AD2" w:rsidP="008E6AD2">
      <w:pPr>
        <w:tabs>
          <w:tab w:val="right" w:pos="8931"/>
        </w:tabs>
        <w:rPr>
          <w:rFonts w:ascii="Times New Roman" w:hAnsi="Times New Roman"/>
          <w:b/>
          <w:bCs/>
          <w:color w:val="000000" w:themeColor="text1"/>
          <w:szCs w:val="24"/>
          <w:lang w:val="en-GB"/>
        </w:rPr>
      </w:pPr>
    </w:p>
    <w:p w14:paraId="0ED3670A" w14:textId="77777777" w:rsidR="002422A5" w:rsidRPr="0010696C" w:rsidRDefault="002422A5" w:rsidP="00F539C9">
      <w:pPr>
        <w:pBdr>
          <w:bottom w:val="single" w:sz="12" w:space="1" w:color="auto"/>
        </w:pBdr>
        <w:rPr>
          <w:rFonts w:ascii="Times New Roman" w:eastAsiaTheme="minorHAnsi" w:hAnsi="Times New Roman"/>
          <w:szCs w:val="24"/>
          <w:lang w:val="en-GB"/>
        </w:rPr>
      </w:pPr>
    </w:p>
    <w:p w14:paraId="5F24A4B3" w14:textId="77777777" w:rsidR="002422A5" w:rsidRPr="0010696C" w:rsidRDefault="002422A5" w:rsidP="0039171F">
      <w:pPr>
        <w:rPr>
          <w:rFonts w:ascii="Times New Roman" w:eastAsiaTheme="minorHAnsi" w:hAnsi="Times New Roman"/>
          <w:szCs w:val="24"/>
          <w:lang w:val="en-GB"/>
        </w:rPr>
      </w:pPr>
    </w:p>
    <w:p w14:paraId="1BCF5E77" w14:textId="5DE69B30" w:rsidR="002422A5" w:rsidRPr="0010696C" w:rsidRDefault="008E6AD2" w:rsidP="0039171F">
      <w:pPr>
        <w:jc w:val="center"/>
        <w:rPr>
          <w:rFonts w:ascii="Times New Roman" w:eastAsiaTheme="minorHAnsi" w:hAnsi="Times New Roman"/>
          <w:b/>
          <w:bCs/>
          <w:szCs w:val="24"/>
          <w:lang w:val="en-GB"/>
        </w:rPr>
      </w:pPr>
      <w:r w:rsidRPr="0010696C">
        <w:rPr>
          <w:rFonts w:ascii="Times New Roman" w:hAnsi="Times New Roman"/>
          <w:b/>
          <w:bCs/>
          <w:szCs w:val="24"/>
          <w:lang w:val="en-GB"/>
        </w:rPr>
        <w:t>JUDGMENT</w:t>
      </w:r>
    </w:p>
    <w:p w14:paraId="7D67C33C" w14:textId="77777777" w:rsidR="002422A5" w:rsidRPr="0010696C" w:rsidRDefault="002422A5" w:rsidP="0039171F">
      <w:pPr>
        <w:pBdr>
          <w:bottom w:val="single" w:sz="12" w:space="1" w:color="auto"/>
        </w:pBdr>
        <w:rPr>
          <w:rFonts w:ascii="Times New Roman" w:eastAsiaTheme="minorHAnsi" w:hAnsi="Times New Roman"/>
          <w:szCs w:val="24"/>
          <w:lang w:val="en-GB"/>
        </w:rPr>
      </w:pPr>
    </w:p>
    <w:p w14:paraId="1B356059" w14:textId="77777777" w:rsidR="008E6AD2" w:rsidRPr="0010696C" w:rsidRDefault="008E6AD2" w:rsidP="00B95564">
      <w:pPr>
        <w:pStyle w:val="Level1"/>
        <w:numPr>
          <w:ilvl w:val="0"/>
          <w:numId w:val="0"/>
        </w:numPr>
        <w:spacing w:after="0"/>
        <w:ind w:left="851" w:hanging="851"/>
        <w:rPr>
          <w:szCs w:val="24"/>
          <w:lang w:val="en-GB"/>
        </w:rPr>
      </w:pPr>
    </w:p>
    <w:p w14:paraId="5EC99D34" w14:textId="77A0B7EB" w:rsidR="00B95564" w:rsidRPr="0010696C" w:rsidRDefault="00B95564" w:rsidP="00B95564">
      <w:pPr>
        <w:pStyle w:val="Level1"/>
        <w:numPr>
          <w:ilvl w:val="0"/>
          <w:numId w:val="0"/>
        </w:numPr>
        <w:ind w:left="851" w:hanging="851"/>
        <w:rPr>
          <w:szCs w:val="24"/>
          <w:lang w:val="en-GB"/>
        </w:rPr>
      </w:pPr>
      <w:r w:rsidRPr="0010696C">
        <w:rPr>
          <w:b/>
          <w:bCs/>
          <w:szCs w:val="24"/>
          <w:lang w:val="en-GB"/>
        </w:rPr>
        <w:t>DE WAAL AJ:</w:t>
      </w:r>
    </w:p>
    <w:p w14:paraId="10B9C3FE" w14:textId="0373E077" w:rsidR="002422A5" w:rsidRPr="0010696C" w:rsidRDefault="008E6AD2" w:rsidP="00C20E08">
      <w:pPr>
        <w:pStyle w:val="Heading1"/>
        <w:rPr>
          <w:rFonts w:cs="Times New Roman"/>
          <w:szCs w:val="24"/>
          <w:lang w:val="en-GB"/>
        </w:rPr>
      </w:pPr>
      <w:r w:rsidRPr="0010696C">
        <w:rPr>
          <w:rFonts w:cs="Times New Roman"/>
          <w:szCs w:val="24"/>
          <w:lang w:val="en-GB"/>
        </w:rPr>
        <w:t>Introduction</w:t>
      </w:r>
    </w:p>
    <w:p w14:paraId="490AF53A" w14:textId="2B62DF0B" w:rsidR="001A083D" w:rsidRPr="0010696C" w:rsidRDefault="00F539C9" w:rsidP="00A678F8">
      <w:pPr>
        <w:pStyle w:val="Level1"/>
        <w:rPr>
          <w:szCs w:val="24"/>
          <w:lang w:val="en-GB"/>
        </w:rPr>
      </w:pPr>
      <w:r w:rsidRPr="0010696C">
        <w:rPr>
          <w:color w:val="000000" w:themeColor="text1"/>
          <w:szCs w:val="24"/>
          <w:lang w:val="en-GB"/>
        </w:rPr>
        <w:t xml:space="preserve">This is an urgent application in which the Applicants seek interim interdictory relief </w:t>
      </w:r>
      <w:r w:rsidR="00420618" w:rsidRPr="0010696C">
        <w:rPr>
          <w:color w:val="000000" w:themeColor="text1"/>
          <w:szCs w:val="24"/>
          <w:lang w:val="en-GB"/>
        </w:rPr>
        <w:t xml:space="preserve">preventing </w:t>
      </w:r>
      <w:r w:rsidRPr="0010696C">
        <w:rPr>
          <w:color w:val="000000" w:themeColor="text1"/>
          <w:szCs w:val="24"/>
          <w:lang w:val="en-GB"/>
        </w:rPr>
        <w:t>the First Respondent (</w:t>
      </w:r>
      <w:r w:rsidR="00F32FD7" w:rsidRPr="0010696C">
        <w:rPr>
          <w:color w:val="000000" w:themeColor="text1"/>
          <w:szCs w:val="24"/>
          <w:lang w:val="en-GB"/>
        </w:rPr>
        <w:t>“</w:t>
      </w:r>
      <w:r w:rsidRPr="0010696C">
        <w:rPr>
          <w:b/>
          <w:bCs/>
          <w:color w:val="000000" w:themeColor="text1"/>
          <w:szCs w:val="24"/>
          <w:lang w:val="en-GB"/>
        </w:rPr>
        <w:t>Capitec</w:t>
      </w:r>
      <w:r w:rsidR="00F32FD7" w:rsidRPr="0010696C">
        <w:rPr>
          <w:color w:val="000000" w:themeColor="text1"/>
          <w:szCs w:val="24"/>
          <w:lang w:val="en-GB"/>
        </w:rPr>
        <w:t>”</w:t>
      </w:r>
      <w:r w:rsidRPr="0010696C">
        <w:rPr>
          <w:color w:val="000000" w:themeColor="text1"/>
          <w:szCs w:val="24"/>
          <w:lang w:val="en-GB"/>
        </w:rPr>
        <w:t>) from terminating certain services provided to them</w:t>
      </w:r>
      <w:r w:rsidR="00623019" w:rsidRPr="0010696C">
        <w:rPr>
          <w:color w:val="000000" w:themeColor="text1"/>
          <w:szCs w:val="24"/>
          <w:lang w:val="en-GB"/>
        </w:rPr>
        <w:t xml:space="preserve"> until </w:t>
      </w:r>
      <w:r w:rsidR="00083D85" w:rsidRPr="0010696C">
        <w:rPr>
          <w:color w:val="000000" w:themeColor="text1"/>
          <w:szCs w:val="24"/>
          <w:lang w:val="en-GB"/>
        </w:rPr>
        <w:t>the Second Respondent (</w:t>
      </w:r>
      <w:r w:rsidR="00F32FD7" w:rsidRPr="0010696C">
        <w:rPr>
          <w:color w:val="000000" w:themeColor="text1"/>
          <w:szCs w:val="24"/>
          <w:lang w:val="en-GB"/>
        </w:rPr>
        <w:t>“</w:t>
      </w:r>
      <w:r w:rsidR="00083D85" w:rsidRPr="0010696C">
        <w:rPr>
          <w:b/>
          <w:bCs/>
          <w:color w:val="000000" w:themeColor="text1"/>
          <w:szCs w:val="24"/>
          <w:lang w:val="en-GB"/>
        </w:rPr>
        <w:t>Amplifin</w:t>
      </w:r>
      <w:r w:rsidR="00F32FD7" w:rsidRPr="0010696C">
        <w:rPr>
          <w:color w:val="000000" w:themeColor="text1"/>
          <w:szCs w:val="24"/>
          <w:lang w:val="en-GB"/>
        </w:rPr>
        <w:t>”</w:t>
      </w:r>
      <w:r w:rsidR="00083D85" w:rsidRPr="0010696C">
        <w:rPr>
          <w:color w:val="000000" w:themeColor="text1"/>
          <w:szCs w:val="24"/>
          <w:lang w:val="en-GB"/>
        </w:rPr>
        <w:t xml:space="preserve">) find a replacement bank </w:t>
      </w:r>
      <w:r w:rsidR="00623019" w:rsidRPr="0010696C">
        <w:rPr>
          <w:color w:val="000000" w:themeColor="text1"/>
          <w:szCs w:val="24"/>
          <w:lang w:val="en-GB"/>
        </w:rPr>
        <w:t xml:space="preserve">for the provision of </w:t>
      </w:r>
      <w:r w:rsidR="00083D85" w:rsidRPr="0010696C">
        <w:rPr>
          <w:color w:val="000000" w:themeColor="text1"/>
          <w:szCs w:val="24"/>
          <w:lang w:val="en-GB"/>
        </w:rPr>
        <w:t>th</w:t>
      </w:r>
      <w:r w:rsidR="00ED18E2" w:rsidRPr="0010696C">
        <w:rPr>
          <w:color w:val="000000" w:themeColor="text1"/>
          <w:szCs w:val="24"/>
          <w:lang w:val="en-GB"/>
        </w:rPr>
        <w:t>e</w:t>
      </w:r>
      <w:r w:rsidR="00083D85" w:rsidRPr="0010696C">
        <w:rPr>
          <w:color w:val="000000" w:themeColor="text1"/>
          <w:szCs w:val="24"/>
          <w:lang w:val="en-GB"/>
        </w:rPr>
        <w:t xml:space="preserve"> services</w:t>
      </w:r>
      <w:r w:rsidR="00F32FD7" w:rsidRPr="0010696C">
        <w:rPr>
          <w:color w:val="000000" w:themeColor="text1"/>
          <w:szCs w:val="24"/>
          <w:lang w:val="en-GB"/>
        </w:rPr>
        <w:t>,</w:t>
      </w:r>
      <w:r w:rsidR="00083D85" w:rsidRPr="0010696C">
        <w:rPr>
          <w:color w:val="000000" w:themeColor="text1"/>
          <w:szCs w:val="24"/>
          <w:lang w:val="en-GB"/>
        </w:rPr>
        <w:t xml:space="preserve"> alternatively pending the outcome of an action to be instituted </w:t>
      </w:r>
      <w:r w:rsidR="00623019" w:rsidRPr="0010696C">
        <w:rPr>
          <w:color w:val="000000" w:themeColor="text1"/>
          <w:szCs w:val="24"/>
          <w:lang w:val="en-GB"/>
        </w:rPr>
        <w:t xml:space="preserve">by the Applicants for </w:t>
      </w:r>
      <w:r w:rsidR="00083D85" w:rsidRPr="0010696C">
        <w:rPr>
          <w:color w:val="000000" w:themeColor="text1"/>
          <w:szCs w:val="24"/>
          <w:lang w:val="en-GB"/>
        </w:rPr>
        <w:t>final interdict</w:t>
      </w:r>
      <w:r w:rsidR="00623019" w:rsidRPr="0010696C">
        <w:rPr>
          <w:color w:val="000000" w:themeColor="text1"/>
          <w:szCs w:val="24"/>
          <w:lang w:val="en-GB"/>
        </w:rPr>
        <w:t xml:space="preserve">ory relief. </w:t>
      </w:r>
    </w:p>
    <w:p w14:paraId="20A34EEF" w14:textId="7DDFDD20" w:rsidR="008E6AD2" w:rsidRPr="0010696C" w:rsidRDefault="00083D85" w:rsidP="00A678F8">
      <w:pPr>
        <w:pStyle w:val="Level1"/>
        <w:rPr>
          <w:szCs w:val="24"/>
          <w:lang w:val="en-GB"/>
        </w:rPr>
      </w:pPr>
      <w:r w:rsidRPr="0010696C">
        <w:rPr>
          <w:color w:val="000000" w:themeColor="text1"/>
          <w:szCs w:val="24"/>
          <w:lang w:val="en-GB"/>
        </w:rPr>
        <w:t xml:space="preserve">Urgency </w:t>
      </w:r>
      <w:r w:rsidR="00C741DE" w:rsidRPr="0010696C">
        <w:rPr>
          <w:color w:val="000000" w:themeColor="text1"/>
          <w:szCs w:val="24"/>
          <w:lang w:val="en-GB"/>
        </w:rPr>
        <w:t>was</w:t>
      </w:r>
      <w:r w:rsidR="00623019" w:rsidRPr="0010696C">
        <w:rPr>
          <w:color w:val="000000" w:themeColor="text1"/>
          <w:szCs w:val="24"/>
          <w:lang w:val="en-GB"/>
        </w:rPr>
        <w:t xml:space="preserve"> not</w:t>
      </w:r>
      <w:r w:rsidRPr="0010696C">
        <w:rPr>
          <w:color w:val="000000" w:themeColor="text1"/>
          <w:szCs w:val="24"/>
          <w:lang w:val="en-GB"/>
        </w:rPr>
        <w:t xml:space="preserve"> contested</w:t>
      </w:r>
      <w:r w:rsidR="00C741DE" w:rsidRPr="0010696C">
        <w:rPr>
          <w:color w:val="000000" w:themeColor="text1"/>
          <w:szCs w:val="24"/>
          <w:lang w:val="en-GB"/>
        </w:rPr>
        <w:t xml:space="preserve"> at the hearing of the matter</w:t>
      </w:r>
      <w:r w:rsidR="00623019" w:rsidRPr="0010696C">
        <w:rPr>
          <w:color w:val="000000" w:themeColor="text1"/>
          <w:szCs w:val="24"/>
          <w:lang w:val="en-GB"/>
        </w:rPr>
        <w:t>.</w:t>
      </w:r>
      <w:r w:rsidRPr="0010696C">
        <w:rPr>
          <w:color w:val="000000" w:themeColor="text1"/>
          <w:szCs w:val="24"/>
          <w:lang w:val="en-GB"/>
        </w:rPr>
        <w:t xml:space="preserve">  The termination date has been set for </w:t>
      </w:r>
      <w:r w:rsidR="008E6AD2" w:rsidRPr="0010696C">
        <w:rPr>
          <w:color w:val="000000" w:themeColor="text1"/>
          <w:szCs w:val="24"/>
          <w:lang w:val="en-GB"/>
        </w:rPr>
        <w:t>9 January 2024</w:t>
      </w:r>
      <w:r w:rsidR="00151A72" w:rsidRPr="0010696C">
        <w:rPr>
          <w:color w:val="000000" w:themeColor="text1"/>
          <w:szCs w:val="24"/>
          <w:lang w:val="en-GB"/>
        </w:rPr>
        <w:t>.</w:t>
      </w:r>
      <w:r w:rsidR="00AB65D7" w:rsidRPr="0010696C">
        <w:rPr>
          <w:color w:val="000000" w:themeColor="text1"/>
          <w:szCs w:val="24"/>
          <w:lang w:val="en-GB"/>
        </w:rPr>
        <w:t xml:space="preserve">  </w:t>
      </w:r>
      <w:r w:rsidR="00AF69CE" w:rsidRPr="0010696C">
        <w:rPr>
          <w:color w:val="000000" w:themeColor="text1"/>
          <w:szCs w:val="24"/>
          <w:lang w:val="en-GB"/>
        </w:rPr>
        <w:t xml:space="preserve">It is clear </w:t>
      </w:r>
      <w:r w:rsidR="00FC213A" w:rsidRPr="0010696C">
        <w:rPr>
          <w:color w:val="000000" w:themeColor="text1"/>
          <w:szCs w:val="24"/>
          <w:lang w:val="en-GB"/>
        </w:rPr>
        <w:t xml:space="preserve">that the matter is urgent. </w:t>
      </w:r>
    </w:p>
    <w:p w14:paraId="2C2AF407" w14:textId="395197B1" w:rsidR="00F539C9" w:rsidRPr="0010696C" w:rsidRDefault="00F539C9" w:rsidP="00A678F8">
      <w:pPr>
        <w:pStyle w:val="Level1"/>
        <w:rPr>
          <w:szCs w:val="24"/>
          <w:lang w:val="en-GB"/>
        </w:rPr>
      </w:pPr>
      <w:r w:rsidRPr="0010696C">
        <w:rPr>
          <w:color w:val="000000" w:themeColor="text1"/>
          <w:szCs w:val="24"/>
          <w:lang w:val="en-GB"/>
        </w:rPr>
        <w:lastRenderedPageBreak/>
        <w:t xml:space="preserve">In order to understand the nature of </w:t>
      </w:r>
      <w:r w:rsidR="00623019" w:rsidRPr="0010696C">
        <w:rPr>
          <w:color w:val="000000" w:themeColor="text1"/>
          <w:szCs w:val="24"/>
          <w:lang w:val="en-GB"/>
        </w:rPr>
        <w:t>Capitec</w:t>
      </w:r>
      <w:r w:rsidR="00F32FD7" w:rsidRPr="0010696C">
        <w:rPr>
          <w:color w:val="000000" w:themeColor="text1"/>
          <w:szCs w:val="24"/>
          <w:lang w:val="en-GB"/>
        </w:rPr>
        <w:t>’</w:t>
      </w:r>
      <w:r w:rsidR="00623019" w:rsidRPr="0010696C">
        <w:rPr>
          <w:color w:val="000000" w:themeColor="text1"/>
          <w:szCs w:val="24"/>
          <w:lang w:val="en-GB"/>
        </w:rPr>
        <w:t>s</w:t>
      </w:r>
      <w:r w:rsidRPr="0010696C">
        <w:rPr>
          <w:color w:val="000000" w:themeColor="text1"/>
          <w:szCs w:val="24"/>
          <w:lang w:val="en-GB"/>
        </w:rPr>
        <w:t xml:space="preserve"> services and their importance to the Applicants, it is necessary to take a step back and to describe the somewhat complicated relationship between </w:t>
      </w:r>
      <w:r w:rsidR="00FC616F" w:rsidRPr="0010696C">
        <w:rPr>
          <w:color w:val="000000" w:themeColor="text1"/>
          <w:szCs w:val="24"/>
          <w:lang w:val="en-GB"/>
        </w:rPr>
        <w:t xml:space="preserve">the </w:t>
      </w:r>
      <w:r w:rsidRPr="0010696C">
        <w:rPr>
          <w:color w:val="000000" w:themeColor="text1"/>
          <w:szCs w:val="24"/>
          <w:lang w:val="en-GB"/>
        </w:rPr>
        <w:t>parties in this matter</w:t>
      </w:r>
      <w:r w:rsidR="00FC616F" w:rsidRPr="0010696C">
        <w:rPr>
          <w:color w:val="000000" w:themeColor="text1"/>
          <w:szCs w:val="24"/>
          <w:lang w:val="en-GB"/>
        </w:rPr>
        <w:t xml:space="preserve">. </w:t>
      </w:r>
    </w:p>
    <w:p w14:paraId="23059252" w14:textId="10FF2114" w:rsidR="00F539C9" w:rsidRPr="0010696C" w:rsidRDefault="00F539C9" w:rsidP="00A678F8">
      <w:pPr>
        <w:pStyle w:val="Level1"/>
        <w:rPr>
          <w:szCs w:val="24"/>
          <w:lang w:val="en-GB"/>
        </w:rPr>
      </w:pPr>
      <w:r w:rsidRPr="0010696C">
        <w:rPr>
          <w:szCs w:val="24"/>
          <w:lang w:val="en-GB"/>
        </w:rPr>
        <w:t>The Applicants are credit providers, more particularly micro lenders.  The</w:t>
      </w:r>
      <w:r w:rsidR="00083D85" w:rsidRPr="0010696C">
        <w:rPr>
          <w:szCs w:val="24"/>
          <w:lang w:val="en-GB"/>
        </w:rPr>
        <w:t>y are in the business of</w:t>
      </w:r>
      <w:r w:rsidRPr="0010696C">
        <w:rPr>
          <w:szCs w:val="24"/>
          <w:lang w:val="en-GB"/>
        </w:rPr>
        <w:t xml:space="preserve"> provid</w:t>
      </w:r>
      <w:r w:rsidR="00083D85" w:rsidRPr="0010696C">
        <w:rPr>
          <w:szCs w:val="24"/>
          <w:lang w:val="en-GB"/>
        </w:rPr>
        <w:t>ing</w:t>
      </w:r>
      <w:r w:rsidRPr="0010696C">
        <w:rPr>
          <w:szCs w:val="24"/>
          <w:lang w:val="en-GB"/>
        </w:rPr>
        <w:t xml:space="preserve"> unsecured loans to customers who </w:t>
      </w:r>
      <w:r w:rsidR="00FC616F" w:rsidRPr="0010696C">
        <w:rPr>
          <w:szCs w:val="24"/>
          <w:lang w:val="en-GB"/>
        </w:rPr>
        <w:t xml:space="preserve">are then </w:t>
      </w:r>
      <w:r w:rsidR="00304BB3" w:rsidRPr="0010696C">
        <w:rPr>
          <w:szCs w:val="24"/>
          <w:lang w:val="en-GB"/>
        </w:rPr>
        <w:t xml:space="preserve">required to </w:t>
      </w:r>
      <w:r w:rsidRPr="0010696C">
        <w:rPr>
          <w:szCs w:val="24"/>
          <w:lang w:val="en-GB"/>
        </w:rPr>
        <w:t>pay them back in instalments.</w:t>
      </w:r>
      <w:r w:rsidR="000112B3" w:rsidRPr="0010696C">
        <w:rPr>
          <w:szCs w:val="24"/>
          <w:lang w:val="en-GB"/>
        </w:rPr>
        <w:t xml:space="preserve"> </w:t>
      </w:r>
      <w:r w:rsidRPr="0010696C">
        <w:rPr>
          <w:szCs w:val="24"/>
          <w:lang w:val="en-GB"/>
        </w:rPr>
        <w:t xml:space="preserve"> In order to operate as credit providers, the Applicants must be registered in terms of the National Credit Act 34 of 2005 (</w:t>
      </w:r>
      <w:r w:rsidR="00F32FD7" w:rsidRPr="0010696C">
        <w:rPr>
          <w:szCs w:val="24"/>
          <w:lang w:val="en-GB"/>
        </w:rPr>
        <w:t>“</w:t>
      </w:r>
      <w:r w:rsidRPr="0010696C">
        <w:rPr>
          <w:b/>
          <w:bCs/>
          <w:szCs w:val="24"/>
          <w:lang w:val="en-GB"/>
        </w:rPr>
        <w:t>the NCA</w:t>
      </w:r>
      <w:r w:rsidR="00F32FD7" w:rsidRPr="0010696C">
        <w:rPr>
          <w:szCs w:val="24"/>
          <w:lang w:val="en-GB"/>
        </w:rPr>
        <w:t>”</w:t>
      </w:r>
      <w:r w:rsidRPr="0010696C">
        <w:rPr>
          <w:szCs w:val="24"/>
          <w:lang w:val="en-GB"/>
        </w:rPr>
        <w:t>).  T</w:t>
      </w:r>
      <w:r w:rsidR="00083D85" w:rsidRPr="0010696C">
        <w:rPr>
          <w:szCs w:val="24"/>
          <w:lang w:val="en-GB"/>
        </w:rPr>
        <w:t>he</w:t>
      </w:r>
      <w:r w:rsidRPr="0010696C">
        <w:rPr>
          <w:szCs w:val="24"/>
          <w:lang w:val="en-GB"/>
        </w:rPr>
        <w:t xml:space="preserve"> registration requirement, and indeed the relationship between the Applicants and their customers</w:t>
      </w:r>
      <w:r w:rsidR="00083D85" w:rsidRPr="0010696C">
        <w:rPr>
          <w:szCs w:val="24"/>
          <w:lang w:val="en-GB"/>
        </w:rPr>
        <w:t>,</w:t>
      </w:r>
      <w:r w:rsidRPr="0010696C">
        <w:rPr>
          <w:szCs w:val="24"/>
          <w:lang w:val="en-GB"/>
        </w:rPr>
        <w:t xml:space="preserve"> </w:t>
      </w:r>
      <w:r w:rsidR="00083D85" w:rsidRPr="0010696C">
        <w:rPr>
          <w:szCs w:val="24"/>
          <w:lang w:val="en-GB"/>
        </w:rPr>
        <w:t>is</w:t>
      </w:r>
      <w:r w:rsidRPr="0010696C">
        <w:rPr>
          <w:szCs w:val="24"/>
          <w:lang w:val="en-GB"/>
        </w:rPr>
        <w:t xml:space="preserve"> however not an aspect which is germane to the present matter.</w:t>
      </w:r>
    </w:p>
    <w:p w14:paraId="07339A8F" w14:textId="395DCF74" w:rsidR="00F539C9" w:rsidRPr="0010696C" w:rsidRDefault="00F539C9" w:rsidP="00A678F8">
      <w:pPr>
        <w:pStyle w:val="Level1"/>
        <w:rPr>
          <w:szCs w:val="24"/>
          <w:lang w:val="en-GB"/>
        </w:rPr>
      </w:pPr>
      <w:r w:rsidRPr="0010696C">
        <w:rPr>
          <w:szCs w:val="24"/>
          <w:lang w:val="en-GB"/>
        </w:rPr>
        <w:t>Th</w:t>
      </w:r>
      <w:r w:rsidR="00283D83" w:rsidRPr="0010696C">
        <w:rPr>
          <w:szCs w:val="24"/>
          <w:lang w:val="en-GB"/>
        </w:rPr>
        <w:t xml:space="preserve">e present </w:t>
      </w:r>
      <w:r w:rsidRPr="0010696C">
        <w:rPr>
          <w:szCs w:val="24"/>
          <w:lang w:val="en-GB"/>
        </w:rPr>
        <w:t>matter is</w:t>
      </w:r>
      <w:r w:rsidR="00F32FD7" w:rsidRPr="0010696C">
        <w:rPr>
          <w:szCs w:val="24"/>
          <w:lang w:val="en-GB"/>
        </w:rPr>
        <w:t xml:space="preserve"> a contractual dispute</w:t>
      </w:r>
      <w:r w:rsidRPr="0010696C">
        <w:rPr>
          <w:szCs w:val="24"/>
          <w:lang w:val="en-GB"/>
        </w:rPr>
        <w:t xml:space="preserve"> about the termination of certain Capitec</w:t>
      </w:r>
      <w:r w:rsidR="001F7C00">
        <w:rPr>
          <w:szCs w:val="24"/>
          <w:lang w:val="en-GB"/>
        </w:rPr>
        <w:t xml:space="preserve"> </w:t>
      </w:r>
      <w:r w:rsidR="00083D85" w:rsidRPr="0010696C">
        <w:rPr>
          <w:szCs w:val="24"/>
          <w:lang w:val="en-GB"/>
        </w:rPr>
        <w:t xml:space="preserve">services or </w:t>
      </w:r>
      <w:r w:rsidR="00F32FD7" w:rsidRPr="0010696C">
        <w:rPr>
          <w:szCs w:val="24"/>
          <w:lang w:val="en-GB"/>
        </w:rPr>
        <w:t>“</w:t>
      </w:r>
      <w:r w:rsidRPr="0010696C">
        <w:rPr>
          <w:i/>
          <w:iCs/>
          <w:szCs w:val="24"/>
          <w:lang w:val="en-GB"/>
        </w:rPr>
        <w:t>facilities</w:t>
      </w:r>
      <w:r w:rsidR="00F32FD7" w:rsidRPr="0010696C">
        <w:rPr>
          <w:szCs w:val="24"/>
          <w:lang w:val="en-GB"/>
        </w:rPr>
        <w:t>”</w:t>
      </w:r>
      <w:r w:rsidRPr="0010696C">
        <w:rPr>
          <w:szCs w:val="24"/>
          <w:lang w:val="en-GB"/>
        </w:rPr>
        <w:t xml:space="preserve">, used by </w:t>
      </w:r>
      <w:r w:rsidR="00083D85" w:rsidRPr="0010696C">
        <w:rPr>
          <w:szCs w:val="24"/>
          <w:lang w:val="en-GB"/>
        </w:rPr>
        <w:t xml:space="preserve">Amplifin </w:t>
      </w:r>
      <w:r w:rsidRPr="0010696C">
        <w:rPr>
          <w:szCs w:val="24"/>
          <w:lang w:val="en-GB"/>
        </w:rPr>
        <w:t xml:space="preserve">to extract (or </w:t>
      </w:r>
      <w:r w:rsidR="00F32FD7" w:rsidRPr="0010696C">
        <w:rPr>
          <w:szCs w:val="24"/>
          <w:lang w:val="en-GB"/>
        </w:rPr>
        <w:t>“</w:t>
      </w:r>
      <w:r w:rsidRPr="0010696C">
        <w:rPr>
          <w:i/>
          <w:iCs/>
          <w:szCs w:val="24"/>
          <w:lang w:val="en-GB"/>
        </w:rPr>
        <w:t>pull</w:t>
      </w:r>
      <w:r w:rsidR="00F32FD7" w:rsidRPr="0010696C">
        <w:rPr>
          <w:szCs w:val="24"/>
          <w:lang w:val="en-GB"/>
        </w:rPr>
        <w:t>”</w:t>
      </w:r>
      <w:r w:rsidRPr="0010696C">
        <w:rPr>
          <w:szCs w:val="24"/>
          <w:lang w:val="en-GB"/>
        </w:rPr>
        <w:t xml:space="preserve">, as the </w:t>
      </w:r>
      <w:r w:rsidR="00C72A52" w:rsidRPr="0010696C">
        <w:rPr>
          <w:szCs w:val="24"/>
          <w:lang w:val="en-GB"/>
        </w:rPr>
        <w:t>parties</w:t>
      </w:r>
      <w:r w:rsidRPr="0010696C">
        <w:rPr>
          <w:szCs w:val="24"/>
          <w:lang w:val="en-GB"/>
        </w:rPr>
        <w:t xml:space="preserve"> call it) payments </w:t>
      </w:r>
      <w:r w:rsidR="00E566F3" w:rsidRPr="0010696C">
        <w:rPr>
          <w:szCs w:val="24"/>
          <w:lang w:val="en-GB"/>
        </w:rPr>
        <w:t xml:space="preserve">which are </w:t>
      </w:r>
      <w:r w:rsidRPr="0010696C">
        <w:rPr>
          <w:szCs w:val="24"/>
          <w:lang w:val="en-GB"/>
        </w:rPr>
        <w:t xml:space="preserve">due from </w:t>
      </w:r>
      <w:r w:rsidR="0071419B">
        <w:rPr>
          <w:szCs w:val="24"/>
          <w:lang w:val="en-GB"/>
        </w:rPr>
        <w:t xml:space="preserve">the bank accounts of the Applicants’ </w:t>
      </w:r>
      <w:r w:rsidRPr="0010696C">
        <w:rPr>
          <w:szCs w:val="24"/>
          <w:lang w:val="en-GB"/>
        </w:rPr>
        <w:t>customers</w:t>
      </w:r>
      <w:r w:rsidR="008D0A29">
        <w:rPr>
          <w:szCs w:val="24"/>
          <w:lang w:val="en-GB"/>
        </w:rPr>
        <w:t xml:space="preserve">.  After the </w:t>
      </w:r>
      <w:r w:rsidR="005C3B14">
        <w:rPr>
          <w:szCs w:val="24"/>
          <w:lang w:val="en-GB"/>
        </w:rPr>
        <w:t xml:space="preserve">payments have been pulled they are then transferred </w:t>
      </w:r>
      <w:r w:rsidRPr="0010696C">
        <w:rPr>
          <w:szCs w:val="24"/>
          <w:lang w:val="en-GB"/>
        </w:rPr>
        <w:t>to the Applicants</w:t>
      </w:r>
      <w:r w:rsidR="00F32FD7" w:rsidRPr="0010696C">
        <w:rPr>
          <w:szCs w:val="24"/>
          <w:lang w:val="en-GB"/>
        </w:rPr>
        <w:t>’</w:t>
      </w:r>
      <w:r w:rsidRPr="0010696C">
        <w:rPr>
          <w:szCs w:val="24"/>
          <w:lang w:val="en-GB"/>
        </w:rPr>
        <w:t xml:space="preserve"> bank accounts</w:t>
      </w:r>
      <w:r w:rsidR="00E31F81" w:rsidRPr="0010696C">
        <w:rPr>
          <w:szCs w:val="24"/>
          <w:lang w:val="en-GB"/>
        </w:rPr>
        <w:t xml:space="preserve">.  The </w:t>
      </w:r>
      <w:r w:rsidR="00B844B7" w:rsidRPr="0010696C">
        <w:rPr>
          <w:szCs w:val="24"/>
          <w:lang w:val="en-GB"/>
        </w:rPr>
        <w:t>Applicants</w:t>
      </w:r>
      <w:r w:rsidR="00F32FD7" w:rsidRPr="0010696C">
        <w:rPr>
          <w:szCs w:val="24"/>
          <w:lang w:val="en-GB"/>
        </w:rPr>
        <w:t>’</w:t>
      </w:r>
      <w:r w:rsidR="00B844B7" w:rsidRPr="0010696C">
        <w:rPr>
          <w:szCs w:val="24"/>
          <w:lang w:val="en-GB"/>
        </w:rPr>
        <w:t xml:space="preserve"> </w:t>
      </w:r>
      <w:r w:rsidR="00885F48">
        <w:rPr>
          <w:szCs w:val="24"/>
          <w:lang w:val="en-GB"/>
        </w:rPr>
        <w:t xml:space="preserve">bank </w:t>
      </w:r>
      <w:r w:rsidR="00E31F81" w:rsidRPr="0010696C">
        <w:rPr>
          <w:szCs w:val="24"/>
          <w:lang w:val="en-GB"/>
        </w:rPr>
        <w:t>accounts are</w:t>
      </w:r>
      <w:r w:rsidR="00083D85" w:rsidRPr="0010696C">
        <w:rPr>
          <w:szCs w:val="24"/>
          <w:lang w:val="en-GB"/>
        </w:rPr>
        <w:t xml:space="preserve"> all </w:t>
      </w:r>
      <w:r w:rsidRPr="0010696C">
        <w:rPr>
          <w:szCs w:val="24"/>
          <w:lang w:val="en-GB"/>
        </w:rPr>
        <w:t>held with Nedbank.</w:t>
      </w:r>
    </w:p>
    <w:p w14:paraId="5C9522A9" w14:textId="41150D34" w:rsidR="00F539C9" w:rsidRPr="0010696C" w:rsidRDefault="00F539C9" w:rsidP="00A678F8">
      <w:pPr>
        <w:pStyle w:val="Level1"/>
        <w:rPr>
          <w:szCs w:val="24"/>
          <w:lang w:val="en-GB"/>
        </w:rPr>
      </w:pPr>
      <w:r w:rsidRPr="0010696C">
        <w:rPr>
          <w:szCs w:val="24"/>
          <w:lang w:val="en-GB"/>
        </w:rPr>
        <w:t xml:space="preserve">The pull and </w:t>
      </w:r>
      <w:r w:rsidR="00083D85" w:rsidRPr="0010696C">
        <w:rPr>
          <w:szCs w:val="24"/>
          <w:lang w:val="en-GB"/>
        </w:rPr>
        <w:t xml:space="preserve">transfer </w:t>
      </w:r>
      <w:r w:rsidRPr="0010696C">
        <w:rPr>
          <w:szCs w:val="24"/>
          <w:lang w:val="en-GB"/>
        </w:rPr>
        <w:t>process</w:t>
      </w:r>
      <w:r w:rsidR="00885F48">
        <w:rPr>
          <w:szCs w:val="24"/>
          <w:lang w:val="en-GB"/>
        </w:rPr>
        <w:t xml:space="preserve"> is</w:t>
      </w:r>
      <w:r w:rsidRPr="0010696C">
        <w:rPr>
          <w:szCs w:val="24"/>
          <w:lang w:val="en-GB"/>
        </w:rPr>
        <w:t xml:space="preserve"> governed by the National Payment Systems Act 78 of 1998 (</w:t>
      </w:r>
      <w:r w:rsidR="00F32FD7" w:rsidRPr="0010696C">
        <w:rPr>
          <w:szCs w:val="24"/>
          <w:lang w:val="en-GB"/>
        </w:rPr>
        <w:t>“</w:t>
      </w:r>
      <w:r w:rsidRPr="0010696C">
        <w:rPr>
          <w:b/>
          <w:bCs/>
          <w:szCs w:val="24"/>
          <w:lang w:val="en-GB"/>
        </w:rPr>
        <w:t>the NPS Act</w:t>
      </w:r>
      <w:r w:rsidR="00F32FD7" w:rsidRPr="0010696C">
        <w:rPr>
          <w:szCs w:val="24"/>
          <w:lang w:val="en-GB"/>
        </w:rPr>
        <w:t>”</w:t>
      </w:r>
      <w:r w:rsidRPr="0010696C">
        <w:rPr>
          <w:szCs w:val="24"/>
          <w:lang w:val="en-GB"/>
        </w:rPr>
        <w:t>)</w:t>
      </w:r>
      <w:r w:rsidR="00070256" w:rsidRPr="0010696C">
        <w:rPr>
          <w:szCs w:val="24"/>
          <w:lang w:val="en-GB"/>
        </w:rPr>
        <w:t xml:space="preserve">.  The </w:t>
      </w:r>
      <w:r w:rsidR="002A7917" w:rsidRPr="0010696C">
        <w:rPr>
          <w:szCs w:val="24"/>
          <w:lang w:val="en-GB"/>
        </w:rPr>
        <w:t xml:space="preserve">payment system is managed </w:t>
      </w:r>
      <w:r w:rsidR="002F2BE1" w:rsidRPr="0010696C">
        <w:rPr>
          <w:szCs w:val="24"/>
          <w:lang w:val="en-GB"/>
        </w:rPr>
        <w:t>by the</w:t>
      </w:r>
      <w:r w:rsidRPr="0010696C">
        <w:rPr>
          <w:szCs w:val="24"/>
          <w:lang w:val="en-GB"/>
        </w:rPr>
        <w:t xml:space="preserve"> Payment Association of South Africa (</w:t>
      </w:r>
      <w:r w:rsidR="00F32FD7" w:rsidRPr="0010696C">
        <w:rPr>
          <w:szCs w:val="24"/>
          <w:lang w:val="en-GB"/>
        </w:rPr>
        <w:t>“</w:t>
      </w:r>
      <w:r w:rsidRPr="0010696C">
        <w:rPr>
          <w:b/>
          <w:bCs/>
          <w:szCs w:val="24"/>
          <w:lang w:val="en-GB"/>
        </w:rPr>
        <w:t>PASA</w:t>
      </w:r>
      <w:r w:rsidR="00F32FD7" w:rsidRPr="0010696C">
        <w:rPr>
          <w:szCs w:val="24"/>
          <w:lang w:val="en-GB"/>
        </w:rPr>
        <w:t>”</w:t>
      </w:r>
      <w:r w:rsidRPr="0010696C">
        <w:rPr>
          <w:szCs w:val="24"/>
          <w:lang w:val="en-GB"/>
        </w:rPr>
        <w:t>).  The latter is</w:t>
      </w:r>
      <w:r w:rsidR="00083D85" w:rsidRPr="0010696C">
        <w:rPr>
          <w:szCs w:val="24"/>
          <w:lang w:val="en-GB"/>
        </w:rPr>
        <w:t xml:space="preserve"> a body</w:t>
      </w:r>
      <w:r w:rsidRPr="0010696C">
        <w:rPr>
          <w:szCs w:val="24"/>
          <w:lang w:val="en-GB"/>
        </w:rPr>
        <w:t xml:space="preserve"> recognised under the NPS Act as a payment system management body established with the object of organising, managing and regulating the participation of its members in the payment system.</w:t>
      </w:r>
    </w:p>
    <w:p w14:paraId="0DBB8938" w14:textId="25E827B2" w:rsidR="00F539C9" w:rsidRPr="0010696C" w:rsidRDefault="00F539C9" w:rsidP="00A678F8">
      <w:pPr>
        <w:pStyle w:val="Level1"/>
        <w:rPr>
          <w:szCs w:val="24"/>
          <w:lang w:val="en-GB"/>
        </w:rPr>
      </w:pPr>
      <w:r w:rsidRPr="0010696C">
        <w:rPr>
          <w:szCs w:val="24"/>
          <w:lang w:val="en-GB"/>
        </w:rPr>
        <w:t xml:space="preserve">Again, the </w:t>
      </w:r>
      <w:r w:rsidR="00083D85" w:rsidRPr="0010696C">
        <w:rPr>
          <w:szCs w:val="24"/>
          <w:lang w:val="en-GB"/>
        </w:rPr>
        <w:t xml:space="preserve">statutory </w:t>
      </w:r>
      <w:r w:rsidRPr="0010696C">
        <w:rPr>
          <w:szCs w:val="24"/>
          <w:lang w:val="en-GB"/>
        </w:rPr>
        <w:t>regulatory framework is of no great significance in the present matter</w:t>
      </w:r>
      <w:r w:rsidR="00083D85" w:rsidRPr="0010696C">
        <w:rPr>
          <w:szCs w:val="24"/>
          <w:lang w:val="en-GB"/>
        </w:rPr>
        <w:t xml:space="preserve">.  </w:t>
      </w:r>
      <w:r w:rsidR="00623019" w:rsidRPr="0010696C">
        <w:rPr>
          <w:szCs w:val="24"/>
          <w:lang w:val="en-GB"/>
        </w:rPr>
        <w:t>This is a contractual dispute</w:t>
      </w:r>
      <w:r w:rsidR="00A61302" w:rsidRPr="0010696C">
        <w:rPr>
          <w:szCs w:val="24"/>
          <w:lang w:val="en-GB"/>
        </w:rPr>
        <w:t xml:space="preserve"> with some constitutional overtones</w:t>
      </w:r>
      <w:r w:rsidR="00623019" w:rsidRPr="0010696C">
        <w:rPr>
          <w:szCs w:val="24"/>
          <w:lang w:val="en-GB"/>
        </w:rPr>
        <w:t xml:space="preserve">. </w:t>
      </w:r>
      <w:r w:rsidR="00F32FD7" w:rsidRPr="0010696C">
        <w:rPr>
          <w:szCs w:val="24"/>
          <w:lang w:val="en-GB"/>
        </w:rPr>
        <w:t xml:space="preserve"> </w:t>
      </w:r>
      <w:r w:rsidR="00083D85" w:rsidRPr="0010696C">
        <w:rPr>
          <w:szCs w:val="24"/>
          <w:lang w:val="en-GB"/>
        </w:rPr>
        <w:t>Suffice to say</w:t>
      </w:r>
      <w:r w:rsidR="00623019" w:rsidRPr="0010696C">
        <w:rPr>
          <w:szCs w:val="24"/>
          <w:lang w:val="en-GB"/>
        </w:rPr>
        <w:t>, about the regulatory framework,</w:t>
      </w:r>
      <w:r w:rsidR="00083D85" w:rsidRPr="0010696C">
        <w:rPr>
          <w:szCs w:val="24"/>
          <w:lang w:val="en-GB"/>
        </w:rPr>
        <w:t xml:space="preserve"> that</w:t>
      </w:r>
      <w:r w:rsidRPr="0010696C">
        <w:rPr>
          <w:szCs w:val="24"/>
          <w:lang w:val="en-GB"/>
        </w:rPr>
        <w:t xml:space="preserve"> </w:t>
      </w:r>
      <w:r w:rsidRPr="0010696C">
        <w:rPr>
          <w:color w:val="000000" w:themeColor="text1"/>
          <w:szCs w:val="24"/>
          <w:lang w:val="en-GB"/>
        </w:rPr>
        <w:t>in order to enable the</w:t>
      </w:r>
      <w:r w:rsidR="00501F66" w:rsidRPr="0010696C">
        <w:rPr>
          <w:color w:val="000000" w:themeColor="text1"/>
          <w:szCs w:val="24"/>
          <w:lang w:val="en-GB"/>
        </w:rPr>
        <w:t xml:space="preserve"> particular form of</w:t>
      </w:r>
      <w:r w:rsidRPr="0010696C">
        <w:rPr>
          <w:color w:val="000000" w:themeColor="text1"/>
          <w:szCs w:val="24"/>
          <w:lang w:val="en-GB"/>
        </w:rPr>
        <w:t xml:space="preserve"> pulling </w:t>
      </w:r>
      <w:r w:rsidR="00501F66" w:rsidRPr="0010696C">
        <w:rPr>
          <w:color w:val="000000" w:themeColor="text1"/>
          <w:szCs w:val="24"/>
          <w:lang w:val="en-GB"/>
        </w:rPr>
        <w:t xml:space="preserve">of </w:t>
      </w:r>
      <w:r w:rsidRPr="0010696C">
        <w:rPr>
          <w:color w:val="000000" w:themeColor="text1"/>
          <w:szCs w:val="24"/>
          <w:lang w:val="en-GB"/>
        </w:rPr>
        <w:t>payments</w:t>
      </w:r>
      <w:r w:rsidR="009E6B4D" w:rsidRPr="0010696C">
        <w:rPr>
          <w:color w:val="000000" w:themeColor="text1"/>
          <w:szCs w:val="24"/>
          <w:lang w:val="en-GB"/>
        </w:rPr>
        <w:t xml:space="preserve"> </w:t>
      </w:r>
      <w:r w:rsidR="007346F1" w:rsidRPr="0010696C">
        <w:rPr>
          <w:color w:val="000000" w:themeColor="text1"/>
          <w:szCs w:val="24"/>
          <w:lang w:val="en-GB"/>
        </w:rPr>
        <w:t>from</w:t>
      </w:r>
      <w:r w:rsidR="005C4B56">
        <w:rPr>
          <w:color w:val="000000" w:themeColor="text1"/>
          <w:szCs w:val="24"/>
          <w:lang w:val="en-GB"/>
        </w:rPr>
        <w:t xml:space="preserve"> customers’</w:t>
      </w:r>
      <w:r w:rsidR="007346F1" w:rsidRPr="0010696C">
        <w:rPr>
          <w:color w:val="000000" w:themeColor="text1"/>
          <w:szCs w:val="24"/>
          <w:lang w:val="en-GB"/>
        </w:rPr>
        <w:t xml:space="preserve"> </w:t>
      </w:r>
      <w:r w:rsidRPr="0010696C">
        <w:rPr>
          <w:color w:val="000000" w:themeColor="text1"/>
          <w:szCs w:val="24"/>
          <w:lang w:val="en-GB"/>
        </w:rPr>
        <w:t>bank accounts</w:t>
      </w:r>
      <w:r w:rsidR="007346F1" w:rsidRPr="0010696C">
        <w:rPr>
          <w:color w:val="000000" w:themeColor="text1"/>
          <w:szCs w:val="24"/>
          <w:lang w:val="en-GB"/>
        </w:rPr>
        <w:t xml:space="preserve"> desired by the Applicants</w:t>
      </w:r>
      <w:r w:rsidRPr="0010696C">
        <w:rPr>
          <w:color w:val="000000" w:themeColor="text1"/>
          <w:szCs w:val="24"/>
          <w:lang w:val="en-GB"/>
        </w:rPr>
        <w:t xml:space="preserve">, </w:t>
      </w:r>
      <w:r w:rsidR="008A7BC1" w:rsidRPr="0010696C">
        <w:rPr>
          <w:color w:val="000000" w:themeColor="text1"/>
          <w:szCs w:val="24"/>
          <w:lang w:val="en-GB"/>
        </w:rPr>
        <w:t xml:space="preserve">they </w:t>
      </w:r>
      <w:r w:rsidRPr="0010696C">
        <w:rPr>
          <w:color w:val="000000" w:themeColor="text1"/>
          <w:szCs w:val="24"/>
          <w:lang w:val="en-GB"/>
        </w:rPr>
        <w:lastRenderedPageBreak/>
        <w:t xml:space="preserve">need a </w:t>
      </w:r>
      <w:r w:rsidR="00F32FD7" w:rsidRPr="0010696C">
        <w:rPr>
          <w:color w:val="000000" w:themeColor="text1"/>
          <w:szCs w:val="24"/>
          <w:lang w:val="en-GB"/>
        </w:rPr>
        <w:t>“</w:t>
      </w:r>
      <w:r w:rsidRPr="0010696C">
        <w:rPr>
          <w:i/>
          <w:iCs/>
          <w:color w:val="000000" w:themeColor="text1"/>
          <w:szCs w:val="24"/>
          <w:lang w:val="en-GB"/>
        </w:rPr>
        <w:t>system operator</w:t>
      </w:r>
      <w:r w:rsidR="00F32FD7" w:rsidRPr="0010696C">
        <w:rPr>
          <w:i/>
          <w:iCs/>
          <w:color w:val="000000" w:themeColor="text1"/>
          <w:szCs w:val="24"/>
          <w:lang w:val="en-GB"/>
        </w:rPr>
        <w:t>”</w:t>
      </w:r>
      <w:r w:rsidRPr="0010696C">
        <w:rPr>
          <w:color w:val="000000" w:themeColor="text1"/>
          <w:szCs w:val="24"/>
          <w:lang w:val="en-GB"/>
        </w:rPr>
        <w:t xml:space="preserve"> and a </w:t>
      </w:r>
      <w:r w:rsidR="00F32FD7" w:rsidRPr="0010696C">
        <w:rPr>
          <w:color w:val="000000" w:themeColor="text1"/>
          <w:szCs w:val="24"/>
          <w:lang w:val="en-GB"/>
        </w:rPr>
        <w:t>“</w:t>
      </w:r>
      <w:r w:rsidRPr="0010696C">
        <w:rPr>
          <w:i/>
          <w:iCs/>
          <w:color w:val="000000" w:themeColor="text1"/>
          <w:szCs w:val="24"/>
          <w:lang w:val="en-GB"/>
        </w:rPr>
        <w:t>bank</w:t>
      </w:r>
      <w:r w:rsidR="00F32FD7" w:rsidRPr="0010696C">
        <w:rPr>
          <w:i/>
          <w:iCs/>
          <w:color w:val="000000" w:themeColor="text1"/>
          <w:szCs w:val="24"/>
          <w:lang w:val="en-GB"/>
        </w:rPr>
        <w:t>”</w:t>
      </w:r>
      <w:r w:rsidR="00B14A07" w:rsidRPr="0010696C">
        <w:rPr>
          <w:color w:val="000000" w:themeColor="text1"/>
          <w:szCs w:val="24"/>
          <w:lang w:val="en-GB"/>
        </w:rPr>
        <w:t xml:space="preserve">, as defined in the </w:t>
      </w:r>
      <w:r w:rsidR="00600800" w:rsidRPr="0010696C">
        <w:rPr>
          <w:color w:val="000000" w:themeColor="text1"/>
          <w:szCs w:val="24"/>
          <w:lang w:val="en-GB"/>
        </w:rPr>
        <w:t>NPS Act</w:t>
      </w:r>
      <w:r w:rsidRPr="0010696C">
        <w:rPr>
          <w:i/>
          <w:iCs/>
          <w:color w:val="000000" w:themeColor="text1"/>
          <w:szCs w:val="24"/>
          <w:lang w:val="en-GB"/>
        </w:rPr>
        <w:t>.</w:t>
      </w:r>
      <w:r w:rsidR="00600800" w:rsidRPr="0010696C">
        <w:rPr>
          <w:rStyle w:val="FootnoteReference"/>
          <w:color w:val="000000" w:themeColor="text1"/>
          <w:szCs w:val="24"/>
          <w:lang w:val="en-GB"/>
        </w:rPr>
        <w:footnoteReference w:id="1"/>
      </w:r>
      <w:r w:rsidR="00C20697" w:rsidRPr="0010696C">
        <w:rPr>
          <w:lang w:val="en-GB"/>
        </w:rPr>
        <w:t xml:space="preserve"> </w:t>
      </w:r>
      <w:r w:rsidRPr="0010696C">
        <w:rPr>
          <w:lang w:val="en-GB"/>
        </w:rPr>
        <w:t xml:space="preserve"> </w:t>
      </w:r>
      <w:r w:rsidR="00675ED7" w:rsidRPr="0010696C">
        <w:rPr>
          <w:color w:val="000000" w:themeColor="text1"/>
          <w:szCs w:val="24"/>
          <w:lang w:val="en-GB"/>
        </w:rPr>
        <w:t xml:space="preserve">As things stand, </w:t>
      </w:r>
      <w:r w:rsidRPr="0010696C">
        <w:rPr>
          <w:color w:val="000000" w:themeColor="text1"/>
          <w:szCs w:val="24"/>
          <w:lang w:val="en-GB"/>
        </w:rPr>
        <w:t xml:space="preserve">Amplifin is the system operator and Capitec </w:t>
      </w:r>
      <w:r w:rsidR="004717A8" w:rsidRPr="0010696C">
        <w:rPr>
          <w:color w:val="000000" w:themeColor="text1"/>
          <w:szCs w:val="24"/>
          <w:lang w:val="en-GB"/>
        </w:rPr>
        <w:t xml:space="preserve">is </w:t>
      </w:r>
      <w:r w:rsidRPr="0010696C">
        <w:rPr>
          <w:color w:val="000000" w:themeColor="text1"/>
          <w:szCs w:val="24"/>
          <w:lang w:val="en-GB"/>
        </w:rPr>
        <w:t xml:space="preserve">the bank.  Amplifin has the tools to </w:t>
      </w:r>
      <w:r w:rsidR="00675ED7" w:rsidRPr="0010696C">
        <w:rPr>
          <w:color w:val="000000" w:themeColor="text1"/>
          <w:szCs w:val="24"/>
          <w:lang w:val="en-GB"/>
        </w:rPr>
        <w:t>pull outstanding amounts from the customers</w:t>
      </w:r>
      <w:r w:rsidR="00F32FD7" w:rsidRPr="0010696C">
        <w:rPr>
          <w:color w:val="000000" w:themeColor="text1"/>
          <w:szCs w:val="24"/>
          <w:lang w:val="en-GB"/>
        </w:rPr>
        <w:t>’</w:t>
      </w:r>
      <w:r w:rsidR="00675ED7" w:rsidRPr="0010696C">
        <w:rPr>
          <w:color w:val="000000" w:themeColor="text1"/>
          <w:szCs w:val="24"/>
          <w:lang w:val="en-GB"/>
        </w:rPr>
        <w:t xml:space="preserve"> accounts</w:t>
      </w:r>
      <w:r w:rsidR="00D3459F" w:rsidRPr="0010696C">
        <w:rPr>
          <w:color w:val="000000" w:themeColor="text1"/>
          <w:szCs w:val="24"/>
          <w:lang w:val="en-GB"/>
        </w:rPr>
        <w:t xml:space="preserve"> but </w:t>
      </w:r>
      <w:r w:rsidR="00D34719">
        <w:rPr>
          <w:color w:val="000000" w:themeColor="text1"/>
          <w:szCs w:val="24"/>
          <w:lang w:val="en-GB"/>
        </w:rPr>
        <w:t>Amplifin</w:t>
      </w:r>
      <w:r w:rsidR="00D3459F" w:rsidRPr="0010696C">
        <w:rPr>
          <w:color w:val="000000" w:themeColor="text1"/>
          <w:szCs w:val="24"/>
          <w:lang w:val="en-GB"/>
        </w:rPr>
        <w:t xml:space="preserve"> needs </w:t>
      </w:r>
      <w:r w:rsidRPr="0010696C">
        <w:rPr>
          <w:color w:val="000000" w:themeColor="text1"/>
          <w:szCs w:val="24"/>
          <w:lang w:val="en-GB"/>
        </w:rPr>
        <w:t>Capitec because only a bank can undertake the necessary clearing (checking)</w:t>
      </w:r>
      <w:r w:rsidR="007B4E5E" w:rsidRPr="0010696C">
        <w:rPr>
          <w:rStyle w:val="FootnoteReference"/>
          <w:color w:val="000000" w:themeColor="text1"/>
          <w:szCs w:val="24"/>
          <w:lang w:val="en-GB"/>
        </w:rPr>
        <w:footnoteReference w:id="2"/>
      </w:r>
      <w:r w:rsidRPr="0010696C">
        <w:rPr>
          <w:color w:val="000000" w:themeColor="text1"/>
          <w:szCs w:val="24"/>
          <w:lang w:val="en-GB"/>
        </w:rPr>
        <w:t xml:space="preserve"> and settlement (transfer)</w:t>
      </w:r>
      <w:r w:rsidR="000C6F39" w:rsidRPr="0010696C">
        <w:rPr>
          <w:rStyle w:val="FootnoteReference"/>
          <w:color w:val="000000" w:themeColor="text1"/>
          <w:szCs w:val="24"/>
          <w:lang w:val="en-GB"/>
        </w:rPr>
        <w:footnoteReference w:id="3"/>
      </w:r>
      <w:r w:rsidRPr="0010696C">
        <w:rPr>
          <w:color w:val="000000" w:themeColor="text1"/>
          <w:szCs w:val="24"/>
          <w:lang w:val="en-GB"/>
        </w:rPr>
        <w:t xml:space="preserve"> </w:t>
      </w:r>
      <w:r w:rsidR="00BA7B62" w:rsidRPr="0010696C">
        <w:rPr>
          <w:color w:val="000000" w:themeColor="text1"/>
          <w:szCs w:val="24"/>
          <w:lang w:val="en-GB"/>
        </w:rPr>
        <w:t xml:space="preserve">activities </w:t>
      </w:r>
      <w:r w:rsidRPr="0010696C">
        <w:rPr>
          <w:color w:val="000000" w:themeColor="text1"/>
          <w:szCs w:val="24"/>
          <w:lang w:val="en-GB"/>
        </w:rPr>
        <w:t xml:space="preserve">in order to effect an electronic </w:t>
      </w:r>
      <w:r w:rsidR="00675ED7" w:rsidRPr="0010696C">
        <w:rPr>
          <w:color w:val="000000" w:themeColor="text1"/>
          <w:szCs w:val="24"/>
          <w:lang w:val="en-GB"/>
        </w:rPr>
        <w:t>transfer</w:t>
      </w:r>
      <w:r w:rsidRPr="0010696C">
        <w:rPr>
          <w:color w:val="000000" w:themeColor="text1"/>
          <w:szCs w:val="24"/>
          <w:lang w:val="en-GB"/>
        </w:rPr>
        <w:t>.  This is why Capitec is referred</w:t>
      </w:r>
      <w:r w:rsidR="00675ED7" w:rsidRPr="0010696C">
        <w:rPr>
          <w:color w:val="000000" w:themeColor="text1"/>
          <w:szCs w:val="24"/>
          <w:lang w:val="en-GB"/>
        </w:rPr>
        <w:t xml:space="preserve"> in the papers</w:t>
      </w:r>
      <w:r w:rsidRPr="0010696C">
        <w:rPr>
          <w:color w:val="000000" w:themeColor="text1"/>
          <w:szCs w:val="24"/>
          <w:lang w:val="en-GB"/>
        </w:rPr>
        <w:t xml:space="preserve"> as Amplifin</w:t>
      </w:r>
      <w:r w:rsidR="00F32FD7" w:rsidRPr="0010696C">
        <w:rPr>
          <w:color w:val="000000" w:themeColor="text1"/>
          <w:szCs w:val="24"/>
          <w:lang w:val="en-GB"/>
        </w:rPr>
        <w:t>’</w:t>
      </w:r>
      <w:r w:rsidRPr="0010696C">
        <w:rPr>
          <w:color w:val="000000" w:themeColor="text1"/>
          <w:szCs w:val="24"/>
          <w:lang w:val="en-GB"/>
        </w:rPr>
        <w:t xml:space="preserve">s </w:t>
      </w:r>
      <w:r w:rsidR="00F32FD7" w:rsidRPr="0010696C">
        <w:rPr>
          <w:color w:val="000000" w:themeColor="text1"/>
          <w:szCs w:val="24"/>
          <w:lang w:val="en-GB"/>
        </w:rPr>
        <w:t>“</w:t>
      </w:r>
      <w:r w:rsidRPr="0010696C">
        <w:rPr>
          <w:i/>
          <w:iCs/>
          <w:color w:val="000000" w:themeColor="text1"/>
          <w:szCs w:val="24"/>
          <w:lang w:val="en-GB"/>
        </w:rPr>
        <w:t>sponsor bank</w:t>
      </w:r>
      <w:r w:rsidR="00F32FD7" w:rsidRPr="0010696C">
        <w:rPr>
          <w:color w:val="000000" w:themeColor="text1"/>
          <w:szCs w:val="24"/>
          <w:lang w:val="en-GB"/>
        </w:rPr>
        <w:t>”</w:t>
      </w:r>
      <w:r w:rsidRPr="0010696C">
        <w:rPr>
          <w:color w:val="000000" w:themeColor="text1"/>
          <w:szCs w:val="24"/>
          <w:lang w:val="en-GB"/>
        </w:rPr>
        <w:t>.</w:t>
      </w:r>
      <w:r w:rsidR="004810C2" w:rsidRPr="0010696C">
        <w:rPr>
          <w:color w:val="000000" w:themeColor="text1"/>
          <w:szCs w:val="24"/>
          <w:lang w:val="en-GB"/>
        </w:rPr>
        <w:t xml:space="preserve">  </w:t>
      </w:r>
      <w:r w:rsidR="00CD5F40" w:rsidRPr="0010696C">
        <w:rPr>
          <w:color w:val="000000" w:themeColor="text1"/>
          <w:szCs w:val="24"/>
          <w:lang w:val="en-GB"/>
        </w:rPr>
        <w:t xml:space="preserve">There are apparently three models </w:t>
      </w:r>
      <w:r w:rsidR="00C31221" w:rsidRPr="0010696C">
        <w:rPr>
          <w:color w:val="000000" w:themeColor="text1"/>
          <w:szCs w:val="24"/>
          <w:lang w:val="en-GB"/>
        </w:rPr>
        <w:t>to engage a sponsor bank</w:t>
      </w:r>
      <w:r w:rsidR="00811B03" w:rsidRPr="0010696C">
        <w:rPr>
          <w:color w:val="000000" w:themeColor="text1"/>
          <w:szCs w:val="24"/>
          <w:lang w:val="en-GB"/>
        </w:rPr>
        <w:t xml:space="preserve">, namely through direct sponsorship, </w:t>
      </w:r>
      <w:r w:rsidR="00334FAA" w:rsidRPr="0010696C">
        <w:rPr>
          <w:color w:val="000000" w:themeColor="text1"/>
          <w:szCs w:val="24"/>
          <w:lang w:val="en-GB"/>
        </w:rPr>
        <w:t xml:space="preserve">through </w:t>
      </w:r>
      <w:r w:rsidR="00811B03" w:rsidRPr="0010696C">
        <w:rPr>
          <w:color w:val="000000" w:themeColor="text1"/>
          <w:szCs w:val="24"/>
          <w:lang w:val="en-GB"/>
        </w:rPr>
        <w:t>a third</w:t>
      </w:r>
      <w:r w:rsidR="00E5798B" w:rsidRPr="0010696C">
        <w:rPr>
          <w:color w:val="000000" w:themeColor="text1"/>
          <w:szCs w:val="24"/>
          <w:lang w:val="en-GB"/>
        </w:rPr>
        <w:t>-</w:t>
      </w:r>
      <w:r w:rsidR="00811B03" w:rsidRPr="0010696C">
        <w:rPr>
          <w:color w:val="000000" w:themeColor="text1"/>
          <w:szCs w:val="24"/>
          <w:lang w:val="en-GB"/>
        </w:rPr>
        <w:t>party payment</w:t>
      </w:r>
      <w:r w:rsidR="00230BF3" w:rsidRPr="0010696C">
        <w:rPr>
          <w:color w:val="000000" w:themeColor="text1"/>
          <w:szCs w:val="24"/>
          <w:lang w:val="en-GB"/>
        </w:rPr>
        <w:t>s provider and through a system operator.</w:t>
      </w:r>
      <w:r w:rsidR="00C31221" w:rsidRPr="0010696C">
        <w:rPr>
          <w:color w:val="000000" w:themeColor="text1"/>
          <w:szCs w:val="24"/>
          <w:lang w:val="en-GB"/>
        </w:rPr>
        <w:t xml:space="preserve">  It is not necessary to go into </w:t>
      </w:r>
      <w:r w:rsidR="00230BF3" w:rsidRPr="0010696C">
        <w:rPr>
          <w:color w:val="000000" w:themeColor="text1"/>
          <w:szCs w:val="24"/>
          <w:lang w:val="en-GB"/>
        </w:rPr>
        <w:t>the</w:t>
      </w:r>
      <w:r w:rsidR="00824DE9" w:rsidRPr="0010696C">
        <w:rPr>
          <w:color w:val="000000" w:themeColor="text1"/>
          <w:szCs w:val="24"/>
          <w:lang w:val="en-GB"/>
        </w:rPr>
        <w:t xml:space="preserve"> differences between the three.</w:t>
      </w:r>
      <w:r w:rsidR="00230BF3" w:rsidRPr="0010696C">
        <w:rPr>
          <w:color w:val="000000" w:themeColor="text1"/>
          <w:szCs w:val="24"/>
          <w:lang w:val="en-GB"/>
        </w:rPr>
        <w:t xml:space="preserve">  Suffice to say that </w:t>
      </w:r>
      <w:r w:rsidR="000D4753" w:rsidRPr="0010696C">
        <w:rPr>
          <w:color w:val="000000" w:themeColor="text1"/>
          <w:szCs w:val="24"/>
          <w:lang w:val="en-GB"/>
        </w:rPr>
        <w:t>the Applicants are using a syst</w:t>
      </w:r>
      <w:r w:rsidR="00D178B0" w:rsidRPr="0010696C">
        <w:rPr>
          <w:color w:val="000000" w:themeColor="text1"/>
          <w:szCs w:val="24"/>
          <w:lang w:val="en-GB"/>
        </w:rPr>
        <w:t xml:space="preserve">em </w:t>
      </w:r>
      <w:r w:rsidR="000D4753" w:rsidRPr="0010696C">
        <w:rPr>
          <w:color w:val="000000" w:themeColor="text1"/>
          <w:szCs w:val="24"/>
          <w:lang w:val="en-GB"/>
        </w:rPr>
        <w:t xml:space="preserve">operator, </w:t>
      </w:r>
      <w:r w:rsidR="00F00708" w:rsidRPr="0010696C">
        <w:rPr>
          <w:color w:val="000000" w:themeColor="text1"/>
          <w:szCs w:val="24"/>
          <w:lang w:val="en-GB"/>
        </w:rPr>
        <w:t>i.e.</w:t>
      </w:r>
      <w:r w:rsidR="000D4753" w:rsidRPr="0010696C">
        <w:rPr>
          <w:color w:val="000000" w:themeColor="text1"/>
          <w:szCs w:val="24"/>
          <w:lang w:val="en-GB"/>
        </w:rPr>
        <w:t xml:space="preserve"> Amplifin.  </w:t>
      </w:r>
    </w:p>
    <w:p w14:paraId="575A9C6C" w14:textId="5125F232" w:rsidR="00F539C9" w:rsidRPr="0010696C" w:rsidRDefault="00F539C9" w:rsidP="00A678F8">
      <w:pPr>
        <w:pStyle w:val="Level1"/>
        <w:rPr>
          <w:szCs w:val="24"/>
          <w:lang w:val="en-GB"/>
        </w:rPr>
      </w:pPr>
      <w:r w:rsidRPr="0010696C">
        <w:rPr>
          <w:color w:val="000000" w:themeColor="text1"/>
          <w:szCs w:val="24"/>
          <w:lang w:val="en-GB"/>
        </w:rPr>
        <w:t xml:space="preserve">Against this brief background, it is now easier to describe the Capitec </w:t>
      </w:r>
      <w:r w:rsidR="00F60B3A" w:rsidRPr="0010696C">
        <w:rPr>
          <w:color w:val="000000" w:themeColor="text1"/>
          <w:szCs w:val="24"/>
          <w:lang w:val="en-GB"/>
        </w:rPr>
        <w:t>services</w:t>
      </w:r>
      <w:r w:rsidRPr="0010696C">
        <w:rPr>
          <w:color w:val="000000" w:themeColor="text1"/>
          <w:szCs w:val="24"/>
          <w:lang w:val="en-GB"/>
        </w:rPr>
        <w:t xml:space="preserve"> which are the subject of the present application.  They are two-fold:</w:t>
      </w:r>
    </w:p>
    <w:p w14:paraId="496EEBB6" w14:textId="21EFF9F6" w:rsidR="00F539C9" w:rsidRPr="0010696C" w:rsidRDefault="00675ED7" w:rsidP="00F539C9">
      <w:pPr>
        <w:pStyle w:val="Level2"/>
        <w:rPr>
          <w:szCs w:val="24"/>
          <w:lang w:val="en-GB"/>
        </w:rPr>
      </w:pPr>
      <w:r w:rsidRPr="0010696C">
        <w:rPr>
          <w:rFonts w:eastAsiaTheme="minorHAnsi"/>
          <w:szCs w:val="24"/>
          <w:lang w:val="en-GB"/>
        </w:rPr>
        <w:t xml:space="preserve">Firstly, there </w:t>
      </w:r>
      <w:r w:rsidR="00F539C9" w:rsidRPr="0010696C">
        <w:rPr>
          <w:rFonts w:eastAsiaTheme="minorHAnsi"/>
          <w:szCs w:val="24"/>
          <w:lang w:val="en-GB"/>
        </w:rPr>
        <w:t xml:space="preserve">are </w:t>
      </w:r>
      <w:r w:rsidR="003E4167" w:rsidRPr="0010696C">
        <w:rPr>
          <w:rFonts w:eastAsiaTheme="minorHAnsi"/>
          <w:szCs w:val="24"/>
          <w:lang w:val="en-GB"/>
        </w:rPr>
        <w:t>Capitec</w:t>
      </w:r>
      <w:r w:rsidR="00F32FD7" w:rsidRPr="0010696C">
        <w:rPr>
          <w:rFonts w:eastAsiaTheme="minorHAnsi"/>
          <w:szCs w:val="24"/>
          <w:lang w:val="en-GB"/>
        </w:rPr>
        <w:t>’</w:t>
      </w:r>
      <w:r w:rsidR="003E4167" w:rsidRPr="0010696C">
        <w:rPr>
          <w:rFonts w:eastAsiaTheme="minorHAnsi"/>
          <w:szCs w:val="24"/>
          <w:lang w:val="en-GB"/>
        </w:rPr>
        <w:t>s</w:t>
      </w:r>
      <w:r w:rsidR="00F539C9" w:rsidRPr="0010696C">
        <w:rPr>
          <w:rFonts w:eastAsiaTheme="minorHAnsi"/>
          <w:szCs w:val="24"/>
          <w:lang w:val="en-GB"/>
        </w:rPr>
        <w:t xml:space="preserve"> automated electronic transfer facilities (</w:t>
      </w:r>
      <w:r w:rsidR="00F32FD7" w:rsidRPr="0010696C">
        <w:rPr>
          <w:rFonts w:eastAsiaTheme="minorHAnsi"/>
          <w:szCs w:val="24"/>
          <w:lang w:val="en-GB"/>
        </w:rPr>
        <w:t>“</w:t>
      </w:r>
      <w:r w:rsidR="00F539C9" w:rsidRPr="0010696C">
        <w:rPr>
          <w:rFonts w:eastAsiaTheme="minorHAnsi"/>
          <w:b/>
          <w:bCs/>
          <w:szCs w:val="24"/>
          <w:lang w:val="en-GB"/>
        </w:rPr>
        <w:t>AETs</w:t>
      </w:r>
      <w:r w:rsidR="00F32FD7" w:rsidRPr="0010696C">
        <w:rPr>
          <w:rFonts w:eastAsiaTheme="minorHAnsi"/>
          <w:i/>
          <w:iCs/>
          <w:szCs w:val="24"/>
          <w:lang w:val="en-GB"/>
        </w:rPr>
        <w:t>”</w:t>
      </w:r>
      <w:r w:rsidR="00F539C9" w:rsidRPr="0010696C">
        <w:rPr>
          <w:rFonts w:eastAsiaTheme="minorHAnsi"/>
          <w:szCs w:val="24"/>
          <w:lang w:val="en-GB"/>
        </w:rPr>
        <w:t>)</w:t>
      </w:r>
      <w:r w:rsidR="00EA7E05">
        <w:rPr>
          <w:rFonts w:eastAsiaTheme="minorHAnsi"/>
          <w:szCs w:val="24"/>
          <w:lang w:val="en-GB"/>
        </w:rPr>
        <w:t xml:space="preserve">. </w:t>
      </w:r>
      <w:r w:rsidR="00F539C9" w:rsidRPr="0010696C">
        <w:rPr>
          <w:szCs w:val="24"/>
          <w:lang w:val="en-GB"/>
        </w:rPr>
        <w:t xml:space="preserve">Although the exact characterisation </w:t>
      </w:r>
      <w:r w:rsidR="00BD3842">
        <w:rPr>
          <w:szCs w:val="24"/>
          <w:lang w:val="en-GB"/>
        </w:rPr>
        <w:t xml:space="preserve">of these accounts </w:t>
      </w:r>
      <w:r w:rsidR="00F539C9" w:rsidRPr="0010696C">
        <w:rPr>
          <w:szCs w:val="24"/>
          <w:lang w:val="en-GB"/>
        </w:rPr>
        <w:t>is in dispute, it is safe to say that the AETs are special (non-transactional) bank accounts, opened in the name of each of the Applicants</w:t>
      </w:r>
      <w:r w:rsidRPr="0010696C">
        <w:rPr>
          <w:szCs w:val="24"/>
          <w:lang w:val="en-GB"/>
        </w:rPr>
        <w:t xml:space="preserve"> with Capitec</w:t>
      </w:r>
      <w:r w:rsidR="00F539C9" w:rsidRPr="0010696C">
        <w:rPr>
          <w:szCs w:val="24"/>
          <w:lang w:val="en-GB"/>
        </w:rPr>
        <w:t xml:space="preserve">, which are used </w:t>
      </w:r>
      <w:r w:rsidRPr="0010696C">
        <w:rPr>
          <w:szCs w:val="24"/>
          <w:lang w:val="en-GB"/>
        </w:rPr>
        <w:t xml:space="preserve">by Amplifin </w:t>
      </w:r>
      <w:r w:rsidR="00F539C9" w:rsidRPr="0010696C">
        <w:rPr>
          <w:szCs w:val="24"/>
          <w:lang w:val="en-GB"/>
        </w:rPr>
        <w:t>to channel payments pulled from customers</w:t>
      </w:r>
      <w:r w:rsidR="00F32FD7" w:rsidRPr="0010696C">
        <w:rPr>
          <w:szCs w:val="24"/>
          <w:lang w:val="en-GB"/>
        </w:rPr>
        <w:t>’</w:t>
      </w:r>
      <w:r w:rsidR="00F539C9" w:rsidRPr="0010696C">
        <w:rPr>
          <w:szCs w:val="24"/>
          <w:lang w:val="en-GB"/>
        </w:rPr>
        <w:t xml:space="preserve"> bank accounts to the Applicants</w:t>
      </w:r>
      <w:r w:rsidR="00F32FD7" w:rsidRPr="0010696C">
        <w:rPr>
          <w:szCs w:val="24"/>
          <w:lang w:val="en-GB"/>
        </w:rPr>
        <w:t>’</w:t>
      </w:r>
      <w:r w:rsidR="00F539C9" w:rsidRPr="0010696C">
        <w:rPr>
          <w:szCs w:val="24"/>
          <w:lang w:val="en-GB"/>
        </w:rPr>
        <w:t xml:space="preserve"> ordinary transactional bank accounts </w:t>
      </w:r>
      <w:r w:rsidR="005E3226">
        <w:rPr>
          <w:szCs w:val="24"/>
          <w:lang w:val="en-GB"/>
        </w:rPr>
        <w:t xml:space="preserve">held </w:t>
      </w:r>
      <w:r w:rsidR="00F539C9" w:rsidRPr="0010696C">
        <w:rPr>
          <w:szCs w:val="24"/>
          <w:lang w:val="en-GB"/>
        </w:rPr>
        <w:t>with Nedbank.</w:t>
      </w:r>
      <w:r w:rsidRPr="0010696C">
        <w:rPr>
          <w:szCs w:val="24"/>
          <w:lang w:val="en-GB"/>
        </w:rPr>
        <w:t xml:space="preserve">  In other words, </w:t>
      </w:r>
      <w:r w:rsidR="005E3226">
        <w:rPr>
          <w:szCs w:val="24"/>
          <w:lang w:val="en-GB"/>
        </w:rPr>
        <w:t xml:space="preserve">once </w:t>
      </w:r>
      <w:r w:rsidRPr="0010696C">
        <w:rPr>
          <w:szCs w:val="24"/>
          <w:lang w:val="en-GB"/>
        </w:rPr>
        <w:t>the money is pulled from the customers</w:t>
      </w:r>
      <w:r w:rsidR="00F32FD7" w:rsidRPr="0010696C">
        <w:rPr>
          <w:szCs w:val="24"/>
          <w:lang w:val="en-GB"/>
        </w:rPr>
        <w:t>’</w:t>
      </w:r>
      <w:r w:rsidRPr="0010696C">
        <w:rPr>
          <w:szCs w:val="24"/>
          <w:lang w:val="en-GB"/>
        </w:rPr>
        <w:t xml:space="preserve"> bank accounts </w:t>
      </w:r>
      <w:r w:rsidR="00BD3842">
        <w:rPr>
          <w:szCs w:val="24"/>
          <w:lang w:val="en-GB"/>
        </w:rPr>
        <w:t xml:space="preserve">it </w:t>
      </w:r>
      <w:r w:rsidRPr="0010696C">
        <w:rPr>
          <w:szCs w:val="24"/>
          <w:lang w:val="en-GB"/>
        </w:rPr>
        <w:t xml:space="preserve">flows through the </w:t>
      </w:r>
      <w:r w:rsidRPr="0010696C">
        <w:rPr>
          <w:szCs w:val="24"/>
          <w:lang w:val="en-GB"/>
        </w:rPr>
        <w:lastRenderedPageBreak/>
        <w:t>Applicants</w:t>
      </w:r>
      <w:r w:rsidR="00F60B3A" w:rsidRPr="0010696C">
        <w:rPr>
          <w:szCs w:val="24"/>
          <w:lang w:val="en-GB"/>
        </w:rPr>
        <w:t>’</w:t>
      </w:r>
      <w:r w:rsidRPr="0010696C">
        <w:rPr>
          <w:szCs w:val="24"/>
          <w:lang w:val="en-GB"/>
        </w:rPr>
        <w:t xml:space="preserve"> </w:t>
      </w:r>
      <w:r w:rsidRPr="0010696C">
        <w:rPr>
          <w:color w:val="000000" w:themeColor="text1"/>
          <w:szCs w:val="24"/>
          <w:lang w:val="en-GB"/>
        </w:rPr>
        <w:t>non-transactional</w:t>
      </w:r>
      <w:r w:rsidRPr="0010696C">
        <w:rPr>
          <w:szCs w:val="24"/>
          <w:lang w:val="en-GB"/>
        </w:rPr>
        <w:t xml:space="preserve"> </w:t>
      </w:r>
      <w:r w:rsidR="0018699D" w:rsidRPr="0010696C">
        <w:rPr>
          <w:szCs w:val="24"/>
          <w:lang w:val="en-GB"/>
        </w:rPr>
        <w:t xml:space="preserve">AET </w:t>
      </w:r>
      <w:r w:rsidRPr="0010696C">
        <w:rPr>
          <w:szCs w:val="24"/>
          <w:lang w:val="en-GB"/>
        </w:rPr>
        <w:t>Capitec account</w:t>
      </w:r>
      <w:r w:rsidR="00F60B3A" w:rsidRPr="0010696C">
        <w:rPr>
          <w:szCs w:val="24"/>
          <w:lang w:val="en-GB"/>
        </w:rPr>
        <w:t>s</w:t>
      </w:r>
      <w:r w:rsidRPr="0010696C">
        <w:rPr>
          <w:szCs w:val="24"/>
          <w:lang w:val="en-GB"/>
        </w:rPr>
        <w:t xml:space="preserve"> to the Applicants</w:t>
      </w:r>
      <w:r w:rsidR="00F60B3A" w:rsidRPr="0010696C">
        <w:rPr>
          <w:szCs w:val="24"/>
          <w:lang w:val="en-GB"/>
        </w:rPr>
        <w:t>’</w:t>
      </w:r>
      <w:r w:rsidRPr="0010696C">
        <w:rPr>
          <w:szCs w:val="24"/>
          <w:lang w:val="en-GB"/>
        </w:rPr>
        <w:t xml:space="preserve"> transactional Nedbank account.  </w:t>
      </w:r>
    </w:p>
    <w:p w14:paraId="7AA3023A" w14:textId="329ECB77" w:rsidR="00F539C9" w:rsidRPr="0010696C" w:rsidRDefault="00675ED7" w:rsidP="00F539C9">
      <w:pPr>
        <w:pStyle w:val="Level2"/>
        <w:rPr>
          <w:szCs w:val="24"/>
          <w:lang w:val="en-GB"/>
        </w:rPr>
      </w:pPr>
      <w:r w:rsidRPr="0010696C">
        <w:rPr>
          <w:szCs w:val="24"/>
          <w:lang w:val="en-GB"/>
        </w:rPr>
        <w:t>Secondly, there</w:t>
      </w:r>
      <w:r w:rsidR="00F539C9" w:rsidRPr="0010696C">
        <w:rPr>
          <w:szCs w:val="24"/>
          <w:lang w:val="en-GB"/>
        </w:rPr>
        <w:t xml:space="preserve"> are </w:t>
      </w:r>
      <w:r w:rsidR="00F51172">
        <w:rPr>
          <w:szCs w:val="24"/>
          <w:lang w:val="en-GB"/>
        </w:rPr>
        <w:t xml:space="preserve">Capitec’s </w:t>
      </w:r>
      <w:r w:rsidR="00F539C9" w:rsidRPr="0010696C">
        <w:rPr>
          <w:szCs w:val="24"/>
          <w:lang w:val="en-GB"/>
        </w:rPr>
        <w:t>point-of-sale (</w:t>
      </w:r>
      <w:r w:rsidR="00F32FD7" w:rsidRPr="0010696C">
        <w:rPr>
          <w:szCs w:val="24"/>
          <w:lang w:val="en-GB"/>
        </w:rPr>
        <w:t>“</w:t>
      </w:r>
      <w:r w:rsidR="00F539C9" w:rsidRPr="0010696C">
        <w:rPr>
          <w:b/>
          <w:bCs/>
          <w:szCs w:val="24"/>
          <w:lang w:val="en-GB"/>
        </w:rPr>
        <w:t>POS</w:t>
      </w:r>
      <w:r w:rsidR="00F32FD7" w:rsidRPr="0010696C">
        <w:rPr>
          <w:szCs w:val="24"/>
          <w:lang w:val="en-GB"/>
        </w:rPr>
        <w:t>”</w:t>
      </w:r>
      <w:r w:rsidR="00F539C9" w:rsidRPr="0010696C">
        <w:rPr>
          <w:szCs w:val="24"/>
          <w:lang w:val="en-GB"/>
        </w:rPr>
        <w:t>)</w:t>
      </w:r>
      <w:r w:rsidR="00F539C9" w:rsidRPr="0010696C">
        <w:rPr>
          <w:i/>
          <w:iCs/>
          <w:szCs w:val="24"/>
          <w:lang w:val="en-GB"/>
        </w:rPr>
        <w:t xml:space="preserve"> </w:t>
      </w:r>
      <w:r w:rsidR="00F539C9" w:rsidRPr="0010696C">
        <w:rPr>
          <w:szCs w:val="24"/>
          <w:lang w:val="en-GB"/>
        </w:rPr>
        <w:t>facilities</w:t>
      </w:r>
      <w:r w:rsidR="00F51172">
        <w:rPr>
          <w:szCs w:val="24"/>
          <w:lang w:val="en-GB"/>
        </w:rPr>
        <w:t>.  These are</w:t>
      </w:r>
      <w:r w:rsidR="00F539C9" w:rsidRPr="0010696C">
        <w:rPr>
          <w:szCs w:val="24"/>
          <w:lang w:val="en-GB"/>
        </w:rPr>
        <w:t xml:space="preserve"> device</w:t>
      </w:r>
      <w:r w:rsidR="00F51172">
        <w:rPr>
          <w:szCs w:val="24"/>
          <w:lang w:val="en-GB"/>
        </w:rPr>
        <w:t>s</w:t>
      </w:r>
      <w:r w:rsidR="00F539C9" w:rsidRPr="0010696C">
        <w:rPr>
          <w:szCs w:val="24"/>
          <w:lang w:val="en-GB"/>
        </w:rPr>
        <w:t xml:space="preserve"> </w:t>
      </w:r>
      <w:r w:rsidR="00F60B3A" w:rsidRPr="0010696C">
        <w:rPr>
          <w:szCs w:val="24"/>
          <w:lang w:val="en-GB"/>
        </w:rPr>
        <w:t xml:space="preserve">used </w:t>
      </w:r>
      <w:r w:rsidR="00FC5260">
        <w:rPr>
          <w:szCs w:val="24"/>
          <w:lang w:val="en-GB"/>
        </w:rPr>
        <w:t xml:space="preserve">for a different way of </w:t>
      </w:r>
      <w:r w:rsidR="00863F43">
        <w:rPr>
          <w:szCs w:val="24"/>
          <w:lang w:val="en-GB"/>
        </w:rPr>
        <w:t xml:space="preserve">obtaining </w:t>
      </w:r>
      <w:r w:rsidR="00FC5260">
        <w:rPr>
          <w:szCs w:val="24"/>
          <w:lang w:val="en-GB"/>
        </w:rPr>
        <w:t xml:space="preserve">payments.  </w:t>
      </w:r>
      <w:r w:rsidRPr="0010696C">
        <w:rPr>
          <w:szCs w:val="24"/>
          <w:lang w:val="en-GB"/>
        </w:rPr>
        <w:t>The Applicants would use Capitec</w:t>
      </w:r>
      <w:r w:rsidR="00F32FD7" w:rsidRPr="0010696C">
        <w:rPr>
          <w:szCs w:val="24"/>
          <w:lang w:val="en-GB"/>
        </w:rPr>
        <w:t>’</w:t>
      </w:r>
      <w:r w:rsidRPr="0010696C">
        <w:rPr>
          <w:szCs w:val="24"/>
          <w:lang w:val="en-GB"/>
        </w:rPr>
        <w:t>s POS facilit</w:t>
      </w:r>
      <w:r w:rsidR="009B1CD8">
        <w:rPr>
          <w:szCs w:val="24"/>
          <w:lang w:val="en-GB"/>
        </w:rPr>
        <w:t>ies</w:t>
      </w:r>
      <w:r w:rsidR="00F539C9" w:rsidRPr="0010696C">
        <w:rPr>
          <w:szCs w:val="24"/>
          <w:lang w:val="en-GB"/>
        </w:rPr>
        <w:t xml:space="preserve"> </w:t>
      </w:r>
      <w:r w:rsidRPr="0010696C">
        <w:rPr>
          <w:szCs w:val="24"/>
          <w:lang w:val="en-GB"/>
        </w:rPr>
        <w:t>much like a</w:t>
      </w:r>
      <w:r w:rsidR="00F539C9" w:rsidRPr="0010696C">
        <w:rPr>
          <w:szCs w:val="24"/>
          <w:lang w:val="en-GB"/>
        </w:rPr>
        <w:t xml:space="preserve"> vendor</w:t>
      </w:r>
      <w:r w:rsidRPr="0010696C">
        <w:rPr>
          <w:szCs w:val="24"/>
          <w:lang w:val="en-GB"/>
        </w:rPr>
        <w:t xml:space="preserve"> would use a </w:t>
      </w:r>
      <w:r w:rsidR="00F539C9" w:rsidRPr="0010696C">
        <w:rPr>
          <w:szCs w:val="24"/>
          <w:lang w:val="en-GB"/>
        </w:rPr>
        <w:t xml:space="preserve">credit card machine to </w:t>
      </w:r>
      <w:r w:rsidRPr="0010696C">
        <w:rPr>
          <w:szCs w:val="24"/>
          <w:lang w:val="en-GB"/>
        </w:rPr>
        <w:t>obtain payments</w:t>
      </w:r>
      <w:r w:rsidR="00F539C9" w:rsidRPr="0010696C">
        <w:rPr>
          <w:szCs w:val="24"/>
          <w:lang w:val="en-GB"/>
        </w:rPr>
        <w:t xml:space="preserve"> for goods purchased. </w:t>
      </w:r>
      <w:r w:rsidR="006C7B9D">
        <w:rPr>
          <w:szCs w:val="24"/>
          <w:lang w:val="en-GB"/>
        </w:rPr>
        <w:t xml:space="preserve"> This means that p</w:t>
      </w:r>
      <w:r w:rsidRPr="0010696C">
        <w:rPr>
          <w:szCs w:val="24"/>
          <w:lang w:val="en-GB"/>
        </w:rPr>
        <w:t xml:space="preserve">ayments are </w:t>
      </w:r>
      <w:r w:rsidR="00F32FD7" w:rsidRPr="0010696C">
        <w:rPr>
          <w:szCs w:val="24"/>
          <w:lang w:val="en-GB"/>
        </w:rPr>
        <w:t>“</w:t>
      </w:r>
      <w:r w:rsidR="00F539C9" w:rsidRPr="0010696C">
        <w:rPr>
          <w:i/>
          <w:iCs/>
          <w:szCs w:val="24"/>
          <w:lang w:val="en-GB"/>
        </w:rPr>
        <w:t>pushed</w:t>
      </w:r>
      <w:r w:rsidR="00F32FD7" w:rsidRPr="0010696C">
        <w:rPr>
          <w:szCs w:val="24"/>
          <w:lang w:val="en-GB"/>
        </w:rPr>
        <w:t>”</w:t>
      </w:r>
      <w:r w:rsidR="00F539C9" w:rsidRPr="0010696C">
        <w:rPr>
          <w:szCs w:val="24"/>
          <w:lang w:val="en-GB"/>
        </w:rPr>
        <w:t xml:space="preserve"> from the customers</w:t>
      </w:r>
      <w:r w:rsidR="00F32FD7" w:rsidRPr="0010696C">
        <w:rPr>
          <w:szCs w:val="24"/>
          <w:lang w:val="en-GB"/>
        </w:rPr>
        <w:t>’</w:t>
      </w:r>
      <w:r w:rsidR="00F539C9" w:rsidRPr="0010696C">
        <w:rPr>
          <w:szCs w:val="24"/>
          <w:lang w:val="en-GB"/>
        </w:rPr>
        <w:t xml:space="preserve"> bank account to the </w:t>
      </w:r>
      <w:r w:rsidRPr="0010696C">
        <w:rPr>
          <w:szCs w:val="24"/>
          <w:lang w:val="en-GB"/>
        </w:rPr>
        <w:t xml:space="preserve">Capitec </w:t>
      </w:r>
      <w:r w:rsidR="00F539C9" w:rsidRPr="0010696C">
        <w:rPr>
          <w:szCs w:val="24"/>
          <w:lang w:val="en-GB"/>
        </w:rPr>
        <w:t>AET facility and from there to the Applicants</w:t>
      </w:r>
      <w:r w:rsidR="00F32FD7" w:rsidRPr="0010696C">
        <w:rPr>
          <w:szCs w:val="24"/>
          <w:lang w:val="en-GB"/>
        </w:rPr>
        <w:t>’</w:t>
      </w:r>
      <w:r w:rsidR="00F539C9" w:rsidRPr="0010696C">
        <w:rPr>
          <w:szCs w:val="24"/>
          <w:lang w:val="en-GB"/>
        </w:rPr>
        <w:t xml:space="preserve"> Nedbank accounts.</w:t>
      </w:r>
      <w:r w:rsidR="00623019" w:rsidRPr="0010696C">
        <w:rPr>
          <w:szCs w:val="24"/>
          <w:lang w:val="en-GB"/>
        </w:rPr>
        <w:t xml:space="preserve">  </w:t>
      </w:r>
      <w:r w:rsidR="00715F31" w:rsidRPr="0010696C">
        <w:rPr>
          <w:szCs w:val="24"/>
          <w:lang w:val="en-GB"/>
        </w:rPr>
        <w:t>As I shall explain below, in</w:t>
      </w:r>
      <w:r w:rsidR="00435255" w:rsidRPr="0010696C">
        <w:rPr>
          <w:szCs w:val="24"/>
          <w:lang w:val="en-GB"/>
        </w:rPr>
        <w:t xml:space="preserve"> the</w:t>
      </w:r>
      <w:r w:rsidR="006C7B9D">
        <w:rPr>
          <w:szCs w:val="24"/>
          <w:lang w:val="en-GB"/>
        </w:rPr>
        <w:t>ir</w:t>
      </w:r>
      <w:r w:rsidR="00435255" w:rsidRPr="0010696C">
        <w:rPr>
          <w:szCs w:val="24"/>
          <w:lang w:val="en-GB"/>
        </w:rPr>
        <w:t xml:space="preserve"> replying affidavit, </w:t>
      </w:r>
      <w:r w:rsidR="00715F31" w:rsidRPr="0010696C">
        <w:rPr>
          <w:szCs w:val="24"/>
          <w:lang w:val="en-GB"/>
        </w:rPr>
        <w:t xml:space="preserve">the Applicants </w:t>
      </w:r>
      <w:r w:rsidR="00F60B3A" w:rsidRPr="0010696C">
        <w:rPr>
          <w:szCs w:val="24"/>
          <w:lang w:val="en-GB"/>
        </w:rPr>
        <w:t xml:space="preserve">added a new contention to the effect </w:t>
      </w:r>
      <w:r w:rsidR="00623019" w:rsidRPr="0010696C">
        <w:rPr>
          <w:szCs w:val="24"/>
          <w:lang w:val="en-GB"/>
        </w:rPr>
        <w:t>that the POS facilities are necessary to perform a verification exercise on a potential customer</w:t>
      </w:r>
      <w:r w:rsidR="00F32FD7" w:rsidRPr="0010696C">
        <w:rPr>
          <w:szCs w:val="24"/>
          <w:lang w:val="en-GB"/>
        </w:rPr>
        <w:t>’</w:t>
      </w:r>
      <w:r w:rsidR="00623019" w:rsidRPr="0010696C">
        <w:rPr>
          <w:szCs w:val="24"/>
          <w:lang w:val="en-GB"/>
        </w:rPr>
        <w:t xml:space="preserve">s bank account details and that it is accordingly not just a nice-to-have </w:t>
      </w:r>
      <w:r w:rsidR="003373EF">
        <w:rPr>
          <w:szCs w:val="24"/>
          <w:lang w:val="en-GB"/>
        </w:rPr>
        <w:t xml:space="preserve">credit card machine </w:t>
      </w:r>
      <w:r w:rsidR="00623019" w:rsidRPr="0010696C">
        <w:rPr>
          <w:szCs w:val="24"/>
          <w:lang w:val="en-GB"/>
        </w:rPr>
        <w:t>but a necessary component of the</w:t>
      </w:r>
      <w:r w:rsidR="00173D76" w:rsidRPr="0010696C">
        <w:rPr>
          <w:szCs w:val="24"/>
          <w:lang w:val="en-GB"/>
        </w:rPr>
        <w:t xml:space="preserve"> Applicants</w:t>
      </w:r>
      <w:r w:rsidR="00F32FD7" w:rsidRPr="0010696C">
        <w:rPr>
          <w:szCs w:val="24"/>
          <w:lang w:val="en-GB"/>
        </w:rPr>
        <w:t>’</w:t>
      </w:r>
      <w:r w:rsidR="00173D76" w:rsidRPr="0010696C">
        <w:rPr>
          <w:szCs w:val="24"/>
          <w:lang w:val="en-GB"/>
        </w:rPr>
        <w:t xml:space="preserve"> business operations. </w:t>
      </w:r>
      <w:r w:rsidR="00F14490" w:rsidRPr="0010696C">
        <w:rPr>
          <w:szCs w:val="24"/>
          <w:lang w:val="en-GB"/>
        </w:rPr>
        <w:t xml:space="preserve"> This aspect was emphasized at the hearing by Mr P Louw SC, who appeared for the Applicants together with Mr </w:t>
      </w:r>
      <w:r w:rsidR="008075E3" w:rsidRPr="0010696C">
        <w:rPr>
          <w:szCs w:val="24"/>
          <w:lang w:val="en-GB"/>
        </w:rPr>
        <w:t>R</w:t>
      </w:r>
      <w:r w:rsidR="00BE5E7E" w:rsidRPr="0010696C">
        <w:rPr>
          <w:szCs w:val="24"/>
          <w:lang w:val="en-GB"/>
        </w:rPr>
        <w:t xml:space="preserve"> </w:t>
      </w:r>
      <w:r w:rsidR="00F14490" w:rsidRPr="0010696C">
        <w:rPr>
          <w:szCs w:val="24"/>
          <w:lang w:val="en-GB"/>
        </w:rPr>
        <w:t>Van Rooyen SC</w:t>
      </w:r>
      <w:r w:rsidR="008075E3" w:rsidRPr="0010696C">
        <w:rPr>
          <w:szCs w:val="24"/>
          <w:lang w:val="en-GB"/>
        </w:rPr>
        <w:t xml:space="preserve">.  </w:t>
      </w:r>
    </w:p>
    <w:p w14:paraId="6F338FC9" w14:textId="152FE863" w:rsidR="001B1EC3" w:rsidRPr="0010696C" w:rsidRDefault="00D84A66" w:rsidP="00F539C9">
      <w:pPr>
        <w:pStyle w:val="Level1"/>
        <w:rPr>
          <w:szCs w:val="24"/>
          <w:lang w:val="en-GB"/>
        </w:rPr>
      </w:pPr>
      <w:r>
        <w:rPr>
          <w:szCs w:val="24"/>
          <w:lang w:val="en-GB"/>
        </w:rPr>
        <w:t>The matter is to be decided on that basis that, if</w:t>
      </w:r>
      <w:r w:rsidR="001B1EC3" w:rsidRPr="0010696C">
        <w:rPr>
          <w:szCs w:val="24"/>
          <w:lang w:val="en-GB"/>
        </w:rPr>
        <w:t xml:space="preserve"> the interim interdict is not granted, t</w:t>
      </w:r>
      <w:r w:rsidR="00DC2B3A" w:rsidRPr="0010696C">
        <w:rPr>
          <w:szCs w:val="24"/>
          <w:lang w:val="en-GB"/>
        </w:rPr>
        <w:t>he</w:t>
      </w:r>
      <w:r w:rsidR="00BE5E7E" w:rsidRPr="0010696C">
        <w:rPr>
          <w:szCs w:val="24"/>
          <w:lang w:val="en-GB"/>
        </w:rPr>
        <w:t xml:space="preserve"> AET and POS</w:t>
      </w:r>
      <w:r w:rsidR="008D2D78" w:rsidRPr="0010696C">
        <w:rPr>
          <w:szCs w:val="24"/>
          <w:lang w:val="en-GB"/>
        </w:rPr>
        <w:t xml:space="preserve"> facilities</w:t>
      </w:r>
      <w:r w:rsidR="008075E3" w:rsidRPr="0010696C">
        <w:rPr>
          <w:szCs w:val="24"/>
          <w:lang w:val="en-GB"/>
        </w:rPr>
        <w:t xml:space="preserve"> </w:t>
      </w:r>
      <w:r w:rsidR="00044406" w:rsidRPr="0010696C">
        <w:rPr>
          <w:szCs w:val="24"/>
          <w:lang w:val="en-GB"/>
        </w:rPr>
        <w:t>will be</w:t>
      </w:r>
      <w:r w:rsidR="001B1EC3" w:rsidRPr="0010696C">
        <w:rPr>
          <w:szCs w:val="24"/>
          <w:lang w:val="en-GB"/>
        </w:rPr>
        <w:t xml:space="preserve"> terminate</w:t>
      </w:r>
      <w:r w:rsidR="00044406" w:rsidRPr="0010696C">
        <w:rPr>
          <w:szCs w:val="24"/>
          <w:lang w:val="en-GB"/>
        </w:rPr>
        <w:t>d</w:t>
      </w:r>
      <w:r w:rsidR="001B1EC3" w:rsidRPr="0010696C">
        <w:rPr>
          <w:szCs w:val="24"/>
          <w:lang w:val="en-GB"/>
        </w:rPr>
        <w:t xml:space="preserve"> come 9</w:t>
      </w:r>
      <w:r w:rsidR="00F32FD7" w:rsidRPr="0010696C">
        <w:rPr>
          <w:szCs w:val="24"/>
          <w:lang w:val="en-GB"/>
        </w:rPr>
        <w:t> </w:t>
      </w:r>
      <w:r w:rsidR="001B1EC3" w:rsidRPr="0010696C">
        <w:rPr>
          <w:szCs w:val="24"/>
          <w:lang w:val="en-GB"/>
        </w:rPr>
        <w:t>January</w:t>
      </w:r>
      <w:r w:rsidR="00F32FD7" w:rsidRPr="0010696C">
        <w:rPr>
          <w:szCs w:val="24"/>
          <w:lang w:val="en-GB"/>
        </w:rPr>
        <w:t> </w:t>
      </w:r>
      <w:r w:rsidR="001B1EC3" w:rsidRPr="0010696C">
        <w:rPr>
          <w:szCs w:val="24"/>
          <w:lang w:val="en-GB"/>
        </w:rPr>
        <w:t>2024.</w:t>
      </w:r>
      <w:r w:rsidR="00A661F3" w:rsidRPr="0010696C">
        <w:rPr>
          <w:szCs w:val="24"/>
          <w:lang w:val="en-GB"/>
        </w:rPr>
        <w:t xml:space="preserve">  I shall refer to th</w:t>
      </w:r>
      <w:r w:rsidR="008D2D78" w:rsidRPr="0010696C">
        <w:rPr>
          <w:szCs w:val="24"/>
          <w:lang w:val="en-GB"/>
        </w:rPr>
        <w:t xml:space="preserve">e two services </w:t>
      </w:r>
      <w:r w:rsidR="00A661F3" w:rsidRPr="0010696C">
        <w:rPr>
          <w:szCs w:val="24"/>
          <w:lang w:val="en-GB"/>
        </w:rPr>
        <w:t xml:space="preserve">collectively as the </w:t>
      </w:r>
      <w:r w:rsidR="00F32FD7" w:rsidRPr="0010696C">
        <w:rPr>
          <w:szCs w:val="24"/>
          <w:lang w:val="en-GB"/>
        </w:rPr>
        <w:t>“</w:t>
      </w:r>
      <w:r w:rsidR="00AA5086">
        <w:rPr>
          <w:i/>
          <w:iCs/>
          <w:szCs w:val="24"/>
          <w:lang w:val="en-GB"/>
        </w:rPr>
        <w:t xml:space="preserve">Capitec </w:t>
      </w:r>
      <w:r w:rsidR="00A661F3" w:rsidRPr="0010696C">
        <w:rPr>
          <w:i/>
          <w:iCs/>
          <w:szCs w:val="24"/>
          <w:lang w:val="en-GB"/>
        </w:rPr>
        <w:t>services</w:t>
      </w:r>
      <w:r w:rsidR="00F32FD7" w:rsidRPr="0010696C">
        <w:rPr>
          <w:szCs w:val="24"/>
          <w:lang w:val="en-GB"/>
        </w:rPr>
        <w:t>”</w:t>
      </w:r>
      <w:r w:rsidR="00A661F3" w:rsidRPr="0010696C">
        <w:rPr>
          <w:szCs w:val="24"/>
          <w:lang w:val="en-GB"/>
        </w:rPr>
        <w:t>.</w:t>
      </w:r>
    </w:p>
    <w:p w14:paraId="3CA66740" w14:textId="3C97DB73" w:rsidR="000961CE" w:rsidRPr="0010696C" w:rsidRDefault="001B1EC3" w:rsidP="00F539C9">
      <w:pPr>
        <w:pStyle w:val="Level1"/>
        <w:rPr>
          <w:szCs w:val="24"/>
          <w:lang w:val="en-GB"/>
        </w:rPr>
      </w:pPr>
      <w:r w:rsidRPr="0010696C">
        <w:rPr>
          <w:szCs w:val="24"/>
          <w:lang w:val="en-GB"/>
        </w:rPr>
        <w:t xml:space="preserve">The </w:t>
      </w:r>
      <w:r w:rsidR="00DC2B3A" w:rsidRPr="0010696C">
        <w:rPr>
          <w:szCs w:val="24"/>
          <w:lang w:val="en-GB"/>
        </w:rPr>
        <w:t xml:space="preserve">provision of the </w:t>
      </w:r>
      <w:r w:rsidR="00D40B53">
        <w:rPr>
          <w:szCs w:val="24"/>
          <w:lang w:val="en-GB"/>
        </w:rPr>
        <w:t xml:space="preserve">Capitec </w:t>
      </w:r>
      <w:r w:rsidR="00DC2B3A" w:rsidRPr="0010696C">
        <w:rPr>
          <w:szCs w:val="24"/>
          <w:lang w:val="en-GB"/>
        </w:rPr>
        <w:t>services takes place</w:t>
      </w:r>
      <w:r w:rsidR="0056058B" w:rsidRPr="0010696C">
        <w:rPr>
          <w:szCs w:val="24"/>
          <w:lang w:val="en-GB"/>
        </w:rPr>
        <w:t xml:space="preserve"> </w:t>
      </w:r>
      <w:r w:rsidR="004A5639" w:rsidRPr="0010696C">
        <w:rPr>
          <w:szCs w:val="24"/>
          <w:lang w:val="en-GB"/>
        </w:rPr>
        <w:t xml:space="preserve">in terms of </w:t>
      </w:r>
      <w:r w:rsidR="0056058B" w:rsidRPr="0010696C">
        <w:rPr>
          <w:szCs w:val="24"/>
          <w:lang w:val="en-GB"/>
        </w:rPr>
        <w:t xml:space="preserve">a rather complicated contractual </w:t>
      </w:r>
      <w:r w:rsidR="0084367C" w:rsidRPr="0010696C">
        <w:rPr>
          <w:szCs w:val="24"/>
          <w:lang w:val="en-GB"/>
        </w:rPr>
        <w:t xml:space="preserve">regime.  </w:t>
      </w:r>
      <w:r w:rsidR="004A5639" w:rsidRPr="0010696C">
        <w:rPr>
          <w:szCs w:val="24"/>
          <w:lang w:val="en-GB"/>
        </w:rPr>
        <w:t xml:space="preserve">It has no less than five components.  </w:t>
      </w:r>
    </w:p>
    <w:p w14:paraId="00B5A880" w14:textId="1A85AC5F" w:rsidR="00FF4200" w:rsidRPr="0010696C" w:rsidRDefault="0084367C" w:rsidP="00FF4200">
      <w:pPr>
        <w:pStyle w:val="Level1"/>
        <w:rPr>
          <w:szCs w:val="24"/>
          <w:lang w:val="en-GB"/>
        </w:rPr>
      </w:pPr>
      <w:r w:rsidRPr="0010696C">
        <w:rPr>
          <w:szCs w:val="24"/>
          <w:lang w:val="en-GB"/>
        </w:rPr>
        <w:t xml:space="preserve">Firstly, the </w:t>
      </w:r>
      <w:r w:rsidR="00FF4200" w:rsidRPr="0010696C">
        <w:rPr>
          <w:szCs w:val="24"/>
          <w:lang w:val="en-GB"/>
        </w:rPr>
        <w:t xml:space="preserve">Applicants </w:t>
      </w:r>
      <w:r w:rsidR="0056058B" w:rsidRPr="0010696C">
        <w:rPr>
          <w:szCs w:val="24"/>
          <w:lang w:val="en-GB"/>
        </w:rPr>
        <w:t>have concluded agreements of loan with their customers.  Those agreement</w:t>
      </w:r>
      <w:r w:rsidR="00767DE8" w:rsidRPr="0010696C">
        <w:rPr>
          <w:szCs w:val="24"/>
          <w:lang w:val="en-GB"/>
        </w:rPr>
        <w:t>s</w:t>
      </w:r>
      <w:r w:rsidR="0056058B" w:rsidRPr="0010696C">
        <w:rPr>
          <w:szCs w:val="24"/>
          <w:lang w:val="en-GB"/>
        </w:rPr>
        <w:t xml:space="preserve"> are not </w:t>
      </w:r>
      <w:r w:rsidR="00FF4200" w:rsidRPr="0010696C">
        <w:rPr>
          <w:szCs w:val="24"/>
          <w:lang w:val="en-GB"/>
        </w:rPr>
        <w:t xml:space="preserve">before </w:t>
      </w:r>
      <w:r w:rsidR="00733ABC" w:rsidRPr="0010696C">
        <w:rPr>
          <w:szCs w:val="24"/>
          <w:lang w:val="en-GB"/>
        </w:rPr>
        <w:t xml:space="preserve">me </w:t>
      </w:r>
      <w:r w:rsidR="00FF4200" w:rsidRPr="0010696C">
        <w:rPr>
          <w:szCs w:val="24"/>
          <w:lang w:val="en-GB"/>
        </w:rPr>
        <w:t xml:space="preserve">and </w:t>
      </w:r>
      <w:r w:rsidR="00767DE8" w:rsidRPr="0010696C">
        <w:rPr>
          <w:szCs w:val="24"/>
          <w:lang w:val="en-GB"/>
        </w:rPr>
        <w:t xml:space="preserve">they do not </w:t>
      </w:r>
      <w:r w:rsidR="008B2C1A" w:rsidRPr="0010696C">
        <w:rPr>
          <w:szCs w:val="24"/>
          <w:lang w:val="en-GB"/>
        </w:rPr>
        <w:t>form</w:t>
      </w:r>
      <w:r w:rsidR="00FF4200" w:rsidRPr="0010696C">
        <w:rPr>
          <w:szCs w:val="24"/>
          <w:lang w:val="en-GB"/>
        </w:rPr>
        <w:t xml:space="preserve"> part of the dispute.  </w:t>
      </w:r>
      <w:r w:rsidR="00544953">
        <w:rPr>
          <w:szCs w:val="24"/>
          <w:lang w:val="en-GB"/>
        </w:rPr>
        <w:t xml:space="preserve"> These agreements presumably allow the pulling of payments from the </w:t>
      </w:r>
      <w:r w:rsidR="007351CD">
        <w:rPr>
          <w:szCs w:val="24"/>
          <w:lang w:val="en-GB"/>
        </w:rPr>
        <w:t xml:space="preserve">customers’ bank accounts. </w:t>
      </w:r>
    </w:p>
    <w:p w14:paraId="05A38833" w14:textId="42E6EF13" w:rsidR="0056058B" w:rsidRPr="0010696C" w:rsidRDefault="00FF4200" w:rsidP="00FF4200">
      <w:pPr>
        <w:pStyle w:val="Level1"/>
        <w:rPr>
          <w:szCs w:val="24"/>
          <w:lang w:val="en-GB"/>
        </w:rPr>
      </w:pPr>
      <w:r w:rsidRPr="0010696C">
        <w:rPr>
          <w:szCs w:val="24"/>
          <w:lang w:val="en-GB"/>
        </w:rPr>
        <w:lastRenderedPageBreak/>
        <w:t xml:space="preserve">Secondly, </w:t>
      </w:r>
      <w:r w:rsidR="00733ABC" w:rsidRPr="0010696C">
        <w:rPr>
          <w:szCs w:val="24"/>
          <w:lang w:val="en-GB"/>
        </w:rPr>
        <w:t>each one of the A</w:t>
      </w:r>
      <w:r w:rsidR="0056058B" w:rsidRPr="0010696C">
        <w:rPr>
          <w:szCs w:val="24"/>
          <w:lang w:val="en-GB"/>
        </w:rPr>
        <w:t>pplicants ha</w:t>
      </w:r>
      <w:r w:rsidR="002F2D16" w:rsidRPr="0010696C">
        <w:rPr>
          <w:szCs w:val="24"/>
          <w:lang w:val="en-GB"/>
        </w:rPr>
        <w:t xml:space="preserve">s </w:t>
      </w:r>
      <w:r w:rsidR="0056058B" w:rsidRPr="0010696C">
        <w:rPr>
          <w:szCs w:val="24"/>
          <w:lang w:val="en-GB"/>
        </w:rPr>
        <w:t xml:space="preserve">concluded </w:t>
      </w:r>
      <w:r w:rsidR="00733ABC" w:rsidRPr="0010696C">
        <w:rPr>
          <w:szCs w:val="24"/>
          <w:lang w:val="en-GB"/>
        </w:rPr>
        <w:t xml:space="preserve">an </w:t>
      </w:r>
      <w:r w:rsidR="0056058B" w:rsidRPr="0010696C">
        <w:rPr>
          <w:szCs w:val="24"/>
          <w:lang w:val="en-GB"/>
        </w:rPr>
        <w:t>agreement with Amplifin (</w:t>
      </w:r>
      <w:r w:rsidR="00F32FD7" w:rsidRPr="0010696C">
        <w:rPr>
          <w:szCs w:val="24"/>
          <w:lang w:val="en-GB"/>
        </w:rPr>
        <w:t>“</w:t>
      </w:r>
      <w:r w:rsidR="0056058B" w:rsidRPr="00AA3C5A">
        <w:rPr>
          <w:b/>
          <w:bCs/>
          <w:szCs w:val="24"/>
          <w:lang w:val="en-GB"/>
        </w:rPr>
        <w:t>the Amplifin Agreement</w:t>
      </w:r>
      <w:r w:rsidR="00F32FD7" w:rsidRPr="0010696C">
        <w:rPr>
          <w:szCs w:val="24"/>
          <w:lang w:val="en-GB"/>
        </w:rPr>
        <w:t>”</w:t>
      </w:r>
      <w:r w:rsidR="0056058B" w:rsidRPr="0010696C">
        <w:rPr>
          <w:szCs w:val="24"/>
          <w:lang w:val="en-GB"/>
        </w:rPr>
        <w:t>)</w:t>
      </w:r>
      <w:r w:rsidR="00BE7C8D" w:rsidRPr="0010696C">
        <w:rPr>
          <w:szCs w:val="24"/>
          <w:lang w:val="en-GB"/>
        </w:rPr>
        <w:t xml:space="preserve"> for the pulling of payments</w:t>
      </w:r>
      <w:r w:rsidR="00C91AF3">
        <w:rPr>
          <w:szCs w:val="24"/>
          <w:lang w:val="en-GB"/>
        </w:rPr>
        <w:t xml:space="preserve">.  As stated, this function is </w:t>
      </w:r>
      <w:r w:rsidR="00AF0F21">
        <w:rPr>
          <w:szCs w:val="24"/>
          <w:lang w:val="en-GB"/>
        </w:rPr>
        <w:t>performed by Amp</w:t>
      </w:r>
      <w:r w:rsidR="007814F9">
        <w:rPr>
          <w:szCs w:val="24"/>
          <w:lang w:val="en-GB"/>
        </w:rPr>
        <w:t>lifin (with the help of the Capitec services).</w:t>
      </w:r>
      <w:r w:rsidR="0056058B" w:rsidRPr="0010696C">
        <w:rPr>
          <w:szCs w:val="24"/>
          <w:lang w:val="en-GB"/>
        </w:rPr>
        <w:t xml:space="preserve">  The Amplifin Agreement</w:t>
      </w:r>
      <w:r w:rsidR="00A36FDD">
        <w:rPr>
          <w:szCs w:val="24"/>
          <w:lang w:val="en-GB"/>
        </w:rPr>
        <w:t>s hav</w:t>
      </w:r>
      <w:r w:rsidR="00C91AF3">
        <w:rPr>
          <w:szCs w:val="24"/>
          <w:lang w:val="en-GB"/>
        </w:rPr>
        <w:t>e</w:t>
      </w:r>
      <w:r w:rsidR="0056058B" w:rsidRPr="0010696C">
        <w:rPr>
          <w:szCs w:val="24"/>
          <w:lang w:val="en-GB"/>
        </w:rPr>
        <w:t xml:space="preserve"> no fixed term.  Amplifin may cancel </w:t>
      </w:r>
      <w:r w:rsidR="00C91AF3">
        <w:rPr>
          <w:szCs w:val="24"/>
          <w:lang w:val="en-GB"/>
        </w:rPr>
        <w:t xml:space="preserve">this agreement </w:t>
      </w:r>
      <w:r w:rsidR="002B3CA4" w:rsidRPr="0010696C">
        <w:rPr>
          <w:szCs w:val="24"/>
          <w:lang w:val="en-GB"/>
        </w:rPr>
        <w:t xml:space="preserve">in certain circumstances, including breach </w:t>
      </w:r>
      <w:r w:rsidR="00C31A85" w:rsidRPr="0010696C">
        <w:rPr>
          <w:szCs w:val="24"/>
          <w:lang w:val="en-GB"/>
        </w:rPr>
        <w:t xml:space="preserve">by the user </w:t>
      </w:r>
      <w:r w:rsidR="002B3CA4" w:rsidRPr="0010696C">
        <w:rPr>
          <w:szCs w:val="24"/>
          <w:lang w:val="en-GB"/>
        </w:rPr>
        <w:t>o</w:t>
      </w:r>
      <w:r w:rsidR="00C31A85" w:rsidRPr="0010696C">
        <w:rPr>
          <w:szCs w:val="24"/>
          <w:lang w:val="en-GB"/>
        </w:rPr>
        <w:t xml:space="preserve">r </w:t>
      </w:r>
      <w:r w:rsidR="002B3CA4" w:rsidRPr="0010696C">
        <w:rPr>
          <w:szCs w:val="24"/>
          <w:lang w:val="en-GB"/>
        </w:rPr>
        <w:t>when the user poses an unacceptable risk.</w:t>
      </w:r>
    </w:p>
    <w:p w14:paraId="15A54B2E" w14:textId="0188329C" w:rsidR="0056058B" w:rsidRPr="0010696C" w:rsidRDefault="00C31A85" w:rsidP="00280CC4">
      <w:pPr>
        <w:pStyle w:val="Level1"/>
        <w:rPr>
          <w:szCs w:val="24"/>
          <w:lang w:val="en-GB"/>
        </w:rPr>
      </w:pPr>
      <w:r w:rsidRPr="0010696C">
        <w:rPr>
          <w:szCs w:val="24"/>
          <w:lang w:val="en-GB"/>
        </w:rPr>
        <w:t xml:space="preserve">Thirdly, </w:t>
      </w:r>
      <w:r w:rsidR="0001480E" w:rsidRPr="0010696C">
        <w:rPr>
          <w:szCs w:val="24"/>
          <w:lang w:val="en-GB"/>
        </w:rPr>
        <w:t>each one of the</w:t>
      </w:r>
      <w:r w:rsidRPr="0010696C">
        <w:rPr>
          <w:szCs w:val="24"/>
          <w:lang w:val="en-GB"/>
        </w:rPr>
        <w:t xml:space="preserve"> A</w:t>
      </w:r>
      <w:r w:rsidR="0056058B" w:rsidRPr="0010696C">
        <w:rPr>
          <w:szCs w:val="24"/>
          <w:lang w:val="en-GB"/>
        </w:rPr>
        <w:t>pplicants h</w:t>
      </w:r>
      <w:r w:rsidR="0001480E" w:rsidRPr="0010696C">
        <w:rPr>
          <w:szCs w:val="24"/>
          <w:lang w:val="en-GB"/>
        </w:rPr>
        <w:t xml:space="preserve">as </w:t>
      </w:r>
      <w:r w:rsidR="0056058B" w:rsidRPr="0010696C">
        <w:rPr>
          <w:szCs w:val="24"/>
          <w:lang w:val="en-GB"/>
        </w:rPr>
        <w:t>concluded a</w:t>
      </w:r>
      <w:r w:rsidR="0001480E" w:rsidRPr="0010696C">
        <w:rPr>
          <w:szCs w:val="24"/>
          <w:lang w:val="en-GB"/>
        </w:rPr>
        <w:t>n a</w:t>
      </w:r>
      <w:r w:rsidR="0056058B" w:rsidRPr="0010696C">
        <w:rPr>
          <w:szCs w:val="24"/>
          <w:lang w:val="en-GB"/>
        </w:rPr>
        <w:t>greement with Capitec</w:t>
      </w:r>
      <w:r w:rsidR="00280CC4" w:rsidRPr="0010696C">
        <w:rPr>
          <w:szCs w:val="24"/>
          <w:lang w:val="en-GB"/>
        </w:rPr>
        <w:t xml:space="preserve"> </w:t>
      </w:r>
      <w:r w:rsidR="0001480E" w:rsidRPr="0010696C">
        <w:rPr>
          <w:szCs w:val="24"/>
          <w:lang w:val="en-GB"/>
        </w:rPr>
        <w:t xml:space="preserve">for </w:t>
      </w:r>
      <w:r w:rsidR="00280CC4" w:rsidRPr="0010696C">
        <w:rPr>
          <w:szCs w:val="24"/>
          <w:lang w:val="en-GB"/>
        </w:rPr>
        <w:t xml:space="preserve">the </w:t>
      </w:r>
      <w:r w:rsidR="00BC107F" w:rsidRPr="0010696C">
        <w:rPr>
          <w:szCs w:val="24"/>
          <w:lang w:val="en-GB"/>
        </w:rPr>
        <w:t>AET facility</w:t>
      </w:r>
      <w:r w:rsidR="0056058B" w:rsidRPr="0010696C">
        <w:rPr>
          <w:szCs w:val="24"/>
          <w:lang w:val="en-GB"/>
        </w:rPr>
        <w:t xml:space="preserve"> (</w:t>
      </w:r>
      <w:r w:rsidR="00F32FD7" w:rsidRPr="0010696C">
        <w:rPr>
          <w:szCs w:val="24"/>
          <w:lang w:val="en-GB"/>
        </w:rPr>
        <w:t>“</w:t>
      </w:r>
      <w:r w:rsidR="0056058B" w:rsidRPr="00AA3C5A">
        <w:rPr>
          <w:b/>
          <w:bCs/>
          <w:szCs w:val="24"/>
          <w:lang w:val="en-GB"/>
        </w:rPr>
        <w:t>the AET Agreement</w:t>
      </w:r>
      <w:r w:rsidR="00F32FD7" w:rsidRPr="0010696C">
        <w:rPr>
          <w:szCs w:val="24"/>
          <w:lang w:val="en-GB"/>
        </w:rPr>
        <w:t>”</w:t>
      </w:r>
      <w:r w:rsidR="0056058B" w:rsidRPr="0010696C">
        <w:rPr>
          <w:szCs w:val="24"/>
          <w:lang w:val="en-GB"/>
        </w:rPr>
        <w:t xml:space="preserve">). </w:t>
      </w:r>
      <w:r w:rsidR="00BB7557" w:rsidRPr="0010696C">
        <w:rPr>
          <w:szCs w:val="24"/>
          <w:lang w:val="en-GB"/>
        </w:rPr>
        <w:t xml:space="preserve"> This </w:t>
      </w:r>
      <w:r w:rsidR="00AA2393">
        <w:rPr>
          <w:szCs w:val="24"/>
          <w:lang w:val="en-GB"/>
        </w:rPr>
        <w:t>is essentially an agreement for the</w:t>
      </w:r>
      <w:r w:rsidR="00BB7557" w:rsidRPr="0010696C">
        <w:rPr>
          <w:szCs w:val="24"/>
          <w:lang w:val="en-GB"/>
        </w:rPr>
        <w:t xml:space="preserve"> opening of an AET </w:t>
      </w:r>
      <w:r w:rsidR="00EB1405">
        <w:rPr>
          <w:szCs w:val="24"/>
          <w:lang w:val="en-GB"/>
        </w:rPr>
        <w:t xml:space="preserve">bank </w:t>
      </w:r>
      <w:r w:rsidR="00BB7557" w:rsidRPr="0010696C">
        <w:rPr>
          <w:szCs w:val="24"/>
          <w:lang w:val="en-GB"/>
        </w:rPr>
        <w:t>account.</w:t>
      </w:r>
      <w:r w:rsidR="00F32FD7" w:rsidRPr="0010696C">
        <w:rPr>
          <w:szCs w:val="24"/>
          <w:lang w:val="en-GB"/>
        </w:rPr>
        <w:t xml:space="preserve"> </w:t>
      </w:r>
      <w:r w:rsidR="00BB7557" w:rsidRPr="0010696C">
        <w:rPr>
          <w:szCs w:val="24"/>
          <w:lang w:val="en-GB"/>
        </w:rPr>
        <w:t xml:space="preserve"> </w:t>
      </w:r>
      <w:r w:rsidR="00D72DFB" w:rsidRPr="0010696C">
        <w:rPr>
          <w:szCs w:val="24"/>
          <w:lang w:val="en-GB"/>
        </w:rPr>
        <w:t xml:space="preserve">The </w:t>
      </w:r>
      <w:r w:rsidR="00033F92" w:rsidRPr="0010696C">
        <w:rPr>
          <w:szCs w:val="24"/>
          <w:lang w:val="en-GB"/>
        </w:rPr>
        <w:t>substantive part</w:t>
      </w:r>
      <w:r w:rsidR="00D72DFB" w:rsidRPr="0010696C">
        <w:rPr>
          <w:szCs w:val="24"/>
          <w:lang w:val="en-GB"/>
        </w:rPr>
        <w:t xml:space="preserve"> of this agreement comprise only one page and it was accordingly referred to at the hearing as the </w:t>
      </w:r>
      <w:r w:rsidR="00F32FD7" w:rsidRPr="0010696C">
        <w:rPr>
          <w:szCs w:val="24"/>
          <w:lang w:val="en-GB"/>
        </w:rPr>
        <w:t>“</w:t>
      </w:r>
      <w:r w:rsidR="00D72DFB" w:rsidRPr="0010696C">
        <w:rPr>
          <w:i/>
          <w:iCs/>
          <w:szCs w:val="24"/>
          <w:lang w:val="en-GB"/>
        </w:rPr>
        <w:t>one-pager</w:t>
      </w:r>
      <w:r w:rsidR="00F32FD7" w:rsidRPr="0010696C">
        <w:rPr>
          <w:szCs w:val="24"/>
          <w:lang w:val="en-GB"/>
        </w:rPr>
        <w:t>”</w:t>
      </w:r>
      <w:r w:rsidR="00767DE8" w:rsidRPr="0010696C">
        <w:rPr>
          <w:szCs w:val="24"/>
          <w:lang w:val="en-GB"/>
        </w:rPr>
        <w:t>.</w:t>
      </w:r>
      <w:r w:rsidR="008B2C1A" w:rsidRPr="0010696C">
        <w:rPr>
          <w:szCs w:val="24"/>
          <w:lang w:val="en-GB"/>
        </w:rPr>
        <w:t xml:space="preserve">  The AET Agreement is of indefinite duration and</w:t>
      </w:r>
      <w:r w:rsidR="00CB68C9" w:rsidRPr="0010696C">
        <w:rPr>
          <w:szCs w:val="24"/>
          <w:lang w:val="en-GB"/>
        </w:rPr>
        <w:t xml:space="preserve">, contractually, </w:t>
      </w:r>
      <w:r w:rsidR="008B2C1A" w:rsidRPr="0010696C">
        <w:rPr>
          <w:szCs w:val="24"/>
          <w:lang w:val="en-GB"/>
        </w:rPr>
        <w:t>no provision is made for its termination</w:t>
      </w:r>
      <w:r w:rsidR="001052C3">
        <w:rPr>
          <w:szCs w:val="24"/>
          <w:lang w:val="en-GB"/>
        </w:rPr>
        <w:t xml:space="preserve"> or indeed its cancellation. </w:t>
      </w:r>
      <w:r w:rsidR="00CB68C9" w:rsidRPr="0010696C">
        <w:rPr>
          <w:szCs w:val="24"/>
          <w:lang w:val="en-GB"/>
        </w:rPr>
        <w:t xml:space="preserve">  </w:t>
      </w:r>
    </w:p>
    <w:p w14:paraId="26ECD778" w14:textId="04357F2A" w:rsidR="00767DE8" w:rsidRPr="0010696C" w:rsidRDefault="00767DE8" w:rsidP="00280CC4">
      <w:pPr>
        <w:pStyle w:val="Level1"/>
        <w:rPr>
          <w:szCs w:val="24"/>
          <w:lang w:val="en-GB"/>
        </w:rPr>
      </w:pPr>
      <w:r w:rsidRPr="0010696C">
        <w:rPr>
          <w:szCs w:val="24"/>
          <w:lang w:val="en-GB"/>
        </w:rPr>
        <w:t>Fourthly, there</w:t>
      </w:r>
      <w:r w:rsidR="00CB68C9" w:rsidRPr="0010696C">
        <w:rPr>
          <w:szCs w:val="24"/>
          <w:lang w:val="en-GB"/>
        </w:rPr>
        <w:t xml:space="preserve"> is a tripartite </w:t>
      </w:r>
      <w:r w:rsidR="00BB37F4" w:rsidRPr="0010696C">
        <w:rPr>
          <w:szCs w:val="24"/>
          <w:lang w:val="en-GB"/>
        </w:rPr>
        <w:t>agreement regarding the provision of</w:t>
      </w:r>
      <w:r w:rsidR="00652CD0" w:rsidRPr="0010696C">
        <w:rPr>
          <w:szCs w:val="24"/>
          <w:lang w:val="en-GB"/>
        </w:rPr>
        <w:t xml:space="preserve"> the</w:t>
      </w:r>
      <w:r w:rsidR="00BB37F4" w:rsidRPr="0010696C">
        <w:rPr>
          <w:szCs w:val="24"/>
          <w:lang w:val="en-GB"/>
        </w:rPr>
        <w:t xml:space="preserve"> POS services between</w:t>
      </w:r>
      <w:r w:rsidR="000A5702" w:rsidRPr="0010696C">
        <w:rPr>
          <w:szCs w:val="24"/>
          <w:lang w:val="en-GB"/>
        </w:rPr>
        <w:t xml:space="preserve"> each of</w:t>
      </w:r>
      <w:r w:rsidR="00BB37F4" w:rsidRPr="0010696C">
        <w:rPr>
          <w:szCs w:val="24"/>
          <w:lang w:val="en-GB"/>
        </w:rPr>
        <w:t xml:space="preserve"> the Applicant</w:t>
      </w:r>
      <w:r w:rsidR="00876574" w:rsidRPr="0010696C">
        <w:rPr>
          <w:szCs w:val="24"/>
          <w:lang w:val="en-GB"/>
        </w:rPr>
        <w:t>s, Amplifin and Capitec</w:t>
      </w:r>
      <w:r w:rsidR="000A2917" w:rsidRPr="0010696C">
        <w:rPr>
          <w:szCs w:val="24"/>
          <w:lang w:val="en-GB"/>
        </w:rPr>
        <w:t xml:space="preserve"> (</w:t>
      </w:r>
      <w:r w:rsidR="00F32FD7" w:rsidRPr="0010696C">
        <w:rPr>
          <w:szCs w:val="24"/>
          <w:lang w:val="en-GB"/>
        </w:rPr>
        <w:t>“</w:t>
      </w:r>
      <w:r w:rsidR="000A2917" w:rsidRPr="00AA3C5A">
        <w:rPr>
          <w:b/>
          <w:bCs/>
          <w:szCs w:val="24"/>
          <w:lang w:val="en-GB"/>
        </w:rPr>
        <w:t>the Tripartite POS Agreement</w:t>
      </w:r>
      <w:r w:rsidR="00F32FD7" w:rsidRPr="0010696C">
        <w:rPr>
          <w:szCs w:val="24"/>
          <w:lang w:val="en-GB"/>
        </w:rPr>
        <w:t>”</w:t>
      </w:r>
      <w:r w:rsidR="000A2917" w:rsidRPr="0010696C">
        <w:rPr>
          <w:szCs w:val="24"/>
          <w:lang w:val="en-GB"/>
        </w:rPr>
        <w:t>)</w:t>
      </w:r>
      <w:r w:rsidR="00A80243" w:rsidRPr="0010696C">
        <w:rPr>
          <w:szCs w:val="24"/>
          <w:lang w:val="en-GB"/>
        </w:rPr>
        <w:t>.  This agreement</w:t>
      </w:r>
      <w:r w:rsidR="000A2917" w:rsidRPr="0010696C">
        <w:rPr>
          <w:szCs w:val="24"/>
          <w:lang w:val="en-GB"/>
        </w:rPr>
        <w:t xml:space="preserve"> may be terminated on 60 days</w:t>
      </w:r>
      <w:r w:rsidR="00F32FD7" w:rsidRPr="0010696C">
        <w:rPr>
          <w:szCs w:val="24"/>
          <w:lang w:val="en-GB"/>
        </w:rPr>
        <w:t>’</w:t>
      </w:r>
      <w:r w:rsidR="000A2917" w:rsidRPr="0010696C">
        <w:rPr>
          <w:szCs w:val="24"/>
          <w:lang w:val="en-GB"/>
        </w:rPr>
        <w:t xml:space="preserve"> notice.</w:t>
      </w:r>
    </w:p>
    <w:p w14:paraId="5548255A" w14:textId="60CB4BCE" w:rsidR="0056058B" w:rsidRPr="0010696C" w:rsidRDefault="00B06FDC" w:rsidP="0056058B">
      <w:pPr>
        <w:pStyle w:val="Level1"/>
        <w:rPr>
          <w:szCs w:val="24"/>
          <w:lang w:val="en-GB"/>
        </w:rPr>
      </w:pPr>
      <w:r w:rsidRPr="0010696C">
        <w:rPr>
          <w:szCs w:val="24"/>
          <w:lang w:val="en-GB"/>
        </w:rPr>
        <w:t xml:space="preserve">Fifthly, </w:t>
      </w:r>
      <w:r w:rsidR="003B174E" w:rsidRPr="0010696C">
        <w:rPr>
          <w:szCs w:val="24"/>
          <w:lang w:val="en-GB"/>
        </w:rPr>
        <w:t>in October</w:t>
      </w:r>
      <w:r w:rsidR="00F32FD7" w:rsidRPr="0010696C">
        <w:rPr>
          <w:szCs w:val="24"/>
          <w:lang w:val="en-GB"/>
        </w:rPr>
        <w:t> </w:t>
      </w:r>
      <w:r w:rsidR="003B174E" w:rsidRPr="0010696C">
        <w:rPr>
          <w:szCs w:val="24"/>
          <w:lang w:val="en-GB"/>
        </w:rPr>
        <w:t xml:space="preserve">2019, the predecessors of </w:t>
      </w:r>
      <w:r w:rsidR="0056058B" w:rsidRPr="0010696C">
        <w:rPr>
          <w:szCs w:val="24"/>
          <w:lang w:val="en-GB"/>
        </w:rPr>
        <w:t>Capitec and Amplifin concluded an Authenticated Collections Agreement (</w:t>
      </w:r>
      <w:r w:rsidR="00F32FD7" w:rsidRPr="0010696C">
        <w:rPr>
          <w:szCs w:val="24"/>
          <w:lang w:val="en-GB"/>
        </w:rPr>
        <w:t>“</w:t>
      </w:r>
      <w:r w:rsidR="0056058B" w:rsidRPr="00AA3C5A">
        <w:rPr>
          <w:b/>
          <w:bCs/>
          <w:szCs w:val="24"/>
          <w:lang w:val="en-GB"/>
        </w:rPr>
        <w:t>the AC Agreement</w:t>
      </w:r>
      <w:r w:rsidR="00F32FD7" w:rsidRPr="0010696C">
        <w:rPr>
          <w:szCs w:val="24"/>
          <w:lang w:val="en-GB"/>
        </w:rPr>
        <w:t>”</w:t>
      </w:r>
      <w:r w:rsidR="0056058B" w:rsidRPr="0010696C">
        <w:rPr>
          <w:szCs w:val="24"/>
          <w:lang w:val="en-GB"/>
        </w:rPr>
        <w:t>)</w:t>
      </w:r>
      <w:r w:rsidR="008532B6" w:rsidRPr="0010696C">
        <w:rPr>
          <w:szCs w:val="24"/>
          <w:lang w:val="en-GB"/>
        </w:rPr>
        <w:t xml:space="preserve"> which governs their relationship</w:t>
      </w:r>
      <w:r w:rsidR="001052C3">
        <w:rPr>
          <w:szCs w:val="24"/>
          <w:lang w:val="en-GB"/>
        </w:rPr>
        <w:t>.</w:t>
      </w:r>
      <w:r w:rsidR="0056058B" w:rsidRPr="0010696C">
        <w:rPr>
          <w:szCs w:val="24"/>
          <w:lang w:val="en-GB"/>
        </w:rPr>
        <w:t xml:space="preserve">  The </w:t>
      </w:r>
      <w:r w:rsidR="00A80243" w:rsidRPr="0010696C">
        <w:rPr>
          <w:szCs w:val="24"/>
          <w:lang w:val="en-GB"/>
        </w:rPr>
        <w:t xml:space="preserve">AC </w:t>
      </w:r>
      <w:r w:rsidR="0056058B" w:rsidRPr="0010696C">
        <w:rPr>
          <w:szCs w:val="24"/>
          <w:lang w:val="en-GB"/>
        </w:rPr>
        <w:t>Agreement</w:t>
      </w:r>
      <w:r w:rsidR="0021561C" w:rsidRPr="0010696C">
        <w:rPr>
          <w:szCs w:val="24"/>
          <w:lang w:val="en-GB"/>
        </w:rPr>
        <w:t xml:space="preserve"> remains </w:t>
      </w:r>
      <w:r w:rsidR="000A5702" w:rsidRPr="0010696C">
        <w:rPr>
          <w:szCs w:val="24"/>
          <w:lang w:val="en-GB"/>
        </w:rPr>
        <w:t>in force</w:t>
      </w:r>
      <w:r w:rsidR="0021561C" w:rsidRPr="0010696C">
        <w:rPr>
          <w:szCs w:val="24"/>
          <w:lang w:val="en-GB"/>
        </w:rPr>
        <w:t>.  It</w:t>
      </w:r>
      <w:r w:rsidR="0056058B" w:rsidRPr="0010696C">
        <w:rPr>
          <w:szCs w:val="24"/>
          <w:lang w:val="en-GB"/>
        </w:rPr>
        <w:t xml:space="preserve"> has a five-year </w:t>
      </w:r>
      <w:r w:rsidR="00B55342" w:rsidRPr="0010696C">
        <w:rPr>
          <w:szCs w:val="24"/>
          <w:lang w:val="en-GB"/>
        </w:rPr>
        <w:t xml:space="preserve">fixed </w:t>
      </w:r>
      <w:r w:rsidR="0056058B" w:rsidRPr="0010696C">
        <w:rPr>
          <w:szCs w:val="24"/>
          <w:lang w:val="en-GB"/>
        </w:rPr>
        <w:t>term</w:t>
      </w:r>
      <w:r w:rsidR="00D949B2" w:rsidRPr="0010696C">
        <w:rPr>
          <w:szCs w:val="24"/>
          <w:lang w:val="en-GB"/>
        </w:rPr>
        <w:t xml:space="preserve"> and can be terminated thereafter on 12</w:t>
      </w:r>
      <w:r w:rsidR="00F32FD7" w:rsidRPr="0010696C">
        <w:rPr>
          <w:szCs w:val="24"/>
          <w:lang w:val="en-GB"/>
        </w:rPr>
        <w:t> </w:t>
      </w:r>
      <w:r w:rsidR="00D949B2" w:rsidRPr="0010696C">
        <w:rPr>
          <w:szCs w:val="24"/>
          <w:lang w:val="en-GB"/>
        </w:rPr>
        <w:t>months</w:t>
      </w:r>
      <w:r w:rsidR="00F32FD7" w:rsidRPr="0010696C">
        <w:rPr>
          <w:szCs w:val="24"/>
          <w:lang w:val="en-GB"/>
        </w:rPr>
        <w:t>’</w:t>
      </w:r>
      <w:r w:rsidR="00D949B2" w:rsidRPr="0010696C">
        <w:rPr>
          <w:szCs w:val="24"/>
          <w:lang w:val="en-GB"/>
        </w:rPr>
        <w:t xml:space="preserve"> notice</w:t>
      </w:r>
      <w:r w:rsidR="00B55342" w:rsidRPr="0010696C">
        <w:rPr>
          <w:szCs w:val="24"/>
          <w:lang w:val="en-GB"/>
        </w:rPr>
        <w:t>.  This means that the</w:t>
      </w:r>
      <w:r w:rsidR="00641532" w:rsidRPr="0010696C">
        <w:rPr>
          <w:szCs w:val="24"/>
          <w:lang w:val="en-GB"/>
        </w:rPr>
        <w:t xml:space="preserve"> earliest that Capitec can terminate the AC Agreement is </w:t>
      </w:r>
      <w:r w:rsidR="00377D81" w:rsidRPr="0010696C">
        <w:rPr>
          <w:szCs w:val="24"/>
          <w:lang w:val="en-GB"/>
        </w:rPr>
        <w:t>October</w:t>
      </w:r>
      <w:r w:rsidR="00F32FD7" w:rsidRPr="0010696C">
        <w:rPr>
          <w:szCs w:val="24"/>
          <w:lang w:val="en-GB"/>
        </w:rPr>
        <w:t> </w:t>
      </w:r>
      <w:r w:rsidR="00377D81" w:rsidRPr="0010696C">
        <w:rPr>
          <w:szCs w:val="24"/>
          <w:lang w:val="en-GB"/>
        </w:rPr>
        <w:t xml:space="preserve">2025. </w:t>
      </w:r>
    </w:p>
    <w:p w14:paraId="087AECAE" w14:textId="722A8CCE" w:rsidR="003629B7" w:rsidRPr="0010696C" w:rsidRDefault="003629B7" w:rsidP="0056058B">
      <w:pPr>
        <w:pStyle w:val="Level1"/>
        <w:rPr>
          <w:szCs w:val="24"/>
          <w:lang w:val="en-GB"/>
        </w:rPr>
      </w:pPr>
      <w:r w:rsidRPr="0010696C">
        <w:rPr>
          <w:szCs w:val="24"/>
          <w:lang w:val="en-GB"/>
        </w:rPr>
        <w:t>As I shall explain below, the third, fourth and fifth categories of agreement</w:t>
      </w:r>
      <w:r w:rsidR="00961215" w:rsidRPr="0010696C">
        <w:rPr>
          <w:szCs w:val="24"/>
          <w:lang w:val="en-GB"/>
        </w:rPr>
        <w:t>s are relevant to this matter</w:t>
      </w:r>
      <w:r w:rsidR="00181533" w:rsidRPr="0010696C">
        <w:rPr>
          <w:szCs w:val="24"/>
          <w:lang w:val="en-GB"/>
        </w:rPr>
        <w:t xml:space="preserve"> and the main issue is whether the </w:t>
      </w:r>
      <w:r w:rsidR="00951938" w:rsidRPr="0010696C">
        <w:rPr>
          <w:szCs w:val="24"/>
          <w:lang w:val="en-GB"/>
        </w:rPr>
        <w:t xml:space="preserve">duration of the AET Agreements are linked to the duration of the AC Agreement.  </w:t>
      </w:r>
    </w:p>
    <w:p w14:paraId="67D06A21" w14:textId="524B53B8" w:rsidR="00FE0226" w:rsidRPr="0010696C" w:rsidRDefault="00173D76" w:rsidP="00F539C9">
      <w:pPr>
        <w:pStyle w:val="Level1"/>
        <w:rPr>
          <w:szCs w:val="24"/>
          <w:lang w:val="en-GB"/>
        </w:rPr>
      </w:pPr>
      <w:r w:rsidRPr="0010696C">
        <w:rPr>
          <w:color w:val="000000" w:themeColor="text1"/>
          <w:szCs w:val="24"/>
          <w:lang w:val="en-GB"/>
        </w:rPr>
        <w:lastRenderedPageBreak/>
        <w:t>Capitec is not the only entity which can provide the</w:t>
      </w:r>
      <w:r w:rsidR="00E035EE" w:rsidRPr="0010696C">
        <w:rPr>
          <w:color w:val="000000" w:themeColor="text1"/>
          <w:szCs w:val="24"/>
          <w:lang w:val="en-GB"/>
        </w:rPr>
        <w:t xml:space="preserve"> required services</w:t>
      </w:r>
      <w:r w:rsidRPr="0010696C">
        <w:rPr>
          <w:color w:val="000000" w:themeColor="text1"/>
          <w:szCs w:val="24"/>
          <w:lang w:val="en-GB"/>
        </w:rPr>
        <w:t xml:space="preserve"> to the Applicants and Amplify.  </w:t>
      </w:r>
      <w:r w:rsidR="00F539C9" w:rsidRPr="0010696C">
        <w:rPr>
          <w:szCs w:val="24"/>
          <w:lang w:val="en-GB"/>
        </w:rPr>
        <w:t xml:space="preserve">If the </w:t>
      </w:r>
      <w:r w:rsidR="000D4DAC">
        <w:rPr>
          <w:szCs w:val="24"/>
          <w:lang w:val="en-GB"/>
        </w:rPr>
        <w:t xml:space="preserve">Capitec </w:t>
      </w:r>
      <w:r w:rsidR="000A5702" w:rsidRPr="0010696C">
        <w:rPr>
          <w:szCs w:val="24"/>
          <w:lang w:val="en-GB"/>
        </w:rPr>
        <w:t>services</w:t>
      </w:r>
      <w:r w:rsidR="00F539C9" w:rsidRPr="0010696C">
        <w:rPr>
          <w:szCs w:val="24"/>
          <w:lang w:val="en-GB"/>
        </w:rPr>
        <w:t xml:space="preserve"> are to be terminated, there are the following options</w:t>
      </w:r>
      <w:r w:rsidR="00B601B2" w:rsidRPr="0010696C">
        <w:rPr>
          <w:szCs w:val="24"/>
          <w:lang w:val="en-GB"/>
        </w:rPr>
        <w:t xml:space="preserve"> for </w:t>
      </w:r>
      <w:r w:rsidR="00DB4D7E" w:rsidRPr="0010696C">
        <w:rPr>
          <w:szCs w:val="24"/>
          <w:lang w:val="en-GB"/>
        </w:rPr>
        <w:t xml:space="preserve">the </w:t>
      </w:r>
      <w:r w:rsidR="005162C0" w:rsidRPr="0010696C">
        <w:rPr>
          <w:szCs w:val="24"/>
          <w:lang w:val="en-GB"/>
        </w:rPr>
        <w:t xml:space="preserve">Applicants: </w:t>
      </w:r>
    </w:p>
    <w:p w14:paraId="3DACBF20" w14:textId="682A4692" w:rsidR="00F539C9" w:rsidRPr="0010696C" w:rsidRDefault="00F539C9" w:rsidP="00F539C9">
      <w:pPr>
        <w:pStyle w:val="Level2"/>
        <w:rPr>
          <w:szCs w:val="24"/>
          <w:lang w:val="en-GB"/>
        </w:rPr>
      </w:pPr>
      <w:r w:rsidRPr="0010696C">
        <w:rPr>
          <w:szCs w:val="24"/>
          <w:lang w:val="en-GB"/>
        </w:rPr>
        <w:t>The Applicants could move from Amplifin to another system operator (with its own sponsor bank);</w:t>
      </w:r>
    </w:p>
    <w:p w14:paraId="01C80E03" w14:textId="1F4CB5E4" w:rsidR="00F539C9" w:rsidRPr="0010696C" w:rsidRDefault="00F539C9" w:rsidP="00F539C9">
      <w:pPr>
        <w:pStyle w:val="Level2"/>
        <w:rPr>
          <w:szCs w:val="24"/>
          <w:lang w:val="en-GB"/>
        </w:rPr>
      </w:pPr>
      <w:r w:rsidRPr="0010696C">
        <w:rPr>
          <w:szCs w:val="24"/>
          <w:lang w:val="en-GB"/>
        </w:rPr>
        <w:t xml:space="preserve">The Applicants could stay with Amplifin </w:t>
      </w:r>
      <w:r w:rsidR="003019CA" w:rsidRPr="0010696C">
        <w:rPr>
          <w:szCs w:val="24"/>
          <w:lang w:val="en-GB"/>
        </w:rPr>
        <w:t>and</w:t>
      </w:r>
      <w:r w:rsidRPr="0010696C">
        <w:rPr>
          <w:szCs w:val="24"/>
          <w:lang w:val="en-GB"/>
        </w:rPr>
        <w:t xml:space="preserve"> the latter </w:t>
      </w:r>
      <w:r w:rsidR="003019CA" w:rsidRPr="0010696C">
        <w:rPr>
          <w:szCs w:val="24"/>
          <w:lang w:val="en-GB"/>
        </w:rPr>
        <w:t xml:space="preserve">may appoint a </w:t>
      </w:r>
      <w:r w:rsidR="00173D76" w:rsidRPr="0010696C">
        <w:rPr>
          <w:szCs w:val="24"/>
          <w:lang w:val="en-GB"/>
        </w:rPr>
        <w:t>replacement</w:t>
      </w:r>
      <w:r w:rsidRPr="0010696C">
        <w:rPr>
          <w:szCs w:val="24"/>
          <w:lang w:val="en-GB"/>
        </w:rPr>
        <w:t xml:space="preserve"> sponsor bank</w:t>
      </w:r>
      <w:r w:rsidR="00ED5028">
        <w:rPr>
          <w:szCs w:val="24"/>
          <w:lang w:val="en-GB"/>
        </w:rPr>
        <w:t xml:space="preserve"> for them</w:t>
      </w:r>
      <w:r w:rsidRPr="0010696C">
        <w:rPr>
          <w:szCs w:val="24"/>
          <w:lang w:val="en-GB"/>
        </w:rPr>
        <w:t>; or</w:t>
      </w:r>
    </w:p>
    <w:p w14:paraId="073435C8" w14:textId="2EB2AB9D" w:rsidR="00F539C9" w:rsidRPr="0010696C" w:rsidRDefault="00F539C9" w:rsidP="00F539C9">
      <w:pPr>
        <w:pStyle w:val="Level2"/>
        <w:rPr>
          <w:szCs w:val="24"/>
          <w:lang w:val="en-GB"/>
        </w:rPr>
      </w:pPr>
      <w:r w:rsidRPr="0010696C">
        <w:rPr>
          <w:szCs w:val="24"/>
          <w:lang w:val="en-GB"/>
        </w:rPr>
        <w:t>The Applicant</w:t>
      </w:r>
      <w:r w:rsidR="00173D76" w:rsidRPr="0010696C">
        <w:rPr>
          <w:szCs w:val="24"/>
          <w:lang w:val="en-GB"/>
        </w:rPr>
        <w:t xml:space="preserve">s could </w:t>
      </w:r>
      <w:r w:rsidRPr="0010696C">
        <w:rPr>
          <w:szCs w:val="24"/>
          <w:lang w:val="en-GB"/>
        </w:rPr>
        <w:t xml:space="preserve">switch to a different way of ensuring repayment of </w:t>
      </w:r>
      <w:r w:rsidR="00173D76" w:rsidRPr="0010696C">
        <w:rPr>
          <w:szCs w:val="24"/>
          <w:lang w:val="en-GB"/>
        </w:rPr>
        <w:t xml:space="preserve">customer </w:t>
      </w:r>
      <w:r w:rsidRPr="0010696C">
        <w:rPr>
          <w:szCs w:val="24"/>
          <w:lang w:val="en-GB"/>
        </w:rPr>
        <w:t>loans altogether (debit order, for instance).</w:t>
      </w:r>
    </w:p>
    <w:p w14:paraId="008D1AB9" w14:textId="4E3D0470" w:rsidR="00FE0226" w:rsidRPr="0010696C" w:rsidRDefault="00C36AB8" w:rsidP="00F539C9">
      <w:pPr>
        <w:pStyle w:val="Level1"/>
        <w:rPr>
          <w:szCs w:val="24"/>
          <w:lang w:val="en-GB"/>
        </w:rPr>
      </w:pPr>
      <w:r w:rsidRPr="0010696C">
        <w:rPr>
          <w:color w:val="000000" w:themeColor="text1"/>
          <w:szCs w:val="24"/>
          <w:lang w:val="en-GB"/>
        </w:rPr>
        <w:t xml:space="preserve">The </w:t>
      </w:r>
      <w:r w:rsidR="00CD2C19">
        <w:rPr>
          <w:color w:val="000000" w:themeColor="text1"/>
          <w:szCs w:val="24"/>
          <w:lang w:val="en-GB"/>
        </w:rPr>
        <w:t>practicality of switching to one of</w:t>
      </w:r>
      <w:r w:rsidRPr="0010696C">
        <w:rPr>
          <w:color w:val="000000" w:themeColor="text1"/>
          <w:szCs w:val="24"/>
          <w:lang w:val="en-GB"/>
        </w:rPr>
        <w:t xml:space="preserve"> these options </w:t>
      </w:r>
      <w:r w:rsidR="00DD6CBB" w:rsidRPr="0010696C">
        <w:rPr>
          <w:color w:val="000000" w:themeColor="text1"/>
          <w:szCs w:val="24"/>
          <w:lang w:val="en-GB"/>
        </w:rPr>
        <w:t xml:space="preserve">is relevant to the issue of whether the Applicants will suffer irreparable harm if interim relief is </w:t>
      </w:r>
      <w:r w:rsidR="00CD2C19">
        <w:rPr>
          <w:color w:val="000000" w:themeColor="text1"/>
          <w:szCs w:val="24"/>
          <w:lang w:val="en-GB"/>
        </w:rPr>
        <w:t xml:space="preserve">refused. </w:t>
      </w:r>
      <w:r w:rsidR="006A41CA">
        <w:rPr>
          <w:color w:val="000000" w:themeColor="text1"/>
          <w:szCs w:val="24"/>
          <w:lang w:val="en-GB"/>
        </w:rPr>
        <w:t xml:space="preserve"> </w:t>
      </w:r>
      <w:r w:rsidR="00DD6CBB" w:rsidRPr="0010696C">
        <w:rPr>
          <w:color w:val="000000" w:themeColor="text1"/>
          <w:szCs w:val="24"/>
          <w:lang w:val="en-GB"/>
        </w:rPr>
        <w:t>However, b</w:t>
      </w:r>
      <w:r w:rsidR="00F539C9" w:rsidRPr="0010696C">
        <w:rPr>
          <w:color w:val="000000" w:themeColor="text1"/>
          <w:szCs w:val="24"/>
          <w:lang w:val="en-GB"/>
        </w:rPr>
        <w:t xml:space="preserve">efore dealing with </w:t>
      </w:r>
      <w:r w:rsidR="009D51D4" w:rsidRPr="0010696C">
        <w:rPr>
          <w:color w:val="000000" w:themeColor="text1"/>
          <w:szCs w:val="24"/>
          <w:lang w:val="en-GB"/>
        </w:rPr>
        <w:t>th</w:t>
      </w:r>
      <w:r w:rsidR="00DD6CBB" w:rsidRPr="0010696C">
        <w:rPr>
          <w:color w:val="000000" w:themeColor="text1"/>
          <w:szCs w:val="24"/>
          <w:lang w:val="en-GB"/>
        </w:rPr>
        <w:t>at</w:t>
      </w:r>
      <w:r w:rsidR="009D51D4" w:rsidRPr="0010696C">
        <w:rPr>
          <w:color w:val="000000" w:themeColor="text1"/>
          <w:szCs w:val="24"/>
          <w:lang w:val="en-GB"/>
        </w:rPr>
        <w:t xml:space="preserve"> requirement</w:t>
      </w:r>
      <w:r w:rsidR="00DD6CBB" w:rsidRPr="0010696C">
        <w:rPr>
          <w:color w:val="000000" w:themeColor="text1"/>
          <w:szCs w:val="24"/>
          <w:lang w:val="en-GB"/>
        </w:rPr>
        <w:t xml:space="preserve"> and the others</w:t>
      </w:r>
      <w:r w:rsidR="009D51D4" w:rsidRPr="0010696C">
        <w:rPr>
          <w:color w:val="000000" w:themeColor="text1"/>
          <w:szCs w:val="24"/>
          <w:lang w:val="en-GB"/>
        </w:rPr>
        <w:t xml:space="preserve"> for interim relief</w:t>
      </w:r>
      <w:r w:rsidR="00173D76" w:rsidRPr="0010696C">
        <w:rPr>
          <w:color w:val="000000" w:themeColor="text1"/>
          <w:szCs w:val="24"/>
          <w:lang w:val="en-GB"/>
        </w:rPr>
        <w:t>,</w:t>
      </w:r>
      <w:r w:rsidR="00F539C9" w:rsidRPr="0010696C">
        <w:rPr>
          <w:color w:val="000000" w:themeColor="text1"/>
          <w:szCs w:val="24"/>
          <w:lang w:val="en-GB"/>
        </w:rPr>
        <w:t xml:space="preserve"> </w:t>
      </w:r>
      <w:r w:rsidR="00173D76" w:rsidRPr="0010696C">
        <w:rPr>
          <w:color w:val="000000" w:themeColor="text1"/>
          <w:szCs w:val="24"/>
          <w:lang w:val="en-GB"/>
        </w:rPr>
        <w:t xml:space="preserve">I </w:t>
      </w:r>
      <w:r w:rsidR="00F539C9" w:rsidRPr="0010696C">
        <w:rPr>
          <w:color w:val="000000" w:themeColor="text1"/>
          <w:szCs w:val="24"/>
          <w:lang w:val="en-GB"/>
        </w:rPr>
        <w:t>set out the factual background</w:t>
      </w:r>
      <w:r w:rsidR="00173D76" w:rsidRPr="0010696C">
        <w:rPr>
          <w:color w:val="000000" w:themeColor="text1"/>
          <w:szCs w:val="24"/>
          <w:lang w:val="en-GB"/>
        </w:rPr>
        <w:t xml:space="preserve"> </w:t>
      </w:r>
      <w:r w:rsidR="00FF12D0" w:rsidRPr="0010696C">
        <w:rPr>
          <w:color w:val="000000" w:themeColor="text1"/>
          <w:szCs w:val="24"/>
          <w:lang w:val="en-GB"/>
        </w:rPr>
        <w:t xml:space="preserve">together </w:t>
      </w:r>
      <w:r w:rsidR="006A41CA">
        <w:rPr>
          <w:color w:val="000000" w:themeColor="text1"/>
          <w:szCs w:val="24"/>
          <w:lang w:val="en-GB"/>
        </w:rPr>
        <w:t xml:space="preserve">and thereafter </w:t>
      </w:r>
      <w:r w:rsidR="004C7AAA">
        <w:rPr>
          <w:color w:val="000000" w:themeColor="text1"/>
          <w:szCs w:val="24"/>
          <w:lang w:val="en-GB"/>
        </w:rPr>
        <w:t>I provide a</w:t>
      </w:r>
      <w:r w:rsidR="006A41CA">
        <w:rPr>
          <w:color w:val="000000" w:themeColor="text1"/>
          <w:szCs w:val="24"/>
          <w:lang w:val="en-GB"/>
        </w:rPr>
        <w:t xml:space="preserve"> </w:t>
      </w:r>
      <w:r w:rsidR="00F539C9" w:rsidRPr="0010696C">
        <w:rPr>
          <w:color w:val="000000" w:themeColor="text1"/>
          <w:szCs w:val="24"/>
          <w:lang w:val="en-GB"/>
        </w:rPr>
        <w:t xml:space="preserve">sketch </w:t>
      </w:r>
      <w:r w:rsidR="00FF12D0" w:rsidRPr="0010696C">
        <w:rPr>
          <w:color w:val="000000" w:themeColor="text1"/>
          <w:szCs w:val="24"/>
          <w:lang w:val="en-GB"/>
        </w:rPr>
        <w:t xml:space="preserve">of </w:t>
      </w:r>
      <w:r w:rsidR="00F539C9" w:rsidRPr="0010696C">
        <w:rPr>
          <w:color w:val="000000" w:themeColor="text1"/>
          <w:szCs w:val="24"/>
          <w:lang w:val="en-GB"/>
        </w:rPr>
        <w:t>the Applicants</w:t>
      </w:r>
      <w:r w:rsidR="00F32FD7" w:rsidRPr="0010696C">
        <w:rPr>
          <w:color w:val="000000" w:themeColor="text1"/>
          <w:szCs w:val="24"/>
          <w:lang w:val="en-GB"/>
        </w:rPr>
        <w:t>’</w:t>
      </w:r>
      <w:r w:rsidR="00F539C9" w:rsidRPr="0010696C">
        <w:rPr>
          <w:color w:val="000000" w:themeColor="text1"/>
          <w:szCs w:val="24"/>
          <w:lang w:val="en-GB"/>
        </w:rPr>
        <w:t xml:space="preserve"> case</w:t>
      </w:r>
      <w:r w:rsidR="00173D76" w:rsidRPr="0010696C">
        <w:rPr>
          <w:color w:val="000000" w:themeColor="text1"/>
          <w:szCs w:val="24"/>
          <w:lang w:val="en-GB"/>
        </w:rPr>
        <w:t xml:space="preserve">.  I also need to describe the </w:t>
      </w:r>
      <w:r w:rsidR="00F539C9" w:rsidRPr="0010696C">
        <w:rPr>
          <w:color w:val="000000" w:themeColor="text1"/>
          <w:szCs w:val="24"/>
          <w:lang w:val="en-GB"/>
        </w:rPr>
        <w:t xml:space="preserve">procedural history </w:t>
      </w:r>
      <w:r w:rsidR="007C2953" w:rsidRPr="0010696C">
        <w:rPr>
          <w:color w:val="000000" w:themeColor="text1"/>
          <w:szCs w:val="24"/>
          <w:lang w:val="en-GB"/>
        </w:rPr>
        <w:t xml:space="preserve">and deal with </w:t>
      </w:r>
      <w:r w:rsidR="00887927" w:rsidRPr="0010696C">
        <w:rPr>
          <w:color w:val="000000" w:themeColor="text1"/>
          <w:szCs w:val="24"/>
          <w:lang w:val="en-GB"/>
        </w:rPr>
        <w:t>four</w:t>
      </w:r>
      <w:r w:rsidR="00F539C9" w:rsidRPr="0010696C">
        <w:rPr>
          <w:color w:val="000000" w:themeColor="text1"/>
          <w:szCs w:val="24"/>
          <w:lang w:val="en-GB"/>
        </w:rPr>
        <w:t xml:space="preserve"> interlocutory applications before me, one of which </w:t>
      </w:r>
      <w:r w:rsidR="000A5702" w:rsidRPr="0010696C">
        <w:rPr>
          <w:color w:val="000000" w:themeColor="text1"/>
          <w:szCs w:val="24"/>
          <w:lang w:val="en-GB"/>
        </w:rPr>
        <w:t>is</w:t>
      </w:r>
      <w:r w:rsidR="00F539C9" w:rsidRPr="0010696C">
        <w:rPr>
          <w:color w:val="000000" w:themeColor="text1"/>
          <w:szCs w:val="24"/>
          <w:lang w:val="en-GB"/>
        </w:rPr>
        <w:t xml:space="preserve"> for the postponement of the matter.</w:t>
      </w:r>
    </w:p>
    <w:p w14:paraId="62E7F93B" w14:textId="2D298B6A" w:rsidR="00F539C9" w:rsidRPr="0010696C" w:rsidRDefault="00F539C9" w:rsidP="00173D76">
      <w:pPr>
        <w:pStyle w:val="Level1"/>
        <w:rPr>
          <w:szCs w:val="24"/>
          <w:lang w:val="en-GB"/>
        </w:rPr>
      </w:pPr>
      <w:r w:rsidRPr="0010696C">
        <w:rPr>
          <w:szCs w:val="24"/>
          <w:lang w:val="en-GB"/>
        </w:rPr>
        <w:t>In setting out the background facts I am alive to the well-established principle which requires, in applications for interim relief, that the Court should consider the facts set out by the applicant together with any facts set out by respondent which the applicant cannot dispute.  On those facts, it should then be determined whether, having regard to the inherent probabilities, the applicant should (not could) obtain final relief.</w:t>
      </w:r>
      <w:r w:rsidRPr="0010696C">
        <w:rPr>
          <w:rStyle w:val="FootnoteReference"/>
          <w:szCs w:val="24"/>
          <w:lang w:val="en-GB"/>
        </w:rPr>
        <w:footnoteReference w:id="4"/>
      </w:r>
      <w:r w:rsidRPr="0010696C">
        <w:rPr>
          <w:szCs w:val="24"/>
          <w:lang w:val="en-GB"/>
        </w:rPr>
        <w:t xml:space="preserve">  </w:t>
      </w:r>
      <w:r w:rsidR="00173D76" w:rsidRPr="0010696C">
        <w:rPr>
          <w:szCs w:val="24"/>
          <w:lang w:val="en-GB"/>
        </w:rPr>
        <w:t xml:space="preserve">This </w:t>
      </w:r>
      <w:r w:rsidRPr="0010696C">
        <w:rPr>
          <w:szCs w:val="24"/>
          <w:lang w:val="en-GB"/>
        </w:rPr>
        <w:lastRenderedPageBreak/>
        <w:t xml:space="preserve">principle </w:t>
      </w:r>
      <w:r w:rsidR="00075D96" w:rsidRPr="0010696C">
        <w:rPr>
          <w:szCs w:val="24"/>
          <w:lang w:val="en-GB"/>
        </w:rPr>
        <w:t>favours the applicant in application</w:t>
      </w:r>
      <w:r w:rsidR="005D04A2" w:rsidRPr="0010696C">
        <w:rPr>
          <w:szCs w:val="24"/>
          <w:lang w:val="en-GB"/>
        </w:rPr>
        <w:t xml:space="preserve">s for interim relief.  It </w:t>
      </w:r>
      <w:r w:rsidRPr="0010696C">
        <w:rPr>
          <w:szCs w:val="24"/>
          <w:lang w:val="en-GB"/>
        </w:rPr>
        <w:t xml:space="preserve">is </w:t>
      </w:r>
      <w:r w:rsidR="00173D76" w:rsidRPr="0010696C">
        <w:rPr>
          <w:szCs w:val="24"/>
          <w:lang w:val="en-GB"/>
        </w:rPr>
        <w:t xml:space="preserve">however </w:t>
      </w:r>
      <w:r w:rsidRPr="0010696C">
        <w:rPr>
          <w:szCs w:val="24"/>
          <w:lang w:val="en-GB"/>
        </w:rPr>
        <w:t xml:space="preserve">subject to the </w:t>
      </w:r>
      <w:r w:rsidR="00173D76" w:rsidRPr="0010696C">
        <w:rPr>
          <w:szCs w:val="24"/>
          <w:lang w:val="en-GB"/>
        </w:rPr>
        <w:t xml:space="preserve">more </w:t>
      </w:r>
      <w:r w:rsidRPr="0010696C">
        <w:rPr>
          <w:szCs w:val="24"/>
          <w:lang w:val="en-GB"/>
        </w:rPr>
        <w:t>general rule that an applicant stands or falls by the</w:t>
      </w:r>
      <w:r w:rsidR="005D04A2" w:rsidRPr="0010696C">
        <w:rPr>
          <w:szCs w:val="24"/>
          <w:lang w:val="en-GB"/>
        </w:rPr>
        <w:t xml:space="preserve"> factual allegations in its </w:t>
      </w:r>
      <w:r w:rsidRPr="0010696C">
        <w:rPr>
          <w:szCs w:val="24"/>
          <w:lang w:val="en-GB"/>
        </w:rPr>
        <w:t>founding affidavit.</w:t>
      </w:r>
      <w:r w:rsidR="00173D76" w:rsidRPr="0010696C">
        <w:rPr>
          <w:szCs w:val="24"/>
          <w:lang w:val="en-GB"/>
        </w:rPr>
        <w:t xml:space="preserve">  Overall, the requirements that </w:t>
      </w:r>
      <w:r w:rsidR="003954CB" w:rsidRPr="0010696C">
        <w:rPr>
          <w:szCs w:val="24"/>
          <w:lang w:val="en-GB"/>
        </w:rPr>
        <w:t>an a</w:t>
      </w:r>
      <w:r w:rsidR="00173D76" w:rsidRPr="0010696C">
        <w:rPr>
          <w:szCs w:val="24"/>
          <w:lang w:val="en-GB"/>
        </w:rPr>
        <w:t>pplicant need</w:t>
      </w:r>
      <w:r w:rsidR="000A5702" w:rsidRPr="0010696C">
        <w:rPr>
          <w:szCs w:val="24"/>
          <w:lang w:val="en-GB"/>
        </w:rPr>
        <w:t>s</w:t>
      </w:r>
      <w:r w:rsidRPr="0010696C">
        <w:rPr>
          <w:szCs w:val="24"/>
          <w:lang w:val="en-GB"/>
        </w:rPr>
        <w:t xml:space="preserve"> to </w:t>
      </w:r>
      <w:r w:rsidR="00173D76" w:rsidRPr="0010696C">
        <w:rPr>
          <w:szCs w:val="24"/>
          <w:lang w:val="en-GB"/>
        </w:rPr>
        <w:t>establish</w:t>
      </w:r>
      <w:r w:rsidR="00B614B2" w:rsidRPr="0010696C">
        <w:rPr>
          <w:szCs w:val="24"/>
          <w:lang w:val="en-GB"/>
        </w:rPr>
        <w:t xml:space="preserve"> in</w:t>
      </w:r>
      <w:r w:rsidR="003954CB" w:rsidRPr="0010696C">
        <w:rPr>
          <w:szCs w:val="24"/>
          <w:lang w:val="en-GB"/>
        </w:rPr>
        <w:t xml:space="preserve"> its founding affidavit</w:t>
      </w:r>
      <w:r w:rsidR="00173D76" w:rsidRPr="0010696C">
        <w:rPr>
          <w:szCs w:val="24"/>
          <w:lang w:val="en-GB"/>
        </w:rPr>
        <w:t xml:space="preserve"> are the following:</w:t>
      </w:r>
    </w:p>
    <w:p w14:paraId="02648CC2" w14:textId="13D7D5F9" w:rsidR="00F539C9" w:rsidRPr="0010696C" w:rsidRDefault="00F539C9" w:rsidP="00F539C9">
      <w:pPr>
        <w:pStyle w:val="Level2"/>
        <w:rPr>
          <w:szCs w:val="24"/>
          <w:lang w:val="en-GB"/>
        </w:rPr>
      </w:pPr>
      <w:r w:rsidRPr="0010696C">
        <w:rPr>
          <w:szCs w:val="24"/>
          <w:lang w:val="en-GB"/>
        </w:rPr>
        <w:t xml:space="preserve">a </w:t>
      </w:r>
      <w:r w:rsidRPr="0010696C">
        <w:rPr>
          <w:i/>
          <w:iCs/>
          <w:szCs w:val="24"/>
          <w:lang w:val="en-GB"/>
        </w:rPr>
        <w:t>prima facie</w:t>
      </w:r>
      <w:r w:rsidRPr="0010696C">
        <w:rPr>
          <w:szCs w:val="24"/>
          <w:lang w:val="en-GB"/>
        </w:rPr>
        <w:t xml:space="preserve"> right</w:t>
      </w:r>
      <w:r w:rsidR="00173D76" w:rsidRPr="0010696C">
        <w:rPr>
          <w:szCs w:val="24"/>
          <w:lang w:val="en-GB"/>
        </w:rPr>
        <w:t>;</w:t>
      </w:r>
    </w:p>
    <w:p w14:paraId="75E1E97C" w14:textId="120B91A3" w:rsidR="00F539C9" w:rsidRPr="0010696C" w:rsidRDefault="00F539C9" w:rsidP="00F539C9">
      <w:pPr>
        <w:pStyle w:val="Level2"/>
        <w:rPr>
          <w:szCs w:val="24"/>
          <w:lang w:val="en-GB"/>
        </w:rPr>
      </w:pPr>
      <w:r w:rsidRPr="0010696C">
        <w:rPr>
          <w:szCs w:val="24"/>
          <w:lang w:val="en-GB"/>
        </w:rPr>
        <w:t>a well-grounded apprehension of irreparable harm if the interim relief is not granted and the ultimate relief is eventually granted;</w:t>
      </w:r>
    </w:p>
    <w:p w14:paraId="6AFCA2D9" w14:textId="3EABD9F0" w:rsidR="00F539C9" w:rsidRPr="0010696C" w:rsidRDefault="00F539C9" w:rsidP="00F539C9">
      <w:pPr>
        <w:pStyle w:val="Level2"/>
        <w:rPr>
          <w:szCs w:val="24"/>
          <w:lang w:val="en-GB"/>
        </w:rPr>
      </w:pPr>
      <w:r w:rsidRPr="0010696C">
        <w:rPr>
          <w:szCs w:val="24"/>
          <w:lang w:val="en-GB"/>
        </w:rPr>
        <w:t>a balance of convenience in favour of granting of the interim interdict;</w:t>
      </w:r>
    </w:p>
    <w:p w14:paraId="100172D5" w14:textId="5B4A83DD" w:rsidR="00F539C9" w:rsidRPr="0010696C" w:rsidRDefault="00F539C9" w:rsidP="00F539C9">
      <w:pPr>
        <w:pStyle w:val="Level2"/>
        <w:rPr>
          <w:szCs w:val="24"/>
          <w:lang w:val="en-GB"/>
        </w:rPr>
      </w:pPr>
      <w:r w:rsidRPr="0010696C">
        <w:rPr>
          <w:szCs w:val="24"/>
          <w:lang w:val="en-GB"/>
        </w:rPr>
        <w:t>the absence of any other adequate ordinary remedy.</w:t>
      </w:r>
      <w:r w:rsidRPr="0010696C">
        <w:rPr>
          <w:rStyle w:val="FootnoteReference"/>
          <w:szCs w:val="24"/>
          <w:lang w:val="en-GB"/>
        </w:rPr>
        <w:footnoteReference w:id="5"/>
      </w:r>
    </w:p>
    <w:p w14:paraId="1DBE45AD" w14:textId="2DD61C7A" w:rsidR="00F539C9" w:rsidRPr="0010696C" w:rsidRDefault="00F539C9" w:rsidP="00F539C9">
      <w:pPr>
        <w:pStyle w:val="Level1"/>
        <w:rPr>
          <w:szCs w:val="24"/>
          <w:lang w:val="en-GB"/>
        </w:rPr>
      </w:pPr>
      <w:r w:rsidRPr="0010696C">
        <w:rPr>
          <w:szCs w:val="24"/>
          <w:lang w:val="en-GB"/>
        </w:rPr>
        <w:t>The different requirements referred to should not be considered separately or in isolation but in conjunction with one another in order to determine whether the court should exercise its discretion in favour of the grant of the interim relief sought.</w:t>
      </w:r>
      <w:r w:rsidRPr="0010696C">
        <w:rPr>
          <w:rStyle w:val="FootnoteReference"/>
          <w:szCs w:val="24"/>
          <w:lang w:val="en-GB"/>
        </w:rPr>
        <w:footnoteReference w:id="6"/>
      </w:r>
      <w:r w:rsidRPr="0010696C">
        <w:rPr>
          <w:szCs w:val="24"/>
          <w:lang w:val="en-GB"/>
        </w:rPr>
        <w:t xml:space="preserve">  At the interim interdict stage, less is required from an applicant than at the final interdict stage. </w:t>
      </w:r>
      <w:r w:rsidR="000112B3" w:rsidRPr="0010696C">
        <w:rPr>
          <w:szCs w:val="24"/>
          <w:lang w:val="en-GB"/>
        </w:rPr>
        <w:t xml:space="preserve"> </w:t>
      </w:r>
      <w:r w:rsidRPr="0010696C">
        <w:rPr>
          <w:szCs w:val="24"/>
          <w:lang w:val="en-GB"/>
        </w:rPr>
        <w:t xml:space="preserve">It is sufficient for an applicant to show a </w:t>
      </w:r>
      <w:r w:rsidRPr="0010696C">
        <w:rPr>
          <w:i/>
          <w:iCs/>
          <w:szCs w:val="24"/>
          <w:lang w:val="en-GB"/>
        </w:rPr>
        <w:t>prima facie</w:t>
      </w:r>
      <w:r w:rsidRPr="0010696C">
        <w:rPr>
          <w:szCs w:val="24"/>
          <w:lang w:val="en-GB"/>
        </w:rPr>
        <w:t xml:space="preserve"> case though open to some doubt.</w:t>
      </w:r>
    </w:p>
    <w:p w14:paraId="20A1950D" w14:textId="2A26FA79" w:rsidR="00F539C9" w:rsidRPr="0010696C" w:rsidRDefault="00F539C9" w:rsidP="00F539C9">
      <w:pPr>
        <w:pStyle w:val="Level1"/>
        <w:rPr>
          <w:szCs w:val="24"/>
          <w:lang w:val="en-GB"/>
        </w:rPr>
      </w:pPr>
      <w:bookmarkStart w:id="1" w:name="_Ref193604392"/>
      <w:r w:rsidRPr="0010696C">
        <w:rPr>
          <w:szCs w:val="24"/>
          <w:lang w:val="en-GB"/>
        </w:rPr>
        <w:lastRenderedPageBreak/>
        <w:t xml:space="preserve">With reference to balance of convenience, courts have applied the </w:t>
      </w:r>
      <w:r w:rsidR="00F32FD7" w:rsidRPr="0010696C">
        <w:rPr>
          <w:szCs w:val="24"/>
          <w:lang w:val="en-GB"/>
        </w:rPr>
        <w:t>“</w:t>
      </w:r>
      <w:r w:rsidRPr="0010696C">
        <w:rPr>
          <w:i/>
          <w:iCs/>
          <w:szCs w:val="24"/>
          <w:lang w:val="en-GB"/>
        </w:rPr>
        <w:t>sliding-scale</w:t>
      </w:r>
      <w:r w:rsidR="00F32FD7" w:rsidRPr="0010696C">
        <w:rPr>
          <w:szCs w:val="24"/>
          <w:lang w:val="en-GB"/>
        </w:rPr>
        <w:t>”</w:t>
      </w:r>
      <w:r w:rsidRPr="0010696C">
        <w:rPr>
          <w:szCs w:val="24"/>
          <w:lang w:val="en-GB"/>
        </w:rPr>
        <w:t xml:space="preserve"> test. </w:t>
      </w:r>
      <w:r w:rsidR="00CE01E6" w:rsidRPr="0010696C">
        <w:rPr>
          <w:szCs w:val="24"/>
          <w:lang w:val="en-GB"/>
        </w:rPr>
        <w:t xml:space="preserve"> </w:t>
      </w:r>
      <w:r w:rsidRPr="0010696C">
        <w:rPr>
          <w:szCs w:val="24"/>
          <w:lang w:val="en-GB"/>
        </w:rPr>
        <w:t xml:space="preserve">The stronger the prospects of success, the less the need for the balance of convenience to favour the applicant; the weaker the prospects of success, the greater the need for the balance of convenience to favour </w:t>
      </w:r>
      <w:r w:rsidR="000A5702" w:rsidRPr="0010696C">
        <w:rPr>
          <w:szCs w:val="24"/>
          <w:lang w:val="en-GB"/>
        </w:rPr>
        <w:t>it</w:t>
      </w:r>
      <w:r w:rsidRPr="0010696C">
        <w:rPr>
          <w:szCs w:val="24"/>
          <w:lang w:val="en-GB"/>
        </w:rPr>
        <w:t>.</w:t>
      </w:r>
      <w:r w:rsidR="00A80117" w:rsidRPr="0010696C">
        <w:rPr>
          <w:rStyle w:val="FootnoteReference"/>
          <w:szCs w:val="24"/>
          <w:lang w:val="en-GB"/>
        </w:rPr>
        <w:footnoteReference w:id="7"/>
      </w:r>
      <w:r w:rsidR="00F32FD7" w:rsidRPr="0010696C">
        <w:rPr>
          <w:szCs w:val="24"/>
          <w:lang w:val="en-GB"/>
        </w:rPr>
        <w:t xml:space="preserve"> </w:t>
      </w:r>
      <w:r w:rsidRPr="0010696C">
        <w:rPr>
          <w:szCs w:val="24"/>
          <w:lang w:val="en-GB"/>
        </w:rPr>
        <w:t xml:space="preserve"> </w:t>
      </w:r>
      <w:bookmarkEnd w:id="1"/>
    </w:p>
    <w:p w14:paraId="69AB30D0" w14:textId="69AC2596" w:rsidR="00F539C9" w:rsidRPr="0010696C" w:rsidRDefault="00647FF2" w:rsidP="00F539C9">
      <w:pPr>
        <w:pStyle w:val="Level1"/>
        <w:rPr>
          <w:szCs w:val="24"/>
          <w:lang w:val="en-GB"/>
        </w:rPr>
      </w:pPr>
      <w:r>
        <w:rPr>
          <w:szCs w:val="24"/>
          <w:lang w:val="en-GB"/>
        </w:rPr>
        <w:t>A</w:t>
      </w:r>
      <w:r w:rsidR="00F539C9" w:rsidRPr="0010696C">
        <w:rPr>
          <w:szCs w:val="24"/>
          <w:lang w:val="en-GB"/>
        </w:rPr>
        <w:t xml:space="preserve"> court possesses a general and overriding discretion whether to grant or refuse an application for interim relief.</w:t>
      </w:r>
      <w:r w:rsidR="00CE01E6" w:rsidRPr="0010696C">
        <w:rPr>
          <w:szCs w:val="24"/>
          <w:lang w:val="en-GB"/>
        </w:rPr>
        <w:t xml:space="preserve"> </w:t>
      </w:r>
      <w:r w:rsidR="00F539C9" w:rsidRPr="0010696C">
        <w:rPr>
          <w:szCs w:val="24"/>
          <w:lang w:val="en-GB"/>
        </w:rPr>
        <w:t xml:space="preserve"> Such discretion must be exercised judicially upon consideration of all the facts.</w:t>
      </w:r>
      <w:r w:rsidR="00F539C9" w:rsidRPr="0010696C">
        <w:rPr>
          <w:rStyle w:val="FootnoteReference"/>
          <w:szCs w:val="24"/>
          <w:lang w:val="en-GB"/>
        </w:rPr>
        <w:footnoteReference w:id="8"/>
      </w:r>
    </w:p>
    <w:p w14:paraId="6F086A6C" w14:textId="4B3236EB" w:rsidR="00F539C9" w:rsidRPr="0010696C" w:rsidRDefault="004F7622" w:rsidP="00C20E08">
      <w:pPr>
        <w:pStyle w:val="Heading1"/>
        <w:rPr>
          <w:rFonts w:cs="Times New Roman"/>
          <w:szCs w:val="24"/>
          <w:lang w:val="en-GB"/>
        </w:rPr>
      </w:pPr>
      <w:r w:rsidRPr="0010696C">
        <w:rPr>
          <w:rFonts w:cs="Times New Roman"/>
          <w:szCs w:val="24"/>
          <w:lang w:val="en-GB"/>
        </w:rPr>
        <w:t>Factual background</w:t>
      </w:r>
      <w:r w:rsidR="00FF12D0" w:rsidRPr="0010696C">
        <w:rPr>
          <w:rFonts w:cs="Times New Roman"/>
          <w:szCs w:val="24"/>
          <w:lang w:val="en-GB"/>
        </w:rPr>
        <w:t xml:space="preserve"> </w:t>
      </w:r>
    </w:p>
    <w:p w14:paraId="0F01E22A" w14:textId="53ACB57E" w:rsidR="00D27B2E" w:rsidRPr="0010696C" w:rsidRDefault="00D27B2E" w:rsidP="00F539C9">
      <w:pPr>
        <w:pStyle w:val="Level1"/>
        <w:rPr>
          <w:szCs w:val="24"/>
          <w:lang w:val="en-GB"/>
        </w:rPr>
      </w:pPr>
      <w:r w:rsidRPr="0010696C">
        <w:rPr>
          <w:szCs w:val="24"/>
          <w:lang w:val="en-GB"/>
        </w:rPr>
        <w:t xml:space="preserve">The history of the matter </w:t>
      </w:r>
      <w:r w:rsidR="004C1575" w:rsidRPr="0010696C">
        <w:rPr>
          <w:szCs w:val="24"/>
          <w:lang w:val="en-GB"/>
        </w:rPr>
        <w:t xml:space="preserve">is to be found in the </w:t>
      </w:r>
      <w:r w:rsidR="000A5702" w:rsidRPr="0010696C">
        <w:rPr>
          <w:szCs w:val="24"/>
          <w:lang w:val="en-GB"/>
        </w:rPr>
        <w:t xml:space="preserve">long </w:t>
      </w:r>
      <w:r w:rsidR="004C1575" w:rsidRPr="0010696C">
        <w:rPr>
          <w:szCs w:val="24"/>
          <w:lang w:val="en-GB"/>
        </w:rPr>
        <w:t>relationship between Mercantile Bank Limited (</w:t>
      </w:r>
      <w:r w:rsidR="00F32FD7" w:rsidRPr="0010696C">
        <w:rPr>
          <w:szCs w:val="24"/>
          <w:lang w:val="en-GB"/>
        </w:rPr>
        <w:t>“</w:t>
      </w:r>
      <w:r w:rsidR="004C1575" w:rsidRPr="00380661">
        <w:rPr>
          <w:b/>
          <w:bCs/>
          <w:szCs w:val="24"/>
          <w:lang w:val="en-GB"/>
        </w:rPr>
        <w:t>Mercantile Bank</w:t>
      </w:r>
      <w:r w:rsidR="00F32FD7" w:rsidRPr="0010696C">
        <w:rPr>
          <w:szCs w:val="24"/>
          <w:lang w:val="en-GB"/>
        </w:rPr>
        <w:t>”</w:t>
      </w:r>
      <w:r w:rsidR="004C1575" w:rsidRPr="0010696C">
        <w:rPr>
          <w:szCs w:val="24"/>
          <w:lang w:val="en-GB"/>
        </w:rPr>
        <w:t xml:space="preserve">) </w:t>
      </w:r>
      <w:r w:rsidR="004E03E3" w:rsidRPr="0010696C">
        <w:rPr>
          <w:szCs w:val="24"/>
          <w:lang w:val="en-GB"/>
        </w:rPr>
        <w:t>with what was then called Information</w:t>
      </w:r>
      <w:r w:rsidR="00700F96" w:rsidRPr="0010696C">
        <w:rPr>
          <w:szCs w:val="24"/>
          <w:lang w:val="en-GB"/>
        </w:rPr>
        <w:t xml:space="preserve"> Technology Consultants (Pty) Ltd (</w:t>
      </w:r>
      <w:r w:rsidR="00F32FD7" w:rsidRPr="0010696C">
        <w:rPr>
          <w:szCs w:val="24"/>
          <w:lang w:val="en-GB"/>
        </w:rPr>
        <w:t>“</w:t>
      </w:r>
      <w:r w:rsidR="00700F96" w:rsidRPr="00380661">
        <w:rPr>
          <w:b/>
          <w:bCs/>
          <w:szCs w:val="24"/>
          <w:lang w:val="en-GB"/>
        </w:rPr>
        <w:t>Intecon</w:t>
      </w:r>
      <w:r w:rsidR="00F32FD7" w:rsidRPr="0010696C">
        <w:rPr>
          <w:szCs w:val="24"/>
          <w:lang w:val="en-GB"/>
        </w:rPr>
        <w:t>”</w:t>
      </w:r>
      <w:r w:rsidR="00700F96" w:rsidRPr="0010696C">
        <w:rPr>
          <w:szCs w:val="24"/>
          <w:lang w:val="en-GB"/>
        </w:rPr>
        <w:t xml:space="preserve">).  In 2020 </w:t>
      </w:r>
      <w:r w:rsidR="008F3D61" w:rsidRPr="0010696C">
        <w:rPr>
          <w:szCs w:val="24"/>
          <w:lang w:val="en-GB"/>
        </w:rPr>
        <w:t xml:space="preserve">Mercantile Bank became </w:t>
      </w:r>
      <w:r w:rsidR="0037682A" w:rsidRPr="0010696C">
        <w:rPr>
          <w:szCs w:val="24"/>
          <w:lang w:val="en-GB"/>
        </w:rPr>
        <w:t xml:space="preserve">a division of Capitec and, in that same year, </w:t>
      </w:r>
      <w:r w:rsidR="00987676" w:rsidRPr="0010696C">
        <w:rPr>
          <w:szCs w:val="24"/>
          <w:lang w:val="en-GB"/>
        </w:rPr>
        <w:t>Intecon became known as Amplifin.  Intecon</w:t>
      </w:r>
      <w:r w:rsidR="00FD2E71" w:rsidRPr="0010696C">
        <w:rPr>
          <w:szCs w:val="24"/>
          <w:lang w:val="en-GB"/>
        </w:rPr>
        <w:t xml:space="preserve"> used Mercantile Bank since 2002 as a sponsor bank </w:t>
      </w:r>
      <w:r w:rsidR="00F3690B" w:rsidRPr="0010696C">
        <w:rPr>
          <w:szCs w:val="24"/>
          <w:lang w:val="en-GB"/>
        </w:rPr>
        <w:t xml:space="preserve">for </w:t>
      </w:r>
      <w:r w:rsidR="001006DF">
        <w:rPr>
          <w:szCs w:val="24"/>
          <w:lang w:val="en-GB"/>
        </w:rPr>
        <w:t xml:space="preserve">the </w:t>
      </w:r>
      <w:r w:rsidR="00F3690B" w:rsidRPr="0010696C">
        <w:rPr>
          <w:szCs w:val="24"/>
          <w:lang w:val="en-GB"/>
        </w:rPr>
        <w:t xml:space="preserve">clearing and settling of debit pull transactions.  </w:t>
      </w:r>
    </w:p>
    <w:p w14:paraId="680348D1" w14:textId="5FBBCDA7" w:rsidR="009E598A" w:rsidRPr="0010696C" w:rsidRDefault="009E598A" w:rsidP="00F539C9">
      <w:pPr>
        <w:pStyle w:val="Level1"/>
        <w:rPr>
          <w:szCs w:val="24"/>
          <w:lang w:val="en-GB"/>
        </w:rPr>
      </w:pPr>
      <w:r w:rsidRPr="0010696C">
        <w:rPr>
          <w:szCs w:val="24"/>
          <w:lang w:val="en-GB"/>
        </w:rPr>
        <w:t xml:space="preserve">Capitec stepped into the shoes of Mercantile Bank and </w:t>
      </w:r>
      <w:r w:rsidR="00995F04" w:rsidRPr="0010696C">
        <w:rPr>
          <w:szCs w:val="24"/>
          <w:lang w:val="en-GB"/>
        </w:rPr>
        <w:t xml:space="preserve">it appears that </w:t>
      </w:r>
      <w:r w:rsidRPr="0010696C">
        <w:rPr>
          <w:szCs w:val="24"/>
          <w:lang w:val="en-GB"/>
        </w:rPr>
        <w:t xml:space="preserve">Amplifin </w:t>
      </w:r>
      <w:r w:rsidR="00A037F4" w:rsidRPr="0010696C">
        <w:rPr>
          <w:szCs w:val="24"/>
          <w:lang w:val="en-GB"/>
        </w:rPr>
        <w:t xml:space="preserve">is </w:t>
      </w:r>
      <w:r w:rsidR="006D1B07" w:rsidRPr="0010696C">
        <w:rPr>
          <w:szCs w:val="24"/>
          <w:lang w:val="en-GB"/>
        </w:rPr>
        <w:t xml:space="preserve">the same entity </w:t>
      </w:r>
      <w:r w:rsidR="000A5702" w:rsidRPr="0010696C">
        <w:rPr>
          <w:szCs w:val="24"/>
          <w:lang w:val="en-GB"/>
        </w:rPr>
        <w:t>which</w:t>
      </w:r>
      <w:r w:rsidR="006D1B07" w:rsidRPr="0010696C">
        <w:rPr>
          <w:szCs w:val="24"/>
          <w:lang w:val="en-GB"/>
        </w:rPr>
        <w:t xml:space="preserve"> was previously known as Intecon.  </w:t>
      </w:r>
      <w:r w:rsidR="00F2316F" w:rsidRPr="0010696C">
        <w:rPr>
          <w:szCs w:val="24"/>
          <w:lang w:val="en-GB"/>
        </w:rPr>
        <w:t xml:space="preserve">Given this, it </w:t>
      </w:r>
      <w:r w:rsidR="00B1538B" w:rsidRPr="0010696C">
        <w:rPr>
          <w:szCs w:val="24"/>
          <w:lang w:val="en-GB"/>
        </w:rPr>
        <w:t xml:space="preserve">makes no difference that </w:t>
      </w:r>
      <w:r w:rsidR="00995F04" w:rsidRPr="0010696C">
        <w:rPr>
          <w:szCs w:val="24"/>
          <w:lang w:val="en-GB"/>
        </w:rPr>
        <w:t xml:space="preserve">some of the contracts </w:t>
      </w:r>
      <w:r w:rsidR="00B1538B" w:rsidRPr="0010696C">
        <w:rPr>
          <w:szCs w:val="24"/>
          <w:lang w:val="en-GB"/>
        </w:rPr>
        <w:t xml:space="preserve">referred to in this judgment were entered into </w:t>
      </w:r>
      <w:r w:rsidR="002C1541" w:rsidRPr="0010696C">
        <w:rPr>
          <w:szCs w:val="24"/>
          <w:lang w:val="en-GB"/>
        </w:rPr>
        <w:t xml:space="preserve">by </w:t>
      </w:r>
      <w:r w:rsidR="00995F04" w:rsidRPr="0010696C">
        <w:rPr>
          <w:szCs w:val="24"/>
          <w:lang w:val="en-GB"/>
        </w:rPr>
        <w:t xml:space="preserve">Mercantile Bank </w:t>
      </w:r>
      <w:r w:rsidR="003B51A6" w:rsidRPr="0010696C">
        <w:rPr>
          <w:szCs w:val="24"/>
          <w:lang w:val="en-GB"/>
        </w:rPr>
        <w:t>and</w:t>
      </w:r>
      <w:r w:rsidR="002C1541" w:rsidRPr="0010696C">
        <w:rPr>
          <w:szCs w:val="24"/>
          <w:lang w:val="en-GB"/>
        </w:rPr>
        <w:t xml:space="preserve"> Intecon</w:t>
      </w:r>
      <w:r w:rsidR="003B51A6" w:rsidRPr="0010696C">
        <w:rPr>
          <w:szCs w:val="24"/>
          <w:lang w:val="en-GB"/>
        </w:rPr>
        <w:t xml:space="preserve"> and not Capitec and Amplifin</w:t>
      </w:r>
      <w:r w:rsidR="00F772E6" w:rsidRPr="0010696C">
        <w:rPr>
          <w:szCs w:val="24"/>
          <w:lang w:val="en-GB"/>
        </w:rPr>
        <w:t>.  The legal</w:t>
      </w:r>
      <w:r w:rsidR="00AE02B1" w:rsidRPr="0010696C">
        <w:rPr>
          <w:szCs w:val="24"/>
          <w:lang w:val="en-GB"/>
        </w:rPr>
        <w:t xml:space="preserve"> rights and obligations</w:t>
      </w:r>
      <w:r w:rsidR="00653148" w:rsidRPr="0010696C">
        <w:rPr>
          <w:szCs w:val="24"/>
          <w:lang w:val="en-GB"/>
        </w:rPr>
        <w:t xml:space="preserve"> </w:t>
      </w:r>
      <w:r w:rsidR="00A33AEE" w:rsidRPr="0010696C">
        <w:rPr>
          <w:szCs w:val="24"/>
          <w:lang w:val="en-GB"/>
        </w:rPr>
        <w:t xml:space="preserve">flowing from the contracts </w:t>
      </w:r>
      <w:r w:rsidR="00653148" w:rsidRPr="0010696C">
        <w:rPr>
          <w:szCs w:val="24"/>
          <w:lang w:val="en-GB"/>
        </w:rPr>
        <w:t>remain the same</w:t>
      </w:r>
      <w:r w:rsidR="00373A17" w:rsidRPr="0010696C">
        <w:rPr>
          <w:szCs w:val="24"/>
          <w:lang w:val="en-GB"/>
        </w:rPr>
        <w:t>.</w:t>
      </w:r>
      <w:r w:rsidR="00F32FD7" w:rsidRPr="0010696C">
        <w:rPr>
          <w:szCs w:val="24"/>
          <w:lang w:val="en-GB"/>
        </w:rPr>
        <w:t xml:space="preserve"> </w:t>
      </w:r>
      <w:r w:rsidR="00373A17" w:rsidRPr="0010696C">
        <w:rPr>
          <w:szCs w:val="24"/>
          <w:lang w:val="en-GB"/>
        </w:rPr>
        <w:t xml:space="preserve"> In order to simply matters </w:t>
      </w:r>
      <w:r w:rsidR="00B70804" w:rsidRPr="0010696C">
        <w:rPr>
          <w:szCs w:val="24"/>
          <w:lang w:val="en-GB"/>
        </w:rPr>
        <w:t xml:space="preserve">I </w:t>
      </w:r>
      <w:r w:rsidR="00B70804" w:rsidRPr="0010696C">
        <w:rPr>
          <w:szCs w:val="24"/>
          <w:lang w:val="en-GB"/>
        </w:rPr>
        <w:lastRenderedPageBreak/>
        <w:t>do not refer to the predecessors (Mercantile Bank and Intecon) below</w:t>
      </w:r>
      <w:r w:rsidR="00373A17" w:rsidRPr="0010696C">
        <w:rPr>
          <w:szCs w:val="24"/>
          <w:lang w:val="en-GB"/>
        </w:rPr>
        <w:t xml:space="preserve"> but merely to the current </w:t>
      </w:r>
      <w:r w:rsidR="003B1F9A" w:rsidRPr="0010696C">
        <w:rPr>
          <w:szCs w:val="24"/>
          <w:lang w:val="en-GB"/>
        </w:rPr>
        <w:t xml:space="preserve">operators, </w:t>
      </w:r>
      <w:r w:rsidR="0003326F" w:rsidRPr="0010696C">
        <w:rPr>
          <w:szCs w:val="24"/>
          <w:lang w:val="en-GB"/>
        </w:rPr>
        <w:t>i.e.</w:t>
      </w:r>
      <w:r w:rsidR="003B1F9A" w:rsidRPr="0010696C">
        <w:rPr>
          <w:szCs w:val="24"/>
          <w:lang w:val="en-GB"/>
        </w:rPr>
        <w:t xml:space="preserve"> Capitec and Amplifin. </w:t>
      </w:r>
    </w:p>
    <w:p w14:paraId="558685BB" w14:textId="5F164591" w:rsidR="00082FD3" w:rsidRPr="0010696C" w:rsidRDefault="00082FD3" w:rsidP="00F539C9">
      <w:pPr>
        <w:pStyle w:val="Level1"/>
        <w:rPr>
          <w:szCs w:val="24"/>
          <w:lang w:val="en-GB"/>
        </w:rPr>
      </w:pPr>
      <w:r w:rsidRPr="0010696C">
        <w:rPr>
          <w:szCs w:val="24"/>
          <w:lang w:val="en-GB"/>
        </w:rPr>
        <w:t xml:space="preserve">As already stated, the Applicants are </w:t>
      </w:r>
      <w:r w:rsidR="00F854BB" w:rsidRPr="0010696C">
        <w:rPr>
          <w:szCs w:val="24"/>
          <w:lang w:val="en-GB"/>
        </w:rPr>
        <w:t xml:space="preserve">credit providers who are making use of the services of Capitec and Amplifin. </w:t>
      </w:r>
    </w:p>
    <w:p w14:paraId="6644CB79" w14:textId="20E489F5" w:rsidR="00F539C9" w:rsidRPr="0010696C" w:rsidRDefault="004F7622" w:rsidP="00F539C9">
      <w:pPr>
        <w:pStyle w:val="Level1"/>
        <w:rPr>
          <w:szCs w:val="24"/>
          <w:lang w:val="en-GB"/>
        </w:rPr>
      </w:pPr>
      <w:r w:rsidRPr="0010696C">
        <w:rPr>
          <w:color w:val="000000" w:themeColor="text1"/>
          <w:szCs w:val="24"/>
          <w:lang w:val="en-GB"/>
        </w:rPr>
        <w:t xml:space="preserve">The </w:t>
      </w:r>
      <w:r w:rsidR="00F854BB" w:rsidRPr="0010696C">
        <w:rPr>
          <w:color w:val="000000" w:themeColor="text1"/>
          <w:szCs w:val="24"/>
          <w:lang w:val="en-GB"/>
        </w:rPr>
        <w:t>Applicants</w:t>
      </w:r>
      <w:r w:rsidR="00F32FD7" w:rsidRPr="0010696C">
        <w:rPr>
          <w:color w:val="000000" w:themeColor="text1"/>
          <w:szCs w:val="24"/>
          <w:lang w:val="en-GB"/>
        </w:rPr>
        <w:t>’</w:t>
      </w:r>
      <w:r w:rsidR="00F854BB" w:rsidRPr="0010696C">
        <w:rPr>
          <w:color w:val="000000" w:themeColor="text1"/>
          <w:szCs w:val="24"/>
          <w:lang w:val="en-GB"/>
        </w:rPr>
        <w:t xml:space="preserve"> </w:t>
      </w:r>
      <w:r w:rsidR="00F539C9" w:rsidRPr="0010696C">
        <w:rPr>
          <w:color w:val="000000" w:themeColor="text1"/>
          <w:szCs w:val="24"/>
          <w:lang w:val="en-GB"/>
        </w:rPr>
        <w:t>founding affidavit</w:t>
      </w:r>
      <w:r w:rsidRPr="0010696C">
        <w:rPr>
          <w:color w:val="000000" w:themeColor="text1"/>
          <w:szCs w:val="24"/>
          <w:lang w:val="en-GB"/>
        </w:rPr>
        <w:t xml:space="preserve"> </w:t>
      </w:r>
      <w:r w:rsidR="00F539C9" w:rsidRPr="0010696C">
        <w:rPr>
          <w:color w:val="000000" w:themeColor="text1"/>
          <w:szCs w:val="24"/>
          <w:lang w:val="en-GB"/>
        </w:rPr>
        <w:t xml:space="preserve">is </w:t>
      </w:r>
      <w:r w:rsidR="00D64694">
        <w:rPr>
          <w:color w:val="000000" w:themeColor="text1"/>
          <w:szCs w:val="24"/>
          <w:lang w:val="en-GB"/>
        </w:rPr>
        <w:t xml:space="preserve">not </w:t>
      </w:r>
      <w:r w:rsidR="00F539C9" w:rsidRPr="0010696C">
        <w:rPr>
          <w:color w:val="000000" w:themeColor="text1"/>
          <w:szCs w:val="24"/>
          <w:lang w:val="en-GB"/>
        </w:rPr>
        <w:t xml:space="preserve">deposed </w:t>
      </w:r>
      <w:r w:rsidR="00D64694">
        <w:rPr>
          <w:color w:val="000000" w:themeColor="text1"/>
          <w:szCs w:val="24"/>
          <w:lang w:val="en-GB"/>
        </w:rPr>
        <w:t xml:space="preserve">to by one </w:t>
      </w:r>
      <w:r w:rsidR="007609BF">
        <w:rPr>
          <w:color w:val="000000" w:themeColor="text1"/>
          <w:szCs w:val="24"/>
          <w:lang w:val="en-GB"/>
        </w:rPr>
        <w:t xml:space="preserve">of them but </w:t>
      </w:r>
      <w:r w:rsidR="00F539C9" w:rsidRPr="0010696C">
        <w:rPr>
          <w:color w:val="000000" w:themeColor="text1"/>
          <w:szCs w:val="24"/>
          <w:lang w:val="en-GB"/>
        </w:rPr>
        <w:t>by a Mr</w:t>
      </w:r>
      <w:r w:rsidR="00CE01E6" w:rsidRPr="0010696C">
        <w:rPr>
          <w:color w:val="000000" w:themeColor="text1"/>
          <w:szCs w:val="24"/>
          <w:lang w:val="en-GB"/>
        </w:rPr>
        <w:t> </w:t>
      </w:r>
      <w:r w:rsidR="00F539C9" w:rsidRPr="0010696C">
        <w:rPr>
          <w:color w:val="000000" w:themeColor="text1"/>
          <w:szCs w:val="24"/>
          <w:lang w:val="en-GB"/>
        </w:rPr>
        <w:t>Lijun Gao</w:t>
      </w:r>
      <w:r w:rsidR="00551996" w:rsidRPr="0010696C">
        <w:rPr>
          <w:color w:val="000000" w:themeColor="text1"/>
          <w:szCs w:val="24"/>
          <w:lang w:val="en-GB"/>
        </w:rPr>
        <w:t xml:space="preserve"> (</w:t>
      </w:r>
      <w:r w:rsidR="00F32FD7" w:rsidRPr="0010696C">
        <w:rPr>
          <w:color w:val="000000" w:themeColor="text1"/>
          <w:szCs w:val="24"/>
          <w:lang w:val="en-GB"/>
        </w:rPr>
        <w:t>“</w:t>
      </w:r>
      <w:r w:rsidR="00AA1D5B" w:rsidRPr="0010696C">
        <w:rPr>
          <w:b/>
          <w:bCs/>
          <w:color w:val="000000" w:themeColor="text1"/>
          <w:szCs w:val="24"/>
          <w:lang w:val="en-GB"/>
        </w:rPr>
        <w:t>Mr Gao</w:t>
      </w:r>
      <w:r w:rsidR="00F32FD7" w:rsidRPr="0010696C">
        <w:rPr>
          <w:color w:val="000000" w:themeColor="text1"/>
          <w:szCs w:val="24"/>
          <w:lang w:val="en-GB"/>
        </w:rPr>
        <w:t>”</w:t>
      </w:r>
      <w:r w:rsidR="00551996" w:rsidRPr="0010696C">
        <w:rPr>
          <w:color w:val="000000" w:themeColor="text1"/>
          <w:szCs w:val="24"/>
          <w:lang w:val="en-GB"/>
        </w:rPr>
        <w:t>)</w:t>
      </w:r>
      <w:r w:rsidR="00F539C9" w:rsidRPr="0010696C">
        <w:rPr>
          <w:color w:val="000000" w:themeColor="text1"/>
          <w:szCs w:val="24"/>
          <w:lang w:val="en-GB"/>
        </w:rPr>
        <w:t>, the operations manager of Allworth Business Solutions (Pty) Ltd (</w:t>
      </w:r>
      <w:r w:rsidR="00F32FD7" w:rsidRPr="0010696C">
        <w:rPr>
          <w:color w:val="000000" w:themeColor="text1"/>
          <w:szCs w:val="24"/>
          <w:lang w:val="en-GB"/>
        </w:rPr>
        <w:t>“</w:t>
      </w:r>
      <w:r w:rsidR="00F539C9" w:rsidRPr="0010696C">
        <w:rPr>
          <w:b/>
          <w:bCs/>
          <w:color w:val="000000" w:themeColor="text1"/>
          <w:szCs w:val="24"/>
          <w:lang w:val="en-GB"/>
        </w:rPr>
        <w:t>ABS</w:t>
      </w:r>
      <w:r w:rsidR="00F32FD7" w:rsidRPr="0010696C">
        <w:rPr>
          <w:color w:val="000000" w:themeColor="text1"/>
          <w:szCs w:val="24"/>
          <w:lang w:val="en-GB"/>
        </w:rPr>
        <w:t>”</w:t>
      </w:r>
      <w:r w:rsidR="00F539C9" w:rsidRPr="0010696C">
        <w:rPr>
          <w:color w:val="000000" w:themeColor="text1"/>
          <w:szCs w:val="24"/>
          <w:lang w:val="en-GB"/>
        </w:rPr>
        <w:t>)</w:t>
      </w:r>
      <w:r w:rsidRPr="0010696C">
        <w:rPr>
          <w:color w:val="000000" w:themeColor="text1"/>
          <w:szCs w:val="24"/>
          <w:lang w:val="en-GB"/>
        </w:rPr>
        <w:t>.  ABS</w:t>
      </w:r>
      <w:r w:rsidR="00F539C9" w:rsidRPr="0010696C">
        <w:rPr>
          <w:color w:val="000000" w:themeColor="text1"/>
          <w:szCs w:val="24"/>
          <w:lang w:val="en-GB"/>
        </w:rPr>
        <w:t xml:space="preserve"> provides consulting services to the Applicants.  The Applicants have authorised </w:t>
      </w:r>
      <w:r w:rsidR="00AA1D5B" w:rsidRPr="0010696C">
        <w:rPr>
          <w:color w:val="000000" w:themeColor="text1"/>
          <w:szCs w:val="24"/>
          <w:lang w:val="en-GB"/>
        </w:rPr>
        <w:t>Mr Gao</w:t>
      </w:r>
      <w:r w:rsidR="00F539C9" w:rsidRPr="0010696C">
        <w:rPr>
          <w:color w:val="000000" w:themeColor="text1"/>
          <w:szCs w:val="24"/>
          <w:lang w:val="en-GB"/>
        </w:rPr>
        <w:t xml:space="preserve"> to bring the application on their behalf.  </w:t>
      </w:r>
      <w:r w:rsidR="00AA1D5B" w:rsidRPr="0010696C">
        <w:rPr>
          <w:color w:val="000000" w:themeColor="text1"/>
          <w:szCs w:val="24"/>
          <w:lang w:val="en-GB"/>
        </w:rPr>
        <w:t>Mr Gao</w:t>
      </w:r>
      <w:r w:rsidR="00F539C9" w:rsidRPr="0010696C">
        <w:rPr>
          <w:color w:val="000000" w:themeColor="text1"/>
          <w:szCs w:val="24"/>
          <w:lang w:val="en-GB"/>
        </w:rPr>
        <w:t xml:space="preserve"> makes clear in the founding affidavit that he </w:t>
      </w:r>
      <w:r w:rsidR="007609BF">
        <w:rPr>
          <w:color w:val="000000" w:themeColor="text1"/>
          <w:szCs w:val="24"/>
          <w:lang w:val="en-GB"/>
        </w:rPr>
        <w:t>had been</w:t>
      </w:r>
      <w:r w:rsidR="00F539C9" w:rsidRPr="0010696C">
        <w:rPr>
          <w:color w:val="000000" w:themeColor="text1"/>
          <w:szCs w:val="24"/>
          <w:lang w:val="en-GB"/>
        </w:rPr>
        <w:t xml:space="preserve"> in contact with Amplifin</w:t>
      </w:r>
      <w:r w:rsidR="00F32FD7" w:rsidRPr="0010696C">
        <w:rPr>
          <w:color w:val="000000" w:themeColor="text1"/>
          <w:szCs w:val="24"/>
          <w:lang w:val="en-GB"/>
        </w:rPr>
        <w:t>’</w:t>
      </w:r>
      <w:r w:rsidR="00F539C9" w:rsidRPr="0010696C">
        <w:rPr>
          <w:color w:val="000000" w:themeColor="text1"/>
          <w:szCs w:val="24"/>
          <w:lang w:val="en-GB"/>
        </w:rPr>
        <w:t>s Mr</w:t>
      </w:r>
      <w:r w:rsidR="00CE01E6" w:rsidRPr="0010696C">
        <w:rPr>
          <w:color w:val="000000" w:themeColor="text1"/>
          <w:szCs w:val="24"/>
          <w:lang w:val="en-GB"/>
        </w:rPr>
        <w:t> </w:t>
      </w:r>
      <w:r w:rsidR="00F539C9" w:rsidRPr="0010696C">
        <w:rPr>
          <w:color w:val="000000" w:themeColor="text1"/>
          <w:szCs w:val="24"/>
          <w:lang w:val="en-GB"/>
        </w:rPr>
        <w:t>Rian Swart</w:t>
      </w:r>
      <w:r w:rsidR="00551996" w:rsidRPr="0010696C">
        <w:rPr>
          <w:color w:val="000000" w:themeColor="text1"/>
          <w:szCs w:val="24"/>
          <w:lang w:val="en-GB"/>
        </w:rPr>
        <w:t xml:space="preserve"> (</w:t>
      </w:r>
      <w:r w:rsidR="00F32FD7" w:rsidRPr="0010696C">
        <w:rPr>
          <w:color w:val="000000" w:themeColor="text1"/>
          <w:szCs w:val="24"/>
          <w:lang w:val="en-GB"/>
        </w:rPr>
        <w:t>“</w:t>
      </w:r>
      <w:r w:rsidR="00AA1D5B" w:rsidRPr="0010696C">
        <w:rPr>
          <w:b/>
          <w:bCs/>
          <w:color w:val="000000" w:themeColor="text1"/>
          <w:szCs w:val="24"/>
          <w:lang w:val="en-GB"/>
        </w:rPr>
        <w:t>Mr Swart</w:t>
      </w:r>
      <w:r w:rsidR="00F32FD7" w:rsidRPr="0010696C">
        <w:rPr>
          <w:color w:val="000000" w:themeColor="text1"/>
          <w:szCs w:val="24"/>
          <w:lang w:val="en-GB"/>
        </w:rPr>
        <w:t>”</w:t>
      </w:r>
      <w:r w:rsidR="00551996" w:rsidRPr="0010696C">
        <w:rPr>
          <w:color w:val="000000" w:themeColor="text1"/>
          <w:szCs w:val="24"/>
          <w:lang w:val="en-GB"/>
        </w:rPr>
        <w:t>)</w:t>
      </w:r>
      <w:r w:rsidR="002E55D0" w:rsidRPr="0010696C">
        <w:rPr>
          <w:color w:val="000000" w:themeColor="text1"/>
          <w:szCs w:val="24"/>
          <w:lang w:val="en-GB"/>
        </w:rPr>
        <w:t>.  That interaction</w:t>
      </w:r>
      <w:r w:rsidR="00F539C9" w:rsidRPr="0010696C">
        <w:rPr>
          <w:color w:val="000000" w:themeColor="text1"/>
          <w:szCs w:val="24"/>
          <w:lang w:val="en-GB"/>
        </w:rPr>
        <w:t xml:space="preserve"> would include </w:t>
      </w:r>
      <w:r w:rsidR="002E55D0" w:rsidRPr="0010696C">
        <w:rPr>
          <w:color w:val="000000" w:themeColor="text1"/>
          <w:szCs w:val="24"/>
          <w:lang w:val="en-GB"/>
        </w:rPr>
        <w:t>exchanges</w:t>
      </w:r>
      <w:r w:rsidR="00F539C9" w:rsidRPr="0010696C">
        <w:rPr>
          <w:color w:val="000000" w:themeColor="text1"/>
          <w:szCs w:val="24"/>
          <w:lang w:val="en-GB"/>
        </w:rPr>
        <w:t xml:space="preserve"> regarding the </w:t>
      </w:r>
      <w:r w:rsidRPr="0010696C">
        <w:rPr>
          <w:color w:val="000000" w:themeColor="text1"/>
          <w:szCs w:val="24"/>
          <w:lang w:val="en-GB"/>
        </w:rPr>
        <w:t xml:space="preserve">court </w:t>
      </w:r>
      <w:r w:rsidR="00F539C9" w:rsidRPr="0010696C">
        <w:rPr>
          <w:color w:val="000000" w:themeColor="text1"/>
          <w:szCs w:val="24"/>
          <w:lang w:val="en-GB"/>
        </w:rPr>
        <w:t>application.</w:t>
      </w:r>
    </w:p>
    <w:p w14:paraId="7DAF7AFC" w14:textId="31B4391D" w:rsidR="00F539C9" w:rsidRPr="0010696C" w:rsidRDefault="00F539C9" w:rsidP="00F539C9">
      <w:pPr>
        <w:pStyle w:val="Level1"/>
        <w:rPr>
          <w:szCs w:val="24"/>
          <w:lang w:val="en-GB"/>
        </w:rPr>
      </w:pPr>
      <w:r w:rsidRPr="0010696C">
        <w:rPr>
          <w:color w:val="000000" w:themeColor="text1"/>
          <w:szCs w:val="24"/>
          <w:lang w:val="en-GB"/>
        </w:rPr>
        <w:t xml:space="preserve">In the founding affidavit, </w:t>
      </w:r>
      <w:r w:rsidR="00AA1D5B" w:rsidRPr="0010696C">
        <w:rPr>
          <w:color w:val="000000" w:themeColor="text1"/>
          <w:szCs w:val="24"/>
          <w:lang w:val="en-GB"/>
        </w:rPr>
        <w:t>Mr Gao</w:t>
      </w:r>
      <w:r w:rsidRPr="0010696C">
        <w:rPr>
          <w:color w:val="000000" w:themeColor="text1"/>
          <w:szCs w:val="24"/>
          <w:lang w:val="en-GB"/>
        </w:rPr>
        <w:t xml:space="preserve"> </w:t>
      </w:r>
      <w:r w:rsidR="004F7622" w:rsidRPr="0010696C">
        <w:rPr>
          <w:color w:val="000000" w:themeColor="text1"/>
          <w:szCs w:val="24"/>
          <w:lang w:val="en-GB"/>
        </w:rPr>
        <w:t xml:space="preserve">makes the following claims regarding the </w:t>
      </w:r>
      <w:r w:rsidRPr="0010696C">
        <w:rPr>
          <w:color w:val="000000" w:themeColor="text1"/>
          <w:szCs w:val="24"/>
          <w:lang w:val="en-GB"/>
        </w:rPr>
        <w:t>contractual arrangements</w:t>
      </w:r>
      <w:r w:rsidR="00C01337" w:rsidRPr="0010696C">
        <w:rPr>
          <w:color w:val="000000" w:themeColor="text1"/>
          <w:szCs w:val="24"/>
          <w:lang w:val="en-GB"/>
        </w:rPr>
        <w:t xml:space="preserve"> between the parties</w:t>
      </w:r>
      <w:r w:rsidRPr="0010696C">
        <w:rPr>
          <w:color w:val="000000" w:themeColor="text1"/>
          <w:szCs w:val="24"/>
          <w:lang w:val="en-GB"/>
        </w:rPr>
        <w:t>:</w:t>
      </w:r>
    </w:p>
    <w:p w14:paraId="7BD84808" w14:textId="7D541447" w:rsidR="00F539C9" w:rsidRPr="0010696C" w:rsidRDefault="00F539C9" w:rsidP="00F539C9">
      <w:pPr>
        <w:pStyle w:val="Level2"/>
        <w:rPr>
          <w:szCs w:val="24"/>
          <w:lang w:val="en-GB"/>
        </w:rPr>
      </w:pPr>
      <w:r w:rsidRPr="0010696C">
        <w:rPr>
          <w:szCs w:val="24"/>
          <w:lang w:val="en-GB"/>
        </w:rPr>
        <w:t xml:space="preserve">When a new to-be credit provider wishes to join the ABS </w:t>
      </w:r>
      <w:r w:rsidR="00F32FD7" w:rsidRPr="0010696C">
        <w:rPr>
          <w:szCs w:val="24"/>
          <w:lang w:val="en-GB"/>
        </w:rPr>
        <w:t>“</w:t>
      </w:r>
      <w:r w:rsidRPr="0010696C">
        <w:rPr>
          <w:i/>
          <w:iCs/>
          <w:szCs w:val="24"/>
          <w:lang w:val="en-GB"/>
        </w:rPr>
        <w:t>stable</w:t>
      </w:r>
      <w:r w:rsidR="00F32FD7" w:rsidRPr="0010696C">
        <w:rPr>
          <w:szCs w:val="24"/>
          <w:lang w:val="en-GB"/>
        </w:rPr>
        <w:t>”</w:t>
      </w:r>
      <w:r w:rsidRPr="0010696C">
        <w:rPr>
          <w:szCs w:val="24"/>
          <w:lang w:val="en-GB"/>
        </w:rPr>
        <w:t xml:space="preserve">, Amplifin is informed.  Amplifin then contacts the credit provider with the application forms which requires </w:t>
      </w:r>
      <w:r w:rsidR="004F7622" w:rsidRPr="0010696C">
        <w:rPr>
          <w:szCs w:val="24"/>
          <w:lang w:val="en-GB"/>
        </w:rPr>
        <w:t>the credit provider</w:t>
      </w:r>
      <w:r w:rsidR="00F32FD7" w:rsidRPr="0010696C">
        <w:rPr>
          <w:szCs w:val="24"/>
          <w:lang w:val="en-GB"/>
        </w:rPr>
        <w:t>’</w:t>
      </w:r>
      <w:r w:rsidR="004F7622" w:rsidRPr="0010696C">
        <w:rPr>
          <w:szCs w:val="24"/>
          <w:lang w:val="en-GB"/>
        </w:rPr>
        <w:t xml:space="preserve">s </w:t>
      </w:r>
      <w:r w:rsidRPr="0010696C">
        <w:rPr>
          <w:szCs w:val="24"/>
          <w:lang w:val="en-GB"/>
        </w:rPr>
        <w:t xml:space="preserve">bank details and various information for </w:t>
      </w:r>
      <w:r w:rsidR="00F32FD7" w:rsidRPr="0010696C">
        <w:rPr>
          <w:szCs w:val="24"/>
          <w:lang w:val="en-GB"/>
        </w:rPr>
        <w:t>“</w:t>
      </w:r>
      <w:r w:rsidRPr="0010696C">
        <w:rPr>
          <w:i/>
          <w:iCs/>
          <w:szCs w:val="24"/>
          <w:lang w:val="en-GB"/>
        </w:rPr>
        <w:t>know your client</w:t>
      </w:r>
      <w:r w:rsidR="00F32FD7" w:rsidRPr="0010696C">
        <w:rPr>
          <w:szCs w:val="24"/>
          <w:lang w:val="en-GB"/>
        </w:rPr>
        <w:t>”</w:t>
      </w:r>
      <w:r w:rsidRPr="0010696C">
        <w:rPr>
          <w:szCs w:val="24"/>
          <w:lang w:val="en-GB"/>
        </w:rPr>
        <w:t xml:space="preserve"> (</w:t>
      </w:r>
      <w:r w:rsidR="00F32FD7" w:rsidRPr="0010696C">
        <w:rPr>
          <w:szCs w:val="24"/>
          <w:lang w:val="en-GB"/>
        </w:rPr>
        <w:t>“</w:t>
      </w:r>
      <w:r w:rsidRPr="0010696C">
        <w:rPr>
          <w:b/>
          <w:bCs/>
          <w:szCs w:val="24"/>
          <w:lang w:val="en-GB"/>
        </w:rPr>
        <w:t>KYC</w:t>
      </w:r>
      <w:r w:rsidR="00F32FD7" w:rsidRPr="0010696C">
        <w:rPr>
          <w:szCs w:val="24"/>
          <w:lang w:val="en-GB"/>
        </w:rPr>
        <w:t>”</w:t>
      </w:r>
      <w:r w:rsidRPr="0010696C">
        <w:rPr>
          <w:szCs w:val="24"/>
          <w:lang w:val="en-GB"/>
        </w:rPr>
        <w:t>) purposes.</w:t>
      </w:r>
    </w:p>
    <w:p w14:paraId="6924F0F6" w14:textId="79749578" w:rsidR="00F539C9" w:rsidRPr="0010696C" w:rsidRDefault="00F539C9" w:rsidP="00F539C9">
      <w:pPr>
        <w:pStyle w:val="Level2"/>
        <w:rPr>
          <w:szCs w:val="24"/>
          <w:lang w:val="en-GB"/>
        </w:rPr>
      </w:pPr>
      <w:r w:rsidRPr="0010696C">
        <w:rPr>
          <w:szCs w:val="24"/>
          <w:lang w:val="en-GB"/>
        </w:rPr>
        <w:t>Th</w:t>
      </w:r>
      <w:r w:rsidR="004F7622" w:rsidRPr="0010696C">
        <w:rPr>
          <w:szCs w:val="24"/>
          <w:lang w:val="en-GB"/>
        </w:rPr>
        <w:t>e completed forms are then</w:t>
      </w:r>
      <w:r w:rsidRPr="0010696C">
        <w:rPr>
          <w:szCs w:val="24"/>
          <w:lang w:val="en-GB"/>
        </w:rPr>
        <w:t xml:space="preserve"> used by Amplifin to open the AET facility </w:t>
      </w:r>
      <w:r w:rsidR="004F7622" w:rsidRPr="0010696C">
        <w:rPr>
          <w:szCs w:val="24"/>
          <w:lang w:val="en-GB"/>
        </w:rPr>
        <w:t xml:space="preserve">with Capitec </w:t>
      </w:r>
      <w:r w:rsidRPr="0010696C">
        <w:rPr>
          <w:szCs w:val="24"/>
          <w:lang w:val="en-GB"/>
        </w:rPr>
        <w:t xml:space="preserve">and, if required, a POS facility.  The to-be credit provider has no contact with Capitec.  The </w:t>
      </w:r>
      <w:r w:rsidR="004F7622" w:rsidRPr="0010696C">
        <w:rPr>
          <w:szCs w:val="24"/>
          <w:lang w:val="en-GB"/>
        </w:rPr>
        <w:t xml:space="preserve">credit provider merely </w:t>
      </w:r>
      <w:r w:rsidRPr="0010696C">
        <w:rPr>
          <w:szCs w:val="24"/>
          <w:lang w:val="en-GB"/>
        </w:rPr>
        <w:t xml:space="preserve">selects the services it requires and concludes an agreement with Amplifin for the provision of those services.  </w:t>
      </w:r>
    </w:p>
    <w:p w14:paraId="0E371711" w14:textId="7C9D3918" w:rsidR="00F539C9" w:rsidRPr="0010696C" w:rsidRDefault="00F539C9" w:rsidP="00F539C9">
      <w:pPr>
        <w:pStyle w:val="Level2"/>
        <w:rPr>
          <w:szCs w:val="24"/>
          <w:lang w:val="en-GB"/>
        </w:rPr>
      </w:pPr>
      <w:r w:rsidRPr="0010696C">
        <w:rPr>
          <w:szCs w:val="24"/>
          <w:lang w:val="en-GB"/>
        </w:rPr>
        <w:lastRenderedPageBreak/>
        <w:t>Part of the application is an account opening document with Capitec</w:t>
      </w:r>
      <w:r w:rsidR="00030D8B" w:rsidRPr="0010696C">
        <w:rPr>
          <w:szCs w:val="24"/>
          <w:lang w:val="en-GB"/>
        </w:rPr>
        <w:t>.</w:t>
      </w:r>
    </w:p>
    <w:p w14:paraId="0CE2F100" w14:textId="2D7D34DD" w:rsidR="00F539C9" w:rsidRPr="0010696C" w:rsidRDefault="001A534B" w:rsidP="00F539C9">
      <w:pPr>
        <w:pStyle w:val="Level2"/>
        <w:rPr>
          <w:szCs w:val="24"/>
          <w:lang w:val="en-GB"/>
        </w:rPr>
      </w:pPr>
      <w:r>
        <w:rPr>
          <w:szCs w:val="24"/>
          <w:lang w:val="en-GB"/>
        </w:rPr>
        <w:t xml:space="preserve">Even though </w:t>
      </w:r>
      <w:r w:rsidR="00F539C9" w:rsidRPr="0010696C">
        <w:rPr>
          <w:szCs w:val="24"/>
          <w:lang w:val="en-GB"/>
        </w:rPr>
        <w:t xml:space="preserve">Capitec is </w:t>
      </w:r>
      <w:r w:rsidR="004F7622" w:rsidRPr="0010696C">
        <w:rPr>
          <w:szCs w:val="24"/>
          <w:lang w:val="en-GB"/>
        </w:rPr>
        <w:t xml:space="preserve">a </w:t>
      </w:r>
      <w:r w:rsidR="00F539C9" w:rsidRPr="0010696C">
        <w:rPr>
          <w:szCs w:val="24"/>
          <w:lang w:val="en-GB"/>
        </w:rPr>
        <w:t xml:space="preserve">service provider </w:t>
      </w:r>
      <w:r w:rsidR="004F7622" w:rsidRPr="0010696C">
        <w:rPr>
          <w:szCs w:val="24"/>
          <w:lang w:val="en-GB"/>
        </w:rPr>
        <w:t xml:space="preserve">to </w:t>
      </w:r>
      <w:r w:rsidR="00F539C9" w:rsidRPr="0010696C">
        <w:rPr>
          <w:szCs w:val="24"/>
          <w:lang w:val="en-GB"/>
        </w:rPr>
        <w:t>Amplifin</w:t>
      </w:r>
      <w:r>
        <w:rPr>
          <w:szCs w:val="24"/>
          <w:lang w:val="en-GB"/>
        </w:rPr>
        <w:t xml:space="preserve">, the </w:t>
      </w:r>
      <w:r w:rsidR="00F539C9" w:rsidRPr="0010696C">
        <w:rPr>
          <w:szCs w:val="24"/>
          <w:lang w:val="en-GB"/>
        </w:rPr>
        <w:t>AET facilities are part and parcel of Amplifin</w:t>
      </w:r>
      <w:r w:rsidR="000A5702" w:rsidRPr="0010696C">
        <w:rPr>
          <w:szCs w:val="24"/>
          <w:lang w:val="en-GB"/>
        </w:rPr>
        <w:t>’s</w:t>
      </w:r>
      <w:r w:rsidR="00F539C9" w:rsidRPr="0010696C">
        <w:rPr>
          <w:szCs w:val="24"/>
          <w:lang w:val="en-GB"/>
        </w:rPr>
        <w:t xml:space="preserve"> </w:t>
      </w:r>
      <w:r w:rsidR="00CE01E6" w:rsidRPr="0010696C">
        <w:rPr>
          <w:szCs w:val="24"/>
          <w:lang w:val="en-GB"/>
        </w:rPr>
        <w:t>suite</w:t>
      </w:r>
      <w:r w:rsidR="00F539C9" w:rsidRPr="0010696C">
        <w:rPr>
          <w:szCs w:val="24"/>
          <w:lang w:val="en-GB"/>
        </w:rPr>
        <w:t xml:space="preserve"> of services rendered to credit providers. </w:t>
      </w:r>
      <w:r w:rsidR="00CE01E6" w:rsidRPr="0010696C">
        <w:rPr>
          <w:szCs w:val="24"/>
          <w:lang w:val="en-GB"/>
        </w:rPr>
        <w:t xml:space="preserve"> </w:t>
      </w:r>
      <w:r w:rsidR="00F539C9" w:rsidRPr="0010696C">
        <w:rPr>
          <w:szCs w:val="24"/>
          <w:lang w:val="en-GB"/>
        </w:rPr>
        <w:t xml:space="preserve">The credit provider cannot obtain AET facilities from other banks </w:t>
      </w:r>
      <w:r w:rsidR="004F7622" w:rsidRPr="0010696C">
        <w:rPr>
          <w:szCs w:val="24"/>
          <w:lang w:val="en-GB"/>
        </w:rPr>
        <w:t xml:space="preserve">(other than Capitec) </w:t>
      </w:r>
      <w:r w:rsidR="00F539C9" w:rsidRPr="0010696C">
        <w:rPr>
          <w:szCs w:val="24"/>
          <w:lang w:val="en-GB"/>
        </w:rPr>
        <w:t>whilst they have contracts with Amplifin.</w:t>
      </w:r>
    </w:p>
    <w:p w14:paraId="4871245B" w14:textId="69822495" w:rsidR="00F539C9" w:rsidRPr="0010696C" w:rsidRDefault="00F539C9" w:rsidP="00F539C9">
      <w:pPr>
        <w:pStyle w:val="Level2"/>
        <w:rPr>
          <w:szCs w:val="24"/>
          <w:lang w:val="en-GB"/>
        </w:rPr>
      </w:pPr>
      <w:r w:rsidRPr="0010696C">
        <w:rPr>
          <w:szCs w:val="24"/>
          <w:lang w:val="en-GB"/>
        </w:rPr>
        <w:t xml:space="preserve">The POS facilities are </w:t>
      </w:r>
      <w:r w:rsidR="00F32FD7" w:rsidRPr="0010696C">
        <w:rPr>
          <w:szCs w:val="24"/>
          <w:lang w:val="en-GB"/>
        </w:rPr>
        <w:t>“</w:t>
      </w:r>
      <w:r w:rsidRPr="0010696C">
        <w:rPr>
          <w:i/>
          <w:iCs/>
          <w:szCs w:val="24"/>
          <w:lang w:val="en-GB"/>
        </w:rPr>
        <w:t>over and above</w:t>
      </w:r>
      <w:r w:rsidR="00F32FD7" w:rsidRPr="0010696C">
        <w:rPr>
          <w:szCs w:val="24"/>
          <w:lang w:val="en-GB"/>
        </w:rPr>
        <w:t>”</w:t>
      </w:r>
      <w:r w:rsidRPr="0010696C">
        <w:rPr>
          <w:szCs w:val="24"/>
          <w:lang w:val="en-GB"/>
        </w:rPr>
        <w:t xml:space="preserve"> the AET facilities and is governed by</w:t>
      </w:r>
      <w:r w:rsidR="006C7B90" w:rsidRPr="0010696C">
        <w:rPr>
          <w:szCs w:val="24"/>
          <w:lang w:val="en-GB"/>
        </w:rPr>
        <w:t xml:space="preserve"> the T</w:t>
      </w:r>
      <w:r w:rsidRPr="0010696C">
        <w:rPr>
          <w:szCs w:val="24"/>
          <w:lang w:val="en-GB"/>
        </w:rPr>
        <w:t xml:space="preserve">ri-partite POS </w:t>
      </w:r>
      <w:r w:rsidR="006C7B90" w:rsidRPr="0010696C">
        <w:rPr>
          <w:szCs w:val="24"/>
          <w:lang w:val="en-GB"/>
        </w:rPr>
        <w:t>A</w:t>
      </w:r>
      <w:r w:rsidRPr="0010696C">
        <w:rPr>
          <w:szCs w:val="24"/>
          <w:lang w:val="en-GB"/>
        </w:rPr>
        <w:t xml:space="preserve">greement between Amplifin, </w:t>
      </w:r>
      <w:r w:rsidR="00CE01E6" w:rsidRPr="0010696C">
        <w:rPr>
          <w:szCs w:val="24"/>
          <w:lang w:val="en-GB"/>
        </w:rPr>
        <w:t>Capitec</w:t>
      </w:r>
      <w:r w:rsidRPr="0010696C">
        <w:rPr>
          <w:szCs w:val="24"/>
          <w:lang w:val="en-GB"/>
        </w:rPr>
        <w:t xml:space="preserve"> and the credit provider.</w:t>
      </w:r>
      <w:r w:rsidRPr="0010696C">
        <w:rPr>
          <w:rStyle w:val="FootnoteReference"/>
          <w:szCs w:val="24"/>
          <w:lang w:val="en-GB"/>
        </w:rPr>
        <w:footnoteReference w:id="9"/>
      </w:r>
    </w:p>
    <w:p w14:paraId="7F5DB529" w14:textId="1833C41A" w:rsidR="00F539C9" w:rsidRPr="0010696C" w:rsidRDefault="00F539C9" w:rsidP="00F539C9">
      <w:pPr>
        <w:pStyle w:val="Level2"/>
        <w:rPr>
          <w:szCs w:val="24"/>
          <w:lang w:val="en-GB"/>
        </w:rPr>
      </w:pPr>
      <w:r w:rsidRPr="0010696C">
        <w:rPr>
          <w:szCs w:val="24"/>
          <w:lang w:val="en-GB"/>
        </w:rPr>
        <w:t xml:space="preserve">The termination of the POS facility </w:t>
      </w:r>
      <w:r w:rsidR="00F826CA">
        <w:rPr>
          <w:szCs w:val="24"/>
          <w:lang w:val="en-GB"/>
        </w:rPr>
        <w:t>“</w:t>
      </w:r>
      <w:r w:rsidRPr="00F826CA">
        <w:rPr>
          <w:i/>
          <w:iCs/>
          <w:szCs w:val="24"/>
          <w:lang w:val="en-GB"/>
        </w:rPr>
        <w:t>does not affect the AET facility at all</w:t>
      </w:r>
      <w:r w:rsidR="00F826CA">
        <w:rPr>
          <w:szCs w:val="24"/>
          <w:lang w:val="en-GB"/>
        </w:rPr>
        <w:t>”</w:t>
      </w:r>
      <w:r w:rsidRPr="0010696C">
        <w:rPr>
          <w:szCs w:val="24"/>
          <w:lang w:val="en-GB"/>
        </w:rPr>
        <w:t>.  The POS facility concerns different services.</w:t>
      </w:r>
    </w:p>
    <w:p w14:paraId="323F480C" w14:textId="168C4B3D" w:rsidR="00F539C9" w:rsidRPr="0010696C" w:rsidRDefault="00F539C9" w:rsidP="00F539C9">
      <w:pPr>
        <w:pStyle w:val="Level1"/>
        <w:rPr>
          <w:szCs w:val="24"/>
          <w:lang w:val="en-GB"/>
        </w:rPr>
      </w:pPr>
      <w:r w:rsidRPr="0010696C">
        <w:rPr>
          <w:color w:val="000000" w:themeColor="text1"/>
          <w:szCs w:val="24"/>
          <w:lang w:val="en-GB"/>
        </w:rPr>
        <w:t>On 28</w:t>
      </w:r>
      <w:r w:rsidR="00CE01E6" w:rsidRPr="0010696C">
        <w:rPr>
          <w:color w:val="000000" w:themeColor="text1"/>
          <w:szCs w:val="24"/>
          <w:lang w:val="en-GB"/>
        </w:rPr>
        <w:t> </w:t>
      </w:r>
      <w:r w:rsidRPr="0010696C">
        <w:rPr>
          <w:color w:val="000000" w:themeColor="text1"/>
          <w:szCs w:val="24"/>
          <w:lang w:val="en-GB"/>
        </w:rPr>
        <w:t>August</w:t>
      </w:r>
      <w:r w:rsidR="00CE01E6" w:rsidRPr="0010696C">
        <w:rPr>
          <w:color w:val="000000" w:themeColor="text1"/>
          <w:szCs w:val="24"/>
          <w:lang w:val="en-GB"/>
        </w:rPr>
        <w:t> </w:t>
      </w:r>
      <w:r w:rsidRPr="0010696C">
        <w:rPr>
          <w:color w:val="000000" w:themeColor="text1"/>
          <w:szCs w:val="24"/>
          <w:lang w:val="en-GB"/>
        </w:rPr>
        <w:t>2023 Capitec gave notice to some of the Applicants that it would terminate the POS facilities on 31</w:t>
      </w:r>
      <w:r w:rsidR="00CE01E6" w:rsidRPr="0010696C">
        <w:rPr>
          <w:color w:val="000000" w:themeColor="text1"/>
          <w:szCs w:val="24"/>
          <w:lang w:val="en-GB"/>
        </w:rPr>
        <w:t> </w:t>
      </w:r>
      <w:r w:rsidRPr="0010696C">
        <w:rPr>
          <w:color w:val="000000" w:themeColor="text1"/>
          <w:szCs w:val="24"/>
          <w:lang w:val="en-GB"/>
        </w:rPr>
        <w:t>August</w:t>
      </w:r>
      <w:r w:rsidR="00CE01E6" w:rsidRPr="0010696C">
        <w:rPr>
          <w:color w:val="000000" w:themeColor="text1"/>
          <w:szCs w:val="24"/>
          <w:lang w:val="en-GB"/>
        </w:rPr>
        <w:t> </w:t>
      </w:r>
      <w:r w:rsidRPr="0010696C">
        <w:rPr>
          <w:color w:val="000000" w:themeColor="text1"/>
          <w:szCs w:val="24"/>
          <w:lang w:val="en-GB"/>
        </w:rPr>
        <w:t>2023</w:t>
      </w:r>
      <w:r w:rsidR="00CE01E6" w:rsidRPr="0010696C">
        <w:rPr>
          <w:color w:val="000000" w:themeColor="text1"/>
          <w:szCs w:val="24"/>
          <w:lang w:val="en-GB"/>
        </w:rPr>
        <w:t xml:space="preserve"> </w:t>
      </w:r>
      <w:r w:rsidRPr="0010696C">
        <w:rPr>
          <w:color w:val="000000" w:themeColor="text1"/>
          <w:szCs w:val="24"/>
          <w:lang w:val="en-GB"/>
        </w:rPr>
        <w:t xml:space="preserve">and </w:t>
      </w:r>
      <w:r w:rsidR="0088724E">
        <w:rPr>
          <w:color w:val="000000" w:themeColor="text1"/>
          <w:szCs w:val="24"/>
          <w:lang w:val="en-GB"/>
        </w:rPr>
        <w:t>what was called “</w:t>
      </w:r>
      <w:r w:rsidRPr="0088724E">
        <w:rPr>
          <w:i/>
          <w:iCs/>
          <w:color w:val="000000" w:themeColor="text1"/>
          <w:szCs w:val="24"/>
          <w:lang w:val="en-GB"/>
        </w:rPr>
        <w:t>the banking relationship</w:t>
      </w:r>
      <w:r w:rsidR="0088724E">
        <w:rPr>
          <w:color w:val="000000" w:themeColor="text1"/>
          <w:szCs w:val="24"/>
          <w:lang w:val="en-GB"/>
        </w:rPr>
        <w:t>”</w:t>
      </w:r>
      <w:r w:rsidRPr="0010696C">
        <w:rPr>
          <w:color w:val="000000" w:themeColor="text1"/>
          <w:szCs w:val="24"/>
          <w:lang w:val="en-GB"/>
        </w:rPr>
        <w:t xml:space="preserve"> </w:t>
      </w:r>
      <w:r w:rsidR="0088724E">
        <w:rPr>
          <w:color w:val="000000" w:themeColor="text1"/>
          <w:szCs w:val="24"/>
          <w:lang w:val="en-GB"/>
        </w:rPr>
        <w:t xml:space="preserve">some time later, </w:t>
      </w:r>
      <w:r w:rsidR="007D0864">
        <w:rPr>
          <w:color w:val="000000" w:themeColor="text1"/>
          <w:szCs w:val="24"/>
          <w:lang w:val="en-GB"/>
        </w:rPr>
        <w:t xml:space="preserve">more particularly </w:t>
      </w:r>
      <w:r w:rsidR="00EA104D">
        <w:rPr>
          <w:color w:val="000000" w:themeColor="text1"/>
          <w:szCs w:val="24"/>
          <w:lang w:val="en-GB"/>
        </w:rPr>
        <w:t>on</w:t>
      </w:r>
      <w:r w:rsidRPr="0010696C">
        <w:rPr>
          <w:color w:val="000000" w:themeColor="text1"/>
          <w:szCs w:val="24"/>
          <w:lang w:val="en-GB"/>
        </w:rPr>
        <w:t xml:space="preserve"> 28</w:t>
      </w:r>
      <w:r w:rsidR="00CE01E6" w:rsidRPr="0010696C">
        <w:rPr>
          <w:color w:val="000000" w:themeColor="text1"/>
          <w:szCs w:val="24"/>
          <w:lang w:val="en-GB"/>
        </w:rPr>
        <w:t> </w:t>
      </w:r>
      <w:r w:rsidRPr="0010696C">
        <w:rPr>
          <w:color w:val="000000" w:themeColor="text1"/>
          <w:szCs w:val="24"/>
          <w:lang w:val="en-GB"/>
        </w:rPr>
        <w:t>November</w:t>
      </w:r>
      <w:r w:rsidR="00CE01E6" w:rsidRPr="0010696C">
        <w:rPr>
          <w:color w:val="000000" w:themeColor="text1"/>
          <w:szCs w:val="24"/>
          <w:lang w:val="en-GB"/>
        </w:rPr>
        <w:t> </w:t>
      </w:r>
      <w:r w:rsidRPr="0010696C">
        <w:rPr>
          <w:color w:val="000000" w:themeColor="text1"/>
          <w:szCs w:val="24"/>
          <w:lang w:val="en-GB"/>
        </w:rPr>
        <w:t xml:space="preserve">2023.  Regarding this notice, </w:t>
      </w:r>
      <w:r w:rsidR="004F7622" w:rsidRPr="0010696C">
        <w:rPr>
          <w:color w:val="000000" w:themeColor="text1"/>
          <w:szCs w:val="24"/>
          <w:lang w:val="en-GB"/>
        </w:rPr>
        <w:t xml:space="preserve">the following </w:t>
      </w:r>
      <w:r w:rsidRPr="0010696C">
        <w:rPr>
          <w:color w:val="000000" w:themeColor="text1"/>
          <w:szCs w:val="24"/>
          <w:lang w:val="en-GB"/>
        </w:rPr>
        <w:t xml:space="preserve">is stated in the founding affidavit by </w:t>
      </w:r>
      <w:r w:rsidR="00AA1D5B" w:rsidRPr="0010696C">
        <w:rPr>
          <w:color w:val="000000" w:themeColor="text1"/>
          <w:szCs w:val="24"/>
          <w:lang w:val="en-GB"/>
        </w:rPr>
        <w:t>Mr Gao</w:t>
      </w:r>
      <w:r w:rsidRPr="0010696C">
        <w:rPr>
          <w:color w:val="000000" w:themeColor="text1"/>
          <w:szCs w:val="24"/>
          <w:lang w:val="en-GB"/>
        </w:rPr>
        <w:t>:</w:t>
      </w:r>
    </w:p>
    <w:p w14:paraId="39F31237" w14:textId="13397F3D" w:rsidR="00F539C9" w:rsidRPr="0010696C" w:rsidRDefault="00F32FD7" w:rsidP="00F539C9">
      <w:pPr>
        <w:pStyle w:val="Quote"/>
        <w:rPr>
          <w:szCs w:val="24"/>
          <w:lang w:val="en-GB"/>
        </w:rPr>
      </w:pPr>
      <w:r w:rsidRPr="0010696C">
        <w:rPr>
          <w:szCs w:val="24"/>
          <w:lang w:val="en-GB"/>
        </w:rPr>
        <w:t>“</w:t>
      </w:r>
      <w:r w:rsidR="00F539C9" w:rsidRPr="0010696C">
        <w:rPr>
          <w:szCs w:val="24"/>
          <w:lang w:val="en-GB"/>
        </w:rPr>
        <w:t>The banking relationship can only refer to the AET facilities.  Although there are two distinguishable agreements (the tripartite POS Agreement and the AET agreement), the AET facility is the foundational facility because payments by the POS system are also received into the AET facility.  The closure of the AET facility is accordingly the problematic step.  The POS agreement does not create a bank and client contract but is rather a payment facility.</w:t>
      </w:r>
      <w:r w:rsidRPr="0010696C">
        <w:rPr>
          <w:szCs w:val="24"/>
          <w:lang w:val="en-GB"/>
        </w:rPr>
        <w:t>”</w:t>
      </w:r>
    </w:p>
    <w:p w14:paraId="31938504" w14:textId="7406AF58" w:rsidR="00F539C9" w:rsidRPr="0010696C" w:rsidRDefault="00D137A9" w:rsidP="00F539C9">
      <w:pPr>
        <w:pStyle w:val="Level1"/>
        <w:rPr>
          <w:szCs w:val="24"/>
          <w:lang w:val="en-GB"/>
        </w:rPr>
      </w:pPr>
      <w:r w:rsidRPr="0010696C">
        <w:rPr>
          <w:color w:val="000000" w:themeColor="text1"/>
          <w:szCs w:val="24"/>
          <w:lang w:val="en-GB"/>
        </w:rPr>
        <w:lastRenderedPageBreak/>
        <w:t xml:space="preserve">After </w:t>
      </w:r>
      <w:r w:rsidR="002A7B71" w:rsidRPr="0010696C">
        <w:rPr>
          <w:color w:val="000000" w:themeColor="text1"/>
          <w:szCs w:val="24"/>
          <w:lang w:val="en-GB"/>
        </w:rPr>
        <w:t>an</w:t>
      </w:r>
      <w:r w:rsidRPr="0010696C">
        <w:rPr>
          <w:color w:val="000000" w:themeColor="text1"/>
          <w:szCs w:val="24"/>
          <w:lang w:val="en-GB"/>
        </w:rPr>
        <w:t xml:space="preserve"> exchange of correspondence between the parties</w:t>
      </w:r>
      <w:r w:rsidR="00F32FD7" w:rsidRPr="0010696C">
        <w:rPr>
          <w:color w:val="000000" w:themeColor="text1"/>
          <w:szCs w:val="24"/>
          <w:lang w:val="en-GB"/>
        </w:rPr>
        <w:t>’</w:t>
      </w:r>
      <w:r w:rsidRPr="0010696C">
        <w:rPr>
          <w:color w:val="000000" w:themeColor="text1"/>
          <w:szCs w:val="24"/>
          <w:lang w:val="en-GB"/>
        </w:rPr>
        <w:t xml:space="preserve"> attorneys, the notice period</w:t>
      </w:r>
      <w:r w:rsidR="002A7B71" w:rsidRPr="0010696C">
        <w:rPr>
          <w:color w:val="000000" w:themeColor="text1"/>
          <w:szCs w:val="24"/>
          <w:lang w:val="en-GB"/>
        </w:rPr>
        <w:t>s</w:t>
      </w:r>
      <w:r w:rsidRPr="0010696C">
        <w:rPr>
          <w:color w:val="000000" w:themeColor="text1"/>
          <w:szCs w:val="24"/>
          <w:lang w:val="en-GB"/>
        </w:rPr>
        <w:t xml:space="preserve"> for both the AET and POS facilities were extended to 9</w:t>
      </w:r>
      <w:r w:rsidR="00CE01E6" w:rsidRPr="0010696C">
        <w:rPr>
          <w:color w:val="000000" w:themeColor="text1"/>
          <w:szCs w:val="24"/>
          <w:lang w:val="en-GB"/>
        </w:rPr>
        <w:t> </w:t>
      </w:r>
      <w:r w:rsidRPr="0010696C">
        <w:rPr>
          <w:color w:val="000000" w:themeColor="text1"/>
          <w:szCs w:val="24"/>
          <w:lang w:val="en-GB"/>
        </w:rPr>
        <w:t>January</w:t>
      </w:r>
      <w:r w:rsidR="00CE01E6" w:rsidRPr="0010696C">
        <w:rPr>
          <w:color w:val="000000" w:themeColor="text1"/>
          <w:szCs w:val="24"/>
          <w:lang w:val="en-GB"/>
        </w:rPr>
        <w:t> </w:t>
      </w:r>
      <w:r w:rsidRPr="0010696C">
        <w:rPr>
          <w:color w:val="000000" w:themeColor="text1"/>
          <w:szCs w:val="24"/>
          <w:lang w:val="en-GB"/>
        </w:rPr>
        <w:t>2023.</w:t>
      </w:r>
    </w:p>
    <w:p w14:paraId="796F8F74" w14:textId="40194264" w:rsidR="004F0E55" w:rsidRPr="0010696C" w:rsidRDefault="004C2055" w:rsidP="00FF12D0">
      <w:pPr>
        <w:pStyle w:val="Level1"/>
        <w:rPr>
          <w:szCs w:val="24"/>
          <w:lang w:val="en-GB"/>
        </w:rPr>
      </w:pPr>
      <w:r w:rsidRPr="0010696C">
        <w:rPr>
          <w:szCs w:val="24"/>
          <w:lang w:val="en-GB"/>
        </w:rPr>
        <w:t>To this I must add t</w:t>
      </w:r>
      <w:r w:rsidR="000F7198" w:rsidRPr="0010696C">
        <w:rPr>
          <w:szCs w:val="24"/>
          <w:lang w:val="en-GB"/>
        </w:rPr>
        <w:t>hat, a</w:t>
      </w:r>
      <w:r w:rsidR="004F0E55" w:rsidRPr="0010696C">
        <w:rPr>
          <w:szCs w:val="24"/>
          <w:lang w:val="en-GB"/>
        </w:rPr>
        <w:t xml:space="preserve">t the conclusion of the hearing on </w:t>
      </w:r>
      <w:bookmarkStart w:id="2" w:name="_Hlk153016792"/>
      <w:r w:rsidR="004F0E55" w:rsidRPr="0010696C">
        <w:rPr>
          <w:szCs w:val="24"/>
          <w:lang w:val="en-GB"/>
        </w:rPr>
        <w:t>29</w:t>
      </w:r>
      <w:r w:rsidR="000112B3" w:rsidRPr="0010696C">
        <w:rPr>
          <w:szCs w:val="24"/>
          <w:lang w:val="en-GB"/>
        </w:rPr>
        <w:t> </w:t>
      </w:r>
      <w:r w:rsidR="004F0E55" w:rsidRPr="0010696C">
        <w:rPr>
          <w:szCs w:val="24"/>
          <w:lang w:val="en-GB"/>
        </w:rPr>
        <w:t>November</w:t>
      </w:r>
      <w:r w:rsidR="000112B3" w:rsidRPr="0010696C">
        <w:rPr>
          <w:szCs w:val="24"/>
          <w:lang w:val="en-GB"/>
        </w:rPr>
        <w:t> </w:t>
      </w:r>
      <w:r w:rsidR="004F0E55" w:rsidRPr="0010696C">
        <w:rPr>
          <w:szCs w:val="24"/>
          <w:lang w:val="en-GB"/>
        </w:rPr>
        <w:t>2023</w:t>
      </w:r>
      <w:bookmarkEnd w:id="2"/>
      <w:r w:rsidR="00266C86" w:rsidRPr="0010696C">
        <w:rPr>
          <w:szCs w:val="24"/>
          <w:lang w:val="en-GB"/>
        </w:rPr>
        <w:t>,</w:t>
      </w:r>
      <w:r w:rsidR="004F0E55" w:rsidRPr="0010696C">
        <w:rPr>
          <w:szCs w:val="24"/>
          <w:lang w:val="en-GB"/>
        </w:rPr>
        <w:t xml:space="preserve"> I requested Mr</w:t>
      </w:r>
      <w:r w:rsidR="000112B3" w:rsidRPr="0010696C">
        <w:rPr>
          <w:szCs w:val="24"/>
          <w:lang w:val="en-GB"/>
        </w:rPr>
        <w:t> </w:t>
      </w:r>
      <w:r w:rsidR="009225A6">
        <w:rPr>
          <w:szCs w:val="24"/>
          <w:lang w:val="en-GB"/>
        </w:rPr>
        <w:t xml:space="preserve">A </w:t>
      </w:r>
      <w:r w:rsidR="004F0E55" w:rsidRPr="0010696C">
        <w:rPr>
          <w:szCs w:val="24"/>
          <w:lang w:val="en-GB"/>
        </w:rPr>
        <w:t>Cockrell</w:t>
      </w:r>
      <w:r w:rsidR="000112B3" w:rsidRPr="0010696C">
        <w:rPr>
          <w:szCs w:val="24"/>
          <w:lang w:val="en-GB"/>
        </w:rPr>
        <w:t> </w:t>
      </w:r>
      <w:r w:rsidR="004F0E55" w:rsidRPr="0010696C">
        <w:rPr>
          <w:szCs w:val="24"/>
          <w:lang w:val="en-GB"/>
        </w:rPr>
        <w:t>SC, who appeared for Capitec with Ms</w:t>
      </w:r>
      <w:r w:rsidR="000112B3" w:rsidRPr="0010696C">
        <w:rPr>
          <w:szCs w:val="24"/>
          <w:lang w:val="en-GB"/>
        </w:rPr>
        <w:t> </w:t>
      </w:r>
      <w:r w:rsidR="005E02C9">
        <w:rPr>
          <w:szCs w:val="24"/>
          <w:lang w:val="en-GB"/>
        </w:rPr>
        <w:t xml:space="preserve">K </w:t>
      </w:r>
      <w:r w:rsidR="004F0E55" w:rsidRPr="0010696C">
        <w:rPr>
          <w:szCs w:val="24"/>
          <w:lang w:val="en-GB"/>
        </w:rPr>
        <w:t>Saller, whether he would take instructions</w:t>
      </w:r>
      <w:r w:rsidR="002A7B71" w:rsidRPr="0010696C">
        <w:rPr>
          <w:szCs w:val="24"/>
          <w:lang w:val="en-GB"/>
        </w:rPr>
        <w:t xml:space="preserve"> from his client</w:t>
      </w:r>
      <w:r w:rsidR="004F0E55" w:rsidRPr="0010696C">
        <w:rPr>
          <w:szCs w:val="24"/>
          <w:lang w:val="en-GB"/>
        </w:rPr>
        <w:t xml:space="preserve"> on whether Capitec would extend the termination date by two months in order to allow me to compile a </w:t>
      </w:r>
      <w:r w:rsidR="002A7B71" w:rsidRPr="0010696C">
        <w:rPr>
          <w:szCs w:val="24"/>
          <w:lang w:val="en-GB"/>
        </w:rPr>
        <w:t>judgment</w:t>
      </w:r>
      <w:r w:rsidR="00FE0262" w:rsidRPr="0010696C">
        <w:rPr>
          <w:szCs w:val="24"/>
          <w:lang w:val="en-GB"/>
        </w:rPr>
        <w:t xml:space="preserve"> in this matter</w:t>
      </w:r>
      <w:r w:rsidR="004F0E55" w:rsidRPr="0010696C">
        <w:rPr>
          <w:szCs w:val="24"/>
          <w:lang w:val="en-GB"/>
        </w:rPr>
        <w:t xml:space="preserve"> instead of just an order with reasons to follow.  In a letter dated 6</w:t>
      </w:r>
      <w:r w:rsidR="000112B3" w:rsidRPr="0010696C">
        <w:rPr>
          <w:szCs w:val="24"/>
          <w:lang w:val="en-GB"/>
        </w:rPr>
        <w:t> </w:t>
      </w:r>
      <w:r w:rsidR="004F0E55" w:rsidRPr="0010696C">
        <w:rPr>
          <w:szCs w:val="24"/>
          <w:lang w:val="en-GB"/>
        </w:rPr>
        <w:t>December</w:t>
      </w:r>
      <w:r w:rsidR="000112B3" w:rsidRPr="0010696C">
        <w:rPr>
          <w:szCs w:val="24"/>
          <w:lang w:val="en-GB"/>
        </w:rPr>
        <w:t> </w:t>
      </w:r>
      <w:r w:rsidR="004F0E55" w:rsidRPr="0010696C">
        <w:rPr>
          <w:szCs w:val="24"/>
          <w:lang w:val="en-GB"/>
        </w:rPr>
        <w:t xml:space="preserve">2023 Capitec indicated that it granted another two-month extension </w:t>
      </w:r>
      <w:r w:rsidR="00FF12D0" w:rsidRPr="0010696C">
        <w:rPr>
          <w:szCs w:val="24"/>
          <w:lang w:val="en-GB"/>
        </w:rPr>
        <w:t xml:space="preserve">which means that the new </w:t>
      </w:r>
      <w:r w:rsidR="004F0E55" w:rsidRPr="0010696C">
        <w:rPr>
          <w:szCs w:val="24"/>
          <w:lang w:val="en-GB"/>
        </w:rPr>
        <w:t xml:space="preserve">effective termination date </w:t>
      </w:r>
      <w:r w:rsidR="00FF12D0" w:rsidRPr="0010696C">
        <w:rPr>
          <w:szCs w:val="24"/>
          <w:lang w:val="en-GB"/>
        </w:rPr>
        <w:t xml:space="preserve">is </w:t>
      </w:r>
      <w:r w:rsidR="0008409A" w:rsidRPr="0010696C">
        <w:rPr>
          <w:szCs w:val="24"/>
          <w:lang w:val="en-GB"/>
        </w:rPr>
        <w:t>10</w:t>
      </w:r>
      <w:r w:rsidR="00F32FD7" w:rsidRPr="0010696C">
        <w:rPr>
          <w:szCs w:val="24"/>
          <w:lang w:val="en-GB"/>
        </w:rPr>
        <w:t> </w:t>
      </w:r>
      <w:r w:rsidR="004F0E55" w:rsidRPr="0010696C">
        <w:rPr>
          <w:szCs w:val="24"/>
          <w:lang w:val="en-GB"/>
        </w:rPr>
        <w:t>March</w:t>
      </w:r>
      <w:r w:rsidR="000112B3" w:rsidRPr="0010696C">
        <w:rPr>
          <w:szCs w:val="24"/>
          <w:lang w:val="en-GB"/>
        </w:rPr>
        <w:t> </w:t>
      </w:r>
      <w:r w:rsidR="004F0E55" w:rsidRPr="0010696C">
        <w:rPr>
          <w:szCs w:val="24"/>
          <w:lang w:val="en-GB"/>
        </w:rPr>
        <w:t>2024</w:t>
      </w:r>
      <w:r w:rsidR="00FF12D0" w:rsidRPr="0010696C">
        <w:rPr>
          <w:szCs w:val="24"/>
          <w:lang w:val="en-GB"/>
        </w:rPr>
        <w:t>.</w:t>
      </w:r>
      <w:r w:rsidR="007E5B1D">
        <w:rPr>
          <w:rStyle w:val="FootnoteReference"/>
          <w:szCs w:val="24"/>
          <w:lang w:val="en-GB"/>
        </w:rPr>
        <w:footnoteReference w:id="10"/>
      </w:r>
      <w:r w:rsidR="00FF12D0" w:rsidRPr="0010696C">
        <w:rPr>
          <w:szCs w:val="24"/>
          <w:lang w:val="en-GB"/>
        </w:rPr>
        <w:t xml:space="preserve">  I should however make clear that this extension was not taken into account for the purpose of any part of this judgment</w:t>
      </w:r>
      <w:r w:rsidR="00D17649" w:rsidRPr="0010696C">
        <w:rPr>
          <w:szCs w:val="24"/>
          <w:lang w:val="en-GB"/>
        </w:rPr>
        <w:t xml:space="preserve">.  The judgment is </w:t>
      </w:r>
      <w:r w:rsidR="00FF12D0" w:rsidRPr="0010696C">
        <w:rPr>
          <w:szCs w:val="24"/>
          <w:lang w:val="en-GB"/>
        </w:rPr>
        <w:t xml:space="preserve">entirely premised on the termination date </w:t>
      </w:r>
      <w:r w:rsidR="00ED0FAE" w:rsidRPr="0010696C">
        <w:rPr>
          <w:szCs w:val="24"/>
          <w:lang w:val="en-GB"/>
        </w:rPr>
        <w:t xml:space="preserve">being </w:t>
      </w:r>
      <w:r w:rsidR="00FF12D0" w:rsidRPr="0010696C">
        <w:rPr>
          <w:szCs w:val="24"/>
          <w:lang w:val="en-GB"/>
        </w:rPr>
        <w:t>9</w:t>
      </w:r>
      <w:r w:rsidR="000112B3" w:rsidRPr="0010696C">
        <w:rPr>
          <w:szCs w:val="24"/>
          <w:lang w:val="en-GB"/>
        </w:rPr>
        <w:t> </w:t>
      </w:r>
      <w:r w:rsidR="00FF12D0" w:rsidRPr="0010696C">
        <w:rPr>
          <w:szCs w:val="24"/>
          <w:lang w:val="en-GB"/>
        </w:rPr>
        <w:t>January</w:t>
      </w:r>
      <w:r w:rsidR="000112B3" w:rsidRPr="0010696C">
        <w:rPr>
          <w:szCs w:val="24"/>
          <w:lang w:val="en-GB"/>
        </w:rPr>
        <w:t> </w:t>
      </w:r>
      <w:r w:rsidR="00FF12D0" w:rsidRPr="0010696C">
        <w:rPr>
          <w:szCs w:val="24"/>
          <w:lang w:val="en-GB"/>
        </w:rPr>
        <w:t xml:space="preserve">2023.  </w:t>
      </w:r>
    </w:p>
    <w:p w14:paraId="5D1CC258" w14:textId="05B989D2" w:rsidR="007355CA" w:rsidRPr="0010696C" w:rsidRDefault="007355CA" w:rsidP="00FF12D0">
      <w:pPr>
        <w:pStyle w:val="Level1"/>
        <w:rPr>
          <w:szCs w:val="24"/>
          <w:lang w:val="en-GB"/>
        </w:rPr>
      </w:pPr>
      <w:r w:rsidRPr="0010696C">
        <w:rPr>
          <w:szCs w:val="24"/>
          <w:lang w:val="en-GB"/>
        </w:rPr>
        <w:t>Also</w:t>
      </w:r>
      <w:r w:rsidR="0067446D" w:rsidRPr="0010696C">
        <w:rPr>
          <w:szCs w:val="24"/>
          <w:lang w:val="en-GB"/>
        </w:rPr>
        <w:t xml:space="preserve">, subsequent to the hearing of the matter, the SCA handed down judgment in the matter of </w:t>
      </w:r>
      <w:r w:rsidR="0067446D" w:rsidRPr="0010696C">
        <w:rPr>
          <w:b/>
          <w:bCs/>
          <w:u w:val="single"/>
          <w:lang w:val="en-GB"/>
        </w:rPr>
        <w:t>Nedbank Limited and Another v Surve and Others</w:t>
      </w:r>
      <w:r w:rsidR="0067446D" w:rsidRPr="0010696C">
        <w:rPr>
          <w:lang w:val="en-GB"/>
        </w:rPr>
        <w:t xml:space="preserve"> (160/2023) [2023] ZASCA 178 (18</w:t>
      </w:r>
      <w:r w:rsidR="00F32FD7" w:rsidRPr="0010696C">
        <w:rPr>
          <w:lang w:val="en-GB"/>
        </w:rPr>
        <w:t> </w:t>
      </w:r>
      <w:r w:rsidR="0067446D" w:rsidRPr="0010696C">
        <w:rPr>
          <w:lang w:val="en-GB"/>
        </w:rPr>
        <w:t>December</w:t>
      </w:r>
      <w:r w:rsidR="00F32FD7" w:rsidRPr="0010696C">
        <w:rPr>
          <w:lang w:val="en-GB"/>
        </w:rPr>
        <w:t> </w:t>
      </w:r>
      <w:r w:rsidR="0067446D" w:rsidRPr="0010696C">
        <w:rPr>
          <w:lang w:val="en-GB"/>
        </w:rPr>
        <w:t>2023)</w:t>
      </w:r>
      <w:r w:rsidR="003E2B76" w:rsidRPr="0010696C">
        <w:rPr>
          <w:lang w:val="en-GB"/>
        </w:rPr>
        <w:t xml:space="preserve">, which was concerned with an interim interdict against the closure of bank account.  </w:t>
      </w:r>
      <w:r w:rsidR="00F32FD7" w:rsidRPr="0010696C">
        <w:rPr>
          <w:i/>
          <w:iCs/>
          <w:lang w:val="en-GB"/>
        </w:rPr>
        <w:t>Prima facie</w:t>
      </w:r>
      <w:r w:rsidR="000021C4" w:rsidRPr="0010696C">
        <w:rPr>
          <w:lang w:val="en-GB"/>
        </w:rPr>
        <w:t>, the judgment seemed relevant and I invited the parties to make submissions</w:t>
      </w:r>
      <w:r w:rsidR="007D6642" w:rsidRPr="0010696C">
        <w:rPr>
          <w:lang w:val="en-GB"/>
        </w:rPr>
        <w:t xml:space="preserve"> in respect thereof.  Both parties did s</w:t>
      </w:r>
      <w:r w:rsidR="00A93E91" w:rsidRPr="0010696C">
        <w:rPr>
          <w:lang w:val="en-GB"/>
        </w:rPr>
        <w:t>o,</w:t>
      </w:r>
      <w:r w:rsidR="00164143" w:rsidRPr="0010696C">
        <w:rPr>
          <w:lang w:val="en-GB"/>
        </w:rPr>
        <w:t xml:space="preserve"> for which I am grateful. </w:t>
      </w:r>
    </w:p>
    <w:p w14:paraId="74F81F41" w14:textId="26496101" w:rsidR="0027688B" w:rsidRPr="0010696C" w:rsidRDefault="0027688B" w:rsidP="002A7B71">
      <w:pPr>
        <w:pStyle w:val="Level1"/>
        <w:keepNext/>
        <w:numPr>
          <w:ilvl w:val="0"/>
          <w:numId w:val="0"/>
        </w:numPr>
        <w:rPr>
          <w:b/>
          <w:bCs/>
          <w:szCs w:val="24"/>
          <w:lang w:val="en-GB"/>
        </w:rPr>
      </w:pPr>
      <w:r w:rsidRPr="0010696C">
        <w:rPr>
          <w:b/>
          <w:bCs/>
          <w:szCs w:val="24"/>
          <w:lang w:val="en-GB"/>
        </w:rPr>
        <w:lastRenderedPageBreak/>
        <w:t>A sketch of the Applicants</w:t>
      </w:r>
      <w:r w:rsidR="00F32FD7" w:rsidRPr="0010696C">
        <w:rPr>
          <w:b/>
          <w:bCs/>
          <w:szCs w:val="24"/>
          <w:lang w:val="en-GB"/>
        </w:rPr>
        <w:t>’</w:t>
      </w:r>
      <w:r w:rsidRPr="0010696C">
        <w:rPr>
          <w:b/>
          <w:bCs/>
          <w:szCs w:val="24"/>
          <w:lang w:val="en-GB"/>
        </w:rPr>
        <w:t xml:space="preserve"> case</w:t>
      </w:r>
    </w:p>
    <w:p w14:paraId="49627F49" w14:textId="629F419B" w:rsidR="00FA11DF" w:rsidRPr="0010696C" w:rsidRDefault="00C20697" w:rsidP="00FA11DF">
      <w:pPr>
        <w:pStyle w:val="Level1"/>
        <w:rPr>
          <w:szCs w:val="24"/>
          <w:lang w:val="en-GB"/>
        </w:rPr>
      </w:pPr>
      <w:r w:rsidRPr="0010696C">
        <w:rPr>
          <w:szCs w:val="24"/>
          <w:lang w:val="en-GB"/>
        </w:rPr>
        <w:t>In the founding affidavit, the Applicants contend</w:t>
      </w:r>
      <w:r w:rsidR="00704C75" w:rsidRPr="0010696C">
        <w:rPr>
          <w:szCs w:val="24"/>
          <w:lang w:val="en-GB"/>
        </w:rPr>
        <w:t xml:space="preserve">ed that they have established a </w:t>
      </w:r>
      <w:r w:rsidRPr="0010696C">
        <w:rPr>
          <w:i/>
          <w:iCs/>
          <w:szCs w:val="24"/>
          <w:lang w:val="en-GB"/>
        </w:rPr>
        <w:t>prima facie</w:t>
      </w:r>
      <w:r w:rsidRPr="0010696C">
        <w:rPr>
          <w:szCs w:val="24"/>
          <w:lang w:val="en-GB"/>
        </w:rPr>
        <w:t xml:space="preserve"> right </w:t>
      </w:r>
      <w:r w:rsidR="00704C75" w:rsidRPr="0010696C">
        <w:rPr>
          <w:szCs w:val="24"/>
          <w:lang w:val="en-GB"/>
        </w:rPr>
        <w:t>on numerous ground</w:t>
      </w:r>
      <w:r w:rsidR="00B021DD">
        <w:rPr>
          <w:szCs w:val="24"/>
          <w:lang w:val="en-GB"/>
        </w:rPr>
        <w:t>a</w:t>
      </w:r>
      <w:r w:rsidR="00C52DA1" w:rsidRPr="0010696C">
        <w:rPr>
          <w:szCs w:val="24"/>
          <w:lang w:val="en-GB"/>
        </w:rPr>
        <w:t xml:space="preserve">.  </w:t>
      </w:r>
      <w:r w:rsidR="00FF12D0" w:rsidRPr="0010696C">
        <w:rPr>
          <w:szCs w:val="24"/>
          <w:lang w:val="en-GB"/>
        </w:rPr>
        <w:t xml:space="preserve">I have divided </w:t>
      </w:r>
      <w:r w:rsidR="00C52DA1" w:rsidRPr="0010696C">
        <w:rPr>
          <w:szCs w:val="24"/>
          <w:lang w:val="en-GB"/>
        </w:rPr>
        <w:t xml:space="preserve">the grounds </w:t>
      </w:r>
      <w:r w:rsidR="00FF12D0" w:rsidRPr="0010696C">
        <w:rPr>
          <w:szCs w:val="24"/>
          <w:lang w:val="en-GB"/>
        </w:rPr>
        <w:t xml:space="preserve">into </w:t>
      </w:r>
      <w:r w:rsidR="00AE35FD" w:rsidRPr="0010696C">
        <w:rPr>
          <w:szCs w:val="24"/>
          <w:lang w:val="en-GB"/>
        </w:rPr>
        <w:t>seven categories</w:t>
      </w:r>
      <w:r w:rsidR="00FF0709" w:rsidRPr="0010696C">
        <w:rPr>
          <w:szCs w:val="24"/>
          <w:lang w:val="en-GB"/>
        </w:rPr>
        <w:t>.</w:t>
      </w:r>
    </w:p>
    <w:p w14:paraId="2A990E83" w14:textId="3386DFD7" w:rsidR="00FA11DF" w:rsidRPr="0010696C" w:rsidRDefault="00FA11DF" w:rsidP="00FA11DF">
      <w:pPr>
        <w:pStyle w:val="Heading2"/>
        <w:rPr>
          <w:rFonts w:cs="Times New Roman"/>
          <w:b/>
          <w:szCs w:val="24"/>
          <w:lang w:val="en-GB"/>
        </w:rPr>
      </w:pPr>
      <w:r w:rsidRPr="0010696C">
        <w:rPr>
          <w:rFonts w:cs="Times New Roman"/>
          <w:szCs w:val="24"/>
          <w:lang w:val="en-GB"/>
        </w:rPr>
        <w:t>Capitec cannot terminate the AET facilities at all</w:t>
      </w:r>
    </w:p>
    <w:p w14:paraId="2A9C1037" w14:textId="23A694DC" w:rsidR="00FA11DF" w:rsidRPr="0010696C" w:rsidRDefault="00C20697" w:rsidP="00FA11DF">
      <w:pPr>
        <w:pStyle w:val="Level1"/>
        <w:rPr>
          <w:szCs w:val="24"/>
          <w:lang w:val="en-GB"/>
        </w:rPr>
      </w:pPr>
      <w:r w:rsidRPr="0010696C">
        <w:rPr>
          <w:szCs w:val="24"/>
          <w:lang w:val="en-GB"/>
        </w:rPr>
        <w:t xml:space="preserve">The </w:t>
      </w:r>
      <w:r w:rsidR="00E1370A" w:rsidRPr="0010696C">
        <w:rPr>
          <w:szCs w:val="24"/>
          <w:lang w:val="en-GB"/>
        </w:rPr>
        <w:t xml:space="preserve">Applicants </w:t>
      </w:r>
      <w:r w:rsidR="00807AC0" w:rsidRPr="0010696C">
        <w:rPr>
          <w:szCs w:val="24"/>
          <w:lang w:val="en-GB"/>
        </w:rPr>
        <w:t>contend that they rely on</w:t>
      </w:r>
      <w:r w:rsidRPr="0010696C">
        <w:rPr>
          <w:szCs w:val="24"/>
          <w:lang w:val="en-GB"/>
        </w:rPr>
        <w:t xml:space="preserve"> the contractual right of the Applicants to receive </w:t>
      </w:r>
      <w:r w:rsidR="004B72F9" w:rsidRPr="0010696C">
        <w:rPr>
          <w:szCs w:val="24"/>
          <w:lang w:val="en-GB"/>
        </w:rPr>
        <w:t xml:space="preserve">the required </w:t>
      </w:r>
      <w:r w:rsidRPr="0010696C">
        <w:rPr>
          <w:szCs w:val="24"/>
          <w:lang w:val="en-GB"/>
        </w:rPr>
        <w:t>services that they contracted for from Amplifin and Capitec.</w:t>
      </w:r>
    </w:p>
    <w:p w14:paraId="2467B3E7" w14:textId="7BED0379" w:rsidR="00FA11DF" w:rsidRPr="0010696C" w:rsidRDefault="00AA113A" w:rsidP="00FA11DF">
      <w:pPr>
        <w:pStyle w:val="Level1"/>
        <w:rPr>
          <w:szCs w:val="24"/>
          <w:lang w:val="en-GB"/>
        </w:rPr>
      </w:pPr>
      <w:r w:rsidRPr="0010696C">
        <w:rPr>
          <w:szCs w:val="24"/>
          <w:lang w:val="en-GB"/>
        </w:rPr>
        <w:t xml:space="preserve">The Applicants contend, further, that </w:t>
      </w:r>
      <w:r w:rsidR="00C20697" w:rsidRPr="0010696C">
        <w:rPr>
          <w:szCs w:val="24"/>
          <w:lang w:val="en-GB"/>
        </w:rPr>
        <w:t xml:space="preserve">Capitec has no contractual right to terminate the AET facilities.  </w:t>
      </w:r>
      <w:r w:rsidRPr="0010696C">
        <w:rPr>
          <w:szCs w:val="24"/>
          <w:lang w:val="en-GB"/>
        </w:rPr>
        <w:t>They say that no such right</w:t>
      </w:r>
      <w:r w:rsidR="00C20697" w:rsidRPr="0010696C">
        <w:rPr>
          <w:szCs w:val="24"/>
          <w:lang w:val="en-GB"/>
        </w:rPr>
        <w:t xml:space="preserve"> is provided for in the AET agreements and </w:t>
      </w:r>
      <w:r w:rsidR="00E235A2" w:rsidRPr="0010696C">
        <w:rPr>
          <w:szCs w:val="24"/>
          <w:lang w:val="en-GB"/>
        </w:rPr>
        <w:t xml:space="preserve">further that </w:t>
      </w:r>
      <w:r w:rsidR="00C20697" w:rsidRPr="0010696C">
        <w:rPr>
          <w:szCs w:val="24"/>
          <w:lang w:val="en-GB"/>
        </w:rPr>
        <w:t>the termination of the POS facilit</w:t>
      </w:r>
      <w:r w:rsidR="00E235A2" w:rsidRPr="0010696C">
        <w:rPr>
          <w:szCs w:val="24"/>
          <w:lang w:val="en-GB"/>
        </w:rPr>
        <w:t>es</w:t>
      </w:r>
      <w:r w:rsidR="00C20697" w:rsidRPr="0010696C">
        <w:rPr>
          <w:szCs w:val="24"/>
          <w:lang w:val="en-GB"/>
        </w:rPr>
        <w:t xml:space="preserve"> does not affect the AET relationship at all.</w:t>
      </w:r>
    </w:p>
    <w:p w14:paraId="3665C404" w14:textId="356BF7A7" w:rsidR="00FA11DF" w:rsidRPr="0010696C" w:rsidRDefault="00FA11DF" w:rsidP="00130E5E">
      <w:pPr>
        <w:pStyle w:val="Heading2"/>
        <w:rPr>
          <w:b/>
          <w:i w:val="0"/>
          <w:lang w:val="en-GB"/>
        </w:rPr>
      </w:pPr>
      <w:r w:rsidRPr="0010696C">
        <w:rPr>
          <w:lang w:val="en-GB"/>
        </w:rPr>
        <w:t>Capitec cannot cancel the AET facilities for as long as it has a contract with Amplifin</w:t>
      </w:r>
    </w:p>
    <w:p w14:paraId="5FFDDF93" w14:textId="4976BDE9" w:rsidR="00FA11DF" w:rsidRPr="0010696C" w:rsidRDefault="00D26E5C" w:rsidP="00FA11DF">
      <w:pPr>
        <w:pStyle w:val="Level1"/>
        <w:rPr>
          <w:szCs w:val="24"/>
          <w:lang w:val="en-GB"/>
        </w:rPr>
      </w:pPr>
      <w:r w:rsidRPr="0010696C">
        <w:rPr>
          <w:szCs w:val="24"/>
          <w:lang w:val="en-GB"/>
        </w:rPr>
        <w:t xml:space="preserve">In the alternative to the above, </w:t>
      </w:r>
      <w:r w:rsidR="004B57B9" w:rsidRPr="0010696C">
        <w:rPr>
          <w:szCs w:val="24"/>
          <w:lang w:val="en-GB"/>
        </w:rPr>
        <w:t xml:space="preserve">the Applicants contend that it </w:t>
      </w:r>
      <w:r w:rsidRPr="0010696C">
        <w:rPr>
          <w:szCs w:val="24"/>
          <w:lang w:val="en-GB"/>
        </w:rPr>
        <w:t xml:space="preserve">follows </w:t>
      </w:r>
      <w:r w:rsidR="00C20697" w:rsidRPr="0010696C">
        <w:rPr>
          <w:szCs w:val="24"/>
          <w:lang w:val="en-GB"/>
        </w:rPr>
        <w:t>from the complex contractual relationships between</w:t>
      </w:r>
      <w:r w:rsidR="00AF7D77" w:rsidRPr="0010696C">
        <w:rPr>
          <w:szCs w:val="24"/>
          <w:lang w:val="en-GB"/>
        </w:rPr>
        <w:t xml:space="preserve"> them,</w:t>
      </w:r>
      <w:r w:rsidR="00C20697" w:rsidRPr="0010696C">
        <w:rPr>
          <w:szCs w:val="24"/>
          <w:lang w:val="en-GB"/>
        </w:rPr>
        <w:t xml:space="preserve"> Amplifin and Capitec that</w:t>
      </w:r>
      <w:r w:rsidR="0076635A" w:rsidRPr="0010696C">
        <w:rPr>
          <w:szCs w:val="24"/>
          <w:lang w:val="en-GB"/>
        </w:rPr>
        <w:t>,</w:t>
      </w:r>
      <w:r w:rsidR="00C20697" w:rsidRPr="0010696C">
        <w:rPr>
          <w:szCs w:val="24"/>
          <w:lang w:val="en-GB"/>
        </w:rPr>
        <w:t xml:space="preserve"> for as long as Capitec and Amplifin have a contractual relationship for the rendering of collection services, </w:t>
      </w:r>
      <w:r w:rsidR="00DC7623" w:rsidRPr="0010696C">
        <w:rPr>
          <w:szCs w:val="24"/>
          <w:lang w:val="en-GB"/>
        </w:rPr>
        <w:t>Capitec</w:t>
      </w:r>
      <w:r w:rsidR="00F32FD7" w:rsidRPr="0010696C">
        <w:rPr>
          <w:szCs w:val="24"/>
          <w:lang w:val="en-GB"/>
        </w:rPr>
        <w:t>’</w:t>
      </w:r>
      <w:r w:rsidR="00DC7623" w:rsidRPr="0010696C">
        <w:rPr>
          <w:szCs w:val="24"/>
          <w:lang w:val="en-GB"/>
        </w:rPr>
        <w:t xml:space="preserve">s </w:t>
      </w:r>
      <w:r w:rsidR="00C20697" w:rsidRPr="0010696C">
        <w:rPr>
          <w:szCs w:val="24"/>
          <w:lang w:val="en-GB"/>
        </w:rPr>
        <w:t xml:space="preserve">AET facilities must remain available </w:t>
      </w:r>
      <w:r w:rsidR="00DC7623" w:rsidRPr="0010696C">
        <w:rPr>
          <w:szCs w:val="24"/>
          <w:lang w:val="en-GB"/>
        </w:rPr>
        <w:t>to Amplifin</w:t>
      </w:r>
      <w:r w:rsidR="00F32FD7" w:rsidRPr="0010696C">
        <w:rPr>
          <w:szCs w:val="24"/>
          <w:lang w:val="en-GB"/>
        </w:rPr>
        <w:t>’</w:t>
      </w:r>
      <w:r w:rsidR="00DC7623" w:rsidRPr="0010696C">
        <w:rPr>
          <w:szCs w:val="24"/>
          <w:lang w:val="en-GB"/>
        </w:rPr>
        <w:t xml:space="preserve">s clients </w:t>
      </w:r>
      <w:r w:rsidR="00C20697" w:rsidRPr="0010696C">
        <w:rPr>
          <w:szCs w:val="24"/>
          <w:lang w:val="en-GB"/>
        </w:rPr>
        <w:t>because absent those facilities</w:t>
      </w:r>
      <w:r w:rsidR="0076635A" w:rsidRPr="0010696C">
        <w:rPr>
          <w:szCs w:val="24"/>
          <w:lang w:val="en-GB"/>
        </w:rPr>
        <w:t>,</w:t>
      </w:r>
      <w:r w:rsidR="00C20697" w:rsidRPr="0010696C">
        <w:rPr>
          <w:szCs w:val="24"/>
          <w:lang w:val="en-GB"/>
        </w:rPr>
        <w:t xml:space="preserve"> collections cannot be effected.</w:t>
      </w:r>
    </w:p>
    <w:p w14:paraId="07DDB88E" w14:textId="347645AC" w:rsidR="00FA11DF" w:rsidRPr="0010696C" w:rsidRDefault="00FA11DF" w:rsidP="00FA11DF">
      <w:pPr>
        <w:pStyle w:val="Heading2"/>
        <w:rPr>
          <w:rFonts w:cs="Times New Roman"/>
          <w:b/>
          <w:i w:val="0"/>
          <w:szCs w:val="24"/>
          <w:lang w:val="en-GB"/>
        </w:rPr>
      </w:pPr>
      <w:r w:rsidRPr="0010696C">
        <w:rPr>
          <w:rFonts w:cs="Times New Roman"/>
          <w:szCs w:val="24"/>
          <w:lang w:val="en-GB"/>
        </w:rPr>
        <w:t>Capitec cannot cancel the AET facilities without a good reason</w:t>
      </w:r>
    </w:p>
    <w:p w14:paraId="54A8CA9F" w14:textId="2B8D99CC" w:rsidR="00FA11DF" w:rsidRPr="0010696C" w:rsidRDefault="00FF12D0" w:rsidP="00FA11DF">
      <w:pPr>
        <w:pStyle w:val="Level1"/>
        <w:rPr>
          <w:szCs w:val="24"/>
          <w:lang w:val="en-GB"/>
        </w:rPr>
      </w:pPr>
      <w:r w:rsidRPr="0010696C">
        <w:rPr>
          <w:szCs w:val="24"/>
          <w:lang w:val="en-GB"/>
        </w:rPr>
        <w:t>I</w:t>
      </w:r>
      <w:r w:rsidR="007728B5" w:rsidRPr="0010696C">
        <w:rPr>
          <w:szCs w:val="24"/>
          <w:lang w:val="en-GB"/>
        </w:rPr>
        <w:t>n the further alternative</w:t>
      </w:r>
      <w:r w:rsidR="0076635A" w:rsidRPr="0010696C">
        <w:rPr>
          <w:szCs w:val="24"/>
          <w:lang w:val="en-GB"/>
        </w:rPr>
        <w:t>, the Applicants contend</w:t>
      </w:r>
      <w:r w:rsidR="007728B5" w:rsidRPr="0010696C">
        <w:rPr>
          <w:szCs w:val="24"/>
          <w:lang w:val="en-GB"/>
        </w:rPr>
        <w:t xml:space="preserve"> that the </w:t>
      </w:r>
      <w:r w:rsidR="00C20697" w:rsidRPr="0010696C">
        <w:rPr>
          <w:szCs w:val="24"/>
          <w:lang w:val="en-GB"/>
        </w:rPr>
        <w:t xml:space="preserve">nature of the AET facilities is such that Capitec cannot simply terminate them without a cogent reason.  Such a reason could be </w:t>
      </w:r>
      <w:r w:rsidR="002B09F8">
        <w:rPr>
          <w:szCs w:val="24"/>
          <w:lang w:val="en-GB"/>
        </w:rPr>
        <w:t xml:space="preserve">that </w:t>
      </w:r>
      <w:r w:rsidR="00C20697" w:rsidRPr="0010696C">
        <w:rPr>
          <w:szCs w:val="24"/>
          <w:lang w:val="en-GB"/>
        </w:rPr>
        <w:t xml:space="preserve">the </w:t>
      </w:r>
      <w:r w:rsidR="00496912" w:rsidRPr="0010696C">
        <w:rPr>
          <w:szCs w:val="24"/>
          <w:lang w:val="en-GB"/>
        </w:rPr>
        <w:t>credit provider</w:t>
      </w:r>
      <w:r w:rsidR="00C20697" w:rsidRPr="0010696C">
        <w:rPr>
          <w:szCs w:val="24"/>
          <w:lang w:val="en-GB"/>
        </w:rPr>
        <w:t xml:space="preserve"> is for some reason not acceptable but then </w:t>
      </w:r>
      <w:r w:rsidR="00C20697" w:rsidRPr="0010696C">
        <w:rPr>
          <w:szCs w:val="24"/>
          <w:lang w:val="en-GB"/>
        </w:rPr>
        <w:lastRenderedPageBreak/>
        <w:t xml:space="preserve">there must be some form for evidence to that end.  If there is a concern about financial intelligence, it must at the very least be raised with the </w:t>
      </w:r>
      <w:r w:rsidR="00496912" w:rsidRPr="0010696C">
        <w:rPr>
          <w:szCs w:val="24"/>
          <w:lang w:val="en-GB"/>
        </w:rPr>
        <w:t>credit provider</w:t>
      </w:r>
      <w:r w:rsidR="007B0513">
        <w:rPr>
          <w:szCs w:val="24"/>
          <w:lang w:val="en-GB"/>
        </w:rPr>
        <w:t xml:space="preserve"> before termination. </w:t>
      </w:r>
    </w:p>
    <w:p w14:paraId="33B73105" w14:textId="2E69352C" w:rsidR="00817150" w:rsidRPr="0010696C" w:rsidRDefault="00FC154B" w:rsidP="00FA11DF">
      <w:pPr>
        <w:pStyle w:val="Level1"/>
        <w:rPr>
          <w:szCs w:val="24"/>
          <w:lang w:val="en-GB"/>
        </w:rPr>
      </w:pPr>
      <w:r w:rsidRPr="0010696C">
        <w:rPr>
          <w:szCs w:val="24"/>
          <w:lang w:val="en-GB"/>
        </w:rPr>
        <w:t xml:space="preserve">In this regard, the Applicants </w:t>
      </w:r>
      <w:r w:rsidR="00AF61C3" w:rsidRPr="0010696C">
        <w:rPr>
          <w:szCs w:val="24"/>
          <w:lang w:val="en-GB"/>
        </w:rPr>
        <w:t>contend</w:t>
      </w:r>
      <w:r w:rsidRPr="0010696C">
        <w:rPr>
          <w:szCs w:val="24"/>
          <w:lang w:val="en-GB"/>
        </w:rPr>
        <w:t xml:space="preserve"> that the</w:t>
      </w:r>
      <w:r w:rsidR="00C20697" w:rsidRPr="0010696C">
        <w:rPr>
          <w:szCs w:val="24"/>
          <w:lang w:val="en-GB"/>
        </w:rPr>
        <w:t xml:space="preserve"> AET facilities are not ordinary transactional bank</w:t>
      </w:r>
      <w:r w:rsidR="001A55B3" w:rsidRPr="0010696C">
        <w:rPr>
          <w:szCs w:val="24"/>
          <w:lang w:val="en-GB"/>
        </w:rPr>
        <w:t xml:space="preserve">ing accounts and </w:t>
      </w:r>
      <w:r w:rsidR="00504F4B" w:rsidRPr="0010696C">
        <w:rPr>
          <w:szCs w:val="24"/>
          <w:lang w:val="en-GB"/>
        </w:rPr>
        <w:t xml:space="preserve">that </w:t>
      </w:r>
      <w:r w:rsidR="001A55B3" w:rsidRPr="0010696C">
        <w:rPr>
          <w:szCs w:val="24"/>
          <w:lang w:val="en-GB"/>
        </w:rPr>
        <w:t>the rule (such as it may be) that a bank can unilaterally close a transactional account for no reason, does not apply in the case of the</w:t>
      </w:r>
      <w:r w:rsidR="00504F4B" w:rsidRPr="0010696C">
        <w:rPr>
          <w:szCs w:val="24"/>
          <w:lang w:val="en-GB"/>
        </w:rPr>
        <w:t xml:space="preserve"> AET</w:t>
      </w:r>
      <w:r w:rsidR="001A55B3" w:rsidRPr="0010696C">
        <w:rPr>
          <w:szCs w:val="24"/>
          <w:lang w:val="en-GB"/>
        </w:rPr>
        <w:t xml:space="preserve"> accounts.</w:t>
      </w:r>
      <w:r w:rsidR="00551996" w:rsidRPr="0010696C">
        <w:rPr>
          <w:szCs w:val="24"/>
          <w:lang w:val="en-GB"/>
        </w:rPr>
        <w:t xml:space="preserve"> </w:t>
      </w:r>
    </w:p>
    <w:p w14:paraId="39ED7284" w14:textId="3AB57001" w:rsidR="00D67682" w:rsidRPr="0010696C" w:rsidRDefault="00D67682" w:rsidP="00BD37AE">
      <w:pPr>
        <w:pStyle w:val="Level1"/>
        <w:rPr>
          <w:szCs w:val="24"/>
          <w:lang w:val="en-GB"/>
        </w:rPr>
      </w:pPr>
      <w:r w:rsidRPr="0010696C">
        <w:rPr>
          <w:szCs w:val="24"/>
          <w:lang w:val="en-GB"/>
        </w:rPr>
        <w:t>The Applicants further contend that it is an implied term of the contracts between the Applicants and Capitec that the latter must provide reasons for a drastic step</w:t>
      </w:r>
      <w:r w:rsidR="004B04D6" w:rsidRPr="0010696C">
        <w:rPr>
          <w:szCs w:val="24"/>
          <w:lang w:val="en-GB"/>
        </w:rPr>
        <w:t xml:space="preserve"> such</w:t>
      </w:r>
      <w:r w:rsidRPr="0010696C">
        <w:rPr>
          <w:szCs w:val="24"/>
          <w:lang w:val="en-GB"/>
        </w:rPr>
        <w:t xml:space="preserve"> as the termination of an AET facility.  South African law requires the provision of reasons to justify </w:t>
      </w:r>
      <w:r w:rsidR="00B153E6">
        <w:rPr>
          <w:szCs w:val="24"/>
          <w:lang w:val="en-GB"/>
        </w:rPr>
        <w:t xml:space="preserve">actions </w:t>
      </w:r>
      <w:r w:rsidRPr="0010696C">
        <w:rPr>
          <w:szCs w:val="24"/>
          <w:lang w:val="en-GB"/>
        </w:rPr>
        <w:t>taken.  If the reason is not justifiable, it ought not to be given judicial sanction.  If the reason is by itself unlawful, such as breaching a statute (</w:t>
      </w:r>
      <w:r w:rsidR="00C55F1D" w:rsidRPr="0010696C">
        <w:rPr>
          <w:szCs w:val="24"/>
          <w:lang w:val="en-GB"/>
        </w:rPr>
        <w:t>including</w:t>
      </w:r>
      <w:r w:rsidRPr="0010696C">
        <w:rPr>
          <w:szCs w:val="24"/>
          <w:lang w:val="en-GB"/>
        </w:rPr>
        <w:t xml:space="preserve"> competition </w:t>
      </w:r>
      <w:r w:rsidR="00C55F1D" w:rsidRPr="0010696C">
        <w:rPr>
          <w:szCs w:val="24"/>
          <w:lang w:val="en-GB"/>
        </w:rPr>
        <w:t>and</w:t>
      </w:r>
      <w:r w:rsidRPr="0010696C">
        <w:rPr>
          <w:szCs w:val="24"/>
          <w:lang w:val="en-GB"/>
        </w:rPr>
        <w:t xml:space="preserve"> equality legislation), it ought not to be given effect to.</w:t>
      </w:r>
    </w:p>
    <w:p w14:paraId="04BC2CC0" w14:textId="2063BA6D" w:rsidR="007C1A5D" w:rsidRPr="0010696C" w:rsidRDefault="00504F4B" w:rsidP="00817150">
      <w:pPr>
        <w:pStyle w:val="Level1"/>
        <w:rPr>
          <w:szCs w:val="24"/>
          <w:lang w:val="en-GB"/>
        </w:rPr>
      </w:pPr>
      <w:r w:rsidRPr="0010696C">
        <w:rPr>
          <w:szCs w:val="24"/>
          <w:lang w:val="en-GB"/>
        </w:rPr>
        <w:t xml:space="preserve">The Applicant </w:t>
      </w:r>
      <w:r w:rsidR="00354C97" w:rsidRPr="0010696C">
        <w:rPr>
          <w:szCs w:val="24"/>
          <w:lang w:val="en-GB"/>
        </w:rPr>
        <w:t>conten</w:t>
      </w:r>
      <w:r w:rsidRPr="0010696C">
        <w:rPr>
          <w:szCs w:val="24"/>
          <w:lang w:val="en-GB"/>
        </w:rPr>
        <w:t>d</w:t>
      </w:r>
      <w:r w:rsidR="00354C97" w:rsidRPr="0010696C">
        <w:rPr>
          <w:szCs w:val="24"/>
          <w:lang w:val="en-GB"/>
        </w:rPr>
        <w:t xml:space="preserve"> that no</w:t>
      </w:r>
      <w:r w:rsidR="00551996" w:rsidRPr="0010696C">
        <w:rPr>
          <w:szCs w:val="24"/>
          <w:lang w:val="en-GB"/>
        </w:rPr>
        <w:t xml:space="preserve"> reason has been given</w:t>
      </w:r>
      <w:r w:rsidRPr="0010696C">
        <w:rPr>
          <w:szCs w:val="24"/>
          <w:lang w:val="en-GB"/>
        </w:rPr>
        <w:t xml:space="preserve"> for termination</w:t>
      </w:r>
      <w:r w:rsidR="00551996" w:rsidRPr="0010696C">
        <w:rPr>
          <w:szCs w:val="24"/>
          <w:lang w:val="en-GB"/>
        </w:rPr>
        <w:t xml:space="preserve">.  </w:t>
      </w:r>
      <w:r w:rsidR="00FF12D0" w:rsidRPr="0010696C">
        <w:rPr>
          <w:szCs w:val="24"/>
          <w:lang w:val="en-GB"/>
        </w:rPr>
        <w:t>Capitec has not alleged</w:t>
      </w:r>
      <w:r w:rsidR="007C1A5D" w:rsidRPr="0010696C">
        <w:rPr>
          <w:szCs w:val="24"/>
          <w:lang w:val="en-GB"/>
        </w:rPr>
        <w:t>, for instance,</w:t>
      </w:r>
      <w:r w:rsidR="00FF12D0" w:rsidRPr="0010696C">
        <w:rPr>
          <w:szCs w:val="24"/>
          <w:lang w:val="en-GB"/>
        </w:rPr>
        <w:t xml:space="preserve"> that any of the Applicants are not compliant with the Financial Intelligence Centre Act 38 of 2001 (</w:t>
      </w:r>
      <w:r w:rsidR="00F32FD7" w:rsidRPr="0010696C">
        <w:rPr>
          <w:szCs w:val="24"/>
          <w:lang w:val="en-GB"/>
        </w:rPr>
        <w:t>“</w:t>
      </w:r>
      <w:r w:rsidR="00FF12D0" w:rsidRPr="0010696C">
        <w:rPr>
          <w:b/>
          <w:bCs/>
          <w:szCs w:val="24"/>
          <w:lang w:val="en-GB"/>
        </w:rPr>
        <w:t>FICA</w:t>
      </w:r>
      <w:r w:rsidR="00F32FD7" w:rsidRPr="0010696C">
        <w:rPr>
          <w:szCs w:val="24"/>
          <w:lang w:val="en-GB"/>
        </w:rPr>
        <w:t>”</w:t>
      </w:r>
      <w:r w:rsidR="00FF12D0" w:rsidRPr="0010696C">
        <w:rPr>
          <w:szCs w:val="24"/>
          <w:lang w:val="en-GB"/>
        </w:rPr>
        <w:t xml:space="preserve">).  </w:t>
      </w:r>
    </w:p>
    <w:p w14:paraId="08728E60" w14:textId="53D7DB4C" w:rsidR="00FA11DF" w:rsidRPr="0010696C" w:rsidRDefault="00FA11DF" w:rsidP="009E4537">
      <w:pPr>
        <w:pStyle w:val="Heading2"/>
        <w:ind w:left="992" w:hanging="992"/>
        <w:rPr>
          <w:rFonts w:cs="Times New Roman"/>
          <w:b/>
          <w:szCs w:val="24"/>
          <w:lang w:val="en-GB"/>
        </w:rPr>
      </w:pPr>
      <w:r w:rsidRPr="0010696C">
        <w:rPr>
          <w:rFonts w:cs="Times New Roman"/>
          <w:szCs w:val="24"/>
          <w:lang w:val="en-GB"/>
        </w:rPr>
        <w:t>Capitec as mandatory cannot revoke the mandate if it would prejudice the mandator</w:t>
      </w:r>
    </w:p>
    <w:p w14:paraId="6587A55D" w14:textId="16FFF4B8" w:rsidR="00FA11DF" w:rsidRPr="0010696C" w:rsidRDefault="00817150" w:rsidP="00FA11DF">
      <w:pPr>
        <w:pStyle w:val="Level1"/>
        <w:rPr>
          <w:szCs w:val="24"/>
          <w:lang w:val="en-GB"/>
        </w:rPr>
      </w:pPr>
      <w:r w:rsidRPr="0010696C">
        <w:rPr>
          <w:szCs w:val="24"/>
          <w:lang w:val="en-GB"/>
        </w:rPr>
        <w:t>The Applicants contend that it is</w:t>
      </w:r>
      <w:r w:rsidR="00546ACF" w:rsidRPr="0010696C">
        <w:rPr>
          <w:szCs w:val="24"/>
          <w:lang w:val="en-GB"/>
        </w:rPr>
        <w:t xml:space="preserve"> an implied term of </w:t>
      </w:r>
      <w:r w:rsidR="00CC1821" w:rsidRPr="0010696C">
        <w:rPr>
          <w:szCs w:val="24"/>
          <w:lang w:val="en-GB"/>
        </w:rPr>
        <w:t>a</w:t>
      </w:r>
      <w:r w:rsidR="00546ACF" w:rsidRPr="0010696C">
        <w:rPr>
          <w:szCs w:val="24"/>
          <w:lang w:val="en-GB"/>
        </w:rPr>
        <w:t xml:space="preserve"> contract of mandate that the mandatary</w:t>
      </w:r>
      <w:r w:rsidR="001D340D" w:rsidRPr="0010696C">
        <w:rPr>
          <w:szCs w:val="24"/>
          <w:lang w:val="en-GB"/>
        </w:rPr>
        <w:t xml:space="preserve"> (Capitec)</w:t>
      </w:r>
      <w:r w:rsidR="00546ACF" w:rsidRPr="0010696C">
        <w:rPr>
          <w:szCs w:val="24"/>
          <w:lang w:val="en-GB"/>
        </w:rPr>
        <w:t xml:space="preserve"> can revoke its mandate only if it would not prejudice the mandator</w:t>
      </w:r>
      <w:r w:rsidR="001D340D" w:rsidRPr="0010696C">
        <w:rPr>
          <w:szCs w:val="24"/>
          <w:lang w:val="en-GB"/>
        </w:rPr>
        <w:t xml:space="preserve"> (the Applicants)</w:t>
      </w:r>
      <w:r w:rsidR="00546ACF" w:rsidRPr="0010696C">
        <w:rPr>
          <w:szCs w:val="24"/>
          <w:lang w:val="en-GB"/>
        </w:rPr>
        <w:t>.</w:t>
      </w:r>
    </w:p>
    <w:p w14:paraId="680C9B02" w14:textId="01A0CEC3" w:rsidR="00FA11DF" w:rsidRPr="0010696C" w:rsidRDefault="00FA11DF" w:rsidP="001D340D">
      <w:pPr>
        <w:pStyle w:val="Heading2"/>
        <w:ind w:left="709" w:hanging="709"/>
        <w:rPr>
          <w:rFonts w:cs="Times New Roman"/>
          <w:b/>
          <w:szCs w:val="24"/>
          <w:lang w:val="en-GB"/>
        </w:rPr>
      </w:pPr>
      <w:r w:rsidRPr="0010696C">
        <w:rPr>
          <w:rFonts w:cs="Times New Roman"/>
          <w:szCs w:val="24"/>
          <w:lang w:val="en-GB"/>
        </w:rPr>
        <w:lastRenderedPageBreak/>
        <w:t>Capitec Discriminates</w:t>
      </w:r>
    </w:p>
    <w:p w14:paraId="18A7D664" w14:textId="745BEE83" w:rsidR="00817150" w:rsidRPr="0010696C" w:rsidRDefault="00FF12D0" w:rsidP="00817150">
      <w:pPr>
        <w:pStyle w:val="Level1"/>
        <w:rPr>
          <w:szCs w:val="24"/>
          <w:lang w:val="en-GB"/>
        </w:rPr>
      </w:pPr>
      <w:r w:rsidRPr="0010696C">
        <w:rPr>
          <w:szCs w:val="24"/>
          <w:lang w:val="en-GB"/>
        </w:rPr>
        <w:t xml:space="preserve">The Applicants </w:t>
      </w:r>
      <w:r w:rsidR="00817150" w:rsidRPr="0010696C">
        <w:rPr>
          <w:szCs w:val="24"/>
          <w:lang w:val="en-GB"/>
        </w:rPr>
        <w:t xml:space="preserve">claim that they </w:t>
      </w:r>
      <w:r w:rsidRPr="0010696C">
        <w:rPr>
          <w:szCs w:val="24"/>
          <w:lang w:val="en-GB"/>
        </w:rPr>
        <w:t xml:space="preserve">are all owned directly or indirectly by persons of Chinese extraction.  </w:t>
      </w:r>
      <w:r w:rsidR="00817150" w:rsidRPr="0010696C">
        <w:rPr>
          <w:szCs w:val="24"/>
          <w:lang w:val="en-GB"/>
        </w:rPr>
        <w:t xml:space="preserve">They contend that, in </w:t>
      </w:r>
      <w:r w:rsidRPr="0010696C">
        <w:rPr>
          <w:szCs w:val="24"/>
          <w:lang w:val="en-GB"/>
        </w:rPr>
        <w:t xml:space="preserve">the absence of an explanation to the contrary, the only reasonable conclusion is that Capitec has targeted this group because of their ethnicity.  </w:t>
      </w:r>
    </w:p>
    <w:p w14:paraId="00C254F3" w14:textId="22353638" w:rsidR="00817150" w:rsidRPr="0010696C" w:rsidRDefault="00817150" w:rsidP="00817150">
      <w:pPr>
        <w:pStyle w:val="Heading2"/>
        <w:ind w:hanging="709"/>
        <w:rPr>
          <w:rFonts w:cs="Times New Roman"/>
          <w:szCs w:val="24"/>
          <w:lang w:val="en-GB"/>
        </w:rPr>
      </w:pPr>
      <w:r w:rsidRPr="0010696C">
        <w:rPr>
          <w:rFonts w:cs="Times New Roman"/>
          <w:szCs w:val="24"/>
          <w:lang w:val="en-GB"/>
        </w:rPr>
        <w:t>Capitec interferes with a contractual relationship</w:t>
      </w:r>
    </w:p>
    <w:p w14:paraId="246ED346" w14:textId="3652F595" w:rsidR="00817150" w:rsidRPr="0010696C" w:rsidRDefault="00FF12D0" w:rsidP="00817150">
      <w:pPr>
        <w:pStyle w:val="Level1"/>
        <w:rPr>
          <w:szCs w:val="24"/>
          <w:lang w:val="en-GB"/>
        </w:rPr>
      </w:pPr>
      <w:r w:rsidRPr="0010696C">
        <w:rPr>
          <w:szCs w:val="24"/>
          <w:lang w:val="en-GB"/>
        </w:rPr>
        <w:t>The</w:t>
      </w:r>
      <w:r w:rsidR="00817150" w:rsidRPr="0010696C">
        <w:rPr>
          <w:szCs w:val="24"/>
          <w:lang w:val="en-GB"/>
        </w:rPr>
        <w:t xml:space="preserve"> Applicants contend that the</w:t>
      </w:r>
      <w:r w:rsidRPr="0010696C">
        <w:rPr>
          <w:szCs w:val="24"/>
          <w:lang w:val="en-GB"/>
        </w:rPr>
        <w:t xml:space="preserve"> termination of the facilities by Capitec is aimed at </w:t>
      </w:r>
      <w:r w:rsidR="00B14504" w:rsidRPr="0010696C">
        <w:rPr>
          <w:szCs w:val="24"/>
          <w:lang w:val="en-GB"/>
        </w:rPr>
        <w:t xml:space="preserve">unlawfully </w:t>
      </w:r>
      <w:r w:rsidRPr="0010696C">
        <w:rPr>
          <w:szCs w:val="24"/>
          <w:lang w:val="en-GB"/>
        </w:rPr>
        <w:t xml:space="preserve">interfering in the contractual relationship between Amplifin and the Applicants.  </w:t>
      </w:r>
    </w:p>
    <w:p w14:paraId="3DA36FA9" w14:textId="5D838B87" w:rsidR="00817150" w:rsidRPr="0010696C" w:rsidRDefault="00817150" w:rsidP="00BD37AE">
      <w:pPr>
        <w:pStyle w:val="Heading2"/>
        <w:rPr>
          <w:rFonts w:cs="Times New Roman"/>
          <w:szCs w:val="24"/>
          <w:lang w:val="en-GB"/>
        </w:rPr>
      </w:pPr>
      <w:r w:rsidRPr="0010696C">
        <w:rPr>
          <w:rFonts w:cs="Times New Roman"/>
          <w:szCs w:val="24"/>
          <w:lang w:val="en-GB"/>
        </w:rPr>
        <w:t>Capitec breaches the Competition Act</w:t>
      </w:r>
    </w:p>
    <w:p w14:paraId="7048D8F0" w14:textId="2C15128C" w:rsidR="007C1A5D" w:rsidRPr="0010696C" w:rsidRDefault="000505D8" w:rsidP="00594171">
      <w:pPr>
        <w:pStyle w:val="Level1"/>
        <w:rPr>
          <w:szCs w:val="24"/>
          <w:lang w:val="en-GB"/>
        </w:rPr>
      </w:pPr>
      <w:r w:rsidRPr="0010696C">
        <w:rPr>
          <w:szCs w:val="24"/>
          <w:lang w:val="en-GB"/>
        </w:rPr>
        <w:t>In terms of s 8(b) of the Competition Act 89 of 1998</w:t>
      </w:r>
      <w:r w:rsidR="00C52156" w:rsidRPr="0010696C">
        <w:rPr>
          <w:szCs w:val="24"/>
          <w:lang w:val="en-GB"/>
        </w:rPr>
        <w:t xml:space="preserve"> (</w:t>
      </w:r>
      <w:r w:rsidR="00F32FD7" w:rsidRPr="0010696C">
        <w:rPr>
          <w:szCs w:val="24"/>
          <w:lang w:val="en-GB"/>
        </w:rPr>
        <w:t>“</w:t>
      </w:r>
      <w:r w:rsidR="00C52156" w:rsidRPr="0010696C">
        <w:rPr>
          <w:b/>
          <w:bCs/>
          <w:szCs w:val="24"/>
          <w:lang w:val="en-GB"/>
        </w:rPr>
        <w:t>the Competition Act</w:t>
      </w:r>
      <w:r w:rsidR="00F32FD7" w:rsidRPr="0010696C">
        <w:rPr>
          <w:szCs w:val="24"/>
          <w:lang w:val="en-GB"/>
        </w:rPr>
        <w:t>”</w:t>
      </w:r>
      <w:r w:rsidR="00C52156" w:rsidRPr="0010696C">
        <w:rPr>
          <w:szCs w:val="24"/>
          <w:lang w:val="en-GB"/>
        </w:rPr>
        <w:t>)</w:t>
      </w:r>
      <w:r w:rsidRPr="0010696C">
        <w:rPr>
          <w:szCs w:val="24"/>
          <w:lang w:val="en-GB"/>
        </w:rPr>
        <w:t>, a dominant firm is prohibited from refusing to give a competitor access to an essential facility.</w:t>
      </w:r>
      <w:r w:rsidR="00C52156" w:rsidRPr="0010696C">
        <w:rPr>
          <w:szCs w:val="24"/>
          <w:lang w:val="en-GB"/>
        </w:rPr>
        <w:t xml:space="preserve">  Th</w:t>
      </w:r>
      <w:r w:rsidR="00817150" w:rsidRPr="0010696C">
        <w:rPr>
          <w:szCs w:val="24"/>
          <w:lang w:val="en-GB"/>
        </w:rPr>
        <w:t>e Applicants contend that this</w:t>
      </w:r>
      <w:r w:rsidR="00F715E9" w:rsidRPr="0010696C">
        <w:rPr>
          <w:szCs w:val="24"/>
          <w:lang w:val="en-GB"/>
        </w:rPr>
        <w:t xml:space="preserve"> section</w:t>
      </w:r>
      <w:r w:rsidR="00C52156" w:rsidRPr="0010696C">
        <w:rPr>
          <w:szCs w:val="24"/>
          <w:lang w:val="en-GB"/>
        </w:rPr>
        <w:t xml:space="preserve"> is contravened by Capitec.</w:t>
      </w:r>
      <w:r w:rsidR="002075AB">
        <w:rPr>
          <w:szCs w:val="24"/>
          <w:lang w:val="en-GB"/>
        </w:rPr>
        <w:t xml:space="preserve">  Again, </w:t>
      </w:r>
      <w:r w:rsidR="00AD497C" w:rsidRPr="0010696C">
        <w:rPr>
          <w:szCs w:val="24"/>
          <w:lang w:val="en-GB"/>
        </w:rPr>
        <w:t>the Applicants</w:t>
      </w:r>
      <w:r w:rsidR="00F32FD7" w:rsidRPr="0010696C">
        <w:rPr>
          <w:szCs w:val="24"/>
          <w:lang w:val="en-GB"/>
        </w:rPr>
        <w:t>’</w:t>
      </w:r>
      <w:r w:rsidR="00AD497C" w:rsidRPr="0010696C">
        <w:rPr>
          <w:szCs w:val="24"/>
          <w:lang w:val="en-GB"/>
        </w:rPr>
        <w:t xml:space="preserve"> </w:t>
      </w:r>
      <w:r w:rsidR="00204405" w:rsidRPr="0010696C">
        <w:rPr>
          <w:szCs w:val="24"/>
          <w:lang w:val="en-GB"/>
        </w:rPr>
        <w:t>con</w:t>
      </w:r>
      <w:r w:rsidR="00037E4C">
        <w:rPr>
          <w:szCs w:val="24"/>
          <w:lang w:val="en-GB"/>
        </w:rPr>
        <w:t>tended</w:t>
      </w:r>
      <w:r w:rsidR="00204405" w:rsidRPr="0010696C">
        <w:rPr>
          <w:szCs w:val="24"/>
          <w:lang w:val="en-GB"/>
        </w:rPr>
        <w:t xml:space="preserve"> that, a</w:t>
      </w:r>
      <w:r w:rsidR="007C1A5D" w:rsidRPr="0010696C">
        <w:rPr>
          <w:szCs w:val="24"/>
          <w:lang w:val="en-GB"/>
        </w:rPr>
        <w:t xml:space="preserve">bsent an explanation by Capitec, the only </w:t>
      </w:r>
      <w:r w:rsidR="00CC1821" w:rsidRPr="0010696C">
        <w:rPr>
          <w:szCs w:val="24"/>
          <w:lang w:val="en-GB"/>
        </w:rPr>
        <w:t>inference that can be drawn is</w:t>
      </w:r>
      <w:r w:rsidR="007C1A5D" w:rsidRPr="0010696C">
        <w:rPr>
          <w:szCs w:val="24"/>
          <w:lang w:val="en-GB"/>
        </w:rPr>
        <w:t xml:space="preserve"> that the termination of the AET facilities is aimed at stifling competition by Capitec and is</w:t>
      </w:r>
      <w:r w:rsidR="007E5F64">
        <w:rPr>
          <w:szCs w:val="24"/>
          <w:lang w:val="en-GB"/>
        </w:rPr>
        <w:t xml:space="preserve"> indeed</w:t>
      </w:r>
      <w:r w:rsidR="007C1A5D" w:rsidRPr="0010696C">
        <w:rPr>
          <w:szCs w:val="24"/>
          <w:lang w:val="en-GB"/>
        </w:rPr>
        <w:t xml:space="preserve"> aimed at acquiring the</w:t>
      </w:r>
      <w:r w:rsidR="00CC1821" w:rsidRPr="0010696C">
        <w:rPr>
          <w:szCs w:val="24"/>
          <w:lang w:val="en-GB"/>
        </w:rPr>
        <w:t xml:space="preserve"> Applicants’</w:t>
      </w:r>
      <w:r w:rsidR="007C1A5D" w:rsidRPr="0010696C">
        <w:rPr>
          <w:szCs w:val="24"/>
          <w:lang w:val="en-GB"/>
        </w:rPr>
        <w:t xml:space="preserve"> businesses.</w:t>
      </w:r>
    </w:p>
    <w:p w14:paraId="21D50B74" w14:textId="0AEA90E5" w:rsidR="00BD37AE" w:rsidRPr="0010696C" w:rsidRDefault="001101EC" w:rsidP="009A6725">
      <w:pPr>
        <w:pStyle w:val="Heading2"/>
        <w:rPr>
          <w:lang w:val="en-GB"/>
        </w:rPr>
      </w:pPr>
      <w:r w:rsidRPr="0010696C">
        <w:rPr>
          <w:lang w:val="en-GB"/>
        </w:rPr>
        <w:t>Apprehension of harm</w:t>
      </w:r>
    </w:p>
    <w:p w14:paraId="2EF5BBFA" w14:textId="7804DA60" w:rsidR="00913AF6" w:rsidRPr="0010696C" w:rsidRDefault="002E10B5" w:rsidP="00913AF6">
      <w:pPr>
        <w:pStyle w:val="Level1"/>
        <w:rPr>
          <w:szCs w:val="24"/>
          <w:lang w:val="en-GB"/>
        </w:rPr>
      </w:pPr>
      <w:r w:rsidRPr="0010696C">
        <w:rPr>
          <w:szCs w:val="24"/>
          <w:lang w:val="en-GB"/>
        </w:rPr>
        <w:t xml:space="preserve">Turning to the requirement of a well-grounded apprehension of </w:t>
      </w:r>
      <w:r w:rsidR="004A3EE8" w:rsidRPr="0010696C">
        <w:rPr>
          <w:szCs w:val="24"/>
          <w:lang w:val="en-GB"/>
        </w:rPr>
        <w:t xml:space="preserve">harm, the Applicants </w:t>
      </w:r>
      <w:r w:rsidR="00CA1885" w:rsidRPr="0010696C">
        <w:rPr>
          <w:szCs w:val="24"/>
          <w:lang w:val="en-GB"/>
        </w:rPr>
        <w:t>contend as follows:</w:t>
      </w:r>
    </w:p>
    <w:p w14:paraId="1130732B" w14:textId="53383929" w:rsidR="00CA1885" w:rsidRPr="0010696C" w:rsidRDefault="00CA1885" w:rsidP="00CA1885">
      <w:pPr>
        <w:pStyle w:val="Level2"/>
        <w:rPr>
          <w:szCs w:val="24"/>
          <w:lang w:val="en-GB"/>
        </w:rPr>
      </w:pPr>
      <w:r w:rsidRPr="0010696C">
        <w:rPr>
          <w:szCs w:val="24"/>
          <w:lang w:val="en-GB"/>
        </w:rPr>
        <w:lastRenderedPageBreak/>
        <w:t>The closure of the AET facilities will mean that the Applicants will not receive payment of the amounts owing to them in terms of credit agreements that have been lawfully entered into.</w:t>
      </w:r>
    </w:p>
    <w:p w14:paraId="5B586203" w14:textId="592F3E65" w:rsidR="00D676BC" w:rsidRPr="0010696C" w:rsidRDefault="00D676BC" w:rsidP="00CA1885">
      <w:pPr>
        <w:pStyle w:val="Level2"/>
        <w:rPr>
          <w:szCs w:val="24"/>
          <w:lang w:val="en-GB"/>
        </w:rPr>
      </w:pPr>
      <w:r w:rsidRPr="0010696C">
        <w:rPr>
          <w:szCs w:val="24"/>
          <w:lang w:val="en-GB"/>
        </w:rPr>
        <w:t>It is not possible for the Applicants to go</w:t>
      </w:r>
      <w:r w:rsidR="0080252A" w:rsidRPr="0010696C">
        <w:rPr>
          <w:szCs w:val="24"/>
          <w:lang w:val="en-GB"/>
        </w:rPr>
        <w:t xml:space="preserve"> to</w:t>
      </w:r>
      <w:r w:rsidRPr="0010696C">
        <w:rPr>
          <w:szCs w:val="24"/>
          <w:lang w:val="en-GB"/>
        </w:rPr>
        <w:t xml:space="preserve"> another service provider whilst there are contracts in </w:t>
      </w:r>
      <w:r w:rsidR="00035FEF" w:rsidRPr="0010696C">
        <w:rPr>
          <w:szCs w:val="24"/>
          <w:lang w:val="en-GB"/>
        </w:rPr>
        <w:t xml:space="preserve">place.  The existing contracts have to </w:t>
      </w:r>
      <w:r w:rsidR="00436D77" w:rsidRPr="0010696C">
        <w:rPr>
          <w:szCs w:val="24"/>
          <w:lang w:val="en-GB"/>
        </w:rPr>
        <w:t>run out and they cannot be moved to a new service provider.</w:t>
      </w:r>
    </w:p>
    <w:p w14:paraId="5D5FBBA4" w14:textId="7A83B8BA" w:rsidR="00436D77" w:rsidRPr="0010696C" w:rsidRDefault="00436D77" w:rsidP="00CA1885">
      <w:pPr>
        <w:pStyle w:val="Level2"/>
        <w:rPr>
          <w:szCs w:val="24"/>
          <w:lang w:val="en-GB"/>
        </w:rPr>
      </w:pPr>
      <w:r w:rsidRPr="0010696C">
        <w:rPr>
          <w:szCs w:val="24"/>
          <w:lang w:val="en-GB"/>
        </w:rPr>
        <w:t xml:space="preserve">Even if it were possible to migrate the </w:t>
      </w:r>
      <w:r w:rsidR="00557842" w:rsidRPr="0010696C">
        <w:rPr>
          <w:szCs w:val="24"/>
          <w:lang w:val="en-GB"/>
        </w:rPr>
        <w:t xml:space="preserve">Applicants to another service provider, it will literally take months to establish the facilities which the Applicants </w:t>
      </w:r>
      <w:r w:rsidR="000B3923" w:rsidRPr="0010696C">
        <w:rPr>
          <w:szCs w:val="24"/>
          <w:lang w:val="en-GB"/>
        </w:rPr>
        <w:t>presently have.  The alternatives to Capitec ha</w:t>
      </w:r>
      <w:r w:rsidR="00045CAB" w:rsidRPr="0010696C">
        <w:rPr>
          <w:szCs w:val="24"/>
          <w:lang w:val="en-GB"/>
        </w:rPr>
        <w:t>ve</w:t>
      </w:r>
      <w:r w:rsidR="000B3923" w:rsidRPr="0010696C">
        <w:rPr>
          <w:szCs w:val="24"/>
          <w:lang w:val="en-GB"/>
        </w:rPr>
        <w:t xml:space="preserve"> not provided adequate services in the past and is not an option.</w:t>
      </w:r>
    </w:p>
    <w:p w14:paraId="56C1E233" w14:textId="4DD27265" w:rsidR="002F17A6" w:rsidRPr="0010696C" w:rsidRDefault="002F17A6" w:rsidP="00CA1885">
      <w:pPr>
        <w:pStyle w:val="Level2"/>
        <w:rPr>
          <w:szCs w:val="24"/>
          <w:lang w:val="en-GB"/>
        </w:rPr>
      </w:pPr>
      <w:r w:rsidRPr="0010696C">
        <w:rPr>
          <w:szCs w:val="24"/>
          <w:lang w:val="en-GB"/>
        </w:rPr>
        <w:t>The businesses of the Applicants will be destroyed overnight</w:t>
      </w:r>
      <w:r w:rsidR="000E5873" w:rsidRPr="0010696C">
        <w:rPr>
          <w:szCs w:val="24"/>
          <w:lang w:val="en-GB"/>
        </w:rPr>
        <w:t xml:space="preserve"> if the flow of funds back into the businesses is terminated.</w:t>
      </w:r>
    </w:p>
    <w:p w14:paraId="435B0D80" w14:textId="50AAEDB7" w:rsidR="00045CAB" w:rsidRPr="0010696C" w:rsidRDefault="00045CAB" w:rsidP="009A6725">
      <w:pPr>
        <w:pStyle w:val="Heading2"/>
        <w:rPr>
          <w:lang w:val="en-GB"/>
        </w:rPr>
      </w:pPr>
      <w:r w:rsidRPr="0010696C">
        <w:rPr>
          <w:lang w:val="en-GB"/>
        </w:rPr>
        <w:t>No adequate alternative and the balance of convenience</w:t>
      </w:r>
    </w:p>
    <w:p w14:paraId="127768FC" w14:textId="78B5B18A" w:rsidR="00E513CA" w:rsidRPr="0010696C" w:rsidRDefault="00E513CA" w:rsidP="00E513CA">
      <w:pPr>
        <w:pStyle w:val="Level1"/>
        <w:rPr>
          <w:szCs w:val="24"/>
          <w:lang w:val="en-GB"/>
        </w:rPr>
      </w:pPr>
      <w:r w:rsidRPr="0010696C">
        <w:rPr>
          <w:szCs w:val="24"/>
          <w:lang w:val="en-GB"/>
        </w:rPr>
        <w:t xml:space="preserve">The Applicants contend that they have no other remedy and that the balance of convenience </w:t>
      </w:r>
      <w:r w:rsidR="00DF1DB0" w:rsidRPr="0010696C">
        <w:rPr>
          <w:szCs w:val="24"/>
          <w:lang w:val="en-GB"/>
        </w:rPr>
        <w:t xml:space="preserve">favour them, primarily </w:t>
      </w:r>
      <w:r w:rsidR="004B75F2" w:rsidRPr="0010696C">
        <w:rPr>
          <w:szCs w:val="24"/>
          <w:lang w:val="en-GB"/>
        </w:rPr>
        <w:t>because</w:t>
      </w:r>
      <w:r w:rsidR="00D71937" w:rsidRPr="0010696C">
        <w:rPr>
          <w:szCs w:val="24"/>
          <w:lang w:val="en-GB"/>
        </w:rPr>
        <w:t xml:space="preserve"> of</w:t>
      </w:r>
      <w:r w:rsidR="004B75F2" w:rsidRPr="0010696C">
        <w:rPr>
          <w:szCs w:val="24"/>
          <w:lang w:val="en-GB"/>
        </w:rPr>
        <w:t xml:space="preserve"> the prejudice</w:t>
      </w:r>
      <w:r w:rsidR="00D71937" w:rsidRPr="0010696C">
        <w:rPr>
          <w:szCs w:val="24"/>
          <w:lang w:val="en-GB"/>
        </w:rPr>
        <w:t xml:space="preserve"> that</w:t>
      </w:r>
      <w:r w:rsidR="004B75F2" w:rsidRPr="0010696C">
        <w:rPr>
          <w:szCs w:val="24"/>
          <w:lang w:val="en-GB"/>
        </w:rPr>
        <w:t xml:space="preserve"> they will suffer if the </w:t>
      </w:r>
      <w:r w:rsidR="00783F24" w:rsidRPr="0010696C">
        <w:rPr>
          <w:szCs w:val="24"/>
          <w:lang w:val="en-GB"/>
        </w:rPr>
        <w:t xml:space="preserve">AET </w:t>
      </w:r>
      <w:r w:rsidR="004B75F2" w:rsidRPr="0010696C">
        <w:rPr>
          <w:szCs w:val="24"/>
          <w:lang w:val="en-GB"/>
        </w:rPr>
        <w:t>facilities are terminated</w:t>
      </w:r>
      <w:r w:rsidR="00D71937" w:rsidRPr="0010696C">
        <w:rPr>
          <w:szCs w:val="24"/>
          <w:lang w:val="en-GB"/>
        </w:rPr>
        <w:t>.  They contend that this prejudice</w:t>
      </w:r>
      <w:r w:rsidR="004B75F2" w:rsidRPr="0010696C">
        <w:rPr>
          <w:szCs w:val="24"/>
          <w:lang w:val="en-GB"/>
        </w:rPr>
        <w:t xml:space="preserve"> outweighs any possible prejudice that Capitec may suffer.</w:t>
      </w:r>
      <w:r w:rsidR="00A01C2F" w:rsidRPr="0010696C">
        <w:rPr>
          <w:szCs w:val="24"/>
          <w:lang w:val="en-GB"/>
        </w:rPr>
        <w:t xml:space="preserve">  In this regard, it is </w:t>
      </w:r>
      <w:r w:rsidR="00546ACF" w:rsidRPr="0010696C">
        <w:rPr>
          <w:szCs w:val="24"/>
          <w:lang w:val="en-GB"/>
        </w:rPr>
        <w:t>argued</w:t>
      </w:r>
      <w:r w:rsidR="00A01C2F" w:rsidRPr="0010696C">
        <w:rPr>
          <w:szCs w:val="24"/>
          <w:lang w:val="en-GB"/>
        </w:rPr>
        <w:t xml:space="preserve"> that Capitec has not disclosed any prejudice and that there is no indication of any </w:t>
      </w:r>
      <w:r w:rsidR="00FF2650" w:rsidRPr="0010696C">
        <w:rPr>
          <w:szCs w:val="24"/>
          <w:lang w:val="en-GB"/>
        </w:rPr>
        <w:t>regulatory issue with the AET</w:t>
      </w:r>
      <w:r w:rsidR="00783F24" w:rsidRPr="0010696C">
        <w:rPr>
          <w:szCs w:val="24"/>
          <w:lang w:val="en-GB"/>
        </w:rPr>
        <w:t xml:space="preserve"> facilities that ha</w:t>
      </w:r>
      <w:r w:rsidR="006A5B7F" w:rsidRPr="0010696C">
        <w:rPr>
          <w:szCs w:val="24"/>
          <w:lang w:val="en-GB"/>
        </w:rPr>
        <w:t xml:space="preserve">ve been allocated to the </w:t>
      </w:r>
      <w:r w:rsidR="003D0B16" w:rsidRPr="0010696C">
        <w:rPr>
          <w:szCs w:val="24"/>
          <w:lang w:val="en-GB"/>
        </w:rPr>
        <w:t>Applicants.</w:t>
      </w:r>
    </w:p>
    <w:p w14:paraId="4D267C02" w14:textId="6B4054B3" w:rsidR="001A083D" w:rsidRPr="0010696C" w:rsidRDefault="00546ACF" w:rsidP="00C20E08">
      <w:pPr>
        <w:pStyle w:val="Heading1"/>
        <w:rPr>
          <w:rFonts w:cs="Times New Roman"/>
          <w:szCs w:val="24"/>
          <w:lang w:val="en-GB"/>
        </w:rPr>
      </w:pPr>
      <w:r w:rsidRPr="0010696C">
        <w:rPr>
          <w:rFonts w:cs="Times New Roman"/>
          <w:szCs w:val="24"/>
          <w:lang w:val="en-GB"/>
        </w:rPr>
        <w:lastRenderedPageBreak/>
        <w:t>The interlocutory applications</w:t>
      </w:r>
    </w:p>
    <w:p w14:paraId="05E113F0" w14:textId="1A91F10A" w:rsidR="0068387A" w:rsidRPr="0068387A" w:rsidRDefault="0068387A" w:rsidP="0068387A">
      <w:pPr>
        <w:pStyle w:val="Level1"/>
        <w:rPr>
          <w:szCs w:val="24"/>
          <w:lang w:val="en-GB"/>
        </w:rPr>
      </w:pPr>
      <w:r w:rsidRPr="0010696C">
        <w:rPr>
          <w:szCs w:val="24"/>
          <w:lang w:val="en-GB"/>
        </w:rPr>
        <w:t>The present matter was brought as an urgent application but then postponed for hearing on a “</w:t>
      </w:r>
      <w:r w:rsidRPr="0010696C">
        <w:rPr>
          <w:i/>
          <w:iCs/>
          <w:szCs w:val="24"/>
          <w:lang w:val="en-GB"/>
        </w:rPr>
        <w:t>special</w:t>
      </w:r>
      <w:r w:rsidRPr="0010696C">
        <w:rPr>
          <w:szCs w:val="24"/>
          <w:lang w:val="en-GB"/>
        </w:rPr>
        <w:t xml:space="preserve">” date (29 November 2023) allocated by Acting Judge-President Goliath to the matter.  A timetable was agreed for the filing of further affidavits and heads of argument. </w:t>
      </w:r>
    </w:p>
    <w:p w14:paraId="7E2B60BD" w14:textId="2FAFC9E5" w:rsidR="00ED6966" w:rsidRPr="0010696C" w:rsidRDefault="00913AF6" w:rsidP="0039171F">
      <w:pPr>
        <w:pStyle w:val="Level1"/>
        <w:rPr>
          <w:szCs w:val="24"/>
          <w:lang w:val="en-GB"/>
        </w:rPr>
      </w:pPr>
      <w:r w:rsidRPr="0010696C">
        <w:rPr>
          <w:szCs w:val="24"/>
          <w:lang w:val="en-GB"/>
        </w:rPr>
        <w:t xml:space="preserve">As already mentioned, there are </w:t>
      </w:r>
      <w:r w:rsidR="00887927" w:rsidRPr="0010696C">
        <w:rPr>
          <w:szCs w:val="24"/>
          <w:lang w:val="en-GB"/>
        </w:rPr>
        <w:t>four</w:t>
      </w:r>
      <w:r w:rsidR="007B0A51" w:rsidRPr="0010696C">
        <w:rPr>
          <w:szCs w:val="24"/>
          <w:lang w:val="en-GB"/>
        </w:rPr>
        <w:t xml:space="preserve"> </w:t>
      </w:r>
      <w:r w:rsidRPr="0010696C">
        <w:rPr>
          <w:szCs w:val="24"/>
          <w:lang w:val="en-GB"/>
        </w:rPr>
        <w:t>interlocutory applications before me:</w:t>
      </w:r>
    </w:p>
    <w:p w14:paraId="3049B019" w14:textId="203BA50B" w:rsidR="00913AF6" w:rsidRPr="0010696C" w:rsidRDefault="00230641" w:rsidP="00913AF6">
      <w:pPr>
        <w:pStyle w:val="Level2"/>
        <w:rPr>
          <w:szCs w:val="24"/>
          <w:lang w:val="en-GB"/>
        </w:rPr>
      </w:pPr>
      <w:r w:rsidRPr="0010696C">
        <w:rPr>
          <w:szCs w:val="24"/>
          <w:lang w:val="en-GB"/>
        </w:rPr>
        <w:t>Capitec</w:t>
      </w:r>
      <w:r w:rsidR="00F32FD7" w:rsidRPr="0010696C">
        <w:rPr>
          <w:szCs w:val="24"/>
          <w:lang w:val="en-GB"/>
        </w:rPr>
        <w:t>’</w:t>
      </w:r>
      <w:r w:rsidRPr="0010696C">
        <w:rPr>
          <w:szCs w:val="24"/>
          <w:lang w:val="en-GB"/>
        </w:rPr>
        <w:t xml:space="preserve">s application to strike out the entire </w:t>
      </w:r>
      <w:r w:rsidR="00002FF3" w:rsidRPr="0010696C">
        <w:rPr>
          <w:szCs w:val="24"/>
          <w:lang w:val="en-GB"/>
        </w:rPr>
        <w:t xml:space="preserve">supporting </w:t>
      </w:r>
      <w:r w:rsidRPr="0010696C">
        <w:rPr>
          <w:szCs w:val="24"/>
          <w:lang w:val="en-GB"/>
        </w:rPr>
        <w:t xml:space="preserve">affidavit filed by Amplifin, </w:t>
      </w:r>
      <w:r w:rsidR="0079794F" w:rsidRPr="0010696C">
        <w:rPr>
          <w:szCs w:val="24"/>
          <w:lang w:val="en-GB"/>
        </w:rPr>
        <w:t>alternatively certain paragraphs thereof;</w:t>
      </w:r>
    </w:p>
    <w:p w14:paraId="095633D3" w14:textId="69860C9D" w:rsidR="00B51002" w:rsidRPr="0010696C" w:rsidRDefault="007B0A51" w:rsidP="00913AF6">
      <w:pPr>
        <w:pStyle w:val="Level2"/>
        <w:rPr>
          <w:szCs w:val="24"/>
          <w:lang w:val="en-GB"/>
        </w:rPr>
      </w:pPr>
      <w:r w:rsidRPr="0010696C">
        <w:rPr>
          <w:szCs w:val="24"/>
          <w:lang w:val="en-GB"/>
        </w:rPr>
        <w:t>Capitec</w:t>
      </w:r>
      <w:r w:rsidR="00F32FD7" w:rsidRPr="0010696C">
        <w:rPr>
          <w:szCs w:val="24"/>
          <w:lang w:val="en-GB"/>
        </w:rPr>
        <w:t>’</w:t>
      </w:r>
      <w:r w:rsidRPr="0010696C">
        <w:rPr>
          <w:szCs w:val="24"/>
          <w:lang w:val="en-GB"/>
        </w:rPr>
        <w:t xml:space="preserve">s </w:t>
      </w:r>
      <w:r w:rsidR="00AC78A9" w:rsidRPr="0010696C">
        <w:rPr>
          <w:szCs w:val="24"/>
          <w:lang w:val="en-GB"/>
        </w:rPr>
        <w:t xml:space="preserve">conditional </w:t>
      </w:r>
      <w:r w:rsidRPr="0010696C">
        <w:rPr>
          <w:szCs w:val="24"/>
          <w:lang w:val="en-GB"/>
        </w:rPr>
        <w:t>application</w:t>
      </w:r>
      <w:r w:rsidR="00AC78A9" w:rsidRPr="0010696C">
        <w:rPr>
          <w:szCs w:val="24"/>
          <w:lang w:val="en-GB"/>
        </w:rPr>
        <w:t xml:space="preserve"> under </w:t>
      </w:r>
      <w:r w:rsidR="007A45D8" w:rsidRPr="0010696C">
        <w:rPr>
          <w:szCs w:val="24"/>
          <w:lang w:val="en-GB"/>
        </w:rPr>
        <w:t xml:space="preserve">Uniform </w:t>
      </w:r>
      <w:r w:rsidR="00650C7E" w:rsidRPr="0010696C">
        <w:rPr>
          <w:szCs w:val="24"/>
          <w:lang w:val="en-GB"/>
        </w:rPr>
        <w:t>Rule</w:t>
      </w:r>
      <w:r w:rsidR="006F6DE5" w:rsidRPr="0010696C">
        <w:rPr>
          <w:szCs w:val="24"/>
          <w:lang w:val="en-GB"/>
        </w:rPr>
        <w:t> </w:t>
      </w:r>
      <w:r w:rsidR="00AC78A9" w:rsidRPr="0010696C">
        <w:rPr>
          <w:szCs w:val="24"/>
          <w:lang w:val="en-GB"/>
        </w:rPr>
        <w:t>6(5)</w:t>
      </w:r>
      <w:r w:rsidR="00650C7E" w:rsidRPr="0010696C">
        <w:rPr>
          <w:szCs w:val="24"/>
          <w:lang w:val="en-GB"/>
        </w:rPr>
        <w:t>(e)</w:t>
      </w:r>
      <w:r w:rsidRPr="0010696C">
        <w:rPr>
          <w:szCs w:val="24"/>
          <w:lang w:val="en-GB"/>
        </w:rPr>
        <w:t xml:space="preserve"> </w:t>
      </w:r>
      <w:r w:rsidR="00AC78A9" w:rsidRPr="0010696C">
        <w:rPr>
          <w:szCs w:val="24"/>
          <w:lang w:val="en-GB"/>
        </w:rPr>
        <w:t xml:space="preserve">for the admission </w:t>
      </w:r>
      <w:r w:rsidR="00650C7E" w:rsidRPr="0010696C">
        <w:rPr>
          <w:szCs w:val="24"/>
          <w:lang w:val="en-GB"/>
        </w:rPr>
        <w:t xml:space="preserve">of a </w:t>
      </w:r>
      <w:r w:rsidR="00B51002" w:rsidRPr="0010696C">
        <w:rPr>
          <w:szCs w:val="24"/>
          <w:lang w:val="en-GB"/>
        </w:rPr>
        <w:t>supplementary affidavit in answer to Amplifin</w:t>
      </w:r>
      <w:r w:rsidR="00F32FD7" w:rsidRPr="0010696C">
        <w:rPr>
          <w:szCs w:val="24"/>
          <w:lang w:val="en-GB"/>
        </w:rPr>
        <w:t>’</w:t>
      </w:r>
      <w:r w:rsidR="00002FF3" w:rsidRPr="0010696C">
        <w:rPr>
          <w:szCs w:val="24"/>
          <w:lang w:val="en-GB"/>
        </w:rPr>
        <w:t>s supporting affidavit</w:t>
      </w:r>
      <w:r w:rsidR="00392037" w:rsidRPr="0010696C">
        <w:rPr>
          <w:szCs w:val="24"/>
          <w:lang w:val="en-GB"/>
        </w:rPr>
        <w:t xml:space="preserve">; </w:t>
      </w:r>
    </w:p>
    <w:p w14:paraId="2836A149" w14:textId="53C6BBB8" w:rsidR="00B51002" w:rsidRPr="0010696C" w:rsidRDefault="00B51002" w:rsidP="00B51002">
      <w:pPr>
        <w:pStyle w:val="Level2"/>
        <w:rPr>
          <w:szCs w:val="24"/>
          <w:lang w:val="en-GB"/>
        </w:rPr>
      </w:pPr>
      <w:r w:rsidRPr="0010696C">
        <w:rPr>
          <w:szCs w:val="24"/>
          <w:lang w:val="en-GB"/>
        </w:rPr>
        <w:t>Capitec</w:t>
      </w:r>
      <w:r w:rsidR="00F32FD7" w:rsidRPr="0010696C">
        <w:rPr>
          <w:szCs w:val="24"/>
          <w:lang w:val="en-GB"/>
        </w:rPr>
        <w:t>’</w:t>
      </w:r>
      <w:r w:rsidRPr="0010696C">
        <w:rPr>
          <w:szCs w:val="24"/>
          <w:lang w:val="en-GB"/>
        </w:rPr>
        <w:t>s application under Rule</w:t>
      </w:r>
      <w:r w:rsidR="006F6DE5" w:rsidRPr="0010696C">
        <w:rPr>
          <w:szCs w:val="24"/>
          <w:lang w:val="en-GB"/>
        </w:rPr>
        <w:t> </w:t>
      </w:r>
      <w:r w:rsidRPr="0010696C">
        <w:rPr>
          <w:szCs w:val="24"/>
          <w:lang w:val="en-GB"/>
        </w:rPr>
        <w:t xml:space="preserve">6(5)(e) for the admission of a </w:t>
      </w:r>
      <w:r w:rsidR="00BE10F8" w:rsidRPr="0010696C">
        <w:rPr>
          <w:szCs w:val="24"/>
          <w:lang w:val="en-GB"/>
        </w:rPr>
        <w:t xml:space="preserve">rejoinder </w:t>
      </w:r>
      <w:r w:rsidRPr="0010696C">
        <w:rPr>
          <w:szCs w:val="24"/>
          <w:lang w:val="en-GB"/>
        </w:rPr>
        <w:t xml:space="preserve">affidavit in </w:t>
      </w:r>
      <w:r w:rsidR="00BE10F8" w:rsidRPr="0010696C">
        <w:rPr>
          <w:szCs w:val="24"/>
          <w:lang w:val="en-GB"/>
        </w:rPr>
        <w:t>response to</w:t>
      </w:r>
      <w:r w:rsidR="00F96C93" w:rsidRPr="0010696C">
        <w:rPr>
          <w:szCs w:val="24"/>
          <w:lang w:val="en-GB"/>
        </w:rPr>
        <w:t xml:space="preserve"> </w:t>
      </w:r>
      <w:r w:rsidR="00E009A0">
        <w:rPr>
          <w:szCs w:val="24"/>
          <w:lang w:val="en-GB"/>
        </w:rPr>
        <w:t xml:space="preserve">what is alleged to be </w:t>
      </w:r>
      <w:r w:rsidR="00F96C93" w:rsidRPr="0010696C">
        <w:rPr>
          <w:szCs w:val="24"/>
          <w:lang w:val="en-GB"/>
        </w:rPr>
        <w:t xml:space="preserve">new matter in the replying </w:t>
      </w:r>
      <w:r w:rsidRPr="0010696C">
        <w:rPr>
          <w:szCs w:val="24"/>
          <w:lang w:val="en-GB"/>
        </w:rPr>
        <w:t>a</w:t>
      </w:r>
      <w:r w:rsidR="00392037" w:rsidRPr="0010696C">
        <w:rPr>
          <w:szCs w:val="24"/>
          <w:lang w:val="en-GB"/>
        </w:rPr>
        <w:t>ffidavit of the Applicants; and</w:t>
      </w:r>
    </w:p>
    <w:p w14:paraId="37F39FCF" w14:textId="5A44949F" w:rsidR="00913AF6" w:rsidRPr="0010696C" w:rsidRDefault="00392037" w:rsidP="00BF4ADB">
      <w:pPr>
        <w:pStyle w:val="Level2"/>
        <w:rPr>
          <w:szCs w:val="24"/>
          <w:lang w:val="en-GB"/>
        </w:rPr>
      </w:pPr>
      <w:r w:rsidRPr="0010696C">
        <w:rPr>
          <w:szCs w:val="24"/>
          <w:lang w:val="en-GB"/>
        </w:rPr>
        <w:t xml:space="preserve">The Applicants application for the postponement of the </w:t>
      </w:r>
      <w:r w:rsidR="00BF4ADB" w:rsidRPr="0010696C">
        <w:rPr>
          <w:szCs w:val="24"/>
          <w:lang w:val="en-GB"/>
        </w:rPr>
        <w:t xml:space="preserve">application for interim relief to a date on the semi-urgent roll (in 2024) coupled with an application for so-called </w:t>
      </w:r>
      <w:r w:rsidR="00F32FD7" w:rsidRPr="0010696C">
        <w:rPr>
          <w:szCs w:val="24"/>
          <w:lang w:val="en-GB"/>
        </w:rPr>
        <w:t>“</w:t>
      </w:r>
      <w:r w:rsidR="00BF4ADB" w:rsidRPr="0010696C">
        <w:rPr>
          <w:i/>
          <w:iCs/>
          <w:szCs w:val="24"/>
          <w:lang w:val="en-GB"/>
        </w:rPr>
        <w:t>interim-interim relief</w:t>
      </w:r>
      <w:r w:rsidR="00F32FD7" w:rsidRPr="0010696C">
        <w:rPr>
          <w:szCs w:val="24"/>
          <w:lang w:val="en-GB"/>
        </w:rPr>
        <w:t>”</w:t>
      </w:r>
      <w:r w:rsidR="00B75CAA" w:rsidRPr="0010696C">
        <w:rPr>
          <w:szCs w:val="24"/>
          <w:lang w:val="en-GB"/>
        </w:rPr>
        <w:t xml:space="preserve"> until then.  </w:t>
      </w:r>
    </w:p>
    <w:p w14:paraId="00161401" w14:textId="7ADFCC85" w:rsidR="009C7D9E" w:rsidRPr="0010696C" w:rsidRDefault="006E391B" w:rsidP="0039171F">
      <w:pPr>
        <w:pStyle w:val="Level1"/>
        <w:rPr>
          <w:szCs w:val="24"/>
          <w:lang w:val="en-GB"/>
        </w:rPr>
      </w:pPr>
      <w:r w:rsidRPr="0010696C">
        <w:rPr>
          <w:szCs w:val="24"/>
          <w:lang w:val="en-GB"/>
        </w:rPr>
        <w:t xml:space="preserve">I deal with each of the four </w:t>
      </w:r>
      <w:r w:rsidR="00B75CAA" w:rsidRPr="0010696C">
        <w:rPr>
          <w:szCs w:val="24"/>
          <w:lang w:val="en-GB"/>
        </w:rPr>
        <w:t>interlocutories</w:t>
      </w:r>
      <w:r w:rsidRPr="0010696C">
        <w:rPr>
          <w:szCs w:val="24"/>
          <w:lang w:val="en-GB"/>
        </w:rPr>
        <w:t xml:space="preserve"> in turn. </w:t>
      </w:r>
    </w:p>
    <w:p w14:paraId="21724F6B" w14:textId="3DFA41A6" w:rsidR="009C7D9E" w:rsidRPr="0010696C" w:rsidRDefault="006E391B" w:rsidP="006F6DE5">
      <w:pPr>
        <w:pStyle w:val="Heading1"/>
        <w:rPr>
          <w:rFonts w:cs="Times New Roman"/>
          <w:szCs w:val="24"/>
          <w:lang w:val="en-GB"/>
        </w:rPr>
      </w:pPr>
      <w:r w:rsidRPr="0010696C">
        <w:rPr>
          <w:rFonts w:cs="Times New Roman"/>
          <w:szCs w:val="24"/>
          <w:lang w:val="en-GB"/>
        </w:rPr>
        <w:lastRenderedPageBreak/>
        <w:t>The strike-out application</w:t>
      </w:r>
    </w:p>
    <w:p w14:paraId="5737E98D" w14:textId="1FB116D6" w:rsidR="001F5769" w:rsidRPr="0010696C" w:rsidRDefault="00FF0332" w:rsidP="00A977B5">
      <w:pPr>
        <w:pStyle w:val="Level1"/>
        <w:rPr>
          <w:szCs w:val="24"/>
          <w:lang w:val="en-GB"/>
        </w:rPr>
      </w:pPr>
      <w:r w:rsidRPr="0010696C">
        <w:rPr>
          <w:szCs w:val="24"/>
          <w:lang w:val="en-GB"/>
        </w:rPr>
        <w:t>Ampli</w:t>
      </w:r>
      <w:r w:rsidR="00026EE2" w:rsidRPr="0010696C">
        <w:rPr>
          <w:szCs w:val="24"/>
          <w:lang w:val="en-GB"/>
        </w:rPr>
        <w:t>fin filed a notice of opposition</w:t>
      </w:r>
      <w:r w:rsidR="00C1479F" w:rsidRPr="0010696C">
        <w:rPr>
          <w:szCs w:val="24"/>
          <w:lang w:val="en-GB"/>
        </w:rPr>
        <w:t>.  However, in an unusual move, Amplifin</w:t>
      </w:r>
      <w:r w:rsidR="00026EE2" w:rsidRPr="0010696C">
        <w:rPr>
          <w:szCs w:val="24"/>
          <w:lang w:val="en-GB"/>
        </w:rPr>
        <w:t xml:space="preserve"> then filed a</w:t>
      </w:r>
      <w:r w:rsidR="00407CF4" w:rsidRPr="0010696C">
        <w:rPr>
          <w:szCs w:val="24"/>
          <w:lang w:val="en-GB"/>
        </w:rPr>
        <w:t xml:space="preserve">n affidavit in support of the relief sought by the Applicants.  </w:t>
      </w:r>
      <w:r w:rsidR="00BF6825">
        <w:rPr>
          <w:szCs w:val="24"/>
          <w:lang w:val="en-GB"/>
        </w:rPr>
        <w:t xml:space="preserve"> This prompted </w:t>
      </w:r>
      <w:r w:rsidR="00FF3F35" w:rsidRPr="0010696C">
        <w:rPr>
          <w:szCs w:val="24"/>
          <w:lang w:val="en-GB"/>
        </w:rPr>
        <w:t xml:space="preserve">an application </w:t>
      </w:r>
      <w:r w:rsidR="00A95B81">
        <w:rPr>
          <w:szCs w:val="24"/>
          <w:lang w:val="en-GB"/>
        </w:rPr>
        <w:t xml:space="preserve">by Capitec </w:t>
      </w:r>
      <w:r w:rsidR="00FF3F35" w:rsidRPr="0010696C">
        <w:rPr>
          <w:szCs w:val="24"/>
          <w:lang w:val="en-GB"/>
        </w:rPr>
        <w:t>in terms of Rule</w:t>
      </w:r>
      <w:r w:rsidR="00C20E08" w:rsidRPr="0010696C">
        <w:rPr>
          <w:szCs w:val="24"/>
          <w:lang w:val="en-GB"/>
        </w:rPr>
        <w:t> </w:t>
      </w:r>
      <w:r w:rsidR="00FF3F35" w:rsidRPr="0010696C">
        <w:rPr>
          <w:szCs w:val="24"/>
          <w:lang w:val="en-GB"/>
        </w:rPr>
        <w:t xml:space="preserve">6(15) to strike out </w:t>
      </w:r>
      <w:r w:rsidR="00245E89" w:rsidRPr="0010696C">
        <w:rPr>
          <w:szCs w:val="24"/>
          <w:lang w:val="en-GB"/>
        </w:rPr>
        <w:t>th</w:t>
      </w:r>
      <w:r w:rsidR="00A95B81">
        <w:rPr>
          <w:szCs w:val="24"/>
          <w:lang w:val="en-GB"/>
        </w:rPr>
        <w:t>e</w:t>
      </w:r>
      <w:r w:rsidR="00FF3F35" w:rsidRPr="0010696C">
        <w:rPr>
          <w:szCs w:val="24"/>
          <w:lang w:val="en-GB"/>
        </w:rPr>
        <w:t xml:space="preserve"> supporting affidavit.</w:t>
      </w:r>
      <w:r w:rsidR="00245E89" w:rsidRPr="0010696C">
        <w:rPr>
          <w:szCs w:val="24"/>
          <w:lang w:val="en-GB"/>
        </w:rPr>
        <w:t xml:space="preserve"> </w:t>
      </w:r>
    </w:p>
    <w:p w14:paraId="5125CEE2" w14:textId="6A8B9992" w:rsidR="00FF3F35" w:rsidRPr="0010696C" w:rsidRDefault="00245E89" w:rsidP="00A977B5">
      <w:pPr>
        <w:pStyle w:val="Level1"/>
        <w:rPr>
          <w:szCs w:val="24"/>
          <w:lang w:val="en-GB"/>
        </w:rPr>
      </w:pPr>
      <w:r w:rsidRPr="0010696C">
        <w:rPr>
          <w:szCs w:val="24"/>
          <w:lang w:val="en-GB"/>
        </w:rPr>
        <w:t xml:space="preserve">The affidavit </w:t>
      </w:r>
      <w:r w:rsidR="001F5769" w:rsidRPr="0010696C">
        <w:rPr>
          <w:szCs w:val="24"/>
          <w:lang w:val="en-GB"/>
        </w:rPr>
        <w:t xml:space="preserve">filed by Amplifin </w:t>
      </w:r>
      <w:r w:rsidR="00FF3F35" w:rsidRPr="0010696C">
        <w:rPr>
          <w:szCs w:val="24"/>
          <w:lang w:val="en-GB"/>
        </w:rPr>
        <w:t xml:space="preserve">repeatedly </w:t>
      </w:r>
      <w:r w:rsidR="008C7ABD" w:rsidRPr="0010696C">
        <w:rPr>
          <w:szCs w:val="24"/>
          <w:lang w:val="en-GB"/>
        </w:rPr>
        <w:t xml:space="preserve">explains that it is filed </w:t>
      </w:r>
      <w:r w:rsidR="003C6D76">
        <w:rPr>
          <w:szCs w:val="24"/>
          <w:lang w:val="en-GB"/>
        </w:rPr>
        <w:t>i</w:t>
      </w:r>
      <w:r w:rsidR="008C7ABD" w:rsidRPr="0010696C">
        <w:rPr>
          <w:szCs w:val="24"/>
          <w:lang w:val="en-GB"/>
        </w:rPr>
        <w:t xml:space="preserve">n support of the </w:t>
      </w:r>
      <w:r w:rsidR="007A45D8" w:rsidRPr="0010696C">
        <w:rPr>
          <w:szCs w:val="24"/>
          <w:lang w:val="en-GB"/>
        </w:rPr>
        <w:t xml:space="preserve">Applicants’ </w:t>
      </w:r>
      <w:r w:rsidR="00FF3F35" w:rsidRPr="0010696C">
        <w:rPr>
          <w:szCs w:val="24"/>
          <w:lang w:val="en-GB"/>
        </w:rPr>
        <w:t>application</w:t>
      </w:r>
      <w:r w:rsidR="008C7ABD" w:rsidRPr="0010696C">
        <w:rPr>
          <w:szCs w:val="24"/>
          <w:lang w:val="en-GB"/>
        </w:rPr>
        <w:t xml:space="preserve"> and </w:t>
      </w:r>
      <w:r w:rsidR="00FF3F35" w:rsidRPr="0010696C">
        <w:rPr>
          <w:szCs w:val="24"/>
          <w:lang w:val="en-GB"/>
        </w:rPr>
        <w:t xml:space="preserve">Amplifin </w:t>
      </w:r>
      <w:r w:rsidR="007877D9" w:rsidRPr="0010696C">
        <w:rPr>
          <w:szCs w:val="24"/>
          <w:lang w:val="en-GB"/>
        </w:rPr>
        <w:t xml:space="preserve">even </w:t>
      </w:r>
      <w:r w:rsidR="00FF3F35" w:rsidRPr="0010696C">
        <w:rPr>
          <w:szCs w:val="24"/>
          <w:lang w:val="en-GB"/>
        </w:rPr>
        <w:t>asks for costs against</w:t>
      </w:r>
      <w:r w:rsidR="008C7ABD" w:rsidRPr="0010696C">
        <w:rPr>
          <w:szCs w:val="24"/>
          <w:lang w:val="en-GB"/>
        </w:rPr>
        <w:t xml:space="preserve"> </w:t>
      </w:r>
      <w:r w:rsidR="00FF3F35" w:rsidRPr="0010696C">
        <w:rPr>
          <w:szCs w:val="24"/>
          <w:lang w:val="en-GB"/>
        </w:rPr>
        <w:t>Capitec.</w:t>
      </w:r>
    </w:p>
    <w:p w14:paraId="31C97849" w14:textId="2818F27C" w:rsidR="00485E50" w:rsidRPr="0010696C" w:rsidRDefault="00485E50" w:rsidP="00A977B5">
      <w:pPr>
        <w:pStyle w:val="Level1"/>
        <w:rPr>
          <w:szCs w:val="24"/>
          <w:lang w:val="en-GB"/>
        </w:rPr>
      </w:pPr>
      <w:r w:rsidRPr="0010696C">
        <w:rPr>
          <w:szCs w:val="24"/>
          <w:lang w:val="en-GB"/>
        </w:rPr>
        <w:t xml:space="preserve">This kind of </w:t>
      </w:r>
      <w:r w:rsidR="00F32FD7" w:rsidRPr="0010696C">
        <w:rPr>
          <w:szCs w:val="24"/>
          <w:lang w:val="en-GB"/>
        </w:rPr>
        <w:t>“</w:t>
      </w:r>
      <w:r w:rsidR="00F97599" w:rsidRPr="0010696C">
        <w:rPr>
          <w:i/>
          <w:iCs/>
          <w:szCs w:val="24"/>
          <w:lang w:val="en-GB"/>
        </w:rPr>
        <w:t>supporting</w:t>
      </w:r>
      <w:r w:rsidR="00F32FD7" w:rsidRPr="0010696C">
        <w:rPr>
          <w:szCs w:val="24"/>
          <w:lang w:val="en-GB"/>
        </w:rPr>
        <w:t>”</w:t>
      </w:r>
      <w:r w:rsidR="00F97599" w:rsidRPr="0010696C">
        <w:rPr>
          <w:szCs w:val="24"/>
          <w:lang w:val="en-GB"/>
        </w:rPr>
        <w:t xml:space="preserve"> affidavit filed by a </w:t>
      </w:r>
      <w:r w:rsidR="007877D9" w:rsidRPr="0010696C">
        <w:rPr>
          <w:szCs w:val="24"/>
          <w:lang w:val="en-GB"/>
        </w:rPr>
        <w:t>r</w:t>
      </w:r>
      <w:r w:rsidR="00F97599" w:rsidRPr="0010696C">
        <w:rPr>
          <w:szCs w:val="24"/>
          <w:lang w:val="en-GB"/>
        </w:rPr>
        <w:t xml:space="preserve">espondent has been struck out in other matters.  </w:t>
      </w:r>
      <w:r w:rsidR="00910DDF" w:rsidRPr="0010696C">
        <w:rPr>
          <w:szCs w:val="24"/>
          <w:lang w:val="en-GB"/>
        </w:rPr>
        <w:t>In this regard, Capitec</w:t>
      </w:r>
      <w:r w:rsidR="00913541" w:rsidRPr="0010696C">
        <w:rPr>
          <w:szCs w:val="24"/>
          <w:lang w:val="en-GB"/>
        </w:rPr>
        <w:t>’s</w:t>
      </w:r>
      <w:r w:rsidR="00910DDF" w:rsidRPr="0010696C">
        <w:rPr>
          <w:szCs w:val="24"/>
          <w:lang w:val="en-GB"/>
        </w:rPr>
        <w:t xml:space="preserve"> counsel refer</w:t>
      </w:r>
      <w:r w:rsidR="007877D9" w:rsidRPr="0010696C">
        <w:rPr>
          <w:szCs w:val="24"/>
          <w:lang w:val="en-GB"/>
        </w:rPr>
        <w:t>red me</w:t>
      </w:r>
      <w:r w:rsidR="00910DDF" w:rsidRPr="0010696C">
        <w:rPr>
          <w:szCs w:val="24"/>
          <w:lang w:val="en-GB"/>
        </w:rPr>
        <w:t xml:space="preserve"> to the following authorities in their heads of argument:</w:t>
      </w:r>
    </w:p>
    <w:p w14:paraId="0D77E848" w14:textId="77777777" w:rsidR="00F20FFB" w:rsidRDefault="00913541" w:rsidP="00F20FFB">
      <w:pPr>
        <w:pStyle w:val="Level1"/>
        <w:numPr>
          <w:ilvl w:val="1"/>
          <w:numId w:val="24"/>
        </w:numPr>
        <w:ind w:left="1560" w:hanging="840"/>
        <w:rPr>
          <w:szCs w:val="24"/>
          <w:lang w:val="en-GB"/>
        </w:rPr>
      </w:pPr>
      <w:r w:rsidRPr="0010696C">
        <w:rPr>
          <w:szCs w:val="24"/>
          <w:lang w:val="en-GB"/>
        </w:rPr>
        <w:t xml:space="preserve">In </w:t>
      </w:r>
      <w:r w:rsidR="00FF3F35" w:rsidRPr="0010696C">
        <w:rPr>
          <w:b/>
          <w:bCs/>
          <w:szCs w:val="24"/>
          <w:u w:val="single"/>
          <w:lang w:val="en-GB"/>
        </w:rPr>
        <w:t>Kruger v Aciel Geomatics (Pty) Ltd</w:t>
      </w:r>
      <w:r w:rsidR="00FF3F35" w:rsidRPr="0010696C">
        <w:rPr>
          <w:szCs w:val="24"/>
          <w:lang w:val="en-GB"/>
        </w:rPr>
        <w:t>,</w:t>
      </w:r>
      <w:r w:rsidR="00FF3F35" w:rsidRPr="0010696C">
        <w:rPr>
          <w:rStyle w:val="FootnoteReference"/>
          <w:szCs w:val="24"/>
          <w:lang w:val="en-GB"/>
        </w:rPr>
        <w:footnoteReference w:id="11"/>
      </w:r>
      <w:r w:rsidR="00FF3F35" w:rsidRPr="0010696C">
        <w:rPr>
          <w:szCs w:val="24"/>
          <w:lang w:val="en-GB"/>
        </w:rPr>
        <w:t xml:space="preserve"> the Labour Appeal Court held that </w:t>
      </w:r>
      <w:r w:rsidR="00332DC6" w:rsidRPr="0010696C">
        <w:rPr>
          <w:szCs w:val="24"/>
          <w:lang w:val="en-GB"/>
        </w:rPr>
        <w:t xml:space="preserve">once the </w:t>
      </w:r>
      <w:r w:rsidR="00004BBE" w:rsidRPr="0010696C">
        <w:rPr>
          <w:szCs w:val="24"/>
          <w:lang w:val="en-GB"/>
        </w:rPr>
        <w:t xml:space="preserve">respondent in that matter sought the relief asked by the </w:t>
      </w:r>
      <w:r w:rsidR="00E75A40" w:rsidRPr="0010696C">
        <w:rPr>
          <w:szCs w:val="24"/>
          <w:lang w:val="en-GB"/>
        </w:rPr>
        <w:t>applicants it was no longer placing evidence before the Court</w:t>
      </w:r>
      <w:r w:rsidR="00586F28" w:rsidRPr="0010696C">
        <w:rPr>
          <w:szCs w:val="24"/>
          <w:lang w:val="en-GB"/>
        </w:rPr>
        <w:t xml:space="preserve"> but it was making itself an applicant </w:t>
      </w:r>
      <w:r w:rsidR="00C47F34" w:rsidRPr="0010696C">
        <w:rPr>
          <w:szCs w:val="24"/>
          <w:lang w:val="en-GB"/>
        </w:rPr>
        <w:t xml:space="preserve">and </w:t>
      </w:r>
      <w:r w:rsidR="00586F28" w:rsidRPr="0010696C">
        <w:rPr>
          <w:szCs w:val="24"/>
          <w:lang w:val="en-GB"/>
        </w:rPr>
        <w:t xml:space="preserve">that </w:t>
      </w:r>
      <w:r w:rsidR="00F32FD7" w:rsidRPr="0010696C">
        <w:rPr>
          <w:szCs w:val="24"/>
          <w:lang w:val="en-GB"/>
        </w:rPr>
        <w:t>“</w:t>
      </w:r>
      <w:r w:rsidR="00FF3F35" w:rsidRPr="0010696C">
        <w:rPr>
          <w:i/>
          <w:iCs/>
          <w:szCs w:val="24"/>
          <w:lang w:val="en-GB"/>
        </w:rPr>
        <w:t>allowing a co-respondent to file answering papers in which it seeks the relief sought by an applicant while not seeking to be an applicant in the proceedings cannot and is not permissible nor is it open to a court to allow such procedure on any grounds</w:t>
      </w:r>
      <w:r w:rsidR="00F32FD7" w:rsidRPr="0010696C">
        <w:rPr>
          <w:szCs w:val="24"/>
          <w:lang w:val="en-GB"/>
        </w:rPr>
        <w:t>”</w:t>
      </w:r>
      <w:r w:rsidR="00FF3F35" w:rsidRPr="0010696C">
        <w:rPr>
          <w:szCs w:val="24"/>
          <w:lang w:val="en-GB"/>
        </w:rPr>
        <w:t>.</w:t>
      </w:r>
      <w:r w:rsidR="00FF3F35" w:rsidRPr="0010696C">
        <w:rPr>
          <w:rStyle w:val="FootnoteReference"/>
          <w:szCs w:val="24"/>
          <w:lang w:val="en-GB"/>
        </w:rPr>
        <w:footnoteReference w:id="12"/>
      </w:r>
      <w:r w:rsidR="00FF3F35" w:rsidRPr="0010696C">
        <w:rPr>
          <w:szCs w:val="24"/>
          <w:lang w:val="en-GB"/>
        </w:rPr>
        <w:t xml:space="preserve">  The Court </w:t>
      </w:r>
      <w:r w:rsidR="00D72C80" w:rsidRPr="0010696C">
        <w:rPr>
          <w:szCs w:val="24"/>
          <w:lang w:val="en-GB"/>
        </w:rPr>
        <w:t xml:space="preserve">in </w:t>
      </w:r>
      <w:r w:rsidR="00D72C80" w:rsidRPr="0010696C">
        <w:rPr>
          <w:b/>
          <w:bCs/>
          <w:szCs w:val="24"/>
          <w:u w:val="single"/>
          <w:lang w:val="en-GB"/>
        </w:rPr>
        <w:t>Kruger</w:t>
      </w:r>
      <w:r w:rsidR="00D72C80" w:rsidRPr="0010696C">
        <w:rPr>
          <w:szCs w:val="24"/>
          <w:lang w:val="en-GB"/>
        </w:rPr>
        <w:t xml:space="preserve"> </w:t>
      </w:r>
      <w:r w:rsidR="00FF3F35" w:rsidRPr="0010696C">
        <w:rPr>
          <w:szCs w:val="24"/>
          <w:lang w:val="en-GB"/>
        </w:rPr>
        <w:t>pointed out that th</w:t>
      </w:r>
      <w:r w:rsidR="00D72C80" w:rsidRPr="0010696C">
        <w:rPr>
          <w:szCs w:val="24"/>
          <w:lang w:val="en-GB"/>
        </w:rPr>
        <w:t>e filing of such an affidavit</w:t>
      </w:r>
      <w:r w:rsidR="00FF3F35" w:rsidRPr="0010696C">
        <w:rPr>
          <w:szCs w:val="24"/>
          <w:lang w:val="en-GB"/>
        </w:rPr>
        <w:t xml:space="preserve"> prejudiced the respondent by placing it </w:t>
      </w:r>
      <w:r w:rsidR="00F32FD7" w:rsidRPr="0010696C">
        <w:rPr>
          <w:szCs w:val="24"/>
          <w:lang w:val="en-GB"/>
        </w:rPr>
        <w:t>“</w:t>
      </w:r>
      <w:r w:rsidR="00FF3F35" w:rsidRPr="0010696C">
        <w:rPr>
          <w:i/>
          <w:iCs/>
          <w:szCs w:val="24"/>
          <w:lang w:val="en-GB"/>
        </w:rPr>
        <w:t>in a position where it had to conduct a defence on two fronts: one against the applicants and one against a co-respondent</w:t>
      </w:r>
      <w:r w:rsidR="00F32FD7" w:rsidRPr="0010696C">
        <w:rPr>
          <w:szCs w:val="24"/>
          <w:lang w:val="en-GB"/>
        </w:rPr>
        <w:t>”</w:t>
      </w:r>
      <w:r w:rsidR="00A9023D" w:rsidRPr="0010696C">
        <w:rPr>
          <w:szCs w:val="24"/>
          <w:lang w:val="en-GB"/>
        </w:rPr>
        <w:t xml:space="preserve">.  It further stated that the </w:t>
      </w:r>
      <w:r w:rsidR="00FF3F35" w:rsidRPr="0010696C">
        <w:rPr>
          <w:szCs w:val="24"/>
          <w:lang w:val="en-GB"/>
        </w:rPr>
        <w:t xml:space="preserve">applicants and the supporting respondent </w:t>
      </w:r>
      <w:r w:rsidR="00F32FD7" w:rsidRPr="0010696C">
        <w:rPr>
          <w:szCs w:val="24"/>
          <w:lang w:val="en-GB"/>
        </w:rPr>
        <w:t>“</w:t>
      </w:r>
      <w:r w:rsidR="00FF3F35" w:rsidRPr="0010696C">
        <w:rPr>
          <w:i/>
          <w:iCs/>
          <w:szCs w:val="24"/>
          <w:lang w:val="en-GB"/>
        </w:rPr>
        <w:t xml:space="preserve">effectively formed a tag-team </w:t>
      </w:r>
      <w:r w:rsidR="00FF3F35" w:rsidRPr="0010696C">
        <w:rPr>
          <w:i/>
          <w:iCs/>
          <w:szCs w:val="24"/>
          <w:lang w:val="en-GB"/>
        </w:rPr>
        <w:lastRenderedPageBreak/>
        <w:t>against the respondent</w:t>
      </w:r>
      <w:r w:rsidR="00F32FD7" w:rsidRPr="0010696C">
        <w:rPr>
          <w:szCs w:val="24"/>
          <w:lang w:val="en-GB"/>
        </w:rPr>
        <w:t>”</w:t>
      </w:r>
      <w:r w:rsidR="00FF3F35" w:rsidRPr="0010696C">
        <w:rPr>
          <w:szCs w:val="24"/>
          <w:lang w:val="en-GB"/>
        </w:rPr>
        <w:t>.</w:t>
      </w:r>
      <w:r w:rsidR="00FF3F35" w:rsidRPr="0010696C">
        <w:rPr>
          <w:rStyle w:val="FootnoteReference"/>
          <w:szCs w:val="24"/>
          <w:lang w:val="en-GB"/>
        </w:rPr>
        <w:footnoteReference w:id="13"/>
      </w:r>
      <w:r w:rsidR="00FF3F35" w:rsidRPr="0010696C">
        <w:rPr>
          <w:szCs w:val="24"/>
          <w:lang w:val="en-GB"/>
        </w:rPr>
        <w:t xml:space="preserve">  The Court held that the answering affidavit </w:t>
      </w:r>
      <w:r w:rsidR="00F32FD7" w:rsidRPr="0010696C">
        <w:rPr>
          <w:szCs w:val="24"/>
          <w:lang w:val="en-GB"/>
        </w:rPr>
        <w:t>“</w:t>
      </w:r>
      <w:r w:rsidR="00FF3F35" w:rsidRPr="0010696C">
        <w:rPr>
          <w:i/>
          <w:iCs/>
          <w:szCs w:val="24"/>
          <w:lang w:val="en-GB"/>
        </w:rPr>
        <w:t>should have been struck off</w:t>
      </w:r>
      <w:r w:rsidR="00F32FD7" w:rsidRPr="0010696C">
        <w:rPr>
          <w:szCs w:val="24"/>
          <w:lang w:val="en-GB"/>
        </w:rPr>
        <w:t>”</w:t>
      </w:r>
      <w:r w:rsidR="00FF3F35" w:rsidRPr="0010696C">
        <w:rPr>
          <w:szCs w:val="24"/>
          <w:lang w:val="en-GB"/>
        </w:rPr>
        <w:t>.</w:t>
      </w:r>
      <w:r w:rsidR="00FF3F35" w:rsidRPr="0010696C">
        <w:rPr>
          <w:rStyle w:val="FootnoteReference"/>
          <w:szCs w:val="24"/>
          <w:lang w:val="en-GB"/>
        </w:rPr>
        <w:footnoteReference w:id="14"/>
      </w:r>
    </w:p>
    <w:p w14:paraId="25B81D61" w14:textId="77777777" w:rsidR="00F20FFB" w:rsidRDefault="00FF3F35" w:rsidP="00F20FFB">
      <w:pPr>
        <w:pStyle w:val="Level1"/>
        <w:numPr>
          <w:ilvl w:val="1"/>
          <w:numId w:val="24"/>
        </w:numPr>
        <w:ind w:left="1560" w:hanging="840"/>
        <w:rPr>
          <w:szCs w:val="24"/>
          <w:lang w:val="en-GB"/>
        </w:rPr>
      </w:pPr>
      <w:r w:rsidRPr="00F20FFB">
        <w:rPr>
          <w:b/>
          <w:bCs/>
          <w:szCs w:val="24"/>
          <w:u w:val="single"/>
          <w:lang w:val="en-GB"/>
        </w:rPr>
        <w:t>Aciel Geomatics</w:t>
      </w:r>
      <w:r w:rsidRPr="00F20FFB">
        <w:rPr>
          <w:szCs w:val="24"/>
          <w:lang w:val="en-GB"/>
        </w:rPr>
        <w:t xml:space="preserve"> was followed by a Full Court of the Gauteng High Court in </w:t>
      </w:r>
      <w:r w:rsidRPr="00F20FFB">
        <w:rPr>
          <w:b/>
          <w:bCs/>
          <w:szCs w:val="24"/>
          <w:u w:val="single"/>
          <w:lang w:val="en-GB"/>
        </w:rPr>
        <w:t>Minerals Council of South Africa</w:t>
      </w:r>
      <w:r w:rsidRPr="00F20FFB">
        <w:rPr>
          <w:i/>
          <w:iCs/>
          <w:szCs w:val="24"/>
          <w:lang w:val="en-GB"/>
        </w:rPr>
        <w:t>.</w:t>
      </w:r>
      <w:r w:rsidRPr="0010696C">
        <w:rPr>
          <w:rStyle w:val="FootnoteReference"/>
          <w:szCs w:val="24"/>
          <w:lang w:val="en-GB"/>
        </w:rPr>
        <w:footnoteReference w:id="15"/>
      </w:r>
      <w:r w:rsidRPr="00F20FFB">
        <w:rPr>
          <w:i/>
          <w:iCs/>
          <w:szCs w:val="24"/>
          <w:lang w:val="en-GB"/>
        </w:rPr>
        <w:t xml:space="preserve"> </w:t>
      </w:r>
      <w:r w:rsidR="00C20E08" w:rsidRPr="00F20FFB">
        <w:rPr>
          <w:i/>
          <w:iCs/>
          <w:szCs w:val="24"/>
          <w:lang w:val="en-GB"/>
        </w:rPr>
        <w:t xml:space="preserve"> </w:t>
      </w:r>
      <w:r w:rsidR="003E664D" w:rsidRPr="00F20FFB">
        <w:rPr>
          <w:szCs w:val="24"/>
          <w:lang w:val="en-GB"/>
        </w:rPr>
        <w:t>In this case, the</w:t>
      </w:r>
      <w:r w:rsidRPr="00F20FFB">
        <w:rPr>
          <w:szCs w:val="24"/>
          <w:lang w:val="en-GB"/>
        </w:rPr>
        <w:t xml:space="preserve"> Court held that </w:t>
      </w:r>
      <w:r w:rsidR="00F32FD7" w:rsidRPr="00F20FFB">
        <w:rPr>
          <w:i/>
          <w:iCs/>
          <w:szCs w:val="24"/>
          <w:lang w:val="en-GB"/>
        </w:rPr>
        <w:t>“</w:t>
      </w:r>
      <w:r w:rsidRPr="00F20FFB">
        <w:rPr>
          <w:i/>
          <w:iCs/>
          <w:szCs w:val="24"/>
          <w:lang w:val="en-GB"/>
        </w:rPr>
        <w:t>it is not open to a co-respondent to claim relief unless it enters the litigation as an applicant and seeks that relief on notice of motion</w:t>
      </w:r>
      <w:r w:rsidR="00F32FD7" w:rsidRPr="00F20FFB">
        <w:rPr>
          <w:szCs w:val="24"/>
          <w:lang w:val="en-GB"/>
        </w:rPr>
        <w:t>”</w:t>
      </w:r>
      <w:r w:rsidRPr="00F20FFB">
        <w:rPr>
          <w:szCs w:val="24"/>
          <w:lang w:val="en-GB"/>
        </w:rPr>
        <w:t>.</w:t>
      </w:r>
      <w:r w:rsidRPr="0010696C">
        <w:rPr>
          <w:rStyle w:val="FootnoteReference"/>
          <w:szCs w:val="24"/>
          <w:lang w:val="en-GB"/>
        </w:rPr>
        <w:footnoteReference w:id="16"/>
      </w:r>
    </w:p>
    <w:p w14:paraId="2107F687" w14:textId="34FB3F4C" w:rsidR="00FF3F35" w:rsidRPr="00F20FFB" w:rsidRDefault="000C53BE" w:rsidP="00F20FFB">
      <w:pPr>
        <w:pStyle w:val="Level1"/>
        <w:numPr>
          <w:ilvl w:val="1"/>
          <w:numId w:val="24"/>
        </w:numPr>
        <w:ind w:left="1560" w:hanging="840"/>
        <w:rPr>
          <w:szCs w:val="24"/>
          <w:lang w:val="en-GB"/>
        </w:rPr>
      </w:pPr>
      <w:r w:rsidRPr="00F20FFB">
        <w:rPr>
          <w:szCs w:val="24"/>
          <w:lang w:val="en-GB"/>
        </w:rPr>
        <w:t xml:space="preserve">The same </w:t>
      </w:r>
      <w:r w:rsidR="008F6F3D" w:rsidRPr="00F20FFB">
        <w:rPr>
          <w:szCs w:val="24"/>
          <w:lang w:val="en-GB"/>
        </w:rPr>
        <w:t xml:space="preserve">approach was adopted in </w:t>
      </w:r>
      <w:r w:rsidR="00FF3F35" w:rsidRPr="00F20FFB">
        <w:rPr>
          <w:b/>
          <w:bCs/>
          <w:szCs w:val="24"/>
          <w:u w:val="single"/>
          <w:lang w:val="en-GB"/>
        </w:rPr>
        <w:t>Odendaal v MEC for Cooperative Governance and Traditional Affairs EC</w:t>
      </w:r>
      <w:r w:rsidR="00FF3F35" w:rsidRPr="00F20FFB">
        <w:rPr>
          <w:szCs w:val="24"/>
          <w:lang w:val="en-GB"/>
        </w:rPr>
        <w:t>,</w:t>
      </w:r>
      <w:r w:rsidR="00FF3F35" w:rsidRPr="0010696C">
        <w:rPr>
          <w:rStyle w:val="FootnoteReference"/>
          <w:szCs w:val="24"/>
          <w:lang w:val="en-GB"/>
        </w:rPr>
        <w:footnoteReference w:id="17"/>
      </w:r>
      <w:r w:rsidR="00FF3F35" w:rsidRPr="00F20FFB">
        <w:rPr>
          <w:szCs w:val="24"/>
          <w:lang w:val="en-GB"/>
        </w:rPr>
        <w:t xml:space="preserve"> </w:t>
      </w:r>
      <w:r w:rsidR="008F6F3D" w:rsidRPr="00F20FFB">
        <w:rPr>
          <w:szCs w:val="24"/>
          <w:lang w:val="en-GB"/>
        </w:rPr>
        <w:t xml:space="preserve">where </w:t>
      </w:r>
      <w:r w:rsidR="00FF3F35" w:rsidRPr="00F20FFB">
        <w:rPr>
          <w:szCs w:val="24"/>
          <w:lang w:val="en-GB"/>
        </w:rPr>
        <w:t>Potgieter</w:t>
      </w:r>
      <w:r w:rsidR="000112B3" w:rsidRPr="00F20FFB">
        <w:rPr>
          <w:szCs w:val="24"/>
          <w:lang w:val="en-GB"/>
        </w:rPr>
        <w:t> </w:t>
      </w:r>
      <w:r w:rsidR="00FF3F35" w:rsidRPr="00F20FFB">
        <w:rPr>
          <w:szCs w:val="24"/>
          <w:lang w:val="en-GB"/>
        </w:rPr>
        <w:t>J</w:t>
      </w:r>
      <w:r w:rsidR="008F6F3D" w:rsidRPr="00F20FFB">
        <w:rPr>
          <w:szCs w:val="24"/>
          <w:lang w:val="en-GB"/>
        </w:rPr>
        <w:t xml:space="preserve"> held as follows</w:t>
      </w:r>
      <w:r w:rsidR="00175527" w:rsidRPr="00F20FFB">
        <w:rPr>
          <w:szCs w:val="24"/>
          <w:lang w:val="en-GB"/>
        </w:rPr>
        <w:t>:</w:t>
      </w:r>
    </w:p>
    <w:p w14:paraId="49895D9A" w14:textId="6C0E68C1" w:rsidR="00FF3F35" w:rsidRPr="0010696C" w:rsidRDefault="00F32FD7" w:rsidP="00175527">
      <w:pPr>
        <w:pStyle w:val="Quote"/>
        <w:ind w:left="2268"/>
        <w:rPr>
          <w:szCs w:val="24"/>
          <w:lang w:val="en-GB"/>
        </w:rPr>
      </w:pPr>
      <w:r w:rsidRPr="0010696C">
        <w:rPr>
          <w:szCs w:val="24"/>
          <w:lang w:val="en-GB"/>
        </w:rPr>
        <w:t>“</w:t>
      </w:r>
      <w:r w:rsidR="00FF3F35" w:rsidRPr="0010696C">
        <w:rPr>
          <w:szCs w:val="24"/>
          <w:lang w:val="en-GB"/>
        </w:rPr>
        <w:t xml:space="preserve">… I am in respectful agreement with the conclusion of the Labour Appeal Court in </w:t>
      </w:r>
      <w:r w:rsidR="00FF3F35" w:rsidRPr="0010696C">
        <w:rPr>
          <w:i/>
          <w:szCs w:val="24"/>
          <w:lang w:val="en-GB"/>
        </w:rPr>
        <w:t>Aciel Geomatics</w:t>
      </w:r>
      <w:r w:rsidR="00FF3F35" w:rsidRPr="0010696C">
        <w:rPr>
          <w:szCs w:val="24"/>
          <w:lang w:val="en-GB"/>
        </w:rPr>
        <w:t xml:space="preserve"> that it is impermissible for a co- respondent to file answering papers which seek the relief sought by the applicant while not taking steps itself to be joined as an applicant in the proceedings. This would clearly prejudice the opposing respondent who must now contest the application on two fronts, name in respect of the applicant as well as that of the supporting respondent.</w:t>
      </w:r>
      <w:r w:rsidRPr="0010696C">
        <w:rPr>
          <w:szCs w:val="24"/>
          <w:lang w:val="en-GB"/>
        </w:rPr>
        <w:t>”</w:t>
      </w:r>
      <w:r w:rsidR="00FF3F35" w:rsidRPr="0010696C">
        <w:rPr>
          <w:rStyle w:val="FootnoteReference"/>
          <w:szCs w:val="24"/>
          <w:lang w:val="en-GB"/>
        </w:rPr>
        <w:footnoteReference w:id="18"/>
      </w:r>
    </w:p>
    <w:p w14:paraId="03B73C64" w14:textId="023BAA7E" w:rsidR="00BA2C64" w:rsidRPr="0010696C" w:rsidRDefault="00BA2C64" w:rsidP="00FF3F35">
      <w:pPr>
        <w:pStyle w:val="Level1"/>
        <w:rPr>
          <w:szCs w:val="24"/>
          <w:lang w:val="en-GB"/>
        </w:rPr>
      </w:pPr>
      <w:r w:rsidRPr="0010696C">
        <w:rPr>
          <w:szCs w:val="24"/>
          <w:lang w:val="en-GB"/>
        </w:rPr>
        <w:t xml:space="preserve">To the above I </w:t>
      </w:r>
      <w:r w:rsidR="00C338B2" w:rsidRPr="0010696C">
        <w:rPr>
          <w:szCs w:val="24"/>
          <w:lang w:val="en-GB"/>
        </w:rPr>
        <w:t xml:space="preserve">want to add that if a respondent could </w:t>
      </w:r>
      <w:r w:rsidR="00F32FD7" w:rsidRPr="0010696C">
        <w:rPr>
          <w:szCs w:val="24"/>
          <w:lang w:val="en-GB"/>
        </w:rPr>
        <w:t>“</w:t>
      </w:r>
      <w:r w:rsidR="00C338B2" w:rsidRPr="0010696C">
        <w:rPr>
          <w:i/>
          <w:iCs/>
          <w:szCs w:val="24"/>
          <w:lang w:val="en-GB"/>
        </w:rPr>
        <w:t>support</w:t>
      </w:r>
      <w:r w:rsidR="00F32FD7" w:rsidRPr="0010696C">
        <w:rPr>
          <w:szCs w:val="24"/>
          <w:lang w:val="en-GB"/>
        </w:rPr>
        <w:t>”</w:t>
      </w:r>
      <w:r w:rsidR="00C338B2" w:rsidRPr="0010696C">
        <w:rPr>
          <w:szCs w:val="24"/>
          <w:lang w:val="en-GB"/>
        </w:rPr>
        <w:t xml:space="preserve"> an applicant</w:t>
      </w:r>
      <w:r w:rsidR="003404F1" w:rsidRPr="0010696C">
        <w:rPr>
          <w:szCs w:val="24"/>
          <w:lang w:val="en-GB"/>
        </w:rPr>
        <w:t xml:space="preserve">, </w:t>
      </w:r>
      <w:r w:rsidR="00F30B1B" w:rsidRPr="0010696C">
        <w:rPr>
          <w:szCs w:val="24"/>
          <w:lang w:val="en-GB"/>
        </w:rPr>
        <w:t>it would wre</w:t>
      </w:r>
      <w:r w:rsidR="000112B3" w:rsidRPr="0010696C">
        <w:rPr>
          <w:szCs w:val="24"/>
          <w:lang w:val="en-GB"/>
        </w:rPr>
        <w:t>a</w:t>
      </w:r>
      <w:r w:rsidR="00F30B1B" w:rsidRPr="0010696C">
        <w:rPr>
          <w:szCs w:val="24"/>
          <w:lang w:val="en-GB"/>
        </w:rPr>
        <w:t xml:space="preserve">k havoc with the </w:t>
      </w:r>
      <w:r w:rsidR="00617926" w:rsidRPr="0010696C">
        <w:rPr>
          <w:szCs w:val="24"/>
          <w:lang w:val="en-GB"/>
        </w:rPr>
        <w:t xml:space="preserve">established </w:t>
      </w:r>
      <w:r w:rsidR="003404F1" w:rsidRPr="0010696C">
        <w:rPr>
          <w:szCs w:val="24"/>
          <w:lang w:val="en-GB"/>
        </w:rPr>
        <w:t xml:space="preserve">basis </w:t>
      </w:r>
      <w:r w:rsidR="00D1605E">
        <w:rPr>
          <w:szCs w:val="24"/>
          <w:lang w:val="en-GB"/>
        </w:rPr>
        <w:t xml:space="preserve">on </w:t>
      </w:r>
      <w:r w:rsidR="003404F1" w:rsidRPr="0010696C">
        <w:rPr>
          <w:szCs w:val="24"/>
          <w:lang w:val="en-GB"/>
        </w:rPr>
        <w:t>which</w:t>
      </w:r>
      <w:r w:rsidR="00F45C55" w:rsidRPr="0010696C">
        <w:rPr>
          <w:szCs w:val="24"/>
          <w:lang w:val="en-GB"/>
        </w:rPr>
        <w:t xml:space="preserve"> factual disputes</w:t>
      </w:r>
      <w:r w:rsidR="003404F1" w:rsidRPr="0010696C">
        <w:rPr>
          <w:szCs w:val="24"/>
          <w:lang w:val="en-GB"/>
        </w:rPr>
        <w:t xml:space="preserve"> </w:t>
      </w:r>
      <w:r w:rsidR="00712F0E">
        <w:rPr>
          <w:szCs w:val="24"/>
          <w:lang w:val="en-GB"/>
        </w:rPr>
        <w:t xml:space="preserve">in </w:t>
      </w:r>
      <w:r w:rsidR="00EC5C05" w:rsidRPr="0010696C">
        <w:rPr>
          <w:szCs w:val="24"/>
          <w:lang w:val="en-GB"/>
        </w:rPr>
        <w:t xml:space="preserve">motion proceedings are determined, </w:t>
      </w:r>
      <w:r w:rsidR="00EC5C05" w:rsidRPr="0010696C">
        <w:rPr>
          <w:b/>
          <w:bCs/>
          <w:szCs w:val="24"/>
          <w:u w:val="single"/>
          <w:lang w:val="en-GB"/>
        </w:rPr>
        <w:t>Pla</w:t>
      </w:r>
      <w:r w:rsidR="00F22864" w:rsidRPr="0010696C">
        <w:rPr>
          <w:b/>
          <w:bCs/>
          <w:szCs w:val="24"/>
          <w:u w:val="single"/>
          <w:lang w:val="en-GB"/>
        </w:rPr>
        <w:t>c</w:t>
      </w:r>
      <w:r w:rsidR="00EC5C05" w:rsidRPr="0010696C">
        <w:rPr>
          <w:b/>
          <w:bCs/>
          <w:szCs w:val="24"/>
          <w:u w:val="single"/>
          <w:lang w:val="en-GB"/>
        </w:rPr>
        <w:t>son Evans</w:t>
      </w:r>
      <w:r w:rsidR="00EC5C05" w:rsidRPr="0010696C">
        <w:rPr>
          <w:szCs w:val="24"/>
          <w:lang w:val="en-GB"/>
        </w:rPr>
        <w:t xml:space="preserve">, in particular. </w:t>
      </w:r>
      <w:r w:rsidR="00AD563F" w:rsidRPr="0010696C">
        <w:rPr>
          <w:szCs w:val="24"/>
          <w:lang w:val="en-GB"/>
        </w:rPr>
        <w:t xml:space="preserve"> </w:t>
      </w:r>
      <w:r w:rsidR="00757919" w:rsidRPr="0010696C">
        <w:rPr>
          <w:szCs w:val="24"/>
          <w:lang w:val="en-GB"/>
        </w:rPr>
        <w:t xml:space="preserve">Even in applications for interim relief, such as the present one, where </w:t>
      </w:r>
      <w:r w:rsidR="00757919" w:rsidRPr="0010696C">
        <w:rPr>
          <w:b/>
          <w:bCs/>
          <w:szCs w:val="24"/>
          <w:u w:val="single"/>
          <w:lang w:val="en-GB"/>
        </w:rPr>
        <w:t>Plascon Evans</w:t>
      </w:r>
      <w:r w:rsidR="00757919" w:rsidRPr="0010696C">
        <w:rPr>
          <w:szCs w:val="24"/>
          <w:lang w:val="en-GB"/>
        </w:rPr>
        <w:t xml:space="preserve"> does not apply, the fundamental </w:t>
      </w:r>
      <w:r w:rsidR="0051636B" w:rsidRPr="0010696C">
        <w:rPr>
          <w:szCs w:val="24"/>
          <w:lang w:val="en-GB"/>
        </w:rPr>
        <w:t xml:space="preserve">difficulty with </w:t>
      </w:r>
      <w:r w:rsidR="00F45C55" w:rsidRPr="0010696C">
        <w:rPr>
          <w:szCs w:val="24"/>
          <w:lang w:val="en-GB"/>
        </w:rPr>
        <w:t>considering</w:t>
      </w:r>
      <w:r w:rsidR="00457FD6" w:rsidRPr="0010696C">
        <w:rPr>
          <w:szCs w:val="24"/>
          <w:lang w:val="en-GB"/>
        </w:rPr>
        <w:t xml:space="preserve"> a</w:t>
      </w:r>
      <w:r w:rsidR="00A76161" w:rsidRPr="0010696C">
        <w:rPr>
          <w:szCs w:val="24"/>
          <w:lang w:val="en-GB"/>
        </w:rPr>
        <w:t xml:space="preserve"> </w:t>
      </w:r>
      <w:r w:rsidR="0051636B" w:rsidRPr="0010696C">
        <w:rPr>
          <w:szCs w:val="24"/>
          <w:lang w:val="en-GB"/>
        </w:rPr>
        <w:t xml:space="preserve">supporting answering affidavit is that </w:t>
      </w:r>
      <w:r w:rsidR="00A76161" w:rsidRPr="0010696C">
        <w:rPr>
          <w:szCs w:val="24"/>
          <w:lang w:val="en-GB"/>
        </w:rPr>
        <w:t xml:space="preserve">it </w:t>
      </w:r>
      <w:r w:rsidR="00A76161" w:rsidRPr="0010696C">
        <w:rPr>
          <w:szCs w:val="24"/>
          <w:lang w:val="en-GB"/>
        </w:rPr>
        <w:lastRenderedPageBreak/>
        <w:t xml:space="preserve">allows </w:t>
      </w:r>
      <w:r w:rsidR="0051636B" w:rsidRPr="0010696C">
        <w:rPr>
          <w:szCs w:val="24"/>
          <w:lang w:val="en-GB"/>
        </w:rPr>
        <w:t xml:space="preserve">an applicant to establish </w:t>
      </w:r>
      <w:r w:rsidR="00A76161" w:rsidRPr="0010696C">
        <w:rPr>
          <w:szCs w:val="24"/>
          <w:lang w:val="en-GB"/>
        </w:rPr>
        <w:t>its</w:t>
      </w:r>
      <w:r w:rsidR="0051636B" w:rsidRPr="0010696C">
        <w:rPr>
          <w:szCs w:val="24"/>
          <w:lang w:val="en-GB"/>
        </w:rPr>
        <w:t xml:space="preserve"> </w:t>
      </w:r>
      <w:r w:rsidR="00C77B2E" w:rsidRPr="0010696C">
        <w:rPr>
          <w:szCs w:val="24"/>
          <w:lang w:val="en-GB"/>
        </w:rPr>
        <w:t xml:space="preserve">case based on </w:t>
      </w:r>
      <w:r w:rsidR="00457FD6" w:rsidRPr="0010696C">
        <w:rPr>
          <w:szCs w:val="24"/>
          <w:lang w:val="en-GB"/>
        </w:rPr>
        <w:t>the</w:t>
      </w:r>
      <w:r w:rsidR="00C77B2E" w:rsidRPr="0010696C">
        <w:rPr>
          <w:szCs w:val="24"/>
          <w:lang w:val="en-GB"/>
        </w:rPr>
        <w:t xml:space="preserve"> answering affidavit</w:t>
      </w:r>
      <w:r w:rsidR="00457FD6" w:rsidRPr="0010696C">
        <w:rPr>
          <w:szCs w:val="24"/>
          <w:lang w:val="en-GB"/>
        </w:rPr>
        <w:t xml:space="preserve"> (instead of the founding affidavit)</w:t>
      </w:r>
      <w:r w:rsidR="00013CF0">
        <w:rPr>
          <w:szCs w:val="24"/>
          <w:lang w:val="en-GB"/>
        </w:rPr>
        <w:t xml:space="preserve">.  This is </w:t>
      </w:r>
      <w:r w:rsidR="00C77B2E" w:rsidRPr="0010696C">
        <w:rPr>
          <w:szCs w:val="24"/>
          <w:lang w:val="en-GB"/>
        </w:rPr>
        <w:t>impermissible.</w:t>
      </w:r>
      <w:r w:rsidR="001D6808" w:rsidRPr="0010696C">
        <w:rPr>
          <w:rStyle w:val="FootnoteReference"/>
          <w:szCs w:val="24"/>
          <w:lang w:val="en-GB"/>
        </w:rPr>
        <w:footnoteReference w:id="19"/>
      </w:r>
    </w:p>
    <w:p w14:paraId="6DE1F62B" w14:textId="79578C9D" w:rsidR="008F6F3D" w:rsidRPr="0010696C" w:rsidRDefault="00D26161" w:rsidP="00FF3F35">
      <w:pPr>
        <w:pStyle w:val="Level1"/>
        <w:rPr>
          <w:szCs w:val="24"/>
          <w:lang w:val="en-GB"/>
        </w:rPr>
      </w:pPr>
      <w:r w:rsidRPr="0010696C">
        <w:rPr>
          <w:szCs w:val="24"/>
          <w:lang w:val="en-GB"/>
        </w:rPr>
        <w:t xml:space="preserve">Despite the above difficulties, I believe that </w:t>
      </w:r>
      <w:r w:rsidR="00C61C11" w:rsidRPr="0010696C">
        <w:rPr>
          <w:szCs w:val="24"/>
          <w:lang w:val="en-GB"/>
        </w:rPr>
        <w:t>t</w:t>
      </w:r>
      <w:r w:rsidR="0007041E" w:rsidRPr="0010696C">
        <w:rPr>
          <w:szCs w:val="24"/>
          <w:lang w:val="en-GB"/>
        </w:rPr>
        <w:t xml:space="preserve">he </w:t>
      </w:r>
      <w:r w:rsidR="00403705" w:rsidRPr="0010696C">
        <w:rPr>
          <w:szCs w:val="24"/>
          <w:lang w:val="en-GB"/>
        </w:rPr>
        <w:t xml:space="preserve">question of whether a supporting </w:t>
      </w:r>
      <w:r w:rsidR="00C61C11" w:rsidRPr="0010696C">
        <w:rPr>
          <w:szCs w:val="24"/>
          <w:lang w:val="en-GB"/>
        </w:rPr>
        <w:t xml:space="preserve">answering </w:t>
      </w:r>
      <w:r w:rsidR="00403705" w:rsidRPr="0010696C">
        <w:rPr>
          <w:szCs w:val="24"/>
          <w:lang w:val="en-GB"/>
        </w:rPr>
        <w:t xml:space="preserve">affidavit </w:t>
      </w:r>
      <w:r w:rsidR="00E229AE" w:rsidRPr="0010696C">
        <w:rPr>
          <w:szCs w:val="24"/>
          <w:lang w:val="en-GB"/>
        </w:rPr>
        <w:t xml:space="preserve">filed by a respondent must be struck out must </w:t>
      </w:r>
      <w:r w:rsidR="00F44350" w:rsidRPr="0010696C">
        <w:rPr>
          <w:szCs w:val="24"/>
          <w:lang w:val="en-GB"/>
        </w:rPr>
        <w:t xml:space="preserve">be </w:t>
      </w:r>
      <w:r w:rsidR="00E229AE" w:rsidRPr="0010696C">
        <w:rPr>
          <w:szCs w:val="24"/>
          <w:lang w:val="en-GB"/>
        </w:rPr>
        <w:t xml:space="preserve">answered in a context-specific manner.  </w:t>
      </w:r>
      <w:r w:rsidR="002A0AE4" w:rsidRPr="0010696C">
        <w:rPr>
          <w:szCs w:val="24"/>
          <w:lang w:val="en-GB"/>
        </w:rPr>
        <w:t xml:space="preserve">There will </w:t>
      </w:r>
      <w:r w:rsidR="00AB4524" w:rsidRPr="0010696C">
        <w:rPr>
          <w:szCs w:val="24"/>
          <w:lang w:val="en-GB"/>
        </w:rPr>
        <w:t xml:space="preserve">be </w:t>
      </w:r>
      <w:r w:rsidR="002A0AE4" w:rsidRPr="0010696C">
        <w:rPr>
          <w:szCs w:val="24"/>
          <w:lang w:val="en-GB"/>
        </w:rPr>
        <w:t xml:space="preserve">circumstances where </w:t>
      </w:r>
      <w:r w:rsidR="003B4020" w:rsidRPr="0010696C">
        <w:rPr>
          <w:szCs w:val="24"/>
          <w:lang w:val="en-GB"/>
        </w:rPr>
        <w:t xml:space="preserve">a strike-out will not be appropriate, </w:t>
      </w:r>
      <w:r w:rsidR="00B779E4" w:rsidRPr="0010696C">
        <w:rPr>
          <w:szCs w:val="24"/>
          <w:lang w:val="en-GB"/>
        </w:rPr>
        <w:t xml:space="preserve">for instance where </w:t>
      </w:r>
      <w:r w:rsidR="00681D3B" w:rsidRPr="0010696C">
        <w:rPr>
          <w:szCs w:val="24"/>
          <w:lang w:val="en-GB"/>
        </w:rPr>
        <w:t>the</w:t>
      </w:r>
      <w:r w:rsidR="00E358A7" w:rsidRPr="0010696C">
        <w:rPr>
          <w:szCs w:val="24"/>
          <w:lang w:val="en-GB"/>
        </w:rPr>
        <w:t xml:space="preserve"> supporting</w:t>
      </w:r>
      <w:r w:rsidR="00B779E4" w:rsidRPr="0010696C">
        <w:rPr>
          <w:szCs w:val="24"/>
          <w:lang w:val="en-GB"/>
        </w:rPr>
        <w:t xml:space="preserve"> </w:t>
      </w:r>
      <w:r w:rsidR="008C450A" w:rsidRPr="0010696C">
        <w:rPr>
          <w:szCs w:val="24"/>
          <w:lang w:val="en-GB"/>
        </w:rPr>
        <w:t xml:space="preserve">respondent </w:t>
      </w:r>
      <w:r w:rsidR="00E358A7" w:rsidRPr="0010696C">
        <w:rPr>
          <w:szCs w:val="24"/>
          <w:lang w:val="en-GB"/>
        </w:rPr>
        <w:t>could for some or other reason not join as applicant</w:t>
      </w:r>
      <w:r w:rsidR="00C14390" w:rsidRPr="0010696C">
        <w:rPr>
          <w:szCs w:val="24"/>
          <w:lang w:val="en-GB"/>
        </w:rPr>
        <w:t xml:space="preserve"> and</w:t>
      </w:r>
      <w:r w:rsidR="004F460A" w:rsidRPr="0010696C">
        <w:rPr>
          <w:szCs w:val="24"/>
          <w:lang w:val="en-GB"/>
        </w:rPr>
        <w:t xml:space="preserve"> where the </w:t>
      </w:r>
      <w:r w:rsidR="00E358A7" w:rsidRPr="0010696C">
        <w:rPr>
          <w:szCs w:val="24"/>
          <w:lang w:val="en-GB"/>
        </w:rPr>
        <w:t xml:space="preserve">matter is not urgent and </w:t>
      </w:r>
      <w:r w:rsidR="00A0227B" w:rsidRPr="0010696C">
        <w:rPr>
          <w:szCs w:val="24"/>
          <w:lang w:val="en-GB"/>
        </w:rPr>
        <w:t xml:space="preserve">any unfairness can be </w:t>
      </w:r>
      <w:r w:rsidR="00F44350" w:rsidRPr="0010696C">
        <w:rPr>
          <w:szCs w:val="24"/>
          <w:lang w:val="en-GB"/>
        </w:rPr>
        <w:t xml:space="preserve">cured </w:t>
      </w:r>
      <w:r w:rsidR="00A0227B" w:rsidRPr="0010696C">
        <w:rPr>
          <w:szCs w:val="24"/>
          <w:lang w:val="en-GB"/>
        </w:rPr>
        <w:t xml:space="preserve">by affording the opposing respondent an opportunity to deal with the allegations made by the supporting respondent. </w:t>
      </w:r>
      <w:r w:rsidR="002F4DF0" w:rsidRPr="0010696C">
        <w:rPr>
          <w:szCs w:val="24"/>
          <w:lang w:val="en-GB"/>
        </w:rPr>
        <w:t xml:space="preserve"> </w:t>
      </w:r>
      <w:r w:rsidR="00681D3B" w:rsidRPr="0010696C">
        <w:rPr>
          <w:szCs w:val="24"/>
          <w:lang w:val="en-GB"/>
        </w:rPr>
        <w:t>One must also have regard to the degree of support</w:t>
      </w:r>
      <w:r w:rsidR="00F44350" w:rsidRPr="0010696C">
        <w:rPr>
          <w:szCs w:val="24"/>
          <w:lang w:val="en-GB"/>
        </w:rPr>
        <w:t xml:space="preserve"> expressed in </w:t>
      </w:r>
      <w:r w:rsidR="00C54D6A">
        <w:rPr>
          <w:szCs w:val="24"/>
          <w:lang w:val="en-GB"/>
        </w:rPr>
        <w:t xml:space="preserve">a so-called </w:t>
      </w:r>
      <w:r w:rsidR="00D1605E">
        <w:rPr>
          <w:szCs w:val="24"/>
          <w:lang w:val="en-GB"/>
        </w:rPr>
        <w:t xml:space="preserve">supporting </w:t>
      </w:r>
      <w:r w:rsidR="0051130B" w:rsidRPr="0010696C">
        <w:rPr>
          <w:szCs w:val="24"/>
          <w:lang w:val="en-GB"/>
        </w:rPr>
        <w:t>affidavit</w:t>
      </w:r>
      <w:r w:rsidR="00C54D6A">
        <w:rPr>
          <w:szCs w:val="24"/>
          <w:lang w:val="en-GB"/>
        </w:rPr>
        <w:t xml:space="preserve"> before striking same out. </w:t>
      </w:r>
    </w:p>
    <w:p w14:paraId="3AC67CC0" w14:textId="1EB29F35" w:rsidR="0051130B" w:rsidRPr="0010696C" w:rsidRDefault="00922929" w:rsidP="00FF3F35">
      <w:pPr>
        <w:pStyle w:val="Level1"/>
        <w:rPr>
          <w:szCs w:val="24"/>
          <w:lang w:val="en-GB"/>
        </w:rPr>
      </w:pPr>
      <w:r w:rsidRPr="0010696C">
        <w:rPr>
          <w:szCs w:val="24"/>
          <w:lang w:val="en-GB"/>
        </w:rPr>
        <w:t xml:space="preserve">Turning to the present matter, </w:t>
      </w:r>
      <w:r w:rsidR="0051130B" w:rsidRPr="0010696C">
        <w:rPr>
          <w:szCs w:val="24"/>
          <w:lang w:val="en-GB"/>
        </w:rPr>
        <w:t>Mr</w:t>
      </w:r>
      <w:r w:rsidR="00EE5446" w:rsidRPr="0010696C">
        <w:rPr>
          <w:szCs w:val="24"/>
          <w:lang w:val="en-GB"/>
        </w:rPr>
        <w:t> </w:t>
      </w:r>
      <w:r w:rsidR="0051130B" w:rsidRPr="0010696C">
        <w:rPr>
          <w:szCs w:val="24"/>
          <w:lang w:val="en-GB"/>
        </w:rPr>
        <w:t>S</w:t>
      </w:r>
      <w:r w:rsidR="00EE5446" w:rsidRPr="0010696C">
        <w:rPr>
          <w:szCs w:val="24"/>
          <w:lang w:val="en-GB"/>
        </w:rPr>
        <w:t> </w:t>
      </w:r>
      <w:r w:rsidR="0051130B" w:rsidRPr="0010696C">
        <w:rPr>
          <w:szCs w:val="24"/>
          <w:lang w:val="en-GB"/>
        </w:rPr>
        <w:t>Gouws, who appeared with Mr</w:t>
      </w:r>
      <w:r w:rsidR="002F4DF0" w:rsidRPr="0010696C">
        <w:rPr>
          <w:szCs w:val="24"/>
          <w:lang w:val="en-GB"/>
        </w:rPr>
        <w:t> </w:t>
      </w:r>
      <w:r w:rsidR="0051130B" w:rsidRPr="0010696C">
        <w:rPr>
          <w:szCs w:val="24"/>
          <w:lang w:val="en-GB"/>
        </w:rPr>
        <w:t>M</w:t>
      </w:r>
      <w:r w:rsidR="002F4DF0" w:rsidRPr="0010696C">
        <w:rPr>
          <w:szCs w:val="24"/>
          <w:lang w:val="en-GB"/>
        </w:rPr>
        <w:t> </w:t>
      </w:r>
      <w:r w:rsidR="0051130B" w:rsidRPr="0010696C">
        <w:rPr>
          <w:szCs w:val="24"/>
          <w:lang w:val="en-GB"/>
        </w:rPr>
        <w:t xml:space="preserve">Jacobs for Amplifin, contended that </w:t>
      </w:r>
      <w:r w:rsidR="009766AA" w:rsidRPr="0010696C">
        <w:rPr>
          <w:szCs w:val="24"/>
          <w:lang w:val="en-GB"/>
        </w:rPr>
        <w:t xml:space="preserve">the jurisprudence referred to above does not apply in the present matter because Amplifin did not </w:t>
      </w:r>
      <w:r w:rsidR="00E40BBE" w:rsidRPr="0010696C">
        <w:rPr>
          <w:szCs w:val="24"/>
          <w:lang w:val="en-GB"/>
        </w:rPr>
        <w:t xml:space="preserve">pray for the same relief as the Applicants.  </w:t>
      </w:r>
    </w:p>
    <w:p w14:paraId="7FB26D99" w14:textId="41A289FD" w:rsidR="000B0E7C" w:rsidRPr="0010696C" w:rsidRDefault="000B0E7C" w:rsidP="00FF3F35">
      <w:pPr>
        <w:pStyle w:val="Level1"/>
        <w:rPr>
          <w:szCs w:val="24"/>
          <w:lang w:val="en-GB"/>
        </w:rPr>
      </w:pPr>
      <w:r w:rsidRPr="0010696C">
        <w:rPr>
          <w:szCs w:val="24"/>
          <w:lang w:val="en-GB"/>
        </w:rPr>
        <w:t xml:space="preserve">I am not persuaded by that argument. </w:t>
      </w:r>
      <w:r w:rsidR="005F3359" w:rsidRPr="0010696C">
        <w:rPr>
          <w:szCs w:val="24"/>
          <w:lang w:val="en-GB"/>
        </w:rPr>
        <w:t xml:space="preserve"> Amplifin</w:t>
      </w:r>
      <w:r w:rsidR="00F32FD7" w:rsidRPr="0010696C">
        <w:rPr>
          <w:szCs w:val="24"/>
          <w:lang w:val="en-GB"/>
        </w:rPr>
        <w:t>’</w:t>
      </w:r>
      <w:r w:rsidR="005F3359" w:rsidRPr="0010696C">
        <w:rPr>
          <w:szCs w:val="24"/>
          <w:lang w:val="en-GB"/>
        </w:rPr>
        <w:t xml:space="preserve">s position </w:t>
      </w:r>
      <w:r w:rsidR="003757C1" w:rsidRPr="0010696C">
        <w:rPr>
          <w:szCs w:val="24"/>
          <w:lang w:val="en-GB"/>
        </w:rPr>
        <w:t>is</w:t>
      </w:r>
      <w:r w:rsidR="005F3359" w:rsidRPr="0010696C">
        <w:rPr>
          <w:szCs w:val="24"/>
          <w:lang w:val="en-GB"/>
        </w:rPr>
        <w:t xml:space="preserve"> very clearly stated</w:t>
      </w:r>
      <w:r w:rsidR="00100715" w:rsidRPr="0010696C">
        <w:rPr>
          <w:szCs w:val="24"/>
          <w:lang w:val="en-GB"/>
        </w:rPr>
        <w:t xml:space="preserve"> in the supporting affidavit.</w:t>
      </w:r>
      <w:r w:rsidR="005F3359" w:rsidRPr="0010696C">
        <w:rPr>
          <w:szCs w:val="24"/>
          <w:lang w:val="en-GB"/>
        </w:rPr>
        <w:t xml:space="preserve">  </w:t>
      </w:r>
      <w:r w:rsidR="005B4477" w:rsidRPr="0010696C">
        <w:rPr>
          <w:szCs w:val="24"/>
          <w:lang w:val="en-GB"/>
        </w:rPr>
        <w:t>Mr</w:t>
      </w:r>
      <w:r w:rsidR="002F4DF0" w:rsidRPr="0010696C">
        <w:rPr>
          <w:szCs w:val="24"/>
          <w:lang w:val="en-GB"/>
        </w:rPr>
        <w:t> </w:t>
      </w:r>
      <w:r w:rsidR="005B4477" w:rsidRPr="0010696C">
        <w:rPr>
          <w:szCs w:val="24"/>
          <w:lang w:val="en-GB"/>
        </w:rPr>
        <w:t xml:space="preserve">Adriaan Swart, who deposed to an affidavit </w:t>
      </w:r>
      <w:r w:rsidR="0068721E" w:rsidRPr="0010696C">
        <w:rPr>
          <w:szCs w:val="24"/>
          <w:lang w:val="en-GB"/>
        </w:rPr>
        <w:t>on its behalf</w:t>
      </w:r>
      <w:r w:rsidR="005F3359" w:rsidRPr="0010696C">
        <w:rPr>
          <w:szCs w:val="24"/>
          <w:lang w:val="en-GB"/>
        </w:rPr>
        <w:t xml:space="preserve"> says in </w:t>
      </w:r>
      <w:r w:rsidR="00A8689F" w:rsidRPr="0010696C">
        <w:rPr>
          <w:szCs w:val="24"/>
          <w:lang w:val="en-GB"/>
        </w:rPr>
        <w:t>paragraphs</w:t>
      </w:r>
      <w:r w:rsidR="006538DF" w:rsidRPr="0010696C">
        <w:rPr>
          <w:szCs w:val="24"/>
          <w:lang w:val="en-GB"/>
        </w:rPr>
        <w:t> </w:t>
      </w:r>
      <w:r w:rsidR="00A8689F" w:rsidRPr="0010696C">
        <w:rPr>
          <w:szCs w:val="24"/>
          <w:lang w:val="en-GB"/>
        </w:rPr>
        <w:t xml:space="preserve">2.1 to 2.3 of </w:t>
      </w:r>
      <w:r w:rsidR="005F3359" w:rsidRPr="0010696C">
        <w:rPr>
          <w:szCs w:val="24"/>
          <w:lang w:val="en-GB"/>
        </w:rPr>
        <w:t xml:space="preserve">the founding affidavit that </w:t>
      </w:r>
      <w:r w:rsidR="00A8689F" w:rsidRPr="0010696C">
        <w:rPr>
          <w:szCs w:val="24"/>
          <w:lang w:val="en-GB"/>
        </w:rPr>
        <w:t xml:space="preserve">he has read the notice of motion and that </w:t>
      </w:r>
      <w:r w:rsidR="0068721E" w:rsidRPr="0010696C">
        <w:rPr>
          <w:szCs w:val="24"/>
          <w:lang w:val="en-GB"/>
        </w:rPr>
        <w:t xml:space="preserve">Amplifin </w:t>
      </w:r>
      <w:r w:rsidR="00F32FD7" w:rsidRPr="0010696C">
        <w:rPr>
          <w:szCs w:val="24"/>
          <w:lang w:val="en-GB"/>
        </w:rPr>
        <w:t>“</w:t>
      </w:r>
      <w:r w:rsidR="0068721E" w:rsidRPr="0010696C">
        <w:rPr>
          <w:i/>
          <w:iCs/>
          <w:szCs w:val="24"/>
          <w:lang w:val="en-GB"/>
        </w:rPr>
        <w:t>supports</w:t>
      </w:r>
      <w:r w:rsidR="00F32FD7" w:rsidRPr="0010696C">
        <w:rPr>
          <w:szCs w:val="24"/>
          <w:lang w:val="en-GB"/>
        </w:rPr>
        <w:t>”</w:t>
      </w:r>
      <w:r w:rsidR="0068721E" w:rsidRPr="0010696C">
        <w:rPr>
          <w:szCs w:val="24"/>
          <w:lang w:val="en-GB"/>
        </w:rPr>
        <w:t xml:space="preserve"> the application</w:t>
      </w:r>
      <w:r w:rsidR="00F8645A" w:rsidRPr="0010696C">
        <w:rPr>
          <w:szCs w:val="24"/>
          <w:lang w:val="en-GB"/>
        </w:rPr>
        <w:t xml:space="preserve"> and that because it supports the application, it is </w:t>
      </w:r>
      <w:r w:rsidR="002C3A64" w:rsidRPr="0010696C">
        <w:rPr>
          <w:szCs w:val="24"/>
          <w:lang w:val="en-GB"/>
        </w:rPr>
        <w:t xml:space="preserve">unnecessary for Amplifin to deal serially with the allegations in the founding affidavit. </w:t>
      </w:r>
      <w:r w:rsidR="00656988" w:rsidRPr="0010696C">
        <w:rPr>
          <w:szCs w:val="24"/>
          <w:lang w:val="en-GB"/>
        </w:rPr>
        <w:t xml:space="preserve"> </w:t>
      </w:r>
      <w:r w:rsidR="00AA1D5B" w:rsidRPr="0010696C">
        <w:rPr>
          <w:szCs w:val="24"/>
          <w:lang w:val="en-GB"/>
        </w:rPr>
        <w:t>Mr Swart</w:t>
      </w:r>
      <w:r w:rsidR="00BC6CAB" w:rsidRPr="0010696C">
        <w:rPr>
          <w:szCs w:val="24"/>
          <w:lang w:val="en-GB"/>
        </w:rPr>
        <w:t xml:space="preserve"> states later in his affidavit, at paragraph</w:t>
      </w:r>
      <w:r w:rsidR="006538DF" w:rsidRPr="0010696C">
        <w:rPr>
          <w:szCs w:val="24"/>
          <w:lang w:val="en-GB"/>
        </w:rPr>
        <w:t> </w:t>
      </w:r>
      <w:r w:rsidR="00BC6CAB" w:rsidRPr="0010696C">
        <w:rPr>
          <w:szCs w:val="24"/>
          <w:lang w:val="en-GB"/>
        </w:rPr>
        <w:t xml:space="preserve">13.1 that </w:t>
      </w:r>
      <w:r w:rsidR="00BC6CAB" w:rsidRPr="0010696C">
        <w:rPr>
          <w:szCs w:val="24"/>
          <w:lang w:val="en-GB"/>
        </w:rPr>
        <w:lastRenderedPageBreak/>
        <w:t xml:space="preserve">Amplifin </w:t>
      </w:r>
      <w:r w:rsidR="00F32FD7" w:rsidRPr="0010696C">
        <w:rPr>
          <w:szCs w:val="24"/>
          <w:lang w:val="en-GB"/>
        </w:rPr>
        <w:t>“</w:t>
      </w:r>
      <w:r w:rsidR="00BC6CAB" w:rsidRPr="0010696C">
        <w:rPr>
          <w:i/>
          <w:iCs/>
          <w:szCs w:val="24"/>
          <w:lang w:val="en-GB"/>
        </w:rPr>
        <w:t>supports the relief sought by the Applicants</w:t>
      </w:r>
      <w:r w:rsidR="00F32FD7" w:rsidRPr="0010696C">
        <w:rPr>
          <w:szCs w:val="24"/>
          <w:lang w:val="en-GB"/>
        </w:rPr>
        <w:t>”</w:t>
      </w:r>
      <w:r w:rsidR="00973DD6" w:rsidRPr="0010696C">
        <w:rPr>
          <w:szCs w:val="24"/>
          <w:lang w:val="en-GB"/>
        </w:rPr>
        <w:t xml:space="preserve"> and that </w:t>
      </w:r>
      <w:r w:rsidR="00F32FD7" w:rsidRPr="0010696C">
        <w:rPr>
          <w:szCs w:val="24"/>
          <w:lang w:val="en-GB"/>
        </w:rPr>
        <w:t>“</w:t>
      </w:r>
      <w:r w:rsidR="00973DD6" w:rsidRPr="0010696C">
        <w:rPr>
          <w:i/>
          <w:iCs/>
          <w:szCs w:val="24"/>
          <w:lang w:val="en-GB"/>
        </w:rPr>
        <w:t xml:space="preserve">Capitec must also </w:t>
      </w:r>
      <w:r w:rsidR="00A26711" w:rsidRPr="0010696C">
        <w:rPr>
          <w:i/>
          <w:iCs/>
          <w:szCs w:val="24"/>
          <w:lang w:val="en-GB"/>
        </w:rPr>
        <w:t>c</w:t>
      </w:r>
      <w:r w:rsidR="00973DD6" w:rsidRPr="0010696C">
        <w:rPr>
          <w:i/>
          <w:iCs/>
          <w:szCs w:val="24"/>
          <w:lang w:val="en-GB"/>
        </w:rPr>
        <w:t>arry the costs of [Amplifin]</w:t>
      </w:r>
      <w:r w:rsidR="00925B86" w:rsidRPr="0010696C">
        <w:rPr>
          <w:i/>
          <w:iCs/>
          <w:szCs w:val="24"/>
          <w:lang w:val="en-GB"/>
        </w:rPr>
        <w:t>.</w:t>
      </w:r>
      <w:r w:rsidR="00F32FD7" w:rsidRPr="0010696C">
        <w:rPr>
          <w:i/>
          <w:iCs/>
          <w:szCs w:val="24"/>
          <w:lang w:val="en-GB"/>
        </w:rPr>
        <w:t>”</w:t>
      </w:r>
      <w:r w:rsidR="002F263A" w:rsidRPr="0010696C">
        <w:rPr>
          <w:i/>
          <w:iCs/>
          <w:szCs w:val="24"/>
          <w:lang w:val="en-GB"/>
        </w:rPr>
        <w:t xml:space="preserve"> </w:t>
      </w:r>
    </w:p>
    <w:p w14:paraId="08F4FF60" w14:textId="42EA8F75" w:rsidR="003C2D63" w:rsidRPr="0010696C" w:rsidRDefault="00374852" w:rsidP="00693286">
      <w:pPr>
        <w:pStyle w:val="Level1"/>
        <w:rPr>
          <w:szCs w:val="24"/>
          <w:lang w:val="en-GB"/>
        </w:rPr>
      </w:pPr>
      <w:r w:rsidRPr="0010696C">
        <w:rPr>
          <w:szCs w:val="24"/>
          <w:lang w:val="en-GB"/>
        </w:rPr>
        <w:t>Apart from that</w:t>
      </w:r>
      <w:r w:rsidR="003C2D63" w:rsidRPr="0010696C">
        <w:rPr>
          <w:szCs w:val="24"/>
          <w:lang w:val="en-GB"/>
        </w:rPr>
        <w:t xml:space="preserve">, I </w:t>
      </w:r>
      <w:r w:rsidR="00925B86" w:rsidRPr="0010696C">
        <w:rPr>
          <w:szCs w:val="24"/>
          <w:lang w:val="en-GB"/>
        </w:rPr>
        <w:t xml:space="preserve">have gone through the </w:t>
      </w:r>
      <w:r w:rsidR="00A26711" w:rsidRPr="0010696C">
        <w:rPr>
          <w:szCs w:val="24"/>
          <w:lang w:val="en-GB"/>
        </w:rPr>
        <w:t xml:space="preserve">80-page </w:t>
      </w:r>
      <w:r w:rsidR="00925B86" w:rsidRPr="0010696C">
        <w:rPr>
          <w:szCs w:val="24"/>
          <w:lang w:val="en-GB"/>
        </w:rPr>
        <w:t>supporting affidavit filed on behalf of Amplifin and it is nothing but a supplementary founding affidavit.</w:t>
      </w:r>
    </w:p>
    <w:p w14:paraId="64171AF5" w14:textId="65AC3009" w:rsidR="00A42591" w:rsidRPr="0010696C" w:rsidRDefault="009146C3" w:rsidP="00693286">
      <w:pPr>
        <w:pStyle w:val="Level1"/>
        <w:rPr>
          <w:szCs w:val="24"/>
          <w:lang w:val="en-GB"/>
        </w:rPr>
      </w:pPr>
      <w:r>
        <w:rPr>
          <w:szCs w:val="24"/>
          <w:lang w:val="en-GB"/>
        </w:rPr>
        <w:t>Amplifin’s</w:t>
      </w:r>
      <w:r w:rsidR="00CE1920">
        <w:rPr>
          <w:szCs w:val="24"/>
          <w:lang w:val="en-GB"/>
        </w:rPr>
        <w:t xml:space="preserve"> </w:t>
      </w:r>
      <w:r w:rsidR="00AA1D5B" w:rsidRPr="0010696C">
        <w:rPr>
          <w:szCs w:val="24"/>
          <w:lang w:val="en-GB"/>
        </w:rPr>
        <w:t>Mr Swart</w:t>
      </w:r>
      <w:r w:rsidR="005B1429" w:rsidRPr="0010696C">
        <w:rPr>
          <w:szCs w:val="24"/>
          <w:lang w:val="en-GB"/>
        </w:rPr>
        <w:t xml:space="preserve"> </w:t>
      </w:r>
      <w:r w:rsidR="00CE1920">
        <w:rPr>
          <w:szCs w:val="24"/>
          <w:lang w:val="en-GB"/>
        </w:rPr>
        <w:t xml:space="preserve">indeed went as far as </w:t>
      </w:r>
      <w:r w:rsidR="00D84B8C" w:rsidRPr="0010696C">
        <w:rPr>
          <w:szCs w:val="24"/>
          <w:lang w:val="en-GB"/>
        </w:rPr>
        <w:t>depos</w:t>
      </w:r>
      <w:r w:rsidR="00CE1920">
        <w:rPr>
          <w:szCs w:val="24"/>
          <w:lang w:val="en-GB"/>
        </w:rPr>
        <w:t>ing</w:t>
      </w:r>
      <w:r w:rsidR="00D84B8C" w:rsidRPr="0010696C">
        <w:rPr>
          <w:szCs w:val="24"/>
          <w:lang w:val="en-GB"/>
        </w:rPr>
        <w:t xml:space="preserve"> to a</w:t>
      </w:r>
      <w:r w:rsidR="00CE1920">
        <w:rPr>
          <w:szCs w:val="24"/>
          <w:lang w:val="en-GB"/>
        </w:rPr>
        <w:t xml:space="preserve"> separate</w:t>
      </w:r>
      <w:r w:rsidR="00D84B8C" w:rsidRPr="0010696C">
        <w:rPr>
          <w:szCs w:val="24"/>
          <w:lang w:val="en-GB"/>
        </w:rPr>
        <w:t xml:space="preserve"> affidavit in which he confirmed the contents of both the founding and the replying affidavit filed on behalf of the Applicants. </w:t>
      </w:r>
      <w:r w:rsidR="005517CC" w:rsidRPr="0010696C">
        <w:rPr>
          <w:szCs w:val="24"/>
          <w:lang w:val="en-GB"/>
        </w:rPr>
        <w:t xml:space="preserve"> </w:t>
      </w:r>
      <w:r w:rsidR="00A42591" w:rsidRPr="0010696C">
        <w:rPr>
          <w:szCs w:val="24"/>
          <w:lang w:val="en-GB"/>
        </w:rPr>
        <w:t xml:space="preserve">It is apparent that </w:t>
      </w:r>
      <w:r w:rsidR="003757C1" w:rsidRPr="0010696C">
        <w:rPr>
          <w:szCs w:val="24"/>
          <w:lang w:val="en-GB"/>
        </w:rPr>
        <w:t>much</w:t>
      </w:r>
      <w:r w:rsidR="00647DD6" w:rsidRPr="0010696C">
        <w:rPr>
          <w:szCs w:val="24"/>
          <w:lang w:val="en-GB"/>
        </w:rPr>
        <w:t xml:space="preserve"> of the</w:t>
      </w:r>
      <w:r w:rsidR="003757C1" w:rsidRPr="0010696C">
        <w:rPr>
          <w:szCs w:val="24"/>
          <w:lang w:val="en-GB"/>
        </w:rPr>
        <w:t xml:space="preserve"> Applicants’</w:t>
      </w:r>
      <w:r w:rsidR="00647DD6" w:rsidRPr="0010696C">
        <w:rPr>
          <w:szCs w:val="24"/>
          <w:lang w:val="en-GB"/>
        </w:rPr>
        <w:t xml:space="preserve"> </w:t>
      </w:r>
      <w:r w:rsidR="005517CC" w:rsidRPr="0010696C">
        <w:rPr>
          <w:szCs w:val="24"/>
          <w:lang w:val="en-GB"/>
        </w:rPr>
        <w:t xml:space="preserve">replying affidavit was based on </w:t>
      </w:r>
      <w:r w:rsidR="00AA1D5B" w:rsidRPr="0010696C">
        <w:rPr>
          <w:szCs w:val="24"/>
          <w:lang w:val="en-GB"/>
        </w:rPr>
        <w:t>Mr Gao</w:t>
      </w:r>
      <w:r w:rsidR="00F32FD7" w:rsidRPr="0010696C">
        <w:rPr>
          <w:szCs w:val="24"/>
          <w:lang w:val="en-GB"/>
        </w:rPr>
        <w:t>’</w:t>
      </w:r>
      <w:r w:rsidR="005517CC" w:rsidRPr="0010696C">
        <w:rPr>
          <w:szCs w:val="24"/>
          <w:lang w:val="en-GB"/>
        </w:rPr>
        <w:t xml:space="preserve">s </w:t>
      </w:r>
      <w:r w:rsidR="00F32FD7" w:rsidRPr="0010696C">
        <w:rPr>
          <w:szCs w:val="24"/>
          <w:lang w:val="en-GB"/>
        </w:rPr>
        <w:t>“</w:t>
      </w:r>
      <w:r w:rsidR="005517CC" w:rsidRPr="0010696C">
        <w:rPr>
          <w:i/>
          <w:iCs/>
          <w:szCs w:val="24"/>
          <w:lang w:val="en-GB"/>
        </w:rPr>
        <w:t>discussions</w:t>
      </w:r>
      <w:r w:rsidR="00F32FD7" w:rsidRPr="0010696C">
        <w:rPr>
          <w:szCs w:val="24"/>
          <w:lang w:val="en-GB"/>
        </w:rPr>
        <w:t>”</w:t>
      </w:r>
      <w:r w:rsidR="005517CC" w:rsidRPr="0010696C">
        <w:rPr>
          <w:szCs w:val="24"/>
          <w:lang w:val="en-GB"/>
        </w:rPr>
        <w:t xml:space="preserve"> with </w:t>
      </w:r>
      <w:r w:rsidR="00AA1D5B" w:rsidRPr="0010696C">
        <w:rPr>
          <w:szCs w:val="24"/>
          <w:lang w:val="en-GB"/>
        </w:rPr>
        <w:t>Mr Swart</w:t>
      </w:r>
      <w:r w:rsidR="005517CC" w:rsidRPr="0010696C">
        <w:rPr>
          <w:szCs w:val="24"/>
          <w:lang w:val="en-GB"/>
        </w:rPr>
        <w:t>.</w:t>
      </w:r>
      <w:r w:rsidR="006538DF" w:rsidRPr="0010696C">
        <w:rPr>
          <w:szCs w:val="24"/>
          <w:lang w:val="en-GB"/>
        </w:rPr>
        <w:t xml:space="preserve"> </w:t>
      </w:r>
      <w:r w:rsidR="00635BFB">
        <w:rPr>
          <w:szCs w:val="24"/>
          <w:lang w:val="en-GB"/>
        </w:rPr>
        <w:t xml:space="preserve"> Amplifin’s support resulted in a different spin</w:t>
      </w:r>
      <w:r w:rsidR="006D45F1">
        <w:rPr>
          <w:szCs w:val="24"/>
          <w:lang w:val="en-GB"/>
        </w:rPr>
        <w:t xml:space="preserve"> to the case made in the founding papers. </w:t>
      </w:r>
      <w:r w:rsidR="00B25F1E">
        <w:rPr>
          <w:szCs w:val="24"/>
          <w:lang w:val="en-GB"/>
        </w:rPr>
        <w:t xml:space="preserve"> This demonstrates the difficulty with allowing this kind of affidavit</w:t>
      </w:r>
      <w:r w:rsidR="00BC58B2">
        <w:rPr>
          <w:szCs w:val="24"/>
          <w:lang w:val="en-GB"/>
        </w:rPr>
        <w:t xml:space="preserve"> to be introduced in motion proceedings.  </w:t>
      </w:r>
      <w:r w:rsidR="00635BFB">
        <w:rPr>
          <w:szCs w:val="24"/>
          <w:lang w:val="en-GB"/>
        </w:rPr>
        <w:t xml:space="preserve"> </w:t>
      </w:r>
    </w:p>
    <w:p w14:paraId="3640BD3D" w14:textId="5750CF0D" w:rsidR="00693286" w:rsidRPr="0010696C" w:rsidRDefault="00A42591" w:rsidP="00693286">
      <w:pPr>
        <w:pStyle w:val="Level1"/>
        <w:rPr>
          <w:szCs w:val="24"/>
          <w:lang w:val="en-GB"/>
        </w:rPr>
      </w:pPr>
      <w:r w:rsidRPr="0010696C">
        <w:rPr>
          <w:szCs w:val="24"/>
          <w:lang w:val="en-GB"/>
        </w:rPr>
        <w:t xml:space="preserve">No </w:t>
      </w:r>
      <w:r w:rsidR="006E257B" w:rsidRPr="0010696C">
        <w:rPr>
          <w:szCs w:val="24"/>
          <w:lang w:val="en-GB"/>
        </w:rPr>
        <w:t xml:space="preserve">reason is given for why Amplifin could not have joined as a co-applicant.  </w:t>
      </w:r>
      <w:r w:rsidR="00226121">
        <w:rPr>
          <w:szCs w:val="24"/>
          <w:lang w:val="en-GB"/>
        </w:rPr>
        <w:t>T</w:t>
      </w:r>
      <w:r w:rsidR="006E257B" w:rsidRPr="0010696C">
        <w:rPr>
          <w:szCs w:val="24"/>
          <w:lang w:val="en-GB"/>
        </w:rPr>
        <w:t>he Applicants</w:t>
      </w:r>
      <w:r w:rsidR="00F32FD7" w:rsidRPr="0010696C">
        <w:rPr>
          <w:szCs w:val="24"/>
          <w:lang w:val="en-GB"/>
        </w:rPr>
        <w:t>’</w:t>
      </w:r>
      <w:r w:rsidR="006E257B" w:rsidRPr="0010696C">
        <w:rPr>
          <w:szCs w:val="24"/>
          <w:lang w:val="en-GB"/>
        </w:rPr>
        <w:t xml:space="preserve"> </w:t>
      </w:r>
      <w:r w:rsidR="00AA1D5B" w:rsidRPr="0010696C">
        <w:rPr>
          <w:szCs w:val="24"/>
          <w:lang w:val="en-GB"/>
        </w:rPr>
        <w:t>Mr Gao</w:t>
      </w:r>
      <w:r w:rsidR="006E257B" w:rsidRPr="0010696C">
        <w:rPr>
          <w:szCs w:val="24"/>
          <w:lang w:val="en-GB"/>
        </w:rPr>
        <w:t xml:space="preserve"> was in contact with </w:t>
      </w:r>
      <w:r w:rsidR="00AA1D5B" w:rsidRPr="0010696C">
        <w:rPr>
          <w:szCs w:val="24"/>
          <w:lang w:val="en-GB"/>
        </w:rPr>
        <w:t>Mr Swart</w:t>
      </w:r>
      <w:r w:rsidR="006E257B" w:rsidRPr="0010696C">
        <w:rPr>
          <w:szCs w:val="24"/>
          <w:lang w:val="en-GB"/>
        </w:rPr>
        <w:t xml:space="preserve"> when the application was conceived.  </w:t>
      </w:r>
      <w:r w:rsidR="00E7463F" w:rsidRPr="0010696C">
        <w:rPr>
          <w:szCs w:val="24"/>
          <w:lang w:val="en-GB"/>
        </w:rPr>
        <w:t>It is so that C</w:t>
      </w:r>
      <w:r w:rsidR="00ED0C29" w:rsidRPr="0010696C">
        <w:rPr>
          <w:szCs w:val="24"/>
          <w:lang w:val="en-GB"/>
        </w:rPr>
        <w:t xml:space="preserve">apitec </w:t>
      </w:r>
      <w:r w:rsidR="00E7463F" w:rsidRPr="0010696C">
        <w:rPr>
          <w:szCs w:val="24"/>
          <w:lang w:val="en-GB"/>
        </w:rPr>
        <w:t xml:space="preserve">warned </w:t>
      </w:r>
      <w:r w:rsidR="00ED0C29" w:rsidRPr="0010696C">
        <w:rPr>
          <w:szCs w:val="24"/>
          <w:lang w:val="en-GB"/>
        </w:rPr>
        <w:t>Amplifin</w:t>
      </w:r>
      <w:r w:rsidR="00E7463F" w:rsidRPr="0010696C">
        <w:rPr>
          <w:szCs w:val="24"/>
          <w:lang w:val="en-GB"/>
        </w:rPr>
        <w:t xml:space="preserve">, </w:t>
      </w:r>
      <w:r w:rsidR="00ED0C29" w:rsidRPr="0010696C">
        <w:rPr>
          <w:szCs w:val="24"/>
          <w:lang w:val="en-GB"/>
        </w:rPr>
        <w:t>before the termination decision was communicated to the Applicants</w:t>
      </w:r>
      <w:r w:rsidR="00E7463F" w:rsidRPr="0010696C">
        <w:rPr>
          <w:szCs w:val="24"/>
          <w:lang w:val="en-GB"/>
        </w:rPr>
        <w:t>,</w:t>
      </w:r>
      <w:r w:rsidR="00ED0C29" w:rsidRPr="0010696C">
        <w:rPr>
          <w:szCs w:val="24"/>
          <w:lang w:val="en-GB"/>
        </w:rPr>
        <w:t xml:space="preserve"> that </w:t>
      </w:r>
      <w:r w:rsidR="00F32FD7" w:rsidRPr="0010696C">
        <w:rPr>
          <w:szCs w:val="24"/>
          <w:lang w:val="en-GB"/>
        </w:rPr>
        <w:t>“</w:t>
      </w:r>
      <w:r w:rsidR="0004101B" w:rsidRPr="0010696C">
        <w:rPr>
          <w:i/>
          <w:iCs/>
          <w:szCs w:val="24"/>
          <w:lang w:val="en-GB"/>
        </w:rPr>
        <w:t>tipping-off</w:t>
      </w:r>
      <w:r w:rsidR="00F32FD7" w:rsidRPr="0010696C">
        <w:rPr>
          <w:i/>
          <w:iCs/>
          <w:szCs w:val="24"/>
          <w:lang w:val="en-GB"/>
        </w:rPr>
        <w:t>”</w:t>
      </w:r>
      <w:r w:rsidR="0004101B" w:rsidRPr="0010696C">
        <w:rPr>
          <w:szCs w:val="24"/>
          <w:lang w:val="en-GB"/>
        </w:rPr>
        <w:t xml:space="preserve"> is an offence under s60(2) of </w:t>
      </w:r>
      <w:r w:rsidR="005673EB" w:rsidRPr="0010696C">
        <w:rPr>
          <w:szCs w:val="24"/>
          <w:lang w:val="en-GB"/>
        </w:rPr>
        <w:t>FICA</w:t>
      </w:r>
      <w:r w:rsidR="00C50CF6" w:rsidRPr="0010696C">
        <w:rPr>
          <w:szCs w:val="24"/>
          <w:lang w:val="en-GB"/>
        </w:rPr>
        <w:t xml:space="preserve">.  </w:t>
      </w:r>
      <w:r w:rsidR="003E52A3">
        <w:rPr>
          <w:szCs w:val="24"/>
          <w:lang w:val="en-GB"/>
        </w:rPr>
        <w:t xml:space="preserve"> But </w:t>
      </w:r>
      <w:r w:rsidR="00D14BFB" w:rsidRPr="0010696C">
        <w:rPr>
          <w:szCs w:val="24"/>
          <w:lang w:val="en-GB"/>
        </w:rPr>
        <w:t xml:space="preserve">Amplifin and </w:t>
      </w:r>
      <w:r w:rsidR="00AA1D5B" w:rsidRPr="0010696C">
        <w:rPr>
          <w:szCs w:val="24"/>
          <w:lang w:val="en-GB"/>
        </w:rPr>
        <w:t>Mr Swart</w:t>
      </w:r>
      <w:r w:rsidR="00D14BFB" w:rsidRPr="0010696C">
        <w:rPr>
          <w:szCs w:val="24"/>
          <w:lang w:val="en-GB"/>
        </w:rPr>
        <w:t xml:space="preserve"> </w:t>
      </w:r>
      <w:r w:rsidR="003E52A3">
        <w:rPr>
          <w:szCs w:val="24"/>
          <w:lang w:val="en-GB"/>
        </w:rPr>
        <w:t>could have discussed</w:t>
      </w:r>
      <w:r w:rsidR="00605539" w:rsidRPr="0010696C">
        <w:rPr>
          <w:szCs w:val="24"/>
          <w:lang w:val="en-GB"/>
        </w:rPr>
        <w:t xml:space="preserve"> matters and Amplifin</w:t>
      </w:r>
      <w:r w:rsidR="00D324E6">
        <w:rPr>
          <w:szCs w:val="24"/>
          <w:lang w:val="en-GB"/>
        </w:rPr>
        <w:t xml:space="preserve"> could have</w:t>
      </w:r>
      <w:r w:rsidR="00D14BFB" w:rsidRPr="0010696C">
        <w:rPr>
          <w:szCs w:val="24"/>
          <w:lang w:val="en-GB"/>
        </w:rPr>
        <w:t xml:space="preserve"> join</w:t>
      </w:r>
      <w:r w:rsidR="00D324E6">
        <w:rPr>
          <w:szCs w:val="24"/>
          <w:lang w:val="en-GB"/>
        </w:rPr>
        <w:t>ed</w:t>
      </w:r>
      <w:r w:rsidR="00D14BFB" w:rsidRPr="0010696C">
        <w:rPr>
          <w:szCs w:val="24"/>
          <w:lang w:val="en-GB"/>
        </w:rPr>
        <w:t xml:space="preserve"> the Applicants</w:t>
      </w:r>
      <w:r w:rsidR="00F32FD7" w:rsidRPr="0010696C">
        <w:rPr>
          <w:szCs w:val="24"/>
          <w:lang w:val="en-GB"/>
        </w:rPr>
        <w:t>’</w:t>
      </w:r>
      <w:r w:rsidR="00605539" w:rsidRPr="0010696C">
        <w:rPr>
          <w:szCs w:val="24"/>
          <w:lang w:val="en-GB"/>
        </w:rPr>
        <w:t xml:space="preserve"> cause</w:t>
      </w:r>
      <w:r w:rsidR="00D14BFB" w:rsidRPr="0010696C">
        <w:rPr>
          <w:szCs w:val="24"/>
          <w:lang w:val="en-GB"/>
        </w:rPr>
        <w:t xml:space="preserve"> </w:t>
      </w:r>
      <w:r w:rsidR="00D36FBF" w:rsidRPr="0010696C">
        <w:rPr>
          <w:i/>
          <w:iCs/>
          <w:szCs w:val="24"/>
          <w:lang w:val="en-GB"/>
        </w:rPr>
        <w:t xml:space="preserve">after </w:t>
      </w:r>
      <w:r w:rsidR="00D36FBF" w:rsidRPr="0010696C">
        <w:rPr>
          <w:szCs w:val="24"/>
          <w:lang w:val="en-GB"/>
        </w:rPr>
        <w:t xml:space="preserve"> the termination decision was communicated</w:t>
      </w:r>
      <w:r w:rsidR="00B46399" w:rsidRPr="0010696C">
        <w:rPr>
          <w:szCs w:val="24"/>
          <w:lang w:val="en-GB"/>
        </w:rPr>
        <w:t>.</w:t>
      </w:r>
    </w:p>
    <w:p w14:paraId="35D8BE81" w14:textId="22D79E47" w:rsidR="00FF3F35" w:rsidRPr="0010696C" w:rsidRDefault="00693286" w:rsidP="00693286">
      <w:pPr>
        <w:pStyle w:val="Level1"/>
        <w:rPr>
          <w:szCs w:val="24"/>
          <w:lang w:val="en-GB"/>
        </w:rPr>
      </w:pPr>
      <w:r w:rsidRPr="0010696C">
        <w:rPr>
          <w:szCs w:val="24"/>
          <w:lang w:val="en-GB"/>
        </w:rPr>
        <w:t xml:space="preserve">All of the above </w:t>
      </w:r>
      <w:r w:rsidR="006E257B" w:rsidRPr="0010696C">
        <w:rPr>
          <w:szCs w:val="24"/>
          <w:lang w:val="en-GB"/>
        </w:rPr>
        <w:t xml:space="preserve">caused </w:t>
      </w:r>
      <w:r w:rsidR="00FF3F35" w:rsidRPr="0010696C">
        <w:rPr>
          <w:szCs w:val="24"/>
          <w:lang w:val="en-GB"/>
        </w:rPr>
        <w:t>prejudic</w:t>
      </w:r>
      <w:r w:rsidR="006E257B" w:rsidRPr="0010696C">
        <w:rPr>
          <w:szCs w:val="24"/>
          <w:lang w:val="en-GB"/>
        </w:rPr>
        <w:t>e</w:t>
      </w:r>
      <w:r w:rsidR="00FF3F35" w:rsidRPr="0010696C">
        <w:rPr>
          <w:szCs w:val="24"/>
          <w:lang w:val="en-GB"/>
        </w:rPr>
        <w:t xml:space="preserve"> to Capitec, which has been forced to fight on two fronts in an urgent application.</w:t>
      </w:r>
      <w:r w:rsidR="00EE6671" w:rsidRPr="0010696C">
        <w:rPr>
          <w:szCs w:val="24"/>
          <w:lang w:val="en-GB"/>
        </w:rPr>
        <w:t xml:space="preserve"> </w:t>
      </w:r>
      <w:r w:rsidR="006538DF" w:rsidRPr="0010696C">
        <w:rPr>
          <w:szCs w:val="24"/>
          <w:lang w:val="en-GB"/>
        </w:rPr>
        <w:t xml:space="preserve"> </w:t>
      </w:r>
      <w:r w:rsidR="00EE6671" w:rsidRPr="0010696C">
        <w:rPr>
          <w:szCs w:val="24"/>
          <w:lang w:val="en-GB"/>
        </w:rPr>
        <w:t>Capitec</w:t>
      </w:r>
      <w:r w:rsidR="005651BD" w:rsidRPr="0010696C">
        <w:rPr>
          <w:szCs w:val="24"/>
          <w:lang w:val="en-GB"/>
        </w:rPr>
        <w:t xml:space="preserve"> could not deal with </w:t>
      </w:r>
      <w:r w:rsidR="00AA1D5B" w:rsidRPr="0010696C">
        <w:rPr>
          <w:szCs w:val="24"/>
          <w:lang w:val="en-GB"/>
        </w:rPr>
        <w:t>Mr Swart</w:t>
      </w:r>
      <w:r w:rsidR="00F32FD7" w:rsidRPr="0010696C">
        <w:rPr>
          <w:szCs w:val="24"/>
          <w:lang w:val="en-GB"/>
        </w:rPr>
        <w:t>’</w:t>
      </w:r>
      <w:r w:rsidR="005651BD" w:rsidRPr="0010696C">
        <w:rPr>
          <w:szCs w:val="24"/>
          <w:lang w:val="en-GB"/>
        </w:rPr>
        <w:t>s affidavit in time</w:t>
      </w:r>
      <w:r w:rsidR="00A40DFD" w:rsidRPr="0010696C">
        <w:rPr>
          <w:szCs w:val="24"/>
          <w:lang w:val="en-GB"/>
        </w:rPr>
        <w:t>.</w:t>
      </w:r>
      <w:r w:rsidR="00B72FE0" w:rsidRPr="0010696C">
        <w:rPr>
          <w:szCs w:val="24"/>
          <w:lang w:val="en-GB"/>
        </w:rPr>
        <w:t xml:space="preserve"> </w:t>
      </w:r>
      <w:r w:rsidR="006538DF" w:rsidRPr="0010696C">
        <w:rPr>
          <w:szCs w:val="24"/>
          <w:lang w:val="en-GB"/>
        </w:rPr>
        <w:t xml:space="preserve"> </w:t>
      </w:r>
      <w:r w:rsidR="00B72FE0" w:rsidRPr="0010696C">
        <w:rPr>
          <w:szCs w:val="24"/>
          <w:lang w:val="en-GB"/>
        </w:rPr>
        <w:t>If not struck out, Cap</w:t>
      </w:r>
      <w:r w:rsidRPr="0010696C">
        <w:rPr>
          <w:szCs w:val="24"/>
          <w:lang w:val="en-GB"/>
        </w:rPr>
        <w:t>itec</w:t>
      </w:r>
      <w:r w:rsidR="00B72FE0" w:rsidRPr="0010696C">
        <w:rPr>
          <w:szCs w:val="24"/>
          <w:lang w:val="en-GB"/>
        </w:rPr>
        <w:t xml:space="preserve"> </w:t>
      </w:r>
      <w:r w:rsidR="00B46399" w:rsidRPr="0010696C">
        <w:rPr>
          <w:szCs w:val="24"/>
          <w:lang w:val="en-GB"/>
        </w:rPr>
        <w:t xml:space="preserve">understandably </w:t>
      </w:r>
      <w:r w:rsidR="00B72FE0" w:rsidRPr="0010696C">
        <w:rPr>
          <w:szCs w:val="24"/>
          <w:lang w:val="en-GB"/>
        </w:rPr>
        <w:t>wishes to</w:t>
      </w:r>
      <w:r w:rsidRPr="0010696C">
        <w:rPr>
          <w:szCs w:val="24"/>
          <w:lang w:val="en-GB"/>
        </w:rPr>
        <w:t xml:space="preserve"> fully</w:t>
      </w:r>
      <w:r w:rsidR="00B72FE0" w:rsidRPr="0010696C">
        <w:rPr>
          <w:szCs w:val="24"/>
          <w:lang w:val="en-GB"/>
        </w:rPr>
        <w:t xml:space="preserve"> deal with it</w:t>
      </w:r>
      <w:r w:rsidR="002B5F05" w:rsidRPr="0010696C">
        <w:rPr>
          <w:szCs w:val="24"/>
          <w:lang w:val="en-GB"/>
        </w:rPr>
        <w:t xml:space="preserve"> which will, in turn</w:t>
      </w:r>
      <w:r w:rsidR="00674C83" w:rsidRPr="0010696C">
        <w:rPr>
          <w:szCs w:val="24"/>
          <w:lang w:val="en-GB"/>
        </w:rPr>
        <w:t>,</w:t>
      </w:r>
      <w:r w:rsidR="002B5F05" w:rsidRPr="0010696C">
        <w:rPr>
          <w:szCs w:val="24"/>
          <w:lang w:val="en-GB"/>
        </w:rPr>
        <w:t xml:space="preserve"> </w:t>
      </w:r>
      <w:r w:rsidR="00315DCF" w:rsidRPr="0010696C">
        <w:rPr>
          <w:szCs w:val="24"/>
          <w:lang w:val="en-GB"/>
        </w:rPr>
        <w:t>cause a postponement of the main matter</w:t>
      </w:r>
      <w:r w:rsidR="003E3C27" w:rsidRPr="0010696C">
        <w:rPr>
          <w:szCs w:val="24"/>
          <w:lang w:val="en-GB"/>
        </w:rPr>
        <w:t xml:space="preserve"> and </w:t>
      </w:r>
      <w:r w:rsidR="002B5F05" w:rsidRPr="0010696C">
        <w:rPr>
          <w:szCs w:val="24"/>
          <w:lang w:val="en-GB"/>
        </w:rPr>
        <w:t xml:space="preserve">strengthen </w:t>
      </w:r>
      <w:r w:rsidR="003E3C27" w:rsidRPr="0010696C">
        <w:rPr>
          <w:szCs w:val="24"/>
          <w:lang w:val="en-GB"/>
        </w:rPr>
        <w:t>the Applicants</w:t>
      </w:r>
      <w:r w:rsidR="00F32FD7" w:rsidRPr="0010696C">
        <w:rPr>
          <w:szCs w:val="24"/>
          <w:lang w:val="en-GB"/>
        </w:rPr>
        <w:t>’</w:t>
      </w:r>
      <w:r w:rsidR="003E3C27" w:rsidRPr="0010696C">
        <w:rPr>
          <w:szCs w:val="24"/>
          <w:lang w:val="en-GB"/>
        </w:rPr>
        <w:t xml:space="preserve"> case for so-called </w:t>
      </w:r>
      <w:r w:rsidR="00F32FD7" w:rsidRPr="0010696C">
        <w:rPr>
          <w:szCs w:val="24"/>
          <w:lang w:val="en-GB"/>
        </w:rPr>
        <w:t>“</w:t>
      </w:r>
      <w:r w:rsidR="003E3C27" w:rsidRPr="0010696C">
        <w:rPr>
          <w:i/>
          <w:iCs/>
          <w:szCs w:val="24"/>
          <w:lang w:val="en-GB"/>
        </w:rPr>
        <w:t>interim-interim relief</w:t>
      </w:r>
      <w:r w:rsidR="00F32FD7" w:rsidRPr="0010696C">
        <w:rPr>
          <w:szCs w:val="24"/>
          <w:lang w:val="en-GB"/>
        </w:rPr>
        <w:t>”</w:t>
      </w:r>
      <w:r w:rsidR="00B85C48" w:rsidRPr="0010696C">
        <w:rPr>
          <w:szCs w:val="24"/>
          <w:lang w:val="en-GB"/>
        </w:rPr>
        <w:t>.</w:t>
      </w:r>
      <w:r w:rsidR="00B86AB4">
        <w:rPr>
          <w:szCs w:val="24"/>
          <w:lang w:val="en-GB"/>
        </w:rPr>
        <w:t xml:space="preserve">  There is clear prejudice to Capitec if the supporting affidavit is </w:t>
      </w:r>
      <w:r w:rsidR="00C474DB">
        <w:rPr>
          <w:szCs w:val="24"/>
          <w:lang w:val="en-GB"/>
        </w:rPr>
        <w:t xml:space="preserve">allowed in.  </w:t>
      </w:r>
    </w:p>
    <w:p w14:paraId="1A85478B" w14:textId="2F519617" w:rsidR="006A64EC" w:rsidRPr="0010696C" w:rsidRDefault="00EE6671" w:rsidP="00FF3F35">
      <w:pPr>
        <w:pStyle w:val="Level1"/>
        <w:rPr>
          <w:szCs w:val="24"/>
          <w:lang w:val="en-GB"/>
        </w:rPr>
      </w:pPr>
      <w:r w:rsidRPr="0010696C">
        <w:rPr>
          <w:szCs w:val="24"/>
          <w:lang w:val="en-GB"/>
        </w:rPr>
        <w:lastRenderedPageBreak/>
        <w:t xml:space="preserve">For these reasons I conclude that </w:t>
      </w:r>
      <w:r w:rsidR="00FF3F35" w:rsidRPr="0010696C">
        <w:rPr>
          <w:szCs w:val="24"/>
          <w:lang w:val="en-GB"/>
        </w:rPr>
        <w:t>Amplifin</w:t>
      </w:r>
      <w:r w:rsidR="00F32FD7" w:rsidRPr="0010696C">
        <w:rPr>
          <w:szCs w:val="24"/>
          <w:lang w:val="en-GB"/>
        </w:rPr>
        <w:t>’</w:t>
      </w:r>
      <w:r w:rsidRPr="0010696C">
        <w:rPr>
          <w:szCs w:val="24"/>
          <w:lang w:val="en-GB"/>
        </w:rPr>
        <w:t>s</w:t>
      </w:r>
      <w:r w:rsidR="00FF3F35" w:rsidRPr="0010696C">
        <w:rPr>
          <w:szCs w:val="24"/>
          <w:lang w:val="en-GB"/>
        </w:rPr>
        <w:t xml:space="preserve"> answering affidavit should be struck out</w:t>
      </w:r>
      <w:r w:rsidR="00BA2C64" w:rsidRPr="0010696C">
        <w:rPr>
          <w:szCs w:val="24"/>
          <w:lang w:val="en-GB"/>
        </w:rPr>
        <w:t xml:space="preserve"> in its entirety. </w:t>
      </w:r>
      <w:r w:rsidR="00196E25" w:rsidRPr="0010696C">
        <w:rPr>
          <w:szCs w:val="24"/>
          <w:lang w:val="en-GB"/>
        </w:rPr>
        <w:t xml:space="preserve"> </w:t>
      </w:r>
      <w:r w:rsidR="00DD7642" w:rsidRPr="0010696C">
        <w:rPr>
          <w:szCs w:val="24"/>
          <w:lang w:val="en-GB"/>
        </w:rPr>
        <w:t xml:space="preserve">The confirmatory affidavits deposed to by </w:t>
      </w:r>
      <w:r w:rsidR="00AA1D5B" w:rsidRPr="0010696C">
        <w:rPr>
          <w:szCs w:val="24"/>
          <w:lang w:val="en-GB"/>
        </w:rPr>
        <w:t>Mr Swart</w:t>
      </w:r>
      <w:r w:rsidR="00DD7642" w:rsidRPr="0010696C">
        <w:rPr>
          <w:szCs w:val="24"/>
          <w:lang w:val="en-GB"/>
        </w:rPr>
        <w:t xml:space="preserve"> </w:t>
      </w:r>
      <w:r w:rsidR="00296D3B" w:rsidRPr="0010696C">
        <w:rPr>
          <w:szCs w:val="24"/>
          <w:lang w:val="en-GB"/>
        </w:rPr>
        <w:t xml:space="preserve">are struck out on the same basis. </w:t>
      </w:r>
    </w:p>
    <w:p w14:paraId="0FD099E6" w14:textId="0F0E8BBF" w:rsidR="006A64EC" w:rsidRPr="0010696C" w:rsidRDefault="006A64EC" w:rsidP="006538DF">
      <w:pPr>
        <w:pStyle w:val="Heading1"/>
        <w:rPr>
          <w:rFonts w:cs="Times New Roman"/>
          <w:szCs w:val="24"/>
          <w:lang w:val="en-GB"/>
        </w:rPr>
      </w:pPr>
      <w:r w:rsidRPr="0010696C">
        <w:rPr>
          <w:rFonts w:cs="Times New Roman"/>
          <w:szCs w:val="24"/>
          <w:lang w:val="en-GB"/>
        </w:rPr>
        <w:t>The conditional application for the admission of a further affidavit in res</w:t>
      </w:r>
      <w:r w:rsidR="006E707F" w:rsidRPr="0010696C">
        <w:rPr>
          <w:rFonts w:cs="Times New Roman"/>
          <w:szCs w:val="24"/>
          <w:lang w:val="en-GB"/>
        </w:rPr>
        <w:t>ponse to Amplifin</w:t>
      </w:r>
      <w:r w:rsidR="00F32FD7" w:rsidRPr="0010696C">
        <w:rPr>
          <w:rFonts w:cs="Times New Roman"/>
          <w:szCs w:val="24"/>
          <w:lang w:val="en-GB"/>
        </w:rPr>
        <w:t>’</w:t>
      </w:r>
      <w:r w:rsidR="006E707F" w:rsidRPr="0010696C">
        <w:rPr>
          <w:rFonts w:cs="Times New Roman"/>
          <w:szCs w:val="24"/>
          <w:lang w:val="en-GB"/>
        </w:rPr>
        <w:t>s answering affidavit</w:t>
      </w:r>
    </w:p>
    <w:p w14:paraId="5711215F" w14:textId="33087FDE" w:rsidR="00FF3F35" w:rsidRPr="0010696C" w:rsidRDefault="006E707F" w:rsidP="00FF3F35">
      <w:pPr>
        <w:pStyle w:val="Level1"/>
        <w:rPr>
          <w:szCs w:val="24"/>
          <w:lang w:val="en-GB"/>
        </w:rPr>
      </w:pPr>
      <w:r w:rsidRPr="0010696C">
        <w:rPr>
          <w:szCs w:val="24"/>
          <w:lang w:val="en-GB"/>
        </w:rPr>
        <w:t>My conclusion in respect of the strike-out application</w:t>
      </w:r>
      <w:r w:rsidR="00196E25" w:rsidRPr="0010696C">
        <w:rPr>
          <w:szCs w:val="24"/>
          <w:lang w:val="en-GB"/>
        </w:rPr>
        <w:t xml:space="preserve"> disposes of Capitec</w:t>
      </w:r>
      <w:r w:rsidR="00F32FD7" w:rsidRPr="0010696C">
        <w:rPr>
          <w:szCs w:val="24"/>
          <w:lang w:val="en-GB"/>
        </w:rPr>
        <w:t>’</w:t>
      </w:r>
      <w:r w:rsidR="00196E25" w:rsidRPr="0010696C">
        <w:rPr>
          <w:szCs w:val="24"/>
          <w:lang w:val="en-GB"/>
        </w:rPr>
        <w:t xml:space="preserve">s </w:t>
      </w:r>
      <w:r w:rsidR="003B36E6">
        <w:rPr>
          <w:szCs w:val="24"/>
          <w:lang w:val="en-GB"/>
        </w:rPr>
        <w:t xml:space="preserve">conditional </w:t>
      </w:r>
      <w:r w:rsidR="00196E25" w:rsidRPr="0010696C">
        <w:rPr>
          <w:szCs w:val="24"/>
          <w:lang w:val="en-GB"/>
        </w:rPr>
        <w:t xml:space="preserve">application to file a </w:t>
      </w:r>
      <w:r w:rsidR="0070129B" w:rsidRPr="0010696C">
        <w:rPr>
          <w:szCs w:val="24"/>
          <w:lang w:val="en-GB"/>
        </w:rPr>
        <w:t xml:space="preserve">further affidavit in response </w:t>
      </w:r>
      <w:r w:rsidR="00CF66A1" w:rsidRPr="0010696C">
        <w:rPr>
          <w:szCs w:val="24"/>
          <w:lang w:val="en-GB"/>
        </w:rPr>
        <w:t>to Amplifin</w:t>
      </w:r>
      <w:r w:rsidR="00F32FD7" w:rsidRPr="0010696C">
        <w:rPr>
          <w:szCs w:val="24"/>
          <w:lang w:val="en-GB"/>
        </w:rPr>
        <w:t>’</w:t>
      </w:r>
      <w:r w:rsidR="00CF66A1" w:rsidRPr="0010696C">
        <w:rPr>
          <w:szCs w:val="24"/>
          <w:lang w:val="en-GB"/>
        </w:rPr>
        <w:t xml:space="preserve">s </w:t>
      </w:r>
      <w:r w:rsidR="00656B85" w:rsidRPr="0010696C">
        <w:rPr>
          <w:szCs w:val="24"/>
          <w:lang w:val="en-GB"/>
        </w:rPr>
        <w:t>supporting</w:t>
      </w:r>
      <w:r w:rsidR="00CF66A1" w:rsidRPr="0010696C">
        <w:rPr>
          <w:szCs w:val="24"/>
          <w:lang w:val="en-GB"/>
        </w:rPr>
        <w:t xml:space="preserve"> affidavit</w:t>
      </w:r>
      <w:r w:rsidR="0070129B" w:rsidRPr="0010696C">
        <w:rPr>
          <w:szCs w:val="24"/>
          <w:lang w:val="en-GB"/>
        </w:rPr>
        <w:t xml:space="preserve">. </w:t>
      </w:r>
      <w:r w:rsidR="00303DB1">
        <w:rPr>
          <w:szCs w:val="24"/>
          <w:lang w:val="en-GB"/>
        </w:rPr>
        <w:t xml:space="preserve"> In my view, no order should be made in respect of this application. </w:t>
      </w:r>
    </w:p>
    <w:p w14:paraId="1EEEF04B" w14:textId="24842B71" w:rsidR="00CF66A1" w:rsidRPr="0010696C" w:rsidRDefault="00CF66A1" w:rsidP="006538DF">
      <w:pPr>
        <w:pStyle w:val="Heading1"/>
        <w:rPr>
          <w:rFonts w:cs="Times New Roman"/>
          <w:szCs w:val="24"/>
          <w:lang w:val="en-GB"/>
        </w:rPr>
      </w:pPr>
      <w:r w:rsidRPr="0010696C">
        <w:rPr>
          <w:rFonts w:cs="Times New Roman"/>
          <w:szCs w:val="24"/>
          <w:lang w:val="en-GB"/>
        </w:rPr>
        <w:t xml:space="preserve">The application for the admission of a rejoinder affidavit in response to alleged new matter in </w:t>
      </w:r>
      <w:r w:rsidR="00AE6C71" w:rsidRPr="0010696C">
        <w:rPr>
          <w:rFonts w:cs="Times New Roman"/>
          <w:szCs w:val="24"/>
          <w:lang w:val="en-GB"/>
        </w:rPr>
        <w:t>the Applicants</w:t>
      </w:r>
      <w:r w:rsidR="00F60B3A" w:rsidRPr="0010696C">
        <w:rPr>
          <w:rFonts w:cs="Times New Roman"/>
          <w:szCs w:val="24"/>
          <w:lang w:val="en-GB"/>
        </w:rPr>
        <w:t>’</w:t>
      </w:r>
      <w:r w:rsidR="00AE6C71" w:rsidRPr="0010696C">
        <w:rPr>
          <w:rFonts w:cs="Times New Roman"/>
          <w:szCs w:val="24"/>
          <w:lang w:val="en-GB"/>
        </w:rPr>
        <w:t xml:space="preserve"> replying affidavit </w:t>
      </w:r>
    </w:p>
    <w:p w14:paraId="6F5BA5A5" w14:textId="7BB9A86D" w:rsidR="00522AFC" w:rsidRPr="0010696C" w:rsidRDefault="00522AFC" w:rsidP="00A678F8">
      <w:pPr>
        <w:pStyle w:val="Level1"/>
        <w:rPr>
          <w:szCs w:val="24"/>
          <w:lang w:val="en-GB"/>
        </w:rPr>
      </w:pPr>
      <w:r w:rsidRPr="0010696C">
        <w:rPr>
          <w:szCs w:val="24"/>
          <w:lang w:val="en-GB"/>
        </w:rPr>
        <w:t>Th</w:t>
      </w:r>
      <w:r w:rsidR="003B36E6">
        <w:rPr>
          <w:szCs w:val="24"/>
          <w:lang w:val="en-GB"/>
        </w:rPr>
        <w:t>e</w:t>
      </w:r>
      <w:r w:rsidR="00656B85" w:rsidRPr="0010696C">
        <w:rPr>
          <w:szCs w:val="24"/>
          <w:lang w:val="en-GB"/>
        </w:rPr>
        <w:t xml:space="preserve"> interlocutory</w:t>
      </w:r>
      <w:r w:rsidRPr="0010696C">
        <w:rPr>
          <w:szCs w:val="24"/>
          <w:lang w:val="en-GB"/>
        </w:rPr>
        <w:t xml:space="preserve"> application </w:t>
      </w:r>
      <w:r w:rsidR="001E783B" w:rsidRPr="0010696C">
        <w:rPr>
          <w:szCs w:val="24"/>
          <w:lang w:val="en-GB"/>
        </w:rPr>
        <w:t xml:space="preserve">of Capitec </w:t>
      </w:r>
      <w:r w:rsidR="003B36E6">
        <w:rPr>
          <w:szCs w:val="24"/>
          <w:lang w:val="en-GB"/>
        </w:rPr>
        <w:t xml:space="preserve">to file a rejoinder application </w:t>
      </w:r>
      <w:r w:rsidRPr="0010696C">
        <w:rPr>
          <w:szCs w:val="24"/>
          <w:lang w:val="en-GB"/>
        </w:rPr>
        <w:t>is not opposed by the Applicants</w:t>
      </w:r>
      <w:r w:rsidR="001E783B" w:rsidRPr="0010696C">
        <w:rPr>
          <w:szCs w:val="24"/>
          <w:lang w:val="en-GB"/>
        </w:rPr>
        <w:t xml:space="preserve">.  It is however not opposed on the </w:t>
      </w:r>
      <w:r w:rsidR="001661F4" w:rsidRPr="0010696C">
        <w:rPr>
          <w:szCs w:val="24"/>
          <w:lang w:val="en-GB"/>
        </w:rPr>
        <w:t xml:space="preserve">basis that it requires </w:t>
      </w:r>
      <w:r w:rsidRPr="0010696C">
        <w:rPr>
          <w:szCs w:val="24"/>
          <w:lang w:val="en-GB"/>
        </w:rPr>
        <w:t>that</w:t>
      </w:r>
      <w:r w:rsidR="00FD1E85" w:rsidRPr="0010696C">
        <w:rPr>
          <w:szCs w:val="24"/>
          <w:lang w:val="en-GB"/>
        </w:rPr>
        <w:t xml:space="preserve"> the matter be postponed and that</w:t>
      </w:r>
      <w:r w:rsidRPr="0010696C">
        <w:rPr>
          <w:szCs w:val="24"/>
          <w:lang w:val="en-GB"/>
        </w:rPr>
        <w:t xml:space="preserve"> the</w:t>
      </w:r>
      <w:r w:rsidR="001661F4" w:rsidRPr="0010696C">
        <w:rPr>
          <w:szCs w:val="24"/>
          <w:lang w:val="en-GB"/>
        </w:rPr>
        <w:t xml:space="preserve"> Applicants </w:t>
      </w:r>
      <w:r w:rsidR="00FD1E85" w:rsidRPr="0010696C">
        <w:rPr>
          <w:szCs w:val="24"/>
          <w:lang w:val="en-GB"/>
        </w:rPr>
        <w:t xml:space="preserve">be given an opportunity to </w:t>
      </w:r>
      <w:r w:rsidR="00FC777D" w:rsidRPr="0010696C">
        <w:rPr>
          <w:szCs w:val="24"/>
          <w:lang w:val="en-GB"/>
        </w:rPr>
        <w:t xml:space="preserve">reply to the rejoinder </w:t>
      </w:r>
      <w:r w:rsidR="001661F4" w:rsidRPr="0010696C">
        <w:rPr>
          <w:szCs w:val="24"/>
          <w:lang w:val="en-GB"/>
        </w:rPr>
        <w:t xml:space="preserve">affidavit </w:t>
      </w:r>
      <w:r w:rsidR="00FC777D" w:rsidRPr="0010696C">
        <w:rPr>
          <w:szCs w:val="24"/>
          <w:lang w:val="en-GB"/>
        </w:rPr>
        <w:t xml:space="preserve">and that interim-interim relief is granted.  </w:t>
      </w:r>
      <w:r w:rsidR="001661F4" w:rsidRPr="0010696C">
        <w:rPr>
          <w:szCs w:val="24"/>
          <w:lang w:val="en-GB"/>
        </w:rPr>
        <w:t>The latter is una</w:t>
      </w:r>
      <w:r w:rsidR="00827C01" w:rsidRPr="0010696C">
        <w:rPr>
          <w:szCs w:val="24"/>
          <w:lang w:val="en-GB"/>
        </w:rPr>
        <w:t xml:space="preserve">cceptable to Capitec.  </w:t>
      </w:r>
    </w:p>
    <w:p w14:paraId="43A1B91C" w14:textId="14256673" w:rsidR="00827C01" w:rsidRPr="0010696C" w:rsidRDefault="00827C01" w:rsidP="00A678F8">
      <w:pPr>
        <w:pStyle w:val="Level1"/>
        <w:rPr>
          <w:szCs w:val="24"/>
          <w:lang w:val="en-GB"/>
        </w:rPr>
      </w:pPr>
      <w:r w:rsidRPr="0010696C">
        <w:rPr>
          <w:szCs w:val="24"/>
          <w:lang w:val="en-GB"/>
        </w:rPr>
        <w:t xml:space="preserve">In my view, the application for the admission of the rejoinder application should be dismissed. </w:t>
      </w:r>
    </w:p>
    <w:p w14:paraId="647E6E43" w14:textId="4B413E60" w:rsidR="00CB2F87" w:rsidRPr="0010696C" w:rsidRDefault="009840D1" w:rsidP="00A678F8">
      <w:pPr>
        <w:pStyle w:val="Level1"/>
        <w:rPr>
          <w:szCs w:val="24"/>
          <w:lang w:val="en-GB"/>
        </w:rPr>
      </w:pPr>
      <w:r w:rsidRPr="0010696C">
        <w:rPr>
          <w:szCs w:val="24"/>
          <w:lang w:val="en-GB"/>
        </w:rPr>
        <w:t xml:space="preserve">It took Capitec two weeks after the </w:t>
      </w:r>
      <w:r w:rsidR="00BC650F" w:rsidRPr="0010696C">
        <w:rPr>
          <w:szCs w:val="24"/>
          <w:lang w:val="en-GB"/>
        </w:rPr>
        <w:t>receiving the Applicants</w:t>
      </w:r>
      <w:r w:rsidR="00F32FD7" w:rsidRPr="0010696C">
        <w:rPr>
          <w:szCs w:val="24"/>
          <w:lang w:val="en-GB"/>
        </w:rPr>
        <w:t>’</w:t>
      </w:r>
      <w:r w:rsidR="00BC650F" w:rsidRPr="0010696C">
        <w:rPr>
          <w:szCs w:val="24"/>
          <w:lang w:val="en-GB"/>
        </w:rPr>
        <w:t xml:space="preserve"> replying affidavit </w:t>
      </w:r>
      <w:r w:rsidR="004B355A" w:rsidRPr="0010696C">
        <w:rPr>
          <w:szCs w:val="24"/>
          <w:lang w:val="en-GB"/>
        </w:rPr>
        <w:t>to bring the application for the admission of the rejoinder a</w:t>
      </w:r>
      <w:r w:rsidR="00406082" w:rsidRPr="0010696C">
        <w:rPr>
          <w:szCs w:val="24"/>
          <w:lang w:val="en-GB"/>
        </w:rPr>
        <w:t>ffidavit</w:t>
      </w:r>
      <w:r w:rsidR="004B355A" w:rsidRPr="0010696C">
        <w:rPr>
          <w:szCs w:val="24"/>
          <w:lang w:val="en-GB"/>
        </w:rPr>
        <w:t xml:space="preserve">.  </w:t>
      </w:r>
      <w:r w:rsidR="00F6498B" w:rsidRPr="0010696C">
        <w:rPr>
          <w:szCs w:val="24"/>
          <w:lang w:val="en-GB"/>
        </w:rPr>
        <w:t xml:space="preserve">Capitec received the </w:t>
      </w:r>
      <w:r w:rsidR="00CB2F87" w:rsidRPr="0010696C">
        <w:rPr>
          <w:szCs w:val="24"/>
          <w:lang w:val="en-GB"/>
        </w:rPr>
        <w:t xml:space="preserve">replying </w:t>
      </w:r>
      <w:r w:rsidR="00F6498B" w:rsidRPr="0010696C">
        <w:rPr>
          <w:szCs w:val="24"/>
          <w:lang w:val="en-GB"/>
        </w:rPr>
        <w:t>affidavit</w:t>
      </w:r>
      <w:r w:rsidR="00CB2F87" w:rsidRPr="0010696C">
        <w:rPr>
          <w:szCs w:val="24"/>
          <w:lang w:val="en-GB"/>
        </w:rPr>
        <w:t xml:space="preserve"> on 10</w:t>
      </w:r>
      <w:r w:rsidR="006538DF" w:rsidRPr="0010696C">
        <w:rPr>
          <w:szCs w:val="24"/>
          <w:lang w:val="en-GB"/>
        </w:rPr>
        <w:t> </w:t>
      </w:r>
      <w:r w:rsidR="00CB2F87" w:rsidRPr="0010696C">
        <w:rPr>
          <w:szCs w:val="24"/>
          <w:lang w:val="en-GB"/>
        </w:rPr>
        <w:t>November</w:t>
      </w:r>
      <w:r w:rsidR="006538DF" w:rsidRPr="0010696C">
        <w:rPr>
          <w:szCs w:val="24"/>
          <w:lang w:val="en-GB"/>
        </w:rPr>
        <w:t> </w:t>
      </w:r>
      <w:r w:rsidR="00CB2F87" w:rsidRPr="0010696C">
        <w:rPr>
          <w:szCs w:val="24"/>
          <w:lang w:val="en-GB"/>
        </w:rPr>
        <w:t xml:space="preserve">2023 and brought the </w:t>
      </w:r>
      <w:r w:rsidR="00406082" w:rsidRPr="0010696C">
        <w:rPr>
          <w:szCs w:val="24"/>
          <w:lang w:val="en-GB"/>
        </w:rPr>
        <w:t>interlocutory application on 24</w:t>
      </w:r>
      <w:r w:rsidR="006538DF" w:rsidRPr="0010696C">
        <w:rPr>
          <w:szCs w:val="24"/>
          <w:lang w:val="en-GB"/>
        </w:rPr>
        <w:t> </w:t>
      </w:r>
      <w:r w:rsidR="00875951" w:rsidRPr="0010696C">
        <w:rPr>
          <w:szCs w:val="24"/>
          <w:lang w:val="en-GB"/>
        </w:rPr>
        <w:t>November</w:t>
      </w:r>
      <w:r w:rsidR="006538DF" w:rsidRPr="0010696C">
        <w:rPr>
          <w:szCs w:val="24"/>
          <w:lang w:val="en-GB"/>
        </w:rPr>
        <w:t> </w:t>
      </w:r>
      <w:r w:rsidR="00875951" w:rsidRPr="0010696C">
        <w:rPr>
          <w:szCs w:val="24"/>
          <w:lang w:val="en-GB"/>
        </w:rPr>
        <w:t xml:space="preserve">2023. </w:t>
      </w:r>
    </w:p>
    <w:p w14:paraId="5A36C22A" w14:textId="1AD8B63F" w:rsidR="00D137A9" w:rsidRPr="0010696C" w:rsidRDefault="00C3210D" w:rsidP="00A678F8">
      <w:pPr>
        <w:pStyle w:val="Level1"/>
        <w:rPr>
          <w:szCs w:val="24"/>
          <w:lang w:val="en-GB"/>
        </w:rPr>
      </w:pPr>
      <w:r w:rsidRPr="0010696C">
        <w:rPr>
          <w:szCs w:val="24"/>
          <w:lang w:val="en-GB"/>
        </w:rPr>
        <w:lastRenderedPageBreak/>
        <w:t xml:space="preserve">Two weeks may not seem that long.  </w:t>
      </w:r>
      <w:r w:rsidR="000F16E6" w:rsidRPr="0010696C">
        <w:rPr>
          <w:szCs w:val="24"/>
          <w:lang w:val="en-GB"/>
        </w:rPr>
        <w:t>But in</w:t>
      </w:r>
      <w:r w:rsidR="004B355A" w:rsidRPr="0010696C">
        <w:rPr>
          <w:szCs w:val="24"/>
          <w:lang w:val="en-GB"/>
        </w:rPr>
        <w:t xml:space="preserve"> the context </w:t>
      </w:r>
      <w:r w:rsidR="006F2C70" w:rsidRPr="0010696C">
        <w:rPr>
          <w:szCs w:val="24"/>
          <w:lang w:val="en-GB"/>
        </w:rPr>
        <w:t xml:space="preserve">of a tight timetable </w:t>
      </w:r>
      <w:r w:rsidR="00F6498B" w:rsidRPr="0010696C">
        <w:rPr>
          <w:szCs w:val="24"/>
          <w:lang w:val="en-GB"/>
        </w:rPr>
        <w:t>aimed at facilitating a hearing on</w:t>
      </w:r>
      <w:r w:rsidR="00875951" w:rsidRPr="0010696C">
        <w:rPr>
          <w:szCs w:val="24"/>
          <w:lang w:val="en-GB"/>
        </w:rPr>
        <w:t xml:space="preserve"> 27</w:t>
      </w:r>
      <w:r w:rsidR="006538DF" w:rsidRPr="0010696C">
        <w:rPr>
          <w:szCs w:val="24"/>
          <w:lang w:val="en-GB"/>
        </w:rPr>
        <w:t> </w:t>
      </w:r>
      <w:r w:rsidR="00875951" w:rsidRPr="0010696C">
        <w:rPr>
          <w:szCs w:val="24"/>
          <w:lang w:val="en-GB"/>
        </w:rPr>
        <w:t>November</w:t>
      </w:r>
      <w:r w:rsidR="006538DF" w:rsidRPr="0010696C">
        <w:rPr>
          <w:szCs w:val="24"/>
          <w:lang w:val="en-GB"/>
        </w:rPr>
        <w:t> </w:t>
      </w:r>
      <w:r w:rsidR="00875951" w:rsidRPr="0010696C">
        <w:rPr>
          <w:szCs w:val="24"/>
          <w:lang w:val="en-GB"/>
        </w:rPr>
        <w:t xml:space="preserve">2023, </w:t>
      </w:r>
      <w:r w:rsidR="00731C91" w:rsidRPr="0010696C">
        <w:rPr>
          <w:szCs w:val="24"/>
          <w:lang w:val="en-GB"/>
        </w:rPr>
        <w:t xml:space="preserve">and with the termination date being set </w:t>
      </w:r>
      <w:r w:rsidR="00E0491C" w:rsidRPr="0010696C">
        <w:rPr>
          <w:szCs w:val="24"/>
          <w:lang w:val="en-GB"/>
        </w:rPr>
        <w:t xml:space="preserve">by Capitec </w:t>
      </w:r>
      <w:r w:rsidR="00731C91" w:rsidRPr="0010696C">
        <w:rPr>
          <w:szCs w:val="24"/>
          <w:lang w:val="en-GB"/>
        </w:rPr>
        <w:t>for 9</w:t>
      </w:r>
      <w:r w:rsidR="006538DF" w:rsidRPr="0010696C">
        <w:rPr>
          <w:szCs w:val="24"/>
          <w:lang w:val="en-GB"/>
        </w:rPr>
        <w:t> </w:t>
      </w:r>
      <w:r w:rsidR="00731C91" w:rsidRPr="0010696C">
        <w:rPr>
          <w:szCs w:val="24"/>
          <w:lang w:val="en-GB"/>
        </w:rPr>
        <w:t>January</w:t>
      </w:r>
      <w:r w:rsidR="006538DF" w:rsidRPr="0010696C">
        <w:rPr>
          <w:szCs w:val="24"/>
          <w:lang w:val="en-GB"/>
        </w:rPr>
        <w:t> </w:t>
      </w:r>
      <w:r w:rsidR="00731C91" w:rsidRPr="0010696C">
        <w:rPr>
          <w:szCs w:val="24"/>
          <w:lang w:val="en-GB"/>
        </w:rPr>
        <w:t>2024</w:t>
      </w:r>
      <w:r w:rsidR="00E0491C" w:rsidRPr="0010696C">
        <w:rPr>
          <w:szCs w:val="24"/>
          <w:lang w:val="en-GB"/>
        </w:rPr>
        <w:t xml:space="preserve">, </w:t>
      </w:r>
      <w:r w:rsidR="00875951" w:rsidRPr="0010696C">
        <w:rPr>
          <w:szCs w:val="24"/>
          <w:lang w:val="en-GB"/>
        </w:rPr>
        <w:t>Capitec took too long</w:t>
      </w:r>
      <w:r w:rsidR="00E0491C" w:rsidRPr="0010696C">
        <w:rPr>
          <w:szCs w:val="24"/>
          <w:lang w:val="en-GB"/>
        </w:rPr>
        <w:t xml:space="preserve">. </w:t>
      </w:r>
      <w:r w:rsidR="00522AFC" w:rsidRPr="0010696C">
        <w:rPr>
          <w:szCs w:val="24"/>
          <w:lang w:val="en-GB"/>
        </w:rPr>
        <w:t xml:space="preserve"> The </w:t>
      </w:r>
      <w:r w:rsidR="00E801E7" w:rsidRPr="0010696C">
        <w:rPr>
          <w:szCs w:val="24"/>
          <w:lang w:val="en-GB"/>
        </w:rPr>
        <w:t>application should be dismissed on this basis alone.</w:t>
      </w:r>
      <w:r w:rsidR="00EE5446" w:rsidRPr="0010696C">
        <w:rPr>
          <w:szCs w:val="24"/>
          <w:lang w:val="en-GB"/>
        </w:rPr>
        <w:t xml:space="preserve"> </w:t>
      </w:r>
      <w:r w:rsidR="00E801E7" w:rsidRPr="0010696C">
        <w:rPr>
          <w:szCs w:val="24"/>
          <w:lang w:val="en-GB"/>
        </w:rPr>
        <w:t xml:space="preserve"> I should add that the alleged new matter in reply consists largely of </w:t>
      </w:r>
      <w:r w:rsidR="00D5236A" w:rsidRPr="0010696C">
        <w:rPr>
          <w:szCs w:val="24"/>
          <w:lang w:val="en-GB"/>
        </w:rPr>
        <w:t xml:space="preserve">hearsay evidence proffered by </w:t>
      </w:r>
      <w:r w:rsidR="00AA1D5B" w:rsidRPr="0010696C">
        <w:rPr>
          <w:szCs w:val="24"/>
          <w:lang w:val="en-GB"/>
        </w:rPr>
        <w:t>Mr Gao</w:t>
      </w:r>
      <w:r w:rsidR="001A4CF2" w:rsidRPr="0010696C">
        <w:rPr>
          <w:szCs w:val="24"/>
          <w:lang w:val="en-GB"/>
        </w:rPr>
        <w:t xml:space="preserve"> </w:t>
      </w:r>
      <w:r w:rsidR="00903CC9" w:rsidRPr="0010696C">
        <w:rPr>
          <w:szCs w:val="24"/>
          <w:lang w:val="en-GB"/>
        </w:rPr>
        <w:t xml:space="preserve">as advised by </w:t>
      </w:r>
      <w:r w:rsidR="00AA1D5B" w:rsidRPr="0010696C">
        <w:rPr>
          <w:szCs w:val="24"/>
          <w:lang w:val="en-GB"/>
        </w:rPr>
        <w:t>Mr Swart</w:t>
      </w:r>
      <w:r w:rsidR="00903CC9" w:rsidRPr="0010696C">
        <w:rPr>
          <w:szCs w:val="24"/>
          <w:lang w:val="en-GB"/>
        </w:rPr>
        <w:t>.  This hearsay evidence</w:t>
      </w:r>
      <w:r w:rsidR="00A83EA0" w:rsidRPr="0010696C">
        <w:rPr>
          <w:szCs w:val="24"/>
          <w:lang w:val="en-GB"/>
        </w:rPr>
        <w:t xml:space="preserve"> can be dealt with in ter</w:t>
      </w:r>
      <w:r w:rsidR="000375B9" w:rsidRPr="0010696C">
        <w:rPr>
          <w:szCs w:val="24"/>
          <w:lang w:val="en-GB"/>
        </w:rPr>
        <w:t>ms of the established principles</w:t>
      </w:r>
      <w:r w:rsidR="001A4CF2" w:rsidRPr="0010696C">
        <w:rPr>
          <w:szCs w:val="24"/>
          <w:lang w:val="en-GB"/>
        </w:rPr>
        <w:t>, now that the affidavit</w:t>
      </w:r>
      <w:r w:rsidR="00296D3B" w:rsidRPr="0010696C">
        <w:rPr>
          <w:szCs w:val="24"/>
          <w:lang w:val="en-GB"/>
        </w:rPr>
        <w:t>s</w:t>
      </w:r>
      <w:r w:rsidR="001A4CF2" w:rsidRPr="0010696C">
        <w:rPr>
          <w:szCs w:val="24"/>
          <w:lang w:val="en-GB"/>
        </w:rPr>
        <w:t xml:space="preserve"> of </w:t>
      </w:r>
      <w:r w:rsidR="00AA1D5B" w:rsidRPr="0010696C">
        <w:rPr>
          <w:szCs w:val="24"/>
          <w:lang w:val="en-GB"/>
        </w:rPr>
        <w:t>Mr Swart</w:t>
      </w:r>
      <w:r w:rsidR="001A4CF2" w:rsidRPr="0010696C">
        <w:rPr>
          <w:szCs w:val="24"/>
          <w:lang w:val="en-GB"/>
        </w:rPr>
        <w:t xml:space="preserve"> </w:t>
      </w:r>
      <w:r w:rsidR="00903CC9" w:rsidRPr="0010696C">
        <w:rPr>
          <w:szCs w:val="24"/>
          <w:lang w:val="en-GB"/>
        </w:rPr>
        <w:t>ha</w:t>
      </w:r>
      <w:r w:rsidR="00296D3B" w:rsidRPr="0010696C">
        <w:rPr>
          <w:szCs w:val="24"/>
          <w:lang w:val="en-GB"/>
        </w:rPr>
        <w:t>ve</w:t>
      </w:r>
      <w:r w:rsidR="00903CC9" w:rsidRPr="0010696C">
        <w:rPr>
          <w:szCs w:val="24"/>
          <w:lang w:val="en-GB"/>
        </w:rPr>
        <w:t xml:space="preserve"> been struck out</w:t>
      </w:r>
      <w:r w:rsidR="00FD2C70" w:rsidRPr="0010696C">
        <w:rPr>
          <w:szCs w:val="24"/>
          <w:lang w:val="en-GB"/>
        </w:rPr>
        <w:t>.</w:t>
      </w:r>
    </w:p>
    <w:p w14:paraId="46BB640F" w14:textId="0972D028" w:rsidR="0047618E" w:rsidRPr="0010696C" w:rsidRDefault="0047618E" w:rsidP="00B95564">
      <w:pPr>
        <w:pStyle w:val="Heading1"/>
        <w:rPr>
          <w:rFonts w:cs="Times New Roman"/>
          <w:szCs w:val="24"/>
          <w:lang w:val="en-GB"/>
        </w:rPr>
      </w:pPr>
      <w:r w:rsidRPr="0010696C">
        <w:rPr>
          <w:rFonts w:cs="Times New Roman"/>
          <w:szCs w:val="24"/>
          <w:lang w:val="en-GB"/>
        </w:rPr>
        <w:t>Postponement</w:t>
      </w:r>
    </w:p>
    <w:p w14:paraId="49785800" w14:textId="709AE734" w:rsidR="00F2715D" w:rsidRPr="0010696C" w:rsidRDefault="00F2715D" w:rsidP="00A678F8">
      <w:pPr>
        <w:pStyle w:val="Level1"/>
        <w:rPr>
          <w:szCs w:val="24"/>
          <w:lang w:val="en-GB"/>
        </w:rPr>
      </w:pPr>
      <w:r w:rsidRPr="0010696C">
        <w:rPr>
          <w:szCs w:val="24"/>
          <w:lang w:val="en-GB"/>
        </w:rPr>
        <w:t>Although termed a postponement application, the fourth interlocutory is in fact</w:t>
      </w:r>
      <w:r w:rsidR="008817ED" w:rsidRPr="0010696C">
        <w:rPr>
          <w:szCs w:val="24"/>
          <w:lang w:val="en-GB"/>
        </w:rPr>
        <w:t xml:space="preserve"> for a</w:t>
      </w:r>
      <w:r w:rsidR="00A12EED" w:rsidRPr="0010696C">
        <w:rPr>
          <w:szCs w:val="24"/>
          <w:lang w:val="en-GB"/>
        </w:rPr>
        <w:t xml:space="preserve"> postponement coupled with interim-interim relief. </w:t>
      </w:r>
    </w:p>
    <w:p w14:paraId="15B513D8" w14:textId="3AD51F9A" w:rsidR="006833E3" w:rsidRPr="0010696C" w:rsidRDefault="00FB3AB6" w:rsidP="00A678F8">
      <w:pPr>
        <w:pStyle w:val="Level1"/>
        <w:rPr>
          <w:szCs w:val="24"/>
          <w:lang w:val="en-GB"/>
        </w:rPr>
      </w:pPr>
      <w:r w:rsidRPr="0010696C">
        <w:rPr>
          <w:szCs w:val="24"/>
          <w:lang w:val="en-GB"/>
        </w:rPr>
        <w:t>My conclusion</w:t>
      </w:r>
      <w:r w:rsidR="005901D4" w:rsidRPr="0010696C">
        <w:rPr>
          <w:szCs w:val="24"/>
          <w:lang w:val="en-GB"/>
        </w:rPr>
        <w:t>s</w:t>
      </w:r>
      <w:r w:rsidRPr="0010696C">
        <w:rPr>
          <w:szCs w:val="24"/>
          <w:lang w:val="en-GB"/>
        </w:rPr>
        <w:t xml:space="preserve"> in respect of the</w:t>
      </w:r>
      <w:r w:rsidR="00E63645" w:rsidRPr="0010696C">
        <w:rPr>
          <w:szCs w:val="24"/>
          <w:lang w:val="en-GB"/>
        </w:rPr>
        <w:t xml:space="preserve"> above three interlocutory applications</w:t>
      </w:r>
      <w:r w:rsidR="000A6915" w:rsidRPr="0010696C">
        <w:rPr>
          <w:szCs w:val="24"/>
          <w:lang w:val="en-GB"/>
        </w:rPr>
        <w:t xml:space="preserve"> remove</w:t>
      </w:r>
      <w:r w:rsidR="0061341D" w:rsidRPr="0010696C">
        <w:rPr>
          <w:szCs w:val="24"/>
          <w:lang w:val="en-GB"/>
        </w:rPr>
        <w:t xml:space="preserve"> </w:t>
      </w:r>
      <w:r w:rsidR="000A6915" w:rsidRPr="0010696C">
        <w:rPr>
          <w:szCs w:val="24"/>
          <w:lang w:val="en-GB"/>
        </w:rPr>
        <w:t xml:space="preserve">the primary </w:t>
      </w:r>
      <w:r w:rsidR="00116684" w:rsidRPr="0010696C">
        <w:rPr>
          <w:szCs w:val="24"/>
          <w:lang w:val="en-GB"/>
        </w:rPr>
        <w:t xml:space="preserve">motivation for the postponement application, which is that Capitec </w:t>
      </w:r>
      <w:r w:rsidR="006967C5" w:rsidRPr="0010696C">
        <w:rPr>
          <w:szCs w:val="24"/>
          <w:lang w:val="en-GB"/>
        </w:rPr>
        <w:t xml:space="preserve">and the Applicants </w:t>
      </w:r>
      <w:r w:rsidR="00116684" w:rsidRPr="0010696C">
        <w:rPr>
          <w:szCs w:val="24"/>
          <w:lang w:val="en-GB"/>
        </w:rPr>
        <w:t xml:space="preserve">must be </w:t>
      </w:r>
      <w:r w:rsidR="006967C5" w:rsidRPr="0010696C">
        <w:rPr>
          <w:szCs w:val="24"/>
          <w:lang w:val="en-GB"/>
        </w:rPr>
        <w:t>granted an opportunity to file further affidavits</w:t>
      </w:r>
      <w:r w:rsidR="002058A4" w:rsidRPr="0010696C">
        <w:rPr>
          <w:szCs w:val="24"/>
          <w:lang w:val="en-GB"/>
        </w:rPr>
        <w:t xml:space="preserve"> so that the </w:t>
      </w:r>
      <w:r w:rsidR="00CC44E3">
        <w:rPr>
          <w:szCs w:val="24"/>
          <w:lang w:val="en-GB"/>
        </w:rPr>
        <w:t>“</w:t>
      </w:r>
      <w:r w:rsidR="002058A4" w:rsidRPr="00CC44E3">
        <w:rPr>
          <w:i/>
          <w:iCs/>
          <w:szCs w:val="24"/>
          <w:lang w:val="en-GB"/>
        </w:rPr>
        <w:t>full picture</w:t>
      </w:r>
      <w:r w:rsidR="00CC44E3">
        <w:rPr>
          <w:szCs w:val="24"/>
          <w:lang w:val="en-GB"/>
        </w:rPr>
        <w:t>”</w:t>
      </w:r>
      <w:r w:rsidR="002058A4" w:rsidRPr="0010696C">
        <w:rPr>
          <w:szCs w:val="24"/>
          <w:lang w:val="en-GB"/>
        </w:rPr>
        <w:t xml:space="preserve"> is before the Court. </w:t>
      </w:r>
      <w:r w:rsidR="00705A8E" w:rsidRPr="0010696C">
        <w:rPr>
          <w:szCs w:val="24"/>
          <w:lang w:val="en-GB"/>
        </w:rPr>
        <w:t xml:space="preserve"> If the</w:t>
      </w:r>
      <w:r w:rsidR="00461830" w:rsidRPr="0010696C">
        <w:rPr>
          <w:szCs w:val="24"/>
          <w:lang w:val="en-GB"/>
        </w:rPr>
        <w:t xml:space="preserve">re is no need for the filing of further affidavits and if the Amplifin supporting affidavit and the Capitec </w:t>
      </w:r>
      <w:r w:rsidR="0014504D" w:rsidRPr="0010696C">
        <w:rPr>
          <w:szCs w:val="24"/>
          <w:lang w:val="en-GB"/>
        </w:rPr>
        <w:t xml:space="preserve">rejoinder affidavit is to be </w:t>
      </w:r>
      <w:r w:rsidR="00656B85" w:rsidRPr="0010696C">
        <w:rPr>
          <w:szCs w:val="24"/>
          <w:lang w:val="en-GB"/>
        </w:rPr>
        <w:t>disregarded</w:t>
      </w:r>
      <w:r w:rsidR="0014504D" w:rsidRPr="0010696C">
        <w:rPr>
          <w:szCs w:val="24"/>
          <w:lang w:val="en-GB"/>
        </w:rPr>
        <w:t>, as I</w:t>
      </w:r>
      <w:r w:rsidR="00656B85" w:rsidRPr="0010696C">
        <w:rPr>
          <w:szCs w:val="24"/>
          <w:lang w:val="en-GB"/>
        </w:rPr>
        <w:t xml:space="preserve"> intend to do</w:t>
      </w:r>
      <w:r w:rsidR="0014504D" w:rsidRPr="0010696C">
        <w:rPr>
          <w:szCs w:val="24"/>
          <w:lang w:val="en-GB"/>
        </w:rPr>
        <w:t xml:space="preserve">, then there is no need for a postponement. </w:t>
      </w:r>
    </w:p>
    <w:p w14:paraId="52083F83" w14:textId="135F30A3" w:rsidR="0047618E" w:rsidRPr="0010696C" w:rsidRDefault="006833E3" w:rsidP="00A678F8">
      <w:pPr>
        <w:pStyle w:val="Level1"/>
        <w:rPr>
          <w:szCs w:val="24"/>
          <w:lang w:val="en-GB"/>
        </w:rPr>
      </w:pPr>
      <w:r w:rsidRPr="0010696C">
        <w:rPr>
          <w:szCs w:val="24"/>
          <w:lang w:val="en-GB"/>
        </w:rPr>
        <w:t xml:space="preserve">A considerable weaker argument for the </w:t>
      </w:r>
      <w:r w:rsidR="00373471" w:rsidRPr="0010696C">
        <w:rPr>
          <w:szCs w:val="24"/>
          <w:lang w:val="en-GB"/>
        </w:rPr>
        <w:t xml:space="preserve">postponement was that the uncertainty of </w:t>
      </w:r>
      <w:r w:rsidR="00F32FD7" w:rsidRPr="0010696C">
        <w:rPr>
          <w:szCs w:val="24"/>
          <w:lang w:val="en-GB"/>
        </w:rPr>
        <w:t>“</w:t>
      </w:r>
      <w:r w:rsidR="00373471" w:rsidRPr="0010696C">
        <w:rPr>
          <w:i/>
          <w:iCs/>
          <w:szCs w:val="24"/>
          <w:lang w:val="en-GB"/>
        </w:rPr>
        <w:t>what was before the Court</w:t>
      </w:r>
      <w:r w:rsidR="00F32FD7" w:rsidRPr="0010696C">
        <w:rPr>
          <w:szCs w:val="24"/>
          <w:lang w:val="en-GB"/>
        </w:rPr>
        <w:t>”</w:t>
      </w:r>
      <w:r w:rsidR="00373471" w:rsidRPr="0010696C">
        <w:rPr>
          <w:szCs w:val="24"/>
          <w:lang w:val="en-GB"/>
        </w:rPr>
        <w:t xml:space="preserve"> hampered </w:t>
      </w:r>
      <w:r w:rsidR="00ED357B" w:rsidRPr="0010696C">
        <w:rPr>
          <w:szCs w:val="24"/>
          <w:lang w:val="en-GB"/>
        </w:rPr>
        <w:t>the Applicants</w:t>
      </w:r>
      <w:r w:rsidR="00F32FD7" w:rsidRPr="0010696C">
        <w:rPr>
          <w:szCs w:val="24"/>
          <w:lang w:val="en-GB"/>
        </w:rPr>
        <w:t>’</w:t>
      </w:r>
      <w:r w:rsidR="00ED357B" w:rsidRPr="0010696C">
        <w:rPr>
          <w:szCs w:val="24"/>
          <w:lang w:val="en-GB"/>
        </w:rPr>
        <w:t xml:space="preserve"> legal representatives</w:t>
      </w:r>
      <w:r w:rsidR="00373471" w:rsidRPr="0010696C">
        <w:rPr>
          <w:szCs w:val="24"/>
          <w:lang w:val="en-GB"/>
        </w:rPr>
        <w:t xml:space="preserve"> </w:t>
      </w:r>
      <w:r w:rsidR="002B79B8" w:rsidRPr="0010696C">
        <w:rPr>
          <w:szCs w:val="24"/>
          <w:lang w:val="en-GB"/>
        </w:rPr>
        <w:t xml:space="preserve">in their </w:t>
      </w:r>
      <w:r w:rsidR="00373471" w:rsidRPr="0010696C">
        <w:rPr>
          <w:szCs w:val="24"/>
          <w:lang w:val="en-GB"/>
        </w:rPr>
        <w:t xml:space="preserve">preparation for the hearing.  </w:t>
      </w:r>
      <w:r w:rsidR="007A32BD" w:rsidRPr="0010696C">
        <w:rPr>
          <w:szCs w:val="24"/>
          <w:lang w:val="en-GB"/>
        </w:rPr>
        <w:t>This concern does not weigh with me</w:t>
      </w:r>
      <w:r w:rsidR="00C262A7" w:rsidRPr="0010696C">
        <w:rPr>
          <w:szCs w:val="24"/>
          <w:lang w:val="en-GB"/>
        </w:rPr>
        <w:t xml:space="preserve">.  </w:t>
      </w:r>
      <w:r w:rsidR="005D7AB0" w:rsidRPr="0010696C">
        <w:rPr>
          <w:szCs w:val="24"/>
          <w:lang w:val="en-GB"/>
        </w:rPr>
        <w:t xml:space="preserve">My </w:t>
      </w:r>
      <w:r w:rsidR="005901D4" w:rsidRPr="0010696C">
        <w:rPr>
          <w:szCs w:val="24"/>
          <w:lang w:val="en-GB"/>
        </w:rPr>
        <w:t>rulings on the interlocutory applications essentially place the App</w:t>
      </w:r>
      <w:r w:rsidR="003245EC" w:rsidRPr="0010696C">
        <w:rPr>
          <w:szCs w:val="24"/>
          <w:lang w:val="en-GB"/>
        </w:rPr>
        <w:t>licants back into the position they were after they filed their replying affidavit</w:t>
      </w:r>
      <w:r w:rsidR="00C564ED" w:rsidRPr="0010696C">
        <w:rPr>
          <w:szCs w:val="24"/>
          <w:lang w:val="en-GB"/>
        </w:rPr>
        <w:t xml:space="preserve"> and their heads of argument, save they </w:t>
      </w:r>
      <w:r w:rsidR="008A28FD">
        <w:rPr>
          <w:szCs w:val="24"/>
          <w:lang w:val="en-GB"/>
        </w:rPr>
        <w:t xml:space="preserve">now </w:t>
      </w:r>
      <w:r w:rsidR="00C564ED" w:rsidRPr="0010696C">
        <w:rPr>
          <w:szCs w:val="24"/>
          <w:lang w:val="en-GB"/>
        </w:rPr>
        <w:t xml:space="preserve">cannot rely on the impermissible supporting affidavit of Amplifin.  </w:t>
      </w:r>
      <w:r w:rsidR="00592EF2" w:rsidRPr="0010696C">
        <w:rPr>
          <w:szCs w:val="24"/>
          <w:lang w:val="en-GB"/>
        </w:rPr>
        <w:t xml:space="preserve">There is no </w:t>
      </w:r>
      <w:r w:rsidR="00592EF2" w:rsidRPr="0010696C">
        <w:rPr>
          <w:i/>
          <w:iCs/>
          <w:szCs w:val="24"/>
          <w:lang w:val="en-GB"/>
        </w:rPr>
        <w:t>new</w:t>
      </w:r>
      <w:r w:rsidR="00592EF2" w:rsidRPr="0010696C">
        <w:rPr>
          <w:szCs w:val="24"/>
          <w:lang w:val="en-GB"/>
        </w:rPr>
        <w:t xml:space="preserve"> material which my rulings </w:t>
      </w:r>
      <w:r w:rsidR="008A28FD">
        <w:rPr>
          <w:szCs w:val="24"/>
          <w:lang w:val="en-GB"/>
        </w:rPr>
        <w:t xml:space="preserve">add.  </w:t>
      </w:r>
      <w:r w:rsidR="0074660A" w:rsidRPr="0010696C">
        <w:rPr>
          <w:szCs w:val="24"/>
          <w:lang w:val="en-GB"/>
        </w:rPr>
        <w:t>It</w:t>
      </w:r>
      <w:r w:rsidR="00EA17A4" w:rsidRPr="0010696C">
        <w:rPr>
          <w:szCs w:val="24"/>
          <w:lang w:val="en-GB"/>
        </w:rPr>
        <w:t xml:space="preserve"> is </w:t>
      </w:r>
      <w:r w:rsidR="006D33A7">
        <w:rPr>
          <w:szCs w:val="24"/>
          <w:lang w:val="en-GB"/>
        </w:rPr>
        <w:t xml:space="preserve">also </w:t>
      </w:r>
      <w:r w:rsidR="005F2730" w:rsidRPr="0010696C">
        <w:rPr>
          <w:szCs w:val="24"/>
          <w:lang w:val="en-GB"/>
        </w:rPr>
        <w:t xml:space="preserve">difficult to see how </w:t>
      </w:r>
      <w:r w:rsidR="00822A7C" w:rsidRPr="0010696C">
        <w:rPr>
          <w:szCs w:val="24"/>
          <w:lang w:val="en-GB"/>
        </w:rPr>
        <w:t xml:space="preserve">excision of </w:t>
      </w:r>
      <w:r w:rsidR="00822A7C" w:rsidRPr="0010696C">
        <w:rPr>
          <w:szCs w:val="24"/>
          <w:lang w:val="en-GB"/>
        </w:rPr>
        <w:lastRenderedPageBreak/>
        <w:t>Amplifin</w:t>
      </w:r>
      <w:r w:rsidR="00F32FD7" w:rsidRPr="0010696C">
        <w:rPr>
          <w:szCs w:val="24"/>
          <w:lang w:val="en-GB"/>
        </w:rPr>
        <w:t>’</w:t>
      </w:r>
      <w:r w:rsidR="00822A7C" w:rsidRPr="0010696C">
        <w:rPr>
          <w:szCs w:val="24"/>
          <w:lang w:val="en-GB"/>
        </w:rPr>
        <w:t>s supporting affidavit could have hampered the Applicants</w:t>
      </w:r>
      <w:r w:rsidR="00264442" w:rsidRPr="0010696C">
        <w:rPr>
          <w:szCs w:val="24"/>
          <w:lang w:val="en-GB"/>
        </w:rPr>
        <w:t xml:space="preserve"> with their preparation</w:t>
      </w:r>
      <w:r w:rsidR="00822A7C" w:rsidRPr="0010696C">
        <w:rPr>
          <w:szCs w:val="24"/>
          <w:lang w:val="en-GB"/>
        </w:rPr>
        <w:t xml:space="preserve">. </w:t>
      </w:r>
      <w:r w:rsidR="005A101B">
        <w:rPr>
          <w:szCs w:val="24"/>
          <w:lang w:val="en-GB"/>
        </w:rPr>
        <w:t xml:space="preserve"> For these reasons I do not think that a postponement is warranted. </w:t>
      </w:r>
    </w:p>
    <w:p w14:paraId="42E544A5" w14:textId="10D64B72" w:rsidR="00F85ABF" w:rsidRPr="0010696C" w:rsidRDefault="00FC04DE" w:rsidP="00F85ABF">
      <w:pPr>
        <w:pStyle w:val="Level1"/>
        <w:rPr>
          <w:szCs w:val="24"/>
          <w:lang w:val="en-GB"/>
        </w:rPr>
      </w:pPr>
      <w:r w:rsidRPr="0010696C">
        <w:rPr>
          <w:szCs w:val="24"/>
          <w:lang w:val="en-GB"/>
        </w:rPr>
        <w:t xml:space="preserve">I </w:t>
      </w:r>
      <w:r w:rsidR="00264442" w:rsidRPr="0010696C">
        <w:rPr>
          <w:szCs w:val="24"/>
          <w:lang w:val="en-GB"/>
        </w:rPr>
        <w:t xml:space="preserve">also </w:t>
      </w:r>
      <w:r w:rsidRPr="0010696C">
        <w:rPr>
          <w:szCs w:val="24"/>
          <w:lang w:val="en-GB"/>
        </w:rPr>
        <w:t xml:space="preserve">have concerns about whether </w:t>
      </w:r>
      <w:r w:rsidR="00EF27BB" w:rsidRPr="0010696C">
        <w:rPr>
          <w:szCs w:val="24"/>
          <w:lang w:val="en-GB"/>
        </w:rPr>
        <w:t xml:space="preserve">so-called </w:t>
      </w:r>
      <w:r w:rsidRPr="0010696C">
        <w:rPr>
          <w:szCs w:val="24"/>
          <w:lang w:val="en-GB"/>
        </w:rPr>
        <w:t xml:space="preserve">interim-interim relief should be granted in the present matter.  </w:t>
      </w:r>
    </w:p>
    <w:p w14:paraId="067A7325" w14:textId="410A018F" w:rsidR="00FC04DE" w:rsidRPr="0010696C" w:rsidRDefault="00F85ABF" w:rsidP="00F85ABF">
      <w:pPr>
        <w:pStyle w:val="Level1"/>
        <w:rPr>
          <w:szCs w:val="24"/>
          <w:lang w:val="en-GB"/>
        </w:rPr>
      </w:pPr>
      <w:r w:rsidRPr="0010696C">
        <w:rPr>
          <w:szCs w:val="24"/>
          <w:lang w:val="en-GB"/>
        </w:rPr>
        <w:t xml:space="preserve">Firstly, some doubt was cast on whether </w:t>
      </w:r>
      <w:r w:rsidR="007A74D1" w:rsidRPr="0010696C">
        <w:rPr>
          <w:szCs w:val="24"/>
          <w:lang w:val="en-GB"/>
        </w:rPr>
        <w:t xml:space="preserve">interim-interim relief can be granted at all in </w:t>
      </w:r>
      <w:r w:rsidRPr="0010696C">
        <w:rPr>
          <w:b/>
          <w:bCs/>
          <w:szCs w:val="24"/>
          <w:u w:val="single"/>
          <w:lang w:val="en-GB"/>
        </w:rPr>
        <w:t>Annex Distribution (Pty) Ltd and Others v Bank of Baroda</w:t>
      </w:r>
      <w:r w:rsidR="00B95564" w:rsidRPr="0010696C">
        <w:rPr>
          <w:szCs w:val="24"/>
          <w:lang w:val="en-GB"/>
        </w:rPr>
        <w:t xml:space="preserve"> </w:t>
      </w:r>
      <w:r w:rsidRPr="0010696C">
        <w:rPr>
          <w:szCs w:val="24"/>
          <w:lang w:val="en-GB"/>
        </w:rPr>
        <w:t>2018 (1) SA 562 (GP)</w:t>
      </w:r>
      <w:r w:rsidR="007A74D1" w:rsidRPr="0010696C">
        <w:rPr>
          <w:szCs w:val="24"/>
          <w:lang w:val="en-GB"/>
        </w:rPr>
        <w:t xml:space="preserve"> at</w:t>
      </w:r>
      <w:r w:rsidRPr="0010696C">
        <w:rPr>
          <w:szCs w:val="24"/>
          <w:lang w:val="en-GB"/>
        </w:rPr>
        <w:t xml:space="preserve"> para</w:t>
      </w:r>
      <w:r w:rsidR="00B95564" w:rsidRPr="0010696C">
        <w:rPr>
          <w:szCs w:val="24"/>
          <w:lang w:val="en-GB"/>
        </w:rPr>
        <w:t> </w:t>
      </w:r>
      <w:r w:rsidRPr="0010696C">
        <w:rPr>
          <w:szCs w:val="24"/>
          <w:lang w:val="en-GB"/>
        </w:rPr>
        <w:t>26</w:t>
      </w:r>
      <w:r w:rsidR="007A74D1" w:rsidRPr="0010696C">
        <w:rPr>
          <w:szCs w:val="24"/>
          <w:lang w:val="en-GB"/>
        </w:rPr>
        <w:t xml:space="preserve"> where the Court held that such relief would breach the subsidiary principle in that neither the Practice Manual </w:t>
      </w:r>
      <w:r w:rsidR="00403129" w:rsidRPr="0010696C">
        <w:rPr>
          <w:szCs w:val="24"/>
          <w:lang w:val="en-GB"/>
        </w:rPr>
        <w:t>[of the Gauteng Division of the High Court]</w:t>
      </w:r>
      <w:r w:rsidR="007A74D1" w:rsidRPr="0010696C">
        <w:rPr>
          <w:szCs w:val="24"/>
          <w:lang w:val="en-GB"/>
        </w:rPr>
        <w:t>, nor the Uniform Rules of Court nor the Superior Courts Act</w:t>
      </w:r>
      <w:r w:rsidR="00403129" w:rsidRPr="0010696C">
        <w:rPr>
          <w:szCs w:val="24"/>
          <w:lang w:val="en-GB"/>
        </w:rPr>
        <w:t xml:space="preserve"> 10</w:t>
      </w:r>
      <w:r w:rsidR="007A74D1" w:rsidRPr="0010696C">
        <w:rPr>
          <w:szCs w:val="24"/>
          <w:lang w:val="en-GB"/>
        </w:rPr>
        <w:t xml:space="preserve"> of 2013 make any provision for the granting of </w:t>
      </w:r>
      <w:r w:rsidR="00F32FD7" w:rsidRPr="0010696C">
        <w:rPr>
          <w:szCs w:val="24"/>
          <w:lang w:val="en-GB"/>
        </w:rPr>
        <w:t>“</w:t>
      </w:r>
      <w:r w:rsidR="007A74D1" w:rsidRPr="0010696C">
        <w:rPr>
          <w:i/>
          <w:iCs/>
          <w:szCs w:val="24"/>
          <w:lang w:val="en-GB"/>
        </w:rPr>
        <w:t>interim-interim</w:t>
      </w:r>
      <w:r w:rsidR="00F32FD7" w:rsidRPr="0010696C">
        <w:rPr>
          <w:szCs w:val="24"/>
          <w:lang w:val="en-GB"/>
        </w:rPr>
        <w:t>”</w:t>
      </w:r>
      <w:r w:rsidR="009C3F02" w:rsidRPr="0010696C">
        <w:rPr>
          <w:szCs w:val="24"/>
          <w:lang w:val="en-GB"/>
        </w:rPr>
        <w:t xml:space="preserve"> </w:t>
      </w:r>
      <w:r w:rsidR="007A74D1" w:rsidRPr="0010696C">
        <w:rPr>
          <w:szCs w:val="24"/>
          <w:lang w:val="en-GB"/>
        </w:rPr>
        <w:t>relief.</w:t>
      </w:r>
    </w:p>
    <w:p w14:paraId="6FF83A3C" w14:textId="58D681EA" w:rsidR="00122BCA" w:rsidRPr="0010696C" w:rsidRDefault="009C3F02" w:rsidP="00F85ABF">
      <w:pPr>
        <w:pStyle w:val="Level1"/>
        <w:rPr>
          <w:szCs w:val="24"/>
          <w:lang w:val="en-GB"/>
        </w:rPr>
      </w:pPr>
      <w:r w:rsidRPr="0010696C">
        <w:rPr>
          <w:szCs w:val="24"/>
          <w:lang w:val="en-GB"/>
        </w:rPr>
        <w:t xml:space="preserve">Secondly, </w:t>
      </w:r>
      <w:r w:rsidR="007B6501" w:rsidRPr="0010696C">
        <w:rPr>
          <w:szCs w:val="24"/>
          <w:lang w:val="en-GB"/>
        </w:rPr>
        <w:t xml:space="preserve">interim-interim </w:t>
      </w:r>
      <w:r w:rsidR="00C63FBA" w:rsidRPr="0010696C">
        <w:rPr>
          <w:szCs w:val="24"/>
          <w:lang w:val="en-GB"/>
        </w:rPr>
        <w:t xml:space="preserve">relief can only be granted if the </w:t>
      </w:r>
      <w:r w:rsidR="007B6501" w:rsidRPr="0010696C">
        <w:rPr>
          <w:szCs w:val="24"/>
          <w:lang w:val="en-GB"/>
        </w:rPr>
        <w:t xml:space="preserve">ordinary requirements for interim relief are met.  There is no lower threshold.  </w:t>
      </w:r>
      <w:r w:rsidR="00DB5AAA" w:rsidRPr="0010696C">
        <w:rPr>
          <w:szCs w:val="24"/>
          <w:lang w:val="en-GB"/>
        </w:rPr>
        <w:t>In the circumstances of the present matter</w:t>
      </w:r>
      <w:r w:rsidR="00EA7277">
        <w:rPr>
          <w:szCs w:val="24"/>
          <w:lang w:val="en-GB"/>
        </w:rPr>
        <w:t>, to decide wh</w:t>
      </w:r>
      <w:r w:rsidR="001937A9">
        <w:rPr>
          <w:szCs w:val="24"/>
          <w:lang w:val="en-GB"/>
        </w:rPr>
        <w:t xml:space="preserve">ether such relief should be granted, </w:t>
      </w:r>
      <w:r w:rsidR="008473FF" w:rsidRPr="0010696C">
        <w:rPr>
          <w:szCs w:val="24"/>
          <w:lang w:val="en-GB"/>
        </w:rPr>
        <w:t>would require a full analysis of the evidence</w:t>
      </w:r>
      <w:r w:rsidR="00645F7B" w:rsidRPr="0010696C">
        <w:rPr>
          <w:szCs w:val="24"/>
          <w:lang w:val="en-GB"/>
        </w:rPr>
        <w:t xml:space="preserve"> </w:t>
      </w:r>
      <w:r w:rsidR="008473FF" w:rsidRPr="0010696C">
        <w:rPr>
          <w:szCs w:val="24"/>
          <w:lang w:val="en-GB"/>
        </w:rPr>
        <w:t xml:space="preserve">and the law.  </w:t>
      </w:r>
      <w:r w:rsidR="005A1A26" w:rsidRPr="0010696C">
        <w:rPr>
          <w:szCs w:val="24"/>
          <w:lang w:val="en-GB"/>
        </w:rPr>
        <w:t>Given that</w:t>
      </w:r>
      <w:r w:rsidR="00645F7B" w:rsidRPr="0010696C">
        <w:rPr>
          <w:szCs w:val="24"/>
          <w:lang w:val="en-GB"/>
        </w:rPr>
        <w:t xml:space="preserve">, </w:t>
      </w:r>
      <w:r w:rsidR="005A1A26" w:rsidRPr="0010696C">
        <w:rPr>
          <w:szCs w:val="24"/>
          <w:lang w:val="en-GB"/>
        </w:rPr>
        <w:t xml:space="preserve">I believe that I should avoid a situation where </w:t>
      </w:r>
      <w:r w:rsidR="004A59AF" w:rsidRPr="0010696C">
        <w:rPr>
          <w:szCs w:val="24"/>
          <w:lang w:val="en-GB"/>
        </w:rPr>
        <w:t xml:space="preserve">the </w:t>
      </w:r>
      <w:r w:rsidR="00122BCA" w:rsidRPr="0010696C">
        <w:rPr>
          <w:szCs w:val="24"/>
          <w:lang w:val="en-GB"/>
        </w:rPr>
        <w:t xml:space="preserve">application for </w:t>
      </w:r>
      <w:r w:rsidR="000652C7" w:rsidRPr="0010696C">
        <w:rPr>
          <w:szCs w:val="24"/>
          <w:lang w:val="en-GB"/>
        </w:rPr>
        <w:t>interim</w:t>
      </w:r>
      <w:r w:rsidR="004A59AF" w:rsidRPr="0010696C">
        <w:rPr>
          <w:szCs w:val="24"/>
          <w:lang w:val="en-GB"/>
        </w:rPr>
        <w:t xml:space="preserve"> relief is </w:t>
      </w:r>
      <w:r w:rsidR="00E11A25" w:rsidRPr="0010696C">
        <w:rPr>
          <w:szCs w:val="24"/>
          <w:lang w:val="en-GB"/>
        </w:rPr>
        <w:t xml:space="preserve">heard </w:t>
      </w:r>
      <w:r w:rsidR="004A59AF" w:rsidRPr="0010696C">
        <w:rPr>
          <w:szCs w:val="24"/>
          <w:lang w:val="en-GB"/>
        </w:rPr>
        <w:t>twic</w:t>
      </w:r>
      <w:r w:rsidR="00122BCA" w:rsidRPr="0010696C">
        <w:rPr>
          <w:szCs w:val="24"/>
          <w:lang w:val="en-GB"/>
        </w:rPr>
        <w:t xml:space="preserve">e, first by me and then by </w:t>
      </w:r>
      <w:r w:rsidR="0042399F" w:rsidRPr="0010696C">
        <w:rPr>
          <w:szCs w:val="24"/>
          <w:lang w:val="en-GB"/>
        </w:rPr>
        <w:t>another</w:t>
      </w:r>
      <w:r w:rsidR="00122BCA" w:rsidRPr="0010696C">
        <w:rPr>
          <w:szCs w:val="24"/>
          <w:lang w:val="en-GB"/>
        </w:rPr>
        <w:t xml:space="preserve"> Judge allocated the matter </w:t>
      </w:r>
      <w:r w:rsidR="00E47DD8" w:rsidRPr="0010696C">
        <w:rPr>
          <w:szCs w:val="24"/>
          <w:lang w:val="en-GB"/>
        </w:rPr>
        <w:t xml:space="preserve">on the semi-urgent roll, six month or so from now.  </w:t>
      </w:r>
      <w:r w:rsidR="008C3E9F" w:rsidRPr="0010696C">
        <w:rPr>
          <w:szCs w:val="24"/>
          <w:lang w:val="en-GB"/>
        </w:rPr>
        <w:t>Th</w:t>
      </w:r>
      <w:r w:rsidR="0042399F" w:rsidRPr="0010696C">
        <w:rPr>
          <w:szCs w:val="24"/>
          <w:lang w:val="en-GB"/>
        </w:rPr>
        <w:t>at</w:t>
      </w:r>
      <w:r w:rsidR="006435AB" w:rsidRPr="0010696C">
        <w:rPr>
          <w:szCs w:val="24"/>
          <w:lang w:val="en-GB"/>
        </w:rPr>
        <w:t xml:space="preserve"> would be a recipe for a messy second hearing, involving an analysis of </w:t>
      </w:r>
      <w:r w:rsidR="00A82335" w:rsidRPr="0010696C">
        <w:rPr>
          <w:szCs w:val="24"/>
          <w:lang w:val="en-GB"/>
        </w:rPr>
        <w:t xml:space="preserve">which of my findings would bind the second </w:t>
      </w:r>
      <w:r w:rsidR="004F518F" w:rsidRPr="0010696C">
        <w:rPr>
          <w:szCs w:val="24"/>
          <w:lang w:val="en-GB"/>
        </w:rPr>
        <w:t>Judge</w:t>
      </w:r>
      <w:r w:rsidR="00CB76A3" w:rsidRPr="0010696C">
        <w:rPr>
          <w:szCs w:val="24"/>
          <w:lang w:val="en-GB"/>
        </w:rPr>
        <w:t>.  It would also be a waste of judicial resources</w:t>
      </w:r>
      <w:r w:rsidR="003A6675" w:rsidRPr="0010696C">
        <w:rPr>
          <w:szCs w:val="24"/>
          <w:lang w:val="en-GB"/>
        </w:rPr>
        <w:t xml:space="preserve"> </w:t>
      </w:r>
      <w:r w:rsidR="00D05379" w:rsidRPr="0010696C">
        <w:rPr>
          <w:szCs w:val="24"/>
          <w:lang w:val="en-GB"/>
        </w:rPr>
        <w:t xml:space="preserve">for a full-blown double hearing on the same urgent application.  </w:t>
      </w:r>
    </w:p>
    <w:p w14:paraId="2EFD446A" w14:textId="5D01E6B4" w:rsidR="00E11A25" w:rsidRPr="0010696C" w:rsidRDefault="00E11A25" w:rsidP="00F85ABF">
      <w:pPr>
        <w:pStyle w:val="Level1"/>
        <w:rPr>
          <w:szCs w:val="24"/>
          <w:lang w:val="en-GB"/>
        </w:rPr>
      </w:pPr>
      <w:r w:rsidRPr="0010696C">
        <w:rPr>
          <w:szCs w:val="24"/>
          <w:lang w:val="en-GB"/>
        </w:rPr>
        <w:t xml:space="preserve">For all these reasons the application for a postponement coupled with interim-interim relief is dismissed.  </w:t>
      </w:r>
    </w:p>
    <w:p w14:paraId="1691ACCB" w14:textId="03A696EF" w:rsidR="009C3F02" w:rsidRPr="0010696C" w:rsidRDefault="00CB76A3" w:rsidP="00B95564">
      <w:pPr>
        <w:pStyle w:val="Heading1"/>
        <w:rPr>
          <w:rFonts w:cs="Times New Roman"/>
          <w:szCs w:val="24"/>
          <w:lang w:val="en-GB"/>
        </w:rPr>
      </w:pPr>
      <w:r w:rsidRPr="0010696C">
        <w:rPr>
          <w:rFonts w:cs="Times New Roman"/>
          <w:szCs w:val="24"/>
          <w:lang w:val="en-GB"/>
        </w:rPr>
        <w:lastRenderedPageBreak/>
        <w:t>The merits</w:t>
      </w:r>
    </w:p>
    <w:p w14:paraId="6DE4BB6A" w14:textId="77777777" w:rsidR="00CE2B6B" w:rsidRPr="0010696C" w:rsidRDefault="00D06676" w:rsidP="00C849C0">
      <w:pPr>
        <w:pStyle w:val="Level1"/>
        <w:rPr>
          <w:szCs w:val="24"/>
          <w:lang w:val="en-GB"/>
        </w:rPr>
      </w:pPr>
      <w:r w:rsidRPr="0010696C">
        <w:rPr>
          <w:szCs w:val="24"/>
          <w:lang w:val="en-GB"/>
        </w:rPr>
        <w:t>At the hearing of the matter, counsel for the Applicants focused primaril</w:t>
      </w:r>
      <w:r w:rsidR="00CE2B6B" w:rsidRPr="0010696C">
        <w:rPr>
          <w:szCs w:val="24"/>
          <w:lang w:val="en-GB"/>
        </w:rPr>
        <w:t>y on:</w:t>
      </w:r>
    </w:p>
    <w:p w14:paraId="4AC655D6" w14:textId="0A4C93DA" w:rsidR="00CE2B6B" w:rsidRPr="0010696C" w:rsidRDefault="00CE2B6B" w:rsidP="00130E5E">
      <w:pPr>
        <w:pStyle w:val="Level2"/>
        <w:ind w:left="1815" w:hanging="964"/>
        <w:rPr>
          <w:szCs w:val="24"/>
          <w:lang w:val="en-GB"/>
        </w:rPr>
      </w:pPr>
      <w:r w:rsidRPr="0010696C">
        <w:rPr>
          <w:szCs w:val="24"/>
          <w:lang w:val="en-GB"/>
        </w:rPr>
        <w:t>T</w:t>
      </w:r>
      <w:r w:rsidR="00D06676" w:rsidRPr="0010696C">
        <w:rPr>
          <w:szCs w:val="24"/>
          <w:lang w:val="en-GB"/>
        </w:rPr>
        <w:t xml:space="preserve">he argument that Capitec cannot terminate the AET facilities for as long as the </w:t>
      </w:r>
      <w:r w:rsidR="00EE3F49" w:rsidRPr="0010696C">
        <w:rPr>
          <w:szCs w:val="24"/>
          <w:lang w:val="en-GB"/>
        </w:rPr>
        <w:t xml:space="preserve">AC Agreement </w:t>
      </w:r>
      <w:r w:rsidR="00D06676" w:rsidRPr="0010696C">
        <w:rPr>
          <w:szCs w:val="24"/>
          <w:lang w:val="en-GB"/>
        </w:rPr>
        <w:t xml:space="preserve">between </w:t>
      </w:r>
      <w:r w:rsidR="000E0EF5" w:rsidRPr="0010696C">
        <w:rPr>
          <w:szCs w:val="24"/>
          <w:lang w:val="en-GB"/>
        </w:rPr>
        <w:t xml:space="preserve">itself and Amplifin remains in place and that it is common cause that this agreement, in terms of </w:t>
      </w:r>
      <w:r w:rsidR="00D86C7E" w:rsidRPr="0010696C">
        <w:rPr>
          <w:szCs w:val="24"/>
          <w:lang w:val="en-GB"/>
        </w:rPr>
        <w:t>clause 3.3 thereof, is for a period of five years (ending 15 October 2024), whereafter twelve months</w:t>
      </w:r>
      <w:r w:rsidR="00F32FD7" w:rsidRPr="0010696C">
        <w:rPr>
          <w:szCs w:val="24"/>
          <w:lang w:val="en-GB"/>
        </w:rPr>
        <w:t>’</w:t>
      </w:r>
      <w:r w:rsidR="00D86C7E" w:rsidRPr="0010696C">
        <w:rPr>
          <w:szCs w:val="24"/>
          <w:lang w:val="en-GB"/>
        </w:rPr>
        <w:t xml:space="preserve"> written notice of termination may be given by either party.</w:t>
      </w:r>
      <w:r w:rsidR="007871B8" w:rsidRPr="0010696C">
        <w:rPr>
          <w:szCs w:val="24"/>
          <w:lang w:val="en-GB"/>
        </w:rPr>
        <w:t xml:space="preserve">  </w:t>
      </w:r>
    </w:p>
    <w:p w14:paraId="0D8E5A62" w14:textId="46430976" w:rsidR="00CE2B6B" w:rsidRPr="0010696C" w:rsidRDefault="007871B8" w:rsidP="00130E5E">
      <w:pPr>
        <w:pStyle w:val="Level2"/>
        <w:ind w:left="1815" w:hanging="964"/>
        <w:rPr>
          <w:szCs w:val="24"/>
          <w:lang w:val="en-GB"/>
        </w:rPr>
      </w:pPr>
      <w:r w:rsidRPr="0010696C">
        <w:rPr>
          <w:szCs w:val="24"/>
          <w:lang w:val="en-GB"/>
        </w:rPr>
        <w:t>In the alternative that the AET facilities c</w:t>
      </w:r>
      <w:r w:rsidR="00AF4799" w:rsidRPr="0010696C">
        <w:rPr>
          <w:szCs w:val="24"/>
          <w:lang w:val="en-GB"/>
        </w:rPr>
        <w:t>an</w:t>
      </w:r>
      <w:r w:rsidRPr="0010696C">
        <w:rPr>
          <w:szCs w:val="24"/>
          <w:lang w:val="en-GB"/>
        </w:rPr>
        <w:t>not be cancelled without good reason while the AC Agreement remained in place.</w:t>
      </w:r>
      <w:r w:rsidR="003842F6" w:rsidRPr="0010696C">
        <w:rPr>
          <w:szCs w:val="24"/>
          <w:lang w:val="en-GB"/>
        </w:rPr>
        <w:t xml:space="preserve">  </w:t>
      </w:r>
    </w:p>
    <w:p w14:paraId="208D319B" w14:textId="448EA1D5" w:rsidR="003842F6" w:rsidRPr="0010696C" w:rsidRDefault="00CE2B6B" w:rsidP="00130E5E">
      <w:pPr>
        <w:pStyle w:val="Level2"/>
        <w:ind w:left="1815" w:hanging="964"/>
        <w:rPr>
          <w:szCs w:val="24"/>
          <w:lang w:val="en-GB"/>
        </w:rPr>
      </w:pPr>
      <w:r w:rsidRPr="0010696C">
        <w:rPr>
          <w:szCs w:val="24"/>
          <w:lang w:val="en-GB"/>
        </w:rPr>
        <w:t xml:space="preserve">In the further alternative, </w:t>
      </w:r>
      <w:r w:rsidR="003842F6" w:rsidRPr="0010696C">
        <w:rPr>
          <w:szCs w:val="24"/>
          <w:lang w:val="en-GB"/>
        </w:rPr>
        <w:t>that Capitec did not afford the Applicants reasonable notice of the termination of the AET facilities.</w:t>
      </w:r>
    </w:p>
    <w:p w14:paraId="515A00A7" w14:textId="719368E5" w:rsidR="003842F6" w:rsidRPr="0010696C" w:rsidRDefault="003842F6" w:rsidP="00C849C0">
      <w:pPr>
        <w:pStyle w:val="Level1"/>
        <w:rPr>
          <w:szCs w:val="24"/>
          <w:lang w:val="en-GB"/>
        </w:rPr>
      </w:pPr>
      <w:r w:rsidRPr="0010696C">
        <w:rPr>
          <w:szCs w:val="24"/>
          <w:lang w:val="en-GB"/>
        </w:rPr>
        <w:t>I shall deal with the above three arguments in some detail.  The other contentions of the Applicants, set out above, were not abandoned at the hearing and I accordingly need to deal with them as well.</w:t>
      </w:r>
      <w:r w:rsidR="00DF5037" w:rsidRPr="0010696C">
        <w:rPr>
          <w:szCs w:val="24"/>
          <w:lang w:val="en-GB"/>
        </w:rPr>
        <w:t xml:space="preserve">  I do so briefly below. </w:t>
      </w:r>
    </w:p>
    <w:p w14:paraId="5D39DB76" w14:textId="4D5EDB86" w:rsidR="00DD2CCA" w:rsidRDefault="008843C5" w:rsidP="00C849C0">
      <w:pPr>
        <w:pStyle w:val="Level1"/>
        <w:rPr>
          <w:szCs w:val="24"/>
          <w:lang w:val="en-GB"/>
        </w:rPr>
      </w:pPr>
      <w:r w:rsidRPr="0010696C">
        <w:rPr>
          <w:szCs w:val="24"/>
          <w:lang w:val="en-GB"/>
        </w:rPr>
        <w:t xml:space="preserve">I do not intend to deal </w:t>
      </w:r>
      <w:r w:rsidR="00DF5037" w:rsidRPr="0010696C">
        <w:rPr>
          <w:szCs w:val="24"/>
          <w:lang w:val="en-GB"/>
        </w:rPr>
        <w:t xml:space="preserve">in detail </w:t>
      </w:r>
      <w:r w:rsidRPr="0010696C">
        <w:rPr>
          <w:szCs w:val="24"/>
          <w:lang w:val="en-GB"/>
        </w:rPr>
        <w:t xml:space="preserve">with the </w:t>
      </w:r>
      <w:r w:rsidR="00DF5037" w:rsidRPr="0010696C">
        <w:rPr>
          <w:szCs w:val="24"/>
          <w:lang w:val="en-GB"/>
        </w:rPr>
        <w:t>app</w:t>
      </w:r>
      <w:r w:rsidR="00E55C4C" w:rsidRPr="0010696C">
        <w:rPr>
          <w:szCs w:val="24"/>
          <w:lang w:val="en-GB"/>
        </w:rPr>
        <w:t>lication for an</w:t>
      </w:r>
      <w:r w:rsidR="00AF4799" w:rsidRPr="0010696C">
        <w:rPr>
          <w:szCs w:val="24"/>
          <w:lang w:val="en-GB"/>
        </w:rPr>
        <w:t xml:space="preserve"> interim</w:t>
      </w:r>
      <w:r w:rsidR="00E55C4C" w:rsidRPr="0010696C">
        <w:rPr>
          <w:szCs w:val="24"/>
          <w:lang w:val="en-GB"/>
        </w:rPr>
        <w:t xml:space="preserve"> interdict in respect of the </w:t>
      </w:r>
      <w:r w:rsidRPr="0010696C">
        <w:rPr>
          <w:szCs w:val="24"/>
          <w:lang w:val="en-GB"/>
        </w:rPr>
        <w:t xml:space="preserve">termination of the </w:t>
      </w:r>
      <w:r w:rsidR="00DF5037" w:rsidRPr="0010696C">
        <w:rPr>
          <w:szCs w:val="24"/>
          <w:lang w:val="en-GB"/>
        </w:rPr>
        <w:t>T</w:t>
      </w:r>
      <w:r w:rsidRPr="0010696C">
        <w:rPr>
          <w:szCs w:val="24"/>
          <w:lang w:val="en-GB"/>
        </w:rPr>
        <w:t xml:space="preserve">ripartite POS Agreement.  </w:t>
      </w:r>
      <w:r w:rsidR="00C71EA6">
        <w:rPr>
          <w:szCs w:val="24"/>
          <w:lang w:val="en-GB"/>
        </w:rPr>
        <w:t xml:space="preserve">In my view no case had been made out </w:t>
      </w:r>
      <w:r w:rsidR="00EC04B8">
        <w:rPr>
          <w:szCs w:val="24"/>
          <w:lang w:val="en-GB"/>
        </w:rPr>
        <w:t xml:space="preserve">for interim relief in respect of this agreement. </w:t>
      </w:r>
      <w:r w:rsidRPr="0010696C">
        <w:rPr>
          <w:szCs w:val="24"/>
          <w:lang w:val="en-GB"/>
        </w:rPr>
        <w:t xml:space="preserve">The POS Agreement </w:t>
      </w:r>
      <w:r w:rsidR="00E55C4C" w:rsidRPr="0010696C">
        <w:rPr>
          <w:szCs w:val="24"/>
          <w:lang w:val="en-GB"/>
        </w:rPr>
        <w:t>wa</w:t>
      </w:r>
      <w:r w:rsidRPr="0010696C">
        <w:rPr>
          <w:szCs w:val="24"/>
          <w:lang w:val="en-GB"/>
        </w:rPr>
        <w:t>s concluded between Capitec, Amplifin and each Applicant</w:t>
      </w:r>
      <w:r w:rsidR="00FC7459">
        <w:rPr>
          <w:szCs w:val="24"/>
          <w:lang w:val="en-GB"/>
        </w:rPr>
        <w:t>.  I</w:t>
      </w:r>
      <w:r w:rsidRPr="0010696C">
        <w:rPr>
          <w:szCs w:val="24"/>
          <w:lang w:val="en-GB"/>
        </w:rPr>
        <w:t xml:space="preserve">n terms of clause 4.4 thereof, any of the three parties may cancel the </w:t>
      </w:r>
      <w:r w:rsidR="00E55C4C" w:rsidRPr="0010696C">
        <w:rPr>
          <w:szCs w:val="24"/>
          <w:lang w:val="en-GB"/>
        </w:rPr>
        <w:t xml:space="preserve">agreement </w:t>
      </w:r>
      <w:r w:rsidRPr="0010696C">
        <w:rPr>
          <w:szCs w:val="24"/>
          <w:lang w:val="en-GB"/>
        </w:rPr>
        <w:t>by giving at least 60 days</w:t>
      </w:r>
      <w:r w:rsidR="00F32FD7" w:rsidRPr="0010696C">
        <w:rPr>
          <w:szCs w:val="24"/>
          <w:lang w:val="en-GB"/>
        </w:rPr>
        <w:t>’</w:t>
      </w:r>
      <w:r w:rsidRPr="0010696C">
        <w:rPr>
          <w:szCs w:val="24"/>
          <w:lang w:val="en-GB"/>
        </w:rPr>
        <w:t xml:space="preserve"> written notice.</w:t>
      </w:r>
      <w:r w:rsidR="002157EE" w:rsidRPr="0010696C">
        <w:rPr>
          <w:szCs w:val="24"/>
          <w:lang w:val="en-GB"/>
        </w:rPr>
        <w:t xml:space="preserve">  Such notice was given in the present instance.  </w:t>
      </w:r>
      <w:r w:rsidR="00E16E4F">
        <w:rPr>
          <w:szCs w:val="24"/>
          <w:lang w:val="en-GB"/>
        </w:rPr>
        <w:t>No</w:t>
      </w:r>
      <w:r w:rsidR="00310E3A">
        <w:rPr>
          <w:szCs w:val="24"/>
          <w:lang w:val="en-GB"/>
        </w:rPr>
        <w:t xml:space="preserve"> </w:t>
      </w:r>
      <w:r w:rsidR="00310E3A" w:rsidRPr="00BD2276">
        <w:rPr>
          <w:i/>
          <w:iCs/>
          <w:szCs w:val="24"/>
          <w:lang w:val="en-GB"/>
        </w:rPr>
        <w:t>prima</w:t>
      </w:r>
      <w:r w:rsidR="00BD2276" w:rsidRPr="00BD2276">
        <w:rPr>
          <w:i/>
          <w:iCs/>
          <w:szCs w:val="24"/>
          <w:lang w:val="en-GB"/>
        </w:rPr>
        <w:t xml:space="preserve"> facie</w:t>
      </w:r>
      <w:r w:rsidR="00BD2276">
        <w:rPr>
          <w:szCs w:val="24"/>
          <w:lang w:val="en-GB"/>
        </w:rPr>
        <w:t xml:space="preserve"> right has been established that the termination was unlawful. </w:t>
      </w:r>
      <w:r w:rsidR="00690066">
        <w:rPr>
          <w:szCs w:val="24"/>
          <w:lang w:val="en-GB"/>
        </w:rPr>
        <w:t xml:space="preserve"> Turning to </w:t>
      </w:r>
      <w:r w:rsidR="00DD2CCA">
        <w:rPr>
          <w:szCs w:val="24"/>
          <w:lang w:val="en-GB"/>
        </w:rPr>
        <w:t>prejudice:</w:t>
      </w:r>
    </w:p>
    <w:p w14:paraId="26A48719" w14:textId="37319010" w:rsidR="005D4572" w:rsidRDefault="00DD2CCA" w:rsidP="005D4572">
      <w:pPr>
        <w:pStyle w:val="Level1"/>
        <w:numPr>
          <w:ilvl w:val="1"/>
          <w:numId w:val="23"/>
        </w:numPr>
        <w:ind w:left="1701" w:hanging="850"/>
        <w:rPr>
          <w:szCs w:val="24"/>
          <w:lang w:val="en-GB"/>
        </w:rPr>
      </w:pPr>
      <w:r>
        <w:rPr>
          <w:szCs w:val="24"/>
          <w:lang w:val="en-GB"/>
        </w:rPr>
        <w:lastRenderedPageBreak/>
        <w:t xml:space="preserve">The </w:t>
      </w:r>
      <w:r w:rsidR="002157EE" w:rsidRPr="0010696C">
        <w:rPr>
          <w:szCs w:val="24"/>
          <w:lang w:val="en-GB"/>
        </w:rPr>
        <w:t>argument by the Applicants that there is a link between the POS services and the AET facilities in that the former is used to verify the bank account details of potential credit providers</w:t>
      </w:r>
      <w:r w:rsidR="00D167BA">
        <w:rPr>
          <w:szCs w:val="24"/>
          <w:lang w:val="en-GB"/>
        </w:rPr>
        <w:t>,</w:t>
      </w:r>
      <w:r w:rsidR="002157EE" w:rsidRPr="0010696C">
        <w:rPr>
          <w:szCs w:val="24"/>
          <w:lang w:val="en-GB"/>
        </w:rPr>
        <w:t xml:space="preserve"> was not raised in the founding affidavit and cannot be considered.</w:t>
      </w:r>
      <w:r w:rsidR="00D658B3">
        <w:rPr>
          <w:szCs w:val="24"/>
          <w:lang w:val="en-GB"/>
        </w:rPr>
        <w:t xml:space="preserve">  </w:t>
      </w:r>
      <w:r w:rsidR="00EC6A6A">
        <w:rPr>
          <w:szCs w:val="24"/>
          <w:lang w:val="en-GB"/>
        </w:rPr>
        <w:t>More particularly, it</w:t>
      </w:r>
      <w:r w:rsidR="00D658B3">
        <w:rPr>
          <w:szCs w:val="24"/>
          <w:lang w:val="en-GB"/>
        </w:rPr>
        <w:t xml:space="preserve"> was </w:t>
      </w:r>
      <w:r w:rsidR="00D658B3" w:rsidRPr="0010696C">
        <w:rPr>
          <w:szCs w:val="24"/>
          <w:lang w:val="en-GB"/>
        </w:rPr>
        <w:t>contended that the POS service also fulfils the important preliminary function of authentication required under what is termed the “</w:t>
      </w:r>
      <w:r w:rsidR="00D658B3" w:rsidRPr="0010696C">
        <w:rPr>
          <w:i/>
          <w:iCs/>
          <w:szCs w:val="24"/>
          <w:lang w:val="en-GB"/>
        </w:rPr>
        <w:t>AC-Debicheck system</w:t>
      </w:r>
      <w:r w:rsidR="00D658B3" w:rsidRPr="0010696C">
        <w:rPr>
          <w:szCs w:val="24"/>
          <w:lang w:val="en-GB"/>
        </w:rPr>
        <w:t>” or the “</w:t>
      </w:r>
      <w:r w:rsidR="00D658B3" w:rsidRPr="0010696C">
        <w:rPr>
          <w:i/>
          <w:iCs/>
          <w:szCs w:val="24"/>
          <w:lang w:val="en-GB"/>
        </w:rPr>
        <w:t>TT3 authentication</w:t>
      </w:r>
      <w:r w:rsidR="00D658B3" w:rsidRPr="0010696C">
        <w:rPr>
          <w:szCs w:val="24"/>
          <w:lang w:val="en-GB"/>
        </w:rPr>
        <w:t xml:space="preserve">”. </w:t>
      </w:r>
      <w:r w:rsidR="00D658B3">
        <w:rPr>
          <w:szCs w:val="24"/>
          <w:lang w:val="en-GB"/>
        </w:rPr>
        <w:t xml:space="preserve"> This was entirely </w:t>
      </w:r>
      <w:r w:rsidR="005D4572">
        <w:rPr>
          <w:szCs w:val="24"/>
          <w:lang w:val="en-GB"/>
        </w:rPr>
        <w:t xml:space="preserve">new.  In the </w:t>
      </w:r>
      <w:r w:rsidR="007D4E8E" w:rsidRPr="0010696C">
        <w:rPr>
          <w:szCs w:val="24"/>
          <w:lang w:val="en-GB"/>
        </w:rPr>
        <w:t xml:space="preserve">founding affidavit it was indeed contended that the POS Agreement is </w:t>
      </w:r>
      <w:r w:rsidR="007D4E8E" w:rsidRPr="0010696C">
        <w:rPr>
          <w:i/>
          <w:iCs/>
          <w:szCs w:val="24"/>
          <w:lang w:val="en-GB"/>
        </w:rPr>
        <w:t xml:space="preserve">completely separate and independent </w:t>
      </w:r>
      <w:r w:rsidR="007D4E8E" w:rsidRPr="0010696C">
        <w:rPr>
          <w:szCs w:val="24"/>
          <w:lang w:val="en-GB"/>
        </w:rPr>
        <w:t>from the AET facilities.</w:t>
      </w:r>
      <w:r w:rsidR="00E16E4F">
        <w:rPr>
          <w:szCs w:val="24"/>
          <w:lang w:val="en-GB"/>
        </w:rPr>
        <w:t xml:space="preserve">  </w:t>
      </w:r>
      <w:r w:rsidR="00B8569A">
        <w:rPr>
          <w:szCs w:val="24"/>
          <w:lang w:val="en-GB"/>
        </w:rPr>
        <w:t xml:space="preserve">The versions in the founding and replying affidavit are </w:t>
      </w:r>
      <w:r w:rsidR="006B1A63">
        <w:rPr>
          <w:szCs w:val="24"/>
          <w:lang w:val="en-GB"/>
        </w:rPr>
        <w:t xml:space="preserve">diametrically opposed to each other.  </w:t>
      </w:r>
      <w:r w:rsidR="002A3078">
        <w:rPr>
          <w:szCs w:val="24"/>
          <w:lang w:val="en-GB"/>
        </w:rPr>
        <w:t xml:space="preserve">I know that one favours the applicants’ version in </w:t>
      </w:r>
      <w:r w:rsidR="00C830DA">
        <w:rPr>
          <w:szCs w:val="24"/>
          <w:lang w:val="en-GB"/>
        </w:rPr>
        <w:t xml:space="preserve">interim proceedings but one cannot favour a replying affidavit over a founding affidavit. </w:t>
      </w:r>
    </w:p>
    <w:p w14:paraId="30E8A8D1" w14:textId="77777777" w:rsidR="009C5084" w:rsidRDefault="005D4572" w:rsidP="005D4572">
      <w:pPr>
        <w:pStyle w:val="Level1"/>
        <w:numPr>
          <w:ilvl w:val="1"/>
          <w:numId w:val="23"/>
        </w:numPr>
        <w:ind w:left="1701" w:hanging="850"/>
        <w:rPr>
          <w:szCs w:val="24"/>
          <w:lang w:val="en-GB"/>
        </w:rPr>
      </w:pPr>
      <w:r>
        <w:rPr>
          <w:szCs w:val="24"/>
          <w:lang w:val="en-GB"/>
        </w:rPr>
        <w:t>A</w:t>
      </w:r>
      <w:r w:rsidR="00CF0A30" w:rsidRPr="005D4572">
        <w:rPr>
          <w:szCs w:val="24"/>
          <w:lang w:val="en-GB"/>
        </w:rPr>
        <w:t>part from being new, the</w:t>
      </w:r>
      <w:r w:rsidRPr="005D4572">
        <w:rPr>
          <w:szCs w:val="24"/>
          <w:lang w:val="en-GB"/>
        </w:rPr>
        <w:t xml:space="preserve"> </w:t>
      </w:r>
      <w:r w:rsidRPr="005D4572">
        <w:rPr>
          <w:szCs w:val="24"/>
          <w:lang w:val="en-GB"/>
        </w:rPr>
        <w:t>link and authentication</w:t>
      </w:r>
      <w:r w:rsidR="00CF0A30" w:rsidRPr="005D4572">
        <w:rPr>
          <w:szCs w:val="24"/>
          <w:lang w:val="en-GB"/>
        </w:rPr>
        <w:t xml:space="preserve"> argument</w:t>
      </w:r>
      <w:r w:rsidRPr="005D4572">
        <w:rPr>
          <w:szCs w:val="24"/>
          <w:lang w:val="en-GB"/>
        </w:rPr>
        <w:t xml:space="preserve"> </w:t>
      </w:r>
      <w:r w:rsidR="00931F3E" w:rsidRPr="005D4572">
        <w:rPr>
          <w:szCs w:val="24"/>
          <w:lang w:val="en-GB"/>
        </w:rPr>
        <w:t xml:space="preserve">relies, in respect of technical </w:t>
      </w:r>
      <w:r w:rsidR="00853AAC" w:rsidRPr="005D4572">
        <w:rPr>
          <w:szCs w:val="24"/>
          <w:lang w:val="en-GB"/>
        </w:rPr>
        <w:t>knowledge</w:t>
      </w:r>
      <w:r w:rsidR="00A86B70" w:rsidRPr="005D4572">
        <w:rPr>
          <w:szCs w:val="24"/>
          <w:lang w:val="en-GB"/>
        </w:rPr>
        <w:t>, on the supporting affidavit of Amplifin</w:t>
      </w:r>
      <w:r w:rsidR="0097717E" w:rsidRPr="005D4572">
        <w:rPr>
          <w:szCs w:val="24"/>
          <w:lang w:val="en-GB"/>
        </w:rPr>
        <w:t>,</w:t>
      </w:r>
      <w:r w:rsidR="00A86B70" w:rsidRPr="005D4572">
        <w:rPr>
          <w:szCs w:val="24"/>
          <w:lang w:val="en-GB"/>
        </w:rPr>
        <w:t xml:space="preserve"> which I </w:t>
      </w:r>
      <w:r w:rsidR="009C5084">
        <w:rPr>
          <w:szCs w:val="24"/>
          <w:lang w:val="en-GB"/>
        </w:rPr>
        <w:t xml:space="preserve">have </w:t>
      </w:r>
      <w:r w:rsidR="00A86B70" w:rsidRPr="005D4572">
        <w:rPr>
          <w:szCs w:val="24"/>
          <w:lang w:val="en-GB"/>
        </w:rPr>
        <w:t xml:space="preserve">struck out.  </w:t>
      </w:r>
    </w:p>
    <w:p w14:paraId="4D1A88D8" w14:textId="0752C2D6" w:rsidR="00462BA8" w:rsidRPr="005D4572" w:rsidRDefault="0097717E" w:rsidP="005D4572">
      <w:pPr>
        <w:pStyle w:val="Level1"/>
        <w:numPr>
          <w:ilvl w:val="1"/>
          <w:numId w:val="23"/>
        </w:numPr>
        <w:ind w:left="1701" w:hanging="850"/>
        <w:rPr>
          <w:szCs w:val="24"/>
          <w:lang w:val="en-GB"/>
        </w:rPr>
      </w:pPr>
      <w:r w:rsidRPr="005D4572">
        <w:rPr>
          <w:szCs w:val="24"/>
          <w:lang w:val="en-GB"/>
        </w:rPr>
        <w:t xml:space="preserve">In the circumstances, the </w:t>
      </w:r>
      <w:r w:rsidR="00853AAC" w:rsidRPr="005D4572">
        <w:rPr>
          <w:szCs w:val="24"/>
          <w:lang w:val="en-GB"/>
        </w:rPr>
        <w:t>argument</w:t>
      </w:r>
      <w:r w:rsidR="00E64CBF" w:rsidRPr="005D4572">
        <w:rPr>
          <w:szCs w:val="24"/>
          <w:lang w:val="en-GB"/>
        </w:rPr>
        <w:t xml:space="preserve"> cannot be </w:t>
      </w:r>
      <w:r w:rsidR="00853AAC" w:rsidRPr="005D4572">
        <w:rPr>
          <w:szCs w:val="24"/>
          <w:lang w:val="en-GB"/>
        </w:rPr>
        <w:t>considered</w:t>
      </w:r>
      <w:r w:rsidR="00E64CBF" w:rsidRPr="005D4572">
        <w:rPr>
          <w:szCs w:val="24"/>
          <w:lang w:val="en-GB"/>
        </w:rPr>
        <w:t xml:space="preserve"> </w:t>
      </w:r>
      <w:r w:rsidRPr="005D4572">
        <w:rPr>
          <w:szCs w:val="24"/>
          <w:lang w:val="en-GB"/>
        </w:rPr>
        <w:t>because it was not raised in the founding affidavit</w:t>
      </w:r>
      <w:r w:rsidR="007A586A">
        <w:rPr>
          <w:szCs w:val="24"/>
          <w:lang w:val="en-GB"/>
        </w:rPr>
        <w:t xml:space="preserve"> (in fact the opposite was alleged)</w:t>
      </w:r>
      <w:r w:rsidRPr="005D4572">
        <w:rPr>
          <w:szCs w:val="24"/>
          <w:lang w:val="en-GB"/>
        </w:rPr>
        <w:t xml:space="preserve"> and because </w:t>
      </w:r>
      <w:r w:rsidR="00AA1D5B" w:rsidRPr="005D4572">
        <w:rPr>
          <w:szCs w:val="24"/>
          <w:lang w:val="en-GB"/>
        </w:rPr>
        <w:t>Mr Gao</w:t>
      </w:r>
      <w:r w:rsidR="008E0179" w:rsidRPr="005D4572">
        <w:rPr>
          <w:szCs w:val="24"/>
          <w:lang w:val="en-GB"/>
        </w:rPr>
        <w:t xml:space="preserve"> does not have the </w:t>
      </w:r>
      <w:r w:rsidRPr="005D4572">
        <w:rPr>
          <w:szCs w:val="24"/>
          <w:lang w:val="en-GB"/>
        </w:rPr>
        <w:t xml:space="preserve">personal </w:t>
      </w:r>
      <w:r w:rsidR="008E0179" w:rsidRPr="005D4572">
        <w:rPr>
          <w:szCs w:val="24"/>
          <w:lang w:val="en-GB"/>
        </w:rPr>
        <w:t xml:space="preserve">knowledge and expertise to comment </w:t>
      </w:r>
      <w:r w:rsidR="00721604" w:rsidRPr="005D4572">
        <w:rPr>
          <w:szCs w:val="24"/>
          <w:lang w:val="en-GB"/>
        </w:rPr>
        <w:t>there</w:t>
      </w:r>
      <w:r w:rsidR="008E0179" w:rsidRPr="005D4572">
        <w:rPr>
          <w:szCs w:val="24"/>
          <w:lang w:val="en-GB"/>
        </w:rPr>
        <w:t>on.</w:t>
      </w:r>
    </w:p>
    <w:p w14:paraId="35C280F8" w14:textId="117D0189" w:rsidR="00050752" w:rsidRPr="0010696C" w:rsidRDefault="008178D3" w:rsidP="00C849C0">
      <w:pPr>
        <w:pStyle w:val="Level1"/>
        <w:rPr>
          <w:szCs w:val="24"/>
          <w:lang w:val="en-GB"/>
        </w:rPr>
      </w:pPr>
      <w:r w:rsidRPr="0010696C">
        <w:rPr>
          <w:szCs w:val="24"/>
          <w:lang w:val="en-GB"/>
        </w:rPr>
        <w:t>I now turn to deal with the three main arguments in turn.</w:t>
      </w:r>
    </w:p>
    <w:p w14:paraId="290F9796" w14:textId="2C62FB84" w:rsidR="008178D3" w:rsidRPr="0010696C" w:rsidRDefault="008178D3" w:rsidP="004D06CA">
      <w:pPr>
        <w:pStyle w:val="Heading2"/>
        <w:numPr>
          <w:ilvl w:val="0"/>
          <w:numId w:val="9"/>
        </w:numPr>
        <w:ind w:left="851" w:hanging="851"/>
        <w:rPr>
          <w:lang w:val="en-GB"/>
        </w:rPr>
      </w:pPr>
      <w:r w:rsidRPr="0010696C">
        <w:rPr>
          <w:lang w:val="en-GB"/>
        </w:rPr>
        <w:lastRenderedPageBreak/>
        <w:t>The relationship between the AC Agreement and the AET Facilities Agreement</w:t>
      </w:r>
    </w:p>
    <w:p w14:paraId="7C097A6C" w14:textId="598BD9E9" w:rsidR="008178D3" w:rsidRPr="0010696C" w:rsidRDefault="008178D3" w:rsidP="008178D3">
      <w:pPr>
        <w:pStyle w:val="Level1"/>
        <w:rPr>
          <w:lang w:val="en-GB"/>
        </w:rPr>
      </w:pPr>
      <w:r w:rsidRPr="0010696C">
        <w:rPr>
          <w:lang w:val="en-GB"/>
        </w:rPr>
        <w:t xml:space="preserve">The Applicants contend that the AET facilities of the Applicants are inextricably linked to the AC Agreement between Capitec and Amplifin.  </w:t>
      </w:r>
      <w:r w:rsidR="00402E5B" w:rsidRPr="0010696C">
        <w:rPr>
          <w:lang w:val="en-GB"/>
        </w:rPr>
        <w:t xml:space="preserve">The Applicants add </w:t>
      </w:r>
      <w:r w:rsidRPr="0010696C">
        <w:rPr>
          <w:lang w:val="en-GB"/>
        </w:rPr>
        <w:t>that the right to trade, protected by s 22 of the Constitution of the Republic of South Africa, 1996 (</w:t>
      </w:r>
      <w:r w:rsidR="00F32FD7" w:rsidRPr="0010696C">
        <w:rPr>
          <w:lang w:val="en-GB"/>
        </w:rPr>
        <w:t>“</w:t>
      </w:r>
      <w:r w:rsidRPr="0010696C">
        <w:rPr>
          <w:b/>
          <w:bCs/>
          <w:lang w:val="en-GB"/>
        </w:rPr>
        <w:t>the Constitution</w:t>
      </w:r>
      <w:r w:rsidR="00F32FD7" w:rsidRPr="0010696C">
        <w:rPr>
          <w:lang w:val="en-GB"/>
        </w:rPr>
        <w:t>”</w:t>
      </w:r>
      <w:r w:rsidRPr="0010696C">
        <w:rPr>
          <w:lang w:val="en-GB"/>
        </w:rPr>
        <w:t xml:space="preserve">) would not be promoted </w:t>
      </w:r>
      <w:r w:rsidR="0055066E">
        <w:rPr>
          <w:lang w:val="en-GB"/>
        </w:rPr>
        <w:t xml:space="preserve">if </w:t>
      </w:r>
      <w:r w:rsidRPr="0010696C">
        <w:rPr>
          <w:lang w:val="en-GB"/>
        </w:rPr>
        <w:t>Capitec</w:t>
      </w:r>
      <w:r w:rsidR="00F32FD7" w:rsidRPr="0010696C">
        <w:rPr>
          <w:lang w:val="en-GB"/>
        </w:rPr>
        <w:t>’</w:t>
      </w:r>
      <w:r w:rsidRPr="0010696C">
        <w:rPr>
          <w:lang w:val="en-GB"/>
        </w:rPr>
        <w:t xml:space="preserve">s unilateral termination of the AET facilities </w:t>
      </w:r>
      <w:r w:rsidR="0055066E">
        <w:rPr>
          <w:lang w:val="en-GB"/>
        </w:rPr>
        <w:t xml:space="preserve">is allowed as this </w:t>
      </w:r>
      <w:r w:rsidRPr="0010696C">
        <w:rPr>
          <w:lang w:val="en-GB"/>
        </w:rPr>
        <w:t>would bring the Applicants</w:t>
      </w:r>
      <w:r w:rsidR="00F32FD7" w:rsidRPr="0010696C">
        <w:rPr>
          <w:lang w:val="en-GB"/>
        </w:rPr>
        <w:t>’</w:t>
      </w:r>
      <w:r w:rsidRPr="0010696C">
        <w:rPr>
          <w:lang w:val="en-GB"/>
        </w:rPr>
        <w:t xml:space="preserve"> trade to a standstill.</w:t>
      </w:r>
    </w:p>
    <w:p w14:paraId="4E80B1B5" w14:textId="4DB3172B" w:rsidR="008178D3" w:rsidRPr="0010696C" w:rsidRDefault="008178D3" w:rsidP="008178D3">
      <w:pPr>
        <w:pStyle w:val="Level1"/>
        <w:rPr>
          <w:lang w:val="en-GB"/>
        </w:rPr>
      </w:pPr>
      <w:r w:rsidRPr="0010696C">
        <w:rPr>
          <w:lang w:val="en-GB"/>
        </w:rPr>
        <w:t>I do not agree with this argument of the Applicants.</w:t>
      </w:r>
    </w:p>
    <w:p w14:paraId="6CAEE4DE" w14:textId="7D9EC1A4" w:rsidR="00EB63A6" w:rsidRPr="0010696C" w:rsidRDefault="008178D3" w:rsidP="008178D3">
      <w:pPr>
        <w:pStyle w:val="Level1"/>
        <w:rPr>
          <w:lang w:val="en-GB"/>
        </w:rPr>
      </w:pPr>
      <w:r w:rsidRPr="0010696C">
        <w:rPr>
          <w:lang w:val="en-GB"/>
        </w:rPr>
        <w:t>Firstly,</w:t>
      </w:r>
      <w:r w:rsidR="008B5E70">
        <w:rPr>
          <w:lang w:val="en-GB"/>
        </w:rPr>
        <w:t xml:space="preserve"> in the founding affidavit</w:t>
      </w:r>
      <w:r w:rsidRPr="0010696C">
        <w:rPr>
          <w:lang w:val="en-GB"/>
        </w:rPr>
        <w:t xml:space="preserve"> the Applicants provided no textual basis for the alleged link between the AET Agreements and the AC Agreement.  This is not surprising, as </w:t>
      </w:r>
      <w:r w:rsidR="00AA1D5B" w:rsidRPr="0010696C">
        <w:rPr>
          <w:lang w:val="en-GB"/>
        </w:rPr>
        <w:t>Mr Gao</w:t>
      </w:r>
      <w:r w:rsidRPr="0010696C">
        <w:rPr>
          <w:lang w:val="en-GB"/>
        </w:rPr>
        <w:t xml:space="preserve"> states in the founding affidavit that he ha</w:t>
      </w:r>
      <w:r w:rsidR="002E686B" w:rsidRPr="0010696C">
        <w:rPr>
          <w:lang w:val="en-GB"/>
        </w:rPr>
        <w:t>d</w:t>
      </w:r>
      <w:r w:rsidRPr="0010696C">
        <w:rPr>
          <w:lang w:val="en-GB"/>
        </w:rPr>
        <w:t xml:space="preserve"> never seen the AC Agreement.</w:t>
      </w:r>
      <w:r w:rsidR="00950385" w:rsidRPr="0010696C">
        <w:rPr>
          <w:lang w:val="en-GB"/>
        </w:rPr>
        <w:t xml:space="preserve">  </w:t>
      </w:r>
      <w:r w:rsidR="005A4624">
        <w:rPr>
          <w:lang w:val="en-GB"/>
        </w:rPr>
        <w:t>A</w:t>
      </w:r>
      <w:r w:rsidR="004D6137">
        <w:rPr>
          <w:lang w:val="en-GB"/>
        </w:rPr>
        <w:t>ccordingly a</w:t>
      </w:r>
      <w:r w:rsidR="005A4624">
        <w:rPr>
          <w:lang w:val="en-GB"/>
        </w:rPr>
        <w:t xml:space="preserve"> textual basis for a link </w:t>
      </w:r>
      <w:r w:rsidR="006A3579">
        <w:rPr>
          <w:i/>
          <w:iCs/>
          <w:lang w:val="en-GB"/>
        </w:rPr>
        <w:t>could</w:t>
      </w:r>
      <w:r w:rsidR="001E645C">
        <w:rPr>
          <w:lang w:val="en-GB"/>
        </w:rPr>
        <w:t xml:space="preserve"> </w:t>
      </w:r>
      <w:r w:rsidR="005A4624">
        <w:rPr>
          <w:lang w:val="en-GB"/>
        </w:rPr>
        <w:t>not be established</w:t>
      </w:r>
      <w:r w:rsidR="001E645C">
        <w:rPr>
          <w:lang w:val="en-GB"/>
        </w:rPr>
        <w:t xml:space="preserve"> in that affidavit.  </w:t>
      </w:r>
      <w:r w:rsidR="00950385" w:rsidRPr="0010696C">
        <w:rPr>
          <w:lang w:val="en-GB"/>
        </w:rPr>
        <w:t>Th</w:t>
      </w:r>
      <w:r w:rsidR="002E686B" w:rsidRPr="0010696C">
        <w:rPr>
          <w:lang w:val="en-GB"/>
        </w:rPr>
        <w:t>e AC</w:t>
      </w:r>
      <w:r w:rsidR="00950385" w:rsidRPr="0010696C">
        <w:rPr>
          <w:lang w:val="en-GB"/>
        </w:rPr>
        <w:t xml:space="preserve"> Agreement</w:t>
      </w:r>
      <w:r w:rsidR="001E645C">
        <w:rPr>
          <w:lang w:val="en-GB"/>
        </w:rPr>
        <w:t xml:space="preserve"> was only before me because it</w:t>
      </w:r>
      <w:r w:rsidR="00950385" w:rsidRPr="0010696C">
        <w:rPr>
          <w:lang w:val="en-GB"/>
        </w:rPr>
        <w:t xml:space="preserve"> was annexed to the answering affidavit filed by Capitec.  </w:t>
      </w:r>
    </w:p>
    <w:p w14:paraId="30763311" w14:textId="77FF24F0" w:rsidR="008178D3" w:rsidRPr="0010696C" w:rsidRDefault="00EB63A6" w:rsidP="008178D3">
      <w:pPr>
        <w:pStyle w:val="Level1"/>
        <w:rPr>
          <w:lang w:val="en-GB"/>
        </w:rPr>
      </w:pPr>
      <w:r w:rsidRPr="0010696C">
        <w:rPr>
          <w:lang w:val="en-GB"/>
        </w:rPr>
        <w:t xml:space="preserve">Secondly, </w:t>
      </w:r>
      <w:r w:rsidR="0048121F">
        <w:rPr>
          <w:lang w:val="en-GB"/>
        </w:rPr>
        <w:t xml:space="preserve">even </w:t>
      </w:r>
      <w:r w:rsidR="003339C3">
        <w:rPr>
          <w:lang w:val="en-GB"/>
        </w:rPr>
        <w:t xml:space="preserve">leaving aside whether it </w:t>
      </w:r>
      <w:r w:rsidR="0048121F">
        <w:rPr>
          <w:lang w:val="en-GB"/>
        </w:rPr>
        <w:t>was raised in the founding affidavit, no</w:t>
      </w:r>
      <w:r w:rsidR="006A3579">
        <w:rPr>
          <w:lang w:val="en-GB"/>
        </w:rPr>
        <w:t xml:space="preserve"> convincing</w:t>
      </w:r>
      <w:r w:rsidR="003339C3">
        <w:rPr>
          <w:lang w:val="en-GB"/>
        </w:rPr>
        <w:t xml:space="preserve"> </w:t>
      </w:r>
      <w:r w:rsidR="00950385" w:rsidRPr="0010696C">
        <w:rPr>
          <w:lang w:val="en-GB"/>
        </w:rPr>
        <w:t xml:space="preserve">textual basis was advanced at the hearing of the matter for </w:t>
      </w:r>
      <w:r w:rsidR="00C9130A">
        <w:rPr>
          <w:lang w:val="en-GB"/>
        </w:rPr>
        <w:t xml:space="preserve">the link </w:t>
      </w:r>
      <w:r w:rsidR="00721604" w:rsidRPr="0010696C">
        <w:rPr>
          <w:lang w:val="en-GB"/>
        </w:rPr>
        <w:t>between</w:t>
      </w:r>
      <w:r w:rsidR="00950385" w:rsidRPr="0010696C">
        <w:rPr>
          <w:lang w:val="en-GB"/>
        </w:rPr>
        <w:t xml:space="preserve"> the two agreements.</w:t>
      </w:r>
      <w:r w:rsidRPr="0010696C">
        <w:rPr>
          <w:lang w:val="en-GB"/>
        </w:rPr>
        <w:t xml:space="preserve">  On the contrary, </w:t>
      </w:r>
      <w:r w:rsidR="001F48DD" w:rsidRPr="0010696C">
        <w:rPr>
          <w:lang w:val="en-GB"/>
        </w:rPr>
        <w:t>clause</w:t>
      </w:r>
      <w:r w:rsidR="009E5F3F" w:rsidRPr="0010696C">
        <w:rPr>
          <w:lang w:val="en-GB"/>
        </w:rPr>
        <w:t>s</w:t>
      </w:r>
      <w:r w:rsidR="00AA1D5B" w:rsidRPr="0010696C">
        <w:rPr>
          <w:lang w:val="en-GB"/>
        </w:rPr>
        <w:t> </w:t>
      </w:r>
      <w:r w:rsidR="001F48DD" w:rsidRPr="0010696C">
        <w:rPr>
          <w:lang w:val="en-GB"/>
        </w:rPr>
        <w:t>4</w:t>
      </w:r>
      <w:r w:rsidR="009E5F3F" w:rsidRPr="0010696C">
        <w:rPr>
          <w:lang w:val="en-GB"/>
        </w:rPr>
        <w:t>,1 and 4.2</w:t>
      </w:r>
      <w:r w:rsidR="001F48DD" w:rsidRPr="0010696C">
        <w:rPr>
          <w:lang w:val="en-GB"/>
        </w:rPr>
        <w:t xml:space="preserve"> of the AC Agreement provides that it does not create a relationship between parties beyond that provided for in the </w:t>
      </w:r>
      <w:r w:rsidR="00377A2D" w:rsidRPr="0010696C">
        <w:rPr>
          <w:lang w:val="en-GB"/>
        </w:rPr>
        <w:t>agreement itself and that any party incurring an obligation</w:t>
      </w:r>
      <w:r w:rsidR="009E5F3F" w:rsidRPr="0010696C">
        <w:rPr>
          <w:lang w:val="en-GB"/>
        </w:rPr>
        <w:t xml:space="preserve"> towards a third party shall be solely responsible for the discharge thereof. </w:t>
      </w:r>
      <w:r w:rsidR="00271C66" w:rsidRPr="0010696C">
        <w:rPr>
          <w:lang w:val="en-GB"/>
        </w:rPr>
        <w:t xml:space="preserve"> This suggests that </w:t>
      </w:r>
      <w:r w:rsidR="006E68C8" w:rsidRPr="0010696C">
        <w:rPr>
          <w:lang w:val="en-GB"/>
        </w:rPr>
        <w:t>the AET Agreement</w:t>
      </w:r>
      <w:r w:rsidR="002047E2">
        <w:rPr>
          <w:lang w:val="en-GB"/>
        </w:rPr>
        <w:t>s</w:t>
      </w:r>
      <w:r w:rsidR="006E68C8" w:rsidRPr="0010696C">
        <w:rPr>
          <w:lang w:val="en-GB"/>
        </w:rPr>
        <w:t xml:space="preserve"> do not plug into the </w:t>
      </w:r>
      <w:r w:rsidR="00271C66" w:rsidRPr="0010696C">
        <w:rPr>
          <w:lang w:val="en-GB"/>
        </w:rPr>
        <w:t>AC Agreement</w:t>
      </w:r>
      <w:r w:rsidR="006E68C8" w:rsidRPr="0010696C">
        <w:rPr>
          <w:lang w:val="en-GB"/>
        </w:rPr>
        <w:t xml:space="preserve"> but that they are separate, self-standing agreements. </w:t>
      </w:r>
      <w:r w:rsidR="00946EAD" w:rsidRPr="0010696C">
        <w:rPr>
          <w:lang w:val="en-GB"/>
        </w:rPr>
        <w:t xml:space="preserve"> The only textual </w:t>
      </w:r>
      <w:r w:rsidR="00C55283" w:rsidRPr="0010696C">
        <w:rPr>
          <w:lang w:val="en-GB"/>
        </w:rPr>
        <w:t>indication of a link is clause</w:t>
      </w:r>
      <w:r w:rsidR="00F32FD7" w:rsidRPr="0010696C">
        <w:rPr>
          <w:lang w:val="en-GB"/>
        </w:rPr>
        <w:t> </w:t>
      </w:r>
      <w:r w:rsidR="00C55283" w:rsidRPr="0010696C">
        <w:rPr>
          <w:lang w:val="en-GB"/>
        </w:rPr>
        <w:t>12.6</w:t>
      </w:r>
      <w:r w:rsidR="00D63F5A">
        <w:rPr>
          <w:lang w:val="en-GB"/>
        </w:rPr>
        <w:t xml:space="preserve"> of the AC Agreement</w:t>
      </w:r>
      <w:r w:rsidR="00C87AA2" w:rsidRPr="0010696C">
        <w:rPr>
          <w:lang w:val="en-GB"/>
        </w:rPr>
        <w:t>,</w:t>
      </w:r>
      <w:r w:rsidR="00C55283" w:rsidRPr="0010696C">
        <w:rPr>
          <w:lang w:val="en-GB"/>
        </w:rPr>
        <w:t xml:space="preserve"> which provides that if the AC Agreement terminates</w:t>
      </w:r>
      <w:r w:rsidR="00793325" w:rsidRPr="0010696C">
        <w:rPr>
          <w:lang w:val="en-GB"/>
        </w:rPr>
        <w:t xml:space="preserve"> or is cancelled, the AET bank accounts</w:t>
      </w:r>
      <w:r w:rsidR="00C87AA2" w:rsidRPr="0010696C">
        <w:rPr>
          <w:lang w:val="en-GB"/>
        </w:rPr>
        <w:t xml:space="preserve"> will be closed.  But this clause</w:t>
      </w:r>
      <w:r w:rsidR="009376BF" w:rsidRPr="0010696C">
        <w:rPr>
          <w:lang w:val="en-GB"/>
        </w:rPr>
        <w:t xml:space="preserve"> merely recognises th</w:t>
      </w:r>
      <w:r w:rsidR="0038765D" w:rsidRPr="0010696C">
        <w:rPr>
          <w:lang w:val="en-GB"/>
        </w:rPr>
        <w:t xml:space="preserve">e reality that </w:t>
      </w:r>
      <w:r w:rsidR="005A6B16" w:rsidRPr="0010696C">
        <w:rPr>
          <w:lang w:val="en-GB"/>
        </w:rPr>
        <w:lastRenderedPageBreak/>
        <w:t xml:space="preserve">none of the </w:t>
      </w:r>
      <w:r w:rsidR="0038765D" w:rsidRPr="0010696C">
        <w:rPr>
          <w:lang w:val="en-GB"/>
        </w:rPr>
        <w:t xml:space="preserve">AET accounts </w:t>
      </w:r>
      <w:r w:rsidR="005A6B16" w:rsidRPr="0010696C">
        <w:rPr>
          <w:lang w:val="en-GB"/>
        </w:rPr>
        <w:t xml:space="preserve">will </w:t>
      </w:r>
      <w:r w:rsidR="0038765D" w:rsidRPr="0010696C">
        <w:rPr>
          <w:lang w:val="en-GB"/>
        </w:rPr>
        <w:t xml:space="preserve">serve </w:t>
      </w:r>
      <w:r w:rsidR="005A6B16" w:rsidRPr="0010696C">
        <w:rPr>
          <w:lang w:val="en-GB"/>
        </w:rPr>
        <w:t>any</w:t>
      </w:r>
      <w:r w:rsidR="0038765D" w:rsidRPr="0010696C">
        <w:rPr>
          <w:lang w:val="en-GB"/>
        </w:rPr>
        <w:t xml:space="preserve"> purpose</w:t>
      </w:r>
      <w:r w:rsidR="00F63BB0" w:rsidRPr="0010696C">
        <w:rPr>
          <w:lang w:val="en-GB"/>
        </w:rPr>
        <w:t xml:space="preserve"> if the AC Agreement ends. </w:t>
      </w:r>
      <w:r w:rsidR="004C4119" w:rsidRPr="0010696C">
        <w:rPr>
          <w:lang w:val="en-GB"/>
        </w:rPr>
        <w:t xml:space="preserve"> The converse is not </w:t>
      </w:r>
      <w:r w:rsidR="00054B33" w:rsidRPr="0010696C">
        <w:rPr>
          <w:lang w:val="en-GB"/>
        </w:rPr>
        <w:t xml:space="preserve">true. </w:t>
      </w:r>
      <w:r w:rsidR="00F63BB0" w:rsidRPr="0010696C">
        <w:rPr>
          <w:lang w:val="en-GB"/>
        </w:rPr>
        <w:t xml:space="preserve"> It does not follow that the </w:t>
      </w:r>
      <w:r w:rsidR="00E643F7" w:rsidRPr="0010696C">
        <w:rPr>
          <w:lang w:val="en-GB"/>
        </w:rPr>
        <w:t xml:space="preserve">termination of some of the AET </w:t>
      </w:r>
      <w:r w:rsidR="00054B33" w:rsidRPr="0010696C">
        <w:rPr>
          <w:lang w:val="en-GB"/>
        </w:rPr>
        <w:t>a</w:t>
      </w:r>
      <w:r w:rsidR="00E643F7" w:rsidRPr="0010696C">
        <w:rPr>
          <w:lang w:val="en-GB"/>
        </w:rPr>
        <w:t xml:space="preserve">ccounts affects the </w:t>
      </w:r>
      <w:r w:rsidR="00EA6262" w:rsidRPr="0010696C">
        <w:rPr>
          <w:lang w:val="en-GB"/>
        </w:rPr>
        <w:t xml:space="preserve">operation of the AC Agreement.  On the contrary, it is apparent that </w:t>
      </w:r>
      <w:r w:rsidR="00B9798E" w:rsidRPr="0010696C">
        <w:rPr>
          <w:lang w:val="en-GB"/>
        </w:rPr>
        <w:t>credit</w:t>
      </w:r>
      <w:r w:rsidR="00B82D8C" w:rsidRPr="0010696C">
        <w:rPr>
          <w:lang w:val="en-GB"/>
        </w:rPr>
        <w:t xml:space="preserve"> providers</w:t>
      </w:r>
      <w:r w:rsidR="00B9798E" w:rsidRPr="0010696C">
        <w:rPr>
          <w:lang w:val="en-GB"/>
        </w:rPr>
        <w:t xml:space="preserve">, such as the Applicants, are constantly added or </w:t>
      </w:r>
      <w:r w:rsidR="00B82D8C" w:rsidRPr="0010696C">
        <w:rPr>
          <w:lang w:val="en-GB"/>
        </w:rPr>
        <w:t xml:space="preserve">remove from the platform.  </w:t>
      </w:r>
    </w:p>
    <w:p w14:paraId="16D935C8" w14:textId="512BBE8B" w:rsidR="00950385" w:rsidRPr="0010696C" w:rsidRDefault="00E16C84" w:rsidP="008178D3">
      <w:pPr>
        <w:pStyle w:val="Level1"/>
        <w:rPr>
          <w:lang w:val="en-GB"/>
        </w:rPr>
      </w:pPr>
      <w:r w:rsidRPr="0010696C">
        <w:rPr>
          <w:lang w:val="en-GB"/>
        </w:rPr>
        <w:t>Thir</w:t>
      </w:r>
      <w:r w:rsidR="00950385" w:rsidRPr="0010696C">
        <w:rPr>
          <w:lang w:val="en-GB"/>
        </w:rPr>
        <w:t>dly, clause 4.3 of the AC Agreement provides that it is non-exclusive and that Amplifin may enter into a similar relationship with a third</w:t>
      </w:r>
      <w:r w:rsidR="00054B33" w:rsidRPr="0010696C">
        <w:rPr>
          <w:lang w:val="en-GB"/>
        </w:rPr>
        <w:t>-</w:t>
      </w:r>
      <w:r w:rsidR="00950385" w:rsidRPr="0010696C">
        <w:rPr>
          <w:lang w:val="en-GB"/>
        </w:rPr>
        <w:t xml:space="preserve">party financial institution </w:t>
      </w:r>
      <w:r w:rsidR="00F91B44" w:rsidRPr="0010696C">
        <w:rPr>
          <w:lang w:val="en-GB"/>
        </w:rPr>
        <w:t xml:space="preserve">to render services similar to those provided by </w:t>
      </w:r>
      <w:r w:rsidR="002550A7" w:rsidRPr="0010696C">
        <w:rPr>
          <w:lang w:val="en-GB"/>
        </w:rPr>
        <w:t>Capitec.  This indicates that Amplifin may move its clients (existing and new) to</w:t>
      </w:r>
      <w:r w:rsidRPr="0010696C">
        <w:rPr>
          <w:lang w:val="en-GB"/>
        </w:rPr>
        <w:t xml:space="preserve"> </w:t>
      </w:r>
      <w:r w:rsidR="00BA3503">
        <w:rPr>
          <w:lang w:val="en-GB"/>
        </w:rPr>
        <w:t xml:space="preserve">new </w:t>
      </w:r>
      <w:r w:rsidRPr="0010696C">
        <w:rPr>
          <w:lang w:val="en-GB"/>
        </w:rPr>
        <w:t xml:space="preserve">accounts opened </w:t>
      </w:r>
      <w:r w:rsidR="00081589" w:rsidRPr="0010696C">
        <w:rPr>
          <w:lang w:val="en-GB"/>
        </w:rPr>
        <w:t>at</w:t>
      </w:r>
      <w:r w:rsidR="002550A7" w:rsidRPr="0010696C">
        <w:rPr>
          <w:lang w:val="en-GB"/>
        </w:rPr>
        <w:t xml:space="preserve"> a new sponsor bank</w:t>
      </w:r>
      <w:r w:rsidR="00081589" w:rsidRPr="0010696C">
        <w:rPr>
          <w:lang w:val="en-GB"/>
        </w:rPr>
        <w:t>.  The t</w:t>
      </w:r>
      <w:r w:rsidR="002550A7" w:rsidRPr="0010696C">
        <w:rPr>
          <w:lang w:val="en-GB"/>
        </w:rPr>
        <w:t>acit term contended for</w:t>
      </w:r>
      <w:r w:rsidR="00081589" w:rsidRPr="0010696C">
        <w:rPr>
          <w:lang w:val="en-GB"/>
        </w:rPr>
        <w:t xml:space="preserve"> by the Applicants,</w:t>
      </w:r>
      <w:r w:rsidR="00721604" w:rsidRPr="0010696C">
        <w:rPr>
          <w:lang w:val="en-GB"/>
        </w:rPr>
        <w:t xml:space="preserve"> i.e.</w:t>
      </w:r>
      <w:r w:rsidR="00081589" w:rsidRPr="0010696C">
        <w:rPr>
          <w:lang w:val="en-GB"/>
        </w:rPr>
        <w:t xml:space="preserve"> that</w:t>
      </w:r>
      <w:r w:rsidR="00721604" w:rsidRPr="0010696C">
        <w:rPr>
          <w:lang w:val="en-GB"/>
        </w:rPr>
        <w:t xml:space="preserve"> the</w:t>
      </w:r>
      <w:r w:rsidR="00081589" w:rsidRPr="0010696C">
        <w:rPr>
          <w:lang w:val="en-GB"/>
        </w:rPr>
        <w:t xml:space="preserve"> </w:t>
      </w:r>
      <w:r w:rsidR="002550A7" w:rsidRPr="0010696C">
        <w:rPr>
          <w:lang w:val="en-GB"/>
        </w:rPr>
        <w:t>AET facilities with Capitec last while the AC Agreement remains in place</w:t>
      </w:r>
      <w:r w:rsidR="00A550FD" w:rsidRPr="0010696C">
        <w:rPr>
          <w:lang w:val="en-GB"/>
        </w:rPr>
        <w:t>,</w:t>
      </w:r>
      <w:r w:rsidR="002550A7" w:rsidRPr="0010696C">
        <w:rPr>
          <w:lang w:val="en-GB"/>
        </w:rPr>
        <w:t xml:space="preserve"> would be inconsistent with </w:t>
      </w:r>
      <w:r w:rsidR="00721604" w:rsidRPr="0010696C">
        <w:rPr>
          <w:lang w:val="en-GB"/>
        </w:rPr>
        <w:t>this</w:t>
      </w:r>
      <w:r w:rsidR="002550A7" w:rsidRPr="0010696C">
        <w:rPr>
          <w:lang w:val="en-GB"/>
        </w:rPr>
        <w:t xml:space="preserve"> express term of the AC Agreement.</w:t>
      </w:r>
    </w:p>
    <w:p w14:paraId="0D8E19A1" w14:textId="612791AC" w:rsidR="00185201" w:rsidRPr="0010696C" w:rsidRDefault="00185201" w:rsidP="008178D3">
      <w:pPr>
        <w:pStyle w:val="Level1"/>
        <w:rPr>
          <w:lang w:val="en-GB"/>
        </w:rPr>
      </w:pPr>
      <w:r w:rsidRPr="0010696C">
        <w:rPr>
          <w:lang w:val="en-GB"/>
        </w:rPr>
        <w:t xml:space="preserve">Fourthly, Capitec performs an independent assessment to Amplifin when </w:t>
      </w:r>
      <w:r w:rsidR="00FB0145" w:rsidRPr="0010696C">
        <w:rPr>
          <w:lang w:val="en-GB"/>
        </w:rPr>
        <w:t xml:space="preserve">deciding whether or not to onboard a credit provider.  An </w:t>
      </w:r>
      <w:r w:rsidR="00EB2ACC" w:rsidRPr="0010696C">
        <w:rPr>
          <w:lang w:val="en-GB"/>
        </w:rPr>
        <w:t>AET account is only opened for a credit provider after considering the Know-Your</w:t>
      </w:r>
      <w:r w:rsidR="009F3440" w:rsidRPr="0010696C">
        <w:rPr>
          <w:lang w:val="en-GB"/>
        </w:rPr>
        <w:t xml:space="preserve">-Customer information provided and an internal risk assessment has been performed.  </w:t>
      </w:r>
      <w:r w:rsidR="007F1027" w:rsidRPr="0010696C">
        <w:rPr>
          <w:lang w:val="en-GB"/>
        </w:rPr>
        <w:t xml:space="preserve">If Capitec and Amplifin performs their own independent processes when </w:t>
      </w:r>
      <w:r w:rsidR="00F77545" w:rsidRPr="0010696C">
        <w:rPr>
          <w:lang w:val="en-GB"/>
        </w:rPr>
        <w:t>deciding</w:t>
      </w:r>
      <w:r w:rsidR="007F1027" w:rsidRPr="0010696C">
        <w:rPr>
          <w:lang w:val="en-GB"/>
        </w:rPr>
        <w:t xml:space="preserve"> whether or not</w:t>
      </w:r>
      <w:r w:rsidR="00F77545" w:rsidRPr="0010696C">
        <w:rPr>
          <w:lang w:val="en-GB"/>
        </w:rPr>
        <w:t xml:space="preserve"> to</w:t>
      </w:r>
      <w:r w:rsidR="007F1027" w:rsidRPr="0010696C">
        <w:rPr>
          <w:lang w:val="en-GB"/>
        </w:rPr>
        <w:t xml:space="preserve"> </w:t>
      </w:r>
      <w:r w:rsidR="00E64E17" w:rsidRPr="0010696C">
        <w:rPr>
          <w:lang w:val="en-GB"/>
        </w:rPr>
        <w:t>accept a new client, it seem</w:t>
      </w:r>
      <w:r w:rsidR="008A6282">
        <w:rPr>
          <w:lang w:val="en-GB"/>
        </w:rPr>
        <w:t>s</w:t>
      </w:r>
      <w:r w:rsidR="00E64E17" w:rsidRPr="0010696C">
        <w:rPr>
          <w:lang w:val="en-GB"/>
        </w:rPr>
        <w:t xml:space="preserve"> logical that they will also exercise an independent discretion when it comes to the termination of those agreements (</w:t>
      </w:r>
      <w:r w:rsidR="003F2ADF" w:rsidRPr="0010696C">
        <w:rPr>
          <w:lang w:val="en-GB"/>
        </w:rPr>
        <w:t>i.e.</w:t>
      </w:r>
      <w:r w:rsidR="00E64E17" w:rsidRPr="0010696C">
        <w:rPr>
          <w:lang w:val="en-GB"/>
        </w:rPr>
        <w:t xml:space="preserve"> the AET and Amplifin Agreements). </w:t>
      </w:r>
      <w:r w:rsidRPr="0010696C">
        <w:rPr>
          <w:lang w:val="en-GB"/>
        </w:rPr>
        <w:t xml:space="preserve"> </w:t>
      </w:r>
    </w:p>
    <w:p w14:paraId="70161FAB" w14:textId="2CF98073" w:rsidR="002045DF" w:rsidRDefault="00A550FD" w:rsidP="008178D3">
      <w:pPr>
        <w:pStyle w:val="Level1"/>
        <w:rPr>
          <w:lang w:val="en-GB"/>
        </w:rPr>
      </w:pPr>
      <w:r w:rsidRPr="0010696C">
        <w:rPr>
          <w:lang w:val="en-GB"/>
        </w:rPr>
        <w:t>F</w:t>
      </w:r>
      <w:r w:rsidR="00CE42AE" w:rsidRPr="0010696C">
        <w:rPr>
          <w:lang w:val="en-GB"/>
        </w:rPr>
        <w:t>if</w:t>
      </w:r>
      <w:r w:rsidRPr="0010696C">
        <w:rPr>
          <w:lang w:val="en-GB"/>
        </w:rPr>
        <w:t>th</w:t>
      </w:r>
      <w:r w:rsidR="002045DF" w:rsidRPr="0010696C">
        <w:rPr>
          <w:lang w:val="en-GB"/>
        </w:rPr>
        <w:t xml:space="preserve">ly, </w:t>
      </w:r>
      <w:r w:rsidR="00A77DEA" w:rsidRPr="0010696C">
        <w:rPr>
          <w:lang w:val="en-GB"/>
        </w:rPr>
        <w:t>I f</w:t>
      </w:r>
      <w:r w:rsidR="002045DF" w:rsidRPr="0010696C">
        <w:rPr>
          <w:lang w:val="en-GB"/>
        </w:rPr>
        <w:t>ail to see how the s</w:t>
      </w:r>
      <w:r w:rsidR="008D039F" w:rsidRPr="0010696C">
        <w:rPr>
          <w:lang w:val="en-GB"/>
        </w:rPr>
        <w:t> </w:t>
      </w:r>
      <w:r w:rsidR="002045DF" w:rsidRPr="0010696C">
        <w:rPr>
          <w:lang w:val="en-GB"/>
        </w:rPr>
        <w:t xml:space="preserve">22 constitutional right to trade assist the Applicants.  </w:t>
      </w:r>
      <w:r w:rsidR="00630681" w:rsidRPr="0010696C">
        <w:rPr>
          <w:lang w:val="en-GB"/>
        </w:rPr>
        <w:t xml:space="preserve">This right confers a </w:t>
      </w:r>
      <w:r w:rsidR="00630681" w:rsidRPr="0010696C">
        <w:rPr>
          <w:i/>
          <w:iCs/>
          <w:lang w:val="en-GB"/>
        </w:rPr>
        <w:t>freedom</w:t>
      </w:r>
      <w:r w:rsidR="00EF4D60" w:rsidRPr="0010696C">
        <w:rPr>
          <w:i/>
          <w:iCs/>
          <w:lang w:val="en-GB"/>
        </w:rPr>
        <w:t xml:space="preserve"> </w:t>
      </w:r>
      <w:r w:rsidR="00EF4D60" w:rsidRPr="0010696C">
        <w:rPr>
          <w:lang w:val="en-GB"/>
        </w:rPr>
        <w:t xml:space="preserve">to trade, not a right to receive services from a particular </w:t>
      </w:r>
      <w:r w:rsidR="00D71E10" w:rsidRPr="0010696C">
        <w:rPr>
          <w:lang w:val="en-GB"/>
        </w:rPr>
        <w:lastRenderedPageBreak/>
        <w:t xml:space="preserve">entity of choice.  If </w:t>
      </w:r>
      <w:r w:rsidR="008D039F" w:rsidRPr="0010696C">
        <w:rPr>
          <w:lang w:val="en-GB"/>
        </w:rPr>
        <w:t>the latter</w:t>
      </w:r>
      <w:r w:rsidR="00D71E10" w:rsidRPr="0010696C">
        <w:rPr>
          <w:lang w:val="en-GB"/>
        </w:rPr>
        <w:t xml:space="preserve"> were to be the case, it would undermine Capitec</w:t>
      </w:r>
      <w:r w:rsidR="00F32FD7" w:rsidRPr="0010696C">
        <w:rPr>
          <w:lang w:val="en-GB"/>
        </w:rPr>
        <w:t>’</w:t>
      </w:r>
      <w:r w:rsidR="00D71E10" w:rsidRPr="0010696C">
        <w:rPr>
          <w:lang w:val="en-GB"/>
        </w:rPr>
        <w:t>s</w:t>
      </w:r>
      <w:r w:rsidR="000C0C3E" w:rsidRPr="0010696C">
        <w:rPr>
          <w:lang w:val="en-GB"/>
        </w:rPr>
        <w:t xml:space="preserve"> freedom to </w:t>
      </w:r>
      <w:r w:rsidR="00DA6489" w:rsidRPr="0010696C">
        <w:rPr>
          <w:lang w:val="en-GB"/>
        </w:rPr>
        <w:t>contract</w:t>
      </w:r>
      <w:r w:rsidR="00462FF1" w:rsidRPr="0010696C">
        <w:rPr>
          <w:lang w:val="en-GB"/>
        </w:rPr>
        <w:t xml:space="preserve"> which is also deserving of constitutional protection.</w:t>
      </w:r>
      <w:r w:rsidR="00DA6489" w:rsidRPr="0010696C">
        <w:rPr>
          <w:rStyle w:val="FootnoteReference"/>
          <w:lang w:val="en-GB"/>
        </w:rPr>
        <w:footnoteReference w:id="20"/>
      </w:r>
      <w:r w:rsidR="00DA6489" w:rsidRPr="0010696C">
        <w:rPr>
          <w:lang w:val="en-GB"/>
        </w:rPr>
        <w:t xml:space="preserve"> </w:t>
      </w:r>
    </w:p>
    <w:p w14:paraId="2FF59E68" w14:textId="08D1DC4E" w:rsidR="006A3579" w:rsidRPr="0010696C" w:rsidRDefault="006A3579" w:rsidP="008178D3">
      <w:pPr>
        <w:pStyle w:val="Level1"/>
        <w:rPr>
          <w:lang w:val="en-GB"/>
        </w:rPr>
      </w:pPr>
      <w:r>
        <w:rPr>
          <w:lang w:val="en-GB"/>
        </w:rPr>
        <w:t xml:space="preserve">Ultimately, one’s feeling is that </w:t>
      </w:r>
      <w:r w:rsidR="006B47D4">
        <w:rPr>
          <w:lang w:val="en-GB"/>
        </w:rPr>
        <w:t>if all the agreements are linked (as contended by the Applicants) it is difficult to justify the selection</w:t>
      </w:r>
      <w:r w:rsidR="0012438D">
        <w:rPr>
          <w:lang w:val="en-GB"/>
        </w:rPr>
        <w:t xml:space="preserve"> of the</w:t>
      </w:r>
      <w:r w:rsidR="00D37EC3">
        <w:rPr>
          <w:lang w:val="en-GB"/>
        </w:rPr>
        <w:t xml:space="preserve"> longer</w:t>
      </w:r>
      <w:r w:rsidR="0012438D">
        <w:rPr>
          <w:lang w:val="en-GB"/>
        </w:rPr>
        <w:t xml:space="preserve"> termination period set in the AC Agreement (two years at </w:t>
      </w:r>
      <w:r w:rsidR="00D37EC3">
        <w:rPr>
          <w:lang w:val="en-GB"/>
        </w:rPr>
        <w:t>the time of the hearing) over the short</w:t>
      </w:r>
      <w:r w:rsidR="00C079F6">
        <w:rPr>
          <w:lang w:val="en-GB"/>
        </w:rPr>
        <w:t>er</w:t>
      </w:r>
      <w:r w:rsidR="00D37EC3">
        <w:rPr>
          <w:lang w:val="en-GB"/>
        </w:rPr>
        <w:t xml:space="preserve"> termination period in Tripartite POS Agreement (60 days)</w:t>
      </w:r>
      <w:r w:rsidR="00E314DE">
        <w:rPr>
          <w:lang w:val="en-GB"/>
        </w:rPr>
        <w:t xml:space="preserve">.  The different termination periods rather indicates </w:t>
      </w:r>
      <w:r w:rsidR="007C50FF">
        <w:rPr>
          <w:lang w:val="en-GB"/>
        </w:rPr>
        <w:t xml:space="preserve">that the agreements are all self-standing. </w:t>
      </w:r>
    </w:p>
    <w:p w14:paraId="47030FC1" w14:textId="4255E231" w:rsidR="002550A7" w:rsidRPr="0010696C" w:rsidRDefault="002550A7" w:rsidP="002550A7">
      <w:pPr>
        <w:pStyle w:val="Heading2"/>
        <w:rPr>
          <w:lang w:val="en-GB"/>
        </w:rPr>
      </w:pPr>
      <w:r w:rsidRPr="0010696C">
        <w:rPr>
          <w:lang w:val="en-GB"/>
        </w:rPr>
        <w:t>The AET facilities may only be terminated for a good reason</w:t>
      </w:r>
    </w:p>
    <w:p w14:paraId="0BF86508" w14:textId="54066E66" w:rsidR="002550A7" w:rsidRPr="0010696C" w:rsidRDefault="0073637B" w:rsidP="002550A7">
      <w:pPr>
        <w:pStyle w:val="Level1"/>
        <w:rPr>
          <w:lang w:val="en-GB"/>
        </w:rPr>
      </w:pPr>
      <w:r w:rsidRPr="0010696C">
        <w:rPr>
          <w:lang w:val="en-GB"/>
        </w:rPr>
        <w:t>The Applicants contend that the AET facilities are not normal bank accounts and that Capitec only has the right to resile from the AET Agreements because of some consideration external such as contravention of the law or breach of contract by the Applicants.</w:t>
      </w:r>
    </w:p>
    <w:p w14:paraId="6E567C99" w14:textId="0A21FEDF" w:rsidR="0073637B" w:rsidRPr="0010696C" w:rsidRDefault="0073637B" w:rsidP="002550A7">
      <w:pPr>
        <w:pStyle w:val="Level1"/>
        <w:rPr>
          <w:lang w:val="en-GB"/>
        </w:rPr>
      </w:pPr>
      <w:r w:rsidRPr="0010696C">
        <w:rPr>
          <w:lang w:val="en-GB"/>
        </w:rPr>
        <w:t>I disagree again.</w:t>
      </w:r>
    </w:p>
    <w:p w14:paraId="65D23B51" w14:textId="5A32456C" w:rsidR="0073637B" w:rsidRPr="0010696C" w:rsidRDefault="00F526D5" w:rsidP="002550A7">
      <w:pPr>
        <w:pStyle w:val="Level1"/>
        <w:rPr>
          <w:lang w:val="en-GB"/>
        </w:rPr>
      </w:pPr>
      <w:r w:rsidRPr="0010696C">
        <w:rPr>
          <w:lang w:val="en-GB"/>
        </w:rPr>
        <w:t xml:space="preserve">I do not believe that the AET facilities is of an entirely different nature to a </w:t>
      </w:r>
      <w:r w:rsidR="00B47D84" w:rsidRPr="0010696C">
        <w:rPr>
          <w:lang w:val="en-GB"/>
        </w:rPr>
        <w:t xml:space="preserve">transactional </w:t>
      </w:r>
      <w:r w:rsidRPr="0010696C">
        <w:rPr>
          <w:lang w:val="en-GB"/>
        </w:rPr>
        <w:t xml:space="preserve">bank account.  </w:t>
      </w:r>
      <w:r w:rsidR="0050322B" w:rsidRPr="0010696C">
        <w:rPr>
          <w:lang w:val="en-GB"/>
        </w:rPr>
        <w:t xml:space="preserve">Clause 1.4 of the AET Agreement indeed defines the account as a </w:t>
      </w:r>
      <w:r w:rsidR="00F32FD7" w:rsidRPr="0010696C">
        <w:rPr>
          <w:lang w:val="en-GB"/>
        </w:rPr>
        <w:t>“</w:t>
      </w:r>
      <w:r w:rsidR="0050322B" w:rsidRPr="0010696C">
        <w:rPr>
          <w:i/>
          <w:iCs/>
          <w:lang w:val="en-GB"/>
        </w:rPr>
        <w:t>bank account opened at the instance and request of the [credit provider with Amplifin]</w:t>
      </w:r>
      <w:r w:rsidR="00F32FD7" w:rsidRPr="0010696C">
        <w:rPr>
          <w:lang w:val="en-GB"/>
        </w:rPr>
        <w:t>”</w:t>
      </w:r>
      <w:r w:rsidR="0050322B" w:rsidRPr="0010696C">
        <w:rPr>
          <w:lang w:val="en-GB"/>
        </w:rPr>
        <w:t xml:space="preserve">.  Clause 2.3 also provides that the AET account is a </w:t>
      </w:r>
      <w:r w:rsidR="00F32FD7" w:rsidRPr="0010696C">
        <w:rPr>
          <w:lang w:val="en-GB"/>
        </w:rPr>
        <w:t>“</w:t>
      </w:r>
      <w:r w:rsidR="0050322B" w:rsidRPr="0010696C">
        <w:rPr>
          <w:i/>
          <w:iCs/>
          <w:lang w:val="en-GB"/>
        </w:rPr>
        <w:t>non-interest bearing bank account with no overdraft facilities</w:t>
      </w:r>
      <w:r w:rsidR="00F32FD7" w:rsidRPr="0010696C">
        <w:rPr>
          <w:lang w:val="en-GB"/>
        </w:rPr>
        <w:t>”</w:t>
      </w:r>
      <w:r w:rsidR="0050322B" w:rsidRPr="0010696C">
        <w:rPr>
          <w:lang w:val="en-GB"/>
        </w:rPr>
        <w:t>.</w:t>
      </w:r>
    </w:p>
    <w:p w14:paraId="22DADEE9" w14:textId="5D390CE6" w:rsidR="00FC4A6A" w:rsidRPr="0010696C" w:rsidRDefault="00FC4A6A" w:rsidP="002550A7">
      <w:pPr>
        <w:pStyle w:val="Level1"/>
        <w:rPr>
          <w:lang w:val="en-GB"/>
        </w:rPr>
      </w:pPr>
      <w:r w:rsidRPr="0010696C">
        <w:rPr>
          <w:lang w:val="en-GB"/>
        </w:rPr>
        <w:t xml:space="preserve">In any event, </w:t>
      </w:r>
      <w:r w:rsidR="006718F7" w:rsidRPr="0010696C">
        <w:rPr>
          <w:lang w:val="en-GB"/>
        </w:rPr>
        <w:t xml:space="preserve">the common law </w:t>
      </w:r>
      <w:r w:rsidR="001A3A6A" w:rsidRPr="0010696C">
        <w:rPr>
          <w:lang w:val="en-GB"/>
        </w:rPr>
        <w:t>referred to below</w:t>
      </w:r>
      <w:r w:rsidR="006718F7" w:rsidRPr="0010696C">
        <w:rPr>
          <w:lang w:val="en-GB"/>
        </w:rPr>
        <w:t xml:space="preserve"> does not only</w:t>
      </w:r>
      <w:r w:rsidR="00B47D84" w:rsidRPr="0010696C">
        <w:rPr>
          <w:lang w:val="en-GB"/>
        </w:rPr>
        <w:t xml:space="preserve"> apply to a transactional bank account </w:t>
      </w:r>
      <w:r w:rsidR="00E61510" w:rsidRPr="0010696C">
        <w:rPr>
          <w:lang w:val="en-GB"/>
        </w:rPr>
        <w:t xml:space="preserve">only </w:t>
      </w:r>
      <w:r w:rsidR="00B47D84" w:rsidRPr="0010696C">
        <w:rPr>
          <w:lang w:val="en-GB"/>
        </w:rPr>
        <w:t>but to any contract of indefinite duration.</w:t>
      </w:r>
      <w:r w:rsidR="00F32FD7" w:rsidRPr="0010696C">
        <w:rPr>
          <w:lang w:val="en-GB"/>
        </w:rPr>
        <w:t xml:space="preserve"> </w:t>
      </w:r>
      <w:r w:rsidR="00B47D84" w:rsidRPr="0010696C">
        <w:rPr>
          <w:lang w:val="en-GB"/>
        </w:rPr>
        <w:t xml:space="preserve"> It accordingly does not </w:t>
      </w:r>
      <w:r w:rsidR="00B47D84" w:rsidRPr="0010696C">
        <w:rPr>
          <w:lang w:val="en-GB"/>
        </w:rPr>
        <w:lastRenderedPageBreak/>
        <w:t xml:space="preserve">assist the Applicants to </w:t>
      </w:r>
      <w:r w:rsidR="00EB1481" w:rsidRPr="0010696C">
        <w:rPr>
          <w:lang w:val="en-GB"/>
        </w:rPr>
        <w:t xml:space="preserve">show that the AET facilities </w:t>
      </w:r>
      <w:r w:rsidR="00B96BC0" w:rsidRPr="0010696C">
        <w:rPr>
          <w:lang w:val="en-GB"/>
        </w:rPr>
        <w:t>are</w:t>
      </w:r>
      <w:r w:rsidR="00EB1481" w:rsidRPr="0010696C">
        <w:rPr>
          <w:lang w:val="en-GB"/>
        </w:rPr>
        <w:t xml:space="preserve"> different to a transactional bank account.  </w:t>
      </w:r>
      <w:r w:rsidR="00B96BC0" w:rsidRPr="0010696C">
        <w:rPr>
          <w:lang w:val="en-GB"/>
        </w:rPr>
        <w:t xml:space="preserve">They must show that the common law rule in respect of all contracts of indefinite duration is not applicable. </w:t>
      </w:r>
    </w:p>
    <w:p w14:paraId="72FCDD72" w14:textId="37803BF2" w:rsidR="0014745E" w:rsidRPr="0010696C" w:rsidRDefault="00FF4CFA" w:rsidP="002550A7">
      <w:pPr>
        <w:pStyle w:val="Level1"/>
        <w:rPr>
          <w:lang w:val="en-GB"/>
        </w:rPr>
      </w:pPr>
      <w:r w:rsidRPr="0010696C">
        <w:rPr>
          <w:lang w:val="en-GB"/>
        </w:rPr>
        <w:t xml:space="preserve">In my view the </w:t>
      </w:r>
      <w:r w:rsidR="0014745E" w:rsidRPr="0010696C">
        <w:rPr>
          <w:lang w:val="en-GB"/>
        </w:rPr>
        <w:t xml:space="preserve">jurisprudence pertaining to the termination of a </w:t>
      </w:r>
      <w:r w:rsidR="006718F7" w:rsidRPr="0010696C">
        <w:rPr>
          <w:lang w:val="en-GB"/>
        </w:rPr>
        <w:t>contract of indefinite duration</w:t>
      </w:r>
      <w:r w:rsidR="00DB68AB" w:rsidRPr="0010696C">
        <w:rPr>
          <w:lang w:val="en-GB"/>
        </w:rPr>
        <w:t xml:space="preserve"> accordingly</w:t>
      </w:r>
      <w:r w:rsidR="006718F7" w:rsidRPr="0010696C">
        <w:rPr>
          <w:lang w:val="en-GB"/>
        </w:rPr>
        <w:t xml:space="preserve"> </w:t>
      </w:r>
      <w:r w:rsidRPr="0010696C">
        <w:rPr>
          <w:lang w:val="en-GB"/>
        </w:rPr>
        <w:t xml:space="preserve">applies </w:t>
      </w:r>
      <w:r w:rsidR="0014745E" w:rsidRPr="0010696C">
        <w:rPr>
          <w:lang w:val="en-GB"/>
        </w:rPr>
        <w:t>to the AET Agreement</w:t>
      </w:r>
      <w:r w:rsidRPr="0010696C">
        <w:rPr>
          <w:lang w:val="en-GB"/>
        </w:rPr>
        <w:t>s</w:t>
      </w:r>
      <w:r w:rsidR="0014745E" w:rsidRPr="0010696C">
        <w:rPr>
          <w:lang w:val="en-GB"/>
        </w:rPr>
        <w:t xml:space="preserve"> as well.</w:t>
      </w:r>
    </w:p>
    <w:p w14:paraId="0BE9BA81" w14:textId="77777777" w:rsidR="00C03992" w:rsidRDefault="00EE5446" w:rsidP="00C03992">
      <w:pPr>
        <w:pStyle w:val="Level1"/>
        <w:rPr>
          <w:szCs w:val="24"/>
          <w:lang w:val="en-GB"/>
        </w:rPr>
      </w:pPr>
      <w:r w:rsidRPr="0010696C">
        <w:rPr>
          <w:szCs w:val="24"/>
          <w:lang w:val="en-GB"/>
        </w:rPr>
        <w:t>In</w:t>
      </w:r>
      <w:r w:rsidR="005F6F03" w:rsidRPr="0010696C">
        <w:rPr>
          <w:szCs w:val="24"/>
          <w:lang w:val="en-GB"/>
        </w:rPr>
        <w:t xml:space="preserve"> the leading case</w:t>
      </w:r>
      <w:r w:rsidR="007C66E0">
        <w:rPr>
          <w:szCs w:val="24"/>
          <w:lang w:val="en-GB"/>
        </w:rPr>
        <w:t xml:space="preserve"> on the topic</w:t>
      </w:r>
      <w:r w:rsidR="005F6F03" w:rsidRPr="0010696C">
        <w:rPr>
          <w:szCs w:val="24"/>
          <w:lang w:val="en-GB"/>
        </w:rPr>
        <w:t>,</w:t>
      </w:r>
      <w:r w:rsidRPr="0010696C">
        <w:rPr>
          <w:szCs w:val="24"/>
          <w:lang w:val="en-GB"/>
        </w:rPr>
        <w:t xml:space="preserve"> </w:t>
      </w:r>
      <w:r w:rsidRPr="0010696C">
        <w:rPr>
          <w:b/>
          <w:bCs/>
          <w:szCs w:val="24"/>
          <w:u w:val="single"/>
          <w:lang w:val="en-GB"/>
        </w:rPr>
        <w:t>Bredenkamp and Others v Standard Bank of SA Ltd</w:t>
      </w:r>
      <w:r w:rsidRPr="0010696C">
        <w:rPr>
          <w:szCs w:val="24"/>
          <w:lang w:val="en-GB"/>
        </w:rPr>
        <w:t xml:space="preserve"> 2010 (4) SA 468 (SCA), the SCA held that there is an </w:t>
      </w:r>
      <w:r w:rsidR="00F32FD7" w:rsidRPr="0010696C">
        <w:rPr>
          <w:szCs w:val="24"/>
          <w:lang w:val="en-GB"/>
        </w:rPr>
        <w:t>“</w:t>
      </w:r>
      <w:r w:rsidRPr="0010696C">
        <w:rPr>
          <w:i/>
          <w:iCs/>
          <w:szCs w:val="24"/>
          <w:lang w:val="en-GB"/>
        </w:rPr>
        <w:t>implied term or common law rule</w:t>
      </w:r>
      <w:r w:rsidR="00F32FD7" w:rsidRPr="0010696C">
        <w:rPr>
          <w:i/>
          <w:iCs/>
          <w:szCs w:val="24"/>
          <w:lang w:val="en-GB"/>
        </w:rPr>
        <w:t>”</w:t>
      </w:r>
      <w:r w:rsidRPr="0010696C">
        <w:rPr>
          <w:szCs w:val="24"/>
          <w:lang w:val="en-GB"/>
        </w:rPr>
        <w:t xml:space="preserve"> which entitles a party to terminate an indefinite contractual relationship on reasonable notice</w:t>
      </w:r>
      <w:r w:rsidR="000070A6" w:rsidRPr="0010696C">
        <w:rPr>
          <w:szCs w:val="24"/>
          <w:lang w:val="en-GB"/>
        </w:rPr>
        <w:t xml:space="preserve"> [not reasonable grounds]</w:t>
      </w:r>
      <w:r w:rsidRPr="0010696C">
        <w:rPr>
          <w:szCs w:val="24"/>
          <w:lang w:val="en-GB"/>
        </w:rPr>
        <w:t>.</w:t>
      </w:r>
      <w:r w:rsidRPr="0010696C">
        <w:rPr>
          <w:rStyle w:val="FootnoteReference"/>
          <w:szCs w:val="24"/>
          <w:lang w:val="en-GB"/>
        </w:rPr>
        <w:footnoteReference w:id="21"/>
      </w:r>
      <w:r w:rsidRPr="0010696C">
        <w:rPr>
          <w:szCs w:val="24"/>
          <w:lang w:val="en-GB"/>
        </w:rPr>
        <w:t xml:space="preserve">  </w:t>
      </w:r>
      <w:r w:rsidR="005F6F03" w:rsidRPr="0010696C">
        <w:rPr>
          <w:szCs w:val="24"/>
          <w:lang w:val="en-GB"/>
        </w:rPr>
        <w:t>The SCA stated further that, g</w:t>
      </w:r>
      <w:r w:rsidRPr="0010696C">
        <w:rPr>
          <w:szCs w:val="24"/>
          <w:lang w:val="en-GB"/>
        </w:rPr>
        <w:t>iven this</w:t>
      </w:r>
      <w:r w:rsidR="006961C9" w:rsidRPr="0010696C">
        <w:rPr>
          <w:szCs w:val="24"/>
          <w:lang w:val="en-GB"/>
        </w:rPr>
        <w:t xml:space="preserve"> implied term</w:t>
      </w:r>
      <w:r w:rsidRPr="0010696C">
        <w:rPr>
          <w:szCs w:val="24"/>
          <w:lang w:val="en-GB"/>
        </w:rPr>
        <w:t xml:space="preserve">, one cannot at the same time contends that the relationship </w:t>
      </w:r>
      <w:r w:rsidR="00DB68AB" w:rsidRPr="0010696C">
        <w:rPr>
          <w:szCs w:val="24"/>
          <w:lang w:val="en-GB"/>
        </w:rPr>
        <w:t>may</w:t>
      </w:r>
      <w:r w:rsidRPr="0010696C">
        <w:rPr>
          <w:szCs w:val="24"/>
          <w:lang w:val="en-GB"/>
        </w:rPr>
        <w:t xml:space="preserve"> only be terminated on good cause as the two rules would then be in conflict.</w:t>
      </w:r>
      <w:r w:rsidRPr="0010696C">
        <w:rPr>
          <w:rStyle w:val="FootnoteReference"/>
          <w:szCs w:val="24"/>
          <w:lang w:val="en-GB"/>
        </w:rPr>
        <w:footnoteReference w:id="22"/>
      </w:r>
      <w:r w:rsidR="00E36776" w:rsidRPr="0010696C">
        <w:rPr>
          <w:szCs w:val="24"/>
          <w:lang w:val="en-GB"/>
        </w:rPr>
        <w:t xml:space="preserve"> </w:t>
      </w:r>
      <w:r w:rsidR="000070A6" w:rsidRPr="0010696C">
        <w:rPr>
          <w:szCs w:val="24"/>
          <w:lang w:val="en-GB"/>
        </w:rPr>
        <w:t xml:space="preserve"> </w:t>
      </w:r>
      <w:r w:rsidR="0072136E">
        <w:rPr>
          <w:szCs w:val="24"/>
          <w:lang w:val="en-GB"/>
        </w:rPr>
        <w:t xml:space="preserve">It makes no sense to allow termination on </w:t>
      </w:r>
      <w:r w:rsidR="00920237">
        <w:rPr>
          <w:szCs w:val="24"/>
          <w:lang w:val="en-GB"/>
        </w:rPr>
        <w:t xml:space="preserve">reasonable </w:t>
      </w:r>
      <w:r w:rsidR="000070A6" w:rsidRPr="0010696C">
        <w:rPr>
          <w:szCs w:val="24"/>
          <w:lang w:val="en-GB"/>
        </w:rPr>
        <w:t xml:space="preserve">notice </w:t>
      </w:r>
      <w:r w:rsidR="00920237">
        <w:rPr>
          <w:szCs w:val="24"/>
          <w:lang w:val="en-GB"/>
        </w:rPr>
        <w:t>if good cause i</w:t>
      </w:r>
      <w:r w:rsidR="00C42798">
        <w:rPr>
          <w:szCs w:val="24"/>
          <w:lang w:val="en-GB"/>
        </w:rPr>
        <w:t>s</w:t>
      </w:r>
      <w:r w:rsidR="00920237">
        <w:rPr>
          <w:szCs w:val="24"/>
          <w:lang w:val="en-GB"/>
        </w:rPr>
        <w:t xml:space="preserve"> required on top of that.</w:t>
      </w:r>
      <w:r w:rsidR="002443F7" w:rsidRPr="0010696C">
        <w:rPr>
          <w:szCs w:val="24"/>
          <w:lang w:val="en-GB"/>
        </w:rPr>
        <w:t xml:space="preserve">  </w:t>
      </w:r>
      <w:r w:rsidR="00C42798">
        <w:rPr>
          <w:szCs w:val="24"/>
          <w:lang w:val="en-GB"/>
        </w:rPr>
        <w:t xml:space="preserve">It may be that </w:t>
      </w:r>
      <w:r w:rsidR="00B21EDE">
        <w:rPr>
          <w:szCs w:val="24"/>
          <w:lang w:val="en-GB"/>
        </w:rPr>
        <w:t xml:space="preserve">cancellation on short notice, even </w:t>
      </w:r>
      <w:r w:rsidR="00E35D64">
        <w:rPr>
          <w:szCs w:val="24"/>
          <w:lang w:val="en-GB"/>
        </w:rPr>
        <w:t>with immediate effect, would be justified in some circumstances but that does not detract from the general right of termination on reason</w:t>
      </w:r>
      <w:r w:rsidR="00331FE5">
        <w:rPr>
          <w:szCs w:val="24"/>
          <w:lang w:val="en-GB"/>
        </w:rPr>
        <w:t>able notice</w:t>
      </w:r>
      <w:r w:rsidR="00EF10C3">
        <w:rPr>
          <w:szCs w:val="24"/>
          <w:lang w:val="en-GB"/>
        </w:rPr>
        <w:t>, when a contract is of indefinite operation</w:t>
      </w:r>
      <w:r w:rsidR="00331FE5">
        <w:rPr>
          <w:szCs w:val="24"/>
          <w:lang w:val="en-GB"/>
        </w:rPr>
        <w:t xml:space="preserve">.  </w:t>
      </w:r>
    </w:p>
    <w:p w14:paraId="1FC48168" w14:textId="076013F1" w:rsidR="00BF5198" w:rsidRPr="00C03992" w:rsidRDefault="00331FE5" w:rsidP="00C03992">
      <w:pPr>
        <w:pStyle w:val="Level1"/>
        <w:rPr>
          <w:szCs w:val="24"/>
          <w:lang w:val="en-GB"/>
        </w:rPr>
      </w:pPr>
      <w:r w:rsidRPr="00C03992">
        <w:rPr>
          <w:lang w:val="en-GB"/>
        </w:rPr>
        <w:t xml:space="preserve">The </w:t>
      </w:r>
      <w:r w:rsidR="002443F7" w:rsidRPr="00C03992">
        <w:rPr>
          <w:lang w:val="en-GB"/>
        </w:rPr>
        <w:t>SCA</w:t>
      </w:r>
      <w:r w:rsidR="008309DD" w:rsidRPr="00C03992">
        <w:rPr>
          <w:lang w:val="en-GB"/>
        </w:rPr>
        <w:t xml:space="preserve"> </w:t>
      </w:r>
      <w:r w:rsidR="00697E71" w:rsidRPr="00C03992">
        <w:rPr>
          <w:lang w:val="en-GB"/>
        </w:rPr>
        <w:t xml:space="preserve">has now dealt with the issue of whether reasons need to be given </w:t>
      </w:r>
      <w:r w:rsidR="008309DD" w:rsidRPr="00C03992">
        <w:rPr>
          <w:lang w:val="en-GB"/>
        </w:rPr>
        <w:t xml:space="preserve">n respect of </w:t>
      </w:r>
      <w:r w:rsidR="00697E71" w:rsidRPr="00C03992">
        <w:rPr>
          <w:lang w:val="en-GB"/>
        </w:rPr>
        <w:t xml:space="preserve">the termination of </w:t>
      </w:r>
      <w:r w:rsidR="008309DD" w:rsidRPr="00C03992">
        <w:rPr>
          <w:lang w:val="en-GB"/>
        </w:rPr>
        <w:t>contracts of indefinite operation</w:t>
      </w:r>
      <w:r w:rsidR="002443F7" w:rsidRPr="00C03992">
        <w:rPr>
          <w:lang w:val="en-GB"/>
        </w:rPr>
        <w:t>.</w:t>
      </w:r>
      <w:r w:rsidR="00F32FD7" w:rsidRPr="00C03992">
        <w:rPr>
          <w:lang w:val="en-GB"/>
        </w:rPr>
        <w:t xml:space="preserve"> </w:t>
      </w:r>
      <w:r w:rsidR="002443F7" w:rsidRPr="00C03992">
        <w:rPr>
          <w:lang w:val="en-GB"/>
        </w:rPr>
        <w:t xml:space="preserve"> </w:t>
      </w:r>
      <w:r w:rsidR="0071680C" w:rsidRPr="00C03992">
        <w:rPr>
          <w:lang w:val="en-GB"/>
        </w:rPr>
        <w:t xml:space="preserve">In </w:t>
      </w:r>
      <w:r w:rsidR="004741FB" w:rsidRPr="00C03992">
        <w:rPr>
          <w:b/>
          <w:bCs/>
          <w:u w:val="single"/>
          <w:lang w:val="en-GB"/>
        </w:rPr>
        <w:t>Survé</w:t>
      </w:r>
      <w:r w:rsidR="004741FB" w:rsidRPr="00C03992">
        <w:rPr>
          <w:lang w:val="en-GB"/>
        </w:rPr>
        <w:t xml:space="preserve">, the </w:t>
      </w:r>
      <w:r w:rsidR="00BF5198" w:rsidRPr="00C03992">
        <w:rPr>
          <w:lang w:val="en-GB"/>
        </w:rPr>
        <w:t xml:space="preserve">SCA confirmed, </w:t>
      </w:r>
      <w:r w:rsidR="00697E71" w:rsidRPr="00C03992">
        <w:rPr>
          <w:lang w:val="en-GB"/>
        </w:rPr>
        <w:t xml:space="preserve">that </w:t>
      </w:r>
      <w:r w:rsidR="00BF5198" w:rsidRPr="00C03992">
        <w:rPr>
          <w:lang w:val="en-GB"/>
        </w:rPr>
        <w:t xml:space="preserve">a bank is </w:t>
      </w:r>
      <w:r w:rsidR="00F32FD7" w:rsidRPr="00C03992">
        <w:rPr>
          <w:lang w:val="en-GB"/>
        </w:rPr>
        <w:t>“</w:t>
      </w:r>
      <w:r w:rsidR="00BF5198" w:rsidRPr="00C03992">
        <w:rPr>
          <w:i/>
          <w:iCs/>
          <w:lang w:val="en-GB"/>
        </w:rPr>
        <w:t>under no obligation to provide reasons for its decision [to close a customer</w:t>
      </w:r>
      <w:r w:rsidR="00F32FD7" w:rsidRPr="00C03992">
        <w:rPr>
          <w:i/>
          <w:iCs/>
          <w:lang w:val="en-GB"/>
        </w:rPr>
        <w:t>’</w:t>
      </w:r>
      <w:r w:rsidR="00BF5198" w:rsidRPr="00C03992">
        <w:rPr>
          <w:i/>
          <w:iCs/>
          <w:lang w:val="en-GB"/>
        </w:rPr>
        <w:t>s bank account]</w:t>
      </w:r>
      <w:r w:rsidR="00F32FD7" w:rsidRPr="00C03992">
        <w:rPr>
          <w:i/>
          <w:iCs/>
          <w:lang w:val="en-GB"/>
        </w:rPr>
        <w:t>”</w:t>
      </w:r>
      <w:r w:rsidR="00BF5198" w:rsidRPr="00C03992">
        <w:rPr>
          <w:i/>
          <w:iCs/>
          <w:lang w:val="en-GB"/>
        </w:rPr>
        <w:t>.</w:t>
      </w:r>
      <w:r w:rsidR="00BF5198" w:rsidRPr="00084644">
        <w:rPr>
          <w:rStyle w:val="FootnoteReference"/>
          <w:i/>
          <w:iCs/>
          <w:lang w:val="en-GB"/>
        </w:rPr>
        <w:footnoteReference w:id="23"/>
      </w:r>
      <w:r w:rsidR="00BF5198" w:rsidRPr="00C03992">
        <w:rPr>
          <w:i/>
          <w:iCs/>
          <w:lang w:val="en-GB"/>
        </w:rPr>
        <w:t xml:space="preserve">  </w:t>
      </w:r>
      <w:r w:rsidR="003A1347" w:rsidRPr="00C03992">
        <w:rPr>
          <w:lang w:val="en-GB"/>
        </w:rPr>
        <w:t xml:space="preserve">No reasons need to be given </w:t>
      </w:r>
      <w:r w:rsidR="0018586D" w:rsidRPr="00C03992">
        <w:rPr>
          <w:lang w:val="en-GB"/>
        </w:rPr>
        <w:t xml:space="preserve">because </w:t>
      </w:r>
      <w:r w:rsidR="00844891" w:rsidRPr="00C03992">
        <w:rPr>
          <w:lang w:val="en-GB"/>
        </w:rPr>
        <w:t xml:space="preserve">if reasonable </w:t>
      </w:r>
      <w:r w:rsidR="00844891" w:rsidRPr="00C03992">
        <w:rPr>
          <w:lang w:val="en-GB"/>
        </w:rPr>
        <w:lastRenderedPageBreak/>
        <w:t xml:space="preserve">notice is given the question of </w:t>
      </w:r>
      <w:r w:rsidR="003A1347" w:rsidRPr="00C03992">
        <w:rPr>
          <w:lang w:val="en-GB"/>
        </w:rPr>
        <w:t>whether</w:t>
      </w:r>
      <w:r w:rsidR="00090947" w:rsidRPr="00C03992">
        <w:rPr>
          <w:lang w:val="en-GB"/>
        </w:rPr>
        <w:t xml:space="preserve"> there is good cause for the closure of </w:t>
      </w:r>
      <w:r w:rsidR="00844891" w:rsidRPr="00C03992">
        <w:rPr>
          <w:lang w:val="en-GB"/>
        </w:rPr>
        <w:t xml:space="preserve">bank </w:t>
      </w:r>
      <w:r w:rsidR="00090947" w:rsidRPr="00C03992">
        <w:rPr>
          <w:lang w:val="en-GB"/>
        </w:rPr>
        <w:t>accounts</w:t>
      </w:r>
      <w:r w:rsidR="00844891" w:rsidRPr="00C03992">
        <w:rPr>
          <w:lang w:val="en-GB"/>
        </w:rPr>
        <w:t xml:space="preserve"> of indefinite duration</w:t>
      </w:r>
      <w:r w:rsidR="00090947" w:rsidRPr="00C03992">
        <w:rPr>
          <w:lang w:val="en-GB"/>
        </w:rPr>
        <w:t xml:space="preserve"> does not arise. </w:t>
      </w:r>
      <w:r w:rsidR="00097694" w:rsidRPr="00C03992">
        <w:rPr>
          <w:lang w:val="en-GB"/>
        </w:rPr>
        <w:t xml:space="preserve"> </w:t>
      </w:r>
    </w:p>
    <w:p w14:paraId="7145F062" w14:textId="436BB971" w:rsidR="00855405" w:rsidRPr="0010696C" w:rsidRDefault="00B53CDD" w:rsidP="00EE5446">
      <w:pPr>
        <w:pStyle w:val="Level1"/>
        <w:rPr>
          <w:szCs w:val="24"/>
          <w:lang w:val="en-GB"/>
        </w:rPr>
      </w:pPr>
      <w:r>
        <w:rPr>
          <w:szCs w:val="24"/>
          <w:lang w:val="en-GB"/>
        </w:rPr>
        <w:t xml:space="preserve">Thus, as the law stands, good cause </w:t>
      </w:r>
      <w:r w:rsidR="00C03992">
        <w:rPr>
          <w:szCs w:val="24"/>
          <w:lang w:val="en-GB"/>
        </w:rPr>
        <w:t xml:space="preserve">for </w:t>
      </w:r>
      <w:r>
        <w:rPr>
          <w:szCs w:val="24"/>
          <w:lang w:val="en-GB"/>
        </w:rPr>
        <w:t xml:space="preserve">termination of these contracts is not required.  </w:t>
      </w:r>
      <w:r w:rsidR="00EE32E1">
        <w:rPr>
          <w:szCs w:val="24"/>
          <w:lang w:val="en-GB"/>
        </w:rPr>
        <w:t>I was asked to develop the common law but I have some difficulties with that idea</w:t>
      </w:r>
      <w:r w:rsidR="001676A9">
        <w:rPr>
          <w:szCs w:val="24"/>
          <w:lang w:val="en-GB"/>
        </w:rPr>
        <w:t>, even if it was possible for me to deviate from the SCA authorities cited above</w:t>
      </w:r>
      <w:r w:rsidR="00D22B94">
        <w:rPr>
          <w:szCs w:val="24"/>
          <w:lang w:val="en-GB"/>
        </w:rPr>
        <w:t xml:space="preserve"> [which I do not believe I can do</w:t>
      </w:r>
      <w:r w:rsidR="0038188C">
        <w:rPr>
          <w:szCs w:val="24"/>
          <w:lang w:val="en-GB"/>
        </w:rPr>
        <w:t>]</w:t>
      </w:r>
      <w:r w:rsidR="001676A9">
        <w:rPr>
          <w:szCs w:val="24"/>
          <w:lang w:val="en-GB"/>
        </w:rPr>
        <w:t xml:space="preserve">.  </w:t>
      </w:r>
      <w:r w:rsidR="00774C2F">
        <w:rPr>
          <w:szCs w:val="24"/>
          <w:lang w:val="en-GB"/>
        </w:rPr>
        <w:t xml:space="preserve">The </w:t>
      </w:r>
      <w:r w:rsidR="00E36776" w:rsidRPr="0010696C">
        <w:rPr>
          <w:szCs w:val="24"/>
          <w:lang w:val="en-GB"/>
        </w:rPr>
        <w:t xml:space="preserve">difficulty </w:t>
      </w:r>
      <w:r w:rsidR="00774C2F">
        <w:rPr>
          <w:szCs w:val="24"/>
          <w:lang w:val="en-GB"/>
        </w:rPr>
        <w:t xml:space="preserve">is </w:t>
      </w:r>
      <w:r w:rsidR="008C2A73" w:rsidRPr="0010696C">
        <w:rPr>
          <w:szCs w:val="24"/>
          <w:lang w:val="en-GB"/>
        </w:rPr>
        <w:t>how to develop the common law.  What would be required is</w:t>
      </w:r>
      <w:r w:rsidR="007A53C4" w:rsidRPr="0010696C">
        <w:rPr>
          <w:szCs w:val="24"/>
          <w:lang w:val="en-GB"/>
        </w:rPr>
        <w:t xml:space="preserve"> for </w:t>
      </w:r>
      <w:r w:rsidR="00774C2F">
        <w:rPr>
          <w:szCs w:val="24"/>
          <w:lang w:val="en-GB"/>
        </w:rPr>
        <w:t xml:space="preserve">a court </w:t>
      </w:r>
      <w:r w:rsidR="001E1040" w:rsidRPr="0010696C">
        <w:rPr>
          <w:szCs w:val="24"/>
          <w:lang w:val="en-GB"/>
        </w:rPr>
        <w:t xml:space="preserve">to </w:t>
      </w:r>
      <w:r w:rsidR="00BD321F" w:rsidRPr="0010696C">
        <w:rPr>
          <w:szCs w:val="24"/>
          <w:lang w:val="en-GB"/>
        </w:rPr>
        <w:t>devis</w:t>
      </w:r>
      <w:r w:rsidR="001E1040" w:rsidRPr="0010696C">
        <w:rPr>
          <w:szCs w:val="24"/>
          <w:lang w:val="en-GB"/>
        </w:rPr>
        <w:t>e</w:t>
      </w:r>
      <w:r w:rsidR="00BD321F" w:rsidRPr="0010696C">
        <w:rPr>
          <w:szCs w:val="24"/>
          <w:lang w:val="en-GB"/>
        </w:rPr>
        <w:t xml:space="preserve"> for the parties</w:t>
      </w:r>
      <w:r w:rsidR="00D25FC1" w:rsidRPr="0010696C">
        <w:rPr>
          <w:szCs w:val="24"/>
          <w:lang w:val="en-GB"/>
        </w:rPr>
        <w:t xml:space="preserve"> the grounds </w:t>
      </w:r>
      <w:r w:rsidR="00984892" w:rsidRPr="0010696C">
        <w:rPr>
          <w:szCs w:val="24"/>
          <w:lang w:val="en-GB"/>
        </w:rPr>
        <w:t xml:space="preserve">(the good cause) on which the agreement may be cancelled.  </w:t>
      </w:r>
      <w:r w:rsidR="001E1040" w:rsidRPr="0010696C">
        <w:rPr>
          <w:szCs w:val="24"/>
          <w:lang w:val="en-GB"/>
        </w:rPr>
        <w:t xml:space="preserve">The </w:t>
      </w:r>
      <w:r w:rsidR="007A53C4" w:rsidRPr="0010696C">
        <w:rPr>
          <w:szCs w:val="24"/>
          <w:lang w:val="en-GB"/>
        </w:rPr>
        <w:t>Court will have to determine what kind of</w:t>
      </w:r>
      <w:r w:rsidR="001E1040" w:rsidRPr="0010696C">
        <w:rPr>
          <w:szCs w:val="24"/>
          <w:lang w:val="en-GB"/>
        </w:rPr>
        <w:t xml:space="preserve"> conduct</w:t>
      </w:r>
      <w:r w:rsidR="006961C9" w:rsidRPr="0010696C">
        <w:rPr>
          <w:szCs w:val="24"/>
          <w:lang w:val="en-GB"/>
        </w:rPr>
        <w:t xml:space="preserve"> </w:t>
      </w:r>
      <w:r w:rsidR="006E5461" w:rsidRPr="0010696C">
        <w:rPr>
          <w:szCs w:val="24"/>
          <w:lang w:val="en-GB"/>
        </w:rPr>
        <w:t>would justify cancellation.</w:t>
      </w:r>
      <w:r w:rsidR="00F32FD7" w:rsidRPr="0010696C">
        <w:rPr>
          <w:szCs w:val="24"/>
          <w:lang w:val="en-GB"/>
        </w:rPr>
        <w:t xml:space="preserve"> </w:t>
      </w:r>
      <w:r w:rsidR="006E5461" w:rsidRPr="0010696C">
        <w:rPr>
          <w:szCs w:val="24"/>
          <w:lang w:val="en-GB"/>
        </w:rPr>
        <w:t xml:space="preserve"> Is</w:t>
      </w:r>
      <w:r w:rsidR="00984892" w:rsidRPr="0010696C">
        <w:rPr>
          <w:szCs w:val="24"/>
          <w:lang w:val="en-GB"/>
        </w:rPr>
        <w:t xml:space="preserve"> it </w:t>
      </w:r>
      <w:r w:rsidR="002142CB" w:rsidRPr="0010696C">
        <w:rPr>
          <w:szCs w:val="24"/>
          <w:lang w:val="en-GB"/>
        </w:rPr>
        <w:t xml:space="preserve">a contravention of a </w:t>
      </w:r>
      <w:r w:rsidR="005C5DDC" w:rsidRPr="0010696C">
        <w:rPr>
          <w:szCs w:val="24"/>
          <w:lang w:val="en-GB"/>
        </w:rPr>
        <w:t>provision of the regulatory framework</w:t>
      </w:r>
      <w:r w:rsidR="006E5461" w:rsidRPr="0010696C">
        <w:rPr>
          <w:szCs w:val="24"/>
          <w:lang w:val="en-GB"/>
        </w:rPr>
        <w:t xml:space="preserve">? </w:t>
      </w:r>
      <w:r w:rsidR="00F32FD7" w:rsidRPr="0010696C">
        <w:rPr>
          <w:szCs w:val="24"/>
          <w:lang w:val="en-GB"/>
        </w:rPr>
        <w:t xml:space="preserve"> </w:t>
      </w:r>
      <w:r w:rsidR="006E5461" w:rsidRPr="0010696C">
        <w:rPr>
          <w:szCs w:val="24"/>
          <w:lang w:val="en-GB"/>
        </w:rPr>
        <w:t>Is i</w:t>
      </w:r>
      <w:r w:rsidR="00F10972" w:rsidRPr="0010696C">
        <w:rPr>
          <w:szCs w:val="24"/>
          <w:lang w:val="en-GB"/>
        </w:rPr>
        <w:t>t</w:t>
      </w:r>
      <w:r w:rsidR="005C5DDC" w:rsidRPr="0010696C">
        <w:rPr>
          <w:szCs w:val="24"/>
          <w:lang w:val="en-GB"/>
        </w:rPr>
        <w:t xml:space="preserve"> reputational harm</w:t>
      </w:r>
      <w:r w:rsidR="00714A1D" w:rsidRPr="0010696C">
        <w:rPr>
          <w:szCs w:val="24"/>
          <w:lang w:val="en-GB"/>
        </w:rPr>
        <w:t xml:space="preserve"> or </w:t>
      </w:r>
      <w:r w:rsidR="00F10972" w:rsidRPr="0010696C">
        <w:rPr>
          <w:szCs w:val="24"/>
          <w:lang w:val="en-GB"/>
        </w:rPr>
        <w:t xml:space="preserve">is it </w:t>
      </w:r>
      <w:r w:rsidR="00546F6B" w:rsidRPr="0010696C">
        <w:rPr>
          <w:szCs w:val="24"/>
          <w:lang w:val="en-GB"/>
        </w:rPr>
        <w:t>something else</w:t>
      </w:r>
      <w:r w:rsidR="00714A1D" w:rsidRPr="0010696C">
        <w:rPr>
          <w:szCs w:val="24"/>
          <w:lang w:val="en-GB"/>
        </w:rPr>
        <w:t xml:space="preserve">?  </w:t>
      </w:r>
      <w:r w:rsidR="00020811" w:rsidRPr="0010696C">
        <w:rPr>
          <w:szCs w:val="24"/>
          <w:lang w:val="en-GB"/>
        </w:rPr>
        <w:t>Needless to say, a</w:t>
      </w:r>
      <w:r w:rsidR="00546F6B" w:rsidRPr="0010696C">
        <w:rPr>
          <w:szCs w:val="24"/>
          <w:lang w:val="en-GB"/>
        </w:rPr>
        <w:t xml:space="preserve"> </w:t>
      </w:r>
      <w:r w:rsidR="00714A1D" w:rsidRPr="0010696C">
        <w:rPr>
          <w:szCs w:val="24"/>
          <w:lang w:val="en-GB"/>
        </w:rPr>
        <w:t xml:space="preserve">Court </w:t>
      </w:r>
      <w:r w:rsidR="00546F6B" w:rsidRPr="0010696C">
        <w:rPr>
          <w:szCs w:val="24"/>
          <w:lang w:val="en-GB"/>
        </w:rPr>
        <w:t xml:space="preserve">cannot </w:t>
      </w:r>
      <w:r w:rsidR="00714A1D" w:rsidRPr="0010696C">
        <w:rPr>
          <w:szCs w:val="24"/>
          <w:lang w:val="en-GB"/>
        </w:rPr>
        <w:t>determin</w:t>
      </w:r>
      <w:r w:rsidR="00546F6B" w:rsidRPr="0010696C">
        <w:rPr>
          <w:szCs w:val="24"/>
          <w:lang w:val="en-GB"/>
        </w:rPr>
        <w:t>e for the parties</w:t>
      </w:r>
      <w:r w:rsidR="00E25ACB" w:rsidRPr="0010696C">
        <w:rPr>
          <w:szCs w:val="24"/>
          <w:lang w:val="en-GB"/>
        </w:rPr>
        <w:t xml:space="preserve"> on what basis </w:t>
      </w:r>
      <w:r w:rsidR="00DE573E" w:rsidRPr="0010696C">
        <w:rPr>
          <w:szCs w:val="24"/>
          <w:lang w:val="en-GB"/>
        </w:rPr>
        <w:t>a</w:t>
      </w:r>
      <w:r w:rsidR="00E25ACB" w:rsidRPr="0010696C">
        <w:rPr>
          <w:szCs w:val="24"/>
          <w:lang w:val="en-GB"/>
        </w:rPr>
        <w:t xml:space="preserve"> contract may be cancelled.  This is why, in the case of a contract of indefinite duration, it is </w:t>
      </w:r>
      <w:r w:rsidR="00A01794" w:rsidRPr="0010696C">
        <w:rPr>
          <w:szCs w:val="24"/>
          <w:lang w:val="en-GB"/>
        </w:rPr>
        <w:t xml:space="preserve">presumed (and it is an implied term) that the parties elected to </w:t>
      </w:r>
      <w:r w:rsidR="00F95AE6">
        <w:rPr>
          <w:szCs w:val="24"/>
          <w:lang w:val="en-GB"/>
        </w:rPr>
        <w:t xml:space="preserve">allow </w:t>
      </w:r>
      <w:r w:rsidR="00A01794" w:rsidRPr="0010696C">
        <w:rPr>
          <w:szCs w:val="24"/>
          <w:lang w:val="en-GB"/>
        </w:rPr>
        <w:t>termination on reasonable notice</w:t>
      </w:r>
      <w:r w:rsidR="00F95AE6">
        <w:rPr>
          <w:szCs w:val="24"/>
          <w:lang w:val="en-GB"/>
        </w:rPr>
        <w:t xml:space="preserve">. </w:t>
      </w:r>
    </w:p>
    <w:p w14:paraId="49242C3B" w14:textId="64C92E1F" w:rsidR="00EE5446" w:rsidRPr="0010696C" w:rsidRDefault="00EE5446" w:rsidP="00EE5446">
      <w:pPr>
        <w:pStyle w:val="Level1"/>
        <w:rPr>
          <w:szCs w:val="24"/>
          <w:lang w:val="en-GB"/>
        </w:rPr>
      </w:pPr>
      <w:r w:rsidRPr="0010696C">
        <w:rPr>
          <w:szCs w:val="24"/>
          <w:lang w:val="en-GB"/>
        </w:rPr>
        <w:t>I</w:t>
      </w:r>
      <w:r w:rsidR="00855405" w:rsidRPr="0010696C">
        <w:rPr>
          <w:szCs w:val="24"/>
          <w:lang w:val="en-GB"/>
        </w:rPr>
        <w:t xml:space="preserve"> also</w:t>
      </w:r>
      <w:r w:rsidRPr="0010696C">
        <w:rPr>
          <w:szCs w:val="24"/>
          <w:lang w:val="en-GB"/>
        </w:rPr>
        <w:t xml:space="preserve"> do not believe that the Applicants have managed to distinguish the present situation from the one dealt with by the SCA in </w:t>
      </w:r>
      <w:r w:rsidRPr="0010696C">
        <w:rPr>
          <w:b/>
          <w:bCs/>
          <w:szCs w:val="24"/>
          <w:u w:val="single"/>
          <w:lang w:val="en-GB"/>
        </w:rPr>
        <w:t>Bredenkamp</w:t>
      </w:r>
      <w:r w:rsidRPr="0010696C">
        <w:rPr>
          <w:i/>
          <w:iCs/>
          <w:szCs w:val="24"/>
          <w:lang w:val="en-GB"/>
        </w:rPr>
        <w:t xml:space="preserve">.  </w:t>
      </w:r>
      <w:r w:rsidRPr="0010696C">
        <w:rPr>
          <w:szCs w:val="24"/>
          <w:lang w:val="en-GB"/>
        </w:rPr>
        <w:t xml:space="preserve">Essentially the AET facilities are bank accounts of indefinite duration which may be terminated on reasonable notice.  The right to terminate was invoked by Capitec and the reason for exercising the right does not come into it.  Accordingly, the question of whether the suggestion by the Capitec that it does not have </w:t>
      </w:r>
      <w:r w:rsidR="00F32FD7" w:rsidRPr="0010696C">
        <w:rPr>
          <w:szCs w:val="24"/>
          <w:lang w:val="en-GB"/>
        </w:rPr>
        <w:t>“</w:t>
      </w:r>
      <w:r w:rsidRPr="0010696C">
        <w:rPr>
          <w:i/>
          <w:iCs/>
          <w:szCs w:val="24"/>
          <w:lang w:val="en-GB"/>
        </w:rPr>
        <w:t>the risk appetite</w:t>
      </w:r>
      <w:r w:rsidR="00F32FD7" w:rsidRPr="0010696C">
        <w:rPr>
          <w:szCs w:val="24"/>
          <w:lang w:val="en-GB"/>
        </w:rPr>
        <w:t>”</w:t>
      </w:r>
      <w:r w:rsidR="00C02FCD" w:rsidRPr="0010696C">
        <w:rPr>
          <w:szCs w:val="24"/>
          <w:lang w:val="en-GB"/>
        </w:rPr>
        <w:t xml:space="preserve"> </w:t>
      </w:r>
      <w:r w:rsidRPr="0010696C">
        <w:rPr>
          <w:szCs w:val="24"/>
          <w:lang w:val="en-GB"/>
        </w:rPr>
        <w:t>to accommodate the Applicants is good cause for termination</w:t>
      </w:r>
      <w:r w:rsidR="00A778A8" w:rsidRPr="0010696C">
        <w:rPr>
          <w:szCs w:val="24"/>
          <w:lang w:val="en-GB"/>
        </w:rPr>
        <w:t>, need not be answered.</w:t>
      </w:r>
    </w:p>
    <w:p w14:paraId="641269C8" w14:textId="31710BCD" w:rsidR="00EE5446" w:rsidRPr="0010696C" w:rsidRDefault="00EE5446" w:rsidP="007F519B">
      <w:pPr>
        <w:pStyle w:val="Heading2"/>
        <w:rPr>
          <w:lang w:val="en-GB"/>
        </w:rPr>
      </w:pPr>
      <w:r w:rsidRPr="0010696C">
        <w:rPr>
          <w:lang w:val="en-GB"/>
        </w:rPr>
        <w:lastRenderedPageBreak/>
        <w:t>Was reasonable notice given?</w:t>
      </w:r>
    </w:p>
    <w:p w14:paraId="310645AA" w14:textId="648E0A4A" w:rsidR="00EE5446" w:rsidRPr="0010696C" w:rsidRDefault="0047202D" w:rsidP="00A678F8">
      <w:pPr>
        <w:pStyle w:val="Level1"/>
        <w:rPr>
          <w:szCs w:val="24"/>
          <w:lang w:val="en-GB"/>
        </w:rPr>
      </w:pPr>
      <w:r w:rsidRPr="0010696C">
        <w:rPr>
          <w:szCs w:val="24"/>
          <w:lang w:val="en-GB"/>
        </w:rPr>
        <w:t xml:space="preserve">Because a bank does not have to show good cause or provide a good reason for the termination of the relationship with its client, the requirement of reasonable notice </w:t>
      </w:r>
      <w:r w:rsidR="0093504D" w:rsidRPr="0010696C">
        <w:rPr>
          <w:szCs w:val="24"/>
          <w:lang w:val="en-GB"/>
        </w:rPr>
        <w:t xml:space="preserve">assumes </w:t>
      </w:r>
      <w:r w:rsidRPr="0010696C">
        <w:rPr>
          <w:szCs w:val="24"/>
          <w:lang w:val="en-GB"/>
        </w:rPr>
        <w:t xml:space="preserve">considerable importance. </w:t>
      </w:r>
      <w:r w:rsidR="00A75F02" w:rsidRPr="0010696C">
        <w:rPr>
          <w:szCs w:val="24"/>
          <w:lang w:val="en-GB"/>
        </w:rPr>
        <w:t xml:space="preserve"> Generally speaking,</w:t>
      </w:r>
      <w:r w:rsidRPr="0010696C">
        <w:rPr>
          <w:szCs w:val="24"/>
          <w:lang w:val="en-GB"/>
        </w:rPr>
        <w:t xml:space="preserve"> </w:t>
      </w:r>
      <w:r w:rsidR="00A75F02" w:rsidRPr="0010696C">
        <w:rPr>
          <w:szCs w:val="24"/>
          <w:lang w:val="en-GB"/>
        </w:rPr>
        <w:t xml:space="preserve">the </w:t>
      </w:r>
      <w:r w:rsidRPr="0010696C">
        <w:rPr>
          <w:szCs w:val="24"/>
          <w:lang w:val="en-GB"/>
        </w:rPr>
        <w:t xml:space="preserve">notice must be </w:t>
      </w:r>
      <w:r w:rsidR="007070D8">
        <w:rPr>
          <w:szCs w:val="24"/>
          <w:lang w:val="en-GB"/>
        </w:rPr>
        <w:t xml:space="preserve">reasonably </w:t>
      </w:r>
      <w:r w:rsidRPr="0010696C">
        <w:rPr>
          <w:szCs w:val="24"/>
          <w:lang w:val="en-GB"/>
        </w:rPr>
        <w:t>sufficient to enable the client to obtain the services of a replacement bank.  The period required will depend on the circumstances of the case.</w:t>
      </w:r>
    </w:p>
    <w:p w14:paraId="76141AED" w14:textId="0DAE767C" w:rsidR="00DC67B1" w:rsidRPr="0010696C" w:rsidRDefault="00DC67B1" w:rsidP="000570F3">
      <w:pPr>
        <w:pStyle w:val="Level1"/>
        <w:rPr>
          <w:szCs w:val="24"/>
          <w:lang w:val="en-GB"/>
        </w:rPr>
      </w:pPr>
      <w:r w:rsidRPr="0010696C">
        <w:rPr>
          <w:szCs w:val="24"/>
          <w:lang w:val="en-GB"/>
        </w:rPr>
        <w:t xml:space="preserve">For instance, in the recently decided matter of </w:t>
      </w:r>
      <w:r w:rsidR="007448C2" w:rsidRPr="0010696C">
        <w:rPr>
          <w:b/>
          <w:bCs/>
          <w:szCs w:val="24"/>
          <w:u w:val="single"/>
          <w:lang w:val="en-GB"/>
        </w:rPr>
        <w:t>Africa Community Media (Pty) Ltd and Others v Standard Bank of SA Ltd</w:t>
      </w:r>
      <w:r w:rsidR="007448C2" w:rsidRPr="0010696C">
        <w:rPr>
          <w:szCs w:val="24"/>
          <w:lang w:val="en-GB"/>
        </w:rPr>
        <w:t xml:space="preserve"> [2023] ZAWCHC 243 (14</w:t>
      </w:r>
      <w:r w:rsidR="00F32FD7" w:rsidRPr="0010696C">
        <w:rPr>
          <w:szCs w:val="24"/>
          <w:lang w:val="en-GB"/>
        </w:rPr>
        <w:t> </w:t>
      </w:r>
      <w:r w:rsidR="007448C2" w:rsidRPr="0010696C">
        <w:rPr>
          <w:szCs w:val="24"/>
          <w:lang w:val="en-GB"/>
        </w:rPr>
        <w:t>September</w:t>
      </w:r>
      <w:r w:rsidR="00F32FD7" w:rsidRPr="0010696C">
        <w:rPr>
          <w:szCs w:val="24"/>
          <w:lang w:val="en-GB"/>
        </w:rPr>
        <w:t> </w:t>
      </w:r>
      <w:r w:rsidR="007448C2" w:rsidRPr="0010696C">
        <w:rPr>
          <w:szCs w:val="24"/>
          <w:lang w:val="en-GB"/>
        </w:rPr>
        <w:t>2023)</w:t>
      </w:r>
      <w:r w:rsidR="00193AFB" w:rsidRPr="0010696C">
        <w:rPr>
          <w:szCs w:val="24"/>
          <w:lang w:val="en-GB"/>
        </w:rPr>
        <w:t xml:space="preserve">, </w:t>
      </w:r>
      <w:r w:rsidR="007448C2" w:rsidRPr="0010696C">
        <w:rPr>
          <w:szCs w:val="24"/>
          <w:lang w:val="en-GB"/>
        </w:rPr>
        <w:t>Cloete</w:t>
      </w:r>
      <w:r w:rsidR="00F32FD7" w:rsidRPr="0010696C">
        <w:rPr>
          <w:szCs w:val="24"/>
          <w:lang w:val="en-GB"/>
        </w:rPr>
        <w:t> </w:t>
      </w:r>
      <w:r w:rsidR="007448C2" w:rsidRPr="0010696C">
        <w:rPr>
          <w:szCs w:val="24"/>
          <w:lang w:val="en-GB"/>
        </w:rPr>
        <w:t xml:space="preserve">J </w:t>
      </w:r>
      <w:r w:rsidR="009A34A4" w:rsidRPr="0010696C">
        <w:rPr>
          <w:szCs w:val="24"/>
          <w:lang w:val="en-GB"/>
        </w:rPr>
        <w:t xml:space="preserve">granted an interdict of </w:t>
      </w:r>
      <w:r w:rsidR="004A1D7A" w:rsidRPr="0010696C">
        <w:rPr>
          <w:szCs w:val="24"/>
          <w:lang w:val="en-GB"/>
        </w:rPr>
        <w:t>defined and limited duration</w:t>
      </w:r>
      <w:r w:rsidR="0010222E" w:rsidRPr="0010696C">
        <w:rPr>
          <w:szCs w:val="24"/>
          <w:lang w:val="en-GB"/>
        </w:rPr>
        <w:t xml:space="preserve"> against the closure of bank </w:t>
      </w:r>
      <w:r w:rsidR="005D731E" w:rsidRPr="0010696C">
        <w:rPr>
          <w:szCs w:val="24"/>
          <w:lang w:val="en-GB"/>
        </w:rPr>
        <w:t xml:space="preserve">accounts in circumstances where the bank in question essentially reneged on a previous </w:t>
      </w:r>
      <w:r w:rsidR="00E16816" w:rsidRPr="0010696C">
        <w:rPr>
          <w:szCs w:val="24"/>
          <w:lang w:val="en-GB"/>
        </w:rPr>
        <w:t>undertaking to terminate only after assessing the complexities o</w:t>
      </w:r>
      <w:r w:rsidR="006A1E84" w:rsidRPr="0010696C">
        <w:rPr>
          <w:szCs w:val="24"/>
          <w:lang w:val="en-GB"/>
        </w:rPr>
        <w:t>f</w:t>
      </w:r>
      <w:r w:rsidR="00E16816" w:rsidRPr="0010696C">
        <w:rPr>
          <w:szCs w:val="24"/>
          <w:lang w:val="en-GB"/>
        </w:rPr>
        <w:t xml:space="preserve"> each </w:t>
      </w:r>
      <w:r w:rsidR="00BB5C02" w:rsidRPr="0010696C">
        <w:rPr>
          <w:szCs w:val="24"/>
          <w:lang w:val="en-GB"/>
        </w:rPr>
        <w:t xml:space="preserve">affected </w:t>
      </w:r>
      <w:r w:rsidR="00E16816" w:rsidRPr="0010696C">
        <w:rPr>
          <w:szCs w:val="24"/>
          <w:lang w:val="en-GB"/>
        </w:rPr>
        <w:t xml:space="preserve">business </w:t>
      </w:r>
      <w:r w:rsidR="006A1E84" w:rsidRPr="0010696C">
        <w:rPr>
          <w:szCs w:val="24"/>
          <w:lang w:val="en-GB"/>
        </w:rPr>
        <w:t xml:space="preserve">(bank customer) </w:t>
      </w:r>
      <w:r w:rsidR="00AA5CDC" w:rsidRPr="0010696C">
        <w:rPr>
          <w:szCs w:val="24"/>
          <w:lang w:val="en-GB"/>
        </w:rPr>
        <w:t xml:space="preserve">and bank product and so as to allow each </w:t>
      </w:r>
      <w:r w:rsidR="00BB5C02" w:rsidRPr="0010696C">
        <w:rPr>
          <w:szCs w:val="24"/>
          <w:lang w:val="en-GB"/>
        </w:rPr>
        <w:t xml:space="preserve">business affected </w:t>
      </w:r>
      <w:r w:rsidR="00403A7C" w:rsidRPr="0010696C">
        <w:rPr>
          <w:szCs w:val="24"/>
          <w:lang w:val="en-GB"/>
        </w:rPr>
        <w:t xml:space="preserve">a sufficient opportunity to arrange its affairs.  </w:t>
      </w:r>
    </w:p>
    <w:p w14:paraId="45226A37" w14:textId="3844E79C" w:rsidR="00435191" w:rsidRPr="0010696C" w:rsidRDefault="00435191" w:rsidP="000570F3">
      <w:pPr>
        <w:pStyle w:val="Level1"/>
        <w:rPr>
          <w:szCs w:val="24"/>
          <w:lang w:val="en-GB"/>
        </w:rPr>
      </w:pPr>
      <w:r w:rsidRPr="0010696C">
        <w:rPr>
          <w:szCs w:val="24"/>
          <w:lang w:val="en-GB"/>
        </w:rPr>
        <w:t>Here Capitec made no such promise</w:t>
      </w:r>
      <w:r w:rsidR="00193AFB" w:rsidRPr="0010696C">
        <w:rPr>
          <w:szCs w:val="24"/>
          <w:lang w:val="en-GB"/>
        </w:rPr>
        <w:t xml:space="preserve">.  Also, </w:t>
      </w:r>
      <w:r w:rsidRPr="0010696C">
        <w:rPr>
          <w:szCs w:val="24"/>
          <w:lang w:val="en-GB"/>
        </w:rPr>
        <w:t>contrary to the Applicants</w:t>
      </w:r>
      <w:r w:rsidR="00F32FD7" w:rsidRPr="0010696C">
        <w:rPr>
          <w:szCs w:val="24"/>
          <w:lang w:val="en-GB"/>
        </w:rPr>
        <w:t>’</w:t>
      </w:r>
      <w:r w:rsidRPr="0010696C">
        <w:rPr>
          <w:szCs w:val="24"/>
          <w:lang w:val="en-GB"/>
        </w:rPr>
        <w:t xml:space="preserve"> contention in their replying affidavit, Capitec had no duty to consult </w:t>
      </w:r>
      <w:r w:rsidR="00FD3FBE" w:rsidRPr="0010696C">
        <w:rPr>
          <w:szCs w:val="24"/>
          <w:lang w:val="en-GB"/>
        </w:rPr>
        <w:t xml:space="preserve">with the Applicants regarding their </w:t>
      </w:r>
      <w:r w:rsidR="00F32FD7" w:rsidRPr="0010696C">
        <w:rPr>
          <w:szCs w:val="24"/>
          <w:lang w:val="en-GB"/>
        </w:rPr>
        <w:t>“</w:t>
      </w:r>
      <w:r w:rsidR="00FD3FBE" w:rsidRPr="0010696C">
        <w:rPr>
          <w:i/>
          <w:iCs/>
          <w:szCs w:val="24"/>
          <w:lang w:val="en-GB"/>
        </w:rPr>
        <w:t>requirements</w:t>
      </w:r>
      <w:r w:rsidR="00F32FD7" w:rsidRPr="0010696C">
        <w:rPr>
          <w:szCs w:val="24"/>
          <w:lang w:val="en-GB"/>
        </w:rPr>
        <w:t>”</w:t>
      </w:r>
      <w:r w:rsidR="00FD3FBE" w:rsidRPr="0010696C">
        <w:rPr>
          <w:szCs w:val="24"/>
          <w:lang w:val="en-GB"/>
        </w:rPr>
        <w:t xml:space="preserve"> in respect of time.  It was incumbent on the Applicants to show that the</w:t>
      </w:r>
      <w:r w:rsidR="00C70FB3" w:rsidRPr="0010696C">
        <w:rPr>
          <w:szCs w:val="24"/>
          <w:lang w:val="en-GB"/>
        </w:rPr>
        <w:t xml:space="preserve"> period of four months plus was unreasonable. </w:t>
      </w:r>
    </w:p>
    <w:p w14:paraId="7F5B39EF" w14:textId="7392261F" w:rsidR="0047202D" w:rsidRPr="0010696C" w:rsidRDefault="007C1D54" w:rsidP="00A678F8">
      <w:pPr>
        <w:pStyle w:val="Level1"/>
        <w:rPr>
          <w:szCs w:val="24"/>
          <w:lang w:val="en-GB"/>
        </w:rPr>
      </w:pPr>
      <w:r>
        <w:rPr>
          <w:szCs w:val="24"/>
          <w:lang w:val="en-GB"/>
        </w:rPr>
        <w:t xml:space="preserve">The </w:t>
      </w:r>
      <w:r w:rsidR="0047202D" w:rsidRPr="0010696C">
        <w:rPr>
          <w:szCs w:val="24"/>
          <w:lang w:val="en-GB"/>
        </w:rPr>
        <w:t xml:space="preserve">Applicants </w:t>
      </w:r>
      <w:r>
        <w:rPr>
          <w:szCs w:val="24"/>
          <w:lang w:val="en-GB"/>
        </w:rPr>
        <w:t xml:space="preserve">also </w:t>
      </w:r>
      <w:r w:rsidR="0047202D" w:rsidRPr="0010696C">
        <w:rPr>
          <w:szCs w:val="24"/>
          <w:lang w:val="en-GB"/>
        </w:rPr>
        <w:t xml:space="preserve">did not raise lack of reasonable notice </w:t>
      </w:r>
      <w:r w:rsidR="001E406A" w:rsidRPr="0010696C">
        <w:rPr>
          <w:szCs w:val="24"/>
          <w:lang w:val="en-GB"/>
        </w:rPr>
        <w:t xml:space="preserve">in the founding affidavit.  It was only </w:t>
      </w:r>
      <w:r w:rsidR="00C14B5A">
        <w:rPr>
          <w:szCs w:val="24"/>
          <w:lang w:val="en-GB"/>
        </w:rPr>
        <w:t xml:space="preserve">raised </w:t>
      </w:r>
      <w:r w:rsidR="001E406A" w:rsidRPr="0010696C">
        <w:rPr>
          <w:szCs w:val="24"/>
          <w:lang w:val="en-GB"/>
        </w:rPr>
        <w:t xml:space="preserve">when Capitec explained in its answering papers that </w:t>
      </w:r>
      <w:r w:rsidR="00A51F4B" w:rsidRPr="0010696C">
        <w:rPr>
          <w:szCs w:val="24"/>
          <w:lang w:val="en-GB"/>
        </w:rPr>
        <w:t xml:space="preserve">because </w:t>
      </w:r>
      <w:r w:rsidR="000A4894" w:rsidRPr="0010696C">
        <w:rPr>
          <w:szCs w:val="24"/>
          <w:lang w:val="en-GB"/>
        </w:rPr>
        <w:t>the AET Agreement is silent</w:t>
      </w:r>
      <w:r w:rsidR="00EC1220" w:rsidRPr="0010696C">
        <w:rPr>
          <w:szCs w:val="24"/>
          <w:lang w:val="en-GB"/>
        </w:rPr>
        <w:t xml:space="preserve"> on the duration of the contractual relationship</w:t>
      </w:r>
      <w:r w:rsidR="00C14B5A">
        <w:rPr>
          <w:szCs w:val="24"/>
          <w:lang w:val="en-GB"/>
        </w:rPr>
        <w:t xml:space="preserve">, </w:t>
      </w:r>
      <w:r w:rsidR="002D6F93" w:rsidRPr="0010696C">
        <w:rPr>
          <w:szCs w:val="24"/>
          <w:lang w:val="en-GB"/>
        </w:rPr>
        <w:t xml:space="preserve">Capitec has an implied right to </w:t>
      </w:r>
      <w:r w:rsidR="00C14B5A">
        <w:rPr>
          <w:szCs w:val="24"/>
          <w:lang w:val="en-GB"/>
        </w:rPr>
        <w:t xml:space="preserve">terminate </w:t>
      </w:r>
      <w:r w:rsidR="005D4D90" w:rsidRPr="0010696C">
        <w:rPr>
          <w:szCs w:val="24"/>
          <w:lang w:val="en-GB"/>
        </w:rPr>
        <w:t>on reasonable notice</w:t>
      </w:r>
      <w:r w:rsidR="00BF11F8" w:rsidRPr="0010696C">
        <w:rPr>
          <w:szCs w:val="24"/>
          <w:lang w:val="en-GB"/>
        </w:rPr>
        <w:t xml:space="preserve">. </w:t>
      </w:r>
    </w:p>
    <w:p w14:paraId="7CF4B914" w14:textId="73B098C4" w:rsidR="0034494E" w:rsidRPr="0010696C" w:rsidRDefault="0034494E" w:rsidP="00A678F8">
      <w:pPr>
        <w:pStyle w:val="Level1"/>
        <w:rPr>
          <w:szCs w:val="24"/>
          <w:lang w:val="en-GB"/>
        </w:rPr>
      </w:pPr>
      <w:r w:rsidRPr="0010696C">
        <w:rPr>
          <w:szCs w:val="24"/>
          <w:lang w:val="en-GB"/>
        </w:rPr>
        <w:lastRenderedPageBreak/>
        <w:t xml:space="preserve">It is impermissible to establish a </w:t>
      </w:r>
      <w:r w:rsidRPr="0010696C">
        <w:rPr>
          <w:i/>
          <w:iCs/>
          <w:szCs w:val="24"/>
          <w:lang w:val="en-GB"/>
        </w:rPr>
        <w:t>prima facie</w:t>
      </w:r>
      <w:r w:rsidRPr="0010696C">
        <w:rPr>
          <w:szCs w:val="24"/>
          <w:lang w:val="en-GB"/>
        </w:rPr>
        <w:t xml:space="preserve"> right based on the allegations in a respondent</w:t>
      </w:r>
      <w:r w:rsidR="00F32FD7" w:rsidRPr="0010696C">
        <w:rPr>
          <w:szCs w:val="24"/>
          <w:lang w:val="en-GB"/>
        </w:rPr>
        <w:t>’</w:t>
      </w:r>
      <w:r w:rsidRPr="0010696C">
        <w:rPr>
          <w:szCs w:val="24"/>
          <w:lang w:val="en-GB"/>
        </w:rPr>
        <w:t>s answering affidavit.</w:t>
      </w:r>
      <w:r w:rsidRPr="0010696C">
        <w:rPr>
          <w:rStyle w:val="FootnoteReference"/>
          <w:szCs w:val="24"/>
          <w:lang w:val="en-GB"/>
        </w:rPr>
        <w:footnoteReference w:id="24"/>
      </w:r>
    </w:p>
    <w:p w14:paraId="1F328B2E" w14:textId="7EE089DF" w:rsidR="005A0750" w:rsidRPr="0010696C" w:rsidRDefault="0034494E" w:rsidP="00A678F8">
      <w:pPr>
        <w:pStyle w:val="Level1"/>
        <w:rPr>
          <w:szCs w:val="24"/>
          <w:lang w:val="en-GB"/>
        </w:rPr>
      </w:pPr>
      <w:r w:rsidRPr="0010696C">
        <w:rPr>
          <w:szCs w:val="24"/>
          <w:lang w:val="en-GB"/>
        </w:rPr>
        <w:t>I</w:t>
      </w:r>
      <w:r w:rsidR="00B65E45" w:rsidRPr="0010696C">
        <w:rPr>
          <w:szCs w:val="24"/>
          <w:lang w:val="en-GB"/>
        </w:rPr>
        <w:t xml:space="preserve"> also do not believe that there is merit in the contention that the period of notice was insufficient</w:t>
      </w:r>
      <w:r w:rsidRPr="0010696C">
        <w:rPr>
          <w:szCs w:val="24"/>
          <w:lang w:val="en-GB"/>
        </w:rPr>
        <w:t xml:space="preserve"> in the present instance</w:t>
      </w:r>
      <w:r w:rsidR="00B65E45" w:rsidRPr="0010696C">
        <w:rPr>
          <w:szCs w:val="24"/>
          <w:lang w:val="en-GB"/>
        </w:rPr>
        <w:t xml:space="preserve">.  </w:t>
      </w:r>
      <w:r w:rsidRPr="0010696C">
        <w:rPr>
          <w:szCs w:val="24"/>
          <w:lang w:val="en-GB"/>
        </w:rPr>
        <w:t>Capitec gave more than four months</w:t>
      </w:r>
      <w:r w:rsidR="00F32FD7" w:rsidRPr="0010696C">
        <w:rPr>
          <w:szCs w:val="24"/>
          <w:lang w:val="en-GB"/>
        </w:rPr>
        <w:t>’</w:t>
      </w:r>
      <w:r w:rsidRPr="0010696C">
        <w:rPr>
          <w:szCs w:val="24"/>
          <w:lang w:val="en-GB"/>
        </w:rPr>
        <w:t xml:space="preserve"> notice of its intention to terminate the banking relationship.  No </w:t>
      </w:r>
      <w:r w:rsidR="00391CE4" w:rsidRPr="0010696C">
        <w:rPr>
          <w:szCs w:val="24"/>
          <w:lang w:val="en-GB"/>
        </w:rPr>
        <w:t>credib</w:t>
      </w:r>
      <w:r w:rsidR="005A0750" w:rsidRPr="0010696C">
        <w:rPr>
          <w:szCs w:val="24"/>
          <w:lang w:val="en-GB"/>
        </w:rPr>
        <w:t xml:space="preserve">le </w:t>
      </w:r>
      <w:r w:rsidRPr="0010696C">
        <w:rPr>
          <w:szCs w:val="24"/>
          <w:lang w:val="en-GB"/>
        </w:rPr>
        <w:t xml:space="preserve">evidence was presented </w:t>
      </w:r>
      <w:r w:rsidR="00781E06">
        <w:rPr>
          <w:szCs w:val="24"/>
          <w:lang w:val="en-GB"/>
        </w:rPr>
        <w:t>for</w:t>
      </w:r>
      <w:r w:rsidRPr="0010696C">
        <w:rPr>
          <w:szCs w:val="24"/>
          <w:lang w:val="en-GB"/>
        </w:rPr>
        <w:t xml:space="preserve"> why this period was unreasonably short.  </w:t>
      </w:r>
    </w:p>
    <w:p w14:paraId="76FCEED7" w14:textId="2A924B58" w:rsidR="00D1153C" w:rsidRDefault="00AD1406" w:rsidP="002C59F4">
      <w:pPr>
        <w:pStyle w:val="Level1"/>
        <w:rPr>
          <w:szCs w:val="24"/>
          <w:lang w:val="en-GB"/>
        </w:rPr>
      </w:pPr>
      <w:r w:rsidRPr="0010696C">
        <w:rPr>
          <w:szCs w:val="24"/>
          <w:lang w:val="en-GB"/>
        </w:rPr>
        <w:t xml:space="preserve">Capitec contends that </w:t>
      </w:r>
      <w:r w:rsidR="002B4F2C">
        <w:rPr>
          <w:szCs w:val="24"/>
          <w:lang w:val="en-GB"/>
        </w:rPr>
        <w:t>it</w:t>
      </w:r>
      <w:r w:rsidRPr="0010696C">
        <w:rPr>
          <w:szCs w:val="24"/>
          <w:lang w:val="en-GB"/>
        </w:rPr>
        <w:t xml:space="preserve"> will take </w:t>
      </w:r>
      <w:r w:rsidR="007E5BE4">
        <w:rPr>
          <w:szCs w:val="24"/>
          <w:lang w:val="en-GB"/>
        </w:rPr>
        <w:t>3, at most</w:t>
      </w:r>
      <w:r w:rsidR="00757B32" w:rsidRPr="0010696C">
        <w:rPr>
          <w:szCs w:val="24"/>
          <w:lang w:val="en-GB"/>
        </w:rPr>
        <w:t xml:space="preserve"> 4 months</w:t>
      </w:r>
      <w:r w:rsidR="00E6116F">
        <w:rPr>
          <w:szCs w:val="24"/>
          <w:lang w:val="en-GB"/>
        </w:rPr>
        <w:t xml:space="preserve"> for </w:t>
      </w:r>
      <w:r w:rsidR="00E6116F" w:rsidRPr="0010696C">
        <w:rPr>
          <w:szCs w:val="24"/>
          <w:lang w:val="en-GB"/>
        </w:rPr>
        <w:t>the Applicants to replace the</w:t>
      </w:r>
      <w:r w:rsidR="00E6116F">
        <w:rPr>
          <w:szCs w:val="24"/>
          <w:lang w:val="en-GB"/>
        </w:rPr>
        <w:t>ir</w:t>
      </w:r>
      <w:r w:rsidR="00E6116F" w:rsidRPr="0010696C">
        <w:rPr>
          <w:szCs w:val="24"/>
          <w:lang w:val="en-GB"/>
        </w:rPr>
        <w:t xml:space="preserve"> system operator.  </w:t>
      </w:r>
      <w:r w:rsidR="00757B32" w:rsidRPr="0010696C">
        <w:rPr>
          <w:szCs w:val="24"/>
          <w:lang w:val="en-GB"/>
        </w:rPr>
        <w:t xml:space="preserve"> </w:t>
      </w:r>
      <w:r w:rsidR="00E6116F">
        <w:rPr>
          <w:szCs w:val="24"/>
          <w:lang w:val="en-GB"/>
        </w:rPr>
        <w:t xml:space="preserve">The </w:t>
      </w:r>
      <w:r w:rsidR="00757B32" w:rsidRPr="0010696C">
        <w:rPr>
          <w:szCs w:val="24"/>
          <w:lang w:val="en-GB"/>
        </w:rPr>
        <w:t xml:space="preserve">Applicants contend that it will take two years.  The latter </w:t>
      </w:r>
      <w:r w:rsidR="00E433ED" w:rsidRPr="0010696C">
        <w:rPr>
          <w:szCs w:val="24"/>
          <w:lang w:val="en-GB"/>
        </w:rPr>
        <w:t>is not</w:t>
      </w:r>
      <w:r w:rsidR="00647129" w:rsidRPr="0010696C">
        <w:rPr>
          <w:szCs w:val="24"/>
          <w:lang w:val="en-GB"/>
        </w:rPr>
        <w:t xml:space="preserve"> explained by </w:t>
      </w:r>
      <w:r w:rsidR="00AA1D5B" w:rsidRPr="0010696C">
        <w:rPr>
          <w:szCs w:val="24"/>
          <w:lang w:val="en-GB"/>
        </w:rPr>
        <w:t>Mr Gao</w:t>
      </w:r>
      <w:r w:rsidR="00647129" w:rsidRPr="0010696C">
        <w:rPr>
          <w:szCs w:val="24"/>
          <w:lang w:val="en-GB"/>
        </w:rPr>
        <w:t xml:space="preserve"> who in any event does not have personal knowledge of the </w:t>
      </w:r>
      <w:r w:rsidR="00960794" w:rsidRPr="0010696C">
        <w:rPr>
          <w:szCs w:val="24"/>
          <w:lang w:val="en-GB"/>
        </w:rPr>
        <w:t xml:space="preserve">technical aspects, hence his reliance on </w:t>
      </w:r>
      <w:r w:rsidR="00FB31B0" w:rsidRPr="0010696C">
        <w:rPr>
          <w:szCs w:val="24"/>
          <w:lang w:val="en-GB"/>
        </w:rPr>
        <w:t>Mr </w:t>
      </w:r>
      <w:r w:rsidR="00960794" w:rsidRPr="0010696C">
        <w:rPr>
          <w:szCs w:val="24"/>
          <w:lang w:val="en-GB"/>
        </w:rPr>
        <w:t>Swart</w:t>
      </w:r>
      <w:r w:rsidR="00E747E7" w:rsidRPr="0010696C">
        <w:rPr>
          <w:szCs w:val="24"/>
          <w:lang w:val="en-GB"/>
        </w:rPr>
        <w:t>.  But the latter</w:t>
      </w:r>
      <w:r w:rsidR="00F32FD7" w:rsidRPr="0010696C">
        <w:rPr>
          <w:szCs w:val="24"/>
          <w:lang w:val="en-GB"/>
        </w:rPr>
        <w:t>’</w:t>
      </w:r>
      <w:r w:rsidR="00E747E7" w:rsidRPr="0010696C">
        <w:rPr>
          <w:szCs w:val="24"/>
          <w:lang w:val="en-GB"/>
        </w:rPr>
        <w:t>s</w:t>
      </w:r>
      <w:r w:rsidR="00960794" w:rsidRPr="0010696C">
        <w:rPr>
          <w:szCs w:val="24"/>
          <w:lang w:val="en-GB"/>
        </w:rPr>
        <w:t xml:space="preserve"> evidence was struck out</w:t>
      </w:r>
      <w:r w:rsidR="00DB342C" w:rsidRPr="0010696C">
        <w:rPr>
          <w:szCs w:val="24"/>
          <w:lang w:val="en-GB"/>
        </w:rPr>
        <w:t xml:space="preserve"> and cannot be relie</w:t>
      </w:r>
      <w:r w:rsidR="00D53C25" w:rsidRPr="0010696C">
        <w:rPr>
          <w:szCs w:val="24"/>
          <w:lang w:val="en-GB"/>
        </w:rPr>
        <w:t>d</w:t>
      </w:r>
      <w:r w:rsidR="00DB342C" w:rsidRPr="0010696C">
        <w:rPr>
          <w:szCs w:val="24"/>
          <w:lang w:val="en-GB"/>
        </w:rPr>
        <w:t xml:space="preserve"> upon.</w:t>
      </w:r>
      <w:r w:rsidR="002C59F4">
        <w:rPr>
          <w:szCs w:val="24"/>
          <w:lang w:val="en-GB"/>
        </w:rPr>
        <w:t xml:space="preserve"> </w:t>
      </w:r>
      <w:r w:rsidR="002E28D8" w:rsidRPr="002C59F4">
        <w:rPr>
          <w:szCs w:val="24"/>
          <w:lang w:val="en-GB"/>
        </w:rPr>
        <w:t>What one would have expected, is</w:t>
      </w:r>
      <w:r w:rsidR="00D27E4C" w:rsidRPr="002C59F4">
        <w:rPr>
          <w:szCs w:val="24"/>
          <w:lang w:val="en-GB"/>
        </w:rPr>
        <w:t xml:space="preserve"> for the Applicants to present</w:t>
      </w:r>
      <w:r w:rsidR="002E28D8" w:rsidRPr="002C59F4">
        <w:rPr>
          <w:szCs w:val="24"/>
          <w:lang w:val="en-GB"/>
        </w:rPr>
        <w:t xml:space="preserve"> evidence from a</w:t>
      </w:r>
      <w:r w:rsidR="00985E77" w:rsidRPr="002C59F4">
        <w:rPr>
          <w:szCs w:val="24"/>
          <w:lang w:val="en-GB"/>
        </w:rPr>
        <w:t xml:space="preserve">nother </w:t>
      </w:r>
      <w:r w:rsidR="002C59F4">
        <w:rPr>
          <w:szCs w:val="24"/>
          <w:lang w:val="en-GB"/>
        </w:rPr>
        <w:t xml:space="preserve">system operator </w:t>
      </w:r>
      <w:r w:rsidR="00985E77" w:rsidRPr="002C59F4">
        <w:rPr>
          <w:szCs w:val="24"/>
          <w:lang w:val="en-GB"/>
        </w:rPr>
        <w:t xml:space="preserve">regarding the time required to set up AET accounts and link them to </w:t>
      </w:r>
      <w:r w:rsidR="00D1153C">
        <w:rPr>
          <w:szCs w:val="24"/>
          <w:lang w:val="en-GB"/>
        </w:rPr>
        <w:t xml:space="preserve">the </w:t>
      </w:r>
      <w:r w:rsidR="00293AE5" w:rsidRPr="002C59F4">
        <w:rPr>
          <w:szCs w:val="24"/>
          <w:lang w:val="en-GB"/>
        </w:rPr>
        <w:t>system of pulling payments from the customers</w:t>
      </w:r>
      <w:r w:rsidR="00F32FD7" w:rsidRPr="002C59F4">
        <w:rPr>
          <w:szCs w:val="24"/>
          <w:lang w:val="en-GB"/>
        </w:rPr>
        <w:t>’</w:t>
      </w:r>
      <w:r w:rsidR="00293AE5" w:rsidRPr="002C59F4">
        <w:rPr>
          <w:szCs w:val="24"/>
          <w:lang w:val="en-GB"/>
        </w:rPr>
        <w:t xml:space="preserve"> bank accounts</w:t>
      </w:r>
      <w:r w:rsidR="00D1153C">
        <w:rPr>
          <w:szCs w:val="24"/>
          <w:lang w:val="en-GB"/>
        </w:rPr>
        <w:t>.</w:t>
      </w:r>
    </w:p>
    <w:p w14:paraId="0C715DBB" w14:textId="4C776F3B" w:rsidR="002E28D8" w:rsidRPr="002C59F4" w:rsidRDefault="00D74CCE" w:rsidP="002C59F4">
      <w:pPr>
        <w:pStyle w:val="Level1"/>
        <w:rPr>
          <w:szCs w:val="24"/>
          <w:lang w:val="en-GB"/>
        </w:rPr>
      </w:pPr>
      <w:r>
        <w:rPr>
          <w:szCs w:val="24"/>
          <w:lang w:val="en-GB"/>
        </w:rPr>
        <w:t>Alternatively, the Applicants could have presented evidence in the founding affidavit</w:t>
      </w:r>
      <w:r w:rsidR="008A4D18">
        <w:rPr>
          <w:szCs w:val="24"/>
          <w:lang w:val="en-GB"/>
        </w:rPr>
        <w:t>, with the assistance of Amplifin</w:t>
      </w:r>
      <w:r w:rsidR="00D75C5B">
        <w:rPr>
          <w:szCs w:val="24"/>
          <w:lang w:val="en-GB"/>
        </w:rPr>
        <w:t xml:space="preserve"> and a bank</w:t>
      </w:r>
      <w:r w:rsidR="008A4D18">
        <w:rPr>
          <w:szCs w:val="24"/>
          <w:lang w:val="en-GB"/>
        </w:rPr>
        <w:t xml:space="preserve">, on </w:t>
      </w:r>
      <w:r w:rsidR="002771BA" w:rsidRPr="002C59F4">
        <w:rPr>
          <w:szCs w:val="24"/>
          <w:lang w:val="en-GB"/>
        </w:rPr>
        <w:t xml:space="preserve">the time period required </w:t>
      </w:r>
      <w:r w:rsidR="008A4D18">
        <w:rPr>
          <w:szCs w:val="24"/>
          <w:lang w:val="en-GB"/>
        </w:rPr>
        <w:t xml:space="preserve">for a switch </w:t>
      </w:r>
      <w:r w:rsidR="00E73D25">
        <w:rPr>
          <w:szCs w:val="24"/>
          <w:lang w:val="en-GB"/>
        </w:rPr>
        <w:t xml:space="preserve">by </w:t>
      </w:r>
      <w:r w:rsidR="005C340A">
        <w:rPr>
          <w:szCs w:val="24"/>
          <w:lang w:val="en-GB"/>
        </w:rPr>
        <w:t xml:space="preserve">Amplifan </w:t>
      </w:r>
      <w:r w:rsidR="008A4D18">
        <w:rPr>
          <w:szCs w:val="24"/>
          <w:lang w:val="en-GB"/>
        </w:rPr>
        <w:t>to a new sponsor bank</w:t>
      </w:r>
      <w:r w:rsidR="005C340A">
        <w:rPr>
          <w:szCs w:val="24"/>
          <w:lang w:val="en-GB"/>
        </w:rPr>
        <w:t xml:space="preserve"> for the Applicants</w:t>
      </w:r>
      <w:r w:rsidR="008A4D18">
        <w:rPr>
          <w:szCs w:val="24"/>
          <w:lang w:val="en-GB"/>
        </w:rPr>
        <w:t xml:space="preserve">.  </w:t>
      </w:r>
      <w:r w:rsidR="00D75C5B">
        <w:rPr>
          <w:szCs w:val="24"/>
          <w:lang w:val="en-GB"/>
        </w:rPr>
        <w:t xml:space="preserve">No such evidence was presented.  </w:t>
      </w:r>
      <w:r w:rsidR="00070A6C" w:rsidRPr="002C59F4">
        <w:rPr>
          <w:szCs w:val="24"/>
          <w:lang w:val="en-GB"/>
        </w:rPr>
        <w:t xml:space="preserve">Absent </w:t>
      </w:r>
      <w:r w:rsidR="004C5B10" w:rsidRPr="002C59F4">
        <w:rPr>
          <w:szCs w:val="24"/>
          <w:lang w:val="en-GB"/>
        </w:rPr>
        <w:t xml:space="preserve">that, one is left with what appears to be little more than speculation on the part of </w:t>
      </w:r>
      <w:r w:rsidR="00AA1D5B" w:rsidRPr="002C59F4">
        <w:rPr>
          <w:szCs w:val="24"/>
          <w:lang w:val="en-GB"/>
        </w:rPr>
        <w:t>Mr Gao</w:t>
      </w:r>
      <w:r w:rsidR="004C5B10" w:rsidRPr="002C59F4">
        <w:rPr>
          <w:szCs w:val="24"/>
          <w:lang w:val="en-GB"/>
        </w:rPr>
        <w:t xml:space="preserve"> on how long it will take. </w:t>
      </w:r>
    </w:p>
    <w:p w14:paraId="1F2A721E" w14:textId="7FDE6571" w:rsidR="00750A3A" w:rsidRPr="0010696C" w:rsidRDefault="00750A3A" w:rsidP="00A678F8">
      <w:pPr>
        <w:pStyle w:val="Level1"/>
        <w:rPr>
          <w:szCs w:val="24"/>
          <w:lang w:val="en-GB"/>
        </w:rPr>
      </w:pPr>
      <w:r w:rsidRPr="0010696C">
        <w:rPr>
          <w:szCs w:val="24"/>
          <w:lang w:val="en-GB"/>
        </w:rPr>
        <w:t xml:space="preserve">Given the fact that the issue of unreasonable notice was not raised in the founding affidavit and no evidence was presented </w:t>
      </w:r>
      <w:r w:rsidR="0038407D" w:rsidRPr="0010696C">
        <w:rPr>
          <w:szCs w:val="24"/>
          <w:lang w:val="en-GB"/>
        </w:rPr>
        <w:t>on the time required</w:t>
      </w:r>
      <w:r w:rsidR="0041578B">
        <w:rPr>
          <w:szCs w:val="24"/>
          <w:lang w:val="en-GB"/>
        </w:rPr>
        <w:t xml:space="preserve"> for a switch</w:t>
      </w:r>
      <w:r w:rsidRPr="0010696C">
        <w:rPr>
          <w:szCs w:val="24"/>
          <w:lang w:val="en-GB"/>
        </w:rPr>
        <w:t xml:space="preserve"> in that </w:t>
      </w:r>
      <w:r w:rsidRPr="0010696C">
        <w:rPr>
          <w:szCs w:val="24"/>
          <w:lang w:val="en-GB"/>
        </w:rPr>
        <w:lastRenderedPageBreak/>
        <w:t>affidavit</w:t>
      </w:r>
      <w:r w:rsidR="0041578B">
        <w:rPr>
          <w:szCs w:val="24"/>
          <w:lang w:val="en-GB"/>
        </w:rPr>
        <w:t xml:space="preserve"> (or for that matter in the replying affidavit)</w:t>
      </w:r>
      <w:r w:rsidRPr="0010696C">
        <w:rPr>
          <w:szCs w:val="24"/>
          <w:lang w:val="en-GB"/>
        </w:rPr>
        <w:t xml:space="preserve">, I cannot </w:t>
      </w:r>
      <w:r w:rsidR="004F19AA" w:rsidRPr="0010696C">
        <w:rPr>
          <w:szCs w:val="24"/>
          <w:lang w:val="en-GB"/>
        </w:rPr>
        <w:t xml:space="preserve">find that the Applicants established a </w:t>
      </w:r>
      <w:r w:rsidR="004F19AA" w:rsidRPr="0010696C">
        <w:rPr>
          <w:i/>
          <w:iCs/>
          <w:szCs w:val="24"/>
          <w:lang w:val="en-GB"/>
        </w:rPr>
        <w:t>prima facie</w:t>
      </w:r>
      <w:r w:rsidR="004F19AA" w:rsidRPr="0010696C">
        <w:rPr>
          <w:szCs w:val="24"/>
          <w:lang w:val="en-GB"/>
        </w:rPr>
        <w:t xml:space="preserve"> case on this basis.</w:t>
      </w:r>
    </w:p>
    <w:p w14:paraId="519A5B57" w14:textId="5A539CCA" w:rsidR="007F519B" w:rsidRPr="0010696C" w:rsidRDefault="007F519B" w:rsidP="00E95D88">
      <w:pPr>
        <w:pStyle w:val="Heading1"/>
        <w:rPr>
          <w:lang w:val="en-GB"/>
        </w:rPr>
      </w:pPr>
      <w:r w:rsidRPr="0010696C">
        <w:rPr>
          <w:lang w:val="en-GB"/>
        </w:rPr>
        <w:t>The other grounds raised by the Applicants</w:t>
      </w:r>
    </w:p>
    <w:p w14:paraId="029B3DE9" w14:textId="6758A941" w:rsidR="00E95D88" w:rsidRPr="0010696C" w:rsidRDefault="00E95D88" w:rsidP="00E95D88">
      <w:pPr>
        <w:pStyle w:val="Level1"/>
        <w:rPr>
          <w:lang w:val="en-GB"/>
        </w:rPr>
      </w:pPr>
      <w:r w:rsidRPr="0010696C">
        <w:rPr>
          <w:lang w:val="en-GB"/>
        </w:rPr>
        <w:t>I now turn to deal briefly with the other grounds on which</w:t>
      </w:r>
      <w:r w:rsidR="00D07ED7" w:rsidRPr="0010696C">
        <w:rPr>
          <w:lang w:val="en-GB"/>
        </w:rPr>
        <w:t xml:space="preserve"> the</w:t>
      </w:r>
      <w:r w:rsidRPr="0010696C">
        <w:rPr>
          <w:lang w:val="en-GB"/>
        </w:rPr>
        <w:t xml:space="preserve"> termination</w:t>
      </w:r>
      <w:r w:rsidR="00D07ED7" w:rsidRPr="0010696C">
        <w:rPr>
          <w:lang w:val="en-GB"/>
        </w:rPr>
        <w:t xml:space="preserve"> of the AET facilities</w:t>
      </w:r>
      <w:r w:rsidRPr="0010696C">
        <w:rPr>
          <w:lang w:val="en-GB"/>
        </w:rPr>
        <w:t xml:space="preserve"> were assailed by the Applicants:</w:t>
      </w:r>
    </w:p>
    <w:p w14:paraId="4940AA70" w14:textId="5826478D" w:rsidR="00182CB6" w:rsidRPr="0010696C" w:rsidRDefault="00123941" w:rsidP="0075780B">
      <w:pPr>
        <w:pStyle w:val="Level2"/>
        <w:ind w:left="1843" w:hanging="992"/>
        <w:rPr>
          <w:lang w:val="en-GB"/>
        </w:rPr>
      </w:pPr>
      <w:r w:rsidRPr="0010696C">
        <w:rPr>
          <w:lang w:val="en-GB"/>
        </w:rPr>
        <w:t xml:space="preserve">There could not have been an intentional interference with the contractual relationship between the Applicants and Amplifin as the contractual relationship was not breached at all.  In other words, </w:t>
      </w:r>
      <w:r w:rsidR="00D81657" w:rsidRPr="0010696C">
        <w:rPr>
          <w:lang w:val="en-GB"/>
        </w:rPr>
        <w:t>whatever</w:t>
      </w:r>
      <w:r w:rsidR="00F50AAC" w:rsidRPr="0010696C">
        <w:rPr>
          <w:lang w:val="en-GB"/>
        </w:rPr>
        <w:t xml:space="preserve"> the inducement (which is </w:t>
      </w:r>
      <w:r w:rsidR="00DE795F">
        <w:rPr>
          <w:lang w:val="en-GB"/>
        </w:rPr>
        <w:t xml:space="preserve">in any event </w:t>
      </w:r>
      <w:r w:rsidR="00F50AAC" w:rsidRPr="0010696C">
        <w:rPr>
          <w:lang w:val="en-GB"/>
        </w:rPr>
        <w:t xml:space="preserve">hard to understand) </w:t>
      </w:r>
      <w:r w:rsidRPr="0010696C">
        <w:rPr>
          <w:lang w:val="en-GB"/>
        </w:rPr>
        <w:t>neither the Applicants nor Amplifin have breached the contractual relationship between them.</w:t>
      </w:r>
    </w:p>
    <w:p w14:paraId="5C4CE32F" w14:textId="00D26DBD" w:rsidR="00123941" w:rsidRPr="0010696C" w:rsidRDefault="00123941" w:rsidP="0075780B">
      <w:pPr>
        <w:pStyle w:val="Level2"/>
        <w:ind w:left="1843" w:hanging="992"/>
        <w:rPr>
          <w:lang w:val="en-GB"/>
        </w:rPr>
      </w:pPr>
      <w:r w:rsidRPr="0010696C">
        <w:rPr>
          <w:lang w:val="en-GB"/>
        </w:rPr>
        <w:t xml:space="preserve">I do not believe that there is authority in our law for the proposition that a mandatory may not terminate a mandate </w:t>
      </w:r>
      <w:r w:rsidR="00BE4750" w:rsidRPr="0010696C">
        <w:rPr>
          <w:lang w:val="en-GB"/>
        </w:rPr>
        <w:t>if</w:t>
      </w:r>
      <w:r w:rsidR="00125E34" w:rsidRPr="0010696C">
        <w:rPr>
          <w:lang w:val="en-GB"/>
        </w:rPr>
        <w:t xml:space="preserve"> prejudice will be caused to the </w:t>
      </w:r>
      <w:r w:rsidR="0040624F" w:rsidRPr="0010696C">
        <w:rPr>
          <w:lang w:val="en-GB"/>
        </w:rPr>
        <w:t xml:space="preserve">mandator. </w:t>
      </w:r>
      <w:r w:rsidR="00C961D3" w:rsidRPr="0010696C">
        <w:rPr>
          <w:lang w:val="en-GB"/>
        </w:rPr>
        <w:t xml:space="preserve"> </w:t>
      </w:r>
      <w:r w:rsidR="000F62C3" w:rsidRPr="0010696C">
        <w:rPr>
          <w:lang w:val="en-GB"/>
        </w:rPr>
        <w:t xml:space="preserve">I was not referred to such authority and could not find </w:t>
      </w:r>
      <w:r w:rsidR="00BE4750" w:rsidRPr="0010696C">
        <w:rPr>
          <w:lang w:val="en-GB"/>
        </w:rPr>
        <w:t>any</w:t>
      </w:r>
      <w:r w:rsidR="00A52C3B" w:rsidRPr="0010696C">
        <w:rPr>
          <w:lang w:val="en-GB"/>
        </w:rPr>
        <w:t xml:space="preserve">.  </w:t>
      </w:r>
      <w:r w:rsidR="00C961D3" w:rsidRPr="0010696C">
        <w:rPr>
          <w:lang w:val="en-GB"/>
        </w:rPr>
        <w:t xml:space="preserve">Certainly, as far as the relationship between bank and client is concerned, the position was comprehensively analysed and determined in </w:t>
      </w:r>
      <w:r w:rsidR="00C961D3" w:rsidRPr="0010696C">
        <w:rPr>
          <w:b/>
          <w:bCs/>
          <w:u w:val="single"/>
          <w:lang w:val="en-GB"/>
        </w:rPr>
        <w:t>Bredenkamp</w:t>
      </w:r>
      <w:r w:rsidR="00C961D3" w:rsidRPr="0010696C">
        <w:rPr>
          <w:lang w:val="en-GB"/>
        </w:rPr>
        <w:t>.  That decision cannot be sidestepped by labelling the relationship as a contract b</w:t>
      </w:r>
      <w:r w:rsidR="00C9607C">
        <w:rPr>
          <w:lang w:val="en-GB"/>
        </w:rPr>
        <w:t>etween</w:t>
      </w:r>
      <w:r w:rsidR="00C961D3" w:rsidRPr="0010696C">
        <w:rPr>
          <w:lang w:val="en-GB"/>
        </w:rPr>
        <w:t xml:space="preserve"> a mandator and mandatory.</w:t>
      </w:r>
    </w:p>
    <w:p w14:paraId="7098CCC3" w14:textId="6B07400E" w:rsidR="009572A4" w:rsidRPr="0010696C" w:rsidRDefault="009572A4" w:rsidP="0075780B">
      <w:pPr>
        <w:pStyle w:val="Level2"/>
        <w:ind w:left="1843" w:hanging="992"/>
        <w:rPr>
          <w:lang w:val="en-GB"/>
        </w:rPr>
      </w:pPr>
      <w:r w:rsidRPr="0010696C">
        <w:rPr>
          <w:lang w:val="en-GB"/>
        </w:rPr>
        <w:t>This Court has no jurisdiction to determine whether Capitec has contravened s 8 of the Competition Act.</w:t>
      </w:r>
      <w:r w:rsidR="003D646A" w:rsidRPr="0010696C">
        <w:rPr>
          <w:lang w:val="en-GB"/>
        </w:rPr>
        <w:t xml:space="preserve">  That is an issue which should be determined by the Competition Commission.</w:t>
      </w:r>
      <w:r w:rsidR="00365EBD" w:rsidRPr="0010696C">
        <w:rPr>
          <w:lang w:val="en-GB"/>
        </w:rPr>
        <w:t xml:space="preserve">  </w:t>
      </w:r>
      <w:r w:rsidR="00150E7A" w:rsidRPr="0010696C">
        <w:rPr>
          <w:lang w:val="en-GB"/>
        </w:rPr>
        <w:t>This appears to be accepted by the Applicants who contend, in repl</w:t>
      </w:r>
      <w:r w:rsidR="00240B85" w:rsidRPr="0010696C">
        <w:rPr>
          <w:lang w:val="en-GB"/>
        </w:rPr>
        <w:t>y</w:t>
      </w:r>
      <w:r w:rsidR="00546C9C" w:rsidRPr="0010696C">
        <w:rPr>
          <w:lang w:val="en-GB"/>
        </w:rPr>
        <w:t>,</w:t>
      </w:r>
      <w:r w:rsidR="00240B85" w:rsidRPr="0010696C">
        <w:rPr>
          <w:lang w:val="en-GB"/>
        </w:rPr>
        <w:t xml:space="preserve"> that </w:t>
      </w:r>
      <w:r w:rsidR="00F32FD7" w:rsidRPr="0010696C">
        <w:rPr>
          <w:lang w:val="en-GB"/>
        </w:rPr>
        <w:t>“</w:t>
      </w:r>
      <w:r w:rsidR="00240B85" w:rsidRPr="0010696C">
        <w:rPr>
          <w:i/>
          <w:iCs/>
          <w:lang w:val="en-GB"/>
        </w:rPr>
        <w:t xml:space="preserve">the principles of competition </w:t>
      </w:r>
      <w:r w:rsidR="00240B85" w:rsidRPr="0010696C">
        <w:rPr>
          <w:i/>
          <w:iCs/>
          <w:lang w:val="en-GB"/>
        </w:rPr>
        <w:lastRenderedPageBreak/>
        <w:t>law</w:t>
      </w:r>
      <w:r w:rsidR="00546C9C" w:rsidRPr="0010696C">
        <w:rPr>
          <w:i/>
          <w:iCs/>
          <w:lang w:val="en-GB"/>
        </w:rPr>
        <w:t xml:space="preserve"> impact on the concept of wrongfulness </w:t>
      </w:r>
      <w:r w:rsidR="007B1F32" w:rsidRPr="0010696C">
        <w:rPr>
          <w:i/>
          <w:iCs/>
          <w:lang w:val="en-GB"/>
        </w:rPr>
        <w:t>in delict and the formulation of implied</w:t>
      </w:r>
      <w:r w:rsidR="00951A4C" w:rsidRPr="0010696C">
        <w:rPr>
          <w:i/>
          <w:iCs/>
          <w:lang w:val="en-GB"/>
        </w:rPr>
        <w:t xml:space="preserve"> and tacit terms in contract and that this is the basis on which the Competition Act is relied upon</w:t>
      </w:r>
      <w:r w:rsidR="00F32FD7" w:rsidRPr="0010696C">
        <w:rPr>
          <w:lang w:val="en-GB"/>
        </w:rPr>
        <w:t>”</w:t>
      </w:r>
      <w:r w:rsidR="00951A4C" w:rsidRPr="0010696C">
        <w:rPr>
          <w:lang w:val="en-GB"/>
        </w:rPr>
        <w:t xml:space="preserve">. </w:t>
      </w:r>
      <w:r w:rsidR="00B81BF1" w:rsidRPr="0010696C">
        <w:rPr>
          <w:lang w:val="en-GB"/>
        </w:rPr>
        <w:t xml:space="preserve"> I do not believe that statutory provision</w:t>
      </w:r>
      <w:r w:rsidR="00EF2EBC" w:rsidRPr="0010696C">
        <w:rPr>
          <w:lang w:val="en-GB"/>
        </w:rPr>
        <w:t>s pertaining to competition law</w:t>
      </w:r>
      <w:r w:rsidR="00B81BF1" w:rsidRPr="0010696C">
        <w:rPr>
          <w:lang w:val="en-GB"/>
        </w:rPr>
        <w:t xml:space="preserve"> can </w:t>
      </w:r>
      <w:r w:rsidR="007D52C7" w:rsidRPr="0010696C">
        <w:rPr>
          <w:lang w:val="en-GB"/>
        </w:rPr>
        <w:t xml:space="preserve">assist in the exercise of determining the nature of a </w:t>
      </w:r>
      <w:r w:rsidR="00D17978">
        <w:rPr>
          <w:lang w:val="en-GB"/>
        </w:rPr>
        <w:t xml:space="preserve">tacit or implied </w:t>
      </w:r>
      <w:r w:rsidR="007D52C7" w:rsidRPr="0010696C">
        <w:rPr>
          <w:lang w:val="en-GB"/>
        </w:rPr>
        <w:t>term</w:t>
      </w:r>
      <w:r w:rsidR="009460FF" w:rsidRPr="0010696C">
        <w:rPr>
          <w:lang w:val="en-GB"/>
        </w:rPr>
        <w:t xml:space="preserve"> between private parties, such as the Applicants and Capitec.</w:t>
      </w:r>
      <w:r w:rsidR="007D52C7" w:rsidRPr="0010696C">
        <w:rPr>
          <w:lang w:val="en-GB"/>
        </w:rPr>
        <w:t xml:space="preserve">  </w:t>
      </w:r>
      <w:r w:rsidR="00D17978">
        <w:rPr>
          <w:lang w:val="en-GB"/>
        </w:rPr>
        <w:t xml:space="preserve">Also, the </w:t>
      </w:r>
      <w:r w:rsidR="007D52C7" w:rsidRPr="0010696C">
        <w:rPr>
          <w:lang w:val="en-GB"/>
        </w:rPr>
        <w:t>competition law principles</w:t>
      </w:r>
      <w:r w:rsidR="009460FF" w:rsidRPr="0010696C">
        <w:rPr>
          <w:lang w:val="en-GB"/>
        </w:rPr>
        <w:t xml:space="preserve"> referred to</w:t>
      </w:r>
      <w:r w:rsidR="007831DC" w:rsidRPr="0010696C">
        <w:rPr>
          <w:lang w:val="en-GB"/>
        </w:rPr>
        <w:t>, even if applicable, would not move the needle in the present matter.</w:t>
      </w:r>
      <w:r w:rsidR="00AA1D5B" w:rsidRPr="0010696C">
        <w:rPr>
          <w:lang w:val="en-GB"/>
        </w:rPr>
        <w:t xml:space="preserve"> </w:t>
      </w:r>
      <w:r w:rsidR="007831DC" w:rsidRPr="0010696C">
        <w:rPr>
          <w:lang w:val="en-GB"/>
        </w:rPr>
        <w:t xml:space="preserve"> </w:t>
      </w:r>
      <w:r w:rsidR="00365EBD" w:rsidRPr="0010696C">
        <w:rPr>
          <w:lang w:val="en-GB"/>
        </w:rPr>
        <w:t xml:space="preserve">Capitec explained in its answering affidavit that </w:t>
      </w:r>
      <w:r w:rsidR="007C7830" w:rsidRPr="0010696C">
        <w:rPr>
          <w:lang w:val="en-GB"/>
        </w:rPr>
        <w:t>unsecured lending is no</w:t>
      </w:r>
      <w:r w:rsidR="00B2732B" w:rsidRPr="0010696C">
        <w:rPr>
          <w:lang w:val="en-GB"/>
        </w:rPr>
        <w:t>w</w:t>
      </w:r>
      <w:r w:rsidR="007C7830" w:rsidRPr="0010696C">
        <w:rPr>
          <w:lang w:val="en-GB"/>
        </w:rPr>
        <w:t xml:space="preserve"> a minor part of its business</w:t>
      </w:r>
      <w:r w:rsidR="00B2732B" w:rsidRPr="0010696C">
        <w:rPr>
          <w:lang w:val="en-GB"/>
        </w:rPr>
        <w:t xml:space="preserve">; that it is not dominant in </w:t>
      </w:r>
      <w:r w:rsidR="00110889" w:rsidRPr="0010696C">
        <w:rPr>
          <w:lang w:val="en-GB"/>
        </w:rPr>
        <w:t>the unsecured lending</w:t>
      </w:r>
      <w:r w:rsidR="00524D94" w:rsidRPr="0010696C">
        <w:rPr>
          <w:lang w:val="en-GB"/>
        </w:rPr>
        <w:t xml:space="preserve"> space</w:t>
      </w:r>
      <w:r w:rsidR="000352DA" w:rsidRPr="0010696C">
        <w:rPr>
          <w:lang w:val="en-GB"/>
        </w:rPr>
        <w:t>;</w:t>
      </w:r>
      <w:r w:rsidR="00110889" w:rsidRPr="0010696C">
        <w:rPr>
          <w:lang w:val="en-GB"/>
        </w:rPr>
        <w:t xml:space="preserve"> and that it does not look to expand in the area but rather to reduce its exposure. </w:t>
      </w:r>
      <w:r w:rsidR="007C7830" w:rsidRPr="0010696C">
        <w:rPr>
          <w:lang w:val="en-GB"/>
        </w:rPr>
        <w:t xml:space="preserve"> </w:t>
      </w:r>
      <w:r w:rsidR="0087756B" w:rsidRPr="0010696C">
        <w:rPr>
          <w:lang w:val="en-GB"/>
        </w:rPr>
        <w:t xml:space="preserve">The suggestion that </w:t>
      </w:r>
      <w:r w:rsidR="00365EBD" w:rsidRPr="0010696C">
        <w:rPr>
          <w:szCs w:val="24"/>
          <w:lang w:val="en-GB"/>
        </w:rPr>
        <w:t>the termination of the AET facilities is aimed at stifling the competition by Capitec and is aimed at acquiring the</w:t>
      </w:r>
      <w:r w:rsidR="00524D94" w:rsidRPr="0010696C">
        <w:rPr>
          <w:szCs w:val="24"/>
          <w:lang w:val="en-GB"/>
        </w:rPr>
        <w:t xml:space="preserve"> Applicants’</w:t>
      </w:r>
      <w:r w:rsidR="00365EBD" w:rsidRPr="0010696C">
        <w:rPr>
          <w:szCs w:val="24"/>
          <w:lang w:val="en-GB"/>
        </w:rPr>
        <w:t xml:space="preserve"> businesses</w:t>
      </w:r>
      <w:r w:rsidR="0087756B" w:rsidRPr="0010696C">
        <w:rPr>
          <w:szCs w:val="24"/>
          <w:lang w:val="en-GB"/>
        </w:rPr>
        <w:t xml:space="preserve"> is </w:t>
      </w:r>
      <w:r w:rsidR="00696792" w:rsidRPr="0010696C">
        <w:rPr>
          <w:szCs w:val="24"/>
          <w:lang w:val="en-GB"/>
        </w:rPr>
        <w:t>purely speculative and not supported by any facts.</w:t>
      </w:r>
    </w:p>
    <w:p w14:paraId="37534555" w14:textId="1BA48698" w:rsidR="003D646A" w:rsidRPr="0010696C" w:rsidRDefault="003D646A" w:rsidP="0075780B">
      <w:pPr>
        <w:pStyle w:val="Level2"/>
        <w:ind w:left="1843" w:hanging="992"/>
        <w:rPr>
          <w:lang w:val="en-GB"/>
        </w:rPr>
      </w:pPr>
      <w:r w:rsidRPr="0010696C">
        <w:rPr>
          <w:lang w:val="en-GB"/>
        </w:rPr>
        <w:t xml:space="preserve">I do not believe that the </w:t>
      </w:r>
      <w:r w:rsidR="000217E9">
        <w:rPr>
          <w:lang w:val="en-GB"/>
        </w:rPr>
        <w:t xml:space="preserve">allegation </w:t>
      </w:r>
      <w:r w:rsidRPr="0010696C">
        <w:rPr>
          <w:lang w:val="en-GB"/>
        </w:rPr>
        <w:t xml:space="preserve">that Capitec discriminated against the Applicants </w:t>
      </w:r>
      <w:r w:rsidR="00066A97" w:rsidRPr="0010696C">
        <w:rPr>
          <w:lang w:val="en-GB"/>
        </w:rPr>
        <w:t>on the basis that they are linked to persons of Chinese extraction was established on the papers at all.</w:t>
      </w:r>
      <w:r w:rsidR="00275A10" w:rsidRPr="0010696C">
        <w:rPr>
          <w:lang w:val="en-GB"/>
        </w:rPr>
        <w:t xml:space="preserve">  Again, no facts are provided to support this</w:t>
      </w:r>
      <w:r w:rsidR="006A36C2" w:rsidRPr="0010696C">
        <w:rPr>
          <w:lang w:val="en-GB"/>
        </w:rPr>
        <w:t xml:space="preserve"> </w:t>
      </w:r>
      <w:r w:rsidR="005C340A">
        <w:rPr>
          <w:lang w:val="en-GB"/>
        </w:rPr>
        <w:t xml:space="preserve">serious </w:t>
      </w:r>
      <w:r w:rsidR="006A36C2" w:rsidRPr="0010696C">
        <w:rPr>
          <w:lang w:val="en-GB"/>
        </w:rPr>
        <w:t xml:space="preserve">claim. </w:t>
      </w:r>
      <w:r w:rsidR="00557482" w:rsidRPr="0010696C">
        <w:rPr>
          <w:lang w:val="en-GB"/>
        </w:rPr>
        <w:t xml:space="preserve"> A</w:t>
      </w:r>
      <w:r w:rsidR="00DF75E9" w:rsidRPr="0010696C">
        <w:rPr>
          <w:lang w:val="en-GB"/>
        </w:rPr>
        <w:t>llegations of racism and discrimination are not to be made lightly and must be proven on the papers.</w:t>
      </w:r>
      <w:r w:rsidR="00DF75E9" w:rsidRPr="0010696C">
        <w:rPr>
          <w:rStyle w:val="FootnoteReference"/>
          <w:lang w:val="en-GB"/>
        </w:rPr>
        <w:footnoteReference w:id="25"/>
      </w:r>
      <w:r w:rsidR="00DF75E9" w:rsidRPr="0010696C">
        <w:rPr>
          <w:lang w:val="en-GB"/>
        </w:rPr>
        <w:t xml:space="preserve"> </w:t>
      </w:r>
      <w:r w:rsidR="006A36C2" w:rsidRPr="0010696C">
        <w:rPr>
          <w:lang w:val="en-GB"/>
        </w:rPr>
        <w:t xml:space="preserve"> It is only Capitec that provided factual information, which is that </w:t>
      </w:r>
      <w:r w:rsidR="00E058DA" w:rsidRPr="0010696C">
        <w:rPr>
          <w:lang w:val="en-GB"/>
        </w:rPr>
        <w:t>in the six weeks between 1</w:t>
      </w:r>
      <w:r w:rsidR="00F32FD7" w:rsidRPr="0010696C">
        <w:rPr>
          <w:lang w:val="en-GB"/>
        </w:rPr>
        <w:t> </w:t>
      </w:r>
      <w:r w:rsidR="00E058DA" w:rsidRPr="0010696C">
        <w:rPr>
          <w:lang w:val="en-GB"/>
        </w:rPr>
        <w:t>September and 18</w:t>
      </w:r>
      <w:r w:rsidR="00F32FD7" w:rsidRPr="0010696C">
        <w:rPr>
          <w:lang w:val="en-GB"/>
        </w:rPr>
        <w:t> </w:t>
      </w:r>
      <w:r w:rsidR="00E058DA" w:rsidRPr="0010696C">
        <w:rPr>
          <w:lang w:val="en-GB"/>
        </w:rPr>
        <w:t>October</w:t>
      </w:r>
      <w:r w:rsidR="00F32FD7" w:rsidRPr="0010696C">
        <w:rPr>
          <w:lang w:val="en-GB"/>
        </w:rPr>
        <w:t> </w:t>
      </w:r>
      <w:r w:rsidR="00E058DA" w:rsidRPr="0010696C">
        <w:rPr>
          <w:lang w:val="en-GB"/>
        </w:rPr>
        <w:t xml:space="preserve">2023 </w:t>
      </w:r>
      <w:r w:rsidR="0011159F" w:rsidRPr="0010696C">
        <w:rPr>
          <w:lang w:val="en-GB"/>
        </w:rPr>
        <w:t>it</w:t>
      </w:r>
      <w:r w:rsidR="00E058DA" w:rsidRPr="0010696C">
        <w:rPr>
          <w:lang w:val="en-GB"/>
        </w:rPr>
        <w:t xml:space="preserve"> </w:t>
      </w:r>
      <w:r w:rsidR="00DD34A3" w:rsidRPr="0010696C">
        <w:rPr>
          <w:lang w:val="en-GB"/>
        </w:rPr>
        <w:t xml:space="preserve">agreed to onboard 3 new Amplifin users with at least one Chinese director and </w:t>
      </w:r>
      <w:r w:rsidR="004E3869" w:rsidRPr="0010696C">
        <w:rPr>
          <w:lang w:val="en-GB"/>
        </w:rPr>
        <w:t xml:space="preserve">six new branches of existing Amplifin users </w:t>
      </w:r>
      <w:r w:rsidR="00966492" w:rsidRPr="0010696C">
        <w:rPr>
          <w:lang w:val="en-GB"/>
        </w:rPr>
        <w:t xml:space="preserve">with at least one Chinese director. </w:t>
      </w:r>
      <w:r w:rsidR="007A031F" w:rsidRPr="0010696C">
        <w:rPr>
          <w:lang w:val="en-GB"/>
        </w:rPr>
        <w:t xml:space="preserve"> In reply, </w:t>
      </w:r>
      <w:r w:rsidR="006E236C" w:rsidRPr="0010696C">
        <w:rPr>
          <w:lang w:val="en-GB"/>
        </w:rPr>
        <w:t>the Applicant</w:t>
      </w:r>
      <w:r w:rsidR="007B7772" w:rsidRPr="0010696C">
        <w:rPr>
          <w:lang w:val="en-GB"/>
        </w:rPr>
        <w:t>s</w:t>
      </w:r>
      <w:r w:rsidR="00F32FD7" w:rsidRPr="0010696C">
        <w:rPr>
          <w:lang w:val="en-GB"/>
        </w:rPr>
        <w:t>’</w:t>
      </w:r>
      <w:r w:rsidR="007B7772" w:rsidRPr="0010696C">
        <w:rPr>
          <w:lang w:val="en-GB"/>
        </w:rPr>
        <w:t xml:space="preserve"> </w:t>
      </w:r>
      <w:r w:rsidR="00AA1D5B" w:rsidRPr="0010696C">
        <w:rPr>
          <w:lang w:val="en-GB"/>
        </w:rPr>
        <w:t>Mr Gao</w:t>
      </w:r>
      <w:r w:rsidR="007A031F" w:rsidRPr="0010696C">
        <w:rPr>
          <w:lang w:val="en-GB"/>
        </w:rPr>
        <w:t xml:space="preserve"> </w:t>
      </w:r>
      <w:r w:rsidR="007B7772" w:rsidRPr="0010696C">
        <w:rPr>
          <w:lang w:val="en-GB"/>
        </w:rPr>
        <w:t xml:space="preserve">states: </w:t>
      </w:r>
      <w:r w:rsidR="00F32FD7" w:rsidRPr="0010696C">
        <w:rPr>
          <w:lang w:val="en-GB"/>
        </w:rPr>
        <w:t>“</w:t>
      </w:r>
      <w:r w:rsidR="007B7772" w:rsidRPr="0010696C">
        <w:rPr>
          <w:i/>
          <w:iCs/>
          <w:lang w:val="en-GB"/>
        </w:rPr>
        <w:t>I know the [new</w:t>
      </w:r>
      <w:r w:rsidR="002237FD" w:rsidRPr="0010696C">
        <w:rPr>
          <w:i/>
          <w:iCs/>
          <w:lang w:val="en-GB"/>
        </w:rPr>
        <w:t xml:space="preserve"> on-boarded entities]</w:t>
      </w:r>
      <w:r w:rsidR="007B7772" w:rsidRPr="0010696C">
        <w:rPr>
          <w:i/>
          <w:iCs/>
          <w:lang w:val="en-GB"/>
        </w:rPr>
        <w:t xml:space="preserve"> and I can state that </w:t>
      </w:r>
      <w:r w:rsidR="007B7772" w:rsidRPr="0010696C">
        <w:rPr>
          <w:i/>
          <w:iCs/>
          <w:lang w:val="en-GB"/>
        </w:rPr>
        <w:lastRenderedPageBreak/>
        <w:t xml:space="preserve">there </w:t>
      </w:r>
      <w:r w:rsidR="002237FD" w:rsidRPr="0010696C">
        <w:rPr>
          <w:i/>
          <w:iCs/>
          <w:lang w:val="en-GB"/>
        </w:rPr>
        <w:t>is no difference between them and any of the entities that have been off-boarded</w:t>
      </w:r>
      <w:r w:rsidR="00F32FD7" w:rsidRPr="0010696C">
        <w:rPr>
          <w:lang w:val="en-GB"/>
        </w:rPr>
        <w:t>”</w:t>
      </w:r>
      <w:r w:rsidR="002237FD" w:rsidRPr="0010696C">
        <w:rPr>
          <w:lang w:val="en-GB"/>
        </w:rPr>
        <w:t>.</w:t>
      </w:r>
      <w:r w:rsidR="00AA1D5B" w:rsidRPr="0010696C">
        <w:rPr>
          <w:lang w:val="en-GB"/>
        </w:rPr>
        <w:t xml:space="preserve"> </w:t>
      </w:r>
      <w:r w:rsidR="002237FD" w:rsidRPr="0010696C">
        <w:rPr>
          <w:lang w:val="en-GB"/>
        </w:rPr>
        <w:t xml:space="preserve"> </w:t>
      </w:r>
      <w:r w:rsidR="00966492" w:rsidRPr="0010696C">
        <w:rPr>
          <w:lang w:val="en-GB"/>
        </w:rPr>
        <w:t>There is accordingly no basis f</w:t>
      </w:r>
      <w:r w:rsidR="008D6D3E" w:rsidRPr="0010696C">
        <w:rPr>
          <w:lang w:val="en-GB"/>
        </w:rPr>
        <w:t xml:space="preserve">or the allegation of discrimination. </w:t>
      </w:r>
    </w:p>
    <w:p w14:paraId="14C2AE85" w14:textId="450E1059" w:rsidR="00066A97" w:rsidRPr="0010696C" w:rsidRDefault="00066A97" w:rsidP="00066A97">
      <w:pPr>
        <w:pStyle w:val="Level1"/>
        <w:rPr>
          <w:lang w:val="en-GB"/>
        </w:rPr>
      </w:pPr>
      <w:r w:rsidRPr="0010696C">
        <w:rPr>
          <w:lang w:val="en-GB"/>
        </w:rPr>
        <w:t xml:space="preserve">For these reasons I conclude that the Applicants have failed to establish a </w:t>
      </w:r>
      <w:r w:rsidRPr="0010696C">
        <w:rPr>
          <w:i/>
          <w:iCs/>
          <w:lang w:val="en-GB"/>
        </w:rPr>
        <w:t>prima facie</w:t>
      </w:r>
      <w:r w:rsidRPr="0010696C">
        <w:rPr>
          <w:lang w:val="en-GB"/>
        </w:rPr>
        <w:t xml:space="preserve"> right </w:t>
      </w:r>
      <w:r w:rsidR="004E01C4" w:rsidRPr="0010696C">
        <w:rPr>
          <w:lang w:val="en-GB"/>
        </w:rPr>
        <w:t xml:space="preserve">to the relief that they will ultimately seek, which </w:t>
      </w:r>
      <w:r w:rsidR="00BB6E11" w:rsidRPr="0010696C">
        <w:rPr>
          <w:lang w:val="en-GB"/>
        </w:rPr>
        <w:t>is the invalidation of the</w:t>
      </w:r>
      <w:r w:rsidR="004E01C4" w:rsidRPr="0010696C">
        <w:rPr>
          <w:lang w:val="en-GB"/>
        </w:rPr>
        <w:t xml:space="preserve"> termination of the AET facilities.</w:t>
      </w:r>
      <w:r w:rsidR="005C765A">
        <w:rPr>
          <w:lang w:val="en-GB"/>
        </w:rPr>
        <w:t xml:space="preserve">  The application falls to be dismissed on this basis alone. </w:t>
      </w:r>
    </w:p>
    <w:p w14:paraId="769AF9F1" w14:textId="1FCFACF4" w:rsidR="00DB4BB7" w:rsidRPr="0010696C" w:rsidRDefault="00DB4BB7" w:rsidP="00066A97">
      <w:pPr>
        <w:pStyle w:val="Level1"/>
        <w:rPr>
          <w:lang w:val="en-GB"/>
        </w:rPr>
      </w:pPr>
      <w:r w:rsidRPr="0010696C">
        <w:rPr>
          <w:lang w:val="en-GB"/>
        </w:rPr>
        <w:t xml:space="preserve">I nevertheless regard it necessary to briefly express my views on the question of whether the Applicants have demonstrated that they have a reasonable apprehension of irreparable harm and </w:t>
      </w:r>
      <w:r w:rsidR="005856AD" w:rsidRPr="0010696C">
        <w:rPr>
          <w:lang w:val="en-GB"/>
        </w:rPr>
        <w:t>whether</w:t>
      </w:r>
      <w:r w:rsidRPr="0010696C">
        <w:rPr>
          <w:lang w:val="en-GB"/>
        </w:rPr>
        <w:t xml:space="preserve"> the balance of convenience favours the granting of </w:t>
      </w:r>
      <w:r w:rsidR="005856AD" w:rsidRPr="0010696C">
        <w:rPr>
          <w:lang w:val="en-GB"/>
        </w:rPr>
        <w:t xml:space="preserve">the interim </w:t>
      </w:r>
      <w:r w:rsidRPr="0010696C">
        <w:rPr>
          <w:lang w:val="en-GB"/>
        </w:rPr>
        <w:t>relief</w:t>
      </w:r>
      <w:r w:rsidR="005856AD" w:rsidRPr="0010696C">
        <w:rPr>
          <w:lang w:val="en-GB"/>
        </w:rPr>
        <w:t xml:space="preserve"> sought</w:t>
      </w:r>
      <w:r w:rsidRPr="0010696C">
        <w:rPr>
          <w:lang w:val="en-GB"/>
        </w:rPr>
        <w:t>.</w:t>
      </w:r>
      <w:r w:rsidR="00171D6E">
        <w:rPr>
          <w:lang w:val="en-GB"/>
        </w:rPr>
        <w:t xml:space="preserve">  As stated above, it is</w:t>
      </w:r>
      <w:r w:rsidR="005C765A">
        <w:rPr>
          <w:lang w:val="en-GB"/>
        </w:rPr>
        <w:t xml:space="preserve"> generally necessary</w:t>
      </w:r>
      <w:r w:rsidR="00171D6E">
        <w:rPr>
          <w:lang w:val="en-GB"/>
        </w:rPr>
        <w:t xml:space="preserve"> to </w:t>
      </w:r>
      <w:r w:rsidR="005C765A">
        <w:rPr>
          <w:lang w:val="en-GB"/>
        </w:rPr>
        <w:t>assess the four requirements together</w:t>
      </w:r>
      <w:r w:rsidR="002028FD">
        <w:rPr>
          <w:lang w:val="en-GB"/>
        </w:rPr>
        <w:t xml:space="preserve">.  If </w:t>
      </w:r>
      <w:r w:rsidR="00E706EA">
        <w:rPr>
          <w:lang w:val="en-GB"/>
        </w:rPr>
        <w:t xml:space="preserve">am I wrong about the first requirement (existence of the </w:t>
      </w:r>
      <w:r w:rsidR="00E706EA" w:rsidRPr="00B2755C">
        <w:rPr>
          <w:i/>
          <w:iCs/>
          <w:lang w:val="en-GB"/>
        </w:rPr>
        <w:t>prima facie</w:t>
      </w:r>
      <w:r w:rsidR="00E706EA">
        <w:rPr>
          <w:lang w:val="en-GB"/>
        </w:rPr>
        <w:t xml:space="preserve"> right) then the other</w:t>
      </w:r>
      <w:r w:rsidR="00755DA5">
        <w:rPr>
          <w:lang w:val="en-GB"/>
        </w:rPr>
        <w:t xml:space="preserve"> requirements</w:t>
      </w:r>
      <w:r w:rsidR="00E706EA">
        <w:rPr>
          <w:lang w:val="en-GB"/>
        </w:rPr>
        <w:t xml:space="preserve"> and the </w:t>
      </w:r>
      <w:r w:rsidR="00755DA5">
        <w:rPr>
          <w:lang w:val="en-GB"/>
        </w:rPr>
        <w:t>overriding</w:t>
      </w:r>
      <w:r w:rsidR="00E706EA">
        <w:rPr>
          <w:lang w:val="en-GB"/>
        </w:rPr>
        <w:t xml:space="preserve"> </w:t>
      </w:r>
      <w:r w:rsidR="00B2755C">
        <w:rPr>
          <w:lang w:val="en-GB"/>
        </w:rPr>
        <w:t xml:space="preserve">discretion come into play. </w:t>
      </w:r>
    </w:p>
    <w:p w14:paraId="7CF8F030" w14:textId="59FFBD12" w:rsidR="00077F34" w:rsidRPr="0010696C" w:rsidRDefault="000D02D2" w:rsidP="00066A97">
      <w:pPr>
        <w:pStyle w:val="Level1"/>
        <w:rPr>
          <w:lang w:val="en-GB"/>
        </w:rPr>
      </w:pPr>
      <w:r w:rsidRPr="0010696C">
        <w:rPr>
          <w:lang w:val="en-GB"/>
        </w:rPr>
        <w:t>I accept that it is integral to the Applicants</w:t>
      </w:r>
      <w:r w:rsidR="00F32FD7" w:rsidRPr="0010696C">
        <w:rPr>
          <w:lang w:val="en-GB"/>
        </w:rPr>
        <w:t>’</w:t>
      </w:r>
      <w:r w:rsidRPr="0010696C">
        <w:rPr>
          <w:lang w:val="en-GB"/>
        </w:rPr>
        <w:t xml:space="preserve"> business operations to have access to the necessary mechanism to </w:t>
      </w:r>
      <w:r w:rsidR="00F32FD7" w:rsidRPr="0010696C">
        <w:rPr>
          <w:lang w:val="en-GB"/>
        </w:rPr>
        <w:t>“</w:t>
      </w:r>
      <w:r w:rsidRPr="0010696C">
        <w:rPr>
          <w:i/>
          <w:iCs/>
          <w:lang w:val="en-GB"/>
        </w:rPr>
        <w:t>pull</w:t>
      </w:r>
      <w:r w:rsidR="00F32FD7" w:rsidRPr="0010696C">
        <w:rPr>
          <w:lang w:val="en-GB"/>
        </w:rPr>
        <w:t>”</w:t>
      </w:r>
      <w:r w:rsidRPr="0010696C">
        <w:rPr>
          <w:lang w:val="en-GB"/>
        </w:rPr>
        <w:t xml:space="preserve"> outstanding amounts from their customers</w:t>
      </w:r>
      <w:r w:rsidR="00F32FD7" w:rsidRPr="0010696C">
        <w:rPr>
          <w:lang w:val="en-GB"/>
        </w:rPr>
        <w:t>’</w:t>
      </w:r>
      <w:r w:rsidRPr="0010696C">
        <w:rPr>
          <w:lang w:val="en-GB"/>
        </w:rPr>
        <w:t xml:space="preserve"> bank accounts.  Although the Applicants may require payment by EFT or debit order, that may not be as effective as the mechanism afforded to them by Amplifin. </w:t>
      </w:r>
      <w:r w:rsidR="00964621" w:rsidRPr="0010696C">
        <w:rPr>
          <w:lang w:val="en-GB"/>
        </w:rPr>
        <w:t xml:space="preserve"> Capitec itself states that debit pulls </w:t>
      </w:r>
      <w:r w:rsidR="000C3506" w:rsidRPr="0010696C">
        <w:rPr>
          <w:lang w:val="en-GB"/>
        </w:rPr>
        <w:t>are the most efficient way to collect recurring payments from c</w:t>
      </w:r>
      <w:r w:rsidR="00671581" w:rsidRPr="0010696C">
        <w:rPr>
          <w:lang w:val="en-GB"/>
        </w:rPr>
        <w:t xml:space="preserve">lients. </w:t>
      </w:r>
      <w:r w:rsidRPr="0010696C">
        <w:rPr>
          <w:lang w:val="en-GB"/>
        </w:rPr>
        <w:t xml:space="preserve"> </w:t>
      </w:r>
    </w:p>
    <w:p w14:paraId="105F9097" w14:textId="524E7F6A" w:rsidR="00C3328E" w:rsidRPr="0010696C" w:rsidRDefault="00077F34" w:rsidP="00066A97">
      <w:pPr>
        <w:pStyle w:val="Level1"/>
        <w:rPr>
          <w:lang w:val="en-GB"/>
        </w:rPr>
      </w:pPr>
      <w:r w:rsidRPr="0010696C">
        <w:rPr>
          <w:lang w:val="en-GB"/>
        </w:rPr>
        <w:t>However, the</w:t>
      </w:r>
      <w:r w:rsidR="000D02D2" w:rsidRPr="0010696C">
        <w:rPr>
          <w:lang w:val="en-GB"/>
        </w:rPr>
        <w:t xml:space="preserve"> fact of the matter is</w:t>
      </w:r>
      <w:r w:rsidRPr="0010696C">
        <w:rPr>
          <w:lang w:val="en-GB"/>
        </w:rPr>
        <w:t xml:space="preserve"> </w:t>
      </w:r>
      <w:r w:rsidR="000D02D2" w:rsidRPr="0010696C">
        <w:rPr>
          <w:lang w:val="en-GB"/>
        </w:rPr>
        <w:t xml:space="preserve">that the Applicants may find a replacement system operator to Amplifin, alternatively Amplifin may find a replacement sponsor bank to Capitec.  </w:t>
      </w:r>
    </w:p>
    <w:p w14:paraId="289923E2" w14:textId="287ED022" w:rsidR="00FD7B63" w:rsidRPr="0010696C" w:rsidRDefault="000D02D2" w:rsidP="00066A97">
      <w:pPr>
        <w:pStyle w:val="Level1"/>
        <w:rPr>
          <w:lang w:val="en-GB"/>
        </w:rPr>
      </w:pPr>
      <w:r w:rsidRPr="0010696C">
        <w:rPr>
          <w:lang w:val="en-GB"/>
        </w:rPr>
        <w:lastRenderedPageBreak/>
        <w:t>The exact number of alternatives, as far as system operators are concerned, is a matter of dispute.  Capitec contends that there are 63 system operators in South Africa who can provide electronic collection services</w:t>
      </w:r>
      <w:r w:rsidR="00B17D90" w:rsidRPr="0010696C">
        <w:rPr>
          <w:lang w:val="en-GB"/>
        </w:rPr>
        <w:t xml:space="preserve"> (51</w:t>
      </w:r>
      <w:r w:rsidR="005813E1" w:rsidRPr="0010696C">
        <w:rPr>
          <w:lang w:val="en-GB"/>
        </w:rPr>
        <w:t xml:space="preserve"> can provide both collection services and credit push facilities)</w:t>
      </w:r>
      <w:r w:rsidR="008633B6" w:rsidRPr="0010696C">
        <w:rPr>
          <w:lang w:val="en-GB"/>
        </w:rPr>
        <w:t>, whereas as the Applicants contend that there are only two others</w:t>
      </w:r>
      <w:r w:rsidR="00352433" w:rsidRPr="0010696C">
        <w:rPr>
          <w:lang w:val="en-GB"/>
        </w:rPr>
        <w:t xml:space="preserve"> (Nupay and </w:t>
      </w:r>
      <w:r w:rsidR="00B23C1B" w:rsidRPr="0010696C">
        <w:rPr>
          <w:lang w:val="en-GB"/>
        </w:rPr>
        <w:t xml:space="preserve">a </w:t>
      </w:r>
      <w:r w:rsidR="00505DC3" w:rsidRPr="0010696C">
        <w:rPr>
          <w:lang w:val="en-GB"/>
        </w:rPr>
        <w:t>system operator</w:t>
      </w:r>
      <w:r w:rsidR="00E81540" w:rsidRPr="0010696C">
        <w:rPr>
          <w:lang w:val="en-GB"/>
        </w:rPr>
        <w:t xml:space="preserve"> called SureSystems which was only identified in the replying affidavit</w:t>
      </w:r>
      <w:r w:rsidR="00505DC3" w:rsidRPr="0010696C">
        <w:rPr>
          <w:lang w:val="en-GB"/>
        </w:rPr>
        <w:t>)</w:t>
      </w:r>
      <w:r w:rsidR="008633B6" w:rsidRPr="0010696C">
        <w:rPr>
          <w:lang w:val="en-GB"/>
        </w:rPr>
        <w:t>.</w:t>
      </w:r>
      <w:r w:rsidR="0011159F" w:rsidRPr="0010696C">
        <w:rPr>
          <w:rStyle w:val="FootnoteReference"/>
          <w:lang w:val="en-GB"/>
        </w:rPr>
        <w:footnoteReference w:id="26"/>
      </w:r>
      <w:r w:rsidR="00AA1D5B" w:rsidRPr="0010696C">
        <w:rPr>
          <w:lang w:val="en-GB"/>
        </w:rPr>
        <w:t xml:space="preserve"> </w:t>
      </w:r>
      <w:r w:rsidR="0017088E">
        <w:rPr>
          <w:lang w:val="en-GB"/>
        </w:rPr>
        <w:t xml:space="preserve"> E</w:t>
      </w:r>
      <w:r w:rsidR="00850D91">
        <w:rPr>
          <w:lang w:val="en-GB"/>
        </w:rPr>
        <w:t xml:space="preserve">ven though the number of </w:t>
      </w:r>
      <w:r w:rsidR="0018219C" w:rsidRPr="0010696C">
        <w:rPr>
          <w:lang w:val="en-GB"/>
        </w:rPr>
        <w:t>other system operators</w:t>
      </w:r>
      <w:r w:rsidR="00850D91">
        <w:rPr>
          <w:lang w:val="en-GB"/>
        </w:rPr>
        <w:t xml:space="preserve"> are disputed it is clear that </w:t>
      </w:r>
      <w:r w:rsidR="00775033">
        <w:rPr>
          <w:lang w:val="en-GB"/>
        </w:rPr>
        <w:t xml:space="preserve">alternatives </w:t>
      </w:r>
      <w:r w:rsidR="0018219C" w:rsidRPr="0010696C">
        <w:rPr>
          <w:lang w:val="en-GB"/>
        </w:rPr>
        <w:t>exist</w:t>
      </w:r>
      <w:r w:rsidR="00723DE8" w:rsidRPr="0010696C">
        <w:rPr>
          <w:lang w:val="en-GB"/>
        </w:rPr>
        <w:t xml:space="preserve"> </w:t>
      </w:r>
      <w:r w:rsidR="00850D91">
        <w:rPr>
          <w:lang w:val="en-GB"/>
        </w:rPr>
        <w:t xml:space="preserve">and </w:t>
      </w:r>
      <w:r w:rsidR="00723DE8" w:rsidRPr="0010696C">
        <w:rPr>
          <w:lang w:val="en-GB"/>
        </w:rPr>
        <w:t xml:space="preserve">can be </w:t>
      </w:r>
      <w:r w:rsidR="00A9033B" w:rsidRPr="0010696C">
        <w:rPr>
          <w:lang w:val="en-GB"/>
        </w:rPr>
        <w:t>used by the Applicants</w:t>
      </w:r>
      <w:r w:rsidR="0018219C" w:rsidRPr="0010696C">
        <w:rPr>
          <w:lang w:val="en-GB"/>
        </w:rPr>
        <w:t xml:space="preserve">. </w:t>
      </w:r>
      <w:r w:rsidR="008633B6" w:rsidRPr="0010696C">
        <w:rPr>
          <w:lang w:val="en-GB"/>
        </w:rPr>
        <w:t xml:space="preserve"> </w:t>
      </w:r>
      <w:r w:rsidR="00D22038" w:rsidRPr="0010696C">
        <w:rPr>
          <w:lang w:val="en-GB"/>
        </w:rPr>
        <w:t>I</w:t>
      </w:r>
      <w:r w:rsidR="00236FC4">
        <w:rPr>
          <w:lang w:val="en-GB"/>
        </w:rPr>
        <w:t>n my view it</w:t>
      </w:r>
      <w:r w:rsidR="00D22038" w:rsidRPr="0010696C">
        <w:rPr>
          <w:lang w:val="en-GB"/>
        </w:rPr>
        <w:t xml:space="preserve"> </w:t>
      </w:r>
      <w:r w:rsidR="008633B6" w:rsidRPr="0010696C">
        <w:rPr>
          <w:lang w:val="en-GB"/>
        </w:rPr>
        <w:t>is not significant that the Applicants may have concerns about the quality of th</w:t>
      </w:r>
      <w:r w:rsidR="0018219C" w:rsidRPr="0010696C">
        <w:rPr>
          <w:lang w:val="en-GB"/>
        </w:rPr>
        <w:t>e services provided by</w:t>
      </w:r>
      <w:r w:rsidR="00D850F6" w:rsidRPr="0010696C">
        <w:rPr>
          <w:lang w:val="en-GB"/>
        </w:rPr>
        <w:t xml:space="preserve"> those</w:t>
      </w:r>
      <w:r w:rsidR="008633B6" w:rsidRPr="0010696C">
        <w:rPr>
          <w:lang w:val="en-GB"/>
        </w:rPr>
        <w:t xml:space="preserve"> alternative</w:t>
      </w:r>
      <w:r w:rsidR="00D850F6" w:rsidRPr="0010696C">
        <w:rPr>
          <w:lang w:val="en-GB"/>
        </w:rPr>
        <w:t xml:space="preserve">s. </w:t>
      </w:r>
      <w:r w:rsidR="00F218BC">
        <w:rPr>
          <w:lang w:val="en-GB"/>
        </w:rPr>
        <w:t>In any event, no</w:t>
      </w:r>
      <w:r w:rsidR="008041F8" w:rsidRPr="0010696C">
        <w:rPr>
          <w:lang w:val="en-GB"/>
        </w:rPr>
        <w:t xml:space="preserve"> </w:t>
      </w:r>
      <w:r w:rsidR="000713F1" w:rsidRPr="0010696C">
        <w:rPr>
          <w:lang w:val="en-GB"/>
        </w:rPr>
        <w:t xml:space="preserve">factual explanation was given </w:t>
      </w:r>
      <w:r w:rsidR="00F218BC">
        <w:rPr>
          <w:lang w:val="en-GB"/>
        </w:rPr>
        <w:t>for w</w:t>
      </w:r>
      <w:r w:rsidR="000713F1" w:rsidRPr="0010696C">
        <w:rPr>
          <w:lang w:val="en-GB"/>
        </w:rPr>
        <w:t xml:space="preserve">hy </w:t>
      </w:r>
      <w:r w:rsidR="00FA59AA" w:rsidRPr="0010696C">
        <w:rPr>
          <w:lang w:val="en-GB"/>
        </w:rPr>
        <w:t xml:space="preserve">the services of the alternatives were not adequate. </w:t>
      </w:r>
      <w:r w:rsidR="00CC0275" w:rsidRPr="0010696C">
        <w:rPr>
          <w:lang w:val="en-GB"/>
        </w:rPr>
        <w:t xml:space="preserve"> </w:t>
      </w:r>
      <w:r w:rsidR="00B05626" w:rsidRPr="0010696C">
        <w:rPr>
          <w:lang w:val="en-GB"/>
        </w:rPr>
        <w:t xml:space="preserve">It was merely stated that </w:t>
      </w:r>
      <w:r w:rsidR="00FD028A" w:rsidRPr="0010696C">
        <w:rPr>
          <w:lang w:val="en-GB"/>
        </w:rPr>
        <w:t xml:space="preserve">there were </w:t>
      </w:r>
      <w:r w:rsidR="00F32FD7" w:rsidRPr="0010696C">
        <w:rPr>
          <w:lang w:val="en-GB"/>
        </w:rPr>
        <w:t>“</w:t>
      </w:r>
      <w:r w:rsidR="00FD028A" w:rsidRPr="0010696C">
        <w:rPr>
          <w:i/>
          <w:iCs/>
          <w:lang w:val="en-GB"/>
        </w:rPr>
        <w:t>problems</w:t>
      </w:r>
      <w:r w:rsidR="00F32FD7" w:rsidRPr="0010696C">
        <w:rPr>
          <w:lang w:val="en-GB"/>
        </w:rPr>
        <w:t>”</w:t>
      </w:r>
      <w:r w:rsidR="00FD028A" w:rsidRPr="0010696C">
        <w:rPr>
          <w:lang w:val="en-GB"/>
        </w:rPr>
        <w:t xml:space="preserve"> and that there may be </w:t>
      </w:r>
      <w:r w:rsidR="00F32FD7" w:rsidRPr="0010696C">
        <w:rPr>
          <w:lang w:val="en-GB"/>
        </w:rPr>
        <w:t>“</w:t>
      </w:r>
      <w:r w:rsidR="00FD028A" w:rsidRPr="0010696C">
        <w:rPr>
          <w:i/>
          <w:iCs/>
          <w:lang w:val="en-GB"/>
        </w:rPr>
        <w:t>delays</w:t>
      </w:r>
      <w:r w:rsidR="00F32FD7" w:rsidRPr="0010696C">
        <w:rPr>
          <w:lang w:val="en-GB"/>
        </w:rPr>
        <w:t>”</w:t>
      </w:r>
      <w:r w:rsidR="00F45D97" w:rsidRPr="0010696C">
        <w:rPr>
          <w:lang w:val="en-GB"/>
        </w:rPr>
        <w:t xml:space="preserve"> </w:t>
      </w:r>
      <w:r w:rsidR="008041F8" w:rsidRPr="0010696C">
        <w:rPr>
          <w:lang w:val="en-GB"/>
        </w:rPr>
        <w:t xml:space="preserve">with these system operators </w:t>
      </w:r>
      <w:r w:rsidR="00F45D97" w:rsidRPr="0010696C">
        <w:rPr>
          <w:lang w:val="en-GB"/>
        </w:rPr>
        <w:t xml:space="preserve">which the Applicants </w:t>
      </w:r>
      <w:r w:rsidR="00F32FD7" w:rsidRPr="0010696C">
        <w:rPr>
          <w:lang w:val="en-GB"/>
        </w:rPr>
        <w:t>“</w:t>
      </w:r>
      <w:r w:rsidR="00F45D97" w:rsidRPr="0010696C">
        <w:rPr>
          <w:i/>
          <w:iCs/>
          <w:lang w:val="en-GB"/>
        </w:rPr>
        <w:t>cannot afford</w:t>
      </w:r>
      <w:r w:rsidR="00F32FD7" w:rsidRPr="0010696C">
        <w:rPr>
          <w:lang w:val="en-GB"/>
        </w:rPr>
        <w:t>”</w:t>
      </w:r>
      <w:r w:rsidR="00F45D97" w:rsidRPr="0010696C">
        <w:rPr>
          <w:lang w:val="en-GB"/>
        </w:rPr>
        <w:t>.</w:t>
      </w:r>
      <w:r w:rsidR="00FD7B63" w:rsidRPr="0010696C">
        <w:rPr>
          <w:lang w:val="en-GB"/>
        </w:rPr>
        <w:t xml:space="preserve">  These vague allegations do not establish a factual basis for the conclusion that suitable alternatives do not exist.</w:t>
      </w:r>
    </w:p>
    <w:p w14:paraId="6AE3BBEB" w14:textId="18FC7834" w:rsidR="00607452" w:rsidRPr="0010696C" w:rsidRDefault="00F218BC" w:rsidP="00B32229">
      <w:pPr>
        <w:pStyle w:val="Level1"/>
        <w:rPr>
          <w:lang w:val="en-GB"/>
        </w:rPr>
      </w:pPr>
      <w:r>
        <w:rPr>
          <w:lang w:val="en-GB"/>
        </w:rPr>
        <w:t xml:space="preserve">In my view, the </w:t>
      </w:r>
      <w:r w:rsidR="00CC0275" w:rsidRPr="0010696C">
        <w:rPr>
          <w:lang w:val="en-GB"/>
        </w:rPr>
        <w:t xml:space="preserve">Applicants </w:t>
      </w:r>
      <w:r w:rsidR="00665A5A" w:rsidRPr="0010696C">
        <w:rPr>
          <w:lang w:val="en-GB"/>
        </w:rPr>
        <w:t xml:space="preserve">are not contractually obliged to stick with Amplifin and they cannot be so bound if Amplifin cannot </w:t>
      </w:r>
      <w:r w:rsidR="00066E82" w:rsidRPr="0010696C">
        <w:rPr>
          <w:lang w:val="en-GB"/>
        </w:rPr>
        <w:t xml:space="preserve">deliver the </w:t>
      </w:r>
      <w:r w:rsidR="00384D65">
        <w:rPr>
          <w:lang w:val="en-GB"/>
        </w:rPr>
        <w:t xml:space="preserve">required </w:t>
      </w:r>
      <w:r w:rsidR="00066E82" w:rsidRPr="0010696C">
        <w:rPr>
          <w:lang w:val="en-GB"/>
        </w:rPr>
        <w:t xml:space="preserve">services to them because </w:t>
      </w:r>
      <w:r w:rsidR="00DC65A9" w:rsidRPr="0010696C">
        <w:rPr>
          <w:lang w:val="en-GB"/>
        </w:rPr>
        <w:t>it lacks a sponsor bank</w:t>
      </w:r>
      <w:r w:rsidR="00384D65">
        <w:rPr>
          <w:lang w:val="en-GB"/>
        </w:rPr>
        <w:t xml:space="preserve"> </w:t>
      </w:r>
      <w:r w:rsidR="008F3FBC">
        <w:rPr>
          <w:lang w:val="en-GB"/>
        </w:rPr>
        <w:t>to provide AET facilities to them</w:t>
      </w:r>
      <w:r w:rsidR="00DC65A9" w:rsidRPr="0010696C">
        <w:rPr>
          <w:lang w:val="en-GB"/>
        </w:rPr>
        <w:t xml:space="preserve">.  </w:t>
      </w:r>
      <w:r w:rsidR="00607452" w:rsidRPr="0010696C">
        <w:rPr>
          <w:lang w:val="en-GB"/>
        </w:rPr>
        <w:t xml:space="preserve">As the AC Agreement is not an exclusive one, Amplifin may also </w:t>
      </w:r>
      <w:r w:rsidR="000F77D7" w:rsidRPr="0010696C">
        <w:rPr>
          <w:lang w:val="en-GB"/>
        </w:rPr>
        <w:t xml:space="preserve">enter into a relationship with </w:t>
      </w:r>
      <w:r w:rsidR="00607452" w:rsidRPr="0010696C">
        <w:rPr>
          <w:lang w:val="en-GB"/>
        </w:rPr>
        <w:t xml:space="preserve">a bank other than Capitec for clearing and settlement </w:t>
      </w:r>
      <w:r w:rsidR="00771CD3" w:rsidRPr="0010696C">
        <w:rPr>
          <w:lang w:val="en-GB"/>
        </w:rPr>
        <w:t>services</w:t>
      </w:r>
      <w:r w:rsidR="000F77D7" w:rsidRPr="0010696C">
        <w:rPr>
          <w:lang w:val="en-GB"/>
        </w:rPr>
        <w:t xml:space="preserve">, at least in respect of the </w:t>
      </w:r>
      <w:r w:rsidR="005949F7" w:rsidRPr="0010696C">
        <w:rPr>
          <w:lang w:val="en-GB"/>
        </w:rPr>
        <w:t>39 Applicants</w:t>
      </w:r>
      <w:r w:rsidR="00771CD3" w:rsidRPr="0010696C">
        <w:rPr>
          <w:lang w:val="en-GB"/>
        </w:rPr>
        <w:t xml:space="preserve">.  </w:t>
      </w:r>
      <w:r w:rsidR="008F3FBC">
        <w:rPr>
          <w:lang w:val="en-GB"/>
        </w:rPr>
        <w:t>As stated, whilst</w:t>
      </w:r>
      <w:r w:rsidR="00771CD3" w:rsidRPr="0010696C">
        <w:rPr>
          <w:lang w:val="en-GB"/>
        </w:rPr>
        <w:t xml:space="preserve"> there was debate on the time it will take for Amplifin to find another sponsor bank, </w:t>
      </w:r>
      <w:r w:rsidR="00CB2C68" w:rsidRPr="0010696C">
        <w:rPr>
          <w:lang w:val="en-GB"/>
        </w:rPr>
        <w:t>it was not seriously disputed that replacement can take place.</w:t>
      </w:r>
      <w:r w:rsidR="00AB3F47" w:rsidRPr="0010696C">
        <w:rPr>
          <w:lang w:val="en-GB"/>
        </w:rPr>
        <w:t xml:space="preserve">  </w:t>
      </w:r>
      <w:r w:rsidR="005949F7" w:rsidRPr="0010696C">
        <w:rPr>
          <w:lang w:val="en-GB"/>
        </w:rPr>
        <w:t xml:space="preserve">Capitec </w:t>
      </w:r>
      <w:r w:rsidR="00D55BD1" w:rsidRPr="0010696C">
        <w:rPr>
          <w:lang w:val="en-GB"/>
        </w:rPr>
        <w:t>indeed contends that all four of South Africa</w:t>
      </w:r>
      <w:r w:rsidR="00F32FD7" w:rsidRPr="0010696C">
        <w:rPr>
          <w:lang w:val="en-GB"/>
        </w:rPr>
        <w:t>’</w:t>
      </w:r>
      <w:r w:rsidR="00D55BD1" w:rsidRPr="0010696C">
        <w:rPr>
          <w:lang w:val="en-GB"/>
        </w:rPr>
        <w:t>s big banks, as well as a number of South Africa</w:t>
      </w:r>
      <w:r w:rsidR="00F32FD7" w:rsidRPr="0010696C">
        <w:rPr>
          <w:lang w:val="en-GB"/>
        </w:rPr>
        <w:t>’</w:t>
      </w:r>
      <w:r w:rsidR="00D55BD1" w:rsidRPr="0010696C">
        <w:rPr>
          <w:lang w:val="en-GB"/>
        </w:rPr>
        <w:t xml:space="preserve">s non-traditional </w:t>
      </w:r>
      <w:r w:rsidR="000E036F" w:rsidRPr="0010696C">
        <w:rPr>
          <w:lang w:val="en-GB"/>
        </w:rPr>
        <w:t xml:space="preserve">banks, are able to offer the same or at least similar clearing and settling services. </w:t>
      </w:r>
      <w:r w:rsidR="00515C20" w:rsidRPr="0010696C">
        <w:rPr>
          <w:lang w:val="en-GB"/>
        </w:rPr>
        <w:t xml:space="preserve"> It was contended </w:t>
      </w:r>
      <w:r w:rsidR="0009013A" w:rsidRPr="0010696C">
        <w:rPr>
          <w:lang w:val="en-GB"/>
        </w:rPr>
        <w:t xml:space="preserve">by Capitec in its answering </w:t>
      </w:r>
      <w:r w:rsidR="0009013A" w:rsidRPr="0010696C">
        <w:rPr>
          <w:lang w:val="en-GB"/>
        </w:rPr>
        <w:lastRenderedPageBreak/>
        <w:t xml:space="preserve">affidavit that Amplifin already </w:t>
      </w:r>
      <w:r w:rsidR="00EC3CB2" w:rsidRPr="0010696C">
        <w:rPr>
          <w:lang w:val="en-GB"/>
        </w:rPr>
        <w:t>transacts with FNB in respect of the AET platform.</w:t>
      </w:r>
      <w:r w:rsidR="00AB7D6A" w:rsidRPr="0010696C">
        <w:rPr>
          <w:lang w:val="en-GB"/>
        </w:rPr>
        <w:t xml:space="preserve"> </w:t>
      </w:r>
      <w:r w:rsidR="000E036F" w:rsidRPr="0010696C">
        <w:rPr>
          <w:lang w:val="en-GB"/>
        </w:rPr>
        <w:t xml:space="preserve"> </w:t>
      </w:r>
      <w:r w:rsidR="00AB3F47" w:rsidRPr="0010696C">
        <w:rPr>
          <w:lang w:val="en-GB"/>
        </w:rPr>
        <w:t>Again, given that the notice period was not raised in the founding papers, the issue of how long it will take for Amplifin to find a new sponsor bank was never pertinently addressed.</w:t>
      </w:r>
      <w:r w:rsidR="004A75E5" w:rsidRPr="0010696C">
        <w:rPr>
          <w:lang w:val="en-GB"/>
        </w:rPr>
        <w:t xml:space="preserve">  </w:t>
      </w:r>
    </w:p>
    <w:p w14:paraId="6E4E5869" w14:textId="747E4FC3" w:rsidR="007F519B" w:rsidRPr="0010696C" w:rsidRDefault="00E9563D" w:rsidP="00A678F8">
      <w:pPr>
        <w:pStyle w:val="Level1"/>
        <w:rPr>
          <w:szCs w:val="24"/>
          <w:lang w:val="en-GB"/>
        </w:rPr>
      </w:pPr>
      <w:r w:rsidRPr="0010696C">
        <w:rPr>
          <w:szCs w:val="24"/>
          <w:lang w:val="en-GB"/>
        </w:rPr>
        <w:t xml:space="preserve">The case sought to be made out by the </w:t>
      </w:r>
      <w:r w:rsidRPr="0010696C">
        <w:rPr>
          <w:lang w:val="en-GB"/>
        </w:rPr>
        <w:t>Applicants regarding the harm that they will suffer was thus open to considerable doubt.  Capitec</w:t>
      </w:r>
      <w:r w:rsidR="00F32FD7" w:rsidRPr="0010696C">
        <w:rPr>
          <w:lang w:val="en-GB"/>
        </w:rPr>
        <w:t>’</w:t>
      </w:r>
      <w:r w:rsidRPr="0010696C">
        <w:rPr>
          <w:lang w:val="en-GB"/>
        </w:rPr>
        <w:t xml:space="preserve">s harm, on the other hand, would lie therein that it would be locked into the banking relationship with the Applicants for a considerable period of time against its will.  In this regard, the relief sought in the notice of motion is for the relationship to continue until </w:t>
      </w:r>
      <w:r w:rsidR="00BC0427" w:rsidRPr="0010696C">
        <w:rPr>
          <w:lang w:val="en-GB"/>
        </w:rPr>
        <w:t>Amplifin finds a new sponsor bank</w:t>
      </w:r>
      <w:r w:rsidR="00F76902" w:rsidRPr="0010696C">
        <w:rPr>
          <w:lang w:val="en-GB"/>
        </w:rPr>
        <w:t xml:space="preserve"> (however long that may take)</w:t>
      </w:r>
      <w:r w:rsidR="00BC0427" w:rsidRPr="0010696C">
        <w:rPr>
          <w:lang w:val="en-GB"/>
        </w:rPr>
        <w:t xml:space="preserve"> or until an action to be instituted is decided.  The former would be of underdetermined duration</w:t>
      </w:r>
      <w:r w:rsidR="00C54A42" w:rsidRPr="0010696C">
        <w:rPr>
          <w:lang w:val="en-GB"/>
        </w:rPr>
        <w:t xml:space="preserve"> and perhaps indefinite duration</w:t>
      </w:r>
      <w:r w:rsidR="00B00AD6">
        <w:rPr>
          <w:lang w:val="en-GB"/>
        </w:rPr>
        <w:t xml:space="preserve"> (how would Capitec dispute </w:t>
      </w:r>
      <w:r w:rsidR="00526BB9">
        <w:rPr>
          <w:lang w:val="en-GB"/>
        </w:rPr>
        <w:t xml:space="preserve">a claim </w:t>
      </w:r>
      <w:r w:rsidR="00BC0427" w:rsidRPr="0010696C">
        <w:rPr>
          <w:lang w:val="en-GB"/>
        </w:rPr>
        <w:t xml:space="preserve">that Amplifin could not retain a </w:t>
      </w:r>
      <w:r w:rsidR="00C54A42" w:rsidRPr="0010696C">
        <w:rPr>
          <w:lang w:val="en-GB"/>
        </w:rPr>
        <w:t>replacement</w:t>
      </w:r>
      <w:r w:rsidR="00742BBF" w:rsidRPr="0010696C">
        <w:rPr>
          <w:lang w:val="en-GB"/>
        </w:rPr>
        <w:t xml:space="preserve"> </w:t>
      </w:r>
      <w:r w:rsidR="00BC0427" w:rsidRPr="0010696C">
        <w:rPr>
          <w:lang w:val="en-GB"/>
        </w:rPr>
        <w:t>placement sponsor bank</w:t>
      </w:r>
      <w:r w:rsidR="00526BB9">
        <w:rPr>
          <w:lang w:val="en-GB"/>
        </w:rPr>
        <w:t>?)</w:t>
      </w:r>
      <w:r w:rsidR="00BC0427" w:rsidRPr="0010696C">
        <w:rPr>
          <w:lang w:val="en-GB"/>
        </w:rPr>
        <w:t>.</w:t>
      </w:r>
      <w:r w:rsidR="00965A60" w:rsidRPr="0010696C">
        <w:rPr>
          <w:lang w:val="en-GB"/>
        </w:rPr>
        <w:t xml:space="preserve">  The latter would also be invasive of Capitec’s rights.</w:t>
      </w:r>
      <w:r w:rsidR="00BC0427" w:rsidRPr="0010696C">
        <w:rPr>
          <w:lang w:val="en-GB"/>
        </w:rPr>
        <w:t xml:space="preserve">  Interim relief pending an action to be instituted would be </w:t>
      </w:r>
      <w:r w:rsidR="00742BBF" w:rsidRPr="0010696C">
        <w:rPr>
          <w:lang w:val="en-GB"/>
        </w:rPr>
        <w:t xml:space="preserve">relief </w:t>
      </w:r>
      <w:r w:rsidR="00BC0427" w:rsidRPr="0010696C">
        <w:rPr>
          <w:lang w:val="en-GB"/>
        </w:rPr>
        <w:t xml:space="preserve">for a very long time and certainly more than two years, which is </w:t>
      </w:r>
      <w:r w:rsidR="00742BBF" w:rsidRPr="0010696C">
        <w:rPr>
          <w:lang w:val="en-GB"/>
        </w:rPr>
        <w:t xml:space="preserve">the highwater of the </w:t>
      </w:r>
      <w:r w:rsidR="00407CCC" w:rsidRPr="0010696C">
        <w:rPr>
          <w:lang w:val="en-GB"/>
        </w:rPr>
        <w:t xml:space="preserve">contractual protection argued for by the Applicants. </w:t>
      </w:r>
    </w:p>
    <w:p w14:paraId="13591F2E" w14:textId="36F78233" w:rsidR="00184AD9" w:rsidRPr="0010696C" w:rsidRDefault="00684001" w:rsidP="00A678F8">
      <w:pPr>
        <w:pStyle w:val="Level1"/>
        <w:rPr>
          <w:szCs w:val="24"/>
          <w:lang w:val="en-GB"/>
        </w:rPr>
      </w:pPr>
      <w:r w:rsidRPr="0010696C">
        <w:rPr>
          <w:lang w:val="en-GB"/>
        </w:rPr>
        <w:t>I will accept for purposes of this judgment that the Applicants ha</w:t>
      </w:r>
      <w:r w:rsidR="00407CCC" w:rsidRPr="0010696C">
        <w:rPr>
          <w:lang w:val="en-GB"/>
        </w:rPr>
        <w:t>s</w:t>
      </w:r>
      <w:r w:rsidRPr="0010696C">
        <w:rPr>
          <w:lang w:val="en-GB"/>
        </w:rPr>
        <w:t xml:space="preserve"> no adequate alternative remedy</w:t>
      </w:r>
      <w:r w:rsidR="00775033">
        <w:rPr>
          <w:lang w:val="en-GB"/>
        </w:rPr>
        <w:t xml:space="preserve"> even though I have my doubts about that.</w:t>
      </w:r>
      <w:r w:rsidR="00B60D2E" w:rsidRPr="0010696C">
        <w:rPr>
          <w:lang w:val="en-GB"/>
        </w:rPr>
        <w:t xml:space="preserve">  The fact that they can change banks and system operator </w:t>
      </w:r>
      <w:r w:rsidR="001D48E6" w:rsidRPr="0010696C">
        <w:rPr>
          <w:lang w:val="en-GB"/>
        </w:rPr>
        <w:t xml:space="preserve">may be an alternative to litigating but these options are not </w:t>
      </w:r>
      <w:r w:rsidR="00B60D2E" w:rsidRPr="0010696C">
        <w:rPr>
          <w:lang w:val="en-GB"/>
        </w:rPr>
        <w:t xml:space="preserve">alternative </w:t>
      </w:r>
      <w:r w:rsidR="001D48E6" w:rsidRPr="0010696C">
        <w:rPr>
          <w:i/>
          <w:iCs/>
          <w:lang w:val="en-GB"/>
        </w:rPr>
        <w:t xml:space="preserve">legal </w:t>
      </w:r>
      <w:r w:rsidR="00EE356B" w:rsidRPr="0010696C">
        <w:rPr>
          <w:i/>
          <w:iCs/>
          <w:lang w:val="en-GB"/>
        </w:rPr>
        <w:t>r</w:t>
      </w:r>
      <w:r w:rsidR="00B60D2E" w:rsidRPr="0010696C">
        <w:rPr>
          <w:i/>
          <w:iCs/>
          <w:lang w:val="en-GB"/>
        </w:rPr>
        <w:t>emed</w:t>
      </w:r>
      <w:r w:rsidR="00EE356B" w:rsidRPr="0010696C">
        <w:rPr>
          <w:i/>
          <w:iCs/>
          <w:lang w:val="en-GB"/>
        </w:rPr>
        <w:t>ies</w:t>
      </w:r>
      <w:r w:rsidR="00B60D2E" w:rsidRPr="0010696C">
        <w:rPr>
          <w:lang w:val="en-GB"/>
        </w:rPr>
        <w:t xml:space="preserve">.  </w:t>
      </w:r>
      <w:r w:rsidR="002D2449" w:rsidRPr="0010696C">
        <w:rPr>
          <w:lang w:val="en-GB"/>
        </w:rPr>
        <w:t>An action for damages</w:t>
      </w:r>
      <w:r w:rsidR="00EE356B" w:rsidRPr="0010696C">
        <w:rPr>
          <w:lang w:val="en-GB"/>
        </w:rPr>
        <w:t>, c</w:t>
      </w:r>
      <w:r w:rsidR="00C66290">
        <w:rPr>
          <w:lang w:val="en-GB"/>
        </w:rPr>
        <w:t>laiming</w:t>
      </w:r>
      <w:r w:rsidR="00EE356B" w:rsidRPr="0010696C">
        <w:rPr>
          <w:lang w:val="en-GB"/>
        </w:rPr>
        <w:t xml:space="preserve"> lost profits</w:t>
      </w:r>
      <w:r w:rsidR="002D2449" w:rsidRPr="0010696C">
        <w:rPr>
          <w:lang w:val="en-GB"/>
        </w:rPr>
        <w:t xml:space="preserve"> </w:t>
      </w:r>
      <w:r w:rsidR="00EE356B" w:rsidRPr="0010696C">
        <w:rPr>
          <w:lang w:val="en-GB"/>
        </w:rPr>
        <w:t xml:space="preserve">due to unlawful termination may be such an </w:t>
      </w:r>
      <w:r w:rsidR="002D2449" w:rsidRPr="0010696C">
        <w:rPr>
          <w:lang w:val="en-GB"/>
        </w:rPr>
        <w:t xml:space="preserve">alternative </w:t>
      </w:r>
      <w:r w:rsidR="00EE356B" w:rsidRPr="0010696C">
        <w:rPr>
          <w:lang w:val="en-GB"/>
        </w:rPr>
        <w:t xml:space="preserve">remedy </w:t>
      </w:r>
      <w:r w:rsidR="00EA691B" w:rsidRPr="0010696C">
        <w:rPr>
          <w:lang w:val="en-GB"/>
        </w:rPr>
        <w:t>but</w:t>
      </w:r>
      <w:r w:rsidR="007823F7" w:rsidRPr="0010696C">
        <w:rPr>
          <w:lang w:val="en-GB"/>
        </w:rPr>
        <w:t xml:space="preserve"> this</w:t>
      </w:r>
      <w:r w:rsidR="00EA691B" w:rsidRPr="0010696C">
        <w:rPr>
          <w:lang w:val="en-GB"/>
        </w:rPr>
        <w:t xml:space="preserve"> </w:t>
      </w:r>
      <w:r w:rsidR="002D2449" w:rsidRPr="0010696C">
        <w:rPr>
          <w:lang w:val="en-GB"/>
        </w:rPr>
        <w:t>was not raised by Capitec</w:t>
      </w:r>
      <w:r w:rsidR="007823F7" w:rsidRPr="0010696C">
        <w:rPr>
          <w:lang w:val="en-GB"/>
        </w:rPr>
        <w:t xml:space="preserve">.  Whilst the </w:t>
      </w:r>
      <w:r w:rsidR="007571CC" w:rsidRPr="0010696C">
        <w:rPr>
          <w:lang w:val="en-GB"/>
        </w:rPr>
        <w:t xml:space="preserve">exposure to damages claims was raised </w:t>
      </w:r>
      <w:r w:rsidR="007823F7" w:rsidRPr="0010696C">
        <w:rPr>
          <w:lang w:val="en-GB"/>
        </w:rPr>
        <w:t>by</w:t>
      </w:r>
      <w:r w:rsidR="007571CC" w:rsidRPr="0010696C">
        <w:rPr>
          <w:lang w:val="en-GB"/>
        </w:rPr>
        <w:t xml:space="preserve"> Amplifin in correspondence</w:t>
      </w:r>
      <w:r w:rsidR="00C10C90">
        <w:rPr>
          <w:lang w:val="en-GB"/>
        </w:rPr>
        <w:t xml:space="preserve">, </w:t>
      </w:r>
      <w:r w:rsidR="00EA691B" w:rsidRPr="0010696C">
        <w:rPr>
          <w:lang w:val="en-GB"/>
        </w:rPr>
        <w:t xml:space="preserve">I cannot take </w:t>
      </w:r>
      <w:r w:rsidR="007823F7" w:rsidRPr="0010696C">
        <w:rPr>
          <w:lang w:val="en-GB"/>
        </w:rPr>
        <w:t>that</w:t>
      </w:r>
      <w:r w:rsidR="00EA691B" w:rsidRPr="0010696C">
        <w:rPr>
          <w:lang w:val="en-GB"/>
        </w:rPr>
        <w:t xml:space="preserve"> into account.</w:t>
      </w:r>
    </w:p>
    <w:p w14:paraId="43226B4E" w14:textId="2207A64E" w:rsidR="00EA5487" w:rsidRPr="0010696C" w:rsidRDefault="00F34B06" w:rsidP="00A678F8">
      <w:pPr>
        <w:pStyle w:val="Level1"/>
        <w:rPr>
          <w:szCs w:val="24"/>
          <w:lang w:val="en-GB"/>
        </w:rPr>
      </w:pPr>
      <w:r w:rsidRPr="0010696C">
        <w:rPr>
          <w:lang w:val="en-GB"/>
        </w:rPr>
        <w:lastRenderedPageBreak/>
        <w:t xml:space="preserve">The present matter is in any event the kind of case where I </w:t>
      </w:r>
      <w:r w:rsidR="00E30504" w:rsidRPr="0010696C">
        <w:rPr>
          <w:lang w:val="en-GB"/>
        </w:rPr>
        <w:t>should</w:t>
      </w:r>
      <w:r w:rsidRPr="0010696C">
        <w:rPr>
          <w:lang w:val="en-GB"/>
        </w:rPr>
        <w:t xml:space="preserve">, in the exercise of the overriding discretion, refuse to grant interim relief.  </w:t>
      </w:r>
      <w:r w:rsidR="0054554C">
        <w:rPr>
          <w:lang w:val="en-GB"/>
        </w:rPr>
        <w:t xml:space="preserve">I am </w:t>
      </w:r>
      <w:r w:rsidR="00B740BD">
        <w:rPr>
          <w:lang w:val="en-GB"/>
        </w:rPr>
        <w:t xml:space="preserve">a bit </w:t>
      </w:r>
      <w:r w:rsidR="00F45911">
        <w:rPr>
          <w:lang w:val="en-GB"/>
        </w:rPr>
        <w:t>hesitant to</w:t>
      </w:r>
      <w:r w:rsidR="00B740BD">
        <w:rPr>
          <w:lang w:val="en-GB"/>
        </w:rPr>
        <w:t xml:space="preserve"> ventur</w:t>
      </w:r>
      <w:r w:rsidR="00F45911">
        <w:rPr>
          <w:lang w:val="en-GB"/>
        </w:rPr>
        <w:t>e</w:t>
      </w:r>
      <w:r w:rsidR="00B740BD">
        <w:rPr>
          <w:lang w:val="en-GB"/>
        </w:rPr>
        <w:t xml:space="preserve"> into this terrain because there is </w:t>
      </w:r>
      <w:r w:rsidR="00322C29">
        <w:rPr>
          <w:lang w:val="en-GB"/>
        </w:rPr>
        <w:t>little in the line of guidance o</w:t>
      </w:r>
      <w:r w:rsidR="00F45911">
        <w:rPr>
          <w:lang w:val="en-GB"/>
        </w:rPr>
        <w:t xml:space="preserve">n how the </w:t>
      </w:r>
      <w:r w:rsidR="00322C29">
        <w:rPr>
          <w:lang w:val="en-GB"/>
        </w:rPr>
        <w:t>overriding discretion must be exercised.  To my mind, it must</w:t>
      </w:r>
      <w:r w:rsidR="00024EEB">
        <w:rPr>
          <w:lang w:val="en-GB"/>
        </w:rPr>
        <w:t xml:space="preserve"> at</w:t>
      </w:r>
      <w:r w:rsidR="00322C29">
        <w:rPr>
          <w:lang w:val="en-GB"/>
        </w:rPr>
        <w:t xml:space="preserve"> relate </w:t>
      </w:r>
      <w:r w:rsidR="0090647B">
        <w:rPr>
          <w:lang w:val="en-GB"/>
        </w:rPr>
        <w:t>to factors other than the four established requir</w:t>
      </w:r>
      <w:r w:rsidR="00BE6C9F">
        <w:rPr>
          <w:lang w:val="en-GB"/>
        </w:rPr>
        <w:t>ements.  There are two such factors in the present instance:</w:t>
      </w:r>
    </w:p>
    <w:p w14:paraId="25003081" w14:textId="53639D09" w:rsidR="00EA5487" w:rsidRPr="0010696C" w:rsidRDefault="00990626" w:rsidP="00E30504">
      <w:pPr>
        <w:pStyle w:val="Level2"/>
        <w:ind w:left="1815" w:hanging="964"/>
        <w:rPr>
          <w:szCs w:val="24"/>
          <w:lang w:val="en-GB"/>
        </w:rPr>
      </w:pPr>
      <w:r w:rsidRPr="0010696C">
        <w:rPr>
          <w:lang w:val="en-GB"/>
        </w:rPr>
        <w:t xml:space="preserve">Firstly, </w:t>
      </w:r>
      <w:r w:rsidR="00F048BD" w:rsidRPr="0010696C">
        <w:rPr>
          <w:lang w:val="en-GB"/>
        </w:rPr>
        <w:t xml:space="preserve">the Applicants have made out no case whatsoever </w:t>
      </w:r>
      <w:r w:rsidR="001340A7" w:rsidRPr="0010696C">
        <w:rPr>
          <w:lang w:val="en-GB"/>
        </w:rPr>
        <w:t>regarding</w:t>
      </w:r>
      <w:r w:rsidR="00F048BD" w:rsidRPr="0010696C">
        <w:rPr>
          <w:lang w:val="en-GB"/>
        </w:rPr>
        <w:t xml:space="preserve"> the termination of the Tripartite POS Agreement</w:t>
      </w:r>
      <w:r w:rsidR="00611531" w:rsidRPr="0010696C">
        <w:rPr>
          <w:lang w:val="en-GB"/>
        </w:rPr>
        <w:t>.  That agreement contains a 60-day notice period.  And, on the Applicants</w:t>
      </w:r>
      <w:r w:rsidR="00EA5487" w:rsidRPr="0010696C">
        <w:rPr>
          <w:lang w:val="en-GB"/>
        </w:rPr>
        <w:t xml:space="preserve"> version in reply, </w:t>
      </w:r>
      <w:r w:rsidR="003A7F07" w:rsidRPr="0010696C">
        <w:rPr>
          <w:lang w:val="en-GB"/>
        </w:rPr>
        <w:t xml:space="preserve">authentication </w:t>
      </w:r>
      <w:r w:rsidR="004D0EAB" w:rsidRPr="0010696C">
        <w:rPr>
          <w:lang w:val="en-GB"/>
        </w:rPr>
        <w:t xml:space="preserve">needs to take </w:t>
      </w:r>
      <w:r w:rsidR="003A7F07" w:rsidRPr="0010696C">
        <w:rPr>
          <w:lang w:val="en-GB"/>
        </w:rPr>
        <w:t>place via the POS device</w:t>
      </w:r>
      <w:r w:rsidR="00CF2926" w:rsidRPr="0010696C">
        <w:rPr>
          <w:lang w:val="en-GB"/>
        </w:rPr>
        <w:t xml:space="preserve"> </w:t>
      </w:r>
      <w:r w:rsidR="007D4BCD" w:rsidRPr="0010696C">
        <w:rPr>
          <w:lang w:val="en-GB"/>
        </w:rPr>
        <w:t>in order to be given access for amounts to be pulled from a customer</w:t>
      </w:r>
      <w:r w:rsidR="00F32FD7" w:rsidRPr="0010696C">
        <w:rPr>
          <w:lang w:val="en-GB"/>
        </w:rPr>
        <w:t>’</w:t>
      </w:r>
      <w:r w:rsidR="007D4BCD" w:rsidRPr="0010696C">
        <w:rPr>
          <w:lang w:val="en-GB"/>
        </w:rPr>
        <w:t xml:space="preserve">s account.  Given the claimed link, </w:t>
      </w:r>
      <w:r w:rsidR="00024EEB">
        <w:rPr>
          <w:lang w:val="en-GB"/>
        </w:rPr>
        <w:t xml:space="preserve">made in the replying affidavit and at the </w:t>
      </w:r>
      <w:r w:rsidR="00CC1C50">
        <w:rPr>
          <w:lang w:val="en-GB"/>
        </w:rPr>
        <w:t xml:space="preserve">hearing of the matter, </w:t>
      </w:r>
      <w:r w:rsidR="007D4BCD" w:rsidRPr="0010696C">
        <w:rPr>
          <w:lang w:val="en-GB"/>
        </w:rPr>
        <w:t xml:space="preserve">the Applicants </w:t>
      </w:r>
      <w:r w:rsidR="004E6935" w:rsidRPr="0010696C">
        <w:rPr>
          <w:lang w:val="en-GB"/>
        </w:rPr>
        <w:t xml:space="preserve">had to </w:t>
      </w:r>
      <w:r w:rsidR="005C010B" w:rsidRPr="0010696C">
        <w:rPr>
          <w:lang w:val="en-GB"/>
        </w:rPr>
        <w:t xml:space="preserve">establish a </w:t>
      </w:r>
      <w:r w:rsidR="004E6935" w:rsidRPr="0010696C">
        <w:rPr>
          <w:i/>
          <w:iCs/>
          <w:lang w:val="en-GB"/>
        </w:rPr>
        <w:t>prima facie</w:t>
      </w:r>
      <w:r w:rsidR="004E6935" w:rsidRPr="0010696C">
        <w:rPr>
          <w:lang w:val="en-GB"/>
        </w:rPr>
        <w:t xml:space="preserve"> case</w:t>
      </w:r>
      <w:r w:rsidR="004D0EAB" w:rsidRPr="0010696C">
        <w:rPr>
          <w:lang w:val="en-GB"/>
        </w:rPr>
        <w:t xml:space="preserve"> for challenging the termination of the Tripar</w:t>
      </w:r>
      <w:r w:rsidR="005C010B" w:rsidRPr="0010696C">
        <w:rPr>
          <w:lang w:val="en-GB"/>
        </w:rPr>
        <w:t xml:space="preserve">tite POS Agreement </w:t>
      </w:r>
      <w:r w:rsidR="005C010B" w:rsidRPr="0010696C">
        <w:rPr>
          <w:i/>
          <w:iCs/>
          <w:lang w:val="en-GB"/>
        </w:rPr>
        <w:t xml:space="preserve">and </w:t>
      </w:r>
      <w:r w:rsidR="005C010B" w:rsidRPr="0010696C">
        <w:rPr>
          <w:lang w:val="en-GB"/>
        </w:rPr>
        <w:t xml:space="preserve">the AET Agreement.  Given that </w:t>
      </w:r>
      <w:r w:rsidR="002113AB" w:rsidRPr="0010696C">
        <w:rPr>
          <w:lang w:val="en-GB"/>
        </w:rPr>
        <w:t>no such case can possibly be made in respect of the POS Agreement, it will serve no purpose to grant interdictory relief in respect of the AET Agreement</w:t>
      </w:r>
      <w:r w:rsidR="00D72F86">
        <w:rPr>
          <w:lang w:val="en-GB"/>
        </w:rPr>
        <w:t>s</w:t>
      </w:r>
      <w:r w:rsidR="002113AB" w:rsidRPr="0010696C">
        <w:rPr>
          <w:lang w:val="en-GB"/>
        </w:rPr>
        <w:t xml:space="preserve">. </w:t>
      </w:r>
    </w:p>
    <w:p w14:paraId="6966BEDF" w14:textId="1875587C" w:rsidR="00014ED9" w:rsidRPr="0010696C" w:rsidRDefault="00EA5487" w:rsidP="00E30504">
      <w:pPr>
        <w:pStyle w:val="Level2"/>
        <w:ind w:left="1815" w:hanging="964"/>
        <w:rPr>
          <w:szCs w:val="24"/>
          <w:lang w:val="en-GB"/>
        </w:rPr>
      </w:pPr>
      <w:r w:rsidRPr="0010696C">
        <w:rPr>
          <w:lang w:val="en-GB"/>
        </w:rPr>
        <w:t xml:space="preserve">Secondly, </w:t>
      </w:r>
      <w:r w:rsidR="00880AA4" w:rsidRPr="0010696C">
        <w:rPr>
          <w:lang w:val="en-GB"/>
        </w:rPr>
        <w:t xml:space="preserve">given the </w:t>
      </w:r>
      <w:r w:rsidR="00D20844" w:rsidRPr="0010696C">
        <w:rPr>
          <w:lang w:val="en-GB"/>
        </w:rPr>
        <w:t xml:space="preserve">decision of </w:t>
      </w:r>
      <w:r w:rsidR="00F310B1" w:rsidRPr="0010696C">
        <w:rPr>
          <w:lang w:val="en-GB"/>
        </w:rPr>
        <w:t xml:space="preserve">the SCA </w:t>
      </w:r>
      <w:r w:rsidR="00D20844" w:rsidRPr="0010696C">
        <w:rPr>
          <w:lang w:val="en-GB"/>
        </w:rPr>
        <w:t xml:space="preserve">in </w:t>
      </w:r>
      <w:r w:rsidR="00D20844" w:rsidRPr="0010696C">
        <w:rPr>
          <w:b/>
          <w:bCs/>
          <w:u w:val="single"/>
          <w:lang w:val="en-GB"/>
        </w:rPr>
        <w:t>Bredenkamp</w:t>
      </w:r>
      <w:r w:rsidR="00F310B1" w:rsidRPr="0010696C">
        <w:rPr>
          <w:lang w:val="en-GB"/>
        </w:rPr>
        <w:t>,</w:t>
      </w:r>
      <w:r w:rsidR="00D20844" w:rsidRPr="0010696C">
        <w:rPr>
          <w:lang w:val="en-GB"/>
        </w:rPr>
        <w:t xml:space="preserve"> </w:t>
      </w:r>
      <w:r w:rsidR="00F34B06" w:rsidRPr="0010696C">
        <w:rPr>
          <w:lang w:val="en-GB"/>
        </w:rPr>
        <w:t xml:space="preserve">the </w:t>
      </w:r>
      <w:r w:rsidR="00C83A93" w:rsidRPr="0010696C">
        <w:rPr>
          <w:lang w:val="en-GB"/>
        </w:rPr>
        <w:t>present matter</w:t>
      </w:r>
      <w:r w:rsidR="00F34B06" w:rsidRPr="0010696C">
        <w:rPr>
          <w:lang w:val="en-GB"/>
        </w:rPr>
        <w:t xml:space="preserve"> </w:t>
      </w:r>
      <w:r w:rsidR="00C83A93" w:rsidRPr="0010696C">
        <w:rPr>
          <w:lang w:val="en-GB"/>
        </w:rPr>
        <w:t xml:space="preserve">should have been </w:t>
      </w:r>
      <w:r w:rsidR="00F34B06" w:rsidRPr="0010696C">
        <w:rPr>
          <w:lang w:val="en-GB"/>
        </w:rPr>
        <w:t xml:space="preserve">about how long it will take </w:t>
      </w:r>
      <w:r w:rsidR="00D72F86">
        <w:rPr>
          <w:lang w:val="en-GB"/>
        </w:rPr>
        <w:t xml:space="preserve">to replace the systems operator or sponsor bank. </w:t>
      </w:r>
      <w:r w:rsidR="00CC50C2" w:rsidRPr="0010696C">
        <w:rPr>
          <w:lang w:val="en-GB"/>
        </w:rPr>
        <w:t xml:space="preserve">If credible evidence was presented </w:t>
      </w:r>
      <w:r w:rsidR="0081566E" w:rsidRPr="0010696C">
        <w:rPr>
          <w:lang w:val="en-GB"/>
        </w:rPr>
        <w:t xml:space="preserve">regarding the period needed </w:t>
      </w:r>
      <w:r w:rsidR="00763638">
        <w:rPr>
          <w:lang w:val="en-GB"/>
        </w:rPr>
        <w:t xml:space="preserve">(by such alternative system operator / bank) </w:t>
      </w:r>
      <w:r w:rsidR="0081566E" w:rsidRPr="0010696C">
        <w:rPr>
          <w:lang w:val="en-GB"/>
        </w:rPr>
        <w:t xml:space="preserve">and if the bank (Capitec in the present instance) </w:t>
      </w:r>
      <w:r w:rsidR="0060369D" w:rsidRPr="0010696C">
        <w:rPr>
          <w:lang w:val="en-GB"/>
        </w:rPr>
        <w:t xml:space="preserve">refused to </w:t>
      </w:r>
      <w:r w:rsidR="008D6850" w:rsidRPr="0010696C">
        <w:rPr>
          <w:lang w:val="en-GB"/>
        </w:rPr>
        <w:t xml:space="preserve">accommodate the Applicants then the granting of interim relief may have been indicated. </w:t>
      </w:r>
      <w:r w:rsidR="00683BFF" w:rsidRPr="0010696C">
        <w:rPr>
          <w:lang w:val="en-GB"/>
        </w:rPr>
        <w:t xml:space="preserve"> This was however not the case brought by the Applicants </w:t>
      </w:r>
      <w:r w:rsidR="0056011D" w:rsidRPr="0010696C">
        <w:rPr>
          <w:lang w:val="en-GB"/>
        </w:rPr>
        <w:t xml:space="preserve">and it is </w:t>
      </w:r>
      <w:r w:rsidR="000F64B9" w:rsidRPr="0010696C">
        <w:rPr>
          <w:lang w:val="en-GB"/>
        </w:rPr>
        <w:t>apparent</w:t>
      </w:r>
      <w:r w:rsidR="0056011D" w:rsidRPr="0010696C">
        <w:rPr>
          <w:lang w:val="en-GB"/>
        </w:rPr>
        <w:t xml:space="preserve"> </w:t>
      </w:r>
      <w:r w:rsidR="000F64B9" w:rsidRPr="0010696C">
        <w:rPr>
          <w:lang w:val="en-GB"/>
        </w:rPr>
        <w:t xml:space="preserve">that the </w:t>
      </w:r>
      <w:r w:rsidR="00E40DC6" w:rsidRPr="0010696C">
        <w:rPr>
          <w:lang w:val="en-GB"/>
        </w:rPr>
        <w:t>period</w:t>
      </w:r>
      <w:r w:rsidR="000F64B9" w:rsidRPr="0010696C">
        <w:rPr>
          <w:lang w:val="en-GB"/>
        </w:rPr>
        <w:t xml:space="preserve"> contended for by the Applicants</w:t>
      </w:r>
      <w:r w:rsidR="002248B0" w:rsidRPr="0010696C">
        <w:rPr>
          <w:lang w:val="en-GB"/>
        </w:rPr>
        <w:t xml:space="preserve">, as per the relief sought in the notice </w:t>
      </w:r>
      <w:r w:rsidR="002248B0" w:rsidRPr="0010696C">
        <w:rPr>
          <w:lang w:val="en-GB"/>
        </w:rPr>
        <w:lastRenderedPageBreak/>
        <w:t>of motion,</w:t>
      </w:r>
      <w:r w:rsidR="000F64B9" w:rsidRPr="0010696C">
        <w:rPr>
          <w:lang w:val="en-GB"/>
        </w:rPr>
        <w:t xml:space="preserve"> is far too long and detrimental to the interest of Capitec.</w:t>
      </w:r>
      <w:r w:rsidR="002248B0" w:rsidRPr="0010696C">
        <w:rPr>
          <w:lang w:val="en-GB"/>
        </w:rPr>
        <w:t xml:space="preserve">  </w:t>
      </w:r>
      <w:r w:rsidR="004B431A" w:rsidRPr="0010696C">
        <w:rPr>
          <w:lang w:val="en-GB"/>
        </w:rPr>
        <w:t xml:space="preserve">At the hearing it was suggested that the Applicants are prepared to settle for interim relief pending </w:t>
      </w:r>
      <w:r w:rsidR="00963720" w:rsidRPr="0010696C">
        <w:rPr>
          <w:lang w:val="en-GB"/>
        </w:rPr>
        <w:t>an application for final relief on the</w:t>
      </w:r>
      <w:r w:rsidR="000C5FCA" w:rsidRPr="0010696C">
        <w:rPr>
          <w:lang w:val="en-GB"/>
        </w:rPr>
        <w:t xml:space="preserve"> existing</w:t>
      </w:r>
      <w:r w:rsidR="00963720" w:rsidRPr="0010696C">
        <w:rPr>
          <w:lang w:val="en-GB"/>
        </w:rPr>
        <w:t xml:space="preserve"> papers, duly supplemented.  </w:t>
      </w:r>
      <w:r w:rsidR="00BD0013" w:rsidRPr="0010696C">
        <w:rPr>
          <w:lang w:val="en-GB"/>
        </w:rPr>
        <w:t xml:space="preserve">Given </w:t>
      </w:r>
      <w:r w:rsidR="00104DC8" w:rsidRPr="0010696C">
        <w:rPr>
          <w:lang w:val="en-GB"/>
        </w:rPr>
        <w:t xml:space="preserve">that </w:t>
      </w:r>
      <w:r w:rsidR="00267A4A" w:rsidRPr="0010696C">
        <w:rPr>
          <w:lang w:val="en-GB"/>
        </w:rPr>
        <w:t xml:space="preserve">lack of reasonable notice </w:t>
      </w:r>
      <w:r w:rsidR="00104DC8" w:rsidRPr="0010696C">
        <w:rPr>
          <w:lang w:val="en-GB"/>
        </w:rPr>
        <w:t>was never the Applicants</w:t>
      </w:r>
      <w:r w:rsidR="00F32FD7" w:rsidRPr="0010696C">
        <w:rPr>
          <w:lang w:val="en-GB"/>
        </w:rPr>
        <w:t>’</w:t>
      </w:r>
      <w:r w:rsidR="00104DC8" w:rsidRPr="0010696C">
        <w:rPr>
          <w:lang w:val="en-GB"/>
        </w:rPr>
        <w:t xml:space="preserve"> case, this suggestion cannot save </w:t>
      </w:r>
      <w:r w:rsidR="00267A4A" w:rsidRPr="0010696C">
        <w:rPr>
          <w:lang w:val="en-GB"/>
        </w:rPr>
        <w:t xml:space="preserve">them. </w:t>
      </w:r>
      <w:r w:rsidR="00BD0013" w:rsidRPr="0010696C">
        <w:rPr>
          <w:lang w:val="en-GB"/>
        </w:rPr>
        <w:t xml:space="preserve"> </w:t>
      </w:r>
      <w:r w:rsidR="00104DC8" w:rsidRPr="0010696C">
        <w:rPr>
          <w:lang w:val="en-GB"/>
        </w:rPr>
        <w:t>In any event, o</w:t>
      </w:r>
      <w:r w:rsidR="002248B0" w:rsidRPr="0010696C">
        <w:rPr>
          <w:lang w:val="en-GB"/>
        </w:rPr>
        <w:t xml:space="preserve">ne cannot </w:t>
      </w:r>
      <w:r w:rsidR="00F32FD7" w:rsidRPr="0010696C">
        <w:rPr>
          <w:lang w:val="en-GB"/>
        </w:rPr>
        <w:t>“</w:t>
      </w:r>
      <w:r w:rsidR="002248B0" w:rsidRPr="0010696C">
        <w:rPr>
          <w:i/>
          <w:iCs/>
          <w:lang w:val="en-GB"/>
        </w:rPr>
        <w:t>shoot for the moon</w:t>
      </w:r>
      <w:r w:rsidR="00F32FD7" w:rsidRPr="0010696C">
        <w:rPr>
          <w:lang w:val="en-GB"/>
        </w:rPr>
        <w:t>”</w:t>
      </w:r>
      <w:r w:rsidR="002248B0" w:rsidRPr="0010696C">
        <w:rPr>
          <w:lang w:val="en-GB"/>
        </w:rPr>
        <w:t xml:space="preserve"> in the notice of motion and then, at the hearing, lower the sights to </w:t>
      </w:r>
      <w:r w:rsidR="00A45679" w:rsidRPr="0010696C">
        <w:rPr>
          <w:lang w:val="en-GB"/>
        </w:rPr>
        <w:t>“</w:t>
      </w:r>
      <w:r w:rsidR="002248B0" w:rsidRPr="0010696C">
        <w:rPr>
          <w:i/>
          <w:iCs/>
          <w:lang w:val="en-GB"/>
        </w:rPr>
        <w:t>the tree tops</w:t>
      </w:r>
      <w:r w:rsidR="00A45679" w:rsidRPr="0010696C">
        <w:rPr>
          <w:lang w:val="en-GB"/>
        </w:rPr>
        <w:t>”</w:t>
      </w:r>
      <w:r w:rsidR="002248B0" w:rsidRPr="0010696C">
        <w:rPr>
          <w:lang w:val="en-GB"/>
        </w:rPr>
        <w:t xml:space="preserve">. </w:t>
      </w:r>
    </w:p>
    <w:p w14:paraId="362C5F0F" w14:textId="4746FB09" w:rsidR="00014ED9" w:rsidRPr="0010696C" w:rsidRDefault="00BC5C80" w:rsidP="000F64B9">
      <w:pPr>
        <w:pStyle w:val="Level1"/>
        <w:rPr>
          <w:lang w:val="en-GB"/>
        </w:rPr>
      </w:pPr>
      <w:r w:rsidRPr="0010696C">
        <w:rPr>
          <w:lang w:val="en-GB"/>
        </w:rPr>
        <w:t xml:space="preserve">For all these reasons, the application for interim relief must be dismissed with costs.  In my view the </w:t>
      </w:r>
      <w:r w:rsidR="00561F5C" w:rsidRPr="0010696C">
        <w:rPr>
          <w:lang w:val="en-GB"/>
        </w:rPr>
        <w:t xml:space="preserve">employment of two counsel was justified in respect of the main application but not in respect of the interlocutories.  </w:t>
      </w:r>
    </w:p>
    <w:p w14:paraId="558EFF3B" w14:textId="69488FFB" w:rsidR="00014ED9" w:rsidRPr="0010696C" w:rsidRDefault="00014ED9" w:rsidP="00561F5C">
      <w:pPr>
        <w:pStyle w:val="Heading1"/>
        <w:rPr>
          <w:lang w:val="en-GB"/>
        </w:rPr>
      </w:pPr>
      <w:r w:rsidRPr="0010696C">
        <w:rPr>
          <w:lang w:val="en-GB"/>
        </w:rPr>
        <w:t>Order</w:t>
      </w:r>
    </w:p>
    <w:p w14:paraId="6D181482" w14:textId="30FBFA12" w:rsidR="000F64B9" w:rsidRPr="0010696C" w:rsidRDefault="000F64B9" w:rsidP="000F64B9">
      <w:pPr>
        <w:pStyle w:val="Level1"/>
        <w:rPr>
          <w:lang w:val="en-GB"/>
        </w:rPr>
      </w:pPr>
      <w:r w:rsidRPr="0010696C">
        <w:rPr>
          <w:lang w:val="en-GB"/>
        </w:rPr>
        <w:t>For these reasons, I make the following orders</w:t>
      </w:r>
      <w:r w:rsidR="00561F5C" w:rsidRPr="0010696C">
        <w:rPr>
          <w:lang w:val="en-GB"/>
        </w:rPr>
        <w:t>:</w:t>
      </w:r>
    </w:p>
    <w:p w14:paraId="3B2139FD" w14:textId="16761A60" w:rsidR="000F64B9" w:rsidRPr="0010696C" w:rsidRDefault="000F64B9" w:rsidP="00E30504">
      <w:pPr>
        <w:pStyle w:val="Level2"/>
        <w:ind w:left="1815" w:hanging="964"/>
        <w:rPr>
          <w:lang w:val="en-GB"/>
        </w:rPr>
      </w:pPr>
      <w:r w:rsidRPr="0010696C">
        <w:rPr>
          <w:lang w:val="en-GB"/>
        </w:rPr>
        <w:t>The supporting affidavit filed by the Second Respondent is struck out and the Second Respondent shall pay the costs of the strike-out application</w:t>
      </w:r>
      <w:r w:rsidR="004D06CA" w:rsidRPr="0010696C">
        <w:rPr>
          <w:lang w:val="en-GB"/>
        </w:rPr>
        <w:t>.</w:t>
      </w:r>
    </w:p>
    <w:p w14:paraId="4D35B89D" w14:textId="5A50941B" w:rsidR="001E374F" w:rsidRPr="0010696C" w:rsidRDefault="001E374F" w:rsidP="00E30504">
      <w:pPr>
        <w:pStyle w:val="Level2"/>
        <w:ind w:left="1815" w:hanging="964"/>
        <w:rPr>
          <w:lang w:val="en-GB"/>
        </w:rPr>
      </w:pPr>
      <w:r w:rsidRPr="0010696C">
        <w:rPr>
          <w:lang w:val="en-GB"/>
        </w:rPr>
        <w:t>The First Respondent</w:t>
      </w:r>
      <w:r w:rsidR="00F32FD7" w:rsidRPr="0010696C">
        <w:rPr>
          <w:lang w:val="en-GB"/>
        </w:rPr>
        <w:t>’</w:t>
      </w:r>
      <w:r w:rsidRPr="0010696C">
        <w:rPr>
          <w:lang w:val="en-GB"/>
        </w:rPr>
        <w:t>s application to file a rejoinder affidavit in response to alleged new matter in the Applicants</w:t>
      </w:r>
      <w:r w:rsidR="00F32FD7" w:rsidRPr="0010696C">
        <w:rPr>
          <w:lang w:val="en-GB"/>
        </w:rPr>
        <w:t>’</w:t>
      </w:r>
      <w:r w:rsidRPr="0010696C">
        <w:rPr>
          <w:lang w:val="en-GB"/>
        </w:rPr>
        <w:t xml:space="preserve"> replying affidavit is dismissed with costs.</w:t>
      </w:r>
    </w:p>
    <w:p w14:paraId="29C27269" w14:textId="252E5314" w:rsidR="00C12AAE" w:rsidRPr="0010696C" w:rsidRDefault="00C12AAE" w:rsidP="00E30504">
      <w:pPr>
        <w:pStyle w:val="Level2"/>
        <w:ind w:left="1815" w:hanging="964"/>
        <w:rPr>
          <w:lang w:val="en-GB"/>
        </w:rPr>
      </w:pPr>
      <w:r w:rsidRPr="0010696C">
        <w:rPr>
          <w:lang w:val="en-GB"/>
        </w:rPr>
        <w:t>The Applicants</w:t>
      </w:r>
      <w:r w:rsidR="00F32FD7" w:rsidRPr="0010696C">
        <w:rPr>
          <w:lang w:val="en-GB"/>
        </w:rPr>
        <w:t>’</w:t>
      </w:r>
      <w:r w:rsidRPr="0010696C">
        <w:rPr>
          <w:lang w:val="en-GB"/>
        </w:rPr>
        <w:t xml:space="preserve"> application for the postponement of the matter</w:t>
      </w:r>
      <w:r w:rsidR="000B75D7" w:rsidRPr="0010696C">
        <w:rPr>
          <w:lang w:val="en-GB"/>
        </w:rPr>
        <w:t xml:space="preserve"> coupled with interim-interim relief</w:t>
      </w:r>
      <w:r w:rsidRPr="0010696C">
        <w:rPr>
          <w:lang w:val="en-GB"/>
        </w:rPr>
        <w:t xml:space="preserve"> is dismissed with costs.</w:t>
      </w:r>
    </w:p>
    <w:p w14:paraId="39B070E6" w14:textId="60957DFB" w:rsidR="005C73D9" w:rsidRPr="0010696C" w:rsidRDefault="005C73D9" w:rsidP="00E30504">
      <w:pPr>
        <w:pStyle w:val="Level2"/>
        <w:ind w:left="1815" w:hanging="964"/>
        <w:rPr>
          <w:lang w:val="en-GB"/>
        </w:rPr>
      </w:pPr>
      <w:r w:rsidRPr="0010696C">
        <w:rPr>
          <w:lang w:val="en-GB"/>
        </w:rPr>
        <w:t>The Applicants</w:t>
      </w:r>
      <w:r w:rsidR="00F32FD7" w:rsidRPr="0010696C">
        <w:rPr>
          <w:lang w:val="en-GB"/>
        </w:rPr>
        <w:t>’</w:t>
      </w:r>
      <w:r w:rsidRPr="0010696C">
        <w:rPr>
          <w:lang w:val="en-GB"/>
        </w:rPr>
        <w:t xml:space="preserve"> application for interim relief </w:t>
      </w:r>
      <w:r w:rsidR="00E6546B">
        <w:rPr>
          <w:lang w:val="en-GB"/>
        </w:rPr>
        <w:t xml:space="preserve">(the main application) </w:t>
      </w:r>
      <w:r w:rsidRPr="0010696C">
        <w:rPr>
          <w:lang w:val="en-GB"/>
        </w:rPr>
        <w:t>is dismissed with costs, such costs to include the cost of two counsel.</w:t>
      </w:r>
    </w:p>
    <w:p w14:paraId="4CF622F6" w14:textId="77777777" w:rsidR="00BC0427" w:rsidRDefault="00BC0427" w:rsidP="00BC0427">
      <w:pPr>
        <w:pStyle w:val="Level1"/>
        <w:numPr>
          <w:ilvl w:val="0"/>
          <w:numId w:val="0"/>
        </w:numPr>
        <w:ind w:left="851" w:hanging="851"/>
        <w:rPr>
          <w:szCs w:val="24"/>
          <w:lang w:val="en-GB"/>
        </w:rPr>
      </w:pPr>
    </w:p>
    <w:p w14:paraId="622D5063" w14:textId="77777777" w:rsidR="00DD6563" w:rsidRPr="0010696C" w:rsidRDefault="00DD6563" w:rsidP="00BC0427">
      <w:pPr>
        <w:pStyle w:val="Level1"/>
        <w:numPr>
          <w:ilvl w:val="0"/>
          <w:numId w:val="0"/>
        </w:numPr>
        <w:ind w:left="851" w:hanging="851"/>
        <w:rPr>
          <w:szCs w:val="24"/>
          <w:lang w:val="en-GB"/>
        </w:rPr>
      </w:pPr>
    </w:p>
    <w:p w14:paraId="721B0F63" w14:textId="77777777" w:rsidR="00546ACF" w:rsidRPr="0010696C" w:rsidRDefault="00546ACF" w:rsidP="00BC0427">
      <w:pPr>
        <w:spacing w:after="360" w:line="360" w:lineRule="auto"/>
        <w:jc w:val="left"/>
        <w:rPr>
          <w:rFonts w:ascii="Times New Roman" w:hAnsi="Times New Roman"/>
          <w:kern w:val="2"/>
          <w:szCs w:val="24"/>
          <w:lang w:val="en-GB"/>
          <w14:ligatures w14:val="standardContextual"/>
        </w:rPr>
      </w:pPr>
    </w:p>
    <w:p w14:paraId="361327E6" w14:textId="77777777" w:rsidR="00546ACF" w:rsidRPr="0010696C" w:rsidRDefault="00546ACF" w:rsidP="00546ACF">
      <w:pPr>
        <w:pStyle w:val="NormalWeb"/>
        <w:shd w:val="clear" w:color="auto" w:fill="FFFFFF"/>
        <w:spacing w:before="0" w:beforeAutospacing="0" w:after="0" w:afterAutospacing="0" w:line="360" w:lineRule="auto"/>
        <w:jc w:val="right"/>
        <w:rPr>
          <w:b/>
          <w:bCs/>
          <w:color w:val="242121"/>
          <w:lang w:val="en-GB"/>
        </w:rPr>
      </w:pPr>
      <w:r w:rsidRPr="0010696C">
        <w:rPr>
          <w:b/>
          <w:bCs/>
          <w:color w:val="242121"/>
          <w:lang w:val="en-GB"/>
        </w:rPr>
        <w:t>H J DE WAAL AJ</w:t>
      </w:r>
    </w:p>
    <w:p w14:paraId="17EE85FD" w14:textId="77777777" w:rsidR="00546ACF" w:rsidRPr="0010696C" w:rsidRDefault="00546ACF" w:rsidP="00546ACF">
      <w:pPr>
        <w:pStyle w:val="NormalWeb"/>
        <w:shd w:val="clear" w:color="auto" w:fill="FFFFFF"/>
        <w:spacing w:before="0" w:beforeAutospacing="0" w:after="0" w:afterAutospacing="0" w:line="360" w:lineRule="auto"/>
        <w:jc w:val="right"/>
        <w:rPr>
          <w:color w:val="242121"/>
          <w:lang w:val="en-GB"/>
        </w:rPr>
      </w:pPr>
      <w:r w:rsidRPr="0010696C">
        <w:rPr>
          <w:b/>
          <w:bCs/>
          <w:color w:val="242121"/>
          <w:lang w:val="en-GB"/>
        </w:rPr>
        <w:t>Acting Judge of the High Court</w:t>
      </w:r>
    </w:p>
    <w:p w14:paraId="3496EFD0" w14:textId="77777777" w:rsidR="00546ACF" w:rsidRPr="0010696C" w:rsidRDefault="00546ACF" w:rsidP="00546ACF">
      <w:pPr>
        <w:pStyle w:val="NormalWeb"/>
        <w:shd w:val="clear" w:color="auto" w:fill="FFFFFF"/>
        <w:spacing w:before="0" w:beforeAutospacing="0" w:after="0" w:afterAutospacing="0" w:line="360" w:lineRule="auto"/>
        <w:jc w:val="right"/>
        <w:rPr>
          <w:color w:val="242121"/>
          <w:lang w:val="en-GB"/>
        </w:rPr>
      </w:pPr>
      <w:r w:rsidRPr="0010696C">
        <w:rPr>
          <w:color w:val="242121"/>
          <w:lang w:val="en-GB"/>
        </w:rPr>
        <w:t>Cape Town</w:t>
      </w:r>
    </w:p>
    <w:p w14:paraId="1D7ABB2F" w14:textId="71084897" w:rsidR="00546ACF" w:rsidRPr="0010696C" w:rsidRDefault="00E6546B" w:rsidP="00546ACF">
      <w:pPr>
        <w:pStyle w:val="NormalWeb"/>
        <w:shd w:val="clear" w:color="auto" w:fill="FFFFFF"/>
        <w:spacing w:before="0" w:beforeAutospacing="0" w:after="0" w:afterAutospacing="0" w:line="360" w:lineRule="auto"/>
        <w:jc w:val="right"/>
        <w:rPr>
          <w:color w:val="242121"/>
          <w:lang w:val="en-GB"/>
        </w:rPr>
      </w:pPr>
      <w:r>
        <w:rPr>
          <w:color w:val="242121"/>
          <w:lang w:val="en-GB"/>
        </w:rPr>
        <w:t>3</w:t>
      </w:r>
      <w:r w:rsidR="00F32D4C" w:rsidRPr="0010696C">
        <w:rPr>
          <w:color w:val="242121"/>
          <w:lang w:val="en-GB"/>
        </w:rPr>
        <w:t>1 </w:t>
      </w:r>
      <w:r w:rsidR="00546ACF" w:rsidRPr="0010696C">
        <w:rPr>
          <w:color w:val="242121"/>
          <w:lang w:val="en-GB"/>
        </w:rPr>
        <w:t>December 2023</w:t>
      </w:r>
      <w:r w:rsidR="00546ACF" w:rsidRPr="0010696C">
        <w:rPr>
          <w:color w:val="242121"/>
          <w:lang w:val="en-GB"/>
        </w:rPr>
        <w:br w:type="page"/>
      </w:r>
    </w:p>
    <w:p w14:paraId="086BAB88" w14:textId="77777777" w:rsidR="00546ACF" w:rsidRPr="0010696C" w:rsidRDefault="00546ACF" w:rsidP="00546ACF">
      <w:pPr>
        <w:pStyle w:val="NormalWeb"/>
        <w:shd w:val="clear" w:color="auto" w:fill="FFFFFF"/>
        <w:spacing w:before="480" w:beforeAutospacing="0" w:after="480" w:afterAutospacing="0" w:line="360" w:lineRule="auto"/>
        <w:jc w:val="center"/>
        <w:rPr>
          <w:b/>
          <w:bCs/>
          <w:color w:val="242121"/>
          <w:u w:val="single"/>
          <w:lang w:val="en-GB"/>
        </w:rPr>
      </w:pPr>
      <w:r w:rsidRPr="0010696C">
        <w:rPr>
          <w:b/>
          <w:bCs/>
          <w:color w:val="242121"/>
          <w:u w:val="single"/>
          <w:lang w:val="en-GB"/>
        </w:rPr>
        <w:lastRenderedPageBreak/>
        <w:t>APPEARANCES</w:t>
      </w:r>
    </w:p>
    <w:p w14:paraId="25A02F63" w14:textId="350DE88F" w:rsidR="00546ACF" w:rsidRPr="0010696C" w:rsidRDefault="00546ACF" w:rsidP="00546ACF">
      <w:pPr>
        <w:pStyle w:val="NormalWeb"/>
        <w:shd w:val="clear" w:color="auto" w:fill="FFFFFF"/>
        <w:spacing w:before="0" w:beforeAutospacing="0" w:after="360" w:afterAutospacing="0" w:line="360" w:lineRule="auto"/>
        <w:contextualSpacing/>
        <w:rPr>
          <w:color w:val="242121"/>
          <w:lang w:val="en-GB"/>
        </w:rPr>
      </w:pPr>
      <w:r w:rsidRPr="0010696C">
        <w:rPr>
          <w:b/>
          <w:bCs/>
          <w:color w:val="242121"/>
          <w:lang w:val="en-GB"/>
        </w:rPr>
        <w:t>Applicants</w:t>
      </w:r>
      <w:r w:rsidR="00F32FD7" w:rsidRPr="0010696C">
        <w:rPr>
          <w:b/>
          <w:bCs/>
          <w:color w:val="242121"/>
          <w:lang w:val="en-GB"/>
        </w:rPr>
        <w:t>’</w:t>
      </w:r>
      <w:r w:rsidRPr="0010696C">
        <w:rPr>
          <w:b/>
          <w:bCs/>
          <w:color w:val="242121"/>
          <w:lang w:val="en-GB"/>
        </w:rPr>
        <w:t xml:space="preserve"> counsel: </w:t>
      </w:r>
      <w:r w:rsidR="009E6FB4" w:rsidRPr="00E6546B">
        <w:rPr>
          <w:color w:val="242121"/>
          <w:lang w:val="en-GB"/>
        </w:rPr>
        <w:t xml:space="preserve">P </w:t>
      </w:r>
      <w:r w:rsidR="00CA2837" w:rsidRPr="0010696C">
        <w:rPr>
          <w:lang w:val="en-GB"/>
        </w:rPr>
        <w:t xml:space="preserve">Louw SC and </w:t>
      </w:r>
      <w:r w:rsidR="009E6FB4">
        <w:rPr>
          <w:lang w:val="en-GB"/>
        </w:rPr>
        <w:t>R</w:t>
      </w:r>
      <w:r w:rsidR="00CA2837" w:rsidRPr="0010696C">
        <w:rPr>
          <w:lang w:val="en-GB"/>
        </w:rPr>
        <w:t> </w:t>
      </w:r>
      <w:r w:rsidR="00762A91">
        <w:rPr>
          <w:lang w:val="en-GB"/>
        </w:rPr>
        <w:t>v</w:t>
      </w:r>
      <w:r w:rsidR="00CA2837" w:rsidRPr="0010696C">
        <w:rPr>
          <w:lang w:val="en-GB"/>
        </w:rPr>
        <w:t>an Rooyen SC</w:t>
      </w:r>
    </w:p>
    <w:p w14:paraId="0D46BE89" w14:textId="4CE34207" w:rsidR="00546ACF" w:rsidRPr="0010696C" w:rsidRDefault="00546ACF" w:rsidP="00546ACF">
      <w:pPr>
        <w:pStyle w:val="NormalWeb"/>
        <w:shd w:val="clear" w:color="auto" w:fill="FFFFFF"/>
        <w:spacing w:before="0" w:beforeAutospacing="0" w:after="360" w:afterAutospacing="0" w:line="360" w:lineRule="auto"/>
        <w:rPr>
          <w:color w:val="242121"/>
          <w:lang w:val="en-GB"/>
        </w:rPr>
      </w:pPr>
      <w:r w:rsidRPr="0010696C">
        <w:rPr>
          <w:b/>
          <w:bCs/>
          <w:color w:val="242121"/>
          <w:lang w:val="en-GB"/>
        </w:rPr>
        <w:t>Applicants</w:t>
      </w:r>
      <w:r w:rsidR="00F32FD7" w:rsidRPr="0010696C">
        <w:rPr>
          <w:b/>
          <w:bCs/>
          <w:color w:val="242121"/>
          <w:lang w:val="en-GB"/>
        </w:rPr>
        <w:t>’</w:t>
      </w:r>
      <w:r w:rsidRPr="0010696C">
        <w:rPr>
          <w:b/>
          <w:bCs/>
          <w:color w:val="242121"/>
          <w:lang w:val="en-GB"/>
        </w:rPr>
        <w:t xml:space="preserve"> attorneys:  </w:t>
      </w:r>
      <w:r w:rsidR="00CA2837" w:rsidRPr="0010696C">
        <w:rPr>
          <w:spacing w:val="-3"/>
          <w:lang w:val="en-GB"/>
        </w:rPr>
        <w:t>Coombe Commercial Attorneys Inc.</w:t>
      </w:r>
    </w:p>
    <w:p w14:paraId="6E0851E0" w14:textId="4FA3FACC" w:rsidR="00546ACF" w:rsidRPr="0010696C" w:rsidRDefault="00546ACF" w:rsidP="00546ACF">
      <w:pPr>
        <w:pStyle w:val="NormalWeb"/>
        <w:shd w:val="clear" w:color="auto" w:fill="FFFFFF"/>
        <w:spacing w:before="0" w:beforeAutospacing="0" w:after="360" w:afterAutospacing="0" w:line="360" w:lineRule="auto"/>
        <w:contextualSpacing/>
        <w:rPr>
          <w:color w:val="242121"/>
          <w:lang w:val="en-GB"/>
        </w:rPr>
      </w:pPr>
      <w:r w:rsidRPr="0010696C">
        <w:rPr>
          <w:b/>
          <w:bCs/>
          <w:color w:val="242121"/>
          <w:lang w:val="en-GB"/>
        </w:rPr>
        <w:t xml:space="preserve">First Respondent counsel:  </w:t>
      </w:r>
      <w:r w:rsidR="009E6FB4">
        <w:rPr>
          <w:lang w:val="en-GB"/>
        </w:rPr>
        <w:t xml:space="preserve">A </w:t>
      </w:r>
      <w:r w:rsidR="00CA2837" w:rsidRPr="0010696C">
        <w:rPr>
          <w:lang w:val="en-GB"/>
        </w:rPr>
        <w:t>Cockrell SC and</w:t>
      </w:r>
      <w:r w:rsidR="009E6FB4">
        <w:rPr>
          <w:lang w:val="en-GB"/>
        </w:rPr>
        <w:t xml:space="preserve"> K </w:t>
      </w:r>
      <w:r w:rsidR="00CA2837" w:rsidRPr="0010696C">
        <w:rPr>
          <w:lang w:val="en-GB"/>
        </w:rPr>
        <w:t>Saller</w:t>
      </w:r>
    </w:p>
    <w:p w14:paraId="503A02D9" w14:textId="64271941" w:rsidR="00546ACF" w:rsidRPr="0010696C" w:rsidRDefault="00546ACF" w:rsidP="00546ACF">
      <w:pPr>
        <w:pStyle w:val="NormalWeb"/>
        <w:shd w:val="clear" w:color="auto" w:fill="FFFFFF"/>
        <w:spacing w:before="0" w:beforeAutospacing="0" w:after="360" w:afterAutospacing="0" w:line="360" w:lineRule="auto"/>
        <w:rPr>
          <w:color w:val="242121"/>
          <w:lang w:val="en-GB"/>
        </w:rPr>
      </w:pPr>
      <w:r w:rsidRPr="0010696C">
        <w:rPr>
          <w:b/>
          <w:bCs/>
          <w:color w:val="242121"/>
          <w:lang w:val="en-GB"/>
        </w:rPr>
        <w:t>First Respondent</w:t>
      </w:r>
      <w:r w:rsidR="00F32FD7" w:rsidRPr="0010696C">
        <w:rPr>
          <w:b/>
          <w:bCs/>
          <w:color w:val="242121"/>
          <w:lang w:val="en-GB"/>
        </w:rPr>
        <w:t>’</w:t>
      </w:r>
      <w:r w:rsidRPr="0010696C">
        <w:rPr>
          <w:b/>
          <w:bCs/>
          <w:color w:val="242121"/>
          <w:lang w:val="en-GB"/>
        </w:rPr>
        <w:t>s attorneys:</w:t>
      </w:r>
      <w:r w:rsidR="00F32D4C" w:rsidRPr="0010696C">
        <w:rPr>
          <w:b/>
          <w:bCs/>
          <w:color w:val="242121"/>
          <w:lang w:val="en-GB"/>
        </w:rPr>
        <w:t xml:space="preserve">  </w:t>
      </w:r>
      <w:r w:rsidR="00CA2837" w:rsidRPr="0010696C">
        <w:rPr>
          <w:lang w:val="en-GB"/>
        </w:rPr>
        <w:t>VanderSpuy Cape Town</w:t>
      </w:r>
    </w:p>
    <w:p w14:paraId="5485DF27" w14:textId="74114CEE" w:rsidR="00546ACF" w:rsidRPr="0010696C" w:rsidRDefault="00546ACF" w:rsidP="00546ACF">
      <w:pPr>
        <w:pStyle w:val="NormalWeb"/>
        <w:shd w:val="clear" w:color="auto" w:fill="FFFFFF"/>
        <w:spacing w:before="0" w:beforeAutospacing="0" w:after="360" w:afterAutospacing="0" w:line="360" w:lineRule="auto"/>
        <w:contextualSpacing/>
        <w:rPr>
          <w:color w:val="242121"/>
          <w:lang w:val="en-GB"/>
        </w:rPr>
      </w:pPr>
      <w:r w:rsidRPr="0010696C">
        <w:rPr>
          <w:b/>
          <w:bCs/>
          <w:color w:val="242121"/>
          <w:lang w:val="en-GB"/>
        </w:rPr>
        <w:t>Second Respondent</w:t>
      </w:r>
      <w:r w:rsidR="00F32FD7" w:rsidRPr="0010696C">
        <w:rPr>
          <w:b/>
          <w:bCs/>
          <w:color w:val="242121"/>
          <w:lang w:val="en-GB"/>
        </w:rPr>
        <w:t>’</w:t>
      </w:r>
      <w:r w:rsidRPr="0010696C">
        <w:rPr>
          <w:b/>
          <w:bCs/>
          <w:color w:val="242121"/>
          <w:lang w:val="en-GB"/>
        </w:rPr>
        <w:t xml:space="preserve">s counsel: </w:t>
      </w:r>
      <w:r w:rsidR="00F32D4C" w:rsidRPr="0010696C">
        <w:rPr>
          <w:b/>
          <w:bCs/>
          <w:color w:val="242121"/>
          <w:lang w:val="en-GB"/>
        </w:rPr>
        <w:t xml:space="preserve"> </w:t>
      </w:r>
      <w:r w:rsidR="00CA2837" w:rsidRPr="0010696C">
        <w:rPr>
          <w:lang w:val="en-GB"/>
        </w:rPr>
        <w:t>S</w:t>
      </w:r>
      <w:r w:rsidR="00D80A66">
        <w:rPr>
          <w:lang w:val="en-GB"/>
        </w:rPr>
        <w:t xml:space="preserve"> </w:t>
      </w:r>
      <w:r w:rsidR="00CA2837" w:rsidRPr="0010696C">
        <w:rPr>
          <w:lang w:val="en-GB"/>
        </w:rPr>
        <w:t>Gouws and M Jacobs</w:t>
      </w:r>
    </w:p>
    <w:p w14:paraId="2ECEAFB0" w14:textId="119BDC02" w:rsidR="00546ACF" w:rsidRPr="0010696C" w:rsidRDefault="00546ACF" w:rsidP="00546ACF">
      <w:pPr>
        <w:pStyle w:val="NormalWeb"/>
        <w:shd w:val="clear" w:color="auto" w:fill="FFFFFF"/>
        <w:spacing w:before="0" w:beforeAutospacing="0" w:after="360" w:afterAutospacing="0" w:line="360" w:lineRule="auto"/>
        <w:rPr>
          <w:color w:val="242121"/>
          <w:lang w:val="en-GB"/>
        </w:rPr>
      </w:pPr>
      <w:r w:rsidRPr="0010696C">
        <w:rPr>
          <w:b/>
          <w:bCs/>
          <w:color w:val="242121"/>
          <w:lang w:val="en-GB"/>
        </w:rPr>
        <w:t>Second Respondent</w:t>
      </w:r>
      <w:r w:rsidR="00F32FD7" w:rsidRPr="0010696C">
        <w:rPr>
          <w:b/>
          <w:bCs/>
          <w:color w:val="242121"/>
          <w:lang w:val="en-GB"/>
        </w:rPr>
        <w:t>’</w:t>
      </w:r>
      <w:r w:rsidRPr="0010696C">
        <w:rPr>
          <w:b/>
          <w:bCs/>
          <w:color w:val="242121"/>
          <w:lang w:val="en-GB"/>
        </w:rPr>
        <w:t xml:space="preserve">s attorneys:  </w:t>
      </w:r>
      <w:r w:rsidR="00CA2837" w:rsidRPr="0010696C">
        <w:rPr>
          <w:spacing w:val="-3"/>
          <w:lang w:val="en-GB"/>
        </w:rPr>
        <w:t>Willemse Potgieter &amp; Babinszky Inc.</w:t>
      </w:r>
    </w:p>
    <w:sectPr w:rsidR="00546ACF" w:rsidRPr="0010696C" w:rsidSect="00951623">
      <w:head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9899" w14:textId="77777777" w:rsidR="007E0DAB" w:rsidRDefault="007E0DAB" w:rsidP="0093511D">
      <w:r>
        <w:separator/>
      </w:r>
    </w:p>
  </w:endnote>
  <w:endnote w:type="continuationSeparator" w:id="0">
    <w:p w14:paraId="6ECAF8BE" w14:textId="77777777" w:rsidR="007E0DAB" w:rsidRDefault="007E0DAB" w:rsidP="0093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605D" w14:textId="556B4C07" w:rsidR="00B73A0D" w:rsidRDefault="00B73A0D" w:rsidP="009351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B90C" w14:textId="77777777" w:rsidR="007E0DAB" w:rsidRDefault="007E0DAB" w:rsidP="0093511D">
      <w:r>
        <w:separator/>
      </w:r>
    </w:p>
  </w:footnote>
  <w:footnote w:type="continuationSeparator" w:id="0">
    <w:p w14:paraId="2FF93E0D" w14:textId="77777777" w:rsidR="007E0DAB" w:rsidRDefault="007E0DAB" w:rsidP="0093511D">
      <w:r>
        <w:continuationSeparator/>
      </w:r>
    </w:p>
  </w:footnote>
  <w:footnote w:id="1">
    <w:p w14:paraId="16C1EAFF" w14:textId="77777777" w:rsidR="00600800" w:rsidRPr="0010696C" w:rsidRDefault="00600800">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In terms of s 1 of the NPS Act:</w:t>
      </w:r>
    </w:p>
    <w:p w14:paraId="6C5611C9" w14:textId="4D20715F" w:rsidR="00600800" w:rsidRPr="0010696C" w:rsidRDefault="00F32FD7" w:rsidP="004D06CA">
      <w:pPr>
        <w:pStyle w:val="FootnoteText"/>
        <w:numPr>
          <w:ilvl w:val="0"/>
          <w:numId w:val="11"/>
        </w:numPr>
        <w:rPr>
          <w:rFonts w:ascii="Times New Roman" w:hAnsi="Times New Roman"/>
          <w:lang w:val="en-GB"/>
        </w:rPr>
      </w:pPr>
      <w:r w:rsidRPr="0010696C">
        <w:rPr>
          <w:rFonts w:ascii="Times New Roman" w:hAnsi="Times New Roman"/>
          <w:lang w:val="en-GB"/>
        </w:rPr>
        <w:t>‘</w:t>
      </w:r>
      <w:r w:rsidR="00600800" w:rsidRPr="0010696C">
        <w:rPr>
          <w:rFonts w:ascii="Times New Roman" w:hAnsi="Times New Roman"/>
          <w:lang w:val="en-GB"/>
        </w:rPr>
        <w:t>bank</w:t>
      </w:r>
      <w:r w:rsidRPr="0010696C">
        <w:rPr>
          <w:rFonts w:ascii="Times New Roman" w:hAnsi="Times New Roman"/>
          <w:lang w:val="en-GB"/>
        </w:rPr>
        <w:t>’</w:t>
      </w:r>
      <w:r w:rsidR="00600800" w:rsidRPr="0010696C">
        <w:rPr>
          <w:rFonts w:ascii="Times New Roman" w:hAnsi="Times New Roman"/>
          <w:lang w:val="en-GB"/>
        </w:rPr>
        <w:t xml:space="preserve"> means a bank as defined in section 1 of the Banks Act;</w:t>
      </w:r>
      <w:r w:rsidR="001516F8" w:rsidRPr="0010696C">
        <w:rPr>
          <w:rFonts w:ascii="Times New Roman" w:hAnsi="Times New Roman"/>
          <w:lang w:val="en-GB"/>
        </w:rPr>
        <w:t xml:space="preserve"> and </w:t>
      </w:r>
    </w:p>
    <w:p w14:paraId="2AC187BE" w14:textId="03083F17" w:rsidR="007476E1" w:rsidRPr="0010696C" w:rsidRDefault="00F32FD7" w:rsidP="004D06CA">
      <w:pPr>
        <w:pStyle w:val="FootnoteText"/>
        <w:numPr>
          <w:ilvl w:val="0"/>
          <w:numId w:val="11"/>
        </w:numPr>
        <w:rPr>
          <w:rFonts w:ascii="Times New Roman" w:hAnsi="Times New Roman"/>
          <w:lang w:val="en-GB"/>
        </w:rPr>
      </w:pPr>
      <w:r w:rsidRPr="0010696C">
        <w:rPr>
          <w:rFonts w:ascii="Times New Roman" w:hAnsi="Times New Roman"/>
          <w:lang w:val="en-GB"/>
        </w:rPr>
        <w:t>‘</w:t>
      </w:r>
      <w:r w:rsidR="007476E1" w:rsidRPr="0010696C">
        <w:rPr>
          <w:rFonts w:ascii="Times New Roman" w:hAnsi="Times New Roman"/>
          <w:lang w:val="en-GB"/>
        </w:rPr>
        <w:t>system operator</w:t>
      </w:r>
      <w:r w:rsidRPr="0010696C">
        <w:rPr>
          <w:rFonts w:ascii="Times New Roman" w:hAnsi="Times New Roman"/>
          <w:lang w:val="en-GB"/>
        </w:rPr>
        <w:t>’</w:t>
      </w:r>
      <w:r w:rsidR="007476E1" w:rsidRPr="0010696C">
        <w:rPr>
          <w:rFonts w:ascii="Times New Roman" w:hAnsi="Times New Roman"/>
          <w:lang w:val="en-GB"/>
        </w:rPr>
        <w:t xml:space="preserve"> means a person, other than a designated settlement system operator, authorised in terms of section 4 (2) (c) to provide services to any two or more persons in respect of payment instructions</w:t>
      </w:r>
      <w:r w:rsidR="001516F8" w:rsidRPr="0010696C">
        <w:rPr>
          <w:rFonts w:ascii="Times New Roman" w:hAnsi="Times New Roman"/>
          <w:lang w:val="en-GB"/>
        </w:rPr>
        <w:t>.</w:t>
      </w:r>
    </w:p>
  </w:footnote>
  <w:footnote w:id="2">
    <w:p w14:paraId="76287BFE" w14:textId="4CBFEAAB" w:rsidR="007B4E5E" w:rsidRPr="0010696C" w:rsidRDefault="007B4E5E">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008D6AB4" w:rsidRPr="0010696C">
        <w:rPr>
          <w:rFonts w:ascii="Times New Roman" w:hAnsi="Times New Roman"/>
          <w:lang w:val="en-GB"/>
        </w:rPr>
        <w:t xml:space="preserve">Defined in s1 of the </w:t>
      </w:r>
      <w:r w:rsidR="00CD3E1B" w:rsidRPr="0010696C">
        <w:rPr>
          <w:rFonts w:ascii="Times New Roman" w:hAnsi="Times New Roman"/>
          <w:lang w:val="en-GB"/>
        </w:rPr>
        <w:t xml:space="preserve">NPS Act as </w:t>
      </w:r>
      <w:r w:rsidR="00F32FD7" w:rsidRPr="0010696C">
        <w:rPr>
          <w:rFonts w:ascii="Times New Roman" w:hAnsi="Times New Roman"/>
          <w:lang w:val="en-GB"/>
        </w:rPr>
        <w:t>“</w:t>
      </w:r>
      <w:r w:rsidR="00CD3E1B" w:rsidRPr="0010696C">
        <w:rPr>
          <w:rFonts w:ascii="Times New Roman" w:hAnsi="Times New Roman"/>
          <w:i/>
          <w:iCs/>
          <w:lang w:val="en-GB"/>
        </w:rPr>
        <w:t>the exchange of payment instructions</w:t>
      </w:r>
      <w:r w:rsidR="00F32FD7" w:rsidRPr="0010696C">
        <w:rPr>
          <w:rFonts w:ascii="Times New Roman" w:hAnsi="Times New Roman"/>
          <w:lang w:val="en-GB"/>
        </w:rPr>
        <w:t>”</w:t>
      </w:r>
      <w:r w:rsidR="00CD3E1B" w:rsidRPr="0010696C">
        <w:rPr>
          <w:rFonts w:ascii="Times New Roman" w:hAnsi="Times New Roman"/>
          <w:lang w:val="en-GB"/>
        </w:rPr>
        <w:t>.</w:t>
      </w:r>
    </w:p>
  </w:footnote>
  <w:footnote w:id="3">
    <w:p w14:paraId="48ED96E8" w14:textId="5033F26D" w:rsidR="000C6F39" w:rsidRPr="0010696C" w:rsidRDefault="000C6F39">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Defined in s1 of the NPS Act as</w:t>
      </w:r>
      <w:r w:rsidR="007B2F4E" w:rsidRPr="0010696C">
        <w:rPr>
          <w:rFonts w:ascii="Times New Roman" w:hAnsi="Times New Roman"/>
          <w:lang w:val="en-GB"/>
        </w:rPr>
        <w:t xml:space="preserve"> </w:t>
      </w:r>
      <w:r w:rsidR="00F32FD7" w:rsidRPr="0010696C">
        <w:rPr>
          <w:rFonts w:ascii="Times New Roman" w:hAnsi="Times New Roman"/>
          <w:lang w:val="en-GB"/>
        </w:rPr>
        <w:t>“</w:t>
      </w:r>
      <w:r w:rsidR="007B2F4E" w:rsidRPr="0010696C">
        <w:rPr>
          <w:rFonts w:ascii="Times New Roman" w:hAnsi="Times New Roman"/>
          <w:i/>
          <w:iCs/>
          <w:lang w:val="en-GB"/>
        </w:rPr>
        <w:t>the discharge of settlement obligations</w:t>
      </w:r>
      <w:r w:rsidR="00F32FD7" w:rsidRPr="0010696C">
        <w:rPr>
          <w:rFonts w:ascii="Times New Roman" w:hAnsi="Times New Roman"/>
          <w:lang w:val="en-GB"/>
        </w:rPr>
        <w:t>”</w:t>
      </w:r>
      <w:r w:rsidR="007B2F4E" w:rsidRPr="0010696C">
        <w:rPr>
          <w:rFonts w:ascii="Times New Roman" w:hAnsi="Times New Roman"/>
          <w:lang w:val="en-GB"/>
        </w:rPr>
        <w:t>.</w:t>
      </w:r>
    </w:p>
  </w:footnote>
  <w:footnote w:id="4">
    <w:p w14:paraId="1640C72D" w14:textId="61DE07ED" w:rsidR="00F82D03" w:rsidRPr="0010696C" w:rsidRDefault="00F539C9" w:rsidP="00F32FD7">
      <w:pPr>
        <w:pStyle w:val="FootnoteText"/>
        <w:spacing w:after="120"/>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bookmarkStart w:id="0" w:name="_Hlk152684642"/>
      <w:r w:rsidRPr="0010696C">
        <w:rPr>
          <w:rFonts w:ascii="Times New Roman" w:hAnsi="Times New Roman"/>
          <w:b/>
          <w:u w:val="single"/>
          <w:lang w:val="en-GB"/>
        </w:rPr>
        <w:t>Webster v Mitchell</w:t>
      </w:r>
      <w:r w:rsidRPr="0010696C">
        <w:rPr>
          <w:rFonts w:ascii="Times New Roman" w:hAnsi="Times New Roman"/>
          <w:lang w:val="en-GB"/>
        </w:rPr>
        <w:t xml:space="preserve"> 1948 (1) SA 1186 (W) at 1189 read with </w:t>
      </w:r>
      <w:r w:rsidRPr="0010696C">
        <w:rPr>
          <w:rFonts w:ascii="Times New Roman" w:hAnsi="Times New Roman"/>
          <w:b/>
          <w:u w:val="single"/>
          <w:lang w:val="en-GB"/>
        </w:rPr>
        <w:t>Gool v Minister of Justice</w:t>
      </w:r>
      <w:r w:rsidRPr="0010696C">
        <w:rPr>
          <w:rFonts w:ascii="Times New Roman" w:hAnsi="Times New Roman"/>
          <w:lang w:val="en-GB"/>
        </w:rPr>
        <w:t xml:space="preserve"> 1955 (2) SA 682 (C) at 688</w:t>
      </w:r>
      <w:bookmarkEnd w:id="0"/>
      <w:r w:rsidR="00CE01E6" w:rsidRPr="0010696C">
        <w:rPr>
          <w:rFonts w:ascii="Times New Roman" w:hAnsi="Times New Roman"/>
          <w:lang w:val="en-GB"/>
        </w:rPr>
        <w:t>.</w:t>
      </w:r>
      <w:r w:rsidR="00F82D03" w:rsidRPr="0010696C">
        <w:rPr>
          <w:rFonts w:ascii="Times New Roman" w:hAnsi="Times New Roman"/>
          <w:lang w:val="en-GB"/>
        </w:rPr>
        <w:t xml:space="preserve"> where the Court stated the following regarding </w:t>
      </w:r>
      <w:r w:rsidR="00F82D03" w:rsidRPr="0010696C">
        <w:rPr>
          <w:rFonts w:ascii="Times New Roman" w:hAnsi="Times New Roman"/>
          <w:b/>
          <w:bCs/>
          <w:u w:val="single"/>
          <w:lang w:val="en-GB"/>
        </w:rPr>
        <w:t>Webster</w:t>
      </w:r>
      <w:r w:rsidR="00F82D03" w:rsidRPr="0010696C">
        <w:rPr>
          <w:rFonts w:ascii="Times New Roman" w:hAnsi="Times New Roman"/>
          <w:lang w:val="en-GB"/>
        </w:rPr>
        <w:t>:</w:t>
      </w:r>
    </w:p>
    <w:p w14:paraId="40EED0A7" w14:textId="1DE30CFB" w:rsidR="00D93717" w:rsidRPr="0010696C" w:rsidRDefault="00F32FD7" w:rsidP="00F32FD7">
      <w:pPr>
        <w:pStyle w:val="FootnoteText"/>
        <w:spacing w:after="120"/>
        <w:ind w:left="720"/>
        <w:rPr>
          <w:rFonts w:ascii="Times New Roman" w:hAnsi="Times New Roman"/>
          <w:lang w:val="en-GB"/>
        </w:rPr>
      </w:pPr>
      <w:r w:rsidRPr="0010696C">
        <w:rPr>
          <w:rFonts w:ascii="Times New Roman" w:hAnsi="Times New Roman"/>
          <w:lang w:val="en-GB"/>
        </w:rPr>
        <w:t>“</w:t>
      </w:r>
      <w:r w:rsidR="00F82D03" w:rsidRPr="0010696C">
        <w:rPr>
          <w:rFonts w:ascii="Times New Roman" w:hAnsi="Times New Roman"/>
          <w:lang w:val="en-GB"/>
        </w:rPr>
        <w:t>With the greatest respect, I am of opinion that the criterion prescribed in this statement for the first branch of the inquiry thus outlined is somewhat too favourably expressed towards the applicant for an interdict. In my view the criterion on an applicant</w:t>
      </w:r>
      <w:r w:rsidRPr="0010696C">
        <w:rPr>
          <w:rFonts w:ascii="Times New Roman" w:hAnsi="Times New Roman"/>
          <w:lang w:val="en-GB"/>
        </w:rPr>
        <w:t>’</w:t>
      </w:r>
      <w:r w:rsidR="00F82D03" w:rsidRPr="0010696C">
        <w:rPr>
          <w:rFonts w:ascii="Times New Roman" w:hAnsi="Times New Roman"/>
          <w:lang w:val="en-GB"/>
        </w:rPr>
        <w:t>s own averred or admitted facts is: should (not could) the applicant on those facts obtain final relief at the trial. Subject to that qualification, I respectfully agree that the approach outlined in Webster v Mitchell, supra, is the correct approach for ordinary interdict applications.</w:t>
      </w:r>
      <w:r w:rsidRPr="0010696C">
        <w:rPr>
          <w:rFonts w:ascii="Times New Roman" w:hAnsi="Times New Roman"/>
          <w:lang w:val="en-GB"/>
        </w:rPr>
        <w:t>”</w:t>
      </w:r>
    </w:p>
  </w:footnote>
  <w:footnote w:id="5">
    <w:p w14:paraId="54B197AA" w14:textId="405B46B6" w:rsidR="00F539C9" w:rsidRPr="0010696C" w:rsidRDefault="00F539C9"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0057320B" w:rsidRPr="0010696C">
        <w:rPr>
          <w:rFonts w:ascii="Times New Roman" w:hAnsi="Times New Roman"/>
          <w:b/>
          <w:bCs/>
          <w:u w:val="single"/>
          <w:lang w:val="en-GB"/>
        </w:rPr>
        <w:t>Olympic Passenger Service (Pty) Ltd v Ramlagan</w:t>
      </w:r>
      <w:r w:rsidR="0057320B" w:rsidRPr="0010696C">
        <w:rPr>
          <w:rFonts w:ascii="Times New Roman" w:hAnsi="Times New Roman"/>
          <w:lang w:val="en-GB"/>
        </w:rPr>
        <w:t xml:space="preserve"> 1957 (2) SA 382 (D) at 383E-G; </w:t>
      </w:r>
      <w:r w:rsidR="0057320B" w:rsidRPr="0010696C">
        <w:rPr>
          <w:rFonts w:ascii="Times New Roman" w:hAnsi="Times New Roman"/>
          <w:b/>
          <w:bCs/>
          <w:u w:val="single"/>
          <w:lang w:val="en-GB"/>
        </w:rPr>
        <w:t>Knox D</w:t>
      </w:r>
      <w:r w:rsidR="00F32FD7" w:rsidRPr="0010696C">
        <w:rPr>
          <w:rFonts w:ascii="Times New Roman" w:hAnsi="Times New Roman"/>
          <w:b/>
          <w:bCs/>
          <w:u w:val="single"/>
          <w:lang w:val="en-GB"/>
        </w:rPr>
        <w:t>’</w:t>
      </w:r>
      <w:r w:rsidR="0057320B" w:rsidRPr="0010696C">
        <w:rPr>
          <w:rFonts w:ascii="Times New Roman" w:hAnsi="Times New Roman"/>
          <w:b/>
          <w:bCs/>
          <w:u w:val="single"/>
          <w:lang w:val="en-GB"/>
        </w:rPr>
        <w:t>Arcy Ltd and Others v Jamieson and Others</w:t>
      </w:r>
      <w:r w:rsidR="0051614B" w:rsidRPr="0010696C">
        <w:rPr>
          <w:rFonts w:ascii="Times New Roman" w:hAnsi="Times New Roman"/>
          <w:lang w:val="en-GB"/>
        </w:rPr>
        <w:t xml:space="preserve"> </w:t>
      </w:r>
      <w:r w:rsidR="0057320B" w:rsidRPr="0010696C">
        <w:rPr>
          <w:rFonts w:ascii="Times New Roman" w:hAnsi="Times New Roman"/>
          <w:lang w:val="en-GB"/>
        </w:rPr>
        <w:t>1996 (4) SA 348 (A) at 372E – G</w:t>
      </w:r>
    </w:p>
  </w:footnote>
  <w:footnote w:id="6">
    <w:p w14:paraId="631A25A2" w14:textId="535F4D19" w:rsidR="00F539C9" w:rsidRPr="0010696C" w:rsidRDefault="00F539C9"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008951E2" w:rsidRPr="0010696C">
        <w:rPr>
          <w:rFonts w:ascii="Times New Roman" w:hAnsi="Times New Roman"/>
          <w:b/>
          <w:bCs/>
          <w:u w:val="single"/>
          <w:lang w:val="en-GB"/>
        </w:rPr>
        <w:t>Camps Bay Residents and Ratepayers Association and Others v Augoustides and Others</w:t>
      </w:r>
      <w:r w:rsidR="008951E2" w:rsidRPr="0010696C">
        <w:rPr>
          <w:rFonts w:ascii="Times New Roman" w:hAnsi="Times New Roman"/>
          <w:lang w:val="en-GB"/>
        </w:rPr>
        <w:t xml:space="preserve"> 2009 (6) SA 190 (WCC) at para 9</w:t>
      </w:r>
    </w:p>
  </w:footnote>
  <w:footnote w:id="7">
    <w:p w14:paraId="56BD8C19" w14:textId="5172C73C" w:rsidR="00A80117" w:rsidRPr="0010696C" w:rsidRDefault="00A80117">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Eriksen Motors (Welkom) Ltd v Protea Motors, Warrenton</w:t>
      </w:r>
      <w:r w:rsidRPr="0010696C">
        <w:rPr>
          <w:rFonts w:ascii="Times New Roman" w:hAnsi="Times New Roman"/>
          <w:lang w:val="en-GB"/>
        </w:rPr>
        <w:t xml:space="preserve"> 1973 3 SA 685 (A) at 691F – G</w:t>
      </w:r>
    </w:p>
  </w:footnote>
  <w:footnote w:id="8">
    <w:p w14:paraId="0FFF3688" w14:textId="2F8D3BC1" w:rsidR="00F539C9" w:rsidRPr="0010696C" w:rsidRDefault="00F539C9"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00260C1C" w:rsidRPr="0010696C">
        <w:rPr>
          <w:rFonts w:ascii="Times New Roman" w:hAnsi="Times New Roman"/>
          <w:b/>
          <w:bCs/>
          <w:u w:val="single"/>
          <w:lang w:val="en-GB"/>
        </w:rPr>
        <w:t>Augoustides</w:t>
      </w:r>
      <w:r w:rsidR="00260C1C" w:rsidRPr="0010696C">
        <w:rPr>
          <w:rFonts w:ascii="Times New Roman" w:hAnsi="Times New Roman"/>
          <w:lang w:val="en-GB"/>
        </w:rPr>
        <w:t xml:space="preserve"> at para 8</w:t>
      </w:r>
      <w:r w:rsidR="00E70EA0" w:rsidRPr="0010696C">
        <w:rPr>
          <w:rFonts w:ascii="Times New Roman" w:hAnsi="Times New Roman"/>
          <w:lang w:val="en-GB"/>
        </w:rPr>
        <w:t xml:space="preserve">; </w:t>
      </w:r>
      <w:r w:rsidR="00E70EA0" w:rsidRPr="0010696C">
        <w:rPr>
          <w:rFonts w:ascii="Times New Roman" w:hAnsi="Times New Roman"/>
          <w:b/>
          <w:bCs/>
          <w:u w:val="single"/>
          <w:lang w:val="en-GB"/>
        </w:rPr>
        <w:t>Chopra v Avalon Cinemas SA (Pty) Ltd</w:t>
      </w:r>
      <w:r w:rsidR="00A80205" w:rsidRPr="0010696C">
        <w:rPr>
          <w:rFonts w:ascii="Times New Roman" w:hAnsi="Times New Roman"/>
          <w:lang w:val="en-GB"/>
        </w:rPr>
        <w:t xml:space="preserve"> </w:t>
      </w:r>
      <w:r w:rsidR="00E70EA0" w:rsidRPr="0010696C">
        <w:rPr>
          <w:rFonts w:ascii="Times New Roman" w:hAnsi="Times New Roman"/>
          <w:lang w:val="en-GB"/>
        </w:rPr>
        <w:t xml:space="preserve">1974 (1) SA 469 (D) at </w:t>
      </w:r>
      <w:r w:rsidR="00C4310A" w:rsidRPr="0010696C">
        <w:rPr>
          <w:rFonts w:ascii="Times New Roman" w:hAnsi="Times New Roman"/>
          <w:lang w:val="en-GB"/>
        </w:rPr>
        <w:t>472J.</w:t>
      </w:r>
    </w:p>
  </w:footnote>
  <w:footnote w:id="9">
    <w:p w14:paraId="265CC49B" w14:textId="322D2AA1" w:rsidR="00F539C9" w:rsidRPr="0010696C" w:rsidRDefault="00F539C9"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At para</w:t>
      </w:r>
      <w:r w:rsidR="00CE01E6" w:rsidRPr="0010696C">
        <w:rPr>
          <w:rFonts w:ascii="Times New Roman" w:hAnsi="Times New Roman"/>
          <w:lang w:val="en-GB"/>
        </w:rPr>
        <w:t> </w:t>
      </w:r>
      <w:r w:rsidRPr="0010696C">
        <w:rPr>
          <w:rFonts w:ascii="Times New Roman" w:hAnsi="Times New Roman"/>
          <w:lang w:val="en-GB"/>
        </w:rPr>
        <w:t>90 of the founding affidavit it is stated that the agreement is between Amplifin, Capitec and the consumer.  This is clearly a mistake as the credit provider (and not the consumer) is a party to the tri-partite agreement.</w:t>
      </w:r>
    </w:p>
  </w:footnote>
  <w:footnote w:id="10">
    <w:p w14:paraId="2414CAC6" w14:textId="28A2025A" w:rsidR="007E5B1D" w:rsidRPr="002520CF" w:rsidRDefault="007E5B1D">
      <w:pPr>
        <w:pStyle w:val="FootnoteText"/>
        <w:rPr>
          <w:rFonts w:ascii="Times New Roman" w:hAnsi="Times New Roman"/>
          <w:lang w:val="en-US"/>
        </w:rPr>
      </w:pPr>
      <w:r w:rsidRPr="002520CF">
        <w:rPr>
          <w:rStyle w:val="FootnoteReference"/>
          <w:rFonts w:ascii="Times New Roman" w:hAnsi="Times New Roman"/>
        </w:rPr>
        <w:footnoteRef/>
      </w:r>
      <w:r w:rsidRPr="002520CF">
        <w:rPr>
          <w:rFonts w:ascii="Times New Roman" w:hAnsi="Times New Roman"/>
        </w:rPr>
        <w:t xml:space="preserve"> </w:t>
      </w:r>
      <w:r w:rsidR="002520CF">
        <w:rPr>
          <w:rFonts w:ascii="Times New Roman" w:hAnsi="Times New Roman"/>
          <w:lang w:val="en-US"/>
        </w:rPr>
        <w:t xml:space="preserve">For the avoidance of </w:t>
      </w:r>
      <w:r w:rsidR="00793CD6">
        <w:rPr>
          <w:rFonts w:ascii="Times New Roman" w:hAnsi="Times New Roman"/>
          <w:lang w:val="en-US"/>
        </w:rPr>
        <w:t>doubt: I</w:t>
      </w:r>
      <w:r w:rsidR="002941DB" w:rsidRPr="002520CF">
        <w:rPr>
          <w:rFonts w:ascii="Times New Roman" w:hAnsi="Times New Roman"/>
          <w:lang w:val="en-US"/>
        </w:rPr>
        <w:t xml:space="preserve"> did not understand the extension to be con</w:t>
      </w:r>
      <w:r w:rsidR="00677878" w:rsidRPr="002520CF">
        <w:rPr>
          <w:rFonts w:ascii="Times New Roman" w:hAnsi="Times New Roman"/>
          <w:lang w:val="en-US"/>
        </w:rPr>
        <w:t xml:space="preserve">ditional on me </w:t>
      </w:r>
      <w:r w:rsidR="00677878" w:rsidRPr="00793CD6">
        <w:rPr>
          <w:rFonts w:ascii="Times New Roman" w:hAnsi="Times New Roman"/>
          <w:u w:val="single"/>
          <w:lang w:val="en-US"/>
        </w:rPr>
        <w:t>not</w:t>
      </w:r>
      <w:r w:rsidR="00677878" w:rsidRPr="002520CF">
        <w:rPr>
          <w:rFonts w:ascii="Times New Roman" w:hAnsi="Times New Roman"/>
          <w:lang w:val="en-US"/>
        </w:rPr>
        <w:t xml:space="preserve"> delivering judgment before 9 January 20</w:t>
      </w:r>
      <w:r w:rsidR="00196DE3" w:rsidRPr="002520CF">
        <w:rPr>
          <w:rFonts w:ascii="Times New Roman" w:hAnsi="Times New Roman"/>
          <w:lang w:val="en-US"/>
        </w:rPr>
        <w:t>24</w:t>
      </w:r>
      <w:r w:rsidR="00677878" w:rsidRPr="002520CF">
        <w:rPr>
          <w:rFonts w:ascii="Times New Roman" w:hAnsi="Times New Roman"/>
          <w:lang w:val="en-US"/>
        </w:rPr>
        <w:t xml:space="preserve"> (which would have been a strange </w:t>
      </w:r>
      <w:r w:rsidR="00196DE3" w:rsidRPr="002520CF">
        <w:rPr>
          <w:rFonts w:ascii="Times New Roman" w:hAnsi="Times New Roman"/>
          <w:lang w:val="en-US"/>
        </w:rPr>
        <w:t>undertaking).  Thus, even though I eventually managed to get this Judgment out before 9 January 2024</w:t>
      </w:r>
      <w:r w:rsidR="002520CF" w:rsidRPr="002520CF">
        <w:rPr>
          <w:rFonts w:ascii="Times New Roman" w:hAnsi="Times New Roman"/>
          <w:lang w:val="en-US"/>
        </w:rPr>
        <w:t xml:space="preserve">, the extension </w:t>
      </w:r>
      <w:r w:rsidR="00793CD6">
        <w:rPr>
          <w:rFonts w:ascii="Times New Roman" w:hAnsi="Times New Roman"/>
          <w:lang w:val="en-US"/>
        </w:rPr>
        <w:t xml:space="preserve">until 10 March 2024 </w:t>
      </w:r>
      <w:r w:rsidR="002520CF" w:rsidRPr="002520CF">
        <w:rPr>
          <w:rFonts w:ascii="Times New Roman" w:hAnsi="Times New Roman"/>
          <w:lang w:val="en-US"/>
        </w:rPr>
        <w:t xml:space="preserve">stands. </w:t>
      </w:r>
    </w:p>
  </w:footnote>
  <w:footnote w:id="11">
    <w:p w14:paraId="08230ECE" w14:textId="384D91B7"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(JA87/2014) [2016] ZALAC 92 (14</w:t>
      </w:r>
      <w:r w:rsidR="00C20E08" w:rsidRPr="0010696C">
        <w:rPr>
          <w:rFonts w:ascii="Times New Roman" w:hAnsi="Times New Roman"/>
          <w:lang w:val="en-GB"/>
        </w:rPr>
        <w:t> </w:t>
      </w:r>
      <w:r w:rsidRPr="0010696C">
        <w:rPr>
          <w:rFonts w:ascii="Times New Roman" w:hAnsi="Times New Roman"/>
          <w:lang w:val="en-GB"/>
        </w:rPr>
        <w:t>June</w:t>
      </w:r>
      <w:r w:rsidR="00C20E08" w:rsidRPr="0010696C">
        <w:rPr>
          <w:rFonts w:ascii="Times New Roman" w:hAnsi="Times New Roman"/>
          <w:lang w:val="en-GB"/>
        </w:rPr>
        <w:t> </w:t>
      </w:r>
      <w:r w:rsidRPr="0010696C">
        <w:rPr>
          <w:rFonts w:ascii="Times New Roman" w:hAnsi="Times New Roman"/>
          <w:lang w:val="en-GB"/>
        </w:rPr>
        <w:t>2016).</w:t>
      </w:r>
    </w:p>
  </w:footnote>
  <w:footnote w:id="12">
    <w:p w14:paraId="43FBB473" w14:textId="75B3C495"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Para 11.</w:t>
      </w:r>
    </w:p>
  </w:footnote>
  <w:footnote w:id="13">
    <w:p w14:paraId="2A4681C9" w14:textId="0C896FE8"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i/>
          <w:iCs/>
          <w:lang w:val="en-GB"/>
        </w:rPr>
        <w:t>Ibid</w:t>
      </w:r>
      <w:r w:rsidRPr="0010696C">
        <w:rPr>
          <w:rFonts w:ascii="Times New Roman" w:hAnsi="Times New Roman"/>
          <w:lang w:val="en-GB"/>
        </w:rPr>
        <w:t>.</w:t>
      </w:r>
    </w:p>
  </w:footnote>
  <w:footnote w:id="14">
    <w:p w14:paraId="6DEDC5F9" w14:textId="0F96E0CA"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Para 14.</w:t>
      </w:r>
    </w:p>
  </w:footnote>
  <w:footnote w:id="15">
    <w:p w14:paraId="55D0C603" w14:textId="2A3A6021" w:rsidR="00FF3F35" w:rsidRPr="0010696C" w:rsidRDefault="00FF3F35" w:rsidP="00C20E08">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Minerals Council of South Africa v Minister of Minerals Resources and Energy</w:t>
      </w:r>
      <w:r w:rsidRPr="0010696C">
        <w:rPr>
          <w:rFonts w:ascii="Times New Roman" w:hAnsi="Times New Roman"/>
          <w:lang w:val="en-GB"/>
        </w:rPr>
        <w:t xml:space="preserve"> [2021] 4 All SA 836 (GP).</w:t>
      </w:r>
    </w:p>
  </w:footnote>
  <w:footnote w:id="16">
    <w:p w14:paraId="454931F0" w14:textId="5430FD4A"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Para 63.</w:t>
      </w:r>
    </w:p>
  </w:footnote>
  <w:footnote w:id="17">
    <w:p w14:paraId="240D9DA7" w14:textId="24BA6106"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(3752/2022) [2023] ZAECQBHC 38 (15</w:t>
      </w:r>
      <w:r w:rsidR="00C20E08" w:rsidRPr="0010696C">
        <w:rPr>
          <w:rFonts w:ascii="Times New Roman" w:hAnsi="Times New Roman"/>
          <w:lang w:val="en-GB"/>
        </w:rPr>
        <w:t> </w:t>
      </w:r>
      <w:r w:rsidRPr="0010696C">
        <w:rPr>
          <w:rFonts w:ascii="Times New Roman" w:hAnsi="Times New Roman"/>
          <w:lang w:val="en-GB"/>
        </w:rPr>
        <w:t>June</w:t>
      </w:r>
      <w:r w:rsidR="00C20E08" w:rsidRPr="0010696C">
        <w:rPr>
          <w:rFonts w:ascii="Times New Roman" w:hAnsi="Times New Roman"/>
          <w:lang w:val="en-GB"/>
        </w:rPr>
        <w:t> </w:t>
      </w:r>
      <w:r w:rsidRPr="0010696C">
        <w:rPr>
          <w:rFonts w:ascii="Times New Roman" w:hAnsi="Times New Roman"/>
          <w:lang w:val="en-GB"/>
        </w:rPr>
        <w:t>2023).</w:t>
      </w:r>
    </w:p>
  </w:footnote>
  <w:footnote w:id="18">
    <w:p w14:paraId="3965E4DD" w14:textId="1D28FA8C" w:rsidR="00FF3F35" w:rsidRPr="0010696C" w:rsidRDefault="00FF3F35"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Para 26.</w:t>
      </w:r>
    </w:p>
  </w:footnote>
  <w:footnote w:id="19">
    <w:p w14:paraId="408DECC8" w14:textId="492BE485" w:rsidR="001D6808" w:rsidRPr="0010696C" w:rsidRDefault="001D6808" w:rsidP="000112B3">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Administrator, Transvaal, and Others v Theletsane and Others</w:t>
      </w:r>
      <w:r w:rsidR="002F4DF0" w:rsidRPr="0010696C">
        <w:rPr>
          <w:rFonts w:ascii="Times New Roman" w:hAnsi="Times New Roman"/>
          <w:lang w:val="en-GB"/>
        </w:rPr>
        <w:t xml:space="preserve"> </w:t>
      </w:r>
      <w:r w:rsidRPr="0010696C">
        <w:rPr>
          <w:rFonts w:ascii="Times New Roman" w:hAnsi="Times New Roman"/>
          <w:lang w:val="en-GB"/>
        </w:rPr>
        <w:t>1991 (2) SA 192 (A)</w:t>
      </w:r>
      <w:r w:rsidR="002F4DF0" w:rsidRPr="0010696C">
        <w:rPr>
          <w:rFonts w:ascii="Times New Roman" w:hAnsi="Times New Roman"/>
          <w:lang w:val="en-GB"/>
        </w:rPr>
        <w:t>.</w:t>
      </w:r>
    </w:p>
  </w:footnote>
  <w:footnote w:id="20">
    <w:p w14:paraId="0A6EE9D7" w14:textId="583A316E" w:rsidR="00DA6489" w:rsidRPr="0010696C" w:rsidRDefault="00DA6489">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00462FF1" w:rsidRPr="0010696C">
        <w:rPr>
          <w:rFonts w:ascii="Times New Roman" w:hAnsi="Times New Roman"/>
          <w:b/>
          <w:bCs/>
          <w:u w:val="single"/>
          <w:lang w:val="en-GB"/>
        </w:rPr>
        <w:t>Barkhuizen v Napier</w:t>
      </w:r>
      <w:r w:rsidR="00A80205" w:rsidRPr="0010696C">
        <w:rPr>
          <w:rFonts w:ascii="Times New Roman" w:hAnsi="Times New Roman"/>
          <w:lang w:val="en-GB"/>
        </w:rPr>
        <w:t xml:space="preserve"> </w:t>
      </w:r>
      <w:r w:rsidR="00462FF1" w:rsidRPr="0010696C">
        <w:rPr>
          <w:rFonts w:ascii="Times New Roman" w:hAnsi="Times New Roman"/>
          <w:lang w:val="en-GB"/>
        </w:rPr>
        <w:t xml:space="preserve">2007 (5) SA 323 (CC) </w:t>
      </w:r>
      <w:r w:rsidR="001D639A" w:rsidRPr="0010696C">
        <w:rPr>
          <w:rFonts w:ascii="Times New Roman" w:hAnsi="Times New Roman"/>
          <w:lang w:val="en-GB"/>
        </w:rPr>
        <w:t>at paras 55 and 70</w:t>
      </w:r>
    </w:p>
  </w:footnote>
  <w:footnote w:id="21">
    <w:p w14:paraId="3A125B19" w14:textId="753A6842" w:rsidR="00EE5446" w:rsidRPr="0010696C" w:rsidRDefault="00EE5446" w:rsidP="00EE5446">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Bredenkamp</w:t>
      </w:r>
      <w:r w:rsidRPr="0010696C">
        <w:rPr>
          <w:rFonts w:ascii="Times New Roman" w:hAnsi="Times New Roman"/>
          <w:lang w:val="en-GB"/>
        </w:rPr>
        <w:t xml:space="preserve"> at para 2</w:t>
      </w:r>
      <w:r w:rsidR="00BF5143">
        <w:rPr>
          <w:rFonts w:ascii="Times New Roman" w:hAnsi="Times New Roman"/>
          <w:lang w:val="en-GB"/>
        </w:rPr>
        <w:t>3</w:t>
      </w:r>
      <w:r w:rsidR="00A05510">
        <w:rPr>
          <w:rFonts w:ascii="Times New Roman" w:hAnsi="Times New Roman"/>
          <w:lang w:val="en-GB"/>
        </w:rPr>
        <w:t xml:space="preserve"> read with </w:t>
      </w:r>
      <w:r w:rsidR="00977FD3">
        <w:rPr>
          <w:rFonts w:ascii="Times New Roman" w:hAnsi="Times New Roman"/>
          <w:lang w:val="en-GB"/>
        </w:rPr>
        <w:t>para 29</w:t>
      </w:r>
      <w:r w:rsidRPr="0010696C">
        <w:rPr>
          <w:rFonts w:ascii="Times New Roman" w:hAnsi="Times New Roman"/>
          <w:lang w:val="en-GB"/>
        </w:rPr>
        <w:t xml:space="preserve">.  See also </w:t>
      </w:r>
      <w:r w:rsidRPr="0010696C">
        <w:rPr>
          <w:rFonts w:ascii="Times New Roman" w:hAnsi="Times New Roman"/>
          <w:b/>
          <w:bCs/>
          <w:u w:val="single"/>
          <w:lang w:val="en-GB"/>
        </w:rPr>
        <w:t>Putco Ltd v TV &amp; Radio Guarantee Co (Pty) Ltd</w:t>
      </w:r>
      <w:r w:rsidRPr="0010696C">
        <w:rPr>
          <w:rFonts w:ascii="Times New Roman" w:hAnsi="Times New Roman"/>
          <w:lang w:val="en-GB"/>
        </w:rPr>
        <w:t xml:space="preserve"> 1985 4 SA 809 (A) at 827I: </w:t>
      </w:r>
      <w:r w:rsidR="001A35D4" w:rsidRPr="0010696C">
        <w:rPr>
          <w:rFonts w:ascii="Times New Roman" w:hAnsi="Times New Roman"/>
          <w:lang w:val="en-GB"/>
        </w:rPr>
        <w:t xml:space="preserve"> </w:t>
      </w:r>
      <w:r w:rsidR="00F32FD7" w:rsidRPr="0010696C">
        <w:rPr>
          <w:rFonts w:ascii="Times New Roman" w:hAnsi="Times New Roman"/>
          <w:lang w:val="en-GB"/>
        </w:rPr>
        <w:t>“</w:t>
      </w:r>
      <w:r w:rsidRPr="0010696C">
        <w:rPr>
          <w:rFonts w:ascii="Times New Roman" w:hAnsi="Times New Roman"/>
          <w:lang w:val="en-GB"/>
        </w:rPr>
        <w:t>Where an agreement is silent as to its duration, it is terminable on reasonable notice in the absence of a conclusion that it was intended to continue indefinitely.</w:t>
      </w:r>
      <w:r w:rsidR="00F32FD7" w:rsidRPr="0010696C">
        <w:rPr>
          <w:rFonts w:ascii="Times New Roman" w:hAnsi="Times New Roman"/>
          <w:lang w:val="en-GB"/>
        </w:rPr>
        <w:t>”</w:t>
      </w:r>
    </w:p>
  </w:footnote>
  <w:footnote w:id="22">
    <w:p w14:paraId="6D3D988F" w14:textId="4BB1FFED" w:rsidR="00EE5446" w:rsidRPr="0010696C" w:rsidRDefault="00EE5446" w:rsidP="00EE5446">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Bredenkamp</w:t>
      </w:r>
      <w:r w:rsidRPr="0010696C">
        <w:rPr>
          <w:rFonts w:ascii="Times New Roman" w:hAnsi="Times New Roman"/>
          <w:lang w:val="en-GB"/>
        </w:rPr>
        <w:t xml:space="preserve"> at para</w:t>
      </w:r>
      <w:r w:rsidR="001A35D4" w:rsidRPr="0010696C">
        <w:rPr>
          <w:rFonts w:ascii="Times New Roman" w:hAnsi="Times New Roman"/>
          <w:lang w:val="en-GB"/>
        </w:rPr>
        <w:t> </w:t>
      </w:r>
      <w:r w:rsidRPr="0010696C">
        <w:rPr>
          <w:rFonts w:ascii="Times New Roman" w:hAnsi="Times New Roman"/>
          <w:lang w:val="en-GB"/>
        </w:rPr>
        <w:t>29.</w:t>
      </w:r>
    </w:p>
  </w:footnote>
  <w:footnote w:id="23">
    <w:p w14:paraId="50DECD50" w14:textId="07269C09" w:rsidR="00BF5198" w:rsidRPr="0010696C" w:rsidRDefault="00BF5198" w:rsidP="00BF5198">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Survé</w:t>
      </w:r>
      <w:r w:rsidRPr="0010696C">
        <w:rPr>
          <w:rFonts w:ascii="Times New Roman" w:hAnsi="Times New Roman"/>
          <w:lang w:val="en-GB"/>
        </w:rPr>
        <w:t xml:space="preserve"> para 8, footnote 1.</w:t>
      </w:r>
    </w:p>
  </w:footnote>
  <w:footnote w:id="24">
    <w:p w14:paraId="0A65A8FB" w14:textId="5E855D34" w:rsidR="0034494E" w:rsidRPr="0010696C" w:rsidRDefault="0034494E">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Theletsane</w:t>
      </w:r>
      <w:r w:rsidRPr="0010696C">
        <w:rPr>
          <w:rFonts w:ascii="Times New Roman" w:hAnsi="Times New Roman"/>
          <w:lang w:val="en-GB"/>
        </w:rPr>
        <w:t xml:space="preserve"> </w:t>
      </w:r>
      <w:r w:rsidRPr="0010696C">
        <w:rPr>
          <w:rFonts w:ascii="Times New Roman" w:hAnsi="Times New Roman"/>
          <w:i/>
          <w:iCs/>
          <w:lang w:val="en-GB"/>
        </w:rPr>
        <w:t>supra</w:t>
      </w:r>
      <w:r w:rsidRPr="0010696C">
        <w:rPr>
          <w:rFonts w:ascii="Times New Roman" w:hAnsi="Times New Roman"/>
          <w:lang w:val="en-GB"/>
        </w:rPr>
        <w:t>.</w:t>
      </w:r>
    </w:p>
  </w:footnote>
  <w:footnote w:id="25">
    <w:p w14:paraId="53E5BDD6" w14:textId="12AD7F20" w:rsidR="00DF75E9" w:rsidRPr="0010696C" w:rsidRDefault="00DF75E9" w:rsidP="00DF75E9">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w:t>
      </w:r>
      <w:r w:rsidRPr="0010696C">
        <w:rPr>
          <w:rFonts w:ascii="Times New Roman" w:hAnsi="Times New Roman"/>
          <w:b/>
          <w:bCs/>
          <w:u w:val="single"/>
          <w:lang w:val="en-GB"/>
        </w:rPr>
        <w:t>Survé</w:t>
      </w:r>
      <w:r w:rsidR="00557482" w:rsidRPr="0010696C">
        <w:rPr>
          <w:rFonts w:ascii="Times New Roman" w:hAnsi="Times New Roman"/>
          <w:lang w:val="en-GB"/>
        </w:rPr>
        <w:t xml:space="preserve"> at</w:t>
      </w:r>
      <w:r w:rsidRPr="0010696C">
        <w:rPr>
          <w:rFonts w:ascii="Times New Roman" w:hAnsi="Times New Roman"/>
          <w:lang w:val="en-GB"/>
        </w:rPr>
        <w:t xml:space="preserve"> para 22.</w:t>
      </w:r>
    </w:p>
  </w:footnote>
  <w:footnote w:id="26">
    <w:p w14:paraId="2F6B8BA1" w14:textId="2CABD9A1" w:rsidR="0011159F" w:rsidRPr="0010696C" w:rsidRDefault="0011159F">
      <w:pPr>
        <w:pStyle w:val="FootnoteText"/>
        <w:rPr>
          <w:rFonts w:ascii="Times New Roman" w:hAnsi="Times New Roman"/>
          <w:lang w:val="en-GB"/>
        </w:rPr>
      </w:pPr>
      <w:r w:rsidRPr="0010696C">
        <w:rPr>
          <w:rStyle w:val="FootnoteReference"/>
          <w:rFonts w:ascii="Times New Roman" w:hAnsi="Times New Roman"/>
          <w:lang w:val="en-GB"/>
        </w:rPr>
        <w:footnoteRef/>
      </w:r>
      <w:r w:rsidRPr="0010696C">
        <w:rPr>
          <w:rFonts w:ascii="Times New Roman" w:hAnsi="Times New Roman"/>
          <w:lang w:val="en-GB"/>
        </w:rPr>
        <w:t xml:space="preserve"> In reply it is argued that the other system operators do not provide TT3 authentication.  This was an entirely new point raised in reply and based on the supporting affidavit of Mr Swart which was struck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31885"/>
      <w:docPartObj>
        <w:docPartGallery w:val="Page Numbers (Top of Page)"/>
        <w:docPartUnique/>
      </w:docPartObj>
    </w:sdtPr>
    <w:sdtEndPr>
      <w:rPr>
        <w:noProof/>
      </w:rPr>
    </w:sdtEndPr>
    <w:sdtContent>
      <w:p w14:paraId="377EFDEA" w14:textId="2C92F73E" w:rsidR="002A73A6" w:rsidRDefault="002A73A6">
        <w:pPr>
          <w:pStyle w:val="Header"/>
          <w:jc w:val="center"/>
        </w:pPr>
        <w:r>
          <w:fldChar w:fldCharType="begin"/>
        </w:r>
        <w:r>
          <w:instrText xml:space="preserve"> PAGE   \* MERGEFORMAT </w:instrText>
        </w:r>
        <w:r>
          <w:fldChar w:fldCharType="separate"/>
        </w:r>
        <w:r w:rsidR="00151BC9">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D6AB" w14:textId="19C1C0BA" w:rsidR="002A73A6" w:rsidRDefault="002A73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EBC"/>
    <w:multiLevelType w:val="multilevel"/>
    <w:tmpl w:val="D9D4236E"/>
    <w:lvl w:ilvl="0">
      <w:start w:val="5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2B7F5B"/>
    <w:multiLevelType w:val="multilevel"/>
    <w:tmpl w:val="0FB4AD24"/>
    <w:lvl w:ilvl="0">
      <w:start w:val="1"/>
      <w:numFmt w:val="decimal"/>
      <w:pStyle w:val="Level1"/>
      <w:lvlText w:val="%1."/>
      <w:lvlJc w:val="left"/>
      <w:pPr>
        <w:ind w:left="360" w:hanging="360"/>
      </w:pPr>
      <w:rPr>
        <w:rFonts w:hint="default"/>
      </w:rPr>
    </w:lvl>
    <w:lvl w:ilvl="1">
      <w:start w:val="1"/>
      <w:numFmt w:val="decimal"/>
      <w:pStyle w:val="Level2"/>
      <w:lvlText w:val="%1.%2."/>
      <w:lvlJc w:val="left"/>
      <w:pPr>
        <w:ind w:left="1418" w:hanging="851"/>
      </w:pPr>
      <w:rPr>
        <w:rFonts w:hint="default"/>
      </w:rPr>
    </w:lvl>
    <w:lvl w:ilvl="2">
      <w:start w:val="1"/>
      <w:numFmt w:val="decimal"/>
      <w:pStyle w:val="Level3"/>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023F20"/>
    <w:multiLevelType w:val="hybridMultilevel"/>
    <w:tmpl w:val="35428B6A"/>
    <w:lvl w:ilvl="0" w:tplc="6EA04DAC">
      <w:start w:val="1"/>
      <w:numFmt w:val="bullet"/>
      <w:pStyle w:val="Bullets"/>
      <w:lvlText w:val=""/>
      <w:lvlJc w:val="left"/>
      <w:pPr>
        <w:ind w:left="992"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21920"/>
    <w:multiLevelType w:val="hybridMultilevel"/>
    <w:tmpl w:val="FDF8D31C"/>
    <w:lvl w:ilvl="0" w:tplc="D5EC6490">
      <w:start w:val="1"/>
      <w:numFmt w:val="bullet"/>
      <w:pStyle w:val="SBbulletslevel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F3F16"/>
    <w:multiLevelType w:val="hybridMultilevel"/>
    <w:tmpl w:val="33EA0C92"/>
    <w:lvl w:ilvl="0" w:tplc="92BA71BC">
      <w:start w:val="1"/>
      <w:numFmt w:val="lowerRoman"/>
      <w:pStyle w:val="Heading2"/>
      <w:lvlText w:val="(%1)"/>
      <w:lvlJc w:val="left"/>
      <w:pPr>
        <w:ind w:left="1400" w:hanging="360"/>
      </w:pPr>
      <w:rPr>
        <w:rFonts w:hint="default"/>
        <w:b w:val="0"/>
        <w:bCs/>
        <w:i/>
        <w:iCs w:val="0"/>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5" w15:restartNumberingAfterBreak="0">
    <w:nsid w:val="22833BD7"/>
    <w:multiLevelType w:val="hybridMultilevel"/>
    <w:tmpl w:val="A8FC7F08"/>
    <w:lvl w:ilvl="0" w:tplc="2B689890">
      <w:start w:val="1"/>
      <w:numFmt w:val="lowerLetter"/>
      <w:pStyle w:val="Heading3"/>
      <w:lvlText w:val="(%1)"/>
      <w:lvlJc w:val="left"/>
      <w:pPr>
        <w:ind w:left="720" w:hanging="360"/>
      </w:pPr>
      <w:rPr>
        <w:rFonts w:ascii="Arial" w:hAnsi="Arial" w:hint="default"/>
        <w:b w:val="0"/>
        <w:i/>
        <w:caps w:val="0"/>
        <w:strike w:val="0"/>
        <w:dstrike w:val="0"/>
        <w:vanish w:val="0"/>
        <w:sz w:val="24"/>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AF94428"/>
    <w:multiLevelType w:val="multilevel"/>
    <w:tmpl w:val="F86A9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WW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A0624B"/>
    <w:multiLevelType w:val="multilevel"/>
    <w:tmpl w:val="54AE2F96"/>
    <w:lvl w:ilvl="0">
      <w:start w:val="8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96D6590"/>
    <w:multiLevelType w:val="multilevel"/>
    <w:tmpl w:val="47A4BB36"/>
    <w:lvl w:ilvl="0">
      <w:start w:val="7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F29679B"/>
    <w:multiLevelType w:val="hybridMultilevel"/>
    <w:tmpl w:val="56FC8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339448B"/>
    <w:multiLevelType w:val="multilevel"/>
    <w:tmpl w:val="78B2CFE4"/>
    <w:lvl w:ilvl="0">
      <w:start w:val="25"/>
      <w:numFmt w:val="decimal"/>
      <w:lvlText w:val="%1"/>
      <w:lvlJc w:val="left"/>
      <w:pPr>
        <w:ind w:left="465" w:hanging="465"/>
      </w:pPr>
      <w:rPr>
        <w:rFonts w:hint="default"/>
      </w:rPr>
    </w:lvl>
    <w:lvl w:ilvl="1">
      <w:start w:val="1"/>
      <w:numFmt w:val="decimal"/>
      <w:lvlText w:val="%1.%2"/>
      <w:lvlJc w:val="left"/>
      <w:pPr>
        <w:ind w:left="1316" w:hanging="46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646705FA"/>
    <w:multiLevelType w:val="multilevel"/>
    <w:tmpl w:val="051C409E"/>
    <w:lvl w:ilvl="0">
      <w:start w:val="72"/>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13" w15:restartNumberingAfterBreak="0">
    <w:nsid w:val="68CE6716"/>
    <w:multiLevelType w:val="multilevel"/>
    <w:tmpl w:val="BFB04064"/>
    <w:lvl w:ilvl="0">
      <w:start w:val="1"/>
      <w:numFmt w:val="decimal"/>
      <w:pStyle w:val="anumbering1ai"/>
      <w:isLgl/>
      <w:lvlText w:val="(%1)"/>
      <w:lvlJc w:val="left"/>
      <w:pPr>
        <w:ind w:left="567" w:hanging="567"/>
      </w:pPr>
      <w:rPr>
        <w:rFonts w:hint="default"/>
      </w:rPr>
    </w:lvl>
    <w:lvl w:ilvl="1">
      <w:start w:val="1"/>
      <w:numFmt w:val="lowerLetter"/>
      <w:lvlText w:val="%2)"/>
      <w:lvlJc w:val="left"/>
      <w:pPr>
        <w:ind w:left="992" w:hanging="425"/>
      </w:pPr>
      <w:rPr>
        <w:rFonts w:hint="default"/>
      </w:rPr>
    </w:lvl>
    <w:lvl w:ilvl="2">
      <w:start w:val="1"/>
      <w:numFmt w:val="lowerRoman"/>
      <w:lvlText w:val="%3)"/>
      <w:lvlJc w:val="left"/>
      <w:pPr>
        <w:ind w:left="1417" w:hanging="425"/>
      </w:pPr>
      <w:rPr>
        <w:rFonts w:hint="default"/>
      </w:rPr>
    </w:lvl>
    <w:lvl w:ilvl="3">
      <w:start w:val="1"/>
      <w:numFmt w:val="decimal"/>
      <w:lvlText w:val="(%4)"/>
      <w:lvlJc w:val="left"/>
      <w:pPr>
        <w:ind w:left="1842" w:hanging="567"/>
      </w:pPr>
      <w:rPr>
        <w:rFonts w:hint="default"/>
      </w:rPr>
    </w:lvl>
    <w:lvl w:ilvl="4">
      <w:start w:val="1"/>
      <w:numFmt w:val="lowerLetter"/>
      <w:lvlText w:val="(%5)"/>
      <w:lvlJc w:val="left"/>
      <w:pPr>
        <w:ind w:left="2267" w:hanging="567"/>
      </w:pPr>
      <w:rPr>
        <w:rFonts w:hint="default"/>
      </w:rPr>
    </w:lvl>
    <w:lvl w:ilvl="5">
      <w:start w:val="1"/>
      <w:numFmt w:val="lowerRoman"/>
      <w:lvlText w:val="(%6)"/>
      <w:lvlJc w:val="left"/>
      <w:pPr>
        <w:ind w:left="2692" w:hanging="567"/>
      </w:pPr>
      <w:rPr>
        <w:rFonts w:hint="default"/>
      </w:rPr>
    </w:lvl>
    <w:lvl w:ilvl="6">
      <w:start w:val="1"/>
      <w:numFmt w:val="decimal"/>
      <w:lvlText w:val="%7."/>
      <w:lvlJc w:val="left"/>
      <w:pPr>
        <w:ind w:left="3117" w:hanging="567"/>
      </w:pPr>
      <w:rPr>
        <w:rFonts w:hint="default"/>
      </w:rPr>
    </w:lvl>
    <w:lvl w:ilvl="7">
      <w:start w:val="1"/>
      <w:numFmt w:val="lowerLetter"/>
      <w:lvlText w:val="%8."/>
      <w:lvlJc w:val="left"/>
      <w:pPr>
        <w:ind w:left="3542" w:hanging="567"/>
      </w:pPr>
      <w:rPr>
        <w:rFonts w:hint="default"/>
      </w:rPr>
    </w:lvl>
    <w:lvl w:ilvl="8">
      <w:start w:val="1"/>
      <w:numFmt w:val="lowerRoman"/>
      <w:lvlText w:val="%9."/>
      <w:lvlJc w:val="left"/>
      <w:pPr>
        <w:ind w:left="3967" w:hanging="567"/>
      </w:pPr>
      <w:rPr>
        <w:rFonts w:hint="default"/>
      </w:rPr>
    </w:lvl>
  </w:abstractNum>
  <w:num w:numId="1" w16cid:durableId="698312764">
    <w:abstractNumId w:val="13"/>
    <w:lvlOverride w:ilvl="0">
      <w:lvl w:ilvl="0">
        <w:start w:val="1"/>
        <w:numFmt w:val="decimal"/>
        <w:pStyle w:val="anumbering1ai"/>
        <w:isLg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rPr>
      </w:lvl>
    </w:lvlOverride>
    <w:lvlOverride w:ilvl="2">
      <w:lvl w:ilvl="2">
        <w:start w:val="1"/>
        <w:numFmt w:val="lowerRoman"/>
        <w:lvlText w:val="(%3)"/>
        <w:lvlJc w:val="left"/>
        <w:pPr>
          <w:tabs>
            <w:tab w:val="num" w:pos="1701"/>
          </w:tabs>
          <w:ind w:left="1701" w:hanging="567"/>
        </w:pPr>
        <w:rPr>
          <w:rFonts w:hint="default"/>
        </w:rPr>
      </w:lvl>
    </w:lvlOverride>
    <w:lvlOverride w:ilvl="3">
      <w:lvl w:ilvl="3">
        <w:start w:val="1"/>
        <w:numFmt w:val="decimal"/>
        <w:lvlText w:val="(%4)"/>
        <w:lvlJc w:val="left"/>
        <w:pPr>
          <w:ind w:left="1842" w:hanging="567"/>
        </w:pPr>
        <w:rPr>
          <w:rFonts w:hint="default"/>
        </w:rPr>
      </w:lvl>
    </w:lvlOverride>
    <w:lvlOverride w:ilvl="4">
      <w:lvl w:ilvl="4">
        <w:start w:val="1"/>
        <w:numFmt w:val="lowerLetter"/>
        <w:lvlText w:val="(%5)"/>
        <w:lvlJc w:val="left"/>
        <w:pPr>
          <w:ind w:left="2267" w:hanging="567"/>
        </w:pPr>
        <w:rPr>
          <w:rFonts w:hint="default"/>
        </w:rPr>
      </w:lvl>
    </w:lvlOverride>
    <w:lvlOverride w:ilvl="5">
      <w:lvl w:ilvl="5">
        <w:start w:val="1"/>
        <w:numFmt w:val="lowerRoman"/>
        <w:lvlText w:val="(%6)"/>
        <w:lvlJc w:val="left"/>
        <w:pPr>
          <w:ind w:left="2692" w:hanging="567"/>
        </w:pPr>
        <w:rPr>
          <w:rFonts w:hint="default"/>
        </w:rPr>
      </w:lvl>
    </w:lvlOverride>
    <w:lvlOverride w:ilvl="6">
      <w:lvl w:ilvl="6">
        <w:start w:val="1"/>
        <w:numFmt w:val="decimal"/>
        <w:lvlText w:val="%7."/>
        <w:lvlJc w:val="left"/>
        <w:pPr>
          <w:ind w:left="3117" w:hanging="567"/>
        </w:pPr>
        <w:rPr>
          <w:rFonts w:hint="default"/>
        </w:rPr>
      </w:lvl>
    </w:lvlOverride>
    <w:lvlOverride w:ilvl="7">
      <w:lvl w:ilvl="7">
        <w:start w:val="1"/>
        <w:numFmt w:val="lowerLetter"/>
        <w:lvlText w:val="%8."/>
        <w:lvlJc w:val="left"/>
        <w:pPr>
          <w:ind w:left="3542" w:hanging="567"/>
        </w:pPr>
        <w:rPr>
          <w:rFonts w:hint="default"/>
        </w:rPr>
      </w:lvl>
    </w:lvlOverride>
    <w:lvlOverride w:ilvl="8">
      <w:lvl w:ilvl="8">
        <w:start w:val="1"/>
        <w:numFmt w:val="lowerRoman"/>
        <w:lvlText w:val="%9."/>
        <w:lvlJc w:val="left"/>
        <w:pPr>
          <w:ind w:left="3967" w:hanging="567"/>
        </w:pPr>
        <w:rPr>
          <w:rFonts w:hint="default"/>
        </w:rPr>
      </w:lvl>
    </w:lvlOverride>
  </w:num>
  <w:num w:numId="2" w16cid:durableId="189681603">
    <w:abstractNumId w:val="2"/>
  </w:num>
  <w:num w:numId="3" w16cid:durableId="2019192663">
    <w:abstractNumId w:val="3"/>
  </w:num>
  <w:num w:numId="4" w16cid:durableId="456293602">
    <w:abstractNumId w:val="1"/>
  </w:num>
  <w:num w:numId="5" w16cid:durableId="1482115821">
    <w:abstractNumId w:val="4"/>
  </w:num>
  <w:num w:numId="6" w16cid:durableId="2104103924">
    <w:abstractNumId w:val="5"/>
  </w:num>
  <w:num w:numId="7" w16cid:durableId="1690764746">
    <w:abstractNumId w:val="12"/>
  </w:num>
  <w:num w:numId="8" w16cid:durableId="2111969802">
    <w:abstractNumId w:val="10"/>
  </w:num>
  <w:num w:numId="9" w16cid:durableId="2068918144">
    <w:abstractNumId w:val="4"/>
    <w:lvlOverride w:ilvl="0">
      <w:startOverride w:val="1"/>
    </w:lvlOverride>
  </w:num>
  <w:num w:numId="10" w16cid:durableId="247665143">
    <w:abstractNumId w:val="7"/>
  </w:num>
  <w:num w:numId="11" w16cid:durableId="770784372">
    <w:abstractNumId w:val="9"/>
  </w:num>
  <w:num w:numId="12" w16cid:durableId="715853238">
    <w:abstractNumId w:val="11"/>
  </w:num>
  <w:num w:numId="13" w16cid:durableId="829834953">
    <w:abstractNumId w:val="6"/>
  </w:num>
  <w:num w:numId="14" w16cid:durableId="695497729">
    <w:abstractNumId w:val="1"/>
  </w:num>
  <w:num w:numId="15" w16cid:durableId="1984967543">
    <w:abstractNumId w:val="1"/>
  </w:num>
  <w:num w:numId="16" w16cid:durableId="2012441253">
    <w:abstractNumId w:val="1"/>
  </w:num>
  <w:num w:numId="17" w16cid:durableId="1048991266">
    <w:abstractNumId w:val="1"/>
  </w:num>
  <w:num w:numId="18" w16cid:durableId="869803156">
    <w:abstractNumId w:val="1"/>
  </w:num>
  <w:num w:numId="19" w16cid:durableId="93745023">
    <w:abstractNumId w:val="1"/>
  </w:num>
  <w:num w:numId="20" w16cid:durableId="1499077123">
    <w:abstractNumId w:val="1"/>
  </w:num>
  <w:num w:numId="21" w16cid:durableId="1496190138">
    <w:abstractNumId w:val="1"/>
  </w:num>
  <w:num w:numId="22" w16cid:durableId="1619600576">
    <w:abstractNumId w:val="1"/>
  </w:num>
  <w:num w:numId="23" w16cid:durableId="1415324893">
    <w:abstractNumId w:val="8"/>
  </w:num>
  <w:num w:numId="24" w16cid:durableId="155315164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0" w:nlCheck="1" w:checkStyle="0"/>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FAB492-A1B0-4276-9FEA-C6F0BBCA9BB8}"/>
    <w:docVar w:name="dgnword-eventsink" w:val="372048072"/>
  </w:docVars>
  <w:rsids>
    <w:rsidRoot w:val="00D87D17"/>
    <w:rsid w:val="000021C4"/>
    <w:rsid w:val="00002FF3"/>
    <w:rsid w:val="00004BBE"/>
    <w:rsid w:val="00006DE6"/>
    <w:rsid w:val="000070A6"/>
    <w:rsid w:val="000112B3"/>
    <w:rsid w:val="00013CF0"/>
    <w:rsid w:val="0001480E"/>
    <w:rsid w:val="00014ED9"/>
    <w:rsid w:val="00017A94"/>
    <w:rsid w:val="00020811"/>
    <w:rsid w:val="000217E9"/>
    <w:rsid w:val="00024EEB"/>
    <w:rsid w:val="00026EE2"/>
    <w:rsid w:val="00030D8B"/>
    <w:rsid w:val="0003326F"/>
    <w:rsid w:val="00033A05"/>
    <w:rsid w:val="00033F92"/>
    <w:rsid w:val="000352DA"/>
    <w:rsid w:val="00035FEF"/>
    <w:rsid w:val="000375B9"/>
    <w:rsid w:val="00037E4C"/>
    <w:rsid w:val="0004101B"/>
    <w:rsid w:val="00041C4F"/>
    <w:rsid w:val="00044406"/>
    <w:rsid w:val="00045CAB"/>
    <w:rsid w:val="00047184"/>
    <w:rsid w:val="000505D8"/>
    <w:rsid w:val="00050752"/>
    <w:rsid w:val="00051AC7"/>
    <w:rsid w:val="00054B33"/>
    <w:rsid w:val="00056842"/>
    <w:rsid w:val="000570F3"/>
    <w:rsid w:val="000652C7"/>
    <w:rsid w:val="00066A97"/>
    <w:rsid w:val="00066E82"/>
    <w:rsid w:val="00070256"/>
    <w:rsid w:val="0007041E"/>
    <w:rsid w:val="00070A6C"/>
    <w:rsid w:val="000713F1"/>
    <w:rsid w:val="00073459"/>
    <w:rsid w:val="00074F6D"/>
    <w:rsid w:val="00075D96"/>
    <w:rsid w:val="00077F34"/>
    <w:rsid w:val="000814F4"/>
    <w:rsid w:val="00081589"/>
    <w:rsid w:val="00082FD3"/>
    <w:rsid w:val="00083D85"/>
    <w:rsid w:val="0008409A"/>
    <w:rsid w:val="00084644"/>
    <w:rsid w:val="00086C8E"/>
    <w:rsid w:val="0009013A"/>
    <w:rsid w:val="000901FA"/>
    <w:rsid w:val="00090947"/>
    <w:rsid w:val="000923B4"/>
    <w:rsid w:val="0009405C"/>
    <w:rsid w:val="00094514"/>
    <w:rsid w:val="000961CE"/>
    <w:rsid w:val="00097694"/>
    <w:rsid w:val="000A2917"/>
    <w:rsid w:val="000A4894"/>
    <w:rsid w:val="000A5702"/>
    <w:rsid w:val="000A6915"/>
    <w:rsid w:val="000B0E7C"/>
    <w:rsid w:val="000B0E84"/>
    <w:rsid w:val="000B3923"/>
    <w:rsid w:val="000B553A"/>
    <w:rsid w:val="000B6755"/>
    <w:rsid w:val="000B692E"/>
    <w:rsid w:val="000B75D7"/>
    <w:rsid w:val="000C0C3E"/>
    <w:rsid w:val="000C1238"/>
    <w:rsid w:val="000C3506"/>
    <w:rsid w:val="000C53BE"/>
    <w:rsid w:val="000C5FCA"/>
    <w:rsid w:val="000C6F39"/>
    <w:rsid w:val="000D02D2"/>
    <w:rsid w:val="000D3FE9"/>
    <w:rsid w:val="000D4753"/>
    <w:rsid w:val="000D4DAC"/>
    <w:rsid w:val="000E036F"/>
    <w:rsid w:val="000E09BF"/>
    <w:rsid w:val="000E0EF5"/>
    <w:rsid w:val="000E1EF0"/>
    <w:rsid w:val="000E5873"/>
    <w:rsid w:val="000F16E6"/>
    <w:rsid w:val="000F2D30"/>
    <w:rsid w:val="000F31F0"/>
    <w:rsid w:val="000F4F77"/>
    <w:rsid w:val="000F62C3"/>
    <w:rsid w:val="000F64B9"/>
    <w:rsid w:val="000F7198"/>
    <w:rsid w:val="000F747E"/>
    <w:rsid w:val="000F77D7"/>
    <w:rsid w:val="000F7FC8"/>
    <w:rsid w:val="001006DF"/>
    <w:rsid w:val="00100715"/>
    <w:rsid w:val="0010222E"/>
    <w:rsid w:val="00102499"/>
    <w:rsid w:val="00104DC8"/>
    <w:rsid w:val="001052C3"/>
    <w:rsid w:val="0010696C"/>
    <w:rsid w:val="00106D40"/>
    <w:rsid w:val="001101EC"/>
    <w:rsid w:val="00110889"/>
    <w:rsid w:val="0011159F"/>
    <w:rsid w:val="0011667B"/>
    <w:rsid w:val="00116684"/>
    <w:rsid w:val="0012140E"/>
    <w:rsid w:val="00122AFE"/>
    <w:rsid w:val="00122BCA"/>
    <w:rsid w:val="00123941"/>
    <w:rsid w:val="0012438D"/>
    <w:rsid w:val="00125E34"/>
    <w:rsid w:val="00130E5E"/>
    <w:rsid w:val="00132DB1"/>
    <w:rsid w:val="001340A7"/>
    <w:rsid w:val="00136CF8"/>
    <w:rsid w:val="0014504D"/>
    <w:rsid w:val="0014745E"/>
    <w:rsid w:val="00150E7A"/>
    <w:rsid w:val="001516F8"/>
    <w:rsid w:val="00151A72"/>
    <w:rsid w:val="00151BC9"/>
    <w:rsid w:val="00155985"/>
    <w:rsid w:val="00164143"/>
    <w:rsid w:val="001661F4"/>
    <w:rsid w:val="001676A9"/>
    <w:rsid w:val="0016776F"/>
    <w:rsid w:val="0017088E"/>
    <w:rsid w:val="00171426"/>
    <w:rsid w:val="00171D6E"/>
    <w:rsid w:val="00173D76"/>
    <w:rsid w:val="00175527"/>
    <w:rsid w:val="001773AD"/>
    <w:rsid w:val="001779FD"/>
    <w:rsid w:val="0018020B"/>
    <w:rsid w:val="00181533"/>
    <w:rsid w:val="0018219C"/>
    <w:rsid w:val="00182CB6"/>
    <w:rsid w:val="00184AD9"/>
    <w:rsid w:val="00185201"/>
    <w:rsid w:val="0018586D"/>
    <w:rsid w:val="0018699D"/>
    <w:rsid w:val="001937A9"/>
    <w:rsid w:val="00193AFB"/>
    <w:rsid w:val="00196DE3"/>
    <w:rsid w:val="00196E25"/>
    <w:rsid w:val="001A05E3"/>
    <w:rsid w:val="001A083D"/>
    <w:rsid w:val="001A35D4"/>
    <w:rsid w:val="001A3A6A"/>
    <w:rsid w:val="001A4460"/>
    <w:rsid w:val="001A4CF2"/>
    <w:rsid w:val="001A534B"/>
    <w:rsid w:val="001A55B3"/>
    <w:rsid w:val="001B08EF"/>
    <w:rsid w:val="001B1EC3"/>
    <w:rsid w:val="001C23E2"/>
    <w:rsid w:val="001C4203"/>
    <w:rsid w:val="001C4688"/>
    <w:rsid w:val="001C496C"/>
    <w:rsid w:val="001D340D"/>
    <w:rsid w:val="001D48E6"/>
    <w:rsid w:val="001D639A"/>
    <w:rsid w:val="001D6808"/>
    <w:rsid w:val="001E0FF8"/>
    <w:rsid w:val="001E1040"/>
    <w:rsid w:val="001E374F"/>
    <w:rsid w:val="001E406A"/>
    <w:rsid w:val="001E5B38"/>
    <w:rsid w:val="001E645C"/>
    <w:rsid w:val="001E783B"/>
    <w:rsid w:val="001F48DD"/>
    <w:rsid w:val="001F5769"/>
    <w:rsid w:val="001F7C00"/>
    <w:rsid w:val="00200085"/>
    <w:rsid w:val="00200255"/>
    <w:rsid w:val="0020188B"/>
    <w:rsid w:val="002028FD"/>
    <w:rsid w:val="00204405"/>
    <w:rsid w:val="002045DF"/>
    <w:rsid w:val="002047E2"/>
    <w:rsid w:val="002058A4"/>
    <w:rsid w:val="002075AB"/>
    <w:rsid w:val="00211101"/>
    <w:rsid w:val="002113AB"/>
    <w:rsid w:val="0021295E"/>
    <w:rsid w:val="002142CB"/>
    <w:rsid w:val="0021561C"/>
    <w:rsid w:val="002157EE"/>
    <w:rsid w:val="00216783"/>
    <w:rsid w:val="00216977"/>
    <w:rsid w:val="00220EA7"/>
    <w:rsid w:val="002237FD"/>
    <w:rsid w:val="002248B0"/>
    <w:rsid w:val="00226121"/>
    <w:rsid w:val="00230641"/>
    <w:rsid w:val="00230BF3"/>
    <w:rsid w:val="00230EC4"/>
    <w:rsid w:val="00232FB9"/>
    <w:rsid w:val="00234D82"/>
    <w:rsid w:val="00236FC4"/>
    <w:rsid w:val="00240B85"/>
    <w:rsid w:val="002414A5"/>
    <w:rsid w:val="002422A5"/>
    <w:rsid w:val="002425FB"/>
    <w:rsid w:val="002443F7"/>
    <w:rsid w:val="00245E89"/>
    <w:rsid w:val="002520CF"/>
    <w:rsid w:val="0025394F"/>
    <w:rsid w:val="002550A7"/>
    <w:rsid w:val="002575B2"/>
    <w:rsid w:val="00260C1C"/>
    <w:rsid w:val="00264442"/>
    <w:rsid w:val="00266C86"/>
    <w:rsid w:val="00267A4A"/>
    <w:rsid w:val="00270B31"/>
    <w:rsid w:val="00271C66"/>
    <w:rsid w:val="00275A10"/>
    <w:rsid w:val="0027688B"/>
    <w:rsid w:val="002771BA"/>
    <w:rsid w:val="00280CC4"/>
    <w:rsid w:val="00283D83"/>
    <w:rsid w:val="0028449E"/>
    <w:rsid w:val="00293AE5"/>
    <w:rsid w:val="002941DB"/>
    <w:rsid w:val="00294F75"/>
    <w:rsid w:val="00296D3B"/>
    <w:rsid w:val="002A0AE4"/>
    <w:rsid w:val="002A3078"/>
    <w:rsid w:val="002A3FE2"/>
    <w:rsid w:val="002A73A6"/>
    <w:rsid w:val="002A7917"/>
    <w:rsid w:val="002A7B71"/>
    <w:rsid w:val="002B09F8"/>
    <w:rsid w:val="002B1E97"/>
    <w:rsid w:val="002B2A54"/>
    <w:rsid w:val="002B3CA4"/>
    <w:rsid w:val="002B4F2C"/>
    <w:rsid w:val="002B5E49"/>
    <w:rsid w:val="002B5F05"/>
    <w:rsid w:val="002B79B8"/>
    <w:rsid w:val="002C1541"/>
    <w:rsid w:val="002C3A64"/>
    <w:rsid w:val="002C4D51"/>
    <w:rsid w:val="002C59F4"/>
    <w:rsid w:val="002C60CE"/>
    <w:rsid w:val="002D2449"/>
    <w:rsid w:val="002D6F93"/>
    <w:rsid w:val="002E10B5"/>
    <w:rsid w:val="002E28D8"/>
    <w:rsid w:val="002E49D9"/>
    <w:rsid w:val="002E55D0"/>
    <w:rsid w:val="002E5D2F"/>
    <w:rsid w:val="002E686B"/>
    <w:rsid w:val="002F17A6"/>
    <w:rsid w:val="002F263A"/>
    <w:rsid w:val="002F2BE1"/>
    <w:rsid w:val="002F2D16"/>
    <w:rsid w:val="002F4DF0"/>
    <w:rsid w:val="003007BD"/>
    <w:rsid w:val="003019CA"/>
    <w:rsid w:val="00303DB1"/>
    <w:rsid w:val="00303DF9"/>
    <w:rsid w:val="00304BB3"/>
    <w:rsid w:val="00310E3A"/>
    <w:rsid w:val="00312244"/>
    <w:rsid w:val="00315DCF"/>
    <w:rsid w:val="00315F07"/>
    <w:rsid w:val="00316009"/>
    <w:rsid w:val="00317D6F"/>
    <w:rsid w:val="00320154"/>
    <w:rsid w:val="00322C29"/>
    <w:rsid w:val="003245EC"/>
    <w:rsid w:val="00330836"/>
    <w:rsid w:val="00330BC3"/>
    <w:rsid w:val="00331FE5"/>
    <w:rsid w:val="0033243F"/>
    <w:rsid w:val="00332DC6"/>
    <w:rsid w:val="003339C3"/>
    <w:rsid w:val="00334FAA"/>
    <w:rsid w:val="003373EF"/>
    <w:rsid w:val="003404F1"/>
    <w:rsid w:val="0034494E"/>
    <w:rsid w:val="00352433"/>
    <w:rsid w:val="00354C97"/>
    <w:rsid w:val="00356302"/>
    <w:rsid w:val="00356AB9"/>
    <w:rsid w:val="003575D2"/>
    <w:rsid w:val="003629B7"/>
    <w:rsid w:val="00365EBD"/>
    <w:rsid w:val="0036674D"/>
    <w:rsid w:val="00373471"/>
    <w:rsid w:val="00373A17"/>
    <w:rsid w:val="00374852"/>
    <w:rsid w:val="00375110"/>
    <w:rsid w:val="003757C1"/>
    <w:rsid w:val="0037682A"/>
    <w:rsid w:val="00377A2D"/>
    <w:rsid w:val="00377D81"/>
    <w:rsid w:val="00380661"/>
    <w:rsid w:val="0038188C"/>
    <w:rsid w:val="0038407D"/>
    <w:rsid w:val="003842F6"/>
    <w:rsid w:val="00384D65"/>
    <w:rsid w:val="00385C3E"/>
    <w:rsid w:val="0038765D"/>
    <w:rsid w:val="00387AAE"/>
    <w:rsid w:val="00387B26"/>
    <w:rsid w:val="00391259"/>
    <w:rsid w:val="0039171F"/>
    <w:rsid w:val="00391CE4"/>
    <w:rsid w:val="00392037"/>
    <w:rsid w:val="003954CB"/>
    <w:rsid w:val="00397922"/>
    <w:rsid w:val="003A08B2"/>
    <w:rsid w:val="003A1347"/>
    <w:rsid w:val="003A13C3"/>
    <w:rsid w:val="003A1466"/>
    <w:rsid w:val="003A2B44"/>
    <w:rsid w:val="003A6675"/>
    <w:rsid w:val="003A7A55"/>
    <w:rsid w:val="003A7F07"/>
    <w:rsid w:val="003B174E"/>
    <w:rsid w:val="003B1F9A"/>
    <w:rsid w:val="003B36E6"/>
    <w:rsid w:val="003B4020"/>
    <w:rsid w:val="003B45D8"/>
    <w:rsid w:val="003B51A6"/>
    <w:rsid w:val="003C27B5"/>
    <w:rsid w:val="003C2D63"/>
    <w:rsid w:val="003C6D76"/>
    <w:rsid w:val="003D0B16"/>
    <w:rsid w:val="003D3066"/>
    <w:rsid w:val="003D646A"/>
    <w:rsid w:val="003D6797"/>
    <w:rsid w:val="003D72D3"/>
    <w:rsid w:val="003E2B76"/>
    <w:rsid w:val="003E3C27"/>
    <w:rsid w:val="003E4167"/>
    <w:rsid w:val="003E52A3"/>
    <w:rsid w:val="003E664D"/>
    <w:rsid w:val="003F0D39"/>
    <w:rsid w:val="003F1178"/>
    <w:rsid w:val="003F2ADF"/>
    <w:rsid w:val="00402E5B"/>
    <w:rsid w:val="00403129"/>
    <w:rsid w:val="00403705"/>
    <w:rsid w:val="00403A7C"/>
    <w:rsid w:val="00405575"/>
    <w:rsid w:val="00406082"/>
    <w:rsid w:val="0040624F"/>
    <w:rsid w:val="00407CCC"/>
    <w:rsid w:val="00407CF4"/>
    <w:rsid w:val="00411BF7"/>
    <w:rsid w:val="00412364"/>
    <w:rsid w:val="0041578B"/>
    <w:rsid w:val="0041595B"/>
    <w:rsid w:val="00420618"/>
    <w:rsid w:val="004219A8"/>
    <w:rsid w:val="00422BF6"/>
    <w:rsid w:val="00422CE3"/>
    <w:rsid w:val="0042399F"/>
    <w:rsid w:val="004266AC"/>
    <w:rsid w:val="00426838"/>
    <w:rsid w:val="00430A72"/>
    <w:rsid w:val="00432660"/>
    <w:rsid w:val="004343A5"/>
    <w:rsid w:val="00435191"/>
    <w:rsid w:val="00435255"/>
    <w:rsid w:val="00435A42"/>
    <w:rsid w:val="00436BC6"/>
    <w:rsid w:val="00436D77"/>
    <w:rsid w:val="00436FE0"/>
    <w:rsid w:val="0045797E"/>
    <w:rsid w:val="00457FD6"/>
    <w:rsid w:val="00461830"/>
    <w:rsid w:val="0046196A"/>
    <w:rsid w:val="00462BA8"/>
    <w:rsid w:val="00462FF1"/>
    <w:rsid w:val="0047060E"/>
    <w:rsid w:val="004717A8"/>
    <w:rsid w:val="0047202D"/>
    <w:rsid w:val="0047242B"/>
    <w:rsid w:val="004741FB"/>
    <w:rsid w:val="0047618E"/>
    <w:rsid w:val="004810C2"/>
    <w:rsid w:val="0048121F"/>
    <w:rsid w:val="00482C3A"/>
    <w:rsid w:val="00485E50"/>
    <w:rsid w:val="00496912"/>
    <w:rsid w:val="004A0779"/>
    <w:rsid w:val="004A1D7A"/>
    <w:rsid w:val="004A3EE8"/>
    <w:rsid w:val="004A5639"/>
    <w:rsid w:val="004A59AF"/>
    <w:rsid w:val="004A75E5"/>
    <w:rsid w:val="004B04D6"/>
    <w:rsid w:val="004B355A"/>
    <w:rsid w:val="004B431A"/>
    <w:rsid w:val="004B4D20"/>
    <w:rsid w:val="004B57B9"/>
    <w:rsid w:val="004B72F9"/>
    <w:rsid w:val="004B75F2"/>
    <w:rsid w:val="004C1575"/>
    <w:rsid w:val="004C2055"/>
    <w:rsid w:val="004C3668"/>
    <w:rsid w:val="004C4119"/>
    <w:rsid w:val="004C459A"/>
    <w:rsid w:val="004C5B10"/>
    <w:rsid w:val="004C5FEC"/>
    <w:rsid w:val="004C6452"/>
    <w:rsid w:val="004C7940"/>
    <w:rsid w:val="004C7AAA"/>
    <w:rsid w:val="004D06CA"/>
    <w:rsid w:val="004D0ADA"/>
    <w:rsid w:val="004D0EAB"/>
    <w:rsid w:val="004D25EB"/>
    <w:rsid w:val="004D6137"/>
    <w:rsid w:val="004E01C4"/>
    <w:rsid w:val="004E03E3"/>
    <w:rsid w:val="004E3869"/>
    <w:rsid w:val="004E4886"/>
    <w:rsid w:val="004E683B"/>
    <w:rsid w:val="004E6935"/>
    <w:rsid w:val="004E78A4"/>
    <w:rsid w:val="004F0E55"/>
    <w:rsid w:val="004F19AA"/>
    <w:rsid w:val="004F228A"/>
    <w:rsid w:val="004F460A"/>
    <w:rsid w:val="004F518F"/>
    <w:rsid w:val="004F7622"/>
    <w:rsid w:val="00501F66"/>
    <w:rsid w:val="0050322B"/>
    <w:rsid w:val="00504F4B"/>
    <w:rsid w:val="00505DC3"/>
    <w:rsid w:val="0051130B"/>
    <w:rsid w:val="00515C20"/>
    <w:rsid w:val="0051614B"/>
    <w:rsid w:val="005162C0"/>
    <w:rsid w:val="0051636B"/>
    <w:rsid w:val="005177D7"/>
    <w:rsid w:val="00522AFC"/>
    <w:rsid w:val="00524D94"/>
    <w:rsid w:val="00526BB9"/>
    <w:rsid w:val="00526E97"/>
    <w:rsid w:val="0053605D"/>
    <w:rsid w:val="005365FB"/>
    <w:rsid w:val="00537C48"/>
    <w:rsid w:val="00543423"/>
    <w:rsid w:val="00544953"/>
    <w:rsid w:val="0054554C"/>
    <w:rsid w:val="00545CC0"/>
    <w:rsid w:val="00546ACF"/>
    <w:rsid w:val="00546C9C"/>
    <w:rsid w:val="00546F6B"/>
    <w:rsid w:val="00547510"/>
    <w:rsid w:val="0055066E"/>
    <w:rsid w:val="005517CC"/>
    <w:rsid w:val="005518F7"/>
    <w:rsid w:val="00551996"/>
    <w:rsid w:val="005523F5"/>
    <w:rsid w:val="00557482"/>
    <w:rsid w:val="00557842"/>
    <w:rsid w:val="0056011D"/>
    <w:rsid w:val="0056058B"/>
    <w:rsid w:val="00560FC3"/>
    <w:rsid w:val="00561F5C"/>
    <w:rsid w:val="005651BD"/>
    <w:rsid w:val="005673EB"/>
    <w:rsid w:val="0057320B"/>
    <w:rsid w:val="005734A6"/>
    <w:rsid w:val="005813E1"/>
    <w:rsid w:val="005856AD"/>
    <w:rsid w:val="00585949"/>
    <w:rsid w:val="00586F28"/>
    <w:rsid w:val="005879BD"/>
    <w:rsid w:val="005901D4"/>
    <w:rsid w:val="00592EF2"/>
    <w:rsid w:val="00594171"/>
    <w:rsid w:val="00594710"/>
    <w:rsid w:val="005949F7"/>
    <w:rsid w:val="005A0750"/>
    <w:rsid w:val="005A0EDA"/>
    <w:rsid w:val="005A101B"/>
    <w:rsid w:val="005A1A26"/>
    <w:rsid w:val="005A23FB"/>
    <w:rsid w:val="005A4624"/>
    <w:rsid w:val="005A6B16"/>
    <w:rsid w:val="005B1314"/>
    <w:rsid w:val="005B1429"/>
    <w:rsid w:val="005B4477"/>
    <w:rsid w:val="005C010B"/>
    <w:rsid w:val="005C2258"/>
    <w:rsid w:val="005C23F9"/>
    <w:rsid w:val="005C340A"/>
    <w:rsid w:val="005C3B14"/>
    <w:rsid w:val="005C4B56"/>
    <w:rsid w:val="005C58D0"/>
    <w:rsid w:val="005C5DDC"/>
    <w:rsid w:val="005C73D9"/>
    <w:rsid w:val="005C765A"/>
    <w:rsid w:val="005D04A2"/>
    <w:rsid w:val="005D4572"/>
    <w:rsid w:val="005D4D90"/>
    <w:rsid w:val="005D731E"/>
    <w:rsid w:val="005D7AB0"/>
    <w:rsid w:val="005E02C9"/>
    <w:rsid w:val="005E105F"/>
    <w:rsid w:val="005E1A43"/>
    <w:rsid w:val="005E3226"/>
    <w:rsid w:val="005E5001"/>
    <w:rsid w:val="005F2730"/>
    <w:rsid w:val="005F3359"/>
    <w:rsid w:val="005F354D"/>
    <w:rsid w:val="005F40DF"/>
    <w:rsid w:val="005F580E"/>
    <w:rsid w:val="005F6F03"/>
    <w:rsid w:val="005F714A"/>
    <w:rsid w:val="00600800"/>
    <w:rsid w:val="0060369D"/>
    <w:rsid w:val="00605539"/>
    <w:rsid w:val="00607452"/>
    <w:rsid w:val="00610A0D"/>
    <w:rsid w:val="00611531"/>
    <w:rsid w:val="0061341D"/>
    <w:rsid w:val="006145DF"/>
    <w:rsid w:val="0061513C"/>
    <w:rsid w:val="006156CA"/>
    <w:rsid w:val="0061609F"/>
    <w:rsid w:val="00617926"/>
    <w:rsid w:val="00620353"/>
    <w:rsid w:val="006219C5"/>
    <w:rsid w:val="00621E03"/>
    <w:rsid w:val="0062227F"/>
    <w:rsid w:val="00623019"/>
    <w:rsid w:val="00626D0F"/>
    <w:rsid w:val="00630681"/>
    <w:rsid w:val="00635800"/>
    <w:rsid w:val="00635BFB"/>
    <w:rsid w:val="00641532"/>
    <w:rsid w:val="00642FAB"/>
    <w:rsid w:val="00643566"/>
    <w:rsid w:val="006435AB"/>
    <w:rsid w:val="00645F7B"/>
    <w:rsid w:val="00646F0D"/>
    <w:rsid w:val="00647129"/>
    <w:rsid w:val="00647DD6"/>
    <w:rsid w:val="00647FF2"/>
    <w:rsid w:val="00650C7E"/>
    <w:rsid w:val="00652CD0"/>
    <w:rsid w:val="00653148"/>
    <w:rsid w:val="006538DF"/>
    <w:rsid w:val="00653A41"/>
    <w:rsid w:val="00653C1D"/>
    <w:rsid w:val="006540BB"/>
    <w:rsid w:val="00654ACB"/>
    <w:rsid w:val="00655574"/>
    <w:rsid w:val="00656988"/>
    <w:rsid w:val="00656B85"/>
    <w:rsid w:val="00665A5A"/>
    <w:rsid w:val="00671581"/>
    <w:rsid w:val="006718F7"/>
    <w:rsid w:val="0067446D"/>
    <w:rsid w:val="00674C83"/>
    <w:rsid w:val="00675ED7"/>
    <w:rsid w:val="00677878"/>
    <w:rsid w:val="00677DE0"/>
    <w:rsid w:val="00681D3B"/>
    <w:rsid w:val="006833E3"/>
    <w:rsid w:val="0068387A"/>
    <w:rsid w:val="00683BFF"/>
    <w:rsid w:val="00684001"/>
    <w:rsid w:val="0068514C"/>
    <w:rsid w:val="0068721E"/>
    <w:rsid w:val="00690066"/>
    <w:rsid w:val="00693286"/>
    <w:rsid w:val="006961C9"/>
    <w:rsid w:val="00696792"/>
    <w:rsid w:val="006967C5"/>
    <w:rsid w:val="00696BC0"/>
    <w:rsid w:val="00697E71"/>
    <w:rsid w:val="006A1477"/>
    <w:rsid w:val="006A1E84"/>
    <w:rsid w:val="006A3579"/>
    <w:rsid w:val="006A36C2"/>
    <w:rsid w:val="006A41CA"/>
    <w:rsid w:val="006A5B7F"/>
    <w:rsid w:val="006A64EC"/>
    <w:rsid w:val="006A6636"/>
    <w:rsid w:val="006B1A63"/>
    <w:rsid w:val="006B47D4"/>
    <w:rsid w:val="006C5CF1"/>
    <w:rsid w:val="006C7B90"/>
    <w:rsid w:val="006C7B9D"/>
    <w:rsid w:val="006D1B07"/>
    <w:rsid w:val="006D33A7"/>
    <w:rsid w:val="006D45F1"/>
    <w:rsid w:val="006D5252"/>
    <w:rsid w:val="006D7DC6"/>
    <w:rsid w:val="006E236C"/>
    <w:rsid w:val="006E257B"/>
    <w:rsid w:val="006E289B"/>
    <w:rsid w:val="006E391B"/>
    <w:rsid w:val="006E5461"/>
    <w:rsid w:val="006E68C8"/>
    <w:rsid w:val="006E6F96"/>
    <w:rsid w:val="006E7058"/>
    <w:rsid w:val="006E707F"/>
    <w:rsid w:val="006F2C70"/>
    <w:rsid w:val="006F2F5E"/>
    <w:rsid w:val="006F6DE5"/>
    <w:rsid w:val="0070091D"/>
    <w:rsid w:val="00700F96"/>
    <w:rsid w:val="0070129B"/>
    <w:rsid w:val="00704C75"/>
    <w:rsid w:val="00705A8E"/>
    <w:rsid w:val="007070D8"/>
    <w:rsid w:val="00712F0E"/>
    <w:rsid w:val="0071419B"/>
    <w:rsid w:val="00714A1D"/>
    <w:rsid w:val="00715F31"/>
    <w:rsid w:val="0071680C"/>
    <w:rsid w:val="0072136E"/>
    <w:rsid w:val="00721604"/>
    <w:rsid w:val="00722D52"/>
    <w:rsid w:val="00723D38"/>
    <w:rsid w:val="00723DE8"/>
    <w:rsid w:val="00731C91"/>
    <w:rsid w:val="007328EA"/>
    <w:rsid w:val="00733ABC"/>
    <w:rsid w:val="0073441F"/>
    <w:rsid w:val="007346F1"/>
    <w:rsid w:val="007351CD"/>
    <w:rsid w:val="007355CA"/>
    <w:rsid w:val="0073637B"/>
    <w:rsid w:val="00740106"/>
    <w:rsid w:val="00742BBF"/>
    <w:rsid w:val="007448C2"/>
    <w:rsid w:val="0074660A"/>
    <w:rsid w:val="007466D6"/>
    <w:rsid w:val="007476E1"/>
    <w:rsid w:val="00750A3A"/>
    <w:rsid w:val="007520F0"/>
    <w:rsid w:val="00752449"/>
    <w:rsid w:val="00753BE6"/>
    <w:rsid w:val="00755DA5"/>
    <w:rsid w:val="007571CC"/>
    <w:rsid w:val="0075780B"/>
    <w:rsid w:val="00757919"/>
    <w:rsid w:val="00757B32"/>
    <w:rsid w:val="007609BF"/>
    <w:rsid w:val="00761A2E"/>
    <w:rsid w:val="00762A91"/>
    <w:rsid w:val="00763638"/>
    <w:rsid w:val="007648C7"/>
    <w:rsid w:val="0076635A"/>
    <w:rsid w:val="007677A9"/>
    <w:rsid w:val="00767DE8"/>
    <w:rsid w:val="00771CD3"/>
    <w:rsid w:val="007728B5"/>
    <w:rsid w:val="00774C2F"/>
    <w:rsid w:val="00775033"/>
    <w:rsid w:val="00777007"/>
    <w:rsid w:val="00777D36"/>
    <w:rsid w:val="00780CAC"/>
    <w:rsid w:val="007814F9"/>
    <w:rsid w:val="00781E06"/>
    <w:rsid w:val="007823F7"/>
    <w:rsid w:val="007831DC"/>
    <w:rsid w:val="00783F24"/>
    <w:rsid w:val="007862DA"/>
    <w:rsid w:val="007871B8"/>
    <w:rsid w:val="007877D9"/>
    <w:rsid w:val="00791811"/>
    <w:rsid w:val="00793325"/>
    <w:rsid w:val="00793CD6"/>
    <w:rsid w:val="00795452"/>
    <w:rsid w:val="0079794F"/>
    <w:rsid w:val="00797A8B"/>
    <w:rsid w:val="007A031F"/>
    <w:rsid w:val="007A0CD8"/>
    <w:rsid w:val="007A32BD"/>
    <w:rsid w:val="007A39B5"/>
    <w:rsid w:val="007A45D8"/>
    <w:rsid w:val="007A53C4"/>
    <w:rsid w:val="007A586A"/>
    <w:rsid w:val="007A74D1"/>
    <w:rsid w:val="007B0513"/>
    <w:rsid w:val="007B0A51"/>
    <w:rsid w:val="007B1F32"/>
    <w:rsid w:val="007B2F4E"/>
    <w:rsid w:val="007B3CC8"/>
    <w:rsid w:val="007B4E5E"/>
    <w:rsid w:val="007B6501"/>
    <w:rsid w:val="007B7772"/>
    <w:rsid w:val="007C1A5D"/>
    <w:rsid w:val="007C1D54"/>
    <w:rsid w:val="007C21D8"/>
    <w:rsid w:val="007C2953"/>
    <w:rsid w:val="007C50FF"/>
    <w:rsid w:val="007C55B7"/>
    <w:rsid w:val="007C66E0"/>
    <w:rsid w:val="007C6C3D"/>
    <w:rsid w:val="007C7830"/>
    <w:rsid w:val="007D0864"/>
    <w:rsid w:val="007D10DE"/>
    <w:rsid w:val="007D3A69"/>
    <w:rsid w:val="007D4BCD"/>
    <w:rsid w:val="007D4E8E"/>
    <w:rsid w:val="007D52C7"/>
    <w:rsid w:val="007D6642"/>
    <w:rsid w:val="007E0228"/>
    <w:rsid w:val="007E0728"/>
    <w:rsid w:val="007E0DAB"/>
    <w:rsid w:val="007E1F54"/>
    <w:rsid w:val="007E5B1D"/>
    <w:rsid w:val="007E5BE4"/>
    <w:rsid w:val="007E5F64"/>
    <w:rsid w:val="007E7DC6"/>
    <w:rsid w:val="007F0F44"/>
    <w:rsid w:val="007F1027"/>
    <w:rsid w:val="007F519B"/>
    <w:rsid w:val="007F7E53"/>
    <w:rsid w:val="00800FA5"/>
    <w:rsid w:val="0080252A"/>
    <w:rsid w:val="00802B17"/>
    <w:rsid w:val="00803EDE"/>
    <w:rsid w:val="008041F8"/>
    <w:rsid w:val="008075E3"/>
    <w:rsid w:val="00807AC0"/>
    <w:rsid w:val="0081042D"/>
    <w:rsid w:val="00811B03"/>
    <w:rsid w:val="00815239"/>
    <w:rsid w:val="00815343"/>
    <w:rsid w:val="0081566E"/>
    <w:rsid w:val="00817150"/>
    <w:rsid w:val="008178D3"/>
    <w:rsid w:val="00820695"/>
    <w:rsid w:val="00822A7C"/>
    <w:rsid w:val="00824DE9"/>
    <w:rsid w:val="00827C01"/>
    <w:rsid w:val="008309DD"/>
    <w:rsid w:val="00833F21"/>
    <w:rsid w:val="00840361"/>
    <w:rsid w:val="00840A19"/>
    <w:rsid w:val="00841609"/>
    <w:rsid w:val="008420AA"/>
    <w:rsid w:val="0084367C"/>
    <w:rsid w:val="008443E5"/>
    <w:rsid w:val="00844891"/>
    <w:rsid w:val="008473FF"/>
    <w:rsid w:val="00850D91"/>
    <w:rsid w:val="008532B6"/>
    <w:rsid w:val="00853AAC"/>
    <w:rsid w:val="00855405"/>
    <w:rsid w:val="00856A56"/>
    <w:rsid w:val="008571ED"/>
    <w:rsid w:val="00860B31"/>
    <w:rsid w:val="0086101F"/>
    <w:rsid w:val="00862055"/>
    <w:rsid w:val="008633B6"/>
    <w:rsid w:val="008636CE"/>
    <w:rsid w:val="00863F43"/>
    <w:rsid w:val="00870FD7"/>
    <w:rsid w:val="00872E3F"/>
    <w:rsid w:val="008744F3"/>
    <w:rsid w:val="00875951"/>
    <w:rsid w:val="00876574"/>
    <w:rsid w:val="0087756B"/>
    <w:rsid w:val="00880AA4"/>
    <w:rsid w:val="008817ED"/>
    <w:rsid w:val="008843C5"/>
    <w:rsid w:val="008850FF"/>
    <w:rsid w:val="008852B3"/>
    <w:rsid w:val="00885F48"/>
    <w:rsid w:val="0088724E"/>
    <w:rsid w:val="00887927"/>
    <w:rsid w:val="0089010E"/>
    <w:rsid w:val="008951E2"/>
    <w:rsid w:val="008A1771"/>
    <w:rsid w:val="008A28FD"/>
    <w:rsid w:val="008A4D18"/>
    <w:rsid w:val="008A5D56"/>
    <w:rsid w:val="008A6282"/>
    <w:rsid w:val="008A7BC1"/>
    <w:rsid w:val="008B2C1A"/>
    <w:rsid w:val="008B3675"/>
    <w:rsid w:val="008B49E5"/>
    <w:rsid w:val="008B5E70"/>
    <w:rsid w:val="008B72AA"/>
    <w:rsid w:val="008C2A73"/>
    <w:rsid w:val="008C3E9F"/>
    <w:rsid w:val="008C450A"/>
    <w:rsid w:val="008C48A5"/>
    <w:rsid w:val="008C7ABD"/>
    <w:rsid w:val="008D039F"/>
    <w:rsid w:val="008D0A29"/>
    <w:rsid w:val="008D2D78"/>
    <w:rsid w:val="008D6850"/>
    <w:rsid w:val="008D6AB4"/>
    <w:rsid w:val="008D6D3E"/>
    <w:rsid w:val="008E0179"/>
    <w:rsid w:val="008E1C86"/>
    <w:rsid w:val="008E3314"/>
    <w:rsid w:val="008E6AD2"/>
    <w:rsid w:val="008F219A"/>
    <w:rsid w:val="008F3954"/>
    <w:rsid w:val="008F3D61"/>
    <w:rsid w:val="008F3FBC"/>
    <w:rsid w:val="008F46FB"/>
    <w:rsid w:val="008F6F3D"/>
    <w:rsid w:val="00903414"/>
    <w:rsid w:val="00903CC9"/>
    <w:rsid w:val="0090647B"/>
    <w:rsid w:val="0091067F"/>
    <w:rsid w:val="00910DDF"/>
    <w:rsid w:val="009119D6"/>
    <w:rsid w:val="00912EC7"/>
    <w:rsid w:val="00913541"/>
    <w:rsid w:val="00913AF6"/>
    <w:rsid w:val="009146C3"/>
    <w:rsid w:val="009155C2"/>
    <w:rsid w:val="00916607"/>
    <w:rsid w:val="00920237"/>
    <w:rsid w:val="009225A6"/>
    <w:rsid w:val="00922929"/>
    <w:rsid w:val="00925B86"/>
    <w:rsid w:val="00931F3E"/>
    <w:rsid w:val="0093504D"/>
    <w:rsid w:val="0093511D"/>
    <w:rsid w:val="00936E51"/>
    <w:rsid w:val="009376BF"/>
    <w:rsid w:val="00940AE6"/>
    <w:rsid w:val="00943AC0"/>
    <w:rsid w:val="009460FF"/>
    <w:rsid w:val="00946EAD"/>
    <w:rsid w:val="00946FB6"/>
    <w:rsid w:val="00950385"/>
    <w:rsid w:val="00951623"/>
    <w:rsid w:val="00951938"/>
    <w:rsid w:val="00951A4C"/>
    <w:rsid w:val="00955175"/>
    <w:rsid w:val="009572A4"/>
    <w:rsid w:val="009602ED"/>
    <w:rsid w:val="00960794"/>
    <w:rsid w:val="00961215"/>
    <w:rsid w:val="00961FDA"/>
    <w:rsid w:val="00963720"/>
    <w:rsid w:val="00964621"/>
    <w:rsid w:val="00965A60"/>
    <w:rsid w:val="00966492"/>
    <w:rsid w:val="009674CD"/>
    <w:rsid w:val="00973DD6"/>
    <w:rsid w:val="00975CD3"/>
    <w:rsid w:val="009766AA"/>
    <w:rsid w:val="0097717E"/>
    <w:rsid w:val="009771EB"/>
    <w:rsid w:val="00977FD3"/>
    <w:rsid w:val="00982ED2"/>
    <w:rsid w:val="009840D1"/>
    <w:rsid w:val="00984892"/>
    <w:rsid w:val="00984E9B"/>
    <w:rsid w:val="00985E77"/>
    <w:rsid w:val="00987676"/>
    <w:rsid w:val="00990626"/>
    <w:rsid w:val="00995F04"/>
    <w:rsid w:val="009A24F4"/>
    <w:rsid w:val="009A34A4"/>
    <w:rsid w:val="009A4836"/>
    <w:rsid w:val="009A6725"/>
    <w:rsid w:val="009A7191"/>
    <w:rsid w:val="009B1CD8"/>
    <w:rsid w:val="009B3631"/>
    <w:rsid w:val="009B67F8"/>
    <w:rsid w:val="009B79D2"/>
    <w:rsid w:val="009C13BA"/>
    <w:rsid w:val="009C3957"/>
    <w:rsid w:val="009C3C0A"/>
    <w:rsid w:val="009C3F02"/>
    <w:rsid w:val="009C44DC"/>
    <w:rsid w:val="009C5084"/>
    <w:rsid w:val="009C7D9E"/>
    <w:rsid w:val="009D0115"/>
    <w:rsid w:val="009D03D0"/>
    <w:rsid w:val="009D1035"/>
    <w:rsid w:val="009D2F36"/>
    <w:rsid w:val="009D393B"/>
    <w:rsid w:val="009D51D4"/>
    <w:rsid w:val="009D5380"/>
    <w:rsid w:val="009D7E02"/>
    <w:rsid w:val="009E4537"/>
    <w:rsid w:val="009E598A"/>
    <w:rsid w:val="009E5F3F"/>
    <w:rsid w:val="009E6B4D"/>
    <w:rsid w:val="009E6FB4"/>
    <w:rsid w:val="009F1CDC"/>
    <w:rsid w:val="009F3440"/>
    <w:rsid w:val="009F4A44"/>
    <w:rsid w:val="00A01794"/>
    <w:rsid w:val="00A01C2F"/>
    <w:rsid w:val="00A0227B"/>
    <w:rsid w:val="00A037F4"/>
    <w:rsid w:val="00A05510"/>
    <w:rsid w:val="00A067D3"/>
    <w:rsid w:val="00A06A8B"/>
    <w:rsid w:val="00A12EED"/>
    <w:rsid w:val="00A20591"/>
    <w:rsid w:val="00A26711"/>
    <w:rsid w:val="00A26E80"/>
    <w:rsid w:val="00A27659"/>
    <w:rsid w:val="00A33AEE"/>
    <w:rsid w:val="00A36FDD"/>
    <w:rsid w:val="00A40DFD"/>
    <w:rsid w:val="00A42591"/>
    <w:rsid w:val="00A45679"/>
    <w:rsid w:val="00A45705"/>
    <w:rsid w:val="00A50068"/>
    <w:rsid w:val="00A51F4B"/>
    <w:rsid w:val="00A52C3B"/>
    <w:rsid w:val="00A550FD"/>
    <w:rsid w:val="00A60AFF"/>
    <w:rsid w:val="00A61302"/>
    <w:rsid w:val="00A6459B"/>
    <w:rsid w:val="00A65F28"/>
    <w:rsid w:val="00A661F3"/>
    <w:rsid w:val="00A66360"/>
    <w:rsid w:val="00A676BF"/>
    <w:rsid w:val="00A678F8"/>
    <w:rsid w:val="00A75F02"/>
    <w:rsid w:val="00A76161"/>
    <w:rsid w:val="00A762DF"/>
    <w:rsid w:val="00A778A8"/>
    <w:rsid w:val="00A77DEA"/>
    <w:rsid w:val="00A80117"/>
    <w:rsid w:val="00A80205"/>
    <w:rsid w:val="00A80243"/>
    <w:rsid w:val="00A82335"/>
    <w:rsid w:val="00A83EA0"/>
    <w:rsid w:val="00A8689F"/>
    <w:rsid w:val="00A86B70"/>
    <w:rsid w:val="00A9023D"/>
    <w:rsid w:val="00A9033B"/>
    <w:rsid w:val="00A93E91"/>
    <w:rsid w:val="00A9488B"/>
    <w:rsid w:val="00A95B81"/>
    <w:rsid w:val="00A977B5"/>
    <w:rsid w:val="00AA113A"/>
    <w:rsid w:val="00AA1D5B"/>
    <w:rsid w:val="00AA2393"/>
    <w:rsid w:val="00AA3C5A"/>
    <w:rsid w:val="00AA4E4D"/>
    <w:rsid w:val="00AA5086"/>
    <w:rsid w:val="00AA5CDC"/>
    <w:rsid w:val="00AA5E34"/>
    <w:rsid w:val="00AB252E"/>
    <w:rsid w:val="00AB3F47"/>
    <w:rsid w:val="00AB4524"/>
    <w:rsid w:val="00AB65D7"/>
    <w:rsid w:val="00AB7D6A"/>
    <w:rsid w:val="00AC78A9"/>
    <w:rsid w:val="00AD1406"/>
    <w:rsid w:val="00AD1E79"/>
    <w:rsid w:val="00AD497C"/>
    <w:rsid w:val="00AD563F"/>
    <w:rsid w:val="00AD5A1A"/>
    <w:rsid w:val="00AE02B1"/>
    <w:rsid w:val="00AE0FE5"/>
    <w:rsid w:val="00AE35FD"/>
    <w:rsid w:val="00AE6C71"/>
    <w:rsid w:val="00AF0F21"/>
    <w:rsid w:val="00AF4799"/>
    <w:rsid w:val="00AF61C3"/>
    <w:rsid w:val="00AF6232"/>
    <w:rsid w:val="00AF69CE"/>
    <w:rsid w:val="00AF7D77"/>
    <w:rsid w:val="00B00AD6"/>
    <w:rsid w:val="00B01C0F"/>
    <w:rsid w:val="00B021DD"/>
    <w:rsid w:val="00B05626"/>
    <w:rsid w:val="00B068BC"/>
    <w:rsid w:val="00B06FB9"/>
    <w:rsid w:val="00B06FDC"/>
    <w:rsid w:val="00B07548"/>
    <w:rsid w:val="00B14504"/>
    <w:rsid w:val="00B14A07"/>
    <w:rsid w:val="00B1538B"/>
    <w:rsid w:val="00B153E6"/>
    <w:rsid w:val="00B17D90"/>
    <w:rsid w:val="00B21EDE"/>
    <w:rsid w:val="00B23C1B"/>
    <w:rsid w:val="00B24EC4"/>
    <w:rsid w:val="00B25F1E"/>
    <w:rsid w:val="00B2732B"/>
    <w:rsid w:val="00B2755C"/>
    <w:rsid w:val="00B27943"/>
    <w:rsid w:val="00B33AEB"/>
    <w:rsid w:val="00B46399"/>
    <w:rsid w:val="00B46874"/>
    <w:rsid w:val="00B46B2A"/>
    <w:rsid w:val="00B47D84"/>
    <w:rsid w:val="00B51002"/>
    <w:rsid w:val="00B5346D"/>
    <w:rsid w:val="00B53CDD"/>
    <w:rsid w:val="00B55342"/>
    <w:rsid w:val="00B57435"/>
    <w:rsid w:val="00B5777A"/>
    <w:rsid w:val="00B601B2"/>
    <w:rsid w:val="00B60D2E"/>
    <w:rsid w:val="00B614B2"/>
    <w:rsid w:val="00B640EE"/>
    <w:rsid w:val="00B65E45"/>
    <w:rsid w:val="00B6647E"/>
    <w:rsid w:val="00B67C6F"/>
    <w:rsid w:val="00B70804"/>
    <w:rsid w:val="00B7275E"/>
    <w:rsid w:val="00B72FE0"/>
    <w:rsid w:val="00B73A0D"/>
    <w:rsid w:val="00B740BD"/>
    <w:rsid w:val="00B75CAA"/>
    <w:rsid w:val="00B779E4"/>
    <w:rsid w:val="00B81BF1"/>
    <w:rsid w:val="00B821D3"/>
    <w:rsid w:val="00B82D8C"/>
    <w:rsid w:val="00B844B7"/>
    <w:rsid w:val="00B8569A"/>
    <w:rsid w:val="00B85C48"/>
    <w:rsid w:val="00B86AB4"/>
    <w:rsid w:val="00B9214D"/>
    <w:rsid w:val="00B95564"/>
    <w:rsid w:val="00B96BC0"/>
    <w:rsid w:val="00B97697"/>
    <w:rsid w:val="00B9798E"/>
    <w:rsid w:val="00BA2C64"/>
    <w:rsid w:val="00BA3503"/>
    <w:rsid w:val="00BA7B62"/>
    <w:rsid w:val="00BA7EE6"/>
    <w:rsid w:val="00BB0704"/>
    <w:rsid w:val="00BB354C"/>
    <w:rsid w:val="00BB37F4"/>
    <w:rsid w:val="00BB5660"/>
    <w:rsid w:val="00BB5C02"/>
    <w:rsid w:val="00BB6E11"/>
    <w:rsid w:val="00BB7035"/>
    <w:rsid w:val="00BB73AC"/>
    <w:rsid w:val="00BB7557"/>
    <w:rsid w:val="00BC0427"/>
    <w:rsid w:val="00BC107F"/>
    <w:rsid w:val="00BC4F3B"/>
    <w:rsid w:val="00BC58B2"/>
    <w:rsid w:val="00BC5C80"/>
    <w:rsid w:val="00BC650F"/>
    <w:rsid w:val="00BC6CAB"/>
    <w:rsid w:val="00BD0013"/>
    <w:rsid w:val="00BD2276"/>
    <w:rsid w:val="00BD24A4"/>
    <w:rsid w:val="00BD321F"/>
    <w:rsid w:val="00BD37AE"/>
    <w:rsid w:val="00BD3842"/>
    <w:rsid w:val="00BD5349"/>
    <w:rsid w:val="00BE05DA"/>
    <w:rsid w:val="00BE10F8"/>
    <w:rsid w:val="00BE4589"/>
    <w:rsid w:val="00BE4750"/>
    <w:rsid w:val="00BE5E7E"/>
    <w:rsid w:val="00BE6C9F"/>
    <w:rsid w:val="00BE7C8D"/>
    <w:rsid w:val="00BF11F8"/>
    <w:rsid w:val="00BF2620"/>
    <w:rsid w:val="00BF4ADB"/>
    <w:rsid w:val="00BF5143"/>
    <w:rsid w:val="00BF5198"/>
    <w:rsid w:val="00BF56BC"/>
    <w:rsid w:val="00BF6825"/>
    <w:rsid w:val="00C01337"/>
    <w:rsid w:val="00C02FCD"/>
    <w:rsid w:val="00C03992"/>
    <w:rsid w:val="00C079F6"/>
    <w:rsid w:val="00C102C3"/>
    <w:rsid w:val="00C10C90"/>
    <w:rsid w:val="00C12AAE"/>
    <w:rsid w:val="00C14390"/>
    <w:rsid w:val="00C1479F"/>
    <w:rsid w:val="00C14B5A"/>
    <w:rsid w:val="00C20697"/>
    <w:rsid w:val="00C20E08"/>
    <w:rsid w:val="00C21728"/>
    <w:rsid w:val="00C262A7"/>
    <w:rsid w:val="00C31221"/>
    <w:rsid w:val="00C31A85"/>
    <w:rsid w:val="00C3210D"/>
    <w:rsid w:val="00C3328E"/>
    <w:rsid w:val="00C338B2"/>
    <w:rsid w:val="00C3680E"/>
    <w:rsid w:val="00C36AB8"/>
    <w:rsid w:val="00C375D8"/>
    <w:rsid w:val="00C42798"/>
    <w:rsid w:val="00C4310A"/>
    <w:rsid w:val="00C474DB"/>
    <w:rsid w:val="00C47F34"/>
    <w:rsid w:val="00C50CF6"/>
    <w:rsid w:val="00C52156"/>
    <w:rsid w:val="00C5225B"/>
    <w:rsid w:val="00C52DA1"/>
    <w:rsid w:val="00C54A42"/>
    <w:rsid w:val="00C54D6A"/>
    <w:rsid w:val="00C55283"/>
    <w:rsid w:val="00C55F1D"/>
    <w:rsid w:val="00C564ED"/>
    <w:rsid w:val="00C61C11"/>
    <w:rsid w:val="00C63FBA"/>
    <w:rsid w:val="00C66290"/>
    <w:rsid w:val="00C70FB3"/>
    <w:rsid w:val="00C71EA6"/>
    <w:rsid w:val="00C72A52"/>
    <w:rsid w:val="00C73D48"/>
    <w:rsid w:val="00C741DE"/>
    <w:rsid w:val="00C77B2E"/>
    <w:rsid w:val="00C830DA"/>
    <w:rsid w:val="00C83A93"/>
    <w:rsid w:val="00C87AA2"/>
    <w:rsid w:val="00C9130A"/>
    <w:rsid w:val="00C91AF3"/>
    <w:rsid w:val="00C95921"/>
    <w:rsid w:val="00C9607C"/>
    <w:rsid w:val="00C961D3"/>
    <w:rsid w:val="00CA1885"/>
    <w:rsid w:val="00CA2837"/>
    <w:rsid w:val="00CB1414"/>
    <w:rsid w:val="00CB2C68"/>
    <w:rsid w:val="00CB2F87"/>
    <w:rsid w:val="00CB68C9"/>
    <w:rsid w:val="00CB6B05"/>
    <w:rsid w:val="00CB76A3"/>
    <w:rsid w:val="00CC0275"/>
    <w:rsid w:val="00CC1821"/>
    <w:rsid w:val="00CC1A00"/>
    <w:rsid w:val="00CC1C50"/>
    <w:rsid w:val="00CC2B28"/>
    <w:rsid w:val="00CC44E3"/>
    <w:rsid w:val="00CC50C2"/>
    <w:rsid w:val="00CC6166"/>
    <w:rsid w:val="00CD2C19"/>
    <w:rsid w:val="00CD3E1B"/>
    <w:rsid w:val="00CD5F40"/>
    <w:rsid w:val="00CD6C0B"/>
    <w:rsid w:val="00CE01E6"/>
    <w:rsid w:val="00CE0745"/>
    <w:rsid w:val="00CE1920"/>
    <w:rsid w:val="00CE2B6B"/>
    <w:rsid w:val="00CE42AE"/>
    <w:rsid w:val="00CF0A30"/>
    <w:rsid w:val="00CF2926"/>
    <w:rsid w:val="00CF3B94"/>
    <w:rsid w:val="00CF3F44"/>
    <w:rsid w:val="00CF46A8"/>
    <w:rsid w:val="00CF66A1"/>
    <w:rsid w:val="00D00220"/>
    <w:rsid w:val="00D05379"/>
    <w:rsid w:val="00D06676"/>
    <w:rsid w:val="00D07ED7"/>
    <w:rsid w:val="00D109DC"/>
    <w:rsid w:val="00D1153C"/>
    <w:rsid w:val="00D11CCD"/>
    <w:rsid w:val="00D137A9"/>
    <w:rsid w:val="00D1495F"/>
    <w:rsid w:val="00D14BFB"/>
    <w:rsid w:val="00D1605E"/>
    <w:rsid w:val="00D160BE"/>
    <w:rsid w:val="00D167BA"/>
    <w:rsid w:val="00D17649"/>
    <w:rsid w:val="00D178B0"/>
    <w:rsid w:val="00D17978"/>
    <w:rsid w:val="00D20844"/>
    <w:rsid w:val="00D22038"/>
    <w:rsid w:val="00D22B94"/>
    <w:rsid w:val="00D242B0"/>
    <w:rsid w:val="00D25FC1"/>
    <w:rsid w:val="00D26161"/>
    <w:rsid w:val="00D26E5C"/>
    <w:rsid w:val="00D27B2E"/>
    <w:rsid w:val="00D27E4C"/>
    <w:rsid w:val="00D324E6"/>
    <w:rsid w:val="00D336E6"/>
    <w:rsid w:val="00D3459F"/>
    <w:rsid w:val="00D34719"/>
    <w:rsid w:val="00D35AD2"/>
    <w:rsid w:val="00D36FBF"/>
    <w:rsid w:val="00D37EC3"/>
    <w:rsid w:val="00D4089F"/>
    <w:rsid w:val="00D40B53"/>
    <w:rsid w:val="00D51F5A"/>
    <w:rsid w:val="00D5236A"/>
    <w:rsid w:val="00D53C25"/>
    <w:rsid w:val="00D55BD1"/>
    <w:rsid w:val="00D61D5C"/>
    <w:rsid w:val="00D622CD"/>
    <w:rsid w:val="00D63F5A"/>
    <w:rsid w:val="00D64694"/>
    <w:rsid w:val="00D658B3"/>
    <w:rsid w:val="00D65BC7"/>
    <w:rsid w:val="00D67682"/>
    <w:rsid w:val="00D676BC"/>
    <w:rsid w:val="00D71937"/>
    <w:rsid w:val="00D71E10"/>
    <w:rsid w:val="00D72C80"/>
    <w:rsid w:val="00D72DFB"/>
    <w:rsid w:val="00D72F86"/>
    <w:rsid w:val="00D74CCE"/>
    <w:rsid w:val="00D75C5B"/>
    <w:rsid w:val="00D80A66"/>
    <w:rsid w:val="00D81657"/>
    <w:rsid w:val="00D84A66"/>
    <w:rsid w:val="00D84B8C"/>
    <w:rsid w:val="00D850F6"/>
    <w:rsid w:val="00D86C7E"/>
    <w:rsid w:val="00D87D17"/>
    <w:rsid w:val="00D90965"/>
    <w:rsid w:val="00D93717"/>
    <w:rsid w:val="00D949B2"/>
    <w:rsid w:val="00DA04F6"/>
    <w:rsid w:val="00DA0852"/>
    <w:rsid w:val="00DA6489"/>
    <w:rsid w:val="00DA70FD"/>
    <w:rsid w:val="00DB0B5E"/>
    <w:rsid w:val="00DB342C"/>
    <w:rsid w:val="00DB4BB7"/>
    <w:rsid w:val="00DB4D7E"/>
    <w:rsid w:val="00DB5AAA"/>
    <w:rsid w:val="00DB68AB"/>
    <w:rsid w:val="00DB7FE1"/>
    <w:rsid w:val="00DC11F9"/>
    <w:rsid w:val="00DC2B3A"/>
    <w:rsid w:val="00DC65A9"/>
    <w:rsid w:val="00DC67B1"/>
    <w:rsid w:val="00DC7623"/>
    <w:rsid w:val="00DD2CCA"/>
    <w:rsid w:val="00DD34A3"/>
    <w:rsid w:val="00DD6563"/>
    <w:rsid w:val="00DD6CBB"/>
    <w:rsid w:val="00DD7642"/>
    <w:rsid w:val="00DE573E"/>
    <w:rsid w:val="00DE795F"/>
    <w:rsid w:val="00DF1214"/>
    <w:rsid w:val="00DF1DB0"/>
    <w:rsid w:val="00DF209D"/>
    <w:rsid w:val="00DF5037"/>
    <w:rsid w:val="00DF75E9"/>
    <w:rsid w:val="00DF7DD5"/>
    <w:rsid w:val="00E00311"/>
    <w:rsid w:val="00E009A0"/>
    <w:rsid w:val="00E035EE"/>
    <w:rsid w:val="00E0491C"/>
    <w:rsid w:val="00E058DA"/>
    <w:rsid w:val="00E10A4A"/>
    <w:rsid w:val="00E11A25"/>
    <w:rsid w:val="00E1370A"/>
    <w:rsid w:val="00E16816"/>
    <w:rsid w:val="00E16C84"/>
    <w:rsid w:val="00E16E4F"/>
    <w:rsid w:val="00E172CD"/>
    <w:rsid w:val="00E21547"/>
    <w:rsid w:val="00E229AE"/>
    <w:rsid w:val="00E235A2"/>
    <w:rsid w:val="00E24C8A"/>
    <w:rsid w:val="00E25ACB"/>
    <w:rsid w:val="00E30504"/>
    <w:rsid w:val="00E30EC4"/>
    <w:rsid w:val="00E314DE"/>
    <w:rsid w:val="00E31F81"/>
    <w:rsid w:val="00E33D44"/>
    <w:rsid w:val="00E33ED1"/>
    <w:rsid w:val="00E358A7"/>
    <w:rsid w:val="00E35D64"/>
    <w:rsid w:val="00E36776"/>
    <w:rsid w:val="00E40BBE"/>
    <w:rsid w:val="00E40DC6"/>
    <w:rsid w:val="00E427A2"/>
    <w:rsid w:val="00E433ED"/>
    <w:rsid w:val="00E4467D"/>
    <w:rsid w:val="00E4512F"/>
    <w:rsid w:val="00E47417"/>
    <w:rsid w:val="00E47DD8"/>
    <w:rsid w:val="00E50986"/>
    <w:rsid w:val="00E513CA"/>
    <w:rsid w:val="00E51655"/>
    <w:rsid w:val="00E55C4C"/>
    <w:rsid w:val="00E566F3"/>
    <w:rsid w:val="00E5798B"/>
    <w:rsid w:val="00E57BA9"/>
    <w:rsid w:val="00E6116F"/>
    <w:rsid w:val="00E61510"/>
    <w:rsid w:val="00E63645"/>
    <w:rsid w:val="00E6364A"/>
    <w:rsid w:val="00E643F7"/>
    <w:rsid w:val="00E64CBF"/>
    <w:rsid w:val="00E64E17"/>
    <w:rsid w:val="00E6546B"/>
    <w:rsid w:val="00E706EA"/>
    <w:rsid w:val="00E70DF4"/>
    <w:rsid w:val="00E70EA0"/>
    <w:rsid w:val="00E71D48"/>
    <w:rsid w:val="00E73D25"/>
    <w:rsid w:val="00E74307"/>
    <w:rsid w:val="00E7463F"/>
    <w:rsid w:val="00E747E7"/>
    <w:rsid w:val="00E75814"/>
    <w:rsid w:val="00E75A40"/>
    <w:rsid w:val="00E801E7"/>
    <w:rsid w:val="00E81540"/>
    <w:rsid w:val="00E87061"/>
    <w:rsid w:val="00E9507A"/>
    <w:rsid w:val="00E950BC"/>
    <w:rsid w:val="00E9563D"/>
    <w:rsid w:val="00E95A06"/>
    <w:rsid w:val="00E95D88"/>
    <w:rsid w:val="00E96A61"/>
    <w:rsid w:val="00EA0F12"/>
    <w:rsid w:val="00EA104D"/>
    <w:rsid w:val="00EA17A4"/>
    <w:rsid w:val="00EA2769"/>
    <w:rsid w:val="00EA5487"/>
    <w:rsid w:val="00EA6262"/>
    <w:rsid w:val="00EA691B"/>
    <w:rsid w:val="00EA6BF2"/>
    <w:rsid w:val="00EA7277"/>
    <w:rsid w:val="00EA7E05"/>
    <w:rsid w:val="00EB0159"/>
    <w:rsid w:val="00EB0F3A"/>
    <w:rsid w:val="00EB1405"/>
    <w:rsid w:val="00EB1481"/>
    <w:rsid w:val="00EB2ACC"/>
    <w:rsid w:val="00EB63A6"/>
    <w:rsid w:val="00EC04B8"/>
    <w:rsid w:val="00EC1220"/>
    <w:rsid w:val="00EC3CB2"/>
    <w:rsid w:val="00EC5C05"/>
    <w:rsid w:val="00EC6A6A"/>
    <w:rsid w:val="00ED0C29"/>
    <w:rsid w:val="00ED0FAE"/>
    <w:rsid w:val="00ED18E2"/>
    <w:rsid w:val="00ED2D28"/>
    <w:rsid w:val="00ED357B"/>
    <w:rsid w:val="00ED5028"/>
    <w:rsid w:val="00ED6966"/>
    <w:rsid w:val="00EE32E1"/>
    <w:rsid w:val="00EE356B"/>
    <w:rsid w:val="00EE3F49"/>
    <w:rsid w:val="00EE43D8"/>
    <w:rsid w:val="00EE5446"/>
    <w:rsid w:val="00EE6671"/>
    <w:rsid w:val="00EF10C3"/>
    <w:rsid w:val="00EF27BB"/>
    <w:rsid w:val="00EF2EBC"/>
    <w:rsid w:val="00EF353A"/>
    <w:rsid w:val="00EF45F6"/>
    <w:rsid w:val="00EF4D60"/>
    <w:rsid w:val="00F00652"/>
    <w:rsid w:val="00F00708"/>
    <w:rsid w:val="00F047F4"/>
    <w:rsid w:val="00F048BD"/>
    <w:rsid w:val="00F06D60"/>
    <w:rsid w:val="00F10972"/>
    <w:rsid w:val="00F14490"/>
    <w:rsid w:val="00F20795"/>
    <w:rsid w:val="00F20FFB"/>
    <w:rsid w:val="00F218BC"/>
    <w:rsid w:val="00F21A60"/>
    <w:rsid w:val="00F22864"/>
    <w:rsid w:val="00F2316F"/>
    <w:rsid w:val="00F2715D"/>
    <w:rsid w:val="00F272A4"/>
    <w:rsid w:val="00F30B1B"/>
    <w:rsid w:val="00F310B1"/>
    <w:rsid w:val="00F32D4C"/>
    <w:rsid w:val="00F32FD7"/>
    <w:rsid w:val="00F34607"/>
    <w:rsid w:val="00F34B06"/>
    <w:rsid w:val="00F3690B"/>
    <w:rsid w:val="00F373D4"/>
    <w:rsid w:val="00F44350"/>
    <w:rsid w:val="00F44FB0"/>
    <w:rsid w:val="00F45911"/>
    <w:rsid w:val="00F45C55"/>
    <w:rsid w:val="00F45D97"/>
    <w:rsid w:val="00F50AAC"/>
    <w:rsid w:val="00F510E5"/>
    <w:rsid w:val="00F51172"/>
    <w:rsid w:val="00F51BE5"/>
    <w:rsid w:val="00F526D5"/>
    <w:rsid w:val="00F539C9"/>
    <w:rsid w:val="00F542E0"/>
    <w:rsid w:val="00F60B3A"/>
    <w:rsid w:val="00F629AE"/>
    <w:rsid w:val="00F637E5"/>
    <w:rsid w:val="00F63BB0"/>
    <w:rsid w:val="00F6498B"/>
    <w:rsid w:val="00F6712A"/>
    <w:rsid w:val="00F7104E"/>
    <w:rsid w:val="00F715E9"/>
    <w:rsid w:val="00F7284E"/>
    <w:rsid w:val="00F76902"/>
    <w:rsid w:val="00F772E6"/>
    <w:rsid w:val="00F77545"/>
    <w:rsid w:val="00F826CA"/>
    <w:rsid w:val="00F82D03"/>
    <w:rsid w:val="00F854BB"/>
    <w:rsid w:val="00F85ABF"/>
    <w:rsid w:val="00F8645A"/>
    <w:rsid w:val="00F87938"/>
    <w:rsid w:val="00F91B44"/>
    <w:rsid w:val="00F926A6"/>
    <w:rsid w:val="00F93AC3"/>
    <w:rsid w:val="00F95AE6"/>
    <w:rsid w:val="00F96C93"/>
    <w:rsid w:val="00F97134"/>
    <w:rsid w:val="00F97599"/>
    <w:rsid w:val="00FA11DF"/>
    <w:rsid w:val="00FA59AA"/>
    <w:rsid w:val="00FB0145"/>
    <w:rsid w:val="00FB31B0"/>
    <w:rsid w:val="00FB3AB6"/>
    <w:rsid w:val="00FC04DE"/>
    <w:rsid w:val="00FC154B"/>
    <w:rsid w:val="00FC213A"/>
    <w:rsid w:val="00FC4A6A"/>
    <w:rsid w:val="00FC5260"/>
    <w:rsid w:val="00FC616F"/>
    <w:rsid w:val="00FC7459"/>
    <w:rsid w:val="00FC777D"/>
    <w:rsid w:val="00FD028A"/>
    <w:rsid w:val="00FD08D2"/>
    <w:rsid w:val="00FD0C07"/>
    <w:rsid w:val="00FD1E85"/>
    <w:rsid w:val="00FD2C70"/>
    <w:rsid w:val="00FD2E71"/>
    <w:rsid w:val="00FD3FBE"/>
    <w:rsid w:val="00FD45B5"/>
    <w:rsid w:val="00FD7B63"/>
    <w:rsid w:val="00FE0226"/>
    <w:rsid w:val="00FE0262"/>
    <w:rsid w:val="00FE3499"/>
    <w:rsid w:val="00FF0332"/>
    <w:rsid w:val="00FF0709"/>
    <w:rsid w:val="00FF12D0"/>
    <w:rsid w:val="00FF2650"/>
    <w:rsid w:val="00FF318D"/>
    <w:rsid w:val="00FF3F35"/>
    <w:rsid w:val="00FF4200"/>
    <w:rsid w:val="00FF4CFA"/>
    <w:rsid w:val="00FF788B"/>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3701"/>
  <w15:docId w15:val="{21262272-5413-43CC-96E0-4AAA0AC0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D3FE9"/>
    <w:rPr>
      <w:rFonts w:ascii="Arial" w:hAnsi="Arial"/>
      <w:sz w:val="24"/>
      <w:szCs w:val="22"/>
      <w:lang w:eastAsia="en-US"/>
    </w:rPr>
  </w:style>
  <w:style w:type="paragraph" w:styleId="Heading1">
    <w:name w:val="heading 1"/>
    <w:basedOn w:val="Normal"/>
    <w:next w:val="Level1"/>
    <w:qFormat/>
    <w:rsid w:val="00B95564"/>
    <w:pPr>
      <w:keepNext/>
      <w:spacing w:after="480" w:line="360" w:lineRule="auto"/>
      <w:outlineLvl w:val="0"/>
    </w:pPr>
    <w:rPr>
      <w:rFonts w:ascii="Times New Roman" w:hAnsi="Times New Roman" w:cs="Arial"/>
      <w:b/>
      <w:bCs/>
      <w:kern w:val="32"/>
      <w:szCs w:val="32"/>
    </w:rPr>
  </w:style>
  <w:style w:type="paragraph" w:styleId="Heading2">
    <w:name w:val="heading 2"/>
    <w:basedOn w:val="Normal"/>
    <w:next w:val="Level1"/>
    <w:qFormat/>
    <w:rsid w:val="009A6725"/>
    <w:pPr>
      <w:keepNext/>
      <w:numPr>
        <w:numId w:val="5"/>
      </w:numPr>
      <w:spacing w:after="360" w:line="480" w:lineRule="auto"/>
      <w:ind w:left="851" w:hanging="851"/>
      <w:outlineLvl w:val="1"/>
    </w:pPr>
    <w:rPr>
      <w:rFonts w:ascii="Times New Roman" w:hAnsi="Times New Roman" w:cs="Arial"/>
      <w:bCs/>
      <w:i/>
      <w:iCs/>
      <w:szCs w:val="28"/>
    </w:rPr>
  </w:style>
  <w:style w:type="paragraph" w:styleId="Heading3">
    <w:name w:val="heading 3"/>
    <w:basedOn w:val="Normal"/>
    <w:next w:val="Level1"/>
    <w:qFormat/>
    <w:rsid w:val="00B95564"/>
    <w:pPr>
      <w:keepNext/>
      <w:numPr>
        <w:numId w:val="6"/>
      </w:numPr>
      <w:spacing w:after="360" w:line="480" w:lineRule="auto"/>
      <w:ind w:left="851" w:hanging="851"/>
      <w:outlineLvl w:val="2"/>
    </w:pPr>
    <w:rPr>
      <w:rFonts w:ascii="Times New Roman" w:hAnsi="Times New Roman"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numberedtextCharChar">
    <w:name w:val="Unnumbered text Char Char"/>
    <w:basedOn w:val="DefaultParagraphFont"/>
    <w:link w:val="Unnumberedtext"/>
    <w:uiPriority w:val="1"/>
    <w:locked/>
    <w:rsid w:val="006E7058"/>
    <w:rPr>
      <w:rFonts w:ascii="Arial" w:eastAsia="Times New Roman" w:hAnsi="Arial" w:cs="Arial"/>
      <w:sz w:val="24"/>
      <w:szCs w:val="22"/>
      <w:lang w:eastAsia="en-GB"/>
    </w:rPr>
  </w:style>
  <w:style w:type="paragraph" w:customStyle="1" w:styleId="legalnumbering1ai">
    <w:name w:val="legal numbering 1/a/i"/>
    <w:basedOn w:val="Normal"/>
    <w:link w:val="legalnumbering1aiChar"/>
    <w:semiHidden/>
    <w:qFormat/>
    <w:rsid w:val="00526E97"/>
    <w:pPr>
      <w:spacing w:before="120" w:after="120"/>
      <w:contextualSpacing/>
    </w:pPr>
  </w:style>
  <w:style w:type="paragraph" w:customStyle="1" w:styleId="Unnumberedtext">
    <w:name w:val="Unnumbered text"/>
    <w:basedOn w:val="Normal"/>
    <w:link w:val="UnnumberedtextCharChar"/>
    <w:uiPriority w:val="1"/>
    <w:qFormat/>
    <w:rsid w:val="006E7058"/>
    <w:pPr>
      <w:spacing w:after="360" w:line="480" w:lineRule="auto"/>
    </w:pPr>
    <w:rPr>
      <w:rFonts w:eastAsia="Times New Roman" w:cs="Arial"/>
      <w:lang w:eastAsia="en-GB"/>
    </w:rPr>
  </w:style>
  <w:style w:type="character" w:customStyle="1" w:styleId="legalnumbering1aiChar">
    <w:name w:val="legal numbering 1/a/i Char"/>
    <w:basedOn w:val="DefaultParagraphFont"/>
    <w:link w:val="legalnumbering1ai"/>
    <w:semiHidden/>
    <w:rsid w:val="00526E97"/>
    <w:rPr>
      <w:rFonts w:ascii="Arial" w:hAnsi="Arial"/>
      <w:sz w:val="24"/>
      <w:szCs w:val="22"/>
      <w:lang w:eastAsia="en-US"/>
    </w:rPr>
  </w:style>
  <w:style w:type="paragraph" w:customStyle="1" w:styleId="Frontpageheading">
    <w:name w:val="Front page heading"/>
    <w:basedOn w:val="Normal"/>
    <w:next w:val="Unnumberedtext"/>
    <w:uiPriority w:val="2"/>
    <w:rsid w:val="00526E97"/>
    <w:rPr>
      <w:b/>
      <w:caps/>
    </w:rPr>
  </w:style>
  <w:style w:type="table" w:styleId="TableGrid">
    <w:name w:val="Table Grid"/>
    <w:basedOn w:val="TableNormal"/>
    <w:semiHidden/>
    <w:rsid w:val="00526E97"/>
    <w:pPr>
      <w:spacing w:before="180" w:after="18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randum">
    <w:name w:val="Memorandum"/>
    <w:basedOn w:val="Frontpageheading"/>
    <w:next w:val="Unnumberedtext"/>
    <w:uiPriority w:val="2"/>
    <w:rsid w:val="00916607"/>
    <w:pPr>
      <w:pBdr>
        <w:top w:val="single" w:sz="12" w:space="12" w:color="auto"/>
        <w:bottom w:val="single" w:sz="12" w:space="12" w:color="auto"/>
      </w:pBdr>
    </w:pPr>
  </w:style>
  <w:style w:type="paragraph" w:styleId="Header">
    <w:name w:val="header"/>
    <w:basedOn w:val="Normal"/>
    <w:link w:val="HeaderChar"/>
    <w:uiPriority w:val="99"/>
    <w:rsid w:val="00526E97"/>
    <w:pPr>
      <w:tabs>
        <w:tab w:val="center" w:pos="4320"/>
        <w:tab w:val="right" w:pos="8640"/>
      </w:tabs>
    </w:pPr>
  </w:style>
  <w:style w:type="paragraph" w:styleId="Footer">
    <w:name w:val="footer"/>
    <w:basedOn w:val="Normal"/>
    <w:semiHidden/>
    <w:rsid w:val="00526E97"/>
    <w:pPr>
      <w:tabs>
        <w:tab w:val="center" w:pos="4320"/>
        <w:tab w:val="right" w:pos="8640"/>
      </w:tabs>
    </w:pPr>
  </w:style>
  <w:style w:type="paragraph" w:customStyle="1" w:styleId="anumbering1ai">
    <w:name w:val="/ (a) numbering 1/a/i"/>
    <w:basedOn w:val="Normal"/>
    <w:semiHidden/>
    <w:qFormat/>
    <w:rsid w:val="00526E97"/>
    <w:pPr>
      <w:numPr>
        <w:numId w:val="1"/>
      </w:numPr>
    </w:pPr>
  </w:style>
  <w:style w:type="paragraph" w:customStyle="1" w:styleId="Bullets">
    <w:name w:val="Bullets"/>
    <w:basedOn w:val="Normal"/>
    <w:uiPriority w:val="1"/>
    <w:rsid w:val="0016776F"/>
    <w:pPr>
      <w:numPr>
        <w:numId w:val="2"/>
      </w:numPr>
      <w:contextualSpacing/>
    </w:pPr>
  </w:style>
  <w:style w:type="paragraph" w:customStyle="1" w:styleId="SBbulletslevel1">
    <w:name w:val="SB bullets level 1"/>
    <w:basedOn w:val="Normal"/>
    <w:semiHidden/>
    <w:rsid w:val="00526E97"/>
    <w:pPr>
      <w:numPr>
        <w:numId w:val="3"/>
      </w:numPr>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ar,f"/>
    <w:basedOn w:val="Normal"/>
    <w:link w:val="FootnoteTextChar"/>
    <w:uiPriority w:val="99"/>
    <w:qFormat/>
    <w:rsid w:val="00526E97"/>
    <w:rPr>
      <w:sz w:val="20"/>
      <w:szCs w:val="20"/>
    </w:rPr>
  </w:style>
  <w:style w:type="character" w:styleId="CommentReference">
    <w:name w:val="annotation reference"/>
    <w:basedOn w:val="DefaultParagraphFont"/>
    <w:semiHidden/>
    <w:rsid w:val="00526E97"/>
    <w:rPr>
      <w:sz w:val="16"/>
      <w:szCs w:val="16"/>
    </w:rPr>
  </w:style>
  <w:style w:type="paragraph" w:styleId="CommentText">
    <w:name w:val="annotation text"/>
    <w:basedOn w:val="Normal"/>
    <w:semiHidden/>
    <w:rsid w:val="00526E97"/>
    <w:rPr>
      <w:sz w:val="20"/>
      <w:szCs w:val="20"/>
    </w:rPr>
  </w:style>
  <w:style w:type="paragraph" w:styleId="CommentSubject">
    <w:name w:val="annotation subject"/>
    <w:basedOn w:val="CommentText"/>
    <w:next w:val="CommentText"/>
    <w:semiHidden/>
    <w:rsid w:val="00526E97"/>
    <w:rPr>
      <w:b/>
      <w:bCs/>
    </w:rPr>
  </w:style>
  <w:style w:type="paragraph" w:styleId="BalloonText">
    <w:name w:val="Balloon Text"/>
    <w:basedOn w:val="Normal"/>
    <w:semiHidden/>
    <w:rsid w:val="00526E97"/>
    <w:rPr>
      <w:rFonts w:ascii="Tahoma" w:hAnsi="Tahoma" w:cs="Tahoma"/>
      <w:sz w:val="16"/>
      <w:szCs w:val="16"/>
    </w:rPr>
  </w:style>
  <w:style w:type="character" w:styleId="FootnoteReference">
    <w:name w:val="footnote reference"/>
    <w:aliases w:val="Ref,de nota al pie,註腳內容,Footnotes refss,Heading 6 Char1,do not use4 Char1,Footnote symbol,(NECG) Footnote Reference,Appel note de bas de page,fr,Footnote Reference + Superscript,Style 12,Footnote,Footnote Reference1,Ref1,Nota,o,11 pt"/>
    <w:basedOn w:val="DefaultParagraphFont"/>
    <w:uiPriority w:val="99"/>
    <w:qFormat/>
    <w:rsid w:val="00526E97"/>
    <w:rPr>
      <w:vertAlign w:val="superscript"/>
    </w:rPr>
  </w:style>
  <w:style w:type="paragraph" w:customStyle="1" w:styleId="Indentedtext">
    <w:name w:val="Indented text"/>
    <w:basedOn w:val="Normal"/>
    <w:uiPriority w:val="1"/>
    <w:rsid w:val="00916607"/>
    <w:pPr>
      <w:ind w:left="567"/>
    </w:pPr>
  </w:style>
  <w:style w:type="paragraph" w:styleId="Quote">
    <w:name w:val="Quote"/>
    <w:basedOn w:val="Normal"/>
    <w:link w:val="QuoteChar"/>
    <w:uiPriority w:val="1"/>
    <w:qFormat/>
    <w:rsid w:val="00B95564"/>
    <w:pPr>
      <w:spacing w:after="600"/>
      <w:ind w:left="1418"/>
    </w:pPr>
    <w:rPr>
      <w:rFonts w:ascii="Times New Roman" w:hAnsi="Times New Roman"/>
      <w:iCs/>
      <w:color w:val="000000" w:themeColor="text1"/>
    </w:rPr>
  </w:style>
  <w:style w:type="character" w:customStyle="1" w:styleId="QuoteChar">
    <w:name w:val="Quote Char"/>
    <w:basedOn w:val="DefaultParagraphFont"/>
    <w:link w:val="Quote"/>
    <w:uiPriority w:val="1"/>
    <w:rsid w:val="00B95564"/>
    <w:rPr>
      <w:rFonts w:ascii="Times New Roman" w:hAnsi="Times New Roman"/>
      <w:iCs/>
      <w:color w:val="000000" w:themeColor="text1"/>
      <w:sz w:val="24"/>
      <w:szCs w:val="22"/>
      <w:lang w:eastAsia="en-US"/>
    </w:rPr>
  </w:style>
  <w:style w:type="paragraph" w:styleId="ListParagraph">
    <w:name w:val="List Paragraph"/>
    <w:basedOn w:val="Normal"/>
    <w:uiPriority w:val="34"/>
    <w:semiHidden/>
    <w:rsid w:val="00526E97"/>
    <w:pPr>
      <w:ind w:left="720"/>
      <w:contextualSpacing/>
    </w:pPr>
  </w:style>
  <w:style w:type="paragraph" w:customStyle="1" w:styleId="Level1">
    <w:name w:val="Level 1"/>
    <w:basedOn w:val="Normal"/>
    <w:qFormat/>
    <w:rsid w:val="00B95564"/>
    <w:pPr>
      <w:numPr>
        <w:numId w:val="4"/>
      </w:numPr>
      <w:spacing w:after="360" w:line="480" w:lineRule="auto"/>
      <w:ind w:left="851" w:hanging="851"/>
    </w:pPr>
    <w:rPr>
      <w:rFonts w:ascii="Times New Roman" w:hAnsi="Times New Roman"/>
    </w:rPr>
  </w:style>
  <w:style w:type="paragraph" w:customStyle="1" w:styleId="Level2">
    <w:name w:val="Level 2"/>
    <w:basedOn w:val="Normal"/>
    <w:qFormat/>
    <w:rsid w:val="00E30504"/>
    <w:pPr>
      <w:numPr>
        <w:ilvl w:val="1"/>
        <w:numId w:val="4"/>
      </w:numPr>
      <w:spacing w:after="360" w:line="480" w:lineRule="auto"/>
    </w:pPr>
    <w:rPr>
      <w:rFonts w:ascii="Times New Roman" w:hAnsi="Times New Roman"/>
    </w:rPr>
  </w:style>
  <w:style w:type="paragraph" w:customStyle="1" w:styleId="Level3">
    <w:name w:val="Level 3"/>
    <w:basedOn w:val="Normal"/>
    <w:qFormat/>
    <w:rsid w:val="00B95564"/>
    <w:pPr>
      <w:numPr>
        <w:ilvl w:val="2"/>
        <w:numId w:val="4"/>
      </w:numPr>
      <w:spacing w:after="360" w:line="480" w:lineRule="auto"/>
      <w:ind w:left="2891" w:hanging="1077"/>
    </w:pPr>
    <w:rPr>
      <w:rFonts w:ascii="Times New Roman" w:hAnsi="Times New Roman"/>
    </w:rPr>
  </w:style>
  <w:style w:type="paragraph" w:customStyle="1" w:styleId="CitationText">
    <w:name w:val="Citation Text"/>
    <w:basedOn w:val="Normal"/>
    <w:semiHidden/>
    <w:qFormat/>
    <w:rsid w:val="00526E97"/>
    <w:rPr>
      <w:b/>
      <w:caps/>
    </w:rPr>
  </w:style>
  <w:style w:type="paragraph" w:customStyle="1" w:styleId="LAbody">
    <w:name w:val="LA body"/>
    <w:basedOn w:val="Normal"/>
    <w:semiHidden/>
    <w:qFormat/>
    <w:rsid w:val="00526E97"/>
  </w:style>
  <w:style w:type="paragraph" w:customStyle="1" w:styleId="Style1">
    <w:name w:val="Style1"/>
    <w:basedOn w:val="Heading2"/>
    <w:rsid w:val="003F0D39"/>
  </w:style>
  <w:style w:type="character" w:customStyle="1" w:styleId="HeaderChar">
    <w:name w:val="Header Char"/>
    <w:basedOn w:val="DefaultParagraphFont"/>
    <w:link w:val="Header"/>
    <w:uiPriority w:val="99"/>
    <w:rsid w:val="002A73A6"/>
    <w:rPr>
      <w:rFonts w:ascii="Arial" w:hAnsi="Arial"/>
      <w:sz w:val="24"/>
      <w:szCs w:val="22"/>
      <w:lang w:eastAsia="en-US"/>
    </w:rPr>
  </w:style>
  <w:style w:type="paragraph" w:customStyle="1" w:styleId="GW11">
    <w:name w:val="GW1.1"/>
    <w:basedOn w:val="Normal"/>
    <w:rsid w:val="00677DE0"/>
    <w:pPr>
      <w:tabs>
        <w:tab w:val="left" w:pos="0"/>
        <w:tab w:val="left" w:pos="720"/>
        <w:tab w:val="left" w:pos="1584"/>
        <w:tab w:val="left" w:pos="3024"/>
        <w:tab w:val="left" w:pos="4464"/>
        <w:tab w:val="left" w:pos="6624"/>
      </w:tabs>
      <w:autoSpaceDE w:val="0"/>
      <w:autoSpaceDN w:val="0"/>
      <w:adjustRightInd w:val="0"/>
      <w:spacing w:line="360" w:lineRule="auto"/>
      <w:ind w:right="281"/>
    </w:pPr>
    <w:rPr>
      <w:rFonts w:eastAsia="Times New Roman" w:cs="Arial"/>
      <w:szCs w:val="24"/>
      <w:lang w:val="en-US"/>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ar Char"/>
    <w:link w:val="FootnoteText"/>
    <w:uiPriority w:val="99"/>
    <w:qFormat/>
    <w:rsid w:val="00F539C9"/>
    <w:rPr>
      <w:rFonts w:ascii="Arial" w:hAnsi="Arial"/>
      <w:lang w:eastAsia="en-US"/>
    </w:rPr>
  </w:style>
  <w:style w:type="paragraph" w:styleId="NormalWeb">
    <w:name w:val="Normal (Web)"/>
    <w:basedOn w:val="Normal"/>
    <w:uiPriority w:val="99"/>
    <w:unhideWhenUsed/>
    <w:rsid w:val="00546ACF"/>
    <w:pPr>
      <w:spacing w:before="100" w:beforeAutospacing="1" w:after="100" w:afterAutospacing="1"/>
      <w:jc w:val="left"/>
    </w:pPr>
    <w:rPr>
      <w:rFonts w:ascii="Times New Roman" w:eastAsiaTheme="minorHAnsi" w:hAnsi="Times New Roman"/>
      <w:szCs w:val="24"/>
      <w:lang w:val="en-US"/>
    </w:rPr>
  </w:style>
  <w:style w:type="paragraph" w:customStyle="1" w:styleId="WLGLevel1">
    <w:name w:val="WLGLevel1"/>
    <w:basedOn w:val="Normal"/>
    <w:qFormat/>
    <w:rsid w:val="00FF3F35"/>
    <w:pPr>
      <w:numPr>
        <w:numId w:val="7"/>
      </w:numPr>
      <w:suppressAutoHyphens/>
      <w:spacing w:before="320" w:after="320" w:line="480" w:lineRule="auto"/>
      <w:outlineLvl w:val="0"/>
    </w:pPr>
    <w:rPr>
      <w:rFonts w:eastAsia="Times New Roman"/>
      <w:szCs w:val="20"/>
    </w:rPr>
  </w:style>
  <w:style w:type="paragraph" w:customStyle="1" w:styleId="WLGLevel2">
    <w:name w:val="WLGLevel2"/>
    <w:basedOn w:val="Normal"/>
    <w:qFormat/>
    <w:rsid w:val="00FF3F35"/>
    <w:pPr>
      <w:numPr>
        <w:ilvl w:val="1"/>
        <w:numId w:val="7"/>
      </w:numPr>
      <w:suppressAutoHyphens/>
      <w:spacing w:after="320" w:line="480" w:lineRule="auto"/>
      <w:outlineLvl w:val="1"/>
    </w:pPr>
    <w:rPr>
      <w:rFonts w:eastAsia="Times New Roman"/>
      <w:szCs w:val="20"/>
    </w:rPr>
  </w:style>
  <w:style w:type="paragraph" w:customStyle="1" w:styleId="WLGLevel3">
    <w:name w:val="WLGLevel3"/>
    <w:basedOn w:val="Normal"/>
    <w:qFormat/>
    <w:rsid w:val="00FF3F35"/>
    <w:pPr>
      <w:numPr>
        <w:ilvl w:val="2"/>
        <w:numId w:val="7"/>
      </w:numPr>
      <w:suppressAutoHyphens/>
      <w:spacing w:after="320" w:line="480" w:lineRule="auto"/>
      <w:outlineLvl w:val="2"/>
    </w:pPr>
    <w:rPr>
      <w:rFonts w:eastAsia="Times New Roman"/>
      <w:szCs w:val="20"/>
    </w:rPr>
  </w:style>
  <w:style w:type="paragraph" w:customStyle="1" w:styleId="WLGLevel4">
    <w:name w:val="WLGLevel4"/>
    <w:basedOn w:val="Normal"/>
    <w:qFormat/>
    <w:rsid w:val="00FF3F35"/>
    <w:pPr>
      <w:numPr>
        <w:ilvl w:val="3"/>
        <w:numId w:val="7"/>
      </w:numPr>
      <w:suppressAutoHyphens/>
      <w:spacing w:after="320" w:line="480" w:lineRule="auto"/>
      <w:outlineLvl w:val="3"/>
    </w:pPr>
    <w:rPr>
      <w:rFonts w:eastAsia="Times New Roman"/>
      <w:szCs w:val="20"/>
    </w:rPr>
  </w:style>
  <w:style w:type="paragraph" w:customStyle="1" w:styleId="WLGLevel5">
    <w:name w:val="WLGLevel5"/>
    <w:basedOn w:val="Normal"/>
    <w:qFormat/>
    <w:rsid w:val="00FF3F35"/>
    <w:pPr>
      <w:numPr>
        <w:ilvl w:val="4"/>
        <w:numId w:val="7"/>
      </w:numPr>
      <w:suppressAutoHyphens/>
      <w:spacing w:after="320" w:line="480" w:lineRule="auto"/>
      <w:outlineLvl w:val="4"/>
    </w:pPr>
    <w:rPr>
      <w:rFonts w:eastAsia="Times New Roman"/>
      <w:szCs w:val="20"/>
    </w:rPr>
  </w:style>
  <w:style w:type="paragraph" w:customStyle="1" w:styleId="WWList3">
    <w:name w:val="WW_List3"/>
    <w:basedOn w:val="Normal"/>
    <w:rsid w:val="00BF5198"/>
    <w:pPr>
      <w:numPr>
        <w:ilvl w:val="2"/>
        <w:numId w:val="13"/>
      </w:numPr>
      <w:tabs>
        <w:tab w:val="left" w:pos="3969"/>
        <w:tab w:val="left" w:pos="4536"/>
      </w:tabs>
      <w:suppressAutoHyphens/>
      <w:spacing w:after="240" w:line="360" w:lineRule="auto"/>
      <w:outlineLvl w:val="2"/>
    </w:pPr>
    <w:rPr>
      <w:rFonts w:eastAsia="Times New Roman"/>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8705">
      <w:bodyDiv w:val="1"/>
      <w:marLeft w:val="0"/>
      <w:marRight w:val="0"/>
      <w:marTop w:val="0"/>
      <w:marBottom w:val="0"/>
      <w:divBdr>
        <w:top w:val="none" w:sz="0" w:space="0" w:color="auto"/>
        <w:left w:val="none" w:sz="0" w:space="0" w:color="auto"/>
        <w:bottom w:val="none" w:sz="0" w:space="0" w:color="auto"/>
        <w:right w:val="none" w:sz="0" w:space="0" w:color="auto"/>
      </w:divBdr>
    </w:div>
    <w:div w:id="188640638">
      <w:bodyDiv w:val="1"/>
      <w:marLeft w:val="0"/>
      <w:marRight w:val="0"/>
      <w:marTop w:val="0"/>
      <w:marBottom w:val="0"/>
      <w:divBdr>
        <w:top w:val="none" w:sz="0" w:space="0" w:color="auto"/>
        <w:left w:val="none" w:sz="0" w:space="0" w:color="auto"/>
        <w:bottom w:val="none" w:sz="0" w:space="0" w:color="auto"/>
        <w:right w:val="none" w:sz="0" w:space="0" w:color="auto"/>
      </w:divBdr>
    </w:div>
    <w:div w:id="359209635">
      <w:bodyDiv w:val="1"/>
      <w:marLeft w:val="0"/>
      <w:marRight w:val="0"/>
      <w:marTop w:val="0"/>
      <w:marBottom w:val="0"/>
      <w:divBdr>
        <w:top w:val="none" w:sz="0" w:space="0" w:color="auto"/>
        <w:left w:val="none" w:sz="0" w:space="0" w:color="auto"/>
        <w:bottom w:val="none" w:sz="0" w:space="0" w:color="auto"/>
        <w:right w:val="none" w:sz="0" w:space="0" w:color="auto"/>
      </w:divBdr>
    </w:div>
    <w:div w:id="652225372">
      <w:bodyDiv w:val="1"/>
      <w:marLeft w:val="0"/>
      <w:marRight w:val="0"/>
      <w:marTop w:val="0"/>
      <w:marBottom w:val="0"/>
      <w:divBdr>
        <w:top w:val="none" w:sz="0" w:space="0" w:color="auto"/>
        <w:left w:val="none" w:sz="0" w:space="0" w:color="auto"/>
        <w:bottom w:val="none" w:sz="0" w:space="0" w:color="auto"/>
        <w:right w:val="none" w:sz="0" w:space="0" w:color="auto"/>
      </w:divBdr>
    </w:div>
    <w:div w:id="700515694">
      <w:bodyDiv w:val="1"/>
      <w:marLeft w:val="0"/>
      <w:marRight w:val="0"/>
      <w:marTop w:val="0"/>
      <w:marBottom w:val="0"/>
      <w:divBdr>
        <w:top w:val="none" w:sz="0" w:space="0" w:color="auto"/>
        <w:left w:val="none" w:sz="0" w:space="0" w:color="auto"/>
        <w:bottom w:val="none" w:sz="0" w:space="0" w:color="auto"/>
        <w:right w:val="none" w:sz="0" w:space="0" w:color="auto"/>
      </w:divBdr>
    </w:div>
    <w:div w:id="135561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rens%20Ackermann\Dropbox\Lourens\Templates\Grand%20Master%20Lourens%20Ackerman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2375-244F-49CD-8864-6CCF3B6F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Grand Master Lourens Ackermann - template.dotx</Template>
  <TotalTime>276</TotalTime>
  <Pages>42</Pages>
  <Words>9994</Words>
  <Characters>50974</Characters>
  <Application>Microsoft Office Word</Application>
  <DocSecurity>0</DocSecurity>
  <Lines>878</Lines>
  <Paragraphs>298</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Esme Jordaan</dc:creator>
  <cp:lastModifiedBy>Johan De Waal</cp:lastModifiedBy>
  <cp:revision>193</cp:revision>
  <cp:lastPrinted>2023-12-31T14:20:00Z</cp:lastPrinted>
  <dcterms:created xsi:type="dcterms:W3CDTF">2023-12-31T09:51:00Z</dcterms:created>
  <dcterms:modified xsi:type="dcterms:W3CDTF">2023-12-31T14:28:00Z</dcterms:modified>
</cp:coreProperties>
</file>