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FEC9" w14:textId="77777777" w:rsidR="002422A5" w:rsidRPr="008F717C" w:rsidRDefault="002422A5" w:rsidP="002422A5">
      <w:pPr>
        <w:spacing w:line="360" w:lineRule="auto"/>
        <w:rPr>
          <w:rFonts w:cs="Arial"/>
          <w:b/>
          <w:szCs w:val="24"/>
          <w:lang w:val="en-GB"/>
        </w:rPr>
      </w:pPr>
      <w:bookmarkStart w:id="0" w:name="_GoBack"/>
      <w:bookmarkEnd w:id="0"/>
      <w:r w:rsidRPr="008F717C">
        <w:rPr>
          <w:rFonts w:cs="Arial"/>
          <w:b/>
          <w:szCs w:val="24"/>
          <w:lang w:val="en-GB"/>
        </w:rPr>
        <w:t>IN THE HIGH COURT OF SOUTH AFRICA</w:t>
      </w:r>
    </w:p>
    <w:p w14:paraId="13B44D8C" w14:textId="77777777" w:rsidR="002422A5" w:rsidRPr="008F717C" w:rsidRDefault="002422A5" w:rsidP="002422A5">
      <w:pPr>
        <w:spacing w:line="360" w:lineRule="auto"/>
        <w:rPr>
          <w:rFonts w:cs="Arial"/>
          <w:b/>
          <w:szCs w:val="24"/>
          <w:lang w:val="en-GB"/>
        </w:rPr>
      </w:pPr>
      <w:r w:rsidRPr="008F717C">
        <w:rPr>
          <w:rFonts w:cs="Arial"/>
          <w:b/>
          <w:szCs w:val="24"/>
          <w:lang w:val="en-GB"/>
        </w:rPr>
        <w:t>(WESTERN CAPE DIVISION, CAPE TOWN)</w:t>
      </w:r>
    </w:p>
    <w:p w14:paraId="070FB640" w14:textId="77777777" w:rsidR="002422A5" w:rsidRPr="008F717C" w:rsidRDefault="002422A5" w:rsidP="002422A5">
      <w:pPr>
        <w:spacing w:line="360" w:lineRule="auto"/>
        <w:rPr>
          <w:rFonts w:eastAsiaTheme="minorHAnsi" w:cs="Arial"/>
          <w:b/>
          <w:szCs w:val="24"/>
          <w:lang w:val="en-GB"/>
        </w:rPr>
      </w:pPr>
    </w:p>
    <w:p w14:paraId="00CF662F" w14:textId="3310B2D6" w:rsidR="002422A5" w:rsidRPr="008F717C" w:rsidRDefault="002422A5" w:rsidP="0099657A">
      <w:pPr>
        <w:spacing w:line="360" w:lineRule="auto"/>
        <w:ind w:left="5670"/>
        <w:jc w:val="right"/>
        <w:rPr>
          <w:rFonts w:eastAsiaTheme="minorHAnsi" w:cs="Arial"/>
          <w:b/>
          <w:bCs/>
          <w:szCs w:val="24"/>
          <w:lang w:val="en-GB"/>
        </w:rPr>
      </w:pPr>
      <w:r w:rsidRPr="008F717C">
        <w:rPr>
          <w:rFonts w:eastAsiaTheme="minorHAnsi" w:cs="Arial"/>
          <w:szCs w:val="24"/>
          <w:lang w:val="en-GB"/>
        </w:rPr>
        <w:t xml:space="preserve">Case No:  </w:t>
      </w:r>
      <w:r w:rsidR="0099657A" w:rsidRPr="008F717C">
        <w:rPr>
          <w:rFonts w:eastAsiaTheme="minorHAnsi" w:cs="Arial"/>
          <w:b/>
          <w:bCs/>
          <w:szCs w:val="24"/>
          <w:lang w:val="en-GB"/>
        </w:rPr>
        <w:t>CC01/2018</w:t>
      </w:r>
    </w:p>
    <w:p w14:paraId="2F8FBDA4" w14:textId="77777777" w:rsidR="002422A5" w:rsidRPr="008F717C" w:rsidRDefault="002422A5" w:rsidP="002422A5">
      <w:pPr>
        <w:spacing w:line="360" w:lineRule="auto"/>
        <w:rPr>
          <w:rFonts w:eastAsiaTheme="minorHAnsi" w:cs="Arial"/>
          <w:szCs w:val="24"/>
          <w:lang w:val="en-GB"/>
        </w:rPr>
      </w:pPr>
    </w:p>
    <w:p w14:paraId="386B08A2" w14:textId="77777777" w:rsidR="002422A5" w:rsidRPr="008F717C" w:rsidRDefault="002422A5" w:rsidP="002422A5">
      <w:pPr>
        <w:spacing w:line="360" w:lineRule="auto"/>
        <w:rPr>
          <w:rFonts w:eastAsiaTheme="minorHAnsi" w:cs="Arial"/>
          <w:szCs w:val="24"/>
          <w:lang w:val="en-GB"/>
        </w:rPr>
      </w:pPr>
      <w:r w:rsidRPr="008F717C">
        <w:rPr>
          <w:rFonts w:eastAsiaTheme="minorHAnsi" w:cs="Arial"/>
          <w:szCs w:val="24"/>
          <w:lang w:val="en-GB"/>
        </w:rPr>
        <w:t>In the matter between:</w:t>
      </w:r>
    </w:p>
    <w:p w14:paraId="7D36FBD6" w14:textId="77777777" w:rsidR="002422A5" w:rsidRPr="008F717C" w:rsidRDefault="002422A5" w:rsidP="002422A5">
      <w:pPr>
        <w:spacing w:line="360" w:lineRule="auto"/>
        <w:rPr>
          <w:rFonts w:eastAsiaTheme="minorHAnsi" w:cs="Arial"/>
          <w:szCs w:val="24"/>
          <w:lang w:val="en-GB"/>
        </w:rPr>
      </w:pPr>
    </w:p>
    <w:p w14:paraId="4168461D" w14:textId="07D998FD" w:rsidR="002422A5" w:rsidRPr="008F717C" w:rsidRDefault="0099657A" w:rsidP="002422A5">
      <w:pPr>
        <w:tabs>
          <w:tab w:val="right" w:pos="9072"/>
        </w:tabs>
        <w:suppressAutoHyphens/>
        <w:spacing w:line="240" w:lineRule="atLeast"/>
        <w:rPr>
          <w:rFonts w:eastAsiaTheme="minorHAnsi" w:cs="Arial"/>
          <w:spacing w:val="-3"/>
          <w:szCs w:val="24"/>
          <w:lang w:val="en-GB"/>
        </w:rPr>
      </w:pPr>
      <w:r w:rsidRPr="008F717C">
        <w:rPr>
          <w:rFonts w:eastAsiaTheme="minorHAnsi" w:cs="Arial"/>
          <w:b/>
          <w:szCs w:val="24"/>
          <w:lang w:val="en-GB"/>
        </w:rPr>
        <w:t>THE STATE</w:t>
      </w:r>
    </w:p>
    <w:p w14:paraId="52FB2E51" w14:textId="77777777" w:rsidR="002422A5" w:rsidRPr="008F717C" w:rsidRDefault="002422A5" w:rsidP="002422A5">
      <w:pPr>
        <w:tabs>
          <w:tab w:val="right" w:pos="9072"/>
        </w:tabs>
        <w:suppressAutoHyphens/>
        <w:spacing w:line="240" w:lineRule="atLeast"/>
        <w:rPr>
          <w:rFonts w:eastAsiaTheme="minorHAnsi" w:cs="Arial"/>
          <w:spacing w:val="-3"/>
          <w:szCs w:val="24"/>
          <w:lang w:val="en-GB"/>
        </w:rPr>
      </w:pPr>
    </w:p>
    <w:p w14:paraId="149DD597" w14:textId="77777777" w:rsidR="002422A5" w:rsidRPr="008F717C" w:rsidRDefault="002422A5" w:rsidP="002422A5">
      <w:pPr>
        <w:tabs>
          <w:tab w:val="left" w:pos="-720"/>
        </w:tabs>
        <w:suppressAutoHyphens/>
        <w:spacing w:line="240" w:lineRule="atLeast"/>
        <w:rPr>
          <w:rFonts w:eastAsiaTheme="minorHAnsi" w:cs="Arial"/>
          <w:spacing w:val="-3"/>
          <w:szCs w:val="24"/>
          <w:lang w:val="en-GB"/>
        </w:rPr>
      </w:pPr>
    </w:p>
    <w:p w14:paraId="0617CA8A" w14:textId="77777777" w:rsidR="002422A5" w:rsidRPr="008F717C" w:rsidRDefault="002422A5" w:rsidP="002422A5">
      <w:pPr>
        <w:tabs>
          <w:tab w:val="right" w:pos="9026"/>
        </w:tabs>
        <w:suppressAutoHyphens/>
        <w:spacing w:line="240" w:lineRule="atLeast"/>
        <w:rPr>
          <w:rFonts w:eastAsiaTheme="minorHAnsi" w:cs="Arial"/>
          <w:spacing w:val="-3"/>
          <w:szCs w:val="24"/>
          <w:lang w:val="en-GB"/>
        </w:rPr>
      </w:pPr>
      <w:r w:rsidRPr="008F717C">
        <w:rPr>
          <w:rFonts w:eastAsiaTheme="minorHAnsi" w:cs="Arial"/>
          <w:spacing w:val="-3"/>
          <w:szCs w:val="24"/>
          <w:lang w:val="en-GB"/>
        </w:rPr>
        <w:t>and</w:t>
      </w:r>
    </w:p>
    <w:p w14:paraId="59C1CAF3" w14:textId="77777777" w:rsidR="002422A5" w:rsidRPr="008F717C" w:rsidRDefault="002422A5" w:rsidP="002422A5">
      <w:pPr>
        <w:tabs>
          <w:tab w:val="right" w:pos="9026"/>
        </w:tabs>
        <w:suppressAutoHyphens/>
        <w:spacing w:line="240" w:lineRule="atLeast"/>
        <w:rPr>
          <w:rFonts w:eastAsiaTheme="minorHAnsi" w:cs="Arial"/>
          <w:spacing w:val="-3"/>
          <w:szCs w:val="24"/>
          <w:lang w:val="en-GB"/>
        </w:rPr>
      </w:pPr>
    </w:p>
    <w:p w14:paraId="7A93BCAB" w14:textId="77777777" w:rsidR="002422A5" w:rsidRPr="008F717C" w:rsidRDefault="002422A5" w:rsidP="002422A5">
      <w:pPr>
        <w:tabs>
          <w:tab w:val="right" w:pos="9026"/>
        </w:tabs>
        <w:suppressAutoHyphens/>
        <w:spacing w:line="240" w:lineRule="atLeast"/>
        <w:rPr>
          <w:rFonts w:eastAsiaTheme="minorHAnsi" w:cs="Arial"/>
          <w:spacing w:val="-3"/>
          <w:szCs w:val="24"/>
          <w:lang w:val="en-GB"/>
        </w:rPr>
      </w:pPr>
    </w:p>
    <w:p w14:paraId="10B9D7A5" w14:textId="52D25CB7" w:rsidR="002422A5" w:rsidRPr="008F717C" w:rsidRDefault="0099657A" w:rsidP="002422A5">
      <w:pPr>
        <w:tabs>
          <w:tab w:val="right" w:pos="9072"/>
        </w:tabs>
        <w:suppressAutoHyphens/>
        <w:spacing w:line="240" w:lineRule="atLeast"/>
        <w:rPr>
          <w:rFonts w:eastAsiaTheme="minorHAnsi" w:cs="Arial"/>
          <w:bCs/>
          <w:spacing w:val="-3"/>
          <w:szCs w:val="24"/>
          <w:lang w:val="en-GB"/>
        </w:rPr>
      </w:pPr>
      <w:bookmarkStart w:id="1" w:name="_Hlk133233048"/>
      <w:r w:rsidRPr="008F717C">
        <w:rPr>
          <w:rFonts w:eastAsiaTheme="minorHAnsi" w:cs="Arial"/>
          <w:b/>
          <w:szCs w:val="24"/>
          <w:lang w:val="en-GB"/>
        </w:rPr>
        <w:t xml:space="preserve">THEMBELA </w:t>
      </w:r>
      <w:r w:rsidR="00301D9F" w:rsidRPr="008F717C">
        <w:rPr>
          <w:rFonts w:eastAsiaTheme="minorHAnsi" w:cs="Arial"/>
          <w:b/>
          <w:szCs w:val="24"/>
          <w:lang w:val="en-GB"/>
        </w:rPr>
        <w:t>MTSHOLOTSHOLO</w:t>
      </w:r>
      <w:r w:rsidR="002422A5" w:rsidRPr="008F717C">
        <w:rPr>
          <w:rFonts w:eastAsiaTheme="minorHAnsi" w:cs="Arial"/>
          <w:b/>
          <w:spacing w:val="-3"/>
          <w:szCs w:val="24"/>
          <w:lang w:val="en-GB"/>
        </w:rPr>
        <w:tab/>
      </w:r>
      <w:r w:rsidR="002422A5" w:rsidRPr="008F717C">
        <w:rPr>
          <w:rFonts w:eastAsiaTheme="minorHAnsi" w:cs="Arial"/>
          <w:spacing w:val="-3"/>
          <w:szCs w:val="24"/>
          <w:lang w:val="en-GB"/>
        </w:rPr>
        <w:t xml:space="preserve">First </w:t>
      </w:r>
      <w:r w:rsidRPr="008F717C">
        <w:rPr>
          <w:rFonts w:eastAsiaTheme="minorHAnsi" w:cs="Arial"/>
          <w:bCs/>
          <w:spacing w:val="-3"/>
          <w:szCs w:val="24"/>
          <w:lang w:val="en-GB"/>
        </w:rPr>
        <w:t>Accused</w:t>
      </w:r>
    </w:p>
    <w:p w14:paraId="4492A198" w14:textId="77777777" w:rsidR="002422A5" w:rsidRPr="008F717C" w:rsidRDefault="002422A5" w:rsidP="00242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eastAsiaTheme="minorHAnsi" w:cs="Arial"/>
          <w:szCs w:val="24"/>
          <w:lang w:val="en-GB"/>
        </w:rPr>
      </w:pPr>
    </w:p>
    <w:p w14:paraId="484E1717" w14:textId="312F756D" w:rsidR="002422A5" w:rsidRPr="008F717C" w:rsidRDefault="0099657A" w:rsidP="002422A5">
      <w:pPr>
        <w:tabs>
          <w:tab w:val="right" w:pos="9072"/>
        </w:tabs>
        <w:suppressAutoHyphens/>
        <w:spacing w:line="240" w:lineRule="atLeast"/>
        <w:rPr>
          <w:rFonts w:eastAsiaTheme="minorHAnsi" w:cs="Arial"/>
          <w:spacing w:val="-3"/>
          <w:szCs w:val="24"/>
          <w:lang w:val="en-GB"/>
        </w:rPr>
      </w:pPr>
      <w:r w:rsidRPr="008F717C">
        <w:rPr>
          <w:rFonts w:eastAsiaTheme="minorHAnsi" w:cs="Arial"/>
          <w:b/>
          <w:szCs w:val="24"/>
          <w:lang w:val="en-GB"/>
        </w:rPr>
        <w:t>SIKHOKELE SK MBANA</w:t>
      </w:r>
      <w:r w:rsidR="002422A5" w:rsidRPr="008F717C">
        <w:rPr>
          <w:rFonts w:eastAsiaTheme="minorHAnsi" w:cs="Arial"/>
          <w:spacing w:val="-3"/>
          <w:szCs w:val="24"/>
          <w:lang w:val="en-GB"/>
        </w:rPr>
        <w:tab/>
        <w:t xml:space="preserve">Second </w:t>
      </w:r>
      <w:r w:rsidRPr="008F717C">
        <w:rPr>
          <w:rFonts w:eastAsiaTheme="minorHAnsi" w:cs="Arial"/>
          <w:bCs/>
          <w:spacing w:val="-3"/>
          <w:szCs w:val="24"/>
          <w:lang w:val="en-GB"/>
        </w:rPr>
        <w:t>Accused</w:t>
      </w:r>
    </w:p>
    <w:p w14:paraId="76D8A325" w14:textId="77777777" w:rsidR="002422A5" w:rsidRPr="008F717C" w:rsidRDefault="002422A5" w:rsidP="00242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eastAsiaTheme="minorHAnsi" w:cs="Arial"/>
          <w:szCs w:val="24"/>
          <w:lang w:val="en-GB"/>
        </w:rPr>
      </w:pPr>
    </w:p>
    <w:p w14:paraId="6FF7C1D1" w14:textId="6A22CCDE" w:rsidR="002422A5" w:rsidRPr="008F717C" w:rsidRDefault="0099657A" w:rsidP="002422A5">
      <w:pPr>
        <w:tabs>
          <w:tab w:val="right" w:pos="9072"/>
        </w:tabs>
        <w:suppressAutoHyphens/>
        <w:spacing w:line="240" w:lineRule="atLeast"/>
        <w:rPr>
          <w:rFonts w:eastAsiaTheme="minorHAnsi" w:cs="Arial"/>
          <w:bCs/>
          <w:spacing w:val="-3"/>
          <w:szCs w:val="24"/>
          <w:lang w:val="en-GB"/>
        </w:rPr>
      </w:pPr>
      <w:r w:rsidRPr="008F717C">
        <w:rPr>
          <w:rFonts w:eastAsiaTheme="minorHAnsi" w:cs="Arial"/>
          <w:b/>
          <w:szCs w:val="24"/>
          <w:lang w:val="en-GB"/>
        </w:rPr>
        <w:t>SIHLE CHINA MANANA</w:t>
      </w:r>
      <w:r w:rsidR="002422A5" w:rsidRPr="008F717C">
        <w:rPr>
          <w:rFonts w:eastAsiaTheme="minorHAnsi" w:cs="Arial"/>
          <w:b/>
          <w:spacing w:val="-3"/>
          <w:szCs w:val="24"/>
          <w:lang w:val="en-GB"/>
        </w:rPr>
        <w:tab/>
      </w:r>
      <w:r w:rsidR="002422A5" w:rsidRPr="008F717C">
        <w:rPr>
          <w:rFonts w:eastAsiaTheme="minorHAnsi" w:cs="Arial"/>
          <w:spacing w:val="-3"/>
          <w:szCs w:val="24"/>
          <w:lang w:val="en-GB"/>
        </w:rPr>
        <w:t xml:space="preserve">Third </w:t>
      </w:r>
      <w:r w:rsidRPr="008F717C">
        <w:rPr>
          <w:rFonts w:eastAsiaTheme="minorHAnsi" w:cs="Arial"/>
          <w:bCs/>
          <w:spacing w:val="-3"/>
          <w:szCs w:val="24"/>
          <w:lang w:val="en-GB"/>
        </w:rPr>
        <w:t>Accused</w:t>
      </w:r>
    </w:p>
    <w:p w14:paraId="0DA1A39C" w14:textId="77777777" w:rsidR="002E1701" w:rsidRPr="008F717C" w:rsidRDefault="002E1701" w:rsidP="002422A5">
      <w:pPr>
        <w:tabs>
          <w:tab w:val="right" w:pos="9072"/>
        </w:tabs>
        <w:suppressAutoHyphens/>
        <w:spacing w:line="240" w:lineRule="atLeast"/>
        <w:rPr>
          <w:rFonts w:eastAsiaTheme="minorHAnsi" w:cs="Arial"/>
          <w:bCs/>
          <w:spacing w:val="-3"/>
          <w:szCs w:val="24"/>
          <w:lang w:val="en-GB"/>
        </w:rPr>
      </w:pPr>
    </w:p>
    <w:p w14:paraId="784903C4" w14:textId="769B3B2A" w:rsidR="002E1701" w:rsidRPr="008F717C" w:rsidRDefault="002E1701" w:rsidP="002422A5">
      <w:pPr>
        <w:tabs>
          <w:tab w:val="right" w:pos="9072"/>
        </w:tabs>
        <w:suppressAutoHyphens/>
        <w:spacing w:line="240" w:lineRule="atLeast"/>
        <w:rPr>
          <w:rFonts w:eastAsiaTheme="minorHAnsi" w:cs="Arial"/>
          <w:bCs/>
          <w:spacing w:val="-3"/>
          <w:szCs w:val="24"/>
          <w:lang w:val="en-GB"/>
        </w:rPr>
      </w:pPr>
      <w:r w:rsidRPr="008F717C">
        <w:rPr>
          <w:rFonts w:eastAsiaTheme="minorHAnsi" w:cs="Arial"/>
          <w:b/>
          <w:szCs w:val="24"/>
          <w:lang w:val="en-GB"/>
        </w:rPr>
        <w:t>ABONGILE RO</w:t>
      </w:r>
      <w:r w:rsidR="003E420D" w:rsidRPr="008F717C">
        <w:rPr>
          <w:rFonts w:eastAsiaTheme="minorHAnsi" w:cs="Arial"/>
          <w:b/>
          <w:szCs w:val="24"/>
          <w:lang w:val="en-GB"/>
        </w:rPr>
        <w:t>OI</w:t>
      </w:r>
      <w:r w:rsidRPr="008F717C">
        <w:rPr>
          <w:rFonts w:eastAsiaTheme="minorHAnsi" w:cs="Arial"/>
          <w:b/>
          <w:szCs w:val="24"/>
          <w:lang w:val="en-GB"/>
        </w:rPr>
        <w:t xml:space="preserve"> SHOBA</w:t>
      </w:r>
      <w:r w:rsidRPr="008F717C">
        <w:rPr>
          <w:rFonts w:eastAsiaTheme="minorHAnsi" w:cs="Arial"/>
          <w:b/>
          <w:spacing w:val="-3"/>
          <w:szCs w:val="24"/>
          <w:lang w:val="en-GB"/>
        </w:rPr>
        <w:tab/>
      </w:r>
      <w:r w:rsidRPr="008F717C">
        <w:rPr>
          <w:rFonts w:eastAsiaTheme="minorHAnsi" w:cs="Arial"/>
          <w:spacing w:val="-3"/>
          <w:szCs w:val="24"/>
          <w:lang w:val="en-GB"/>
        </w:rPr>
        <w:t xml:space="preserve">Fourth </w:t>
      </w:r>
      <w:r w:rsidRPr="008F717C">
        <w:rPr>
          <w:rFonts w:eastAsiaTheme="minorHAnsi" w:cs="Arial"/>
          <w:bCs/>
          <w:spacing w:val="-3"/>
          <w:szCs w:val="24"/>
          <w:lang w:val="en-GB"/>
        </w:rPr>
        <w:t>Accused</w:t>
      </w:r>
    </w:p>
    <w:p w14:paraId="4EB668E7" w14:textId="77777777" w:rsidR="002E1701" w:rsidRPr="008F717C" w:rsidRDefault="002E1701" w:rsidP="002422A5">
      <w:pPr>
        <w:tabs>
          <w:tab w:val="right" w:pos="9072"/>
        </w:tabs>
        <w:suppressAutoHyphens/>
        <w:spacing w:line="240" w:lineRule="atLeast"/>
        <w:rPr>
          <w:rFonts w:eastAsiaTheme="minorHAnsi" w:cs="Arial"/>
          <w:bCs/>
          <w:spacing w:val="-3"/>
          <w:szCs w:val="24"/>
          <w:lang w:val="en-GB"/>
        </w:rPr>
      </w:pPr>
    </w:p>
    <w:p w14:paraId="16820D9E" w14:textId="2B6D3CC5" w:rsidR="002E1701" w:rsidRPr="008F717C" w:rsidRDefault="002E1701" w:rsidP="002422A5">
      <w:pPr>
        <w:tabs>
          <w:tab w:val="right" w:pos="9072"/>
        </w:tabs>
        <w:suppressAutoHyphens/>
        <w:spacing w:line="240" w:lineRule="atLeast"/>
        <w:rPr>
          <w:rFonts w:eastAsiaTheme="minorHAnsi" w:cs="Arial"/>
          <w:bCs/>
          <w:spacing w:val="-3"/>
          <w:szCs w:val="24"/>
          <w:lang w:val="en-GB"/>
        </w:rPr>
      </w:pPr>
      <w:r w:rsidRPr="008F717C">
        <w:rPr>
          <w:rFonts w:eastAsiaTheme="minorHAnsi" w:cs="Arial"/>
          <w:b/>
          <w:szCs w:val="24"/>
          <w:lang w:val="en-GB"/>
        </w:rPr>
        <w:t xml:space="preserve">NKOSIPHENDULE PETROS </w:t>
      </w:r>
      <w:r w:rsidR="00CB03BD" w:rsidRPr="008F717C">
        <w:rPr>
          <w:rFonts w:eastAsiaTheme="minorHAnsi" w:cs="Arial"/>
          <w:b/>
          <w:szCs w:val="24"/>
          <w:lang w:val="en-GB"/>
        </w:rPr>
        <w:t>M</w:t>
      </w:r>
      <w:r w:rsidRPr="008F717C">
        <w:rPr>
          <w:rFonts w:eastAsiaTheme="minorHAnsi" w:cs="Arial"/>
          <w:b/>
          <w:szCs w:val="24"/>
          <w:lang w:val="en-GB"/>
        </w:rPr>
        <w:t>KUNYANYA</w:t>
      </w:r>
      <w:r w:rsidRPr="008F717C">
        <w:rPr>
          <w:rFonts w:eastAsiaTheme="minorHAnsi" w:cs="Arial"/>
          <w:b/>
          <w:spacing w:val="-3"/>
          <w:szCs w:val="24"/>
          <w:lang w:val="en-GB"/>
        </w:rPr>
        <w:tab/>
      </w:r>
      <w:r w:rsidRPr="008F717C">
        <w:rPr>
          <w:rFonts w:eastAsiaTheme="minorHAnsi" w:cs="Arial"/>
          <w:spacing w:val="-3"/>
          <w:szCs w:val="24"/>
          <w:lang w:val="en-GB"/>
        </w:rPr>
        <w:t xml:space="preserve">Fifth </w:t>
      </w:r>
      <w:r w:rsidRPr="008F717C">
        <w:rPr>
          <w:rFonts w:eastAsiaTheme="minorHAnsi" w:cs="Arial"/>
          <w:bCs/>
          <w:spacing w:val="-3"/>
          <w:szCs w:val="24"/>
          <w:lang w:val="en-GB"/>
        </w:rPr>
        <w:t>Accused</w:t>
      </w:r>
    </w:p>
    <w:p w14:paraId="2C5859A2" w14:textId="77777777" w:rsidR="002E1701" w:rsidRPr="008F717C" w:rsidRDefault="002E1701" w:rsidP="002422A5">
      <w:pPr>
        <w:tabs>
          <w:tab w:val="right" w:pos="9072"/>
        </w:tabs>
        <w:suppressAutoHyphens/>
        <w:spacing w:line="240" w:lineRule="atLeast"/>
        <w:rPr>
          <w:rFonts w:eastAsiaTheme="minorHAnsi" w:cs="Arial"/>
          <w:bCs/>
          <w:spacing w:val="-3"/>
          <w:szCs w:val="24"/>
          <w:lang w:val="en-GB"/>
        </w:rPr>
      </w:pPr>
    </w:p>
    <w:p w14:paraId="698E5A77" w14:textId="396F5DB3" w:rsidR="002E1701" w:rsidRPr="008F717C" w:rsidRDefault="002E1701" w:rsidP="002422A5">
      <w:pPr>
        <w:tabs>
          <w:tab w:val="right" w:pos="9072"/>
        </w:tabs>
        <w:suppressAutoHyphens/>
        <w:spacing w:line="240" w:lineRule="atLeast"/>
        <w:rPr>
          <w:rFonts w:eastAsiaTheme="minorHAnsi" w:cs="Arial"/>
          <w:spacing w:val="-3"/>
          <w:szCs w:val="24"/>
          <w:lang w:val="en-GB"/>
        </w:rPr>
      </w:pPr>
      <w:r w:rsidRPr="008F717C">
        <w:rPr>
          <w:rFonts w:eastAsiaTheme="minorHAnsi" w:cs="Arial"/>
          <w:b/>
          <w:szCs w:val="24"/>
          <w:lang w:val="en-GB"/>
        </w:rPr>
        <w:t>SINOXOLO WHITEY MBONISWA</w:t>
      </w:r>
      <w:r w:rsidRPr="008F717C">
        <w:rPr>
          <w:rFonts w:eastAsiaTheme="minorHAnsi" w:cs="Arial"/>
          <w:b/>
          <w:spacing w:val="-3"/>
          <w:szCs w:val="24"/>
          <w:lang w:val="en-GB"/>
        </w:rPr>
        <w:tab/>
      </w:r>
      <w:r w:rsidRPr="008F717C">
        <w:rPr>
          <w:rFonts w:eastAsiaTheme="minorHAnsi" w:cs="Arial"/>
          <w:spacing w:val="-3"/>
          <w:szCs w:val="24"/>
          <w:lang w:val="en-GB"/>
        </w:rPr>
        <w:t xml:space="preserve">Sixth </w:t>
      </w:r>
      <w:r w:rsidRPr="008F717C">
        <w:rPr>
          <w:rFonts w:eastAsiaTheme="minorHAnsi" w:cs="Arial"/>
          <w:bCs/>
          <w:spacing w:val="-3"/>
          <w:szCs w:val="24"/>
          <w:lang w:val="en-GB"/>
        </w:rPr>
        <w:t>Accused</w:t>
      </w:r>
    </w:p>
    <w:bookmarkEnd w:id="1"/>
    <w:p w14:paraId="21678982" w14:textId="77777777" w:rsidR="002E1701" w:rsidRPr="008F717C" w:rsidRDefault="002E1701" w:rsidP="002422A5">
      <w:pPr>
        <w:pBdr>
          <w:bottom w:val="single" w:sz="12" w:space="1" w:color="auto"/>
        </w:pBdr>
        <w:spacing w:line="360" w:lineRule="auto"/>
        <w:rPr>
          <w:rFonts w:eastAsiaTheme="minorHAnsi" w:cs="Arial"/>
          <w:szCs w:val="24"/>
          <w:lang w:val="en-GB"/>
        </w:rPr>
      </w:pPr>
    </w:p>
    <w:p w14:paraId="29E70201" w14:textId="77777777" w:rsidR="001A0807" w:rsidRPr="008F717C" w:rsidRDefault="001A0807" w:rsidP="002422A5">
      <w:pPr>
        <w:pBdr>
          <w:bottom w:val="single" w:sz="12" w:space="1" w:color="auto"/>
        </w:pBdr>
        <w:spacing w:line="360" w:lineRule="auto"/>
        <w:rPr>
          <w:rFonts w:eastAsiaTheme="minorHAnsi" w:cs="Arial"/>
          <w:szCs w:val="24"/>
          <w:lang w:val="en-GB"/>
        </w:rPr>
      </w:pPr>
    </w:p>
    <w:p w14:paraId="5F24A4B3" w14:textId="77777777" w:rsidR="002422A5" w:rsidRPr="008F717C" w:rsidRDefault="002422A5" w:rsidP="002422A5">
      <w:pPr>
        <w:spacing w:line="360" w:lineRule="auto"/>
        <w:rPr>
          <w:rFonts w:eastAsiaTheme="minorHAnsi" w:cs="Arial"/>
          <w:szCs w:val="24"/>
          <w:lang w:val="en-GB"/>
        </w:rPr>
      </w:pPr>
    </w:p>
    <w:p w14:paraId="1BCF5E77" w14:textId="739BBBBA" w:rsidR="002422A5" w:rsidRPr="008F717C" w:rsidRDefault="002E1701" w:rsidP="002422A5">
      <w:pPr>
        <w:spacing w:line="360" w:lineRule="auto"/>
        <w:jc w:val="center"/>
        <w:rPr>
          <w:rFonts w:eastAsiaTheme="minorHAnsi" w:cs="Arial"/>
          <w:b/>
          <w:szCs w:val="24"/>
          <w:lang w:val="en-GB"/>
        </w:rPr>
      </w:pPr>
      <w:r w:rsidRPr="008F717C">
        <w:rPr>
          <w:rFonts w:eastAsiaTheme="minorHAnsi" w:cs="Arial"/>
          <w:b/>
          <w:bCs/>
          <w:szCs w:val="24"/>
          <w:lang w:val="en-GB"/>
        </w:rPr>
        <w:t>JUDGMENT</w:t>
      </w:r>
    </w:p>
    <w:p w14:paraId="7D67C33C" w14:textId="77777777" w:rsidR="002422A5" w:rsidRPr="008F717C" w:rsidRDefault="002422A5" w:rsidP="002422A5">
      <w:pPr>
        <w:pBdr>
          <w:bottom w:val="single" w:sz="12" w:space="1" w:color="auto"/>
        </w:pBdr>
        <w:spacing w:line="360" w:lineRule="auto"/>
        <w:rPr>
          <w:rFonts w:eastAsiaTheme="minorHAnsi" w:cs="Arial"/>
          <w:szCs w:val="24"/>
          <w:lang w:val="en-GB"/>
        </w:rPr>
      </w:pPr>
    </w:p>
    <w:p w14:paraId="10B9C3FE" w14:textId="77777777" w:rsidR="002422A5" w:rsidRPr="008F717C" w:rsidRDefault="002422A5" w:rsidP="002422A5">
      <w:pPr>
        <w:spacing w:after="360" w:line="360" w:lineRule="auto"/>
        <w:rPr>
          <w:rFonts w:eastAsiaTheme="minorHAnsi" w:cs="Arial"/>
          <w:szCs w:val="24"/>
          <w:lang w:val="en-GB"/>
        </w:rPr>
      </w:pPr>
    </w:p>
    <w:p w14:paraId="372D8AE0" w14:textId="77777777" w:rsidR="002E1701" w:rsidRPr="008F717C" w:rsidRDefault="002E1701" w:rsidP="002E1701">
      <w:pPr>
        <w:widowControl w:val="0"/>
        <w:tabs>
          <w:tab w:val="left" w:pos="1418"/>
        </w:tabs>
        <w:spacing w:after="120"/>
        <w:rPr>
          <w:rFonts w:cs="Arial"/>
          <w:szCs w:val="24"/>
          <w:lang w:val="en-GB"/>
        </w:rPr>
      </w:pPr>
      <w:r w:rsidRPr="008F717C">
        <w:rPr>
          <w:rFonts w:cs="Arial"/>
          <w:szCs w:val="24"/>
          <w:lang w:val="en-GB"/>
        </w:rPr>
        <w:t>Heard:  Various dates from 14 August 2019 to 29 March 2023</w:t>
      </w:r>
    </w:p>
    <w:p w14:paraId="07C1F701" w14:textId="25350A9F" w:rsidR="002E1701" w:rsidRPr="008F717C" w:rsidRDefault="002E1701" w:rsidP="002E1701">
      <w:pPr>
        <w:spacing w:after="360" w:line="360" w:lineRule="auto"/>
        <w:rPr>
          <w:rFonts w:cs="Arial"/>
          <w:szCs w:val="24"/>
          <w:lang w:val="en-GB"/>
        </w:rPr>
      </w:pPr>
      <w:r w:rsidRPr="008F717C">
        <w:rPr>
          <w:rFonts w:cs="Arial"/>
          <w:szCs w:val="24"/>
          <w:lang w:val="en-GB"/>
        </w:rPr>
        <w:t>Delivered:  26 May 2023</w:t>
      </w:r>
      <w:r w:rsidRPr="008F717C">
        <w:rPr>
          <w:rFonts w:cs="Arial"/>
          <w:szCs w:val="24"/>
          <w:lang w:val="en-GB"/>
        </w:rPr>
        <w:br w:type="page"/>
      </w:r>
    </w:p>
    <w:p w14:paraId="05725F5B" w14:textId="58E40B9F" w:rsidR="009C3957" w:rsidRPr="008F717C" w:rsidRDefault="000541C6" w:rsidP="000541C6">
      <w:pPr>
        <w:pStyle w:val="Heading1"/>
        <w:numPr>
          <w:ilvl w:val="0"/>
          <w:numId w:val="0"/>
        </w:numPr>
        <w:ind w:left="851" w:hanging="851"/>
        <w:rPr>
          <w:szCs w:val="24"/>
          <w:lang w:val="en-GB"/>
        </w:rPr>
      </w:pPr>
      <w:r w:rsidRPr="008F717C">
        <w:rPr>
          <w:szCs w:val="24"/>
          <w:lang w:val="en-GB"/>
        </w:rPr>
        <w:lastRenderedPageBreak/>
        <w:t>A.</w:t>
      </w:r>
      <w:r w:rsidRPr="008F717C">
        <w:rPr>
          <w:szCs w:val="24"/>
          <w:lang w:val="en-GB"/>
        </w:rPr>
        <w:tab/>
      </w:r>
      <w:r w:rsidR="002E1701" w:rsidRPr="008F717C">
        <w:rPr>
          <w:szCs w:val="24"/>
          <w:lang w:val="en-GB"/>
        </w:rPr>
        <w:t>INTRODUCTION</w:t>
      </w:r>
    </w:p>
    <w:p w14:paraId="6BA336F2" w14:textId="52386769" w:rsidR="008B0A6D"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w:t>
      </w:r>
      <w:r w:rsidRPr="008F717C">
        <w:rPr>
          <w:rFonts w:cs="Arial"/>
          <w:szCs w:val="24"/>
          <w:lang w:val="en-GB"/>
        </w:rPr>
        <w:tab/>
      </w:r>
      <w:r w:rsidR="001166D9">
        <w:rPr>
          <w:rFonts w:cs="Arial"/>
          <w:szCs w:val="24"/>
          <w:lang w:val="en-GB"/>
        </w:rPr>
        <w:t>E</w:t>
      </w:r>
      <w:r w:rsidR="001166D9" w:rsidRPr="008F717C">
        <w:rPr>
          <w:rFonts w:cs="Arial"/>
          <w:szCs w:val="24"/>
          <w:lang w:val="en-GB"/>
        </w:rPr>
        <w:t>arly in the morning,</w:t>
      </w:r>
      <w:r w:rsidR="001166D9">
        <w:rPr>
          <w:rFonts w:cs="Arial"/>
          <w:szCs w:val="24"/>
          <w:lang w:val="en-GB"/>
        </w:rPr>
        <w:t xml:space="preserve"> o</w:t>
      </w:r>
      <w:r w:rsidR="002E1701" w:rsidRPr="008F717C">
        <w:rPr>
          <w:rFonts w:cs="Arial"/>
          <w:szCs w:val="24"/>
          <w:lang w:val="en-GB"/>
        </w:rPr>
        <w:t>n 8 June 2017, Ms Akhona Williams (</w:t>
      </w:r>
      <w:r w:rsidR="00C11F87" w:rsidRPr="008F717C">
        <w:rPr>
          <w:rFonts w:cs="Arial"/>
          <w:szCs w:val="24"/>
          <w:lang w:val="en-GB"/>
        </w:rPr>
        <w:t>“</w:t>
      </w:r>
      <w:r w:rsidR="002E1701" w:rsidRPr="008F717C">
        <w:rPr>
          <w:rFonts w:cs="Arial"/>
          <w:b/>
          <w:bCs/>
          <w:szCs w:val="24"/>
          <w:lang w:val="en-GB"/>
        </w:rPr>
        <w:t>Williams</w:t>
      </w:r>
      <w:r w:rsidR="00C11F87" w:rsidRPr="008F717C">
        <w:rPr>
          <w:rFonts w:cs="Arial"/>
          <w:szCs w:val="24"/>
          <w:lang w:val="en-GB"/>
        </w:rPr>
        <w:t>”</w:t>
      </w:r>
      <w:r w:rsidR="002E1701" w:rsidRPr="008F717C">
        <w:rPr>
          <w:rFonts w:cs="Arial"/>
          <w:szCs w:val="24"/>
          <w:lang w:val="en-GB"/>
        </w:rPr>
        <w:t>)</w:t>
      </w:r>
      <w:r w:rsidR="001166D9">
        <w:rPr>
          <w:rFonts w:cs="Arial"/>
          <w:szCs w:val="24"/>
          <w:lang w:val="en-GB"/>
        </w:rPr>
        <w:t>, whilst waiting for a taxi in Nyanga,</w:t>
      </w:r>
      <w:r w:rsidR="007275F5" w:rsidRPr="008F717C">
        <w:rPr>
          <w:rFonts w:cs="Arial"/>
          <w:szCs w:val="24"/>
          <w:lang w:val="en-GB"/>
        </w:rPr>
        <w:t xml:space="preserve"> fell victim to a </w:t>
      </w:r>
      <w:r w:rsidR="00CB03BD" w:rsidRPr="008F717C">
        <w:rPr>
          <w:rFonts w:cs="Arial"/>
          <w:szCs w:val="24"/>
          <w:lang w:val="en-GB"/>
        </w:rPr>
        <w:t>cell phone</w:t>
      </w:r>
      <w:r w:rsidR="007275F5" w:rsidRPr="008F717C">
        <w:rPr>
          <w:rFonts w:cs="Arial"/>
          <w:szCs w:val="24"/>
          <w:lang w:val="en-GB"/>
        </w:rPr>
        <w:t xml:space="preserve"> theft perpetrated by</w:t>
      </w:r>
      <w:r w:rsidR="001166D9">
        <w:rPr>
          <w:rFonts w:cs="Arial"/>
          <w:szCs w:val="24"/>
          <w:lang w:val="en-GB"/>
        </w:rPr>
        <w:t xml:space="preserve"> </w:t>
      </w:r>
      <w:r w:rsidR="003E420D" w:rsidRPr="008F717C">
        <w:rPr>
          <w:rFonts w:cs="Arial"/>
          <w:szCs w:val="24"/>
          <w:lang w:val="en-GB"/>
        </w:rPr>
        <w:t>Nzukiso Pangwa</w:t>
      </w:r>
      <w:r w:rsidR="00CB03BD" w:rsidRPr="008F717C">
        <w:rPr>
          <w:rFonts w:cs="Arial"/>
          <w:szCs w:val="24"/>
          <w:lang w:val="en-GB"/>
        </w:rPr>
        <w:t xml:space="preserve"> (</w:t>
      </w:r>
      <w:r w:rsidR="00C11F87" w:rsidRPr="008F717C">
        <w:rPr>
          <w:rFonts w:cs="Arial"/>
          <w:szCs w:val="24"/>
          <w:lang w:val="en-GB"/>
        </w:rPr>
        <w:t>“</w:t>
      </w:r>
      <w:r w:rsidR="00CB03BD" w:rsidRPr="008F717C">
        <w:rPr>
          <w:rFonts w:cs="Arial"/>
          <w:b/>
          <w:bCs/>
          <w:szCs w:val="24"/>
          <w:lang w:val="en-GB"/>
        </w:rPr>
        <w:t>Pangwa</w:t>
      </w:r>
      <w:r w:rsidR="00C11F87" w:rsidRPr="008F717C">
        <w:rPr>
          <w:rFonts w:cs="Arial"/>
          <w:szCs w:val="24"/>
          <w:lang w:val="en-GB"/>
        </w:rPr>
        <w:t>”</w:t>
      </w:r>
      <w:r w:rsidR="00CB03BD" w:rsidRPr="008F717C">
        <w:rPr>
          <w:rFonts w:cs="Arial"/>
          <w:szCs w:val="24"/>
          <w:lang w:val="en-GB"/>
        </w:rPr>
        <w:t xml:space="preserve">).  </w:t>
      </w:r>
      <w:r w:rsidR="007275F5" w:rsidRPr="008F717C">
        <w:rPr>
          <w:rFonts w:cs="Arial"/>
          <w:szCs w:val="24"/>
          <w:lang w:val="en-GB"/>
        </w:rPr>
        <w:t>A</w:t>
      </w:r>
      <w:r w:rsidR="00CB03BD" w:rsidRPr="008F717C">
        <w:rPr>
          <w:rFonts w:cs="Arial"/>
          <w:szCs w:val="24"/>
          <w:lang w:val="en-GB"/>
        </w:rPr>
        <w:t>fter a</w:t>
      </w:r>
      <w:r w:rsidR="007275F5" w:rsidRPr="008F717C">
        <w:rPr>
          <w:rFonts w:cs="Arial"/>
          <w:szCs w:val="24"/>
          <w:lang w:val="en-GB"/>
        </w:rPr>
        <w:t xml:space="preserve"> brief</w:t>
      </w:r>
      <w:r w:rsidR="00CB03BD" w:rsidRPr="008F717C">
        <w:rPr>
          <w:rFonts w:cs="Arial"/>
          <w:szCs w:val="24"/>
          <w:lang w:val="en-GB"/>
        </w:rPr>
        <w:t xml:space="preserve"> tussle with Williams, </w:t>
      </w:r>
      <w:r w:rsidR="004A575C" w:rsidRPr="008F717C">
        <w:rPr>
          <w:rFonts w:cs="Arial"/>
          <w:szCs w:val="24"/>
          <w:lang w:val="en-GB"/>
        </w:rPr>
        <w:t xml:space="preserve">Pangwa </w:t>
      </w:r>
      <w:r w:rsidR="00CB03BD" w:rsidRPr="008F717C">
        <w:rPr>
          <w:rFonts w:cs="Arial"/>
          <w:szCs w:val="24"/>
          <w:lang w:val="en-GB"/>
        </w:rPr>
        <w:t>ran into the Europe squatter camp</w:t>
      </w:r>
      <w:r w:rsidR="007275F5" w:rsidRPr="008F717C">
        <w:rPr>
          <w:rFonts w:cs="Arial"/>
          <w:szCs w:val="24"/>
          <w:lang w:val="en-GB"/>
        </w:rPr>
        <w:t xml:space="preserve"> with</w:t>
      </w:r>
      <w:r w:rsidR="00CB03BD" w:rsidRPr="008F717C">
        <w:rPr>
          <w:rFonts w:cs="Arial"/>
          <w:szCs w:val="24"/>
          <w:lang w:val="en-GB"/>
        </w:rPr>
        <w:t xml:space="preserve"> </w:t>
      </w:r>
      <w:r w:rsidR="007275F5" w:rsidRPr="008F717C">
        <w:rPr>
          <w:rFonts w:cs="Arial"/>
          <w:szCs w:val="24"/>
          <w:lang w:val="en-GB"/>
        </w:rPr>
        <w:t xml:space="preserve">four </w:t>
      </w:r>
      <w:r w:rsidR="00CB03BD" w:rsidRPr="008F717C">
        <w:rPr>
          <w:rFonts w:cs="Arial"/>
          <w:szCs w:val="24"/>
          <w:lang w:val="en-GB"/>
        </w:rPr>
        <w:t>men</w:t>
      </w:r>
      <w:r w:rsidR="007275F5" w:rsidRPr="008F717C">
        <w:rPr>
          <w:rFonts w:cs="Arial"/>
          <w:szCs w:val="24"/>
          <w:lang w:val="en-GB"/>
        </w:rPr>
        <w:t xml:space="preserve"> in pursuit </w:t>
      </w:r>
      <w:r w:rsidR="00CB03BD" w:rsidRPr="008F717C">
        <w:rPr>
          <w:rFonts w:cs="Arial"/>
          <w:szCs w:val="24"/>
          <w:lang w:val="en-GB"/>
        </w:rPr>
        <w:t>who</w:t>
      </w:r>
      <w:r w:rsidR="007275F5" w:rsidRPr="008F717C">
        <w:rPr>
          <w:rFonts w:cs="Arial"/>
          <w:szCs w:val="24"/>
          <w:lang w:val="en-GB"/>
        </w:rPr>
        <w:t xml:space="preserve"> had responded</w:t>
      </w:r>
      <w:r w:rsidR="00CB03BD" w:rsidRPr="008F717C">
        <w:rPr>
          <w:rFonts w:cs="Arial"/>
          <w:szCs w:val="24"/>
          <w:lang w:val="en-GB"/>
        </w:rPr>
        <w:t xml:space="preserve"> </w:t>
      </w:r>
      <w:r w:rsidR="008B0A6D" w:rsidRPr="008F717C">
        <w:rPr>
          <w:rFonts w:cs="Arial"/>
          <w:szCs w:val="24"/>
          <w:lang w:val="en-GB"/>
        </w:rPr>
        <w:t>to her</w:t>
      </w:r>
      <w:r w:rsidR="007275F5" w:rsidRPr="008F717C">
        <w:rPr>
          <w:rFonts w:cs="Arial"/>
          <w:szCs w:val="24"/>
          <w:lang w:val="en-GB"/>
        </w:rPr>
        <w:t xml:space="preserve"> cry for help. These four men </w:t>
      </w:r>
      <w:r w:rsidR="001166D9">
        <w:rPr>
          <w:rFonts w:cs="Arial"/>
          <w:szCs w:val="24"/>
          <w:lang w:val="en-GB"/>
        </w:rPr>
        <w:t>we</w:t>
      </w:r>
      <w:r w:rsidR="007275F5" w:rsidRPr="008F717C">
        <w:rPr>
          <w:rFonts w:cs="Arial"/>
          <w:szCs w:val="24"/>
          <w:lang w:val="en-GB"/>
        </w:rPr>
        <w:t xml:space="preserve">re </w:t>
      </w:r>
      <w:r w:rsidR="001166D9">
        <w:rPr>
          <w:rFonts w:cs="Arial"/>
          <w:szCs w:val="24"/>
          <w:lang w:val="en-GB"/>
        </w:rPr>
        <w:t xml:space="preserve">identified as </w:t>
      </w:r>
      <w:r w:rsidR="00CB03BD" w:rsidRPr="008F717C">
        <w:rPr>
          <w:rFonts w:cs="Arial"/>
          <w:szCs w:val="24"/>
          <w:lang w:val="en-GB"/>
        </w:rPr>
        <w:t>Accused 2, 4, 5 and 6 (</w:t>
      </w:r>
      <w:r w:rsidR="00C11F87" w:rsidRPr="008F717C">
        <w:rPr>
          <w:rFonts w:cs="Arial"/>
          <w:szCs w:val="24"/>
          <w:lang w:val="en-GB"/>
        </w:rPr>
        <w:t>“</w:t>
      </w:r>
      <w:r w:rsidR="00CB03BD" w:rsidRPr="008F717C">
        <w:rPr>
          <w:rFonts w:cs="Arial"/>
          <w:b/>
          <w:bCs/>
          <w:szCs w:val="24"/>
          <w:lang w:val="en-GB"/>
        </w:rPr>
        <w:t>Mbana</w:t>
      </w:r>
      <w:r w:rsidR="00C11F87" w:rsidRPr="008F717C">
        <w:rPr>
          <w:rFonts w:cs="Arial"/>
          <w:szCs w:val="24"/>
          <w:lang w:val="en-GB"/>
        </w:rPr>
        <w:t>”</w:t>
      </w:r>
      <w:r w:rsidR="00CB03BD" w:rsidRPr="008F717C">
        <w:rPr>
          <w:rFonts w:cs="Arial"/>
          <w:szCs w:val="24"/>
          <w:lang w:val="en-GB"/>
        </w:rPr>
        <w:t xml:space="preserve">, </w:t>
      </w:r>
      <w:r w:rsidR="00C11F87" w:rsidRPr="008F717C">
        <w:rPr>
          <w:rFonts w:cs="Arial"/>
          <w:szCs w:val="24"/>
          <w:lang w:val="en-GB"/>
        </w:rPr>
        <w:t>“</w:t>
      </w:r>
      <w:r w:rsidR="00CB03BD" w:rsidRPr="008F717C">
        <w:rPr>
          <w:rFonts w:cs="Arial"/>
          <w:b/>
          <w:bCs/>
          <w:szCs w:val="24"/>
          <w:lang w:val="en-GB"/>
        </w:rPr>
        <w:t>Shoba</w:t>
      </w:r>
      <w:r w:rsidR="00C11F87" w:rsidRPr="008F717C">
        <w:rPr>
          <w:rFonts w:cs="Arial"/>
          <w:szCs w:val="24"/>
          <w:lang w:val="en-GB"/>
        </w:rPr>
        <w:t>”</w:t>
      </w:r>
      <w:r w:rsidR="00CB03BD" w:rsidRPr="008F717C">
        <w:rPr>
          <w:rFonts w:cs="Arial"/>
          <w:szCs w:val="24"/>
          <w:lang w:val="en-GB"/>
        </w:rPr>
        <w:t xml:space="preserve">, </w:t>
      </w:r>
      <w:r w:rsidR="00C11F87" w:rsidRPr="008F717C">
        <w:rPr>
          <w:rFonts w:cs="Arial"/>
          <w:szCs w:val="24"/>
          <w:lang w:val="en-GB"/>
        </w:rPr>
        <w:t>“</w:t>
      </w:r>
      <w:r w:rsidR="00CB03BD" w:rsidRPr="008F717C">
        <w:rPr>
          <w:rFonts w:eastAsiaTheme="minorHAnsi" w:cs="Arial"/>
          <w:b/>
          <w:szCs w:val="24"/>
          <w:lang w:val="en-GB"/>
        </w:rPr>
        <w:t>Mkunyanya</w:t>
      </w:r>
      <w:r w:rsidR="00C11F87" w:rsidRPr="008F717C">
        <w:rPr>
          <w:rFonts w:eastAsiaTheme="minorHAnsi" w:cs="Arial"/>
          <w:bCs/>
          <w:szCs w:val="24"/>
          <w:lang w:val="en-GB"/>
        </w:rPr>
        <w:t>”</w:t>
      </w:r>
      <w:r w:rsidR="00CB03BD" w:rsidRPr="008F717C">
        <w:rPr>
          <w:rFonts w:eastAsiaTheme="minorHAnsi" w:cs="Arial"/>
          <w:bCs/>
          <w:szCs w:val="24"/>
          <w:lang w:val="en-GB"/>
        </w:rPr>
        <w:t xml:space="preserve"> and </w:t>
      </w:r>
      <w:r w:rsidR="00C11F87" w:rsidRPr="008F717C">
        <w:rPr>
          <w:rFonts w:eastAsiaTheme="minorHAnsi" w:cs="Arial"/>
          <w:bCs/>
          <w:szCs w:val="24"/>
          <w:lang w:val="en-GB"/>
        </w:rPr>
        <w:t>“</w:t>
      </w:r>
      <w:r w:rsidR="00CB03BD" w:rsidRPr="008F717C">
        <w:rPr>
          <w:rFonts w:eastAsiaTheme="minorHAnsi" w:cs="Arial"/>
          <w:b/>
          <w:szCs w:val="24"/>
          <w:lang w:val="en-GB"/>
        </w:rPr>
        <w:t>Mboniswa</w:t>
      </w:r>
      <w:r w:rsidR="00C11F87" w:rsidRPr="008F717C">
        <w:rPr>
          <w:rFonts w:eastAsiaTheme="minorHAnsi" w:cs="Arial"/>
          <w:bCs/>
          <w:szCs w:val="24"/>
          <w:lang w:val="en-GB"/>
        </w:rPr>
        <w:t>”</w:t>
      </w:r>
      <w:r w:rsidR="001166D9">
        <w:rPr>
          <w:rFonts w:eastAsiaTheme="minorHAnsi" w:cs="Arial"/>
          <w:bCs/>
          <w:szCs w:val="24"/>
          <w:lang w:val="en-GB"/>
        </w:rPr>
        <w:t>)</w:t>
      </w:r>
      <w:r w:rsidR="003E420D" w:rsidRPr="008F717C">
        <w:rPr>
          <w:rFonts w:eastAsiaTheme="minorHAnsi" w:cs="Arial"/>
          <w:bCs/>
          <w:szCs w:val="24"/>
          <w:lang w:val="en-GB"/>
        </w:rPr>
        <w:t>.</w:t>
      </w:r>
      <w:r w:rsidR="007275F5" w:rsidRPr="008F717C">
        <w:rPr>
          <w:rFonts w:eastAsiaTheme="minorHAnsi" w:cs="Arial"/>
          <w:bCs/>
          <w:szCs w:val="24"/>
          <w:lang w:val="en-GB"/>
        </w:rPr>
        <w:t xml:space="preserve">  The</w:t>
      </w:r>
      <w:r w:rsidR="001166D9">
        <w:rPr>
          <w:rFonts w:eastAsiaTheme="minorHAnsi" w:cs="Arial"/>
          <w:bCs/>
          <w:szCs w:val="24"/>
          <w:lang w:val="en-GB"/>
        </w:rPr>
        <w:t>y</w:t>
      </w:r>
      <w:r w:rsidR="007275F5" w:rsidRPr="008F717C">
        <w:rPr>
          <w:rFonts w:eastAsiaTheme="minorHAnsi" w:cs="Arial"/>
          <w:bCs/>
          <w:szCs w:val="24"/>
          <w:lang w:val="en-GB"/>
        </w:rPr>
        <w:t xml:space="preserve"> were not able to retrieve the cell phone </w:t>
      </w:r>
      <w:r w:rsidR="008B0A6D" w:rsidRPr="008F717C">
        <w:rPr>
          <w:rFonts w:eastAsiaTheme="minorHAnsi" w:cs="Arial"/>
          <w:bCs/>
          <w:szCs w:val="24"/>
          <w:lang w:val="en-GB"/>
        </w:rPr>
        <w:t xml:space="preserve">as </w:t>
      </w:r>
      <w:r w:rsidR="00787610" w:rsidRPr="008F717C">
        <w:rPr>
          <w:rFonts w:eastAsiaTheme="minorHAnsi" w:cs="Arial"/>
          <w:bCs/>
          <w:szCs w:val="24"/>
          <w:lang w:val="en-GB"/>
        </w:rPr>
        <w:t>Luntu Mrwebi (</w:t>
      </w:r>
      <w:r w:rsidR="00C11F87" w:rsidRPr="008F717C">
        <w:rPr>
          <w:rFonts w:eastAsiaTheme="minorHAnsi" w:cs="Arial"/>
          <w:bCs/>
          <w:szCs w:val="24"/>
          <w:lang w:val="en-GB"/>
        </w:rPr>
        <w:t>“</w:t>
      </w:r>
      <w:r w:rsidR="00787610" w:rsidRPr="008F717C">
        <w:rPr>
          <w:rFonts w:eastAsiaTheme="minorHAnsi" w:cs="Arial"/>
          <w:b/>
          <w:szCs w:val="24"/>
          <w:lang w:val="en-GB"/>
        </w:rPr>
        <w:t>Mrwebi</w:t>
      </w:r>
      <w:r w:rsidR="00C11F87" w:rsidRPr="008F717C">
        <w:rPr>
          <w:rFonts w:eastAsiaTheme="minorHAnsi" w:cs="Arial"/>
          <w:bCs/>
          <w:szCs w:val="24"/>
          <w:lang w:val="en-GB"/>
        </w:rPr>
        <w:t>”</w:t>
      </w:r>
      <w:r w:rsidR="00787610" w:rsidRPr="008F717C">
        <w:rPr>
          <w:rFonts w:eastAsiaTheme="minorHAnsi" w:cs="Arial"/>
          <w:bCs/>
          <w:szCs w:val="24"/>
          <w:lang w:val="en-GB"/>
        </w:rPr>
        <w:t>)</w:t>
      </w:r>
      <w:r w:rsidR="00ED5253" w:rsidRPr="008F717C">
        <w:rPr>
          <w:rFonts w:eastAsiaTheme="minorHAnsi" w:cs="Arial"/>
          <w:bCs/>
          <w:szCs w:val="24"/>
          <w:lang w:val="en-GB"/>
        </w:rPr>
        <w:t xml:space="preserve"> came to Pangwa</w:t>
      </w:r>
      <w:r w:rsidR="00256502" w:rsidRPr="008F717C">
        <w:rPr>
          <w:rFonts w:eastAsiaTheme="minorHAnsi" w:cs="Arial"/>
          <w:bCs/>
          <w:szCs w:val="24"/>
          <w:lang w:val="en-GB"/>
        </w:rPr>
        <w:t>’</w:t>
      </w:r>
      <w:r w:rsidR="00ED5253" w:rsidRPr="008F717C">
        <w:rPr>
          <w:rFonts w:eastAsiaTheme="minorHAnsi" w:cs="Arial"/>
          <w:bCs/>
          <w:szCs w:val="24"/>
          <w:lang w:val="en-GB"/>
        </w:rPr>
        <w:t xml:space="preserve">s aid and the two </w:t>
      </w:r>
      <w:r w:rsidR="001166D9">
        <w:rPr>
          <w:rFonts w:eastAsiaTheme="minorHAnsi" w:cs="Arial"/>
          <w:bCs/>
          <w:szCs w:val="24"/>
          <w:lang w:val="en-GB"/>
        </w:rPr>
        <w:t>of them</w:t>
      </w:r>
      <w:r w:rsidR="007275F5" w:rsidRPr="008F717C">
        <w:rPr>
          <w:rFonts w:eastAsiaTheme="minorHAnsi" w:cs="Arial"/>
          <w:bCs/>
          <w:szCs w:val="24"/>
          <w:lang w:val="en-GB"/>
        </w:rPr>
        <w:t xml:space="preserve"> managed to </w:t>
      </w:r>
      <w:r w:rsidR="00787610" w:rsidRPr="008F717C">
        <w:rPr>
          <w:rFonts w:eastAsiaTheme="minorHAnsi" w:cs="Arial"/>
          <w:bCs/>
          <w:szCs w:val="24"/>
          <w:lang w:val="en-GB"/>
        </w:rPr>
        <w:t>escape with the cell phone.</w:t>
      </w:r>
    </w:p>
    <w:p w14:paraId="384C6EB7" w14:textId="2356C10A" w:rsidR="007275F5"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2.</w:t>
      </w:r>
      <w:r w:rsidRPr="008F717C">
        <w:rPr>
          <w:rFonts w:cs="Arial"/>
          <w:szCs w:val="24"/>
          <w:lang w:val="en-GB"/>
        </w:rPr>
        <w:tab/>
      </w:r>
      <w:r w:rsidR="007275F5" w:rsidRPr="008F717C">
        <w:rPr>
          <w:rFonts w:eastAsiaTheme="minorHAnsi" w:cs="Arial"/>
          <w:bCs/>
          <w:szCs w:val="24"/>
          <w:lang w:val="en-GB"/>
        </w:rPr>
        <w:t>This ac</w:t>
      </w:r>
      <w:r w:rsidR="00787610" w:rsidRPr="008F717C">
        <w:rPr>
          <w:rFonts w:eastAsiaTheme="minorHAnsi" w:cs="Arial"/>
          <w:bCs/>
          <w:szCs w:val="24"/>
          <w:lang w:val="en-GB"/>
        </w:rPr>
        <w:t>t of criminality set in motion a chain of events that culminated</w:t>
      </w:r>
      <w:r w:rsidR="00ED5253" w:rsidRPr="008F717C">
        <w:rPr>
          <w:rFonts w:eastAsiaTheme="minorHAnsi" w:cs="Arial"/>
          <w:bCs/>
          <w:szCs w:val="24"/>
          <w:lang w:val="en-GB"/>
        </w:rPr>
        <w:t xml:space="preserve"> in violent acts of vigilantism</w:t>
      </w:r>
      <w:r w:rsidR="001166D9">
        <w:rPr>
          <w:rFonts w:eastAsiaTheme="minorHAnsi" w:cs="Arial"/>
          <w:bCs/>
          <w:szCs w:val="24"/>
          <w:lang w:val="en-GB"/>
        </w:rPr>
        <w:t>.</w:t>
      </w:r>
      <w:r w:rsidR="008B0A6D" w:rsidRPr="008F717C">
        <w:rPr>
          <w:rFonts w:eastAsiaTheme="minorHAnsi" w:cs="Arial"/>
          <w:bCs/>
          <w:szCs w:val="24"/>
          <w:lang w:val="en-GB"/>
        </w:rPr>
        <w:t xml:space="preserve"> </w:t>
      </w:r>
      <w:r w:rsidR="007275F5" w:rsidRPr="008F717C">
        <w:rPr>
          <w:rFonts w:eastAsiaTheme="minorHAnsi" w:cs="Arial"/>
          <w:bCs/>
          <w:szCs w:val="24"/>
          <w:lang w:val="en-GB"/>
        </w:rPr>
        <w:t>When there is inadequate policing, people</w:t>
      </w:r>
      <w:r w:rsidR="001166D9">
        <w:rPr>
          <w:rFonts w:eastAsiaTheme="minorHAnsi" w:cs="Arial"/>
          <w:bCs/>
          <w:szCs w:val="24"/>
          <w:lang w:val="en-GB"/>
        </w:rPr>
        <w:t xml:space="preserve">, driven by </w:t>
      </w:r>
      <w:r w:rsidR="00ED5253" w:rsidRPr="008F717C">
        <w:rPr>
          <w:rFonts w:eastAsiaTheme="minorHAnsi" w:cs="Arial"/>
          <w:bCs/>
          <w:szCs w:val="24"/>
          <w:lang w:val="en-GB"/>
        </w:rPr>
        <w:t>desperation and frustration</w:t>
      </w:r>
      <w:r w:rsidR="008B0A6D" w:rsidRPr="008F717C">
        <w:rPr>
          <w:rFonts w:eastAsiaTheme="minorHAnsi" w:cs="Arial"/>
          <w:bCs/>
          <w:szCs w:val="24"/>
          <w:lang w:val="en-GB"/>
        </w:rPr>
        <w:t xml:space="preserve">, </w:t>
      </w:r>
      <w:r w:rsidR="001166D9">
        <w:rPr>
          <w:rFonts w:eastAsiaTheme="minorHAnsi" w:cs="Arial"/>
          <w:bCs/>
          <w:szCs w:val="24"/>
          <w:lang w:val="en-GB"/>
        </w:rPr>
        <w:t xml:space="preserve">and perhaps </w:t>
      </w:r>
      <w:r w:rsidR="008B0A6D" w:rsidRPr="008F717C">
        <w:rPr>
          <w:rFonts w:eastAsiaTheme="minorHAnsi" w:cs="Arial"/>
          <w:bCs/>
          <w:szCs w:val="24"/>
          <w:lang w:val="en-GB"/>
        </w:rPr>
        <w:t xml:space="preserve">a measure of </w:t>
      </w:r>
      <w:r w:rsidR="00ED5253" w:rsidRPr="008F717C">
        <w:rPr>
          <w:rFonts w:eastAsiaTheme="minorHAnsi" w:cs="Arial"/>
          <w:bCs/>
          <w:szCs w:val="24"/>
          <w:lang w:val="en-GB"/>
        </w:rPr>
        <w:t>opportunis</w:t>
      </w:r>
      <w:r w:rsidR="008B0A6D" w:rsidRPr="008F717C">
        <w:rPr>
          <w:rFonts w:eastAsiaTheme="minorHAnsi" w:cs="Arial"/>
          <w:bCs/>
          <w:szCs w:val="24"/>
          <w:lang w:val="en-GB"/>
        </w:rPr>
        <w:t>m</w:t>
      </w:r>
      <w:r w:rsidR="00ED5253" w:rsidRPr="008F717C">
        <w:rPr>
          <w:rFonts w:eastAsiaTheme="minorHAnsi" w:cs="Arial"/>
          <w:bCs/>
          <w:szCs w:val="24"/>
          <w:lang w:val="en-GB"/>
        </w:rPr>
        <w:t>,</w:t>
      </w:r>
      <w:r w:rsidR="007275F5" w:rsidRPr="008F717C">
        <w:rPr>
          <w:rFonts w:eastAsiaTheme="minorHAnsi" w:cs="Arial"/>
          <w:bCs/>
          <w:szCs w:val="24"/>
          <w:lang w:val="en-GB"/>
        </w:rPr>
        <w:t xml:space="preserve"> resort to vigilantism.  Mbatha AJ, in </w:t>
      </w:r>
      <w:r w:rsidR="008B0A6D" w:rsidRPr="008F717C">
        <w:rPr>
          <w:rFonts w:eastAsiaTheme="minorHAnsi" w:cs="Arial"/>
          <w:bCs/>
          <w:szCs w:val="24"/>
          <w:lang w:val="en-GB"/>
        </w:rPr>
        <w:t>the</w:t>
      </w:r>
      <w:r w:rsidR="007275F5" w:rsidRPr="008F717C">
        <w:rPr>
          <w:rFonts w:eastAsiaTheme="minorHAnsi" w:cs="Arial"/>
          <w:bCs/>
          <w:szCs w:val="24"/>
          <w:lang w:val="en-GB"/>
        </w:rPr>
        <w:t xml:space="preserve"> minority judgment in</w:t>
      </w:r>
      <w:r w:rsidR="00ED5253" w:rsidRPr="008F717C">
        <w:rPr>
          <w:rFonts w:eastAsiaTheme="minorHAnsi" w:cs="Arial"/>
          <w:bCs/>
          <w:szCs w:val="24"/>
          <w:lang w:val="en-GB"/>
        </w:rPr>
        <w:t xml:space="preserve"> </w:t>
      </w:r>
      <w:r w:rsidR="00ED5253" w:rsidRPr="008F717C">
        <w:rPr>
          <w:rFonts w:eastAsiaTheme="minorHAnsi" w:cs="Arial"/>
          <w:b/>
          <w:szCs w:val="24"/>
          <w:u w:val="single"/>
          <w:lang w:val="en-GB"/>
        </w:rPr>
        <w:t>Makhi</w:t>
      </w:r>
      <w:r w:rsidR="007275F5" w:rsidRPr="008F717C">
        <w:rPr>
          <w:rFonts w:eastAsiaTheme="minorHAnsi" w:cs="Arial"/>
          <w:b/>
          <w:szCs w:val="24"/>
          <w:u w:val="single"/>
          <w:lang w:val="en-GB"/>
        </w:rPr>
        <w:t xml:space="preserve"> Kapa v The State</w:t>
      </w:r>
      <w:r w:rsidR="007275F5" w:rsidRPr="008F717C">
        <w:rPr>
          <w:rStyle w:val="FootnoteReference"/>
          <w:rFonts w:eastAsiaTheme="minorHAnsi" w:cs="Arial"/>
          <w:bCs/>
          <w:szCs w:val="24"/>
          <w:lang w:val="en-GB"/>
        </w:rPr>
        <w:footnoteReference w:id="1"/>
      </w:r>
      <w:r w:rsidR="007275F5" w:rsidRPr="008F717C">
        <w:rPr>
          <w:rFonts w:eastAsiaTheme="minorHAnsi" w:cs="Arial"/>
          <w:bCs/>
          <w:szCs w:val="24"/>
          <w:lang w:val="en-GB"/>
        </w:rPr>
        <w:t xml:space="preserve"> </w:t>
      </w:r>
      <w:r w:rsidR="008B0A6D" w:rsidRPr="008F717C">
        <w:rPr>
          <w:rFonts w:eastAsiaTheme="minorHAnsi" w:cs="Arial"/>
          <w:bCs/>
          <w:szCs w:val="24"/>
          <w:lang w:val="en-GB"/>
        </w:rPr>
        <w:t>commented</w:t>
      </w:r>
      <w:r w:rsidR="00ED5253" w:rsidRPr="008F717C">
        <w:rPr>
          <w:rFonts w:eastAsiaTheme="minorHAnsi" w:cs="Arial"/>
          <w:bCs/>
          <w:szCs w:val="24"/>
          <w:lang w:val="en-GB"/>
        </w:rPr>
        <w:t xml:space="preserve"> that</w:t>
      </w:r>
      <w:r w:rsidR="007275F5" w:rsidRPr="008F717C">
        <w:rPr>
          <w:rFonts w:eastAsiaTheme="minorHAnsi" w:cs="Arial"/>
          <w:bCs/>
          <w:szCs w:val="24"/>
          <w:lang w:val="en-GB"/>
        </w:rPr>
        <w:t>:</w:t>
      </w:r>
    </w:p>
    <w:p w14:paraId="27C30BEC" w14:textId="15E1E8EE" w:rsidR="007275F5" w:rsidRPr="008F717C" w:rsidRDefault="00C11F87" w:rsidP="00B37EFC">
      <w:pPr>
        <w:pStyle w:val="Quote"/>
        <w:spacing w:after="600"/>
        <w:rPr>
          <w:rFonts w:cs="Arial"/>
          <w:szCs w:val="24"/>
          <w:lang w:val="en-GB"/>
        </w:rPr>
      </w:pPr>
      <w:r w:rsidRPr="008F717C">
        <w:rPr>
          <w:rFonts w:cs="Arial"/>
          <w:szCs w:val="24"/>
          <w:lang w:val="en-GB"/>
        </w:rPr>
        <w:t>“</w:t>
      </w:r>
      <w:r w:rsidR="007275F5" w:rsidRPr="008F717C">
        <w:rPr>
          <w:rFonts w:cs="Arial"/>
          <w:szCs w:val="24"/>
          <w:lang w:val="en-GB"/>
        </w:rPr>
        <w:t xml:space="preserve">Vigilantism is alarmingly common in South Africa due to, among others, inadequate policing in low-income communities.  This lack of State support leads to self-help by residents.  This </w:t>
      </w:r>
      <w:r w:rsidR="008B0A6D" w:rsidRPr="008F717C">
        <w:rPr>
          <w:rFonts w:cs="Arial"/>
          <w:szCs w:val="24"/>
          <w:lang w:val="en-GB"/>
        </w:rPr>
        <w:t xml:space="preserve">Court </w:t>
      </w:r>
      <w:r w:rsidR="007275F5" w:rsidRPr="008F717C">
        <w:rPr>
          <w:rFonts w:cs="Arial"/>
          <w:szCs w:val="24"/>
          <w:lang w:val="en-GB"/>
        </w:rPr>
        <w:t xml:space="preserve">has said </w:t>
      </w:r>
      <w:r w:rsidR="00256502" w:rsidRPr="008F717C">
        <w:rPr>
          <w:rFonts w:cs="Arial"/>
          <w:szCs w:val="24"/>
          <w:lang w:val="en-GB"/>
        </w:rPr>
        <w:t>‘</w:t>
      </w:r>
      <w:r w:rsidR="007275F5" w:rsidRPr="008F717C">
        <w:rPr>
          <w:rFonts w:cs="Arial"/>
          <w:szCs w:val="24"/>
          <w:lang w:val="en-GB"/>
        </w:rPr>
        <w:t xml:space="preserve">self-help … is inimical to a society in which the rule of law prevails … </w:t>
      </w:r>
      <w:r w:rsidR="008B0A6D" w:rsidRPr="008F717C">
        <w:rPr>
          <w:rFonts w:cs="Arial"/>
          <w:szCs w:val="24"/>
          <w:lang w:val="en-GB"/>
        </w:rPr>
        <w:t xml:space="preserve">Respect </w:t>
      </w:r>
      <w:r w:rsidR="007275F5" w:rsidRPr="008F717C">
        <w:rPr>
          <w:rFonts w:cs="Arial"/>
          <w:szCs w:val="24"/>
          <w:lang w:val="en-GB"/>
        </w:rPr>
        <w:t xml:space="preserve">for the rule of law is crucial for a </w:t>
      </w:r>
      <w:r w:rsidR="004F4201" w:rsidRPr="008F717C">
        <w:rPr>
          <w:rFonts w:cs="Arial"/>
          <w:szCs w:val="24"/>
          <w:lang w:val="en-GB"/>
        </w:rPr>
        <w:t>defensible and sustainable democracy.</w:t>
      </w:r>
      <w:r w:rsidR="00256502" w:rsidRPr="008F717C">
        <w:rPr>
          <w:rFonts w:cs="Arial"/>
          <w:szCs w:val="24"/>
          <w:lang w:val="en-GB"/>
        </w:rPr>
        <w:t>’</w:t>
      </w:r>
      <w:r w:rsidR="004F4201" w:rsidRPr="008F717C">
        <w:rPr>
          <w:rStyle w:val="FootnoteReference"/>
          <w:rFonts w:cs="Arial"/>
          <w:szCs w:val="24"/>
          <w:lang w:val="en-GB"/>
        </w:rPr>
        <w:footnoteReference w:id="2"/>
      </w:r>
      <w:r w:rsidR="004F4201" w:rsidRPr="008F717C">
        <w:rPr>
          <w:rFonts w:cs="Arial"/>
          <w:szCs w:val="24"/>
          <w:lang w:val="en-GB"/>
        </w:rPr>
        <w:t xml:space="preserve">  Self-help cannot be condoned by our courts, but even in these circumstances, it remains important to ensure that fair trial rights are upheld.</w:t>
      </w:r>
      <w:r w:rsidRPr="008F717C">
        <w:rPr>
          <w:rFonts w:cs="Arial"/>
          <w:szCs w:val="24"/>
          <w:lang w:val="en-GB"/>
        </w:rPr>
        <w:t>”</w:t>
      </w:r>
    </w:p>
    <w:p w14:paraId="7E4BEBD4" w14:textId="5511B4ED" w:rsidR="007275F5"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lastRenderedPageBreak/>
        <w:t>3.</w:t>
      </w:r>
      <w:r w:rsidRPr="008F717C">
        <w:rPr>
          <w:rFonts w:cs="Arial"/>
          <w:szCs w:val="24"/>
          <w:lang w:val="en-GB"/>
        </w:rPr>
        <w:tab/>
      </w:r>
      <w:r w:rsidR="00CE155E" w:rsidRPr="008F717C">
        <w:rPr>
          <w:rFonts w:cs="Arial"/>
          <w:szCs w:val="24"/>
          <w:lang w:val="en-GB"/>
        </w:rPr>
        <w:t xml:space="preserve">It is unfortunate that the events on the night were perpetrated in response to a </w:t>
      </w:r>
      <w:r w:rsidR="00171C76">
        <w:rPr>
          <w:rFonts w:cs="Arial"/>
          <w:szCs w:val="24"/>
          <w:lang w:val="en-GB"/>
        </w:rPr>
        <w:t>crime</w:t>
      </w:r>
      <w:r w:rsidR="00CE155E" w:rsidRPr="008F717C">
        <w:rPr>
          <w:rFonts w:cs="Arial"/>
          <w:szCs w:val="24"/>
          <w:lang w:val="en-GB"/>
        </w:rPr>
        <w:t xml:space="preserve"> </w:t>
      </w:r>
      <w:r w:rsidR="00171C76">
        <w:rPr>
          <w:rFonts w:cs="Arial"/>
          <w:szCs w:val="24"/>
          <w:lang w:val="en-GB"/>
        </w:rPr>
        <w:t xml:space="preserve">by people who suffer from high levels of criminality and inadequate policing. However, as much as one has sympathy for those who find themselves in this situation, self-help </w:t>
      </w:r>
      <w:r w:rsidR="00CE155E" w:rsidRPr="008F717C">
        <w:rPr>
          <w:rFonts w:cs="Arial"/>
          <w:szCs w:val="24"/>
          <w:lang w:val="en-GB"/>
        </w:rPr>
        <w:t>cannot be condoned</w:t>
      </w:r>
      <w:r w:rsidR="00171C76">
        <w:rPr>
          <w:rFonts w:cs="Arial"/>
          <w:szCs w:val="24"/>
          <w:lang w:val="en-GB"/>
        </w:rPr>
        <w:t xml:space="preserve"> and </w:t>
      </w:r>
      <w:r w:rsidR="00CE155E" w:rsidRPr="008F717C">
        <w:rPr>
          <w:rFonts w:cs="Arial"/>
          <w:szCs w:val="24"/>
          <w:lang w:val="en-GB"/>
        </w:rPr>
        <w:t xml:space="preserve">does not inform </w:t>
      </w:r>
      <w:r w:rsidR="00171C76">
        <w:rPr>
          <w:rFonts w:cs="Arial"/>
          <w:szCs w:val="24"/>
          <w:lang w:val="en-GB"/>
        </w:rPr>
        <w:t>the</w:t>
      </w:r>
      <w:r w:rsidR="00CE155E" w:rsidRPr="008F717C">
        <w:rPr>
          <w:rFonts w:cs="Arial"/>
          <w:szCs w:val="24"/>
          <w:lang w:val="en-GB"/>
        </w:rPr>
        <w:t xml:space="preserve"> de</w:t>
      </w:r>
      <w:r w:rsidR="00171C76">
        <w:rPr>
          <w:rFonts w:cs="Arial"/>
          <w:szCs w:val="24"/>
          <w:lang w:val="en-GB"/>
        </w:rPr>
        <w:t xml:space="preserve">termination as to the guilt or otherwise of an Accused. </w:t>
      </w:r>
    </w:p>
    <w:p w14:paraId="0AA515AE" w14:textId="74AE12BC" w:rsidR="005A4BD5" w:rsidRPr="00445B57" w:rsidRDefault="000541C6" w:rsidP="000541C6">
      <w:pPr>
        <w:pStyle w:val="Level1"/>
        <w:numPr>
          <w:ilvl w:val="0"/>
          <w:numId w:val="0"/>
        </w:numPr>
        <w:ind w:left="851" w:hanging="851"/>
        <w:rPr>
          <w:rFonts w:cs="Arial"/>
          <w:szCs w:val="24"/>
          <w:lang w:val="en-GB"/>
        </w:rPr>
      </w:pPr>
      <w:r w:rsidRPr="00445B57">
        <w:rPr>
          <w:rFonts w:cs="Arial"/>
          <w:szCs w:val="24"/>
          <w:lang w:val="en-GB"/>
        </w:rPr>
        <w:t>4.</w:t>
      </w:r>
      <w:r w:rsidRPr="00445B57">
        <w:rPr>
          <w:rFonts w:cs="Arial"/>
          <w:szCs w:val="24"/>
          <w:lang w:val="en-GB"/>
        </w:rPr>
        <w:tab/>
      </w:r>
      <w:r w:rsidR="00B37EFC" w:rsidRPr="00445B57">
        <w:rPr>
          <w:rFonts w:eastAsiaTheme="minorHAnsi" w:cs="Arial"/>
          <w:bCs/>
          <w:szCs w:val="24"/>
          <w:lang w:val="en-GB"/>
        </w:rPr>
        <w:t>W</w:t>
      </w:r>
      <w:r w:rsidR="00787610" w:rsidRPr="00445B57">
        <w:rPr>
          <w:rFonts w:eastAsiaTheme="minorHAnsi" w:cs="Arial"/>
          <w:bCs/>
          <w:szCs w:val="24"/>
          <w:lang w:val="en-GB"/>
        </w:rPr>
        <w:t xml:space="preserve">hile the </w:t>
      </w:r>
      <w:r w:rsidR="00171C76" w:rsidRPr="00445B57">
        <w:rPr>
          <w:rFonts w:eastAsiaTheme="minorHAnsi" w:cs="Arial"/>
          <w:bCs/>
          <w:szCs w:val="24"/>
          <w:lang w:val="en-GB"/>
        </w:rPr>
        <w:t xml:space="preserve">exact nature and </w:t>
      </w:r>
      <w:r w:rsidR="00787610" w:rsidRPr="00445B57">
        <w:rPr>
          <w:rFonts w:eastAsiaTheme="minorHAnsi" w:cs="Arial"/>
          <w:bCs/>
          <w:szCs w:val="24"/>
          <w:lang w:val="en-GB"/>
        </w:rPr>
        <w:t>sequence of events</w:t>
      </w:r>
      <w:r w:rsidR="00171C76" w:rsidRPr="00445B57">
        <w:rPr>
          <w:rFonts w:eastAsiaTheme="minorHAnsi" w:cs="Arial"/>
          <w:bCs/>
          <w:szCs w:val="24"/>
          <w:lang w:val="en-GB"/>
        </w:rPr>
        <w:t>,</w:t>
      </w:r>
      <w:r w:rsidR="00787610" w:rsidRPr="00445B57">
        <w:rPr>
          <w:rFonts w:eastAsiaTheme="minorHAnsi" w:cs="Arial"/>
          <w:bCs/>
          <w:szCs w:val="24"/>
          <w:lang w:val="en-GB"/>
        </w:rPr>
        <w:t xml:space="preserve"> and the identities of the people involved w</w:t>
      </w:r>
      <w:r w:rsidR="00171C76" w:rsidRPr="00445B57">
        <w:rPr>
          <w:rFonts w:eastAsiaTheme="minorHAnsi" w:cs="Arial"/>
          <w:bCs/>
          <w:szCs w:val="24"/>
          <w:lang w:val="en-GB"/>
        </w:rPr>
        <w:t>as</w:t>
      </w:r>
      <w:r w:rsidR="00787610" w:rsidRPr="00445B57">
        <w:rPr>
          <w:rFonts w:eastAsiaTheme="minorHAnsi" w:cs="Arial"/>
          <w:bCs/>
          <w:szCs w:val="24"/>
          <w:lang w:val="en-GB"/>
        </w:rPr>
        <w:t xml:space="preserve"> contested, it </w:t>
      </w:r>
      <w:r w:rsidR="00171C76" w:rsidRPr="00445B57">
        <w:rPr>
          <w:rFonts w:eastAsiaTheme="minorHAnsi" w:cs="Arial"/>
          <w:bCs/>
          <w:szCs w:val="24"/>
          <w:lang w:val="en-GB"/>
        </w:rPr>
        <w:t>was common cause</w:t>
      </w:r>
      <w:r w:rsidR="00787610" w:rsidRPr="00445B57">
        <w:rPr>
          <w:rFonts w:eastAsiaTheme="minorHAnsi" w:cs="Arial"/>
          <w:bCs/>
          <w:szCs w:val="24"/>
          <w:lang w:val="en-GB"/>
        </w:rPr>
        <w:t xml:space="preserve"> that</w:t>
      </w:r>
      <w:r w:rsidR="001F7F1F" w:rsidRPr="00445B57">
        <w:rPr>
          <w:rFonts w:eastAsiaTheme="minorHAnsi" w:cs="Arial"/>
          <w:bCs/>
          <w:szCs w:val="24"/>
          <w:lang w:val="en-GB"/>
        </w:rPr>
        <w:t xml:space="preserve"> on</w:t>
      </w:r>
      <w:r w:rsidR="00787610" w:rsidRPr="00445B57">
        <w:rPr>
          <w:rFonts w:eastAsiaTheme="minorHAnsi" w:cs="Arial"/>
          <w:bCs/>
          <w:szCs w:val="24"/>
          <w:lang w:val="en-GB"/>
        </w:rPr>
        <w:t xml:space="preserve"> the same evening</w:t>
      </w:r>
      <w:r w:rsidR="00B37EFC" w:rsidRPr="00445B57">
        <w:rPr>
          <w:rFonts w:eastAsiaTheme="minorHAnsi" w:cs="Arial"/>
          <w:bCs/>
          <w:szCs w:val="24"/>
          <w:lang w:val="en-GB"/>
        </w:rPr>
        <w:t xml:space="preserve"> </w:t>
      </w:r>
      <w:r w:rsidR="001F7F1F" w:rsidRPr="00445B57">
        <w:rPr>
          <w:rFonts w:eastAsiaTheme="minorHAnsi" w:cs="Arial"/>
          <w:bCs/>
          <w:szCs w:val="24"/>
          <w:lang w:val="en-GB"/>
        </w:rPr>
        <w:t>of 8 May 2017</w:t>
      </w:r>
      <w:r w:rsidR="00E3455B" w:rsidRPr="00445B57">
        <w:rPr>
          <w:rFonts w:eastAsiaTheme="minorHAnsi" w:cs="Arial"/>
          <w:bCs/>
          <w:szCs w:val="24"/>
          <w:lang w:val="en-GB"/>
        </w:rPr>
        <w:t xml:space="preserve"> (“</w:t>
      </w:r>
      <w:r w:rsidR="00E3455B" w:rsidRPr="00445B57">
        <w:rPr>
          <w:rFonts w:eastAsiaTheme="minorHAnsi" w:cs="Arial"/>
          <w:b/>
          <w:szCs w:val="24"/>
          <w:lang w:val="en-GB"/>
        </w:rPr>
        <w:t xml:space="preserve">the </w:t>
      </w:r>
      <w:r w:rsidR="00E60C5E">
        <w:rPr>
          <w:rFonts w:eastAsiaTheme="minorHAnsi" w:cs="Arial"/>
          <w:b/>
          <w:szCs w:val="24"/>
          <w:lang w:val="en-GB"/>
        </w:rPr>
        <w:t>night</w:t>
      </w:r>
      <w:r w:rsidR="00E3455B" w:rsidRPr="00445B57">
        <w:rPr>
          <w:rFonts w:eastAsiaTheme="minorHAnsi" w:cs="Arial"/>
          <w:bCs/>
          <w:szCs w:val="24"/>
          <w:lang w:val="en-GB"/>
        </w:rPr>
        <w:t>”)</w:t>
      </w:r>
      <w:r w:rsidR="00787610" w:rsidRPr="00445B57">
        <w:rPr>
          <w:rFonts w:eastAsiaTheme="minorHAnsi" w:cs="Arial"/>
          <w:bCs/>
          <w:szCs w:val="24"/>
          <w:lang w:val="en-GB"/>
        </w:rPr>
        <w:t>, Thembela Mtsholotsholo (</w:t>
      </w:r>
      <w:r w:rsidR="00C11F87" w:rsidRPr="00445B57">
        <w:rPr>
          <w:rFonts w:eastAsiaTheme="minorHAnsi" w:cs="Arial"/>
          <w:bCs/>
          <w:szCs w:val="24"/>
          <w:lang w:val="en-GB"/>
        </w:rPr>
        <w:t>“</w:t>
      </w:r>
      <w:r w:rsidR="00787610" w:rsidRPr="00445B57">
        <w:rPr>
          <w:rFonts w:eastAsiaTheme="minorHAnsi" w:cs="Arial"/>
          <w:b/>
          <w:szCs w:val="24"/>
          <w:lang w:val="en-GB"/>
        </w:rPr>
        <w:t>Mtsholotsholo</w:t>
      </w:r>
      <w:r w:rsidR="00C11F87" w:rsidRPr="00445B57">
        <w:rPr>
          <w:rFonts w:eastAsiaTheme="minorHAnsi" w:cs="Arial"/>
          <w:bCs/>
          <w:szCs w:val="24"/>
          <w:lang w:val="en-GB"/>
        </w:rPr>
        <w:t>”</w:t>
      </w:r>
      <w:r w:rsidR="00787610" w:rsidRPr="00445B57">
        <w:rPr>
          <w:rFonts w:eastAsiaTheme="minorHAnsi" w:cs="Arial"/>
          <w:bCs/>
          <w:szCs w:val="24"/>
          <w:lang w:val="en-GB"/>
        </w:rPr>
        <w:t xml:space="preserve">), with </w:t>
      </w:r>
      <w:r w:rsidR="001F7F1F" w:rsidRPr="00445B57">
        <w:rPr>
          <w:rFonts w:eastAsiaTheme="minorHAnsi" w:cs="Arial"/>
          <w:bCs/>
          <w:szCs w:val="24"/>
          <w:lang w:val="en-GB"/>
        </w:rPr>
        <w:t>a</w:t>
      </w:r>
      <w:r w:rsidR="00B37EFC" w:rsidRPr="00445B57">
        <w:rPr>
          <w:rFonts w:eastAsiaTheme="minorHAnsi" w:cs="Arial"/>
          <w:bCs/>
          <w:szCs w:val="24"/>
          <w:lang w:val="en-GB"/>
        </w:rPr>
        <w:t xml:space="preserve"> man identified as </w:t>
      </w:r>
      <w:r w:rsidR="00084F33" w:rsidRPr="00445B57">
        <w:rPr>
          <w:rFonts w:eastAsiaTheme="minorHAnsi" w:cs="Arial"/>
          <w:bCs/>
          <w:i/>
          <w:iCs/>
          <w:szCs w:val="24"/>
          <w:lang w:val="en-GB"/>
        </w:rPr>
        <w:t>“</w:t>
      </w:r>
      <w:r w:rsidR="00E3455B" w:rsidRPr="00445B57">
        <w:rPr>
          <w:rFonts w:eastAsiaTheme="minorHAnsi" w:cs="Arial"/>
          <w:bCs/>
          <w:i/>
          <w:iCs/>
          <w:szCs w:val="24"/>
          <w:lang w:val="en-GB"/>
        </w:rPr>
        <w:t>Siphamandla</w:t>
      </w:r>
      <w:r w:rsidR="00084F33" w:rsidRPr="00445B57">
        <w:rPr>
          <w:rFonts w:eastAsiaTheme="minorHAnsi" w:cs="Arial"/>
          <w:bCs/>
          <w:i/>
          <w:iCs/>
          <w:szCs w:val="24"/>
          <w:lang w:val="en-GB"/>
        </w:rPr>
        <w:t>”</w:t>
      </w:r>
      <w:r w:rsidR="00E3455B" w:rsidRPr="00445B57">
        <w:rPr>
          <w:rFonts w:eastAsiaTheme="minorHAnsi" w:cs="Arial"/>
          <w:bCs/>
          <w:szCs w:val="24"/>
          <w:lang w:val="en-GB"/>
        </w:rPr>
        <w:t>,</w:t>
      </w:r>
      <w:r w:rsidR="00B37EFC" w:rsidRPr="00445B57">
        <w:rPr>
          <w:rFonts w:eastAsiaTheme="minorHAnsi" w:cs="Arial"/>
          <w:bCs/>
          <w:szCs w:val="24"/>
          <w:lang w:val="en-GB"/>
        </w:rPr>
        <w:t xml:space="preserve"> forced Pangwa, Mrwebi and </w:t>
      </w:r>
      <w:r w:rsidR="00787610" w:rsidRPr="00445B57">
        <w:rPr>
          <w:rFonts w:eastAsiaTheme="minorHAnsi" w:cs="Arial"/>
          <w:bCs/>
          <w:szCs w:val="24"/>
          <w:lang w:val="en-GB"/>
        </w:rPr>
        <w:t>Anathi Swartbooi (</w:t>
      </w:r>
      <w:r w:rsidR="00C11F87" w:rsidRPr="00445B57">
        <w:rPr>
          <w:rFonts w:eastAsiaTheme="minorHAnsi" w:cs="Arial"/>
          <w:bCs/>
          <w:szCs w:val="24"/>
          <w:lang w:val="en-GB"/>
        </w:rPr>
        <w:t>“</w:t>
      </w:r>
      <w:r w:rsidR="00787610" w:rsidRPr="00445B57">
        <w:rPr>
          <w:rFonts w:eastAsiaTheme="minorHAnsi" w:cs="Arial"/>
          <w:b/>
          <w:szCs w:val="24"/>
          <w:lang w:val="en-GB"/>
        </w:rPr>
        <w:t>Swartbooi</w:t>
      </w:r>
      <w:r w:rsidR="00C11F87" w:rsidRPr="00445B57">
        <w:rPr>
          <w:rFonts w:eastAsiaTheme="minorHAnsi" w:cs="Arial"/>
          <w:bCs/>
          <w:szCs w:val="24"/>
          <w:lang w:val="en-GB"/>
        </w:rPr>
        <w:t>”</w:t>
      </w:r>
      <w:r w:rsidR="00787610" w:rsidRPr="00445B57">
        <w:rPr>
          <w:rFonts w:eastAsiaTheme="minorHAnsi" w:cs="Arial"/>
          <w:bCs/>
          <w:szCs w:val="24"/>
          <w:lang w:val="en-GB"/>
        </w:rPr>
        <w:t>) into a Toyota Quantum taxi (</w:t>
      </w:r>
      <w:r w:rsidR="00C11F87" w:rsidRPr="00445B57">
        <w:rPr>
          <w:rFonts w:eastAsiaTheme="minorHAnsi" w:cs="Arial"/>
          <w:bCs/>
          <w:szCs w:val="24"/>
          <w:lang w:val="en-GB"/>
        </w:rPr>
        <w:t>“</w:t>
      </w:r>
      <w:r w:rsidR="00787610" w:rsidRPr="00445B57">
        <w:rPr>
          <w:rFonts w:eastAsiaTheme="minorHAnsi" w:cs="Arial"/>
          <w:b/>
          <w:szCs w:val="24"/>
          <w:lang w:val="en-GB"/>
        </w:rPr>
        <w:t>the taxi</w:t>
      </w:r>
      <w:r w:rsidR="00C11F87" w:rsidRPr="00445B57">
        <w:rPr>
          <w:rFonts w:eastAsiaTheme="minorHAnsi" w:cs="Arial"/>
          <w:bCs/>
          <w:szCs w:val="24"/>
          <w:lang w:val="en-GB"/>
        </w:rPr>
        <w:t>”</w:t>
      </w:r>
      <w:r w:rsidR="00787610" w:rsidRPr="00445B57">
        <w:rPr>
          <w:rFonts w:eastAsiaTheme="minorHAnsi" w:cs="Arial"/>
          <w:bCs/>
          <w:szCs w:val="24"/>
          <w:lang w:val="en-GB"/>
        </w:rPr>
        <w:t>)</w:t>
      </w:r>
      <w:r w:rsidR="00E3455B" w:rsidRPr="00445B57">
        <w:rPr>
          <w:rFonts w:eastAsiaTheme="minorHAnsi" w:cs="Arial"/>
          <w:bCs/>
          <w:szCs w:val="24"/>
          <w:lang w:val="en-GB"/>
        </w:rPr>
        <w:t xml:space="preserve">. The taxi belonged to Mtsholotsholo in the sense that it was the vehicle he used as a taxi driver. </w:t>
      </w:r>
      <w:r w:rsidR="004E05EF" w:rsidRPr="00445B57">
        <w:rPr>
          <w:rFonts w:eastAsiaTheme="minorHAnsi" w:cs="Arial"/>
          <w:bCs/>
          <w:szCs w:val="24"/>
          <w:lang w:val="en-GB"/>
        </w:rPr>
        <w:t>Pangwa</w:t>
      </w:r>
      <w:r w:rsidR="00256502" w:rsidRPr="00445B57">
        <w:rPr>
          <w:rFonts w:eastAsiaTheme="minorHAnsi" w:cs="Arial"/>
          <w:bCs/>
          <w:szCs w:val="24"/>
          <w:lang w:val="en-GB"/>
        </w:rPr>
        <w:t>’</w:t>
      </w:r>
      <w:r w:rsidR="004E05EF" w:rsidRPr="00445B57">
        <w:rPr>
          <w:rFonts w:eastAsiaTheme="minorHAnsi" w:cs="Arial"/>
          <w:bCs/>
          <w:szCs w:val="24"/>
          <w:lang w:val="en-GB"/>
        </w:rPr>
        <w:t xml:space="preserve">s body </w:t>
      </w:r>
      <w:r w:rsidR="00B37EFC" w:rsidRPr="00445B57">
        <w:rPr>
          <w:rFonts w:eastAsiaTheme="minorHAnsi" w:cs="Arial"/>
          <w:bCs/>
          <w:szCs w:val="24"/>
          <w:lang w:val="en-GB"/>
        </w:rPr>
        <w:t>would be</w:t>
      </w:r>
      <w:r w:rsidR="004E05EF" w:rsidRPr="00445B57">
        <w:rPr>
          <w:rFonts w:eastAsiaTheme="minorHAnsi" w:cs="Arial"/>
          <w:bCs/>
          <w:szCs w:val="24"/>
          <w:lang w:val="en-GB"/>
        </w:rPr>
        <w:t xml:space="preserve"> found a few days later in the bushes near Philippi</w:t>
      </w:r>
      <w:r w:rsidR="00E3455B" w:rsidRPr="00445B57">
        <w:rPr>
          <w:rFonts w:eastAsiaTheme="minorHAnsi" w:cs="Arial"/>
          <w:bCs/>
          <w:szCs w:val="24"/>
          <w:lang w:val="en-GB"/>
        </w:rPr>
        <w:t xml:space="preserve">. His hands were bound, his throat slit, and he had been severely assaulted. </w:t>
      </w:r>
      <w:r w:rsidR="004E05EF" w:rsidRPr="00445B57">
        <w:rPr>
          <w:rFonts w:eastAsiaTheme="minorHAnsi" w:cs="Arial"/>
          <w:bCs/>
          <w:szCs w:val="24"/>
          <w:lang w:val="en-GB"/>
        </w:rPr>
        <w:t>Mrwebi</w:t>
      </w:r>
      <w:r w:rsidR="00B37EFC" w:rsidRPr="00445B57">
        <w:rPr>
          <w:rFonts w:eastAsiaTheme="minorHAnsi" w:cs="Arial"/>
          <w:bCs/>
          <w:szCs w:val="24"/>
          <w:lang w:val="en-GB"/>
        </w:rPr>
        <w:t xml:space="preserve">, who had </w:t>
      </w:r>
      <w:r w:rsidR="00E3455B" w:rsidRPr="00445B57">
        <w:rPr>
          <w:rFonts w:eastAsiaTheme="minorHAnsi" w:cs="Arial"/>
          <w:bCs/>
          <w:szCs w:val="24"/>
          <w:lang w:val="en-GB"/>
        </w:rPr>
        <w:t xml:space="preserve">also </w:t>
      </w:r>
      <w:r w:rsidR="00B37EFC" w:rsidRPr="00445B57">
        <w:rPr>
          <w:rFonts w:eastAsiaTheme="minorHAnsi" w:cs="Arial"/>
          <w:bCs/>
          <w:szCs w:val="24"/>
          <w:lang w:val="en-GB"/>
        </w:rPr>
        <w:t>been</w:t>
      </w:r>
      <w:r w:rsidR="004E05EF" w:rsidRPr="00445B57">
        <w:rPr>
          <w:rFonts w:eastAsiaTheme="minorHAnsi" w:cs="Arial"/>
          <w:bCs/>
          <w:szCs w:val="24"/>
          <w:lang w:val="en-GB"/>
        </w:rPr>
        <w:t xml:space="preserve"> </w:t>
      </w:r>
      <w:r w:rsidR="00B37EFC" w:rsidRPr="00445B57">
        <w:rPr>
          <w:rFonts w:eastAsiaTheme="minorHAnsi" w:cs="Arial"/>
          <w:bCs/>
          <w:szCs w:val="24"/>
          <w:lang w:val="en-GB"/>
        </w:rPr>
        <w:t>s</w:t>
      </w:r>
      <w:r w:rsidR="004E05EF" w:rsidRPr="00445B57">
        <w:rPr>
          <w:rFonts w:eastAsiaTheme="minorHAnsi" w:cs="Arial"/>
          <w:bCs/>
          <w:szCs w:val="24"/>
          <w:lang w:val="en-GB"/>
        </w:rPr>
        <w:t>everely assaulted and left for dead in the same area</w:t>
      </w:r>
      <w:r w:rsidR="00E3455B" w:rsidRPr="00445B57">
        <w:rPr>
          <w:rFonts w:eastAsiaTheme="minorHAnsi" w:cs="Arial"/>
          <w:bCs/>
          <w:szCs w:val="24"/>
          <w:lang w:val="en-GB"/>
        </w:rPr>
        <w:t>,</w:t>
      </w:r>
      <w:r w:rsidR="00A614C8" w:rsidRPr="00445B57">
        <w:rPr>
          <w:rFonts w:eastAsiaTheme="minorHAnsi" w:cs="Arial"/>
          <w:bCs/>
          <w:szCs w:val="24"/>
          <w:lang w:val="en-GB"/>
        </w:rPr>
        <w:t xml:space="preserve"> </w:t>
      </w:r>
      <w:r w:rsidR="004E05EF" w:rsidRPr="00445B57">
        <w:rPr>
          <w:rFonts w:eastAsiaTheme="minorHAnsi" w:cs="Arial"/>
          <w:bCs/>
          <w:szCs w:val="24"/>
          <w:lang w:val="en-GB"/>
        </w:rPr>
        <w:t>managed to</w:t>
      </w:r>
      <w:r w:rsidR="00B37EFC" w:rsidRPr="00445B57">
        <w:rPr>
          <w:rFonts w:eastAsiaTheme="minorHAnsi" w:cs="Arial"/>
          <w:bCs/>
          <w:szCs w:val="24"/>
          <w:lang w:val="en-GB"/>
        </w:rPr>
        <w:t xml:space="preserve"> escape with his life</w:t>
      </w:r>
      <w:r w:rsidR="00E3455B" w:rsidRPr="00445B57">
        <w:rPr>
          <w:rFonts w:eastAsiaTheme="minorHAnsi" w:cs="Arial"/>
          <w:bCs/>
          <w:szCs w:val="24"/>
          <w:lang w:val="en-GB"/>
        </w:rPr>
        <w:t>.</w:t>
      </w:r>
      <w:r w:rsidR="001F7F1F" w:rsidRPr="00445B57">
        <w:rPr>
          <w:rFonts w:eastAsiaTheme="minorHAnsi" w:cs="Arial"/>
          <w:bCs/>
          <w:szCs w:val="24"/>
          <w:lang w:val="en-GB"/>
        </w:rPr>
        <w:t xml:space="preserve"> Mtsholotsholo and Siphamandla were not alone on the night. There were other men </w:t>
      </w:r>
      <w:r w:rsidR="00CE155E" w:rsidRPr="00445B57">
        <w:rPr>
          <w:rFonts w:eastAsiaTheme="minorHAnsi" w:cs="Arial"/>
          <w:bCs/>
          <w:szCs w:val="24"/>
          <w:lang w:val="en-GB"/>
        </w:rPr>
        <w:t>in the vicinity</w:t>
      </w:r>
      <w:r w:rsidR="001F7F1F" w:rsidRPr="00445B57">
        <w:rPr>
          <w:rFonts w:eastAsiaTheme="minorHAnsi" w:cs="Arial"/>
          <w:bCs/>
          <w:szCs w:val="24"/>
          <w:lang w:val="en-GB"/>
        </w:rPr>
        <w:t xml:space="preserve"> when the kidnapping</w:t>
      </w:r>
      <w:r w:rsidR="00E3455B" w:rsidRPr="00445B57">
        <w:rPr>
          <w:rFonts w:eastAsiaTheme="minorHAnsi" w:cs="Arial"/>
          <w:bCs/>
          <w:szCs w:val="24"/>
          <w:lang w:val="en-GB"/>
        </w:rPr>
        <w:t>s</w:t>
      </w:r>
      <w:r w:rsidR="001F7F1F" w:rsidRPr="00445B57">
        <w:rPr>
          <w:rFonts w:eastAsiaTheme="minorHAnsi" w:cs="Arial"/>
          <w:bCs/>
          <w:szCs w:val="24"/>
          <w:lang w:val="en-GB"/>
        </w:rPr>
        <w:t>, assaults and killing were perpetrated.</w:t>
      </w:r>
      <w:r w:rsidR="00CE155E" w:rsidRPr="00445B57">
        <w:rPr>
          <w:rFonts w:eastAsiaTheme="minorHAnsi" w:cs="Arial"/>
          <w:bCs/>
          <w:szCs w:val="24"/>
          <w:lang w:val="en-GB"/>
        </w:rPr>
        <w:t xml:space="preserve"> Who they were, what they did and whether they </w:t>
      </w:r>
      <w:r w:rsidR="00F54B08" w:rsidRPr="00445B57">
        <w:rPr>
          <w:rFonts w:eastAsiaTheme="minorHAnsi" w:cs="Arial"/>
          <w:bCs/>
          <w:szCs w:val="24"/>
          <w:lang w:val="en-GB"/>
        </w:rPr>
        <w:t>a</w:t>
      </w:r>
      <w:r w:rsidR="00CE155E" w:rsidRPr="00445B57">
        <w:rPr>
          <w:rFonts w:eastAsiaTheme="minorHAnsi" w:cs="Arial"/>
          <w:bCs/>
          <w:szCs w:val="24"/>
          <w:lang w:val="en-GB"/>
        </w:rPr>
        <w:t>re culpable are the questions before Court.</w:t>
      </w:r>
    </w:p>
    <w:p w14:paraId="1A0EF98C" w14:textId="1FFAD445" w:rsidR="00A07458"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5.</w:t>
      </w:r>
      <w:r w:rsidRPr="008F717C">
        <w:rPr>
          <w:rFonts w:cs="Arial"/>
          <w:szCs w:val="24"/>
          <w:lang w:val="en-GB"/>
        </w:rPr>
        <w:tab/>
      </w:r>
      <w:r w:rsidR="003E62BD" w:rsidRPr="008F717C">
        <w:rPr>
          <w:rFonts w:eastAsiaTheme="minorHAnsi" w:cs="Arial"/>
          <w:bCs/>
          <w:szCs w:val="24"/>
          <w:lang w:val="en-GB"/>
        </w:rPr>
        <w:t>The</w:t>
      </w:r>
      <w:r w:rsidR="00C338A0" w:rsidRPr="008F717C">
        <w:rPr>
          <w:rFonts w:eastAsiaTheme="minorHAnsi" w:cs="Arial"/>
          <w:bCs/>
          <w:szCs w:val="24"/>
          <w:lang w:val="en-GB"/>
        </w:rPr>
        <w:t xml:space="preserve"> six</w:t>
      </w:r>
      <w:r w:rsidR="003E62BD" w:rsidRPr="008F717C">
        <w:rPr>
          <w:rFonts w:eastAsiaTheme="minorHAnsi" w:cs="Arial"/>
          <w:bCs/>
          <w:szCs w:val="24"/>
          <w:lang w:val="en-GB"/>
        </w:rPr>
        <w:t xml:space="preserve"> Accused</w:t>
      </w:r>
      <w:r w:rsidR="00C338A0" w:rsidRPr="008F717C">
        <w:rPr>
          <w:rFonts w:eastAsiaTheme="minorHAnsi" w:cs="Arial"/>
          <w:bCs/>
          <w:szCs w:val="24"/>
          <w:lang w:val="en-GB"/>
        </w:rPr>
        <w:t xml:space="preserve"> </w:t>
      </w:r>
      <w:r w:rsidR="003E62BD" w:rsidRPr="008F717C">
        <w:rPr>
          <w:rFonts w:eastAsiaTheme="minorHAnsi" w:cs="Arial"/>
          <w:bCs/>
          <w:szCs w:val="24"/>
          <w:lang w:val="en-GB"/>
        </w:rPr>
        <w:t>were arrested</w:t>
      </w:r>
      <w:r w:rsidR="00FD07D8">
        <w:rPr>
          <w:rFonts w:eastAsiaTheme="minorHAnsi" w:cs="Arial"/>
          <w:bCs/>
          <w:szCs w:val="24"/>
          <w:lang w:val="en-GB"/>
        </w:rPr>
        <w:t>,</w:t>
      </w:r>
      <w:r w:rsidR="003E62BD" w:rsidRPr="008F717C">
        <w:rPr>
          <w:rFonts w:eastAsiaTheme="minorHAnsi" w:cs="Arial"/>
          <w:bCs/>
          <w:szCs w:val="24"/>
          <w:lang w:val="en-GB"/>
        </w:rPr>
        <w:t xml:space="preserve"> and </w:t>
      </w:r>
      <w:r w:rsidR="00F54B08">
        <w:rPr>
          <w:rFonts w:eastAsiaTheme="minorHAnsi" w:cs="Arial"/>
          <w:bCs/>
          <w:szCs w:val="24"/>
          <w:lang w:val="en-GB"/>
        </w:rPr>
        <w:t xml:space="preserve">each </w:t>
      </w:r>
      <w:r w:rsidR="003E62BD" w:rsidRPr="008F717C">
        <w:rPr>
          <w:rFonts w:eastAsiaTheme="minorHAnsi" w:cs="Arial"/>
          <w:bCs/>
          <w:szCs w:val="24"/>
          <w:lang w:val="en-GB"/>
        </w:rPr>
        <w:t xml:space="preserve">charged with three counts of kidnapping, one count of attempted murder and </w:t>
      </w:r>
      <w:r w:rsidR="00C338A0" w:rsidRPr="008F717C">
        <w:rPr>
          <w:rFonts w:eastAsiaTheme="minorHAnsi" w:cs="Arial"/>
          <w:bCs/>
          <w:szCs w:val="24"/>
          <w:lang w:val="en-GB"/>
        </w:rPr>
        <w:t>another</w:t>
      </w:r>
      <w:r w:rsidR="003E62BD" w:rsidRPr="008F717C">
        <w:rPr>
          <w:rFonts w:eastAsiaTheme="minorHAnsi" w:cs="Arial"/>
          <w:bCs/>
          <w:szCs w:val="24"/>
          <w:lang w:val="en-GB"/>
        </w:rPr>
        <w:t xml:space="preserve"> count of murder.  Count 1 was for the kidnapping of Swartbooi</w:t>
      </w:r>
      <w:r w:rsidR="00A614C8" w:rsidRPr="008F717C">
        <w:rPr>
          <w:rFonts w:eastAsiaTheme="minorHAnsi" w:cs="Arial"/>
          <w:bCs/>
          <w:szCs w:val="24"/>
          <w:lang w:val="en-GB"/>
        </w:rPr>
        <w:t>,</w:t>
      </w:r>
      <w:r w:rsidR="003E62BD" w:rsidRPr="008F717C">
        <w:rPr>
          <w:rFonts w:eastAsiaTheme="minorHAnsi" w:cs="Arial"/>
          <w:bCs/>
          <w:szCs w:val="24"/>
          <w:lang w:val="en-GB"/>
        </w:rPr>
        <w:t xml:space="preserve"> Count 2 for the kidnapping of Mrwebi, Count 3 for the kidnapping of Pangwa</w:t>
      </w:r>
      <w:r w:rsidR="000D1697" w:rsidRPr="008F717C">
        <w:rPr>
          <w:rFonts w:eastAsiaTheme="minorHAnsi" w:cs="Arial"/>
          <w:bCs/>
          <w:szCs w:val="24"/>
          <w:lang w:val="en-GB"/>
        </w:rPr>
        <w:t>,</w:t>
      </w:r>
      <w:r w:rsidR="00A614C8" w:rsidRPr="008F717C">
        <w:rPr>
          <w:rFonts w:eastAsiaTheme="minorHAnsi" w:cs="Arial"/>
          <w:bCs/>
          <w:szCs w:val="24"/>
          <w:lang w:val="en-GB"/>
        </w:rPr>
        <w:t xml:space="preserve"> Count 4 for the attempted murder of Mrwebi</w:t>
      </w:r>
      <w:r w:rsidR="000D1697" w:rsidRPr="008F717C">
        <w:rPr>
          <w:rFonts w:eastAsiaTheme="minorHAnsi" w:cs="Arial"/>
          <w:bCs/>
          <w:szCs w:val="24"/>
          <w:lang w:val="en-GB"/>
        </w:rPr>
        <w:t>, and</w:t>
      </w:r>
      <w:r w:rsidR="003E62BD" w:rsidRPr="008F717C">
        <w:rPr>
          <w:rFonts w:eastAsiaTheme="minorHAnsi" w:cs="Arial"/>
          <w:bCs/>
          <w:szCs w:val="24"/>
          <w:lang w:val="en-GB"/>
        </w:rPr>
        <w:t xml:space="preserve"> Count 5 for the murder of Pangwa, read with </w:t>
      </w:r>
      <w:r w:rsidR="00D00706">
        <w:rPr>
          <w:rFonts w:eastAsiaTheme="minorHAnsi" w:cs="Arial"/>
          <w:bCs/>
          <w:szCs w:val="24"/>
          <w:lang w:val="en-GB"/>
        </w:rPr>
        <w:t xml:space="preserve"> </w:t>
      </w:r>
      <w:r w:rsidR="003E62BD" w:rsidRPr="008F717C">
        <w:rPr>
          <w:rFonts w:eastAsiaTheme="minorHAnsi" w:cs="Arial"/>
          <w:bCs/>
          <w:szCs w:val="24"/>
          <w:lang w:val="en-GB"/>
        </w:rPr>
        <w:lastRenderedPageBreak/>
        <w:t>section 51 of the Criminal Law Amendment Act, No. 105 of 1997 and section 276(1)(b) of the Criminal Procedure Act, No. 51 of 1977 (</w:t>
      </w:r>
      <w:r w:rsidR="00C11F87" w:rsidRPr="008F717C">
        <w:rPr>
          <w:rFonts w:eastAsiaTheme="minorHAnsi" w:cs="Arial"/>
          <w:bCs/>
          <w:szCs w:val="24"/>
          <w:lang w:val="en-GB"/>
        </w:rPr>
        <w:t>“</w:t>
      </w:r>
      <w:r w:rsidR="003E62BD" w:rsidRPr="008F717C">
        <w:rPr>
          <w:rFonts w:eastAsiaTheme="minorHAnsi" w:cs="Arial"/>
          <w:b/>
          <w:szCs w:val="24"/>
          <w:lang w:val="en-GB"/>
        </w:rPr>
        <w:t>the CPA</w:t>
      </w:r>
      <w:r w:rsidR="00C11F87" w:rsidRPr="008F717C">
        <w:rPr>
          <w:rFonts w:eastAsiaTheme="minorHAnsi" w:cs="Arial"/>
          <w:bCs/>
          <w:szCs w:val="24"/>
          <w:lang w:val="en-GB"/>
        </w:rPr>
        <w:t>”</w:t>
      </w:r>
      <w:r w:rsidR="003E62BD" w:rsidRPr="008F717C">
        <w:rPr>
          <w:rFonts w:eastAsiaTheme="minorHAnsi" w:cs="Arial"/>
          <w:bCs/>
          <w:szCs w:val="24"/>
          <w:lang w:val="en-GB"/>
        </w:rPr>
        <w:t xml:space="preserve">), </w:t>
      </w:r>
      <w:r w:rsidR="00D00706">
        <w:rPr>
          <w:rFonts w:eastAsiaTheme="minorHAnsi" w:cs="Arial"/>
          <w:bCs/>
          <w:szCs w:val="24"/>
          <w:lang w:val="en-GB"/>
        </w:rPr>
        <w:t xml:space="preserve">and </w:t>
      </w:r>
      <w:r w:rsidR="003E62BD" w:rsidRPr="008F717C">
        <w:rPr>
          <w:rFonts w:eastAsiaTheme="minorHAnsi" w:cs="Arial"/>
          <w:bCs/>
          <w:szCs w:val="24"/>
          <w:lang w:val="en-GB"/>
        </w:rPr>
        <w:t>with the application of the common purpose doctrine.</w:t>
      </w:r>
    </w:p>
    <w:p w14:paraId="3107E264" w14:textId="7D722B7A" w:rsidR="005A4BD5" w:rsidRPr="00445B57" w:rsidRDefault="000541C6" w:rsidP="000541C6">
      <w:pPr>
        <w:pStyle w:val="Level1"/>
        <w:numPr>
          <w:ilvl w:val="0"/>
          <w:numId w:val="0"/>
        </w:numPr>
        <w:ind w:left="851" w:hanging="851"/>
        <w:rPr>
          <w:rFonts w:cs="Arial"/>
          <w:szCs w:val="24"/>
          <w:lang w:val="en-GB"/>
        </w:rPr>
      </w:pPr>
      <w:r w:rsidRPr="00445B57">
        <w:rPr>
          <w:rFonts w:cs="Arial"/>
          <w:szCs w:val="24"/>
          <w:lang w:val="en-GB"/>
        </w:rPr>
        <w:t>6.</w:t>
      </w:r>
      <w:r w:rsidRPr="00445B57">
        <w:rPr>
          <w:rFonts w:cs="Arial"/>
          <w:szCs w:val="24"/>
          <w:lang w:val="en-GB"/>
        </w:rPr>
        <w:tab/>
      </w:r>
      <w:r w:rsidR="00D57B40" w:rsidRPr="00445B57">
        <w:rPr>
          <w:rFonts w:cs="Arial"/>
          <w:szCs w:val="24"/>
          <w:lang w:val="en-GB"/>
        </w:rPr>
        <w:t xml:space="preserve">There is no doubt that </w:t>
      </w:r>
      <w:r w:rsidR="00D57B40" w:rsidRPr="00445B57">
        <w:rPr>
          <w:rFonts w:eastAsiaTheme="minorHAnsi" w:cs="Arial"/>
          <w:bCs/>
          <w:szCs w:val="24"/>
          <w:lang w:val="en-GB"/>
        </w:rPr>
        <w:t>Mtsholotsholo</w:t>
      </w:r>
      <w:r w:rsidR="00F54B08" w:rsidRPr="00445B57">
        <w:rPr>
          <w:rFonts w:eastAsiaTheme="minorHAnsi" w:cs="Arial"/>
          <w:bCs/>
          <w:szCs w:val="24"/>
          <w:lang w:val="en-GB"/>
        </w:rPr>
        <w:t>, Williams’ boyfriend,</w:t>
      </w:r>
      <w:r w:rsidR="00D57B40" w:rsidRPr="00445B57">
        <w:rPr>
          <w:rFonts w:eastAsiaTheme="minorHAnsi" w:cs="Arial"/>
          <w:bCs/>
          <w:szCs w:val="24"/>
          <w:lang w:val="en-GB"/>
        </w:rPr>
        <w:t xml:space="preserve"> </w:t>
      </w:r>
      <w:r w:rsidR="00C338A0" w:rsidRPr="00445B57">
        <w:rPr>
          <w:rFonts w:eastAsiaTheme="minorHAnsi" w:cs="Arial"/>
          <w:bCs/>
          <w:szCs w:val="24"/>
          <w:lang w:val="en-GB"/>
        </w:rPr>
        <w:t>was</w:t>
      </w:r>
      <w:r w:rsidR="00D57B40" w:rsidRPr="00445B57">
        <w:rPr>
          <w:rFonts w:eastAsiaTheme="minorHAnsi" w:cs="Arial"/>
          <w:bCs/>
          <w:szCs w:val="24"/>
          <w:lang w:val="en-GB"/>
        </w:rPr>
        <w:t xml:space="preserve"> the </w:t>
      </w:r>
      <w:r w:rsidR="00A614C8" w:rsidRPr="00445B57">
        <w:rPr>
          <w:rFonts w:eastAsiaTheme="minorHAnsi" w:cs="Arial"/>
          <w:bCs/>
          <w:szCs w:val="24"/>
          <w:lang w:val="en-GB"/>
        </w:rPr>
        <w:t>chief protagonist</w:t>
      </w:r>
      <w:r w:rsidR="00C338A0" w:rsidRPr="00445B57">
        <w:rPr>
          <w:rFonts w:eastAsiaTheme="minorHAnsi" w:cs="Arial"/>
          <w:bCs/>
          <w:szCs w:val="24"/>
          <w:lang w:val="en-GB"/>
        </w:rPr>
        <w:t xml:space="preserve"> on the night</w:t>
      </w:r>
      <w:r w:rsidR="00D57B40" w:rsidRPr="00445B57">
        <w:rPr>
          <w:rFonts w:eastAsiaTheme="minorHAnsi" w:cs="Arial"/>
          <w:bCs/>
          <w:szCs w:val="24"/>
          <w:lang w:val="en-GB"/>
        </w:rPr>
        <w:t xml:space="preserve">. </w:t>
      </w:r>
      <w:r w:rsidR="000D1697" w:rsidRPr="00445B57">
        <w:rPr>
          <w:rFonts w:eastAsiaTheme="minorHAnsi" w:cs="Arial"/>
          <w:bCs/>
          <w:szCs w:val="24"/>
          <w:lang w:val="en-GB"/>
        </w:rPr>
        <w:t>He</w:t>
      </w:r>
      <w:r w:rsidR="00F54B08" w:rsidRPr="00445B57">
        <w:rPr>
          <w:rFonts w:eastAsiaTheme="minorHAnsi" w:cs="Arial"/>
          <w:bCs/>
          <w:szCs w:val="24"/>
          <w:lang w:val="en-GB"/>
        </w:rPr>
        <w:t xml:space="preserve">, </w:t>
      </w:r>
      <w:r w:rsidR="00AC300D">
        <w:rPr>
          <w:rFonts w:eastAsiaTheme="minorHAnsi" w:cs="Arial"/>
          <w:bCs/>
          <w:szCs w:val="24"/>
          <w:lang w:val="en-GB"/>
        </w:rPr>
        <w:t xml:space="preserve">it seems </w:t>
      </w:r>
      <w:r w:rsidR="00F54B08" w:rsidRPr="00445B57">
        <w:rPr>
          <w:rFonts w:eastAsiaTheme="minorHAnsi" w:cs="Arial"/>
          <w:bCs/>
          <w:szCs w:val="24"/>
          <w:lang w:val="en-GB"/>
        </w:rPr>
        <w:t>motivated by the desire to avenge the theft of his girlfriend’s cell</w:t>
      </w:r>
      <w:r w:rsidR="00084F33" w:rsidRPr="00445B57">
        <w:rPr>
          <w:rFonts w:eastAsiaTheme="minorHAnsi" w:cs="Arial"/>
          <w:bCs/>
          <w:szCs w:val="24"/>
          <w:lang w:val="en-GB"/>
        </w:rPr>
        <w:t xml:space="preserve"> </w:t>
      </w:r>
      <w:r w:rsidR="00F54B08" w:rsidRPr="00445B57">
        <w:rPr>
          <w:rFonts w:eastAsiaTheme="minorHAnsi" w:cs="Arial"/>
          <w:bCs/>
          <w:szCs w:val="24"/>
          <w:lang w:val="en-GB"/>
        </w:rPr>
        <w:t xml:space="preserve">phone, </w:t>
      </w:r>
      <w:r w:rsidR="00A614C8" w:rsidRPr="00445B57">
        <w:rPr>
          <w:rFonts w:eastAsiaTheme="minorHAnsi" w:cs="Arial"/>
          <w:bCs/>
          <w:szCs w:val="24"/>
          <w:lang w:val="en-GB"/>
        </w:rPr>
        <w:t>initiated the events</w:t>
      </w:r>
      <w:r w:rsidR="00084F33" w:rsidRPr="00445B57">
        <w:rPr>
          <w:rFonts w:eastAsiaTheme="minorHAnsi" w:cs="Arial"/>
          <w:bCs/>
          <w:szCs w:val="24"/>
          <w:lang w:val="en-GB"/>
        </w:rPr>
        <w:t>,</w:t>
      </w:r>
      <w:r w:rsidR="00D05560" w:rsidRPr="00445B57">
        <w:rPr>
          <w:rFonts w:eastAsiaTheme="minorHAnsi" w:cs="Arial"/>
          <w:bCs/>
          <w:szCs w:val="24"/>
          <w:lang w:val="en-GB"/>
        </w:rPr>
        <w:t xml:space="preserve"> and</w:t>
      </w:r>
      <w:r w:rsidR="00FD70B8" w:rsidRPr="00445B57">
        <w:rPr>
          <w:rFonts w:eastAsiaTheme="minorHAnsi" w:cs="Arial"/>
          <w:bCs/>
          <w:szCs w:val="24"/>
          <w:lang w:val="en-GB"/>
        </w:rPr>
        <w:t xml:space="preserve"> </w:t>
      </w:r>
      <w:r w:rsidR="00F54B08" w:rsidRPr="00445B57">
        <w:rPr>
          <w:rFonts w:eastAsiaTheme="minorHAnsi" w:cs="Arial"/>
          <w:bCs/>
          <w:szCs w:val="24"/>
          <w:lang w:val="en-GB"/>
        </w:rPr>
        <w:t>took them to their co</w:t>
      </w:r>
      <w:r w:rsidR="00084F33" w:rsidRPr="00445B57">
        <w:rPr>
          <w:rFonts w:eastAsiaTheme="minorHAnsi" w:cs="Arial"/>
          <w:bCs/>
          <w:szCs w:val="24"/>
          <w:lang w:val="en-GB"/>
        </w:rPr>
        <w:t xml:space="preserve">nclusion. The taxi used throughout the night belonged to him and he was at the wheel. </w:t>
      </w:r>
      <w:r w:rsidR="00D57B40" w:rsidRPr="00445B57">
        <w:rPr>
          <w:rFonts w:eastAsiaTheme="minorHAnsi" w:cs="Arial"/>
          <w:bCs/>
          <w:szCs w:val="24"/>
          <w:lang w:val="en-GB"/>
        </w:rPr>
        <w:t>However,</w:t>
      </w:r>
      <w:r w:rsidR="00084F33" w:rsidRPr="00445B57">
        <w:rPr>
          <w:rFonts w:eastAsiaTheme="minorHAnsi" w:cs="Arial"/>
          <w:bCs/>
          <w:szCs w:val="24"/>
          <w:lang w:val="en-GB"/>
        </w:rPr>
        <w:t xml:space="preserve"> Mtsholotsholo</w:t>
      </w:r>
      <w:r w:rsidR="00FD70B8" w:rsidRPr="00445B57">
        <w:rPr>
          <w:rFonts w:eastAsiaTheme="minorHAnsi" w:cs="Arial"/>
          <w:bCs/>
          <w:szCs w:val="24"/>
          <w:lang w:val="en-GB"/>
        </w:rPr>
        <w:t xml:space="preserve"> and </w:t>
      </w:r>
      <w:r w:rsidR="00084F33" w:rsidRPr="00445B57">
        <w:rPr>
          <w:rFonts w:eastAsiaTheme="minorHAnsi" w:cs="Arial"/>
          <w:bCs/>
          <w:szCs w:val="24"/>
          <w:lang w:val="en-GB"/>
        </w:rPr>
        <w:t xml:space="preserve">his associate </w:t>
      </w:r>
      <w:r w:rsidR="00FD70B8" w:rsidRPr="00445B57">
        <w:rPr>
          <w:rFonts w:eastAsiaTheme="minorHAnsi" w:cs="Arial"/>
          <w:bCs/>
          <w:szCs w:val="24"/>
          <w:lang w:val="en-GB"/>
        </w:rPr>
        <w:t>Siphamandla</w:t>
      </w:r>
      <w:r w:rsidR="00084F33" w:rsidRPr="00445B57">
        <w:rPr>
          <w:rFonts w:eastAsiaTheme="minorHAnsi" w:cs="Arial"/>
          <w:bCs/>
          <w:szCs w:val="24"/>
          <w:lang w:val="en-GB"/>
        </w:rPr>
        <w:t xml:space="preserve"> did not get to face justice. They </w:t>
      </w:r>
      <w:r w:rsidR="00D57B40" w:rsidRPr="00445B57">
        <w:rPr>
          <w:rFonts w:eastAsiaTheme="minorHAnsi" w:cs="Arial"/>
          <w:bCs/>
          <w:szCs w:val="24"/>
          <w:lang w:val="en-GB"/>
        </w:rPr>
        <w:t>were killed prior to the commencement of the trial</w:t>
      </w:r>
      <w:r w:rsidR="00D05560" w:rsidRPr="00445B57">
        <w:rPr>
          <w:rFonts w:eastAsiaTheme="minorHAnsi" w:cs="Arial"/>
          <w:bCs/>
          <w:szCs w:val="24"/>
          <w:lang w:val="en-GB"/>
        </w:rPr>
        <w:t xml:space="preserve">, </w:t>
      </w:r>
      <w:r w:rsidR="00084F33" w:rsidRPr="00445B57">
        <w:rPr>
          <w:rFonts w:eastAsiaTheme="minorHAnsi" w:cs="Arial"/>
          <w:bCs/>
          <w:szCs w:val="24"/>
          <w:lang w:val="en-GB"/>
        </w:rPr>
        <w:t xml:space="preserve">leaving </w:t>
      </w:r>
      <w:r w:rsidR="00D05560" w:rsidRPr="00445B57">
        <w:rPr>
          <w:rFonts w:eastAsiaTheme="minorHAnsi" w:cs="Arial"/>
          <w:bCs/>
          <w:szCs w:val="24"/>
          <w:lang w:val="en-GB"/>
        </w:rPr>
        <w:t xml:space="preserve">the </w:t>
      </w:r>
      <w:r w:rsidR="00C8510D" w:rsidRPr="00445B57">
        <w:rPr>
          <w:rFonts w:eastAsiaTheme="minorHAnsi" w:cs="Arial"/>
          <w:bCs/>
          <w:szCs w:val="24"/>
          <w:lang w:val="en-GB"/>
        </w:rPr>
        <w:t>Accused, who</w:t>
      </w:r>
      <w:r w:rsidR="0005706A" w:rsidRPr="00445B57">
        <w:rPr>
          <w:rFonts w:eastAsiaTheme="minorHAnsi" w:cs="Arial"/>
          <w:bCs/>
          <w:szCs w:val="24"/>
          <w:lang w:val="en-GB"/>
        </w:rPr>
        <w:t xml:space="preserve"> </w:t>
      </w:r>
      <w:r w:rsidR="00084F33" w:rsidRPr="00445B57">
        <w:rPr>
          <w:rFonts w:eastAsiaTheme="minorHAnsi" w:cs="Arial"/>
          <w:bCs/>
          <w:szCs w:val="24"/>
          <w:lang w:val="en-GB"/>
        </w:rPr>
        <w:t xml:space="preserve">all </w:t>
      </w:r>
      <w:r w:rsidR="0005706A" w:rsidRPr="00445B57">
        <w:rPr>
          <w:rFonts w:eastAsiaTheme="minorHAnsi" w:cs="Arial"/>
          <w:bCs/>
          <w:szCs w:val="24"/>
          <w:lang w:val="en-GB"/>
        </w:rPr>
        <w:t>admitted they were in the taxi on the night</w:t>
      </w:r>
      <w:r w:rsidR="00084F33" w:rsidRPr="00445B57">
        <w:rPr>
          <w:rFonts w:eastAsiaTheme="minorHAnsi" w:cs="Arial"/>
          <w:bCs/>
          <w:szCs w:val="24"/>
          <w:lang w:val="en-GB"/>
        </w:rPr>
        <w:t xml:space="preserve"> but clearly played secondary roles, to face </w:t>
      </w:r>
      <w:r w:rsidR="00445B57" w:rsidRPr="00445B57">
        <w:rPr>
          <w:rFonts w:eastAsiaTheme="minorHAnsi" w:cs="Arial"/>
          <w:bCs/>
          <w:szCs w:val="24"/>
          <w:lang w:val="en-GB"/>
        </w:rPr>
        <w:t xml:space="preserve">the music. </w:t>
      </w:r>
      <w:r w:rsidR="00084F33" w:rsidRPr="00445B57">
        <w:rPr>
          <w:rFonts w:eastAsiaTheme="minorHAnsi" w:cs="Arial"/>
          <w:bCs/>
          <w:szCs w:val="24"/>
          <w:lang w:val="en-GB"/>
        </w:rPr>
        <w:t>T</w:t>
      </w:r>
      <w:r w:rsidR="0005706A" w:rsidRPr="00445B57">
        <w:rPr>
          <w:rFonts w:eastAsiaTheme="minorHAnsi" w:cs="Arial"/>
          <w:bCs/>
          <w:szCs w:val="24"/>
          <w:lang w:val="en-GB"/>
        </w:rPr>
        <w:t>he Accused asserted that</w:t>
      </w:r>
      <w:r w:rsidR="00084F33" w:rsidRPr="00445B57">
        <w:rPr>
          <w:rFonts w:eastAsiaTheme="minorHAnsi" w:cs="Arial"/>
          <w:bCs/>
          <w:szCs w:val="24"/>
          <w:lang w:val="en-GB"/>
        </w:rPr>
        <w:t>,</w:t>
      </w:r>
      <w:r w:rsidR="0005706A" w:rsidRPr="00445B57">
        <w:rPr>
          <w:rFonts w:eastAsiaTheme="minorHAnsi" w:cs="Arial"/>
          <w:bCs/>
          <w:szCs w:val="24"/>
          <w:lang w:val="en-GB"/>
        </w:rPr>
        <w:t xml:space="preserve"> while they were in the taxi, they were there under duress</w:t>
      </w:r>
      <w:r w:rsidR="00084F33" w:rsidRPr="00445B57">
        <w:rPr>
          <w:rFonts w:eastAsiaTheme="minorHAnsi" w:cs="Arial"/>
          <w:bCs/>
          <w:szCs w:val="24"/>
          <w:lang w:val="en-GB"/>
        </w:rPr>
        <w:t xml:space="preserve"> at the hands of Mtsholotsholo, a man who also went by the nickname, </w:t>
      </w:r>
      <w:r w:rsidR="00084F33" w:rsidRPr="00445B57">
        <w:rPr>
          <w:rFonts w:eastAsiaTheme="minorHAnsi" w:cs="Arial"/>
          <w:bCs/>
          <w:i/>
          <w:iCs/>
          <w:szCs w:val="24"/>
          <w:lang w:val="en-GB"/>
        </w:rPr>
        <w:t>“Terror”</w:t>
      </w:r>
      <w:r w:rsidR="00084F33" w:rsidRPr="00445B57">
        <w:rPr>
          <w:rFonts w:eastAsiaTheme="minorHAnsi" w:cs="Arial"/>
          <w:bCs/>
          <w:szCs w:val="24"/>
          <w:lang w:val="en-GB"/>
        </w:rPr>
        <w:t>.</w:t>
      </w:r>
      <w:r w:rsidR="0005706A" w:rsidRPr="00445B57">
        <w:rPr>
          <w:rFonts w:eastAsiaTheme="minorHAnsi" w:cs="Arial"/>
          <w:bCs/>
          <w:szCs w:val="24"/>
          <w:lang w:val="en-GB"/>
        </w:rPr>
        <w:t xml:space="preserve"> They also disavowed participation in the crimes. The crimes, they said, were committed by Mtsholotsholo and Siphamandla.</w:t>
      </w:r>
    </w:p>
    <w:p w14:paraId="7BE68319" w14:textId="3B566BCB" w:rsidR="00687BAF" w:rsidRPr="00445B57" w:rsidRDefault="000541C6" w:rsidP="000541C6">
      <w:pPr>
        <w:pStyle w:val="Level1"/>
        <w:numPr>
          <w:ilvl w:val="0"/>
          <w:numId w:val="0"/>
        </w:numPr>
        <w:ind w:left="851" w:hanging="851"/>
        <w:rPr>
          <w:lang w:val="en-GB"/>
        </w:rPr>
      </w:pPr>
      <w:r w:rsidRPr="00445B57">
        <w:rPr>
          <w:lang w:val="en-GB"/>
        </w:rPr>
        <w:t>7.</w:t>
      </w:r>
      <w:r w:rsidRPr="00445B57">
        <w:rPr>
          <w:lang w:val="en-GB"/>
        </w:rPr>
        <w:tab/>
      </w:r>
      <w:r w:rsidR="00D57B40" w:rsidRPr="00445B57">
        <w:rPr>
          <w:rFonts w:eastAsiaTheme="minorHAnsi" w:cs="Arial"/>
          <w:bCs/>
          <w:szCs w:val="24"/>
          <w:lang w:val="en-GB"/>
        </w:rPr>
        <w:t>The trial commenced on 14 August 2019 and was delayed on numerous occasions due to the Covid-19 pandemic</w:t>
      </w:r>
      <w:r w:rsidR="00B415D0" w:rsidRPr="00445B57">
        <w:rPr>
          <w:rFonts w:eastAsiaTheme="minorHAnsi" w:cs="Arial"/>
          <w:bCs/>
          <w:szCs w:val="24"/>
          <w:lang w:val="en-GB"/>
        </w:rPr>
        <w:t xml:space="preserve">, as well as other reasons such as the illness of legal representatives and </w:t>
      </w:r>
      <w:r w:rsidR="00445B57" w:rsidRPr="00445B57">
        <w:rPr>
          <w:rFonts w:eastAsiaTheme="minorHAnsi" w:cs="Arial"/>
          <w:bCs/>
          <w:szCs w:val="24"/>
          <w:lang w:val="en-GB"/>
        </w:rPr>
        <w:t xml:space="preserve">the </w:t>
      </w:r>
      <w:r w:rsidR="00B415D0" w:rsidRPr="00445B57">
        <w:rPr>
          <w:rFonts w:eastAsiaTheme="minorHAnsi" w:cs="Arial"/>
          <w:bCs/>
          <w:szCs w:val="24"/>
          <w:lang w:val="en-GB"/>
        </w:rPr>
        <w:t>unavailability of witnesses</w:t>
      </w:r>
      <w:r w:rsidR="00D57B40" w:rsidRPr="00445B57">
        <w:rPr>
          <w:rFonts w:eastAsiaTheme="minorHAnsi" w:cs="Arial"/>
          <w:bCs/>
          <w:szCs w:val="24"/>
          <w:lang w:val="en-GB"/>
        </w:rPr>
        <w:t xml:space="preserve">.  There was a trial within a trial regarding the admissibility of the warning statements of all but Mboniswa, who did not make a warning statement.  I </w:t>
      </w:r>
      <w:r w:rsidR="00B415D0" w:rsidRPr="00445B57">
        <w:rPr>
          <w:rFonts w:eastAsiaTheme="minorHAnsi" w:cs="Arial"/>
          <w:bCs/>
          <w:szCs w:val="24"/>
          <w:lang w:val="en-GB"/>
        </w:rPr>
        <w:t>found</w:t>
      </w:r>
      <w:r w:rsidR="00D57B40" w:rsidRPr="00445B57">
        <w:rPr>
          <w:rFonts w:eastAsiaTheme="minorHAnsi" w:cs="Arial"/>
          <w:bCs/>
          <w:szCs w:val="24"/>
          <w:lang w:val="en-GB"/>
        </w:rPr>
        <w:t xml:space="preserve"> that the </w:t>
      </w:r>
      <w:r w:rsidR="00B415D0" w:rsidRPr="00445B57">
        <w:rPr>
          <w:rFonts w:eastAsiaTheme="minorHAnsi" w:cs="Arial"/>
          <w:bCs/>
          <w:szCs w:val="24"/>
          <w:lang w:val="en-GB"/>
        </w:rPr>
        <w:t xml:space="preserve">prerequisites for </w:t>
      </w:r>
      <w:r w:rsidR="00D57B40" w:rsidRPr="00445B57">
        <w:rPr>
          <w:rFonts w:eastAsiaTheme="minorHAnsi" w:cs="Arial"/>
          <w:bCs/>
          <w:szCs w:val="24"/>
          <w:lang w:val="en-GB"/>
        </w:rPr>
        <w:t>admissib</w:t>
      </w:r>
      <w:r w:rsidR="00B415D0" w:rsidRPr="00445B57">
        <w:rPr>
          <w:rFonts w:eastAsiaTheme="minorHAnsi" w:cs="Arial"/>
          <w:bCs/>
          <w:szCs w:val="24"/>
          <w:lang w:val="en-GB"/>
        </w:rPr>
        <w:t>ility had been met and that the warning statements could be disclosed.  I indicated that the reasons for my decision would form part of this judgment.</w:t>
      </w:r>
      <w:r w:rsidR="009E5B91" w:rsidRPr="00445B57">
        <w:rPr>
          <w:rFonts w:eastAsiaTheme="minorHAnsi" w:cs="Arial"/>
          <w:bCs/>
          <w:szCs w:val="24"/>
          <w:lang w:val="en-GB"/>
        </w:rPr>
        <w:t xml:space="preserve">  </w:t>
      </w:r>
      <w:r w:rsidR="00B415D0" w:rsidRPr="00445B57">
        <w:rPr>
          <w:rFonts w:eastAsiaTheme="minorHAnsi" w:cs="Arial"/>
          <w:bCs/>
          <w:szCs w:val="24"/>
          <w:lang w:val="en-GB"/>
        </w:rPr>
        <w:t xml:space="preserve">After the State closed its case, the five </w:t>
      </w:r>
      <w:r w:rsidR="00D57B40" w:rsidRPr="00445B57">
        <w:rPr>
          <w:rFonts w:eastAsiaTheme="minorHAnsi" w:cs="Arial"/>
          <w:bCs/>
          <w:szCs w:val="24"/>
          <w:lang w:val="en-GB"/>
        </w:rPr>
        <w:t xml:space="preserve">Accused applied for discharge in terms of section 174 of the CPA.  After hearing argument, </w:t>
      </w:r>
      <w:r w:rsidR="00133152">
        <w:rPr>
          <w:rFonts w:eastAsiaTheme="minorHAnsi" w:cs="Arial"/>
          <w:bCs/>
          <w:szCs w:val="24"/>
          <w:lang w:val="en-GB"/>
        </w:rPr>
        <w:t>I</w:t>
      </w:r>
      <w:r w:rsidR="00744330" w:rsidRPr="00445B57">
        <w:rPr>
          <w:rFonts w:eastAsiaTheme="minorHAnsi" w:cs="Arial"/>
          <w:bCs/>
          <w:szCs w:val="24"/>
          <w:lang w:val="en-GB"/>
        </w:rPr>
        <w:t xml:space="preserve"> </w:t>
      </w:r>
      <w:r w:rsidR="00744330" w:rsidRPr="00445B57">
        <w:rPr>
          <w:rFonts w:eastAsiaTheme="minorHAnsi" w:cs="Arial"/>
          <w:bCs/>
          <w:szCs w:val="24"/>
          <w:lang w:val="en-GB"/>
        </w:rPr>
        <w:lastRenderedPageBreak/>
        <w:t>granted</w:t>
      </w:r>
      <w:r w:rsidR="00D57B40" w:rsidRPr="00445B57">
        <w:rPr>
          <w:rFonts w:eastAsiaTheme="minorHAnsi" w:cs="Arial"/>
          <w:bCs/>
          <w:szCs w:val="24"/>
          <w:lang w:val="en-GB"/>
        </w:rPr>
        <w:t xml:space="preserve"> </w:t>
      </w:r>
      <w:r w:rsidR="003D7D19">
        <w:rPr>
          <w:rFonts w:eastAsiaTheme="minorHAnsi" w:cs="Arial"/>
          <w:bCs/>
          <w:szCs w:val="24"/>
          <w:lang w:val="en-GB"/>
        </w:rPr>
        <w:t xml:space="preserve">Mbana </w:t>
      </w:r>
      <w:r w:rsidR="00D57B40" w:rsidRPr="00445B57">
        <w:rPr>
          <w:rFonts w:eastAsiaTheme="minorHAnsi" w:cs="Arial"/>
          <w:bCs/>
          <w:szCs w:val="24"/>
          <w:lang w:val="en-GB"/>
        </w:rPr>
        <w:t xml:space="preserve">discharge in respect of the attempted murder of Mrwebi and the murder of Pangwa but not in respect of the kidnapping of Swartbooi, Mrwebi and Pangwa.  Manana was discharged on the kidnapping of Swartbooi and the murder of Pangwa but not the kidnapping of Mrwebi and Pangwa </w:t>
      </w:r>
      <w:r w:rsidR="00744330" w:rsidRPr="00445B57">
        <w:rPr>
          <w:rFonts w:eastAsiaTheme="minorHAnsi" w:cs="Arial"/>
          <w:bCs/>
          <w:szCs w:val="24"/>
          <w:lang w:val="en-GB"/>
        </w:rPr>
        <w:t>nor</w:t>
      </w:r>
      <w:r w:rsidR="00D57B40" w:rsidRPr="00445B57">
        <w:rPr>
          <w:rFonts w:eastAsiaTheme="minorHAnsi" w:cs="Arial"/>
          <w:bCs/>
          <w:szCs w:val="24"/>
          <w:lang w:val="en-GB"/>
        </w:rPr>
        <w:t xml:space="preserve"> the attempted murder of Mrwebi.</w:t>
      </w:r>
      <w:r w:rsidR="009E5B91" w:rsidRPr="00445B57">
        <w:rPr>
          <w:rFonts w:eastAsiaTheme="minorHAnsi" w:cs="Arial"/>
          <w:bCs/>
          <w:szCs w:val="24"/>
          <w:lang w:val="en-GB"/>
        </w:rPr>
        <w:t xml:space="preserve">  </w:t>
      </w:r>
      <w:r w:rsidR="00D57B40" w:rsidRPr="00445B57">
        <w:rPr>
          <w:rFonts w:eastAsiaTheme="minorHAnsi" w:cs="Arial"/>
          <w:bCs/>
          <w:szCs w:val="24"/>
          <w:lang w:val="en-GB"/>
        </w:rPr>
        <w:t xml:space="preserve">Mkunyanya was discharged on the kidnapping of Swartbooi and Pangwa but not of the kidnapping of Mrwebi and the murder of Pangwa.  Mboniswa </w:t>
      </w:r>
      <w:r w:rsidR="009E5B91" w:rsidRPr="00445B57">
        <w:rPr>
          <w:rFonts w:eastAsiaTheme="minorHAnsi" w:cs="Arial"/>
          <w:bCs/>
          <w:szCs w:val="24"/>
          <w:lang w:val="en-GB"/>
        </w:rPr>
        <w:t>and Shoba were</w:t>
      </w:r>
      <w:r w:rsidR="00D57B40" w:rsidRPr="00445B57">
        <w:rPr>
          <w:rFonts w:eastAsiaTheme="minorHAnsi" w:cs="Arial"/>
          <w:bCs/>
          <w:szCs w:val="24"/>
          <w:lang w:val="en-GB"/>
        </w:rPr>
        <w:t xml:space="preserve"> discharged on all counts.</w:t>
      </w:r>
      <w:r w:rsidR="00445B57" w:rsidRPr="00445B57">
        <w:rPr>
          <w:rFonts w:eastAsiaTheme="minorHAnsi" w:cs="Arial"/>
          <w:bCs/>
          <w:szCs w:val="24"/>
          <w:lang w:val="en-GB"/>
        </w:rPr>
        <w:t xml:space="preserve"> </w:t>
      </w:r>
      <w:r w:rsidR="00095057" w:rsidRPr="00445B57">
        <w:rPr>
          <w:lang w:val="en-GB"/>
        </w:rPr>
        <w:t>After the close of the State</w:t>
      </w:r>
      <w:r w:rsidR="00256502" w:rsidRPr="00445B57">
        <w:rPr>
          <w:lang w:val="en-GB"/>
        </w:rPr>
        <w:t>’</w:t>
      </w:r>
      <w:r w:rsidR="00095057" w:rsidRPr="00445B57">
        <w:rPr>
          <w:lang w:val="en-GB"/>
        </w:rPr>
        <w:t>s case</w:t>
      </w:r>
      <w:r w:rsidR="00B415D0" w:rsidRPr="00445B57">
        <w:rPr>
          <w:lang w:val="en-GB"/>
        </w:rPr>
        <w:t>, Manana and Mkunyanya</w:t>
      </w:r>
      <w:r w:rsidR="00095057" w:rsidRPr="00445B57">
        <w:rPr>
          <w:lang w:val="en-GB"/>
        </w:rPr>
        <w:t xml:space="preserve"> testified along</w:t>
      </w:r>
      <w:r w:rsidR="00B415D0" w:rsidRPr="00445B57">
        <w:rPr>
          <w:lang w:val="en-GB"/>
        </w:rPr>
        <w:t xml:space="preserve"> with the former</w:t>
      </w:r>
      <w:r w:rsidR="00256502" w:rsidRPr="00445B57">
        <w:rPr>
          <w:lang w:val="en-GB"/>
        </w:rPr>
        <w:t>’</w:t>
      </w:r>
      <w:r w:rsidR="00B415D0" w:rsidRPr="00445B57">
        <w:rPr>
          <w:lang w:val="en-GB"/>
        </w:rPr>
        <w:t xml:space="preserve">s girlfriend, Vuyokasi </w:t>
      </w:r>
      <w:bookmarkStart w:id="2" w:name="_Hlk135644373"/>
      <w:r w:rsidR="00B415D0" w:rsidRPr="00445B57">
        <w:rPr>
          <w:lang w:val="en-GB"/>
        </w:rPr>
        <w:t>Mawanga</w:t>
      </w:r>
      <w:bookmarkEnd w:id="2"/>
      <w:r w:rsidR="00B415D0" w:rsidRPr="00445B57">
        <w:rPr>
          <w:lang w:val="en-GB"/>
        </w:rPr>
        <w:t xml:space="preserve"> (</w:t>
      </w:r>
      <w:r w:rsidR="00C11F87" w:rsidRPr="00445B57">
        <w:rPr>
          <w:lang w:val="en-GB"/>
        </w:rPr>
        <w:t>“</w:t>
      </w:r>
      <w:r w:rsidR="00B415D0" w:rsidRPr="00445B57">
        <w:rPr>
          <w:b/>
          <w:lang w:val="en-GB"/>
        </w:rPr>
        <w:t>Mawanga</w:t>
      </w:r>
      <w:r w:rsidR="00C11F87" w:rsidRPr="00445B57">
        <w:rPr>
          <w:lang w:val="en-GB"/>
        </w:rPr>
        <w:t>”</w:t>
      </w:r>
      <w:r w:rsidR="00B415D0" w:rsidRPr="00445B57">
        <w:rPr>
          <w:lang w:val="en-GB"/>
        </w:rPr>
        <w:t>)</w:t>
      </w:r>
      <w:r w:rsidR="00256502" w:rsidRPr="00445B57">
        <w:rPr>
          <w:lang w:val="en-GB"/>
        </w:rPr>
        <w:t>.</w:t>
      </w:r>
      <w:r w:rsidR="00095057" w:rsidRPr="00445B57">
        <w:rPr>
          <w:lang w:val="en-GB"/>
        </w:rPr>
        <w:t xml:space="preserve">  Mbana elected not to testify.</w:t>
      </w:r>
    </w:p>
    <w:p w14:paraId="7CAB86CA" w14:textId="68CA7E26" w:rsidR="00687BAF" w:rsidRPr="008F717C" w:rsidRDefault="000541C6" w:rsidP="000541C6">
      <w:pPr>
        <w:pStyle w:val="Heading1"/>
        <w:numPr>
          <w:ilvl w:val="0"/>
          <w:numId w:val="0"/>
        </w:numPr>
        <w:ind w:left="851" w:hanging="851"/>
        <w:rPr>
          <w:szCs w:val="24"/>
          <w:lang w:val="en-GB"/>
        </w:rPr>
      </w:pPr>
      <w:r w:rsidRPr="008F717C">
        <w:rPr>
          <w:szCs w:val="24"/>
          <w:lang w:val="en-GB"/>
        </w:rPr>
        <w:t>B.</w:t>
      </w:r>
      <w:r w:rsidRPr="008F717C">
        <w:rPr>
          <w:szCs w:val="24"/>
          <w:lang w:val="en-GB"/>
        </w:rPr>
        <w:tab/>
      </w:r>
      <w:r w:rsidR="00687BAF" w:rsidRPr="008F717C">
        <w:rPr>
          <w:szCs w:val="24"/>
          <w:lang w:val="en-GB"/>
        </w:rPr>
        <w:t>ADMISSION</w:t>
      </w:r>
      <w:r w:rsidR="0075317B" w:rsidRPr="008F717C">
        <w:rPr>
          <w:szCs w:val="24"/>
          <w:lang w:val="en-GB"/>
        </w:rPr>
        <w:t>S</w:t>
      </w:r>
    </w:p>
    <w:p w14:paraId="4ECD8C2B" w14:textId="0CCE7E28" w:rsidR="00B415D0"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8.</w:t>
      </w:r>
      <w:r w:rsidRPr="008F717C">
        <w:rPr>
          <w:rFonts w:cs="Arial"/>
          <w:szCs w:val="24"/>
          <w:lang w:val="en-GB"/>
        </w:rPr>
        <w:tab/>
      </w:r>
      <w:r w:rsidR="00B415D0" w:rsidRPr="008F717C">
        <w:rPr>
          <w:rFonts w:eastAsiaTheme="minorHAnsi" w:cs="Arial"/>
          <w:bCs/>
          <w:szCs w:val="24"/>
          <w:lang w:val="en-GB"/>
        </w:rPr>
        <w:t>The Accused handed up similar statements containing admissions in terms of section 220 of the CPA</w:t>
      </w:r>
      <w:r w:rsidR="0075317B" w:rsidRPr="008F717C">
        <w:rPr>
          <w:rFonts w:eastAsiaTheme="minorHAnsi" w:cs="Arial"/>
          <w:bCs/>
          <w:szCs w:val="24"/>
          <w:lang w:val="en-GB"/>
        </w:rPr>
        <w:t>.  The statements, which were read into the record, and confirmed by the Accused</w:t>
      </w:r>
      <w:r w:rsidR="00256502" w:rsidRPr="008F717C">
        <w:rPr>
          <w:rFonts w:eastAsiaTheme="minorHAnsi" w:cs="Arial"/>
          <w:bCs/>
          <w:szCs w:val="24"/>
          <w:lang w:val="en-GB"/>
        </w:rPr>
        <w:t>’</w:t>
      </w:r>
      <w:r w:rsidR="0075317B" w:rsidRPr="008F717C">
        <w:rPr>
          <w:rFonts w:eastAsiaTheme="minorHAnsi" w:cs="Arial"/>
          <w:bCs/>
          <w:szCs w:val="24"/>
          <w:lang w:val="en-GB"/>
        </w:rPr>
        <w:t>s legal representatives were:</w:t>
      </w:r>
    </w:p>
    <w:p w14:paraId="62C3D789" w14:textId="4EBE3D0C" w:rsidR="008E5231" w:rsidRPr="008F717C" w:rsidRDefault="00C11F87" w:rsidP="008E5231">
      <w:pPr>
        <w:pStyle w:val="Quote"/>
        <w:ind w:left="2160" w:hanging="742"/>
        <w:rPr>
          <w:rFonts w:cs="Arial"/>
          <w:szCs w:val="24"/>
          <w:lang w:val="en-GB"/>
        </w:rPr>
      </w:pPr>
      <w:r w:rsidRPr="008F717C">
        <w:rPr>
          <w:rFonts w:cs="Arial"/>
          <w:szCs w:val="24"/>
          <w:lang w:val="en-GB"/>
        </w:rPr>
        <w:t>“</w:t>
      </w:r>
      <w:r w:rsidR="008E5231" w:rsidRPr="008F717C">
        <w:rPr>
          <w:rFonts w:cs="Arial"/>
          <w:szCs w:val="24"/>
          <w:lang w:val="en-GB"/>
        </w:rPr>
        <w:t>1.</w:t>
      </w:r>
      <w:r w:rsidR="008E5231" w:rsidRPr="008F717C">
        <w:rPr>
          <w:rFonts w:cs="Arial"/>
          <w:szCs w:val="24"/>
          <w:lang w:val="en-GB"/>
        </w:rPr>
        <w:tab/>
        <w:t xml:space="preserve">That the deceased was at all material times correctly identified as </w:t>
      </w:r>
      <w:r w:rsidR="008E5231" w:rsidRPr="008F717C">
        <w:rPr>
          <w:rFonts w:cs="Arial"/>
          <w:b/>
          <w:bCs/>
          <w:szCs w:val="24"/>
          <w:lang w:val="en-GB"/>
        </w:rPr>
        <w:t>NZUKISO PANGWA</w:t>
      </w:r>
      <w:r w:rsidR="008E5231" w:rsidRPr="008F717C">
        <w:rPr>
          <w:rFonts w:cs="Arial"/>
          <w:szCs w:val="24"/>
          <w:lang w:val="en-GB"/>
        </w:rPr>
        <w:t xml:space="preserve"> and marked </w:t>
      </w:r>
      <w:r w:rsidR="008E5231" w:rsidRPr="008F717C">
        <w:rPr>
          <w:rFonts w:cs="Arial"/>
          <w:b/>
          <w:bCs/>
          <w:szCs w:val="24"/>
          <w:lang w:val="en-GB"/>
        </w:rPr>
        <w:t>WC11/1579/17</w:t>
      </w:r>
      <w:r w:rsidR="008E5231" w:rsidRPr="008F717C">
        <w:rPr>
          <w:rFonts w:cs="Arial"/>
          <w:szCs w:val="24"/>
          <w:lang w:val="en-GB"/>
        </w:rPr>
        <w:t>, being the person mentioned in the Indictment.</w:t>
      </w:r>
    </w:p>
    <w:p w14:paraId="0E72F03D" w14:textId="0B87472A" w:rsidR="008E5231" w:rsidRPr="008F717C" w:rsidRDefault="008E5231" w:rsidP="008E5231">
      <w:pPr>
        <w:pStyle w:val="Quote"/>
        <w:ind w:left="2160" w:hanging="742"/>
        <w:rPr>
          <w:rFonts w:cs="Arial"/>
          <w:szCs w:val="24"/>
          <w:lang w:val="en-GB"/>
        </w:rPr>
      </w:pPr>
      <w:r w:rsidRPr="008F717C">
        <w:rPr>
          <w:rFonts w:cs="Arial"/>
          <w:szCs w:val="24"/>
          <w:lang w:val="en-GB"/>
        </w:rPr>
        <w:t>2.</w:t>
      </w:r>
      <w:r w:rsidRPr="008F717C">
        <w:rPr>
          <w:rFonts w:cs="Arial"/>
          <w:szCs w:val="24"/>
          <w:lang w:val="en-GB"/>
        </w:rPr>
        <w:tab/>
        <w:t>That the body of the deceased suffered no further injuries from the time of the alleged offence, removal from the scene up to the time of the post-mortem examination was conducted on the body of the deceased.</w:t>
      </w:r>
    </w:p>
    <w:p w14:paraId="2A00107A" w14:textId="7005669E" w:rsidR="008E5231" w:rsidRPr="008F717C" w:rsidRDefault="008E5231" w:rsidP="008E5231">
      <w:pPr>
        <w:pStyle w:val="Quote"/>
        <w:ind w:left="2160" w:hanging="742"/>
        <w:rPr>
          <w:rFonts w:cs="Arial"/>
          <w:szCs w:val="24"/>
          <w:lang w:val="en-GB"/>
        </w:rPr>
      </w:pPr>
      <w:r w:rsidRPr="008F717C">
        <w:rPr>
          <w:rFonts w:cs="Arial"/>
          <w:szCs w:val="24"/>
          <w:lang w:val="en-GB"/>
        </w:rPr>
        <w:t>3.</w:t>
      </w:r>
      <w:r w:rsidRPr="008F717C">
        <w:rPr>
          <w:rFonts w:cs="Arial"/>
          <w:szCs w:val="24"/>
          <w:lang w:val="en-GB"/>
        </w:rPr>
        <w:tab/>
        <w:t xml:space="preserve">That </w:t>
      </w:r>
      <w:r w:rsidR="001D1DF1" w:rsidRPr="008F717C">
        <w:rPr>
          <w:rFonts w:cs="Arial"/>
          <w:b/>
          <w:bCs/>
          <w:szCs w:val="24"/>
          <w:lang w:val="en-GB"/>
        </w:rPr>
        <w:t>DR </w:t>
      </w:r>
      <w:r w:rsidR="001A5E44" w:rsidRPr="008F717C">
        <w:rPr>
          <w:rFonts w:cs="Arial"/>
          <w:b/>
          <w:bCs/>
          <w:szCs w:val="24"/>
          <w:lang w:val="en-GB"/>
        </w:rPr>
        <w:t>MANDY DAT</w:t>
      </w:r>
      <w:r w:rsidR="0073313F" w:rsidRPr="008F717C">
        <w:rPr>
          <w:rFonts w:cs="Arial"/>
          <w:b/>
          <w:bCs/>
          <w:szCs w:val="24"/>
          <w:lang w:val="en-GB"/>
        </w:rPr>
        <w:t xml:space="preserve">E </w:t>
      </w:r>
      <w:r w:rsidR="001A5E44" w:rsidRPr="008F717C">
        <w:rPr>
          <w:rFonts w:cs="Arial"/>
          <w:b/>
          <w:bCs/>
          <w:szCs w:val="24"/>
          <w:lang w:val="en-GB"/>
        </w:rPr>
        <w:t>CHONG</w:t>
      </w:r>
      <w:r w:rsidR="001A5E44" w:rsidRPr="008F717C">
        <w:rPr>
          <w:rFonts w:cs="Arial"/>
          <w:szCs w:val="24"/>
          <w:lang w:val="en-GB"/>
        </w:rPr>
        <w:t xml:space="preserve"> conducted a post-mortem examination on the body of the abovementioned deceased, marked </w:t>
      </w:r>
      <w:r w:rsidR="001A5E44" w:rsidRPr="008F717C">
        <w:rPr>
          <w:rFonts w:cs="Arial"/>
          <w:b/>
          <w:bCs/>
          <w:szCs w:val="24"/>
          <w:lang w:val="en-GB"/>
        </w:rPr>
        <w:t>WC11/1579/17</w:t>
      </w:r>
      <w:r w:rsidR="001A5E44" w:rsidRPr="008F717C">
        <w:rPr>
          <w:rFonts w:cs="Arial"/>
          <w:szCs w:val="24"/>
          <w:lang w:val="en-GB"/>
        </w:rPr>
        <w:t xml:space="preserve"> on </w:t>
      </w:r>
      <w:r w:rsidR="001A5E44" w:rsidRPr="008F717C">
        <w:rPr>
          <w:rFonts w:cs="Arial"/>
          <w:b/>
          <w:bCs/>
          <w:szCs w:val="24"/>
          <w:lang w:val="en-GB"/>
        </w:rPr>
        <w:t>19 JUNE 2017</w:t>
      </w:r>
      <w:r w:rsidR="001A5E44" w:rsidRPr="008F717C">
        <w:rPr>
          <w:rFonts w:cs="Arial"/>
          <w:szCs w:val="24"/>
          <w:lang w:val="en-GB"/>
        </w:rPr>
        <w:t>.</w:t>
      </w:r>
    </w:p>
    <w:p w14:paraId="3AEF0CC0" w14:textId="386EE959" w:rsidR="001A5E44" w:rsidRPr="008F717C" w:rsidRDefault="001A5E44" w:rsidP="008E5231">
      <w:pPr>
        <w:pStyle w:val="Quote"/>
        <w:ind w:left="2160" w:hanging="742"/>
        <w:rPr>
          <w:rFonts w:cs="Arial"/>
          <w:szCs w:val="24"/>
          <w:lang w:val="en-GB"/>
        </w:rPr>
      </w:pPr>
      <w:r w:rsidRPr="008F717C">
        <w:rPr>
          <w:rFonts w:cs="Arial"/>
          <w:szCs w:val="24"/>
          <w:lang w:val="en-GB"/>
        </w:rPr>
        <w:lastRenderedPageBreak/>
        <w:t>4.</w:t>
      </w:r>
      <w:r w:rsidRPr="008F717C">
        <w:rPr>
          <w:rFonts w:cs="Arial"/>
          <w:szCs w:val="24"/>
          <w:lang w:val="en-GB"/>
        </w:rPr>
        <w:tab/>
      </w:r>
      <w:r w:rsidR="0073313F" w:rsidRPr="008F717C">
        <w:rPr>
          <w:rFonts w:cs="Arial"/>
          <w:szCs w:val="24"/>
          <w:lang w:val="en-GB"/>
        </w:rPr>
        <w:t xml:space="preserve">That </w:t>
      </w:r>
      <w:r w:rsidR="001D1DF1" w:rsidRPr="008F717C">
        <w:rPr>
          <w:rFonts w:cs="Arial"/>
          <w:b/>
          <w:bCs/>
          <w:szCs w:val="24"/>
          <w:lang w:val="en-GB"/>
        </w:rPr>
        <w:t>DR </w:t>
      </w:r>
      <w:r w:rsidR="0073313F" w:rsidRPr="008F717C">
        <w:rPr>
          <w:rFonts w:cs="Arial"/>
          <w:b/>
          <w:bCs/>
          <w:szCs w:val="24"/>
          <w:lang w:val="en-GB"/>
        </w:rPr>
        <w:t>MANDY DATE CHONG</w:t>
      </w:r>
      <w:r w:rsidR="0073313F" w:rsidRPr="008F717C">
        <w:rPr>
          <w:rFonts w:cs="Arial"/>
          <w:szCs w:val="24"/>
          <w:lang w:val="en-GB"/>
        </w:rPr>
        <w:t xml:space="preserve"> correctly noted findings on the post-mortem report in accordance with the examination conducted on the body of </w:t>
      </w:r>
      <w:r w:rsidR="0073313F" w:rsidRPr="008F717C">
        <w:rPr>
          <w:rFonts w:cs="Arial"/>
          <w:b/>
          <w:bCs/>
          <w:szCs w:val="24"/>
          <w:lang w:val="en-GB"/>
        </w:rPr>
        <w:t>NZUKISO PANGWA</w:t>
      </w:r>
      <w:r w:rsidR="0073313F" w:rsidRPr="008F717C">
        <w:rPr>
          <w:rFonts w:cs="Arial"/>
          <w:szCs w:val="24"/>
          <w:lang w:val="en-GB"/>
        </w:rPr>
        <w:t xml:space="preserve">, </w:t>
      </w:r>
      <w:r w:rsidR="0073313F" w:rsidRPr="008F717C">
        <w:rPr>
          <w:rFonts w:cs="Arial"/>
          <w:b/>
          <w:bCs/>
          <w:szCs w:val="24"/>
          <w:lang w:val="en-GB"/>
        </w:rPr>
        <w:t>WC11/1579/17</w:t>
      </w:r>
      <w:r w:rsidR="0073313F" w:rsidRPr="008F717C">
        <w:rPr>
          <w:rFonts w:cs="Arial"/>
          <w:szCs w:val="24"/>
          <w:lang w:val="en-GB"/>
        </w:rPr>
        <w:t>.</w:t>
      </w:r>
    </w:p>
    <w:p w14:paraId="1248B219" w14:textId="4B5D2FA6" w:rsidR="0073313F" w:rsidRPr="008F717C" w:rsidRDefault="0073313F" w:rsidP="008E5231">
      <w:pPr>
        <w:pStyle w:val="Quote"/>
        <w:ind w:left="2160" w:hanging="742"/>
        <w:rPr>
          <w:rFonts w:cs="Arial"/>
          <w:szCs w:val="24"/>
          <w:lang w:val="en-GB"/>
        </w:rPr>
      </w:pPr>
      <w:r w:rsidRPr="008F717C">
        <w:rPr>
          <w:rFonts w:cs="Arial"/>
          <w:szCs w:val="24"/>
          <w:lang w:val="en-GB"/>
        </w:rPr>
        <w:t>5.</w:t>
      </w:r>
      <w:r w:rsidRPr="008F717C">
        <w:rPr>
          <w:rFonts w:cs="Arial"/>
          <w:szCs w:val="24"/>
          <w:lang w:val="en-GB"/>
        </w:rPr>
        <w:tab/>
        <w:t xml:space="preserve">That the cause of death of the deceased, </w:t>
      </w:r>
      <w:r w:rsidRPr="008F717C">
        <w:rPr>
          <w:rFonts w:cs="Arial"/>
          <w:b/>
          <w:bCs/>
          <w:szCs w:val="24"/>
          <w:lang w:val="en-GB"/>
        </w:rPr>
        <w:t>NZUKISO PANGWA</w:t>
      </w:r>
      <w:r w:rsidRPr="008F717C">
        <w:rPr>
          <w:rFonts w:cs="Arial"/>
          <w:szCs w:val="24"/>
          <w:lang w:val="en-GB"/>
        </w:rPr>
        <w:t xml:space="preserve">, is as indicated on the post-mortem report, to wit:  </w:t>
      </w:r>
      <w:r w:rsidRPr="008F717C">
        <w:rPr>
          <w:rFonts w:cs="Arial"/>
          <w:b/>
          <w:bCs/>
          <w:szCs w:val="24"/>
          <w:lang w:val="en-GB"/>
        </w:rPr>
        <w:t>MULTIPLE BLUNT AND SHARP FORCE INJURIES, UNNATURAL</w:t>
      </w:r>
      <w:r w:rsidRPr="008F717C">
        <w:rPr>
          <w:rFonts w:cs="Arial"/>
          <w:szCs w:val="24"/>
          <w:lang w:val="en-GB"/>
        </w:rPr>
        <w:t>.</w:t>
      </w:r>
    </w:p>
    <w:p w14:paraId="199EDD5C" w14:textId="4A5BA202" w:rsidR="0073313F" w:rsidRPr="008F717C" w:rsidRDefault="0073313F" w:rsidP="008E5231">
      <w:pPr>
        <w:pStyle w:val="Quote"/>
        <w:ind w:left="2160" w:hanging="742"/>
        <w:rPr>
          <w:rFonts w:cs="Arial"/>
          <w:szCs w:val="24"/>
          <w:lang w:val="en-GB"/>
        </w:rPr>
      </w:pPr>
      <w:r w:rsidRPr="008F717C">
        <w:rPr>
          <w:rFonts w:cs="Arial"/>
          <w:szCs w:val="24"/>
          <w:lang w:val="en-GB"/>
        </w:rPr>
        <w:t>6.</w:t>
      </w:r>
      <w:r w:rsidRPr="008F717C">
        <w:rPr>
          <w:rFonts w:cs="Arial"/>
          <w:szCs w:val="24"/>
          <w:lang w:val="en-GB"/>
        </w:rPr>
        <w:tab/>
        <w:t xml:space="preserve">The photo album, photos 1 – 16 and with reference number </w:t>
      </w:r>
      <w:r w:rsidRPr="008F717C">
        <w:rPr>
          <w:rFonts w:cs="Arial"/>
          <w:b/>
          <w:bCs/>
          <w:szCs w:val="24"/>
          <w:lang w:val="en-GB"/>
        </w:rPr>
        <w:t>LCRCPR1464/2017</w:t>
      </w:r>
      <w:r w:rsidRPr="008F717C">
        <w:rPr>
          <w:rFonts w:cs="Arial"/>
          <w:szCs w:val="24"/>
          <w:lang w:val="en-GB"/>
        </w:rPr>
        <w:t xml:space="preserve"> by </w:t>
      </w:r>
      <w:r w:rsidRPr="008F717C">
        <w:rPr>
          <w:rFonts w:cs="Arial"/>
          <w:b/>
          <w:bCs/>
          <w:szCs w:val="24"/>
          <w:lang w:val="en-GB"/>
        </w:rPr>
        <w:t>CONSTABLE AVONTUUR</w:t>
      </w:r>
      <w:r w:rsidRPr="008F717C">
        <w:rPr>
          <w:rFonts w:cs="Arial"/>
          <w:szCs w:val="24"/>
          <w:lang w:val="en-GB"/>
        </w:rPr>
        <w:t xml:space="preserve">, correctly depicts the crime scene </w:t>
      </w:r>
      <w:r w:rsidR="00211CCA" w:rsidRPr="008F717C">
        <w:rPr>
          <w:rFonts w:cs="Arial"/>
          <w:szCs w:val="24"/>
          <w:lang w:val="en-GB"/>
        </w:rPr>
        <w:t xml:space="preserve">situated at </w:t>
      </w:r>
      <w:r w:rsidR="00211CCA" w:rsidRPr="008F717C">
        <w:rPr>
          <w:rFonts w:cs="Arial"/>
          <w:b/>
          <w:bCs/>
          <w:szCs w:val="24"/>
          <w:lang w:val="en-GB"/>
        </w:rPr>
        <w:t>THE BUSH IN VANGUARD DRIVE TOWARDS ROCKLANDS AND MITCHELLS PLAIN</w:t>
      </w:r>
      <w:r w:rsidR="00211CCA" w:rsidRPr="008F717C">
        <w:rPr>
          <w:rFonts w:cs="Arial"/>
          <w:szCs w:val="24"/>
          <w:lang w:val="en-GB"/>
        </w:rPr>
        <w:t>.</w:t>
      </w:r>
    </w:p>
    <w:p w14:paraId="486A343C" w14:textId="287D1025" w:rsidR="00211CCA" w:rsidRPr="008F717C" w:rsidRDefault="00211CCA" w:rsidP="008E5231">
      <w:pPr>
        <w:pStyle w:val="Quote"/>
        <w:ind w:left="2160" w:hanging="742"/>
        <w:rPr>
          <w:rFonts w:cs="Arial"/>
          <w:szCs w:val="24"/>
          <w:lang w:val="en-GB"/>
        </w:rPr>
      </w:pPr>
      <w:r w:rsidRPr="008F717C">
        <w:rPr>
          <w:rFonts w:cs="Arial"/>
          <w:szCs w:val="24"/>
          <w:lang w:val="en-GB"/>
        </w:rPr>
        <w:t>7.</w:t>
      </w:r>
      <w:r w:rsidRPr="008F717C">
        <w:rPr>
          <w:rFonts w:cs="Arial"/>
          <w:szCs w:val="24"/>
          <w:lang w:val="en-GB"/>
        </w:rPr>
        <w:tab/>
        <w:t>The photo album</w:t>
      </w:r>
      <w:r w:rsidR="00FA0E2E" w:rsidRPr="008F717C">
        <w:rPr>
          <w:rFonts w:cs="Arial"/>
          <w:szCs w:val="24"/>
          <w:lang w:val="en-GB"/>
        </w:rPr>
        <w:t xml:space="preserve">, photos and with reference number:  </w:t>
      </w:r>
      <w:r w:rsidR="00FA0E2E" w:rsidRPr="008F717C">
        <w:rPr>
          <w:rFonts w:cs="Arial"/>
          <w:b/>
          <w:bCs/>
          <w:szCs w:val="24"/>
          <w:lang w:val="en-GB"/>
        </w:rPr>
        <w:t>LCRC, PR899/17</w:t>
      </w:r>
      <w:r w:rsidR="00FA0E2E" w:rsidRPr="008F717C">
        <w:rPr>
          <w:rFonts w:cs="Arial"/>
          <w:szCs w:val="24"/>
          <w:lang w:val="en-GB"/>
        </w:rPr>
        <w:t xml:space="preserve"> taken by </w:t>
      </w:r>
      <w:r w:rsidR="00FA0E2E" w:rsidRPr="008F717C">
        <w:rPr>
          <w:rFonts w:cs="Arial"/>
          <w:b/>
          <w:bCs/>
          <w:szCs w:val="24"/>
          <w:lang w:val="en-GB"/>
        </w:rPr>
        <w:t>W/O IH JONAS</w:t>
      </w:r>
      <w:r w:rsidR="00FA0E2E" w:rsidRPr="008F717C">
        <w:rPr>
          <w:rFonts w:cs="Arial"/>
          <w:szCs w:val="24"/>
          <w:lang w:val="en-GB"/>
        </w:rPr>
        <w:t xml:space="preserve">, correctly depicts the body of the deceased during the post-mortem examination by </w:t>
      </w:r>
      <w:r w:rsidR="00FA0E2E" w:rsidRPr="008F717C">
        <w:rPr>
          <w:rFonts w:cs="Arial"/>
          <w:b/>
          <w:bCs/>
          <w:szCs w:val="24"/>
          <w:lang w:val="en-GB"/>
        </w:rPr>
        <w:t>D</w:t>
      </w:r>
      <w:r w:rsidR="001D1DF1" w:rsidRPr="008F717C">
        <w:rPr>
          <w:rFonts w:cs="Arial"/>
          <w:b/>
          <w:bCs/>
          <w:szCs w:val="24"/>
          <w:lang w:val="en-GB"/>
        </w:rPr>
        <w:t>R MANDY DATE CHONG</w:t>
      </w:r>
      <w:r w:rsidR="001D1DF1" w:rsidRPr="008F717C">
        <w:rPr>
          <w:rFonts w:cs="Arial"/>
          <w:szCs w:val="24"/>
          <w:lang w:val="en-GB"/>
        </w:rPr>
        <w:t>.</w:t>
      </w:r>
    </w:p>
    <w:p w14:paraId="36E90951" w14:textId="42841B45" w:rsidR="001D1DF1" w:rsidRPr="008F717C" w:rsidRDefault="001D1DF1" w:rsidP="008E5231">
      <w:pPr>
        <w:pStyle w:val="Quote"/>
        <w:ind w:left="2160" w:hanging="742"/>
        <w:rPr>
          <w:rFonts w:eastAsiaTheme="minorHAnsi" w:cs="Arial"/>
          <w:bCs/>
          <w:szCs w:val="24"/>
          <w:lang w:val="en-GB"/>
        </w:rPr>
      </w:pPr>
      <w:r w:rsidRPr="008F717C">
        <w:rPr>
          <w:rFonts w:cs="Arial"/>
          <w:szCs w:val="24"/>
          <w:lang w:val="en-GB"/>
        </w:rPr>
        <w:t>8.</w:t>
      </w:r>
      <w:r w:rsidRPr="008F717C">
        <w:rPr>
          <w:rFonts w:cs="Arial"/>
          <w:szCs w:val="24"/>
          <w:lang w:val="en-GB"/>
        </w:rPr>
        <w:tab/>
        <w:t>That medical officer Dum</w:t>
      </w:r>
      <w:r w:rsidR="00687BAF" w:rsidRPr="008F717C">
        <w:rPr>
          <w:rFonts w:cs="Arial"/>
          <w:szCs w:val="24"/>
          <w:lang w:val="en-GB"/>
        </w:rPr>
        <w:t>o</w:t>
      </w:r>
      <w:r w:rsidRPr="008F717C">
        <w:rPr>
          <w:rFonts w:cs="Arial"/>
          <w:szCs w:val="24"/>
          <w:lang w:val="en-GB"/>
        </w:rPr>
        <w:t xml:space="preserve"> examined </w:t>
      </w:r>
      <w:r w:rsidRPr="008F717C">
        <w:rPr>
          <w:rFonts w:eastAsiaTheme="minorHAnsi" w:cs="Arial"/>
          <w:b/>
          <w:szCs w:val="24"/>
          <w:lang w:val="en-GB"/>
        </w:rPr>
        <w:t>LUNTU MRWEBI</w:t>
      </w:r>
      <w:r w:rsidRPr="008F717C">
        <w:rPr>
          <w:rFonts w:eastAsiaTheme="minorHAnsi" w:cs="Arial"/>
          <w:bCs/>
          <w:szCs w:val="24"/>
          <w:lang w:val="en-GB"/>
        </w:rPr>
        <w:t xml:space="preserve"> at Mitchells Plain Hospital on 08 June 2017.</w:t>
      </w:r>
    </w:p>
    <w:p w14:paraId="4EFF4CBE" w14:textId="6734F4E5" w:rsidR="001D1DF1" w:rsidRPr="008F717C" w:rsidRDefault="001D1DF1" w:rsidP="001D1DF1">
      <w:pPr>
        <w:pStyle w:val="Quote"/>
        <w:spacing w:after="600"/>
        <w:ind w:left="2161" w:hanging="743"/>
        <w:rPr>
          <w:rFonts w:cs="Arial"/>
          <w:szCs w:val="24"/>
          <w:lang w:val="en-GB"/>
        </w:rPr>
      </w:pPr>
      <w:r w:rsidRPr="008F717C">
        <w:rPr>
          <w:rFonts w:cs="Arial"/>
          <w:szCs w:val="24"/>
          <w:lang w:val="en-GB"/>
        </w:rPr>
        <w:t>9.</w:t>
      </w:r>
      <w:r w:rsidRPr="008F717C">
        <w:rPr>
          <w:rFonts w:cs="Arial"/>
          <w:szCs w:val="24"/>
          <w:lang w:val="en-GB"/>
        </w:rPr>
        <w:tab/>
        <w:t>Medical officer Dum</w:t>
      </w:r>
      <w:r w:rsidR="00687BAF" w:rsidRPr="008F717C">
        <w:rPr>
          <w:rFonts w:cs="Arial"/>
          <w:szCs w:val="24"/>
          <w:lang w:val="en-GB"/>
        </w:rPr>
        <w:t>o</w:t>
      </w:r>
      <w:r w:rsidRPr="008F717C">
        <w:rPr>
          <w:rFonts w:cs="Arial"/>
          <w:szCs w:val="24"/>
          <w:lang w:val="en-GB"/>
        </w:rPr>
        <w:t xml:space="preserve"> correctly noted findings on the medical report thereof.</w:t>
      </w:r>
      <w:r w:rsidR="00C11F87" w:rsidRPr="008F717C">
        <w:rPr>
          <w:rFonts w:cs="Arial"/>
          <w:szCs w:val="24"/>
          <w:lang w:val="en-GB"/>
        </w:rPr>
        <w:t>”</w:t>
      </w:r>
    </w:p>
    <w:p w14:paraId="38A36FA3" w14:textId="788B2319" w:rsidR="005D143F" w:rsidRPr="008F717C" w:rsidRDefault="000541C6" w:rsidP="000541C6">
      <w:pPr>
        <w:pStyle w:val="Level1"/>
        <w:numPr>
          <w:ilvl w:val="0"/>
          <w:numId w:val="0"/>
        </w:numPr>
        <w:ind w:left="851" w:hanging="851"/>
        <w:rPr>
          <w:lang w:val="en-GB"/>
        </w:rPr>
      </w:pPr>
      <w:r w:rsidRPr="008F717C">
        <w:rPr>
          <w:lang w:val="en-GB"/>
        </w:rPr>
        <w:t>9.</w:t>
      </w:r>
      <w:r w:rsidRPr="008F717C">
        <w:rPr>
          <w:lang w:val="en-GB"/>
        </w:rPr>
        <w:tab/>
      </w:r>
      <w:r w:rsidR="005D143F" w:rsidRPr="008F717C">
        <w:rPr>
          <w:lang w:val="en-GB"/>
        </w:rPr>
        <w:t>That admissions</w:t>
      </w:r>
      <w:r w:rsidR="00445B57">
        <w:rPr>
          <w:lang w:val="en-GB"/>
        </w:rPr>
        <w:t xml:space="preserve"> </w:t>
      </w:r>
      <w:r w:rsidR="00BF5373" w:rsidRPr="008F717C">
        <w:rPr>
          <w:lang w:val="en-GB"/>
        </w:rPr>
        <w:t>reduced the ambit of the trial and saved valuable time and resources.</w:t>
      </w:r>
    </w:p>
    <w:p w14:paraId="72B26471" w14:textId="010D5BE5" w:rsidR="00D57B40" w:rsidRPr="008F717C" w:rsidRDefault="000541C6" w:rsidP="000541C6">
      <w:pPr>
        <w:pStyle w:val="Heading1"/>
        <w:numPr>
          <w:ilvl w:val="0"/>
          <w:numId w:val="0"/>
        </w:numPr>
        <w:ind w:left="851" w:hanging="851"/>
        <w:rPr>
          <w:szCs w:val="24"/>
          <w:lang w:val="en-GB"/>
        </w:rPr>
      </w:pPr>
      <w:r w:rsidRPr="008F717C">
        <w:rPr>
          <w:szCs w:val="24"/>
          <w:lang w:val="en-GB"/>
        </w:rPr>
        <w:t>C.</w:t>
      </w:r>
      <w:r w:rsidRPr="008F717C">
        <w:rPr>
          <w:szCs w:val="24"/>
          <w:lang w:val="en-GB"/>
        </w:rPr>
        <w:tab/>
      </w:r>
      <w:r w:rsidR="00D57B40" w:rsidRPr="008F717C">
        <w:rPr>
          <w:szCs w:val="24"/>
          <w:lang w:val="en-GB"/>
        </w:rPr>
        <w:t>THE EVIDENCE</w:t>
      </w:r>
    </w:p>
    <w:p w14:paraId="0DEEBA16" w14:textId="57CA257F" w:rsidR="00687BAF"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10.</w:t>
      </w:r>
      <w:r w:rsidRPr="008F717C">
        <w:rPr>
          <w:rFonts w:cs="Arial"/>
          <w:szCs w:val="24"/>
          <w:lang w:val="en-GB"/>
        </w:rPr>
        <w:tab/>
      </w:r>
      <w:r w:rsidR="00687BAF" w:rsidRPr="008F717C">
        <w:rPr>
          <w:rFonts w:cs="Arial"/>
          <w:szCs w:val="24"/>
          <w:lang w:val="en-GB"/>
        </w:rPr>
        <w:t xml:space="preserve">I discuss the evidence, in the order </w:t>
      </w:r>
      <w:r w:rsidR="00BF5373" w:rsidRPr="008F717C">
        <w:rPr>
          <w:rFonts w:cs="Arial"/>
          <w:szCs w:val="24"/>
          <w:lang w:val="en-GB"/>
        </w:rPr>
        <w:t>of presentation, along with the issues that arose</w:t>
      </w:r>
      <w:r w:rsidR="00445B57">
        <w:rPr>
          <w:rFonts w:cs="Arial"/>
          <w:szCs w:val="24"/>
          <w:lang w:val="en-GB"/>
        </w:rPr>
        <w:t xml:space="preserve"> as it was presented. </w:t>
      </w:r>
    </w:p>
    <w:p w14:paraId="223F0C4B" w14:textId="537C049F" w:rsidR="00D57B40" w:rsidRPr="008F717C" w:rsidRDefault="000541C6" w:rsidP="000541C6">
      <w:pPr>
        <w:pStyle w:val="Heading2"/>
        <w:numPr>
          <w:ilvl w:val="0"/>
          <w:numId w:val="0"/>
        </w:numPr>
        <w:ind w:left="851" w:hanging="851"/>
        <w:rPr>
          <w:szCs w:val="24"/>
          <w:lang w:val="en-GB"/>
        </w:rPr>
      </w:pPr>
      <w:r w:rsidRPr="008F717C">
        <w:rPr>
          <w:szCs w:val="24"/>
          <w:u w:val="none"/>
          <w:lang w:val="en-GB"/>
        </w:rPr>
        <w:lastRenderedPageBreak/>
        <w:t>(i)</w:t>
      </w:r>
      <w:r w:rsidRPr="008F717C">
        <w:rPr>
          <w:szCs w:val="24"/>
          <w:u w:val="none"/>
          <w:lang w:val="en-GB"/>
        </w:rPr>
        <w:tab/>
      </w:r>
      <w:r w:rsidR="00D57B40" w:rsidRPr="008F717C">
        <w:rPr>
          <w:szCs w:val="24"/>
          <w:lang w:val="en-GB"/>
        </w:rPr>
        <w:t>The mothers of Pangwa, Mrwebi and Swartbooi</w:t>
      </w:r>
    </w:p>
    <w:p w14:paraId="26D122F0" w14:textId="097B1FB4" w:rsidR="00D57B40"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11.</w:t>
      </w:r>
      <w:r w:rsidRPr="008F717C">
        <w:rPr>
          <w:rFonts w:cs="Arial"/>
          <w:szCs w:val="24"/>
          <w:lang w:val="en-GB"/>
        </w:rPr>
        <w:tab/>
      </w:r>
      <w:r w:rsidR="00D57B40" w:rsidRPr="008F717C">
        <w:rPr>
          <w:rFonts w:cs="Arial"/>
          <w:szCs w:val="24"/>
          <w:lang w:val="en-GB"/>
        </w:rPr>
        <w:t>The first witness was Pangwa</w:t>
      </w:r>
      <w:r w:rsidR="00256502" w:rsidRPr="008F717C">
        <w:rPr>
          <w:rFonts w:cs="Arial"/>
          <w:szCs w:val="24"/>
          <w:lang w:val="en-GB"/>
        </w:rPr>
        <w:t>’</w:t>
      </w:r>
      <w:r w:rsidR="00D57B40" w:rsidRPr="008F717C">
        <w:rPr>
          <w:rFonts w:cs="Arial"/>
          <w:szCs w:val="24"/>
          <w:lang w:val="en-GB"/>
        </w:rPr>
        <w:t>s mother (</w:t>
      </w:r>
      <w:r w:rsidR="00C11F87" w:rsidRPr="008F717C">
        <w:rPr>
          <w:rFonts w:cs="Arial"/>
          <w:szCs w:val="24"/>
          <w:lang w:val="en-GB"/>
        </w:rPr>
        <w:t>“</w:t>
      </w:r>
      <w:r w:rsidR="00D57B40" w:rsidRPr="008F717C">
        <w:rPr>
          <w:rFonts w:cs="Arial"/>
          <w:b/>
          <w:bCs/>
          <w:szCs w:val="24"/>
          <w:lang w:val="en-GB"/>
        </w:rPr>
        <w:t>Ms Pangwa</w:t>
      </w:r>
      <w:r w:rsidR="00C11F87" w:rsidRPr="008F717C">
        <w:rPr>
          <w:rFonts w:cs="Arial"/>
          <w:szCs w:val="24"/>
          <w:lang w:val="en-GB"/>
        </w:rPr>
        <w:t>”</w:t>
      </w:r>
      <w:r w:rsidR="00D57B40" w:rsidRPr="008F717C">
        <w:rPr>
          <w:rFonts w:cs="Arial"/>
          <w:szCs w:val="24"/>
          <w:lang w:val="en-GB"/>
        </w:rPr>
        <w:t xml:space="preserve">).  She testified that four men came to her home </w:t>
      </w:r>
      <w:r w:rsidR="00D5709D" w:rsidRPr="008F717C">
        <w:rPr>
          <w:rFonts w:cs="Arial"/>
          <w:szCs w:val="24"/>
          <w:lang w:val="en-GB"/>
        </w:rPr>
        <w:t>and left with her son.  She was not able to identify the men</w:t>
      </w:r>
      <w:r w:rsidR="00744330" w:rsidRPr="008F717C">
        <w:rPr>
          <w:rFonts w:cs="Arial"/>
          <w:szCs w:val="24"/>
          <w:lang w:val="en-GB"/>
        </w:rPr>
        <w:t>,</w:t>
      </w:r>
      <w:r w:rsidR="00D5709D" w:rsidRPr="008F717C">
        <w:rPr>
          <w:rFonts w:cs="Arial"/>
          <w:szCs w:val="24"/>
          <w:lang w:val="en-GB"/>
        </w:rPr>
        <w:t xml:space="preserve"> nor </w:t>
      </w:r>
      <w:r w:rsidR="005D282F" w:rsidRPr="008F717C">
        <w:rPr>
          <w:rFonts w:cs="Arial"/>
          <w:szCs w:val="24"/>
          <w:lang w:val="en-GB"/>
        </w:rPr>
        <w:t>could</w:t>
      </w:r>
      <w:r w:rsidR="00D5709D" w:rsidRPr="008F717C">
        <w:rPr>
          <w:rFonts w:cs="Arial"/>
          <w:szCs w:val="24"/>
          <w:lang w:val="en-GB"/>
        </w:rPr>
        <w:t xml:space="preserve"> she say that he was taken against his will</w:t>
      </w:r>
      <w:r w:rsidR="005D282F" w:rsidRPr="008F717C">
        <w:rPr>
          <w:rFonts w:cs="Arial"/>
          <w:szCs w:val="24"/>
          <w:lang w:val="en-GB"/>
        </w:rPr>
        <w:t>, although</w:t>
      </w:r>
      <w:r w:rsidR="00D9670F" w:rsidRPr="008F717C">
        <w:rPr>
          <w:rFonts w:cs="Arial"/>
          <w:szCs w:val="24"/>
          <w:lang w:val="en-GB"/>
        </w:rPr>
        <w:t>, given what happened later, it is unlikely that he went voluntarily.</w:t>
      </w:r>
    </w:p>
    <w:p w14:paraId="39129662" w14:textId="21710FE2" w:rsidR="00D5709D"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12.</w:t>
      </w:r>
      <w:r w:rsidRPr="008F717C">
        <w:rPr>
          <w:rFonts w:cs="Arial"/>
          <w:szCs w:val="24"/>
          <w:lang w:val="en-GB"/>
        </w:rPr>
        <w:tab/>
      </w:r>
      <w:r w:rsidR="00D5709D" w:rsidRPr="008F717C">
        <w:rPr>
          <w:rFonts w:cs="Arial"/>
          <w:szCs w:val="24"/>
          <w:lang w:val="en-GB"/>
        </w:rPr>
        <w:t xml:space="preserve">The </w:t>
      </w:r>
      <w:r w:rsidR="005D282F" w:rsidRPr="008F717C">
        <w:rPr>
          <w:rFonts w:cs="Arial"/>
          <w:szCs w:val="24"/>
          <w:lang w:val="en-GB"/>
        </w:rPr>
        <w:t>next</w:t>
      </w:r>
      <w:r w:rsidR="00D5709D" w:rsidRPr="008F717C">
        <w:rPr>
          <w:rFonts w:cs="Arial"/>
          <w:szCs w:val="24"/>
          <w:lang w:val="en-GB"/>
        </w:rPr>
        <w:t xml:space="preserve"> witness was Mrwebi</w:t>
      </w:r>
      <w:r w:rsidR="00256502" w:rsidRPr="008F717C">
        <w:rPr>
          <w:rFonts w:cs="Arial"/>
          <w:szCs w:val="24"/>
          <w:lang w:val="en-GB"/>
        </w:rPr>
        <w:t>’</w:t>
      </w:r>
      <w:r w:rsidR="00D5709D" w:rsidRPr="008F717C">
        <w:rPr>
          <w:rFonts w:cs="Arial"/>
          <w:szCs w:val="24"/>
          <w:lang w:val="en-GB"/>
        </w:rPr>
        <w:t>s mother (</w:t>
      </w:r>
      <w:r w:rsidR="00C11F87" w:rsidRPr="008F717C">
        <w:rPr>
          <w:rFonts w:cs="Arial"/>
          <w:szCs w:val="24"/>
          <w:lang w:val="en-GB"/>
        </w:rPr>
        <w:t>“</w:t>
      </w:r>
      <w:r w:rsidR="00D5709D" w:rsidRPr="008F717C">
        <w:rPr>
          <w:rFonts w:cs="Arial"/>
          <w:b/>
          <w:bCs/>
          <w:szCs w:val="24"/>
          <w:lang w:val="en-GB"/>
        </w:rPr>
        <w:t>Ms Mrwebi</w:t>
      </w:r>
      <w:r w:rsidR="00C11F87" w:rsidRPr="008F717C">
        <w:rPr>
          <w:rFonts w:cs="Arial"/>
          <w:szCs w:val="24"/>
          <w:lang w:val="en-GB"/>
        </w:rPr>
        <w:t>”</w:t>
      </w:r>
      <w:r w:rsidR="00D5709D" w:rsidRPr="008F717C">
        <w:rPr>
          <w:rFonts w:cs="Arial"/>
          <w:szCs w:val="24"/>
          <w:lang w:val="en-GB"/>
        </w:rPr>
        <w:t>).  She testified that eight people came to her home at approximately 8</w:t>
      </w:r>
      <w:r w:rsidR="00744330" w:rsidRPr="008F717C">
        <w:rPr>
          <w:rFonts w:cs="Arial"/>
          <w:szCs w:val="24"/>
          <w:lang w:val="en-GB"/>
        </w:rPr>
        <w:t>pm</w:t>
      </w:r>
      <w:r w:rsidR="00D5709D" w:rsidRPr="008F717C">
        <w:rPr>
          <w:rFonts w:cs="Arial"/>
          <w:szCs w:val="24"/>
          <w:lang w:val="en-GB"/>
        </w:rPr>
        <w:t xml:space="preserve">, but she was not able to identify who they were.  </w:t>
      </w:r>
      <w:r w:rsidR="005D282F" w:rsidRPr="008F717C">
        <w:rPr>
          <w:rFonts w:cs="Arial"/>
          <w:szCs w:val="24"/>
          <w:lang w:val="en-GB"/>
        </w:rPr>
        <w:t xml:space="preserve">She explained that her </w:t>
      </w:r>
      <w:r w:rsidR="00D5709D" w:rsidRPr="008F717C">
        <w:rPr>
          <w:rFonts w:cs="Arial"/>
          <w:szCs w:val="24"/>
          <w:lang w:val="en-GB"/>
        </w:rPr>
        <w:t>son woke up, left the house and she closed the door.  She was later told</w:t>
      </w:r>
      <w:r w:rsidR="005D282F" w:rsidRPr="008F717C">
        <w:rPr>
          <w:rFonts w:cs="Arial"/>
          <w:szCs w:val="24"/>
          <w:lang w:val="en-GB"/>
        </w:rPr>
        <w:t xml:space="preserve"> by others</w:t>
      </w:r>
      <w:r w:rsidR="00D5709D" w:rsidRPr="008F717C">
        <w:rPr>
          <w:rFonts w:cs="Arial"/>
          <w:szCs w:val="24"/>
          <w:lang w:val="en-GB"/>
        </w:rPr>
        <w:t xml:space="preserve"> that he had been taken by a taxi.</w:t>
      </w:r>
    </w:p>
    <w:p w14:paraId="5320CDB9" w14:textId="0F82A142" w:rsidR="00D5709D"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13.</w:t>
      </w:r>
      <w:r w:rsidRPr="008F717C">
        <w:rPr>
          <w:rFonts w:cs="Arial"/>
          <w:szCs w:val="24"/>
          <w:lang w:val="en-GB"/>
        </w:rPr>
        <w:tab/>
      </w:r>
      <w:r w:rsidR="00D5709D" w:rsidRPr="008F717C">
        <w:rPr>
          <w:rFonts w:cs="Arial"/>
          <w:szCs w:val="24"/>
          <w:lang w:val="en-GB"/>
        </w:rPr>
        <w:t>Swartbooi</w:t>
      </w:r>
      <w:r w:rsidR="00256502" w:rsidRPr="008F717C">
        <w:rPr>
          <w:rFonts w:cs="Arial"/>
          <w:szCs w:val="24"/>
          <w:lang w:val="en-GB"/>
        </w:rPr>
        <w:t>’</w:t>
      </w:r>
      <w:r w:rsidR="00D5709D" w:rsidRPr="008F717C">
        <w:rPr>
          <w:rFonts w:cs="Arial"/>
          <w:szCs w:val="24"/>
          <w:lang w:val="en-GB"/>
        </w:rPr>
        <w:t>s mother (</w:t>
      </w:r>
      <w:r w:rsidR="00C11F87" w:rsidRPr="008F717C">
        <w:rPr>
          <w:rFonts w:cs="Arial"/>
          <w:szCs w:val="24"/>
          <w:lang w:val="en-GB"/>
        </w:rPr>
        <w:t>“</w:t>
      </w:r>
      <w:r w:rsidR="00D5709D" w:rsidRPr="008F717C">
        <w:rPr>
          <w:rFonts w:cs="Arial"/>
          <w:b/>
          <w:bCs/>
          <w:szCs w:val="24"/>
          <w:lang w:val="en-GB"/>
        </w:rPr>
        <w:t>Ms Swartbooi</w:t>
      </w:r>
      <w:r w:rsidR="00C11F87" w:rsidRPr="008F717C">
        <w:rPr>
          <w:rFonts w:cs="Arial"/>
          <w:szCs w:val="24"/>
          <w:lang w:val="en-GB"/>
        </w:rPr>
        <w:t>”</w:t>
      </w:r>
      <w:r w:rsidR="00D5709D" w:rsidRPr="008F717C">
        <w:rPr>
          <w:rFonts w:cs="Arial"/>
          <w:szCs w:val="24"/>
          <w:lang w:val="en-GB"/>
        </w:rPr>
        <w:t>)</w:t>
      </w:r>
      <w:r w:rsidR="00D701C6" w:rsidRPr="008F717C">
        <w:rPr>
          <w:rFonts w:cs="Arial"/>
          <w:szCs w:val="24"/>
          <w:lang w:val="en-GB"/>
        </w:rPr>
        <w:t xml:space="preserve"> was also called</w:t>
      </w:r>
      <w:r w:rsidR="00D5709D" w:rsidRPr="008F717C">
        <w:rPr>
          <w:rFonts w:cs="Arial"/>
          <w:szCs w:val="24"/>
          <w:lang w:val="en-GB"/>
        </w:rPr>
        <w:t xml:space="preserve">.  She testified that her son was taken by gunpoint from his </w:t>
      </w:r>
      <w:r w:rsidR="00C11F87" w:rsidRPr="008F717C">
        <w:rPr>
          <w:rFonts w:cs="Arial"/>
          <w:szCs w:val="24"/>
          <w:lang w:val="en-GB"/>
        </w:rPr>
        <w:t>“</w:t>
      </w:r>
      <w:r w:rsidR="00D5709D" w:rsidRPr="008F717C">
        <w:rPr>
          <w:rFonts w:cs="Arial"/>
          <w:i/>
          <w:iCs/>
          <w:szCs w:val="24"/>
          <w:lang w:val="en-GB"/>
        </w:rPr>
        <w:t>hokkie</w:t>
      </w:r>
      <w:r w:rsidR="00C11F87" w:rsidRPr="008F717C">
        <w:rPr>
          <w:rFonts w:cs="Arial"/>
          <w:szCs w:val="24"/>
          <w:lang w:val="en-GB"/>
        </w:rPr>
        <w:t>”</w:t>
      </w:r>
      <w:r w:rsidR="00D5709D" w:rsidRPr="008F717C">
        <w:rPr>
          <w:rFonts w:cs="Arial"/>
          <w:szCs w:val="24"/>
          <w:lang w:val="en-GB"/>
        </w:rPr>
        <w:t xml:space="preserve"> behind her house</w:t>
      </w:r>
      <w:r w:rsidR="00F460C2" w:rsidRPr="008F717C">
        <w:rPr>
          <w:rFonts w:cs="Arial"/>
          <w:szCs w:val="24"/>
          <w:lang w:val="en-GB"/>
        </w:rPr>
        <w:t xml:space="preserve"> in Phase One, Lusaka,</w:t>
      </w:r>
      <w:r w:rsidR="00D5709D" w:rsidRPr="008F717C">
        <w:rPr>
          <w:rFonts w:cs="Arial"/>
          <w:szCs w:val="24"/>
          <w:lang w:val="en-GB"/>
        </w:rPr>
        <w:t xml:space="preserve"> by a group of men in a Quantum taxi.  </w:t>
      </w:r>
      <w:r w:rsidR="00D701C6" w:rsidRPr="008F717C">
        <w:rPr>
          <w:rFonts w:cs="Arial"/>
          <w:szCs w:val="24"/>
          <w:lang w:val="en-GB"/>
        </w:rPr>
        <w:t xml:space="preserve">However, she </w:t>
      </w:r>
      <w:r w:rsidR="00D5709D" w:rsidRPr="008F717C">
        <w:rPr>
          <w:rFonts w:cs="Arial"/>
          <w:szCs w:val="24"/>
          <w:lang w:val="en-GB"/>
        </w:rPr>
        <w:t>could not identify any</w:t>
      </w:r>
      <w:r w:rsidR="00D701C6" w:rsidRPr="008F717C">
        <w:rPr>
          <w:rFonts w:cs="Arial"/>
          <w:szCs w:val="24"/>
          <w:lang w:val="en-GB"/>
        </w:rPr>
        <w:t xml:space="preserve"> of the men who took her son</w:t>
      </w:r>
      <w:r w:rsidR="00F460C2" w:rsidRPr="008F717C">
        <w:rPr>
          <w:rFonts w:cs="Arial"/>
          <w:szCs w:val="24"/>
          <w:lang w:val="en-GB"/>
        </w:rPr>
        <w:t xml:space="preserve">.  He returned </w:t>
      </w:r>
      <w:r w:rsidR="00D5709D" w:rsidRPr="008F717C">
        <w:rPr>
          <w:rFonts w:cs="Arial"/>
          <w:szCs w:val="24"/>
          <w:lang w:val="en-GB"/>
        </w:rPr>
        <w:t>between 9 and 10</w:t>
      </w:r>
      <w:r w:rsidR="00BC52AC">
        <w:rPr>
          <w:rFonts w:cs="Arial"/>
          <w:szCs w:val="24"/>
          <w:lang w:val="en-GB"/>
        </w:rPr>
        <w:t xml:space="preserve"> </w:t>
      </w:r>
      <w:r w:rsidR="00066FB2">
        <w:rPr>
          <w:rFonts w:cs="Arial"/>
          <w:szCs w:val="24"/>
          <w:lang w:val="en-GB"/>
        </w:rPr>
        <w:t>pm</w:t>
      </w:r>
      <w:r w:rsidR="00D5709D" w:rsidRPr="008F717C">
        <w:rPr>
          <w:rFonts w:cs="Arial"/>
          <w:szCs w:val="24"/>
          <w:lang w:val="en-GB"/>
        </w:rPr>
        <w:t xml:space="preserve"> the same evening.</w:t>
      </w:r>
    </w:p>
    <w:p w14:paraId="054EEAC7" w14:textId="5BE58741" w:rsidR="00A74A8A"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14.</w:t>
      </w:r>
      <w:r w:rsidRPr="008F717C">
        <w:rPr>
          <w:rFonts w:cs="Arial"/>
          <w:szCs w:val="24"/>
          <w:lang w:val="en-GB"/>
        </w:rPr>
        <w:tab/>
      </w:r>
      <w:r w:rsidR="00D5709D" w:rsidRPr="008F717C">
        <w:rPr>
          <w:rFonts w:cs="Arial"/>
          <w:szCs w:val="24"/>
          <w:lang w:val="en-GB"/>
        </w:rPr>
        <w:t>The three mothers</w:t>
      </w:r>
      <w:r w:rsidR="00256502" w:rsidRPr="008F717C">
        <w:rPr>
          <w:rFonts w:cs="Arial"/>
          <w:szCs w:val="24"/>
          <w:lang w:val="en-GB"/>
        </w:rPr>
        <w:t>’</w:t>
      </w:r>
      <w:r w:rsidR="00D5709D" w:rsidRPr="008F717C">
        <w:rPr>
          <w:rFonts w:cs="Arial"/>
          <w:szCs w:val="24"/>
          <w:lang w:val="en-GB"/>
        </w:rPr>
        <w:t xml:space="preserve"> </w:t>
      </w:r>
      <w:r w:rsidR="00A74A8A" w:rsidRPr="008F717C">
        <w:rPr>
          <w:rFonts w:cs="Arial"/>
          <w:szCs w:val="24"/>
          <w:lang w:val="en-GB"/>
        </w:rPr>
        <w:t>testimony</w:t>
      </w:r>
      <w:r w:rsidR="00D5709D" w:rsidRPr="008F717C">
        <w:rPr>
          <w:rFonts w:cs="Arial"/>
          <w:szCs w:val="24"/>
          <w:lang w:val="en-GB"/>
        </w:rPr>
        <w:t>, while it dovetailed with the overall narrative and in that sense had value,</w:t>
      </w:r>
      <w:r w:rsidR="00445B57">
        <w:rPr>
          <w:rFonts w:cs="Arial"/>
          <w:szCs w:val="24"/>
          <w:lang w:val="en-GB"/>
        </w:rPr>
        <w:t xml:space="preserve"> as do pieces of a puzzle,</w:t>
      </w:r>
      <w:r w:rsidR="00D5709D" w:rsidRPr="008F717C">
        <w:rPr>
          <w:rFonts w:cs="Arial"/>
          <w:szCs w:val="24"/>
          <w:lang w:val="en-GB"/>
        </w:rPr>
        <w:t xml:space="preserve"> </w:t>
      </w:r>
      <w:r w:rsidR="00B80229" w:rsidRPr="008F717C">
        <w:rPr>
          <w:rFonts w:cs="Arial"/>
          <w:szCs w:val="24"/>
          <w:lang w:val="en-GB"/>
        </w:rPr>
        <w:t>did not</w:t>
      </w:r>
      <w:r w:rsidR="00A74A8A" w:rsidRPr="008F717C">
        <w:rPr>
          <w:rFonts w:cs="Arial"/>
          <w:szCs w:val="24"/>
          <w:lang w:val="en-GB"/>
        </w:rPr>
        <w:t xml:space="preserve"> address the critical question as to </w:t>
      </w:r>
      <w:r w:rsidR="00FA695B" w:rsidRPr="008F717C">
        <w:rPr>
          <w:rFonts w:cs="Arial"/>
          <w:szCs w:val="24"/>
          <w:lang w:val="en-GB"/>
        </w:rPr>
        <w:t>whether the Accused were involved in the kidnapping of</w:t>
      </w:r>
      <w:r w:rsidR="00B80229" w:rsidRPr="008F717C">
        <w:rPr>
          <w:rFonts w:cs="Arial"/>
          <w:szCs w:val="24"/>
          <w:lang w:val="en-GB"/>
        </w:rPr>
        <w:t xml:space="preserve"> their sons</w:t>
      </w:r>
      <w:r w:rsidR="00A74A8A" w:rsidRPr="008F717C">
        <w:rPr>
          <w:rFonts w:cs="Arial"/>
          <w:szCs w:val="24"/>
          <w:lang w:val="en-GB"/>
        </w:rPr>
        <w:t xml:space="preserve"> on the night.</w:t>
      </w:r>
    </w:p>
    <w:p w14:paraId="041CED64" w14:textId="2B78FF43" w:rsidR="00B80229" w:rsidRPr="008F717C" w:rsidRDefault="000541C6" w:rsidP="000541C6">
      <w:pPr>
        <w:pStyle w:val="Heading2"/>
        <w:numPr>
          <w:ilvl w:val="0"/>
          <w:numId w:val="0"/>
        </w:numPr>
        <w:ind w:left="851" w:hanging="851"/>
        <w:rPr>
          <w:szCs w:val="24"/>
          <w:lang w:val="en-GB"/>
        </w:rPr>
      </w:pPr>
      <w:r w:rsidRPr="008F717C">
        <w:rPr>
          <w:szCs w:val="24"/>
          <w:u w:val="none"/>
          <w:lang w:val="en-GB"/>
        </w:rPr>
        <w:t>(ii)</w:t>
      </w:r>
      <w:r w:rsidRPr="008F717C">
        <w:rPr>
          <w:szCs w:val="24"/>
          <w:u w:val="none"/>
          <w:lang w:val="en-GB"/>
        </w:rPr>
        <w:tab/>
      </w:r>
      <w:r w:rsidR="00B80229" w:rsidRPr="008F717C">
        <w:rPr>
          <w:szCs w:val="24"/>
          <w:lang w:val="en-GB"/>
        </w:rPr>
        <w:t>Williams</w:t>
      </w:r>
    </w:p>
    <w:p w14:paraId="4E07242D" w14:textId="17BF930C" w:rsidR="00B80229" w:rsidRPr="00D33A60" w:rsidRDefault="000541C6" w:rsidP="000541C6">
      <w:pPr>
        <w:pStyle w:val="Level1"/>
        <w:numPr>
          <w:ilvl w:val="0"/>
          <w:numId w:val="0"/>
        </w:numPr>
        <w:ind w:left="851" w:hanging="851"/>
        <w:rPr>
          <w:rFonts w:cs="Arial"/>
          <w:szCs w:val="24"/>
          <w:lang w:val="en-GB"/>
        </w:rPr>
      </w:pPr>
      <w:r w:rsidRPr="00D33A60">
        <w:rPr>
          <w:rFonts w:cs="Arial"/>
          <w:szCs w:val="24"/>
          <w:lang w:val="en-GB"/>
        </w:rPr>
        <w:lastRenderedPageBreak/>
        <w:t>15.</w:t>
      </w:r>
      <w:r w:rsidRPr="00D33A60">
        <w:rPr>
          <w:rFonts w:cs="Arial"/>
          <w:szCs w:val="24"/>
          <w:lang w:val="en-GB"/>
        </w:rPr>
        <w:tab/>
      </w:r>
      <w:r w:rsidR="00A74A8A" w:rsidRPr="00D33A60">
        <w:rPr>
          <w:rFonts w:cs="Arial"/>
          <w:szCs w:val="24"/>
          <w:lang w:val="en-GB"/>
        </w:rPr>
        <w:t xml:space="preserve">Williams </w:t>
      </w:r>
      <w:r w:rsidR="00B80229" w:rsidRPr="00D33A60">
        <w:rPr>
          <w:rFonts w:cs="Arial"/>
          <w:szCs w:val="24"/>
          <w:lang w:val="en-GB"/>
        </w:rPr>
        <w:t xml:space="preserve">identified Mbana, Shoba, </w:t>
      </w:r>
      <w:r w:rsidR="00B80229" w:rsidRPr="00D33A60">
        <w:rPr>
          <w:rFonts w:eastAsiaTheme="minorHAnsi" w:cs="Arial"/>
          <w:bCs/>
          <w:szCs w:val="24"/>
          <w:lang w:val="en-GB"/>
        </w:rPr>
        <w:t xml:space="preserve">Mkunyanya and Mboniswa as the men who chased after Pangwa </w:t>
      </w:r>
      <w:r w:rsidR="00A74A8A" w:rsidRPr="00D33A60">
        <w:rPr>
          <w:rFonts w:eastAsiaTheme="minorHAnsi" w:cs="Arial"/>
          <w:bCs/>
          <w:szCs w:val="24"/>
          <w:lang w:val="en-GB"/>
        </w:rPr>
        <w:t>into the Europe squatter camp</w:t>
      </w:r>
      <w:r w:rsidR="00B80229" w:rsidRPr="00D33A60">
        <w:rPr>
          <w:rFonts w:eastAsiaTheme="minorHAnsi" w:cs="Arial"/>
          <w:bCs/>
          <w:szCs w:val="24"/>
          <w:lang w:val="en-GB"/>
        </w:rPr>
        <w:t>.  The</w:t>
      </w:r>
      <w:r w:rsidR="00A74A8A" w:rsidRPr="00D33A60">
        <w:rPr>
          <w:rFonts w:eastAsiaTheme="minorHAnsi" w:cs="Arial"/>
          <w:bCs/>
          <w:szCs w:val="24"/>
          <w:lang w:val="en-GB"/>
        </w:rPr>
        <w:t>se</w:t>
      </w:r>
      <w:r w:rsidR="00B80229" w:rsidRPr="00D33A60">
        <w:rPr>
          <w:rFonts w:eastAsiaTheme="minorHAnsi" w:cs="Arial"/>
          <w:bCs/>
          <w:szCs w:val="24"/>
          <w:lang w:val="en-GB"/>
        </w:rPr>
        <w:t xml:space="preserve"> men were known to her </w:t>
      </w:r>
      <w:r w:rsidR="00EE45DB" w:rsidRPr="00D33A60">
        <w:rPr>
          <w:rFonts w:eastAsiaTheme="minorHAnsi" w:cs="Arial"/>
          <w:bCs/>
          <w:szCs w:val="24"/>
          <w:lang w:val="en-GB"/>
        </w:rPr>
        <w:t xml:space="preserve">as </w:t>
      </w:r>
      <w:r w:rsidR="00A74A8A" w:rsidRPr="00D33A60">
        <w:rPr>
          <w:rFonts w:eastAsiaTheme="minorHAnsi" w:cs="Arial"/>
          <w:bCs/>
          <w:szCs w:val="24"/>
          <w:lang w:val="en-GB"/>
        </w:rPr>
        <w:t>they were fellow employees.</w:t>
      </w:r>
      <w:r w:rsidR="00D33A60" w:rsidRPr="00D33A60">
        <w:rPr>
          <w:rFonts w:eastAsiaTheme="minorHAnsi" w:cs="Arial"/>
          <w:bCs/>
          <w:szCs w:val="24"/>
          <w:lang w:val="en-GB"/>
        </w:rPr>
        <w:t xml:space="preserve"> </w:t>
      </w:r>
      <w:r w:rsidR="00744330" w:rsidRPr="00D33A60">
        <w:rPr>
          <w:rFonts w:eastAsiaTheme="minorHAnsi" w:cs="Arial"/>
          <w:bCs/>
          <w:szCs w:val="24"/>
          <w:lang w:val="en-GB"/>
        </w:rPr>
        <w:t>A</w:t>
      </w:r>
      <w:r w:rsidR="00B80229" w:rsidRPr="00D33A60">
        <w:rPr>
          <w:rFonts w:eastAsiaTheme="minorHAnsi" w:cs="Arial"/>
          <w:bCs/>
          <w:szCs w:val="24"/>
          <w:lang w:val="en-GB"/>
        </w:rPr>
        <w:t>fter the incident,</w:t>
      </w:r>
      <w:r w:rsidR="00744330" w:rsidRPr="00D33A60">
        <w:rPr>
          <w:rFonts w:eastAsiaTheme="minorHAnsi" w:cs="Arial"/>
          <w:bCs/>
          <w:szCs w:val="24"/>
          <w:lang w:val="en-GB"/>
        </w:rPr>
        <w:t xml:space="preserve"> </w:t>
      </w:r>
      <w:r w:rsidR="00D33A60">
        <w:rPr>
          <w:rFonts w:eastAsiaTheme="minorHAnsi" w:cs="Arial"/>
          <w:bCs/>
          <w:szCs w:val="24"/>
          <w:lang w:val="en-GB"/>
        </w:rPr>
        <w:t>she</w:t>
      </w:r>
      <w:r w:rsidR="00B80229" w:rsidRPr="00D33A60">
        <w:rPr>
          <w:rFonts w:eastAsiaTheme="minorHAnsi" w:cs="Arial"/>
          <w:bCs/>
          <w:szCs w:val="24"/>
          <w:lang w:val="en-GB"/>
        </w:rPr>
        <w:t xml:space="preserve"> went to work where she called</w:t>
      </w:r>
      <w:r w:rsidR="00EB1EB0" w:rsidRPr="00D33A60">
        <w:rPr>
          <w:rFonts w:eastAsiaTheme="minorHAnsi" w:cs="Arial"/>
          <w:bCs/>
          <w:szCs w:val="24"/>
          <w:lang w:val="en-GB"/>
        </w:rPr>
        <w:t xml:space="preserve"> </w:t>
      </w:r>
      <w:r w:rsidR="00B80229" w:rsidRPr="00D33A60">
        <w:rPr>
          <w:rFonts w:eastAsiaTheme="minorHAnsi" w:cs="Arial"/>
          <w:bCs/>
          <w:szCs w:val="24"/>
          <w:lang w:val="en-GB"/>
        </w:rPr>
        <w:t>Mtsholotsholo</w:t>
      </w:r>
      <w:r w:rsidR="00EB1EB0" w:rsidRPr="00D33A60">
        <w:rPr>
          <w:rFonts w:eastAsiaTheme="minorHAnsi" w:cs="Arial"/>
          <w:bCs/>
          <w:szCs w:val="24"/>
          <w:lang w:val="en-GB"/>
        </w:rPr>
        <w:t>,</w:t>
      </w:r>
      <w:r w:rsidR="00B80229" w:rsidRPr="00D33A60">
        <w:rPr>
          <w:rFonts w:eastAsiaTheme="minorHAnsi" w:cs="Arial"/>
          <w:bCs/>
          <w:szCs w:val="24"/>
          <w:lang w:val="en-GB"/>
        </w:rPr>
        <w:t xml:space="preserve"> and told him of the theft. </w:t>
      </w:r>
      <w:r w:rsidR="00D33A60">
        <w:rPr>
          <w:rFonts w:eastAsiaTheme="minorHAnsi" w:cs="Arial"/>
          <w:bCs/>
          <w:szCs w:val="24"/>
          <w:lang w:val="en-GB"/>
        </w:rPr>
        <w:t>Later, after</w:t>
      </w:r>
      <w:r w:rsidR="00B80229" w:rsidRPr="00D33A60">
        <w:rPr>
          <w:rFonts w:eastAsiaTheme="minorHAnsi" w:cs="Arial"/>
          <w:bCs/>
          <w:szCs w:val="24"/>
          <w:lang w:val="en-GB"/>
        </w:rPr>
        <w:t xml:space="preserve"> work</w:t>
      </w:r>
      <w:r w:rsidR="00EB1EB0" w:rsidRPr="00D33A60">
        <w:rPr>
          <w:rFonts w:eastAsiaTheme="minorHAnsi" w:cs="Arial"/>
          <w:bCs/>
          <w:szCs w:val="24"/>
          <w:lang w:val="en-GB"/>
        </w:rPr>
        <w:t>,</w:t>
      </w:r>
      <w:r w:rsidR="00B80229" w:rsidRPr="00D33A60">
        <w:rPr>
          <w:rFonts w:eastAsiaTheme="minorHAnsi" w:cs="Arial"/>
          <w:bCs/>
          <w:szCs w:val="24"/>
          <w:lang w:val="en-GB"/>
        </w:rPr>
        <w:t xml:space="preserve"> Mtsholotsholo and Manana</w:t>
      </w:r>
      <w:r w:rsidR="00D33A60">
        <w:rPr>
          <w:rFonts w:eastAsiaTheme="minorHAnsi" w:cs="Arial"/>
          <w:bCs/>
          <w:szCs w:val="24"/>
          <w:lang w:val="en-GB"/>
        </w:rPr>
        <w:t xml:space="preserve">, who was not part of the group who chased Pangwa, </w:t>
      </w:r>
      <w:r w:rsidR="00B80229" w:rsidRPr="00D33A60">
        <w:rPr>
          <w:rFonts w:eastAsiaTheme="minorHAnsi" w:cs="Arial"/>
          <w:bCs/>
          <w:szCs w:val="24"/>
          <w:lang w:val="en-GB"/>
        </w:rPr>
        <w:t xml:space="preserve">came to her at the home of her friend, Ntombi, who had cared for her child that day.  After a short discussion </w:t>
      </w:r>
      <w:r w:rsidR="00744330" w:rsidRPr="00D33A60">
        <w:rPr>
          <w:rFonts w:eastAsiaTheme="minorHAnsi" w:cs="Arial"/>
          <w:bCs/>
          <w:szCs w:val="24"/>
          <w:lang w:val="en-GB"/>
        </w:rPr>
        <w:t xml:space="preserve">the two men </w:t>
      </w:r>
      <w:r w:rsidR="00B80229" w:rsidRPr="00D33A60">
        <w:rPr>
          <w:rFonts w:eastAsiaTheme="minorHAnsi" w:cs="Arial"/>
          <w:bCs/>
          <w:szCs w:val="24"/>
          <w:lang w:val="en-GB"/>
        </w:rPr>
        <w:t>left in the taxi</w:t>
      </w:r>
      <w:r w:rsidR="00FD7326" w:rsidRPr="00D33A60">
        <w:rPr>
          <w:rFonts w:eastAsiaTheme="minorHAnsi" w:cs="Arial"/>
          <w:bCs/>
          <w:szCs w:val="24"/>
          <w:lang w:val="en-GB"/>
        </w:rPr>
        <w:t>,</w:t>
      </w:r>
      <w:r w:rsidR="00B80229" w:rsidRPr="00D33A60">
        <w:rPr>
          <w:rFonts w:eastAsiaTheme="minorHAnsi" w:cs="Arial"/>
          <w:bCs/>
          <w:szCs w:val="24"/>
          <w:lang w:val="en-GB"/>
        </w:rPr>
        <w:t xml:space="preserve"> </w:t>
      </w:r>
      <w:r w:rsidR="00FD7326" w:rsidRPr="00D33A60">
        <w:rPr>
          <w:rFonts w:eastAsiaTheme="minorHAnsi" w:cs="Arial"/>
          <w:bCs/>
          <w:szCs w:val="24"/>
          <w:lang w:val="en-GB"/>
        </w:rPr>
        <w:t xml:space="preserve">returning approximately </w:t>
      </w:r>
      <w:r w:rsidR="00B80229" w:rsidRPr="00D33A60">
        <w:rPr>
          <w:rFonts w:eastAsiaTheme="minorHAnsi" w:cs="Arial"/>
          <w:bCs/>
          <w:szCs w:val="24"/>
          <w:lang w:val="en-GB"/>
        </w:rPr>
        <w:t>ten minutes later with Mbana, Mkunyanya</w:t>
      </w:r>
      <w:r w:rsidR="00866574">
        <w:rPr>
          <w:rFonts w:eastAsiaTheme="minorHAnsi" w:cs="Arial"/>
          <w:bCs/>
          <w:szCs w:val="24"/>
          <w:lang w:val="en-GB"/>
        </w:rPr>
        <w:t xml:space="preserve">, Shoba and </w:t>
      </w:r>
      <w:r w:rsidR="00B80229" w:rsidRPr="00D33A60">
        <w:rPr>
          <w:rFonts w:eastAsiaTheme="minorHAnsi" w:cs="Arial"/>
          <w:bCs/>
          <w:szCs w:val="24"/>
          <w:lang w:val="en-GB"/>
        </w:rPr>
        <w:t xml:space="preserve">Mboniswa.  </w:t>
      </w:r>
      <w:r w:rsidR="00EB1EB0" w:rsidRPr="00D33A60">
        <w:rPr>
          <w:rFonts w:eastAsiaTheme="minorHAnsi" w:cs="Arial"/>
          <w:bCs/>
          <w:szCs w:val="24"/>
          <w:lang w:val="en-GB"/>
        </w:rPr>
        <w:t xml:space="preserve">Williams </w:t>
      </w:r>
      <w:r w:rsidR="00FD7326" w:rsidRPr="00D33A60">
        <w:rPr>
          <w:rFonts w:eastAsiaTheme="minorHAnsi" w:cs="Arial"/>
          <w:bCs/>
          <w:szCs w:val="24"/>
          <w:lang w:val="en-GB"/>
        </w:rPr>
        <w:t>then</w:t>
      </w:r>
      <w:r w:rsidR="00EB1EB0" w:rsidRPr="00D33A60">
        <w:rPr>
          <w:rFonts w:eastAsiaTheme="minorHAnsi" w:cs="Arial"/>
          <w:bCs/>
          <w:szCs w:val="24"/>
          <w:lang w:val="en-GB"/>
        </w:rPr>
        <w:t xml:space="preserve"> went with the </w:t>
      </w:r>
      <w:r w:rsidR="00FD7326" w:rsidRPr="00D33A60">
        <w:rPr>
          <w:rFonts w:eastAsiaTheme="minorHAnsi" w:cs="Arial"/>
          <w:bCs/>
          <w:szCs w:val="24"/>
          <w:lang w:val="en-GB"/>
        </w:rPr>
        <w:t>men</w:t>
      </w:r>
      <w:r w:rsidR="00EB1EB0" w:rsidRPr="00D33A60">
        <w:rPr>
          <w:rFonts w:eastAsiaTheme="minorHAnsi" w:cs="Arial"/>
          <w:bCs/>
          <w:szCs w:val="24"/>
          <w:lang w:val="en-GB"/>
        </w:rPr>
        <w:t xml:space="preserve"> in the taxi</w:t>
      </w:r>
      <w:r w:rsidR="00FD7326" w:rsidRPr="00D33A60">
        <w:rPr>
          <w:rFonts w:eastAsiaTheme="minorHAnsi" w:cs="Arial"/>
          <w:bCs/>
          <w:szCs w:val="24"/>
          <w:lang w:val="en-GB"/>
        </w:rPr>
        <w:t xml:space="preserve"> to</w:t>
      </w:r>
      <w:r w:rsidR="00B80229" w:rsidRPr="00D33A60">
        <w:rPr>
          <w:rFonts w:eastAsiaTheme="minorHAnsi" w:cs="Arial"/>
          <w:bCs/>
          <w:szCs w:val="24"/>
          <w:lang w:val="en-GB"/>
        </w:rPr>
        <w:t xml:space="preserve"> Swartbooi</w:t>
      </w:r>
      <w:r w:rsidR="00256502" w:rsidRPr="00D33A60">
        <w:rPr>
          <w:rFonts w:eastAsiaTheme="minorHAnsi" w:cs="Arial"/>
          <w:bCs/>
          <w:szCs w:val="24"/>
          <w:lang w:val="en-GB"/>
        </w:rPr>
        <w:t>’</w:t>
      </w:r>
      <w:r w:rsidR="00B80229" w:rsidRPr="00D33A60">
        <w:rPr>
          <w:rFonts w:eastAsiaTheme="minorHAnsi" w:cs="Arial"/>
          <w:bCs/>
          <w:szCs w:val="24"/>
          <w:lang w:val="en-GB"/>
        </w:rPr>
        <w:t>s mother</w:t>
      </w:r>
      <w:r w:rsidR="00256502" w:rsidRPr="00D33A60">
        <w:rPr>
          <w:rFonts w:eastAsiaTheme="minorHAnsi" w:cs="Arial"/>
          <w:bCs/>
          <w:szCs w:val="24"/>
          <w:lang w:val="en-GB"/>
        </w:rPr>
        <w:t>’</w:t>
      </w:r>
      <w:r w:rsidR="00B80229" w:rsidRPr="00D33A60">
        <w:rPr>
          <w:rFonts w:eastAsiaTheme="minorHAnsi" w:cs="Arial"/>
          <w:bCs/>
          <w:szCs w:val="24"/>
          <w:lang w:val="en-GB"/>
        </w:rPr>
        <w:t>s home</w:t>
      </w:r>
      <w:r w:rsidR="00EB1EB0" w:rsidRPr="00D33A60">
        <w:rPr>
          <w:rFonts w:eastAsiaTheme="minorHAnsi" w:cs="Arial"/>
          <w:bCs/>
          <w:szCs w:val="24"/>
          <w:lang w:val="en-GB"/>
        </w:rPr>
        <w:t xml:space="preserve">, where </w:t>
      </w:r>
      <w:r w:rsidR="00B80229" w:rsidRPr="00D33A60">
        <w:rPr>
          <w:rFonts w:eastAsiaTheme="minorHAnsi" w:cs="Arial"/>
          <w:bCs/>
          <w:szCs w:val="24"/>
          <w:lang w:val="en-GB"/>
        </w:rPr>
        <w:t xml:space="preserve">Mtsholotsholo got out of the taxi and returned with Swartbooi.  </w:t>
      </w:r>
      <w:r w:rsidR="00EB1EB0" w:rsidRPr="00D33A60">
        <w:rPr>
          <w:rFonts w:eastAsiaTheme="minorHAnsi" w:cs="Arial"/>
          <w:bCs/>
          <w:szCs w:val="24"/>
          <w:lang w:val="en-GB"/>
        </w:rPr>
        <w:t xml:space="preserve">Mtsholotsholo did not act alone, but </w:t>
      </w:r>
      <w:r w:rsidR="00B80229" w:rsidRPr="00D33A60">
        <w:rPr>
          <w:rFonts w:eastAsiaTheme="minorHAnsi" w:cs="Arial"/>
          <w:bCs/>
          <w:szCs w:val="24"/>
          <w:lang w:val="en-GB"/>
        </w:rPr>
        <w:t>Williams could not recall wh</w:t>
      </w:r>
      <w:r w:rsidR="00EB1EB0" w:rsidRPr="00D33A60">
        <w:rPr>
          <w:rFonts w:eastAsiaTheme="minorHAnsi" w:cs="Arial"/>
          <w:bCs/>
          <w:szCs w:val="24"/>
          <w:lang w:val="en-GB"/>
        </w:rPr>
        <w:t>o</w:t>
      </w:r>
      <w:r w:rsidR="00B80229" w:rsidRPr="00D33A60">
        <w:rPr>
          <w:rFonts w:eastAsiaTheme="minorHAnsi" w:cs="Arial"/>
          <w:bCs/>
          <w:szCs w:val="24"/>
          <w:lang w:val="en-GB"/>
        </w:rPr>
        <w:t xml:space="preserve"> assisted him</w:t>
      </w:r>
      <w:r w:rsidR="00EB1EB0" w:rsidRPr="00D33A60">
        <w:rPr>
          <w:rFonts w:eastAsiaTheme="minorHAnsi" w:cs="Arial"/>
          <w:bCs/>
          <w:szCs w:val="24"/>
          <w:lang w:val="en-GB"/>
        </w:rPr>
        <w:t xml:space="preserve"> in fetching Swartbooi and getting him into the taxi</w:t>
      </w:r>
      <w:r w:rsidR="00B80229" w:rsidRPr="00D33A60">
        <w:rPr>
          <w:rFonts w:eastAsiaTheme="minorHAnsi" w:cs="Arial"/>
          <w:bCs/>
          <w:szCs w:val="24"/>
          <w:lang w:val="en-GB"/>
        </w:rPr>
        <w:t>.</w:t>
      </w:r>
    </w:p>
    <w:p w14:paraId="13EE2C39" w14:textId="03E588D9" w:rsidR="00164870"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16.</w:t>
      </w:r>
      <w:r w:rsidRPr="008F717C">
        <w:rPr>
          <w:rFonts w:cs="Arial"/>
          <w:szCs w:val="24"/>
          <w:lang w:val="en-GB"/>
        </w:rPr>
        <w:tab/>
      </w:r>
      <w:r w:rsidR="00164870" w:rsidRPr="008F717C">
        <w:rPr>
          <w:rFonts w:eastAsiaTheme="minorHAnsi" w:cs="Arial"/>
          <w:bCs/>
          <w:szCs w:val="24"/>
          <w:lang w:val="en-GB"/>
        </w:rPr>
        <w:t>At this point Williams got out of the taxi and returned to Ntombi</w:t>
      </w:r>
      <w:r w:rsidR="00256502" w:rsidRPr="008F717C">
        <w:rPr>
          <w:rFonts w:eastAsiaTheme="minorHAnsi" w:cs="Arial"/>
          <w:bCs/>
          <w:szCs w:val="24"/>
          <w:lang w:val="en-GB"/>
        </w:rPr>
        <w:t>’</w:t>
      </w:r>
      <w:r w:rsidR="00164870" w:rsidRPr="008F717C">
        <w:rPr>
          <w:rFonts w:eastAsiaTheme="minorHAnsi" w:cs="Arial"/>
          <w:bCs/>
          <w:szCs w:val="24"/>
          <w:lang w:val="en-GB"/>
        </w:rPr>
        <w:t>s home</w:t>
      </w:r>
      <w:r w:rsidR="00443EF4" w:rsidRPr="008F717C">
        <w:rPr>
          <w:rFonts w:eastAsiaTheme="minorHAnsi" w:cs="Arial"/>
          <w:bCs/>
          <w:szCs w:val="24"/>
          <w:lang w:val="en-GB"/>
        </w:rPr>
        <w:t xml:space="preserve">. </w:t>
      </w:r>
      <w:r w:rsidR="00164870" w:rsidRPr="008F717C">
        <w:rPr>
          <w:rFonts w:eastAsiaTheme="minorHAnsi" w:cs="Arial"/>
          <w:bCs/>
          <w:szCs w:val="24"/>
          <w:lang w:val="en-GB"/>
        </w:rPr>
        <w:t xml:space="preserve"> </w:t>
      </w:r>
      <w:r w:rsidR="00795031" w:rsidRPr="008F717C">
        <w:rPr>
          <w:rFonts w:eastAsiaTheme="minorHAnsi" w:cs="Arial"/>
          <w:bCs/>
          <w:szCs w:val="24"/>
          <w:lang w:val="en-GB"/>
        </w:rPr>
        <w:t>Approximately ten minutes later</w:t>
      </w:r>
      <w:r w:rsidR="00866574">
        <w:rPr>
          <w:rFonts w:eastAsiaTheme="minorHAnsi" w:cs="Arial"/>
          <w:bCs/>
          <w:szCs w:val="24"/>
          <w:lang w:val="en-GB"/>
        </w:rPr>
        <w:t xml:space="preserve"> </w:t>
      </w:r>
      <w:r w:rsidR="009566D0">
        <w:rPr>
          <w:rFonts w:eastAsiaTheme="minorHAnsi" w:cs="Arial"/>
          <w:bCs/>
          <w:szCs w:val="24"/>
          <w:lang w:val="en-GB"/>
        </w:rPr>
        <w:t>Mtsholotsholo</w:t>
      </w:r>
      <w:r w:rsidR="00866574">
        <w:rPr>
          <w:rFonts w:eastAsiaTheme="minorHAnsi" w:cs="Arial"/>
          <w:bCs/>
          <w:szCs w:val="24"/>
          <w:lang w:val="en-GB"/>
        </w:rPr>
        <w:t xml:space="preserve"> </w:t>
      </w:r>
      <w:r w:rsidR="004653F2" w:rsidRPr="008F717C">
        <w:rPr>
          <w:rFonts w:eastAsiaTheme="minorHAnsi" w:cs="Arial"/>
          <w:bCs/>
          <w:szCs w:val="24"/>
          <w:lang w:val="en-GB"/>
        </w:rPr>
        <w:t>returned</w:t>
      </w:r>
      <w:r w:rsidR="00795031" w:rsidRPr="008F717C">
        <w:rPr>
          <w:rFonts w:eastAsiaTheme="minorHAnsi" w:cs="Arial"/>
          <w:bCs/>
          <w:szCs w:val="24"/>
          <w:lang w:val="en-GB"/>
        </w:rPr>
        <w:t xml:space="preserve"> to Ntombi</w:t>
      </w:r>
      <w:r w:rsidR="00256502" w:rsidRPr="008F717C">
        <w:rPr>
          <w:rFonts w:eastAsiaTheme="minorHAnsi" w:cs="Arial"/>
          <w:bCs/>
          <w:szCs w:val="24"/>
          <w:lang w:val="en-GB"/>
        </w:rPr>
        <w:t>’</w:t>
      </w:r>
      <w:r w:rsidR="00795031" w:rsidRPr="008F717C">
        <w:rPr>
          <w:rFonts w:eastAsiaTheme="minorHAnsi" w:cs="Arial"/>
          <w:bCs/>
          <w:szCs w:val="24"/>
          <w:lang w:val="en-GB"/>
        </w:rPr>
        <w:t>s home</w:t>
      </w:r>
      <w:r w:rsidR="004E60F7" w:rsidRPr="008F717C">
        <w:rPr>
          <w:rFonts w:eastAsiaTheme="minorHAnsi" w:cs="Arial"/>
          <w:bCs/>
          <w:szCs w:val="24"/>
          <w:lang w:val="en-GB"/>
        </w:rPr>
        <w:t>, with Mrwebi</w:t>
      </w:r>
      <w:r w:rsidR="00D33A60">
        <w:rPr>
          <w:rFonts w:eastAsiaTheme="minorHAnsi" w:cs="Arial"/>
          <w:bCs/>
          <w:szCs w:val="24"/>
          <w:lang w:val="en-GB"/>
        </w:rPr>
        <w:t>.</w:t>
      </w:r>
      <w:r w:rsidR="004E60F7" w:rsidRPr="008F717C">
        <w:rPr>
          <w:rFonts w:eastAsiaTheme="minorHAnsi" w:cs="Arial"/>
          <w:bCs/>
          <w:szCs w:val="24"/>
          <w:lang w:val="en-GB"/>
        </w:rPr>
        <w:t xml:space="preserve"> Williams identified Mrwebi as someone “</w:t>
      </w:r>
      <w:r w:rsidR="004E60F7" w:rsidRPr="008F717C">
        <w:rPr>
          <w:rFonts w:eastAsiaTheme="minorHAnsi" w:cs="Arial"/>
          <w:bCs/>
          <w:i/>
          <w:iCs/>
          <w:szCs w:val="24"/>
          <w:lang w:val="en-GB"/>
        </w:rPr>
        <w:t>also present</w:t>
      </w:r>
      <w:r w:rsidR="004E60F7" w:rsidRPr="008F717C">
        <w:rPr>
          <w:rFonts w:eastAsiaTheme="minorHAnsi" w:cs="Arial"/>
          <w:bCs/>
          <w:szCs w:val="24"/>
          <w:lang w:val="en-GB"/>
        </w:rPr>
        <w:t>” when her cell phone was stolen</w:t>
      </w:r>
      <w:r w:rsidR="00443EF4" w:rsidRPr="008F717C">
        <w:rPr>
          <w:rFonts w:eastAsiaTheme="minorHAnsi" w:cs="Arial"/>
          <w:bCs/>
          <w:szCs w:val="24"/>
          <w:lang w:val="en-GB"/>
        </w:rPr>
        <w:t xml:space="preserve">. </w:t>
      </w:r>
      <w:r w:rsidR="00313134" w:rsidRPr="008F717C">
        <w:rPr>
          <w:rFonts w:eastAsiaTheme="minorHAnsi" w:cs="Arial"/>
          <w:bCs/>
          <w:szCs w:val="24"/>
          <w:lang w:val="en-GB"/>
        </w:rPr>
        <w:t xml:space="preserve"> </w:t>
      </w:r>
      <w:r w:rsidR="00795031" w:rsidRPr="008F717C">
        <w:rPr>
          <w:rFonts w:eastAsiaTheme="minorHAnsi" w:cs="Arial"/>
          <w:bCs/>
          <w:szCs w:val="24"/>
          <w:lang w:val="en-GB"/>
        </w:rPr>
        <w:t xml:space="preserve">When the taxi left, </w:t>
      </w:r>
      <w:r w:rsidR="00313134" w:rsidRPr="008F717C">
        <w:rPr>
          <w:rFonts w:eastAsiaTheme="minorHAnsi" w:cs="Arial"/>
          <w:bCs/>
          <w:szCs w:val="24"/>
          <w:lang w:val="en-GB"/>
        </w:rPr>
        <w:t xml:space="preserve">Williams </w:t>
      </w:r>
      <w:r w:rsidR="00795031" w:rsidRPr="008F717C">
        <w:rPr>
          <w:rFonts w:eastAsiaTheme="minorHAnsi" w:cs="Arial"/>
          <w:bCs/>
          <w:szCs w:val="24"/>
          <w:lang w:val="en-GB"/>
        </w:rPr>
        <w:t xml:space="preserve">stayed behind </w:t>
      </w:r>
      <w:r w:rsidR="00313134" w:rsidRPr="008F717C">
        <w:rPr>
          <w:rFonts w:eastAsiaTheme="minorHAnsi" w:cs="Arial"/>
          <w:bCs/>
          <w:szCs w:val="24"/>
          <w:lang w:val="en-GB"/>
        </w:rPr>
        <w:t xml:space="preserve">and had no more contact with the group of men other than a telephone conversation with Mtsholotsholo whilst he was driving.  </w:t>
      </w:r>
      <w:r w:rsidR="00795031" w:rsidRPr="008F717C">
        <w:rPr>
          <w:rFonts w:eastAsiaTheme="minorHAnsi" w:cs="Arial"/>
          <w:bCs/>
          <w:szCs w:val="24"/>
          <w:lang w:val="en-GB"/>
        </w:rPr>
        <w:t>Williams was uncomfortable with what was happening.  She</w:t>
      </w:r>
      <w:r w:rsidR="00313134" w:rsidRPr="008F717C">
        <w:rPr>
          <w:rFonts w:eastAsiaTheme="minorHAnsi" w:cs="Arial"/>
          <w:bCs/>
          <w:szCs w:val="24"/>
          <w:lang w:val="en-GB"/>
        </w:rPr>
        <w:t xml:space="preserve"> told Mtsholotsholo that </w:t>
      </w:r>
      <w:r w:rsidR="00C11F87" w:rsidRPr="008F717C">
        <w:rPr>
          <w:rFonts w:eastAsiaTheme="minorHAnsi" w:cs="Arial"/>
          <w:bCs/>
          <w:szCs w:val="24"/>
          <w:lang w:val="en-GB"/>
        </w:rPr>
        <w:t>“</w:t>
      </w:r>
      <w:r w:rsidR="00313134" w:rsidRPr="008F717C">
        <w:rPr>
          <w:rFonts w:eastAsiaTheme="minorHAnsi" w:cs="Arial"/>
          <w:bCs/>
          <w:i/>
          <w:iCs/>
          <w:szCs w:val="24"/>
          <w:lang w:val="en-GB"/>
        </w:rPr>
        <w:t>If they did not give you the phone, just leave them</w:t>
      </w:r>
      <w:r w:rsidR="00C11F87" w:rsidRPr="008F717C">
        <w:rPr>
          <w:rFonts w:eastAsiaTheme="minorHAnsi" w:cs="Arial"/>
          <w:bCs/>
          <w:szCs w:val="24"/>
          <w:lang w:val="en-GB"/>
        </w:rPr>
        <w:t>”</w:t>
      </w:r>
      <w:r w:rsidR="00313134" w:rsidRPr="008F717C">
        <w:rPr>
          <w:rFonts w:eastAsiaTheme="minorHAnsi" w:cs="Arial"/>
          <w:bCs/>
          <w:szCs w:val="24"/>
          <w:lang w:val="en-GB"/>
        </w:rPr>
        <w:t>.</w:t>
      </w:r>
    </w:p>
    <w:p w14:paraId="797674E8" w14:textId="3230597B" w:rsidR="00B47E57" w:rsidRPr="00866574" w:rsidRDefault="000541C6" w:rsidP="000541C6">
      <w:pPr>
        <w:pStyle w:val="Level1"/>
        <w:numPr>
          <w:ilvl w:val="0"/>
          <w:numId w:val="0"/>
        </w:numPr>
        <w:ind w:left="851" w:hanging="851"/>
        <w:rPr>
          <w:rFonts w:cs="Arial"/>
          <w:szCs w:val="24"/>
          <w:lang w:val="en-GB"/>
        </w:rPr>
      </w:pPr>
      <w:r w:rsidRPr="00866574">
        <w:rPr>
          <w:rFonts w:cs="Arial"/>
          <w:szCs w:val="24"/>
          <w:lang w:val="en-GB"/>
        </w:rPr>
        <w:t>17.</w:t>
      </w:r>
      <w:r w:rsidRPr="00866574">
        <w:rPr>
          <w:rFonts w:cs="Arial"/>
          <w:szCs w:val="24"/>
          <w:lang w:val="en-GB"/>
        </w:rPr>
        <w:tab/>
      </w:r>
      <w:r w:rsidR="00B47E57" w:rsidRPr="00866574">
        <w:rPr>
          <w:rFonts w:eastAsiaTheme="minorHAnsi" w:cs="Arial"/>
          <w:bCs/>
          <w:szCs w:val="24"/>
          <w:lang w:val="en-GB"/>
        </w:rPr>
        <w:t>Williams</w:t>
      </w:r>
      <w:r w:rsidR="00256502" w:rsidRPr="00866574">
        <w:rPr>
          <w:rFonts w:eastAsiaTheme="minorHAnsi" w:cs="Arial"/>
          <w:bCs/>
          <w:szCs w:val="24"/>
          <w:lang w:val="en-GB"/>
        </w:rPr>
        <w:t>’</w:t>
      </w:r>
      <w:r w:rsidR="00A9739A" w:rsidRPr="00866574">
        <w:rPr>
          <w:rFonts w:eastAsiaTheme="minorHAnsi" w:cs="Arial"/>
          <w:bCs/>
          <w:szCs w:val="24"/>
          <w:lang w:val="en-GB"/>
        </w:rPr>
        <w:t xml:space="preserve"> oral</w:t>
      </w:r>
      <w:r w:rsidR="00B47E57" w:rsidRPr="00866574">
        <w:rPr>
          <w:rFonts w:eastAsiaTheme="minorHAnsi" w:cs="Arial"/>
          <w:bCs/>
          <w:szCs w:val="24"/>
          <w:lang w:val="en-GB"/>
        </w:rPr>
        <w:t xml:space="preserve"> evidence</w:t>
      </w:r>
      <w:r w:rsidR="00795031" w:rsidRPr="00866574">
        <w:rPr>
          <w:rFonts w:eastAsiaTheme="minorHAnsi" w:cs="Arial"/>
          <w:bCs/>
          <w:szCs w:val="24"/>
          <w:lang w:val="en-GB"/>
        </w:rPr>
        <w:t>, as was the case with the mothers, dovetailed with the overall n</w:t>
      </w:r>
      <w:r w:rsidR="00B47E57" w:rsidRPr="00866574">
        <w:rPr>
          <w:rFonts w:eastAsiaTheme="minorHAnsi" w:cs="Arial"/>
          <w:bCs/>
          <w:szCs w:val="24"/>
          <w:lang w:val="en-GB"/>
        </w:rPr>
        <w:t>arrative</w:t>
      </w:r>
      <w:r w:rsidR="00795031" w:rsidRPr="00866574">
        <w:rPr>
          <w:rFonts w:eastAsiaTheme="minorHAnsi" w:cs="Arial"/>
          <w:bCs/>
          <w:szCs w:val="24"/>
          <w:lang w:val="en-GB"/>
        </w:rPr>
        <w:t xml:space="preserve"> of what happened from the morning to the night.  </w:t>
      </w:r>
      <w:r w:rsidR="00C1306D" w:rsidRPr="00866574">
        <w:rPr>
          <w:rFonts w:eastAsiaTheme="minorHAnsi" w:cs="Arial"/>
          <w:bCs/>
          <w:szCs w:val="24"/>
          <w:lang w:val="en-GB"/>
        </w:rPr>
        <w:t xml:space="preserve">While </w:t>
      </w:r>
      <w:r w:rsidR="00210EDC" w:rsidRPr="00866574">
        <w:rPr>
          <w:rFonts w:eastAsiaTheme="minorHAnsi" w:cs="Arial"/>
          <w:bCs/>
          <w:szCs w:val="24"/>
          <w:lang w:val="en-GB"/>
        </w:rPr>
        <w:t>she</w:t>
      </w:r>
      <w:r w:rsidR="00B47E57" w:rsidRPr="00866574">
        <w:rPr>
          <w:rFonts w:eastAsiaTheme="minorHAnsi" w:cs="Arial"/>
          <w:bCs/>
          <w:szCs w:val="24"/>
          <w:lang w:val="en-GB"/>
        </w:rPr>
        <w:t xml:space="preserve"> placed all the Accused in the taxi with Swartbooi, Mrwebi, Mtsholotsholo and Siphamandla</w:t>
      </w:r>
      <w:r w:rsidR="00C1306D" w:rsidRPr="00866574">
        <w:rPr>
          <w:rFonts w:eastAsiaTheme="minorHAnsi" w:cs="Arial"/>
          <w:bCs/>
          <w:szCs w:val="24"/>
          <w:lang w:val="en-GB"/>
        </w:rPr>
        <w:t>, she did not implicate any of them in the kidnappings.</w:t>
      </w:r>
      <w:r w:rsidR="00866574" w:rsidRPr="00866574">
        <w:rPr>
          <w:rFonts w:eastAsiaTheme="minorHAnsi" w:cs="Arial"/>
          <w:bCs/>
          <w:szCs w:val="24"/>
          <w:lang w:val="en-GB"/>
        </w:rPr>
        <w:t xml:space="preserve"> </w:t>
      </w:r>
      <w:r w:rsidR="00C46ED4" w:rsidRPr="00866574">
        <w:rPr>
          <w:rFonts w:eastAsiaTheme="minorHAnsi" w:cs="Arial"/>
          <w:bCs/>
          <w:szCs w:val="24"/>
          <w:lang w:val="en-GB"/>
        </w:rPr>
        <w:t>She</w:t>
      </w:r>
      <w:r w:rsidR="00D50CA1" w:rsidRPr="00866574">
        <w:rPr>
          <w:rFonts w:eastAsiaTheme="minorHAnsi" w:cs="Arial"/>
          <w:bCs/>
          <w:szCs w:val="24"/>
          <w:lang w:val="en-GB"/>
        </w:rPr>
        <w:t xml:space="preserve"> did </w:t>
      </w:r>
      <w:r w:rsidR="00D50CA1" w:rsidRPr="00866574">
        <w:rPr>
          <w:rFonts w:eastAsiaTheme="minorHAnsi" w:cs="Arial"/>
          <w:bCs/>
          <w:szCs w:val="24"/>
          <w:lang w:val="en-GB"/>
        </w:rPr>
        <w:lastRenderedPageBreak/>
        <w:t xml:space="preserve">not know </w:t>
      </w:r>
      <w:r w:rsidR="00573B3D" w:rsidRPr="00866574">
        <w:rPr>
          <w:rFonts w:eastAsiaTheme="minorHAnsi" w:cs="Arial"/>
          <w:bCs/>
          <w:szCs w:val="24"/>
          <w:lang w:val="en-GB"/>
        </w:rPr>
        <w:t>who helped Mtsholotsholo when he fetched Swartbooi</w:t>
      </w:r>
      <w:r w:rsidR="00C46ED4" w:rsidRPr="00866574">
        <w:rPr>
          <w:rFonts w:eastAsiaTheme="minorHAnsi" w:cs="Arial"/>
          <w:bCs/>
          <w:szCs w:val="24"/>
          <w:lang w:val="en-GB"/>
        </w:rPr>
        <w:t xml:space="preserve"> </w:t>
      </w:r>
      <w:r w:rsidR="00210EDC" w:rsidRPr="00866574">
        <w:rPr>
          <w:rFonts w:eastAsiaTheme="minorHAnsi" w:cs="Arial"/>
          <w:bCs/>
          <w:szCs w:val="24"/>
          <w:lang w:val="en-GB"/>
        </w:rPr>
        <w:t xml:space="preserve">from his hokkie behind his mother’s home </w:t>
      </w:r>
      <w:r w:rsidR="00C46ED4" w:rsidRPr="00866574">
        <w:rPr>
          <w:rFonts w:eastAsiaTheme="minorHAnsi" w:cs="Arial"/>
          <w:bCs/>
          <w:szCs w:val="24"/>
          <w:lang w:val="en-GB"/>
        </w:rPr>
        <w:t xml:space="preserve">and she </w:t>
      </w:r>
      <w:r w:rsidR="00573B3D" w:rsidRPr="00866574">
        <w:rPr>
          <w:rFonts w:eastAsiaTheme="minorHAnsi" w:cs="Arial"/>
          <w:bCs/>
          <w:szCs w:val="24"/>
          <w:lang w:val="en-GB"/>
        </w:rPr>
        <w:t xml:space="preserve">was not present when Mrwebi </w:t>
      </w:r>
      <w:r w:rsidR="00C46ED4" w:rsidRPr="00866574">
        <w:rPr>
          <w:rFonts w:eastAsiaTheme="minorHAnsi" w:cs="Arial"/>
          <w:bCs/>
          <w:szCs w:val="24"/>
          <w:lang w:val="en-GB"/>
        </w:rPr>
        <w:t>and</w:t>
      </w:r>
      <w:r w:rsidR="00573B3D" w:rsidRPr="00866574">
        <w:rPr>
          <w:rFonts w:eastAsiaTheme="minorHAnsi" w:cs="Arial"/>
          <w:bCs/>
          <w:szCs w:val="24"/>
          <w:lang w:val="en-GB"/>
        </w:rPr>
        <w:t xml:space="preserve"> Pangwa were collected.</w:t>
      </w:r>
      <w:r w:rsidR="00AE22E7" w:rsidRPr="00866574">
        <w:rPr>
          <w:rFonts w:eastAsiaTheme="minorHAnsi" w:cs="Arial"/>
          <w:bCs/>
          <w:szCs w:val="24"/>
          <w:lang w:val="en-GB"/>
        </w:rPr>
        <w:t xml:space="preserve">  It is, of course, very unlikely</w:t>
      </w:r>
      <w:r w:rsidR="00B97E6B" w:rsidRPr="00866574">
        <w:rPr>
          <w:rFonts w:eastAsiaTheme="minorHAnsi" w:cs="Arial"/>
          <w:bCs/>
          <w:szCs w:val="24"/>
          <w:lang w:val="en-GB"/>
        </w:rPr>
        <w:t xml:space="preserve"> that Swartbooi, Mrwebi and Pangwa willingly got into the taxi with </w:t>
      </w:r>
      <w:r w:rsidR="00C46ED4" w:rsidRPr="00866574">
        <w:rPr>
          <w:rFonts w:eastAsiaTheme="minorHAnsi" w:cs="Arial"/>
          <w:bCs/>
          <w:szCs w:val="24"/>
          <w:lang w:val="en-GB"/>
        </w:rPr>
        <w:t>a</w:t>
      </w:r>
      <w:r w:rsidR="00B97E6B" w:rsidRPr="00866574">
        <w:rPr>
          <w:rFonts w:eastAsiaTheme="minorHAnsi" w:cs="Arial"/>
          <w:bCs/>
          <w:szCs w:val="24"/>
          <w:lang w:val="en-GB"/>
        </w:rPr>
        <w:t xml:space="preserve"> group of </w:t>
      </w:r>
      <w:r w:rsidR="00866574">
        <w:rPr>
          <w:rFonts w:eastAsiaTheme="minorHAnsi" w:cs="Arial"/>
          <w:bCs/>
          <w:szCs w:val="24"/>
          <w:lang w:val="en-GB"/>
        </w:rPr>
        <w:t xml:space="preserve">men which included Mtsholotsholo who was </w:t>
      </w:r>
      <w:r w:rsidR="00C46ED4" w:rsidRPr="00866574">
        <w:rPr>
          <w:rFonts w:eastAsiaTheme="minorHAnsi" w:cs="Arial"/>
          <w:bCs/>
          <w:szCs w:val="24"/>
          <w:lang w:val="en-GB"/>
        </w:rPr>
        <w:t>demonstrably intent on avenging the cell phone theft</w:t>
      </w:r>
      <w:r w:rsidR="002B6772" w:rsidRPr="00866574">
        <w:rPr>
          <w:rFonts w:eastAsiaTheme="minorHAnsi" w:cs="Arial"/>
          <w:bCs/>
          <w:szCs w:val="24"/>
          <w:lang w:val="en-GB"/>
        </w:rPr>
        <w:t>,</w:t>
      </w:r>
      <w:r w:rsidR="00C46ED4" w:rsidRPr="00866574">
        <w:rPr>
          <w:rFonts w:eastAsiaTheme="minorHAnsi" w:cs="Arial"/>
          <w:bCs/>
          <w:szCs w:val="24"/>
          <w:lang w:val="en-GB"/>
        </w:rPr>
        <w:t xml:space="preserve"> </w:t>
      </w:r>
      <w:r w:rsidR="002B6772" w:rsidRPr="00866574">
        <w:rPr>
          <w:rFonts w:eastAsiaTheme="minorHAnsi" w:cs="Arial"/>
          <w:bCs/>
          <w:szCs w:val="24"/>
          <w:lang w:val="en-GB"/>
        </w:rPr>
        <w:t xml:space="preserve">but </w:t>
      </w:r>
      <w:r w:rsidR="00B97E6B" w:rsidRPr="00866574">
        <w:rPr>
          <w:rFonts w:eastAsiaTheme="minorHAnsi" w:cs="Arial"/>
          <w:bCs/>
          <w:szCs w:val="24"/>
          <w:lang w:val="en-GB"/>
        </w:rPr>
        <w:t>likeliness is not the benchmark in a criminal case.</w:t>
      </w:r>
    </w:p>
    <w:p w14:paraId="1F7175CB" w14:textId="6E9DAE30" w:rsidR="000552DC" w:rsidRPr="00866574" w:rsidRDefault="000541C6" w:rsidP="000541C6">
      <w:pPr>
        <w:pStyle w:val="Level1"/>
        <w:numPr>
          <w:ilvl w:val="0"/>
          <w:numId w:val="0"/>
        </w:numPr>
        <w:ind w:left="851" w:hanging="851"/>
        <w:rPr>
          <w:rFonts w:cs="Arial"/>
          <w:szCs w:val="24"/>
          <w:lang w:val="en-GB"/>
        </w:rPr>
      </w:pPr>
      <w:r w:rsidRPr="00866574">
        <w:rPr>
          <w:rFonts w:cs="Arial"/>
          <w:szCs w:val="24"/>
          <w:lang w:val="en-GB"/>
        </w:rPr>
        <w:t>18.</w:t>
      </w:r>
      <w:r w:rsidRPr="00866574">
        <w:rPr>
          <w:rFonts w:cs="Arial"/>
          <w:szCs w:val="24"/>
          <w:lang w:val="en-GB"/>
        </w:rPr>
        <w:tab/>
      </w:r>
      <w:r w:rsidR="00573B3D" w:rsidRPr="00866574">
        <w:rPr>
          <w:rFonts w:eastAsiaTheme="minorHAnsi" w:cs="Arial"/>
          <w:bCs/>
          <w:szCs w:val="24"/>
          <w:lang w:val="en-GB"/>
        </w:rPr>
        <w:t>Cross-examination of Williams was extensive</w:t>
      </w:r>
      <w:r w:rsidR="00B97E6B" w:rsidRPr="00866574">
        <w:rPr>
          <w:rFonts w:eastAsiaTheme="minorHAnsi" w:cs="Arial"/>
          <w:bCs/>
          <w:szCs w:val="24"/>
          <w:lang w:val="en-GB"/>
        </w:rPr>
        <w:t xml:space="preserve"> and much of it centred around two statements she made subsequent to the events.</w:t>
      </w:r>
      <w:r w:rsidR="00866574" w:rsidRPr="00866574">
        <w:rPr>
          <w:rFonts w:eastAsiaTheme="minorHAnsi" w:cs="Arial"/>
          <w:bCs/>
          <w:szCs w:val="24"/>
          <w:lang w:val="en-GB"/>
        </w:rPr>
        <w:t xml:space="preserve"> </w:t>
      </w:r>
      <w:r w:rsidR="00B97E6B" w:rsidRPr="00866574">
        <w:rPr>
          <w:rFonts w:eastAsiaTheme="minorHAnsi" w:cs="Arial"/>
          <w:bCs/>
          <w:szCs w:val="24"/>
          <w:lang w:val="en-GB"/>
        </w:rPr>
        <w:t xml:space="preserve">She made the first </w:t>
      </w:r>
      <w:r w:rsidR="00131191" w:rsidRPr="00866574">
        <w:rPr>
          <w:rFonts w:eastAsiaTheme="minorHAnsi" w:cs="Arial"/>
          <w:bCs/>
          <w:szCs w:val="24"/>
          <w:lang w:val="en-GB"/>
        </w:rPr>
        <w:t>statement on 12 June 2017</w:t>
      </w:r>
      <w:r w:rsidR="00B97E6B" w:rsidRPr="00866574">
        <w:rPr>
          <w:rFonts w:eastAsiaTheme="minorHAnsi" w:cs="Arial"/>
          <w:bCs/>
          <w:szCs w:val="24"/>
          <w:lang w:val="en-GB"/>
        </w:rPr>
        <w:t>, four days after the event, at the Nyanga police station (</w:t>
      </w:r>
      <w:r w:rsidR="00C11F87" w:rsidRPr="00866574">
        <w:rPr>
          <w:rFonts w:eastAsiaTheme="minorHAnsi" w:cs="Arial"/>
          <w:bCs/>
          <w:szCs w:val="24"/>
          <w:lang w:val="en-GB"/>
        </w:rPr>
        <w:t>“</w:t>
      </w:r>
      <w:r w:rsidR="00B97E6B" w:rsidRPr="00866574">
        <w:rPr>
          <w:rFonts w:eastAsiaTheme="minorHAnsi" w:cs="Arial"/>
          <w:b/>
          <w:szCs w:val="24"/>
          <w:lang w:val="en-GB"/>
        </w:rPr>
        <w:t>the first Williams statement</w:t>
      </w:r>
      <w:r w:rsidR="00C11F87" w:rsidRPr="00866574">
        <w:rPr>
          <w:rFonts w:eastAsiaTheme="minorHAnsi" w:cs="Arial"/>
          <w:bCs/>
          <w:szCs w:val="24"/>
          <w:lang w:val="en-GB"/>
        </w:rPr>
        <w:t>”</w:t>
      </w:r>
      <w:r w:rsidR="00B97E6B" w:rsidRPr="00866574">
        <w:rPr>
          <w:rFonts w:eastAsiaTheme="minorHAnsi" w:cs="Arial"/>
          <w:bCs/>
          <w:szCs w:val="24"/>
          <w:lang w:val="en-GB"/>
        </w:rPr>
        <w:t>).  On</w:t>
      </w:r>
      <w:r w:rsidR="00131191" w:rsidRPr="00866574">
        <w:rPr>
          <w:rFonts w:eastAsiaTheme="minorHAnsi" w:cs="Arial"/>
          <w:bCs/>
          <w:szCs w:val="24"/>
          <w:lang w:val="en-GB"/>
        </w:rPr>
        <w:t xml:space="preserve"> 1 November </w:t>
      </w:r>
      <w:r w:rsidR="00131191" w:rsidRPr="00866574">
        <w:rPr>
          <w:rFonts w:cs="Arial"/>
          <w:szCs w:val="24"/>
          <w:lang w:val="en-GB"/>
        </w:rPr>
        <w:t>2017</w:t>
      </w:r>
      <w:r w:rsidR="00B97E6B" w:rsidRPr="00866574">
        <w:rPr>
          <w:rFonts w:cs="Arial"/>
          <w:szCs w:val="24"/>
          <w:lang w:val="en-GB"/>
        </w:rPr>
        <w:t>, almost five months later, she made a</w:t>
      </w:r>
      <w:r w:rsidR="00866574">
        <w:rPr>
          <w:rFonts w:cs="Arial"/>
          <w:szCs w:val="24"/>
          <w:lang w:val="en-GB"/>
        </w:rPr>
        <w:t xml:space="preserve">nother </w:t>
      </w:r>
      <w:r w:rsidR="00B97E6B" w:rsidRPr="00866574">
        <w:rPr>
          <w:rFonts w:cs="Arial"/>
          <w:szCs w:val="24"/>
          <w:lang w:val="en-GB"/>
        </w:rPr>
        <w:t>statement, also at the Nyanga police station (</w:t>
      </w:r>
      <w:r w:rsidR="00C11F87" w:rsidRPr="00866574">
        <w:rPr>
          <w:rFonts w:cs="Arial"/>
          <w:szCs w:val="24"/>
          <w:lang w:val="en-GB"/>
        </w:rPr>
        <w:t>“</w:t>
      </w:r>
      <w:r w:rsidR="00B97E6B" w:rsidRPr="00866574">
        <w:rPr>
          <w:rFonts w:cs="Arial"/>
          <w:b/>
          <w:bCs/>
          <w:szCs w:val="24"/>
          <w:lang w:val="en-GB"/>
        </w:rPr>
        <w:t>the second Williams statement</w:t>
      </w:r>
      <w:r w:rsidR="00C11F87" w:rsidRPr="00866574">
        <w:rPr>
          <w:rFonts w:cs="Arial"/>
          <w:szCs w:val="24"/>
          <w:lang w:val="en-GB"/>
        </w:rPr>
        <w:t>”</w:t>
      </w:r>
      <w:r w:rsidR="00B97E6B" w:rsidRPr="00866574">
        <w:rPr>
          <w:rFonts w:cs="Arial"/>
          <w:szCs w:val="24"/>
          <w:lang w:val="en-GB"/>
        </w:rPr>
        <w:t>).</w:t>
      </w:r>
    </w:p>
    <w:p w14:paraId="6EDC2DA3" w14:textId="54EBA173" w:rsidR="002D5B70"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19.</w:t>
      </w:r>
      <w:r w:rsidRPr="008F717C">
        <w:rPr>
          <w:rFonts w:cs="Arial"/>
          <w:szCs w:val="24"/>
          <w:lang w:val="en-GB"/>
        </w:rPr>
        <w:tab/>
      </w:r>
      <w:r w:rsidR="00B97E6B" w:rsidRPr="008F717C">
        <w:rPr>
          <w:rFonts w:cs="Arial"/>
          <w:szCs w:val="24"/>
          <w:lang w:val="en-GB"/>
        </w:rPr>
        <w:t>Both statements</w:t>
      </w:r>
      <w:r w:rsidR="002B6772" w:rsidRPr="008F717C">
        <w:rPr>
          <w:rFonts w:cs="Arial"/>
          <w:szCs w:val="24"/>
          <w:lang w:val="en-GB"/>
        </w:rPr>
        <w:t xml:space="preserve"> are in the form of </w:t>
      </w:r>
      <w:r w:rsidR="00764117" w:rsidRPr="008F717C">
        <w:rPr>
          <w:rFonts w:cs="Arial"/>
          <w:szCs w:val="24"/>
          <w:lang w:val="en-GB"/>
        </w:rPr>
        <w:t xml:space="preserve">affidavits.  They </w:t>
      </w:r>
      <w:r w:rsidR="00D45DA5" w:rsidRPr="008F717C">
        <w:rPr>
          <w:rFonts w:cs="Arial"/>
          <w:szCs w:val="24"/>
          <w:lang w:val="en-GB"/>
        </w:rPr>
        <w:t xml:space="preserve">are prefaced with the words </w:t>
      </w:r>
      <w:r w:rsidR="00C11F87" w:rsidRPr="008F717C">
        <w:rPr>
          <w:rFonts w:cs="Arial"/>
          <w:szCs w:val="24"/>
          <w:lang w:val="en-GB"/>
        </w:rPr>
        <w:t>“</w:t>
      </w:r>
      <w:r w:rsidR="00D45DA5" w:rsidRPr="008F717C">
        <w:rPr>
          <w:rFonts w:cs="Arial"/>
          <w:i/>
          <w:iCs/>
          <w:szCs w:val="24"/>
          <w:lang w:val="en-GB"/>
        </w:rPr>
        <w:t>Akhona Williams states under oath in English</w:t>
      </w:r>
      <w:r w:rsidR="00C11F87" w:rsidRPr="008F717C">
        <w:rPr>
          <w:rFonts w:cs="Arial"/>
          <w:szCs w:val="24"/>
          <w:lang w:val="en-GB"/>
        </w:rPr>
        <w:t>”</w:t>
      </w:r>
      <w:r w:rsidR="00D45DA5" w:rsidRPr="008F717C">
        <w:rPr>
          <w:rFonts w:cs="Arial"/>
          <w:szCs w:val="24"/>
          <w:lang w:val="en-GB"/>
        </w:rPr>
        <w:t>,</w:t>
      </w:r>
      <w:r w:rsidR="00B97E6B" w:rsidRPr="008F717C">
        <w:rPr>
          <w:rFonts w:cs="Arial"/>
          <w:szCs w:val="24"/>
          <w:lang w:val="en-GB"/>
        </w:rPr>
        <w:t xml:space="preserve"> and end with sentences that one customarily finds at the foot of affidavits, </w:t>
      </w:r>
      <w:r w:rsidR="002B6772" w:rsidRPr="008F717C">
        <w:rPr>
          <w:rFonts w:cs="Arial"/>
          <w:szCs w:val="24"/>
          <w:lang w:val="en-GB"/>
        </w:rPr>
        <w:t>these being</w:t>
      </w:r>
      <w:r w:rsidR="00B97E6B" w:rsidRPr="008F717C">
        <w:rPr>
          <w:rFonts w:cs="Arial"/>
          <w:szCs w:val="24"/>
          <w:lang w:val="en-GB"/>
        </w:rPr>
        <w:t xml:space="preserve"> </w:t>
      </w:r>
      <w:r w:rsidR="00C11F87" w:rsidRPr="008F717C">
        <w:rPr>
          <w:rFonts w:cs="Arial"/>
          <w:szCs w:val="24"/>
          <w:lang w:val="en-GB"/>
        </w:rPr>
        <w:t>“</w:t>
      </w:r>
      <w:r w:rsidR="00B97E6B" w:rsidRPr="008F717C">
        <w:rPr>
          <w:rFonts w:cs="Arial"/>
          <w:i/>
          <w:iCs/>
          <w:szCs w:val="24"/>
          <w:lang w:val="en-GB"/>
        </w:rPr>
        <w:t xml:space="preserve">I know and understand </w:t>
      </w:r>
      <w:r w:rsidR="00492961" w:rsidRPr="008F717C">
        <w:rPr>
          <w:rFonts w:cs="Arial"/>
          <w:i/>
          <w:iCs/>
          <w:szCs w:val="24"/>
          <w:lang w:val="en-GB"/>
        </w:rPr>
        <w:t>the content of this statement.  I have no objection to taking the prescribed oath.  I consider the prescribed oath to be binding on my conscience.</w:t>
      </w:r>
      <w:r w:rsidR="00C11F87" w:rsidRPr="008F717C">
        <w:rPr>
          <w:rFonts w:cs="Arial"/>
          <w:szCs w:val="24"/>
          <w:lang w:val="en-GB"/>
        </w:rPr>
        <w:t>”</w:t>
      </w:r>
      <w:r w:rsidR="003A4A23" w:rsidRPr="008F717C">
        <w:rPr>
          <w:rFonts w:cs="Arial"/>
          <w:szCs w:val="24"/>
          <w:lang w:val="en-GB"/>
        </w:rPr>
        <w:t xml:space="preserve">  </w:t>
      </w:r>
      <w:r w:rsidR="002B739C" w:rsidRPr="008F717C">
        <w:rPr>
          <w:rFonts w:cs="Arial"/>
          <w:szCs w:val="24"/>
          <w:lang w:val="en-GB"/>
        </w:rPr>
        <w:t>Beneath these sentences</w:t>
      </w:r>
      <w:r w:rsidR="003A4A23" w:rsidRPr="008F717C">
        <w:rPr>
          <w:rFonts w:cs="Arial"/>
          <w:szCs w:val="24"/>
          <w:lang w:val="en-GB"/>
        </w:rPr>
        <w:t>,</w:t>
      </w:r>
      <w:r w:rsidR="002B739C" w:rsidRPr="008F717C">
        <w:rPr>
          <w:rFonts w:cs="Arial"/>
          <w:szCs w:val="24"/>
          <w:lang w:val="en-GB"/>
        </w:rPr>
        <w:t xml:space="preserve"> under Williams</w:t>
      </w:r>
      <w:r w:rsidR="007C1335" w:rsidRPr="008F717C">
        <w:rPr>
          <w:rFonts w:cs="Arial"/>
          <w:szCs w:val="24"/>
          <w:lang w:val="en-GB"/>
        </w:rPr>
        <w:t>’</w:t>
      </w:r>
      <w:r w:rsidR="002B739C" w:rsidRPr="008F717C">
        <w:rPr>
          <w:rFonts w:cs="Arial"/>
          <w:szCs w:val="24"/>
          <w:lang w:val="en-GB"/>
        </w:rPr>
        <w:t xml:space="preserve"> signature</w:t>
      </w:r>
      <w:r w:rsidR="003A4A23" w:rsidRPr="008F717C">
        <w:rPr>
          <w:rFonts w:cs="Arial"/>
          <w:szCs w:val="24"/>
          <w:lang w:val="en-GB"/>
        </w:rPr>
        <w:t xml:space="preserve">, appear </w:t>
      </w:r>
      <w:r w:rsidR="002B739C" w:rsidRPr="008F717C">
        <w:rPr>
          <w:rFonts w:cs="Arial"/>
          <w:szCs w:val="24"/>
          <w:lang w:val="en-GB"/>
        </w:rPr>
        <w:t>commissioner of oaths stamp</w:t>
      </w:r>
      <w:r w:rsidR="003A4A23" w:rsidRPr="008F717C">
        <w:rPr>
          <w:rFonts w:cs="Arial"/>
          <w:szCs w:val="24"/>
          <w:lang w:val="en-GB"/>
        </w:rPr>
        <w:t>s</w:t>
      </w:r>
      <w:r w:rsidR="002B739C" w:rsidRPr="008F717C">
        <w:rPr>
          <w:rFonts w:cs="Arial"/>
          <w:szCs w:val="24"/>
          <w:lang w:val="en-GB"/>
        </w:rPr>
        <w:t xml:space="preserve">, populated with information in manuscript, </w:t>
      </w:r>
      <w:r w:rsidR="003A4A23" w:rsidRPr="008F717C">
        <w:rPr>
          <w:rFonts w:cs="Arial"/>
          <w:szCs w:val="24"/>
          <w:lang w:val="en-GB"/>
        </w:rPr>
        <w:t>namely</w:t>
      </w:r>
      <w:r w:rsidR="002B739C" w:rsidRPr="008F717C">
        <w:rPr>
          <w:rFonts w:cs="Arial"/>
          <w:szCs w:val="24"/>
          <w:lang w:val="en-GB"/>
        </w:rPr>
        <w:t xml:space="preserve"> the place, date and time the statement was taken</w:t>
      </w:r>
      <w:r w:rsidR="00866574">
        <w:rPr>
          <w:rFonts w:cs="Arial"/>
          <w:szCs w:val="24"/>
          <w:lang w:val="en-GB"/>
        </w:rPr>
        <w:t xml:space="preserve">, </w:t>
      </w:r>
      <w:r w:rsidR="002B739C" w:rsidRPr="008F717C">
        <w:rPr>
          <w:rFonts w:cs="Arial"/>
          <w:szCs w:val="24"/>
          <w:lang w:val="en-GB"/>
        </w:rPr>
        <w:t>the signature, Persal number, rank and name of the policeman who took down the statement</w:t>
      </w:r>
      <w:r w:rsidR="00866574">
        <w:rPr>
          <w:rFonts w:cs="Arial"/>
          <w:szCs w:val="24"/>
          <w:lang w:val="en-GB"/>
        </w:rPr>
        <w:t>, t</w:t>
      </w:r>
      <w:r w:rsidR="003A4A23" w:rsidRPr="008F717C">
        <w:rPr>
          <w:rFonts w:cs="Arial"/>
          <w:szCs w:val="24"/>
          <w:lang w:val="en-GB"/>
        </w:rPr>
        <w:t xml:space="preserve">he </w:t>
      </w:r>
      <w:r w:rsidR="003216B6" w:rsidRPr="008F717C">
        <w:rPr>
          <w:rFonts w:cs="Arial"/>
          <w:szCs w:val="24"/>
          <w:lang w:val="en-GB"/>
        </w:rPr>
        <w:t>address of the police station and</w:t>
      </w:r>
      <w:r w:rsidR="003A4A23" w:rsidRPr="008F717C">
        <w:rPr>
          <w:rFonts w:cs="Arial"/>
          <w:szCs w:val="24"/>
          <w:lang w:val="en-GB"/>
        </w:rPr>
        <w:t>,</w:t>
      </w:r>
      <w:r w:rsidR="003216B6" w:rsidRPr="008F717C">
        <w:rPr>
          <w:rFonts w:cs="Arial"/>
          <w:szCs w:val="24"/>
          <w:lang w:val="en-GB"/>
        </w:rPr>
        <w:t xml:space="preserve"> once more</w:t>
      </w:r>
      <w:r w:rsidR="003A4A23" w:rsidRPr="008F717C">
        <w:rPr>
          <w:rFonts w:cs="Arial"/>
          <w:szCs w:val="24"/>
          <w:lang w:val="en-GB"/>
        </w:rPr>
        <w:t>,</w:t>
      </w:r>
      <w:r w:rsidR="003216B6" w:rsidRPr="008F717C">
        <w:rPr>
          <w:rFonts w:cs="Arial"/>
          <w:szCs w:val="24"/>
          <w:lang w:val="en-GB"/>
        </w:rPr>
        <w:t xml:space="preserve"> the rank of the policeman.</w:t>
      </w:r>
      <w:r w:rsidR="0026649C" w:rsidRPr="008F717C">
        <w:rPr>
          <w:rFonts w:cs="Arial"/>
          <w:szCs w:val="24"/>
          <w:lang w:val="en-GB"/>
        </w:rPr>
        <w:t xml:space="preserve">  </w:t>
      </w:r>
      <w:r w:rsidR="002D5B70" w:rsidRPr="008F717C">
        <w:rPr>
          <w:rFonts w:cs="Arial"/>
          <w:szCs w:val="24"/>
          <w:lang w:val="en-GB"/>
        </w:rPr>
        <w:t xml:space="preserve">On the first </w:t>
      </w:r>
      <w:r w:rsidR="00AC10CC">
        <w:rPr>
          <w:rFonts w:cs="Arial"/>
          <w:szCs w:val="24"/>
          <w:lang w:val="en-GB"/>
        </w:rPr>
        <w:t xml:space="preserve">Williams </w:t>
      </w:r>
      <w:r w:rsidR="002D5B70" w:rsidRPr="008F717C">
        <w:rPr>
          <w:rFonts w:cs="Arial"/>
          <w:szCs w:val="24"/>
          <w:lang w:val="en-GB"/>
        </w:rPr>
        <w:t>statement the</w:t>
      </w:r>
      <w:r w:rsidR="003A4A23" w:rsidRPr="008F717C">
        <w:rPr>
          <w:rFonts w:cs="Arial"/>
          <w:szCs w:val="24"/>
          <w:lang w:val="en-GB"/>
        </w:rPr>
        <w:t xml:space="preserve"> policeman</w:t>
      </w:r>
      <w:r w:rsidR="00256502" w:rsidRPr="008F717C">
        <w:rPr>
          <w:rFonts w:cs="Arial"/>
          <w:szCs w:val="24"/>
          <w:lang w:val="en-GB"/>
        </w:rPr>
        <w:t>’</w:t>
      </w:r>
      <w:r w:rsidR="003A4A23" w:rsidRPr="008F717C">
        <w:rPr>
          <w:rFonts w:cs="Arial"/>
          <w:szCs w:val="24"/>
          <w:lang w:val="en-GB"/>
        </w:rPr>
        <w:t>s</w:t>
      </w:r>
      <w:r w:rsidR="002D5B70" w:rsidRPr="008F717C">
        <w:rPr>
          <w:rFonts w:cs="Arial"/>
          <w:szCs w:val="24"/>
          <w:lang w:val="en-GB"/>
        </w:rPr>
        <w:t xml:space="preserve"> signature </w:t>
      </w:r>
      <w:r w:rsidR="0026649C" w:rsidRPr="008F717C">
        <w:rPr>
          <w:rFonts w:cs="Arial"/>
          <w:szCs w:val="24"/>
          <w:lang w:val="en-GB"/>
        </w:rPr>
        <w:t>appear</w:t>
      </w:r>
      <w:r w:rsidR="00FE5464">
        <w:rPr>
          <w:rFonts w:cs="Arial"/>
          <w:szCs w:val="24"/>
          <w:lang w:val="en-GB"/>
        </w:rPr>
        <w:t>s</w:t>
      </w:r>
      <w:r w:rsidR="0026649C" w:rsidRPr="008F717C">
        <w:rPr>
          <w:rFonts w:cs="Arial"/>
          <w:szCs w:val="24"/>
          <w:lang w:val="en-GB"/>
        </w:rPr>
        <w:t xml:space="preserve"> </w:t>
      </w:r>
      <w:r w:rsidR="0026649C" w:rsidRPr="008F717C">
        <w:rPr>
          <w:rFonts w:cs="Arial"/>
          <w:szCs w:val="24"/>
          <w:lang w:val="en-GB"/>
        </w:rPr>
        <w:lastRenderedPageBreak/>
        <w:t>twice, while on the second statement, it appear</w:t>
      </w:r>
      <w:r w:rsidR="00FE5464">
        <w:rPr>
          <w:rFonts w:cs="Arial"/>
          <w:szCs w:val="24"/>
          <w:lang w:val="en-GB"/>
        </w:rPr>
        <w:t>s</w:t>
      </w:r>
      <w:r w:rsidR="0026649C" w:rsidRPr="008F717C">
        <w:rPr>
          <w:rFonts w:cs="Arial"/>
          <w:szCs w:val="24"/>
          <w:lang w:val="en-GB"/>
        </w:rPr>
        <w:t xml:space="preserve"> once.</w:t>
      </w:r>
      <w:r w:rsidR="007C1335" w:rsidRPr="008F717C">
        <w:rPr>
          <w:rFonts w:cs="Arial"/>
          <w:szCs w:val="24"/>
          <w:lang w:val="en-GB"/>
        </w:rPr>
        <w:t xml:space="preserve">  On their face, the statements</w:t>
      </w:r>
      <w:r w:rsidR="00866574">
        <w:rPr>
          <w:rFonts w:cs="Arial"/>
          <w:szCs w:val="24"/>
          <w:lang w:val="en-GB"/>
        </w:rPr>
        <w:t xml:space="preserve"> appear to be </w:t>
      </w:r>
      <w:r w:rsidR="007C1335" w:rsidRPr="008F717C">
        <w:rPr>
          <w:rFonts w:cs="Arial"/>
          <w:szCs w:val="24"/>
          <w:lang w:val="en-GB"/>
        </w:rPr>
        <w:t>properly commissioned affidavits.</w:t>
      </w:r>
    </w:p>
    <w:p w14:paraId="46364E88" w14:textId="7774BFB6" w:rsidR="0026649C"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20.</w:t>
      </w:r>
      <w:r w:rsidRPr="008F717C">
        <w:rPr>
          <w:rFonts w:cs="Arial"/>
          <w:szCs w:val="24"/>
          <w:lang w:val="en-GB"/>
        </w:rPr>
        <w:tab/>
      </w:r>
      <w:r w:rsidR="00FE5464">
        <w:rPr>
          <w:rFonts w:cs="Arial"/>
          <w:szCs w:val="24"/>
          <w:lang w:val="en-GB"/>
        </w:rPr>
        <w:t>D</w:t>
      </w:r>
      <w:r w:rsidR="0026649C" w:rsidRPr="008F717C">
        <w:rPr>
          <w:rFonts w:cs="Arial"/>
          <w:szCs w:val="24"/>
          <w:lang w:val="en-GB"/>
        </w:rPr>
        <w:t>uring the cross-examination of Williams</w:t>
      </w:r>
      <w:r w:rsidR="007C1335" w:rsidRPr="008F717C">
        <w:rPr>
          <w:rFonts w:cs="Arial"/>
          <w:szCs w:val="24"/>
          <w:lang w:val="en-GB"/>
        </w:rPr>
        <w:t>,</w:t>
      </w:r>
      <w:r w:rsidR="0026649C" w:rsidRPr="008F717C">
        <w:rPr>
          <w:rFonts w:cs="Arial"/>
          <w:szCs w:val="24"/>
          <w:lang w:val="en-GB"/>
        </w:rPr>
        <w:t xml:space="preserve"> the </w:t>
      </w:r>
      <w:r w:rsidR="00F0658E" w:rsidRPr="008F717C">
        <w:rPr>
          <w:rFonts w:cs="Arial"/>
          <w:szCs w:val="24"/>
          <w:lang w:val="en-GB"/>
        </w:rPr>
        <w:t xml:space="preserve">use of English when </w:t>
      </w:r>
      <w:r w:rsidR="00866574">
        <w:rPr>
          <w:rFonts w:cs="Arial"/>
          <w:szCs w:val="24"/>
          <w:lang w:val="en-GB"/>
        </w:rPr>
        <w:t>writing</w:t>
      </w:r>
      <w:r w:rsidR="00F0658E" w:rsidRPr="008F717C">
        <w:rPr>
          <w:rFonts w:cs="Arial"/>
          <w:szCs w:val="24"/>
          <w:lang w:val="en-GB"/>
        </w:rPr>
        <w:t xml:space="preserve"> down</w:t>
      </w:r>
      <w:r w:rsidR="007C1335" w:rsidRPr="008F717C">
        <w:rPr>
          <w:rFonts w:cs="Arial"/>
          <w:szCs w:val="24"/>
          <w:lang w:val="en-GB"/>
        </w:rPr>
        <w:t xml:space="preserve"> </w:t>
      </w:r>
      <w:r w:rsidR="00F0658E" w:rsidRPr="008F717C">
        <w:rPr>
          <w:rFonts w:cs="Arial"/>
          <w:szCs w:val="24"/>
          <w:lang w:val="en-GB"/>
        </w:rPr>
        <w:t xml:space="preserve">statements </w:t>
      </w:r>
      <w:r w:rsidR="007C1335" w:rsidRPr="008F717C">
        <w:rPr>
          <w:rFonts w:cs="Arial"/>
          <w:szCs w:val="24"/>
          <w:lang w:val="en-GB"/>
        </w:rPr>
        <w:t>came to the fore and f</w:t>
      </w:r>
      <w:r w:rsidR="00F0658E" w:rsidRPr="008F717C">
        <w:rPr>
          <w:rFonts w:cs="Arial"/>
          <w:szCs w:val="24"/>
          <w:lang w:val="en-GB"/>
        </w:rPr>
        <w:t>rom that point on</w:t>
      </w:r>
      <w:r w:rsidR="007C1335" w:rsidRPr="008F717C">
        <w:rPr>
          <w:rFonts w:cs="Arial"/>
          <w:szCs w:val="24"/>
          <w:lang w:val="en-GB"/>
        </w:rPr>
        <w:t>,</w:t>
      </w:r>
      <w:r w:rsidR="00F0658E" w:rsidRPr="008F717C">
        <w:rPr>
          <w:rFonts w:cs="Arial"/>
          <w:szCs w:val="24"/>
          <w:lang w:val="en-GB"/>
        </w:rPr>
        <w:t xml:space="preserve"> </w:t>
      </w:r>
      <w:r w:rsidR="007C1335" w:rsidRPr="008F717C">
        <w:rPr>
          <w:rFonts w:cs="Arial"/>
          <w:szCs w:val="24"/>
          <w:lang w:val="en-GB"/>
        </w:rPr>
        <w:t xml:space="preserve">the practice of doing so </w:t>
      </w:r>
      <w:r w:rsidR="00F0658E" w:rsidRPr="008F717C">
        <w:rPr>
          <w:rFonts w:cs="Arial"/>
          <w:szCs w:val="24"/>
          <w:lang w:val="en-GB"/>
        </w:rPr>
        <w:t xml:space="preserve">featured prominently </w:t>
      </w:r>
      <w:r w:rsidR="007C1335" w:rsidRPr="008F717C">
        <w:rPr>
          <w:rFonts w:cs="Arial"/>
          <w:szCs w:val="24"/>
          <w:lang w:val="en-GB"/>
        </w:rPr>
        <w:t xml:space="preserve">in </w:t>
      </w:r>
      <w:r w:rsidR="00F0658E" w:rsidRPr="008F717C">
        <w:rPr>
          <w:rFonts w:cs="Arial"/>
          <w:szCs w:val="24"/>
          <w:lang w:val="en-GB"/>
        </w:rPr>
        <w:t>the proceedings.</w:t>
      </w:r>
    </w:p>
    <w:p w14:paraId="71DB6CFE" w14:textId="5769231C" w:rsidR="002315D7" w:rsidRPr="002315D7" w:rsidRDefault="000541C6" w:rsidP="000541C6">
      <w:pPr>
        <w:pStyle w:val="Level1"/>
        <w:numPr>
          <w:ilvl w:val="0"/>
          <w:numId w:val="0"/>
        </w:numPr>
        <w:ind w:left="851" w:hanging="851"/>
        <w:rPr>
          <w:rFonts w:cs="Arial"/>
          <w:szCs w:val="24"/>
          <w:lang w:val="en-GB"/>
        </w:rPr>
      </w:pPr>
      <w:r w:rsidRPr="002315D7">
        <w:rPr>
          <w:rFonts w:cs="Arial"/>
          <w:szCs w:val="24"/>
          <w:lang w:val="en-GB"/>
        </w:rPr>
        <w:t>21.</w:t>
      </w:r>
      <w:r w:rsidRPr="002315D7">
        <w:rPr>
          <w:rFonts w:cs="Arial"/>
          <w:szCs w:val="24"/>
          <w:lang w:val="en-GB"/>
        </w:rPr>
        <w:tab/>
      </w:r>
      <w:r w:rsidR="002D5E31" w:rsidRPr="008F717C">
        <w:rPr>
          <w:rFonts w:cs="Arial"/>
          <w:szCs w:val="24"/>
          <w:lang w:val="en-GB"/>
        </w:rPr>
        <w:t xml:space="preserve">Mbatha AJ, in the </w:t>
      </w:r>
      <w:r w:rsidR="00ED5253" w:rsidRPr="008F717C">
        <w:rPr>
          <w:rFonts w:eastAsiaTheme="minorHAnsi" w:cs="Arial"/>
          <w:b/>
          <w:szCs w:val="24"/>
          <w:u w:val="single"/>
          <w:lang w:val="en-GB"/>
        </w:rPr>
        <w:t>Makhi</w:t>
      </w:r>
      <w:r w:rsidR="002D5E31" w:rsidRPr="008F717C">
        <w:rPr>
          <w:rFonts w:eastAsiaTheme="minorHAnsi" w:cs="Arial"/>
          <w:b/>
          <w:szCs w:val="24"/>
          <w:u w:val="single"/>
          <w:lang w:val="en-GB"/>
        </w:rPr>
        <w:t xml:space="preserve"> Kapa</w:t>
      </w:r>
      <w:r w:rsidR="002D5E31" w:rsidRPr="008F717C">
        <w:rPr>
          <w:rFonts w:eastAsiaTheme="minorHAnsi" w:cs="Arial"/>
          <w:bCs/>
          <w:szCs w:val="24"/>
          <w:lang w:val="en-GB"/>
        </w:rPr>
        <w:t>,</w:t>
      </w:r>
      <w:r w:rsidR="00453976" w:rsidRPr="008F717C">
        <w:rPr>
          <w:rFonts w:eastAsiaTheme="minorHAnsi" w:cs="Arial"/>
          <w:bCs/>
          <w:szCs w:val="24"/>
          <w:lang w:val="en-GB"/>
        </w:rPr>
        <w:t xml:space="preserve"> when dealing with the admissibility of a statement of </w:t>
      </w:r>
      <w:r w:rsidR="00866574">
        <w:rPr>
          <w:rFonts w:eastAsiaTheme="minorHAnsi" w:cs="Arial"/>
          <w:bCs/>
          <w:szCs w:val="24"/>
          <w:lang w:val="en-GB"/>
        </w:rPr>
        <w:t>a witness</w:t>
      </w:r>
      <w:r w:rsidR="00453976" w:rsidRPr="008F717C">
        <w:rPr>
          <w:rFonts w:eastAsiaTheme="minorHAnsi" w:cs="Arial"/>
          <w:bCs/>
          <w:szCs w:val="24"/>
          <w:lang w:val="en-GB"/>
        </w:rPr>
        <w:t xml:space="preserve"> who passed away before the trial,</w:t>
      </w:r>
      <w:r w:rsidR="002D5E31" w:rsidRPr="008F717C">
        <w:rPr>
          <w:rFonts w:eastAsiaTheme="minorHAnsi" w:cs="Arial"/>
          <w:bCs/>
          <w:szCs w:val="24"/>
          <w:lang w:val="en-GB"/>
        </w:rPr>
        <w:t xml:space="preserve"> held as follows:</w:t>
      </w:r>
    </w:p>
    <w:p w14:paraId="44AD0AE7" w14:textId="77777777" w:rsidR="002E186F" w:rsidRDefault="00827A06" w:rsidP="002E186F">
      <w:pPr>
        <w:pStyle w:val="Level1"/>
        <w:numPr>
          <w:ilvl w:val="0"/>
          <w:numId w:val="0"/>
        </w:numPr>
        <w:ind w:left="851"/>
        <w:rPr>
          <w:rFonts w:cs="Arial"/>
          <w:i/>
          <w:iCs/>
          <w:szCs w:val="24"/>
          <w:lang w:val="en-GB"/>
        </w:rPr>
      </w:pPr>
      <w:r w:rsidRPr="00D2230A">
        <w:rPr>
          <w:rFonts w:cs="Arial"/>
          <w:i/>
          <w:iCs/>
          <w:szCs w:val="24"/>
          <w:lang w:val="en-GB"/>
        </w:rPr>
        <w:t xml:space="preserve">[51]  The applicant also raised an objection </w:t>
      </w:r>
      <w:r w:rsidR="005D7F7E" w:rsidRPr="00D2230A">
        <w:rPr>
          <w:rFonts w:cs="Arial"/>
          <w:i/>
          <w:iCs/>
          <w:szCs w:val="24"/>
          <w:lang w:val="en-GB"/>
        </w:rPr>
        <w:t>as to the admissibility of Ms Dasi</w:t>
      </w:r>
      <w:r w:rsidR="00256502" w:rsidRPr="00D2230A">
        <w:rPr>
          <w:rFonts w:cs="Arial"/>
          <w:i/>
          <w:iCs/>
          <w:szCs w:val="24"/>
          <w:lang w:val="en-GB"/>
        </w:rPr>
        <w:t>’</w:t>
      </w:r>
      <w:r w:rsidR="005D7F7E" w:rsidRPr="00D2230A">
        <w:rPr>
          <w:rFonts w:cs="Arial"/>
          <w:i/>
          <w:iCs/>
          <w:szCs w:val="24"/>
          <w:lang w:val="en-GB"/>
        </w:rPr>
        <w:t xml:space="preserve">s statement on another ground – what I term </w:t>
      </w:r>
      <w:r w:rsidR="00256502" w:rsidRPr="00D2230A">
        <w:rPr>
          <w:rFonts w:cs="Arial"/>
          <w:i/>
          <w:iCs/>
          <w:szCs w:val="24"/>
          <w:lang w:val="en-GB"/>
        </w:rPr>
        <w:t>‘</w:t>
      </w:r>
      <w:r w:rsidR="005D7F7E" w:rsidRPr="00D2230A">
        <w:rPr>
          <w:rFonts w:cs="Arial"/>
          <w:i/>
          <w:iCs/>
          <w:szCs w:val="24"/>
          <w:u w:val="single"/>
          <w:lang w:val="en-GB"/>
        </w:rPr>
        <w:t xml:space="preserve">the language </w:t>
      </w:r>
      <w:r w:rsidR="002B5B08" w:rsidRPr="00D2230A">
        <w:rPr>
          <w:rFonts w:cs="Arial"/>
          <w:i/>
          <w:iCs/>
          <w:szCs w:val="24"/>
          <w:u w:val="single"/>
          <w:lang w:val="en-GB"/>
        </w:rPr>
        <w:t>issue</w:t>
      </w:r>
      <w:r w:rsidR="00256502" w:rsidRPr="00D2230A">
        <w:rPr>
          <w:rFonts w:cs="Arial"/>
          <w:i/>
          <w:iCs/>
          <w:szCs w:val="24"/>
          <w:lang w:val="en-GB"/>
        </w:rPr>
        <w:t>’</w:t>
      </w:r>
      <w:r w:rsidR="002B5B08" w:rsidRPr="00D2230A">
        <w:rPr>
          <w:rFonts w:cs="Arial"/>
          <w:i/>
          <w:iCs/>
          <w:szCs w:val="24"/>
          <w:lang w:val="en-GB"/>
        </w:rPr>
        <w:t>.  He argued that Ms Dasi</w:t>
      </w:r>
      <w:r w:rsidR="00256502" w:rsidRPr="00D2230A">
        <w:rPr>
          <w:rFonts w:cs="Arial"/>
          <w:i/>
          <w:iCs/>
          <w:szCs w:val="24"/>
          <w:lang w:val="en-GB"/>
        </w:rPr>
        <w:t>’</w:t>
      </w:r>
      <w:r w:rsidR="002B5B08" w:rsidRPr="00D2230A">
        <w:rPr>
          <w:rFonts w:cs="Arial"/>
          <w:i/>
          <w:iCs/>
          <w:szCs w:val="24"/>
          <w:lang w:val="en-GB"/>
        </w:rPr>
        <w:t>s statement did not comply with Regulation 2(1)(a) of the Regulations</w:t>
      </w:r>
      <w:r w:rsidR="002B5B08" w:rsidRPr="00D2230A">
        <w:rPr>
          <w:rStyle w:val="FootnoteReference"/>
          <w:rFonts w:cs="Arial"/>
          <w:i/>
          <w:iCs/>
          <w:szCs w:val="24"/>
          <w:lang w:val="en-GB"/>
        </w:rPr>
        <w:footnoteReference w:id="3"/>
      </w:r>
      <w:r w:rsidR="002B5B08" w:rsidRPr="00D2230A">
        <w:rPr>
          <w:rFonts w:cs="Arial"/>
          <w:i/>
          <w:iCs/>
          <w:szCs w:val="24"/>
          <w:lang w:val="en-GB"/>
        </w:rPr>
        <w:t xml:space="preserve"> promulgated in terms of section 10 of the Justices of the Peace and Commissioners of Oaths Act.</w:t>
      </w:r>
      <w:r w:rsidR="002B5B08" w:rsidRPr="00D2230A">
        <w:rPr>
          <w:rStyle w:val="FootnoteReference"/>
          <w:rFonts w:cs="Arial"/>
          <w:i/>
          <w:iCs/>
          <w:szCs w:val="24"/>
          <w:lang w:val="en-GB"/>
        </w:rPr>
        <w:footnoteReference w:id="4"/>
      </w:r>
      <w:r w:rsidR="002B5B08" w:rsidRPr="00D2230A">
        <w:rPr>
          <w:rFonts w:cs="Arial"/>
          <w:i/>
          <w:iCs/>
          <w:szCs w:val="24"/>
          <w:lang w:val="en-GB"/>
        </w:rPr>
        <w:t xml:space="preserve">  This Regulation states that a deponent </w:t>
      </w:r>
      <w:r w:rsidR="00240DE9" w:rsidRPr="00D2230A">
        <w:rPr>
          <w:rFonts w:cs="Arial"/>
          <w:i/>
          <w:iCs/>
          <w:szCs w:val="24"/>
          <w:lang w:val="en-GB"/>
        </w:rPr>
        <w:t xml:space="preserve">must be able to confirm that she </w:t>
      </w:r>
      <w:r w:rsidR="00256502" w:rsidRPr="00D2230A">
        <w:rPr>
          <w:rFonts w:cs="Arial"/>
          <w:i/>
          <w:iCs/>
          <w:szCs w:val="24"/>
          <w:lang w:val="en-GB"/>
        </w:rPr>
        <w:t>‘</w:t>
      </w:r>
      <w:r w:rsidR="00240DE9" w:rsidRPr="00D2230A">
        <w:rPr>
          <w:rFonts w:cs="Arial"/>
          <w:i/>
          <w:iCs/>
          <w:szCs w:val="24"/>
          <w:lang w:val="en-GB"/>
        </w:rPr>
        <w:t>knows and understands the content of the declaration</w:t>
      </w:r>
      <w:r w:rsidR="00256502" w:rsidRPr="00D2230A">
        <w:rPr>
          <w:rFonts w:cs="Arial"/>
          <w:i/>
          <w:iCs/>
          <w:szCs w:val="24"/>
          <w:lang w:val="en-GB"/>
        </w:rPr>
        <w:t>’</w:t>
      </w:r>
      <w:r w:rsidR="00240DE9" w:rsidRPr="00D2230A">
        <w:rPr>
          <w:rFonts w:cs="Arial"/>
          <w:i/>
          <w:iCs/>
          <w:szCs w:val="24"/>
          <w:lang w:val="en-GB"/>
        </w:rPr>
        <w:t xml:space="preserve">.  The contention here is that, because there was no qualified interpreter when the statement as taken, it is unclear that the English recordal </w:t>
      </w:r>
      <w:r w:rsidR="006D4791" w:rsidRPr="00D2230A">
        <w:rPr>
          <w:rFonts w:cs="Arial"/>
          <w:i/>
          <w:iCs/>
          <w:szCs w:val="24"/>
          <w:lang w:val="en-GB"/>
        </w:rPr>
        <w:t>is an accurate statement of what Ms Dasi said in isiXhosa or of what Sergeant Mtsholo translated back to her in isiXhosa.</w:t>
      </w:r>
    </w:p>
    <w:p w14:paraId="6BCB352A" w14:textId="6472ED3E" w:rsidR="006D4791" w:rsidRPr="00943B90" w:rsidRDefault="006D4791" w:rsidP="002E186F">
      <w:pPr>
        <w:pStyle w:val="Level1"/>
        <w:numPr>
          <w:ilvl w:val="0"/>
          <w:numId w:val="0"/>
        </w:numPr>
        <w:ind w:left="851"/>
        <w:rPr>
          <w:rFonts w:cs="Arial"/>
          <w:i/>
          <w:iCs/>
          <w:szCs w:val="24"/>
          <w:lang w:val="en-GB"/>
        </w:rPr>
      </w:pPr>
      <w:r w:rsidRPr="00943B90">
        <w:rPr>
          <w:rFonts w:cs="Arial"/>
          <w:i/>
          <w:iCs/>
          <w:szCs w:val="24"/>
          <w:lang w:val="en-GB"/>
        </w:rPr>
        <w:t xml:space="preserve">[53]  </w:t>
      </w:r>
      <w:r w:rsidR="002611CD" w:rsidRPr="00943B90">
        <w:rPr>
          <w:rFonts w:cs="Arial"/>
          <w:i/>
          <w:iCs/>
          <w:szCs w:val="24"/>
          <w:lang w:val="en-GB"/>
        </w:rPr>
        <w:t>…</w:t>
      </w:r>
      <w:r w:rsidRPr="00943B90">
        <w:rPr>
          <w:rFonts w:cs="Arial"/>
          <w:i/>
          <w:iCs/>
          <w:szCs w:val="24"/>
          <w:lang w:val="en-GB"/>
        </w:rPr>
        <w:t>for the purposes of assessing whether or not the statement should have been admitted, the language issue becomes relevant.  It is unsettling that Ms Dasi</w:t>
      </w:r>
      <w:r w:rsidR="00256502" w:rsidRPr="00943B90">
        <w:rPr>
          <w:rFonts w:cs="Arial"/>
          <w:i/>
          <w:iCs/>
          <w:szCs w:val="24"/>
          <w:lang w:val="en-GB"/>
        </w:rPr>
        <w:t>’</w:t>
      </w:r>
      <w:r w:rsidRPr="00943B90">
        <w:rPr>
          <w:rFonts w:cs="Arial"/>
          <w:i/>
          <w:iCs/>
          <w:szCs w:val="24"/>
          <w:lang w:val="en-GB"/>
        </w:rPr>
        <w:t xml:space="preserve">s statement was recorded in a language that she did not understand.  Her signing of the statement was not, in the circumstances, a </w:t>
      </w:r>
      <w:r w:rsidRPr="00943B90">
        <w:rPr>
          <w:rFonts w:cs="Arial"/>
          <w:i/>
          <w:iCs/>
          <w:szCs w:val="24"/>
          <w:lang w:val="en-GB"/>
        </w:rPr>
        <w:lastRenderedPageBreak/>
        <w:t>satisfactory guarantee of her adoption of the English version recorded by Sergeant Mtsholo.</w:t>
      </w:r>
      <w:r w:rsidR="00C11F87" w:rsidRPr="00943B90">
        <w:rPr>
          <w:rFonts w:cs="Arial"/>
          <w:i/>
          <w:iCs/>
          <w:szCs w:val="24"/>
          <w:lang w:val="en-GB"/>
        </w:rPr>
        <w:t>”</w:t>
      </w:r>
    </w:p>
    <w:p w14:paraId="55B1C240" w14:textId="4F0D9710" w:rsidR="00406970" w:rsidRPr="0040592A" w:rsidRDefault="000541C6" w:rsidP="000541C6">
      <w:pPr>
        <w:pStyle w:val="Level1"/>
        <w:numPr>
          <w:ilvl w:val="0"/>
          <w:numId w:val="0"/>
        </w:numPr>
        <w:ind w:left="851" w:hanging="851"/>
        <w:rPr>
          <w:rFonts w:cs="Arial"/>
          <w:szCs w:val="24"/>
          <w:lang w:val="en-GB"/>
        </w:rPr>
      </w:pPr>
      <w:r w:rsidRPr="0040592A">
        <w:rPr>
          <w:rFonts w:cs="Arial"/>
          <w:szCs w:val="24"/>
          <w:lang w:val="en-GB"/>
        </w:rPr>
        <w:t>22.</w:t>
      </w:r>
      <w:r w:rsidRPr="0040592A">
        <w:rPr>
          <w:rFonts w:cs="Arial"/>
          <w:szCs w:val="24"/>
          <w:lang w:val="en-GB"/>
        </w:rPr>
        <w:tab/>
      </w:r>
      <w:r w:rsidR="006D4791" w:rsidRPr="0040592A">
        <w:rPr>
          <w:rFonts w:cs="Arial"/>
          <w:szCs w:val="24"/>
          <w:lang w:val="en-GB"/>
        </w:rPr>
        <w:t xml:space="preserve">Williams </w:t>
      </w:r>
      <w:r w:rsidR="00A736BA" w:rsidRPr="0040592A">
        <w:rPr>
          <w:rFonts w:cs="Arial"/>
          <w:szCs w:val="24"/>
          <w:lang w:val="en-GB"/>
        </w:rPr>
        <w:t>was emphatic</w:t>
      </w:r>
      <w:r w:rsidR="006D4791" w:rsidRPr="0040592A">
        <w:rPr>
          <w:rFonts w:cs="Arial"/>
          <w:szCs w:val="24"/>
          <w:lang w:val="en-GB"/>
        </w:rPr>
        <w:t xml:space="preserve"> that</w:t>
      </w:r>
      <w:r w:rsidR="00D07A33" w:rsidRPr="0040592A">
        <w:rPr>
          <w:rFonts w:cs="Arial"/>
          <w:szCs w:val="24"/>
          <w:lang w:val="en-GB"/>
        </w:rPr>
        <w:t xml:space="preserve"> </w:t>
      </w:r>
      <w:r w:rsidR="002611CD" w:rsidRPr="0040592A">
        <w:rPr>
          <w:rFonts w:cs="Arial"/>
          <w:szCs w:val="24"/>
          <w:lang w:val="en-GB"/>
        </w:rPr>
        <w:t xml:space="preserve">what had been written down, did not accord with what she had told the policemen. </w:t>
      </w:r>
      <w:r w:rsidR="00DA4A29" w:rsidRPr="0040592A">
        <w:rPr>
          <w:rFonts w:cs="Arial"/>
          <w:szCs w:val="24"/>
          <w:lang w:val="en-GB"/>
        </w:rPr>
        <w:t>She</w:t>
      </w:r>
      <w:r w:rsidR="00AB496B" w:rsidRPr="0040592A">
        <w:rPr>
          <w:rFonts w:cs="Arial"/>
          <w:szCs w:val="24"/>
          <w:lang w:val="en-GB"/>
        </w:rPr>
        <w:t xml:space="preserve"> and the policemen did not speak English, they</w:t>
      </w:r>
      <w:r w:rsidR="00D07A33" w:rsidRPr="0040592A">
        <w:rPr>
          <w:rFonts w:cs="Arial"/>
          <w:szCs w:val="24"/>
          <w:lang w:val="en-GB"/>
        </w:rPr>
        <w:t xml:space="preserve"> only</w:t>
      </w:r>
      <w:r w:rsidR="00AB496B" w:rsidRPr="0040592A">
        <w:rPr>
          <w:rFonts w:cs="Arial"/>
          <w:szCs w:val="24"/>
          <w:lang w:val="en-GB"/>
        </w:rPr>
        <w:t xml:space="preserve"> spoke isiXhosa</w:t>
      </w:r>
      <w:r w:rsidR="001D39D6" w:rsidRPr="0040592A">
        <w:rPr>
          <w:rFonts w:cs="Arial"/>
          <w:szCs w:val="24"/>
          <w:lang w:val="en-GB"/>
        </w:rPr>
        <w:t>.</w:t>
      </w:r>
      <w:r w:rsidR="001D39D6" w:rsidRPr="008F717C">
        <w:rPr>
          <w:rStyle w:val="FootnoteReference"/>
          <w:rFonts w:cs="Arial"/>
          <w:szCs w:val="24"/>
          <w:lang w:val="en-GB"/>
        </w:rPr>
        <w:footnoteReference w:id="5"/>
      </w:r>
      <w:r w:rsidR="00E52043" w:rsidRPr="0040592A">
        <w:rPr>
          <w:rFonts w:cs="Arial"/>
          <w:szCs w:val="24"/>
          <w:lang w:val="en-GB"/>
        </w:rPr>
        <w:t xml:space="preserve"> </w:t>
      </w:r>
      <w:r w:rsidR="00406970" w:rsidRPr="0040592A">
        <w:rPr>
          <w:rFonts w:cs="Arial"/>
          <w:szCs w:val="24"/>
          <w:lang w:val="en-GB"/>
        </w:rPr>
        <w:t>The policemen</w:t>
      </w:r>
      <w:r w:rsidR="00A736BA" w:rsidRPr="0040592A">
        <w:rPr>
          <w:rFonts w:cs="Arial"/>
          <w:szCs w:val="24"/>
          <w:lang w:val="en-GB"/>
        </w:rPr>
        <w:t xml:space="preserve"> then, in real time, </w:t>
      </w:r>
      <w:r w:rsidR="00406970" w:rsidRPr="0040592A">
        <w:rPr>
          <w:rFonts w:cs="Arial"/>
          <w:szCs w:val="24"/>
          <w:lang w:val="en-GB"/>
        </w:rPr>
        <w:t xml:space="preserve">translated what she said into English and </w:t>
      </w:r>
      <w:r w:rsidR="0040592A" w:rsidRPr="0040592A">
        <w:rPr>
          <w:rFonts w:cs="Arial"/>
          <w:szCs w:val="24"/>
          <w:lang w:val="en-GB"/>
        </w:rPr>
        <w:t>wrote down</w:t>
      </w:r>
      <w:r w:rsidR="00406970" w:rsidRPr="0040592A">
        <w:rPr>
          <w:rFonts w:cs="Arial"/>
          <w:szCs w:val="24"/>
          <w:lang w:val="en-GB"/>
        </w:rPr>
        <w:t xml:space="preserve"> the statements in that language.</w:t>
      </w:r>
      <w:r w:rsidR="00E52043" w:rsidRPr="0040592A">
        <w:rPr>
          <w:rFonts w:cs="Arial"/>
          <w:szCs w:val="24"/>
          <w:lang w:val="en-GB"/>
        </w:rPr>
        <w:t xml:space="preserve">  </w:t>
      </w:r>
      <w:r w:rsidR="00406970" w:rsidRPr="0040592A">
        <w:rPr>
          <w:rFonts w:cs="Arial"/>
          <w:szCs w:val="24"/>
          <w:lang w:val="en-GB"/>
        </w:rPr>
        <w:t xml:space="preserve">The statements were not read back to her in </w:t>
      </w:r>
      <w:r w:rsidR="00E52043" w:rsidRPr="0040592A">
        <w:rPr>
          <w:rFonts w:cs="Arial"/>
          <w:szCs w:val="24"/>
          <w:lang w:val="en-GB"/>
        </w:rPr>
        <w:t>English or isiXhosa and neither were t</w:t>
      </w:r>
      <w:r w:rsidR="00406970" w:rsidRPr="0040592A">
        <w:rPr>
          <w:rFonts w:cs="Arial"/>
          <w:szCs w:val="24"/>
          <w:lang w:val="en-GB"/>
        </w:rPr>
        <w:t>he statements given to her to read</w:t>
      </w:r>
      <w:r w:rsidR="00E52043" w:rsidRPr="0040592A">
        <w:rPr>
          <w:rFonts w:cs="Arial"/>
          <w:szCs w:val="24"/>
          <w:lang w:val="en-GB"/>
        </w:rPr>
        <w:t>.  Giving the statements to her to read would</w:t>
      </w:r>
      <w:r w:rsidR="00081DF2" w:rsidRPr="0040592A">
        <w:rPr>
          <w:rFonts w:cs="Arial"/>
          <w:szCs w:val="24"/>
          <w:lang w:val="en-GB"/>
        </w:rPr>
        <w:t>, in any event,</w:t>
      </w:r>
      <w:r w:rsidR="00E52043" w:rsidRPr="0040592A">
        <w:rPr>
          <w:rFonts w:cs="Arial"/>
          <w:szCs w:val="24"/>
          <w:lang w:val="en-GB"/>
        </w:rPr>
        <w:t xml:space="preserve"> have meant little, as she said of her proficiency in English that </w:t>
      </w:r>
      <w:r w:rsidR="00C11F87" w:rsidRPr="0040592A">
        <w:rPr>
          <w:rFonts w:cs="Arial"/>
          <w:szCs w:val="24"/>
          <w:lang w:val="en-GB"/>
        </w:rPr>
        <w:t>“</w:t>
      </w:r>
      <w:r w:rsidR="002D099C" w:rsidRPr="0040592A">
        <w:rPr>
          <w:rFonts w:cs="Arial"/>
          <w:i/>
          <w:iCs/>
          <w:szCs w:val="24"/>
          <w:lang w:val="en-GB"/>
        </w:rPr>
        <w:t>according to me I am bad</w:t>
      </w:r>
      <w:r w:rsidR="00C11F87" w:rsidRPr="0040592A">
        <w:rPr>
          <w:rFonts w:cs="Arial"/>
          <w:szCs w:val="24"/>
          <w:lang w:val="en-GB"/>
        </w:rPr>
        <w:t>”</w:t>
      </w:r>
      <w:r w:rsidR="002D099C" w:rsidRPr="0040592A">
        <w:rPr>
          <w:rFonts w:cs="Arial"/>
          <w:szCs w:val="24"/>
          <w:lang w:val="en-GB"/>
        </w:rPr>
        <w:t>.</w:t>
      </w:r>
      <w:r w:rsidR="0040592A" w:rsidRPr="0040592A">
        <w:rPr>
          <w:rFonts w:cs="Arial"/>
          <w:szCs w:val="24"/>
          <w:lang w:val="en-GB"/>
        </w:rPr>
        <w:t xml:space="preserve"> </w:t>
      </w:r>
      <w:r w:rsidR="00AB46EF" w:rsidRPr="0040592A">
        <w:rPr>
          <w:rFonts w:cs="Arial"/>
          <w:szCs w:val="24"/>
          <w:lang w:val="en-GB"/>
        </w:rPr>
        <w:t>The recordal at the foot  of her statements</w:t>
      </w:r>
      <w:r w:rsidR="00E52043" w:rsidRPr="0040592A">
        <w:rPr>
          <w:rFonts w:cs="Arial"/>
          <w:szCs w:val="24"/>
          <w:lang w:val="en-GB"/>
        </w:rPr>
        <w:t xml:space="preserve"> that she knew and understood the</w:t>
      </w:r>
      <w:r w:rsidR="00AB46EF" w:rsidRPr="0040592A">
        <w:rPr>
          <w:rFonts w:cs="Arial"/>
          <w:szCs w:val="24"/>
          <w:lang w:val="en-GB"/>
        </w:rPr>
        <w:t>ir</w:t>
      </w:r>
      <w:r w:rsidR="00E52043" w:rsidRPr="0040592A">
        <w:rPr>
          <w:rFonts w:cs="Arial"/>
          <w:szCs w:val="24"/>
          <w:lang w:val="en-GB"/>
        </w:rPr>
        <w:t xml:space="preserve"> contents</w:t>
      </w:r>
      <w:r w:rsidR="00AB46EF" w:rsidRPr="0040592A">
        <w:rPr>
          <w:rFonts w:cs="Arial"/>
          <w:szCs w:val="24"/>
          <w:lang w:val="en-GB"/>
        </w:rPr>
        <w:t xml:space="preserve"> was thu</w:t>
      </w:r>
      <w:r w:rsidR="002611CD" w:rsidRPr="0040592A">
        <w:rPr>
          <w:rFonts w:cs="Arial"/>
          <w:szCs w:val="24"/>
          <w:lang w:val="en-GB"/>
        </w:rPr>
        <w:t xml:space="preserve">s </w:t>
      </w:r>
      <w:r w:rsidR="00AB46EF" w:rsidRPr="0040592A">
        <w:rPr>
          <w:rFonts w:cs="Arial"/>
          <w:szCs w:val="24"/>
          <w:lang w:val="en-GB"/>
        </w:rPr>
        <w:t>incorrect. She did not know or understand what was contained in her statements as she was not sufficiently proficient in the language in which they were written.</w:t>
      </w:r>
    </w:p>
    <w:p w14:paraId="1EDAE657" w14:textId="053B4D35" w:rsidR="006D4791" w:rsidRPr="002611CD" w:rsidRDefault="000541C6" w:rsidP="000541C6">
      <w:pPr>
        <w:pStyle w:val="Level1"/>
        <w:numPr>
          <w:ilvl w:val="0"/>
          <w:numId w:val="0"/>
        </w:numPr>
        <w:spacing w:after="600"/>
        <w:ind w:left="851" w:hanging="851"/>
        <w:rPr>
          <w:rFonts w:cs="Arial"/>
          <w:szCs w:val="24"/>
          <w:lang w:val="en-GB"/>
        </w:rPr>
      </w:pPr>
      <w:r w:rsidRPr="002611CD">
        <w:rPr>
          <w:rFonts w:cs="Arial"/>
          <w:szCs w:val="24"/>
          <w:lang w:val="en-GB"/>
        </w:rPr>
        <w:t>23.</w:t>
      </w:r>
      <w:r w:rsidRPr="002611CD">
        <w:rPr>
          <w:rFonts w:cs="Arial"/>
          <w:szCs w:val="24"/>
          <w:lang w:val="en-GB"/>
        </w:rPr>
        <w:tab/>
      </w:r>
      <w:r w:rsidR="00D03FD1" w:rsidRPr="002611CD">
        <w:rPr>
          <w:rFonts w:cs="Arial"/>
          <w:szCs w:val="24"/>
          <w:lang w:val="en-GB"/>
        </w:rPr>
        <w:t>During</w:t>
      </w:r>
      <w:r w:rsidR="00A4725A" w:rsidRPr="002611CD">
        <w:rPr>
          <w:rFonts w:cs="Arial"/>
          <w:szCs w:val="24"/>
          <w:lang w:val="en-GB"/>
        </w:rPr>
        <w:t xml:space="preserve"> cross-examination of </w:t>
      </w:r>
      <w:r w:rsidR="00D03FD1" w:rsidRPr="002611CD">
        <w:rPr>
          <w:rFonts w:cs="Arial"/>
          <w:szCs w:val="24"/>
          <w:lang w:val="en-GB"/>
        </w:rPr>
        <w:t>Williams, counsel for Mbana</w:t>
      </w:r>
      <w:r w:rsidR="00A4725A" w:rsidRPr="002611CD">
        <w:rPr>
          <w:rFonts w:cs="Arial"/>
          <w:szCs w:val="24"/>
          <w:lang w:val="en-GB"/>
        </w:rPr>
        <w:t xml:space="preserve"> suggested</w:t>
      </w:r>
      <w:r w:rsidR="00D03FD1" w:rsidRPr="002611CD">
        <w:rPr>
          <w:rFonts w:cs="Arial"/>
          <w:szCs w:val="24"/>
          <w:lang w:val="en-GB"/>
        </w:rPr>
        <w:t xml:space="preserve"> that the two policemen who took </w:t>
      </w:r>
      <w:r w:rsidR="00A4725A" w:rsidRPr="002611CD">
        <w:rPr>
          <w:rFonts w:cs="Arial"/>
          <w:szCs w:val="24"/>
          <w:lang w:val="en-GB"/>
        </w:rPr>
        <w:t>her</w:t>
      </w:r>
      <w:r w:rsidR="00D03FD1" w:rsidRPr="002611CD">
        <w:rPr>
          <w:rFonts w:cs="Arial"/>
          <w:szCs w:val="24"/>
          <w:lang w:val="en-GB"/>
        </w:rPr>
        <w:t xml:space="preserve"> statements be called in terms of section 186 of the CPA</w:t>
      </w:r>
      <w:r w:rsidR="00A4725A" w:rsidRPr="002611CD">
        <w:rPr>
          <w:rFonts w:cs="Arial"/>
          <w:szCs w:val="24"/>
          <w:lang w:val="en-GB"/>
        </w:rPr>
        <w:t xml:space="preserve">, which </w:t>
      </w:r>
      <w:r w:rsidR="00D03FD1" w:rsidRPr="002611CD">
        <w:rPr>
          <w:rFonts w:cs="Arial"/>
          <w:szCs w:val="24"/>
          <w:lang w:val="en-GB"/>
        </w:rPr>
        <w:t>provides that</w:t>
      </w:r>
      <w:r w:rsidR="00AB46EF" w:rsidRPr="002611CD">
        <w:rPr>
          <w:rFonts w:cs="Arial"/>
          <w:szCs w:val="24"/>
          <w:lang w:val="en-GB"/>
        </w:rPr>
        <w:t xml:space="preserve"> a</w:t>
      </w:r>
      <w:r w:rsidR="00D03FD1" w:rsidRPr="002611CD">
        <w:rPr>
          <w:rFonts w:cs="Arial"/>
          <w:szCs w:val="24"/>
          <w:lang w:val="en-GB"/>
        </w:rPr>
        <w:t xml:space="preserve"> court </w:t>
      </w:r>
      <w:r w:rsidR="00AB46EF" w:rsidRPr="002611CD">
        <w:rPr>
          <w:rFonts w:cs="Arial"/>
          <w:szCs w:val="24"/>
          <w:lang w:val="en-GB"/>
        </w:rPr>
        <w:t>“</w:t>
      </w:r>
      <w:r w:rsidR="00D03FD1" w:rsidRPr="002611CD">
        <w:rPr>
          <w:rFonts w:cs="Arial"/>
          <w:i/>
          <w:iCs/>
          <w:szCs w:val="24"/>
          <w:lang w:val="en-GB"/>
        </w:rPr>
        <w:t>may at any sta</w:t>
      </w:r>
      <w:r w:rsidR="00A311A8" w:rsidRPr="002611CD">
        <w:rPr>
          <w:rFonts w:cs="Arial"/>
          <w:i/>
          <w:iCs/>
          <w:szCs w:val="24"/>
          <w:lang w:val="en-GB"/>
        </w:rPr>
        <w:t>g</w:t>
      </w:r>
      <w:r w:rsidR="00D03FD1" w:rsidRPr="002611CD">
        <w:rPr>
          <w:rFonts w:cs="Arial"/>
          <w:i/>
          <w:iCs/>
          <w:szCs w:val="24"/>
          <w:lang w:val="en-GB"/>
        </w:rPr>
        <w:t xml:space="preserve">e of criminal proceedings subpoena or cause to be subpoenaed </w:t>
      </w:r>
      <w:r w:rsidR="00D82C60" w:rsidRPr="002611CD">
        <w:rPr>
          <w:rFonts w:cs="Arial"/>
          <w:i/>
          <w:iCs/>
          <w:szCs w:val="24"/>
          <w:lang w:val="en-GB"/>
        </w:rPr>
        <w:t>any person as a witness at such proceedings, and the court shall so subpoena a witness or so cause a witness to be subpoenaed if the evidence of such a witness appears to the court essential to the just decision of the case.</w:t>
      </w:r>
      <w:r w:rsidR="00C11F87" w:rsidRPr="002611CD">
        <w:rPr>
          <w:rFonts w:cs="Arial"/>
          <w:szCs w:val="24"/>
          <w:lang w:val="en-GB"/>
        </w:rPr>
        <w:t>”</w:t>
      </w:r>
      <w:r w:rsidR="002611CD" w:rsidRPr="002611CD">
        <w:rPr>
          <w:rFonts w:cs="Arial"/>
          <w:szCs w:val="24"/>
          <w:lang w:val="en-GB"/>
        </w:rPr>
        <w:t xml:space="preserve"> T</w:t>
      </w:r>
      <w:r w:rsidR="007E1AB4" w:rsidRPr="002611CD">
        <w:rPr>
          <w:rFonts w:cs="Arial"/>
          <w:szCs w:val="24"/>
          <w:lang w:val="en-GB"/>
        </w:rPr>
        <w:t>he suggestion</w:t>
      </w:r>
      <w:r w:rsidR="002611CD">
        <w:rPr>
          <w:rFonts w:cs="Arial"/>
          <w:szCs w:val="24"/>
          <w:lang w:val="en-GB"/>
        </w:rPr>
        <w:t>, in my view</w:t>
      </w:r>
      <w:r w:rsidR="007E1AB4" w:rsidRPr="002611CD">
        <w:rPr>
          <w:rFonts w:cs="Arial"/>
          <w:szCs w:val="24"/>
          <w:lang w:val="en-GB"/>
        </w:rPr>
        <w:t xml:space="preserve"> had </w:t>
      </w:r>
      <w:r w:rsidR="007E1AB4" w:rsidRPr="002611CD">
        <w:rPr>
          <w:rFonts w:cs="Arial"/>
          <w:szCs w:val="24"/>
          <w:lang w:val="en-GB"/>
        </w:rPr>
        <w:lastRenderedPageBreak/>
        <w:t>merit</w:t>
      </w:r>
      <w:r w:rsidR="002611CD">
        <w:rPr>
          <w:rFonts w:cs="Arial"/>
          <w:szCs w:val="24"/>
          <w:lang w:val="en-GB"/>
        </w:rPr>
        <w:t xml:space="preserve"> so </w:t>
      </w:r>
      <w:r w:rsidR="002611CD" w:rsidRPr="002611CD">
        <w:rPr>
          <w:rFonts w:cs="Arial"/>
          <w:szCs w:val="24"/>
          <w:lang w:val="en-GB"/>
        </w:rPr>
        <w:t>I</w:t>
      </w:r>
      <w:r w:rsidR="007E1AB4" w:rsidRPr="002611CD">
        <w:rPr>
          <w:rFonts w:cs="Arial"/>
          <w:szCs w:val="24"/>
          <w:lang w:val="en-GB"/>
        </w:rPr>
        <w:t xml:space="preserve"> ruled that</w:t>
      </w:r>
      <w:r w:rsidR="00A814D8" w:rsidRPr="002611CD">
        <w:rPr>
          <w:rFonts w:cs="Arial"/>
          <w:szCs w:val="24"/>
          <w:lang w:val="en-GB"/>
        </w:rPr>
        <w:t xml:space="preserve"> Williams</w:t>
      </w:r>
      <w:r w:rsidR="00256502" w:rsidRPr="002611CD">
        <w:rPr>
          <w:rFonts w:cs="Arial"/>
          <w:szCs w:val="24"/>
          <w:lang w:val="en-GB"/>
        </w:rPr>
        <w:t>’</w:t>
      </w:r>
      <w:r w:rsidR="00A814D8" w:rsidRPr="002611CD">
        <w:rPr>
          <w:rFonts w:cs="Arial"/>
          <w:szCs w:val="24"/>
          <w:lang w:val="en-GB"/>
        </w:rPr>
        <w:t xml:space="preserve"> </w:t>
      </w:r>
      <w:r w:rsidR="00A311A8" w:rsidRPr="002611CD">
        <w:rPr>
          <w:rFonts w:cs="Arial"/>
          <w:szCs w:val="24"/>
          <w:lang w:val="en-GB"/>
        </w:rPr>
        <w:t>testimony be</w:t>
      </w:r>
      <w:r w:rsidR="00A814D8" w:rsidRPr="002611CD">
        <w:rPr>
          <w:rFonts w:cs="Arial"/>
          <w:szCs w:val="24"/>
          <w:lang w:val="en-GB"/>
        </w:rPr>
        <w:t xml:space="preserve"> interposed </w:t>
      </w:r>
      <w:r w:rsidR="00A311A8" w:rsidRPr="002611CD">
        <w:rPr>
          <w:rFonts w:cs="Arial"/>
          <w:szCs w:val="24"/>
          <w:lang w:val="en-GB"/>
        </w:rPr>
        <w:t>with that of the two policemen who took down her statements.</w:t>
      </w:r>
    </w:p>
    <w:p w14:paraId="62AB2FDE" w14:textId="030F83AE" w:rsidR="0016430D"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24.</w:t>
      </w:r>
      <w:r w:rsidRPr="008F717C">
        <w:rPr>
          <w:rFonts w:cs="Arial"/>
          <w:szCs w:val="24"/>
          <w:lang w:val="en-GB"/>
        </w:rPr>
        <w:tab/>
      </w:r>
      <w:r w:rsidR="00A17A95" w:rsidRPr="008F717C">
        <w:rPr>
          <w:rFonts w:cs="Arial"/>
          <w:szCs w:val="24"/>
          <w:lang w:val="en-GB"/>
        </w:rPr>
        <w:t xml:space="preserve">Detective Sergeant Thozamile Shaun </w:t>
      </w:r>
      <w:bookmarkStart w:id="3" w:name="_Hlk133330717"/>
      <w:r w:rsidR="00A17A95" w:rsidRPr="008F717C">
        <w:rPr>
          <w:rFonts w:cs="Arial"/>
          <w:szCs w:val="24"/>
          <w:lang w:val="en-GB"/>
        </w:rPr>
        <w:t>Mjingana</w:t>
      </w:r>
      <w:bookmarkEnd w:id="3"/>
      <w:r w:rsidR="00A17A95" w:rsidRPr="008F717C">
        <w:rPr>
          <w:rFonts w:cs="Arial"/>
          <w:szCs w:val="24"/>
          <w:lang w:val="en-GB"/>
        </w:rPr>
        <w:t xml:space="preserve"> (</w:t>
      </w:r>
      <w:r w:rsidR="00C11F87" w:rsidRPr="008F717C">
        <w:rPr>
          <w:rFonts w:cs="Arial"/>
          <w:szCs w:val="24"/>
          <w:lang w:val="en-GB"/>
        </w:rPr>
        <w:t>“</w:t>
      </w:r>
      <w:r w:rsidR="00A17A95" w:rsidRPr="008F717C">
        <w:rPr>
          <w:rFonts w:cs="Arial"/>
          <w:b/>
          <w:bCs/>
          <w:szCs w:val="24"/>
          <w:lang w:val="en-GB"/>
        </w:rPr>
        <w:t>Mjingana</w:t>
      </w:r>
      <w:r w:rsidR="00C11F87" w:rsidRPr="008F717C">
        <w:rPr>
          <w:rFonts w:cs="Arial"/>
          <w:szCs w:val="24"/>
          <w:lang w:val="en-GB"/>
        </w:rPr>
        <w:t>”</w:t>
      </w:r>
      <w:r w:rsidR="00A17A95" w:rsidRPr="008F717C">
        <w:rPr>
          <w:rFonts w:cs="Arial"/>
          <w:szCs w:val="24"/>
          <w:lang w:val="en-GB"/>
        </w:rPr>
        <w:t>), a policeman with seventeen years</w:t>
      </w:r>
      <w:r w:rsidR="00256502" w:rsidRPr="008F717C">
        <w:rPr>
          <w:rFonts w:cs="Arial"/>
          <w:szCs w:val="24"/>
          <w:lang w:val="en-GB"/>
        </w:rPr>
        <w:t>’</w:t>
      </w:r>
      <w:r w:rsidR="00A17A95" w:rsidRPr="008F717C">
        <w:rPr>
          <w:rFonts w:cs="Arial"/>
          <w:szCs w:val="24"/>
          <w:lang w:val="en-GB"/>
        </w:rPr>
        <w:t xml:space="preserve"> experience</w:t>
      </w:r>
      <w:r w:rsidR="00F23964" w:rsidRPr="008F717C">
        <w:rPr>
          <w:rFonts w:cs="Arial"/>
          <w:szCs w:val="24"/>
          <w:lang w:val="en-GB"/>
        </w:rPr>
        <w:t xml:space="preserve">, who </w:t>
      </w:r>
      <w:r w:rsidR="00A17A95" w:rsidRPr="008F717C">
        <w:rPr>
          <w:rFonts w:cs="Arial"/>
          <w:szCs w:val="24"/>
          <w:lang w:val="en-GB"/>
        </w:rPr>
        <w:t xml:space="preserve"> took down the first </w:t>
      </w:r>
      <w:r w:rsidR="00596038">
        <w:rPr>
          <w:rFonts w:cs="Arial"/>
          <w:szCs w:val="24"/>
          <w:lang w:val="en-GB"/>
        </w:rPr>
        <w:t xml:space="preserve">Williams </w:t>
      </w:r>
      <w:r w:rsidR="00A17A95" w:rsidRPr="008F717C">
        <w:rPr>
          <w:rFonts w:cs="Arial"/>
          <w:szCs w:val="24"/>
          <w:lang w:val="en-GB"/>
        </w:rPr>
        <w:t>statement</w:t>
      </w:r>
      <w:r w:rsidR="00F23964" w:rsidRPr="008F717C">
        <w:rPr>
          <w:rFonts w:cs="Arial"/>
          <w:szCs w:val="24"/>
          <w:lang w:val="en-GB"/>
        </w:rPr>
        <w:t>,</w:t>
      </w:r>
      <w:r w:rsidR="00A17A95" w:rsidRPr="008F717C">
        <w:rPr>
          <w:rFonts w:cs="Arial"/>
          <w:szCs w:val="24"/>
          <w:lang w:val="en-GB"/>
        </w:rPr>
        <w:t xml:space="preserve"> agreed with </w:t>
      </w:r>
      <w:r w:rsidR="002611CD">
        <w:rPr>
          <w:rFonts w:cs="Arial"/>
          <w:szCs w:val="24"/>
          <w:lang w:val="en-GB"/>
        </w:rPr>
        <w:t>Williams</w:t>
      </w:r>
      <w:r w:rsidR="00A17A95" w:rsidRPr="008F717C">
        <w:rPr>
          <w:rFonts w:cs="Arial"/>
          <w:szCs w:val="24"/>
          <w:lang w:val="en-GB"/>
        </w:rPr>
        <w:t xml:space="preserve"> that </w:t>
      </w:r>
      <w:r w:rsidR="00F23964" w:rsidRPr="008F717C">
        <w:rPr>
          <w:rFonts w:cs="Arial"/>
          <w:szCs w:val="24"/>
          <w:lang w:val="en-GB"/>
        </w:rPr>
        <w:t>their</w:t>
      </w:r>
      <w:r w:rsidR="00A17A95" w:rsidRPr="008F717C">
        <w:rPr>
          <w:rFonts w:cs="Arial"/>
          <w:szCs w:val="24"/>
          <w:lang w:val="en-GB"/>
        </w:rPr>
        <w:t xml:space="preserve"> interaction </w:t>
      </w:r>
      <w:r w:rsidR="00F23964" w:rsidRPr="008F717C">
        <w:rPr>
          <w:rFonts w:cs="Arial"/>
          <w:szCs w:val="24"/>
          <w:lang w:val="en-GB"/>
        </w:rPr>
        <w:t>had been</w:t>
      </w:r>
      <w:r w:rsidR="00A17A95" w:rsidRPr="008F717C">
        <w:rPr>
          <w:rFonts w:cs="Arial"/>
          <w:szCs w:val="24"/>
          <w:lang w:val="en-GB"/>
        </w:rPr>
        <w:t xml:space="preserve"> in isiXhosa and that the preface to the statement was thus incorrect.  As to her proficiency in English, when the question was posed by the Court whether he </w:t>
      </w:r>
      <w:r w:rsidR="00F23964" w:rsidRPr="008F717C">
        <w:rPr>
          <w:rFonts w:cs="Arial"/>
          <w:szCs w:val="24"/>
          <w:lang w:val="en-GB"/>
        </w:rPr>
        <w:t>had been under</w:t>
      </w:r>
      <w:r w:rsidR="00A17A95" w:rsidRPr="008F717C">
        <w:rPr>
          <w:rFonts w:cs="Arial"/>
          <w:szCs w:val="24"/>
          <w:lang w:val="en-GB"/>
        </w:rPr>
        <w:t xml:space="preserve"> the impression that she understood English, he </w:t>
      </w:r>
      <w:r w:rsidR="00F23964" w:rsidRPr="008F717C">
        <w:rPr>
          <w:rFonts w:cs="Arial"/>
          <w:szCs w:val="24"/>
          <w:lang w:val="en-GB"/>
        </w:rPr>
        <w:t>answered that</w:t>
      </w:r>
      <w:r w:rsidR="00A17A95" w:rsidRPr="008F717C">
        <w:rPr>
          <w:rFonts w:cs="Arial"/>
          <w:szCs w:val="24"/>
          <w:lang w:val="en-GB"/>
        </w:rPr>
        <w:t xml:space="preserve"> </w:t>
      </w:r>
      <w:r w:rsidR="00C11F87" w:rsidRPr="008F717C">
        <w:rPr>
          <w:rFonts w:cs="Arial"/>
          <w:szCs w:val="24"/>
          <w:lang w:val="en-GB"/>
        </w:rPr>
        <w:t>“</w:t>
      </w:r>
      <w:r w:rsidR="00A17A95" w:rsidRPr="008F717C">
        <w:rPr>
          <w:rFonts w:cs="Arial"/>
          <w:i/>
          <w:iCs/>
          <w:szCs w:val="24"/>
          <w:lang w:val="en-GB"/>
        </w:rPr>
        <w:t>I could not judge in that manner as to whether would she follow or not</w:t>
      </w:r>
      <w:r w:rsidR="00C11F87" w:rsidRPr="008F717C">
        <w:rPr>
          <w:rFonts w:cs="Arial"/>
          <w:szCs w:val="24"/>
          <w:lang w:val="en-GB"/>
        </w:rPr>
        <w:t>”</w:t>
      </w:r>
      <w:r w:rsidR="002611CD">
        <w:rPr>
          <w:rFonts w:cs="Arial"/>
          <w:szCs w:val="24"/>
          <w:lang w:val="en-GB"/>
        </w:rPr>
        <w:t xml:space="preserve">. He said that he assumed </w:t>
      </w:r>
      <w:r w:rsidR="00A17A95" w:rsidRPr="008F717C">
        <w:rPr>
          <w:rFonts w:cs="Arial"/>
          <w:szCs w:val="24"/>
          <w:lang w:val="en-GB"/>
        </w:rPr>
        <w:t xml:space="preserve">that she could understand English because she was </w:t>
      </w:r>
      <w:r w:rsidR="00C11F87" w:rsidRPr="008F717C">
        <w:rPr>
          <w:rFonts w:cs="Arial"/>
          <w:szCs w:val="24"/>
          <w:lang w:val="en-GB"/>
        </w:rPr>
        <w:t>“</w:t>
      </w:r>
      <w:r w:rsidR="00A17A95" w:rsidRPr="008F717C">
        <w:rPr>
          <w:rFonts w:cs="Arial"/>
          <w:i/>
          <w:iCs/>
          <w:szCs w:val="24"/>
          <w:lang w:val="en-GB"/>
        </w:rPr>
        <w:t>working at that stage</w:t>
      </w:r>
      <w:r w:rsidR="00C11F87" w:rsidRPr="008F717C">
        <w:rPr>
          <w:rFonts w:cs="Arial"/>
          <w:szCs w:val="24"/>
          <w:lang w:val="en-GB"/>
        </w:rPr>
        <w:t>”</w:t>
      </w:r>
      <w:r w:rsidR="00A17A95" w:rsidRPr="008F717C">
        <w:rPr>
          <w:rFonts w:cs="Arial"/>
          <w:szCs w:val="24"/>
          <w:lang w:val="en-GB"/>
        </w:rPr>
        <w:t>.  If a person was employed, proficiency in English was a given, he seemed to suggest.</w:t>
      </w:r>
      <w:r w:rsidR="0016430D" w:rsidRPr="008F717C">
        <w:rPr>
          <w:rFonts w:cs="Arial"/>
          <w:szCs w:val="24"/>
          <w:lang w:val="en-GB"/>
        </w:rPr>
        <w:t xml:space="preserve">  Mjingana was insistent that he did read the statement back to Williams, which was at odds with her evidence.</w:t>
      </w:r>
      <w:r w:rsidR="004C27D7" w:rsidRPr="008F717C">
        <w:rPr>
          <w:rFonts w:cs="Arial"/>
          <w:szCs w:val="24"/>
          <w:lang w:val="en-GB"/>
        </w:rPr>
        <w:t xml:space="preserve">  </w:t>
      </w:r>
      <w:r w:rsidR="0016430D" w:rsidRPr="008F717C">
        <w:rPr>
          <w:rFonts w:cs="Arial"/>
          <w:szCs w:val="24"/>
          <w:lang w:val="en-GB"/>
        </w:rPr>
        <w:t xml:space="preserve">As to why Mjingana wrote down the statement in English </w:t>
      </w:r>
      <w:r w:rsidR="004C27D7" w:rsidRPr="008F717C">
        <w:rPr>
          <w:rFonts w:cs="Arial"/>
          <w:szCs w:val="24"/>
          <w:lang w:val="en-GB"/>
        </w:rPr>
        <w:t>rather than isiXhosa</w:t>
      </w:r>
      <w:r w:rsidR="0016430D" w:rsidRPr="008F717C">
        <w:rPr>
          <w:rFonts w:cs="Arial"/>
          <w:szCs w:val="24"/>
          <w:lang w:val="en-GB"/>
        </w:rPr>
        <w:t xml:space="preserve">, he said that this was his </w:t>
      </w:r>
      <w:r w:rsidR="00C11F87" w:rsidRPr="008F717C">
        <w:rPr>
          <w:rFonts w:cs="Arial"/>
          <w:szCs w:val="24"/>
          <w:lang w:val="en-GB"/>
        </w:rPr>
        <w:t>“</w:t>
      </w:r>
      <w:r w:rsidR="0016430D" w:rsidRPr="008F717C">
        <w:rPr>
          <w:rFonts w:cs="Arial"/>
          <w:i/>
          <w:iCs/>
          <w:szCs w:val="24"/>
          <w:lang w:val="en-GB"/>
        </w:rPr>
        <w:t>everyday experience</w:t>
      </w:r>
      <w:r w:rsidR="00C11F87" w:rsidRPr="008F717C">
        <w:rPr>
          <w:rFonts w:cs="Arial"/>
          <w:szCs w:val="24"/>
          <w:lang w:val="en-GB"/>
        </w:rPr>
        <w:t>”</w:t>
      </w:r>
      <w:r w:rsidR="0016430D" w:rsidRPr="008F717C">
        <w:rPr>
          <w:rFonts w:cs="Arial"/>
          <w:szCs w:val="24"/>
          <w:lang w:val="en-GB"/>
        </w:rPr>
        <w:t>.  He also confirmed that in addition to taking down the statement, he performed the role of commissioner of oaths.</w:t>
      </w:r>
    </w:p>
    <w:p w14:paraId="32E17891" w14:textId="78BCEE51" w:rsidR="008A0240"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25.</w:t>
      </w:r>
      <w:r w:rsidRPr="008F717C">
        <w:rPr>
          <w:rFonts w:cs="Arial"/>
          <w:szCs w:val="24"/>
          <w:lang w:val="en-GB"/>
        </w:rPr>
        <w:tab/>
      </w:r>
      <w:r w:rsidR="0062321E" w:rsidRPr="008F717C">
        <w:rPr>
          <w:rFonts w:cs="Arial"/>
          <w:szCs w:val="24"/>
          <w:lang w:val="en-GB"/>
        </w:rPr>
        <w:t>Sergeant Khayelethu Mlonyeni (</w:t>
      </w:r>
      <w:r w:rsidR="00C11F87" w:rsidRPr="008F717C">
        <w:rPr>
          <w:rFonts w:cs="Arial"/>
          <w:szCs w:val="24"/>
          <w:lang w:val="en-GB"/>
        </w:rPr>
        <w:t>“</w:t>
      </w:r>
      <w:bookmarkStart w:id="4" w:name="_Hlk133330189"/>
      <w:r w:rsidR="0062321E" w:rsidRPr="008F717C">
        <w:rPr>
          <w:rFonts w:cs="Arial"/>
          <w:b/>
          <w:bCs/>
          <w:szCs w:val="24"/>
          <w:lang w:val="en-GB"/>
        </w:rPr>
        <w:t>Mlonyeni</w:t>
      </w:r>
      <w:bookmarkEnd w:id="4"/>
      <w:r w:rsidR="00C11F87" w:rsidRPr="008F717C">
        <w:rPr>
          <w:rFonts w:cs="Arial"/>
          <w:szCs w:val="24"/>
          <w:lang w:val="en-GB"/>
        </w:rPr>
        <w:t>”</w:t>
      </w:r>
      <w:r w:rsidR="0062321E" w:rsidRPr="008F717C">
        <w:rPr>
          <w:rFonts w:cs="Arial"/>
          <w:szCs w:val="24"/>
          <w:lang w:val="en-GB"/>
        </w:rPr>
        <w:t>), a policeman with fifteen years</w:t>
      </w:r>
      <w:r w:rsidR="00256502" w:rsidRPr="008F717C">
        <w:rPr>
          <w:rFonts w:cs="Arial"/>
          <w:szCs w:val="24"/>
          <w:lang w:val="en-GB"/>
        </w:rPr>
        <w:t>’</w:t>
      </w:r>
      <w:r w:rsidR="0062321E" w:rsidRPr="008F717C">
        <w:rPr>
          <w:rFonts w:cs="Arial"/>
          <w:szCs w:val="24"/>
          <w:lang w:val="en-GB"/>
        </w:rPr>
        <w:t xml:space="preserve"> experience and the investigating officer, took down the second </w:t>
      </w:r>
      <w:r w:rsidR="004C01F7">
        <w:rPr>
          <w:rFonts w:cs="Arial"/>
          <w:szCs w:val="24"/>
          <w:lang w:val="en-GB"/>
        </w:rPr>
        <w:t xml:space="preserve">Williams </w:t>
      </w:r>
      <w:r w:rsidR="0062321E" w:rsidRPr="008F717C">
        <w:rPr>
          <w:rFonts w:cs="Arial"/>
          <w:szCs w:val="24"/>
          <w:lang w:val="en-GB"/>
        </w:rPr>
        <w:t>statement.  He confirmed that he and Williams spoke isiXhosa and that</w:t>
      </w:r>
      <w:r w:rsidR="004C27D7" w:rsidRPr="008F717C">
        <w:rPr>
          <w:rFonts w:cs="Arial"/>
          <w:szCs w:val="24"/>
          <w:lang w:val="en-GB"/>
        </w:rPr>
        <w:t>, as had Mjingana,</w:t>
      </w:r>
      <w:r w:rsidR="0062321E" w:rsidRPr="008F717C">
        <w:rPr>
          <w:rFonts w:cs="Arial"/>
          <w:szCs w:val="24"/>
          <w:lang w:val="en-GB"/>
        </w:rPr>
        <w:t xml:space="preserve"> he translated what she had said </w:t>
      </w:r>
      <w:r w:rsidR="00191391" w:rsidRPr="008F717C">
        <w:rPr>
          <w:rFonts w:cs="Arial"/>
          <w:szCs w:val="24"/>
          <w:lang w:val="en-GB"/>
        </w:rPr>
        <w:t xml:space="preserve">and </w:t>
      </w:r>
      <w:r w:rsidR="004C27D7" w:rsidRPr="008F717C">
        <w:rPr>
          <w:rFonts w:cs="Arial"/>
          <w:szCs w:val="24"/>
          <w:lang w:val="en-GB"/>
        </w:rPr>
        <w:t>wrote</w:t>
      </w:r>
      <w:r w:rsidR="00191391" w:rsidRPr="008F717C">
        <w:rPr>
          <w:rFonts w:cs="Arial"/>
          <w:szCs w:val="24"/>
          <w:lang w:val="en-GB"/>
        </w:rPr>
        <w:t xml:space="preserve"> </w:t>
      </w:r>
      <w:r w:rsidR="002611CD">
        <w:rPr>
          <w:rFonts w:cs="Arial"/>
          <w:szCs w:val="24"/>
          <w:lang w:val="en-GB"/>
        </w:rPr>
        <w:t xml:space="preserve">it </w:t>
      </w:r>
      <w:r w:rsidR="00191391" w:rsidRPr="008F717C">
        <w:rPr>
          <w:rFonts w:cs="Arial"/>
          <w:szCs w:val="24"/>
          <w:lang w:val="en-GB"/>
        </w:rPr>
        <w:t>down in English.  Th</w:t>
      </w:r>
      <w:r w:rsidR="004C27D7" w:rsidRPr="008F717C">
        <w:rPr>
          <w:rFonts w:cs="Arial"/>
          <w:szCs w:val="24"/>
          <w:lang w:val="en-GB"/>
        </w:rPr>
        <w:t>us, th</w:t>
      </w:r>
      <w:r w:rsidR="00191391" w:rsidRPr="008F717C">
        <w:rPr>
          <w:rFonts w:cs="Arial"/>
          <w:szCs w:val="24"/>
          <w:lang w:val="en-GB"/>
        </w:rPr>
        <w:t xml:space="preserve">e preface that the statement </w:t>
      </w:r>
      <w:r w:rsidR="009C1C20">
        <w:rPr>
          <w:rFonts w:cs="Arial"/>
          <w:szCs w:val="24"/>
          <w:lang w:val="en-GB"/>
        </w:rPr>
        <w:t xml:space="preserve">that it </w:t>
      </w:r>
      <w:r w:rsidR="00191391" w:rsidRPr="008F717C">
        <w:rPr>
          <w:rFonts w:cs="Arial"/>
          <w:szCs w:val="24"/>
          <w:lang w:val="en-GB"/>
        </w:rPr>
        <w:t>was taken under oath in English was not correct.</w:t>
      </w:r>
      <w:r w:rsidR="004C27D7" w:rsidRPr="008F717C">
        <w:rPr>
          <w:rFonts w:cs="Arial"/>
          <w:szCs w:val="24"/>
          <w:lang w:val="en-GB"/>
        </w:rPr>
        <w:t xml:space="preserve">  </w:t>
      </w:r>
      <w:r w:rsidR="00191391" w:rsidRPr="008F717C">
        <w:rPr>
          <w:rFonts w:cs="Arial"/>
          <w:szCs w:val="24"/>
          <w:lang w:val="en-GB"/>
        </w:rPr>
        <w:t xml:space="preserve">After insisting that </w:t>
      </w:r>
      <w:r w:rsidR="00C11F87" w:rsidRPr="008F717C">
        <w:rPr>
          <w:rFonts w:cs="Arial"/>
          <w:szCs w:val="24"/>
          <w:lang w:val="en-GB"/>
        </w:rPr>
        <w:t>“</w:t>
      </w:r>
      <w:r w:rsidR="00191391" w:rsidRPr="008F717C">
        <w:rPr>
          <w:rFonts w:cs="Arial"/>
          <w:i/>
          <w:iCs/>
          <w:szCs w:val="24"/>
          <w:lang w:val="en-GB"/>
        </w:rPr>
        <w:t>Akhona knows English</w:t>
      </w:r>
      <w:r w:rsidR="00C11F87" w:rsidRPr="008F717C">
        <w:rPr>
          <w:rFonts w:cs="Arial"/>
          <w:szCs w:val="24"/>
          <w:lang w:val="en-GB"/>
        </w:rPr>
        <w:t>”</w:t>
      </w:r>
      <w:r w:rsidR="00191391" w:rsidRPr="008F717C">
        <w:rPr>
          <w:rFonts w:cs="Arial"/>
          <w:szCs w:val="24"/>
          <w:lang w:val="en-GB"/>
        </w:rPr>
        <w:t>, he then conceded that this was a merely assumption on his part.  H</w:t>
      </w:r>
      <w:r w:rsidR="00D57EDF" w:rsidRPr="008F717C">
        <w:rPr>
          <w:rFonts w:cs="Arial"/>
          <w:szCs w:val="24"/>
          <w:lang w:val="en-GB"/>
        </w:rPr>
        <w:t>e</w:t>
      </w:r>
      <w:r w:rsidR="00191391" w:rsidRPr="008F717C">
        <w:rPr>
          <w:rFonts w:cs="Arial"/>
          <w:szCs w:val="24"/>
          <w:lang w:val="en-GB"/>
        </w:rPr>
        <w:t xml:space="preserve"> </w:t>
      </w:r>
      <w:r w:rsidR="002611CD">
        <w:rPr>
          <w:rFonts w:cs="Arial"/>
          <w:szCs w:val="24"/>
          <w:lang w:val="en-GB"/>
        </w:rPr>
        <w:t xml:space="preserve">did not </w:t>
      </w:r>
      <w:r w:rsidR="00191391" w:rsidRPr="008F717C">
        <w:rPr>
          <w:rFonts w:cs="Arial"/>
          <w:szCs w:val="24"/>
          <w:lang w:val="en-GB"/>
        </w:rPr>
        <w:t>ask Williams whether she could understand English</w:t>
      </w:r>
      <w:r w:rsidR="00115E09">
        <w:rPr>
          <w:rFonts w:cs="Arial"/>
          <w:szCs w:val="24"/>
          <w:lang w:val="en-GB"/>
        </w:rPr>
        <w:t>. Rather, he</w:t>
      </w:r>
      <w:r w:rsidR="00191391" w:rsidRPr="008F717C">
        <w:rPr>
          <w:rFonts w:cs="Arial"/>
          <w:szCs w:val="24"/>
          <w:lang w:val="en-GB"/>
        </w:rPr>
        <w:t xml:space="preserve"> </w:t>
      </w:r>
      <w:r w:rsidR="00D57EDF" w:rsidRPr="008F717C">
        <w:rPr>
          <w:rFonts w:cs="Arial"/>
          <w:i/>
          <w:iCs/>
          <w:szCs w:val="24"/>
          <w:lang w:val="en-GB"/>
        </w:rPr>
        <w:t>“</w:t>
      </w:r>
      <w:r w:rsidR="00115E09">
        <w:rPr>
          <w:rFonts w:cs="Arial"/>
          <w:i/>
          <w:iCs/>
          <w:szCs w:val="24"/>
          <w:lang w:val="en-GB"/>
        </w:rPr>
        <w:t>…</w:t>
      </w:r>
      <w:r w:rsidR="00191391" w:rsidRPr="008F717C">
        <w:rPr>
          <w:rFonts w:cs="Arial"/>
          <w:i/>
          <w:iCs/>
          <w:szCs w:val="24"/>
          <w:lang w:val="en-GB"/>
        </w:rPr>
        <w:t xml:space="preserve">just asked her </w:t>
      </w:r>
      <w:r w:rsidR="00191391" w:rsidRPr="008F717C">
        <w:rPr>
          <w:rFonts w:cs="Arial"/>
          <w:i/>
          <w:iCs/>
          <w:szCs w:val="24"/>
          <w:lang w:val="en-GB"/>
        </w:rPr>
        <w:lastRenderedPageBreak/>
        <w:t>highest standard of education.  She said she failed Matric so a person who did Matric who then knows English will know what is written here because even us, we are employed by Matric.  So she will understand what is written.</w:t>
      </w:r>
      <w:r w:rsidR="00C11F87" w:rsidRPr="008F717C">
        <w:rPr>
          <w:rFonts w:cs="Arial"/>
          <w:szCs w:val="24"/>
          <w:lang w:val="en-GB"/>
        </w:rPr>
        <w:t>”</w:t>
      </w:r>
      <w:r w:rsidR="004C27D7" w:rsidRPr="008F717C">
        <w:rPr>
          <w:rFonts w:cs="Arial"/>
          <w:szCs w:val="24"/>
          <w:lang w:val="en-GB"/>
        </w:rPr>
        <w:t xml:space="preserve">  </w:t>
      </w:r>
      <w:r w:rsidR="008A0240" w:rsidRPr="008F717C">
        <w:rPr>
          <w:rFonts w:cs="Arial"/>
          <w:szCs w:val="24"/>
          <w:lang w:val="en-GB"/>
        </w:rPr>
        <w:t xml:space="preserve">As to why he took down the statement in this manner, he answered </w:t>
      </w:r>
      <w:r w:rsidR="00C11F87" w:rsidRPr="008F717C">
        <w:rPr>
          <w:rFonts w:cs="Arial"/>
          <w:szCs w:val="24"/>
          <w:lang w:val="en-GB"/>
        </w:rPr>
        <w:t>“</w:t>
      </w:r>
      <w:r w:rsidR="008A0240" w:rsidRPr="008F717C">
        <w:rPr>
          <w:rFonts w:cs="Arial"/>
          <w:i/>
          <w:iCs/>
          <w:szCs w:val="24"/>
          <w:lang w:val="en-GB"/>
        </w:rPr>
        <w:t>We do not have interpreters.  We arrange them if we need them but in this case Akhona understood English and we were speaking Xhosa and then she understood English that was written here in this statement.</w:t>
      </w:r>
      <w:r w:rsidR="00C11F87" w:rsidRPr="008F717C">
        <w:rPr>
          <w:rFonts w:cs="Arial"/>
          <w:szCs w:val="24"/>
          <w:lang w:val="en-GB"/>
        </w:rPr>
        <w:t>”</w:t>
      </w:r>
      <w:r w:rsidR="008A0240" w:rsidRPr="008F717C">
        <w:rPr>
          <w:rFonts w:cs="Arial"/>
          <w:szCs w:val="24"/>
          <w:lang w:val="en-GB"/>
        </w:rPr>
        <w:t xml:space="preserve">  Mlonyeni had thus decided that an interpreter was </w:t>
      </w:r>
      <w:r w:rsidR="00115E09" w:rsidRPr="00115E09">
        <w:rPr>
          <w:rFonts w:cs="Arial"/>
          <w:i/>
          <w:iCs/>
          <w:szCs w:val="24"/>
          <w:lang w:val="en-GB"/>
        </w:rPr>
        <w:t>“</w:t>
      </w:r>
      <w:r w:rsidR="00256502" w:rsidRPr="00115E09">
        <w:rPr>
          <w:rFonts w:cs="Arial"/>
          <w:i/>
          <w:iCs/>
          <w:szCs w:val="24"/>
          <w:lang w:val="en-GB"/>
        </w:rPr>
        <w:t>n</w:t>
      </w:r>
      <w:r w:rsidR="008A0240" w:rsidRPr="00115E09">
        <w:rPr>
          <w:rFonts w:cs="Arial"/>
          <w:i/>
          <w:iCs/>
          <w:szCs w:val="24"/>
          <w:lang w:val="en-GB"/>
        </w:rPr>
        <w:t>ot needed in this case</w:t>
      </w:r>
      <w:r w:rsidR="00C11F87" w:rsidRPr="00115E09">
        <w:rPr>
          <w:rFonts w:cs="Arial"/>
          <w:i/>
          <w:iCs/>
          <w:szCs w:val="24"/>
          <w:lang w:val="en-GB"/>
        </w:rPr>
        <w:t>”</w:t>
      </w:r>
      <w:r w:rsidR="008A0240" w:rsidRPr="008F717C">
        <w:rPr>
          <w:rFonts w:cs="Arial"/>
          <w:szCs w:val="24"/>
          <w:lang w:val="en-GB"/>
        </w:rPr>
        <w:t>. As with his colleague, Mjingana, Mlonyeni insisted that he had read the statement back to Williams</w:t>
      </w:r>
      <w:r w:rsidR="00E837EC" w:rsidRPr="008F717C">
        <w:rPr>
          <w:rFonts w:cs="Arial"/>
          <w:szCs w:val="24"/>
          <w:lang w:val="en-GB"/>
        </w:rPr>
        <w:t xml:space="preserve"> and confirmed that he performed the role of a commissioner of oaths.</w:t>
      </w:r>
    </w:p>
    <w:p w14:paraId="51F03A3D" w14:textId="46279CF3" w:rsidR="00FA484A" w:rsidRPr="00EA1F87" w:rsidRDefault="000541C6" w:rsidP="000541C6">
      <w:pPr>
        <w:pStyle w:val="Level1"/>
        <w:numPr>
          <w:ilvl w:val="0"/>
          <w:numId w:val="0"/>
        </w:numPr>
        <w:ind w:left="851" w:hanging="851"/>
        <w:rPr>
          <w:rFonts w:cs="Arial"/>
          <w:szCs w:val="24"/>
          <w:lang w:val="en-GB"/>
        </w:rPr>
      </w:pPr>
      <w:r w:rsidRPr="00EA1F87">
        <w:rPr>
          <w:rFonts w:cs="Arial"/>
          <w:szCs w:val="24"/>
          <w:lang w:val="en-GB"/>
        </w:rPr>
        <w:t>26.</w:t>
      </w:r>
      <w:r w:rsidRPr="00EA1F87">
        <w:rPr>
          <w:rFonts w:cs="Arial"/>
          <w:szCs w:val="24"/>
          <w:lang w:val="en-GB"/>
        </w:rPr>
        <w:tab/>
      </w:r>
      <w:r w:rsidR="00AA67C9" w:rsidRPr="00EA1F87">
        <w:rPr>
          <w:rFonts w:cs="Arial"/>
          <w:szCs w:val="24"/>
          <w:lang w:val="en-GB"/>
        </w:rPr>
        <w:t>So what of the practice described by Njingana and Mlonyeni, both of whom</w:t>
      </w:r>
      <w:r w:rsidR="00683B2D" w:rsidRPr="00EA1F87">
        <w:rPr>
          <w:rFonts w:cs="Arial"/>
          <w:szCs w:val="24"/>
          <w:lang w:val="en-GB"/>
        </w:rPr>
        <w:t xml:space="preserve"> are</w:t>
      </w:r>
      <w:r w:rsidR="00AA67C9" w:rsidRPr="00EA1F87">
        <w:rPr>
          <w:rFonts w:cs="Arial"/>
          <w:szCs w:val="24"/>
          <w:lang w:val="en-GB"/>
        </w:rPr>
        <w:t xml:space="preserve"> experienced and dedicated policemen who were simply </w:t>
      </w:r>
      <w:r w:rsidR="0062273A" w:rsidRPr="00EA1F87">
        <w:rPr>
          <w:rFonts w:cs="Arial"/>
          <w:szCs w:val="24"/>
          <w:lang w:val="en-GB"/>
        </w:rPr>
        <w:t xml:space="preserve">doing things </w:t>
      </w:r>
      <w:r w:rsidR="00AA67C9" w:rsidRPr="00EA1F87">
        <w:rPr>
          <w:rFonts w:cs="Arial"/>
          <w:szCs w:val="24"/>
          <w:lang w:val="en-GB"/>
        </w:rPr>
        <w:t>in the way they had been instructed?  How does it impact on the rights of those making the statements and the others involved in this case</w:t>
      </w:r>
      <w:r w:rsidR="008D28B5" w:rsidRPr="00EA1F87">
        <w:rPr>
          <w:rFonts w:cs="Arial"/>
          <w:szCs w:val="24"/>
          <w:lang w:val="en-GB"/>
        </w:rPr>
        <w:t>?</w:t>
      </w:r>
      <w:r w:rsidR="006D56CA" w:rsidRPr="00EA1F87">
        <w:rPr>
          <w:rFonts w:cs="Arial"/>
          <w:szCs w:val="24"/>
          <w:lang w:val="en-GB"/>
        </w:rPr>
        <w:t xml:space="preserve"> </w:t>
      </w:r>
      <w:r w:rsidR="00AA67C9" w:rsidRPr="00EA1F87">
        <w:rPr>
          <w:rFonts w:cs="Arial"/>
          <w:szCs w:val="24"/>
          <w:lang w:val="en-GB"/>
        </w:rPr>
        <w:t>I</w:t>
      </w:r>
      <w:r w:rsidR="00FC7C8B" w:rsidRPr="00EA1F87">
        <w:rPr>
          <w:rFonts w:cs="Arial"/>
          <w:szCs w:val="24"/>
          <w:lang w:val="en-GB"/>
        </w:rPr>
        <w:t xml:space="preserve">n my view, what Mbatha AJ in </w:t>
      </w:r>
      <w:r w:rsidR="00FC7C8B" w:rsidRPr="00EA1F87">
        <w:rPr>
          <w:rFonts w:cs="Arial"/>
          <w:b/>
          <w:bCs/>
          <w:szCs w:val="24"/>
          <w:u w:val="single"/>
          <w:lang w:val="en-GB"/>
        </w:rPr>
        <w:t>Makhi</w:t>
      </w:r>
      <w:r w:rsidR="008F717C" w:rsidRPr="00EA1F87">
        <w:rPr>
          <w:rFonts w:cs="Arial"/>
          <w:b/>
          <w:bCs/>
          <w:szCs w:val="24"/>
          <w:u w:val="single"/>
          <w:lang w:val="en-GB"/>
        </w:rPr>
        <w:t xml:space="preserve"> </w:t>
      </w:r>
      <w:r w:rsidR="008F717C" w:rsidRPr="00EA1F87">
        <w:rPr>
          <w:rFonts w:eastAsiaTheme="minorHAnsi" w:cs="Arial"/>
          <w:b/>
          <w:szCs w:val="24"/>
          <w:u w:val="single"/>
          <w:lang w:val="en-GB"/>
        </w:rPr>
        <w:t>Kapa</w:t>
      </w:r>
      <w:r w:rsidR="00FC7C8B" w:rsidRPr="00EA1F87">
        <w:rPr>
          <w:rFonts w:cs="Arial"/>
          <w:szCs w:val="24"/>
          <w:lang w:val="en-GB"/>
        </w:rPr>
        <w:t xml:space="preserve"> </w:t>
      </w:r>
      <w:r w:rsidR="006D56CA" w:rsidRPr="00EA1F87">
        <w:rPr>
          <w:rFonts w:cs="Arial"/>
          <w:szCs w:val="24"/>
          <w:lang w:val="en-GB"/>
        </w:rPr>
        <w:t xml:space="preserve">called </w:t>
      </w:r>
      <w:r w:rsidR="006D56CA" w:rsidRPr="00EA1F87">
        <w:rPr>
          <w:rFonts w:cs="Arial"/>
          <w:i/>
          <w:iCs/>
          <w:szCs w:val="24"/>
          <w:lang w:val="en-GB"/>
        </w:rPr>
        <w:t xml:space="preserve">“the language issue” </w:t>
      </w:r>
      <w:r w:rsidR="00AA67C9" w:rsidRPr="00EA1F87">
        <w:rPr>
          <w:rFonts w:cs="Arial"/>
          <w:szCs w:val="24"/>
          <w:lang w:val="en-GB"/>
        </w:rPr>
        <w:t>is not an inconsequential matter</w:t>
      </w:r>
      <w:r w:rsidR="00EA1F87" w:rsidRPr="00EA1F87">
        <w:rPr>
          <w:rFonts w:cs="Arial"/>
          <w:szCs w:val="24"/>
          <w:lang w:val="en-GB"/>
        </w:rPr>
        <w:t xml:space="preserve">, certainly not in the context of this case. </w:t>
      </w:r>
      <w:r w:rsidR="00AA67C9" w:rsidRPr="00EA1F87">
        <w:rPr>
          <w:rFonts w:cs="Arial"/>
          <w:szCs w:val="24"/>
          <w:lang w:val="en-GB"/>
        </w:rPr>
        <w:t xml:space="preserve">Statements </w:t>
      </w:r>
      <w:r w:rsidR="00FC7C8B" w:rsidRPr="00EA1F87">
        <w:rPr>
          <w:rFonts w:cs="Arial"/>
          <w:szCs w:val="24"/>
          <w:lang w:val="en-GB"/>
        </w:rPr>
        <w:t>fulfil an important role</w:t>
      </w:r>
      <w:r w:rsidR="00AA67C9" w:rsidRPr="00EA1F87">
        <w:rPr>
          <w:rFonts w:cs="Arial"/>
          <w:szCs w:val="24"/>
          <w:lang w:val="en-GB"/>
        </w:rPr>
        <w:t xml:space="preserve">.  </w:t>
      </w:r>
      <w:r w:rsidR="00FC7C8B" w:rsidRPr="00EA1F87">
        <w:rPr>
          <w:rFonts w:cs="Arial"/>
          <w:szCs w:val="24"/>
          <w:lang w:val="en-GB"/>
        </w:rPr>
        <w:t xml:space="preserve">In the main they </w:t>
      </w:r>
      <w:r w:rsidR="00115E09" w:rsidRPr="00EA1F87">
        <w:rPr>
          <w:rFonts w:cs="Arial"/>
          <w:szCs w:val="24"/>
          <w:lang w:val="en-GB"/>
        </w:rPr>
        <w:t>a</w:t>
      </w:r>
      <w:r w:rsidR="00FC7C8B" w:rsidRPr="00EA1F87">
        <w:rPr>
          <w:rFonts w:cs="Arial"/>
          <w:szCs w:val="24"/>
          <w:lang w:val="en-GB"/>
        </w:rPr>
        <w:t>re taken</w:t>
      </w:r>
      <w:r w:rsidR="00AA67C9" w:rsidRPr="00EA1F87">
        <w:rPr>
          <w:rFonts w:cs="Arial"/>
          <w:szCs w:val="24"/>
          <w:lang w:val="en-GB"/>
        </w:rPr>
        <w:t xml:space="preserve"> shortly after the occurrence</w:t>
      </w:r>
      <w:r w:rsidR="00FC7C8B" w:rsidRPr="00EA1F87">
        <w:rPr>
          <w:rFonts w:cs="Arial"/>
          <w:szCs w:val="24"/>
          <w:lang w:val="en-GB"/>
        </w:rPr>
        <w:t xml:space="preserve"> of events</w:t>
      </w:r>
      <w:r w:rsidR="00AA67C9" w:rsidRPr="00EA1F87">
        <w:rPr>
          <w:rFonts w:cs="Arial"/>
          <w:szCs w:val="24"/>
          <w:lang w:val="en-GB"/>
        </w:rPr>
        <w:t xml:space="preserve"> when things are fresh</w:t>
      </w:r>
      <w:r w:rsidR="00483AD3" w:rsidRPr="00EA1F87">
        <w:rPr>
          <w:rFonts w:cs="Arial"/>
          <w:szCs w:val="24"/>
          <w:lang w:val="en-GB"/>
        </w:rPr>
        <w:t xml:space="preserve"> and </w:t>
      </w:r>
      <w:r w:rsidR="00AA67C9" w:rsidRPr="00EA1F87">
        <w:rPr>
          <w:rFonts w:cs="Arial"/>
          <w:szCs w:val="24"/>
          <w:lang w:val="en-GB"/>
        </w:rPr>
        <w:t>recollections more accurate</w:t>
      </w:r>
      <w:r w:rsidR="00483AD3" w:rsidRPr="00EA1F87">
        <w:rPr>
          <w:rFonts w:cs="Arial"/>
          <w:szCs w:val="24"/>
          <w:lang w:val="en-GB"/>
        </w:rPr>
        <w:t>.</w:t>
      </w:r>
      <w:r w:rsidR="00AA67C9" w:rsidRPr="00EA1F87">
        <w:rPr>
          <w:rFonts w:cs="Arial"/>
          <w:szCs w:val="24"/>
          <w:lang w:val="en-GB"/>
        </w:rPr>
        <w:t xml:space="preserve"> </w:t>
      </w:r>
      <w:r w:rsidR="00115E09" w:rsidRPr="00EA1F87">
        <w:rPr>
          <w:rFonts w:cs="Arial"/>
          <w:szCs w:val="24"/>
          <w:lang w:val="en-GB"/>
        </w:rPr>
        <w:t>T</w:t>
      </w:r>
      <w:r w:rsidR="00AA67C9" w:rsidRPr="00EA1F87">
        <w:rPr>
          <w:rFonts w:cs="Arial"/>
          <w:szCs w:val="24"/>
          <w:lang w:val="en-GB"/>
        </w:rPr>
        <w:t xml:space="preserve">hey serve an important function in a trial where oral testimony </w:t>
      </w:r>
      <w:r w:rsidR="00115E09" w:rsidRPr="00EA1F87">
        <w:rPr>
          <w:rFonts w:cs="Arial"/>
          <w:szCs w:val="24"/>
          <w:lang w:val="en-GB"/>
        </w:rPr>
        <w:t>can be</w:t>
      </w:r>
      <w:r w:rsidR="00AA67C9" w:rsidRPr="00EA1F87">
        <w:rPr>
          <w:rFonts w:cs="Arial"/>
          <w:szCs w:val="24"/>
          <w:lang w:val="en-GB"/>
        </w:rPr>
        <w:t xml:space="preserve"> tested </w:t>
      </w:r>
      <w:r w:rsidR="00115E09" w:rsidRPr="00EA1F87">
        <w:rPr>
          <w:rFonts w:cs="Arial"/>
          <w:szCs w:val="24"/>
          <w:lang w:val="en-GB"/>
        </w:rPr>
        <w:t xml:space="preserve">for consistency </w:t>
      </w:r>
      <w:r w:rsidR="00910E34" w:rsidRPr="00EA1F87">
        <w:rPr>
          <w:rFonts w:cs="Arial"/>
          <w:szCs w:val="24"/>
          <w:lang w:val="en-GB"/>
        </w:rPr>
        <w:t>against prior statements.</w:t>
      </w:r>
      <w:r w:rsidR="00115E09" w:rsidRPr="00EA1F87">
        <w:rPr>
          <w:rFonts w:cs="Arial"/>
          <w:szCs w:val="24"/>
          <w:lang w:val="en-GB"/>
        </w:rPr>
        <w:t xml:space="preserve"> To a significant degree, the prosecution founds its case on statements.</w:t>
      </w:r>
      <w:r w:rsidR="00910E34" w:rsidRPr="00EA1F87">
        <w:rPr>
          <w:rFonts w:cs="Arial"/>
          <w:szCs w:val="24"/>
          <w:lang w:val="en-GB"/>
        </w:rPr>
        <w:t xml:space="preserve"> But a statement that does not accurately record what the </w:t>
      </w:r>
      <w:r w:rsidR="00666B8D">
        <w:rPr>
          <w:rFonts w:cs="Arial"/>
          <w:szCs w:val="24"/>
          <w:lang w:val="en-GB"/>
        </w:rPr>
        <w:t>person</w:t>
      </w:r>
      <w:r w:rsidR="006111E9">
        <w:rPr>
          <w:rFonts w:cs="Arial"/>
          <w:szCs w:val="24"/>
          <w:lang w:val="en-GB"/>
        </w:rPr>
        <w:t xml:space="preserve"> such as Williams</w:t>
      </w:r>
      <w:r w:rsidR="00910E34" w:rsidRPr="00EA1F87">
        <w:rPr>
          <w:rFonts w:cs="Arial"/>
          <w:szCs w:val="24"/>
          <w:lang w:val="en-GB"/>
        </w:rPr>
        <w:t xml:space="preserve"> said at the time of its making and taking, </w:t>
      </w:r>
      <w:r w:rsidR="003D7C91" w:rsidRPr="00EA1F87">
        <w:rPr>
          <w:rFonts w:cs="Arial"/>
          <w:szCs w:val="24"/>
          <w:lang w:val="en-GB"/>
        </w:rPr>
        <w:t>is not reliable enough to serve any of these functions</w:t>
      </w:r>
      <w:r w:rsidR="00910E34" w:rsidRPr="00EA1F87">
        <w:rPr>
          <w:rFonts w:cs="Arial"/>
          <w:szCs w:val="24"/>
          <w:lang w:val="en-GB"/>
        </w:rPr>
        <w:t>.</w:t>
      </w:r>
    </w:p>
    <w:p w14:paraId="30A04E9D" w14:textId="746AF435" w:rsidR="002B1989" w:rsidRPr="007B7751" w:rsidRDefault="000541C6" w:rsidP="000541C6">
      <w:pPr>
        <w:pStyle w:val="Level1"/>
        <w:numPr>
          <w:ilvl w:val="0"/>
          <w:numId w:val="0"/>
        </w:numPr>
        <w:ind w:left="851" w:hanging="851"/>
        <w:rPr>
          <w:rFonts w:cs="Arial"/>
          <w:szCs w:val="24"/>
          <w:lang w:val="en-GB"/>
        </w:rPr>
      </w:pPr>
      <w:r w:rsidRPr="007B7751">
        <w:rPr>
          <w:rFonts w:cs="Arial"/>
          <w:szCs w:val="24"/>
          <w:lang w:val="en-GB"/>
        </w:rPr>
        <w:lastRenderedPageBreak/>
        <w:t>27.</w:t>
      </w:r>
      <w:r w:rsidRPr="007B7751">
        <w:rPr>
          <w:rFonts w:cs="Arial"/>
          <w:szCs w:val="24"/>
          <w:lang w:val="en-GB"/>
        </w:rPr>
        <w:tab/>
      </w:r>
      <w:r w:rsidR="00855304" w:rsidRPr="00FA484A">
        <w:rPr>
          <w:rFonts w:cs="Arial"/>
          <w:szCs w:val="24"/>
          <w:lang w:val="en-GB"/>
        </w:rPr>
        <w:t>Language</w:t>
      </w:r>
      <w:r w:rsidR="001F7E06" w:rsidRPr="00FA484A">
        <w:rPr>
          <w:rFonts w:cs="Arial"/>
          <w:szCs w:val="24"/>
          <w:lang w:val="en-GB"/>
        </w:rPr>
        <w:t xml:space="preserve"> quite rightly</w:t>
      </w:r>
      <w:r w:rsidR="00855304" w:rsidRPr="00FA484A">
        <w:rPr>
          <w:rFonts w:cs="Arial"/>
          <w:szCs w:val="24"/>
          <w:lang w:val="en-GB"/>
        </w:rPr>
        <w:t xml:space="preserve"> features prominently in the Bill of Rights.</w:t>
      </w:r>
      <w:r w:rsidR="00855304" w:rsidRPr="008F717C">
        <w:rPr>
          <w:rStyle w:val="FootnoteReference"/>
          <w:rFonts w:cs="Arial"/>
          <w:szCs w:val="24"/>
          <w:lang w:val="en-GB"/>
        </w:rPr>
        <w:footnoteReference w:id="6"/>
      </w:r>
      <w:r w:rsidR="00855304" w:rsidRPr="00FA484A">
        <w:rPr>
          <w:rFonts w:cs="Arial"/>
          <w:szCs w:val="24"/>
          <w:lang w:val="en-GB"/>
        </w:rPr>
        <w:t xml:space="preserve">  Section 6(1) designates the official languages, of which isiXhosa is one.</w:t>
      </w:r>
      <w:r w:rsidR="001F7E06" w:rsidRPr="00FA484A">
        <w:rPr>
          <w:rFonts w:cs="Arial"/>
          <w:szCs w:val="24"/>
          <w:lang w:val="en-GB"/>
        </w:rPr>
        <w:t xml:space="preserve">  </w:t>
      </w:r>
      <w:r w:rsidR="0027092F" w:rsidRPr="00FA484A">
        <w:rPr>
          <w:rFonts w:cs="Arial"/>
          <w:szCs w:val="24"/>
          <w:lang w:val="en-GB"/>
        </w:rPr>
        <w:t xml:space="preserve">Section 6(2) recognises the historically diminished status and use of indigenous languages and enjoins the State to </w:t>
      </w:r>
      <w:r w:rsidR="00C11F87" w:rsidRPr="00FA484A">
        <w:rPr>
          <w:rFonts w:cs="Arial"/>
          <w:szCs w:val="24"/>
          <w:lang w:val="en-GB"/>
        </w:rPr>
        <w:t>“</w:t>
      </w:r>
      <w:r w:rsidR="0027092F" w:rsidRPr="00FA484A">
        <w:rPr>
          <w:rFonts w:cs="Arial"/>
          <w:i/>
          <w:iCs/>
          <w:szCs w:val="24"/>
          <w:lang w:val="en-GB"/>
        </w:rPr>
        <w:t>take practical and positive measures to evaluate the status and advance the use of these languages</w:t>
      </w:r>
      <w:r w:rsidR="00C11F87" w:rsidRPr="00FA484A">
        <w:rPr>
          <w:rFonts w:cs="Arial"/>
          <w:szCs w:val="24"/>
          <w:lang w:val="en-GB"/>
        </w:rPr>
        <w:t>”</w:t>
      </w:r>
      <w:r w:rsidR="0027092F" w:rsidRPr="00FA484A">
        <w:rPr>
          <w:rFonts w:cs="Arial"/>
          <w:szCs w:val="24"/>
          <w:lang w:val="en-GB"/>
        </w:rPr>
        <w:t>.</w:t>
      </w:r>
      <w:r w:rsidR="001F7E06" w:rsidRPr="00FA484A">
        <w:rPr>
          <w:rFonts w:cs="Arial"/>
          <w:szCs w:val="24"/>
          <w:lang w:val="en-GB"/>
        </w:rPr>
        <w:t xml:space="preserve">  </w:t>
      </w:r>
      <w:r w:rsidR="0027092F" w:rsidRPr="00FA484A">
        <w:rPr>
          <w:rFonts w:cs="Arial"/>
          <w:szCs w:val="24"/>
          <w:lang w:val="en-GB"/>
        </w:rPr>
        <w:t>Section 6(</w:t>
      </w:r>
      <w:r w:rsidR="00855304" w:rsidRPr="00FA484A">
        <w:rPr>
          <w:rFonts w:cs="Arial"/>
          <w:szCs w:val="24"/>
          <w:lang w:val="en-GB"/>
        </w:rPr>
        <w:t>3</w:t>
      </w:r>
      <w:r w:rsidR="0027092F" w:rsidRPr="00FA484A">
        <w:rPr>
          <w:rFonts w:cs="Arial"/>
          <w:szCs w:val="24"/>
          <w:lang w:val="en-GB"/>
        </w:rPr>
        <w:t xml:space="preserve">) provides that </w:t>
      </w:r>
      <w:r w:rsidR="00C11F87" w:rsidRPr="00FA484A">
        <w:rPr>
          <w:rFonts w:cs="Arial"/>
          <w:szCs w:val="24"/>
          <w:lang w:val="en-GB"/>
        </w:rPr>
        <w:t>“</w:t>
      </w:r>
      <w:r w:rsidR="0027092F" w:rsidRPr="00FA484A">
        <w:rPr>
          <w:rFonts w:cs="Arial"/>
          <w:i/>
          <w:iCs/>
          <w:szCs w:val="24"/>
          <w:lang w:val="en-GB"/>
        </w:rPr>
        <w:t xml:space="preserve">without detracting from the provisions of subsection (2), all official languages must enjoy parity of esteem and must be treated </w:t>
      </w:r>
      <w:r w:rsidR="005C6904" w:rsidRPr="00FA484A">
        <w:rPr>
          <w:rFonts w:cs="Arial"/>
          <w:i/>
          <w:iCs/>
          <w:szCs w:val="24"/>
          <w:lang w:val="en-GB"/>
        </w:rPr>
        <w:t>equitably</w:t>
      </w:r>
      <w:r w:rsidR="00C11F87" w:rsidRPr="00FA484A">
        <w:rPr>
          <w:rFonts w:cs="Arial"/>
          <w:szCs w:val="24"/>
          <w:lang w:val="en-GB"/>
        </w:rPr>
        <w:t>”</w:t>
      </w:r>
      <w:r w:rsidR="00855304" w:rsidRPr="00FA484A">
        <w:rPr>
          <w:rFonts w:cs="Arial"/>
          <w:szCs w:val="24"/>
          <w:lang w:val="en-GB"/>
        </w:rPr>
        <w:t>.</w:t>
      </w:r>
      <w:r w:rsidR="00B52986" w:rsidRPr="00FA484A">
        <w:rPr>
          <w:rFonts w:cs="Arial"/>
          <w:szCs w:val="24"/>
          <w:lang w:val="en-GB"/>
        </w:rPr>
        <w:t xml:space="preserve"> </w:t>
      </w:r>
      <w:r w:rsidR="007D087E" w:rsidRPr="00FA484A">
        <w:rPr>
          <w:lang w:val="en-GB"/>
        </w:rPr>
        <w:t>Under the heading “</w:t>
      </w:r>
      <w:r w:rsidR="007D087E" w:rsidRPr="00FA484A">
        <w:rPr>
          <w:i/>
          <w:iCs/>
          <w:lang w:val="en-GB"/>
        </w:rPr>
        <w:t>Equality</w:t>
      </w:r>
      <w:r w:rsidR="007D087E" w:rsidRPr="00FA484A">
        <w:rPr>
          <w:lang w:val="en-GB"/>
        </w:rPr>
        <w:t xml:space="preserve">”, </w:t>
      </w:r>
      <w:r w:rsidR="00BF2A5E" w:rsidRPr="00FA484A">
        <w:rPr>
          <w:lang w:val="en-GB"/>
        </w:rPr>
        <w:t>S</w:t>
      </w:r>
      <w:r w:rsidR="007D087E" w:rsidRPr="00FA484A">
        <w:rPr>
          <w:lang w:val="en-GB"/>
        </w:rPr>
        <w:t>ection 9</w:t>
      </w:r>
      <w:r w:rsidR="007D087E" w:rsidRPr="00FA484A">
        <w:rPr>
          <w:rFonts w:cs="Arial"/>
          <w:szCs w:val="24"/>
          <w:lang w:val="en-GB"/>
        </w:rPr>
        <w:t>(3)</w:t>
      </w:r>
      <w:r w:rsidR="00BE5CBE" w:rsidRPr="00FA484A">
        <w:rPr>
          <w:rFonts w:cs="Arial"/>
          <w:szCs w:val="24"/>
          <w:lang w:val="en-GB"/>
        </w:rPr>
        <w:t xml:space="preserve"> provides that</w:t>
      </w:r>
      <w:r w:rsidR="00B52986" w:rsidRPr="00FA484A">
        <w:rPr>
          <w:rFonts w:cs="Arial"/>
          <w:i/>
          <w:iCs/>
          <w:szCs w:val="24"/>
          <w:lang w:val="en-GB"/>
        </w:rPr>
        <w:t xml:space="preserve"> “</w:t>
      </w:r>
      <w:r w:rsidR="007D087E" w:rsidRPr="00FA484A">
        <w:rPr>
          <w:rFonts w:cs="Arial"/>
          <w:i/>
          <w:iCs/>
          <w:szCs w:val="24"/>
          <w:lang w:val="en-GB"/>
        </w:rPr>
        <w:t>The state may not unfairly discriminate directly or indirectly against anyone on one or more grounds, including</w:t>
      </w:r>
      <w:r w:rsidR="00FA484A">
        <w:rPr>
          <w:rFonts w:cs="Arial"/>
          <w:i/>
          <w:iCs/>
          <w:szCs w:val="24"/>
          <w:lang w:val="en-GB"/>
        </w:rPr>
        <w:t>…</w:t>
      </w:r>
      <w:r w:rsidR="007D087E" w:rsidRPr="00FA484A">
        <w:rPr>
          <w:rFonts w:cs="Arial"/>
          <w:i/>
          <w:iCs/>
          <w:szCs w:val="24"/>
          <w:lang w:val="en-GB"/>
        </w:rPr>
        <w:t xml:space="preserve"> language</w:t>
      </w:r>
      <w:r w:rsidR="00FA484A">
        <w:rPr>
          <w:rFonts w:cs="Arial"/>
          <w:i/>
          <w:iCs/>
          <w:szCs w:val="24"/>
          <w:lang w:val="en-GB"/>
        </w:rPr>
        <w:t>”</w:t>
      </w:r>
      <w:r w:rsidR="007D087E" w:rsidRPr="00FA484A">
        <w:rPr>
          <w:rFonts w:cs="Arial"/>
          <w:i/>
          <w:iCs/>
          <w:szCs w:val="24"/>
          <w:lang w:val="en-GB"/>
        </w:rPr>
        <w:t>.</w:t>
      </w:r>
      <w:r w:rsidR="00BF2A5E" w:rsidRPr="00FA484A">
        <w:rPr>
          <w:rFonts w:cs="Arial"/>
          <w:szCs w:val="24"/>
          <w:lang w:val="en-GB"/>
        </w:rPr>
        <w:t xml:space="preserve"> Section </w:t>
      </w:r>
      <w:r w:rsidR="00377720" w:rsidRPr="00FA484A">
        <w:rPr>
          <w:rFonts w:cs="Arial"/>
          <w:szCs w:val="24"/>
          <w:lang w:val="en-GB"/>
        </w:rPr>
        <w:t>9</w:t>
      </w:r>
      <w:r w:rsidR="007D087E" w:rsidRPr="00FA484A">
        <w:rPr>
          <w:rFonts w:cs="Arial"/>
          <w:szCs w:val="24"/>
          <w:lang w:val="en-GB"/>
        </w:rPr>
        <w:t>(5)</w:t>
      </w:r>
      <w:r w:rsidR="00FA484A">
        <w:rPr>
          <w:rFonts w:cs="Arial"/>
          <w:szCs w:val="24"/>
          <w:lang w:val="en-GB"/>
        </w:rPr>
        <w:t xml:space="preserve"> </w:t>
      </w:r>
      <w:r w:rsidR="00377720" w:rsidRPr="00FA484A">
        <w:rPr>
          <w:rFonts w:cs="Arial"/>
          <w:szCs w:val="24"/>
          <w:lang w:val="en-GB"/>
        </w:rPr>
        <w:t>provides that</w:t>
      </w:r>
      <w:r w:rsidR="00377720" w:rsidRPr="00FA484A">
        <w:rPr>
          <w:rFonts w:cs="Arial"/>
          <w:i/>
          <w:iCs/>
          <w:szCs w:val="24"/>
          <w:lang w:val="en-GB"/>
        </w:rPr>
        <w:t xml:space="preserve"> “</w:t>
      </w:r>
      <w:r w:rsidR="007D087E" w:rsidRPr="00FA484A">
        <w:rPr>
          <w:rFonts w:cs="Arial"/>
          <w:i/>
          <w:iCs/>
          <w:szCs w:val="24"/>
          <w:lang w:val="en-GB"/>
        </w:rPr>
        <w:t>Discrimination on one or more of the grounds listed in subsection (3) is unfair unless it is established that the discrimination is fair.”</w:t>
      </w:r>
      <w:r w:rsidR="00B3141C" w:rsidRPr="00FA484A">
        <w:rPr>
          <w:rFonts w:cs="Arial"/>
          <w:szCs w:val="24"/>
          <w:lang w:val="en-GB"/>
        </w:rPr>
        <w:t xml:space="preserve"> </w:t>
      </w:r>
      <w:r w:rsidR="007D087E" w:rsidRPr="00FA484A">
        <w:rPr>
          <w:lang w:val="en-GB"/>
        </w:rPr>
        <w:t>Section 30</w:t>
      </w:r>
      <w:r w:rsidR="00B3141C" w:rsidRPr="00FA484A">
        <w:rPr>
          <w:lang w:val="en-GB"/>
        </w:rPr>
        <w:t xml:space="preserve">, under the heading </w:t>
      </w:r>
      <w:r w:rsidR="00B95A70" w:rsidRPr="00FA484A">
        <w:rPr>
          <w:i/>
          <w:iCs/>
          <w:lang w:val="en-GB"/>
        </w:rPr>
        <w:t>“L</w:t>
      </w:r>
      <w:r w:rsidR="00B3141C" w:rsidRPr="00FA484A">
        <w:rPr>
          <w:i/>
          <w:iCs/>
          <w:lang w:val="en-GB"/>
        </w:rPr>
        <w:t>anguage and culture</w:t>
      </w:r>
      <w:r w:rsidR="00B95A70" w:rsidRPr="00FA484A">
        <w:rPr>
          <w:i/>
          <w:iCs/>
          <w:lang w:val="en-GB"/>
        </w:rPr>
        <w:t>”</w:t>
      </w:r>
      <w:r w:rsidR="00B3141C" w:rsidRPr="00FA484A">
        <w:rPr>
          <w:lang w:val="en-GB"/>
        </w:rPr>
        <w:t xml:space="preserve">, </w:t>
      </w:r>
      <w:r w:rsidR="007D087E" w:rsidRPr="00FA484A">
        <w:rPr>
          <w:lang w:val="en-GB"/>
        </w:rPr>
        <w:t xml:space="preserve"> provides that:</w:t>
      </w:r>
      <w:r w:rsidR="00B95A70" w:rsidRPr="00FA484A">
        <w:rPr>
          <w:rFonts w:cs="Arial"/>
          <w:b/>
          <w:bCs/>
          <w:szCs w:val="24"/>
          <w:lang w:val="en-GB"/>
        </w:rPr>
        <w:t xml:space="preserve"> </w:t>
      </w:r>
      <w:r w:rsidR="00B95A70" w:rsidRPr="00001FD6">
        <w:rPr>
          <w:rFonts w:cs="Arial"/>
          <w:b/>
          <w:bCs/>
          <w:i/>
          <w:iCs/>
          <w:szCs w:val="24"/>
          <w:lang w:val="en-GB"/>
        </w:rPr>
        <w:t>“</w:t>
      </w:r>
      <w:r w:rsidR="007D087E" w:rsidRPr="00001FD6">
        <w:rPr>
          <w:rFonts w:cs="Arial"/>
          <w:i/>
          <w:iCs/>
          <w:szCs w:val="24"/>
          <w:lang w:val="en-GB"/>
        </w:rPr>
        <w:t>Everyone has the right to use the language and to participate in the cultural life of their choice</w:t>
      </w:r>
      <w:r w:rsidR="00001FD6">
        <w:rPr>
          <w:rFonts w:cs="Arial"/>
          <w:i/>
          <w:iCs/>
          <w:szCs w:val="24"/>
          <w:lang w:val="en-GB"/>
        </w:rPr>
        <w:t>…</w:t>
      </w:r>
      <w:r w:rsidR="007D087E" w:rsidRPr="00FA484A">
        <w:rPr>
          <w:rFonts w:cs="Arial"/>
          <w:szCs w:val="24"/>
          <w:lang w:val="en-GB"/>
        </w:rPr>
        <w:t>”</w:t>
      </w:r>
      <w:r w:rsidR="00B95A70" w:rsidRPr="00FA484A">
        <w:rPr>
          <w:rFonts w:cs="Arial"/>
          <w:szCs w:val="24"/>
          <w:lang w:val="en-GB"/>
        </w:rPr>
        <w:t xml:space="preserve"> </w:t>
      </w:r>
      <w:r w:rsidR="00E40459" w:rsidRPr="00FA484A">
        <w:rPr>
          <w:rFonts w:cs="Arial"/>
          <w:szCs w:val="24"/>
          <w:lang w:val="en-GB"/>
        </w:rPr>
        <w:t xml:space="preserve">Finally, </w:t>
      </w:r>
      <w:r w:rsidR="007D087E" w:rsidRPr="00FA484A">
        <w:rPr>
          <w:lang w:val="en-GB"/>
        </w:rPr>
        <w:t>Section 31</w:t>
      </w:r>
      <w:r w:rsidR="00F61BDD" w:rsidRPr="00FA484A">
        <w:rPr>
          <w:lang w:val="en-GB"/>
        </w:rPr>
        <w:t xml:space="preserve">, </w:t>
      </w:r>
      <w:r w:rsidR="00E40459" w:rsidRPr="00FA484A">
        <w:rPr>
          <w:lang w:val="en-GB"/>
        </w:rPr>
        <w:t xml:space="preserve">under the heading, </w:t>
      </w:r>
      <w:r w:rsidR="00E40459" w:rsidRPr="00001FD6">
        <w:rPr>
          <w:i/>
          <w:iCs/>
          <w:lang w:val="en-GB"/>
        </w:rPr>
        <w:t>“</w:t>
      </w:r>
      <w:r w:rsidR="00E40459" w:rsidRPr="00001FD6">
        <w:rPr>
          <w:rFonts w:cs="Arial"/>
          <w:i/>
          <w:iCs/>
          <w:szCs w:val="24"/>
          <w:lang w:val="en-GB"/>
        </w:rPr>
        <w:t>Cultural, religious and linguistic communities”</w:t>
      </w:r>
      <w:r w:rsidR="00E40459" w:rsidRPr="00FA484A">
        <w:rPr>
          <w:rFonts w:cs="Arial"/>
          <w:szCs w:val="24"/>
          <w:lang w:val="en-GB"/>
        </w:rPr>
        <w:t xml:space="preserve"> </w:t>
      </w:r>
      <w:r w:rsidR="00F61BDD" w:rsidRPr="00FA484A">
        <w:rPr>
          <w:rFonts w:cs="Arial"/>
          <w:szCs w:val="24"/>
          <w:lang w:val="en-GB"/>
        </w:rPr>
        <w:t xml:space="preserve">provides </w:t>
      </w:r>
      <w:r w:rsidR="007D087E" w:rsidRPr="00FA484A">
        <w:rPr>
          <w:lang w:val="en-GB"/>
        </w:rPr>
        <w:t>tha</w:t>
      </w:r>
      <w:r w:rsidR="00E40459" w:rsidRPr="00FA484A">
        <w:rPr>
          <w:lang w:val="en-GB"/>
        </w:rPr>
        <w:t xml:space="preserve">t: </w:t>
      </w:r>
      <w:r w:rsidR="00F61BDD" w:rsidRPr="001261D5">
        <w:rPr>
          <w:i/>
          <w:iCs/>
          <w:lang w:val="en-GB"/>
        </w:rPr>
        <w:t>“</w:t>
      </w:r>
      <w:r w:rsidR="007D087E" w:rsidRPr="001261D5">
        <w:rPr>
          <w:rFonts w:cs="Arial"/>
          <w:i/>
          <w:iCs/>
          <w:szCs w:val="24"/>
          <w:lang w:val="en-GB"/>
        </w:rPr>
        <w:t>(1)  Persons belonging to a</w:t>
      </w:r>
      <w:r w:rsidR="00001FD6" w:rsidRPr="001261D5">
        <w:rPr>
          <w:rFonts w:cs="Arial"/>
          <w:i/>
          <w:iCs/>
          <w:szCs w:val="24"/>
          <w:lang w:val="en-GB"/>
        </w:rPr>
        <w:t>…</w:t>
      </w:r>
      <w:r w:rsidR="007D087E" w:rsidRPr="001261D5">
        <w:rPr>
          <w:rFonts w:cs="Arial"/>
          <w:i/>
          <w:iCs/>
          <w:szCs w:val="24"/>
          <w:lang w:val="en-GB"/>
        </w:rPr>
        <w:t>linguistic community may not be denied the right, with other members of that community</w:t>
      </w:r>
      <w:r w:rsidR="00D0354D">
        <w:rPr>
          <w:rFonts w:cs="Arial"/>
          <w:i/>
          <w:iCs/>
          <w:szCs w:val="24"/>
          <w:lang w:val="en-GB"/>
        </w:rPr>
        <w:t>…</w:t>
      </w:r>
      <w:r w:rsidR="00D0354D">
        <w:rPr>
          <w:i/>
          <w:iCs/>
          <w:lang w:val="en-GB"/>
        </w:rPr>
        <w:t xml:space="preserve">to </w:t>
      </w:r>
      <w:r w:rsidR="007D087E" w:rsidRPr="001261D5">
        <w:rPr>
          <w:i/>
          <w:iCs/>
          <w:lang w:val="en-GB"/>
        </w:rPr>
        <w:t>use their language</w:t>
      </w:r>
      <w:r w:rsidR="001261D5" w:rsidRPr="001261D5">
        <w:rPr>
          <w:i/>
          <w:iCs/>
          <w:lang w:val="en-GB"/>
        </w:rPr>
        <w:t>”.</w:t>
      </w:r>
      <w:r w:rsidR="007B7751">
        <w:rPr>
          <w:i/>
          <w:iCs/>
          <w:lang w:val="en-GB"/>
        </w:rPr>
        <w:t xml:space="preserve"> </w:t>
      </w:r>
      <w:r w:rsidR="002B1989" w:rsidRPr="007B7751">
        <w:rPr>
          <w:rFonts w:cs="Arial"/>
          <w:szCs w:val="24"/>
          <w:lang w:val="en-GB"/>
        </w:rPr>
        <w:t>It is not without significance that language rights are accorded constitutional status.</w:t>
      </w:r>
    </w:p>
    <w:p w14:paraId="230F39A4" w14:textId="738FF305" w:rsidR="000778D8" w:rsidRPr="0074636F" w:rsidRDefault="000541C6" w:rsidP="000541C6">
      <w:pPr>
        <w:pStyle w:val="Level1"/>
        <w:numPr>
          <w:ilvl w:val="0"/>
          <w:numId w:val="0"/>
        </w:numPr>
        <w:ind w:left="851" w:hanging="851"/>
        <w:rPr>
          <w:lang w:val="en-GB"/>
        </w:rPr>
      </w:pPr>
      <w:r w:rsidRPr="0074636F">
        <w:rPr>
          <w:lang w:val="en-GB"/>
        </w:rPr>
        <w:t>28.</w:t>
      </w:r>
      <w:r w:rsidRPr="0074636F">
        <w:rPr>
          <w:lang w:val="en-GB"/>
        </w:rPr>
        <w:tab/>
      </w:r>
      <w:r w:rsidR="005C6904" w:rsidRPr="0074636F">
        <w:rPr>
          <w:rFonts w:cs="Arial"/>
          <w:szCs w:val="24"/>
          <w:lang w:val="en-GB"/>
        </w:rPr>
        <w:t xml:space="preserve">David Wright, </w:t>
      </w:r>
      <w:r w:rsidR="000778D8" w:rsidRPr="0074636F">
        <w:rPr>
          <w:rFonts w:cs="Arial"/>
          <w:szCs w:val="24"/>
          <w:lang w:val="en-GB"/>
        </w:rPr>
        <w:t>in his article “</w:t>
      </w:r>
      <w:r w:rsidR="000778D8" w:rsidRPr="0074636F">
        <w:rPr>
          <w:rFonts w:cs="Arial"/>
          <w:i/>
          <w:iCs/>
          <w:szCs w:val="24"/>
          <w:lang w:val="en-GB"/>
        </w:rPr>
        <w:t>Language puts ordinary people at a disadvantage in the criminal justice system</w:t>
      </w:r>
      <w:r w:rsidR="000778D8" w:rsidRPr="0074636F">
        <w:rPr>
          <w:rFonts w:cs="Arial"/>
          <w:szCs w:val="24"/>
          <w:lang w:val="en-GB"/>
        </w:rPr>
        <w:t>”,</w:t>
      </w:r>
      <w:r w:rsidR="002E73B9" w:rsidRPr="008F717C">
        <w:rPr>
          <w:rStyle w:val="FootnoteReference"/>
          <w:rFonts w:cs="Arial"/>
          <w:szCs w:val="24"/>
          <w:lang w:val="en-GB"/>
        </w:rPr>
        <w:footnoteReference w:id="7"/>
      </w:r>
      <w:r w:rsidR="000778D8" w:rsidRPr="0074636F">
        <w:rPr>
          <w:rFonts w:cs="Arial"/>
          <w:szCs w:val="24"/>
          <w:lang w:val="en-GB"/>
        </w:rPr>
        <w:t xml:space="preserve"> </w:t>
      </w:r>
      <w:r w:rsidR="003B4709" w:rsidRPr="0074636F">
        <w:rPr>
          <w:rFonts w:cs="Arial"/>
          <w:szCs w:val="24"/>
          <w:lang w:val="en-GB"/>
        </w:rPr>
        <w:t xml:space="preserve">which discusses </w:t>
      </w:r>
      <w:r w:rsidR="00A373DC" w:rsidRPr="0074636F">
        <w:rPr>
          <w:rFonts w:cs="Arial"/>
          <w:szCs w:val="24"/>
          <w:lang w:val="en-GB"/>
        </w:rPr>
        <w:t>implications of the</w:t>
      </w:r>
      <w:r w:rsidR="003B4709" w:rsidRPr="0074636F">
        <w:rPr>
          <w:rFonts w:cs="Arial"/>
          <w:szCs w:val="24"/>
          <w:lang w:val="en-GB"/>
        </w:rPr>
        <w:t xml:space="preserve"> use of </w:t>
      </w:r>
      <w:r w:rsidR="00130C00" w:rsidRPr="0074636F">
        <w:rPr>
          <w:rFonts w:cs="Arial"/>
          <w:szCs w:val="24"/>
          <w:lang w:val="en-GB"/>
        </w:rPr>
        <w:t xml:space="preserve">legal language rather than plain language, </w:t>
      </w:r>
      <w:r w:rsidR="00464E35" w:rsidRPr="0074636F">
        <w:rPr>
          <w:rFonts w:cs="Arial"/>
          <w:szCs w:val="24"/>
          <w:lang w:val="en-GB"/>
        </w:rPr>
        <w:t>posits</w:t>
      </w:r>
      <w:r w:rsidR="000778D8" w:rsidRPr="0074636F">
        <w:rPr>
          <w:rFonts w:cs="Arial"/>
          <w:szCs w:val="24"/>
          <w:lang w:val="en-GB"/>
        </w:rPr>
        <w:t xml:space="preserve"> that</w:t>
      </w:r>
      <w:r w:rsidR="006A69AF" w:rsidRPr="0074636F">
        <w:rPr>
          <w:rFonts w:cs="Arial"/>
          <w:szCs w:val="24"/>
          <w:lang w:val="en-GB"/>
        </w:rPr>
        <w:t xml:space="preserve"> </w:t>
      </w:r>
      <w:r w:rsidR="000778D8" w:rsidRPr="0074636F">
        <w:rPr>
          <w:i/>
          <w:iCs/>
          <w:lang w:val="en-GB"/>
        </w:rPr>
        <w:t>“Language is pervasive throughout the criminal justice system.  A textual cha</w:t>
      </w:r>
      <w:r w:rsidR="00B24F4D" w:rsidRPr="0074636F">
        <w:rPr>
          <w:i/>
          <w:iCs/>
          <w:lang w:val="en-GB"/>
        </w:rPr>
        <w:t>in</w:t>
      </w:r>
      <w:r w:rsidR="000778D8" w:rsidRPr="0074636F">
        <w:rPr>
          <w:i/>
          <w:iCs/>
          <w:lang w:val="en-GB"/>
        </w:rPr>
        <w:t xml:space="preserve"> follows a person from the moment they are arrested until their day in court, and it is all underpinned </w:t>
      </w:r>
      <w:r w:rsidR="000778D8" w:rsidRPr="0074636F">
        <w:rPr>
          <w:i/>
          <w:iCs/>
          <w:lang w:val="en-GB"/>
        </w:rPr>
        <w:lastRenderedPageBreak/>
        <w:t>by meticulously drafted legislation.  At every step, there are challenges faced by laypeople who find themselves in the linguistic webs of the justice system.”</w:t>
      </w:r>
      <w:r w:rsidR="004436EA" w:rsidRPr="0074636F">
        <w:rPr>
          <w:rFonts w:cs="Arial"/>
          <w:szCs w:val="24"/>
          <w:lang w:val="en-GB"/>
        </w:rPr>
        <w:t xml:space="preserve"> </w:t>
      </w:r>
      <w:r w:rsidR="00813FFF" w:rsidRPr="0074636F">
        <w:rPr>
          <w:lang w:val="en-GB"/>
        </w:rPr>
        <w:t xml:space="preserve">He goes on to </w:t>
      </w:r>
      <w:r w:rsidR="00374180" w:rsidRPr="0074636F">
        <w:rPr>
          <w:lang w:val="en-GB"/>
        </w:rPr>
        <w:t>comment</w:t>
      </w:r>
      <w:r w:rsidR="000778D8" w:rsidRPr="0074636F">
        <w:rPr>
          <w:lang w:val="en-GB"/>
        </w:rPr>
        <w:t xml:space="preserve"> that </w:t>
      </w:r>
      <w:r w:rsidR="000778D8" w:rsidRPr="0074636F">
        <w:rPr>
          <w:i/>
          <w:iCs/>
          <w:lang w:val="en-GB"/>
        </w:rPr>
        <w:t>“the issue of comprehensibility is compounded, of course, when the detainee is not a native speaker of English</w:t>
      </w:r>
      <w:r w:rsidR="000778D8" w:rsidRPr="0074636F">
        <w:rPr>
          <w:lang w:val="en-GB"/>
        </w:rPr>
        <w:t>”.</w:t>
      </w:r>
      <w:r w:rsidR="00411E7B" w:rsidRPr="0074636F">
        <w:rPr>
          <w:rFonts w:cs="Arial"/>
          <w:szCs w:val="24"/>
          <w:lang w:val="en-GB"/>
        </w:rPr>
        <w:t xml:space="preserve"> Finally</w:t>
      </w:r>
      <w:r w:rsidR="000778D8" w:rsidRPr="0074636F">
        <w:rPr>
          <w:lang w:val="en-GB"/>
        </w:rPr>
        <w:t xml:space="preserve"> he </w:t>
      </w:r>
      <w:r w:rsidR="00B833C2" w:rsidRPr="0074636F">
        <w:rPr>
          <w:lang w:val="en-GB"/>
        </w:rPr>
        <w:t>writes</w:t>
      </w:r>
      <w:r w:rsidR="000778D8" w:rsidRPr="0074636F">
        <w:rPr>
          <w:lang w:val="en-GB"/>
        </w:rPr>
        <w:t xml:space="preserve"> that “</w:t>
      </w:r>
      <w:r w:rsidR="000778D8" w:rsidRPr="0074636F">
        <w:rPr>
          <w:i/>
          <w:iCs/>
          <w:lang w:val="en-GB"/>
        </w:rPr>
        <w:t>language will forever remain integral to our criminal justice system, and it will continue to disadvantage many who find themselves in the process.</w:t>
      </w:r>
      <w:r w:rsidR="000778D8" w:rsidRPr="0074636F">
        <w:rPr>
          <w:lang w:val="en-GB"/>
        </w:rPr>
        <w:t>”</w:t>
      </w:r>
      <w:r w:rsidR="0074636F" w:rsidRPr="0074636F">
        <w:rPr>
          <w:lang w:val="en-GB"/>
        </w:rPr>
        <w:t xml:space="preserve"> </w:t>
      </w:r>
      <w:r w:rsidR="005054B4">
        <w:rPr>
          <w:lang w:val="en-GB"/>
        </w:rPr>
        <w:t xml:space="preserve">Wright makes the language issue real. </w:t>
      </w:r>
      <w:r w:rsidR="00CC3CB2">
        <w:rPr>
          <w:lang w:val="en-GB"/>
        </w:rPr>
        <w:t xml:space="preserve">It is not merely and academic </w:t>
      </w:r>
      <w:r w:rsidR="002B3BD8">
        <w:rPr>
          <w:lang w:val="en-GB"/>
        </w:rPr>
        <w:t xml:space="preserve">debate. </w:t>
      </w:r>
      <w:r w:rsidR="000778D8" w:rsidRPr="0074636F">
        <w:rPr>
          <w:lang w:val="en-GB"/>
        </w:rPr>
        <w:t xml:space="preserve">How </w:t>
      </w:r>
      <w:r w:rsidR="002B3BD8">
        <w:rPr>
          <w:lang w:val="en-GB"/>
        </w:rPr>
        <w:t>language</w:t>
      </w:r>
      <w:r w:rsidR="000778D8" w:rsidRPr="0074636F">
        <w:rPr>
          <w:lang w:val="en-GB"/>
        </w:rPr>
        <w:t xml:space="preserve"> is handled has far-reaching ramifications for the people involved in the criminal justice process, </w:t>
      </w:r>
      <w:r w:rsidR="002B3BD8">
        <w:rPr>
          <w:lang w:val="en-GB"/>
        </w:rPr>
        <w:t xml:space="preserve">including </w:t>
      </w:r>
      <w:r w:rsidR="00B16E9F" w:rsidRPr="0074636F">
        <w:rPr>
          <w:lang w:val="en-GB"/>
        </w:rPr>
        <w:t>the</w:t>
      </w:r>
      <w:r w:rsidR="00A41AA0" w:rsidRPr="0074636F">
        <w:rPr>
          <w:lang w:val="en-GB"/>
        </w:rPr>
        <w:t xml:space="preserve"> accused,</w:t>
      </w:r>
      <w:r w:rsidR="000778D8" w:rsidRPr="0074636F">
        <w:rPr>
          <w:lang w:val="en-GB"/>
        </w:rPr>
        <w:t xml:space="preserve"> witnesses</w:t>
      </w:r>
      <w:r w:rsidR="00A41AA0" w:rsidRPr="0074636F">
        <w:rPr>
          <w:lang w:val="en-GB"/>
        </w:rPr>
        <w:t>, victims, complainants, legal representatives and ultimately the presiding officer if the matter should come to court.</w:t>
      </w:r>
    </w:p>
    <w:p w14:paraId="59B2BE56" w14:textId="3C2F0998" w:rsidR="001B4C88" w:rsidRPr="00320EF0" w:rsidRDefault="000541C6" w:rsidP="000541C6">
      <w:pPr>
        <w:pStyle w:val="Level1"/>
        <w:numPr>
          <w:ilvl w:val="0"/>
          <w:numId w:val="0"/>
        </w:numPr>
        <w:ind w:left="851" w:hanging="851"/>
        <w:rPr>
          <w:lang w:val="en-GB"/>
        </w:rPr>
      </w:pPr>
      <w:r w:rsidRPr="00320EF0">
        <w:rPr>
          <w:lang w:val="en-GB"/>
        </w:rPr>
        <w:t>29.</w:t>
      </w:r>
      <w:r w:rsidRPr="00320EF0">
        <w:rPr>
          <w:lang w:val="en-GB"/>
        </w:rPr>
        <w:tab/>
      </w:r>
      <w:r w:rsidR="004A6E3F" w:rsidRPr="00320EF0">
        <w:rPr>
          <w:lang w:val="en-GB"/>
        </w:rPr>
        <w:t>Speaking to the South African experience, Annelise de Vries, Russel H Kashula and Zakera Docrat, in their article “</w:t>
      </w:r>
      <w:r w:rsidR="004A6E3F" w:rsidRPr="00320EF0">
        <w:rPr>
          <w:i/>
          <w:iCs/>
          <w:lang w:val="en-GB"/>
        </w:rPr>
        <w:t>Why using just one language in South Africa’s courts is a problem</w:t>
      </w:r>
      <w:r w:rsidR="004A6E3F" w:rsidRPr="00320EF0">
        <w:rPr>
          <w:lang w:val="en-GB"/>
        </w:rPr>
        <w:t>”,</w:t>
      </w:r>
      <w:r w:rsidR="004A6E3F" w:rsidRPr="008F717C">
        <w:rPr>
          <w:rStyle w:val="FootnoteReference"/>
          <w:lang w:val="en-GB"/>
        </w:rPr>
        <w:footnoteReference w:id="8"/>
      </w:r>
      <w:r w:rsidR="004A6E3F" w:rsidRPr="00320EF0">
        <w:rPr>
          <w:lang w:val="en-GB"/>
        </w:rPr>
        <w:t xml:space="preserve"> discuss the disadvantage experienced by people who are not able to communicate fluently in English in </w:t>
      </w:r>
      <w:r w:rsidR="00905C5C">
        <w:rPr>
          <w:lang w:val="en-GB"/>
        </w:rPr>
        <w:t>c</w:t>
      </w:r>
      <w:r w:rsidR="004A6E3F" w:rsidRPr="00320EF0">
        <w:rPr>
          <w:lang w:val="en-GB"/>
        </w:rPr>
        <w:t>ourt and when dealing with legal representatives.</w:t>
      </w:r>
      <w:r w:rsidR="00320EF0" w:rsidRPr="00320EF0">
        <w:rPr>
          <w:lang w:val="en-GB"/>
        </w:rPr>
        <w:t xml:space="preserve"> </w:t>
      </w:r>
      <w:r w:rsidR="00B117A1" w:rsidRPr="00320EF0">
        <w:rPr>
          <w:lang w:val="en-GB"/>
        </w:rPr>
        <w:t>A</w:t>
      </w:r>
      <w:r w:rsidR="004A6E3F" w:rsidRPr="00320EF0">
        <w:rPr>
          <w:lang w:val="en-GB"/>
        </w:rPr>
        <w:t xml:space="preserve">s far as I could ascertain, the proceedings were expertly translated from English into isiXhosa and vice versa.  </w:t>
      </w:r>
      <w:r w:rsidR="00B117A1" w:rsidRPr="00320EF0">
        <w:rPr>
          <w:lang w:val="en-GB"/>
        </w:rPr>
        <w:t>In doing so the rights of those</w:t>
      </w:r>
      <w:r w:rsidR="004A6E3F" w:rsidRPr="00320EF0">
        <w:rPr>
          <w:lang w:val="en-GB"/>
        </w:rPr>
        <w:t xml:space="preserve"> involved in this case, </w:t>
      </w:r>
      <w:r w:rsidR="00B117A1" w:rsidRPr="00320EF0">
        <w:rPr>
          <w:lang w:val="en-GB"/>
        </w:rPr>
        <w:t>who are not</w:t>
      </w:r>
      <w:r w:rsidR="004A6E3F" w:rsidRPr="00320EF0">
        <w:rPr>
          <w:lang w:val="en-GB"/>
        </w:rPr>
        <w:t xml:space="preserve"> proficient in </w:t>
      </w:r>
      <w:r w:rsidR="00B117A1" w:rsidRPr="00320EF0">
        <w:rPr>
          <w:lang w:val="en-GB"/>
        </w:rPr>
        <w:t xml:space="preserve">English, were accorded </w:t>
      </w:r>
      <w:r w:rsidR="00614385">
        <w:rPr>
          <w:lang w:val="en-GB"/>
        </w:rPr>
        <w:t xml:space="preserve">recognition and </w:t>
      </w:r>
      <w:r w:rsidR="00B117A1" w:rsidRPr="00320EF0">
        <w:rPr>
          <w:lang w:val="en-GB"/>
        </w:rPr>
        <w:t>respect</w:t>
      </w:r>
      <w:r w:rsidR="007B7164">
        <w:rPr>
          <w:lang w:val="en-GB"/>
        </w:rPr>
        <w:t xml:space="preserve"> whilst within the four walls of the court</w:t>
      </w:r>
      <w:r w:rsidR="001A37A3">
        <w:rPr>
          <w:lang w:val="en-GB"/>
        </w:rPr>
        <w:t xml:space="preserve">room. </w:t>
      </w:r>
      <w:r w:rsidR="004A6E3F" w:rsidRPr="00320EF0">
        <w:rPr>
          <w:lang w:val="en-GB"/>
        </w:rPr>
        <w:t xml:space="preserve">However, legal proceedings do not start in </w:t>
      </w:r>
      <w:r w:rsidR="007B7164">
        <w:rPr>
          <w:lang w:val="en-GB"/>
        </w:rPr>
        <w:t>c</w:t>
      </w:r>
      <w:r w:rsidR="004A6E3F" w:rsidRPr="00320EF0">
        <w:rPr>
          <w:lang w:val="en-GB"/>
        </w:rPr>
        <w:t>ourt</w:t>
      </w:r>
      <w:r w:rsidR="00EA49A4" w:rsidRPr="00320EF0">
        <w:rPr>
          <w:lang w:val="en-GB"/>
        </w:rPr>
        <w:t xml:space="preserve">. </w:t>
      </w:r>
      <w:r w:rsidR="004A6E3F" w:rsidRPr="00320EF0">
        <w:rPr>
          <w:lang w:val="en-GB"/>
        </w:rPr>
        <w:t xml:space="preserve"> </w:t>
      </w:r>
      <w:r w:rsidR="00EA49A4" w:rsidRPr="00320EF0">
        <w:rPr>
          <w:lang w:val="en-GB"/>
        </w:rPr>
        <w:t>T</w:t>
      </w:r>
      <w:r w:rsidR="004A6E3F" w:rsidRPr="00320EF0">
        <w:rPr>
          <w:lang w:val="en-GB"/>
        </w:rPr>
        <w:t>he steps that precede cases</w:t>
      </w:r>
      <w:r w:rsidR="000212EB">
        <w:rPr>
          <w:lang w:val="en-GB"/>
        </w:rPr>
        <w:t xml:space="preserve">, such as </w:t>
      </w:r>
      <w:r w:rsidR="004A6E3F" w:rsidRPr="00320EF0">
        <w:rPr>
          <w:lang w:val="en-GB"/>
        </w:rPr>
        <w:t>the taking of</w:t>
      </w:r>
      <w:r w:rsidR="00EA49A4" w:rsidRPr="00320EF0">
        <w:rPr>
          <w:lang w:val="en-GB"/>
        </w:rPr>
        <w:t xml:space="preserve"> </w:t>
      </w:r>
      <w:r w:rsidR="004A6E3F" w:rsidRPr="00320EF0">
        <w:rPr>
          <w:lang w:val="en-GB"/>
        </w:rPr>
        <w:t>statement</w:t>
      </w:r>
      <w:r w:rsidR="00B5248A">
        <w:rPr>
          <w:lang w:val="en-GB"/>
        </w:rPr>
        <w:t>s</w:t>
      </w:r>
      <w:r w:rsidR="005E7033">
        <w:rPr>
          <w:lang w:val="en-GB"/>
        </w:rPr>
        <w:t>, and reading of rights,</w:t>
      </w:r>
      <w:r w:rsidR="00B5248A">
        <w:rPr>
          <w:lang w:val="en-GB"/>
        </w:rPr>
        <w:t xml:space="preserve"> are critical part</w:t>
      </w:r>
      <w:r w:rsidR="00FA5A76">
        <w:rPr>
          <w:lang w:val="en-GB"/>
        </w:rPr>
        <w:t>s</w:t>
      </w:r>
      <w:r w:rsidR="00B5248A">
        <w:rPr>
          <w:lang w:val="en-GB"/>
        </w:rPr>
        <w:t xml:space="preserve"> of the criminal justice </w:t>
      </w:r>
      <w:r w:rsidR="00691E23">
        <w:rPr>
          <w:lang w:val="en-GB"/>
        </w:rPr>
        <w:t>process</w:t>
      </w:r>
      <w:r w:rsidR="002017ED">
        <w:rPr>
          <w:lang w:val="en-GB"/>
        </w:rPr>
        <w:t xml:space="preserve">, with serious </w:t>
      </w:r>
      <w:r w:rsidR="00691E23">
        <w:rPr>
          <w:rFonts w:cs="Arial"/>
          <w:szCs w:val="24"/>
          <w:lang w:val="en-GB"/>
        </w:rPr>
        <w:t xml:space="preserve">ramifications </w:t>
      </w:r>
      <w:r w:rsidR="004A6E3F" w:rsidRPr="00320EF0">
        <w:rPr>
          <w:rFonts w:cs="Arial"/>
          <w:szCs w:val="24"/>
          <w:lang w:val="en-GB"/>
        </w:rPr>
        <w:t xml:space="preserve">for the </w:t>
      </w:r>
      <w:r w:rsidR="004A6E3F" w:rsidRPr="00320EF0">
        <w:rPr>
          <w:rFonts w:cs="Arial"/>
          <w:szCs w:val="24"/>
          <w:lang w:val="en-GB"/>
        </w:rPr>
        <w:lastRenderedPageBreak/>
        <w:t>people who</w:t>
      </w:r>
      <w:r w:rsidR="00EA49A4" w:rsidRPr="00320EF0">
        <w:rPr>
          <w:rFonts w:cs="Arial"/>
          <w:szCs w:val="24"/>
          <w:lang w:val="en-GB"/>
        </w:rPr>
        <w:t>, in the words of Wright, “</w:t>
      </w:r>
      <w:r w:rsidR="00EA49A4" w:rsidRPr="00320EF0">
        <w:rPr>
          <w:rFonts w:cs="Arial"/>
          <w:i/>
          <w:iCs/>
          <w:szCs w:val="24"/>
          <w:lang w:val="en-GB"/>
        </w:rPr>
        <w:t>find themselves in the linguistic webs of the justice system</w:t>
      </w:r>
      <w:r w:rsidR="00EA49A4" w:rsidRPr="00320EF0">
        <w:rPr>
          <w:rFonts w:cs="Arial"/>
          <w:szCs w:val="24"/>
          <w:lang w:val="en-GB"/>
        </w:rPr>
        <w:t>”</w:t>
      </w:r>
      <w:r w:rsidR="002017ED">
        <w:rPr>
          <w:rFonts w:cs="Arial"/>
          <w:szCs w:val="24"/>
          <w:lang w:val="en-GB"/>
        </w:rPr>
        <w:t>.</w:t>
      </w:r>
    </w:p>
    <w:p w14:paraId="0B8D4920" w14:textId="00C5B7F6" w:rsidR="003E1ACD" w:rsidRPr="0050330B" w:rsidRDefault="000541C6" w:rsidP="000541C6">
      <w:pPr>
        <w:pStyle w:val="Level1"/>
        <w:numPr>
          <w:ilvl w:val="0"/>
          <w:numId w:val="0"/>
        </w:numPr>
        <w:ind w:left="851" w:hanging="851"/>
        <w:rPr>
          <w:lang w:val="en-GB"/>
        </w:rPr>
      </w:pPr>
      <w:r w:rsidRPr="0050330B">
        <w:rPr>
          <w:lang w:val="en-GB"/>
        </w:rPr>
        <w:t>30.</w:t>
      </w:r>
      <w:r w:rsidRPr="0050330B">
        <w:rPr>
          <w:lang w:val="en-GB"/>
        </w:rPr>
        <w:tab/>
      </w:r>
      <w:r w:rsidR="003E1ACD" w:rsidRPr="008F717C">
        <w:rPr>
          <w:rFonts w:cs="Arial"/>
          <w:szCs w:val="24"/>
          <w:lang w:val="en-GB"/>
        </w:rPr>
        <w:t>South Africa is a multilingual society, hence the recognition of eleven official languages.  However, in the context of th</w:t>
      </w:r>
      <w:r w:rsidR="00554FCE">
        <w:rPr>
          <w:rFonts w:cs="Arial"/>
          <w:szCs w:val="24"/>
          <w:lang w:val="en-GB"/>
        </w:rPr>
        <w:t>e case before me th</w:t>
      </w:r>
      <w:r w:rsidR="00F47646">
        <w:rPr>
          <w:rFonts w:cs="Arial"/>
          <w:szCs w:val="24"/>
          <w:lang w:val="en-GB"/>
        </w:rPr>
        <w:t>e</w:t>
      </w:r>
      <w:r w:rsidR="00554FCE">
        <w:rPr>
          <w:rFonts w:cs="Arial"/>
          <w:szCs w:val="24"/>
          <w:lang w:val="en-GB"/>
        </w:rPr>
        <w:t xml:space="preserve"> </w:t>
      </w:r>
      <w:r w:rsidR="003E1ACD" w:rsidRPr="008F717C">
        <w:rPr>
          <w:rFonts w:cs="Arial"/>
          <w:szCs w:val="24"/>
          <w:lang w:val="en-GB"/>
        </w:rPr>
        <w:t>principle of parity of language</w:t>
      </w:r>
      <w:r w:rsidR="004240AD">
        <w:rPr>
          <w:rFonts w:cs="Arial"/>
          <w:szCs w:val="24"/>
          <w:lang w:val="en-GB"/>
        </w:rPr>
        <w:t>s</w:t>
      </w:r>
      <w:r w:rsidR="003E1ACD" w:rsidRPr="008F717C">
        <w:rPr>
          <w:rFonts w:cs="Arial"/>
          <w:szCs w:val="24"/>
          <w:lang w:val="en-GB"/>
        </w:rPr>
        <w:t xml:space="preserve"> </w:t>
      </w:r>
      <w:r w:rsidR="001C6A41">
        <w:rPr>
          <w:rFonts w:cs="Arial"/>
          <w:szCs w:val="24"/>
          <w:lang w:val="en-GB"/>
        </w:rPr>
        <w:t>is more notional than real.</w:t>
      </w:r>
      <w:r w:rsidR="00B50C6C">
        <w:rPr>
          <w:rFonts w:cs="Arial"/>
          <w:szCs w:val="24"/>
          <w:lang w:val="en-GB"/>
        </w:rPr>
        <w:t xml:space="preserve"> The practice described by N</w:t>
      </w:r>
      <w:r w:rsidR="006903C7">
        <w:rPr>
          <w:rFonts w:cs="Arial"/>
          <w:szCs w:val="24"/>
          <w:lang w:val="en-GB"/>
        </w:rPr>
        <w:t>jingana</w:t>
      </w:r>
      <w:r w:rsidR="00B50C6C">
        <w:rPr>
          <w:rFonts w:cs="Arial"/>
          <w:szCs w:val="24"/>
          <w:lang w:val="en-GB"/>
        </w:rPr>
        <w:t xml:space="preserve"> and Mlon</w:t>
      </w:r>
      <w:r w:rsidR="006903C7">
        <w:rPr>
          <w:rFonts w:cs="Arial"/>
          <w:szCs w:val="24"/>
          <w:lang w:val="en-GB"/>
        </w:rPr>
        <w:t>y</w:t>
      </w:r>
      <w:r w:rsidR="00B50C6C">
        <w:rPr>
          <w:rFonts w:cs="Arial"/>
          <w:szCs w:val="24"/>
          <w:lang w:val="en-GB"/>
        </w:rPr>
        <w:t xml:space="preserve">eni, fosters a </w:t>
      </w:r>
      <w:r w:rsidR="003E1ACD" w:rsidRPr="008F717C">
        <w:rPr>
          <w:rFonts w:cs="Arial"/>
          <w:szCs w:val="24"/>
          <w:lang w:val="en-GB"/>
        </w:rPr>
        <w:t>language elitis</w:t>
      </w:r>
      <w:r w:rsidR="00B50C6C">
        <w:rPr>
          <w:rFonts w:cs="Arial"/>
          <w:szCs w:val="24"/>
          <w:lang w:val="en-GB"/>
        </w:rPr>
        <w:t xml:space="preserve">m </w:t>
      </w:r>
      <w:r w:rsidR="005A66A8">
        <w:rPr>
          <w:rFonts w:cs="Arial"/>
          <w:szCs w:val="24"/>
          <w:lang w:val="en-GB"/>
        </w:rPr>
        <w:t xml:space="preserve">and </w:t>
      </w:r>
      <w:r w:rsidR="00C8208D" w:rsidRPr="008F717C">
        <w:rPr>
          <w:rFonts w:cs="Arial"/>
          <w:szCs w:val="24"/>
          <w:lang w:val="en-GB"/>
        </w:rPr>
        <w:t xml:space="preserve">perpetuates the marginalisation </w:t>
      </w:r>
      <w:r w:rsidR="005A66A8">
        <w:rPr>
          <w:rFonts w:cs="Arial"/>
          <w:szCs w:val="24"/>
          <w:lang w:val="en-GB"/>
        </w:rPr>
        <w:t xml:space="preserve">people who </w:t>
      </w:r>
      <w:r w:rsidR="00E808FF" w:rsidRPr="008F717C">
        <w:rPr>
          <w:rFonts w:cs="Arial"/>
          <w:szCs w:val="24"/>
          <w:lang w:val="en-GB"/>
        </w:rPr>
        <w:t>are not sufficiently proficient.</w:t>
      </w:r>
      <w:r w:rsidR="00DC7ABA" w:rsidRPr="008F717C">
        <w:rPr>
          <w:rFonts w:cs="Arial"/>
          <w:szCs w:val="24"/>
          <w:lang w:val="en-GB"/>
        </w:rPr>
        <w:t xml:space="preserve">  It would seem that the </w:t>
      </w:r>
      <w:r w:rsidR="00193B86">
        <w:rPr>
          <w:rFonts w:cs="Arial"/>
          <w:szCs w:val="24"/>
          <w:lang w:val="en-GB"/>
        </w:rPr>
        <w:t>observation</w:t>
      </w:r>
      <w:r w:rsidR="00DC7ABA" w:rsidRPr="008F717C">
        <w:rPr>
          <w:rFonts w:cs="Arial"/>
          <w:szCs w:val="24"/>
          <w:lang w:val="en-GB"/>
        </w:rPr>
        <w:t xml:space="preserve"> of Viera </w:t>
      </w:r>
      <w:r w:rsidR="00DC7ABA" w:rsidRPr="008F717C">
        <w:rPr>
          <w:lang w:val="en-GB"/>
        </w:rPr>
        <w:t>Pawl</w:t>
      </w:r>
      <w:r w:rsidR="00DC7ABA" w:rsidRPr="008F717C">
        <w:rPr>
          <w:rFonts w:cs="Arial"/>
          <w:lang w:val="en-GB"/>
        </w:rPr>
        <w:t>í</w:t>
      </w:r>
      <w:r w:rsidR="00DC7ABA" w:rsidRPr="008F717C">
        <w:rPr>
          <w:lang w:val="en-GB"/>
        </w:rPr>
        <w:t>kov</w:t>
      </w:r>
      <w:r w:rsidR="00DC7ABA" w:rsidRPr="008F717C">
        <w:rPr>
          <w:rFonts w:cs="Arial"/>
          <w:lang w:val="en-GB"/>
        </w:rPr>
        <w:t>à</w:t>
      </w:r>
      <w:r w:rsidR="00DC7ABA" w:rsidRPr="008F717C">
        <w:rPr>
          <w:lang w:val="en-GB"/>
        </w:rPr>
        <w:t>-</w:t>
      </w:r>
      <w:r w:rsidR="00DC7ABA" w:rsidRPr="008F717C">
        <w:rPr>
          <w:rFonts w:cs="Arial"/>
          <w:lang w:val="en-GB"/>
        </w:rPr>
        <w:t>Vilahnovà</w:t>
      </w:r>
      <w:r w:rsidR="00DC7ABA" w:rsidRPr="008F717C">
        <w:rPr>
          <w:rFonts w:cs="Arial"/>
          <w:szCs w:val="24"/>
          <w:lang w:val="en-GB"/>
        </w:rPr>
        <w:t>,</w:t>
      </w:r>
      <w:r w:rsidR="00684329">
        <w:rPr>
          <w:rFonts w:cs="Arial"/>
          <w:szCs w:val="24"/>
          <w:lang w:val="en-GB"/>
        </w:rPr>
        <w:t xml:space="preserve"> </w:t>
      </w:r>
      <w:r w:rsidR="00684329" w:rsidRPr="008F717C">
        <w:rPr>
          <w:rFonts w:cs="Arial"/>
          <w:lang w:val="en-GB"/>
        </w:rPr>
        <w:t xml:space="preserve">that </w:t>
      </w:r>
      <w:r w:rsidR="00684329" w:rsidRPr="008F717C">
        <w:rPr>
          <w:lang w:val="en-GB"/>
        </w:rPr>
        <w:t>“</w:t>
      </w:r>
      <w:r w:rsidR="00684329" w:rsidRPr="008F717C">
        <w:rPr>
          <w:i/>
          <w:iCs/>
          <w:lang w:val="en-GB"/>
        </w:rPr>
        <w:t>The colonial legacy has rendered African languages invalidated, though they are spoken by the majority of people</w:t>
      </w:r>
      <w:r w:rsidR="00684329" w:rsidRPr="008F717C">
        <w:rPr>
          <w:lang w:val="en-GB"/>
        </w:rPr>
        <w:t>”</w:t>
      </w:r>
      <w:r w:rsidR="000A1720" w:rsidRPr="000A1720">
        <w:rPr>
          <w:rStyle w:val="FootnoteReference"/>
          <w:rFonts w:cs="Arial"/>
          <w:lang w:val="en-GB"/>
        </w:rPr>
        <w:t xml:space="preserve"> </w:t>
      </w:r>
      <w:r w:rsidR="000A1720" w:rsidRPr="008F717C">
        <w:rPr>
          <w:rStyle w:val="FootnoteReference"/>
          <w:rFonts w:cs="Arial"/>
          <w:lang w:val="en-GB"/>
        </w:rPr>
        <w:footnoteReference w:id="9"/>
      </w:r>
      <w:r w:rsidR="00684329" w:rsidRPr="008F717C">
        <w:rPr>
          <w:lang w:val="en-GB"/>
        </w:rPr>
        <w:t xml:space="preserve"> </w:t>
      </w:r>
      <w:r w:rsidR="001C790D">
        <w:rPr>
          <w:lang w:val="en-GB"/>
        </w:rPr>
        <w:t xml:space="preserve">has not lost its currency. </w:t>
      </w:r>
    </w:p>
    <w:p w14:paraId="5BA3A5C8" w14:textId="3DFBD275" w:rsidR="004A1D2E"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31.</w:t>
      </w:r>
      <w:r w:rsidRPr="008F717C">
        <w:rPr>
          <w:rFonts w:cs="Arial"/>
          <w:szCs w:val="24"/>
          <w:lang w:val="en-GB"/>
        </w:rPr>
        <w:tab/>
      </w:r>
      <w:r w:rsidR="009648F7" w:rsidRPr="008F717C">
        <w:rPr>
          <w:rFonts w:cs="Arial"/>
          <w:szCs w:val="24"/>
          <w:lang w:val="en-GB"/>
        </w:rPr>
        <w:t>Returning to</w:t>
      </w:r>
      <w:r w:rsidR="0095044D" w:rsidRPr="008F717C">
        <w:rPr>
          <w:rFonts w:cs="Arial"/>
          <w:szCs w:val="24"/>
          <w:lang w:val="en-GB"/>
        </w:rPr>
        <w:t xml:space="preserve"> the two Williams statements</w:t>
      </w:r>
      <w:r w:rsidR="009648F7" w:rsidRPr="008F717C">
        <w:rPr>
          <w:rFonts w:cs="Arial"/>
          <w:szCs w:val="24"/>
          <w:lang w:val="en-GB"/>
        </w:rPr>
        <w:t>.</w:t>
      </w:r>
      <w:r w:rsidR="0095044D" w:rsidRPr="008F717C">
        <w:rPr>
          <w:rFonts w:cs="Arial"/>
          <w:szCs w:val="24"/>
          <w:lang w:val="en-GB"/>
        </w:rPr>
        <w:t xml:space="preserve">  The isiXhosa language, an official and indigenous language, was not afforded parity, nor was it treated </w:t>
      </w:r>
      <w:r w:rsidR="005C6904" w:rsidRPr="008F717C">
        <w:rPr>
          <w:rFonts w:cs="Arial"/>
          <w:szCs w:val="24"/>
          <w:lang w:val="en-GB"/>
        </w:rPr>
        <w:t>equitably</w:t>
      </w:r>
      <w:r w:rsidR="0095044D" w:rsidRPr="008F717C">
        <w:rPr>
          <w:rFonts w:cs="Arial"/>
          <w:szCs w:val="24"/>
          <w:lang w:val="en-GB"/>
        </w:rPr>
        <w:t xml:space="preserve"> </w:t>
      </w:r>
      <w:r w:rsidR="0095044D" w:rsidRPr="002F5F33">
        <w:rPr>
          <w:rFonts w:cs="Arial"/>
          <w:i/>
          <w:iCs/>
          <w:szCs w:val="24"/>
          <w:lang w:val="en-GB"/>
        </w:rPr>
        <w:t>vis a vis</w:t>
      </w:r>
      <w:r w:rsidR="0095044D" w:rsidRPr="008F717C">
        <w:rPr>
          <w:rFonts w:cs="Arial"/>
          <w:szCs w:val="24"/>
          <w:lang w:val="en-GB"/>
        </w:rPr>
        <w:t xml:space="preserve"> English.</w:t>
      </w:r>
      <w:r w:rsidR="009E69E0" w:rsidRPr="008F717C">
        <w:rPr>
          <w:rFonts w:cs="Arial"/>
          <w:szCs w:val="24"/>
          <w:lang w:val="en-GB"/>
        </w:rPr>
        <w:t xml:space="preserve"> </w:t>
      </w:r>
      <w:r w:rsidR="007873A4">
        <w:rPr>
          <w:rFonts w:cs="Arial"/>
          <w:szCs w:val="24"/>
          <w:lang w:val="en-GB"/>
        </w:rPr>
        <w:t>W</w:t>
      </w:r>
      <w:r w:rsidR="003502E6">
        <w:rPr>
          <w:rFonts w:cs="Arial"/>
          <w:szCs w:val="24"/>
          <w:lang w:val="en-GB"/>
        </w:rPr>
        <w:t xml:space="preserve">ould it not be a </w:t>
      </w:r>
      <w:r w:rsidR="00777D0D" w:rsidRPr="00777D0D">
        <w:rPr>
          <w:rFonts w:cs="Arial"/>
          <w:i/>
          <w:iCs/>
          <w:szCs w:val="24"/>
          <w:lang w:val="en-GB"/>
        </w:rPr>
        <w:t>“</w:t>
      </w:r>
      <w:r w:rsidR="009E69E0" w:rsidRPr="00777D0D">
        <w:rPr>
          <w:rFonts w:cs="Arial"/>
          <w:i/>
          <w:iCs/>
          <w:szCs w:val="24"/>
          <w:lang w:val="en-GB"/>
        </w:rPr>
        <w:t>practical and positive measure</w:t>
      </w:r>
      <w:r w:rsidR="00777D0D" w:rsidRPr="00777D0D">
        <w:rPr>
          <w:rFonts w:cs="Arial"/>
          <w:i/>
          <w:iCs/>
          <w:szCs w:val="24"/>
          <w:lang w:val="en-GB"/>
        </w:rPr>
        <w:t>”</w:t>
      </w:r>
      <w:r w:rsidR="009E69E0" w:rsidRPr="008F717C">
        <w:rPr>
          <w:rFonts w:cs="Arial"/>
          <w:szCs w:val="24"/>
          <w:lang w:val="en-GB"/>
        </w:rPr>
        <w:t xml:space="preserve"> for statements</w:t>
      </w:r>
      <w:r w:rsidR="00E52337" w:rsidRPr="008F717C">
        <w:rPr>
          <w:rFonts w:cs="Arial"/>
          <w:szCs w:val="24"/>
          <w:lang w:val="en-GB"/>
        </w:rPr>
        <w:t xml:space="preserve"> first</w:t>
      </w:r>
      <w:r w:rsidR="009E69E0" w:rsidRPr="008F717C">
        <w:rPr>
          <w:rFonts w:cs="Arial"/>
          <w:szCs w:val="24"/>
          <w:lang w:val="en-GB"/>
        </w:rPr>
        <w:t xml:space="preserve"> to be taken down in the language of the </w:t>
      </w:r>
      <w:r w:rsidR="006A33E4">
        <w:rPr>
          <w:rFonts w:cs="Arial"/>
          <w:szCs w:val="24"/>
          <w:lang w:val="en-GB"/>
        </w:rPr>
        <w:t>person</w:t>
      </w:r>
      <w:r w:rsidR="009E69E0" w:rsidRPr="008F717C">
        <w:rPr>
          <w:rFonts w:cs="Arial"/>
          <w:szCs w:val="24"/>
          <w:lang w:val="en-GB"/>
        </w:rPr>
        <w:t>, and then translated at a later stage, if necessary.</w:t>
      </w:r>
      <w:r w:rsidR="005E78C4">
        <w:rPr>
          <w:rFonts w:cs="Arial"/>
          <w:szCs w:val="24"/>
          <w:lang w:val="en-GB"/>
        </w:rPr>
        <w:t xml:space="preserve"> On a fundamental level, the</w:t>
      </w:r>
      <w:r w:rsidR="009E69E0" w:rsidRPr="008F717C">
        <w:rPr>
          <w:rFonts w:cs="Arial"/>
          <w:szCs w:val="24"/>
          <w:lang w:val="en-GB"/>
        </w:rPr>
        <w:t xml:space="preserve"> practice of only recording statements in English discriminates unfairly against those</w:t>
      </w:r>
      <w:r w:rsidR="004E20F5">
        <w:rPr>
          <w:rFonts w:cs="Arial"/>
          <w:szCs w:val="24"/>
          <w:lang w:val="en-GB"/>
        </w:rPr>
        <w:t xml:space="preserve">, such as </w:t>
      </w:r>
      <w:r w:rsidR="009E69E0" w:rsidRPr="008F717C">
        <w:rPr>
          <w:rFonts w:cs="Arial"/>
          <w:szCs w:val="24"/>
          <w:lang w:val="en-GB"/>
        </w:rPr>
        <w:t>Williams</w:t>
      </w:r>
      <w:r w:rsidR="00A460C3">
        <w:rPr>
          <w:rFonts w:cs="Arial"/>
          <w:szCs w:val="24"/>
          <w:lang w:val="en-GB"/>
        </w:rPr>
        <w:t xml:space="preserve"> who</w:t>
      </w:r>
      <w:r w:rsidR="009E69E0" w:rsidRPr="008F717C">
        <w:rPr>
          <w:rFonts w:cs="Arial"/>
          <w:szCs w:val="24"/>
          <w:lang w:val="en-GB"/>
        </w:rPr>
        <w:t xml:space="preserve"> a member of the isiXhosa linguistic community</w:t>
      </w:r>
      <w:r w:rsidR="00A460C3">
        <w:rPr>
          <w:rFonts w:cs="Arial"/>
          <w:szCs w:val="24"/>
          <w:lang w:val="en-GB"/>
        </w:rPr>
        <w:t xml:space="preserve">. </w:t>
      </w:r>
    </w:p>
    <w:p w14:paraId="3AF1AD39" w14:textId="3B72CBA8" w:rsidR="00CD112E"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32.</w:t>
      </w:r>
      <w:r w:rsidRPr="008F717C">
        <w:rPr>
          <w:rFonts w:cs="Arial"/>
          <w:szCs w:val="24"/>
          <w:lang w:val="en-GB"/>
        </w:rPr>
        <w:tab/>
      </w:r>
      <w:r w:rsidR="00150C42">
        <w:rPr>
          <w:rFonts w:cs="Arial"/>
          <w:szCs w:val="24"/>
          <w:lang w:val="en-GB"/>
        </w:rPr>
        <w:t>I</w:t>
      </w:r>
      <w:r w:rsidR="00CD112E" w:rsidRPr="008F717C">
        <w:rPr>
          <w:rFonts w:cs="Arial"/>
          <w:szCs w:val="24"/>
          <w:lang w:val="en-GB"/>
        </w:rPr>
        <w:t>n my view, it cannot be said</w:t>
      </w:r>
      <w:r w:rsidR="00BD2B48" w:rsidRPr="008F717C">
        <w:rPr>
          <w:rFonts w:cs="Arial"/>
          <w:szCs w:val="24"/>
          <w:lang w:val="en-GB"/>
        </w:rPr>
        <w:t xml:space="preserve"> in a fundamental sense</w:t>
      </w:r>
      <w:r w:rsidR="00CD112E" w:rsidRPr="008F717C">
        <w:rPr>
          <w:rFonts w:cs="Arial"/>
          <w:szCs w:val="24"/>
          <w:lang w:val="en-GB"/>
        </w:rPr>
        <w:t xml:space="preserve"> that the two statements </w:t>
      </w:r>
      <w:r w:rsidR="00BD2B48" w:rsidRPr="008F717C">
        <w:rPr>
          <w:rFonts w:cs="Arial"/>
          <w:szCs w:val="24"/>
          <w:lang w:val="en-GB"/>
        </w:rPr>
        <w:t>belong to</w:t>
      </w:r>
      <w:r w:rsidR="00CD112E" w:rsidRPr="008F717C">
        <w:rPr>
          <w:rFonts w:cs="Arial"/>
          <w:szCs w:val="24"/>
          <w:lang w:val="en-GB"/>
        </w:rPr>
        <w:t xml:space="preserve"> Williams. Yes, she did </w:t>
      </w:r>
      <w:r w:rsidR="00031A41">
        <w:rPr>
          <w:rFonts w:cs="Arial"/>
          <w:szCs w:val="24"/>
          <w:lang w:val="en-GB"/>
        </w:rPr>
        <w:t>tell</w:t>
      </w:r>
      <w:r w:rsidR="00CD112E" w:rsidRPr="008F717C">
        <w:rPr>
          <w:rFonts w:cs="Arial"/>
          <w:szCs w:val="24"/>
          <w:lang w:val="en-GB"/>
        </w:rPr>
        <w:t xml:space="preserve"> the two policemen</w:t>
      </w:r>
      <w:r w:rsidR="00031A41">
        <w:rPr>
          <w:rFonts w:cs="Arial"/>
          <w:szCs w:val="24"/>
          <w:lang w:val="en-GB"/>
        </w:rPr>
        <w:t xml:space="preserve"> her story, and did so voluntarily,</w:t>
      </w:r>
      <w:r w:rsidR="00CD112E" w:rsidRPr="008F717C">
        <w:rPr>
          <w:rFonts w:cs="Arial"/>
          <w:szCs w:val="24"/>
          <w:lang w:val="en-GB"/>
        </w:rPr>
        <w:t xml:space="preserve"> and they </w:t>
      </w:r>
      <w:r w:rsidR="00A65F46">
        <w:rPr>
          <w:rFonts w:cs="Arial"/>
          <w:szCs w:val="24"/>
          <w:lang w:val="en-GB"/>
        </w:rPr>
        <w:t xml:space="preserve">say they </w:t>
      </w:r>
      <w:r w:rsidR="00CD112E" w:rsidRPr="008F717C">
        <w:rPr>
          <w:rFonts w:cs="Arial"/>
          <w:szCs w:val="24"/>
          <w:lang w:val="en-GB"/>
        </w:rPr>
        <w:t>wrote down what</w:t>
      </w:r>
      <w:r w:rsidR="00BD2B48" w:rsidRPr="008F717C">
        <w:rPr>
          <w:rFonts w:cs="Arial"/>
          <w:szCs w:val="24"/>
          <w:lang w:val="en-GB"/>
        </w:rPr>
        <w:t xml:space="preserve"> she said, but the</w:t>
      </w:r>
      <w:r w:rsidR="006A37E6">
        <w:rPr>
          <w:rFonts w:cs="Arial"/>
          <w:szCs w:val="24"/>
          <w:lang w:val="en-GB"/>
        </w:rPr>
        <w:t xml:space="preserve"> </w:t>
      </w:r>
      <w:r w:rsidR="00CD112E" w:rsidRPr="008F717C">
        <w:rPr>
          <w:rFonts w:cs="Arial"/>
          <w:szCs w:val="24"/>
          <w:lang w:val="en-GB"/>
        </w:rPr>
        <w:t xml:space="preserve">nexus between </w:t>
      </w:r>
      <w:r w:rsidR="00BD2B48" w:rsidRPr="008F717C">
        <w:rPr>
          <w:rFonts w:cs="Arial"/>
          <w:szCs w:val="24"/>
          <w:lang w:val="en-GB"/>
        </w:rPr>
        <w:t>the</w:t>
      </w:r>
      <w:r w:rsidR="00CD112E" w:rsidRPr="008F717C">
        <w:rPr>
          <w:rFonts w:cs="Arial"/>
          <w:szCs w:val="24"/>
          <w:lang w:val="en-GB"/>
        </w:rPr>
        <w:t xml:space="preserve"> words</w:t>
      </w:r>
      <w:r w:rsidR="00BD2B48" w:rsidRPr="008F717C">
        <w:rPr>
          <w:rFonts w:cs="Arial"/>
          <w:szCs w:val="24"/>
          <w:lang w:val="en-GB"/>
        </w:rPr>
        <w:t xml:space="preserve"> she</w:t>
      </w:r>
      <w:r w:rsidR="00CD112E" w:rsidRPr="008F717C">
        <w:rPr>
          <w:rFonts w:cs="Arial"/>
          <w:szCs w:val="24"/>
          <w:lang w:val="en-GB"/>
        </w:rPr>
        <w:t xml:space="preserve"> spoke in isiXhosa, and the words written down</w:t>
      </w:r>
      <w:r w:rsidR="00BD2B48" w:rsidRPr="008F717C">
        <w:rPr>
          <w:rFonts w:cs="Arial"/>
          <w:szCs w:val="24"/>
          <w:lang w:val="en-GB"/>
        </w:rPr>
        <w:t xml:space="preserve"> in English</w:t>
      </w:r>
      <w:r w:rsidR="00CD112E" w:rsidRPr="008F717C">
        <w:rPr>
          <w:rFonts w:cs="Arial"/>
          <w:szCs w:val="24"/>
          <w:lang w:val="en-GB"/>
        </w:rPr>
        <w:t xml:space="preserve"> after </w:t>
      </w:r>
      <w:r w:rsidR="00326BBB">
        <w:rPr>
          <w:rFonts w:cs="Arial"/>
          <w:szCs w:val="24"/>
          <w:lang w:val="en-GB"/>
        </w:rPr>
        <w:t>their</w:t>
      </w:r>
      <w:r w:rsidR="00CD112E" w:rsidRPr="008F717C">
        <w:rPr>
          <w:rFonts w:cs="Arial"/>
          <w:szCs w:val="24"/>
          <w:lang w:val="en-GB"/>
        </w:rPr>
        <w:t xml:space="preserve"> real-time translation</w:t>
      </w:r>
      <w:r w:rsidR="00326BBB">
        <w:rPr>
          <w:rFonts w:cs="Arial"/>
          <w:szCs w:val="24"/>
          <w:lang w:val="en-GB"/>
        </w:rPr>
        <w:t xml:space="preserve"> is ruptured.</w:t>
      </w:r>
      <w:r w:rsidR="00CB1907">
        <w:rPr>
          <w:rFonts w:cs="Arial"/>
          <w:szCs w:val="24"/>
          <w:lang w:val="en-GB"/>
        </w:rPr>
        <w:t xml:space="preserve"> </w:t>
      </w:r>
      <w:r w:rsidR="002B1238" w:rsidRPr="008F717C">
        <w:rPr>
          <w:rFonts w:cs="Arial"/>
          <w:szCs w:val="24"/>
          <w:lang w:val="en-GB"/>
        </w:rPr>
        <w:t xml:space="preserve">If there were a record in </w:t>
      </w:r>
      <w:r w:rsidR="00D22C93">
        <w:rPr>
          <w:rFonts w:cs="Arial"/>
          <w:szCs w:val="24"/>
          <w:lang w:val="en-GB"/>
        </w:rPr>
        <w:lastRenderedPageBreak/>
        <w:t xml:space="preserve">isiXhosa </w:t>
      </w:r>
      <w:r w:rsidR="00F22489">
        <w:rPr>
          <w:rFonts w:cs="Arial"/>
          <w:szCs w:val="24"/>
          <w:lang w:val="en-GB"/>
        </w:rPr>
        <w:t xml:space="preserve">(written or audio) </w:t>
      </w:r>
      <w:r w:rsidR="002B1238" w:rsidRPr="008F717C">
        <w:rPr>
          <w:rFonts w:cs="Arial"/>
          <w:szCs w:val="24"/>
          <w:lang w:val="en-GB"/>
        </w:rPr>
        <w:t>of what Williams said, as is the case with her oral testimony</w:t>
      </w:r>
      <w:r w:rsidR="008E4447" w:rsidRPr="008F717C">
        <w:rPr>
          <w:rFonts w:cs="Arial"/>
          <w:szCs w:val="24"/>
          <w:lang w:val="en-GB"/>
        </w:rPr>
        <w:t xml:space="preserve"> in Court</w:t>
      </w:r>
      <w:r w:rsidR="00225D58">
        <w:rPr>
          <w:rFonts w:cs="Arial"/>
          <w:szCs w:val="24"/>
          <w:lang w:val="en-GB"/>
        </w:rPr>
        <w:t xml:space="preserve"> where the</w:t>
      </w:r>
      <w:r w:rsidR="00F22489">
        <w:rPr>
          <w:rFonts w:cs="Arial"/>
          <w:szCs w:val="24"/>
          <w:lang w:val="en-GB"/>
        </w:rPr>
        <w:t>re is an</w:t>
      </w:r>
      <w:r w:rsidR="00225D58">
        <w:rPr>
          <w:rFonts w:cs="Arial"/>
          <w:szCs w:val="24"/>
          <w:lang w:val="en-GB"/>
        </w:rPr>
        <w:t xml:space="preserve"> audio recording</w:t>
      </w:r>
      <w:r w:rsidR="00F22489">
        <w:rPr>
          <w:rFonts w:cs="Arial"/>
          <w:szCs w:val="24"/>
          <w:lang w:val="en-GB"/>
        </w:rPr>
        <w:t>,</w:t>
      </w:r>
      <w:r w:rsidR="002B1238" w:rsidRPr="008F717C">
        <w:rPr>
          <w:rFonts w:cs="Arial"/>
          <w:szCs w:val="24"/>
          <w:lang w:val="en-GB"/>
        </w:rPr>
        <w:t xml:space="preserve"> it would be different as the accuracy</w:t>
      </w:r>
      <w:r w:rsidR="008E4447" w:rsidRPr="008F717C">
        <w:rPr>
          <w:rFonts w:cs="Arial"/>
          <w:szCs w:val="24"/>
          <w:lang w:val="en-GB"/>
        </w:rPr>
        <w:t xml:space="preserve"> (or otherwise)</w:t>
      </w:r>
      <w:r w:rsidR="002B1238" w:rsidRPr="008F717C">
        <w:rPr>
          <w:rFonts w:cs="Arial"/>
          <w:szCs w:val="24"/>
          <w:lang w:val="en-GB"/>
        </w:rPr>
        <w:t xml:space="preserve"> of the sta</w:t>
      </w:r>
      <w:r w:rsidR="001F1772">
        <w:rPr>
          <w:rFonts w:cs="Arial"/>
          <w:szCs w:val="24"/>
          <w:lang w:val="en-GB"/>
        </w:rPr>
        <w:t>tements</w:t>
      </w:r>
      <w:r w:rsidR="002B1238" w:rsidRPr="008F717C">
        <w:rPr>
          <w:rFonts w:cs="Arial"/>
          <w:szCs w:val="24"/>
          <w:lang w:val="en-GB"/>
        </w:rPr>
        <w:t xml:space="preserve"> </w:t>
      </w:r>
      <w:r w:rsidR="001F574C">
        <w:rPr>
          <w:rFonts w:cs="Arial"/>
          <w:szCs w:val="24"/>
          <w:lang w:val="en-GB"/>
        </w:rPr>
        <w:t xml:space="preserve">themselves </w:t>
      </w:r>
      <w:r w:rsidR="002B1238" w:rsidRPr="008F717C">
        <w:rPr>
          <w:rFonts w:cs="Arial"/>
          <w:szCs w:val="24"/>
          <w:lang w:val="en-GB"/>
        </w:rPr>
        <w:t>could be established</w:t>
      </w:r>
      <w:r w:rsidR="003C474C">
        <w:rPr>
          <w:rFonts w:cs="Arial"/>
          <w:szCs w:val="24"/>
          <w:lang w:val="en-GB"/>
        </w:rPr>
        <w:t xml:space="preserve"> objectively. </w:t>
      </w:r>
      <w:r w:rsidR="000D4A16">
        <w:rPr>
          <w:rFonts w:cs="Arial"/>
          <w:szCs w:val="24"/>
          <w:lang w:val="en-GB"/>
        </w:rPr>
        <w:t>The reliability of the statement</w:t>
      </w:r>
      <w:r w:rsidR="00AB5036">
        <w:rPr>
          <w:rFonts w:cs="Arial"/>
          <w:szCs w:val="24"/>
          <w:lang w:val="en-GB"/>
        </w:rPr>
        <w:t>,</w:t>
      </w:r>
      <w:r w:rsidR="000D4A16">
        <w:rPr>
          <w:rFonts w:cs="Arial"/>
          <w:szCs w:val="24"/>
          <w:lang w:val="en-GB"/>
        </w:rPr>
        <w:t xml:space="preserve"> as a</w:t>
      </w:r>
      <w:r w:rsidR="00D85D65">
        <w:rPr>
          <w:rFonts w:cs="Arial"/>
          <w:szCs w:val="24"/>
          <w:lang w:val="en-GB"/>
        </w:rPr>
        <w:t>n accurate</w:t>
      </w:r>
      <w:r w:rsidR="000D4A16">
        <w:rPr>
          <w:rFonts w:cs="Arial"/>
          <w:szCs w:val="24"/>
          <w:lang w:val="en-GB"/>
        </w:rPr>
        <w:t xml:space="preserve"> </w:t>
      </w:r>
      <w:r w:rsidR="009F4466">
        <w:rPr>
          <w:rFonts w:cs="Arial"/>
          <w:szCs w:val="24"/>
          <w:lang w:val="en-GB"/>
        </w:rPr>
        <w:t xml:space="preserve">contemporaneous </w:t>
      </w:r>
      <w:r w:rsidR="00114D26">
        <w:rPr>
          <w:rFonts w:cs="Arial"/>
          <w:szCs w:val="24"/>
          <w:lang w:val="en-GB"/>
        </w:rPr>
        <w:t xml:space="preserve">written </w:t>
      </w:r>
      <w:r w:rsidR="000D4A16">
        <w:rPr>
          <w:rFonts w:cs="Arial"/>
          <w:szCs w:val="24"/>
          <w:lang w:val="en-GB"/>
        </w:rPr>
        <w:t>record of what w</w:t>
      </w:r>
      <w:r w:rsidR="00114D26">
        <w:rPr>
          <w:rFonts w:cs="Arial"/>
          <w:szCs w:val="24"/>
          <w:lang w:val="en-GB"/>
        </w:rPr>
        <w:t xml:space="preserve">as said at the time, cannot </w:t>
      </w:r>
      <w:r w:rsidR="00EC5830">
        <w:rPr>
          <w:rFonts w:cs="Arial"/>
          <w:szCs w:val="24"/>
          <w:lang w:val="en-GB"/>
        </w:rPr>
        <w:t xml:space="preserve">be </w:t>
      </w:r>
      <w:r w:rsidR="00D85D65">
        <w:rPr>
          <w:rFonts w:cs="Arial"/>
          <w:szCs w:val="24"/>
          <w:lang w:val="en-GB"/>
        </w:rPr>
        <w:t>restored</w:t>
      </w:r>
      <w:r w:rsidR="00EC5830">
        <w:rPr>
          <w:rFonts w:cs="Arial"/>
          <w:szCs w:val="24"/>
          <w:lang w:val="en-GB"/>
        </w:rPr>
        <w:t xml:space="preserve"> by way of questioning of the </w:t>
      </w:r>
      <w:r w:rsidR="00B002EE">
        <w:rPr>
          <w:rFonts w:cs="Arial"/>
          <w:szCs w:val="24"/>
          <w:lang w:val="en-GB"/>
        </w:rPr>
        <w:t>person who made the statement</w:t>
      </w:r>
      <w:r w:rsidR="00EC5830">
        <w:rPr>
          <w:rFonts w:cs="Arial"/>
          <w:szCs w:val="24"/>
          <w:lang w:val="en-GB"/>
        </w:rPr>
        <w:t xml:space="preserve"> and the </w:t>
      </w:r>
      <w:r w:rsidR="0068608A">
        <w:rPr>
          <w:rFonts w:cs="Arial"/>
          <w:szCs w:val="24"/>
          <w:lang w:val="en-GB"/>
        </w:rPr>
        <w:t xml:space="preserve">policemen </w:t>
      </w:r>
      <w:r w:rsidR="002261B9">
        <w:rPr>
          <w:rFonts w:cs="Arial"/>
          <w:szCs w:val="24"/>
          <w:lang w:val="en-GB"/>
        </w:rPr>
        <w:t xml:space="preserve">years </w:t>
      </w:r>
      <w:r w:rsidR="0068608A">
        <w:rPr>
          <w:rFonts w:cs="Arial"/>
          <w:szCs w:val="24"/>
          <w:lang w:val="en-GB"/>
        </w:rPr>
        <w:t>after the fact</w:t>
      </w:r>
      <w:r w:rsidR="00897045">
        <w:rPr>
          <w:rFonts w:cs="Arial"/>
          <w:szCs w:val="24"/>
          <w:lang w:val="en-GB"/>
        </w:rPr>
        <w:t>.</w:t>
      </w:r>
      <w:r w:rsidR="00BD7A67">
        <w:rPr>
          <w:rFonts w:cs="Arial"/>
          <w:szCs w:val="24"/>
          <w:lang w:val="en-GB"/>
        </w:rPr>
        <w:t xml:space="preserve"> The evidence is then not the statement</w:t>
      </w:r>
      <w:r w:rsidR="00C94CED">
        <w:rPr>
          <w:rFonts w:cs="Arial"/>
          <w:szCs w:val="24"/>
          <w:lang w:val="en-GB"/>
        </w:rPr>
        <w:t xml:space="preserve"> itself</w:t>
      </w:r>
      <w:r w:rsidR="00BD7A67">
        <w:rPr>
          <w:rFonts w:cs="Arial"/>
          <w:szCs w:val="24"/>
          <w:lang w:val="en-GB"/>
        </w:rPr>
        <w:t xml:space="preserve">, but  </w:t>
      </w:r>
      <w:r w:rsidR="00C94CED">
        <w:rPr>
          <w:rFonts w:cs="Arial"/>
          <w:szCs w:val="24"/>
          <w:lang w:val="en-GB"/>
        </w:rPr>
        <w:t xml:space="preserve">rather </w:t>
      </w:r>
      <w:r w:rsidR="00BD7A67">
        <w:rPr>
          <w:rFonts w:cs="Arial"/>
          <w:szCs w:val="24"/>
          <w:lang w:val="en-GB"/>
        </w:rPr>
        <w:t xml:space="preserve">the </w:t>
      </w:r>
      <w:r w:rsidR="00C94CED">
        <w:rPr>
          <w:rFonts w:cs="Arial"/>
          <w:szCs w:val="24"/>
          <w:lang w:val="en-GB"/>
        </w:rPr>
        <w:t xml:space="preserve">often imperfect </w:t>
      </w:r>
      <w:r w:rsidR="00BD7A67">
        <w:rPr>
          <w:rFonts w:cs="Arial"/>
          <w:szCs w:val="24"/>
          <w:lang w:val="en-GB"/>
        </w:rPr>
        <w:t xml:space="preserve">recollection of </w:t>
      </w:r>
      <w:r w:rsidR="00C94CED">
        <w:rPr>
          <w:rFonts w:cs="Arial"/>
          <w:szCs w:val="24"/>
          <w:lang w:val="en-GB"/>
        </w:rPr>
        <w:t xml:space="preserve">a </w:t>
      </w:r>
      <w:r w:rsidR="00BD7A67">
        <w:rPr>
          <w:rFonts w:cs="Arial"/>
          <w:szCs w:val="24"/>
          <w:lang w:val="en-GB"/>
        </w:rPr>
        <w:t xml:space="preserve">witness </w:t>
      </w:r>
      <w:r w:rsidR="0098082E">
        <w:rPr>
          <w:rFonts w:cs="Arial"/>
          <w:szCs w:val="24"/>
          <w:lang w:val="en-GB"/>
        </w:rPr>
        <w:t>as to</w:t>
      </w:r>
      <w:r w:rsidR="00FB2C2A">
        <w:rPr>
          <w:rFonts w:cs="Arial"/>
          <w:szCs w:val="24"/>
          <w:lang w:val="en-GB"/>
        </w:rPr>
        <w:t xml:space="preserve"> what was </w:t>
      </w:r>
      <w:r w:rsidR="0037061B">
        <w:rPr>
          <w:rFonts w:cs="Arial"/>
          <w:szCs w:val="24"/>
          <w:lang w:val="en-GB"/>
        </w:rPr>
        <w:t xml:space="preserve">said and written down. </w:t>
      </w:r>
      <w:r w:rsidR="00FB2C2A">
        <w:rPr>
          <w:rFonts w:cs="Arial"/>
          <w:szCs w:val="24"/>
          <w:lang w:val="en-GB"/>
        </w:rPr>
        <w:t xml:space="preserve"> </w:t>
      </w:r>
    </w:p>
    <w:p w14:paraId="0761C292" w14:textId="5B648C9A" w:rsidR="00C46E62" w:rsidRDefault="000541C6" w:rsidP="000541C6">
      <w:pPr>
        <w:pStyle w:val="Level1"/>
        <w:numPr>
          <w:ilvl w:val="0"/>
          <w:numId w:val="0"/>
        </w:numPr>
        <w:ind w:left="851" w:hanging="851"/>
        <w:rPr>
          <w:rFonts w:cs="Arial"/>
          <w:szCs w:val="24"/>
          <w:lang w:val="en-GB"/>
        </w:rPr>
      </w:pPr>
      <w:r>
        <w:rPr>
          <w:rFonts w:cs="Arial"/>
          <w:szCs w:val="24"/>
          <w:lang w:val="en-GB"/>
        </w:rPr>
        <w:t>33.</w:t>
      </w:r>
      <w:r>
        <w:rPr>
          <w:rFonts w:cs="Arial"/>
          <w:szCs w:val="24"/>
          <w:lang w:val="en-GB"/>
        </w:rPr>
        <w:tab/>
      </w:r>
      <w:r w:rsidR="008E4447" w:rsidRPr="009677C7">
        <w:rPr>
          <w:rFonts w:cs="Arial"/>
          <w:szCs w:val="24"/>
          <w:lang w:val="en-GB"/>
        </w:rPr>
        <w:t>Probative value, in terms of section 3 of the Law of Evidence Amendment Act 45 of 1988, means not only what the evidence “</w:t>
      </w:r>
      <w:r w:rsidR="008E4447" w:rsidRPr="009677C7">
        <w:rPr>
          <w:rFonts w:cs="Arial"/>
          <w:i/>
          <w:iCs/>
          <w:szCs w:val="24"/>
          <w:lang w:val="en-GB"/>
        </w:rPr>
        <w:t>will prove, but that it will do so reliably</w:t>
      </w:r>
      <w:r w:rsidR="008E4447" w:rsidRPr="009677C7">
        <w:rPr>
          <w:rFonts w:cs="Arial"/>
          <w:szCs w:val="24"/>
          <w:lang w:val="en-GB"/>
        </w:rPr>
        <w:t>”.</w:t>
      </w:r>
      <w:r w:rsidR="008E4447" w:rsidRPr="008F717C">
        <w:rPr>
          <w:rStyle w:val="FootnoteReference"/>
          <w:rFonts w:cs="Arial"/>
          <w:szCs w:val="24"/>
          <w:lang w:val="en-GB"/>
        </w:rPr>
        <w:footnoteReference w:id="10"/>
      </w:r>
      <w:r w:rsidR="009677C7" w:rsidRPr="009677C7">
        <w:rPr>
          <w:rFonts w:cs="Arial"/>
          <w:szCs w:val="24"/>
          <w:lang w:val="en-GB"/>
        </w:rPr>
        <w:t xml:space="preserve"> </w:t>
      </w:r>
      <w:r w:rsidR="002B1238" w:rsidRPr="009677C7">
        <w:rPr>
          <w:rFonts w:cs="Arial"/>
          <w:szCs w:val="24"/>
          <w:lang w:val="en-GB"/>
        </w:rPr>
        <w:t>Williams</w:t>
      </w:r>
      <w:r w:rsidR="00256502" w:rsidRPr="009677C7">
        <w:rPr>
          <w:rFonts w:cs="Arial"/>
          <w:szCs w:val="24"/>
          <w:lang w:val="en-GB"/>
        </w:rPr>
        <w:t>’</w:t>
      </w:r>
      <w:r w:rsidR="002B1238" w:rsidRPr="009677C7">
        <w:rPr>
          <w:rFonts w:cs="Arial"/>
          <w:szCs w:val="24"/>
          <w:lang w:val="en-GB"/>
        </w:rPr>
        <w:t xml:space="preserve"> statements, whilst made voluntarily,</w:t>
      </w:r>
      <w:r w:rsidR="00EB64B7">
        <w:rPr>
          <w:rFonts w:cs="Arial"/>
          <w:szCs w:val="24"/>
          <w:lang w:val="en-GB"/>
        </w:rPr>
        <w:t xml:space="preserve"> are not </w:t>
      </w:r>
      <w:r w:rsidR="003B4C54">
        <w:rPr>
          <w:rFonts w:cs="Arial"/>
          <w:szCs w:val="24"/>
          <w:lang w:val="en-GB"/>
        </w:rPr>
        <w:t xml:space="preserve">themselves </w:t>
      </w:r>
      <w:r w:rsidR="00EB64B7">
        <w:rPr>
          <w:rFonts w:cs="Arial"/>
          <w:szCs w:val="24"/>
          <w:lang w:val="en-GB"/>
        </w:rPr>
        <w:t>reliable proof of what she relayed to the policemen</w:t>
      </w:r>
      <w:r w:rsidR="00475FB7">
        <w:rPr>
          <w:rFonts w:cs="Arial"/>
          <w:szCs w:val="24"/>
          <w:lang w:val="en-GB"/>
        </w:rPr>
        <w:t>.</w:t>
      </w:r>
      <w:r w:rsidR="006C4F73">
        <w:rPr>
          <w:rFonts w:cs="Arial"/>
          <w:szCs w:val="24"/>
          <w:lang w:val="en-GB"/>
        </w:rPr>
        <w:t xml:space="preserve"> We are left with her recollection of what she said, and</w:t>
      </w:r>
      <w:r w:rsidR="003A0E12">
        <w:rPr>
          <w:rFonts w:cs="Arial"/>
          <w:szCs w:val="24"/>
          <w:lang w:val="en-GB"/>
        </w:rPr>
        <w:t xml:space="preserve"> she was steadfast</w:t>
      </w:r>
      <w:r w:rsidR="006967A5">
        <w:rPr>
          <w:rFonts w:cs="Arial"/>
          <w:szCs w:val="24"/>
          <w:lang w:val="en-GB"/>
        </w:rPr>
        <w:t xml:space="preserve">, </w:t>
      </w:r>
      <w:r w:rsidR="003A0E12">
        <w:rPr>
          <w:rFonts w:cs="Arial"/>
          <w:szCs w:val="24"/>
          <w:lang w:val="en-GB"/>
        </w:rPr>
        <w:t>emphatic</w:t>
      </w:r>
      <w:r w:rsidR="006967A5">
        <w:rPr>
          <w:rFonts w:cs="Arial"/>
          <w:szCs w:val="24"/>
          <w:lang w:val="en-GB"/>
        </w:rPr>
        <w:t xml:space="preserve"> and believable</w:t>
      </w:r>
      <w:r w:rsidR="003A0E12">
        <w:rPr>
          <w:rFonts w:cs="Arial"/>
          <w:szCs w:val="24"/>
          <w:lang w:val="en-GB"/>
        </w:rPr>
        <w:t xml:space="preserve"> when she disa</w:t>
      </w:r>
      <w:r w:rsidR="006967A5">
        <w:rPr>
          <w:rFonts w:cs="Arial"/>
          <w:szCs w:val="24"/>
          <w:lang w:val="en-GB"/>
        </w:rPr>
        <w:t>vowed their contents.</w:t>
      </w:r>
      <w:r w:rsidR="00332835">
        <w:rPr>
          <w:rFonts w:cs="Arial"/>
          <w:szCs w:val="24"/>
          <w:lang w:val="en-GB"/>
        </w:rPr>
        <w:t xml:space="preserve"> I repeat that </w:t>
      </w:r>
      <w:r w:rsidR="00872D5C">
        <w:rPr>
          <w:rFonts w:cs="Arial"/>
          <w:szCs w:val="24"/>
          <w:lang w:val="en-GB"/>
        </w:rPr>
        <w:t xml:space="preserve">the </w:t>
      </w:r>
      <w:r w:rsidR="00DE1929">
        <w:rPr>
          <w:rFonts w:cs="Arial"/>
          <w:szCs w:val="24"/>
          <w:lang w:val="en-GB"/>
        </w:rPr>
        <w:t xml:space="preserve">unfortunate </w:t>
      </w:r>
      <w:r w:rsidR="001544C6">
        <w:rPr>
          <w:rFonts w:cs="Arial"/>
          <w:szCs w:val="24"/>
          <w:lang w:val="en-GB"/>
        </w:rPr>
        <w:t>fate of the statements cannot be laid at the door of</w:t>
      </w:r>
      <w:r w:rsidR="00461F64">
        <w:rPr>
          <w:rFonts w:cs="Arial"/>
          <w:szCs w:val="24"/>
          <w:lang w:val="en-GB"/>
        </w:rPr>
        <w:t xml:space="preserve"> the two policemen, Njingana and Mlonyeni</w:t>
      </w:r>
      <w:r w:rsidR="002E0FDE">
        <w:rPr>
          <w:rFonts w:cs="Arial"/>
          <w:szCs w:val="24"/>
          <w:lang w:val="en-GB"/>
        </w:rPr>
        <w:t>, who were diligently following the</w:t>
      </w:r>
      <w:r w:rsidR="00FD4A1B">
        <w:rPr>
          <w:rFonts w:cs="Arial"/>
          <w:szCs w:val="24"/>
          <w:lang w:val="en-GB"/>
        </w:rPr>
        <w:t xml:space="preserve"> standard practice. </w:t>
      </w:r>
      <w:r w:rsidR="00E27A57">
        <w:rPr>
          <w:rFonts w:cs="Arial"/>
          <w:szCs w:val="24"/>
          <w:lang w:val="en-GB"/>
        </w:rPr>
        <w:t xml:space="preserve">They cannot be faulted for doing so. </w:t>
      </w:r>
    </w:p>
    <w:p w14:paraId="0179C28D" w14:textId="079788B7" w:rsidR="002B1238" w:rsidRPr="009677C7" w:rsidRDefault="000541C6" w:rsidP="000541C6">
      <w:pPr>
        <w:pStyle w:val="Level1"/>
        <w:numPr>
          <w:ilvl w:val="0"/>
          <w:numId w:val="0"/>
        </w:numPr>
        <w:ind w:left="851" w:hanging="851"/>
        <w:rPr>
          <w:rFonts w:cs="Arial"/>
          <w:szCs w:val="24"/>
          <w:lang w:val="en-GB"/>
        </w:rPr>
      </w:pPr>
      <w:r w:rsidRPr="009677C7">
        <w:rPr>
          <w:rFonts w:cs="Arial"/>
          <w:szCs w:val="24"/>
          <w:lang w:val="en-GB"/>
        </w:rPr>
        <w:t>34.</w:t>
      </w:r>
      <w:r w:rsidRPr="009677C7">
        <w:rPr>
          <w:rFonts w:cs="Arial"/>
          <w:szCs w:val="24"/>
          <w:lang w:val="en-GB"/>
        </w:rPr>
        <w:tab/>
      </w:r>
      <w:r w:rsidR="00C46E62">
        <w:rPr>
          <w:rFonts w:cs="Arial"/>
          <w:szCs w:val="24"/>
          <w:lang w:val="en-GB"/>
        </w:rPr>
        <w:t xml:space="preserve">The </w:t>
      </w:r>
      <w:r w:rsidR="00475FB7">
        <w:rPr>
          <w:rFonts w:cs="Arial"/>
          <w:szCs w:val="24"/>
          <w:lang w:val="en-GB"/>
        </w:rPr>
        <w:t xml:space="preserve">highwater mark of </w:t>
      </w:r>
      <w:r w:rsidR="00C46E62">
        <w:rPr>
          <w:rFonts w:cs="Arial"/>
          <w:szCs w:val="24"/>
          <w:lang w:val="en-GB"/>
        </w:rPr>
        <w:t xml:space="preserve">Williams </w:t>
      </w:r>
      <w:r w:rsidR="003E6210">
        <w:rPr>
          <w:rFonts w:cs="Arial"/>
          <w:szCs w:val="24"/>
          <w:lang w:val="en-GB"/>
        </w:rPr>
        <w:t xml:space="preserve">oral evidence </w:t>
      </w:r>
      <w:r w:rsidR="00C46E62">
        <w:rPr>
          <w:rFonts w:cs="Arial"/>
          <w:szCs w:val="24"/>
          <w:lang w:val="en-GB"/>
        </w:rPr>
        <w:t xml:space="preserve">regarding the participation of the Accused </w:t>
      </w:r>
      <w:r w:rsidR="0035651C">
        <w:rPr>
          <w:rFonts w:cs="Arial"/>
          <w:szCs w:val="24"/>
          <w:lang w:val="en-GB"/>
        </w:rPr>
        <w:t xml:space="preserve">in the events on the night was </w:t>
      </w:r>
      <w:r w:rsidR="00475FB7">
        <w:rPr>
          <w:rFonts w:cs="Arial"/>
          <w:szCs w:val="24"/>
          <w:lang w:val="en-GB"/>
        </w:rPr>
        <w:t>her placement of</w:t>
      </w:r>
      <w:r w:rsidR="0035651C">
        <w:rPr>
          <w:rFonts w:cs="Arial"/>
          <w:szCs w:val="24"/>
          <w:lang w:val="en-GB"/>
        </w:rPr>
        <w:t xml:space="preserve"> them</w:t>
      </w:r>
      <w:r w:rsidR="00010DB6" w:rsidRPr="009677C7">
        <w:rPr>
          <w:rFonts w:cs="Arial"/>
          <w:szCs w:val="24"/>
          <w:lang w:val="en-GB"/>
        </w:rPr>
        <w:t xml:space="preserve"> in the taxi,</w:t>
      </w:r>
      <w:r w:rsidR="00475FB7">
        <w:rPr>
          <w:rFonts w:cs="Arial"/>
          <w:szCs w:val="24"/>
          <w:lang w:val="en-GB"/>
        </w:rPr>
        <w:t xml:space="preserve"> something </w:t>
      </w:r>
      <w:r w:rsidR="0035651C">
        <w:rPr>
          <w:rFonts w:cs="Arial"/>
          <w:szCs w:val="24"/>
          <w:lang w:val="en-GB"/>
        </w:rPr>
        <w:t xml:space="preserve">that was not contested. </w:t>
      </w:r>
      <w:r w:rsidR="00475FB7">
        <w:rPr>
          <w:rFonts w:cs="Arial"/>
          <w:szCs w:val="24"/>
          <w:lang w:val="en-GB"/>
        </w:rPr>
        <w:t>She d</w:t>
      </w:r>
      <w:r w:rsidR="00010DB6" w:rsidRPr="009677C7">
        <w:rPr>
          <w:rFonts w:cs="Arial"/>
          <w:szCs w:val="24"/>
          <w:lang w:val="en-GB"/>
        </w:rPr>
        <w:t xml:space="preserve">id not implicate any of </w:t>
      </w:r>
      <w:r w:rsidR="005D14A5">
        <w:rPr>
          <w:rFonts w:cs="Arial"/>
          <w:szCs w:val="24"/>
          <w:lang w:val="en-GB"/>
        </w:rPr>
        <w:t xml:space="preserve">the Accused in any of the crimes. </w:t>
      </w:r>
    </w:p>
    <w:p w14:paraId="30ACBF91" w14:textId="15B2CE0D" w:rsidR="00C727D8" w:rsidRPr="008F717C" w:rsidRDefault="000541C6" w:rsidP="000541C6">
      <w:pPr>
        <w:pStyle w:val="Heading2"/>
        <w:numPr>
          <w:ilvl w:val="0"/>
          <w:numId w:val="0"/>
        </w:numPr>
        <w:ind w:left="851" w:hanging="851"/>
        <w:rPr>
          <w:szCs w:val="24"/>
          <w:lang w:val="en-GB"/>
        </w:rPr>
      </w:pPr>
      <w:r w:rsidRPr="008F717C">
        <w:rPr>
          <w:szCs w:val="24"/>
          <w:u w:val="none"/>
          <w:lang w:val="en-GB"/>
        </w:rPr>
        <w:lastRenderedPageBreak/>
        <w:t>(iii)</w:t>
      </w:r>
      <w:r w:rsidRPr="008F717C">
        <w:rPr>
          <w:szCs w:val="24"/>
          <w:u w:val="none"/>
          <w:lang w:val="en-GB"/>
        </w:rPr>
        <w:tab/>
      </w:r>
      <w:r w:rsidR="00C727D8" w:rsidRPr="008F717C">
        <w:rPr>
          <w:szCs w:val="24"/>
          <w:lang w:val="en-GB"/>
        </w:rPr>
        <w:t>Swartbooi</w:t>
      </w:r>
      <w:r w:rsidR="00256502" w:rsidRPr="008F717C">
        <w:rPr>
          <w:szCs w:val="24"/>
          <w:lang w:val="en-GB"/>
        </w:rPr>
        <w:t>’</w:t>
      </w:r>
      <w:r w:rsidR="00C727D8" w:rsidRPr="008F717C">
        <w:rPr>
          <w:szCs w:val="24"/>
          <w:lang w:val="en-GB"/>
        </w:rPr>
        <w:t>s testimony</w:t>
      </w:r>
    </w:p>
    <w:p w14:paraId="46066617" w14:textId="5F71395F" w:rsidR="00B67E97"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35.</w:t>
      </w:r>
      <w:r w:rsidRPr="008F717C">
        <w:rPr>
          <w:rFonts w:cs="Arial"/>
          <w:szCs w:val="24"/>
          <w:lang w:val="en-GB"/>
        </w:rPr>
        <w:tab/>
      </w:r>
      <w:r w:rsidR="00E64027" w:rsidRPr="008F717C">
        <w:rPr>
          <w:rFonts w:cs="Arial"/>
          <w:szCs w:val="24"/>
          <w:lang w:val="en-GB"/>
        </w:rPr>
        <w:t>Swartbooi</w:t>
      </w:r>
      <w:r w:rsidR="004B445E">
        <w:rPr>
          <w:rFonts w:cs="Arial"/>
          <w:szCs w:val="24"/>
          <w:lang w:val="en-GB"/>
        </w:rPr>
        <w:t xml:space="preserve">, in chief, </w:t>
      </w:r>
      <w:r w:rsidR="00E64027" w:rsidRPr="008F717C">
        <w:rPr>
          <w:rFonts w:cs="Arial"/>
          <w:szCs w:val="24"/>
          <w:lang w:val="en-GB"/>
        </w:rPr>
        <w:t>testified that</w:t>
      </w:r>
      <w:r w:rsidR="002C43A9" w:rsidRPr="008F717C">
        <w:rPr>
          <w:rFonts w:cs="Arial"/>
          <w:szCs w:val="24"/>
          <w:lang w:val="en-GB"/>
        </w:rPr>
        <w:t xml:space="preserve"> while</w:t>
      </w:r>
      <w:r w:rsidR="00E64027" w:rsidRPr="008F717C">
        <w:rPr>
          <w:rFonts w:cs="Arial"/>
          <w:szCs w:val="24"/>
          <w:lang w:val="en-GB"/>
        </w:rPr>
        <w:t xml:space="preserve"> he was acquainted with Pangwa and Mrwebi, he had no involvement in the cell phone theft.  On the night he was approached by Mtsholotsholo </w:t>
      </w:r>
      <w:r w:rsidR="00C727D8" w:rsidRPr="008F717C">
        <w:rPr>
          <w:rFonts w:cs="Arial"/>
          <w:szCs w:val="24"/>
          <w:lang w:val="en-GB"/>
        </w:rPr>
        <w:t>and Siphamandla who questioned him about the cell phone theft.</w:t>
      </w:r>
      <w:r w:rsidR="00076FD7" w:rsidRPr="008F717C">
        <w:rPr>
          <w:rFonts w:cs="Arial"/>
          <w:szCs w:val="24"/>
          <w:lang w:val="en-GB"/>
        </w:rPr>
        <w:t xml:space="preserve">  After a brief discussion, Mtsholotsholo and Siphamandla left in the taxi, returning ten minutes later with Williams.  Mtsholotsholo and Siphamandla then forced Swartbooi into the taxi by gunpoint as Williams had identified him as a </w:t>
      </w:r>
      <w:r w:rsidR="00325AA3" w:rsidRPr="008F717C">
        <w:rPr>
          <w:rFonts w:cs="Arial"/>
          <w:szCs w:val="24"/>
          <w:lang w:val="en-GB"/>
        </w:rPr>
        <w:t>friend</w:t>
      </w:r>
      <w:r w:rsidR="00076FD7" w:rsidRPr="008F717C">
        <w:rPr>
          <w:rFonts w:cs="Arial"/>
          <w:szCs w:val="24"/>
          <w:lang w:val="en-GB"/>
        </w:rPr>
        <w:t xml:space="preserve"> of Mrwebi, who would know where he lived.  Manana and </w:t>
      </w:r>
      <w:r w:rsidR="00076FD7" w:rsidRPr="008F717C">
        <w:rPr>
          <w:rFonts w:eastAsiaTheme="minorHAnsi" w:cs="Arial"/>
          <w:bCs/>
          <w:szCs w:val="24"/>
          <w:lang w:val="en-GB"/>
        </w:rPr>
        <w:t>Mkunyanya were by this time also in the taxi.</w:t>
      </w:r>
      <w:r w:rsidR="002C43A9" w:rsidRPr="008F717C">
        <w:rPr>
          <w:rFonts w:eastAsiaTheme="minorHAnsi" w:cs="Arial"/>
          <w:bCs/>
          <w:szCs w:val="24"/>
          <w:lang w:val="en-GB"/>
        </w:rPr>
        <w:t xml:space="preserve">  </w:t>
      </w:r>
      <w:r w:rsidR="00076FD7" w:rsidRPr="008F717C">
        <w:rPr>
          <w:rFonts w:eastAsiaTheme="minorHAnsi" w:cs="Arial"/>
          <w:bCs/>
          <w:szCs w:val="24"/>
          <w:lang w:val="en-GB"/>
        </w:rPr>
        <w:t>After Williams had been dropped at Ntombi</w:t>
      </w:r>
      <w:r w:rsidR="00256502" w:rsidRPr="008F717C">
        <w:rPr>
          <w:rFonts w:eastAsiaTheme="minorHAnsi" w:cs="Arial"/>
          <w:bCs/>
          <w:szCs w:val="24"/>
          <w:lang w:val="en-GB"/>
        </w:rPr>
        <w:t>’</w:t>
      </w:r>
      <w:r w:rsidR="00076FD7" w:rsidRPr="008F717C">
        <w:rPr>
          <w:rFonts w:eastAsiaTheme="minorHAnsi" w:cs="Arial"/>
          <w:bCs/>
          <w:szCs w:val="24"/>
          <w:lang w:val="en-GB"/>
        </w:rPr>
        <w:t>s home, the taxi</w:t>
      </w:r>
      <w:r w:rsidR="002C43A9" w:rsidRPr="008F717C">
        <w:rPr>
          <w:rFonts w:eastAsiaTheme="minorHAnsi" w:cs="Arial"/>
          <w:bCs/>
          <w:szCs w:val="24"/>
          <w:lang w:val="en-GB"/>
        </w:rPr>
        <w:t>,</w:t>
      </w:r>
      <w:r w:rsidR="00076FD7" w:rsidRPr="008F717C">
        <w:rPr>
          <w:rFonts w:eastAsiaTheme="minorHAnsi" w:cs="Arial"/>
          <w:bCs/>
          <w:szCs w:val="24"/>
          <w:lang w:val="en-GB"/>
        </w:rPr>
        <w:t xml:space="preserve"> with Mtsholotsholo at the wheel</w:t>
      </w:r>
      <w:r w:rsidR="002C43A9" w:rsidRPr="008F717C">
        <w:rPr>
          <w:rFonts w:eastAsiaTheme="minorHAnsi" w:cs="Arial"/>
          <w:bCs/>
          <w:szCs w:val="24"/>
          <w:lang w:val="en-GB"/>
        </w:rPr>
        <w:t>,</w:t>
      </w:r>
      <w:r w:rsidR="00076FD7" w:rsidRPr="008F717C">
        <w:rPr>
          <w:rFonts w:eastAsiaTheme="minorHAnsi" w:cs="Arial"/>
          <w:bCs/>
          <w:szCs w:val="24"/>
          <w:lang w:val="en-GB"/>
        </w:rPr>
        <w:t xml:space="preserve"> proceeded to Mrwebi</w:t>
      </w:r>
      <w:r w:rsidR="00256502" w:rsidRPr="008F717C">
        <w:rPr>
          <w:rFonts w:eastAsiaTheme="minorHAnsi" w:cs="Arial"/>
          <w:bCs/>
          <w:szCs w:val="24"/>
          <w:lang w:val="en-GB"/>
        </w:rPr>
        <w:t>’</w:t>
      </w:r>
      <w:r w:rsidR="00076FD7" w:rsidRPr="008F717C">
        <w:rPr>
          <w:rFonts w:eastAsiaTheme="minorHAnsi" w:cs="Arial"/>
          <w:bCs/>
          <w:szCs w:val="24"/>
          <w:lang w:val="en-GB"/>
        </w:rPr>
        <w:t>s mother</w:t>
      </w:r>
      <w:r w:rsidR="00256502" w:rsidRPr="008F717C">
        <w:rPr>
          <w:rFonts w:eastAsiaTheme="minorHAnsi" w:cs="Arial"/>
          <w:bCs/>
          <w:szCs w:val="24"/>
          <w:lang w:val="en-GB"/>
        </w:rPr>
        <w:t>’</w:t>
      </w:r>
      <w:r w:rsidR="00076FD7" w:rsidRPr="008F717C">
        <w:rPr>
          <w:rFonts w:eastAsiaTheme="minorHAnsi" w:cs="Arial"/>
          <w:bCs/>
          <w:szCs w:val="24"/>
          <w:lang w:val="en-GB"/>
        </w:rPr>
        <w:t>s home</w:t>
      </w:r>
      <w:r w:rsidR="002C43A9" w:rsidRPr="008F717C">
        <w:rPr>
          <w:rFonts w:eastAsiaTheme="minorHAnsi" w:cs="Arial"/>
          <w:bCs/>
          <w:szCs w:val="24"/>
          <w:lang w:val="en-GB"/>
        </w:rPr>
        <w:t xml:space="preserve">. </w:t>
      </w:r>
      <w:r w:rsidR="00076FD7" w:rsidRPr="008F717C">
        <w:rPr>
          <w:rFonts w:eastAsiaTheme="minorHAnsi" w:cs="Arial"/>
          <w:bCs/>
          <w:szCs w:val="24"/>
          <w:lang w:val="en-GB"/>
        </w:rPr>
        <w:t xml:space="preserve"> Mtsholotsholo and Manana </w:t>
      </w:r>
      <w:r w:rsidR="002C43A9" w:rsidRPr="008F717C">
        <w:rPr>
          <w:rFonts w:eastAsiaTheme="minorHAnsi" w:cs="Arial"/>
          <w:bCs/>
          <w:szCs w:val="24"/>
          <w:lang w:val="en-GB"/>
        </w:rPr>
        <w:t>got out</w:t>
      </w:r>
      <w:r w:rsidR="00076FD7" w:rsidRPr="008F717C">
        <w:rPr>
          <w:rFonts w:eastAsiaTheme="minorHAnsi" w:cs="Arial"/>
          <w:bCs/>
          <w:szCs w:val="24"/>
          <w:lang w:val="en-GB"/>
        </w:rPr>
        <w:t xml:space="preserve"> </w:t>
      </w:r>
      <w:r w:rsidR="00F37BFC" w:rsidRPr="008F717C">
        <w:rPr>
          <w:rFonts w:eastAsiaTheme="minorHAnsi" w:cs="Arial"/>
          <w:bCs/>
          <w:szCs w:val="24"/>
          <w:lang w:val="en-GB"/>
        </w:rPr>
        <w:t>and returned with Mrwebi.  Mrwebi did not come willingly.</w:t>
      </w:r>
      <w:r w:rsidR="00B67E97" w:rsidRPr="008F717C">
        <w:rPr>
          <w:rFonts w:eastAsiaTheme="minorHAnsi" w:cs="Arial"/>
          <w:bCs/>
          <w:szCs w:val="24"/>
          <w:lang w:val="en-GB"/>
        </w:rPr>
        <w:t xml:space="preserve">  He resisted, but the two forced him into the taxi and drove back to Ntombi</w:t>
      </w:r>
      <w:r w:rsidR="00256502" w:rsidRPr="008F717C">
        <w:rPr>
          <w:rFonts w:eastAsiaTheme="minorHAnsi" w:cs="Arial"/>
          <w:bCs/>
          <w:szCs w:val="24"/>
          <w:lang w:val="en-GB"/>
        </w:rPr>
        <w:t>’</w:t>
      </w:r>
      <w:r w:rsidR="00B67E97" w:rsidRPr="008F717C">
        <w:rPr>
          <w:rFonts w:eastAsiaTheme="minorHAnsi" w:cs="Arial"/>
          <w:bCs/>
          <w:szCs w:val="24"/>
          <w:lang w:val="en-GB"/>
        </w:rPr>
        <w:t>s house, where Williams identified him as one of those involved in the cell phone theft.</w:t>
      </w:r>
      <w:r w:rsidR="002C43A9" w:rsidRPr="008F717C">
        <w:rPr>
          <w:rFonts w:eastAsiaTheme="minorHAnsi" w:cs="Arial"/>
          <w:bCs/>
          <w:szCs w:val="24"/>
          <w:lang w:val="en-GB"/>
        </w:rPr>
        <w:t xml:space="preserve">  </w:t>
      </w:r>
      <w:r w:rsidR="00B67E97" w:rsidRPr="008F717C">
        <w:rPr>
          <w:rFonts w:eastAsiaTheme="minorHAnsi" w:cs="Arial"/>
          <w:bCs/>
          <w:szCs w:val="24"/>
          <w:lang w:val="en-GB"/>
        </w:rPr>
        <w:t>The taxi then left without Williams.  Whilst in the taxi, Mrwebi was hit on the head</w:t>
      </w:r>
      <w:r w:rsidR="002F298B">
        <w:rPr>
          <w:rFonts w:eastAsiaTheme="minorHAnsi" w:cs="Arial"/>
          <w:bCs/>
          <w:szCs w:val="24"/>
          <w:lang w:val="en-GB"/>
        </w:rPr>
        <w:t>,</w:t>
      </w:r>
      <w:r w:rsidR="00B67E97" w:rsidRPr="008F717C">
        <w:rPr>
          <w:rFonts w:eastAsiaTheme="minorHAnsi" w:cs="Arial"/>
          <w:bCs/>
          <w:szCs w:val="24"/>
          <w:lang w:val="en-GB"/>
        </w:rPr>
        <w:t xml:space="preserve"> his blood splattering onto Swartbooi.</w:t>
      </w:r>
      <w:r w:rsidR="002F298B">
        <w:rPr>
          <w:rFonts w:eastAsiaTheme="minorHAnsi" w:cs="Arial"/>
          <w:bCs/>
          <w:szCs w:val="24"/>
          <w:lang w:val="en-GB"/>
        </w:rPr>
        <w:t xml:space="preserve"> Swartbooi </w:t>
      </w:r>
      <w:r w:rsidR="007C5F0D">
        <w:rPr>
          <w:rFonts w:eastAsiaTheme="minorHAnsi" w:cs="Arial"/>
          <w:bCs/>
          <w:szCs w:val="24"/>
          <w:lang w:val="en-GB"/>
        </w:rPr>
        <w:t>could not identify who perpetrated this assault.</w:t>
      </w:r>
      <w:r w:rsidR="00B67E97" w:rsidRPr="008F717C">
        <w:rPr>
          <w:rFonts w:eastAsiaTheme="minorHAnsi" w:cs="Arial"/>
          <w:bCs/>
          <w:szCs w:val="24"/>
          <w:lang w:val="en-GB"/>
        </w:rPr>
        <w:t xml:space="preserve"> By now Swartbooi and Mrwebi were desperately </w:t>
      </w:r>
      <w:r w:rsidR="00C11F87" w:rsidRPr="008F717C">
        <w:rPr>
          <w:rFonts w:eastAsiaTheme="minorHAnsi" w:cs="Arial"/>
          <w:bCs/>
          <w:szCs w:val="24"/>
          <w:lang w:val="en-GB"/>
        </w:rPr>
        <w:t>“</w:t>
      </w:r>
      <w:r w:rsidR="00B67E97" w:rsidRPr="008F717C">
        <w:rPr>
          <w:rFonts w:eastAsiaTheme="minorHAnsi" w:cs="Arial"/>
          <w:bCs/>
          <w:i/>
          <w:iCs/>
          <w:szCs w:val="24"/>
          <w:lang w:val="en-GB"/>
        </w:rPr>
        <w:t>begging Sip</w:t>
      </w:r>
      <w:r w:rsidR="00B82468" w:rsidRPr="008F717C">
        <w:rPr>
          <w:rFonts w:eastAsiaTheme="minorHAnsi" w:cs="Arial"/>
          <w:bCs/>
          <w:i/>
          <w:iCs/>
          <w:szCs w:val="24"/>
          <w:lang w:val="en-GB"/>
        </w:rPr>
        <w:t>hamandla and the others who were behind us, but Mtsholotsholo said he was going to show us</w:t>
      </w:r>
      <w:r w:rsidR="00C11F87" w:rsidRPr="008F717C">
        <w:rPr>
          <w:rFonts w:eastAsiaTheme="minorHAnsi" w:cs="Arial"/>
          <w:bCs/>
          <w:szCs w:val="24"/>
          <w:lang w:val="en-GB"/>
        </w:rPr>
        <w:t>”</w:t>
      </w:r>
      <w:r w:rsidR="00B82468" w:rsidRPr="008F717C">
        <w:rPr>
          <w:rFonts w:eastAsiaTheme="minorHAnsi" w:cs="Arial"/>
          <w:bCs/>
          <w:szCs w:val="24"/>
          <w:lang w:val="en-GB"/>
        </w:rPr>
        <w:t>.  Th</w:t>
      </w:r>
      <w:r w:rsidR="007D1D98" w:rsidRPr="008F717C">
        <w:rPr>
          <w:rFonts w:eastAsiaTheme="minorHAnsi" w:cs="Arial"/>
          <w:bCs/>
          <w:szCs w:val="24"/>
          <w:lang w:val="en-GB"/>
        </w:rPr>
        <w:t xml:space="preserve">at </w:t>
      </w:r>
      <w:r w:rsidR="00B82468" w:rsidRPr="008F717C">
        <w:rPr>
          <w:rFonts w:eastAsiaTheme="minorHAnsi" w:cs="Arial"/>
          <w:bCs/>
          <w:szCs w:val="24"/>
          <w:lang w:val="en-GB"/>
        </w:rPr>
        <w:t>Mtsholotsholo,</w:t>
      </w:r>
      <w:r w:rsidR="003C36B2">
        <w:rPr>
          <w:rFonts w:eastAsiaTheme="minorHAnsi" w:cs="Arial"/>
          <w:bCs/>
          <w:szCs w:val="24"/>
          <w:lang w:val="en-GB"/>
        </w:rPr>
        <w:t xml:space="preserve"> </w:t>
      </w:r>
      <w:r w:rsidR="00B82468" w:rsidRPr="008F717C">
        <w:rPr>
          <w:rFonts w:eastAsiaTheme="minorHAnsi" w:cs="Arial"/>
          <w:bCs/>
          <w:szCs w:val="24"/>
          <w:lang w:val="en-GB"/>
        </w:rPr>
        <w:t>aided and abetted by Siphamandla,</w:t>
      </w:r>
      <w:r w:rsidR="007D1D98" w:rsidRPr="008F717C">
        <w:rPr>
          <w:rFonts w:eastAsiaTheme="minorHAnsi" w:cs="Arial"/>
          <w:bCs/>
          <w:szCs w:val="24"/>
          <w:lang w:val="en-GB"/>
        </w:rPr>
        <w:t xml:space="preserve"> </w:t>
      </w:r>
      <w:r w:rsidR="002C6B98">
        <w:rPr>
          <w:rFonts w:eastAsiaTheme="minorHAnsi" w:cs="Arial"/>
          <w:bCs/>
          <w:szCs w:val="24"/>
          <w:lang w:val="en-GB"/>
        </w:rPr>
        <w:t xml:space="preserve">was the chief protagonist and leader, </w:t>
      </w:r>
      <w:r w:rsidR="00B82468" w:rsidRPr="008F717C">
        <w:rPr>
          <w:rFonts w:eastAsiaTheme="minorHAnsi" w:cs="Arial"/>
          <w:bCs/>
          <w:szCs w:val="24"/>
          <w:lang w:val="en-GB"/>
        </w:rPr>
        <w:t>was a thread that ran through Swartbooi</w:t>
      </w:r>
      <w:r w:rsidR="00256502" w:rsidRPr="008F717C">
        <w:rPr>
          <w:rFonts w:eastAsiaTheme="minorHAnsi" w:cs="Arial"/>
          <w:bCs/>
          <w:szCs w:val="24"/>
          <w:lang w:val="en-GB"/>
        </w:rPr>
        <w:t>’</w:t>
      </w:r>
      <w:r w:rsidR="00B82468" w:rsidRPr="008F717C">
        <w:rPr>
          <w:rFonts w:eastAsiaTheme="minorHAnsi" w:cs="Arial"/>
          <w:bCs/>
          <w:szCs w:val="24"/>
          <w:lang w:val="en-GB"/>
        </w:rPr>
        <w:t>s evidence.</w:t>
      </w:r>
    </w:p>
    <w:p w14:paraId="6AB4D7E7" w14:textId="70A75B94" w:rsidR="004A1D2E" w:rsidRPr="00A05BCE" w:rsidRDefault="000541C6" w:rsidP="000541C6">
      <w:pPr>
        <w:pStyle w:val="Level1"/>
        <w:numPr>
          <w:ilvl w:val="0"/>
          <w:numId w:val="0"/>
        </w:numPr>
        <w:ind w:left="851" w:hanging="851"/>
        <w:rPr>
          <w:rFonts w:cs="Arial"/>
          <w:szCs w:val="24"/>
          <w:lang w:val="en-GB"/>
        </w:rPr>
      </w:pPr>
      <w:r w:rsidRPr="00A05BCE">
        <w:rPr>
          <w:rFonts w:cs="Arial"/>
          <w:szCs w:val="24"/>
          <w:lang w:val="en-GB"/>
        </w:rPr>
        <w:t>36.</w:t>
      </w:r>
      <w:r w:rsidRPr="00A05BCE">
        <w:rPr>
          <w:rFonts w:cs="Arial"/>
          <w:szCs w:val="24"/>
          <w:lang w:val="en-GB"/>
        </w:rPr>
        <w:tab/>
      </w:r>
      <w:r w:rsidR="00B82468" w:rsidRPr="00A05BCE">
        <w:rPr>
          <w:rFonts w:eastAsiaTheme="minorHAnsi" w:cs="Arial"/>
          <w:bCs/>
          <w:szCs w:val="24"/>
          <w:lang w:val="en-GB"/>
        </w:rPr>
        <w:t>Swartbooi</w:t>
      </w:r>
      <w:r w:rsidR="00F90E51" w:rsidRPr="00A05BCE">
        <w:rPr>
          <w:rFonts w:eastAsiaTheme="minorHAnsi" w:cs="Arial"/>
          <w:bCs/>
          <w:szCs w:val="24"/>
          <w:lang w:val="en-GB"/>
        </w:rPr>
        <w:t xml:space="preserve"> said that shortly after he</w:t>
      </w:r>
      <w:r w:rsidR="00B82468" w:rsidRPr="00A05BCE">
        <w:rPr>
          <w:rFonts w:eastAsiaTheme="minorHAnsi" w:cs="Arial"/>
          <w:bCs/>
          <w:szCs w:val="24"/>
          <w:lang w:val="en-GB"/>
        </w:rPr>
        <w:t xml:space="preserve"> </w:t>
      </w:r>
      <w:r w:rsidR="002B7F83" w:rsidRPr="00A05BCE">
        <w:rPr>
          <w:rFonts w:eastAsiaTheme="minorHAnsi" w:cs="Arial"/>
          <w:bCs/>
          <w:szCs w:val="24"/>
          <w:lang w:val="en-GB"/>
        </w:rPr>
        <w:t>had seen</w:t>
      </w:r>
      <w:r w:rsidR="00B82468" w:rsidRPr="00A05BCE">
        <w:rPr>
          <w:rFonts w:eastAsiaTheme="minorHAnsi" w:cs="Arial"/>
          <w:bCs/>
          <w:szCs w:val="24"/>
          <w:lang w:val="en-GB"/>
        </w:rPr>
        <w:t xml:space="preserve"> a Muizenberg sign</w:t>
      </w:r>
      <w:r w:rsidR="00081439" w:rsidRPr="00A05BCE">
        <w:rPr>
          <w:rFonts w:eastAsiaTheme="minorHAnsi" w:cs="Arial"/>
          <w:bCs/>
          <w:szCs w:val="24"/>
          <w:lang w:val="en-GB"/>
        </w:rPr>
        <w:t>,</w:t>
      </w:r>
      <w:r w:rsidR="00F90E51" w:rsidRPr="00A05BCE">
        <w:rPr>
          <w:rFonts w:eastAsiaTheme="minorHAnsi" w:cs="Arial"/>
          <w:bCs/>
          <w:szCs w:val="24"/>
          <w:lang w:val="en-GB"/>
        </w:rPr>
        <w:t xml:space="preserve"> t</w:t>
      </w:r>
      <w:r w:rsidR="00B82468" w:rsidRPr="00A05BCE">
        <w:rPr>
          <w:rFonts w:eastAsiaTheme="minorHAnsi" w:cs="Arial"/>
          <w:bCs/>
          <w:szCs w:val="24"/>
          <w:lang w:val="en-GB"/>
        </w:rPr>
        <w:t>he taxi stopped, and while his recollection of what happened was not precise, he did recall that Mtsholotsholo grabbed Mrwebi</w:t>
      </w:r>
      <w:r w:rsidR="00F90E51" w:rsidRPr="00A05BCE">
        <w:rPr>
          <w:rFonts w:eastAsiaTheme="minorHAnsi" w:cs="Arial"/>
          <w:bCs/>
          <w:szCs w:val="24"/>
          <w:lang w:val="en-GB"/>
        </w:rPr>
        <w:t xml:space="preserve"> and</w:t>
      </w:r>
      <w:r w:rsidR="00B82468" w:rsidRPr="00A05BCE">
        <w:rPr>
          <w:rFonts w:eastAsiaTheme="minorHAnsi" w:cs="Arial"/>
          <w:bCs/>
          <w:szCs w:val="24"/>
          <w:lang w:val="en-GB"/>
        </w:rPr>
        <w:t xml:space="preserve"> pulled him out of the taxi</w:t>
      </w:r>
      <w:r w:rsidR="001C6065" w:rsidRPr="00A05BCE">
        <w:rPr>
          <w:rFonts w:eastAsiaTheme="minorHAnsi" w:cs="Arial"/>
          <w:bCs/>
          <w:szCs w:val="24"/>
          <w:lang w:val="en-GB"/>
        </w:rPr>
        <w:t>,</w:t>
      </w:r>
      <w:r w:rsidR="00B83BD4" w:rsidRPr="00A05BCE">
        <w:rPr>
          <w:rFonts w:eastAsiaTheme="minorHAnsi" w:cs="Arial"/>
          <w:bCs/>
          <w:szCs w:val="24"/>
          <w:lang w:val="en-GB"/>
        </w:rPr>
        <w:t xml:space="preserve"> and </w:t>
      </w:r>
      <w:r w:rsidR="00B83BD4" w:rsidRPr="00A05BCE">
        <w:rPr>
          <w:rFonts w:eastAsiaTheme="minorHAnsi" w:cs="Arial"/>
          <w:bCs/>
          <w:szCs w:val="24"/>
          <w:lang w:val="en-GB"/>
        </w:rPr>
        <w:lastRenderedPageBreak/>
        <w:t xml:space="preserve">with </w:t>
      </w:r>
      <w:r w:rsidR="001C6065" w:rsidRPr="00A05BCE">
        <w:rPr>
          <w:rFonts w:eastAsiaTheme="minorHAnsi" w:cs="Arial"/>
          <w:bCs/>
          <w:szCs w:val="24"/>
          <w:lang w:val="en-GB"/>
        </w:rPr>
        <w:t xml:space="preserve">a bit </w:t>
      </w:r>
      <w:r w:rsidR="00B83BD4" w:rsidRPr="00A05BCE">
        <w:rPr>
          <w:rFonts w:eastAsiaTheme="minorHAnsi" w:cs="Arial"/>
          <w:bCs/>
          <w:szCs w:val="24"/>
          <w:lang w:val="en-GB"/>
        </w:rPr>
        <w:t>less conviction suggested that Manana assisted Mtsholotsholo.</w:t>
      </w:r>
      <w:r w:rsidR="00F90E51" w:rsidRPr="00A05BCE">
        <w:rPr>
          <w:rFonts w:eastAsiaTheme="minorHAnsi" w:cs="Arial"/>
          <w:bCs/>
          <w:szCs w:val="24"/>
          <w:lang w:val="en-GB"/>
        </w:rPr>
        <w:t xml:space="preserve"> They</w:t>
      </w:r>
      <w:r w:rsidR="001C6065" w:rsidRPr="00A05BCE">
        <w:rPr>
          <w:rFonts w:eastAsiaTheme="minorHAnsi" w:cs="Arial"/>
          <w:bCs/>
          <w:szCs w:val="24"/>
          <w:lang w:val="en-GB"/>
        </w:rPr>
        <w:t xml:space="preserve">, in turn, </w:t>
      </w:r>
      <w:r w:rsidR="00F90E51" w:rsidRPr="00A05BCE">
        <w:rPr>
          <w:rFonts w:eastAsiaTheme="minorHAnsi" w:cs="Arial"/>
          <w:bCs/>
          <w:szCs w:val="24"/>
          <w:lang w:val="en-GB"/>
        </w:rPr>
        <w:t>were</w:t>
      </w:r>
      <w:r w:rsidR="00B82468" w:rsidRPr="00A05BCE">
        <w:rPr>
          <w:rFonts w:eastAsiaTheme="minorHAnsi" w:cs="Arial"/>
          <w:bCs/>
          <w:szCs w:val="24"/>
          <w:lang w:val="en-GB"/>
        </w:rPr>
        <w:t xml:space="preserve"> assist</w:t>
      </w:r>
      <w:r w:rsidR="00F90E51" w:rsidRPr="00A05BCE">
        <w:rPr>
          <w:rFonts w:eastAsiaTheme="minorHAnsi" w:cs="Arial"/>
          <w:bCs/>
          <w:szCs w:val="24"/>
          <w:lang w:val="en-GB"/>
        </w:rPr>
        <w:t>ed by</w:t>
      </w:r>
      <w:r w:rsidR="00B82468" w:rsidRPr="00A05BCE">
        <w:rPr>
          <w:rFonts w:eastAsiaTheme="minorHAnsi" w:cs="Arial"/>
          <w:bCs/>
          <w:szCs w:val="24"/>
          <w:lang w:val="en-GB"/>
        </w:rPr>
        <w:t xml:space="preserve"> two others, who pushed </w:t>
      </w:r>
      <w:r w:rsidR="00F90E51" w:rsidRPr="00A05BCE">
        <w:rPr>
          <w:rFonts w:eastAsiaTheme="minorHAnsi" w:cs="Arial"/>
          <w:bCs/>
          <w:szCs w:val="24"/>
          <w:lang w:val="en-GB"/>
        </w:rPr>
        <w:t>Mrwebi</w:t>
      </w:r>
      <w:r w:rsidR="00B82468" w:rsidRPr="00A05BCE">
        <w:rPr>
          <w:rFonts w:eastAsiaTheme="minorHAnsi" w:cs="Arial"/>
          <w:bCs/>
          <w:szCs w:val="24"/>
          <w:lang w:val="en-GB"/>
        </w:rPr>
        <w:t xml:space="preserve"> from inside the taxi</w:t>
      </w:r>
      <w:r w:rsidR="00F90E51" w:rsidRPr="00A05BCE">
        <w:rPr>
          <w:rFonts w:eastAsiaTheme="minorHAnsi" w:cs="Arial"/>
          <w:bCs/>
          <w:szCs w:val="24"/>
          <w:lang w:val="en-GB"/>
        </w:rPr>
        <w:t>, but</w:t>
      </w:r>
      <w:r w:rsidR="00B82468" w:rsidRPr="00A05BCE">
        <w:rPr>
          <w:rFonts w:eastAsiaTheme="minorHAnsi" w:cs="Arial"/>
          <w:bCs/>
          <w:szCs w:val="24"/>
          <w:lang w:val="en-GB"/>
        </w:rPr>
        <w:t xml:space="preserve"> Swartbooi could not identify the</w:t>
      </w:r>
      <w:r w:rsidR="00256682" w:rsidRPr="00A05BCE">
        <w:rPr>
          <w:rFonts w:eastAsiaTheme="minorHAnsi" w:cs="Arial"/>
          <w:bCs/>
          <w:szCs w:val="24"/>
          <w:lang w:val="en-GB"/>
        </w:rPr>
        <w:t>m</w:t>
      </w:r>
      <w:r w:rsidR="00B82468" w:rsidRPr="00A05BCE">
        <w:rPr>
          <w:rFonts w:eastAsiaTheme="minorHAnsi" w:cs="Arial"/>
          <w:bCs/>
          <w:szCs w:val="24"/>
          <w:lang w:val="en-GB"/>
        </w:rPr>
        <w:t xml:space="preserve">.  Outside the taxi, Mrwebi was assaulted as he lay on the ground.  In his words, </w:t>
      </w:r>
      <w:r w:rsidR="00C11F87" w:rsidRPr="00A05BCE">
        <w:rPr>
          <w:rFonts w:eastAsiaTheme="minorHAnsi" w:cs="Arial"/>
          <w:bCs/>
          <w:szCs w:val="24"/>
          <w:lang w:val="en-GB"/>
        </w:rPr>
        <w:t>“</w:t>
      </w:r>
      <w:r w:rsidR="00B82468" w:rsidRPr="00A05BCE">
        <w:rPr>
          <w:rFonts w:eastAsiaTheme="minorHAnsi" w:cs="Arial"/>
          <w:bCs/>
          <w:i/>
          <w:iCs/>
          <w:szCs w:val="24"/>
          <w:lang w:val="en-GB"/>
        </w:rPr>
        <w:t>they were like barbarians</w:t>
      </w:r>
      <w:r w:rsidR="00C11F87" w:rsidRPr="00A05BCE">
        <w:rPr>
          <w:rFonts w:eastAsiaTheme="minorHAnsi" w:cs="Arial"/>
          <w:bCs/>
          <w:szCs w:val="24"/>
          <w:lang w:val="en-GB"/>
        </w:rPr>
        <w:t>”</w:t>
      </w:r>
      <w:r w:rsidR="00B82468" w:rsidRPr="00A05BCE">
        <w:rPr>
          <w:rFonts w:eastAsiaTheme="minorHAnsi" w:cs="Arial"/>
          <w:bCs/>
          <w:szCs w:val="24"/>
          <w:lang w:val="en-GB"/>
        </w:rPr>
        <w:t>.</w:t>
      </w:r>
      <w:r w:rsidR="00C86514" w:rsidRPr="00A05BCE">
        <w:rPr>
          <w:rFonts w:eastAsiaTheme="minorHAnsi" w:cs="Arial"/>
          <w:bCs/>
          <w:szCs w:val="24"/>
          <w:lang w:val="en-GB"/>
        </w:rPr>
        <w:t xml:space="preserve">  Mrwebi was left lying in the bushes in Philippi</w:t>
      </w:r>
      <w:r w:rsidR="00733EF0" w:rsidRPr="00A05BCE">
        <w:rPr>
          <w:rFonts w:eastAsiaTheme="minorHAnsi" w:cs="Arial"/>
          <w:bCs/>
          <w:szCs w:val="24"/>
          <w:lang w:val="en-GB"/>
        </w:rPr>
        <w:t xml:space="preserve"> when the taxi departed the scene. </w:t>
      </w:r>
      <w:r w:rsidR="00A05BCE" w:rsidRPr="00A05BCE">
        <w:rPr>
          <w:rFonts w:eastAsiaTheme="minorHAnsi" w:cs="Arial"/>
          <w:bCs/>
          <w:szCs w:val="24"/>
          <w:lang w:val="en-GB"/>
        </w:rPr>
        <w:t xml:space="preserve">With Mrwebi dealt with, </w:t>
      </w:r>
      <w:bookmarkStart w:id="5" w:name="_Hlk135650928"/>
      <w:r w:rsidR="00C86514" w:rsidRPr="00A05BCE">
        <w:rPr>
          <w:rFonts w:eastAsiaTheme="minorHAnsi" w:cs="Arial"/>
          <w:bCs/>
          <w:szCs w:val="24"/>
          <w:lang w:val="en-GB"/>
        </w:rPr>
        <w:t>Mtsholotsholo</w:t>
      </w:r>
      <w:bookmarkEnd w:id="5"/>
      <w:r w:rsidR="00C86514" w:rsidRPr="00A05BCE">
        <w:rPr>
          <w:rFonts w:eastAsiaTheme="minorHAnsi" w:cs="Arial"/>
          <w:bCs/>
          <w:szCs w:val="24"/>
          <w:lang w:val="en-GB"/>
        </w:rPr>
        <w:t xml:space="preserve"> turned </w:t>
      </w:r>
      <w:r w:rsidR="00DF5C69" w:rsidRPr="00A05BCE">
        <w:rPr>
          <w:rFonts w:eastAsiaTheme="minorHAnsi" w:cs="Arial"/>
          <w:bCs/>
          <w:szCs w:val="24"/>
          <w:lang w:val="en-GB"/>
        </w:rPr>
        <w:t>his</w:t>
      </w:r>
      <w:r w:rsidR="00C86514" w:rsidRPr="00A05BCE">
        <w:rPr>
          <w:rFonts w:eastAsiaTheme="minorHAnsi" w:cs="Arial"/>
          <w:bCs/>
          <w:szCs w:val="24"/>
          <w:lang w:val="en-GB"/>
        </w:rPr>
        <w:t xml:space="preserve"> attention to Pangwa, who </w:t>
      </w:r>
      <w:r w:rsidR="00DF5C69" w:rsidRPr="00A05BCE">
        <w:rPr>
          <w:rFonts w:eastAsiaTheme="minorHAnsi" w:cs="Arial"/>
          <w:bCs/>
          <w:szCs w:val="24"/>
          <w:lang w:val="en-GB"/>
        </w:rPr>
        <w:t>he</w:t>
      </w:r>
      <w:r w:rsidR="00C86514" w:rsidRPr="00A05BCE">
        <w:rPr>
          <w:rFonts w:eastAsiaTheme="minorHAnsi" w:cs="Arial"/>
          <w:bCs/>
          <w:szCs w:val="24"/>
          <w:lang w:val="en-GB"/>
        </w:rPr>
        <w:t xml:space="preserve"> referred to as </w:t>
      </w:r>
      <w:r w:rsidR="00C11F87" w:rsidRPr="00A05BCE">
        <w:rPr>
          <w:rFonts w:eastAsiaTheme="minorHAnsi" w:cs="Arial"/>
          <w:bCs/>
          <w:szCs w:val="24"/>
          <w:lang w:val="en-GB"/>
        </w:rPr>
        <w:t>“</w:t>
      </w:r>
      <w:r w:rsidR="00C86514" w:rsidRPr="00A05BCE">
        <w:rPr>
          <w:rFonts w:eastAsiaTheme="minorHAnsi" w:cs="Arial"/>
          <w:bCs/>
          <w:i/>
          <w:iCs/>
          <w:szCs w:val="24"/>
          <w:lang w:val="en-GB"/>
        </w:rPr>
        <w:t>the dark boy</w:t>
      </w:r>
      <w:r w:rsidR="00C11F87" w:rsidRPr="00A05BCE">
        <w:rPr>
          <w:rFonts w:eastAsiaTheme="minorHAnsi" w:cs="Arial"/>
          <w:bCs/>
          <w:szCs w:val="24"/>
          <w:lang w:val="en-GB"/>
        </w:rPr>
        <w:t>”</w:t>
      </w:r>
      <w:r w:rsidR="00C86514" w:rsidRPr="00A05BCE">
        <w:rPr>
          <w:rFonts w:eastAsiaTheme="minorHAnsi" w:cs="Arial"/>
          <w:bCs/>
          <w:szCs w:val="24"/>
          <w:lang w:val="en-GB"/>
        </w:rPr>
        <w:t>.</w:t>
      </w:r>
      <w:r w:rsidR="00DF5C69" w:rsidRPr="00A05BCE">
        <w:rPr>
          <w:rFonts w:eastAsiaTheme="minorHAnsi" w:cs="Arial"/>
          <w:bCs/>
          <w:szCs w:val="24"/>
          <w:lang w:val="en-GB"/>
        </w:rPr>
        <w:t xml:space="preserve">  </w:t>
      </w:r>
      <w:r w:rsidR="00C86514" w:rsidRPr="00A05BCE">
        <w:rPr>
          <w:rFonts w:cs="Arial"/>
          <w:szCs w:val="24"/>
          <w:lang w:val="en-GB"/>
        </w:rPr>
        <w:t>The group drove to Crossroads, where Swartbooi pointed out Pangwa</w:t>
      </w:r>
      <w:r w:rsidR="00256502" w:rsidRPr="00A05BCE">
        <w:rPr>
          <w:rFonts w:cs="Arial"/>
          <w:szCs w:val="24"/>
          <w:lang w:val="en-GB"/>
        </w:rPr>
        <w:t>’</w:t>
      </w:r>
      <w:r w:rsidR="00C86514" w:rsidRPr="00A05BCE">
        <w:rPr>
          <w:rFonts w:cs="Arial"/>
          <w:szCs w:val="24"/>
          <w:lang w:val="en-GB"/>
        </w:rPr>
        <w:t>s mother</w:t>
      </w:r>
      <w:r w:rsidR="00256502" w:rsidRPr="00A05BCE">
        <w:rPr>
          <w:rFonts w:cs="Arial"/>
          <w:szCs w:val="24"/>
          <w:lang w:val="en-GB"/>
        </w:rPr>
        <w:t>’</w:t>
      </w:r>
      <w:r w:rsidR="00C86514" w:rsidRPr="00A05BCE">
        <w:rPr>
          <w:rFonts w:cs="Arial"/>
          <w:szCs w:val="24"/>
          <w:lang w:val="en-GB"/>
        </w:rPr>
        <w:t xml:space="preserve">s house.  </w:t>
      </w:r>
      <w:r w:rsidR="00C86514" w:rsidRPr="00A05BCE">
        <w:rPr>
          <w:rFonts w:eastAsiaTheme="minorHAnsi" w:cs="Arial"/>
          <w:bCs/>
          <w:szCs w:val="24"/>
          <w:lang w:val="en-GB"/>
        </w:rPr>
        <w:t>Mtsholotsholo</w:t>
      </w:r>
      <w:r w:rsidR="000A19A6" w:rsidRPr="00A05BCE">
        <w:rPr>
          <w:rFonts w:eastAsiaTheme="minorHAnsi" w:cs="Arial"/>
          <w:bCs/>
          <w:szCs w:val="24"/>
          <w:lang w:val="en-GB"/>
        </w:rPr>
        <w:t xml:space="preserve">, brandishing a pistol, </w:t>
      </w:r>
      <w:r w:rsidR="005D63F2" w:rsidRPr="00A05BCE">
        <w:rPr>
          <w:rFonts w:eastAsiaTheme="minorHAnsi" w:cs="Arial"/>
          <w:bCs/>
          <w:szCs w:val="24"/>
          <w:lang w:val="en-GB"/>
        </w:rPr>
        <w:t>accompanied by</w:t>
      </w:r>
      <w:r w:rsidR="00C86514" w:rsidRPr="00A05BCE">
        <w:rPr>
          <w:rFonts w:eastAsiaTheme="minorHAnsi" w:cs="Arial"/>
          <w:bCs/>
          <w:szCs w:val="24"/>
          <w:lang w:val="en-GB"/>
        </w:rPr>
        <w:t xml:space="preserve"> </w:t>
      </w:r>
      <w:r w:rsidR="000A19A6" w:rsidRPr="00A05BCE">
        <w:rPr>
          <w:rFonts w:eastAsiaTheme="minorHAnsi" w:cs="Arial"/>
          <w:bCs/>
          <w:szCs w:val="24"/>
          <w:lang w:val="en-GB"/>
        </w:rPr>
        <w:t>Manana, knocked on Ms Pangwa</w:t>
      </w:r>
      <w:r w:rsidR="00256502" w:rsidRPr="00A05BCE">
        <w:rPr>
          <w:rFonts w:eastAsiaTheme="minorHAnsi" w:cs="Arial"/>
          <w:bCs/>
          <w:szCs w:val="24"/>
          <w:lang w:val="en-GB"/>
        </w:rPr>
        <w:t>’</w:t>
      </w:r>
      <w:r w:rsidR="000A19A6" w:rsidRPr="00A05BCE">
        <w:rPr>
          <w:rFonts w:eastAsiaTheme="minorHAnsi" w:cs="Arial"/>
          <w:bCs/>
          <w:szCs w:val="24"/>
          <w:lang w:val="en-GB"/>
        </w:rPr>
        <w:t>s door</w:t>
      </w:r>
      <w:r w:rsidR="001163CA" w:rsidRPr="00A05BCE">
        <w:rPr>
          <w:rFonts w:eastAsiaTheme="minorHAnsi" w:cs="Arial"/>
          <w:bCs/>
          <w:szCs w:val="24"/>
          <w:lang w:val="en-GB"/>
        </w:rPr>
        <w:t xml:space="preserve">.  </w:t>
      </w:r>
      <w:r w:rsidR="00DF5C69" w:rsidRPr="00A05BCE">
        <w:rPr>
          <w:rFonts w:eastAsiaTheme="minorHAnsi" w:cs="Arial"/>
          <w:bCs/>
          <w:szCs w:val="24"/>
          <w:lang w:val="en-GB"/>
        </w:rPr>
        <w:t>She called her son, who</w:t>
      </w:r>
      <w:r w:rsidR="001163CA" w:rsidRPr="00A05BCE">
        <w:rPr>
          <w:rFonts w:eastAsiaTheme="minorHAnsi" w:cs="Arial"/>
          <w:bCs/>
          <w:szCs w:val="24"/>
          <w:lang w:val="en-GB"/>
        </w:rPr>
        <w:t xml:space="preserve"> was loaded into the taxi by </w:t>
      </w:r>
      <w:r w:rsidR="00DF5C69" w:rsidRPr="00A05BCE">
        <w:rPr>
          <w:rFonts w:eastAsiaTheme="minorHAnsi" w:cs="Arial"/>
          <w:bCs/>
          <w:szCs w:val="24"/>
          <w:lang w:val="en-GB"/>
        </w:rPr>
        <w:t>the two men</w:t>
      </w:r>
      <w:r w:rsidR="006F09E8" w:rsidRPr="00A05BCE">
        <w:rPr>
          <w:rFonts w:eastAsiaTheme="minorHAnsi" w:cs="Arial"/>
          <w:bCs/>
          <w:szCs w:val="24"/>
          <w:lang w:val="en-GB"/>
        </w:rPr>
        <w:t xml:space="preserve">.  On the way towards Philippi, Swartbooi was dropped off with R6 and warned not to speak </w:t>
      </w:r>
      <w:r w:rsidR="00C11F87" w:rsidRPr="00A05BCE">
        <w:rPr>
          <w:rFonts w:eastAsiaTheme="minorHAnsi" w:cs="Arial"/>
          <w:bCs/>
          <w:szCs w:val="24"/>
          <w:lang w:val="en-GB"/>
        </w:rPr>
        <w:t>“</w:t>
      </w:r>
      <w:r w:rsidR="006F09E8" w:rsidRPr="00A05BCE">
        <w:rPr>
          <w:rFonts w:eastAsiaTheme="minorHAnsi" w:cs="Arial"/>
          <w:bCs/>
          <w:i/>
          <w:iCs/>
          <w:szCs w:val="24"/>
          <w:lang w:val="en-GB"/>
        </w:rPr>
        <w:t>otherwise they will come</w:t>
      </w:r>
      <w:r w:rsidR="00C11F87" w:rsidRPr="00A05BCE">
        <w:rPr>
          <w:rFonts w:eastAsiaTheme="minorHAnsi" w:cs="Arial"/>
          <w:bCs/>
          <w:szCs w:val="24"/>
          <w:lang w:val="en-GB"/>
        </w:rPr>
        <w:t>”</w:t>
      </w:r>
      <w:r w:rsidR="006F09E8" w:rsidRPr="00A05BCE">
        <w:rPr>
          <w:rFonts w:eastAsiaTheme="minorHAnsi" w:cs="Arial"/>
          <w:bCs/>
          <w:szCs w:val="24"/>
          <w:lang w:val="en-GB"/>
        </w:rPr>
        <w:t xml:space="preserve">.  He used </w:t>
      </w:r>
      <w:r w:rsidR="00DF5C69" w:rsidRPr="00A05BCE">
        <w:rPr>
          <w:rFonts w:eastAsiaTheme="minorHAnsi" w:cs="Arial"/>
          <w:bCs/>
          <w:szCs w:val="24"/>
          <w:lang w:val="en-GB"/>
        </w:rPr>
        <w:t>the</w:t>
      </w:r>
      <w:r w:rsidR="006F09E8" w:rsidRPr="00A05BCE">
        <w:rPr>
          <w:rFonts w:eastAsiaTheme="minorHAnsi" w:cs="Arial"/>
          <w:bCs/>
          <w:szCs w:val="24"/>
          <w:lang w:val="en-GB"/>
        </w:rPr>
        <w:t xml:space="preserve"> R6 to take an </w:t>
      </w:r>
      <w:r w:rsidR="00C11F87" w:rsidRPr="00A05BCE">
        <w:rPr>
          <w:rFonts w:eastAsiaTheme="minorHAnsi" w:cs="Arial"/>
          <w:bCs/>
          <w:szCs w:val="24"/>
          <w:lang w:val="en-GB"/>
        </w:rPr>
        <w:t>“</w:t>
      </w:r>
      <w:r w:rsidR="006F09E8" w:rsidRPr="00A05BCE">
        <w:rPr>
          <w:rFonts w:eastAsiaTheme="minorHAnsi" w:cs="Arial"/>
          <w:bCs/>
          <w:i/>
          <w:iCs/>
          <w:szCs w:val="24"/>
          <w:lang w:val="en-GB"/>
        </w:rPr>
        <w:t>Ipela</w:t>
      </w:r>
      <w:r w:rsidR="00C11F87" w:rsidRPr="00A05BCE">
        <w:rPr>
          <w:rFonts w:eastAsiaTheme="minorHAnsi" w:cs="Arial"/>
          <w:bCs/>
          <w:szCs w:val="24"/>
          <w:lang w:val="en-GB"/>
        </w:rPr>
        <w:t>”</w:t>
      </w:r>
      <w:r w:rsidR="006F09E8" w:rsidRPr="00A05BCE">
        <w:rPr>
          <w:rFonts w:eastAsiaTheme="minorHAnsi" w:cs="Arial"/>
          <w:bCs/>
          <w:szCs w:val="24"/>
          <w:lang w:val="en-GB"/>
        </w:rPr>
        <w:t xml:space="preserve"> taxi home.</w:t>
      </w:r>
      <w:r w:rsidR="00013D8D">
        <w:rPr>
          <w:rFonts w:eastAsiaTheme="minorHAnsi" w:cs="Arial"/>
          <w:bCs/>
          <w:szCs w:val="24"/>
          <w:lang w:val="en-GB"/>
        </w:rPr>
        <w:t xml:space="preserve"> That was Swartbooi’s evidence in chief. </w:t>
      </w:r>
    </w:p>
    <w:p w14:paraId="4EF682B1" w14:textId="51DB99C7" w:rsidR="00F130D4" w:rsidRPr="00F130D4" w:rsidRDefault="000541C6" w:rsidP="000541C6">
      <w:pPr>
        <w:pStyle w:val="Level1"/>
        <w:numPr>
          <w:ilvl w:val="0"/>
          <w:numId w:val="0"/>
        </w:numPr>
        <w:ind w:left="851" w:hanging="851"/>
        <w:rPr>
          <w:rFonts w:cs="Arial"/>
          <w:szCs w:val="24"/>
          <w:lang w:val="en-GB"/>
        </w:rPr>
      </w:pPr>
      <w:r w:rsidRPr="00F130D4">
        <w:rPr>
          <w:rFonts w:cs="Arial"/>
          <w:szCs w:val="24"/>
          <w:lang w:val="en-GB"/>
        </w:rPr>
        <w:t>37.</w:t>
      </w:r>
      <w:r w:rsidRPr="00F130D4">
        <w:rPr>
          <w:rFonts w:cs="Arial"/>
          <w:szCs w:val="24"/>
          <w:lang w:val="en-GB"/>
        </w:rPr>
        <w:tab/>
      </w:r>
      <w:r w:rsidR="00D7486E" w:rsidRPr="008F717C">
        <w:rPr>
          <w:rFonts w:eastAsiaTheme="minorHAnsi" w:cs="Arial"/>
          <w:bCs/>
          <w:szCs w:val="24"/>
          <w:lang w:val="en-GB"/>
        </w:rPr>
        <w:t>The cross-examination of Swartbooi was extensive.</w:t>
      </w:r>
      <w:r w:rsidR="00FA293F" w:rsidRPr="008F717C">
        <w:rPr>
          <w:rFonts w:eastAsiaTheme="minorHAnsi" w:cs="Arial"/>
          <w:bCs/>
          <w:szCs w:val="24"/>
          <w:lang w:val="en-GB"/>
        </w:rPr>
        <w:t xml:space="preserve"> Counsel for Mbana emphasised that his client had not been placed in the taxi.  For Manana, who featured prominently in Swartbooi</w:t>
      </w:r>
      <w:r w:rsidR="00256502" w:rsidRPr="008F717C">
        <w:rPr>
          <w:rFonts w:eastAsiaTheme="minorHAnsi" w:cs="Arial"/>
          <w:bCs/>
          <w:szCs w:val="24"/>
          <w:lang w:val="en-GB"/>
        </w:rPr>
        <w:t>’</w:t>
      </w:r>
      <w:r w:rsidR="00FA293F" w:rsidRPr="008F717C">
        <w:rPr>
          <w:rFonts w:eastAsiaTheme="minorHAnsi" w:cs="Arial"/>
          <w:bCs/>
          <w:szCs w:val="24"/>
          <w:lang w:val="en-GB"/>
        </w:rPr>
        <w:t xml:space="preserve">s evidence, it was </w:t>
      </w:r>
      <w:r w:rsidR="005854FF" w:rsidRPr="008F717C">
        <w:rPr>
          <w:rFonts w:eastAsiaTheme="minorHAnsi" w:cs="Arial"/>
          <w:bCs/>
          <w:szCs w:val="24"/>
          <w:lang w:val="en-GB"/>
        </w:rPr>
        <w:t>put</w:t>
      </w:r>
      <w:r w:rsidR="00FA293F" w:rsidRPr="008F717C">
        <w:rPr>
          <w:rFonts w:eastAsiaTheme="minorHAnsi" w:cs="Arial"/>
          <w:bCs/>
          <w:szCs w:val="24"/>
          <w:lang w:val="en-GB"/>
        </w:rPr>
        <w:t xml:space="preserve"> that he was not implicated in Swartbooi</w:t>
      </w:r>
      <w:r w:rsidR="00256502" w:rsidRPr="008F717C">
        <w:rPr>
          <w:rFonts w:eastAsiaTheme="minorHAnsi" w:cs="Arial"/>
          <w:bCs/>
          <w:szCs w:val="24"/>
          <w:lang w:val="en-GB"/>
        </w:rPr>
        <w:t>’</w:t>
      </w:r>
      <w:r w:rsidR="00FA293F" w:rsidRPr="008F717C">
        <w:rPr>
          <w:rFonts w:eastAsiaTheme="minorHAnsi" w:cs="Arial"/>
          <w:bCs/>
          <w:szCs w:val="24"/>
          <w:lang w:val="en-GB"/>
        </w:rPr>
        <w:t>s kidnapping whilst it was conceded that he was implicated in Mrwebi</w:t>
      </w:r>
      <w:r w:rsidR="00256502" w:rsidRPr="008F717C">
        <w:rPr>
          <w:rFonts w:eastAsiaTheme="minorHAnsi" w:cs="Arial"/>
          <w:bCs/>
          <w:szCs w:val="24"/>
          <w:lang w:val="en-GB"/>
        </w:rPr>
        <w:t>’</w:t>
      </w:r>
      <w:r w:rsidR="00FA293F" w:rsidRPr="008F717C">
        <w:rPr>
          <w:rFonts w:eastAsiaTheme="minorHAnsi" w:cs="Arial"/>
          <w:bCs/>
          <w:szCs w:val="24"/>
          <w:lang w:val="en-GB"/>
        </w:rPr>
        <w:t>s kidnapping.</w:t>
      </w:r>
      <w:r w:rsidR="00652004" w:rsidRPr="008F717C">
        <w:rPr>
          <w:rFonts w:eastAsiaTheme="minorHAnsi" w:cs="Arial"/>
          <w:bCs/>
          <w:szCs w:val="24"/>
          <w:lang w:val="en-GB"/>
        </w:rPr>
        <w:t xml:space="preserve">  </w:t>
      </w:r>
      <w:r w:rsidR="00FA293F" w:rsidRPr="008F717C">
        <w:rPr>
          <w:rFonts w:eastAsiaTheme="minorHAnsi" w:cs="Arial"/>
          <w:bCs/>
          <w:szCs w:val="24"/>
          <w:lang w:val="en-GB"/>
        </w:rPr>
        <w:t xml:space="preserve">Mkunyanya, through his counsel, admitted being in the taxi but claimed to have been </w:t>
      </w:r>
      <w:r w:rsidR="00C11F87" w:rsidRPr="008F717C">
        <w:rPr>
          <w:rFonts w:eastAsiaTheme="minorHAnsi" w:cs="Arial"/>
          <w:bCs/>
          <w:szCs w:val="24"/>
          <w:lang w:val="en-GB"/>
        </w:rPr>
        <w:t>“</w:t>
      </w:r>
      <w:r w:rsidR="00FA293F" w:rsidRPr="008F717C">
        <w:rPr>
          <w:rFonts w:eastAsiaTheme="minorHAnsi" w:cs="Arial"/>
          <w:bCs/>
          <w:i/>
          <w:iCs/>
          <w:szCs w:val="24"/>
          <w:lang w:val="en-GB"/>
        </w:rPr>
        <w:t>an uninvolved, passive bystander / passenger</w:t>
      </w:r>
      <w:r w:rsidR="00C11F87" w:rsidRPr="008F717C">
        <w:rPr>
          <w:rFonts w:eastAsiaTheme="minorHAnsi" w:cs="Arial"/>
          <w:bCs/>
          <w:szCs w:val="24"/>
          <w:lang w:val="en-GB"/>
        </w:rPr>
        <w:t>”</w:t>
      </w:r>
      <w:r w:rsidR="00FA293F" w:rsidRPr="008F717C">
        <w:rPr>
          <w:rFonts w:eastAsiaTheme="minorHAnsi" w:cs="Arial"/>
          <w:bCs/>
          <w:szCs w:val="24"/>
          <w:lang w:val="en-GB"/>
        </w:rPr>
        <w:t>.  Swartbooi did not place Shoba and Mboniswa in the taxi.</w:t>
      </w:r>
      <w:r w:rsidR="003426FF" w:rsidRPr="008F717C">
        <w:rPr>
          <w:rFonts w:eastAsiaTheme="minorHAnsi" w:cs="Arial"/>
          <w:bCs/>
          <w:szCs w:val="24"/>
          <w:lang w:val="en-GB"/>
        </w:rPr>
        <w:t xml:space="preserve"> </w:t>
      </w:r>
    </w:p>
    <w:p w14:paraId="541474D4" w14:textId="6730AFF8" w:rsidR="00B0629B"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38.</w:t>
      </w:r>
      <w:r w:rsidRPr="008F717C">
        <w:rPr>
          <w:rFonts w:cs="Arial"/>
          <w:szCs w:val="24"/>
          <w:lang w:val="en-GB"/>
        </w:rPr>
        <w:tab/>
      </w:r>
      <w:r w:rsidR="003426FF" w:rsidRPr="008F717C">
        <w:rPr>
          <w:rFonts w:eastAsiaTheme="minorHAnsi" w:cs="Arial"/>
          <w:bCs/>
          <w:szCs w:val="24"/>
          <w:lang w:val="en-GB"/>
        </w:rPr>
        <w:t>Swartbooi</w:t>
      </w:r>
      <w:r w:rsidR="00256502" w:rsidRPr="008F717C">
        <w:rPr>
          <w:rFonts w:eastAsiaTheme="minorHAnsi" w:cs="Arial"/>
          <w:bCs/>
          <w:szCs w:val="24"/>
          <w:lang w:val="en-GB"/>
        </w:rPr>
        <w:t>’</w:t>
      </w:r>
      <w:r w:rsidR="003426FF" w:rsidRPr="008F717C">
        <w:rPr>
          <w:rFonts w:eastAsiaTheme="minorHAnsi" w:cs="Arial"/>
          <w:bCs/>
          <w:szCs w:val="24"/>
          <w:lang w:val="en-GB"/>
        </w:rPr>
        <w:t xml:space="preserve">s statement, made on 16 October 2017, for reasons </w:t>
      </w:r>
      <w:r w:rsidR="00656D63">
        <w:rPr>
          <w:rFonts w:eastAsiaTheme="minorHAnsi" w:cs="Arial"/>
          <w:bCs/>
          <w:szCs w:val="24"/>
          <w:lang w:val="en-GB"/>
        </w:rPr>
        <w:t xml:space="preserve">that are </w:t>
      </w:r>
      <w:r w:rsidR="00FC6406">
        <w:rPr>
          <w:rFonts w:eastAsiaTheme="minorHAnsi" w:cs="Arial"/>
          <w:bCs/>
          <w:szCs w:val="24"/>
          <w:lang w:val="en-GB"/>
        </w:rPr>
        <w:t xml:space="preserve">in all material respects the same as </w:t>
      </w:r>
      <w:r w:rsidR="003426FF" w:rsidRPr="008F717C">
        <w:rPr>
          <w:rFonts w:eastAsiaTheme="minorHAnsi" w:cs="Arial"/>
          <w:bCs/>
          <w:szCs w:val="24"/>
          <w:lang w:val="en-GB"/>
        </w:rPr>
        <w:t>those set out regarding Williams</w:t>
      </w:r>
      <w:r w:rsidR="00256502" w:rsidRPr="008F717C">
        <w:rPr>
          <w:rFonts w:eastAsiaTheme="minorHAnsi" w:cs="Arial"/>
          <w:bCs/>
          <w:szCs w:val="24"/>
          <w:lang w:val="en-GB"/>
        </w:rPr>
        <w:t>’</w:t>
      </w:r>
      <w:r w:rsidR="003426FF" w:rsidRPr="008F717C">
        <w:rPr>
          <w:rFonts w:eastAsiaTheme="minorHAnsi" w:cs="Arial"/>
          <w:bCs/>
          <w:szCs w:val="24"/>
          <w:lang w:val="en-GB"/>
        </w:rPr>
        <w:t xml:space="preserve"> statements, ha</w:t>
      </w:r>
      <w:r w:rsidR="00604A3C" w:rsidRPr="008F717C">
        <w:rPr>
          <w:rFonts w:eastAsiaTheme="minorHAnsi" w:cs="Arial"/>
          <w:bCs/>
          <w:szCs w:val="24"/>
          <w:lang w:val="en-GB"/>
        </w:rPr>
        <w:t>s</w:t>
      </w:r>
      <w:r w:rsidR="003426FF" w:rsidRPr="008F717C">
        <w:rPr>
          <w:rFonts w:eastAsiaTheme="minorHAnsi" w:cs="Arial"/>
          <w:bCs/>
          <w:szCs w:val="24"/>
          <w:lang w:val="en-GB"/>
        </w:rPr>
        <w:t>, in my view, no probative value.</w:t>
      </w:r>
    </w:p>
    <w:p w14:paraId="7FEF9B18" w14:textId="653CC3CE" w:rsidR="00F51321" w:rsidRPr="008F717C" w:rsidRDefault="000541C6" w:rsidP="000541C6">
      <w:pPr>
        <w:pStyle w:val="Heading2"/>
        <w:numPr>
          <w:ilvl w:val="0"/>
          <w:numId w:val="0"/>
        </w:numPr>
        <w:ind w:left="851" w:hanging="851"/>
        <w:rPr>
          <w:szCs w:val="24"/>
          <w:lang w:val="en-GB"/>
        </w:rPr>
      </w:pPr>
      <w:r w:rsidRPr="008F717C">
        <w:rPr>
          <w:szCs w:val="24"/>
          <w:u w:val="none"/>
          <w:lang w:val="en-GB"/>
        </w:rPr>
        <w:lastRenderedPageBreak/>
        <w:t>(iv)</w:t>
      </w:r>
      <w:r w:rsidRPr="008F717C">
        <w:rPr>
          <w:szCs w:val="24"/>
          <w:u w:val="none"/>
          <w:lang w:val="en-GB"/>
        </w:rPr>
        <w:tab/>
      </w:r>
      <w:r w:rsidR="00F51321" w:rsidRPr="008F717C">
        <w:rPr>
          <w:szCs w:val="24"/>
          <w:lang w:val="en-GB"/>
        </w:rPr>
        <w:t>Mrwebi</w:t>
      </w:r>
      <w:r w:rsidR="00256502" w:rsidRPr="008F717C">
        <w:rPr>
          <w:szCs w:val="24"/>
          <w:lang w:val="en-GB"/>
        </w:rPr>
        <w:t>’</w:t>
      </w:r>
      <w:r w:rsidR="00F51321" w:rsidRPr="008F717C">
        <w:rPr>
          <w:szCs w:val="24"/>
          <w:lang w:val="en-GB"/>
        </w:rPr>
        <w:t>s testimony</w:t>
      </w:r>
    </w:p>
    <w:p w14:paraId="419F2EF9" w14:textId="40645C7B" w:rsidR="004A1D2E"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39.</w:t>
      </w:r>
      <w:r w:rsidRPr="008F717C">
        <w:rPr>
          <w:rFonts w:cs="Arial"/>
          <w:szCs w:val="24"/>
          <w:lang w:val="en-GB"/>
        </w:rPr>
        <w:tab/>
      </w:r>
      <w:r w:rsidR="007D2B68" w:rsidRPr="008F717C">
        <w:rPr>
          <w:rFonts w:cs="Arial"/>
          <w:szCs w:val="24"/>
          <w:lang w:val="en-GB"/>
        </w:rPr>
        <w:t>Mrwebi</w:t>
      </w:r>
      <w:r w:rsidR="00656D63">
        <w:rPr>
          <w:rFonts w:cs="Arial"/>
          <w:szCs w:val="24"/>
          <w:lang w:val="en-GB"/>
        </w:rPr>
        <w:t xml:space="preserve">, in chief, </w:t>
      </w:r>
      <w:r w:rsidR="007D2B68" w:rsidRPr="008F717C">
        <w:rPr>
          <w:rFonts w:cs="Arial"/>
          <w:szCs w:val="24"/>
          <w:lang w:val="en-GB"/>
        </w:rPr>
        <w:t>implicated Manana in his kidnapping and</w:t>
      </w:r>
      <w:r w:rsidR="00472008" w:rsidRPr="008F717C">
        <w:rPr>
          <w:rFonts w:cs="Arial"/>
          <w:szCs w:val="24"/>
          <w:lang w:val="en-GB"/>
        </w:rPr>
        <w:t xml:space="preserve"> placed him </w:t>
      </w:r>
      <w:r w:rsidR="007D2B68" w:rsidRPr="008F717C">
        <w:rPr>
          <w:rFonts w:cs="Arial"/>
          <w:szCs w:val="24"/>
          <w:lang w:val="en-GB"/>
        </w:rPr>
        <w:t xml:space="preserve">in the taxi.  While he testified </w:t>
      </w:r>
      <w:r w:rsidR="00711EE6" w:rsidRPr="008F717C">
        <w:rPr>
          <w:rFonts w:cs="Arial"/>
          <w:szCs w:val="24"/>
          <w:lang w:val="en-GB"/>
        </w:rPr>
        <w:t>to</w:t>
      </w:r>
      <w:r w:rsidR="007D2B68" w:rsidRPr="008F717C">
        <w:rPr>
          <w:rFonts w:cs="Arial"/>
          <w:szCs w:val="24"/>
          <w:lang w:val="en-GB"/>
        </w:rPr>
        <w:t xml:space="preserve"> being </w:t>
      </w:r>
      <w:r w:rsidR="00711EE6" w:rsidRPr="008F717C">
        <w:rPr>
          <w:rFonts w:cs="Arial"/>
          <w:szCs w:val="24"/>
          <w:lang w:val="en-GB"/>
        </w:rPr>
        <w:t>assaulted</w:t>
      </w:r>
      <w:r w:rsidR="007858CA" w:rsidRPr="008F717C">
        <w:rPr>
          <w:rFonts w:cs="Arial"/>
          <w:szCs w:val="24"/>
          <w:lang w:val="en-GB"/>
        </w:rPr>
        <w:t xml:space="preserve"> in the taxi</w:t>
      </w:r>
      <w:r w:rsidR="007D2B68" w:rsidRPr="008F717C">
        <w:rPr>
          <w:rFonts w:cs="Arial"/>
          <w:szCs w:val="24"/>
          <w:lang w:val="en-GB"/>
        </w:rPr>
        <w:t xml:space="preserve">, he could not identify who </w:t>
      </w:r>
      <w:r w:rsidR="00711EE6" w:rsidRPr="008F717C">
        <w:rPr>
          <w:rFonts w:cs="Arial"/>
          <w:szCs w:val="24"/>
          <w:lang w:val="en-GB"/>
        </w:rPr>
        <w:t>had done</w:t>
      </w:r>
      <w:r w:rsidR="007858CA" w:rsidRPr="008F717C">
        <w:rPr>
          <w:rFonts w:cs="Arial"/>
          <w:szCs w:val="24"/>
          <w:lang w:val="en-GB"/>
        </w:rPr>
        <w:t xml:space="preserve"> so.  While he recalled that </w:t>
      </w:r>
      <w:r w:rsidR="007858CA" w:rsidRPr="008F717C">
        <w:rPr>
          <w:rFonts w:eastAsiaTheme="minorHAnsi" w:cs="Arial"/>
          <w:bCs/>
          <w:szCs w:val="24"/>
          <w:lang w:val="en-GB"/>
        </w:rPr>
        <w:t xml:space="preserve">Mtsholotsholo took him out of the taxi and others pushed him from behind, he was not able to identify the </w:t>
      </w:r>
      <w:r w:rsidR="009D0F60" w:rsidRPr="008F717C">
        <w:rPr>
          <w:rFonts w:eastAsiaTheme="minorHAnsi" w:cs="Arial"/>
          <w:bCs/>
          <w:szCs w:val="24"/>
          <w:lang w:val="en-GB"/>
        </w:rPr>
        <w:t>other</w:t>
      </w:r>
      <w:r w:rsidR="0093743B" w:rsidRPr="008F717C">
        <w:rPr>
          <w:rFonts w:eastAsiaTheme="minorHAnsi" w:cs="Arial"/>
          <w:bCs/>
          <w:szCs w:val="24"/>
          <w:lang w:val="en-GB"/>
        </w:rPr>
        <w:t xml:space="preserve"> people</w:t>
      </w:r>
      <w:r w:rsidR="009D0F60" w:rsidRPr="008F717C">
        <w:rPr>
          <w:rFonts w:eastAsiaTheme="minorHAnsi" w:cs="Arial"/>
          <w:bCs/>
          <w:szCs w:val="24"/>
          <w:lang w:val="en-GB"/>
        </w:rPr>
        <w:t xml:space="preserve"> who assaulted and left him for dead</w:t>
      </w:r>
      <w:r w:rsidR="0093743B" w:rsidRPr="008F717C">
        <w:rPr>
          <w:rFonts w:eastAsiaTheme="minorHAnsi" w:cs="Arial"/>
          <w:bCs/>
          <w:szCs w:val="24"/>
          <w:lang w:val="en-GB"/>
        </w:rPr>
        <w:t>,</w:t>
      </w:r>
      <w:r w:rsidR="009D0F60" w:rsidRPr="008F717C">
        <w:rPr>
          <w:rFonts w:eastAsiaTheme="minorHAnsi" w:cs="Arial"/>
          <w:bCs/>
          <w:szCs w:val="24"/>
          <w:lang w:val="en-GB"/>
        </w:rPr>
        <w:t xml:space="preserve"> in the bushes near Philippi.</w:t>
      </w:r>
    </w:p>
    <w:p w14:paraId="13606CB3" w14:textId="7E9F4D45" w:rsidR="009D0F60"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40.</w:t>
      </w:r>
      <w:r w:rsidRPr="008F717C">
        <w:rPr>
          <w:rFonts w:cs="Arial"/>
          <w:szCs w:val="24"/>
          <w:lang w:val="en-GB"/>
        </w:rPr>
        <w:tab/>
      </w:r>
      <w:r w:rsidR="009D0F60" w:rsidRPr="008F717C">
        <w:rPr>
          <w:rFonts w:cs="Arial"/>
          <w:szCs w:val="24"/>
          <w:lang w:val="en-GB"/>
        </w:rPr>
        <w:t>Mrwebi ma</w:t>
      </w:r>
      <w:r w:rsidR="006A3DB8" w:rsidRPr="008F717C">
        <w:rPr>
          <w:rFonts w:cs="Arial"/>
          <w:szCs w:val="24"/>
          <w:lang w:val="en-GB"/>
        </w:rPr>
        <w:t>d</w:t>
      </w:r>
      <w:r w:rsidR="009D0F60" w:rsidRPr="008F717C">
        <w:rPr>
          <w:rFonts w:cs="Arial"/>
          <w:szCs w:val="24"/>
          <w:lang w:val="en-GB"/>
        </w:rPr>
        <w:t xml:space="preserve">e </w:t>
      </w:r>
      <w:r w:rsidR="002706D8" w:rsidRPr="008F717C">
        <w:rPr>
          <w:rFonts w:cs="Arial"/>
          <w:szCs w:val="24"/>
          <w:lang w:val="en-GB"/>
        </w:rPr>
        <w:t xml:space="preserve">a statement on 15 October 2017 in Lady Frere.  However, as with the other statements already mentioned, </w:t>
      </w:r>
      <w:r w:rsidR="009D21D3" w:rsidRPr="008F717C">
        <w:rPr>
          <w:rFonts w:cs="Arial"/>
          <w:szCs w:val="24"/>
          <w:lang w:val="en-GB"/>
        </w:rPr>
        <w:t xml:space="preserve">he spoke only isiXhosa to Mlonyeni, who </w:t>
      </w:r>
      <w:r w:rsidR="00A51FBE" w:rsidRPr="008F717C">
        <w:rPr>
          <w:rFonts w:cs="Arial"/>
          <w:szCs w:val="24"/>
          <w:lang w:val="en-GB"/>
        </w:rPr>
        <w:t>wrote out the statement in English.  Mlonyeni did not</w:t>
      </w:r>
      <w:r w:rsidR="007D333F" w:rsidRPr="008F717C">
        <w:rPr>
          <w:rFonts w:cs="Arial"/>
          <w:szCs w:val="24"/>
          <w:lang w:val="en-GB"/>
        </w:rPr>
        <w:t xml:space="preserve"> read the statement back to him, in English or isiXhosa.  The </w:t>
      </w:r>
      <w:r w:rsidR="00A51FBE" w:rsidRPr="008F717C">
        <w:rPr>
          <w:rFonts w:cs="Arial"/>
          <w:szCs w:val="24"/>
          <w:lang w:val="en-GB"/>
        </w:rPr>
        <w:t xml:space="preserve">only reason why he signed it was that he was under the impression that Mlonyeni was writing down in English what he had told him in isiXhosa.  </w:t>
      </w:r>
      <w:r w:rsidR="007D333F" w:rsidRPr="008F717C">
        <w:rPr>
          <w:rFonts w:cs="Arial"/>
          <w:szCs w:val="24"/>
          <w:lang w:val="en-GB"/>
        </w:rPr>
        <w:t xml:space="preserve">In my view his </w:t>
      </w:r>
      <w:r w:rsidR="00A51FBE" w:rsidRPr="008F717C">
        <w:rPr>
          <w:rFonts w:cs="Arial"/>
          <w:szCs w:val="24"/>
          <w:lang w:val="en-GB"/>
        </w:rPr>
        <w:t xml:space="preserve">statement </w:t>
      </w:r>
      <w:r w:rsidR="001A798F">
        <w:rPr>
          <w:rFonts w:cs="Arial"/>
          <w:szCs w:val="24"/>
          <w:lang w:val="en-GB"/>
        </w:rPr>
        <w:t>also</w:t>
      </w:r>
      <w:r w:rsidR="00A51FBE" w:rsidRPr="008F717C">
        <w:rPr>
          <w:rFonts w:cs="Arial"/>
          <w:szCs w:val="24"/>
          <w:lang w:val="en-GB"/>
        </w:rPr>
        <w:t xml:space="preserve"> has no probative value</w:t>
      </w:r>
      <w:r w:rsidR="00C639E9">
        <w:rPr>
          <w:rFonts w:cs="Arial"/>
          <w:szCs w:val="24"/>
          <w:lang w:val="en-GB"/>
        </w:rPr>
        <w:t xml:space="preserve">. </w:t>
      </w:r>
    </w:p>
    <w:p w14:paraId="4D8325AB" w14:textId="06EE4A26" w:rsidR="0099371E" w:rsidRPr="008F717C" w:rsidRDefault="000541C6" w:rsidP="000541C6">
      <w:pPr>
        <w:pStyle w:val="Heading1"/>
        <w:numPr>
          <w:ilvl w:val="0"/>
          <w:numId w:val="0"/>
        </w:numPr>
        <w:ind w:left="851" w:hanging="851"/>
        <w:rPr>
          <w:szCs w:val="24"/>
          <w:lang w:val="en-GB"/>
        </w:rPr>
      </w:pPr>
      <w:r w:rsidRPr="008F717C">
        <w:rPr>
          <w:szCs w:val="24"/>
          <w:lang w:val="en-GB"/>
        </w:rPr>
        <w:t>D.</w:t>
      </w:r>
      <w:r w:rsidRPr="008F717C">
        <w:rPr>
          <w:szCs w:val="24"/>
          <w:lang w:val="en-GB"/>
        </w:rPr>
        <w:tab/>
      </w:r>
      <w:r w:rsidR="006A3DB8" w:rsidRPr="008F717C">
        <w:rPr>
          <w:szCs w:val="24"/>
          <w:lang w:val="en-GB"/>
        </w:rPr>
        <w:t>THE</w:t>
      </w:r>
      <w:r w:rsidR="00FC78AC" w:rsidRPr="008F717C">
        <w:rPr>
          <w:szCs w:val="24"/>
          <w:lang w:val="en-GB"/>
        </w:rPr>
        <w:t xml:space="preserve"> WARNING STATEMENTS</w:t>
      </w:r>
    </w:p>
    <w:p w14:paraId="47814A7D" w14:textId="5138B115" w:rsidR="0099371E"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41.</w:t>
      </w:r>
      <w:r w:rsidRPr="008F717C">
        <w:rPr>
          <w:rFonts w:cs="Arial"/>
          <w:szCs w:val="24"/>
          <w:lang w:val="en-GB"/>
        </w:rPr>
        <w:tab/>
      </w:r>
      <w:r w:rsidR="00FC78AC" w:rsidRPr="008F717C">
        <w:rPr>
          <w:rFonts w:cs="Arial"/>
          <w:szCs w:val="24"/>
          <w:lang w:val="en-GB"/>
        </w:rPr>
        <w:t xml:space="preserve">When </w:t>
      </w:r>
      <w:r w:rsidR="0099371E" w:rsidRPr="008F717C">
        <w:rPr>
          <w:rFonts w:cs="Arial"/>
          <w:szCs w:val="24"/>
          <w:lang w:val="en-GB"/>
        </w:rPr>
        <w:t xml:space="preserve">the State gave notice that it intended to lead evidence regarding the admissions of Mbana, Manana, Shoba and Mkunyanya made in warning statements, the defence objected, </w:t>
      </w:r>
      <w:r w:rsidR="00FC78AC" w:rsidRPr="008F717C">
        <w:rPr>
          <w:rFonts w:cs="Arial"/>
          <w:szCs w:val="24"/>
          <w:lang w:val="en-GB"/>
        </w:rPr>
        <w:t xml:space="preserve">and hence </w:t>
      </w:r>
      <w:r w:rsidR="0099371E" w:rsidRPr="008F717C">
        <w:rPr>
          <w:rFonts w:cs="Arial"/>
          <w:szCs w:val="24"/>
          <w:lang w:val="en-GB"/>
        </w:rPr>
        <w:t>a trial within a trial was held regarding the</w:t>
      </w:r>
      <w:r w:rsidR="00C92D67" w:rsidRPr="008F717C">
        <w:rPr>
          <w:rFonts w:cs="Arial"/>
          <w:szCs w:val="24"/>
          <w:lang w:val="en-GB"/>
        </w:rPr>
        <w:t>ir</w:t>
      </w:r>
      <w:r w:rsidR="0099371E" w:rsidRPr="008F717C">
        <w:rPr>
          <w:rFonts w:cs="Arial"/>
          <w:szCs w:val="24"/>
          <w:lang w:val="en-GB"/>
        </w:rPr>
        <w:t xml:space="preserve"> admissibility.</w:t>
      </w:r>
    </w:p>
    <w:p w14:paraId="322F6BC9" w14:textId="2F0AED27" w:rsidR="003B6D3B" w:rsidRPr="006A107D" w:rsidRDefault="000541C6" w:rsidP="000541C6">
      <w:pPr>
        <w:pStyle w:val="Level1"/>
        <w:numPr>
          <w:ilvl w:val="0"/>
          <w:numId w:val="0"/>
        </w:numPr>
        <w:spacing w:after="600"/>
        <w:ind w:left="851" w:hanging="851"/>
        <w:rPr>
          <w:rFonts w:cs="Arial"/>
          <w:i/>
          <w:iCs/>
          <w:szCs w:val="24"/>
          <w:lang w:val="en-GB"/>
        </w:rPr>
      </w:pPr>
      <w:r w:rsidRPr="006A107D">
        <w:rPr>
          <w:rFonts w:cs="Arial"/>
          <w:i/>
          <w:iCs/>
          <w:szCs w:val="24"/>
          <w:lang w:val="en-GB"/>
        </w:rPr>
        <w:t>42.</w:t>
      </w:r>
      <w:r w:rsidRPr="006A107D">
        <w:rPr>
          <w:rFonts w:cs="Arial"/>
          <w:i/>
          <w:iCs/>
          <w:szCs w:val="24"/>
          <w:lang w:val="en-GB"/>
        </w:rPr>
        <w:tab/>
      </w:r>
      <w:r w:rsidR="0099371E" w:rsidRPr="006A107D">
        <w:rPr>
          <w:rFonts w:cs="Arial"/>
          <w:szCs w:val="24"/>
          <w:lang w:val="en-GB"/>
        </w:rPr>
        <w:t>The admissibility</w:t>
      </w:r>
      <w:r w:rsidR="005D154C" w:rsidRPr="006A107D">
        <w:rPr>
          <w:rFonts w:cs="Arial"/>
          <w:szCs w:val="24"/>
          <w:lang w:val="en-GB"/>
        </w:rPr>
        <w:t xml:space="preserve"> of warning statements</w:t>
      </w:r>
      <w:r w:rsidR="0093203A" w:rsidRPr="006A107D">
        <w:rPr>
          <w:rFonts w:cs="Arial"/>
          <w:szCs w:val="24"/>
          <w:lang w:val="en-GB"/>
        </w:rPr>
        <w:t xml:space="preserve"> is</w:t>
      </w:r>
      <w:r w:rsidR="0099371E" w:rsidRPr="006A107D">
        <w:rPr>
          <w:rFonts w:cs="Arial"/>
          <w:szCs w:val="24"/>
          <w:lang w:val="en-GB"/>
        </w:rPr>
        <w:t xml:space="preserve"> governed</w:t>
      </w:r>
      <w:r w:rsidR="00D21235" w:rsidRPr="006A107D">
        <w:rPr>
          <w:rFonts w:cs="Arial"/>
          <w:szCs w:val="24"/>
          <w:lang w:val="en-GB"/>
        </w:rPr>
        <w:t>, in the main,</w:t>
      </w:r>
      <w:r w:rsidR="0099371E" w:rsidRPr="006A107D">
        <w:rPr>
          <w:rFonts w:cs="Arial"/>
          <w:szCs w:val="24"/>
          <w:lang w:val="en-GB"/>
        </w:rPr>
        <w:t xml:space="preserve"> by</w:t>
      </w:r>
      <w:r w:rsidR="0093203A" w:rsidRPr="006A107D">
        <w:rPr>
          <w:rFonts w:cs="Arial"/>
          <w:szCs w:val="24"/>
          <w:lang w:val="en-GB"/>
        </w:rPr>
        <w:t xml:space="preserve"> section 219A of the CPA and section 35(3) and (5) of the Constitution.</w:t>
      </w:r>
      <w:r w:rsidR="006A107D" w:rsidRPr="006A107D">
        <w:rPr>
          <w:rFonts w:cs="Arial"/>
          <w:szCs w:val="24"/>
          <w:lang w:val="en-GB"/>
        </w:rPr>
        <w:t xml:space="preserve"> </w:t>
      </w:r>
      <w:r w:rsidR="0093203A" w:rsidRPr="006A107D">
        <w:rPr>
          <w:rFonts w:cs="Arial"/>
          <w:szCs w:val="24"/>
          <w:lang w:val="en-GB"/>
        </w:rPr>
        <w:t xml:space="preserve">Section 219A </w:t>
      </w:r>
      <w:r w:rsidR="006A6D39">
        <w:rPr>
          <w:rFonts w:cs="Arial"/>
          <w:szCs w:val="24"/>
          <w:lang w:val="en-GB"/>
        </w:rPr>
        <w:t xml:space="preserve">of the CPA </w:t>
      </w:r>
      <w:r w:rsidR="0093203A" w:rsidRPr="006A107D">
        <w:rPr>
          <w:rFonts w:cs="Arial"/>
          <w:szCs w:val="24"/>
          <w:lang w:val="en-GB"/>
        </w:rPr>
        <w:t>provides that:</w:t>
      </w:r>
      <w:r w:rsidR="00E91F84" w:rsidRPr="006A107D">
        <w:rPr>
          <w:rFonts w:cs="Arial"/>
          <w:szCs w:val="24"/>
          <w:lang w:val="en-GB"/>
        </w:rPr>
        <w:t xml:space="preserve"> </w:t>
      </w:r>
      <w:r w:rsidR="00E91F84" w:rsidRPr="006A107D">
        <w:rPr>
          <w:rFonts w:cs="Arial"/>
          <w:i/>
          <w:iCs/>
          <w:szCs w:val="24"/>
          <w:lang w:val="en-GB"/>
        </w:rPr>
        <w:t>“</w:t>
      </w:r>
      <w:r w:rsidR="003B6D3B" w:rsidRPr="006A107D">
        <w:rPr>
          <w:rFonts w:cs="Arial"/>
          <w:i/>
          <w:iCs/>
          <w:szCs w:val="24"/>
          <w:lang w:val="en-GB"/>
        </w:rPr>
        <w:t xml:space="preserve">The evidence of any admission made extra-judicially by any person in relation to the commission of an offence shall, </w:t>
      </w:r>
      <w:r w:rsidR="003B6D3B" w:rsidRPr="006A107D">
        <w:rPr>
          <w:rFonts w:cs="Arial"/>
          <w:i/>
          <w:iCs/>
          <w:szCs w:val="24"/>
          <w:lang w:val="en-GB"/>
        </w:rPr>
        <w:lastRenderedPageBreak/>
        <w:t>if such admission does not constitute a confession of that offence and is proved to have been voluntarily made by that person, be admissible in evidence against him at criminal proceedings relating to that offence.</w:t>
      </w:r>
      <w:r w:rsidR="00C11F87" w:rsidRPr="006A107D">
        <w:rPr>
          <w:rFonts w:cs="Arial"/>
          <w:i/>
          <w:iCs/>
          <w:szCs w:val="24"/>
          <w:lang w:val="en-GB"/>
        </w:rPr>
        <w:t>”</w:t>
      </w:r>
      <w:r w:rsidR="001D0B04">
        <w:rPr>
          <w:rFonts w:cs="Arial"/>
          <w:i/>
          <w:iCs/>
          <w:szCs w:val="24"/>
          <w:lang w:val="en-GB"/>
        </w:rPr>
        <w:t xml:space="preserve"> </w:t>
      </w:r>
      <w:r w:rsidR="003B6D3B" w:rsidRPr="006A107D">
        <w:rPr>
          <w:rFonts w:cs="Arial"/>
          <w:szCs w:val="24"/>
          <w:lang w:val="en-GB"/>
        </w:rPr>
        <w:t xml:space="preserve">The relevant part of section 35(3) of the Constitution </w:t>
      </w:r>
      <w:r w:rsidR="001D0B04">
        <w:rPr>
          <w:rFonts w:cs="Arial"/>
          <w:szCs w:val="24"/>
          <w:lang w:val="en-GB"/>
        </w:rPr>
        <w:t>reads</w:t>
      </w:r>
      <w:r w:rsidR="00A51A5B" w:rsidRPr="006A107D">
        <w:rPr>
          <w:rFonts w:cs="Arial"/>
          <w:szCs w:val="24"/>
          <w:lang w:val="en-GB"/>
        </w:rPr>
        <w:t xml:space="preserve"> that</w:t>
      </w:r>
      <w:r w:rsidR="003B6D3B" w:rsidRPr="006A107D">
        <w:rPr>
          <w:rFonts w:cs="Arial"/>
          <w:szCs w:val="24"/>
          <w:lang w:val="en-GB"/>
        </w:rPr>
        <w:t>:</w:t>
      </w:r>
      <w:r w:rsidR="00E91F84" w:rsidRPr="006A107D">
        <w:rPr>
          <w:rFonts w:cs="Arial"/>
          <w:szCs w:val="24"/>
          <w:lang w:val="en-GB"/>
        </w:rPr>
        <w:t xml:space="preserve"> </w:t>
      </w:r>
      <w:r w:rsidR="00C11F87" w:rsidRPr="006A107D">
        <w:rPr>
          <w:rFonts w:cs="Arial"/>
          <w:i/>
          <w:iCs/>
          <w:szCs w:val="24"/>
          <w:lang w:val="en-GB"/>
        </w:rPr>
        <w:t>“</w:t>
      </w:r>
      <w:r w:rsidR="003B6D3B" w:rsidRPr="006A107D">
        <w:rPr>
          <w:rFonts w:cs="Arial"/>
          <w:i/>
          <w:iCs/>
          <w:szCs w:val="24"/>
          <w:lang w:val="en-GB"/>
        </w:rPr>
        <w:t>Every accused person has a right to a fair trial, which includes the right –</w:t>
      </w:r>
      <w:r w:rsidR="00227566" w:rsidRPr="006A107D">
        <w:rPr>
          <w:rFonts w:cs="Arial"/>
          <w:i/>
          <w:iCs/>
          <w:szCs w:val="24"/>
          <w:lang w:val="en-GB"/>
        </w:rPr>
        <w:t xml:space="preserve"> </w:t>
      </w:r>
      <w:r w:rsidR="008E079C" w:rsidRPr="006A107D">
        <w:rPr>
          <w:rFonts w:cs="Arial"/>
          <w:i/>
          <w:iCs/>
          <w:szCs w:val="24"/>
          <w:lang w:val="en-GB"/>
        </w:rPr>
        <w:t>(</w:t>
      </w:r>
      <w:r w:rsidR="00CC280A" w:rsidRPr="006A107D">
        <w:rPr>
          <w:rFonts w:cs="Arial"/>
          <w:i/>
          <w:iCs/>
          <w:szCs w:val="24"/>
          <w:lang w:val="en-GB"/>
        </w:rPr>
        <w:t xml:space="preserve">a) to remain silent; (b) </w:t>
      </w:r>
      <w:r w:rsidR="003B6D3B" w:rsidRPr="006A107D">
        <w:rPr>
          <w:rFonts w:cs="Arial"/>
          <w:i/>
          <w:iCs/>
          <w:szCs w:val="24"/>
          <w:lang w:val="en-GB"/>
        </w:rPr>
        <w:t>to be informed of the charge with sufficient detail to answer it</w:t>
      </w:r>
      <w:r w:rsidR="00227566" w:rsidRPr="006A107D">
        <w:rPr>
          <w:rFonts w:cs="Arial"/>
          <w:i/>
          <w:iCs/>
          <w:szCs w:val="24"/>
          <w:lang w:val="en-GB"/>
        </w:rPr>
        <w:t>;…</w:t>
      </w:r>
      <w:r w:rsidR="003B6D3B" w:rsidRPr="006A107D">
        <w:rPr>
          <w:rFonts w:cs="Arial"/>
          <w:i/>
          <w:iCs/>
          <w:szCs w:val="24"/>
          <w:lang w:val="en-GB"/>
        </w:rPr>
        <w:t>(h</w:t>
      </w:r>
      <w:r w:rsidR="00CC280A" w:rsidRPr="006A107D">
        <w:rPr>
          <w:rFonts w:cs="Arial"/>
          <w:i/>
          <w:iCs/>
          <w:szCs w:val="24"/>
          <w:lang w:val="en-GB"/>
        </w:rPr>
        <w:t xml:space="preserve">) </w:t>
      </w:r>
      <w:r w:rsidR="003B6D3B" w:rsidRPr="006A107D">
        <w:rPr>
          <w:rFonts w:cs="Arial"/>
          <w:i/>
          <w:iCs/>
          <w:szCs w:val="24"/>
          <w:lang w:val="en-GB"/>
        </w:rPr>
        <w:t>to be presumed innocent, to remain silent, and not to testify during the proceedings;</w:t>
      </w:r>
      <w:r w:rsidR="00CC280A" w:rsidRPr="006A107D">
        <w:rPr>
          <w:rFonts w:cs="Arial"/>
          <w:i/>
          <w:iCs/>
          <w:szCs w:val="24"/>
          <w:lang w:val="en-GB"/>
        </w:rPr>
        <w:t>…</w:t>
      </w:r>
      <w:r w:rsidR="003B6D3B" w:rsidRPr="006A107D">
        <w:rPr>
          <w:rFonts w:cs="Arial"/>
          <w:i/>
          <w:iCs/>
          <w:szCs w:val="24"/>
          <w:lang w:val="en-GB"/>
        </w:rPr>
        <w:t>(j)</w:t>
      </w:r>
      <w:r w:rsidR="001D0B04">
        <w:rPr>
          <w:rFonts w:cs="Arial"/>
          <w:i/>
          <w:iCs/>
          <w:szCs w:val="24"/>
          <w:lang w:val="en-GB"/>
        </w:rPr>
        <w:t xml:space="preserve"> </w:t>
      </w:r>
      <w:r w:rsidR="003B6D3B" w:rsidRPr="006A107D">
        <w:rPr>
          <w:rFonts w:cs="Arial"/>
          <w:i/>
          <w:iCs/>
          <w:szCs w:val="24"/>
          <w:lang w:val="en-GB"/>
        </w:rPr>
        <w:t>not to be compelled to give self-incriminating evidence;</w:t>
      </w:r>
      <w:r w:rsidR="00C11F87" w:rsidRPr="006A107D">
        <w:rPr>
          <w:rFonts w:cs="Arial"/>
          <w:i/>
          <w:iCs/>
          <w:szCs w:val="24"/>
          <w:lang w:val="en-GB"/>
        </w:rPr>
        <w:t>”</w:t>
      </w:r>
      <w:r w:rsidR="001D0B04">
        <w:rPr>
          <w:rFonts w:cs="Arial"/>
          <w:i/>
          <w:iCs/>
          <w:szCs w:val="24"/>
          <w:lang w:val="en-GB"/>
        </w:rPr>
        <w:t>.</w:t>
      </w:r>
      <w:r w:rsidR="00BC76F9" w:rsidRPr="006A107D">
        <w:rPr>
          <w:rFonts w:cs="Arial"/>
          <w:i/>
          <w:iCs/>
          <w:szCs w:val="24"/>
          <w:lang w:val="en-GB"/>
        </w:rPr>
        <w:t xml:space="preserve"> </w:t>
      </w:r>
      <w:r w:rsidR="003B6D3B" w:rsidRPr="006A107D">
        <w:rPr>
          <w:rFonts w:cs="Arial"/>
          <w:szCs w:val="24"/>
          <w:lang w:val="en-GB"/>
        </w:rPr>
        <w:t>Section </w:t>
      </w:r>
      <w:r w:rsidR="005C45D5" w:rsidRPr="006A107D">
        <w:rPr>
          <w:rFonts w:cs="Arial"/>
          <w:szCs w:val="24"/>
          <w:lang w:val="en-GB"/>
        </w:rPr>
        <w:t>3</w:t>
      </w:r>
      <w:r w:rsidR="003B6D3B" w:rsidRPr="006A107D">
        <w:rPr>
          <w:rFonts w:cs="Arial"/>
          <w:szCs w:val="24"/>
          <w:lang w:val="en-GB"/>
        </w:rPr>
        <w:t>5(5) of the Constitution provides that:</w:t>
      </w:r>
      <w:r w:rsidR="00BC76F9" w:rsidRPr="006A107D">
        <w:rPr>
          <w:rFonts w:cs="Arial"/>
          <w:szCs w:val="24"/>
          <w:lang w:val="en-GB"/>
        </w:rPr>
        <w:t xml:space="preserve"> </w:t>
      </w:r>
      <w:r w:rsidR="00C11F87" w:rsidRPr="006A107D">
        <w:rPr>
          <w:rFonts w:cs="Arial"/>
          <w:i/>
          <w:iCs/>
          <w:szCs w:val="24"/>
          <w:lang w:val="en-GB"/>
        </w:rPr>
        <w:t>“</w:t>
      </w:r>
      <w:r w:rsidR="003B6D3B" w:rsidRPr="006A107D">
        <w:rPr>
          <w:rFonts w:cs="Arial"/>
          <w:i/>
          <w:iCs/>
          <w:szCs w:val="24"/>
          <w:lang w:val="en-GB"/>
        </w:rPr>
        <w:t>(5)</w:t>
      </w:r>
      <w:r w:rsidR="00BC76F9" w:rsidRPr="006A107D">
        <w:rPr>
          <w:rFonts w:cs="Arial"/>
          <w:i/>
          <w:iCs/>
          <w:szCs w:val="24"/>
          <w:lang w:val="en-GB"/>
        </w:rPr>
        <w:t xml:space="preserve"> </w:t>
      </w:r>
      <w:r w:rsidR="003B6D3B" w:rsidRPr="006A107D">
        <w:rPr>
          <w:rFonts w:cs="Arial"/>
          <w:i/>
          <w:iCs/>
          <w:szCs w:val="24"/>
          <w:lang w:val="en-GB"/>
        </w:rPr>
        <w:t>Evidence obtained in a manner that violates any right in the Bill of Rights must be excluded if the admission of that evidence would render the trial unfair or otherwise be detrimental to the administration of justice.</w:t>
      </w:r>
      <w:r w:rsidR="00C11F87" w:rsidRPr="006A107D">
        <w:rPr>
          <w:rFonts w:cs="Arial"/>
          <w:i/>
          <w:iCs/>
          <w:szCs w:val="24"/>
          <w:lang w:val="en-GB"/>
        </w:rPr>
        <w:t>”</w:t>
      </w:r>
    </w:p>
    <w:p w14:paraId="586B36B1" w14:textId="54507E52" w:rsidR="00B6207B" w:rsidRPr="006D7C3E" w:rsidRDefault="000541C6" w:rsidP="000541C6">
      <w:pPr>
        <w:pStyle w:val="Level1"/>
        <w:numPr>
          <w:ilvl w:val="0"/>
          <w:numId w:val="0"/>
        </w:numPr>
        <w:ind w:left="851" w:hanging="851"/>
        <w:rPr>
          <w:rFonts w:cs="Arial"/>
          <w:szCs w:val="24"/>
          <w:lang w:val="en-GB"/>
        </w:rPr>
      </w:pPr>
      <w:r w:rsidRPr="006D7C3E">
        <w:rPr>
          <w:rFonts w:cs="Arial"/>
          <w:szCs w:val="24"/>
          <w:lang w:val="en-GB"/>
        </w:rPr>
        <w:t>43.</w:t>
      </w:r>
      <w:r w:rsidRPr="006D7C3E">
        <w:rPr>
          <w:rFonts w:cs="Arial"/>
          <w:szCs w:val="24"/>
          <w:lang w:val="en-GB"/>
        </w:rPr>
        <w:tab/>
      </w:r>
      <w:r w:rsidR="00743771" w:rsidRPr="006D7C3E">
        <w:rPr>
          <w:rFonts w:cs="Arial"/>
          <w:szCs w:val="24"/>
          <w:lang w:val="en-GB"/>
        </w:rPr>
        <w:t xml:space="preserve">While there is no prescribed form that a warning statement must take, </w:t>
      </w:r>
      <w:r w:rsidR="009000AB" w:rsidRPr="006D7C3E">
        <w:rPr>
          <w:rFonts w:cs="Arial"/>
          <w:szCs w:val="24"/>
          <w:lang w:val="en-GB"/>
        </w:rPr>
        <w:t xml:space="preserve">the police </w:t>
      </w:r>
      <w:r w:rsidR="00656F6C" w:rsidRPr="006D7C3E">
        <w:rPr>
          <w:rFonts w:cs="Arial"/>
          <w:szCs w:val="24"/>
          <w:lang w:val="en-GB"/>
        </w:rPr>
        <w:t>u</w:t>
      </w:r>
      <w:r w:rsidR="009000AB" w:rsidRPr="006D7C3E">
        <w:rPr>
          <w:rFonts w:cs="Arial"/>
          <w:szCs w:val="24"/>
          <w:lang w:val="en-GB"/>
        </w:rPr>
        <w:t>se</w:t>
      </w:r>
      <w:r w:rsidR="00656F6C" w:rsidRPr="006D7C3E">
        <w:rPr>
          <w:rFonts w:cs="Arial"/>
          <w:szCs w:val="24"/>
          <w:lang w:val="en-GB"/>
        </w:rPr>
        <w:t xml:space="preserve"> well designed</w:t>
      </w:r>
      <w:r w:rsidR="009000AB" w:rsidRPr="006D7C3E">
        <w:rPr>
          <w:rFonts w:cs="Arial"/>
          <w:szCs w:val="24"/>
          <w:lang w:val="en-GB"/>
        </w:rPr>
        <w:t xml:space="preserve"> </w:t>
      </w:r>
      <w:r w:rsidR="009000AB" w:rsidRPr="006D7C3E">
        <w:rPr>
          <w:rFonts w:cs="Arial"/>
          <w:i/>
          <w:iCs/>
          <w:szCs w:val="24"/>
          <w:lang w:val="en-GB"/>
        </w:rPr>
        <w:t>pro forma</w:t>
      </w:r>
      <w:r w:rsidR="009000AB" w:rsidRPr="006D7C3E">
        <w:rPr>
          <w:rFonts w:cs="Arial"/>
          <w:szCs w:val="24"/>
          <w:lang w:val="en-GB"/>
        </w:rPr>
        <w:t xml:space="preserve"> documents </w:t>
      </w:r>
      <w:r w:rsidR="007058A0" w:rsidRPr="006D7C3E">
        <w:rPr>
          <w:rFonts w:cs="Arial"/>
          <w:szCs w:val="24"/>
          <w:lang w:val="en-GB"/>
        </w:rPr>
        <w:t xml:space="preserve">when taking </w:t>
      </w:r>
      <w:r w:rsidR="00BC76F9" w:rsidRPr="006D7C3E">
        <w:rPr>
          <w:rFonts w:cs="Arial"/>
          <w:szCs w:val="24"/>
          <w:lang w:val="en-GB"/>
        </w:rPr>
        <w:t>them down.</w:t>
      </w:r>
      <w:r w:rsidR="00DE2E36" w:rsidRPr="006D7C3E">
        <w:rPr>
          <w:rFonts w:cs="Arial"/>
          <w:szCs w:val="24"/>
          <w:lang w:val="en-GB"/>
        </w:rPr>
        <w:t xml:space="preserve"> </w:t>
      </w:r>
      <w:r w:rsidR="00656F6C" w:rsidRPr="006D7C3E">
        <w:rPr>
          <w:rFonts w:cs="Arial"/>
          <w:szCs w:val="24"/>
          <w:lang w:val="en-GB"/>
        </w:rPr>
        <w:t>I</w:t>
      </w:r>
      <w:r w:rsidR="00DE2E36" w:rsidRPr="006D7C3E">
        <w:rPr>
          <w:rFonts w:cs="Arial"/>
          <w:szCs w:val="24"/>
          <w:lang w:val="en-GB"/>
        </w:rPr>
        <w:t>t is not</w:t>
      </w:r>
      <w:r w:rsidR="00656F6C" w:rsidRPr="006D7C3E">
        <w:rPr>
          <w:rFonts w:cs="Arial"/>
          <w:szCs w:val="24"/>
          <w:lang w:val="en-GB"/>
        </w:rPr>
        <w:t xml:space="preserve"> a </w:t>
      </w:r>
      <w:r w:rsidR="000814C8">
        <w:rPr>
          <w:rFonts w:cs="Arial"/>
          <w:szCs w:val="24"/>
          <w:lang w:val="en-GB"/>
        </w:rPr>
        <w:t>pre</w:t>
      </w:r>
      <w:r w:rsidR="00656F6C" w:rsidRPr="006D7C3E">
        <w:rPr>
          <w:rFonts w:cs="Arial"/>
          <w:szCs w:val="24"/>
          <w:lang w:val="en-GB"/>
        </w:rPr>
        <w:t xml:space="preserve">requisite for admissibility that the standard form be used, </w:t>
      </w:r>
      <w:r w:rsidR="00DE2E36" w:rsidRPr="006D7C3E">
        <w:rPr>
          <w:rFonts w:cs="Arial"/>
          <w:szCs w:val="24"/>
          <w:lang w:val="en-GB"/>
        </w:rPr>
        <w:t xml:space="preserve">although conformance with such formalities </w:t>
      </w:r>
      <w:r w:rsidR="00F254E7" w:rsidRPr="006D7C3E">
        <w:rPr>
          <w:rFonts w:cs="Arial"/>
          <w:szCs w:val="24"/>
          <w:lang w:val="en-GB"/>
        </w:rPr>
        <w:t>doe</w:t>
      </w:r>
      <w:r w:rsidR="000814C8">
        <w:rPr>
          <w:rFonts w:cs="Arial"/>
          <w:szCs w:val="24"/>
          <w:lang w:val="en-GB"/>
        </w:rPr>
        <w:t>s</w:t>
      </w:r>
      <w:r w:rsidR="00F254E7" w:rsidRPr="006D7C3E">
        <w:rPr>
          <w:rFonts w:cs="Arial"/>
          <w:szCs w:val="24"/>
          <w:lang w:val="en-GB"/>
        </w:rPr>
        <w:t xml:space="preserve"> assist a court in determining the admissibility of the statement.</w:t>
      </w:r>
      <w:r w:rsidR="00F254E7" w:rsidRPr="008F717C">
        <w:rPr>
          <w:rStyle w:val="FootnoteReference"/>
          <w:rFonts w:cs="Arial"/>
          <w:szCs w:val="24"/>
          <w:lang w:val="en-GB"/>
        </w:rPr>
        <w:footnoteReference w:id="11"/>
      </w:r>
      <w:r w:rsidR="006D7C3E" w:rsidRPr="006D7C3E">
        <w:rPr>
          <w:rFonts w:cs="Arial"/>
          <w:szCs w:val="24"/>
          <w:lang w:val="en-GB"/>
        </w:rPr>
        <w:t xml:space="preserve"> </w:t>
      </w:r>
      <w:r w:rsidR="00B6207B" w:rsidRPr="006D7C3E">
        <w:rPr>
          <w:rFonts w:cs="Arial"/>
          <w:szCs w:val="24"/>
          <w:lang w:val="en-GB"/>
        </w:rPr>
        <w:t>I appreciate that policemen in Nyanga, as testified, have an enormous caseload.  It can also be accepted that they are, in relative terms, under-resourced and work in a very dangerous and stressful environment. But, does this mean that sloppiness in taking down warning statements</w:t>
      </w:r>
      <w:r w:rsidR="003256EF" w:rsidRPr="006D7C3E">
        <w:rPr>
          <w:rFonts w:cs="Arial"/>
          <w:szCs w:val="24"/>
          <w:lang w:val="en-GB"/>
        </w:rPr>
        <w:t>, whilst it may be understandable,</w:t>
      </w:r>
      <w:r w:rsidR="00B6207B" w:rsidRPr="006D7C3E">
        <w:rPr>
          <w:rFonts w:cs="Arial"/>
          <w:szCs w:val="24"/>
          <w:lang w:val="en-GB"/>
        </w:rPr>
        <w:t xml:space="preserve"> is excusable?  I think not.  I do not suggest that</w:t>
      </w:r>
      <w:r w:rsidR="00E62900" w:rsidRPr="006D7C3E">
        <w:rPr>
          <w:rFonts w:cs="Arial"/>
          <w:szCs w:val="24"/>
          <w:lang w:val="en-GB"/>
        </w:rPr>
        <w:t xml:space="preserve"> strict adherence to form</w:t>
      </w:r>
      <w:r w:rsidR="00B6207B" w:rsidRPr="006D7C3E">
        <w:rPr>
          <w:rFonts w:cs="Arial"/>
          <w:szCs w:val="24"/>
          <w:lang w:val="en-GB"/>
        </w:rPr>
        <w:t xml:space="preserve"> overrides the test for admissibility, but it must be said that non-compliance or disregard of the c</w:t>
      </w:r>
      <w:r w:rsidR="002A4572">
        <w:rPr>
          <w:rFonts w:cs="Arial"/>
          <w:szCs w:val="24"/>
          <w:lang w:val="en-GB"/>
        </w:rPr>
        <w:t>arefully</w:t>
      </w:r>
      <w:r w:rsidR="00B6207B" w:rsidRPr="006D7C3E">
        <w:rPr>
          <w:rFonts w:cs="Arial"/>
          <w:szCs w:val="24"/>
          <w:lang w:val="en-GB"/>
        </w:rPr>
        <w:t xml:space="preserve"> crafted </w:t>
      </w:r>
      <w:r w:rsidR="00B6207B" w:rsidRPr="006D7C3E">
        <w:rPr>
          <w:rFonts w:cs="Arial"/>
          <w:szCs w:val="24"/>
          <w:lang w:val="en-GB"/>
        </w:rPr>
        <w:lastRenderedPageBreak/>
        <w:t xml:space="preserve">questions and </w:t>
      </w:r>
      <w:r w:rsidR="00546A38">
        <w:rPr>
          <w:rFonts w:cs="Arial"/>
          <w:szCs w:val="24"/>
          <w:lang w:val="en-GB"/>
        </w:rPr>
        <w:t>pointers</w:t>
      </w:r>
      <w:r w:rsidR="00B6207B" w:rsidRPr="006D7C3E">
        <w:rPr>
          <w:rFonts w:cs="Arial"/>
          <w:szCs w:val="24"/>
          <w:lang w:val="en-GB"/>
        </w:rPr>
        <w:t xml:space="preserve"> in the standard warning statement form, </w:t>
      </w:r>
      <w:r w:rsidR="00FC73DF" w:rsidRPr="006D7C3E">
        <w:rPr>
          <w:rFonts w:cs="Arial"/>
          <w:szCs w:val="24"/>
          <w:lang w:val="en-GB"/>
        </w:rPr>
        <w:t>does not serve</w:t>
      </w:r>
      <w:r w:rsidR="00B6207B" w:rsidRPr="006D7C3E">
        <w:rPr>
          <w:rFonts w:cs="Arial"/>
          <w:szCs w:val="24"/>
          <w:lang w:val="en-GB"/>
        </w:rPr>
        <w:t xml:space="preserve"> the administration of justice.  In this case, the taking down of the warning statements was </w:t>
      </w:r>
      <w:r w:rsidR="00753264" w:rsidRPr="006D7C3E">
        <w:rPr>
          <w:rFonts w:cs="Arial"/>
          <w:szCs w:val="24"/>
          <w:lang w:val="en-GB"/>
        </w:rPr>
        <w:t xml:space="preserve">unnecessarily sloppy in </w:t>
      </w:r>
      <w:r w:rsidR="00F55574" w:rsidRPr="006D7C3E">
        <w:rPr>
          <w:rFonts w:cs="Arial"/>
          <w:szCs w:val="24"/>
          <w:lang w:val="en-GB"/>
        </w:rPr>
        <w:t xml:space="preserve">some respects. </w:t>
      </w:r>
      <w:r w:rsidR="00C70D9B" w:rsidRPr="006D7C3E">
        <w:rPr>
          <w:rFonts w:cs="Arial"/>
          <w:szCs w:val="24"/>
          <w:lang w:val="en-GB"/>
        </w:rPr>
        <w:t xml:space="preserve">I mention </w:t>
      </w:r>
      <w:r w:rsidR="0099496A" w:rsidRPr="006D7C3E">
        <w:rPr>
          <w:rFonts w:cs="Arial"/>
          <w:szCs w:val="24"/>
          <w:lang w:val="en-GB"/>
        </w:rPr>
        <w:t>two</w:t>
      </w:r>
      <w:r w:rsidR="00C70D9B" w:rsidRPr="006D7C3E">
        <w:rPr>
          <w:rFonts w:cs="Arial"/>
          <w:szCs w:val="24"/>
          <w:lang w:val="en-GB"/>
        </w:rPr>
        <w:t xml:space="preserve"> exampl</w:t>
      </w:r>
      <w:r w:rsidR="0099496A" w:rsidRPr="006D7C3E">
        <w:rPr>
          <w:rFonts w:cs="Arial"/>
          <w:szCs w:val="24"/>
          <w:lang w:val="en-GB"/>
        </w:rPr>
        <w:t>es</w:t>
      </w:r>
      <w:r w:rsidR="00C70D9B" w:rsidRPr="006D7C3E">
        <w:rPr>
          <w:rFonts w:cs="Arial"/>
          <w:szCs w:val="24"/>
          <w:lang w:val="en-GB"/>
        </w:rPr>
        <w:t>. T</w:t>
      </w:r>
      <w:r w:rsidR="0057213F" w:rsidRPr="006D7C3E">
        <w:rPr>
          <w:rFonts w:cs="Arial"/>
          <w:szCs w:val="24"/>
          <w:lang w:val="en-GB"/>
        </w:rPr>
        <w:t xml:space="preserve">here is a standard sentence which reads </w:t>
      </w:r>
      <w:r w:rsidR="00E0425F" w:rsidRPr="006D7C3E">
        <w:rPr>
          <w:rFonts w:cs="Arial"/>
          <w:i/>
          <w:iCs/>
          <w:szCs w:val="24"/>
          <w:lang w:val="en-GB"/>
        </w:rPr>
        <w:t xml:space="preserve">“I understand / do not understand the allegation against me.” </w:t>
      </w:r>
      <w:r w:rsidR="00106C17" w:rsidRPr="006D7C3E">
        <w:rPr>
          <w:rFonts w:cs="Arial"/>
          <w:szCs w:val="24"/>
          <w:lang w:val="en-GB"/>
        </w:rPr>
        <w:t xml:space="preserve">The </w:t>
      </w:r>
      <w:r w:rsidR="005049D1" w:rsidRPr="006D7C3E">
        <w:rPr>
          <w:rFonts w:cs="Arial"/>
          <w:szCs w:val="24"/>
          <w:lang w:val="en-GB"/>
        </w:rPr>
        <w:t>part of the sentence that does not apply must be deleted</w:t>
      </w:r>
      <w:r w:rsidR="00CF1CD7" w:rsidRPr="006D7C3E">
        <w:rPr>
          <w:rFonts w:cs="Arial"/>
          <w:szCs w:val="24"/>
          <w:lang w:val="en-GB"/>
        </w:rPr>
        <w:t xml:space="preserve">. This shows that </w:t>
      </w:r>
      <w:r w:rsidR="009E0F44" w:rsidRPr="006D7C3E">
        <w:rPr>
          <w:rFonts w:cs="Arial"/>
          <w:szCs w:val="24"/>
          <w:lang w:val="en-GB"/>
        </w:rPr>
        <w:t>t</w:t>
      </w:r>
      <w:r w:rsidR="00CF1CD7" w:rsidRPr="006D7C3E">
        <w:rPr>
          <w:rFonts w:cs="Arial"/>
          <w:szCs w:val="24"/>
          <w:lang w:val="en-GB"/>
        </w:rPr>
        <w:t xml:space="preserve">he </w:t>
      </w:r>
      <w:r w:rsidR="004770E2" w:rsidRPr="006D7C3E">
        <w:rPr>
          <w:rFonts w:cs="Arial"/>
          <w:szCs w:val="24"/>
          <w:lang w:val="en-GB"/>
        </w:rPr>
        <w:t xml:space="preserve">suspect has been </w:t>
      </w:r>
      <w:r w:rsidR="009E0F44" w:rsidRPr="006D7C3E">
        <w:rPr>
          <w:rFonts w:cs="Arial"/>
          <w:szCs w:val="24"/>
          <w:lang w:val="en-GB"/>
        </w:rPr>
        <w:t xml:space="preserve">asked and has answered the </w:t>
      </w:r>
      <w:r w:rsidR="00CF1CD7" w:rsidRPr="006D7C3E">
        <w:rPr>
          <w:rFonts w:cs="Arial"/>
          <w:szCs w:val="24"/>
          <w:lang w:val="en-GB"/>
        </w:rPr>
        <w:t>question</w:t>
      </w:r>
      <w:r w:rsidR="009E0F44" w:rsidRPr="006D7C3E">
        <w:rPr>
          <w:rFonts w:cs="Arial"/>
          <w:szCs w:val="24"/>
          <w:lang w:val="en-GB"/>
        </w:rPr>
        <w:t>.</w:t>
      </w:r>
      <w:r w:rsidR="004770E2" w:rsidRPr="006D7C3E">
        <w:rPr>
          <w:rFonts w:cs="Arial"/>
          <w:szCs w:val="24"/>
          <w:lang w:val="en-GB"/>
        </w:rPr>
        <w:t xml:space="preserve"> If the</w:t>
      </w:r>
      <w:r w:rsidR="00062378" w:rsidRPr="006D7C3E">
        <w:rPr>
          <w:rFonts w:cs="Arial"/>
          <w:szCs w:val="24"/>
          <w:lang w:val="en-GB"/>
        </w:rPr>
        <w:t xml:space="preserve"> sentence</w:t>
      </w:r>
      <w:r w:rsidR="004770E2" w:rsidRPr="006D7C3E">
        <w:rPr>
          <w:rFonts w:cs="Arial"/>
          <w:szCs w:val="24"/>
          <w:lang w:val="en-GB"/>
        </w:rPr>
        <w:t xml:space="preserve"> is </w:t>
      </w:r>
      <w:r w:rsidR="005049D1" w:rsidRPr="006D7C3E">
        <w:rPr>
          <w:rFonts w:cs="Arial"/>
          <w:szCs w:val="24"/>
          <w:lang w:val="en-GB"/>
        </w:rPr>
        <w:t>initalled by the suspect and policemen</w:t>
      </w:r>
      <w:r w:rsidR="00062378" w:rsidRPr="006D7C3E">
        <w:rPr>
          <w:rFonts w:cs="Arial"/>
          <w:szCs w:val="24"/>
          <w:lang w:val="en-GB"/>
        </w:rPr>
        <w:t xml:space="preserve"> as well,</w:t>
      </w:r>
      <w:r w:rsidR="005049D1" w:rsidRPr="006D7C3E">
        <w:rPr>
          <w:rFonts w:cs="Arial"/>
          <w:szCs w:val="24"/>
          <w:lang w:val="en-GB"/>
        </w:rPr>
        <w:t xml:space="preserve"> </w:t>
      </w:r>
      <w:r w:rsidR="009E0F44" w:rsidRPr="006D7C3E">
        <w:rPr>
          <w:rFonts w:cs="Arial"/>
          <w:szCs w:val="24"/>
          <w:lang w:val="en-GB"/>
        </w:rPr>
        <w:t xml:space="preserve">as was </w:t>
      </w:r>
      <w:r w:rsidR="00870002" w:rsidRPr="006D7C3E">
        <w:rPr>
          <w:rFonts w:cs="Arial"/>
          <w:szCs w:val="24"/>
          <w:lang w:val="en-GB"/>
        </w:rPr>
        <w:t xml:space="preserve">done </w:t>
      </w:r>
      <w:r w:rsidR="009E0F44" w:rsidRPr="006D7C3E">
        <w:rPr>
          <w:rFonts w:cs="Arial"/>
          <w:szCs w:val="24"/>
          <w:lang w:val="en-GB"/>
        </w:rPr>
        <w:t>in the case of Mkunyana’s warning statement</w:t>
      </w:r>
      <w:r w:rsidR="00C70D9B" w:rsidRPr="006D7C3E">
        <w:rPr>
          <w:rFonts w:cs="Arial"/>
          <w:szCs w:val="24"/>
          <w:lang w:val="en-GB"/>
        </w:rPr>
        <w:t xml:space="preserve"> (but</w:t>
      </w:r>
      <w:r w:rsidR="00546A38">
        <w:rPr>
          <w:rFonts w:cs="Arial"/>
          <w:szCs w:val="24"/>
          <w:lang w:val="en-GB"/>
        </w:rPr>
        <w:t xml:space="preserve"> not</w:t>
      </w:r>
      <w:r w:rsidR="00C70D9B" w:rsidRPr="006D7C3E">
        <w:rPr>
          <w:rFonts w:cs="Arial"/>
          <w:szCs w:val="24"/>
          <w:lang w:val="en-GB"/>
        </w:rPr>
        <w:t xml:space="preserve"> Mbana and Manana) </w:t>
      </w:r>
      <w:r w:rsidR="009E0F44" w:rsidRPr="006D7C3E">
        <w:rPr>
          <w:rFonts w:cs="Arial"/>
          <w:szCs w:val="24"/>
          <w:lang w:val="en-GB"/>
        </w:rPr>
        <w:t xml:space="preserve">it is compelling evidence </w:t>
      </w:r>
      <w:r w:rsidR="000242E9" w:rsidRPr="006D7C3E">
        <w:rPr>
          <w:rFonts w:cs="Arial"/>
          <w:szCs w:val="24"/>
          <w:lang w:val="en-GB"/>
        </w:rPr>
        <w:t xml:space="preserve">that this </w:t>
      </w:r>
      <w:r w:rsidR="00C70D9B" w:rsidRPr="006D7C3E">
        <w:rPr>
          <w:rFonts w:cs="Arial"/>
          <w:szCs w:val="24"/>
          <w:lang w:val="en-GB"/>
        </w:rPr>
        <w:t xml:space="preserve">requirement was met. </w:t>
      </w:r>
      <w:r w:rsidR="0095266A" w:rsidRPr="006D7C3E">
        <w:rPr>
          <w:rFonts w:cs="Arial"/>
          <w:szCs w:val="24"/>
          <w:lang w:val="en-GB"/>
        </w:rPr>
        <w:t xml:space="preserve">The form is designed in order to facilitate compliance with </w:t>
      </w:r>
      <w:r w:rsidR="00455603" w:rsidRPr="006D7C3E">
        <w:rPr>
          <w:rFonts w:cs="Arial"/>
          <w:szCs w:val="24"/>
          <w:lang w:val="en-GB"/>
        </w:rPr>
        <w:t>the Section 219A of the CPA and the Constitution</w:t>
      </w:r>
      <w:r w:rsidR="00D73E22" w:rsidRPr="006D7C3E">
        <w:rPr>
          <w:rFonts w:cs="Arial"/>
          <w:szCs w:val="24"/>
          <w:lang w:val="en-GB"/>
        </w:rPr>
        <w:t>. In plain language, i</w:t>
      </w:r>
      <w:r w:rsidR="006A4737" w:rsidRPr="006D7C3E">
        <w:rPr>
          <w:rFonts w:cs="Arial"/>
          <w:szCs w:val="24"/>
          <w:lang w:val="en-GB"/>
        </w:rPr>
        <w:t>t makes things easier, and I struggle to think of reason why it should not be followed to the letter.</w:t>
      </w:r>
      <w:r w:rsidR="00A371A0" w:rsidRPr="006D7C3E">
        <w:rPr>
          <w:rFonts w:cs="Arial"/>
          <w:szCs w:val="24"/>
          <w:lang w:val="en-GB"/>
        </w:rPr>
        <w:t xml:space="preserve"> </w:t>
      </w:r>
      <w:r w:rsidR="00A72150" w:rsidRPr="006D7C3E">
        <w:rPr>
          <w:rFonts w:cs="Arial"/>
          <w:szCs w:val="24"/>
          <w:lang w:val="en-GB"/>
        </w:rPr>
        <w:t xml:space="preserve"> The other example is the inaccurate recordal of the time when </w:t>
      </w:r>
      <w:r w:rsidR="00F32EF4" w:rsidRPr="006D7C3E">
        <w:rPr>
          <w:rFonts w:cs="Arial"/>
          <w:szCs w:val="24"/>
          <w:lang w:val="en-GB"/>
        </w:rPr>
        <w:t>the</w:t>
      </w:r>
      <w:r w:rsidR="00AD4554" w:rsidRPr="006D7C3E">
        <w:rPr>
          <w:rFonts w:cs="Arial"/>
          <w:szCs w:val="24"/>
          <w:lang w:val="en-GB"/>
        </w:rPr>
        <w:t xml:space="preserve"> warning</w:t>
      </w:r>
      <w:r w:rsidR="00F32EF4" w:rsidRPr="006D7C3E">
        <w:rPr>
          <w:rFonts w:cs="Arial"/>
          <w:szCs w:val="24"/>
          <w:lang w:val="en-GB"/>
        </w:rPr>
        <w:t xml:space="preserve"> statements were taken</w:t>
      </w:r>
      <w:r w:rsidR="002E7362">
        <w:rPr>
          <w:rFonts w:cs="Arial"/>
          <w:szCs w:val="24"/>
          <w:lang w:val="en-GB"/>
        </w:rPr>
        <w:t xml:space="preserve"> down</w:t>
      </w:r>
      <w:r w:rsidR="00F32EF4" w:rsidRPr="006D7C3E">
        <w:rPr>
          <w:rFonts w:cs="Arial"/>
          <w:szCs w:val="24"/>
          <w:lang w:val="en-GB"/>
        </w:rPr>
        <w:t xml:space="preserve">. </w:t>
      </w:r>
      <w:r w:rsidR="00AD4554" w:rsidRPr="006D7C3E">
        <w:rPr>
          <w:rFonts w:cs="Arial"/>
          <w:szCs w:val="24"/>
          <w:lang w:val="en-GB"/>
        </w:rPr>
        <w:t>All of them</w:t>
      </w:r>
      <w:r w:rsidR="00921DF3" w:rsidRPr="006D7C3E">
        <w:rPr>
          <w:rFonts w:cs="Arial"/>
          <w:szCs w:val="24"/>
          <w:lang w:val="en-GB"/>
        </w:rPr>
        <w:t xml:space="preserve">, three of which were taken down by Nonjezi, </w:t>
      </w:r>
      <w:r w:rsidR="00AD4554" w:rsidRPr="006D7C3E">
        <w:rPr>
          <w:rFonts w:cs="Arial"/>
          <w:szCs w:val="24"/>
          <w:lang w:val="en-GB"/>
        </w:rPr>
        <w:t>were</w:t>
      </w:r>
      <w:r w:rsidR="00565958" w:rsidRPr="006D7C3E">
        <w:rPr>
          <w:rFonts w:cs="Arial"/>
          <w:szCs w:val="24"/>
          <w:lang w:val="en-GB"/>
        </w:rPr>
        <w:t xml:space="preserve"> recorded </w:t>
      </w:r>
      <w:r w:rsidR="003737CC" w:rsidRPr="006D7C3E">
        <w:rPr>
          <w:rFonts w:cs="Arial"/>
          <w:szCs w:val="24"/>
          <w:lang w:val="en-GB"/>
        </w:rPr>
        <w:t>as having been taken at 5 pm on 16 September 2017</w:t>
      </w:r>
      <w:r w:rsidR="00921DF3" w:rsidRPr="006D7C3E">
        <w:rPr>
          <w:rFonts w:cs="Arial"/>
          <w:szCs w:val="24"/>
          <w:lang w:val="en-GB"/>
        </w:rPr>
        <w:t xml:space="preserve">. </w:t>
      </w:r>
      <w:r w:rsidR="00645035" w:rsidRPr="006D7C3E">
        <w:rPr>
          <w:rFonts w:cs="Arial"/>
          <w:szCs w:val="24"/>
          <w:lang w:val="en-GB"/>
        </w:rPr>
        <w:t xml:space="preserve">It </w:t>
      </w:r>
      <w:r w:rsidR="00D72178" w:rsidRPr="006D7C3E">
        <w:rPr>
          <w:rFonts w:cs="Arial"/>
          <w:szCs w:val="24"/>
          <w:lang w:val="en-GB"/>
        </w:rPr>
        <w:t>was</w:t>
      </w:r>
      <w:r w:rsidR="00141776" w:rsidRPr="006D7C3E">
        <w:rPr>
          <w:rFonts w:cs="Arial"/>
          <w:szCs w:val="24"/>
          <w:lang w:val="en-GB"/>
        </w:rPr>
        <w:t xml:space="preserve"> of course not possible</w:t>
      </w:r>
      <w:r w:rsidR="00645035" w:rsidRPr="006D7C3E">
        <w:rPr>
          <w:rFonts w:cs="Arial"/>
          <w:szCs w:val="24"/>
          <w:lang w:val="en-GB"/>
        </w:rPr>
        <w:t xml:space="preserve"> for Nonje</w:t>
      </w:r>
      <w:r w:rsidR="002C62DD" w:rsidRPr="006D7C3E">
        <w:rPr>
          <w:rFonts w:cs="Arial"/>
          <w:szCs w:val="24"/>
          <w:lang w:val="en-GB"/>
        </w:rPr>
        <w:t>zi to have taken the three statements at the same time</w:t>
      </w:r>
      <w:r w:rsidR="00112E5C" w:rsidRPr="006D7C3E">
        <w:rPr>
          <w:rFonts w:cs="Arial"/>
          <w:szCs w:val="24"/>
          <w:lang w:val="en-GB"/>
        </w:rPr>
        <w:t xml:space="preserve">. If he filled in this information after he had taken the statements, it begs the question what other information he filled in after the fact. </w:t>
      </w:r>
      <w:r w:rsidR="004F4435" w:rsidRPr="006D7C3E">
        <w:rPr>
          <w:rFonts w:cs="Arial"/>
          <w:szCs w:val="24"/>
          <w:lang w:val="en-GB"/>
        </w:rPr>
        <w:t xml:space="preserve">There is a reason why the form </w:t>
      </w:r>
      <w:r w:rsidR="00805B7D" w:rsidRPr="006D7C3E">
        <w:rPr>
          <w:rFonts w:cs="Arial"/>
          <w:szCs w:val="24"/>
          <w:lang w:val="en-GB"/>
        </w:rPr>
        <w:t xml:space="preserve">requires this information </w:t>
      </w:r>
      <w:r w:rsidR="00772C07" w:rsidRPr="006D7C3E">
        <w:rPr>
          <w:rFonts w:cs="Arial"/>
          <w:szCs w:val="24"/>
          <w:lang w:val="en-GB"/>
        </w:rPr>
        <w:t xml:space="preserve">be recorded. </w:t>
      </w:r>
      <w:r w:rsidR="00C12760" w:rsidRPr="006D7C3E">
        <w:rPr>
          <w:rFonts w:cs="Arial"/>
          <w:szCs w:val="24"/>
          <w:lang w:val="en-GB"/>
        </w:rPr>
        <w:t xml:space="preserve">It </w:t>
      </w:r>
      <w:r w:rsidR="00405569" w:rsidRPr="006D7C3E">
        <w:rPr>
          <w:rFonts w:cs="Arial"/>
          <w:szCs w:val="24"/>
          <w:lang w:val="en-GB"/>
        </w:rPr>
        <w:t>introduces rigour</w:t>
      </w:r>
      <w:r w:rsidR="006A02DF" w:rsidRPr="006D7C3E">
        <w:rPr>
          <w:rFonts w:cs="Arial"/>
          <w:szCs w:val="24"/>
          <w:lang w:val="en-GB"/>
        </w:rPr>
        <w:t xml:space="preserve"> and </w:t>
      </w:r>
      <w:r w:rsidR="00772C07" w:rsidRPr="006D7C3E">
        <w:rPr>
          <w:rFonts w:cs="Arial"/>
          <w:szCs w:val="24"/>
          <w:lang w:val="en-GB"/>
        </w:rPr>
        <w:t>forms part of a matrix of evidence</w:t>
      </w:r>
      <w:r w:rsidR="00881848" w:rsidRPr="006D7C3E">
        <w:rPr>
          <w:rFonts w:cs="Arial"/>
          <w:szCs w:val="24"/>
          <w:lang w:val="en-GB"/>
        </w:rPr>
        <w:t xml:space="preserve">, such that contained in </w:t>
      </w:r>
      <w:r w:rsidR="003E2EDB" w:rsidRPr="006D7C3E">
        <w:rPr>
          <w:rFonts w:cs="Arial"/>
          <w:szCs w:val="24"/>
          <w:lang w:val="en-GB"/>
        </w:rPr>
        <w:t>the occurrence book, the investigation diary and cell register</w:t>
      </w:r>
      <w:r w:rsidR="00BA7674" w:rsidRPr="006D7C3E">
        <w:rPr>
          <w:rFonts w:cs="Arial"/>
          <w:szCs w:val="24"/>
          <w:lang w:val="en-GB"/>
        </w:rPr>
        <w:t>, which</w:t>
      </w:r>
      <w:r w:rsidR="00061F62" w:rsidRPr="006D7C3E">
        <w:rPr>
          <w:rFonts w:cs="Arial"/>
          <w:szCs w:val="24"/>
          <w:lang w:val="en-GB"/>
        </w:rPr>
        <w:t xml:space="preserve"> assist in determining whether the </w:t>
      </w:r>
      <w:r w:rsidR="00A76244" w:rsidRPr="006D7C3E">
        <w:rPr>
          <w:rFonts w:cs="Arial"/>
          <w:szCs w:val="24"/>
          <w:lang w:val="en-GB"/>
        </w:rPr>
        <w:t>warning statements meet or don’t meet the requirements for admissibility.</w:t>
      </w:r>
    </w:p>
    <w:p w14:paraId="5022548F" w14:textId="11646A58" w:rsidR="0093203A" w:rsidRPr="00FB200F" w:rsidRDefault="000541C6" w:rsidP="000541C6">
      <w:pPr>
        <w:pStyle w:val="Level1"/>
        <w:numPr>
          <w:ilvl w:val="0"/>
          <w:numId w:val="0"/>
        </w:numPr>
        <w:ind w:left="851" w:hanging="851"/>
        <w:rPr>
          <w:rFonts w:cs="Arial"/>
          <w:szCs w:val="24"/>
          <w:lang w:val="en-GB"/>
        </w:rPr>
      </w:pPr>
      <w:r w:rsidRPr="00FB200F">
        <w:rPr>
          <w:rFonts w:cs="Arial"/>
          <w:szCs w:val="24"/>
          <w:lang w:val="en-GB"/>
        </w:rPr>
        <w:t>44.</w:t>
      </w:r>
      <w:r w:rsidRPr="00FB200F">
        <w:rPr>
          <w:rFonts w:cs="Arial"/>
          <w:szCs w:val="24"/>
          <w:lang w:val="en-GB"/>
        </w:rPr>
        <w:tab/>
      </w:r>
      <w:r w:rsidR="00B6207B" w:rsidRPr="00FB200F">
        <w:rPr>
          <w:rFonts w:cs="Arial"/>
          <w:szCs w:val="24"/>
          <w:lang w:val="en-GB"/>
        </w:rPr>
        <w:t>T</w:t>
      </w:r>
      <w:r w:rsidR="00295CCB" w:rsidRPr="00FB200F">
        <w:rPr>
          <w:rFonts w:cs="Arial"/>
          <w:szCs w:val="24"/>
          <w:lang w:val="en-GB"/>
        </w:rPr>
        <w:t>he State</w:t>
      </w:r>
      <w:r w:rsidR="00B6207B" w:rsidRPr="00FB200F">
        <w:rPr>
          <w:rFonts w:cs="Arial"/>
          <w:szCs w:val="24"/>
          <w:lang w:val="en-GB"/>
        </w:rPr>
        <w:t xml:space="preserve"> bears the onus of </w:t>
      </w:r>
      <w:r w:rsidR="00295CCB" w:rsidRPr="00FB200F">
        <w:rPr>
          <w:rFonts w:cs="Arial"/>
          <w:szCs w:val="24"/>
          <w:lang w:val="en-GB"/>
        </w:rPr>
        <w:t>show</w:t>
      </w:r>
      <w:r w:rsidR="00B6207B" w:rsidRPr="00FB200F">
        <w:rPr>
          <w:rFonts w:cs="Arial"/>
          <w:szCs w:val="24"/>
          <w:lang w:val="en-GB"/>
        </w:rPr>
        <w:t>ing</w:t>
      </w:r>
      <w:r w:rsidR="00295CCB" w:rsidRPr="00FB200F">
        <w:rPr>
          <w:rFonts w:cs="Arial"/>
          <w:szCs w:val="24"/>
          <w:lang w:val="en-GB"/>
        </w:rPr>
        <w:t xml:space="preserve"> that the warning statements were made freely</w:t>
      </w:r>
      <w:r w:rsidR="00B6207B" w:rsidRPr="00FB200F">
        <w:rPr>
          <w:rFonts w:cs="Arial"/>
          <w:szCs w:val="24"/>
          <w:lang w:val="en-GB"/>
        </w:rPr>
        <w:t>,</w:t>
      </w:r>
      <w:r w:rsidR="00295CCB" w:rsidRPr="00FB200F">
        <w:rPr>
          <w:rFonts w:cs="Arial"/>
          <w:szCs w:val="24"/>
          <w:lang w:val="en-GB"/>
        </w:rPr>
        <w:t xml:space="preserve"> voluntarily and without violation of the </w:t>
      </w:r>
      <w:r w:rsidR="00256502" w:rsidRPr="00FB200F">
        <w:rPr>
          <w:rFonts w:cs="Arial"/>
          <w:szCs w:val="24"/>
          <w:lang w:val="en-GB"/>
        </w:rPr>
        <w:t xml:space="preserve">Accused’s </w:t>
      </w:r>
      <w:r w:rsidR="00295CCB" w:rsidRPr="00FB200F">
        <w:rPr>
          <w:rFonts w:cs="Arial"/>
          <w:szCs w:val="24"/>
          <w:lang w:val="en-GB"/>
        </w:rPr>
        <w:t xml:space="preserve">constitutional rights.  </w:t>
      </w:r>
      <w:r w:rsidR="00295CCB" w:rsidRPr="00FB200F">
        <w:rPr>
          <w:rFonts w:cs="Arial"/>
          <w:szCs w:val="24"/>
          <w:lang w:val="en-GB"/>
        </w:rPr>
        <w:lastRenderedPageBreak/>
        <w:t>The measure of proof required is beyond reasonable doubt.</w:t>
      </w:r>
      <w:r w:rsidR="00FB200F" w:rsidRPr="00FB200F">
        <w:rPr>
          <w:rFonts w:cs="Arial"/>
          <w:szCs w:val="24"/>
          <w:lang w:val="en-GB"/>
        </w:rPr>
        <w:t xml:space="preserve"> </w:t>
      </w:r>
      <w:r w:rsidR="001E3B6F" w:rsidRPr="00FB200F">
        <w:rPr>
          <w:rFonts w:cs="Arial"/>
          <w:szCs w:val="24"/>
          <w:lang w:val="en-GB"/>
        </w:rPr>
        <w:t xml:space="preserve">Furthermore, where </w:t>
      </w:r>
      <w:r w:rsidR="001E0AA1" w:rsidRPr="00FB200F">
        <w:rPr>
          <w:rFonts w:cs="Arial"/>
          <w:szCs w:val="24"/>
          <w:lang w:val="en-GB"/>
        </w:rPr>
        <w:t>the</w:t>
      </w:r>
      <w:r w:rsidR="00325AA3" w:rsidRPr="00FB200F">
        <w:rPr>
          <w:rFonts w:cs="Arial"/>
          <w:szCs w:val="24"/>
          <w:lang w:val="en-GB"/>
        </w:rPr>
        <w:t xml:space="preserve"> Court is confronted with diametrically opposed versions</w:t>
      </w:r>
      <w:r w:rsidR="004D0EAC" w:rsidRPr="00FB200F">
        <w:rPr>
          <w:rFonts w:cs="Arial"/>
          <w:szCs w:val="24"/>
          <w:lang w:val="en-GB"/>
        </w:rPr>
        <w:t>, as it was here</w:t>
      </w:r>
      <w:r w:rsidR="00325AA3" w:rsidRPr="00FB200F">
        <w:rPr>
          <w:rFonts w:cs="Arial"/>
          <w:szCs w:val="24"/>
          <w:lang w:val="en-GB"/>
        </w:rPr>
        <w:t xml:space="preserve">, the evidence </w:t>
      </w:r>
      <w:r w:rsidR="004D0EAC" w:rsidRPr="00FB200F">
        <w:rPr>
          <w:rFonts w:cs="Arial"/>
          <w:szCs w:val="24"/>
          <w:lang w:val="en-GB"/>
        </w:rPr>
        <w:t>must be evaluated</w:t>
      </w:r>
      <w:r w:rsidR="00325AA3" w:rsidRPr="00FB200F">
        <w:rPr>
          <w:rFonts w:cs="Arial"/>
          <w:szCs w:val="24"/>
          <w:lang w:val="en-GB"/>
        </w:rPr>
        <w:t xml:space="preserve"> by considering a conspectus of all the evidence presented so as </w:t>
      </w:r>
      <w:r w:rsidR="00C11F87" w:rsidRPr="00FB200F">
        <w:rPr>
          <w:rFonts w:cs="Arial"/>
          <w:szCs w:val="24"/>
          <w:lang w:val="en-GB"/>
        </w:rPr>
        <w:t>“</w:t>
      </w:r>
      <w:r w:rsidR="00325AA3" w:rsidRPr="00FB200F">
        <w:rPr>
          <w:rFonts w:cs="Arial"/>
          <w:i/>
          <w:iCs/>
          <w:szCs w:val="24"/>
          <w:lang w:val="en-GB"/>
        </w:rPr>
        <w:t>to consider the inherent probabilities</w:t>
      </w:r>
      <w:r w:rsidR="00C11F87" w:rsidRPr="00FB200F">
        <w:rPr>
          <w:rFonts w:cs="Arial"/>
          <w:szCs w:val="24"/>
          <w:lang w:val="en-GB"/>
        </w:rPr>
        <w:t>”</w:t>
      </w:r>
      <w:r w:rsidR="00325AA3" w:rsidRPr="00FB200F">
        <w:rPr>
          <w:rFonts w:cs="Arial"/>
          <w:szCs w:val="24"/>
          <w:lang w:val="en-GB"/>
        </w:rPr>
        <w:t xml:space="preserve">. A court is enjoined to weigh </w:t>
      </w:r>
      <w:r w:rsidR="00C11F87" w:rsidRPr="00FB200F">
        <w:rPr>
          <w:rFonts w:cs="Arial"/>
          <w:szCs w:val="24"/>
          <w:lang w:val="en-GB"/>
        </w:rPr>
        <w:t>“</w:t>
      </w:r>
      <w:r w:rsidR="00325AA3" w:rsidRPr="00FB200F">
        <w:rPr>
          <w:rFonts w:cs="Arial"/>
          <w:i/>
          <w:iCs/>
          <w:szCs w:val="24"/>
          <w:lang w:val="en-GB"/>
        </w:rPr>
        <w:t>evidence that is reliable … alongside such evidence as may be found to be false</w:t>
      </w:r>
      <w:r w:rsidR="00C11F87" w:rsidRPr="00FB200F">
        <w:rPr>
          <w:rFonts w:cs="Arial"/>
          <w:szCs w:val="24"/>
          <w:lang w:val="en-GB"/>
        </w:rPr>
        <w:t>”</w:t>
      </w:r>
      <w:r w:rsidR="004D0EAC" w:rsidRPr="00FB200F">
        <w:rPr>
          <w:rFonts w:cs="Arial"/>
          <w:szCs w:val="24"/>
          <w:lang w:val="en-GB"/>
        </w:rPr>
        <w:t xml:space="preserve"> and</w:t>
      </w:r>
      <w:r w:rsidR="00325AA3" w:rsidRPr="00FB200F">
        <w:rPr>
          <w:rFonts w:cs="Arial"/>
          <w:szCs w:val="24"/>
          <w:lang w:val="en-GB"/>
        </w:rPr>
        <w:t xml:space="preserve"> consider </w:t>
      </w:r>
      <w:r w:rsidR="00C11F87" w:rsidRPr="00FB200F">
        <w:rPr>
          <w:rFonts w:cs="Arial"/>
          <w:szCs w:val="24"/>
          <w:lang w:val="en-GB"/>
        </w:rPr>
        <w:t>“</w:t>
      </w:r>
      <w:r w:rsidR="00325AA3" w:rsidRPr="00FB200F">
        <w:rPr>
          <w:rFonts w:cs="Arial"/>
          <w:i/>
          <w:iCs/>
          <w:szCs w:val="24"/>
          <w:lang w:val="en-GB"/>
        </w:rPr>
        <w:t>independently verifiable evidence</w:t>
      </w:r>
      <w:r w:rsidR="00C11F87" w:rsidRPr="00FB200F">
        <w:rPr>
          <w:rFonts w:cs="Arial"/>
          <w:szCs w:val="24"/>
          <w:lang w:val="en-GB"/>
        </w:rPr>
        <w:t>”</w:t>
      </w:r>
      <w:r w:rsidR="00325AA3" w:rsidRPr="00FB200F">
        <w:rPr>
          <w:rFonts w:cs="Arial"/>
          <w:szCs w:val="24"/>
          <w:lang w:val="en-GB"/>
        </w:rPr>
        <w:t xml:space="preserve"> in order to determine </w:t>
      </w:r>
      <w:r w:rsidR="00C11F87" w:rsidRPr="00FB200F">
        <w:rPr>
          <w:rFonts w:cs="Arial"/>
          <w:szCs w:val="24"/>
          <w:lang w:val="en-GB"/>
        </w:rPr>
        <w:t>“</w:t>
      </w:r>
      <w:r w:rsidR="00325AA3" w:rsidRPr="00FB200F">
        <w:rPr>
          <w:rFonts w:cs="Arial"/>
          <w:i/>
          <w:iCs/>
          <w:szCs w:val="24"/>
          <w:lang w:val="en-GB"/>
        </w:rPr>
        <w:t>if it supports any of the evidence tendered</w:t>
      </w:r>
      <w:r w:rsidR="00C11F87" w:rsidRPr="00FB200F">
        <w:rPr>
          <w:rFonts w:cs="Arial"/>
          <w:szCs w:val="24"/>
          <w:lang w:val="en-GB"/>
        </w:rPr>
        <w:t>”</w:t>
      </w:r>
      <w:r w:rsidR="00325AA3" w:rsidRPr="00FB200F">
        <w:rPr>
          <w:rFonts w:cs="Arial"/>
          <w:szCs w:val="24"/>
          <w:lang w:val="en-GB"/>
        </w:rPr>
        <w:t>.</w:t>
      </w:r>
      <w:r w:rsidR="004D0EAC" w:rsidRPr="00FB200F">
        <w:rPr>
          <w:rFonts w:cs="Arial"/>
          <w:szCs w:val="24"/>
          <w:lang w:val="en-GB"/>
        </w:rPr>
        <w:t xml:space="preserve">  </w:t>
      </w:r>
      <w:r w:rsidR="0048068D" w:rsidRPr="00FB200F">
        <w:rPr>
          <w:rFonts w:cs="Arial"/>
          <w:szCs w:val="24"/>
          <w:lang w:val="en-GB"/>
        </w:rPr>
        <w:t xml:space="preserve">In finding whether the warning statements are to be admitted it is necessary to </w:t>
      </w:r>
      <w:r w:rsidR="00C11F87" w:rsidRPr="00FB200F">
        <w:rPr>
          <w:rFonts w:cs="Arial"/>
          <w:szCs w:val="24"/>
          <w:lang w:val="en-GB"/>
        </w:rPr>
        <w:t>“</w:t>
      </w:r>
      <w:r w:rsidR="0048068D" w:rsidRPr="00FB200F">
        <w:rPr>
          <w:rFonts w:cs="Arial"/>
          <w:i/>
          <w:iCs/>
          <w:szCs w:val="24"/>
          <w:lang w:val="en-GB"/>
        </w:rPr>
        <w:t>decide whether the balance weighs so heavily in favour of the State as to exclude any reasonable doubt about the Accused</w:t>
      </w:r>
      <w:r w:rsidR="00256502" w:rsidRPr="00FB200F">
        <w:rPr>
          <w:rFonts w:cs="Arial"/>
          <w:i/>
          <w:iCs/>
          <w:szCs w:val="24"/>
          <w:lang w:val="en-GB"/>
        </w:rPr>
        <w:t>’</w:t>
      </w:r>
      <w:r w:rsidR="0048068D" w:rsidRPr="00FB200F">
        <w:rPr>
          <w:rFonts w:cs="Arial"/>
          <w:i/>
          <w:iCs/>
          <w:szCs w:val="24"/>
          <w:lang w:val="en-GB"/>
        </w:rPr>
        <w:t>s version</w:t>
      </w:r>
      <w:r w:rsidR="00C11F87" w:rsidRPr="00FB200F">
        <w:rPr>
          <w:rFonts w:cs="Arial"/>
          <w:szCs w:val="24"/>
          <w:lang w:val="en-GB"/>
        </w:rPr>
        <w:t>”</w:t>
      </w:r>
      <w:r w:rsidR="0048068D" w:rsidRPr="00FB200F">
        <w:rPr>
          <w:rFonts w:cs="Arial"/>
          <w:szCs w:val="24"/>
          <w:lang w:val="en-GB"/>
        </w:rPr>
        <w:t xml:space="preserve"> and </w:t>
      </w:r>
      <w:r w:rsidR="00C11F87" w:rsidRPr="00FB200F">
        <w:rPr>
          <w:rFonts w:cs="Arial"/>
          <w:szCs w:val="24"/>
          <w:lang w:val="en-GB"/>
        </w:rPr>
        <w:t>“</w:t>
      </w:r>
      <w:r w:rsidR="0048068D" w:rsidRPr="00FB200F">
        <w:rPr>
          <w:rFonts w:cs="Arial"/>
          <w:i/>
          <w:iCs/>
          <w:szCs w:val="24"/>
          <w:lang w:val="en-GB"/>
        </w:rPr>
        <w:t>an Accused</w:t>
      </w:r>
      <w:r w:rsidR="00256502" w:rsidRPr="00FB200F">
        <w:rPr>
          <w:rFonts w:cs="Arial"/>
          <w:i/>
          <w:iCs/>
          <w:szCs w:val="24"/>
          <w:lang w:val="en-GB"/>
        </w:rPr>
        <w:t>’</w:t>
      </w:r>
      <w:r w:rsidR="0048068D" w:rsidRPr="00FB200F">
        <w:rPr>
          <w:rFonts w:cs="Arial"/>
          <w:i/>
          <w:iCs/>
          <w:szCs w:val="24"/>
          <w:lang w:val="en-GB"/>
        </w:rPr>
        <w:t xml:space="preserve">s version cannot be rejected merely because it is improbable.  It can only be rejected on the basis of the inherent probabilities if it can be said to be so improbable </w:t>
      </w:r>
      <w:r w:rsidR="008F71E5" w:rsidRPr="00FB200F">
        <w:rPr>
          <w:rFonts w:cs="Arial"/>
          <w:i/>
          <w:iCs/>
          <w:szCs w:val="24"/>
          <w:lang w:val="en-GB"/>
        </w:rPr>
        <w:t>that it cannot reasonably possibly be true.</w:t>
      </w:r>
      <w:r w:rsidR="00C11F87" w:rsidRPr="00FB200F">
        <w:rPr>
          <w:rFonts w:cs="Arial"/>
          <w:szCs w:val="24"/>
          <w:lang w:val="en-GB"/>
        </w:rPr>
        <w:t>”</w:t>
      </w:r>
      <w:r w:rsidR="008F71E5" w:rsidRPr="008F717C">
        <w:rPr>
          <w:rStyle w:val="FootnoteReference"/>
          <w:rFonts w:cs="Arial"/>
          <w:szCs w:val="24"/>
          <w:lang w:val="en-GB"/>
        </w:rPr>
        <w:footnoteReference w:id="12"/>
      </w:r>
    </w:p>
    <w:p w14:paraId="211DA522" w14:textId="6D4BD62D" w:rsidR="001D488F" w:rsidRPr="006D5E76" w:rsidRDefault="000541C6" w:rsidP="000541C6">
      <w:pPr>
        <w:pStyle w:val="Level1"/>
        <w:numPr>
          <w:ilvl w:val="0"/>
          <w:numId w:val="0"/>
        </w:numPr>
        <w:ind w:left="851" w:hanging="851"/>
        <w:rPr>
          <w:rFonts w:cs="Arial"/>
          <w:szCs w:val="24"/>
          <w:lang w:val="en-GB"/>
        </w:rPr>
      </w:pPr>
      <w:r w:rsidRPr="006D5E76">
        <w:rPr>
          <w:rFonts w:cs="Arial"/>
          <w:szCs w:val="24"/>
          <w:lang w:val="en-GB"/>
        </w:rPr>
        <w:t>45.</w:t>
      </w:r>
      <w:r w:rsidRPr="006D5E76">
        <w:rPr>
          <w:rFonts w:cs="Arial"/>
          <w:szCs w:val="24"/>
          <w:lang w:val="en-GB"/>
        </w:rPr>
        <w:tab/>
      </w:r>
      <w:r w:rsidR="008F71E5" w:rsidRPr="006D5E76">
        <w:rPr>
          <w:rFonts w:cs="Arial"/>
          <w:szCs w:val="24"/>
          <w:lang w:val="en-GB"/>
        </w:rPr>
        <w:t>Mbana testified that his constitutional rights were not explained to him, he was assaulted, his warning statement was not read back to him, and that he had no knowledge of the contents of the statement.</w:t>
      </w:r>
      <w:r w:rsidR="00F76AB5" w:rsidRPr="006D5E76">
        <w:rPr>
          <w:rFonts w:cs="Arial"/>
          <w:szCs w:val="24"/>
          <w:lang w:val="en-GB"/>
        </w:rPr>
        <w:t xml:space="preserve"> </w:t>
      </w:r>
      <w:r w:rsidR="008F71E5" w:rsidRPr="006D5E76">
        <w:rPr>
          <w:rFonts w:cs="Arial"/>
          <w:szCs w:val="24"/>
          <w:lang w:val="en-GB"/>
        </w:rPr>
        <w:t xml:space="preserve">Manana testified that he was assaulted by Nonjezi, he was threatened by </w:t>
      </w:r>
      <w:r w:rsidR="00FE69D8" w:rsidRPr="006D5E76">
        <w:rPr>
          <w:rFonts w:cs="Arial"/>
          <w:szCs w:val="24"/>
          <w:lang w:val="en-GB"/>
        </w:rPr>
        <w:t>Mlonyeni that if he did not sign the statement he would be beaten</w:t>
      </w:r>
      <w:r w:rsidR="008B2735" w:rsidRPr="006D5E76">
        <w:rPr>
          <w:rFonts w:cs="Arial"/>
          <w:szCs w:val="24"/>
          <w:lang w:val="en-GB"/>
        </w:rPr>
        <w:t>,</w:t>
      </w:r>
      <w:r w:rsidR="00FE69D8" w:rsidRPr="006D5E76">
        <w:rPr>
          <w:rFonts w:cs="Arial"/>
          <w:szCs w:val="24"/>
          <w:lang w:val="en-GB"/>
        </w:rPr>
        <w:t xml:space="preserve"> </w:t>
      </w:r>
      <w:r w:rsidR="008B2735" w:rsidRPr="006D5E76">
        <w:rPr>
          <w:rFonts w:cs="Arial"/>
          <w:szCs w:val="24"/>
          <w:lang w:val="en-GB"/>
        </w:rPr>
        <w:t>that his constitutional rights were not explained to him, specifically his right to legal representation and to remain silent, and he also took issue with the language used in the statement as he was not proficient in English.</w:t>
      </w:r>
      <w:r w:rsidR="00F76AB5" w:rsidRPr="006D5E76">
        <w:rPr>
          <w:rFonts w:cs="Arial"/>
          <w:szCs w:val="24"/>
          <w:lang w:val="en-GB"/>
        </w:rPr>
        <w:t xml:space="preserve"> </w:t>
      </w:r>
      <w:r w:rsidR="005F012C" w:rsidRPr="006D5E76">
        <w:rPr>
          <w:rFonts w:cs="Arial"/>
          <w:szCs w:val="24"/>
          <w:lang w:val="en-GB"/>
        </w:rPr>
        <w:t>Mkunyanya testified that Ngqele</w:t>
      </w:r>
      <w:r w:rsidR="00F06ADF">
        <w:rPr>
          <w:rFonts w:cs="Arial"/>
          <w:szCs w:val="24"/>
          <w:lang w:val="en-GB"/>
        </w:rPr>
        <w:t xml:space="preserve">, who took his statement, </w:t>
      </w:r>
      <w:r w:rsidR="005F012C" w:rsidRPr="006D5E76">
        <w:rPr>
          <w:rFonts w:cs="Arial"/>
          <w:szCs w:val="24"/>
          <w:lang w:val="en-GB"/>
        </w:rPr>
        <w:t xml:space="preserve">threatened him that he would not be granted bail and he would be imprisoned for 22 years if he did not cooperate, that his handcuffs were </w:t>
      </w:r>
      <w:r w:rsidR="00611919" w:rsidRPr="006D5E76">
        <w:rPr>
          <w:rFonts w:cs="Arial"/>
          <w:szCs w:val="24"/>
          <w:lang w:val="en-GB"/>
        </w:rPr>
        <w:t>too</w:t>
      </w:r>
      <w:r w:rsidR="005F012C" w:rsidRPr="006D5E76">
        <w:rPr>
          <w:rFonts w:cs="Arial"/>
          <w:szCs w:val="24"/>
          <w:lang w:val="en-GB"/>
        </w:rPr>
        <w:t xml:space="preserve"> </w:t>
      </w:r>
      <w:r w:rsidR="005F012C" w:rsidRPr="006D5E76">
        <w:rPr>
          <w:rFonts w:cs="Arial"/>
          <w:szCs w:val="24"/>
          <w:lang w:val="en-GB"/>
        </w:rPr>
        <w:lastRenderedPageBreak/>
        <w:t>tight</w:t>
      </w:r>
      <w:r w:rsidR="00634987" w:rsidRPr="006D5E76">
        <w:rPr>
          <w:rFonts w:cs="Arial"/>
          <w:szCs w:val="24"/>
          <w:lang w:val="en-GB"/>
        </w:rPr>
        <w:t xml:space="preserve">, that his constitutional rights were not explained to him, that he was </w:t>
      </w:r>
      <w:r w:rsidR="004D3589" w:rsidRPr="006D5E76">
        <w:rPr>
          <w:rFonts w:cs="Arial"/>
          <w:szCs w:val="24"/>
          <w:lang w:val="en-GB"/>
        </w:rPr>
        <w:t>simp</w:t>
      </w:r>
      <w:r w:rsidR="00634987" w:rsidRPr="006D5E76">
        <w:rPr>
          <w:rFonts w:cs="Arial"/>
          <w:szCs w:val="24"/>
          <w:lang w:val="en-GB"/>
        </w:rPr>
        <w:t>ly told to sign the statement</w:t>
      </w:r>
      <w:r w:rsidR="00315712" w:rsidRPr="006D5E76">
        <w:rPr>
          <w:rFonts w:cs="Arial"/>
          <w:szCs w:val="24"/>
          <w:lang w:val="en-GB"/>
        </w:rPr>
        <w:t xml:space="preserve">, </w:t>
      </w:r>
      <w:r w:rsidR="00634987" w:rsidRPr="006D5E76">
        <w:rPr>
          <w:rFonts w:cs="Arial"/>
          <w:szCs w:val="24"/>
          <w:lang w:val="en-GB"/>
        </w:rPr>
        <w:t xml:space="preserve">that </w:t>
      </w:r>
      <w:r w:rsidR="004D3589" w:rsidRPr="006D5E76">
        <w:rPr>
          <w:rFonts w:cs="Arial"/>
          <w:szCs w:val="24"/>
          <w:lang w:val="en-GB"/>
        </w:rPr>
        <w:t>its</w:t>
      </w:r>
      <w:r w:rsidR="00634987" w:rsidRPr="006D5E76">
        <w:rPr>
          <w:rFonts w:cs="Arial"/>
          <w:szCs w:val="24"/>
          <w:lang w:val="en-GB"/>
        </w:rPr>
        <w:t xml:space="preserve"> contents were not read back or explained to him, </w:t>
      </w:r>
      <w:r w:rsidR="00315712" w:rsidRPr="006D5E76">
        <w:rPr>
          <w:rFonts w:cs="Arial"/>
          <w:szCs w:val="24"/>
          <w:lang w:val="en-GB"/>
        </w:rPr>
        <w:t xml:space="preserve">and </w:t>
      </w:r>
      <w:r w:rsidR="00634987" w:rsidRPr="006D5E76">
        <w:rPr>
          <w:rFonts w:cs="Arial"/>
          <w:szCs w:val="24"/>
          <w:lang w:val="en-GB"/>
        </w:rPr>
        <w:t xml:space="preserve">that certain paragraphs in his statement </w:t>
      </w:r>
      <w:r w:rsidR="004D3589" w:rsidRPr="006D5E76">
        <w:rPr>
          <w:rFonts w:cs="Arial"/>
          <w:szCs w:val="24"/>
          <w:lang w:val="en-GB"/>
        </w:rPr>
        <w:t>did</w:t>
      </w:r>
      <w:r w:rsidR="00634987" w:rsidRPr="006D5E76">
        <w:rPr>
          <w:rFonts w:cs="Arial"/>
          <w:szCs w:val="24"/>
          <w:lang w:val="en-GB"/>
        </w:rPr>
        <w:t xml:space="preserve"> not</w:t>
      </w:r>
      <w:r w:rsidR="004D3589" w:rsidRPr="006D5E76">
        <w:rPr>
          <w:rFonts w:cs="Arial"/>
          <w:szCs w:val="24"/>
          <w:lang w:val="en-GB"/>
        </w:rPr>
        <w:t xml:space="preserve"> accord with what he told the policeman.</w:t>
      </w:r>
      <w:r w:rsidR="006D5E76" w:rsidRPr="006D5E76">
        <w:rPr>
          <w:rFonts w:cs="Arial"/>
          <w:szCs w:val="24"/>
          <w:lang w:val="en-GB"/>
        </w:rPr>
        <w:t xml:space="preserve"> </w:t>
      </w:r>
      <w:r w:rsidR="00C209C1" w:rsidRPr="006D5E76">
        <w:rPr>
          <w:rFonts w:cs="Arial"/>
          <w:szCs w:val="24"/>
          <w:lang w:val="en-GB"/>
        </w:rPr>
        <w:t xml:space="preserve">For their respective reasons, it was </w:t>
      </w:r>
      <w:r w:rsidR="006D5E76" w:rsidRPr="006D5E76">
        <w:rPr>
          <w:rFonts w:cs="Arial"/>
          <w:szCs w:val="24"/>
          <w:lang w:val="en-GB"/>
        </w:rPr>
        <w:t>argued</w:t>
      </w:r>
      <w:r w:rsidR="00572980" w:rsidRPr="006D5E76">
        <w:rPr>
          <w:rFonts w:cs="Arial"/>
          <w:szCs w:val="24"/>
          <w:lang w:val="en-GB"/>
        </w:rPr>
        <w:t>,</w:t>
      </w:r>
      <w:r w:rsidR="00C209C1" w:rsidRPr="006D5E76">
        <w:rPr>
          <w:rFonts w:cs="Arial"/>
          <w:szCs w:val="24"/>
          <w:lang w:val="en-GB"/>
        </w:rPr>
        <w:t xml:space="preserve"> for Mbana, Manana and Mkunyanya that their warning statements were not admissibl</w:t>
      </w:r>
      <w:r w:rsidR="006D5E76">
        <w:rPr>
          <w:rFonts w:cs="Arial"/>
          <w:szCs w:val="24"/>
          <w:lang w:val="en-GB"/>
        </w:rPr>
        <w:t xml:space="preserve">e. </w:t>
      </w:r>
    </w:p>
    <w:p w14:paraId="654EDB34" w14:textId="2BA17D2C" w:rsidR="00FF2A94" w:rsidRPr="006603D7" w:rsidRDefault="000541C6" w:rsidP="000541C6">
      <w:pPr>
        <w:pStyle w:val="Level1"/>
        <w:numPr>
          <w:ilvl w:val="0"/>
          <w:numId w:val="0"/>
        </w:numPr>
        <w:ind w:left="851" w:hanging="851"/>
        <w:rPr>
          <w:rFonts w:cs="Arial"/>
          <w:szCs w:val="24"/>
          <w:lang w:val="en-GB"/>
        </w:rPr>
      </w:pPr>
      <w:r w:rsidRPr="006603D7">
        <w:rPr>
          <w:rFonts w:cs="Arial"/>
          <w:szCs w:val="24"/>
          <w:lang w:val="en-GB"/>
        </w:rPr>
        <w:t>46.</w:t>
      </w:r>
      <w:r w:rsidRPr="006603D7">
        <w:rPr>
          <w:rFonts w:cs="Arial"/>
          <w:szCs w:val="24"/>
          <w:lang w:val="en-GB"/>
        </w:rPr>
        <w:tab/>
      </w:r>
      <w:r w:rsidR="0074475D" w:rsidRPr="006603D7">
        <w:rPr>
          <w:rFonts w:cs="Arial"/>
          <w:szCs w:val="24"/>
          <w:lang w:val="en-GB"/>
        </w:rPr>
        <w:t>The State presented</w:t>
      </w:r>
      <w:r w:rsidR="005006B3" w:rsidRPr="006603D7">
        <w:rPr>
          <w:rFonts w:cs="Arial"/>
          <w:szCs w:val="24"/>
          <w:lang w:val="en-GB"/>
        </w:rPr>
        <w:t xml:space="preserve"> a</w:t>
      </w:r>
      <w:r w:rsidR="00336069" w:rsidRPr="006603D7">
        <w:rPr>
          <w:rFonts w:cs="Arial"/>
          <w:szCs w:val="24"/>
          <w:lang w:val="en-GB"/>
        </w:rPr>
        <w:t xml:space="preserve"> good deal of real </w:t>
      </w:r>
      <w:r w:rsidR="00EB1052" w:rsidRPr="006603D7">
        <w:rPr>
          <w:rFonts w:cs="Arial"/>
          <w:szCs w:val="24"/>
          <w:lang w:val="en-GB"/>
        </w:rPr>
        <w:t>evidence</w:t>
      </w:r>
      <w:r w:rsidR="00336069" w:rsidRPr="006603D7">
        <w:rPr>
          <w:rFonts w:cs="Arial"/>
          <w:szCs w:val="24"/>
          <w:lang w:val="en-GB"/>
        </w:rPr>
        <w:t xml:space="preserve">. These were </w:t>
      </w:r>
      <w:r w:rsidR="0074475D" w:rsidRPr="006603D7">
        <w:rPr>
          <w:rFonts w:cs="Arial"/>
          <w:szCs w:val="24"/>
          <w:lang w:val="en-GB"/>
        </w:rPr>
        <w:t>extracts of the investigation diary</w:t>
      </w:r>
      <w:r w:rsidR="00EB1052" w:rsidRPr="006603D7">
        <w:rPr>
          <w:rFonts w:cs="Arial"/>
          <w:szCs w:val="24"/>
          <w:lang w:val="en-GB"/>
        </w:rPr>
        <w:t>,</w:t>
      </w:r>
      <w:r w:rsidR="0074475D" w:rsidRPr="006603D7">
        <w:rPr>
          <w:rFonts w:cs="Arial"/>
          <w:szCs w:val="24"/>
          <w:lang w:val="en-GB"/>
        </w:rPr>
        <w:t xml:space="preserve"> photographs of the Accused on the day of their arrest</w:t>
      </w:r>
      <w:r w:rsidR="00EB1052" w:rsidRPr="006603D7">
        <w:rPr>
          <w:rFonts w:cs="Arial"/>
          <w:szCs w:val="24"/>
          <w:lang w:val="en-GB"/>
        </w:rPr>
        <w:t>,</w:t>
      </w:r>
      <w:r w:rsidR="0074475D" w:rsidRPr="006603D7">
        <w:rPr>
          <w:rFonts w:cs="Arial"/>
          <w:szCs w:val="24"/>
          <w:lang w:val="en-GB"/>
        </w:rPr>
        <w:t xml:space="preserve"> the blanked</w:t>
      </w:r>
      <w:r w:rsidR="00946554" w:rsidRPr="006603D7">
        <w:rPr>
          <w:rFonts w:cs="Arial"/>
          <w:szCs w:val="24"/>
          <w:lang w:val="en-GB"/>
        </w:rPr>
        <w:t>-</w:t>
      </w:r>
      <w:r w:rsidR="0074475D" w:rsidRPr="006603D7">
        <w:rPr>
          <w:rFonts w:cs="Arial"/>
          <w:szCs w:val="24"/>
          <w:lang w:val="en-GB"/>
        </w:rPr>
        <w:t>out warning statements</w:t>
      </w:r>
      <w:r w:rsidR="00EB1052" w:rsidRPr="006603D7">
        <w:rPr>
          <w:rFonts w:cs="Arial"/>
          <w:szCs w:val="24"/>
          <w:lang w:val="en-GB"/>
        </w:rPr>
        <w:t>,</w:t>
      </w:r>
      <w:r w:rsidR="0074475D" w:rsidRPr="006603D7">
        <w:rPr>
          <w:rFonts w:cs="Arial"/>
          <w:szCs w:val="24"/>
          <w:lang w:val="en-GB"/>
        </w:rPr>
        <w:t xml:space="preserve"> photographs of the police cells at Nyanga</w:t>
      </w:r>
      <w:r w:rsidR="00EB1052" w:rsidRPr="006603D7">
        <w:rPr>
          <w:rFonts w:cs="Arial"/>
          <w:szCs w:val="24"/>
          <w:lang w:val="en-GB"/>
        </w:rPr>
        <w:t>,</w:t>
      </w:r>
      <w:r w:rsidR="0074475D" w:rsidRPr="006603D7">
        <w:rPr>
          <w:rFonts w:cs="Arial"/>
          <w:szCs w:val="24"/>
          <w:lang w:val="en-GB"/>
        </w:rPr>
        <w:t xml:space="preserve"> the SAP14A notices</w:t>
      </w:r>
      <w:r w:rsidR="00EB1052" w:rsidRPr="006603D7">
        <w:rPr>
          <w:rFonts w:cs="Arial"/>
          <w:szCs w:val="24"/>
          <w:lang w:val="en-GB"/>
        </w:rPr>
        <w:t>,</w:t>
      </w:r>
      <w:r w:rsidR="0074475D" w:rsidRPr="006603D7">
        <w:rPr>
          <w:rFonts w:cs="Arial"/>
          <w:szCs w:val="24"/>
          <w:lang w:val="en-GB"/>
        </w:rPr>
        <w:t xml:space="preserve"> copies of the cell register for 15 September 2017 to 17 September 2017</w:t>
      </w:r>
      <w:r w:rsidR="00EB1052" w:rsidRPr="006603D7">
        <w:rPr>
          <w:rFonts w:cs="Arial"/>
          <w:szCs w:val="24"/>
          <w:lang w:val="en-GB"/>
        </w:rPr>
        <w:t>,</w:t>
      </w:r>
      <w:r w:rsidR="0074475D" w:rsidRPr="006603D7">
        <w:rPr>
          <w:rFonts w:cs="Arial"/>
          <w:szCs w:val="24"/>
          <w:lang w:val="en-GB"/>
        </w:rPr>
        <w:t xml:space="preserve"> and extracts of the occurrence book for the same period.</w:t>
      </w:r>
      <w:r w:rsidR="00336069" w:rsidRPr="006603D7">
        <w:rPr>
          <w:rFonts w:cs="Arial"/>
          <w:szCs w:val="24"/>
          <w:lang w:val="en-GB"/>
        </w:rPr>
        <w:t xml:space="preserve"> </w:t>
      </w:r>
      <w:r w:rsidR="0074475D" w:rsidRPr="006603D7">
        <w:rPr>
          <w:rFonts w:cs="Arial"/>
          <w:szCs w:val="24"/>
          <w:lang w:val="en-GB"/>
        </w:rPr>
        <w:t>The occurrence book showed that the Accused were placed in the Nyanga police cells at approximately 05h33 on Friday, 15 September 2017, and that they were free of injury.  The same exhibit showed that</w:t>
      </w:r>
      <w:r w:rsidR="004E1C5A">
        <w:rPr>
          <w:rFonts w:cs="Arial"/>
          <w:szCs w:val="24"/>
          <w:lang w:val="en-GB"/>
        </w:rPr>
        <w:t>,</w:t>
      </w:r>
      <w:r w:rsidR="0074475D" w:rsidRPr="006603D7">
        <w:rPr>
          <w:rFonts w:cs="Arial"/>
          <w:szCs w:val="24"/>
          <w:lang w:val="en-GB"/>
        </w:rPr>
        <w:t xml:space="preserve"> from the Accused</w:t>
      </w:r>
      <w:r w:rsidR="00256502" w:rsidRPr="006603D7">
        <w:rPr>
          <w:rFonts w:cs="Arial"/>
          <w:szCs w:val="24"/>
          <w:lang w:val="en-GB"/>
        </w:rPr>
        <w:t>’</w:t>
      </w:r>
      <w:r w:rsidR="0074475D" w:rsidRPr="006603D7">
        <w:rPr>
          <w:rFonts w:cs="Arial"/>
          <w:szCs w:val="24"/>
          <w:lang w:val="en-GB"/>
        </w:rPr>
        <w:t>s arrest</w:t>
      </w:r>
      <w:r w:rsidR="001D33AE" w:rsidRPr="006603D7">
        <w:rPr>
          <w:rFonts w:cs="Arial"/>
          <w:szCs w:val="24"/>
          <w:lang w:val="en-GB"/>
        </w:rPr>
        <w:t>,</w:t>
      </w:r>
      <w:r w:rsidR="0074475D" w:rsidRPr="006603D7">
        <w:rPr>
          <w:rFonts w:cs="Arial"/>
          <w:szCs w:val="24"/>
          <w:lang w:val="en-GB"/>
        </w:rPr>
        <w:t xml:space="preserve"> to their appearance in Court for the first time, the cells were visited on,</w:t>
      </w:r>
      <w:r w:rsidR="00D15481">
        <w:rPr>
          <w:rFonts w:cs="Arial"/>
          <w:szCs w:val="24"/>
          <w:lang w:val="en-GB"/>
        </w:rPr>
        <w:t xml:space="preserve"> </w:t>
      </w:r>
      <w:r w:rsidR="0074475D" w:rsidRPr="006603D7">
        <w:rPr>
          <w:rFonts w:cs="Arial"/>
          <w:szCs w:val="24"/>
          <w:lang w:val="en-GB"/>
        </w:rPr>
        <w:t>at least</w:t>
      </w:r>
      <w:r w:rsidR="00D15481">
        <w:rPr>
          <w:rFonts w:cs="Arial"/>
          <w:szCs w:val="24"/>
          <w:lang w:val="en-GB"/>
        </w:rPr>
        <w:t>,</w:t>
      </w:r>
      <w:r w:rsidR="0074475D" w:rsidRPr="006603D7">
        <w:rPr>
          <w:rFonts w:cs="Arial"/>
          <w:szCs w:val="24"/>
          <w:lang w:val="en-GB"/>
        </w:rPr>
        <w:t xml:space="preserve"> an hourly basis and on no occasion did the Accused complain of ill-treatment.</w:t>
      </w:r>
      <w:r w:rsidR="006603D7" w:rsidRPr="006603D7">
        <w:rPr>
          <w:rFonts w:cs="Arial"/>
          <w:szCs w:val="24"/>
          <w:lang w:val="en-GB"/>
        </w:rPr>
        <w:t xml:space="preserve"> </w:t>
      </w:r>
      <w:r w:rsidR="00130F0C" w:rsidRPr="006603D7">
        <w:rPr>
          <w:rFonts w:cs="Arial"/>
          <w:szCs w:val="24"/>
          <w:lang w:val="en-GB"/>
        </w:rPr>
        <w:t xml:space="preserve">The certified charge sheet showed that on 18 September 2017, when the Accused </w:t>
      </w:r>
      <w:r w:rsidR="00EB35A9" w:rsidRPr="006603D7">
        <w:rPr>
          <w:rFonts w:cs="Arial"/>
          <w:szCs w:val="24"/>
          <w:lang w:val="en-GB"/>
        </w:rPr>
        <w:t>made</w:t>
      </w:r>
      <w:r w:rsidR="00130F0C" w:rsidRPr="006603D7">
        <w:rPr>
          <w:rFonts w:cs="Arial"/>
          <w:szCs w:val="24"/>
          <w:lang w:val="en-GB"/>
        </w:rPr>
        <w:t xml:space="preserve"> their first appearance in Athlone Court, the presiding Magistrate, Mr K Lekeur, informed them of their rights and they elected to have an attorney from Legal Aid represent them, whereafter a Miss Douman came on record for the Accused. The Accused</w:t>
      </w:r>
      <w:r w:rsidR="00256502" w:rsidRPr="006603D7">
        <w:rPr>
          <w:rFonts w:cs="Arial"/>
          <w:szCs w:val="24"/>
          <w:lang w:val="en-GB"/>
        </w:rPr>
        <w:t>’</w:t>
      </w:r>
      <w:r w:rsidR="00130F0C" w:rsidRPr="006603D7">
        <w:rPr>
          <w:rFonts w:cs="Arial"/>
          <w:szCs w:val="24"/>
          <w:lang w:val="en-GB"/>
        </w:rPr>
        <w:t xml:space="preserve">s evidence to the contrary </w:t>
      </w:r>
      <w:r w:rsidR="00A9290F">
        <w:rPr>
          <w:rFonts w:cs="Arial"/>
          <w:szCs w:val="24"/>
          <w:lang w:val="en-GB"/>
        </w:rPr>
        <w:t xml:space="preserve">was entirely bereft of credibility and not believable. </w:t>
      </w:r>
    </w:p>
    <w:p w14:paraId="4EC436CA" w14:textId="40A8ED39" w:rsidR="00A0046A" w:rsidRDefault="000541C6" w:rsidP="000541C6">
      <w:pPr>
        <w:pStyle w:val="Level1"/>
        <w:numPr>
          <w:ilvl w:val="0"/>
          <w:numId w:val="0"/>
        </w:numPr>
        <w:ind w:left="851" w:hanging="851"/>
        <w:rPr>
          <w:rFonts w:cs="Arial"/>
          <w:szCs w:val="24"/>
          <w:lang w:val="en-GB"/>
        </w:rPr>
      </w:pPr>
      <w:r>
        <w:rPr>
          <w:rFonts w:cs="Arial"/>
          <w:szCs w:val="24"/>
          <w:lang w:val="en-GB"/>
        </w:rPr>
        <w:t>47.</w:t>
      </w:r>
      <w:r>
        <w:rPr>
          <w:rFonts w:cs="Arial"/>
          <w:szCs w:val="24"/>
          <w:lang w:val="en-GB"/>
        </w:rPr>
        <w:tab/>
      </w:r>
      <w:r w:rsidR="005158AD" w:rsidRPr="00E81515">
        <w:rPr>
          <w:rFonts w:cs="Arial"/>
          <w:szCs w:val="24"/>
          <w:lang w:val="en-GB"/>
        </w:rPr>
        <w:t>Captain Phakamani (</w:t>
      </w:r>
      <w:r w:rsidR="00C11F87" w:rsidRPr="00E81515">
        <w:rPr>
          <w:rFonts w:cs="Arial"/>
          <w:szCs w:val="24"/>
          <w:lang w:val="en-GB"/>
        </w:rPr>
        <w:t>“</w:t>
      </w:r>
      <w:r w:rsidR="005158AD" w:rsidRPr="00E81515">
        <w:rPr>
          <w:rFonts w:cs="Arial"/>
          <w:b/>
          <w:bCs/>
          <w:szCs w:val="24"/>
          <w:lang w:val="en-GB"/>
        </w:rPr>
        <w:t>Phakamani</w:t>
      </w:r>
      <w:r w:rsidR="00C11F87" w:rsidRPr="00E81515">
        <w:rPr>
          <w:rFonts w:cs="Arial"/>
          <w:szCs w:val="24"/>
          <w:lang w:val="en-GB"/>
        </w:rPr>
        <w:t>”</w:t>
      </w:r>
      <w:r w:rsidR="005158AD" w:rsidRPr="00E81515">
        <w:rPr>
          <w:rFonts w:cs="Arial"/>
          <w:szCs w:val="24"/>
          <w:lang w:val="en-GB"/>
        </w:rPr>
        <w:t>), N</w:t>
      </w:r>
      <w:r w:rsidR="003258C3">
        <w:rPr>
          <w:rFonts w:cs="Arial"/>
          <w:szCs w:val="24"/>
          <w:lang w:val="en-GB"/>
        </w:rPr>
        <w:t>gqele,</w:t>
      </w:r>
      <w:r w:rsidR="005158AD" w:rsidRPr="00E81515">
        <w:rPr>
          <w:rFonts w:cs="Arial"/>
          <w:szCs w:val="24"/>
          <w:lang w:val="en-GB"/>
        </w:rPr>
        <w:t xml:space="preserve"> Mlonyeni and Njingana</w:t>
      </w:r>
      <w:r w:rsidR="00EB35A9" w:rsidRPr="00E81515">
        <w:rPr>
          <w:rFonts w:cs="Arial"/>
          <w:szCs w:val="24"/>
          <w:lang w:val="en-GB"/>
        </w:rPr>
        <w:t xml:space="preserve"> testified to the taking of the warning statements.</w:t>
      </w:r>
      <w:r w:rsidR="00E81515" w:rsidRPr="00E81515">
        <w:rPr>
          <w:rFonts w:cs="Arial"/>
          <w:szCs w:val="24"/>
          <w:lang w:val="en-GB"/>
        </w:rPr>
        <w:t xml:space="preserve"> </w:t>
      </w:r>
    </w:p>
    <w:p w14:paraId="1A74DA0D" w14:textId="534607E0" w:rsidR="00A0046A" w:rsidRDefault="000541C6" w:rsidP="000541C6">
      <w:pPr>
        <w:pStyle w:val="Level1"/>
        <w:numPr>
          <w:ilvl w:val="0"/>
          <w:numId w:val="0"/>
        </w:numPr>
        <w:ind w:left="851" w:hanging="851"/>
        <w:rPr>
          <w:rFonts w:cs="Arial"/>
          <w:szCs w:val="24"/>
          <w:lang w:val="en-GB"/>
        </w:rPr>
      </w:pPr>
      <w:r>
        <w:rPr>
          <w:rFonts w:cs="Arial"/>
          <w:szCs w:val="24"/>
          <w:lang w:val="en-GB"/>
        </w:rPr>
        <w:lastRenderedPageBreak/>
        <w:t>48.</w:t>
      </w:r>
      <w:r>
        <w:rPr>
          <w:rFonts w:cs="Arial"/>
          <w:szCs w:val="24"/>
          <w:lang w:val="en-GB"/>
        </w:rPr>
        <w:tab/>
      </w:r>
      <w:r w:rsidR="005158AD" w:rsidRPr="00E81515">
        <w:rPr>
          <w:rFonts w:cs="Arial"/>
          <w:szCs w:val="24"/>
          <w:lang w:val="en-GB"/>
        </w:rPr>
        <w:t>Phakamani has 19 years</w:t>
      </w:r>
      <w:r w:rsidR="00256502" w:rsidRPr="00E81515">
        <w:rPr>
          <w:rFonts w:cs="Arial"/>
          <w:szCs w:val="24"/>
          <w:lang w:val="en-GB"/>
        </w:rPr>
        <w:t>’</w:t>
      </w:r>
      <w:r w:rsidR="005158AD" w:rsidRPr="00E81515">
        <w:rPr>
          <w:rFonts w:cs="Arial"/>
          <w:szCs w:val="24"/>
          <w:lang w:val="en-GB"/>
        </w:rPr>
        <w:t xml:space="preserve"> experience and is currently the Head of the Serious Violent Crimes unit in Nyanga.  He led the tracing team when the Accused were arrested and said that he did not see them being assaulted.</w:t>
      </w:r>
      <w:r w:rsidR="00921D3F" w:rsidRPr="00E81515">
        <w:rPr>
          <w:rFonts w:cs="Arial"/>
          <w:szCs w:val="24"/>
          <w:lang w:val="en-GB"/>
        </w:rPr>
        <w:t xml:space="preserve">  He also explained that the cell guards </w:t>
      </w:r>
      <w:r w:rsidR="00557DBC" w:rsidRPr="00E81515">
        <w:rPr>
          <w:rFonts w:cs="Arial"/>
          <w:szCs w:val="24"/>
          <w:lang w:val="en-GB"/>
        </w:rPr>
        <w:t>do</w:t>
      </w:r>
      <w:r w:rsidR="00921D3F" w:rsidRPr="00E81515">
        <w:rPr>
          <w:rFonts w:cs="Arial"/>
          <w:szCs w:val="24"/>
          <w:lang w:val="en-GB"/>
        </w:rPr>
        <w:t xml:space="preserve"> not accept detainees if they are injured unless they have been taken to hospital first.</w:t>
      </w:r>
      <w:r w:rsidR="00557DBC" w:rsidRPr="00E81515">
        <w:rPr>
          <w:rFonts w:cs="Arial"/>
          <w:szCs w:val="24"/>
          <w:lang w:val="en-GB"/>
        </w:rPr>
        <w:t xml:space="preserve">  </w:t>
      </w:r>
    </w:p>
    <w:p w14:paraId="4874D30C" w14:textId="09927959" w:rsidR="00A51479" w:rsidRPr="00E81515" w:rsidRDefault="000541C6" w:rsidP="000541C6">
      <w:pPr>
        <w:pStyle w:val="Level1"/>
        <w:numPr>
          <w:ilvl w:val="0"/>
          <w:numId w:val="0"/>
        </w:numPr>
        <w:ind w:left="851" w:hanging="851"/>
        <w:rPr>
          <w:rFonts w:cs="Arial"/>
          <w:szCs w:val="24"/>
          <w:lang w:val="en-GB"/>
        </w:rPr>
      </w:pPr>
      <w:r w:rsidRPr="00E81515">
        <w:rPr>
          <w:rFonts w:cs="Arial"/>
          <w:szCs w:val="24"/>
          <w:lang w:val="en-GB"/>
        </w:rPr>
        <w:t>49.</w:t>
      </w:r>
      <w:r w:rsidRPr="00E81515">
        <w:rPr>
          <w:rFonts w:cs="Arial"/>
          <w:szCs w:val="24"/>
          <w:lang w:val="en-GB"/>
        </w:rPr>
        <w:tab/>
      </w:r>
      <w:r w:rsidR="0088525B" w:rsidRPr="00E81515">
        <w:rPr>
          <w:rFonts w:cs="Arial"/>
          <w:szCs w:val="24"/>
          <w:lang w:val="en-GB"/>
        </w:rPr>
        <w:t xml:space="preserve">Ngqele, who </w:t>
      </w:r>
      <w:r w:rsidR="00F345FF" w:rsidRPr="00E81515">
        <w:rPr>
          <w:rFonts w:cs="Arial"/>
          <w:szCs w:val="24"/>
          <w:lang w:val="en-GB"/>
        </w:rPr>
        <w:t>has 20 years</w:t>
      </w:r>
      <w:r w:rsidR="00256502" w:rsidRPr="00E81515">
        <w:rPr>
          <w:rFonts w:cs="Arial"/>
          <w:szCs w:val="24"/>
          <w:lang w:val="en-GB"/>
        </w:rPr>
        <w:t>’</w:t>
      </w:r>
      <w:r w:rsidR="00F345FF" w:rsidRPr="00E81515">
        <w:rPr>
          <w:rFonts w:cs="Arial"/>
          <w:szCs w:val="24"/>
          <w:lang w:val="en-GB"/>
        </w:rPr>
        <w:t xml:space="preserve"> experience, was part of the tracing team that arrested the Accused.  His role was to safeguard the cars.  He testified that he did not assault anyone that morning and did not witness an assault on any of the Accused.  When he left the police station after the tracing operation, Mlonyeni and Nonjezi were busy </w:t>
      </w:r>
      <w:r w:rsidR="00C11F87" w:rsidRPr="00E81515">
        <w:rPr>
          <w:rFonts w:cs="Arial"/>
          <w:szCs w:val="24"/>
          <w:lang w:val="en-GB"/>
        </w:rPr>
        <w:t>“</w:t>
      </w:r>
      <w:r w:rsidR="00F345FF" w:rsidRPr="00E81515">
        <w:rPr>
          <w:rFonts w:cs="Arial"/>
          <w:i/>
          <w:iCs/>
          <w:szCs w:val="24"/>
          <w:lang w:val="en-GB"/>
        </w:rPr>
        <w:t>giving the Accused their warning rights and doing their paperwork</w:t>
      </w:r>
      <w:r w:rsidR="00C11F87" w:rsidRPr="00E81515">
        <w:rPr>
          <w:rFonts w:cs="Arial"/>
          <w:szCs w:val="24"/>
          <w:lang w:val="en-GB"/>
        </w:rPr>
        <w:t>”</w:t>
      </w:r>
      <w:r w:rsidR="00F345FF" w:rsidRPr="00E81515">
        <w:rPr>
          <w:rFonts w:cs="Arial"/>
          <w:szCs w:val="24"/>
          <w:lang w:val="en-GB"/>
        </w:rPr>
        <w:t>.</w:t>
      </w:r>
      <w:r w:rsidR="00557DBC" w:rsidRPr="00E81515">
        <w:rPr>
          <w:rFonts w:cs="Arial"/>
          <w:szCs w:val="24"/>
          <w:lang w:val="en-GB"/>
        </w:rPr>
        <w:t xml:space="preserve">  He also </w:t>
      </w:r>
      <w:r w:rsidR="00F345FF" w:rsidRPr="00E81515">
        <w:rPr>
          <w:rFonts w:cs="Arial"/>
          <w:szCs w:val="24"/>
          <w:lang w:val="en-GB"/>
        </w:rPr>
        <w:t xml:space="preserve">testified that when he took down </w:t>
      </w:r>
      <w:r w:rsidR="00F345FF" w:rsidRPr="00E81515">
        <w:rPr>
          <w:rFonts w:eastAsiaTheme="minorHAnsi" w:cs="Arial"/>
          <w:bCs/>
          <w:szCs w:val="24"/>
          <w:lang w:val="en-GB"/>
        </w:rPr>
        <w:t>Mkunyanya</w:t>
      </w:r>
      <w:r w:rsidR="00256502" w:rsidRPr="00E81515">
        <w:rPr>
          <w:rFonts w:eastAsiaTheme="minorHAnsi" w:cs="Arial"/>
          <w:bCs/>
          <w:szCs w:val="24"/>
          <w:lang w:val="en-GB"/>
        </w:rPr>
        <w:t>’</w:t>
      </w:r>
      <w:r w:rsidR="00F345FF" w:rsidRPr="00E81515">
        <w:rPr>
          <w:rFonts w:eastAsiaTheme="minorHAnsi" w:cs="Arial"/>
          <w:bCs/>
          <w:szCs w:val="24"/>
          <w:lang w:val="en-GB"/>
        </w:rPr>
        <w:t>s warning statement, he explained his constitutional rights</w:t>
      </w:r>
      <w:r w:rsidR="00557DBC" w:rsidRPr="00E81515">
        <w:rPr>
          <w:rFonts w:eastAsiaTheme="minorHAnsi" w:cs="Arial"/>
          <w:bCs/>
          <w:szCs w:val="24"/>
          <w:lang w:val="en-GB"/>
        </w:rPr>
        <w:t xml:space="preserve"> in</w:t>
      </w:r>
      <w:r w:rsidR="00F345FF" w:rsidRPr="00E81515">
        <w:rPr>
          <w:rFonts w:eastAsiaTheme="minorHAnsi" w:cs="Arial"/>
          <w:bCs/>
          <w:szCs w:val="24"/>
          <w:lang w:val="en-GB"/>
        </w:rPr>
        <w:t xml:space="preserve"> isiXhosa </w:t>
      </w:r>
      <w:r w:rsidR="00557DBC" w:rsidRPr="00E81515">
        <w:rPr>
          <w:rFonts w:eastAsiaTheme="minorHAnsi" w:cs="Arial"/>
          <w:bCs/>
          <w:szCs w:val="24"/>
          <w:lang w:val="en-GB"/>
        </w:rPr>
        <w:t xml:space="preserve">as </w:t>
      </w:r>
      <w:r w:rsidR="00F345FF" w:rsidRPr="00E81515">
        <w:rPr>
          <w:rFonts w:eastAsiaTheme="minorHAnsi" w:cs="Arial"/>
          <w:bCs/>
          <w:szCs w:val="24"/>
          <w:lang w:val="en-GB"/>
        </w:rPr>
        <w:t xml:space="preserve">that </w:t>
      </w:r>
      <w:r w:rsidR="00557DBC" w:rsidRPr="00E81515">
        <w:rPr>
          <w:rFonts w:eastAsiaTheme="minorHAnsi" w:cs="Arial"/>
          <w:bCs/>
          <w:szCs w:val="24"/>
          <w:lang w:val="en-GB"/>
        </w:rPr>
        <w:t>was</w:t>
      </w:r>
      <w:r w:rsidR="00F345FF" w:rsidRPr="00E81515">
        <w:rPr>
          <w:rFonts w:eastAsiaTheme="minorHAnsi" w:cs="Arial"/>
          <w:bCs/>
          <w:szCs w:val="24"/>
          <w:lang w:val="en-GB"/>
        </w:rPr>
        <w:t xml:space="preserve"> the language </w:t>
      </w:r>
      <w:r w:rsidR="00557DBC" w:rsidRPr="00E81515">
        <w:rPr>
          <w:rFonts w:eastAsiaTheme="minorHAnsi" w:cs="Arial"/>
          <w:bCs/>
          <w:szCs w:val="24"/>
          <w:lang w:val="en-GB"/>
        </w:rPr>
        <w:t>he</w:t>
      </w:r>
      <w:r w:rsidR="00F345FF" w:rsidRPr="00E81515">
        <w:rPr>
          <w:rFonts w:eastAsiaTheme="minorHAnsi" w:cs="Arial"/>
          <w:bCs/>
          <w:szCs w:val="24"/>
          <w:lang w:val="en-GB"/>
        </w:rPr>
        <w:t xml:space="preserve"> understood.  After attending to all the formalities </w:t>
      </w:r>
      <w:r w:rsidR="00A0046A">
        <w:rPr>
          <w:rFonts w:eastAsiaTheme="minorHAnsi" w:cs="Arial"/>
          <w:bCs/>
          <w:szCs w:val="24"/>
          <w:lang w:val="en-GB"/>
        </w:rPr>
        <w:t xml:space="preserve">and taking down the </w:t>
      </w:r>
      <w:r w:rsidR="00F345FF" w:rsidRPr="00E81515">
        <w:rPr>
          <w:rFonts w:eastAsiaTheme="minorHAnsi" w:cs="Arial"/>
          <w:bCs/>
          <w:szCs w:val="24"/>
          <w:lang w:val="en-GB"/>
        </w:rPr>
        <w:t>statement, he read it back to Mkunyanya in English, interpreted it into isiXhosa and asked him to read it.</w:t>
      </w:r>
      <w:r w:rsidR="007F36C0" w:rsidRPr="00E81515">
        <w:rPr>
          <w:rFonts w:eastAsiaTheme="minorHAnsi" w:cs="Arial"/>
          <w:bCs/>
          <w:szCs w:val="24"/>
          <w:lang w:val="en-GB"/>
        </w:rPr>
        <w:t xml:space="preserve">  He said that whilst </w:t>
      </w:r>
      <w:r w:rsidR="00124AD1">
        <w:rPr>
          <w:rFonts w:eastAsiaTheme="minorHAnsi" w:cs="Arial"/>
          <w:bCs/>
          <w:szCs w:val="24"/>
          <w:lang w:val="en-GB"/>
        </w:rPr>
        <w:t>N</w:t>
      </w:r>
      <w:r w:rsidR="0087062C">
        <w:rPr>
          <w:rFonts w:eastAsiaTheme="minorHAnsi" w:cs="Arial"/>
          <w:bCs/>
          <w:szCs w:val="24"/>
          <w:lang w:val="en-GB"/>
        </w:rPr>
        <w:t>g</w:t>
      </w:r>
      <w:r w:rsidR="00124AD1">
        <w:rPr>
          <w:rFonts w:eastAsiaTheme="minorHAnsi" w:cs="Arial"/>
          <w:bCs/>
          <w:szCs w:val="24"/>
          <w:lang w:val="en-GB"/>
        </w:rPr>
        <w:t>qele</w:t>
      </w:r>
      <w:r w:rsidR="007F36C0" w:rsidRPr="00E81515">
        <w:rPr>
          <w:rFonts w:eastAsiaTheme="minorHAnsi" w:cs="Arial"/>
          <w:bCs/>
          <w:szCs w:val="24"/>
          <w:lang w:val="en-GB"/>
        </w:rPr>
        <w:t xml:space="preserve"> was doing so, </w:t>
      </w:r>
      <w:r w:rsidR="00A51479" w:rsidRPr="00E81515">
        <w:rPr>
          <w:rFonts w:eastAsiaTheme="minorHAnsi" w:cs="Arial"/>
          <w:bCs/>
          <w:szCs w:val="24"/>
          <w:lang w:val="en-GB"/>
        </w:rPr>
        <w:t>Nonjezi was busy informing the other Acc</w:t>
      </w:r>
      <w:r w:rsidR="00940330" w:rsidRPr="00E81515">
        <w:rPr>
          <w:rFonts w:eastAsiaTheme="minorHAnsi" w:cs="Arial"/>
          <w:bCs/>
          <w:szCs w:val="24"/>
          <w:lang w:val="en-GB"/>
        </w:rPr>
        <w:t>u</w:t>
      </w:r>
      <w:r w:rsidR="00A51479" w:rsidRPr="00E81515">
        <w:rPr>
          <w:rFonts w:eastAsiaTheme="minorHAnsi" w:cs="Arial"/>
          <w:bCs/>
          <w:szCs w:val="24"/>
          <w:lang w:val="en-GB"/>
        </w:rPr>
        <w:t>sed of their constitutional rights.</w:t>
      </w:r>
    </w:p>
    <w:p w14:paraId="4B2D3AC3" w14:textId="3BA37A2A" w:rsidR="00E10C3D" w:rsidRPr="005B2237" w:rsidRDefault="000541C6" w:rsidP="000541C6">
      <w:pPr>
        <w:pStyle w:val="Level1"/>
        <w:numPr>
          <w:ilvl w:val="0"/>
          <w:numId w:val="0"/>
        </w:numPr>
        <w:ind w:left="851" w:hanging="851"/>
        <w:rPr>
          <w:rFonts w:cs="Arial"/>
          <w:i/>
          <w:iCs/>
          <w:szCs w:val="24"/>
          <w:lang w:val="en-GB"/>
        </w:rPr>
      </w:pPr>
      <w:r w:rsidRPr="005B2237">
        <w:rPr>
          <w:rFonts w:cs="Arial"/>
          <w:i/>
          <w:iCs/>
          <w:szCs w:val="24"/>
          <w:lang w:val="en-GB"/>
        </w:rPr>
        <w:t>50.</w:t>
      </w:r>
      <w:r w:rsidRPr="005B2237">
        <w:rPr>
          <w:rFonts w:cs="Arial"/>
          <w:i/>
          <w:iCs/>
          <w:szCs w:val="24"/>
          <w:lang w:val="en-GB"/>
        </w:rPr>
        <w:tab/>
      </w:r>
      <w:r w:rsidR="00585650" w:rsidRPr="00A0046A">
        <w:rPr>
          <w:rFonts w:eastAsiaTheme="minorHAnsi" w:cs="Arial"/>
          <w:bCs/>
          <w:szCs w:val="24"/>
          <w:lang w:val="en-GB"/>
        </w:rPr>
        <w:t xml:space="preserve">Mlonyeni testified that Mbana was arrested before Mkunyanya.  </w:t>
      </w:r>
      <w:r w:rsidR="007F36C0" w:rsidRPr="00A0046A">
        <w:rPr>
          <w:rFonts w:eastAsiaTheme="minorHAnsi" w:cs="Arial"/>
          <w:bCs/>
          <w:szCs w:val="24"/>
          <w:lang w:val="en-GB"/>
        </w:rPr>
        <w:t>However, when i</w:t>
      </w:r>
      <w:r w:rsidR="00585650" w:rsidRPr="00A0046A">
        <w:rPr>
          <w:rFonts w:eastAsiaTheme="minorHAnsi" w:cs="Arial"/>
          <w:bCs/>
          <w:szCs w:val="24"/>
          <w:lang w:val="en-GB"/>
        </w:rPr>
        <w:t>t was pointed out to him that this was contrary to his A17 statement</w:t>
      </w:r>
      <w:r w:rsidR="007F36C0" w:rsidRPr="00A0046A">
        <w:rPr>
          <w:rFonts w:eastAsiaTheme="minorHAnsi" w:cs="Arial"/>
          <w:bCs/>
          <w:szCs w:val="24"/>
          <w:lang w:val="en-GB"/>
        </w:rPr>
        <w:t>, h</w:t>
      </w:r>
      <w:r w:rsidR="00585650" w:rsidRPr="00A0046A">
        <w:rPr>
          <w:rFonts w:eastAsiaTheme="minorHAnsi" w:cs="Arial"/>
          <w:bCs/>
          <w:szCs w:val="24"/>
          <w:lang w:val="en-GB"/>
        </w:rPr>
        <w:t>e agreed that the order of arrest was as indicated in the statement and that he had made a mistake in his oral evidence.</w:t>
      </w:r>
      <w:r w:rsidR="00A0046A" w:rsidRPr="00A0046A">
        <w:rPr>
          <w:rFonts w:eastAsiaTheme="minorHAnsi" w:cs="Arial"/>
          <w:bCs/>
          <w:szCs w:val="24"/>
          <w:lang w:val="en-GB"/>
        </w:rPr>
        <w:t xml:space="preserve"> </w:t>
      </w:r>
      <w:r w:rsidR="00585650" w:rsidRPr="00A0046A">
        <w:rPr>
          <w:rFonts w:eastAsiaTheme="minorHAnsi" w:cs="Arial"/>
          <w:bCs/>
          <w:szCs w:val="24"/>
          <w:lang w:val="en-GB"/>
        </w:rPr>
        <w:t xml:space="preserve">Regarding this discrepancy, counsel for the State drew my attention to the judgment </w:t>
      </w:r>
      <w:r w:rsidR="00585650" w:rsidRPr="00A0046A">
        <w:rPr>
          <w:rFonts w:eastAsiaTheme="minorHAnsi" w:cs="Arial"/>
          <w:b/>
          <w:szCs w:val="24"/>
          <w:u w:val="single"/>
          <w:lang w:val="en-GB"/>
        </w:rPr>
        <w:t>S v Bruin</w:t>
      </w:r>
      <w:r w:rsidR="00A42822">
        <w:rPr>
          <w:rFonts w:eastAsiaTheme="minorHAnsi" w:cs="Arial"/>
          <w:b/>
          <w:szCs w:val="24"/>
          <w:u w:val="single"/>
          <w:lang w:val="en-GB"/>
        </w:rPr>
        <w:t>d</w:t>
      </w:r>
      <w:r w:rsidR="00585650" w:rsidRPr="00A0046A">
        <w:rPr>
          <w:rFonts w:eastAsiaTheme="minorHAnsi" w:cs="Arial"/>
          <w:b/>
          <w:szCs w:val="24"/>
          <w:u w:val="single"/>
          <w:lang w:val="en-GB"/>
        </w:rPr>
        <w:t xml:space="preserve">ers en </w:t>
      </w:r>
      <w:r w:rsidR="00256502" w:rsidRPr="00A0046A">
        <w:rPr>
          <w:rFonts w:eastAsiaTheme="minorHAnsi" w:cs="Arial"/>
          <w:b/>
          <w:szCs w:val="24"/>
          <w:u w:val="single"/>
          <w:lang w:val="en-GB"/>
        </w:rPr>
        <w:t>‘</w:t>
      </w:r>
      <w:r w:rsidR="00585650" w:rsidRPr="00A0046A">
        <w:rPr>
          <w:rFonts w:eastAsiaTheme="minorHAnsi" w:cs="Arial"/>
          <w:b/>
          <w:szCs w:val="24"/>
          <w:u w:val="single"/>
          <w:lang w:val="en-GB"/>
        </w:rPr>
        <w:t>n Ander</w:t>
      </w:r>
      <w:r w:rsidR="00585650" w:rsidRPr="00A0046A">
        <w:rPr>
          <w:rFonts w:eastAsiaTheme="minorHAnsi" w:cs="Arial"/>
          <w:bCs/>
          <w:szCs w:val="24"/>
          <w:lang w:val="en-GB"/>
        </w:rPr>
        <w:t>:</w:t>
      </w:r>
      <w:r w:rsidR="00585650" w:rsidRPr="008F717C">
        <w:rPr>
          <w:rStyle w:val="FootnoteReference"/>
          <w:rFonts w:eastAsiaTheme="minorHAnsi" w:cs="Arial"/>
          <w:bCs/>
          <w:szCs w:val="24"/>
          <w:lang w:val="en-GB"/>
        </w:rPr>
        <w:footnoteReference w:id="13"/>
      </w:r>
      <w:r w:rsidR="00E36143">
        <w:rPr>
          <w:rFonts w:eastAsiaTheme="minorHAnsi" w:cs="Arial"/>
          <w:bCs/>
          <w:szCs w:val="24"/>
          <w:lang w:val="en-GB"/>
        </w:rPr>
        <w:t xml:space="preserve"> where the Horn AJ held that:</w:t>
      </w:r>
      <w:r w:rsidR="00E36143" w:rsidRPr="00350493">
        <w:rPr>
          <w:rFonts w:eastAsiaTheme="minorHAnsi" w:cs="Arial"/>
          <w:bCs/>
          <w:i/>
          <w:iCs/>
          <w:szCs w:val="24"/>
          <w:lang w:val="en-GB"/>
        </w:rPr>
        <w:t xml:space="preserve"> </w:t>
      </w:r>
      <w:r w:rsidR="00C11F87" w:rsidRPr="00350493">
        <w:rPr>
          <w:i/>
          <w:iCs/>
          <w:lang w:val="en-GB"/>
        </w:rPr>
        <w:t>“</w:t>
      </w:r>
      <w:r w:rsidR="00585650" w:rsidRPr="00350493">
        <w:rPr>
          <w:i/>
          <w:iCs/>
          <w:lang w:val="en-GB"/>
        </w:rPr>
        <w:t xml:space="preserve">Dit is vergesog om van </w:t>
      </w:r>
      <w:r w:rsidR="00256502" w:rsidRPr="00350493">
        <w:rPr>
          <w:i/>
          <w:iCs/>
          <w:lang w:val="en-GB"/>
        </w:rPr>
        <w:t>‘n</w:t>
      </w:r>
      <w:r w:rsidR="00585650" w:rsidRPr="00350493">
        <w:rPr>
          <w:i/>
          <w:iCs/>
          <w:lang w:val="en-GB"/>
        </w:rPr>
        <w:t xml:space="preserve"> getuie te verwag om </w:t>
      </w:r>
      <w:r w:rsidR="00585650" w:rsidRPr="00350493">
        <w:rPr>
          <w:i/>
          <w:iCs/>
          <w:lang w:val="en-GB"/>
        </w:rPr>
        <w:lastRenderedPageBreak/>
        <w:t xml:space="preserve">in sy getuieverklaring reeds presies dieselfde weergawe te verskaf as wat hy in die ope hof gaan getuig. </w:t>
      </w:r>
      <w:r w:rsidR="0001773E" w:rsidRPr="00350493">
        <w:rPr>
          <w:i/>
          <w:iCs/>
          <w:lang w:val="en-GB"/>
        </w:rPr>
        <w:t>. . .</w:t>
      </w:r>
      <w:r w:rsidR="00585650" w:rsidRPr="00350493">
        <w:rPr>
          <w:i/>
          <w:iCs/>
          <w:lang w:val="en-GB"/>
        </w:rPr>
        <w:t xml:space="preserve"> Getuieverklarings bly nuttige ammunisie vir kruisondervraging, maar dan moet dit in konteks oorweeg word en sal die aard en omvang van die afwykings in geheel in ag geneem moet word alvorens dit gesê kan word dat </w:t>
      </w:r>
      <w:r w:rsidR="00256502" w:rsidRPr="00350493">
        <w:rPr>
          <w:i/>
          <w:iCs/>
          <w:lang w:val="en-GB"/>
        </w:rPr>
        <w:t>‘n</w:t>
      </w:r>
      <w:r w:rsidR="00585650" w:rsidRPr="00350493">
        <w:rPr>
          <w:i/>
          <w:iCs/>
          <w:lang w:val="en-GB"/>
        </w:rPr>
        <w:t xml:space="preserve"> getuie se getuienis as gevolg van sulke afwykings verwerp moet word.</w:t>
      </w:r>
      <w:r w:rsidR="00C11F87" w:rsidRPr="00350493">
        <w:rPr>
          <w:i/>
          <w:iCs/>
          <w:lang w:val="en-GB"/>
        </w:rPr>
        <w:t>”</w:t>
      </w:r>
      <w:r w:rsidR="00350493">
        <w:rPr>
          <w:rFonts w:cs="Arial"/>
          <w:i/>
          <w:iCs/>
          <w:szCs w:val="24"/>
          <w:lang w:val="en-GB"/>
        </w:rPr>
        <w:t xml:space="preserve"> </w:t>
      </w:r>
      <w:r w:rsidR="00E10C3D" w:rsidRPr="00350493">
        <w:rPr>
          <w:rFonts w:cs="Arial"/>
          <w:lang w:val="en-GB"/>
        </w:rPr>
        <w:t xml:space="preserve">I was also referred to </w:t>
      </w:r>
      <w:r w:rsidR="00E10C3D" w:rsidRPr="00350493">
        <w:rPr>
          <w:rFonts w:cs="Arial"/>
          <w:b/>
          <w:u w:val="single"/>
          <w:lang w:val="en-GB"/>
        </w:rPr>
        <w:t>S v Mafaladiso en Andere</w:t>
      </w:r>
      <w:r w:rsidR="00E10C3D" w:rsidRPr="008F717C">
        <w:rPr>
          <w:rStyle w:val="FootnoteReference"/>
          <w:rFonts w:cs="Arial"/>
          <w:bCs/>
          <w:lang w:val="en-GB"/>
        </w:rPr>
        <w:footnoteReference w:id="14"/>
      </w:r>
      <w:r w:rsidR="00E10C3D" w:rsidRPr="00350493">
        <w:rPr>
          <w:rFonts w:cs="Arial"/>
          <w:bCs/>
          <w:lang w:val="en-GB"/>
        </w:rPr>
        <w:t xml:space="preserve"> </w:t>
      </w:r>
      <w:r w:rsidR="00E10C3D" w:rsidRPr="00350493">
        <w:rPr>
          <w:rFonts w:cs="Arial"/>
          <w:lang w:val="en-GB"/>
        </w:rPr>
        <w:t>where the Court remarked that:</w:t>
      </w:r>
      <w:r w:rsidR="00350493" w:rsidRPr="00350493">
        <w:rPr>
          <w:rFonts w:cs="Arial"/>
          <w:lang w:val="en-GB"/>
        </w:rPr>
        <w:t xml:space="preserve"> </w:t>
      </w:r>
      <w:r w:rsidR="00E10C3D" w:rsidRPr="00350493">
        <w:rPr>
          <w:i/>
          <w:iCs/>
          <w:lang w:val="en-GB"/>
        </w:rPr>
        <w:t>“</w:t>
      </w:r>
      <w:r w:rsidR="00E10C3D" w:rsidRPr="00350493">
        <w:rPr>
          <w:i/>
          <w:iCs/>
          <w:lang w:val="en-GB" w:eastAsia="en-ZA"/>
        </w:rPr>
        <w:t xml:space="preserve">In hierdie verband moet die feite-beoordeelaar in ag neem dat </w:t>
      </w:r>
      <w:r w:rsidR="00256502" w:rsidRPr="00350493">
        <w:rPr>
          <w:i/>
          <w:iCs/>
          <w:lang w:val="en-GB" w:eastAsia="en-ZA"/>
        </w:rPr>
        <w:t>‘n</w:t>
      </w:r>
      <w:r w:rsidR="00E10C3D" w:rsidRPr="00350493">
        <w:rPr>
          <w:i/>
          <w:iCs/>
          <w:lang w:val="en-GB" w:eastAsia="en-ZA"/>
        </w:rPr>
        <w:t xml:space="preserve"> vorige verklaring nie by wyse van kruisverhoor afgeneem is nie, dat daar taal- en kultuurverskille tussen die getuie en die opskrifsteller mag wees wat die korrektheid va</w:t>
      </w:r>
      <w:r w:rsidR="00E10C3D" w:rsidRPr="005B2237">
        <w:rPr>
          <w:i/>
          <w:iCs/>
          <w:lang w:val="en-GB" w:eastAsia="en-ZA"/>
        </w:rPr>
        <w:t xml:space="preserve">n wat presies bedoel is in die weg staan, en dat die verklaarder selde of ooit deur </w:t>
      </w:r>
      <w:r w:rsidR="00256502" w:rsidRPr="005B2237">
        <w:rPr>
          <w:i/>
          <w:iCs/>
          <w:lang w:val="en-GB" w:eastAsia="en-ZA"/>
        </w:rPr>
        <w:t>‘n</w:t>
      </w:r>
      <w:r w:rsidR="00E10C3D" w:rsidRPr="005B2237">
        <w:rPr>
          <w:i/>
          <w:iCs/>
          <w:lang w:val="en-GB" w:eastAsia="en-ZA"/>
        </w:rPr>
        <w:t xml:space="preserve"> polisiebeampte gevra word om in detail sy of haar verklaring te verduidelik. …. Tweedens moet dit steeds voor oë gehou word dat nie elke fout deur </w:t>
      </w:r>
      <w:r w:rsidR="00256502" w:rsidRPr="005B2237">
        <w:rPr>
          <w:i/>
          <w:iCs/>
          <w:lang w:val="en-GB" w:eastAsia="en-ZA"/>
        </w:rPr>
        <w:t>‘n</w:t>
      </w:r>
      <w:r w:rsidR="00E10C3D" w:rsidRPr="005B2237">
        <w:rPr>
          <w:i/>
          <w:iCs/>
          <w:lang w:val="en-GB" w:eastAsia="en-ZA"/>
        </w:rPr>
        <w:t xml:space="preserve"> getuie en nie elke weerspreking of afwyking die getuie se geloofwaardigheid aantas ni</w:t>
      </w:r>
      <w:r w:rsidR="005B2237" w:rsidRPr="005B2237">
        <w:rPr>
          <w:i/>
          <w:iCs/>
          <w:lang w:val="en-GB" w:eastAsia="en-ZA"/>
        </w:rPr>
        <w:t xml:space="preserve">e. </w:t>
      </w:r>
      <w:r w:rsidR="00E10C3D" w:rsidRPr="005B2237">
        <w:rPr>
          <w:i/>
          <w:iCs/>
          <w:lang w:val="en-GB" w:eastAsia="en-ZA"/>
        </w:rPr>
        <w:t xml:space="preserve">Derdens moet die weersprekende weergawes steeds oorweeg en ge-evalueer word op </w:t>
      </w:r>
      <w:r w:rsidR="00256502" w:rsidRPr="005B2237">
        <w:rPr>
          <w:i/>
          <w:iCs/>
          <w:lang w:val="en-GB" w:eastAsia="en-ZA"/>
        </w:rPr>
        <w:t>‘n</w:t>
      </w:r>
      <w:r w:rsidR="00E10C3D" w:rsidRPr="005B2237">
        <w:rPr>
          <w:i/>
          <w:iCs/>
          <w:lang w:val="en-GB" w:eastAsia="en-ZA"/>
        </w:rPr>
        <w:t xml:space="preserve"> holistiese basis. Die omstandighede waaronder die weergawes gemaak is, die bewese redes vir die weersprekings, die werklike effek van die weersprekings ten aansien van die getuie se betroubaarheid of geloofwaardigheid, en die vraag of die getuie voldoende geleentheid gehad het om die weersprekings te verduidelik – en die kwaliteit van dié verduidelikings – en die samehang van die weersprekings met die res van die getuie se getuienis moet onder andere in ag geneem en opgeweeg word</w:t>
      </w:r>
      <w:r w:rsidR="005B2237" w:rsidRPr="005B2237">
        <w:rPr>
          <w:i/>
          <w:iCs/>
          <w:lang w:val="en-GB" w:eastAsia="en-ZA"/>
        </w:rPr>
        <w:t xml:space="preserve">. </w:t>
      </w:r>
      <w:r w:rsidR="00E10C3D" w:rsidRPr="005B2237">
        <w:rPr>
          <w:i/>
          <w:iCs/>
          <w:lang w:val="en-GB" w:eastAsia="en-ZA"/>
        </w:rPr>
        <w:t xml:space="preserve">Ten slotte word die eindtaak van die Verhoorregter, nl om die gewig van die vorige verklaring teen dié van die viva voce getuienis op te weeg, ook in hierdie soort gevalle tereg soos volg in S v </w:t>
      </w:r>
      <w:r w:rsidR="00E10C3D" w:rsidRPr="005B2237">
        <w:rPr>
          <w:i/>
          <w:iCs/>
          <w:lang w:val="en-GB" w:eastAsia="en-ZA"/>
        </w:rPr>
        <w:lastRenderedPageBreak/>
        <w:t xml:space="preserve">Sauls and Others 1981 (3) SA 172 (A) op 180F saamgevat:  </w:t>
      </w:r>
      <w:r w:rsidR="00256502" w:rsidRPr="005B2237">
        <w:rPr>
          <w:i/>
          <w:iCs/>
          <w:color w:val="000000"/>
          <w:lang w:val="en-GB" w:eastAsia="en-ZA"/>
        </w:rPr>
        <w:t>‘</w:t>
      </w:r>
      <w:r w:rsidR="00E10C3D" w:rsidRPr="005B2237">
        <w:rPr>
          <w:i/>
          <w:iCs/>
          <w:color w:val="000000"/>
          <w:lang w:val="en-GB" w:eastAsia="en-ZA"/>
        </w:rPr>
        <w:t>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w:t>
      </w:r>
      <w:r w:rsidR="00256502" w:rsidRPr="005B2237">
        <w:rPr>
          <w:i/>
          <w:iCs/>
          <w:color w:val="000000"/>
          <w:lang w:val="en-GB" w:eastAsia="en-ZA"/>
        </w:rPr>
        <w:t>’</w:t>
      </w:r>
      <w:r w:rsidR="00E10C3D" w:rsidRPr="005B2237">
        <w:rPr>
          <w:i/>
          <w:iCs/>
          <w:color w:val="000000"/>
          <w:lang w:val="en-GB" w:eastAsia="en-ZA"/>
        </w:rPr>
        <w:t>”</w:t>
      </w:r>
    </w:p>
    <w:p w14:paraId="3897D7A8" w14:textId="2247E832" w:rsidR="00853C6C" w:rsidRDefault="000541C6" w:rsidP="000541C6">
      <w:pPr>
        <w:pStyle w:val="Level1"/>
        <w:numPr>
          <w:ilvl w:val="0"/>
          <w:numId w:val="0"/>
        </w:numPr>
        <w:ind w:left="851" w:hanging="851"/>
        <w:rPr>
          <w:rFonts w:cs="Arial"/>
          <w:szCs w:val="24"/>
          <w:lang w:val="en-GB"/>
        </w:rPr>
      </w:pPr>
      <w:r>
        <w:rPr>
          <w:rFonts w:cs="Arial"/>
          <w:szCs w:val="24"/>
          <w:lang w:val="en-GB"/>
        </w:rPr>
        <w:t>51.</w:t>
      </w:r>
      <w:r>
        <w:rPr>
          <w:rFonts w:cs="Arial"/>
          <w:szCs w:val="24"/>
          <w:lang w:val="en-GB"/>
        </w:rPr>
        <w:tab/>
      </w:r>
      <w:r w:rsidR="00E36B37" w:rsidRPr="00853C6C">
        <w:rPr>
          <w:rFonts w:cs="Arial"/>
          <w:szCs w:val="24"/>
          <w:lang w:val="en-GB"/>
        </w:rPr>
        <w:t>In my view, Mlonyeni’s mistake was inconsequential and understandable.  It d</w:t>
      </w:r>
      <w:r w:rsidR="005A3F10" w:rsidRPr="00853C6C">
        <w:rPr>
          <w:rFonts w:cs="Arial"/>
          <w:szCs w:val="24"/>
          <w:lang w:val="en-GB"/>
        </w:rPr>
        <w:t>id</w:t>
      </w:r>
      <w:r w:rsidR="00E36B37" w:rsidRPr="00853C6C">
        <w:rPr>
          <w:rFonts w:cs="Arial"/>
          <w:szCs w:val="24"/>
          <w:lang w:val="en-GB"/>
        </w:rPr>
        <w:t xml:space="preserve"> not diminish the value of his evidence in any way. Mlonyeni denied that he assaulted any of the Accused or that they were assaulted by anyone else</w:t>
      </w:r>
      <w:r w:rsidR="005A3F10" w:rsidRPr="00853C6C">
        <w:rPr>
          <w:rFonts w:cs="Arial"/>
          <w:szCs w:val="24"/>
          <w:lang w:val="en-GB"/>
        </w:rPr>
        <w:t xml:space="preserve"> and h</w:t>
      </w:r>
      <w:r w:rsidR="00E36B37" w:rsidRPr="00853C6C">
        <w:rPr>
          <w:rFonts w:cs="Arial"/>
          <w:szCs w:val="24"/>
          <w:lang w:val="en-GB"/>
        </w:rPr>
        <w:t xml:space="preserve">e dismissed the suggestion that he promised to use </w:t>
      </w:r>
      <w:r w:rsidR="00E36B37" w:rsidRPr="00853C6C">
        <w:rPr>
          <w:rFonts w:eastAsiaTheme="minorHAnsi" w:cs="Arial"/>
          <w:bCs/>
          <w:szCs w:val="24"/>
          <w:lang w:val="en-GB"/>
        </w:rPr>
        <w:t>Mkunyanya as a State witness.</w:t>
      </w:r>
      <w:r w:rsidR="00853C6C" w:rsidRPr="00853C6C">
        <w:rPr>
          <w:rFonts w:eastAsiaTheme="minorHAnsi" w:cs="Arial"/>
          <w:bCs/>
          <w:szCs w:val="24"/>
          <w:lang w:val="en-GB"/>
        </w:rPr>
        <w:t xml:space="preserve"> </w:t>
      </w:r>
      <w:r w:rsidR="00E36B37" w:rsidRPr="00853C6C">
        <w:rPr>
          <w:rFonts w:cs="Arial"/>
          <w:szCs w:val="24"/>
          <w:lang w:val="en-GB"/>
        </w:rPr>
        <w:t xml:space="preserve">Mlonyeni was a good </w:t>
      </w:r>
      <w:r w:rsidR="002A60E6" w:rsidRPr="00853C6C">
        <w:rPr>
          <w:rFonts w:cs="Arial"/>
          <w:szCs w:val="24"/>
          <w:lang w:val="en-GB"/>
        </w:rPr>
        <w:t xml:space="preserve">witness.  He remained unshaken during cross-examination on all the critical aspects of his testimony.  </w:t>
      </w:r>
    </w:p>
    <w:p w14:paraId="6FB643FC" w14:textId="21039A6C" w:rsidR="005A3F10" w:rsidRPr="00853C6C" w:rsidRDefault="000541C6" w:rsidP="000541C6">
      <w:pPr>
        <w:pStyle w:val="Level1"/>
        <w:numPr>
          <w:ilvl w:val="0"/>
          <w:numId w:val="0"/>
        </w:numPr>
        <w:ind w:left="851" w:hanging="851"/>
        <w:rPr>
          <w:rFonts w:cs="Arial"/>
          <w:szCs w:val="24"/>
          <w:lang w:val="en-GB"/>
        </w:rPr>
      </w:pPr>
      <w:r w:rsidRPr="00853C6C">
        <w:rPr>
          <w:rFonts w:cs="Arial"/>
          <w:szCs w:val="24"/>
          <w:lang w:val="en-GB"/>
        </w:rPr>
        <w:t>52.</w:t>
      </w:r>
      <w:r w:rsidRPr="00853C6C">
        <w:rPr>
          <w:rFonts w:cs="Arial"/>
          <w:szCs w:val="24"/>
          <w:lang w:val="en-GB"/>
        </w:rPr>
        <w:tab/>
      </w:r>
      <w:r w:rsidR="002A60E6" w:rsidRPr="00853C6C">
        <w:rPr>
          <w:rFonts w:cs="Arial"/>
          <w:szCs w:val="24"/>
          <w:lang w:val="en-GB"/>
        </w:rPr>
        <w:t xml:space="preserve">Nonjezi was also part of the tracing team.  His task was to secure the perimeter and he did not enter any of the homes on the night of the tracing.  He refuted Manana’s allegation that he slapped him inside </w:t>
      </w:r>
      <w:r w:rsidR="005A3F10" w:rsidRPr="00853C6C">
        <w:rPr>
          <w:rFonts w:cs="Arial"/>
          <w:szCs w:val="24"/>
          <w:lang w:val="en-GB"/>
        </w:rPr>
        <w:t>his</w:t>
      </w:r>
      <w:r w:rsidR="002A60E6" w:rsidRPr="00853C6C">
        <w:rPr>
          <w:rFonts w:cs="Arial"/>
          <w:szCs w:val="24"/>
          <w:lang w:val="en-GB"/>
        </w:rPr>
        <w:t xml:space="preserve"> hut</w:t>
      </w:r>
      <w:r w:rsidR="00426FDD" w:rsidRPr="00853C6C">
        <w:rPr>
          <w:rFonts w:cs="Arial"/>
          <w:szCs w:val="24"/>
          <w:lang w:val="en-GB"/>
        </w:rPr>
        <w:t xml:space="preserve"> for the very reason that he did not enter any dwellings.  He testified that he was the person who gave the Accused their SAP14A notices and that he explained their constitutional rights to them.  He did so in isiXhosa as this was their language although he said that</w:t>
      </w:r>
      <w:r w:rsidR="00010811">
        <w:rPr>
          <w:rFonts w:cs="Arial"/>
          <w:szCs w:val="24"/>
          <w:lang w:val="en-GB"/>
        </w:rPr>
        <w:t xml:space="preserve"> when he</w:t>
      </w:r>
      <w:r w:rsidR="00426FDD" w:rsidRPr="00853C6C">
        <w:rPr>
          <w:rFonts w:cs="Arial"/>
          <w:szCs w:val="24"/>
          <w:lang w:val="en-GB"/>
        </w:rPr>
        <w:t xml:space="preserve"> asked the Accused if they could read English, all </w:t>
      </w:r>
      <w:r w:rsidR="005A3F10" w:rsidRPr="00853C6C">
        <w:rPr>
          <w:rFonts w:cs="Arial"/>
          <w:szCs w:val="24"/>
          <w:lang w:val="en-GB"/>
        </w:rPr>
        <w:t>indicated that</w:t>
      </w:r>
      <w:r w:rsidR="00010811">
        <w:rPr>
          <w:rFonts w:cs="Arial"/>
          <w:szCs w:val="24"/>
          <w:lang w:val="en-GB"/>
        </w:rPr>
        <w:t xml:space="preserve"> they</w:t>
      </w:r>
      <w:r w:rsidR="005A3F10" w:rsidRPr="00853C6C">
        <w:rPr>
          <w:rFonts w:cs="Arial"/>
          <w:szCs w:val="24"/>
          <w:lang w:val="en-GB"/>
        </w:rPr>
        <w:t xml:space="preserve"> could</w:t>
      </w:r>
      <w:r w:rsidR="00010811">
        <w:rPr>
          <w:rFonts w:cs="Arial"/>
          <w:szCs w:val="24"/>
          <w:lang w:val="en-GB"/>
        </w:rPr>
        <w:t xml:space="preserve"> do so.</w:t>
      </w:r>
      <w:r w:rsidR="00426FDD" w:rsidRPr="00853C6C">
        <w:rPr>
          <w:rFonts w:cs="Arial"/>
          <w:szCs w:val="24"/>
          <w:lang w:val="en-GB"/>
        </w:rPr>
        <w:t xml:space="preserve"> He admitted that he had neglected to get Mbana to sign his SAP14A notice.</w:t>
      </w:r>
      <w:r w:rsidR="005A3F10" w:rsidRPr="00853C6C">
        <w:rPr>
          <w:rFonts w:cs="Arial"/>
          <w:szCs w:val="24"/>
          <w:lang w:val="en-GB"/>
        </w:rPr>
        <w:t xml:space="preserve">  </w:t>
      </w:r>
      <w:r w:rsidR="00426FDD" w:rsidRPr="00853C6C">
        <w:rPr>
          <w:rFonts w:cs="Arial"/>
          <w:szCs w:val="24"/>
          <w:lang w:val="en-GB"/>
        </w:rPr>
        <w:t>Nonjezi testified that he had no knowledge of the case as he had been on leave at the time of the incident and thus that he did have enough knowledge to fabricate anything in the statements. He said that the Accused were interviewed one by one</w:t>
      </w:r>
      <w:r w:rsidR="00DD1CFF">
        <w:rPr>
          <w:rFonts w:cs="Arial"/>
          <w:szCs w:val="24"/>
          <w:lang w:val="en-GB"/>
        </w:rPr>
        <w:t>,</w:t>
      </w:r>
      <w:r w:rsidR="00426FDD" w:rsidRPr="00853C6C">
        <w:rPr>
          <w:rFonts w:cs="Arial"/>
          <w:szCs w:val="24"/>
          <w:lang w:val="en-GB"/>
        </w:rPr>
        <w:t xml:space="preserve"> and this process involved him introducing himself to them again, explaining the allegations they faced, as </w:t>
      </w:r>
      <w:r w:rsidR="00426FDD" w:rsidRPr="00853C6C">
        <w:rPr>
          <w:rFonts w:cs="Arial"/>
          <w:szCs w:val="24"/>
          <w:lang w:val="en-GB"/>
        </w:rPr>
        <w:lastRenderedPageBreak/>
        <w:t>well as informing them of their constitutional rights.  He admitted that he had been remiss in not deleting all the relevant parts of the warning statement form</w:t>
      </w:r>
      <w:r w:rsidR="000128A3" w:rsidRPr="00853C6C">
        <w:rPr>
          <w:rFonts w:cs="Arial"/>
          <w:szCs w:val="24"/>
          <w:lang w:val="en-GB"/>
        </w:rPr>
        <w:t>.</w:t>
      </w:r>
      <w:r w:rsidR="005A3F10" w:rsidRPr="00853C6C">
        <w:rPr>
          <w:rFonts w:cs="Arial"/>
          <w:szCs w:val="24"/>
          <w:lang w:val="en-GB"/>
        </w:rPr>
        <w:t xml:space="preserve">  </w:t>
      </w:r>
      <w:r w:rsidR="00917558">
        <w:rPr>
          <w:rFonts w:cs="Arial"/>
          <w:szCs w:val="24"/>
          <w:lang w:val="en-GB"/>
        </w:rPr>
        <w:t xml:space="preserve">He said he did </w:t>
      </w:r>
      <w:r w:rsidR="000128A3" w:rsidRPr="00853C6C">
        <w:rPr>
          <w:rFonts w:cs="Arial"/>
          <w:szCs w:val="24"/>
          <w:lang w:val="en-GB"/>
        </w:rPr>
        <w:t>read the warning statement back to Mbana</w:t>
      </w:r>
      <w:r w:rsidR="000962AE">
        <w:rPr>
          <w:rFonts w:cs="Arial"/>
          <w:szCs w:val="24"/>
          <w:lang w:val="en-GB"/>
        </w:rPr>
        <w:t xml:space="preserve">. He </w:t>
      </w:r>
      <w:r w:rsidR="000128A3" w:rsidRPr="00853C6C">
        <w:rPr>
          <w:rFonts w:cs="Arial"/>
          <w:szCs w:val="24"/>
          <w:lang w:val="en-GB"/>
        </w:rPr>
        <w:t xml:space="preserve">denied that Manana only signed the warning statement because he was threatened.  Nonjezi was </w:t>
      </w:r>
      <w:r w:rsidR="005A3F10" w:rsidRPr="00853C6C">
        <w:rPr>
          <w:rFonts w:cs="Arial"/>
          <w:szCs w:val="24"/>
          <w:lang w:val="en-GB"/>
        </w:rPr>
        <w:t>an impressive</w:t>
      </w:r>
      <w:r w:rsidR="000128A3" w:rsidRPr="00853C6C">
        <w:rPr>
          <w:rFonts w:cs="Arial"/>
          <w:szCs w:val="24"/>
          <w:lang w:val="en-GB"/>
        </w:rPr>
        <w:t xml:space="preserve"> witness. Where he had made mistakes, he admitted to doing so </w:t>
      </w:r>
      <w:r w:rsidR="005A3F10" w:rsidRPr="00853C6C">
        <w:rPr>
          <w:rFonts w:cs="Arial"/>
          <w:szCs w:val="24"/>
          <w:lang w:val="en-GB"/>
        </w:rPr>
        <w:t xml:space="preserve">and </w:t>
      </w:r>
      <w:r w:rsidR="000128A3" w:rsidRPr="00853C6C">
        <w:rPr>
          <w:rFonts w:cs="Arial"/>
          <w:szCs w:val="24"/>
          <w:lang w:val="en-GB"/>
        </w:rPr>
        <w:t>the</w:t>
      </w:r>
      <w:r w:rsidR="005A3F10" w:rsidRPr="00853C6C">
        <w:rPr>
          <w:rFonts w:cs="Arial"/>
          <w:szCs w:val="24"/>
          <w:lang w:val="en-GB"/>
        </w:rPr>
        <w:t xml:space="preserve"> </w:t>
      </w:r>
      <w:r w:rsidR="000128A3" w:rsidRPr="00853C6C">
        <w:rPr>
          <w:rFonts w:cs="Arial"/>
          <w:szCs w:val="24"/>
          <w:lang w:val="en-GB"/>
        </w:rPr>
        <w:t xml:space="preserve">mistakes were of such a nature that they did not of </w:t>
      </w:r>
      <w:r w:rsidR="003761A4">
        <w:rPr>
          <w:rFonts w:cs="Arial"/>
          <w:szCs w:val="24"/>
          <w:lang w:val="en-GB"/>
        </w:rPr>
        <w:t xml:space="preserve">themselves </w:t>
      </w:r>
      <w:r w:rsidR="000128A3" w:rsidRPr="00853C6C">
        <w:rPr>
          <w:rFonts w:cs="Arial"/>
          <w:szCs w:val="24"/>
          <w:lang w:val="en-GB"/>
        </w:rPr>
        <w:t>render the warning statements inadmissible.</w:t>
      </w:r>
      <w:r w:rsidR="00315712" w:rsidRPr="00853C6C">
        <w:rPr>
          <w:rFonts w:cs="Arial"/>
          <w:szCs w:val="24"/>
          <w:lang w:val="en-GB"/>
        </w:rPr>
        <w:t xml:space="preserve"> </w:t>
      </w:r>
    </w:p>
    <w:p w14:paraId="6C5211CA" w14:textId="26EE5A1C" w:rsidR="000128A3"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53.</w:t>
      </w:r>
      <w:r w:rsidRPr="008F717C">
        <w:rPr>
          <w:rFonts w:cs="Arial"/>
          <w:szCs w:val="24"/>
          <w:lang w:val="en-GB"/>
        </w:rPr>
        <w:tab/>
      </w:r>
      <w:r w:rsidR="000128A3" w:rsidRPr="008F717C">
        <w:rPr>
          <w:lang w:val="en-GB"/>
        </w:rPr>
        <w:t>Mjingana, who has 19 years’ experience as a policeman, was also part of the tracing team and cross-examination centred on his conduct at the time of the tracing operation.  There is no doubt that the tracing operation was conducted in a dangerous place in the dark and that the policemen involved would have been in a heightened state of awareness and under a significant amount of stress.  The cross-examination on behalf of the Accused evidenced a lack of appreciation for this reality. By the same token, there was no credible evidence led</w:t>
      </w:r>
      <w:r w:rsidR="00F526B5" w:rsidRPr="008F717C">
        <w:rPr>
          <w:lang w:val="en-GB"/>
        </w:rPr>
        <w:t>,</w:t>
      </w:r>
      <w:r w:rsidR="000128A3" w:rsidRPr="008F717C">
        <w:rPr>
          <w:lang w:val="en-GB"/>
        </w:rPr>
        <w:t xml:space="preserve"> or elicited</w:t>
      </w:r>
      <w:r w:rsidR="00F526B5" w:rsidRPr="008F717C">
        <w:rPr>
          <w:lang w:val="en-GB"/>
        </w:rPr>
        <w:t>,</w:t>
      </w:r>
      <w:r w:rsidR="000128A3" w:rsidRPr="008F717C">
        <w:rPr>
          <w:lang w:val="en-GB"/>
        </w:rPr>
        <w:t xml:space="preserve"> that the conduct of the police at the tracing operation was such that it rendered inadmissible the warning statements that were taken subsequently.</w:t>
      </w:r>
    </w:p>
    <w:p w14:paraId="590D7328" w14:textId="6039DD5E" w:rsidR="00B61181" w:rsidRPr="00CD10F5" w:rsidRDefault="000541C6" w:rsidP="000541C6">
      <w:pPr>
        <w:pStyle w:val="Level1"/>
        <w:numPr>
          <w:ilvl w:val="0"/>
          <w:numId w:val="0"/>
        </w:numPr>
        <w:ind w:left="851" w:hanging="851"/>
        <w:rPr>
          <w:rFonts w:cs="Arial"/>
          <w:i/>
          <w:iCs/>
          <w:szCs w:val="24"/>
          <w:lang w:val="en-GB"/>
        </w:rPr>
      </w:pPr>
      <w:r w:rsidRPr="00CD10F5">
        <w:rPr>
          <w:rFonts w:cs="Arial"/>
          <w:i/>
          <w:iCs/>
          <w:szCs w:val="24"/>
          <w:lang w:val="en-GB"/>
        </w:rPr>
        <w:t>54.</w:t>
      </w:r>
      <w:r w:rsidRPr="00CD10F5">
        <w:rPr>
          <w:rFonts w:cs="Arial"/>
          <w:i/>
          <w:iCs/>
          <w:szCs w:val="24"/>
          <w:lang w:val="en-GB"/>
        </w:rPr>
        <w:tab/>
      </w:r>
      <w:r w:rsidR="00B61181" w:rsidRPr="00CD10F5">
        <w:rPr>
          <w:rFonts w:cs="Arial"/>
          <w:szCs w:val="24"/>
          <w:lang w:val="en-GB"/>
        </w:rPr>
        <w:t xml:space="preserve">Kriegler J, in </w:t>
      </w:r>
      <w:r w:rsidR="00B61181" w:rsidRPr="00CD10F5">
        <w:rPr>
          <w:rFonts w:cs="Arial"/>
          <w:b/>
          <w:bCs/>
          <w:szCs w:val="24"/>
          <w:u w:val="single"/>
          <w:lang w:val="en-GB"/>
        </w:rPr>
        <w:t>Key v Attorney-General, Cape Province Division and Another</w:t>
      </w:r>
      <w:r w:rsidR="00B61181" w:rsidRPr="008F717C">
        <w:rPr>
          <w:rStyle w:val="FootnoteReference"/>
          <w:rFonts w:cs="Arial"/>
          <w:szCs w:val="24"/>
          <w:lang w:val="en-GB"/>
        </w:rPr>
        <w:footnoteReference w:id="15"/>
      </w:r>
      <w:r w:rsidR="00B61181" w:rsidRPr="00CD10F5">
        <w:rPr>
          <w:rFonts w:cs="Arial"/>
          <w:szCs w:val="24"/>
          <w:lang w:val="en-GB"/>
        </w:rPr>
        <w:t xml:space="preserve"> held that </w:t>
      </w:r>
      <w:r w:rsidR="00B61181" w:rsidRPr="00CD10F5">
        <w:rPr>
          <w:rFonts w:cs="Arial"/>
          <w:i/>
          <w:iCs/>
          <w:szCs w:val="24"/>
          <w:lang w:val="en-GB"/>
        </w:rPr>
        <w:t xml:space="preserve">“In any democratic criminal justice system there is a tension between, on the one hand, the public interest in bringing criminals to book and, on the other, the equally great public interest in ensuring that justice is manifestly done to all, even those suspected of conduct which would put them beyond the pale.  To be sure, a prominent feature of that tension is the </w:t>
      </w:r>
      <w:r w:rsidR="00B61181" w:rsidRPr="00CD10F5">
        <w:rPr>
          <w:rFonts w:cs="Arial"/>
          <w:i/>
          <w:iCs/>
          <w:szCs w:val="24"/>
          <w:lang w:val="en-GB"/>
        </w:rPr>
        <w:lastRenderedPageBreak/>
        <w:t>universal and unceasing endeavour by international human rights bodies, enlightened legislatures and courts to prevent or curtail excessive zeal by state agencies in the prevention, investigation or prosecution of crime.  But none of that means sympathy for crime and its perpetrators.  Nor does it mean a predilection for technical niceties and ingenious legal stratagems.  What the constitution demands is that the accused be given a fair trial.  Ultimately, as was held in Ferreira v Levin, fairness is an issue which has to be decided upon the facts of each case, and the trial Judge is the person best placed to take that decision.  At times fairness might require that evidence unconstitutionally obtained be excluded.  But there will also be times when fairness will require that evidence, albeit obtained unconstitutionally, nevertheless be admitted.”</w:t>
      </w:r>
      <w:r w:rsidR="00CD10F5" w:rsidRPr="00CD10F5">
        <w:rPr>
          <w:rFonts w:cs="Arial"/>
          <w:i/>
          <w:iCs/>
          <w:szCs w:val="24"/>
          <w:lang w:val="en-GB"/>
        </w:rPr>
        <w:t xml:space="preserve"> </w:t>
      </w:r>
      <w:r w:rsidR="00B61181" w:rsidRPr="00CD10F5">
        <w:rPr>
          <w:rFonts w:cs="Arial"/>
          <w:szCs w:val="24"/>
          <w:lang w:val="en-GB"/>
        </w:rPr>
        <w:t xml:space="preserve">Similarly, in </w:t>
      </w:r>
      <w:r w:rsidR="00B61181" w:rsidRPr="00CD10F5">
        <w:rPr>
          <w:rFonts w:cs="Arial"/>
          <w:b/>
          <w:bCs/>
          <w:szCs w:val="24"/>
          <w:u w:val="single"/>
          <w:lang w:val="en-GB"/>
        </w:rPr>
        <w:t>S v De Vries &amp; Others</w:t>
      </w:r>
      <w:r w:rsidR="00B61181" w:rsidRPr="008F717C">
        <w:rPr>
          <w:rStyle w:val="FootnoteReference"/>
          <w:rFonts w:cs="Arial"/>
          <w:szCs w:val="24"/>
          <w:lang w:val="en-GB"/>
        </w:rPr>
        <w:footnoteReference w:id="16"/>
      </w:r>
      <w:r w:rsidR="00B61181" w:rsidRPr="00CD10F5">
        <w:rPr>
          <w:rFonts w:cs="Arial"/>
          <w:szCs w:val="24"/>
          <w:lang w:val="en-GB"/>
        </w:rPr>
        <w:t xml:space="preserve"> Bozalek J held that</w:t>
      </w:r>
      <w:r w:rsidR="00CD10F5" w:rsidRPr="00CD10F5">
        <w:rPr>
          <w:rFonts w:cs="Arial"/>
          <w:szCs w:val="24"/>
          <w:lang w:val="en-GB"/>
        </w:rPr>
        <w:t xml:space="preserve"> </w:t>
      </w:r>
      <w:r w:rsidR="00B61181" w:rsidRPr="00CD10F5">
        <w:rPr>
          <w:i/>
          <w:iCs/>
          <w:lang w:val="en-GB"/>
        </w:rPr>
        <w:t>“I am of the view that should the evidence seized be held inadmissible by virtue of this technical defect, the accused will gain an unjustified advantage in the trial and the administration of justice will be brough into disrepute in the eyes of reasonable members of the public in our society.”</w:t>
      </w:r>
    </w:p>
    <w:p w14:paraId="7EBFA8F0" w14:textId="1E0C7D91" w:rsidR="000128A3" w:rsidRPr="008F717C" w:rsidRDefault="000541C6" w:rsidP="000541C6">
      <w:pPr>
        <w:pStyle w:val="Level1"/>
        <w:numPr>
          <w:ilvl w:val="0"/>
          <w:numId w:val="0"/>
        </w:numPr>
        <w:ind w:left="851" w:hanging="851"/>
        <w:rPr>
          <w:rFonts w:cs="Arial"/>
          <w:szCs w:val="24"/>
          <w:lang w:val="en-GB"/>
        </w:rPr>
      </w:pPr>
      <w:r w:rsidRPr="008F717C">
        <w:rPr>
          <w:rFonts w:cs="Arial"/>
          <w:szCs w:val="24"/>
          <w:lang w:val="en-GB"/>
        </w:rPr>
        <w:t>55.</w:t>
      </w:r>
      <w:r w:rsidRPr="008F717C">
        <w:rPr>
          <w:rFonts w:cs="Arial"/>
          <w:szCs w:val="24"/>
          <w:lang w:val="en-GB"/>
        </w:rPr>
        <w:tab/>
      </w:r>
      <w:r w:rsidR="000128A3" w:rsidRPr="008F717C">
        <w:rPr>
          <w:lang w:val="en-GB"/>
        </w:rPr>
        <w:t xml:space="preserve">In the final analysis, the State proved beyond reasonable doubt that </w:t>
      </w:r>
      <w:r w:rsidR="003F56D6" w:rsidRPr="008F717C">
        <w:rPr>
          <w:lang w:val="en-GB"/>
        </w:rPr>
        <w:t xml:space="preserve">the warning statements were taken freely and voluntarily without the violation of the Accused’s constitutional rights.  The </w:t>
      </w:r>
      <w:r w:rsidR="001A602A">
        <w:rPr>
          <w:lang w:val="en-GB"/>
        </w:rPr>
        <w:t>versions of the</w:t>
      </w:r>
      <w:r w:rsidR="003F56D6" w:rsidRPr="008F717C">
        <w:rPr>
          <w:lang w:val="en-GB"/>
        </w:rPr>
        <w:t xml:space="preserve"> Accused that they were assaulted, intimidated, slapped, that their handcuffs were too tight, that Mbana w</w:t>
      </w:r>
      <w:r w:rsidR="007B5212">
        <w:rPr>
          <w:lang w:val="en-GB"/>
        </w:rPr>
        <w:t>as</w:t>
      </w:r>
      <w:r w:rsidR="003F56D6" w:rsidRPr="008F717C">
        <w:rPr>
          <w:lang w:val="en-GB"/>
        </w:rPr>
        <w:t xml:space="preserve"> strangled with the laces of his hoodie, that they were threatened with long terms of imprisonment if they did not sign the warning statements and that they were not informed of their constitutional rights</w:t>
      </w:r>
      <w:r w:rsidR="00F526B5" w:rsidRPr="008F717C">
        <w:rPr>
          <w:lang w:val="en-GB"/>
        </w:rPr>
        <w:t xml:space="preserve">, on the basis of </w:t>
      </w:r>
      <w:r w:rsidR="00F526B5" w:rsidRPr="008F717C">
        <w:rPr>
          <w:lang w:val="en-GB"/>
        </w:rPr>
        <w:lastRenderedPageBreak/>
        <w:t>the inherent probabilities</w:t>
      </w:r>
      <w:r w:rsidR="001A602A">
        <w:rPr>
          <w:lang w:val="en-GB"/>
        </w:rPr>
        <w:t>,</w:t>
      </w:r>
      <w:r w:rsidR="00F526B5" w:rsidRPr="008F717C">
        <w:rPr>
          <w:lang w:val="en-GB"/>
        </w:rPr>
        <w:t xml:space="preserve"> were so improbable that they c</w:t>
      </w:r>
      <w:r w:rsidR="00CD10F5">
        <w:rPr>
          <w:lang w:val="en-GB"/>
        </w:rPr>
        <w:t>ould not</w:t>
      </w:r>
      <w:r w:rsidR="00F526B5" w:rsidRPr="008F717C">
        <w:rPr>
          <w:lang w:val="en-GB"/>
        </w:rPr>
        <w:t xml:space="preserve"> be considered reasonably possibly true.</w:t>
      </w:r>
    </w:p>
    <w:p w14:paraId="76AF82A3" w14:textId="4F0C1849" w:rsidR="007B3C1E" w:rsidRDefault="000541C6" w:rsidP="000541C6">
      <w:pPr>
        <w:pStyle w:val="Level1"/>
        <w:numPr>
          <w:ilvl w:val="0"/>
          <w:numId w:val="0"/>
        </w:numPr>
        <w:ind w:left="851" w:hanging="851"/>
        <w:rPr>
          <w:lang w:val="en-GB"/>
        </w:rPr>
      </w:pPr>
      <w:r>
        <w:rPr>
          <w:lang w:val="en-GB"/>
        </w:rPr>
        <w:t>56.</w:t>
      </w:r>
      <w:r>
        <w:rPr>
          <w:lang w:val="en-GB"/>
        </w:rPr>
        <w:tab/>
      </w:r>
      <w:r w:rsidR="00BD5F3E" w:rsidRPr="00FF74B5">
        <w:rPr>
          <w:lang w:val="en-GB"/>
        </w:rPr>
        <w:t xml:space="preserve">With the </w:t>
      </w:r>
      <w:r w:rsidR="00401067" w:rsidRPr="00FF74B5">
        <w:rPr>
          <w:lang w:val="en-GB"/>
        </w:rPr>
        <w:t>warning statements</w:t>
      </w:r>
      <w:r w:rsidR="00BD5F3E" w:rsidRPr="00FF74B5">
        <w:rPr>
          <w:lang w:val="en-GB"/>
        </w:rPr>
        <w:t xml:space="preserve"> </w:t>
      </w:r>
      <w:r w:rsidR="00401067" w:rsidRPr="00FF74B5">
        <w:rPr>
          <w:lang w:val="en-GB"/>
        </w:rPr>
        <w:t>admitted,</w:t>
      </w:r>
      <w:r w:rsidR="00BD5F3E" w:rsidRPr="00FF74B5">
        <w:rPr>
          <w:lang w:val="en-GB"/>
        </w:rPr>
        <w:t xml:space="preserve"> </w:t>
      </w:r>
      <w:r w:rsidR="006F5372">
        <w:rPr>
          <w:lang w:val="en-GB"/>
        </w:rPr>
        <w:t xml:space="preserve">what remains is to </w:t>
      </w:r>
      <w:r w:rsidR="00B8100E">
        <w:rPr>
          <w:lang w:val="en-GB"/>
        </w:rPr>
        <w:t xml:space="preserve">be </w:t>
      </w:r>
      <w:r w:rsidR="005158E4" w:rsidRPr="00FF74B5">
        <w:rPr>
          <w:lang w:val="en-GB"/>
        </w:rPr>
        <w:t>determine</w:t>
      </w:r>
      <w:r w:rsidR="00B8100E">
        <w:rPr>
          <w:lang w:val="en-GB"/>
        </w:rPr>
        <w:t xml:space="preserve">d is </w:t>
      </w:r>
      <w:r w:rsidR="005158E4" w:rsidRPr="00FF74B5">
        <w:rPr>
          <w:lang w:val="en-GB"/>
        </w:rPr>
        <w:t xml:space="preserve"> their probative value and here</w:t>
      </w:r>
      <w:r w:rsidR="00A716F4" w:rsidRPr="00FF74B5">
        <w:rPr>
          <w:lang w:val="en-GB"/>
        </w:rPr>
        <w:t>, in my view, they suffer</w:t>
      </w:r>
      <w:r w:rsidR="005158E4" w:rsidRPr="00FF74B5">
        <w:rPr>
          <w:lang w:val="en-GB"/>
        </w:rPr>
        <w:t xml:space="preserve"> the same fate as the </w:t>
      </w:r>
      <w:r w:rsidR="008104F1" w:rsidRPr="00FF74B5">
        <w:rPr>
          <w:lang w:val="en-GB"/>
        </w:rPr>
        <w:t>witness statements already discussed</w:t>
      </w:r>
      <w:r w:rsidR="005158E4" w:rsidRPr="00FF74B5">
        <w:rPr>
          <w:lang w:val="en-GB"/>
        </w:rPr>
        <w:t xml:space="preserve">. </w:t>
      </w:r>
      <w:r w:rsidR="003F56D6" w:rsidRPr="00FF74B5">
        <w:rPr>
          <w:lang w:val="en-GB"/>
        </w:rPr>
        <w:t xml:space="preserve">Mbana, Manana and Mkunyanya all made their warning statements in isiXhosa. </w:t>
      </w:r>
      <w:r w:rsidR="008104F1" w:rsidRPr="00FF74B5">
        <w:rPr>
          <w:lang w:val="en-GB"/>
        </w:rPr>
        <w:t>T</w:t>
      </w:r>
      <w:r w:rsidR="003F56D6" w:rsidRPr="00FF74B5">
        <w:rPr>
          <w:lang w:val="en-GB"/>
        </w:rPr>
        <w:t xml:space="preserve">he policemen taking down these statements then translated what </w:t>
      </w:r>
      <w:r w:rsidR="007F37C2" w:rsidRPr="00FF74B5">
        <w:rPr>
          <w:lang w:val="en-GB"/>
        </w:rPr>
        <w:t>t</w:t>
      </w:r>
      <w:r w:rsidR="003F56D6" w:rsidRPr="00FF74B5">
        <w:rPr>
          <w:lang w:val="en-GB"/>
        </w:rPr>
        <w:t>he</w:t>
      </w:r>
      <w:r w:rsidR="007F37C2" w:rsidRPr="00FF74B5">
        <w:rPr>
          <w:lang w:val="en-GB"/>
        </w:rPr>
        <w:t>y</w:t>
      </w:r>
      <w:r w:rsidR="003F56D6" w:rsidRPr="00FF74B5">
        <w:rPr>
          <w:lang w:val="en-GB"/>
        </w:rPr>
        <w:t xml:space="preserve"> heard</w:t>
      </w:r>
      <w:r w:rsidR="007F37C2" w:rsidRPr="00FF74B5">
        <w:rPr>
          <w:lang w:val="en-GB"/>
        </w:rPr>
        <w:t>,</w:t>
      </w:r>
      <w:r w:rsidR="003F56D6" w:rsidRPr="00FF74B5">
        <w:rPr>
          <w:lang w:val="en-GB"/>
        </w:rPr>
        <w:t xml:space="preserve"> in real time</w:t>
      </w:r>
      <w:r w:rsidR="007F37C2" w:rsidRPr="00FF74B5">
        <w:rPr>
          <w:lang w:val="en-GB"/>
        </w:rPr>
        <w:t>,</w:t>
      </w:r>
      <w:r w:rsidR="003F56D6" w:rsidRPr="00FF74B5">
        <w:rPr>
          <w:lang w:val="en-GB"/>
        </w:rPr>
        <w:t xml:space="preserve"> and wrote down the statement</w:t>
      </w:r>
      <w:r w:rsidR="00B8100E">
        <w:rPr>
          <w:lang w:val="en-GB"/>
        </w:rPr>
        <w:t>s</w:t>
      </w:r>
      <w:r w:rsidR="003F56D6" w:rsidRPr="00FF74B5">
        <w:rPr>
          <w:lang w:val="en-GB"/>
        </w:rPr>
        <w:t xml:space="preserve"> in English.</w:t>
      </w:r>
      <w:r w:rsidR="00AA03D8" w:rsidRPr="00FF74B5">
        <w:rPr>
          <w:lang w:val="en-GB"/>
        </w:rPr>
        <w:t xml:space="preserve"> </w:t>
      </w:r>
      <w:r w:rsidR="00294655" w:rsidRPr="00FF74B5">
        <w:rPr>
          <w:lang w:val="en-GB"/>
        </w:rPr>
        <w:t xml:space="preserve">The </w:t>
      </w:r>
      <w:r w:rsidR="00EE27CC" w:rsidRPr="00FF74B5">
        <w:rPr>
          <w:lang w:val="en-GB"/>
        </w:rPr>
        <w:t>nexus between what was said by the Accused when they made their warning statements and what was written down</w:t>
      </w:r>
      <w:r w:rsidR="009E5C23" w:rsidRPr="00FF74B5">
        <w:rPr>
          <w:lang w:val="en-GB"/>
        </w:rPr>
        <w:t xml:space="preserve"> was thus ruptured. </w:t>
      </w:r>
      <w:r w:rsidR="00EE27CC" w:rsidRPr="00FF74B5">
        <w:rPr>
          <w:lang w:val="en-GB"/>
        </w:rPr>
        <w:t xml:space="preserve">The Accused do not understand English sufficiently, and hence they would not have been able to determine whether the translation of the person taking down the statement was correct or not, </w:t>
      </w:r>
      <w:r w:rsidR="00B136E1">
        <w:rPr>
          <w:lang w:val="en-GB"/>
        </w:rPr>
        <w:t xml:space="preserve">irrespective of whether </w:t>
      </w:r>
      <w:r w:rsidR="00EE27CC" w:rsidRPr="00FF74B5">
        <w:rPr>
          <w:lang w:val="en-GB"/>
        </w:rPr>
        <w:t>they were given the statement to read</w:t>
      </w:r>
      <w:r w:rsidR="001A7771">
        <w:rPr>
          <w:lang w:val="en-GB"/>
        </w:rPr>
        <w:t>,</w:t>
      </w:r>
      <w:r w:rsidR="00EE27CC" w:rsidRPr="00FF74B5">
        <w:rPr>
          <w:lang w:val="en-GB"/>
        </w:rPr>
        <w:t xml:space="preserve"> or it was read back to them.</w:t>
      </w:r>
      <w:r w:rsidR="00B91366" w:rsidRPr="00FF74B5">
        <w:rPr>
          <w:lang w:val="en-GB"/>
        </w:rPr>
        <w:t xml:space="preserve"> </w:t>
      </w:r>
      <w:r w:rsidR="00EE27CC" w:rsidRPr="00FF74B5">
        <w:rPr>
          <w:lang w:val="en-GB"/>
        </w:rPr>
        <w:t xml:space="preserve">So, while I </w:t>
      </w:r>
      <w:r w:rsidR="00663C52" w:rsidRPr="00FF74B5">
        <w:rPr>
          <w:lang w:val="en-GB"/>
        </w:rPr>
        <w:t xml:space="preserve">found </w:t>
      </w:r>
      <w:r w:rsidR="00EE27CC" w:rsidRPr="00FF74B5">
        <w:rPr>
          <w:lang w:val="en-GB"/>
        </w:rPr>
        <w:t>that</w:t>
      </w:r>
      <w:r w:rsidR="00B91366" w:rsidRPr="00FF74B5">
        <w:rPr>
          <w:lang w:val="en-GB"/>
        </w:rPr>
        <w:t xml:space="preserve"> </w:t>
      </w:r>
      <w:r w:rsidR="00CC70B8" w:rsidRPr="00FF74B5">
        <w:rPr>
          <w:lang w:val="en-GB"/>
        </w:rPr>
        <w:t>the warning statements</w:t>
      </w:r>
      <w:r w:rsidR="001E4780" w:rsidRPr="00FF74B5">
        <w:rPr>
          <w:lang w:val="en-GB"/>
        </w:rPr>
        <w:t xml:space="preserve"> were </w:t>
      </w:r>
      <w:r w:rsidR="00EE27CC" w:rsidRPr="00FF74B5">
        <w:rPr>
          <w:lang w:val="en-GB"/>
        </w:rPr>
        <w:t>taken down voluntarily and the constitutional rights of the Accused were honoured,</w:t>
      </w:r>
      <w:r w:rsidR="00246201" w:rsidRPr="00FF74B5">
        <w:rPr>
          <w:lang w:val="en-GB"/>
        </w:rPr>
        <w:t xml:space="preserve"> I </w:t>
      </w:r>
      <w:r w:rsidR="00561B70">
        <w:rPr>
          <w:lang w:val="en-GB"/>
        </w:rPr>
        <w:t xml:space="preserve">my view they are </w:t>
      </w:r>
      <w:r w:rsidR="006862AC" w:rsidRPr="00FF74B5">
        <w:rPr>
          <w:lang w:val="en-GB"/>
        </w:rPr>
        <w:t xml:space="preserve">too unreliable </w:t>
      </w:r>
      <w:r w:rsidR="00246201" w:rsidRPr="00FF74B5">
        <w:rPr>
          <w:lang w:val="en-GB"/>
        </w:rPr>
        <w:t xml:space="preserve">to </w:t>
      </w:r>
      <w:r w:rsidR="006862AC" w:rsidRPr="00FF74B5">
        <w:rPr>
          <w:lang w:val="en-GB"/>
        </w:rPr>
        <w:t xml:space="preserve">have </w:t>
      </w:r>
      <w:r w:rsidR="00EE27CC" w:rsidRPr="00FF74B5">
        <w:rPr>
          <w:lang w:val="en-GB"/>
        </w:rPr>
        <w:t>probative value</w:t>
      </w:r>
      <w:r w:rsidR="006862AC" w:rsidRPr="00FF74B5">
        <w:rPr>
          <w:lang w:val="en-GB"/>
        </w:rPr>
        <w:t xml:space="preserve">. </w:t>
      </w:r>
      <w:r w:rsidR="00EA5A41" w:rsidRPr="00FF74B5">
        <w:rPr>
          <w:lang w:val="en-GB"/>
        </w:rPr>
        <w:t xml:space="preserve">As mentioned above, </w:t>
      </w:r>
      <w:r w:rsidR="00561B70">
        <w:rPr>
          <w:lang w:val="en-GB"/>
        </w:rPr>
        <w:t xml:space="preserve">I hold the view that </w:t>
      </w:r>
      <w:r w:rsidR="00EA5A41" w:rsidRPr="00FF74B5">
        <w:rPr>
          <w:lang w:val="en-GB"/>
        </w:rPr>
        <w:t>t</w:t>
      </w:r>
      <w:r w:rsidR="00EE27CC" w:rsidRPr="00FF74B5">
        <w:rPr>
          <w:lang w:val="en-GB"/>
        </w:rPr>
        <w:t>his is not something that</w:t>
      </w:r>
      <w:r w:rsidR="00EA5A41" w:rsidRPr="00FF74B5">
        <w:rPr>
          <w:lang w:val="en-GB"/>
        </w:rPr>
        <w:t xml:space="preserve"> is capable of being</w:t>
      </w:r>
      <w:r w:rsidR="00EE27CC" w:rsidRPr="00FF74B5">
        <w:rPr>
          <w:lang w:val="en-GB"/>
        </w:rPr>
        <w:t xml:space="preserve"> remedied at a later stage, for example, during</w:t>
      </w:r>
      <w:r w:rsidR="007B3C1E" w:rsidRPr="00FF74B5">
        <w:rPr>
          <w:lang w:val="en-GB"/>
        </w:rPr>
        <w:t xml:space="preserve"> a trial</w:t>
      </w:r>
      <w:r w:rsidR="00E55BFA" w:rsidRPr="00FF74B5">
        <w:rPr>
          <w:lang w:val="en-GB"/>
        </w:rPr>
        <w:t xml:space="preserve"> without having the benefit of </w:t>
      </w:r>
      <w:r w:rsidR="00794D18" w:rsidRPr="00FF74B5">
        <w:rPr>
          <w:lang w:val="en-GB"/>
        </w:rPr>
        <w:t xml:space="preserve">an audio or written record of what was said, in </w:t>
      </w:r>
      <w:r w:rsidR="00B57970" w:rsidRPr="00FF74B5">
        <w:rPr>
          <w:lang w:val="en-GB"/>
        </w:rPr>
        <w:t xml:space="preserve">the language used by the Accused. </w:t>
      </w:r>
      <w:r w:rsidR="007B3C1E" w:rsidRPr="00FF74B5">
        <w:rPr>
          <w:lang w:val="en-GB"/>
        </w:rPr>
        <w:t xml:space="preserve">The value of the warning statement </w:t>
      </w:r>
      <w:r w:rsidR="00764B53" w:rsidRPr="00FF74B5">
        <w:rPr>
          <w:lang w:val="en-GB"/>
        </w:rPr>
        <w:t>is that it records</w:t>
      </w:r>
      <w:r w:rsidR="00223BAD" w:rsidRPr="00FF74B5">
        <w:rPr>
          <w:lang w:val="en-GB"/>
        </w:rPr>
        <w:t xml:space="preserve"> what</w:t>
      </w:r>
      <w:r w:rsidR="007B3C1E" w:rsidRPr="00FF74B5">
        <w:rPr>
          <w:lang w:val="en-GB"/>
        </w:rPr>
        <w:t xml:space="preserve"> was </w:t>
      </w:r>
      <w:r w:rsidR="00707DB6">
        <w:rPr>
          <w:lang w:val="en-GB"/>
        </w:rPr>
        <w:t xml:space="preserve">actually </w:t>
      </w:r>
      <w:r w:rsidR="00B57970" w:rsidRPr="00FF74B5">
        <w:rPr>
          <w:lang w:val="en-GB"/>
        </w:rPr>
        <w:t>said</w:t>
      </w:r>
      <w:r w:rsidR="00223BAD" w:rsidRPr="00FF74B5">
        <w:rPr>
          <w:lang w:val="en-GB"/>
        </w:rPr>
        <w:t xml:space="preserve"> and written down</w:t>
      </w:r>
      <w:r w:rsidR="00B57970" w:rsidRPr="00FF74B5">
        <w:rPr>
          <w:lang w:val="en-GB"/>
        </w:rPr>
        <w:t xml:space="preserve"> </w:t>
      </w:r>
      <w:r w:rsidR="007B3C1E" w:rsidRPr="00FF74B5">
        <w:rPr>
          <w:lang w:val="en-GB"/>
        </w:rPr>
        <w:t>at a particular time</w:t>
      </w:r>
      <w:r w:rsidR="00707DB6">
        <w:rPr>
          <w:lang w:val="en-GB"/>
        </w:rPr>
        <w:t>, not the interpretation o</w:t>
      </w:r>
      <w:r w:rsidR="00561B70">
        <w:rPr>
          <w:lang w:val="en-GB"/>
        </w:rPr>
        <w:t xml:space="preserve">r </w:t>
      </w:r>
      <w:r w:rsidR="00707DB6">
        <w:rPr>
          <w:lang w:val="en-GB"/>
        </w:rPr>
        <w:t xml:space="preserve">recollection of the Accused </w:t>
      </w:r>
      <w:r w:rsidR="00561B70">
        <w:rPr>
          <w:lang w:val="en-GB"/>
        </w:rPr>
        <w:t>or the</w:t>
      </w:r>
      <w:r w:rsidR="00707DB6">
        <w:rPr>
          <w:lang w:val="en-GB"/>
        </w:rPr>
        <w:t xml:space="preserve"> </w:t>
      </w:r>
      <w:r w:rsidR="00D66EDC">
        <w:rPr>
          <w:lang w:val="en-GB"/>
        </w:rPr>
        <w:t>policem</w:t>
      </w:r>
      <w:r w:rsidR="00561B70">
        <w:rPr>
          <w:lang w:val="en-GB"/>
        </w:rPr>
        <w:t>an who took down the statement.</w:t>
      </w:r>
      <w:r w:rsidR="00D66EDC">
        <w:rPr>
          <w:lang w:val="en-GB"/>
        </w:rPr>
        <w:t xml:space="preserve"> </w:t>
      </w:r>
      <w:r w:rsidR="00C153F1" w:rsidRPr="00FF74B5">
        <w:rPr>
          <w:lang w:val="en-GB"/>
        </w:rPr>
        <w:t xml:space="preserve">It is unfortunate that </w:t>
      </w:r>
      <w:r w:rsidR="007B3C1E" w:rsidRPr="00FF74B5">
        <w:rPr>
          <w:lang w:val="en-GB"/>
        </w:rPr>
        <w:t>the Court does not have the benefit of</w:t>
      </w:r>
      <w:r w:rsidR="00C153F1" w:rsidRPr="00FF74B5">
        <w:rPr>
          <w:lang w:val="en-GB"/>
        </w:rPr>
        <w:t xml:space="preserve"> the</w:t>
      </w:r>
      <w:r w:rsidR="00D66EDC">
        <w:rPr>
          <w:lang w:val="en-GB"/>
        </w:rPr>
        <w:t>se</w:t>
      </w:r>
      <w:r w:rsidR="00FF74B5">
        <w:rPr>
          <w:lang w:val="en-GB"/>
        </w:rPr>
        <w:t xml:space="preserve"> </w:t>
      </w:r>
      <w:r w:rsidR="0062051E">
        <w:rPr>
          <w:lang w:val="en-GB"/>
        </w:rPr>
        <w:t xml:space="preserve">warning </w:t>
      </w:r>
      <w:r w:rsidR="007B3C1E" w:rsidRPr="00FF74B5">
        <w:rPr>
          <w:lang w:val="en-GB"/>
        </w:rPr>
        <w:t xml:space="preserve">statements made shortly after the event when things </w:t>
      </w:r>
      <w:r w:rsidR="00D66EDC">
        <w:rPr>
          <w:lang w:val="en-GB"/>
        </w:rPr>
        <w:t>were</w:t>
      </w:r>
      <w:r w:rsidR="007B3C1E" w:rsidRPr="00FF74B5">
        <w:rPr>
          <w:lang w:val="en-GB"/>
        </w:rPr>
        <w:t xml:space="preserve"> fresh in the minds of th</w:t>
      </w:r>
      <w:r w:rsidR="00D66EDC">
        <w:rPr>
          <w:lang w:val="en-GB"/>
        </w:rPr>
        <w:t>e Accused</w:t>
      </w:r>
      <w:r w:rsidR="00045109">
        <w:rPr>
          <w:lang w:val="en-GB"/>
        </w:rPr>
        <w:t xml:space="preserve">, perhaps before </w:t>
      </w:r>
      <w:r w:rsidR="007B3C1E" w:rsidRPr="00FF74B5">
        <w:rPr>
          <w:lang w:val="en-GB"/>
        </w:rPr>
        <w:t>opportunities to</w:t>
      </w:r>
      <w:r w:rsidR="00045109">
        <w:rPr>
          <w:lang w:val="en-GB"/>
        </w:rPr>
        <w:t xml:space="preserve"> distort the truth had </w:t>
      </w:r>
      <w:r w:rsidR="007B3C1E" w:rsidRPr="00FF74B5">
        <w:rPr>
          <w:lang w:val="en-GB"/>
        </w:rPr>
        <w:t>presented themselves.</w:t>
      </w:r>
    </w:p>
    <w:p w14:paraId="4F30DEC6" w14:textId="7F96962C" w:rsidR="003C49D2" w:rsidRPr="008F717C" w:rsidRDefault="000541C6" w:rsidP="000541C6">
      <w:pPr>
        <w:pStyle w:val="Heading1"/>
        <w:numPr>
          <w:ilvl w:val="0"/>
          <w:numId w:val="0"/>
        </w:numPr>
        <w:ind w:left="851" w:hanging="851"/>
        <w:rPr>
          <w:szCs w:val="24"/>
          <w:lang w:val="en-GB"/>
        </w:rPr>
      </w:pPr>
      <w:r w:rsidRPr="008F717C">
        <w:rPr>
          <w:szCs w:val="24"/>
          <w:lang w:val="en-GB"/>
        </w:rPr>
        <w:lastRenderedPageBreak/>
        <w:t>E.</w:t>
      </w:r>
      <w:r w:rsidRPr="008F717C">
        <w:rPr>
          <w:szCs w:val="24"/>
          <w:lang w:val="en-GB"/>
        </w:rPr>
        <w:tab/>
      </w:r>
      <w:r w:rsidR="00D00CC5">
        <w:rPr>
          <w:szCs w:val="24"/>
          <w:lang w:val="en-GB"/>
        </w:rPr>
        <w:t>The test</w:t>
      </w:r>
      <w:r w:rsidR="0009752B">
        <w:rPr>
          <w:szCs w:val="24"/>
          <w:lang w:val="en-GB"/>
        </w:rPr>
        <w:t>i</w:t>
      </w:r>
      <w:r w:rsidR="00D00CC5">
        <w:rPr>
          <w:szCs w:val="24"/>
          <w:lang w:val="en-GB"/>
        </w:rPr>
        <w:t>mony of the accused</w:t>
      </w:r>
    </w:p>
    <w:p w14:paraId="1BBE54D8" w14:textId="5A6F6C32" w:rsidR="00A85DA4" w:rsidRPr="00124EBF" w:rsidRDefault="000541C6" w:rsidP="000541C6">
      <w:pPr>
        <w:pStyle w:val="Level1"/>
        <w:numPr>
          <w:ilvl w:val="0"/>
          <w:numId w:val="0"/>
        </w:numPr>
        <w:ind w:left="851" w:hanging="851"/>
        <w:rPr>
          <w:rFonts w:cs="Arial"/>
          <w:szCs w:val="24"/>
          <w:lang w:val="en-GB"/>
        </w:rPr>
      </w:pPr>
      <w:r w:rsidRPr="00124EBF">
        <w:rPr>
          <w:rFonts w:cs="Arial"/>
          <w:szCs w:val="24"/>
          <w:lang w:val="en-GB"/>
        </w:rPr>
        <w:t>57.</w:t>
      </w:r>
      <w:r w:rsidRPr="00124EBF">
        <w:rPr>
          <w:rFonts w:cs="Arial"/>
          <w:szCs w:val="24"/>
          <w:lang w:val="en-GB"/>
        </w:rPr>
        <w:tab/>
      </w:r>
      <w:r w:rsidR="00DF63C3" w:rsidRPr="00124EBF">
        <w:rPr>
          <w:lang w:val="en-GB"/>
        </w:rPr>
        <w:t xml:space="preserve">With the </w:t>
      </w:r>
      <w:r w:rsidR="000A3AB7" w:rsidRPr="00124EBF">
        <w:rPr>
          <w:lang w:val="en-GB"/>
        </w:rPr>
        <w:t xml:space="preserve">applications for discharge disposed of, the Accused </w:t>
      </w:r>
      <w:r w:rsidR="005B6A17" w:rsidRPr="00124EBF">
        <w:rPr>
          <w:lang w:val="en-GB"/>
        </w:rPr>
        <w:t xml:space="preserve">had the opportunity to testify. </w:t>
      </w:r>
      <w:r w:rsidR="002F15D4" w:rsidRPr="00124EBF">
        <w:rPr>
          <w:lang w:val="en-GB"/>
        </w:rPr>
        <w:t>Given the finding that none of the statements or warning statements had</w:t>
      </w:r>
      <w:r w:rsidR="00A60ABD" w:rsidRPr="00124EBF">
        <w:rPr>
          <w:lang w:val="en-GB"/>
        </w:rPr>
        <w:t xml:space="preserve"> probative value, the Court </w:t>
      </w:r>
      <w:r w:rsidR="00A30E8D" w:rsidRPr="00124EBF">
        <w:rPr>
          <w:lang w:val="en-GB"/>
        </w:rPr>
        <w:t>was</w:t>
      </w:r>
      <w:r w:rsidR="00A60ABD" w:rsidRPr="00124EBF">
        <w:rPr>
          <w:lang w:val="en-GB"/>
        </w:rPr>
        <w:t xml:space="preserve"> left with the </w:t>
      </w:r>
      <w:r w:rsidR="00A30E8D" w:rsidRPr="00124EBF">
        <w:rPr>
          <w:lang w:val="en-GB"/>
        </w:rPr>
        <w:t xml:space="preserve">oral </w:t>
      </w:r>
      <w:r w:rsidR="00A60ABD" w:rsidRPr="00124EBF">
        <w:rPr>
          <w:lang w:val="en-GB"/>
        </w:rPr>
        <w:t xml:space="preserve">evidence of Williams, Swartbooi and Mrwebi. </w:t>
      </w:r>
      <w:r w:rsidR="00E43146" w:rsidRPr="00124EBF">
        <w:rPr>
          <w:lang w:val="en-GB"/>
        </w:rPr>
        <w:t xml:space="preserve">What follows is essentially a repeat of my assessment of their testimony </w:t>
      </w:r>
      <w:r w:rsidR="00F01108" w:rsidRPr="00124EBF">
        <w:rPr>
          <w:lang w:val="en-GB"/>
        </w:rPr>
        <w:t xml:space="preserve">which appears above. </w:t>
      </w:r>
      <w:r w:rsidR="00A60ABD" w:rsidRPr="00124EBF">
        <w:rPr>
          <w:lang w:val="en-GB"/>
        </w:rPr>
        <w:t>Williams</w:t>
      </w:r>
      <w:r w:rsidR="00632527" w:rsidRPr="00124EBF">
        <w:rPr>
          <w:lang w:val="en-GB"/>
        </w:rPr>
        <w:t xml:space="preserve"> did not implicate any of the accused</w:t>
      </w:r>
      <w:r w:rsidR="00527FCE" w:rsidRPr="00124EBF">
        <w:rPr>
          <w:lang w:val="en-GB"/>
        </w:rPr>
        <w:t>. S</w:t>
      </w:r>
      <w:r w:rsidR="002F15D4" w:rsidRPr="00124EBF">
        <w:rPr>
          <w:lang w:val="en-GB"/>
        </w:rPr>
        <w:t xml:space="preserve">he placed the Accused in the taxi, which in any event they admitted, and </w:t>
      </w:r>
      <w:r w:rsidR="00527FCE" w:rsidRPr="00124EBF">
        <w:rPr>
          <w:lang w:val="en-GB"/>
        </w:rPr>
        <w:t xml:space="preserve">her evidence formed part of the overall narrative as did </w:t>
      </w:r>
      <w:r w:rsidR="004E681B">
        <w:rPr>
          <w:lang w:val="en-GB"/>
        </w:rPr>
        <w:t>the testimony</w:t>
      </w:r>
      <w:r w:rsidR="00527FCE" w:rsidRPr="00124EBF">
        <w:rPr>
          <w:lang w:val="en-GB"/>
        </w:rPr>
        <w:t xml:space="preserve"> of the mothers of </w:t>
      </w:r>
      <w:r w:rsidR="008316B4" w:rsidRPr="00124EBF">
        <w:rPr>
          <w:lang w:val="en-GB"/>
        </w:rPr>
        <w:t xml:space="preserve">Swartbooi, </w:t>
      </w:r>
      <w:r w:rsidR="00527FCE" w:rsidRPr="00124EBF">
        <w:rPr>
          <w:lang w:val="en-GB"/>
        </w:rPr>
        <w:t>Mrwebi</w:t>
      </w:r>
      <w:r w:rsidR="008316B4" w:rsidRPr="00124EBF">
        <w:rPr>
          <w:lang w:val="en-GB"/>
        </w:rPr>
        <w:t xml:space="preserve"> and Pangwa.</w:t>
      </w:r>
      <w:r w:rsidR="00727EE4" w:rsidRPr="00124EBF">
        <w:rPr>
          <w:rFonts w:cs="Arial"/>
          <w:szCs w:val="24"/>
          <w:lang w:val="en-GB"/>
        </w:rPr>
        <w:t xml:space="preserve"> </w:t>
      </w:r>
      <w:r w:rsidR="0016289B" w:rsidRPr="00124EBF">
        <w:rPr>
          <w:rFonts w:cs="Arial"/>
          <w:szCs w:val="24"/>
          <w:lang w:val="en-GB"/>
        </w:rPr>
        <w:t xml:space="preserve">Swartbooi </w:t>
      </w:r>
      <w:r w:rsidR="006C5DFD" w:rsidRPr="00124EBF">
        <w:rPr>
          <w:rFonts w:eastAsiaTheme="minorHAnsi" w:cs="Arial"/>
          <w:bCs/>
          <w:szCs w:val="24"/>
          <w:lang w:val="en-GB"/>
        </w:rPr>
        <w:t>testified that Mtsholotsholo and Siphamandla forced him into the taxi by gunpoint</w:t>
      </w:r>
      <w:r w:rsidR="00AF5785" w:rsidRPr="00124EBF">
        <w:rPr>
          <w:rFonts w:eastAsiaTheme="minorHAnsi" w:cs="Arial"/>
          <w:bCs/>
          <w:szCs w:val="24"/>
          <w:lang w:val="en-GB"/>
        </w:rPr>
        <w:t xml:space="preserve">  but </w:t>
      </w:r>
      <w:r w:rsidR="006C5DFD" w:rsidRPr="00124EBF">
        <w:rPr>
          <w:rFonts w:eastAsiaTheme="minorHAnsi" w:cs="Arial"/>
          <w:bCs/>
          <w:szCs w:val="24"/>
          <w:lang w:val="en-GB"/>
        </w:rPr>
        <w:t>did not implicate any of the Accused in his own kidnapping. He implicated Manana in the kidnapping of Mrwebi and testified to his assault in the taxi, but he could not identify who perpetrated the assault. He implicated Manana in the assault of Mrwebi in Philippi</w:t>
      </w:r>
      <w:r w:rsidR="0016289B" w:rsidRPr="00124EBF">
        <w:rPr>
          <w:rFonts w:eastAsiaTheme="minorHAnsi" w:cs="Arial"/>
          <w:bCs/>
          <w:szCs w:val="24"/>
          <w:lang w:val="en-GB"/>
        </w:rPr>
        <w:t xml:space="preserve"> but only </w:t>
      </w:r>
      <w:r w:rsidR="006C5DFD" w:rsidRPr="00124EBF">
        <w:rPr>
          <w:rFonts w:eastAsiaTheme="minorHAnsi" w:cs="Arial"/>
          <w:bCs/>
          <w:szCs w:val="24"/>
          <w:lang w:val="en-GB"/>
        </w:rPr>
        <w:t xml:space="preserve">in the sense that he helped Msholotsholo pull him out of the taxi. There were also others involved in the assault, but he could not identify them. He implicated Manana in the kidnapping of Pangwa but could not testify to the murder of Pangwa as he was dropped off before that occurred. </w:t>
      </w:r>
      <w:r w:rsidR="00A85DA4" w:rsidRPr="00124EBF">
        <w:rPr>
          <w:rFonts w:cs="Arial"/>
          <w:szCs w:val="24"/>
          <w:lang w:val="en-GB"/>
        </w:rPr>
        <w:t xml:space="preserve">Mrwebi implicated Manana in his kidnapping and placed him in the taxi.  While he testified to being assaulted in the taxi, he could not identify who had done so.  While he recalled that </w:t>
      </w:r>
      <w:r w:rsidR="00A85DA4" w:rsidRPr="00124EBF">
        <w:rPr>
          <w:rFonts w:eastAsiaTheme="minorHAnsi" w:cs="Arial"/>
          <w:bCs/>
          <w:szCs w:val="24"/>
          <w:lang w:val="en-GB"/>
        </w:rPr>
        <w:t>Mtsholotsholo took him out of the taxi and others pushed him from behind, he was not able to identify the other people who assaulted, and left him for dead, in the bushes near Philippi.</w:t>
      </w:r>
      <w:r w:rsidR="00333972">
        <w:rPr>
          <w:rFonts w:eastAsiaTheme="minorHAnsi" w:cs="Arial"/>
          <w:bCs/>
          <w:szCs w:val="24"/>
          <w:lang w:val="en-GB"/>
        </w:rPr>
        <w:t xml:space="preserve"> </w:t>
      </w:r>
      <w:r w:rsidR="003E5801">
        <w:rPr>
          <w:rFonts w:eastAsiaTheme="minorHAnsi" w:cs="Arial"/>
          <w:bCs/>
          <w:szCs w:val="24"/>
          <w:lang w:val="en-GB"/>
        </w:rPr>
        <w:t xml:space="preserve">In my view, it was significant that he was not able to corroborate Swartbooi’s testimony in this respect. </w:t>
      </w:r>
    </w:p>
    <w:p w14:paraId="41CAC30B" w14:textId="594580EA" w:rsidR="00E33AE1" w:rsidRDefault="000541C6" w:rsidP="000541C6">
      <w:pPr>
        <w:pStyle w:val="Level1"/>
        <w:numPr>
          <w:ilvl w:val="0"/>
          <w:numId w:val="0"/>
        </w:numPr>
        <w:ind w:left="851" w:hanging="851"/>
        <w:rPr>
          <w:rFonts w:cs="Arial"/>
          <w:szCs w:val="24"/>
          <w:lang w:val="en-GB"/>
        </w:rPr>
      </w:pPr>
      <w:r>
        <w:rPr>
          <w:rFonts w:cs="Arial"/>
          <w:szCs w:val="24"/>
          <w:lang w:val="en-GB"/>
        </w:rPr>
        <w:lastRenderedPageBreak/>
        <w:t>58.</w:t>
      </w:r>
      <w:r>
        <w:rPr>
          <w:rFonts w:cs="Arial"/>
          <w:szCs w:val="24"/>
          <w:lang w:val="en-GB"/>
        </w:rPr>
        <w:tab/>
      </w:r>
      <w:r w:rsidR="00186867">
        <w:rPr>
          <w:rFonts w:eastAsiaTheme="minorHAnsi" w:cs="Arial"/>
          <w:bCs/>
          <w:szCs w:val="24"/>
          <w:lang w:val="en-GB"/>
        </w:rPr>
        <w:t>Regarding the test to be applied</w:t>
      </w:r>
      <w:r w:rsidR="000556BD">
        <w:rPr>
          <w:rFonts w:eastAsiaTheme="minorHAnsi" w:cs="Arial"/>
          <w:bCs/>
          <w:szCs w:val="24"/>
          <w:lang w:val="en-GB"/>
        </w:rPr>
        <w:t xml:space="preserve"> at this juncture, </w:t>
      </w:r>
      <w:r w:rsidR="00186867">
        <w:rPr>
          <w:rFonts w:eastAsiaTheme="minorHAnsi" w:cs="Arial"/>
          <w:bCs/>
          <w:szCs w:val="24"/>
          <w:lang w:val="en-GB"/>
        </w:rPr>
        <w:t xml:space="preserve">the </w:t>
      </w:r>
      <w:r w:rsidR="000B187F">
        <w:rPr>
          <w:rFonts w:eastAsiaTheme="minorHAnsi" w:cs="Arial"/>
          <w:bCs/>
          <w:szCs w:val="24"/>
          <w:lang w:val="en-GB"/>
        </w:rPr>
        <w:t xml:space="preserve">setting out of Plasket J in </w:t>
      </w:r>
      <w:r w:rsidR="000B187F">
        <w:rPr>
          <w:rFonts w:eastAsiaTheme="minorHAnsi" w:cs="Arial"/>
          <w:b/>
          <w:szCs w:val="24"/>
          <w:u w:val="single"/>
          <w:lang w:val="en-GB"/>
        </w:rPr>
        <w:t>S v Mdiniso</w:t>
      </w:r>
      <w:r w:rsidR="000B187F" w:rsidRPr="00803E98">
        <w:rPr>
          <w:rStyle w:val="FootnoteReference"/>
          <w:rFonts w:eastAsiaTheme="minorHAnsi" w:cs="Arial"/>
          <w:bCs/>
          <w:szCs w:val="24"/>
          <w:lang w:val="en-GB"/>
        </w:rPr>
        <w:footnoteReference w:id="17"/>
      </w:r>
      <w:r w:rsidR="00803E98">
        <w:rPr>
          <w:rFonts w:eastAsiaTheme="minorHAnsi" w:cs="Arial"/>
          <w:b/>
          <w:szCs w:val="24"/>
          <w:u w:val="single"/>
          <w:lang w:val="en-GB"/>
        </w:rPr>
        <w:t xml:space="preserve"> </w:t>
      </w:r>
      <w:r w:rsidR="00803E98">
        <w:rPr>
          <w:rFonts w:eastAsiaTheme="minorHAnsi" w:cs="Arial"/>
          <w:bCs/>
          <w:szCs w:val="24"/>
          <w:lang w:val="en-GB"/>
        </w:rPr>
        <w:t xml:space="preserve">is instructive: </w:t>
      </w:r>
    </w:p>
    <w:p w14:paraId="799C3D36" w14:textId="760F3E02" w:rsidR="00DD18CB" w:rsidRPr="00E33AE1" w:rsidRDefault="00803E98" w:rsidP="00E33AE1">
      <w:pPr>
        <w:pStyle w:val="Level1"/>
        <w:numPr>
          <w:ilvl w:val="0"/>
          <w:numId w:val="0"/>
        </w:numPr>
        <w:ind w:left="851"/>
        <w:rPr>
          <w:rFonts w:cs="Arial"/>
          <w:szCs w:val="24"/>
          <w:lang w:val="en-GB"/>
        </w:rPr>
      </w:pPr>
      <w:r w:rsidRPr="00E33AE1">
        <w:rPr>
          <w:rFonts w:cs="Arial"/>
          <w:i/>
          <w:iCs/>
          <w:szCs w:val="24"/>
          <w:lang w:val="en-GB"/>
        </w:rPr>
        <w:t>“</w:t>
      </w:r>
      <w:r w:rsidR="00DD18CB" w:rsidRPr="00E33AE1">
        <w:rPr>
          <w:i/>
          <w:iCs/>
        </w:rPr>
        <w:t>[12] The basic principles of criminal law and the law of evidence that apply in this case are trite. The first principle is that the guilt of the accused must be proved by the State and that the onus rests on the State to prove the guilt of the accused beyond reasonable doubt. In the matter of S v T 2005 (2) SACR 318 (E), at paragraph 37, I had occasion to say the following of the importance of this principle:</w:t>
      </w:r>
    </w:p>
    <w:p w14:paraId="79E53ABF" w14:textId="77777777" w:rsidR="00DD18CB" w:rsidRPr="002F135B" w:rsidRDefault="00DD18CB" w:rsidP="009D7968">
      <w:pPr>
        <w:pStyle w:val="Level1"/>
        <w:numPr>
          <w:ilvl w:val="0"/>
          <w:numId w:val="0"/>
        </w:numPr>
        <w:ind w:left="851"/>
        <w:rPr>
          <w:i/>
          <w:iCs/>
        </w:rPr>
      </w:pPr>
      <w:r w:rsidRPr="002F135B">
        <w:rPr>
          <w:i/>
          <w:iCs/>
        </w:rPr>
        <w:t>‘The State is required, when it tries a person for allegedly committing an offence, to prove the guilt of the accused beyond a reasonable doubt. This high standard of proof – universally required in civilized systems of criminal justice – is a core component of the fundamental right that every person enjoys under the Constitution, and under the common law prior to 1994, to a fair trial. It is not part of a charter for criminals and neither is it a mere technicality. When a court finds that the guilt of an accused has not been proved beyond reasonable doubt, that accused is entitled to an acquittal, even if there may be suspicions that he or she was, indeed, the perpetrator of the crime in question. That is an inevitable consequence of living in a society in which the freedom and the dignity of the individual are properly protected and are respected. The inverse – convictions based on suspicion or speculation – is the hallmark of tyrannical systems of law. South Africans have bitter experience of such a system and where it leads to.’</w:t>
      </w:r>
    </w:p>
    <w:p w14:paraId="68CBE2ED" w14:textId="575BBD4B" w:rsidR="00DD18CB" w:rsidRPr="009D7968" w:rsidRDefault="00DD18CB" w:rsidP="009D7968">
      <w:pPr>
        <w:pStyle w:val="Level1"/>
        <w:numPr>
          <w:ilvl w:val="0"/>
          <w:numId w:val="0"/>
        </w:numPr>
        <w:ind w:left="851"/>
        <w:rPr>
          <w:i/>
          <w:iCs/>
        </w:rPr>
      </w:pPr>
      <w:r w:rsidRPr="002F135B">
        <w:rPr>
          <w:i/>
          <w:iCs/>
        </w:rPr>
        <w:lastRenderedPageBreak/>
        <w:t>[13] It follows from the requirement that the State must prove an accused person’s guilt beyond a reasonable doubt that the onus rests on it to prove every element of the crime alleged, including that the accused is the perpetrator of the crime, that he or she had the required intention, that the crime in question was committed, and that the act in question was unlawful. See Schwikkard and Van Der Merwe Principles of Evidence (3 ed), at paragraph 31.3.1.</w:t>
      </w:r>
    </w:p>
    <w:p w14:paraId="02D78D6E" w14:textId="6A3DCE2F" w:rsidR="00DD18CB" w:rsidRPr="00A81EA0" w:rsidRDefault="00DD18CB" w:rsidP="009D7968">
      <w:pPr>
        <w:pStyle w:val="Level1"/>
        <w:numPr>
          <w:ilvl w:val="0"/>
          <w:numId w:val="0"/>
        </w:numPr>
        <w:ind w:left="851"/>
        <w:rPr>
          <w:i/>
          <w:iCs/>
        </w:rPr>
      </w:pPr>
      <w:r w:rsidRPr="002F135B">
        <w:rPr>
          <w:i/>
          <w:iCs/>
        </w:rPr>
        <w:t>[14] It also follows from the fact that the onus rests on the State to prove the guilt of an accused beyond reasonable doubt that no onus rests on the accused to prove his or her innocence. See S v Mhlongo 1991 (2) SACR 207 (A), at 210d-f; R v Hlongwane 1959 (3) SA 337 (A), at 340H. In order to be acquitted, the version of an accused need only be reasonably possibly true. The position was set out thus by Nugent J in S v Van der Meyden 1999 (1) SACR 447 (W), at 448f-g:‘The onus of proof in a criminal case is discharged by the State if the evidence establishes the guilt of the accused beyond reasonable doubt. The corollary is that he is entitled to be acquitted if it is reasonably possible that he might be innocent (see, for example, R v Difford 1937 AD 370 at 373 and 383). These are not separate and independent tests, but the expression of the same test when viewed from opposite perspectives. In order to convict, the evidence must establish the guilt of the accused beyond reasonable doubt, which will be so only if there is at the same time no reasonable possibility that an innocent explanation which has been put forward might be true. The two are inseparable, each being the logical corollary of the other.’</w:t>
      </w:r>
    </w:p>
    <w:p w14:paraId="1D4F883B" w14:textId="0ABEE256" w:rsidR="00DD18CB" w:rsidRPr="00A81EA0" w:rsidRDefault="00DD18CB" w:rsidP="00A81EA0">
      <w:pPr>
        <w:pStyle w:val="Level1"/>
        <w:numPr>
          <w:ilvl w:val="0"/>
          <w:numId w:val="0"/>
        </w:numPr>
        <w:ind w:left="851"/>
        <w:rPr>
          <w:i/>
          <w:iCs/>
        </w:rPr>
      </w:pPr>
      <w:r w:rsidRPr="002F135B">
        <w:rPr>
          <w:i/>
          <w:iCs/>
        </w:rPr>
        <w:lastRenderedPageBreak/>
        <w:t>[15] Much the same point was made by Zulman JA in S v V 2000 (1) SACR 453 (SCA), at paragraph 3(i) when he stated:</w:t>
      </w:r>
      <w:r w:rsidRPr="00A81EA0">
        <w:rPr>
          <w:i/>
          <w:iCs/>
        </w:rPr>
        <w:t>‘It is trite that there is no obligation upon an accused person, where the State bears the onus, “to convince the court”. If his version is reasonably possibly true he is entitled to his acquittal even though his explanation is improbable. A court is not entitled to convict unless it is satisfied not only that the explanation is improbable but that beyond any reasonable doubt it is false. It is permissible to look at the probabilities of the case to determine whether the accused’s version is reasonably possibly true but whether one subjectively believes him is not the test. As pointed out in many judgments of this Court and other courts the test is whether there is a reasonable possibility that the accused’s evidence may be true.’</w:t>
      </w:r>
    </w:p>
    <w:p w14:paraId="54853D59" w14:textId="6F4003DC" w:rsidR="00DD18CB" w:rsidRPr="002473B6" w:rsidRDefault="00DD18CB" w:rsidP="002473B6">
      <w:pPr>
        <w:pStyle w:val="Level1"/>
        <w:numPr>
          <w:ilvl w:val="0"/>
          <w:numId w:val="0"/>
        </w:numPr>
        <w:ind w:left="851"/>
        <w:rPr>
          <w:i/>
          <w:iCs/>
        </w:rPr>
      </w:pPr>
      <w:r w:rsidRPr="00A81EA0">
        <w:rPr>
          <w:i/>
          <w:iCs/>
        </w:rPr>
        <w:t>[16] These statements of the law beg the question of what is meant by proof beyond reasonable doubt. In S v Mlambo 1957 (4) SA 727 (A), at 738A, Malan JA stated that, while it was not incumbent on the State to ‘close every avenue of escape which may be said to be open to an accused’, it would be sufficient, in order to secure a conviction,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 See too S v Phallo and others 1999 (2) SACR 558 (SCA), at paragraph 10; S v Mavinini 2009 (1) SACR 523 (SCA), at paragraph 26.</w:t>
      </w:r>
    </w:p>
    <w:p w14:paraId="1ECB157D" w14:textId="2D1045D4" w:rsidR="009607FD" w:rsidRDefault="000541C6" w:rsidP="000541C6">
      <w:pPr>
        <w:pStyle w:val="Level1"/>
        <w:numPr>
          <w:ilvl w:val="0"/>
          <w:numId w:val="0"/>
        </w:numPr>
        <w:ind w:left="851" w:hanging="851"/>
        <w:rPr>
          <w:lang w:val="en-GB"/>
        </w:rPr>
      </w:pPr>
      <w:r>
        <w:rPr>
          <w:lang w:val="en-GB"/>
        </w:rPr>
        <w:lastRenderedPageBreak/>
        <w:t>59.</w:t>
      </w:r>
      <w:r>
        <w:rPr>
          <w:lang w:val="en-GB"/>
        </w:rPr>
        <w:tab/>
      </w:r>
      <w:r w:rsidR="00DE34A2">
        <w:rPr>
          <w:lang w:val="en-GB"/>
        </w:rPr>
        <w:t>Given</w:t>
      </w:r>
      <w:r w:rsidR="005602FA">
        <w:rPr>
          <w:lang w:val="en-GB"/>
        </w:rPr>
        <w:t xml:space="preserve"> my</w:t>
      </w:r>
      <w:r w:rsidR="00DE34A2">
        <w:rPr>
          <w:lang w:val="en-GB"/>
        </w:rPr>
        <w:t xml:space="preserve"> </w:t>
      </w:r>
      <w:r w:rsidR="00470672">
        <w:rPr>
          <w:lang w:val="en-GB"/>
        </w:rPr>
        <w:t xml:space="preserve">setting out </w:t>
      </w:r>
      <w:r w:rsidR="005602FA">
        <w:rPr>
          <w:lang w:val="en-GB"/>
        </w:rPr>
        <w:t xml:space="preserve">of the </w:t>
      </w:r>
      <w:r w:rsidR="00281074">
        <w:rPr>
          <w:lang w:val="en-GB"/>
        </w:rPr>
        <w:t xml:space="preserve">testimony </w:t>
      </w:r>
      <w:r w:rsidR="00470672">
        <w:rPr>
          <w:lang w:val="en-GB"/>
        </w:rPr>
        <w:t>of Williams, Swartbooi and Mrwebi,</w:t>
      </w:r>
      <w:r w:rsidR="00690826">
        <w:rPr>
          <w:lang w:val="en-GB"/>
        </w:rPr>
        <w:t xml:space="preserve"> no</w:t>
      </w:r>
      <w:r w:rsidR="001E031B">
        <w:rPr>
          <w:lang w:val="en-GB"/>
        </w:rPr>
        <w:t xml:space="preserve">ne </w:t>
      </w:r>
      <w:r w:rsidR="00690826">
        <w:rPr>
          <w:lang w:val="en-GB"/>
        </w:rPr>
        <w:t xml:space="preserve">of whom implicated Mbana in </w:t>
      </w:r>
      <w:r w:rsidR="008C468D">
        <w:rPr>
          <w:lang w:val="en-GB"/>
        </w:rPr>
        <w:t>any of the charges,</w:t>
      </w:r>
      <w:r w:rsidR="00470672">
        <w:rPr>
          <w:lang w:val="en-GB"/>
        </w:rPr>
        <w:t xml:space="preserve"> </w:t>
      </w:r>
      <w:r w:rsidR="00DE34A2">
        <w:rPr>
          <w:lang w:val="en-GB"/>
        </w:rPr>
        <w:t xml:space="preserve">I find </w:t>
      </w:r>
      <w:r w:rsidR="00A60ABD" w:rsidRPr="008F717C">
        <w:rPr>
          <w:lang w:val="en-GB"/>
        </w:rPr>
        <w:t>Mbana</w:t>
      </w:r>
      <w:r w:rsidR="00DE34A2">
        <w:rPr>
          <w:lang w:val="en-GB"/>
        </w:rPr>
        <w:t>, who elected not to testify</w:t>
      </w:r>
      <w:r w:rsidR="0078245F">
        <w:rPr>
          <w:lang w:val="en-GB"/>
        </w:rPr>
        <w:t>,</w:t>
      </w:r>
      <w:r w:rsidR="00A60ABD" w:rsidRPr="008F717C">
        <w:rPr>
          <w:lang w:val="en-GB"/>
        </w:rPr>
        <w:t xml:space="preserve"> not guilty on </w:t>
      </w:r>
      <w:r w:rsidR="00DE34A2">
        <w:rPr>
          <w:lang w:val="en-GB"/>
        </w:rPr>
        <w:t>all charges.</w:t>
      </w:r>
      <w:r w:rsidR="008D62AA">
        <w:rPr>
          <w:lang w:val="en-GB"/>
        </w:rPr>
        <w:t xml:space="preserve"> </w:t>
      </w:r>
    </w:p>
    <w:p w14:paraId="79B00EFF" w14:textId="3B14EE8C" w:rsidR="00A60ABD" w:rsidRPr="002C739C" w:rsidRDefault="000541C6" w:rsidP="000541C6">
      <w:pPr>
        <w:pStyle w:val="Level1"/>
        <w:numPr>
          <w:ilvl w:val="0"/>
          <w:numId w:val="0"/>
        </w:numPr>
        <w:ind w:left="851" w:hanging="851"/>
        <w:rPr>
          <w:lang w:val="en-GB"/>
        </w:rPr>
      </w:pPr>
      <w:r w:rsidRPr="002C739C">
        <w:rPr>
          <w:lang w:val="en-GB"/>
        </w:rPr>
        <w:t>60.</w:t>
      </w:r>
      <w:r w:rsidRPr="002C739C">
        <w:rPr>
          <w:lang w:val="en-GB"/>
        </w:rPr>
        <w:tab/>
      </w:r>
      <w:r w:rsidR="00A60ABD" w:rsidRPr="009607FD">
        <w:rPr>
          <w:lang w:val="en-GB"/>
        </w:rPr>
        <w:t>Turning to Manana</w:t>
      </w:r>
      <w:r w:rsidR="00D92C18">
        <w:rPr>
          <w:lang w:val="en-GB"/>
        </w:rPr>
        <w:t xml:space="preserve"> and Mkunyana,</w:t>
      </w:r>
      <w:r w:rsidR="00FD4E07" w:rsidRPr="009607FD">
        <w:rPr>
          <w:lang w:val="en-GB"/>
        </w:rPr>
        <w:t xml:space="preserve"> </w:t>
      </w:r>
      <w:r w:rsidR="001C70BE">
        <w:rPr>
          <w:lang w:val="en-GB"/>
        </w:rPr>
        <w:t>whilst</w:t>
      </w:r>
      <w:r w:rsidR="00D92C18">
        <w:rPr>
          <w:lang w:val="en-GB"/>
        </w:rPr>
        <w:t xml:space="preserve"> they</w:t>
      </w:r>
      <w:r w:rsidR="001C70BE">
        <w:rPr>
          <w:lang w:val="en-GB"/>
        </w:rPr>
        <w:t xml:space="preserve"> w</w:t>
      </w:r>
      <w:r w:rsidR="008B61F3">
        <w:rPr>
          <w:lang w:val="en-GB"/>
        </w:rPr>
        <w:t>ere</w:t>
      </w:r>
      <w:r w:rsidR="001C70BE">
        <w:rPr>
          <w:lang w:val="en-GB"/>
        </w:rPr>
        <w:t xml:space="preserve"> implicated by Swartbooi and Mrwebi</w:t>
      </w:r>
      <w:r w:rsidR="002E04CE">
        <w:rPr>
          <w:lang w:val="en-GB"/>
        </w:rPr>
        <w:t xml:space="preserve"> to the extent I have already explained, I am unconvi</w:t>
      </w:r>
      <w:r w:rsidR="00153E09">
        <w:rPr>
          <w:lang w:val="en-GB"/>
        </w:rPr>
        <w:t>n</w:t>
      </w:r>
      <w:r w:rsidR="002E04CE">
        <w:rPr>
          <w:lang w:val="en-GB"/>
        </w:rPr>
        <w:t>ced that the State</w:t>
      </w:r>
      <w:r w:rsidR="00B2342D">
        <w:rPr>
          <w:lang w:val="en-GB"/>
        </w:rPr>
        <w:t xml:space="preserve">, bereft of the </w:t>
      </w:r>
      <w:r w:rsidR="003A5622">
        <w:rPr>
          <w:lang w:val="en-GB"/>
        </w:rPr>
        <w:t xml:space="preserve">statements and warning statements, </w:t>
      </w:r>
      <w:r w:rsidR="00945149">
        <w:rPr>
          <w:lang w:val="en-GB"/>
        </w:rPr>
        <w:t xml:space="preserve">managed to </w:t>
      </w:r>
      <w:r w:rsidR="003A5622">
        <w:rPr>
          <w:lang w:val="en-GB"/>
        </w:rPr>
        <w:t>produce</w:t>
      </w:r>
      <w:r w:rsidR="00DD51BB">
        <w:rPr>
          <w:lang w:val="en-GB"/>
        </w:rPr>
        <w:t>, in the words of Plasket J,</w:t>
      </w:r>
      <w:r w:rsidR="003A5622">
        <w:rPr>
          <w:lang w:val="en-GB"/>
        </w:rPr>
        <w:t xml:space="preserve"> </w:t>
      </w:r>
      <w:r w:rsidR="00153E09">
        <w:rPr>
          <w:i/>
          <w:iCs/>
        </w:rPr>
        <w:t>“</w:t>
      </w:r>
      <w:r w:rsidR="002E04CE" w:rsidRPr="00A81EA0">
        <w:rPr>
          <w:i/>
          <w:iCs/>
        </w:rPr>
        <w:t>evidence by means of which such a high degree of probability is raised that the ordinary reasonable man, after mature consideration, comes to the conclusion that there exists no reasonable doubt that an accused has committed the crime charged</w:t>
      </w:r>
      <w:r w:rsidR="00717641">
        <w:rPr>
          <w:i/>
          <w:iCs/>
        </w:rPr>
        <w:t xml:space="preserve">” </w:t>
      </w:r>
      <w:r w:rsidR="00717641">
        <w:t>which would leave me</w:t>
      </w:r>
      <w:r w:rsidR="002E04CE" w:rsidRPr="00A81EA0">
        <w:rPr>
          <w:i/>
          <w:iCs/>
        </w:rPr>
        <w:t xml:space="preserve"> </w:t>
      </w:r>
      <w:r w:rsidR="00717641">
        <w:rPr>
          <w:i/>
          <w:iCs/>
        </w:rPr>
        <w:t>“</w:t>
      </w:r>
      <w:r w:rsidR="002E04CE" w:rsidRPr="00A81EA0">
        <w:rPr>
          <w:i/>
          <w:iCs/>
        </w:rPr>
        <w:t>morally certain of the guilt of the accused’.</w:t>
      </w:r>
    </w:p>
    <w:p w14:paraId="7679E99A" w14:textId="0EE67B4D" w:rsidR="003961D6" w:rsidRDefault="000541C6" w:rsidP="000541C6">
      <w:pPr>
        <w:pStyle w:val="Level1"/>
        <w:numPr>
          <w:ilvl w:val="0"/>
          <w:numId w:val="0"/>
        </w:numPr>
        <w:ind w:left="851" w:hanging="851"/>
        <w:rPr>
          <w:lang w:val="en-GB"/>
        </w:rPr>
      </w:pPr>
      <w:r>
        <w:rPr>
          <w:lang w:val="en-GB"/>
        </w:rPr>
        <w:t>61.</w:t>
      </w:r>
      <w:r>
        <w:rPr>
          <w:lang w:val="en-GB"/>
        </w:rPr>
        <w:tab/>
      </w:r>
      <w:r w:rsidR="002C739C">
        <w:t>Whilst on that basis alone, I am compelled to find Ma</w:t>
      </w:r>
      <w:r w:rsidR="00D92C18">
        <w:t>nana and Mkunyana</w:t>
      </w:r>
      <w:r w:rsidR="002C739C">
        <w:t xml:space="preserve"> not guilty, </w:t>
      </w:r>
      <w:r w:rsidR="002965B9">
        <w:t xml:space="preserve">I am also of the view that </w:t>
      </w:r>
      <w:r w:rsidR="00D92C18">
        <w:t>their</w:t>
      </w:r>
      <w:r w:rsidR="002965B9">
        <w:t xml:space="preserve"> version</w:t>
      </w:r>
      <w:r w:rsidR="00D92C18">
        <w:t>s are reasonably possibly true</w:t>
      </w:r>
      <w:r w:rsidR="00827461">
        <w:t>. Manana testified</w:t>
      </w:r>
      <w:r w:rsidR="002965B9">
        <w:t xml:space="preserve"> </w:t>
      </w:r>
      <w:r w:rsidR="00A60ABD" w:rsidRPr="008F717C">
        <w:rPr>
          <w:lang w:val="en-GB"/>
        </w:rPr>
        <w:t>that he was first offered a lift by Mtsholotsholo as he needed to buy meat</w:t>
      </w:r>
      <w:r w:rsidR="002965B9">
        <w:rPr>
          <w:lang w:val="en-GB"/>
        </w:rPr>
        <w:t xml:space="preserve"> but </w:t>
      </w:r>
      <w:r w:rsidR="00A60ABD" w:rsidRPr="008F717C">
        <w:rPr>
          <w:lang w:val="en-GB"/>
        </w:rPr>
        <w:t>once in the taxi Mtsholotsholo refused to let him leave</w:t>
      </w:r>
      <w:r w:rsidR="00953EF4">
        <w:rPr>
          <w:lang w:val="en-GB"/>
        </w:rPr>
        <w:t xml:space="preserve">. </w:t>
      </w:r>
      <w:r w:rsidR="003961D6" w:rsidRPr="008F717C">
        <w:rPr>
          <w:lang w:val="en-GB"/>
        </w:rPr>
        <w:t>Mtsholotsholo threatened to shoot him</w:t>
      </w:r>
      <w:r w:rsidR="00D42104">
        <w:rPr>
          <w:lang w:val="en-GB"/>
        </w:rPr>
        <w:t xml:space="preserve">. He said he was an </w:t>
      </w:r>
      <w:r w:rsidR="003961D6" w:rsidRPr="008F717C">
        <w:rPr>
          <w:lang w:val="en-GB"/>
        </w:rPr>
        <w:t>unwilling part of the group in the taxi without any intent to commit any crime</w:t>
      </w:r>
      <w:r w:rsidR="00827461">
        <w:rPr>
          <w:lang w:val="en-GB"/>
        </w:rPr>
        <w:t>. Mkunyana</w:t>
      </w:r>
      <w:r w:rsidR="009E654B">
        <w:rPr>
          <w:lang w:val="en-GB"/>
        </w:rPr>
        <w:t xml:space="preserve">’s testimony was that </w:t>
      </w:r>
      <w:r w:rsidR="003961D6" w:rsidRPr="008F717C">
        <w:rPr>
          <w:lang w:val="en-GB"/>
        </w:rPr>
        <w:t xml:space="preserve">he </w:t>
      </w:r>
      <w:r w:rsidR="00E94C63">
        <w:rPr>
          <w:lang w:val="en-GB"/>
        </w:rPr>
        <w:t xml:space="preserve">too </w:t>
      </w:r>
      <w:r w:rsidR="003961D6" w:rsidRPr="008F717C">
        <w:rPr>
          <w:lang w:val="en-GB"/>
        </w:rPr>
        <w:t xml:space="preserve">was an unwilling </w:t>
      </w:r>
      <w:r w:rsidR="005B12A2" w:rsidRPr="008F717C">
        <w:rPr>
          <w:lang w:val="en-GB"/>
        </w:rPr>
        <w:t>part of the group on the night in question at the behest of Mtsholotsholo, who exhibited violent and extreme behaviour on the night</w:t>
      </w:r>
      <w:r w:rsidR="009E654B">
        <w:rPr>
          <w:lang w:val="en-GB"/>
        </w:rPr>
        <w:t xml:space="preserve">. </w:t>
      </w:r>
    </w:p>
    <w:p w14:paraId="232A4C68" w14:textId="67F075DD" w:rsidR="00535943" w:rsidRPr="00535943" w:rsidRDefault="000541C6" w:rsidP="000541C6">
      <w:pPr>
        <w:pStyle w:val="Level1"/>
        <w:numPr>
          <w:ilvl w:val="0"/>
          <w:numId w:val="0"/>
        </w:numPr>
        <w:ind w:left="851" w:hanging="851"/>
        <w:rPr>
          <w:lang w:val="en-GB"/>
        </w:rPr>
      </w:pPr>
      <w:r w:rsidRPr="00535943">
        <w:rPr>
          <w:lang w:val="en-GB"/>
        </w:rPr>
        <w:t>62.</w:t>
      </w:r>
      <w:r w:rsidRPr="00535943">
        <w:rPr>
          <w:lang w:val="en-GB"/>
        </w:rPr>
        <w:tab/>
      </w:r>
      <w:r w:rsidR="00535943">
        <w:rPr>
          <w:lang w:val="en-GB"/>
        </w:rPr>
        <w:t xml:space="preserve">For these reasons I find Manana and Mkunyana not guilty on all counts. </w:t>
      </w:r>
    </w:p>
    <w:p w14:paraId="28C1FA17" w14:textId="1B676092" w:rsidR="00535943" w:rsidRDefault="000541C6" w:rsidP="000541C6">
      <w:pPr>
        <w:pStyle w:val="Heading1"/>
        <w:numPr>
          <w:ilvl w:val="0"/>
          <w:numId w:val="0"/>
        </w:numPr>
        <w:ind w:left="851" w:hanging="851"/>
        <w:rPr>
          <w:szCs w:val="24"/>
          <w:lang w:val="en-GB"/>
        </w:rPr>
      </w:pPr>
      <w:r>
        <w:rPr>
          <w:szCs w:val="24"/>
          <w:lang w:val="en-GB"/>
        </w:rPr>
        <w:t>F.</w:t>
      </w:r>
      <w:r>
        <w:rPr>
          <w:szCs w:val="24"/>
          <w:lang w:val="en-GB"/>
        </w:rPr>
        <w:tab/>
      </w:r>
      <w:r w:rsidR="00535943">
        <w:rPr>
          <w:szCs w:val="24"/>
          <w:lang w:val="en-GB"/>
        </w:rPr>
        <w:t>ORDER</w:t>
      </w:r>
    </w:p>
    <w:p w14:paraId="67FA92CE" w14:textId="263A0891" w:rsidR="00994153" w:rsidRDefault="000541C6" w:rsidP="000541C6">
      <w:pPr>
        <w:pStyle w:val="Level1"/>
        <w:numPr>
          <w:ilvl w:val="0"/>
          <w:numId w:val="0"/>
        </w:numPr>
        <w:ind w:left="851" w:hanging="851"/>
        <w:rPr>
          <w:lang w:val="en-GB"/>
        </w:rPr>
      </w:pPr>
      <w:r>
        <w:rPr>
          <w:lang w:val="en-GB"/>
        </w:rPr>
        <w:lastRenderedPageBreak/>
        <w:t>63.</w:t>
      </w:r>
      <w:r>
        <w:rPr>
          <w:lang w:val="en-GB"/>
        </w:rPr>
        <w:tab/>
      </w:r>
      <w:r w:rsidR="00994153">
        <w:rPr>
          <w:lang w:val="en-GB"/>
        </w:rPr>
        <w:t>In the circumstance</w:t>
      </w:r>
      <w:r w:rsidR="007C0904">
        <w:rPr>
          <w:lang w:val="en-GB"/>
        </w:rPr>
        <w:t>s</w:t>
      </w:r>
      <w:r w:rsidR="00994153">
        <w:rPr>
          <w:lang w:val="en-GB"/>
        </w:rPr>
        <w:t xml:space="preserve"> I</w:t>
      </w:r>
      <w:r w:rsidR="007F3E78">
        <w:rPr>
          <w:lang w:val="en-GB"/>
        </w:rPr>
        <w:t xml:space="preserve"> find</w:t>
      </w:r>
      <w:r w:rsidR="00994153">
        <w:rPr>
          <w:lang w:val="en-GB"/>
        </w:rPr>
        <w:t xml:space="preserve"> Accused </w:t>
      </w:r>
      <w:r w:rsidR="002C6EE2">
        <w:rPr>
          <w:lang w:val="en-GB"/>
        </w:rPr>
        <w:t xml:space="preserve">two, three and five </w:t>
      </w:r>
      <w:r w:rsidR="004E0A92">
        <w:rPr>
          <w:lang w:val="en-GB"/>
        </w:rPr>
        <w:t xml:space="preserve">not </w:t>
      </w:r>
      <w:r w:rsidR="002C6EE2">
        <w:rPr>
          <w:lang w:val="en-GB"/>
        </w:rPr>
        <w:t xml:space="preserve">guilty on all </w:t>
      </w:r>
      <w:r w:rsidR="00D42104">
        <w:rPr>
          <w:lang w:val="en-GB"/>
        </w:rPr>
        <w:t xml:space="preserve">the remaining </w:t>
      </w:r>
      <w:r w:rsidR="002C6EE2">
        <w:rPr>
          <w:lang w:val="en-GB"/>
        </w:rPr>
        <w:t>counts</w:t>
      </w:r>
      <w:r w:rsidR="00D42104">
        <w:rPr>
          <w:lang w:val="en-GB"/>
        </w:rPr>
        <w:t xml:space="preserve">. </w:t>
      </w:r>
    </w:p>
    <w:p w14:paraId="75CB4F4F" w14:textId="77777777" w:rsidR="005A55BA" w:rsidRDefault="005A55BA" w:rsidP="005A55BA">
      <w:pPr>
        <w:pStyle w:val="Level1"/>
        <w:numPr>
          <w:ilvl w:val="0"/>
          <w:numId w:val="0"/>
        </w:numPr>
        <w:ind w:left="5891" w:hanging="851"/>
        <w:rPr>
          <w:lang w:val="en-GB"/>
        </w:rPr>
      </w:pPr>
    </w:p>
    <w:p w14:paraId="19B27AAC" w14:textId="77777777" w:rsidR="005A55BA" w:rsidRPr="008F717C" w:rsidRDefault="005A55BA" w:rsidP="005A55BA">
      <w:pPr>
        <w:spacing w:after="360" w:line="360" w:lineRule="auto"/>
        <w:rPr>
          <w:rFonts w:eastAsiaTheme="minorHAnsi" w:cs="Arial"/>
          <w:szCs w:val="24"/>
          <w:lang w:val="en-GB"/>
        </w:rPr>
      </w:pPr>
    </w:p>
    <w:p w14:paraId="25C5A484" w14:textId="77777777" w:rsidR="005A55BA" w:rsidRDefault="005A55BA" w:rsidP="005A55BA">
      <w:pPr>
        <w:pStyle w:val="Level1"/>
        <w:numPr>
          <w:ilvl w:val="0"/>
          <w:numId w:val="0"/>
        </w:numPr>
        <w:ind w:left="6611" w:hanging="851"/>
        <w:rPr>
          <w:lang w:val="en-GB"/>
        </w:rPr>
      </w:pPr>
    </w:p>
    <w:p w14:paraId="3BB1E3FB" w14:textId="139667BD" w:rsidR="005A55BA" w:rsidRDefault="005A55BA" w:rsidP="005A55BA">
      <w:pPr>
        <w:pStyle w:val="Level1"/>
        <w:numPr>
          <w:ilvl w:val="0"/>
          <w:numId w:val="0"/>
        </w:numPr>
        <w:ind w:left="6611" w:hanging="851"/>
        <w:rPr>
          <w:b/>
          <w:bCs/>
          <w:lang w:val="en-GB"/>
        </w:rPr>
      </w:pPr>
      <w:r>
        <w:rPr>
          <w:b/>
          <w:bCs/>
          <w:lang w:val="en-GB"/>
        </w:rPr>
        <w:t>P A MYBURGH</w:t>
      </w:r>
    </w:p>
    <w:p w14:paraId="552A0FF0" w14:textId="4C3FBA49" w:rsidR="005A55BA" w:rsidRPr="005A55BA" w:rsidRDefault="005A55BA" w:rsidP="005A55BA">
      <w:pPr>
        <w:pStyle w:val="Level1"/>
        <w:numPr>
          <w:ilvl w:val="0"/>
          <w:numId w:val="0"/>
        </w:numPr>
        <w:ind w:left="6611" w:hanging="851"/>
        <w:rPr>
          <w:lang w:val="en-GB"/>
        </w:rPr>
      </w:pPr>
      <w:r>
        <w:rPr>
          <w:lang w:val="en-GB"/>
        </w:rPr>
        <w:t xml:space="preserve">Acting Judge of the High Court </w:t>
      </w:r>
    </w:p>
    <w:p w14:paraId="53ED4AFC" w14:textId="77777777" w:rsidR="002C6EE2" w:rsidRPr="00994153" w:rsidRDefault="002C6EE2" w:rsidP="002C6EE2">
      <w:pPr>
        <w:pStyle w:val="Level1"/>
        <w:numPr>
          <w:ilvl w:val="0"/>
          <w:numId w:val="0"/>
        </w:numPr>
        <w:ind w:left="851"/>
        <w:rPr>
          <w:lang w:val="en-GB"/>
        </w:rPr>
      </w:pPr>
    </w:p>
    <w:p w14:paraId="390C2D15" w14:textId="77777777" w:rsidR="00535943" w:rsidRDefault="00535943" w:rsidP="00535943">
      <w:pPr>
        <w:pStyle w:val="Level1"/>
        <w:numPr>
          <w:ilvl w:val="0"/>
          <w:numId w:val="0"/>
        </w:numPr>
        <w:rPr>
          <w:lang w:val="en-GB"/>
        </w:rPr>
      </w:pPr>
    </w:p>
    <w:p w14:paraId="41A5D3F2" w14:textId="77777777" w:rsidR="00535943" w:rsidRPr="008F717C" w:rsidRDefault="00535943" w:rsidP="00535943">
      <w:pPr>
        <w:pStyle w:val="Level1"/>
        <w:numPr>
          <w:ilvl w:val="0"/>
          <w:numId w:val="0"/>
        </w:numPr>
        <w:rPr>
          <w:lang w:val="en-GB"/>
        </w:rPr>
      </w:pPr>
    </w:p>
    <w:sectPr w:rsidR="00535943" w:rsidRPr="008F717C" w:rsidSect="00951623">
      <w:headerReference w:type="default" r:id="rId8"/>
      <w:headerReference w:type="firs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1150" w14:textId="77777777" w:rsidR="00A21567" w:rsidRDefault="00A21567" w:rsidP="0093511D">
      <w:r>
        <w:separator/>
      </w:r>
    </w:p>
  </w:endnote>
  <w:endnote w:type="continuationSeparator" w:id="0">
    <w:p w14:paraId="684E57F9" w14:textId="77777777" w:rsidR="00A21567" w:rsidRDefault="00A21567" w:rsidP="0093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605D" w14:textId="556B4C07" w:rsidR="00B73A0D" w:rsidRDefault="00B73A0D" w:rsidP="0093511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DB4E" w14:textId="77777777" w:rsidR="00A21567" w:rsidRDefault="00A21567" w:rsidP="0093511D">
      <w:r>
        <w:separator/>
      </w:r>
    </w:p>
  </w:footnote>
  <w:footnote w:type="continuationSeparator" w:id="0">
    <w:p w14:paraId="0CD6F0B8" w14:textId="77777777" w:rsidR="00A21567" w:rsidRDefault="00A21567" w:rsidP="0093511D">
      <w:r>
        <w:continuationSeparator/>
      </w:r>
    </w:p>
  </w:footnote>
  <w:footnote w:id="1">
    <w:p w14:paraId="72BA5A66" w14:textId="2151D65E" w:rsidR="007275F5" w:rsidRPr="00293D61" w:rsidRDefault="007275F5">
      <w:pPr>
        <w:pStyle w:val="FootnoteText"/>
        <w:rPr>
          <w:lang w:val="en-US"/>
        </w:rPr>
      </w:pPr>
      <w:r w:rsidRPr="00293D61">
        <w:rPr>
          <w:rStyle w:val="FootnoteReference"/>
        </w:rPr>
        <w:footnoteRef/>
      </w:r>
      <w:r w:rsidRPr="00293D61">
        <w:t xml:space="preserve"> [</w:t>
      </w:r>
      <w:r w:rsidRPr="00293D61">
        <w:rPr>
          <w:lang w:val="en-US"/>
        </w:rPr>
        <w:t>2023] ZACC 1 at [6].</w:t>
      </w:r>
    </w:p>
  </w:footnote>
  <w:footnote w:id="2">
    <w:p w14:paraId="207A5139" w14:textId="2CEE4C63" w:rsidR="004F4201" w:rsidRPr="00293D61" w:rsidRDefault="004F4201">
      <w:pPr>
        <w:pStyle w:val="FootnoteText"/>
        <w:rPr>
          <w:lang w:val="en-US"/>
        </w:rPr>
      </w:pPr>
      <w:r w:rsidRPr="00293D61">
        <w:rPr>
          <w:rStyle w:val="FootnoteReference"/>
        </w:rPr>
        <w:footnoteRef/>
      </w:r>
      <w:r w:rsidRPr="00293D61">
        <w:t xml:space="preserve"> </w:t>
      </w:r>
      <w:r w:rsidRPr="00293D61">
        <w:rPr>
          <w:b/>
          <w:bCs/>
          <w:u w:val="single"/>
          <w:lang w:val="en-US"/>
        </w:rPr>
        <w:t>Chief Lesapo v North West Agricultural Bank</w:t>
      </w:r>
      <w:r w:rsidRPr="00293D61">
        <w:rPr>
          <w:lang w:val="en-US"/>
        </w:rPr>
        <w:t xml:space="preserve"> [1999] ZACC 16 at paras [11] and [17].</w:t>
      </w:r>
    </w:p>
  </w:footnote>
  <w:footnote w:id="3">
    <w:p w14:paraId="566790F9" w14:textId="790B0F04" w:rsidR="002B5B08" w:rsidRPr="00293D61" w:rsidRDefault="002B5B08">
      <w:pPr>
        <w:pStyle w:val="FootnoteText"/>
        <w:rPr>
          <w:lang w:val="en-US"/>
        </w:rPr>
      </w:pPr>
      <w:r w:rsidRPr="00293D61">
        <w:rPr>
          <w:rStyle w:val="FootnoteReference"/>
        </w:rPr>
        <w:footnoteRef/>
      </w:r>
      <w:r w:rsidRPr="00293D61">
        <w:t xml:space="preserve"> </w:t>
      </w:r>
      <w:r w:rsidRPr="00293D61">
        <w:rPr>
          <w:lang w:val="en-US"/>
        </w:rPr>
        <w:t>Regulations in terms of section 10, GN1258 GG3619, 21 July 1972 (as amended).</w:t>
      </w:r>
    </w:p>
  </w:footnote>
  <w:footnote w:id="4">
    <w:p w14:paraId="2A5BFB74" w14:textId="72A2F97D" w:rsidR="002B5B08" w:rsidRPr="00293D61" w:rsidRDefault="002B5B08">
      <w:pPr>
        <w:pStyle w:val="FootnoteText"/>
        <w:rPr>
          <w:lang w:val="en-US"/>
        </w:rPr>
      </w:pPr>
      <w:r w:rsidRPr="00293D61">
        <w:rPr>
          <w:rStyle w:val="FootnoteReference"/>
        </w:rPr>
        <w:footnoteRef/>
      </w:r>
      <w:r w:rsidRPr="00293D61">
        <w:t xml:space="preserve"> </w:t>
      </w:r>
      <w:r w:rsidRPr="00293D61">
        <w:rPr>
          <w:lang w:val="en-US"/>
        </w:rPr>
        <w:t>16 of 1963.</w:t>
      </w:r>
    </w:p>
  </w:footnote>
  <w:footnote w:id="5">
    <w:p w14:paraId="44159679" w14:textId="0E821465" w:rsidR="001D39D6" w:rsidRPr="00293D61" w:rsidRDefault="001D39D6">
      <w:pPr>
        <w:pStyle w:val="FootnoteText"/>
        <w:rPr>
          <w:lang w:val="en-US"/>
        </w:rPr>
      </w:pPr>
      <w:r w:rsidRPr="00293D61">
        <w:rPr>
          <w:rStyle w:val="FootnoteReference"/>
        </w:rPr>
        <w:footnoteRef/>
      </w:r>
      <w:r w:rsidRPr="00293D61">
        <w:t xml:space="preserve"> </w:t>
      </w:r>
      <w:r w:rsidRPr="00293D61">
        <w:rPr>
          <w:lang w:val="en-US"/>
        </w:rPr>
        <w:t xml:space="preserve">As is the case in the authoritative, The Grammar of isiXhosa, JC Oosthuizen, Sun Press, 2016, </w:t>
      </w:r>
      <w:r w:rsidR="00C11F87">
        <w:rPr>
          <w:lang w:val="en-US"/>
        </w:rPr>
        <w:t>“</w:t>
      </w:r>
      <w:r w:rsidRPr="00293D61">
        <w:rPr>
          <w:i/>
          <w:iCs/>
          <w:lang w:val="en-US"/>
        </w:rPr>
        <w:t>I follow the fashion of using the appellation isiXhosa</w:t>
      </w:r>
      <w:r w:rsidR="00C11F87">
        <w:rPr>
          <w:lang w:val="en-US"/>
        </w:rPr>
        <w:t>”</w:t>
      </w:r>
      <w:r w:rsidRPr="00293D61">
        <w:rPr>
          <w:lang w:val="en-US"/>
        </w:rPr>
        <w:t>.</w:t>
      </w:r>
    </w:p>
  </w:footnote>
  <w:footnote w:id="6">
    <w:p w14:paraId="37146A8D" w14:textId="77777777" w:rsidR="00855304" w:rsidRPr="00DE6BDD" w:rsidRDefault="00855304" w:rsidP="00855304">
      <w:pPr>
        <w:pStyle w:val="FootnoteText"/>
        <w:rPr>
          <w:lang w:val="en-US"/>
        </w:rPr>
      </w:pPr>
      <w:r>
        <w:rPr>
          <w:rStyle w:val="FootnoteReference"/>
        </w:rPr>
        <w:footnoteRef/>
      </w:r>
      <w:r>
        <w:t xml:space="preserve"> </w:t>
      </w:r>
      <w:r>
        <w:rPr>
          <w:lang w:val="en-US"/>
        </w:rPr>
        <w:t>Chapter 2 of the Constitution of the Republic of South Africa, 1996.</w:t>
      </w:r>
    </w:p>
  </w:footnote>
  <w:footnote w:id="7">
    <w:p w14:paraId="1023AC49" w14:textId="3101B204" w:rsidR="002E73B9" w:rsidRPr="002E73B9" w:rsidRDefault="002E73B9">
      <w:pPr>
        <w:pStyle w:val="FootnoteText"/>
        <w:rPr>
          <w:lang w:val="en-US"/>
        </w:rPr>
      </w:pPr>
      <w:r>
        <w:rPr>
          <w:rStyle w:val="FootnoteReference"/>
        </w:rPr>
        <w:footnoteRef/>
      </w:r>
      <w:r>
        <w:t xml:space="preserve"> </w:t>
      </w:r>
      <w:r>
        <w:rPr>
          <w:lang w:val="en-US"/>
        </w:rPr>
        <w:t>The Conversation, Published:  August 17, 2017.</w:t>
      </w:r>
    </w:p>
  </w:footnote>
  <w:footnote w:id="8">
    <w:p w14:paraId="6EAA42FF" w14:textId="6B041351" w:rsidR="004A6E3F" w:rsidRPr="004A6E3F" w:rsidRDefault="004A6E3F">
      <w:pPr>
        <w:pStyle w:val="FootnoteText"/>
        <w:rPr>
          <w:lang w:val="en-US"/>
        </w:rPr>
      </w:pPr>
      <w:r>
        <w:rPr>
          <w:rStyle w:val="FootnoteReference"/>
        </w:rPr>
        <w:footnoteRef/>
      </w:r>
      <w:r>
        <w:t xml:space="preserve"> </w:t>
      </w:r>
      <w:r>
        <w:rPr>
          <w:lang w:val="en-US"/>
        </w:rPr>
        <w:t>The Conversation, Published April 16, 2020.</w:t>
      </w:r>
    </w:p>
  </w:footnote>
  <w:footnote w:id="9">
    <w:p w14:paraId="392CAA8A" w14:textId="77777777" w:rsidR="000A1720" w:rsidRPr="00DC7ABA" w:rsidRDefault="000A1720" w:rsidP="000A1720">
      <w:pPr>
        <w:pStyle w:val="FootnoteText"/>
        <w:rPr>
          <w:lang w:val="en-US"/>
        </w:rPr>
      </w:pPr>
      <w:r>
        <w:rPr>
          <w:rStyle w:val="FootnoteReference"/>
        </w:rPr>
        <w:footnoteRef/>
      </w:r>
      <w:r>
        <w:t xml:space="preserve"> </w:t>
      </w:r>
      <w:hyperlink r:id="rId1" w:history="1">
        <w:r w:rsidRPr="00812C4B">
          <w:rPr>
            <w:rStyle w:val="Hyperlink"/>
            <w:lang w:val="en-US"/>
          </w:rPr>
          <w:t>viera.vilhanova@savba.sk</w:t>
        </w:r>
      </w:hyperlink>
      <w:r>
        <w:rPr>
          <w:lang w:val="en-US"/>
        </w:rPr>
        <w:t xml:space="preserve">, </w:t>
      </w:r>
      <w:r w:rsidRPr="008F717C">
        <w:rPr>
          <w:rFonts w:cs="Arial"/>
          <w:i/>
          <w:iCs/>
          <w:lang w:val="en-GB"/>
        </w:rPr>
        <w:t>Multilingualism in Africa:  Challenges and Solutions</w:t>
      </w:r>
      <w:r>
        <w:t>,</w:t>
      </w:r>
    </w:p>
  </w:footnote>
  <w:footnote w:id="10">
    <w:p w14:paraId="18E066B2" w14:textId="43D1D31B" w:rsidR="008E4447" w:rsidRPr="008E4447" w:rsidRDefault="008E4447">
      <w:pPr>
        <w:pStyle w:val="FootnoteText"/>
        <w:rPr>
          <w:lang w:val="en-US"/>
        </w:rPr>
      </w:pPr>
      <w:r>
        <w:rPr>
          <w:rStyle w:val="FootnoteReference"/>
        </w:rPr>
        <w:footnoteRef/>
      </w:r>
      <w:r>
        <w:t xml:space="preserve"> </w:t>
      </w:r>
      <w:r>
        <w:rPr>
          <w:lang w:val="en-US"/>
        </w:rPr>
        <w:t xml:space="preserve">Claasen, Dictionary of Legal Words and Phrases, Issue 6, Vol. 3 at p. 106 and </w:t>
      </w:r>
      <w:r>
        <w:rPr>
          <w:b/>
          <w:bCs/>
          <w:u w:val="single"/>
          <w:lang w:val="en-US"/>
        </w:rPr>
        <w:t>S v Ndlovu</w:t>
      </w:r>
      <w:r>
        <w:rPr>
          <w:lang w:val="en-US"/>
        </w:rPr>
        <w:t xml:space="preserve"> 2002 (6) SA 305 (SCA).</w:t>
      </w:r>
    </w:p>
  </w:footnote>
  <w:footnote w:id="11">
    <w:p w14:paraId="1A57A79C" w14:textId="180BBFE7" w:rsidR="00F254E7" w:rsidRPr="00293D61" w:rsidRDefault="00F254E7">
      <w:pPr>
        <w:pStyle w:val="FootnoteText"/>
        <w:rPr>
          <w:lang w:val="en-US"/>
        </w:rPr>
      </w:pPr>
      <w:r w:rsidRPr="00293D61">
        <w:rPr>
          <w:rStyle w:val="FootnoteReference"/>
        </w:rPr>
        <w:footnoteRef/>
      </w:r>
      <w:r w:rsidRPr="00293D61">
        <w:t xml:space="preserve"> </w:t>
      </w:r>
      <w:r w:rsidRPr="00293D61">
        <w:rPr>
          <w:b/>
          <w:bCs/>
          <w:u w:val="single"/>
          <w:lang w:val="en-US"/>
        </w:rPr>
        <w:t>S v Brits</w:t>
      </w:r>
      <w:r w:rsidRPr="00293D61">
        <w:rPr>
          <w:lang w:val="en-US"/>
        </w:rPr>
        <w:t xml:space="preserve"> 2018 (1) NR 97 (HC) at paragraphs 28 – 30, </w:t>
      </w:r>
      <w:r w:rsidRPr="00293D61">
        <w:rPr>
          <w:b/>
          <w:bCs/>
          <w:u w:val="single"/>
          <w:lang w:val="en-US"/>
        </w:rPr>
        <w:t>S v Abbot</w:t>
      </w:r>
      <w:r w:rsidRPr="00293D61">
        <w:rPr>
          <w:lang w:val="en-US"/>
        </w:rPr>
        <w:t xml:space="preserve"> 1999 (1) SACR 489 (SCA).</w:t>
      </w:r>
    </w:p>
  </w:footnote>
  <w:footnote w:id="12">
    <w:p w14:paraId="03DBF6BA" w14:textId="39033B36" w:rsidR="008F71E5" w:rsidRPr="00293D61" w:rsidRDefault="008F71E5">
      <w:pPr>
        <w:pStyle w:val="FootnoteText"/>
        <w:rPr>
          <w:lang w:val="en-US"/>
        </w:rPr>
      </w:pPr>
      <w:r w:rsidRPr="00293D61">
        <w:rPr>
          <w:rStyle w:val="FootnoteReference"/>
        </w:rPr>
        <w:footnoteRef/>
      </w:r>
      <w:r w:rsidRPr="00293D61">
        <w:t xml:space="preserve"> </w:t>
      </w:r>
      <w:r w:rsidRPr="00293D61">
        <w:rPr>
          <w:b/>
          <w:bCs/>
          <w:u w:val="single"/>
          <w:lang w:val="en-US"/>
        </w:rPr>
        <w:t>S v Trainor</w:t>
      </w:r>
      <w:r w:rsidRPr="00293D61">
        <w:rPr>
          <w:lang w:val="en-US"/>
        </w:rPr>
        <w:t xml:space="preserve"> 2003 (1) SACR 35 (SCA); </w:t>
      </w:r>
      <w:r w:rsidRPr="00293D61">
        <w:rPr>
          <w:b/>
          <w:bCs/>
          <w:u w:val="single"/>
          <w:lang w:val="en-US"/>
        </w:rPr>
        <w:t>S v Shackell</w:t>
      </w:r>
      <w:r w:rsidRPr="00293D61">
        <w:rPr>
          <w:lang w:val="en-US"/>
        </w:rPr>
        <w:t xml:space="preserve"> 2001 (2) SACR 185 (SCA) at para [30]; </w:t>
      </w:r>
      <w:r w:rsidRPr="00293D61">
        <w:rPr>
          <w:b/>
          <w:bCs/>
          <w:u w:val="single"/>
          <w:lang w:val="en-US"/>
        </w:rPr>
        <w:t>S v BM</w:t>
      </w:r>
      <w:r w:rsidRPr="00293D61">
        <w:rPr>
          <w:lang w:val="en-US"/>
        </w:rPr>
        <w:t xml:space="preserve"> 2014 (2) SACR 23 (SCA) at para [2].</w:t>
      </w:r>
    </w:p>
  </w:footnote>
  <w:footnote w:id="13">
    <w:p w14:paraId="2C723BE8" w14:textId="1DE81FE8" w:rsidR="00585650" w:rsidRPr="00585650" w:rsidRDefault="00585650">
      <w:pPr>
        <w:pStyle w:val="FootnoteText"/>
        <w:rPr>
          <w:lang w:val="en-US"/>
        </w:rPr>
      </w:pPr>
      <w:r>
        <w:rPr>
          <w:rStyle w:val="FootnoteReference"/>
        </w:rPr>
        <w:footnoteRef/>
      </w:r>
      <w:r>
        <w:t xml:space="preserve"> </w:t>
      </w:r>
      <w:r>
        <w:rPr>
          <w:lang w:val="en-US"/>
        </w:rPr>
        <w:t>1998 (2) SACR 432 (SE) at 437F.</w:t>
      </w:r>
    </w:p>
  </w:footnote>
  <w:footnote w:id="14">
    <w:p w14:paraId="011B7124" w14:textId="74C46C02" w:rsidR="00E10C3D" w:rsidRPr="00E10C3D" w:rsidRDefault="00E10C3D">
      <w:pPr>
        <w:pStyle w:val="FootnoteText"/>
        <w:rPr>
          <w:lang w:val="en-US"/>
        </w:rPr>
      </w:pPr>
      <w:r>
        <w:rPr>
          <w:rStyle w:val="FootnoteReference"/>
        </w:rPr>
        <w:footnoteRef/>
      </w:r>
      <w:r>
        <w:t xml:space="preserve"> </w:t>
      </w:r>
      <w:r w:rsidRPr="00E10C3D">
        <w:rPr>
          <w:rFonts w:cs="Arial"/>
          <w:bCs/>
        </w:rPr>
        <w:t xml:space="preserve"> 2003 (1) SACR 583 (SCA)</w:t>
      </w:r>
      <w:r>
        <w:rPr>
          <w:rFonts w:cs="Arial"/>
          <w:bCs/>
        </w:rPr>
        <w:t xml:space="preserve"> at 594A.</w:t>
      </w:r>
    </w:p>
  </w:footnote>
  <w:footnote w:id="15">
    <w:p w14:paraId="2684C07A" w14:textId="77777777" w:rsidR="00B61181" w:rsidRPr="00061EEF" w:rsidRDefault="00B61181" w:rsidP="00B61181">
      <w:pPr>
        <w:pStyle w:val="FootnoteText"/>
        <w:rPr>
          <w:lang w:val="en-US"/>
        </w:rPr>
      </w:pPr>
      <w:r>
        <w:rPr>
          <w:rStyle w:val="FootnoteReference"/>
        </w:rPr>
        <w:footnoteRef/>
      </w:r>
      <w:r>
        <w:t xml:space="preserve"> </w:t>
      </w:r>
      <w:r>
        <w:rPr>
          <w:lang w:val="en-US"/>
        </w:rPr>
        <w:t>1996 (2) SACR 113 (CC) at para [13].</w:t>
      </w:r>
    </w:p>
  </w:footnote>
  <w:footnote w:id="16">
    <w:p w14:paraId="4DD8BD38" w14:textId="77777777" w:rsidR="00B61181" w:rsidRPr="00FF2A94" w:rsidRDefault="00B61181" w:rsidP="00B61181">
      <w:pPr>
        <w:pStyle w:val="FootnoteText"/>
        <w:rPr>
          <w:lang w:val="en-US"/>
        </w:rPr>
      </w:pPr>
      <w:r>
        <w:rPr>
          <w:rStyle w:val="FootnoteReference"/>
        </w:rPr>
        <w:footnoteRef/>
      </w:r>
      <w:r>
        <w:t xml:space="preserve"> </w:t>
      </w:r>
      <w:r>
        <w:rPr>
          <w:lang w:val="en-US"/>
        </w:rPr>
        <w:t>[2008] JOL 22152 (C) at para [71].</w:t>
      </w:r>
    </w:p>
  </w:footnote>
  <w:footnote w:id="17">
    <w:p w14:paraId="7D0C5D74" w14:textId="10C4F193" w:rsidR="000B187F" w:rsidRDefault="000B187F">
      <w:pPr>
        <w:pStyle w:val="FootnoteText"/>
      </w:pPr>
      <w:r>
        <w:rPr>
          <w:rStyle w:val="FootnoteReference"/>
        </w:rPr>
        <w:footnoteRef/>
      </w:r>
      <w:r>
        <w:t xml:space="preserve"> </w:t>
      </w:r>
      <w:r w:rsidR="00863AB8">
        <w:t xml:space="preserve">[2010] ZAECGHC 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31885"/>
      <w:docPartObj>
        <w:docPartGallery w:val="Page Numbers (Top of Page)"/>
        <w:docPartUnique/>
      </w:docPartObj>
    </w:sdtPr>
    <w:sdtEndPr>
      <w:rPr>
        <w:noProof/>
      </w:rPr>
    </w:sdtEndPr>
    <w:sdtContent>
      <w:p w14:paraId="377EFDEA" w14:textId="48A61B35" w:rsidR="002A73A6" w:rsidRDefault="002A73A6">
        <w:pPr>
          <w:pStyle w:val="Header"/>
          <w:jc w:val="center"/>
        </w:pPr>
        <w:r>
          <w:fldChar w:fldCharType="begin"/>
        </w:r>
        <w:r>
          <w:instrText xml:space="preserve"> PAGE   \* MERGEFORMAT </w:instrText>
        </w:r>
        <w:r>
          <w:fldChar w:fldCharType="separate"/>
        </w:r>
        <w:r w:rsidR="000541C6">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D6AB" w14:textId="19C1C0BA" w:rsidR="002A73A6" w:rsidRDefault="002A73A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5EE12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E6800F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4055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6ECA2A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023F20"/>
    <w:multiLevelType w:val="hybridMultilevel"/>
    <w:tmpl w:val="35428B6A"/>
    <w:lvl w:ilvl="0" w:tplc="6EA04DAC">
      <w:start w:val="1"/>
      <w:numFmt w:val="bullet"/>
      <w:pStyle w:val="Bullets"/>
      <w:lvlText w:val=""/>
      <w:lvlJc w:val="left"/>
      <w:pPr>
        <w:ind w:left="992"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21920"/>
    <w:multiLevelType w:val="hybridMultilevel"/>
    <w:tmpl w:val="FDF8D31C"/>
    <w:lvl w:ilvl="0" w:tplc="D5EC6490">
      <w:start w:val="1"/>
      <w:numFmt w:val="bullet"/>
      <w:pStyle w:val="SBbulletslevel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D7D02"/>
    <w:multiLevelType w:val="multilevel"/>
    <w:tmpl w:val="697AF2D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1A1831BF"/>
    <w:multiLevelType w:val="hybridMultilevel"/>
    <w:tmpl w:val="44443740"/>
    <w:lvl w:ilvl="0" w:tplc="FA4256CE">
      <w:start w:val="1"/>
      <w:numFmt w:val="lowerLetter"/>
      <w:lvlText w:val="(%1)"/>
      <w:lvlJc w:val="left"/>
      <w:pPr>
        <w:ind w:left="1778" w:hanging="360"/>
      </w:pPr>
      <w:rPr>
        <w:rFonts w:hint="default"/>
        <w:b w:val="0"/>
        <w:bCs/>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EE72C30"/>
    <w:multiLevelType w:val="hybridMultilevel"/>
    <w:tmpl w:val="489C1BCA"/>
    <w:lvl w:ilvl="0" w:tplc="297AB95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25F3F16"/>
    <w:multiLevelType w:val="hybridMultilevel"/>
    <w:tmpl w:val="CD3C1120"/>
    <w:lvl w:ilvl="0" w:tplc="068C75DE">
      <w:start w:val="1"/>
      <w:numFmt w:val="lowerRoman"/>
      <w:pStyle w:val="Heading2"/>
      <w:lvlText w:val="(%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1" w15:restartNumberingAfterBreak="0">
    <w:nsid w:val="22833BD7"/>
    <w:multiLevelType w:val="hybridMultilevel"/>
    <w:tmpl w:val="A8FC7F08"/>
    <w:lvl w:ilvl="0" w:tplc="2B689890">
      <w:start w:val="1"/>
      <w:numFmt w:val="lowerLetter"/>
      <w:pStyle w:val="Heading3"/>
      <w:lvlText w:val="(%1)"/>
      <w:lvlJc w:val="left"/>
      <w:pPr>
        <w:ind w:left="720" w:hanging="360"/>
      </w:pPr>
      <w:rPr>
        <w:rFonts w:ascii="Arial" w:hAnsi="Arial" w:hint="default"/>
        <w:b w:val="0"/>
        <w:i/>
        <w:caps w:val="0"/>
        <w:strike w:val="0"/>
        <w:dstrike w:val="0"/>
        <w:vanish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2BC390E"/>
    <w:multiLevelType w:val="multilevel"/>
    <w:tmpl w:val="0FC67E80"/>
    <w:lvl w:ilvl="0">
      <w:start w:val="1"/>
      <w:numFmt w:val="decimal"/>
      <w:lvlText w:val="%1."/>
      <w:lvlJc w:val="left"/>
      <w:pPr>
        <w:tabs>
          <w:tab w:val="num" w:pos="720"/>
        </w:tabs>
        <w:ind w:left="720" w:hanging="720"/>
      </w:pPr>
      <w:rPr>
        <w:rFonts w:ascii="Arial" w:hAnsi="Arial" w:hint="default"/>
        <w:b w:val="0"/>
        <w:i w:val="0"/>
        <w:caps w:val="0"/>
        <w:vanish w:val="0"/>
        <w:color w:val="auto"/>
        <w:sz w:val="24"/>
        <w:szCs w:val="28"/>
        <w:u w:val="none"/>
      </w:rPr>
    </w:lvl>
    <w:lvl w:ilvl="1">
      <w:start w:val="1"/>
      <w:numFmt w:val="decimal"/>
      <w:isLgl/>
      <w:lvlText w:val="%1.%2"/>
      <w:lvlJc w:val="left"/>
      <w:pPr>
        <w:tabs>
          <w:tab w:val="num" w:pos="1440"/>
        </w:tabs>
        <w:ind w:left="144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3168"/>
        </w:tabs>
        <w:ind w:left="3168" w:hanging="1008"/>
      </w:pPr>
      <w:rPr>
        <w:rFonts w:hint="default"/>
        <w:b w:val="0"/>
        <w:i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2824173E"/>
    <w:multiLevelType w:val="hybridMultilevel"/>
    <w:tmpl w:val="4DEEF34E"/>
    <w:lvl w:ilvl="0" w:tplc="F2EE204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135009F"/>
    <w:multiLevelType w:val="hybridMultilevel"/>
    <w:tmpl w:val="E4786110"/>
    <w:lvl w:ilvl="0" w:tplc="1A662994">
      <w:start w:val="1"/>
      <w:numFmt w:val="upperLetter"/>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D43B36"/>
    <w:multiLevelType w:val="hybridMultilevel"/>
    <w:tmpl w:val="1DDCE074"/>
    <w:lvl w:ilvl="0" w:tplc="F69C7DD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4DF03B5A"/>
    <w:multiLevelType w:val="multilevel"/>
    <w:tmpl w:val="A03ED63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68CE6716"/>
    <w:multiLevelType w:val="multilevel"/>
    <w:tmpl w:val="BFB04064"/>
    <w:lvl w:ilvl="0">
      <w:start w:val="1"/>
      <w:numFmt w:val="decimal"/>
      <w:pStyle w:val="anumbering1ai"/>
      <w:isLgl/>
      <w:lvlText w:val="(%1)"/>
      <w:lvlJc w:val="left"/>
      <w:pPr>
        <w:ind w:left="567" w:hanging="567"/>
      </w:pPr>
      <w:rPr>
        <w:rFonts w:hint="default"/>
      </w:rPr>
    </w:lvl>
    <w:lvl w:ilvl="1">
      <w:start w:val="1"/>
      <w:numFmt w:val="lowerLetter"/>
      <w:lvlText w:val="%2)"/>
      <w:lvlJc w:val="left"/>
      <w:pPr>
        <w:ind w:left="992" w:hanging="425"/>
      </w:pPr>
      <w:rPr>
        <w:rFonts w:hint="default"/>
      </w:rPr>
    </w:lvl>
    <w:lvl w:ilvl="2">
      <w:start w:val="1"/>
      <w:numFmt w:val="lowerRoman"/>
      <w:lvlText w:val="%3)"/>
      <w:lvlJc w:val="left"/>
      <w:pPr>
        <w:ind w:left="1417" w:hanging="425"/>
      </w:pPr>
      <w:rPr>
        <w:rFonts w:hint="default"/>
      </w:rPr>
    </w:lvl>
    <w:lvl w:ilvl="3">
      <w:start w:val="1"/>
      <w:numFmt w:val="decimal"/>
      <w:lvlText w:val="(%4)"/>
      <w:lvlJc w:val="left"/>
      <w:pPr>
        <w:ind w:left="1842" w:hanging="567"/>
      </w:pPr>
      <w:rPr>
        <w:rFonts w:hint="default"/>
      </w:rPr>
    </w:lvl>
    <w:lvl w:ilvl="4">
      <w:start w:val="1"/>
      <w:numFmt w:val="lowerLetter"/>
      <w:lvlText w:val="(%5)"/>
      <w:lvlJc w:val="left"/>
      <w:pPr>
        <w:ind w:left="2267" w:hanging="567"/>
      </w:pPr>
      <w:rPr>
        <w:rFonts w:hint="default"/>
      </w:rPr>
    </w:lvl>
    <w:lvl w:ilvl="5">
      <w:start w:val="1"/>
      <w:numFmt w:val="lowerRoman"/>
      <w:lvlText w:val="(%6)"/>
      <w:lvlJc w:val="left"/>
      <w:pPr>
        <w:ind w:left="2692" w:hanging="567"/>
      </w:pPr>
      <w:rPr>
        <w:rFonts w:hint="default"/>
      </w:rPr>
    </w:lvl>
    <w:lvl w:ilvl="6">
      <w:start w:val="1"/>
      <w:numFmt w:val="decimal"/>
      <w:lvlText w:val="%7."/>
      <w:lvlJc w:val="left"/>
      <w:pPr>
        <w:ind w:left="3117" w:hanging="567"/>
      </w:pPr>
      <w:rPr>
        <w:rFonts w:hint="default"/>
      </w:rPr>
    </w:lvl>
    <w:lvl w:ilvl="7">
      <w:start w:val="1"/>
      <w:numFmt w:val="lowerLetter"/>
      <w:lvlText w:val="%8."/>
      <w:lvlJc w:val="left"/>
      <w:pPr>
        <w:ind w:left="3542" w:hanging="567"/>
      </w:pPr>
      <w:rPr>
        <w:rFonts w:hint="default"/>
      </w:rPr>
    </w:lvl>
    <w:lvl w:ilvl="8">
      <w:start w:val="1"/>
      <w:numFmt w:val="lowerRoman"/>
      <w:lvlText w:val="%9."/>
      <w:lvlJc w:val="left"/>
      <w:pPr>
        <w:ind w:left="3967" w:hanging="567"/>
      </w:pPr>
      <w:rPr>
        <w:rFonts w:hint="default"/>
      </w:rPr>
    </w:lvl>
  </w:abstractNum>
  <w:abstractNum w:abstractNumId="18" w15:restartNumberingAfterBreak="0">
    <w:nsid w:val="72CC3DE4"/>
    <w:multiLevelType w:val="hybridMultilevel"/>
    <w:tmpl w:val="70607730"/>
    <w:lvl w:ilvl="0" w:tplc="1C7AF84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76CA028E"/>
    <w:multiLevelType w:val="multilevel"/>
    <w:tmpl w:val="8550B5A4"/>
    <w:lvl w:ilvl="0">
      <w:start w:val="21"/>
      <w:numFmt w:val="decimal"/>
      <w:lvlText w:val="%1."/>
      <w:lvlJc w:val="left"/>
      <w:pPr>
        <w:ind w:left="2823" w:hanging="491"/>
        <w:jc w:val="right"/>
      </w:pPr>
      <w:rPr>
        <w:rFonts w:hint="default"/>
        <w:spacing w:val="-1"/>
        <w:w w:val="125"/>
      </w:rPr>
    </w:lvl>
    <w:lvl w:ilvl="1">
      <w:start w:val="1"/>
      <w:numFmt w:val="decimal"/>
      <w:lvlText w:val="%1.%2"/>
      <w:lvlJc w:val="left"/>
      <w:pPr>
        <w:ind w:left="2752" w:hanging="650"/>
        <w:jc w:val="left"/>
      </w:pPr>
      <w:rPr>
        <w:rFonts w:hint="default"/>
        <w:spacing w:val="-1"/>
        <w:w w:val="111"/>
      </w:rPr>
    </w:lvl>
    <w:lvl w:ilvl="2">
      <w:start w:val="1"/>
      <w:numFmt w:val="decimal"/>
      <w:lvlText w:val="%1.%2.%3"/>
      <w:lvlJc w:val="left"/>
      <w:pPr>
        <w:ind w:left="3497" w:hanging="650"/>
        <w:jc w:val="right"/>
      </w:pPr>
      <w:rPr>
        <w:rFonts w:ascii="Arial" w:eastAsia="Arial" w:hAnsi="Arial" w:cs="Arial" w:hint="default"/>
        <w:color w:val="2A2A2A"/>
        <w:spacing w:val="-1"/>
        <w:w w:val="115"/>
        <w:sz w:val="23"/>
        <w:szCs w:val="23"/>
      </w:rPr>
    </w:lvl>
    <w:lvl w:ilvl="3">
      <w:numFmt w:val="bullet"/>
      <w:lvlText w:val="•"/>
      <w:lvlJc w:val="left"/>
      <w:pPr>
        <w:ind w:left="2840" w:hanging="650"/>
      </w:pPr>
      <w:rPr>
        <w:rFonts w:hint="default"/>
      </w:rPr>
    </w:lvl>
    <w:lvl w:ilvl="4">
      <w:numFmt w:val="bullet"/>
      <w:lvlText w:val="•"/>
      <w:lvlJc w:val="left"/>
      <w:pPr>
        <w:ind w:left="2900" w:hanging="650"/>
      </w:pPr>
      <w:rPr>
        <w:rFonts w:hint="default"/>
      </w:rPr>
    </w:lvl>
    <w:lvl w:ilvl="5">
      <w:numFmt w:val="bullet"/>
      <w:lvlText w:val="•"/>
      <w:lvlJc w:val="left"/>
      <w:pPr>
        <w:ind w:left="3400" w:hanging="650"/>
      </w:pPr>
      <w:rPr>
        <w:rFonts w:hint="default"/>
      </w:rPr>
    </w:lvl>
    <w:lvl w:ilvl="6">
      <w:numFmt w:val="bullet"/>
      <w:lvlText w:val="•"/>
      <w:lvlJc w:val="left"/>
      <w:pPr>
        <w:ind w:left="3500" w:hanging="650"/>
      </w:pPr>
      <w:rPr>
        <w:rFonts w:hint="default"/>
      </w:rPr>
    </w:lvl>
    <w:lvl w:ilvl="7">
      <w:numFmt w:val="bullet"/>
      <w:lvlText w:val="•"/>
      <w:lvlJc w:val="left"/>
      <w:pPr>
        <w:ind w:left="5140" w:hanging="650"/>
      </w:pPr>
      <w:rPr>
        <w:rFonts w:hint="default"/>
      </w:rPr>
    </w:lvl>
    <w:lvl w:ilvl="8">
      <w:numFmt w:val="bullet"/>
      <w:lvlText w:val="•"/>
      <w:lvlJc w:val="left"/>
      <w:pPr>
        <w:ind w:left="6780" w:hanging="650"/>
      </w:pPr>
      <w:rPr>
        <w:rFonts w:hint="default"/>
      </w:rPr>
    </w:lvl>
  </w:abstractNum>
  <w:num w:numId="1">
    <w:abstractNumId w:val="16"/>
  </w:num>
  <w:num w:numId="2">
    <w:abstractNumId w:val="7"/>
  </w:num>
  <w:num w:numId="3">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4">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Restart w:val="0"/>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5">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isLgl/>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6">
    <w:abstractNumId w:val="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Restart w:val="0"/>
        <w:isLgl/>
        <w:lvlText w:val="%1.%2.%3"/>
        <w:lvlJc w:val="left"/>
        <w:pPr>
          <w:tabs>
            <w:tab w:val="num" w:pos="2268"/>
          </w:tabs>
          <w:ind w:left="2268" w:hanging="850"/>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7">
    <w:abstractNumId w:val="16"/>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16"/>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16"/>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2835"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abstractNumId w:val="16"/>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16"/>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16"/>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17"/>
  </w:num>
  <w:num w:numId="14">
    <w:abstractNumId w:val="17"/>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7"/>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276" w:hanging="28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7"/>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418"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7"/>
    <w:lvlOverride w:ilvl="0">
      <w:lvl w:ilvl="0">
        <w:start w:val="1"/>
        <w:numFmt w:val="decimal"/>
        <w:pStyle w:val="anumbering1ai"/>
        <w:isLgl/>
        <w:lvlText w:val="(%1)"/>
        <w:lvlJc w:val="left"/>
        <w:pPr>
          <w:ind w:left="567" w:hanging="567"/>
        </w:pPr>
        <w:rPr>
          <w:rFonts w:hint="default"/>
        </w:rPr>
      </w:lvl>
    </w:lvlOverride>
    <w:lvlOverride w:ilvl="1">
      <w:lvl w:ilvl="1">
        <w:start w:val="1"/>
        <w:numFmt w:val="lowerLetter"/>
        <w:lvlText w:val="(%2)"/>
        <w:lvlJc w:val="left"/>
        <w:pPr>
          <w:ind w:left="992" w:hanging="567"/>
        </w:pPr>
        <w:rPr>
          <w:rFonts w:hint="default"/>
        </w:rPr>
      </w:lvl>
    </w:lvlOverride>
    <w:lvlOverride w:ilvl="2">
      <w:lvl w:ilvl="2">
        <w:start w:val="1"/>
        <w:numFmt w:val="lowerRoman"/>
        <w:lvlText w:val="%3)"/>
        <w:lvlJc w:val="left"/>
        <w:pPr>
          <w:ind w:left="1417"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19">
    <w:abstractNumId w:val="17"/>
    <w:lvlOverride w:ilvl="0">
      <w:lvl w:ilvl="0">
        <w:start w:val="1"/>
        <w:numFmt w:val="decimal"/>
        <w:pStyle w:val="anumbering1ai"/>
        <w:isLgl/>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417" w:hanging="425"/>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0">
    <w:abstractNumId w:val="17"/>
    <w:lvlOverride w:ilvl="0">
      <w:lvl w:ilvl="0">
        <w:start w:val="1"/>
        <w:numFmt w:val="decimal"/>
        <w:pStyle w:val="anumbering1ai"/>
        <w:isLgl/>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417" w:hanging="425"/>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1">
    <w:abstractNumId w:val="3"/>
  </w:num>
  <w:num w:numId="22">
    <w:abstractNumId w:val="2"/>
  </w:num>
  <w:num w:numId="23">
    <w:abstractNumId w:val="1"/>
  </w:num>
  <w:num w:numId="24">
    <w:abstractNumId w:val="0"/>
  </w:num>
  <w:num w:numId="25">
    <w:abstractNumId w:val="17"/>
  </w:num>
  <w:num w:numId="26">
    <w:abstractNumId w:val="5"/>
  </w:num>
  <w:num w:numId="27">
    <w:abstractNumId w:val="17"/>
    <w:lvlOverride w:ilvl="0">
      <w:lvl w:ilvl="0">
        <w:start w:val="1"/>
        <w:numFmt w:val="decimal"/>
        <w:pStyle w:val="anumbering1ai"/>
        <w:isLg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8">
    <w:abstractNumId w:val="6"/>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1.%2"/>
        <w:lvlJc w:val="left"/>
        <w:pPr>
          <w:tabs>
            <w:tab w:val="num" w:pos="1418"/>
          </w:tabs>
          <w:ind w:left="1418" w:hanging="851"/>
        </w:pPr>
        <w:rPr>
          <w:rFonts w:hint="default"/>
        </w:rPr>
      </w:lvl>
    </w:lvlOverride>
    <w:lvlOverride w:ilvl="2">
      <w:startOverride w:val="1"/>
      <w:lvl w:ilvl="2">
        <w:start w:val="1"/>
        <w:numFmt w:val="decimal"/>
        <w:lvlRestart w:val="0"/>
        <w:lvlText w:val="%1.%2.%3"/>
        <w:lvlJc w:val="left"/>
        <w:pPr>
          <w:tabs>
            <w:tab w:val="num" w:pos="2268"/>
          </w:tabs>
          <w:ind w:left="2268" w:hanging="850"/>
        </w:pPr>
        <w:rPr>
          <w:rFonts w:hint="default"/>
        </w:rPr>
      </w:lvl>
    </w:lvlOverride>
    <w:lvlOverride w:ilvl="3">
      <w:startOverride w:val="1"/>
      <w:lvl w:ilvl="3">
        <w:start w:val="1"/>
        <w:numFmt w:val="decimal"/>
        <w:lvlText w:val="%1.%2.%3.%4"/>
        <w:lvlJc w:val="left"/>
        <w:pPr>
          <w:ind w:left="2268" w:hanging="567"/>
        </w:pPr>
        <w:rPr>
          <w:rFonts w:hint="default"/>
        </w:rPr>
      </w:lvl>
    </w:lvlOverride>
    <w:lvlOverride w:ilvl="4">
      <w:startOverride w:val="1"/>
      <w:lvl w:ilvl="4">
        <w:start w:val="1"/>
        <w:numFmt w:val="decimal"/>
        <w:lvlText w:val="%1.%2.%3.%4.%5."/>
        <w:lvlJc w:val="left"/>
        <w:pPr>
          <w:ind w:left="2835" w:hanging="567"/>
        </w:pPr>
        <w:rPr>
          <w:rFonts w:hint="default"/>
        </w:rPr>
      </w:lvl>
    </w:lvlOverride>
    <w:lvlOverride w:ilvl="5">
      <w:startOverride w:val="1"/>
      <w:lvl w:ilvl="5">
        <w:start w:val="1"/>
        <w:numFmt w:val="decimal"/>
        <w:lvlText w:val="%1.%2.%3.%4.%5.%6."/>
        <w:lvlJc w:val="left"/>
        <w:pPr>
          <w:ind w:left="3402" w:hanging="567"/>
        </w:pPr>
        <w:rPr>
          <w:rFonts w:hint="default"/>
        </w:rPr>
      </w:lvl>
    </w:lvlOverride>
    <w:lvlOverride w:ilvl="6">
      <w:startOverride w:val="1"/>
      <w:lvl w:ilvl="6">
        <w:start w:val="1"/>
        <w:numFmt w:val="decimal"/>
        <w:lvlText w:val="%1.%2.%3.%4.%5.%6.%7."/>
        <w:lvlJc w:val="left"/>
        <w:pPr>
          <w:ind w:left="3969" w:hanging="567"/>
        </w:pPr>
        <w:rPr>
          <w:rFonts w:hint="default"/>
        </w:rPr>
      </w:lvl>
    </w:lvlOverride>
    <w:lvlOverride w:ilvl="7">
      <w:startOverride w:val="1"/>
      <w:lvl w:ilvl="7">
        <w:start w:val="1"/>
        <w:numFmt w:val="decimal"/>
        <w:lvlText w:val="%1.%2.%3.%4.%5.%6.%7.%8."/>
        <w:lvlJc w:val="left"/>
        <w:pPr>
          <w:ind w:left="4536" w:hanging="567"/>
        </w:pPr>
        <w:rPr>
          <w:rFonts w:hint="default"/>
        </w:rPr>
      </w:lvl>
    </w:lvlOverride>
    <w:lvlOverride w:ilvl="8">
      <w:startOverride w:val="1"/>
      <w:lvl w:ilvl="8">
        <w:start w:val="1"/>
        <w:numFmt w:val="decimal"/>
        <w:lvlText w:val="%1.%2.%3.%4.%5.%6.%7.%8.%9."/>
        <w:lvlJc w:val="left"/>
        <w:pPr>
          <w:ind w:left="5103" w:hanging="567"/>
        </w:pPr>
        <w:rPr>
          <w:rFonts w:hint="default"/>
        </w:rPr>
      </w:lvl>
    </w:lvlOverride>
  </w:num>
  <w:num w:numId="31">
    <w:abstractNumId w:val="17"/>
    <w:lvlOverride w:ilvl="0">
      <w:startOverride w:val="1"/>
      <w:lvl w:ilvl="0">
        <w:start w:val="1"/>
        <w:numFmt w:val="decimal"/>
        <w:pStyle w:val="anumbering1ai"/>
        <w:isLg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hint="default"/>
        </w:rPr>
      </w:lvl>
    </w:lvlOverride>
    <w:lvlOverride w:ilvl="2">
      <w:startOverride w:val="1"/>
      <w:lvl w:ilvl="2">
        <w:start w:val="1"/>
        <w:numFmt w:val="lowerRoman"/>
        <w:lvlText w:val="(%3)"/>
        <w:lvlJc w:val="left"/>
        <w:pPr>
          <w:tabs>
            <w:tab w:val="num" w:pos="1701"/>
          </w:tabs>
          <w:ind w:left="1701" w:hanging="567"/>
        </w:pPr>
        <w:rPr>
          <w:rFonts w:hint="default"/>
        </w:rPr>
      </w:lvl>
    </w:lvlOverride>
    <w:lvlOverride w:ilvl="3">
      <w:startOverride w:val="1"/>
      <w:lvl w:ilvl="3">
        <w:start w:val="1"/>
        <w:numFmt w:val="decimal"/>
        <w:lvlText w:val="(%4)"/>
        <w:lvlJc w:val="left"/>
        <w:pPr>
          <w:ind w:left="1842" w:hanging="567"/>
        </w:pPr>
        <w:rPr>
          <w:rFonts w:hint="default"/>
        </w:rPr>
      </w:lvl>
    </w:lvlOverride>
    <w:lvlOverride w:ilvl="4">
      <w:startOverride w:val="1"/>
      <w:lvl w:ilvl="4">
        <w:start w:val="1"/>
        <w:numFmt w:val="lowerLetter"/>
        <w:lvlText w:val="(%5)"/>
        <w:lvlJc w:val="left"/>
        <w:pPr>
          <w:ind w:left="2267" w:hanging="567"/>
        </w:pPr>
        <w:rPr>
          <w:rFonts w:hint="default"/>
        </w:rPr>
      </w:lvl>
    </w:lvlOverride>
    <w:lvlOverride w:ilvl="5">
      <w:startOverride w:val="1"/>
      <w:lvl w:ilvl="5">
        <w:start w:val="1"/>
        <w:numFmt w:val="lowerRoman"/>
        <w:lvlText w:val="(%6)"/>
        <w:lvlJc w:val="left"/>
        <w:pPr>
          <w:ind w:left="2692" w:hanging="567"/>
        </w:pPr>
        <w:rPr>
          <w:rFonts w:hint="default"/>
        </w:rPr>
      </w:lvl>
    </w:lvlOverride>
    <w:lvlOverride w:ilvl="6">
      <w:startOverride w:val="1"/>
      <w:lvl w:ilvl="6">
        <w:start w:val="1"/>
        <w:numFmt w:val="decimal"/>
        <w:lvlText w:val="%7."/>
        <w:lvlJc w:val="left"/>
        <w:pPr>
          <w:ind w:left="3117" w:hanging="567"/>
        </w:pPr>
        <w:rPr>
          <w:rFonts w:hint="default"/>
        </w:rPr>
      </w:lvl>
    </w:lvlOverride>
    <w:lvlOverride w:ilvl="7">
      <w:startOverride w:val="1"/>
      <w:lvl w:ilvl="7">
        <w:start w:val="1"/>
        <w:numFmt w:val="lowerLetter"/>
        <w:lvlText w:val="%8."/>
        <w:lvlJc w:val="left"/>
        <w:pPr>
          <w:ind w:left="3542" w:hanging="567"/>
        </w:pPr>
        <w:rPr>
          <w:rFonts w:hint="default"/>
        </w:rPr>
      </w:lvl>
    </w:lvlOverride>
    <w:lvlOverride w:ilvl="8">
      <w:startOverride w:val="1"/>
      <w:lvl w:ilvl="8">
        <w:start w:val="1"/>
        <w:numFmt w:val="lowerRoman"/>
        <w:lvlText w:val="%9."/>
        <w:lvlJc w:val="left"/>
        <w:pPr>
          <w:ind w:left="3967" w:hanging="567"/>
        </w:pPr>
        <w:rPr>
          <w:rFonts w:hint="default"/>
        </w:rPr>
      </w:lvl>
    </w:lvlOverride>
  </w:num>
  <w:num w:numId="32">
    <w:abstractNumId w:val="7"/>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1.%2"/>
        <w:lvlJc w:val="left"/>
        <w:pPr>
          <w:tabs>
            <w:tab w:val="num" w:pos="1418"/>
          </w:tabs>
          <w:ind w:left="1418" w:hanging="851"/>
        </w:pPr>
        <w:rPr>
          <w:rFonts w:hint="default"/>
        </w:rPr>
      </w:lvl>
    </w:lvlOverride>
    <w:lvlOverride w:ilvl="2">
      <w:startOverride w:val="1"/>
      <w:lvl w:ilvl="2">
        <w:start w:val="1"/>
        <w:numFmt w:val="decimal"/>
        <w:lvlRestart w:val="0"/>
        <w:isLgl/>
        <w:lvlText w:val="%1.%2.%3"/>
        <w:lvlJc w:val="left"/>
        <w:pPr>
          <w:tabs>
            <w:tab w:val="num" w:pos="2268"/>
          </w:tabs>
          <w:ind w:left="2268" w:hanging="850"/>
        </w:pPr>
        <w:rPr>
          <w:rFonts w:hint="default"/>
        </w:rPr>
      </w:lvl>
    </w:lvlOverride>
    <w:lvlOverride w:ilvl="3">
      <w:startOverride w:val="1"/>
      <w:lvl w:ilvl="3">
        <w:start w:val="1"/>
        <w:numFmt w:val="decimal"/>
        <w:lvlText w:val="%1.%2.%3.%4"/>
        <w:lvlJc w:val="left"/>
        <w:pPr>
          <w:ind w:left="2268" w:hanging="567"/>
        </w:pPr>
        <w:rPr>
          <w:rFonts w:hint="default"/>
        </w:rPr>
      </w:lvl>
    </w:lvlOverride>
    <w:lvlOverride w:ilvl="4">
      <w:startOverride w:val="1"/>
      <w:lvl w:ilvl="4">
        <w:start w:val="1"/>
        <w:numFmt w:val="decimal"/>
        <w:lvlText w:val="%1.%2.%3.%4.%5."/>
        <w:lvlJc w:val="left"/>
        <w:pPr>
          <w:ind w:left="2835" w:hanging="567"/>
        </w:pPr>
        <w:rPr>
          <w:rFonts w:hint="default"/>
        </w:rPr>
      </w:lvl>
    </w:lvlOverride>
    <w:lvlOverride w:ilvl="5">
      <w:startOverride w:val="1"/>
      <w:lvl w:ilvl="5">
        <w:start w:val="1"/>
        <w:numFmt w:val="decimal"/>
        <w:lvlText w:val="%1.%2.%3.%4.%5.%6."/>
        <w:lvlJc w:val="left"/>
        <w:pPr>
          <w:ind w:left="3402" w:hanging="567"/>
        </w:pPr>
        <w:rPr>
          <w:rFonts w:hint="default"/>
        </w:rPr>
      </w:lvl>
    </w:lvlOverride>
    <w:lvlOverride w:ilvl="6">
      <w:startOverride w:val="1"/>
      <w:lvl w:ilvl="6">
        <w:start w:val="1"/>
        <w:numFmt w:val="decimal"/>
        <w:lvlText w:val="%1.%2.%3.%4.%5.%6.%7."/>
        <w:lvlJc w:val="left"/>
        <w:pPr>
          <w:ind w:left="3969" w:hanging="567"/>
        </w:pPr>
        <w:rPr>
          <w:rFonts w:hint="default"/>
        </w:rPr>
      </w:lvl>
    </w:lvlOverride>
    <w:lvlOverride w:ilvl="7">
      <w:startOverride w:val="1"/>
      <w:lvl w:ilvl="7">
        <w:start w:val="1"/>
        <w:numFmt w:val="decimal"/>
        <w:lvlText w:val="%1.%2.%3.%4.%5.%6.%7.%8."/>
        <w:lvlJc w:val="left"/>
        <w:pPr>
          <w:ind w:left="4536" w:hanging="567"/>
        </w:pPr>
        <w:rPr>
          <w:rFonts w:hint="default"/>
        </w:rPr>
      </w:lvl>
    </w:lvlOverride>
    <w:lvlOverride w:ilvl="8">
      <w:startOverride w:val="1"/>
      <w:lvl w:ilvl="8">
        <w:start w:val="1"/>
        <w:numFmt w:val="decimal"/>
        <w:lvlText w:val="%1.%2.%3.%4.%5.%6.%7.%8.%9."/>
        <w:lvlJc w:val="left"/>
        <w:pPr>
          <w:ind w:left="5103" w:hanging="567"/>
        </w:pPr>
        <w:rPr>
          <w:rFonts w:hint="default"/>
        </w:rPr>
      </w:lvl>
    </w:lvlOverride>
  </w:num>
  <w:num w:numId="33">
    <w:abstractNumId w:val="4"/>
  </w:num>
  <w:num w:numId="34">
    <w:abstractNumId w:val="17"/>
    <w:lvlOverride w:ilvl="0">
      <w:lvl w:ilvl="0">
        <w:start w:val="1"/>
        <w:numFmt w:val="decimal"/>
        <w:pStyle w:val="anumbering1ai"/>
        <w:isLg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35">
    <w:abstractNumId w:val="5"/>
  </w:num>
  <w:num w:numId="36">
    <w:abstractNumId w:val="6"/>
  </w:num>
  <w:num w:numId="37">
    <w:abstractNumId w:val="4"/>
  </w:num>
  <w:num w:numId="38">
    <w:abstractNumId w:val="4"/>
  </w:num>
  <w:num w:numId="39">
    <w:abstractNumId w:val="4"/>
  </w:num>
  <w:num w:numId="40">
    <w:abstractNumId w:val="5"/>
    <w:lvlOverride w:ilvl="0">
      <w:startOverride w:val="1"/>
    </w:lvlOverride>
  </w:num>
  <w:num w:numId="41">
    <w:abstractNumId w:val="12"/>
  </w:num>
  <w:num w:numId="42">
    <w:abstractNumId w:val="14"/>
  </w:num>
  <w:num w:numId="43">
    <w:abstractNumId w:val="10"/>
  </w:num>
  <w:num w:numId="44">
    <w:abstractNumId w:val="11"/>
  </w:num>
  <w:num w:numId="45">
    <w:abstractNumId w:val="13"/>
  </w:num>
  <w:num w:numId="46">
    <w:abstractNumId w:val="8"/>
  </w:num>
  <w:num w:numId="47">
    <w:abstractNumId w:val="15"/>
  </w:num>
  <w:num w:numId="48">
    <w:abstractNumId w:val="9"/>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0"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FAB492-A1B0-4276-9FEA-C6F0BBCA9BB8}"/>
    <w:docVar w:name="dgnword-eventsink" w:val="372048072"/>
  </w:docVars>
  <w:rsids>
    <w:rsidRoot w:val="00D87D17"/>
    <w:rsid w:val="00001FD6"/>
    <w:rsid w:val="00004C5A"/>
    <w:rsid w:val="00004F24"/>
    <w:rsid w:val="00010811"/>
    <w:rsid w:val="00010DB6"/>
    <w:rsid w:val="000128A3"/>
    <w:rsid w:val="00013D8D"/>
    <w:rsid w:val="0001773E"/>
    <w:rsid w:val="00017A94"/>
    <w:rsid w:val="000212EB"/>
    <w:rsid w:val="000242E9"/>
    <w:rsid w:val="00031A41"/>
    <w:rsid w:val="00032282"/>
    <w:rsid w:val="000330B5"/>
    <w:rsid w:val="0003509A"/>
    <w:rsid w:val="0004008B"/>
    <w:rsid w:val="00045109"/>
    <w:rsid w:val="00051AC7"/>
    <w:rsid w:val="000531E3"/>
    <w:rsid w:val="000541C6"/>
    <w:rsid w:val="000552DC"/>
    <w:rsid w:val="000556BD"/>
    <w:rsid w:val="0005706A"/>
    <w:rsid w:val="00061EEF"/>
    <w:rsid w:val="00061F62"/>
    <w:rsid w:val="00062378"/>
    <w:rsid w:val="0006668E"/>
    <w:rsid w:val="00066FB2"/>
    <w:rsid w:val="00067364"/>
    <w:rsid w:val="00073459"/>
    <w:rsid w:val="00074F6D"/>
    <w:rsid w:val="0007614E"/>
    <w:rsid w:val="00076FD7"/>
    <w:rsid w:val="000778D8"/>
    <w:rsid w:val="00081439"/>
    <w:rsid w:val="000814C8"/>
    <w:rsid w:val="000814F4"/>
    <w:rsid w:val="00081DF2"/>
    <w:rsid w:val="00083021"/>
    <w:rsid w:val="00083616"/>
    <w:rsid w:val="00084F33"/>
    <w:rsid w:val="00086C8E"/>
    <w:rsid w:val="000901FA"/>
    <w:rsid w:val="000921CB"/>
    <w:rsid w:val="00094514"/>
    <w:rsid w:val="00095057"/>
    <w:rsid w:val="000962AE"/>
    <w:rsid w:val="0009752B"/>
    <w:rsid w:val="000A09F3"/>
    <w:rsid w:val="000A1720"/>
    <w:rsid w:val="000A19A6"/>
    <w:rsid w:val="000A26C8"/>
    <w:rsid w:val="000A3AB7"/>
    <w:rsid w:val="000B0E84"/>
    <w:rsid w:val="000B187F"/>
    <w:rsid w:val="000B6755"/>
    <w:rsid w:val="000B692E"/>
    <w:rsid w:val="000C1238"/>
    <w:rsid w:val="000D1697"/>
    <w:rsid w:val="000D3FE9"/>
    <w:rsid w:val="000D4A16"/>
    <w:rsid w:val="000F4F77"/>
    <w:rsid w:val="000F7FC8"/>
    <w:rsid w:val="00100A95"/>
    <w:rsid w:val="00101C05"/>
    <w:rsid w:val="00106984"/>
    <w:rsid w:val="00106C17"/>
    <w:rsid w:val="00112E5C"/>
    <w:rsid w:val="00114731"/>
    <w:rsid w:val="00114D26"/>
    <w:rsid w:val="00115E09"/>
    <w:rsid w:val="001163CA"/>
    <w:rsid w:val="001166D9"/>
    <w:rsid w:val="00124280"/>
    <w:rsid w:val="00124AD1"/>
    <w:rsid w:val="00124EBF"/>
    <w:rsid w:val="001261D5"/>
    <w:rsid w:val="00130C00"/>
    <w:rsid w:val="00130F0C"/>
    <w:rsid w:val="00131191"/>
    <w:rsid w:val="00131556"/>
    <w:rsid w:val="00132471"/>
    <w:rsid w:val="00133152"/>
    <w:rsid w:val="00136CB6"/>
    <w:rsid w:val="00141776"/>
    <w:rsid w:val="0014607A"/>
    <w:rsid w:val="00150764"/>
    <w:rsid w:val="00150C42"/>
    <w:rsid w:val="00151BC9"/>
    <w:rsid w:val="00153E09"/>
    <w:rsid w:val="001544C6"/>
    <w:rsid w:val="00155985"/>
    <w:rsid w:val="0016289B"/>
    <w:rsid w:val="0016430D"/>
    <w:rsid w:val="00164870"/>
    <w:rsid w:val="0016776F"/>
    <w:rsid w:val="00170A36"/>
    <w:rsid w:val="00171C76"/>
    <w:rsid w:val="001746B8"/>
    <w:rsid w:val="001779FD"/>
    <w:rsid w:val="0018020B"/>
    <w:rsid w:val="00186867"/>
    <w:rsid w:val="0018695F"/>
    <w:rsid w:val="00191391"/>
    <w:rsid w:val="00193B86"/>
    <w:rsid w:val="00196DE8"/>
    <w:rsid w:val="001A0807"/>
    <w:rsid w:val="001A083D"/>
    <w:rsid w:val="001A174F"/>
    <w:rsid w:val="001A3662"/>
    <w:rsid w:val="001A37A3"/>
    <w:rsid w:val="001A5E44"/>
    <w:rsid w:val="001A602A"/>
    <w:rsid w:val="001A7771"/>
    <w:rsid w:val="001A798F"/>
    <w:rsid w:val="001B08EF"/>
    <w:rsid w:val="001B4C88"/>
    <w:rsid w:val="001C23E2"/>
    <w:rsid w:val="001C2AB4"/>
    <w:rsid w:val="001C3231"/>
    <w:rsid w:val="001C4688"/>
    <w:rsid w:val="001C496C"/>
    <w:rsid w:val="001C6065"/>
    <w:rsid w:val="001C6A41"/>
    <w:rsid w:val="001C70BE"/>
    <w:rsid w:val="001C790D"/>
    <w:rsid w:val="001D04D4"/>
    <w:rsid w:val="001D0B04"/>
    <w:rsid w:val="001D1DF1"/>
    <w:rsid w:val="001D33AE"/>
    <w:rsid w:val="001D39D6"/>
    <w:rsid w:val="001D488F"/>
    <w:rsid w:val="001E031B"/>
    <w:rsid w:val="001E0AA1"/>
    <w:rsid w:val="001E3B6F"/>
    <w:rsid w:val="001E4780"/>
    <w:rsid w:val="001E5B38"/>
    <w:rsid w:val="001F1772"/>
    <w:rsid w:val="001F574C"/>
    <w:rsid w:val="001F7E06"/>
    <w:rsid w:val="001F7F1F"/>
    <w:rsid w:val="002017ED"/>
    <w:rsid w:val="0020188B"/>
    <w:rsid w:val="00202897"/>
    <w:rsid w:val="00203FB8"/>
    <w:rsid w:val="00210EDC"/>
    <w:rsid w:val="00211101"/>
    <w:rsid w:val="00211CCA"/>
    <w:rsid w:val="00212410"/>
    <w:rsid w:val="002164BD"/>
    <w:rsid w:val="00216783"/>
    <w:rsid w:val="00216977"/>
    <w:rsid w:val="0022046F"/>
    <w:rsid w:val="00223BAD"/>
    <w:rsid w:val="00224475"/>
    <w:rsid w:val="00225D58"/>
    <w:rsid w:val="002261B9"/>
    <w:rsid w:val="00227566"/>
    <w:rsid w:val="00230EC4"/>
    <w:rsid w:val="002315D7"/>
    <w:rsid w:val="00240DE9"/>
    <w:rsid w:val="002422A5"/>
    <w:rsid w:val="002425FB"/>
    <w:rsid w:val="0024485D"/>
    <w:rsid w:val="0024549A"/>
    <w:rsid w:val="00246201"/>
    <w:rsid w:val="002473B6"/>
    <w:rsid w:val="00251BF0"/>
    <w:rsid w:val="00256502"/>
    <w:rsid w:val="00256682"/>
    <w:rsid w:val="00256D64"/>
    <w:rsid w:val="002575B2"/>
    <w:rsid w:val="002611CD"/>
    <w:rsid w:val="00261AEB"/>
    <w:rsid w:val="0026649C"/>
    <w:rsid w:val="002706D8"/>
    <w:rsid w:val="0027092F"/>
    <w:rsid w:val="00270B31"/>
    <w:rsid w:val="00281074"/>
    <w:rsid w:val="0028449E"/>
    <w:rsid w:val="00293D61"/>
    <w:rsid w:val="00294655"/>
    <w:rsid w:val="00294F75"/>
    <w:rsid w:val="00295CCB"/>
    <w:rsid w:val="002965B9"/>
    <w:rsid w:val="002A34EB"/>
    <w:rsid w:val="002A4572"/>
    <w:rsid w:val="002A5FD0"/>
    <w:rsid w:val="002A60E6"/>
    <w:rsid w:val="002A73A6"/>
    <w:rsid w:val="002B0D9E"/>
    <w:rsid w:val="002B1238"/>
    <w:rsid w:val="002B1989"/>
    <w:rsid w:val="002B1E97"/>
    <w:rsid w:val="002B3BD8"/>
    <w:rsid w:val="002B5B08"/>
    <w:rsid w:val="002B6772"/>
    <w:rsid w:val="002B739C"/>
    <w:rsid w:val="002B7F83"/>
    <w:rsid w:val="002C43A9"/>
    <w:rsid w:val="002C4D51"/>
    <w:rsid w:val="002C62DD"/>
    <w:rsid w:val="002C6B98"/>
    <w:rsid w:val="002C6EE2"/>
    <w:rsid w:val="002C739C"/>
    <w:rsid w:val="002D099C"/>
    <w:rsid w:val="002D1900"/>
    <w:rsid w:val="002D5B70"/>
    <w:rsid w:val="002D5E31"/>
    <w:rsid w:val="002E04CE"/>
    <w:rsid w:val="002E0FDE"/>
    <w:rsid w:val="002E1701"/>
    <w:rsid w:val="002E186F"/>
    <w:rsid w:val="002E7362"/>
    <w:rsid w:val="002E73B9"/>
    <w:rsid w:val="002F0C3B"/>
    <w:rsid w:val="002F135B"/>
    <w:rsid w:val="002F15D4"/>
    <w:rsid w:val="002F298B"/>
    <w:rsid w:val="002F338A"/>
    <w:rsid w:val="002F47CD"/>
    <w:rsid w:val="002F5F33"/>
    <w:rsid w:val="002F73BE"/>
    <w:rsid w:val="003007BD"/>
    <w:rsid w:val="00301D9F"/>
    <w:rsid w:val="00312244"/>
    <w:rsid w:val="00313134"/>
    <w:rsid w:val="00315712"/>
    <w:rsid w:val="00316009"/>
    <w:rsid w:val="00320EF0"/>
    <w:rsid w:val="003216B6"/>
    <w:rsid w:val="00324D6D"/>
    <w:rsid w:val="003256EF"/>
    <w:rsid w:val="003258C3"/>
    <w:rsid w:val="00325AA3"/>
    <w:rsid w:val="00326BBB"/>
    <w:rsid w:val="00330836"/>
    <w:rsid w:val="0033243F"/>
    <w:rsid w:val="00332835"/>
    <w:rsid w:val="00333972"/>
    <w:rsid w:val="00336069"/>
    <w:rsid w:val="003422CF"/>
    <w:rsid w:val="003426FF"/>
    <w:rsid w:val="00346C0F"/>
    <w:rsid w:val="003502E6"/>
    <w:rsid w:val="00350493"/>
    <w:rsid w:val="0035651C"/>
    <w:rsid w:val="003620A5"/>
    <w:rsid w:val="00364209"/>
    <w:rsid w:val="0037061B"/>
    <w:rsid w:val="003737CC"/>
    <w:rsid w:val="00374180"/>
    <w:rsid w:val="003761A4"/>
    <w:rsid w:val="00377720"/>
    <w:rsid w:val="0038698F"/>
    <w:rsid w:val="00386D63"/>
    <w:rsid w:val="00395AB4"/>
    <w:rsid w:val="003961D6"/>
    <w:rsid w:val="00397E28"/>
    <w:rsid w:val="003A0E12"/>
    <w:rsid w:val="003A13C3"/>
    <w:rsid w:val="003A1F7D"/>
    <w:rsid w:val="003A4A23"/>
    <w:rsid w:val="003A5622"/>
    <w:rsid w:val="003A7A55"/>
    <w:rsid w:val="003B3AAB"/>
    <w:rsid w:val="003B45D8"/>
    <w:rsid w:val="003B4709"/>
    <w:rsid w:val="003B4C54"/>
    <w:rsid w:val="003B5313"/>
    <w:rsid w:val="003B6D3B"/>
    <w:rsid w:val="003C36B2"/>
    <w:rsid w:val="003C474C"/>
    <w:rsid w:val="003C49D2"/>
    <w:rsid w:val="003D3066"/>
    <w:rsid w:val="003D7C91"/>
    <w:rsid w:val="003D7D19"/>
    <w:rsid w:val="003E1ACD"/>
    <w:rsid w:val="003E2EDB"/>
    <w:rsid w:val="003E420D"/>
    <w:rsid w:val="003E5801"/>
    <w:rsid w:val="003E5C26"/>
    <w:rsid w:val="003E6210"/>
    <w:rsid w:val="003E62BD"/>
    <w:rsid w:val="003F0D39"/>
    <w:rsid w:val="003F1178"/>
    <w:rsid w:val="003F4B20"/>
    <w:rsid w:val="003F56D6"/>
    <w:rsid w:val="004006F5"/>
    <w:rsid w:val="00401067"/>
    <w:rsid w:val="00405569"/>
    <w:rsid w:val="0040592A"/>
    <w:rsid w:val="00406970"/>
    <w:rsid w:val="00411BF7"/>
    <w:rsid w:val="00411E7B"/>
    <w:rsid w:val="004240AD"/>
    <w:rsid w:val="004243BA"/>
    <w:rsid w:val="004266AC"/>
    <w:rsid w:val="00426838"/>
    <w:rsid w:val="00426FDD"/>
    <w:rsid w:val="00427074"/>
    <w:rsid w:val="00430A72"/>
    <w:rsid w:val="004343A5"/>
    <w:rsid w:val="004436EA"/>
    <w:rsid w:val="00443EF4"/>
    <w:rsid w:val="00445B57"/>
    <w:rsid w:val="00453976"/>
    <w:rsid w:val="00455603"/>
    <w:rsid w:val="0045796C"/>
    <w:rsid w:val="004616B5"/>
    <w:rsid w:val="0046196A"/>
    <w:rsid w:val="00461F64"/>
    <w:rsid w:val="00464741"/>
    <w:rsid w:val="00464E35"/>
    <w:rsid w:val="00464EDA"/>
    <w:rsid w:val="004653F2"/>
    <w:rsid w:val="00470672"/>
    <w:rsid w:val="00472008"/>
    <w:rsid w:val="0047242B"/>
    <w:rsid w:val="00475FB7"/>
    <w:rsid w:val="004770E2"/>
    <w:rsid w:val="0048068D"/>
    <w:rsid w:val="00482C3A"/>
    <w:rsid w:val="00483AD3"/>
    <w:rsid w:val="00492961"/>
    <w:rsid w:val="004964C0"/>
    <w:rsid w:val="004A0779"/>
    <w:rsid w:val="004A1D2E"/>
    <w:rsid w:val="004A393E"/>
    <w:rsid w:val="004A56E4"/>
    <w:rsid w:val="004A575C"/>
    <w:rsid w:val="004A6E3F"/>
    <w:rsid w:val="004B261B"/>
    <w:rsid w:val="004B445E"/>
    <w:rsid w:val="004B4D20"/>
    <w:rsid w:val="004C01F7"/>
    <w:rsid w:val="004C27D7"/>
    <w:rsid w:val="004C521E"/>
    <w:rsid w:val="004C564E"/>
    <w:rsid w:val="004D0646"/>
    <w:rsid w:val="004D0EAC"/>
    <w:rsid w:val="004D3589"/>
    <w:rsid w:val="004D4CE4"/>
    <w:rsid w:val="004D5E5F"/>
    <w:rsid w:val="004E05EF"/>
    <w:rsid w:val="004E0A92"/>
    <w:rsid w:val="004E1C5A"/>
    <w:rsid w:val="004E20F5"/>
    <w:rsid w:val="004E4886"/>
    <w:rsid w:val="004E60F7"/>
    <w:rsid w:val="004E681B"/>
    <w:rsid w:val="004E78A4"/>
    <w:rsid w:val="004F0660"/>
    <w:rsid w:val="004F4201"/>
    <w:rsid w:val="004F4435"/>
    <w:rsid w:val="004F64BC"/>
    <w:rsid w:val="005006B3"/>
    <w:rsid w:val="0050330B"/>
    <w:rsid w:val="005049D1"/>
    <w:rsid w:val="005054B4"/>
    <w:rsid w:val="005158AD"/>
    <w:rsid w:val="005158E4"/>
    <w:rsid w:val="0051625B"/>
    <w:rsid w:val="005177D7"/>
    <w:rsid w:val="00517B06"/>
    <w:rsid w:val="00526E97"/>
    <w:rsid w:val="00527FCE"/>
    <w:rsid w:val="00535943"/>
    <w:rsid w:val="00541847"/>
    <w:rsid w:val="00543423"/>
    <w:rsid w:val="00545CC0"/>
    <w:rsid w:val="00546A38"/>
    <w:rsid w:val="00546E04"/>
    <w:rsid w:val="005523F5"/>
    <w:rsid w:val="00552F0C"/>
    <w:rsid w:val="00553341"/>
    <w:rsid w:val="00554FCE"/>
    <w:rsid w:val="00557DBC"/>
    <w:rsid w:val="005602FA"/>
    <w:rsid w:val="00561B70"/>
    <w:rsid w:val="00565958"/>
    <w:rsid w:val="0056693B"/>
    <w:rsid w:val="0057213F"/>
    <w:rsid w:val="00572980"/>
    <w:rsid w:val="00573B3D"/>
    <w:rsid w:val="0057657D"/>
    <w:rsid w:val="005769D9"/>
    <w:rsid w:val="005815C7"/>
    <w:rsid w:val="00584EFC"/>
    <w:rsid w:val="005854FF"/>
    <w:rsid w:val="00585650"/>
    <w:rsid w:val="00585949"/>
    <w:rsid w:val="00596038"/>
    <w:rsid w:val="005A1056"/>
    <w:rsid w:val="005A3F10"/>
    <w:rsid w:val="005A414E"/>
    <w:rsid w:val="005A4BD5"/>
    <w:rsid w:val="005A55BA"/>
    <w:rsid w:val="005A66A8"/>
    <w:rsid w:val="005B12A2"/>
    <w:rsid w:val="005B1314"/>
    <w:rsid w:val="005B2237"/>
    <w:rsid w:val="005B6A17"/>
    <w:rsid w:val="005C043A"/>
    <w:rsid w:val="005C23F9"/>
    <w:rsid w:val="005C45D5"/>
    <w:rsid w:val="005C6904"/>
    <w:rsid w:val="005D080E"/>
    <w:rsid w:val="005D143F"/>
    <w:rsid w:val="005D14A5"/>
    <w:rsid w:val="005D154C"/>
    <w:rsid w:val="005D282F"/>
    <w:rsid w:val="005D5861"/>
    <w:rsid w:val="005D63F2"/>
    <w:rsid w:val="005D7F7E"/>
    <w:rsid w:val="005E7033"/>
    <w:rsid w:val="005E78C4"/>
    <w:rsid w:val="005F012C"/>
    <w:rsid w:val="005F580E"/>
    <w:rsid w:val="005F714A"/>
    <w:rsid w:val="006048E4"/>
    <w:rsid w:val="00604A3C"/>
    <w:rsid w:val="006111E9"/>
    <w:rsid w:val="00611919"/>
    <w:rsid w:val="00614385"/>
    <w:rsid w:val="0061609F"/>
    <w:rsid w:val="0062051E"/>
    <w:rsid w:val="00621E03"/>
    <w:rsid w:val="0062227F"/>
    <w:rsid w:val="0062273A"/>
    <w:rsid w:val="0062321E"/>
    <w:rsid w:val="00626D0F"/>
    <w:rsid w:val="00632527"/>
    <w:rsid w:val="00634987"/>
    <w:rsid w:val="00635800"/>
    <w:rsid w:val="0064149B"/>
    <w:rsid w:val="00643566"/>
    <w:rsid w:val="00645035"/>
    <w:rsid w:val="00646DF8"/>
    <w:rsid w:val="00652004"/>
    <w:rsid w:val="00654ACB"/>
    <w:rsid w:val="00656D63"/>
    <w:rsid w:val="00656F6C"/>
    <w:rsid w:val="006603D7"/>
    <w:rsid w:val="00663C52"/>
    <w:rsid w:val="00666B8D"/>
    <w:rsid w:val="0067366E"/>
    <w:rsid w:val="00677DE0"/>
    <w:rsid w:val="00683B2D"/>
    <w:rsid w:val="00684329"/>
    <w:rsid w:val="0068608A"/>
    <w:rsid w:val="006862AC"/>
    <w:rsid w:val="00687BAF"/>
    <w:rsid w:val="0069007C"/>
    <w:rsid w:val="00690399"/>
    <w:rsid w:val="006903C7"/>
    <w:rsid w:val="006907C8"/>
    <w:rsid w:val="00690826"/>
    <w:rsid w:val="00691E23"/>
    <w:rsid w:val="00692F70"/>
    <w:rsid w:val="006967A5"/>
    <w:rsid w:val="006A02DF"/>
    <w:rsid w:val="006A0348"/>
    <w:rsid w:val="006A107D"/>
    <w:rsid w:val="006A3021"/>
    <w:rsid w:val="006A33E4"/>
    <w:rsid w:val="006A37E6"/>
    <w:rsid w:val="006A3DB8"/>
    <w:rsid w:val="006A4737"/>
    <w:rsid w:val="006A5640"/>
    <w:rsid w:val="006A69AF"/>
    <w:rsid w:val="006A6D39"/>
    <w:rsid w:val="006C4F73"/>
    <w:rsid w:val="006C5DFD"/>
    <w:rsid w:val="006D3525"/>
    <w:rsid w:val="006D4791"/>
    <w:rsid w:val="006D56CA"/>
    <w:rsid w:val="006D5E76"/>
    <w:rsid w:val="006D5F63"/>
    <w:rsid w:val="006D7C3E"/>
    <w:rsid w:val="006E289B"/>
    <w:rsid w:val="006E2B5C"/>
    <w:rsid w:val="006E6F96"/>
    <w:rsid w:val="006E7058"/>
    <w:rsid w:val="006F09E8"/>
    <w:rsid w:val="006F1CA2"/>
    <w:rsid w:val="006F4D0D"/>
    <w:rsid w:val="006F5372"/>
    <w:rsid w:val="00700A1C"/>
    <w:rsid w:val="007028D0"/>
    <w:rsid w:val="007058A0"/>
    <w:rsid w:val="00706A0A"/>
    <w:rsid w:val="00707DB6"/>
    <w:rsid w:val="00711EE6"/>
    <w:rsid w:val="00717641"/>
    <w:rsid w:val="00723D38"/>
    <w:rsid w:val="007275F5"/>
    <w:rsid w:val="00727EE4"/>
    <w:rsid w:val="007328EA"/>
    <w:rsid w:val="0073313F"/>
    <w:rsid w:val="00733EF0"/>
    <w:rsid w:val="0073441F"/>
    <w:rsid w:val="00740106"/>
    <w:rsid w:val="00743771"/>
    <w:rsid w:val="00744330"/>
    <w:rsid w:val="0074475D"/>
    <w:rsid w:val="007461AA"/>
    <w:rsid w:val="0074636F"/>
    <w:rsid w:val="00746DFA"/>
    <w:rsid w:val="007520F0"/>
    <w:rsid w:val="00752449"/>
    <w:rsid w:val="0075317B"/>
    <w:rsid w:val="00753264"/>
    <w:rsid w:val="00764117"/>
    <w:rsid w:val="00764B53"/>
    <w:rsid w:val="00772C07"/>
    <w:rsid w:val="00772E34"/>
    <w:rsid w:val="00777007"/>
    <w:rsid w:val="00777D0D"/>
    <w:rsid w:val="00777D36"/>
    <w:rsid w:val="00780CAC"/>
    <w:rsid w:val="0078245F"/>
    <w:rsid w:val="007858CA"/>
    <w:rsid w:val="007860AF"/>
    <w:rsid w:val="007862DA"/>
    <w:rsid w:val="007873A4"/>
    <w:rsid w:val="00787565"/>
    <w:rsid w:val="00787610"/>
    <w:rsid w:val="00791811"/>
    <w:rsid w:val="00791DE6"/>
    <w:rsid w:val="00794D18"/>
    <w:rsid w:val="00795031"/>
    <w:rsid w:val="00795452"/>
    <w:rsid w:val="007A39B5"/>
    <w:rsid w:val="007B3C1E"/>
    <w:rsid w:val="007B5212"/>
    <w:rsid w:val="007B7164"/>
    <w:rsid w:val="007B7751"/>
    <w:rsid w:val="007C0904"/>
    <w:rsid w:val="007C1335"/>
    <w:rsid w:val="007C21D8"/>
    <w:rsid w:val="007C5054"/>
    <w:rsid w:val="007C5F0D"/>
    <w:rsid w:val="007D087E"/>
    <w:rsid w:val="007D1D98"/>
    <w:rsid w:val="007D2B68"/>
    <w:rsid w:val="007D333F"/>
    <w:rsid w:val="007D6903"/>
    <w:rsid w:val="007E1AB4"/>
    <w:rsid w:val="007E51F1"/>
    <w:rsid w:val="007F0F44"/>
    <w:rsid w:val="007F36C0"/>
    <w:rsid w:val="007F37C2"/>
    <w:rsid w:val="007F3E78"/>
    <w:rsid w:val="007F7E53"/>
    <w:rsid w:val="00803E98"/>
    <w:rsid w:val="00805B7D"/>
    <w:rsid w:val="0081042D"/>
    <w:rsid w:val="008104F1"/>
    <w:rsid w:val="00813FFF"/>
    <w:rsid w:val="00827461"/>
    <w:rsid w:val="00827A06"/>
    <w:rsid w:val="008316B4"/>
    <w:rsid w:val="00833F21"/>
    <w:rsid w:val="0083534E"/>
    <w:rsid w:val="008420AA"/>
    <w:rsid w:val="008443E5"/>
    <w:rsid w:val="00853C6C"/>
    <w:rsid w:val="00855304"/>
    <w:rsid w:val="00856A56"/>
    <w:rsid w:val="0085709A"/>
    <w:rsid w:val="0086101F"/>
    <w:rsid w:val="00862055"/>
    <w:rsid w:val="008636CE"/>
    <w:rsid w:val="00863AB8"/>
    <w:rsid w:val="00866574"/>
    <w:rsid w:val="00870002"/>
    <w:rsid w:val="0087062C"/>
    <w:rsid w:val="00870FD7"/>
    <w:rsid w:val="00872D5C"/>
    <w:rsid w:val="00872E3F"/>
    <w:rsid w:val="008744F3"/>
    <w:rsid w:val="00881077"/>
    <w:rsid w:val="00881848"/>
    <w:rsid w:val="00884A4E"/>
    <w:rsid w:val="008850FF"/>
    <w:rsid w:val="0088525B"/>
    <w:rsid w:val="008852B3"/>
    <w:rsid w:val="0089010E"/>
    <w:rsid w:val="00896ECF"/>
    <w:rsid w:val="00897045"/>
    <w:rsid w:val="008A0240"/>
    <w:rsid w:val="008A3496"/>
    <w:rsid w:val="008B0A6D"/>
    <w:rsid w:val="008B1086"/>
    <w:rsid w:val="008B1E7C"/>
    <w:rsid w:val="008B2735"/>
    <w:rsid w:val="008B3675"/>
    <w:rsid w:val="008B49E5"/>
    <w:rsid w:val="008B61F3"/>
    <w:rsid w:val="008B72AA"/>
    <w:rsid w:val="008C468D"/>
    <w:rsid w:val="008D28B5"/>
    <w:rsid w:val="008D62AA"/>
    <w:rsid w:val="008D72B4"/>
    <w:rsid w:val="008E079C"/>
    <w:rsid w:val="008E141C"/>
    <w:rsid w:val="008E4447"/>
    <w:rsid w:val="008E5231"/>
    <w:rsid w:val="008E613A"/>
    <w:rsid w:val="008F3954"/>
    <w:rsid w:val="008F4255"/>
    <w:rsid w:val="008F46FB"/>
    <w:rsid w:val="008F717C"/>
    <w:rsid w:val="008F71E5"/>
    <w:rsid w:val="009000AB"/>
    <w:rsid w:val="00902CBE"/>
    <w:rsid w:val="00905C5C"/>
    <w:rsid w:val="009072D8"/>
    <w:rsid w:val="0091067F"/>
    <w:rsid w:val="00910E34"/>
    <w:rsid w:val="009119D6"/>
    <w:rsid w:val="009143FB"/>
    <w:rsid w:val="00916607"/>
    <w:rsid w:val="00916667"/>
    <w:rsid w:val="00917558"/>
    <w:rsid w:val="00921D3F"/>
    <w:rsid w:val="00921DF3"/>
    <w:rsid w:val="0093203A"/>
    <w:rsid w:val="0093511D"/>
    <w:rsid w:val="0093743B"/>
    <w:rsid w:val="00940330"/>
    <w:rsid w:val="0094330B"/>
    <w:rsid w:val="00943B90"/>
    <w:rsid w:val="00945149"/>
    <w:rsid w:val="00946554"/>
    <w:rsid w:val="0095044D"/>
    <w:rsid w:val="00951623"/>
    <w:rsid w:val="0095266A"/>
    <w:rsid w:val="00953EF4"/>
    <w:rsid w:val="009566D0"/>
    <w:rsid w:val="009607FD"/>
    <w:rsid w:val="009648F7"/>
    <w:rsid w:val="009677C7"/>
    <w:rsid w:val="0098082E"/>
    <w:rsid w:val="00982ED2"/>
    <w:rsid w:val="0099371E"/>
    <w:rsid w:val="00994153"/>
    <w:rsid w:val="0099496A"/>
    <w:rsid w:val="0099657A"/>
    <w:rsid w:val="009A2307"/>
    <w:rsid w:val="009A24F4"/>
    <w:rsid w:val="009B79D2"/>
    <w:rsid w:val="009C1C20"/>
    <w:rsid w:val="009C3957"/>
    <w:rsid w:val="009C3C0A"/>
    <w:rsid w:val="009C54C2"/>
    <w:rsid w:val="009C56F7"/>
    <w:rsid w:val="009D03D0"/>
    <w:rsid w:val="009D0F60"/>
    <w:rsid w:val="009D21D3"/>
    <w:rsid w:val="009D7968"/>
    <w:rsid w:val="009D7E02"/>
    <w:rsid w:val="009E0F44"/>
    <w:rsid w:val="009E5B91"/>
    <w:rsid w:val="009E5C23"/>
    <w:rsid w:val="009E654B"/>
    <w:rsid w:val="009E69E0"/>
    <w:rsid w:val="009F4466"/>
    <w:rsid w:val="009F4A44"/>
    <w:rsid w:val="00A0046A"/>
    <w:rsid w:val="00A05BCE"/>
    <w:rsid w:val="00A06A8B"/>
    <w:rsid w:val="00A07458"/>
    <w:rsid w:val="00A10C10"/>
    <w:rsid w:val="00A17A95"/>
    <w:rsid w:val="00A21567"/>
    <w:rsid w:val="00A26E80"/>
    <w:rsid w:val="00A30E8D"/>
    <w:rsid w:val="00A311A8"/>
    <w:rsid w:val="00A371A0"/>
    <w:rsid w:val="00A373DC"/>
    <w:rsid w:val="00A37548"/>
    <w:rsid w:val="00A41AA0"/>
    <w:rsid w:val="00A42822"/>
    <w:rsid w:val="00A460C3"/>
    <w:rsid w:val="00A4725A"/>
    <w:rsid w:val="00A51479"/>
    <w:rsid w:val="00A51A5B"/>
    <w:rsid w:val="00A51FBE"/>
    <w:rsid w:val="00A5467D"/>
    <w:rsid w:val="00A60ABD"/>
    <w:rsid w:val="00A60AFF"/>
    <w:rsid w:val="00A614C8"/>
    <w:rsid w:val="00A6459B"/>
    <w:rsid w:val="00A65F28"/>
    <w:rsid w:val="00A65F46"/>
    <w:rsid w:val="00A66360"/>
    <w:rsid w:val="00A676BF"/>
    <w:rsid w:val="00A678F8"/>
    <w:rsid w:val="00A716F4"/>
    <w:rsid w:val="00A72150"/>
    <w:rsid w:val="00A736BA"/>
    <w:rsid w:val="00A74A8A"/>
    <w:rsid w:val="00A7503E"/>
    <w:rsid w:val="00A76244"/>
    <w:rsid w:val="00A762DF"/>
    <w:rsid w:val="00A814D8"/>
    <w:rsid w:val="00A81EA0"/>
    <w:rsid w:val="00A85581"/>
    <w:rsid w:val="00A85DA4"/>
    <w:rsid w:val="00A85EEC"/>
    <w:rsid w:val="00A8613B"/>
    <w:rsid w:val="00A9290F"/>
    <w:rsid w:val="00A9488B"/>
    <w:rsid w:val="00A9739A"/>
    <w:rsid w:val="00AA03D8"/>
    <w:rsid w:val="00AA32B3"/>
    <w:rsid w:val="00AA67C9"/>
    <w:rsid w:val="00AB252E"/>
    <w:rsid w:val="00AB46EF"/>
    <w:rsid w:val="00AB496B"/>
    <w:rsid w:val="00AB4D2A"/>
    <w:rsid w:val="00AB5036"/>
    <w:rsid w:val="00AB62FB"/>
    <w:rsid w:val="00AC10CC"/>
    <w:rsid w:val="00AC300D"/>
    <w:rsid w:val="00AC31D7"/>
    <w:rsid w:val="00AD1E79"/>
    <w:rsid w:val="00AD4554"/>
    <w:rsid w:val="00AD4F47"/>
    <w:rsid w:val="00AD5283"/>
    <w:rsid w:val="00AD74D5"/>
    <w:rsid w:val="00AD7E63"/>
    <w:rsid w:val="00AE22E7"/>
    <w:rsid w:val="00AE2549"/>
    <w:rsid w:val="00AE7940"/>
    <w:rsid w:val="00AF3B06"/>
    <w:rsid w:val="00AF5785"/>
    <w:rsid w:val="00B002EE"/>
    <w:rsid w:val="00B020CB"/>
    <w:rsid w:val="00B038CC"/>
    <w:rsid w:val="00B0629B"/>
    <w:rsid w:val="00B068BC"/>
    <w:rsid w:val="00B07548"/>
    <w:rsid w:val="00B1034E"/>
    <w:rsid w:val="00B117A1"/>
    <w:rsid w:val="00B136E1"/>
    <w:rsid w:val="00B16CDE"/>
    <w:rsid w:val="00B16E9F"/>
    <w:rsid w:val="00B2342D"/>
    <w:rsid w:val="00B24F4D"/>
    <w:rsid w:val="00B3141C"/>
    <w:rsid w:val="00B33AEB"/>
    <w:rsid w:val="00B37EFC"/>
    <w:rsid w:val="00B415D0"/>
    <w:rsid w:val="00B46874"/>
    <w:rsid w:val="00B46B2A"/>
    <w:rsid w:val="00B470B2"/>
    <w:rsid w:val="00B47E57"/>
    <w:rsid w:val="00B50C6C"/>
    <w:rsid w:val="00B5248A"/>
    <w:rsid w:val="00B52986"/>
    <w:rsid w:val="00B57435"/>
    <w:rsid w:val="00B57970"/>
    <w:rsid w:val="00B60751"/>
    <w:rsid w:val="00B61181"/>
    <w:rsid w:val="00B6207B"/>
    <w:rsid w:val="00B63034"/>
    <w:rsid w:val="00B67E97"/>
    <w:rsid w:val="00B73A0D"/>
    <w:rsid w:val="00B80229"/>
    <w:rsid w:val="00B8100E"/>
    <w:rsid w:val="00B82014"/>
    <w:rsid w:val="00B82468"/>
    <w:rsid w:val="00B833C2"/>
    <w:rsid w:val="00B83BD4"/>
    <w:rsid w:val="00B91366"/>
    <w:rsid w:val="00B9214D"/>
    <w:rsid w:val="00B92BEA"/>
    <w:rsid w:val="00B93851"/>
    <w:rsid w:val="00B95A70"/>
    <w:rsid w:val="00B97697"/>
    <w:rsid w:val="00B97E6B"/>
    <w:rsid w:val="00BA5B7E"/>
    <w:rsid w:val="00BA7674"/>
    <w:rsid w:val="00BA7EE6"/>
    <w:rsid w:val="00BB0704"/>
    <w:rsid w:val="00BB0C12"/>
    <w:rsid w:val="00BB354C"/>
    <w:rsid w:val="00BB4FA8"/>
    <w:rsid w:val="00BB5660"/>
    <w:rsid w:val="00BB7035"/>
    <w:rsid w:val="00BB73AC"/>
    <w:rsid w:val="00BC4A5C"/>
    <w:rsid w:val="00BC52AC"/>
    <w:rsid w:val="00BC76F9"/>
    <w:rsid w:val="00BD2B48"/>
    <w:rsid w:val="00BD2BC3"/>
    <w:rsid w:val="00BD4A86"/>
    <w:rsid w:val="00BD5F3E"/>
    <w:rsid w:val="00BD63A7"/>
    <w:rsid w:val="00BD7A67"/>
    <w:rsid w:val="00BE05DA"/>
    <w:rsid w:val="00BE2D2B"/>
    <w:rsid w:val="00BE5CBE"/>
    <w:rsid w:val="00BF1496"/>
    <w:rsid w:val="00BF2A5E"/>
    <w:rsid w:val="00BF49A2"/>
    <w:rsid w:val="00BF5373"/>
    <w:rsid w:val="00C04E9C"/>
    <w:rsid w:val="00C102C3"/>
    <w:rsid w:val="00C11F87"/>
    <w:rsid w:val="00C12760"/>
    <w:rsid w:val="00C1306D"/>
    <w:rsid w:val="00C153F1"/>
    <w:rsid w:val="00C209C1"/>
    <w:rsid w:val="00C21728"/>
    <w:rsid w:val="00C22424"/>
    <w:rsid w:val="00C224AB"/>
    <w:rsid w:val="00C30C4C"/>
    <w:rsid w:val="00C338A0"/>
    <w:rsid w:val="00C3680E"/>
    <w:rsid w:val="00C46E62"/>
    <w:rsid w:val="00C46ED4"/>
    <w:rsid w:val="00C5225B"/>
    <w:rsid w:val="00C564CF"/>
    <w:rsid w:val="00C639E9"/>
    <w:rsid w:val="00C63EA6"/>
    <w:rsid w:val="00C70D9B"/>
    <w:rsid w:val="00C7199E"/>
    <w:rsid w:val="00C727D8"/>
    <w:rsid w:val="00C812BB"/>
    <w:rsid w:val="00C8208D"/>
    <w:rsid w:val="00C8510D"/>
    <w:rsid w:val="00C86514"/>
    <w:rsid w:val="00C87927"/>
    <w:rsid w:val="00C92D67"/>
    <w:rsid w:val="00C94CED"/>
    <w:rsid w:val="00C95921"/>
    <w:rsid w:val="00CA307B"/>
    <w:rsid w:val="00CB03BD"/>
    <w:rsid w:val="00CB1907"/>
    <w:rsid w:val="00CB4CA9"/>
    <w:rsid w:val="00CB571C"/>
    <w:rsid w:val="00CB6B05"/>
    <w:rsid w:val="00CC1A00"/>
    <w:rsid w:val="00CC280A"/>
    <w:rsid w:val="00CC2B28"/>
    <w:rsid w:val="00CC3CB2"/>
    <w:rsid w:val="00CC70B8"/>
    <w:rsid w:val="00CD10F5"/>
    <w:rsid w:val="00CD112E"/>
    <w:rsid w:val="00CD233C"/>
    <w:rsid w:val="00CD5EE5"/>
    <w:rsid w:val="00CE155E"/>
    <w:rsid w:val="00CE555E"/>
    <w:rsid w:val="00CF1CD7"/>
    <w:rsid w:val="00CF3F44"/>
    <w:rsid w:val="00D00706"/>
    <w:rsid w:val="00D00CC5"/>
    <w:rsid w:val="00D0354D"/>
    <w:rsid w:val="00D03FD1"/>
    <w:rsid w:val="00D05560"/>
    <w:rsid w:val="00D07A33"/>
    <w:rsid w:val="00D109DC"/>
    <w:rsid w:val="00D15481"/>
    <w:rsid w:val="00D155CC"/>
    <w:rsid w:val="00D21235"/>
    <w:rsid w:val="00D2230A"/>
    <w:rsid w:val="00D22C93"/>
    <w:rsid w:val="00D242B0"/>
    <w:rsid w:val="00D303F6"/>
    <w:rsid w:val="00D336E6"/>
    <w:rsid w:val="00D33A60"/>
    <w:rsid w:val="00D42104"/>
    <w:rsid w:val="00D45DA5"/>
    <w:rsid w:val="00D50CA1"/>
    <w:rsid w:val="00D51F5A"/>
    <w:rsid w:val="00D52DD5"/>
    <w:rsid w:val="00D5709D"/>
    <w:rsid w:val="00D57B40"/>
    <w:rsid w:val="00D57EDF"/>
    <w:rsid w:val="00D6380C"/>
    <w:rsid w:val="00D66EDC"/>
    <w:rsid w:val="00D701C6"/>
    <w:rsid w:val="00D72178"/>
    <w:rsid w:val="00D73E22"/>
    <w:rsid w:val="00D7486E"/>
    <w:rsid w:val="00D82C60"/>
    <w:rsid w:val="00D85D65"/>
    <w:rsid w:val="00D86D14"/>
    <w:rsid w:val="00D87D17"/>
    <w:rsid w:val="00D90965"/>
    <w:rsid w:val="00D92C18"/>
    <w:rsid w:val="00D9670F"/>
    <w:rsid w:val="00DA04F6"/>
    <w:rsid w:val="00DA4A29"/>
    <w:rsid w:val="00DB26AD"/>
    <w:rsid w:val="00DB7FE1"/>
    <w:rsid w:val="00DC7ABA"/>
    <w:rsid w:val="00DD18CB"/>
    <w:rsid w:val="00DD1CFF"/>
    <w:rsid w:val="00DD51BB"/>
    <w:rsid w:val="00DE1929"/>
    <w:rsid w:val="00DE2E36"/>
    <w:rsid w:val="00DE34A2"/>
    <w:rsid w:val="00DE6BDD"/>
    <w:rsid w:val="00DF5C69"/>
    <w:rsid w:val="00DF63C3"/>
    <w:rsid w:val="00E03246"/>
    <w:rsid w:val="00E040E9"/>
    <w:rsid w:val="00E0425F"/>
    <w:rsid w:val="00E10C3D"/>
    <w:rsid w:val="00E21C63"/>
    <w:rsid w:val="00E25A6B"/>
    <w:rsid w:val="00E27A57"/>
    <w:rsid w:val="00E30EC4"/>
    <w:rsid w:val="00E33AE1"/>
    <w:rsid w:val="00E3455B"/>
    <w:rsid w:val="00E36143"/>
    <w:rsid w:val="00E36B37"/>
    <w:rsid w:val="00E37607"/>
    <w:rsid w:val="00E40459"/>
    <w:rsid w:val="00E43146"/>
    <w:rsid w:val="00E4512F"/>
    <w:rsid w:val="00E454A1"/>
    <w:rsid w:val="00E478B3"/>
    <w:rsid w:val="00E51BBC"/>
    <w:rsid w:val="00E52043"/>
    <w:rsid w:val="00E52337"/>
    <w:rsid w:val="00E55BFA"/>
    <w:rsid w:val="00E572B7"/>
    <w:rsid w:val="00E60C5E"/>
    <w:rsid w:val="00E62900"/>
    <w:rsid w:val="00E6364A"/>
    <w:rsid w:val="00E64027"/>
    <w:rsid w:val="00E67A6A"/>
    <w:rsid w:val="00E71D48"/>
    <w:rsid w:val="00E808FF"/>
    <w:rsid w:val="00E81515"/>
    <w:rsid w:val="00E820C7"/>
    <w:rsid w:val="00E837EC"/>
    <w:rsid w:val="00E91B98"/>
    <w:rsid w:val="00E91F84"/>
    <w:rsid w:val="00E94C63"/>
    <w:rsid w:val="00E9507A"/>
    <w:rsid w:val="00EA1F87"/>
    <w:rsid w:val="00EA49A4"/>
    <w:rsid w:val="00EA5A41"/>
    <w:rsid w:val="00EA6091"/>
    <w:rsid w:val="00EA6BF2"/>
    <w:rsid w:val="00EB0159"/>
    <w:rsid w:val="00EB1052"/>
    <w:rsid w:val="00EB1EB0"/>
    <w:rsid w:val="00EB35A9"/>
    <w:rsid w:val="00EB64B7"/>
    <w:rsid w:val="00EB6A3E"/>
    <w:rsid w:val="00EC5830"/>
    <w:rsid w:val="00ED3372"/>
    <w:rsid w:val="00ED5253"/>
    <w:rsid w:val="00EE27CC"/>
    <w:rsid w:val="00EE43D8"/>
    <w:rsid w:val="00EE45DB"/>
    <w:rsid w:val="00EF0DD5"/>
    <w:rsid w:val="00EF353A"/>
    <w:rsid w:val="00F0029D"/>
    <w:rsid w:val="00F01108"/>
    <w:rsid w:val="00F040B1"/>
    <w:rsid w:val="00F043D1"/>
    <w:rsid w:val="00F047F4"/>
    <w:rsid w:val="00F0658E"/>
    <w:rsid w:val="00F06ADF"/>
    <w:rsid w:val="00F130D4"/>
    <w:rsid w:val="00F20795"/>
    <w:rsid w:val="00F22489"/>
    <w:rsid w:val="00F23964"/>
    <w:rsid w:val="00F24B0F"/>
    <w:rsid w:val="00F254E7"/>
    <w:rsid w:val="00F30A26"/>
    <w:rsid w:val="00F32EF4"/>
    <w:rsid w:val="00F345FF"/>
    <w:rsid w:val="00F34607"/>
    <w:rsid w:val="00F37BFC"/>
    <w:rsid w:val="00F41BF2"/>
    <w:rsid w:val="00F460C2"/>
    <w:rsid w:val="00F46E6C"/>
    <w:rsid w:val="00F47646"/>
    <w:rsid w:val="00F51321"/>
    <w:rsid w:val="00F526B5"/>
    <w:rsid w:val="00F5462E"/>
    <w:rsid w:val="00F54B08"/>
    <w:rsid w:val="00F55574"/>
    <w:rsid w:val="00F61BDD"/>
    <w:rsid w:val="00F637E5"/>
    <w:rsid w:val="00F7104E"/>
    <w:rsid w:val="00F76AB5"/>
    <w:rsid w:val="00F83545"/>
    <w:rsid w:val="00F8428B"/>
    <w:rsid w:val="00F87938"/>
    <w:rsid w:val="00F90E51"/>
    <w:rsid w:val="00F9390D"/>
    <w:rsid w:val="00F93AC3"/>
    <w:rsid w:val="00F94624"/>
    <w:rsid w:val="00FA0E2E"/>
    <w:rsid w:val="00FA293F"/>
    <w:rsid w:val="00FA484A"/>
    <w:rsid w:val="00FA5A76"/>
    <w:rsid w:val="00FA695B"/>
    <w:rsid w:val="00FB00AD"/>
    <w:rsid w:val="00FB200F"/>
    <w:rsid w:val="00FB2C2A"/>
    <w:rsid w:val="00FC1970"/>
    <w:rsid w:val="00FC6406"/>
    <w:rsid w:val="00FC73DF"/>
    <w:rsid w:val="00FC782F"/>
    <w:rsid w:val="00FC78AC"/>
    <w:rsid w:val="00FC7C8B"/>
    <w:rsid w:val="00FD07D8"/>
    <w:rsid w:val="00FD08D2"/>
    <w:rsid w:val="00FD0C07"/>
    <w:rsid w:val="00FD3B84"/>
    <w:rsid w:val="00FD4A1B"/>
    <w:rsid w:val="00FD4E07"/>
    <w:rsid w:val="00FD70B8"/>
    <w:rsid w:val="00FD7326"/>
    <w:rsid w:val="00FE0226"/>
    <w:rsid w:val="00FE5464"/>
    <w:rsid w:val="00FE69D8"/>
    <w:rsid w:val="00FF2A94"/>
    <w:rsid w:val="00FF5807"/>
    <w:rsid w:val="00FF5A3B"/>
    <w:rsid w:val="00FF74B5"/>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3701"/>
  <w15:docId w15:val="{21262272-5413-43CC-96E0-4AAA0AC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3FE9"/>
    <w:rPr>
      <w:rFonts w:ascii="Arial" w:hAnsi="Arial"/>
      <w:sz w:val="24"/>
      <w:szCs w:val="22"/>
      <w:lang w:eastAsia="en-US"/>
    </w:rPr>
  </w:style>
  <w:style w:type="paragraph" w:styleId="Heading1">
    <w:name w:val="heading 1"/>
    <w:basedOn w:val="Normal"/>
    <w:next w:val="Level1"/>
    <w:qFormat/>
    <w:rsid w:val="004006F5"/>
    <w:pPr>
      <w:numPr>
        <w:numId w:val="42"/>
      </w:numPr>
      <w:spacing w:after="360" w:line="480" w:lineRule="auto"/>
      <w:ind w:left="851" w:hanging="851"/>
      <w:outlineLvl w:val="0"/>
    </w:pPr>
    <w:rPr>
      <w:rFonts w:cs="Arial"/>
      <w:b/>
      <w:bCs/>
      <w:caps/>
      <w:kern w:val="32"/>
      <w:szCs w:val="32"/>
    </w:rPr>
  </w:style>
  <w:style w:type="paragraph" w:styleId="Heading2">
    <w:name w:val="heading 2"/>
    <w:basedOn w:val="Normal"/>
    <w:next w:val="Level1"/>
    <w:qFormat/>
    <w:rsid w:val="004006F5"/>
    <w:pPr>
      <w:numPr>
        <w:numId w:val="43"/>
      </w:numPr>
      <w:spacing w:after="360" w:line="480" w:lineRule="auto"/>
      <w:ind w:left="851" w:hanging="851"/>
      <w:outlineLvl w:val="1"/>
    </w:pPr>
    <w:rPr>
      <w:rFonts w:cs="Arial"/>
      <w:bCs/>
      <w:iCs/>
      <w:szCs w:val="28"/>
      <w:u w:val="single"/>
    </w:rPr>
  </w:style>
  <w:style w:type="paragraph" w:styleId="Heading3">
    <w:name w:val="heading 3"/>
    <w:basedOn w:val="Normal"/>
    <w:next w:val="Level1"/>
    <w:qFormat/>
    <w:rsid w:val="004006F5"/>
    <w:pPr>
      <w:numPr>
        <w:numId w:val="44"/>
      </w:numPr>
      <w:spacing w:after="360" w:line="480" w:lineRule="auto"/>
      <w:ind w:left="851" w:hanging="851"/>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umberedtextCharChar">
    <w:name w:val="Unnumbered text Char Char"/>
    <w:basedOn w:val="DefaultParagraphFont"/>
    <w:link w:val="Unnumberedtext"/>
    <w:uiPriority w:val="1"/>
    <w:locked/>
    <w:rsid w:val="006E7058"/>
    <w:rPr>
      <w:rFonts w:ascii="Arial" w:eastAsia="Times New Roman" w:hAnsi="Arial" w:cs="Arial"/>
      <w:sz w:val="24"/>
      <w:szCs w:val="22"/>
      <w:lang w:eastAsia="en-GB"/>
    </w:rPr>
  </w:style>
  <w:style w:type="paragraph" w:customStyle="1" w:styleId="legalnumbering1ai">
    <w:name w:val="legal numbering 1/a/i"/>
    <w:basedOn w:val="Normal"/>
    <w:link w:val="legalnumbering1aiChar"/>
    <w:semiHidden/>
    <w:qFormat/>
    <w:rsid w:val="00526E97"/>
    <w:pPr>
      <w:spacing w:before="120" w:after="120"/>
      <w:contextualSpacing/>
    </w:pPr>
  </w:style>
  <w:style w:type="paragraph" w:customStyle="1" w:styleId="Unnumberedtext">
    <w:name w:val="Unnumbered text"/>
    <w:basedOn w:val="Normal"/>
    <w:link w:val="UnnumberedtextCharChar"/>
    <w:uiPriority w:val="1"/>
    <w:qFormat/>
    <w:rsid w:val="006E7058"/>
    <w:pPr>
      <w:spacing w:after="360" w:line="480" w:lineRule="auto"/>
    </w:pPr>
    <w:rPr>
      <w:rFonts w:eastAsia="Times New Roman" w:cs="Arial"/>
      <w:lang w:eastAsia="en-GB"/>
    </w:rPr>
  </w:style>
  <w:style w:type="character" w:customStyle="1" w:styleId="legalnumbering1aiChar">
    <w:name w:val="legal numbering 1/a/i Char"/>
    <w:basedOn w:val="DefaultParagraphFont"/>
    <w:link w:val="legalnumbering1ai"/>
    <w:semiHidden/>
    <w:rsid w:val="00526E97"/>
    <w:rPr>
      <w:rFonts w:ascii="Arial" w:hAnsi="Arial"/>
      <w:sz w:val="24"/>
      <w:szCs w:val="22"/>
      <w:lang w:eastAsia="en-US"/>
    </w:rPr>
  </w:style>
  <w:style w:type="paragraph" w:customStyle="1" w:styleId="Frontpageheading">
    <w:name w:val="Front page heading"/>
    <w:basedOn w:val="Normal"/>
    <w:next w:val="Unnumberedtext"/>
    <w:uiPriority w:val="2"/>
    <w:rsid w:val="00526E97"/>
    <w:rPr>
      <w:b/>
      <w:caps/>
    </w:rPr>
  </w:style>
  <w:style w:type="table" w:styleId="TableGrid">
    <w:name w:val="Table Grid"/>
    <w:basedOn w:val="TableNormal"/>
    <w:semiHidden/>
    <w:rsid w:val="00526E97"/>
    <w:pPr>
      <w:spacing w:before="180" w:after="18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basedOn w:val="Frontpageheading"/>
    <w:next w:val="Unnumberedtext"/>
    <w:uiPriority w:val="2"/>
    <w:rsid w:val="00916607"/>
    <w:pPr>
      <w:pBdr>
        <w:top w:val="single" w:sz="12" w:space="12" w:color="auto"/>
        <w:bottom w:val="single" w:sz="12" w:space="12" w:color="auto"/>
      </w:pBdr>
    </w:pPr>
  </w:style>
  <w:style w:type="paragraph" w:styleId="Header">
    <w:name w:val="header"/>
    <w:basedOn w:val="Normal"/>
    <w:link w:val="HeaderChar"/>
    <w:uiPriority w:val="99"/>
    <w:rsid w:val="00526E97"/>
    <w:pPr>
      <w:tabs>
        <w:tab w:val="center" w:pos="4320"/>
        <w:tab w:val="right" w:pos="8640"/>
      </w:tabs>
    </w:pPr>
  </w:style>
  <w:style w:type="paragraph" w:styleId="Footer">
    <w:name w:val="footer"/>
    <w:basedOn w:val="Normal"/>
    <w:semiHidden/>
    <w:rsid w:val="00526E97"/>
    <w:pPr>
      <w:tabs>
        <w:tab w:val="center" w:pos="4320"/>
        <w:tab w:val="right" w:pos="8640"/>
      </w:tabs>
    </w:pPr>
  </w:style>
  <w:style w:type="paragraph" w:customStyle="1" w:styleId="anumbering1ai">
    <w:name w:val="/ (a) numbering 1/a/i"/>
    <w:basedOn w:val="Normal"/>
    <w:semiHidden/>
    <w:qFormat/>
    <w:rsid w:val="00526E97"/>
    <w:pPr>
      <w:numPr>
        <w:numId w:val="34"/>
      </w:numPr>
    </w:pPr>
  </w:style>
  <w:style w:type="paragraph" w:customStyle="1" w:styleId="Bullets">
    <w:name w:val="Bullets"/>
    <w:basedOn w:val="Normal"/>
    <w:uiPriority w:val="1"/>
    <w:rsid w:val="0016776F"/>
    <w:pPr>
      <w:numPr>
        <w:numId w:val="35"/>
      </w:numPr>
      <w:contextualSpacing/>
    </w:pPr>
  </w:style>
  <w:style w:type="paragraph" w:customStyle="1" w:styleId="SBbulletslevel1">
    <w:name w:val="SB bullets level 1"/>
    <w:basedOn w:val="Normal"/>
    <w:semiHidden/>
    <w:rsid w:val="00526E97"/>
    <w:pPr>
      <w:numPr>
        <w:numId w:val="36"/>
      </w:numPr>
    </w:pPr>
  </w:style>
  <w:style w:type="paragraph" w:styleId="FootnoteText">
    <w:name w:val="footnote text"/>
    <w:basedOn w:val="Normal"/>
    <w:semiHidden/>
    <w:rsid w:val="00526E97"/>
    <w:rPr>
      <w:sz w:val="20"/>
      <w:szCs w:val="20"/>
    </w:rPr>
  </w:style>
  <w:style w:type="character" w:styleId="CommentReference">
    <w:name w:val="annotation reference"/>
    <w:basedOn w:val="DefaultParagraphFont"/>
    <w:semiHidden/>
    <w:rsid w:val="00526E97"/>
    <w:rPr>
      <w:sz w:val="16"/>
      <w:szCs w:val="16"/>
    </w:rPr>
  </w:style>
  <w:style w:type="paragraph" w:styleId="CommentText">
    <w:name w:val="annotation text"/>
    <w:basedOn w:val="Normal"/>
    <w:semiHidden/>
    <w:rsid w:val="00526E97"/>
    <w:rPr>
      <w:sz w:val="20"/>
      <w:szCs w:val="20"/>
    </w:rPr>
  </w:style>
  <w:style w:type="paragraph" w:styleId="CommentSubject">
    <w:name w:val="annotation subject"/>
    <w:basedOn w:val="CommentText"/>
    <w:next w:val="CommentText"/>
    <w:semiHidden/>
    <w:rsid w:val="00526E97"/>
    <w:rPr>
      <w:b/>
      <w:bCs/>
    </w:rPr>
  </w:style>
  <w:style w:type="paragraph" w:styleId="BalloonText">
    <w:name w:val="Balloon Text"/>
    <w:basedOn w:val="Normal"/>
    <w:semiHidden/>
    <w:rsid w:val="00526E97"/>
    <w:rPr>
      <w:rFonts w:ascii="Tahoma" w:hAnsi="Tahoma" w:cs="Tahoma"/>
      <w:sz w:val="16"/>
      <w:szCs w:val="16"/>
    </w:rPr>
  </w:style>
  <w:style w:type="character" w:styleId="FootnoteReference">
    <w:name w:val="footnote reference"/>
    <w:basedOn w:val="DefaultParagraphFont"/>
    <w:semiHidden/>
    <w:rsid w:val="00526E97"/>
    <w:rPr>
      <w:vertAlign w:val="superscript"/>
    </w:rPr>
  </w:style>
  <w:style w:type="paragraph" w:customStyle="1" w:styleId="Indentedtext">
    <w:name w:val="Indented text"/>
    <w:basedOn w:val="Normal"/>
    <w:uiPriority w:val="1"/>
    <w:rsid w:val="00916607"/>
    <w:pPr>
      <w:ind w:left="567"/>
    </w:pPr>
  </w:style>
  <w:style w:type="paragraph" w:styleId="Quote">
    <w:name w:val="Quote"/>
    <w:basedOn w:val="Normal"/>
    <w:link w:val="QuoteChar"/>
    <w:uiPriority w:val="1"/>
    <w:qFormat/>
    <w:rsid w:val="00151BC9"/>
    <w:pPr>
      <w:spacing w:after="360" w:line="360" w:lineRule="auto"/>
      <w:ind w:left="1418"/>
    </w:pPr>
    <w:rPr>
      <w:i/>
      <w:iCs/>
      <w:color w:val="000000" w:themeColor="text1"/>
    </w:rPr>
  </w:style>
  <w:style w:type="character" w:customStyle="1" w:styleId="QuoteChar">
    <w:name w:val="Quote Char"/>
    <w:basedOn w:val="DefaultParagraphFont"/>
    <w:link w:val="Quote"/>
    <w:uiPriority w:val="1"/>
    <w:rsid w:val="00151BC9"/>
    <w:rPr>
      <w:rFonts w:ascii="Arial" w:hAnsi="Arial"/>
      <w:i/>
      <w:iCs/>
      <w:color w:val="000000" w:themeColor="text1"/>
      <w:sz w:val="24"/>
      <w:szCs w:val="22"/>
      <w:lang w:eastAsia="en-US"/>
    </w:rPr>
  </w:style>
  <w:style w:type="paragraph" w:styleId="ListParagraph">
    <w:name w:val="List Paragraph"/>
    <w:basedOn w:val="Normal"/>
    <w:uiPriority w:val="1"/>
    <w:rsid w:val="00526E97"/>
    <w:pPr>
      <w:ind w:left="720"/>
      <w:contextualSpacing/>
    </w:pPr>
  </w:style>
  <w:style w:type="paragraph" w:customStyle="1" w:styleId="Level1">
    <w:name w:val="Level 1"/>
    <w:basedOn w:val="Normal"/>
    <w:qFormat/>
    <w:rsid w:val="00FE0226"/>
    <w:pPr>
      <w:numPr>
        <w:numId w:val="39"/>
      </w:numPr>
      <w:spacing w:after="360" w:line="480" w:lineRule="auto"/>
      <w:ind w:left="851" w:hanging="851"/>
    </w:pPr>
  </w:style>
  <w:style w:type="paragraph" w:customStyle="1" w:styleId="Level2">
    <w:name w:val="Level 2"/>
    <w:basedOn w:val="Normal"/>
    <w:qFormat/>
    <w:rsid w:val="00FE0226"/>
    <w:pPr>
      <w:numPr>
        <w:ilvl w:val="1"/>
        <w:numId w:val="39"/>
      </w:numPr>
      <w:spacing w:after="360" w:line="480" w:lineRule="auto"/>
      <w:ind w:left="1815" w:hanging="964"/>
    </w:pPr>
  </w:style>
  <w:style w:type="paragraph" w:customStyle="1" w:styleId="Level3">
    <w:name w:val="Level 3"/>
    <w:basedOn w:val="Normal"/>
    <w:qFormat/>
    <w:rsid w:val="00FE0226"/>
    <w:pPr>
      <w:numPr>
        <w:ilvl w:val="2"/>
        <w:numId w:val="39"/>
      </w:numPr>
      <w:spacing w:after="360" w:line="480" w:lineRule="auto"/>
      <w:ind w:left="2891" w:hanging="1077"/>
    </w:pPr>
  </w:style>
  <w:style w:type="paragraph" w:customStyle="1" w:styleId="CitationText">
    <w:name w:val="Citation Text"/>
    <w:basedOn w:val="Normal"/>
    <w:semiHidden/>
    <w:qFormat/>
    <w:rsid w:val="00526E97"/>
    <w:rPr>
      <w:b/>
      <w:caps/>
    </w:rPr>
  </w:style>
  <w:style w:type="paragraph" w:customStyle="1" w:styleId="LAbody">
    <w:name w:val="LA body"/>
    <w:basedOn w:val="Normal"/>
    <w:semiHidden/>
    <w:qFormat/>
    <w:rsid w:val="00526E97"/>
  </w:style>
  <w:style w:type="paragraph" w:customStyle="1" w:styleId="Style1">
    <w:name w:val="Style1"/>
    <w:basedOn w:val="Heading2"/>
    <w:rsid w:val="003F0D39"/>
  </w:style>
  <w:style w:type="character" w:customStyle="1" w:styleId="HeaderChar">
    <w:name w:val="Header Char"/>
    <w:basedOn w:val="DefaultParagraphFont"/>
    <w:link w:val="Header"/>
    <w:uiPriority w:val="99"/>
    <w:rsid w:val="002A73A6"/>
    <w:rPr>
      <w:rFonts w:ascii="Arial" w:hAnsi="Arial"/>
      <w:sz w:val="24"/>
      <w:szCs w:val="22"/>
      <w:lang w:eastAsia="en-US"/>
    </w:rPr>
  </w:style>
  <w:style w:type="paragraph" w:customStyle="1" w:styleId="GW11">
    <w:name w:val="GW1.1"/>
    <w:basedOn w:val="Normal"/>
    <w:rsid w:val="00677DE0"/>
    <w:pPr>
      <w:tabs>
        <w:tab w:val="left" w:pos="0"/>
        <w:tab w:val="left" w:pos="720"/>
        <w:tab w:val="left" w:pos="1584"/>
        <w:tab w:val="left" w:pos="3024"/>
        <w:tab w:val="left" w:pos="4464"/>
        <w:tab w:val="left" w:pos="6624"/>
      </w:tabs>
      <w:autoSpaceDE w:val="0"/>
      <w:autoSpaceDN w:val="0"/>
      <w:adjustRightInd w:val="0"/>
      <w:spacing w:line="360" w:lineRule="auto"/>
      <w:ind w:right="281"/>
    </w:pPr>
    <w:rPr>
      <w:rFonts w:eastAsia="Times New Roman" w:cs="Arial"/>
      <w:szCs w:val="24"/>
      <w:lang w:val="en-US"/>
    </w:rPr>
  </w:style>
  <w:style w:type="character" w:styleId="Hyperlink">
    <w:name w:val="Hyperlink"/>
    <w:rsid w:val="00E10C3D"/>
    <w:rPr>
      <w:color w:val="0000FF"/>
      <w:u w:val="single"/>
    </w:rPr>
  </w:style>
  <w:style w:type="character" w:customStyle="1" w:styleId="UnresolvedMention">
    <w:name w:val="Unresolved Mention"/>
    <w:basedOn w:val="DefaultParagraphFont"/>
    <w:uiPriority w:val="99"/>
    <w:semiHidden/>
    <w:unhideWhenUsed/>
    <w:rsid w:val="00DC7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13556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viera.vilhanova@savba.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rens%20Ackermann\Dropbox\Lourens\Templates\Grand%20Master%20Lourens%20Ackerman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96B3-2EA8-4CC6-8EE6-B68CD362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Grand Master Lourens Ackermann - template</Template>
  <TotalTime>0</TotalTime>
  <Pages>36</Pages>
  <Words>8397</Words>
  <Characters>47865</Characters>
  <Application>Microsoft Office Word</Application>
  <DocSecurity>0</DocSecurity>
  <Lines>398</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Grand Master Lourens Ackermann</vt:lpstr>
      <vt:lpstr>Grand Master Lourens Ackermann</vt:lpstr>
    </vt:vector>
  </TitlesOfParts>
  <Company>Footprint Communications</Company>
  <LinksUpToDate>false</LinksUpToDate>
  <CharactersWithSpaces>56150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Master Lourens Ackermann</dc:title>
  <dc:creator>Lourens Ackermann</dc:creator>
  <cp:lastModifiedBy>Mary Bruce</cp:lastModifiedBy>
  <cp:revision>3</cp:revision>
  <cp:lastPrinted>2023-05-26T12:32:00Z</cp:lastPrinted>
  <dcterms:created xsi:type="dcterms:W3CDTF">2024-01-19T07:54:00Z</dcterms:created>
  <dcterms:modified xsi:type="dcterms:W3CDTF">2024-01-19T10:53:00Z</dcterms:modified>
</cp:coreProperties>
</file>