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BDA6" w14:textId="77777777" w:rsidR="00E91585" w:rsidRPr="00F76E96" w:rsidRDefault="00E91585" w:rsidP="00E91585">
      <w:pPr>
        <w:jc w:val="center"/>
      </w:pPr>
      <w:r w:rsidRPr="00854F95">
        <w:rPr>
          <w:b/>
          <w:noProof/>
          <w:lang w:val="en-US"/>
        </w:rPr>
        <w:drawing>
          <wp:anchor distT="0" distB="0" distL="114300" distR="114300" simplePos="0" relativeHeight="251659264" behindDoc="0" locked="0" layoutInCell="1" allowOverlap="1" wp14:anchorId="5F017C6A" wp14:editId="5BB9CA8E">
            <wp:simplePos x="0" y="0"/>
            <wp:positionH relativeFrom="column">
              <wp:posOffset>2151391</wp:posOffset>
            </wp:positionH>
            <wp:positionV relativeFrom="paragraph">
              <wp:posOffset>259080</wp:posOffset>
            </wp:positionV>
            <wp:extent cx="1320800" cy="1282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ab/>
      </w:r>
      <w:r>
        <w:rPr>
          <w:b/>
          <w:bCs/>
        </w:rPr>
        <w:tab/>
      </w:r>
      <w:r>
        <w:rPr>
          <w:b/>
          <w:bCs/>
        </w:rPr>
        <w:tab/>
      </w:r>
      <w:r>
        <w:rPr>
          <w:b/>
          <w:bCs/>
        </w:rPr>
        <w:tab/>
      </w:r>
      <w:r>
        <w:rPr>
          <w:b/>
          <w:bCs/>
        </w:rPr>
        <w:tab/>
      </w:r>
      <w:r>
        <w:rPr>
          <w:b/>
          <w:bCs/>
        </w:rPr>
        <w:tab/>
      </w:r>
    </w:p>
    <w:p w14:paraId="2F905AE7" w14:textId="77777777" w:rsidR="00E91585" w:rsidRDefault="00E91585" w:rsidP="00E91585">
      <w:pPr>
        <w:jc w:val="center"/>
        <w:rPr>
          <w:b/>
          <w:bCs/>
        </w:rPr>
      </w:pPr>
    </w:p>
    <w:p w14:paraId="4FFC2257" w14:textId="77777777" w:rsidR="00E91585" w:rsidRDefault="00E91585" w:rsidP="00E91585">
      <w:pPr>
        <w:jc w:val="center"/>
        <w:rPr>
          <w:b/>
          <w:bCs/>
        </w:rPr>
      </w:pPr>
      <w:r>
        <w:rPr>
          <w:b/>
          <w:bCs/>
        </w:rPr>
        <w:t>IN THE HIGH COURT OF SOUTH AFRICA</w:t>
      </w:r>
    </w:p>
    <w:p w14:paraId="16BE35F4" w14:textId="77777777" w:rsidR="00E91585" w:rsidRDefault="00E91585" w:rsidP="00E91585">
      <w:pPr>
        <w:jc w:val="center"/>
        <w:rPr>
          <w:b/>
          <w:bCs/>
        </w:rPr>
      </w:pPr>
      <w:r>
        <w:rPr>
          <w:b/>
          <w:bCs/>
        </w:rPr>
        <w:t>(WESTERN CAPE DIVISION, CAPE TOWN)</w:t>
      </w:r>
    </w:p>
    <w:p w14:paraId="1A289D05" w14:textId="77777777" w:rsidR="00E91585" w:rsidRDefault="00E91585" w:rsidP="00E91585">
      <w:pPr>
        <w:jc w:val="center"/>
        <w:rPr>
          <w:b/>
          <w:bCs/>
        </w:rPr>
      </w:pPr>
    </w:p>
    <w:p w14:paraId="231C9851" w14:textId="77777777" w:rsidR="00936544" w:rsidRDefault="00936544" w:rsidP="00936544">
      <w:pPr>
        <w:jc w:val="center"/>
      </w:pPr>
    </w:p>
    <w:p w14:paraId="1B0C2A8D" w14:textId="61B2D119" w:rsidR="00E91585" w:rsidRDefault="00E91585" w:rsidP="00936544">
      <w:pPr>
        <w:jc w:val="center"/>
      </w:pPr>
      <w:r>
        <w:t xml:space="preserve">                                                                                                    Case No: CC44/2021</w:t>
      </w:r>
    </w:p>
    <w:p w14:paraId="240CA3F8" w14:textId="495D51BE" w:rsidR="0031113F" w:rsidRDefault="0031113F" w:rsidP="0031113F">
      <w:pPr>
        <w:ind w:left="5040" w:firstLine="720"/>
        <w:jc w:val="center"/>
      </w:pPr>
      <w:r>
        <w:t>Read with Case No</w:t>
      </w:r>
      <w:r w:rsidR="00662F4A">
        <w:t xml:space="preserve">: </w:t>
      </w:r>
      <w:r>
        <w:t xml:space="preserve">A71/2021 </w:t>
      </w:r>
    </w:p>
    <w:p w14:paraId="38CD7729" w14:textId="2CE6252D" w:rsidR="0031113F" w:rsidRDefault="00662F4A" w:rsidP="00662F4A">
      <w:pPr>
        <w:ind w:left="4320" w:firstLine="720"/>
        <w:jc w:val="center"/>
      </w:pPr>
      <w:r>
        <w:t xml:space="preserve">     </w:t>
      </w:r>
      <w:r w:rsidR="0031113F">
        <w:t>Read with Case No</w:t>
      </w:r>
      <w:r>
        <w:t>: 1/82/02/2020</w:t>
      </w:r>
    </w:p>
    <w:p w14:paraId="2C481158" w14:textId="77777777" w:rsidR="0031113F" w:rsidRDefault="0031113F" w:rsidP="0031113F">
      <w:pPr>
        <w:ind w:left="3600" w:firstLine="720"/>
        <w:jc w:val="center"/>
      </w:pPr>
    </w:p>
    <w:p w14:paraId="3CC935DE" w14:textId="77777777" w:rsidR="00E91585" w:rsidRDefault="00E91585" w:rsidP="00936544">
      <w:r>
        <w:t>In the matter between:</w:t>
      </w:r>
    </w:p>
    <w:p w14:paraId="267298EF" w14:textId="77777777" w:rsidR="00936544" w:rsidRDefault="00936544" w:rsidP="00936544"/>
    <w:p w14:paraId="1561D973" w14:textId="77777777" w:rsidR="00E91585" w:rsidRDefault="00E91585" w:rsidP="00936544">
      <w:r>
        <w:rPr>
          <w:b/>
          <w:bCs/>
        </w:rPr>
        <w:t>SITHEMBILE YANTA</w:t>
      </w:r>
      <w:r>
        <w:rPr>
          <w:b/>
          <w:bCs/>
        </w:rPr>
        <w:tab/>
      </w:r>
      <w:r>
        <w:rPr>
          <w:b/>
          <w:bCs/>
        </w:rPr>
        <w:tab/>
      </w:r>
      <w:r>
        <w:rPr>
          <w:b/>
          <w:bCs/>
        </w:rPr>
        <w:tab/>
      </w:r>
      <w:r>
        <w:rPr>
          <w:b/>
          <w:bCs/>
        </w:rPr>
        <w:tab/>
      </w:r>
      <w:r>
        <w:rPr>
          <w:b/>
          <w:bCs/>
        </w:rPr>
        <w:tab/>
      </w:r>
      <w:r>
        <w:rPr>
          <w:b/>
          <w:bCs/>
        </w:rPr>
        <w:tab/>
      </w:r>
      <w:r>
        <w:rPr>
          <w:b/>
          <w:bCs/>
        </w:rPr>
        <w:tab/>
        <w:t xml:space="preserve">       </w:t>
      </w:r>
      <w:r>
        <w:t>Applicant</w:t>
      </w:r>
    </w:p>
    <w:p w14:paraId="65DFD556" w14:textId="77777777" w:rsidR="00936544" w:rsidRDefault="00936544" w:rsidP="00936544"/>
    <w:p w14:paraId="570825CC" w14:textId="77777777" w:rsidR="00936544" w:rsidRPr="00E91585" w:rsidRDefault="00936544" w:rsidP="00936544"/>
    <w:p w14:paraId="6E9EEFFA" w14:textId="77777777" w:rsidR="00E91585" w:rsidRDefault="00E91585" w:rsidP="00936544">
      <w:r>
        <w:t xml:space="preserve">and </w:t>
      </w:r>
    </w:p>
    <w:p w14:paraId="62694719" w14:textId="77777777" w:rsidR="00936544" w:rsidRDefault="00936544" w:rsidP="00936544">
      <w:pPr>
        <w:rPr>
          <w:b/>
          <w:bCs/>
        </w:rPr>
      </w:pPr>
    </w:p>
    <w:p w14:paraId="7BD97EE4" w14:textId="77777777" w:rsidR="00936544" w:rsidRDefault="00936544" w:rsidP="00936544">
      <w:pPr>
        <w:rPr>
          <w:b/>
          <w:bCs/>
        </w:rPr>
      </w:pPr>
    </w:p>
    <w:p w14:paraId="61E5F7D9" w14:textId="77777777" w:rsidR="00E91585" w:rsidRDefault="00E91585" w:rsidP="00936544">
      <w:r>
        <w:rPr>
          <w:b/>
          <w:bCs/>
        </w:rPr>
        <w:t>THE STATE</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t xml:space="preserve">  </w:t>
      </w:r>
      <w:r>
        <w:t>Respondent</w:t>
      </w:r>
    </w:p>
    <w:p w14:paraId="4E6225F5" w14:textId="77777777" w:rsidR="00936544" w:rsidRDefault="00936544" w:rsidP="00936544">
      <w:pPr>
        <w:pBdr>
          <w:bottom w:val="single" w:sz="12" w:space="1" w:color="auto"/>
        </w:pBdr>
      </w:pPr>
    </w:p>
    <w:p w14:paraId="763E86FD" w14:textId="77777777" w:rsidR="00E91585" w:rsidRDefault="00E91585" w:rsidP="00936544">
      <w:pPr>
        <w:pBdr>
          <w:bottom w:val="single" w:sz="12" w:space="1" w:color="auto"/>
        </w:pBdr>
      </w:pPr>
      <w:r>
        <w:t xml:space="preserve">Coram: </w:t>
      </w:r>
      <w:r w:rsidR="00936544">
        <w:t xml:space="preserve">  </w:t>
      </w:r>
      <w:r>
        <w:t>De Wet AJ</w:t>
      </w:r>
    </w:p>
    <w:p w14:paraId="014970A4" w14:textId="77777777" w:rsidR="00936544" w:rsidRDefault="00936544" w:rsidP="00936544">
      <w:pPr>
        <w:pBdr>
          <w:bottom w:val="single" w:sz="12" w:space="1" w:color="auto"/>
        </w:pBdr>
      </w:pPr>
    </w:p>
    <w:p w14:paraId="7972E5E4" w14:textId="1C9E60F1" w:rsidR="00E91585" w:rsidRDefault="00E91585" w:rsidP="00936544">
      <w:pPr>
        <w:pBdr>
          <w:bottom w:val="single" w:sz="12" w:space="1" w:color="auto"/>
        </w:pBdr>
        <w:jc w:val="both"/>
      </w:pPr>
      <w:r>
        <w:t xml:space="preserve">Date </w:t>
      </w:r>
      <w:r w:rsidRPr="00A82C3D">
        <w:t xml:space="preserve">of </w:t>
      </w:r>
      <w:r w:rsidR="00B13D41">
        <w:t xml:space="preserve">Reasons: An order was granted on </w:t>
      </w:r>
      <w:r w:rsidR="004D47B3">
        <w:t xml:space="preserve">22 </w:t>
      </w:r>
      <w:r w:rsidR="00B13D41">
        <w:t>February 202</w:t>
      </w:r>
      <w:r w:rsidR="00662F4A">
        <w:t>3</w:t>
      </w:r>
      <w:r w:rsidR="00B13D41">
        <w:t xml:space="preserve">. The reasons for the order were </w:t>
      </w:r>
      <w:r w:rsidRPr="00A82C3D">
        <w:t xml:space="preserve">handed down electronically by circulation to the parties’ legal representatives by email. The date and time </w:t>
      </w:r>
      <w:r>
        <w:t>of</w:t>
      </w:r>
      <w:r w:rsidRPr="00A82C3D">
        <w:t xml:space="preserve"> handing down </w:t>
      </w:r>
      <w:r w:rsidR="00B13D41">
        <w:t xml:space="preserve">reasons is </w:t>
      </w:r>
      <w:r w:rsidRPr="00A82C3D">
        <w:t xml:space="preserve">deemed to be </w:t>
      </w:r>
      <w:r w:rsidR="0031113F">
        <w:t xml:space="preserve">1 March </w:t>
      </w:r>
      <w:r w:rsidR="00936544">
        <w:t>2023</w:t>
      </w:r>
      <w:r>
        <w:t>.</w:t>
      </w:r>
    </w:p>
    <w:p w14:paraId="47EA6360" w14:textId="77777777" w:rsidR="00E91585" w:rsidRPr="00BF18D0" w:rsidRDefault="00E91585" w:rsidP="00E91585">
      <w:pPr>
        <w:pBdr>
          <w:bottom w:val="single" w:sz="12" w:space="1" w:color="auto"/>
        </w:pBdr>
        <w:spacing w:line="480" w:lineRule="auto"/>
        <w:rPr>
          <w:b/>
          <w:bCs/>
        </w:rPr>
      </w:pPr>
    </w:p>
    <w:p w14:paraId="05F32F86" w14:textId="77777777" w:rsidR="00E91585" w:rsidRPr="00BF18D0" w:rsidRDefault="00E91585" w:rsidP="00E91585">
      <w:pPr>
        <w:spacing w:line="360" w:lineRule="auto"/>
        <w:jc w:val="center"/>
        <w:rPr>
          <w:b/>
          <w:bCs/>
        </w:rPr>
      </w:pPr>
    </w:p>
    <w:p w14:paraId="20B3766B" w14:textId="77777777" w:rsidR="00BF18D0" w:rsidRDefault="00E91585" w:rsidP="00E91585">
      <w:pPr>
        <w:spacing w:line="360" w:lineRule="auto"/>
        <w:jc w:val="center"/>
        <w:rPr>
          <w:b/>
          <w:bCs/>
        </w:rPr>
      </w:pPr>
      <w:r>
        <w:rPr>
          <w:b/>
          <w:bCs/>
        </w:rPr>
        <w:t xml:space="preserve"> JUDGMENT</w:t>
      </w:r>
    </w:p>
    <w:p w14:paraId="5D72CC65" w14:textId="7131DB35" w:rsidR="00E91585" w:rsidRPr="00C83252" w:rsidRDefault="00E91585" w:rsidP="00E91585">
      <w:pPr>
        <w:spacing w:line="360" w:lineRule="auto"/>
        <w:jc w:val="center"/>
        <w:rPr>
          <w:b/>
          <w:bCs/>
        </w:rPr>
      </w:pPr>
      <w:r w:rsidRPr="00C83252">
        <w:rPr>
          <w:b/>
          <w:bCs/>
        </w:rPr>
        <w:t>___________________________________________________________________</w:t>
      </w:r>
    </w:p>
    <w:p w14:paraId="181818AF" w14:textId="77777777" w:rsidR="00936544" w:rsidRDefault="00936544" w:rsidP="00E91585">
      <w:pPr>
        <w:spacing w:line="480" w:lineRule="auto"/>
        <w:jc w:val="both"/>
        <w:rPr>
          <w:b/>
        </w:rPr>
      </w:pPr>
    </w:p>
    <w:p w14:paraId="6F77AAD1" w14:textId="1FD2AB95" w:rsidR="00E91585" w:rsidRPr="00662F4A" w:rsidRDefault="00E91585" w:rsidP="00E91585">
      <w:pPr>
        <w:spacing w:line="480" w:lineRule="auto"/>
        <w:jc w:val="both"/>
        <w:rPr>
          <w:bCs/>
        </w:rPr>
      </w:pPr>
      <w:r w:rsidRPr="00662F4A">
        <w:rPr>
          <w:bCs/>
          <w:u w:val="single"/>
        </w:rPr>
        <w:t>DE WET, AJ</w:t>
      </w:r>
      <w:r w:rsidR="00BF18D0" w:rsidRPr="00662F4A">
        <w:rPr>
          <w:bCs/>
        </w:rPr>
        <w:t>:</w:t>
      </w:r>
    </w:p>
    <w:p w14:paraId="5CE10B6F" w14:textId="77777777" w:rsidR="00936544" w:rsidRPr="00936544" w:rsidRDefault="00936544" w:rsidP="00936544">
      <w:pPr>
        <w:spacing w:line="480" w:lineRule="auto"/>
        <w:contextualSpacing/>
        <w:jc w:val="both"/>
        <w:rPr>
          <w:rFonts w:eastAsia="Calibri"/>
          <w:lang w:val="en-US"/>
        </w:rPr>
      </w:pPr>
    </w:p>
    <w:p w14:paraId="6BBB2FD2" w14:textId="735BE6B3" w:rsidR="00662F4A" w:rsidRPr="00662F4A" w:rsidRDefault="00397A49" w:rsidP="00397A49">
      <w:pPr>
        <w:spacing w:line="480" w:lineRule="auto"/>
        <w:contextualSpacing/>
        <w:jc w:val="both"/>
        <w:rPr>
          <w:rFonts w:eastAsia="Calibri"/>
          <w:lang w:val="en-US"/>
        </w:rPr>
      </w:pPr>
      <w:r w:rsidRPr="00662F4A">
        <w:rPr>
          <w:rFonts w:eastAsia="Calibri"/>
          <w:lang w:val="en-US"/>
        </w:rPr>
        <w:t>[1</w:t>
      </w:r>
      <w:bookmarkStart w:id="0" w:name="_GoBack"/>
      <w:bookmarkEnd w:id="0"/>
      <w:r w:rsidRPr="00662F4A">
        <w:rPr>
          <w:rFonts w:eastAsia="Calibri"/>
          <w:lang w:val="en-US"/>
        </w:rPr>
        <w:t>]</w:t>
      </w:r>
      <w:r w:rsidRPr="00662F4A">
        <w:rPr>
          <w:rFonts w:eastAsia="Calibri"/>
          <w:lang w:val="en-US"/>
        </w:rPr>
        <w:tab/>
      </w:r>
      <w:r w:rsidR="00662F4A">
        <w:t>The right of an unsuccessful bail applicant to a</w:t>
      </w:r>
      <w:r w:rsidR="007E6030">
        <w:t>n</w:t>
      </w:r>
      <w:r w:rsidR="00662F4A">
        <w:t xml:space="preserve"> opportunity to present new facts in order to secure </w:t>
      </w:r>
      <w:r w:rsidR="00662F4A" w:rsidRPr="009724EC">
        <w:t>their</w:t>
      </w:r>
      <w:r w:rsidR="00662F4A">
        <w:t xml:space="preserve"> release on bail must always be carefully weighed against </w:t>
      </w:r>
      <w:r w:rsidR="00662F4A">
        <w:lastRenderedPageBreak/>
        <w:t>the principle that renewed bail applications, where old and previously known facts are simply restructured</w:t>
      </w:r>
      <w:r w:rsidR="009724EC">
        <w:t xml:space="preserve"> and no real new facts exist</w:t>
      </w:r>
      <w:r w:rsidR="00662F4A">
        <w:t>, amounts to an abuse of process.</w:t>
      </w:r>
    </w:p>
    <w:p w14:paraId="6D0A0F36" w14:textId="77777777" w:rsidR="00662F4A" w:rsidRPr="00662F4A" w:rsidRDefault="00662F4A" w:rsidP="00662F4A">
      <w:pPr>
        <w:spacing w:line="480" w:lineRule="auto"/>
        <w:contextualSpacing/>
        <w:jc w:val="both"/>
        <w:rPr>
          <w:rFonts w:eastAsia="Calibri"/>
          <w:lang w:val="en-US"/>
        </w:rPr>
      </w:pPr>
    </w:p>
    <w:p w14:paraId="19F030F5" w14:textId="5F9507DF" w:rsidR="00AF6900" w:rsidRPr="00F00C9A" w:rsidRDefault="00397A49" w:rsidP="00397A49">
      <w:pPr>
        <w:spacing w:line="480" w:lineRule="auto"/>
        <w:contextualSpacing/>
        <w:jc w:val="both"/>
        <w:rPr>
          <w:rFonts w:eastAsia="Calibri"/>
          <w:lang w:val="en-US"/>
        </w:rPr>
      </w:pPr>
      <w:r w:rsidRPr="00F00C9A">
        <w:rPr>
          <w:rFonts w:eastAsia="Calibri"/>
          <w:lang w:val="en-US"/>
        </w:rPr>
        <w:t>[2]</w:t>
      </w:r>
      <w:r w:rsidRPr="00F00C9A">
        <w:rPr>
          <w:rFonts w:eastAsia="Calibri"/>
          <w:lang w:val="en-US"/>
        </w:rPr>
        <w:tab/>
      </w:r>
      <w:r w:rsidR="00B13D41">
        <w:t xml:space="preserve">The applicant was arrested on 4 September 2020 and first applied for bail during October 2020 in the </w:t>
      </w:r>
      <w:r w:rsidR="00C02CD8">
        <w:t>m</w:t>
      </w:r>
      <w:r w:rsidR="00B13D41">
        <w:t>agistrate’s court of Cape Town under case number 16/500/2020. The state and the legal representatives of the applicant agreed that the provision</w:t>
      </w:r>
      <w:r w:rsidR="00C02CD8">
        <w:t xml:space="preserve">s </w:t>
      </w:r>
      <w:r w:rsidR="00B13D41">
        <w:t xml:space="preserve">of s 60(11)(a) of the Criminal Procedure Act 51 of 1977 (“the CPA”) applied and that the applicant had </w:t>
      </w:r>
      <w:r w:rsidR="00AF6900">
        <w:t xml:space="preserve">the onus to adduce evidence </w:t>
      </w:r>
      <w:r w:rsidR="00C02CD8">
        <w:t>that</w:t>
      </w:r>
      <w:r w:rsidR="00AF6900">
        <w:t xml:space="preserve"> would show, on a balance of probabilities, that there are exceptional circumstances which, in the interest of justice, would permit the release of the applicant on bail. </w:t>
      </w:r>
    </w:p>
    <w:p w14:paraId="5E95E4BB" w14:textId="77777777" w:rsidR="00F00C9A" w:rsidRPr="00AF6900" w:rsidRDefault="00F00C9A" w:rsidP="00F00C9A">
      <w:pPr>
        <w:spacing w:line="480" w:lineRule="auto"/>
        <w:contextualSpacing/>
        <w:jc w:val="both"/>
        <w:rPr>
          <w:rFonts w:eastAsia="Calibri"/>
          <w:lang w:val="en-US"/>
        </w:rPr>
      </w:pPr>
    </w:p>
    <w:p w14:paraId="3E8345E3" w14:textId="10EC9822" w:rsidR="00AF6900" w:rsidRPr="00F00C9A" w:rsidRDefault="00397A49" w:rsidP="00397A49">
      <w:pPr>
        <w:spacing w:line="480" w:lineRule="auto"/>
        <w:contextualSpacing/>
        <w:jc w:val="both"/>
        <w:rPr>
          <w:rFonts w:eastAsia="Calibri"/>
          <w:lang w:val="en-US"/>
        </w:rPr>
      </w:pPr>
      <w:r w:rsidRPr="00F00C9A">
        <w:rPr>
          <w:rFonts w:eastAsia="Calibri"/>
          <w:lang w:val="en-US"/>
        </w:rPr>
        <w:t>[3]</w:t>
      </w:r>
      <w:r w:rsidRPr="00F00C9A">
        <w:rPr>
          <w:rFonts w:eastAsia="Calibri"/>
          <w:lang w:val="en-US"/>
        </w:rPr>
        <w:tab/>
      </w:r>
      <w:r w:rsidR="00AF6900">
        <w:t>During December 2020 the bail application was refused and the applicant filed an appeal against such refusal in this court under case number</w:t>
      </w:r>
      <w:r w:rsidR="00F00C9A">
        <w:t xml:space="preserve"> A 71/2021</w:t>
      </w:r>
      <w:r w:rsidR="00AF6900">
        <w:t xml:space="preserve">. The bail appeal was </w:t>
      </w:r>
      <w:r w:rsidR="007E6030">
        <w:t>refused</w:t>
      </w:r>
      <w:r w:rsidR="00AF6900">
        <w:t xml:space="preserve"> </w:t>
      </w:r>
      <w:r w:rsidR="004D47B3">
        <w:t xml:space="preserve">during May 2021 </w:t>
      </w:r>
      <w:r w:rsidR="00AF6900">
        <w:t>by Lekhuleni AJ (as he then was)</w:t>
      </w:r>
      <w:r w:rsidR="004D47B3">
        <w:t>.</w:t>
      </w:r>
      <w:r w:rsidR="00AF6900">
        <w:t xml:space="preserve"> </w:t>
      </w:r>
    </w:p>
    <w:p w14:paraId="29965928" w14:textId="77777777" w:rsidR="00773D91" w:rsidRPr="00773D91" w:rsidRDefault="00773D91" w:rsidP="00773D91">
      <w:pPr>
        <w:spacing w:line="480" w:lineRule="auto"/>
        <w:contextualSpacing/>
        <w:jc w:val="both"/>
        <w:rPr>
          <w:rFonts w:eastAsia="Calibri"/>
          <w:lang w:val="en-US"/>
        </w:rPr>
      </w:pPr>
    </w:p>
    <w:p w14:paraId="01F7D2A4" w14:textId="172566FC" w:rsidR="00F86D8E" w:rsidRPr="00F86D8E" w:rsidRDefault="00397A49" w:rsidP="00397A49">
      <w:pPr>
        <w:spacing w:line="480" w:lineRule="auto"/>
        <w:contextualSpacing/>
        <w:jc w:val="both"/>
        <w:rPr>
          <w:rFonts w:eastAsia="Calibri"/>
          <w:lang w:val="en-US"/>
        </w:rPr>
      </w:pPr>
      <w:r w:rsidRPr="00F86D8E">
        <w:rPr>
          <w:rFonts w:eastAsia="Calibri"/>
          <w:lang w:val="en-US"/>
        </w:rPr>
        <w:t>[4]</w:t>
      </w:r>
      <w:r w:rsidRPr="00F86D8E">
        <w:rPr>
          <w:rFonts w:eastAsia="Calibri"/>
          <w:lang w:val="en-US"/>
        </w:rPr>
        <w:tab/>
      </w:r>
      <w:r w:rsidR="00AF6900">
        <w:t>During November 2022, the applicant lodged an</w:t>
      </w:r>
      <w:r w:rsidR="007E6030">
        <w:t xml:space="preserve"> application for special leave to </w:t>
      </w:r>
      <w:r w:rsidR="00AF6900">
        <w:t xml:space="preserve">appeal in the Supreme Court of Appeal against the finding of Lekhuleni AJ under case number </w:t>
      </w:r>
      <w:r w:rsidR="00F00C9A">
        <w:t>026/2022</w:t>
      </w:r>
      <w:r w:rsidR="00F86D8E">
        <w:t>. During January 2022 condonation for the late filing of the application was granted but the application for special leave to appeal was dismissed on the grounds that there are no special circumstances meriting a further appeal.</w:t>
      </w:r>
    </w:p>
    <w:p w14:paraId="37E1D202" w14:textId="77777777" w:rsidR="00F86D8E" w:rsidRPr="00F86D8E" w:rsidRDefault="00F86D8E" w:rsidP="00F86D8E">
      <w:pPr>
        <w:spacing w:line="480" w:lineRule="auto"/>
        <w:contextualSpacing/>
        <w:jc w:val="both"/>
        <w:rPr>
          <w:rFonts w:eastAsia="Calibri"/>
          <w:lang w:val="en-US"/>
        </w:rPr>
      </w:pPr>
    </w:p>
    <w:p w14:paraId="6030434E" w14:textId="2D9DBB41" w:rsidR="00A6139A" w:rsidRPr="00A6139A" w:rsidRDefault="00397A49" w:rsidP="00397A49">
      <w:pPr>
        <w:spacing w:line="480" w:lineRule="auto"/>
        <w:contextualSpacing/>
        <w:jc w:val="both"/>
        <w:rPr>
          <w:rFonts w:eastAsia="Calibri"/>
          <w:lang w:val="en-US"/>
        </w:rPr>
      </w:pPr>
      <w:r w:rsidRPr="00A6139A">
        <w:rPr>
          <w:rFonts w:eastAsia="Calibri"/>
          <w:lang w:val="en-US"/>
        </w:rPr>
        <w:t>[5]</w:t>
      </w:r>
      <w:r w:rsidRPr="00A6139A">
        <w:rPr>
          <w:rFonts w:eastAsia="Calibri"/>
          <w:lang w:val="en-US"/>
        </w:rPr>
        <w:tab/>
      </w:r>
      <w:r w:rsidR="00AF6900">
        <w:t>The applicant then filed</w:t>
      </w:r>
      <w:r w:rsidR="009D4019">
        <w:t xml:space="preserve"> this </w:t>
      </w:r>
      <w:r w:rsidR="00AF6900">
        <w:t>application</w:t>
      </w:r>
      <w:r w:rsidR="009D4019">
        <w:t xml:space="preserve">, based on alleged new facts, </w:t>
      </w:r>
      <w:r w:rsidR="00AF6900">
        <w:t>for his release on bail</w:t>
      </w:r>
      <w:r w:rsidR="009D4019">
        <w:t>.</w:t>
      </w:r>
      <w:r w:rsidR="004D47B3">
        <w:rPr>
          <w:rStyle w:val="FootnoteReference"/>
        </w:rPr>
        <w:footnoteReference w:id="1"/>
      </w:r>
      <w:r w:rsidR="00A6139A">
        <w:t xml:space="preserve"> The record </w:t>
      </w:r>
      <w:r w:rsidR="004D47B3">
        <w:t xml:space="preserve">that was </w:t>
      </w:r>
      <w:r w:rsidR="00A6139A">
        <w:t>placed before th</w:t>
      </w:r>
      <w:r w:rsidR="009724EC">
        <w:t>is</w:t>
      </w:r>
      <w:r w:rsidR="00A6139A">
        <w:t xml:space="preserve"> court </w:t>
      </w:r>
      <w:r w:rsidR="004D47B3">
        <w:t xml:space="preserve">is </w:t>
      </w:r>
      <w:r w:rsidR="00A6139A">
        <w:t xml:space="preserve">voluminous and contained all the documents (including the parties’ respective heads of argument) in the previous </w:t>
      </w:r>
      <w:r w:rsidR="00C02CD8">
        <w:t xml:space="preserve">bail </w:t>
      </w:r>
      <w:r w:rsidR="00A6139A">
        <w:t xml:space="preserve">application, which I </w:t>
      </w:r>
      <w:r w:rsidR="007E6030">
        <w:t xml:space="preserve">carefully </w:t>
      </w:r>
      <w:r w:rsidR="00A6139A">
        <w:t xml:space="preserve">considered in light of the approach to be </w:t>
      </w:r>
      <w:r w:rsidR="00A6139A">
        <w:lastRenderedPageBreak/>
        <w:t>adopted in an application of this nature. I dismiss</w:t>
      </w:r>
      <w:r w:rsidR="009D4019">
        <w:t>ed</w:t>
      </w:r>
      <w:r w:rsidR="00A6139A">
        <w:t xml:space="preserve"> the application on </w:t>
      </w:r>
      <w:r w:rsidR="00C02CD8">
        <w:t xml:space="preserve">22 </w:t>
      </w:r>
      <w:r w:rsidR="00A6139A">
        <w:t xml:space="preserve">February 2023. These are the reasons for my order. </w:t>
      </w:r>
    </w:p>
    <w:p w14:paraId="25BDF654" w14:textId="77777777" w:rsidR="00C02CD8" w:rsidRPr="00A6139A" w:rsidRDefault="00C02CD8" w:rsidP="00A6139A">
      <w:pPr>
        <w:spacing w:line="480" w:lineRule="auto"/>
        <w:contextualSpacing/>
        <w:jc w:val="both"/>
        <w:rPr>
          <w:rFonts w:eastAsia="Calibri"/>
          <w:lang w:val="en-US"/>
        </w:rPr>
      </w:pPr>
    </w:p>
    <w:p w14:paraId="0E993D74" w14:textId="5E9BF588" w:rsidR="00A6139A" w:rsidRPr="00662F4A" w:rsidRDefault="00A6139A" w:rsidP="00A6139A">
      <w:pPr>
        <w:spacing w:line="480" w:lineRule="auto"/>
        <w:contextualSpacing/>
        <w:jc w:val="both"/>
        <w:rPr>
          <w:rFonts w:eastAsia="Calibri"/>
          <w:i/>
          <w:iCs/>
          <w:u w:val="single"/>
          <w:lang w:val="en-US"/>
        </w:rPr>
      </w:pPr>
      <w:r w:rsidRPr="00662F4A">
        <w:rPr>
          <w:rFonts w:eastAsia="Calibri"/>
          <w:i/>
          <w:iCs/>
          <w:u w:val="single"/>
          <w:lang w:val="en-US"/>
        </w:rPr>
        <w:t>Factual background:</w:t>
      </w:r>
    </w:p>
    <w:p w14:paraId="45A62A26" w14:textId="77777777" w:rsidR="00A6139A" w:rsidRPr="00A6139A" w:rsidRDefault="00A6139A" w:rsidP="00A6139A">
      <w:pPr>
        <w:spacing w:line="480" w:lineRule="auto"/>
        <w:contextualSpacing/>
        <w:jc w:val="both"/>
        <w:rPr>
          <w:rFonts w:eastAsia="Calibri"/>
          <w:i/>
          <w:iCs/>
          <w:u w:val="single"/>
          <w:lang w:val="en-US"/>
        </w:rPr>
      </w:pPr>
    </w:p>
    <w:p w14:paraId="67184DE3" w14:textId="784C9930" w:rsidR="00BF18D0" w:rsidRPr="002A2C0C" w:rsidRDefault="00397A49" w:rsidP="00397A49">
      <w:pPr>
        <w:spacing w:line="480" w:lineRule="auto"/>
        <w:contextualSpacing/>
        <w:jc w:val="both"/>
        <w:rPr>
          <w:rFonts w:eastAsia="Calibri"/>
          <w:lang w:val="en-US"/>
        </w:rPr>
      </w:pPr>
      <w:r w:rsidRPr="002A2C0C">
        <w:rPr>
          <w:rFonts w:eastAsia="Calibri"/>
          <w:lang w:val="en-US"/>
        </w:rPr>
        <w:t>[6]</w:t>
      </w:r>
      <w:r w:rsidRPr="002A2C0C">
        <w:rPr>
          <w:rFonts w:eastAsia="Calibri"/>
          <w:lang w:val="en-US"/>
        </w:rPr>
        <w:tab/>
      </w:r>
      <w:r w:rsidR="00A6139A">
        <w:t>The applicant was charged</w:t>
      </w:r>
      <w:r w:rsidR="002A2C0C">
        <w:t xml:space="preserve"> with </w:t>
      </w:r>
      <w:r w:rsidR="002A2C0C">
        <w:rPr>
          <w:rFonts w:eastAsia="Calibri"/>
          <w:lang w:val="en-US"/>
        </w:rPr>
        <w:t>m</w:t>
      </w:r>
      <w:r w:rsidR="00BF18D0" w:rsidRPr="002A2C0C">
        <w:rPr>
          <w:rFonts w:eastAsia="Calibri"/>
          <w:lang w:val="en-US"/>
        </w:rPr>
        <w:t>urder</w:t>
      </w:r>
      <w:r w:rsidR="002A2C0C">
        <w:rPr>
          <w:rFonts w:eastAsia="Calibri"/>
          <w:lang w:val="en-US"/>
        </w:rPr>
        <w:t>, r</w:t>
      </w:r>
      <w:r w:rsidR="00BF18D0" w:rsidRPr="002A2C0C">
        <w:rPr>
          <w:rFonts w:eastAsia="Calibri"/>
          <w:lang w:val="en-US"/>
        </w:rPr>
        <w:t xml:space="preserve">obbery with aggravating circumstances as defined in s 1 of </w:t>
      </w:r>
      <w:r w:rsidR="002A2C0C">
        <w:rPr>
          <w:rFonts w:eastAsia="Calibri"/>
          <w:lang w:val="en-US"/>
        </w:rPr>
        <w:t>the CPA, r</w:t>
      </w:r>
      <w:r w:rsidR="00BF18D0" w:rsidRPr="002A2C0C">
        <w:rPr>
          <w:rFonts w:eastAsia="Calibri"/>
          <w:lang w:val="en-US"/>
        </w:rPr>
        <w:t xml:space="preserve">obbery with aggravating circumstances as defined in s 1 of </w:t>
      </w:r>
      <w:r w:rsidR="002A2C0C">
        <w:rPr>
          <w:rFonts w:eastAsia="Calibri"/>
          <w:lang w:val="en-US"/>
        </w:rPr>
        <w:t>the CPA, c</w:t>
      </w:r>
      <w:r w:rsidR="00BF18D0" w:rsidRPr="002A2C0C">
        <w:rPr>
          <w:rFonts w:eastAsia="Calibri"/>
          <w:lang w:val="en-US"/>
        </w:rPr>
        <w:t>ontravention of s 3, read with sections 1, 103, 117, 120(1)(a), s 121, read with schedule 4 and s 151 of the Firearms Control Act, 60 of 2000, and further read with s 250 of the C</w:t>
      </w:r>
      <w:r w:rsidR="002A2C0C">
        <w:rPr>
          <w:rFonts w:eastAsia="Calibri"/>
          <w:lang w:val="en-US"/>
        </w:rPr>
        <w:t>PA</w:t>
      </w:r>
      <w:r w:rsidR="00C02CD8">
        <w:rPr>
          <w:rFonts w:eastAsia="Calibri"/>
          <w:lang w:val="en-US"/>
        </w:rPr>
        <w:t xml:space="preserve"> </w:t>
      </w:r>
      <w:r w:rsidR="00BF18D0" w:rsidRPr="002A2C0C">
        <w:rPr>
          <w:rFonts w:eastAsia="Calibri"/>
          <w:lang w:val="en-US"/>
        </w:rPr>
        <w:t>(unlawful possession of firearm) and</w:t>
      </w:r>
      <w:r w:rsidR="002A2C0C">
        <w:rPr>
          <w:rFonts w:eastAsia="Calibri"/>
          <w:lang w:val="en-US"/>
        </w:rPr>
        <w:t xml:space="preserve"> c</w:t>
      </w:r>
      <w:r w:rsidR="00BF18D0" w:rsidRPr="002A2C0C">
        <w:rPr>
          <w:rFonts w:eastAsia="Calibri"/>
          <w:lang w:val="en-US"/>
        </w:rPr>
        <w:t>ontravention of s 90, read with s</w:t>
      </w:r>
      <w:r w:rsidR="002A2C0C">
        <w:rPr>
          <w:rFonts w:eastAsia="Calibri"/>
          <w:lang w:val="en-US"/>
        </w:rPr>
        <w:t>s</w:t>
      </w:r>
      <w:r w:rsidR="00BF18D0" w:rsidRPr="002A2C0C">
        <w:rPr>
          <w:rFonts w:eastAsia="Calibri"/>
          <w:lang w:val="en-US"/>
        </w:rPr>
        <w:t xml:space="preserve"> 1, 103, 117, 120(1)(a), s 121, read with schedule 4 and s 151 of the Firearms Control Act, 60 of 2000, and further read with s 250 of the C</w:t>
      </w:r>
      <w:r w:rsidR="002A2C0C">
        <w:rPr>
          <w:rFonts w:eastAsia="Calibri"/>
          <w:lang w:val="en-US"/>
        </w:rPr>
        <w:t xml:space="preserve">PA </w:t>
      </w:r>
      <w:r w:rsidR="00BF18D0" w:rsidRPr="002A2C0C">
        <w:rPr>
          <w:rFonts w:eastAsia="Calibri"/>
          <w:lang w:val="en-US"/>
        </w:rPr>
        <w:t>(unlawful possession of ammunition)</w:t>
      </w:r>
      <w:r w:rsidR="00711461">
        <w:rPr>
          <w:rFonts w:eastAsia="Calibri"/>
          <w:lang w:val="en-US"/>
        </w:rPr>
        <w:t>.</w:t>
      </w:r>
    </w:p>
    <w:p w14:paraId="04D729E5" w14:textId="07FC123E" w:rsidR="00BF18D0" w:rsidRDefault="00BF18D0" w:rsidP="00BF18D0">
      <w:pPr>
        <w:spacing w:line="480" w:lineRule="auto"/>
        <w:rPr>
          <w:b/>
          <w:bCs/>
          <w:i/>
          <w:iCs/>
          <w:u w:val="single"/>
        </w:rPr>
      </w:pPr>
    </w:p>
    <w:p w14:paraId="58B2252E" w14:textId="73ED791F" w:rsidR="0026296A" w:rsidRDefault="00397A49" w:rsidP="00397A49">
      <w:pPr>
        <w:spacing w:line="480" w:lineRule="auto"/>
        <w:contextualSpacing/>
        <w:jc w:val="both"/>
      </w:pPr>
      <w:r>
        <w:t>[7]</w:t>
      </w:r>
      <w:r>
        <w:tab/>
      </w:r>
      <w:r w:rsidR="002A2C0C">
        <w:t>It is alleged that</w:t>
      </w:r>
      <w:r w:rsidR="00711461">
        <w:t xml:space="preserve"> o</w:t>
      </w:r>
      <w:r w:rsidR="00C21AA0">
        <w:t xml:space="preserve">n 22 February 2020, at </w:t>
      </w:r>
      <w:r w:rsidR="0026296A">
        <w:t xml:space="preserve">about </w:t>
      </w:r>
      <w:r w:rsidR="00C21AA0">
        <w:t>11</w:t>
      </w:r>
      <w:r w:rsidR="00711461">
        <w:t>h</w:t>
      </w:r>
      <w:r w:rsidR="00C21AA0">
        <w:t>30, t</w:t>
      </w:r>
      <w:r w:rsidR="00E91585">
        <w:t xml:space="preserve">he </w:t>
      </w:r>
      <w:r w:rsidR="00C21AA0">
        <w:t>a</w:t>
      </w:r>
      <w:r w:rsidR="00E91585">
        <w:t>pplicant and</w:t>
      </w:r>
      <w:r w:rsidR="009724EC">
        <w:t xml:space="preserve"> </w:t>
      </w:r>
      <w:r w:rsidR="0026296A">
        <w:t>a group of</w:t>
      </w:r>
      <w:r w:rsidR="00662F4A">
        <w:t xml:space="preserve"> seven </w:t>
      </w:r>
      <w:r w:rsidR="00E91585">
        <w:t xml:space="preserve">other </w:t>
      </w:r>
      <w:r w:rsidR="00EF4699">
        <w:t xml:space="preserve">males entered the parking area of </w:t>
      </w:r>
      <w:r w:rsidR="00BD4D9C">
        <w:t>Orms Pro Photo Shop (“Orms”) in Roeland Street, Roeland</w:t>
      </w:r>
      <w:r w:rsidR="004D47B3">
        <w:t xml:space="preserve"> </w:t>
      </w:r>
      <w:r w:rsidR="00BD4D9C">
        <w:t>Square, Cape Town</w:t>
      </w:r>
      <w:r w:rsidR="00EF4699">
        <w:t xml:space="preserve"> </w:t>
      </w:r>
      <w:r w:rsidR="0026296A">
        <w:t xml:space="preserve">in two </w:t>
      </w:r>
      <w:r w:rsidR="00EF4699">
        <w:t>motor vehicle</w:t>
      </w:r>
      <w:r w:rsidR="00C02CD8">
        <w:t xml:space="preserve">s, </w:t>
      </w:r>
      <w:r w:rsidR="0026296A">
        <w:t xml:space="preserve">namely a </w:t>
      </w:r>
      <w:r w:rsidR="00BC639B">
        <w:t xml:space="preserve">white </w:t>
      </w:r>
      <w:r w:rsidR="0026296A">
        <w:t>Polo with registration number CA 658122 and a</w:t>
      </w:r>
      <w:r w:rsidR="00BC639B">
        <w:t xml:space="preserve"> s</w:t>
      </w:r>
      <w:r w:rsidR="0026296A">
        <w:t>ilver-grey Toyota Quest with registration number CA 623613. The ma</w:t>
      </w:r>
      <w:r w:rsidR="009D4019">
        <w:t>l</w:t>
      </w:r>
      <w:r w:rsidR="0026296A">
        <w:t>e suspect</w:t>
      </w:r>
      <w:r w:rsidR="009D4019">
        <w:t>s</w:t>
      </w:r>
      <w:r w:rsidR="0026296A">
        <w:t xml:space="preserve"> exited the vehicles and </w:t>
      </w:r>
      <w:r w:rsidR="00662F4A">
        <w:t xml:space="preserve">approximately </w:t>
      </w:r>
      <w:r w:rsidR="0026296A">
        <w:t>three of the males in the group approached Orms whil</w:t>
      </w:r>
      <w:r w:rsidR="009D4019">
        <w:t xml:space="preserve">st </w:t>
      </w:r>
      <w:r w:rsidR="0026296A">
        <w:t xml:space="preserve">the drivers remained in the </w:t>
      </w:r>
      <w:r w:rsidR="00BC639B">
        <w:t>vehicles</w:t>
      </w:r>
      <w:r w:rsidR="0026296A">
        <w:t>. According to an employee of Orms</w:t>
      </w:r>
      <w:r w:rsidR="00662F4A">
        <w:t>,</w:t>
      </w:r>
      <w:r w:rsidR="0026296A">
        <w:t xml:space="preserve"> two men entered the shop, one of them took out a firearm, cocked it and pointed it towards him and instructed him and his client to get down</w:t>
      </w:r>
      <w:r w:rsidR="00662F4A">
        <w:t xml:space="preserve"> on the floor</w:t>
      </w:r>
      <w:r w:rsidR="0026296A">
        <w:t>. The suspects then proceeded to remove cameras and equipment from the shop. There were employees and members of the public present in the shop whilst the robbery to</w:t>
      </w:r>
      <w:r w:rsidR="009D4019">
        <w:t>ok</w:t>
      </w:r>
      <w:r w:rsidR="0026296A">
        <w:t xml:space="preserve"> place. </w:t>
      </w:r>
    </w:p>
    <w:p w14:paraId="454946C7" w14:textId="77777777" w:rsidR="0026296A" w:rsidRDefault="0026296A" w:rsidP="0026296A">
      <w:pPr>
        <w:pStyle w:val="ListParagraph"/>
      </w:pPr>
    </w:p>
    <w:p w14:paraId="40E684DD" w14:textId="45B60BBF" w:rsidR="00DF1AD8" w:rsidRDefault="00397A49" w:rsidP="00397A49">
      <w:pPr>
        <w:spacing w:line="480" w:lineRule="auto"/>
        <w:contextualSpacing/>
        <w:jc w:val="both"/>
      </w:pPr>
      <w:r>
        <w:lastRenderedPageBreak/>
        <w:t>[8]</w:t>
      </w:r>
      <w:r>
        <w:tab/>
      </w:r>
      <w:r w:rsidR="009D4019">
        <w:t xml:space="preserve">An </w:t>
      </w:r>
      <w:r w:rsidR="0026296A">
        <w:t>armed response vehicle entered the parking lot</w:t>
      </w:r>
      <w:r w:rsidR="009D4019">
        <w:t xml:space="preserve"> whilst the robbery was taking place</w:t>
      </w:r>
      <w:r w:rsidR="0026296A">
        <w:t>. One of the suspects approached the vehicle, took out a firearm and shot and killed the drive</w:t>
      </w:r>
      <w:r w:rsidR="009D4019">
        <w:t xml:space="preserve">r. </w:t>
      </w:r>
      <w:r w:rsidR="0026296A">
        <w:t xml:space="preserve">The suspect proceeded to remove a firearm and ammunition from the </w:t>
      </w:r>
      <w:r w:rsidR="00662F4A">
        <w:t xml:space="preserve">armed response officer </w:t>
      </w:r>
      <w:r w:rsidR="0026296A">
        <w:t>wh</w:t>
      </w:r>
      <w:r w:rsidR="007E6030">
        <w:t>om</w:t>
      </w:r>
      <w:r w:rsidR="0026296A">
        <w:t xml:space="preserve"> he had </w:t>
      </w:r>
      <w:r w:rsidR="009D4019">
        <w:t xml:space="preserve">just </w:t>
      </w:r>
      <w:r w:rsidR="0026296A">
        <w:t>shot</w:t>
      </w:r>
      <w:r w:rsidR="009D4019">
        <w:t xml:space="preserve">. </w:t>
      </w:r>
      <w:r w:rsidR="00DF1AD8">
        <w:t xml:space="preserve">The </w:t>
      </w:r>
      <w:r w:rsidR="00662F4A">
        <w:t xml:space="preserve">armed response officer </w:t>
      </w:r>
      <w:r w:rsidR="00DF1AD8">
        <w:t xml:space="preserve">died from the gunshot wound. After the shooting incident all the suspects fled the scene in the </w:t>
      </w:r>
      <w:r w:rsidR="00BC639B">
        <w:t>vehicles</w:t>
      </w:r>
      <w:r w:rsidR="00DF1AD8">
        <w:t>.</w:t>
      </w:r>
    </w:p>
    <w:p w14:paraId="6683F171" w14:textId="77777777" w:rsidR="00DF1AD8" w:rsidRDefault="00DF1AD8" w:rsidP="00DF1AD8">
      <w:pPr>
        <w:pStyle w:val="ListParagraph"/>
      </w:pPr>
    </w:p>
    <w:p w14:paraId="7DBAACAD" w14:textId="7492FB0D" w:rsidR="00C21AA0" w:rsidRPr="009D4019" w:rsidRDefault="00397A49" w:rsidP="00397A49">
      <w:pPr>
        <w:spacing w:line="480" w:lineRule="auto"/>
        <w:contextualSpacing/>
        <w:jc w:val="both"/>
        <w:rPr>
          <w:rFonts w:eastAsia="Calibri"/>
          <w:lang w:val="en-US"/>
        </w:rPr>
      </w:pPr>
      <w:r w:rsidRPr="009D4019">
        <w:rPr>
          <w:rFonts w:eastAsia="Calibri"/>
          <w:lang w:val="en-US"/>
        </w:rPr>
        <w:t>[9]</w:t>
      </w:r>
      <w:r w:rsidRPr="009D4019">
        <w:rPr>
          <w:rFonts w:eastAsia="Calibri"/>
          <w:lang w:val="en-US"/>
        </w:rPr>
        <w:tab/>
      </w:r>
      <w:r w:rsidR="009F64F2">
        <w:t xml:space="preserve">The </w:t>
      </w:r>
      <w:r w:rsidR="00C21AA0">
        <w:t>a</w:t>
      </w:r>
      <w:r w:rsidR="009F64F2">
        <w:t>pplicant was identified through security video footage as the driver of one of the getaway vehicles and was in due course arrested, being known to the investigating officer</w:t>
      </w:r>
      <w:r w:rsidR="009D4019">
        <w:t xml:space="preserve"> from a previous similar case</w:t>
      </w:r>
      <w:r w:rsidR="009F64F2">
        <w:t>.</w:t>
      </w:r>
      <w:r w:rsidR="008B016F">
        <w:t xml:space="preserve"> </w:t>
      </w:r>
      <w:r w:rsidR="00DF1AD8">
        <w:t xml:space="preserve">According to the state the </w:t>
      </w:r>
      <w:r w:rsidR="008B016F">
        <w:t>video f</w:t>
      </w:r>
      <w:r w:rsidR="008B016F" w:rsidRPr="00BC639B">
        <w:t xml:space="preserve">ootage shows the </w:t>
      </w:r>
      <w:r w:rsidR="00C21AA0" w:rsidRPr="00BC639B">
        <w:t>a</w:t>
      </w:r>
      <w:r w:rsidR="008B016F" w:rsidRPr="00BC639B">
        <w:t xml:space="preserve">pplicant sitting behind the steering wheel of the </w:t>
      </w:r>
      <w:r w:rsidR="00BC639B" w:rsidRPr="00BC639B">
        <w:t xml:space="preserve">silver Toyota </w:t>
      </w:r>
      <w:r w:rsidR="008B016F" w:rsidRPr="00BC639B">
        <w:t xml:space="preserve">getaway </w:t>
      </w:r>
      <w:r w:rsidR="00BC639B" w:rsidRPr="00BC639B">
        <w:t>vehicle.</w:t>
      </w:r>
      <w:r w:rsidR="00BC639B" w:rsidRPr="00BC639B">
        <w:rPr>
          <w:b/>
          <w:bCs/>
        </w:rPr>
        <w:t xml:space="preserve"> </w:t>
      </w:r>
      <w:r w:rsidR="00BC639B" w:rsidRPr="009D4019">
        <w:t xml:space="preserve">This is the same vehicle which a security officer saw </w:t>
      </w:r>
      <w:r w:rsidR="00662F4A">
        <w:t>four m</w:t>
      </w:r>
      <w:r w:rsidR="00BC639B" w:rsidRPr="009D4019">
        <w:t>ales climb out of before the robbery and</w:t>
      </w:r>
      <w:r w:rsidR="00662F4A">
        <w:t>,</w:t>
      </w:r>
      <w:r w:rsidR="00BC639B" w:rsidRPr="009D4019">
        <w:t xml:space="preserve"> the </w:t>
      </w:r>
      <w:r w:rsidR="007E6030">
        <w:t xml:space="preserve">same </w:t>
      </w:r>
      <w:r w:rsidR="00662F4A">
        <w:t xml:space="preserve">vehicle </w:t>
      </w:r>
      <w:r w:rsidR="007E6030">
        <w:t>used to fled the scene.</w:t>
      </w:r>
      <w:r w:rsidR="00BC639B" w:rsidRPr="009D4019">
        <w:t xml:space="preserve"> </w:t>
      </w:r>
    </w:p>
    <w:p w14:paraId="2033CB16" w14:textId="77777777" w:rsidR="00BC639B" w:rsidRPr="009D4019" w:rsidRDefault="00BC639B" w:rsidP="00BC639B">
      <w:pPr>
        <w:spacing w:line="480" w:lineRule="auto"/>
        <w:contextualSpacing/>
        <w:jc w:val="both"/>
        <w:rPr>
          <w:rFonts w:eastAsia="Calibri"/>
          <w:lang w:val="en-US"/>
        </w:rPr>
      </w:pPr>
    </w:p>
    <w:p w14:paraId="7D7F5172" w14:textId="4EBE4612" w:rsidR="00C21AA0" w:rsidRPr="00773D91" w:rsidRDefault="00397A49" w:rsidP="00397A49">
      <w:pPr>
        <w:spacing w:line="480" w:lineRule="auto"/>
        <w:contextualSpacing/>
        <w:jc w:val="both"/>
        <w:rPr>
          <w:rFonts w:eastAsia="Calibri"/>
          <w:lang w:val="en-US"/>
        </w:rPr>
      </w:pPr>
      <w:r w:rsidRPr="00773D91">
        <w:rPr>
          <w:rFonts w:eastAsia="Calibri"/>
          <w:lang w:val="en-US"/>
        </w:rPr>
        <w:t>[10]</w:t>
      </w:r>
      <w:r w:rsidRPr="00773D91">
        <w:rPr>
          <w:rFonts w:eastAsia="Calibri"/>
          <w:lang w:val="en-US"/>
        </w:rPr>
        <w:tab/>
      </w:r>
      <w:r w:rsidR="00D82C50">
        <w:t xml:space="preserve">According to the </w:t>
      </w:r>
      <w:r w:rsidR="00C21AA0" w:rsidRPr="00773D91">
        <w:t>a</w:t>
      </w:r>
      <w:r w:rsidR="00D82C50" w:rsidRPr="00773D91">
        <w:t>ffidavit of Luvuyo Theodoric Maki, a</w:t>
      </w:r>
      <w:r w:rsidR="00C02CD8" w:rsidRPr="00773D91">
        <w:t xml:space="preserve"> d</w:t>
      </w:r>
      <w:r w:rsidR="00D82C50" w:rsidRPr="00773D91">
        <w:t xml:space="preserve">etective </w:t>
      </w:r>
      <w:r w:rsidR="00C02CD8" w:rsidRPr="00773D91">
        <w:t>s</w:t>
      </w:r>
      <w:r w:rsidR="00D82C50" w:rsidRPr="00773D91">
        <w:t>ergeant at the Provincial Organised Crime Unit in Cape Town</w:t>
      </w:r>
      <w:r w:rsidR="003D63D1" w:rsidRPr="00773D91">
        <w:t xml:space="preserve">, both vehicles used in the robbery at Orms belonged to two </w:t>
      </w:r>
      <w:r w:rsidR="007E6030">
        <w:t>U</w:t>
      </w:r>
      <w:r w:rsidR="003D63D1" w:rsidRPr="00773D91">
        <w:t xml:space="preserve">ber drivers, one of whom gave a statement to the police that he </w:t>
      </w:r>
      <w:r w:rsidR="007E6030">
        <w:t xml:space="preserve">lent </w:t>
      </w:r>
      <w:r w:rsidR="003D63D1" w:rsidRPr="00773D91">
        <w:t>his vehicle to one of the suspects. Both these vehicles were fitted with tracking devices and were soon after the robbery traced to a car wash in Dunoon, Milnerton.</w:t>
      </w:r>
    </w:p>
    <w:p w14:paraId="18647223" w14:textId="77777777" w:rsidR="00C21AA0" w:rsidRPr="00773D91" w:rsidRDefault="00C21AA0" w:rsidP="00773D91">
      <w:pPr>
        <w:spacing w:line="480" w:lineRule="auto"/>
        <w:contextualSpacing/>
        <w:jc w:val="both"/>
        <w:rPr>
          <w:rFonts w:eastAsia="Calibri"/>
          <w:lang w:val="en-US"/>
        </w:rPr>
      </w:pPr>
    </w:p>
    <w:p w14:paraId="7FF65B6B" w14:textId="196B919F" w:rsidR="00BC639B" w:rsidRPr="00BC639B" w:rsidRDefault="00397A49" w:rsidP="00397A49">
      <w:pPr>
        <w:spacing w:line="480" w:lineRule="auto"/>
        <w:contextualSpacing/>
        <w:jc w:val="both"/>
        <w:rPr>
          <w:rFonts w:eastAsia="Calibri"/>
          <w:lang w:val="en-US"/>
        </w:rPr>
      </w:pPr>
      <w:r w:rsidRPr="00BC639B">
        <w:rPr>
          <w:rFonts w:eastAsia="Calibri"/>
          <w:lang w:val="en-US"/>
        </w:rPr>
        <w:t>[11]</w:t>
      </w:r>
      <w:r w:rsidRPr="00BC639B">
        <w:rPr>
          <w:rFonts w:eastAsia="Calibri"/>
          <w:lang w:val="en-US"/>
        </w:rPr>
        <w:tab/>
      </w:r>
      <w:r w:rsidR="00BC639B">
        <w:t>The state relies on video footage obtained from the parking area and from inside the store, identity parades, ballistic evidence and cell phone dat</w:t>
      </w:r>
      <w:r w:rsidR="00583A01">
        <w:t>a</w:t>
      </w:r>
      <w:r w:rsidR="009724EC">
        <w:t>,</w:t>
      </w:r>
      <w:r w:rsidR="00BC639B">
        <w:t xml:space="preserve"> placing the applicant in the vicinity of where the crime was committed. </w:t>
      </w:r>
    </w:p>
    <w:p w14:paraId="291E0797" w14:textId="77777777" w:rsidR="00BC639B" w:rsidRDefault="00BC639B" w:rsidP="00BC639B">
      <w:pPr>
        <w:pStyle w:val="ListParagraph"/>
      </w:pPr>
    </w:p>
    <w:p w14:paraId="1C8D132E" w14:textId="0BA0838E" w:rsidR="00106080" w:rsidRDefault="00106080" w:rsidP="00773D91">
      <w:pPr>
        <w:spacing w:line="480" w:lineRule="auto"/>
        <w:contextualSpacing/>
        <w:jc w:val="both"/>
        <w:rPr>
          <w:rFonts w:eastAsia="Calibri"/>
          <w:lang w:val="en-US"/>
        </w:rPr>
      </w:pPr>
    </w:p>
    <w:p w14:paraId="27E3A818" w14:textId="63B45B76" w:rsidR="007E6030" w:rsidRDefault="007E6030" w:rsidP="00773D91">
      <w:pPr>
        <w:spacing w:line="480" w:lineRule="auto"/>
        <w:contextualSpacing/>
        <w:jc w:val="both"/>
        <w:rPr>
          <w:rFonts w:eastAsia="Calibri"/>
          <w:lang w:val="en-US"/>
        </w:rPr>
      </w:pPr>
    </w:p>
    <w:p w14:paraId="1925A74B" w14:textId="77777777" w:rsidR="007E6030" w:rsidRDefault="007E6030" w:rsidP="00773D91">
      <w:pPr>
        <w:spacing w:line="480" w:lineRule="auto"/>
        <w:contextualSpacing/>
        <w:jc w:val="both"/>
        <w:rPr>
          <w:rFonts w:eastAsia="Calibri"/>
          <w:lang w:val="en-US"/>
        </w:rPr>
      </w:pPr>
    </w:p>
    <w:p w14:paraId="6B2593B7" w14:textId="73254CCE" w:rsidR="00106080" w:rsidRPr="00583A01" w:rsidRDefault="00C02CD8" w:rsidP="00773D91">
      <w:pPr>
        <w:spacing w:line="480" w:lineRule="auto"/>
        <w:contextualSpacing/>
        <w:jc w:val="both"/>
        <w:rPr>
          <w:rFonts w:eastAsia="Calibri"/>
          <w:bCs/>
          <w:i/>
          <w:iCs/>
          <w:u w:val="single"/>
          <w:lang w:val="en-US"/>
        </w:rPr>
      </w:pPr>
      <w:r w:rsidRPr="00583A01">
        <w:rPr>
          <w:bCs/>
          <w:i/>
          <w:iCs/>
          <w:u w:val="single"/>
        </w:rPr>
        <w:lastRenderedPageBreak/>
        <w:t>Bail application based on new facts:</w:t>
      </w:r>
    </w:p>
    <w:p w14:paraId="1BA0C2AD" w14:textId="77777777" w:rsidR="00106080" w:rsidRPr="00773D91" w:rsidRDefault="00106080" w:rsidP="00773D91">
      <w:pPr>
        <w:spacing w:line="480" w:lineRule="auto"/>
        <w:contextualSpacing/>
        <w:jc w:val="both"/>
        <w:rPr>
          <w:rFonts w:eastAsia="Calibri"/>
          <w:lang w:val="en-US"/>
        </w:rPr>
      </w:pPr>
    </w:p>
    <w:p w14:paraId="0CF6B2FA" w14:textId="6A0D4060" w:rsidR="009D4019" w:rsidRPr="002A2C0C" w:rsidRDefault="00397A49" w:rsidP="00397A49">
      <w:pPr>
        <w:spacing w:line="480" w:lineRule="auto"/>
        <w:contextualSpacing/>
        <w:jc w:val="both"/>
        <w:rPr>
          <w:rFonts w:eastAsia="Calibri"/>
          <w:lang w:val="en-US"/>
        </w:rPr>
      </w:pPr>
      <w:r w:rsidRPr="002A2C0C">
        <w:rPr>
          <w:rFonts w:eastAsia="Calibri"/>
          <w:lang w:val="en-US"/>
        </w:rPr>
        <w:t>[12]</w:t>
      </w:r>
      <w:r w:rsidRPr="002A2C0C">
        <w:rPr>
          <w:rFonts w:eastAsia="Calibri"/>
          <w:lang w:val="en-US"/>
        </w:rPr>
        <w:tab/>
      </w:r>
      <w:r w:rsidR="009D4019" w:rsidRPr="00773D91">
        <w:t>In S v Mpofana 1998</w:t>
      </w:r>
      <w:r w:rsidR="007E6030">
        <w:t xml:space="preserve"> </w:t>
      </w:r>
      <w:r w:rsidR="009D4019">
        <w:t>(1) SACR 40 at 44(G – I)</w:t>
      </w:r>
      <w:r w:rsidR="00583A01">
        <w:t xml:space="preserve"> the court</w:t>
      </w:r>
      <w:r w:rsidR="009D4019">
        <w:t xml:space="preserve"> explained the approach to be taken in applications for bail based on new facts as follows:</w:t>
      </w:r>
    </w:p>
    <w:p w14:paraId="6F3CDA36" w14:textId="77777777" w:rsidR="009D4019" w:rsidRDefault="009D4019" w:rsidP="009D4019">
      <w:pPr>
        <w:spacing w:line="480" w:lineRule="auto"/>
        <w:ind w:left="720"/>
        <w:contextualSpacing/>
        <w:jc w:val="both"/>
      </w:pPr>
    </w:p>
    <w:p w14:paraId="0C8C4F11" w14:textId="032188BC" w:rsidR="009D4019" w:rsidRDefault="009D4019" w:rsidP="009D4019">
      <w:pPr>
        <w:spacing w:line="480" w:lineRule="auto"/>
        <w:ind w:left="720"/>
        <w:contextualSpacing/>
        <w:jc w:val="both"/>
        <w:rPr>
          <w:sz w:val="22"/>
          <w:szCs w:val="22"/>
        </w:rPr>
      </w:pPr>
      <w:r>
        <w:t>“</w:t>
      </w:r>
      <w:r>
        <w:rPr>
          <w:sz w:val="22"/>
          <w:szCs w:val="22"/>
        </w:rPr>
        <w:t>In considering an application for bail allegedly brought on the strength of new facts, the court</w:t>
      </w:r>
      <w:r w:rsidR="009724EC">
        <w:rPr>
          <w:sz w:val="22"/>
          <w:szCs w:val="22"/>
        </w:rPr>
        <w:t>’</w:t>
      </w:r>
      <w:r>
        <w:rPr>
          <w:sz w:val="22"/>
          <w:szCs w:val="22"/>
        </w:rPr>
        <w:t>s approach is to consider whether there are, in the first instance, new facts and, if there are, reconsider the bail application on such new facts, against the background of the old facts.”</w:t>
      </w:r>
    </w:p>
    <w:p w14:paraId="7DC205FB" w14:textId="77777777" w:rsidR="009D4019" w:rsidRPr="002A2C0C" w:rsidRDefault="009D4019" w:rsidP="009D4019">
      <w:pPr>
        <w:spacing w:line="480" w:lineRule="auto"/>
        <w:contextualSpacing/>
        <w:jc w:val="both"/>
        <w:rPr>
          <w:rFonts w:eastAsia="Calibri"/>
          <w:sz w:val="22"/>
          <w:szCs w:val="22"/>
          <w:lang w:val="en-US"/>
        </w:rPr>
      </w:pPr>
    </w:p>
    <w:p w14:paraId="176C60FA" w14:textId="48E09051" w:rsidR="009D4019" w:rsidRPr="002A2C0C" w:rsidRDefault="00397A49" w:rsidP="00397A49">
      <w:pPr>
        <w:spacing w:line="480" w:lineRule="auto"/>
        <w:contextualSpacing/>
        <w:jc w:val="both"/>
        <w:rPr>
          <w:rFonts w:eastAsia="Calibri"/>
          <w:lang w:val="en-US"/>
        </w:rPr>
      </w:pPr>
      <w:r w:rsidRPr="002A2C0C">
        <w:rPr>
          <w:rFonts w:eastAsia="Calibri"/>
          <w:lang w:val="en-US"/>
        </w:rPr>
        <w:t>[13]</w:t>
      </w:r>
      <w:r w:rsidRPr="002A2C0C">
        <w:rPr>
          <w:rFonts w:eastAsia="Calibri"/>
          <w:lang w:val="en-US"/>
        </w:rPr>
        <w:tab/>
      </w:r>
      <w:r w:rsidR="009D4019">
        <w:t>In S v Mohammed 1999 (2) SACR 507 (C), the court stated that “</w:t>
      </w:r>
      <w:r w:rsidR="009D4019" w:rsidRPr="002A2C0C">
        <w:rPr>
          <w:sz w:val="22"/>
          <w:szCs w:val="22"/>
        </w:rPr>
        <w:t>it seems logical t</w:t>
      </w:r>
      <w:r w:rsidR="009D4019">
        <w:rPr>
          <w:sz w:val="22"/>
          <w:szCs w:val="22"/>
        </w:rPr>
        <w:t>h</w:t>
      </w:r>
      <w:r w:rsidR="009D4019" w:rsidRPr="002A2C0C">
        <w:rPr>
          <w:sz w:val="22"/>
          <w:szCs w:val="22"/>
        </w:rPr>
        <w:t xml:space="preserve">at any renewed application based on new facts or changed circumstances should only be able to be properly </w:t>
      </w:r>
      <w:r w:rsidR="009D4019" w:rsidRPr="003A4B13">
        <w:rPr>
          <w:sz w:val="22"/>
          <w:szCs w:val="22"/>
        </w:rPr>
        <w:t>judge</w:t>
      </w:r>
      <w:r w:rsidR="003A4B13" w:rsidRPr="003A4B13">
        <w:rPr>
          <w:sz w:val="22"/>
          <w:szCs w:val="22"/>
        </w:rPr>
        <w:t>d</w:t>
      </w:r>
      <w:r w:rsidR="009D4019" w:rsidRPr="003A4B13">
        <w:rPr>
          <w:sz w:val="22"/>
          <w:szCs w:val="22"/>
        </w:rPr>
        <w:t xml:space="preserve"> with reference to those facts and circumstances which were placed before the court in the first instance. There can of course be no </w:t>
      </w:r>
      <w:r w:rsidR="009D4019" w:rsidRPr="003A4B13">
        <w:rPr>
          <w:i/>
          <w:iCs/>
          <w:sz w:val="22"/>
          <w:szCs w:val="22"/>
        </w:rPr>
        <w:t>numerus claus</w:t>
      </w:r>
      <w:r w:rsidR="003A4B13">
        <w:rPr>
          <w:i/>
          <w:iCs/>
          <w:sz w:val="22"/>
          <w:szCs w:val="22"/>
        </w:rPr>
        <w:t>u</w:t>
      </w:r>
      <w:r w:rsidR="009D4019" w:rsidRPr="003A4B13">
        <w:rPr>
          <w:i/>
          <w:iCs/>
          <w:sz w:val="22"/>
          <w:szCs w:val="22"/>
        </w:rPr>
        <w:t>s</w:t>
      </w:r>
      <w:r w:rsidR="009D4019" w:rsidRPr="003A4B13">
        <w:rPr>
          <w:sz w:val="22"/>
          <w:szCs w:val="22"/>
        </w:rPr>
        <w:t xml:space="preserve"> as to the n</w:t>
      </w:r>
      <w:r w:rsidR="009D4019" w:rsidRPr="002A2C0C">
        <w:rPr>
          <w:sz w:val="22"/>
          <w:szCs w:val="22"/>
        </w:rPr>
        <w:t>ature of new facts or changed circumstances that may legitimately warrant the grant of bail previously refused. The newly discovered evidence of a witness who may prove the accused’s innocence, as was in this case, is an example.</w:t>
      </w:r>
      <w:r w:rsidR="009D4019">
        <w:t xml:space="preserve">” </w:t>
      </w:r>
    </w:p>
    <w:p w14:paraId="33D114C9" w14:textId="77777777" w:rsidR="009D4019" w:rsidRPr="002A2C0C" w:rsidRDefault="009D4019" w:rsidP="009D4019">
      <w:pPr>
        <w:spacing w:line="480" w:lineRule="auto"/>
        <w:contextualSpacing/>
        <w:jc w:val="both"/>
        <w:rPr>
          <w:rFonts w:eastAsia="Calibri"/>
          <w:lang w:val="en-US"/>
        </w:rPr>
      </w:pPr>
    </w:p>
    <w:p w14:paraId="7717452C" w14:textId="680CA9F2" w:rsidR="009D4019" w:rsidRPr="009D4019" w:rsidRDefault="00397A49" w:rsidP="00397A49">
      <w:pPr>
        <w:spacing w:line="480" w:lineRule="auto"/>
        <w:contextualSpacing/>
        <w:jc w:val="both"/>
        <w:rPr>
          <w:rFonts w:eastAsia="Calibri"/>
          <w:lang w:val="en-US"/>
        </w:rPr>
      </w:pPr>
      <w:r w:rsidRPr="009D4019">
        <w:rPr>
          <w:rFonts w:eastAsia="Calibri"/>
          <w:lang w:val="en-US"/>
        </w:rPr>
        <w:t>[14]</w:t>
      </w:r>
      <w:r w:rsidRPr="009D4019">
        <w:rPr>
          <w:rFonts w:eastAsia="Calibri"/>
          <w:lang w:val="en-US"/>
        </w:rPr>
        <w:tab/>
      </w:r>
      <w:r w:rsidR="009D4019">
        <w:t xml:space="preserve">In the matter of </w:t>
      </w:r>
      <w:r w:rsidR="009D4019" w:rsidRPr="00A57B28">
        <w:t>Davis and Another v S (2888/2015) [2015] ZAKZDHC 41 (8 May 2015)</w:t>
      </w:r>
      <w:r w:rsidR="009D4019">
        <w:t>, it was held that: “</w:t>
      </w:r>
      <w:r w:rsidR="009D4019" w:rsidRPr="00106080">
        <w:rPr>
          <w:sz w:val="22"/>
          <w:szCs w:val="22"/>
        </w:rPr>
        <w:t>If the evidence is adjudged to be new and relevant, then it must be considered in conjunction with all the facts placed before the court in previous applications, and not separately.</w:t>
      </w:r>
      <w:r w:rsidR="009D4019">
        <w:rPr>
          <w:rStyle w:val="FootnoteReference"/>
          <w:sz w:val="22"/>
          <w:szCs w:val="22"/>
        </w:rPr>
        <w:footnoteReference w:id="2"/>
      </w:r>
      <w:r w:rsidR="009D4019" w:rsidRPr="00106080">
        <w:rPr>
          <w:sz w:val="22"/>
          <w:szCs w:val="22"/>
        </w:rPr>
        <w:t xml:space="preserve"> </w:t>
      </w:r>
      <w:r w:rsidR="009D4019">
        <w:rPr>
          <w:sz w:val="22"/>
          <w:szCs w:val="22"/>
        </w:rPr>
        <w:t xml:space="preserve"> </w:t>
      </w:r>
    </w:p>
    <w:p w14:paraId="2B4D4E28" w14:textId="0929C787" w:rsidR="009D4019" w:rsidRDefault="009D4019" w:rsidP="009D4019">
      <w:pPr>
        <w:pStyle w:val="ListParagraph"/>
        <w:rPr>
          <w:rFonts w:eastAsia="Calibri"/>
          <w:lang w:val="en-US"/>
        </w:rPr>
      </w:pPr>
    </w:p>
    <w:p w14:paraId="22D8388C" w14:textId="5BFE16AB" w:rsidR="008E6016" w:rsidRDefault="008E6016" w:rsidP="009D4019">
      <w:pPr>
        <w:pStyle w:val="ListParagraph"/>
        <w:rPr>
          <w:rFonts w:eastAsia="Calibri"/>
          <w:lang w:val="en-US"/>
        </w:rPr>
      </w:pPr>
    </w:p>
    <w:p w14:paraId="3DB886B9" w14:textId="77777777" w:rsidR="008E6016" w:rsidRDefault="008E6016" w:rsidP="009D4019">
      <w:pPr>
        <w:pStyle w:val="ListParagraph"/>
        <w:rPr>
          <w:rFonts w:eastAsia="Calibri"/>
          <w:lang w:val="en-US"/>
        </w:rPr>
      </w:pPr>
    </w:p>
    <w:p w14:paraId="4B4DA06B" w14:textId="05B76790" w:rsidR="00773D91" w:rsidRDefault="00397A49" w:rsidP="00397A49">
      <w:pPr>
        <w:pStyle w:val="LegalList1"/>
        <w:spacing w:after="0"/>
        <w:outlineLvl w:val="9"/>
        <w:rPr>
          <w:rFonts w:cs="Arial"/>
        </w:rPr>
      </w:pPr>
      <w:r>
        <w:rPr>
          <w:rFonts w:cs="Arial"/>
        </w:rPr>
        <w:lastRenderedPageBreak/>
        <w:t>[15]</w:t>
      </w:r>
      <w:r>
        <w:rPr>
          <w:rFonts w:cs="Arial"/>
        </w:rPr>
        <w:tab/>
      </w:r>
      <w:r w:rsidR="006B7085" w:rsidRPr="00773D91">
        <w:rPr>
          <w:rFonts w:cs="Arial"/>
        </w:rPr>
        <w:t xml:space="preserve">The CPA does not </w:t>
      </w:r>
      <w:r w:rsidR="00583A01">
        <w:rPr>
          <w:rFonts w:cs="Arial"/>
        </w:rPr>
        <w:t xml:space="preserve">prescribe or define </w:t>
      </w:r>
      <w:r w:rsidR="006B7085" w:rsidRPr="00773D91">
        <w:rPr>
          <w:rFonts w:cs="Arial"/>
        </w:rPr>
        <w:t xml:space="preserve">what </w:t>
      </w:r>
      <w:r w:rsidR="00583A01">
        <w:rPr>
          <w:rFonts w:cs="Arial"/>
        </w:rPr>
        <w:t xml:space="preserve">constitutes </w:t>
      </w:r>
      <w:r w:rsidR="006B7085" w:rsidRPr="00773D91">
        <w:rPr>
          <w:rFonts w:cs="Arial"/>
        </w:rPr>
        <w:t>new facts</w:t>
      </w:r>
      <w:r w:rsidR="009724EC">
        <w:rPr>
          <w:rFonts w:cs="Arial"/>
        </w:rPr>
        <w:t xml:space="preserve"> and there is no prescribed procedure for renewed bail applications</w:t>
      </w:r>
      <w:r w:rsidR="007E6030">
        <w:rPr>
          <w:rFonts w:cs="Arial"/>
        </w:rPr>
        <w:t>,</w:t>
      </w:r>
      <w:r w:rsidR="009724EC">
        <w:rPr>
          <w:rStyle w:val="FootnoteReference"/>
          <w:rFonts w:cs="Arial"/>
        </w:rPr>
        <w:footnoteReference w:id="3"/>
      </w:r>
      <w:r w:rsidR="00583A01">
        <w:rPr>
          <w:rFonts w:cs="Arial"/>
        </w:rPr>
        <w:t xml:space="preserve"> </w:t>
      </w:r>
      <w:r w:rsidR="009D4019">
        <w:rPr>
          <w:rFonts w:cs="Arial"/>
        </w:rPr>
        <w:t xml:space="preserve">but it </w:t>
      </w:r>
      <w:r w:rsidR="006B7085" w:rsidRPr="00773D91">
        <w:rPr>
          <w:rFonts w:cs="Arial"/>
        </w:rPr>
        <w:t xml:space="preserve">appears </w:t>
      </w:r>
      <w:r w:rsidR="00583A01">
        <w:rPr>
          <w:rFonts w:cs="Arial"/>
        </w:rPr>
        <w:t xml:space="preserve">with reference to case law, </w:t>
      </w:r>
      <w:r w:rsidR="006B7085" w:rsidRPr="00773D91">
        <w:rPr>
          <w:rFonts w:cs="Arial"/>
        </w:rPr>
        <w:t xml:space="preserve">that </w:t>
      </w:r>
      <w:r w:rsidR="009D2345">
        <w:rPr>
          <w:rFonts w:cs="Arial"/>
        </w:rPr>
        <w:t xml:space="preserve">certain </w:t>
      </w:r>
      <w:r w:rsidR="006B7085" w:rsidRPr="00773D91">
        <w:rPr>
          <w:rFonts w:cs="Arial"/>
        </w:rPr>
        <w:t xml:space="preserve">general </w:t>
      </w:r>
      <w:r w:rsidR="008E6016">
        <w:rPr>
          <w:rFonts w:cs="Arial"/>
        </w:rPr>
        <w:t>principles ha</w:t>
      </w:r>
      <w:r w:rsidR="007E6030">
        <w:rPr>
          <w:rFonts w:cs="Arial"/>
        </w:rPr>
        <w:t>ve</w:t>
      </w:r>
      <w:r w:rsidR="008E6016">
        <w:rPr>
          <w:rFonts w:cs="Arial"/>
        </w:rPr>
        <w:t xml:space="preserve"> been identified as relevant, </w:t>
      </w:r>
      <w:r w:rsidR="006B7085" w:rsidRPr="00773D91">
        <w:rPr>
          <w:rFonts w:cs="Arial"/>
        </w:rPr>
        <w:t xml:space="preserve">when a court is faced with </w:t>
      </w:r>
      <w:r w:rsidR="009D2345">
        <w:rPr>
          <w:rFonts w:cs="Arial"/>
        </w:rPr>
        <w:t>an application for an accused’s release on bail based on new facts</w:t>
      </w:r>
      <w:r w:rsidR="006B7085" w:rsidRPr="00773D91">
        <w:rPr>
          <w:rFonts w:cs="Arial"/>
        </w:rPr>
        <w:t>.</w:t>
      </w:r>
      <w:r w:rsidR="006B7085" w:rsidRPr="00773D91">
        <w:rPr>
          <w:rStyle w:val="FootnoteReference"/>
          <w:rFonts w:cs="Arial"/>
        </w:rPr>
        <w:footnoteReference w:id="4"/>
      </w:r>
      <w:r w:rsidR="006B7085" w:rsidRPr="00773D91">
        <w:rPr>
          <w:rFonts w:cs="Arial"/>
        </w:rPr>
        <w:t xml:space="preserve"> These can be summarised as:</w:t>
      </w:r>
    </w:p>
    <w:p w14:paraId="70E372CE" w14:textId="77777777" w:rsidR="00773D91" w:rsidRDefault="00773D91" w:rsidP="00773D91">
      <w:pPr>
        <w:pStyle w:val="LegalList1"/>
        <w:spacing w:after="0"/>
        <w:ind w:left="1440"/>
        <w:outlineLvl w:val="9"/>
        <w:rPr>
          <w:rFonts w:cs="Arial"/>
        </w:rPr>
      </w:pPr>
    </w:p>
    <w:p w14:paraId="18723265" w14:textId="4BD000B1" w:rsidR="00773D91" w:rsidRDefault="00397A49" w:rsidP="00397A49">
      <w:pPr>
        <w:pStyle w:val="LegalList1"/>
        <w:spacing w:after="0"/>
        <w:ind w:left="1185" w:hanging="465"/>
        <w:outlineLvl w:val="9"/>
        <w:rPr>
          <w:rFonts w:cs="Arial"/>
        </w:rPr>
      </w:pPr>
      <w:r>
        <w:rPr>
          <w:rFonts w:cs="Arial"/>
        </w:rPr>
        <w:t>15.1</w:t>
      </w:r>
      <w:r>
        <w:rPr>
          <w:rFonts w:cs="Arial"/>
        </w:rPr>
        <w:tab/>
      </w:r>
      <w:r w:rsidR="009D2345">
        <w:rPr>
          <w:rFonts w:cs="Arial"/>
        </w:rPr>
        <w:t xml:space="preserve">Whether the </w:t>
      </w:r>
      <w:r w:rsidR="00773D91">
        <w:rPr>
          <w:rFonts w:cs="Arial"/>
        </w:rPr>
        <w:t>f</w:t>
      </w:r>
      <w:r w:rsidR="006B7085" w:rsidRPr="00773D91">
        <w:rPr>
          <w:rFonts w:cs="Arial"/>
        </w:rPr>
        <w:t xml:space="preserve">acts </w:t>
      </w:r>
      <w:r w:rsidR="009D2345">
        <w:rPr>
          <w:rFonts w:cs="Arial"/>
        </w:rPr>
        <w:t>c</w:t>
      </w:r>
      <w:r w:rsidR="006B7085" w:rsidRPr="00773D91">
        <w:rPr>
          <w:rFonts w:cs="Arial"/>
        </w:rPr>
        <w:t xml:space="preserve">ame to light after the bail was refused. </w:t>
      </w:r>
      <w:r w:rsidR="009D2345">
        <w:rPr>
          <w:rFonts w:cs="Arial"/>
        </w:rPr>
        <w:t xml:space="preserve">Such facts can </w:t>
      </w:r>
      <w:r w:rsidR="006B7085" w:rsidRPr="00773D91">
        <w:rPr>
          <w:rFonts w:cs="Arial"/>
        </w:rPr>
        <w:t>include circumstances which have changed since the first bail application was brough</w:t>
      </w:r>
      <w:r w:rsidR="00583A01">
        <w:rPr>
          <w:rFonts w:cs="Arial"/>
        </w:rPr>
        <w:t xml:space="preserve">t </w:t>
      </w:r>
      <w:r w:rsidR="006B7085" w:rsidRPr="00773D91">
        <w:rPr>
          <w:rFonts w:cs="Arial"/>
        </w:rPr>
        <w:t xml:space="preserve">such as the period that </w:t>
      </w:r>
      <w:r w:rsidR="007935CF" w:rsidRPr="00773D91">
        <w:rPr>
          <w:rFonts w:cs="Arial"/>
        </w:rPr>
        <w:t>an accused had been incarcerated</w:t>
      </w:r>
      <w:r w:rsidR="00773D91">
        <w:rPr>
          <w:rFonts w:cs="Arial"/>
        </w:rPr>
        <w:t>;</w:t>
      </w:r>
      <w:r w:rsidR="007935CF" w:rsidRPr="00773D91">
        <w:rPr>
          <w:rStyle w:val="FootnoteReference"/>
          <w:rFonts w:cs="Arial"/>
        </w:rPr>
        <w:footnoteReference w:id="5"/>
      </w:r>
    </w:p>
    <w:p w14:paraId="46EB481E" w14:textId="77777777" w:rsidR="007E6030" w:rsidRDefault="007E6030" w:rsidP="007E6030">
      <w:pPr>
        <w:pStyle w:val="LegalList1"/>
        <w:spacing w:after="0"/>
        <w:ind w:left="1185"/>
        <w:outlineLvl w:val="9"/>
        <w:rPr>
          <w:rFonts w:cs="Arial"/>
        </w:rPr>
      </w:pPr>
    </w:p>
    <w:p w14:paraId="15CFBCA5" w14:textId="08FC22CE" w:rsidR="00773D91" w:rsidRDefault="00397A49" w:rsidP="00397A49">
      <w:pPr>
        <w:pStyle w:val="LegalList1"/>
        <w:spacing w:after="0"/>
        <w:ind w:left="1185" w:hanging="465"/>
        <w:outlineLvl w:val="9"/>
        <w:rPr>
          <w:rFonts w:cs="Arial"/>
        </w:rPr>
      </w:pPr>
      <w:r>
        <w:rPr>
          <w:rFonts w:cs="Arial"/>
        </w:rPr>
        <w:t>15.2</w:t>
      </w:r>
      <w:r>
        <w:rPr>
          <w:rFonts w:cs="Arial"/>
        </w:rPr>
        <w:tab/>
      </w:r>
      <w:r w:rsidR="009D2345" w:rsidRPr="007E6030">
        <w:rPr>
          <w:rFonts w:cs="Arial"/>
        </w:rPr>
        <w:t xml:space="preserve">Whether the facts are </w:t>
      </w:r>
      <w:r w:rsidR="006B7085" w:rsidRPr="007E6030">
        <w:rPr>
          <w:rFonts w:cs="Arial"/>
        </w:rPr>
        <w:t xml:space="preserve">‘sufficiently different in character’ from the facts presented at the earlier unsuccessful bail application </w:t>
      </w:r>
      <w:r w:rsidR="009D2345" w:rsidRPr="007E6030">
        <w:rPr>
          <w:rFonts w:cs="Arial"/>
        </w:rPr>
        <w:t xml:space="preserve">in the sense that it should not simply be a </w:t>
      </w:r>
      <w:r w:rsidR="007935CF" w:rsidRPr="007E6030">
        <w:rPr>
          <w:rFonts w:cs="Arial"/>
        </w:rPr>
        <w:t>“reshuffling of old evidence</w:t>
      </w:r>
      <w:r w:rsidR="00773D91" w:rsidRPr="007E6030">
        <w:rPr>
          <w:rFonts w:cs="Arial"/>
        </w:rPr>
        <w:t>”;</w:t>
      </w:r>
      <w:r w:rsidR="007935CF" w:rsidRPr="00773D91">
        <w:rPr>
          <w:rStyle w:val="FootnoteReference"/>
          <w:rFonts w:cs="Arial"/>
        </w:rPr>
        <w:footnoteReference w:id="6"/>
      </w:r>
    </w:p>
    <w:p w14:paraId="301AC2AB" w14:textId="77777777" w:rsidR="007E6030" w:rsidRDefault="007E6030" w:rsidP="007E6030">
      <w:pPr>
        <w:pStyle w:val="ListParagraph"/>
      </w:pPr>
    </w:p>
    <w:p w14:paraId="2A50F40B" w14:textId="7F9EC518" w:rsidR="00773D91" w:rsidRDefault="00397A49" w:rsidP="00397A49">
      <w:pPr>
        <w:pStyle w:val="LegalList1"/>
        <w:spacing w:after="0"/>
        <w:ind w:left="1185" w:hanging="465"/>
        <w:outlineLvl w:val="9"/>
        <w:rPr>
          <w:rFonts w:cs="Arial"/>
        </w:rPr>
      </w:pPr>
      <w:r>
        <w:rPr>
          <w:rFonts w:cs="Arial"/>
        </w:rPr>
        <w:t>15.3</w:t>
      </w:r>
      <w:r>
        <w:rPr>
          <w:rFonts w:cs="Arial"/>
        </w:rPr>
        <w:tab/>
      </w:r>
      <w:r w:rsidR="009D2345" w:rsidRPr="007E6030">
        <w:rPr>
          <w:rFonts w:cs="Arial"/>
        </w:rPr>
        <w:t xml:space="preserve">Whether the </w:t>
      </w:r>
      <w:r w:rsidR="006B7085" w:rsidRPr="007E6030">
        <w:rPr>
          <w:rFonts w:cs="Arial"/>
        </w:rPr>
        <w:t>alleged new fact</w:t>
      </w:r>
      <w:r w:rsidR="007935CF" w:rsidRPr="007E6030">
        <w:rPr>
          <w:rFonts w:cs="Arial"/>
        </w:rPr>
        <w:t xml:space="preserve">(s) </w:t>
      </w:r>
      <w:r w:rsidR="009D2345" w:rsidRPr="007E6030">
        <w:rPr>
          <w:rFonts w:cs="Arial"/>
        </w:rPr>
        <w:t>are</w:t>
      </w:r>
      <w:r w:rsidR="007935CF" w:rsidRPr="007E6030">
        <w:rPr>
          <w:rFonts w:cs="Arial"/>
        </w:rPr>
        <w:t xml:space="preserve"> relevant in the sense that if received by the court</w:t>
      </w:r>
      <w:r w:rsidR="009D2345" w:rsidRPr="007E6030">
        <w:rPr>
          <w:rFonts w:cs="Arial"/>
        </w:rPr>
        <w:t>,</w:t>
      </w:r>
      <w:r w:rsidR="007935CF" w:rsidRPr="007E6030">
        <w:rPr>
          <w:rFonts w:cs="Arial"/>
        </w:rPr>
        <w:t xml:space="preserve"> it would </w:t>
      </w:r>
      <w:r w:rsidR="007935CF" w:rsidRPr="007E6030">
        <w:rPr>
          <w:rFonts w:cs="Arial"/>
          <w:i/>
          <w:iCs/>
        </w:rPr>
        <w:t>per se</w:t>
      </w:r>
      <w:r w:rsidR="007935CF" w:rsidRPr="007E6030">
        <w:rPr>
          <w:rFonts w:cs="Arial"/>
        </w:rPr>
        <w:t xml:space="preserve"> or together with other facts already before the court from the initial bail application, assist the court to consider the release of an accused afresh</w:t>
      </w:r>
      <w:r w:rsidR="007E6030">
        <w:rPr>
          <w:rFonts w:cs="Arial"/>
        </w:rPr>
        <w:t>;</w:t>
      </w:r>
    </w:p>
    <w:p w14:paraId="6E155E83" w14:textId="77777777" w:rsidR="007E6030" w:rsidRDefault="007E6030" w:rsidP="007E6030">
      <w:pPr>
        <w:pStyle w:val="ListParagraph"/>
      </w:pPr>
    </w:p>
    <w:p w14:paraId="6D43A3FC" w14:textId="4F0B4D3C" w:rsidR="00773D91" w:rsidRDefault="00397A49" w:rsidP="00397A49">
      <w:pPr>
        <w:pStyle w:val="LegalList1"/>
        <w:spacing w:after="0"/>
        <w:ind w:left="1185" w:hanging="465"/>
        <w:outlineLvl w:val="9"/>
        <w:rPr>
          <w:rFonts w:cs="Arial"/>
        </w:rPr>
      </w:pPr>
      <w:r>
        <w:rPr>
          <w:rFonts w:cs="Arial"/>
        </w:rPr>
        <w:t>15.4</w:t>
      </w:r>
      <w:r>
        <w:rPr>
          <w:rFonts w:cs="Arial"/>
        </w:rPr>
        <w:tab/>
      </w:r>
      <w:r w:rsidR="00583A01" w:rsidRPr="007E6030">
        <w:rPr>
          <w:rFonts w:cs="Arial"/>
        </w:rPr>
        <w:t xml:space="preserve">A court hearing an application based on alleged new facts, must determine, with reference to the evidence previously presented in the </w:t>
      </w:r>
      <w:r w:rsidR="00583A01" w:rsidRPr="007E6030">
        <w:rPr>
          <w:rFonts w:cs="Arial"/>
        </w:rPr>
        <w:lastRenderedPageBreak/>
        <w:t>unsuccessful bail application, whether such facts are indeed new.</w:t>
      </w:r>
      <w:r w:rsidR="009D2345">
        <w:rPr>
          <w:rStyle w:val="FootnoteReference"/>
          <w:rFonts w:cs="Arial"/>
        </w:rPr>
        <w:footnoteReference w:id="7"/>
      </w:r>
      <w:r w:rsidR="006B7085" w:rsidRPr="007E6030">
        <w:rPr>
          <w:rFonts w:cs="Arial"/>
        </w:rPr>
        <w:t xml:space="preserve"> In </w:t>
      </w:r>
      <w:r w:rsidR="006B7085" w:rsidRPr="007E6030">
        <w:rPr>
          <w:rFonts w:cs="Arial"/>
          <w:iCs/>
        </w:rPr>
        <w:t>S v Mpofana</w:t>
      </w:r>
      <w:r w:rsidR="006B7085" w:rsidRPr="007E6030">
        <w:rPr>
          <w:rFonts w:cs="Arial"/>
        </w:rPr>
        <w:t xml:space="preserve"> 1998 (1) SACR 40 (Tk) at 44</w:t>
      </w:r>
      <w:r w:rsidR="007E6030">
        <w:rPr>
          <w:rFonts w:cs="Arial"/>
        </w:rPr>
        <w:t xml:space="preserve"> </w:t>
      </w:r>
      <w:r w:rsidR="006B7085" w:rsidRPr="007E6030">
        <w:rPr>
          <w:rFonts w:cs="Arial"/>
          <w:iCs/>
        </w:rPr>
        <w:t>g</w:t>
      </w:r>
      <w:r w:rsidR="006B7085" w:rsidRPr="007E6030">
        <w:rPr>
          <w:rFonts w:cs="Arial"/>
        </w:rPr>
        <w:t>-45</w:t>
      </w:r>
      <w:r w:rsidR="007E6030">
        <w:rPr>
          <w:rFonts w:cs="Arial"/>
        </w:rPr>
        <w:t xml:space="preserve"> </w:t>
      </w:r>
      <w:r w:rsidR="006B7085" w:rsidRPr="007E6030">
        <w:rPr>
          <w:rFonts w:cs="Arial"/>
          <w:iCs/>
        </w:rPr>
        <w:t>a</w:t>
      </w:r>
      <w:r w:rsidR="006B7085" w:rsidRPr="007E6030">
        <w:rPr>
          <w:rFonts w:cs="Arial"/>
        </w:rPr>
        <w:t xml:space="preserve"> Mbenenge AJ</w:t>
      </w:r>
      <w:r w:rsidR="0031113F" w:rsidRPr="007E6030">
        <w:rPr>
          <w:rFonts w:cs="Arial"/>
        </w:rPr>
        <w:t xml:space="preserve"> (as he then was)</w:t>
      </w:r>
      <w:r w:rsidR="006B7085" w:rsidRPr="007E6030">
        <w:rPr>
          <w:rFonts w:cs="Arial"/>
        </w:rPr>
        <w:t xml:space="preserve"> explained that </w:t>
      </w:r>
      <w:r w:rsidR="0031113F" w:rsidRPr="007E6030">
        <w:rPr>
          <w:rFonts w:cs="Arial"/>
        </w:rPr>
        <w:t>“</w:t>
      </w:r>
      <w:r w:rsidR="006B7085" w:rsidRPr="007E6030">
        <w:rPr>
          <w:rFonts w:cs="Arial"/>
        </w:rPr>
        <w:t>whilst the new application is not merely an extension of the initial one, the court which entertains the new application should come to a conclusion after considering whether, viewed in the light of the facts that were placed before court in the initial application, there are new facts warranting the granting of the bail application</w:t>
      </w:r>
      <w:r w:rsidR="0031113F" w:rsidRPr="007E6030">
        <w:rPr>
          <w:rFonts w:cs="Arial"/>
        </w:rPr>
        <w:t>”</w:t>
      </w:r>
      <w:r w:rsidR="00773D91" w:rsidRPr="007E6030">
        <w:rPr>
          <w:rFonts w:cs="Arial"/>
        </w:rPr>
        <w:t>;</w:t>
      </w:r>
      <w:r w:rsidR="007E6030">
        <w:rPr>
          <w:rFonts w:cs="Arial"/>
        </w:rPr>
        <w:t xml:space="preserve"> and</w:t>
      </w:r>
    </w:p>
    <w:p w14:paraId="283EC94F" w14:textId="77777777" w:rsidR="003A4B13" w:rsidRDefault="003A4B13" w:rsidP="003A4B13">
      <w:pPr>
        <w:pStyle w:val="ListParagraph"/>
      </w:pPr>
    </w:p>
    <w:p w14:paraId="51F111A4" w14:textId="688846A6" w:rsidR="006B7085" w:rsidRPr="003A4B13" w:rsidRDefault="00397A49" w:rsidP="00397A49">
      <w:pPr>
        <w:pStyle w:val="LegalList1"/>
        <w:spacing w:after="0"/>
        <w:ind w:left="1185" w:hanging="465"/>
        <w:outlineLvl w:val="9"/>
        <w:rPr>
          <w:rFonts w:cs="Arial"/>
        </w:rPr>
      </w:pPr>
      <w:r w:rsidRPr="003A4B13">
        <w:rPr>
          <w:rFonts w:cs="Arial"/>
        </w:rPr>
        <w:t>15.5</w:t>
      </w:r>
      <w:r w:rsidRPr="003A4B13">
        <w:rPr>
          <w:rFonts w:cs="Arial"/>
        </w:rPr>
        <w:tab/>
      </w:r>
      <w:r w:rsidR="00AE3871" w:rsidRPr="003A4B13">
        <w:rPr>
          <w:rFonts w:cs="Arial"/>
        </w:rPr>
        <w:t xml:space="preserve">Where </w:t>
      </w:r>
      <w:r w:rsidR="006B7085" w:rsidRPr="003A4B13">
        <w:rPr>
          <w:rFonts w:cs="Arial"/>
        </w:rPr>
        <w:t xml:space="preserve">evidence was known and available to a bail applicant but not presented by him at the time of his earlier application, such evidence </w:t>
      </w:r>
      <w:r w:rsidR="00AE3871" w:rsidRPr="003A4B13">
        <w:rPr>
          <w:rFonts w:cs="Arial"/>
        </w:rPr>
        <w:t xml:space="preserve">can generally not be relied upon for </w:t>
      </w:r>
      <w:r w:rsidR="006B7085" w:rsidRPr="003A4B13">
        <w:rPr>
          <w:rFonts w:cs="Arial"/>
        </w:rPr>
        <w:t>purposes of a renewed bail application as ‘new facts’</w:t>
      </w:r>
      <w:r w:rsidR="00AE3871" w:rsidRPr="003A4B13">
        <w:rPr>
          <w:rFonts w:cs="Arial"/>
        </w:rPr>
        <w:t xml:space="preserve">. In this regard it was explained in </w:t>
      </w:r>
      <w:r w:rsidR="006B7085" w:rsidRPr="003A4B13">
        <w:rPr>
          <w:rFonts w:cs="Arial"/>
          <w:iCs/>
        </w:rPr>
        <w:t>S v Le Roux en andere 1</w:t>
      </w:r>
      <w:r w:rsidR="006B7085" w:rsidRPr="003A4B13">
        <w:rPr>
          <w:rFonts w:cs="Arial"/>
        </w:rPr>
        <w:t>995 (2) SACR 613 (W) at 622 that in the absence of such a rule, there could be an abuse of process leading to unnecessary and repeated bail applications</w:t>
      </w:r>
      <w:r w:rsidR="00AE3871" w:rsidRPr="003A4B13">
        <w:rPr>
          <w:rFonts w:cs="Arial"/>
        </w:rPr>
        <w:t xml:space="preserve"> and that a</w:t>
      </w:r>
      <w:r w:rsidR="006B7085" w:rsidRPr="003A4B13">
        <w:rPr>
          <w:rFonts w:cs="Arial"/>
        </w:rPr>
        <w:t>n accused should not be permitted to seek bail on several successive occasions by relying on the piecemeal presentation of evidence.</w:t>
      </w:r>
      <w:r w:rsidR="00AE3871" w:rsidRPr="003A4B13">
        <w:rPr>
          <w:rFonts w:cs="Arial"/>
        </w:rPr>
        <w:t xml:space="preserve"> </w:t>
      </w:r>
      <w:r w:rsidR="00583A01" w:rsidRPr="003A4B13">
        <w:rPr>
          <w:rFonts w:cs="Arial"/>
        </w:rPr>
        <w:t>I agree with the opinion of Van der Meer</w:t>
      </w:r>
      <w:r w:rsidR="00583A01">
        <w:rPr>
          <w:rStyle w:val="FootnoteReference"/>
          <w:rFonts w:cs="Arial"/>
        </w:rPr>
        <w:footnoteReference w:id="8"/>
      </w:r>
      <w:r w:rsidR="00583A01" w:rsidRPr="003A4B13">
        <w:rPr>
          <w:rFonts w:cs="Arial"/>
        </w:rPr>
        <w:t xml:space="preserve"> that this rule should not be an absolute or inflexible one and that a court should be willing to consider why relevant and available information was not place before the court in the initial application.</w:t>
      </w:r>
      <w:r w:rsidR="00583A01">
        <w:rPr>
          <w:rStyle w:val="FootnoteReference"/>
          <w:rFonts w:cs="Arial"/>
        </w:rPr>
        <w:footnoteReference w:id="9"/>
      </w:r>
    </w:p>
    <w:p w14:paraId="2B586F0C" w14:textId="77777777" w:rsidR="006B7085" w:rsidRPr="00773D91" w:rsidRDefault="006B7085" w:rsidP="00773D91">
      <w:pPr>
        <w:spacing w:line="480" w:lineRule="auto"/>
        <w:contextualSpacing/>
        <w:jc w:val="both"/>
        <w:rPr>
          <w:rFonts w:eastAsia="Calibri"/>
          <w:lang w:val="en-US"/>
        </w:rPr>
      </w:pPr>
    </w:p>
    <w:p w14:paraId="01592F9B" w14:textId="69F148F1" w:rsidR="00106080" w:rsidRDefault="00397A49" w:rsidP="00397A49">
      <w:pPr>
        <w:spacing w:line="480" w:lineRule="auto"/>
        <w:contextualSpacing/>
        <w:jc w:val="both"/>
        <w:rPr>
          <w:rFonts w:eastAsia="Calibri"/>
          <w:lang w:val="en-US"/>
        </w:rPr>
      </w:pPr>
      <w:r>
        <w:rPr>
          <w:rFonts w:eastAsia="Calibri"/>
          <w:lang w:val="en-US"/>
        </w:rPr>
        <w:lastRenderedPageBreak/>
        <w:t>[16]</w:t>
      </w:r>
      <w:r>
        <w:rPr>
          <w:rFonts w:eastAsia="Calibri"/>
          <w:lang w:val="en-US"/>
        </w:rPr>
        <w:tab/>
      </w:r>
      <w:r w:rsidR="00D92E48">
        <w:t xml:space="preserve">Against this background, the </w:t>
      </w:r>
      <w:r w:rsidR="005666AF">
        <w:t xml:space="preserve">new facts </w:t>
      </w:r>
      <w:r w:rsidR="00D92E48">
        <w:t>that the applicant requests this court to accept and consider</w:t>
      </w:r>
      <w:r w:rsidR="0031113F">
        <w:t>,</w:t>
      </w:r>
      <w:r w:rsidR="00D92E48">
        <w:t xml:space="preserve"> </w:t>
      </w:r>
      <w:r w:rsidR="005666AF">
        <w:t>can be summarised as follows:</w:t>
      </w:r>
    </w:p>
    <w:p w14:paraId="55840F18" w14:textId="77777777" w:rsidR="00106080" w:rsidRPr="00106080" w:rsidRDefault="00106080" w:rsidP="00106080">
      <w:pPr>
        <w:pStyle w:val="ListParagraph"/>
        <w:spacing w:line="480" w:lineRule="auto"/>
        <w:ind w:left="1440"/>
        <w:jc w:val="both"/>
        <w:rPr>
          <w:rFonts w:eastAsia="Calibri"/>
          <w:lang w:val="en-US"/>
        </w:rPr>
      </w:pPr>
    </w:p>
    <w:p w14:paraId="69FD5BFC" w14:textId="74C2A2ED" w:rsidR="00AE3871" w:rsidRPr="00397A49" w:rsidRDefault="00397A49" w:rsidP="00397A49">
      <w:pPr>
        <w:spacing w:line="480" w:lineRule="auto"/>
        <w:ind w:left="1440" w:hanging="720"/>
        <w:jc w:val="both"/>
        <w:rPr>
          <w:rFonts w:eastAsia="Calibri"/>
          <w:lang w:val="en-US"/>
        </w:rPr>
      </w:pPr>
      <w:r w:rsidRPr="0031113F">
        <w:rPr>
          <w:lang w:val="en-US"/>
        </w:rPr>
        <w:t>16.1.</w:t>
      </w:r>
      <w:r w:rsidRPr="0031113F">
        <w:rPr>
          <w:lang w:val="en-US"/>
        </w:rPr>
        <w:tab/>
      </w:r>
      <w:r w:rsidR="00AE3871">
        <w:t>The investigation by the state is now complete;</w:t>
      </w:r>
    </w:p>
    <w:p w14:paraId="172961FA" w14:textId="77777777" w:rsidR="0031113F" w:rsidRPr="00AE3871" w:rsidRDefault="0031113F" w:rsidP="0031113F">
      <w:pPr>
        <w:pStyle w:val="ListParagraph"/>
        <w:spacing w:line="480" w:lineRule="auto"/>
        <w:ind w:left="1440"/>
        <w:jc w:val="both"/>
        <w:rPr>
          <w:rFonts w:eastAsia="Calibri"/>
          <w:lang w:val="en-US"/>
        </w:rPr>
      </w:pPr>
    </w:p>
    <w:p w14:paraId="228B672C" w14:textId="72CA8282" w:rsidR="00AE3871" w:rsidRPr="00397A49" w:rsidRDefault="00397A49" w:rsidP="00397A49">
      <w:pPr>
        <w:spacing w:line="480" w:lineRule="auto"/>
        <w:ind w:left="1440" w:hanging="720"/>
        <w:jc w:val="both"/>
        <w:rPr>
          <w:rFonts w:eastAsia="Calibri"/>
          <w:lang w:val="en-US"/>
        </w:rPr>
      </w:pPr>
      <w:r w:rsidRPr="0031113F">
        <w:rPr>
          <w:lang w:val="en-US"/>
        </w:rPr>
        <w:t>16.2.</w:t>
      </w:r>
      <w:r w:rsidRPr="0031113F">
        <w:rPr>
          <w:lang w:val="en-US"/>
        </w:rPr>
        <w:tab/>
      </w:r>
      <w:r w:rsidR="00AE3871">
        <w:t xml:space="preserve">The applicant no longer has any </w:t>
      </w:r>
      <w:r w:rsidR="00583A01">
        <w:t xml:space="preserve">similar </w:t>
      </w:r>
      <w:r w:rsidR="00AE3871">
        <w:t>pending cases against him;</w:t>
      </w:r>
    </w:p>
    <w:p w14:paraId="08BBAC4C" w14:textId="77777777" w:rsidR="0031113F" w:rsidRPr="0031113F" w:rsidRDefault="0031113F" w:rsidP="0031113F">
      <w:pPr>
        <w:pStyle w:val="ListParagraph"/>
        <w:rPr>
          <w:rFonts w:eastAsia="Calibri"/>
          <w:lang w:val="en-US"/>
        </w:rPr>
      </w:pPr>
    </w:p>
    <w:p w14:paraId="07AA253E" w14:textId="36761D6A" w:rsidR="00106080" w:rsidRPr="00397A49" w:rsidRDefault="00397A49" w:rsidP="00397A49">
      <w:pPr>
        <w:spacing w:line="480" w:lineRule="auto"/>
        <w:ind w:left="1440" w:hanging="720"/>
        <w:jc w:val="both"/>
        <w:rPr>
          <w:rFonts w:eastAsia="Calibri"/>
          <w:lang w:val="en-US"/>
        </w:rPr>
      </w:pPr>
      <w:r w:rsidRPr="0031113F">
        <w:rPr>
          <w:lang w:val="en-US"/>
        </w:rPr>
        <w:t>16.3.</w:t>
      </w:r>
      <w:r w:rsidRPr="0031113F">
        <w:rPr>
          <w:lang w:val="en-US"/>
        </w:rPr>
        <w:tab/>
      </w:r>
      <w:r w:rsidR="00AE3871">
        <w:t xml:space="preserve">The applicant </w:t>
      </w:r>
      <w:r w:rsidR="00A41328">
        <w:t xml:space="preserve">has </w:t>
      </w:r>
      <w:r w:rsidR="000F78C8">
        <w:t>been in custody for more than two years and he has consequently been unable to develop a relationship with his minor children which is to their detriment</w:t>
      </w:r>
      <w:r w:rsidR="00A41328">
        <w:t>; and</w:t>
      </w:r>
    </w:p>
    <w:p w14:paraId="1A8EFCAB" w14:textId="77777777" w:rsidR="0031113F" w:rsidRPr="0031113F" w:rsidRDefault="0031113F" w:rsidP="0031113F">
      <w:pPr>
        <w:pStyle w:val="ListParagraph"/>
        <w:rPr>
          <w:rFonts w:eastAsia="Calibri"/>
          <w:lang w:val="en-US"/>
        </w:rPr>
      </w:pPr>
    </w:p>
    <w:p w14:paraId="755245E4" w14:textId="31DF6544" w:rsidR="00106080" w:rsidRPr="00397A49" w:rsidRDefault="00397A49" w:rsidP="00397A49">
      <w:pPr>
        <w:spacing w:line="480" w:lineRule="auto"/>
        <w:ind w:left="1440" w:hanging="720"/>
        <w:jc w:val="both"/>
        <w:rPr>
          <w:rFonts w:eastAsia="Calibri"/>
          <w:lang w:val="en-US"/>
        </w:rPr>
      </w:pPr>
      <w:r w:rsidRPr="00AE3871">
        <w:rPr>
          <w:lang w:val="en-US"/>
        </w:rPr>
        <w:t>16.4.</w:t>
      </w:r>
      <w:r w:rsidRPr="00AE3871">
        <w:rPr>
          <w:lang w:val="en-US"/>
        </w:rPr>
        <w:tab/>
      </w:r>
      <w:r w:rsidR="00AE3871">
        <w:t xml:space="preserve">The applicant’s </w:t>
      </w:r>
      <w:r w:rsidR="000F78C8">
        <w:t xml:space="preserve">continued </w:t>
      </w:r>
      <w:r w:rsidR="00A41328">
        <w:t>incarcer</w:t>
      </w:r>
      <w:r w:rsidR="00E918F2">
        <w:t>ation has led to his ill health</w:t>
      </w:r>
      <w:r w:rsidR="00AE3871">
        <w:t xml:space="preserve"> </w:t>
      </w:r>
      <w:r w:rsidR="000F78C8">
        <w:t xml:space="preserve">which will only deteriorate </w:t>
      </w:r>
      <w:r w:rsidR="007E6030">
        <w:t xml:space="preserve">further </w:t>
      </w:r>
      <w:r w:rsidR="000F78C8">
        <w:t>should he not be released on bail.</w:t>
      </w:r>
    </w:p>
    <w:p w14:paraId="3FA2B3F6" w14:textId="10E00EDB" w:rsidR="00DA59A6" w:rsidRDefault="00DA59A6" w:rsidP="00DA59A6">
      <w:pPr>
        <w:spacing w:line="480" w:lineRule="auto"/>
        <w:contextualSpacing/>
        <w:jc w:val="both"/>
        <w:rPr>
          <w:rFonts w:eastAsia="Calibri"/>
          <w:lang w:val="en-US"/>
        </w:rPr>
      </w:pPr>
    </w:p>
    <w:p w14:paraId="7EA6ABAA" w14:textId="11B88924" w:rsidR="00DA59A6" w:rsidRPr="00AE3871" w:rsidRDefault="00DA59A6" w:rsidP="00DA59A6">
      <w:pPr>
        <w:spacing w:line="480" w:lineRule="auto"/>
        <w:contextualSpacing/>
        <w:jc w:val="both"/>
        <w:rPr>
          <w:rFonts w:eastAsia="Calibri"/>
          <w:i/>
          <w:iCs/>
          <w:u w:val="single"/>
          <w:lang w:val="en-US"/>
        </w:rPr>
      </w:pPr>
      <w:r w:rsidRPr="00AE3871">
        <w:rPr>
          <w:rFonts w:eastAsia="Calibri"/>
          <w:i/>
          <w:iCs/>
          <w:u w:val="single"/>
          <w:lang w:val="en-US"/>
        </w:rPr>
        <w:t>Finalisation of the investigation:</w:t>
      </w:r>
    </w:p>
    <w:p w14:paraId="6F71F11C" w14:textId="77777777" w:rsidR="00DA59A6" w:rsidRPr="00DA59A6" w:rsidRDefault="00DA59A6" w:rsidP="00DA59A6">
      <w:pPr>
        <w:spacing w:line="480" w:lineRule="auto"/>
        <w:contextualSpacing/>
        <w:jc w:val="both"/>
        <w:rPr>
          <w:rFonts w:eastAsia="Calibri"/>
          <w:lang w:val="en-US"/>
        </w:rPr>
      </w:pPr>
    </w:p>
    <w:p w14:paraId="6F5DBB53" w14:textId="4D9177CD" w:rsidR="00AE3871" w:rsidRDefault="00397A49" w:rsidP="00397A49">
      <w:pPr>
        <w:spacing w:line="480" w:lineRule="auto"/>
        <w:contextualSpacing/>
        <w:jc w:val="both"/>
      </w:pPr>
      <w:r>
        <w:t>[17]</w:t>
      </w:r>
      <w:r>
        <w:tab/>
      </w:r>
      <w:r w:rsidR="00106080">
        <w:t xml:space="preserve">In paragraph 25 of </w:t>
      </w:r>
      <w:r w:rsidR="00DA59A6">
        <w:t xml:space="preserve">the applicant’s initial </w:t>
      </w:r>
      <w:r w:rsidR="00106080">
        <w:t>bail application affidavit</w:t>
      </w:r>
      <w:r w:rsidR="00DA59A6">
        <w:t>,</w:t>
      </w:r>
      <w:r w:rsidR="00106080">
        <w:t xml:space="preserve"> he </w:t>
      </w:r>
      <w:r w:rsidR="00AE3871">
        <w:t>stated</w:t>
      </w:r>
      <w:r w:rsidR="00106080">
        <w:t xml:space="preserve"> that the investigation against him </w:t>
      </w:r>
      <w:r w:rsidR="007E6030">
        <w:t>“</w:t>
      </w:r>
      <w:r w:rsidR="000F78C8">
        <w:t>may</w:t>
      </w:r>
      <w:r w:rsidR="007E6030">
        <w:t>”</w:t>
      </w:r>
      <w:r w:rsidR="000F78C8">
        <w:t xml:space="preserve"> (</w:t>
      </w:r>
      <w:r w:rsidR="000F78C8" w:rsidRPr="007E6030">
        <w:rPr>
          <w:i/>
          <w:iCs/>
        </w:rPr>
        <w:t>sic</w:t>
      </w:r>
      <w:r w:rsidR="000F78C8">
        <w:t xml:space="preserve">) have </w:t>
      </w:r>
      <w:r w:rsidR="00106080">
        <w:t>been completed, but that the police w</w:t>
      </w:r>
      <w:r w:rsidR="007E6030">
        <w:t>ere</w:t>
      </w:r>
      <w:r w:rsidR="00106080">
        <w:t xml:space="preserve"> still looking for other </w:t>
      </w:r>
      <w:r w:rsidR="000F78C8">
        <w:t xml:space="preserve">suspects. </w:t>
      </w:r>
    </w:p>
    <w:p w14:paraId="6C29627B" w14:textId="77777777" w:rsidR="000F78C8" w:rsidRDefault="000F78C8" w:rsidP="000F78C8">
      <w:pPr>
        <w:spacing w:line="480" w:lineRule="auto"/>
        <w:contextualSpacing/>
        <w:jc w:val="both"/>
      </w:pPr>
    </w:p>
    <w:p w14:paraId="480F68D1" w14:textId="2BC55D1A" w:rsidR="000F78C8" w:rsidRDefault="00397A49" w:rsidP="00397A49">
      <w:pPr>
        <w:spacing w:line="480" w:lineRule="auto"/>
        <w:contextualSpacing/>
        <w:jc w:val="both"/>
      </w:pPr>
      <w:r>
        <w:t>[18]</w:t>
      </w:r>
      <w:r>
        <w:tab/>
      </w:r>
      <w:r w:rsidR="000F78C8">
        <w:t>In the opposing affidavit</w:t>
      </w:r>
      <w:r w:rsidR="0031113F">
        <w:t xml:space="preserve"> to the initial bail application</w:t>
      </w:r>
      <w:r w:rsidR="000F78C8">
        <w:t>, detective sergeant Maki stated that he believed that the applicant, if released on bail, would hamper the investigation pertaining to the tracking of the other suspects. He further stated that the state has extensive evidence against the applicant such as video footage, eyewitness</w:t>
      </w:r>
      <w:r w:rsidR="00583A01">
        <w:t xml:space="preserve"> </w:t>
      </w:r>
      <w:r w:rsidR="000F78C8">
        <w:t xml:space="preserve">statements, cell phone data, evidence regarding the tracker systems, ballistics and medical evidence. </w:t>
      </w:r>
      <w:r w:rsidR="009F14FF">
        <w:t xml:space="preserve">The applicant did not in the initial bail application allege that he was at a disadvantage when he applied for bail and he has not alleged in the new affidavit </w:t>
      </w:r>
      <w:r w:rsidR="009F14FF">
        <w:lastRenderedPageBreak/>
        <w:t>that any information has come to light due to the investigation being complete which would cast doubt on the state’s case as was the case in S v Nwabunwanne (</w:t>
      </w:r>
      <w:r w:rsidR="009F14FF" w:rsidRPr="007E6030">
        <w:rPr>
          <w:i/>
          <w:iCs/>
        </w:rPr>
        <w:t>supra</w:t>
      </w:r>
      <w:r w:rsidR="009F14FF">
        <w:t xml:space="preserve">). </w:t>
      </w:r>
    </w:p>
    <w:p w14:paraId="14B1F54B" w14:textId="77777777" w:rsidR="000F78C8" w:rsidRDefault="000F78C8" w:rsidP="000F78C8">
      <w:pPr>
        <w:spacing w:line="480" w:lineRule="auto"/>
        <w:contextualSpacing/>
        <w:jc w:val="both"/>
      </w:pPr>
    </w:p>
    <w:p w14:paraId="52D8C63F" w14:textId="2199FE81" w:rsidR="000F78C8" w:rsidRDefault="00397A49" w:rsidP="00397A49">
      <w:pPr>
        <w:spacing w:line="480" w:lineRule="auto"/>
        <w:contextualSpacing/>
        <w:jc w:val="both"/>
      </w:pPr>
      <w:r>
        <w:t>[19]</w:t>
      </w:r>
      <w:r>
        <w:tab/>
      </w:r>
      <w:r w:rsidR="000F78C8">
        <w:t xml:space="preserve">No information was placed before me as to whether further suspects were indeed found. Be that as it may, it appears from the available information that the investigation was for all practical purposes complete when the initial bail application was heard. I do not regard the finalisation of the investigation to constitute a new fact for purposes of this application. </w:t>
      </w:r>
    </w:p>
    <w:p w14:paraId="5F104DD4" w14:textId="77777777" w:rsidR="00AE3871" w:rsidRDefault="00AE3871" w:rsidP="00AE3871">
      <w:pPr>
        <w:spacing w:line="480" w:lineRule="auto"/>
        <w:contextualSpacing/>
        <w:jc w:val="both"/>
      </w:pPr>
    </w:p>
    <w:p w14:paraId="2174E7D6" w14:textId="4A777E21" w:rsidR="00AE3871" w:rsidRPr="00AE3871" w:rsidRDefault="00AE3871" w:rsidP="00AE3871">
      <w:pPr>
        <w:spacing w:line="480" w:lineRule="auto"/>
        <w:contextualSpacing/>
        <w:jc w:val="both"/>
        <w:rPr>
          <w:i/>
          <w:iCs/>
          <w:u w:val="single"/>
        </w:rPr>
      </w:pPr>
      <w:r w:rsidRPr="00AE3871">
        <w:rPr>
          <w:i/>
          <w:iCs/>
          <w:u w:val="single"/>
        </w:rPr>
        <w:t>Pending cases:</w:t>
      </w:r>
    </w:p>
    <w:p w14:paraId="02DF0440" w14:textId="77777777" w:rsidR="00DA59A6" w:rsidRDefault="00DA59A6" w:rsidP="00DA59A6">
      <w:pPr>
        <w:spacing w:line="480" w:lineRule="auto"/>
        <w:contextualSpacing/>
        <w:jc w:val="both"/>
      </w:pPr>
    </w:p>
    <w:p w14:paraId="30788E5E" w14:textId="2964F865" w:rsidR="00092C4D" w:rsidRDefault="00397A49" w:rsidP="00397A49">
      <w:pPr>
        <w:spacing w:line="480" w:lineRule="auto"/>
        <w:contextualSpacing/>
        <w:jc w:val="both"/>
      </w:pPr>
      <w:r>
        <w:t>[20]</w:t>
      </w:r>
      <w:r>
        <w:tab/>
      </w:r>
      <w:r w:rsidR="000F78C8">
        <w:t xml:space="preserve">In the </w:t>
      </w:r>
      <w:r w:rsidR="00AE3871">
        <w:t xml:space="preserve">applicant’s initial bail </w:t>
      </w:r>
      <w:r w:rsidR="009F14FF">
        <w:t>application,</w:t>
      </w:r>
      <w:r w:rsidR="00AE3871">
        <w:t xml:space="preserve"> he stated that </w:t>
      </w:r>
      <w:r w:rsidR="00106080">
        <w:t xml:space="preserve">he </w:t>
      </w:r>
      <w:r w:rsidR="000F78C8">
        <w:t xml:space="preserve">only had one pending matter in </w:t>
      </w:r>
      <w:r w:rsidR="0031113F">
        <w:t xml:space="preserve">the </w:t>
      </w:r>
      <w:r w:rsidR="000F78C8">
        <w:t xml:space="preserve">Bellville magistrates court for robbery with aggravating circumstances and further that the only time he had a warrant issued against him was when he could not attend court due to a heath condition. I will return to this aspect later in the judgment. </w:t>
      </w:r>
    </w:p>
    <w:p w14:paraId="0198F03F" w14:textId="77777777" w:rsidR="0031113F" w:rsidRDefault="0031113F" w:rsidP="0031113F">
      <w:pPr>
        <w:spacing w:line="480" w:lineRule="auto"/>
        <w:contextualSpacing/>
        <w:jc w:val="both"/>
      </w:pPr>
    </w:p>
    <w:p w14:paraId="5D08F1AD" w14:textId="4834B733" w:rsidR="00092C4D" w:rsidRDefault="00397A49" w:rsidP="00397A49">
      <w:pPr>
        <w:spacing w:line="480" w:lineRule="auto"/>
        <w:contextualSpacing/>
        <w:jc w:val="both"/>
      </w:pPr>
      <w:r>
        <w:t>[21]</w:t>
      </w:r>
      <w:r>
        <w:tab/>
      </w:r>
      <w:r w:rsidR="00092C4D">
        <w:t xml:space="preserve">According to the opposing affidavit of Mr Maki, the applicant had two pending cases (there appear to have been some confusion regarding a further charge) for robbery with aggravating circumstances. In respect of </w:t>
      </w:r>
      <w:r w:rsidR="0031113F">
        <w:t xml:space="preserve">one of these charges </w:t>
      </w:r>
      <w:r w:rsidR="00092C4D">
        <w:t xml:space="preserve">the applicant was allegedly the driver during an armed robbery at </w:t>
      </w:r>
      <w:r w:rsidR="000C3E68">
        <w:t xml:space="preserve">Camera World in </w:t>
      </w:r>
      <w:r w:rsidR="00092C4D">
        <w:t xml:space="preserve">Bellville </w:t>
      </w:r>
      <w:r w:rsidR="000C3E68">
        <w:t xml:space="preserve">during 2019, </w:t>
      </w:r>
      <w:r w:rsidR="00092C4D">
        <w:t xml:space="preserve">where a group of suspects </w:t>
      </w:r>
      <w:r w:rsidR="000C3E68">
        <w:t xml:space="preserve">also </w:t>
      </w:r>
      <w:r w:rsidR="00092C4D">
        <w:t xml:space="preserve">stole expensive photographic equipment. </w:t>
      </w:r>
    </w:p>
    <w:p w14:paraId="5E0EBAF8" w14:textId="77777777" w:rsidR="00092C4D" w:rsidRDefault="00092C4D" w:rsidP="00092C4D">
      <w:pPr>
        <w:spacing w:line="480" w:lineRule="auto"/>
        <w:contextualSpacing/>
        <w:jc w:val="both"/>
      </w:pPr>
    </w:p>
    <w:p w14:paraId="6481E902" w14:textId="32D59EAA" w:rsidR="00092C4D" w:rsidRDefault="00397A49" w:rsidP="00397A49">
      <w:pPr>
        <w:spacing w:line="480" w:lineRule="auto"/>
        <w:contextualSpacing/>
        <w:jc w:val="both"/>
      </w:pPr>
      <w:r>
        <w:t>[22]</w:t>
      </w:r>
      <w:r>
        <w:tab/>
      </w:r>
      <w:r w:rsidR="00092C4D">
        <w:t xml:space="preserve">The presiding officer hearing </w:t>
      </w:r>
      <w:r w:rsidR="009F14FF">
        <w:t xml:space="preserve">the applicant’s </w:t>
      </w:r>
      <w:r w:rsidR="00092C4D">
        <w:t xml:space="preserve">initial bail application dealt with the issue of pending cases on the basis that the applicant had two pending cases and that </w:t>
      </w:r>
      <w:r w:rsidR="00092C4D">
        <w:lastRenderedPageBreak/>
        <w:t xml:space="preserve">he had allegedly committed the offences </w:t>
      </w:r>
      <w:r w:rsidR="000C3E68">
        <w:t xml:space="preserve">he </w:t>
      </w:r>
      <w:r w:rsidR="00092C4D">
        <w:t>is accused of in this case, whilst out on bail</w:t>
      </w:r>
      <w:r w:rsidR="0053217E">
        <w:t xml:space="preserve"> in those cases</w:t>
      </w:r>
      <w:r w:rsidR="00092C4D">
        <w:t xml:space="preserve">. </w:t>
      </w:r>
    </w:p>
    <w:p w14:paraId="09A31F01" w14:textId="77777777" w:rsidR="00092C4D" w:rsidRDefault="00092C4D" w:rsidP="00092C4D">
      <w:pPr>
        <w:pStyle w:val="ListParagraph"/>
      </w:pPr>
    </w:p>
    <w:p w14:paraId="5D59BA78" w14:textId="6BF50BE1" w:rsidR="00092C4D" w:rsidRDefault="00397A49" w:rsidP="00397A49">
      <w:pPr>
        <w:spacing w:line="480" w:lineRule="auto"/>
        <w:contextualSpacing/>
        <w:jc w:val="both"/>
      </w:pPr>
      <w:r>
        <w:t>[23]</w:t>
      </w:r>
      <w:r>
        <w:tab/>
      </w:r>
      <w:r w:rsidR="00092C4D">
        <w:t>From the new affidavit filed by the applicant, it is apparent that he indeed had two pending cases for similar offences</w:t>
      </w:r>
      <w:r w:rsidR="000C3E68">
        <w:t xml:space="preserve"> and not one as stated by him initially</w:t>
      </w:r>
      <w:r w:rsidR="00092C4D">
        <w:t xml:space="preserve">. </w:t>
      </w:r>
    </w:p>
    <w:p w14:paraId="7976D0BE" w14:textId="77777777" w:rsidR="00092C4D" w:rsidRDefault="00092C4D" w:rsidP="00092C4D">
      <w:pPr>
        <w:pStyle w:val="ListParagraph"/>
      </w:pPr>
    </w:p>
    <w:p w14:paraId="5DB8BE39" w14:textId="65DD0AD2" w:rsidR="00092C4D" w:rsidRDefault="00397A49" w:rsidP="00397A49">
      <w:pPr>
        <w:spacing w:line="480" w:lineRule="auto"/>
        <w:contextualSpacing/>
        <w:jc w:val="both"/>
      </w:pPr>
      <w:r>
        <w:t>[24]</w:t>
      </w:r>
      <w:r>
        <w:tab/>
      </w:r>
      <w:r w:rsidR="00092C4D">
        <w:t xml:space="preserve">It appears that </w:t>
      </w:r>
      <w:r w:rsidR="000C3E68">
        <w:t xml:space="preserve">during August 2022 the </w:t>
      </w:r>
      <w:r w:rsidR="00092C4D">
        <w:t xml:space="preserve">Bellville </w:t>
      </w:r>
      <w:r w:rsidR="000C3E68">
        <w:t xml:space="preserve">matter under </w:t>
      </w:r>
      <w:r w:rsidR="00092C4D">
        <w:t>case number SH 5/230/2019 was withdrawn due to the complainant not being available and the applicant was acquitted in Bellville case number SH 5/108/2020.</w:t>
      </w:r>
    </w:p>
    <w:p w14:paraId="601734B9" w14:textId="77777777" w:rsidR="00092C4D" w:rsidRDefault="00092C4D" w:rsidP="00092C4D">
      <w:pPr>
        <w:spacing w:line="480" w:lineRule="auto"/>
        <w:contextualSpacing/>
        <w:jc w:val="both"/>
      </w:pPr>
    </w:p>
    <w:p w14:paraId="61F6BDBC" w14:textId="44ED7CE4" w:rsidR="003C5807" w:rsidRDefault="00397A49" w:rsidP="00397A49">
      <w:pPr>
        <w:spacing w:line="480" w:lineRule="auto"/>
        <w:contextualSpacing/>
        <w:jc w:val="both"/>
      </w:pPr>
      <w:r>
        <w:t>[25]</w:t>
      </w:r>
      <w:r>
        <w:tab/>
      </w:r>
      <w:r w:rsidR="00AE3871">
        <w:t>The state during argument conceded that that the fa</w:t>
      </w:r>
      <w:r w:rsidR="003C5807">
        <w:t xml:space="preserve">ct that the applicant no longer has any pending cases, amounts to a new fact and I will </w:t>
      </w:r>
      <w:r w:rsidR="009F14FF">
        <w:t xml:space="preserve">as a result </w:t>
      </w:r>
      <w:r w:rsidR="003C5807">
        <w:t xml:space="preserve">consider this </w:t>
      </w:r>
      <w:r w:rsidR="0053217E">
        <w:t xml:space="preserve">as a </w:t>
      </w:r>
      <w:r w:rsidR="003C5807">
        <w:t>new fact for purposes of the renewed bail application.</w:t>
      </w:r>
    </w:p>
    <w:p w14:paraId="51D9D08E" w14:textId="77777777" w:rsidR="003C5807" w:rsidRDefault="003C5807" w:rsidP="003C5807">
      <w:pPr>
        <w:pStyle w:val="ListParagraph"/>
      </w:pPr>
    </w:p>
    <w:p w14:paraId="5ED8C7E1" w14:textId="4570CB58" w:rsidR="00DA59A6" w:rsidRPr="009F14FF" w:rsidRDefault="00DA59A6" w:rsidP="00DA59A6">
      <w:pPr>
        <w:spacing w:line="480" w:lineRule="auto"/>
        <w:contextualSpacing/>
        <w:jc w:val="both"/>
        <w:rPr>
          <w:i/>
          <w:iCs/>
          <w:u w:val="single"/>
        </w:rPr>
      </w:pPr>
      <w:r w:rsidRPr="009F14FF">
        <w:rPr>
          <w:i/>
          <w:iCs/>
          <w:u w:val="single"/>
        </w:rPr>
        <w:t>The interests of the applicant’s minor children:</w:t>
      </w:r>
    </w:p>
    <w:p w14:paraId="141D1F94" w14:textId="0FDCB0B7" w:rsidR="00DA59A6" w:rsidRDefault="00DA59A6" w:rsidP="00DA59A6">
      <w:pPr>
        <w:spacing w:line="480" w:lineRule="auto"/>
        <w:contextualSpacing/>
        <w:jc w:val="both"/>
      </w:pPr>
    </w:p>
    <w:p w14:paraId="606479D6" w14:textId="483F7161" w:rsidR="00DA59A6" w:rsidRDefault="00397A49" w:rsidP="00397A49">
      <w:pPr>
        <w:spacing w:line="480" w:lineRule="auto"/>
        <w:contextualSpacing/>
        <w:jc w:val="both"/>
      </w:pPr>
      <w:r>
        <w:t>[26]</w:t>
      </w:r>
      <w:r>
        <w:tab/>
      </w:r>
      <w:r w:rsidR="00106080">
        <w:t xml:space="preserve">The issue of </w:t>
      </w:r>
      <w:r w:rsidR="009F14FF">
        <w:t xml:space="preserve">the impact on the applicant’s minor children, should he not be released on bail, </w:t>
      </w:r>
      <w:r w:rsidR="00106080">
        <w:t xml:space="preserve">was raised in his </w:t>
      </w:r>
      <w:r w:rsidR="003C5807">
        <w:t xml:space="preserve">initial bail application </w:t>
      </w:r>
      <w:r w:rsidR="00106080">
        <w:t>and was also considered by Lekhuleni AJ</w:t>
      </w:r>
      <w:r w:rsidR="00106080">
        <w:rPr>
          <w:rStyle w:val="FootnoteReference"/>
        </w:rPr>
        <w:footnoteReference w:id="10"/>
      </w:r>
      <w:r w:rsidR="00106080">
        <w:t xml:space="preserve"> </w:t>
      </w:r>
      <w:r w:rsidR="003C5807">
        <w:t>in the bail appeal</w:t>
      </w:r>
      <w:r w:rsidR="00106080">
        <w:t xml:space="preserve">. </w:t>
      </w:r>
    </w:p>
    <w:p w14:paraId="4D14F1AF" w14:textId="77777777" w:rsidR="00DA59A6" w:rsidRDefault="00DA59A6" w:rsidP="00DA59A6">
      <w:pPr>
        <w:spacing w:line="480" w:lineRule="auto"/>
        <w:contextualSpacing/>
        <w:jc w:val="both"/>
      </w:pPr>
    </w:p>
    <w:p w14:paraId="72BC2ED4" w14:textId="5266AE74" w:rsidR="00DA59A6" w:rsidRDefault="00397A49" w:rsidP="00397A49">
      <w:pPr>
        <w:spacing w:line="480" w:lineRule="auto"/>
        <w:contextualSpacing/>
        <w:jc w:val="both"/>
      </w:pPr>
      <w:r>
        <w:t>[27]</w:t>
      </w:r>
      <w:r>
        <w:tab/>
      </w:r>
      <w:r w:rsidR="00106080">
        <w:t xml:space="preserve">The interests of minor children </w:t>
      </w:r>
      <w:r w:rsidR="00951E91">
        <w:t>were</w:t>
      </w:r>
      <w:r w:rsidR="000C3E68">
        <w:t xml:space="preserve"> dealt with </w:t>
      </w:r>
      <w:r w:rsidR="00106080">
        <w:t xml:space="preserve">in S v Petersen </w:t>
      </w:r>
      <w:r w:rsidR="00106080" w:rsidRPr="00DA59A6">
        <w:rPr>
          <w:lang w:val="en-ZA"/>
        </w:rPr>
        <w:t>2008 (2) SACR 355 (C) and it was held</w:t>
      </w:r>
      <w:r w:rsidR="000C3E68">
        <w:rPr>
          <w:lang w:val="en-ZA"/>
        </w:rPr>
        <w:t xml:space="preserve"> at para </w:t>
      </w:r>
      <w:r w:rsidR="00106080" w:rsidRPr="00DA59A6">
        <w:rPr>
          <w:lang w:val="en-ZA"/>
        </w:rPr>
        <w:t xml:space="preserve">63 at 372i-373a that: </w:t>
      </w:r>
    </w:p>
    <w:p w14:paraId="3EA92480" w14:textId="77777777" w:rsidR="00DA59A6" w:rsidRDefault="00DA59A6" w:rsidP="00DA59A6">
      <w:pPr>
        <w:spacing w:line="480" w:lineRule="auto"/>
        <w:ind w:left="1440"/>
        <w:contextualSpacing/>
        <w:jc w:val="both"/>
        <w:rPr>
          <w:lang w:val="en-ZA"/>
        </w:rPr>
      </w:pPr>
    </w:p>
    <w:p w14:paraId="5B3AF922" w14:textId="107048E5" w:rsidR="00DA59A6" w:rsidRDefault="00106080" w:rsidP="00DA59A6">
      <w:pPr>
        <w:spacing w:line="480" w:lineRule="auto"/>
        <w:ind w:left="1440"/>
        <w:contextualSpacing/>
        <w:jc w:val="both"/>
      </w:pPr>
      <w:r w:rsidRPr="00DA59A6">
        <w:rPr>
          <w:lang w:val="en-ZA"/>
        </w:rPr>
        <w:t>“</w:t>
      </w:r>
      <w:r w:rsidRPr="00DA59A6">
        <w:rPr>
          <w:sz w:val="22"/>
          <w:szCs w:val="22"/>
        </w:rPr>
        <w:t xml:space="preserve">When, in an application for bail, the special circumstances relied on by the accused include the constitutionally protected interests of a minor child, this court must, in terms of s 28(1)(b) of the Constitution of the Republic of South </w:t>
      </w:r>
      <w:r w:rsidRPr="00DA59A6">
        <w:rPr>
          <w:sz w:val="22"/>
          <w:szCs w:val="22"/>
        </w:rPr>
        <w:lastRenderedPageBreak/>
        <w:t>Africa, 1996, take cognisance of the child's right 'to family care or parental care, or to appropriate alternative care when removed from the family environment'. Inasmuch as a decision in regard to an accused's bail application and subsequent appeal (if the application is refused) will, of necessity, impact upon a child of the accused, it may not be lost from sight that the child's best interests are, in terms of s 28(2) of the Constitution, paramount. This does not, of course, mean that such interests will simply override all other legitimate interests, such as the interests of justice or the public interest. It must, however, always be taken into consideration as a relevant factor and a general guideline in assessing such competing rights</w:t>
      </w:r>
      <w:r>
        <w:t xml:space="preserve">.” </w:t>
      </w:r>
      <w:r w:rsidRPr="00DA59A6">
        <w:rPr>
          <w:lang w:val="en-ZA"/>
        </w:rPr>
        <w:t xml:space="preserve"> </w:t>
      </w:r>
    </w:p>
    <w:p w14:paraId="03D661ED" w14:textId="77777777" w:rsidR="00D649AC" w:rsidRDefault="00D649AC" w:rsidP="00D649AC">
      <w:pPr>
        <w:spacing w:line="480" w:lineRule="auto"/>
        <w:contextualSpacing/>
        <w:jc w:val="both"/>
      </w:pPr>
    </w:p>
    <w:p w14:paraId="74E986F5" w14:textId="2A0D118A" w:rsidR="00D3180B" w:rsidRDefault="00397A49" w:rsidP="00397A49">
      <w:pPr>
        <w:spacing w:line="480" w:lineRule="auto"/>
        <w:contextualSpacing/>
        <w:jc w:val="both"/>
      </w:pPr>
      <w:r>
        <w:t>[28]</w:t>
      </w:r>
      <w:r>
        <w:tab/>
      </w:r>
      <w:r w:rsidR="00951E91">
        <w:t xml:space="preserve">The applicant now submits that </w:t>
      </w:r>
      <w:r w:rsidR="00A062C7">
        <w:t xml:space="preserve">the fact that he has been in custody for more than two years due to the trial not being finalised, should be considered afresh in the context of his inability to form or maintain a bond with his very young children. </w:t>
      </w:r>
      <w:r w:rsidR="00B745F0">
        <w:t>The delay in the finalisation of the trial is an un</w:t>
      </w:r>
      <w:r w:rsidR="0053217E">
        <w:t xml:space="preserve">acceptable </w:t>
      </w:r>
      <w:r w:rsidR="00B745F0">
        <w:t>but commonly found situation</w:t>
      </w:r>
      <w:r w:rsidR="00D3180B">
        <w:t>. N</w:t>
      </w:r>
      <w:r w:rsidR="00A062C7">
        <w:t>o evidence was placed before me to indicate that the</w:t>
      </w:r>
      <w:r w:rsidR="00D3180B">
        <w:t xml:space="preserve"> </w:t>
      </w:r>
      <w:r w:rsidR="0053217E">
        <w:t xml:space="preserve">prosecution has been the cause for any delay, </w:t>
      </w:r>
      <w:r w:rsidR="00D3180B">
        <w:t xml:space="preserve">and I can </w:t>
      </w:r>
      <w:r w:rsidR="00A062C7">
        <w:t xml:space="preserve">only assume </w:t>
      </w:r>
      <w:r w:rsidR="00D3180B">
        <w:t xml:space="preserve">that the delay </w:t>
      </w:r>
      <w:r w:rsidR="00A062C7">
        <w:t xml:space="preserve">is mainly as a result of the overburdened criminal court rolls. </w:t>
      </w:r>
      <w:r w:rsidR="00D3180B">
        <w:t xml:space="preserve">I accept the </w:t>
      </w:r>
      <w:r w:rsidR="00951E91">
        <w:t xml:space="preserve">applicant’s continued incarceration </w:t>
      </w:r>
      <w:r w:rsidR="00D3180B">
        <w:t xml:space="preserve">amounts to changed circumstances and that his incarceration </w:t>
      </w:r>
      <w:r w:rsidR="00951E91">
        <w:t xml:space="preserve">has an impact on his minor </w:t>
      </w:r>
      <w:r w:rsidR="00D3180B">
        <w:t>children, and I will consider this fact together with all the other facts before me.</w:t>
      </w:r>
    </w:p>
    <w:p w14:paraId="0C2938E1" w14:textId="2477CE75" w:rsidR="00D649AC" w:rsidRDefault="00D649AC" w:rsidP="00D649AC">
      <w:pPr>
        <w:spacing w:line="480" w:lineRule="auto"/>
        <w:contextualSpacing/>
        <w:jc w:val="both"/>
      </w:pPr>
    </w:p>
    <w:p w14:paraId="23381341" w14:textId="27137BC2" w:rsidR="00D649AC" w:rsidRPr="00D3180B" w:rsidRDefault="00D649AC" w:rsidP="00D649AC">
      <w:pPr>
        <w:spacing w:line="480" w:lineRule="auto"/>
        <w:contextualSpacing/>
        <w:jc w:val="both"/>
        <w:rPr>
          <w:i/>
          <w:iCs/>
          <w:u w:val="single"/>
        </w:rPr>
      </w:pPr>
      <w:r w:rsidRPr="00D3180B">
        <w:rPr>
          <w:i/>
          <w:iCs/>
          <w:u w:val="single"/>
        </w:rPr>
        <w:t>The applicant’s ill-health:</w:t>
      </w:r>
    </w:p>
    <w:p w14:paraId="644430DD" w14:textId="77777777" w:rsidR="00D649AC" w:rsidRDefault="00D649AC" w:rsidP="00D649AC">
      <w:pPr>
        <w:spacing w:line="480" w:lineRule="auto"/>
        <w:contextualSpacing/>
        <w:jc w:val="both"/>
      </w:pPr>
    </w:p>
    <w:p w14:paraId="7DF30A30" w14:textId="0E3889D9" w:rsidR="00583502" w:rsidRDefault="00397A49" w:rsidP="00397A49">
      <w:pPr>
        <w:spacing w:line="480" w:lineRule="auto"/>
        <w:contextualSpacing/>
        <w:jc w:val="both"/>
      </w:pPr>
      <w:r>
        <w:t>[29]</w:t>
      </w:r>
      <w:r>
        <w:tab/>
      </w:r>
      <w:r w:rsidR="003C5807">
        <w:t xml:space="preserve">The applicant states in his founding affidavit that </w:t>
      </w:r>
      <w:r w:rsidR="0053217E">
        <w:t xml:space="preserve">whilst in custody </w:t>
      </w:r>
      <w:r w:rsidR="003C5807">
        <w:t>he contracted</w:t>
      </w:r>
      <w:r w:rsidR="00583502">
        <w:t xml:space="preserve"> tuberculosis in April 2022 and was hospitalised. He is now on medication and there is nothing to indicate that he is not receiving adequate medical care.</w:t>
      </w:r>
    </w:p>
    <w:p w14:paraId="380D36E0" w14:textId="77777777" w:rsidR="00583502" w:rsidRDefault="00583502" w:rsidP="00583502">
      <w:pPr>
        <w:spacing w:line="480" w:lineRule="auto"/>
        <w:contextualSpacing/>
        <w:jc w:val="both"/>
      </w:pPr>
    </w:p>
    <w:p w14:paraId="46E47758" w14:textId="23444C87" w:rsidR="003C5807" w:rsidRDefault="00397A49" w:rsidP="00397A49">
      <w:pPr>
        <w:spacing w:line="480" w:lineRule="auto"/>
        <w:contextualSpacing/>
        <w:jc w:val="both"/>
      </w:pPr>
      <w:r>
        <w:lastRenderedPageBreak/>
        <w:t>[30]</w:t>
      </w:r>
      <w:r>
        <w:tab/>
      </w:r>
      <w:r w:rsidR="000C3E68">
        <w:t xml:space="preserve">Whilst I agree that, in principle a later medical condition may constitute a new fact </w:t>
      </w:r>
      <w:r w:rsidR="003C5807">
        <w:t>for purposes of a renewed bail application</w:t>
      </w:r>
      <w:r w:rsidR="000C3E68">
        <w:t xml:space="preserve">, I am not convinced, given the factual situation set out by the applicant in his affidavit, that </w:t>
      </w:r>
      <w:r w:rsidR="00D3180B">
        <w:t xml:space="preserve">his medication condition would have any influence on the outcome of the renewed bail application. Insofar as it is a changed circumstance and was not before the presiding officer hearing the applicant’s initial bail application, I </w:t>
      </w:r>
      <w:r w:rsidR="00FD5283">
        <w:t xml:space="preserve">will allow and consider </w:t>
      </w:r>
      <w:r w:rsidR="000C3E68">
        <w:t>the applicant</w:t>
      </w:r>
      <w:r w:rsidR="00FD5283">
        <w:t>’s</w:t>
      </w:r>
      <w:r w:rsidR="000C3E68">
        <w:t xml:space="preserve"> changed medical condition.</w:t>
      </w:r>
      <w:r w:rsidR="003C5807">
        <w:t xml:space="preserve"> </w:t>
      </w:r>
    </w:p>
    <w:p w14:paraId="2D173222" w14:textId="77777777" w:rsidR="00106080" w:rsidRDefault="00106080" w:rsidP="00106080">
      <w:pPr>
        <w:spacing w:line="480" w:lineRule="auto"/>
        <w:contextualSpacing/>
        <w:jc w:val="both"/>
        <w:rPr>
          <w:rFonts w:eastAsia="Calibri"/>
          <w:lang w:val="en-US"/>
        </w:rPr>
      </w:pPr>
    </w:p>
    <w:p w14:paraId="0F89E046" w14:textId="0042F1D6" w:rsidR="00F86434" w:rsidRPr="00F86434" w:rsidRDefault="00397A49" w:rsidP="00397A49">
      <w:pPr>
        <w:spacing w:line="480" w:lineRule="auto"/>
        <w:contextualSpacing/>
        <w:jc w:val="both"/>
        <w:rPr>
          <w:rFonts w:eastAsia="Calibri"/>
          <w:lang w:val="en-US"/>
        </w:rPr>
      </w:pPr>
      <w:r w:rsidRPr="00F86434">
        <w:rPr>
          <w:rFonts w:eastAsia="Calibri"/>
          <w:lang w:val="en-US"/>
        </w:rPr>
        <w:t>[31]</w:t>
      </w:r>
      <w:r w:rsidRPr="00F86434">
        <w:rPr>
          <w:rFonts w:eastAsia="Calibri"/>
          <w:lang w:val="en-US"/>
        </w:rPr>
        <w:tab/>
      </w:r>
      <w:r w:rsidR="003C5807">
        <w:t>In light of my findings that there are new facts</w:t>
      </w:r>
      <w:r w:rsidR="00FD5283">
        <w:t xml:space="preserve"> and changed circumstances</w:t>
      </w:r>
      <w:r w:rsidR="003C5807">
        <w:t xml:space="preserve">, the question is thus whether these </w:t>
      </w:r>
      <w:r w:rsidR="000C3E68">
        <w:t xml:space="preserve">new </w:t>
      </w:r>
      <w:r w:rsidR="003C5807">
        <w:t>facts</w:t>
      </w:r>
      <w:r w:rsidR="00FD5283">
        <w:t xml:space="preserve"> and circumstances</w:t>
      </w:r>
      <w:r w:rsidR="003C5807">
        <w:t xml:space="preserve">, together with the facts already before the court, would </w:t>
      </w:r>
      <w:r w:rsidR="00F86434">
        <w:t xml:space="preserve">justify the release of the applicant </w:t>
      </w:r>
      <w:r w:rsidR="000C3E68">
        <w:t xml:space="preserve">on </w:t>
      </w:r>
      <w:r w:rsidR="00F86434">
        <w:t>bail.</w:t>
      </w:r>
    </w:p>
    <w:p w14:paraId="1E16114A" w14:textId="77777777" w:rsidR="00F86434" w:rsidRPr="00F86434" w:rsidRDefault="00F86434" w:rsidP="00F86434">
      <w:pPr>
        <w:spacing w:line="480" w:lineRule="auto"/>
        <w:contextualSpacing/>
        <w:jc w:val="both"/>
        <w:rPr>
          <w:rFonts w:eastAsia="Calibri"/>
          <w:lang w:val="en-US"/>
        </w:rPr>
      </w:pPr>
    </w:p>
    <w:p w14:paraId="6DEB18D1" w14:textId="2A103030" w:rsidR="00106080" w:rsidRPr="00F86434" w:rsidRDefault="00FD5283" w:rsidP="00F86434">
      <w:pPr>
        <w:spacing w:line="480" w:lineRule="auto"/>
        <w:contextualSpacing/>
        <w:jc w:val="both"/>
        <w:rPr>
          <w:rFonts w:eastAsia="Calibri"/>
          <w:i/>
          <w:iCs/>
          <w:u w:val="single"/>
          <w:lang w:val="en-US"/>
        </w:rPr>
      </w:pPr>
      <w:r>
        <w:rPr>
          <w:rFonts w:eastAsia="Calibri"/>
          <w:i/>
          <w:iCs/>
          <w:u w:val="single"/>
          <w:lang w:val="en-US"/>
        </w:rPr>
        <w:t xml:space="preserve">Has the applicant shown, on a balance of probabilities, that </w:t>
      </w:r>
      <w:r w:rsidR="00F86434">
        <w:rPr>
          <w:rFonts w:eastAsia="Calibri"/>
          <w:i/>
          <w:iCs/>
          <w:u w:val="single"/>
          <w:lang w:val="en-US"/>
        </w:rPr>
        <w:t xml:space="preserve">exceptional circumstances </w:t>
      </w:r>
      <w:r>
        <w:rPr>
          <w:rFonts w:eastAsia="Calibri"/>
          <w:i/>
          <w:iCs/>
          <w:u w:val="single"/>
          <w:lang w:val="en-US"/>
        </w:rPr>
        <w:t xml:space="preserve">exist, </w:t>
      </w:r>
      <w:r w:rsidR="00F86434">
        <w:rPr>
          <w:rFonts w:eastAsia="Calibri"/>
          <w:i/>
          <w:iCs/>
          <w:u w:val="single"/>
          <w:lang w:val="en-US"/>
        </w:rPr>
        <w:t xml:space="preserve">which, in the interest of justice, would permit </w:t>
      </w:r>
      <w:r>
        <w:rPr>
          <w:rFonts w:eastAsia="Calibri"/>
          <w:i/>
          <w:iCs/>
          <w:u w:val="single"/>
          <w:lang w:val="en-US"/>
        </w:rPr>
        <w:t xml:space="preserve">his </w:t>
      </w:r>
      <w:r w:rsidR="00F86434">
        <w:rPr>
          <w:rFonts w:eastAsia="Calibri"/>
          <w:i/>
          <w:iCs/>
          <w:u w:val="single"/>
          <w:lang w:val="en-US"/>
        </w:rPr>
        <w:t>release on bail?</w:t>
      </w:r>
    </w:p>
    <w:p w14:paraId="526C3F57" w14:textId="77777777" w:rsidR="00106080" w:rsidRPr="00B43C7C" w:rsidRDefault="00106080" w:rsidP="00106080">
      <w:pPr>
        <w:spacing w:line="480" w:lineRule="auto"/>
        <w:contextualSpacing/>
        <w:jc w:val="both"/>
        <w:rPr>
          <w:rFonts w:eastAsia="Calibri"/>
          <w:lang w:val="en-US"/>
        </w:rPr>
      </w:pPr>
    </w:p>
    <w:p w14:paraId="2CEFDA95" w14:textId="08214AE5" w:rsidR="00B43C7C" w:rsidRPr="00B43C7C" w:rsidRDefault="00397A49" w:rsidP="00397A49">
      <w:pPr>
        <w:spacing w:after="240" w:line="480" w:lineRule="auto"/>
        <w:ind w:right="26"/>
        <w:jc w:val="both"/>
      </w:pPr>
      <w:r w:rsidRPr="00B43C7C">
        <w:t>[32]</w:t>
      </w:r>
      <w:r w:rsidRPr="00B43C7C">
        <w:tab/>
      </w:r>
      <w:r w:rsidR="00B43C7C" w:rsidRPr="00B43C7C">
        <w:t xml:space="preserve">The charges against the applicant fall in the category of the schedule 6 offences and the bail application in the court </w:t>
      </w:r>
      <w:r w:rsidR="00B43C7C" w:rsidRPr="00B43C7C">
        <w:rPr>
          <w:i/>
          <w:iCs/>
        </w:rPr>
        <w:t>a quo</w:t>
      </w:r>
      <w:r w:rsidR="00B43C7C" w:rsidRPr="00B43C7C">
        <w:t xml:space="preserve"> was brought in terms of section 60(11)(a) </w:t>
      </w:r>
      <w:r w:rsidR="00B43C7C" w:rsidRPr="00B43C7C">
        <w:rPr>
          <w:snapToGrid w:val="0"/>
        </w:rPr>
        <w:t>which provides that:</w:t>
      </w:r>
      <w:r w:rsidR="00B43C7C" w:rsidRPr="00B43C7C">
        <w:t xml:space="preserve"> </w:t>
      </w:r>
      <w:r w:rsidR="00B43C7C" w:rsidRPr="00B43C7C">
        <w:rPr>
          <w:snapToGrid w:val="0"/>
        </w:rPr>
        <w:t xml:space="preserve">  </w:t>
      </w:r>
    </w:p>
    <w:p w14:paraId="08A13EEE" w14:textId="77777777" w:rsidR="00B43C7C" w:rsidRPr="00B43C7C" w:rsidRDefault="00B43C7C" w:rsidP="00B43C7C">
      <w:pPr>
        <w:spacing w:after="240" w:line="480" w:lineRule="auto"/>
        <w:ind w:left="720" w:right="26"/>
        <w:jc w:val="both"/>
      </w:pPr>
      <w:r w:rsidRPr="00B43C7C">
        <w:rPr>
          <w:snapToGrid w:val="0"/>
        </w:rPr>
        <w:t>“</w:t>
      </w:r>
      <w:r w:rsidRPr="00FD5283">
        <w:rPr>
          <w:snapToGrid w:val="0"/>
          <w:sz w:val="22"/>
          <w:szCs w:val="22"/>
        </w:rPr>
        <w:t>Notwithstanding any provision of this Act, where an accused is charged with an offence referred to 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 of justice permit his or her release.</w:t>
      </w:r>
      <w:r w:rsidRPr="00B43C7C">
        <w:rPr>
          <w:snapToGrid w:val="0"/>
        </w:rPr>
        <w:t xml:space="preserve">” </w:t>
      </w:r>
    </w:p>
    <w:p w14:paraId="2CF7D7CD" w14:textId="0DDA3B4A" w:rsidR="00B43C7C" w:rsidRPr="00B43C7C" w:rsidRDefault="00397A49" w:rsidP="00397A49">
      <w:pPr>
        <w:spacing w:after="240" w:line="480" w:lineRule="auto"/>
        <w:ind w:right="26"/>
        <w:jc w:val="both"/>
      </w:pPr>
      <w:r w:rsidRPr="00B43C7C">
        <w:lastRenderedPageBreak/>
        <w:t>[33]</w:t>
      </w:r>
      <w:r w:rsidRPr="00B43C7C">
        <w:tab/>
      </w:r>
      <w:r w:rsidR="00B43C7C" w:rsidRPr="00B43C7C">
        <w:rPr>
          <w:snapToGrid w:val="0"/>
        </w:rPr>
        <w:t>As correctly pointed out by Binns-Ward J in the matter of Killian v The State</w:t>
      </w:r>
      <w:r w:rsidR="00B43C7C" w:rsidRPr="00B43C7C">
        <w:rPr>
          <w:rStyle w:val="FootnoteReference"/>
          <w:snapToGrid w:val="0"/>
        </w:rPr>
        <w:footnoteReference w:id="11"/>
      </w:r>
      <w:r w:rsidR="00B43C7C" w:rsidRPr="00B43C7C">
        <w:rPr>
          <w:snapToGrid w:val="0"/>
        </w:rPr>
        <w:t xml:space="preserve"> the effect of s 60 (11) (a) was exhaustively discussed and elucidated in the Constitutional Court’s judgment of S v Dlamini; S v Dladla; S v Joubert; S v Schietekat 1999(2) SACR 51 (CC) and an onus is imposed on an applicant for bail to adduce evidence to prove to the satisfaction of the court the existence of exceptional circumstances justifying his release on bail.  Furthermore, the court must be satisfied that the release of the accused is in the interest of justice and the standard proof is on a balance of probabilities.</w:t>
      </w:r>
    </w:p>
    <w:p w14:paraId="3B1E94D0" w14:textId="64117C4B" w:rsidR="00B43C7C" w:rsidRPr="00B43C7C" w:rsidRDefault="00397A49" w:rsidP="00397A49">
      <w:pPr>
        <w:spacing w:after="240" w:line="480" w:lineRule="auto"/>
        <w:ind w:right="26"/>
        <w:jc w:val="both"/>
      </w:pPr>
      <w:r w:rsidRPr="00B43C7C">
        <w:t>[34]</w:t>
      </w:r>
      <w:r w:rsidRPr="00B43C7C">
        <w:tab/>
      </w:r>
      <w:r w:rsidR="00B43C7C" w:rsidRPr="00B43C7C">
        <w:rPr>
          <w:snapToGrid w:val="0"/>
        </w:rPr>
        <w:t>It has further been held that exceptional denotes something “unusual, extraordinary, remarkable, peculiar or simply different (see S v Petersen 2008 (2) SACR355 (C) Se v Josephs 2001 (1) SACR 659 (c) at 6681 and S v Viljoen 2002 (2) SACR 550 SCA.</w:t>
      </w:r>
      <w:r w:rsidR="00B43C7C" w:rsidRPr="00B43C7C">
        <w:rPr>
          <w:rStyle w:val="FootnoteReference"/>
          <w:snapToGrid w:val="0"/>
        </w:rPr>
        <w:footnoteReference w:id="12"/>
      </w:r>
    </w:p>
    <w:p w14:paraId="75F42D07" w14:textId="1C68304B" w:rsidR="00F86434" w:rsidRPr="00F86434" w:rsidRDefault="00397A49" w:rsidP="00397A49">
      <w:pPr>
        <w:spacing w:line="480" w:lineRule="auto"/>
        <w:contextualSpacing/>
        <w:jc w:val="both"/>
        <w:rPr>
          <w:rFonts w:eastAsia="Calibri"/>
          <w:lang w:val="en-US"/>
        </w:rPr>
      </w:pPr>
      <w:r w:rsidRPr="00F86434">
        <w:rPr>
          <w:rFonts w:eastAsia="Calibri"/>
          <w:lang w:val="en-US"/>
        </w:rPr>
        <w:t>[35]</w:t>
      </w:r>
      <w:r w:rsidRPr="00F86434">
        <w:rPr>
          <w:rFonts w:eastAsia="Calibri"/>
          <w:lang w:val="en-US"/>
        </w:rPr>
        <w:tab/>
      </w:r>
      <w:r w:rsidR="00AE75CF">
        <w:t>I do not intend to again summarise the personal circumstances of the applicant</w:t>
      </w:r>
      <w:r w:rsidR="00FD5283">
        <w:t xml:space="preserve"> save to add that the applicant suffers from tuberculosis for which he receives medication</w:t>
      </w:r>
      <w:r w:rsidR="00AE75CF">
        <w:t xml:space="preserve">. </w:t>
      </w:r>
      <w:r w:rsidR="00F86434">
        <w:t>The</w:t>
      </w:r>
      <w:r w:rsidR="00FD5283">
        <w:t xml:space="preserve"> personal circumstances of the applicant do not </w:t>
      </w:r>
      <w:r w:rsidR="00F86434">
        <w:t>in my view constitute exceptional circumstance</w:t>
      </w:r>
      <w:r w:rsidR="00315085">
        <w:t>s</w:t>
      </w:r>
      <w:r w:rsidR="00F86434">
        <w:t>.</w:t>
      </w:r>
    </w:p>
    <w:p w14:paraId="6128FBC3" w14:textId="77777777" w:rsidR="00AE75CF" w:rsidRPr="00AE75CF" w:rsidRDefault="00AE75CF" w:rsidP="00AE75CF">
      <w:pPr>
        <w:spacing w:line="480" w:lineRule="auto"/>
        <w:contextualSpacing/>
        <w:jc w:val="both"/>
        <w:rPr>
          <w:rFonts w:eastAsia="Calibri"/>
          <w:lang w:val="en-US"/>
        </w:rPr>
      </w:pPr>
    </w:p>
    <w:p w14:paraId="353ADDFB" w14:textId="6F43F057" w:rsidR="00704447" w:rsidRPr="00704447" w:rsidRDefault="00397A49" w:rsidP="00397A49">
      <w:pPr>
        <w:spacing w:line="480" w:lineRule="auto"/>
        <w:contextualSpacing/>
        <w:jc w:val="both"/>
        <w:rPr>
          <w:rFonts w:eastAsia="Calibri"/>
          <w:lang w:val="en-US"/>
        </w:rPr>
      </w:pPr>
      <w:r w:rsidRPr="00704447">
        <w:rPr>
          <w:rFonts w:eastAsia="Calibri"/>
          <w:lang w:val="en-US"/>
        </w:rPr>
        <w:t>[36]</w:t>
      </w:r>
      <w:r w:rsidRPr="00704447">
        <w:rPr>
          <w:rFonts w:eastAsia="Calibri"/>
          <w:lang w:val="en-US"/>
        </w:rPr>
        <w:tab/>
      </w:r>
      <w:r w:rsidR="00F86434">
        <w:t xml:space="preserve">For the reasons already on record, I agree with the findings of the presiding magistrate in the initial bail application, that the state, </w:t>
      </w:r>
      <w:r w:rsidR="00F86434">
        <w:rPr>
          <w:i/>
          <w:iCs/>
        </w:rPr>
        <w:t xml:space="preserve">prima facie, </w:t>
      </w:r>
      <w:r w:rsidR="00F86434">
        <w:t xml:space="preserve">has a strong case against the applicant. </w:t>
      </w:r>
      <w:r w:rsidR="00AE75CF">
        <w:t xml:space="preserve">In this regard Lekhuleni AJ held as follows at para 20 of his </w:t>
      </w:r>
      <w:r w:rsidR="00AE75CF">
        <w:lastRenderedPageBreak/>
        <w:t>judgment: “</w:t>
      </w:r>
      <w:r w:rsidR="00AE75CF" w:rsidRPr="000C3E68">
        <w:rPr>
          <w:sz w:val="22"/>
          <w:szCs w:val="22"/>
        </w:rPr>
        <w:t xml:space="preserve">The record reveals that the magistrate in the court below considered the real evidence in the form of photographs, cell phone location based evidence, corroborating evidence in photograph identification parade which identified both appellants as the alleged perpetrators of the crime….The magistrate also considered the photograph identification parage which connected the </w:t>
      </w:r>
      <w:r w:rsidR="00704447" w:rsidRPr="000C3E68">
        <w:rPr>
          <w:sz w:val="22"/>
          <w:szCs w:val="22"/>
        </w:rPr>
        <w:t>appellants</w:t>
      </w:r>
      <w:r w:rsidR="00AE75CF" w:rsidRPr="000C3E68">
        <w:rPr>
          <w:sz w:val="22"/>
          <w:szCs w:val="22"/>
        </w:rPr>
        <w:t xml:space="preserve"> to the charges levelled against t</w:t>
      </w:r>
      <w:r w:rsidR="00704447" w:rsidRPr="000C3E68">
        <w:rPr>
          <w:sz w:val="22"/>
          <w:szCs w:val="22"/>
        </w:rPr>
        <w:t>hem</w:t>
      </w:r>
      <w:r w:rsidR="00AE75CF" w:rsidRPr="000C3E68">
        <w:rPr>
          <w:sz w:val="22"/>
          <w:szCs w:val="22"/>
        </w:rPr>
        <w:t xml:space="preserve"> and came to the conclusion that the State has a strong </w:t>
      </w:r>
      <w:r w:rsidR="00AE75CF" w:rsidRPr="000C3E68">
        <w:rPr>
          <w:i/>
          <w:iCs/>
          <w:sz w:val="22"/>
          <w:szCs w:val="22"/>
        </w:rPr>
        <w:t>prima facie</w:t>
      </w:r>
      <w:r w:rsidR="00AE75CF" w:rsidRPr="000C3E68">
        <w:rPr>
          <w:sz w:val="22"/>
          <w:szCs w:val="22"/>
        </w:rPr>
        <w:t xml:space="preserve"> case </w:t>
      </w:r>
      <w:r w:rsidR="00704447" w:rsidRPr="000C3E68">
        <w:rPr>
          <w:sz w:val="22"/>
          <w:szCs w:val="22"/>
        </w:rPr>
        <w:t>against</w:t>
      </w:r>
      <w:r w:rsidR="00AE75CF" w:rsidRPr="000C3E68">
        <w:rPr>
          <w:sz w:val="22"/>
          <w:szCs w:val="22"/>
        </w:rPr>
        <w:t xml:space="preserve"> both appellants. In my view the finding of the court a</w:t>
      </w:r>
      <w:r w:rsidR="00704447" w:rsidRPr="000C3E68">
        <w:rPr>
          <w:sz w:val="22"/>
          <w:szCs w:val="22"/>
        </w:rPr>
        <w:t xml:space="preserve"> </w:t>
      </w:r>
      <w:r w:rsidR="00AE75CF" w:rsidRPr="000C3E68">
        <w:rPr>
          <w:sz w:val="22"/>
          <w:szCs w:val="22"/>
        </w:rPr>
        <w:t xml:space="preserve">quo in this regard is </w:t>
      </w:r>
      <w:r w:rsidR="00704447" w:rsidRPr="000C3E68">
        <w:rPr>
          <w:sz w:val="22"/>
          <w:szCs w:val="22"/>
        </w:rPr>
        <w:t>s</w:t>
      </w:r>
      <w:r w:rsidR="00AE75CF" w:rsidRPr="000C3E68">
        <w:rPr>
          <w:sz w:val="22"/>
          <w:szCs w:val="22"/>
        </w:rPr>
        <w:t xml:space="preserve">pot on and </w:t>
      </w:r>
      <w:r w:rsidR="00704447" w:rsidRPr="000C3E68">
        <w:rPr>
          <w:sz w:val="22"/>
          <w:szCs w:val="22"/>
        </w:rPr>
        <w:t>cannot</w:t>
      </w:r>
      <w:r w:rsidR="00AE75CF" w:rsidRPr="000C3E68">
        <w:rPr>
          <w:sz w:val="22"/>
          <w:szCs w:val="22"/>
        </w:rPr>
        <w:t xml:space="preserve"> be faulted. I agree with the view expressed by the court below that at least </w:t>
      </w:r>
      <w:r w:rsidR="00AE75CF" w:rsidRPr="000C3E68">
        <w:rPr>
          <w:i/>
          <w:iCs/>
          <w:sz w:val="22"/>
          <w:szCs w:val="22"/>
        </w:rPr>
        <w:t>prima facie</w:t>
      </w:r>
      <w:r w:rsidR="00AE75CF" w:rsidRPr="000C3E68">
        <w:rPr>
          <w:sz w:val="22"/>
          <w:szCs w:val="22"/>
        </w:rPr>
        <w:t xml:space="preserve">, the </w:t>
      </w:r>
      <w:r w:rsidR="00704447" w:rsidRPr="000C3E68">
        <w:rPr>
          <w:sz w:val="22"/>
          <w:szCs w:val="22"/>
        </w:rPr>
        <w:t>S</w:t>
      </w:r>
      <w:r w:rsidR="00AE75CF" w:rsidRPr="000C3E68">
        <w:rPr>
          <w:sz w:val="22"/>
          <w:szCs w:val="22"/>
        </w:rPr>
        <w:t xml:space="preserve">tate case </w:t>
      </w:r>
      <w:r w:rsidR="00704447" w:rsidRPr="000C3E68">
        <w:rPr>
          <w:sz w:val="22"/>
          <w:szCs w:val="22"/>
        </w:rPr>
        <w:t>against</w:t>
      </w:r>
      <w:r w:rsidR="00AE75CF" w:rsidRPr="000C3E68">
        <w:rPr>
          <w:sz w:val="22"/>
          <w:szCs w:val="22"/>
        </w:rPr>
        <w:t xml:space="preserve"> </w:t>
      </w:r>
      <w:r w:rsidR="00704447" w:rsidRPr="000C3E68">
        <w:rPr>
          <w:sz w:val="22"/>
          <w:szCs w:val="22"/>
        </w:rPr>
        <w:t>both</w:t>
      </w:r>
      <w:r w:rsidR="00AE75CF" w:rsidRPr="000C3E68">
        <w:rPr>
          <w:sz w:val="22"/>
          <w:szCs w:val="22"/>
        </w:rPr>
        <w:t xml:space="preserve"> appellants </w:t>
      </w:r>
      <w:r w:rsidR="000E35E3">
        <w:rPr>
          <w:sz w:val="22"/>
          <w:szCs w:val="22"/>
        </w:rPr>
        <w:t>is</w:t>
      </w:r>
      <w:r w:rsidR="00AE75CF" w:rsidRPr="000C3E68">
        <w:rPr>
          <w:sz w:val="22"/>
          <w:szCs w:val="22"/>
        </w:rPr>
        <w:t xml:space="preserve"> </w:t>
      </w:r>
      <w:r w:rsidR="00704447" w:rsidRPr="000C3E68">
        <w:rPr>
          <w:sz w:val="22"/>
          <w:szCs w:val="22"/>
        </w:rPr>
        <w:t>considerably</w:t>
      </w:r>
      <w:r w:rsidR="00AE75CF" w:rsidRPr="000C3E68">
        <w:rPr>
          <w:sz w:val="22"/>
          <w:szCs w:val="22"/>
        </w:rPr>
        <w:t xml:space="preserve"> strong</w:t>
      </w:r>
      <w:r w:rsidR="00AE75CF">
        <w:t>”</w:t>
      </w:r>
      <w:r w:rsidR="00704447">
        <w:t xml:space="preserve">. </w:t>
      </w:r>
    </w:p>
    <w:p w14:paraId="45203AB9" w14:textId="77777777" w:rsidR="00773D91" w:rsidRPr="00773D91" w:rsidRDefault="00773D91" w:rsidP="00773D91">
      <w:pPr>
        <w:spacing w:line="480" w:lineRule="auto"/>
        <w:contextualSpacing/>
        <w:jc w:val="both"/>
        <w:rPr>
          <w:rFonts w:eastAsia="Calibri"/>
          <w:lang w:val="en-US"/>
        </w:rPr>
      </w:pPr>
    </w:p>
    <w:p w14:paraId="59E7835D" w14:textId="1D480712" w:rsidR="004817BA" w:rsidRPr="00081C33" w:rsidRDefault="00397A49" w:rsidP="00397A49">
      <w:pPr>
        <w:spacing w:line="480" w:lineRule="auto"/>
        <w:contextualSpacing/>
        <w:jc w:val="both"/>
        <w:rPr>
          <w:rFonts w:eastAsia="Calibri"/>
          <w:lang w:val="en-US"/>
        </w:rPr>
      </w:pPr>
      <w:r w:rsidRPr="00081C33">
        <w:rPr>
          <w:rFonts w:eastAsia="Calibri"/>
          <w:lang w:val="en-US"/>
        </w:rPr>
        <w:t>[37]</w:t>
      </w:r>
      <w:r w:rsidRPr="00081C33">
        <w:rPr>
          <w:rFonts w:eastAsia="Calibri"/>
          <w:lang w:val="en-US"/>
        </w:rPr>
        <w:tab/>
      </w:r>
      <w:r w:rsidR="00704447">
        <w:t xml:space="preserve">More importantly </w:t>
      </w:r>
      <w:r w:rsidR="00FD5283">
        <w:t xml:space="preserve">in my view, </w:t>
      </w:r>
      <w:r w:rsidR="00704447">
        <w:t xml:space="preserve">is the fact the applicant </w:t>
      </w:r>
      <w:r w:rsidR="00F86434">
        <w:t xml:space="preserve">had, </w:t>
      </w:r>
      <w:r w:rsidR="00F86434">
        <w:rPr>
          <w:i/>
          <w:iCs/>
        </w:rPr>
        <w:t xml:space="preserve">prima </w:t>
      </w:r>
      <w:r w:rsidR="00F86434" w:rsidRPr="00F86434">
        <w:rPr>
          <w:i/>
          <w:iCs/>
        </w:rPr>
        <w:t>facie</w:t>
      </w:r>
      <w:r w:rsidR="00F86434">
        <w:t xml:space="preserve">, placed false evidence before the court in the initial bail application. In this regard it appears from the record that the applicant had raised an </w:t>
      </w:r>
      <w:r w:rsidR="00704447" w:rsidRPr="00F86434">
        <w:rPr>
          <w:i/>
          <w:iCs/>
        </w:rPr>
        <w:t>alibi</w:t>
      </w:r>
      <w:r w:rsidR="00704447">
        <w:t xml:space="preserve"> defence </w:t>
      </w:r>
      <w:r w:rsidR="00F86434">
        <w:t>and had stated that he did not commit the offences he</w:t>
      </w:r>
      <w:r w:rsidR="00081C33">
        <w:t xml:space="preserve"> </w:t>
      </w:r>
      <w:r w:rsidR="00F86434">
        <w:t>is charge</w:t>
      </w:r>
      <w:r w:rsidR="00315085">
        <w:t>d</w:t>
      </w:r>
      <w:r w:rsidR="00F86434">
        <w:t xml:space="preserve"> with as he was receiving treatment</w:t>
      </w:r>
      <w:r w:rsidR="00081C33">
        <w:t xml:space="preserve"> from a traditional healer at the time the robbery had taken place. In support of this </w:t>
      </w:r>
      <w:r w:rsidR="00FD5283">
        <w:t>allegation,</w:t>
      </w:r>
      <w:r w:rsidR="00081C33">
        <w:t xml:space="preserve"> he attached </w:t>
      </w:r>
      <w:r w:rsidR="00704447">
        <w:t xml:space="preserve">a medical certificate from a Mr Pama, </w:t>
      </w:r>
      <w:r w:rsidR="00081C33">
        <w:t>wh</w:t>
      </w:r>
      <w:r w:rsidR="00FD5283">
        <w:t xml:space="preserve">ich </w:t>
      </w:r>
      <w:r w:rsidR="00704447">
        <w:t>indicated that the applicant was receiving treatment from him for the period 22 January 2020 until 25 February 2020</w:t>
      </w:r>
      <w:r w:rsidR="00081C33">
        <w:t xml:space="preserve">. </w:t>
      </w:r>
      <w:r w:rsidR="004817BA">
        <w:t xml:space="preserve">On further investigation </w:t>
      </w:r>
      <w:r w:rsidR="00FD5283">
        <w:t>by the state</w:t>
      </w:r>
      <w:r w:rsidR="00315085">
        <w:t xml:space="preserve">, </w:t>
      </w:r>
      <w:r w:rsidR="004817BA">
        <w:t xml:space="preserve">an affidavit was obtained from Mr Pama, and placed before the court during the </w:t>
      </w:r>
      <w:r w:rsidR="00081C33">
        <w:t xml:space="preserve">initial </w:t>
      </w:r>
      <w:r w:rsidR="004817BA">
        <w:t>bail proceedings</w:t>
      </w:r>
      <w:r w:rsidR="00081C33">
        <w:t xml:space="preserve">. In the affidavit, </w:t>
      </w:r>
      <w:r w:rsidR="004817BA">
        <w:t>Mr Pama state</w:t>
      </w:r>
      <w:r w:rsidR="00081C33">
        <w:t>s</w:t>
      </w:r>
      <w:r w:rsidR="004817BA">
        <w:t xml:space="preserve"> that the applicant’s mother had approached him as her son was in trouble for not attending court and that he had then issued the medical certificate on her request.</w:t>
      </w:r>
      <w:r w:rsidR="00081C33">
        <w:t xml:space="preserve"> It further transpired that the applicant had used this very same medical certificate in </w:t>
      </w:r>
      <w:r w:rsidR="00315085">
        <w:t xml:space="preserve">the </w:t>
      </w:r>
      <w:r w:rsidR="00081C33">
        <w:t xml:space="preserve">proceedings which took place in the Bellville regional court, </w:t>
      </w:r>
      <w:r w:rsidR="00315085">
        <w:t xml:space="preserve">in order to </w:t>
      </w:r>
      <w:r w:rsidR="00081C33">
        <w:t>prove that he was not wilfully absent from court in those proceedings on 24 January 2020.</w:t>
      </w:r>
    </w:p>
    <w:p w14:paraId="55D76DDE" w14:textId="77777777" w:rsidR="00773D91" w:rsidRPr="00773D91" w:rsidRDefault="00773D91" w:rsidP="00773D91">
      <w:pPr>
        <w:spacing w:line="480" w:lineRule="auto"/>
        <w:contextualSpacing/>
        <w:jc w:val="both"/>
        <w:rPr>
          <w:rFonts w:eastAsia="Calibri"/>
          <w:lang w:val="en-US"/>
        </w:rPr>
      </w:pPr>
    </w:p>
    <w:p w14:paraId="4518EE4F" w14:textId="030977DD" w:rsidR="00704447" w:rsidRPr="00704447" w:rsidRDefault="00397A49" w:rsidP="00397A49">
      <w:pPr>
        <w:spacing w:line="480" w:lineRule="auto"/>
        <w:contextualSpacing/>
        <w:jc w:val="both"/>
        <w:rPr>
          <w:rFonts w:eastAsia="Calibri"/>
          <w:lang w:val="en-US"/>
        </w:rPr>
      </w:pPr>
      <w:r w:rsidRPr="00704447">
        <w:rPr>
          <w:rFonts w:eastAsia="Calibri"/>
          <w:lang w:val="en-US"/>
        </w:rPr>
        <w:t>[38]</w:t>
      </w:r>
      <w:r w:rsidRPr="00704447">
        <w:rPr>
          <w:rFonts w:eastAsia="Calibri"/>
          <w:lang w:val="en-US"/>
        </w:rPr>
        <w:tab/>
      </w:r>
      <w:r w:rsidR="004817BA">
        <w:t>In the bail appeal the court held in this regard as follows: “I</w:t>
      </w:r>
      <w:r w:rsidR="004817BA">
        <w:rPr>
          <w:sz w:val="22"/>
          <w:szCs w:val="22"/>
        </w:rPr>
        <w:t xml:space="preserve">t was argued that this court should not attach much weight to this statement as the credibility of Mr Pama is </w:t>
      </w:r>
      <w:r w:rsidR="004817BA">
        <w:rPr>
          <w:sz w:val="22"/>
          <w:szCs w:val="22"/>
        </w:rPr>
        <w:lastRenderedPageBreak/>
        <w:t>questionable and that the circumstances under which the statement was obtained are not known. In my view, this document forms part of first appellant’s defence. It was filed as an annexure to the first appellant’s affidavit and it forms part of this record. This affidavit was intended to be used by the first appellant in su</w:t>
      </w:r>
      <w:r w:rsidR="00F00C9A">
        <w:rPr>
          <w:sz w:val="22"/>
          <w:szCs w:val="22"/>
        </w:rPr>
        <w:t>p</w:t>
      </w:r>
      <w:r w:rsidR="004817BA">
        <w:rPr>
          <w:sz w:val="22"/>
          <w:szCs w:val="22"/>
        </w:rPr>
        <w:t xml:space="preserve">port of his </w:t>
      </w:r>
      <w:r w:rsidR="004817BA" w:rsidRPr="00F00C9A">
        <w:rPr>
          <w:i/>
          <w:iCs/>
          <w:sz w:val="22"/>
          <w:szCs w:val="22"/>
        </w:rPr>
        <w:t>alibi</w:t>
      </w:r>
      <w:r w:rsidR="004817BA">
        <w:rPr>
          <w:sz w:val="22"/>
          <w:szCs w:val="22"/>
        </w:rPr>
        <w:t xml:space="preserve"> defence which in turn supported his averment that the State’s case against him is wea</w:t>
      </w:r>
      <w:r w:rsidR="00F00C9A">
        <w:rPr>
          <w:sz w:val="22"/>
          <w:szCs w:val="22"/>
        </w:rPr>
        <w:t>k</w:t>
      </w:r>
      <w:r w:rsidR="004817BA">
        <w:rPr>
          <w:sz w:val="22"/>
          <w:szCs w:val="22"/>
        </w:rPr>
        <w:t xml:space="preserve">. If the first appellant intends to challenge the circumstances under which this statement was obtained, the first appellant is at liberty to do so during trial. In my considered view, and </w:t>
      </w:r>
      <w:r w:rsidR="004817BA" w:rsidRPr="00F00C9A">
        <w:rPr>
          <w:i/>
          <w:iCs/>
          <w:sz w:val="22"/>
          <w:szCs w:val="22"/>
        </w:rPr>
        <w:t>ex facie</w:t>
      </w:r>
      <w:r w:rsidR="004817BA">
        <w:rPr>
          <w:sz w:val="22"/>
          <w:szCs w:val="22"/>
        </w:rPr>
        <w:t xml:space="preserve"> the document, I am in agreement with the findings by the court </w:t>
      </w:r>
      <w:r w:rsidR="004817BA" w:rsidRPr="00F00C9A">
        <w:rPr>
          <w:i/>
          <w:iCs/>
          <w:sz w:val="22"/>
          <w:szCs w:val="22"/>
        </w:rPr>
        <w:t xml:space="preserve">a quo </w:t>
      </w:r>
      <w:r w:rsidR="004817BA">
        <w:rPr>
          <w:sz w:val="22"/>
          <w:szCs w:val="22"/>
        </w:rPr>
        <w:t>that the medical certificate was obtained by fraudulent means in a quest to mislead the court. I also agree with the views expressed by the magistrate that the first appellant misled the Bellville regional court by submitting a medical certificate that he</w:t>
      </w:r>
      <w:r w:rsidR="00F00C9A">
        <w:rPr>
          <w:sz w:val="22"/>
          <w:szCs w:val="22"/>
        </w:rPr>
        <w:t xml:space="preserve"> </w:t>
      </w:r>
      <w:r w:rsidR="004817BA">
        <w:rPr>
          <w:sz w:val="22"/>
          <w:szCs w:val="22"/>
        </w:rPr>
        <w:t>was si</w:t>
      </w:r>
      <w:r w:rsidR="00F00C9A">
        <w:rPr>
          <w:sz w:val="22"/>
          <w:szCs w:val="22"/>
        </w:rPr>
        <w:t xml:space="preserve">ck </w:t>
      </w:r>
      <w:r w:rsidR="004817BA">
        <w:rPr>
          <w:sz w:val="22"/>
          <w:szCs w:val="22"/>
        </w:rPr>
        <w:t>when in fact he was not</w:t>
      </w:r>
      <w:r w:rsidR="00F00C9A">
        <w:rPr>
          <w:sz w:val="22"/>
          <w:szCs w:val="22"/>
        </w:rPr>
        <w:t>.</w:t>
      </w:r>
      <w:r w:rsidR="004817BA">
        <w:rPr>
          <w:sz w:val="22"/>
          <w:szCs w:val="22"/>
        </w:rPr>
        <w:t xml:space="preserve"> This is indicative of the fact that if he is released on bail he is likely to evaded (sic) justice”</w:t>
      </w:r>
    </w:p>
    <w:p w14:paraId="1811B220" w14:textId="77777777" w:rsidR="00773D91" w:rsidRPr="00773D91" w:rsidRDefault="00773D91" w:rsidP="00773D91">
      <w:pPr>
        <w:spacing w:line="480" w:lineRule="auto"/>
        <w:contextualSpacing/>
        <w:jc w:val="both"/>
        <w:rPr>
          <w:rFonts w:eastAsia="Calibri"/>
          <w:lang w:val="en-US"/>
        </w:rPr>
      </w:pPr>
    </w:p>
    <w:p w14:paraId="1E15C1C1" w14:textId="7FD0A9A7" w:rsidR="00463597" w:rsidRPr="00F82CBC" w:rsidRDefault="00397A49" w:rsidP="00397A49">
      <w:pPr>
        <w:spacing w:line="480" w:lineRule="auto"/>
        <w:contextualSpacing/>
        <w:jc w:val="both"/>
        <w:rPr>
          <w:rFonts w:eastAsia="Calibri"/>
          <w:lang w:val="en-US"/>
        </w:rPr>
      </w:pPr>
      <w:r w:rsidRPr="00F82CBC">
        <w:rPr>
          <w:rFonts w:eastAsia="Calibri"/>
          <w:lang w:val="en-US"/>
        </w:rPr>
        <w:t>[39]</w:t>
      </w:r>
      <w:r w:rsidRPr="00F82CBC">
        <w:rPr>
          <w:rFonts w:eastAsia="Calibri"/>
          <w:lang w:val="en-US"/>
        </w:rPr>
        <w:tab/>
      </w:r>
      <w:r w:rsidR="0053217E">
        <w:t>T</w:t>
      </w:r>
      <w:r w:rsidR="00081C33">
        <w:t xml:space="preserve">he </w:t>
      </w:r>
      <w:r w:rsidR="00F00C9A">
        <w:t xml:space="preserve">serious charges the applicant is facing, </w:t>
      </w:r>
      <w:r w:rsidR="00081C33">
        <w:t xml:space="preserve">originates from a robbery which took place whilst the applicant was on bail facing similar charges. It is in my view </w:t>
      </w:r>
      <w:r w:rsidR="000C3E68">
        <w:t>of little cons</w:t>
      </w:r>
      <w:r w:rsidR="00315085">
        <w:t xml:space="preserve">equence </w:t>
      </w:r>
      <w:r w:rsidR="00081C33">
        <w:t xml:space="preserve">that these charges </w:t>
      </w:r>
      <w:r w:rsidR="00463597">
        <w:t xml:space="preserve">had </w:t>
      </w:r>
      <w:r w:rsidR="00F00C9A">
        <w:t xml:space="preserve">subsequently been withdrawn or </w:t>
      </w:r>
      <w:r w:rsidR="00463597">
        <w:t xml:space="preserve">that the </w:t>
      </w:r>
      <w:r w:rsidR="00F00C9A">
        <w:t xml:space="preserve">applicant had been acquitted of </w:t>
      </w:r>
      <w:r w:rsidR="00315085">
        <w:t xml:space="preserve">the </w:t>
      </w:r>
      <w:r w:rsidR="00463597">
        <w:t xml:space="preserve">other pending </w:t>
      </w:r>
      <w:r w:rsidR="00F00C9A">
        <w:t>charge</w:t>
      </w:r>
      <w:r w:rsidR="000C3E68">
        <w:t xml:space="preserve">. The fact remains that the </w:t>
      </w:r>
      <w:r w:rsidR="00F00C9A">
        <w:t xml:space="preserve">applicant </w:t>
      </w:r>
      <w:r w:rsidR="0053217E">
        <w:t xml:space="preserve">is accused, on strong evidence, of </w:t>
      </w:r>
      <w:r w:rsidR="00F00C9A">
        <w:t>committing serious offences</w:t>
      </w:r>
      <w:r w:rsidR="000C3E68">
        <w:t xml:space="preserve"> and further provided false information during both proceedings</w:t>
      </w:r>
      <w:r w:rsidR="0053217E">
        <w:t>, all whilst out on bail</w:t>
      </w:r>
      <w:r w:rsidR="00F00C9A">
        <w:t>.</w:t>
      </w:r>
    </w:p>
    <w:p w14:paraId="6611D2B4" w14:textId="77777777" w:rsidR="00F82CBC" w:rsidRDefault="00F82CBC" w:rsidP="00F82CBC">
      <w:pPr>
        <w:pStyle w:val="ListParagraph"/>
        <w:rPr>
          <w:rFonts w:eastAsia="Calibri"/>
          <w:lang w:val="en-US"/>
        </w:rPr>
      </w:pPr>
    </w:p>
    <w:p w14:paraId="71BA1EF6" w14:textId="56907B22" w:rsidR="00F82CBC" w:rsidRDefault="00397A49" w:rsidP="00397A49">
      <w:pPr>
        <w:spacing w:line="480" w:lineRule="auto"/>
        <w:contextualSpacing/>
        <w:jc w:val="both"/>
        <w:rPr>
          <w:rFonts w:eastAsia="Calibri"/>
          <w:lang w:val="en-US"/>
        </w:rPr>
      </w:pPr>
      <w:r>
        <w:rPr>
          <w:rFonts w:eastAsia="Calibri"/>
          <w:lang w:val="en-US"/>
        </w:rPr>
        <w:t>[40]</w:t>
      </w:r>
      <w:r>
        <w:rPr>
          <w:rFonts w:eastAsia="Calibri"/>
          <w:lang w:val="en-US"/>
        </w:rPr>
        <w:tab/>
      </w:r>
      <w:r w:rsidR="00F82CBC" w:rsidRPr="0053217E">
        <w:rPr>
          <w:rFonts w:eastAsia="Calibri"/>
          <w:lang w:val="en-US"/>
        </w:rPr>
        <w:t xml:space="preserve">Section 60(4)(d) read with s 60(8)(a) </w:t>
      </w:r>
      <w:r w:rsidR="00315085" w:rsidRPr="0053217E">
        <w:rPr>
          <w:rFonts w:eastAsia="Calibri"/>
          <w:lang w:val="en-US"/>
        </w:rPr>
        <w:t xml:space="preserve">of the CPA </w:t>
      </w:r>
      <w:r w:rsidR="00F82CBC" w:rsidRPr="0053217E">
        <w:rPr>
          <w:rFonts w:eastAsia="Calibri"/>
          <w:lang w:val="en-US"/>
        </w:rPr>
        <w:t xml:space="preserve">dictates that when an accused knowingly provided false information at the time of his or her arrest or during bail proceedings, it would show that there is a likelihood that an accused, if he or she were to be released on bail, would undermine or jeopardize the objectives or the proper functioning of the criminal justice system. The applicant supplied false information in his bail application and at a warrant enquiry as aforesaid. I therefore </w:t>
      </w:r>
      <w:r w:rsidR="0053217E" w:rsidRPr="0053217E">
        <w:rPr>
          <w:rFonts w:eastAsia="Calibri"/>
          <w:lang w:val="en-US"/>
        </w:rPr>
        <w:t>find that the state h</w:t>
      </w:r>
      <w:r w:rsidR="0053217E">
        <w:rPr>
          <w:rFonts w:eastAsia="Calibri"/>
          <w:lang w:val="en-US"/>
        </w:rPr>
        <w:t>as</w:t>
      </w:r>
      <w:r w:rsidR="0053217E" w:rsidRPr="0053217E">
        <w:rPr>
          <w:rFonts w:eastAsia="Calibri"/>
          <w:lang w:val="en-US"/>
        </w:rPr>
        <w:t xml:space="preserve"> established that s 60(4)(d) of the CPA is applicable insofar as the applicant’s </w:t>
      </w:r>
      <w:r w:rsidR="0053217E" w:rsidRPr="0053217E">
        <w:rPr>
          <w:rFonts w:eastAsia="Calibri"/>
          <w:lang w:val="en-US"/>
        </w:rPr>
        <w:lastRenderedPageBreak/>
        <w:t xml:space="preserve">release on bail would undermine the proper </w:t>
      </w:r>
      <w:r w:rsidR="00F95215">
        <w:rPr>
          <w:rFonts w:eastAsia="Calibri"/>
          <w:lang w:val="en-US"/>
        </w:rPr>
        <w:t xml:space="preserve">functioning of the criminal justice system. </w:t>
      </w:r>
      <w:r w:rsidR="0053217E" w:rsidRPr="0053217E">
        <w:rPr>
          <w:rFonts w:eastAsia="Calibri"/>
          <w:lang w:val="en-US"/>
        </w:rPr>
        <w:t>I further find that there is a likelihood that the applicant, if released on bail</w:t>
      </w:r>
      <w:r w:rsidR="00F95215">
        <w:rPr>
          <w:rFonts w:eastAsia="Calibri"/>
          <w:lang w:val="en-US"/>
        </w:rPr>
        <w:t>,</w:t>
      </w:r>
      <w:r w:rsidR="0053217E" w:rsidRPr="0053217E">
        <w:rPr>
          <w:rFonts w:eastAsia="Calibri"/>
          <w:lang w:val="en-US"/>
        </w:rPr>
        <w:t xml:space="preserve"> would commit schedule 1 offences</w:t>
      </w:r>
      <w:r w:rsidR="00F95215">
        <w:rPr>
          <w:rFonts w:eastAsia="Calibri"/>
          <w:lang w:val="en-US"/>
        </w:rPr>
        <w:t xml:space="preserve"> as contemplated in s 60(4)(a)</w:t>
      </w:r>
      <w:r w:rsidR="0053217E" w:rsidRPr="0053217E">
        <w:rPr>
          <w:rFonts w:eastAsia="Calibri"/>
          <w:lang w:val="en-US"/>
        </w:rPr>
        <w:t xml:space="preserve">. </w:t>
      </w:r>
    </w:p>
    <w:p w14:paraId="44F59C69" w14:textId="77777777" w:rsidR="0053217E" w:rsidRDefault="0053217E" w:rsidP="0053217E">
      <w:pPr>
        <w:pStyle w:val="ListParagraph"/>
        <w:rPr>
          <w:rFonts w:eastAsia="Calibri"/>
          <w:lang w:val="en-US"/>
        </w:rPr>
      </w:pPr>
    </w:p>
    <w:p w14:paraId="4275D9DD" w14:textId="29810B05" w:rsidR="005764CB" w:rsidRPr="00D649AC" w:rsidRDefault="00397A49" w:rsidP="00397A49">
      <w:pPr>
        <w:spacing w:line="480" w:lineRule="auto"/>
        <w:contextualSpacing/>
        <w:jc w:val="both"/>
      </w:pPr>
      <w:r w:rsidRPr="00D649AC">
        <w:t>[41]</w:t>
      </w:r>
      <w:r w:rsidRPr="00D649AC">
        <w:tab/>
      </w:r>
      <w:r w:rsidR="005764CB">
        <w:t>The question of a detainee’s ill-health due to conditions in our prisons was considered in the matter of S v Mpofana 1998 (1) SACR 40 (TK) and it was stated in this regard, as follows:</w:t>
      </w:r>
    </w:p>
    <w:p w14:paraId="3E33D105" w14:textId="77777777" w:rsidR="005764CB" w:rsidRDefault="005764CB" w:rsidP="005764CB">
      <w:pPr>
        <w:pStyle w:val="ListParagraph"/>
        <w:spacing w:line="480" w:lineRule="auto"/>
        <w:ind w:left="1440"/>
        <w:jc w:val="both"/>
      </w:pPr>
    </w:p>
    <w:p w14:paraId="64E68F92" w14:textId="77777777" w:rsidR="005764CB" w:rsidRDefault="005764CB" w:rsidP="005764CB">
      <w:pPr>
        <w:spacing w:line="480" w:lineRule="auto"/>
        <w:ind w:left="720"/>
        <w:jc w:val="both"/>
      </w:pPr>
      <w:r>
        <w:t>“</w:t>
      </w:r>
      <w:r w:rsidRPr="005764CB">
        <w:rPr>
          <w:sz w:val="22"/>
          <w:szCs w:val="22"/>
        </w:rPr>
        <w:t xml:space="preserve">Upon a proper construction of s 35(2)(e) and (f) of the said Constitution, one whose detention has been pronounced lawful and in the interests of justice cannot simply resort to a further bail application merely because he has been detained under inhumane and degrading conditions or on the ground that his right to consult with a doctor of his own choice has been infringed. It is, however, available to such person firstly to apply to the prison authorities concerned and call upon them to remedy whatever complaints he/she has with regard to the conditions of his/her detention. Should the prison authorities fail to remedy such complaints, it is available to the detainee concerned either to challenge the detention before a court of law as being unconstitutional or obtain a court interdict to force the prison authorities to comply with the law. In any event, in </w:t>
      </w:r>
      <w:r w:rsidRPr="005764CB">
        <w:rPr>
          <w:i/>
          <w:iCs/>
          <w:sz w:val="22"/>
          <w:szCs w:val="22"/>
        </w:rPr>
        <w:t>hoc casu</w:t>
      </w:r>
      <w:r w:rsidRPr="005764CB">
        <w:rPr>
          <w:sz w:val="22"/>
          <w:szCs w:val="22"/>
        </w:rPr>
        <w:t>, the magistrate has, quite correctly in my view, ordered that the prisons officials should afford appellant the right to consult with a medical practitioner of his choice and appellant's concern in this regard should be laid to rest</w:t>
      </w:r>
      <w:r w:rsidRPr="009645D9">
        <w:t>.</w:t>
      </w:r>
      <w:r>
        <w:t>”</w:t>
      </w:r>
      <w:r w:rsidRPr="009645D9">
        <w:t xml:space="preserve"> </w:t>
      </w:r>
    </w:p>
    <w:p w14:paraId="40680230" w14:textId="77777777" w:rsidR="005764CB" w:rsidRDefault="005764CB" w:rsidP="005764CB">
      <w:pPr>
        <w:pStyle w:val="ListParagraph"/>
      </w:pPr>
    </w:p>
    <w:p w14:paraId="6344DDE1" w14:textId="7E3A9C09" w:rsidR="00F82CBC" w:rsidRPr="0053217E" w:rsidRDefault="00397A49" w:rsidP="00397A49">
      <w:pPr>
        <w:spacing w:line="480" w:lineRule="auto"/>
        <w:contextualSpacing/>
        <w:jc w:val="both"/>
        <w:rPr>
          <w:rFonts w:eastAsia="Calibri"/>
          <w:lang w:val="en-US"/>
        </w:rPr>
      </w:pPr>
      <w:r w:rsidRPr="0053217E">
        <w:rPr>
          <w:rFonts w:eastAsia="Calibri"/>
          <w:lang w:val="en-US"/>
        </w:rPr>
        <w:t>[42]</w:t>
      </w:r>
      <w:r w:rsidRPr="0053217E">
        <w:rPr>
          <w:rFonts w:eastAsia="Calibri"/>
          <w:lang w:val="en-US"/>
        </w:rPr>
        <w:tab/>
      </w:r>
      <w:r w:rsidR="00F82CBC">
        <w:t>The applicant on his own version is receiving adequate medical treatment and has placed no facts before the court to substantiate his statement that his hea</w:t>
      </w:r>
      <w:r w:rsidR="00315085">
        <w:t xml:space="preserve">lth </w:t>
      </w:r>
      <w:r w:rsidR="00F82CBC">
        <w:t xml:space="preserve">would deteriorate </w:t>
      </w:r>
      <w:r w:rsidR="0053217E">
        <w:t xml:space="preserve">further </w:t>
      </w:r>
      <w:r w:rsidR="00F82CBC">
        <w:t>should he remain in custody pending trial.</w:t>
      </w:r>
    </w:p>
    <w:p w14:paraId="68B54F89" w14:textId="77777777" w:rsidR="0053217E" w:rsidRPr="00315085" w:rsidRDefault="0053217E" w:rsidP="0053217E">
      <w:pPr>
        <w:spacing w:line="480" w:lineRule="auto"/>
        <w:contextualSpacing/>
        <w:jc w:val="both"/>
        <w:rPr>
          <w:rFonts w:eastAsia="Calibri"/>
          <w:lang w:val="en-US"/>
        </w:rPr>
      </w:pPr>
    </w:p>
    <w:p w14:paraId="29191067" w14:textId="463F1CA4" w:rsidR="00443AB5" w:rsidRPr="00443AB5" w:rsidRDefault="00397A49" w:rsidP="00397A49">
      <w:pPr>
        <w:spacing w:line="480" w:lineRule="auto"/>
        <w:contextualSpacing/>
        <w:jc w:val="both"/>
        <w:rPr>
          <w:rFonts w:eastAsia="Calibri"/>
          <w:lang w:val="en-US"/>
        </w:rPr>
      </w:pPr>
      <w:r w:rsidRPr="00443AB5">
        <w:rPr>
          <w:rFonts w:eastAsia="Calibri"/>
          <w:lang w:val="en-US"/>
        </w:rPr>
        <w:lastRenderedPageBreak/>
        <w:t>[43]</w:t>
      </w:r>
      <w:r w:rsidRPr="00443AB5">
        <w:rPr>
          <w:rFonts w:eastAsia="Calibri"/>
          <w:lang w:val="en-US"/>
        </w:rPr>
        <w:tab/>
      </w:r>
      <w:r w:rsidR="00315085">
        <w:t xml:space="preserve">As to the issue of the delay in the finalisation of the trial, I point out that </w:t>
      </w:r>
      <w:r w:rsidR="00F95215">
        <w:t xml:space="preserve">new facts or </w:t>
      </w:r>
      <w:r w:rsidR="00315085">
        <w:t xml:space="preserve">changed circumstances will not have the same effect in every </w:t>
      </w:r>
      <w:r w:rsidR="0053217E">
        <w:t xml:space="preserve">bail application on new facts </w:t>
      </w:r>
      <w:r w:rsidR="00315085">
        <w:t xml:space="preserve">as the </w:t>
      </w:r>
      <w:r w:rsidR="0053217E">
        <w:t xml:space="preserve">cumulative effect of the </w:t>
      </w:r>
      <w:r w:rsidR="00315085">
        <w:t xml:space="preserve">facts in each bail application </w:t>
      </w:r>
      <w:r w:rsidR="00F95215">
        <w:t xml:space="preserve">may </w:t>
      </w:r>
      <w:r w:rsidR="00315085">
        <w:t>differ. Whilst a delay in one matter may tilt the scales in favour of an applicant in some circumstances, it does not necessarily have the same effect in others.</w:t>
      </w:r>
      <w:r w:rsidR="00443AB5">
        <w:rPr>
          <w:rStyle w:val="FootnoteReference"/>
        </w:rPr>
        <w:footnoteReference w:id="13"/>
      </w:r>
      <w:r w:rsidR="00315085">
        <w:t xml:space="preserve"> The </w:t>
      </w:r>
      <w:r w:rsidR="00315085" w:rsidRPr="00315085">
        <w:rPr>
          <w:i/>
          <w:iCs/>
        </w:rPr>
        <w:t xml:space="preserve">prima facie </w:t>
      </w:r>
      <w:r w:rsidR="00315085">
        <w:t xml:space="preserve">case </w:t>
      </w:r>
      <w:r w:rsidR="00F95215">
        <w:t xml:space="preserve">for </w:t>
      </w:r>
      <w:r w:rsidR="00315085">
        <w:t xml:space="preserve">the state, the fact that the applicant </w:t>
      </w:r>
      <w:r w:rsidR="00315085" w:rsidRPr="00315085">
        <w:rPr>
          <w:i/>
          <w:iCs/>
        </w:rPr>
        <w:t>prima facie</w:t>
      </w:r>
      <w:r w:rsidR="00315085">
        <w:t xml:space="preserve"> placed false information before the court and had allegedly committed the crimes of murder and armed robbery </w:t>
      </w:r>
      <w:r w:rsidR="00F95215">
        <w:t xml:space="preserve">as part of a group, </w:t>
      </w:r>
      <w:r w:rsidR="00315085">
        <w:t xml:space="preserve">whilst out on bail, </w:t>
      </w:r>
      <w:r w:rsidR="00443AB5">
        <w:t xml:space="preserve">override </w:t>
      </w:r>
      <w:r w:rsidR="00F95215">
        <w:t xml:space="preserve">the factors raised by the applicant, including </w:t>
      </w:r>
      <w:r w:rsidR="00443AB5">
        <w:t xml:space="preserve">the legitimate interests of the minor children (whom do not appear to have been left without care) and </w:t>
      </w:r>
      <w:r w:rsidR="00F95215">
        <w:t xml:space="preserve">the delay. The </w:t>
      </w:r>
      <w:r w:rsidR="00443AB5">
        <w:t xml:space="preserve">interest of justice </w:t>
      </w:r>
      <w:r w:rsidR="00F95215">
        <w:t xml:space="preserve">therefore does not permit the </w:t>
      </w:r>
      <w:r w:rsidR="00443AB5">
        <w:t xml:space="preserve">release </w:t>
      </w:r>
      <w:r w:rsidR="00F95215">
        <w:t xml:space="preserve">of </w:t>
      </w:r>
      <w:r w:rsidR="00443AB5">
        <w:t>the applicant on bail.</w:t>
      </w:r>
    </w:p>
    <w:p w14:paraId="128B91E3" w14:textId="77777777" w:rsidR="00F82CBC" w:rsidRPr="00F82CBC" w:rsidRDefault="00F82CBC" w:rsidP="00F82CBC">
      <w:pPr>
        <w:spacing w:line="480" w:lineRule="auto"/>
        <w:contextualSpacing/>
        <w:jc w:val="both"/>
        <w:rPr>
          <w:rFonts w:eastAsia="Calibri"/>
          <w:lang w:val="en-US"/>
        </w:rPr>
      </w:pPr>
    </w:p>
    <w:p w14:paraId="77709009" w14:textId="54969AA0" w:rsidR="00F95215" w:rsidRPr="00F95215" w:rsidRDefault="00397A49" w:rsidP="00397A49">
      <w:pPr>
        <w:spacing w:line="480" w:lineRule="auto"/>
        <w:contextualSpacing/>
        <w:jc w:val="both"/>
        <w:rPr>
          <w:rFonts w:eastAsia="Calibri"/>
          <w:lang w:val="en-US"/>
        </w:rPr>
      </w:pPr>
      <w:r w:rsidRPr="00F95215">
        <w:rPr>
          <w:rFonts w:eastAsia="Calibri"/>
          <w:lang w:val="en-US"/>
        </w:rPr>
        <w:t>[44]</w:t>
      </w:r>
      <w:r w:rsidRPr="00F95215">
        <w:rPr>
          <w:rFonts w:eastAsia="Calibri"/>
          <w:lang w:val="en-US"/>
        </w:rPr>
        <w:tab/>
      </w:r>
      <w:r w:rsidR="00463597">
        <w:t xml:space="preserve">In the </w:t>
      </w:r>
      <w:r w:rsidR="00443AB5">
        <w:t>circumstances and</w:t>
      </w:r>
      <w:r w:rsidR="005764CB">
        <w:t xml:space="preserve"> having considered the evidence in the initial bail application together with the new facts which were placed before me, I could not find on </w:t>
      </w:r>
      <w:r w:rsidR="00443AB5">
        <w:t xml:space="preserve">the totality of </w:t>
      </w:r>
      <w:r w:rsidR="00F95215">
        <w:t xml:space="preserve">the </w:t>
      </w:r>
      <w:r w:rsidR="005764CB">
        <w:t>evidence</w:t>
      </w:r>
      <w:r w:rsidR="00F95215">
        <w:t>, that the applicant had established a case to permit his release on bail in terms of s 60 (11) (a) of the CPA.</w:t>
      </w:r>
    </w:p>
    <w:p w14:paraId="3452A161" w14:textId="77777777" w:rsidR="00F95215" w:rsidRDefault="00F95215" w:rsidP="00F95215">
      <w:pPr>
        <w:pStyle w:val="ListParagraph"/>
      </w:pPr>
    </w:p>
    <w:p w14:paraId="3A1D3172" w14:textId="77777777" w:rsidR="00463597" w:rsidRDefault="00463597" w:rsidP="00463597">
      <w:pPr>
        <w:pStyle w:val="ListParagraph"/>
      </w:pPr>
    </w:p>
    <w:p w14:paraId="5C2E0236" w14:textId="77777777" w:rsidR="00751EA7" w:rsidRDefault="00751EA7" w:rsidP="00751EA7">
      <w:pPr>
        <w:spacing w:line="480" w:lineRule="auto"/>
        <w:contextualSpacing/>
        <w:jc w:val="both"/>
      </w:pPr>
    </w:p>
    <w:p w14:paraId="6C17C527" w14:textId="77777777" w:rsidR="00751EA7" w:rsidRPr="00751EA7" w:rsidRDefault="00751EA7" w:rsidP="00751EA7">
      <w:pPr>
        <w:spacing w:line="480" w:lineRule="auto"/>
        <w:contextualSpacing/>
        <w:jc w:val="both"/>
        <w:rPr>
          <w:rFonts w:eastAsia="Calibri"/>
          <w:lang w:val="en-US"/>
        </w:rPr>
      </w:pPr>
    </w:p>
    <w:p w14:paraId="66F36CD1" w14:textId="77777777" w:rsidR="006F1955" w:rsidRPr="00230A26" w:rsidRDefault="006F1955" w:rsidP="006F1955">
      <w:pPr>
        <w:jc w:val="right"/>
        <w:rPr>
          <w:rFonts w:eastAsia="Calibri"/>
        </w:rPr>
      </w:pPr>
      <w:r w:rsidRPr="00230A26">
        <w:rPr>
          <w:rFonts w:eastAsia="Calibri"/>
        </w:rPr>
        <w:t xml:space="preserve">           _____________________________</w:t>
      </w:r>
    </w:p>
    <w:p w14:paraId="23A26D50" w14:textId="77777777" w:rsidR="006F1955" w:rsidRPr="00230A26" w:rsidRDefault="006F1955" w:rsidP="006F1955">
      <w:pPr>
        <w:jc w:val="right"/>
        <w:rPr>
          <w:rFonts w:eastAsia="Calibri"/>
          <w:b/>
          <w:bCs/>
        </w:rPr>
      </w:pPr>
      <w:r w:rsidRPr="00230A26">
        <w:rPr>
          <w:rFonts w:eastAsia="Calibri"/>
          <w:b/>
          <w:bCs/>
        </w:rPr>
        <w:t xml:space="preserve">                A De Wet</w:t>
      </w:r>
    </w:p>
    <w:p w14:paraId="2948524E" w14:textId="77777777" w:rsidR="006F1955" w:rsidRPr="00230A26" w:rsidRDefault="006F1955" w:rsidP="006F1955">
      <w:pPr>
        <w:jc w:val="right"/>
        <w:rPr>
          <w:rFonts w:eastAsia="Calibri"/>
          <w:b/>
          <w:bCs/>
        </w:rPr>
      </w:pPr>
      <w:r w:rsidRPr="00230A26">
        <w:rPr>
          <w:rFonts w:eastAsia="Calibri"/>
          <w:b/>
          <w:bCs/>
        </w:rPr>
        <w:t>Acting Judge of the High Court</w:t>
      </w:r>
    </w:p>
    <w:p w14:paraId="568A55AC" w14:textId="77777777" w:rsidR="006F1955" w:rsidRPr="00230A26" w:rsidRDefault="006F1955" w:rsidP="006F1955">
      <w:pPr>
        <w:spacing w:line="360" w:lineRule="auto"/>
        <w:ind w:left="4320" w:hanging="4320"/>
        <w:rPr>
          <w:rFonts w:eastAsia="Calibri"/>
        </w:rPr>
      </w:pPr>
    </w:p>
    <w:p w14:paraId="14059170" w14:textId="65FBF300" w:rsidR="006F1955" w:rsidRDefault="006F1955" w:rsidP="006F1955">
      <w:pPr>
        <w:spacing w:line="360" w:lineRule="auto"/>
        <w:ind w:left="4320" w:hanging="4320"/>
        <w:rPr>
          <w:rFonts w:eastAsia="Calibri"/>
        </w:rPr>
      </w:pPr>
    </w:p>
    <w:p w14:paraId="0DA62E8E" w14:textId="3B54B21C" w:rsidR="000E35E3" w:rsidRDefault="000E35E3" w:rsidP="006F1955">
      <w:pPr>
        <w:spacing w:line="360" w:lineRule="auto"/>
        <w:ind w:left="4320" w:hanging="4320"/>
        <w:rPr>
          <w:rFonts w:eastAsia="Calibri"/>
        </w:rPr>
      </w:pPr>
    </w:p>
    <w:p w14:paraId="3B41C2AD" w14:textId="64D62CE7" w:rsidR="000E35E3" w:rsidRDefault="000E35E3" w:rsidP="006F1955">
      <w:pPr>
        <w:spacing w:line="360" w:lineRule="auto"/>
        <w:ind w:left="4320" w:hanging="4320"/>
        <w:rPr>
          <w:rFonts w:eastAsia="Calibri"/>
        </w:rPr>
      </w:pPr>
    </w:p>
    <w:p w14:paraId="078593C1" w14:textId="2A8213EE" w:rsidR="000E35E3" w:rsidRDefault="000E35E3" w:rsidP="006F1955">
      <w:pPr>
        <w:spacing w:line="360" w:lineRule="auto"/>
        <w:ind w:left="4320" w:hanging="4320"/>
        <w:rPr>
          <w:rFonts w:eastAsia="Calibri"/>
        </w:rPr>
      </w:pPr>
    </w:p>
    <w:p w14:paraId="5B434982" w14:textId="77777777" w:rsidR="000E35E3" w:rsidRDefault="000E35E3" w:rsidP="006F1955">
      <w:pPr>
        <w:spacing w:line="360" w:lineRule="auto"/>
        <w:ind w:left="4320" w:hanging="4320"/>
        <w:rPr>
          <w:rFonts w:eastAsia="Calibri"/>
        </w:rPr>
      </w:pPr>
    </w:p>
    <w:p w14:paraId="34A92305" w14:textId="77777777" w:rsidR="00751EA7" w:rsidRPr="00230A26" w:rsidRDefault="00751EA7" w:rsidP="006F1955">
      <w:pPr>
        <w:spacing w:line="360" w:lineRule="auto"/>
        <w:ind w:left="4320" w:hanging="4320"/>
        <w:rPr>
          <w:rFonts w:eastAsia="Calibri"/>
        </w:rPr>
      </w:pPr>
    </w:p>
    <w:p w14:paraId="70A0DD51" w14:textId="14D90EB4" w:rsidR="005764CB" w:rsidRDefault="006F1955" w:rsidP="00751EA7">
      <w:pPr>
        <w:spacing w:line="360" w:lineRule="auto"/>
        <w:rPr>
          <w:rFonts w:eastAsia="Calibri"/>
        </w:rPr>
      </w:pPr>
      <w:r w:rsidRPr="00230A26">
        <w:rPr>
          <w:rFonts w:eastAsia="Calibri"/>
        </w:rPr>
        <w:t>On behalf of the Appl</w:t>
      </w:r>
      <w:r w:rsidR="00751EA7">
        <w:rPr>
          <w:rFonts w:eastAsia="Calibri"/>
        </w:rPr>
        <w:t>ic</w:t>
      </w:r>
      <w:r w:rsidRPr="00230A26">
        <w:rPr>
          <w:rFonts w:eastAsia="Calibri"/>
        </w:rPr>
        <w:t>ant:</w:t>
      </w:r>
      <w:r w:rsidRPr="00230A26">
        <w:rPr>
          <w:rFonts w:eastAsia="Calibri"/>
        </w:rPr>
        <w:tab/>
      </w:r>
      <w:r w:rsidR="00751EA7">
        <w:rPr>
          <w:rFonts w:eastAsia="Calibri"/>
        </w:rPr>
        <w:tab/>
      </w:r>
      <w:r w:rsidRPr="00230A26">
        <w:rPr>
          <w:rFonts w:eastAsia="Calibri"/>
        </w:rPr>
        <w:t xml:space="preserve">Adv </w:t>
      </w:r>
      <w:r w:rsidR="00751EA7">
        <w:rPr>
          <w:rFonts w:eastAsia="Calibri"/>
        </w:rPr>
        <w:t>L Ngoza</w:t>
      </w:r>
    </w:p>
    <w:p w14:paraId="73A80863" w14:textId="20635157" w:rsidR="005764CB" w:rsidRDefault="005764CB" w:rsidP="000E35E3">
      <w:pPr>
        <w:spacing w:line="360" w:lineRule="auto"/>
        <w:ind w:left="2880" w:firstLine="720"/>
        <w:rPr>
          <w:rFonts w:eastAsia="Calibri"/>
        </w:rPr>
      </w:pPr>
      <w:r>
        <w:rPr>
          <w:rFonts w:eastAsia="Calibri"/>
        </w:rPr>
        <w:t>Anthony Ber</w:t>
      </w:r>
      <w:r w:rsidR="000E35E3">
        <w:rPr>
          <w:rFonts w:eastAsia="Calibri"/>
        </w:rPr>
        <w:t>i</w:t>
      </w:r>
      <w:r>
        <w:rPr>
          <w:rFonts w:eastAsia="Calibri"/>
        </w:rPr>
        <w:t>nato Attorney-at-law</w:t>
      </w:r>
    </w:p>
    <w:p w14:paraId="47D1F5D1" w14:textId="0DFD5BE8" w:rsidR="006F1955" w:rsidRPr="00AD2315" w:rsidRDefault="006F1955" w:rsidP="00751EA7">
      <w:pPr>
        <w:spacing w:line="360"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C460F8">
        <w:rPr>
          <w:rFonts w:eastAsia="Calibri"/>
        </w:rPr>
        <w:t>berinato@asblaw.co.za</w:t>
      </w:r>
      <w:r>
        <w:rPr>
          <w:rFonts w:eastAsia="Calibri"/>
        </w:rPr>
        <w:tab/>
      </w:r>
    </w:p>
    <w:p w14:paraId="5CD028CB" w14:textId="77777777" w:rsidR="006F1955" w:rsidRDefault="006F1955" w:rsidP="006F1955">
      <w:pPr>
        <w:spacing w:line="360" w:lineRule="auto"/>
        <w:rPr>
          <w:rFonts w:eastAsia="Calibri"/>
        </w:rPr>
      </w:pPr>
    </w:p>
    <w:p w14:paraId="38B9D3BB" w14:textId="77777777" w:rsidR="00751EA7" w:rsidRDefault="00751EA7" w:rsidP="006F1955">
      <w:pPr>
        <w:spacing w:line="360" w:lineRule="auto"/>
        <w:rPr>
          <w:rFonts w:eastAsia="Calibri"/>
        </w:rPr>
      </w:pPr>
    </w:p>
    <w:p w14:paraId="4BFC7A8F" w14:textId="019D913A" w:rsidR="00751EA7" w:rsidRDefault="00751EA7" w:rsidP="000E35E3">
      <w:pPr>
        <w:spacing w:line="360" w:lineRule="auto"/>
        <w:ind w:left="3600" w:hanging="3600"/>
        <w:rPr>
          <w:rFonts w:eastAsia="Calibri"/>
        </w:rPr>
      </w:pPr>
      <w:r>
        <w:rPr>
          <w:rFonts w:eastAsia="Calibri"/>
        </w:rPr>
        <w:t>On behalf of the State</w:t>
      </w:r>
      <w:r w:rsidR="006F1955">
        <w:rPr>
          <w:rFonts w:eastAsia="Calibri"/>
        </w:rPr>
        <w:t>:</w:t>
      </w:r>
      <w:r w:rsidR="006F1955">
        <w:rPr>
          <w:rFonts w:eastAsia="Calibri"/>
        </w:rPr>
        <w:tab/>
      </w:r>
      <w:r>
        <w:rPr>
          <w:rFonts w:eastAsia="Calibri"/>
        </w:rPr>
        <w:t>Director of Public Prosecutions</w:t>
      </w:r>
      <w:r w:rsidR="000E35E3">
        <w:rPr>
          <w:rFonts w:eastAsia="Calibri"/>
        </w:rPr>
        <w:t>: Western Cape</w:t>
      </w:r>
      <w:r>
        <w:rPr>
          <w:rFonts w:eastAsia="Calibri"/>
        </w:rPr>
        <w:t xml:space="preserve"> </w:t>
      </w:r>
    </w:p>
    <w:p w14:paraId="4969BD6A" w14:textId="5D4F7825" w:rsidR="005764CB" w:rsidRDefault="00751EA7" w:rsidP="000E35E3">
      <w:pPr>
        <w:spacing w:line="360" w:lineRule="auto"/>
        <w:ind w:left="2880" w:firstLine="720"/>
        <w:rPr>
          <w:rFonts w:eastAsia="Calibri"/>
        </w:rPr>
      </w:pPr>
      <w:r>
        <w:rPr>
          <w:rFonts w:eastAsia="Calibri"/>
        </w:rPr>
        <w:t>Adv. Gertse</w:t>
      </w:r>
    </w:p>
    <w:p w14:paraId="4CC0F87C" w14:textId="53B9F163" w:rsidR="000E35E3" w:rsidRDefault="000E35E3" w:rsidP="000E35E3">
      <w:pPr>
        <w:spacing w:line="360" w:lineRule="auto"/>
        <w:ind w:left="2880" w:firstLine="720"/>
        <w:rPr>
          <w:rFonts w:eastAsia="Calibri"/>
        </w:rPr>
      </w:pPr>
      <w:r>
        <w:rPr>
          <w:rFonts w:eastAsia="Calibri"/>
        </w:rPr>
        <w:t>CGertse@npa.gov.za</w:t>
      </w:r>
    </w:p>
    <w:sectPr w:rsidR="000E35E3" w:rsidSect="00773D91">
      <w:headerReference w:type="default" r:id="rId9"/>
      <w:pgSz w:w="11906" w:h="16838"/>
      <w:pgMar w:top="1080" w:right="1440" w:bottom="12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A3178" w14:textId="77777777" w:rsidR="004C6746" w:rsidRDefault="004C6746" w:rsidP="004348D2">
      <w:r>
        <w:separator/>
      </w:r>
    </w:p>
  </w:endnote>
  <w:endnote w:type="continuationSeparator" w:id="0">
    <w:p w14:paraId="6444DD34" w14:textId="77777777" w:rsidR="004C6746" w:rsidRDefault="004C6746" w:rsidP="004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C8D1" w14:textId="77777777" w:rsidR="004C6746" w:rsidRDefault="004C6746" w:rsidP="004348D2">
      <w:r>
        <w:separator/>
      </w:r>
    </w:p>
  </w:footnote>
  <w:footnote w:type="continuationSeparator" w:id="0">
    <w:p w14:paraId="536EF5EF" w14:textId="77777777" w:rsidR="004C6746" w:rsidRDefault="004C6746" w:rsidP="004348D2">
      <w:r>
        <w:continuationSeparator/>
      </w:r>
    </w:p>
  </w:footnote>
  <w:footnote w:id="1">
    <w:p w14:paraId="5851DAF7" w14:textId="3A2BA50F" w:rsidR="004D47B3" w:rsidRPr="004D47B3" w:rsidRDefault="004D47B3">
      <w:pPr>
        <w:pStyle w:val="FootnoteText"/>
        <w:rPr>
          <w:lang w:val="en-ZA"/>
        </w:rPr>
      </w:pPr>
      <w:r>
        <w:rPr>
          <w:rStyle w:val="FootnoteReference"/>
        </w:rPr>
        <w:footnoteRef/>
      </w:r>
      <w:r>
        <w:t xml:space="preserve"> </w:t>
      </w:r>
      <w:r w:rsidR="009D4019">
        <w:t xml:space="preserve">The </w:t>
      </w:r>
      <w:r w:rsidR="007E6030">
        <w:t>pending trial was transferred to this c</w:t>
      </w:r>
      <w:r w:rsidR="009D4019">
        <w:t>ourt</w:t>
      </w:r>
      <w:r>
        <w:rPr>
          <w:lang w:val="en-ZA"/>
        </w:rPr>
        <w:t xml:space="preserve">. </w:t>
      </w:r>
    </w:p>
  </w:footnote>
  <w:footnote w:id="2">
    <w:p w14:paraId="52C5A73D" w14:textId="39815317" w:rsidR="009D4019" w:rsidRPr="00C81E46" w:rsidRDefault="009D4019" w:rsidP="009D4019">
      <w:pPr>
        <w:pStyle w:val="FootnoteText"/>
        <w:ind w:left="360" w:hanging="360"/>
        <w:jc w:val="both"/>
        <w:rPr>
          <w:lang w:val="en-ZA"/>
        </w:rPr>
      </w:pPr>
      <w:r>
        <w:rPr>
          <w:rStyle w:val="FootnoteReference"/>
        </w:rPr>
        <w:footnoteRef/>
      </w:r>
      <w:r>
        <w:t xml:space="preserve"> </w:t>
      </w:r>
      <w:r>
        <w:tab/>
      </w:r>
      <w:r w:rsidRPr="00C81E46">
        <w:rPr>
          <w:sz w:val="16"/>
          <w:szCs w:val="16"/>
        </w:rPr>
        <w:t>See S v Vermaas 1996 (1) SACR 528 (T) at 531e-g; S v Mpofana 1998</w:t>
      </w:r>
      <w:r w:rsidR="007E6030">
        <w:rPr>
          <w:sz w:val="16"/>
          <w:szCs w:val="16"/>
        </w:rPr>
        <w:t xml:space="preserve"> </w:t>
      </w:r>
      <w:r w:rsidRPr="00C81E46">
        <w:rPr>
          <w:sz w:val="16"/>
          <w:szCs w:val="16"/>
        </w:rPr>
        <w:t>(1) SACR 40 (Tk) at 44g-45a; S v Mohammed 1999 (2) SACR 507 (C) [1999] 4 All SA 533) at 511a-d.</w:t>
      </w:r>
    </w:p>
  </w:footnote>
  <w:footnote w:id="3">
    <w:p w14:paraId="506D1470" w14:textId="2E68E519" w:rsidR="009724EC" w:rsidRPr="007E6030" w:rsidRDefault="009724EC">
      <w:pPr>
        <w:pStyle w:val="FootnoteText"/>
        <w:rPr>
          <w:lang w:val="en-ZA"/>
        </w:rPr>
      </w:pPr>
      <w:r>
        <w:rPr>
          <w:rStyle w:val="FootnoteReference"/>
        </w:rPr>
        <w:footnoteRef/>
      </w:r>
      <w:r>
        <w:t xml:space="preserve">     </w:t>
      </w:r>
      <w:r w:rsidRPr="007E6030">
        <w:t xml:space="preserve">See S v De Villiers </w:t>
      </w:r>
      <w:r w:rsidR="008E6016" w:rsidRPr="007E6030">
        <w:t>1996 (2) SACR 122 (T) at 124i – 125c</w:t>
      </w:r>
    </w:p>
  </w:footnote>
  <w:footnote w:id="4">
    <w:p w14:paraId="5C732BF1" w14:textId="18A8063D" w:rsidR="006B7085" w:rsidRPr="006B7085" w:rsidRDefault="006B7085" w:rsidP="00C02CD8">
      <w:pPr>
        <w:pStyle w:val="FootnoteText"/>
        <w:ind w:left="360" w:hanging="360"/>
        <w:rPr>
          <w:lang w:val="en-ZA"/>
        </w:rPr>
      </w:pPr>
      <w:r>
        <w:rPr>
          <w:rStyle w:val="FootnoteReference"/>
        </w:rPr>
        <w:footnoteRef/>
      </w:r>
      <w:r>
        <w:t xml:space="preserve"> </w:t>
      </w:r>
      <w:r w:rsidR="00C02CD8">
        <w:tab/>
      </w:r>
      <w:r w:rsidR="00583A01">
        <w:t xml:space="preserve">See </w:t>
      </w:r>
      <w:r>
        <w:rPr>
          <w:lang w:val="en-ZA"/>
        </w:rPr>
        <w:t xml:space="preserve">Criminal </w:t>
      </w:r>
      <w:r w:rsidR="00583A01">
        <w:rPr>
          <w:lang w:val="en-ZA"/>
        </w:rPr>
        <w:t xml:space="preserve">Justice </w:t>
      </w:r>
      <w:r>
        <w:rPr>
          <w:lang w:val="en-ZA"/>
        </w:rPr>
        <w:t>Review</w:t>
      </w:r>
      <w:r w:rsidR="00583A01">
        <w:rPr>
          <w:lang w:val="en-ZA"/>
        </w:rPr>
        <w:t>, No 2 of 2017, “New facts” for purposes of a renewed bail application: Principles, issues and procedures by Steph van der Meer.</w:t>
      </w:r>
    </w:p>
  </w:footnote>
  <w:footnote w:id="5">
    <w:p w14:paraId="03E4BF4C" w14:textId="65545B79" w:rsidR="007935CF" w:rsidRPr="007935CF" w:rsidRDefault="007935CF" w:rsidP="00C02CD8">
      <w:pPr>
        <w:pStyle w:val="FootnoteText"/>
        <w:ind w:left="360" w:hanging="360"/>
        <w:jc w:val="both"/>
        <w:rPr>
          <w:lang w:val="en-ZA"/>
        </w:rPr>
      </w:pPr>
      <w:r>
        <w:rPr>
          <w:rStyle w:val="FootnoteReference"/>
        </w:rPr>
        <w:footnoteRef/>
      </w:r>
      <w:r>
        <w:t xml:space="preserve"> </w:t>
      </w:r>
      <w:r w:rsidR="00C02CD8">
        <w:tab/>
      </w:r>
      <w:r>
        <w:rPr>
          <w:lang w:val="en-ZA"/>
        </w:rPr>
        <w:t xml:space="preserve">In S v Mousse 2015 (3) NR 800 (HC) at para 7 the court held that the passage of </w:t>
      </w:r>
      <w:r w:rsidR="007E6030">
        <w:rPr>
          <w:lang w:val="en-ZA"/>
        </w:rPr>
        <w:t>considerable</w:t>
      </w:r>
      <w:r>
        <w:rPr>
          <w:lang w:val="en-ZA"/>
        </w:rPr>
        <w:t xml:space="preserve"> time coupled with the state’s failure to make progress with the investigation of the case can be qualified as a new fact. Also see in this regard S v Hitschmann 2007 (2) SACR 110(ZH) at 113b</w:t>
      </w:r>
    </w:p>
  </w:footnote>
  <w:footnote w:id="6">
    <w:p w14:paraId="2E56EB5C" w14:textId="01041706" w:rsidR="007935CF" w:rsidRPr="007935CF" w:rsidRDefault="007935CF" w:rsidP="00C02CD8">
      <w:pPr>
        <w:pStyle w:val="FootnoteText"/>
        <w:ind w:left="360" w:hanging="360"/>
        <w:jc w:val="both"/>
        <w:rPr>
          <w:lang w:val="en-ZA"/>
        </w:rPr>
      </w:pPr>
      <w:r>
        <w:rPr>
          <w:rStyle w:val="FootnoteReference"/>
        </w:rPr>
        <w:footnoteRef/>
      </w:r>
      <w:r>
        <w:t xml:space="preserve"> </w:t>
      </w:r>
      <w:r w:rsidR="00C02CD8">
        <w:tab/>
      </w:r>
      <w:r w:rsidR="0031113F">
        <w:t xml:space="preserve">See </w:t>
      </w:r>
      <w:r w:rsidRPr="007E6030">
        <w:rPr>
          <w:iCs/>
        </w:rPr>
        <w:t xml:space="preserve">S v Mohamed </w:t>
      </w:r>
      <w:r>
        <w:t>1999 (2) SACR 507 (C) at 512 and S v Petersen 2008 (2) SACR 355 (C) at [57]</w:t>
      </w:r>
    </w:p>
  </w:footnote>
  <w:footnote w:id="7">
    <w:p w14:paraId="6899C5F3" w14:textId="2AF37750" w:rsidR="009D2345" w:rsidRPr="009D2345" w:rsidRDefault="009D2345" w:rsidP="007E6030">
      <w:pPr>
        <w:pStyle w:val="FootnoteText"/>
        <w:jc w:val="both"/>
        <w:rPr>
          <w:lang w:val="en-ZA"/>
        </w:rPr>
      </w:pPr>
      <w:r>
        <w:rPr>
          <w:rStyle w:val="FootnoteReference"/>
        </w:rPr>
        <w:footnoteRef/>
      </w:r>
      <w:r w:rsidRPr="00773D91">
        <w:t xml:space="preserve"> </w:t>
      </w:r>
      <w:r w:rsidR="0031113F">
        <w:t xml:space="preserve">    See </w:t>
      </w:r>
      <w:r w:rsidRPr="007E6030">
        <w:rPr>
          <w:iCs/>
        </w:rPr>
        <w:t xml:space="preserve">S v Vermaas </w:t>
      </w:r>
      <w:r w:rsidR="0031113F" w:rsidRPr="007E6030">
        <w:rPr>
          <w:iCs/>
        </w:rPr>
        <w:t>1</w:t>
      </w:r>
      <w:r w:rsidR="0031113F">
        <w:t xml:space="preserve">996 (1) SACR 528(T) at </w:t>
      </w:r>
      <w:r w:rsidRPr="00773D91">
        <w:t>531</w:t>
      </w:r>
      <w:r w:rsidRPr="00773D91">
        <w:rPr>
          <w:i/>
        </w:rPr>
        <w:t>e-g</w:t>
      </w:r>
      <w:r w:rsidR="008E6016">
        <w:rPr>
          <w:i/>
        </w:rPr>
        <w:t xml:space="preserve"> </w:t>
      </w:r>
      <w:r w:rsidR="008E6016">
        <w:rPr>
          <w:iCs/>
        </w:rPr>
        <w:t>where Van Dijkhorst J reiterated the principles set out in S v Acheson 1991 (2) SA 805 (NmHC) 821 F-H, as “Obviously an accused cannot be</w:t>
      </w:r>
      <w:r w:rsidR="007E6030">
        <w:rPr>
          <w:iCs/>
        </w:rPr>
        <w:t xml:space="preserve"> allowed</w:t>
      </w:r>
      <w:r w:rsidR="008E6016">
        <w:rPr>
          <w:iCs/>
        </w:rPr>
        <w:t xml:space="preserve"> to repeat the same application for bail based on the same facts week after week. It would be an abuse of the proceedings. Should there be nothing new to be said the application should not be repeated and the court will not entertain it. But it is </w:t>
      </w:r>
      <w:r w:rsidR="008E6016" w:rsidRPr="007E6030">
        <w:rPr>
          <w:i/>
        </w:rPr>
        <w:t>non sequitur</w:t>
      </w:r>
      <w:r w:rsidR="008E6016">
        <w:rPr>
          <w:iCs/>
        </w:rPr>
        <w:t xml:space="preserve"> to argue on that basis that where there is some new matter the whole application is not open for reconsideration but only the new facts. I frankly cannot see how this can be done. Once the application is entertained the court should consider all facts before it, ne w and old, and on the totality come to a conclusion”</w:t>
      </w:r>
      <w:r w:rsidRPr="00773D91">
        <w:t>.</w:t>
      </w:r>
    </w:p>
  </w:footnote>
  <w:footnote w:id="8">
    <w:p w14:paraId="68059551" w14:textId="330B4C8D" w:rsidR="00583A01" w:rsidRPr="00583A01" w:rsidRDefault="00583A01" w:rsidP="007E6030">
      <w:pPr>
        <w:pStyle w:val="FootnoteText"/>
        <w:jc w:val="both"/>
        <w:rPr>
          <w:lang w:val="en-ZA"/>
        </w:rPr>
      </w:pPr>
      <w:r>
        <w:rPr>
          <w:rStyle w:val="FootnoteReference"/>
        </w:rPr>
        <w:footnoteRef/>
      </w:r>
      <w:r>
        <w:t xml:space="preserve"> </w:t>
      </w:r>
      <w:r>
        <w:rPr>
          <w:lang w:val="en-ZA"/>
        </w:rPr>
        <w:t>Criminal Justice Review (</w:t>
      </w:r>
      <w:r w:rsidRPr="007E6030">
        <w:rPr>
          <w:i/>
          <w:iCs/>
          <w:lang w:val="en-ZA"/>
        </w:rPr>
        <w:t>supra</w:t>
      </w:r>
      <w:r>
        <w:rPr>
          <w:lang w:val="en-ZA"/>
        </w:rPr>
        <w:t>)</w:t>
      </w:r>
    </w:p>
  </w:footnote>
  <w:footnote w:id="9">
    <w:p w14:paraId="0B162D5C" w14:textId="0DF4D8F8" w:rsidR="00583A01" w:rsidRPr="00583A01" w:rsidRDefault="00583A01" w:rsidP="007E6030">
      <w:pPr>
        <w:pStyle w:val="FootnoteText"/>
        <w:jc w:val="both"/>
        <w:rPr>
          <w:lang w:val="en-ZA"/>
        </w:rPr>
      </w:pPr>
      <w:r>
        <w:rPr>
          <w:rStyle w:val="FootnoteReference"/>
        </w:rPr>
        <w:footnoteRef/>
      </w:r>
      <w:r>
        <w:t xml:space="preserve"> </w:t>
      </w:r>
      <w:r>
        <w:rPr>
          <w:lang w:val="en-ZA"/>
        </w:rPr>
        <w:t>See S v Nwabunwanne 2017(2) SACR 124(NCK) where it was held at para 27, that a court “should not lightly” deny a bail applicant the opportunity to present new facts.</w:t>
      </w:r>
    </w:p>
  </w:footnote>
  <w:footnote w:id="10">
    <w:p w14:paraId="31E9EB4E" w14:textId="378894CD" w:rsidR="00106080" w:rsidRPr="002A09C6" w:rsidRDefault="00106080" w:rsidP="00106080">
      <w:pPr>
        <w:pStyle w:val="FootnoteText"/>
        <w:ind w:left="360" w:hanging="360"/>
        <w:rPr>
          <w:lang w:val="en-ZA"/>
        </w:rPr>
      </w:pPr>
      <w:r>
        <w:rPr>
          <w:rStyle w:val="FootnoteReference"/>
        </w:rPr>
        <w:footnoteRef/>
      </w:r>
      <w:r>
        <w:t xml:space="preserve"> </w:t>
      </w:r>
      <w:r w:rsidR="00DA59A6">
        <w:tab/>
      </w:r>
      <w:r>
        <w:rPr>
          <w:lang w:val="en-ZA"/>
        </w:rPr>
        <w:t>Judgment, paragraphs 7.5 and 18, Case number A 71/21.</w:t>
      </w:r>
    </w:p>
  </w:footnote>
  <w:footnote w:id="11">
    <w:p w14:paraId="1F3FB207" w14:textId="77777777" w:rsidR="00B43C7C" w:rsidRPr="000E35E3" w:rsidRDefault="00B43C7C" w:rsidP="00B43C7C">
      <w:pPr>
        <w:pStyle w:val="FootnoteText"/>
      </w:pPr>
      <w:r w:rsidRPr="000E35E3">
        <w:rPr>
          <w:rStyle w:val="FootnoteReference"/>
        </w:rPr>
        <w:footnoteRef/>
      </w:r>
      <w:r w:rsidRPr="000E35E3">
        <w:t xml:space="preserve"> Case A 87/2021</w:t>
      </w:r>
    </w:p>
  </w:footnote>
  <w:footnote w:id="12">
    <w:p w14:paraId="44638ACD" w14:textId="458B1CE0" w:rsidR="00B43C7C" w:rsidRPr="00FD5283" w:rsidRDefault="00B43C7C" w:rsidP="00FD5283">
      <w:pPr>
        <w:spacing w:line="276" w:lineRule="auto"/>
        <w:contextualSpacing/>
        <w:jc w:val="both"/>
        <w:rPr>
          <w:sz w:val="16"/>
          <w:szCs w:val="16"/>
        </w:rPr>
      </w:pPr>
      <w:r w:rsidRPr="000E35E3">
        <w:rPr>
          <w:rStyle w:val="FootnoteReference"/>
          <w:sz w:val="20"/>
          <w:szCs w:val="20"/>
        </w:rPr>
        <w:footnoteRef/>
      </w:r>
      <w:r w:rsidRPr="000E35E3">
        <w:rPr>
          <w:sz w:val="20"/>
          <w:szCs w:val="20"/>
        </w:rPr>
        <w:t xml:space="preserve"> </w:t>
      </w:r>
      <w:r w:rsidRPr="000E35E3">
        <w:rPr>
          <w:rStyle w:val="Heading3Char"/>
          <w:sz w:val="20"/>
          <w:szCs w:val="20"/>
        </w:rPr>
        <w:t xml:space="preserve">In </w:t>
      </w:r>
      <w:r w:rsidR="000C3E68" w:rsidRPr="000E35E3">
        <w:rPr>
          <w:rStyle w:val="Heading3Char"/>
          <w:sz w:val="20"/>
          <w:szCs w:val="20"/>
        </w:rPr>
        <w:t>i</w:t>
      </w:r>
      <w:r w:rsidRPr="000E35E3">
        <w:rPr>
          <w:rStyle w:val="Heading3Char"/>
          <w:sz w:val="20"/>
          <w:szCs w:val="20"/>
        </w:rPr>
        <w:t>n S v Bruint</w:t>
      </w:r>
      <w:r w:rsidR="00FD5283" w:rsidRPr="000E35E3">
        <w:rPr>
          <w:rStyle w:val="Heading3Char"/>
          <w:sz w:val="20"/>
          <w:szCs w:val="20"/>
        </w:rPr>
        <w:t xml:space="preserve">jies </w:t>
      </w:r>
      <w:r w:rsidRPr="000E35E3">
        <w:rPr>
          <w:rStyle w:val="Heading3Char"/>
          <w:sz w:val="20"/>
          <w:szCs w:val="20"/>
        </w:rPr>
        <w:t xml:space="preserve">2003 (2) SACR (SCA) at paragraph 6 </w:t>
      </w:r>
      <w:r w:rsidR="000C3E68" w:rsidRPr="000E35E3">
        <w:rPr>
          <w:rStyle w:val="Heading3Char"/>
          <w:sz w:val="20"/>
          <w:szCs w:val="20"/>
        </w:rPr>
        <w:t>exceptional circumstances was defined as</w:t>
      </w:r>
      <w:r w:rsidRPr="000E35E3">
        <w:rPr>
          <w:rStyle w:val="Heading3Char"/>
          <w:sz w:val="20"/>
          <w:szCs w:val="20"/>
        </w:rPr>
        <w:t xml:space="preserve"> follows: “What is required</w:t>
      </w:r>
      <w:r w:rsidR="000E35E3">
        <w:rPr>
          <w:rStyle w:val="Heading3Char"/>
          <w:sz w:val="20"/>
          <w:szCs w:val="20"/>
        </w:rPr>
        <w:t xml:space="preserve"> </w:t>
      </w:r>
      <w:r w:rsidRPr="000E35E3">
        <w:rPr>
          <w:rStyle w:val="Heading3Char"/>
          <w:sz w:val="20"/>
          <w:szCs w:val="20"/>
        </w:rPr>
        <w:t>is that the court consider all relevant factors and determine whether individually or cumulatively they warrant a finding that circumstances of an exceptional nature exist which justify his or her release … If, upon an overall assessment, the court is satisfied that circumstances sufficiently out of the ordinary to be deemed exceptional have been established by the appellant, consistent with the interests of justice, warrant his release, the appellant must be granted bail.”</w:t>
      </w:r>
      <w:r>
        <w:rPr>
          <w:lang w:val="en-ZA"/>
        </w:rPr>
        <w:t xml:space="preserve"> </w:t>
      </w:r>
    </w:p>
  </w:footnote>
  <w:footnote w:id="13">
    <w:p w14:paraId="64A42FBE" w14:textId="236B49D3" w:rsidR="00443AB5" w:rsidRPr="00443AB5" w:rsidRDefault="00443AB5">
      <w:pPr>
        <w:pStyle w:val="FootnoteText"/>
        <w:rPr>
          <w:lang w:val="en-ZA"/>
        </w:rPr>
      </w:pPr>
      <w:r>
        <w:rPr>
          <w:rStyle w:val="FootnoteReference"/>
        </w:rPr>
        <w:footnoteRef/>
      </w:r>
      <w:r>
        <w:t xml:space="preserve"> </w:t>
      </w:r>
      <w:r w:rsidR="000E35E3">
        <w:t>See for example S v Acheson (</w:t>
      </w:r>
      <w:r w:rsidR="000E35E3" w:rsidRPr="000E35E3">
        <w:rPr>
          <w:i/>
          <w:iCs/>
        </w:rPr>
        <w:t>supra</w:t>
      </w:r>
      <w:r w:rsidR="000E35E3">
        <w:t xml:space="preserve">) and S v Ali 2011 (1) SACR 34 (ECP)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44049"/>
      <w:docPartObj>
        <w:docPartGallery w:val="Page Numbers (Top of Page)"/>
        <w:docPartUnique/>
      </w:docPartObj>
    </w:sdtPr>
    <w:sdtEndPr>
      <w:rPr>
        <w:noProof/>
      </w:rPr>
    </w:sdtEndPr>
    <w:sdtContent>
      <w:p w14:paraId="55E61D97" w14:textId="77777777" w:rsidR="00751EA7" w:rsidRDefault="00751EA7">
        <w:pPr>
          <w:pStyle w:val="Header"/>
          <w:jc w:val="right"/>
        </w:pPr>
        <w:r>
          <w:fldChar w:fldCharType="begin"/>
        </w:r>
        <w:r>
          <w:instrText xml:space="preserve"> PAGE   \* MERGEFORMAT </w:instrText>
        </w:r>
        <w:r>
          <w:fldChar w:fldCharType="separate"/>
        </w:r>
        <w:r w:rsidR="00397A49">
          <w:rPr>
            <w:noProof/>
          </w:rPr>
          <w:t>2</w:t>
        </w:r>
        <w:r>
          <w:rPr>
            <w:noProof/>
          </w:rPr>
          <w:fldChar w:fldCharType="end"/>
        </w:r>
      </w:p>
    </w:sdtContent>
  </w:sdt>
  <w:p w14:paraId="780A16CC" w14:textId="77777777" w:rsidR="00751EA7" w:rsidRDefault="0075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7E3"/>
    <w:multiLevelType w:val="multilevel"/>
    <w:tmpl w:val="2AD0D104"/>
    <w:lvl w:ilvl="0">
      <w:start w:val="18"/>
      <w:numFmt w:val="decimal"/>
      <w:lvlText w:val="%1."/>
      <w:lvlJc w:val="left"/>
      <w:pPr>
        <w:ind w:left="540" w:hanging="540"/>
      </w:pPr>
      <w:rPr>
        <w:rFonts w:ascii="Arial" w:hAnsi="Arial" w:cs="Arial" w:hint="default"/>
      </w:rPr>
    </w:lvl>
    <w:lvl w:ilvl="1">
      <w:start w:val="3"/>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
    <w:nsid w:val="100367A8"/>
    <w:multiLevelType w:val="multilevel"/>
    <w:tmpl w:val="CB482D9E"/>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7066A38"/>
    <w:multiLevelType w:val="multilevel"/>
    <w:tmpl w:val="5A18A5FE"/>
    <w:lvl w:ilvl="0">
      <w:start w:val="1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7930EF0"/>
    <w:multiLevelType w:val="multilevel"/>
    <w:tmpl w:val="8C425CB8"/>
    <w:lvl w:ilvl="0">
      <w:start w:val="19"/>
      <w:numFmt w:val="decimal"/>
      <w:lvlText w:val="%1"/>
      <w:lvlJc w:val="left"/>
      <w:pPr>
        <w:ind w:left="672" w:hanging="672"/>
      </w:pPr>
      <w:rPr>
        <w:rFonts w:ascii="Arial" w:hAnsi="Arial" w:cs="Arial" w:hint="default"/>
      </w:rPr>
    </w:lvl>
    <w:lvl w:ilvl="1">
      <w:start w:val="4"/>
      <w:numFmt w:val="decimal"/>
      <w:lvlText w:val="%1.%2"/>
      <w:lvlJc w:val="left"/>
      <w:pPr>
        <w:ind w:left="1392" w:hanging="672"/>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4">
    <w:nsid w:val="1BB767BC"/>
    <w:multiLevelType w:val="multilevel"/>
    <w:tmpl w:val="D1E490E6"/>
    <w:lvl w:ilvl="0">
      <w:start w:val="16"/>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5">
    <w:nsid w:val="1E136BB3"/>
    <w:multiLevelType w:val="multilevel"/>
    <w:tmpl w:val="F6DAC228"/>
    <w:lvl w:ilvl="0">
      <w:start w:val="18"/>
      <w:numFmt w:val="decimal"/>
      <w:lvlText w:val="%1"/>
      <w:lvlJc w:val="left"/>
      <w:pPr>
        <w:ind w:left="468" w:hanging="468"/>
      </w:pPr>
      <w:rPr>
        <w:rFonts w:ascii="Arial" w:hAnsi="Arial" w:cs="Arial" w:hint="default"/>
      </w:rPr>
    </w:lvl>
    <w:lvl w:ilvl="1">
      <w:start w:val="2"/>
      <w:numFmt w:val="decimal"/>
      <w:lvlText w:val="%1.%2"/>
      <w:lvlJc w:val="left"/>
      <w:pPr>
        <w:ind w:left="468" w:hanging="468"/>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nsid w:val="231630F9"/>
    <w:multiLevelType w:val="hybridMultilevel"/>
    <w:tmpl w:val="53402AA0"/>
    <w:lvl w:ilvl="0" w:tplc="6602F11C">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E361A43"/>
    <w:multiLevelType w:val="multilevel"/>
    <w:tmpl w:val="63566BF0"/>
    <w:lvl w:ilvl="0">
      <w:start w:val="18"/>
      <w:numFmt w:val="decimal"/>
      <w:lvlText w:val="%1."/>
      <w:lvlJc w:val="left"/>
      <w:pPr>
        <w:ind w:left="540" w:hanging="540"/>
      </w:pPr>
      <w:rPr>
        <w:rFonts w:ascii="Arial" w:hAnsi="Arial" w:cs="Arial" w:hint="default"/>
      </w:rPr>
    </w:lvl>
    <w:lvl w:ilvl="1">
      <w:start w:val="2"/>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nsid w:val="32214F65"/>
    <w:multiLevelType w:val="multilevel"/>
    <w:tmpl w:val="37D6833E"/>
    <w:lvl w:ilvl="0">
      <w:start w:val="18"/>
      <w:numFmt w:val="decimal"/>
      <w:lvlText w:val="%1."/>
      <w:lvlJc w:val="left"/>
      <w:pPr>
        <w:ind w:left="540" w:hanging="540"/>
      </w:pPr>
      <w:rPr>
        <w:rFonts w:ascii="Arial" w:hAnsi="Arial" w:cs="Arial" w:hint="default"/>
      </w:rPr>
    </w:lvl>
    <w:lvl w:ilvl="1">
      <w:start w:val="3"/>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9">
    <w:nsid w:val="3B100F00"/>
    <w:multiLevelType w:val="multilevel"/>
    <w:tmpl w:val="36665F54"/>
    <w:lvl w:ilvl="0">
      <w:start w:val="18"/>
      <w:numFmt w:val="decimal"/>
      <w:lvlText w:val="%1"/>
      <w:lvlJc w:val="left"/>
      <w:pPr>
        <w:ind w:left="468" w:hanging="468"/>
      </w:pPr>
      <w:rPr>
        <w:rFonts w:ascii="Arial" w:hAnsi="Arial" w:cs="Arial" w:hint="default"/>
      </w:rPr>
    </w:lvl>
    <w:lvl w:ilvl="1">
      <w:start w:val="2"/>
      <w:numFmt w:val="decimal"/>
      <w:lvlText w:val="%1.%2"/>
      <w:lvlJc w:val="left"/>
      <w:pPr>
        <w:ind w:left="468" w:hanging="468"/>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
    <w:nsid w:val="405D7FDC"/>
    <w:multiLevelType w:val="multilevel"/>
    <w:tmpl w:val="033A0B8A"/>
    <w:lvl w:ilvl="0">
      <w:start w:val="22"/>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1">
    <w:nsid w:val="411A53F6"/>
    <w:multiLevelType w:val="multilevel"/>
    <w:tmpl w:val="9F5AA6D0"/>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A63768D"/>
    <w:multiLevelType w:val="multilevel"/>
    <w:tmpl w:val="B1127D28"/>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3F228A0"/>
    <w:multiLevelType w:val="multilevel"/>
    <w:tmpl w:val="59D84B38"/>
    <w:lvl w:ilvl="0">
      <w:start w:val="14"/>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4">
    <w:nsid w:val="55597CB1"/>
    <w:multiLevelType w:val="multilevel"/>
    <w:tmpl w:val="E92AA526"/>
    <w:lvl w:ilvl="0">
      <w:start w:val="15"/>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5">
    <w:nsid w:val="56D50113"/>
    <w:multiLevelType w:val="multilevel"/>
    <w:tmpl w:val="CD34B83E"/>
    <w:lvl w:ilvl="0">
      <w:start w:val="33"/>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6">
    <w:nsid w:val="57397E8B"/>
    <w:multiLevelType w:val="multilevel"/>
    <w:tmpl w:val="034833C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9973555"/>
    <w:multiLevelType w:val="multilevel"/>
    <w:tmpl w:val="710EAB92"/>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BE339C9"/>
    <w:multiLevelType w:val="multilevel"/>
    <w:tmpl w:val="1D64D192"/>
    <w:lvl w:ilvl="0">
      <w:start w:val="16"/>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AFF5BBC"/>
    <w:multiLevelType w:val="hybridMultilevel"/>
    <w:tmpl w:val="DF0C53FA"/>
    <w:lvl w:ilvl="0" w:tplc="EECC9E88">
      <w:start w:val="1"/>
      <w:numFmt w:val="decimal"/>
      <w:lvlText w:val="[%1]"/>
      <w:lvlJc w:val="left"/>
      <w:pPr>
        <w:ind w:left="360" w:hanging="360"/>
      </w:pPr>
      <w:rPr>
        <w:rFonts w:hint="default"/>
        <w:b w:val="0"/>
        <w:bCs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B8C0FE6"/>
    <w:multiLevelType w:val="multilevel"/>
    <w:tmpl w:val="2F2E4A58"/>
    <w:lvl w:ilvl="0">
      <w:start w:val="21"/>
      <w:numFmt w:val="decimal"/>
      <w:lvlText w:val="%1."/>
      <w:lvlJc w:val="left"/>
      <w:pPr>
        <w:ind w:left="525" w:hanging="525"/>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1">
    <w:nsid w:val="7CC848CF"/>
    <w:multiLevelType w:val="multilevel"/>
    <w:tmpl w:val="A9B072B8"/>
    <w:lvl w:ilvl="0">
      <w:start w:val="1"/>
      <w:numFmt w:val="decimal"/>
      <w:lvlText w:val="%1."/>
      <w:lvlJc w:val="left"/>
      <w:pPr>
        <w:ind w:left="360" w:hanging="360"/>
      </w:pPr>
      <w:rPr>
        <w:rFonts w:ascii="Arial" w:hAnsi="Arial" w:cs="Arial" w:hint="default"/>
        <w:b w:val="0"/>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0"/>
  </w:num>
  <w:num w:numId="6">
    <w:abstractNumId w:val="8"/>
  </w:num>
  <w:num w:numId="7">
    <w:abstractNumId w:val="3"/>
  </w:num>
  <w:num w:numId="8">
    <w:abstractNumId w:val="19"/>
  </w:num>
  <w:num w:numId="9">
    <w:abstractNumId w:val="13"/>
  </w:num>
  <w:num w:numId="10">
    <w:abstractNumId w:val="17"/>
  </w:num>
  <w:num w:numId="11">
    <w:abstractNumId w:val="20"/>
  </w:num>
  <w:num w:numId="12">
    <w:abstractNumId w:val="6"/>
  </w:num>
  <w:num w:numId="13">
    <w:abstractNumId w:val="16"/>
  </w:num>
  <w:num w:numId="14">
    <w:abstractNumId w:val="14"/>
  </w:num>
  <w:num w:numId="15">
    <w:abstractNumId w:val="2"/>
  </w:num>
  <w:num w:numId="16">
    <w:abstractNumId w:val="10"/>
  </w:num>
  <w:num w:numId="17">
    <w:abstractNumId w:val="18"/>
  </w:num>
  <w:num w:numId="18">
    <w:abstractNumId w:val="4"/>
  </w:num>
  <w:num w:numId="19">
    <w:abstractNumId w:val="12"/>
  </w:num>
  <w:num w:numId="20">
    <w:abstractNumId w:val="15"/>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85"/>
    <w:rsid w:val="00081C33"/>
    <w:rsid w:val="00086C63"/>
    <w:rsid w:val="00090D4E"/>
    <w:rsid w:val="00092C4D"/>
    <w:rsid w:val="000C3E68"/>
    <w:rsid w:val="000E35E3"/>
    <w:rsid w:val="000F78C8"/>
    <w:rsid w:val="00106080"/>
    <w:rsid w:val="00131CA1"/>
    <w:rsid w:val="001577AD"/>
    <w:rsid w:val="001B0349"/>
    <w:rsid w:val="001B1B1C"/>
    <w:rsid w:val="001B781E"/>
    <w:rsid w:val="001D0432"/>
    <w:rsid w:val="001E5F0B"/>
    <w:rsid w:val="0026296A"/>
    <w:rsid w:val="002632CF"/>
    <w:rsid w:val="0028222A"/>
    <w:rsid w:val="002A09C6"/>
    <w:rsid w:val="002A2C0C"/>
    <w:rsid w:val="002A5BA1"/>
    <w:rsid w:val="002B6C2D"/>
    <w:rsid w:val="002D5206"/>
    <w:rsid w:val="002F7E03"/>
    <w:rsid w:val="0031113F"/>
    <w:rsid w:val="00311F79"/>
    <w:rsid w:val="00315085"/>
    <w:rsid w:val="00397A49"/>
    <w:rsid w:val="003A4B13"/>
    <w:rsid w:val="003C09F3"/>
    <w:rsid w:val="003C5807"/>
    <w:rsid w:val="003D63D1"/>
    <w:rsid w:val="003F67D7"/>
    <w:rsid w:val="00400377"/>
    <w:rsid w:val="004348D2"/>
    <w:rsid w:val="00443AB5"/>
    <w:rsid w:val="00463597"/>
    <w:rsid w:val="004817BA"/>
    <w:rsid w:val="004C6746"/>
    <w:rsid w:val="004D47B3"/>
    <w:rsid w:val="004E2EB7"/>
    <w:rsid w:val="0053217E"/>
    <w:rsid w:val="005477DA"/>
    <w:rsid w:val="00552AED"/>
    <w:rsid w:val="005654C3"/>
    <w:rsid w:val="005666AF"/>
    <w:rsid w:val="005709F9"/>
    <w:rsid w:val="005764CB"/>
    <w:rsid w:val="00583502"/>
    <w:rsid w:val="00583A01"/>
    <w:rsid w:val="005B51C4"/>
    <w:rsid w:val="005E3712"/>
    <w:rsid w:val="00657EF1"/>
    <w:rsid w:val="00662F4A"/>
    <w:rsid w:val="00665CA4"/>
    <w:rsid w:val="00671C6B"/>
    <w:rsid w:val="006B7085"/>
    <w:rsid w:val="006F1955"/>
    <w:rsid w:val="00704447"/>
    <w:rsid w:val="00711461"/>
    <w:rsid w:val="00751EA7"/>
    <w:rsid w:val="00771590"/>
    <w:rsid w:val="00773D91"/>
    <w:rsid w:val="00782038"/>
    <w:rsid w:val="007935CF"/>
    <w:rsid w:val="007C445B"/>
    <w:rsid w:val="007E6030"/>
    <w:rsid w:val="00831F68"/>
    <w:rsid w:val="008B016F"/>
    <w:rsid w:val="008D1E65"/>
    <w:rsid w:val="008E6016"/>
    <w:rsid w:val="008F100C"/>
    <w:rsid w:val="008F72EE"/>
    <w:rsid w:val="00907BDA"/>
    <w:rsid w:val="00936320"/>
    <w:rsid w:val="00936544"/>
    <w:rsid w:val="00951E91"/>
    <w:rsid w:val="009724EC"/>
    <w:rsid w:val="009D2345"/>
    <w:rsid w:val="009D4019"/>
    <w:rsid w:val="009F14FF"/>
    <w:rsid w:val="009F64F2"/>
    <w:rsid w:val="00A062C7"/>
    <w:rsid w:val="00A41328"/>
    <w:rsid w:val="00A57B28"/>
    <w:rsid w:val="00A6139A"/>
    <w:rsid w:val="00AD4DB8"/>
    <w:rsid w:val="00AE3871"/>
    <w:rsid w:val="00AE75CF"/>
    <w:rsid w:val="00AF6900"/>
    <w:rsid w:val="00B116A1"/>
    <w:rsid w:val="00B13D41"/>
    <w:rsid w:val="00B34A23"/>
    <w:rsid w:val="00B43C7C"/>
    <w:rsid w:val="00B54F94"/>
    <w:rsid w:val="00B745F0"/>
    <w:rsid w:val="00BB2F13"/>
    <w:rsid w:val="00BC639B"/>
    <w:rsid w:val="00BD4D9C"/>
    <w:rsid w:val="00BF18D0"/>
    <w:rsid w:val="00C02CD8"/>
    <w:rsid w:val="00C1114A"/>
    <w:rsid w:val="00C20B2B"/>
    <w:rsid w:val="00C21AA0"/>
    <w:rsid w:val="00C460F8"/>
    <w:rsid w:val="00C517AA"/>
    <w:rsid w:val="00C81E46"/>
    <w:rsid w:val="00C85D33"/>
    <w:rsid w:val="00CC1599"/>
    <w:rsid w:val="00CD32CF"/>
    <w:rsid w:val="00CE2A43"/>
    <w:rsid w:val="00D273E1"/>
    <w:rsid w:val="00D3180B"/>
    <w:rsid w:val="00D31DA4"/>
    <w:rsid w:val="00D649AC"/>
    <w:rsid w:val="00D82C50"/>
    <w:rsid w:val="00D92E48"/>
    <w:rsid w:val="00DA59A6"/>
    <w:rsid w:val="00DF1AD8"/>
    <w:rsid w:val="00E15581"/>
    <w:rsid w:val="00E91585"/>
    <w:rsid w:val="00E918F2"/>
    <w:rsid w:val="00EF4699"/>
    <w:rsid w:val="00EF7C5D"/>
    <w:rsid w:val="00F00C9A"/>
    <w:rsid w:val="00F3087A"/>
    <w:rsid w:val="00F44BFE"/>
    <w:rsid w:val="00F5514D"/>
    <w:rsid w:val="00F60DE5"/>
    <w:rsid w:val="00F82CBC"/>
    <w:rsid w:val="00F83215"/>
    <w:rsid w:val="00F86434"/>
    <w:rsid w:val="00F86D8E"/>
    <w:rsid w:val="00F95215"/>
    <w:rsid w:val="00FD5283"/>
    <w:rsid w:val="00FD7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72D5"/>
  <w15:docId w15:val="{EC83DE85-F38F-4A83-A9BF-147AF9F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85"/>
    <w:rPr>
      <w:rFonts w:ascii="Arial" w:eastAsiaTheme="minorHAnsi" w:hAnsi="Arial" w:cs="Arial"/>
      <w:sz w:val="24"/>
      <w:szCs w:val="24"/>
      <w:lang w:val="en-GB"/>
    </w:rPr>
  </w:style>
  <w:style w:type="paragraph" w:styleId="Heading1">
    <w:name w:val="heading 1"/>
    <w:basedOn w:val="Normal"/>
    <w:next w:val="Normal"/>
    <w:link w:val="Heading1Char"/>
    <w:qFormat/>
    <w:rsid w:val="00831F68"/>
    <w:pPr>
      <w:keepNext/>
      <w:spacing w:line="264" w:lineRule="auto"/>
      <w:jc w:val="both"/>
      <w:outlineLvl w:val="0"/>
    </w:pPr>
    <w:rPr>
      <w:b/>
      <w:bCs/>
    </w:rPr>
  </w:style>
  <w:style w:type="paragraph" w:styleId="Heading2">
    <w:name w:val="heading 2"/>
    <w:basedOn w:val="Normal"/>
    <w:next w:val="Normal"/>
    <w:link w:val="Heading2Char"/>
    <w:qFormat/>
    <w:rsid w:val="00831F68"/>
    <w:pPr>
      <w:keepNext/>
      <w:jc w:val="both"/>
      <w:outlineLvl w:val="1"/>
    </w:pPr>
    <w:rPr>
      <w:b/>
      <w:bCs/>
      <w:sz w:val="28"/>
      <w:szCs w:val="28"/>
    </w:rPr>
  </w:style>
  <w:style w:type="paragraph" w:styleId="Heading3">
    <w:name w:val="heading 3"/>
    <w:basedOn w:val="Normal"/>
    <w:next w:val="Normal"/>
    <w:link w:val="Heading3Char"/>
    <w:qFormat/>
    <w:rsid w:val="00831F68"/>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F68"/>
    <w:rPr>
      <w:rFonts w:ascii="Arial" w:hAnsi="Arial" w:cs="Arial"/>
      <w:b/>
      <w:bCs/>
      <w:sz w:val="24"/>
      <w:szCs w:val="24"/>
      <w:lang w:val="en-GB"/>
    </w:rPr>
  </w:style>
  <w:style w:type="character" w:customStyle="1" w:styleId="Heading2Char">
    <w:name w:val="Heading 2 Char"/>
    <w:basedOn w:val="DefaultParagraphFont"/>
    <w:link w:val="Heading2"/>
    <w:rsid w:val="00831F68"/>
    <w:rPr>
      <w:rFonts w:ascii="Arial" w:hAnsi="Arial" w:cs="Arial"/>
      <w:b/>
      <w:bCs/>
      <w:sz w:val="28"/>
      <w:szCs w:val="28"/>
      <w:lang w:val="en-GB"/>
    </w:rPr>
  </w:style>
  <w:style w:type="character" w:customStyle="1" w:styleId="Heading3Char">
    <w:name w:val="Heading 3 Char"/>
    <w:basedOn w:val="DefaultParagraphFont"/>
    <w:link w:val="Heading3"/>
    <w:rsid w:val="00831F68"/>
    <w:rPr>
      <w:rFonts w:ascii="Arial" w:hAnsi="Arial" w:cs="Arial"/>
      <w:sz w:val="24"/>
      <w:szCs w:val="24"/>
      <w:lang w:val="en-GB"/>
    </w:rPr>
  </w:style>
  <w:style w:type="paragraph" w:styleId="ListParagraph">
    <w:name w:val="List Paragraph"/>
    <w:basedOn w:val="Normal"/>
    <w:uiPriority w:val="72"/>
    <w:qFormat/>
    <w:rsid w:val="00E91585"/>
    <w:pPr>
      <w:ind w:left="720"/>
      <w:contextualSpacing/>
    </w:pPr>
  </w:style>
  <w:style w:type="paragraph" w:styleId="FootnoteText">
    <w:name w:val="footnote text"/>
    <w:basedOn w:val="Normal"/>
    <w:link w:val="FootnoteTextChar"/>
    <w:uiPriority w:val="99"/>
    <w:semiHidden/>
    <w:unhideWhenUsed/>
    <w:rsid w:val="004348D2"/>
    <w:rPr>
      <w:sz w:val="20"/>
      <w:szCs w:val="20"/>
    </w:rPr>
  </w:style>
  <w:style w:type="character" w:customStyle="1" w:styleId="FootnoteTextChar">
    <w:name w:val="Footnote Text Char"/>
    <w:basedOn w:val="DefaultParagraphFont"/>
    <w:link w:val="FootnoteText"/>
    <w:uiPriority w:val="99"/>
    <w:semiHidden/>
    <w:rsid w:val="004348D2"/>
    <w:rPr>
      <w:rFonts w:ascii="Arial" w:eastAsiaTheme="minorHAnsi" w:hAnsi="Arial" w:cs="Arial"/>
      <w:lang w:val="en-GB"/>
    </w:rPr>
  </w:style>
  <w:style w:type="character" w:styleId="FootnoteReference">
    <w:name w:val="footnote reference"/>
    <w:basedOn w:val="DefaultParagraphFont"/>
    <w:uiPriority w:val="99"/>
    <w:semiHidden/>
    <w:unhideWhenUsed/>
    <w:rsid w:val="004348D2"/>
    <w:rPr>
      <w:vertAlign w:val="superscript"/>
    </w:rPr>
  </w:style>
  <w:style w:type="character" w:styleId="Hyperlink">
    <w:name w:val="Hyperlink"/>
    <w:basedOn w:val="DefaultParagraphFont"/>
    <w:uiPriority w:val="99"/>
    <w:unhideWhenUsed/>
    <w:rsid w:val="006F1955"/>
    <w:rPr>
      <w:color w:val="0000FF" w:themeColor="hyperlink"/>
      <w:u w:val="single"/>
    </w:rPr>
  </w:style>
  <w:style w:type="paragraph" w:styleId="Header">
    <w:name w:val="header"/>
    <w:basedOn w:val="Normal"/>
    <w:link w:val="HeaderChar"/>
    <w:uiPriority w:val="99"/>
    <w:unhideWhenUsed/>
    <w:rsid w:val="00751EA7"/>
    <w:pPr>
      <w:tabs>
        <w:tab w:val="center" w:pos="4513"/>
        <w:tab w:val="right" w:pos="9026"/>
      </w:tabs>
    </w:pPr>
  </w:style>
  <w:style w:type="character" w:customStyle="1" w:styleId="HeaderChar">
    <w:name w:val="Header Char"/>
    <w:basedOn w:val="DefaultParagraphFont"/>
    <w:link w:val="Header"/>
    <w:uiPriority w:val="99"/>
    <w:rsid w:val="00751EA7"/>
    <w:rPr>
      <w:rFonts w:ascii="Arial" w:eastAsiaTheme="minorHAnsi" w:hAnsi="Arial" w:cs="Arial"/>
      <w:sz w:val="24"/>
      <w:szCs w:val="24"/>
      <w:lang w:val="en-GB"/>
    </w:rPr>
  </w:style>
  <w:style w:type="paragraph" w:styleId="Footer">
    <w:name w:val="footer"/>
    <w:basedOn w:val="Normal"/>
    <w:link w:val="FooterChar"/>
    <w:uiPriority w:val="99"/>
    <w:unhideWhenUsed/>
    <w:rsid w:val="00751EA7"/>
    <w:pPr>
      <w:tabs>
        <w:tab w:val="center" w:pos="4513"/>
        <w:tab w:val="right" w:pos="9026"/>
      </w:tabs>
    </w:pPr>
  </w:style>
  <w:style w:type="character" w:customStyle="1" w:styleId="FooterChar">
    <w:name w:val="Footer Char"/>
    <w:basedOn w:val="DefaultParagraphFont"/>
    <w:link w:val="Footer"/>
    <w:uiPriority w:val="99"/>
    <w:rsid w:val="00751EA7"/>
    <w:rPr>
      <w:rFonts w:ascii="Arial" w:eastAsiaTheme="minorHAnsi" w:hAnsi="Arial" w:cs="Arial"/>
      <w:sz w:val="24"/>
      <w:szCs w:val="24"/>
      <w:lang w:val="en-GB"/>
    </w:rPr>
  </w:style>
  <w:style w:type="paragraph" w:customStyle="1" w:styleId="LegalList1">
    <w:name w:val="Legal_List1"/>
    <w:basedOn w:val="Normal"/>
    <w:semiHidden/>
    <w:rsid w:val="006B7085"/>
    <w:pPr>
      <w:suppressAutoHyphens/>
      <w:spacing w:after="360" w:line="480" w:lineRule="auto"/>
      <w:jc w:val="both"/>
      <w:outlineLvl w:val="0"/>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42D3-2D4A-444C-AA3C-70FC67AE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Mokone</cp:lastModifiedBy>
  <cp:revision>3</cp:revision>
  <cp:lastPrinted>2023-03-02T13:42:00Z</cp:lastPrinted>
  <dcterms:created xsi:type="dcterms:W3CDTF">2023-03-03T11:33:00Z</dcterms:created>
  <dcterms:modified xsi:type="dcterms:W3CDTF">2023-03-03T11:37:00Z</dcterms:modified>
</cp:coreProperties>
</file>