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14" w:rsidRPr="00857C0F" w:rsidRDefault="005013A1" w:rsidP="00D90114">
      <w:pPr>
        <w:jc w:val="center"/>
        <w:rPr>
          <w:b/>
          <w:bCs/>
          <w:noProof/>
        </w:rPr>
      </w:pPr>
      <w:r>
        <w:rPr>
          <w:noProof/>
          <w:lang w:val="en-US"/>
        </w:rPr>
        <w:drawing>
          <wp:anchor distT="0" distB="0" distL="114300" distR="114300" simplePos="0" relativeHeight="251659264" behindDoc="1" locked="0" layoutInCell="1" allowOverlap="1" wp14:anchorId="63AF4CE2" wp14:editId="5725573D">
            <wp:simplePos x="0" y="0"/>
            <wp:positionH relativeFrom="column">
              <wp:posOffset>2188845</wp:posOffset>
            </wp:positionH>
            <wp:positionV relativeFrom="paragraph">
              <wp:posOffset>-2540</wp:posOffset>
            </wp:positionV>
            <wp:extent cx="1247775" cy="1247775"/>
            <wp:effectExtent l="0" t="0" r="9525" b="9525"/>
            <wp:wrapNone/>
            <wp:docPr id="2" name="Picture 2"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3A1" w:rsidRDefault="005013A1" w:rsidP="00D90114">
      <w:pPr>
        <w:jc w:val="center"/>
        <w:rPr>
          <w:b/>
          <w:bCs/>
        </w:rPr>
      </w:pPr>
    </w:p>
    <w:p w:rsidR="005013A1" w:rsidRDefault="005013A1" w:rsidP="00D90114">
      <w:pPr>
        <w:jc w:val="center"/>
        <w:rPr>
          <w:b/>
          <w:bCs/>
        </w:rPr>
      </w:pPr>
    </w:p>
    <w:p w:rsidR="005013A1" w:rsidRDefault="005013A1" w:rsidP="00D90114">
      <w:pPr>
        <w:jc w:val="center"/>
        <w:rPr>
          <w:b/>
          <w:bCs/>
        </w:rPr>
      </w:pPr>
    </w:p>
    <w:p w:rsidR="00D90114" w:rsidRPr="00857C0F" w:rsidRDefault="005013A1" w:rsidP="005013A1">
      <w:pPr>
        <w:rPr>
          <w:b/>
          <w:bCs/>
        </w:rPr>
      </w:pPr>
      <w:r>
        <w:rPr>
          <w:b/>
          <w:bCs/>
        </w:rPr>
        <w:t xml:space="preserve">                                               </w:t>
      </w:r>
      <w:r w:rsidR="00D90114" w:rsidRPr="00857C0F">
        <w:rPr>
          <w:b/>
          <w:bCs/>
        </w:rPr>
        <w:t>Republic of South Africa</w:t>
      </w:r>
    </w:p>
    <w:p w:rsidR="00D90114" w:rsidRDefault="00D90114" w:rsidP="006B3F86">
      <w:pPr>
        <w:jc w:val="center"/>
        <w:rPr>
          <w:lang w:val="en-GB"/>
        </w:rPr>
      </w:pPr>
      <w:r w:rsidRPr="00857C0F">
        <w:rPr>
          <w:b/>
          <w:bCs/>
          <w:lang w:val="en-GB"/>
        </w:rPr>
        <w:t xml:space="preserve">IN THE </w:t>
      </w:r>
      <w:r w:rsidR="00085BCB">
        <w:rPr>
          <w:b/>
          <w:bCs/>
          <w:lang w:val="en-GB"/>
        </w:rPr>
        <w:t>TAX COURT</w:t>
      </w:r>
      <w:r w:rsidRPr="00857C0F">
        <w:rPr>
          <w:b/>
          <w:bCs/>
          <w:lang w:val="en-GB"/>
        </w:rPr>
        <w:t xml:space="preserve"> OF SOUTH AFRICA</w:t>
      </w:r>
    </w:p>
    <w:p w:rsidR="006B3F86" w:rsidRDefault="006B3F86" w:rsidP="006B3F86">
      <w:pPr>
        <w:jc w:val="center"/>
        <w:rPr>
          <w:b/>
          <w:lang w:val="en-GB"/>
        </w:rPr>
      </w:pPr>
      <w:r>
        <w:rPr>
          <w:b/>
          <w:lang w:val="en-GB"/>
        </w:rPr>
        <w:t>(</w:t>
      </w:r>
      <w:r w:rsidR="00085BCB">
        <w:rPr>
          <w:b/>
          <w:lang w:val="en-GB"/>
        </w:rPr>
        <w:t xml:space="preserve">HELD AT </w:t>
      </w:r>
      <w:r w:rsidR="00FD58EF">
        <w:rPr>
          <w:b/>
          <w:lang w:val="en-GB"/>
        </w:rPr>
        <w:t xml:space="preserve">THE WESTERN CAPE DIVISION: </w:t>
      </w:r>
      <w:r>
        <w:rPr>
          <w:b/>
          <w:lang w:val="en-GB"/>
        </w:rPr>
        <w:t xml:space="preserve">CAPE TOWN) </w:t>
      </w:r>
    </w:p>
    <w:p w:rsidR="00335F82" w:rsidRPr="006B3F86" w:rsidRDefault="00335F82" w:rsidP="006B3F86">
      <w:pPr>
        <w:jc w:val="center"/>
        <w:rPr>
          <w:b/>
          <w:lang w:val="en-GB"/>
        </w:rPr>
      </w:pPr>
    </w:p>
    <w:p w:rsidR="00543387" w:rsidRPr="00E475C8" w:rsidRDefault="00543387" w:rsidP="00543387">
      <w:pPr>
        <w:ind w:right="-46"/>
        <w:jc w:val="right"/>
        <w:rPr>
          <w:rFonts w:eastAsia="Times New Roman"/>
          <w:b/>
          <w:bCs/>
          <w:kern w:val="28"/>
          <w:lang w:eastAsia="en-ZA"/>
        </w:rPr>
      </w:pPr>
      <w:r w:rsidRPr="00E475C8">
        <w:rPr>
          <w:rFonts w:eastAsia="Times New Roman"/>
          <w:b/>
          <w:bCs/>
          <w:kern w:val="28"/>
          <w:lang w:eastAsia="en-ZA"/>
        </w:rPr>
        <w:t xml:space="preserve">Case No: </w:t>
      </w:r>
      <w:r w:rsidR="00F102AE">
        <w:rPr>
          <w:rFonts w:eastAsia="Times New Roman"/>
          <w:b/>
          <w:bCs/>
          <w:kern w:val="28"/>
          <w:lang w:eastAsia="en-ZA"/>
        </w:rPr>
        <w:t>IT45935</w:t>
      </w:r>
    </w:p>
    <w:p w:rsidR="00335F82" w:rsidRDefault="00335F82" w:rsidP="00543387">
      <w:pPr>
        <w:widowControl w:val="0"/>
        <w:overflowPunct w:val="0"/>
        <w:adjustRightInd w:val="0"/>
        <w:spacing w:line="360" w:lineRule="auto"/>
        <w:ind w:right="-46"/>
        <w:rPr>
          <w:rFonts w:eastAsia="Times New Roman"/>
          <w:b/>
          <w:lang w:val="en-US"/>
        </w:rPr>
      </w:pPr>
    </w:p>
    <w:p w:rsidR="00543387" w:rsidRPr="00E475C8" w:rsidRDefault="006651AC" w:rsidP="00543387">
      <w:pPr>
        <w:widowControl w:val="0"/>
        <w:overflowPunct w:val="0"/>
        <w:adjustRightInd w:val="0"/>
        <w:spacing w:line="360" w:lineRule="auto"/>
        <w:ind w:right="-46"/>
        <w:rPr>
          <w:rFonts w:eastAsia="Times New Roman"/>
          <w:b/>
          <w:lang w:val="en-US"/>
        </w:rPr>
      </w:pPr>
      <w:r>
        <w:rPr>
          <w:rFonts w:eastAsia="Times New Roman"/>
          <w:b/>
          <w:lang w:val="en-US"/>
        </w:rPr>
        <w:t>P</w:t>
      </w:r>
      <w:r w:rsidR="005013A1">
        <w:rPr>
          <w:rFonts w:eastAsia="Times New Roman"/>
          <w:b/>
          <w:lang w:val="en-US"/>
        </w:rPr>
        <w:t xml:space="preserve"> TAXPAYER</w:t>
      </w:r>
      <w:r w:rsidR="00D74EFC">
        <w:rPr>
          <w:rFonts w:eastAsia="Times New Roman"/>
          <w:b/>
          <w:lang w:val="en-US"/>
        </w:rPr>
        <w:tab/>
      </w:r>
      <w:r w:rsidR="00FF07BF">
        <w:rPr>
          <w:rFonts w:eastAsia="Times New Roman"/>
          <w:b/>
          <w:lang w:val="en-US"/>
        </w:rPr>
        <w:tab/>
      </w:r>
      <w:r w:rsidR="00C65249">
        <w:rPr>
          <w:rFonts w:eastAsia="Times New Roman"/>
          <w:b/>
          <w:lang w:val="en-US"/>
        </w:rPr>
        <w:t xml:space="preserve">                                                      </w:t>
      </w:r>
      <w:r w:rsidR="00D724F0">
        <w:rPr>
          <w:rFonts w:eastAsia="Times New Roman"/>
          <w:b/>
          <w:lang w:val="en-US"/>
        </w:rPr>
        <w:t xml:space="preserve">              </w:t>
      </w:r>
      <w:r w:rsidR="00335F82">
        <w:rPr>
          <w:rFonts w:eastAsia="Times New Roman"/>
          <w:b/>
          <w:lang w:val="en-US"/>
        </w:rPr>
        <w:t xml:space="preserve">        </w:t>
      </w:r>
      <w:r w:rsidR="00D724F0">
        <w:rPr>
          <w:rFonts w:eastAsia="Times New Roman"/>
          <w:b/>
          <w:lang w:val="en-US"/>
        </w:rPr>
        <w:t xml:space="preserve">    </w:t>
      </w:r>
      <w:r w:rsidR="000307A7">
        <w:rPr>
          <w:rFonts w:eastAsia="Times New Roman"/>
          <w:bCs/>
          <w:kern w:val="28"/>
          <w:lang w:eastAsia="en-ZA"/>
        </w:rPr>
        <w:t>Applicant</w:t>
      </w:r>
    </w:p>
    <w:p w:rsidR="00543387" w:rsidRPr="00E475C8" w:rsidRDefault="00543387" w:rsidP="00543387">
      <w:pPr>
        <w:widowControl w:val="0"/>
        <w:overflowPunct w:val="0"/>
        <w:adjustRightInd w:val="0"/>
        <w:spacing w:line="360" w:lineRule="auto"/>
        <w:ind w:right="-46"/>
        <w:rPr>
          <w:rFonts w:eastAsia="Times New Roman"/>
          <w:b/>
          <w:bCs/>
          <w:kern w:val="28"/>
          <w:lang w:eastAsia="en-ZA"/>
        </w:rPr>
      </w:pPr>
      <w:r w:rsidRPr="00E475C8">
        <w:rPr>
          <w:rFonts w:eastAsia="Times New Roman"/>
          <w:b/>
          <w:lang w:val="en-US"/>
        </w:rPr>
        <w:t xml:space="preserve">          </w:t>
      </w:r>
      <w:r w:rsidRPr="00E475C8">
        <w:rPr>
          <w:rFonts w:ascii="Tahoma" w:eastAsia="Times New Roman" w:hAnsi="Tahoma" w:cs="Tahoma"/>
          <w:lang w:val="en-US"/>
        </w:rPr>
        <w:t xml:space="preserve">                                                                      </w:t>
      </w:r>
    </w:p>
    <w:p w:rsidR="00543387" w:rsidRPr="00E475C8" w:rsidRDefault="00543387" w:rsidP="00543387">
      <w:pPr>
        <w:widowControl w:val="0"/>
        <w:overflowPunct w:val="0"/>
        <w:adjustRightInd w:val="0"/>
        <w:spacing w:line="360" w:lineRule="auto"/>
        <w:ind w:right="-46"/>
        <w:rPr>
          <w:rFonts w:eastAsia="Times New Roman"/>
          <w:bCs/>
          <w:kern w:val="28"/>
          <w:lang w:eastAsia="en-ZA"/>
        </w:rPr>
      </w:pPr>
      <w:r w:rsidRPr="00E475C8">
        <w:rPr>
          <w:rFonts w:eastAsia="Times New Roman"/>
          <w:bCs/>
          <w:kern w:val="28"/>
          <w:lang w:eastAsia="en-ZA"/>
        </w:rPr>
        <w:t>and</w:t>
      </w:r>
    </w:p>
    <w:p w:rsidR="00543387" w:rsidRPr="00E475C8" w:rsidRDefault="00543387" w:rsidP="00543387">
      <w:pPr>
        <w:widowControl w:val="0"/>
        <w:overflowPunct w:val="0"/>
        <w:adjustRightInd w:val="0"/>
        <w:spacing w:line="360" w:lineRule="auto"/>
        <w:ind w:right="-46"/>
        <w:rPr>
          <w:rFonts w:eastAsia="Times New Roman"/>
          <w:b/>
          <w:bCs/>
          <w:kern w:val="28"/>
          <w:lang w:eastAsia="en-ZA"/>
        </w:rPr>
      </w:pPr>
    </w:p>
    <w:p w:rsidR="00335F82" w:rsidRDefault="006826A1" w:rsidP="00543387">
      <w:pPr>
        <w:widowControl w:val="0"/>
        <w:overflowPunct w:val="0"/>
        <w:adjustRightInd w:val="0"/>
        <w:spacing w:line="360" w:lineRule="auto"/>
        <w:ind w:right="-46"/>
        <w:rPr>
          <w:rFonts w:eastAsia="Times New Roman"/>
          <w:b/>
          <w:bCs/>
          <w:kern w:val="28"/>
          <w:lang w:eastAsia="en-ZA"/>
        </w:rPr>
      </w:pPr>
      <w:r>
        <w:rPr>
          <w:rFonts w:eastAsia="Times New Roman"/>
          <w:b/>
          <w:bCs/>
          <w:kern w:val="28"/>
          <w:lang w:eastAsia="en-ZA"/>
        </w:rPr>
        <w:t>THE COMMISSIONER FOR THE SOUTH AFRICAN</w:t>
      </w:r>
      <w:r w:rsidR="00335F82">
        <w:rPr>
          <w:rFonts w:eastAsia="Times New Roman"/>
          <w:b/>
          <w:bCs/>
          <w:kern w:val="28"/>
          <w:lang w:eastAsia="en-ZA"/>
        </w:rPr>
        <w:t xml:space="preserve"> </w:t>
      </w:r>
    </w:p>
    <w:p w:rsidR="00543387" w:rsidRPr="00E475C8" w:rsidRDefault="006826A1" w:rsidP="00543387">
      <w:pPr>
        <w:widowControl w:val="0"/>
        <w:overflowPunct w:val="0"/>
        <w:adjustRightInd w:val="0"/>
        <w:spacing w:line="360" w:lineRule="auto"/>
        <w:ind w:right="-46"/>
        <w:rPr>
          <w:rFonts w:eastAsia="Times New Roman"/>
          <w:b/>
          <w:bCs/>
          <w:kern w:val="28"/>
          <w:lang w:eastAsia="en-ZA"/>
        </w:rPr>
      </w:pPr>
      <w:r>
        <w:rPr>
          <w:rFonts w:eastAsia="Times New Roman"/>
          <w:b/>
          <w:bCs/>
          <w:kern w:val="28"/>
          <w:lang w:eastAsia="en-ZA"/>
        </w:rPr>
        <w:t>REVENUE SERVICE</w:t>
      </w:r>
      <w:r w:rsidR="00543387">
        <w:rPr>
          <w:rFonts w:eastAsia="Times New Roman"/>
          <w:b/>
          <w:bCs/>
          <w:kern w:val="28"/>
          <w:lang w:eastAsia="en-ZA"/>
        </w:rPr>
        <w:t xml:space="preserve">    </w:t>
      </w:r>
      <w:r w:rsidR="00D724F0">
        <w:rPr>
          <w:rFonts w:eastAsia="Times New Roman"/>
          <w:b/>
          <w:bCs/>
          <w:kern w:val="28"/>
          <w:lang w:eastAsia="en-ZA"/>
        </w:rPr>
        <w:t xml:space="preserve">                                                                                 </w:t>
      </w:r>
      <w:r w:rsidR="00543387" w:rsidRPr="00E475C8">
        <w:rPr>
          <w:rFonts w:eastAsia="Times New Roman"/>
          <w:bCs/>
          <w:kern w:val="28"/>
          <w:lang w:eastAsia="en-ZA"/>
        </w:rPr>
        <w:t>Respondent</w:t>
      </w:r>
    </w:p>
    <w:p w:rsidR="00F6494C" w:rsidRPr="00147DBF" w:rsidRDefault="00543387" w:rsidP="00147DBF">
      <w:pPr>
        <w:rPr>
          <w:rFonts w:eastAsia="Times New Roman"/>
          <w:b/>
          <w:bCs/>
          <w:kern w:val="28"/>
          <w:lang w:eastAsia="en-ZA"/>
        </w:rPr>
      </w:pPr>
      <w:r w:rsidRPr="00E475C8">
        <w:rPr>
          <w:rFonts w:eastAsia="Times New Roman"/>
          <w:b/>
        </w:rPr>
        <w:t xml:space="preserve">                                                         </w:t>
      </w:r>
      <w:r w:rsidR="00F6494C" w:rsidRPr="00F6494C">
        <w:t xml:space="preserve">    </w:t>
      </w:r>
      <w:r w:rsidR="00F6494C">
        <w:t xml:space="preserve">                </w:t>
      </w:r>
    </w:p>
    <w:p w:rsidR="00D90114" w:rsidRDefault="00CF7C69" w:rsidP="00FD1D4F">
      <w:pPr>
        <w:ind w:right="-46"/>
      </w:pPr>
      <w:r w:rsidRPr="008A05F0">
        <w:rPr>
          <w:u w:val="single"/>
        </w:rPr>
        <w:t>Court</w:t>
      </w:r>
      <w:r w:rsidR="00D90114">
        <w:t>:</w:t>
      </w:r>
      <w:r w:rsidR="00292AB9">
        <w:t xml:space="preserve"> </w:t>
      </w:r>
      <w:r w:rsidR="000307A7">
        <w:t>Justice</w:t>
      </w:r>
      <w:r w:rsidR="00292AB9">
        <w:t xml:space="preserve"> J I Cloete</w:t>
      </w:r>
    </w:p>
    <w:p w:rsidR="00F6494C" w:rsidRPr="00F6494C" w:rsidRDefault="00F6494C" w:rsidP="00FD1D4F">
      <w:pPr>
        <w:ind w:right="-46"/>
      </w:pPr>
      <w:r>
        <w:rPr>
          <w:u w:val="single"/>
        </w:rPr>
        <w:t>Heard</w:t>
      </w:r>
      <w:r>
        <w:t>:</w:t>
      </w:r>
      <w:r w:rsidR="00602460">
        <w:t xml:space="preserve"> </w:t>
      </w:r>
      <w:r w:rsidR="00477E62">
        <w:t>6 March 2023</w:t>
      </w:r>
    </w:p>
    <w:p w:rsidR="00D90114" w:rsidRPr="00857C0F" w:rsidRDefault="00CF7C69" w:rsidP="00FD1D4F">
      <w:pPr>
        <w:ind w:right="-46"/>
      </w:pPr>
      <w:r w:rsidRPr="008A05F0">
        <w:rPr>
          <w:u w:val="single"/>
        </w:rPr>
        <w:t>Delivered</w:t>
      </w:r>
      <w:r w:rsidR="00D724F0">
        <w:rPr>
          <w:u w:val="single"/>
        </w:rPr>
        <w:t xml:space="preserve"> electronically</w:t>
      </w:r>
      <w:r w:rsidR="00D90114">
        <w:t>:</w:t>
      </w:r>
      <w:r w:rsidR="00292AB9">
        <w:t xml:space="preserve"> </w:t>
      </w:r>
      <w:r w:rsidR="00912CA7">
        <w:t xml:space="preserve">23 March 2023 </w:t>
      </w:r>
    </w:p>
    <w:p w:rsidR="007F48DB" w:rsidRPr="00DE421A" w:rsidRDefault="007F48DB" w:rsidP="007F48DB">
      <w:pPr>
        <w:pBdr>
          <w:bottom w:val="single" w:sz="4" w:space="1" w:color="auto"/>
        </w:pBdr>
        <w:tabs>
          <w:tab w:val="right" w:pos="8505"/>
        </w:tabs>
        <w:spacing w:line="240" w:lineRule="auto"/>
        <w:jc w:val="both"/>
      </w:pPr>
    </w:p>
    <w:p w:rsidR="007F48DB" w:rsidRDefault="007F48DB" w:rsidP="00DD1061">
      <w:pPr>
        <w:pStyle w:val="Heading2"/>
        <w:tabs>
          <w:tab w:val="left" w:pos="3686"/>
        </w:tabs>
        <w:spacing w:line="360" w:lineRule="auto"/>
        <w:rPr>
          <w:rFonts w:cs="Arial"/>
          <w:szCs w:val="24"/>
        </w:rPr>
      </w:pPr>
    </w:p>
    <w:p w:rsidR="007F48DB" w:rsidRPr="00DE421A" w:rsidRDefault="00DD1061" w:rsidP="007F48DB">
      <w:pPr>
        <w:pStyle w:val="Heading2"/>
        <w:tabs>
          <w:tab w:val="left" w:pos="3686"/>
        </w:tabs>
        <w:spacing w:line="360" w:lineRule="auto"/>
        <w:rPr>
          <w:rFonts w:cs="Arial"/>
          <w:szCs w:val="24"/>
        </w:rPr>
      </w:pPr>
      <w:r>
        <w:rPr>
          <w:rFonts w:cs="Arial"/>
          <w:szCs w:val="24"/>
        </w:rPr>
        <w:t xml:space="preserve">JUDGMENT </w:t>
      </w:r>
    </w:p>
    <w:p w:rsidR="007F48DB" w:rsidRPr="00DE421A" w:rsidRDefault="007F48DB" w:rsidP="00DD1061">
      <w:pPr>
        <w:pBdr>
          <w:bottom w:val="single" w:sz="4" w:space="1" w:color="auto"/>
        </w:pBdr>
        <w:tabs>
          <w:tab w:val="right" w:pos="8505"/>
        </w:tabs>
        <w:spacing w:line="240" w:lineRule="auto"/>
        <w:jc w:val="both"/>
      </w:pPr>
    </w:p>
    <w:p w:rsidR="008D3505" w:rsidRDefault="008D3505" w:rsidP="008D3505">
      <w:pPr>
        <w:spacing w:line="240" w:lineRule="auto"/>
        <w:jc w:val="both"/>
        <w:rPr>
          <w:b/>
          <w:bCs/>
          <w:caps/>
          <w:u w:val="single"/>
        </w:rPr>
      </w:pPr>
    </w:p>
    <w:p w:rsidR="00496CAE" w:rsidRDefault="00D90114" w:rsidP="00A115DB">
      <w:pPr>
        <w:spacing w:line="360" w:lineRule="auto"/>
        <w:jc w:val="both"/>
        <w:rPr>
          <w:b/>
          <w:bCs/>
          <w:caps/>
          <w:u w:val="single"/>
        </w:rPr>
      </w:pPr>
      <w:r w:rsidRPr="00D90114">
        <w:rPr>
          <w:b/>
          <w:bCs/>
          <w:caps/>
          <w:u w:val="single"/>
        </w:rPr>
        <w:t xml:space="preserve">CLOETE J:  </w:t>
      </w:r>
    </w:p>
    <w:p w:rsidR="008D3505" w:rsidRDefault="008D3505" w:rsidP="00751507">
      <w:pPr>
        <w:spacing w:line="240" w:lineRule="auto"/>
        <w:jc w:val="both"/>
        <w:rPr>
          <w:b/>
          <w:u w:val="single"/>
        </w:rPr>
      </w:pPr>
    </w:p>
    <w:p w:rsidR="00543387" w:rsidRPr="00D74EFC" w:rsidRDefault="00543387" w:rsidP="00543387">
      <w:pPr>
        <w:jc w:val="both"/>
        <w:rPr>
          <w:u w:val="single"/>
        </w:rPr>
      </w:pPr>
      <w:r>
        <w:rPr>
          <w:b/>
          <w:u w:val="single"/>
        </w:rPr>
        <w:t>Introduction</w:t>
      </w:r>
    </w:p>
    <w:p w:rsidR="00751507" w:rsidRPr="00D74EFC" w:rsidRDefault="00751507" w:rsidP="00751507">
      <w:pPr>
        <w:spacing w:line="240" w:lineRule="auto"/>
        <w:jc w:val="both"/>
        <w:rPr>
          <w:u w:val="single"/>
        </w:rPr>
      </w:pPr>
    </w:p>
    <w:p w:rsidR="00C55544" w:rsidRDefault="002B62AE" w:rsidP="002B62AE">
      <w:pPr>
        <w:ind w:left="720" w:hanging="720"/>
        <w:jc w:val="both"/>
      </w:pPr>
      <w:r>
        <w:t>[1]</w:t>
      </w:r>
      <w:r>
        <w:tab/>
      </w:r>
      <w:r w:rsidR="00CF0FE4">
        <w:t xml:space="preserve">This </w:t>
      </w:r>
      <w:r w:rsidR="00477E62">
        <w:t>is an opposed interlocutory application in terms of uniform rule 30 in which the applicant (“</w:t>
      </w:r>
      <w:r w:rsidR="00B9655E">
        <w:t>taxpayer</w:t>
      </w:r>
      <w:r w:rsidR="00477E62">
        <w:t xml:space="preserve">”) seeks to have a statement delivered by the respondent (“SARS”) in terms of tax court rule 31 set aside as an irregular step. In this </w:t>
      </w:r>
      <w:r w:rsidR="00477E62">
        <w:lastRenderedPageBreak/>
        <w:t>judgment and unless otherwise indicated, the reference to a rule will be to those promulgated under s 103 of the Tax Administration Act (“TAA”).</w:t>
      </w:r>
      <w:r w:rsidR="00477E62">
        <w:rPr>
          <w:rStyle w:val="FootnoteReference"/>
        </w:rPr>
        <w:footnoteReference w:id="1"/>
      </w:r>
    </w:p>
    <w:p w:rsidR="00580B9B" w:rsidRDefault="00580B9B" w:rsidP="00580B9B">
      <w:pPr>
        <w:ind w:left="720"/>
        <w:jc w:val="both"/>
      </w:pPr>
    </w:p>
    <w:p w:rsidR="00580B9B" w:rsidRDefault="002B62AE" w:rsidP="002B62AE">
      <w:pPr>
        <w:ind w:left="720" w:hanging="720"/>
        <w:jc w:val="both"/>
      </w:pPr>
      <w:r>
        <w:t>[2]</w:t>
      </w:r>
      <w:r>
        <w:tab/>
      </w:r>
      <w:r w:rsidR="00580B9B">
        <w:t>The parties share the view that at the heart of this application lies the proper interpretation o</w:t>
      </w:r>
      <w:bookmarkStart w:id="0" w:name="_GoBack"/>
      <w:bookmarkEnd w:id="0"/>
      <w:r w:rsidR="00580B9B">
        <w:t>f certain rules</w:t>
      </w:r>
      <w:r w:rsidR="005D0ABA">
        <w:t>/sub-rules</w:t>
      </w:r>
      <w:r w:rsidR="00580B9B">
        <w:t>, in particular the interplay between rules 4, 52(1)</w:t>
      </w:r>
      <w:r w:rsidR="005D0ABA">
        <w:t>,</w:t>
      </w:r>
      <w:r w:rsidR="00580B9B">
        <w:t xml:space="preserve"> </w:t>
      </w:r>
      <w:r w:rsidR="005D0ABA">
        <w:t>52</w:t>
      </w:r>
      <w:r w:rsidR="00580B9B">
        <w:t xml:space="preserve">(6) and 56. </w:t>
      </w:r>
      <w:r w:rsidR="005D0ABA">
        <w:t>I</w:t>
      </w:r>
      <w:r w:rsidR="00432CFE">
        <w:t>t is therefore only necessary to deal briefly with the relevant historical facts giving rise to this application.</w:t>
      </w:r>
    </w:p>
    <w:p w:rsidR="00432CFE" w:rsidRDefault="00432CFE" w:rsidP="00432CFE">
      <w:pPr>
        <w:pStyle w:val="ListParagraph"/>
      </w:pPr>
    </w:p>
    <w:p w:rsidR="00432CFE" w:rsidRDefault="002B62AE" w:rsidP="002B62AE">
      <w:pPr>
        <w:ind w:left="720" w:hanging="720"/>
        <w:jc w:val="both"/>
      </w:pPr>
      <w:r>
        <w:t>[3]</w:t>
      </w:r>
      <w:r>
        <w:tab/>
      </w:r>
      <w:r w:rsidR="00432CFE">
        <w:t xml:space="preserve">The </w:t>
      </w:r>
      <w:r w:rsidR="00B9655E">
        <w:t>taxpayer</w:t>
      </w:r>
      <w:r w:rsidR="00432CFE">
        <w:t xml:space="preserve"> previously noted an appeal</w:t>
      </w:r>
      <w:r w:rsidR="005D0ABA">
        <w:t xml:space="preserve"> on 12 April 2019</w:t>
      </w:r>
      <w:r w:rsidR="00432CFE">
        <w:t xml:space="preserve"> against the disallowance by SARS of its objection in relation to its 20</w:t>
      </w:r>
      <w:r w:rsidR="002A2DDC">
        <w:t xml:space="preserve">17 year of assessment. Following </w:t>
      </w:r>
      <w:r w:rsidR="005D0ABA">
        <w:t xml:space="preserve">the termination of </w:t>
      </w:r>
      <w:r w:rsidR="002A2DDC">
        <w:t>alternative dispute resolution</w:t>
      </w:r>
      <w:r w:rsidR="002A2DDC">
        <w:rPr>
          <w:rStyle w:val="FootnoteReference"/>
        </w:rPr>
        <w:footnoteReference w:id="2"/>
      </w:r>
      <w:r w:rsidR="002A2DDC">
        <w:t xml:space="preserve"> –</w:t>
      </w:r>
      <w:r w:rsidR="005D0ABA">
        <w:t xml:space="preserve"> the parties agree that it failed, but differ </w:t>
      </w:r>
      <w:r w:rsidR="002A2DDC">
        <w:t xml:space="preserve">as to the date of termination </w:t>
      </w:r>
      <w:r w:rsidR="005D0ABA">
        <w:t xml:space="preserve">and </w:t>
      </w:r>
      <w:r w:rsidR="002A2DDC">
        <w:t xml:space="preserve">at the instance of which party it was terminated – the </w:t>
      </w:r>
      <w:r w:rsidR="00B9655E">
        <w:t>taxpayer</w:t>
      </w:r>
      <w:r w:rsidR="002A2DDC">
        <w:t xml:space="preserve"> ultimately </w:t>
      </w:r>
      <w:r w:rsidR="005D0ABA">
        <w:t>afforded SARS an extension to</w:t>
      </w:r>
      <w:r w:rsidR="002A2DDC">
        <w:t xml:space="preserve"> deliver its rule 31 statement by no later than 13 October 2021</w:t>
      </w:r>
      <w:r w:rsidR="005D0ABA">
        <w:t>.</w:t>
      </w:r>
      <w:r w:rsidR="002A2DDC">
        <w:t xml:space="preserve"> SARS failed to</w:t>
      </w:r>
      <w:r w:rsidR="005D0ABA">
        <w:t xml:space="preserve"> deliver its statement by that date</w:t>
      </w:r>
      <w:r w:rsidR="002A2DDC">
        <w:t>.</w:t>
      </w:r>
    </w:p>
    <w:p w:rsidR="002A2DDC" w:rsidRDefault="002A2DDC" w:rsidP="002A2DDC">
      <w:pPr>
        <w:pStyle w:val="ListParagraph"/>
      </w:pPr>
    </w:p>
    <w:p w:rsidR="002A2DDC" w:rsidRDefault="002B62AE" w:rsidP="002B62AE">
      <w:pPr>
        <w:ind w:left="720" w:hanging="720"/>
        <w:jc w:val="both"/>
      </w:pPr>
      <w:r>
        <w:t>[4]</w:t>
      </w:r>
      <w:r>
        <w:tab/>
      </w:r>
      <w:r w:rsidR="002A2DDC">
        <w:t xml:space="preserve">On 3 March 2022 the </w:t>
      </w:r>
      <w:r w:rsidR="00B9655E">
        <w:t>taxpayer</w:t>
      </w:r>
      <w:r w:rsidR="002A2DDC">
        <w:t xml:space="preserve"> delivered a rule 56(1)(a) notice informing SARS of its intention to apply to the tax court for a final order under s 129(2) of the TAA </w:t>
      </w:r>
      <w:r w:rsidR="002A2DDC">
        <w:rPr>
          <w:i/>
        </w:rPr>
        <w:t>‘in the event that the Respondent fails to remedy the default within 15 days’.</w:t>
      </w:r>
      <w:r w:rsidR="002A2DDC">
        <w:t xml:space="preserve"> The parties agree that the rule 31 statement was </w:t>
      </w:r>
      <w:r w:rsidR="00CD34E1">
        <w:t xml:space="preserve">subsequently </w:t>
      </w:r>
      <w:r w:rsidR="002A2DDC">
        <w:t>delivered within that 15</w:t>
      </w:r>
      <w:r w:rsidR="00CD34E1">
        <w:t>-</w:t>
      </w:r>
      <w:r w:rsidR="002A2DDC">
        <w:t xml:space="preserve">day period. However the </w:t>
      </w:r>
      <w:r w:rsidR="00B9655E">
        <w:t>t</w:t>
      </w:r>
      <w:r w:rsidR="002A2DDC">
        <w:t>axpayer has taken the view that, absent an accompanying application for condonation for “late filing”, this constituted an irregular step.</w:t>
      </w:r>
    </w:p>
    <w:p w:rsidR="002A2DDC" w:rsidRPr="002A2DDC" w:rsidRDefault="002A2DDC" w:rsidP="002A2DDC">
      <w:pPr>
        <w:jc w:val="both"/>
        <w:rPr>
          <w:b/>
          <w:u w:val="single"/>
        </w:rPr>
      </w:pPr>
      <w:r>
        <w:rPr>
          <w:b/>
          <w:u w:val="single"/>
        </w:rPr>
        <w:lastRenderedPageBreak/>
        <w:t>Relevant rules</w:t>
      </w:r>
    </w:p>
    <w:p w:rsidR="002A2DDC" w:rsidRDefault="002A2DDC" w:rsidP="002A2DDC">
      <w:pPr>
        <w:pStyle w:val="ListParagraph"/>
        <w:spacing w:line="240" w:lineRule="auto"/>
      </w:pPr>
    </w:p>
    <w:p w:rsidR="002A2DDC" w:rsidRDefault="002B62AE" w:rsidP="002B62AE">
      <w:pPr>
        <w:spacing w:line="240" w:lineRule="auto"/>
        <w:ind w:left="720" w:hanging="720"/>
        <w:jc w:val="both"/>
      </w:pPr>
      <w:r>
        <w:t>[5]</w:t>
      </w:r>
      <w:r>
        <w:tab/>
      </w:r>
      <w:r w:rsidR="00717B81">
        <w:t xml:space="preserve">Rule 4 provides that: </w:t>
      </w:r>
    </w:p>
    <w:p w:rsidR="00717B81" w:rsidRDefault="00717B81" w:rsidP="00717B81">
      <w:pPr>
        <w:ind w:left="720"/>
        <w:jc w:val="both"/>
      </w:pPr>
    </w:p>
    <w:p w:rsidR="00717B81" w:rsidRDefault="00717B81" w:rsidP="00717B81">
      <w:pPr>
        <w:spacing w:line="360" w:lineRule="auto"/>
        <w:ind w:left="1440"/>
        <w:jc w:val="both"/>
        <w:rPr>
          <w:b/>
          <w:i/>
          <w:sz w:val="22"/>
          <w:szCs w:val="22"/>
        </w:rPr>
      </w:pPr>
      <w:r>
        <w:rPr>
          <w:i/>
          <w:sz w:val="22"/>
          <w:szCs w:val="22"/>
        </w:rPr>
        <w:t>‘</w:t>
      </w:r>
      <w:r>
        <w:rPr>
          <w:b/>
          <w:i/>
          <w:sz w:val="22"/>
          <w:szCs w:val="22"/>
        </w:rPr>
        <w:t>4.</w:t>
      </w:r>
      <w:r>
        <w:rPr>
          <w:b/>
          <w:i/>
          <w:sz w:val="22"/>
          <w:szCs w:val="22"/>
        </w:rPr>
        <w:tab/>
        <w:t>Extension of time periods</w:t>
      </w:r>
    </w:p>
    <w:p w:rsidR="00717B81" w:rsidRPr="002B62AE" w:rsidRDefault="002B62AE" w:rsidP="002B62AE">
      <w:pPr>
        <w:tabs>
          <w:tab w:val="left" w:pos="2552"/>
        </w:tabs>
        <w:spacing w:line="360" w:lineRule="auto"/>
        <w:ind w:left="1418" w:firstLine="709"/>
        <w:jc w:val="both"/>
        <w:rPr>
          <w:b/>
          <w:i/>
          <w:sz w:val="22"/>
          <w:szCs w:val="22"/>
        </w:rPr>
      </w:pPr>
      <w:r w:rsidRPr="007D0645">
        <w:rPr>
          <w:i/>
          <w:sz w:val="22"/>
          <w:szCs w:val="22"/>
        </w:rPr>
        <w:t>(1)</w:t>
      </w:r>
      <w:r w:rsidRPr="007D0645">
        <w:rPr>
          <w:i/>
          <w:sz w:val="22"/>
          <w:szCs w:val="22"/>
        </w:rPr>
        <w:tab/>
      </w:r>
      <w:r w:rsidR="00717B81" w:rsidRPr="002B62AE">
        <w:rPr>
          <w:i/>
          <w:sz w:val="22"/>
          <w:szCs w:val="22"/>
          <w:u w:val="single"/>
        </w:rPr>
        <w:t>Except where the extension of a period prescribed under</w:t>
      </w:r>
      <w:r w:rsidR="00717B81" w:rsidRPr="002B62AE">
        <w:rPr>
          <w:i/>
          <w:sz w:val="22"/>
          <w:szCs w:val="22"/>
        </w:rPr>
        <w:t xml:space="preserve"> the Act or </w:t>
      </w:r>
      <w:r w:rsidR="00717B81" w:rsidRPr="002B62AE">
        <w:rPr>
          <w:i/>
          <w:sz w:val="22"/>
          <w:szCs w:val="22"/>
          <w:u w:val="single"/>
        </w:rPr>
        <w:t>these rules is otherwise regulated in Chapter 9 of</w:t>
      </w:r>
      <w:r w:rsidR="00717B81" w:rsidRPr="002B62AE">
        <w:rPr>
          <w:i/>
          <w:sz w:val="22"/>
          <w:szCs w:val="22"/>
        </w:rPr>
        <w:t xml:space="preserve"> the Act or </w:t>
      </w:r>
      <w:r w:rsidR="00717B81" w:rsidRPr="002B62AE">
        <w:rPr>
          <w:i/>
          <w:sz w:val="22"/>
          <w:szCs w:val="22"/>
          <w:u w:val="single"/>
        </w:rPr>
        <w:t>these rules</w:t>
      </w:r>
      <w:r w:rsidR="00717B81" w:rsidRPr="002B62AE">
        <w:rPr>
          <w:i/>
          <w:sz w:val="22"/>
          <w:szCs w:val="22"/>
        </w:rPr>
        <w:t xml:space="preserve">, a period may be extended by agreement </w:t>
      </w:r>
      <w:r w:rsidR="007D0645" w:rsidRPr="002B62AE">
        <w:rPr>
          <w:i/>
          <w:sz w:val="22"/>
          <w:szCs w:val="22"/>
        </w:rPr>
        <w:t>between—</w:t>
      </w:r>
    </w:p>
    <w:p w:rsidR="007D0645" w:rsidRPr="002B62AE" w:rsidRDefault="002B62AE" w:rsidP="002B62AE">
      <w:pPr>
        <w:tabs>
          <w:tab w:val="left" w:pos="2552"/>
        </w:tabs>
        <w:spacing w:line="360" w:lineRule="auto"/>
        <w:ind w:left="1778" w:hanging="360"/>
        <w:jc w:val="both"/>
        <w:rPr>
          <w:i/>
          <w:sz w:val="22"/>
          <w:szCs w:val="22"/>
        </w:rPr>
      </w:pPr>
      <w:r>
        <w:rPr>
          <w:i/>
          <w:sz w:val="22"/>
          <w:szCs w:val="22"/>
        </w:rPr>
        <w:t>(a)</w:t>
      </w:r>
      <w:r>
        <w:rPr>
          <w:i/>
          <w:sz w:val="22"/>
          <w:szCs w:val="22"/>
        </w:rPr>
        <w:tab/>
      </w:r>
      <w:proofErr w:type="gramStart"/>
      <w:r w:rsidR="007D0645" w:rsidRPr="002B62AE">
        <w:rPr>
          <w:i/>
          <w:sz w:val="22"/>
          <w:szCs w:val="22"/>
        </w:rPr>
        <w:t>the</w:t>
      </w:r>
      <w:proofErr w:type="gramEnd"/>
      <w:r w:rsidR="007D0645" w:rsidRPr="002B62AE">
        <w:rPr>
          <w:i/>
          <w:sz w:val="22"/>
          <w:szCs w:val="22"/>
        </w:rPr>
        <w:t xml:space="preserve"> parties;</w:t>
      </w:r>
    </w:p>
    <w:p w:rsidR="007D0645" w:rsidRPr="002B62AE" w:rsidRDefault="002B62AE" w:rsidP="002B62AE">
      <w:pPr>
        <w:tabs>
          <w:tab w:val="left" w:pos="2552"/>
        </w:tabs>
        <w:spacing w:line="360" w:lineRule="auto"/>
        <w:ind w:left="1778" w:hanging="360"/>
        <w:jc w:val="both"/>
        <w:rPr>
          <w:i/>
          <w:sz w:val="22"/>
          <w:szCs w:val="22"/>
        </w:rPr>
      </w:pPr>
      <w:r>
        <w:rPr>
          <w:i/>
          <w:sz w:val="22"/>
          <w:szCs w:val="22"/>
        </w:rPr>
        <w:t>(b)</w:t>
      </w:r>
      <w:r>
        <w:rPr>
          <w:i/>
          <w:sz w:val="22"/>
          <w:szCs w:val="22"/>
        </w:rPr>
        <w:tab/>
      </w:r>
      <w:proofErr w:type="gramStart"/>
      <w:r w:rsidR="007D0645" w:rsidRPr="002B62AE">
        <w:rPr>
          <w:i/>
          <w:sz w:val="22"/>
          <w:szCs w:val="22"/>
        </w:rPr>
        <w:t>a</w:t>
      </w:r>
      <w:proofErr w:type="gramEnd"/>
      <w:r w:rsidR="007D0645" w:rsidRPr="002B62AE">
        <w:rPr>
          <w:i/>
          <w:sz w:val="22"/>
          <w:szCs w:val="22"/>
        </w:rPr>
        <w:t xml:space="preserve"> party or the parties and the clerk;</w:t>
      </w:r>
    </w:p>
    <w:p w:rsidR="007D0645" w:rsidRPr="002B62AE" w:rsidRDefault="002B62AE" w:rsidP="002B62AE">
      <w:pPr>
        <w:tabs>
          <w:tab w:val="left" w:pos="2552"/>
        </w:tabs>
        <w:spacing w:line="360" w:lineRule="auto"/>
        <w:ind w:left="1778" w:hanging="360"/>
        <w:jc w:val="both"/>
        <w:rPr>
          <w:i/>
          <w:sz w:val="22"/>
          <w:szCs w:val="22"/>
        </w:rPr>
      </w:pPr>
      <w:r w:rsidRPr="007D0645">
        <w:rPr>
          <w:i/>
          <w:sz w:val="22"/>
          <w:szCs w:val="22"/>
        </w:rPr>
        <w:t>(c)</w:t>
      </w:r>
      <w:r w:rsidRPr="007D0645">
        <w:rPr>
          <w:i/>
          <w:sz w:val="22"/>
          <w:szCs w:val="22"/>
        </w:rPr>
        <w:tab/>
      </w:r>
      <w:proofErr w:type="gramStart"/>
      <w:r w:rsidR="007D0645" w:rsidRPr="002B62AE">
        <w:rPr>
          <w:i/>
          <w:sz w:val="22"/>
          <w:szCs w:val="22"/>
        </w:rPr>
        <w:t>a</w:t>
      </w:r>
      <w:proofErr w:type="gramEnd"/>
      <w:r w:rsidR="007D0645" w:rsidRPr="002B62AE">
        <w:rPr>
          <w:i/>
          <w:sz w:val="22"/>
          <w:szCs w:val="22"/>
        </w:rPr>
        <w:t xml:space="preserve"> party or the parties and the registrar.</w:t>
      </w:r>
    </w:p>
    <w:p w:rsidR="007D0645" w:rsidRPr="002B62AE" w:rsidRDefault="002B62AE" w:rsidP="002B62AE">
      <w:pPr>
        <w:tabs>
          <w:tab w:val="left" w:pos="2552"/>
        </w:tabs>
        <w:spacing w:line="360" w:lineRule="auto"/>
        <w:ind w:left="1418" w:firstLine="709"/>
        <w:jc w:val="both"/>
        <w:rPr>
          <w:b/>
          <w:i/>
          <w:sz w:val="22"/>
          <w:szCs w:val="22"/>
        </w:rPr>
      </w:pPr>
      <w:r w:rsidRPr="009135D2">
        <w:rPr>
          <w:i/>
          <w:sz w:val="22"/>
          <w:szCs w:val="22"/>
        </w:rPr>
        <w:t>(2)</w:t>
      </w:r>
      <w:r w:rsidRPr="009135D2">
        <w:rPr>
          <w:i/>
          <w:sz w:val="22"/>
          <w:szCs w:val="22"/>
        </w:rPr>
        <w:tab/>
      </w:r>
      <w:r w:rsidR="007D0645" w:rsidRPr="002B62AE">
        <w:rPr>
          <w:i/>
          <w:sz w:val="22"/>
          <w:szCs w:val="22"/>
        </w:rPr>
        <w:t xml:space="preserve">A request for an extension must be delivered to the other party before expiry of the period prescribed under these rules unless the parties agree that the request may be delivered after expiry of </w:t>
      </w:r>
      <w:r w:rsidR="00CD34E1" w:rsidRPr="002B62AE">
        <w:rPr>
          <w:i/>
          <w:sz w:val="22"/>
          <w:szCs w:val="22"/>
        </w:rPr>
        <w:t>the</w:t>
      </w:r>
      <w:r w:rsidR="007D0645" w:rsidRPr="002B62AE">
        <w:rPr>
          <w:i/>
          <w:sz w:val="22"/>
          <w:szCs w:val="22"/>
        </w:rPr>
        <w:t xml:space="preserve"> period…’</w:t>
      </w:r>
    </w:p>
    <w:p w:rsidR="00717B81" w:rsidRDefault="00717B81" w:rsidP="00717B81">
      <w:pPr>
        <w:ind w:left="720"/>
        <w:jc w:val="both"/>
      </w:pPr>
    </w:p>
    <w:p w:rsidR="00717B81" w:rsidRDefault="002B62AE" w:rsidP="002B62AE">
      <w:pPr>
        <w:spacing w:line="720" w:lineRule="auto"/>
        <w:ind w:left="720" w:hanging="720"/>
        <w:jc w:val="both"/>
      </w:pPr>
      <w:r>
        <w:t>[6]</w:t>
      </w:r>
      <w:r>
        <w:tab/>
      </w:r>
      <w:r w:rsidR="008E754B">
        <w:t xml:space="preserve">Rule 52 </w:t>
      </w:r>
      <w:r w:rsidR="00CD34E1">
        <w:t>stipulates in relevant part</w:t>
      </w:r>
      <w:r w:rsidR="008E754B">
        <w:t xml:space="preserve"> that:</w:t>
      </w:r>
    </w:p>
    <w:p w:rsidR="00C56D8C" w:rsidRDefault="00C56D8C" w:rsidP="00C56D8C">
      <w:pPr>
        <w:spacing w:line="360" w:lineRule="auto"/>
        <w:ind w:left="1418"/>
        <w:jc w:val="both"/>
        <w:rPr>
          <w:i/>
          <w:sz w:val="22"/>
          <w:szCs w:val="22"/>
        </w:rPr>
      </w:pPr>
      <w:r>
        <w:rPr>
          <w:i/>
          <w:sz w:val="22"/>
          <w:szCs w:val="22"/>
        </w:rPr>
        <w:t>‘</w:t>
      </w:r>
      <w:r>
        <w:rPr>
          <w:b/>
          <w:i/>
          <w:sz w:val="22"/>
          <w:szCs w:val="22"/>
        </w:rPr>
        <w:t>52.</w:t>
      </w:r>
      <w:r>
        <w:rPr>
          <w:b/>
          <w:i/>
          <w:sz w:val="22"/>
          <w:szCs w:val="22"/>
        </w:rPr>
        <w:tab/>
        <w:t>Application provided for under rules</w:t>
      </w:r>
    </w:p>
    <w:p w:rsidR="00C56D8C" w:rsidRPr="002B62AE" w:rsidRDefault="002B62AE" w:rsidP="002B62AE">
      <w:pPr>
        <w:tabs>
          <w:tab w:val="left" w:pos="2162"/>
          <w:tab w:val="left" w:pos="2552"/>
        </w:tabs>
        <w:spacing w:line="360" w:lineRule="auto"/>
        <w:ind w:left="1418" w:firstLine="744"/>
        <w:jc w:val="both"/>
        <w:rPr>
          <w:i/>
          <w:sz w:val="22"/>
          <w:szCs w:val="22"/>
        </w:rPr>
      </w:pPr>
      <w:r>
        <w:rPr>
          <w:i/>
          <w:sz w:val="22"/>
          <w:szCs w:val="22"/>
        </w:rPr>
        <w:t>(1)</w:t>
      </w:r>
      <w:r>
        <w:rPr>
          <w:i/>
          <w:sz w:val="22"/>
          <w:szCs w:val="22"/>
        </w:rPr>
        <w:tab/>
      </w:r>
      <w:r w:rsidR="00C56D8C" w:rsidRPr="002B62AE">
        <w:rPr>
          <w:i/>
          <w:sz w:val="22"/>
          <w:szCs w:val="22"/>
        </w:rPr>
        <w:t>A party who failed to obtain an extension of a period by agreement with the other party, the clerk or the registrar, as the case may be, under rule 4 may then apply to the tax court under this Part for an order, on good cause shown-</w:t>
      </w:r>
    </w:p>
    <w:p w:rsidR="00C56D8C" w:rsidRPr="002B62AE" w:rsidRDefault="002B62AE" w:rsidP="002B62AE">
      <w:pPr>
        <w:tabs>
          <w:tab w:val="left" w:pos="2162"/>
          <w:tab w:val="left" w:pos="2552"/>
        </w:tabs>
        <w:spacing w:line="360" w:lineRule="auto"/>
        <w:ind w:left="1778" w:firstLine="744"/>
        <w:jc w:val="both"/>
        <w:rPr>
          <w:i/>
          <w:sz w:val="22"/>
          <w:szCs w:val="22"/>
        </w:rPr>
      </w:pPr>
      <w:r>
        <w:rPr>
          <w:i/>
          <w:sz w:val="22"/>
          <w:szCs w:val="22"/>
        </w:rPr>
        <w:t>(a)</w:t>
      </w:r>
      <w:r>
        <w:rPr>
          <w:i/>
          <w:sz w:val="22"/>
          <w:szCs w:val="22"/>
        </w:rPr>
        <w:tab/>
      </w:r>
      <w:proofErr w:type="gramStart"/>
      <w:r w:rsidR="00C56D8C" w:rsidRPr="002B62AE">
        <w:rPr>
          <w:i/>
          <w:sz w:val="22"/>
          <w:szCs w:val="22"/>
        </w:rPr>
        <w:t>condoning</w:t>
      </w:r>
      <w:proofErr w:type="gramEnd"/>
      <w:r w:rsidR="00C56D8C" w:rsidRPr="002B62AE">
        <w:rPr>
          <w:i/>
          <w:sz w:val="22"/>
          <w:szCs w:val="22"/>
        </w:rPr>
        <w:t xml:space="preserve"> the non-compliance with the period; and</w:t>
      </w:r>
    </w:p>
    <w:p w:rsidR="00C56D8C" w:rsidRPr="002B62AE" w:rsidRDefault="002B62AE" w:rsidP="002B62AE">
      <w:pPr>
        <w:tabs>
          <w:tab w:val="left" w:pos="2162"/>
          <w:tab w:val="left" w:pos="2552"/>
        </w:tabs>
        <w:spacing w:line="360" w:lineRule="auto"/>
        <w:ind w:left="2835" w:hanging="313"/>
        <w:jc w:val="both"/>
        <w:rPr>
          <w:i/>
          <w:sz w:val="22"/>
          <w:szCs w:val="22"/>
        </w:rPr>
      </w:pPr>
      <w:r>
        <w:rPr>
          <w:i/>
          <w:sz w:val="22"/>
          <w:szCs w:val="22"/>
        </w:rPr>
        <w:t>(b)</w:t>
      </w:r>
      <w:r>
        <w:rPr>
          <w:i/>
          <w:sz w:val="22"/>
          <w:szCs w:val="22"/>
        </w:rPr>
        <w:tab/>
      </w:r>
      <w:proofErr w:type="gramStart"/>
      <w:r w:rsidR="00C56D8C" w:rsidRPr="002B62AE">
        <w:rPr>
          <w:i/>
          <w:sz w:val="22"/>
          <w:szCs w:val="22"/>
        </w:rPr>
        <w:t>extending</w:t>
      </w:r>
      <w:proofErr w:type="gramEnd"/>
      <w:r w:rsidR="00C56D8C" w:rsidRPr="002B62AE">
        <w:rPr>
          <w:i/>
          <w:sz w:val="22"/>
          <w:szCs w:val="22"/>
        </w:rPr>
        <w:t xml:space="preserve"> the period for the further period that the tax court deems appropriate…</w:t>
      </w:r>
    </w:p>
    <w:p w:rsidR="00C56D8C" w:rsidRPr="006E485E" w:rsidRDefault="00C56D8C" w:rsidP="00C56D8C">
      <w:pPr>
        <w:pStyle w:val="ListParagraph"/>
        <w:tabs>
          <w:tab w:val="left" w:pos="2162"/>
          <w:tab w:val="left" w:pos="2552"/>
        </w:tabs>
        <w:spacing w:line="240" w:lineRule="auto"/>
        <w:ind w:left="2835"/>
        <w:jc w:val="both"/>
        <w:rPr>
          <w:i/>
          <w:sz w:val="22"/>
          <w:szCs w:val="22"/>
        </w:rPr>
      </w:pPr>
    </w:p>
    <w:p w:rsidR="00C56D8C" w:rsidRPr="002B62AE" w:rsidRDefault="002B62AE" w:rsidP="002B62AE">
      <w:pPr>
        <w:tabs>
          <w:tab w:val="left" w:pos="2162"/>
          <w:tab w:val="left" w:pos="2552"/>
        </w:tabs>
        <w:spacing w:line="360" w:lineRule="auto"/>
        <w:ind w:left="1418" w:firstLine="744"/>
        <w:jc w:val="both"/>
        <w:rPr>
          <w:i/>
          <w:sz w:val="22"/>
          <w:szCs w:val="22"/>
        </w:rPr>
      </w:pPr>
      <w:r w:rsidRPr="00912CA7">
        <w:rPr>
          <w:i/>
          <w:sz w:val="22"/>
          <w:szCs w:val="22"/>
        </w:rPr>
        <w:t>(6)</w:t>
      </w:r>
      <w:r w:rsidRPr="00912CA7">
        <w:rPr>
          <w:i/>
          <w:sz w:val="22"/>
          <w:szCs w:val="22"/>
        </w:rPr>
        <w:tab/>
      </w:r>
      <w:r w:rsidR="00C56D8C" w:rsidRPr="002B62AE">
        <w:rPr>
          <w:i/>
          <w:sz w:val="22"/>
          <w:szCs w:val="22"/>
        </w:rPr>
        <w:t xml:space="preserve">A party who failed to deliver a statement as and when required under rule 31, 32 or 33, </w:t>
      </w:r>
      <w:r w:rsidR="00C56D8C" w:rsidRPr="002B62AE">
        <w:rPr>
          <w:i/>
          <w:sz w:val="22"/>
          <w:szCs w:val="22"/>
          <w:u w:val="single"/>
        </w:rPr>
        <w:t>may apply to the tax court</w:t>
      </w:r>
      <w:r w:rsidR="00C56D8C" w:rsidRPr="002B62AE">
        <w:rPr>
          <w:i/>
          <w:sz w:val="22"/>
          <w:szCs w:val="22"/>
        </w:rPr>
        <w:t xml:space="preserve"> under this Part for an order condoning the failure to deliver the statement and the determination of a further period within which the statement may be delivered.’</w:t>
      </w:r>
    </w:p>
    <w:p w:rsidR="00A0482D" w:rsidRDefault="00A0482D">
      <w:pPr>
        <w:rPr>
          <w:i/>
          <w:sz w:val="22"/>
          <w:szCs w:val="22"/>
        </w:rPr>
      </w:pPr>
      <w:r>
        <w:rPr>
          <w:i/>
          <w:sz w:val="22"/>
          <w:szCs w:val="22"/>
        </w:rPr>
        <w:br w:type="page"/>
      </w:r>
    </w:p>
    <w:p w:rsidR="008E754B" w:rsidRPr="00C56D8C" w:rsidRDefault="002B62AE" w:rsidP="002B62AE">
      <w:pPr>
        <w:spacing w:line="600" w:lineRule="auto"/>
        <w:ind w:left="720" w:hanging="720"/>
        <w:jc w:val="both"/>
      </w:pPr>
      <w:r w:rsidRPr="00C56D8C">
        <w:lastRenderedPageBreak/>
        <w:t>[7]</w:t>
      </w:r>
      <w:r w:rsidRPr="00C56D8C">
        <w:tab/>
      </w:r>
      <w:r w:rsidR="00486CAE">
        <w:t>Lastly</w:t>
      </w:r>
      <w:r w:rsidR="008E754B" w:rsidRPr="008E754B">
        <w:t xml:space="preserve">, </w:t>
      </w:r>
      <w:r w:rsidR="008E754B">
        <w:t xml:space="preserve">rule </w:t>
      </w:r>
      <w:r w:rsidR="001C4911">
        <w:t>56 reads as follows:</w:t>
      </w:r>
    </w:p>
    <w:p w:rsidR="00486CAE" w:rsidRPr="001C4911" w:rsidRDefault="00486CAE" w:rsidP="00486CAE">
      <w:pPr>
        <w:pStyle w:val="ListParagraph"/>
        <w:tabs>
          <w:tab w:val="left" w:pos="2162"/>
        </w:tabs>
        <w:spacing w:line="240" w:lineRule="auto"/>
        <w:ind w:left="709"/>
        <w:jc w:val="both"/>
        <w:rPr>
          <w:i/>
        </w:rPr>
      </w:pPr>
    </w:p>
    <w:p w:rsidR="001C4911" w:rsidRDefault="001C4911" w:rsidP="001C4911">
      <w:pPr>
        <w:tabs>
          <w:tab w:val="left" w:pos="2162"/>
        </w:tabs>
        <w:spacing w:line="360" w:lineRule="auto"/>
        <w:ind w:left="2160" w:hanging="742"/>
        <w:jc w:val="both"/>
        <w:rPr>
          <w:i/>
          <w:sz w:val="22"/>
          <w:szCs w:val="22"/>
        </w:rPr>
      </w:pPr>
      <w:r>
        <w:rPr>
          <w:i/>
          <w:sz w:val="22"/>
          <w:szCs w:val="22"/>
        </w:rPr>
        <w:t>‘</w:t>
      </w:r>
      <w:r>
        <w:rPr>
          <w:b/>
          <w:i/>
          <w:sz w:val="22"/>
          <w:szCs w:val="22"/>
        </w:rPr>
        <w:t>56.</w:t>
      </w:r>
      <w:r>
        <w:rPr>
          <w:b/>
          <w:i/>
          <w:sz w:val="22"/>
          <w:szCs w:val="22"/>
        </w:rPr>
        <w:tab/>
        <w:t>Application for default judgment in the event of non-compliance with rules</w:t>
      </w:r>
    </w:p>
    <w:p w:rsidR="001C4911" w:rsidRPr="002B62AE" w:rsidRDefault="002B62AE" w:rsidP="002B62AE">
      <w:pPr>
        <w:tabs>
          <w:tab w:val="left" w:pos="2162"/>
          <w:tab w:val="left" w:pos="2694"/>
        </w:tabs>
        <w:spacing w:line="360" w:lineRule="auto"/>
        <w:ind w:left="1560" w:firstLine="490"/>
        <w:jc w:val="both"/>
        <w:rPr>
          <w:i/>
          <w:sz w:val="22"/>
          <w:szCs w:val="22"/>
        </w:rPr>
      </w:pPr>
      <w:r>
        <w:rPr>
          <w:i/>
          <w:sz w:val="22"/>
          <w:szCs w:val="22"/>
        </w:rPr>
        <w:t>(1)</w:t>
      </w:r>
      <w:r>
        <w:rPr>
          <w:i/>
          <w:sz w:val="22"/>
          <w:szCs w:val="22"/>
        </w:rPr>
        <w:tab/>
      </w:r>
      <w:r w:rsidR="001C4911" w:rsidRPr="002B62AE">
        <w:rPr>
          <w:i/>
          <w:sz w:val="22"/>
          <w:szCs w:val="22"/>
          <w:u w:val="single"/>
        </w:rPr>
        <w:t xml:space="preserve"> If a party has failed to comply with a period or obligation prescribed under these rules</w:t>
      </w:r>
      <w:r w:rsidR="001C4911" w:rsidRPr="002B62AE">
        <w:rPr>
          <w:i/>
          <w:sz w:val="22"/>
          <w:szCs w:val="22"/>
        </w:rPr>
        <w:t xml:space="preserve"> or an order by the tax court under this Part, </w:t>
      </w:r>
      <w:r w:rsidR="001C4911" w:rsidRPr="002B62AE">
        <w:rPr>
          <w:i/>
          <w:sz w:val="22"/>
          <w:szCs w:val="22"/>
          <w:u w:val="single"/>
        </w:rPr>
        <w:t>the other party may</w:t>
      </w:r>
      <w:r w:rsidR="001C4911" w:rsidRPr="002B62AE">
        <w:rPr>
          <w:i/>
          <w:sz w:val="22"/>
          <w:szCs w:val="22"/>
        </w:rPr>
        <w:t>—</w:t>
      </w:r>
    </w:p>
    <w:p w:rsidR="001C4911" w:rsidRPr="002B62AE" w:rsidRDefault="002B62AE" w:rsidP="002B62AE">
      <w:pPr>
        <w:tabs>
          <w:tab w:val="left" w:pos="2162"/>
          <w:tab w:val="left" w:pos="2694"/>
        </w:tabs>
        <w:spacing w:line="360" w:lineRule="auto"/>
        <w:ind w:left="1920" w:hanging="360"/>
        <w:jc w:val="both"/>
        <w:rPr>
          <w:i/>
          <w:sz w:val="22"/>
          <w:szCs w:val="22"/>
        </w:rPr>
      </w:pPr>
      <w:r>
        <w:rPr>
          <w:i/>
          <w:sz w:val="22"/>
          <w:szCs w:val="22"/>
        </w:rPr>
        <w:t>(a)</w:t>
      </w:r>
      <w:r>
        <w:rPr>
          <w:i/>
          <w:sz w:val="22"/>
          <w:szCs w:val="22"/>
        </w:rPr>
        <w:tab/>
      </w:r>
      <w:r w:rsidR="001C4911" w:rsidRPr="002B62AE">
        <w:rPr>
          <w:i/>
          <w:sz w:val="22"/>
          <w:szCs w:val="22"/>
        </w:rPr>
        <w:t>deliver a notice to the defaulting party informing the party of the intention to apply to the tax court for a final order under section 129(2) of the Act in the event that the defaulting party fails to remedy the default within 15 days of delivery of the notice; and</w:t>
      </w:r>
    </w:p>
    <w:p w:rsidR="001C4911" w:rsidRPr="002B62AE" w:rsidRDefault="002B62AE" w:rsidP="002B62AE">
      <w:pPr>
        <w:tabs>
          <w:tab w:val="left" w:pos="2162"/>
          <w:tab w:val="left" w:pos="2694"/>
        </w:tabs>
        <w:spacing w:line="360" w:lineRule="auto"/>
        <w:ind w:left="1920" w:hanging="360"/>
        <w:jc w:val="both"/>
        <w:rPr>
          <w:i/>
          <w:sz w:val="22"/>
          <w:szCs w:val="22"/>
        </w:rPr>
      </w:pPr>
      <w:r w:rsidRPr="00EC424D">
        <w:rPr>
          <w:i/>
          <w:sz w:val="22"/>
          <w:szCs w:val="22"/>
        </w:rPr>
        <w:t>(b)</w:t>
      </w:r>
      <w:r w:rsidRPr="00EC424D">
        <w:rPr>
          <w:i/>
          <w:sz w:val="22"/>
          <w:szCs w:val="22"/>
        </w:rPr>
        <w:tab/>
      </w:r>
      <w:proofErr w:type="gramStart"/>
      <w:r w:rsidR="001C4911" w:rsidRPr="002B62AE">
        <w:rPr>
          <w:i/>
          <w:sz w:val="22"/>
          <w:szCs w:val="22"/>
          <w:u w:val="single"/>
        </w:rPr>
        <w:t>if</w:t>
      </w:r>
      <w:proofErr w:type="gramEnd"/>
      <w:r w:rsidR="001C4911" w:rsidRPr="002B62AE">
        <w:rPr>
          <w:i/>
          <w:sz w:val="22"/>
          <w:szCs w:val="22"/>
          <w:u w:val="single"/>
        </w:rPr>
        <w:t xml:space="preserve"> the defaulting party fails to remedy the default within the prescribed period, apply, on notice to the defaulting party, to the tax court for a final order under section 129(2)</w:t>
      </w:r>
      <w:r w:rsidR="001C4911" w:rsidRPr="002B62AE">
        <w:rPr>
          <w:i/>
          <w:sz w:val="22"/>
          <w:szCs w:val="22"/>
        </w:rPr>
        <w:t xml:space="preserve">. </w:t>
      </w:r>
    </w:p>
    <w:p w:rsidR="001C4911" w:rsidRPr="002B62AE" w:rsidRDefault="002B62AE" w:rsidP="002B62AE">
      <w:pPr>
        <w:tabs>
          <w:tab w:val="left" w:pos="2162"/>
          <w:tab w:val="left" w:pos="2694"/>
        </w:tabs>
        <w:spacing w:line="360" w:lineRule="auto"/>
        <w:ind w:left="1560" w:firstLine="425"/>
        <w:jc w:val="both"/>
        <w:rPr>
          <w:i/>
          <w:sz w:val="22"/>
          <w:szCs w:val="22"/>
        </w:rPr>
      </w:pPr>
      <w:r>
        <w:rPr>
          <w:i/>
          <w:sz w:val="22"/>
          <w:szCs w:val="22"/>
        </w:rPr>
        <w:t>(2)</w:t>
      </w:r>
      <w:r>
        <w:rPr>
          <w:i/>
          <w:sz w:val="22"/>
          <w:szCs w:val="22"/>
        </w:rPr>
        <w:tab/>
      </w:r>
      <w:r w:rsidR="001C4911" w:rsidRPr="002B62AE">
        <w:rPr>
          <w:i/>
          <w:sz w:val="22"/>
          <w:szCs w:val="22"/>
          <w:u w:val="single"/>
        </w:rPr>
        <w:t>The tax court may, on hearing the application</w:t>
      </w:r>
      <w:r w:rsidR="001C4911" w:rsidRPr="002B62AE">
        <w:rPr>
          <w:i/>
          <w:sz w:val="22"/>
          <w:szCs w:val="22"/>
        </w:rPr>
        <w:t>—</w:t>
      </w:r>
    </w:p>
    <w:p w:rsidR="001C4911" w:rsidRPr="002B62AE" w:rsidRDefault="002B62AE" w:rsidP="002B62AE">
      <w:pPr>
        <w:tabs>
          <w:tab w:val="left" w:pos="2162"/>
          <w:tab w:val="left" w:pos="2694"/>
        </w:tabs>
        <w:spacing w:line="360" w:lineRule="auto"/>
        <w:ind w:left="1920" w:hanging="360"/>
        <w:jc w:val="both"/>
        <w:rPr>
          <w:i/>
          <w:sz w:val="22"/>
          <w:szCs w:val="22"/>
        </w:rPr>
      </w:pPr>
      <w:r>
        <w:rPr>
          <w:i/>
          <w:sz w:val="22"/>
          <w:szCs w:val="22"/>
        </w:rPr>
        <w:t>(a)</w:t>
      </w:r>
      <w:r>
        <w:rPr>
          <w:i/>
          <w:sz w:val="22"/>
          <w:szCs w:val="22"/>
        </w:rPr>
        <w:tab/>
      </w:r>
      <w:proofErr w:type="gramStart"/>
      <w:r w:rsidR="001C4911" w:rsidRPr="002B62AE">
        <w:rPr>
          <w:i/>
          <w:sz w:val="22"/>
          <w:szCs w:val="22"/>
        </w:rPr>
        <w:t>in</w:t>
      </w:r>
      <w:proofErr w:type="gramEnd"/>
      <w:r w:rsidR="001C4911" w:rsidRPr="002B62AE">
        <w:rPr>
          <w:i/>
          <w:sz w:val="22"/>
          <w:szCs w:val="22"/>
        </w:rPr>
        <w:t xml:space="preserve"> the absence of good cause shown by the defaulting party for the default in issue make an order under section 129(2); or</w:t>
      </w:r>
    </w:p>
    <w:p w:rsidR="001C4911" w:rsidRPr="002B62AE" w:rsidRDefault="002B62AE" w:rsidP="002B62AE">
      <w:pPr>
        <w:tabs>
          <w:tab w:val="left" w:pos="2162"/>
          <w:tab w:val="left" w:pos="2694"/>
        </w:tabs>
        <w:spacing w:line="360" w:lineRule="auto"/>
        <w:ind w:left="1920" w:hanging="360"/>
        <w:jc w:val="both"/>
        <w:rPr>
          <w:i/>
          <w:sz w:val="22"/>
          <w:szCs w:val="22"/>
        </w:rPr>
      </w:pPr>
      <w:r>
        <w:rPr>
          <w:i/>
          <w:sz w:val="22"/>
          <w:szCs w:val="22"/>
        </w:rPr>
        <w:t>(b)</w:t>
      </w:r>
      <w:r>
        <w:rPr>
          <w:i/>
          <w:sz w:val="22"/>
          <w:szCs w:val="22"/>
        </w:rPr>
        <w:tab/>
      </w:r>
      <w:r w:rsidR="001C4911" w:rsidRPr="002B62AE">
        <w:rPr>
          <w:i/>
          <w:sz w:val="22"/>
          <w:szCs w:val="22"/>
        </w:rPr>
        <w:t>make an order compelling the defaulting party to comply with the relevant requirement within such time as the court considers appropriate and, if the defaulting party fails to abide by the court’s order by the due date, make an order under section 129(2) without further notice to the defaulting party.’</w:t>
      </w:r>
    </w:p>
    <w:p w:rsidR="005C4500" w:rsidRPr="00EC424D" w:rsidRDefault="005C4500" w:rsidP="005C4500">
      <w:pPr>
        <w:pStyle w:val="ListParagraph"/>
        <w:tabs>
          <w:tab w:val="left" w:pos="2162"/>
          <w:tab w:val="left" w:pos="2694"/>
        </w:tabs>
        <w:spacing w:line="240" w:lineRule="auto"/>
        <w:ind w:left="1920"/>
        <w:jc w:val="both"/>
        <w:rPr>
          <w:i/>
          <w:sz w:val="22"/>
          <w:szCs w:val="22"/>
        </w:rPr>
      </w:pPr>
    </w:p>
    <w:p w:rsidR="001C4911" w:rsidRDefault="005C4500" w:rsidP="005C4500">
      <w:pPr>
        <w:ind w:left="1560"/>
        <w:jc w:val="both"/>
        <w:rPr>
          <w:sz w:val="22"/>
          <w:szCs w:val="22"/>
        </w:rPr>
      </w:pPr>
      <w:r>
        <w:rPr>
          <w:sz w:val="22"/>
          <w:szCs w:val="22"/>
        </w:rPr>
        <w:t>(emphasis supplied)</w:t>
      </w:r>
    </w:p>
    <w:p w:rsidR="00C56D8C" w:rsidRPr="005C4500" w:rsidRDefault="00C56D8C" w:rsidP="005C4500">
      <w:pPr>
        <w:ind w:left="1560"/>
        <w:jc w:val="both"/>
        <w:rPr>
          <w:sz w:val="22"/>
          <w:szCs w:val="22"/>
        </w:rPr>
      </w:pPr>
    </w:p>
    <w:p w:rsidR="001C4911" w:rsidRDefault="001C4911" w:rsidP="001C4911">
      <w:pPr>
        <w:jc w:val="both"/>
        <w:rPr>
          <w:b/>
          <w:u w:val="single"/>
        </w:rPr>
      </w:pPr>
      <w:r>
        <w:rPr>
          <w:b/>
          <w:u w:val="single"/>
        </w:rPr>
        <w:t xml:space="preserve">The </w:t>
      </w:r>
      <w:r w:rsidR="00B9655E">
        <w:rPr>
          <w:b/>
          <w:u w:val="single"/>
        </w:rPr>
        <w:t>t</w:t>
      </w:r>
      <w:r>
        <w:rPr>
          <w:b/>
          <w:u w:val="single"/>
        </w:rPr>
        <w:t>axpayer’s argument</w:t>
      </w:r>
    </w:p>
    <w:p w:rsidR="001C4911" w:rsidRPr="001C4911" w:rsidRDefault="001C4911" w:rsidP="001C4911">
      <w:pPr>
        <w:spacing w:line="240" w:lineRule="auto"/>
        <w:jc w:val="both"/>
        <w:rPr>
          <w:b/>
          <w:u w:val="single"/>
        </w:rPr>
      </w:pPr>
    </w:p>
    <w:p w:rsidR="001C4911" w:rsidRPr="002B62AE" w:rsidRDefault="002B62AE" w:rsidP="002B62AE">
      <w:pPr>
        <w:tabs>
          <w:tab w:val="left" w:pos="2162"/>
        </w:tabs>
        <w:ind w:left="709" w:hanging="709"/>
        <w:jc w:val="both"/>
        <w:rPr>
          <w:i/>
        </w:rPr>
      </w:pPr>
      <w:r w:rsidRPr="00FE5AA2">
        <w:t>[8]</w:t>
      </w:r>
      <w:r w:rsidRPr="00FE5AA2">
        <w:tab/>
      </w:r>
      <w:r w:rsidR="00FE5AA2">
        <w:t xml:space="preserve">The </w:t>
      </w:r>
      <w:r w:rsidR="00B9655E">
        <w:t>t</w:t>
      </w:r>
      <w:r w:rsidR="00FE5AA2">
        <w:t xml:space="preserve">axpayer </w:t>
      </w:r>
      <w:r w:rsidR="005C4500">
        <w:t>submits</w:t>
      </w:r>
      <w:r w:rsidR="00FE5AA2">
        <w:t xml:space="preserve"> that there is a distinct difference</w:t>
      </w:r>
      <w:r w:rsidR="005C4500">
        <w:t xml:space="preserve"> in consequence</w:t>
      </w:r>
      <w:r w:rsidR="00FE5AA2">
        <w:t xml:space="preserve"> between the failure to comply with the time period imposed for the delivery of a rule 31 statement (and similarly, a rule 32 or 33 statement) and any other failure to </w:t>
      </w:r>
      <w:r w:rsidR="005C4500">
        <w:t xml:space="preserve">comply with a time period prescribed in </w:t>
      </w:r>
      <w:r w:rsidR="00FE5AA2">
        <w:t xml:space="preserve">the rules. As I understand it, </w:t>
      </w:r>
      <w:r w:rsidR="00D74D00">
        <w:t xml:space="preserve">the taxpayer </w:t>
      </w:r>
      <w:r w:rsidR="00FE5AA2">
        <w:t>advances three principal reasons</w:t>
      </w:r>
      <w:r w:rsidR="00D74D00">
        <w:t xml:space="preserve"> for this submission. </w:t>
      </w:r>
    </w:p>
    <w:p w:rsidR="00FE5AA2" w:rsidRPr="00FE5AA2" w:rsidRDefault="00FE5AA2" w:rsidP="00FE5AA2">
      <w:pPr>
        <w:pStyle w:val="ListParagraph"/>
        <w:tabs>
          <w:tab w:val="left" w:pos="2162"/>
        </w:tabs>
        <w:ind w:left="709"/>
        <w:jc w:val="both"/>
        <w:rPr>
          <w:i/>
        </w:rPr>
      </w:pPr>
    </w:p>
    <w:p w:rsidR="00FE5AA2" w:rsidRPr="002B62AE" w:rsidRDefault="002B62AE" w:rsidP="002B62AE">
      <w:pPr>
        <w:tabs>
          <w:tab w:val="left" w:pos="2162"/>
        </w:tabs>
        <w:ind w:left="709" w:hanging="709"/>
        <w:jc w:val="both"/>
        <w:rPr>
          <w:i/>
        </w:rPr>
      </w:pPr>
      <w:r w:rsidRPr="00B9655E">
        <w:lastRenderedPageBreak/>
        <w:t>[9]</w:t>
      </w:r>
      <w:r w:rsidRPr="00B9655E">
        <w:tab/>
      </w:r>
      <w:r w:rsidR="00FE5AA2">
        <w:t xml:space="preserve">First, rule 52(6) is a stand alone provision dealing with the late filing of pleadings (as is the case here). It should not be confused with the more general rule 52(1), which deals with a party failing to comply with time lines under the rules generally, and expressly allows for a party to be late on account of an agreement </w:t>
      </w:r>
      <w:r w:rsidR="00294D55">
        <w:t xml:space="preserve">reached </w:t>
      </w:r>
      <w:r w:rsidR="00FE5AA2">
        <w:t xml:space="preserve">to that effect with the other </w:t>
      </w:r>
      <w:r w:rsidR="00294D55">
        <w:t>party. By contrast</w:t>
      </w:r>
      <w:r w:rsidR="00020ADF">
        <w:t>,</w:t>
      </w:r>
      <w:r w:rsidR="00294D55">
        <w:t xml:space="preserve"> rule 52(6) does not permit parties to agree to such </w:t>
      </w:r>
      <w:r w:rsidR="00020ADF">
        <w:t xml:space="preserve">an </w:t>
      </w:r>
      <w:r w:rsidR="00294D55">
        <w:t xml:space="preserve">indulgence where the filing of pleadings is concerned. Rule 4(1) in any event has no application since SARS did not request a further extension before expiry of the </w:t>
      </w:r>
      <w:r w:rsidR="00020ADF">
        <w:t>“</w:t>
      </w:r>
      <w:r w:rsidR="00294D55">
        <w:t>deadline</w:t>
      </w:r>
      <w:r w:rsidR="00020ADF">
        <w:t>”</w:t>
      </w:r>
      <w:r w:rsidR="00294D55">
        <w:t xml:space="preserve"> of 13 October 2021.</w:t>
      </w:r>
    </w:p>
    <w:p w:rsidR="00B9655E" w:rsidRPr="00B9655E" w:rsidRDefault="00B9655E" w:rsidP="00B9655E">
      <w:pPr>
        <w:tabs>
          <w:tab w:val="left" w:pos="2162"/>
        </w:tabs>
        <w:jc w:val="both"/>
        <w:rPr>
          <w:i/>
        </w:rPr>
      </w:pPr>
    </w:p>
    <w:p w:rsidR="00294D55" w:rsidRPr="002B62AE" w:rsidRDefault="002B62AE" w:rsidP="002B62AE">
      <w:pPr>
        <w:tabs>
          <w:tab w:val="left" w:pos="2162"/>
        </w:tabs>
        <w:ind w:left="709" w:hanging="709"/>
        <w:jc w:val="both"/>
        <w:rPr>
          <w:i/>
        </w:rPr>
      </w:pPr>
      <w:r w:rsidRPr="00294D55">
        <w:t>[10]</w:t>
      </w:r>
      <w:r w:rsidRPr="00294D55">
        <w:tab/>
      </w:r>
      <w:r w:rsidR="00294D55">
        <w:t xml:space="preserve">Second, the plain language of rule 52(6) requires that a rule 31 statement </w:t>
      </w:r>
      <w:r w:rsidR="00294D55" w:rsidRPr="002B62AE">
        <w:rPr>
          <w:u w:val="single"/>
        </w:rPr>
        <w:t>must</w:t>
      </w:r>
      <w:r w:rsidR="00294D55">
        <w:t xml:space="preserve"> be accompanied by a condonation application if filed out of time in order to explain to the </w:t>
      </w:r>
      <w:r w:rsidR="00020ADF">
        <w:t>c</w:t>
      </w:r>
      <w:r w:rsidR="00294D55">
        <w:t>ourt why it is late, notwithstanding that a final s 129(2) order has been threatened by way of a rule 56(1</w:t>
      </w:r>
      <w:proofErr w:type="gramStart"/>
      <w:r w:rsidR="00294D55">
        <w:t>)(</w:t>
      </w:r>
      <w:proofErr w:type="gramEnd"/>
      <w:r w:rsidR="00294D55">
        <w:t>a) notice, or that consent for late filing of the pleading has been given by the other party.</w:t>
      </w:r>
    </w:p>
    <w:p w:rsidR="00294D55" w:rsidRPr="00294D55" w:rsidRDefault="00294D55" w:rsidP="00294D55">
      <w:pPr>
        <w:pStyle w:val="ListParagraph"/>
        <w:tabs>
          <w:tab w:val="left" w:pos="2162"/>
        </w:tabs>
        <w:ind w:left="709"/>
        <w:jc w:val="both"/>
        <w:rPr>
          <w:i/>
        </w:rPr>
      </w:pPr>
    </w:p>
    <w:p w:rsidR="00294D55" w:rsidRPr="002B62AE" w:rsidRDefault="002B62AE" w:rsidP="002B62AE">
      <w:pPr>
        <w:tabs>
          <w:tab w:val="left" w:pos="2162"/>
        </w:tabs>
        <w:ind w:left="709" w:hanging="709"/>
        <w:jc w:val="both"/>
        <w:rPr>
          <w:i/>
        </w:rPr>
      </w:pPr>
      <w:r w:rsidRPr="00D402E6">
        <w:t>[11]</w:t>
      </w:r>
      <w:r w:rsidRPr="00D402E6">
        <w:tab/>
      </w:r>
      <w:r w:rsidR="00294D55">
        <w:t>Third, given that the tax court</w:t>
      </w:r>
      <w:r w:rsidR="00D402E6">
        <w:t xml:space="preserve"> is a creature of statute, rule 52(6) must be read as requiring strict compliance, since otherwise – absent a condonation application – the rule 31 statement can never be properly before the </w:t>
      </w:r>
      <w:r w:rsidR="00020ADF">
        <w:t>c</w:t>
      </w:r>
      <w:r w:rsidR="00D402E6">
        <w:t>ourt, and this will taint the entire proceedings with irregularity, particularly given that unlike civil litigation, it is SARS who is required to fire the first salvo</w:t>
      </w:r>
      <w:r w:rsidR="00912CA7">
        <w:t xml:space="preserve"> in the form of a rule 31 statement, and </w:t>
      </w:r>
      <w:r w:rsidR="00D402E6">
        <w:t xml:space="preserve">not the </w:t>
      </w:r>
      <w:r w:rsidR="00B9655E">
        <w:t>t</w:t>
      </w:r>
      <w:r w:rsidR="00D402E6">
        <w:t>axpayer, for the appeal to proceed.</w:t>
      </w:r>
    </w:p>
    <w:p w:rsidR="00D402E6" w:rsidRPr="00D402E6" w:rsidRDefault="00D402E6" w:rsidP="00D402E6">
      <w:pPr>
        <w:pStyle w:val="ListParagraph"/>
        <w:rPr>
          <w:i/>
        </w:rPr>
      </w:pPr>
    </w:p>
    <w:p w:rsidR="00D402E6" w:rsidRPr="002B62AE" w:rsidRDefault="002B62AE" w:rsidP="002B62AE">
      <w:pPr>
        <w:tabs>
          <w:tab w:val="left" w:pos="2162"/>
        </w:tabs>
        <w:ind w:left="709" w:hanging="709"/>
        <w:jc w:val="both"/>
        <w:rPr>
          <w:i/>
        </w:rPr>
      </w:pPr>
      <w:r w:rsidRPr="00863E66">
        <w:lastRenderedPageBreak/>
        <w:t>[12]</w:t>
      </w:r>
      <w:r w:rsidRPr="00863E66">
        <w:tab/>
      </w:r>
      <w:r w:rsidR="00D402E6">
        <w:t xml:space="preserve">The </w:t>
      </w:r>
      <w:r w:rsidR="00B9655E">
        <w:t>t</w:t>
      </w:r>
      <w:r w:rsidR="00D402E6">
        <w:t>axpayer also relies on</w:t>
      </w:r>
      <w:r w:rsidR="00A5486E">
        <w:t xml:space="preserve"> IT25117</w:t>
      </w:r>
      <w:r w:rsidR="00D402E6" w:rsidRPr="00863D34">
        <w:rPr>
          <w:rStyle w:val="FootnoteReference"/>
        </w:rPr>
        <w:footnoteReference w:id="3"/>
      </w:r>
      <w:r w:rsidR="00863D34">
        <w:t xml:space="preserve"> where SARS failed to deliver its rule 31 statement within the prescribed 45</w:t>
      </w:r>
      <w:r w:rsidR="00A5486E">
        <w:t>-</w:t>
      </w:r>
      <w:r w:rsidR="00863D34">
        <w:t>day period and the applicant served a rule 56(1</w:t>
      </w:r>
      <w:proofErr w:type="gramStart"/>
      <w:r w:rsidR="00A5486E">
        <w:t>)</w:t>
      </w:r>
      <w:r w:rsidR="00863D34">
        <w:t>(</w:t>
      </w:r>
      <w:proofErr w:type="gramEnd"/>
      <w:r w:rsidR="00863D34">
        <w:t xml:space="preserve">a) notice calling upon it to remedy its default. SARS </w:t>
      </w:r>
      <w:r w:rsidR="00A5486E">
        <w:t xml:space="preserve">then </w:t>
      </w:r>
      <w:r w:rsidR="00863D34">
        <w:t xml:space="preserve">delivered its statement within the </w:t>
      </w:r>
      <w:r w:rsidR="00A5486E">
        <w:t>required</w:t>
      </w:r>
      <w:r w:rsidR="00863D34">
        <w:t xml:space="preserve"> 15</w:t>
      </w:r>
      <w:r w:rsidR="00A5486E">
        <w:t>-</w:t>
      </w:r>
      <w:r w:rsidR="00863D34">
        <w:t>day period</w:t>
      </w:r>
      <w:r w:rsidR="004871F1">
        <w:t xml:space="preserve">, but the taxpayer nonetheless applied </w:t>
      </w:r>
      <w:r w:rsidR="00863D34">
        <w:t>for default judgment</w:t>
      </w:r>
      <w:r w:rsidR="00820328">
        <w:t>.</w:t>
      </w:r>
      <w:r w:rsidR="00863D34">
        <w:t xml:space="preserve"> </w:t>
      </w:r>
      <w:r w:rsidR="00863E66">
        <w:t>It was in response to the application for default judgment that SARS applied to have it set aside as an irregular step in terms of uniform rule 30.</w:t>
      </w:r>
    </w:p>
    <w:p w:rsidR="00863E66" w:rsidRPr="00863E66" w:rsidRDefault="00863E66" w:rsidP="00863E66">
      <w:pPr>
        <w:pStyle w:val="ListParagraph"/>
        <w:rPr>
          <w:i/>
        </w:rPr>
      </w:pPr>
    </w:p>
    <w:p w:rsidR="00863E66" w:rsidRPr="002B62AE" w:rsidRDefault="002B62AE" w:rsidP="002B62AE">
      <w:pPr>
        <w:tabs>
          <w:tab w:val="left" w:pos="2162"/>
        </w:tabs>
        <w:ind w:left="709" w:hanging="709"/>
        <w:jc w:val="both"/>
        <w:rPr>
          <w:i/>
        </w:rPr>
      </w:pPr>
      <w:r w:rsidRPr="00863E66">
        <w:t>[13]</w:t>
      </w:r>
      <w:r w:rsidRPr="00863E66">
        <w:tab/>
      </w:r>
      <w:r w:rsidR="00863E66">
        <w:t xml:space="preserve">From a reading of the judgment it appears that the taxpayer’s argument in that matter was different from the one advanced before me. The taxpayer took the stance that because SARS did not invoke rule 4(2) – which is in peremptory terms, i.e. that a request for an extension </w:t>
      </w:r>
      <w:r w:rsidR="00863E66" w:rsidRPr="002B62AE">
        <w:rPr>
          <w:u w:val="single"/>
        </w:rPr>
        <w:t>must</w:t>
      </w:r>
      <w:r w:rsidR="00863E66">
        <w:t xml:space="preserve"> be delivered prior to expiry of </w:t>
      </w:r>
      <w:r w:rsidR="00863E66" w:rsidRPr="002B62AE">
        <w:rPr>
          <w:i/>
        </w:rPr>
        <w:t>‘the period prescribed under these rules’</w:t>
      </w:r>
      <w:r w:rsidR="00863E66">
        <w:t xml:space="preserve">, the rule 31 statement was not properly before the </w:t>
      </w:r>
      <w:r w:rsidR="00820328">
        <w:t>c</w:t>
      </w:r>
      <w:r w:rsidR="00863E66">
        <w:t>ourt. Accordingly, and understandably, the judgment focused on that issue, as is evident from the following:</w:t>
      </w:r>
    </w:p>
    <w:p w:rsidR="00863E66" w:rsidRDefault="00863E66" w:rsidP="00863E66">
      <w:pPr>
        <w:pStyle w:val="ListParagraph"/>
      </w:pPr>
    </w:p>
    <w:p w:rsidR="00863E66" w:rsidRDefault="00E243DF" w:rsidP="00E243DF">
      <w:pPr>
        <w:pStyle w:val="ListParagraph"/>
        <w:spacing w:line="360" w:lineRule="auto"/>
        <w:ind w:left="1440"/>
        <w:jc w:val="both"/>
        <w:rPr>
          <w:i/>
          <w:sz w:val="22"/>
          <w:szCs w:val="22"/>
        </w:rPr>
      </w:pPr>
      <w:r>
        <w:rPr>
          <w:i/>
          <w:sz w:val="22"/>
          <w:szCs w:val="22"/>
        </w:rPr>
        <w:t>‘[16]   Rule 4 is part and parcel of the procedure and conduct and hearing of appeals in the Tax Court…</w:t>
      </w:r>
    </w:p>
    <w:p w:rsidR="00E243DF" w:rsidRDefault="00E243DF" w:rsidP="00E243DF">
      <w:pPr>
        <w:pStyle w:val="ListParagraph"/>
        <w:spacing w:line="240" w:lineRule="auto"/>
        <w:ind w:left="1440"/>
        <w:jc w:val="both"/>
        <w:rPr>
          <w:i/>
          <w:sz w:val="22"/>
          <w:szCs w:val="22"/>
        </w:rPr>
      </w:pPr>
    </w:p>
    <w:p w:rsidR="00E243DF" w:rsidRDefault="00E243DF" w:rsidP="00E243DF">
      <w:pPr>
        <w:pStyle w:val="ListParagraph"/>
        <w:spacing w:line="360" w:lineRule="auto"/>
        <w:ind w:left="1440"/>
        <w:jc w:val="both"/>
        <w:rPr>
          <w:i/>
          <w:sz w:val="22"/>
          <w:szCs w:val="22"/>
        </w:rPr>
      </w:pPr>
      <w:r>
        <w:rPr>
          <w:i/>
          <w:sz w:val="22"/>
          <w:szCs w:val="22"/>
        </w:rPr>
        <w:t xml:space="preserve">[18]   The legislation provides clear time periods for all the parties to be adhered to. The ordinary grammatical meaning of the final time limit of filing of </w:t>
      </w:r>
      <w:r w:rsidR="004A26C8">
        <w:rPr>
          <w:sz w:val="22"/>
          <w:szCs w:val="22"/>
        </w:rPr>
        <w:t xml:space="preserve">[a] </w:t>
      </w:r>
      <w:r>
        <w:rPr>
          <w:i/>
          <w:sz w:val="22"/>
          <w:szCs w:val="22"/>
        </w:rPr>
        <w:t xml:space="preserve">rule 31 </w:t>
      </w:r>
      <w:r>
        <w:rPr>
          <w:sz w:val="22"/>
          <w:szCs w:val="22"/>
        </w:rPr>
        <w:t>[statement]</w:t>
      </w:r>
      <w:r>
        <w:rPr>
          <w:i/>
          <w:sz w:val="22"/>
          <w:szCs w:val="22"/>
        </w:rPr>
        <w:t xml:space="preserve"> is 45 days, in the event it is not met there is a clear provision in the form of rule 4 which provides perfect grammatical meaning as to time extension. Rule 4 is equally applicable to all the parties. Rule 56 must not be read in isolation unless the applicant being SARS is exempted from… compliance with rule 4(2)… What would be the purpose of rule 4(2)… if it is allowed to be superseded by </w:t>
      </w:r>
      <w:r>
        <w:rPr>
          <w:i/>
          <w:sz w:val="22"/>
          <w:szCs w:val="22"/>
        </w:rPr>
        <w:lastRenderedPageBreak/>
        <w:t>other Rules. I do not read the law to mean that other rules are less important than others…</w:t>
      </w:r>
      <w:r w:rsidR="004A26C8">
        <w:rPr>
          <w:i/>
          <w:sz w:val="22"/>
          <w:szCs w:val="22"/>
        </w:rPr>
        <w:t>’</w:t>
      </w:r>
    </w:p>
    <w:p w:rsidR="00E243DF" w:rsidRDefault="00E243DF" w:rsidP="00E243DF">
      <w:pPr>
        <w:pStyle w:val="ListParagraph"/>
        <w:spacing w:line="240" w:lineRule="auto"/>
        <w:ind w:left="1440"/>
        <w:jc w:val="both"/>
        <w:rPr>
          <w:i/>
          <w:sz w:val="22"/>
          <w:szCs w:val="22"/>
        </w:rPr>
      </w:pPr>
    </w:p>
    <w:p w:rsidR="004A26C8" w:rsidRDefault="004A26C8" w:rsidP="00E243DF">
      <w:pPr>
        <w:pStyle w:val="ListParagraph"/>
        <w:spacing w:line="240" w:lineRule="auto"/>
        <w:ind w:left="1440"/>
        <w:jc w:val="both"/>
        <w:rPr>
          <w:i/>
          <w:sz w:val="22"/>
          <w:szCs w:val="22"/>
        </w:rPr>
      </w:pPr>
    </w:p>
    <w:p w:rsidR="00863E66" w:rsidRPr="002B62AE" w:rsidRDefault="002B62AE" w:rsidP="002B62AE">
      <w:pPr>
        <w:tabs>
          <w:tab w:val="left" w:pos="2162"/>
        </w:tabs>
        <w:ind w:left="709" w:hanging="709"/>
        <w:jc w:val="both"/>
        <w:rPr>
          <w:i/>
        </w:rPr>
      </w:pPr>
      <w:r w:rsidRPr="00A0482D">
        <w:t>[14]</w:t>
      </w:r>
      <w:r w:rsidRPr="00A0482D">
        <w:tab/>
      </w:r>
      <w:r w:rsidR="00E243DF">
        <w:t>It also appears</w:t>
      </w:r>
      <w:r w:rsidR="00F54ACA">
        <w:t xml:space="preserve"> that</w:t>
      </w:r>
      <w:r w:rsidR="00E243DF">
        <w:t xml:space="preserve">, given </w:t>
      </w:r>
      <w:r w:rsidR="002D0334">
        <w:t xml:space="preserve">the </w:t>
      </w:r>
      <w:r w:rsidR="004A26C8">
        <w:t>court’s focus</w:t>
      </w:r>
      <w:r w:rsidR="002D0334">
        <w:t xml:space="preserve"> on rule 4(2), SARS’ argument that its default was cured by compliance with </w:t>
      </w:r>
      <w:r w:rsidR="00F54ACA">
        <w:t>the</w:t>
      </w:r>
      <w:r w:rsidR="002D0334">
        <w:t xml:space="preserve"> rule 56(1</w:t>
      </w:r>
      <w:proofErr w:type="gramStart"/>
      <w:r w:rsidR="002D0334">
        <w:t>)(</w:t>
      </w:r>
      <w:proofErr w:type="gramEnd"/>
      <w:r w:rsidR="002D0334">
        <w:t xml:space="preserve">a) notice was not specifically dealt with. </w:t>
      </w:r>
      <w:r w:rsidR="00F54ACA">
        <w:t>A</w:t>
      </w:r>
      <w:r w:rsidR="002D0334">
        <w:t xml:space="preserve">ccordingly it is my view that </w:t>
      </w:r>
      <w:r w:rsidR="00F54ACA">
        <w:t xml:space="preserve">IT25117 does not assist the taxpayer (in any event, </w:t>
      </w:r>
      <w:r w:rsidR="00106E1D">
        <w:t xml:space="preserve">tax court judgments are not binding on other </w:t>
      </w:r>
      <w:r w:rsidR="00FB0582">
        <w:t xml:space="preserve">such courts and are at best of persuasive value only). </w:t>
      </w:r>
    </w:p>
    <w:p w:rsidR="00A0482D" w:rsidRPr="00FB0582" w:rsidRDefault="00A0482D" w:rsidP="00A0482D">
      <w:pPr>
        <w:pStyle w:val="ListParagraph"/>
        <w:tabs>
          <w:tab w:val="left" w:pos="2162"/>
        </w:tabs>
        <w:spacing w:line="240" w:lineRule="auto"/>
        <w:ind w:left="709"/>
        <w:jc w:val="both"/>
        <w:rPr>
          <w:i/>
        </w:rPr>
      </w:pPr>
    </w:p>
    <w:p w:rsidR="00FB0582" w:rsidRDefault="00FB0582" w:rsidP="00FB0582">
      <w:pPr>
        <w:tabs>
          <w:tab w:val="left" w:pos="2162"/>
        </w:tabs>
        <w:jc w:val="both"/>
        <w:rPr>
          <w:b/>
          <w:u w:val="single"/>
        </w:rPr>
      </w:pPr>
      <w:r>
        <w:rPr>
          <w:b/>
          <w:u w:val="single"/>
        </w:rPr>
        <w:t>The argument for SARS</w:t>
      </w:r>
    </w:p>
    <w:p w:rsidR="00FB0582" w:rsidRPr="00FB0582" w:rsidRDefault="00FB0582" w:rsidP="00FB0582">
      <w:pPr>
        <w:tabs>
          <w:tab w:val="left" w:pos="2162"/>
        </w:tabs>
        <w:spacing w:line="240" w:lineRule="auto"/>
        <w:jc w:val="both"/>
        <w:rPr>
          <w:b/>
          <w:u w:val="single"/>
        </w:rPr>
      </w:pPr>
    </w:p>
    <w:p w:rsidR="00FB0582" w:rsidRPr="002B62AE" w:rsidRDefault="002B62AE" w:rsidP="002B62AE">
      <w:pPr>
        <w:tabs>
          <w:tab w:val="left" w:pos="2162"/>
        </w:tabs>
        <w:ind w:left="709" w:hanging="709"/>
        <w:jc w:val="both"/>
        <w:rPr>
          <w:i/>
        </w:rPr>
      </w:pPr>
      <w:r w:rsidRPr="00FB0582">
        <w:t>[15]</w:t>
      </w:r>
      <w:r w:rsidRPr="00FB0582">
        <w:tab/>
      </w:r>
      <w:r w:rsidR="00FB0582">
        <w:t xml:space="preserve">SARS argues for a purposive, sensible and businesslike approach in accordance with the settled principles of interpretation in </w:t>
      </w:r>
      <w:r w:rsidR="00FB0582" w:rsidRPr="002B62AE">
        <w:rPr>
          <w:i/>
        </w:rPr>
        <w:t>Endumeni</w:t>
      </w:r>
      <w:r w:rsidR="00FB0582">
        <w:t>.</w:t>
      </w:r>
      <w:r w:rsidR="00FB0582">
        <w:rPr>
          <w:rStyle w:val="FootnoteReference"/>
        </w:rPr>
        <w:footnoteReference w:id="4"/>
      </w:r>
      <w:r w:rsidR="00FB0582">
        <w:t xml:space="preserve"> It submits that, similar to the provisions of uniform rule 26 (i.e. delivery of a notice of bar) the purpose of a rule 56(1</w:t>
      </w:r>
      <w:proofErr w:type="gramStart"/>
      <w:r w:rsidR="00FB0582">
        <w:t>)(</w:t>
      </w:r>
      <w:proofErr w:type="gramEnd"/>
      <w:r w:rsidR="00FB0582">
        <w:t xml:space="preserve">a) notice is to afford a defaulting party an automatic extension of 15 days within which to remedy its default, thereby absolving that party of the necessity to apply for condonation as contemplated by rule 52(6) if it </w:t>
      </w:r>
      <w:r w:rsidR="00B60B86">
        <w:t>complies with</w:t>
      </w:r>
      <w:r w:rsidR="00FB0582">
        <w:t xml:space="preserve"> the 15</w:t>
      </w:r>
      <w:r w:rsidR="00E6496D">
        <w:t>-</w:t>
      </w:r>
      <w:r w:rsidR="00FB0582">
        <w:t xml:space="preserve">day period. </w:t>
      </w:r>
      <w:r w:rsidR="00CA3C15">
        <w:t xml:space="preserve">It is argued that an application for condonation is only required where the 45-day period in rule 31 has lapsed </w:t>
      </w:r>
      <w:r w:rsidR="00CA3C15" w:rsidRPr="002B62AE">
        <w:rPr>
          <w:u w:val="single"/>
        </w:rPr>
        <w:t>and</w:t>
      </w:r>
      <w:r w:rsidR="00CA3C15">
        <w:t xml:space="preserve"> the taxpayer has nonetheless failed to deliver a rule 56(1</w:t>
      </w:r>
      <w:proofErr w:type="gramStart"/>
      <w:r w:rsidR="00CA3C15">
        <w:t>)(</w:t>
      </w:r>
      <w:proofErr w:type="gramEnd"/>
      <w:r w:rsidR="00CA3C15">
        <w:t>a) notice.</w:t>
      </w:r>
    </w:p>
    <w:p w:rsidR="00FB0582" w:rsidRPr="00FB0582" w:rsidRDefault="00FB0582" w:rsidP="00FB0582">
      <w:pPr>
        <w:pStyle w:val="ListParagraph"/>
        <w:tabs>
          <w:tab w:val="left" w:pos="2162"/>
        </w:tabs>
        <w:ind w:left="709"/>
        <w:jc w:val="both"/>
        <w:rPr>
          <w:i/>
        </w:rPr>
      </w:pPr>
    </w:p>
    <w:p w:rsidR="00C124CC" w:rsidRPr="002B62AE" w:rsidRDefault="002B62AE" w:rsidP="002B62AE">
      <w:pPr>
        <w:tabs>
          <w:tab w:val="left" w:pos="2162"/>
        </w:tabs>
        <w:ind w:left="709" w:hanging="709"/>
        <w:jc w:val="both"/>
        <w:rPr>
          <w:i/>
        </w:rPr>
      </w:pPr>
      <w:r w:rsidRPr="00CA3C15">
        <w:t>[16]</w:t>
      </w:r>
      <w:r w:rsidRPr="00CA3C15">
        <w:tab/>
      </w:r>
      <w:r w:rsidR="00C124CC">
        <w:t xml:space="preserve">SARS also </w:t>
      </w:r>
      <w:r w:rsidR="008236EF">
        <w:t xml:space="preserve">correctly </w:t>
      </w:r>
      <w:r w:rsidR="00C124CC">
        <w:t xml:space="preserve">submits that </w:t>
      </w:r>
      <w:r w:rsidR="008236EF">
        <w:t xml:space="preserve">IT25117 </w:t>
      </w:r>
      <w:r w:rsidR="00C124CC">
        <w:t xml:space="preserve">is distinguishable from the instant matter. SARS goes further and argues that it is also wrong, but it is not necessary, for the reasons already given, to consider </w:t>
      </w:r>
      <w:r w:rsidR="008236EF">
        <w:t>this</w:t>
      </w:r>
      <w:r w:rsidR="00C124CC">
        <w:t xml:space="preserve"> for present purposes.</w:t>
      </w:r>
    </w:p>
    <w:p w:rsidR="00CA3C15" w:rsidRPr="00CA3C15" w:rsidRDefault="00CA3C15" w:rsidP="00CA3C15">
      <w:pPr>
        <w:tabs>
          <w:tab w:val="left" w:pos="2162"/>
        </w:tabs>
        <w:jc w:val="both"/>
        <w:rPr>
          <w:i/>
        </w:rPr>
      </w:pPr>
    </w:p>
    <w:p w:rsidR="00C124CC" w:rsidRPr="002B62AE" w:rsidRDefault="002B62AE" w:rsidP="002B62AE">
      <w:pPr>
        <w:tabs>
          <w:tab w:val="left" w:pos="2162"/>
        </w:tabs>
        <w:ind w:left="709" w:hanging="709"/>
        <w:jc w:val="both"/>
        <w:rPr>
          <w:i/>
        </w:rPr>
      </w:pPr>
      <w:r w:rsidRPr="0039756B">
        <w:lastRenderedPageBreak/>
        <w:t>[17]</w:t>
      </w:r>
      <w:r w:rsidRPr="0039756B">
        <w:tab/>
      </w:r>
      <w:r w:rsidR="008236EF">
        <w:t xml:space="preserve">In addition </w:t>
      </w:r>
      <w:r w:rsidR="00C124CC">
        <w:t xml:space="preserve">SARS takes issue with the </w:t>
      </w:r>
      <w:r w:rsidR="00B9655E">
        <w:t>t</w:t>
      </w:r>
      <w:r w:rsidR="00C124CC">
        <w:t>axpayer’s stance that it is precluded from providing consent to an extension outside the 45</w:t>
      </w:r>
      <w:r w:rsidR="008236EF">
        <w:t>-</w:t>
      </w:r>
      <w:r w:rsidR="00C124CC">
        <w:t>day period prescribed in rule</w:t>
      </w:r>
      <w:r w:rsidR="008236EF">
        <w:t> </w:t>
      </w:r>
      <w:r w:rsidR="00C124CC">
        <w:t xml:space="preserve">31. On SARS’ interpretation rules 52(1) and (6) should be read together, and it was therefore open to the </w:t>
      </w:r>
      <w:r w:rsidR="00B9655E">
        <w:t>t</w:t>
      </w:r>
      <w:r w:rsidR="00C124CC">
        <w:t>axpayer to provide</w:t>
      </w:r>
      <w:r w:rsidR="008236EF">
        <w:t xml:space="preserve"> such</w:t>
      </w:r>
      <w:r w:rsidR="00C124CC">
        <w:t xml:space="preserve"> consent</w:t>
      </w:r>
      <w:r w:rsidR="008236EF">
        <w:t xml:space="preserve">. </w:t>
      </w:r>
    </w:p>
    <w:p w:rsidR="0039756B" w:rsidRDefault="0039756B" w:rsidP="0039756B">
      <w:pPr>
        <w:pStyle w:val="ListParagraph"/>
        <w:rPr>
          <w:i/>
        </w:rPr>
      </w:pPr>
    </w:p>
    <w:p w:rsidR="0039756B" w:rsidRPr="0039756B" w:rsidRDefault="0039756B" w:rsidP="0039756B">
      <w:pPr>
        <w:tabs>
          <w:tab w:val="left" w:pos="2162"/>
        </w:tabs>
        <w:jc w:val="both"/>
        <w:rPr>
          <w:b/>
          <w:u w:val="single"/>
        </w:rPr>
      </w:pPr>
      <w:r>
        <w:rPr>
          <w:b/>
          <w:u w:val="single"/>
        </w:rPr>
        <w:t>Discussion</w:t>
      </w:r>
    </w:p>
    <w:p w:rsidR="00C124CC" w:rsidRPr="00C124CC" w:rsidRDefault="00C124CC" w:rsidP="00EE235F">
      <w:pPr>
        <w:pStyle w:val="ListParagraph"/>
        <w:spacing w:line="240" w:lineRule="auto"/>
        <w:rPr>
          <w:i/>
        </w:rPr>
      </w:pPr>
    </w:p>
    <w:p w:rsidR="00C124CC" w:rsidRPr="002B62AE" w:rsidRDefault="002B62AE" w:rsidP="002B62AE">
      <w:pPr>
        <w:tabs>
          <w:tab w:val="left" w:pos="2162"/>
        </w:tabs>
        <w:ind w:left="709" w:hanging="709"/>
        <w:jc w:val="both"/>
        <w:rPr>
          <w:i/>
        </w:rPr>
      </w:pPr>
      <w:r w:rsidRPr="00EE235F">
        <w:t>[18]</w:t>
      </w:r>
      <w:r w:rsidRPr="00EE235F">
        <w:tab/>
      </w:r>
      <w:r w:rsidR="00EE235F">
        <w:t xml:space="preserve">Having considered the parties’ respective arguments I am of the view that the interpretation advanced by the </w:t>
      </w:r>
      <w:r w:rsidR="00B9655E">
        <w:t>t</w:t>
      </w:r>
      <w:r w:rsidR="00EE235F">
        <w:t>axpayer is unduly strained. I say so for the following reasons.</w:t>
      </w:r>
    </w:p>
    <w:p w:rsidR="00EE235F" w:rsidRPr="00EE235F" w:rsidRDefault="00EE235F" w:rsidP="00EE235F">
      <w:pPr>
        <w:pStyle w:val="ListParagraph"/>
        <w:tabs>
          <w:tab w:val="left" w:pos="2162"/>
        </w:tabs>
        <w:ind w:left="709"/>
        <w:jc w:val="both"/>
        <w:rPr>
          <w:i/>
        </w:rPr>
      </w:pPr>
    </w:p>
    <w:p w:rsidR="00EE235F" w:rsidRPr="002B62AE" w:rsidRDefault="002B62AE" w:rsidP="002B62AE">
      <w:pPr>
        <w:tabs>
          <w:tab w:val="left" w:pos="2162"/>
        </w:tabs>
        <w:ind w:left="709" w:hanging="709"/>
        <w:jc w:val="both"/>
        <w:rPr>
          <w:i/>
        </w:rPr>
      </w:pPr>
      <w:r w:rsidRPr="00FE40F1">
        <w:t>[19]</w:t>
      </w:r>
      <w:r w:rsidRPr="00FE40F1">
        <w:tab/>
      </w:r>
      <w:r w:rsidR="00EE235F">
        <w:t xml:space="preserve">The rules promulgated under s 103 of the TAA pertain specifically to </w:t>
      </w:r>
      <w:r w:rsidR="00EE235F" w:rsidRPr="002B62AE">
        <w:rPr>
          <w:i/>
        </w:rPr>
        <w:t>‘the procedures to lodge an objection and appeal against an assessment or decision under Chapter 9 of the Act, the procedures for alternative dispute resolution and the conduct and hearing of appeals before a Tax Board or Tax Court’</w:t>
      </w:r>
      <w:r w:rsidR="00EE235F">
        <w:t>.</w:t>
      </w:r>
      <w:r w:rsidR="00EE235F">
        <w:rPr>
          <w:rStyle w:val="FootnoteReference"/>
        </w:rPr>
        <w:footnoteReference w:id="5"/>
      </w:r>
    </w:p>
    <w:p w:rsidR="00FE40F1" w:rsidRPr="00FE40F1" w:rsidRDefault="00FE40F1" w:rsidP="00FE40F1">
      <w:pPr>
        <w:pStyle w:val="ListParagraph"/>
        <w:rPr>
          <w:i/>
        </w:rPr>
      </w:pPr>
    </w:p>
    <w:p w:rsidR="005C2908" w:rsidRPr="002B62AE" w:rsidRDefault="002B62AE" w:rsidP="002B62AE">
      <w:pPr>
        <w:tabs>
          <w:tab w:val="left" w:pos="2162"/>
        </w:tabs>
        <w:ind w:left="709" w:hanging="709"/>
        <w:jc w:val="both"/>
        <w:rPr>
          <w:i/>
        </w:rPr>
      </w:pPr>
      <w:r w:rsidRPr="005C2908">
        <w:t>[20]</w:t>
      </w:r>
      <w:r w:rsidRPr="005C2908">
        <w:tab/>
      </w:r>
      <w:r w:rsidR="00FE40F1">
        <w:t xml:space="preserve">Rule 4(1) </w:t>
      </w:r>
      <w:r w:rsidR="002600A8">
        <w:t xml:space="preserve">explicitly </w:t>
      </w:r>
      <w:r w:rsidR="00FE40F1">
        <w:t xml:space="preserve">states that </w:t>
      </w:r>
      <w:r w:rsidR="00FE40F1" w:rsidRPr="002B62AE">
        <w:rPr>
          <w:i/>
        </w:rPr>
        <w:t>‘</w:t>
      </w:r>
      <w:r w:rsidR="002600A8" w:rsidRPr="002B62AE">
        <w:rPr>
          <w:i/>
          <w:u w:val="single"/>
        </w:rPr>
        <w:t>(e</w:t>
      </w:r>
      <w:proofErr w:type="gramStart"/>
      <w:r w:rsidR="002600A8" w:rsidRPr="002B62AE">
        <w:rPr>
          <w:i/>
          <w:u w:val="single"/>
        </w:rPr>
        <w:t>)</w:t>
      </w:r>
      <w:proofErr w:type="spellStart"/>
      <w:r w:rsidR="00FE40F1" w:rsidRPr="002B62AE">
        <w:rPr>
          <w:i/>
          <w:u w:val="single"/>
        </w:rPr>
        <w:t>xcept</w:t>
      </w:r>
      <w:proofErr w:type="spellEnd"/>
      <w:proofErr w:type="gramEnd"/>
      <w:r w:rsidR="00FE40F1" w:rsidRPr="002B62AE">
        <w:rPr>
          <w:i/>
          <w:u w:val="single"/>
        </w:rPr>
        <w:t xml:space="preserve"> where</w:t>
      </w:r>
      <w:r w:rsidR="00FE40F1" w:rsidRPr="002B62AE">
        <w:rPr>
          <w:i/>
        </w:rPr>
        <w:t xml:space="preserve"> the extension of a period prescribed under the Act or these rules </w:t>
      </w:r>
      <w:r w:rsidR="00FE40F1" w:rsidRPr="002B62AE">
        <w:rPr>
          <w:i/>
          <w:u w:val="single"/>
        </w:rPr>
        <w:t xml:space="preserve">is otherwise regulated in Chapter 9 of </w:t>
      </w:r>
      <w:r w:rsidR="002600A8" w:rsidRPr="002B62AE">
        <w:rPr>
          <w:i/>
          <w:u w:val="single"/>
        </w:rPr>
        <w:t>…</w:t>
      </w:r>
      <w:r w:rsidR="00FE40F1" w:rsidRPr="002B62AE">
        <w:rPr>
          <w:i/>
          <w:u w:val="single"/>
        </w:rPr>
        <w:t xml:space="preserve"> these rules</w:t>
      </w:r>
      <w:r w:rsidR="00FE40F1" w:rsidRPr="002B62AE">
        <w:rPr>
          <w:i/>
        </w:rPr>
        <w:t>, a period may be extended by agreement…’</w:t>
      </w:r>
      <w:r w:rsidR="00FE40F1">
        <w:t xml:space="preserve"> (</w:t>
      </w:r>
      <w:proofErr w:type="gramStart"/>
      <w:r w:rsidR="00FE40F1">
        <w:t>emphasis</w:t>
      </w:r>
      <w:proofErr w:type="gramEnd"/>
      <w:r w:rsidR="00FE40F1">
        <w:t xml:space="preserve"> supplied).</w:t>
      </w:r>
      <w:r w:rsidR="002600A8">
        <w:t xml:space="preserve"> Both r</w:t>
      </w:r>
      <w:r w:rsidR="00E36E1F">
        <w:t xml:space="preserve">ule 52(6) </w:t>
      </w:r>
      <w:r w:rsidR="002600A8">
        <w:t>and</w:t>
      </w:r>
      <w:r w:rsidR="00E36E1F">
        <w:t xml:space="preserve"> rule 56 fall into the category of those which “otherwise regulate” the extension of a prescribed period. Rule 52(6) is not, as the </w:t>
      </w:r>
      <w:r w:rsidR="00B9655E">
        <w:t>t</w:t>
      </w:r>
      <w:r w:rsidR="00E36E1F">
        <w:t xml:space="preserve">axpayer argues, peremptory. On its plain wording it states no more than </w:t>
      </w:r>
      <w:r w:rsidR="005C2908">
        <w:t xml:space="preserve">that </w:t>
      </w:r>
      <w:r w:rsidR="00E36E1F">
        <w:t xml:space="preserve">a party who failed to deliver a statement as and when required under rule 31, 32 or 33 </w:t>
      </w:r>
      <w:r w:rsidR="00E36E1F" w:rsidRPr="002B62AE">
        <w:rPr>
          <w:u w:val="single"/>
        </w:rPr>
        <w:t>may</w:t>
      </w:r>
      <w:r w:rsidR="00E36E1F">
        <w:t xml:space="preserve"> </w:t>
      </w:r>
      <w:r w:rsidR="00E36E1F">
        <w:lastRenderedPageBreak/>
        <w:t xml:space="preserve">apply to the tax court for condonation </w:t>
      </w:r>
      <w:r w:rsidR="00E36E1F" w:rsidRPr="005C2908">
        <w:t>and the determination of a further period within which the statement may be delivered</w:t>
      </w:r>
      <w:r w:rsidR="00E36E1F">
        <w:t xml:space="preserve">. </w:t>
      </w:r>
    </w:p>
    <w:p w:rsidR="005C2908" w:rsidRDefault="005C2908" w:rsidP="005C2908">
      <w:pPr>
        <w:pStyle w:val="ListParagraph"/>
      </w:pPr>
    </w:p>
    <w:p w:rsidR="00E36E1F" w:rsidRPr="002B62AE" w:rsidRDefault="002B62AE" w:rsidP="002B62AE">
      <w:pPr>
        <w:tabs>
          <w:tab w:val="left" w:pos="2162"/>
        </w:tabs>
        <w:ind w:left="709" w:hanging="709"/>
        <w:jc w:val="both"/>
        <w:rPr>
          <w:i/>
        </w:rPr>
      </w:pPr>
      <w:r w:rsidRPr="005C2908">
        <w:t>[21]</w:t>
      </w:r>
      <w:r w:rsidRPr="005C2908">
        <w:tab/>
      </w:r>
      <w:r w:rsidR="00E36E1F">
        <w:t xml:space="preserve">To my mind, as a matter of logic, rule 52(6) applies where a party is in default, the other party has done nothing about it, and </w:t>
      </w:r>
      <w:r w:rsidR="00E36E1F" w:rsidRPr="002B62AE">
        <w:rPr>
          <w:u w:val="single"/>
        </w:rPr>
        <w:t>the defaulting party</w:t>
      </w:r>
      <w:r w:rsidR="00E36E1F">
        <w:t xml:space="preserve"> wishes the case to proceed. </w:t>
      </w:r>
      <w:r w:rsidR="005C2908">
        <w:t>By contrast, i</w:t>
      </w:r>
      <w:r w:rsidR="00E36E1F">
        <w:t xml:space="preserve">t is where the </w:t>
      </w:r>
      <w:r w:rsidR="005C2908">
        <w:t>innocent</w:t>
      </w:r>
      <w:r w:rsidR="00E36E1F">
        <w:t xml:space="preserve"> party wishes to do something about the default that rule 56 comes into play. Rule 56(1) gives the </w:t>
      </w:r>
      <w:r w:rsidR="005C2908">
        <w:t xml:space="preserve">innocent party the </w:t>
      </w:r>
      <w:r w:rsidR="00E36E1F">
        <w:t>option to</w:t>
      </w:r>
      <w:r w:rsidR="005C2908">
        <w:t xml:space="preserve"> </w:t>
      </w:r>
      <w:r w:rsidR="00E36E1F">
        <w:t>deliver a rule 56(1</w:t>
      </w:r>
      <w:proofErr w:type="gramStart"/>
      <w:r w:rsidR="00E36E1F">
        <w:t>)(</w:t>
      </w:r>
      <w:proofErr w:type="gramEnd"/>
      <w:r w:rsidR="00E36E1F">
        <w:t xml:space="preserve">a) notice informing the defaulting party of its intention to apply for a final s 129(2) order </w:t>
      </w:r>
      <w:r w:rsidR="00E36E1F" w:rsidRPr="002B62AE">
        <w:rPr>
          <w:u w:val="single"/>
        </w:rPr>
        <w:t>in the event</w:t>
      </w:r>
      <w:r w:rsidR="00E36E1F" w:rsidRPr="005C2908">
        <w:t xml:space="preserve"> that the defaulting party fails to remedy the default within 15 days</w:t>
      </w:r>
      <w:r w:rsidR="005104E9" w:rsidRPr="005C2908">
        <w:t>.</w:t>
      </w:r>
      <w:r w:rsidR="005C2908">
        <w:t xml:space="preserve"> I</w:t>
      </w:r>
      <w:r w:rsidR="005104E9">
        <w:t>t is</w:t>
      </w:r>
      <w:r w:rsidR="005C2908">
        <w:t xml:space="preserve"> thus</w:t>
      </w:r>
      <w:r w:rsidR="005104E9">
        <w:t xml:space="preserve"> </w:t>
      </w:r>
      <w:r w:rsidR="005104E9" w:rsidRPr="002B62AE">
        <w:rPr>
          <w:u w:val="single"/>
        </w:rPr>
        <w:t>only</w:t>
      </w:r>
      <w:r w:rsidR="005104E9">
        <w:t xml:space="preserve"> if the defaulting party </w:t>
      </w:r>
      <w:r w:rsidR="005C2908">
        <w:t xml:space="preserve">nonetheless </w:t>
      </w:r>
      <w:r w:rsidR="005104E9">
        <w:t xml:space="preserve">fails to remedy the default within the </w:t>
      </w:r>
      <w:r w:rsidR="0094502C">
        <w:t>15-day</w:t>
      </w:r>
      <w:r w:rsidR="005104E9">
        <w:t xml:space="preserve"> period that the innocent party is entitled to apply to the tax court </w:t>
      </w:r>
      <w:r w:rsidR="005C2908">
        <w:t>for</w:t>
      </w:r>
      <w:r w:rsidR="005104E9">
        <w:t xml:space="preserve"> a final order. </w:t>
      </w:r>
    </w:p>
    <w:p w:rsidR="005104E9" w:rsidRPr="005104E9" w:rsidRDefault="005104E9" w:rsidP="005104E9">
      <w:pPr>
        <w:pStyle w:val="ListParagraph"/>
        <w:tabs>
          <w:tab w:val="left" w:pos="2162"/>
        </w:tabs>
        <w:ind w:left="709"/>
        <w:jc w:val="both"/>
        <w:rPr>
          <w:i/>
        </w:rPr>
      </w:pPr>
    </w:p>
    <w:p w:rsidR="00CD5DE6" w:rsidRPr="002B62AE" w:rsidRDefault="002B62AE" w:rsidP="002B62AE">
      <w:pPr>
        <w:tabs>
          <w:tab w:val="left" w:pos="2162"/>
        </w:tabs>
        <w:ind w:left="709" w:hanging="709"/>
        <w:jc w:val="both"/>
        <w:rPr>
          <w:i/>
        </w:rPr>
      </w:pPr>
      <w:r w:rsidRPr="00CD5DE6">
        <w:t>[22]</w:t>
      </w:r>
      <w:r w:rsidRPr="00CD5DE6">
        <w:tab/>
      </w:r>
      <w:r w:rsidR="005104E9">
        <w:t>Rule 56</w:t>
      </w:r>
      <w:r w:rsidR="0066147F">
        <w:t xml:space="preserve">(2) supports this interpretation. This rule makes clear that it is only when </w:t>
      </w:r>
      <w:r w:rsidR="0066147F" w:rsidRPr="002B62AE">
        <w:rPr>
          <w:u w:val="single"/>
        </w:rPr>
        <w:t>the tax court</w:t>
      </w:r>
      <w:r w:rsidR="0066147F">
        <w:t xml:space="preserve"> hears </w:t>
      </w:r>
      <w:r w:rsidR="0066147F" w:rsidRPr="00A624A5">
        <w:t xml:space="preserve">the application for a final order </w:t>
      </w:r>
      <w:r w:rsidR="00A624A5">
        <w:t xml:space="preserve">that it must </w:t>
      </w:r>
      <w:r w:rsidR="0066147F" w:rsidRPr="00A624A5">
        <w:t>consider whether or not condonation should be granted</w:t>
      </w:r>
      <w:r w:rsidR="0066147F">
        <w:t>. Put differently, if the defaulting party remedies the default within the 15-day period referred to in rule 56(1)(a), then the statement in question is properly before the tax court</w:t>
      </w:r>
      <w:r w:rsidR="00A624A5">
        <w:t xml:space="preserve"> and there is nothing for it to consider</w:t>
      </w:r>
      <w:r w:rsidR="0066147F">
        <w:t xml:space="preserve">. It is only where the defaulting party </w:t>
      </w:r>
      <w:r w:rsidR="00F5416A">
        <w:t xml:space="preserve">nonetheless remains in default and the </w:t>
      </w:r>
      <w:r w:rsidR="0066147F">
        <w:t xml:space="preserve">innocent party </w:t>
      </w:r>
      <w:r w:rsidR="00F5416A">
        <w:t>applies</w:t>
      </w:r>
      <w:r w:rsidR="0066147F">
        <w:t xml:space="preserve"> for a final order</w:t>
      </w:r>
      <w:r w:rsidR="00F5416A">
        <w:t xml:space="preserve"> </w:t>
      </w:r>
      <w:r w:rsidR="0066147F">
        <w:t xml:space="preserve">that the tax court will </w:t>
      </w:r>
      <w:r w:rsidR="00F5416A">
        <w:t xml:space="preserve">be in a position to </w:t>
      </w:r>
      <w:r w:rsidR="0066147F">
        <w:t xml:space="preserve">consider whether or not the defaulting party has made out a proper case for condonation. </w:t>
      </w:r>
    </w:p>
    <w:p w:rsidR="00CD5DE6" w:rsidRDefault="00CD5DE6" w:rsidP="00CD5DE6">
      <w:pPr>
        <w:pStyle w:val="ListParagraph"/>
      </w:pPr>
    </w:p>
    <w:p w:rsidR="005104E9" w:rsidRPr="002B62AE" w:rsidRDefault="002B62AE" w:rsidP="002B62AE">
      <w:pPr>
        <w:tabs>
          <w:tab w:val="left" w:pos="2162"/>
        </w:tabs>
        <w:ind w:left="709" w:hanging="709"/>
        <w:jc w:val="both"/>
        <w:rPr>
          <w:i/>
        </w:rPr>
      </w:pPr>
      <w:r w:rsidRPr="0066147F">
        <w:t>[23]</w:t>
      </w:r>
      <w:r w:rsidRPr="0066147F">
        <w:tab/>
      </w:r>
      <w:r w:rsidR="00CD5DE6">
        <w:t xml:space="preserve">Accepting the taxpayer’s </w:t>
      </w:r>
      <w:r w:rsidR="0066147F">
        <w:t>interpretation render</w:t>
      </w:r>
      <w:r w:rsidR="00CD5DE6">
        <w:t>s</w:t>
      </w:r>
      <w:r w:rsidR="0066147F">
        <w:t xml:space="preserve"> rule 56(1</w:t>
      </w:r>
      <w:proofErr w:type="gramStart"/>
      <w:r w:rsidR="0066147F">
        <w:t>)(</w:t>
      </w:r>
      <w:proofErr w:type="gramEnd"/>
      <w:r w:rsidR="0066147F">
        <w:t xml:space="preserve">a) superfluous. It </w:t>
      </w:r>
      <w:r w:rsidR="00442B38">
        <w:t xml:space="preserve">also means </w:t>
      </w:r>
      <w:r w:rsidR="0066147F">
        <w:t xml:space="preserve">that the defaulting party would be obliged to deliver an application for </w:t>
      </w:r>
      <w:r w:rsidR="0066147F">
        <w:lastRenderedPageBreak/>
        <w:t>condonation merely to satisfy the innocent party, and not the tax court</w:t>
      </w:r>
      <w:r w:rsidR="00442B38">
        <w:t>.</w:t>
      </w:r>
      <w:r w:rsidR="0066147F">
        <w:t xml:space="preserve"> I do not believe that this could have been the intention of the rule maker, particularly given that condonation is a matter for the court, and not a party</w:t>
      </w:r>
      <w:r w:rsidR="004854CD">
        <w:t>,</w:t>
      </w:r>
      <w:r w:rsidR="0066147F">
        <w:t xml:space="preserve"> to decide. </w:t>
      </w:r>
      <w:r w:rsidR="008047C3">
        <w:t>I thus agree with SARS’ interpretation, albeit not for all the same reasons. It thus follows that the taxpayer’s rule 30 application falls to be dismissed.</w:t>
      </w:r>
    </w:p>
    <w:p w:rsidR="0066147F" w:rsidRPr="0066147F" w:rsidRDefault="0066147F" w:rsidP="0066147F">
      <w:pPr>
        <w:pStyle w:val="ListParagraph"/>
        <w:tabs>
          <w:tab w:val="left" w:pos="2162"/>
        </w:tabs>
        <w:ind w:left="709"/>
        <w:jc w:val="both"/>
        <w:rPr>
          <w:i/>
        </w:rPr>
      </w:pPr>
    </w:p>
    <w:p w:rsidR="004C0E75" w:rsidRPr="002B62AE" w:rsidRDefault="002B62AE" w:rsidP="002B62AE">
      <w:pPr>
        <w:tabs>
          <w:tab w:val="left" w:pos="2162"/>
        </w:tabs>
        <w:ind w:left="709" w:hanging="709"/>
        <w:jc w:val="both"/>
        <w:rPr>
          <w:i/>
        </w:rPr>
      </w:pPr>
      <w:r w:rsidRPr="004C0E75">
        <w:t>[24]</w:t>
      </w:r>
      <w:r w:rsidRPr="004C0E75">
        <w:tab/>
      </w:r>
      <w:r w:rsidR="0066147F">
        <w:t xml:space="preserve">As far as costs are concerned each party </w:t>
      </w:r>
      <w:r w:rsidR="004C0E75">
        <w:t xml:space="preserve">initially sought </w:t>
      </w:r>
      <w:r w:rsidR="0066147F">
        <w:t xml:space="preserve">punitive costs against the other. While </w:t>
      </w:r>
      <w:r w:rsidR="004C0E75">
        <w:t xml:space="preserve">the taxpayer persisted in this stance, SARS was willing to accept a costs order on the ordinary scale. Although </w:t>
      </w:r>
      <w:r w:rsidR="0066147F">
        <w:t xml:space="preserve">I have found the interpretation </w:t>
      </w:r>
      <w:r w:rsidR="004C0E75">
        <w:t xml:space="preserve">advanced by the taxpayer is wrong, by the same token </w:t>
      </w:r>
      <w:r w:rsidR="0066147F">
        <w:t xml:space="preserve">I cannot find that it acted </w:t>
      </w:r>
      <w:r w:rsidR="004C0E75" w:rsidRPr="002B62AE">
        <w:rPr>
          <w:i/>
        </w:rPr>
        <w:t xml:space="preserve">male fides </w:t>
      </w:r>
      <w:r w:rsidR="0066147F">
        <w:t xml:space="preserve">and the same applies to SARS. It </w:t>
      </w:r>
      <w:r w:rsidR="004C0E75">
        <w:t xml:space="preserve">also </w:t>
      </w:r>
      <w:r w:rsidR="0066147F">
        <w:t xml:space="preserve">seems to me that this application is one of those where it would be </w:t>
      </w:r>
      <w:r w:rsidR="004C0E75">
        <w:t xml:space="preserve">appropriate </w:t>
      </w:r>
      <w:r w:rsidR="0066147F">
        <w:t xml:space="preserve">to order that costs </w:t>
      </w:r>
      <w:r w:rsidR="004C0E75">
        <w:t>follow the result of the appeal should the court seized with the appeal deem it fit to grant a costs order</w:t>
      </w:r>
      <w:r w:rsidR="0066147F">
        <w:t xml:space="preserve">. </w:t>
      </w:r>
    </w:p>
    <w:p w:rsidR="004C0E75" w:rsidRDefault="004C0E75" w:rsidP="004C0E75">
      <w:pPr>
        <w:pStyle w:val="ListParagraph"/>
      </w:pPr>
    </w:p>
    <w:p w:rsidR="0066147F" w:rsidRPr="002B62AE" w:rsidRDefault="002B62AE" w:rsidP="002B62AE">
      <w:pPr>
        <w:tabs>
          <w:tab w:val="left" w:pos="2162"/>
        </w:tabs>
        <w:ind w:left="709" w:hanging="709"/>
        <w:jc w:val="both"/>
        <w:rPr>
          <w:i/>
        </w:rPr>
      </w:pPr>
      <w:r w:rsidRPr="00FC627A">
        <w:t>[25]</w:t>
      </w:r>
      <w:r w:rsidRPr="00FC627A">
        <w:tab/>
      </w:r>
      <w:r w:rsidR="004C0E75">
        <w:t>F</w:t>
      </w:r>
      <w:r w:rsidR="00705A14">
        <w:t xml:space="preserve">or the sake of clarity, it is my view that SARS’ compliance with the </w:t>
      </w:r>
      <w:r w:rsidR="00B9655E">
        <w:t>t</w:t>
      </w:r>
      <w:r w:rsidR="00705A14">
        <w:t>axpayer’s rule 56(1</w:t>
      </w:r>
      <w:proofErr w:type="gramStart"/>
      <w:r w:rsidR="00705A14">
        <w:t>)(</w:t>
      </w:r>
      <w:proofErr w:type="gramEnd"/>
      <w:r w:rsidR="00705A14">
        <w:t>a) notice ha</w:t>
      </w:r>
      <w:r w:rsidR="004C0E75">
        <w:t>d</w:t>
      </w:r>
      <w:r w:rsidR="00705A14">
        <w:t xml:space="preserve"> the effect that its rule 31 statement is properly before the court</w:t>
      </w:r>
      <w:r w:rsidR="004C0E75">
        <w:t>.</w:t>
      </w:r>
      <w:r w:rsidR="00705A14">
        <w:t xml:space="preserve"> </w:t>
      </w:r>
      <w:r w:rsidR="004C0E75">
        <w:t xml:space="preserve">However </w:t>
      </w:r>
      <w:r w:rsidR="00705A14">
        <w:t xml:space="preserve">the effect of the order that follows is that the 45-day period prescribed in rule 32(1) for the </w:t>
      </w:r>
      <w:r w:rsidR="004C0E75">
        <w:t>taxpayer</w:t>
      </w:r>
      <w:r w:rsidR="00705A14">
        <w:t xml:space="preserve"> to deliver its statement of grounds of appeal will only commence upon the registrar </w:t>
      </w:r>
      <w:r w:rsidR="004C0E75">
        <w:t xml:space="preserve">of the tax court </w:t>
      </w:r>
      <w:r w:rsidR="00705A14">
        <w:t xml:space="preserve">formally notifying the parties of this </w:t>
      </w:r>
      <w:r w:rsidR="004C0E75">
        <w:t>order</w:t>
      </w:r>
      <w:r w:rsidR="00FC627A">
        <w:t xml:space="preserve"> in accordance with s 131 of the </w:t>
      </w:r>
      <w:r w:rsidR="004C0E75">
        <w:t>TAA (notwithstanding the earlier delivery of this judgment)</w:t>
      </w:r>
      <w:r w:rsidR="00FC627A">
        <w:t xml:space="preserve">. </w:t>
      </w:r>
    </w:p>
    <w:p w:rsidR="00FC627A" w:rsidRDefault="00FC627A" w:rsidP="00FC627A">
      <w:pPr>
        <w:pStyle w:val="ListParagraph"/>
        <w:rPr>
          <w:i/>
        </w:rPr>
      </w:pPr>
    </w:p>
    <w:p w:rsidR="0094502C" w:rsidRDefault="0094502C" w:rsidP="00FC627A">
      <w:pPr>
        <w:pStyle w:val="ListParagraph"/>
        <w:rPr>
          <w:i/>
        </w:rPr>
      </w:pPr>
    </w:p>
    <w:p w:rsidR="0094502C" w:rsidRDefault="0094502C" w:rsidP="00FC627A">
      <w:pPr>
        <w:pStyle w:val="ListParagraph"/>
        <w:rPr>
          <w:i/>
        </w:rPr>
      </w:pPr>
    </w:p>
    <w:p w:rsidR="00FC627A" w:rsidRPr="002B62AE" w:rsidRDefault="002B62AE" w:rsidP="002B62AE">
      <w:pPr>
        <w:tabs>
          <w:tab w:val="left" w:pos="2162"/>
        </w:tabs>
        <w:ind w:left="709" w:hanging="709"/>
        <w:jc w:val="both"/>
        <w:rPr>
          <w:i/>
        </w:rPr>
      </w:pPr>
      <w:r w:rsidRPr="00FC627A">
        <w:lastRenderedPageBreak/>
        <w:t>[26]</w:t>
      </w:r>
      <w:r w:rsidRPr="00FC627A">
        <w:tab/>
      </w:r>
      <w:r w:rsidR="00FC627A" w:rsidRPr="002B62AE">
        <w:rPr>
          <w:b/>
        </w:rPr>
        <w:t>The following order is made:</w:t>
      </w:r>
    </w:p>
    <w:p w:rsidR="00FC627A" w:rsidRPr="00FC627A" w:rsidRDefault="00FC627A" w:rsidP="00FC627A">
      <w:pPr>
        <w:tabs>
          <w:tab w:val="left" w:pos="2162"/>
        </w:tabs>
        <w:spacing w:line="240" w:lineRule="auto"/>
        <w:jc w:val="both"/>
        <w:rPr>
          <w:i/>
        </w:rPr>
      </w:pPr>
    </w:p>
    <w:p w:rsidR="00FC627A" w:rsidRPr="002B62AE" w:rsidRDefault="002B62AE" w:rsidP="002B62AE">
      <w:pPr>
        <w:ind w:left="1080" w:hanging="360"/>
        <w:rPr>
          <w:b/>
        </w:rPr>
      </w:pPr>
      <w:r>
        <w:rPr>
          <w:b/>
        </w:rPr>
        <w:t>1.</w:t>
      </w:r>
      <w:r>
        <w:rPr>
          <w:b/>
        </w:rPr>
        <w:tab/>
      </w:r>
      <w:r w:rsidR="00FC627A" w:rsidRPr="002B62AE">
        <w:rPr>
          <w:b/>
        </w:rPr>
        <w:t>The application in terms of rule 30 of the uniform rules of court is dismissed; and</w:t>
      </w:r>
    </w:p>
    <w:p w:rsidR="00FC627A" w:rsidRPr="002B62AE" w:rsidRDefault="002B62AE" w:rsidP="002B62AE">
      <w:pPr>
        <w:ind w:left="1080" w:hanging="360"/>
        <w:rPr>
          <w:b/>
        </w:rPr>
      </w:pPr>
      <w:r>
        <w:rPr>
          <w:b/>
        </w:rPr>
        <w:t>2.</w:t>
      </w:r>
      <w:r>
        <w:rPr>
          <w:b/>
        </w:rPr>
        <w:tab/>
      </w:r>
      <w:r w:rsidR="004C0E75" w:rsidRPr="002B62AE">
        <w:rPr>
          <w:b/>
        </w:rPr>
        <w:t>The c</w:t>
      </w:r>
      <w:r w:rsidR="00FC627A" w:rsidRPr="002B62AE">
        <w:rPr>
          <w:b/>
        </w:rPr>
        <w:t>osts of this application shall be costs in the cause of the appeal.</w:t>
      </w:r>
    </w:p>
    <w:p w:rsidR="00FC627A" w:rsidRDefault="00FC627A" w:rsidP="00FC627A">
      <w:pPr>
        <w:pStyle w:val="ListParagraph"/>
        <w:ind w:left="1080"/>
        <w:rPr>
          <w:b/>
        </w:rPr>
      </w:pPr>
    </w:p>
    <w:p w:rsidR="00335F82" w:rsidRDefault="00335F82" w:rsidP="00FC627A">
      <w:pPr>
        <w:pStyle w:val="ListParagraph"/>
        <w:ind w:left="1080"/>
        <w:rPr>
          <w:b/>
        </w:rPr>
      </w:pPr>
    </w:p>
    <w:p w:rsidR="00FC627A" w:rsidRDefault="00FC627A" w:rsidP="00FC627A">
      <w:pPr>
        <w:pStyle w:val="ListParagraph"/>
        <w:ind w:left="5040"/>
        <w:rPr>
          <w:b/>
        </w:rPr>
      </w:pPr>
      <w:r>
        <w:rPr>
          <w:b/>
        </w:rPr>
        <w:t>______________________</w:t>
      </w:r>
    </w:p>
    <w:p w:rsidR="00FC627A" w:rsidRDefault="00FC627A" w:rsidP="00FC627A">
      <w:pPr>
        <w:pStyle w:val="ListParagraph"/>
        <w:ind w:left="5040"/>
        <w:rPr>
          <w:b/>
        </w:rPr>
      </w:pPr>
      <w:r>
        <w:rPr>
          <w:b/>
        </w:rPr>
        <w:t>J I CLOETE</w:t>
      </w:r>
    </w:p>
    <w:p w:rsidR="00335F82" w:rsidRDefault="00335F82" w:rsidP="00FC627A">
      <w:pPr>
        <w:rPr>
          <w:i/>
        </w:rPr>
      </w:pPr>
    </w:p>
    <w:p w:rsidR="00335F82" w:rsidRDefault="00335F82" w:rsidP="00FC627A">
      <w:pPr>
        <w:rPr>
          <w:i/>
        </w:rPr>
      </w:pPr>
    </w:p>
    <w:p w:rsidR="00FC627A" w:rsidRDefault="00FC627A" w:rsidP="00FC627A">
      <w:pPr>
        <w:rPr>
          <w:i/>
        </w:rPr>
      </w:pPr>
      <w:r>
        <w:rPr>
          <w:i/>
        </w:rPr>
        <w:t>For the applicant: Dr A J Marais and Adv P S Bothma</w:t>
      </w:r>
    </w:p>
    <w:p w:rsidR="00FC627A" w:rsidRDefault="00FC627A" w:rsidP="00FC627A">
      <w:pPr>
        <w:rPr>
          <w:i/>
        </w:rPr>
      </w:pPr>
      <w:r>
        <w:rPr>
          <w:i/>
        </w:rPr>
        <w:t xml:space="preserve">Instructed by: Ashman Attorneys Inc </w:t>
      </w:r>
    </w:p>
    <w:p w:rsidR="00FC627A" w:rsidRDefault="00FC627A" w:rsidP="00FC627A">
      <w:pPr>
        <w:rPr>
          <w:i/>
        </w:rPr>
      </w:pPr>
    </w:p>
    <w:p w:rsidR="00FC627A" w:rsidRDefault="00FC627A" w:rsidP="00FC627A">
      <w:pPr>
        <w:rPr>
          <w:i/>
        </w:rPr>
      </w:pPr>
      <w:r>
        <w:rPr>
          <w:i/>
        </w:rPr>
        <w:t>For the respondent: Adv C N</w:t>
      </w:r>
      <w:r w:rsidR="00FA6977">
        <w:rPr>
          <w:i/>
        </w:rPr>
        <w:t>au</w:t>
      </w:r>
      <w:r>
        <w:rPr>
          <w:i/>
        </w:rPr>
        <w:t>d</w:t>
      </w:r>
      <w:r w:rsidR="00762A06">
        <w:rPr>
          <w:i/>
        </w:rPr>
        <w:t>é</w:t>
      </w:r>
      <w:r>
        <w:rPr>
          <w:i/>
        </w:rPr>
        <w:t xml:space="preserve"> and Adv A Craucamp </w:t>
      </w:r>
    </w:p>
    <w:p w:rsidR="008E754B" w:rsidRPr="00A0482D" w:rsidRDefault="00FC627A" w:rsidP="00A0482D">
      <w:pPr>
        <w:rPr>
          <w:i/>
        </w:rPr>
      </w:pPr>
      <w:r>
        <w:rPr>
          <w:i/>
        </w:rPr>
        <w:t>Instructed by: Vhonani Nemakanga Inc Attorneys</w:t>
      </w:r>
    </w:p>
    <w:sectPr w:rsidR="008E754B" w:rsidRPr="00A0482D" w:rsidSect="00335F82">
      <w:headerReference w:type="default" r:id="rId9"/>
      <w:pgSz w:w="11906" w:h="16838"/>
      <w:pgMar w:top="568" w:right="1416"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49" w:rsidRDefault="00324F49" w:rsidP="00593172">
      <w:pPr>
        <w:spacing w:line="240" w:lineRule="auto"/>
      </w:pPr>
      <w:r>
        <w:separator/>
      </w:r>
    </w:p>
  </w:endnote>
  <w:endnote w:type="continuationSeparator" w:id="0">
    <w:p w:rsidR="00324F49" w:rsidRDefault="00324F49" w:rsidP="00593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49" w:rsidRDefault="00324F49" w:rsidP="00593172">
      <w:pPr>
        <w:spacing w:line="240" w:lineRule="auto"/>
      </w:pPr>
      <w:r>
        <w:separator/>
      </w:r>
    </w:p>
  </w:footnote>
  <w:footnote w:type="continuationSeparator" w:id="0">
    <w:p w:rsidR="00324F49" w:rsidRDefault="00324F49" w:rsidP="00593172">
      <w:pPr>
        <w:spacing w:line="240" w:lineRule="auto"/>
      </w:pPr>
      <w:r>
        <w:continuationSeparator/>
      </w:r>
    </w:p>
  </w:footnote>
  <w:footnote w:id="1">
    <w:p w:rsidR="00477E62" w:rsidRDefault="00477E62" w:rsidP="00477E62">
      <w:pPr>
        <w:pStyle w:val="FootnoteText"/>
        <w:tabs>
          <w:tab w:val="left" w:pos="284"/>
        </w:tabs>
      </w:pPr>
      <w:r>
        <w:rPr>
          <w:rStyle w:val="FootnoteReference"/>
        </w:rPr>
        <w:footnoteRef/>
      </w:r>
      <w:r>
        <w:t xml:space="preserve"> </w:t>
      </w:r>
      <w:r>
        <w:tab/>
        <w:t xml:space="preserve">No 28 of 2011. </w:t>
      </w:r>
    </w:p>
  </w:footnote>
  <w:footnote w:id="2">
    <w:p w:rsidR="002A2DDC" w:rsidRDefault="002A2DDC" w:rsidP="002A2DDC">
      <w:pPr>
        <w:pStyle w:val="FootnoteText"/>
        <w:tabs>
          <w:tab w:val="left" w:pos="284"/>
        </w:tabs>
      </w:pPr>
      <w:r>
        <w:rPr>
          <w:rStyle w:val="FootnoteReference"/>
        </w:rPr>
        <w:footnoteRef/>
      </w:r>
      <w:r>
        <w:t xml:space="preserve"> </w:t>
      </w:r>
      <w:r>
        <w:tab/>
        <w:t>In terms of Part C, i.e. rules 13 to 25.</w:t>
      </w:r>
    </w:p>
  </w:footnote>
  <w:footnote w:id="3">
    <w:p w:rsidR="00D402E6" w:rsidRDefault="00D402E6" w:rsidP="00D402E6">
      <w:pPr>
        <w:pStyle w:val="FootnoteText"/>
        <w:tabs>
          <w:tab w:val="left" w:pos="284"/>
        </w:tabs>
        <w:ind w:left="284" w:hanging="284"/>
        <w:jc w:val="both"/>
      </w:pPr>
      <w:r>
        <w:rPr>
          <w:rStyle w:val="FootnoteReference"/>
        </w:rPr>
        <w:footnoteRef/>
      </w:r>
      <w:r>
        <w:t xml:space="preserve"> </w:t>
      </w:r>
      <w:r>
        <w:tab/>
        <w:t>IT 25117, Gauteng Local Division, delivered on 18 November 2021 – although the judgment discloses the identity of the taxpayer, I will not do so given s 132 of the TAA.</w:t>
      </w:r>
    </w:p>
  </w:footnote>
  <w:footnote w:id="4">
    <w:p w:rsidR="00FB0582" w:rsidRPr="00FB0582" w:rsidRDefault="00FB0582" w:rsidP="00FB0582">
      <w:pPr>
        <w:pStyle w:val="FootnoteText"/>
        <w:tabs>
          <w:tab w:val="left" w:pos="284"/>
        </w:tabs>
      </w:pPr>
      <w:r>
        <w:rPr>
          <w:rStyle w:val="FootnoteReference"/>
        </w:rPr>
        <w:footnoteRef/>
      </w:r>
      <w:r>
        <w:t xml:space="preserve"> </w:t>
      </w:r>
      <w:r>
        <w:tab/>
      </w:r>
      <w:r>
        <w:rPr>
          <w:i/>
        </w:rPr>
        <w:t xml:space="preserve">Natal Joint Municipal Pension Fund v Endumeni Municipality </w:t>
      </w:r>
      <w:r>
        <w:t xml:space="preserve">2012 (4) SA 593 (SCA). </w:t>
      </w:r>
    </w:p>
  </w:footnote>
  <w:footnote w:id="5">
    <w:p w:rsidR="00EE235F" w:rsidRDefault="00EE235F" w:rsidP="00EE235F">
      <w:pPr>
        <w:pStyle w:val="FootnoteText"/>
        <w:tabs>
          <w:tab w:val="left" w:pos="284"/>
        </w:tabs>
      </w:pPr>
      <w:r>
        <w:rPr>
          <w:rStyle w:val="FootnoteReference"/>
        </w:rPr>
        <w:footnoteRef/>
      </w:r>
      <w:r>
        <w:t xml:space="preserve"> </w:t>
      </w:r>
      <w:r>
        <w:tab/>
        <w:t>The preamble to GN 550 published in GG 37819 dated 11 July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579759"/>
      <w:docPartObj>
        <w:docPartGallery w:val="Page Numbers (Top of Page)"/>
        <w:docPartUnique/>
      </w:docPartObj>
    </w:sdtPr>
    <w:sdtEndPr>
      <w:rPr>
        <w:noProof/>
      </w:rPr>
    </w:sdtEndPr>
    <w:sdtContent>
      <w:p w:rsidR="00E979D5" w:rsidRDefault="00E979D5">
        <w:pPr>
          <w:pStyle w:val="Header"/>
          <w:jc w:val="center"/>
          <w:rPr>
            <w:noProof/>
          </w:rPr>
        </w:pPr>
        <w:r w:rsidRPr="00480C6E">
          <w:fldChar w:fldCharType="begin"/>
        </w:r>
        <w:r w:rsidRPr="00480C6E">
          <w:instrText xml:space="preserve"> PAGE   \* MERGEFORMAT </w:instrText>
        </w:r>
        <w:r w:rsidRPr="00480C6E">
          <w:fldChar w:fldCharType="separate"/>
        </w:r>
        <w:r w:rsidR="002B62AE">
          <w:rPr>
            <w:noProof/>
          </w:rPr>
          <w:t>11</w:t>
        </w:r>
        <w:r w:rsidRPr="00480C6E">
          <w:rPr>
            <w:noProof/>
          </w:rPr>
          <w:fldChar w:fldCharType="end"/>
        </w:r>
      </w:p>
      <w:p w:rsidR="00F57D1F" w:rsidRPr="00480C6E" w:rsidRDefault="00F57D1F">
        <w:pPr>
          <w:pStyle w:val="Header"/>
          <w:jc w:val="center"/>
          <w:rPr>
            <w:noProof/>
          </w:rPr>
        </w:pPr>
      </w:p>
      <w:p w:rsidR="00E979D5" w:rsidRDefault="00324F49">
        <w:pPr>
          <w:pStyle w:val="Header"/>
          <w:jc w:val="center"/>
        </w:pPr>
      </w:p>
    </w:sdtContent>
  </w:sdt>
  <w:p w:rsidR="00E979D5" w:rsidRDefault="00E97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A63"/>
    <w:multiLevelType w:val="hybridMultilevel"/>
    <w:tmpl w:val="F3C0AE6C"/>
    <w:lvl w:ilvl="0" w:tplc="BA7EFB6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02187D5F"/>
    <w:multiLevelType w:val="hybridMultilevel"/>
    <w:tmpl w:val="A29CA4EE"/>
    <w:lvl w:ilvl="0" w:tplc="D69A83E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98A1CD9"/>
    <w:multiLevelType w:val="hybridMultilevel"/>
    <w:tmpl w:val="C52488AC"/>
    <w:lvl w:ilvl="0" w:tplc="40F09748">
      <w:start w:val="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CB5B48"/>
    <w:multiLevelType w:val="hybridMultilevel"/>
    <w:tmpl w:val="3EFE0DA2"/>
    <w:lvl w:ilvl="0" w:tplc="1548EC8C">
      <w:start w:val="1"/>
      <w:numFmt w:val="decimal"/>
      <w:lvlText w:val="(%1)"/>
      <w:lvlJc w:val="left"/>
      <w:pPr>
        <w:ind w:left="2208" w:hanging="360"/>
      </w:pPr>
      <w:rPr>
        <w:rFonts w:hint="default"/>
      </w:rPr>
    </w:lvl>
    <w:lvl w:ilvl="1" w:tplc="1C090019" w:tentative="1">
      <w:start w:val="1"/>
      <w:numFmt w:val="lowerLetter"/>
      <w:lvlText w:val="%2."/>
      <w:lvlJc w:val="left"/>
      <w:pPr>
        <w:ind w:left="2928" w:hanging="360"/>
      </w:pPr>
    </w:lvl>
    <w:lvl w:ilvl="2" w:tplc="1C09001B" w:tentative="1">
      <w:start w:val="1"/>
      <w:numFmt w:val="lowerRoman"/>
      <w:lvlText w:val="%3."/>
      <w:lvlJc w:val="right"/>
      <w:pPr>
        <w:ind w:left="3648" w:hanging="180"/>
      </w:pPr>
    </w:lvl>
    <w:lvl w:ilvl="3" w:tplc="1C09000F" w:tentative="1">
      <w:start w:val="1"/>
      <w:numFmt w:val="decimal"/>
      <w:lvlText w:val="%4."/>
      <w:lvlJc w:val="left"/>
      <w:pPr>
        <w:ind w:left="4368" w:hanging="360"/>
      </w:pPr>
    </w:lvl>
    <w:lvl w:ilvl="4" w:tplc="1C090019" w:tentative="1">
      <w:start w:val="1"/>
      <w:numFmt w:val="lowerLetter"/>
      <w:lvlText w:val="%5."/>
      <w:lvlJc w:val="left"/>
      <w:pPr>
        <w:ind w:left="5088" w:hanging="360"/>
      </w:pPr>
    </w:lvl>
    <w:lvl w:ilvl="5" w:tplc="1C09001B" w:tentative="1">
      <w:start w:val="1"/>
      <w:numFmt w:val="lowerRoman"/>
      <w:lvlText w:val="%6."/>
      <w:lvlJc w:val="right"/>
      <w:pPr>
        <w:ind w:left="5808" w:hanging="180"/>
      </w:pPr>
    </w:lvl>
    <w:lvl w:ilvl="6" w:tplc="1C09000F" w:tentative="1">
      <w:start w:val="1"/>
      <w:numFmt w:val="decimal"/>
      <w:lvlText w:val="%7."/>
      <w:lvlJc w:val="left"/>
      <w:pPr>
        <w:ind w:left="6528" w:hanging="360"/>
      </w:pPr>
    </w:lvl>
    <w:lvl w:ilvl="7" w:tplc="1C090019" w:tentative="1">
      <w:start w:val="1"/>
      <w:numFmt w:val="lowerLetter"/>
      <w:lvlText w:val="%8."/>
      <w:lvlJc w:val="left"/>
      <w:pPr>
        <w:ind w:left="7248" w:hanging="360"/>
      </w:pPr>
    </w:lvl>
    <w:lvl w:ilvl="8" w:tplc="1C09001B" w:tentative="1">
      <w:start w:val="1"/>
      <w:numFmt w:val="lowerRoman"/>
      <w:lvlText w:val="%9."/>
      <w:lvlJc w:val="right"/>
      <w:pPr>
        <w:ind w:left="7968" w:hanging="180"/>
      </w:pPr>
    </w:lvl>
  </w:abstractNum>
  <w:abstractNum w:abstractNumId="4">
    <w:nsid w:val="1B59573E"/>
    <w:multiLevelType w:val="hybridMultilevel"/>
    <w:tmpl w:val="3C469254"/>
    <w:lvl w:ilvl="0" w:tplc="804427E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1CBF746C"/>
    <w:multiLevelType w:val="hybridMultilevel"/>
    <w:tmpl w:val="7D2A3EDC"/>
    <w:lvl w:ilvl="0" w:tplc="34249AC2">
      <w:start w:val="4"/>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1FC9207B"/>
    <w:multiLevelType w:val="hybridMultilevel"/>
    <w:tmpl w:val="451E0C5E"/>
    <w:lvl w:ilvl="0" w:tplc="A1DAC118">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nsid w:val="259A4E0D"/>
    <w:multiLevelType w:val="hybridMultilevel"/>
    <w:tmpl w:val="0532BCC8"/>
    <w:lvl w:ilvl="0" w:tplc="93D627CC">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8">
    <w:nsid w:val="2B383F41"/>
    <w:multiLevelType w:val="hybridMultilevel"/>
    <w:tmpl w:val="DE68D252"/>
    <w:lvl w:ilvl="0" w:tplc="1F94EB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203630A"/>
    <w:multiLevelType w:val="hybridMultilevel"/>
    <w:tmpl w:val="383EF6B8"/>
    <w:lvl w:ilvl="0" w:tplc="0D887886">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0">
    <w:nsid w:val="328E312B"/>
    <w:multiLevelType w:val="hybridMultilevel"/>
    <w:tmpl w:val="AE66EACA"/>
    <w:lvl w:ilvl="0" w:tplc="5D10C3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7F60876"/>
    <w:multiLevelType w:val="hybridMultilevel"/>
    <w:tmpl w:val="EFA4E5B2"/>
    <w:lvl w:ilvl="0" w:tplc="B406C6E6">
      <w:start w:val="6"/>
      <w:numFmt w:val="decimal"/>
      <w:lvlText w:val="(%1)"/>
      <w:lvlJc w:val="left"/>
      <w:pPr>
        <w:ind w:left="2522" w:hanging="360"/>
      </w:pPr>
      <w:rPr>
        <w:rFonts w:hint="default"/>
      </w:rPr>
    </w:lvl>
    <w:lvl w:ilvl="1" w:tplc="1C090019" w:tentative="1">
      <w:start w:val="1"/>
      <w:numFmt w:val="lowerLetter"/>
      <w:lvlText w:val="%2."/>
      <w:lvlJc w:val="left"/>
      <w:pPr>
        <w:ind w:left="3242" w:hanging="360"/>
      </w:pPr>
    </w:lvl>
    <w:lvl w:ilvl="2" w:tplc="1C09001B" w:tentative="1">
      <w:start w:val="1"/>
      <w:numFmt w:val="lowerRoman"/>
      <w:lvlText w:val="%3."/>
      <w:lvlJc w:val="right"/>
      <w:pPr>
        <w:ind w:left="3962" w:hanging="180"/>
      </w:pPr>
    </w:lvl>
    <w:lvl w:ilvl="3" w:tplc="1C09000F" w:tentative="1">
      <w:start w:val="1"/>
      <w:numFmt w:val="decimal"/>
      <w:lvlText w:val="%4."/>
      <w:lvlJc w:val="left"/>
      <w:pPr>
        <w:ind w:left="4682" w:hanging="360"/>
      </w:pPr>
    </w:lvl>
    <w:lvl w:ilvl="4" w:tplc="1C090019" w:tentative="1">
      <w:start w:val="1"/>
      <w:numFmt w:val="lowerLetter"/>
      <w:lvlText w:val="%5."/>
      <w:lvlJc w:val="left"/>
      <w:pPr>
        <w:ind w:left="5402" w:hanging="360"/>
      </w:pPr>
    </w:lvl>
    <w:lvl w:ilvl="5" w:tplc="1C09001B" w:tentative="1">
      <w:start w:val="1"/>
      <w:numFmt w:val="lowerRoman"/>
      <w:lvlText w:val="%6."/>
      <w:lvlJc w:val="right"/>
      <w:pPr>
        <w:ind w:left="6122" w:hanging="180"/>
      </w:pPr>
    </w:lvl>
    <w:lvl w:ilvl="6" w:tplc="1C09000F" w:tentative="1">
      <w:start w:val="1"/>
      <w:numFmt w:val="decimal"/>
      <w:lvlText w:val="%7."/>
      <w:lvlJc w:val="left"/>
      <w:pPr>
        <w:ind w:left="6842" w:hanging="360"/>
      </w:pPr>
    </w:lvl>
    <w:lvl w:ilvl="7" w:tplc="1C090019" w:tentative="1">
      <w:start w:val="1"/>
      <w:numFmt w:val="lowerLetter"/>
      <w:lvlText w:val="%8."/>
      <w:lvlJc w:val="left"/>
      <w:pPr>
        <w:ind w:left="7562" w:hanging="360"/>
      </w:pPr>
    </w:lvl>
    <w:lvl w:ilvl="8" w:tplc="1C09001B" w:tentative="1">
      <w:start w:val="1"/>
      <w:numFmt w:val="lowerRoman"/>
      <w:lvlText w:val="%9."/>
      <w:lvlJc w:val="right"/>
      <w:pPr>
        <w:ind w:left="8282" w:hanging="180"/>
      </w:pPr>
    </w:lvl>
  </w:abstractNum>
  <w:abstractNum w:abstractNumId="12">
    <w:nsid w:val="386651ED"/>
    <w:multiLevelType w:val="hybridMultilevel"/>
    <w:tmpl w:val="DD708CF4"/>
    <w:lvl w:ilvl="0" w:tplc="488A4C6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38B941A3"/>
    <w:multiLevelType w:val="hybridMultilevel"/>
    <w:tmpl w:val="9DAEA83A"/>
    <w:lvl w:ilvl="0" w:tplc="ACE4319E">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A5C0FB2"/>
    <w:multiLevelType w:val="hybridMultilevel"/>
    <w:tmpl w:val="1486E15A"/>
    <w:lvl w:ilvl="0" w:tplc="6DE698B0">
      <w:start w:val="1"/>
      <w:numFmt w:val="decimal"/>
      <w:lvlText w:val="(%1)"/>
      <w:lvlJc w:val="left"/>
      <w:pPr>
        <w:ind w:left="2522" w:hanging="360"/>
      </w:pPr>
      <w:rPr>
        <w:rFonts w:hint="default"/>
      </w:rPr>
    </w:lvl>
    <w:lvl w:ilvl="1" w:tplc="1C090019" w:tentative="1">
      <w:start w:val="1"/>
      <w:numFmt w:val="lowerLetter"/>
      <w:lvlText w:val="%2."/>
      <w:lvlJc w:val="left"/>
      <w:pPr>
        <w:ind w:left="3242" w:hanging="360"/>
      </w:pPr>
    </w:lvl>
    <w:lvl w:ilvl="2" w:tplc="1C09001B" w:tentative="1">
      <w:start w:val="1"/>
      <w:numFmt w:val="lowerRoman"/>
      <w:lvlText w:val="%3."/>
      <w:lvlJc w:val="right"/>
      <w:pPr>
        <w:ind w:left="3962" w:hanging="180"/>
      </w:pPr>
    </w:lvl>
    <w:lvl w:ilvl="3" w:tplc="1C09000F" w:tentative="1">
      <w:start w:val="1"/>
      <w:numFmt w:val="decimal"/>
      <w:lvlText w:val="%4."/>
      <w:lvlJc w:val="left"/>
      <w:pPr>
        <w:ind w:left="4682" w:hanging="360"/>
      </w:pPr>
    </w:lvl>
    <w:lvl w:ilvl="4" w:tplc="1C090019" w:tentative="1">
      <w:start w:val="1"/>
      <w:numFmt w:val="lowerLetter"/>
      <w:lvlText w:val="%5."/>
      <w:lvlJc w:val="left"/>
      <w:pPr>
        <w:ind w:left="5402" w:hanging="360"/>
      </w:pPr>
    </w:lvl>
    <w:lvl w:ilvl="5" w:tplc="1C09001B" w:tentative="1">
      <w:start w:val="1"/>
      <w:numFmt w:val="lowerRoman"/>
      <w:lvlText w:val="%6."/>
      <w:lvlJc w:val="right"/>
      <w:pPr>
        <w:ind w:left="6122" w:hanging="180"/>
      </w:pPr>
    </w:lvl>
    <w:lvl w:ilvl="6" w:tplc="1C09000F" w:tentative="1">
      <w:start w:val="1"/>
      <w:numFmt w:val="decimal"/>
      <w:lvlText w:val="%7."/>
      <w:lvlJc w:val="left"/>
      <w:pPr>
        <w:ind w:left="6842" w:hanging="360"/>
      </w:pPr>
    </w:lvl>
    <w:lvl w:ilvl="7" w:tplc="1C090019" w:tentative="1">
      <w:start w:val="1"/>
      <w:numFmt w:val="lowerLetter"/>
      <w:lvlText w:val="%8."/>
      <w:lvlJc w:val="left"/>
      <w:pPr>
        <w:ind w:left="7562" w:hanging="360"/>
      </w:pPr>
    </w:lvl>
    <w:lvl w:ilvl="8" w:tplc="1C09001B" w:tentative="1">
      <w:start w:val="1"/>
      <w:numFmt w:val="lowerRoman"/>
      <w:lvlText w:val="%9."/>
      <w:lvlJc w:val="right"/>
      <w:pPr>
        <w:ind w:left="8282" w:hanging="180"/>
      </w:pPr>
    </w:lvl>
  </w:abstractNum>
  <w:abstractNum w:abstractNumId="15">
    <w:nsid w:val="3A90724C"/>
    <w:multiLevelType w:val="hybridMultilevel"/>
    <w:tmpl w:val="3C5026A6"/>
    <w:lvl w:ilvl="0" w:tplc="9AC61A02">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6">
    <w:nsid w:val="3B9E51C2"/>
    <w:multiLevelType w:val="hybridMultilevel"/>
    <w:tmpl w:val="3ABCACA4"/>
    <w:lvl w:ilvl="0" w:tplc="DA4E93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482799A"/>
    <w:multiLevelType w:val="hybridMultilevel"/>
    <w:tmpl w:val="CD54BD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BCF11E6"/>
    <w:multiLevelType w:val="hybridMultilevel"/>
    <w:tmpl w:val="DA9C4580"/>
    <w:lvl w:ilvl="0" w:tplc="0CD22542">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9">
    <w:nsid w:val="557E0F57"/>
    <w:multiLevelType w:val="hybridMultilevel"/>
    <w:tmpl w:val="EF427A0E"/>
    <w:lvl w:ilvl="0" w:tplc="0AF6FB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F342B36"/>
    <w:multiLevelType w:val="hybridMultilevel"/>
    <w:tmpl w:val="62248AF8"/>
    <w:lvl w:ilvl="0" w:tplc="A3187C0C">
      <w:start w:val="6"/>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nsid w:val="6083460F"/>
    <w:multiLevelType w:val="hybridMultilevel"/>
    <w:tmpl w:val="1832AD68"/>
    <w:lvl w:ilvl="0" w:tplc="F16C3BF2">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2">
    <w:nsid w:val="611412CF"/>
    <w:multiLevelType w:val="hybridMultilevel"/>
    <w:tmpl w:val="F45CFB96"/>
    <w:lvl w:ilvl="0" w:tplc="1286ECBE">
      <w:start w:val="1"/>
      <w:numFmt w:val="decimal"/>
      <w:lvlText w:val="(%1)"/>
      <w:lvlJc w:val="left"/>
      <w:pPr>
        <w:ind w:left="2522" w:hanging="360"/>
      </w:pPr>
      <w:rPr>
        <w:rFonts w:hint="default"/>
      </w:rPr>
    </w:lvl>
    <w:lvl w:ilvl="1" w:tplc="1C090019" w:tentative="1">
      <w:start w:val="1"/>
      <w:numFmt w:val="lowerLetter"/>
      <w:lvlText w:val="%2."/>
      <w:lvlJc w:val="left"/>
      <w:pPr>
        <w:ind w:left="3242" w:hanging="360"/>
      </w:pPr>
    </w:lvl>
    <w:lvl w:ilvl="2" w:tplc="1C09001B" w:tentative="1">
      <w:start w:val="1"/>
      <w:numFmt w:val="lowerRoman"/>
      <w:lvlText w:val="%3."/>
      <w:lvlJc w:val="right"/>
      <w:pPr>
        <w:ind w:left="3962" w:hanging="180"/>
      </w:pPr>
    </w:lvl>
    <w:lvl w:ilvl="3" w:tplc="1C09000F" w:tentative="1">
      <w:start w:val="1"/>
      <w:numFmt w:val="decimal"/>
      <w:lvlText w:val="%4."/>
      <w:lvlJc w:val="left"/>
      <w:pPr>
        <w:ind w:left="4682" w:hanging="360"/>
      </w:pPr>
    </w:lvl>
    <w:lvl w:ilvl="4" w:tplc="1C090019" w:tentative="1">
      <w:start w:val="1"/>
      <w:numFmt w:val="lowerLetter"/>
      <w:lvlText w:val="%5."/>
      <w:lvlJc w:val="left"/>
      <w:pPr>
        <w:ind w:left="5402" w:hanging="360"/>
      </w:pPr>
    </w:lvl>
    <w:lvl w:ilvl="5" w:tplc="1C09001B" w:tentative="1">
      <w:start w:val="1"/>
      <w:numFmt w:val="lowerRoman"/>
      <w:lvlText w:val="%6."/>
      <w:lvlJc w:val="right"/>
      <w:pPr>
        <w:ind w:left="6122" w:hanging="180"/>
      </w:pPr>
    </w:lvl>
    <w:lvl w:ilvl="6" w:tplc="1C09000F" w:tentative="1">
      <w:start w:val="1"/>
      <w:numFmt w:val="decimal"/>
      <w:lvlText w:val="%7."/>
      <w:lvlJc w:val="left"/>
      <w:pPr>
        <w:ind w:left="6842" w:hanging="360"/>
      </w:pPr>
    </w:lvl>
    <w:lvl w:ilvl="7" w:tplc="1C090019" w:tentative="1">
      <w:start w:val="1"/>
      <w:numFmt w:val="lowerLetter"/>
      <w:lvlText w:val="%8."/>
      <w:lvlJc w:val="left"/>
      <w:pPr>
        <w:ind w:left="7562" w:hanging="360"/>
      </w:pPr>
    </w:lvl>
    <w:lvl w:ilvl="8" w:tplc="1C09001B" w:tentative="1">
      <w:start w:val="1"/>
      <w:numFmt w:val="lowerRoman"/>
      <w:lvlText w:val="%9."/>
      <w:lvlJc w:val="right"/>
      <w:pPr>
        <w:ind w:left="8282" w:hanging="180"/>
      </w:pPr>
    </w:lvl>
  </w:abstractNum>
  <w:abstractNum w:abstractNumId="23">
    <w:nsid w:val="66AC1A49"/>
    <w:multiLevelType w:val="hybridMultilevel"/>
    <w:tmpl w:val="19AE8B0A"/>
    <w:lvl w:ilvl="0" w:tplc="73A859F8">
      <w:start w:val="1"/>
      <w:numFmt w:val="lowerLetter"/>
      <w:lvlText w:val="(%1)"/>
      <w:lvlJc w:val="left"/>
      <w:pPr>
        <w:ind w:left="1778" w:hanging="360"/>
      </w:pPr>
      <w:rPr>
        <w:rFonts w:hint="default"/>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4">
    <w:nsid w:val="68DF74DE"/>
    <w:multiLevelType w:val="hybridMultilevel"/>
    <w:tmpl w:val="C2D26302"/>
    <w:lvl w:ilvl="0" w:tplc="B3A09BE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A394D9A"/>
    <w:multiLevelType w:val="hybridMultilevel"/>
    <w:tmpl w:val="EF205BDA"/>
    <w:lvl w:ilvl="0" w:tplc="AC82995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70233AD0"/>
    <w:multiLevelType w:val="hybridMultilevel"/>
    <w:tmpl w:val="DE088F14"/>
    <w:lvl w:ilvl="0" w:tplc="CDA83D4C">
      <w:start w:val="1"/>
      <w:numFmt w:val="decimal"/>
      <w:lvlText w:val="(%1)"/>
      <w:lvlJc w:val="left"/>
      <w:pPr>
        <w:ind w:left="2520" w:hanging="360"/>
      </w:pPr>
      <w:rPr>
        <w:rFonts w:hint="default"/>
        <w:b w:val="0"/>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nsid w:val="758D677C"/>
    <w:multiLevelType w:val="hybridMultilevel"/>
    <w:tmpl w:val="B428DF86"/>
    <w:lvl w:ilvl="0" w:tplc="14D47048">
      <w:start w:val="8"/>
      <w:numFmt w:val="decimal"/>
      <w:lvlText w:val="[%1]"/>
      <w:lvlJc w:val="left"/>
      <w:pPr>
        <w:ind w:left="2522" w:hanging="360"/>
      </w:pPr>
      <w:rPr>
        <w:rFonts w:ascii="Arial" w:hAnsi="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77470A8"/>
    <w:multiLevelType w:val="hybridMultilevel"/>
    <w:tmpl w:val="D3A638E8"/>
    <w:lvl w:ilvl="0" w:tplc="9154DC68">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98368D1"/>
    <w:multiLevelType w:val="hybridMultilevel"/>
    <w:tmpl w:val="93ACC8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73270B"/>
    <w:multiLevelType w:val="hybridMultilevel"/>
    <w:tmpl w:val="66622932"/>
    <w:lvl w:ilvl="0" w:tplc="ACE4319E">
      <w:start w:val="1"/>
      <w:numFmt w:val="decimal"/>
      <w:lvlText w:val="[%1]"/>
      <w:lvlJc w:val="left"/>
      <w:pPr>
        <w:ind w:left="2522" w:hanging="360"/>
      </w:pPr>
      <w:rPr>
        <w:rFonts w:ascii="Arial" w:hAnsi="Arial" w:hint="default"/>
        <w:b w:val="0"/>
        <w:i w:val="0"/>
        <w:sz w:val="24"/>
        <w:szCs w:val="24"/>
      </w:rPr>
    </w:lvl>
    <w:lvl w:ilvl="1" w:tplc="1C090019" w:tentative="1">
      <w:start w:val="1"/>
      <w:numFmt w:val="lowerLetter"/>
      <w:lvlText w:val="%2."/>
      <w:lvlJc w:val="left"/>
      <w:pPr>
        <w:ind w:left="3242" w:hanging="360"/>
      </w:pPr>
    </w:lvl>
    <w:lvl w:ilvl="2" w:tplc="1C09001B" w:tentative="1">
      <w:start w:val="1"/>
      <w:numFmt w:val="lowerRoman"/>
      <w:lvlText w:val="%3."/>
      <w:lvlJc w:val="right"/>
      <w:pPr>
        <w:ind w:left="3962" w:hanging="180"/>
      </w:pPr>
    </w:lvl>
    <w:lvl w:ilvl="3" w:tplc="1C09000F" w:tentative="1">
      <w:start w:val="1"/>
      <w:numFmt w:val="decimal"/>
      <w:lvlText w:val="%4."/>
      <w:lvlJc w:val="left"/>
      <w:pPr>
        <w:ind w:left="4682" w:hanging="360"/>
      </w:pPr>
    </w:lvl>
    <w:lvl w:ilvl="4" w:tplc="1C090019" w:tentative="1">
      <w:start w:val="1"/>
      <w:numFmt w:val="lowerLetter"/>
      <w:lvlText w:val="%5."/>
      <w:lvlJc w:val="left"/>
      <w:pPr>
        <w:ind w:left="5402" w:hanging="360"/>
      </w:pPr>
    </w:lvl>
    <w:lvl w:ilvl="5" w:tplc="1C09001B" w:tentative="1">
      <w:start w:val="1"/>
      <w:numFmt w:val="lowerRoman"/>
      <w:lvlText w:val="%6."/>
      <w:lvlJc w:val="right"/>
      <w:pPr>
        <w:ind w:left="6122" w:hanging="180"/>
      </w:pPr>
    </w:lvl>
    <w:lvl w:ilvl="6" w:tplc="1C09000F" w:tentative="1">
      <w:start w:val="1"/>
      <w:numFmt w:val="decimal"/>
      <w:lvlText w:val="%7."/>
      <w:lvlJc w:val="left"/>
      <w:pPr>
        <w:ind w:left="6842" w:hanging="360"/>
      </w:pPr>
    </w:lvl>
    <w:lvl w:ilvl="7" w:tplc="1C090019" w:tentative="1">
      <w:start w:val="1"/>
      <w:numFmt w:val="lowerLetter"/>
      <w:lvlText w:val="%8."/>
      <w:lvlJc w:val="left"/>
      <w:pPr>
        <w:ind w:left="7562" w:hanging="360"/>
      </w:pPr>
    </w:lvl>
    <w:lvl w:ilvl="8" w:tplc="1C09001B" w:tentative="1">
      <w:start w:val="1"/>
      <w:numFmt w:val="lowerRoman"/>
      <w:lvlText w:val="%9."/>
      <w:lvlJc w:val="right"/>
      <w:pPr>
        <w:ind w:left="8282" w:hanging="180"/>
      </w:pPr>
    </w:lvl>
  </w:abstractNum>
  <w:num w:numId="1">
    <w:abstractNumId w:val="29"/>
  </w:num>
  <w:num w:numId="2">
    <w:abstractNumId w:val="2"/>
  </w:num>
  <w:num w:numId="3">
    <w:abstractNumId w:val="12"/>
  </w:num>
  <w:num w:numId="4">
    <w:abstractNumId w:val="4"/>
  </w:num>
  <w:num w:numId="5">
    <w:abstractNumId w:val="28"/>
  </w:num>
  <w:num w:numId="6">
    <w:abstractNumId w:val="19"/>
  </w:num>
  <w:num w:numId="7">
    <w:abstractNumId w:val="3"/>
  </w:num>
  <w:num w:numId="8">
    <w:abstractNumId w:val="6"/>
  </w:num>
  <w:num w:numId="9">
    <w:abstractNumId w:val="7"/>
  </w:num>
  <w:num w:numId="10">
    <w:abstractNumId w:val="9"/>
  </w:num>
  <w:num w:numId="11">
    <w:abstractNumId w:val="8"/>
  </w:num>
  <w:num w:numId="12">
    <w:abstractNumId w:val="25"/>
  </w:num>
  <w:num w:numId="13">
    <w:abstractNumId w:val="24"/>
  </w:num>
  <w:num w:numId="14">
    <w:abstractNumId w:val="17"/>
  </w:num>
  <w:num w:numId="15">
    <w:abstractNumId w:val="0"/>
  </w:num>
  <w:num w:numId="16">
    <w:abstractNumId w:val="5"/>
  </w:num>
  <w:num w:numId="17">
    <w:abstractNumId w:val="20"/>
  </w:num>
  <w:num w:numId="18">
    <w:abstractNumId w:val="1"/>
  </w:num>
  <w:num w:numId="19">
    <w:abstractNumId w:val="16"/>
  </w:num>
  <w:num w:numId="20">
    <w:abstractNumId w:val="26"/>
  </w:num>
  <w:num w:numId="21">
    <w:abstractNumId w:val="15"/>
  </w:num>
  <w:num w:numId="22">
    <w:abstractNumId w:val="22"/>
  </w:num>
  <w:num w:numId="23">
    <w:abstractNumId w:val="23"/>
  </w:num>
  <w:num w:numId="24">
    <w:abstractNumId w:val="30"/>
  </w:num>
  <w:num w:numId="25">
    <w:abstractNumId w:val="14"/>
  </w:num>
  <w:num w:numId="26">
    <w:abstractNumId w:val="18"/>
  </w:num>
  <w:num w:numId="27">
    <w:abstractNumId w:val="21"/>
  </w:num>
  <w:num w:numId="28">
    <w:abstractNumId w:val="13"/>
  </w:num>
  <w:num w:numId="29">
    <w:abstractNumId w:val="10"/>
  </w:num>
  <w:num w:numId="30">
    <w:abstractNumId w:val="2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131078" w:nlCheck="1" w:checkStyle="1"/>
  <w:proofState w:spelling="clean" w:grammar="clean"/>
  <w:defaultTabStop w:val="720"/>
  <w:clickAndTypeStyle w:val="Footnote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3E"/>
    <w:rsid w:val="000040E4"/>
    <w:rsid w:val="00004BB6"/>
    <w:rsid w:val="00004EF8"/>
    <w:rsid w:val="00015E74"/>
    <w:rsid w:val="000201A1"/>
    <w:rsid w:val="00020ADF"/>
    <w:rsid w:val="00021C80"/>
    <w:rsid w:val="000259B6"/>
    <w:rsid w:val="00025B5B"/>
    <w:rsid w:val="000307A7"/>
    <w:rsid w:val="00030A86"/>
    <w:rsid w:val="000527C8"/>
    <w:rsid w:val="00052CBB"/>
    <w:rsid w:val="00054CC8"/>
    <w:rsid w:val="00055A72"/>
    <w:rsid w:val="00056BCC"/>
    <w:rsid w:val="00061544"/>
    <w:rsid w:val="00062FDD"/>
    <w:rsid w:val="0006389D"/>
    <w:rsid w:val="0006553F"/>
    <w:rsid w:val="000655E0"/>
    <w:rsid w:val="00066B10"/>
    <w:rsid w:val="00066B58"/>
    <w:rsid w:val="00070E09"/>
    <w:rsid w:val="00072B0C"/>
    <w:rsid w:val="00073839"/>
    <w:rsid w:val="0008034C"/>
    <w:rsid w:val="000807DB"/>
    <w:rsid w:val="000821D3"/>
    <w:rsid w:val="0008418C"/>
    <w:rsid w:val="00085BCB"/>
    <w:rsid w:val="00090F62"/>
    <w:rsid w:val="00097C8A"/>
    <w:rsid w:val="000A6BDE"/>
    <w:rsid w:val="000B2643"/>
    <w:rsid w:val="000B2EE4"/>
    <w:rsid w:val="000B695B"/>
    <w:rsid w:val="000C3D19"/>
    <w:rsid w:val="000C48E0"/>
    <w:rsid w:val="000C6947"/>
    <w:rsid w:val="000C69B3"/>
    <w:rsid w:val="000C6B25"/>
    <w:rsid w:val="000C7388"/>
    <w:rsid w:val="000D295F"/>
    <w:rsid w:val="000D3C38"/>
    <w:rsid w:val="000D406A"/>
    <w:rsid w:val="000D6E41"/>
    <w:rsid w:val="000D78F6"/>
    <w:rsid w:val="000E3F41"/>
    <w:rsid w:val="000E48F0"/>
    <w:rsid w:val="000E7D67"/>
    <w:rsid w:val="000F3439"/>
    <w:rsid w:val="000F6171"/>
    <w:rsid w:val="0010020F"/>
    <w:rsid w:val="00104AD9"/>
    <w:rsid w:val="001061D6"/>
    <w:rsid w:val="00106E1D"/>
    <w:rsid w:val="00112AB6"/>
    <w:rsid w:val="0011320A"/>
    <w:rsid w:val="001148F2"/>
    <w:rsid w:val="00116221"/>
    <w:rsid w:val="00121EC9"/>
    <w:rsid w:val="00123D56"/>
    <w:rsid w:val="00124BD4"/>
    <w:rsid w:val="00125707"/>
    <w:rsid w:val="001308EA"/>
    <w:rsid w:val="00134203"/>
    <w:rsid w:val="00141968"/>
    <w:rsid w:val="001430EE"/>
    <w:rsid w:val="00147527"/>
    <w:rsid w:val="00147DBF"/>
    <w:rsid w:val="00150A03"/>
    <w:rsid w:val="001514BA"/>
    <w:rsid w:val="001524DD"/>
    <w:rsid w:val="0015335C"/>
    <w:rsid w:val="00155573"/>
    <w:rsid w:val="001605F4"/>
    <w:rsid w:val="00160BAC"/>
    <w:rsid w:val="00163EE8"/>
    <w:rsid w:val="001669AA"/>
    <w:rsid w:val="00172679"/>
    <w:rsid w:val="001755C7"/>
    <w:rsid w:val="00175DEB"/>
    <w:rsid w:val="00175E49"/>
    <w:rsid w:val="001833C5"/>
    <w:rsid w:val="001855B5"/>
    <w:rsid w:val="001A6DA3"/>
    <w:rsid w:val="001B01EF"/>
    <w:rsid w:val="001C4911"/>
    <w:rsid w:val="001C5FA4"/>
    <w:rsid w:val="001C71FB"/>
    <w:rsid w:val="001C764B"/>
    <w:rsid w:val="001D0064"/>
    <w:rsid w:val="001D2A5F"/>
    <w:rsid w:val="001D2D3E"/>
    <w:rsid w:val="001D32ED"/>
    <w:rsid w:val="001D504A"/>
    <w:rsid w:val="001D749B"/>
    <w:rsid w:val="001E162B"/>
    <w:rsid w:val="001E3A2A"/>
    <w:rsid w:val="001E4D4C"/>
    <w:rsid w:val="001E5606"/>
    <w:rsid w:val="001E67B1"/>
    <w:rsid w:val="001F3782"/>
    <w:rsid w:val="001F3EE0"/>
    <w:rsid w:val="00200D2B"/>
    <w:rsid w:val="00200EF7"/>
    <w:rsid w:val="0020553D"/>
    <w:rsid w:val="00207141"/>
    <w:rsid w:val="002140EF"/>
    <w:rsid w:val="0021491E"/>
    <w:rsid w:val="00217708"/>
    <w:rsid w:val="00220EA4"/>
    <w:rsid w:val="00220F0E"/>
    <w:rsid w:val="00224385"/>
    <w:rsid w:val="00226D34"/>
    <w:rsid w:val="00233145"/>
    <w:rsid w:val="002439E1"/>
    <w:rsid w:val="002448F9"/>
    <w:rsid w:val="00246B1D"/>
    <w:rsid w:val="002537DE"/>
    <w:rsid w:val="002567A8"/>
    <w:rsid w:val="002600A8"/>
    <w:rsid w:val="0026448B"/>
    <w:rsid w:val="00265A16"/>
    <w:rsid w:val="00272F45"/>
    <w:rsid w:val="0027679B"/>
    <w:rsid w:val="002852FA"/>
    <w:rsid w:val="00292634"/>
    <w:rsid w:val="00292AB9"/>
    <w:rsid w:val="002948A7"/>
    <w:rsid w:val="00294D24"/>
    <w:rsid w:val="00294D55"/>
    <w:rsid w:val="002960E4"/>
    <w:rsid w:val="002A2790"/>
    <w:rsid w:val="002A2DDC"/>
    <w:rsid w:val="002A57CE"/>
    <w:rsid w:val="002A7141"/>
    <w:rsid w:val="002B06FB"/>
    <w:rsid w:val="002B2BCB"/>
    <w:rsid w:val="002B4E02"/>
    <w:rsid w:val="002B5286"/>
    <w:rsid w:val="002B59B2"/>
    <w:rsid w:val="002B5D4E"/>
    <w:rsid w:val="002B62AE"/>
    <w:rsid w:val="002B75B8"/>
    <w:rsid w:val="002C03A6"/>
    <w:rsid w:val="002C07E3"/>
    <w:rsid w:val="002C126C"/>
    <w:rsid w:val="002C22F1"/>
    <w:rsid w:val="002D0334"/>
    <w:rsid w:val="002D0CEA"/>
    <w:rsid w:val="002D0D21"/>
    <w:rsid w:val="002D3437"/>
    <w:rsid w:val="002D58A6"/>
    <w:rsid w:val="002D5A2E"/>
    <w:rsid w:val="002E24EA"/>
    <w:rsid w:val="002E4DF5"/>
    <w:rsid w:val="002F0415"/>
    <w:rsid w:val="002F0AA1"/>
    <w:rsid w:val="002F197C"/>
    <w:rsid w:val="002F5E9A"/>
    <w:rsid w:val="00300A01"/>
    <w:rsid w:val="00302CCB"/>
    <w:rsid w:val="003031B0"/>
    <w:rsid w:val="00306902"/>
    <w:rsid w:val="00313D96"/>
    <w:rsid w:val="00324F49"/>
    <w:rsid w:val="00335F82"/>
    <w:rsid w:val="00337855"/>
    <w:rsid w:val="00337E77"/>
    <w:rsid w:val="0034409D"/>
    <w:rsid w:val="00353A8D"/>
    <w:rsid w:val="00353B5A"/>
    <w:rsid w:val="00355E6F"/>
    <w:rsid w:val="00360425"/>
    <w:rsid w:val="00370D8C"/>
    <w:rsid w:val="00371704"/>
    <w:rsid w:val="003755E8"/>
    <w:rsid w:val="00377B9A"/>
    <w:rsid w:val="00380AD6"/>
    <w:rsid w:val="00381399"/>
    <w:rsid w:val="00381BBF"/>
    <w:rsid w:val="00383A54"/>
    <w:rsid w:val="0038558E"/>
    <w:rsid w:val="00387C31"/>
    <w:rsid w:val="003902AD"/>
    <w:rsid w:val="0039336F"/>
    <w:rsid w:val="0039756B"/>
    <w:rsid w:val="003A0971"/>
    <w:rsid w:val="003A0B26"/>
    <w:rsid w:val="003A7943"/>
    <w:rsid w:val="003B208F"/>
    <w:rsid w:val="003B20F7"/>
    <w:rsid w:val="003B52FD"/>
    <w:rsid w:val="003B57B4"/>
    <w:rsid w:val="003B5DBF"/>
    <w:rsid w:val="003C4710"/>
    <w:rsid w:val="003C474B"/>
    <w:rsid w:val="003C65BF"/>
    <w:rsid w:val="003D41C5"/>
    <w:rsid w:val="003D5528"/>
    <w:rsid w:val="003E102F"/>
    <w:rsid w:val="003E1CEC"/>
    <w:rsid w:val="003E3D24"/>
    <w:rsid w:val="003E61B7"/>
    <w:rsid w:val="003F080E"/>
    <w:rsid w:val="003F27CA"/>
    <w:rsid w:val="003F46CC"/>
    <w:rsid w:val="003F4EB9"/>
    <w:rsid w:val="003F7BFD"/>
    <w:rsid w:val="0040650D"/>
    <w:rsid w:val="0041213E"/>
    <w:rsid w:val="00413C27"/>
    <w:rsid w:val="0042203C"/>
    <w:rsid w:val="00423553"/>
    <w:rsid w:val="00424F1C"/>
    <w:rsid w:val="00432CFE"/>
    <w:rsid w:val="0043602E"/>
    <w:rsid w:val="00442B38"/>
    <w:rsid w:val="00444E90"/>
    <w:rsid w:val="00451F58"/>
    <w:rsid w:val="004525CF"/>
    <w:rsid w:val="0045667F"/>
    <w:rsid w:val="0046786A"/>
    <w:rsid w:val="00473162"/>
    <w:rsid w:val="004755A7"/>
    <w:rsid w:val="00477E62"/>
    <w:rsid w:val="00480C6E"/>
    <w:rsid w:val="004820B0"/>
    <w:rsid w:val="0048336D"/>
    <w:rsid w:val="004844E3"/>
    <w:rsid w:val="00484B88"/>
    <w:rsid w:val="004854CD"/>
    <w:rsid w:val="0048684F"/>
    <w:rsid w:val="00486CAE"/>
    <w:rsid w:val="004871F1"/>
    <w:rsid w:val="004936B7"/>
    <w:rsid w:val="00496CAE"/>
    <w:rsid w:val="004A16A6"/>
    <w:rsid w:val="004A26C8"/>
    <w:rsid w:val="004A4039"/>
    <w:rsid w:val="004A67F3"/>
    <w:rsid w:val="004A79F2"/>
    <w:rsid w:val="004B14DE"/>
    <w:rsid w:val="004B4814"/>
    <w:rsid w:val="004B794B"/>
    <w:rsid w:val="004B7E49"/>
    <w:rsid w:val="004C0D9E"/>
    <w:rsid w:val="004C0E75"/>
    <w:rsid w:val="004C66E0"/>
    <w:rsid w:val="004D01AA"/>
    <w:rsid w:val="004D0AE8"/>
    <w:rsid w:val="004D5C41"/>
    <w:rsid w:val="004D6FF8"/>
    <w:rsid w:val="004E13CD"/>
    <w:rsid w:val="004E6841"/>
    <w:rsid w:val="004E73D2"/>
    <w:rsid w:val="004E7B8E"/>
    <w:rsid w:val="004F19FE"/>
    <w:rsid w:val="004F1D1B"/>
    <w:rsid w:val="004F32C5"/>
    <w:rsid w:val="004F44AC"/>
    <w:rsid w:val="00500988"/>
    <w:rsid w:val="005013A1"/>
    <w:rsid w:val="005015F4"/>
    <w:rsid w:val="005039EE"/>
    <w:rsid w:val="0051036C"/>
    <w:rsid w:val="005104E9"/>
    <w:rsid w:val="00515B4B"/>
    <w:rsid w:val="00516635"/>
    <w:rsid w:val="005167F6"/>
    <w:rsid w:val="005169B9"/>
    <w:rsid w:val="005212FC"/>
    <w:rsid w:val="0052294D"/>
    <w:rsid w:val="00523864"/>
    <w:rsid w:val="00523DE6"/>
    <w:rsid w:val="00523F12"/>
    <w:rsid w:val="0053087C"/>
    <w:rsid w:val="00530CED"/>
    <w:rsid w:val="00534230"/>
    <w:rsid w:val="00536743"/>
    <w:rsid w:val="00542A91"/>
    <w:rsid w:val="00543132"/>
    <w:rsid w:val="00543387"/>
    <w:rsid w:val="005442EF"/>
    <w:rsid w:val="0054459C"/>
    <w:rsid w:val="005518E4"/>
    <w:rsid w:val="00553E52"/>
    <w:rsid w:val="00554AA6"/>
    <w:rsid w:val="00555E55"/>
    <w:rsid w:val="005568D5"/>
    <w:rsid w:val="005600DE"/>
    <w:rsid w:val="0056149F"/>
    <w:rsid w:val="005622B6"/>
    <w:rsid w:val="00575698"/>
    <w:rsid w:val="00577456"/>
    <w:rsid w:val="00580B9B"/>
    <w:rsid w:val="005810DC"/>
    <w:rsid w:val="005841DA"/>
    <w:rsid w:val="00584638"/>
    <w:rsid w:val="00591AFE"/>
    <w:rsid w:val="00593172"/>
    <w:rsid w:val="00593AB4"/>
    <w:rsid w:val="00595014"/>
    <w:rsid w:val="0059764D"/>
    <w:rsid w:val="005A1715"/>
    <w:rsid w:val="005A2C50"/>
    <w:rsid w:val="005A39C1"/>
    <w:rsid w:val="005A5A92"/>
    <w:rsid w:val="005B0CDA"/>
    <w:rsid w:val="005B2D8A"/>
    <w:rsid w:val="005C2908"/>
    <w:rsid w:val="005C4500"/>
    <w:rsid w:val="005D0ABA"/>
    <w:rsid w:val="005D1DC3"/>
    <w:rsid w:val="005D4552"/>
    <w:rsid w:val="005D47C0"/>
    <w:rsid w:val="005D5C59"/>
    <w:rsid w:val="005E197A"/>
    <w:rsid w:val="005E34ED"/>
    <w:rsid w:val="005E3812"/>
    <w:rsid w:val="005E6C3E"/>
    <w:rsid w:val="005F0885"/>
    <w:rsid w:val="005F18A8"/>
    <w:rsid w:val="005F3D16"/>
    <w:rsid w:val="005F7BD6"/>
    <w:rsid w:val="006004EA"/>
    <w:rsid w:val="006009A6"/>
    <w:rsid w:val="00601E71"/>
    <w:rsid w:val="00602460"/>
    <w:rsid w:val="006058FF"/>
    <w:rsid w:val="00607673"/>
    <w:rsid w:val="00610AAF"/>
    <w:rsid w:val="006163F1"/>
    <w:rsid w:val="00616D83"/>
    <w:rsid w:val="00621067"/>
    <w:rsid w:val="00621527"/>
    <w:rsid w:val="00622136"/>
    <w:rsid w:val="00622291"/>
    <w:rsid w:val="0062343A"/>
    <w:rsid w:val="0062659B"/>
    <w:rsid w:val="006268F1"/>
    <w:rsid w:val="006327A8"/>
    <w:rsid w:val="00636F94"/>
    <w:rsid w:val="006400A4"/>
    <w:rsid w:val="006406D0"/>
    <w:rsid w:val="006409ED"/>
    <w:rsid w:val="00642226"/>
    <w:rsid w:val="00644AC3"/>
    <w:rsid w:val="00645A06"/>
    <w:rsid w:val="006466C8"/>
    <w:rsid w:val="00650F06"/>
    <w:rsid w:val="0065688A"/>
    <w:rsid w:val="00656C51"/>
    <w:rsid w:val="0066147F"/>
    <w:rsid w:val="006651AC"/>
    <w:rsid w:val="00665234"/>
    <w:rsid w:val="00667129"/>
    <w:rsid w:val="006727EA"/>
    <w:rsid w:val="00672F70"/>
    <w:rsid w:val="006756B5"/>
    <w:rsid w:val="00676052"/>
    <w:rsid w:val="006826A1"/>
    <w:rsid w:val="00683BD5"/>
    <w:rsid w:val="00686A3B"/>
    <w:rsid w:val="006A110D"/>
    <w:rsid w:val="006A1181"/>
    <w:rsid w:val="006A3DD9"/>
    <w:rsid w:val="006A5C75"/>
    <w:rsid w:val="006A660F"/>
    <w:rsid w:val="006B20C8"/>
    <w:rsid w:val="006B2B58"/>
    <w:rsid w:val="006B33FF"/>
    <w:rsid w:val="006B3F86"/>
    <w:rsid w:val="006B5442"/>
    <w:rsid w:val="006C0928"/>
    <w:rsid w:val="006C4F6C"/>
    <w:rsid w:val="006C536D"/>
    <w:rsid w:val="006D0AAD"/>
    <w:rsid w:val="006D22F7"/>
    <w:rsid w:val="006D27E6"/>
    <w:rsid w:val="006D3DD4"/>
    <w:rsid w:val="006D55C4"/>
    <w:rsid w:val="006D671C"/>
    <w:rsid w:val="006E485E"/>
    <w:rsid w:val="006E4E65"/>
    <w:rsid w:val="006E6E18"/>
    <w:rsid w:val="006F09D6"/>
    <w:rsid w:val="006F0C8E"/>
    <w:rsid w:val="006F4CC1"/>
    <w:rsid w:val="00701B67"/>
    <w:rsid w:val="00702B67"/>
    <w:rsid w:val="00705A14"/>
    <w:rsid w:val="00705EBE"/>
    <w:rsid w:val="00710099"/>
    <w:rsid w:val="00711E68"/>
    <w:rsid w:val="00713DD8"/>
    <w:rsid w:val="00714DA8"/>
    <w:rsid w:val="00715D26"/>
    <w:rsid w:val="00717B81"/>
    <w:rsid w:val="007244E0"/>
    <w:rsid w:val="007253DD"/>
    <w:rsid w:val="00731D18"/>
    <w:rsid w:val="00735C31"/>
    <w:rsid w:val="00737C38"/>
    <w:rsid w:val="00737D49"/>
    <w:rsid w:val="00740BD8"/>
    <w:rsid w:val="00740D07"/>
    <w:rsid w:val="007434A7"/>
    <w:rsid w:val="00744BCE"/>
    <w:rsid w:val="007459C1"/>
    <w:rsid w:val="00745B34"/>
    <w:rsid w:val="007469C0"/>
    <w:rsid w:val="00751507"/>
    <w:rsid w:val="0075469A"/>
    <w:rsid w:val="00754DCC"/>
    <w:rsid w:val="0075564D"/>
    <w:rsid w:val="007622F0"/>
    <w:rsid w:val="00762A06"/>
    <w:rsid w:val="0077129F"/>
    <w:rsid w:val="00771AAC"/>
    <w:rsid w:val="00772E69"/>
    <w:rsid w:val="00773B2B"/>
    <w:rsid w:val="007771AB"/>
    <w:rsid w:val="00780A15"/>
    <w:rsid w:val="0078261F"/>
    <w:rsid w:val="00783124"/>
    <w:rsid w:val="00784920"/>
    <w:rsid w:val="00786399"/>
    <w:rsid w:val="00795855"/>
    <w:rsid w:val="00797EE4"/>
    <w:rsid w:val="007A021E"/>
    <w:rsid w:val="007A18D0"/>
    <w:rsid w:val="007A4DE6"/>
    <w:rsid w:val="007A6F83"/>
    <w:rsid w:val="007C11D0"/>
    <w:rsid w:val="007C1445"/>
    <w:rsid w:val="007C5718"/>
    <w:rsid w:val="007C5CD7"/>
    <w:rsid w:val="007C6EA1"/>
    <w:rsid w:val="007D0645"/>
    <w:rsid w:val="007D24DA"/>
    <w:rsid w:val="007D35CE"/>
    <w:rsid w:val="007E0D3C"/>
    <w:rsid w:val="007E1E43"/>
    <w:rsid w:val="007E3B39"/>
    <w:rsid w:val="007F48DB"/>
    <w:rsid w:val="007F7E98"/>
    <w:rsid w:val="008047C3"/>
    <w:rsid w:val="00815C8A"/>
    <w:rsid w:val="00816849"/>
    <w:rsid w:val="0081765E"/>
    <w:rsid w:val="00820328"/>
    <w:rsid w:val="00821C5A"/>
    <w:rsid w:val="00821EF7"/>
    <w:rsid w:val="00822CAB"/>
    <w:rsid w:val="008236EF"/>
    <w:rsid w:val="0082547F"/>
    <w:rsid w:val="00826330"/>
    <w:rsid w:val="0083034B"/>
    <w:rsid w:val="00831237"/>
    <w:rsid w:val="008341FD"/>
    <w:rsid w:val="00841E4C"/>
    <w:rsid w:val="00842A47"/>
    <w:rsid w:val="00847204"/>
    <w:rsid w:val="00847D67"/>
    <w:rsid w:val="00850E7A"/>
    <w:rsid w:val="008515E6"/>
    <w:rsid w:val="00853335"/>
    <w:rsid w:val="00854C29"/>
    <w:rsid w:val="00863D34"/>
    <w:rsid w:val="00863E66"/>
    <w:rsid w:val="00863FAC"/>
    <w:rsid w:val="00864242"/>
    <w:rsid w:val="00867C5B"/>
    <w:rsid w:val="00871DC3"/>
    <w:rsid w:val="00872563"/>
    <w:rsid w:val="0087318E"/>
    <w:rsid w:val="00880AB3"/>
    <w:rsid w:val="008829A1"/>
    <w:rsid w:val="00895FB1"/>
    <w:rsid w:val="00896719"/>
    <w:rsid w:val="008A05F0"/>
    <w:rsid w:val="008A4E3E"/>
    <w:rsid w:val="008B05C1"/>
    <w:rsid w:val="008B3ABB"/>
    <w:rsid w:val="008B3D07"/>
    <w:rsid w:val="008B74E2"/>
    <w:rsid w:val="008C08FF"/>
    <w:rsid w:val="008C13C3"/>
    <w:rsid w:val="008C2CEE"/>
    <w:rsid w:val="008C4DD9"/>
    <w:rsid w:val="008C623B"/>
    <w:rsid w:val="008D3372"/>
    <w:rsid w:val="008D3505"/>
    <w:rsid w:val="008D4C4D"/>
    <w:rsid w:val="008E1760"/>
    <w:rsid w:val="008E1FED"/>
    <w:rsid w:val="008E4684"/>
    <w:rsid w:val="008E754B"/>
    <w:rsid w:val="008E758E"/>
    <w:rsid w:val="008E7730"/>
    <w:rsid w:val="008F0454"/>
    <w:rsid w:val="008F0ADA"/>
    <w:rsid w:val="008F4748"/>
    <w:rsid w:val="008F5A72"/>
    <w:rsid w:val="008F6154"/>
    <w:rsid w:val="008F7FD3"/>
    <w:rsid w:val="0090095F"/>
    <w:rsid w:val="00905BB1"/>
    <w:rsid w:val="009060A7"/>
    <w:rsid w:val="00906A80"/>
    <w:rsid w:val="0090779B"/>
    <w:rsid w:val="00912CA7"/>
    <w:rsid w:val="00913107"/>
    <w:rsid w:val="009135D2"/>
    <w:rsid w:val="00917014"/>
    <w:rsid w:val="00923206"/>
    <w:rsid w:val="00923D50"/>
    <w:rsid w:val="00930767"/>
    <w:rsid w:val="00935E46"/>
    <w:rsid w:val="00940DB0"/>
    <w:rsid w:val="00942A01"/>
    <w:rsid w:val="009435C2"/>
    <w:rsid w:val="0094502C"/>
    <w:rsid w:val="0094519A"/>
    <w:rsid w:val="00950C15"/>
    <w:rsid w:val="0095335F"/>
    <w:rsid w:val="00956D28"/>
    <w:rsid w:val="00960B4F"/>
    <w:rsid w:val="00961F96"/>
    <w:rsid w:val="0096400C"/>
    <w:rsid w:val="0096588B"/>
    <w:rsid w:val="00967CE5"/>
    <w:rsid w:val="00973DBE"/>
    <w:rsid w:val="00980F74"/>
    <w:rsid w:val="00991D38"/>
    <w:rsid w:val="00995857"/>
    <w:rsid w:val="00997777"/>
    <w:rsid w:val="009A00C6"/>
    <w:rsid w:val="009A6CC9"/>
    <w:rsid w:val="009A785A"/>
    <w:rsid w:val="009B05CE"/>
    <w:rsid w:val="009B4D62"/>
    <w:rsid w:val="009B5E03"/>
    <w:rsid w:val="009B79D6"/>
    <w:rsid w:val="009D2E21"/>
    <w:rsid w:val="009E440A"/>
    <w:rsid w:val="009F1FEC"/>
    <w:rsid w:val="009F399F"/>
    <w:rsid w:val="009F6F35"/>
    <w:rsid w:val="00A00595"/>
    <w:rsid w:val="00A0482D"/>
    <w:rsid w:val="00A1068A"/>
    <w:rsid w:val="00A115DB"/>
    <w:rsid w:val="00A22F14"/>
    <w:rsid w:val="00A25F97"/>
    <w:rsid w:val="00A2742F"/>
    <w:rsid w:val="00A27727"/>
    <w:rsid w:val="00A27AB2"/>
    <w:rsid w:val="00A3535C"/>
    <w:rsid w:val="00A41874"/>
    <w:rsid w:val="00A4292A"/>
    <w:rsid w:val="00A443A2"/>
    <w:rsid w:val="00A452B6"/>
    <w:rsid w:val="00A465BF"/>
    <w:rsid w:val="00A466B4"/>
    <w:rsid w:val="00A5464D"/>
    <w:rsid w:val="00A5486E"/>
    <w:rsid w:val="00A54EF2"/>
    <w:rsid w:val="00A55F9B"/>
    <w:rsid w:val="00A624A5"/>
    <w:rsid w:val="00A627C0"/>
    <w:rsid w:val="00A660D5"/>
    <w:rsid w:val="00A72C3A"/>
    <w:rsid w:val="00A74141"/>
    <w:rsid w:val="00A764BD"/>
    <w:rsid w:val="00A83171"/>
    <w:rsid w:val="00A83C81"/>
    <w:rsid w:val="00A869DC"/>
    <w:rsid w:val="00A9060D"/>
    <w:rsid w:val="00A934D8"/>
    <w:rsid w:val="00A968DE"/>
    <w:rsid w:val="00A974E1"/>
    <w:rsid w:val="00AA0DC2"/>
    <w:rsid w:val="00AA15A4"/>
    <w:rsid w:val="00AA2EC6"/>
    <w:rsid w:val="00AA3D3A"/>
    <w:rsid w:val="00AA6CE2"/>
    <w:rsid w:val="00AA7021"/>
    <w:rsid w:val="00AB16E7"/>
    <w:rsid w:val="00AB2E9F"/>
    <w:rsid w:val="00AB3F53"/>
    <w:rsid w:val="00AC6865"/>
    <w:rsid w:val="00AC6891"/>
    <w:rsid w:val="00AE037E"/>
    <w:rsid w:val="00AE0447"/>
    <w:rsid w:val="00AE0A45"/>
    <w:rsid w:val="00AE246B"/>
    <w:rsid w:val="00AE2ABF"/>
    <w:rsid w:val="00AF0FFB"/>
    <w:rsid w:val="00AF4883"/>
    <w:rsid w:val="00AF6B75"/>
    <w:rsid w:val="00B0032F"/>
    <w:rsid w:val="00B01BD3"/>
    <w:rsid w:val="00B06BA1"/>
    <w:rsid w:val="00B07780"/>
    <w:rsid w:val="00B1033F"/>
    <w:rsid w:val="00B1119A"/>
    <w:rsid w:val="00B20610"/>
    <w:rsid w:val="00B2499E"/>
    <w:rsid w:val="00B25BB6"/>
    <w:rsid w:val="00B417A0"/>
    <w:rsid w:val="00B453BD"/>
    <w:rsid w:val="00B4711F"/>
    <w:rsid w:val="00B52425"/>
    <w:rsid w:val="00B52E00"/>
    <w:rsid w:val="00B53710"/>
    <w:rsid w:val="00B55EDD"/>
    <w:rsid w:val="00B602AE"/>
    <w:rsid w:val="00B60B86"/>
    <w:rsid w:val="00B648B6"/>
    <w:rsid w:val="00B64BAD"/>
    <w:rsid w:val="00B768D7"/>
    <w:rsid w:val="00B8144E"/>
    <w:rsid w:val="00B9358D"/>
    <w:rsid w:val="00B9494B"/>
    <w:rsid w:val="00B9512A"/>
    <w:rsid w:val="00B954DC"/>
    <w:rsid w:val="00B962C3"/>
    <w:rsid w:val="00B9655E"/>
    <w:rsid w:val="00B965A9"/>
    <w:rsid w:val="00B96C22"/>
    <w:rsid w:val="00B97212"/>
    <w:rsid w:val="00BA0A60"/>
    <w:rsid w:val="00BA0D66"/>
    <w:rsid w:val="00BA20C1"/>
    <w:rsid w:val="00BA2426"/>
    <w:rsid w:val="00BA4D83"/>
    <w:rsid w:val="00BB0180"/>
    <w:rsid w:val="00BB18D2"/>
    <w:rsid w:val="00BB4D88"/>
    <w:rsid w:val="00BB528F"/>
    <w:rsid w:val="00BC2967"/>
    <w:rsid w:val="00BC4F03"/>
    <w:rsid w:val="00BC5B50"/>
    <w:rsid w:val="00BC656C"/>
    <w:rsid w:val="00BD1D85"/>
    <w:rsid w:val="00BD37C7"/>
    <w:rsid w:val="00BD4DDC"/>
    <w:rsid w:val="00BE445A"/>
    <w:rsid w:val="00BF4AD9"/>
    <w:rsid w:val="00BF64E2"/>
    <w:rsid w:val="00C004CF"/>
    <w:rsid w:val="00C006F5"/>
    <w:rsid w:val="00C01C2D"/>
    <w:rsid w:val="00C01C70"/>
    <w:rsid w:val="00C058F5"/>
    <w:rsid w:val="00C124CC"/>
    <w:rsid w:val="00C15C97"/>
    <w:rsid w:val="00C2038F"/>
    <w:rsid w:val="00C245F0"/>
    <w:rsid w:val="00C246DD"/>
    <w:rsid w:val="00C26C9B"/>
    <w:rsid w:val="00C31319"/>
    <w:rsid w:val="00C35813"/>
    <w:rsid w:val="00C36DEE"/>
    <w:rsid w:val="00C50A07"/>
    <w:rsid w:val="00C5240F"/>
    <w:rsid w:val="00C53360"/>
    <w:rsid w:val="00C54952"/>
    <w:rsid w:val="00C55544"/>
    <w:rsid w:val="00C5570C"/>
    <w:rsid w:val="00C56D8C"/>
    <w:rsid w:val="00C619D8"/>
    <w:rsid w:val="00C65249"/>
    <w:rsid w:val="00C70EAB"/>
    <w:rsid w:val="00C71C49"/>
    <w:rsid w:val="00C71E1B"/>
    <w:rsid w:val="00C80022"/>
    <w:rsid w:val="00C806D9"/>
    <w:rsid w:val="00C820A8"/>
    <w:rsid w:val="00C86210"/>
    <w:rsid w:val="00C86547"/>
    <w:rsid w:val="00C8666D"/>
    <w:rsid w:val="00CA26EF"/>
    <w:rsid w:val="00CA3C15"/>
    <w:rsid w:val="00CA5084"/>
    <w:rsid w:val="00CA5FE1"/>
    <w:rsid w:val="00CB244F"/>
    <w:rsid w:val="00CB3DAE"/>
    <w:rsid w:val="00CB4065"/>
    <w:rsid w:val="00CB5AFA"/>
    <w:rsid w:val="00CB72A6"/>
    <w:rsid w:val="00CC7627"/>
    <w:rsid w:val="00CD34E1"/>
    <w:rsid w:val="00CD5DE6"/>
    <w:rsid w:val="00CE3B4D"/>
    <w:rsid w:val="00CE404F"/>
    <w:rsid w:val="00CE7A48"/>
    <w:rsid w:val="00CF0067"/>
    <w:rsid w:val="00CF0FE4"/>
    <w:rsid w:val="00CF4257"/>
    <w:rsid w:val="00CF7C69"/>
    <w:rsid w:val="00D05AC5"/>
    <w:rsid w:val="00D05DA5"/>
    <w:rsid w:val="00D061FB"/>
    <w:rsid w:val="00D113B0"/>
    <w:rsid w:val="00D146C6"/>
    <w:rsid w:val="00D170A3"/>
    <w:rsid w:val="00D20838"/>
    <w:rsid w:val="00D21453"/>
    <w:rsid w:val="00D23032"/>
    <w:rsid w:val="00D250F3"/>
    <w:rsid w:val="00D25A64"/>
    <w:rsid w:val="00D32EBF"/>
    <w:rsid w:val="00D402E6"/>
    <w:rsid w:val="00D43460"/>
    <w:rsid w:val="00D43A39"/>
    <w:rsid w:val="00D54331"/>
    <w:rsid w:val="00D575FA"/>
    <w:rsid w:val="00D57A23"/>
    <w:rsid w:val="00D57E08"/>
    <w:rsid w:val="00D60D9D"/>
    <w:rsid w:val="00D64318"/>
    <w:rsid w:val="00D70C53"/>
    <w:rsid w:val="00D724F0"/>
    <w:rsid w:val="00D74D00"/>
    <w:rsid w:val="00D74EFC"/>
    <w:rsid w:val="00D750EB"/>
    <w:rsid w:val="00D864CB"/>
    <w:rsid w:val="00D90114"/>
    <w:rsid w:val="00D91C7B"/>
    <w:rsid w:val="00DA343A"/>
    <w:rsid w:val="00DA3548"/>
    <w:rsid w:val="00DA4471"/>
    <w:rsid w:val="00DA4CC6"/>
    <w:rsid w:val="00DA6890"/>
    <w:rsid w:val="00DA7036"/>
    <w:rsid w:val="00DB2DC0"/>
    <w:rsid w:val="00DB37D1"/>
    <w:rsid w:val="00DC2C21"/>
    <w:rsid w:val="00DC334E"/>
    <w:rsid w:val="00DC4B1F"/>
    <w:rsid w:val="00DC583C"/>
    <w:rsid w:val="00DC6A4C"/>
    <w:rsid w:val="00DD1061"/>
    <w:rsid w:val="00DD5AAC"/>
    <w:rsid w:val="00DE1EE3"/>
    <w:rsid w:val="00DE4AC1"/>
    <w:rsid w:val="00DF6E7B"/>
    <w:rsid w:val="00DF6F1F"/>
    <w:rsid w:val="00E0390E"/>
    <w:rsid w:val="00E047D2"/>
    <w:rsid w:val="00E1255E"/>
    <w:rsid w:val="00E16610"/>
    <w:rsid w:val="00E16826"/>
    <w:rsid w:val="00E214AA"/>
    <w:rsid w:val="00E21AB0"/>
    <w:rsid w:val="00E243DF"/>
    <w:rsid w:val="00E25A50"/>
    <w:rsid w:val="00E25E35"/>
    <w:rsid w:val="00E33386"/>
    <w:rsid w:val="00E352C6"/>
    <w:rsid w:val="00E36E1F"/>
    <w:rsid w:val="00E3759D"/>
    <w:rsid w:val="00E41FDF"/>
    <w:rsid w:val="00E4302F"/>
    <w:rsid w:val="00E450E6"/>
    <w:rsid w:val="00E5141B"/>
    <w:rsid w:val="00E61AFD"/>
    <w:rsid w:val="00E64181"/>
    <w:rsid w:val="00E6496D"/>
    <w:rsid w:val="00E65E35"/>
    <w:rsid w:val="00E73299"/>
    <w:rsid w:val="00E74C31"/>
    <w:rsid w:val="00E75D1E"/>
    <w:rsid w:val="00E77CF8"/>
    <w:rsid w:val="00E81421"/>
    <w:rsid w:val="00E839B4"/>
    <w:rsid w:val="00E92112"/>
    <w:rsid w:val="00E92901"/>
    <w:rsid w:val="00E979D5"/>
    <w:rsid w:val="00EA4B6A"/>
    <w:rsid w:val="00EA557A"/>
    <w:rsid w:val="00EA5B5D"/>
    <w:rsid w:val="00EA72B2"/>
    <w:rsid w:val="00EA77B9"/>
    <w:rsid w:val="00EB3551"/>
    <w:rsid w:val="00EB6551"/>
    <w:rsid w:val="00EB6F72"/>
    <w:rsid w:val="00EC088E"/>
    <w:rsid w:val="00EC09EC"/>
    <w:rsid w:val="00EC0D00"/>
    <w:rsid w:val="00EC17C5"/>
    <w:rsid w:val="00EC424D"/>
    <w:rsid w:val="00EC4E5D"/>
    <w:rsid w:val="00EC57A4"/>
    <w:rsid w:val="00EC57B9"/>
    <w:rsid w:val="00ED1134"/>
    <w:rsid w:val="00ED1B2C"/>
    <w:rsid w:val="00ED399A"/>
    <w:rsid w:val="00ED78CE"/>
    <w:rsid w:val="00ED7B7B"/>
    <w:rsid w:val="00EE123D"/>
    <w:rsid w:val="00EE1A35"/>
    <w:rsid w:val="00EE216C"/>
    <w:rsid w:val="00EE235F"/>
    <w:rsid w:val="00EE2708"/>
    <w:rsid w:val="00EF11A4"/>
    <w:rsid w:val="00EF1938"/>
    <w:rsid w:val="00EF3F71"/>
    <w:rsid w:val="00EF4EC5"/>
    <w:rsid w:val="00EF5CF8"/>
    <w:rsid w:val="00F05B2E"/>
    <w:rsid w:val="00F074C9"/>
    <w:rsid w:val="00F102AE"/>
    <w:rsid w:val="00F126A7"/>
    <w:rsid w:val="00F14A64"/>
    <w:rsid w:val="00F17241"/>
    <w:rsid w:val="00F17803"/>
    <w:rsid w:val="00F23BF4"/>
    <w:rsid w:val="00F23EDE"/>
    <w:rsid w:val="00F24BBD"/>
    <w:rsid w:val="00F3094A"/>
    <w:rsid w:val="00F50643"/>
    <w:rsid w:val="00F521FF"/>
    <w:rsid w:val="00F52636"/>
    <w:rsid w:val="00F5416A"/>
    <w:rsid w:val="00F54ACA"/>
    <w:rsid w:val="00F55ABF"/>
    <w:rsid w:val="00F55DB0"/>
    <w:rsid w:val="00F55FCA"/>
    <w:rsid w:val="00F563F7"/>
    <w:rsid w:val="00F57D1F"/>
    <w:rsid w:val="00F612BF"/>
    <w:rsid w:val="00F6494C"/>
    <w:rsid w:val="00F661AA"/>
    <w:rsid w:val="00F67AF7"/>
    <w:rsid w:val="00F72B4D"/>
    <w:rsid w:val="00F7600C"/>
    <w:rsid w:val="00F7729F"/>
    <w:rsid w:val="00F84238"/>
    <w:rsid w:val="00F859A8"/>
    <w:rsid w:val="00F95CB8"/>
    <w:rsid w:val="00FA2C0D"/>
    <w:rsid w:val="00FA3D53"/>
    <w:rsid w:val="00FA662B"/>
    <w:rsid w:val="00FA6977"/>
    <w:rsid w:val="00FB01F8"/>
    <w:rsid w:val="00FB0582"/>
    <w:rsid w:val="00FB521F"/>
    <w:rsid w:val="00FC1566"/>
    <w:rsid w:val="00FC2844"/>
    <w:rsid w:val="00FC4E74"/>
    <w:rsid w:val="00FC627A"/>
    <w:rsid w:val="00FD0AB6"/>
    <w:rsid w:val="00FD1B0D"/>
    <w:rsid w:val="00FD1D4F"/>
    <w:rsid w:val="00FD4838"/>
    <w:rsid w:val="00FD58EF"/>
    <w:rsid w:val="00FD667F"/>
    <w:rsid w:val="00FD7A5A"/>
    <w:rsid w:val="00FE0B62"/>
    <w:rsid w:val="00FE33F5"/>
    <w:rsid w:val="00FE40F1"/>
    <w:rsid w:val="00FE578A"/>
    <w:rsid w:val="00FE5AA2"/>
    <w:rsid w:val="00FF02E3"/>
    <w:rsid w:val="00FF07BF"/>
    <w:rsid w:val="00FF1D44"/>
    <w:rsid w:val="00FF2ACA"/>
    <w:rsid w:val="00FF52C8"/>
    <w:rsid w:val="00FF5A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275D9-8883-48D0-82BE-205242CA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A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F48DB"/>
    <w:pPr>
      <w:keepNext/>
      <w:tabs>
        <w:tab w:val="right" w:pos="8505"/>
      </w:tabs>
      <w:jc w:val="center"/>
      <w:outlineLvl w:val="1"/>
    </w:pPr>
    <w:rPr>
      <w:rFonts w:eastAsia="Times New Roman" w:cs="Times New Roman"/>
      <w:b/>
      <w:szCs w:val="20"/>
      <w:lang w:val="en-US"/>
    </w:rPr>
  </w:style>
  <w:style w:type="paragraph" w:styleId="Heading3">
    <w:name w:val="heading 3"/>
    <w:basedOn w:val="Normal"/>
    <w:next w:val="Normal"/>
    <w:link w:val="Heading3Char"/>
    <w:uiPriority w:val="9"/>
    <w:unhideWhenUsed/>
    <w:qFormat/>
    <w:rsid w:val="00FF5A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5A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5AD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41"/>
    <w:pPr>
      <w:ind w:left="720"/>
      <w:contextualSpacing/>
    </w:pPr>
  </w:style>
  <w:style w:type="paragraph" w:styleId="Header">
    <w:name w:val="header"/>
    <w:basedOn w:val="Normal"/>
    <w:link w:val="HeaderChar"/>
    <w:uiPriority w:val="99"/>
    <w:unhideWhenUsed/>
    <w:rsid w:val="00593172"/>
    <w:pPr>
      <w:tabs>
        <w:tab w:val="center" w:pos="4513"/>
        <w:tab w:val="right" w:pos="9026"/>
      </w:tabs>
      <w:spacing w:line="240" w:lineRule="auto"/>
    </w:pPr>
  </w:style>
  <w:style w:type="character" w:customStyle="1" w:styleId="HeaderChar">
    <w:name w:val="Header Char"/>
    <w:basedOn w:val="DefaultParagraphFont"/>
    <w:link w:val="Header"/>
    <w:uiPriority w:val="99"/>
    <w:rsid w:val="00593172"/>
  </w:style>
  <w:style w:type="paragraph" w:styleId="Footer">
    <w:name w:val="footer"/>
    <w:basedOn w:val="Normal"/>
    <w:link w:val="FooterChar"/>
    <w:uiPriority w:val="99"/>
    <w:unhideWhenUsed/>
    <w:rsid w:val="00593172"/>
    <w:pPr>
      <w:tabs>
        <w:tab w:val="center" w:pos="4513"/>
        <w:tab w:val="right" w:pos="9026"/>
      </w:tabs>
      <w:spacing w:line="240" w:lineRule="auto"/>
    </w:pPr>
  </w:style>
  <w:style w:type="character" w:customStyle="1" w:styleId="FooterChar">
    <w:name w:val="Footer Char"/>
    <w:basedOn w:val="DefaultParagraphFont"/>
    <w:link w:val="Footer"/>
    <w:uiPriority w:val="99"/>
    <w:rsid w:val="00593172"/>
  </w:style>
  <w:style w:type="character" w:styleId="Hyperlink">
    <w:name w:val="Hyperlink"/>
    <w:basedOn w:val="DefaultParagraphFont"/>
    <w:uiPriority w:val="99"/>
    <w:unhideWhenUsed/>
    <w:rsid w:val="003D41C5"/>
    <w:rPr>
      <w:color w:val="0000FF" w:themeColor="hyperlink"/>
      <w:u w:val="single"/>
    </w:rPr>
  </w:style>
  <w:style w:type="paragraph" w:styleId="BalloonText">
    <w:name w:val="Balloon Text"/>
    <w:basedOn w:val="Normal"/>
    <w:link w:val="BalloonTextChar"/>
    <w:uiPriority w:val="99"/>
    <w:semiHidden/>
    <w:unhideWhenUsed/>
    <w:rsid w:val="00DD5A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AC"/>
    <w:rPr>
      <w:rFonts w:ascii="Tahoma" w:hAnsi="Tahoma" w:cs="Tahoma"/>
      <w:sz w:val="16"/>
      <w:szCs w:val="16"/>
    </w:rPr>
  </w:style>
  <w:style w:type="character" w:customStyle="1" w:styleId="Heading2Char">
    <w:name w:val="Heading 2 Char"/>
    <w:basedOn w:val="DefaultParagraphFont"/>
    <w:link w:val="Heading2"/>
    <w:rsid w:val="007F48DB"/>
    <w:rPr>
      <w:rFonts w:ascii="Arial" w:eastAsia="Times New Roman" w:hAnsi="Arial" w:cs="Times New Roman"/>
      <w:b/>
      <w:sz w:val="24"/>
      <w:szCs w:val="20"/>
      <w:lang w:val="en-US"/>
    </w:rPr>
  </w:style>
  <w:style w:type="paragraph" w:styleId="FootnoteText">
    <w:name w:val="footnote text"/>
    <w:basedOn w:val="Normal"/>
    <w:link w:val="FootnoteTextChar"/>
    <w:uiPriority w:val="99"/>
    <w:semiHidden/>
    <w:unhideWhenUsed/>
    <w:rsid w:val="00543387"/>
    <w:pPr>
      <w:spacing w:line="240" w:lineRule="auto"/>
    </w:pPr>
    <w:rPr>
      <w:sz w:val="20"/>
      <w:szCs w:val="20"/>
    </w:rPr>
  </w:style>
  <w:style w:type="character" w:customStyle="1" w:styleId="FootnoteTextChar">
    <w:name w:val="Footnote Text Char"/>
    <w:basedOn w:val="DefaultParagraphFont"/>
    <w:link w:val="FootnoteText"/>
    <w:uiPriority w:val="99"/>
    <w:semiHidden/>
    <w:rsid w:val="00543387"/>
    <w:rPr>
      <w:sz w:val="20"/>
      <w:szCs w:val="20"/>
    </w:rPr>
  </w:style>
  <w:style w:type="character" w:styleId="FootnoteReference">
    <w:name w:val="footnote reference"/>
    <w:basedOn w:val="DefaultParagraphFont"/>
    <w:uiPriority w:val="99"/>
    <w:semiHidden/>
    <w:unhideWhenUsed/>
    <w:rsid w:val="00543387"/>
    <w:rPr>
      <w:vertAlign w:val="superscript"/>
    </w:rPr>
  </w:style>
  <w:style w:type="paragraph" w:styleId="NoSpacing">
    <w:name w:val="No Spacing"/>
    <w:uiPriority w:val="1"/>
    <w:qFormat/>
    <w:rsid w:val="00FF5ADB"/>
    <w:pPr>
      <w:spacing w:line="240" w:lineRule="auto"/>
    </w:pPr>
  </w:style>
  <w:style w:type="character" w:customStyle="1" w:styleId="Heading1Char">
    <w:name w:val="Heading 1 Char"/>
    <w:basedOn w:val="DefaultParagraphFont"/>
    <w:link w:val="Heading1"/>
    <w:uiPriority w:val="9"/>
    <w:rsid w:val="00FF5AD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F5A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5A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5AD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12061.663682A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Gillian</dc:creator>
  <cp:lastModifiedBy>Mokone</cp:lastModifiedBy>
  <cp:revision>3</cp:revision>
  <cp:lastPrinted>2023-03-22T14:40:00Z</cp:lastPrinted>
  <dcterms:created xsi:type="dcterms:W3CDTF">2023-03-23T07:43:00Z</dcterms:created>
  <dcterms:modified xsi:type="dcterms:W3CDTF">2023-03-23T07:43:00Z</dcterms:modified>
</cp:coreProperties>
</file>