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2A" w:rsidRPr="00A711C3" w:rsidRDefault="00E915A5" w:rsidP="00E915A5">
      <w:pPr>
        <w:spacing w:after="0" w:line="360" w:lineRule="auto"/>
        <w:ind w:firstLine="720"/>
        <w:jc w:val="center"/>
        <w:rPr>
          <w:rFonts w:ascii="Arial" w:hAnsi="Arial" w:cs="Arial"/>
          <w:b/>
          <w:sz w:val="2"/>
          <w:szCs w:val="24"/>
        </w:rPr>
      </w:pPr>
      <w:bookmarkStart w:id="0" w:name="_GoBack"/>
      <w:bookmarkEnd w:id="0"/>
      <w:r>
        <w:rPr>
          <w:noProof/>
          <w:color w:val="1F497D"/>
          <w:sz w:val="16"/>
          <w:szCs w:val="16"/>
          <w:lang w:val="en-US"/>
        </w:rPr>
        <w:drawing>
          <wp:anchor distT="0" distB="0" distL="114300" distR="114300" simplePos="0" relativeHeight="251658240" behindDoc="0" locked="0" layoutInCell="1" allowOverlap="1" wp14:anchorId="0AFFD99F" wp14:editId="6008F672">
            <wp:simplePos x="0" y="0"/>
            <wp:positionH relativeFrom="margin">
              <wp:posOffset>2160905</wp:posOffset>
            </wp:positionH>
            <wp:positionV relativeFrom="paragraph">
              <wp:posOffset>6350</wp:posOffset>
            </wp:positionV>
            <wp:extent cx="1400175" cy="1285875"/>
            <wp:effectExtent l="0" t="0" r="9525" b="9525"/>
            <wp:wrapSquare wrapText="bothSides"/>
            <wp:docPr id="2" name="Picture 2"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sz w:val="16"/>
          <w:szCs w:val="16"/>
          <w:lang w:val="en-US"/>
        </w:rPr>
        <w:t xml:space="preserve"> </w:t>
      </w:r>
      <w:r>
        <w:rPr>
          <w:rFonts w:ascii="Arial" w:hAnsi="Arial" w:cs="Arial"/>
          <w:b/>
          <w:sz w:val="2"/>
          <w:szCs w:val="24"/>
        </w:rPr>
        <w:br w:type="textWrapping" w:clear="all"/>
      </w:r>
    </w:p>
    <w:p w:rsidR="005B712A" w:rsidRDefault="005B712A" w:rsidP="00051E5D">
      <w:pPr>
        <w:spacing w:after="0" w:line="360" w:lineRule="auto"/>
        <w:jc w:val="both"/>
        <w:rPr>
          <w:rFonts w:ascii="Arial" w:hAnsi="Arial" w:cs="Arial"/>
          <w:b/>
          <w:sz w:val="2"/>
          <w:szCs w:val="24"/>
        </w:rPr>
      </w:pPr>
      <w:r>
        <w:rPr>
          <w:rFonts w:ascii="Arial" w:hAnsi="Arial" w:cs="Arial"/>
          <w:b/>
          <w:sz w:val="24"/>
          <w:szCs w:val="24"/>
        </w:rPr>
        <w:t xml:space="preserve">                  </w:t>
      </w:r>
    </w:p>
    <w:p w:rsidR="00051E5D" w:rsidRDefault="00051E5D" w:rsidP="00051E5D">
      <w:pPr>
        <w:spacing w:after="0" w:line="360" w:lineRule="auto"/>
        <w:contextualSpacing/>
        <w:jc w:val="center"/>
        <w:rPr>
          <w:rFonts w:ascii="Arial" w:hAnsi="Arial" w:cs="Arial"/>
          <w:b/>
          <w:szCs w:val="24"/>
        </w:rPr>
      </w:pPr>
      <w:r>
        <w:rPr>
          <w:rFonts w:ascii="Arial" w:hAnsi="Arial" w:cs="Arial"/>
          <w:b/>
          <w:szCs w:val="24"/>
        </w:rPr>
        <w:t>REPUBLIC OF SOUTH AFRICA</w:t>
      </w:r>
    </w:p>
    <w:p w:rsidR="005B712A" w:rsidRPr="0072529F" w:rsidRDefault="005B712A" w:rsidP="00051E5D">
      <w:pPr>
        <w:spacing w:after="0" w:line="360" w:lineRule="auto"/>
        <w:contextualSpacing/>
        <w:jc w:val="center"/>
        <w:rPr>
          <w:rFonts w:ascii="Arial" w:hAnsi="Arial" w:cs="Arial"/>
          <w:b/>
          <w:szCs w:val="24"/>
        </w:rPr>
      </w:pPr>
      <w:r w:rsidRPr="0072529F">
        <w:rPr>
          <w:rFonts w:ascii="Arial" w:hAnsi="Arial" w:cs="Arial"/>
          <w:b/>
          <w:szCs w:val="24"/>
        </w:rPr>
        <w:t>IN THE HIGH COURT OF SOUTH AFRICA</w:t>
      </w:r>
    </w:p>
    <w:p w:rsidR="005B712A" w:rsidRPr="0072529F" w:rsidRDefault="00E915A5" w:rsidP="00051E5D">
      <w:pPr>
        <w:spacing w:after="0" w:line="360" w:lineRule="auto"/>
        <w:contextualSpacing/>
        <w:jc w:val="center"/>
        <w:rPr>
          <w:rFonts w:ascii="Arial" w:hAnsi="Arial" w:cs="Arial"/>
          <w:b/>
          <w:szCs w:val="24"/>
        </w:rPr>
      </w:pPr>
      <w:r>
        <w:rPr>
          <w:rFonts w:ascii="Arial" w:hAnsi="Arial" w:cs="Arial"/>
          <w:b/>
          <w:szCs w:val="24"/>
        </w:rPr>
        <w:t>(</w:t>
      </w:r>
      <w:r w:rsidR="005B712A" w:rsidRPr="0072529F">
        <w:rPr>
          <w:rFonts w:ascii="Arial" w:hAnsi="Arial" w:cs="Arial"/>
          <w:b/>
          <w:szCs w:val="24"/>
        </w:rPr>
        <w:t>WESTERN CAPE DIVISION, CAPE TOWN</w:t>
      </w:r>
      <w:r>
        <w:rPr>
          <w:rFonts w:ascii="Arial" w:hAnsi="Arial" w:cs="Arial"/>
          <w:b/>
          <w:szCs w:val="24"/>
        </w:rPr>
        <w:t>)</w:t>
      </w:r>
    </w:p>
    <w:p w:rsidR="00E915A5" w:rsidRDefault="005B712A" w:rsidP="00E915A5">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5B712A" w:rsidRPr="002F16B6" w:rsidRDefault="005B712A" w:rsidP="00E915A5">
      <w:pPr>
        <w:spacing w:after="0" w:line="360" w:lineRule="auto"/>
        <w:jc w:val="both"/>
        <w:rPr>
          <w:rFonts w:ascii="Arial" w:hAnsi="Arial" w:cs="Arial"/>
          <w:b/>
          <w:bCs/>
          <w:sz w:val="24"/>
          <w:szCs w:val="24"/>
          <w:lang w:val="en-GB"/>
        </w:rPr>
      </w:pPr>
      <w:r>
        <w:rPr>
          <w:rFonts w:ascii="Arial" w:hAnsi="Arial" w:cs="Arial"/>
          <w:b/>
          <w:bCs/>
          <w:sz w:val="24"/>
          <w:szCs w:val="24"/>
          <w:lang w:val="en-GB"/>
        </w:rPr>
        <w:t xml:space="preserve">                              </w:t>
      </w:r>
      <w:r>
        <w:rPr>
          <w:rFonts w:ascii="Arial" w:hAnsi="Arial" w:cs="Arial"/>
          <w:b/>
          <w:bCs/>
          <w:sz w:val="24"/>
          <w:szCs w:val="24"/>
          <w:lang w:val="en-GB"/>
        </w:rPr>
        <w:tab/>
        <w:t xml:space="preserve"> </w:t>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t xml:space="preserve">CASE NO: </w:t>
      </w:r>
      <w:r w:rsidR="002C6707">
        <w:rPr>
          <w:rFonts w:ascii="Arial" w:hAnsi="Arial" w:cs="Arial"/>
          <w:b/>
          <w:bCs/>
          <w:sz w:val="24"/>
          <w:szCs w:val="24"/>
          <w:lang w:val="en-GB"/>
        </w:rPr>
        <w:t>A07</w:t>
      </w:r>
      <w:r w:rsidR="00051E5D">
        <w:rPr>
          <w:rFonts w:ascii="Arial" w:hAnsi="Arial" w:cs="Arial"/>
          <w:b/>
          <w:bCs/>
          <w:sz w:val="24"/>
          <w:szCs w:val="24"/>
          <w:lang w:val="en-GB"/>
        </w:rPr>
        <w:t>/</w:t>
      </w:r>
      <w:r w:rsidR="002C6707">
        <w:rPr>
          <w:rFonts w:ascii="Arial" w:hAnsi="Arial" w:cs="Arial"/>
          <w:b/>
          <w:bCs/>
          <w:sz w:val="24"/>
          <w:szCs w:val="24"/>
          <w:lang w:val="en-GB"/>
        </w:rPr>
        <w:t>20</w:t>
      </w:r>
      <w:r>
        <w:rPr>
          <w:rFonts w:ascii="Arial" w:hAnsi="Arial" w:cs="Arial"/>
          <w:b/>
          <w:bCs/>
          <w:sz w:val="24"/>
          <w:szCs w:val="24"/>
          <w:lang w:val="en-GB"/>
        </w:rPr>
        <w:t>2</w:t>
      </w:r>
      <w:r w:rsidR="001D06A9">
        <w:rPr>
          <w:rFonts w:ascii="Arial" w:hAnsi="Arial" w:cs="Arial"/>
          <w:b/>
          <w:bCs/>
          <w:sz w:val="24"/>
          <w:szCs w:val="24"/>
          <w:lang w:val="en-GB"/>
        </w:rPr>
        <w:t>3</w:t>
      </w:r>
      <w:r w:rsidRPr="002F16B6">
        <w:rPr>
          <w:rFonts w:ascii="Arial" w:hAnsi="Arial" w:cs="Arial"/>
          <w:b/>
          <w:bCs/>
          <w:sz w:val="24"/>
          <w:szCs w:val="24"/>
          <w:lang w:val="en-GB"/>
        </w:rPr>
        <w:t xml:space="preserve"> </w:t>
      </w:r>
    </w:p>
    <w:p w:rsidR="005B712A" w:rsidRDefault="005B712A" w:rsidP="005B712A">
      <w:pPr>
        <w:spacing w:after="0" w:line="240" w:lineRule="auto"/>
        <w:jc w:val="right"/>
        <w:rPr>
          <w:rFonts w:ascii="Arial" w:hAnsi="Arial" w:cs="Arial"/>
          <w:b/>
          <w:bCs/>
          <w:sz w:val="24"/>
          <w:szCs w:val="24"/>
          <w:lang w:val="en-GB"/>
        </w:rPr>
      </w:pPr>
    </w:p>
    <w:p w:rsidR="000D7ADC" w:rsidRDefault="005B712A" w:rsidP="000D7ADC">
      <w:pPr>
        <w:tabs>
          <w:tab w:val="left" w:pos="7938"/>
        </w:tabs>
        <w:rPr>
          <w:rFonts w:ascii="Arial" w:hAnsi="Arial" w:cs="Arial"/>
          <w:sz w:val="24"/>
          <w:szCs w:val="24"/>
        </w:rPr>
      </w:pPr>
      <w:r>
        <w:rPr>
          <w:rFonts w:ascii="Arial" w:hAnsi="Arial" w:cs="Arial"/>
          <w:sz w:val="24"/>
          <w:szCs w:val="24"/>
        </w:rPr>
        <w:t>I</w:t>
      </w:r>
      <w:r w:rsidR="000D7ADC">
        <w:rPr>
          <w:rFonts w:ascii="Arial" w:hAnsi="Arial" w:cs="Arial"/>
          <w:sz w:val="24"/>
          <w:szCs w:val="24"/>
        </w:rPr>
        <w:t>n the matter between:</w:t>
      </w:r>
      <w:r w:rsidR="000D7ADC">
        <w:rPr>
          <w:rFonts w:ascii="Arial" w:hAnsi="Arial" w:cs="Arial"/>
          <w:sz w:val="24"/>
          <w:szCs w:val="24"/>
        </w:rPr>
        <w:tab/>
      </w:r>
    </w:p>
    <w:p w:rsidR="000D7ADC" w:rsidRDefault="000D7ADC" w:rsidP="00E915A5">
      <w:pPr>
        <w:tabs>
          <w:tab w:val="left" w:pos="7938"/>
        </w:tabs>
        <w:spacing w:line="276" w:lineRule="auto"/>
        <w:jc w:val="center"/>
        <w:rPr>
          <w:rFonts w:ascii="Arial" w:hAnsi="Arial" w:cs="Arial"/>
          <w:b/>
          <w:sz w:val="24"/>
          <w:szCs w:val="24"/>
        </w:rPr>
      </w:pPr>
    </w:p>
    <w:p w:rsidR="00051E5D" w:rsidRDefault="002C6707" w:rsidP="000D7ADC">
      <w:pPr>
        <w:tabs>
          <w:tab w:val="left" w:pos="7938"/>
        </w:tabs>
        <w:rPr>
          <w:rFonts w:ascii="Arial" w:hAnsi="Arial" w:cs="Arial"/>
          <w:b/>
          <w:sz w:val="24"/>
          <w:szCs w:val="24"/>
        </w:rPr>
      </w:pPr>
      <w:r>
        <w:rPr>
          <w:rFonts w:ascii="Arial" w:hAnsi="Arial" w:cs="Arial"/>
          <w:b/>
          <w:sz w:val="24"/>
          <w:szCs w:val="24"/>
        </w:rPr>
        <w:t>MANDY PETZER</w:t>
      </w:r>
      <w:r w:rsidR="001D06A9">
        <w:rPr>
          <w:rFonts w:ascii="Arial" w:hAnsi="Arial" w:cs="Arial"/>
          <w:b/>
          <w:sz w:val="24"/>
          <w:szCs w:val="24"/>
        </w:rPr>
        <w:t xml:space="preserve"> </w:t>
      </w:r>
      <w:r w:rsidR="000D7ADC">
        <w:rPr>
          <w:rFonts w:ascii="Arial" w:hAnsi="Arial" w:cs="Arial"/>
          <w:b/>
          <w:sz w:val="24"/>
          <w:szCs w:val="24"/>
        </w:rPr>
        <w:t xml:space="preserve">             </w:t>
      </w:r>
      <w:r w:rsidR="007C1C13">
        <w:rPr>
          <w:rFonts w:ascii="Arial" w:hAnsi="Arial" w:cs="Arial"/>
          <w:b/>
          <w:sz w:val="24"/>
          <w:szCs w:val="24"/>
        </w:rPr>
        <w:t xml:space="preserve"> </w:t>
      </w:r>
      <w:r w:rsidR="000D7ADC">
        <w:rPr>
          <w:rFonts w:ascii="Arial" w:hAnsi="Arial" w:cs="Arial"/>
          <w:b/>
          <w:sz w:val="24"/>
          <w:szCs w:val="24"/>
        </w:rPr>
        <w:t xml:space="preserve">   </w:t>
      </w:r>
      <w:r w:rsidR="00051E5D">
        <w:rPr>
          <w:rFonts w:ascii="Arial" w:hAnsi="Arial" w:cs="Arial"/>
          <w:b/>
          <w:sz w:val="24"/>
          <w:szCs w:val="24"/>
        </w:rPr>
        <w:t xml:space="preserve">                                   Appellant </w:t>
      </w:r>
    </w:p>
    <w:p w:rsidR="000D7ADC" w:rsidRDefault="00051E5D" w:rsidP="000D7ADC">
      <w:pPr>
        <w:tabs>
          <w:tab w:val="left" w:pos="7938"/>
        </w:tabs>
        <w:rPr>
          <w:rFonts w:ascii="Arial" w:hAnsi="Arial" w:cs="Arial"/>
          <w:b/>
          <w:sz w:val="24"/>
          <w:szCs w:val="24"/>
        </w:rPr>
      </w:pPr>
      <w:r>
        <w:rPr>
          <w:rFonts w:ascii="Arial" w:hAnsi="Arial" w:cs="Arial"/>
          <w:b/>
          <w:sz w:val="24"/>
          <w:szCs w:val="24"/>
        </w:rPr>
        <w:t xml:space="preserve"> </w:t>
      </w:r>
      <w:r w:rsidR="001E26E1">
        <w:rPr>
          <w:rFonts w:ascii="Arial" w:hAnsi="Arial" w:cs="Arial"/>
          <w:b/>
          <w:sz w:val="24"/>
          <w:szCs w:val="24"/>
        </w:rPr>
        <w:t xml:space="preserve"> </w:t>
      </w:r>
      <w:r w:rsidR="000D7ADC">
        <w:rPr>
          <w:rFonts w:ascii="Arial" w:hAnsi="Arial" w:cs="Arial"/>
          <w:b/>
          <w:sz w:val="24"/>
          <w:szCs w:val="24"/>
        </w:rPr>
        <w:t xml:space="preserve">                                                            </w:t>
      </w:r>
    </w:p>
    <w:p w:rsidR="000D7ADC" w:rsidRDefault="000D7ADC" w:rsidP="000D7ADC">
      <w:pPr>
        <w:tabs>
          <w:tab w:val="left" w:pos="7938"/>
        </w:tabs>
        <w:spacing w:after="0" w:line="276" w:lineRule="auto"/>
        <w:jc w:val="center"/>
        <w:rPr>
          <w:rFonts w:ascii="Arial" w:hAnsi="Arial" w:cs="Arial"/>
          <w:b/>
          <w:sz w:val="24"/>
          <w:szCs w:val="24"/>
        </w:rPr>
      </w:pPr>
    </w:p>
    <w:p w:rsidR="000D7ADC" w:rsidRDefault="000D7ADC" w:rsidP="000D7ADC">
      <w:pPr>
        <w:tabs>
          <w:tab w:val="left" w:pos="7938"/>
        </w:tabs>
        <w:rPr>
          <w:rFonts w:ascii="Arial" w:hAnsi="Arial" w:cs="Arial"/>
          <w:sz w:val="24"/>
          <w:szCs w:val="24"/>
        </w:rPr>
      </w:pPr>
      <w:r>
        <w:rPr>
          <w:rFonts w:ascii="Arial" w:hAnsi="Arial" w:cs="Arial"/>
          <w:sz w:val="24"/>
          <w:szCs w:val="24"/>
        </w:rPr>
        <w:t>And</w:t>
      </w:r>
    </w:p>
    <w:p w:rsidR="000D7ADC" w:rsidRDefault="000D7ADC" w:rsidP="000D7ADC">
      <w:pPr>
        <w:tabs>
          <w:tab w:val="left" w:pos="7938"/>
        </w:tabs>
        <w:rPr>
          <w:rFonts w:ascii="Arial" w:hAnsi="Arial" w:cs="Arial"/>
          <w:b/>
          <w:sz w:val="24"/>
          <w:szCs w:val="24"/>
        </w:rPr>
      </w:pPr>
    </w:p>
    <w:p w:rsidR="001215BA" w:rsidRDefault="002C6707" w:rsidP="001E26E1">
      <w:pPr>
        <w:pStyle w:val="Single"/>
        <w:pBdr>
          <w:bottom w:val="single" w:sz="12" w:space="1" w:color="auto"/>
        </w:pBdr>
        <w:tabs>
          <w:tab w:val="clear" w:pos="567"/>
          <w:tab w:val="clear" w:pos="8222"/>
        </w:tabs>
        <w:spacing w:after="0"/>
        <w:rPr>
          <w:b/>
        </w:rPr>
      </w:pPr>
      <w:r>
        <w:rPr>
          <w:b/>
        </w:rPr>
        <w:t xml:space="preserve">KAREN DIXON </w:t>
      </w:r>
      <w:r w:rsidR="001E26E1">
        <w:rPr>
          <w:b/>
        </w:rPr>
        <w:tab/>
      </w:r>
      <w:r w:rsidR="001E26E1">
        <w:rPr>
          <w:b/>
        </w:rPr>
        <w:tab/>
      </w:r>
      <w:r w:rsidR="007C1C13">
        <w:rPr>
          <w:b/>
        </w:rPr>
        <w:tab/>
      </w:r>
      <w:r w:rsidR="00051E5D">
        <w:rPr>
          <w:b/>
        </w:rPr>
        <w:t xml:space="preserve">                       </w:t>
      </w:r>
      <w:r>
        <w:rPr>
          <w:b/>
        </w:rPr>
        <w:t xml:space="preserve">  </w:t>
      </w:r>
      <w:r w:rsidR="001E26E1">
        <w:rPr>
          <w:b/>
        </w:rPr>
        <w:t xml:space="preserve">Respondent   </w:t>
      </w:r>
    </w:p>
    <w:p w:rsidR="001215BA" w:rsidRDefault="001215BA" w:rsidP="001215BA">
      <w:pPr>
        <w:pStyle w:val="Single"/>
        <w:pBdr>
          <w:bottom w:val="single" w:sz="12" w:space="1" w:color="auto"/>
        </w:pBdr>
        <w:tabs>
          <w:tab w:val="clear" w:pos="567"/>
          <w:tab w:val="clear" w:pos="8222"/>
        </w:tabs>
        <w:spacing w:after="0" w:line="240" w:lineRule="auto"/>
        <w:rPr>
          <w:b/>
        </w:rPr>
      </w:pPr>
    </w:p>
    <w:p w:rsidR="001215BA" w:rsidRDefault="001215BA" w:rsidP="001215BA">
      <w:pPr>
        <w:pStyle w:val="Single"/>
        <w:pBdr>
          <w:bottom w:val="single" w:sz="12" w:space="1" w:color="auto"/>
        </w:pBdr>
        <w:tabs>
          <w:tab w:val="clear" w:pos="567"/>
          <w:tab w:val="clear" w:pos="8222"/>
        </w:tabs>
        <w:spacing w:after="0" w:line="240" w:lineRule="auto"/>
      </w:pPr>
      <w:r>
        <w:t>Heard:</w:t>
      </w:r>
      <w:r w:rsidR="001E26E1">
        <w:t xml:space="preserve"> </w:t>
      </w:r>
      <w:r w:rsidR="002C6707">
        <w:t>17</w:t>
      </w:r>
      <w:r w:rsidR="001D06A9">
        <w:t xml:space="preserve"> March </w:t>
      </w:r>
      <w:r w:rsidR="00051E5D">
        <w:t>2023</w:t>
      </w:r>
    </w:p>
    <w:p w:rsidR="001215BA" w:rsidRDefault="001215BA" w:rsidP="001215BA">
      <w:pPr>
        <w:pStyle w:val="Single"/>
        <w:pBdr>
          <w:bottom w:val="single" w:sz="12" w:space="1" w:color="auto"/>
        </w:pBdr>
        <w:tabs>
          <w:tab w:val="clear" w:pos="567"/>
          <w:tab w:val="clear" w:pos="8222"/>
        </w:tabs>
        <w:spacing w:after="0" w:line="240" w:lineRule="auto"/>
      </w:pPr>
    </w:p>
    <w:p w:rsidR="001215BA" w:rsidRDefault="001E26E1" w:rsidP="001215BA">
      <w:pPr>
        <w:pStyle w:val="Single"/>
        <w:pBdr>
          <w:bottom w:val="single" w:sz="12" w:space="1" w:color="auto"/>
        </w:pBdr>
        <w:tabs>
          <w:tab w:val="clear" w:pos="567"/>
          <w:tab w:val="clear" w:pos="8222"/>
        </w:tabs>
        <w:spacing w:after="0" w:line="240" w:lineRule="auto"/>
      </w:pPr>
      <w:r>
        <w:t xml:space="preserve">Delivered: </w:t>
      </w:r>
      <w:r w:rsidR="00051E5D">
        <w:t xml:space="preserve"> </w:t>
      </w:r>
      <w:r w:rsidR="006F715B">
        <w:t xml:space="preserve">24 </w:t>
      </w:r>
      <w:r w:rsidR="001D06A9">
        <w:t>March</w:t>
      </w:r>
      <w:r w:rsidR="007C1C13">
        <w:t xml:space="preserve"> </w:t>
      </w:r>
      <w:r w:rsidR="00051E5D">
        <w:t>2023</w:t>
      </w:r>
    </w:p>
    <w:p w:rsidR="001215BA" w:rsidRDefault="001215BA" w:rsidP="001215BA">
      <w:pPr>
        <w:pStyle w:val="Single"/>
        <w:pBdr>
          <w:bottom w:val="single" w:sz="12" w:space="1" w:color="auto"/>
        </w:pBdr>
        <w:tabs>
          <w:tab w:val="clear" w:pos="567"/>
          <w:tab w:val="clear" w:pos="8222"/>
        </w:tabs>
        <w:spacing w:after="0" w:line="240" w:lineRule="auto"/>
      </w:pPr>
    </w:p>
    <w:p w:rsidR="001215BA" w:rsidRDefault="001215BA" w:rsidP="001215BA">
      <w:pPr>
        <w:pStyle w:val="Single"/>
        <w:pBdr>
          <w:bottom w:val="single" w:sz="12" w:space="1" w:color="auto"/>
        </w:pBdr>
        <w:tabs>
          <w:tab w:val="clear" w:pos="567"/>
          <w:tab w:val="clear" w:pos="8222"/>
        </w:tabs>
        <w:spacing w:after="0" w:line="240" w:lineRule="auto"/>
      </w:pPr>
      <w:r>
        <w:t>This judgment was handed down electronically by circulation to the parties' representatives via email and release</w:t>
      </w:r>
      <w:r w:rsidR="00AC20D3">
        <w:t>d</w:t>
      </w:r>
      <w:r>
        <w:t xml:space="preserve"> to SAFLII. The date and time for hand-down is deemed to </w:t>
      </w:r>
      <w:r w:rsidR="002C6707">
        <w:t xml:space="preserve">be </w:t>
      </w:r>
      <w:r w:rsidR="006F715B">
        <w:t xml:space="preserve">24 </w:t>
      </w:r>
      <w:r w:rsidR="002C6707">
        <w:t>March</w:t>
      </w:r>
      <w:r w:rsidR="00051E5D">
        <w:t xml:space="preserve"> </w:t>
      </w:r>
      <w:r w:rsidR="00C0735F">
        <w:t>202</w:t>
      </w:r>
      <w:r w:rsidR="00051E5D">
        <w:t>3</w:t>
      </w:r>
      <w:r w:rsidR="00C0735F">
        <w:t xml:space="preserve"> at 10h00.</w:t>
      </w:r>
    </w:p>
    <w:p w:rsidR="001215BA" w:rsidRDefault="001215BA" w:rsidP="001215BA">
      <w:pPr>
        <w:pStyle w:val="Single"/>
        <w:pBdr>
          <w:bottom w:val="single" w:sz="12" w:space="1" w:color="auto"/>
        </w:pBdr>
        <w:tabs>
          <w:tab w:val="clear" w:pos="567"/>
          <w:tab w:val="clear" w:pos="8222"/>
        </w:tabs>
        <w:spacing w:after="0" w:line="240" w:lineRule="auto"/>
      </w:pPr>
    </w:p>
    <w:p w:rsidR="000D7ADC" w:rsidRDefault="000D7ADC" w:rsidP="00051E5D">
      <w:pPr>
        <w:tabs>
          <w:tab w:val="left" w:pos="7938"/>
        </w:tabs>
        <w:spacing w:after="0"/>
        <w:rPr>
          <w:rFonts w:ascii="Arial" w:eastAsia="Times New Roman" w:hAnsi="Arial" w:cs="Arial"/>
          <w:sz w:val="24"/>
          <w:szCs w:val="24"/>
        </w:rPr>
      </w:pPr>
    </w:p>
    <w:p w:rsidR="000D7ADC" w:rsidRDefault="00E915A5" w:rsidP="00051E5D">
      <w:pPr>
        <w:spacing w:after="0"/>
        <w:ind w:left="2880" w:firstLine="720"/>
        <w:rPr>
          <w:rFonts w:ascii="Arial" w:hAnsi="Arial" w:cs="Arial"/>
          <w:b/>
          <w:sz w:val="24"/>
          <w:szCs w:val="24"/>
        </w:rPr>
      </w:pPr>
      <w:r>
        <w:rPr>
          <w:rFonts w:ascii="Arial" w:hAnsi="Arial" w:cs="Arial"/>
          <w:b/>
          <w:sz w:val="24"/>
          <w:szCs w:val="24"/>
        </w:rPr>
        <w:t>JUDGMENT</w:t>
      </w:r>
    </w:p>
    <w:p w:rsidR="000D7ADC" w:rsidRPr="00051E5D" w:rsidRDefault="000D7ADC" w:rsidP="00051E5D">
      <w:pPr>
        <w:pBdr>
          <w:bottom w:val="single" w:sz="12" w:space="1" w:color="auto"/>
        </w:pBdr>
        <w:spacing w:after="0"/>
        <w:jc w:val="both"/>
        <w:rPr>
          <w:rFonts w:ascii="Arial" w:hAnsi="Arial" w:cs="Arial"/>
          <w:b/>
          <w:sz w:val="18"/>
          <w:szCs w:val="18"/>
        </w:rPr>
      </w:pPr>
    </w:p>
    <w:p w:rsidR="00051E5D" w:rsidRPr="00051E5D" w:rsidRDefault="00051E5D" w:rsidP="00051E5D">
      <w:pPr>
        <w:spacing w:after="0" w:line="480" w:lineRule="auto"/>
        <w:jc w:val="both"/>
        <w:rPr>
          <w:rFonts w:ascii="Arial" w:hAnsi="Arial" w:cs="Arial"/>
          <w:b/>
        </w:rPr>
      </w:pPr>
    </w:p>
    <w:p w:rsidR="00051E5D" w:rsidRDefault="00051E5D" w:rsidP="00DA1A8C">
      <w:pPr>
        <w:spacing w:after="0" w:line="480" w:lineRule="auto"/>
        <w:jc w:val="both"/>
        <w:rPr>
          <w:rFonts w:ascii="Arial" w:hAnsi="Arial" w:cs="Arial"/>
          <w:b/>
          <w:sz w:val="24"/>
          <w:szCs w:val="24"/>
        </w:rPr>
      </w:pPr>
      <w:r w:rsidRPr="00051E5D">
        <w:rPr>
          <w:rFonts w:ascii="Arial" w:hAnsi="Arial" w:cs="Arial"/>
          <w:b/>
          <w:sz w:val="24"/>
          <w:szCs w:val="24"/>
        </w:rPr>
        <w:t xml:space="preserve">LEKHULENI J </w:t>
      </w:r>
    </w:p>
    <w:p w:rsidR="00944AA3" w:rsidRDefault="00944AA3" w:rsidP="00DA1A8C">
      <w:pPr>
        <w:spacing w:after="0" w:line="480" w:lineRule="auto"/>
        <w:jc w:val="both"/>
        <w:rPr>
          <w:rFonts w:ascii="Arial" w:hAnsi="Arial" w:cs="Arial"/>
          <w:b/>
          <w:sz w:val="24"/>
          <w:szCs w:val="24"/>
        </w:rPr>
      </w:pPr>
    </w:p>
    <w:p w:rsidR="00944AA3" w:rsidRDefault="00944AA3" w:rsidP="00DA1A8C">
      <w:pPr>
        <w:spacing w:after="0" w:line="480" w:lineRule="auto"/>
        <w:jc w:val="both"/>
        <w:rPr>
          <w:rFonts w:ascii="Arial" w:hAnsi="Arial" w:cs="Arial"/>
          <w:b/>
          <w:sz w:val="24"/>
          <w:szCs w:val="24"/>
        </w:rPr>
      </w:pPr>
      <w:r>
        <w:rPr>
          <w:rFonts w:ascii="Arial" w:hAnsi="Arial" w:cs="Arial"/>
          <w:b/>
          <w:sz w:val="24"/>
          <w:szCs w:val="24"/>
        </w:rPr>
        <w:t xml:space="preserve">INTRODUCTION </w:t>
      </w:r>
    </w:p>
    <w:p w:rsidR="00944AA3" w:rsidRPr="00482AC4" w:rsidRDefault="00944AA3" w:rsidP="00DA1A8C">
      <w:pPr>
        <w:spacing w:after="0" w:line="480" w:lineRule="auto"/>
        <w:jc w:val="both"/>
        <w:rPr>
          <w:rFonts w:ascii="Arial" w:hAnsi="Arial" w:cs="Arial"/>
          <w:b/>
          <w:sz w:val="24"/>
          <w:szCs w:val="24"/>
        </w:rPr>
      </w:pPr>
    </w:p>
    <w:p w:rsidR="00944AA3" w:rsidRDefault="00A65436" w:rsidP="00644AD7">
      <w:pPr>
        <w:spacing w:after="0" w:line="480" w:lineRule="auto"/>
        <w:jc w:val="both"/>
        <w:rPr>
          <w:rFonts w:ascii="Arial" w:hAnsi="Arial" w:cs="Arial"/>
          <w:sz w:val="24"/>
          <w:szCs w:val="24"/>
        </w:rPr>
      </w:pPr>
      <w:r w:rsidRPr="008D1901">
        <w:rPr>
          <w:rFonts w:ascii="Arial" w:hAnsi="Arial" w:cs="Arial"/>
          <w:sz w:val="24"/>
          <w:szCs w:val="24"/>
        </w:rPr>
        <w:lastRenderedPageBreak/>
        <w:t>[1]</w:t>
      </w:r>
      <w:r w:rsidRPr="008D1901">
        <w:rPr>
          <w:rFonts w:ascii="Arial" w:hAnsi="Arial" w:cs="Arial"/>
          <w:sz w:val="24"/>
          <w:szCs w:val="24"/>
        </w:rPr>
        <w:tab/>
      </w:r>
      <w:r w:rsidR="00051E5D" w:rsidRPr="008D1901">
        <w:rPr>
          <w:rFonts w:ascii="Arial" w:hAnsi="Arial" w:cs="Arial"/>
          <w:sz w:val="24"/>
          <w:szCs w:val="24"/>
        </w:rPr>
        <w:t xml:space="preserve">This is an </w:t>
      </w:r>
      <w:r w:rsidR="002C6707">
        <w:rPr>
          <w:rFonts w:ascii="Arial" w:hAnsi="Arial" w:cs="Arial"/>
          <w:sz w:val="24"/>
          <w:szCs w:val="24"/>
        </w:rPr>
        <w:t xml:space="preserve">appeal against the </w:t>
      </w:r>
      <w:r w:rsidR="0083189C">
        <w:rPr>
          <w:rFonts w:ascii="Arial" w:hAnsi="Arial" w:cs="Arial"/>
          <w:sz w:val="24"/>
          <w:szCs w:val="24"/>
        </w:rPr>
        <w:t xml:space="preserve">whole </w:t>
      </w:r>
      <w:r w:rsidR="002C6707">
        <w:rPr>
          <w:rFonts w:ascii="Arial" w:hAnsi="Arial" w:cs="Arial"/>
          <w:sz w:val="24"/>
          <w:szCs w:val="24"/>
        </w:rPr>
        <w:t xml:space="preserve">judgment granted </w:t>
      </w:r>
      <w:r w:rsidR="00E2034A">
        <w:rPr>
          <w:rFonts w:ascii="Arial" w:hAnsi="Arial" w:cs="Arial"/>
          <w:sz w:val="24"/>
          <w:szCs w:val="24"/>
        </w:rPr>
        <w:t xml:space="preserve">against the </w:t>
      </w:r>
      <w:r w:rsidR="002C6707">
        <w:rPr>
          <w:rFonts w:ascii="Arial" w:hAnsi="Arial" w:cs="Arial"/>
          <w:sz w:val="24"/>
          <w:szCs w:val="24"/>
        </w:rPr>
        <w:t>appellant by the Cape Town Magistrate</w:t>
      </w:r>
      <w:r w:rsidR="00D00744">
        <w:rPr>
          <w:rFonts w:ascii="Arial" w:hAnsi="Arial" w:cs="Arial"/>
          <w:sz w:val="24"/>
          <w:szCs w:val="24"/>
        </w:rPr>
        <w:t>s</w:t>
      </w:r>
      <w:r w:rsidR="002C6707">
        <w:rPr>
          <w:rFonts w:ascii="Arial" w:hAnsi="Arial" w:cs="Arial"/>
          <w:sz w:val="24"/>
          <w:szCs w:val="24"/>
        </w:rPr>
        <w:t xml:space="preserve"> </w:t>
      </w:r>
      <w:r w:rsidR="00E47D08">
        <w:rPr>
          <w:rFonts w:ascii="Arial" w:hAnsi="Arial" w:cs="Arial"/>
          <w:sz w:val="24"/>
          <w:szCs w:val="24"/>
        </w:rPr>
        <w:t>C</w:t>
      </w:r>
      <w:r w:rsidR="00CE39E1">
        <w:rPr>
          <w:rFonts w:ascii="Arial" w:hAnsi="Arial" w:cs="Arial"/>
          <w:sz w:val="24"/>
          <w:szCs w:val="24"/>
        </w:rPr>
        <w:t xml:space="preserve">ourt on 12 August 2022 </w:t>
      </w:r>
      <w:r w:rsidR="002C6707">
        <w:rPr>
          <w:rFonts w:ascii="Arial" w:hAnsi="Arial" w:cs="Arial"/>
          <w:sz w:val="24"/>
          <w:szCs w:val="24"/>
        </w:rPr>
        <w:t xml:space="preserve">for payment of R47,000 </w:t>
      </w:r>
      <w:r w:rsidR="0083189C">
        <w:rPr>
          <w:rFonts w:ascii="Arial" w:hAnsi="Arial" w:cs="Arial"/>
          <w:sz w:val="24"/>
          <w:szCs w:val="24"/>
        </w:rPr>
        <w:t>plus interest</w:t>
      </w:r>
      <w:r w:rsidR="002C6707">
        <w:rPr>
          <w:rFonts w:ascii="Arial" w:hAnsi="Arial" w:cs="Arial"/>
          <w:sz w:val="24"/>
          <w:szCs w:val="24"/>
        </w:rPr>
        <w:t xml:space="preserve"> payable </w:t>
      </w:r>
      <w:r w:rsidR="0083189C">
        <w:rPr>
          <w:rFonts w:ascii="Arial" w:hAnsi="Arial" w:cs="Arial"/>
          <w:sz w:val="24"/>
          <w:szCs w:val="24"/>
        </w:rPr>
        <w:t>to the respondent pursuant to a personal loan of R117 000 advanced by the respondent to the appellant on 18 March 2014</w:t>
      </w:r>
      <w:r w:rsidR="00CE39E1">
        <w:rPr>
          <w:rFonts w:ascii="Arial" w:hAnsi="Arial" w:cs="Arial"/>
          <w:sz w:val="24"/>
          <w:szCs w:val="24"/>
        </w:rPr>
        <w:t xml:space="preserve">. </w:t>
      </w:r>
    </w:p>
    <w:p w:rsidR="00944AA3" w:rsidRDefault="00944AA3" w:rsidP="00644AD7">
      <w:pPr>
        <w:spacing w:after="0" w:line="480" w:lineRule="auto"/>
        <w:jc w:val="both"/>
        <w:rPr>
          <w:rFonts w:ascii="Arial" w:hAnsi="Arial" w:cs="Arial"/>
          <w:sz w:val="24"/>
          <w:szCs w:val="24"/>
        </w:rPr>
      </w:pPr>
    </w:p>
    <w:p w:rsidR="00CE39E1" w:rsidRDefault="00944AA3" w:rsidP="00644AD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E39E1">
        <w:rPr>
          <w:rFonts w:ascii="Arial" w:hAnsi="Arial" w:cs="Arial"/>
          <w:sz w:val="24"/>
          <w:szCs w:val="24"/>
        </w:rPr>
        <w:t xml:space="preserve">The respondent issued summons against the appellant </w:t>
      </w:r>
      <w:r w:rsidR="000A48FC">
        <w:rPr>
          <w:rFonts w:ascii="Arial" w:hAnsi="Arial" w:cs="Arial"/>
          <w:sz w:val="24"/>
          <w:szCs w:val="24"/>
        </w:rPr>
        <w:t xml:space="preserve">on 30 </w:t>
      </w:r>
      <w:r w:rsidR="00CE39E1">
        <w:rPr>
          <w:rFonts w:ascii="Arial" w:hAnsi="Arial" w:cs="Arial"/>
          <w:sz w:val="24"/>
          <w:szCs w:val="24"/>
        </w:rPr>
        <w:t xml:space="preserve">July 2019 </w:t>
      </w:r>
      <w:r w:rsidR="000A48FC">
        <w:rPr>
          <w:rFonts w:ascii="Arial" w:hAnsi="Arial" w:cs="Arial"/>
          <w:sz w:val="24"/>
          <w:szCs w:val="24"/>
        </w:rPr>
        <w:t>in which</w:t>
      </w:r>
      <w:r w:rsidR="00CE39E1">
        <w:rPr>
          <w:rFonts w:ascii="Arial" w:hAnsi="Arial" w:cs="Arial"/>
          <w:sz w:val="24"/>
          <w:szCs w:val="24"/>
        </w:rPr>
        <w:t xml:space="preserve"> she claimed the sum of R47 000 arising from a personal loan agreement she advanced to the appellant. In the summons, the respondent </w:t>
      </w:r>
      <w:r w:rsidR="0015426B">
        <w:rPr>
          <w:rFonts w:ascii="Arial" w:hAnsi="Arial" w:cs="Arial"/>
          <w:sz w:val="24"/>
          <w:szCs w:val="24"/>
        </w:rPr>
        <w:t xml:space="preserve">averred </w:t>
      </w:r>
      <w:r w:rsidR="00CE39E1">
        <w:rPr>
          <w:rFonts w:ascii="Arial" w:hAnsi="Arial" w:cs="Arial"/>
          <w:sz w:val="24"/>
          <w:szCs w:val="24"/>
        </w:rPr>
        <w:t xml:space="preserve">that on </w:t>
      </w:r>
      <w:r w:rsidR="0015426B">
        <w:rPr>
          <w:rFonts w:ascii="Arial" w:hAnsi="Arial" w:cs="Arial"/>
          <w:sz w:val="24"/>
          <w:szCs w:val="24"/>
        </w:rPr>
        <w:t>1</w:t>
      </w:r>
      <w:r w:rsidR="00CE39E1">
        <w:rPr>
          <w:rFonts w:ascii="Arial" w:hAnsi="Arial" w:cs="Arial"/>
          <w:sz w:val="24"/>
          <w:szCs w:val="24"/>
        </w:rPr>
        <w:t>8 March 2014 at Cape Town</w:t>
      </w:r>
      <w:r w:rsidR="000A48FC">
        <w:rPr>
          <w:rFonts w:ascii="Arial" w:hAnsi="Arial" w:cs="Arial"/>
          <w:sz w:val="24"/>
          <w:szCs w:val="24"/>
        </w:rPr>
        <w:t>,</w:t>
      </w:r>
      <w:r w:rsidR="00CE39E1">
        <w:rPr>
          <w:rFonts w:ascii="Arial" w:hAnsi="Arial" w:cs="Arial"/>
          <w:sz w:val="24"/>
          <w:szCs w:val="24"/>
        </w:rPr>
        <w:t xml:space="preserve"> </w:t>
      </w:r>
      <w:r w:rsidR="0015426B">
        <w:rPr>
          <w:rFonts w:ascii="Arial" w:hAnsi="Arial" w:cs="Arial"/>
          <w:sz w:val="24"/>
          <w:szCs w:val="24"/>
        </w:rPr>
        <w:t xml:space="preserve">she </w:t>
      </w:r>
      <w:r w:rsidR="00CE39E1">
        <w:rPr>
          <w:rFonts w:ascii="Arial" w:hAnsi="Arial" w:cs="Arial"/>
          <w:sz w:val="24"/>
          <w:szCs w:val="24"/>
        </w:rPr>
        <w:t xml:space="preserve">lent and advanced the sum of R117 000 </w:t>
      </w:r>
      <w:r w:rsidR="000A48FC">
        <w:rPr>
          <w:rFonts w:ascii="Arial" w:hAnsi="Arial" w:cs="Arial"/>
          <w:sz w:val="24"/>
          <w:szCs w:val="24"/>
        </w:rPr>
        <w:t xml:space="preserve">to the appellant </w:t>
      </w:r>
      <w:r w:rsidR="00CE39E1">
        <w:rPr>
          <w:rFonts w:ascii="Arial" w:hAnsi="Arial" w:cs="Arial"/>
          <w:sz w:val="24"/>
          <w:szCs w:val="24"/>
        </w:rPr>
        <w:t xml:space="preserve">in terms of an oral loan agreement. The loan was repayable </w:t>
      </w:r>
      <w:r w:rsidR="0015426B">
        <w:rPr>
          <w:rFonts w:ascii="Arial" w:hAnsi="Arial" w:cs="Arial"/>
          <w:sz w:val="24"/>
          <w:szCs w:val="24"/>
        </w:rPr>
        <w:t>on demand, with i</w:t>
      </w:r>
      <w:r w:rsidR="000A48FC">
        <w:rPr>
          <w:rFonts w:ascii="Arial" w:hAnsi="Arial" w:cs="Arial"/>
          <w:sz w:val="24"/>
          <w:szCs w:val="24"/>
        </w:rPr>
        <w:t>nterest at 10 percent per an</w:t>
      </w:r>
      <w:r w:rsidR="00E47D08">
        <w:rPr>
          <w:rFonts w:ascii="Arial" w:hAnsi="Arial" w:cs="Arial"/>
          <w:sz w:val="24"/>
          <w:szCs w:val="24"/>
        </w:rPr>
        <w:t>n</w:t>
      </w:r>
      <w:r w:rsidR="000A48FC">
        <w:rPr>
          <w:rFonts w:ascii="Arial" w:hAnsi="Arial" w:cs="Arial"/>
          <w:sz w:val="24"/>
          <w:szCs w:val="24"/>
        </w:rPr>
        <w:t xml:space="preserve">um. </w:t>
      </w:r>
      <w:r w:rsidR="0015426B">
        <w:rPr>
          <w:rFonts w:ascii="Arial" w:hAnsi="Arial" w:cs="Arial"/>
          <w:sz w:val="24"/>
          <w:szCs w:val="24"/>
        </w:rPr>
        <w:t>The respondent pleaded that the appellant paid her the sum of R70 000 on 30 August 2016</w:t>
      </w:r>
      <w:r w:rsidR="00E47D08">
        <w:rPr>
          <w:rFonts w:ascii="Arial" w:hAnsi="Arial" w:cs="Arial"/>
          <w:sz w:val="24"/>
          <w:szCs w:val="24"/>
        </w:rPr>
        <w:t>,</w:t>
      </w:r>
      <w:r w:rsidR="0015426B">
        <w:rPr>
          <w:rFonts w:ascii="Arial" w:hAnsi="Arial" w:cs="Arial"/>
          <w:sz w:val="24"/>
          <w:szCs w:val="24"/>
        </w:rPr>
        <w:t xml:space="preserve"> leaving the balance of R47 000 due and payable. </w:t>
      </w:r>
    </w:p>
    <w:p w:rsidR="00644AD7" w:rsidRDefault="00644AD7" w:rsidP="00644AD7">
      <w:pPr>
        <w:spacing w:after="0" w:line="480" w:lineRule="auto"/>
        <w:jc w:val="both"/>
        <w:rPr>
          <w:rFonts w:ascii="Arial" w:hAnsi="Arial" w:cs="Arial"/>
          <w:sz w:val="24"/>
          <w:szCs w:val="24"/>
        </w:rPr>
      </w:pPr>
    </w:p>
    <w:p w:rsidR="00644AD7" w:rsidRDefault="00944AA3" w:rsidP="00644AD7">
      <w:pPr>
        <w:spacing w:after="0" w:line="480" w:lineRule="auto"/>
        <w:jc w:val="both"/>
        <w:rPr>
          <w:rFonts w:ascii="Arial" w:hAnsi="Arial" w:cs="Arial"/>
          <w:sz w:val="24"/>
          <w:szCs w:val="24"/>
        </w:rPr>
      </w:pPr>
      <w:r>
        <w:rPr>
          <w:rFonts w:ascii="Arial" w:hAnsi="Arial" w:cs="Arial"/>
          <w:sz w:val="24"/>
          <w:szCs w:val="24"/>
        </w:rPr>
        <w:t>[3</w:t>
      </w:r>
      <w:r w:rsidR="00644AD7">
        <w:rPr>
          <w:rFonts w:ascii="Arial" w:hAnsi="Arial" w:cs="Arial"/>
          <w:sz w:val="24"/>
          <w:szCs w:val="24"/>
        </w:rPr>
        <w:t>]</w:t>
      </w:r>
      <w:r w:rsidR="00644AD7">
        <w:rPr>
          <w:rFonts w:ascii="Arial" w:hAnsi="Arial" w:cs="Arial"/>
          <w:sz w:val="24"/>
          <w:szCs w:val="24"/>
        </w:rPr>
        <w:tab/>
      </w:r>
      <w:r w:rsidR="0015426B">
        <w:rPr>
          <w:rFonts w:ascii="Arial" w:hAnsi="Arial" w:cs="Arial"/>
          <w:sz w:val="24"/>
          <w:szCs w:val="24"/>
        </w:rPr>
        <w:t xml:space="preserve">The </w:t>
      </w:r>
      <w:r w:rsidR="00A450E9">
        <w:rPr>
          <w:rFonts w:ascii="Arial" w:hAnsi="Arial" w:cs="Arial"/>
          <w:sz w:val="24"/>
          <w:szCs w:val="24"/>
        </w:rPr>
        <w:t xml:space="preserve">appellant </w:t>
      </w:r>
      <w:r w:rsidR="0015426B">
        <w:rPr>
          <w:rFonts w:ascii="Arial" w:hAnsi="Arial" w:cs="Arial"/>
          <w:sz w:val="24"/>
          <w:szCs w:val="24"/>
        </w:rPr>
        <w:t xml:space="preserve">defended the claim and raised two defences. The </w:t>
      </w:r>
      <w:r w:rsidR="00A450E9">
        <w:rPr>
          <w:rFonts w:ascii="Arial" w:hAnsi="Arial" w:cs="Arial"/>
          <w:sz w:val="24"/>
          <w:szCs w:val="24"/>
        </w:rPr>
        <w:t xml:space="preserve">appellant </w:t>
      </w:r>
      <w:r w:rsidR="0015426B">
        <w:rPr>
          <w:rFonts w:ascii="Arial" w:hAnsi="Arial" w:cs="Arial"/>
          <w:sz w:val="24"/>
          <w:szCs w:val="24"/>
        </w:rPr>
        <w:t xml:space="preserve">admitted the loan </w:t>
      </w:r>
      <w:r w:rsidR="00622262">
        <w:rPr>
          <w:rFonts w:ascii="Arial" w:hAnsi="Arial" w:cs="Arial"/>
          <w:sz w:val="24"/>
          <w:szCs w:val="24"/>
        </w:rPr>
        <w:t xml:space="preserve">but averred that the loan agreement </w:t>
      </w:r>
      <w:r w:rsidR="00E47D08">
        <w:rPr>
          <w:rFonts w:ascii="Arial" w:hAnsi="Arial" w:cs="Arial"/>
          <w:sz w:val="24"/>
          <w:szCs w:val="24"/>
        </w:rPr>
        <w:t>conflicted</w:t>
      </w:r>
      <w:r w:rsidR="00622262">
        <w:rPr>
          <w:rFonts w:ascii="Arial" w:hAnsi="Arial" w:cs="Arial"/>
          <w:sz w:val="24"/>
          <w:szCs w:val="24"/>
        </w:rPr>
        <w:t xml:space="preserve"> with the provisions of the National Credit Act 34 of 2005 (</w:t>
      </w:r>
      <w:r w:rsidR="00800233">
        <w:rPr>
          <w:rFonts w:ascii="Arial" w:hAnsi="Arial" w:cs="Arial"/>
          <w:sz w:val="24"/>
          <w:szCs w:val="24"/>
        </w:rPr>
        <w:t>“</w:t>
      </w:r>
      <w:r w:rsidR="00622262">
        <w:rPr>
          <w:rFonts w:ascii="Arial" w:hAnsi="Arial" w:cs="Arial"/>
          <w:sz w:val="24"/>
          <w:szCs w:val="24"/>
        </w:rPr>
        <w:t>the NCA</w:t>
      </w:r>
      <w:r w:rsidR="00800233">
        <w:rPr>
          <w:rFonts w:ascii="Arial" w:hAnsi="Arial" w:cs="Arial"/>
          <w:sz w:val="24"/>
          <w:szCs w:val="24"/>
        </w:rPr>
        <w:t>”</w:t>
      </w:r>
      <w:r w:rsidR="00622262">
        <w:rPr>
          <w:rFonts w:ascii="Arial" w:hAnsi="Arial" w:cs="Arial"/>
          <w:sz w:val="24"/>
          <w:szCs w:val="24"/>
        </w:rPr>
        <w:t>) in that the respondent was not a registered credit provider at the time of the loan agreement.</w:t>
      </w:r>
      <w:r w:rsidR="00E47D08">
        <w:rPr>
          <w:rFonts w:ascii="Arial" w:hAnsi="Arial" w:cs="Arial"/>
          <w:sz w:val="24"/>
          <w:szCs w:val="24"/>
        </w:rPr>
        <w:t xml:space="preserve"> </w:t>
      </w:r>
      <w:r w:rsidR="00E47D08" w:rsidRPr="00E47D08">
        <w:rPr>
          <w:rFonts w:ascii="Arial" w:hAnsi="Arial" w:cs="Arial"/>
          <w:sz w:val="24"/>
          <w:szCs w:val="24"/>
        </w:rPr>
        <w:t>The appellant also instituted a counterclaim and sought to rectify the settlement agreement between the appellant and the respondent in which the respondent sold her shares to the appellant.</w:t>
      </w:r>
      <w:r w:rsidR="00622262">
        <w:rPr>
          <w:rFonts w:ascii="Arial" w:hAnsi="Arial" w:cs="Arial"/>
          <w:sz w:val="24"/>
          <w:szCs w:val="24"/>
        </w:rPr>
        <w:t xml:space="preserve"> </w:t>
      </w:r>
      <w:r w:rsidR="00E47D08" w:rsidRPr="00E47D08">
        <w:rPr>
          <w:rFonts w:ascii="Arial" w:hAnsi="Arial" w:cs="Arial"/>
          <w:sz w:val="24"/>
          <w:szCs w:val="24"/>
        </w:rPr>
        <w:t xml:space="preserve">The </w:t>
      </w:r>
      <w:r w:rsidR="00A450E9">
        <w:rPr>
          <w:rFonts w:ascii="Arial" w:hAnsi="Arial" w:cs="Arial"/>
          <w:sz w:val="24"/>
          <w:szCs w:val="24"/>
        </w:rPr>
        <w:t xml:space="preserve">appellant </w:t>
      </w:r>
      <w:r w:rsidR="00E47D08" w:rsidRPr="00E47D08">
        <w:rPr>
          <w:rFonts w:ascii="Arial" w:hAnsi="Arial" w:cs="Arial"/>
          <w:sz w:val="24"/>
          <w:szCs w:val="24"/>
        </w:rPr>
        <w:t xml:space="preserve">pleaded in her counterclaim that the parties' settlement agreement extinguished the R47 000 that the </w:t>
      </w:r>
      <w:r w:rsidR="00A450E9">
        <w:rPr>
          <w:rFonts w:ascii="Arial" w:hAnsi="Arial" w:cs="Arial"/>
          <w:sz w:val="24"/>
          <w:szCs w:val="24"/>
        </w:rPr>
        <w:t xml:space="preserve">respondent </w:t>
      </w:r>
      <w:r w:rsidR="00E47D08" w:rsidRPr="00E47D08">
        <w:rPr>
          <w:rFonts w:ascii="Arial" w:hAnsi="Arial" w:cs="Arial"/>
          <w:sz w:val="24"/>
          <w:szCs w:val="24"/>
        </w:rPr>
        <w:t>claimed against her.</w:t>
      </w:r>
    </w:p>
    <w:p w:rsidR="00CE39E1" w:rsidRDefault="00622262" w:rsidP="00644AD7">
      <w:pPr>
        <w:spacing w:after="0" w:line="480" w:lineRule="auto"/>
        <w:jc w:val="both"/>
        <w:rPr>
          <w:rFonts w:ascii="Arial" w:hAnsi="Arial" w:cs="Arial"/>
          <w:sz w:val="24"/>
          <w:szCs w:val="24"/>
        </w:rPr>
      </w:pPr>
      <w:r>
        <w:rPr>
          <w:rFonts w:ascii="Arial" w:hAnsi="Arial" w:cs="Arial"/>
          <w:sz w:val="24"/>
          <w:szCs w:val="24"/>
        </w:rPr>
        <w:t xml:space="preserve"> </w:t>
      </w:r>
    </w:p>
    <w:p w:rsidR="008447A0" w:rsidRDefault="00944AA3" w:rsidP="00644AD7">
      <w:pPr>
        <w:spacing w:after="0" w:line="480" w:lineRule="auto"/>
        <w:jc w:val="both"/>
        <w:rPr>
          <w:rFonts w:ascii="Arial" w:hAnsi="Arial" w:cs="Arial"/>
          <w:sz w:val="24"/>
          <w:szCs w:val="24"/>
        </w:rPr>
      </w:pPr>
      <w:r>
        <w:rPr>
          <w:rFonts w:ascii="Arial" w:hAnsi="Arial" w:cs="Arial"/>
          <w:sz w:val="24"/>
          <w:szCs w:val="24"/>
        </w:rPr>
        <w:t>[4</w:t>
      </w:r>
      <w:r w:rsidR="00644AD7">
        <w:rPr>
          <w:rFonts w:ascii="Arial" w:hAnsi="Arial" w:cs="Arial"/>
          <w:sz w:val="24"/>
          <w:szCs w:val="24"/>
        </w:rPr>
        <w:t>]</w:t>
      </w:r>
      <w:r w:rsidR="00644AD7">
        <w:rPr>
          <w:rFonts w:ascii="Arial" w:hAnsi="Arial" w:cs="Arial"/>
          <w:sz w:val="24"/>
          <w:szCs w:val="24"/>
        </w:rPr>
        <w:tab/>
      </w:r>
      <w:r w:rsidR="0083189C">
        <w:rPr>
          <w:rFonts w:ascii="Arial" w:hAnsi="Arial" w:cs="Arial"/>
          <w:sz w:val="24"/>
          <w:szCs w:val="24"/>
        </w:rPr>
        <w:t xml:space="preserve">The trial court dismissed the appellant’s </w:t>
      </w:r>
      <w:r w:rsidR="00E2034A">
        <w:rPr>
          <w:rFonts w:ascii="Arial" w:hAnsi="Arial" w:cs="Arial"/>
          <w:sz w:val="24"/>
          <w:szCs w:val="24"/>
        </w:rPr>
        <w:t xml:space="preserve">defences and </w:t>
      </w:r>
      <w:r w:rsidR="000A48FC">
        <w:rPr>
          <w:rFonts w:ascii="Arial" w:hAnsi="Arial" w:cs="Arial"/>
          <w:sz w:val="24"/>
          <w:szCs w:val="24"/>
        </w:rPr>
        <w:t xml:space="preserve">the </w:t>
      </w:r>
      <w:r w:rsidR="0083189C">
        <w:rPr>
          <w:rFonts w:ascii="Arial" w:hAnsi="Arial" w:cs="Arial"/>
          <w:sz w:val="24"/>
          <w:szCs w:val="24"/>
        </w:rPr>
        <w:t xml:space="preserve">counterclaim and granted judgment in favour of the </w:t>
      </w:r>
      <w:r w:rsidR="005137D4">
        <w:rPr>
          <w:rFonts w:ascii="Arial" w:hAnsi="Arial" w:cs="Arial"/>
          <w:sz w:val="24"/>
          <w:szCs w:val="24"/>
        </w:rPr>
        <w:t>respondent</w:t>
      </w:r>
      <w:r w:rsidR="0083189C">
        <w:rPr>
          <w:rFonts w:ascii="Arial" w:hAnsi="Arial" w:cs="Arial"/>
          <w:sz w:val="24"/>
          <w:szCs w:val="24"/>
        </w:rPr>
        <w:t xml:space="preserve">. </w:t>
      </w:r>
      <w:r w:rsidR="00FE5F33">
        <w:rPr>
          <w:rFonts w:ascii="Arial" w:hAnsi="Arial" w:cs="Arial"/>
          <w:sz w:val="24"/>
          <w:szCs w:val="24"/>
        </w:rPr>
        <w:t xml:space="preserve">The appellant seeks to </w:t>
      </w:r>
      <w:r w:rsidR="000A48FC">
        <w:rPr>
          <w:rFonts w:ascii="Arial" w:hAnsi="Arial" w:cs="Arial"/>
          <w:sz w:val="24"/>
          <w:szCs w:val="24"/>
        </w:rPr>
        <w:t xml:space="preserve">overturn this </w:t>
      </w:r>
      <w:r w:rsidR="000A48FC">
        <w:rPr>
          <w:rFonts w:ascii="Arial" w:hAnsi="Arial" w:cs="Arial"/>
          <w:sz w:val="24"/>
          <w:szCs w:val="24"/>
        </w:rPr>
        <w:lastRenderedPageBreak/>
        <w:t xml:space="preserve">finding. </w:t>
      </w:r>
      <w:r w:rsidR="00E47D08" w:rsidRPr="00E47D08">
        <w:rPr>
          <w:rFonts w:ascii="Arial" w:hAnsi="Arial" w:cs="Arial"/>
          <w:sz w:val="24"/>
          <w:szCs w:val="24"/>
        </w:rPr>
        <w:t>The appellant further seeks an order in this court to uphold the appeal with costs, dismissing the respondent's claim in terms of the loan agreement.</w:t>
      </w:r>
    </w:p>
    <w:p w:rsidR="00644AD7" w:rsidRDefault="00644AD7" w:rsidP="00644AD7">
      <w:pPr>
        <w:spacing w:after="0" w:line="480" w:lineRule="auto"/>
        <w:jc w:val="both"/>
        <w:rPr>
          <w:rFonts w:ascii="Arial" w:hAnsi="Arial" w:cs="Arial"/>
          <w:b/>
          <w:sz w:val="24"/>
          <w:szCs w:val="24"/>
        </w:rPr>
      </w:pPr>
    </w:p>
    <w:p w:rsidR="00ED078E" w:rsidRDefault="00ED078E" w:rsidP="00644AD7">
      <w:pPr>
        <w:spacing w:after="0" w:line="480" w:lineRule="auto"/>
        <w:jc w:val="both"/>
        <w:rPr>
          <w:rFonts w:ascii="Arial" w:hAnsi="Arial" w:cs="Arial"/>
          <w:b/>
          <w:sz w:val="24"/>
          <w:szCs w:val="24"/>
        </w:rPr>
      </w:pPr>
      <w:r w:rsidRPr="000567B9">
        <w:rPr>
          <w:rFonts w:ascii="Arial" w:hAnsi="Arial" w:cs="Arial"/>
          <w:b/>
          <w:sz w:val="24"/>
          <w:szCs w:val="24"/>
        </w:rPr>
        <w:t>THE FACTUAL MATRIX</w:t>
      </w:r>
    </w:p>
    <w:p w:rsidR="002047EC" w:rsidRPr="000567B9" w:rsidRDefault="002047EC" w:rsidP="00644AD7">
      <w:pPr>
        <w:spacing w:after="0" w:line="480" w:lineRule="auto"/>
        <w:jc w:val="both"/>
        <w:rPr>
          <w:rFonts w:ascii="Arial" w:hAnsi="Arial" w:cs="Arial"/>
          <w:b/>
          <w:sz w:val="24"/>
          <w:szCs w:val="24"/>
        </w:rPr>
      </w:pPr>
    </w:p>
    <w:p w:rsidR="00644AD7" w:rsidRDefault="00944AA3" w:rsidP="00644AD7">
      <w:pPr>
        <w:spacing w:after="0" w:line="480" w:lineRule="auto"/>
        <w:jc w:val="both"/>
        <w:rPr>
          <w:rFonts w:ascii="Arial" w:hAnsi="Arial" w:cs="Arial"/>
          <w:sz w:val="24"/>
          <w:szCs w:val="24"/>
        </w:rPr>
      </w:pPr>
      <w:r>
        <w:rPr>
          <w:rFonts w:ascii="Arial" w:hAnsi="Arial" w:cs="Arial"/>
          <w:sz w:val="24"/>
          <w:szCs w:val="24"/>
        </w:rPr>
        <w:t>[5</w:t>
      </w:r>
      <w:r w:rsidR="001A0DD0">
        <w:rPr>
          <w:rFonts w:ascii="Arial" w:hAnsi="Arial" w:cs="Arial"/>
          <w:sz w:val="24"/>
          <w:szCs w:val="24"/>
        </w:rPr>
        <w:t>]</w:t>
      </w:r>
      <w:r w:rsidR="001A0DD0">
        <w:rPr>
          <w:rFonts w:ascii="Arial" w:hAnsi="Arial" w:cs="Arial"/>
          <w:sz w:val="24"/>
          <w:szCs w:val="24"/>
        </w:rPr>
        <w:tab/>
      </w:r>
      <w:r w:rsidR="00ED078E">
        <w:rPr>
          <w:rFonts w:ascii="Arial" w:hAnsi="Arial" w:cs="Arial"/>
          <w:sz w:val="24"/>
          <w:szCs w:val="24"/>
        </w:rPr>
        <w:t xml:space="preserve">The appellant and the respondent </w:t>
      </w:r>
      <w:r w:rsidR="00E2034A">
        <w:rPr>
          <w:rFonts w:ascii="Arial" w:hAnsi="Arial" w:cs="Arial"/>
          <w:sz w:val="24"/>
          <w:szCs w:val="24"/>
        </w:rPr>
        <w:t xml:space="preserve">(“the parties”) </w:t>
      </w:r>
      <w:r w:rsidR="00ED078E">
        <w:rPr>
          <w:rFonts w:ascii="Arial" w:hAnsi="Arial" w:cs="Arial"/>
          <w:sz w:val="24"/>
          <w:szCs w:val="24"/>
        </w:rPr>
        <w:t>became friends</w:t>
      </w:r>
      <w:r w:rsidR="00A61301">
        <w:rPr>
          <w:rFonts w:ascii="Arial" w:hAnsi="Arial" w:cs="Arial"/>
          <w:sz w:val="24"/>
          <w:szCs w:val="24"/>
        </w:rPr>
        <w:t xml:space="preserve"> around 2008 – 2009 </w:t>
      </w:r>
      <w:r w:rsidR="00ED078E">
        <w:rPr>
          <w:rFonts w:ascii="Arial" w:hAnsi="Arial" w:cs="Arial"/>
          <w:sz w:val="24"/>
          <w:szCs w:val="24"/>
        </w:rPr>
        <w:t>through a mutual friend. They got acquainted and became friend</w:t>
      </w:r>
      <w:r w:rsidR="00A61301">
        <w:rPr>
          <w:rFonts w:ascii="Arial" w:hAnsi="Arial" w:cs="Arial"/>
          <w:sz w:val="24"/>
          <w:szCs w:val="24"/>
        </w:rPr>
        <w:t>s</w:t>
      </w:r>
      <w:r w:rsidR="00ED078E">
        <w:rPr>
          <w:rFonts w:ascii="Arial" w:hAnsi="Arial" w:cs="Arial"/>
          <w:sz w:val="24"/>
          <w:szCs w:val="24"/>
        </w:rPr>
        <w:t xml:space="preserve"> to the point where they spent </w:t>
      </w:r>
      <w:r w:rsidR="00E47D08">
        <w:rPr>
          <w:rFonts w:ascii="Arial" w:hAnsi="Arial" w:cs="Arial"/>
          <w:sz w:val="24"/>
          <w:szCs w:val="24"/>
        </w:rPr>
        <w:t xml:space="preserve">much </w:t>
      </w:r>
      <w:r w:rsidR="00ED078E">
        <w:rPr>
          <w:rFonts w:ascii="Arial" w:hAnsi="Arial" w:cs="Arial"/>
          <w:sz w:val="24"/>
          <w:szCs w:val="24"/>
        </w:rPr>
        <w:t xml:space="preserve">time together. </w:t>
      </w:r>
      <w:r w:rsidR="00A61301">
        <w:rPr>
          <w:rFonts w:ascii="Arial" w:hAnsi="Arial" w:cs="Arial"/>
          <w:sz w:val="24"/>
          <w:szCs w:val="24"/>
        </w:rPr>
        <w:t>They met each other’s families and attended each other’s weddings. It came to pass that the appellant wanted to purchase a franchise from Sorbet. The appellant wanted her own business</w:t>
      </w:r>
      <w:r w:rsidR="00E47D08">
        <w:rPr>
          <w:rFonts w:ascii="Arial" w:hAnsi="Arial" w:cs="Arial"/>
          <w:sz w:val="24"/>
          <w:szCs w:val="24"/>
        </w:rPr>
        <w:t>,</w:t>
      </w:r>
      <w:r w:rsidR="00A61301">
        <w:rPr>
          <w:rFonts w:ascii="Arial" w:hAnsi="Arial" w:cs="Arial"/>
          <w:sz w:val="24"/>
          <w:szCs w:val="24"/>
        </w:rPr>
        <w:t xml:space="preserve"> and as friends, they started to talk about it.</w:t>
      </w:r>
    </w:p>
    <w:p w:rsidR="00ED078E" w:rsidRDefault="00A61301" w:rsidP="00644AD7">
      <w:pPr>
        <w:spacing w:after="0" w:line="480" w:lineRule="auto"/>
        <w:jc w:val="both"/>
        <w:rPr>
          <w:rFonts w:ascii="Arial" w:hAnsi="Arial" w:cs="Arial"/>
          <w:sz w:val="24"/>
          <w:szCs w:val="24"/>
        </w:rPr>
      </w:pPr>
      <w:r>
        <w:rPr>
          <w:rFonts w:ascii="Arial" w:hAnsi="Arial" w:cs="Arial"/>
          <w:sz w:val="24"/>
          <w:szCs w:val="24"/>
        </w:rPr>
        <w:t xml:space="preserve"> </w:t>
      </w:r>
    </w:p>
    <w:p w:rsidR="00644AD7" w:rsidRDefault="00944AA3" w:rsidP="00644AD7">
      <w:pPr>
        <w:spacing w:after="0" w:line="480" w:lineRule="auto"/>
        <w:jc w:val="both"/>
        <w:rPr>
          <w:rFonts w:ascii="Arial" w:hAnsi="Arial" w:cs="Arial"/>
          <w:sz w:val="24"/>
          <w:szCs w:val="24"/>
        </w:rPr>
      </w:pPr>
      <w:r>
        <w:rPr>
          <w:rFonts w:ascii="Arial" w:hAnsi="Arial" w:cs="Arial"/>
          <w:sz w:val="24"/>
          <w:szCs w:val="24"/>
        </w:rPr>
        <w:t>[6</w:t>
      </w:r>
      <w:r w:rsidR="001A0DD0">
        <w:rPr>
          <w:rFonts w:ascii="Arial" w:hAnsi="Arial" w:cs="Arial"/>
          <w:sz w:val="24"/>
          <w:szCs w:val="24"/>
        </w:rPr>
        <w:t>]</w:t>
      </w:r>
      <w:r w:rsidR="001A0DD0">
        <w:rPr>
          <w:rFonts w:ascii="Arial" w:hAnsi="Arial" w:cs="Arial"/>
          <w:sz w:val="24"/>
          <w:szCs w:val="24"/>
        </w:rPr>
        <w:tab/>
      </w:r>
      <w:r w:rsidR="00800233">
        <w:rPr>
          <w:rFonts w:ascii="Arial" w:hAnsi="Arial" w:cs="Arial"/>
          <w:sz w:val="24"/>
          <w:szCs w:val="24"/>
        </w:rPr>
        <w:t>T</w:t>
      </w:r>
      <w:r w:rsidR="00A35C28" w:rsidRPr="00A35C28">
        <w:rPr>
          <w:rFonts w:ascii="Arial" w:hAnsi="Arial" w:cs="Arial"/>
          <w:sz w:val="24"/>
          <w:szCs w:val="24"/>
        </w:rPr>
        <w:t>he appellant and the respondent decided to start the business</w:t>
      </w:r>
      <w:r w:rsidR="00B276FF">
        <w:rPr>
          <w:rFonts w:ascii="Arial" w:hAnsi="Arial" w:cs="Arial"/>
          <w:sz w:val="24"/>
          <w:szCs w:val="24"/>
        </w:rPr>
        <w:t>,</w:t>
      </w:r>
      <w:r w:rsidR="00800233">
        <w:rPr>
          <w:rFonts w:ascii="Arial" w:hAnsi="Arial" w:cs="Arial"/>
          <w:sz w:val="24"/>
          <w:szCs w:val="24"/>
        </w:rPr>
        <w:t xml:space="preserve"> and</w:t>
      </w:r>
      <w:r w:rsidR="00A35C28" w:rsidRPr="00A35C28">
        <w:rPr>
          <w:rFonts w:ascii="Arial" w:hAnsi="Arial" w:cs="Arial"/>
          <w:sz w:val="24"/>
          <w:szCs w:val="24"/>
        </w:rPr>
        <w:t xml:space="preserve"> a lot of funding was required to set up the business. The parties agreed that each would fund a portion of the capital into the business and get shareholding therein.</w:t>
      </w:r>
      <w:r w:rsidR="00E2034A">
        <w:rPr>
          <w:rFonts w:ascii="Arial" w:hAnsi="Arial" w:cs="Arial"/>
          <w:sz w:val="24"/>
          <w:szCs w:val="24"/>
        </w:rPr>
        <w:t xml:space="preserve"> </w:t>
      </w:r>
      <w:r w:rsidR="00475BBF">
        <w:rPr>
          <w:rFonts w:ascii="Arial" w:hAnsi="Arial" w:cs="Arial"/>
          <w:sz w:val="24"/>
          <w:szCs w:val="24"/>
        </w:rPr>
        <w:t>The parties further agreed that the re</w:t>
      </w:r>
      <w:r w:rsidR="00066E82">
        <w:rPr>
          <w:rFonts w:ascii="Arial" w:hAnsi="Arial" w:cs="Arial"/>
          <w:sz w:val="24"/>
          <w:szCs w:val="24"/>
        </w:rPr>
        <w:t>spondent would have 35</w:t>
      </w:r>
      <w:r w:rsidR="00475BBF">
        <w:rPr>
          <w:rFonts w:ascii="Arial" w:hAnsi="Arial" w:cs="Arial"/>
          <w:sz w:val="24"/>
          <w:szCs w:val="24"/>
        </w:rPr>
        <w:t xml:space="preserve"> percent shareholding in the </w:t>
      </w:r>
      <w:r w:rsidR="00B276FF">
        <w:rPr>
          <w:rFonts w:ascii="Arial" w:hAnsi="Arial" w:cs="Arial"/>
          <w:sz w:val="24"/>
          <w:szCs w:val="24"/>
        </w:rPr>
        <w:t xml:space="preserve">company </w:t>
      </w:r>
      <w:r w:rsidR="00475BBF">
        <w:rPr>
          <w:rFonts w:ascii="Arial" w:hAnsi="Arial" w:cs="Arial"/>
          <w:sz w:val="24"/>
          <w:szCs w:val="24"/>
        </w:rPr>
        <w:t>and the appellant would have</w:t>
      </w:r>
      <w:r w:rsidR="00066E82">
        <w:rPr>
          <w:rFonts w:ascii="Arial" w:hAnsi="Arial" w:cs="Arial"/>
          <w:sz w:val="24"/>
          <w:szCs w:val="24"/>
        </w:rPr>
        <w:t xml:space="preserve"> 65 </w:t>
      </w:r>
      <w:r w:rsidR="00475BBF">
        <w:rPr>
          <w:rFonts w:ascii="Arial" w:hAnsi="Arial" w:cs="Arial"/>
          <w:sz w:val="24"/>
          <w:szCs w:val="24"/>
        </w:rPr>
        <w:t>percent shareholding</w:t>
      </w:r>
      <w:r w:rsidR="00066E82">
        <w:rPr>
          <w:rFonts w:ascii="Arial" w:hAnsi="Arial" w:cs="Arial"/>
          <w:sz w:val="24"/>
          <w:szCs w:val="24"/>
        </w:rPr>
        <w:t>.</w:t>
      </w:r>
      <w:r w:rsidR="00475BBF">
        <w:rPr>
          <w:rFonts w:ascii="Arial" w:hAnsi="Arial" w:cs="Arial"/>
          <w:sz w:val="24"/>
          <w:szCs w:val="24"/>
        </w:rPr>
        <w:t xml:space="preserve"> The respondent provided her 35 percent </w:t>
      </w:r>
      <w:r w:rsidR="00066E82">
        <w:rPr>
          <w:rFonts w:ascii="Arial" w:hAnsi="Arial" w:cs="Arial"/>
          <w:sz w:val="24"/>
          <w:szCs w:val="24"/>
        </w:rPr>
        <w:t>capital contribution</w:t>
      </w:r>
      <w:r w:rsidR="00475BBF">
        <w:rPr>
          <w:rFonts w:ascii="Arial" w:hAnsi="Arial" w:cs="Arial"/>
          <w:sz w:val="24"/>
          <w:szCs w:val="24"/>
        </w:rPr>
        <w:t>. Unfortunately, the</w:t>
      </w:r>
      <w:r w:rsidR="00076535">
        <w:rPr>
          <w:rFonts w:ascii="Arial" w:hAnsi="Arial" w:cs="Arial"/>
          <w:sz w:val="24"/>
          <w:szCs w:val="24"/>
        </w:rPr>
        <w:t xml:space="preserve"> appellant </w:t>
      </w:r>
      <w:r w:rsidR="00A35C28">
        <w:rPr>
          <w:rFonts w:ascii="Arial" w:hAnsi="Arial" w:cs="Arial"/>
          <w:sz w:val="24"/>
          <w:szCs w:val="24"/>
        </w:rPr>
        <w:t xml:space="preserve">could not </w:t>
      </w:r>
      <w:r w:rsidR="00076535">
        <w:rPr>
          <w:rFonts w:ascii="Arial" w:hAnsi="Arial" w:cs="Arial"/>
          <w:sz w:val="24"/>
          <w:szCs w:val="24"/>
        </w:rPr>
        <w:t>fu</w:t>
      </w:r>
      <w:r w:rsidR="00475BBF">
        <w:rPr>
          <w:rFonts w:ascii="Arial" w:hAnsi="Arial" w:cs="Arial"/>
          <w:sz w:val="24"/>
          <w:szCs w:val="24"/>
        </w:rPr>
        <w:t>nd her 65 percent share of the funds required to start the business. To assist her, the respondent provided the appellant with a loan of R117 000 to enable the appellant</w:t>
      </w:r>
      <w:r w:rsidR="00A35C28">
        <w:rPr>
          <w:rFonts w:ascii="Arial" w:hAnsi="Arial" w:cs="Arial"/>
          <w:sz w:val="24"/>
          <w:szCs w:val="24"/>
        </w:rPr>
        <w:t>,</w:t>
      </w:r>
      <w:r w:rsidR="00475BBF">
        <w:rPr>
          <w:rFonts w:ascii="Arial" w:hAnsi="Arial" w:cs="Arial"/>
          <w:sz w:val="24"/>
          <w:szCs w:val="24"/>
        </w:rPr>
        <w:t xml:space="preserve"> as a friend, to realise her desire to set up a Sorbet franchise business under the company</w:t>
      </w:r>
      <w:r w:rsidR="005137D4">
        <w:rPr>
          <w:rFonts w:ascii="Arial" w:hAnsi="Arial" w:cs="Arial"/>
          <w:sz w:val="24"/>
          <w:szCs w:val="24"/>
        </w:rPr>
        <w:t>, Kandy &amp; Co (Pty) Ltd</w:t>
      </w:r>
      <w:r w:rsidR="00475BBF">
        <w:rPr>
          <w:rFonts w:ascii="Arial" w:hAnsi="Arial" w:cs="Arial"/>
          <w:sz w:val="24"/>
          <w:szCs w:val="24"/>
        </w:rPr>
        <w:t>.</w:t>
      </w:r>
    </w:p>
    <w:p w:rsidR="00475BBF" w:rsidRDefault="00475BBF" w:rsidP="00644AD7">
      <w:pPr>
        <w:spacing w:after="0" w:line="480" w:lineRule="auto"/>
        <w:jc w:val="both"/>
        <w:rPr>
          <w:rFonts w:ascii="Arial" w:hAnsi="Arial" w:cs="Arial"/>
          <w:sz w:val="24"/>
          <w:szCs w:val="24"/>
        </w:rPr>
      </w:pPr>
      <w:r>
        <w:rPr>
          <w:rFonts w:ascii="Arial" w:hAnsi="Arial" w:cs="Arial"/>
          <w:sz w:val="24"/>
          <w:szCs w:val="24"/>
        </w:rPr>
        <w:t xml:space="preserve"> </w:t>
      </w:r>
    </w:p>
    <w:p w:rsidR="00644AD7" w:rsidRDefault="00944AA3" w:rsidP="00644AD7">
      <w:pPr>
        <w:spacing w:after="0" w:line="480" w:lineRule="auto"/>
        <w:jc w:val="both"/>
        <w:rPr>
          <w:rFonts w:ascii="Arial" w:hAnsi="Arial" w:cs="Arial"/>
          <w:sz w:val="24"/>
          <w:szCs w:val="24"/>
        </w:rPr>
      </w:pPr>
      <w:r>
        <w:rPr>
          <w:rFonts w:ascii="Arial" w:hAnsi="Arial" w:cs="Arial"/>
          <w:sz w:val="24"/>
          <w:szCs w:val="24"/>
        </w:rPr>
        <w:t>[7</w:t>
      </w:r>
      <w:r w:rsidR="001A0DD0">
        <w:rPr>
          <w:rFonts w:ascii="Arial" w:hAnsi="Arial" w:cs="Arial"/>
          <w:sz w:val="24"/>
          <w:szCs w:val="24"/>
        </w:rPr>
        <w:t>]</w:t>
      </w:r>
      <w:r w:rsidR="001A0DD0">
        <w:rPr>
          <w:rFonts w:ascii="Arial" w:hAnsi="Arial" w:cs="Arial"/>
          <w:sz w:val="24"/>
          <w:szCs w:val="24"/>
        </w:rPr>
        <w:tab/>
      </w:r>
      <w:r w:rsidR="00076535">
        <w:rPr>
          <w:rFonts w:ascii="Arial" w:hAnsi="Arial" w:cs="Arial"/>
          <w:sz w:val="24"/>
          <w:szCs w:val="24"/>
        </w:rPr>
        <w:t xml:space="preserve">The respondent </w:t>
      </w:r>
      <w:r w:rsidR="002C408A">
        <w:rPr>
          <w:rFonts w:ascii="Arial" w:hAnsi="Arial" w:cs="Arial"/>
          <w:sz w:val="24"/>
          <w:szCs w:val="24"/>
        </w:rPr>
        <w:t xml:space="preserve">funded </w:t>
      </w:r>
      <w:r w:rsidR="00076535">
        <w:rPr>
          <w:rFonts w:ascii="Arial" w:hAnsi="Arial" w:cs="Arial"/>
          <w:sz w:val="24"/>
          <w:szCs w:val="24"/>
        </w:rPr>
        <w:t>the appellants’ share of the capital from her extra access bond facility</w:t>
      </w:r>
      <w:r w:rsidR="00B276FF">
        <w:rPr>
          <w:rFonts w:ascii="Arial" w:hAnsi="Arial" w:cs="Arial"/>
          <w:sz w:val="24"/>
          <w:szCs w:val="24"/>
        </w:rPr>
        <w:t xml:space="preserve"> which</w:t>
      </w:r>
      <w:r w:rsidR="00076535">
        <w:rPr>
          <w:rFonts w:ascii="Arial" w:hAnsi="Arial" w:cs="Arial"/>
          <w:sz w:val="24"/>
          <w:szCs w:val="24"/>
        </w:rPr>
        <w:t xml:space="preserve"> </w:t>
      </w:r>
      <w:r w:rsidR="002C408A">
        <w:rPr>
          <w:rFonts w:ascii="Arial" w:hAnsi="Arial" w:cs="Arial"/>
          <w:sz w:val="24"/>
          <w:szCs w:val="24"/>
        </w:rPr>
        <w:t xml:space="preserve">she </w:t>
      </w:r>
      <w:r w:rsidR="00076535">
        <w:rPr>
          <w:rFonts w:ascii="Arial" w:hAnsi="Arial" w:cs="Arial"/>
          <w:sz w:val="24"/>
          <w:szCs w:val="24"/>
        </w:rPr>
        <w:t xml:space="preserve">had with the bank. </w:t>
      </w:r>
      <w:r w:rsidR="002C408A">
        <w:rPr>
          <w:rFonts w:ascii="Arial" w:hAnsi="Arial" w:cs="Arial"/>
          <w:sz w:val="24"/>
          <w:szCs w:val="24"/>
        </w:rPr>
        <w:t xml:space="preserve">The respondent knew that the </w:t>
      </w:r>
      <w:r w:rsidR="002C408A">
        <w:rPr>
          <w:rFonts w:ascii="Arial" w:hAnsi="Arial" w:cs="Arial"/>
          <w:sz w:val="24"/>
          <w:szCs w:val="24"/>
        </w:rPr>
        <w:lastRenderedPageBreak/>
        <w:t xml:space="preserve">appellant </w:t>
      </w:r>
      <w:r w:rsidR="00066E82">
        <w:rPr>
          <w:rFonts w:ascii="Arial" w:hAnsi="Arial" w:cs="Arial"/>
          <w:sz w:val="24"/>
          <w:szCs w:val="24"/>
        </w:rPr>
        <w:t xml:space="preserve">was eager </w:t>
      </w:r>
      <w:r w:rsidR="002C408A">
        <w:rPr>
          <w:rFonts w:ascii="Arial" w:hAnsi="Arial" w:cs="Arial"/>
          <w:sz w:val="24"/>
          <w:szCs w:val="24"/>
        </w:rPr>
        <w:t xml:space="preserve">to pursue the opportunity of opening a franchise. </w:t>
      </w:r>
      <w:r w:rsidR="00B276FF" w:rsidRPr="00B276FF">
        <w:rPr>
          <w:rFonts w:ascii="Arial" w:hAnsi="Arial" w:cs="Arial"/>
          <w:sz w:val="24"/>
          <w:szCs w:val="24"/>
        </w:rPr>
        <w:t xml:space="preserve">She knew that with these funds, the appellant would pursue an opportunity that she really wanted. </w:t>
      </w:r>
      <w:r w:rsidR="00A35C28" w:rsidRPr="00A35C28">
        <w:rPr>
          <w:rFonts w:ascii="Arial" w:hAnsi="Arial" w:cs="Arial"/>
          <w:sz w:val="24"/>
          <w:szCs w:val="24"/>
        </w:rPr>
        <w:t>The loan was made available to the appellant on the basis that the appellant would pay the same interest rate that the bank was charging the respondent.</w:t>
      </w:r>
      <w:r w:rsidR="00076535">
        <w:rPr>
          <w:rFonts w:ascii="Arial" w:hAnsi="Arial" w:cs="Arial"/>
          <w:sz w:val="24"/>
          <w:szCs w:val="24"/>
        </w:rPr>
        <w:t xml:space="preserve"> The effect of this was that the respondent </w:t>
      </w:r>
      <w:r w:rsidR="002C408A">
        <w:rPr>
          <w:rFonts w:ascii="Arial" w:hAnsi="Arial" w:cs="Arial"/>
          <w:sz w:val="24"/>
          <w:szCs w:val="24"/>
        </w:rPr>
        <w:t xml:space="preserve">would </w:t>
      </w:r>
      <w:r w:rsidR="00076535">
        <w:rPr>
          <w:rFonts w:ascii="Arial" w:hAnsi="Arial" w:cs="Arial"/>
          <w:sz w:val="24"/>
          <w:szCs w:val="24"/>
        </w:rPr>
        <w:t>not make any profit on the loan to the appellant. The overall purpose of the loan was to assist the appellant as a friend and to do her a favour.</w:t>
      </w:r>
    </w:p>
    <w:p w:rsidR="00800233" w:rsidRDefault="00076535" w:rsidP="00644AD7">
      <w:pPr>
        <w:spacing w:after="0" w:line="480" w:lineRule="auto"/>
        <w:jc w:val="both"/>
        <w:rPr>
          <w:rFonts w:ascii="Arial" w:hAnsi="Arial" w:cs="Arial"/>
          <w:sz w:val="24"/>
          <w:szCs w:val="24"/>
        </w:rPr>
      </w:pPr>
      <w:r>
        <w:rPr>
          <w:rFonts w:ascii="Arial" w:hAnsi="Arial" w:cs="Arial"/>
          <w:sz w:val="24"/>
          <w:szCs w:val="24"/>
        </w:rPr>
        <w:t xml:space="preserve">  </w:t>
      </w:r>
    </w:p>
    <w:p w:rsidR="00CB1BB3" w:rsidRDefault="00944AA3" w:rsidP="00644AD7">
      <w:pPr>
        <w:spacing w:after="0" w:line="480" w:lineRule="auto"/>
        <w:jc w:val="both"/>
        <w:rPr>
          <w:rFonts w:ascii="Arial" w:hAnsi="Arial" w:cs="Arial"/>
          <w:sz w:val="24"/>
          <w:szCs w:val="24"/>
        </w:rPr>
      </w:pPr>
      <w:r>
        <w:rPr>
          <w:rFonts w:ascii="Arial" w:hAnsi="Arial" w:cs="Arial"/>
          <w:sz w:val="24"/>
          <w:szCs w:val="24"/>
        </w:rPr>
        <w:t>[8</w:t>
      </w:r>
      <w:r w:rsidR="001A0DD0">
        <w:rPr>
          <w:rFonts w:ascii="Arial" w:hAnsi="Arial" w:cs="Arial"/>
          <w:sz w:val="24"/>
          <w:szCs w:val="24"/>
        </w:rPr>
        <w:t>]</w:t>
      </w:r>
      <w:r w:rsidR="001A0DD0">
        <w:rPr>
          <w:rFonts w:ascii="Arial" w:hAnsi="Arial" w:cs="Arial"/>
          <w:sz w:val="24"/>
          <w:szCs w:val="24"/>
        </w:rPr>
        <w:tab/>
      </w:r>
      <w:r w:rsidR="00CB1BB3">
        <w:rPr>
          <w:rFonts w:ascii="Arial" w:hAnsi="Arial" w:cs="Arial"/>
          <w:sz w:val="24"/>
          <w:szCs w:val="24"/>
        </w:rPr>
        <w:t xml:space="preserve">The respondent </w:t>
      </w:r>
      <w:r w:rsidR="00066E82">
        <w:rPr>
          <w:rFonts w:ascii="Arial" w:hAnsi="Arial" w:cs="Arial"/>
          <w:sz w:val="24"/>
          <w:szCs w:val="24"/>
        </w:rPr>
        <w:t xml:space="preserve">testified in the court </w:t>
      </w:r>
      <w:r w:rsidR="00066E82" w:rsidRPr="00066E82">
        <w:rPr>
          <w:rFonts w:ascii="Arial" w:hAnsi="Arial" w:cs="Arial"/>
          <w:i/>
          <w:sz w:val="24"/>
          <w:szCs w:val="24"/>
        </w:rPr>
        <w:t>a quo</w:t>
      </w:r>
      <w:r w:rsidR="00066E82">
        <w:rPr>
          <w:rFonts w:ascii="Arial" w:hAnsi="Arial" w:cs="Arial"/>
          <w:sz w:val="24"/>
          <w:szCs w:val="24"/>
        </w:rPr>
        <w:t xml:space="preserve"> </w:t>
      </w:r>
      <w:r w:rsidR="00800233">
        <w:rPr>
          <w:rFonts w:ascii="Arial" w:hAnsi="Arial" w:cs="Arial"/>
          <w:sz w:val="24"/>
          <w:szCs w:val="24"/>
        </w:rPr>
        <w:t>that she was</w:t>
      </w:r>
      <w:r w:rsidR="00CB1BB3">
        <w:rPr>
          <w:rFonts w:ascii="Arial" w:hAnsi="Arial" w:cs="Arial"/>
          <w:sz w:val="24"/>
          <w:szCs w:val="24"/>
        </w:rPr>
        <w:t xml:space="preserve"> not in the business of loaning people money. </w:t>
      </w:r>
      <w:r w:rsidR="00C0292C" w:rsidRPr="00C0292C">
        <w:rPr>
          <w:rFonts w:ascii="Arial" w:hAnsi="Arial" w:cs="Arial"/>
          <w:sz w:val="24"/>
          <w:szCs w:val="24"/>
        </w:rPr>
        <w:t>She testified that she had never before lent money to anybody else and only made this loan to the appellant because of the</w:t>
      </w:r>
      <w:r w:rsidR="00076A6A">
        <w:rPr>
          <w:rFonts w:ascii="Arial" w:hAnsi="Arial" w:cs="Arial"/>
          <w:sz w:val="24"/>
          <w:szCs w:val="24"/>
        </w:rPr>
        <w:t>ir</w:t>
      </w:r>
      <w:r w:rsidR="00C0292C" w:rsidRPr="00C0292C">
        <w:rPr>
          <w:rFonts w:ascii="Arial" w:hAnsi="Arial" w:cs="Arial"/>
          <w:sz w:val="24"/>
          <w:szCs w:val="24"/>
        </w:rPr>
        <w:t xml:space="preserve"> friendship</w:t>
      </w:r>
      <w:r w:rsidR="00076A6A">
        <w:rPr>
          <w:rFonts w:ascii="Arial" w:hAnsi="Arial" w:cs="Arial"/>
          <w:sz w:val="24"/>
          <w:szCs w:val="24"/>
        </w:rPr>
        <w:t>.</w:t>
      </w:r>
      <w:r w:rsidR="00CB1BB3">
        <w:rPr>
          <w:rFonts w:ascii="Arial" w:hAnsi="Arial" w:cs="Arial"/>
          <w:sz w:val="24"/>
          <w:szCs w:val="24"/>
        </w:rPr>
        <w:t xml:space="preserve"> She valued the friendship she had with the appellant</w:t>
      </w:r>
      <w:r w:rsidR="00C0292C">
        <w:rPr>
          <w:rFonts w:ascii="Arial" w:hAnsi="Arial" w:cs="Arial"/>
          <w:sz w:val="24"/>
          <w:szCs w:val="24"/>
        </w:rPr>
        <w:t>,</w:t>
      </w:r>
      <w:r w:rsidR="00CB1BB3">
        <w:rPr>
          <w:rFonts w:ascii="Arial" w:hAnsi="Arial" w:cs="Arial"/>
          <w:sz w:val="24"/>
          <w:szCs w:val="24"/>
        </w:rPr>
        <w:t xml:space="preserve"> and it is something that she would not do for anyone else. She would not even do it for all her friends. </w:t>
      </w:r>
      <w:r w:rsidR="00C0292C" w:rsidRPr="00C0292C">
        <w:rPr>
          <w:rFonts w:ascii="Arial" w:hAnsi="Arial" w:cs="Arial"/>
          <w:sz w:val="24"/>
          <w:szCs w:val="24"/>
        </w:rPr>
        <w:t>Her relat</w:t>
      </w:r>
      <w:r w:rsidR="00076A6A">
        <w:rPr>
          <w:rFonts w:ascii="Arial" w:hAnsi="Arial" w:cs="Arial"/>
          <w:sz w:val="24"/>
          <w:szCs w:val="24"/>
        </w:rPr>
        <w:t>ionship with the appellant was exceptional</w:t>
      </w:r>
      <w:r w:rsidR="00C0292C" w:rsidRPr="00C0292C">
        <w:rPr>
          <w:rFonts w:ascii="Arial" w:hAnsi="Arial" w:cs="Arial"/>
          <w:sz w:val="24"/>
          <w:szCs w:val="24"/>
        </w:rPr>
        <w:t xml:space="preserve">, and she thought it was the right thing to do. </w:t>
      </w:r>
    </w:p>
    <w:p w:rsidR="00644AD7" w:rsidRDefault="00644AD7" w:rsidP="00644AD7">
      <w:pPr>
        <w:spacing w:after="0" w:line="480" w:lineRule="auto"/>
        <w:jc w:val="both"/>
        <w:rPr>
          <w:rFonts w:ascii="Arial" w:hAnsi="Arial" w:cs="Arial"/>
          <w:sz w:val="24"/>
          <w:szCs w:val="24"/>
        </w:rPr>
      </w:pPr>
    </w:p>
    <w:p w:rsidR="00644AD7" w:rsidRDefault="00944AA3" w:rsidP="00644AD7">
      <w:pPr>
        <w:spacing w:after="0" w:line="480" w:lineRule="auto"/>
        <w:jc w:val="both"/>
        <w:rPr>
          <w:rFonts w:ascii="Arial" w:hAnsi="Arial" w:cs="Arial"/>
          <w:sz w:val="24"/>
          <w:szCs w:val="24"/>
        </w:rPr>
      </w:pPr>
      <w:r>
        <w:rPr>
          <w:rFonts w:ascii="Arial" w:hAnsi="Arial" w:cs="Arial"/>
          <w:sz w:val="24"/>
          <w:szCs w:val="24"/>
        </w:rPr>
        <w:t>[9</w:t>
      </w:r>
      <w:r w:rsidR="001A0DD0">
        <w:rPr>
          <w:rFonts w:ascii="Arial" w:hAnsi="Arial" w:cs="Arial"/>
          <w:sz w:val="24"/>
          <w:szCs w:val="24"/>
        </w:rPr>
        <w:t>]</w:t>
      </w:r>
      <w:r w:rsidR="001A0DD0">
        <w:rPr>
          <w:rFonts w:ascii="Arial" w:hAnsi="Arial" w:cs="Arial"/>
          <w:sz w:val="24"/>
          <w:szCs w:val="24"/>
        </w:rPr>
        <w:tab/>
      </w:r>
      <w:r w:rsidR="00FB5B6D">
        <w:rPr>
          <w:rFonts w:ascii="Arial" w:hAnsi="Arial" w:cs="Arial"/>
          <w:sz w:val="24"/>
          <w:szCs w:val="24"/>
        </w:rPr>
        <w:t xml:space="preserve">During the </w:t>
      </w:r>
      <w:r w:rsidR="008C00FF">
        <w:rPr>
          <w:rFonts w:ascii="Arial" w:hAnsi="Arial" w:cs="Arial"/>
          <w:sz w:val="24"/>
          <w:szCs w:val="24"/>
        </w:rPr>
        <w:t>business</w:t>
      </w:r>
      <w:r w:rsidR="00066E82">
        <w:rPr>
          <w:rFonts w:ascii="Arial" w:hAnsi="Arial" w:cs="Arial"/>
          <w:sz w:val="24"/>
          <w:szCs w:val="24"/>
        </w:rPr>
        <w:t xml:space="preserve"> operation</w:t>
      </w:r>
      <w:r w:rsidR="008C00FF">
        <w:rPr>
          <w:rFonts w:ascii="Arial" w:hAnsi="Arial" w:cs="Arial"/>
          <w:sz w:val="24"/>
          <w:szCs w:val="24"/>
        </w:rPr>
        <w:t>, the parties had to make another additional capital injection to the business</w:t>
      </w:r>
      <w:r w:rsidR="00C0292C">
        <w:rPr>
          <w:rFonts w:ascii="Arial" w:hAnsi="Arial" w:cs="Arial"/>
          <w:sz w:val="24"/>
          <w:szCs w:val="24"/>
        </w:rPr>
        <w:t>. T</w:t>
      </w:r>
      <w:r w:rsidR="008C00FF">
        <w:rPr>
          <w:rFonts w:ascii="Arial" w:hAnsi="Arial" w:cs="Arial"/>
          <w:sz w:val="24"/>
          <w:szCs w:val="24"/>
        </w:rPr>
        <w:t>he appellant paid the sum of R70 000 on behalf of the respondent</w:t>
      </w:r>
      <w:r w:rsidR="00C0292C">
        <w:rPr>
          <w:rFonts w:ascii="Arial" w:hAnsi="Arial" w:cs="Arial"/>
          <w:sz w:val="24"/>
          <w:szCs w:val="24"/>
        </w:rPr>
        <w:t>,</w:t>
      </w:r>
      <w:r w:rsidR="008C00FF">
        <w:rPr>
          <w:rFonts w:ascii="Arial" w:hAnsi="Arial" w:cs="Arial"/>
          <w:sz w:val="24"/>
          <w:szCs w:val="24"/>
        </w:rPr>
        <w:t xml:space="preserve"> thus reducing the loan amount from </w:t>
      </w:r>
      <w:r w:rsidR="005137D4">
        <w:rPr>
          <w:rFonts w:ascii="Arial" w:hAnsi="Arial" w:cs="Arial"/>
          <w:sz w:val="24"/>
          <w:szCs w:val="24"/>
        </w:rPr>
        <w:t>R</w:t>
      </w:r>
      <w:r w:rsidR="008C00FF">
        <w:rPr>
          <w:rFonts w:ascii="Arial" w:hAnsi="Arial" w:cs="Arial"/>
          <w:sz w:val="24"/>
          <w:szCs w:val="24"/>
        </w:rPr>
        <w:t>117 000 to R</w:t>
      </w:r>
      <w:r w:rsidR="00E13006">
        <w:rPr>
          <w:rFonts w:ascii="Arial" w:hAnsi="Arial" w:cs="Arial"/>
          <w:sz w:val="24"/>
          <w:szCs w:val="24"/>
        </w:rPr>
        <w:t>47</w:t>
      </w:r>
      <w:r w:rsidR="008C00FF">
        <w:rPr>
          <w:rFonts w:ascii="Arial" w:hAnsi="Arial" w:cs="Arial"/>
          <w:sz w:val="24"/>
          <w:szCs w:val="24"/>
        </w:rPr>
        <w:t xml:space="preserve"> 000. </w:t>
      </w:r>
      <w:r w:rsidR="00C0292C" w:rsidRPr="00C0292C">
        <w:rPr>
          <w:rFonts w:ascii="Arial" w:hAnsi="Arial" w:cs="Arial"/>
          <w:sz w:val="24"/>
          <w:szCs w:val="24"/>
        </w:rPr>
        <w:t xml:space="preserve">At the beginning of 2019, the respondent urgently needed to exit the business operation due to her </w:t>
      </w:r>
      <w:r w:rsidR="007C33A4">
        <w:rPr>
          <w:rFonts w:ascii="Arial" w:hAnsi="Arial" w:cs="Arial"/>
          <w:sz w:val="24"/>
          <w:szCs w:val="24"/>
        </w:rPr>
        <w:t xml:space="preserve">work </w:t>
      </w:r>
      <w:r w:rsidR="00C0292C" w:rsidRPr="00C0292C">
        <w:rPr>
          <w:rFonts w:ascii="Arial" w:hAnsi="Arial" w:cs="Arial"/>
          <w:sz w:val="24"/>
          <w:szCs w:val="24"/>
        </w:rPr>
        <w:t>commitments to Woolworths.</w:t>
      </w:r>
      <w:r w:rsidR="008C00FF">
        <w:rPr>
          <w:rFonts w:ascii="Arial" w:hAnsi="Arial" w:cs="Arial"/>
          <w:sz w:val="24"/>
          <w:szCs w:val="24"/>
        </w:rPr>
        <w:t xml:space="preserve"> </w:t>
      </w:r>
      <w:r w:rsidR="007241F0">
        <w:rPr>
          <w:rFonts w:ascii="Arial" w:hAnsi="Arial" w:cs="Arial"/>
          <w:sz w:val="24"/>
          <w:szCs w:val="24"/>
        </w:rPr>
        <w:t>The</w:t>
      </w:r>
      <w:r w:rsidR="008C00FF">
        <w:rPr>
          <w:rFonts w:ascii="Arial" w:hAnsi="Arial" w:cs="Arial"/>
          <w:sz w:val="24"/>
          <w:szCs w:val="24"/>
        </w:rPr>
        <w:t xml:space="preserve"> </w:t>
      </w:r>
      <w:r w:rsidR="0091073C">
        <w:rPr>
          <w:rFonts w:ascii="Arial" w:hAnsi="Arial" w:cs="Arial"/>
          <w:sz w:val="24"/>
          <w:szCs w:val="24"/>
        </w:rPr>
        <w:t xml:space="preserve">parties </w:t>
      </w:r>
      <w:r w:rsidR="008C00FF">
        <w:rPr>
          <w:rFonts w:ascii="Arial" w:hAnsi="Arial" w:cs="Arial"/>
          <w:sz w:val="24"/>
          <w:szCs w:val="24"/>
        </w:rPr>
        <w:t xml:space="preserve">agreed that </w:t>
      </w:r>
      <w:r w:rsidR="001D237E">
        <w:rPr>
          <w:rFonts w:ascii="Arial" w:hAnsi="Arial" w:cs="Arial"/>
          <w:sz w:val="24"/>
          <w:szCs w:val="24"/>
        </w:rPr>
        <w:t>they would get a valuation of</w:t>
      </w:r>
      <w:r w:rsidR="008C00FF">
        <w:rPr>
          <w:rFonts w:ascii="Arial" w:hAnsi="Arial" w:cs="Arial"/>
          <w:sz w:val="24"/>
          <w:szCs w:val="24"/>
        </w:rPr>
        <w:t xml:space="preserve"> </w:t>
      </w:r>
      <w:r w:rsidR="007241F0">
        <w:rPr>
          <w:rFonts w:ascii="Arial" w:hAnsi="Arial" w:cs="Arial"/>
          <w:sz w:val="24"/>
          <w:szCs w:val="24"/>
        </w:rPr>
        <w:t>the</w:t>
      </w:r>
      <w:r w:rsidR="008C00FF">
        <w:rPr>
          <w:rFonts w:ascii="Arial" w:hAnsi="Arial" w:cs="Arial"/>
          <w:sz w:val="24"/>
          <w:szCs w:val="24"/>
        </w:rPr>
        <w:t xml:space="preserve"> </w:t>
      </w:r>
      <w:r w:rsidR="007C33A4">
        <w:rPr>
          <w:rFonts w:ascii="Arial" w:hAnsi="Arial" w:cs="Arial"/>
          <w:sz w:val="24"/>
          <w:szCs w:val="24"/>
        </w:rPr>
        <w:t xml:space="preserve">respondent’s </w:t>
      </w:r>
      <w:r w:rsidR="008C00FF">
        <w:rPr>
          <w:rFonts w:ascii="Arial" w:hAnsi="Arial" w:cs="Arial"/>
          <w:sz w:val="24"/>
          <w:szCs w:val="24"/>
        </w:rPr>
        <w:t xml:space="preserve">shares to see </w:t>
      </w:r>
      <w:r w:rsidR="007241F0">
        <w:rPr>
          <w:rFonts w:ascii="Arial" w:hAnsi="Arial" w:cs="Arial"/>
          <w:sz w:val="24"/>
          <w:szCs w:val="24"/>
        </w:rPr>
        <w:t>how</w:t>
      </w:r>
      <w:r w:rsidR="008C00FF">
        <w:rPr>
          <w:rFonts w:ascii="Arial" w:hAnsi="Arial" w:cs="Arial"/>
          <w:sz w:val="24"/>
          <w:szCs w:val="24"/>
        </w:rPr>
        <w:t xml:space="preserve"> much </w:t>
      </w:r>
      <w:r w:rsidR="007241F0">
        <w:rPr>
          <w:rFonts w:ascii="Arial" w:hAnsi="Arial" w:cs="Arial"/>
          <w:sz w:val="24"/>
          <w:szCs w:val="24"/>
        </w:rPr>
        <w:t>they</w:t>
      </w:r>
      <w:r w:rsidR="008C00FF">
        <w:rPr>
          <w:rFonts w:ascii="Arial" w:hAnsi="Arial" w:cs="Arial"/>
          <w:sz w:val="24"/>
          <w:szCs w:val="24"/>
        </w:rPr>
        <w:t xml:space="preserve"> were worth</w:t>
      </w:r>
      <w:r w:rsidR="00E13006">
        <w:rPr>
          <w:rFonts w:ascii="Arial" w:hAnsi="Arial" w:cs="Arial"/>
          <w:sz w:val="24"/>
          <w:szCs w:val="24"/>
        </w:rPr>
        <w:t xml:space="preserve">. </w:t>
      </w:r>
      <w:r w:rsidR="00C0292C" w:rsidRPr="00C0292C">
        <w:rPr>
          <w:rFonts w:ascii="Arial" w:hAnsi="Arial" w:cs="Arial"/>
          <w:sz w:val="24"/>
          <w:szCs w:val="24"/>
        </w:rPr>
        <w:t>They decided they would get three valuations; one from the franchise Sorbet, one from their accountant, and one from an independent external party.</w:t>
      </w:r>
    </w:p>
    <w:p w:rsidR="00B07DDF" w:rsidRDefault="007241F0" w:rsidP="00644AD7">
      <w:pPr>
        <w:spacing w:after="0" w:line="480" w:lineRule="auto"/>
        <w:jc w:val="both"/>
        <w:rPr>
          <w:rFonts w:ascii="Arial" w:hAnsi="Arial" w:cs="Arial"/>
          <w:sz w:val="24"/>
          <w:szCs w:val="24"/>
        </w:rPr>
      </w:pPr>
      <w:r>
        <w:rPr>
          <w:rFonts w:ascii="Arial" w:hAnsi="Arial" w:cs="Arial"/>
          <w:sz w:val="24"/>
          <w:szCs w:val="24"/>
        </w:rPr>
        <w:t xml:space="preserve"> </w:t>
      </w:r>
    </w:p>
    <w:p w:rsidR="00644AD7" w:rsidRDefault="00944AA3" w:rsidP="00644AD7">
      <w:pPr>
        <w:spacing w:after="0" w:line="480" w:lineRule="auto"/>
        <w:jc w:val="both"/>
        <w:rPr>
          <w:rFonts w:ascii="Arial" w:hAnsi="Arial" w:cs="Arial"/>
          <w:sz w:val="24"/>
          <w:szCs w:val="24"/>
        </w:rPr>
      </w:pPr>
      <w:r>
        <w:rPr>
          <w:rFonts w:ascii="Arial" w:hAnsi="Arial" w:cs="Arial"/>
          <w:sz w:val="24"/>
          <w:szCs w:val="24"/>
        </w:rPr>
        <w:lastRenderedPageBreak/>
        <w:t>[10</w:t>
      </w:r>
      <w:r w:rsidR="001A0DD0">
        <w:rPr>
          <w:rFonts w:ascii="Arial" w:hAnsi="Arial" w:cs="Arial"/>
          <w:sz w:val="24"/>
          <w:szCs w:val="24"/>
        </w:rPr>
        <w:t>]</w:t>
      </w:r>
      <w:r w:rsidR="001A0DD0">
        <w:rPr>
          <w:rFonts w:ascii="Arial" w:hAnsi="Arial" w:cs="Arial"/>
          <w:sz w:val="24"/>
          <w:szCs w:val="24"/>
        </w:rPr>
        <w:tab/>
      </w:r>
      <w:r w:rsidR="007241F0">
        <w:rPr>
          <w:rFonts w:ascii="Arial" w:hAnsi="Arial" w:cs="Arial"/>
          <w:sz w:val="24"/>
          <w:szCs w:val="24"/>
        </w:rPr>
        <w:t xml:space="preserve">The </w:t>
      </w:r>
      <w:r w:rsidR="00B403D8">
        <w:rPr>
          <w:rFonts w:ascii="Arial" w:hAnsi="Arial" w:cs="Arial"/>
          <w:sz w:val="24"/>
          <w:szCs w:val="24"/>
        </w:rPr>
        <w:t>shareholding was valued</w:t>
      </w:r>
      <w:r w:rsidR="00C0292C">
        <w:rPr>
          <w:rFonts w:ascii="Arial" w:hAnsi="Arial" w:cs="Arial"/>
          <w:sz w:val="24"/>
          <w:szCs w:val="24"/>
        </w:rPr>
        <w:t>,</w:t>
      </w:r>
      <w:r w:rsidR="00B403D8">
        <w:rPr>
          <w:rFonts w:ascii="Arial" w:hAnsi="Arial" w:cs="Arial"/>
          <w:sz w:val="24"/>
          <w:szCs w:val="24"/>
        </w:rPr>
        <w:t xml:space="preserve"> and </w:t>
      </w:r>
      <w:r w:rsidR="00E13006">
        <w:rPr>
          <w:rFonts w:ascii="Arial" w:hAnsi="Arial" w:cs="Arial"/>
          <w:sz w:val="24"/>
          <w:szCs w:val="24"/>
        </w:rPr>
        <w:t>after s</w:t>
      </w:r>
      <w:r w:rsidR="00B403D8">
        <w:rPr>
          <w:rFonts w:ascii="Arial" w:hAnsi="Arial" w:cs="Arial"/>
          <w:sz w:val="24"/>
          <w:szCs w:val="24"/>
        </w:rPr>
        <w:t>everal email exchanges</w:t>
      </w:r>
      <w:r w:rsidR="00E13006">
        <w:rPr>
          <w:rFonts w:ascii="Arial" w:hAnsi="Arial" w:cs="Arial"/>
          <w:sz w:val="24"/>
          <w:szCs w:val="24"/>
        </w:rPr>
        <w:t>,</w:t>
      </w:r>
      <w:r w:rsidR="00B403D8">
        <w:rPr>
          <w:rFonts w:ascii="Arial" w:hAnsi="Arial" w:cs="Arial"/>
          <w:sz w:val="24"/>
          <w:szCs w:val="24"/>
        </w:rPr>
        <w:t xml:space="preserve"> the </w:t>
      </w:r>
      <w:r w:rsidR="007241F0">
        <w:rPr>
          <w:rFonts w:ascii="Arial" w:hAnsi="Arial" w:cs="Arial"/>
          <w:sz w:val="24"/>
          <w:szCs w:val="24"/>
        </w:rPr>
        <w:t xml:space="preserve">appellant eventually </w:t>
      </w:r>
      <w:r w:rsidR="00E13006">
        <w:rPr>
          <w:rFonts w:ascii="Arial" w:hAnsi="Arial" w:cs="Arial"/>
          <w:sz w:val="24"/>
          <w:szCs w:val="24"/>
        </w:rPr>
        <w:t>mad</w:t>
      </w:r>
      <w:r w:rsidR="007241F0">
        <w:rPr>
          <w:rFonts w:ascii="Arial" w:hAnsi="Arial" w:cs="Arial"/>
          <w:sz w:val="24"/>
          <w:szCs w:val="24"/>
        </w:rPr>
        <w:t>e an offer to the respondent</w:t>
      </w:r>
      <w:r w:rsidR="00B403D8">
        <w:rPr>
          <w:rFonts w:ascii="Arial" w:hAnsi="Arial" w:cs="Arial"/>
          <w:sz w:val="24"/>
          <w:szCs w:val="24"/>
        </w:rPr>
        <w:t>. On 12 February 2019</w:t>
      </w:r>
      <w:r w:rsidR="00680F4A">
        <w:rPr>
          <w:rFonts w:ascii="Arial" w:hAnsi="Arial" w:cs="Arial"/>
          <w:sz w:val="24"/>
          <w:szCs w:val="24"/>
        </w:rPr>
        <w:t>,</w:t>
      </w:r>
      <w:r w:rsidR="00B403D8">
        <w:rPr>
          <w:rFonts w:ascii="Arial" w:hAnsi="Arial" w:cs="Arial"/>
          <w:sz w:val="24"/>
          <w:szCs w:val="24"/>
        </w:rPr>
        <w:t xml:space="preserve"> </w:t>
      </w:r>
      <w:r w:rsidR="00680F4A">
        <w:rPr>
          <w:rFonts w:ascii="Arial" w:hAnsi="Arial" w:cs="Arial"/>
          <w:sz w:val="24"/>
          <w:szCs w:val="24"/>
        </w:rPr>
        <w:t xml:space="preserve">in an email addressed to the respondent, </w:t>
      </w:r>
      <w:r w:rsidR="00B403D8">
        <w:rPr>
          <w:rFonts w:ascii="Arial" w:hAnsi="Arial" w:cs="Arial"/>
          <w:sz w:val="24"/>
          <w:szCs w:val="24"/>
        </w:rPr>
        <w:t>t</w:t>
      </w:r>
      <w:r w:rsidR="00D470A7">
        <w:rPr>
          <w:rFonts w:ascii="Arial" w:hAnsi="Arial" w:cs="Arial"/>
          <w:sz w:val="24"/>
          <w:szCs w:val="24"/>
        </w:rPr>
        <w:t xml:space="preserve">he appellant </w:t>
      </w:r>
      <w:r w:rsidR="00B403D8">
        <w:rPr>
          <w:rFonts w:ascii="Arial" w:hAnsi="Arial" w:cs="Arial"/>
          <w:sz w:val="24"/>
          <w:szCs w:val="24"/>
        </w:rPr>
        <w:t>made the fol</w:t>
      </w:r>
      <w:r w:rsidR="00680F4A">
        <w:rPr>
          <w:rFonts w:ascii="Arial" w:hAnsi="Arial" w:cs="Arial"/>
          <w:sz w:val="24"/>
          <w:szCs w:val="24"/>
        </w:rPr>
        <w:t xml:space="preserve">lowing offer: </w:t>
      </w:r>
      <w:r w:rsidR="007C33A4">
        <w:rPr>
          <w:rFonts w:ascii="Arial" w:hAnsi="Arial" w:cs="Arial"/>
          <w:sz w:val="24"/>
          <w:szCs w:val="24"/>
        </w:rPr>
        <w:t>‘</w:t>
      </w:r>
      <w:r w:rsidR="00680F4A">
        <w:rPr>
          <w:rFonts w:ascii="Arial" w:hAnsi="Arial" w:cs="Arial"/>
          <w:sz w:val="24"/>
          <w:szCs w:val="24"/>
        </w:rPr>
        <w:t>My full and final offer is R672 500 for all outstanding loans and your 35 percent share</w:t>
      </w:r>
      <w:r w:rsidR="007C33A4">
        <w:rPr>
          <w:rFonts w:ascii="Arial" w:hAnsi="Arial" w:cs="Arial"/>
          <w:sz w:val="24"/>
          <w:szCs w:val="24"/>
        </w:rPr>
        <w:t>holding in Kandy &amp; Co (Pty) Ltd’</w:t>
      </w:r>
      <w:r w:rsidR="00680F4A">
        <w:rPr>
          <w:rFonts w:ascii="Arial" w:hAnsi="Arial" w:cs="Arial"/>
          <w:sz w:val="24"/>
          <w:szCs w:val="24"/>
        </w:rPr>
        <w:t xml:space="preserve">. The appellant also noted that this is her full and final offer of what she is prepared to pay the respondent. The appellant </w:t>
      </w:r>
      <w:r w:rsidR="007C33A4">
        <w:rPr>
          <w:rFonts w:ascii="Arial" w:hAnsi="Arial" w:cs="Arial"/>
          <w:sz w:val="24"/>
          <w:szCs w:val="24"/>
        </w:rPr>
        <w:t xml:space="preserve">agreed </w:t>
      </w:r>
      <w:r w:rsidR="00680F4A">
        <w:rPr>
          <w:rFonts w:ascii="Arial" w:hAnsi="Arial" w:cs="Arial"/>
          <w:sz w:val="24"/>
          <w:szCs w:val="24"/>
        </w:rPr>
        <w:t xml:space="preserve">to </w:t>
      </w:r>
      <w:r w:rsidR="00D470A7">
        <w:rPr>
          <w:rFonts w:ascii="Arial" w:hAnsi="Arial" w:cs="Arial"/>
          <w:sz w:val="24"/>
          <w:szCs w:val="24"/>
        </w:rPr>
        <w:t>pay th</w:t>
      </w:r>
      <w:r w:rsidR="00B403D8">
        <w:rPr>
          <w:rFonts w:ascii="Arial" w:hAnsi="Arial" w:cs="Arial"/>
          <w:sz w:val="24"/>
          <w:szCs w:val="24"/>
        </w:rPr>
        <w:t>is amount as follows: R100 000 within seven day</w:t>
      </w:r>
      <w:r w:rsidR="00C0292C">
        <w:rPr>
          <w:rFonts w:ascii="Arial" w:hAnsi="Arial" w:cs="Arial"/>
          <w:sz w:val="24"/>
          <w:szCs w:val="24"/>
        </w:rPr>
        <w:t>s</w:t>
      </w:r>
      <w:r w:rsidR="00B403D8">
        <w:rPr>
          <w:rFonts w:ascii="Arial" w:hAnsi="Arial" w:cs="Arial"/>
          <w:sz w:val="24"/>
          <w:szCs w:val="24"/>
        </w:rPr>
        <w:t xml:space="preserve"> of</w:t>
      </w:r>
      <w:r w:rsidR="001D237E">
        <w:rPr>
          <w:rFonts w:ascii="Arial" w:hAnsi="Arial" w:cs="Arial"/>
          <w:sz w:val="24"/>
          <w:szCs w:val="24"/>
        </w:rPr>
        <w:t xml:space="preserve"> the</w:t>
      </w:r>
      <w:r w:rsidR="00B403D8">
        <w:rPr>
          <w:rFonts w:ascii="Arial" w:hAnsi="Arial" w:cs="Arial"/>
          <w:sz w:val="24"/>
          <w:szCs w:val="24"/>
        </w:rPr>
        <w:t xml:space="preserve"> signature of the agreement and</w:t>
      </w:r>
      <w:r w:rsidR="00C0292C">
        <w:rPr>
          <w:rFonts w:ascii="Arial" w:hAnsi="Arial" w:cs="Arial"/>
          <w:sz w:val="24"/>
          <w:szCs w:val="24"/>
        </w:rPr>
        <w:t>,</w:t>
      </w:r>
      <w:r w:rsidR="00B403D8">
        <w:rPr>
          <w:rFonts w:ascii="Arial" w:hAnsi="Arial" w:cs="Arial"/>
          <w:sz w:val="24"/>
          <w:szCs w:val="24"/>
        </w:rPr>
        <w:t xml:space="preserve"> thereafter, a minimum of R23 854 per month for 24 consecutive months on the first of every month commencing on 01 April 2019. </w:t>
      </w:r>
    </w:p>
    <w:p w:rsidR="007241F0" w:rsidRDefault="00D470A7" w:rsidP="00644AD7">
      <w:pPr>
        <w:spacing w:after="0" w:line="480" w:lineRule="auto"/>
        <w:jc w:val="both"/>
        <w:rPr>
          <w:rFonts w:ascii="Arial" w:hAnsi="Arial" w:cs="Arial"/>
          <w:sz w:val="24"/>
          <w:szCs w:val="24"/>
        </w:rPr>
      </w:pPr>
      <w:r>
        <w:rPr>
          <w:rFonts w:ascii="Arial" w:hAnsi="Arial" w:cs="Arial"/>
          <w:sz w:val="24"/>
          <w:szCs w:val="24"/>
        </w:rPr>
        <w:t xml:space="preserve"> </w:t>
      </w:r>
    </w:p>
    <w:p w:rsidR="003B659B" w:rsidRDefault="00944AA3" w:rsidP="00644AD7">
      <w:pPr>
        <w:spacing w:after="0" w:line="480" w:lineRule="auto"/>
        <w:jc w:val="both"/>
        <w:rPr>
          <w:rFonts w:ascii="Arial" w:hAnsi="Arial" w:cs="Arial"/>
          <w:sz w:val="24"/>
          <w:szCs w:val="24"/>
        </w:rPr>
      </w:pPr>
      <w:r>
        <w:rPr>
          <w:rFonts w:ascii="Arial" w:hAnsi="Arial" w:cs="Arial"/>
          <w:sz w:val="24"/>
          <w:szCs w:val="24"/>
        </w:rPr>
        <w:t>[11</w:t>
      </w:r>
      <w:r w:rsidR="001A0DD0">
        <w:rPr>
          <w:rFonts w:ascii="Arial" w:hAnsi="Arial" w:cs="Arial"/>
          <w:sz w:val="24"/>
          <w:szCs w:val="24"/>
        </w:rPr>
        <w:t>]</w:t>
      </w:r>
      <w:r w:rsidR="001A0DD0">
        <w:rPr>
          <w:rFonts w:ascii="Arial" w:hAnsi="Arial" w:cs="Arial"/>
          <w:sz w:val="24"/>
          <w:szCs w:val="24"/>
        </w:rPr>
        <w:tab/>
      </w:r>
      <w:r w:rsidR="00C0292C">
        <w:rPr>
          <w:rFonts w:ascii="Arial" w:hAnsi="Arial" w:cs="Arial"/>
          <w:sz w:val="24"/>
          <w:szCs w:val="24"/>
        </w:rPr>
        <w:t xml:space="preserve">Attached to that email </w:t>
      </w:r>
      <w:r w:rsidR="00680F4A">
        <w:rPr>
          <w:rFonts w:ascii="Arial" w:hAnsi="Arial" w:cs="Arial"/>
          <w:sz w:val="24"/>
          <w:szCs w:val="24"/>
        </w:rPr>
        <w:t xml:space="preserve">was a draft sale agreement of the </w:t>
      </w:r>
      <w:r w:rsidR="007C33A4">
        <w:rPr>
          <w:rFonts w:ascii="Arial" w:hAnsi="Arial" w:cs="Arial"/>
          <w:sz w:val="24"/>
          <w:szCs w:val="24"/>
        </w:rPr>
        <w:t xml:space="preserve">respondent’s </w:t>
      </w:r>
      <w:r w:rsidR="00680F4A">
        <w:rPr>
          <w:rFonts w:ascii="Arial" w:hAnsi="Arial" w:cs="Arial"/>
          <w:sz w:val="24"/>
          <w:szCs w:val="24"/>
        </w:rPr>
        <w:t>shares</w:t>
      </w:r>
      <w:r w:rsidR="007C33A4">
        <w:rPr>
          <w:rFonts w:ascii="Arial" w:hAnsi="Arial" w:cs="Arial"/>
          <w:sz w:val="24"/>
          <w:szCs w:val="24"/>
        </w:rPr>
        <w:t xml:space="preserve"> to the </w:t>
      </w:r>
      <w:r w:rsidR="005137D4">
        <w:rPr>
          <w:rFonts w:ascii="Arial" w:hAnsi="Arial" w:cs="Arial"/>
          <w:sz w:val="24"/>
          <w:szCs w:val="24"/>
        </w:rPr>
        <w:t xml:space="preserve">appellant </w:t>
      </w:r>
      <w:r w:rsidR="00C0292C">
        <w:rPr>
          <w:rFonts w:ascii="Arial" w:hAnsi="Arial" w:cs="Arial"/>
          <w:sz w:val="24"/>
          <w:szCs w:val="24"/>
        </w:rPr>
        <w:t xml:space="preserve">and </w:t>
      </w:r>
      <w:r w:rsidR="00680F4A">
        <w:rPr>
          <w:rFonts w:ascii="Arial" w:hAnsi="Arial" w:cs="Arial"/>
          <w:sz w:val="24"/>
          <w:szCs w:val="24"/>
        </w:rPr>
        <w:t xml:space="preserve">a resolution </w:t>
      </w:r>
      <w:r w:rsidR="00F05E94">
        <w:rPr>
          <w:rFonts w:ascii="Arial" w:hAnsi="Arial" w:cs="Arial"/>
          <w:sz w:val="24"/>
          <w:szCs w:val="24"/>
        </w:rPr>
        <w:t xml:space="preserve">for the respondent </w:t>
      </w:r>
      <w:r w:rsidR="00680F4A">
        <w:rPr>
          <w:rFonts w:ascii="Arial" w:hAnsi="Arial" w:cs="Arial"/>
          <w:sz w:val="24"/>
          <w:szCs w:val="24"/>
        </w:rPr>
        <w:t>to resign as a director</w:t>
      </w:r>
      <w:r w:rsidR="0091073C">
        <w:rPr>
          <w:rFonts w:ascii="Arial" w:hAnsi="Arial" w:cs="Arial"/>
          <w:sz w:val="24"/>
          <w:szCs w:val="24"/>
        </w:rPr>
        <w:t xml:space="preserve">. The two documents were attached </w:t>
      </w:r>
      <w:r w:rsidR="00680F4A">
        <w:rPr>
          <w:rFonts w:ascii="Arial" w:hAnsi="Arial" w:cs="Arial"/>
          <w:sz w:val="24"/>
          <w:szCs w:val="24"/>
        </w:rPr>
        <w:t xml:space="preserve">for the respondent’s signature. </w:t>
      </w:r>
      <w:r w:rsidR="00AB3BAC">
        <w:rPr>
          <w:rFonts w:ascii="Arial" w:hAnsi="Arial" w:cs="Arial"/>
          <w:sz w:val="24"/>
          <w:szCs w:val="24"/>
        </w:rPr>
        <w:t xml:space="preserve">The </w:t>
      </w:r>
      <w:r w:rsidR="007C33A4">
        <w:rPr>
          <w:rFonts w:ascii="Arial" w:hAnsi="Arial" w:cs="Arial"/>
          <w:sz w:val="24"/>
          <w:szCs w:val="24"/>
        </w:rPr>
        <w:t xml:space="preserve">attached </w:t>
      </w:r>
      <w:r w:rsidR="00AB3BAC">
        <w:rPr>
          <w:rFonts w:ascii="Arial" w:hAnsi="Arial" w:cs="Arial"/>
          <w:sz w:val="24"/>
          <w:szCs w:val="24"/>
        </w:rPr>
        <w:t xml:space="preserve">sale </w:t>
      </w:r>
      <w:r w:rsidR="007C33A4">
        <w:rPr>
          <w:rFonts w:ascii="Arial" w:hAnsi="Arial" w:cs="Arial"/>
          <w:sz w:val="24"/>
          <w:szCs w:val="24"/>
        </w:rPr>
        <w:t xml:space="preserve">of shares </w:t>
      </w:r>
      <w:r w:rsidR="00AB3BAC">
        <w:rPr>
          <w:rFonts w:ascii="Arial" w:hAnsi="Arial" w:cs="Arial"/>
          <w:sz w:val="24"/>
          <w:szCs w:val="24"/>
        </w:rPr>
        <w:t xml:space="preserve">agreement </w:t>
      </w:r>
      <w:r w:rsidR="00173E29">
        <w:rPr>
          <w:rFonts w:ascii="Arial" w:hAnsi="Arial" w:cs="Arial"/>
          <w:sz w:val="24"/>
          <w:szCs w:val="24"/>
        </w:rPr>
        <w:t xml:space="preserve">did not refer </w:t>
      </w:r>
      <w:r w:rsidR="00AB3BAC">
        <w:rPr>
          <w:rFonts w:ascii="Arial" w:hAnsi="Arial" w:cs="Arial"/>
          <w:sz w:val="24"/>
          <w:szCs w:val="24"/>
        </w:rPr>
        <w:t xml:space="preserve">to the settlement of any loans. </w:t>
      </w:r>
      <w:r w:rsidR="00680F4A">
        <w:rPr>
          <w:rFonts w:ascii="Arial" w:hAnsi="Arial" w:cs="Arial"/>
          <w:sz w:val="24"/>
          <w:szCs w:val="24"/>
        </w:rPr>
        <w:t xml:space="preserve">The appellant informed the respondent that </w:t>
      </w:r>
      <w:r w:rsidR="00760A77">
        <w:rPr>
          <w:rFonts w:ascii="Arial" w:hAnsi="Arial" w:cs="Arial"/>
          <w:sz w:val="24"/>
          <w:szCs w:val="24"/>
        </w:rPr>
        <w:t>there was nothing more she could offer</w:t>
      </w:r>
      <w:r w:rsidR="00173E29">
        <w:rPr>
          <w:rFonts w:ascii="Arial" w:hAnsi="Arial" w:cs="Arial"/>
          <w:sz w:val="24"/>
          <w:szCs w:val="24"/>
        </w:rPr>
        <w:t>,</w:t>
      </w:r>
      <w:r w:rsidR="00760A77">
        <w:rPr>
          <w:rFonts w:ascii="Arial" w:hAnsi="Arial" w:cs="Arial"/>
          <w:sz w:val="24"/>
          <w:szCs w:val="24"/>
        </w:rPr>
        <w:t xml:space="preserve"> and </w:t>
      </w:r>
      <w:r w:rsidR="00680F4A">
        <w:rPr>
          <w:rFonts w:ascii="Arial" w:hAnsi="Arial" w:cs="Arial"/>
          <w:sz w:val="24"/>
          <w:szCs w:val="24"/>
        </w:rPr>
        <w:t xml:space="preserve">should </w:t>
      </w:r>
      <w:r w:rsidR="00760A77">
        <w:rPr>
          <w:rFonts w:ascii="Arial" w:hAnsi="Arial" w:cs="Arial"/>
          <w:sz w:val="24"/>
          <w:szCs w:val="24"/>
        </w:rPr>
        <w:t xml:space="preserve">the respondent not accept her offer, she would have </w:t>
      </w:r>
      <w:r w:rsidR="00173E29">
        <w:rPr>
          <w:rFonts w:ascii="Arial" w:hAnsi="Arial" w:cs="Arial"/>
          <w:sz w:val="24"/>
          <w:szCs w:val="24"/>
        </w:rPr>
        <w:t>to wait until the appellant sold</w:t>
      </w:r>
      <w:r w:rsidR="00760A77">
        <w:rPr>
          <w:rFonts w:ascii="Arial" w:hAnsi="Arial" w:cs="Arial"/>
          <w:sz w:val="24"/>
          <w:szCs w:val="24"/>
        </w:rPr>
        <w:t xml:space="preserve"> the business </w:t>
      </w:r>
      <w:r w:rsidR="0091073C">
        <w:rPr>
          <w:rFonts w:ascii="Arial" w:hAnsi="Arial" w:cs="Arial"/>
          <w:sz w:val="24"/>
          <w:szCs w:val="24"/>
        </w:rPr>
        <w:t xml:space="preserve">in </w:t>
      </w:r>
      <w:r w:rsidR="00760A77">
        <w:rPr>
          <w:rFonts w:ascii="Arial" w:hAnsi="Arial" w:cs="Arial"/>
          <w:sz w:val="24"/>
          <w:szCs w:val="24"/>
        </w:rPr>
        <w:t>two to three years</w:t>
      </w:r>
      <w:r w:rsidR="00173E29">
        <w:rPr>
          <w:rFonts w:ascii="Arial" w:hAnsi="Arial" w:cs="Arial"/>
          <w:sz w:val="24"/>
          <w:szCs w:val="24"/>
        </w:rPr>
        <w:t>,</w:t>
      </w:r>
      <w:r w:rsidR="00760A77">
        <w:rPr>
          <w:rFonts w:ascii="Arial" w:hAnsi="Arial" w:cs="Arial"/>
          <w:sz w:val="24"/>
          <w:szCs w:val="24"/>
        </w:rPr>
        <w:t xml:space="preserve"> and this</w:t>
      </w:r>
      <w:r w:rsidR="0091073C">
        <w:rPr>
          <w:rFonts w:ascii="Arial" w:hAnsi="Arial" w:cs="Arial"/>
          <w:sz w:val="24"/>
          <w:szCs w:val="24"/>
        </w:rPr>
        <w:t xml:space="preserve"> would mean</w:t>
      </w:r>
      <w:r w:rsidR="00760A77">
        <w:rPr>
          <w:rFonts w:ascii="Arial" w:hAnsi="Arial" w:cs="Arial"/>
          <w:sz w:val="24"/>
          <w:szCs w:val="24"/>
        </w:rPr>
        <w:t xml:space="preserve"> that the respondent would still be obliged to meet the requirements from the franchisor as a shareholder and to mee</w:t>
      </w:r>
      <w:r w:rsidR="007C33A4">
        <w:rPr>
          <w:rFonts w:ascii="Arial" w:hAnsi="Arial" w:cs="Arial"/>
          <w:sz w:val="24"/>
          <w:szCs w:val="24"/>
        </w:rPr>
        <w:t xml:space="preserve">t all the operating </w:t>
      </w:r>
      <w:r w:rsidR="001D237E">
        <w:rPr>
          <w:rFonts w:ascii="Arial" w:hAnsi="Arial" w:cs="Arial"/>
          <w:sz w:val="24"/>
          <w:szCs w:val="24"/>
        </w:rPr>
        <w:t xml:space="preserve">requirements. </w:t>
      </w:r>
    </w:p>
    <w:p w:rsidR="00644AD7" w:rsidRDefault="00644AD7" w:rsidP="00644AD7">
      <w:pPr>
        <w:spacing w:after="0" w:line="480" w:lineRule="auto"/>
        <w:jc w:val="both"/>
        <w:rPr>
          <w:rFonts w:ascii="Arial" w:hAnsi="Arial" w:cs="Arial"/>
          <w:sz w:val="24"/>
          <w:szCs w:val="24"/>
        </w:rPr>
      </w:pPr>
    </w:p>
    <w:p w:rsidR="00944AA3" w:rsidRDefault="00944AA3" w:rsidP="00644AD7">
      <w:pPr>
        <w:spacing w:after="0" w:line="480" w:lineRule="auto"/>
        <w:jc w:val="both"/>
        <w:rPr>
          <w:rFonts w:ascii="Arial" w:hAnsi="Arial" w:cs="Arial"/>
          <w:sz w:val="24"/>
          <w:szCs w:val="24"/>
        </w:rPr>
      </w:pPr>
      <w:r>
        <w:rPr>
          <w:rFonts w:ascii="Arial" w:hAnsi="Arial" w:cs="Arial"/>
          <w:sz w:val="24"/>
          <w:szCs w:val="24"/>
        </w:rPr>
        <w:t>[12</w:t>
      </w:r>
      <w:r w:rsidR="003B659B">
        <w:rPr>
          <w:rFonts w:ascii="Arial" w:hAnsi="Arial" w:cs="Arial"/>
          <w:sz w:val="24"/>
          <w:szCs w:val="24"/>
        </w:rPr>
        <w:t>]</w:t>
      </w:r>
      <w:r w:rsidR="003B659B">
        <w:rPr>
          <w:rFonts w:ascii="Arial" w:hAnsi="Arial" w:cs="Arial"/>
          <w:sz w:val="24"/>
          <w:szCs w:val="24"/>
        </w:rPr>
        <w:tab/>
      </w:r>
      <w:r w:rsidR="007252AC">
        <w:rPr>
          <w:rFonts w:ascii="Arial" w:hAnsi="Arial" w:cs="Arial"/>
          <w:sz w:val="24"/>
          <w:szCs w:val="24"/>
        </w:rPr>
        <w:t>On 13 February 2019, the respondent email</w:t>
      </w:r>
      <w:r w:rsidR="00AB3BAC">
        <w:rPr>
          <w:rFonts w:ascii="Arial" w:hAnsi="Arial" w:cs="Arial"/>
          <w:sz w:val="24"/>
          <w:szCs w:val="24"/>
        </w:rPr>
        <w:t>ed</w:t>
      </w:r>
      <w:r w:rsidR="007252AC">
        <w:rPr>
          <w:rFonts w:ascii="Arial" w:hAnsi="Arial" w:cs="Arial"/>
          <w:sz w:val="24"/>
          <w:szCs w:val="24"/>
        </w:rPr>
        <w:t xml:space="preserve"> correspondence to the appellant</w:t>
      </w:r>
      <w:r w:rsidR="00173E29">
        <w:rPr>
          <w:rFonts w:ascii="Arial" w:hAnsi="Arial" w:cs="Arial"/>
          <w:sz w:val="24"/>
          <w:szCs w:val="24"/>
        </w:rPr>
        <w:t>. I</w:t>
      </w:r>
      <w:r w:rsidR="007252AC">
        <w:rPr>
          <w:rFonts w:ascii="Arial" w:hAnsi="Arial" w:cs="Arial"/>
          <w:sz w:val="24"/>
          <w:szCs w:val="24"/>
        </w:rPr>
        <w:t>n it</w:t>
      </w:r>
      <w:r w:rsidR="00AB3BAC">
        <w:rPr>
          <w:rFonts w:ascii="Arial" w:hAnsi="Arial" w:cs="Arial"/>
          <w:sz w:val="24"/>
          <w:szCs w:val="24"/>
        </w:rPr>
        <w:t>,</w:t>
      </w:r>
      <w:r w:rsidR="007252AC">
        <w:rPr>
          <w:rFonts w:ascii="Arial" w:hAnsi="Arial" w:cs="Arial"/>
          <w:sz w:val="24"/>
          <w:szCs w:val="24"/>
        </w:rPr>
        <w:t xml:space="preserve"> the respondent stated</w:t>
      </w:r>
      <w:r w:rsidR="00173E29">
        <w:rPr>
          <w:rFonts w:ascii="Arial" w:hAnsi="Arial" w:cs="Arial"/>
          <w:sz w:val="24"/>
          <w:szCs w:val="24"/>
        </w:rPr>
        <w:t>,</w:t>
      </w:r>
      <w:r w:rsidR="007252AC">
        <w:rPr>
          <w:rFonts w:ascii="Arial" w:hAnsi="Arial" w:cs="Arial"/>
          <w:sz w:val="24"/>
          <w:szCs w:val="24"/>
        </w:rPr>
        <w:t xml:space="preserve"> among other things</w:t>
      </w:r>
      <w:r w:rsidR="00173E29">
        <w:rPr>
          <w:rFonts w:ascii="Arial" w:hAnsi="Arial" w:cs="Arial"/>
          <w:sz w:val="24"/>
          <w:szCs w:val="24"/>
        </w:rPr>
        <w:t>,</w:t>
      </w:r>
      <w:r w:rsidR="007252AC">
        <w:rPr>
          <w:rFonts w:ascii="Arial" w:hAnsi="Arial" w:cs="Arial"/>
          <w:sz w:val="24"/>
          <w:szCs w:val="24"/>
        </w:rPr>
        <w:t xml:space="preserve"> that, as far as she understood, her loan account with the company was settled. </w:t>
      </w:r>
      <w:r w:rsidR="0091073C">
        <w:rPr>
          <w:rFonts w:ascii="Arial" w:hAnsi="Arial" w:cs="Arial"/>
          <w:sz w:val="24"/>
          <w:szCs w:val="24"/>
        </w:rPr>
        <w:t xml:space="preserve">The respondent stated that </w:t>
      </w:r>
      <w:r w:rsidR="00AB3BAC">
        <w:rPr>
          <w:rFonts w:ascii="Arial" w:hAnsi="Arial" w:cs="Arial"/>
          <w:sz w:val="24"/>
          <w:szCs w:val="24"/>
        </w:rPr>
        <w:t xml:space="preserve">she has agreed to the amount of the respondent’s offer for </w:t>
      </w:r>
      <w:r w:rsidR="0091073C">
        <w:rPr>
          <w:rFonts w:ascii="Arial" w:hAnsi="Arial" w:cs="Arial"/>
          <w:sz w:val="24"/>
          <w:szCs w:val="24"/>
        </w:rPr>
        <w:t xml:space="preserve">her </w:t>
      </w:r>
      <w:r w:rsidR="00AB3BAC">
        <w:rPr>
          <w:rFonts w:ascii="Arial" w:hAnsi="Arial" w:cs="Arial"/>
          <w:sz w:val="24"/>
          <w:szCs w:val="24"/>
        </w:rPr>
        <w:t xml:space="preserve">shareholding. </w:t>
      </w:r>
      <w:r w:rsidR="00173E29" w:rsidRPr="00173E29">
        <w:rPr>
          <w:rFonts w:ascii="Arial" w:hAnsi="Arial" w:cs="Arial"/>
          <w:sz w:val="24"/>
          <w:szCs w:val="24"/>
        </w:rPr>
        <w:t xml:space="preserve">The respondent also stipulated in her email that she requested the appellant three times </w:t>
      </w:r>
      <w:r w:rsidR="00173E29" w:rsidRPr="00173E29">
        <w:rPr>
          <w:rFonts w:ascii="Arial" w:hAnsi="Arial" w:cs="Arial"/>
          <w:sz w:val="24"/>
          <w:szCs w:val="24"/>
        </w:rPr>
        <w:lastRenderedPageBreak/>
        <w:t xml:space="preserve">the </w:t>
      </w:r>
      <w:r w:rsidR="00173E29">
        <w:rPr>
          <w:rFonts w:ascii="Arial" w:hAnsi="Arial" w:cs="Arial"/>
          <w:sz w:val="24"/>
          <w:szCs w:val="24"/>
        </w:rPr>
        <w:t xml:space="preserve">balance of the </w:t>
      </w:r>
      <w:r w:rsidR="00173E29" w:rsidRPr="00173E29">
        <w:rPr>
          <w:rFonts w:ascii="Arial" w:hAnsi="Arial" w:cs="Arial"/>
          <w:sz w:val="24"/>
          <w:szCs w:val="24"/>
        </w:rPr>
        <w:t>loan amount (</w:t>
      </w:r>
      <w:r w:rsidR="007C33A4">
        <w:rPr>
          <w:rFonts w:ascii="Arial" w:hAnsi="Arial" w:cs="Arial"/>
          <w:sz w:val="24"/>
          <w:szCs w:val="24"/>
        </w:rPr>
        <w:t>‘</w:t>
      </w:r>
      <w:r w:rsidR="00173E29" w:rsidRPr="00173E29">
        <w:rPr>
          <w:rFonts w:ascii="Arial" w:hAnsi="Arial" w:cs="Arial"/>
          <w:sz w:val="24"/>
          <w:szCs w:val="24"/>
        </w:rPr>
        <w:t>R47</w:t>
      </w:r>
      <w:r w:rsidR="007C33A4">
        <w:rPr>
          <w:rFonts w:ascii="Arial" w:hAnsi="Arial" w:cs="Arial"/>
          <w:sz w:val="24"/>
          <w:szCs w:val="24"/>
        </w:rPr>
        <w:t xml:space="preserve"> </w:t>
      </w:r>
      <w:r w:rsidR="00173E29" w:rsidRPr="00173E29">
        <w:rPr>
          <w:rFonts w:ascii="Arial" w:hAnsi="Arial" w:cs="Arial"/>
          <w:sz w:val="24"/>
          <w:szCs w:val="24"/>
        </w:rPr>
        <w:t>000</w:t>
      </w:r>
      <w:r w:rsidR="007C33A4">
        <w:rPr>
          <w:rFonts w:ascii="Arial" w:hAnsi="Arial" w:cs="Arial"/>
          <w:sz w:val="24"/>
          <w:szCs w:val="24"/>
        </w:rPr>
        <w:t>’</w:t>
      </w:r>
      <w:r w:rsidR="00173E29" w:rsidRPr="00173E29">
        <w:rPr>
          <w:rFonts w:ascii="Arial" w:hAnsi="Arial" w:cs="Arial"/>
          <w:sz w:val="24"/>
          <w:szCs w:val="24"/>
        </w:rPr>
        <w:t>) between them. She was not sure why the appellant was not answering her on this.</w:t>
      </w:r>
      <w:r w:rsidR="0069549D">
        <w:rPr>
          <w:rFonts w:ascii="Arial" w:hAnsi="Arial" w:cs="Arial"/>
          <w:sz w:val="24"/>
          <w:szCs w:val="24"/>
        </w:rPr>
        <w:t xml:space="preserve"> The respondent requested the appellant to give her feedback on this so </w:t>
      </w:r>
      <w:r w:rsidR="00173E29">
        <w:rPr>
          <w:rFonts w:ascii="Arial" w:hAnsi="Arial" w:cs="Arial"/>
          <w:sz w:val="24"/>
          <w:szCs w:val="24"/>
        </w:rPr>
        <w:t xml:space="preserve">that </w:t>
      </w:r>
      <w:r w:rsidR="0069549D">
        <w:rPr>
          <w:rFonts w:ascii="Arial" w:hAnsi="Arial" w:cs="Arial"/>
          <w:sz w:val="24"/>
          <w:szCs w:val="24"/>
        </w:rPr>
        <w:t xml:space="preserve">she could plan ahead. In response, the appellant informed the respondent </w:t>
      </w:r>
      <w:r w:rsidR="0091073C">
        <w:rPr>
          <w:rFonts w:ascii="Arial" w:hAnsi="Arial" w:cs="Arial"/>
          <w:sz w:val="24"/>
          <w:szCs w:val="24"/>
        </w:rPr>
        <w:t xml:space="preserve">that </w:t>
      </w:r>
      <w:r w:rsidR="001D237E">
        <w:rPr>
          <w:rFonts w:ascii="Arial" w:hAnsi="Arial" w:cs="Arial"/>
          <w:sz w:val="24"/>
          <w:szCs w:val="24"/>
        </w:rPr>
        <w:t>there wa</w:t>
      </w:r>
      <w:r w:rsidR="0069549D">
        <w:rPr>
          <w:rFonts w:ascii="Arial" w:hAnsi="Arial" w:cs="Arial"/>
          <w:sz w:val="24"/>
          <w:szCs w:val="24"/>
        </w:rPr>
        <w:t>s a smaller amount due</w:t>
      </w:r>
      <w:r w:rsidR="00173E29">
        <w:rPr>
          <w:rFonts w:ascii="Arial" w:hAnsi="Arial" w:cs="Arial"/>
          <w:sz w:val="24"/>
          <w:szCs w:val="24"/>
        </w:rPr>
        <w:t>. However,</w:t>
      </w:r>
      <w:r w:rsidR="0069549D">
        <w:rPr>
          <w:rFonts w:ascii="Arial" w:hAnsi="Arial" w:cs="Arial"/>
          <w:sz w:val="24"/>
          <w:szCs w:val="24"/>
        </w:rPr>
        <w:t xml:space="preserve"> she will check the respondent’s loan account and revert.</w:t>
      </w:r>
    </w:p>
    <w:p w:rsidR="00680F4A" w:rsidRDefault="0069549D" w:rsidP="00644AD7">
      <w:pPr>
        <w:spacing w:after="0" w:line="480" w:lineRule="auto"/>
        <w:jc w:val="both"/>
        <w:rPr>
          <w:rFonts w:ascii="Arial" w:hAnsi="Arial" w:cs="Arial"/>
          <w:sz w:val="24"/>
          <w:szCs w:val="24"/>
        </w:rPr>
      </w:pPr>
      <w:r>
        <w:rPr>
          <w:rFonts w:ascii="Arial" w:hAnsi="Arial" w:cs="Arial"/>
          <w:sz w:val="24"/>
          <w:szCs w:val="24"/>
        </w:rPr>
        <w:t xml:space="preserve"> </w:t>
      </w:r>
    </w:p>
    <w:p w:rsidR="0002133D" w:rsidRDefault="00944AA3" w:rsidP="00644AD7">
      <w:pPr>
        <w:spacing w:after="0" w:line="480" w:lineRule="auto"/>
        <w:jc w:val="both"/>
        <w:rPr>
          <w:rFonts w:ascii="Arial" w:hAnsi="Arial" w:cs="Arial"/>
          <w:sz w:val="24"/>
          <w:szCs w:val="24"/>
        </w:rPr>
      </w:pPr>
      <w:r>
        <w:rPr>
          <w:rFonts w:ascii="Arial" w:hAnsi="Arial" w:cs="Arial"/>
          <w:sz w:val="24"/>
          <w:szCs w:val="24"/>
        </w:rPr>
        <w:t>[13</w:t>
      </w:r>
      <w:r w:rsidR="003B659B">
        <w:rPr>
          <w:rFonts w:ascii="Arial" w:hAnsi="Arial" w:cs="Arial"/>
          <w:sz w:val="24"/>
          <w:szCs w:val="24"/>
        </w:rPr>
        <w:t>]</w:t>
      </w:r>
      <w:r w:rsidR="003B659B">
        <w:rPr>
          <w:rFonts w:ascii="Arial" w:hAnsi="Arial" w:cs="Arial"/>
          <w:sz w:val="24"/>
          <w:szCs w:val="24"/>
        </w:rPr>
        <w:tab/>
      </w:r>
      <w:r w:rsidR="0002133D">
        <w:rPr>
          <w:rFonts w:ascii="Arial" w:hAnsi="Arial" w:cs="Arial"/>
          <w:sz w:val="24"/>
          <w:szCs w:val="24"/>
        </w:rPr>
        <w:t xml:space="preserve">On 15 February 2019, the respondent signed the sale of shares agreement and returned same to the appellant for signature. The appellant as well signed the agreement. It is worth </w:t>
      </w:r>
      <w:r w:rsidR="005137D4">
        <w:rPr>
          <w:rFonts w:ascii="Arial" w:hAnsi="Arial" w:cs="Arial"/>
          <w:sz w:val="24"/>
          <w:szCs w:val="24"/>
        </w:rPr>
        <w:t xml:space="preserve">repeating </w:t>
      </w:r>
      <w:r w:rsidR="0002133D">
        <w:rPr>
          <w:rFonts w:ascii="Arial" w:hAnsi="Arial" w:cs="Arial"/>
          <w:sz w:val="24"/>
          <w:szCs w:val="24"/>
        </w:rPr>
        <w:t>that the sale of shares agreement did not include the outstanding loans that the appellant referred to in her email attaching the agreement. O</w:t>
      </w:r>
      <w:r w:rsidR="00AB3BAC">
        <w:rPr>
          <w:rFonts w:ascii="Arial" w:hAnsi="Arial" w:cs="Arial"/>
          <w:sz w:val="24"/>
          <w:szCs w:val="24"/>
        </w:rPr>
        <w:t>n 21 February 201</w:t>
      </w:r>
      <w:r w:rsidR="005137D4">
        <w:rPr>
          <w:rFonts w:ascii="Arial" w:hAnsi="Arial" w:cs="Arial"/>
          <w:sz w:val="24"/>
          <w:szCs w:val="24"/>
        </w:rPr>
        <w:t>9</w:t>
      </w:r>
      <w:r w:rsidR="0091073C">
        <w:rPr>
          <w:rFonts w:ascii="Arial" w:hAnsi="Arial" w:cs="Arial"/>
          <w:sz w:val="24"/>
          <w:szCs w:val="24"/>
        </w:rPr>
        <w:t>,</w:t>
      </w:r>
      <w:r w:rsidR="00AB3BAC">
        <w:rPr>
          <w:rFonts w:ascii="Arial" w:hAnsi="Arial" w:cs="Arial"/>
          <w:sz w:val="24"/>
          <w:szCs w:val="24"/>
        </w:rPr>
        <w:t xml:space="preserve"> the respondent sent an email to the appellant in which she sought clarification regarding the R47 000 loan</w:t>
      </w:r>
      <w:r w:rsidR="009B74AB">
        <w:rPr>
          <w:rFonts w:ascii="Arial" w:hAnsi="Arial" w:cs="Arial"/>
          <w:sz w:val="24"/>
          <w:szCs w:val="24"/>
        </w:rPr>
        <w:t xml:space="preserve"> amount</w:t>
      </w:r>
      <w:r w:rsidR="00AB3BAC">
        <w:rPr>
          <w:rFonts w:ascii="Arial" w:hAnsi="Arial" w:cs="Arial"/>
          <w:sz w:val="24"/>
          <w:szCs w:val="24"/>
        </w:rPr>
        <w:t xml:space="preserve"> </w:t>
      </w:r>
      <w:r w:rsidR="009B74AB">
        <w:rPr>
          <w:rFonts w:ascii="Arial" w:hAnsi="Arial" w:cs="Arial"/>
          <w:sz w:val="24"/>
          <w:szCs w:val="24"/>
        </w:rPr>
        <w:t>that was still due and outstanding.</w:t>
      </w:r>
      <w:r w:rsidR="00AB3BAC">
        <w:rPr>
          <w:rFonts w:ascii="Arial" w:hAnsi="Arial" w:cs="Arial"/>
          <w:sz w:val="24"/>
          <w:szCs w:val="24"/>
        </w:rPr>
        <w:t xml:space="preserve"> </w:t>
      </w:r>
      <w:r w:rsidR="00FE4798">
        <w:rPr>
          <w:rFonts w:ascii="Arial" w:hAnsi="Arial" w:cs="Arial"/>
          <w:sz w:val="24"/>
          <w:szCs w:val="24"/>
        </w:rPr>
        <w:t xml:space="preserve">In that email, the respondent informed the appellant that all other loan accounts were paid except the personal loan that she made to the appellant. </w:t>
      </w:r>
      <w:r w:rsidR="008C46BD" w:rsidRPr="008C46BD">
        <w:rPr>
          <w:rFonts w:ascii="Arial" w:hAnsi="Arial" w:cs="Arial"/>
          <w:sz w:val="24"/>
          <w:szCs w:val="24"/>
        </w:rPr>
        <w:t>There was no response to this correspondence. On 08 March 2019, the respondent wrote a follow-up email to the appellant stating that a shortfall of R47 000 was still outstanding from the loan advanced to the appellant.</w:t>
      </w:r>
      <w:r w:rsidR="00F12E46">
        <w:rPr>
          <w:rFonts w:ascii="Arial" w:hAnsi="Arial" w:cs="Arial"/>
          <w:sz w:val="24"/>
          <w:szCs w:val="24"/>
        </w:rPr>
        <w:t xml:space="preserve"> </w:t>
      </w:r>
    </w:p>
    <w:p w:rsidR="00C878AB" w:rsidRDefault="00C878AB" w:rsidP="00644AD7">
      <w:pPr>
        <w:spacing w:after="0" w:line="480" w:lineRule="auto"/>
        <w:jc w:val="both"/>
        <w:rPr>
          <w:rFonts w:ascii="Arial" w:hAnsi="Arial" w:cs="Arial"/>
          <w:sz w:val="24"/>
          <w:szCs w:val="24"/>
        </w:rPr>
      </w:pPr>
    </w:p>
    <w:p w:rsidR="00F12E46" w:rsidRDefault="00944AA3" w:rsidP="00C878AB">
      <w:pPr>
        <w:spacing w:after="0" w:line="480" w:lineRule="auto"/>
        <w:jc w:val="both"/>
        <w:rPr>
          <w:rFonts w:ascii="Arial" w:hAnsi="Arial" w:cs="Arial"/>
          <w:sz w:val="24"/>
          <w:szCs w:val="24"/>
        </w:rPr>
      </w:pPr>
      <w:r>
        <w:rPr>
          <w:rFonts w:ascii="Arial" w:hAnsi="Arial" w:cs="Arial"/>
          <w:sz w:val="24"/>
          <w:szCs w:val="24"/>
        </w:rPr>
        <w:t>[14</w:t>
      </w:r>
      <w:r w:rsidR="003B659B">
        <w:rPr>
          <w:rFonts w:ascii="Arial" w:hAnsi="Arial" w:cs="Arial"/>
          <w:sz w:val="24"/>
          <w:szCs w:val="24"/>
        </w:rPr>
        <w:t>]</w:t>
      </w:r>
      <w:r w:rsidR="003B659B">
        <w:rPr>
          <w:rFonts w:ascii="Arial" w:hAnsi="Arial" w:cs="Arial"/>
          <w:sz w:val="24"/>
          <w:szCs w:val="24"/>
        </w:rPr>
        <w:tab/>
      </w:r>
      <w:r w:rsidR="00F12E46">
        <w:rPr>
          <w:rFonts w:ascii="Arial" w:hAnsi="Arial" w:cs="Arial"/>
          <w:sz w:val="24"/>
          <w:szCs w:val="24"/>
        </w:rPr>
        <w:t>In response, on 23 March 2</w:t>
      </w:r>
      <w:r w:rsidR="005137D4">
        <w:rPr>
          <w:rFonts w:ascii="Arial" w:hAnsi="Arial" w:cs="Arial"/>
          <w:sz w:val="24"/>
          <w:szCs w:val="24"/>
        </w:rPr>
        <w:t>0</w:t>
      </w:r>
      <w:r w:rsidR="00F12E46">
        <w:rPr>
          <w:rFonts w:ascii="Arial" w:hAnsi="Arial" w:cs="Arial"/>
          <w:sz w:val="24"/>
          <w:szCs w:val="24"/>
        </w:rPr>
        <w:t xml:space="preserve">19, the appellant informed the </w:t>
      </w:r>
      <w:r w:rsidR="009B74AB">
        <w:rPr>
          <w:rFonts w:ascii="Arial" w:hAnsi="Arial" w:cs="Arial"/>
          <w:sz w:val="24"/>
          <w:szCs w:val="24"/>
        </w:rPr>
        <w:t xml:space="preserve">respondent via </w:t>
      </w:r>
      <w:r w:rsidR="00F12E46">
        <w:rPr>
          <w:rFonts w:ascii="Arial" w:hAnsi="Arial" w:cs="Arial"/>
          <w:sz w:val="24"/>
          <w:szCs w:val="24"/>
        </w:rPr>
        <w:t xml:space="preserve">email that she was still waiting for the 2019 figures to be completed and signed off and that once </w:t>
      </w:r>
      <w:r w:rsidR="0091073C">
        <w:rPr>
          <w:rFonts w:ascii="Arial" w:hAnsi="Arial" w:cs="Arial"/>
          <w:sz w:val="24"/>
          <w:szCs w:val="24"/>
        </w:rPr>
        <w:t>that was</w:t>
      </w:r>
      <w:r w:rsidR="00F12E46">
        <w:rPr>
          <w:rFonts w:ascii="Arial" w:hAnsi="Arial" w:cs="Arial"/>
          <w:sz w:val="24"/>
          <w:szCs w:val="24"/>
        </w:rPr>
        <w:t xml:space="preserve"> done she would revert. </w:t>
      </w:r>
      <w:r w:rsidR="008C46BD" w:rsidRPr="008C46BD">
        <w:rPr>
          <w:rFonts w:ascii="Arial" w:hAnsi="Arial" w:cs="Arial"/>
          <w:sz w:val="24"/>
          <w:szCs w:val="24"/>
        </w:rPr>
        <w:t>However, on 02 June 2019, the appellant informed the respondent that her offer of 12 February 2019 included the personal loan settlement.</w:t>
      </w:r>
      <w:r w:rsidR="00F12E46">
        <w:rPr>
          <w:rFonts w:ascii="Arial" w:hAnsi="Arial" w:cs="Arial"/>
          <w:sz w:val="24"/>
          <w:szCs w:val="24"/>
        </w:rPr>
        <w:t xml:space="preserve"> </w:t>
      </w:r>
      <w:r w:rsidR="001A0DD0">
        <w:rPr>
          <w:rFonts w:ascii="Arial" w:hAnsi="Arial" w:cs="Arial"/>
          <w:sz w:val="24"/>
          <w:szCs w:val="24"/>
        </w:rPr>
        <w:t>She denied being indebted to the respondent for the sum of R47 00</w:t>
      </w:r>
      <w:r w:rsidR="008C46BD">
        <w:rPr>
          <w:rFonts w:ascii="Arial" w:hAnsi="Arial" w:cs="Arial"/>
          <w:sz w:val="24"/>
          <w:szCs w:val="24"/>
        </w:rPr>
        <w:t>0 or any sum of money</w:t>
      </w:r>
      <w:r w:rsidR="001A0DD0">
        <w:rPr>
          <w:rFonts w:ascii="Arial" w:hAnsi="Arial" w:cs="Arial"/>
          <w:sz w:val="24"/>
          <w:szCs w:val="24"/>
        </w:rPr>
        <w:t xml:space="preserve">. </w:t>
      </w:r>
    </w:p>
    <w:p w:rsidR="00C878AB" w:rsidRDefault="00C878AB" w:rsidP="00C878AB">
      <w:pPr>
        <w:spacing w:after="0" w:line="480" w:lineRule="auto"/>
        <w:jc w:val="both"/>
        <w:rPr>
          <w:rFonts w:ascii="Arial" w:hAnsi="Arial" w:cs="Arial"/>
          <w:sz w:val="24"/>
          <w:szCs w:val="24"/>
        </w:rPr>
      </w:pPr>
    </w:p>
    <w:p w:rsidR="001A0DD0" w:rsidRDefault="00C878AB" w:rsidP="00C878AB">
      <w:pPr>
        <w:spacing w:after="0" w:line="480" w:lineRule="auto"/>
        <w:jc w:val="both"/>
        <w:rPr>
          <w:rFonts w:ascii="Arial" w:hAnsi="Arial" w:cs="Arial"/>
          <w:sz w:val="24"/>
          <w:szCs w:val="24"/>
        </w:rPr>
      </w:pPr>
      <w:r>
        <w:rPr>
          <w:rFonts w:ascii="Arial" w:hAnsi="Arial" w:cs="Arial"/>
          <w:sz w:val="24"/>
          <w:szCs w:val="24"/>
        </w:rPr>
        <w:lastRenderedPageBreak/>
        <w:t>[1</w:t>
      </w:r>
      <w:r w:rsidR="00944AA3">
        <w:rPr>
          <w:rFonts w:ascii="Arial" w:hAnsi="Arial" w:cs="Arial"/>
          <w:sz w:val="24"/>
          <w:szCs w:val="24"/>
        </w:rPr>
        <w:t>5</w:t>
      </w:r>
      <w:r w:rsidR="003B659B">
        <w:rPr>
          <w:rFonts w:ascii="Arial" w:hAnsi="Arial" w:cs="Arial"/>
          <w:sz w:val="24"/>
          <w:szCs w:val="24"/>
        </w:rPr>
        <w:t>]</w:t>
      </w:r>
      <w:r w:rsidR="003B659B">
        <w:rPr>
          <w:rFonts w:ascii="Arial" w:hAnsi="Arial" w:cs="Arial"/>
          <w:sz w:val="24"/>
          <w:szCs w:val="24"/>
        </w:rPr>
        <w:tab/>
      </w:r>
      <w:r w:rsidR="007C33A4">
        <w:rPr>
          <w:rFonts w:ascii="Arial" w:hAnsi="Arial" w:cs="Arial"/>
          <w:sz w:val="24"/>
          <w:szCs w:val="24"/>
        </w:rPr>
        <w:t>Pursuant thereto</w:t>
      </w:r>
      <w:r w:rsidR="008C46BD" w:rsidRPr="008C46BD">
        <w:rPr>
          <w:rFonts w:ascii="Arial" w:hAnsi="Arial" w:cs="Arial"/>
          <w:sz w:val="24"/>
          <w:szCs w:val="24"/>
        </w:rPr>
        <w:t>, the respondent issued summons against the appellant and claimed payment of the loan balance in the sum of R47 000.</w:t>
      </w:r>
      <w:r w:rsidR="008C46BD">
        <w:rPr>
          <w:rFonts w:ascii="Arial" w:hAnsi="Arial" w:cs="Arial"/>
          <w:sz w:val="24"/>
          <w:szCs w:val="24"/>
        </w:rPr>
        <w:t xml:space="preserve"> </w:t>
      </w:r>
      <w:r w:rsidR="008C46BD" w:rsidRPr="008C46BD">
        <w:rPr>
          <w:rFonts w:ascii="Arial" w:hAnsi="Arial" w:cs="Arial"/>
          <w:sz w:val="24"/>
          <w:szCs w:val="24"/>
        </w:rPr>
        <w:t xml:space="preserve">On the other hand, the appellant defended the action and raised </w:t>
      </w:r>
      <w:r w:rsidR="005F7B2D">
        <w:rPr>
          <w:rFonts w:ascii="Arial" w:hAnsi="Arial" w:cs="Arial"/>
          <w:sz w:val="24"/>
          <w:szCs w:val="24"/>
        </w:rPr>
        <w:t xml:space="preserve">the </w:t>
      </w:r>
      <w:r w:rsidR="008C46BD" w:rsidRPr="008C46BD">
        <w:rPr>
          <w:rFonts w:ascii="Arial" w:hAnsi="Arial" w:cs="Arial"/>
          <w:sz w:val="24"/>
          <w:szCs w:val="24"/>
        </w:rPr>
        <w:t xml:space="preserve">two defences </w:t>
      </w:r>
      <w:r w:rsidR="005F7B2D">
        <w:rPr>
          <w:rFonts w:ascii="Arial" w:hAnsi="Arial" w:cs="Arial"/>
          <w:sz w:val="24"/>
          <w:szCs w:val="24"/>
        </w:rPr>
        <w:t xml:space="preserve">discussed above </w:t>
      </w:r>
      <w:r w:rsidR="008C46BD" w:rsidRPr="008C46BD">
        <w:rPr>
          <w:rFonts w:ascii="Arial" w:hAnsi="Arial" w:cs="Arial"/>
          <w:sz w:val="24"/>
          <w:szCs w:val="24"/>
        </w:rPr>
        <w:t>to the respondent's claim.</w:t>
      </w:r>
      <w:r w:rsidR="001A0DD0">
        <w:rPr>
          <w:rFonts w:ascii="Arial" w:hAnsi="Arial" w:cs="Arial"/>
          <w:sz w:val="24"/>
          <w:szCs w:val="24"/>
        </w:rPr>
        <w:t xml:space="preserve"> </w:t>
      </w:r>
    </w:p>
    <w:p w:rsidR="00C878AB" w:rsidRDefault="00C878AB" w:rsidP="00C878AB">
      <w:pPr>
        <w:spacing w:after="0" w:line="480" w:lineRule="auto"/>
        <w:jc w:val="both"/>
        <w:rPr>
          <w:rFonts w:ascii="Arial" w:hAnsi="Arial" w:cs="Arial"/>
          <w:sz w:val="24"/>
          <w:szCs w:val="24"/>
        </w:rPr>
      </w:pPr>
    </w:p>
    <w:p w:rsidR="00F12E46" w:rsidRDefault="00944AA3" w:rsidP="00C878AB">
      <w:pPr>
        <w:spacing w:after="0" w:line="480" w:lineRule="auto"/>
        <w:jc w:val="both"/>
        <w:rPr>
          <w:rFonts w:ascii="Arial" w:hAnsi="Arial" w:cs="Arial"/>
          <w:sz w:val="24"/>
          <w:szCs w:val="24"/>
        </w:rPr>
      </w:pPr>
      <w:r>
        <w:rPr>
          <w:rFonts w:ascii="Arial" w:hAnsi="Arial" w:cs="Arial"/>
          <w:sz w:val="24"/>
          <w:szCs w:val="24"/>
        </w:rPr>
        <w:t>[16</w:t>
      </w:r>
      <w:r w:rsidR="003B659B">
        <w:rPr>
          <w:rFonts w:ascii="Arial" w:hAnsi="Arial" w:cs="Arial"/>
          <w:sz w:val="24"/>
          <w:szCs w:val="24"/>
        </w:rPr>
        <w:t>]</w:t>
      </w:r>
      <w:r w:rsidR="003B659B">
        <w:rPr>
          <w:rFonts w:ascii="Arial" w:hAnsi="Arial" w:cs="Arial"/>
          <w:sz w:val="24"/>
          <w:szCs w:val="24"/>
        </w:rPr>
        <w:tab/>
      </w:r>
      <w:r w:rsidR="00941719">
        <w:rPr>
          <w:rFonts w:ascii="Arial" w:hAnsi="Arial" w:cs="Arial"/>
          <w:sz w:val="24"/>
          <w:szCs w:val="24"/>
        </w:rPr>
        <w:t>T</w:t>
      </w:r>
      <w:r w:rsidR="009B74AB">
        <w:rPr>
          <w:rFonts w:ascii="Arial" w:hAnsi="Arial" w:cs="Arial"/>
          <w:sz w:val="24"/>
          <w:szCs w:val="24"/>
        </w:rPr>
        <w:t>he appellant contended</w:t>
      </w:r>
      <w:r w:rsidR="00941719">
        <w:rPr>
          <w:rFonts w:ascii="Arial" w:hAnsi="Arial" w:cs="Arial"/>
          <w:sz w:val="24"/>
          <w:szCs w:val="24"/>
        </w:rPr>
        <w:t xml:space="preserve"> that to the extent that her email of 12 F</w:t>
      </w:r>
      <w:r w:rsidR="003F03B4">
        <w:rPr>
          <w:rFonts w:ascii="Arial" w:hAnsi="Arial" w:cs="Arial"/>
          <w:sz w:val="24"/>
          <w:szCs w:val="24"/>
        </w:rPr>
        <w:t>ebruary 2019 was inclusive o</w:t>
      </w:r>
      <w:r w:rsidR="001A0DD0">
        <w:rPr>
          <w:rFonts w:ascii="Arial" w:hAnsi="Arial" w:cs="Arial"/>
          <w:sz w:val="24"/>
          <w:szCs w:val="24"/>
        </w:rPr>
        <w:t xml:space="preserve">f all outstanding loans and expressly stated that it is </w:t>
      </w:r>
      <w:r w:rsidR="003F03B4">
        <w:rPr>
          <w:rFonts w:ascii="Arial" w:hAnsi="Arial" w:cs="Arial"/>
          <w:sz w:val="24"/>
          <w:szCs w:val="24"/>
        </w:rPr>
        <w:t>in full and final settlement of the respondent</w:t>
      </w:r>
      <w:r w:rsidR="00984BDB">
        <w:rPr>
          <w:rFonts w:ascii="Arial" w:hAnsi="Arial" w:cs="Arial"/>
          <w:sz w:val="24"/>
          <w:szCs w:val="24"/>
        </w:rPr>
        <w:t>’s</w:t>
      </w:r>
      <w:r w:rsidR="003F03B4">
        <w:rPr>
          <w:rFonts w:ascii="Arial" w:hAnsi="Arial" w:cs="Arial"/>
          <w:sz w:val="24"/>
          <w:szCs w:val="24"/>
        </w:rPr>
        <w:t xml:space="preserve"> claim</w:t>
      </w:r>
      <w:r w:rsidR="009B74AB">
        <w:rPr>
          <w:rFonts w:ascii="Arial" w:hAnsi="Arial" w:cs="Arial"/>
          <w:sz w:val="24"/>
          <w:szCs w:val="24"/>
        </w:rPr>
        <w:t>,</w:t>
      </w:r>
      <w:r w:rsidR="00E13006">
        <w:rPr>
          <w:rFonts w:ascii="Arial" w:hAnsi="Arial" w:cs="Arial"/>
          <w:sz w:val="24"/>
          <w:szCs w:val="24"/>
        </w:rPr>
        <w:t xml:space="preserve"> </w:t>
      </w:r>
      <w:r w:rsidR="00984BDB">
        <w:rPr>
          <w:rFonts w:ascii="Arial" w:hAnsi="Arial" w:cs="Arial"/>
          <w:sz w:val="24"/>
          <w:szCs w:val="24"/>
        </w:rPr>
        <w:t xml:space="preserve">the respondent’s claim </w:t>
      </w:r>
      <w:r w:rsidR="00E13006">
        <w:rPr>
          <w:rFonts w:ascii="Arial" w:hAnsi="Arial" w:cs="Arial"/>
          <w:sz w:val="24"/>
          <w:szCs w:val="24"/>
        </w:rPr>
        <w:t>against her</w:t>
      </w:r>
      <w:r w:rsidR="009B74AB">
        <w:rPr>
          <w:rFonts w:ascii="Arial" w:hAnsi="Arial" w:cs="Arial"/>
          <w:sz w:val="24"/>
          <w:szCs w:val="24"/>
        </w:rPr>
        <w:t xml:space="preserve"> has</w:t>
      </w:r>
      <w:r w:rsidR="00E13006">
        <w:rPr>
          <w:rFonts w:ascii="Arial" w:hAnsi="Arial" w:cs="Arial"/>
          <w:sz w:val="24"/>
          <w:szCs w:val="24"/>
        </w:rPr>
        <w:t xml:space="preserve"> been extinguished. </w:t>
      </w:r>
      <w:r w:rsidR="005F7B2D">
        <w:rPr>
          <w:rFonts w:ascii="Arial" w:hAnsi="Arial" w:cs="Arial"/>
          <w:sz w:val="24"/>
          <w:szCs w:val="24"/>
        </w:rPr>
        <w:t>As explained above, t</w:t>
      </w:r>
      <w:r w:rsidR="00E13006">
        <w:rPr>
          <w:rFonts w:ascii="Arial" w:hAnsi="Arial" w:cs="Arial"/>
          <w:sz w:val="24"/>
          <w:szCs w:val="24"/>
        </w:rPr>
        <w:t xml:space="preserve">he appellant </w:t>
      </w:r>
      <w:r w:rsidR="001A0DD0">
        <w:rPr>
          <w:rFonts w:ascii="Arial" w:hAnsi="Arial" w:cs="Arial"/>
          <w:sz w:val="24"/>
          <w:szCs w:val="24"/>
        </w:rPr>
        <w:t xml:space="preserve">also </w:t>
      </w:r>
      <w:r w:rsidR="00E13006">
        <w:rPr>
          <w:rFonts w:ascii="Arial" w:hAnsi="Arial" w:cs="Arial"/>
          <w:sz w:val="24"/>
          <w:szCs w:val="24"/>
        </w:rPr>
        <w:t xml:space="preserve">instituted a counterclaim in which she sought </w:t>
      </w:r>
      <w:r w:rsidR="003F03B4">
        <w:rPr>
          <w:rFonts w:ascii="Arial" w:hAnsi="Arial" w:cs="Arial"/>
          <w:sz w:val="24"/>
          <w:szCs w:val="24"/>
        </w:rPr>
        <w:t xml:space="preserve">the rectification of the sale of shares agreement </w:t>
      </w:r>
      <w:r w:rsidR="00E13006">
        <w:rPr>
          <w:rFonts w:ascii="Arial" w:hAnsi="Arial" w:cs="Arial"/>
          <w:sz w:val="24"/>
          <w:szCs w:val="24"/>
        </w:rPr>
        <w:t xml:space="preserve">to reflect that against payment of the purchase consideration of shares, the appellant’s indebtedness to the respondent on account of the loan agreement of 18 March 2014 was extinguished and that neither party would have a claim against the other arising out of the loan. </w:t>
      </w:r>
    </w:p>
    <w:p w:rsidR="00C878AB" w:rsidRDefault="00C878AB" w:rsidP="00C878AB">
      <w:pPr>
        <w:spacing w:after="0" w:line="480" w:lineRule="auto"/>
        <w:jc w:val="both"/>
        <w:rPr>
          <w:rFonts w:ascii="Arial" w:hAnsi="Arial" w:cs="Arial"/>
          <w:b/>
          <w:sz w:val="24"/>
          <w:szCs w:val="24"/>
        </w:rPr>
      </w:pPr>
    </w:p>
    <w:p w:rsidR="009B74AB" w:rsidRDefault="009B74AB" w:rsidP="00C878AB">
      <w:pPr>
        <w:spacing w:after="0" w:line="480" w:lineRule="auto"/>
        <w:jc w:val="both"/>
        <w:rPr>
          <w:rFonts w:ascii="Arial" w:hAnsi="Arial" w:cs="Arial"/>
          <w:b/>
          <w:sz w:val="24"/>
          <w:szCs w:val="24"/>
        </w:rPr>
      </w:pPr>
      <w:r w:rsidRPr="000567B9">
        <w:rPr>
          <w:rFonts w:ascii="Arial" w:hAnsi="Arial" w:cs="Arial"/>
          <w:b/>
          <w:sz w:val="24"/>
          <w:szCs w:val="24"/>
        </w:rPr>
        <w:t>THE DISPUTED ISSUES</w:t>
      </w:r>
    </w:p>
    <w:p w:rsidR="00C878AB" w:rsidRPr="000567B9" w:rsidRDefault="00C878AB" w:rsidP="00C878AB">
      <w:pPr>
        <w:spacing w:after="0" w:line="480" w:lineRule="auto"/>
        <w:jc w:val="both"/>
        <w:rPr>
          <w:rFonts w:ascii="Arial" w:hAnsi="Arial" w:cs="Arial"/>
          <w:b/>
          <w:sz w:val="24"/>
          <w:szCs w:val="24"/>
        </w:rPr>
      </w:pPr>
    </w:p>
    <w:p w:rsidR="00B403D8" w:rsidRDefault="00944AA3" w:rsidP="00C878AB">
      <w:pPr>
        <w:spacing w:after="0" w:line="480" w:lineRule="auto"/>
        <w:jc w:val="both"/>
        <w:rPr>
          <w:rFonts w:ascii="Arial" w:hAnsi="Arial" w:cs="Arial"/>
          <w:sz w:val="24"/>
          <w:szCs w:val="24"/>
        </w:rPr>
      </w:pPr>
      <w:r>
        <w:rPr>
          <w:rFonts w:ascii="Arial" w:hAnsi="Arial" w:cs="Arial"/>
          <w:sz w:val="24"/>
          <w:szCs w:val="24"/>
        </w:rPr>
        <w:t>[17</w:t>
      </w:r>
      <w:r w:rsidR="003B659B">
        <w:rPr>
          <w:rFonts w:ascii="Arial" w:hAnsi="Arial" w:cs="Arial"/>
          <w:sz w:val="24"/>
          <w:szCs w:val="24"/>
        </w:rPr>
        <w:t>]</w:t>
      </w:r>
      <w:r w:rsidR="003B659B">
        <w:rPr>
          <w:rFonts w:ascii="Arial" w:hAnsi="Arial" w:cs="Arial"/>
          <w:sz w:val="24"/>
          <w:szCs w:val="24"/>
        </w:rPr>
        <w:tab/>
      </w:r>
      <w:r w:rsidR="009B74AB">
        <w:rPr>
          <w:rFonts w:ascii="Arial" w:hAnsi="Arial" w:cs="Arial"/>
          <w:sz w:val="24"/>
          <w:szCs w:val="24"/>
        </w:rPr>
        <w:t xml:space="preserve">From the foregoing, this court finds that there are two issues for consideration in this matter. </w:t>
      </w:r>
      <w:r w:rsidR="00A2408B">
        <w:rPr>
          <w:rFonts w:ascii="Arial" w:hAnsi="Arial" w:cs="Arial"/>
          <w:sz w:val="24"/>
          <w:szCs w:val="24"/>
        </w:rPr>
        <w:t xml:space="preserve">The </w:t>
      </w:r>
      <w:r w:rsidR="005137D4">
        <w:rPr>
          <w:rFonts w:ascii="Arial" w:hAnsi="Arial" w:cs="Arial"/>
          <w:sz w:val="24"/>
          <w:szCs w:val="24"/>
        </w:rPr>
        <w:t>first</w:t>
      </w:r>
      <w:r w:rsidR="000F03A1">
        <w:rPr>
          <w:rFonts w:ascii="Arial" w:hAnsi="Arial" w:cs="Arial"/>
          <w:sz w:val="24"/>
          <w:szCs w:val="24"/>
        </w:rPr>
        <w:t xml:space="preserve"> issue</w:t>
      </w:r>
      <w:r w:rsidR="000F03A1" w:rsidRPr="000F03A1">
        <w:rPr>
          <w:rFonts w:ascii="Arial" w:hAnsi="Arial" w:cs="Arial"/>
          <w:i/>
          <w:sz w:val="24"/>
          <w:szCs w:val="24"/>
        </w:rPr>
        <w:t xml:space="preserve"> </w:t>
      </w:r>
      <w:r w:rsidR="00D62888" w:rsidRPr="00D62888">
        <w:rPr>
          <w:rFonts w:ascii="Arial" w:hAnsi="Arial" w:cs="Arial"/>
          <w:sz w:val="24"/>
          <w:szCs w:val="24"/>
        </w:rPr>
        <w:t xml:space="preserve">is </w:t>
      </w:r>
      <w:r w:rsidR="000F03A1">
        <w:rPr>
          <w:rFonts w:ascii="Arial" w:hAnsi="Arial" w:cs="Arial"/>
          <w:sz w:val="24"/>
          <w:szCs w:val="24"/>
        </w:rPr>
        <w:t>whether</w:t>
      </w:r>
      <w:r w:rsidR="009B74AB">
        <w:rPr>
          <w:rFonts w:ascii="Arial" w:hAnsi="Arial" w:cs="Arial"/>
          <w:sz w:val="24"/>
          <w:szCs w:val="24"/>
        </w:rPr>
        <w:t xml:space="preserve"> the court </w:t>
      </w:r>
      <w:r w:rsidR="009B74AB" w:rsidRPr="000567B9">
        <w:rPr>
          <w:rFonts w:ascii="Arial" w:hAnsi="Arial" w:cs="Arial"/>
          <w:i/>
          <w:sz w:val="24"/>
          <w:szCs w:val="24"/>
        </w:rPr>
        <w:t>a quo</w:t>
      </w:r>
      <w:r w:rsidR="009B74AB">
        <w:rPr>
          <w:rFonts w:ascii="Arial" w:hAnsi="Arial" w:cs="Arial"/>
          <w:sz w:val="24"/>
          <w:szCs w:val="24"/>
        </w:rPr>
        <w:t xml:space="preserve"> was correct in finding that the NCA does not find application in this matter and</w:t>
      </w:r>
      <w:r w:rsidR="00984BDB">
        <w:rPr>
          <w:rFonts w:ascii="Arial" w:hAnsi="Arial" w:cs="Arial"/>
          <w:sz w:val="24"/>
          <w:szCs w:val="24"/>
        </w:rPr>
        <w:t>,</w:t>
      </w:r>
      <w:r w:rsidR="009B74AB">
        <w:rPr>
          <w:rFonts w:ascii="Arial" w:hAnsi="Arial" w:cs="Arial"/>
          <w:sz w:val="24"/>
          <w:szCs w:val="24"/>
        </w:rPr>
        <w:t xml:space="preserve"> </w:t>
      </w:r>
      <w:r w:rsidR="009B74AB" w:rsidRPr="000567B9">
        <w:rPr>
          <w:rFonts w:ascii="Arial" w:hAnsi="Arial" w:cs="Arial"/>
          <w:i/>
          <w:sz w:val="24"/>
          <w:szCs w:val="24"/>
        </w:rPr>
        <w:t>secondly,</w:t>
      </w:r>
      <w:r w:rsidR="009B74AB">
        <w:rPr>
          <w:rFonts w:ascii="Arial" w:hAnsi="Arial" w:cs="Arial"/>
          <w:sz w:val="24"/>
          <w:szCs w:val="24"/>
        </w:rPr>
        <w:t xml:space="preserve"> </w:t>
      </w:r>
      <w:r w:rsidR="000567B9">
        <w:rPr>
          <w:rFonts w:ascii="Arial" w:hAnsi="Arial" w:cs="Arial"/>
          <w:sz w:val="24"/>
          <w:szCs w:val="24"/>
        </w:rPr>
        <w:t xml:space="preserve">whether the outstanding balance due under the personal loan agreement was settled in terms of the </w:t>
      </w:r>
      <w:r w:rsidR="005F7B2D">
        <w:rPr>
          <w:rFonts w:ascii="Arial" w:hAnsi="Arial" w:cs="Arial"/>
          <w:sz w:val="24"/>
          <w:szCs w:val="24"/>
        </w:rPr>
        <w:t xml:space="preserve">sale of shares </w:t>
      </w:r>
      <w:r w:rsidR="000567B9">
        <w:rPr>
          <w:rFonts w:ascii="Arial" w:hAnsi="Arial" w:cs="Arial"/>
          <w:sz w:val="24"/>
          <w:szCs w:val="24"/>
        </w:rPr>
        <w:t>agreement concluded between the parties on 15 February 2019, in terms of which the appellant purchased th</w:t>
      </w:r>
      <w:r w:rsidR="00A2488E">
        <w:rPr>
          <w:rFonts w:ascii="Arial" w:hAnsi="Arial" w:cs="Arial"/>
          <w:sz w:val="24"/>
          <w:szCs w:val="24"/>
        </w:rPr>
        <w:t xml:space="preserve">e respondent’s 35 </w:t>
      </w:r>
      <w:r w:rsidR="00984BDB">
        <w:rPr>
          <w:rFonts w:ascii="Arial" w:hAnsi="Arial" w:cs="Arial"/>
          <w:sz w:val="24"/>
          <w:szCs w:val="24"/>
        </w:rPr>
        <w:t>per</w:t>
      </w:r>
      <w:r w:rsidR="005F7B2D">
        <w:rPr>
          <w:rFonts w:ascii="Arial" w:hAnsi="Arial" w:cs="Arial"/>
          <w:sz w:val="24"/>
          <w:szCs w:val="24"/>
        </w:rPr>
        <w:t>cent shareholding</w:t>
      </w:r>
      <w:r w:rsidR="000567B9">
        <w:rPr>
          <w:rFonts w:ascii="Arial" w:hAnsi="Arial" w:cs="Arial"/>
          <w:sz w:val="24"/>
          <w:szCs w:val="24"/>
        </w:rPr>
        <w:t xml:space="preserve"> in Kandy &amp; Co (Pty) Ltd. </w:t>
      </w:r>
      <w:r w:rsidR="00A2488E">
        <w:rPr>
          <w:rFonts w:ascii="Arial" w:hAnsi="Arial" w:cs="Arial"/>
          <w:sz w:val="24"/>
          <w:szCs w:val="24"/>
        </w:rPr>
        <w:t>T</w:t>
      </w:r>
      <w:r w:rsidR="0019518A">
        <w:rPr>
          <w:rFonts w:ascii="Arial" w:hAnsi="Arial" w:cs="Arial"/>
          <w:sz w:val="24"/>
          <w:szCs w:val="24"/>
        </w:rPr>
        <w:t xml:space="preserve">hese issues will be considered in turn below. </w:t>
      </w:r>
    </w:p>
    <w:p w:rsidR="00C878AB" w:rsidRDefault="00C878AB" w:rsidP="00C878AB">
      <w:pPr>
        <w:spacing w:after="0" w:line="480" w:lineRule="auto"/>
        <w:jc w:val="both"/>
        <w:rPr>
          <w:rFonts w:ascii="Arial" w:hAnsi="Arial" w:cs="Arial"/>
          <w:b/>
          <w:sz w:val="24"/>
          <w:szCs w:val="24"/>
        </w:rPr>
      </w:pPr>
    </w:p>
    <w:p w:rsidR="00D115BA" w:rsidRDefault="00D115BA" w:rsidP="00C878AB">
      <w:pPr>
        <w:spacing w:after="0" w:line="480" w:lineRule="auto"/>
        <w:jc w:val="both"/>
        <w:rPr>
          <w:rFonts w:ascii="Arial" w:hAnsi="Arial" w:cs="Arial"/>
          <w:b/>
          <w:sz w:val="24"/>
          <w:szCs w:val="24"/>
        </w:rPr>
      </w:pPr>
      <w:r>
        <w:rPr>
          <w:rFonts w:ascii="Arial" w:hAnsi="Arial" w:cs="Arial"/>
          <w:b/>
          <w:sz w:val="24"/>
          <w:szCs w:val="24"/>
        </w:rPr>
        <w:t xml:space="preserve">RELEVANT LEGAL PRINCIPLES AND DISCUSSION </w:t>
      </w:r>
    </w:p>
    <w:p w:rsidR="00C878AB" w:rsidRDefault="00C878AB" w:rsidP="00C878AB">
      <w:pPr>
        <w:spacing w:after="0" w:line="480" w:lineRule="auto"/>
        <w:jc w:val="both"/>
        <w:rPr>
          <w:rFonts w:ascii="Arial" w:hAnsi="Arial" w:cs="Arial"/>
          <w:b/>
          <w:sz w:val="24"/>
          <w:szCs w:val="24"/>
        </w:rPr>
      </w:pPr>
    </w:p>
    <w:p w:rsidR="0019518A" w:rsidRDefault="0019518A" w:rsidP="00C878AB">
      <w:pPr>
        <w:spacing w:after="0" w:line="480" w:lineRule="auto"/>
        <w:jc w:val="both"/>
        <w:rPr>
          <w:rFonts w:ascii="Arial" w:hAnsi="Arial" w:cs="Arial"/>
          <w:b/>
          <w:sz w:val="24"/>
          <w:szCs w:val="24"/>
        </w:rPr>
      </w:pPr>
      <w:r w:rsidRPr="00301BB4">
        <w:rPr>
          <w:rFonts w:ascii="Arial" w:hAnsi="Arial" w:cs="Arial"/>
          <w:b/>
          <w:sz w:val="24"/>
          <w:szCs w:val="24"/>
        </w:rPr>
        <w:t>The applicability of the NCA</w:t>
      </w:r>
    </w:p>
    <w:p w:rsidR="00C878AB" w:rsidRDefault="00C878AB" w:rsidP="00C878AB">
      <w:pPr>
        <w:spacing w:after="0" w:line="480" w:lineRule="auto"/>
        <w:jc w:val="both"/>
        <w:rPr>
          <w:rFonts w:ascii="Arial" w:hAnsi="Arial" w:cs="Arial"/>
          <w:sz w:val="24"/>
          <w:szCs w:val="24"/>
        </w:rPr>
      </w:pPr>
    </w:p>
    <w:p w:rsidR="006F3892" w:rsidRDefault="00944AA3" w:rsidP="00C878AB">
      <w:pPr>
        <w:spacing w:after="0" w:line="480" w:lineRule="auto"/>
        <w:jc w:val="both"/>
        <w:rPr>
          <w:rFonts w:ascii="Arial" w:hAnsi="Arial" w:cs="Arial"/>
          <w:sz w:val="24"/>
          <w:szCs w:val="24"/>
        </w:rPr>
      </w:pPr>
      <w:r>
        <w:rPr>
          <w:rFonts w:ascii="Arial" w:hAnsi="Arial" w:cs="Arial"/>
          <w:sz w:val="24"/>
          <w:szCs w:val="24"/>
        </w:rPr>
        <w:t>[18</w:t>
      </w:r>
      <w:r w:rsidR="003B659B">
        <w:rPr>
          <w:rFonts w:ascii="Arial" w:hAnsi="Arial" w:cs="Arial"/>
          <w:sz w:val="24"/>
          <w:szCs w:val="24"/>
        </w:rPr>
        <w:t>]</w:t>
      </w:r>
      <w:r w:rsidR="003B659B">
        <w:rPr>
          <w:rFonts w:ascii="Arial" w:hAnsi="Arial" w:cs="Arial"/>
          <w:sz w:val="24"/>
          <w:szCs w:val="24"/>
        </w:rPr>
        <w:tab/>
      </w:r>
      <w:r w:rsidR="00984BDB" w:rsidRPr="00984BDB">
        <w:rPr>
          <w:rFonts w:ascii="Arial" w:hAnsi="Arial" w:cs="Arial"/>
          <w:sz w:val="24"/>
          <w:szCs w:val="24"/>
        </w:rPr>
        <w:t>The appellant contend</w:t>
      </w:r>
      <w:r w:rsidR="005F7B2D">
        <w:rPr>
          <w:rFonts w:ascii="Arial" w:hAnsi="Arial" w:cs="Arial"/>
          <w:sz w:val="24"/>
          <w:szCs w:val="24"/>
        </w:rPr>
        <w:t>s</w:t>
      </w:r>
      <w:r w:rsidR="00984BDB" w:rsidRPr="00984BDB">
        <w:rPr>
          <w:rFonts w:ascii="Arial" w:hAnsi="Arial" w:cs="Arial"/>
          <w:sz w:val="24"/>
          <w:szCs w:val="24"/>
        </w:rPr>
        <w:t xml:space="preserve"> that the credit agreement between the parties conflicted with the NCA as the respondent was not registered as a credit provider when the loan agreement was concluded. </w:t>
      </w:r>
      <w:r w:rsidR="009A0336">
        <w:rPr>
          <w:rFonts w:ascii="Arial" w:hAnsi="Arial" w:cs="Arial"/>
          <w:sz w:val="24"/>
          <w:szCs w:val="24"/>
        </w:rPr>
        <w:t>The appellant ostensibly relied on s</w:t>
      </w:r>
      <w:r w:rsidR="00D62888">
        <w:rPr>
          <w:rFonts w:ascii="Arial" w:hAnsi="Arial" w:cs="Arial"/>
          <w:sz w:val="24"/>
          <w:szCs w:val="24"/>
        </w:rPr>
        <w:t xml:space="preserve">ection 40(4) of </w:t>
      </w:r>
      <w:r w:rsidR="009A0336">
        <w:rPr>
          <w:rFonts w:ascii="Arial" w:hAnsi="Arial" w:cs="Arial"/>
          <w:sz w:val="24"/>
          <w:szCs w:val="24"/>
        </w:rPr>
        <w:t>the</w:t>
      </w:r>
      <w:r w:rsidR="00D62888">
        <w:rPr>
          <w:rFonts w:ascii="Arial" w:hAnsi="Arial" w:cs="Arial"/>
          <w:sz w:val="24"/>
          <w:szCs w:val="24"/>
        </w:rPr>
        <w:t xml:space="preserve"> NCA</w:t>
      </w:r>
      <w:r w:rsidR="00984BDB">
        <w:rPr>
          <w:rFonts w:ascii="Arial" w:hAnsi="Arial" w:cs="Arial"/>
          <w:sz w:val="24"/>
          <w:szCs w:val="24"/>
        </w:rPr>
        <w:t>,</w:t>
      </w:r>
      <w:r w:rsidR="00D62888">
        <w:rPr>
          <w:rFonts w:ascii="Arial" w:hAnsi="Arial" w:cs="Arial"/>
          <w:sz w:val="24"/>
          <w:szCs w:val="24"/>
        </w:rPr>
        <w:t xml:space="preserve"> </w:t>
      </w:r>
      <w:r w:rsidR="009A0336">
        <w:rPr>
          <w:rFonts w:ascii="Arial" w:hAnsi="Arial" w:cs="Arial"/>
          <w:sz w:val="24"/>
          <w:szCs w:val="24"/>
        </w:rPr>
        <w:t xml:space="preserve">which </w:t>
      </w:r>
      <w:r w:rsidR="00D62888">
        <w:rPr>
          <w:rFonts w:ascii="Arial" w:hAnsi="Arial" w:cs="Arial"/>
          <w:sz w:val="24"/>
          <w:szCs w:val="24"/>
        </w:rPr>
        <w:t>provides that</w:t>
      </w:r>
      <w:r w:rsidR="009A0336">
        <w:rPr>
          <w:rFonts w:ascii="Arial" w:hAnsi="Arial" w:cs="Arial"/>
          <w:sz w:val="24"/>
          <w:szCs w:val="24"/>
        </w:rPr>
        <w:t xml:space="preserve"> a credit agreement entered into by a credit provider who is required to be registered in terms of subsection 1 but who is not so registered is an unlawful agreement and void to the extent provided for in section 89. </w:t>
      </w:r>
      <w:r w:rsidR="006F3892">
        <w:rPr>
          <w:rFonts w:ascii="Arial" w:hAnsi="Arial" w:cs="Arial"/>
          <w:sz w:val="24"/>
          <w:szCs w:val="24"/>
        </w:rPr>
        <w:t xml:space="preserve">Meanwhile, the respondent pleaded that the NCA did not apply to their loan agreement because the parties did not deal </w:t>
      </w:r>
      <w:r w:rsidR="00A2488E">
        <w:rPr>
          <w:rFonts w:ascii="Arial" w:hAnsi="Arial" w:cs="Arial"/>
          <w:sz w:val="24"/>
          <w:szCs w:val="24"/>
        </w:rPr>
        <w:t xml:space="preserve">with each other </w:t>
      </w:r>
      <w:r w:rsidR="006F3892">
        <w:rPr>
          <w:rFonts w:ascii="Arial" w:hAnsi="Arial" w:cs="Arial"/>
          <w:sz w:val="24"/>
          <w:szCs w:val="24"/>
        </w:rPr>
        <w:t xml:space="preserve">at arm’s length when they </w:t>
      </w:r>
      <w:r w:rsidR="001D237E">
        <w:rPr>
          <w:rFonts w:ascii="Arial" w:hAnsi="Arial" w:cs="Arial"/>
          <w:sz w:val="24"/>
          <w:szCs w:val="24"/>
        </w:rPr>
        <w:t>concluded</w:t>
      </w:r>
      <w:r w:rsidR="006F3892">
        <w:rPr>
          <w:rFonts w:ascii="Arial" w:hAnsi="Arial" w:cs="Arial"/>
          <w:sz w:val="24"/>
          <w:szCs w:val="24"/>
        </w:rPr>
        <w:t xml:space="preserve"> the personal loan agreement. </w:t>
      </w:r>
    </w:p>
    <w:p w:rsidR="00C878AB" w:rsidRDefault="00C878AB" w:rsidP="00C878AB">
      <w:pPr>
        <w:spacing w:after="0" w:line="480" w:lineRule="auto"/>
        <w:jc w:val="both"/>
        <w:rPr>
          <w:rFonts w:ascii="Arial" w:hAnsi="Arial" w:cs="Arial"/>
          <w:sz w:val="24"/>
          <w:szCs w:val="24"/>
        </w:rPr>
      </w:pPr>
    </w:p>
    <w:p w:rsidR="009A0336" w:rsidRDefault="00944AA3" w:rsidP="00C878AB">
      <w:pPr>
        <w:spacing w:after="0" w:line="480" w:lineRule="auto"/>
        <w:jc w:val="both"/>
        <w:rPr>
          <w:rFonts w:ascii="Arial" w:hAnsi="Arial" w:cs="Arial"/>
          <w:sz w:val="24"/>
          <w:szCs w:val="24"/>
        </w:rPr>
      </w:pPr>
      <w:r>
        <w:rPr>
          <w:rFonts w:ascii="Arial" w:hAnsi="Arial" w:cs="Arial"/>
          <w:sz w:val="24"/>
          <w:szCs w:val="24"/>
        </w:rPr>
        <w:t>[19</w:t>
      </w:r>
      <w:r w:rsidR="003B659B">
        <w:rPr>
          <w:rFonts w:ascii="Arial" w:hAnsi="Arial" w:cs="Arial"/>
          <w:sz w:val="24"/>
          <w:szCs w:val="24"/>
        </w:rPr>
        <w:t>]</w:t>
      </w:r>
      <w:r w:rsidR="003B659B">
        <w:rPr>
          <w:rFonts w:ascii="Arial" w:hAnsi="Arial" w:cs="Arial"/>
          <w:sz w:val="24"/>
          <w:szCs w:val="24"/>
        </w:rPr>
        <w:tab/>
      </w:r>
      <w:r w:rsidR="0017332C">
        <w:rPr>
          <w:rFonts w:ascii="Arial" w:hAnsi="Arial" w:cs="Arial"/>
          <w:sz w:val="24"/>
          <w:szCs w:val="24"/>
        </w:rPr>
        <w:t>S</w:t>
      </w:r>
      <w:r w:rsidR="00984BDB">
        <w:rPr>
          <w:rFonts w:ascii="Arial" w:hAnsi="Arial" w:cs="Arial"/>
          <w:sz w:val="24"/>
          <w:szCs w:val="24"/>
        </w:rPr>
        <w:t>ection 4(1) of the NCA</w:t>
      </w:r>
      <w:r w:rsidR="00301BB4">
        <w:rPr>
          <w:rFonts w:ascii="Arial" w:hAnsi="Arial" w:cs="Arial"/>
          <w:sz w:val="24"/>
          <w:szCs w:val="24"/>
        </w:rPr>
        <w:t xml:space="preserve"> </w:t>
      </w:r>
      <w:r w:rsidR="0017332C">
        <w:rPr>
          <w:rFonts w:ascii="Arial" w:hAnsi="Arial" w:cs="Arial"/>
          <w:sz w:val="24"/>
          <w:szCs w:val="24"/>
        </w:rPr>
        <w:t>provides that the NCA applies to every credit agreement between parties dealing at arm’s length</w:t>
      </w:r>
      <w:r w:rsidR="00A2488E">
        <w:rPr>
          <w:rFonts w:ascii="Arial" w:hAnsi="Arial" w:cs="Arial"/>
          <w:sz w:val="24"/>
          <w:szCs w:val="24"/>
        </w:rPr>
        <w:t xml:space="preserve"> and made within, or having an effect within, the </w:t>
      </w:r>
      <w:r w:rsidR="005137D4">
        <w:rPr>
          <w:rFonts w:ascii="Arial" w:hAnsi="Arial" w:cs="Arial"/>
          <w:sz w:val="24"/>
          <w:szCs w:val="24"/>
        </w:rPr>
        <w:t>R</w:t>
      </w:r>
      <w:r w:rsidR="00A2488E">
        <w:rPr>
          <w:rFonts w:ascii="Arial" w:hAnsi="Arial" w:cs="Arial"/>
          <w:sz w:val="24"/>
          <w:szCs w:val="24"/>
        </w:rPr>
        <w:t>epublic</w:t>
      </w:r>
      <w:r w:rsidR="009A0336">
        <w:rPr>
          <w:rFonts w:ascii="Arial" w:hAnsi="Arial" w:cs="Arial"/>
          <w:sz w:val="24"/>
          <w:szCs w:val="24"/>
        </w:rPr>
        <w:t>,</w:t>
      </w:r>
      <w:r w:rsidR="00A2488E">
        <w:rPr>
          <w:rFonts w:ascii="Arial" w:hAnsi="Arial" w:cs="Arial"/>
          <w:sz w:val="24"/>
          <w:szCs w:val="24"/>
        </w:rPr>
        <w:t xml:space="preserve"> save for </w:t>
      </w:r>
      <w:r w:rsidR="00984BDB">
        <w:rPr>
          <w:rFonts w:ascii="Arial" w:hAnsi="Arial" w:cs="Arial"/>
          <w:sz w:val="24"/>
          <w:szCs w:val="24"/>
        </w:rPr>
        <w:t xml:space="preserve">a </w:t>
      </w:r>
      <w:r w:rsidR="00A2488E">
        <w:rPr>
          <w:rFonts w:ascii="Arial" w:hAnsi="Arial" w:cs="Arial"/>
          <w:sz w:val="24"/>
          <w:szCs w:val="24"/>
        </w:rPr>
        <w:t xml:space="preserve">few exceptions. </w:t>
      </w:r>
      <w:r w:rsidR="00301BB4">
        <w:rPr>
          <w:rFonts w:ascii="Arial" w:hAnsi="Arial" w:cs="Arial"/>
          <w:sz w:val="24"/>
          <w:szCs w:val="24"/>
        </w:rPr>
        <w:t>Section 4(2)(b)</w:t>
      </w:r>
      <w:r w:rsidR="00A2488E">
        <w:rPr>
          <w:rFonts w:ascii="Arial" w:hAnsi="Arial" w:cs="Arial"/>
          <w:sz w:val="24"/>
          <w:szCs w:val="24"/>
        </w:rPr>
        <w:t>(iv)</w:t>
      </w:r>
      <w:r w:rsidR="00301BB4">
        <w:rPr>
          <w:rFonts w:ascii="Arial" w:hAnsi="Arial" w:cs="Arial"/>
          <w:sz w:val="24"/>
          <w:szCs w:val="24"/>
        </w:rPr>
        <w:t xml:space="preserve"> states that parties are not </w:t>
      </w:r>
      <w:r w:rsidR="00A2408B">
        <w:rPr>
          <w:rFonts w:ascii="Arial" w:hAnsi="Arial" w:cs="Arial"/>
          <w:sz w:val="24"/>
          <w:szCs w:val="24"/>
        </w:rPr>
        <w:t>dealing at</w:t>
      </w:r>
      <w:r w:rsidR="00301BB4">
        <w:rPr>
          <w:rFonts w:ascii="Arial" w:hAnsi="Arial" w:cs="Arial"/>
          <w:sz w:val="24"/>
          <w:szCs w:val="24"/>
        </w:rPr>
        <w:t xml:space="preserve"> arm’s length </w:t>
      </w:r>
      <w:r w:rsidR="00A2408B">
        <w:rPr>
          <w:rFonts w:ascii="Arial" w:hAnsi="Arial" w:cs="Arial"/>
          <w:sz w:val="24"/>
          <w:szCs w:val="24"/>
        </w:rPr>
        <w:t xml:space="preserve">in any agreement in which each party is not independent of the other and consequently does </w:t>
      </w:r>
      <w:r w:rsidR="00A2408B" w:rsidRPr="007D361B">
        <w:rPr>
          <w:rFonts w:ascii="Arial" w:hAnsi="Arial" w:cs="Arial"/>
          <w:sz w:val="24"/>
          <w:szCs w:val="24"/>
        </w:rPr>
        <w:t xml:space="preserve">not necessarily strive to obtain the utmost possible advantage out of the transaction. Simply put, the NCA does not apply to credit agreements concluded between parties where the parties are not dealing at arm’s length. </w:t>
      </w:r>
    </w:p>
    <w:p w:rsidR="00C878AB" w:rsidRDefault="00C878AB" w:rsidP="00C878AB">
      <w:pPr>
        <w:spacing w:after="0" w:line="480" w:lineRule="auto"/>
        <w:jc w:val="both"/>
        <w:rPr>
          <w:rFonts w:ascii="Arial" w:hAnsi="Arial" w:cs="Arial"/>
          <w:sz w:val="24"/>
          <w:szCs w:val="24"/>
        </w:rPr>
      </w:pPr>
    </w:p>
    <w:p w:rsidR="007D361B" w:rsidRPr="007D361B" w:rsidRDefault="00944AA3" w:rsidP="00C878AB">
      <w:pPr>
        <w:spacing w:after="0" w:line="480" w:lineRule="auto"/>
        <w:jc w:val="both"/>
        <w:rPr>
          <w:rFonts w:ascii="Arial" w:hAnsi="Arial" w:cs="Arial"/>
          <w:sz w:val="24"/>
          <w:szCs w:val="24"/>
        </w:rPr>
      </w:pPr>
      <w:r>
        <w:rPr>
          <w:rFonts w:ascii="Arial" w:hAnsi="Arial" w:cs="Arial"/>
          <w:sz w:val="24"/>
          <w:szCs w:val="24"/>
        </w:rPr>
        <w:t>[20</w:t>
      </w:r>
      <w:r w:rsidR="003B659B">
        <w:rPr>
          <w:rFonts w:ascii="Arial" w:hAnsi="Arial" w:cs="Arial"/>
          <w:sz w:val="24"/>
          <w:szCs w:val="24"/>
        </w:rPr>
        <w:t>]</w:t>
      </w:r>
      <w:r w:rsidR="003B659B">
        <w:rPr>
          <w:rFonts w:ascii="Arial" w:hAnsi="Arial" w:cs="Arial"/>
          <w:sz w:val="24"/>
          <w:szCs w:val="24"/>
        </w:rPr>
        <w:tab/>
      </w:r>
      <w:r w:rsidR="009A0336">
        <w:rPr>
          <w:rFonts w:ascii="Arial" w:hAnsi="Arial" w:cs="Arial"/>
          <w:sz w:val="24"/>
          <w:szCs w:val="24"/>
        </w:rPr>
        <w:t>T</w:t>
      </w:r>
      <w:r w:rsidR="000F03A1" w:rsidRPr="007D361B">
        <w:rPr>
          <w:rFonts w:ascii="Arial" w:hAnsi="Arial" w:cs="Arial"/>
          <w:sz w:val="24"/>
          <w:szCs w:val="24"/>
        </w:rPr>
        <w:t xml:space="preserve">he term </w:t>
      </w:r>
      <w:r w:rsidR="005137D4">
        <w:rPr>
          <w:rFonts w:ascii="Arial" w:hAnsi="Arial" w:cs="Arial"/>
          <w:sz w:val="24"/>
          <w:szCs w:val="24"/>
        </w:rPr>
        <w:t>“</w:t>
      </w:r>
      <w:r w:rsidR="000F03A1" w:rsidRPr="007D361B">
        <w:rPr>
          <w:rFonts w:ascii="Arial" w:hAnsi="Arial" w:cs="Arial"/>
          <w:sz w:val="24"/>
          <w:szCs w:val="24"/>
        </w:rPr>
        <w:t>arm’s length</w:t>
      </w:r>
      <w:r w:rsidR="005137D4">
        <w:rPr>
          <w:rFonts w:ascii="Arial" w:hAnsi="Arial" w:cs="Arial"/>
          <w:sz w:val="24"/>
          <w:szCs w:val="24"/>
        </w:rPr>
        <w:t>”</w:t>
      </w:r>
      <w:r w:rsidR="000F03A1" w:rsidRPr="007D361B">
        <w:rPr>
          <w:rFonts w:ascii="Arial" w:hAnsi="Arial" w:cs="Arial"/>
          <w:sz w:val="24"/>
          <w:szCs w:val="24"/>
        </w:rPr>
        <w:t xml:space="preserve"> is not defined in the NCA </w:t>
      </w:r>
      <w:r w:rsidR="005F7B2D" w:rsidRPr="007D361B">
        <w:rPr>
          <w:rFonts w:ascii="Arial" w:hAnsi="Arial" w:cs="Arial"/>
          <w:sz w:val="24"/>
          <w:szCs w:val="24"/>
        </w:rPr>
        <w:t>however</w:t>
      </w:r>
      <w:r w:rsidR="005F7B2D">
        <w:rPr>
          <w:rFonts w:ascii="Arial" w:hAnsi="Arial" w:cs="Arial"/>
          <w:sz w:val="24"/>
          <w:szCs w:val="24"/>
        </w:rPr>
        <w:t>;</w:t>
      </w:r>
      <w:r w:rsidR="007D361B" w:rsidRPr="007D361B">
        <w:rPr>
          <w:rFonts w:ascii="Arial" w:hAnsi="Arial" w:cs="Arial"/>
          <w:sz w:val="24"/>
          <w:szCs w:val="24"/>
        </w:rPr>
        <w:t xml:space="preserve"> the term is circumscribed for purposes of greater certainty in section 4(2)(b) of the NCA. For present purposes</w:t>
      </w:r>
      <w:r w:rsidR="007D361B">
        <w:rPr>
          <w:rFonts w:ascii="Arial" w:hAnsi="Arial" w:cs="Arial"/>
          <w:sz w:val="24"/>
          <w:szCs w:val="24"/>
        </w:rPr>
        <w:t>,</w:t>
      </w:r>
      <w:r w:rsidR="007D361B" w:rsidRPr="007D361B">
        <w:rPr>
          <w:rFonts w:ascii="Arial" w:hAnsi="Arial" w:cs="Arial"/>
          <w:sz w:val="24"/>
          <w:szCs w:val="24"/>
        </w:rPr>
        <w:t xml:space="preserve"> the </w:t>
      </w:r>
      <w:r w:rsidR="006F3892">
        <w:rPr>
          <w:rFonts w:ascii="Arial" w:hAnsi="Arial" w:cs="Arial"/>
          <w:sz w:val="24"/>
          <w:szCs w:val="24"/>
        </w:rPr>
        <w:t>relevant parts of s</w:t>
      </w:r>
      <w:r w:rsidR="00FE38F0">
        <w:rPr>
          <w:rFonts w:ascii="Arial" w:hAnsi="Arial" w:cs="Arial"/>
          <w:sz w:val="24"/>
          <w:szCs w:val="24"/>
        </w:rPr>
        <w:t>ection 4(2)(b)</w:t>
      </w:r>
      <w:r w:rsidR="00186849">
        <w:rPr>
          <w:rFonts w:ascii="Arial" w:hAnsi="Arial" w:cs="Arial"/>
          <w:sz w:val="24"/>
          <w:szCs w:val="24"/>
        </w:rPr>
        <w:t xml:space="preserve"> </w:t>
      </w:r>
      <w:r w:rsidR="007D361B">
        <w:rPr>
          <w:rFonts w:ascii="Arial" w:hAnsi="Arial" w:cs="Arial"/>
          <w:sz w:val="24"/>
          <w:szCs w:val="24"/>
        </w:rPr>
        <w:t>provide</w:t>
      </w:r>
      <w:r w:rsidR="00186849">
        <w:rPr>
          <w:rFonts w:ascii="Arial" w:hAnsi="Arial" w:cs="Arial"/>
          <w:sz w:val="24"/>
          <w:szCs w:val="24"/>
        </w:rPr>
        <w:t>s</w:t>
      </w:r>
      <w:r w:rsidR="006F3892">
        <w:rPr>
          <w:rFonts w:ascii="Arial" w:hAnsi="Arial" w:cs="Arial"/>
          <w:sz w:val="24"/>
          <w:szCs w:val="24"/>
        </w:rPr>
        <w:t xml:space="preserve"> as follows</w:t>
      </w:r>
      <w:r w:rsidR="007D361B">
        <w:rPr>
          <w:rFonts w:ascii="Arial" w:hAnsi="Arial" w:cs="Arial"/>
          <w:sz w:val="24"/>
          <w:szCs w:val="24"/>
        </w:rPr>
        <w:t>:</w:t>
      </w:r>
    </w:p>
    <w:p w:rsidR="007D361B" w:rsidRPr="005470FE" w:rsidRDefault="005470FE" w:rsidP="005470FE">
      <w:pPr>
        <w:spacing w:after="0" w:line="360" w:lineRule="auto"/>
        <w:ind w:left="720"/>
        <w:jc w:val="both"/>
        <w:rPr>
          <w:rFonts w:ascii="Arial" w:hAnsi="Arial" w:cs="Arial"/>
        </w:rPr>
      </w:pPr>
      <w:r>
        <w:rPr>
          <w:rFonts w:ascii="Arial" w:hAnsi="Arial" w:cs="Arial"/>
        </w:rPr>
        <w:lastRenderedPageBreak/>
        <w:t>‘</w:t>
      </w:r>
      <w:r w:rsidR="007D361B" w:rsidRPr="005470FE">
        <w:rPr>
          <w:rFonts w:ascii="Arial" w:hAnsi="Arial" w:cs="Arial"/>
        </w:rPr>
        <w:t xml:space="preserve">(2) For greater certainty in applying subsection (1)- </w:t>
      </w:r>
    </w:p>
    <w:p w:rsidR="005470FE" w:rsidRPr="005470FE" w:rsidRDefault="005470FE" w:rsidP="005470FE">
      <w:pPr>
        <w:spacing w:after="0" w:line="360" w:lineRule="auto"/>
        <w:ind w:left="720"/>
        <w:jc w:val="both"/>
        <w:rPr>
          <w:rFonts w:ascii="Arial" w:hAnsi="Arial" w:cs="Arial"/>
        </w:rPr>
      </w:pPr>
      <w:r w:rsidRPr="005470FE">
        <w:rPr>
          <w:rFonts w:ascii="Arial" w:hAnsi="Arial" w:cs="Arial"/>
        </w:rPr>
        <w:t>(b)</w:t>
      </w:r>
      <w:r w:rsidR="00B74511" w:rsidRPr="005470FE">
        <w:rPr>
          <w:rFonts w:ascii="Arial" w:hAnsi="Arial" w:cs="Arial"/>
        </w:rPr>
        <w:t xml:space="preserve"> </w:t>
      </w:r>
      <w:r w:rsidRPr="005470FE">
        <w:rPr>
          <w:rFonts w:ascii="Arial" w:hAnsi="Arial" w:cs="Arial"/>
        </w:rPr>
        <w:t xml:space="preserve">In any of the following arrangements, the parties are not dealing at arm's length: </w:t>
      </w:r>
    </w:p>
    <w:p w:rsidR="005470FE" w:rsidRPr="005470FE" w:rsidRDefault="005470FE" w:rsidP="005470FE">
      <w:pPr>
        <w:spacing w:after="0" w:line="360" w:lineRule="auto"/>
        <w:ind w:left="720"/>
        <w:jc w:val="both"/>
        <w:rPr>
          <w:rFonts w:ascii="Arial" w:hAnsi="Arial" w:cs="Arial"/>
        </w:rPr>
      </w:pPr>
      <w:r w:rsidRPr="005470FE">
        <w:rPr>
          <w:rFonts w:ascii="Arial" w:hAnsi="Arial" w:cs="Arial"/>
        </w:rPr>
        <w:t xml:space="preserve">(i) a shareholder loan or other credit agreement between a juristic person, as consumer, and a person who has a controlling interest in that juristic person, as credit provider; </w:t>
      </w:r>
    </w:p>
    <w:p w:rsidR="005470FE" w:rsidRPr="005470FE" w:rsidRDefault="005470FE" w:rsidP="005470FE">
      <w:pPr>
        <w:spacing w:after="0" w:line="360" w:lineRule="auto"/>
        <w:ind w:left="720"/>
        <w:jc w:val="both"/>
        <w:rPr>
          <w:rFonts w:ascii="Arial" w:hAnsi="Arial" w:cs="Arial"/>
        </w:rPr>
      </w:pPr>
      <w:r w:rsidRPr="005470FE">
        <w:rPr>
          <w:rFonts w:ascii="Arial" w:hAnsi="Arial" w:cs="Arial"/>
        </w:rPr>
        <w:t xml:space="preserve">(ii) a loan to a shareholder or other credit agreement between a juristic person, as credit provider, and a person who has a controlling interest in that juristic person, as consumer; </w:t>
      </w:r>
    </w:p>
    <w:p w:rsidR="005470FE" w:rsidRPr="005470FE" w:rsidRDefault="005470FE" w:rsidP="005470FE">
      <w:pPr>
        <w:spacing w:after="0" w:line="360" w:lineRule="auto"/>
        <w:ind w:left="720"/>
        <w:jc w:val="both"/>
        <w:rPr>
          <w:rFonts w:ascii="Arial" w:hAnsi="Arial" w:cs="Arial"/>
        </w:rPr>
      </w:pPr>
      <w:r w:rsidRPr="005470FE">
        <w:rPr>
          <w:rFonts w:ascii="Arial" w:hAnsi="Arial" w:cs="Arial"/>
        </w:rPr>
        <w:t xml:space="preserve">(iii) a credit agreement between natural persons who are in a familial relationship and- (aa) are co-dependent on each other; or (bb) one is dependent upon the other; and </w:t>
      </w:r>
    </w:p>
    <w:p w:rsidR="005470FE" w:rsidRPr="005470FE" w:rsidRDefault="005470FE" w:rsidP="005470FE">
      <w:pPr>
        <w:spacing w:after="0" w:line="360" w:lineRule="auto"/>
        <w:ind w:left="720"/>
        <w:jc w:val="both"/>
        <w:rPr>
          <w:rFonts w:ascii="Arial" w:hAnsi="Arial" w:cs="Arial"/>
        </w:rPr>
      </w:pPr>
      <w:r w:rsidRPr="005470FE">
        <w:rPr>
          <w:rFonts w:ascii="Arial" w:hAnsi="Arial" w:cs="Arial"/>
        </w:rPr>
        <w:t xml:space="preserve">(iv) any other arrangement- </w:t>
      </w:r>
    </w:p>
    <w:p w:rsidR="005470FE" w:rsidRPr="005470FE" w:rsidRDefault="005470FE" w:rsidP="005470FE">
      <w:pPr>
        <w:spacing w:after="0" w:line="360" w:lineRule="auto"/>
        <w:ind w:left="720"/>
        <w:jc w:val="both"/>
        <w:rPr>
          <w:rFonts w:ascii="Arial" w:hAnsi="Arial" w:cs="Arial"/>
        </w:rPr>
      </w:pPr>
      <w:r w:rsidRPr="005470FE">
        <w:rPr>
          <w:rFonts w:ascii="Arial" w:hAnsi="Arial" w:cs="Arial"/>
        </w:rPr>
        <w:t xml:space="preserve">(aa) in which each party is not independent of the other and consequently does not necessarily strive to obtain the utmost possible advantage out of the transaction; or </w:t>
      </w:r>
    </w:p>
    <w:p w:rsidR="005470FE" w:rsidRDefault="005470FE" w:rsidP="005470FE">
      <w:pPr>
        <w:spacing w:after="0" w:line="360" w:lineRule="auto"/>
        <w:ind w:left="720"/>
        <w:jc w:val="both"/>
        <w:rPr>
          <w:rFonts w:ascii="Arial" w:hAnsi="Arial" w:cs="Arial"/>
        </w:rPr>
      </w:pPr>
      <w:r w:rsidRPr="005470FE">
        <w:rPr>
          <w:rFonts w:ascii="Arial" w:hAnsi="Arial" w:cs="Arial"/>
        </w:rPr>
        <w:t xml:space="preserve">(bb) that is of a type that has been held in law to be between parties who </w:t>
      </w:r>
      <w:r>
        <w:rPr>
          <w:rFonts w:ascii="Arial" w:hAnsi="Arial" w:cs="Arial"/>
        </w:rPr>
        <w:t>are not dealing at arm's length.’</w:t>
      </w:r>
    </w:p>
    <w:p w:rsidR="005470FE" w:rsidRDefault="005470FE" w:rsidP="00C878AB">
      <w:pPr>
        <w:spacing w:after="0" w:line="360" w:lineRule="auto"/>
        <w:ind w:left="720"/>
        <w:jc w:val="both"/>
        <w:rPr>
          <w:rFonts w:ascii="Arial" w:hAnsi="Arial" w:cs="Arial"/>
        </w:rPr>
      </w:pPr>
    </w:p>
    <w:p w:rsidR="002519B0" w:rsidRDefault="00C878AB" w:rsidP="00D115BA">
      <w:pPr>
        <w:spacing w:after="0" w:line="480" w:lineRule="auto"/>
        <w:jc w:val="both"/>
        <w:rPr>
          <w:rFonts w:ascii="Arial" w:hAnsi="Arial" w:cs="Arial"/>
          <w:sz w:val="24"/>
          <w:szCs w:val="24"/>
        </w:rPr>
      </w:pPr>
      <w:r>
        <w:rPr>
          <w:rFonts w:ascii="Arial" w:hAnsi="Arial" w:cs="Arial"/>
          <w:sz w:val="24"/>
          <w:szCs w:val="24"/>
        </w:rPr>
        <w:t>[2</w:t>
      </w:r>
      <w:r w:rsidR="00944AA3">
        <w:rPr>
          <w:rFonts w:ascii="Arial" w:hAnsi="Arial" w:cs="Arial"/>
          <w:sz w:val="24"/>
          <w:szCs w:val="24"/>
        </w:rPr>
        <w:t>1</w:t>
      </w:r>
      <w:r w:rsidR="003B659B">
        <w:rPr>
          <w:rFonts w:ascii="Arial" w:hAnsi="Arial" w:cs="Arial"/>
          <w:sz w:val="24"/>
          <w:szCs w:val="24"/>
        </w:rPr>
        <w:t>]</w:t>
      </w:r>
      <w:r w:rsidR="003B659B">
        <w:rPr>
          <w:rFonts w:ascii="Arial" w:hAnsi="Arial" w:cs="Arial"/>
          <w:sz w:val="24"/>
          <w:szCs w:val="24"/>
        </w:rPr>
        <w:tab/>
      </w:r>
      <w:r w:rsidR="002519B0">
        <w:rPr>
          <w:rFonts w:ascii="Arial" w:hAnsi="Arial" w:cs="Arial"/>
          <w:sz w:val="24"/>
          <w:szCs w:val="24"/>
        </w:rPr>
        <w:t xml:space="preserve">In </w:t>
      </w:r>
      <w:r w:rsidR="002519B0" w:rsidRPr="0017332C">
        <w:rPr>
          <w:rFonts w:ascii="Arial" w:hAnsi="Arial" w:cs="Arial"/>
          <w:i/>
          <w:sz w:val="24"/>
          <w:szCs w:val="24"/>
        </w:rPr>
        <w:t>Heydenrych v Forsyth</w:t>
      </w:r>
      <w:r w:rsidR="002519B0">
        <w:rPr>
          <w:rFonts w:ascii="Arial" w:hAnsi="Arial" w:cs="Arial"/>
          <w:sz w:val="24"/>
          <w:szCs w:val="24"/>
        </w:rPr>
        <w:t xml:space="preserve"> 2022 JDR 1655 (GJ) para 19, the court noted that although the NCA does not define dealing at arms’ length</w:t>
      </w:r>
      <w:r w:rsidR="00FC76E1">
        <w:rPr>
          <w:rFonts w:ascii="Arial" w:hAnsi="Arial" w:cs="Arial"/>
          <w:sz w:val="24"/>
          <w:szCs w:val="24"/>
        </w:rPr>
        <w:t>,</w:t>
      </w:r>
      <w:r w:rsidR="002519B0">
        <w:rPr>
          <w:rFonts w:ascii="Arial" w:hAnsi="Arial" w:cs="Arial"/>
          <w:sz w:val="24"/>
          <w:szCs w:val="24"/>
        </w:rPr>
        <w:t xml:space="preserve"> it is apparent that the legislature intended that credit agreements between natural persons who are (a) in a familial relationship, and who are co-dependent on each other or where the one is dependent upon the other, and (b) any agreement where each party is not independent of the other and does not strive to obtain the utmost advantage out of the transaction, are not within arm’s length and thus not susceptible to the provisions of the NCA</w:t>
      </w:r>
      <w:r w:rsidR="00B97B12">
        <w:rPr>
          <w:rFonts w:ascii="Arial" w:hAnsi="Arial" w:cs="Arial"/>
          <w:sz w:val="24"/>
          <w:szCs w:val="24"/>
        </w:rPr>
        <w:t>.</w:t>
      </w:r>
    </w:p>
    <w:p w:rsidR="00C878AB" w:rsidRDefault="00C878AB" w:rsidP="00D115BA">
      <w:pPr>
        <w:spacing w:after="0" w:line="480" w:lineRule="auto"/>
        <w:jc w:val="both"/>
        <w:rPr>
          <w:rFonts w:ascii="Arial" w:hAnsi="Arial" w:cs="Arial"/>
          <w:sz w:val="24"/>
          <w:szCs w:val="24"/>
        </w:rPr>
      </w:pPr>
    </w:p>
    <w:p w:rsidR="0019518A" w:rsidRDefault="00944AA3" w:rsidP="00C878AB">
      <w:pPr>
        <w:spacing w:after="0" w:line="480" w:lineRule="auto"/>
        <w:jc w:val="both"/>
        <w:rPr>
          <w:rFonts w:ascii="Arial" w:hAnsi="Arial" w:cs="Arial"/>
          <w:sz w:val="24"/>
          <w:szCs w:val="24"/>
        </w:rPr>
      </w:pPr>
      <w:r>
        <w:rPr>
          <w:rFonts w:ascii="Arial" w:hAnsi="Arial" w:cs="Arial"/>
          <w:sz w:val="24"/>
          <w:szCs w:val="24"/>
        </w:rPr>
        <w:t>[22</w:t>
      </w:r>
      <w:r w:rsidR="003B659B">
        <w:rPr>
          <w:rFonts w:ascii="Arial" w:hAnsi="Arial" w:cs="Arial"/>
          <w:sz w:val="24"/>
          <w:szCs w:val="24"/>
        </w:rPr>
        <w:t>]</w:t>
      </w:r>
      <w:r w:rsidR="003B659B">
        <w:rPr>
          <w:rFonts w:ascii="Arial" w:hAnsi="Arial" w:cs="Arial"/>
          <w:sz w:val="24"/>
          <w:szCs w:val="24"/>
        </w:rPr>
        <w:tab/>
      </w:r>
      <w:r w:rsidR="002519B0">
        <w:rPr>
          <w:rFonts w:ascii="Arial" w:hAnsi="Arial" w:cs="Arial"/>
          <w:sz w:val="24"/>
          <w:szCs w:val="24"/>
        </w:rPr>
        <w:t xml:space="preserve">In </w:t>
      </w:r>
      <w:r w:rsidR="002519B0" w:rsidRPr="002519B0">
        <w:rPr>
          <w:rFonts w:ascii="Arial" w:hAnsi="Arial" w:cs="Arial"/>
          <w:i/>
          <w:sz w:val="24"/>
          <w:szCs w:val="24"/>
        </w:rPr>
        <w:t>casu,</w:t>
      </w:r>
      <w:r w:rsidR="002519B0">
        <w:rPr>
          <w:rFonts w:ascii="Arial" w:hAnsi="Arial" w:cs="Arial"/>
          <w:sz w:val="24"/>
          <w:szCs w:val="24"/>
        </w:rPr>
        <w:t xml:space="preserve"> t</w:t>
      </w:r>
      <w:r w:rsidR="00186849">
        <w:rPr>
          <w:rFonts w:ascii="Arial" w:hAnsi="Arial" w:cs="Arial"/>
          <w:sz w:val="24"/>
          <w:szCs w:val="24"/>
        </w:rPr>
        <w:t>he</w:t>
      </w:r>
      <w:r w:rsidR="00301BB4">
        <w:rPr>
          <w:rFonts w:ascii="Arial" w:hAnsi="Arial" w:cs="Arial"/>
          <w:sz w:val="24"/>
          <w:szCs w:val="24"/>
        </w:rPr>
        <w:t xml:space="preserve"> respondent </w:t>
      </w:r>
      <w:r w:rsidR="00186849">
        <w:rPr>
          <w:rFonts w:ascii="Arial" w:hAnsi="Arial" w:cs="Arial"/>
          <w:sz w:val="24"/>
          <w:szCs w:val="24"/>
        </w:rPr>
        <w:t xml:space="preserve">averred </w:t>
      </w:r>
      <w:r w:rsidR="00301BB4">
        <w:rPr>
          <w:rFonts w:ascii="Arial" w:hAnsi="Arial" w:cs="Arial"/>
          <w:sz w:val="24"/>
          <w:szCs w:val="24"/>
        </w:rPr>
        <w:t xml:space="preserve">that the NCA does not apply to the personal loan agreement concluded between </w:t>
      </w:r>
      <w:r w:rsidR="00186849">
        <w:rPr>
          <w:rFonts w:ascii="Arial" w:hAnsi="Arial" w:cs="Arial"/>
          <w:sz w:val="24"/>
          <w:szCs w:val="24"/>
        </w:rPr>
        <w:t>the</w:t>
      </w:r>
      <w:r w:rsidR="005470FE">
        <w:rPr>
          <w:rFonts w:ascii="Arial" w:hAnsi="Arial" w:cs="Arial"/>
          <w:sz w:val="24"/>
          <w:szCs w:val="24"/>
        </w:rPr>
        <w:t>m</w:t>
      </w:r>
      <w:r w:rsidR="00301BB4">
        <w:rPr>
          <w:rFonts w:ascii="Arial" w:hAnsi="Arial" w:cs="Arial"/>
          <w:sz w:val="24"/>
          <w:szCs w:val="24"/>
        </w:rPr>
        <w:t xml:space="preserve"> as the parties did not deal at arm’s length when they entered into the personal loan agreement. </w:t>
      </w:r>
      <w:r w:rsidR="0019518A">
        <w:rPr>
          <w:rFonts w:ascii="Arial" w:hAnsi="Arial" w:cs="Arial"/>
          <w:sz w:val="24"/>
          <w:szCs w:val="24"/>
        </w:rPr>
        <w:t xml:space="preserve">At the hearing of this appeal, </w:t>
      </w:r>
      <w:r w:rsidR="0019518A" w:rsidRPr="00F80AAB">
        <w:rPr>
          <w:rFonts w:ascii="Arial" w:hAnsi="Arial" w:cs="Arial"/>
          <w:i/>
          <w:sz w:val="24"/>
          <w:szCs w:val="24"/>
        </w:rPr>
        <w:t>Mr</w:t>
      </w:r>
      <w:r w:rsidR="005137D4" w:rsidRPr="00F80AAB">
        <w:rPr>
          <w:rFonts w:ascii="Arial" w:hAnsi="Arial" w:cs="Arial"/>
          <w:i/>
          <w:sz w:val="24"/>
          <w:szCs w:val="24"/>
        </w:rPr>
        <w:t> </w:t>
      </w:r>
      <w:r w:rsidR="0019518A" w:rsidRPr="00F80AAB">
        <w:rPr>
          <w:rFonts w:ascii="Arial" w:hAnsi="Arial" w:cs="Arial"/>
          <w:i/>
          <w:sz w:val="24"/>
          <w:szCs w:val="24"/>
        </w:rPr>
        <w:t>Van der Linde</w:t>
      </w:r>
      <w:r w:rsidR="00984BDB">
        <w:rPr>
          <w:rFonts w:ascii="Arial" w:hAnsi="Arial" w:cs="Arial"/>
          <w:sz w:val="24"/>
          <w:szCs w:val="24"/>
        </w:rPr>
        <w:t>,</w:t>
      </w:r>
      <w:r w:rsidR="0019518A">
        <w:rPr>
          <w:rFonts w:ascii="Arial" w:hAnsi="Arial" w:cs="Arial"/>
          <w:sz w:val="24"/>
          <w:szCs w:val="24"/>
        </w:rPr>
        <w:t xml:space="preserve"> who appeared for the appellant</w:t>
      </w:r>
      <w:r w:rsidR="00FE38F0">
        <w:rPr>
          <w:rFonts w:ascii="Arial" w:hAnsi="Arial" w:cs="Arial"/>
          <w:sz w:val="24"/>
          <w:szCs w:val="24"/>
        </w:rPr>
        <w:t>,</w:t>
      </w:r>
      <w:r w:rsidR="0019518A">
        <w:rPr>
          <w:rFonts w:ascii="Arial" w:hAnsi="Arial" w:cs="Arial"/>
          <w:sz w:val="24"/>
          <w:szCs w:val="24"/>
        </w:rPr>
        <w:t xml:space="preserve"> argued that the court </w:t>
      </w:r>
      <w:r w:rsidR="0019518A" w:rsidRPr="0019518A">
        <w:rPr>
          <w:rFonts w:ascii="Arial" w:hAnsi="Arial" w:cs="Arial"/>
          <w:i/>
          <w:sz w:val="24"/>
          <w:szCs w:val="24"/>
        </w:rPr>
        <w:t xml:space="preserve">a quo </w:t>
      </w:r>
      <w:r w:rsidR="0019518A">
        <w:rPr>
          <w:rFonts w:ascii="Arial" w:hAnsi="Arial" w:cs="Arial"/>
          <w:sz w:val="24"/>
          <w:szCs w:val="24"/>
        </w:rPr>
        <w:t xml:space="preserve">placed undue weight on the oral evidence of the </w:t>
      </w:r>
      <w:r w:rsidR="005137D4">
        <w:rPr>
          <w:rFonts w:ascii="Arial" w:hAnsi="Arial" w:cs="Arial"/>
          <w:sz w:val="24"/>
          <w:szCs w:val="24"/>
        </w:rPr>
        <w:t xml:space="preserve">respondent </w:t>
      </w:r>
      <w:r w:rsidR="0019518A">
        <w:rPr>
          <w:rFonts w:ascii="Arial" w:hAnsi="Arial" w:cs="Arial"/>
          <w:sz w:val="24"/>
          <w:szCs w:val="24"/>
        </w:rPr>
        <w:t xml:space="preserve">that </w:t>
      </w:r>
      <w:r w:rsidR="00984BDB">
        <w:rPr>
          <w:rFonts w:ascii="Arial" w:hAnsi="Arial" w:cs="Arial"/>
          <w:sz w:val="24"/>
          <w:szCs w:val="24"/>
        </w:rPr>
        <w:t xml:space="preserve">she believed </w:t>
      </w:r>
      <w:r w:rsidR="0019518A">
        <w:rPr>
          <w:rFonts w:ascii="Arial" w:hAnsi="Arial" w:cs="Arial"/>
          <w:sz w:val="24"/>
          <w:szCs w:val="24"/>
        </w:rPr>
        <w:t xml:space="preserve">that </w:t>
      </w:r>
      <w:r w:rsidR="002519B0">
        <w:rPr>
          <w:rFonts w:ascii="Arial" w:hAnsi="Arial" w:cs="Arial"/>
          <w:sz w:val="24"/>
          <w:szCs w:val="24"/>
        </w:rPr>
        <w:t xml:space="preserve">the </w:t>
      </w:r>
      <w:r w:rsidR="0019518A">
        <w:rPr>
          <w:rFonts w:ascii="Arial" w:hAnsi="Arial" w:cs="Arial"/>
          <w:sz w:val="24"/>
          <w:szCs w:val="24"/>
        </w:rPr>
        <w:t xml:space="preserve">loan </w:t>
      </w:r>
      <w:r w:rsidR="0019518A">
        <w:rPr>
          <w:rFonts w:ascii="Arial" w:hAnsi="Arial" w:cs="Arial"/>
          <w:sz w:val="24"/>
          <w:szCs w:val="24"/>
        </w:rPr>
        <w:lastRenderedPageBreak/>
        <w:t xml:space="preserve">was not conducted at arm’s length. Counsel contended that the court </w:t>
      </w:r>
      <w:r w:rsidR="0019518A" w:rsidRPr="002519B0">
        <w:rPr>
          <w:rFonts w:ascii="Arial" w:hAnsi="Arial" w:cs="Arial"/>
          <w:i/>
          <w:sz w:val="24"/>
          <w:szCs w:val="24"/>
        </w:rPr>
        <w:t>a quo</w:t>
      </w:r>
      <w:r w:rsidR="0019518A">
        <w:rPr>
          <w:rFonts w:ascii="Arial" w:hAnsi="Arial" w:cs="Arial"/>
          <w:sz w:val="24"/>
          <w:szCs w:val="24"/>
        </w:rPr>
        <w:t xml:space="preserve"> did not consider whether </w:t>
      </w:r>
      <w:r w:rsidR="00984BDB">
        <w:rPr>
          <w:rFonts w:ascii="Arial" w:hAnsi="Arial" w:cs="Arial"/>
          <w:sz w:val="24"/>
          <w:szCs w:val="24"/>
        </w:rPr>
        <w:t xml:space="preserve">the </w:t>
      </w:r>
      <w:r w:rsidR="0019518A">
        <w:rPr>
          <w:rFonts w:ascii="Arial" w:hAnsi="Arial" w:cs="Arial"/>
          <w:sz w:val="24"/>
          <w:szCs w:val="24"/>
        </w:rPr>
        <w:t xml:space="preserve">appellant and the </w:t>
      </w:r>
      <w:r w:rsidR="009A0336">
        <w:rPr>
          <w:rFonts w:ascii="Arial" w:hAnsi="Arial" w:cs="Arial"/>
          <w:sz w:val="24"/>
          <w:szCs w:val="24"/>
        </w:rPr>
        <w:t xml:space="preserve">respondent </w:t>
      </w:r>
      <w:r w:rsidR="0019518A">
        <w:rPr>
          <w:rFonts w:ascii="Arial" w:hAnsi="Arial" w:cs="Arial"/>
          <w:sz w:val="24"/>
          <w:szCs w:val="24"/>
        </w:rPr>
        <w:t xml:space="preserve">were independent of each other when the contract was concluded. </w:t>
      </w:r>
    </w:p>
    <w:p w:rsidR="00C878AB" w:rsidRDefault="00C878AB" w:rsidP="00C878AB">
      <w:pPr>
        <w:spacing w:after="0" w:line="480" w:lineRule="auto"/>
        <w:jc w:val="both"/>
        <w:rPr>
          <w:rFonts w:ascii="Arial" w:hAnsi="Arial" w:cs="Arial"/>
          <w:sz w:val="24"/>
          <w:szCs w:val="24"/>
        </w:rPr>
      </w:pPr>
    </w:p>
    <w:p w:rsidR="00186849" w:rsidRDefault="00944AA3" w:rsidP="00C878AB">
      <w:pPr>
        <w:spacing w:after="0" w:line="480" w:lineRule="auto"/>
        <w:jc w:val="both"/>
        <w:rPr>
          <w:rFonts w:ascii="Arial" w:hAnsi="Arial" w:cs="Arial"/>
          <w:sz w:val="24"/>
          <w:szCs w:val="24"/>
        </w:rPr>
      </w:pPr>
      <w:r>
        <w:rPr>
          <w:rFonts w:ascii="Arial" w:hAnsi="Arial" w:cs="Arial"/>
          <w:sz w:val="24"/>
          <w:szCs w:val="24"/>
        </w:rPr>
        <w:t>[23</w:t>
      </w:r>
      <w:r w:rsidR="003B659B">
        <w:rPr>
          <w:rFonts w:ascii="Arial" w:hAnsi="Arial" w:cs="Arial"/>
          <w:sz w:val="24"/>
          <w:szCs w:val="24"/>
        </w:rPr>
        <w:t>]</w:t>
      </w:r>
      <w:r w:rsidR="003B659B">
        <w:rPr>
          <w:rFonts w:ascii="Arial" w:hAnsi="Arial" w:cs="Arial"/>
          <w:sz w:val="24"/>
          <w:szCs w:val="24"/>
        </w:rPr>
        <w:tab/>
      </w:r>
      <w:r w:rsidR="002519B0">
        <w:rPr>
          <w:rFonts w:ascii="Arial" w:hAnsi="Arial" w:cs="Arial"/>
          <w:sz w:val="24"/>
          <w:szCs w:val="24"/>
        </w:rPr>
        <w:t xml:space="preserve">It </w:t>
      </w:r>
      <w:r w:rsidR="00984BDB">
        <w:rPr>
          <w:rFonts w:ascii="Arial" w:hAnsi="Arial" w:cs="Arial"/>
          <w:sz w:val="24"/>
          <w:szCs w:val="24"/>
        </w:rPr>
        <w:t xml:space="preserve">is </w:t>
      </w:r>
      <w:r w:rsidR="00B97B12">
        <w:rPr>
          <w:rFonts w:ascii="Arial" w:hAnsi="Arial" w:cs="Arial"/>
          <w:sz w:val="24"/>
          <w:szCs w:val="24"/>
        </w:rPr>
        <w:t xml:space="preserve">worth mentioning that </w:t>
      </w:r>
      <w:r w:rsidR="002519B0">
        <w:rPr>
          <w:rFonts w:ascii="Arial" w:hAnsi="Arial" w:cs="Arial"/>
          <w:sz w:val="24"/>
          <w:szCs w:val="24"/>
        </w:rPr>
        <w:t>the</w:t>
      </w:r>
      <w:r w:rsidR="00186849" w:rsidRPr="00186849">
        <w:rPr>
          <w:rFonts w:ascii="Arial" w:hAnsi="Arial" w:cs="Arial"/>
          <w:sz w:val="24"/>
          <w:szCs w:val="24"/>
        </w:rPr>
        <w:t xml:space="preserve"> wording of sec</w:t>
      </w:r>
      <w:r w:rsidR="00FC76E1">
        <w:rPr>
          <w:rFonts w:ascii="Arial" w:hAnsi="Arial" w:cs="Arial"/>
          <w:sz w:val="24"/>
          <w:szCs w:val="24"/>
        </w:rPr>
        <w:t>tion</w:t>
      </w:r>
      <w:r w:rsidR="00186849" w:rsidRPr="00186849">
        <w:rPr>
          <w:rFonts w:ascii="Arial" w:hAnsi="Arial" w:cs="Arial"/>
          <w:sz w:val="24"/>
          <w:szCs w:val="24"/>
        </w:rPr>
        <w:t xml:space="preserve"> 4(2)</w:t>
      </w:r>
      <w:r w:rsidR="004A5504">
        <w:rPr>
          <w:rFonts w:ascii="Arial" w:hAnsi="Arial" w:cs="Arial"/>
          <w:sz w:val="24"/>
          <w:szCs w:val="24"/>
        </w:rPr>
        <w:t>(b)</w:t>
      </w:r>
      <w:r w:rsidR="00186849" w:rsidRPr="00186849">
        <w:rPr>
          <w:rFonts w:ascii="Arial" w:hAnsi="Arial" w:cs="Arial"/>
          <w:sz w:val="24"/>
          <w:szCs w:val="24"/>
        </w:rPr>
        <w:t xml:space="preserve">(iv)(aa) </w:t>
      </w:r>
      <w:r w:rsidR="00FC76E1">
        <w:rPr>
          <w:rFonts w:ascii="Arial" w:hAnsi="Arial" w:cs="Arial"/>
          <w:sz w:val="24"/>
          <w:szCs w:val="24"/>
        </w:rPr>
        <w:t xml:space="preserve">of the NCA </w:t>
      </w:r>
      <w:r w:rsidR="00984BDB">
        <w:rPr>
          <w:rFonts w:ascii="Arial" w:hAnsi="Arial" w:cs="Arial"/>
          <w:sz w:val="24"/>
          <w:szCs w:val="24"/>
        </w:rPr>
        <w:t>discussed above</w:t>
      </w:r>
      <w:r w:rsidR="00186849" w:rsidRPr="00186849">
        <w:rPr>
          <w:rFonts w:ascii="Arial" w:hAnsi="Arial" w:cs="Arial"/>
          <w:sz w:val="24"/>
          <w:szCs w:val="24"/>
        </w:rPr>
        <w:t xml:space="preserve"> is a codification of the dictum of Trollip JA, in </w:t>
      </w:r>
      <w:r w:rsidR="00186849" w:rsidRPr="00186849">
        <w:rPr>
          <w:rFonts w:ascii="Arial" w:hAnsi="Arial" w:cs="Arial"/>
          <w:i/>
          <w:sz w:val="24"/>
          <w:szCs w:val="24"/>
        </w:rPr>
        <w:t xml:space="preserve">Hicklin v Secretary for Inland Revenue </w:t>
      </w:r>
      <w:r w:rsidR="00186849" w:rsidRPr="00186849">
        <w:rPr>
          <w:rFonts w:ascii="Arial" w:hAnsi="Arial" w:cs="Arial"/>
          <w:sz w:val="24"/>
          <w:szCs w:val="24"/>
        </w:rPr>
        <w:t>1980</w:t>
      </w:r>
      <w:r w:rsidR="00186849">
        <w:rPr>
          <w:rFonts w:ascii="Arial" w:hAnsi="Arial" w:cs="Arial"/>
          <w:sz w:val="24"/>
          <w:szCs w:val="24"/>
        </w:rPr>
        <w:t xml:space="preserve"> (1) SA 481 (A)</w:t>
      </w:r>
      <w:r w:rsidR="005470FE">
        <w:rPr>
          <w:rFonts w:ascii="Arial" w:hAnsi="Arial" w:cs="Arial"/>
          <w:sz w:val="24"/>
          <w:szCs w:val="24"/>
        </w:rPr>
        <w:t xml:space="preserve"> at 495 A-B, where the learned j</w:t>
      </w:r>
      <w:r w:rsidR="00186849">
        <w:rPr>
          <w:rFonts w:ascii="Arial" w:hAnsi="Arial" w:cs="Arial"/>
          <w:sz w:val="24"/>
          <w:szCs w:val="24"/>
        </w:rPr>
        <w:t>ustice</w:t>
      </w:r>
      <w:r w:rsidR="00186849" w:rsidRPr="00186849">
        <w:rPr>
          <w:rFonts w:ascii="Arial" w:hAnsi="Arial" w:cs="Arial"/>
          <w:sz w:val="24"/>
          <w:szCs w:val="24"/>
        </w:rPr>
        <w:t xml:space="preserve"> describes the arm’s length criterion as follows: </w:t>
      </w:r>
      <w:r w:rsidR="00186849">
        <w:rPr>
          <w:rFonts w:ascii="Arial" w:hAnsi="Arial" w:cs="Arial"/>
          <w:sz w:val="24"/>
          <w:szCs w:val="24"/>
        </w:rPr>
        <w:t>‘</w:t>
      </w:r>
      <w:r w:rsidR="00186849" w:rsidRPr="00186849">
        <w:rPr>
          <w:rFonts w:ascii="Arial" w:hAnsi="Arial" w:cs="Arial"/>
          <w:sz w:val="24"/>
          <w:szCs w:val="24"/>
        </w:rPr>
        <w:t xml:space="preserve">It connotes that each party is independent of the other and, in so dealing, will strive to get the utmost possible advantage out </w:t>
      </w:r>
      <w:r w:rsidR="00186849">
        <w:rPr>
          <w:rFonts w:ascii="Arial" w:hAnsi="Arial" w:cs="Arial"/>
          <w:sz w:val="24"/>
          <w:szCs w:val="24"/>
        </w:rPr>
        <w:t>of the transaction for himself</w:t>
      </w:r>
      <w:r w:rsidR="0029144C">
        <w:rPr>
          <w:rFonts w:ascii="Arial" w:hAnsi="Arial" w:cs="Arial"/>
          <w:sz w:val="24"/>
          <w:szCs w:val="24"/>
        </w:rPr>
        <w:t>.</w:t>
      </w:r>
      <w:r w:rsidR="00186849">
        <w:rPr>
          <w:rFonts w:ascii="Arial" w:hAnsi="Arial" w:cs="Arial"/>
          <w:sz w:val="24"/>
          <w:szCs w:val="24"/>
        </w:rPr>
        <w:t>’</w:t>
      </w:r>
    </w:p>
    <w:p w:rsidR="00C878AB" w:rsidRDefault="00C878AB" w:rsidP="00C878AB">
      <w:pPr>
        <w:spacing w:after="0" w:line="480" w:lineRule="auto"/>
        <w:jc w:val="both"/>
        <w:rPr>
          <w:rFonts w:ascii="Arial" w:hAnsi="Arial" w:cs="Arial"/>
          <w:sz w:val="24"/>
          <w:szCs w:val="24"/>
        </w:rPr>
      </w:pPr>
    </w:p>
    <w:p w:rsidR="00C878AB" w:rsidRDefault="00944AA3" w:rsidP="00C878AB">
      <w:pPr>
        <w:spacing w:after="0" w:line="480" w:lineRule="auto"/>
        <w:jc w:val="both"/>
        <w:rPr>
          <w:rFonts w:ascii="Arial" w:hAnsi="Arial" w:cs="Arial"/>
          <w:sz w:val="24"/>
          <w:szCs w:val="24"/>
        </w:rPr>
      </w:pPr>
      <w:r>
        <w:rPr>
          <w:rFonts w:ascii="Arial" w:hAnsi="Arial" w:cs="Arial"/>
          <w:sz w:val="24"/>
          <w:szCs w:val="24"/>
        </w:rPr>
        <w:t>[24</w:t>
      </w:r>
      <w:r w:rsidR="003B659B">
        <w:rPr>
          <w:rFonts w:ascii="Arial" w:hAnsi="Arial" w:cs="Arial"/>
          <w:sz w:val="24"/>
          <w:szCs w:val="24"/>
        </w:rPr>
        <w:t>]</w:t>
      </w:r>
      <w:r w:rsidR="003B659B">
        <w:rPr>
          <w:rFonts w:ascii="Arial" w:hAnsi="Arial" w:cs="Arial"/>
          <w:sz w:val="24"/>
          <w:szCs w:val="24"/>
        </w:rPr>
        <w:tab/>
      </w:r>
      <w:r w:rsidR="0029144C">
        <w:rPr>
          <w:rFonts w:ascii="Arial" w:hAnsi="Arial" w:cs="Arial"/>
          <w:sz w:val="24"/>
          <w:szCs w:val="24"/>
        </w:rPr>
        <w:t xml:space="preserve">In this case, the appellant and the respondent had a closely knitted friendship. The respondent testified that </w:t>
      </w:r>
      <w:r w:rsidR="005137D4">
        <w:rPr>
          <w:rFonts w:ascii="Arial" w:hAnsi="Arial" w:cs="Arial"/>
          <w:sz w:val="24"/>
          <w:szCs w:val="24"/>
        </w:rPr>
        <w:t>s</w:t>
      </w:r>
      <w:r w:rsidR="0029144C">
        <w:rPr>
          <w:rFonts w:ascii="Arial" w:hAnsi="Arial" w:cs="Arial"/>
          <w:sz w:val="24"/>
          <w:szCs w:val="24"/>
        </w:rPr>
        <w:t xml:space="preserve">he became involved in opening the Sorbet franchise with the appellant because she knew it was something the appellant wanted. If not for that, she would not have become involved in opening the said business. When the appellant could not raise her 65 per cent share of the capital required to start the business, the respondent was willing to </w:t>
      </w:r>
      <w:r w:rsidR="008E3A2C">
        <w:rPr>
          <w:rFonts w:ascii="Arial" w:hAnsi="Arial" w:cs="Arial"/>
          <w:sz w:val="24"/>
          <w:szCs w:val="24"/>
        </w:rPr>
        <w:t>assist</w:t>
      </w:r>
      <w:r w:rsidR="0029144C">
        <w:rPr>
          <w:rFonts w:ascii="Arial" w:hAnsi="Arial" w:cs="Arial"/>
          <w:sz w:val="24"/>
          <w:szCs w:val="24"/>
        </w:rPr>
        <w:t xml:space="preserve"> her and provided the appellant with a personal loan of R117 000. This loan enabled the appellant</w:t>
      </w:r>
      <w:r w:rsidR="006E4029">
        <w:rPr>
          <w:rFonts w:ascii="Arial" w:hAnsi="Arial" w:cs="Arial"/>
          <w:sz w:val="24"/>
          <w:szCs w:val="24"/>
        </w:rPr>
        <w:t>,</w:t>
      </w:r>
      <w:r w:rsidR="0029144C">
        <w:rPr>
          <w:rFonts w:ascii="Arial" w:hAnsi="Arial" w:cs="Arial"/>
          <w:sz w:val="24"/>
          <w:szCs w:val="24"/>
        </w:rPr>
        <w:t xml:space="preserve"> her close friend</w:t>
      </w:r>
      <w:r w:rsidR="006E4029">
        <w:rPr>
          <w:rFonts w:ascii="Arial" w:hAnsi="Arial" w:cs="Arial"/>
          <w:sz w:val="24"/>
          <w:szCs w:val="24"/>
        </w:rPr>
        <w:t>,</w:t>
      </w:r>
      <w:r w:rsidR="0029144C">
        <w:rPr>
          <w:rFonts w:ascii="Arial" w:hAnsi="Arial" w:cs="Arial"/>
          <w:sz w:val="24"/>
          <w:szCs w:val="24"/>
        </w:rPr>
        <w:t xml:space="preserve"> to </w:t>
      </w:r>
      <w:r w:rsidR="008E3A2C">
        <w:rPr>
          <w:rFonts w:ascii="Arial" w:hAnsi="Arial" w:cs="Arial"/>
          <w:sz w:val="24"/>
          <w:szCs w:val="24"/>
        </w:rPr>
        <w:t>realise</w:t>
      </w:r>
      <w:r w:rsidR="0029144C">
        <w:rPr>
          <w:rFonts w:ascii="Arial" w:hAnsi="Arial" w:cs="Arial"/>
          <w:sz w:val="24"/>
          <w:szCs w:val="24"/>
        </w:rPr>
        <w:t xml:space="preserve"> her </w:t>
      </w:r>
      <w:r w:rsidR="00FC76E1">
        <w:rPr>
          <w:rFonts w:ascii="Arial" w:hAnsi="Arial" w:cs="Arial"/>
          <w:sz w:val="24"/>
          <w:szCs w:val="24"/>
        </w:rPr>
        <w:t xml:space="preserve">dream </w:t>
      </w:r>
      <w:r w:rsidR="009A0336">
        <w:rPr>
          <w:rFonts w:ascii="Arial" w:hAnsi="Arial" w:cs="Arial"/>
          <w:sz w:val="24"/>
          <w:szCs w:val="24"/>
        </w:rPr>
        <w:t>of</w:t>
      </w:r>
      <w:r w:rsidR="0029144C">
        <w:rPr>
          <w:rFonts w:ascii="Arial" w:hAnsi="Arial" w:cs="Arial"/>
          <w:sz w:val="24"/>
          <w:szCs w:val="24"/>
        </w:rPr>
        <w:t xml:space="preserve"> set</w:t>
      </w:r>
      <w:r w:rsidR="009A0336">
        <w:rPr>
          <w:rFonts w:ascii="Arial" w:hAnsi="Arial" w:cs="Arial"/>
          <w:sz w:val="24"/>
          <w:szCs w:val="24"/>
        </w:rPr>
        <w:t>ting</w:t>
      </w:r>
      <w:r w:rsidR="0029144C">
        <w:rPr>
          <w:rFonts w:ascii="Arial" w:hAnsi="Arial" w:cs="Arial"/>
          <w:sz w:val="24"/>
          <w:szCs w:val="24"/>
        </w:rPr>
        <w:t xml:space="preserve"> up </w:t>
      </w:r>
      <w:r w:rsidR="009A0336">
        <w:rPr>
          <w:rFonts w:ascii="Arial" w:hAnsi="Arial" w:cs="Arial"/>
          <w:sz w:val="24"/>
          <w:szCs w:val="24"/>
        </w:rPr>
        <w:t xml:space="preserve">the </w:t>
      </w:r>
      <w:r w:rsidR="0029144C">
        <w:rPr>
          <w:rFonts w:ascii="Arial" w:hAnsi="Arial" w:cs="Arial"/>
          <w:sz w:val="24"/>
          <w:szCs w:val="24"/>
        </w:rPr>
        <w:t xml:space="preserve">Sorbet franchise </w:t>
      </w:r>
      <w:r w:rsidR="008E3A2C">
        <w:rPr>
          <w:rFonts w:ascii="Arial" w:hAnsi="Arial" w:cs="Arial"/>
          <w:sz w:val="24"/>
          <w:szCs w:val="24"/>
        </w:rPr>
        <w:t>business.</w:t>
      </w:r>
    </w:p>
    <w:p w:rsidR="0029144C" w:rsidRDefault="008E3A2C" w:rsidP="00C878AB">
      <w:pPr>
        <w:spacing w:after="0" w:line="480" w:lineRule="auto"/>
        <w:jc w:val="both"/>
        <w:rPr>
          <w:rFonts w:ascii="Arial" w:hAnsi="Arial" w:cs="Arial"/>
          <w:sz w:val="24"/>
          <w:szCs w:val="24"/>
        </w:rPr>
      </w:pPr>
      <w:r>
        <w:rPr>
          <w:rFonts w:ascii="Arial" w:hAnsi="Arial" w:cs="Arial"/>
          <w:sz w:val="24"/>
          <w:szCs w:val="24"/>
        </w:rPr>
        <w:t xml:space="preserve"> </w:t>
      </w:r>
    </w:p>
    <w:p w:rsidR="006E4029" w:rsidRDefault="00944AA3" w:rsidP="00C878AB">
      <w:pPr>
        <w:spacing w:after="0" w:line="480" w:lineRule="auto"/>
        <w:jc w:val="both"/>
        <w:rPr>
          <w:rFonts w:ascii="Arial" w:hAnsi="Arial" w:cs="Arial"/>
          <w:sz w:val="24"/>
          <w:szCs w:val="24"/>
        </w:rPr>
      </w:pPr>
      <w:r>
        <w:rPr>
          <w:rFonts w:ascii="Arial" w:hAnsi="Arial" w:cs="Arial"/>
          <w:sz w:val="24"/>
          <w:szCs w:val="24"/>
        </w:rPr>
        <w:t>[25</w:t>
      </w:r>
      <w:r w:rsidR="003B659B">
        <w:rPr>
          <w:rFonts w:ascii="Arial" w:hAnsi="Arial" w:cs="Arial"/>
          <w:sz w:val="24"/>
          <w:szCs w:val="24"/>
        </w:rPr>
        <w:t>]</w:t>
      </w:r>
      <w:r w:rsidR="003B659B">
        <w:rPr>
          <w:rFonts w:ascii="Arial" w:hAnsi="Arial" w:cs="Arial"/>
          <w:sz w:val="24"/>
          <w:szCs w:val="24"/>
        </w:rPr>
        <w:tab/>
      </w:r>
      <w:r w:rsidR="008E3A2C">
        <w:rPr>
          <w:rFonts w:ascii="Arial" w:hAnsi="Arial" w:cs="Arial"/>
          <w:sz w:val="24"/>
          <w:szCs w:val="24"/>
        </w:rPr>
        <w:t>It is common cause that the appellant funded the loan from an access bond facility she had with her bank. T</w:t>
      </w:r>
      <w:r w:rsidR="006E4029">
        <w:rPr>
          <w:rFonts w:ascii="Arial" w:hAnsi="Arial" w:cs="Arial"/>
          <w:sz w:val="24"/>
          <w:szCs w:val="24"/>
        </w:rPr>
        <w:t>he loan</w:t>
      </w:r>
      <w:r w:rsidR="008E3A2C">
        <w:rPr>
          <w:rFonts w:ascii="Arial" w:hAnsi="Arial" w:cs="Arial"/>
          <w:sz w:val="24"/>
          <w:szCs w:val="24"/>
        </w:rPr>
        <w:t xml:space="preserve"> was made available to the appellant on the basis that the appellant would pay the same interest rate the respondent was being charged by her bank. </w:t>
      </w:r>
      <w:r w:rsidR="00013C27">
        <w:rPr>
          <w:rFonts w:ascii="Arial" w:hAnsi="Arial" w:cs="Arial"/>
          <w:sz w:val="24"/>
          <w:szCs w:val="24"/>
        </w:rPr>
        <w:t xml:space="preserve">The appellant would </w:t>
      </w:r>
      <w:r w:rsidR="00D115BA">
        <w:rPr>
          <w:rFonts w:ascii="Arial" w:hAnsi="Arial" w:cs="Arial"/>
          <w:sz w:val="24"/>
          <w:szCs w:val="24"/>
        </w:rPr>
        <w:t xml:space="preserve">repay the respondent the same amount plus interest that the respondent would have paid the bank on the amount withdrawn </w:t>
      </w:r>
      <w:r w:rsidR="00D115BA">
        <w:rPr>
          <w:rFonts w:ascii="Arial" w:hAnsi="Arial" w:cs="Arial"/>
          <w:sz w:val="24"/>
          <w:szCs w:val="24"/>
        </w:rPr>
        <w:lastRenderedPageBreak/>
        <w:t>from he</w:t>
      </w:r>
      <w:r w:rsidR="00FC76E1">
        <w:rPr>
          <w:rFonts w:ascii="Arial" w:hAnsi="Arial" w:cs="Arial"/>
          <w:sz w:val="24"/>
          <w:szCs w:val="24"/>
        </w:rPr>
        <w:t>r</w:t>
      </w:r>
      <w:r w:rsidR="00D115BA">
        <w:rPr>
          <w:rFonts w:ascii="Arial" w:hAnsi="Arial" w:cs="Arial"/>
          <w:sz w:val="24"/>
          <w:szCs w:val="24"/>
        </w:rPr>
        <w:t xml:space="preserve"> access bond account.  </w:t>
      </w:r>
      <w:r w:rsidR="008E3A2C">
        <w:rPr>
          <w:rFonts w:ascii="Arial" w:hAnsi="Arial" w:cs="Arial"/>
          <w:sz w:val="24"/>
          <w:szCs w:val="24"/>
        </w:rPr>
        <w:t>The respondent stood to gain nothing from the loan agreement</w:t>
      </w:r>
      <w:r w:rsidR="00002B8B">
        <w:rPr>
          <w:rFonts w:ascii="Arial" w:hAnsi="Arial" w:cs="Arial"/>
          <w:sz w:val="24"/>
          <w:szCs w:val="24"/>
        </w:rPr>
        <w:t xml:space="preserve"> transaction</w:t>
      </w:r>
      <w:r w:rsidR="008E3A2C">
        <w:rPr>
          <w:rFonts w:ascii="Arial" w:hAnsi="Arial" w:cs="Arial"/>
          <w:sz w:val="24"/>
          <w:szCs w:val="24"/>
        </w:rPr>
        <w:t xml:space="preserve">. </w:t>
      </w:r>
      <w:r w:rsidR="009D6366" w:rsidRPr="009D6366">
        <w:rPr>
          <w:rFonts w:ascii="Arial" w:hAnsi="Arial" w:cs="Arial"/>
          <w:sz w:val="24"/>
          <w:szCs w:val="24"/>
        </w:rPr>
        <w:t>During the trial at the court below, the respondent testified that the loan agreement was concluded on terms that did not benefit her</w:t>
      </w:r>
      <w:r w:rsidR="009D6366">
        <w:rPr>
          <w:rFonts w:ascii="Arial" w:hAnsi="Arial" w:cs="Arial"/>
          <w:sz w:val="24"/>
          <w:szCs w:val="24"/>
        </w:rPr>
        <w:t>.</w:t>
      </w:r>
      <w:r w:rsidR="00013C27">
        <w:rPr>
          <w:rFonts w:ascii="Arial" w:hAnsi="Arial" w:cs="Arial"/>
          <w:sz w:val="24"/>
          <w:szCs w:val="24"/>
        </w:rPr>
        <w:t xml:space="preserve"> </w:t>
      </w:r>
      <w:r w:rsidR="009D6366" w:rsidRPr="009D6366">
        <w:rPr>
          <w:rFonts w:ascii="Arial" w:hAnsi="Arial" w:cs="Arial"/>
          <w:sz w:val="24"/>
          <w:szCs w:val="24"/>
        </w:rPr>
        <w:t>She did not profit from the loan, but for all intents and purposes, she just wanted to help her friend start a business.</w:t>
      </w:r>
      <w:r w:rsidR="008E3A2C">
        <w:rPr>
          <w:rFonts w:ascii="Arial" w:hAnsi="Arial" w:cs="Arial"/>
          <w:sz w:val="24"/>
          <w:szCs w:val="24"/>
        </w:rPr>
        <w:t xml:space="preserve"> </w:t>
      </w:r>
    </w:p>
    <w:p w:rsidR="00944AA3" w:rsidRDefault="00944AA3" w:rsidP="00C878AB">
      <w:pPr>
        <w:spacing w:after="0" w:line="480" w:lineRule="auto"/>
        <w:jc w:val="both"/>
        <w:rPr>
          <w:rFonts w:ascii="Arial" w:hAnsi="Arial" w:cs="Arial"/>
          <w:sz w:val="24"/>
          <w:szCs w:val="24"/>
        </w:rPr>
      </w:pPr>
    </w:p>
    <w:p w:rsidR="00C878AB" w:rsidRDefault="00944AA3" w:rsidP="00C878AB">
      <w:pPr>
        <w:spacing w:after="0" w:line="480" w:lineRule="auto"/>
        <w:jc w:val="both"/>
        <w:rPr>
          <w:rFonts w:ascii="Arial" w:hAnsi="Arial" w:cs="Arial"/>
          <w:sz w:val="24"/>
          <w:szCs w:val="24"/>
        </w:rPr>
      </w:pPr>
      <w:r>
        <w:rPr>
          <w:rFonts w:ascii="Arial" w:hAnsi="Arial" w:cs="Arial"/>
          <w:sz w:val="24"/>
          <w:szCs w:val="24"/>
        </w:rPr>
        <w:t>[26</w:t>
      </w:r>
      <w:r w:rsidR="003B659B">
        <w:rPr>
          <w:rFonts w:ascii="Arial" w:hAnsi="Arial" w:cs="Arial"/>
          <w:sz w:val="24"/>
          <w:szCs w:val="24"/>
        </w:rPr>
        <w:t>]</w:t>
      </w:r>
      <w:r w:rsidR="003B659B">
        <w:rPr>
          <w:rFonts w:ascii="Arial" w:hAnsi="Arial" w:cs="Arial"/>
          <w:sz w:val="24"/>
          <w:szCs w:val="24"/>
        </w:rPr>
        <w:tab/>
      </w:r>
      <w:r w:rsidR="00256D5D">
        <w:rPr>
          <w:rFonts w:ascii="Arial" w:hAnsi="Arial" w:cs="Arial"/>
          <w:sz w:val="24"/>
          <w:szCs w:val="24"/>
        </w:rPr>
        <w:t>In my view, the parties were not</w:t>
      </w:r>
      <w:r w:rsidR="00256D5D" w:rsidRPr="00256D5D">
        <w:rPr>
          <w:rFonts w:ascii="Arial" w:hAnsi="Arial" w:cs="Arial"/>
          <w:sz w:val="24"/>
          <w:szCs w:val="24"/>
        </w:rPr>
        <w:t> independent of each other</w:t>
      </w:r>
      <w:r w:rsidR="00F1146F">
        <w:rPr>
          <w:rFonts w:ascii="Arial" w:hAnsi="Arial" w:cs="Arial"/>
          <w:sz w:val="24"/>
          <w:szCs w:val="24"/>
        </w:rPr>
        <w:t>. The appellant sought the respondent</w:t>
      </w:r>
      <w:r w:rsidR="009D6366">
        <w:rPr>
          <w:rFonts w:ascii="Arial" w:hAnsi="Arial" w:cs="Arial"/>
          <w:sz w:val="24"/>
          <w:szCs w:val="24"/>
        </w:rPr>
        <w:t>’s assistance</w:t>
      </w:r>
      <w:r w:rsidR="00F1146F">
        <w:rPr>
          <w:rFonts w:ascii="Arial" w:hAnsi="Arial" w:cs="Arial"/>
          <w:sz w:val="24"/>
          <w:szCs w:val="24"/>
        </w:rPr>
        <w:t xml:space="preserve"> for financial support to fund her share of the capita</w:t>
      </w:r>
      <w:r w:rsidR="006E4029">
        <w:rPr>
          <w:rFonts w:ascii="Arial" w:hAnsi="Arial" w:cs="Arial"/>
          <w:sz w:val="24"/>
          <w:szCs w:val="24"/>
        </w:rPr>
        <w:t>l</w:t>
      </w:r>
      <w:r w:rsidR="00F1146F">
        <w:rPr>
          <w:rFonts w:ascii="Arial" w:hAnsi="Arial" w:cs="Arial"/>
          <w:sz w:val="24"/>
          <w:szCs w:val="24"/>
        </w:rPr>
        <w:t xml:space="preserve">. The respondent was a silent partner and needed the </w:t>
      </w:r>
      <w:r w:rsidR="009D6366">
        <w:rPr>
          <w:rFonts w:ascii="Arial" w:hAnsi="Arial" w:cs="Arial"/>
          <w:sz w:val="24"/>
          <w:szCs w:val="24"/>
        </w:rPr>
        <w:t xml:space="preserve">help </w:t>
      </w:r>
      <w:r w:rsidR="00F1146F">
        <w:rPr>
          <w:rFonts w:ascii="Arial" w:hAnsi="Arial" w:cs="Arial"/>
          <w:sz w:val="24"/>
          <w:szCs w:val="24"/>
        </w:rPr>
        <w:t xml:space="preserve">and expertise of the appellant to </w:t>
      </w:r>
      <w:r w:rsidR="00002B8B">
        <w:rPr>
          <w:rFonts w:ascii="Arial" w:hAnsi="Arial" w:cs="Arial"/>
          <w:sz w:val="24"/>
          <w:szCs w:val="24"/>
        </w:rPr>
        <w:t xml:space="preserve">start and operate </w:t>
      </w:r>
      <w:r w:rsidR="00F1146F">
        <w:rPr>
          <w:rFonts w:ascii="Arial" w:hAnsi="Arial" w:cs="Arial"/>
          <w:sz w:val="24"/>
          <w:szCs w:val="24"/>
        </w:rPr>
        <w:t xml:space="preserve">the franchise business. From the evidence led at the court </w:t>
      </w:r>
      <w:r w:rsidR="00F1146F" w:rsidRPr="006E4029">
        <w:rPr>
          <w:rFonts w:ascii="Arial" w:hAnsi="Arial" w:cs="Arial"/>
          <w:i/>
          <w:sz w:val="24"/>
          <w:szCs w:val="24"/>
        </w:rPr>
        <w:t>a quo</w:t>
      </w:r>
      <w:r w:rsidR="00F1146F">
        <w:rPr>
          <w:rFonts w:ascii="Arial" w:hAnsi="Arial" w:cs="Arial"/>
          <w:sz w:val="24"/>
          <w:szCs w:val="24"/>
        </w:rPr>
        <w:t xml:space="preserve">, </w:t>
      </w:r>
      <w:r w:rsidR="00256D5D">
        <w:rPr>
          <w:rFonts w:ascii="Arial" w:hAnsi="Arial" w:cs="Arial"/>
          <w:sz w:val="24"/>
          <w:szCs w:val="24"/>
        </w:rPr>
        <w:t xml:space="preserve">it cannot be said that the parties strove to gain </w:t>
      </w:r>
      <w:r w:rsidR="009D6366">
        <w:rPr>
          <w:rFonts w:ascii="Arial" w:hAnsi="Arial" w:cs="Arial"/>
          <w:sz w:val="24"/>
          <w:szCs w:val="24"/>
        </w:rPr>
        <w:t xml:space="preserve">the </w:t>
      </w:r>
      <w:r w:rsidR="00256D5D">
        <w:rPr>
          <w:rFonts w:ascii="Arial" w:hAnsi="Arial" w:cs="Arial"/>
          <w:sz w:val="24"/>
          <w:szCs w:val="24"/>
        </w:rPr>
        <w:t xml:space="preserve">maximum possible benefit </w:t>
      </w:r>
      <w:r w:rsidR="00F1146F">
        <w:rPr>
          <w:rFonts w:ascii="Arial" w:hAnsi="Arial" w:cs="Arial"/>
          <w:sz w:val="24"/>
          <w:szCs w:val="24"/>
        </w:rPr>
        <w:t xml:space="preserve">for themselves out of </w:t>
      </w:r>
      <w:r w:rsidR="00256D5D">
        <w:rPr>
          <w:rFonts w:ascii="Arial" w:hAnsi="Arial" w:cs="Arial"/>
          <w:sz w:val="24"/>
          <w:szCs w:val="24"/>
        </w:rPr>
        <w:t xml:space="preserve">the </w:t>
      </w:r>
      <w:r w:rsidR="00256D5D" w:rsidRPr="00256D5D">
        <w:rPr>
          <w:rFonts w:ascii="Arial" w:hAnsi="Arial" w:cs="Arial"/>
          <w:sz w:val="24"/>
          <w:szCs w:val="24"/>
        </w:rPr>
        <w:t>transaction</w:t>
      </w:r>
      <w:r w:rsidR="00F1146F">
        <w:rPr>
          <w:rFonts w:ascii="Arial" w:hAnsi="Arial" w:cs="Arial"/>
          <w:sz w:val="24"/>
          <w:szCs w:val="24"/>
        </w:rPr>
        <w:t>.</w:t>
      </w:r>
      <w:r w:rsidR="00256D5D">
        <w:rPr>
          <w:rFonts w:ascii="Arial" w:hAnsi="Arial" w:cs="Arial"/>
          <w:sz w:val="24"/>
          <w:szCs w:val="24"/>
        </w:rPr>
        <w:t xml:space="preserve"> </w:t>
      </w:r>
      <w:r w:rsidR="00F5252B">
        <w:rPr>
          <w:rFonts w:ascii="Arial" w:hAnsi="Arial" w:cs="Arial"/>
          <w:sz w:val="24"/>
          <w:szCs w:val="24"/>
        </w:rPr>
        <w:t xml:space="preserve">To the contrary, the parties assisted each other as acquaintances. </w:t>
      </w:r>
      <w:r w:rsidR="00FE38F0" w:rsidRPr="00FE38F0">
        <w:rPr>
          <w:rFonts w:ascii="Arial" w:hAnsi="Arial" w:cs="Arial"/>
          <w:sz w:val="24"/>
          <w:szCs w:val="24"/>
        </w:rPr>
        <w:t>Even after the expiration of five years since the loan was concluded, the respondent only claimed what was agreed upon.</w:t>
      </w:r>
      <w:r w:rsidR="00B97B12">
        <w:rPr>
          <w:rFonts w:ascii="Arial" w:hAnsi="Arial" w:cs="Arial"/>
          <w:sz w:val="24"/>
          <w:szCs w:val="24"/>
        </w:rPr>
        <w:t xml:space="preserve"> She only charged the appellant the interest she paid to the bank. She did not </w:t>
      </w:r>
      <w:r w:rsidR="00002B8B">
        <w:rPr>
          <w:rFonts w:ascii="Arial" w:hAnsi="Arial" w:cs="Arial"/>
          <w:sz w:val="24"/>
          <w:szCs w:val="24"/>
        </w:rPr>
        <w:t>charge</w:t>
      </w:r>
      <w:r w:rsidR="00B97B12">
        <w:rPr>
          <w:rFonts w:ascii="Arial" w:hAnsi="Arial" w:cs="Arial"/>
          <w:sz w:val="24"/>
          <w:szCs w:val="24"/>
        </w:rPr>
        <w:t xml:space="preserve"> </w:t>
      </w:r>
      <w:r w:rsidR="006E4029">
        <w:rPr>
          <w:rFonts w:ascii="Arial" w:hAnsi="Arial" w:cs="Arial"/>
          <w:sz w:val="24"/>
          <w:szCs w:val="24"/>
        </w:rPr>
        <w:t xml:space="preserve">the appellant </w:t>
      </w:r>
      <w:r w:rsidR="00B97B12">
        <w:rPr>
          <w:rFonts w:ascii="Arial" w:hAnsi="Arial" w:cs="Arial"/>
          <w:sz w:val="24"/>
          <w:szCs w:val="24"/>
        </w:rPr>
        <w:t xml:space="preserve">penalties on </w:t>
      </w:r>
      <w:r w:rsidR="00B97B12" w:rsidRPr="006E4029">
        <w:rPr>
          <w:rFonts w:ascii="Arial" w:hAnsi="Arial" w:cs="Arial"/>
          <w:sz w:val="24"/>
          <w:szCs w:val="24"/>
        </w:rPr>
        <w:t xml:space="preserve">the </w:t>
      </w:r>
      <w:r w:rsidR="00B97B12">
        <w:rPr>
          <w:rFonts w:ascii="Arial" w:hAnsi="Arial" w:cs="Arial"/>
          <w:sz w:val="24"/>
          <w:szCs w:val="24"/>
        </w:rPr>
        <w:t xml:space="preserve">arrears. She </w:t>
      </w:r>
      <w:r w:rsidR="005137D4">
        <w:rPr>
          <w:rFonts w:ascii="Arial" w:hAnsi="Arial" w:cs="Arial"/>
          <w:sz w:val="24"/>
          <w:szCs w:val="24"/>
        </w:rPr>
        <w:t xml:space="preserve">loaned </w:t>
      </w:r>
      <w:r w:rsidR="00B97B12">
        <w:rPr>
          <w:rFonts w:ascii="Arial" w:hAnsi="Arial" w:cs="Arial"/>
          <w:sz w:val="24"/>
          <w:szCs w:val="24"/>
        </w:rPr>
        <w:t xml:space="preserve">the </w:t>
      </w:r>
      <w:r w:rsidR="006E4029">
        <w:rPr>
          <w:rFonts w:ascii="Arial" w:hAnsi="Arial" w:cs="Arial"/>
          <w:sz w:val="24"/>
          <w:szCs w:val="24"/>
        </w:rPr>
        <w:t xml:space="preserve">appellant </w:t>
      </w:r>
      <w:r w:rsidR="00B97B12">
        <w:rPr>
          <w:rFonts w:ascii="Arial" w:hAnsi="Arial" w:cs="Arial"/>
          <w:sz w:val="24"/>
          <w:szCs w:val="24"/>
        </w:rPr>
        <w:t>R117 000</w:t>
      </w:r>
      <w:r w:rsidR="009D6366">
        <w:rPr>
          <w:rFonts w:ascii="Arial" w:hAnsi="Arial" w:cs="Arial"/>
          <w:sz w:val="24"/>
          <w:szCs w:val="24"/>
        </w:rPr>
        <w:t>,</w:t>
      </w:r>
      <w:r w:rsidR="00B97B12">
        <w:rPr>
          <w:rFonts w:ascii="Arial" w:hAnsi="Arial" w:cs="Arial"/>
          <w:sz w:val="24"/>
          <w:szCs w:val="24"/>
        </w:rPr>
        <w:t xml:space="preserve"> and the latter paid </w:t>
      </w:r>
      <w:r w:rsidR="00A2488E">
        <w:rPr>
          <w:rFonts w:ascii="Arial" w:hAnsi="Arial" w:cs="Arial"/>
          <w:sz w:val="24"/>
          <w:szCs w:val="24"/>
        </w:rPr>
        <w:t xml:space="preserve">her </w:t>
      </w:r>
      <w:r w:rsidR="00B97B12">
        <w:rPr>
          <w:rFonts w:ascii="Arial" w:hAnsi="Arial" w:cs="Arial"/>
          <w:sz w:val="24"/>
          <w:szCs w:val="24"/>
        </w:rPr>
        <w:t xml:space="preserve">R70 000 leaving a balance of R47 000 due and payable. </w:t>
      </w:r>
      <w:r w:rsidR="00A2488E">
        <w:rPr>
          <w:rFonts w:ascii="Arial" w:hAnsi="Arial" w:cs="Arial"/>
          <w:sz w:val="24"/>
          <w:szCs w:val="24"/>
        </w:rPr>
        <w:t>She claimed</w:t>
      </w:r>
      <w:r w:rsidR="006E4029">
        <w:rPr>
          <w:rFonts w:ascii="Arial" w:hAnsi="Arial" w:cs="Arial"/>
          <w:sz w:val="24"/>
          <w:szCs w:val="24"/>
        </w:rPr>
        <w:t xml:space="preserve"> this amount </w:t>
      </w:r>
      <w:r w:rsidR="00FE38F0">
        <w:rPr>
          <w:rFonts w:ascii="Arial" w:hAnsi="Arial" w:cs="Arial"/>
          <w:sz w:val="24"/>
          <w:szCs w:val="24"/>
        </w:rPr>
        <w:t xml:space="preserve">in her summons </w:t>
      </w:r>
      <w:r w:rsidR="006E4029">
        <w:rPr>
          <w:rFonts w:ascii="Arial" w:hAnsi="Arial" w:cs="Arial"/>
          <w:sz w:val="24"/>
          <w:szCs w:val="24"/>
        </w:rPr>
        <w:t xml:space="preserve">at the court </w:t>
      </w:r>
      <w:r w:rsidR="006E4029" w:rsidRPr="006E4029">
        <w:rPr>
          <w:rFonts w:ascii="Arial" w:hAnsi="Arial" w:cs="Arial"/>
          <w:i/>
          <w:sz w:val="24"/>
          <w:szCs w:val="24"/>
        </w:rPr>
        <w:t>a quo</w:t>
      </w:r>
      <w:r w:rsidR="00002B8B">
        <w:rPr>
          <w:rFonts w:ascii="Arial" w:hAnsi="Arial" w:cs="Arial"/>
          <w:i/>
          <w:sz w:val="24"/>
          <w:szCs w:val="24"/>
        </w:rPr>
        <w:t xml:space="preserve"> </w:t>
      </w:r>
      <w:r w:rsidR="00002B8B" w:rsidRPr="00002B8B">
        <w:rPr>
          <w:rFonts w:ascii="Arial" w:hAnsi="Arial" w:cs="Arial"/>
          <w:sz w:val="24"/>
          <w:szCs w:val="24"/>
        </w:rPr>
        <w:t>and nothing more</w:t>
      </w:r>
      <w:r w:rsidR="006E4029">
        <w:rPr>
          <w:rFonts w:ascii="Arial" w:hAnsi="Arial" w:cs="Arial"/>
          <w:sz w:val="24"/>
          <w:szCs w:val="24"/>
        </w:rPr>
        <w:t>.</w:t>
      </w:r>
    </w:p>
    <w:p w:rsidR="00A2488E" w:rsidRDefault="006E4029" w:rsidP="00C878AB">
      <w:pPr>
        <w:spacing w:after="0" w:line="480" w:lineRule="auto"/>
        <w:jc w:val="both"/>
        <w:rPr>
          <w:rFonts w:ascii="Arial" w:hAnsi="Arial" w:cs="Arial"/>
          <w:sz w:val="24"/>
          <w:szCs w:val="24"/>
        </w:rPr>
      </w:pPr>
      <w:r>
        <w:rPr>
          <w:rFonts w:ascii="Arial" w:hAnsi="Arial" w:cs="Arial"/>
          <w:sz w:val="24"/>
          <w:szCs w:val="24"/>
        </w:rPr>
        <w:t xml:space="preserve"> </w:t>
      </w:r>
    </w:p>
    <w:p w:rsidR="00703045" w:rsidRDefault="00C878AB" w:rsidP="00C878AB">
      <w:pPr>
        <w:spacing w:after="0" w:line="480" w:lineRule="auto"/>
        <w:jc w:val="both"/>
        <w:rPr>
          <w:rFonts w:ascii="Arial" w:hAnsi="Arial" w:cs="Arial"/>
          <w:sz w:val="24"/>
          <w:szCs w:val="24"/>
        </w:rPr>
      </w:pPr>
      <w:r>
        <w:rPr>
          <w:rFonts w:ascii="Arial" w:hAnsi="Arial" w:cs="Arial"/>
          <w:sz w:val="24"/>
          <w:szCs w:val="24"/>
        </w:rPr>
        <w:t>[2</w:t>
      </w:r>
      <w:r w:rsidR="00944AA3">
        <w:rPr>
          <w:rFonts w:ascii="Arial" w:hAnsi="Arial" w:cs="Arial"/>
          <w:sz w:val="24"/>
          <w:szCs w:val="24"/>
        </w:rPr>
        <w:t>7</w:t>
      </w:r>
      <w:r w:rsidR="003B659B">
        <w:rPr>
          <w:rFonts w:ascii="Arial" w:hAnsi="Arial" w:cs="Arial"/>
          <w:sz w:val="24"/>
          <w:szCs w:val="24"/>
        </w:rPr>
        <w:t>]</w:t>
      </w:r>
      <w:r w:rsidR="003B659B">
        <w:rPr>
          <w:rFonts w:ascii="Arial" w:hAnsi="Arial" w:cs="Arial"/>
          <w:sz w:val="24"/>
          <w:szCs w:val="24"/>
        </w:rPr>
        <w:tab/>
      </w:r>
      <w:r w:rsidR="00F5252B">
        <w:rPr>
          <w:rFonts w:ascii="Arial" w:hAnsi="Arial" w:cs="Arial"/>
          <w:sz w:val="24"/>
          <w:szCs w:val="24"/>
        </w:rPr>
        <w:t xml:space="preserve">In the circumstances, I am </w:t>
      </w:r>
      <w:r w:rsidR="001D2CE0">
        <w:rPr>
          <w:rFonts w:ascii="Arial" w:hAnsi="Arial" w:cs="Arial"/>
          <w:sz w:val="24"/>
          <w:szCs w:val="24"/>
        </w:rPr>
        <w:t xml:space="preserve">of the view </w:t>
      </w:r>
      <w:r w:rsidR="00703045">
        <w:rPr>
          <w:rFonts w:ascii="Arial" w:hAnsi="Arial" w:cs="Arial"/>
          <w:sz w:val="24"/>
          <w:szCs w:val="24"/>
        </w:rPr>
        <w:t>that the NCA does not find application in this matter. The appellant and the respondent were certain</w:t>
      </w:r>
      <w:r w:rsidR="00703045" w:rsidRPr="004A0B3D">
        <w:rPr>
          <w:rFonts w:ascii="Arial" w:hAnsi="Arial" w:cs="Arial"/>
          <w:sz w:val="24"/>
          <w:szCs w:val="24"/>
        </w:rPr>
        <w:t xml:space="preserve">ly not dealing at arm’s length. </w:t>
      </w:r>
      <w:r w:rsidR="004A0B3D" w:rsidRPr="004A0B3D">
        <w:rPr>
          <w:rFonts w:ascii="Arial" w:hAnsi="Arial" w:cs="Arial"/>
          <w:sz w:val="24"/>
          <w:szCs w:val="24"/>
        </w:rPr>
        <w:t xml:space="preserve">See </w:t>
      </w:r>
      <w:r w:rsidR="004A0B3D" w:rsidRPr="004A0B3D">
        <w:rPr>
          <w:rFonts w:ascii="Arial" w:hAnsi="Arial" w:cs="Arial"/>
          <w:i/>
          <w:sz w:val="24"/>
          <w:szCs w:val="24"/>
        </w:rPr>
        <w:t>Cloete v Van Den Heever NO </w:t>
      </w:r>
      <w:r w:rsidR="004A0B3D" w:rsidRPr="004A0B3D">
        <w:rPr>
          <w:rFonts w:ascii="Arial" w:hAnsi="Arial" w:cs="Arial"/>
          <w:sz w:val="24"/>
          <w:szCs w:val="24"/>
        </w:rPr>
        <w:t>2013 JDR 1075 (GNP)</w:t>
      </w:r>
      <w:r w:rsidR="00B97B12">
        <w:rPr>
          <w:rFonts w:ascii="Arial" w:hAnsi="Arial" w:cs="Arial"/>
          <w:sz w:val="24"/>
          <w:szCs w:val="24"/>
        </w:rPr>
        <w:t>.</w:t>
      </w:r>
      <w:r w:rsidR="004A0B3D" w:rsidRPr="004A0B3D">
        <w:rPr>
          <w:rFonts w:ascii="Arial" w:hAnsi="Arial" w:cs="Arial"/>
          <w:sz w:val="24"/>
          <w:szCs w:val="24"/>
        </w:rPr>
        <w:t xml:space="preserve"> </w:t>
      </w:r>
      <w:r w:rsidR="001D2CE0">
        <w:rPr>
          <w:rFonts w:ascii="Arial" w:hAnsi="Arial" w:cs="Arial"/>
          <w:sz w:val="24"/>
          <w:szCs w:val="24"/>
        </w:rPr>
        <w:t xml:space="preserve">In my </w:t>
      </w:r>
      <w:r w:rsidR="00FE38F0">
        <w:rPr>
          <w:rFonts w:ascii="Arial" w:hAnsi="Arial" w:cs="Arial"/>
          <w:sz w:val="24"/>
          <w:szCs w:val="24"/>
        </w:rPr>
        <w:t>opinion</w:t>
      </w:r>
      <w:r w:rsidR="001D2CE0">
        <w:rPr>
          <w:rFonts w:ascii="Arial" w:hAnsi="Arial" w:cs="Arial"/>
          <w:sz w:val="24"/>
          <w:szCs w:val="24"/>
        </w:rPr>
        <w:t>, t</w:t>
      </w:r>
      <w:r w:rsidR="00D115BA">
        <w:rPr>
          <w:rFonts w:ascii="Arial" w:hAnsi="Arial" w:cs="Arial"/>
          <w:sz w:val="24"/>
          <w:szCs w:val="24"/>
        </w:rPr>
        <w:t>he transaction between</w:t>
      </w:r>
      <w:r w:rsidR="00A2488E">
        <w:rPr>
          <w:rFonts w:ascii="Arial" w:hAnsi="Arial" w:cs="Arial"/>
          <w:sz w:val="24"/>
          <w:szCs w:val="24"/>
        </w:rPr>
        <w:t xml:space="preserve"> t</w:t>
      </w:r>
      <w:r w:rsidR="00D115BA">
        <w:rPr>
          <w:rFonts w:ascii="Arial" w:hAnsi="Arial" w:cs="Arial"/>
          <w:sz w:val="24"/>
          <w:szCs w:val="24"/>
        </w:rPr>
        <w:t>h</w:t>
      </w:r>
      <w:r w:rsidR="00A2488E">
        <w:rPr>
          <w:rFonts w:ascii="Arial" w:hAnsi="Arial" w:cs="Arial"/>
          <w:sz w:val="24"/>
          <w:szCs w:val="24"/>
        </w:rPr>
        <w:t>e</w:t>
      </w:r>
      <w:r w:rsidR="00D115BA">
        <w:rPr>
          <w:rFonts w:ascii="Arial" w:hAnsi="Arial" w:cs="Arial"/>
          <w:sz w:val="24"/>
          <w:szCs w:val="24"/>
        </w:rPr>
        <w:t xml:space="preserve"> parties f</w:t>
      </w:r>
      <w:r w:rsidR="001D2CE0">
        <w:rPr>
          <w:rFonts w:ascii="Arial" w:hAnsi="Arial" w:cs="Arial"/>
          <w:sz w:val="24"/>
          <w:szCs w:val="24"/>
        </w:rPr>
        <w:t>e</w:t>
      </w:r>
      <w:r w:rsidR="00D115BA">
        <w:rPr>
          <w:rFonts w:ascii="Arial" w:hAnsi="Arial" w:cs="Arial"/>
          <w:sz w:val="24"/>
          <w:szCs w:val="24"/>
        </w:rPr>
        <w:t>ll within the ambit of the provisions of section 4(2)</w:t>
      </w:r>
      <w:r w:rsidR="005137D4">
        <w:rPr>
          <w:rFonts w:ascii="Arial" w:hAnsi="Arial" w:cs="Arial"/>
          <w:sz w:val="24"/>
          <w:szCs w:val="24"/>
        </w:rPr>
        <w:t>(b)</w:t>
      </w:r>
      <w:r w:rsidR="00D115BA">
        <w:rPr>
          <w:rFonts w:ascii="Arial" w:hAnsi="Arial" w:cs="Arial"/>
          <w:sz w:val="24"/>
          <w:szCs w:val="24"/>
        </w:rPr>
        <w:t>(iv) of the NCA</w:t>
      </w:r>
      <w:r w:rsidR="00002B8B">
        <w:rPr>
          <w:rFonts w:ascii="Arial" w:hAnsi="Arial" w:cs="Arial"/>
          <w:sz w:val="24"/>
          <w:szCs w:val="24"/>
        </w:rPr>
        <w:t xml:space="preserve"> discussed above</w:t>
      </w:r>
      <w:r w:rsidR="00D115BA">
        <w:rPr>
          <w:rFonts w:ascii="Arial" w:hAnsi="Arial" w:cs="Arial"/>
          <w:sz w:val="24"/>
          <w:szCs w:val="24"/>
        </w:rPr>
        <w:t>.</w:t>
      </w:r>
    </w:p>
    <w:p w:rsidR="00C878AB" w:rsidRDefault="00C878AB" w:rsidP="00C878AB">
      <w:pPr>
        <w:spacing w:after="0" w:line="480" w:lineRule="auto"/>
        <w:jc w:val="both"/>
        <w:rPr>
          <w:rFonts w:ascii="Arial" w:hAnsi="Arial" w:cs="Arial"/>
          <w:sz w:val="24"/>
          <w:szCs w:val="24"/>
        </w:rPr>
      </w:pPr>
    </w:p>
    <w:p w:rsidR="00175E6E" w:rsidRDefault="00944AA3" w:rsidP="00C878AB">
      <w:pPr>
        <w:spacing w:after="0" w:line="480" w:lineRule="auto"/>
        <w:jc w:val="both"/>
        <w:rPr>
          <w:rFonts w:ascii="Arial" w:hAnsi="Arial" w:cs="Arial"/>
          <w:sz w:val="24"/>
          <w:szCs w:val="24"/>
        </w:rPr>
      </w:pPr>
      <w:r>
        <w:rPr>
          <w:rFonts w:ascii="Arial" w:hAnsi="Arial" w:cs="Arial"/>
          <w:sz w:val="24"/>
          <w:szCs w:val="24"/>
        </w:rPr>
        <w:lastRenderedPageBreak/>
        <w:t>[28</w:t>
      </w:r>
      <w:r w:rsidR="003B659B">
        <w:rPr>
          <w:rFonts w:ascii="Arial" w:hAnsi="Arial" w:cs="Arial"/>
          <w:sz w:val="24"/>
          <w:szCs w:val="24"/>
        </w:rPr>
        <w:t>]</w:t>
      </w:r>
      <w:r w:rsidR="003B659B">
        <w:rPr>
          <w:rFonts w:ascii="Arial" w:hAnsi="Arial" w:cs="Arial"/>
          <w:sz w:val="24"/>
          <w:szCs w:val="24"/>
        </w:rPr>
        <w:tab/>
      </w:r>
      <w:r w:rsidR="0011650D">
        <w:rPr>
          <w:rFonts w:ascii="Arial" w:hAnsi="Arial" w:cs="Arial"/>
          <w:sz w:val="24"/>
          <w:szCs w:val="24"/>
        </w:rPr>
        <w:t>Furthermore</w:t>
      </w:r>
      <w:r w:rsidR="00D34101">
        <w:rPr>
          <w:rFonts w:ascii="Arial" w:hAnsi="Arial" w:cs="Arial"/>
          <w:sz w:val="24"/>
          <w:szCs w:val="24"/>
        </w:rPr>
        <w:t xml:space="preserve">, </w:t>
      </w:r>
      <w:r w:rsidR="00703045">
        <w:rPr>
          <w:rFonts w:ascii="Arial" w:hAnsi="Arial" w:cs="Arial"/>
          <w:sz w:val="24"/>
          <w:szCs w:val="24"/>
        </w:rPr>
        <w:t xml:space="preserve">I </w:t>
      </w:r>
      <w:r w:rsidR="006E4029">
        <w:rPr>
          <w:rFonts w:ascii="Arial" w:hAnsi="Arial" w:cs="Arial"/>
          <w:sz w:val="24"/>
          <w:szCs w:val="24"/>
        </w:rPr>
        <w:t xml:space="preserve">share </w:t>
      </w:r>
      <w:r w:rsidR="00703045">
        <w:rPr>
          <w:rFonts w:ascii="Arial" w:hAnsi="Arial" w:cs="Arial"/>
          <w:sz w:val="24"/>
          <w:szCs w:val="24"/>
        </w:rPr>
        <w:t xml:space="preserve">the views expressed by </w:t>
      </w:r>
      <w:r w:rsidR="00703045" w:rsidRPr="00F80AAB">
        <w:rPr>
          <w:rFonts w:ascii="Arial" w:hAnsi="Arial" w:cs="Arial"/>
          <w:i/>
          <w:sz w:val="24"/>
          <w:szCs w:val="24"/>
        </w:rPr>
        <w:t>Mr Engelbrecht</w:t>
      </w:r>
      <w:r w:rsidR="005137D4">
        <w:rPr>
          <w:rFonts w:ascii="Arial" w:hAnsi="Arial" w:cs="Arial"/>
          <w:sz w:val="24"/>
          <w:szCs w:val="24"/>
        </w:rPr>
        <w:t xml:space="preserve">, who appeared for the respondent, </w:t>
      </w:r>
      <w:r w:rsidR="00703045">
        <w:rPr>
          <w:rFonts w:ascii="Arial" w:hAnsi="Arial" w:cs="Arial"/>
          <w:sz w:val="24"/>
          <w:szCs w:val="24"/>
        </w:rPr>
        <w:t>that the respondent was in any event not required to be registered as a credit provider to lawfully conclude the personal loan agreement</w:t>
      </w:r>
      <w:r w:rsidR="00175E6E">
        <w:rPr>
          <w:rFonts w:ascii="Arial" w:hAnsi="Arial" w:cs="Arial"/>
          <w:sz w:val="24"/>
          <w:szCs w:val="24"/>
        </w:rPr>
        <w:t xml:space="preserve"> in that the personal loan agreement was concluded on 18 March 2014. At that time, section 40(1) of the NCA provided as follows:</w:t>
      </w:r>
    </w:p>
    <w:p w:rsidR="00703045" w:rsidRPr="00175E6E" w:rsidRDefault="0011650D" w:rsidP="00C878AB">
      <w:pPr>
        <w:spacing w:after="0" w:line="360" w:lineRule="auto"/>
        <w:jc w:val="both"/>
        <w:rPr>
          <w:rFonts w:ascii="Arial" w:hAnsi="Arial" w:cs="Arial"/>
        </w:rPr>
      </w:pPr>
      <w:r>
        <w:rPr>
          <w:rFonts w:ascii="Arial" w:hAnsi="Arial" w:cs="Arial"/>
        </w:rPr>
        <w:t>‘</w:t>
      </w:r>
      <w:r w:rsidR="00175E6E" w:rsidRPr="00175E6E">
        <w:rPr>
          <w:rFonts w:ascii="Arial" w:hAnsi="Arial" w:cs="Arial"/>
        </w:rPr>
        <w:t xml:space="preserve">(1) A person must apply to be registered as a credit provider if – </w:t>
      </w:r>
    </w:p>
    <w:p w:rsidR="00175E6E" w:rsidRPr="00175E6E" w:rsidRDefault="00175E6E" w:rsidP="00C878AB">
      <w:pPr>
        <w:pStyle w:val="ListParagraph"/>
        <w:numPr>
          <w:ilvl w:val="0"/>
          <w:numId w:val="4"/>
        </w:numPr>
        <w:spacing w:after="0" w:line="480" w:lineRule="auto"/>
        <w:jc w:val="both"/>
        <w:rPr>
          <w:rFonts w:ascii="Arial" w:hAnsi="Arial" w:cs="Arial"/>
        </w:rPr>
      </w:pPr>
      <w:r w:rsidRPr="00175E6E">
        <w:rPr>
          <w:rFonts w:ascii="Arial" w:hAnsi="Arial" w:cs="Arial"/>
        </w:rPr>
        <w:t>That person, alone or in conjunction with any associated person, is the credit provider under at least 100 credit agreement</w:t>
      </w:r>
      <w:r w:rsidR="00FE38F0">
        <w:rPr>
          <w:rFonts w:ascii="Arial" w:hAnsi="Arial" w:cs="Arial"/>
        </w:rPr>
        <w:t>s</w:t>
      </w:r>
      <w:r w:rsidRPr="00175E6E">
        <w:rPr>
          <w:rFonts w:ascii="Arial" w:hAnsi="Arial" w:cs="Arial"/>
        </w:rPr>
        <w:t>, other than incidental agreements; or</w:t>
      </w:r>
    </w:p>
    <w:p w:rsidR="00175E6E" w:rsidRDefault="00175E6E" w:rsidP="00C878AB">
      <w:pPr>
        <w:pStyle w:val="ListParagraph"/>
        <w:numPr>
          <w:ilvl w:val="0"/>
          <w:numId w:val="4"/>
        </w:numPr>
        <w:spacing w:after="0" w:line="480" w:lineRule="auto"/>
        <w:jc w:val="both"/>
        <w:rPr>
          <w:rFonts w:ascii="Arial" w:hAnsi="Arial" w:cs="Arial"/>
        </w:rPr>
      </w:pPr>
      <w:r w:rsidRPr="00175E6E">
        <w:rPr>
          <w:rFonts w:ascii="Arial" w:hAnsi="Arial" w:cs="Arial"/>
        </w:rPr>
        <w:t xml:space="preserve">The total principal debt owed to that credit provider under all outstanding credit agreements, other than incidental credit agreements, exceeds the </w:t>
      </w:r>
      <w:r w:rsidR="00F5252B" w:rsidRPr="00175E6E">
        <w:rPr>
          <w:rFonts w:ascii="Arial" w:hAnsi="Arial" w:cs="Arial"/>
        </w:rPr>
        <w:t xml:space="preserve">threshold </w:t>
      </w:r>
      <w:r w:rsidR="00F5252B">
        <w:rPr>
          <w:rFonts w:ascii="Arial" w:hAnsi="Arial" w:cs="Arial"/>
        </w:rPr>
        <w:t xml:space="preserve">(‘R500 000 at the time’) </w:t>
      </w:r>
      <w:r w:rsidRPr="00175E6E">
        <w:rPr>
          <w:rFonts w:ascii="Arial" w:hAnsi="Arial" w:cs="Arial"/>
        </w:rPr>
        <w:t>prescribed in terms of section 42(1)</w:t>
      </w:r>
      <w:r>
        <w:rPr>
          <w:rFonts w:ascii="Arial" w:hAnsi="Arial" w:cs="Arial"/>
        </w:rPr>
        <w:t>.</w:t>
      </w:r>
      <w:r w:rsidR="0011650D">
        <w:rPr>
          <w:rFonts w:ascii="Arial" w:hAnsi="Arial" w:cs="Arial"/>
        </w:rPr>
        <w:t>’</w:t>
      </w:r>
    </w:p>
    <w:p w:rsidR="00AD4251" w:rsidRDefault="00AD4251" w:rsidP="00AD4251">
      <w:pPr>
        <w:spacing w:after="0" w:line="480" w:lineRule="auto"/>
        <w:jc w:val="both"/>
        <w:rPr>
          <w:rFonts w:ascii="Arial" w:hAnsi="Arial" w:cs="Arial"/>
          <w:sz w:val="24"/>
          <w:szCs w:val="24"/>
        </w:rPr>
      </w:pPr>
    </w:p>
    <w:p w:rsidR="005137D4" w:rsidRPr="00633B4F" w:rsidRDefault="00944AA3" w:rsidP="00AD4251">
      <w:pPr>
        <w:spacing w:after="0" w:line="480" w:lineRule="auto"/>
        <w:jc w:val="both"/>
        <w:rPr>
          <w:rFonts w:ascii="Arial" w:hAnsi="Arial" w:cs="Arial"/>
          <w:color w:val="000000"/>
          <w:sz w:val="24"/>
          <w:szCs w:val="24"/>
        </w:rPr>
      </w:pPr>
      <w:r>
        <w:rPr>
          <w:rFonts w:ascii="Arial" w:hAnsi="Arial" w:cs="Arial"/>
          <w:sz w:val="24"/>
          <w:szCs w:val="24"/>
        </w:rPr>
        <w:t>[29</w:t>
      </w:r>
      <w:r w:rsidR="003B659B">
        <w:rPr>
          <w:rFonts w:ascii="Arial" w:hAnsi="Arial" w:cs="Arial"/>
          <w:sz w:val="24"/>
          <w:szCs w:val="24"/>
        </w:rPr>
        <w:t>]</w:t>
      </w:r>
      <w:r w:rsidR="003B659B">
        <w:rPr>
          <w:rFonts w:ascii="Arial" w:hAnsi="Arial" w:cs="Arial"/>
          <w:sz w:val="24"/>
          <w:szCs w:val="24"/>
        </w:rPr>
        <w:tab/>
      </w:r>
      <w:r w:rsidR="00175E6E" w:rsidRPr="00A233D5">
        <w:rPr>
          <w:rFonts w:ascii="Arial" w:hAnsi="Arial" w:cs="Arial"/>
          <w:sz w:val="24"/>
          <w:szCs w:val="24"/>
        </w:rPr>
        <w:t xml:space="preserve">The respondent’s evidence was that her loan to the appellant was the first she had ever made to anyone. </w:t>
      </w:r>
      <w:r w:rsidR="00D34101" w:rsidRPr="00A233D5">
        <w:rPr>
          <w:rFonts w:ascii="Arial" w:hAnsi="Arial" w:cs="Arial"/>
          <w:sz w:val="24"/>
          <w:szCs w:val="24"/>
        </w:rPr>
        <w:t xml:space="preserve">It was only for R117 000. </w:t>
      </w:r>
      <w:r w:rsidR="00A233D5" w:rsidRPr="00A233D5">
        <w:rPr>
          <w:rFonts w:ascii="Arial" w:hAnsi="Arial" w:cs="Arial"/>
          <w:sz w:val="24"/>
          <w:szCs w:val="24"/>
        </w:rPr>
        <w:t xml:space="preserve">The respondent was not in the </w:t>
      </w:r>
      <w:r w:rsidR="00A233D5" w:rsidRPr="004A0B3D">
        <w:rPr>
          <w:rFonts w:ascii="Arial" w:hAnsi="Arial" w:cs="Arial"/>
          <w:sz w:val="24"/>
          <w:szCs w:val="24"/>
        </w:rPr>
        <w:t xml:space="preserve">business of lending credit to consumers. </w:t>
      </w:r>
      <w:r w:rsidR="0011650D">
        <w:rPr>
          <w:rFonts w:ascii="Arial" w:hAnsi="Arial" w:cs="Arial"/>
          <w:sz w:val="24"/>
          <w:szCs w:val="24"/>
        </w:rPr>
        <w:t xml:space="preserve">She did not strive to benefit or profit from the loan. </w:t>
      </w:r>
      <w:r w:rsidR="00A233D5" w:rsidRPr="004A0B3D">
        <w:rPr>
          <w:rFonts w:ascii="Arial" w:hAnsi="Arial" w:cs="Arial"/>
          <w:sz w:val="24"/>
          <w:szCs w:val="24"/>
        </w:rPr>
        <w:t>T</w:t>
      </w:r>
      <w:r w:rsidR="00A233D5" w:rsidRPr="004A0B3D">
        <w:rPr>
          <w:rFonts w:ascii="Arial" w:hAnsi="Arial" w:cs="Arial"/>
          <w:color w:val="000000"/>
          <w:sz w:val="24"/>
          <w:szCs w:val="24"/>
        </w:rPr>
        <w:t xml:space="preserve">his was </w:t>
      </w:r>
      <w:r w:rsidR="009D6366">
        <w:rPr>
          <w:rFonts w:ascii="Arial" w:hAnsi="Arial" w:cs="Arial"/>
          <w:color w:val="000000"/>
          <w:sz w:val="24"/>
          <w:szCs w:val="24"/>
        </w:rPr>
        <w:t xml:space="preserve">the </w:t>
      </w:r>
      <w:r w:rsidR="00A233D5" w:rsidRPr="004A0B3D">
        <w:rPr>
          <w:rFonts w:ascii="Arial" w:hAnsi="Arial" w:cs="Arial"/>
          <w:color w:val="000000"/>
          <w:sz w:val="24"/>
          <w:szCs w:val="24"/>
        </w:rPr>
        <w:t xml:space="preserve">once-off transaction that she concluded to assist her friend. </w:t>
      </w:r>
      <w:r w:rsidR="00DE64FF">
        <w:rPr>
          <w:rFonts w:ascii="Arial" w:hAnsi="Arial" w:cs="Arial"/>
          <w:color w:val="000000"/>
          <w:sz w:val="24"/>
          <w:szCs w:val="24"/>
        </w:rPr>
        <w:t xml:space="preserve">See </w:t>
      </w:r>
      <w:r w:rsidR="00DE64FF" w:rsidRPr="00DE64FF">
        <w:rPr>
          <w:rFonts w:ascii="Arial" w:hAnsi="Arial" w:cs="Arial"/>
          <w:i/>
          <w:color w:val="000000"/>
          <w:sz w:val="24"/>
          <w:szCs w:val="24"/>
        </w:rPr>
        <w:t xml:space="preserve">Friend v Sendal </w:t>
      </w:r>
      <w:r w:rsidR="00DE64FF">
        <w:rPr>
          <w:rFonts w:ascii="Arial" w:hAnsi="Arial" w:cs="Arial"/>
          <w:color w:val="000000"/>
          <w:sz w:val="24"/>
          <w:szCs w:val="24"/>
        </w:rPr>
        <w:t>2015 (1) SA 395 (GP).</w:t>
      </w:r>
      <w:r w:rsidR="004A0B3D">
        <w:rPr>
          <w:rFonts w:ascii="Arial" w:hAnsi="Arial" w:cs="Arial"/>
          <w:color w:val="000000"/>
          <w:sz w:val="24"/>
          <w:szCs w:val="24"/>
        </w:rPr>
        <w:t xml:space="preserve"> </w:t>
      </w:r>
      <w:r w:rsidR="00633B4F">
        <w:rPr>
          <w:rFonts w:ascii="Arial" w:hAnsi="Arial" w:cs="Arial"/>
          <w:color w:val="000000"/>
          <w:sz w:val="24"/>
          <w:szCs w:val="24"/>
        </w:rPr>
        <w:t xml:space="preserve">But in any event, as pointed out by </w:t>
      </w:r>
      <w:r w:rsidR="00633B4F">
        <w:rPr>
          <w:rFonts w:ascii="Arial" w:hAnsi="Arial" w:cs="Arial"/>
          <w:i/>
          <w:color w:val="000000"/>
          <w:sz w:val="24"/>
          <w:szCs w:val="24"/>
        </w:rPr>
        <w:t>Mr</w:t>
      </w:r>
      <w:r w:rsidR="00B303D8">
        <w:rPr>
          <w:rFonts w:ascii="Arial" w:hAnsi="Arial" w:cs="Arial"/>
          <w:i/>
          <w:color w:val="000000"/>
          <w:sz w:val="24"/>
          <w:szCs w:val="24"/>
        </w:rPr>
        <w:t> </w:t>
      </w:r>
      <w:r w:rsidR="00633B4F">
        <w:rPr>
          <w:rFonts w:ascii="Arial" w:hAnsi="Arial" w:cs="Arial"/>
          <w:i/>
          <w:color w:val="000000"/>
          <w:sz w:val="24"/>
          <w:szCs w:val="24"/>
        </w:rPr>
        <w:t>Engelbrecht</w:t>
      </w:r>
      <w:r w:rsidR="00633B4F">
        <w:rPr>
          <w:rFonts w:ascii="Arial" w:hAnsi="Arial" w:cs="Arial"/>
          <w:color w:val="000000"/>
          <w:sz w:val="24"/>
          <w:szCs w:val="24"/>
        </w:rPr>
        <w:t xml:space="preserve">, the total of the loan to the appellant of R117 000 plus the </w:t>
      </w:r>
      <w:r w:rsidR="00B303D8">
        <w:rPr>
          <w:rFonts w:ascii="Arial" w:hAnsi="Arial" w:cs="Arial"/>
          <w:color w:val="000000"/>
          <w:sz w:val="24"/>
          <w:szCs w:val="24"/>
        </w:rPr>
        <w:t xml:space="preserve">loans advanced by the respondent to the company of R67 245, and even including other amounts paid by the respondent during 2014 for the franchise to be purchased and commence business of R221 722, i.e. R405 967, fell below the R500 000 threshold at the time. </w:t>
      </w:r>
    </w:p>
    <w:p w:rsidR="005137D4" w:rsidRDefault="005137D4" w:rsidP="00AD4251">
      <w:pPr>
        <w:spacing w:after="0" w:line="480" w:lineRule="auto"/>
        <w:jc w:val="both"/>
        <w:rPr>
          <w:rFonts w:ascii="Arial" w:hAnsi="Arial" w:cs="Arial"/>
          <w:sz w:val="24"/>
          <w:szCs w:val="24"/>
        </w:rPr>
      </w:pPr>
    </w:p>
    <w:p w:rsidR="00256D5D" w:rsidRPr="00F80AAB" w:rsidRDefault="005137D4" w:rsidP="00AD4251">
      <w:pPr>
        <w:spacing w:after="0" w:line="480" w:lineRule="auto"/>
        <w:jc w:val="both"/>
        <w:rPr>
          <w:rFonts w:ascii="Arial" w:hAnsi="Arial" w:cs="Arial"/>
          <w:color w:val="000000"/>
          <w:sz w:val="24"/>
          <w:szCs w:val="24"/>
        </w:rPr>
      </w:pPr>
      <w:r>
        <w:rPr>
          <w:rFonts w:ascii="Arial" w:hAnsi="Arial" w:cs="Arial"/>
          <w:sz w:val="24"/>
          <w:szCs w:val="24"/>
        </w:rPr>
        <w:t xml:space="preserve">[30] </w:t>
      </w:r>
      <w:r>
        <w:rPr>
          <w:rFonts w:ascii="Arial" w:hAnsi="Arial" w:cs="Arial"/>
          <w:sz w:val="24"/>
          <w:szCs w:val="24"/>
        </w:rPr>
        <w:tab/>
      </w:r>
      <w:r w:rsidR="004A0B3D">
        <w:rPr>
          <w:rFonts w:ascii="Arial" w:hAnsi="Arial" w:cs="Arial"/>
          <w:sz w:val="24"/>
          <w:szCs w:val="24"/>
        </w:rPr>
        <w:t>In my view, t</w:t>
      </w:r>
      <w:r w:rsidR="00175E6E" w:rsidRPr="00F5252B">
        <w:rPr>
          <w:rFonts w:ascii="Arial" w:hAnsi="Arial" w:cs="Arial"/>
          <w:sz w:val="24"/>
          <w:szCs w:val="24"/>
        </w:rPr>
        <w:t xml:space="preserve">he respondent was </w:t>
      </w:r>
      <w:r w:rsidR="00F5252B" w:rsidRPr="00F5252B">
        <w:rPr>
          <w:rFonts w:ascii="Arial" w:hAnsi="Arial" w:cs="Arial"/>
          <w:sz w:val="24"/>
          <w:szCs w:val="24"/>
        </w:rPr>
        <w:t>not required to be registered as a credit provider at the time of the conclusion of the personal loan agreement</w:t>
      </w:r>
      <w:r w:rsidR="009D6366">
        <w:rPr>
          <w:rFonts w:ascii="Arial" w:hAnsi="Arial" w:cs="Arial"/>
          <w:sz w:val="24"/>
          <w:szCs w:val="24"/>
        </w:rPr>
        <w:t>. T</w:t>
      </w:r>
      <w:r w:rsidR="00F5252B" w:rsidRPr="00F5252B">
        <w:rPr>
          <w:rFonts w:ascii="Arial" w:hAnsi="Arial" w:cs="Arial"/>
          <w:sz w:val="24"/>
          <w:szCs w:val="24"/>
        </w:rPr>
        <w:t>hus</w:t>
      </w:r>
      <w:r w:rsidR="00F5252B">
        <w:rPr>
          <w:rFonts w:ascii="Arial" w:hAnsi="Arial" w:cs="Arial"/>
          <w:sz w:val="24"/>
          <w:szCs w:val="24"/>
        </w:rPr>
        <w:t>,</w:t>
      </w:r>
      <w:r w:rsidR="00F5252B" w:rsidRPr="00F5252B">
        <w:rPr>
          <w:rFonts w:ascii="Arial" w:hAnsi="Arial" w:cs="Arial"/>
          <w:sz w:val="24"/>
          <w:szCs w:val="24"/>
        </w:rPr>
        <w:t xml:space="preserve"> section 40(4) of the NCA does not apply. </w:t>
      </w:r>
      <w:r w:rsidR="009D6366" w:rsidRPr="009D6366">
        <w:rPr>
          <w:rFonts w:ascii="Arial" w:hAnsi="Arial" w:cs="Arial"/>
          <w:sz w:val="24"/>
          <w:szCs w:val="24"/>
        </w:rPr>
        <w:t xml:space="preserve">Given these considerations, it follows that the court </w:t>
      </w:r>
      <w:r w:rsidR="009D6366" w:rsidRPr="0011650D">
        <w:rPr>
          <w:rFonts w:ascii="Arial" w:hAnsi="Arial" w:cs="Arial"/>
          <w:i/>
          <w:sz w:val="24"/>
          <w:szCs w:val="24"/>
        </w:rPr>
        <w:lastRenderedPageBreak/>
        <w:t>a quo</w:t>
      </w:r>
      <w:r w:rsidR="009D6366" w:rsidRPr="009D6366">
        <w:rPr>
          <w:rFonts w:ascii="Arial" w:hAnsi="Arial" w:cs="Arial"/>
          <w:sz w:val="24"/>
          <w:szCs w:val="24"/>
        </w:rPr>
        <w:t xml:space="preserve"> was correct in its conclusion that the NCA does not find application to the loan agreement between the parties.</w:t>
      </w:r>
      <w:r w:rsidR="00703045" w:rsidRPr="00F5252B">
        <w:rPr>
          <w:rFonts w:ascii="Arial" w:hAnsi="Arial" w:cs="Arial"/>
          <w:sz w:val="24"/>
          <w:szCs w:val="24"/>
        </w:rPr>
        <w:t xml:space="preserve"> </w:t>
      </w:r>
      <w:r w:rsidR="009D6366" w:rsidRPr="009D6366">
        <w:rPr>
          <w:rFonts w:ascii="Arial" w:hAnsi="Arial" w:cs="Arial"/>
          <w:sz w:val="24"/>
          <w:szCs w:val="24"/>
        </w:rPr>
        <w:t xml:space="preserve">This leads me to the alternative defence raised by the appellant that the sale of shares agreement extinguished the respondent's claim. </w:t>
      </w:r>
    </w:p>
    <w:p w:rsidR="00AD4251" w:rsidRDefault="00AD4251" w:rsidP="00AD4251">
      <w:pPr>
        <w:spacing w:after="0" w:line="480" w:lineRule="auto"/>
        <w:jc w:val="both"/>
        <w:rPr>
          <w:rFonts w:ascii="Arial" w:hAnsi="Arial" w:cs="Arial"/>
          <w:b/>
          <w:sz w:val="24"/>
          <w:szCs w:val="24"/>
        </w:rPr>
      </w:pPr>
    </w:p>
    <w:p w:rsidR="00D115BA" w:rsidRDefault="00D115BA" w:rsidP="00AD4251">
      <w:pPr>
        <w:spacing w:after="0" w:line="480" w:lineRule="auto"/>
        <w:jc w:val="both"/>
        <w:rPr>
          <w:rFonts w:ascii="Arial" w:hAnsi="Arial" w:cs="Arial"/>
          <w:b/>
          <w:sz w:val="24"/>
          <w:szCs w:val="24"/>
        </w:rPr>
      </w:pPr>
      <w:r w:rsidRPr="00434006">
        <w:rPr>
          <w:rFonts w:ascii="Arial" w:hAnsi="Arial" w:cs="Arial"/>
          <w:b/>
          <w:sz w:val="24"/>
          <w:szCs w:val="24"/>
        </w:rPr>
        <w:t>Rectification of the sale of shares agreement</w:t>
      </w:r>
    </w:p>
    <w:p w:rsidR="00AD4251" w:rsidRPr="00434006" w:rsidRDefault="00AD4251" w:rsidP="00AD4251">
      <w:pPr>
        <w:spacing w:after="0" w:line="480" w:lineRule="auto"/>
        <w:jc w:val="both"/>
        <w:rPr>
          <w:rFonts w:ascii="Arial" w:hAnsi="Arial" w:cs="Arial"/>
          <w:b/>
          <w:sz w:val="24"/>
          <w:szCs w:val="24"/>
        </w:rPr>
      </w:pPr>
    </w:p>
    <w:p w:rsidR="000B6147" w:rsidRDefault="00944AA3" w:rsidP="00E379FA">
      <w:pPr>
        <w:spacing w:after="0" w:line="480" w:lineRule="auto"/>
        <w:jc w:val="both"/>
        <w:rPr>
          <w:rFonts w:ascii="Arial" w:hAnsi="Arial" w:cs="Arial"/>
          <w:sz w:val="24"/>
          <w:szCs w:val="24"/>
        </w:rPr>
      </w:pPr>
      <w:r>
        <w:rPr>
          <w:rFonts w:ascii="Arial" w:hAnsi="Arial" w:cs="Arial"/>
          <w:sz w:val="24"/>
          <w:szCs w:val="24"/>
        </w:rPr>
        <w:t>[3</w:t>
      </w:r>
      <w:r w:rsidR="002D3362">
        <w:rPr>
          <w:rFonts w:ascii="Arial" w:hAnsi="Arial" w:cs="Arial"/>
          <w:sz w:val="24"/>
          <w:szCs w:val="24"/>
        </w:rPr>
        <w:t>1</w:t>
      </w:r>
      <w:r w:rsidR="003B659B">
        <w:rPr>
          <w:rFonts w:ascii="Arial" w:hAnsi="Arial" w:cs="Arial"/>
          <w:sz w:val="24"/>
          <w:szCs w:val="24"/>
        </w:rPr>
        <w:t>]</w:t>
      </w:r>
      <w:r w:rsidR="003B659B">
        <w:rPr>
          <w:rFonts w:ascii="Arial" w:hAnsi="Arial" w:cs="Arial"/>
          <w:sz w:val="24"/>
          <w:szCs w:val="24"/>
        </w:rPr>
        <w:tab/>
      </w:r>
      <w:r w:rsidR="00434006">
        <w:rPr>
          <w:rFonts w:ascii="Arial" w:hAnsi="Arial" w:cs="Arial"/>
          <w:sz w:val="24"/>
          <w:szCs w:val="24"/>
        </w:rPr>
        <w:t>The appellant contended that the written sale agreement concluded between the parties on 15 February 2019</w:t>
      </w:r>
      <w:r w:rsidR="00002B8B">
        <w:rPr>
          <w:rFonts w:ascii="Arial" w:hAnsi="Arial" w:cs="Arial"/>
          <w:sz w:val="24"/>
          <w:szCs w:val="24"/>
        </w:rPr>
        <w:t>,</w:t>
      </w:r>
      <w:r w:rsidR="00434006">
        <w:rPr>
          <w:rFonts w:ascii="Arial" w:hAnsi="Arial" w:cs="Arial"/>
          <w:sz w:val="24"/>
          <w:szCs w:val="24"/>
        </w:rPr>
        <w:t xml:space="preserve"> in which the respondent sold her shares in Kandy &amp; Co to the appellant, does not correctly reflect the parties</w:t>
      </w:r>
      <w:r w:rsidR="009D6366">
        <w:rPr>
          <w:rFonts w:ascii="Arial" w:hAnsi="Arial" w:cs="Arial"/>
          <w:sz w:val="24"/>
          <w:szCs w:val="24"/>
        </w:rPr>
        <w:t>’ agreement or common intention</w:t>
      </w:r>
      <w:r w:rsidR="0011650D">
        <w:rPr>
          <w:rFonts w:ascii="Arial" w:hAnsi="Arial" w:cs="Arial"/>
          <w:sz w:val="24"/>
          <w:szCs w:val="24"/>
        </w:rPr>
        <w:t>.</w:t>
      </w:r>
      <w:r w:rsidR="001F0786">
        <w:rPr>
          <w:rFonts w:ascii="Arial" w:hAnsi="Arial" w:cs="Arial"/>
          <w:sz w:val="24"/>
          <w:szCs w:val="24"/>
        </w:rPr>
        <w:t xml:space="preserve"> </w:t>
      </w:r>
      <w:r w:rsidR="0011650D">
        <w:rPr>
          <w:rFonts w:ascii="Arial" w:hAnsi="Arial" w:cs="Arial"/>
          <w:sz w:val="24"/>
          <w:szCs w:val="24"/>
        </w:rPr>
        <w:t>The appellant contended that the sale of share</w:t>
      </w:r>
      <w:r w:rsidR="00FE38F0">
        <w:rPr>
          <w:rFonts w:ascii="Arial" w:hAnsi="Arial" w:cs="Arial"/>
          <w:sz w:val="24"/>
          <w:szCs w:val="24"/>
        </w:rPr>
        <w:t>s</w:t>
      </w:r>
      <w:r w:rsidR="0011650D">
        <w:rPr>
          <w:rFonts w:ascii="Arial" w:hAnsi="Arial" w:cs="Arial"/>
          <w:sz w:val="24"/>
          <w:szCs w:val="24"/>
        </w:rPr>
        <w:t xml:space="preserve"> agreement did</w:t>
      </w:r>
      <w:r w:rsidR="00434006">
        <w:rPr>
          <w:rFonts w:ascii="Arial" w:hAnsi="Arial" w:cs="Arial"/>
          <w:sz w:val="24"/>
          <w:szCs w:val="24"/>
        </w:rPr>
        <w:t xml:space="preserve"> not record </w:t>
      </w:r>
      <w:r w:rsidR="00BA1C1F">
        <w:rPr>
          <w:rFonts w:ascii="Arial" w:hAnsi="Arial" w:cs="Arial"/>
          <w:sz w:val="24"/>
          <w:szCs w:val="24"/>
        </w:rPr>
        <w:t xml:space="preserve">the settlement </w:t>
      </w:r>
      <w:r w:rsidR="00434006">
        <w:rPr>
          <w:rFonts w:ascii="Arial" w:hAnsi="Arial" w:cs="Arial"/>
          <w:sz w:val="24"/>
          <w:szCs w:val="24"/>
        </w:rPr>
        <w:t>of the respondent</w:t>
      </w:r>
      <w:r w:rsidR="0011650D">
        <w:rPr>
          <w:rFonts w:ascii="Arial" w:hAnsi="Arial" w:cs="Arial"/>
          <w:sz w:val="24"/>
          <w:szCs w:val="24"/>
        </w:rPr>
        <w:t>’</w:t>
      </w:r>
      <w:r w:rsidR="00434006">
        <w:rPr>
          <w:rFonts w:ascii="Arial" w:hAnsi="Arial" w:cs="Arial"/>
          <w:sz w:val="24"/>
          <w:szCs w:val="24"/>
        </w:rPr>
        <w:t xml:space="preserve">s claim under the personal loan agreement against the appellant. </w:t>
      </w:r>
      <w:r w:rsidR="007264BB">
        <w:rPr>
          <w:rFonts w:ascii="Arial" w:hAnsi="Arial" w:cs="Arial"/>
          <w:sz w:val="24"/>
          <w:szCs w:val="24"/>
        </w:rPr>
        <w:t xml:space="preserve">The appellant asserts that this was </w:t>
      </w:r>
      <w:r w:rsidR="00BA1C1F">
        <w:rPr>
          <w:rFonts w:ascii="Arial" w:hAnsi="Arial" w:cs="Arial"/>
          <w:sz w:val="24"/>
          <w:szCs w:val="24"/>
        </w:rPr>
        <w:t xml:space="preserve">caused </w:t>
      </w:r>
      <w:r w:rsidR="007264BB">
        <w:rPr>
          <w:rFonts w:ascii="Arial" w:hAnsi="Arial" w:cs="Arial"/>
          <w:sz w:val="24"/>
          <w:szCs w:val="24"/>
        </w:rPr>
        <w:t xml:space="preserve">by a bona fide mutual mistake between the parties. </w:t>
      </w:r>
    </w:p>
    <w:p w:rsidR="000B6147" w:rsidRDefault="000B6147" w:rsidP="00E379FA">
      <w:pPr>
        <w:spacing w:after="0" w:line="480" w:lineRule="auto"/>
        <w:jc w:val="both"/>
        <w:rPr>
          <w:rFonts w:ascii="Arial" w:hAnsi="Arial" w:cs="Arial"/>
          <w:sz w:val="24"/>
          <w:szCs w:val="24"/>
        </w:rPr>
      </w:pPr>
    </w:p>
    <w:p w:rsidR="00AD4251" w:rsidRDefault="00944AA3" w:rsidP="00E379FA">
      <w:pPr>
        <w:spacing w:after="0" w:line="480" w:lineRule="auto"/>
        <w:jc w:val="both"/>
        <w:rPr>
          <w:rFonts w:ascii="Arial" w:hAnsi="Arial" w:cs="Arial"/>
          <w:sz w:val="24"/>
          <w:szCs w:val="24"/>
        </w:rPr>
      </w:pPr>
      <w:r>
        <w:rPr>
          <w:rFonts w:ascii="Arial" w:hAnsi="Arial" w:cs="Arial"/>
          <w:sz w:val="24"/>
          <w:szCs w:val="24"/>
        </w:rPr>
        <w:t>[3</w:t>
      </w:r>
      <w:r w:rsidR="002D3362">
        <w:rPr>
          <w:rFonts w:ascii="Arial" w:hAnsi="Arial" w:cs="Arial"/>
          <w:sz w:val="24"/>
          <w:szCs w:val="24"/>
        </w:rPr>
        <w:t>2</w:t>
      </w:r>
      <w:r w:rsidR="003B659B">
        <w:rPr>
          <w:rFonts w:ascii="Arial" w:hAnsi="Arial" w:cs="Arial"/>
          <w:sz w:val="24"/>
          <w:szCs w:val="24"/>
        </w:rPr>
        <w:t>]</w:t>
      </w:r>
      <w:r w:rsidR="003B659B">
        <w:rPr>
          <w:rFonts w:ascii="Arial" w:hAnsi="Arial" w:cs="Arial"/>
          <w:sz w:val="24"/>
          <w:szCs w:val="24"/>
        </w:rPr>
        <w:tab/>
      </w:r>
      <w:r w:rsidR="00434006" w:rsidRPr="00F80AAB">
        <w:rPr>
          <w:rFonts w:ascii="Arial" w:hAnsi="Arial" w:cs="Arial"/>
          <w:i/>
          <w:sz w:val="24"/>
          <w:szCs w:val="24"/>
        </w:rPr>
        <w:t>Mr Van der Linde</w:t>
      </w:r>
      <w:r w:rsidR="00434006">
        <w:rPr>
          <w:rFonts w:ascii="Arial" w:hAnsi="Arial" w:cs="Arial"/>
          <w:sz w:val="24"/>
          <w:szCs w:val="24"/>
        </w:rPr>
        <w:t xml:space="preserve"> argued </w:t>
      </w:r>
      <w:r w:rsidR="004C14DD">
        <w:rPr>
          <w:rFonts w:ascii="Arial" w:hAnsi="Arial" w:cs="Arial"/>
          <w:sz w:val="24"/>
          <w:szCs w:val="24"/>
        </w:rPr>
        <w:t xml:space="preserve">on behalf of the appellant </w:t>
      </w:r>
      <w:r w:rsidR="00434006">
        <w:rPr>
          <w:rFonts w:ascii="Arial" w:hAnsi="Arial" w:cs="Arial"/>
          <w:sz w:val="24"/>
          <w:szCs w:val="24"/>
        </w:rPr>
        <w:t>that on a plain reading of the</w:t>
      </w:r>
      <w:r w:rsidR="000B6147">
        <w:rPr>
          <w:rFonts w:ascii="Arial" w:hAnsi="Arial" w:cs="Arial"/>
          <w:sz w:val="24"/>
          <w:szCs w:val="24"/>
        </w:rPr>
        <w:t xml:space="preserve"> appellant’s offer </w:t>
      </w:r>
      <w:r w:rsidR="0011650D">
        <w:rPr>
          <w:rFonts w:ascii="Arial" w:hAnsi="Arial" w:cs="Arial"/>
          <w:sz w:val="24"/>
          <w:szCs w:val="24"/>
        </w:rPr>
        <w:t xml:space="preserve">to the respondent </w:t>
      </w:r>
      <w:r w:rsidR="00434006">
        <w:rPr>
          <w:rFonts w:ascii="Arial" w:hAnsi="Arial" w:cs="Arial"/>
          <w:sz w:val="24"/>
          <w:szCs w:val="24"/>
        </w:rPr>
        <w:t>of 1</w:t>
      </w:r>
      <w:r w:rsidR="002D3362">
        <w:rPr>
          <w:rFonts w:ascii="Arial" w:hAnsi="Arial" w:cs="Arial"/>
          <w:sz w:val="24"/>
          <w:szCs w:val="24"/>
        </w:rPr>
        <w:t>2</w:t>
      </w:r>
      <w:r w:rsidR="00434006">
        <w:rPr>
          <w:rFonts w:ascii="Arial" w:hAnsi="Arial" w:cs="Arial"/>
          <w:sz w:val="24"/>
          <w:szCs w:val="24"/>
        </w:rPr>
        <w:t xml:space="preserve"> February 2019</w:t>
      </w:r>
      <w:r w:rsidR="007264BB">
        <w:rPr>
          <w:rFonts w:ascii="Arial" w:hAnsi="Arial" w:cs="Arial"/>
          <w:sz w:val="24"/>
          <w:szCs w:val="24"/>
        </w:rPr>
        <w:t xml:space="preserve">, </w:t>
      </w:r>
      <w:r w:rsidR="004C14DD">
        <w:rPr>
          <w:rFonts w:ascii="Arial" w:hAnsi="Arial" w:cs="Arial"/>
          <w:sz w:val="24"/>
          <w:szCs w:val="24"/>
        </w:rPr>
        <w:t>to which the sale of shares agreement was attached,</w:t>
      </w:r>
      <w:r w:rsidR="007264BB">
        <w:rPr>
          <w:rFonts w:ascii="Arial" w:hAnsi="Arial" w:cs="Arial"/>
          <w:sz w:val="24"/>
          <w:szCs w:val="24"/>
        </w:rPr>
        <w:t xml:space="preserve"> </w:t>
      </w:r>
      <w:r w:rsidR="00434006">
        <w:rPr>
          <w:rFonts w:ascii="Arial" w:hAnsi="Arial" w:cs="Arial"/>
          <w:sz w:val="24"/>
          <w:szCs w:val="24"/>
        </w:rPr>
        <w:t>two things</w:t>
      </w:r>
      <w:r w:rsidR="004C14DD">
        <w:rPr>
          <w:rFonts w:ascii="Arial" w:hAnsi="Arial" w:cs="Arial"/>
          <w:sz w:val="24"/>
          <w:szCs w:val="24"/>
        </w:rPr>
        <w:t xml:space="preserve"> </w:t>
      </w:r>
      <w:r w:rsidR="007264BB">
        <w:rPr>
          <w:rFonts w:ascii="Arial" w:hAnsi="Arial" w:cs="Arial"/>
          <w:sz w:val="24"/>
          <w:szCs w:val="24"/>
        </w:rPr>
        <w:t xml:space="preserve">are </w:t>
      </w:r>
      <w:r w:rsidR="004C14DD">
        <w:rPr>
          <w:rFonts w:ascii="Arial" w:hAnsi="Arial" w:cs="Arial"/>
          <w:sz w:val="24"/>
          <w:szCs w:val="24"/>
        </w:rPr>
        <w:t>suggested</w:t>
      </w:r>
      <w:r w:rsidR="00434006">
        <w:rPr>
          <w:rFonts w:ascii="Arial" w:hAnsi="Arial" w:cs="Arial"/>
          <w:sz w:val="24"/>
          <w:szCs w:val="24"/>
        </w:rPr>
        <w:t xml:space="preserve">: </w:t>
      </w:r>
      <w:r w:rsidR="00434006" w:rsidRPr="0011650D">
        <w:rPr>
          <w:rFonts w:ascii="Arial" w:hAnsi="Arial" w:cs="Arial"/>
          <w:i/>
          <w:sz w:val="24"/>
          <w:szCs w:val="24"/>
        </w:rPr>
        <w:t>first</w:t>
      </w:r>
      <w:r w:rsidR="00434006">
        <w:rPr>
          <w:rFonts w:ascii="Arial" w:hAnsi="Arial" w:cs="Arial"/>
          <w:sz w:val="24"/>
          <w:szCs w:val="24"/>
        </w:rPr>
        <w:t xml:space="preserve">, that the offer is for </w:t>
      </w:r>
      <w:r w:rsidR="007264BB">
        <w:rPr>
          <w:rFonts w:ascii="Arial" w:hAnsi="Arial" w:cs="Arial"/>
          <w:sz w:val="24"/>
          <w:szCs w:val="24"/>
        </w:rPr>
        <w:t xml:space="preserve">all </w:t>
      </w:r>
      <w:r w:rsidR="00434006">
        <w:rPr>
          <w:rFonts w:ascii="Arial" w:hAnsi="Arial" w:cs="Arial"/>
          <w:sz w:val="24"/>
          <w:szCs w:val="24"/>
        </w:rPr>
        <w:t>outstanding loans</w:t>
      </w:r>
      <w:r w:rsidR="008573B3">
        <w:rPr>
          <w:rFonts w:ascii="Arial" w:hAnsi="Arial" w:cs="Arial"/>
          <w:sz w:val="24"/>
          <w:szCs w:val="24"/>
        </w:rPr>
        <w:t>,</w:t>
      </w:r>
      <w:r w:rsidR="00434006">
        <w:rPr>
          <w:rFonts w:ascii="Arial" w:hAnsi="Arial" w:cs="Arial"/>
          <w:sz w:val="24"/>
          <w:szCs w:val="24"/>
        </w:rPr>
        <w:t xml:space="preserve"> and </w:t>
      </w:r>
      <w:r w:rsidR="00434006" w:rsidRPr="0011650D">
        <w:rPr>
          <w:rFonts w:ascii="Arial" w:hAnsi="Arial" w:cs="Arial"/>
          <w:i/>
          <w:sz w:val="24"/>
          <w:szCs w:val="24"/>
        </w:rPr>
        <w:t>secondly</w:t>
      </w:r>
      <w:r w:rsidR="00434006">
        <w:rPr>
          <w:rFonts w:ascii="Arial" w:hAnsi="Arial" w:cs="Arial"/>
          <w:sz w:val="24"/>
          <w:szCs w:val="24"/>
        </w:rPr>
        <w:t xml:space="preserve">, that </w:t>
      </w:r>
      <w:r w:rsidR="008573B3">
        <w:rPr>
          <w:rFonts w:ascii="Arial" w:hAnsi="Arial" w:cs="Arial"/>
          <w:sz w:val="24"/>
          <w:szCs w:val="24"/>
        </w:rPr>
        <w:t xml:space="preserve">the offer is also for </w:t>
      </w:r>
      <w:r w:rsidR="00AD4251">
        <w:rPr>
          <w:rFonts w:ascii="Arial" w:hAnsi="Arial" w:cs="Arial"/>
          <w:sz w:val="24"/>
          <w:szCs w:val="24"/>
        </w:rPr>
        <w:t xml:space="preserve">the </w:t>
      </w:r>
      <w:r w:rsidR="00434006">
        <w:rPr>
          <w:rFonts w:ascii="Arial" w:hAnsi="Arial" w:cs="Arial"/>
          <w:sz w:val="24"/>
          <w:szCs w:val="24"/>
        </w:rPr>
        <w:t xml:space="preserve">35 percent sale of the shares. </w:t>
      </w:r>
      <w:r w:rsidR="002D3362">
        <w:rPr>
          <w:rFonts w:ascii="Arial" w:hAnsi="Arial" w:cs="Arial"/>
          <w:sz w:val="24"/>
          <w:szCs w:val="24"/>
        </w:rPr>
        <w:t xml:space="preserve">He </w:t>
      </w:r>
      <w:r w:rsidR="007264BB">
        <w:rPr>
          <w:rFonts w:ascii="Arial" w:hAnsi="Arial" w:cs="Arial"/>
          <w:sz w:val="24"/>
          <w:szCs w:val="24"/>
        </w:rPr>
        <w:t xml:space="preserve">contended that the court </w:t>
      </w:r>
      <w:r w:rsidR="007264BB" w:rsidRPr="00AD4251">
        <w:rPr>
          <w:rFonts w:ascii="Arial" w:hAnsi="Arial" w:cs="Arial"/>
          <w:i/>
          <w:sz w:val="24"/>
          <w:szCs w:val="24"/>
        </w:rPr>
        <w:t>a quo</w:t>
      </w:r>
      <w:r w:rsidR="007264BB">
        <w:rPr>
          <w:rFonts w:ascii="Arial" w:hAnsi="Arial" w:cs="Arial"/>
          <w:sz w:val="24"/>
          <w:szCs w:val="24"/>
        </w:rPr>
        <w:t xml:space="preserve"> erred in dismissing the appellant’s counterclaim seeking </w:t>
      </w:r>
      <w:r w:rsidR="00E379FA">
        <w:rPr>
          <w:rFonts w:ascii="Arial" w:hAnsi="Arial" w:cs="Arial"/>
          <w:sz w:val="24"/>
          <w:szCs w:val="24"/>
        </w:rPr>
        <w:t>the</w:t>
      </w:r>
      <w:r w:rsidR="007264BB">
        <w:rPr>
          <w:rFonts w:ascii="Arial" w:hAnsi="Arial" w:cs="Arial"/>
          <w:sz w:val="24"/>
          <w:szCs w:val="24"/>
        </w:rPr>
        <w:t xml:space="preserve"> rectification of the sale of shares agreement </w:t>
      </w:r>
      <w:r w:rsidR="000B6147">
        <w:rPr>
          <w:rFonts w:ascii="Arial" w:hAnsi="Arial" w:cs="Arial"/>
          <w:sz w:val="24"/>
          <w:szCs w:val="24"/>
        </w:rPr>
        <w:t xml:space="preserve">to reflect that that </w:t>
      </w:r>
      <w:r w:rsidR="00E379FA">
        <w:rPr>
          <w:rFonts w:ascii="Arial" w:hAnsi="Arial" w:cs="Arial"/>
          <w:sz w:val="24"/>
          <w:szCs w:val="24"/>
        </w:rPr>
        <w:t xml:space="preserve">sale agreement was inclusive of all outstanding loans that the appellant owed the respondent. </w:t>
      </w:r>
      <w:r w:rsidR="00AD4251">
        <w:rPr>
          <w:rFonts w:ascii="Arial" w:hAnsi="Arial" w:cs="Arial"/>
          <w:sz w:val="24"/>
          <w:szCs w:val="24"/>
        </w:rPr>
        <w:t xml:space="preserve">It was asserted on behalf of the appellant that the reference to </w:t>
      </w:r>
      <w:r w:rsidR="00AD4251" w:rsidRPr="000B6147">
        <w:rPr>
          <w:rFonts w:ascii="Arial" w:hAnsi="Arial" w:cs="Arial"/>
          <w:i/>
          <w:sz w:val="24"/>
          <w:szCs w:val="24"/>
        </w:rPr>
        <w:t>all outstanding loans</w:t>
      </w:r>
      <w:r w:rsidR="00AD4251">
        <w:rPr>
          <w:rFonts w:ascii="Arial" w:hAnsi="Arial" w:cs="Arial"/>
          <w:sz w:val="24"/>
          <w:szCs w:val="24"/>
        </w:rPr>
        <w:t xml:space="preserve"> </w:t>
      </w:r>
      <w:r w:rsidR="000B6147">
        <w:rPr>
          <w:rFonts w:ascii="Arial" w:hAnsi="Arial" w:cs="Arial"/>
          <w:sz w:val="24"/>
          <w:szCs w:val="24"/>
        </w:rPr>
        <w:t>in the appellant’s offer (</w:t>
      </w:r>
      <w:r w:rsidR="002D3362">
        <w:rPr>
          <w:rFonts w:ascii="Arial" w:hAnsi="Arial" w:cs="Arial"/>
          <w:sz w:val="24"/>
          <w:szCs w:val="24"/>
        </w:rPr>
        <w:t>in the 12</w:t>
      </w:r>
      <w:r w:rsidR="000B6147">
        <w:rPr>
          <w:rFonts w:ascii="Arial" w:hAnsi="Arial" w:cs="Arial"/>
          <w:sz w:val="24"/>
          <w:szCs w:val="24"/>
        </w:rPr>
        <w:t xml:space="preserve"> February 2019 email) included</w:t>
      </w:r>
      <w:r w:rsidR="00AD4251">
        <w:rPr>
          <w:rFonts w:ascii="Arial" w:hAnsi="Arial" w:cs="Arial"/>
          <w:sz w:val="24"/>
          <w:szCs w:val="24"/>
        </w:rPr>
        <w:t xml:space="preserve"> the respondent’s claim under the personal loan agreement. </w:t>
      </w:r>
    </w:p>
    <w:p w:rsidR="00AD4251" w:rsidRDefault="00AD4251" w:rsidP="00E379FA">
      <w:pPr>
        <w:spacing w:after="0" w:line="480" w:lineRule="auto"/>
        <w:jc w:val="both"/>
        <w:rPr>
          <w:rFonts w:ascii="Arial" w:hAnsi="Arial" w:cs="Arial"/>
          <w:sz w:val="24"/>
          <w:szCs w:val="24"/>
        </w:rPr>
      </w:pPr>
    </w:p>
    <w:p w:rsidR="0011650D" w:rsidRDefault="00944AA3" w:rsidP="00E379FA">
      <w:pPr>
        <w:spacing w:after="0" w:line="480" w:lineRule="auto"/>
        <w:jc w:val="both"/>
        <w:rPr>
          <w:rFonts w:ascii="Arial" w:hAnsi="Arial" w:cs="Arial"/>
          <w:sz w:val="24"/>
          <w:szCs w:val="24"/>
        </w:rPr>
      </w:pPr>
      <w:r>
        <w:rPr>
          <w:rFonts w:ascii="Arial" w:hAnsi="Arial" w:cs="Arial"/>
          <w:sz w:val="24"/>
          <w:szCs w:val="24"/>
        </w:rPr>
        <w:lastRenderedPageBreak/>
        <w:t>[3</w:t>
      </w:r>
      <w:r w:rsidR="002D3362">
        <w:rPr>
          <w:rFonts w:ascii="Arial" w:hAnsi="Arial" w:cs="Arial"/>
          <w:sz w:val="24"/>
          <w:szCs w:val="24"/>
        </w:rPr>
        <w:t>3</w:t>
      </w:r>
      <w:r w:rsidR="003B659B">
        <w:rPr>
          <w:rFonts w:ascii="Arial" w:hAnsi="Arial" w:cs="Arial"/>
          <w:sz w:val="24"/>
          <w:szCs w:val="24"/>
        </w:rPr>
        <w:t>]</w:t>
      </w:r>
      <w:r w:rsidR="003B659B">
        <w:rPr>
          <w:rFonts w:ascii="Arial" w:hAnsi="Arial" w:cs="Arial"/>
          <w:sz w:val="24"/>
          <w:szCs w:val="24"/>
        </w:rPr>
        <w:tab/>
      </w:r>
      <w:r w:rsidR="00AD4251">
        <w:rPr>
          <w:rFonts w:ascii="Arial" w:hAnsi="Arial" w:cs="Arial"/>
          <w:sz w:val="24"/>
          <w:szCs w:val="24"/>
        </w:rPr>
        <w:t xml:space="preserve">Meanwhile, </w:t>
      </w:r>
      <w:r w:rsidR="000B6147" w:rsidRPr="00F80AAB">
        <w:rPr>
          <w:rFonts w:ascii="Arial" w:hAnsi="Arial" w:cs="Arial"/>
          <w:i/>
          <w:sz w:val="24"/>
          <w:szCs w:val="24"/>
        </w:rPr>
        <w:t>Mr Engelbrecht</w:t>
      </w:r>
      <w:r w:rsidR="000B6147">
        <w:rPr>
          <w:rFonts w:ascii="Arial" w:hAnsi="Arial" w:cs="Arial"/>
          <w:sz w:val="24"/>
          <w:szCs w:val="24"/>
        </w:rPr>
        <w:t xml:space="preserve"> argued on behalf of </w:t>
      </w:r>
      <w:r w:rsidR="00AD4251">
        <w:rPr>
          <w:rFonts w:ascii="Arial" w:hAnsi="Arial" w:cs="Arial"/>
          <w:sz w:val="24"/>
          <w:szCs w:val="24"/>
        </w:rPr>
        <w:t xml:space="preserve">the respondent that </w:t>
      </w:r>
      <w:r w:rsidR="000B6147">
        <w:rPr>
          <w:rFonts w:ascii="Arial" w:hAnsi="Arial" w:cs="Arial"/>
          <w:sz w:val="24"/>
          <w:szCs w:val="24"/>
        </w:rPr>
        <w:t xml:space="preserve">the respondent </w:t>
      </w:r>
      <w:r w:rsidR="00AD4251">
        <w:rPr>
          <w:rFonts w:ascii="Arial" w:hAnsi="Arial" w:cs="Arial"/>
          <w:sz w:val="24"/>
          <w:szCs w:val="24"/>
        </w:rPr>
        <w:t xml:space="preserve">understood the reference to loans </w:t>
      </w:r>
      <w:r w:rsidR="000B6147">
        <w:rPr>
          <w:rFonts w:ascii="Arial" w:hAnsi="Arial" w:cs="Arial"/>
          <w:sz w:val="24"/>
          <w:szCs w:val="24"/>
        </w:rPr>
        <w:t>in the appellant</w:t>
      </w:r>
      <w:r w:rsidR="001F0786">
        <w:rPr>
          <w:rFonts w:ascii="Arial" w:hAnsi="Arial" w:cs="Arial"/>
          <w:sz w:val="24"/>
          <w:szCs w:val="24"/>
        </w:rPr>
        <w:t>’s</w:t>
      </w:r>
      <w:r w:rsidR="000B6147">
        <w:rPr>
          <w:rFonts w:ascii="Arial" w:hAnsi="Arial" w:cs="Arial"/>
          <w:sz w:val="24"/>
          <w:szCs w:val="24"/>
        </w:rPr>
        <w:t xml:space="preserve"> offer </w:t>
      </w:r>
      <w:r w:rsidR="00AD4251">
        <w:rPr>
          <w:rFonts w:ascii="Arial" w:hAnsi="Arial" w:cs="Arial"/>
          <w:sz w:val="24"/>
          <w:szCs w:val="24"/>
        </w:rPr>
        <w:t xml:space="preserve">to be </w:t>
      </w:r>
      <w:r w:rsidR="000B6147">
        <w:rPr>
          <w:rFonts w:ascii="Arial" w:hAnsi="Arial" w:cs="Arial"/>
          <w:sz w:val="24"/>
          <w:szCs w:val="24"/>
        </w:rPr>
        <w:t xml:space="preserve">referring to </w:t>
      </w:r>
      <w:r w:rsidR="00AD4251">
        <w:rPr>
          <w:rFonts w:ascii="Arial" w:hAnsi="Arial" w:cs="Arial"/>
          <w:sz w:val="24"/>
          <w:szCs w:val="24"/>
        </w:rPr>
        <w:t>her business loans to the company</w:t>
      </w:r>
      <w:r w:rsidR="0011650D">
        <w:rPr>
          <w:rFonts w:ascii="Arial" w:hAnsi="Arial" w:cs="Arial"/>
          <w:sz w:val="24"/>
          <w:szCs w:val="24"/>
        </w:rPr>
        <w:t xml:space="preserve"> and not the personal loan to the appellant</w:t>
      </w:r>
      <w:r w:rsidR="00AD4251">
        <w:rPr>
          <w:rFonts w:ascii="Arial" w:hAnsi="Arial" w:cs="Arial"/>
          <w:sz w:val="24"/>
          <w:szCs w:val="24"/>
        </w:rPr>
        <w:t xml:space="preserve">. </w:t>
      </w:r>
      <w:r w:rsidR="0011650D" w:rsidRPr="00F80AAB">
        <w:rPr>
          <w:rFonts w:ascii="Arial" w:hAnsi="Arial" w:cs="Arial"/>
          <w:i/>
          <w:sz w:val="24"/>
          <w:szCs w:val="24"/>
        </w:rPr>
        <w:t>Mr</w:t>
      </w:r>
      <w:r w:rsidR="002D3362">
        <w:rPr>
          <w:rFonts w:ascii="Arial" w:hAnsi="Arial" w:cs="Arial"/>
          <w:i/>
          <w:sz w:val="24"/>
          <w:szCs w:val="24"/>
        </w:rPr>
        <w:t> </w:t>
      </w:r>
      <w:r w:rsidR="0011650D" w:rsidRPr="00F80AAB">
        <w:rPr>
          <w:rFonts w:ascii="Arial" w:hAnsi="Arial" w:cs="Arial"/>
          <w:i/>
          <w:sz w:val="24"/>
          <w:szCs w:val="24"/>
        </w:rPr>
        <w:t>Engelbrecht</w:t>
      </w:r>
      <w:r w:rsidR="0011650D">
        <w:rPr>
          <w:rFonts w:ascii="Arial" w:hAnsi="Arial" w:cs="Arial"/>
          <w:sz w:val="24"/>
          <w:szCs w:val="24"/>
        </w:rPr>
        <w:t xml:space="preserve"> </w:t>
      </w:r>
      <w:r w:rsidR="001F0786" w:rsidRPr="001F0786">
        <w:rPr>
          <w:rFonts w:ascii="Arial" w:hAnsi="Arial" w:cs="Arial"/>
          <w:sz w:val="24"/>
          <w:szCs w:val="24"/>
        </w:rPr>
        <w:t>argued that the respondent did not understand it to include her claim regarding the personal loan agreement, which she considered separate from the company's business.</w:t>
      </w:r>
      <w:r w:rsidR="00AD4251">
        <w:rPr>
          <w:rFonts w:ascii="Arial" w:hAnsi="Arial" w:cs="Arial"/>
          <w:sz w:val="24"/>
          <w:szCs w:val="24"/>
        </w:rPr>
        <w:t xml:space="preserve"> </w:t>
      </w:r>
      <w:r w:rsidR="002D3362">
        <w:rPr>
          <w:rFonts w:ascii="Arial" w:hAnsi="Arial" w:cs="Arial"/>
          <w:sz w:val="24"/>
          <w:szCs w:val="24"/>
        </w:rPr>
        <w:t xml:space="preserve">He </w:t>
      </w:r>
      <w:r w:rsidR="000B6147">
        <w:rPr>
          <w:rFonts w:ascii="Arial" w:hAnsi="Arial" w:cs="Arial"/>
          <w:sz w:val="24"/>
          <w:szCs w:val="24"/>
        </w:rPr>
        <w:t xml:space="preserve">submitted that when the respondent </w:t>
      </w:r>
      <w:r w:rsidR="00E379FA">
        <w:rPr>
          <w:rFonts w:ascii="Arial" w:hAnsi="Arial" w:cs="Arial"/>
          <w:sz w:val="24"/>
          <w:szCs w:val="24"/>
        </w:rPr>
        <w:t>signed the share</w:t>
      </w:r>
      <w:r w:rsidR="002D3362">
        <w:rPr>
          <w:rFonts w:ascii="Arial" w:hAnsi="Arial" w:cs="Arial"/>
          <w:sz w:val="24"/>
          <w:szCs w:val="24"/>
        </w:rPr>
        <w:t xml:space="preserve"> sale </w:t>
      </w:r>
      <w:r w:rsidR="00E379FA">
        <w:rPr>
          <w:rFonts w:ascii="Arial" w:hAnsi="Arial" w:cs="Arial"/>
          <w:sz w:val="24"/>
          <w:szCs w:val="24"/>
        </w:rPr>
        <w:t xml:space="preserve">agreement, for all intents and purposes, it was for the sale of her shares in the business and nothing else. </w:t>
      </w:r>
    </w:p>
    <w:p w:rsidR="0011650D" w:rsidRDefault="0011650D" w:rsidP="00E379FA">
      <w:pPr>
        <w:spacing w:after="0" w:line="480" w:lineRule="auto"/>
        <w:jc w:val="both"/>
        <w:rPr>
          <w:rFonts w:ascii="Arial" w:hAnsi="Arial" w:cs="Arial"/>
          <w:sz w:val="24"/>
          <w:szCs w:val="24"/>
        </w:rPr>
      </w:pPr>
    </w:p>
    <w:p w:rsidR="00434006" w:rsidRDefault="00944AA3" w:rsidP="00E379FA">
      <w:pPr>
        <w:spacing w:after="0" w:line="480" w:lineRule="auto"/>
        <w:jc w:val="both"/>
        <w:rPr>
          <w:rFonts w:ascii="Arial" w:hAnsi="Arial" w:cs="Arial"/>
          <w:sz w:val="24"/>
          <w:szCs w:val="24"/>
        </w:rPr>
      </w:pPr>
      <w:r>
        <w:rPr>
          <w:rFonts w:ascii="Arial" w:hAnsi="Arial" w:cs="Arial"/>
          <w:sz w:val="24"/>
          <w:szCs w:val="24"/>
        </w:rPr>
        <w:t>[3</w:t>
      </w:r>
      <w:r w:rsidR="002D3362">
        <w:rPr>
          <w:rFonts w:ascii="Arial" w:hAnsi="Arial" w:cs="Arial"/>
          <w:sz w:val="24"/>
          <w:szCs w:val="24"/>
        </w:rPr>
        <w:t>4</w:t>
      </w:r>
      <w:r w:rsidR="00C878AB">
        <w:rPr>
          <w:rFonts w:ascii="Arial" w:hAnsi="Arial" w:cs="Arial"/>
          <w:sz w:val="24"/>
          <w:szCs w:val="24"/>
        </w:rPr>
        <w:t>]</w:t>
      </w:r>
      <w:r w:rsidR="00C878AB">
        <w:rPr>
          <w:rFonts w:ascii="Arial" w:hAnsi="Arial" w:cs="Arial"/>
          <w:sz w:val="24"/>
          <w:szCs w:val="24"/>
        </w:rPr>
        <w:tab/>
      </w:r>
      <w:r w:rsidR="00E379FA">
        <w:rPr>
          <w:rFonts w:ascii="Arial" w:hAnsi="Arial" w:cs="Arial"/>
          <w:sz w:val="24"/>
          <w:szCs w:val="24"/>
        </w:rPr>
        <w:t>F</w:t>
      </w:r>
      <w:r w:rsidR="008573B3">
        <w:rPr>
          <w:rFonts w:ascii="Arial" w:hAnsi="Arial" w:cs="Arial"/>
          <w:sz w:val="24"/>
          <w:szCs w:val="24"/>
        </w:rPr>
        <w:t xml:space="preserve">or the sake of completeness, the email </w:t>
      </w:r>
      <w:r w:rsidR="0038770A">
        <w:rPr>
          <w:rFonts w:ascii="Arial" w:hAnsi="Arial" w:cs="Arial"/>
          <w:sz w:val="24"/>
          <w:szCs w:val="24"/>
        </w:rPr>
        <w:t xml:space="preserve">correspondence incorporating the alleged offer </w:t>
      </w:r>
      <w:r w:rsidR="008573B3">
        <w:rPr>
          <w:rFonts w:ascii="Arial" w:hAnsi="Arial" w:cs="Arial"/>
          <w:sz w:val="24"/>
          <w:szCs w:val="24"/>
        </w:rPr>
        <w:t xml:space="preserve">is reproduced </w:t>
      </w:r>
      <w:r w:rsidR="004C14DD">
        <w:rPr>
          <w:rFonts w:ascii="Arial" w:hAnsi="Arial" w:cs="Arial"/>
          <w:sz w:val="24"/>
          <w:szCs w:val="24"/>
        </w:rPr>
        <w:t>hereunder and states</w:t>
      </w:r>
      <w:r w:rsidR="008573B3">
        <w:rPr>
          <w:rFonts w:ascii="Arial" w:hAnsi="Arial" w:cs="Arial"/>
          <w:sz w:val="24"/>
          <w:szCs w:val="24"/>
        </w:rPr>
        <w:t xml:space="preserve"> as follows: </w:t>
      </w:r>
    </w:p>
    <w:p w:rsidR="00F160F9" w:rsidRDefault="00F160F9" w:rsidP="00E379FA">
      <w:pPr>
        <w:spacing w:after="0" w:line="480" w:lineRule="auto"/>
        <w:jc w:val="both"/>
        <w:rPr>
          <w:rFonts w:ascii="Arial" w:hAnsi="Arial" w:cs="Arial"/>
          <w:sz w:val="24"/>
          <w:szCs w:val="24"/>
        </w:rPr>
      </w:pPr>
    </w:p>
    <w:p w:rsidR="004C14DD" w:rsidRDefault="008573B3" w:rsidP="004C14DD">
      <w:pPr>
        <w:spacing w:after="0" w:line="360" w:lineRule="auto"/>
        <w:ind w:left="720"/>
        <w:jc w:val="both"/>
        <w:rPr>
          <w:rFonts w:ascii="Arial" w:hAnsi="Arial" w:cs="Arial"/>
        </w:rPr>
      </w:pPr>
      <w:r w:rsidRPr="004C14DD">
        <w:rPr>
          <w:rFonts w:ascii="Arial" w:hAnsi="Arial" w:cs="Arial"/>
        </w:rPr>
        <w:t>“My full and final offer is R672 500 for all outstanding loans and your 35 % shareholding in Kandy &amp; Co (Pty) Ltd.</w:t>
      </w:r>
    </w:p>
    <w:p w:rsidR="004C14DD" w:rsidRPr="004C14DD" w:rsidRDefault="008573B3" w:rsidP="004C14DD">
      <w:pPr>
        <w:spacing w:after="0" w:line="360" w:lineRule="auto"/>
        <w:ind w:left="720"/>
        <w:jc w:val="both"/>
        <w:rPr>
          <w:rFonts w:ascii="Arial" w:hAnsi="Arial" w:cs="Arial"/>
        </w:rPr>
      </w:pPr>
      <w:r w:rsidRPr="004C14DD">
        <w:rPr>
          <w:rFonts w:ascii="Arial" w:hAnsi="Arial" w:cs="Arial"/>
        </w:rPr>
        <w:t>This is my full and final offer and what I can and am prepared to pay you.</w:t>
      </w:r>
    </w:p>
    <w:p w:rsidR="008573B3" w:rsidRPr="004C14DD" w:rsidRDefault="008573B3" w:rsidP="004C14DD">
      <w:pPr>
        <w:spacing w:after="0" w:line="360" w:lineRule="auto"/>
        <w:ind w:left="720"/>
        <w:jc w:val="both"/>
        <w:rPr>
          <w:rFonts w:ascii="Arial" w:hAnsi="Arial" w:cs="Arial"/>
        </w:rPr>
      </w:pPr>
      <w:r w:rsidRPr="004C14DD">
        <w:rPr>
          <w:rFonts w:ascii="Arial" w:hAnsi="Arial" w:cs="Arial"/>
        </w:rPr>
        <w:t xml:space="preserve">I simply cannot pay you more and don’t know where I’m going to get the money. </w:t>
      </w:r>
    </w:p>
    <w:p w:rsidR="008573B3" w:rsidRDefault="008573B3" w:rsidP="004C14DD">
      <w:pPr>
        <w:spacing w:after="0" w:line="360" w:lineRule="auto"/>
        <w:ind w:left="720"/>
        <w:jc w:val="both"/>
        <w:rPr>
          <w:rFonts w:ascii="Arial" w:hAnsi="Arial" w:cs="Arial"/>
        </w:rPr>
      </w:pPr>
      <w:r w:rsidRPr="004C14DD">
        <w:rPr>
          <w:rFonts w:ascii="Arial" w:hAnsi="Arial" w:cs="Arial"/>
        </w:rPr>
        <w:t xml:space="preserve">My intention will be to pay you a lump sum of R100 000 </w:t>
      </w:r>
      <w:r w:rsidR="004C14DD" w:rsidRPr="004C14DD">
        <w:rPr>
          <w:rFonts w:ascii="Arial" w:hAnsi="Arial" w:cs="Arial"/>
        </w:rPr>
        <w:t>within</w:t>
      </w:r>
      <w:r w:rsidRPr="004C14DD">
        <w:rPr>
          <w:rFonts w:ascii="Arial" w:hAnsi="Arial" w:cs="Arial"/>
        </w:rPr>
        <w:t xml:space="preserve"> </w:t>
      </w:r>
      <w:r w:rsidR="004C14DD" w:rsidRPr="004C14DD">
        <w:rPr>
          <w:rFonts w:ascii="Arial" w:hAnsi="Arial" w:cs="Arial"/>
        </w:rPr>
        <w:t>7 days of signing and t</w:t>
      </w:r>
      <w:r w:rsidRPr="004C14DD">
        <w:rPr>
          <w:rFonts w:ascii="Arial" w:hAnsi="Arial" w:cs="Arial"/>
        </w:rPr>
        <w:t>h</w:t>
      </w:r>
      <w:r w:rsidR="004C14DD" w:rsidRPr="004C14DD">
        <w:rPr>
          <w:rFonts w:ascii="Arial" w:hAnsi="Arial" w:cs="Arial"/>
        </w:rPr>
        <w:t>e</w:t>
      </w:r>
      <w:r w:rsidRPr="004C14DD">
        <w:rPr>
          <w:rFonts w:ascii="Arial" w:hAnsi="Arial" w:cs="Arial"/>
        </w:rPr>
        <w:t xml:space="preserve"> balance of R</w:t>
      </w:r>
      <w:r w:rsidR="004C14DD" w:rsidRPr="004C14DD">
        <w:rPr>
          <w:rFonts w:ascii="Arial" w:hAnsi="Arial" w:cs="Arial"/>
        </w:rPr>
        <w:t>572 500 to be paid off in monthly instalments of R23833 33 each over 24 months.</w:t>
      </w:r>
      <w:r w:rsidR="004C14DD">
        <w:rPr>
          <w:rFonts w:ascii="Arial" w:hAnsi="Arial" w:cs="Arial"/>
        </w:rPr>
        <w:t>”</w:t>
      </w:r>
      <w:r w:rsidR="004C14DD" w:rsidRPr="004C14DD">
        <w:rPr>
          <w:rFonts w:ascii="Arial" w:hAnsi="Arial" w:cs="Arial"/>
        </w:rPr>
        <w:t xml:space="preserve"> </w:t>
      </w:r>
    </w:p>
    <w:p w:rsidR="003B659B" w:rsidRDefault="003B659B" w:rsidP="00E379FA">
      <w:pPr>
        <w:spacing w:after="0" w:line="480" w:lineRule="auto"/>
        <w:jc w:val="both"/>
      </w:pPr>
    </w:p>
    <w:p w:rsidR="00237AB8" w:rsidRPr="000B6147" w:rsidRDefault="00944AA3" w:rsidP="00E379FA">
      <w:pPr>
        <w:spacing w:after="0" w:line="480" w:lineRule="auto"/>
        <w:jc w:val="both"/>
        <w:rPr>
          <w:rFonts w:ascii="Arial" w:hAnsi="Arial" w:cs="Arial"/>
          <w:sz w:val="24"/>
          <w:szCs w:val="24"/>
        </w:rPr>
      </w:pPr>
      <w:r>
        <w:rPr>
          <w:rFonts w:ascii="Arial" w:hAnsi="Arial" w:cs="Arial"/>
          <w:sz w:val="24"/>
          <w:szCs w:val="24"/>
        </w:rPr>
        <w:t>[3</w:t>
      </w:r>
      <w:r w:rsidR="002D3362">
        <w:rPr>
          <w:rFonts w:ascii="Arial" w:hAnsi="Arial" w:cs="Arial"/>
          <w:sz w:val="24"/>
          <w:szCs w:val="24"/>
        </w:rPr>
        <w:t>5</w:t>
      </w:r>
      <w:r w:rsidR="003B659B" w:rsidRPr="003B659B">
        <w:rPr>
          <w:rFonts w:ascii="Arial" w:hAnsi="Arial" w:cs="Arial"/>
          <w:sz w:val="24"/>
          <w:szCs w:val="24"/>
        </w:rPr>
        <w:t>]</w:t>
      </w:r>
      <w:r w:rsidR="003B659B" w:rsidRPr="003B659B">
        <w:rPr>
          <w:rFonts w:ascii="Arial" w:hAnsi="Arial" w:cs="Arial"/>
          <w:sz w:val="24"/>
          <w:szCs w:val="24"/>
        </w:rPr>
        <w:tab/>
      </w:r>
      <w:r w:rsidR="0038770A" w:rsidRPr="003B659B">
        <w:rPr>
          <w:rFonts w:ascii="Arial" w:hAnsi="Arial" w:cs="Arial"/>
          <w:sz w:val="24"/>
          <w:szCs w:val="24"/>
        </w:rPr>
        <w:t>It is trite that a document that incorrectly records the contract between two parties may be rectified to conform to the common intention. In such a case, the parties are in agreement</w:t>
      </w:r>
      <w:r w:rsidR="001F0786">
        <w:rPr>
          <w:rFonts w:ascii="Arial" w:hAnsi="Arial" w:cs="Arial"/>
          <w:sz w:val="24"/>
          <w:szCs w:val="24"/>
        </w:rPr>
        <w:t>,</w:t>
      </w:r>
      <w:r w:rsidR="0038770A" w:rsidRPr="003B659B">
        <w:rPr>
          <w:rFonts w:ascii="Arial" w:hAnsi="Arial" w:cs="Arial"/>
          <w:sz w:val="24"/>
          <w:szCs w:val="24"/>
        </w:rPr>
        <w:t xml:space="preserve"> and what is rectified is not the contract itself as a juristic act but the </w:t>
      </w:r>
      <w:r w:rsidR="0038770A">
        <w:rPr>
          <w:rFonts w:ascii="Arial" w:hAnsi="Arial" w:cs="Arial"/>
          <w:sz w:val="24"/>
          <w:szCs w:val="24"/>
        </w:rPr>
        <w:t xml:space="preserve">document in question because it does not reflect what the parties intended to be the content of their juristic act. See Hutchison and Pretorius (eds) </w:t>
      </w:r>
      <w:r w:rsidR="0038770A" w:rsidRPr="00783A01">
        <w:rPr>
          <w:rFonts w:ascii="Arial" w:hAnsi="Arial" w:cs="Arial"/>
          <w:i/>
          <w:sz w:val="24"/>
          <w:szCs w:val="24"/>
        </w:rPr>
        <w:t>Law of Contract in South Africa</w:t>
      </w:r>
      <w:r w:rsidR="0038770A">
        <w:rPr>
          <w:rFonts w:ascii="Arial" w:hAnsi="Arial" w:cs="Arial"/>
          <w:sz w:val="24"/>
          <w:szCs w:val="24"/>
        </w:rPr>
        <w:t xml:space="preserve"> 4 edition (2022) at 121. Thus, </w:t>
      </w:r>
      <w:r w:rsidR="001F0786">
        <w:rPr>
          <w:rFonts w:ascii="Arial" w:hAnsi="Arial" w:cs="Arial"/>
          <w:sz w:val="24"/>
          <w:szCs w:val="24"/>
        </w:rPr>
        <w:t xml:space="preserve">the </w:t>
      </w:r>
      <w:r w:rsidR="0038770A">
        <w:rPr>
          <w:rFonts w:ascii="Arial" w:hAnsi="Arial" w:cs="Arial"/>
          <w:sz w:val="24"/>
          <w:szCs w:val="24"/>
        </w:rPr>
        <w:t>r</w:t>
      </w:r>
      <w:r w:rsidR="00E379FA" w:rsidRPr="00E379FA">
        <w:rPr>
          <w:rFonts w:ascii="Arial" w:hAnsi="Arial" w:cs="Arial"/>
          <w:sz w:val="24"/>
          <w:szCs w:val="24"/>
        </w:rPr>
        <w:t xml:space="preserve">ectification of a written agreement is a remedy available in instances where the agreement, through a common mistake, does not reflect the true intention of the contracting parties or where it erroneously does not </w:t>
      </w:r>
      <w:r w:rsidR="00E379FA" w:rsidRPr="00E379FA">
        <w:rPr>
          <w:rFonts w:ascii="Arial" w:hAnsi="Arial" w:cs="Arial"/>
          <w:sz w:val="24"/>
          <w:szCs w:val="24"/>
        </w:rPr>
        <w:lastRenderedPageBreak/>
        <w:t xml:space="preserve">record the agreement between the parties. </w:t>
      </w:r>
      <w:r w:rsidR="000B6147" w:rsidRPr="000B6147">
        <w:rPr>
          <w:rFonts w:ascii="Arial" w:hAnsi="Arial" w:cs="Arial"/>
          <w:sz w:val="24"/>
          <w:szCs w:val="24"/>
        </w:rPr>
        <w:t xml:space="preserve">See </w:t>
      </w:r>
      <w:r w:rsidR="000B6147" w:rsidRPr="000B6147">
        <w:rPr>
          <w:rFonts w:ascii="Arial" w:hAnsi="Arial" w:cs="Arial"/>
          <w:i/>
          <w:sz w:val="24"/>
          <w:szCs w:val="24"/>
        </w:rPr>
        <w:t xml:space="preserve">P V v E V </w:t>
      </w:r>
      <w:r w:rsidR="000B6147" w:rsidRPr="000B6147">
        <w:rPr>
          <w:rFonts w:ascii="Arial" w:hAnsi="Arial" w:cs="Arial"/>
          <w:sz w:val="24"/>
          <w:szCs w:val="24"/>
        </w:rPr>
        <w:t>(843/2018) ZASCA 76 (30</w:t>
      </w:r>
      <w:r w:rsidR="002D3362">
        <w:rPr>
          <w:rFonts w:ascii="Arial" w:hAnsi="Arial" w:cs="Arial"/>
          <w:sz w:val="24"/>
          <w:szCs w:val="24"/>
        </w:rPr>
        <w:t> </w:t>
      </w:r>
      <w:r w:rsidR="000B6147" w:rsidRPr="000B6147">
        <w:rPr>
          <w:rFonts w:ascii="Arial" w:hAnsi="Arial" w:cs="Arial"/>
          <w:sz w:val="24"/>
          <w:szCs w:val="24"/>
        </w:rPr>
        <w:t xml:space="preserve">May 2019) para 16. </w:t>
      </w:r>
    </w:p>
    <w:p w:rsidR="00237AB8" w:rsidRDefault="00237AB8" w:rsidP="00E379FA">
      <w:pPr>
        <w:spacing w:after="0" w:line="480" w:lineRule="auto"/>
        <w:jc w:val="both"/>
        <w:rPr>
          <w:rFonts w:ascii="Arial" w:hAnsi="Arial" w:cs="Arial"/>
          <w:sz w:val="24"/>
          <w:szCs w:val="24"/>
        </w:rPr>
      </w:pPr>
    </w:p>
    <w:p w:rsidR="00F160F9" w:rsidRDefault="00944AA3" w:rsidP="00E379FA">
      <w:pPr>
        <w:spacing w:after="0" w:line="480" w:lineRule="auto"/>
        <w:jc w:val="both"/>
        <w:rPr>
          <w:rFonts w:ascii="Arial" w:hAnsi="Arial" w:cs="Arial"/>
          <w:sz w:val="24"/>
          <w:szCs w:val="24"/>
        </w:rPr>
      </w:pPr>
      <w:r>
        <w:rPr>
          <w:rFonts w:ascii="Arial" w:hAnsi="Arial" w:cs="Arial"/>
          <w:sz w:val="24"/>
          <w:szCs w:val="24"/>
        </w:rPr>
        <w:t>[3</w:t>
      </w:r>
      <w:r w:rsidR="002D3362">
        <w:rPr>
          <w:rFonts w:ascii="Arial" w:hAnsi="Arial" w:cs="Arial"/>
          <w:sz w:val="24"/>
          <w:szCs w:val="24"/>
        </w:rPr>
        <w:t>6</w:t>
      </w:r>
      <w:r w:rsidR="003B659B">
        <w:rPr>
          <w:rFonts w:ascii="Arial" w:hAnsi="Arial" w:cs="Arial"/>
          <w:sz w:val="24"/>
          <w:szCs w:val="24"/>
        </w:rPr>
        <w:t>]</w:t>
      </w:r>
      <w:r w:rsidR="003B659B">
        <w:rPr>
          <w:rFonts w:ascii="Arial" w:hAnsi="Arial" w:cs="Arial"/>
          <w:sz w:val="24"/>
          <w:szCs w:val="24"/>
        </w:rPr>
        <w:tab/>
      </w:r>
      <w:r w:rsidR="00E379FA" w:rsidRPr="00E379FA">
        <w:rPr>
          <w:rFonts w:ascii="Arial" w:hAnsi="Arial" w:cs="Arial"/>
          <w:sz w:val="24"/>
          <w:szCs w:val="24"/>
        </w:rPr>
        <w:t xml:space="preserve">The predominant requirement for rectification is a common continuing intention of the </w:t>
      </w:r>
      <w:r w:rsidR="00E379FA" w:rsidRPr="00237AB8">
        <w:rPr>
          <w:rFonts w:ascii="Arial" w:hAnsi="Arial" w:cs="Arial"/>
          <w:sz w:val="24"/>
          <w:szCs w:val="24"/>
        </w:rPr>
        <w:t>parties, which is n</w:t>
      </w:r>
      <w:r w:rsidR="00B55FC2">
        <w:rPr>
          <w:rFonts w:ascii="Arial" w:hAnsi="Arial" w:cs="Arial"/>
          <w:sz w:val="24"/>
          <w:szCs w:val="24"/>
        </w:rPr>
        <w:t xml:space="preserve">ot reflected in the agreement. </w:t>
      </w:r>
      <w:r w:rsidR="00E379FA" w:rsidRPr="00237AB8">
        <w:rPr>
          <w:rFonts w:ascii="Arial" w:hAnsi="Arial" w:cs="Arial"/>
          <w:sz w:val="24"/>
          <w:szCs w:val="24"/>
        </w:rPr>
        <w:t xml:space="preserve">See </w:t>
      </w:r>
      <w:r w:rsidR="00E379FA" w:rsidRPr="00B55FC2">
        <w:rPr>
          <w:rFonts w:ascii="Arial" w:hAnsi="Arial" w:cs="Arial"/>
          <w:i/>
          <w:sz w:val="24"/>
          <w:szCs w:val="24"/>
        </w:rPr>
        <w:t>B v B</w:t>
      </w:r>
      <w:r w:rsidR="00B55FC2">
        <w:rPr>
          <w:rFonts w:ascii="Arial" w:hAnsi="Arial" w:cs="Arial"/>
          <w:sz w:val="24"/>
          <w:szCs w:val="24"/>
        </w:rPr>
        <w:t xml:space="preserve"> [2014] ZASCA 14 para 20</w:t>
      </w:r>
      <w:r w:rsidR="00E379FA" w:rsidRPr="00237AB8">
        <w:rPr>
          <w:rFonts w:ascii="Arial" w:hAnsi="Arial" w:cs="Arial"/>
          <w:sz w:val="24"/>
          <w:szCs w:val="24"/>
        </w:rPr>
        <w:t xml:space="preserve">. </w:t>
      </w:r>
      <w:r w:rsidR="00783A01" w:rsidRPr="00237AB8">
        <w:rPr>
          <w:rFonts w:ascii="Arial" w:hAnsi="Arial" w:cs="Arial"/>
          <w:sz w:val="24"/>
          <w:szCs w:val="24"/>
        </w:rPr>
        <w:t xml:space="preserve">In </w:t>
      </w:r>
      <w:r w:rsidR="00783A01" w:rsidRPr="00237AB8">
        <w:rPr>
          <w:rFonts w:ascii="Arial" w:hAnsi="Arial" w:cs="Arial"/>
          <w:i/>
          <w:sz w:val="24"/>
          <w:szCs w:val="24"/>
        </w:rPr>
        <w:t>Tesven CC v South African Bank of Athens</w:t>
      </w:r>
      <w:r w:rsidR="00783A01" w:rsidRPr="00237AB8">
        <w:rPr>
          <w:rFonts w:ascii="Arial" w:hAnsi="Arial" w:cs="Arial"/>
          <w:sz w:val="24"/>
          <w:szCs w:val="24"/>
        </w:rPr>
        <w:t xml:space="preserve"> [1999] 4 All SA 396(A) para 16, the Appellate Division, as it then was, held that </w:t>
      </w:r>
      <w:r w:rsidR="00F160F9">
        <w:rPr>
          <w:rFonts w:ascii="Arial" w:hAnsi="Arial" w:cs="Arial"/>
          <w:sz w:val="24"/>
          <w:szCs w:val="24"/>
        </w:rPr>
        <w:t>‘</w:t>
      </w:r>
      <w:r w:rsidR="00783A01" w:rsidRPr="00237AB8">
        <w:rPr>
          <w:rFonts w:ascii="Arial" w:hAnsi="Arial" w:cs="Arial"/>
          <w:sz w:val="24"/>
          <w:szCs w:val="24"/>
        </w:rPr>
        <w:t>t</w:t>
      </w:r>
      <w:r w:rsidR="00E379FA" w:rsidRPr="00237AB8">
        <w:rPr>
          <w:rFonts w:ascii="Arial" w:hAnsi="Arial" w:cs="Arial"/>
          <w:sz w:val="24"/>
          <w:szCs w:val="24"/>
        </w:rPr>
        <w:t>o allow the words the parties actually used in the documents to override their</w:t>
      </w:r>
      <w:r w:rsidR="00783A01" w:rsidRPr="00237AB8">
        <w:rPr>
          <w:rFonts w:ascii="Arial" w:hAnsi="Arial" w:cs="Arial"/>
          <w:sz w:val="24"/>
          <w:szCs w:val="24"/>
        </w:rPr>
        <w:t xml:space="preserve"> prior agreement or the common intention that they intended to record is to enforce what was not agreed, and so overthrow the basis on which contracts rest in our law.</w:t>
      </w:r>
      <w:r w:rsidR="00F160F9">
        <w:rPr>
          <w:rFonts w:ascii="Arial" w:hAnsi="Arial" w:cs="Arial"/>
          <w:sz w:val="24"/>
          <w:szCs w:val="24"/>
        </w:rPr>
        <w:t>’</w:t>
      </w:r>
      <w:r w:rsidR="00237AB8" w:rsidRPr="00237AB8">
        <w:rPr>
          <w:rFonts w:ascii="Arial" w:hAnsi="Arial" w:cs="Arial"/>
          <w:sz w:val="24"/>
          <w:szCs w:val="24"/>
        </w:rPr>
        <w:t xml:space="preserve"> </w:t>
      </w:r>
    </w:p>
    <w:p w:rsidR="00F160F9" w:rsidRDefault="00F160F9" w:rsidP="00E379FA">
      <w:pPr>
        <w:spacing w:after="0" w:line="480" w:lineRule="auto"/>
        <w:jc w:val="both"/>
        <w:rPr>
          <w:rFonts w:ascii="Arial" w:hAnsi="Arial" w:cs="Arial"/>
          <w:sz w:val="24"/>
          <w:szCs w:val="24"/>
        </w:rPr>
      </w:pPr>
    </w:p>
    <w:p w:rsidR="00237AB8" w:rsidRDefault="00944AA3" w:rsidP="00E379FA">
      <w:pPr>
        <w:spacing w:after="0" w:line="480" w:lineRule="auto"/>
        <w:jc w:val="both"/>
        <w:rPr>
          <w:rFonts w:ascii="Arial" w:hAnsi="Arial" w:cs="Arial"/>
          <w:sz w:val="24"/>
          <w:szCs w:val="24"/>
        </w:rPr>
      </w:pPr>
      <w:r>
        <w:rPr>
          <w:rFonts w:ascii="Arial" w:hAnsi="Arial" w:cs="Arial"/>
          <w:sz w:val="24"/>
          <w:szCs w:val="24"/>
        </w:rPr>
        <w:t>[3</w:t>
      </w:r>
      <w:r w:rsidR="002D3362">
        <w:rPr>
          <w:rFonts w:ascii="Arial" w:hAnsi="Arial" w:cs="Arial"/>
          <w:sz w:val="24"/>
          <w:szCs w:val="24"/>
        </w:rPr>
        <w:t>7</w:t>
      </w:r>
      <w:r w:rsidR="00C878AB">
        <w:rPr>
          <w:rFonts w:ascii="Arial" w:hAnsi="Arial" w:cs="Arial"/>
          <w:sz w:val="24"/>
          <w:szCs w:val="24"/>
        </w:rPr>
        <w:t>]</w:t>
      </w:r>
      <w:r w:rsidR="00C878AB">
        <w:rPr>
          <w:rFonts w:ascii="Arial" w:hAnsi="Arial" w:cs="Arial"/>
          <w:sz w:val="24"/>
          <w:szCs w:val="24"/>
        </w:rPr>
        <w:tab/>
      </w:r>
      <w:r w:rsidR="0038770A">
        <w:rPr>
          <w:rFonts w:ascii="Arial" w:hAnsi="Arial" w:cs="Arial"/>
          <w:sz w:val="24"/>
          <w:szCs w:val="24"/>
        </w:rPr>
        <w:t>T</w:t>
      </w:r>
      <w:r w:rsidR="00237AB8" w:rsidRPr="00237AB8">
        <w:rPr>
          <w:rFonts w:ascii="Arial" w:hAnsi="Arial" w:cs="Arial"/>
          <w:sz w:val="24"/>
          <w:szCs w:val="24"/>
        </w:rPr>
        <w:t>he onus is on the party claiming rectification</w:t>
      </w:r>
      <w:r w:rsidR="00237AB8">
        <w:rPr>
          <w:rFonts w:ascii="Arial" w:hAnsi="Arial" w:cs="Arial"/>
          <w:sz w:val="24"/>
          <w:szCs w:val="24"/>
        </w:rPr>
        <w:t>,</w:t>
      </w:r>
      <w:r w:rsidR="00237AB8" w:rsidRPr="00237AB8">
        <w:rPr>
          <w:rFonts w:ascii="Arial" w:hAnsi="Arial" w:cs="Arial"/>
          <w:sz w:val="24"/>
          <w:szCs w:val="24"/>
        </w:rPr>
        <w:t xml:space="preserve"> in this case</w:t>
      </w:r>
      <w:r w:rsidR="001F0786">
        <w:rPr>
          <w:rFonts w:ascii="Arial" w:hAnsi="Arial" w:cs="Arial"/>
          <w:sz w:val="24"/>
          <w:szCs w:val="24"/>
        </w:rPr>
        <w:t>,</w:t>
      </w:r>
      <w:r w:rsidR="00237AB8" w:rsidRPr="00237AB8">
        <w:rPr>
          <w:rFonts w:ascii="Arial" w:hAnsi="Arial" w:cs="Arial"/>
          <w:sz w:val="24"/>
          <w:szCs w:val="24"/>
        </w:rPr>
        <w:t xml:space="preserve"> the appellant, to show, on a balance of probabilities, that it should be granted. In </w:t>
      </w:r>
      <w:r w:rsidR="00237AB8" w:rsidRPr="00237AB8">
        <w:rPr>
          <w:rFonts w:ascii="Arial" w:hAnsi="Arial" w:cs="Arial"/>
          <w:i/>
          <w:sz w:val="24"/>
          <w:szCs w:val="24"/>
        </w:rPr>
        <w:t>Soil Fumigation Services Lowveld CC v Chemfit Technical Products (</w:t>
      </w:r>
      <w:r w:rsidR="00237AB8">
        <w:rPr>
          <w:rFonts w:ascii="Arial" w:hAnsi="Arial" w:cs="Arial"/>
          <w:i/>
          <w:sz w:val="24"/>
          <w:szCs w:val="24"/>
        </w:rPr>
        <w:t>Pty</w:t>
      </w:r>
      <w:r w:rsidR="00237AB8" w:rsidRPr="00237AB8">
        <w:rPr>
          <w:rFonts w:ascii="Arial" w:hAnsi="Arial" w:cs="Arial"/>
          <w:i/>
          <w:sz w:val="24"/>
          <w:szCs w:val="24"/>
        </w:rPr>
        <w:t xml:space="preserve">) Ltd </w:t>
      </w:r>
      <w:r w:rsidR="00237AB8" w:rsidRPr="00237AB8">
        <w:rPr>
          <w:rFonts w:ascii="Arial" w:hAnsi="Arial" w:cs="Arial"/>
          <w:sz w:val="24"/>
          <w:szCs w:val="24"/>
        </w:rPr>
        <w:t>2004 (6) SA 29 (SCA)</w:t>
      </w:r>
      <w:r w:rsidR="00237AB8">
        <w:rPr>
          <w:rFonts w:ascii="Arial" w:hAnsi="Arial" w:cs="Arial"/>
          <w:sz w:val="24"/>
          <w:szCs w:val="24"/>
        </w:rPr>
        <w:t>,</w:t>
      </w:r>
      <w:r w:rsidR="00237AB8" w:rsidRPr="00237AB8">
        <w:rPr>
          <w:rFonts w:ascii="Arial" w:hAnsi="Arial" w:cs="Arial"/>
          <w:sz w:val="24"/>
          <w:szCs w:val="24"/>
        </w:rPr>
        <w:t xml:space="preserve"> </w:t>
      </w:r>
      <w:r w:rsidR="00237AB8">
        <w:rPr>
          <w:rFonts w:ascii="Arial" w:hAnsi="Arial" w:cs="Arial"/>
          <w:sz w:val="24"/>
          <w:szCs w:val="24"/>
        </w:rPr>
        <w:t>t</w:t>
      </w:r>
      <w:r w:rsidR="00237AB8" w:rsidRPr="00237AB8">
        <w:rPr>
          <w:rFonts w:ascii="Arial" w:hAnsi="Arial" w:cs="Arial"/>
          <w:sz w:val="24"/>
          <w:szCs w:val="24"/>
        </w:rPr>
        <w:t>he Supreme Court of Appeal</w:t>
      </w:r>
      <w:r w:rsidR="00237AB8">
        <w:rPr>
          <w:rFonts w:ascii="Arial" w:hAnsi="Arial" w:cs="Arial"/>
          <w:sz w:val="24"/>
          <w:szCs w:val="24"/>
        </w:rPr>
        <w:t xml:space="preserve"> held that such an onus is difficult to prove and a party seeking to obtain a rectification must show the facts entit</w:t>
      </w:r>
      <w:r w:rsidR="00B55FC2">
        <w:rPr>
          <w:rFonts w:ascii="Arial" w:hAnsi="Arial" w:cs="Arial"/>
          <w:sz w:val="24"/>
          <w:szCs w:val="24"/>
        </w:rPr>
        <w:t xml:space="preserve">ling him to obtain that relief </w:t>
      </w:r>
      <w:r w:rsidR="00237AB8">
        <w:rPr>
          <w:rFonts w:ascii="Arial" w:hAnsi="Arial" w:cs="Arial"/>
          <w:sz w:val="24"/>
          <w:szCs w:val="24"/>
        </w:rPr>
        <w:t xml:space="preserve">in the clearest and most satisfactory manner. </w:t>
      </w:r>
    </w:p>
    <w:p w:rsidR="00B55FC2" w:rsidRDefault="00B55FC2" w:rsidP="00E379FA">
      <w:pPr>
        <w:spacing w:after="0" w:line="480" w:lineRule="auto"/>
        <w:jc w:val="both"/>
        <w:rPr>
          <w:rFonts w:ascii="Arial" w:hAnsi="Arial" w:cs="Arial"/>
          <w:sz w:val="24"/>
          <w:szCs w:val="24"/>
        </w:rPr>
      </w:pPr>
    </w:p>
    <w:p w:rsidR="005E730D" w:rsidRDefault="003B659B" w:rsidP="00E379FA">
      <w:pPr>
        <w:spacing w:after="0" w:line="480" w:lineRule="auto"/>
        <w:jc w:val="both"/>
        <w:rPr>
          <w:rFonts w:ascii="Arial" w:hAnsi="Arial" w:cs="Arial"/>
          <w:sz w:val="24"/>
          <w:szCs w:val="24"/>
        </w:rPr>
      </w:pPr>
      <w:r>
        <w:rPr>
          <w:rFonts w:ascii="Arial" w:hAnsi="Arial" w:cs="Arial"/>
          <w:sz w:val="24"/>
          <w:szCs w:val="24"/>
        </w:rPr>
        <w:t>[</w:t>
      </w:r>
      <w:r w:rsidR="00944AA3">
        <w:rPr>
          <w:rFonts w:ascii="Arial" w:hAnsi="Arial" w:cs="Arial"/>
          <w:sz w:val="24"/>
          <w:szCs w:val="24"/>
        </w:rPr>
        <w:t>3</w:t>
      </w:r>
      <w:r w:rsidR="002D3362">
        <w:rPr>
          <w:rFonts w:ascii="Arial" w:hAnsi="Arial" w:cs="Arial"/>
          <w:sz w:val="24"/>
          <w:szCs w:val="24"/>
        </w:rPr>
        <w:t>8</w:t>
      </w:r>
      <w:r>
        <w:rPr>
          <w:rFonts w:ascii="Arial" w:hAnsi="Arial" w:cs="Arial"/>
          <w:sz w:val="24"/>
          <w:szCs w:val="24"/>
        </w:rPr>
        <w:t>]</w:t>
      </w:r>
      <w:r>
        <w:rPr>
          <w:rFonts w:ascii="Arial" w:hAnsi="Arial" w:cs="Arial"/>
          <w:sz w:val="24"/>
          <w:szCs w:val="24"/>
        </w:rPr>
        <w:tab/>
      </w:r>
      <w:r w:rsidR="001F0786" w:rsidRPr="001F0786">
        <w:rPr>
          <w:rFonts w:ascii="Arial" w:hAnsi="Arial" w:cs="Arial"/>
          <w:sz w:val="24"/>
          <w:szCs w:val="24"/>
        </w:rPr>
        <w:t xml:space="preserve">In </w:t>
      </w:r>
      <w:r w:rsidR="001F0786" w:rsidRPr="001F0786">
        <w:rPr>
          <w:rFonts w:ascii="Arial" w:hAnsi="Arial" w:cs="Arial"/>
          <w:i/>
          <w:sz w:val="24"/>
          <w:szCs w:val="24"/>
        </w:rPr>
        <w:t>casu,</w:t>
      </w:r>
      <w:r w:rsidR="001F0786" w:rsidRPr="001F0786">
        <w:rPr>
          <w:rFonts w:ascii="Arial" w:hAnsi="Arial" w:cs="Arial"/>
          <w:sz w:val="24"/>
          <w:szCs w:val="24"/>
        </w:rPr>
        <w:t xml:space="preserve"> and during the trial at the court </w:t>
      </w:r>
      <w:r w:rsidR="001F0786" w:rsidRPr="0027607B">
        <w:rPr>
          <w:rFonts w:ascii="Arial" w:hAnsi="Arial" w:cs="Arial"/>
          <w:i/>
          <w:sz w:val="24"/>
          <w:szCs w:val="24"/>
        </w:rPr>
        <w:t>a quo</w:t>
      </w:r>
      <w:r w:rsidR="001F0786" w:rsidRPr="001F0786">
        <w:rPr>
          <w:rFonts w:ascii="Arial" w:hAnsi="Arial" w:cs="Arial"/>
          <w:sz w:val="24"/>
          <w:szCs w:val="24"/>
        </w:rPr>
        <w:t>, both parties acknowledged that they distinguished their loans to the company and the respondent's loan to the appellant.</w:t>
      </w:r>
      <w:r w:rsidR="00E57D35">
        <w:rPr>
          <w:rFonts w:ascii="Arial" w:hAnsi="Arial" w:cs="Arial"/>
          <w:sz w:val="24"/>
          <w:szCs w:val="24"/>
        </w:rPr>
        <w:t xml:space="preserve"> During cross-examination</w:t>
      </w:r>
      <w:r w:rsidR="005E730D">
        <w:rPr>
          <w:rFonts w:ascii="Arial" w:hAnsi="Arial" w:cs="Arial"/>
          <w:sz w:val="24"/>
          <w:szCs w:val="24"/>
        </w:rPr>
        <w:t>,</w:t>
      </w:r>
      <w:r w:rsidR="00E57D35">
        <w:rPr>
          <w:rFonts w:ascii="Arial" w:hAnsi="Arial" w:cs="Arial"/>
          <w:sz w:val="24"/>
          <w:szCs w:val="24"/>
        </w:rPr>
        <w:t xml:space="preserve"> the respondent testified that in their dealings</w:t>
      </w:r>
      <w:r w:rsidR="005E730D">
        <w:rPr>
          <w:rFonts w:ascii="Arial" w:hAnsi="Arial" w:cs="Arial"/>
          <w:sz w:val="24"/>
          <w:szCs w:val="24"/>
        </w:rPr>
        <w:t>,</w:t>
      </w:r>
      <w:r w:rsidR="00E57D35">
        <w:rPr>
          <w:rFonts w:ascii="Arial" w:hAnsi="Arial" w:cs="Arial"/>
          <w:sz w:val="24"/>
          <w:szCs w:val="24"/>
        </w:rPr>
        <w:t xml:space="preserve"> the persona</w:t>
      </w:r>
      <w:r w:rsidR="005E730D">
        <w:rPr>
          <w:rFonts w:ascii="Arial" w:hAnsi="Arial" w:cs="Arial"/>
          <w:sz w:val="24"/>
          <w:szCs w:val="24"/>
        </w:rPr>
        <w:t>l</w:t>
      </w:r>
      <w:r w:rsidR="00E57D35">
        <w:rPr>
          <w:rFonts w:ascii="Arial" w:hAnsi="Arial" w:cs="Arial"/>
          <w:sz w:val="24"/>
          <w:szCs w:val="24"/>
        </w:rPr>
        <w:t xml:space="preserve"> loan to the </w:t>
      </w:r>
      <w:r w:rsidR="00B55FC2">
        <w:rPr>
          <w:rFonts w:ascii="Arial" w:hAnsi="Arial" w:cs="Arial"/>
          <w:sz w:val="24"/>
          <w:szCs w:val="24"/>
        </w:rPr>
        <w:t xml:space="preserve">appellant </w:t>
      </w:r>
      <w:r w:rsidR="00E57D35">
        <w:rPr>
          <w:rFonts w:ascii="Arial" w:hAnsi="Arial" w:cs="Arial"/>
          <w:sz w:val="24"/>
          <w:szCs w:val="24"/>
        </w:rPr>
        <w:t xml:space="preserve">and the loan account to the company were always treated separately. </w:t>
      </w:r>
      <w:r w:rsidR="0027607B" w:rsidRPr="0027607B">
        <w:rPr>
          <w:rFonts w:ascii="Arial" w:hAnsi="Arial" w:cs="Arial"/>
          <w:sz w:val="24"/>
          <w:szCs w:val="24"/>
        </w:rPr>
        <w:t xml:space="preserve">In her evidence in chief, the appellant </w:t>
      </w:r>
      <w:r w:rsidR="00BA1C1F">
        <w:rPr>
          <w:rFonts w:ascii="Arial" w:hAnsi="Arial" w:cs="Arial"/>
          <w:sz w:val="24"/>
          <w:szCs w:val="24"/>
        </w:rPr>
        <w:t xml:space="preserve">as well distinguished </w:t>
      </w:r>
      <w:r w:rsidR="0027607B" w:rsidRPr="0027607B">
        <w:rPr>
          <w:rFonts w:ascii="Arial" w:hAnsi="Arial" w:cs="Arial"/>
          <w:sz w:val="24"/>
          <w:szCs w:val="24"/>
        </w:rPr>
        <w:t xml:space="preserve">the two loans. </w:t>
      </w:r>
      <w:r w:rsidR="00B55FC2">
        <w:rPr>
          <w:rFonts w:ascii="Arial" w:hAnsi="Arial" w:cs="Arial"/>
          <w:sz w:val="24"/>
          <w:szCs w:val="24"/>
        </w:rPr>
        <w:t xml:space="preserve">She </w:t>
      </w:r>
      <w:r w:rsidR="005E5CA4">
        <w:rPr>
          <w:rFonts w:ascii="Arial" w:hAnsi="Arial" w:cs="Arial"/>
          <w:sz w:val="24"/>
          <w:szCs w:val="24"/>
        </w:rPr>
        <w:t xml:space="preserve">testified that the respondent made a loan to her personally and to the company. In her email correspondence to Rudi Rudolf and Robyn Zinman of Sorbet </w:t>
      </w:r>
      <w:r w:rsidR="005E5CA4">
        <w:rPr>
          <w:rFonts w:ascii="Arial" w:hAnsi="Arial" w:cs="Arial"/>
          <w:sz w:val="24"/>
          <w:szCs w:val="24"/>
        </w:rPr>
        <w:lastRenderedPageBreak/>
        <w:t xml:space="preserve">on 09 November </w:t>
      </w:r>
      <w:r w:rsidR="005E730D">
        <w:rPr>
          <w:rFonts w:ascii="Arial" w:hAnsi="Arial" w:cs="Arial"/>
          <w:sz w:val="24"/>
          <w:szCs w:val="24"/>
        </w:rPr>
        <w:t>2018</w:t>
      </w:r>
      <w:r w:rsidR="00B55FC2">
        <w:rPr>
          <w:rFonts w:ascii="Arial" w:hAnsi="Arial" w:cs="Arial"/>
          <w:sz w:val="24"/>
          <w:szCs w:val="24"/>
        </w:rPr>
        <w:t>,</w:t>
      </w:r>
      <w:r w:rsidR="005E730D">
        <w:rPr>
          <w:rFonts w:ascii="Arial" w:hAnsi="Arial" w:cs="Arial"/>
          <w:sz w:val="24"/>
          <w:szCs w:val="24"/>
        </w:rPr>
        <w:t xml:space="preserve"> requesting </w:t>
      </w:r>
      <w:r w:rsidR="005E5CA4">
        <w:rPr>
          <w:rFonts w:ascii="Arial" w:hAnsi="Arial" w:cs="Arial"/>
          <w:sz w:val="24"/>
          <w:szCs w:val="24"/>
        </w:rPr>
        <w:t xml:space="preserve">them to give </w:t>
      </w:r>
      <w:r w:rsidR="005E730D">
        <w:rPr>
          <w:rFonts w:ascii="Arial" w:hAnsi="Arial" w:cs="Arial"/>
          <w:sz w:val="24"/>
          <w:szCs w:val="24"/>
        </w:rPr>
        <w:t>her the fair price of the respondent’</w:t>
      </w:r>
      <w:r w:rsidR="0027607B">
        <w:rPr>
          <w:rFonts w:ascii="Arial" w:hAnsi="Arial" w:cs="Arial"/>
          <w:sz w:val="24"/>
          <w:szCs w:val="24"/>
        </w:rPr>
        <w:t>s</w:t>
      </w:r>
      <w:r w:rsidR="005E730D">
        <w:rPr>
          <w:rFonts w:ascii="Arial" w:hAnsi="Arial" w:cs="Arial"/>
          <w:sz w:val="24"/>
          <w:szCs w:val="24"/>
        </w:rPr>
        <w:t xml:space="preserve"> shares in the company</w:t>
      </w:r>
      <w:r w:rsidR="00B55FC2">
        <w:rPr>
          <w:rFonts w:ascii="Arial" w:hAnsi="Arial" w:cs="Arial"/>
          <w:sz w:val="24"/>
          <w:szCs w:val="24"/>
        </w:rPr>
        <w:t>,</w:t>
      </w:r>
      <w:r w:rsidR="005E5CA4">
        <w:rPr>
          <w:rFonts w:ascii="Arial" w:hAnsi="Arial" w:cs="Arial"/>
          <w:sz w:val="24"/>
          <w:szCs w:val="24"/>
        </w:rPr>
        <w:t xml:space="preserve"> </w:t>
      </w:r>
      <w:r w:rsidR="005E730D">
        <w:rPr>
          <w:rFonts w:ascii="Arial" w:hAnsi="Arial" w:cs="Arial"/>
          <w:sz w:val="24"/>
          <w:szCs w:val="24"/>
        </w:rPr>
        <w:t>the</w:t>
      </w:r>
      <w:r w:rsidR="005E5CA4">
        <w:rPr>
          <w:rFonts w:ascii="Arial" w:hAnsi="Arial" w:cs="Arial"/>
          <w:sz w:val="24"/>
          <w:szCs w:val="24"/>
        </w:rPr>
        <w:t xml:space="preserve"> </w:t>
      </w:r>
      <w:r w:rsidR="00F160F9">
        <w:rPr>
          <w:rFonts w:ascii="Arial" w:hAnsi="Arial" w:cs="Arial"/>
          <w:sz w:val="24"/>
          <w:szCs w:val="24"/>
        </w:rPr>
        <w:t xml:space="preserve">appellant expressly informed them </w:t>
      </w:r>
      <w:r w:rsidR="005E5CA4">
        <w:rPr>
          <w:rFonts w:ascii="Arial" w:hAnsi="Arial" w:cs="Arial"/>
          <w:sz w:val="24"/>
          <w:szCs w:val="24"/>
        </w:rPr>
        <w:t xml:space="preserve">that </w:t>
      </w:r>
      <w:r w:rsidR="005E730D">
        <w:rPr>
          <w:rFonts w:ascii="Arial" w:hAnsi="Arial" w:cs="Arial"/>
          <w:sz w:val="24"/>
          <w:szCs w:val="24"/>
        </w:rPr>
        <w:t xml:space="preserve">she intended to deal with the respondent’s loan account in the company separately from the sale of the shares. </w:t>
      </w:r>
    </w:p>
    <w:p w:rsidR="005E730D" w:rsidRDefault="005E730D" w:rsidP="00E379FA">
      <w:pPr>
        <w:spacing w:after="0" w:line="480" w:lineRule="auto"/>
        <w:jc w:val="both"/>
        <w:rPr>
          <w:rFonts w:ascii="Arial" w:hAnsi="Arial" w:cs="Arial"/>
          <w:sz w:val="24"/>
          <w:szCs w:val="24"/>
        </w:rPr>
      </w:pPr>
    </w:p>
    <w:p w:rsidR="0038770A" w:rsidRDefault="00944AA3" w:rsidP="00E379FA">
      <w:pPr>
        <w:spacing w:after="0" w:line="480" w:lineRule="auto"/>
        <w:jc w:val="both"/>
        <w:rPr>
          <w:rFonts w:ascii="Arial" w:hAnsi="Arial" w:cs="Arial"/>
          <w:sz w:val="24"/>
          <w:szCs w:val="24"/>
        </w:rPr>
      </w:pPr>
      <w:r>
        <w:rPr>
          <w:rFonts w:ascii="Arial" w:hAnsi="Arial" w:cs="Arial"/>
          <w:sz w:val="24"/>
          <w:szCs w:val="24"/>
        </w:rPr>
        <w:t>[3</w:t>
      </w:r>
      <w:r w:rsidR="002D3362">
        <w:rPr>
          <w:rFonts w:ascii="Arial" w:hAnsi="Arial" w:cs="Arial"/>
          <w:sz w:val="24"/>
          <w:szCs w:val="24"/>
        </w:rPr>
        <w:t>9</w:t>
      </w:r>
      <w:r w:rsidR="003B659B">
        <w:rPr>
          <w:rFonts w:ascii="Arial" w:hAnsi="Arial" w:cs="Arial"/>
          <w:sz w:val="24"/>
          <w:szCs w:val="24"/>
        </w:rPr>
        <w:t>]</w:t>
      </w:r>
      <w:r w:rsidR="003B659B">
        <w:rPr>
          <w:rFonts w:ascii="Arial" w:hAnsi="Arial" w:cs="Arial"/>
          <w:sz w:val="24"/>
          <w:szCs w:val="24"/>
        </w:rPr>
        <w:tab/>
      </w:r>
      <w:r w:rsidR="005E730D">
        <w:rPr>
          <w:rFonts w:ascii="Arial" w:hAnsi="Arial" w:cs="Arial"/>
          <w:sz w:val="24"/>
          <w:szCs w:val="24"/>
        </w:rPr>
        <w:t xml:space="preserve">In harmony with this approach, the appellant sent a written draft </w:t>
      </w:r>
      <w:r w:rsidR="0096035E">
        <w:rPr>
          <w:rFonts w:ascii="Arial" w:hAnsi="Arial" w:cs="Arial"/>
          <w:sz w:val="24"/>
          <w:szCs w:val="24"/>
        </w:rPr>
        <w:t xml:space="preserve">agreement </w:t>
      </w:r>
      <w:r w:rsidR="005E730D">
        <w:rPr>
          <w:rFonts w:ascii="Arial" w:hAnsi="Arial" w:cs="Arial"/>
          <w:sz w:val="24"/>
          <w:szCs w:val="24"/>
        </w:rPr>
        <w:t>to the res</w:t>
      </w:r>
      <w:r w:rsidR="0027607B">
        <w:rPr>
          <w:rFonts w:ascii="Arial" w:hAnsi="Arial" w:cs="Arial"/>
          <w:sz w:val="24"/>
          <w:szCs w:val="24"/>
        </w:rPr>
        <w:t>pondent regarding</w:t>
      </w:r>
      <w:r w:rsidR="005E730D">
        <w:rPr>
          <w:rFonts w:ascii="Arial" w:hAnsi="Arial" w:cs="Arial"/>
          <w:sz w:val="24"/>
          <w:szCs w:val="24"/>
        </w:rPr>
        <w:t xml:space="preserve"> the sale of </w:t>
      </w:r>
      <w:r w:rsidR="0096035E">
        <w:rPr>
          <w:rFonts w:ascii="Arial" w:hAnsi="Arial" w:cs="Arial"/>
          <w:sz w:val="24"/>
          <w:szCs w:val="24"/>
        </w:rPr>
        <w:t>the respondent</w:t>
      </w:r>
      <w:r w:rsidR="0027607B">
        <w:rPr>
          <w:rFonts w:ascii="Arial" w:hAnsi="Arial" w:cs="Arial"/>
          <w:sz w:val="24"/>
          <w:szCs w:val="24"/>
        </w:rPr>
        <w:t>’</w:t>
      </w:r>
      <w:r w:rsidR="0096035E">
        <w:rPr>
          <w:rFonts w:ascii="Arial" w:hAnsi="Arial" w:cs="Arial"/>
          <w:sz w:val="24"/>
          <w:szCs w:val="24"/>
        </w:rPr>
        <w:t xml:space="preserve">s </w:t>
      </w:r>
      <w:r w:rsidR="005E730D">
        <w:rPr>
          <w:rFonts w:ascii="Arial" w:hAnsi="Arial" w:cs="Arial"/>
          <w:sz w:val="24"/>
          <w:szCs w:val="24"/>
        </w:rPr>
        <w:t>shares</w:t>
      </w:r>
      <w:r w:rsidR="0096035E">
        <w:rPr>
          <w:rFonts w:ascii="Arial" w:hAnsi="Arial" w:cs="Arial"/>
          <w:sz w:val="24"/>
          <w:szCs w:val="24"/>
        </w:rPr>
        <w:t xml:space="preserve"> in the company</w:t>
      </w:r>
      <w:r w:rsidR="005E730D">
        <w:rPr>
          <w:rFonts w:ascii="Arial" w:hAnsi="Arial" w:cs="Arial"/>
          <w:sz w:val="24"/>
          <w:szCs w:val="24"/>
        </w:rPr>
        <w:t xml:space="preserve">. </w:t>
      </w:r>
      <w:r w:rsidR="0096035E">
        <w:rPr>
          <w:rFonts w:ascii="Arial" w:hAnsi="Arial" w:cs="Arial"/>
          <w:sz w:val="24"/>
          <w:szCs w:val="24"/>
        </w:rPr>
        <w:t xml:space="preserve">The draft agreement was sent to the respondent under cover of the email dated 12 February 2019. The draft agreement was silent on the outstanding loans and only dealt with the sale of </w:t>
      </w:r>
      <w:r w:rsidR="00FA1F28">
        <w:rPr>
          <w:rFonts w:ascii="Arial" w:hAnsi="Arial" w:cs="Arial"/>
          <w:sz w:val="24"/>
          <w:szCs w:val="24"/>
        </w:rPr>
        <w:t>shares, the purchase price</w:t>
      </w:r>
      <w:r w:rsidR="0027607B">
        <w:rPr>
          <w:rFonts w:ascii="Arial" w:hAnsi="Arial" w:cs="Arial"/>
          <w:sz w:val="24"/>
          <w:szCs w:val="24"/>
        </w:rPr>
        <w:t>,</w:t>
      </w:r>
      <w:r w:rsidR="00FA1F28">
        <w:rPr>
          <w:rFonts w:ascii="Arial" w:hAnsi="Arial" w:cs="Arial"/>
          <w:sz w:val="24"/>
          <w:szCs w:val="24"/>
        </w:rPr>
        <w:t xml:space="preserve"> and the payment plan. </w:t>
      </w:r>
      <w:r w:rsidR="0048763E" w:rsidRPr="0048763E">
        <w:rPr>
          <w:rFonts w:ascii="Arial" w:hAnsi="Arial" w:cs="Arial"/>
          <w:sz w:val="24"/>
          <w:szCs w:val="24"/>
        </w:rPr>
        <w:t xml:space="preserve">This was consistent with the intention of the parties throughout their business exigencies to keep the loan to the company, the personal loan to the appellant, and the sale of the respondent's shares separately. </w:t>
      </w:r>
    </w:p>
    <w:p w:rsidR="00E65F57" w:rsidRDefault="00E65F57" w:rsidP="00E379FA">
      <w:pPr>
        <w:spacing w:after="0" w:line="480" w:lineRule="auto"/>
        <w:jc w:val="both"/>
        <w:rPr>
          <w:rFonts w:ascii="Arial" w:hAnsi="Arial" w:cs="Arial"/>
          <w:sz w:val="24"/>
          <w:szCs w:val="24"/>
        </w:rPr>
      </w:pPr>
    </w:p>
    <w:p w:rsidR="00D00744" w:rsidRDefault="00944AA3" w:rsidP="00E379FA">
      <w:pPr>
        <w:spacing w:after="0" w:line="480" w:lineRule="auto"/>
        <w:jc w:val="both"/>
        <w:rPr>
          <w:rFonts w:ascii="Arial" w:hAnsi="Arial" w:cs="Arial"/>
          <w:sz w:val="24"/>
          <w:szCs w:val="24"/>
        </w:rPr>
      </w:pPr>
      <w:r>
        <w:rPr>
          <w:rFonts w:ascii="Arial" w:hAnsi="Arial" w:cs="Arial"/>
          <w:sz w:val="24"/>
          <w:szCs w:val="24"/>
        </w:rPr>
        <w:t>[</w:t>
      </w:r>
      <w:r w:rsidR="002D3362">
        <w:rPr>
          <w:rFonts w:ascii="Arial" w:hAnsi="Arial" w:cs="Arial"/>
          <w:sz w:val="24"/>
          <w:szCs w:val="24"/>
        </w:rPr>
        <w:t>40</w:t>
      </w:r>
      <w:r w:rsidR="003B659B">
        <w:rPr>
          <w:rFonts w:ascii="Arial" w:hAnsi="Arial" w:cs="Arial"/>
          <w:sz w:val="24"/>
          <w:szCs w:val="24"/>
        </w:rPr>
        <w:t>]</w:t>
      </w:r>
      <w:r w:rsidR="003B659B">
        <w:rPr>
          <w:rFonts w:ascii="Arial" w:hAnsi="Arial" w:cs="Arial"/>
          <w:sz w:val="24"/>
          <w:szCs w:val="24"/>
        </w:rPr>
        <w:tab/>
      </w:r>
      <w:r w:rsidR="00E65F57">
        <w:rPr>
          <w:rFonts w:ascii="Arial" w:hAnsi="Arial" w:cs="Arial"/>
          <w:sz w:val="24"/>
          <w:szCs w:val="24"/>
        </w:rPr>
        <w:t>This conclusion</w:t>
      </w:r>
      <w:r w:rsidR="0048763E">
        <w:rPr>
          <w:rFonts w:ascii="Arial" w:hAnsi="Arial" w:cs="Arial"/>
          <w:sz w:val="24"/>
          <w:szCs w:val="24"/>
        </w:rPr>
        <w:t>,</w:t>
      </w:r>
      <w:r w:rsidR="00E65F57">
        <w:rPr>
          <w:rFonts w:ascii="Arial" w:hAnsi="Arial" w:cs="Arial"/>
          <w:sz w:val="24"/>
          <w:szCs w:val="24"/>
        </w:rPr>
        <w:t xml:space="preserve"> in my view, is fortified by the subsequent email correspondence exchanged between the parties immediately before the contract was signed and soon after the sale agreement was concluded. </w:t>
      </w:r>
      <w:r w:rsidR="00FA1F28">
        <w:rPr>
          <w:rFonts w:ascii="Arial" w:hAnsi="Arial" w:cs="Arial"/>
          <w:sz w:val="24"/>
          <w:szCs w:val="24"/>
        </w:rPr>
        <w:t xml:space="preserve">For instance, </w:t>
      </w:r>
      <w:r w:rsidR="00E65F57">
        <w:rPr>
          <w:rFonts w:ascii="Arial" w:hAnsi="Arial" w:cs="Arial"/>
          <w:sz w:val="24"/>
          <w:szCs w:val="24"/>
        </w:rPr>
        <w:t>the appellant’s email of 12 February 2019</w:t>
      </w:r>
      <w:r w:rsidR="00FA1F28">
        <w:rPr>
          <w:rFonts w:ascii="Arial" w:hAnsi="Arial" w:cs="Arial"/>
          <w:sz w:val="24"/>
          <w:szCs w:val="24"/>
        </w:rPr>
        <w:t xml:space="preserve"> to the respondent</w:t>
      </w:r>
      <w:r w:rsidR="00E65F57">
        <w:rPr>
          <w:rFonts w:ascii="Arial" w:hAnsi="Arial" w:cs="Arial"/>
          <w:sz w:val="24"/>
          <w:szCs w:val="24"/>
        </w:rPr>
        <w:t xml:space="preserve">, referring </w:t>
      </w:r>
      <w:r w:rsidR="00E65F57" w:rsidRPr="00FA1F28">
        <w:rPr>
          <w:rFonts w:ascii="Arial" w:hAnsi="Arial" w:cs="Arial"/>
          <w:i/>
          <w:sz w:val="24"/>
          <w:szCs w:val="24"/>
        </w:rPr>
        <w:t>to all outstanding loans,</w:t>
      </w:r>
      <w:r w:rsidR="00E65F57">
        <w:rPr>
          <w:rFonts w:ascii="Arial" w:hAnsi="Arial" w:cs="Arial"/>
          <w:sz w:val="24"/>
          <w:szCs w:val="24"/>
        </w:rPr>
        <w:t xml:space="preserve"> is indicative that the </w:t>
      </w:r>
      <w:r w:rsidR="00FA1F28">
        <w:rPr>
          <w:rFonts w:ascii="Arial" w:hAnsi="Arial" w:cs="Arial"/>
          <w:sz w:val="24"/>
          <w:szCs w:val="24"/>
        </w:rPr>
        <w:t>sale of shares</w:t>
      </w:r>
      <w:r w:rsidR="00E65F57">
        <w:rPr>
          <w:rFonts w:ascii="Arial" w:hAnsi="Arial" w:cs="Arial"/>
          <w:sz w:val="24"/>
          <w:szCs w:val="24"/>
        </w:rPr>
        <w:t xml:space="preserve"> agreement and the personal loan are two distinct juristic acts</w:t>
      </w:r>
      <w:r w:rsidR="00D00744">
        <w:rPr>
          <w:rFonts w:ascii="Arial" w:hAnsi="Arial" w:cs="Arial"/>
          <w:sz w:val="24"/>
          <w:szCs w:val="24"/>
        </w:rPr>
        <w:t xml:space="preserve"> and the parties intended to treat it as such</w:t>
      </w:r>
      <w:r w:rsidR="00E65F57">
        <w:rPr>
          <w:rFonts w:ascii="Arial" w:hAnsi="Arial" w:cs="Arial"/>
          <w:sz w:val="24"/>
          <w:szCs w:val="24"/>
        </w:rPr>
        <w:t>.</w:t>
      </w:r>
      <w:r w:rsidR="00FA1F28">
        <w:rPr>
          <w:rFonts w:ascii="Arial" w:hAnsi="Arial" w:cs="Arial"/>
          <w:sz w:val="24"/>
          <w:szCs w:val="24"/>
        </w:rPr>
        <w:t xml:space="preserve"> The contents of this email are different </w:t>
      </w:r>
      <w:r w:rsidR="0048763E">
        <w:rPr>
          <w:rFonts w:ascii="Arial" w:hAnsi="Arial" w:cs="Arial"/>
          <w:sz w:val="24"/>
          <w:szCs w:val="24"/>
        </w:rPr>
        <w:t xml:space="preserve">from </w:t>
      </w:r>
      <w:r w:rsidR="00FA1F28">
        <w:rPr>
          <w:rFonts w:ascii="Arial" w:hAnsi="Arial" w:cs="Arial"/>
          <w:sz w:val="24"/>
          <w:szCs w:val="24"/>
        </w:rPr>
        <w:t xml:space="preserve">the draft agreement. </w:t>
      </w:r>
      <w:r w:rsidR="00DA3B86">
        <w:rPr>
          <w:rFonts w:ascii="Arial" w:hAnsi="Arial" w:cs="Arial"/>
          <w:sz w:val="24"/>
          <w:szCs w:val="24"/>
        </w:rPr>
        <w:t xml:space="preserve">In her email of 13 February 2019, the respondent made it abundantly clear to the </w:t>
      </w:r>
      <w:r w:rsidR="00FA1F28">
        <w:rPr>
          <w:rFonts w:ascii="Arial" w:hAnsi="Arial" w:cs="Arial"/>
          <w:sz w:val="24"/>
          <w:szCs w:val="24"/>
        </w:rPr>
        <w:t>appellant</w:t>
      </w:r>
      <w:r w:rsidR="00DA3B86">
        <w:rPr>
          <w:rFonts w:ascii="Arial" w:hAnsi="Arial" w:cs="Arial"/>
          <w:sz w:val="24"/>
          <w:szCs w:val="24"/>
        </w:rPr>
        <w:t xml:space="preserve"> that she has agreed to the amount of her offer for her shareholding. She </w:t>
      </w:r>
      <w:r w:rsidR="00FA1F28">
        <w:rPr>
          <w:rFonts w:ascii="Arial" w:hAnsi="Arial" w:cs="Arial"/>
          <w:sz w:val="24"/>
          <w:szCs w:val="24"/>
        </w:rPr>
        <w:t xml:space="preserve">further stressed that </w:t>
      </w:r>
      <w:r w:rsidR="00DA3B86">
        <w:rPr>
          <w:rFonts w:ascii="Arial" w:hAnsi="Arial" w:cs="Arial"/>
          <w:sz w:val="24"/>
          <w:szCs w:val="24"/>
        </w:rPr>
        <w:t xml:space="preserve">her loan account with </w:t>
      </w:r>
      <w:r w:rsidR="0048763E">
        <w:rPr>
          <w:rFonts w:ascii="Arial" w:hAnsi="Arial" w:cs="Arial"/>
          <w:sz w:val="24"/>
          <w:szCs w:val="24"/>
        </w:rPr>
        <w:t xml:space="preserve">the </w:t>
      </w:r>
      <w:r w:rsidR="00DA3B86">
        <w:rPr>
          <w:rFonts w:ascii="Arial" w:hAnsi="Arial" w:cs="Arial"/>
          <w:sz w:val="24"/>
          <w:szCs w:val="24"/>
        </w:rPr>
        <w:t>company had been settled</w:t>
      </w:r>
      <w:r w:rsidR="008F2057">
        <w:rPr>
          <w:rFonts w:ascii="Arial" w:hAnsi="Arial" w:cs="Arial"/>
          <w:sz w:val="24"/>
          <w:szCs w:val="24"/>
        </w:rPr>
        <w:t>.</w:t>
      </w:r>
      <w:r w:rsidR="00DA3B86">
        <w:rPr>
          <w:rFonts w:ascii="Arial" w:hAnsi="Arial" w:cs="Arial"/>
          <w:sz w:val="24"/>
          <w:szCs w:val="24"/>
        </w:rPr>
        <w:t xml:space="preserve"> </w:t>
      </w:r>
      <w:r w:rsidR="008F2057">
        <w:rPr>
          <w:rFonts w:ascii="Arial" w:hAnsi="Arial" w:cs="Arial"/>
          <w:sz w:val="24"/>
          <w:szCs w:val="24"/>
        </w:rPr>
        <w:t>H</w:t>
      </w:r>
      <w:r w:rsidR="00DA3B86">
        <w:rPr>
          <w:rFonts w:ascii="Arial" w:hAnsi="Arial" w:cs="Arial"/>
          <w:sz w:val="24"/>
          <w:szCs w:val="24"/>
        </w:rPr>
        <w:t>owever</w:t>
      </w:r>
      <w:r w:rsidR="008F2057">
        <w:rPr>
          <w:rFonts w:ascii="Arial" w:hAnsi="Arial" w:cs="Arial"/>
          <w:sz w:val="24"/>
          <w:szCs w:val="24"/>
        </w:rPr>
        <w:t>,</w:t>
      </w:r>
      <w:r w:rsidR="00DA3B86">
        <w:rPr>
          <w:rFonts w:ascii="Arial" w:hAnsi="Arial" w:cs="Arial"/>
          <w:sz w:val="24"/>
          <w:szCs w:val="24"/>
        </w:rPr>
        <w:t xml:space="preserve"> what was due was the personal loan which she demanded payment from the appellant three times to no avail. </w:t>
      </w:r>
    </w:p>
    <w:p w:rsidR="00D00744" w:rsidRDefault="00D00744" w:rsidP="00E379FA">
      <w:pPr>
        <w:spacing w:after="0" w:line="480" w:lineRule="auto"/>
        <w:jc w:val="both"/>
        <w:rPr>
          <w:rFonts w:ascii="Arial" w:hAnsi="Arial" w:cs="Arial"/>
          <w:sz w:val="24"/>
          <w:szCs w:val="24"/>
        </w:rPr>
      </w:pPr>
    </w:p>
    <w:p w:rsidR="00E65F57" w:rsidRDefault="00944AA3" w:rsidP="00E379FA">
      <w:pPr>
        <w:spacing w:after="0" w:line="480" w:lineRule="auto"/>
        <w:jc w:val="both"/>
        <w:rPr>
          <w:rFonts w:ascii="Arial" w:hAnsi="Arial" w:cs="Arial"/>
          <w:sz w:val="24"/>
          <w:szCs w:val="24"/>
        </w:rPr>
      </w:pPr>
      <w:r>
        <w:rPr>
          <w:rFonts w:ascii="Arial" w:hAnsi="Arial" w:cs="Arial"/>
          <w:sz w:val="24"/>
          <w:szCs w:val="24"/>
        </w:rPr>
        <w:t>[4</w:t>
      </w:r>
      <w:r w:rsidR="002D3362">
        <w:rPr>
          <w:rFonts w:ascii="Arial" w:hAnsi="Arial" w:cs="Arial"/>
          <w:sz w:val="24"/>
          <w:szCs w:val="24"/>
        </w:rPr>
        <w:t>1</w:t>
      </w:r>
      <w:r w:rsidR="00C878AB">
        <w:rPr>
          <w:rFonts w:ascii="Arial" w:hAnsi="Arial" w:cs="Arial"/>
          <w:sz w:val="24"/>
          <w:szCs w:val="24"/>
        </w:rPr>
        <w:t>]</w:t>
      </w:r>
      <w:r w:rsidR="00C878AB">
        <w:rPr>
          <w:rFonts w:ascii="Arial" w:hAnsi="Arial" w:cs="Arial"/>
          <w:sz w:val="24"/>
          <w:szCs w:val="24"/>
        </w:rPr>
        <w:tab/>
      </w:r>
      <w:r w:rsidR="00DA3B86">
        <w:rPr>
          <w:rFonts w:ascii="Arial" w:hAnsi="Arial" w:cs="Arial"/>
          <w:sz w:val="24"/>
          <w:szCs w:val="24"/>
        </w:rPr>
        <w:t xml:space="preserve">As pointed out by </w:t>
      </w:r>
      <w:r w:rsidR="00DA3B86" w:rsidRPr="00F80AAB">
        <w:rPr>
          <w:rFonts w:ascii="Arial" w:hAnsi="Arial" w:cs="Arial"/>
          <w:i/>
          <w:sz w:val="24"/>
          <w:szCs w:val="24"/>
        </w:rPr>
        <w:t>Mr Engelbrecht</w:t>
      </w:r>
      <w:r w:rsidR="008F2057">
        <w:rPr>
          <w:rFonts w:ascii="Arial" w:hAnsi="Arial" w:cs="Arial"/>
          <w:sz w:val="24"/>
          <w:szCs w:val="24"/>
        </w:rPr>
        <w:t>,</w:t>
      </w:r>
      <w:r w:rsidR="00DA3B86">
        <w:rPr>
          <w:rFonts w:ascii="Arial" w:hAnsi="Arial" w:cs="Arial"/>
          <w:sz w:val="24"/>
          <w:szCs w:val="24"/>
        </w:rPr>
        <w:t xml:space="preserve"> and correctly so in my view, it is apparent from the respondent’s response that she interpreted the appellant’s ref</w:t>
      </w:r>
      <w:r w:rsidR="0048763E">
        <w:rPr>
          <w:rFonts w:ascii="Arial" w:hAnsi="Arial" w:cs="Arial"/>
          <w:sz w:val="24"/>
          <w:szCs w:val="24"/>
        </w:rPr>
        <w:t>erence in her email of</w:t>
      </w:r>
      <w:r w:rsidR="00DA3B86">
        <w:rPr>
          <w:rFonts w:ascii="Arial" w:hAnsi="Arial" w:cs="Arial"/>
          <w:sz w:val="24"/>
          <w:szCs w:val="24"/>
        </w:rPr>
        <w:t xml:space="preserve"> 12 February 2019 </w:t>
      </w:r>
      <w:r w:rsidR="00DA3B86" w:rsidRPr="008F2057">
        <w:rPr>
          <w:rFonts w:ascii="Arial" w:hAnsi="Arial" w:cs="Arial"/>
          <w:i/>
          <w:sz w:val="24"/>
          <w:szCs w:val="24"/>
        </w:rPr>
        <w:t>to all outstanding loans</w:t>
      </w:r>
      <w:r w:rsidR="00DA3B86">
        <w:rPr>
          <w:rFonts w:ascii="Arial" w:hAnsi="Arial" w:cs="Arial"/>
          <w:sz w:val="24"/>
          <w:szCs w:val="24"/>
        </w:rPr>
        <w:t xml:space="preserve"> </w:t>
      </w:r>
      <w:r w:rsidR="00BA1C1F">
        <w:rPr>
          <w:rFonts w:ascii="Arial" w:hAnsi="Arial" w:cs="Arial"/>
          <w:sz w:val="24"/>
          <w:szCs w:val="24"/>
        </w:rPr>
        <w:t>as</w:t>
      </w:r>
      <w:r w:rsidR="00DA3B86">
        <w:rPr>
          <w:rFonts w:ascii="Arial" w:hAnsi="Arial" w:cs="Arial"/>
          <w:sz w:val="24"/>
          <w:szCs w:val="24"/>
        </w:rPr>
        <w:t xml:space="preserve"> a reference to her loan account in the company</w:t>
      </w:r>
      <w:r w:rsidR="00D27E59">
        <w:rPr>
          <w:rFonts w:ascii="Arial" w:hAnsi="Arial" w:cs="Arial"/>
          <w:sz w:val="24"/>
          <w:szCs w:val="24"/>
        </w:rPr>
        <w:t>.</w:t>
      </w:r>
      <w:r w:rsidR="00DA3B86">
        <w:rPr>
          <w:rFonts w:ascii="Arial" w:hAnsi="Arial" w:cs="Arial"/>
          <w:sz w:val="24"/>
          <w:szCs w:val="24"/>
        </w:rPr>
        <w:t xml:space="preserve"> </w:t>
      </w:r>
      <w:r w:rsidR="001E6106">
        <w:rPr>
          <w:rFonts w:ascii="Arial" w:hAnsi="Arial" w:cs="Arial"/>
          <w:sz w:val="24"/>
          <w:szCs w:val="24"/>
        </w:rPr>
        <w:t>T</w:t>
      </w:r>
      <w:r w:rsidR="00BA1C1F">
        <w:rPr>
          <w:rFonts w:ascii="Arial" w:hAnsi="Arial" w:cs="Arial"/>
          <w:sz w:val="24"/>
          <w:szCs w:val="24"/>
        </w:rPr>
        <w:t xml:space="preserve">he respondent </w:t>
      </w:r>
      <w:r w:rsidR="00DA3B86">
        <w:rPr>
          <w:rFonts w:ascii="Arial" w:hAnsi="Arial" w:cs="Arial"/>
          <w:sz w:val="24"/>
          <w:szCs w:val="24"/>
        </w:rPr>
        <w:t xml:space="preserve">considered her claim against the appellant under the personal loan agreement as </w:t>
      </w:r>
      <w:r w:rsidR="0048763E">
        <w:rPr>
          <w:rFonts w:ascii="Arial" w:hAnsi="Arial" w:cs="Arial"/>
          <w:sz w:val="24"/>
          <w:szCs w:val="24"/>
        </w:rPr>
        <w:t xml:space="preserve">a </w:t>
      </w:r>
      <w:r w:rsidR="00DA3B86">
        <w:rPr>
          <w:rFonts w:ascii="Arial" w:hAnsi="Arial" w:cs="Arial"/>
          <w:sz w:val="24"/>
          <w:szCs w:val="24"/>
        </w:rPr>
        <w:t xml:space="preserve">separate matter. </w:t>
      </w:r>
    </w:p>
    <w:p w:rsidR="00DA3B86" w:rsidRDefault="00DA3B86" w:rsidP="00E379FA">
      <w:pPr>
        <w:spacing w:after="0" w:line="480" w:lineRule="auto"/>
        <w:jc w:val="both"/>
        <w:rPr>
          <w:rFonts w:ascii="Arial" w:hAnsi="Arial" w:cs="Arial"/>
          <w:sz w:val="24"/>
          <w:szCs w:val="24"/>
        </w:rPr>
      </w:pPr>
    </w:p>
    <w:p w:rsidR="008F2057" w:rsidRDefault="003B659B" w:rsidP="00E379FA">
      <w:pPr>
        <w:spacing w:after="0" w:line="480" w:lineRule="auto"/>
        <w:jc w:val="both"/>
        <w:rPr>
          <w:rFonts w:ascii="Arial" w:hAnsi="Arial" w:cs="Arial"/>
          <w:sz w:val="24"/>
          <w:szCs w:val="24"/>
        </w:rPr>
      </w:pPr>
      <w:r>
        <w:rPr>
          <w:rFonts w:ascii="Arial" w:hAnsi="Arial" w:cs="Arial"/>
          <w:sz w:val="24"/>
          <w:szCs w:val="24"/>
        </w:rPr>
        <w:t>[</w:t>
      </w:r>
      <w:r w:rsidR="00944AA3">
        <w:rPr>
          <w:rFonts w:ascii="Arial" w:hAnsi="Arial" w:cs="Arial"/>
          <w:sz w:val="24"/>
          <w:szCs w:val="24"/>
        </w:rPr>
        <w:t>4</w:t>
      </w:r>
      <w:r w:rsidR="002D3362">
        <w:rPr>
          <w:rFonts w:ascii="Arial" w:hAnsi="Arial" w:cs="Arial"/>
          <w:sz w:val="24"/>
          <w:szCs w:val="24"/>
        </w:rPr>
        <w:t>2</w:t>
      </w:r>
      <w:r>
        <w:rPr>
          <w:rFonts w:ascii="Arial" w:hAnsi="Arial" w:cs="Arial"/>
          <w:sz w:val="24"/>
          <w:szCs w:val="24"/>
        </w:rPr>
        <w:t>]</w:t>
      </w:r>
      <w:r>
        <w:rPr>
          <w:rFonts w:ascii="Arial" w:hAnsi="Arial" w:cs="Arial"/>
          <w:sz w:val="24"/>
          <w:szCs w:val="24"/>
        </w:rPr>
        <w:tab/>
      </w:r>
      <w:r w:rsidR="001E6106" w:rsidRPr="001E6106">
        <w:rPr>
          <w:rFonts w:ascii="Arial" w:hAnsi="Arial" w:cs="Arial"/>
          <w:sz w:val="24"/>
          <w:szCs w:val="24"/>
        </w:rPr>
        <w:t>Interestingly, and in response to the respondent's email demanding payment of the shortfall, the appellant did not inform the respondent that her offer of 12 February 2019 to the respondent included the personal loan.</w:t>
      </w:r>
      <w:r w:rsidR="001B7B06">
        <w:rPr>
          <w:rFonts w:ascii="Arial" w:hAnsi="Arial" w:cs="Arial"/>
          <w:sz w:val="24"/>
          <w:szCs w:val="24"/>
        </w:rPr>
        <w:t xml:space="preserve"> Instead, the appellant reiterated that she remember</w:t>
      </w:r>
      <w:r w:rsidR="0048763E">
        <w:rPr>
          <w:rFonts w:ascii="Arial" w:hAnsi="Arial" w:cs="Arial"/>
          <w:sz w:val="24"/>
          <w:szCs w:val="24"/>
        </w:rPr>
        <w:t xml:space="preserve">ed </w:t>
      </w:r>
      <w:r w:rsidR="001B7B06">
        <w:rPr>
          <w:rFonts w:ascii="Arial" w:hAnsi="Arial" w:cs="Arial"/>
          <w:sz w:val="24"/>
          <w:szCs w:val="24"/>
        </w:rPr>
        <w:t>that the respondent loaned her R117 000</w:t>
      </w:r>
      <w:r w:rsidR="0048763E">
        <w:rPr>
          <w:rFonts w:ascii="Arial" w:hAnsi="Arial" w:cs="Arial"/>
          <w:sz w:val="24"/>
          <w:szCs w:val="24"/>
        </w:rPr>
        <w:t>,</w:t>
      </w:r>
      <w:r w:rsidR="008F2057">
        <w:rPr>
          <w:rFonts w:ascii="Arial" w:hAnsi="Arial" w:cs="Arial"/>
          <w:sz w:val="24"/>
          <w:szCs w:val="24"/>
        </w:rPr>
        <w:t xml:space="preserve"> and she paid back R70 000. </w:t>
      </w:r>
      <w:r w:rsidR="00C87DE4" w:rsidRPr="00C87DE4">
        <w:rPr>
          <w:rFonts w:ascii="Arial" w:hAnsi="Arial" w:cs="Arial"/>
          <w:sz w:val="24"/>
          <w:szCs w:val="24"/>
        </w:rPr>
        <w:t xml:space="preserve">The appellant further indicated that she felt another smaller amount was due but would check and revert. </w:t>
      </w:r>
    </w:p>
    <w:p w:rsidR="008F2057" w:rsidRDefault="008F2057" w:rsidP="00E379FA">
      <w:pPr>
        <w:spacing w:after="0" w:line="480" w:lineRule="auto"/>
        <w:jc w:val="both"/>
        <w:rPr>
          <w:rFonts w:ascii="Arial" w:hAnsi="Arial" w:cs="Arial"/>
          <w:sz w:val="24"/>
          <w:szCs w:val="24"/>
        </w:rPr>
      </w:pPr>
    </w:p>
    <w:p w:rsidR="00DA3B86" w:rsidRDefault="00944AA3" w:rsidP="00E379FA">
      <w:pPr>
        <w:spacing w:after="0" w:line="480" w:lineRule="auto"/>
        <w:jc w:val="both"/>
        <w:rPr>
          <w:rFonts w:ascii="Arial" w:hAnsi="Arial" w:cs="Arial"/>
          <w:sz w:val="24"/>
          <w:szCs w:val="24"/>
        </w:rPr>
      </w:pPr>
      <w:r>
        <w:rPr>
          <w:rFonts w:ascii="Arial" w:hAnsi="Arial" w:cs="Arial"/>
          <w:sz w:val="24"/>
          <w:szCs w:val="24"/>
        </w:rPr>
        <w:t>[4</w:t>
      </w:r>
      <w:r w:rsidR="002D3362">
        <w:rPr>
          <w:rFonts w:ascii="Arial" w:hAnsi="Arial" w:cs="Arial"/>
          <w:sz w:val="24"/>
          <w:szCs w:val="24"/>
        </w:rPr>
        <w:t>3</w:t>
      </w:r>
      <w:r w:rsidR="003B659B">
        <w:rPr>
          <w:rFonts w:ascii="Arial" w:hAnsi="Arial" w:cs="Arial"/>
          <w:sz w:val="24"/>
          <w:szCs w:val="24"/>
        </w:rPr>
        <w:t>]</w:t>
      </w:r>
      <w:r w:rsidR="003B659B">
        <w:rPr>
          <w:rFonts w:ascii="Arial" w:hAnsi="Arial" w:cs="Arial"/>
          <w:sz w:val="24"/>
          <w:szCs w:val="24"/>
        </w:rPr>
        <w:tab/>
      </w:r>
      <w:r w:rsidR="008F2057">
        <w:rPr>
          <w:rFonts w:ascii="Arial" w:hAnsi="Arial" w:cs="Arial"/>
          <w:sz w:val="24"/>
          <w:szCs w:val="24"/>
        </w:rPr>
        <w:t>Crucially, e</w:t>
      </w:r>
      <w:r w:rsidR="001B7B06">
        <w:rPr>
          <w:rFonts w:ascii="Arial" w:hAnsi="Arial" w:cs="Arial"/>
          <w:sz w:val="24"/>
          <w:szCs w:val="24"/>
        </w:rPr>
        <w:t xml:space="preserve">ven after signing the agreement, the respondent continued to demand payment of the </w:t>
      </w:r>
      <w:r w:rsidR="00D27E59">
        <w:rPr>
          <w:rFonts w:ascii="Arial" w:hAnsi="Arial" w:cs="Arial"/>
          <w:sz w:val="24"/>
          <w:szCs w:val="24"/>
        </w:rPr>
        <w:t xml:space="preserve">balance of the </w:t>
      </w:r>
      <w:r w:rsidR="001B7B06">
        <w:rPr>
          <w:rFonts w:ascii="Arial" w:hAnsi="Arial" w:cs="Arial"/>
          <w:sz w:val="24"/>
          <w:szCs w:val="24"/>
        </w:rPr>
        <w:t>loan</w:t>
      </w:r>
      <w:r w:rsidR="00D27E59">
        <w:rPr>
          <w:rFonts w:ascii="Arial" w:hAnsi="Arial" w:cs="Arial"/>
          <w:sz w:val="24"/>
          <w:szCs w:val="24"/>
        </w:rPr>
        <w:t>.</w:t>
      </w:r>
      <w:r w:rsidR="001B7B06">
        <w:rPr>
          <w:rFonts w:ascii="Arial" w:hAnsi="Arial" w:cs="Arial"/>
          <w:sz w:val="24"/>
          <w:szCs w:val="24"/>
        </w:rPr>
        <w:t xml:space="preserve"> On 21 February 2019, the respondent wrote to the respondent and informed her that the only issue</w:t>
      </w:r>
      <w:r w:rsidR="002D3362">
        <w:rPr>
          <w:rFonts w:ascii="Arial" w:hAnsi="Arial" w:cs="Arial"/>
          <w:sz w:val="24"/>
          <w:szCs w:val="24"/>
        </w:rPr>
        <w:t xml:space="preserve"> still</w:t>
      </w:r>
      <w:r w:rsidR="001B7B06">
        <w:rPr>
          <w:rFonts w:ascii="Arial" w:hAnsi="Arial" w:cs="Arial"/>
          <w:sz w:val="24"/>
          <w:szCs w:val="24"/>
        </w:rPr>
        <w:t xml:space="preserve"> remaining was the personal loan agreement. She wrote another follow</w:t>
      </w:r>
      <w:r w:rsidR="00C87DE4">
        <w:rPr>
          <w:rFonts w:ascii="Arial" w:hAnsi="Arial" w:cs="Arial"/>
          <w:sz w:val="24"/>
          <w:szCs w:val="24"/>
        </w:rPr>
        <w:t>-</w:t>
      </w:r>
      <w:r w:rsidR="001B7B06">
        <w:rPr>
          <w:rFonts w:ascii="Arial" w:hAnsi="Arial" w:cs="Arial"/>
          <w:sz w:val="24"/>
          <w:szCs w:val="24"/>
        </w:rPr>
        <w:t xml:space="preserve">up email </w:t>
      </w:r>
      <w:r w:rsidR="00842BBE">
        <w:rPr>
          <w:rFonts w:ascii="Arial" w:hAnsi="Arial" w:cs="Arial"/>
          <w:sz w:val="24"/>
          <w:szCs w:val="24"/>
        </w:rPr>
        <w:t>on 8 March 2019</w:t>
      </w:r>
      <w:r w:rsidR="008F2057">
        <w:rPr>
          <w:rFonts w:ascii="Arial" w:hAnsi="Arial" w:cs="Arial"/>
          <w:sz w:val="24"/>
          <w:szCs w:val="24"/>
        </w:rPr>
        <w:t>,</w:t>
      </w:r>
      <w:r w:rsidR="00842BBE">
        <w:rPr>
          <w:rFonts w:ascii="Arial" w:hAnsi="Arial" w:cs="Arial"/>
          <w:sz w:val="24"/>
          <w:szCs w:val="24"/>
        </w:rPr>
        <w:t xml:space="preserve"> </w:t>
      </w:r>
      <w:r w:rsidR="00C87DE4">
        <w:rPr>
          <w:rFonts w:ascii="Arial" w:hAnsi="Arial" w:cs="Arial"/>
          <w:sz w:val="24"/>
          <w:szCs w:val="24"/>
        </w:rPr>
        <w:t>demanding the short</w:t>
      </w:r>
      <w:r w:rsidR="00842BBE">
        <w:rPr>
          <w:rFonts w:ascii="Arial" w:hAnsi="Arial" w:cs="Arial"/>
          <w:sz w:val="24"/>
          <w:szCs w:val="24"/>
        </w:rPr>
        <w:t xml:space="preserve">fall of R47 000 from the </w:t>
      </w:r>
      <w:r w:rsidR="008F2057">
        <w:rPr>
          <w:rFonts w:ascii="Arial" w:hAnsi="Arial" w:cs="Arial"/>
          <w:sz w:val="24"/>
          <w:szCs w:val="24"/>
        </w:rPr>
        <w:t xml:space="preserve">appellant. </w:t>
      </w:r>
    </w:p>
    <w:p w:rsidR="00842BBE" w:rsidRDefault="00842BBE" w:rsidP="00E379FA">
      <w:pPr>
        <w:spacing w:after="0" w:line="480" w:lineRule="auto"/>
        <w:jc w:val="both"/>
        <w:rPr>
          <w:rFonts w:ascii="Arial" w:hAnsi="Arial" w:cs="Arial"/>
          <w:sz w:val="24"/>
          <w:szCs w:val="24"/>
        </w:rPr>
      </w:pPr>
    </w:p>
    <w:p w:rsidR="001B7B06" w:rsidRDefault="00C878AB" w:rsidP="00E379FA">
      <w:pPr>
        <w:spacing w:after="0" w:line="480" w:lineRule="auto"/>
        <w:jc w:val="both"/>
        <w:rPr>
          <w:rFonts w:ascii="Arial" w:hAnsi="Arial" w:cs="Arial"/>
          <w:sz w:val="24"/>
          <w:szCs w:val="24"/>
        </w:rPr>
      </w:pPr>
      <w:r>
        <w:rPr>
          <w:rFonts w:ascii="Arial" w:hAnsi="Arial" w:cs="Arial"/>
          <w:sz w:val="24"/>
          <w:szCs w:val="24"/>
        </w:rPr>
        <w:t>[</w:t>
      </w:r>
      <w:r w:rsidR="00944AA3">
        <w:rPr>
          <w:rFonts w:ascii="Arial" w:hAnsi="Arial" w:cs="Arial"/>
          <w:sz w:val="24"/>
          <w:szCs w:val="24"/>
        </w:rPr>
        <w:t>4</w:t>
      </w:r>
      <w:r w:rsidR="002D3362">
        <w:rPr>
          <w:rFonts w:ascii="Arial" w:hAnsi="Arial" w:cs="Arial"/>
          <w:sz w:val="24"/>
          <w:szCs w:val="24"/>
        </w:rPr>
        <w:t>4</w:t>
      </w:r>
      <w:r w:rsidR="003B659B">
        <w:rPr>
          <w:rFonts w:ascii="Arial" w:hAnsi="Arial" w:cs="Arial"/>
          <w:sz w:val="24"/>
          <w:szCs w:val="24"/>
        </w:rPr>
        <w:t>]</w:t>
      </w:r>
      <w:r w:rsidR="003B659B">
        <w:rPr>
          <w:rFonts w:ascii="Arial" w:hAnsi="Arial" w:cs="Arial"/>
          <w:sz w:val="24"/>
          <w:szCs w:val="24"/>
        </w:rPr>
        <w:tab/>
      </w:r>
      <w:r w:rsidR="00C87DE4">
        <w:rPr>
          <w:rFonts w:ascii="Arial" w:hAnsi="Arial" w:cs="Arial"/>
          <w:sz w:val="24"/>
          <w:szCs w:val="24"/>
        </w:rPr>
        <w:t>F</w:t>
      </w:r>
      <w:r w:rsidR="00842BBE">
        <w:rPr>
          <w:rFonts w:ascii="Arial" w:hAnsi="Arial" w:cs="Arial"/>
          <w:sz w:val="24"/>
          <w:szCs w:val="24"/>
        </w:rPr>
        <w:t>r</w:t>
      </w:r>
      <w:r w:rsidR="008F2057">
        <w:rPr>
          <w:rFonts w:ascii="Arial" w:hAnsi="Arial" w:cs="Arial"/>
          <w:sz w:val="24"/>
          <w:szCs w:val="24"/>
        </w:rPr>
        <w:t>o</w:t>
      </w:r>
      <w:r w:rsidR="00842BBE">
        <w:rPr>
          <w:rFonts w:ascii="Arial" w:hAnsi="Arial" w:cs="Arial"/>
          <w:sz w:val="24"/>
          <w:szCs w:val="24"/>
        </w:rPr>
        <w:t>m the mosaic of all the evidence</w:t>
      </w:r>
      <w:r w:rsidR="008F2057">
        <w:rPr>
          <w:rFonts w:ascii="Arial" w:hAnsi="Arial" w:cs="Arial"/>
          <w:sz w:val="24"/>
          <w:szCs w:val="24"/>
        </w:rPr>
        <w:t>,</w:t>
      </w:r>
      <w:r w:rsidR="00842BBE">
        <w:rPr>
          <w:rFonts w:ascii="Arial" w:hAnsi="Arial" w:cs="Arial"/>
          <w:sz w:val="24"/>
          <w:szCs w:val="24"/>
        </w:rPr>
        <w:t xml:space="preserve"> it is evident that the respondent did not consider the agreement reached on 15 February 2019 to have included a compromise of the personal loan agreement. </w:t>
      </w:r>
      <w:r w:rsidR="008F2057">
        <w:rPr>
          <w:rFonts w:ascii="Arial" w:hAnsi="Arial" w:cs="Arial"/>
          <w:sz w:val="24"/>
          <w:szCs w:val="24"/>
        </w:rPr>
        <w:t>For</w:t>
      </w:r>
      <w:r w:rsidR="00842BBE">
        <w:rPr>
          <w:rFonts w:ascii="Arial" w:hAnsi="Arial" w:cs="Arial"/>
          <w:sz w:val="24"/>
          <w:szCs w:val="24"/>
        </w:rPr>
        <w:t xml:space="preserve"> more than once</w:t>
      </w:r>
      <w:r w:rsidR="008F2057">
        <w:rPr>
          <w:rFonts w:ascii="Arial" w:hAnsi="Arial" w:cs="Arial"/>
          <w:sz w:val="24"/>
          <w:szCs w:val="24"/>
        </w:rPr>
        <w:t>,</w:t>
      </w:r>
      <w:r w:rsidR="00842BBE">
        <w:rPr>
          <w:rFonts w:ascii="Arial" w:hAnsi="Arial" w:cs="Arial"/>
          <w:sz w:val="24"/>
          <w:szCs w:val="24"/>
        </w:rPr>
        <w:t xml:space="preserve"> she demanded the repayment of the shortfall immediately before the agreement was signed and soon after the agreement was signed. </w:t>
      </w:r>
      <w:r w:rsidR="00D27E59">
        <w:rPr>
          <w:rFonts w:ascii="Arial" w:hAnsi="Arial" w:cs="Arial"/>
          <w:sz w:val="24"/>
          <w:szCs w:val="24"/>
        </w:rPr>
        <w:t xml:space="preserve">Significantly, </w:t>
      </w:r>
      <w:r w:rsidR="00842BBE">
        <w:rPr>
          <w:rFonts w:ascii="Arial" w:hAnsi="Arial" w:cs="Arial"/>
          <w:sz w:val="24"/>
          <w:szCs w:val="24"/>
        </w:rPr>
        <w:t xml:space="preserve">the appellant did not dismiss the respondent </w:t>
      </w:r>
      <w:r w:rsidR="008F2057">
        <w:rPr>
          <w:rFonts w:ascii="Arial" w:hAnsi="Arial" w:cs="Arial"/>
          <w:sz w:val="24"/>
          <w:szCs w:val="24"/>
        </w:rPr>
        <w:lastRenderedPageBreak/>
        <w:t xml:space="preserve">when </w:t>
      </w:r>
      <w:r w:rsidR="001E6106">
        <w:rPr>
          <w:rFonts w:ascii="Arial" w:hAnsi="Arial" w:cs="Arial"/>
          <w:sz w:val="24"/>
          <w:szCs w:val="24"/>
        </w:rPr>
        <w:t xml:space="preserve">she </w:t>
      </w:r>
      <w:r w:rsidR="008F2057">
        <w:rPr>
          <w:rFonts w:ascii="Arial" w:hAnsi="Arial" w:cs="Arial"/>
          <w:sz w:val="24"/>
          <w:szCs w:val="24"/>
        </w:rPr>
        <w:t>demand</w:t>
      </w:r>
      <w:r w:rsidR="001E6106">
        <w:rPr>
          <w:rFonts w:ascii="Arial" w:hAnsi="Arial" w:cs="Arial"/>
          <w:sz w:val="24"/>
          <w:szCs w:val="24"/>
        </w:rPr>
        <w:t>ed</w:t>
      </w:r>
      <w:r w:rsidR="008F2057">
        <w:rPr>
          <w:rFonts w:ascii="Arial" w:hAnsi="Arial" w:cs="Arial"/>
          <w:sz w:val="24"/>
          <w:szCs w:val="24"/>
        </w:rPr>
        <w:t xml:space="preserve"> </w:t>
      </w:r>
      <w:r w:rsidR="001E6106">
        <w:rPr>
          <w:rFonts w:ascii="Arial" w:hAnsi="Arial" w:cs="Arial"/>
          <w:sz w:val="24"/>
          <w:szCs w:val="24"/>
        </w:rPr>
        <w:t xml:space="preserve">the balance of the loan. The appellant did not inform the respondent that </w:t>
      </w:r>
      <w:r w:rsidR="00842BBE">
        <w:rPr>
          <w:rFonts w:ascii="Arial" w:hAnsi="Arial" w:cs="Arial"/>
          <w:sz w:val="24"/>
          <w:szCs w:val="24"/>
        </w:rPr>
        <w:t xml:space="preserve">the personal loan was settled as part of the agreement concluded on 15 February 2019. </w:t>
      </w:r>
      <w:r w:rsidR="00740B56">
        <w:rPr>
          <w:rFonts w:ascii="Arial" w:hAnsi="Arial" w:cs="Arial"/>
          <w:sz w:val="24"/>
          <w:szCs w:val="24"/>
        </w:rPr>
        <w:t>I</w:t>
      </w:r>
      <w:r w:rsidR="00842BBE">
        <w:rPr>
          <w:rFonts w:ascii="Arial" w:hAnsi="Arial" w:cs="Arial"/>
          <w:sz w:val="24"/>
          <w:szCs w:val="24"/>
        </w:rPr>
        <w:t>n response to the re</w:t>
      </w:r>
      <w:r w:rsidR="00C87DE4">
        <w:rPr>
          <w:rFonts w:ascii="Arial" w:hAnsi="Arial" w:cs="Arial"/>
          <w:sz w:val="24"/>
          <w:szCs w:val="24"/>
        </w:rPr>
        <w:t>spondent’s demand for the short</w:t>
      </w:r>
      <w:r w:rsidR="00842BBE">
        <w:rPr>
          <w:rFonts w:ascii="Arial" w:hAnsi="Arial" w:cs="Arial"/>
          <w:sz w:val="24"/>
          <w:szCs w:val="24"/>
        </w:rPr>
        <w:t>fall, on 23</w:t>
      </w:r>
      <w:r w:rsidR="002D3362">
        <w:rPr>
          <w:rFonts w:ascii="Arial" w:hAnsi="Arial" w:cs="Arial"/>
          <w:sz w:val="24"/>
          <w:szCs w:val="24"/>
        </w:rPr>
        <w:t> </w:t>
      </w:r>
      <w:r w:rsidR="00842BBE">
        <w:rPr>
          <w:rFonts w:ascii="Arial" w:hAnsi="Arial" w:cs="Arial"/>
          <w:sz w:val="24"/>
          <w:szCs w:val="24"/>
        </w:rPr>
        <w:t xml:space="preserve">March 2019, </w:t>
      </w:r>
      <w:r w:rsidR="00EC4187">
        <w:rPr>
          <w:rFonts w:ascii="Arial" w:hAnsi="Arial" w:cs="Arial"/>
          <w:sz w:val="24"/>
          <w:szCs w:val="24"/>
        </w:rPr>
        <w:t>the appellant informed the resp</w:t>
      </w:r>
      <w:r w:rsidR="00C87DE4">
        <w:rPr>
          <w:rFonts w:ascii="Arial" w:hAnsi="Arial" w:cs="Arial"/>
          <w:sz w:val="24"/>
          <w:szCs w:val="24"/>
        </w:rPr>
        <w:t>ondent that she was</w:t>
      </w:r>
      <w:r w:rsidR="00EC4187">
        <w:rPr>
          <w:rFonts w:ascii="Arial" w:hAnsi="Arial" w:cs="Arial"/>
          <w:sz w:val="24"/>
          <w:szCs w:val="24"/>
        </w:rPr>
        <w:t xml:space="preserve"> still waiting for figures (financials) to be completed and signed off</w:t>
      </w:r>
      <w:r w:rsidR="00842BBE">
        <w:rPr>
          <w:rFonts w:ascii="Arial" w:hAnsi="Arial" w:cs="Arial"/>
          <w:sz w:val="24"/>
          <w:szCs w:val="24"/>
        </w:rPr>
        <w:t xml:space="preserve"> </w:t>
      </w:r>
      <w:r w:rsidR="00EC4187">
        <w:rPr>
          <w:rFonts w:ascii="Arial" w:hAnsi="Arial" w:cs="Arial"/>
          <w:sz w:val="24"/>
          <w:szCs w:val="24"/>
        </w:rPr>
        <w:t xml:space="preserve">and would revert once this was done. </w:t>
      </w:r>
    </w:p>
    <w:p w:rsidR="00EC4187" w:rsidRDefault="00EC4187" w:rsidP="00E379FA">
      <w:pPr>
        <w:spacing w:after="0" w:line="480" w:lineRule="auto"/>
        <w:jc w:val="both"/>
        <w:rPr>
          <w:rFonts w:ascii="Arial" w:hAnsi="Arial" w:cs="Arial"/>
          <w:sz w:val="24"/>
          <w:szCs w:val="24"/>
        </w:rPr>
      </w:pPr>
    </w:p>
    <w:p w:rsidR="00EC4187" w:rsidRDefault="00944AA3" w:rsidP="00E379FA">
      <w:pPr>
        <w:spacing w:after="0" w:line="480" w:lineRule="auto"/>
        <w:jc w:val="both"/>
        <w:rPr>
          <w:rFonts w:ascii="Arial" w:hAnsi="Arial" w:cs="Arial"/>
          <w:sz w:val="24"/>
          <w:szCs w:val="24"/>
        </w:rPr>
      </w:pPr>
      <w:r>
        <w:rPr>
          <w:rFonts w:ascii="Arial" w:hAnsi="Arial" w:cs="Arial"/>
          <w:sz w:val="24"/>
          <w:szCs w:val="24"/>
        </w:rPr>
        <w:t>[4</w:t>
      </w:r>
      <w:r w:rsidR="00AC704B">
        <w:rPr>
          <w:rFonts w:ascii="Arial" w:hAnsi="Arial" w:cs="Arial"/>
          <w:sz w:val="24"/>
          <w:szCs w:val="24"/>
        </w:rPr>
        <w:t>5</w:t>
      </w:r>
      <w:r w:rsidR="003B659B">
        <w:rPr>
          <w:rFonts w:ascii="Arial" w:hAnsi="Arial" w:cs="Arial"/>
          <w:sz w:val="24"/>
          <w:szCs w:val="24"/>
        </w:rPr>
        <w:t>]</w:t>
      </w:r>
      <w:r w:rsidR="003B659B">
        <w:rPr>
          <w:rFonts w:ascii="Arial" w:hAnsi="Arial" w:cs="Arial"/>
          <w:sz w:val="24"/>
          <w:szCs w:val="24"/>
        </w:rPr>
        <w:tab/>
      </w:r>
      <w:r w:rsidR="00EC4187">
        <w:rPr>
          <w:rFonts w:ascii="Arial" w:hAnsi="Arial" w:cs="Arial"/>
          <w:sz w:val="24"/>
          <w:szCs w:val="24"/>
        </w:rPr>
        <w:t xml:space="preserve">In my view, the appellant’s response of 23 March 2019 to the </w:t>
      </w:r>
      <w:r w:rsidR="00D27E59">
        <w:rPr>
          <w:rFonts w:ascii="Arial" w:hAnsi="Arial" w:cs="Arial"/>
          <w:sz w:val="24"/>
          <w:szCs w:val="24"/>
        </w:rPr>
        <w:t xml:space="preserve">respondent’s </w:t>
      </w:r>
      <w:r w:rsidR="00EC4187">
        <w:rPr>
          <w:rFonts w:ascii="Arial" w:hAnsi="Arial" w:cs="Arial"/>
          <w:sz w:val="24"/>
          <w:szCs w:val="24"/>
        </w:rPr>
        <w:t xml:space="preserve">demand </w:t>
      </w:r>
      <w:r w:rsidR="00C87DE4">
        <w:rPr>
          <w:rFonts w:ascii="Arial" w:hAnsi="Arial" w:cs="Arial"/>
          <w:sz w:val="24"/>
          <w:szCs w:val="24"/>
        </w:rPr>
        <w:t>for the short</w:t>
      </w:r>
      <w:r w:rsidR="00EC4187">
        <w:rPr>
          <w:rFonts w:ascii="Arial" w:hAnsi="Arial" w:cs="Arial"/>
          <w:sz w:val="24"/>
          <w:szCs w:val="24"/>
        </w:rPr>
        <w:t xml:space="preserve">fall is diametrically opposed to her version. The appellant’s response is inconsistent with the appellant’s version that there was a common intention between the parties that the agreement reached on 15 February 2019 compromised the respondent’s personal loan claim </w:t>
      </w:r>
      <w:r w:rsidR="008F2057">
        <w:rPr>
          <w:rFonts w:ascii="Arial" w:hAnsi="Arial" w:cs="Arial"/>
          <w:sz w:val="24"/>
          <w:szCs w:val="24"/>
        </w:rPr>
        <w:t>against t</w:t>
      </w:r>
      <w:r w:rsidR="00EC4187">
        <w:rPr>
          <w:rFonts w:ascii="Arial" w:hAnsi="Arial" w:cs="Arial"/>
          <w:sz w:val="24"/>
          <w:szCs w:val="24"/>
        </w:rPr>
        <w:t>h</w:t>
      </w:r>
      <w:r w:rsidR="008F2057">
        <w:rPr>
          <w:rFonts w:ascii="Arial" w:hAnsi="Arial" w:cs="Arial"/>
          <w:sz w:val="24"/>
          <w:szCs w:val="24"/>
        </w:rPr>
        <w:t>e</w:t>
      </w:r>
      <w:r w:rsidR="00EC4187">
        <w:rPr>
          <w:rFonts w:ascii="Arial" w:hAnsi="Arial" w:cs="Arial"/>
          <w:sz w:val="24"/>
          <w:szCs w:val="24"/>
        </w:rPr>
        <w:t xml:space="preserve"> appellant. If indeed there was such common intention, the appellant would have easily dismissed the respondent and indicated to her that her claim was extinguished in terms of their agreement. </w:t>
      </w:r>
      <w:r w:rsidR="00C87DE4" w:rsidRPr="00C87DE4">
        <w:rPr>
          <w:rFonts w:ascii="Arial" w:hAnsi="Arial" w:cs="Arial"/>
          <w:sz w:val="24"/>
          <w:szCs w:val="24"/>
        </w:rPr>
        <w:t xml:space="preserve">It </w:t>
      </w:r>
      <w:r w:rsidR="001E6106">
        <w:rPr>
          <w:rFonts w:ascii="Arial" w:hAnsi="Arial" w:cs="Arial"/>
          <w:sz w:val="24"/>
          <w:szCs w:val="24"/>
        </w:rPr>
        <w:t>was</w:t>
      </w:r>
      <w:r w:rsidR="00D27E59">
        <w:rPr>
          <w:rFonts w:ascii="Arial" w:hAnsi="Arial" w:cs="Arial"/>
          <w:sz w:val="24"/>
          <w:szCs w:val="24"/>
        </w:rPr>
        <w:t xml:space="preserve"> an utter </w:t>
      </w:r>
      <w:r w:rsidR="00C87DE4" w:rsidRPr="00C87DE4">
        <w:rPr>
          <w:rFonts w:ascii="Arial" w:hAnsi="Arial" w:cs="Arial"/>
          <w:sz w:val="24"/>
          <w:szCs w:val="24"/>
        </w:rPr>
        <w:t>surprise that on 2 June 2019, the appellant asserted for the first time that her offer of 12 February 2019 included the personal loan settlement.</w:t>
      </w:r>
      <w:r w:rsidR="000D404B">
        <w:rPr>
          <w:rFonts w:ascii="Arial" w:hAnsi="Arial" w:cs="Arial"/>
          <w:sz w:val="24"/>
          <w:szCs w:val="24"/>
        </w:rPr>
        <w:t xml:space="preserve"> </w:t>
      </w:r>
    </w:p>
    <w:p w:rsidR="000D404B" w:rsidRDefault="000D404B" w:rsidP="00E379FA">
      <w:pPr>
        <w:spacing w:after="0" w:line="480" w:lineRule="auto"/>
        <w:jc w:val="both"/>
        <w:rPr>
          <w:rFonts w:ascii="Arial" w:hAnsi="Arial" w:cs="Arial"/>
          <w:sz w:val="24"/>
          <w:szCs w:val="24"/>
        </w:rPr>
      </w:pPr>
    </w:p>
    <w:p w:rsidR="00320D93" w:rsidRDefault="00944AA3" w:rsidP="00E379FA">
      <w:pPr>
        <w:spacing w:after="0" w:line="480" w:lineRule="auto"/>
        <w:jc w:val="both"/>
        <w:rPr>
          <w:rFonts w:ascii="Arial" w:hAnsi="Arial" w:cs="Arial"/>
          <w:sz w:val="24"/>
          <w:szCs w:val="24"/>
        </w:rPr>
      </w:pPr>
      <w:r>
        <w:rPr>
          <w:rFonts w:ascii="Arial" w:hAnsi="Arial" w:cs="Arial"/>
          <w:sz w:val="24"/>
          <w:szCs w:val="24"/>
        </w:rPr>
        <w:t>[4</w:t>
      </w:r>
      <w:r w:rsidR="00AC704B">
        <w:rPr>
          <w:rFonts w:ascii="Arial" w:hAnsi="Arial" w:cs="Arial"/>
          <w:sz w:val="24"/>
          <w:szCs w:val="24"/>
        </w:rPr>
        <w:t>6</w:t>
      </w:r>
      <w:r w:rsidR="003B659B">
        <w:rPr>
          <w:rFonts w:ascii="Arial" w:hAnsi="Arial" w:cs="Arial"/>
          <w:sz w:val="24"/>
          <w:szCs w:val="24"/>
        </w:rPr>
        <w:t>]</w:t>
      </w:r>
      <w:r w:rsidR="003B659B">
        <w:rPr>
          <w:rFonts w:ascii="Arial" w:hAnsi="Arial" w:cs="Arial"/>
          <w:sz w:val="24"/>
          <w:szCs w:val="24"/>
        </w:rPr>
        <w:tab/>
      </w:r>
      <w:r w:rsidR="00C87DE4">
        <w:rPr>
          <w:rFonts w:ascii="Arial" w:hAnsi="Arial" w:cs="Arial"/>
          <w:sz w:val="24"/>
          <w:szCs w:val="24"/>
        </w:rPr>
        <w:t xml:space="preserve">I </w:t>
      </w:r>
      <w:r w:rsidR="001E6106">
        <w:rPr>
          <w:rFonts w:ascii="Arial" w:hAnsi="Arial" w:cs="Arial"/>
          <w:sz w:val="24"/>
          <w:szCs w:val="24"/>
        </w:rPr>
        <w:t xml:space="preserve">believe </w:t>
      </w:r>
      <w:r w:rsidR="000D404B">
        <w:rPr>
          <w:rFonts w:ascii="Arial" w:hAnsi="Arial" w:cs="Arial"/>
          <w:sz w:val="24"/>
          <w:szCs w:val="24"/>
        </w:rPr>
        <w:t xml:space="preserve">that this version is contrived and engineered by the appellant to avoid paying the respondent her money. </w:t>
      </w:r>
      <w:r w:rsidR="00911B89">
        <w:rPr>
          <w:rFonts w:ascii="Arial" w:hAnsi="Arial" w:cs="Arial"/>
          <w:sz w:val="24"/>
          <w:szCs w:val="24"/>
        </w:rPr>
        <w:t xml:space="preserve">It seems to me the defence </w:t>
      </w:r>
      <w:r w:rsidR="00BE688C">
        <w:rPr>
          <w:rFonts w:ascii="Arial" w:hAnsi="Arial" w:cs="Arial"/>
          <w:sz w:val="24"/>
          <w:szCs w:val="24"/>
        </w:rPr>
        <w:t>the</w:t>
      </w:r>
      <w:r w:rsidR="00911B89">
        <w:rPr>
          <w:rFonts w:ascii="Arial" w:hAnsi="Arial" w:cs="Arial"/>
          <w:sz w:val="24"/>
          <w:szCs w:val="24"/>
        </w:rPr>
        <w:t xml:space="preserve"> appellant raised five months after the sale agreement was signed was an afterthought. </w:t>
      </w:r>
      <w:r w:rsidR="000D404B">
        <w:rPr>
          <w:rFonts w:ascii="Arial" w:hAnsi="Arial" w:cs="Arial"/>
          <w:sz w:val="24"/>
          <w:szCs w:val="24"/>
        </w:rPr>
        <w:t xml:space="preserve">The respondent has </w:t>
      </w:r>
      <w:r w:rsidR="00D27E59">
        <w:rPr>
          <w:rFonts w:ascii="Arial" w:hAnsi="Arial" w:cs="Arial"/>
          <w:sz w:val="24"/>
          <w:szCs w:val="24"/>
        </w:rPr>
        <w:t>demanded payment of the shortfall</w:t>
      </w:r>
      <w:r w:rsidR="00C87DE4">
        <w:rPr>
          <w:rFonts w:ascii="Arial" w:hAnsi="Arial" w:cs="Arial"/>
          <w:sz w:val="24"/>
          <w:szCs w:val="24"/>
        </w:rPr>
        <w:t xml:space="preserve"> amount </w:t>
      </w:r>
      <w:r w:rsidR="00320D93">
        <w:rPr>
          <w:rFonts w:ascii="Arial" w:hAnsi="Arial" w:cs="Arial"/>
          <w:sz w:val="24"/>
          <w:szCs w:val="24"/>
        </w:rPr>
        <w:t>consistently</w:t>
      </w:r>
      <w:r w:rsidR="00C87DE4">
        <w:rPr>
          <w:rFonts w:ascii="Arial" w:hAnsi="Arial" w:cs="Arial"/>
          <w:sz w:val="24"/>
          <w:szCs w:val="24"/>
        </w:rPr>
        <w:t>.</w:t>
      </w:r>
      <w:r w:rsidR="00320D93">
        <w:rPr>
          <w:rFonts w:ascii="Arial" w:hAnsi="Arial" w:cs="Arial"/>
          <w:sz w:val="24"/>
          <w:szCs w:val="24"/>
        </w:rPr>
        <w:t xml:space="preserve"> </w:t>
      </w:r>
      <w:r w:rsidR="00416299">
        <w:rPr>
          <w:rFonts w:ascii="Arial" w:hAnsi="Arial" w:cs="Arial"/>
          <w:sz w:val="24"/>
          <w:szCs w:val="24"/>
        </w:rPr>
        <w:t>She made it clear</w:t>
      </w:r>
      <w:r w:rsidR="00320D93">
        <w:rPr>
          <w:rFonts w:ascii="Arial" w:hAnsi="Arial" w:cs="Arial"/>
          <w:sz w:val="24"/>
          <w:szCs w:val="24"/>
        </w:rPr>
        <w:t xml:space="preserve"> and in no uncertain terms </w:t>
      </w:r>
      <w:r w:rsidR="00416299">
        <w:rPr>
          <w:rFonts w:ascii="Arial" w:hAnsi="Arial" w:cs="Arial"/>
          <w:sz w:val="24"/>
          <w:szCs w:val="24"/>
        </w:rPr>
        <w:t>to the appellant more than once that the outstanding balance due in respect of the</w:t>
      </w:r>
      <w:r w:rsidR="00AC704B">
        <w:rPr>
          <w:rFonts w:ascii="Arial" w:hAnsi="Arial" w:cs="Arial"/>
          <w:sz w:val="24"/>
          <w:szCs w:val="24"/>
        </w:rPr>
        <w:t xml:space="preserve"> personal</w:t>
      </w:r>
      <w:r w:rsidR="00416299">
        <w:rPr>
          <w:rFonts w:ascii="Arial" w:hAnsi="Arial" w:cs="Arial"/>
          <w:sz w:val="24"/>
          <w:szCs w:val="24"/>
        </w:rPr>
        <w:t xml:space="preserve"> loan was not extinguished</w:t>
      </w:r>
      <w:r w:rsidR="00D27E59">
        <w:rPr>
          <w:rFonts w:ascii="Arial" w:hAnsi="Arial" w:cs="Arial"/>
          <w:sz w:val="24"/>
          <w:szCs w:val="24"/>
        </w:rPr>
        <w:t>.</w:t>
      </w:r>
      <w:r w:rsidR="00416299">
        <w:rPr>
          <w:rFonts w:ascii="Arial" w:hAnsi="Arial" w:cs="Arial"/>
          <w:sz w:val="24"/>
          <w:szCs w:val="24"/>
        </w:rPr>
        <w:t xml:space="preserve"> </w:t>
      </w:r>
      <w:r w:rsidR="00D27E59">
        <w:rPr>
          <w:rFonts w:ascii="Arial" w:hAnsi="Arial" w:cs="Arial"/>
          <w:sz w:val="24"/>
          <w:szCs w:val="24"/>
        </w:rPr>
        <w:t xml:space="preserve">She was unequivocal that the balance of the loan </w:t>
      </w:r>
      <w:r w:rsidR="00416299">
        <w:rPr>
          <w:rFonts w:ascii="Arial" w:hAnsi="Arial" w:cs="Arial"/>
          <w:sz w:val="24"/>
          <w:szCs w:val="24"/>
        </w:rPr>
        <w:t xml:space="preserve">did not form part of the agreement to sell her shares to the appellant. </w:t>
      </w:r>
    </w:p>
    <w:p w:rsidR="00320D93" w:rsidRDefault="00320D93" w:rsidP="00E379FA">
      <w:pPr>
        <w:spacing w:after="0" w:line="480" w:lineRule="auto"/>
        <w:jc w:val="both"/>
        <w:rPr>
          <w:rFonts w:ascii="Arial" w:hAnsi="Arial" w:cs="Arial"/>
          <w:sz w:val="24"/>
          <w:szCs w:val="24"/>
        </w:rPr>
      </w:pPr>
    </w:p>
    <w:p w:rsidR="000D404B" w:rsidRDefault="00944AA3" w:rsidP="00E379FA">
      <w:pPr>
        <w:spacing w:after="0" w:line="480" w:lineRule="auto"/>
        <w:jc w:val="both"/>
        <w:rPr>
          <w:rFonts w:ascii="Arial" w:hAnsi="Arial" w:cs="Arial"/>
          <w:sz w:val="24"/>
          <w:szCs w:val="24"/>
        </w:rPr>
      </w:pPr>
      <w:r>
        <w:rPr>
          <w:rFonts w:ascii="Arial" w:hAnsi="Arial" w:cs="Arial"/>
          <w:sz w:val="24"/>
          <w:szCs w:val="24"/>
        </w:rPr>
        <w:t>[4</w:t>
      </w:r>
      <w:r w:rsidR="00AC704B">
        <w:rPr>
          <w:rFonts w:ascii="Arial" w:hAnsi="Arial" w:cs="Arial"/>
          <w:sz w:val="24"/>
          <w:szCs w:val="24"/>
        </w:rPr>
        <w:t>7</w:t>
      </w:r>
      <w:r w:rsidR="00C878AB">
        <w:rPr>
          <w:rFonts w:ascii="Arial" w:hAnsi="Arial" w:cs="Arial"/>
          <w:sz w:val="24"/>
          <w:szCs w:val="24"/>
        </w:rPr>
        <w:t>]</w:t>
      </w:r>
      <w:r w:rsidR="00C878AB">
        <w:rPr>
          <w:rFonts w:ascii="Arial" w:hAnsi="Arial" w:cs="Arial"/>
          <w:sz w:val="24"/>
          <w:szCs w:val="24"/>
        </w:rPr>
        <w:tab/>
      </w:r>
      <w:r w:rsidR="00320D93">
        <w:rPr>
          <w:rFonts w:ascii="Arial" w:hAnsi="Arial" w:cs="Arial"/>
          <w:sz w:val="24"/>
          <w:szCs w:val="24"/>
        </w:rPr>
        <w:t>Furthermore, d</w:t>
      </w:r>
      <w:r w:rsidR="001B5364">
        <w:rPr>
          <w:rFonts w:ascii="Arial" w:hAnsi="Arial" w:cs="Arial"/>
          <w:sz w:val="24"/>
          <w:szCs w:val="24"/>
        </w:rPr>
        <w:t>uring her evidence in the court below</w:t>
      </w:r>
      <w:r w:rsidR="00C677B7">
        <w:rPr>
          <w:rFonts w:ascii="Arial" w:hAnsi="Arial" w:cs="Arial"/>
          <w:sz w:val="24"/>
          <w:szCs w:val="24"/>
        </w:rPr>
        <w:t>,</w:t>
      </w:r>
      <w:r w:rsidR="001B5364">
        <w:rPr>
          <w:rFonts w:ascii="Arial" w:hAnsi="Arial" w:cs="Arial"/>
          <w:sz w:val="24"/>
          <w:szCs w:val="24"/>
        </w:rPr>
        <w:t xml:space="preserve"> </w:t>
      </w:r>
      <w:r w:rsidR="00320D93">
        <w:rPr>
          <w:rFonts w:ascii="Arial" w:hAnsi="Arial" w:cs="Arial"/>
          <w:sz w:val="24"/>
          <w:szCs w:val="24"/>
        </w:rPr>
        <w:t xml:space="preserve">the respondent </w:t>
      </w:r>
      <w:r w:rsidR="001B5364">
        <w:rPr>
          <w:rFonts w:ascii="Arial" w:hAnsi="Arial" w:cs="Arial"/>
          <w:sz w:val="24"/>
          <w:szCs w:val="24"/>
        </w:rPr>
        <w:t xml:space="preserve">was consistent that she never understood nor intended that the sale </w:t>
      </w:r>
      <w:r w:rsidR="00320D93">
        <w:rPr>
          <w:rFonts w:ascii="Arial" w:hAnsi="Arial" w:cs="Arial"/>
          <w:sz w:val="24"/>
          <w:szCs w:val="24"/>
        </w:rPr>
        <w:t xml:space="preserve">of </w:t>
      </w:r>
      <w:r w:rsidR="001B5364">
        <w:rPr>
          <w:rFonts w:ascii="Arial" w:hAnsi="Arial" w:cs="Arial"/>
          <w:sz w:val="24"/>
          <w:szCs w:val="24"/>
        </w:rPr>
        <w:t xml:space="preserve">shares </w:t>
      </w:r>
      <w:r w:rsidR="00320D93">
        <w:rPr>
          <w:rFonts w:ascii="Arial" w:hAnsi="Arial" w:cs="Arial"/>
          <w:sz w:val="24"/>
          <w:szCs w:val="24"/>
        </w:rPr>
        <w:t xml:space="preserve">agreement </w:t>
      </w:r>
      <w:r w:rsidR="001B5364">
        <w:rPr>
          <w:rFonts w:ascii="Arial" w:hAnsi="Arial" w:cs="Arial"/>
          <w:sz w:val="24"/>
          <w:szCs w:val="24"/>
        </w:rPr>
        <w:t xml:space="preserve">would compromise her claim </w:t>
      </w:r>
      <w:r w:rsidR="00644AD7">
        <w:rPr>
          <w:rFonts w:ascii="Arial" w:hAnsi="Arial" w:cs="Arial"/>
          <w:sz w:val="24"/>
          <w:szCs w:val="24"/>
        </w:rPr>
        <w:t xml:space="preserve">for the payment of the balance of the loan. </w:t>
      </w:r>
      <w:r w:rsidR="00886F8E">
        <w:rPr>
          <w:rFonts w:ascii="Arial" w:hAnsi="Arial" w:cs="Arial"/>
          <w:sz w:val="24"/>
          <w:szCs w:val="24"/>
        </w:rPr>
        <w:t xml:space="preserve">It is </w:t>
      </w:r>
      <w:r w:rsidR="00644AD7">
        <w:rPr>
          <w:rFonts w:ascii="Arial" w:hAnsi="Arial" w:cs="Arial"/>
          <w:sz w:val="24"/>
          <w:szCs w:val="24"/>
        </w:rPr>
        <w:t xml:space="preserve">further </w:t>
      </w:r>
      <w:r w:rsidR="00886F8E">
        <w:rPr>
          <w:rFonts w:ascii="Arial" w:hAnsi="Arial" w:cs="Arial"/>
          <w:sz w:val="24"/>
          <w:szCs w:val="24"/>
        </w:rPr>
        <w:t>common cause that t</w:t>
      </w:r>
      <w:r w:rsidR="00320D93">
        <w:rPr>
          <w:rFonts w:ascii="Arial" w:hAnsi="Arial" w:cs="Arial"/>
          <w:sz w:val="24"/>
          <w:szCs w:val="24"/>
        </w:rPr>
        <w:t xml:space="preserve">he appellant </w:t>
      </w:r>
      <w:r w:rsidR="000C031E">
        <w:rPr>
          <w:rFonts w:ascii="Arial" w:hAnsi="Arial" w:cs="Arial"/>
          <w:sz w:val="24"/>
          <w:szCs w:val="24"/>
        </w:rPr>
        <w:t xml:space="preserve">did not challenge her </w:t>
      </w:r>
      <w:r w:rsidR="00416299">
        <w:rPr>
          <w:rFonts w:ascii="Arial" w:hAnsi="Arial" w:cs="Arial"/>
          <w:sz w:val="24"/>
          <w:szCs w:val="24"/>
        </w:rPr>
        <w:t>on these averments even after the sale of shares agreement was signed.</w:t>
      </w:r>
      <w:r w:rsidR="00886F8E">
        <w:rPr>
          <w:rFonts w:ascii="Arial" w:hAnsi="Arial" w:cs="Arial"/>
          <w:sz w:val="24"/>
          <w:szCs w:val="24"/>
        </w:rPr>
        <w:t xml:space="preserve"> T</w:t>
      </w:r>
      <w:r w:rsidR="00985792">
        <w:rPr>
          <w:rFonts w:ascii="Arial" w:hAnsi="Arial" w:cs="Arial"/>
          <w:sz w:val="24"/>
          <w:szCs w:val="24"/>
        </w:rPr>
        <w:t>he belated email of 2 June 2019</w:t>
      </w:r>
      <w:r w:rsidR="00886F8E">
        <w:rPr>
          <w:rFonts w:ascii="Arial" w:hAnsi="Arial" w:cs="Arial"/>
          <w:sz w:val="24"/>
          <w:szCs w:val="24"/>
        </w:rPr>
        <w:t xml:space="preserve"> </w:t>
      </w:r>
      <w:r w:rsidR="00AC704B">
        <w:rPr>
          <w:rFonts w:ascii="Arial" w:hAnsi="Arial" w:cs="Arial"/>
          <w:sz w:val="24"/>
          <w:szCs w:val="24"/>
        </w:rPr>
        <w:t xml:space="preserve">appears to have been </w:t>
      </w:r>
      <w:r w:rsidR="00886F8E">
        <w:rPr>
          <w:rFonts w:ascii="Arial" w:hAnsi="Arial" w:cs="Arial"/>
          <w:sz w:val="24"/>
          <w:szCs w:val="24"/>
        </w:rPr>
        <w:t xml:space="preserve">a plan that the appellant </w:t>
      </w:r>
      <w:r w:rsidR="00644AD7">
        <w:rPr>
          <w:rFonts w:ascii="Arial" w:hAnsi="Arial" w:cs="Arial"/>
          <w:sz w:val="24"/>
          <w:szCs w:val="24"/>
        </w:rPr>
        <w:t xml:space="preserve">contrived </w:t>
      </w:r>
      <w:r w:rsidR="00886F8E">
        <w:rPr>
          <w:rFonts w:ascii="Arial" w:hAnsi="Arial" w:cs="Arial"/>
          <w:sz w:val="24"/>
          <w:szCs w:val="24"/>
        </w:rPr>
        <w:t xml:space="preserve">to escape liability. </w:t>
      </w:r>
      <w:r w:rsidR="00320D93">
        <w:rPr>
          <w:rFonts w:ascii="Arial" w:hAnsi="Arial" w:cs="Arial"/>
          <w:sz w:val="24"/>
          <w:szCs w:val="24"/>
        </w:rPr>
        <w:t>In my view, t</w:t>
      </w:r>
      <w:r w:rsidR="00C677B7">
        <w:rPr>
          <w:rFonts w:ascii="Arial" w:hAnsi="Arial" w:cs="Arial"/>
          <w:sz w:val="24"/>
          <w:szCs w:val="24"/>
        </w:rPr>
        <w:t xml:space="preserve">he respondent’s version in this regard is corroborated </w:t>
      </w:r>
      <w:r w:rsidR="00644AD7">
        <w:rPr>
          <w:rFonts w:ascii="Arial" w:hAnsi="Arial" w:cs="Arial"/>
          <w:sz w:val="24"/>
          <w:szCs w:val="24"/>
        </w:rPr>
        <w:t>in all material respect</w:t>
      </w:r>
      <w:r w:rsidR="00AC704B">
        <w:rPr>
          <w:rFonts w:ascii="Arial" w:hAnsi="Arial" w:cs="Arial"/>
          <w:sz w:val="24"/>
          <w:szCs w:val="24"/>
        </w:rPr>
        <w:t>s</w:t>
      </w:r>
      <w:r w:rsidR="00644AD7">
        <w:rPr>
          <w:rFonts w:ascii="Arial" w:hAnsi="Arial" w:cs="Arial"/>
          <w:sz w:val="24"/>
          <w:szCs w:val="24"/>
        </w:rPr>
        <w:t xml:space="preserve"> </w:t>
      </w:r>
      <w:r w:rsidR="00C677B7">
        <w:rPr>
          <w:rFonts w:ascii="Arial" w:hAnsi="Arial" w:cs="Arial"/>
          <w:sz w:val="24"/>
          <w:szCs w:val="24"/>
        </w:rPr>
        <w:t>by the appellant’s email correspondence</w:t>
      </w:r>
      <w:r w:rsidR="00320D93">
        <w:rPr>
          <w:rFonts w:ascii="Arial" w:hAnsi="Arial" w:cs="Arial"/>
          <w:sz w:val="24"/>
          <w:szCs w:val="24"/>
        </w:rPr>
        <w:t>s</w:t>
      </w:r>
      <w:r w:rsidR="00C677B7">
        <w:rPr>
          <w:rFonts w:ascii="Arial" w:hAnsi="Arial" w:cs="Arial"/>
          <w:sz w:val="24"/>
          <w:szCs w:val="24"/>
        </w:rPr>
        <w:t xml:space="preserve"> dated 13 February 2019 and 23 March 2019</w:t>
      </w:r>
      <w:r w:rsidR="00985792">
        <w:rPr>
          <w:rFonts w:ascii="Arial" w:hAnsi="Arial" w:cs="Arial"/>
          <w:sz w:val="24"/>
          <w:szCs w:val="24"/>
        </w:rPr>
        <w:t>,</w:t>
      </w:r>
      <w:r w:rsidR="00320D93">
        <w:rPr>
          <w:rFonts w:ascii="Arial" w:hAnsi="Arial" w:cs="Arial"/>
          <w:sz w:val="24"/>
          <w:szCs w:val="24"/>
        </w:rPr>
        <w:t xml:space="preserve"> discussed above</w:t>
      </w:r>
      <w:r w:rsidR="00C677B7">
        <w:rPr>
          <w:rFonts w:ascii="Arial" w:hAnsi="Arial" w:cs="Arial"/>
          <w:sz w:val="24"/>
          <w:szCs w:val="24"/>
        </w:rPr>
        <w:t>.</w:t>
      </w:r>
    </w:p>
    <w:p w:rsidR="00C677B7" w:rsidRDefault="00C677B7" w:rsidP="00E379FA">
      <w:pPr>
        <w:spacing w:after="0" w:line="480" w:lineRule="auto"/>
        <w:jc w:val="both"/>
        <w:rPr>
          <w:rFonts w:ascii="Arial" w:hAnsi="Arial" w:cs="Arial"/>
          <w:sz w:val="24"/>
          <w:szCs w:val="24"/>
        </w:rPr>
      </w:pPr>
    </w:p>
    <w:p w:rsidR="00C878AB" w:rsidRDefault="003B659B" w:rsidP="00E379FA">
      <w:pPr>
        <w:spacing w:after="0" w:line="480" w:lineRule="auto"/>
        <w:jc w:val="both"/>
        <w:rPr>
          <w:rFonts w:ascii="Arial" w:hAnsi="Arial" w:cs="Arial"/>
          <w:sz w:val="24"/>
          <w:szCs w:val="24"/>
        </w:rPr>
      </w:pPr>
      <w:r>
        <w:rPr>
          <w:rFonts w:ascii="Arial" w:hAnsi="Arial" w:cs="Arial"/>
          <w:sz w:val="24"/>
          <w:szCs w:val="24"/>
        </w:rPr>
        <w:t>[</w:t>
      </w:r>
      <w:r w:rsidR="00944AA3">
        <w:rPr>
          <w:rFonts w:ascii="Arial" w:hAnsi="Arial" w:cs="Arial"/>
          <w:sz w:val="24"/>
          <w:szCs w:val="24"/>
        </w:rPr>
        <w:t>4</w:t>
      </w:r>
      <w:r w:rsidR="00AC704B">
        <w:rPr>
          <w:rFonts w:ascii="Arial" w:hAnsi="Arial" w:cs="Arial"/>
          <w:sz w:val="24"/>
          <w:szCs w:val="24"/>
        </w:rPr>
        <w:t>8</w:t>
      </w:r>
      <w:r>
        <w:rPr>
          <w:rFonts w:ascii="Arial" w:hAnsi="Arial" w:cs="Arial"/>
          <w:sz w:val="24"/>
          <w:szCs w:val="24"/>
        </w:rPr>
        <w:t>]</w:t>
      </w:r>
      <w:r>
        <w:rPr>
          <w:rFonts w:ascii="Arial" w:hAnsi="Arial" w:cs="Arial"/>
          <w:sz w:val="24"/>
          <w:szCs w:val="24"/>
        </w:rPr>
        <w:tab/>
      </w:r>
      <w:r w:rsidR="00C677B7">
        <w:rPr>
          <w:rFonts w:ascii="Arial" w:hAnsi="Arial" w:cs="Arial"/>
          <w:sz w:val="24"/>
          <w:szCs w:val="24"/>
        </w:rPr>
        <w:t>On a conspectus of all the evidence placed before court, I am of th</w:t>
      </w:r>
      <w:r w:rsidR="0021096B">
        <w:rPr>
          <w:rFonts w:ascii="Arial" w:hAnsi="Arial" w:cs="Arial"/>
          <w:sz w:val="24"/>
          <w:szCs w:val="24"/>
        </w:rPr>
        <w:t>e</w:t>
      </w:r>
      <w:r w:rsidR="00C677B7">
        <w:rPr>
          <w:rFonts w:ascii="Arial" w:hAnsi="Arial" w:cs="Arial"/>
          <w:sz w:val="24"/>
          <w:szCs w:val="24"/>
        </w:rPr>
        <w:t xml:space="preserve"> view that th</w:t>
      </w:r>
      <w:r w:rsidR="0021096B">
        <w:rPr>
          <w:rFonts w:ascii="Arial" w:hAnsi="Arial" w:cs="Arial"/>
          <w:sz w:val="24"/>
          <w:szCs w:val="24"/>
        </w:rPr>
        <w:t>e</w:t>
      </w:r>
      <w:r w:rsidR="00C677B7">
        <w:rPr>
          <w:rFonts w:ascii="Arial" w:hAnsi="Arial" w:cs="Arial"/>
          <w:sz w:val="24"/>
          <w:szCs w:val="24"/>
        </w:rPr>
        <w:t xml:space="preserve"> appellant has failed to prove </w:t>
      </w:r>
      <w:r w:rsidR="0021096B">
        <w:rPr>
          <w:rFonts w:ascii="Arial" w:hAnsi="Arial" w:cs="Arial"/>
          <w:sz w:val="24"/>
          <w:szCs w:val="24"/>
        </w:rPr>
        <w:t xml:space="preserve">on a balance of probabilities a continuing common intention in terms of which the parties had agreed that the respondent’s claim under the personal loan agreement would be compromised as part of the sale of shares agreement. The court </w:t>
      </w:r>
      <w:r w:rsidR="0021096B" w:rsidRPr="00320D93">
        <w:rPr>
          <w:rFonts w:ascii="Arial" w:hAnsi="Arial" w:cs="Arial"/>
          <w:i/>
          <w:sz w:val="24"/>
          <w:szCs w:val="24"/>
        </w:rPr>
        <w:t>a quo</w:t>
      </w:r>
      <w:r w:rsidR="0021096B">
        <w:rPr>
          <w:rFonts w:ascii="Arial" w:hAnsi="Arial" w:cs="Arial"/>
          <w:sz w:val="24"/>
          <w:szCs w:val="24"/>
        </w:rPr>
        <w:t xml:space="preserve"> was correct in dismissing the appellant’s defence and her counterclaim for rectification.</w:t>
      </w:r>
    </w:p>
    <w:p w:rsidR="00AC704B" w:rsidRDefault="00AC704B" w:rsidP="00E379FA">
      <w:pPr>
        <w:spacing w:after="0" w:line="480" w:lineRule="auto"/>
        <w:jc w:val="both"/>
        <w:rPr>
          <w:rFonts w:ascii="Arial" w:hAnsi="Arial" w:cs="Arial"/>
          <w:sz w:val="24"/>
          <w:szCs w:val="24"/>
        </w:rPr>
      </w:pPr>
    </w:p>
    <w:p w:rsidR="00644AD7" w:rsidRDefault="0021096B" w:rsidP="00644AD7">
      <w:pPr>
        <w:spacing w:after="0" w:line="480" w:lineRule="auto"/>
        <w:jc w:val="both"/>
        <w:rPr>
          <w:rFonts w:ascii="Arial" w:hAnsi="Arial" w:cs="Arial"/>
          <w:sz w:val="24"/>
          <w:szCs w:val="24"/>
        </w:rPr>
      </w:pPr>
      <w:r>
        <w:rPr>
          <w:rFonts w:ascii="Arial" w:hAnsi="Arial" w:cs="Arial"/>
          <w:sz w:val="24"/>
          <w:szCs w:val="24"/>
        </w:rPr>
        <w:t xml:space="preserve"> </w:t>
      </w:r>
      <w:r w:rsidR="00944AA3">
        <w:rPr>
          <w:rFonts w:ascii="Arial" w:hAnsi="Arial" w:cs="Arial"/>
          <w:sz w:val="24"/>
          <w:szCs w:val="24"/>
        </w:rPr>
        <w:t>[4</w:t>
      </w:r>
      <w:r w:rsidR="00AC704B">
        <w:rPr>
          <w:rFonts w:ascii="Arial" w:hAnsi="Arial" w:cs="Arial"/>
          <w:sz w:val="24"/>
          <w:szCs w:val="24"/>
        </w:rPr>
        <w:t>9</w:t>
      </w:r>
      <w:r w:rsidR="00644AD7">
        <w:rPr>
          <w:rFonts w:ascii="Arial" w:hAnsi="Arial" w:cs="Arial"/>
          <w:sz w:val="24"/>
          <w:szCs w:val="24"/>
        </w:rPr>
        <w:t>]</w:t>
      </w:r>
      <w:r w:rsidR="00644AD7">
        <w:rPr>
          <w:rFonts w:ascii="Arial" w:hAnsi="Arial" w:cs="Arial"/>
          <w:sz w:val="24"/>
          <w:szCs w:val="24"/>
        </w:rPr>
        <w:tab/>
        <w:t xml:space="preserve">In view of the above considerations, it follows that the appellant’s appeal must fail. </w:t>
      </w:r>
    </w:p>
    <w:p w:rsidR="00AC704B" w:rsidRDefault="00AC704B" w:rsidP="00644AD7">
      <w:pPr>
        <w:spacing w:after="0" w:line="480" w:lineRule="auto"/>
        <w:jc w:val="both"/>
        <w:rPr>
          <w:rFonts w:ascii="Arial" w:hAnsi="Arial" w:cs="Arial"/>
          <w:sz w:val="24"/>
          <w:szCs w:val="24"/>
        </w:rPr>
      </w:pPr>
    </w:p>
    <w:p w:rsidR="00AC704B" w:rsidRDefault="00AC704B" w:rsidP="00644AD7">
      <w:pPr>
        <w:spacing w:after="0" w:line="480" w:lineRule="auto"/>
        <w:jc w:val="both"/>
        <w:rPr>
          <w:rFonts w:ascii="Arial" w:hAnsi="Arial" w:cs="Arial"/>
          <w:sz w:val="24"/>
          <w:szCs w:val="24"/>
        </w:rPr>
      </w:pPr>
    </w:p>
    <w:p w:rsidR="00AC704B" w:rsidRDefault="00AC704B" w:rsidP="00644AD7">
      <w:pPr>
        <w:spacing w:after="0" w:line="480" w:lineRule="auto"/>
        <w:jc w:val="both"/>
        <w:rPr>
          <w:rFonts w:ascii="Arial" w:hAnsi="Arial" w:cs="Arial"/>
          <w:sz w:val="24"/>
          <w:szCs w:val="24"/>
        </w:rPr>
      </w:pPr>
    </w:p>
    <w:p w:rsidR="009B4AC2" w:rsidRDefault="009B4AC2" w:rsidP="00644AD7">
      <w:pPr>
        <w:spacing w:after="0" w:line="480" w:lineRule="auto"/>
        <w:jc w:val="both"/>
        <w:rPr>
          <w:rFonts w:ascii="Arial" w:hAnsi="Arial" w:cs="Arial"/>
          <w:sz w:val="24"/>
          <w:szCs w:val="24"/>
        </w:rPr>
      </w:pPr>
    </w:p>
    <w:p w:rsidR="009B4AC2" w:rsidRDefault="009B4AC2" w:rsidP="00644AD7">
      <w:pPr>
        <w:spacing w:after="0" w:line="480" w:lineRule="auto"/>
        <w:jc w:val="both"/>
        <w:rPr>
          <w:rFonts w:ascii="Arial" w:hAnsi="Arial" w:cs="Arial"/>
          <w:sz w:val="24"/>
          <w:szCs w:val="24"/>
        </w:rPr>
      </w:pPr>
    </w:p>
    <w:p w:rsidR="0021096B" w:rsidRPr="003B659B" w:rsidRDefault="0021096B" w:rsidP="00E379FA">
      <w:pPr>
        <w:spacing w:after="0" w:line="480" w:lineRule="auto"/>
        <w:jc w:val="both"/>
        <w:rPr>
          <w:rFonts w:ascii="Arial" w:hAnsi="Arial" w:cs="Arial"/>
          <w:b/>
          <w:sz w:val="24"/>
          <w:szCs w:val="24"/>
        </w:rPr>
      </w:pPr>
      <w:r w:rsidRPr="003B659B">
        <w:rPr>
          <w:rFonts w:ascii="Arial" w:hAnsi="Arial" w:cs="Arial"/>
          <w:b/>
          <w:sz w:val="24"/>
          <w:szCs w:val="24"/>
        </w:rPr>
        <w:lastRenderedPageBreak/>
        <w:t>ORDER</w:t>
      </w:r>
    </w:p>
    <w:p w:rsidR="0021096B" w:rsidRDefault="00A27097" w:rsidP="00E379FA">
      <w:pPr>
        <w:spacing w:after="0" w:line="480" w:lineRule="auto"/>
        <w:jc w:val="both"/>
        <w:rPr>
          <w:rFonts w:ascii="Arial" w:hAnsi="Arial" w:cs="Arial"/>
          <w:sz w:val="24"/>
          <w:szCs w:val="24"/>
        </w:rPr>
      </w:pPr>
      <w:r>
        <w:rPr>
          <w:rFonts w:ascii="Arial" w:hAnsi="Arial" w:cs="Arial"/>
          <w:sz w:val="24"/>
          <w:szCs w:val="24"/>
        </w:rPr>
        <w:t>50</w:t>
      </w:r>
      <w:r w:rsidR="003B659B">
        <w:rPr>
          <w:rFonts w:ascii="Arial" w:hAnsi="Arial" w:cs="Arial"/>
          <w:sz w:val="24"/>
          <w:szCs w:val="24"/>
        </w:rPr>
        <w:t>.</w:t>
      </w:r>
      <w:r w:rsidR="003B659B">
        <w:rPr>
          <w:rFonts w:ascii="Arial" w:hAnsi="Arial" w:cs="Arial"/>
          <w:sz w:val="24"/>
          <w:szCs w:val="24"/>
        </w:rPr>
        <w:tab/>
      </w:r>
      <w:r w:rsidR="0021096B">
        <w:rPr>
          <w:rFonts w:ascii="Arial" w:hAnsi="Arial" w:cs="Arial"/>
          <w:sz w:val="24"/>
          <w:szCs w:val="24"/>
        </w:rPr>
        <w:t>In the result, I would propose the following order:</w:t>
      </w:r>
    </w:p>
    <w:p w:rsidR="0021096B" w:rsidRDefault="003B659B" w:rsidP="00E379FA">
      <w:pPr>
        <w:spacing w:after="0" w:line="480" w:lineRule="auto"/>
        <w:jc w:val="both"/>
        <w:rPr>
          <w:rFonts w:ascii="Arial" w:hAnsi="Arial" w:cs="Arial"/>
          <w:i/>
          <w:sz w:val="24"/>
          <w:szCs w:val="24"/>
        </w:rPr>
      </w:pPr>
      <w:r>
        <w:rPr>
          <w:rFonts w:ascii="Arial" w:hAnsi="Arial" w:cs="Arial"/>
          <w:sz w:val="24"/>
          <w:szCs w:val="24"/>
        </w:rPr>
        <w:tab/>
      </w:r>
      <w:r w:rsidR="0021096B" w:rsidRPr="00F80AAB">
        <w:rPr>
          <w:rFonts w:ascii="Arial" w:hAnsi="Arial" w:cs="Arial"/>
          <w:i/>
          <w:sz w:val="24"/>
          <w:szCs w:val="24"/>
        </w:rPr>
        <w:t xml:space="preserve">The appeal is hereby dismissed with costs. </w:t>
      </w:r>
    </w:p>
    <w:p w:rsidR="00A27097" w:rsidRPr="00F80AAB" w:rsidRDefault="00A27097" w:rsidP="00E379FA">
      <w:pPr>
        <w:spacing w:after="0" w:line="480" w:lineRule="auto"/>
        <w:jc w:val="both"/>
        <w:rPr>
          <w:rFonts w:ascii="Arial" w:hAnsi="Arial" w:cs="Arial"/>
          <w:i/>
          <w:sz w:val="24"/>
          <w:szCs w:val="24"/>
        </w:rPr>
      </w:pPr>
    </w:p>
    <w:p w:rsidR="0021096B" w:rsidRPr="0021096B" w:rsidRDefault="0021096B" w:rsidP="0021096B">
      <w:pPr>
        <w:spacing w:after="0" w:line="480" w:lineRule="auto"/>
        <w:ind w:left="4320"/>
        <w:jc w:val="both"/>
        <w:rPr>
          <w:rFonts w:ascii="Arial" w:hAnsi="Arial" w:cs="Arial"/>
          <w:b/>
          <w:sz w:val="24"/>
          <w:szCs w:val="24"/>
        </w:rPr>
      </w:pPr>
      <w:r w:rsidRPr="0021096B">
        <w:rPr>
          <w:rFonts w:ascii="Arial" w:hAnsi="Arial" w:cs="Arial"/>
          <w:b/>
          <w:sz w:val="24"/>
          <w:szCs w:val="24"/>
        </w:rPr>
        <w:t>_______________________________</w:t>
      </w:r>
    </w:p>
    <w:p w:rsidR="0021096B" w:rsidRPr="0021096B" w:rsidRDefault="0021096B" w:rsidP="0021096B">
      <w:pPr>
        <w:spacing w:after="0" w:line="480" w:lineRule="auto"/>
        <w:ind w:left="4320"/>
        <w:jc w:val="both"/>
        <w:rPr>
          <w:rFonts w:ascii="Arial" w:hAnsi="Arial" w:cs="Arial"/>
          <w:b/>
          <w:sz w:val="24"/>
          <w:szCs w:val="24"/>
        </w:rPr>
      </w:pPr>
      <w:r w:rsidRPr="0021096B">
        <w:rPr>
          <w:rFonts w:ascii="Arial" w:hAnsi="Arial" w:cs="Arial"/>
          <w:b/>
          <w:sz w:val="24"/>
          <w:szCs w:val="24"/>
        </w:rPr>
        <w:t>LEKHULENI JD</w:t>
      </w:r>
    </w:p>
    <w:p w:rsidR="0021096B" w:rsidRDefault="0021096B" w:rsidP="0021096B">
      <w:pPr>
        <w:spacing w:after="0" w:line="480" w:lineRule="auto"/>
        <w:ind w:left="4320"/>
        <w:jc w:val="both"/>
        <w:rPr>
          <w:rFonts w:ascii="Arial" w:hAnsi="Arial" w:cs="Arial"/>
          <w:b/>
          <w:sz w:val="24"/>
          <w:szCs w:val="24"/>
        </w:rPr>
      </w:pPr>
      <w:r w:rsidRPr="0021096B">
        <w:rPr>
          <w:rFonts w:ascii="Arial" w:hAnsi="Arial" w:cs="Arial"/>
          <w:b/>
          <w:sz w:val="24"/>
          <w:szCs w:val="24"/>
        </w:rPr>
        <w:t>JUDGE OF THE HIGH COURT</w:t>
      </w:r>
    </w:p>
    <w:p w:rsidR="002047EC" w:rsidRDefault="0021096B" w:rsidP="002047EC">
      <w:pPr>
        <w:spacing w:after="0" w:line="480" w:lineRule="auto"/>
        <w:jc w:val="both"/>
        <w:rPr>
          <w:rFonts w:ascii="Arial" w:hAnsi="Arial" w:cs="Arial"/>
          <w:sz w:val="24"/>
          <w:szCs w:val="24"/>
        </w:rPr>
      </w:pPr>
      <w:r>
        <w:rPr>
          <w:rFonts w:ascii="Arial" w:hAnsi="Arial" w:cs="Arial"/>
          <w:sz w:val="24"/>
          <w:szCs w:val="24"/>
        </w:rPr>
        <w:t xml:space="preserve">I agree and it is so ordered: </w:t>
      </w:r>
      <w:r w:rsidR="002047EC">
        <w:rPr>
          <w:rFonts w:ascii="Arial" w:hAnsi="Arial" w:cs="Arial"/>
          <w:sz w:val="24"/>
          <w:szCs w:val="24"/>
        </w:rPr>
        <w:tab/>
      </w:r>
    </w:p>
    <w:p w:rsidR="0021096B" w:rsidRPr="0021096B" w:rsidRDefault="002047EC" w:rsidP="002047EC">
      <w:pPr>
        <w:spacing w:after="0"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096B" w:rsidRPr="0021096B">
        <w:rPr>
          <w:rFonts w:ascii="Arial" w:hAnsi="Arial" w:cs="Arial"/>
          <w:b/>
          <w:sz w:val="24"/>
          <w:szCs w:val="24"/>
        </w:rPr>
        <w:t>________________________________</w:t>
      </w:r>
    </w:p>
    <w:p w:rsidR="0021096B" w:rsidRPr="0021096B" w:rsidRDefault="0021096B" w:rsidP="0021096B">
      <w:pPr>
        <w:spacing w:after="0" w:line="480" w:lineRule="auto"/>
        <w:ind w:left="4320"/>
        <w:jc w:val="both"/>
        <w:rPr>
          <w:rFonts w:ascii="Arial" w:hAnsi="Arial" w:cs="Arial"/>
          <w:b/>
          <w:sz w:val="24"/>
          <w:szCs w:val="24"/>
        </w:rPr>
      </w:pPr>
      <w:r w:rsidRPr="0021096B">
        <w:rPr>
          <w:rFonts w:ascii="Arial" w:hAnsi="Arial" w:cs="Arial"/>
          <w:b/>
          <w:sz w:val="24"/>
          <w:szCs w:val="24"/>
        </w:rPr>
        <w:t>CLOETE J</w:t>
      </w:r>
    </w:p>
    <w:p w:rsidR="0021096B" w:rsidRPr="00237AB8" w:rsidRDefault="0021096B" w:rsidP="002047EC">
      <w:pPr>
        <w:spacing w:after="0" w:line="480" w:lineRule="auto"/>
        <w:ind w:left="4320"/>
        <w:jc w:val="both"/>
        <w:rPr>
          <w:rFonts w:ascii="Arial" w:hAnsi="Arial" w:cs="Arial"/>
          <w:sz w:val="24"/>
          <w:szCs w:val="24"/>
        </w:rPr>
      </w:pPr>
      <w:r w:rsidRPr="0021096B">
        <w:rPr>
          <w:rFonts w:ascii="Arial" w:hAnsi="Arial" w:cs="Arial"/>
          <w:b/>
          <w:sz w:val="24"/>
          <w:szCs w:val="24"/>
        </w:rPr>
        <w:t>JUDGE OF THE HIGH COURT</w:t>
      </w:r>
    </w:p>
    <w:sectPr w:rsidR="0021096B" w:rsidRPr="00237A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08" w:rsidRDefault="00303B08" w:rsidP="00902ED1">
      <w:pPr>
        <w:spacing w:after="0" w:line="240" w:lineRule="auto"/>
      </w:pPr>
      <w:r>
        <w:separator/>
      </w:r>
    </w:p>
  </w:endnote>
  <w:endnote w:type="continuationSeparator" w:id="0">
    <w:p w:rsidR="00303B08" w:rsidRDefault="00303B08" w:rsidP="00902ED1">
      <w:pPr>
        <w:spacing w:after="0" w:line="240" w:lineRule="auto"/>
      </w:pPr>
      <w:r>
        <w:continuationSeparator/>
      </w:r>
    </w:p>
  </w:endnote>
  <w:endnote w:type="continuationNotice" w:id="1">
    <w:p w:rsidR="00303B08" w:rsidRDefault="00303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1665"/>
      <w:docPartObj>
        <w:docPartGallery w:val="Page Numbers (Bottom of Page)"/>
        <w:docPartUnique/>
      </w:docPartObj>
    </w:sdtPr>
    <w:sdtEndPr>
      <w:rPr>
        <w:noProof/>
      </w:rPr>
    </w:sdtEndPr>
    <w:sdtContent>
      <w:p w:rsidR="001B7B06" w:rsidRDefault="001B7B06">
        <w:pPr>
          <w:pStyle w:val="Footer"/>
          <w:jc w:val="right"/>
        </w:pPr>
        <w:r>
          <w:fldChar w:fldCharType="begin"/>
        </w:r>
        <w:r>
          <w:instrText xml:space="preserve"> PAGE   \* MERGEFORMAT </w:instrText>
        </w:r>
        <w:r>
          <w:fldChar w:fldCharType="separate"/>
        </w:r>
        <w:r w:rsidR="003541B4">
          <w:rPr>
            <w:noProof/>
          </w:rPr>
          <w:t>2</w:t>
        </w:r>
        <w:r>
          <w:rPr>
            <w:noProof/>
          </w:rPr>
          <w:fldChar w:fldCharType="end"/>
        </w:r>
      </w:p>
    </w:sdtContent>
  </w:sdt>
  <w:p w:rsidR="001B7B06" w:rsidRDefault="001B7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08" w:rsidRDefault="00303B08" w:rsidP="00902ED1">
      <w:pPr>
        <w:spacing w:after="0" w:line="240" w:lineRule="auto"/>
      </w:pPr>
      <w:r>
        <w:separator/>
      </w:r>
    </w:p>
  </w:footnote>
  <w:footnote w:type="continuationSeparator" w:id="0">
    <w:p w:rsidR="00303B08" w:rsidRDefault="00303B08" w:rsidP="00902ED1">
      <w:pPr>
        <w:spacing w:after="0" w:line="240" w:lineRule="auto"/>
      </w:pPr>
      <w:r>
        <w:continuationSeparator/>
      </w:r>
    </w:p>
  </w:footnote>
  <w:footnote w:type="continuationNotice" w:id="1">
    <w:p w:rsidR="00303B08" w:rsidRDefault="00303B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C38DC"/>
    <w:multiLevelType w:val="hybridMultilevel"/>
    <w:tmpl w:val="A74E0C2E"/>
    <w:lvl w:ilvl="0" w:tplc="B574903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7505B"/>
    <w:multiLevelType w:val="hybridMultilevel"/>
    <w:tmpl w:val="F740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D7299"/>
    <w:multiLevelType w:val="hybridMultilevel"/>
    <w:tmpl w:val="25DCD7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A8A744C"/>
    <w:multiLevelType w:val="hybridMultilevel"/>
    <w:tmpl w:val="25DC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DC"/>
    <w:rsid w:val="000013F2"/>
    <w:rsid w:val="00001EA4"/>
    <w:rsid w:val="00002431"/>
    <w:rsid w:val="00002B8B"/>
    <w:rsid w:val="00003980"/>
    <w:rsid w:val="00006338"/>
    <w:rsid w:val="000103D8"/>
    <w:rsid w:val="00010810"/>
    <w:rsid w:val="00013C27"/>
    <w:rsid w:val="00014764"/>
    <w:rsid w:val="00017B19"/>
    <w:rsid w:val="0002133D"/>
    <w:rsid w:val="00021DD5"/>
    <w:rsid w:val="00022AAF"/>
    <w:rsid w:val="000238AC"/>
    <w:rsid w:val="00023C30"/>
    <w:rsid w:val="000276BE"/>
    <w:rsid w:val="0003131C"/>
    <w:rsid w:val="0003484E"/>
    <w:rsid w:val="000348CB"/>
    <w:rsid w:val="000354D3"/>
    <w:rsid w:val="00035FAE"/>
    <w:rsid w:val="000363A7"/>
    <w:rsid w:val="00043EAE"/>
    <w:rsid w:val="00044764"/>
    <w:rsid w:val="0004715A"/>
    <w:rsid w:val="00051953"/>
    <w:rsid w:val="00051E5D"/>
    <w:rsid w:val="000567B9"/>
    <w:rsid w:val="000575F0"/>
    <w:rsid w:val="00057962"/>
    <w:rsid w:val="00057AEE"/>
    <w:rsid w:val="000607F9"/>
    <w:rsid w:val="00065DE5"/>
    <w:rsid w:val="00066E82"/>
    <w:rsid w:val="00072806"/>
    <w:rsid w:val="0007395B"/>
    <w:rsid w:val="00074202"/>
    <w:rsid w:val="000763CC"/>
    <w:rsid w:val="00076506"/>
    <w:rsid w:val="00076535"/>
    <w:rsid w:val="00076A6A"/>
    <w:rsid w:val="000846EE"/>
    <w:rsid w:val="000871BC"/>
    <w:rsid w:val="00087EEB"/>
    <w:rsid w:val="00091707"/>
    <w:rsid w:val="0009191F"/>
    <w:rsid w:val="000951CB"/>
    <w:rsid w:val="00095256"/>
    <w:rsid w:val="00096E85"/>
    <w:rsid w:val="000A2C98"/>
    <w:rsid w:val="000A48FC"/>
    <w:rsid w:val="000A54E7"/>
    <w:rsid w:val="000A7FD7"/>
    <w:rsid w:val="000B13A9"/>
    <w:rsid w:val="000B254B"/>
    <w:rsid w:val="000B42BE"/>
    <w:rsid w:val="000B6147"/>
    <w:rsid w:val="000B796E"/>
    <w:rsid w:val="000C031E"/>
    <w:rsid w:val="000C0C6C"/>
    <w:rsid w:val="000C2759"/>
    <w:rsid w:val="000C282A"/>
    <w:rsid w:val="000C303D"/>
    <w:rsid w:val="000C450F"/>
    <w:rsid w:val="000D404B"/>
    <w:rsid w:val="000D564F"/>
    <w:rsid w:val="000D6993"/>
    <w:rsid w:val="000D7A5A"/>
    <w:rsid w:val="000D7ADC"/>
    <w:rsid w:val="000D7BDA"/>
    <w:rsid w:val="000E17C1"/>
    <w:rsid w:val="000E3504"/>
    <w:rsid w:val="000E7E94"/>
    <w:rsid w:val="000F03A1"/>
    <w:rsid w:val="000F1466"/>
    <w:rsid w:val="000F1D9C"/>
    <w:rsid w:val="000F29DD"/>
    <w:rsid w:val="000F3581"/>
    <w:rsid w:val="000F389B"/>
    <w:rsid w:val="000F577D"/>
    <w:rsid w:val="000F6981"/>
    <w:rsid w:val="001040A3"/>
    <w:rsid w:val="001066CD"/>
    <w:rsid w:val="00111F70"/>
    <w:rsid w:val="0011230E"/>
    <w:rsid w:val="00112FC7"/>
    <w:rsid w:val="0011650D"/>
    <w:rsid w:val="00120A87"/>
    <w:rsid w:val="001215BA"/>
    <w:rsid w:val="0012728B"/>
    <w:rsid w:val="0012739F"/>
    <w:rsid w:val="00127AD6"/>
    <w:rsid w:val="00127CF3"/>
    <w:rsid w:val="00127ED8"/>
    <w:rsid w:val="00132F7E"/>
    <w:rsid w:val="00137550"/>
    <w:rsid w:val="00140172"/>
    <w:rsid w:val="00141267"/>
    <w:rsid w:val="00143BD1"/>
    <w:rsid w:val="00144405"/>
    <w:rsid w:val="0015426B"/>
    <w:rsid w:val="00154305"/>
    <w:rsid w:val="001549B2"/>
    <w:rsid w:val="00155F45"/>
    <w:rsid w:val="001563C6"/>
    <w:rsid w:val="00157C5B"/>
    <w:rsid w:val="001609E1"/>
    <w:rsid w:val="00163105"/>
    <w:rsid w:val="0016559E"/>
    <w:rsid w:val="001658C6"/>
    <w:rsid w:val="00165D4A"/>
    <w:rsid w:val="001727A6"/>
    <w:rsid w:val="001727D1"/>
    <w:rsid w:val="0017332C"/>
    <w:rsid w:val="00173E29"/>
    <w:rsid w:val="001745C8"/>
    <w:rsid w:val="00175E6E"/>
    <w:rsid w:val="0017645A"/>
    <w:rsid w:val="001847A3"/>
    <w:rsid w:val="00184BF5"/>
    <w:rsid w:val="00186849"/>
    <w:rsid w:val="00186ECC"/>
    <w:rsid w:val="00192E94"/>
    <w:rsid w:val="001931E3"/>
    <w:rsid w:val="0019518A"/>
    <w:rsid w:val="001A0DD0"/>
    <w:rsid w:val="001A0EA6"/>
    <w:rsid w:val="001A1D68"/>
    <w:rsid w:val="001A4842"/>
    <w:rsid w:val="001A4974"/>
    <w:rsid w:val="001A6FDA"/>
    <w:rsid w:val="001B3CA4"/>
    <w:rsid w:val="001B4A72"/>
    <w:rsid w:val="001B5364"/>
    <w:rsid w:val="001B5624"/>
    <w:rsid w:val="001B7A17"/>
    <w:rsid w:val="001B7B06"/>
    <w:rsid w:val="001C30DD"/>
    <w:rsid w:val="001C3933"/>
    <w:rsid w:val="001C458F"/>
    <w:rsid w:val="001C53E1"/>
    <w:rsid w:val="001C57F5"/>
    <w:rsid w:val="001C73A2"/>
    <w:rsid w:val="001D06A9"/>
    <w:rsid w:val="001D10F4"/>
    <w:rsid w:val="001D237E"/>
    <w:rsid w:val="001D2CE0"/>
    <w:rsid w:val="001D40C8"/>
    <w:rsid w:val="001D5F8A"/>
    <w:rsid w:val="001D71ED"/>
    <w:rsid w:val="001E26E1"/>
    <w:rsid w:val="001E30D4"/>
    <w:rsid w:val="001E6106"/>
    <w:rsid w:val="001F0786"/>
    <w:rsid w:val="001F1EB7"/>
    <w:rsid w:val="001F3C63"/>
    <w:rsid w:val="001F4FF1"/>
    <w:rsid w:val="001F7AF5"/>
    <w:rsid w:val="00204556"/>
    <w:rsid w:val="002047E8"/>
    <w:rsid w:val="002047EC"/>
    <w:rsid w:val="00205368"/>
    <w:rsid w:val="0020567A"/>
    <w:rsid w:val="00206357"/>
    <w:rsid w:val="00206756"/>
    <w:rsid w:val="0020765A"/>
    <w:rsid w:val="00207CD3"/>
    <w:rsid w:val="0021096B"/>
    <w:rsid w:val="00211AA3"/>
    <w:rsid w:val="002126C0"/>
    <w:rsid w:val="00213A97"/>
    <w:rsid w:val="00217B28"/>
    <w:rsid w:val="00217C00"/>
    <w:rsid w:val="00220B07"/>
    <w:rsid w:val="00221001"/>
    <w:rsid w:val="00222F96"/>
    <w:rsid w:val="0022461C"/>
    <w:rsid w:val="00227CA0"/>
    <w:rsid w:val="00230689"/>
    <w:rsid w:val="002325B7"/>
    <w:rsid w:val="00232864"/>
    <w:rsid w:val="00233ECA"/>
    <w:rsid w:val="002364F8"/>
    <w:rsid w:val="00237AB8"/>
    <w:rsid w:val="00242241"/>
    <w:rsid w:val="002431CE"/>
    <w:rsid w:val="00243CB9"/>
    <w:rsid w:val="00247A7C"/>
    <w:rsid w:val="002519B0"/>
    <w:rsid w:val="00251AFD"/>
    <w:rsid w:val="00252B9A"/>
    <w:rsid w:val="002566C0"/>
    <w:rsid w:val="00256D21"/>
    <w:rsid w:val="00256D5D"/>
    <w:rsid w:val="00256EDA"/>
    <w:rsid w:val="0025770F"/>
    <w:rsid w:val="00257EAA"/>
    <w:rsid w:val="00262549"/>
    <w:rsid w:val="00263815"/>
    <w:rsid w:val="00264692"/>
    <w:rsid w:val="00265240"/>
    <w:rsid w:val="00275BF0"/>
    <w:rsid w:val="0027607B"/>
    <w:rsid w:val="00276C24"/>
    <w:rsid w:val="0028217E"/>
    <w:rsid w:val="00285918"/>
    <w:rsid w:val="00290253"/>
    <w:rsid w:val="0029144C"/>
    <w:rsid w:val="00293414"/>
    <w:rsid w:val="002969BA"/>
    <w:rsid w:val="00296CDA"/>
    <w:rsid w:val="002A071A"/>
    <w:rsid w:val="002A37F0"/>
    <w:rsid w:val="002A3B0D"/>
    <w:rsid w:val="002A5229"/>
    <w:rsid w:val="002B0BA8"/>
    <w:rsid w:val="002B2FC3"/>
    <w:rsid w:val="002B3AD1"/>
    <w:rsid w:val="002B3F5C"/>
    <w:rsid w:val="002B6D05"/>
    <w:rsid w:val="002C1C11"/>
    <w:rsid w:val="002C408A"/>
    <w:rsid w:val="002C4C0D"/>
    <w:rsid w:val="002C6707"/>
    <w:rsid w:val="002D0FE4"/>
    <w:rsid w:val="002D25FD"/>
    <w:rsid w:val="002D3362"/>
    <w:rsid w:val="002D355E"/>
    <w:rsid w:val="002D425A"/>
    <w:rsid w:val="002D6708"/>
    <w:rsid w:val="002D6F17"/>
    <w:rsid w:val="002E357D"/>
    <w:rsid w:val="002E3C92"/>
    <w:rsid w:val="002E7318"/>
    <w:rsid w:val="002E798E"/>
    <w:rsid w:val="002F1E6F"/>
    <w:rsid w:val="00301603"/>
    <w:rsid w:val="00301BB4"/>
    <w:rsid w:val="00303AB5"/>
    <w:rsid w:val="00303B08"/>
    <w:rsid w:val="0030431C"/>
    <w:rsid w:val="0030593C"/>
    <w:rsid w:val="0030694F"/>
    <w:rsid w:val="0031256B"/>
    <w:rsid w:val="00315EF6"/>
    <w:rsid w:val="00320D93"/>
    <w:rsid w:val="00321B32"/>
    <w:rsid w:val="003224E7"/>
    <w:rsid w:val="00323384"/>
    <w:rsid w:val="00326E1C"/>
    <w:rsid w:val="00332B7B"/>
    <w:rsid w:val="00341BAF"/>
    <w:rsid w:val="003454FA"/>
    <w:rsid w:val="00345D3C"/>
    <w:rsid w:val="0034673D"/>
    <w:rsid w:val="003512BD"/>
    <w:rsid w:val="003541B4"/>
    <w:rsid w:val="00354F38"/>
    <w:rsid w:val="00365351"/>
    <w:rsid w:val="003707D8"/>
    <w:rsid w:val="00371D01"/>
    <w:rsid w:val="00376CF1"/>
    <w:rsid w:val="00382712"/>
    <w:rsid w:val="00384E22"/>
    <w:rsid w:val="00386231"/>
    <w:rsid w:val="0038699F"/>
    <w:rsid w:val="0038770A"/>
    <w:rsid w:val="0039225D"/>
    <w:rsid w:val="003933D6"/>
    <w:rsid w:val="00395472"/>
    <w:rsid w:val="003A6157"/>
    <w:rsid w:val="003A6EF4"/>
    <w:rsid w:val="003A73FE"/>
    <w:rsid w:val="003A7DE0"/>
    <w:rsid w:val="003A7F83"/>
    <w:rsid w:val="003B2050"/>
    <w:rsid w:val="003B4225"/>
    <w:rsid w:val="003B659B"/>
    <w:rsid w:val="003B6C45"/>
    <w:rsid w:val="003C012D"/>
    <w:rsid w:val="003C0674"/>
    <w:rsid w:val="003C081B"/>
    <w:rsid w:val="003C33AD"/>
    <w:rsid w:val="003C50C4"/>
    <w:rsid w:val="003C57D2"/>
    <w:rsid w:val="003C6079"/>
    <w:rsid w:val="003C69D7"/>
    <w:rsid w:val="003D0951"/>
    <w:rsid w:val="003D2BD3"/>
    <w:rsid w:val="003D3BF0"/>
    <w:rsid w:val="003D3FEC"/>
    <w:rsid w:val="003E3733"/>
    <w:rsid w:val="003E4010"/>
    <w:rsid w:val="003E48C2"/>
    <w:rsid w:val="003E5324"/>
    <w:rsid w:val="003E60F4"/>
    <w:rsid w:val="003F03B4"/>
    <w:rsid w:val="003F04CD"/>
    <w:rsid w:val="003F31B0"/>
    <w:rsid w:val="003F6982"/>
    <w:rsid w:val="00402FA1"/>
    <w:rsid w:val="00411A42"/>
    <w:rsid w:val="0041558C"/>
    <w:rsid w:val="00416299"/>
    <w:rsid w:val="004200D0"/>
    <w:rsid w:val="00421357"/>
    <w:rsid w:val="0042340B"/>
    <w:rsid w:val="00424862"/>
    <w:rsid w:val="00424AC9"/>
    <w:rsid w:val="00432F2C"/>
    <w:rsid w:val="00433E15"/>
    <w:rsid w:val="00434006"/>
    <w:rsid w:val="00434DF9"/>
    <w:rsid w:val="00436A2C"/>
    <w:rsid w:val="00436C11"/>
    <w:rsid w:val="00437872"/>
    <w:rsid w:val="0043796E"/>
    <w:rsid w:val="00437B15"/>
    <w:rsid w:val="004405FE"/>
    <w:rsid w:val="00441273"/>
    <w:rsid w:val="0044341F"/>
    <w:rsid w:val="00443611"/>
    <w:rsid w:val="00445287"/>
    <w:rsid w:val="004468AB"/>
    <w:rsid w:val="00446CAC"/>
    <w:rsid w:val="0045218B"/>
    <w:rsid w:val="00452C8A"/>
    <w:rsid w:val="00453F0A"/>
    <w:rsid w:val="00455B69"/>
    <w:rsid w:val="00457023"/>
    <w:rsid w:val="00461B47"/>
    <w:rsid w:val="00463459"/>
    <w:rsid w:val="00463795"/>
    <w:rsid w:val="004649D8"/>
    <w:rsid w:val="00465B2B"/>
    <w:rsid w:val="00470146"/>
    <w:rsid w:val="00470476"/>
    <w:rsid w:val="00470E7A"/>
    <w:rsid w:val="0047358F"/>
    <w:rsid w:val="00474A7C"/>
    <w:rsid w:val="00475BBF"/>
    <w:rsid w:val="00476728"/>
    <w:rsid w:val="00476EC7"/>
    <w:rsid w:val="00476F72"/>
    <w:rsid w:val="004802F9"/>
    <w:rsid w:val="0048084D"/>
    <w:rsid w:val="00480976"/>
    <w:rsid w:val="0048226D"/>
    <w:rsid w:val="00482AC4"/>
    <w:rsid w:val="0048479E"/>
    <w:rsid w:val="0048553B"/>
    <w:rsid w:val="0048763E"/>
    <w:rsid w:val="004965FC"/>
    <w:rsid w:val="004A0318"/>
    <w:rsid w:val="004A0B3D"/>
    <w:rsid w:val="004A1A6A"/>
    <w:rsid w:val="004A5504"/>
    <w:rsid w:val="004A58C2"/>
    <w:rsid w:val="004A7658"/>
    <w:rsid w:val="004B1323"/>
    <w:rsid w:val="004B3971"/>
    <w:rsid w:val="004B42D8"/>
    <w:rsid w:val="004C14DD"/>
    <w:rsid w:val="004C26C5"/>
    <w:rsid w:val="004C4B31"/>
    <w:rsid w:val="004C639E"/>
    <w:rsid w:val="004D0995"/>
    <w:rsid w:val="004D1573"/>
    <w:rsid w:val="004D2F4F"/>
    <w:rsid w:val="004D3FAA"/>
    <w:rsid w:val="004D4334"/>
    <w:rsid w:val="004D7247"/>
    <w:rsid w:val="004D73F0"/>
    <w:rsid w:val="004E0254"/>
    <w:rsid w:val="004E242D"/>
    <w:rsid w:val="004E2635"/>
    <w:rsid w:val="004E394F"/>
    <w:rsid w:val="004E55A3"/>
    <w:rsid w:val="004F1963"/>
    <w:rsid w:val="004F1B29"/>
    <w:rsid w:val="004F2447"/>
    <w:rsid w:val="004F3F0C"/>
    <w:rsid w:val="004F570C"/>
    <w:rsid w:val="004F638E"/>
    <w:rsid w:val="004F7922"/>
    <w:rsid w:val="00501918"/>
    <w:rsid w:val="005038E2"/>
    <w:rsid w:val="00506131"/>
    <w:rsid w:val="00506518"/>
    <w:rsid w:val="00506BE2"/>
    <w:rsid w:val="0051299B"/>
    <w:rsid w:val="00512A61"/>
    <w:rsid w:val="005137D4"/>
    <w:rsid w:val="00515872"/>
    <w:rsid w:val="00516DEC"/>
    <w:rsid w:val="005205B6"/>
    <w:rsid w:val="00520FB9"/>
    <w:rsid w:val="005213AC"/>
    <w:rsid w:val="005230C2"/>
    <w:rsid w:val="005318B4"/>
    <w:rsid w:val="00532141"/>
    <w:rsid w:val="0053561C"/>
    <w:rsid w:val="0053658D"/>
    <w:rsid w:val="00545DA2"/>
    <w:rsid w:val="005470FE"/>
    <w:rsid w:val="00547159"/>
    <w:rsid w:val="00550164"/>
    <w:rsid w:val="005519E5"/>
    <w:rsid w:val="00552DDF"/>
    <w:rsid w:val="00554FAE"/>
    <w:rsid w:val="0055567E"/>
    <w:rsid w:val="0055643C"/>
    <w:rsid w:val="00560ABE"/>
    <w:rsid w:val="00561976"/>
    <w:rsid w:val="00562E4F"/>
    <w:rsid w:val="0056473D"/>
    <w:rsid w:val="00564F7F"/>
    <w:rsid w:val="0056672D"/>
    <w:rsid w:val="005677D8"/>
    <w:rsid w:val="0056785B"/>
    <w:rsid w:val="005678F1"/>
    <w:rsid w:val="00573E10"/>
    <w:rsid w:val="00574AC1"/>
    <w:rsid w:val="005802A3"/>
    <w:rsid w:val="00582F66"/>
    <w:rsid w:val="00584154"/>
    <w:rsid w:val="00584BAD"/>
    <w:rsid w:val="00586ECA"/>
    <w:rsid w:val="00590386"/>
    <w:rsid w:val="00590660"/>
    <w:rsid w:val="0059142D"/>
    <w:rsid w:val="005926DB"/>
    <w:rsid w:val="00594F40"/>
    <w:rsid w:val="005953B5"/>
    <w:rsid w:val="00596F09"/>
    <w:rsid w:val="00596F89"/>
    <w:rsid w:val="005A16B2"/>
    <w:rsid w:val="005A32A3"/>
    <w:rsid w:val="005A33F4"/>
    <w:rsid w:val="005A3CE9"/>
    <w:rsid w:val="005A4CE7"/>
    <w:rsid w:val="005A5C37"/>
    <w:rsid w:val="005A6EBC"/>
    <w:rsid w:val="005B4900"/>
    <w:rsid w:val="005B712A"/>
    <w:rsid w:val="005B76BC"/>
    <w:rsid w:val="005B79E4"/>
    <w:rsid w:val="005C069A"/>
    <w:rsid w:val="005C1197"/>
    <w:rsid w:val="005D01DA"/>
    <w:rsid w:val="005D04B5"/>
    <w:rsid w:val="005D1A33"/>
    <w:rsid w:val="005D1E51"/>
    <w:rsid w:val="005E33A8"/>
    <w:rsid w:val="005E5BA3"/>
    <w:rsid w:val="005E5CA4"/>
    <w:rsid w:val="005E730D"/>
    <w:rsid w:val="005F051A"/>
    <w:rsid w:val="005F6383"/>
    <w:rsid w:val="005F725A"/>
    <w:rsid w:val="005F7B2D"/>
    <w:rsid w:val="0060070B"/>
    <w:rsid w:val="00604F9E"/>
    <w:rsid w:val="00605CB6"/>
    <w:rsid w:val="00606B24"/>
    <w:rsid w:val="00612031"/>
    <w:rsid w:val="00613A42"/>
    <w:rsid w:val="006145A7"/>
    <w:rsid w:val="006145E1"/>
    <w:rsid w:val="006175CD"/>
    <w:rsid w:val="0061780D"/>
    <w:rsid w:val="00617A83"/>
    <w:rsid w:val="00622262"/>
    <w:rsid w:val="00623075"/>
    <w:rsid w:val="00627C54"/>
    <w:rsid w:val="00630F3D"/>
    <w:rsid w:val="006327B6"/>
    <w:rsid w:val="00633B4F"/>
    <w:rsid w:val="00635BC7"/>
    <w:rsid w:val="0064183E"/>
    <w:rsid w:val="00642049"/>
    <w:rsid w:val="00642F7E"/>
    <w:rsid w:val="00643618"/>
    <w:rsid w:val="00644AD7"/>
    <w:rsid w:val="00646047"/>
    <w:rsid w:val="00647111"/>
    <w:rsid w:val="00647703"/>
    <w:rsid w:val="00654249"/>
    <w:rsid w:val="00655655"/>
    <w:rsid w:val="00655949"/>
    <w:rsid w:val="0065680F"/>
    <w:rsid w:val="00656BC0"/>
    <w:rsid w:val="00660000"/>
    <w:rsid w:val="00663FA7"/>
    <w:rsid w:val="0066740D"/>
    <w:rsid w:val="00670DD0"/>
    <w:rsid w:val="006710BF"/>
    <w:rsid w:val="0067479C"/>
    <w:rsid w:val="00680F4A"/>
    <w:rsid w:val="00681383"/>
    <w:rsid w:val="00681D70"/>
    <w:rsid w:val="00682155"/>
    <w:rsid w:val="0068280C"/>
    <w:rsid w:val="0068701E"/>
    <w:rsid w:val="00690025"/>
    <w:rsid w:val="0069276D"/>
    <w:rsid w:val="00693499"/>
    <w:rsid w:val="0069549D"/>
    <w:rsid w:val="006A1B03"/>
    <w:rsid w:val="006A224C"/>
    <w:rsid w:val="006A2319"/>
    <w:rsid w:val="006A322C"/>
    <w:rsid w:val="006A4899"/>
    <w:rsid w:val="006A4DCD"/>
    <w:rsid w:val="006A50F3"/>
    <w:rsid w:val="006A64D5"/>
    <w:rsid w:val="006B055D"/>
    <w:rsid w:val="006B2871"/>
    <w:rsid w:val="006B6B50"/>
    <w:rsid w:val="006B6C4C"/>
    <w:rsid w:val="006C0659"/>
    <w:rsid w:val="006C081A"/>
    <w:rsid w:val="006C28A6"/>
    <w:rsid w:val="006C2AC1"/>
    <w:rsid w:val="006C3356"/>
    <w:rsid w:val="006D02C9"/>
    <w:rsid w:val="006D2251"/>
    <w:rsid w:val="006D239F"/>
    <w:rsid w:val="006D3186"/>
    <w:rsid w:val="006D5994"/>
    <w:rsid w:val="006D750F"/>
    <w:rsid w:val="006E10E5"/>
    <w:rsid w:val="006E1969"/>
    <w:rsid w:val="006E32FB"/>
    <w:rsid w:val="006E4029"/>
    <w:rsid w:val="006E52D5"/>
    <w:rsid w:val="006E565D"/>
    <w:rsid w:val="006F16F3"/>
    <w:rsid w:val="006F19AE"/>
    <w:rsid w:val="006F20DD"/>
    <w:rsid w:val="006F2A44"/>
    <w:rsid w:val="006F3892"/>
    <w:rsid w:val="006F4E7E"/>
    <w:rsid w:val="006F5114"/>
    <w:rsid w:val="006F5BC9"/>
    <w:rsid w:val="006F70CC"/>
    <w:rsid w:val="006F715B"/>
    <w:rsid w:val="00700DCE"/>
    <w:rsid w:val="00703045"/>
    <w:rsid w:val="007062BD"/>
    <w:rsid w:val="007121D2"/>
    <w:rsid w:val="0072228F"/>
    <w:rsid w:val="007241F0"/>
    <w:rsid w:val="00724E41"/>
    <w:rsid w:val="007252AC"/>
    <w:rsid w:val="00725820"/>
    <w:rsid w:val="007264BB"/>
    <w:rsid w:val="00740975"/>
    <w:rsid w:val="00740B56"/>
    <w:rsid w:val="00741F89"/>
    <w:rsid w:val="007426AC"/>
    <w:rsid w:val="00743A7E"/>
    <w:rsid w:val="0074434F"/>
    <w:rsid w:val="0075093C"/>
    <w:rsid w:val="007526D5"/>
    <w:rsid w:val="00752995"/>
    <w:rsid w:val="00753040"/>
    <w:rsid w:val="0075485C"/>
    <w:rsid w:val="00756539"/>
    <w:rsid w:val="00756A1F"/>
    <w:rsid w:val="0075725B"/>
    <w:rsid w:val="0076002A"/>
    <w:rsid w:val="00760A77"/>
    <w:rsid w:val="0076627A"/>
    <w:rsid w:val="00767432"/>
    <w:rsid w:val="007715E4"/>
    <w:rsid w:val="00776CC6"/>
    <w:rsid w:val="00782857"/>
    <w:rsid w:val="0078354F"/>
    <w:rsid w:val="00783A01"/>
    <w:rsid w:val="00785C55"/>
    <w:rsid w:val="00785FFB"/>
    <w:rsid w:val="0078779E"/>
    <w:rsid w:val="0079053A"/>
    <w:rsid w:val="00790558"/>
    <w:rsid w:val="00790F86"/>
    <w:rsid w:val="00791F82"/>
    <w:rsid w:val="00795943"/>
    <w:rsid w:val="007970A4"/>
    <w:rsid w:val="007A0919"/>
    <w:rsid w:val="007A2891"/>
    <w:rsid w:val="007A3DFF"/>
    <w:rsid w:val="007A4C9D"/>
    <w:rsid w:val="007A68CF"/>
    <w:rsid w:val="007A6E41"/>
    <w:rsid w:val="007B25BD"/>
    <w:rsid w:val="007B7DE4"/>
    <w:rsid w:val="007C1C13"/>
    <w:rsid w:val="007C33A4"/>
    <w:rsid w:val="007C4A98"/>
    <w:rsid w:val="007C6306"/>
    <w:rsid w:val="007D0F29"/>
    <w:rsid w:val="007D1A72"/>
    <w:rsid w:val="007D2485"/>
    <w:rsid w:val="007D24EC"/>
    <w:rsid w:val="007D31C1"/>
    <w:rsid w:val="007D361B"/>
    <w:rsid w:val="007E0C8D"/>
    <w:rsid w:val="007E3FCD"/>
    <w:rsid w:val="007E4FC0"/>
    <w:rsid w:val="007E563B"/>
    <w:rsid w:val="007E5EEB"/>
    <w:rsid w:val="007E63F3"/>
    <w:rsid w:val="007E65E8"/>
    <w:rsid w:val="007F1490"/>
    <w:rsid w:val="007F206D"/>
    <w:rsid w:val="007F4AF4"/>
    <w:rsid w:val="007F6546"/>
    <w:rsid w:val="007F6A7B"/>
    <w:rsid w:val="00800233"/>
    <w:rsid w:val="00800B64"/>
    <w:rsid w:val="00812912"/>
    <w:rsid w:val="00812D34"/>
    <w:rsid w:val="008157B0"/>
    <w:rsid w:val="008218BD"/>
    <w:rsid w:val="008241B0"/>
    <w:rsid w:val="00826AA2"/>
    <w:rsid w:val="0083189C"/>
    <w:rsid w:val="008362B4"/>
    <w:rsid w:val="00836F11"/>
    <w:rsid w:val="008427AF"/>
    <w:rsid w:val="00842BBE"/>
    <w:rsid w:val="008447A0"/>
    <w:rsid w:val="00844D86"/>
    <w:rsid w:val="00846852"/>
    <w:rsid w:val="00847521"/>
    <w:rsid w:val="008519BE"/>
    <w:rsid w:val="008542BE"/>
    <w:rsid w:val="00854D22"/>
    <w:rsid w:val="008573B3"/>
    <w:rsid w:val="0085780E"/>
    <w:rsid w:val="008624ED"/>
    <w:rsid w:val="0086513B"/>
    <w:rsid w:val="008720C4"/>
    <w:rsid w:val="00886F8E"/>
    <w:rsid w:val="00890CBD"/>
    <w:rsid w:val="00891627"/>
    <w:rsid w:val="00892320"/>
    <w:rsid w:val="00892EE6"/>
    <w:rsid w:val="00893294"/>
    <w:rsid w:val="00893ED8"/>
    <w:rsid w:val="0089419D"/>
    <w:rsid w:val="008A0B65"/>
    <w:rsid w:val="008A13BA"/>
    <w:rsid w:val="008A24B6"/>
    <w:rsid w:val="008A2A71"/>
    <w:rsid w:val="008A4F96"/>
    <w:rsid w:val="008A6744"/>
    <w:rsid w:val="008A7777"/>
    <w:rsid w:val="008B0CD5"/>
    <w:rsid w:val="008B44B8"/>
    <w:rsid w:val="008B5591"/>
    <w:rsid w:val="008B6311"/>
    <w:rsid w:val="008B7BBD"/>
    <w:rsid w:val="008C00FF"/>
    <w:rsid w:val="008C2821"/>
    <w:rsid w:val="008C46BD"/>
    <w:rsid w:val="008C5AAD"/>
    <w:rsid w:val="008C5D50"/>
    <w:rsid w:val="008C6DA5"/>
    <w:rsid w:val="008D1190"/>
    <w:rsid w:val="008D1901"/>
    <w:rsid w:val="008D1F34"/>
    <w:rsid w:val="008D5301"/>
    <w:rsid w:val="008D7313"/>
    <w:rsid w:val="008E3209"/>
    <w:rsid w:val="008E325E"/>
    <w:rsid w:val="008E3A2C"/>
    <w:rsid w:val="008E7630"/>
    <w:rsid w:val="008E7AED"/>
    <w:rsid w:val="008F0008"/>
    <w:rsid w:val="008F0712"/>
    <w:rsid w:val="008F0FE8"/>
    <w:rsid w:val="008F1865"/>
    <w:rsid w:val="008F2057"/>
    <w:rsid w:val="008F2DCF"/>
    <w:rsid w:val="008F4CF6"/>
    <w:rsid w:val="008F6002"/>
    <w:rsid w:val="008F7CE0"/>
    <w:rsid w:val="00901FC0"/>
    <w:rsid w:val="00902ED1"/>
    <w:rsid w:val="00907F4D"/>
    <w:rsid w:val="00910329"/>
    <w:rsid w:val="0091073C"/>
    <w:rsid w:val="00911658"/>
    <w:rsid w:val="00911B89"/>
    <w:rsid w:val="00912BE1"/>
    <w:rsid w:val="00913325"/>
    <w:rsid w:val="00913622"/>
    <w:rsid w:val="00920083"/>
    <w:rsid w:val="00920402"/>
    <w:rsid w:val="0092155D"/>
    <w:rsid w:val="00921D53"/>
    <w:rsid w:val="00930332"/>
    <w:rsid w:val="0093091A"/>
    <w:rsid w:val="00930CB2"/>
    <w:rsid w:val="009310EC"/>
    <w:rsid w:val="0093138E"/>
    <w:rsid w:val="00933698"/>
    <w:rsid w:val="00937035"/>
    <w:rsid w:val="00941719"/>
    <w:rsid w:val="0094381F"/>
    <w:rsid w:val="009443F7"/>
    <w:rsid w:val="00944AA3"/>
    <w:rsid w:val="00945218"/>
    <w:rsid w:val="009552B7"/>
    <w:rsid w:val="009562D8"/>
    <w:rsid w:val="00956D8D"/>
    <w:rsid w:val="00956D96"/>
    <w:rsid w:val="009601D3"/>
    <w:rsid w:val="00960342"/>
    <w:rsid w:val="0096035E"/>
    <w:rsid w:val="0096715A"/>
    <w:rsid w:val="009678C2"/>
    <w:rsid w:val="00972CBA"/>
    <w:rsid w:val="009741A2"/>
    <w:rsid w:val="00975971"/>
    <w:rsid w:val="009819CA"/>
    <w:rsid w:val="00984BDB"/>
    <w:rsid w:val="00985792"/>
    <w:rsid w:val="00985CAF"/>
    <w:rsid w:val="009863D2"/>
    <w:rsid w:val="00991153"/>
    <w:rsid w:val="00994C3E"/>
    <w:rsid w:val="00995D48"/>
    <w:rsid w:val="0099660E"/>
    <w:rsid w:val="009979B4"/>
    <w:rsid w:val="00997BB6"/>
    <w:rsid w:val="009A0336"/>
    <w:rsid w:val="009A0C97"/>
    <w:rsid w:val="009A0F79"/>
    <w:rsid w:val="009A1014"/>
    <w:rsid w:val="009A1E78"/>
    <w:rsid w:val="009A2218"/>
    <w:rsid w:val="009A2A74"/>
    <w:rsid w:val="009A517A"/>
    <w:rsid w:val="009A6BDB"/>
    <w:rsid w:val="009B2F21"/>
    <w:rsid w:val="009B3A5E"/>
    <w:rsid w:val="009B4AC2"/>
    <w:rsid w:val="009B4CF0"/>
    <w:rsid w:val="009B74AB"/>
    <w:rsid w:val="009C0A65"/>
    <w:rsid w:val="009C10BB"/>
    <w:rsid w:val="009C1B73"/>
    <w:rsid w:val="009C6C97"/>
    <w:rsid w:val="009D0B75"/>
    <w:rsid w:val="009D5525"/>
    <w:rsid w:val="009D5EB5"/>
    <w:rsid w:val="009D6366"/>
    <w:rsid w:val="009D6917"/>
    <w:rsid w:val="009D7DCD"/>
    <w:rsid w:val="009E1A68"/>
    <w:rsid w:val="009E1D7C"/>
    <w:rsid w:val="009E3CB9"/>
    <w:rsid w:val="009E3F9D"/>
    <w:rsid w:val="009E4860"/>
    <w:rsid w:val="009E51FD"/>
    <w:rsid w:val="009E55D9"/>
    <w:rsid w:val="009E652C"/>
    <w:rsid w:val="009E7D0A"/>
    <w:rsid w:val="009E7FD1"/>
    <w:rsid w:val="009F0F22"/>
    <w:rsid w:val="009F1097"/>
    <w:rsid w:val="009F37E0"/>
    <w:rsid w:val="009F5963"/>
    <w:rsid w:val="009F755B"/>
    <w:rsid w:val="00A00A44"/>
    <w:rsid w:val="00A06948"/>
    <w:rsid w:val="00A11004"/>
    <w:rsid w:val="00A11ECE"/>
    <w:rsid w:val="00A1343A"/>
    <w:rsid w:val="00A14D1F"/>
    <w:rsid w:val="00A174F8"/>
    <w:rsid w:val="00A212B4"/>
    <w:rsid w:val="00A22570"/>
    <w:rsid w:val="00A22A1F"/>
    <w:rsid w:val="00A233D5"/>
    <w:rsid w:val="00A23627"/>
    <w:rsid w:val="00A2408B"/>
    <w:rsid w:val="00A2488E"/>
    <w:rsid w:val="00A267BB"/>
    <w:rsid w:val="00A27097"/>
    <w:rsid w:val="00A31A85"/>
    <w:rsid w:val="00A32773"/>
    <w:rsid w:val="00A35C28"/>
    <w:rsid w:val="00A3670F"/>
    <w:rsid w:val="00A368CD"/>
    <w:rsid w:val="00A37CEE"/>
    <w:rsid w:val="00A41F05"/>
    <w:rsid w:val="00A4415C"/>
    <w:rsid w:val="00A450E9"/>
    <w:rsid w:val="00A46CE7"/>
    <w:rsid w:val="00A520E9"/>
    <w:rsid w:val="00A521F2"/>
    <w:rsid w:val="00A570F5"/>
    <w:rsid w:val="00A57D36"/>
    <w:rsid w:val="00A61301"/>
    <w:rsid w:val="00A642E0"/>
    <w:rsid w:val="00A65436"/>
    <w:rsid w:val="00A6696A"/>
    <w:rsid w:val="00A70661"/>
    <w:rsid w:val="00A708E7"/>
    <w:rsid w:val="00A71135"/>
    <w:rsid w:val="00A71B58"/>
    <w:rsid w:val="00A72EC0"/>
    <w:rsid w:val="00A73CA7"/>
    <w:rsid w:val="00A73F25"/>
    <w:rsid w:val="00A7490D"/>
    <w:rsid w:val="00A8078E"/>
    <w:rsid w:val="00A86D7D"/>
    <w:rsid w:val="00A87A61"/>
    <w:rsid w:val="00A87DE2"/>
    <w:rsid w:val="00A90384"/>
    <w:rsid w:val="00A942B7"/>
    <w:rsid w:val="00A94652"/>
    <w:rsid w:val="00A94A60"/>
    <w:rsid w:val="00A952FE"/>
    <w:rsid w:val="00AA07C7"/>
    <w:rsid w:val="00AA5030"/>
    <w:rsid w:val="00AB121C"/>
    <w:rsid w:val="00AB27A9"/>
    <w:rsid w:val="00AB3BAC"/>
    <w:rsid w:val="00AB7951"/>
    <w:rsid w:val="00AC20D3"/>
    <w:rsid w:val="00AC290B"/>
    <w:rsid w:val="00AC4D93"/>
    <w:rsid w:val="00AC580E"/>
    <w:rsid w:val="00AC67F7"/>
    <w:rsid w:val="00AC704B"/>
    <w:rsid w:val="00AD2BF5"/>
    <w:rsid w:val="00AD4251"/>
    <w:rsid w:val="00AE25A9"/>
    <w:rsid w:val="00AE3152"/>
    <w:rsid w:val="00AE319E"/>
    <w:rsid w:val="00AE575A"/>
    <w:rsid w:val="00AE72C8"/>
    <w:rsid w:val="00AE7458"/>
    <w:rsid w:val="00AE7726"/>
    <w:rsid w:val="00AF2801"/>
    <w:rsid w:val="00AF28A5"/>
    <w:rsid w:val="00AF3F74"/>
    <w:rsid w:val="00AF493F"/>
    <w:rsid w:val="00AF7DEF"/>
    <w:rsid w:val="00B01471"/>
    <w:rsid w:val="00B016AA"/>
    <w:rsid w:val="00B0286D"/>
    <w:rsid w:val="00B03F46"/>
    <w:rsid w:val="00B04A3E"/>
    <w:rsid w:val="00B0579D"/>
    <w:rsid w:val="00B05965"/>
    <w:rsid w:val="00B07DDF"/>
    <w:rsid w:val="00B1166E"/>
    <w:rsid w:val="00B11885"/>
    <w:rsid w:val="00B1365F"/>
    <w:rsid w:val="00B167E4"/>
    <w:rsid w:val="00B20062"/>
    <w:rsid w:val="00B23863"/>
    <w:rsid w:val="00B276FF"/>
    <w:rsid w:val="00B27AFC"/>
    <w:rsid w:val="00B27BF5"/>
    <w:rsid w:val="00B303D8"/>
    <w:rsid w:val="00B33B3D"/>
    <w:rsid w:val="00B33DF0"/>
    <w:rsid w:val="00B400DD"/>
    <w:rsid w:val="00B403D8"/>
    <w:rsid w:val="00B42D4A"/>
    <w:rsid w:val="00B4357D"/>
    <w:rsid w:val="00B439E2"/>
    <w:rsid w:val="00B45FCD"/>
    <w:rsid w:val="00B4773A"/>
    <w:rsid w:val="00B47769"/>
    <w:rsid w:val="00B501A1"/>
    <w:rsid w:val="00B51EFD"/>
    <w:rsid w:val="00B52344"/>
    <w:rsid w:val="00B54622"/>
    <w:rsid w:val="00B55FAB"/>
    <w:rsid w:val="00B55FC2"/>
    <w:rsid w:val="00B603C0"/>
    <w:rsid w:val="00B639D8"/>
    <w:rsid w:val="00B6571D"/>
    <w:rsid w:val="00B7015C"/>
    <w:rsid w:val="00B70721"/>
    <w:rsid w:val="00B70E76"/>
    <w:rsid w:val="00B74511"/>
    <w:rsid w:val="00B74C81"/>
    <w:rsid w:val="00B81B52"/>
    <w:rsid w:val="00B82B2D"/>
    <w:rsid w:val="00B833FF"/>
    <w:rsid w:val="00B83F97"/>
    <w:rsid w:val="00B85A84"/>
    <w:rsid w:val="00B87C67"/>
    <w:rsid w:val="00B905CE"/>
    <w:rsid w:val="00B9339A"/>
    <w:rsid w:val="00B95EEC"/>
    <w:rsid w:val="00B97B12"/>
    <w:rsid w:val="00BA1C1F"/>
    <w:rsid w:val="00BA47CB"/>
    <w:rsid w:val="00BB45BC"/>
    <w:rsid w:val="00BC0DE0"/>
    <w:rsid w:val="00BC290D"/>
    <w:rsid w:val="00BC4AAA"/>
    <w:rsid w:val="00BD105B"/>
    <w:rsid w:val="00BD66B3"/>
    <w:rsid w:val="00BD6966"/>
    <w:rsid w:val="00BE1F81"/>
    <w:rsid w:val="00BE237E"/>
    <w:rsid w:val="00BE34F8"/>
    <w:rsid w:val="00BE40AB"/>
    <w:rsid w:val="00BE659E"/>
    <w:rsid w:val="00BE688C"/>
    <w:rsid w:val="00BE68ED"/>
    <w:rsid w:val="00BF1D07"/>
    <w:rsid w:val="00BF4C64"/>
    <w:rsid w:val="00BF763A"/>
    <w:rsid w:val="00BF7D37"/>
    <w:rsid w:val="00C0166C"/>
    <w:rsid w:val="00C0292C"/>
    <w:rsid w:val="00C0364E"/>
    <w:rsid w:val="00C050C8"/>
    <w:rsid w:val="00C05566"/>
    <w:rsid w:val="00C0611E"/>
    <w:rsid w:val="00C0711B"/>
    <w:rsid w:val="00C0735F"/>
    <w:rsid w:val="00C100C7"/>
    <w:rsid w:val="00C106AC"/>
    <w:rsid w:val="00C12780"/>
    <w:rsid w:val="00C1316F"/>
    <w:rsid w:val="00C139BA"/>
    <w:rsid w:val="00C21612"/>
    <w:rsid w:val="00C25AC1"/>
    <w:rsid w:val="00C2602D"/>
    <w:rsid w:val="00C33F11"/>
    <w:rsid w:val="00C401E0"/>
    <w:rsid w:val="00C40B55"/>
    <w:rsid w:val="00C417B6"/>
    <w:rsid w:val="00C429C6"/>
    <w:rsid w:val="00C436A0"/>
    <w:rsid w:val="00C43E9B"/>
    <w:rsid w:val="00C450C4"/>
    <w:rsid w:val="00C54907"/>
    <w:rsid w:val="00C56DF1"/>
    <w:rsid w:val="00C62C15"/>
    <w:rsid w:val="00C66FAE"/>
    <w:rsid w:val="00C677B7"/>
    <w:rsid w:val="00C7269D"/>
    <w:rsid w:val="00C72EAB"/>
    <w:rsid w:val="00C735CB"/>
    <w:rsid w:val="00C77770"/>
    <w:rsid w:val="00C77FF7"/>
    <w:rsid w:val="00C81A91"/>
    <w:rsid w:val="00C867AA"/>
    <w:rsid w:val="00C8741E"/>
    <w:rsid w:val="00C87655"/>
    <w:rsid w:val="00C878AB"/>
    <w:rsid w:val="00C87DE4"/>
    <w:rsid w:val="00C91E6A"/>
    <w:rsid w:val="00C93083"/>
    <w:rsid w:val="00CA0BF2"/>
    <w:rsid w:val="00CA133A"/>
    <w:rsid w:val="00CA1DEC"/>
    <w:rsid w:val="00CA3C7B"/>
    <w:rsid w:val="00CB1BB3"/>
    <w:rsid w:val="00CB25FE"/>
    <w:rsid w:val="00CB57A4"/>
    <w:rsid w:val="00CB631F"/>
    <w:rsid w:val="00CD0992"/>
    <w:rsid w:val="00CD2CF7"/>
    <w:rsid w:val="00CD2F18"/>
    <w:rsid w:val="00CD6B9D"/>
    <w:rsid w:val="00CE369B"/>
    <w:rsid w:val="00CE39E1"/>
    <w:rsid w:val="00CE403E"/>
    <w:rsid w:val="00CE5535"/>
    <w:rsid w:val="00CE65D6"/>
    <w:rsid w:val="00CE6EC2"/>
    <w:rsid w:val="00CE71B3"/>
    <w:rsid w:val="00CF10DD"/>
    <w:rsid w:val="00CF1BF1"/>
    <w:rsid w:val="00CF2B71"/>
    <w:rsid w:val="00CF398A"/>
    <w:rsid w:val="00D00744"/>
    <w:rsid w:val="00D00780"/>
    <w:rsid w:val="00D03E29"/>
    <w:rsid w:val="00D05C0A"/>
    <w:rsid w:val="00D07389"/>
    <w:rsid w:val="00D115BA"/>
    <w:rsid w:val="00D122E2"/>
    <w:rsid w:val="00D13C69"/>
    <w:rsid w:val="00D16762"/>
    <w:rsid w:val="00D17354"/>
    <w:rsid w:val="00D216FF"/>
    <w:rsid w:val="00D23571"/>
    <w:rsid w:val="00D25EA4"/>
    <w:rsid w:val="00D2692D"/>
    <w:rsid w:val="00D2775A"/>
    <w:rsid w:val="00D27E59"/>
    <w:rsid w:val="00D305CF"/>
    <w:rsid w:val="00D34101"/>
    <w:rsid w:val="00D378B2"/>
    <w:rsid w:val="00D4160A"/>
    <w:rsid w:val="00D43692"/>
    <w:rsid w:val="00D446DD"/>
    <w:rsid w:val="00D45372"/>
    <w:rsid w:val="00D470A7"/>
    <w:rsid w:val="00D5074F"/>
    <w:rsid w:val="00D50D6D"/>
    <w:rsid w:val="00D547A0"/>
    <w:rsid w:val="00D57C93"/>
    <w:rsid w:val="00D57D75"/>
    <w:rsid w:val="00D62888"/>
    <w:rsid w:val="00D6425A"/>
    <w:rsid w:val="00D64828"/>
    <w:rsid w:val="00D64ECB"/>
    <w:rsid w:val="00D66A71"/>
    <w:rsid w:val="00D672BD"/>
    <w:rsid w:val="00D67E1D"/>
    <w:rsid w:val="00D709A4"/>
    <w:rsid w:val="00D72517"/>
    <w:rsid w:val="00D73972"/>
    <w:rsid w:val="00D76326"/>
    <w:rsid w:val="00D77D8F"/>
    <w:rsid w:val="00D82CC4"/>
    <w:rsid w:val="00D837AC"/>
    <w:rsid w:val="00D84853"/>
    <w:rsid w:val="00D86ECB"/>
    <w:rsid w:val="00D87A78"/>
    <w:rsid w:val="00D920EF"/>
    <w:rsid w:val="00D962B2"/>
    <w:rsid w:val="00D97138"/>
    <w:rsid w:val="00DA1A8C"/>
    <w:rsid w:val="00DA1B3C"/>
    <w:rsid w:val="00DA2745"/>
    <w:rsid w:val="00DA2A0C"/>
    <w:rsid w:val="00DA2EA3"/>
    <w:rsid w:val="00DA3B86"/>
    <w:rsid w:val="00DA771D"/>
    <w:rsid w:val="00DB1DBD"/>
    <w:rsid w:val="00DB399E"/>
    <w:rsid w:val="00DC22E0"/>
    <w:rsid w:val="00DC724B"/>
    <w:rsid w:val="00DD0F67"/>
    <w:rsid w:val="00DD40AE"/>
    <w:rsid w:val="00DD41A0"/>
    <w:rsid w:val="00DD5B7C"/>
    <w:rsid w:val="00DD5D20"/>
    <w:rsid w:val="00DD65B2"/>
    <w:rsid w:val="00DD7F9B"/>
    <w:rsid w:val="00DE1187"/>
    <w:rsid w:val="00DE1EDD"/>
    <w:rsid w:val="00DE357A"/>
    <w:rsid w:val="00DE3A10"/>
    <w:rsid w:val="00DE58B4"/>
    <w:rsid w:val="00DE64FF"/>
    <w:rsid w:val="00DE7355"/>
    <w:rsid w:val="00DF00DB"/>
    <w:rsid w:val="00DF2C86"/>
    <w:rsid w:val="00DF3395"/>
    <w:rsid w:val="00DF3DC7"/>
    <w:rsid w:val="00DF453F"/>
    <w:rsid w:val="00E007F1"/>
    <w:rsid w:val="00E0171E"/>
    <w:rsid w:val="00E01CFF"/>
    <w:rsid w:val="00E04AA6"/>
    <w:rsid w:val="00E07895"/>
    <w:rsid w:val="00E07F27"/>
    <w:rsid w:val="00E113E1"/>
    <w:rsid w:val="00E12FED"/>
    <w:rsid w:val="00E13006"/>
    <w:rsid w:val="00E15613"/>
    <w:rsid w:val="00E16EFC"/>
    <w:rsid w:val="00E17EF5"/>
    <w:rsid w:val="00E2034A"/>
    <w:rsid w:val="00E25467"/>
    <w:rsid w:val="00E327FA"/>
    <w:rsid w:val="00E33A7A"/>
    <w:rsid w:val="00E34B4F"/>
    <w:rsid w:val="00E35002"/>
    <w:rsid w:val="00E37378"/>
    <w:rsid w:val="00E379FA"/>
    <w:rsid w:val="00E4757C"/>
    <w:rsid w:val="00E47D08"/>
    <w:rsid w:val="00E53033"/>
    <w:rsid w:val="00E54717"/>
    <w:rsid w:val="00E569B8"/>
    <w:rsid w:val="00E56ECA"/>
    <w:rsid w:val="00E57118"/>
    <w:rsid w:val="00E57D35"/>
    <w:rsid w:val="00E57D5D"/>
    <w:rsid w:val="00E60FF9"/>
    <w:rsid w:val="00E6432C"/>
    <w:rsid w:val="00E64EBC"/>
    <w:rsid w:val="00E65F57"/>
    <w:rsid w:val="00E67197"/>
    <w:rsid w:val="00E67288"/>
    <w:rsid w:val="00E76196"/>
    <w:rsid w:val="00E761F0"/>
    <w:rsid w:val="00E839AB"/>
    <w:rsid w:val="00E840FE"/>
    <w:rsid w:val="00E844AA"/>
    <w:rsid w:val="00E84D02"/>
    <w:rsid w:val="00E84D9D"/>
    <w:rsid w:val="00E915A5"/>
    <w:rsid w:val="00E9160A"/>
    <w:rsid w:val="00E922DD"/>
    <w:rsid w:val="00E96D2D"/>
    <w:rsid w:val="00EA0024"/>
    <w:rsid w:val="00EA05F1"/>
    <w:rsid w:val="00EA1C2C"/>
    <w:rsid w:val="00EA342B"/>
    <w:rsid w:val="00EB168F"/>
    <w:rsid w:val="00EB1C11"/>
    <w:rsid w:val="00EB29E5"/>
    <w:rsid w:val="00EB3640"/>
    <w:rsid w:val="00EB4EBC"/>
    <w:rsid w:val="00EC01FB"/>
    <w:rsid w:val="00EC035A"/>
    <w:rsid w:val="00EC1340"/>
    <w:rsid w:val="00EC4187"/>
    <w:rsid w:val="00EC5BFC"/>
    <w:rsid w:val="00ED078E"/>
    <w:rsid w:val="00ED0A94"/>
    <w:rsid w:val="00ED3CF4"/>
    <w:rsid w:val="00ED50A0"/>
    <w:rsid w:val="00ED52B2"/>
    <w:rsid w:val="00ED6EB6"/>
    <w:rsid w:val="00EE14CA"/>
    <w:rsid w:val="00EE4995"/>
    <w:rsid w:val="00EF04B7"/>
    <w:rsid w:val="00EF1264"/>
    <w:rsid w:val="00EF48E1"/>
    <w:rsid w:val="00EF4B63"/>
    <w:rsid w:val="00F008DF"/>
    <w:rsid w:val="00F0175C"/>
    <w:rsid w:val="00F01B95"/>
    <w:rsid w:val="00F0358B"/>
    <w:rsid w:val="00F04463"/>
    <w:rsid w:val="00F05E94"/>
    <w:rsid w:val="00F11173"/>
    <w:rsid w:val="00F1146F"/>
    <w:rsid w:val="00F12E46"/>
    <w:rsid w:val="00F13128"/>
    <w:rsid w:val="00F14665"/>
    <w:rsid w:val="00F153DB"/>
    <w:rsid w:val="00F15CA6"/>
    <w:rsid w:val="00F160F9"/>
    <w:rsid w:val="00F218DF"/>
    <w:rsid w:val="00F23C2E"/>
    <w:rsid w:val="00F26C96"/>
    <w:rsid w:val="00F30F12"/>
    <w:rsid w:val="00F353E0"/>
    <w:rsid w:val="00F35DF4"/>
    <w:rsid w:val="00F366C3"/>
    <w:rsid w:val="00F374E2"/>
    <w:rsid w:val="00F37DF6"/>
    <w:rsid w:val="00F4208D"/>
    <w:rsid w:val="00F4246A"/>
    <w:rsid w:val="00F425FF"/>
    <w:rsid w:val="00F4429E"/>
    <w:rsid w:val="00F51CB5"/>
    <w:rsid w:val="00F5252B"/>
    <w:rsid w:val="00F550E6"/>
    <w:rsid w:val="00F561DF"/>
    <w:rsid w:val="00F56495"/>
    <w:rsid w:val="00F6332A"/>
    <w:rsid w:val="00F639C1"/>
    <w:rsid w:val="00F63B4C"/>
    <w:rsid w:val="00F67584"/>
    <w:rsid w:val="00F700A7"/>
    <w:rsid w:val="00F70671"/>
    <w:rsid w:val="00F71095"/>
    <w:rsid w:val="00F71134"/>
    <w:rsid w:val="00F72D84"/>
    <w:rsid w:val="00F7555B"/>
    <w:rsid w:val="00F80AAB"/>
    <w:rsid w:val="00F812B3"/>
    <w:rsid w:val="00F854BD"/>
    <w:rsid w:val="00F91D89"/>
    <w:rsid w:val="00F941CB"/>
    <w:rsid w:val="00F974DC"/>
    <w:rsid w:val="00FA1F28"/>
    <w:rsid w:val="00FA33E8"/>
    <w:rsid w:val="00FA3FA4"/>
    <w:rsid w:val="00FA3FE0"/>
    <w:rsid w:val="00FA436F"/>
    <w:rsid w:val="00FA63A5"/>
    <w:rsid w:val="00FB0475"/>
    <w:rsid w:val="00FB145D"/>
    <w:rsid w:val="00FB5B6D"/>
    <w:rsid w:val="00FB67B4"/>
    <w:rsid w:val="00FB681B"/>
    <w:rsid w:val="00FC061A"/>
    <w:rsid w:val="00FC3043"/>
    <w:rsid w:val="00FC3B30"/>
    <w:rsid w:val="00FC55FC"/>
    <w:rsid w:val="00FC7139"/>
    <w:rsid w:val="00FC76E1"/>
    <w:rsid w:val="00FD1E1D"/>
    <w:rsid w:val="00FD4776"/>
    <w:rsid w:val="00FD49E3"/>
    <w:rsid w:val="00FD4F55"/>
    <w:rsid w:val="00FD6FFF"/>
    <w:rsid w:val="00FD75F6"/>
    <w:rsid w:val="00FE38F0"/>
    <w:rsid w:val="00FE4798"/>
    <w:rsid w:val="00FE5BE7"/>
    <w:rsid w:val="00FE5F07"/>
    <w:rsid w:val="00FE5F33"/>
    <w:rsid w:val="00FF13EB"/>
    <w:rsid w:val="00FF4625"/>
    <w:rsid w:val="00FF61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68D31-23B9-443D-9E98-BF05669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8F"/>
  </w:style>
  <w:style w:type="paragraph" w:styleId="Heading1">
    <w:name w:val="heading 1"/>
    <w:basedOn w:val="Normal"/>
    <w:next w:val="Normal"/>
    <w:link w:val="Heading1Char"/>
    <w:uiPriority w:val="9"/>
    <w:qFormat/>
    <w:rsid w:val="00EB16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168F"/>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B168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EB168F"/>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B168F"/>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EB168F"/>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EB168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EB168F"/>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B168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DC"/>
    <w:rPr>
      <w:lang w:val="en-US"/>
    </w:rPr>
  </w:style>
  <w:style w:type="paragraph" w:styleId="NormalWeb">
    <w:name w:val="Normal (Web)"/>
    <w:basedOn w:val="Normal"/>
    <w:uiPriority w:val="99"/>
    <w:unhideWhenUsed/>
    <w:rsid w:val="000D7AD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0D7AD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0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ED1"/>
    <w:rPr>
      <w:lang w:val="en-US"/>
    </w:rPr>
  </w:style>
  <w:style w:type="paragraph" w:customStyle="1" w:styleId="Single">
    <w:name w:val="Single"/>
    <w:basedOn w:val="Normal"/>
    <w:uiPriority w:val="99"/>
    <w:rsid w:val="001215BA"/>
    <w:pPr>
      <w:tabs>
        <w:tab w:val="left" w:pos="567"/>
        <w:tab w:val="right" w:pos="8222"/>
      </w:tabs>
      <w:adjustRightInd w:val="0"/>
      <w:spacing w:after="480" w:line="360" w:lineRule="auto"/>
      <w:jc w:val="both"/>
      <w:textAlignment w:val="baseline"/>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16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4A"/>
    <w:rPr>
      <w:rFonts w:ascii="Tahoma" w:hAnsi="Tahoma" w:cs="Tahoma"/>
      <w:sz w:val="16"/>
      <w:szCs w:val="16"/>
    </w:rPr>
  </w:style>
  <w:style w:type="character" w:customStyle="1" w:styleId="Heading1Char">
    <w:name w:val="Heading 1 Char"/>
    <w:basedOn w:val="DefaultParagraphFont"/>
    <w:link w:val="Heading1"/>
    <w:uiPriority w:val="9"/>
    <w:rsid w:val="00EB16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B168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B168F"/>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EB168F"/>
    <w:rPr>
      <w:i/>
      <w:iCs/>
    </w:rPr>
  </w:style>
  <w:style w:type="character" w:customStyle="1" w:styleId="Heading5Char">
    <w:name w:val="Heading 5 Char"/>
    <w:basedOn w:val="DefaultParagraphFont"/>
    <w:link w:val="Heading5"/>
    <w:uiPriority w:val="9"/>
    <w:semiHidden/>
    <w:rsid w:val="00EB168F"/>
    <w:rPr>
      <w:color w:val="2E74B5" w:themeColor="accent1" w:themeShade="BF"/>
    </w:rPr>
  </w:style>
  <w:style w:type="character" w:customStyle="1" w:styleId="Heading6Char">
    <w:name w:val="Heading 6 Char"/>
    <w:basedOn w:val="DefaultParagraphFont"/>
    <w:link w:val="Heading6"/>
    <w:uiPriority w:val="9"/>
    <w:semiHidden/>
    <w:rsid w:val="00EB168F"/>
    <w:rPr>
      <w:color w:val="1F4E79" w:themeColor="accent1" w:themeShade="80"/>
    </w:rPr>
  </w:style>
  <w:style w:type="character" w:customStyle="1" w:styleId="Heading7Char">
    <w:name w:val="Heading 7 Char"/>
    <w:basedOn w:val="DefaultParagraphFont"/>
    <w:link w:val="Heading7"/>
    <w:uiPriority w:val="9"/>
    <w:semiHidden/>
    <w:rsid w:val="00EB168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EB168F"/>
    <w:rPr>
      <w:color w:val="262626" w:themeColor="text1" w:themeTint="D9"/>
      <w:sz w:val="21"/>
      <w:szCs w:val="21"/>
    </w:rPr>
  </w:style>
  <w:style w:type="character" w:customStyle="1" w:styleId="Heading9Char">
    <w:name w:val="Heading 9 Char"/>
    <w:basedOn w:val="DefaultParagraphFont"/>
    <w:link w:val="Heading9"/>
    <w:uiPriority w:val="9"/>
    <w:semiHidden/>
    <w:rsid w:val="00EB168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B168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168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B168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B168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B168F"/>
    <w:rPr>
      <w:color w:val="5A5A5A" w:themeColor="text1" w:themeTint="A5"/>
      <w:spacing w:val="15"/>
    </w:rPr>
  </w:style>
  <w:style w:type="character" w:styleId="Strong">
    <w:name w:val="Strong"/>
    <w:basedOn w:val="DefaultParagraphFont"/>
    <w:uiPriority w:val="22"/>
    <w:qFormat/>
    <w:rsid w:val="00EB168F"/>
    <w:rPr>
      <w:b/>
      <w:bCs/>
      <w:color w:val="auto"/>
    </w:rPr>
  </w:style>
  <w:style w:type="character" w:styleId="Emphasis">
    <w:name w:val="Emphasis"/>
    <w:basedOn w:val="DefaultParagraphFont"/>
    <w:uiPriority w:val="20"/>
    <w:qFormat/>
    <w:rsid w:val="00EB168F"/>
    <w:rPr>
      <w:i/>
      <w:iCs/>
      <w:color w:val="auto"/>
    </w:rPr>
  </w:style>
  <w:style w:type="paragraph" w:styleId="NoSpacing">
    <w:name w:val="No Spacing"/>
    <w:uiPriority w:val="1"/>
    <w:qFormat/>
    <w:rsid w:val="00EB168F"/>
    <w:pPr>
      <w:spacing w:after="0" w:line="240" w:lineRule="auto"/>
    </w:pPr>
  </w:style>
  <w:style w:type="paragraph" w:styleId="Quote">
    <w:name w:val="Quote"/>
    <w:basedOn w:val="Normal"/>
    <w:next w:val="Normal"/>
    <w:link w:val="QuoteChar"/>
    <w:uiPriority w:val="29"/>
    <w:qFormat/>
    <w:rsid w:val="00EB168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B168F"/>
    <w:rPr>
      <w:i/>
      <w:iCs/>
      <w:color w:val="404040" w:themeColor="text1" w:themeTint="BF"/>
    </w:rPr>
  </w:style>
  <w:style w:type="paragraph" w:styleId="IntenseQuote">
    <w:name w:val="Intense Quote"/>
    <w:basedOn w:val="Normal"/>
    <w:next w:val="Normal"/>
    <w:link w:val="IntenseQuoteChar"/>
    <w:uiPriority w:val="30"/>
    <w:qFormat/>
    <w:rsid w:val="00EB16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8F"/>
    <w:rPr>
      <w:i/>
      <w:iCs/>
      <w:color w:val="5B9BD5" w:themeColor="accent1"/>
    </w:rPr>
  </w:style>
  <w:style w:type="character" w:styleId="SubtleEmphasis">
    <w:name w:val="Subtle Emphasis"/>
    <w:basedOn w:val="DefaultParagraphFont"/>
    <w:uiPriority w:val="19"/>
    <w:qFormat/>
    <w:rsid w:val="00EB168F"/>
    <w:rPr>
      <w:i/>
      <w:iCs/>
      <w:color w:val="404040" w:themeColor="text1" w:themeTint="BF"/>
    </w:rPr>
  </w:style>
  <w:style w:type="character" w:styleId="IntenseEmphasis">
    <w:name w:val="Intense Emphasis"/>
    <w:basedOn w:val="DefaultParagraphFont"/>
    <w:uiPriority w:val="21"/>
    <w:qFormat/>
    <w:rsid w:val="00EB168F"/>
    <w:rPr>
      <w:i/>
      <w:iCs/>
      <w:color w:val="5B9BD5" w:themeColor="accent1"/>
    </w:rPr>
  </w:style>
  <w:style w:type="character" w:styleId="SubtleReference">
    <w:name w:val="Subtle Reference"/>
    <w:basedOn w:val="DefaultParagraphFont"/>
    <w:uiPriority w:val="31"/>
    <w:qFormat/>
    <w:rsid w:val="00EB168F"/>
    <w:rPr>
      <w:smallCaps/>
      <w:color w:val="404040" w:themeColor="text1" w:themeTint="BF"/>
    </w:rPr>
  </w:style>
  <w:style w:type="character" w:styleId="IntenseReference">
    <w:name w:val="Intense Reference"/>
    <w:basedOn w:val="DefaultParagraphFont"/>
    <w:uiPriority w:val="32"/>
    <w:qFormat/>
    <w:rsid w:val="00EB168F"/>
    <w:rPr>
      <w:b/>
      <w:bCs/>
      <w:smallCaps/>
      <w:color w:val="5B9BD5" w:themeColor="accent1"/>
      <w:spacing w:val="5"/>
    </w:rPr>
  </w:style>
  <w:style w:type="character" w:styleId="BookTitle">
    <w:name w:val="Book Title"/>
    <w:basedOn w:val="DefaultParagraphFont"/>
    <w:uiPriority w:val="33"/>
    <w:qFormat/>
    <w:rsid w:val="00EB168F"/>
    <w:rPr>
      <w:b/>
      <w:bCs/>
      <w:i/>
      <w:iCs/>
      <w:spacing w:val="5"/>
    </w:rPr>
  </w:style>
  <w:style w:type="paragraph" w:styleId="TOCHeading">
    <w:name w:val="TOC Heading"/>
    <w:basedOn w:val="Heading1"/>
    <w:next w:val="Normal"/>
    <w:uiPriority w:val="39"/>
    <w:semiHidden/>
    <w:unhideWhenUsed/>
    <w:qFormat/>
    <w:rsid w:val="00EB168F"/>
    <w:pPr>
      <w:outlineLvl w:val="9"/>
    </w:pPr>
  </w:style>
  <w:style w:type="paragraph" w:styleId="Revision">
    <w:name w:val="Revision"/>
    <w:hidden/>
    <w:uiPriority w:val="99"/>
    <w:semiHidden/>
    <w:rsid w:val="00623075"/>
    <w:pPr>
      <w:spacing w:after="0" w:line="240" w:lineRule="auto"/>
    </w:pPr>
  </w:style>
  <w:style w:type="character" w:customStyle="1" w:styleId="mc">
    <w:name w:val="mc"/>
    <w:basedOn w:val="DefaultParagraphFont"/>
    <w:rsid w:val="00920083"/>
  </w:style>
  <w:style w:type="paragraph" w:styleId="ListParagraph">
    <w:name w:val="List Paragraph"/>
    <w:basedOn w:val="Normal"/>
    <w:uiPriority w:val="34"/>
    <w:qFormat/>
    <w:rsid w:val="00C0611E"/>
    <w:pPr>
      <w:ind w:left="720"/>
      <w:contextualSpacing/>
    </w:pPr>
  </w:style>
  <w:style w:type="character" w:customStyle="1" w:styleId="g1">
    <w:name w:val="g1"/>
    <w:basedOn w:val="DefaultParagraphFont"/>
    <w:rsid w:val="006710BF"/>
  </w:style>
  <w:style w:type="character" w:styleId="Hyperlink">
    <w:name w:val="Hyperlink"/>
    <w:basedOn w:val="DefaultParagraphFont"/>
    <w:uiPriority w:val="99"/>
    <w:semiHidden/>
    <w:unhideWhenUsed/>
    <w:rsid w:val="006710BF"/>
    <w:rPr>
      <w:color w:val="0000FF"/>
      <w:u w:val="single"/>
    </w:rPr>
  </w:style>
  <w:style w:type="paragraph" w:customStyle="1" w:styleId="Body">
    <w:name w:val="Body"/>
    <w:rsid w:val="00C436A0"/>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en-ZA"/>
      <w14:textOutline w14:w="0" w14:cap="flat" w14:cmpd="sng" w14:algn="ctr">
        <w14:noFill/>
        <w14:prstDash w14:val="solid"/>
        <w14:bevel/>
      </w14:textOutline>
    </w:rPr>
  </w:style>
  <w:style w:type="paragraph" w:styleId="FootnoteText">
    <w:name w:val="footnote text"/>
    <w:basedOn w:val="Normal"/>
    <w:link w:val="FootnoteTextChar"/>
    <w:unhideWhenUsed/>
    <w:rsid w:val="007A2891"/>
    <w:pPr>
      <w:spacing w:after="0" w:line="240" w:lineRule="auto"/>
    </w:pPr>
    <w:rPr>
      <w:rFonts w:ascii="Calibri" w:eastAsia="Calibri" w:hAnsi="Calibri" w:cs="Times New Roman"/>
      <w:sz w:val="20"/>
      <w:szCs w:val="20"/>
      <w:lang w:val="en-GB" w:eastAsia="x-none"/>
    </w:rPr>
  </w:style>
  <w:style w:type="character" w:customStyle="1" w:styleId="FootnoteTextChar">
    <w:name w:val="Footnote Text Char"/>
    <w:basedOn w:val="DefaultParagraphFont"/>
    <w:link w:val="FootnoteText"/>
    <w:rsid w:val="007A2891"/>
    <w:rPr>
      <w:rFonts w:ascii="Calibri" w:eastAsia="Calibri" w:hAnsi="Calibri" w:cs="Times New Roman"/>
      <w:sz w:val="20"/>
      <w:szCs w:val="20"/>
      <w:lang w:val="en-GB" w:eastAsia="x-none"/>
    </w:rPr>
  </w:style>
  <w:style w:type="character" w:styleId="FootnoteReference">
    <w:name w:val="footnote reference"/>
    <w:unhideWhenUsed/>
    <w:rsid w:val="007A2891"/>
    <w:rPr>
      <w:vertAlign w:val="superscript"/>
    </w:rPr>
  </w:style>
  <w:style w:type="paragraph" w:customStyle="1" w:styleId="Para">
    <w:name w:val="Para"/>
    <w:basedOn w:val="Normal"/>
    <w:uiPriority w:val="99"/>
    <w:rsid w:val="00E840FE"/>
    <w:pPr>
      <w:spacing w:after="0" w:line="240" w:lineRule="auto"/>
      <w:ind w:left="1701" w:hanging="567"/>
    </w:pPr>
    <w:rPr>
      <w:rFonts w:ascii="Times New Roman" w:eastAsia="Times New Roman" w:hAnsi="Times New Roman"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4542">
      <w:bodyDiv w:val="1"/>
      <w:marLeft w:val="0"/>
      <w:marRight w:val="0"/>
      <w:marTop w:val="0"/>
      <w:marBottom w:val="0"/>
      <w:divBdr>
        <w:top w:val="none" w:sz="0" w:space="0" w:color="auto"/>
        <w:left w:val="none" w:sz="0" w:space="0" w:color="auto"/>
        <w:bottom w:val="none" w:sz="0" w:space="0" w:color="auto"/>
        <w:right w:val="none" w:sz="0" w:space="0" w:color="auto"/>
      </w:divBdr>
      <w:divsChild>
        <w:div w:id="945650741">
          <w:marLeft w:val="0"/>
          <w:marRight w:val="0"/>
          <w:marTop w:val="120"/>
          <w:marBottom w:val="0"/>
          <w:divBdr>
            <w:top w:val="none" w:sz="0" w:space="0" w:color="auto"/>
            <w:left w:val="none" w:sz="0" w:space="0" w:color="auto"/>
            <w:bottom w:val="none" w:sz="0" w:space="0" w:color="auto"/>
            <w:right w:val="none" w:sz="0" w:space="0" w:color="auto"/>
          </w:divBdr>
        </w:div>
      </w:divsChild>
    </w:div>
    <w:div w:id="1256355862">
      <w:bodyDiv w:val="1"/>
      <w:marLeft w:val="0"/>
      <w:marRight w:val="0"/>
      <w:marTop w:val="0"/>
      <w:marBottom w:val="0"/>
      <w:divBdr>
        <w:top w:val="none" w:sz="0" w:space="0" w:color="auto"/>
        <w:left w:val="none" w:sz="0" w:space="0" w:color="auto"/>
        <w:bottom w:val="none" w:sz="0" w:space="0" w:color="auto"/>
        <w:right w:val="none" w:sz="0" w:space="0" w:color="auto"/>
      </w:divBdr>
      <w:divsChild>
        <w:div w:id="428546859">
          <w:marLeft w:val="0"/>
          <w:marRight w:val="0"/>
          <w:marTop w:val="120"/>
          <w:marBottom w:val="0"/>
          <w:divBdr>
            <w:top w:val="none" w:sz="0" w:space="0" w:color="auto"/>
            <w:left w:val="none" w:sz="0" w:space="0" w:color="auto"/>
            <w:bottom w:val="none" w:sz="0" w:space="0" w:color="auto"/>
            <w:right w:val="none" w:sz="0" w:space="0" w:color="auto"/>
          </w:divBdr>
        </w:div>
      </w:divsChild>
    </w:div>
    <w:div w:id="1563179598">
      <w:bodyDiv w:val="1"/>
      <w:marLeft w:val="0"/>
      <w:marRight w:val="0"/>
      <w:marTop w:val="0"/>
      <w:marBottom w:val="0"/>
      <w:divBdr>
        <w:top w:val="none" w:sz="0" w:space="0" w:color="auto"/>
        <w:left w:val="none" w:sz="0" w:space="0" w:color="auto"/>
        <w:bottom w:val="none" w:sz="0" w:space="0" w:color="auto"/>
        <w:right w:val="none" w:sz="0" w:space="0" w:color="auto"/>
      </w:divBdr>
      <w:divsChild>
        <w:div w:id="1818378318">
          <w:marLeft w:val="0"/>
          <w:marRight w:val="0"/>
          <w:marTop w:val="60"/>
          <w:marBottom w:val="0"/>
          <w:divBdr>
            <w:top w:val="none" w:sz="0" w:space="0" w:color="auto"/>
            <w:left w:val="none" w:sz="0" w:space="0" w:color="auto"/>
            <w:bottom w:val="none" w:sz="0" w:space="0" w:color="auto"/>
            <w:right w:val="none" w:sz="0" w:space="0" w:color="auto"/>
          </w:divBdr>
        </w:div>
        <w:div w:id="436488109">
          <w:marLeft w:val="0"/>
          <w:marRight w:val="0"/>
          <w:marTop w:val="60"/>
          <w:marBottom w:val="0"/>
          <w:divBdr>
            <w:top w:val="none" w:sz="0" w:space="0" w:color="auto"/>
            <w:left w:val="none" w:sz="0" w:space="0" w:color="auto"/>
            <w:bottom w:val="none" w:sz="0" w:space="0" w:color="auto"/>
            <w:right w:val="none" w:sz="0" w:space="0" w:color="auto"/>
          </w:divBdr>
        </w:div>
      </w:divsChild>
    </w:div>
    <w:div w:id="1574966114">
      <w:bodyDiv w:val="1"/>
      <w:marLeft w:val="0"/>
      <w:marRight w:val="0"/>
      <w:marTop w:val="0"/>
      <w:marBottom w:val="0"/>
      <w:divBdr>
        <w:top w:val="none" w:sz="0" w:space="0" w:color="auto"/>
        <w:left w:val="none" w:sz="0" w:space="0" w:color="auto"/>
        <w:bottom w:val="none" w:sz="0" w:space="0" w:color="auto"/>
        <w:right w:val="none" w:sz="0" w:space="0" w:color="auto"/>
      </w:divBdr>
    </w:div>
    <w:div w:id="1807819296">
      <w:bodyDiv w:val="1"/>
      <w:marLeft w:val="0"/>
      <w:marRight w:val="0"/>
      <w:marTop w:val="0"/>
      <w:marBottom w:val="0"/>
      <w:divBdr>
        <w:top w:val="none" w:sz="0" w:space="0" w:color="auto"/>
        <w:left w:val="none" w:sz="0" w:space="0" w:color="auto"/>
        <w:bottom w:val="none" w:sz="0" w:space="0" w:color="auto"/>
        <w:right w:val="none" w:sz="0" w:space="0" w:color="auto"/>
      </w:divBdr>
      <w:divsChild>
        <w:div w:id="20452534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B179-B140-4E3F-A99D-F33A4277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Lekhuleni James</dc:creator>
  <cp:keywords/>
  <dc:description/>
  <cp:lastModifiedBy>Mokone</cp:lastModifiedBy>
  <cp:revision>2</cp:revision>
  <cp:lastPrinted>2023-03-23T07:56:00Z</cp:lastPrinted>
  <dcterms:created xsi:type="dcterms:W3CDTF">2023-03-27T08:05:00Z</dcterms:created>
  <dcterms:modified xsi:type="dcterms:W3CDTF">2023-03-27T08:05:00Z</dcterms:modified>
</cp:coreProperties>
</file>